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6455" w14:textId="77777777" w:rsidR="00DE6F0A" w:rsidRPr="008A290B" w:rsidRDefault="00DE6F0A" w:rsidP="00DE6F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3E03D1" w14:textId="60872927" w:rsidR="00DE6F0A" w:rsidRDefault="004F1DFC" w:rsidP="00DE6F0A">
      <w:pPr>
        <w:jc w:val="both"/>
        <w:rPr>
          <w:rFonts w:ascii="Arial" w:hAnsi="Arial" w:cs="Arial"/>
          <w:lang w:val="es-419"/>
        </w:rPr>
      </w:pPr>
      <w:r>
        <w:rPr>
          <w:rFonts w:ascii="Arial" w:hAnsi="Arial" w:cs="Arial"/>
          <w:lang w:val="es-419"/>
        </w:rPr>
        <w:tab/>
      </w:r>
    </w:p>
    <w:p w14:paraId="0B255B58" w14:textId="0D18960F" w:rsidR="00DE6F0A" w:rsidRPr="00E32969" w:rsidRDefault="0089238D" w:rsidP="00DE6F0A">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ACCIÓN POPULAR / DEFINICIÓN / ELEMENTOS ESENCIALES / CARGA PROBATORIA / INTÉRPRETE Y GUÍA INTÉRPRETE PARA PERSONAS SORDAS Y CIEGAS / REGULACIÓN LEGAL.</w:t>
      </w:r>
    </w:p>
    <w:p w14:paraId="332E0075" w14:textId="77777777" w:rsidR="00DE6F0A" w:rsidRPr="00E32969" w:rsidRDefault="00DE6F0A" w:rsidP="00DE6F0A">
      <w:pPr>
        <w:jc w:val="both"/>
        <w:rPr>
          <w:rFonts w:ascii="Arial" w:hAnsi="Arial" w:cs="Arial"/>
          <w:lang w:val="es-419"/>
        </w:rPr>
      </w:pPr>
    </w:p>
    <w:p w14:paraId="176E429B" w14:textId="77777777" w:rsidR="00953E9D" w:rsidRPr="00953E9D" w:rsidRDefault="00953E9D" w:rsidP="00953E9D">
      <w:pPr>
        <w:jc w:val="both"/>
        <w:rPr>
          <w:rFonts w:ascii="Arial" w:hAnsi="Arial" w:cs="Arial"/>
          <w:lang w:val="es-419"/>
        </w:rPr>
      </w:pPr>
      <w:r w:rsidRPr="00953E9D">
        <w:rPr>
          <w:rFonts w:ascii="Arial" w:hAnsi="Arial" w:cs="Arial"/>
          <w:lang w:val="es-419"/>
        </w:rPr>
        <w:t>El artículo 88 de la Constitución Política establece las acciones populares como la herramienta procesal adecuada para la protección de los derechos e intereses colectivos, relacionados con el patrimonio, el espacio, la seguridad y la salubridad públicos, la moral administrativa, el ambiente…</w:t>
      </w:r>
    </w:p>
    <w:p w14:paraId="7BFDF498" w14:textId="77777777" w:rsidR="00953E9D" w:rsidRPr="00953E9D" w:rsidRDefault="00953E9D" w:rsidP="00953E9D">
      <w:pPr>
        <w:jc w:val="both"/>
        <w:rPr>
          <w:rFonts w:ascii="Arial" w:hAnsi="Arial" w:cs="Arial"/>
          <w:lang w:val="es-419"/>
        </w:rPr>
      </w:pPr>
    </w:p>
    <w:p w14:paraId="589D6593" w14:textId="77777777" w:rsidR="00953E9D" w:rsidRPr="00953E9D" w:rsidRDefault="00953E9D" w:rsidP="00953E9D">
      <w:pPr>
        <w:jc w:val="both"/>
        <w:rPr>
          <w:rFonts w:ascii="Arial" w:hAnsi="Arial" w:cs="Arial"/>
          <w:lang w:val="es-419"/>
        </w:rPr>
      </w:pPr>
      <w:r w:rsidRPr="00953E9D">
        <w:rPr>
          <w:rFonts w:ascii="Arial" w:hAnsi="Arial" w:cs="Arial"/>
          <w:lang w:val="es-419"/>
        </w:rPr>
        <w:t>… su regulación se encuentra prevista en la Ley 472 de 1998, que señala como objeto de aquella herramienta evitar el daño contingente o hacer cesar el peligro, la amenaza, la vulneración o agravio sobre los derechos e intereses colectivos, o restituir las cosas a su estado anterior…</w:t>
      </w:r>
    </w:p>
    <w:p w14:paraId="06D458E8" w14:textId="77777777" w:rsidR="00DE6F0A" w:rsidRPr="00E32969" w:rsidRDefault="00DE6F0A" w:rsidP="00DE6F0A">
      <w:pPr>
        <w:jc w:val="both"/>
        <w:rPr>
          <w:rFonts w:ascii="Arial" w:hAnsi="Arial" w:cs="Arial"/>
          <w:lang w:val="es-419"/>
        </w:rPr>
      </w:pPr>
    </w:p>
    <w:p w14:paraId="5686A720" w14:textId="12C1B290" w:rsidR="00D9584D" w:rsidRDefault="00D9584D" w:rsidP="00D9584D">
      <w:pPr>
        <w:jc w:val="both"/>
        <w:rPr>
          <w:rFonts w:ascii="Arial" w:hAnsi="Arial" w:cs="Arial"/>
          <w:lang w:val="es-419"/>
        </w:rPr>
      </w:pPr>
      <w:r w:rsidRPr="00D9584D">
        <w:rPr>
          <w:rFonts w:ascii="Arial" w:hAnsi="Arial" w:cs="Arial"/>
          <w:lang w:val="es-419"/>
        </w:rPr>
        <w:t>La acción popular, de conformidad con el artículo 9º, procede contra toda acción u omisión de las autoridades o de los particulares. Son elementos esenciales de esa clase de acciones: a) la acción u omisión de la autoridad o del particular demandado; b) un daño contingente, peligro o amenaza o vulneración de derechos o intereses colectivos, y c) la relación de causalidad entre esa acción u omisión y el daño, la amenaza o vulneración</w:t>
      </w:r>
      <w:r w:rsidR="00212962">
        <w:rPr>
          <w:rFonts w:ascii="Arial" w:hAnsi="Arial" w:cs="Arial"/>
          <w:lang w:val="es-419"/>
        </w:rPr>
        <w:t>.</w:t>
      </w:r>
    </w:p>
    <w:p w14:paraId="2BEC001A" w14:textId="17CCAB5B" w:rsidR="000551C0" w:rsidRDefault="000551C0" w:rsidP="00D9584D">
      <w:pPr>
        <w:jc w:val="both"/>
        <w:rPr>
          <w:rFonts w:ascii="Arial" w:hAnsi="Arial" w:cs="Arial"/>
          <w:lang w:val="es-419"/>
        </w:rPr>
      </w:pPr>
    </w:p>
    <w:p w14:paraId="21D68798" w14:textId="56B890C7" w:rsidR="000551C0" w:rsidRPr="00D9584D" w:rsidRDefault="000551C0" w:rsidP="00D9584D">
      <w:pPr>
        <w:jc w:val="both"/>
        <w:rPr>
          <w:rFonts w:ascii="Arial" w:hAnsi="Arial" w:cs="Arial"/>
          <w:lang w:val="es-419"/>
        </w:rPr>
      </w:pPr>
      <w:r>
        <w:rPr>
          <w:rFonts w:ascii="Arial" w:hAnsi="Arial" w:cs="Arial"/>
          <w:lang w:val="es-419"/>
        </w:rPr>
        <w:t xml:space="preserve">… </w:t>
      </w:r>
      <w:r w:rsidRPr="000551C0">
        <w:rPr>
          <w:rFonts w:ascii="Arial" w:hAnsi="Arial" w:cs="Arial"/>
          <w:lang w:val="es-419"/>
        </w:rPr>
        <w:t xml:space="preserve">se tiene que la accionada AUDIFARMA S.A. tiene como actividad económica, el comercio al por mayor de productos farmacéuticos, medicinales, cosméticos y de tocador. Su objeto </w:t>
      </w:r>
      <w:r w:rsidR="00D13E28" w:rsidRPr="000551C0">
        <w:rPr>
          <w:rFonts w:ascii="Arial" w:hAnsi="Arial" w:cs="Arial"/>
          <w:lang w:val="es-419"/>
        </w:rPr>
        <w:t>social,</w:t>
      </w:r>
      <w:r w:rsidRPr="000551C0">
        <w:rPr>
          <w:rFonts w:ascii="Arial" w:hAnsi="Arial" w:cs="Arial"/>
          <w:lang w:val="es-419"/>
        </w:rPr>
        <w:t xml:space="preserve"> en lo pertinente, le autoriza para la dispensación de medicamentos, insumos médico-quirúrgicos, prótesis, ortesis, productos cosméticos y otras tecnologías en salud al usuario final de entidades promotoras de salud, instituciones prestadoras de servicios de salud y otras con objeto social afín</w:t>
      </w:r>
      <w:r>
        <w:rPr>
          <w:rFonts w:ascii="Arial" w:hAnsi="Arial" w:cs="Arial"/>
          <w:lang w:val="es-419"/>
        </w:rPr>
        <w:t>.</w:t>
      </w:r>
    </w:p>
    <w:p w14:paraId="06C64827" w14:textId="77777777" w:rsidR="00D9584D" w:rsidRPr="00D9584D" w:rsidRDefault="00D9584D" w:rsidP="00D9584D">
      <w:pPr>
        <w:jc w:val="both"/>
        <w:rPr>
          <w:rFonts w:ascii="Arial" w:hAnsi="Arial" w:cs="Arial"/>
          <w:lang w:val="es-419"/>
        </w:rPr>
      </w:pPr>
    </w:p>
    <w:p w14:paraId="50309DBE" w14:textId="37E55E04" w:rsidR="00DE6F0A" w:rsidRDefault="00212962" w:rsidP="00DE6F0A">
      <w:pPr>
        <w:jc w:val="both"/>
        <w:rPr>
          <w:rFonts w:ascii="Arial" w:hAnsi="Arial" w:cs="Arial"/>
          <w:lang w:val="es-419"/>
        </w:rPr>
      </w:pPr>
      <w:r>
        <w:rPr>
          <w:rFonts w:ascii="Arial" w:hAnsi="Arial" w:cs="Arial"/>
          <w:lang w:val="es-419"/>
        </w:rPr>
        <w:t xml:space="preserve">… </w:t>
      </w:r>
      <w:r w:rsidRPr="00212962">
        <w:rPr>
          <w:rFonts w:ascii="Arial" w:hAnsi="Arial" w:cs="Arial"/>
          <w:lang w:val="es-419"/>
        </w:rPr>
        <w:t>resulta plausible concluir que la actividad desarrollada por la accionada se enmarca en la prestación de un servicio público, o cuando menos la actividad que desarrolla está ligada con dicho servicio, sin perjuicio de su naturaleza jurídica como sociedad anónima de derecho privado.</w:t>
      </w:r>
      <w:r>
        <w:rPr>
          <w:rFonts w:ascii="Arial" w:hAnsi="Arial" w:cs="Arial"/>
          <w:lang w:val="es-419"/>
        </w:rPr>
        <w:t xml:space="preserve"> (…)</w:t>
      </w:r>
    </w:p>
    <w:p w14:paraId="388887FC" w14:textId="77777777" w:rsidR="00212962" w:rsidRDefault="00212962" w:rsidP="00DE6F0A">
      <w:pPr>
        <w:jc w:val="both"/>
        <w:rPr>
          <w:rFonts w:ascii="Arial" w:hAnsi="Arial" w:cs="Arial"/>
          <w:lang w:val="es-419"/>
        </w:rPr>
      </w:pPr>
    </w:p>
    <w:p w14:paraId="74206DC4" w14:textId="3EFBE4D9" w:rsidR="00DE6F0A" w:rsidRDefault="004F1DFC" w:rsidP="00DE6F0A">
      <w:pPr>
        <w:jc w:val="both"/>
        <w:rPr>
          <w:rFonts w:ascii="Arial" w:hAnsi="Arial" w:cs="Arial"/>
          <w:lang w:val="es-419"/>
        </w:rPr>
      </w:pPr>
      <w:r w:rsidRPr="004F1DFC">
        <w:rPr>
          <w:rFonts w:ascii="Arial" w:hAnsi="Arial" w:cs="Arial"/>
          <w:lang w:val="es-419"/>
        </w:rPr>
        <w:t>Sobre la obligación que tienen las entidades públicas y privadas de garantizar el acceso de las personas en situación de discapacidad al servicio público que ofrezcan a la comunidad, resultan aplicables al caso además las Leyes 361 de 1997, que regula diversos mecanismos de integración social de las personas que se hallen en situación de discapacidad. Si bien el grueso de sus normas sobre accesibilidad se refiere al entorno físico, su artículo 46 recuerda que aquella “es un elemento esencial de los servicios públicos a cargo del Estado y por lo tanto deberá ser tenida en cuenta por los organismos públicos o privados en la ejecución de dichos servicios”.</w:t>
      </w:r>
    </w:p>
    <w:p w14:paraId="35AEB256" w14:textId="77777777" w:rsidR="00DE6F0A" w:rsidRDefault="00DE6F0A" w:rsidP="00DE6F0A">
      <w:pPr>
        <w:jc w:val="both"/>
        <w:rPr>
          <w:rFonts w:ascii="Arial" w:hAnsi="Arial" w:cs="Arial"/>
        </w:rPr>
      </w:pPr>
    </w:p>
    <w:p w14:paraId="09FC6F41" w14:textId="77777777" w:rsidR="00DE6F0A" w:rsidRDefault="00DE6F0A" w:rsidP="00DE6F0A">
      <w:pPr>
        <w:jc w:val="both"/>
        <w:rPr>
          <w:rFonts w:ascii="Arial" w:hAnsi="Arial" w:cs="Arial"/>
        </w:rPr>
      </w:pPr>
    </w:p>
    <w:p w14:paraId="3444B435" w14:textId="77777777" w:rsidR="00DE6F0A" w:rsidRDefault="00DE6F0A" w:rsidP="00DE6F0A">
      <w:pPr>
        <w:jc w:val="both"/>
        <w:rPr>
          <w:rFonts w:ascii="Arial" w:hAnsi="Arial" w:cs="Arial"/>
        </w:rPr>
      </w:pPr>
    </w:p>
    <w:bookmarkEnd w:id="0"/>
    <w:p w14:paraId="27730813" w14:textId="77777777" w:rsidR="00DE6F0A" w:rsidRPr="00295947" w:rsidRDefault="00DE6F0A" w:rsidP="00DE6F0A">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0309853B" w14:textId="77777777" w:rsidR="00DE6F0A" w:rsidRPr="00295947" w:rsidRDefault="00DE6F0A" w:rsidP="00DE6F0A">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1B41AC03" wp14:editId="4170B4D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1F48E5D7" w14:textId="77777777" w:rsidR="00DE6F0A" w:rsidRPr="00295947" w:rsidRDefault="00DE6F0A" w:rsidP="00DE6F0A">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4AA62A2F" w14:textId="77777777" w:rsidR="00DE6F0A" w:rsidRPr="00295947" w:rsidRDefault="00DE6F0A" w:rsidP="00DE6F0A">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63AD2154" w14:textId="77777777" w:rsidR="00DE6F0A" w:rsidRPr="00295947" w:rsidRDefault="00DE6F0A" w:rsidP="00DE6F0A">
      <w:pPr>
        <w:tabs>
          <w:tab w:val="left" w:pos="-720"/>
        </w:tabs>
        <w:suppressAutoHyphens/>
        <w:spacing w:line="276" w:lineRule="auto"/>
        <w:jc w:val="center"/>
        <w:rPr>
          <w:rFonts w:ascii="Arial Narrow" w:hAnsi="Arial Narrow"/>
          <w:b/>
          <w:bCs/>
          <w:spacing w:val="-3"/>
          <w:sz w:val="26"/>
          <w:szCs w:val="26"/>
        </w:rPr>
      </w:pPr>
    </w:p>
    <w:p w14:paraId="03E48A5B" w14:textId="77777777" w:rsidR="00DE6F0A" w:rsidRPr="00295947" w:rsidRDefault="00DE6F0A" w:rsidP="00DE6F0A">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719C7BAE" w14:textId="77777777" w:rsidR="00DE6F0A" w:rsidRPr="00295947" w:rsidRDefault="00DE6F0A" w:rsidP="00DE6F0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2A088998" w14:textId="5AC9D1D5" w:rsidR="00CA76C7" w:rsidRPr="00DE6F0A" w:rsidRDefault="00CA76C7" w:rsidP="00DE6F0A">
      <w:pPr>
        <w:pStyle w:val="Sinespaciado"/>
        <w:spacing w:line="276" w:lineRule="auto"/>
        <w:jc w:val="center"/>
        <w:rPr>
          <w:rFonts w:ascii="Arial Narrow" w:hAnsi="Arial Narrow"/>
          <w:sz w:val="26"/>
          <w:szCs w:val="26"/>
        </w:rPr>
      </w:pPr>
      <w:r w:rsidRPr="00DE6F0A">
        <w:rPr>
          <w:rFonts w:ascii="Arial Narrow" w:hAnsi="Arial Narrow"/>
          <w:sz w:val="26"/>
          <w:szCs w:val="26"/>
        </w:rPr>
        <w:t xml:space="preserve">Pereira, </w:t>
      </w:r>
      <w:r w:rsidR="00796859" w:rsidRPr="00DE6F0A">
        <w:rPr>
          <w:rFonts w:ascii="Arial Narrow" w:hAnsi="Arial Narrow"/>
          <w:sz w:val="26"/>
          <w:szCs w:val="26"/>
        </w:rPr>
        <w:t>veintiséis</w:t>
      </w:r>
      <w:r w:rsidRPr="00DE6F0A">
        <w:rPr>
          <w:rFonts w:ascii="Arial Narrow" w:hAnsi="Arial Narrow"/>
          <w:sz w:val="26"/>
          <w:szCs w:val="26"/>
        </w:rPr>
        <w:t xml:space="preserve"> (</w:t>
      </w:r>
      <w:r w:rsidR="00796859" w:rsidRPr="00DE6F0A">
        <w:rPr>
          <w:rFonts w:ascii="Arial Narrow" w:hAnsi="Arial Narrow"/>
          <w:sz w:val="26"/>
          <w:szCs w:val="26"/>
        </w:rPr>
        <w:t>26</w:t>
      </w:r>
      <w:r w:rsidRPr="00DE6F0A">
        <w:rPr>
          <w:rFonts w:ascii="Arial Narrow" w:hAnsi="Arial Narrow"/>
          <w:sz w:val="26"/>
          <w:szCs w:val="26"/>
        </w:rPr>
        <w:t xml:space="preserve">) de </w:t>
      </w:r>
      <w:r w:rsidR="00100BE7" w:rsidRPr="00DE6F0A">
        <w:rPr>
          <w:rFonts w:ascii="Arial Narrow" w:hAnsi="Arial Narrow"/>
          <w:sz w:val="26"/>
          <w:szCs w:val="26"/>
        </w:rPr>
        <w:t>ju</w:t>
      </w:r>
      <w:r w:rsidR="00796859" w:rsidRPr="00DE6F0A">
        <w:rPr>
          <w:rFonts w:ascii="Arial Narrow" w:hAnsi="Arial Narrow"/>
          <w:sz w:val="26"/>
          <w:szCs w:val="26"/>
        </w:rPr>
        <w:t>l</w:t>
      </w:r>
      <w:r w:rsidR="00100BE7" w:rsidRPr="00DE6F0A">
        <w:rPr>
          <w:rFonts w:ascii="Arial Narrow" w:hAnsi="Arial Narrow"/>
          <w:sz w:val="26"/>
          <w:szCs w:val="26"/>
        </w:rPr>
        <w:t>io</w:t>
      </w:r>
      <w:r w:rsidRPr="00DE6F0A">
        <w:rPr>
          <w:rFonts w:ascii="Arial Narrow" w:hAnsi="Arial Narrow"/>
          <w:sz w:val="26"/>
          <w:szCs w:val="26"/>
        </w:rPr>
        <w:t xml:space="preserve"> de dos mil veintiuno (2021)</w:t>
      </w:r>
    </w:p>
    <w:p w14:paraId="450FC703" w14:textId="288B5758" w:rsidR="00CA76C7" w:rsidRPr="00DE6F0A" w:rsidRDefault="00CA76C7" w:rsidP="00DE6F0A">
      <w:pPr>
        <w:pStyle w:val="Sinespaciado"/>
        <w:spacing w:line="276" w:lineRule="auto"/>
        <w:ind w:left="993"/>
        <w:rPr>
          <w:rFonts w:ascii="Arial Narrow" w:hAnsi="Arial Narrow"/>
          <w:sz w:val="26"/>
          <w:szCs w:val="26"/>
          <w:lang w:val="pt-BR"/>
        </w:rPr>
      </w:pPr>
      <w:r w:rsidRPr="00DE6F0A">
        <w:rPr>
          <w:rFonts w:ascii="Arial Narrow" w:hAnsi="Arial Narrow"/>
          <w:sz w:val="26"/>
          <w:szCs w:val="26"/>
        </w:rPr>
        <w:tab/>
      </w:r>
    </w:p>
    <w:p w14:paraId="33C1D9D4" w14:textId="6AF8FA21" w:rsidR="003D7832" w:rsidRPr="001D3DFB" w:rsidRDefault="00CA76C7" w:rsidP="001D3DFB">
      <w:pPr>
        <w:pStyle w:val="Sinespaciado"/>
        <w:spacing w:line="276" w:lineRule="auto"/>
        <w:ind w:left="993"/>
        <w:rPr>
          <w:rFonts w:ascii="Arial Narrow" w:hAnsi="Arial Narrow"/>
          <w:sz w:val="26"/>
          <w:szCs w:val="26"/>
          <w:lang w:val="pt-BR"/>
        </w:rPr>
      </w:pPr>
      <w:r w:rsidRPr="001D3DFB">
        <w:rPr>
          <w:rFonts w:ascii="Arial Narrow" w:hAnsi="Arial Narrow"/>
          <w:sz w:val="26"/>
          <w:szCs w:val="26"/>
          <w:lang w:val="pt-BR"/>
        </w:rPr>
        <w:tab/>
      </w:r>
      <w:r w:rsidR="003D7832" w:rsidRPr="001D3DFB">
        <w:rPr>
          <w:rFonts w:ascii="Arial Narrow" w:hAnsi="Arial Narrow"/>
          <w:sz w:val="26"/>
          <w:szCs w:val="26"/>
          <w:lang w:val="pt-BR"/>
        </w:rPr>
        <w:t>Acta N</w:t>
      </w:r>
      <w:r w:rsidR="00DE6F0A" w:rsidRPr="001D3DFB">
        <w:rPr>
          <w:rFonts w:ascii="Arial Narrow" w:hAnsi="Arial Narrow"/>
          <w:sz w:val="26"/>
          <w:szCs w:val="26"/>
          <w:lang w:val="pt-BR"/>
        </w:rPr>
        <w:t>°</w:t>
      </w:r>
      <w:r w:rsidR="00BD7866" w:rsidRPr="001D3DFB">
        <w:rPr>
          <w:rFonts w:ascii="Arial Narrow" w:hAnsi="Arial Narrow"/>
          <w:sz w:val="26"/>
          <w:szCs w:val="26"/>
          <w:lang w:val="pt-BR"/>
        </w:rPr>
        <w:t xml:space="preserve"> </w:t>
      </w:r>
      <w:r w:rsidR="00796859" w:rsidRPr="001D3DFB">
        <w:rPr>
          <w:rFonts w:ascii="Arial Narrow" w:hAnsi="Arial Narrow"/>
          <w:sz w:val="26"/>
          <w:szCs w:val="26"/>
          <w:lang w:val="pt-BR"/>
        </w:rPr>
        <w:t>0344</w:t>
      </w:r>
      <w:r w:rsidR="00BD7866" w:rsidRPr="001D3DFB">
        <w:rPr>
          <w:rFonts w:ascii="Arial Narrow" w:hAnsi="Arial Narrow"/>
          <w:sz w:val="26"/>
          <w:szCs w:val="26"/>
          <w:lang w:val="pt-BR"/>
        </w:rPr>
        <w:t xml:space="preserve"> de </w:t>
      </w:r>
      <w:r w:rsidR="00796859" w:rsidRPr="001D3DFB">
        <w:rPr>
          <w:rFonts w:ascii="Arial Narrow" w:hAnsi="Arial Narrow"/>
          <w:sz w:val="26"/>
          <w:szCs w:val="26"/>
          <w:lang w:val="pt-BR"/>
        </w:rPr>
        <w:t>26</w:t>
      </w:r>
      <w:r w:rsidR="00BD7866" w:rsidRPr="001D3DFB">
        <w:rPr>
          <w:rFonts w:ascii="Arial Narrow" w:hAnsi="Arial Narrow"/>
          <w:sz w:val="26"/>
          <w:szCs w:val="26"/>
          <w:lang w:val="pt-BR"/>
        </w:rPr>
        <w:t>-</w:t>
      </w:r>
      <w:r w:rsidR="00100BE7" w:rsidRPr="001D3DFB">
        <w:rPr>
          <w:rFonts w:ascii="Arial Narrow" w:hAnsi="Arial Narrow"/>
          <w:sz w:val="26"/>
          <w:szCs w:val="26"/>
          <w:lang w:val="pt-BR"/>
        </w:rPr>
        <w:t>ju</w:t>
      </w:r>
      <w:r w:rsidR="00796859" w:rsidRPr="001D3DFB">
        <w:rPr>
          <w:rFonts w:ascii="Arial Narrow" w:hAnsi="Arial Narrow"/>
          <w:sz w:val="26"/>
          <w:szCs w:val="26"/>
          <w:lang w:val="pt-BR"/>
        </w:rPr>
        <w:t>l</w:t>
      </w:r>
      <w:r w:rsidR="00100BE7" w:rsidRPr="001D3DFB">
        <w:rPr>
          <w:rFonts w:ascii="Arial Narrow" w:hAnsi="Arial Narrow"/>
          <w:sz w:val="26"/>
          <w:szCs w:val="26"/>
          <w:lang w:val="pt-BR"/>
        </w:rPr>
        <w:t>io</w:t>
      </w:r>
      <w:r w:rsidR="00BD7866" w:rsidRPr="001D3DFB">
        <w:rPr>
          <w:rFonts w:ascii="Arial Narrow" w:hAnsi="Arial Narrow"/>
          <w:sz w:val="26"/>
          <w:szCs w:val="26"/>
          <w:lang w:val="pt-BR"/>
        </w:rPr>
        <w:t>-2021</w:t>
      </w:r>
    </w:p>
    <w:p w14:paraId="09528653" w14:textId="327CFED2" w:rsidR="00CA76C7" w:rsidRPr="001D3DFB" w:rsidRDefault="00CA76C7" w:rsidP="001D3DFB">
      <w:pPr>
        <w:pStyle w:val="Sinespaciado"/>
        <w:spacing w:line="276" w:lineRule="auto"/>
        <w:ind w:left="993" w:firstLine="423"/>
        <w:rPr>
          <w:rFonts w:ascii="Arial Narrow" w:hAnsi="Arial Narrow"/>
          <w:sz w:val="26"/>
          <w:szCs w:val="26"/>
        </w:rPr>
      </w:pPr>
      <w:r w:rsidRPr="001D3DFB">
        <w:rPr>
          <w:rFonts w:ascii="Arial Narrow" w:hAnsi="Arial Narrow"/>
          <w:sz w:val="26"/>
          <w:szCs w:val="26"/>
          <w:lang w:val="pt-BR"/>
        </w:rPr>
        <w:t xml:space="preserve">Sentencia: TSP. </w:t>
      </w:r>
      <w:r w:rsidRPr="001D3DFB">
        <w:rPr>
          <w:rFonts w:ascii="Arial Narrow" w:hAnsi="Arial Narrow"/>
          <w:sz w:val="26"/>
          <w:szCs w:val="26"/>
        </w:rPr>
        <w:t>S</w:t>
      </w:r>
      <w:r w:rsidR="002539B1" w:rsidRPr="001D3DFB">
        <w:rPr>
          <w:rFonts w:ascii="Arial Narrow" w:hAnsi="Arial Narrow"/>
          <w:sz w:val="26"/>
          <w:szCs w:val="26"/>
        </w:rPr>
        <w:t>P</w:t>
      </w:r>
      <w:r w:rsidRPr="001D3DFB">
        <w:rPr>
          <w:rFonts w:ascii="Arial Narrow" w:hAnsi="Arial Narrow"/>
          <w:sz w:val="26"/>
          <w:szCs w:val="26"/>
        </w:rPr>
        <w:t>-0</w:t>
      </w:r>
      <w:r w:rsidR="00577CA2" w:rsidRPr="001D3DFB">
        <w:rPr>
          <w:rFonts w:ascii="Arial Narrow" w:hAnsi="Arial Narrow"/>
          <w:sz w:val="26"/>
          <w:szCs w:val="26"/>
        </w:rPr>
        <w:t>007-</w:t>
      </w:r>
      <w:r w:rsidRPr="001D3DFB">
        <w:rPr>
          <w:rFonts w:ascii="Arial Narrow" w:hAnsi="Arial Narrow"/>
          <w:sz w:val="26"/>
          <w:szCs w:val="26"/>
        </w:rPr>
        <w:t>2021</w:t>
      </w:r>
    </w:p>
    <w:p w14:paraId="2138AD59" w14:textId="77777777" w:rsidR="001D3DFB" w:rsidRDefault="00CA76C7" w:rsidP="001D3DFB">
      <w:pPr>
        <w:pStyle w:val="Sinespaciado"/>
        <w:ind w:left="993"/>
        <w:rPr>
          <w:rFonts w:ascii="Arial Narrow" w:hAnsi="Arial Narrow"/>
          <w:sz w:val="24"/>
          <w:szCs w:val="26"/>
        </w:rPr>
      </w:pPr>
      <w:r w:rsidRPr="001D3DFB">
        <w:rPr>
          <w:rFonts w:ascii="Arial Narrow" w:hAnsi="Arial Narrow"/>
          <w:sz w:val="24"/>
          <w:szCs w:val="26"/>
        </w:rPr>
        <w:tab/>
      </w:r>
    </w:p>
    <w:p w14:paraId="3DF7D586" w14:textId="664286C2" w:rsidR="00CA76C7" w:rsidRPr="001D3DFB" w:rsidRDefault="00CA76C7" w:rsidP="001D3DFB">
      <w:pPr>
        <w:pStyle w:val="Sinespaciado"/>
        <w:ind w:left="993" w:firstLine="423"/>
        <w:rPr>
          <w:rFonts w:ascii="Arial Narrow" w:hAnsi="Arial Narrow"/>
          <w:sz w:val="24"/>
          <w:szCs w:val="26"/>
        </w:rPr>
      </w:pPr>
      <w:r w:rsidRPr="001D3DFB">
        <w:rPr>
          <w:rFonts w:ascii="Arial Narrow" w:hAnsi="Arial Narrow"/>
          <w:sz w:val="24"/>
          <w:szCs w:val="26"/>
        </w:rPr>
        <w:t>R</w:t>
      </w:r>
      <w:r w:rsidR="001D3DFB">
        <w:rPr>
          <w:rFonts w:ascii="Arial Narrow" w:hAnsi="Arial Narrow"/>
          <w:sz w:val="24"/>
          <w:szCs w:val="26"/>
        </w:rPr>
        <w:t>adicado</w:t>
      </w:r>
      <w:r w:rsidRPr="001D3DFB">
        <w:rPr>
          <w:rFonts w:ascii="Arial Narrow" w:hAnsi="Arial Narrow"/>
          <w:sz w:val="24"/>
          <w:szCs w:val="26"/>
        </w:rPr>
        <w:t>:</w:t>
      </w:r>
      <w:r w:rsidR="001D3DFB">
        <w:rPr>
          <w:rFonts w:ascii="Arial Narrow" w:hAnsi="Arial Narrow"/>
          <w:sz w:val="24"/>
          <w:szCs w:val="26"/>
        </w:rPr>
        <w:tab/>
      </w:r>
      <w:r w:rsidR="00A12857" w:rsidRPr="001D3DFB">
        <w:rPr>
          <w:rFonts w:ascii="Arial Narrow" w:hAnsi="Arial Narrow"/>
          <w:sz w:val="24"/>
          <w:szCs w:val="26"/>
        </w:rPr>
        <w:t>66001310300420</w:t>
      </w:r>
      <w:r w:rsidR="002539B1" w:rsidRPr="001D3DFB">
        <w:rPr>
          <w:rFonts w:ascii="Arial Narrow" w:hAnsi="Arial Narrow"/>
          <w:sz w:val="24"/>
          <w:szCs w:val="26"/>
        </w:rPr>
        <w:t>1700274</w:t>
      </w:r>
      <w:r w:rsidR="00A12857" w:rsidRPr="001D3DFB">
        <w:rPr>
          <w:rFonts w:ascii="Arial Narrow" w:hAnsi="Arial Narrow"/>
          <w:sz w:val="24"/>
          <w:szCs w:val="26"/>
        </w:rPr>
        <w:t>01</w:t>
      </w:r>
      <w:r w:rsidR="002E4707" w:rsidRPr="001D3DFB">
        <w:footnoteReference w:id="1"/>
      </w:r>
    </w:p>
    <w:p w14:paraId="44AC547A" w14:textId="45AFF1EC" w:rsidR="003D7832" w:rsidRPr="001D3DFB" w:rsidRDefault="003D7832" w:rsidP="001D3DFB">
      <w:pPr>
        <w:pStyle w:val="Sinespaciado"/>
        <w:ind w:left="993" w:firstLine="423"/>
        <w:rPr>
          <w:rFonts w:ascii="Arial Narrow" w:hAnsi="Arial Narrow"/>
          <w:sz w:val="24"/>
          <w:szCs w:val="26"/>
        </w:rPr>
      </w:pPr>
      <w:r w:rsidRPr="001D3DFB">
        <w:rPr>
          <w:rFonts w:ascii="Arial Narrow" w:hAnsi="Arial Narrow"/>
          <w:sz w:val="24"/>
          <w:szCs w:val="26"/>
        </w:rPr>
        <w:lastRenderedPageBreak/>
        <w:t>Actor:</w:t>
      </w:r>
      <w:r w:rsidR="001D3DFB">
        <w:rPr>
          <w:rFonts w:ascii="Arial Narrow" w:hAnsi="Arial Narrow"/>
          <w:sz w:val="24"/>
          <w:szCs w:val="26"/>
        </w:rPr>
        <w:tab/>
      </w:r>
      <w:r w:rsidRPr="001D3DFB">
        <w:rPr>
          <w:rFonts w:ascii="Arial Narrow" w:hAnsi="Arial Narrow"/>
          <w:sz w:val="24"/>
          <w:szCs w:val="26"/>
        </w:rPr>
        <w:tab/>
        <w:t xml:space="preserve">Nilton </w:t>
      </w:r>
      <w:proofErr w:type="spellStart"/>
      <w:r w:rsidR="00EA32D7" w:rsidRPr="001D3DFB">
        <w:rPr>
          <w:rFonts w:ascii="Arial Narrow" w:hAnsi="Arial Narrow"/>
          <w:sz w:val="24"/>
          <w:szCs w:val="26"/>
        </w:rPr>
        <w:t>Donavis</w:t>
      </w:r>
      <w:proofErr w:type="spellEnd"/>
      <w:r w:rsidR="00EA32D7" w:rsidRPr="001D3DFB">
        <w:rPr>
          <w:rFonts w:ascii="Arial Narrow" w:hAnsi="Arial Narrow"/>
          <w:sz w:val="24"/>
          <w:szCs w:val="26"/>
        </w:rPr>
        <w:t xml:space="preserve"> </w:t>
      </w:r>
      <w:r w:rsidRPr="001D3DFB">
        <w:rPr>
          <w:rFonts w:ascii="Arial Narrow" w:hAnsi="Arial Narrow"/>
          <w:sz w:val="24"/>
          <w:szCs w:val="26"/>
        </w:rPr>
        <w:t>Ruge Nieto</w:t>
      </w:r>
    </w:p>
    <w:p w14:paraId="2231AEC7" w14:textId="10E495EE" w:rsidR="003D7832" w:rsidRPr="001D3DFB" w:rsidRDefault="003D7832" w:rsidP="001D3DFB">
      <w:pPr>
        <w:pStyle w:val="Sinespaciado"/>
        <w:ind w:left="993" w:firstLine="423"/>
        <w:rPr>
          <w:rFonts w:ascii="Arial Narrow" w:hAnsi="Arial Narrow"/>
          <w:sz w:val="24"/>
          <w:szCs w:val="26"/>
        </w:rPr>
      </w:pPr>
      <w:r w:rsidRPr="001D3DFB">
        <w:rPr>
          <w:rFonts w:ascii="Arial Narrow" w:hAnsi="Arial Narrow"/>
          <w:sz w:val="24"/>
          <w:szCs w:val="26"/>
        </w:rPr>
        <w:t>Accionado:</w:t>
      </w:r>
      <w:r w:rsidR="001D3DFB">
        <w:rPr>
          <w:rFonts w:ascii="Arial Narrow" w:hAnsi="Arial Narrow"/>
          <w:sz w:val="24"/>
          <w:szCs w:val="26"/>
        </w:rPr>
        <w:tab/>
      </w:r>
      <w:r w:rsidRPr="001D3DFB">
        <w:rPr>
          <w:rFonts w:ascii="Arial Narrow" w:hAnsi="Arial Narrow"/>
          <w:sz w:val="24"/>
          <w:szCs w:val="26"/>
        </w:rPr>
        <w:t>Audifarma</w:t>
      </w:r>
      <w:r w:rsidR="00B72AEA" w:rsidRPr="001D3DFB">
        <w:rPr>
          <w:rFonts w:ascii="Arial Narrow" w:hAnsi="Arial Narrow"/>
          <w:sz w:val="24"/>
          <w:szCs w:val="26"/>
        </w:rPr>
        <w:t xml:space="preserve"> S.A.</w:t>
      </w:r>
    </w:p>
    <w:p w14:paraId="670AD5B1" w14:textId="77777777" w:rsidR="003D7832" w:rsidRPr="001D3DFB" w:rsidRDefault="003D7832" w:rsidP="001D3DFB">
      <w:pPr>
        <w:pStyle w:val="Sinespaciado"/>
        <w:ind w:left="2838"/>
        <w:rPr>
          <w:rFonts w:ascii="Arial Narrow" w:hAnsi="Arial Narrow"/>
          <w:sz w:val="24"/>
          <w:szCs w:val="26"/>
        </w:rPr>
      </w:pPr>
      <w:r w:rsidRPr="001D3DFB">
        <w:rPr>
          <w:rFonts w:ascii="Arial Narrow" w:hAnsi="Arial Narrow"/>
          <w:sz w:val="24"/>
          <w:szCs w:val="26"/>
        </w:rPr>
        <w:t>Instituto Colombiano de Normas Técnicas y Certificación - ICONTEC</w:t>
      </w:r>
    </w:p>
    <w:p w14:paraId="6D2CDE5F" w14:textId="58A8FEC4" w:rsidR="009E7B45" w:rsidRPr="001D3DFB" w:rsidRDefault="003D7832" w:rsidP="001D3DFB">
      <w:pPr>
        <w:pStyle w:val="Sinespaciado"/>
        <w:ind w:left="993" w:firstLine="423"/>
        <w:rPr>
          <w:rFonts w:ascii="Arial Narrow" w:hAnsi="Arial Narrow"/>
          <w:sz w:val="24"/>
          <w:szCs w:val="26"/>
        </w:rPr>
      </w:pPr>
      <w:r w:rsidRPr="001D3DFB">
        <w:rPr>
          <w:rFonts w:ascii="Arial Narrow" w:hAnsi="Arial Narrow"/>
          <w:sz w:val="24"/>
          <w:szCs w:val="26"/>
        </w:rPr>
        <w:t>Coadyuvante:</w:t>
      </w:r>
      <w:r w:rsidR="001D3DFB">
        <w:rPr>
          <w:rFonts w:ascii="Arial Narrow" w:hAnsi="Arial Narrow"/>
          <w:sz w:val="24"/>
          <w:szCs w:val="26"/>
        </w:rPr>
        <w:tab/>
      </w:r>
      <w:r w:rsidRPr="001D3DFB">
        <w:rPr>
          <w:rFonts w:ascii="Arial Narrow" w:hAnsi="Arial Narrow"/>
          <w:sz w:val="24"/>
          <w:szCs w:val="26"/>
        </w:rPr>
        <w:t>Javier Elías Arias Idárraga</w:t>
      </w:r>
    </w:p>
    <w:p w14:paraId="25B4D97E" w14:textId="2DBC8297" w:rsidR="003D7832" w:rsidRPr="001D3DFB" w:rsidRDefault="003D7832" w:rsidP="001D3DFB">
      <w:pPr>
        <w:pStyle w:val="Sinespaciado"/>
        <w:ind w:left="2409" w:firstLine="423"/>
        <w:rPr>
          <w:rFonts w:ascii="Arial Narrow" w:hAnsi="Arial Narrow"/>
          <w:sz w:val="24"/>
          <w:szCs w:val="26"/>
        </w:rPr>
      </w:pPr>
      <w:r w:rsidRPr="001D3DFB">
        <w:rPr>
          <w:rFonts w:ascii="Arial Narrow" w:hAnsi="Arial Narrow"/>
          <w:sz w:val="24"/>
          <w:szCs w:val="26"/>
        </w:rPr>
        <w:t>Augusto Becerra</w:t>
      </w:r>
    </w:p>
    <w:p w14:paraId="260889B9" w14:textId="4ECF3F33" w:rsidR="003D7832" w:rsidRPr="00DE6F0A" w:rsidRDefault="003D7832" w:rsidP="00DE6F0A">
      <w:pPr>
        <w:pStyle w:val="Sinespaciado"/>
        <w:spacing w:line="276" w:lineRule="auto"/>
        <w:ind w:left="993"/>
        <w:rPr>
          <w:rFonts w:ascii="Arial Narrow" w:hAnsi="Arial Narrow"/>
          <w:sz w:val="26"/>
          <w:szCs w:val="26"/>
        </w:rPr>
      </w:pPr>
      <w:r w:rsidRPr="00DE6F0A">
        <w:rPr>
          <w:rFonts w:ascii="Arial Narrow" w:hAnsi="Arial Narrow"/>
          <w:sz w:val="26"/>
          <w:szCs w:val="26"/>
        </w:rPr>
        <w:tab/>
      </w:r>
    </w:p>
    <w:p w14:paraId="7FB86A21" w14:textId="77777777" w:rsidR="003F0DA9" w:rsidRPr="00DE6F0A" w:rsidRDefault="003F0DA9" w:rsidP="00DE6F0A">
      <w:pPr>
        <w:pStyle w:val="Sinespaciado"/>
        <w:spacing w:line="276" w:lineRule="auto"/>
        <w:ind w:left="993"/>
        <w:rPr>
          <w:rFonts w:ascii="Arial Narrow" w:hAnsi="Arial Narrow"/>
          <w:sz w:val="26"/>
          <w:szCs w:val="26"/>
          <w:lang w:val="pt-BR"/>
        </w:rPr>
      </w:pPr>
    </w:p>
    <w:p w14:paraId="00C5F10D" w14:textId="77777777" w:rsidR="00D43DFE" w:rsidRPr="00DE6F0A" w:rsidRDefault="00D43DFE" w:rsidP="00DE6F0A">
      <w:pPr>
        <w:pStyle w:val="Sinespaciado"/>
        <w:spacing w:line="276" w:lineRule="auto"/>
        <w:jc w:val="center"/>
        <w:rPr>
          <w:rFonts w:ascii="Arial Narrow" w:hAnsi="Arial Narrow"/>
          <w:sz w:val="26"/>
          <w:szCs w:val="26"/>
        </w:rPr>
      </w:pPr>
      <w:r w:rsidRPr="00DE6F0A">
        <w:rPr>
          <w:rFonts w:ascii="Arial Narrow" w:hAnsi="Arial Narrow"/>
          <w:b/>
          <w:bCs/>
          <w:sz w:val="26"/>
          <w:szCs w:val="26"/>
        </w:rPr>
        <w:t>ASUNTO</w:t>
      </w:r>
    </w:p>
    <w:p w14:paraId="44BD26D6" w14:textId="77777777" w:rsidR="00D43DFE" w:rsidRPr="00DE6F0A" w:rsidRDefault="00D43DFE" w:rsidP="00DE6F0A">
      <w:pPr>
        <w:pStyle w:val="Sinespaciado"/>
        <w:spacing w:line="276" w:lineRule="auto"/>
        <w:jc w:val="both"/>
        <w:rPr>
          <w:rFonts w:ascii="Arial Narrow" w:hAnsi="Arial Narrow"/>
          <w:sz w:val="26"/>
          <w:szCs w:val="26"/>
          <w:lang w:val="es-ES_tradnl"/>
        </w:rPr>
      </w:pPr>
    </w:p>
    <w:p w14:paraId="2787B28A" w14:textId="77777777" w:rsidR="00D43DFE" w:rsidRPr="00DE6F0A" w:rsidRDefault="00D43DFE" w:rsidP="00DE6F0A">
      <w:pPr>
        <w:pStyle w:val="Sinespaciado"/>
        <w:spacing w:line="276" w:lineRule="auto"/>
        <w:jc w:val="both"/>
        <w:rPr>
          <w:rFonts w:ascii="Arial Narrow" w:hAnsi="Arial Narrow"/>
          <w:b/>
          <w:bCs/>
          <w:sz w:val="26"/>
          <w:szCs w:val="26"/>
        </w:rPr>
      </w:pPr>
      <w:r w:rsidRPr="00DE6F0A">
        <w:rPr>
          <w:rFonts w:ascii="Arial Narrow" w:hAnsi="Arial Narrow"/>
          <w:sz w:val="26"/>
          <w:szCs w:val="26"/>
        </w:rPr>
        <w:t xml:space="preserve">Procede la Sala a resolver el recurso de apelación propuesto por la accionada AUDIFARMA S.A., en contra de la sentencia proferida el 12 de abril de 2019 por el </w:t>
      </w:r>
      <w:r w:rsidRPr="00DE6F0A">
        <w:rPr>
          <w:rFonts w:ascii="Arial Narrow" w:hAnsi="Arial Narrow"/>
          <w:b/>
          <w:bCs/>
          <w:sz w:val="26"/>
          <w:szCs w:val="26"/>
          <w:lang w:val="es-CO"/>
        </w:rPr>
        <w:t>Juzgado Cuarto Civil del Circuito de Pereira</w:t>
      </w:r>
      <w:r w:rsidRPr="00DE6F0A">
        <w:rPr>
          <w:rFonts w:ascii="Arial Narrow" w:hAnsi="Arial Narrow"/>
          <w:sz w:val="26"/>
          <w:szCs w:val="26"/>
          <w:lang w:val="es-CO"/>
        </w:rPr>
        <w:t>, d</w:t>
      </w:r>
      <w:r w:rsidRPr="00DE6F0A">
        <w:rPr>
          <w:rFonts w:ascii="Arial Narrow" w:hAnsi="Arial Narrow"/>
          <w:sz w:val="26"/>
          <w:szCs w:val="26"/>
        </w:rPr>
        <w:t xml:space="preserve">entro de la acción popular de la referencia. </w:t>
      </w:r>
    </w:p>
    <w:p w14:paraId="1BD9326D" w14:textId="77777777" w:rsidR="00D43DFE" w:rsidRPr="00DE6F0A" w:rsidRDefault="00D43DFE" w:rsidP="00DE6F0A">
      <w:pPr>
        <w:pStyle w:val="Sinespaciado"/>
        <w:spacing w:line="276" w:lineRule="auto"/>
        <w:jc w:val="center"/>
        <w:rPr>
          <w:rFonts w:ascii="Arial Narrow" w:hAnsi="Arial Narrow"/>
          <w:b/>
          <w:bCs/>
          <w:sz w:val="26"/>
          <w:szCs w:val="26"/>
        </w:rPr>
      </w:pPr>
    </w:p>
    <w:p w14:paraId="76702E5A" w14:textId="77777777" w:rsidR="00D43DFE" w:rsidRPr="00DE6F0A" w:rsidRDefault="00D43DFE" w:rsidP="00DE6F0A">
      <w:pPr>
        <w:pStyle w:val="Sinespaciado"/>
        <w:spacing w:line="276" w:lineRule="auto"/>
        <w:jc w:val="center"/>
        <w:rPr>
          <w:rFonts w:ascii="Arial Narrow" w:hAnsi="Arial Narrow"/>
          <w:sz w:val="26"/>
          <w:szCs w:val="26"/>
        </w:rPr>
      </w:pPr>
      <w:r w:rsidRPr="00DE6F0A">
        <w:rPr>
          <w:rFonts w:ascii="Arial Narrow" w:hAnsi="Arial Narrow"/>
          <w:b/>
          <w:bCs/>
          <w:sz w:val="26"/>
          <w:szCs w:val="26"/>
        </w:rPr>
        <w:t>ANTECEDENTES</w:t>
      </w:r>
    </w:p>
    <w:p w14:paraId="48AF19B9" w14:textId="77777777" w:rsidR="00D43DFE" w:rsidRPr="00DE6F0A" w:rsidRDefault="00D43DFE" w:rsidP="00DE6F0A">
      <w:pPr>
        <w:pStyle w:val="Sinespaciado"/>
        <w:spacing w:line="276" w:lineRule="auto"/>
        <w:jc w:val="both"/>
        <w:rPr>
          <w:rFonts w:ascii="Arial Narrow" w:hAnsi="Arial Narrow"/>
          <w:sz w:val="26"/>
          <w:szCs w:val="26"/>
        </w:rPr>
      </w:pPr>
    </w:p>
    <w:p w14:paraId="007A9EC2" w14:textId="77777777" w:rsidR="00D43DFE" w:rsidRPr="00DE6F0A" w:rsidRDefault="00D43DFE" w:rsidP="00DE6F0A">
      <w:pPr>
        <w:pStyle w:val="Sinespaciado"/>
        <w:spacing w:line="276" w:lineRule="auto"/>
        <w:jc w:val="both"/>
        <w:rPr>
          <w:rFonts w:ascii="Arial Narrow" w:hAnsi="Arial Narrow"/>
          <w:b/>
          <w:sz w:val="26"/>
          <w:szCs w:val="26"/>
        </w:rPr>
      </w:pPr>
      <w:r w:rsidRPr="00DE6F0A">
        <w:rPr>
          <w:rFonts w:ascii="Arial Narrow" w:hAnsi="Arial Narrow"/>
          <w:b/>
          <w:sz w:val="26"/>
          <w:szCs w:val="26"/>
        </w:rPr>
        <w:t>1. De la demanda:</w:t>
      </w:r>
    </w:p>
    <w:p w14:paraId="7B293610" w14:textId="77777777" w:rsidR="00D43DFE" w:rsidRPr="00DE6F0A" w:rsidRDefault="00D43DFE" w:rsidP="00DE6F0A">
      <w:pPr>
        <w:pStyle w:val="Sinespaciado"/>
        <w:spacing w:line="276" w:lineRule="auto"/>
        <w:jc w:val="both"/>
        <w:rPr>
          <w:rFonts w:ascii="Arial Narrow" w:hAnsi="Arial Narrow"/>
          <w:b/>
          <w:sz w:val="26"/>
          <w:szCs w:val="26"/>
        </w:rPr>
      </w:pPr>
    </w:p>
    <w:p w14:paraId="770C0FDA" w14:textId="77777777" w:rsidR="00D43DFE" w:rsidRPr="00DE6F0A" w:rsidRDefault="00D43DFE"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Señala el gestor que la entidad demandada presta los servicios públicos en el inmueble ubicado en la calle 50 No. 20-91, barrio El Carmen de Barranquilla, Atlántico, sin que cuente con un profesional intérprete, guía intérprete de planta y permanente, señales luminosas, sonoras y avisos visuales, necesarios para la atención de personas sordas, sordociegas o hipoacúsicas, como lo ordena el artículo 8 de la Ley 982 de 2005.</w:t>
      </w:r>
    </w:p>
    <w:p w14:paraId="24C9164F" w14:textId="77777777" w:rsidR="00D43DFE" w:rsidRPr="00DE6F0A" w:rsidRDefault="00D43DFE" w:rsidP="00DE6F0A">
      <w:pPr>
        <w:pStyle w:val="Sinespaciado"/>
        <w:spacing w:line="276" w:lineRule="auto"/>
        <w:jc w:val="both"/>
        <w:rPr>
          <w:rFonts w:ascii="Arial Narrow" w:hAnsi="Arial Narrow"/>
          <w:bCs/>
          <w:sz w:val="26"/>
          <w:szCs w:val="26"/>
        </w:rPr>
      </w:pPr>
    </w:p>
    <w:p w14:paraId="51698EC5" w14:textId="77777777" w:rsidR="00D43DFE" w:rsidRPr="00DE6F0A" w:rsidRDefault="00D43DFE"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Ante tal omisión, considera lesionados los derechos colectivos consagrados en los literales m), d), i) del artículo 4 de la Ley 472 de 1998, en concordancia con la Ley 982 citada y los artículos 8 y 13 de la Constitución Nacional.</w:t>
      </w:r>
    </w:p>
    <w:p w14:paraId="5996ECA3" w14:textId="77777777" w:rsidR="00D43DFE" w:rsidRPr="00DE6F0A" w:rsidRDefault="00D43DFE" w:rsidP="00DE6F0A">
      <w:pPr>
        <w:pStyle w:val="Sinespaciado"/>
        <w:spacing w:line="276" w:lineRule="auto"/>
        <w:jc w:val="both"/>
        <w:rPr>
          <w:rFonts w:ascii="Arial Narrow" w:hAnsi="Arial Narrow"/>
          <w:bCs/>
          <w:sz w:val="26"/>
          <w:szCs w:val="26"/>
        </w:rPr>
      </w:pPr>
    </w:p>
    <w:p w14:paraId="0E011796" w14:textId="77777777" w:rsidR="00D43DFE" w:rsidRPr="00DE6F0A" w:rsidRDefault="00D43DFE"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Solicita, en consecuencia, ordenar al accionado que contrate de planta un profesional intérprete y guía intérprete para personas ciegas y sordo-ciegas, o con una entidad idónea certificada por el Ministerio de Educación Nacional, y al ICONTEC que determine las señales sonoras y visuales que se deben colocar. Además, que se imponga condena en costas.</w:t>
      </w:r>
    </w:p>
    <w:p w14:paraId="5AF29E52" w14:textId="77777777" w:rsidR="00D43DFE" w:rsidRPr="00DE6F0A" w:rsidRDefault="00D43DFE" w:rsidP="00DE6F0A">
      <w:pPr>
        <w:pStyle w:val="Sinespaciado"/>
        <w:spacing w:line="276" w:lineRule="auto"/>
        <w:jc w:val="both"/>
        <w:rPr>
          <w:rFonts w:ascii="Arial Narrow" w:hAnsi="Arial Narrow"/>
          <w:sz w:val="26"/>
          <w:szCs w:val="26"/>
        </w:rPr>
      </w:pPr>
    </w:p>
    <w:p w14:paraId="28B09EE9" w14:textId="77777777" w:rsidR="00D43DFE" w:rsidRPr="00DE6F0A" w:rsidRDefault="00D43DFE" w:rsidP="00DE6F0A">
      <w:pPr>
        <w:pStyle w:val="Sinespaciado"/>
        <w:spacing w:line="276" w:lineRule="auto"/>
        <w:jc w:val="both"/>
        <w:rPr>
          <w:rFonts w:ascii="Arial Narrow" w:hAnsi="Arial Narrow"/>
          <w:b/>
          <w:bCs/>
          <w:sz w:val="26"/>
          <w:szCs w:val="26"/>
        </w:rPr>
      </w:pPr>
      <w:r w:rsidRPr="00DE6F0A">
        <w:rPr>
          <w:rFonts w:ascii="Arial Narrow" w:hAnsi="Arial Narrow"/>
          <w:b/>
          <w:bCs/>
          <w:sz w:val="26"/>
          <w:szCs w:val="26"/>
        </w:rPr>
        <w:t xml:space="preserve">2. Trámite: </w:t>
      </w:r>
    </w:p>
    <w:p w14:paraId="1ACD126F" w14:textId="77777777" w:rsidR="00D43DFE" w:rsidRPr="00DE6F0A" w:rsidRDefault="00D43DFE" w:rsidP="00DE6F0A">
      <w:pPr>
        <w:pStyle w:val="Sinespaciado"/>
        <w:spacing w:line="276" w:lineRule="auto"/>
        <w:jc w:val="both"/>
        <w:rPr>
          <w:rFonts w:ascii="Arial Narrow" w:hAnsi="Arial Narrow"/>
          <w:b/>
          <w:bCs/>
          <w:sz w:val="26"/>
          <w:szCs w:val="26"/>
        </w:rPr>
      </w:pPr>
    </w:p>
    <w:p w14:paraId="4848F23B"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La demanda fue admitida en auto de fecha 29 de agosto de 2017</w:t>
      </w:r>
      <w:r w:rsidRPr="00DE6F0A">
        <w:rPr>
          <w:rStyle w:val="Refdenotaalpie"/>
          <w:rFonts w:ascii="Arial Narrow" w:hAnsi="Arial Narrow"/>
          <w:sz w:val="26"/>
          <w:szCs w:val="26"/>
        </w:rPr>
        <w:footnoteReference w:id="2"/>
      </w:r>
      <w:r w:rsidRPr="00DE6F0A">
        <w:rPr>
          <w:rFonts w:ascii="Arial Narrow" w:hAnsi="Arial Narrow"/>
          <w:sz w:val="26"/>
          <w:szCs w:val="26"/>
        </w:rPr>
        <w:t>, en contra de la sociedad AUDIFARMA S.A. y el ICONTEC. Allí mismo se ordenó comunicar a la comunidad</w:t>
      </w:r>
      <w:r w:rsidRPr="00DE6F0A">
        <w:rPr>
          <w:rStyle w:val="Refdenotaalpie"/>
          <w:rFonts w:ascii="Arial Narrow" w:hAnsi="Arial Narrow"/>
          <w:sz w:val="26"/>
          <w:szCs w:val="26"/>
        </w:rPr>
        <w:footnoteReference w:id="3"/>
      </w:r>
      <w:r w:rsidRPr="00DE6F0A">
        <w:rPr>
          <w:rFonts w:ascii="Arial Narrow" w:hAnsi="Arial Narrow"/>
          <w:sz w:val="26"/>
          <w:szCs w:val="26"/>
        </w:rPr>
        <w:t>, al Ministerio Público y al Defensor del Pueblo, y se accedió al amparo de pobreza.</w:t>
      </w:r>
    </w:p>
    <w:p w14:paraId="3181AD55" w14:textId="77777777" w:rsidR="00D43DFE" w:rsidRPr="00DE6F0A" w:rsidRDefault="00D43DFE" w:rsidP="00DE6F0A">
      <w:pPr>
        <w:pStyle w:val="Sinespaciado"/>
        <w:spacing w:line="276" w:lineRule="auto"/>
        <w:jc w:val="both"/>
        <w:rPr>
          <w:rFonts w:ascii="Arial Narrow" w:hAnsi="Arial Narrow"/>
          <w:sz w:val="26"/>
          <w:szCs w:val="26"/>
        </w:rPr>
      </w:pPr>
    </w:p>
    <w:p w14:paraId="56E35EEF"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La Procuraduría, a través del Procurador 4 Judicial II para asuntos civiles con funciones de Ministerio Público (Art. 41 Decreto 262 de 2000), se pronunció planteando lo que, a su juicio, correspondía al problema jurídico. Además, solicitó prelación en el trámite y señaló las normas </w:t>
      </w:r>
      <w:r w:rsidRPr="00DE6F0A">
        <w:rPr>
          <w:rFonts w:ascii="Arial Narrow" w:hAnsi="Arial Narrow"/>
          <w:sz w:val="26"/>
          <w:szCs w:val="26"/>
        </w:rPr>
        <w:lastRenderedPageBreak/>
        <w:t>aplicables</w:t>
      </w:r>
      <w:r w:rsidRPr="00DE6F0A">
        <w:rPr>
          <w:rStyle w:val="Refdenotaalpie"/>
          <w:rFonts w:ascii="Arial Narrow" w:hAnsi="Arial Narrow"/>
          <w:sz w:val="26"/>
          <w:szCs w:val="26"/>
        </w:rPr>
        <w:footnoteReference w:id="4"/>
      </w:r>
      <w:r w:rsidRPr="00DE6F0A">
        <w:rPr>
          <w:rFonts w:ascii="Arial Narrow" w:hAnsi="Arial Narrow"/>
          <w:sz w:val="26"/>
          <w:szCs w:val="26"/>
        </w:rPr>
        <w:t xml:space="preserve">. </w:t>
      </w:r>
    </w:p>
    <w:p w14:paraId="6BBDD47B" w14:textId="77777777" w:rsidR="00D43DFE" w:rsidRPr="00DE6F0A" w:rsidRDefault="00D43DFE" w:rsidP="00DE6F0A">
      <w:pPr>
        <w:pStyle w:val="Sinespaciado"/>
        <w:spacing w:line="276" w:lineRule="auto"/>
        <w:jc w:val="both"/>
        <w:rPr>
          <w:rFonts w:ascii="Arial Narrow" w:hAnsi="Arial Narrow"/>
          <w:sz w:val="26"/>
          <w:szCs w:val="26"/>
        </w:rPr>
      </w:pPr>
    </w:p>
    <w:p w14:paraId="6C8D74D5"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auto del 7 de noviembre de 2017 se aceptó como coadyuvante al señor Javier Elías Arias Idárraga.</w:t>
      </w:r>
      <w:r w:rsidRPr="00DE6F0A">
        <w:rPr>
          <w:rStyle w:val="Refdenotaalpie"/>
          <w:rFonts w:ascii="Arial Narrow" w:hAnsi="Arial Narrow"/>
          <w:sz w:val="26"/>
          <w:szCs w:val="26"/>
        </w:rPr>
        <w:footnoteReference w:id="5"/>
      </w:r>
      <w:r w:rsidRPr="00DE6F0A">
        <w:rPr>
          <w:rFonts w:ascii="Arial Narrow" w:hAnsi="Arial Narrow"/>
          <w:sz w:val="26"/>
          <w:szCs w:val="26"/>
        </w:rPr>
        <w:t xml:space="preserve"> Similar decisión se adoptó el 27 de febrero de 2018 en la acción acumulada 2017-00213</w:t>
      </w:r>
      <w:r w:rsidRPr="00DE6F0A">
        <w:rPr>
          <w:rStyle w:val="Refdenotaalpie"/>
          <w:rFonts w:ascii="Arial Narrow" w:hAnsi="Arial Narrow"/>
          <w:sz w:val="26"/>
          <w:szCs w:val="26"/>
        </w:rPr>
        <w:footnoteReference w:id="6"/>
      </w:r>
      <w:r w:rsidRPr="00DE6F0A">
        <w:rPr>
          <w:rFonts w:ascii="Arial Narrow" w:hAnsi="Arial Narrow"/>
          <w:sz w:val="26"/>
          <w:szCs w:val="26"/>
        </w:rPr>
        <w:t xml:space="preserve"> frente al mismo ciudadano, y el 10 de octubre siguiente frente al señor Augusto Becerra.</w:t>
      </w:r>
    </w:p>
    <w:p w14:paraId="09C7FCDA" w14:textId="77777777" w:rsidR="00D43DFE" w:rsidRPr="00DE6F0A" w:rsidRDefault="00D43DFE" w:rsidP="00DE6F0A">
      <w:pPr>
        <w:pStyle w:val="Sinespaciado"/>
        <w:spacing w:line="276" w:lineRule="auto"/>
        <w:jc w:val="both"/>
        <w:rPr>
          <w:rFonts w:ascii="Arial Narrow" w:hAnsi="Arial Narrow"/>
          <w:sz w:val="26"/>
          <w:szCs w:val="26"/>
        </w:rPr>
      </w:pPr>
    </w:p>
    <w:p w14:paraId="583BF935" w14:textId="77777777" w:rsidR="00D43DFE" w:rsidRPr="00DE6F0A" w:rsidRDefault="00D43DFE" w:rsidP="00DE6F0A">
      <w:pPr>
        <w:pStyle w:val="Sinespaciado"/>
        <w:spacing w:line="276" w:lineRule="auto"/>
        <w:jc w:val="both"/>
        <w:rPr>
          <w:rFonts w:ascii="Arial Narrow" w:hAnsi="Arial Narrow"/>
          <w:b/>
          <w:bCs/>
          <w:sz w:val="26"/>
          <w:szCs w:val="26"/>
        </w:rPr>
      </w:pPr>
      <w:r w:rsidRPr="00DE6F0A">
        <w:rPr>
          <w:rFonts w:ascii="Arial Narrow" w:hAnsi="Arial Narrow"/>
          <w:b/>
          <w:bCs/>
          <w:sz w:val="26"/>
          <w:szCs w:val="26"/>
        </w:rPr>
        <w:t>3. Postura de las demandadas:</w:t>
      </w:r>
    </w:p>
    <w:p w14:paraId="0FD44112" w14:textId="77777777" w:rsidR="00D43DFE" w:rsidRPr="00DE6F0A" w:rsidRDefault="00D43DFE" w:rsidP="00DE6F0A">
      <w:pPr>
        <w:pStyle w:val="Sinespaciado"/>
        <w:spacing w:line="276" w:lineRule="auto"/>
        <w:jc w:val="both"/>
        <w:rPr>
          <w:rFonts w:ascii="Arial Narrow" w:hAnsi="Arial Narrow"/>
          <w:sz w:val="26"/>
          <w:szCs w:val="26"/>
        </w:rPr>
      </w:pPr>
    </w:p>
    <w:p w14:paraId="5CD108B5"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Audifarma S.A.</w:t>
      </w:r>
      <w:r w:rsidRPr="00DE6F0A">
        <w:rPr>
          <w:rStyle w:val="Refdenotaalpie"/>
          <w:rFonts w:ascii="Arial Narrow" w:hAnsi="Arial Narrow"/>
          <w:sz w:val="26"/>
          <w:szCs w:val="26"/>
        </w:rPr>
        <w:footnoteReference w:id="7"/>
      </w:r>
      <w:r w:rsidRPr="00DE6F0A">
        <w:rPr>
          <w:rFonts w:ascii="Arial Narrow" w:hAnsi="Arial Narrow"/>
          <w:sz w:val="26"/>
          <w:szCs w:val="26"/>
        </w:rPr>
        <w:t xml:space="preserve"> negó que prestara un servicio público, solo dispensa medicamentos en el marco de una relación netamente contractual y particular con sus clientes (IPS y EPS), con destino a un grupo determinado de personas, y no al público en general. Tampoco es una entidad abierta al público, ni en sus edificaciones presta servicios a la comunidad en general, luego no le asiste la responsabilidad de contratar a un intérprete para atender a las personas en condición de discapacidad auditiva.</w:t>
      </w:r>
    </w:p>
    <w:p w14:paraId="5A47F84B" w14:textId="77777777" w:rsidR="00D43DFE" w:rsidRPr="00DE6F0A" w:rsidRDefault="00D43DFE" w:rsidP="00DE6F0A">
      <w:pPr>
        <w:pStyle w:val="Sinespaciado"/>
        <w:spacing w:line="276" w:lineRule="auto"/>
        <w:jc w:val="both"/>
        <w:rPr>
          <w:rFonts w:ascii="Arial Narrow" w:hAnsi="Arial Narrow"/>
          <w:sz w:val="26"/>
          <w:szCs w:val="26"/>
        </w:rPr>
      </w:pPr>
    </w:p>
    <w:p w14:paraId="160D4EB5"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A continuación, destacó que el actor no aportó medios probatorios idóneos para demostrar la vulneración de los derechos colectivos que alega, siendo su carga; que la implementación de la norma que se invoca es progresiva, no de aplicación inmediata; y que dentro de las herramientas que ofrece para generar inclusión social a las personas con discapacidad se encuentra el Centro de Relevo, que puede consultarse en su página web.</w:t>
      </w:r>
    </w:p>
    <w:p w14:paraId="17913A17" w14:textId="77777777" w:rsidR="00D43DFE" w:rsidRPr="00DE6F0A" w:rsidRDefault="00D43DFE" w:rsidP="00DE6F0A">
      <w:pPr>
        <w:pStyle w:val="Sinespaciado"/>
        <w:spacing w:line="276" w:lineRule="auto"/>
        <w:jc w:val="both"/>
        <w:rPr>
          <w:rFonts w:ascii="Arial Narrow" w:hAnsi="Arial Narrow"/>
          <w:sz w:val="26"/>
          <w:szCs w:val="26"/>
        </w:rPr>
      </w:pPr>
    </w:p>
    <w:p w14:paraId="396E5102"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Propuso la excepción de cosa juzgada, y solicitó negar las pretensiones, además de acumular las distintas acciones en curso en su contra.</w:t>
      </w:r>
    </w:p>
    <w:p w14:paraId="58268C99" w14:textId="77777777" w:rsidR="00D43DFE" w:rsidRPr="00DE6F0A" w:rsidRDefault="00D43DFE" w:rsidP="00DE6F0A">
      <w:pPr>
        <w:pStyle w:val="Sinespaciado"/>
        <w:spacing w:line="276" w:lineRule="auto"/>
        <w:jc w:val="both"/>
        <w:rPr>
          <w:rFonts w:ascii="Arial Narrow" w:hAnsi="Arial Narrow"/>
          <w:sz w:val="26"/>
          <w:szCs w:val="26"/>
        </w:rPr>
      </w:pPr>
    </w:p>
    <w:p w14:paraId="59EC9F60"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similares términos se pronunció, luego de la acumulación de las acciones populares</w:t>
      </w:r>
      <w:r w:rsidRPr="00DE6F0A">
        <w:rPr>
          <w:rStyle w:val="Refdenotaalpie"/>
          <w:rFonts w:ascii="Arial Narrow" w:hAnsi="Arial Narrow"/>
          <w:sz w:val="26"/>
          <w:szCs w:val="26"/>
        </w:rPr>
        <w:footnoteReference w:id="8"/>
      </w:r>
      <w:r w:rsidRPr="00DE6F0A">
        <w:rPr>
          <w:rFonts w:ascii="Arial Narrow" w:hAnsi="Arial Narrow"/>
          <w:sz w:val="26"/>
          <w:szCs w:val="26"/>
        </w:rPr>
        <w:t>.</w:t>
      </w:r>
    </w:p>
    <w:p w14:paraId="65AAFEE3" w14:textId="77777777" w:rsidR="00D43DFE" w:rsidRPr="00DE6F0A" w:rsidRDefault="00D43DFE" w:rsidP="00DE6F0A">
      <w:pPr>
        <w:pStyle w:val="Sinespaciado"/>
        <w:spacing w:line="276" w:lineRule="auto"/>
        <w:jc w:val="both"/>
        <w:rPr>
          <w:rFonts w:ascii="Arial Narrow" w:hAnsi="Arial Narrow"/>
          <w:sz w:val="26"/>
          <w:szCs w:val="26"/>
        </w:rPr>
      </w:pPr>
    </w:p>
    <w:p w14:paraId="6C014293"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El</w:t>
      </w:r>
      <w:r w:rsidRPr="00DE6F0A">
        <w:rPr>
          <w:rFonts w:ascii="Arial Narrow" w:hAnsi="Arial Narrow"/>
          <w:b/>
          <w:bCs/>
          <w:sz w:val="26"/>
          <w:szCs w:val="26"/>
        </w:rPr>
        <w:t xml:space="preserve"> Instituto Colombiano de Normas Técnicas y Certificación – ICONTEC</w:t>
      </w:r>
      <w:r w:rsidRPr="00DE6F0A">
        <w:rPr>
          <w:rStyle w:val="Refdenotaalpie"/>
          <w:rFonts w:ascii="Arial Narrow" w:hAnsi="Arial Narrow"/>
          <w:sz w:val="26"/>
          <w:szCs w:val="26"/>
        </w:rPr>
        <w:footnoteReference w:id="9"/>
      </w:r>
      <w:r w:rsidRPr="00DE6F0A">
        <w:rPr>
          <w:rFonts w:ascii="Arial Narrow" w:hAnsi="Arial Narrow"/>
          <w:b/>
          <w:bCs/>
          <w:sz w:val="26"/>
          <w:szCs w:val="26"/>
        </w:rPr>
        <w:t xml:space="preserve"> </w:t>
      </w:r>
      <w:r w:rsidRPr="00DE6F0A">
        <w:rPr>
          <w:rFonts w:ascii="Arial Narrow" w:hAnsi="Arial Narrow"/>
          <w:sz w:val="26"/>
          <w:szCs w:val="26"/>
        </w:rPr>
        <w:t xml:space="preserve">negó los hechos de la demanda y alegó la falta de legitimación por pasiva. Relacionó las normas técnicas creadas para mejorar las condiciones de vida de las personas con habilidades físicas diferentes en Colombia cuya existencia pudo indagarse en forma directa por el actor, sin necesidad de acudir al remedio constitucional. </w:t>
      </w:r>
    </w:p>
    <w:p w14:paraId="0763E1C4" w14:textId="77777777" w:rsidR="00D43DFE" w:rsidRPr="00DE6F0A" w:rsidRDefault="00D43DFE" w:rsidP="00DE6F0A">
      <w:pPr>
        <w:pStyle w:val="Sinespaciado"/>
        <w:spacing w:line="276" w:lineRule="auto"/>
        <w:jc w:val="both"/>
        <w:rPr>
          <w:rFonts w:ascii="Arial Narrow" w:hAnsi="Arial Narrow"/>
          <w:sz w:val="26"/>
          <w:szCs w:val="26"/>
        </w:rPr>
      </w:pPr>
    </w:p>
    <w:p w14:paraId="1DD8C019"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Propuso además las defensas que denominó mala fe, inexistencia del derecho invocado, falta de nexo causal entre los hechos, las pretensiones y las condenas solicitadas, y cualquier otro hecho que surja probado.</w:t>
      </w:r>
    </w:p>
    <w:p w14:paraId="1F4E32C9" w14:textId="77777777" w:rsidR="00D43DFE" w:rsidRPr="00DE6F0A" w:rsidRDefault="00D43DFE" w:rsidP="00DE6F0A">
      <w:pPr>
        <w:pStyle w:val="Sinespaciado"/>
        <w:spacing w:line="276" w:lineRule="auto"/>
        <w:jc w:val="both"/>
        <w:rPr>
          <w:rFonts w:ascii="Arial Narrow" w:hAnsi="Arial Narrow"/>
          <w:sz w:val="26"/>
          <w:szCs w:val="26"/>
        </w:rPr>
      </w:pPr>
    </w:p>
    <w:p w14:paraId="15FF093C" w14:textId="77777777" w:rsidR="00D43DFE" w:rsidRPr="00DE6F0A" w:rsidRDefault="00D43DFE" w:rsidP="00DE6F0A">
      <w:pPr>
        <w:pStyle w:val="Sinespaciado"/>
        <w:spacing w:line="276" w:lineRule="auto"/>
        <w:jc w:val="both"/>
        <w:rPr>
          <w:rFonts w:ascii="Arial Narrow" w:hAnsi="Arial Narrow"/>
          <w:b/>
          <w:bCs/>
          <w:sz w:val="26"/>
          <w:szCs w:val="26"/>
        </w:rPr>
      </w:pPr>
      <w:r w:rsidRPr="00DE6F0A">
        <w:rPr>
          <w:rFonts w:ascii="Arial Narrow" w:hAnsi="Arial Narrow"/>
          <w:b/>
          <w:bCs/>
          <w:sz w:val="26"/>
          <w:szCs w:val="26"/>
        </w:rPr>
        <w:t>4. Trámite posterior:</w:t>
      </w:r>
    </w:p>
    <w:p w14:paraId="74120FD2" w14:textId="77777777" w:rsidR="00D43DFE" w:rsidRPr="00DE6F0A" w:rsidRDefault="00D43DFE" w:rsidP="00DE6F0A">
      <w:pPr>
        <w:pStyle w:val="Sinespaciado"/>
        <w:spacing w:line="276" w:lineRule="auto"/>
        <w:jc w:val="both"/>
        <w:rPr>
          <w:rFonts w:ascii="Arial Narrow" w:hAnsi="Arial Narrow"/>
          <w:sz w:val="26"/>
          <w:szCs w:val="26"/>
        </w:rPr>
      </w:pPr>
    </w:p>
    <w:p w14:paraId="73F5E100"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De las excepciones se dio traslado</w:t>
      </w:r>
      <w:r w:rsidRPr="00DE6F0A">
        <w:rPr>
          <w:rStyle w:val="Refdenotaalpie"/>
          <w:rFonts w:ascii="Arial Narrow" w:hAnsi="Arial Narrow"/>
          <w:sz w:val="26"/>
          <w:szCs w:val="26"/>
        </w:rPr>
        <w:footnoteReference w:id="10"/>
      </w:r>
      <w:r w:rsidRPr="00DE6F0A">
        <w:rPr>
          <w:rFonts w:ascii="Arial Narrow" w:hAnsi="Arial Narrow"/>
          <w:sz w:val="26"/>
          <w:szCs w:val="26"/>
        </w:rPr>
        <w:t>, sin pronunciamiento alguno.</w:t>
      </w:r>
    </w:p>
    <w:p w14:paraId="3AC5A4A0" w14:textId="77777777" w:rsidR="00D43DFE" w:rsidRPr="00DE6F0A" w:rsidRDefault="00D43DFE" w:rsidP="00DE6F0A">
      <w:pPr>
        <w:pStyle w:val="Sinespaciado"/>
        <w:spacing w:line="276" w:lineRule="auto"/>
        <w:jc w:val="both"/>
        <w:rPr>
          <w:rFonts w:ascii="Arial Narrow" w:hAnsi="Arial Narrow"/>
          <w:sz w:val="26"/>
          <w:szCs w:val="26"/>
        </w:rPr>
      </w:pPr>
    </w:p>
    <w:p w14:paraId="4B49700E"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El 19 de febrero de 2018</w:t>
      </w:r>
      <w:r w:rsidRPr="00DE6F0A">
        <w:rPr>
          <w:rStyle w:val="Refdenotaalpie"/>
          <w:rFonts w:ascii="Arial Narrow" w:hAnsi="Arial Narrow"/>
          <w:sz w:val="26"/>
          <w:szCs w:val="26"/>
        </w:rPr>
        <w:footnoteReference w:id="11"/>
      </w:r>
      <w:r w:rsidRPr="00DE6F0A">
        <w:rPr>
          <w:rFonts w:ascii="Arial Narrow" w:hAnsi="Arial Narrow"/>
          <w:sz w:val="26"/>
          <w:szCs w:val="26"/>
        </w:rPr>
        <w:t xml:space="preserve"> se ordenó acumular las acciones populares 2017-00209-00, 2017-00212-00, 2017-00213-00, 2017-00214-00, 2017-00216-00, 2017-00218-00, 2017-00223-00, 2017-00224-00, 2017-00275-00, 2017-00276-00, 2017-00277-00, 2017-00280-00, 2017-00281-00, 2017-00282-00, 2017-00283-00, 2017-00285-00, 2017-00287-00 y 2017-00288-00, a la radicado 2017-00274-00, y continuar bajo un solo trámite. Lo anterior al existir identidad de partes, causa y objeto, variando solo el lugar de vulneración informado.</w:t>
      </w:r>
    </w:p>
    <w:p w14:paraId="5B5CB26F" w14:textId="77777777" w:rsidR="00D43DFE" w:rsidRPr="00DE6F0A" w:rsidRDefault="00D43DFE" w:rsidP="00DE6F0A">
      <w:pPr>
        <w:pStyle w:val="Sinespaciado"/>
        <w:spacing w:line="276" w:lineRule="auto"/>
        <w:jc w:val="both"/>
        <w:rPr>
          <w:rFonts w:ascii="Arial Narrow" w:hAnsi="Arial Narrow"/>
          <w:sz w:val="26"/>
          <w:szCs w:val="26"/>
        </w:rPr>
      </w:pPr>
    </w:p>
    <w:p w14:paraId="0E363501"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La audiencia de pacto de cumplimiento se declaró fallida el 24 de octubre de 2018, por ausencia del actor popular.</w:t>
      </w:r>
      <w:r w:rsidRPr="00DE6F0A">
        <w:rPr>
          <w:rStyle w:val="Refdenotaalpie"/>
          <w:rFonts w:ascii="Arial Narrow" w:hAnsi="Arial Narrow"/>
          <w:sz w:val="26"/>
          <w:szCs w:val="26"/>
        </w:rPr>
        <w:footnoteReference w:id="12"/>
      </w:r>
    </w:p>
    <w:p w14:paraId="509C1153" w14:textId="77777777" w:rsidR="00D43DFE" w:rsidRPr="00DE6F0A" w:rsidRDefault="00D43DFE" w:rsidP="00DE6F0A">
      <w:pPr>
        <w:pStyle w:val="Sinespaciado"/>
        <w:spacing w:line="276" w:lineRule="auto"/>
        <w:jc w:val="both"/>
        <w:rPr>
          <w:rFonts w:ascii="Arial Narrow" w:hAnsi="Arial Narrow"/>
          <w:bCs/>
          <w:sz w:val="26"/>
          <w:szCs w:val="26"/>
        </w:rPr>
      </w:pPr>
    </w:p>
    <w:p w14:paraId="0E516C34" w14:textId="77777777" w:rsidR="00D43DFE" w:rsidRPr="00DE6F0A" w:rsidRDefault="00D43DFE"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Las pruebas se decretaron el 22 de enero de 2019</w:t>
      </w:r>
      <w:r w:rsidRPr="00DE6F0A">
        <w:rPr>
          <w:rStyle w:val="Refdenotaalpie"/>
          <w:rFonts w:ascii="Arial Narrow" w:hAnsi="Arial Narrow"/>
          <w:bCs/>
          <w:sz w:val="26"/>
          <w:szCs w:val="26"/>
        </w:rPr>
        <w:footnoteReference w:id="13"/>
      </w:r>
      <w:r w:rsidRPr="00DE6F0A">
        <w:rPr>
          <w:rFonts w:ascii="Arial Narrow" w:hAnsi="Arial Narrow"/>
          <w:bCs/>
          <w:sz w:val="26"/>
          <w:szCs w:val="26"/>
        </w:rPr>
        <w:t>, sin lograrse su recaudo oportuno. Vencido el término probatorio, el 21 de marzo de 2019 se otorgó traslado para alegar.</w:t>
      </w:r>
      <w:r w:rsidRPr="00DE6F0A">
        <w:rPr>
          <w:rStyle w:val="Refdenotaalpie"/>
          <w:rFonts w:ascii="Arial Narrow" w:hAnsi="Arial Narrow"/>
          <w:bCs/>
          <w:sz w:val="26"/>
          <w:szCs w:val="26"/>
        </w:rPr>
        <w:footnoteReference w:id="14"/>
      </w:r>
    </w:p>
    <w:p w14:paraId="64B0D291" w14:textId="77777777" w:rsidR="00D43DFE" w:rsidRPr="00DE6F0A" w:rsidRDefault="00D43DFE" w:rsidP="00DE6F0A">
      <w:pPr>
        <w:pStyle w:val="Sinespaciado"/>
        <w:spacing w:line="276" w:lineRule="auto"/>
        <w:jc w:val="both"/>
        <w:rPr>
          <w:rFonts w:ascii="Arial Narrow" w:hAnsi="Arial Narrow"/>
          <w:bCs/>
          <w:sz w:val="26"/>
          <w:szCs w:val="26"/>
        </w:rPr>
      </w:pPr>
    </w:p>
    <w:p w14:paraId="6E8AF00C"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5. Sentencia apelada</w:t>
      </w:r>
      <w:r w:rsidRPr="00DE6F0A">
        <w:rPr>
          <w:rStyle w:val="Refdenotaalpie"/>
          <w:rFonts w:ascii="Arial Narrow" w:hAnsi="Arial Narrow"/>
          <w:b/>
          <w:bCs/>
          <w:sz w:val="26"/>
          <w:szCs w:val="26"/>
        </w:rPr>
        <w:footnoteReference w:id="15"/>
      </w:r>
      <w:r w:rsidRPr="00DE6F0A">
        <w:rPr>
          <w:rFonts w:ascii="Arial Narrow" w:hAnsi="Arial Narrow"/>
          <w:b/>
          <w:bCs/>
          <w:sz w:val="26"/>
          <w:szCs w:val="26"/>
        </w:rPr>
        <w:t xml:space="preserve">: </w:t>
      </w:r>
      <w:r w:rsidRPr="00DE6F0A">
        <w:rPr>
          <w:rFonts w:ascii="Arial Narrow" w:hAnsi="Arial Narrow"/>
          <w:sz w:val="26"/>
          <w:szCs w:val="26"/>
        </w:rPr>
        <w:t xml:space="preserve">De fecha </w:t>
      </w:r>
      <w:r w:rsidRPr="00DE6F0A">
        <w:rPr>
          <w:rFonts w:ascii="Arial Narrow" w:hAnsi="Arial Narrow"/>
          <w:b/>
          <w:bCs/>
          <w:sz w:val="26"/>
          <w:szCs w:val="26"/>
        </w:rPr>
        <w:t>12 de abril de 2019</w:t>
      </w:r>
      <w:r w:rsidRPr="00DE6F0A">
        <w:rPr>
          <w:rFonts w:ascii="Arial Narrow" w:hAnsi="Arial Narrow"/>
          <w:sz w:val="26"/>
          <w:szCs w:val="26"/>
        </w:rPr>
        <w:t>, negó las pretensiones de la demanda en lo relacionado con las acciones populares acumuladas 2017-00214, 2017-00218, 2017-00224, 2017-00274, 2017-00276 y 2017-00277, porque la accionada no cuenta con sucursal en los lugares indicados en cada trámite.</w:t>
      </w:r>
    </w:p>
    <w:p w14:paraId="6327E15C" w14:textId="77777777" w:rsidR="00D43DFE" w:rsidRPr="00DE6F0A" w:rsidRDefault="00D43DFE" w:rsidP="00DE6F0A">
      <w:pPr>
        <w:pStyle w:val="Sinespaciado"/>
        <w:spacing w:line="276" w:lineRule="auto"/>
        <w:jc w:val="both"/>
        <w:rPr>
          <w:rFonts w:ascii="Arial Narrow" w:hAnsi="Arial Narrow"/>
          <w:sz w:val="26"/>
          <w:szCs w:val="26"/>
        </w:rPr>
      </w:pPr>
    </w:p>
    <w:p w14:paraId="0BFD80EF"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lo demás consideró que, si bien la accionada no presta un servicio público, sí presta un servicio al público por el sin número de personas del régimen de seguridad social en salud que atiende. Además, de las pruebas aportadas no brota la certeza de la (i) cosa juzgada alegada, ni que la entidad (ii) cuente con personal capacitado para atender de forma adecuada a la población beneficiada del trámite, o convenio celebrado con alguna entidad que ofrezca ese servicio.</w:t>
      </w:r>
    </w:p>
    <w:p w14:paraId="174803A1" w14:textId="77777777" w:rsidR="00D43DFE" w:rsidRPr="00DE6F0A" w:rsidRDefault="00D43DFE" w:rsidP="00DE6F0A">
      <w:pPr>
        <w:pStyle w:val="Sinespaciado"/>
        <w:spacing w:line="276" w:lineRule="auto"/>
        <w:jc w:val="both"/>
        <w:rPr>
          <w:rFonts w:ascii="Arial Narrow" w:hAnsi="Arial Narrow"/>
          <w:sz w:val="26"/>
          <w:szCs w:val="26"/>
        </w:rPr>
      </w:pPr>
    </w:p>
    <w:p w14:paraId="40BFF0CF"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En consecuencia, ordenó implementar el sistema o mecanismo tendiente a dar cumplimiento al artículo 8 de la Ley 982 de 2005, a fin de garantizar una debida prestación del servicio de dispensación de medicamentos, para lo cual debe procurar la presencia de intérprete y guía intérprete, para personas sordas y ciegas que lo requieran. La información correspondiente debe ubicarse en un sitio visible, con plena identificación del lugar o lugares en los que podrán ser atendidas estas personas. Para el cumplimiento concedió el término de 60 días. </w:t>
      </w:r>
    </w:p>
    <w:p w14:paraId="1E860D51" w14:textId="77777777" w:rsidR="00D43DFE" w:rsidRPr="00DE6F0A" w:rsidRDefault="00D43DFE" w:rsidP="00DE6F0A">
      <w:pPr>
        <w:pStyle w:val="Sinespaciado"/>
        <w:spacing w:line="276" w:lineRule="auto"/>
        <w:jc w:val="both"/>
        <w:rPr>
          <w:rFonts w:ascii="Arial Narrow" w:hAnsi="Arial Narrow"/>
          <w:sz w:val="26"/>
          <w:szCs w:val="26"/>
        </w:rPr>
      </w:pPr>
    </w:p>
    <w:p w14:paraId="17B9A748"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Ordenó la conformación del comité de verificación, se abstuvo de fijar la caución señalada en el artículo 42 de la Ley 472 de 1998, y condenó en costas a la demandada, en las actuaciones en que fue vencida. </w:t>
      </w:r>
    </w:p>
    <w:p w14:paraId="48533A3D" w14:textId="77777777" w:rsidR="00D43DFE" w:rsidRPr="00DE6F0A" w:rsidRDefault="00D43DFE" w:rsidP="00DE6F0A">
      <w:pPr>
        <w:pStyle w:val="Sinespaciado"/>
        <w:spacing w:line="276" w:lineRule="auto"/>
        <w:jc w:val="both"/>
        <w:rPr>
          <w:rFonts w:ascii="Arial Narrow" w:hAnsi="Arial Narrow"/>
          <w:b/>
          <w:sz w:val="26"/>
          <w:szCs w:val="26"/>
        </w:rPr>
      </w:pPr>
    </w:p>
    <w:p w14:paraId="3BEE2222"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b/>
          <w:sz w:val="26"/>
          <w:szCs w:val="26"/>
        </w:rPr>
        <w:t xml:space="preserve">6. Apelación: </w:t>
      </w:r>
      <w:r w:rsidRPr="00DE6F0A">
        <w:rPr>
          <w:rFonts w:ascii="Arial Narrow" w:hAnsi="Arial Narrow"/>
          <w:sz w:val="26"/>
          <w:szCs w:val="26"/>
        </w:rPr>
        <w:t>Aunque originalmente apeló el coadyuvante Javier Elías Arias Idárraga</w:t>
      </w:r>
      <w:r w:rsidRPr="00DE6F0A">
        <w:rPr>
          <w:rStyle w:val="Refdenotaalpie"/>
          <w:rFonts w:ascii="Arial Narrow" w:hAnsi="Arial Narrow"/>
          <w:sz w:val="26"/>
          <w:szCs w:val="26"/>
        </w:rPr>
        <w:footnoteReference w:id="16"/>
      </w:r>
      <w:r w:rsidRPr="00DE6F0A">
        <w:rPr>
          <w:rFonts w:ascii="Arial Narrow" w:hAnsi="Arial Narrow"/>
          <w:sz w:val="26"/>
          <w:szCs w:val="26"/>
        </w:rPr>
        <w:t xml:space="preserve">, y se </w:t>
      </w:r>
      <w:r w:rsidRPr="00DE6F0A">
        <w:rPr>
          <w:rFonts w:ascii="Arial Narrow" w:hAnsi="Arial Narrow"/>
          <w:sz w:val="26"/>
          <w:szCs w:val="26"/>
        </w:rPr>
        <w:lastRenderedPageBreak/>
        <w:t>admitió la apelación adhesiva del actor popular</w:t>
      </w:r>
      <w:r w:rsidRPr="00DE6F0A">
        <w:rPr>
          <w:rStyle w:val="Refdenotaalpie"/>
          <w:rFonts w:ascii="Arial Narrow" w:hAnsi="Arial Narrow"/>
          <w:sz w:val="26"/>
          <w:szCs w:val="26"/>
        </w:rPr>
        <w:footnoteReference w:id="17"/>
      </w:r>
      <w:r w:rsidRPr="00DE6F0A">
        <w:rPr>
          <w:rFonts w:ascii="Arial Narrow" w:hAnsi="Arial Narrow"/>
          <w:sz w:val="26"/>
          <w:szCs w:val="26"/>
        </w:rPr>
        <w:t>, finalmente en providencia del 15 de abril último</w:t>
      </w:r>
      <w:r w:rsidRPr="00DE6F0A">
        <w:rPr>
          <w:rStyle w:val="Refdenotaalpie"/>
          <w:rFonts w:ascii="Arial Narrow" w:hAnsi="Arial Narrow"/>
          <w:sz w:val="26"/>
          <w:szCs w:val="26"/>
        </w:rPr>
        <w:footnoteReference w:id="18"/>
      </w:r>
      <w:r w:rsidRPr="00DE6F0A">
        <w:rPr>
          <w:rFonts w:ascii="Arial Narrow" w:hAnsi="Arial Narrow"/>
          <w:sz w:val="26"/>
          <w:szCs w:val="26"/>
        </w:rPr>
        <w:t xml:space="preserve"> se declaró la deserción parcial de la alzada en lo relacionado con aquellos recurrentes por ausencia de sustentación, decisión que se mantuvo al resolver el recurso de reposición en auto de fecha 4 de mayo de 2021</w:t>
      </w:r>
      <w:r w:rsidRPr="00DE6F0A">
        <w:rPr>
          <w:rStyle w:val="Refdenotaalpie"/>
          <w:rFonts w:ascii="Arial Narrow" w:hAnsi="Arial Narrow"/>
          <w:sz w:val="26"/>
          <w:szCs w:val="26"/>
        </w:rPr>
        <w:footnoteReference w:id="19"/>
      </w:r>
      <w:r w:rsidRPr="00DE6F0A">
        <w:rPr>
          <w:rFonts w:ascii="Arial Narrow" w:hAnsi="Arial Narrow"/>
          <w:sz w:val="26"/>
          <w:szCs w:val="26"/>
        </w:rPr>
        <w:t>.</w:t>
      </w:r>
    </w:p>
    <w:p w14:paraId="39A04260" w14:textId="77777777" w:rsidR="00D43DFE" w:rsidRPr="00DE6F0A" w:rsidRDefault="00D43DFE" w:rsidP="00DE6F0A">
      <w:pPr>
        <w:pStyle w:val="Sinespaciado"/>
        <w:spacing w:line="276" w:lineRule="auto"/>
        <w:jc w:val="both"/>
        <w:rPr>
          <w:rFonts w:ascii="Arial Narrow" w:hAnsi="Arial Narrow"/>
          <w:sz w:val="26"/>
          <w:szCs w:val="26"/>
        </w:rPr>
      </w:pPr>
    </w:p>
    <w:p w14:paraId="541F366A" w14:textId="77777777" w:rsidR="00D43DFE" w:rsidRPr="00DE6F0A" w:rsidRDefault="00D43DFE"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consecuencia, solo debe pronunciarse la Sala sobre el recurso de apelación propuesto por la accionada</w:t>
      </w:r>
      <w:r w:rsidRPr="00DE6F0A">
        <w:rPr>
          <w:rStyle w:val="Refdenotaalpie"/>
          <w:rFonts w:ascii="Arial Narrow" w:hAnsi="Arial Narrow"/>
          <w:sz w:val="26"/>
          <w:szCs w:val="26"/>
        </w:rPr>
        <w:footnoteReference w:id="20"/>
      </w:r>
      <w:r w:rsidRPr="00DE6F0A">
        <w:rPr>
          <w:rFonts w:ascii="Arial Narrow" w:hAnsi="Arial Narrow"/>
          <w:sz w:val="26"/>
          <w:szCs w:val="26"/>
        </w:rPr>
        <w:t>, y que le fue admitido exclusivamente frente a las decisiones que le resultaron adversas</w:t>
      </w:r>
      <w:r w:rsidRPr="00DE6F0A">
        <w:rPr>
          <w:rStyle w:val="Refdenotaalpie"/>
          <w:rFonts w:ascii="Arial Narrow" w:hAnsi="Arial Narrow"/>
          <w:sz w:val="26"/>
          <w:szCs w:val="26"/>
        </w:rPr>
        <w:footnoteReference w:id="21"/>
      </w:r>
      <w:r w:rsidRPr="00DE6F0A">
        <w:rPr>
          <w:rFonts w:ascii="Arial Narrow" w:hAnsi="Arial Narrow"/>
          <w:sz w:val="26"/>
          <w:szCs w:val="26"/>
        </w:rPr>
        <w:t>. Sustentado en esta instancia</w:t>
      </w:r>
      <w:r w:rsidRPr="00DE6F0A">
        <w:rPr>
          <w:rStyle w:val="Refdenotaalpie"/>
          <w:rFonts w:ascii="Arial Narrow" w:hAnsi="Arial Narrow"/>
          <w:sz w:val="26"/>
          <w:szCs w:val="26"/>
        </w:rPr>
        <w:footnoteReference w:id="22"/>
      </w:r>
      <w:r w:rsidRPr="00DE6F0A">
        <w:rPr>
          <w:rFonts w:ascii="Arial Narrow" w:hAnsi="Arial Narrow"/>
          <w:sz w:val="26"/>
          <w:szCs w:val="26"/>
        </w:rPr>
        <w:t>, su traslado a la parte no recurrente venció en silencio</w:t>
      </w:r>
      <w:r w:rsidRPr="00DE6F0A">
        <w:rPr>
          <w:rStyle w:val="Refdenotaalpie"/>
          <w:rFonts w:ascii="Arial Narrow" w:hAnsi="Arial Narrow"/>
          <w:sz w:val="26"/>
          <w:szCs w:val="26"/>
        </w:rPr>
        <w:footnoteReference w:id="23"/>
      </w:r>
      <w:r w:rsidRPr="00DE6F0A">
        <w:rPr>
          <w:rFonts w:ascii="Arial Narrow" w:hAnsi="Arial Narrow"/>
          <w:sz w:val="26"/>
          <w:szCs w:val="26"/>
        </w:rPr>
        <w:t>.</w:t>
      </w:r>
    </w:p>
    <w:p w14:paraId="4C775CAB" w14:textId="77777777" w:rsidR="00D43DFE" w:rsidRPr="00DE6F0A" w:rsidRDefault="00D43DFE" w:rsidP="00DE6F0A">
      <w:pPr>
        <w:pStyle w:val="Sinespaciado"/>
        <w:spacing w:line="276" w:lineRule="auto"/>
        <w:jc w:val="center"/>
        <w:rPr>
          <w:rFonts w:ascii="Arial Narrow" w:hAnsi="Arial Narrow"/>
          <w:b/>
          <w:bCs/>
          <w:sz w:val="26"/>
          <w:szCs w:val="26"/>
          <w:lang w:val="pt-BR"/>
        </w:rPr>
      </w:pPr>
    </w:p>
    <w:p w14:paraId="1A2AF5FF" w14:textId="77777777" w:rsidR="00D43DFE" w:rsidRPr="00DE6F0A" w:rsidRDefault="00D43DFE" w:rsidP="00DE6F0A">
      <w:pPr>
        <w:pStyle w:val="Sinespaciado"/>
        <w:spacing w:line="276" w:lineRule="auto"/>
        <w:jc w:val="center"/>
        <w:rPr>
          <w:rFonts w:ascii="Arial Narrow" w:hAnsi="Arial Narrow"/>
          <w:sz w:val="26"/>
          <w:szCs w:val="26"/>
          <w:lang w:val="pt-BR"/>
        </w:rPr>
      </w:pPr>
      <w:r w:rsidRPr="00DE6F0A">
        <w:rPr>
          <w:rFonts w:ascii="Arial Narrow" w:hAnsi="Arial Narrow"/>
          <w:b/>
          <w:bCs/>
          <w:sz w:val="26"/>
          <w:szCs w:val="26"/>
          <w:lang w:val="pt-BR"/>
        </w:rPr>
        <w:t>CONSIDERACIONES</w:t>
      </w:r>
    </w:p>
    <w:p w14:paraId="7D2C045C" w14:textId="77777777" w:rsidR="00D43DFE" w:rsidRPr="00DE6F0A" w:rsidRDefault="00D43DFE" w:rsidP="00DE6F0A">
      <w:pPr>
        <w:pStyle w:val="Sinespaciado"/>
        <w:spacing w:line="276" w:lineRule="auto"/>
        <w:jc w:val="both"/>
        <w:rPr>
          <w:rFonts w:ascii="Arial Narrow" w:hAnsi="Arial Narrow"/>
          <w:bCs/>
          <w:sz w:val="26"/>
          <w:szCs w:val="26"/>
          <w:lang w:val="pt-BR"/>
        </w:rPr>
      </w:pPr>
    </w:p>
    <w:p w14:paraId="1CB03DA0" w14:textId="77777777" w:rsidR="00D43DFE" w:rsidRPr="00DE6F0A" w:rsidRDefault="00D43DFE" w:rsidP="00DE6F0A">
      <w:pPr>
        <w:pStyle w:val="Sinespaciado"/>
        <w:spacing w:line="276" w:lineRule="auto"/>
        <w:jc w:val="both"/>
        <w:rPr>
          <w:rFonts w:ascii="Arial Narrow" w:hAnsi="Arial Narrow"/>
          <w:bCs/>
          <w:sz w:val="26"/>
          <w:szCs w:val="26"/>
        </w:rPr>
      </w:pPr>
      <w:r w:rsidRPr="00DE6F0A">
        <w:rPr>
          <w:rFonts w:ascii="Arial Narrow" w:hAnsi="Arial Narrow"/>
          <w:b/>
          <w:sz w:val="26"/>
          <w:szCs w:val="26"/>
        </w:rPr>
        <w:t>1.</w:t>
      </w:r>
      <w:r w:rsidRPr="00DE6F0A">
        <w:rPr>
          <w:rFonts w:ascii="Arial Narrow" w:hAnsi="Arial Narrow"/>
          <w:bCs/>
          <w:sz w:val="26"/>
          <w:szCs w:val="26"/>
        </w:rPr>
        <w:t xml:space="preserve"> Se encuentran satisfechos los presupuestos procesales para proferir sentencia de fondo y ninguna causal de nulidad se ha configurado que afecte la validez de la actuación. Además, es esta Sala la competente para desatar la alzada, en su calidad de superior jerárquica del juzgado de primera instancia.</w:t>
      </w:r>
    </w:p>
    <w:p w14:paraId="3038F4E0" w14:textId="77777777" w:rsidR="00D43DFE" w:rsidRPr="00DE6F0A" w:rsidRDefault="00D43DFE" w:rsidP="00DE6F0A">
      <w:pPr>
        <w:pStyle w:val="Sinespaciado"/>
        <w:spacing w:line="276" w:lineRule="auto"/>
        <w:jc w:val="both"/>
        <w:rPr>
          <w:rFonts w:ascii="Arial Narrow" w:hAnsi="Arial Narrow"/>
          <w:bCs/>
          <w:sz w:val="26"/>
          <w:szCs w:val="26"/>
        </w:rPr>
      </w:pPr>
    </w:p>
    <w:p w14:paraId="1416EF5F" w14:textId="77777777" w:rsidR="00D43DFE" w:rsidRPr="00DE6F0A" w:rsidRDefault="00D43DFE" w:rsidP="00DE6F0A">
      <w:pPr>
        <w:pStyle w:val="Sinespaciado"/>
        <w:spacing w:line="276" w:lineRule="auto"/>
        <w:jc w:val="both"/>
        <w:rPr>
          <w:rFonts w:ascii="Arial Narrow" w:hAnsi="Arial Narrow"/>
          <w:bCs/>
          <w:sz w:val="26"/>
          <w:szCs w:val="26"/>
        </w:rPr>
      </w:pPr>
      <w:r w:rsidRPr="00DE6F0A">
        <w:rPr>
          <w:rFonts w:ascii="Arial Narrow" w:hAnsi="Arial Narrow"/>
          <w:b/>
          <w:sz w:val="26"/>
          <w:szCs w:val="26"/>
        </w:rPr>
        <w:t>2.</w:t>
      </w:r>
      <w:r w:rsidRPr="00DE6F0A">
        <w:rPr>
          <w:rFonts w:ascii="Arial Narrow" w:hAnsi="Arial Narrow"/>
          <w:bCs/>
          <w:sz w:val="26"/>
          <w:szCs w:val="26"/>
        </w:rPr>
        <w:t xml:space="preserve"> El demandante está legitimado para promover la presente acción popular de conformidad con el numeral 1º del artículo 12 de la Ley 472 de 1998 que autoriza iniciarla, entre otros, a toda persona natural, sin que sea necesario demostrar un interés especial diferente al de proteger los derechos colectivos.</w:t>
      </w:r>
    </w:p>
    <w:p w14:paraId="5E8521B0" w14:textId="77777777" w:rsidR="005B6FFF" w:rsidRPr="00DE6F0A" w:rsidRDefault="005B6FFF" w:rsidP="00DE6F0A">
      <w:pPr>
        <w:pStyle w:val="Sinespaciado"/>
        <w:spacing w:line="276" w:lineRule="auto"/>
        <w:jc w:val="both"/>
        <w:rPr>
          <w:rFonts w:ascii="Arial Narrow" w:hAnsi="Arial Narrow"/>
          <w:bCs/>
          <w:sz w:val="26"/>
          <w:szCs w:val="26"/>
        </w:rPr>
      </w:pPr>
    </w:p>
    <w:p w14:paraId="31786BE3" w14:textId="0281E4B6" w:rsidR="00BB4695" w:rsidRPr="00DE6F0A" w:rsidRDefault="005B6FFF"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relación con la legitimación en la causa</w:t>
      </w:r>
      <w:r w:rsidR="00223C76" w:rsidRPr="00DE6F0A">
        <w:rPr>
          <w:rFonts w:ascii="Arial Narrow" w:hAnsi="Arial Narrow"/>
          <w:sz w:val="26"/>
          <w:szCs w:val="26"/>
        </w:rPr>
        <w:t xml:space="preserve">, </w:t>
      </w:r>
      <w:r w:rsidR="006018BE" w:rsidRPr="00DE6F0A">
        <w:rPr>
          <w:rFonts w:ascii="Arial Narrow" w:hAnsi="Arial Narrow"/>
          <w:sz w:val="26"/>
          <w:szCs w:val="26"/>
        </w:rPr>
        <w:t>del extremo pasivo (art. 9º Ib.), se confirma pues, según ella misma lo informó</w:t>
      </w:r>
      <w:r w:rsidR="006018BE" w:rsidRPr="00DE6F0A">
        <w:rPr>
          <w:rStyle w:val="Refdenotaalpie"/>
          <w:rFonts w:ascii="Arial Narrow" w:hAnsi="Arial Narrow"/>
          <w:sz w:val="26"/>
          <w:szCs w:val="26"/>
        </w:rPr>
        <w:footnoteReference w:id="24"/>
      </w:r>
      <w:r w:rsidR="006018BE" w:rsidRPr="00DE6F0A">
        <w:rPr>
          <w:rFonts w:ascii="Arial Narrow" w:hAnsi="Arial Narrow"/>
          <w:sz w:val="26"/>
          <w:szCs w:val="26"/>
        </w:rPr>
        <w:t xml:space="preserve">, pese a no ser la propietaria de los inmuebles sí tiene abiertos al público </w:t>
      </w:r>
      <w:r w:rsidR="00002901" w:rsidRPr="00DE6F0A">
        <w:rPr>
          <w:rFonts w:ascii="Arial Narrow" w:hAnsi="Arial Narrow"/>
          <w:sz w:val="26"/>
          <w:szCs w:val="26"/>
        </w:rPr>
        <w:t>sendos</w:t>
      </w:r>
      <w:r w:rsidR="006018BE" w:rsidRPr="00DE6F0A">
        <w:rPr>
          <w:rFonts w:ascii="Arial Narrow" w:hAnsi="Arial Narrow"/>
          <w:sz w:val="26"/>
          <w:szCs w:val="26"/>
        </w:rPr>
        <w:t xml:space="preserve"> establecimientos de comercio dedicados a la prestación del servicio público de salud, en la modalidad de dispensación farmacéutica (art. 23 de la Ley estatutaria 1751 de 2015</w:t>
      </w:r>
      <w:r w:rsidR="00002901" w:rsidRPr="00DE6F0A">
        <w:rPr>
          <w:rFonts w:ascii="Arial Narrow" w:hAnsi="Arial Narrow"/>
          <w:sz w:val="26"/>
          <w:szCs w:val="26"/>
        </w:rPr>
        <w:t>;</w:t>
      </w:r>
      <w:r w:rsidR="006018BE" w:rsidRPr="00DE6F0A">
        <w:rPr>
          <w:rFonts w:ascii="Arial Narrow" w:hAnsi="Arial Narrow"/>
          <w:sz w:val="26"/>
          <w:szCs w:val="26"/>
        </w:rPr>
        <w:t xml:space="preserve"> Decreto 2200 de 2005 de Minsalud que reglamenta la actividad, art. 3º), destinación que como es abierta al público impone eventuales cargas con ciertos grupos poblacionales, como las personas en situación de discapacidad.   </w:t>
      </w:r>
    </w:p>
    <w:p w14:paraId="70441ECC" w14:textId="005E7505" w:rsidR="00176763" w:rsidRPr="00DE6F0A" w:rsidRDefault="00176763" w:rsidP="00DE6F0A">
      <w:pPr>
        <w:pStyle w:val="Sinespaciado"/>
        <w:spacing w:line="276" w:lineRule="auto"/>
        <w:jc w:val="both"/>
        <w:rPr>
          <w:rFonts w:ascii="Arial Narrow" w:hAnsi="Arial Narrow"/>
          <w:sz w:val="26"/>
          <w:szCs w:val="26"/>
        </w:rPr>
      </w:pPr>
    </w:p>
    <w:p w14:paraId="0C3AA8EF" w14:textId="50B4FA27" w:rsidR="009042F2" w:rsidRPr="00DE6F0A" w:rsidRDefault="005B6FFF" w:rsidP="00DE6F0A">
      <w:pPr>
        <w:pStyle w:val="Sinespaciado"/>
        <w:spacing w:line="276" w:lineRule="auto"/>
        <w:jc w:val="both"/>
        <w:rPr>
          <w:rFonts w:ascii="Arial Narrow" w:hAnsi="Arial Narrow"/>
          <w:bCs/>
          <w:sz w:val="26"/>
          <w:szCs w:val="26"/>
        </w:rPr>
      </w:pPr>
      <w:r w:rsidRPr="00DE6F0A">
        <w:rPr>
          <w:rFonts w:ascii="Arial Narrow" w:hAnsi="Arial Narrow"/>
          <w:b/>
          <w:sz w:val="26"/>
          <w:szCs w:val="26"/>
        </w:rPr>
        <w:t>3.</w:t>
      </w:r>
      <w:r w:rsidRPr="00DE6F0A">
        <w:rPr>
          <w:rFonts w:ascii="Arial Narrow" w:hAnsi="Arial Narrow"/>
          <w:bCs/>
          <w:sz w:val="26"/>
          <w:szCs w:val="26"/>
        </w:rPr>
        <w:t xml:space="preserve"> </w:t>
      </w:r>
      <w:r w:rsidR="00EA660E" w:rsidRPr="00DE6F0A">
        <w:rPr>
          <w:rFonts w:ascii="Arial Narrow" w:hAnsi="Arial Narrow"/>
          <w:bCs/>
          <w:sz w:val="26"/>
          <w:szCs w:val="26"/>
        </w:rPr>
        <w:t xml:space="preserve">En el caso, </w:t>
      </w:r>
      <w:r w:rsidR="00F95921" w:rsidRPr="00DE6F0A">
        <w:rPr>
          <w:rFonts w:ascii="Arial Narrow" w:hAnsi="Arial Narrow"/>
          <w:bCs/>
          <w:sz w:val="26"/>
          <w:szCs w:val="26"/>
        </w:rPr>
        <w:t>en 13 de las demandas acumuladas el juzgado de primer</w:t>
      </w:r>
      <w:r w:rsidRPr="00DE6F0A">
        <w:rPr>
          <w:rFonts w:ascii="Arial Narrow" w:hAnsi="Arial Narrow"/>
          <w:bCs/>
          <w:sz w:val="26"/>
          <w:szCs w:val="26"/>
        </w:rPr>
        <w:t xml:space="preserve"> </w:t>
      </w:r>
      <w:r w:rsidR="00F95921" w:rsidRPr="00DE6F0A">
        <w:rPr>
          <w:rFonts w:ascii="Arial Narrow" w:hAnsi="Arial Narrow"/>
          <w:bCs/>
          <w:sz w:val="26"/>
          <w:szCs w:val="26"/>
        </w:rPr>
        <w:t xml:space="preserve">grado encontró la vulneración de los derechos </w:t>
      </w:r>
      <w:r w:rsidR="009042F2" w:rsidRPr="00DE6F0A">
        <w:rPr>
          <w:rFonts w:ascii="Arial Narrow" w:hAnsi="Arial Narrow"/>
          <w:bCs/>
          <w:sz w:val="26"/>
          <w:szCs w:val="26"/>
        </w:rPr>
        <w:t xml:space="preserve">colectivos denunciada, principalmente </w:t>
      </w:r>
      <w:r w:rsidR="000A4E0B" w:rsidRPr="00DE6F0A">
        <w:rPr>
          <w:rFonts w:ascii="Arial Narrow" w:hAnsi="Arial Narrow"/>
          <w:bCs/>
          <w:sz w:val="26"/>
          <w:szCs w:val="26"/>
        </w:rPr>
        <w:t xml:space="preserve">porque </w:t>
      </w:r>
      <w:r w:rsidR="005F1E3B" w:rsidRPr="00DE6F0A">
        <w:rPr>
          <w:rFonts w:ascii="Arial Narrow" w:hAnsi="Arial Narrow"/>
          <w:bCs/>
          <w:sz w:val="26"/>
          <w:szCs w:val="26"/>
        </w:rPr>
        <w:t>en</w:t>
      </w:r>
      <w:r w:rsidR="000A4E0B" w:rsidRPr="00DE6F0A">
        <w:rPr>
          <w:rFonts w:ascii="Arial Narrow" w:hAnsi="Arial Narrow"/>
          <w:bCs/>
          <w:sz w:val="26"/>
          <w:szCs w:val="26"/>
        </w:rPr>
        <w:t xml:space="preserve"> las pruebas no </w:t>
      </w:r>
      <w:r w:rsidR="005F1E3B" w:rsidRPr="00DE6F0A">
        <w:rPr>
          <w:rFonts w:ascii="Arial Narrow" w:hAnsi="Arial Narrow"/>
          <w:bCs/>
          <w:sz w:val="26"/>
          <w:szCs w:val="26"/>
        </w:rPr>
        <w:t xml:space="preserve">encontró </w:t>
      </w:r>
      <w:r w:rsidR="000A4E0B" w:rsidRPr="00DE6F0A">
        <w:rPr>
          <w:rFonts w:ascii="Arial Narrow" w:hAnsi="Arial Narrow"/>
          <w:bCs/>
          <w:sz w:val="26"/>
          <w:szCs w:val="26"/>
        </w:rPr>
        <w:t>certeza de que la entidad cuente con personal capacitado para atender de forma adecuada a la p</w:t>
      </w:r>
      <w:r w:rsidR="00C0089C" w:rsidRPr="00DE6F0A">
        <w:rPr>
          <w:rFonts w:ascii="Arial Narrow" w:hAnsi="Arial Narrow"/>
          <w:bCs/>
          <w:sz w:val="26"/>
          <w:szCs w:val="26"/>
        </w:rPr>
        <w:t xml:space="preserve">oblación </w:t>
      </w:r>
      <w:r w:rsidR="000A4E0B" w:rsidRPr="00DE6F0A">
        <w:rPr>
          <w:rFonts w:ascii="Arial Narrow" w:hAnsi="Arial Narrow"/>
          <w:bCs/>
          <w:sz w:val="26"/>
          <w:szCs w:val="26"/>
        </w:rPr>
        <w:t>beneficiada del trámite</w:t>
      </w:r>
      <w:r w:rsidR="00713E3C" w:rsidRPr="00DE6F0A">
        <w:rPr>
          <w:rFonts w:ascii="Arial Narrow" w:hAnsi="Arial Narrow"/>
          <w:bCs/>
          <w:sz w:val="26"/>
          <w:szCs w:val="26"/>
        </w:rPr>
        <w:t xml:space="preserve"> (</w:t>
      </w:r>
      <w:r w:rsidR="00C0089C" w:rsidRPr="00DE6F0A">
        <w:rPr>
          <w:rFonts w:ascii="Arial Narrow" w:hAnsi="Arial Narrow"/>
          <w:bCs/>
          <w:sz w:val="26"/>
          <w:szCs w:val="26"/>
        </w:rPr>
        <w:t>personas en situación discapacidad auditiva o audiovisual</w:t>
      </w:r>
      <w:r w:rsidR="009379D1" w:rsidRPr="00DE6F0A">
        <w:rPr>
          <w:rFonts w:ascii="Arial Narrow" w:hAnsi="Arial Narrow"/>
          <w:bCs/>
          <w:sz w:val="26"/>
          <w:szCs w:val="26"/>
        </w:rPr>
        <w:t>)</w:t>
      </w:r>
      <w:r w:rsidR="000A4E0B" w:rsidRPr="00DE6F0A">
        <w:rPr>
          <w:rFonts w:ascii="Arial Narrow" w:hAnsi="Arial Narrow"/>
          <w:bCs/>
          <w:sz w:val="26"/>
          <w:szCs w:val="26"/>
        </w:rPr>
        <w:t>, o convenio celebrado con alguna entidad que ofrezca ese servicio.</w:t>
      </w:r>
    </w:p>
    <w:p w14:paraId="6F5AB829" w14:textId="41A32225" w:rsidR="009042F2" w:rsidRPr="00DE6F0A" w:rsidRDefault="009042F2" w:rsidP="00DE6F0A">
      <w:pPr>
        <w:pStyle w:val="Sinespaciado"/>
        <w:spacing w:line="276" w:lineRule="auto"/>
        <w:jc w:val="both"/>
        <w:rPr>
          <w:rFonts w:ascii="Arial Narrow" w:hAnsi="Arial Narrow"/>
          <w:bCs/>
          <w:sz w:val="26"/>
          <w:szCs w:val="26"/>
        </w:rPr>
      </w:pPr>
    </w:p>
    <w:p w14:paraId="4F4949DB" w14:textId="418A914A" w:rsidR="001331EB" w:rsidRPr="00DE6F0A" w:rsidRDefault="00374490" w:rsidP="00DE6F0A">
      <w:pPr>
        <w:pStyle w:val="Sinespaciado"/>
        <w:spacing w:line="276" w:lineRule="auto"/>
        <w:jc w:val="both"/>
        <w:rPr>
          <w:rFonts w:ascii="Arial Narrow" w:hAnsi="Arial Narrow"/>
          <w:sz w:val="26"/>
          <w:szCs w:val="26"/>
        </w:rPr>
      </w:pPr>
      <w:r w:rsidRPr="00DE6F0A">
        <w:rPr>
          <w:rFonts w:ascii="Arial Narrow" w:hAnsi="Arial Narrow"/>
          <w:bCs/>
          <w:sz w:val="26"/>
          <w:szCs w:val="26"/>
        </w:rPr>
        <w:lastRenderedPageBreak/>
        <w:t>La accionada apeló</w:t>
      </w:r>
      <w:r w:rsidR="005C0B8B" w:rsidRPr="00DE6F0A">
        <w:rPr>
          <w:rStyle w:val="Refdenotaalpie"/>
          <w:rFonts w:ascii="Arial Narrow" w:hAnsi="Arial Narrow"/>
          <w:sz w:val="26"/>
          <w:szCs w:val="26"/>
        </w:rPr>
        <w:footnoteReference w:id="25"/>
      </w:r>
      <w:r w:rsidR="001331EB" w:rsidRPr="00DE6F0A">
        <w:rPr>
          <w:rFonts w:ascii="Arial Narrow" w:hAnsi="Arial Narrow"/>
          <w:bCs/>
          <w:sz w:val="26"/>
          <w:szCs w:val="26"/>
        </w:rPr>
        <w:t>. Al momento de hacerlo i</w:t>
      </w:r>
      <w:r w:rsidR="001331EB" w:rsidRPr="00DE6F0A">
        <w:rPr>
          <w:rFonts w:ascii="Arial Narrow" w:hAnsi="Arial Narrow"/>
          <w:sz w:val="26"/>
          <w:szCs w:val="26"/>
        </w:rPr>
        <w:t xml:space="preserve">nsistió en que cada </w:t>
      </w:r>
      <w:r w:rsidR="00DB59A1" w:rsidRPr="00DE6F0A">
        <w:rPr>
          <w:rFonts w:ascii="Arial Narrow" w:hAnsi="Arial Narrow"/>
          <w:sz w:val="26"/>
          <w:szCs w:val="26"/>
        </w:rPr>
        <w:t>uno</w:t>
      </w:r>
      <w:r w:rsidR="001331EB" w:rsidRPr="00DE6F0A">
        <w:rPr>
          <w:rFonts w:ascii="Arial Narrow" w:hAnsi="Arial Narrow"/>
          <w:sz w:val="26"/>
          <w:szCs w:val="26"/>
        </w:rPr>
        <w:t xml:space="preserve"> de los </w:t>
      </w:r>
      <w:r w:rsidR="00DB59A1" w:rsidRPr="00DE6F0A">
        <w:rPr>
          <w:rFonts w:ascii="Arial Narrow" w:hAnsi="Arial Narrow"/>
          <w:sz w:val="26"/>
          <w:szCs w:val="26"/>
        </w:rPr>
        <w:t>c</w:t>
      </w:r>
      <w:r w:rsidR="001331EB" w:rsidRPr="00DE6F0A">
        <w:rPr>
          <w:rFonts w:ascii="Arial Narrow" w:hAnsi="Arial Narrow"/>
          <w:sz w:val="26"/>
          <w:szCs w:val="26"/>
        </w:rPr>
        <w:t xml:space="preserve">entros de </w:t>
      </w:r>
      <w:r w:rsidR="00DB59A1" w:rsidRPr="00DE6F0A">
        <w:rPr>
          <w:rFonts w:ascii="Arial Narrow" w:hAnsi="Arial Narrow"/>
          <w:sz w:val="26"/>
          <w:szCs w:val="26"/>
        </w:rPr>
        <w:t>a</w:t>
      </w:r>
      <w:r w:rsidR="001331EB" w:rsidRPr="00DE6F0A">
        <w:rPr>
          <w:rFonts w:ascii="Arial Narrow" w:hAnsi="Arial Narrow"/>
          <w:sz w:val="26"/>
          <w:szCs w:val="26"/>
        </w:rPr>
        <w:t xml:space="preserve">tención funciona el </w:t>
      </w:r>
      <w:r w:rsidR="004C10DE" w:rsidRPr="00DE6F0A">
        <w:rPr>
          <w:rFonts w:ascii="Arial Narrow" w:hAnsi="Arial Narrow"/>
          <w:sz w:val="26"/>
          <w:szCs w:val="26"/>
        </w:rPr>
        <w:t>C</w:t>
      </w:r>
      <w:r w:rsidR="001331EB" w:rsidRPr="00DE6F0A">
        <w:rPr>
          <w:rFonts w:ascii="Arial Narrow" w:hAnsi="Arial Narrow"/>
          <w:sz w:val="26"/>
          <w:szCs w:val="26"/>
        </w:rPr>
        <w:t xml:space="preserve">entro de </w:t>
      </w:r>
      <w:r w:rsidR="004C10DE" w:rsidRPr="00DE6F0A">
        <w:rPr>
          <w:rFonts w:ascii="Arial Narrow" w:hAnsi="Arial Narrow"/>
          <w:sz w:val="26"/>
          <w:szCs w:val="26"/>
        </w:rPr>
        <w:t>R</w:t>
      </w:r>
      <w:r w:rsidR="001331EB" w:rsidRPr="00DE6F0A">
        <w:rPr>
          <w:rFonts w:ascii="Arial Narrow" w:hAnsi="Arial Narrow"/>
          <w:sz w:val="26"/>
          <w:szCs w:val="26"/>
        </w:rPr>
        <w:t xml:space="preserve">elevo, plataforma que permite el servicio de interpretación en línea. En adición, Audifarma ha generado directrices, medidas, instrucciones y capacitaciones para que haya una atención especial y personalizada, y ha dotado sus instalaciones </w:t>
      </w:r>
      <w:r w:rsidR="00E2170B" w:rsidRPr="00DE6F0A">
        <w:rPr>
          <w:rFonts w:ascii="Arial Narrow" w:hAnsi="Arial Narrow"/>
          <w:sz w:val="26"/>
          <w:szCs w:val="26"/>
        </w:rPr>
        <w:t xml:space="preserve">de </w:t>
      </w:r>
      <w:r w:rsidR="001331EB" w:rsidRPr="00DE6F0A">
        <w:rPr>
          <w:rFonts w:ascii="Arial Narrow" w:hAnsi="Arial Narrow"/>
          <w:sz w:val="26"/>
          <w:szCs w:val="26"/>
        </w:rPr>
        <w:t>juegos de señales y combinación de diversas estrategias para mejorar la atención, por lo que se considera la existencia de un hecho superado, pues lo que se pretende fue implementado en el desarrollo de la actuación.</w:t>
      </w:r>
    </w:p>
    <w:p w14:paraId="49A3236F" w14:textId="77777777" w:rsidR="001331EB" w:rsidRPr="00DE6F0A" w:rsidRDefault="001331EB" w:rsidP="00DE6F0A">
      <w:pPr>
        <w:pStyle w:val="Sinespaciado"/>
        <w:spacing w:line="276" w:lineRule="auto"/>
        <w:jc w:val="both"/>
        <w:rPr>
          <w:rFonts w:ascii="Arial Narrow" w:hAnsi="Arial Narrow"/>
          <w:sz w:val="26"/>
          <w:szCs w:val="26"/>
        </w:rPr>
      </w:pPr>
    </w:p>
    <w:p w14:paraId="1293411A" w14:textId="767BE2A3" w:rsidR="001331EB" w:rsidRPr="00DE6F0A" w:rsidRDefault="001331EB" w:rsidP="00DE6F0A">
      <w:pPr>
        <w:pStyle w:val="Sinespaciado"/>
        <w:spacing w:line="276" w:lineRule="auto"/>
        <w:jc w:val="both"/>
        <w:rPr>
          <w:rFonts w:ascii="Arial Narrow" w:hAnsi="Arial Narrow"/>
          <w:sz w:val="26"/>
          <w:szCs w:val="26"/>
        </w:rPr>
      </w:pPr>
      <w:r w:rsidRPr="00DE6F0A">
        <w:rPr>
          <w:rFonts w:ascii="Arial Narrow" w:hAnsi="Arial Narrow"/>
          <w:sz w:val="26"/>
          <w:szCs w:val="26"/>
        </w:rPr>
        <w:t>Criticó de igual modo la</w:t>
      </w:r>
      <w:r w:rsidR="00635763" w:rsidRPr="00DE6F0A">
        <w:rPr>
          <w:rFonts w:ascii="Arial Narrow" w:hAnsi="Arial Narrow"/>
          <w:sz w:val="26"/>
          <w:szCs w:val="26"/>
        </w:rPr>
        <w:t>s</w:t>
      </w:r>
      <w:r w:rsidRPr="00DE6F0A">
        <w:rPr>
          <w:rFonts w:ascii="Arial Narrow" w:hAnsi="Arial Narrow"/>
          <w:sz w:val="26"/>
          <w:szCs w:val="26"/>
        </w:rPr>
        <w:t xml:space="preserve"> agencias en derecho </w:t>
      </w:r>
      <w:r w:rsidR="00635763" w:rsidRPr="00DE6F0A">
        <w:rPr>
          <w:rFonts w:ascii="Arial Narrow" w:hAnsi="Arial Narrow"/>
          <w:sz w:val="26"/>
          <w:szCs w:val="26"/>
        </w:rPr>
        <w:t>señaladas.</w:t>
      </w:r>
    </w:p>
    <w:p w14:paraId="2A61B0E5" w14:textId="4D45710F" w:rsidR="00374490" w:rsidRPr="00DE6F0A" w:rsidRDefault="00374490" w:rsidP="00DE6F0A">
      <w:pPr>
        <w:pStyle w:val="Sinespaciado"/>
        <w:spacing w:line="276" w:lineRule="auto"/>
        <w:jc w:val="both"/>
        <w:rPr>
          <w:rFonts w:ascii="Arial Narrow" w:hAnsi="Arial Narrow"/>
          <w:bCs/>
          <w:sz w:val="26"/>
          <w:szCs w:val="26"/>
        </w:rPr>
      </w:pPr>
    </w:p>
    <w:p w14:paraId="7C0F3E1D" w14:textId="0365599F" w:rsidR="006C21E0" w:rsidRPr="00DE6F0A" w:rsidRDefault="006C21E0"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Al momento de sustentar la alzada</w:t>
      </w:r>
      <w:r w:rsidR="009B0441" w:rsidRPr="00DE6F0A">
        <w:rPr>
          <w:rStyle w:val="Refdenotaalpie"/>
          <w:rFonts w:ascii="Arial Narrow" w:hAnsi="Arial Narrow"/>
          <w:bCs/>
          <w:sz w:val="26"/>
          <w:szCs w:val="26"/>
        </w:rPr>
        <w:footnoteReference w:id="26"/>
      </w:r>
      <w:r w:rsidR="00A87537" w:rsidRPr="00DE6F0A">
        <w:rPr>
          <w:rFonts w:ascii="Arial Narrow" w:hAnsi="Arial Narrow"/>
          <w:bCs/>
          <w:sz w:val="26"/>
          <w:szCs w:val="26"/>
        </w:rPr>
        <w:t xml:space="preserve">, la señalada sociedad </w:t>
      </w:r>
      <w:r w:rsidR="00EC0C8D" w:rsidRPr="00DE6F0A">
        <w:rPr>
          <w:rFonts w:ascii="Arial Narrow" w:hAnsi="Arial Narrow"/>
          <w:bCs/>
          <w:sz w:val="26"/>
          <w:szCs w:val="26"/>
        </w:rPr>
        <w:t xml:space="preserve">desbordó el marco de los reparos que ella misma </w:t>
      </w:r>
      <w:r w:rsidR="00E453D8" w:rsidRPr="00DE6F0A">
        <w:rPr>
          <w:rFonts w:ascii="Arial Narrow" w:hAnsi="Arial Narrow"/>
          <w:bCs/>
          <w:sz w:val="26"/>
          <w:szCs w:val="26"/>
        </w:rPr>
        <w:t>delineó</w:t>
      </w:r>
      <w:r w:rsidR="00EC0C8D" w:rsidRPr="00DE6F0A">
        <w:rPr>
          <w:rFonts w:ascii="Arial Narrow" w:hAnsi="Arial Narrow"/>
          <w:bCs/>
          <w:sz w:val="26"/>
          <w:szCs w:val="26"/>
        </w:rPr>
        <w:t xml:space="preserve"> en primer grado. En efecto</w:t>
      </w:r>
      <w:r w:rsidR="009B2541" w:rsidRPr="00DE6F0A">
        <w:rPr>
          <w:rFonts w:ascii="Arial Narrow" w:hAnsi="Arial Narrow"/>
          <w:bCs/>
          <w:sz w:val="26"/>
          <w:szCs w:val="26"/>
        </w:rPr>
        <w:t xml:space="preserve">, </w:t>
      </w:r>
      <w:r w:rsidR="008E55DD" w:rsidRPr="00DE6F0A">
        <w:rPr>
          <w:rFonts w:ascii="Arial Narrow" w:hAnsi="Arial Narrow"/>
          <w:bCs/>
          <w:sz w:val="26"/>
          <w:szCs w:val="26"/>
        </w:rPr>
        <w:t>esbozó</w:t>
      </w:r>
      <w:r w:rsidR="009B2541" w:rsidRPr="00DE6F0A">
        <w:rPr>
          <w:rFonts w:ascii="Arial Narrow" w:hAnsi="Arial Narrow"/>
          <w:bCs/>
          <w:sz w:val="26"/>
          <w:szCs w:val="26"/>
        </w:rPr>
        <w:t xml:space="preserve"> </w:t>
      </w:r>
      <w:r w:rsidR="00206FBB" w:rsidRPr="00DE6F0A">
        <w:rPr>
          <w:rFonts w:ascii="Arial Narrow" w:hAnsi="Arial Narrow"/>
          <w:bCs/>
          <w:sz w:val="26"/>
          <w:szCs w:val="26"/>
        </w:rPr>
        <w:t>cuestiones como las siguientes</w:t>
      </w:r>
      <w:r w:rsidR="009B2541" w:rsidRPr="00DE6F0A">
        <w:rPr>
          <w:rFonts w:ascii="Arial Narrow" w:hAnsi="Arial Narrow"/>
          <w:bCs/>
          <w:sz w:val="26"/>
          <w:szCs w:val="26"/>
        </w:rPr>
        <w:t>:</w:t>
      </w:r>
    </w:p>
    <w:p w14:paraId="7AB8507E" w14:textId="0BF4DC53" w:rsidR="00206FBB" w:rsidRPr="00DE6F0A" w:rsidRDefault="00206FBB" w:rsidP="00DE6F0A">
      <w:pPr>
        <w:pStyle w:val="Sinespaciado"/>
        <w:spacing w:line="276" w:lineRule="auto"/>
        <w:jc w:val="both"/>
        <w:rPr>
          <w:rFonts w:ascii="Arial Narrow" w:hAnsi="Arial Narrow"/>
          <w:bCs/>
          <w:sz w:val="26"/>
          <w:szCs w:val="26"/>
        </w:rPr>
      </w:pPr>
    </w:p>
    <w:p w14:paraId="571F7234" w14:textId="3AAA6C58" w:rsidR="00236965" w:rsidRPr="00DE6F0A" w:rsidRDefault="00236965" w:rsidP="00DE6F0A">
      <w:pPr>
        <w:pStyle w:val="Sinespaciado"/>
        <w:numPr>
          <w:ilvl w:val="0"/>
          <w:numId w:val="2"/>
        </w:numPr>
        <w:spacing w:line="276" w:lineRule="auto"/>
        <w:jc w:val="both"/>
        <w:rPr>
          <w:rFonts w:ascii="Arial Narrow" w:hAnsi="Arial Narrow"/>
          <w:bCs/>
          <w:sz w:val="26"/>
          <w:szCs w:val="26"/>
        </w:rPr>
      </w:pPr>
      <w:r w:rsidRPr="00DE6F0A">
        <w:rPr>
          <w:rFonts w:ascii="Arial Narrow" w:hAnsi="Arial Narrow"/>
          <w:bCs/>
          <w:sz w:val="26"/>
          <w:szCs w:val="26"/>
        </w:rPr>
        <w:t>N</w:t>
      </w:r>
      <w:r w:rsidR="00DD7C96" w:rsidRPr="00DE6F0A">
        <w:rPr>
          <w:rFonts w:ascii="Arial Narrow" w:hAnsi="Arial Narrow"/>
          <w:bCs/>
          <w:sz w:val="26"/>
          <w:szCs w:val="26"/>
        </w:rPr>
        <w:t>o</w:t>
      </w:r>
      <w:r w:rsidRPr="00DE6F0A">
        <w:rPr>
          <w:rFonts w:ascii="Arial Narrow" w:hAnsi="Arial Narrow"/>
          <w:bCs/>
          <w:sz w:val="26"/>
          <w:szCs w:val="26"/>
        </w:rPr>
        <w:t xml:space="preserve"> resulta razonable </w:t>
      </w:r>
      <w:r w:rsidR="00BA04B8" w:rsidRPr="00DE6F0A">
        <w:rPr>
          <w:rFonts w:ascii="Arial Narrow" w:hAnsi="Arial Narrow"/>
          <w:bCs/>
          <w:sz w:val="26"/>
          <w:szCs w:val="26"/>
        </w:rPr>
        <w:t xml:space="preserve">lo ordenado </w:t>
      </w:r>
      <w:r w:rsidRPr="00DE6F0A">
        <w:rPr>
          <w:rFonts w:ascii="Arial Narrow" w:hAnsi="Arial Narrow"/>
          <w:bCs/>
          <w:sz w:val="26"/>
          <w:szCs w:val="26"/>
        </w:rPr>
        <w:t>habida cuenta que</w:t>
      </w:r>
      <w:r w:rsidR="002B13B0" w:rsidRPr="00DE6F0A">
        <w:rPr>
          <w:rFonts w:ascii="Arial Narrow" w:hAnsi="Arial Narrow"/>
          <w:bCs/>
          <w:sz w:val="26"/>
          <w:szCs w:val="26"/>
        </w:rPr>
        <w:t>,</w:t>
      </w:r>
      <w:r w:rsidRPr="00DE6F0A">
        <w:rPr>
          <w:rFonts w:ascii="Arial Narrow" w:hAnsi="Arial Narrow"/>
          <w:bCs/>
          <w:sz w:val="26"/>
          <w:szCs w:val="26"/>
        </w:rPr>
        <w:t xml:space="preserve"> en diferentes direcciones</w:t>
      </w:r>
      <w:r w:rsidR="00BA04B8" w:rsidRPr="00DE6F0A">
        <w:rPr>
          <w:rFonts w:ascii="Arial Narrow" w:hAnsi="Arial Narrow"/>
          <w:bCs/>
          <w:sz w:val="26"/>
          <w:szCs w:val="26"/>
        </w:rPr>
        <w:t xml:space="preserve"> </w:t>
      </w:r>
      <w:r w:rsidRPr="00DE6F0A">
        <w:rPr>
          <w:rFonts w:ascii="Arial Narrow" w:hAnsi="Arial Narrow"/>
          <w:bCs/>
          <w:sz w:val="26"/>
          <w:szCs w:val="26"/>
        </w:rPr>
        <w:t xml:space="preserve">relacionadas por el actor popular, se evidencian </w:t>
      </w:r>
      <w:r w:rsidR="00C535C2" w:rsidRPr="00DE6F0A">
        <w:rPr>
          <w:rFonts w:ascii="Arial Narrow" w:hAnsi="Arial Narrow"/>
          <w:bCs/>
          <w:sz w:val="26"/>
          <w:szCs w:val="26"/>
        </w:rPr>
        <w:t>nomenclaturas</w:t>
      </w:r>
      <w:r w:rsidRPr="00DE6F0A">
        <w:rPr>
          <w:rFonts w:ascii="Arial Narrow" w:hAnsi="Arial Narrow"/>
          <w:bCs/>
          <w:sz w:val="26"/>
          <w:szCs w:val="26"/>
        </w:rPr>
        <w:t xml:space="preserve"> inexactas o inexistentes</w:t>
      </w:r>
      <w:r w:rsidR="00BA04B8" w:rsidRPr="00DE6F0A">
        <w:rPr>
          <w:rFonts w:ascii="Arial Narrow" w:hAnsi="Arial Narrow"/>
          <w:bCs/>
          <w:sz w:val="26"/>
          <w:szCs w:val="26"/>
        </w:rPr>
        <w:t xml:space="preserve">, </w:t>
      </w:r>
      <w:r w:rsidR="00D343F1" w:rsidRPr="00DE6F0A">
        <w:rPr>
          <w:rFonts w:ascii="Arial Narrow" w:hAnsi="Arial Narrow"/>
          <w:bCs/>
          <w:sz w:val="26"/>
          <w:szCs w:val="26"/>
        </w:rPr>
        <w:t xml:space="preserve">en otras </w:t>
      </w:r>
      <w:r w:rsidR="00BA04B8" w:rsidRPr="00DE6F0A">
        <w:rPr>
          <w:rFonts w:ascii="Arial Narrow" w:hAnsi="Arial Narrow"/>
          <w:bCs/>
          <w:sz w:val="26"/>
          <w:szCs w:val="26"/>
        </w:rPr>
        <w:t>se produjo traslado</w:t>
      </w:r>
      <w:r w:rsidR="00D343F1" w:rsidRPr="00DE6F0A">
        <w:rPr>
          <w:rFonts w:ascii="Arial Narrow" w:hAnsi="Arial Narrow"/>
          <w:bCs/>
          <w:sz w:val="26"/>
          <w:szCs w:val="26"/>
        </w:rPr>
        <w:t xml:space="preserve"> y ya no funciona la entidad, dos direcciones no prestan servicio al público sino hospitalario, y en otra</w:t>
      </w:r>
      <w:r w:rsidR="00A17342" w:rsidRPr="00DE6F0A">
        <w:rPr>
          <w:rFonts w:ascii="Arial Narrow" w:hAnsi="Arial Narrow"/>
          <w:bCs/>
          <w:sz w:val="26"/>
          <w:szCs w:val="26"/>
        </w:rPr>
        <w:t xml:space="preserve"> lo que funcionan son oficinas administrativas y bodegas</w:t>
      </w:r>
      <w:r w:rsidR="00BA04B8" w:rsidRPr="00DE6F0A">
        <w:rPr>
          <w:rFonts w:ascii="Arial Narrow" w:hAnsi="Arial Narrow"/>
          <w:bCs/>
          <w:sz w:val="26"/>
          <w:szCs w:val="26"/>
        </w:rPr>
        <w:t>.</w:t>
      </w:r>
    </w:p>
    <w:p w14:paraId="370B34BA" w14:textId="77777777" w:rsidR="00E50728" w:rsidRPr="00DE6F0A" w:rsidRDefault="00E50728" w:rsidP="00DE6F0A">
      <w:pPr>
        <w:pStyle w:val="Sinespaciado"/>
        <w:spacing w:line="276" w:lineRule="auto"/>
        <w:ind w:left="720"/>
        <w:jc w:val="both"/>
        <w:rPr>
          <w:rFonts w:ascii="Arial Narrow" w:hAnsi="Arial Narrow"/>
          <w:bCs/>
          <w:sz w:val="26"/>
          <w:szCs w:val="26"/>
        </w:rPr>
      </w:pPr>
    </w:p>
    <w:p w14:paraId="2C0BB3CE" w14:textId="43F2855C" w:rsidR="00BA04B8" w:rsidRPr="00DE6F0A" w:rsidRDefault="00BA04B8" w:rsidP="00DE6F0A">
      <w:pPr>
        <w:pStyle w:val="Sinespaciado"/>
        <w:numPr>
          <w:ilvl w:val="0"/>
          <w:numId w:val="2"/>
        </w:numPr>
        <w:spacing w:line="276" w:lineRule="auto"/>
        <w:jc w:val="both"/>
        <w:rPr>
          <w:rFonts w:ascii="Arial Narrow" w:hAnsi="Arial Narrow"/>
          <w:bCs/>
          <w:sz w:val="26"/>
          <w:szCs w:val="26"/>
        </w:rPr>
      </w:pPr>
      <w:r w:rsidRPr="00DE6F0A">
        <w:rPr>
          <w:rFonts w:ascii="Arial Narrow" w:hAnsi="Arial Narrow"/>
          <w:bCs/>
          <w:sz w:val="26"/>
          <w:szCs w:val="26"/>
        </w:rPr>
        <w:t>El actor no cumplió la carga de demostrar</w:t>
      </w:r>
      <w:r w:rsidR="00BE7696" w:rsidRPr="00DE6F0A">
        <w:rPr>
          <w:rFonts w:ascii="Arial Narrow" w:hAnsi="Arial Narrow"/>
          <w:bCs/>
          <w:sz w:val="26"/>
          <w:szCs w:val="26"/>
        </w:rPr>
        <w:t xml:space="preserve"> los supuestos causantes de la vulneración</w:t>
      </w:r>
      <w:r w:rsidR="008C35FB" w:rsidRPr="00DE6F0A">
        <w:rPr>
          <w:rFonts w:ascii="Arial Narrow" w:hAnsi="Arial Narrow"/>
          <w:bCs/>
          <w:sz w:val="26"/>
          <w:szCs w:val="26"/>
        </w:rPr>
        <w:t>, y el juez debió realizar todas las gestiones tendientes a esclarecer los</w:t>
      </w:r>
      <w:r w:rsidR="002D49A3" w:rsidRPr="00DE6F0A">
        <w:rPr>
          <w:rFonts w:ascii="Arial Narrow" w:hAnsi="Arial Narrow"/>
          <w:bCs/>
          <w:sz w:val="26"/>
          <w:szCs w:val="26"/>
        </w:rPr>
        <w:t xml:space="preserve"> hechos materia de controversia, pero </w:t>
      </w:r>
      <w:r w:rsidR="00827EA6" w:rsidRPr="00DE6F0A">
        <w:rPr>
          <w:rFonts w:ascii="Arial Narrow" w:hAnsi="Arial Narrow"/>
          <w:bCs/>
          <w:sz w:val="26"/>
          <w:szCs w:val="26"/>
        </w:rPr>
        <w:t xml:space="preserve">lo </w:t>
      </w:r>
      <w:r w:rsidR="002D49A3" w:rsidRPr="00DE6F0A">
        <w:rPr>
          <w:rFonts w:ascii="Arial Narrow" w:hAnsi="Arial Narrow"/>
          <w:bCs/>
          <w:sz w:val="26"/>
          <w:szCs w:val="26"/>
        </w:rPr>
        <w:t>omitió al no realizar la debida investigación y constatación de la vulneración</w:t>
      </w:r>
      <w:r w:rsidR="00242253" w:rsidRPr="00DE6F0A">
        <w:rPr>
          <w:rFonts w:ascii="Arial Narrow" w:hAnsi="Arial Narrow"/>
          <w:bCs/>
          <w:sz w:val="26"/>
          <w:szCs w:val="26"/>
        </w:rPr>
        <w:t>, u ordenar pruebas de oficio como la inspección.</w:t>
      </w:r>
    </w:p>
    <w:p w14:paraId="49F2E054" w14:textId="77777777" w:rsidR="00E50728" w:rsidRPr="00DE6F0A" w:rsidRDefault="00E50728" w:rsidP="00DE6F0A">
      <w:pPr>
        <w:pStyle w:val="Sinespaciado"/>
        <w:spacing w:line="276" w:lineRule="auto"/>
        <w:jc w:val="both"/>
        <w:rPr>
          <w:rFonts w:ascii="Arial Narrow" w:hAnsi="Arial Narrow"/>
          <w:bCs/>
          <w:sz w:val="26"/>
          <w:szCs w:val="26"/>
        </w:rPr>
      </w:pPr>
    </w:p>
    <w:p w14:paraId="0CF1C5EC" w14:textId="77777777" w:rsidR="00E50728" w:rsidRPr="00DE6F0A" w:rsidRDefault="00EF2E52" w:rsidP="00DE6F0A">
      <w:pPr>
        <w:pStyle w:val="Sinespaciado"/>
        <w:numPr>
          <w:ilvl w:val="0"/>
          <w:numId w:val="2"/>
        </w:numPr>
        <w:spacing w:line="276" w:lineRule="auto"/>
        <w:jc w:val="both"/>
        <w:rPr>
          <w:rFonts w:ascii="Arial Narrow" w:hAnsi="Arial Narrow"/>
          <w:bCs/>
          <w:sz w:val="26"/>
          <w:szCs w:val="26"/>
          <w:u w:val="single"/>
        </w:rPr>
      </w:pPr>
      <w:r w:rsidRPr="00DE6F0A">
        <w:rPr>
          <w:rFonts w:ascii="Arial Narrow" w:hAnsi="Arial Narrow"/>
          <w:bCs/>
          <w:sz w:val="26"/>
          <w:szCs w:val="26"/>
        </w:rPr>
        <w:t>En los centros de atención farmacéutica restantes s</w:t>
      </w:r>
      <w:r w:rsidR="00157C14" w:rsidRPr="00DE6F0A">
        <w:rPr>
          <w:rFonts w:ascii="Arial Narrow" w:hAnsi="Arial Narrow"/>
          <w:bCs/>
          <w:sz w:val="26"/>
          <w:szCs w:val="26"/>
        </w:rPr>
        <w:t>í se cumple el artículo 8 de la Ley 982 de 200</w:t>
      </w:r>
      <w:r w:rsidR="00D27F24" w:rsidRPr="00DE6F0A">
        <w:rPr>
          <w:rFonts w:ascii="Arial Narrow" w:hAnsi="Arial Narrow"/>
          <w:bCs/>
          <w:sz w:val="26"/>
          <w:szCs w:val="26"/>
        </w:rPr>
        <w:t>5</w:t>
      </w:r>
      <w:r w:rsidR="00157C14" w:rsidRPr="00DE6F0A">
        <w:rPr>
          <w:rFonts w:ascii="Arial Narrow" w:hAnsi="Arial Narrow"/>
          <w:bCs/>
          <w:sz w:val="26"/>
          <w:szCs w:val="26"/>
        </w:rPr>
        <w:t xml:space="preserve">, así: </w:t>
      </w:r>
    </w:p>
    <w:p w14:paraId="3242A9B4" w14:textId="77777777" w:rsidR="00E50728" w:rsidRPr="00DE6F0A" w:rsidRDefault="00E50728" w:rsidP="00DE6F0A">
      <w:pPr>
        <w:pStyle w:val="Prrafodelista"/>
        <w:spacing w:line="276" w:lineRule="auto"/>
        <w:rPr>
          <w:rFonts w:ascii="Arial Narrow" w:hAnsi="Arial Narrow"/>
          <w:bCs/>
          <w:sz w:val="26"/>
          <w:szCs w:val="26"/>
        </w:rPr>
      </w:pPr>
    </w:p>
    <w:p w14:paraId="25B32457" w14:textId="77777777" w:rsidR="00E50728" w:rsidRPr="00DE6F0A" w:rsidRDefault="008D00C6" w:rsidP="00DE6F0A">
      <w:pPr>
        <w:pStyle w:val="Sinespaciado"/>
        <w:spacing w:line="276" w:lineRule="auto"/>
        <w:ind w:left="720"/>
        <w:jc w:val="both"/>
        <w:rPr>
          <w:rFonts w:ascii="Arial Narrow" w:hAnsi="Arial Narrow"/>
          <w:bCs/>
          <w:sz w:val="26"/>
          <w:szCs w:val="26"/>
        </w:rPr>
      </w:pPr>
      <w:r w:rsidRPr="00DE6F0A">
        <w:rPr>
          <w:rFonts w:ascii="Arial Narrow" w:hAnsi="Arial Narrow"/>
          <w:bCs/>
          <w:sz w:val="26"/>
          <w:szCs w:val="26"/>
        </w:rPr>
        <w:t>a</w:t>
      </w:r>
      <w:r w:rsidR="00157C14" w:rsidRPr="00DE6F0A">
        <w:rPr>
          <w:rFonts w:ascii="Arial Narrow" w:hAnsi="Arial Narrow"/>
          <w:bCs/>
          <w:sz w:val="26"/>
          <w:szCs w:val="26"/>
        </w:rPr>
        <w:t xml:space="preserve">) </w:t>
      </w:r>
      <w:r w:rsidRPr="00DE6F0A">
        <w:rPr>
          <w:rFonts w:ascii="Arial Narrow" w:hAnsi="Arial Narrow"/>
          <w:bCs/>
          <w:sz w:val="26"/>
          <w:szCs w:val="26"/>
        </w:rPr>
        <w:t>A</w:t>
      </w:r>
      <w:r w:rsidR="00157C14" w:rsidRPr="00DE6F0A">
        <w:rPr>
          <w:rFonts w:ascii="Arial Narrow" w:hAnsi="Arial Narrow"/>
          <w:bCs/>
          <w:sz w:val="26"/>
          <w:szCs w:val="26"/>
        </w:rPr>
        <w:t>naliza la norma para concluir que su aplicación es paulatina y</w:t>
      </w:r>
      <w:r w:rsidR="00790602" w:rsidRPr="00DE6F0A">
        <w:rPr>
          <w:rFonts w:ascii="Arial Narrow" w:hAnsi="Arial Narrow"/>
          <w:bCs/>
          <w:sz w:val="26"/>
          <w:szCs w:val="26"/>
        </w:rPr>
        <w:t xml:space="preserve"> no genera una obligación como la pretendida por el actor popular; </w:t>
      </w:r>
    </w:p>
    <w:p w14:paraId="188B5E17" w14:textId="77777777" w:rsidR="00E50728" w:rsidRPr="00DE6F0A" w:rsidRDefault="00E50728" w:rsidP="00DE6F0A">
      <w:pPr>
        <w:pStyle w:val="Sinespaciado"/>
        <w:spacing w:line="276" w:lineRule="auto"/>
        <w:ind w:left="720"/>
        <w:jc w:val="both"/>
        <w:rPr>
          <w:rFonts w:ascii="Arial Narrow" w:hAnsi="Arial Narrow"/>
          <w:bCs/>
          <w:sz w:val="26"/>
          <w:szCs w:val="26"/>
        </w:rPr>
      </w:pPr>
    </w:p>
    <w:p w14:paraId="009297B0" w14:textId="2E51F0B0" w:rsidR="00E50728" w:rsidRPr="00DE6F0A" w:rsidRDefault="008D00C6" w:rsidP="00DE6F0A">
      <w:pPr>
        <w:pStyle w:val="Sinespaciado"/>
        <w:spacing w:line="276" w:lineRule="auto"/>
        <w:ind w:left="720"/>
        <w:jc w:val="both"/>
        <w:rPr>
          <w:rFonts w:ascii="Arial Narrow" w:hAnsi="Arial Narrow"/>
          <w:bCs/>
          <w:sz w:val="26"/>
          <w:szCs w:val="26"/>
        </w:rPr>
      </w:pPr>
      <w:r w:rsidRPr="00DE6F0A">
        <w:rPr>
          <w:rFonts w:ascii="Arial Narrow" w:hAnsi="Arial Narrow"/>
          <w:bCs/>
          <w:sz w:val="26"/>
          <w:szCs w:val="26"/>
        </w:rPr>
        <w:t>b</w:t>
      </w:r>
      <w:r w:rsidR="00790602" w:rsidRPr="00DE6F0A">
        <w:rPr>
          <w:rFonts w:ascii="Arial Narrow" w:hAnsi="Arial Narrow"/>
          <w:bCs/>
          <w:sz w:val="26"/>
          <w:szCs w:val="26"/>
        </w:rPr>
        <w:t>) cu</w:t>
      </w:r>
      <w:r w:rsidRPr="00DE6F0A">
        <w:rPr>
          <w:rFonts w:ascii="Arial Narrow" w:hAnsi="Arial Narrow"/>
          <w:bCs/>
          <w:sz w:val="26"/>
          <w:szCs w:val="26"/>
        </w:rPr>
        <w:t>e</w:t>
      </w:r>
      <w:r w:rsidR="00790602" w:rsidRPr="00DE6F0A">
        <w:rPr>
          <w:rFonts w:ascii="Arial Narrow" w:hAnsi="Arial Narrow"/>
          <w:bCs/>
          <w:sz w:val="26"/>
          <w:szCs w:val="26"/>
        </w:rPr>
        <w:t>n</w:t>
      </w:r>
      <w:r w:rsidRPr="00DE6F0A">
        <w:rPr>
          <w:rFonts w:ascii="Arial Narrow" w:hAnsi="Arial Narrow"/>
          <w:bCs/>
          <w:sz w:val="26"/>
          <w:szCs w:val="26"/>
        </w:rPr>
        <w:t>ta</w:t>
      </w:r>
      <w:r w:rsidR="00790602" w:rsidRPr="00DE6F0A">
        <w:rPr>
          <w:rFonts w:ascii="Arial Narrow" w:hAnsi="Arial Narrow"/>
          <w:bCs/>
          <w:sz w:val="26"/>
          <w:szCs w:val="26"/>
        </w:rPr>
        <w:t xml:space="preserve"> con otr</w:t>
      </w:r>
      <w:r w:rsidRPr="00DE6F0A">
        <w:rPr>
          <w:rFonts w:ascii="Arial Narrow" w:hAnsi="Arial Narrow"/>
          <w:bCs/>
          <w:sz w:val="26"/>
          <w:szCs w:val="26"/>
        </w:rPr>
        <w:t>a</w:t>
      </w:r>
      <w:r w:rsidR="00790602" w:rsidRPr="00DE6F0A">
        <w:rPr>
          <w:rFonts w:ascii="Arial Narrow" w:hAnsi="Arial Narrow"/>
          <w:bCs/>
          <w:sz w:val="26"/>
          <w:szCs w:val="26"/>
        </w:rPr>
        <w:t xml:space="preserve">s </w:t>
      </w:r>
      <w:r w:rsidRPr="00DE6F0A">
        <w:rPr>
          <w:rFonts w:ascii="Arial Narrow" w:hAnsi="Arial Narrow"/>
          <w:bCs/>
          <w:sz w:val="26"/>
          <w:szCs w:val="26"/>
        </w:rPr>
        <w:t xml:space="preserve">modalidades </w:t>
      </w:r>
      <w:r w:rsidR="00790602" w:rsidRPr="00DE6F0A">
        <w:rPr>
          <w:rFonts w:ascii="Arial Narrow" w:hAnsi="Arial Narrow"/>
          <w:bCs/>
          <w:sz w:val="26"/>
          <w:szCs w:val="26"/>
        </w:rPr>
        <w:t>para</w:t>
      </w:r>
      <w:r w:rsidRPr="00DE6F0A">
        <w:rPr>
          <w:rFonts w:ascii="Arial Narrow" w:hAnsi="Arial Narrow"/>
          <w:bCs/>
          <w:sz w:val="26"/>
          <w:szCs w:val="26"/>
        </w:rPr>
        <w:t xml:space="preserve"> la</w:t>
      </w:r>
      <w:r w:rsidR="00790602" w:rsidRPr="00DE6F0A">
        <w:rPr>
          <w:rFonts w:ascii="Arial Narrow" w:hAnsi="Arial Narrow"/>
          <w:bCs/>
          <w:sz w:val="26"/>
          <w:szCs w:val="26"/>
        </w:rPr>
        <w:t xml:space="preserve"> dispensación de medicamentos como </w:t>
      </w:r>
      <w:r w:rsidR="0005448D" w:rsidRPr="00DE6F0A">
        <w:rPr>
          <w:rFonts w:ascii="Arial Narrow" w:hAnsi="Arial Narrow"/>
          <w:bCs/>
          <w:sz w:val="26"/>
          <w:szCs w:val="26"/>
        </w:rPr>
        <w:t xml:space="preserve">servicio </w:t>
      </w:r>
      <w:r w:rsidR="00790602" w:rsidRPr="00DE6F0A">
        <w:rPr>
          <w:rFonts w:ascii="Arial Narrow" w:hAnsi="Arial Narrow"/>
          <w:bCs/>
          <w:sz w:val="26"/>
          <w:szCs w:val="26"/>
        </w:rPr>
        <w:t>a domicilio</w:t>
      </w:r>
      <w:r w:rsidR="00261A12" w:rsidRPr="00DE6F0A">
        <w:rPr>
          <w:rFonts w:ascii="Arial Narrow" w:hAnsi="Arial Narrow"/>
          <w:bCs/>
          <w:sz w:val="26"/>
          <w:szCs w:val="26"/>
        </w:rPr>
        <w:t xml:space="preserve">, </w:t>
      </w:r>
      <w:r w:rsidR="0005448D" w:rsidRPr="00DE6F0A">
        <w:rPr>
          <w:rFonts w:ascii="Arial Narrow" w:hAnsi="Arial Narrow"/>
          <w:bCs/>
          <w:sz w:val="26"/>
          <w:szCs w:val="26"/>
        </w:rPr>
        <w:t xml:space="preserve">o </w:t>
      </w:r>
      <w:r w:rsidR="00261A12" w:rsidRPr="00DE6F0A">
        <w:rPr>
          <w:rFonts w:ascii="Arial Narrow" w:hAnsi="Arial Narrow"/>
          <w:bCs/>
          <w:sz w:val="26"/>
          <w:szCs w:val="26"/>
        </w:rPr>
        <w:t>a través de terceros autorizados o de la ap</w:t>
      </w:r>
      <w:r w:rsidR="0005448D" w:rsidRPr="00DE6F0A">
        <w:rPr>
          <w:rFonts w:ascii="Arial Narrow" w:hAnsi="Arial Narrow"/>
          <w:bCs/>
          <w:sz w:val="26"/>
          <w:szCs w:val="26"/>
        </w:rPr>
        <w:t>licación</w:t>
      </w:r>
      <w:r w:rsidR="00261A12" w:rsidRPr="00DE6F0A">
        <w:rPr>
          <w:rFonts w:ascii="Arial Narrow" w:hAnsi="Arial Narrow"/>
          <w:bCs/>
          <w:sz w:val="26"/>
          <w:szCs w:val="26"/>
        </w:rPr>
        <w:t xml:space="preserve"> </w:t>
      </w:r>
      <w:proofErr w:type="spellStart"/>
      <w:r w:rsidR="0005448D" w:rsidRPr="00DE6F0A">
        <w:rPr>
          <w:rFonts w:ascii="Arial Narrow" w:hAnsi="Arial Narrow"/>
          <w:bCs/>
          <w:sz w:val="26"/>
          <w:szCs w:val="26"/>
        </w:rPr>
        <w:t>A</w:t>
      </w:r>
      <w:r w:rsidR="008D1A09" w:rsidRPr="00DE6F0A">
        <w:rPr>
          <w:rFonts w:ascii="Arial Narrow" w:hAnsi="Arial Narrow"/>
          <w:bCs/>
          <w:sz w:val="26"/>
          <w:szCs w:val="26"/>
        </w:rPr>
        <w:t>UDIFARMAapp</w:t>
      </w:r>
      <w:proofErr w:type="spellEnd"/>
      <w:r w:rsidR="00261A12" w:rsidRPr="00DE6F0A">
        <w:rPr>
          <w:rFonts w:ascii="Arial Narrow" w:hAnsi="Arial Narrow"/>
          <w:bCs/>
          <w:sz w:val="26"/>
          <w:szCs w:val="26"/>
        </w:rPr>
        <w:t xml:space="preserve">, hipótesis donde </w:t>
      </w:r>
      <w:r w:rsidR="0005448D" w:rsidRPr="00DE6F0A">
        <w:rPr>
          <w:rFonts w:ascii="Arial Narrow" w:hAnsi="Arial Narrow"/>
          <w:bCs/>
          <w:sz w:val="26"/>
          <w:szCs w:val="26"/>
        </w:rPr>
        <w:t xml:space="preserve">el usuario </w:t>
      </w:r>
      <w:r w:rsidR="00261A12" w:rsidRPr="00DE6F0A">
        <w:rPr>
          <w:rFonts w:ascii="Arial Narrow" w:hAnsi="Arial Narrow"/>
          <w:bCs/>
          <w:sz w:val="26"/>
          <w:szCs w:val="26"/>
        </w:rPr>
        <w:t xml:space="preserve">no </w:t>
      </w:r>
      <w:r w:rsidR="0005448D" w:rsidRPr="00DE6F0A">
        <w:rPr>
          <w:rFonts w:ascii="Arial Narrow" w:hAnsi="Arial Narrow"/>
          <w:bCs/>
          <w:sz w:val="26"/>
          <w:szCs w:val="26"/>
        </w:rPr>
        <w:t xml:space="preserve">debe </w:t>
      </w:r>
      <w:r w:rsidR="00261A12" w:rsidRPr="00DE6F0A">
        <w:rPr>
          <w:rFonts w:ascii="Arial Narrow" w:hAnsi="Arial Narrow"/>
          <w:bCs/>
          <w:sz w:val="26"/>
          <w:szCs w:val="26"/>
        </w:rPr>
        <w:t>desplazarse hasta el centro de atención</w:t>
      </w:r>
      <w:r w:rsidR="005A3E55" w:rsidRPr="00DE6F0A">
        <w:rPr>
          <w:rFonts w:ascii="Arial Narrow" w:hAnsi="Arial Narrow"/>
          <w:bCs/>
          <w:sz w:val="26"/>
          <w:szCs w:val="26"/>
        </w:rPr>
        <w:t>; y</w:t>
      </w:r>
    </w:p>
    <w:p w14:paraId="10DDF6CE" w14:textId="77777777" w:rsidR="00E50728" w:rsidRPr="00DE6F0A" w:rsidRDefault="00E50728" w:rsidP="00DE6F0A">
      <w:pPr>
        <w:pStyle w:val="Sinespaciado"/>
        <w:spacing w:line="276" w:lineRule="auto"/>
        <w:ind w:left="720"/>
        <w:jc w:val="both"/>
        <w:rPr>
          <w:rFonts w:ascii="Arial Narrow" w:hAnsi="Arial Narrow"/>
          <w:bCs/>
          <w:sz w:val="26"/>
          <w:szCs w:val="26"/>
        </w:rPr>
      </w:pPr>
    </w:p>
    <w:p w14:paraId="3248C336" w14:textId="37995851" w:rsidR="00DD7C96" w:rsidRPr="00DE6F0A" w:rsidRDefault="00E954CC" w:rsidP="00DE6F0A">
      <w:pPr>
        <w:pStyle w:val="Sinespaciado"/>
        <w:spacing w:line="276" w:lineRule="auto"/>
        <w:ind w:left="720"/>
        <w:jc w:val="both"/>
        <w:rPr>
          <w:rFonts w:ascii="Arial Narrow" w:hAnsi="Arial Narrow"/>
          <w:bCs/>
          <w:sz w:val="26"/>
          <w:szCs w:val="26"/>
          <w:u w:val="single"/>
        </w:rPr>
      </w:pPr>
      <w:r w:rsidRPr="00DE6F0A">
        <w:rPr>
          <w:rFonts w:ascii="Arial Narrow" w:hAnsi="Arial Narrow"/>
          <w:bCs/>
          <w:sz w:val="26"/>
          <w:szCs w:val="26"/>
        </w:rPr>
        <w:t>c</w:t>
      </w:r>
      <w:r w:rsidR="005A3E55" w:rsidRPr="00DE6F0A">
        <w:rPr>
          <w:rFonts w:ascii="Arial Narrow" w:hAnsi="Arial Narrow"/>
          <w:bCs/>
          <w:sz w:val="26"/>
          <w:szCs w:val="26"/>
        </w:rPr>
        <w:t xml:space="preserve">) </w:t>
      </w:r>
      <w:r w:rsidR="005A3E55" w:rsidRPr="00DE6F0A">
        <w:rPr>
          <w:rFonts w:ascii="Arial Narrow" w:hAnsi="Arial Narrow"/>
          <w:bCs/>
          <w:sz w:val="26"/>
          <w:szCs w:val="26"/>
          <w:u w:val="single"/>
        </w:rPr>
        <w:t>la entidad se encuentra en un tránsito de adaptación a plataformas y herramientas tecnológicas</w:t>
      </w:r>
      <w:r w:rsidR="003203DB" w:rsidRPr="00DE6F0A">
        <w:rPr>
          <w:rFonts w:ascii="Arial Narrow" w:hAnsi="Arial Narrow"/>
          <w:bCs/>
          <w:sz w:val="26"/>
          <w:szCs w:val="26"/>
          <w:u w:val="single"/>
        </w:rPr>
        <w:t xml:space="preserve"> como el Centro de Relevo, que funciona en los </w:t>
      </w:r>
      <w:r w:rsidRPr="00DE6F0A">
        <w:rPr>
          <w:rFonts w:ascii="Arial Narrow" w:hAnsi="Arial Narrow"/>
          <w:bCs/>
          <w:sz w:val="26"/>
          <w:szCs w:val="26"/>
          <w:u w:val="single"/>
        </w:rPr>
        <w:t>c</w:t>
      </w:r>
      <w:r w:rsidR="003203DB" w:rsidRPr="00DE6F0A">
        <w:rPr>
          <w:rFonts w:ascii="Arial Narrow" w:hAnsi="Arial Narrow"/>
          <w:bCs/>
          <w:sz w:val="26"/>
          <w:szCs w:val="26"/>
          <w:u w:val="single"/>
        </w:rPr>
        <w:t xml:space="preserve">entros de </w:t>
      </w:r>
      <w:r w:rsidRPr="00DE6F0A">
        <w:rPr>
          <w:rFonts w:ascii="Arial Narrow" w:hAnsi="Arial Narrow"/>
          <w:bCs/>
          <w:sz w:val="26"/>
          <w:szCs w:val="26"/>
          <w:u w:val="single"/>
        </w:rPr>
        <w:t>a</w:t>
      </w:r>
      <w:r w:rsidR="003203DB" w:rsidRPr="00DE6F0A">
        <w:rPr>
          <w:rFonts w:ascii="Arial Narrow" w:hAnsi="Arial Narrow"/>
          <w:bCs/>
          <w:sz w:val="26"/>
          <w:szCs w:val="26"/>
          <w:u w:val="single"/>
        </w:rPr>
        <w:t xml:space="preserve">tención </w:t>
      </w:r>
      <w:r w:rsidRPr="00DE6F0A">
        <w:rPr>
          <w:rFonts w:ascii="Arial Narrow" w:hAnsi="Arial Narrow"/>
          <w:bCs/>
          <w:sz w:val="26"/>
          <w:szCs w:val="26"/>
          <w:u w:val="single"/>
        </w:rPr>
        <w:t>farmacéutica</w:t>
      </w:r>
      <w:r w:rsidR="003203DB" w:rsidRPr="00DE6F0A">
        <w:rPr>
          <w:rFonts w:ascii="Arial Narrow" w:hAnsi="Arial Narrow"/>
          <w:bCs/>
          <w:sz w:val="26"/>
          <w:szCs w:val="26"/>
          <w:u w:val="single"/>
        </w:rPr>
        <w:t xml:space="preserve"> con diadema y cámara web.</w:t>
      </w:r>
    </w:p>
    <w:p w14:paraId="1C95BDA6" w14:textId="77777777" w:rsidR="00E50728" w:rsidRPr="00DE6F0A" w:rsidRDefault="00E50728" w:rsidP="00DE6F0A">
      <w:pPr>
        <w:pStyle w:val="Sinespaciado"/>
        <w:spacing w:line="276" w:lineRule="auto"/>
        <w:ind w:left="720"/>
        <w:jc w:val="both"/>
        <w:rPr>
          <w:rFonts w:ascii="Arial Narrow" w:hAnsi="Arial Narrow"/>
          <w:bCs/>
          <w:sz w:val="26"/>
          <w:szCs w:val="26"/>
        </w:rPr>
      </w:pPr>
    </w:p>
    <w:p w14:paraId="7D44A6A4" w14:textId="251F786E" w:rsidR="00E14477" w:rsidRPr="00DE6F0A" w:rsidRDefault="00E14477" w:rsidP="00DE6F0A">
      <w:pPr>
        <w:pStyle w:val="Sinespaciado"/>
        <w:numPr>
          <w:ilvl w:val="0"/>
          <w:numId w:val="2"/>
        </w:numPr>
        <w:spacing w:line="276" w:lineRule="auto"/>
        <w:jc w:val="both"/>
        <w:rPr>
          <w:rFonts w:ascii="Arial Narrow" w:hAnsi="Arial Narrow"/>
          <w:bCs/>
          <w:sz w:val="26"/>
          <w:szCs w:val="26"/>
        </w:rPr>
      </w:pPr>
      <w:r w:rsidRPr="00DE6F0A">
        <w:rPr>
          <w:rFonts w:ascii="Arial Narrow" w:hAnsi="Arial Narrow"/>
          <w:bCs/>
          <w:sz w:val="26"/>
          <w:szCs w:val="26"/>
        </w:rPr>
        <w:t>Por último, señala que en las condiciones actuales de pandemia por el Covid-19</w:t>
      </w:r>
      <w:r w:rsidR="00BE12B4" w:rsidRPr="00DE6F0A">
        <w:rPr>
          <w:rFonts w:ascii="Arial Narrow" w:hAnsi="Arial Narrow"/>
          <w:bCs/>
          <w:sz w:val="26"/>
          <w:szCs w:val="26"/>
        </w:rPr>
        <w:t xml:space="preserve"> debe acatarse el aislamiento inteligente, </w:t>
      </w:r>
      <w:r w:rsidR="00225029" w:rsidRPr="00DE6F0A">
        <w:rPr>
          <w:rFonts w:ascii="Arial Narrow" w:hAnsi="Arial Narrow"/>
          <w:bCs/>
          <w:sz w:val="26"/>
          <w:szCs w:val="26"/>
        </w:rPr>
        <w:t xml:space="preserve">evitar aglomeraciones y salidas innecesarias </w:t>
      </w:r>
      <w:r w:rsidR="00C921C1" w:rsidRPr="00DE6F0A">
        <w:rPr>
          <w:rFonts w:ascii="Arial Narrow" w:hAnsi="Arial Narrow"/>
          <w:bCs/>
          <w:sz w:val="26"/>
          <w:szCs w:val="26"/>
        </w:rPr>
        <w:t>de</w:t>
      </w:r>
      <w:r w:rsidR="00225029" w:rsidRPr="00DE6F0A">
        <w:rPr>
          <w:rFonts w:ascii="Arial Narrow" w:hAnsi="Arial Narrow"/>
          <w:bCs/>
          <w:sz w:val="26"/>
          <w:szCs w:val="26"/>
        </w:rPr>
        <w:t xml:space="preserve"> la casa, y cada persona debe responder por su autocuidado, en virtud </w:t>
      </w:r>
      <w:r w:rsidR="00A76B7A" w:rsidRPr="00DE6F0A">
        <w:rPr>
          <w:rFonts w:ascii="Arial Narrow" w:hAnsi="Arial Narrow"/>
          <w:bCs/>
          <w:sz w:val="26"/>
          <w:szCs w:val="26"/>
        </w:rPr>
        <w:t>del principio de corresponsabilidad.</w:t>
      </w:r>
    </w:p>
    <w:p w14:paraId="25EC52A9" w14:textId="77777777" w:rsidR="00DD7C96" w:rsidRPr="00DE6F0A" w:rsidRDefault="00DD7C96" w:rsidP="00DE6F0A">
      <w:pPr>
        <w:pStyle w:val="Sinespaciado"/>
        <w:spacing w:line="276" w:lineRule="auto"/>
        <w:jc w:val="both"/>
        <w:rPr>
          <w:rFonts w:ascii="Arial Narrow" w:hAnsi="Arial Narrow"/>
          <w:bCs/>
          <w:sz w:val="26"/>
          <w:szCs w:val="26"/>
        </w:rPr>
      </w:pPr>
    </w:p>
    <w:p w14:paraId="0DEF7F09" w14:textId="2DF1CDE3" w:rsidR="00DD7C96" w:rsidRPr="00DE6F0A" w:rsidRDefault="00C44C1A"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lastRenderedPageBreak/>
        <w:t xml:space="preserve">Al hacer la correlación </w:t>
      </w:r>
      <w:r w:rsidR="00230D2C" w:rsidRPr="00DE6F0A">
        <w:rPr>
          <w:rFonts w:ascii="Arial Narrow" w:hAnsi="Arial Narrow"/>
          <w:bCs/>
          <w:sz w:val="26"/>
          <w:szCs w:val="26"/>
        </w:rPr>
        <w:t xml:space="preserve">necesaria </w:t>
      </w:r>
      <w:r w:rsidRPr="00DE6F0A">
        <w:rPr>
          <w:rFonts w:ascii="Arial Narrow" w:hAnsi="Arial Narrow"/>
          <w:bCs/>
          <w:sz w:val="26"/>
          <w:szCs w:val="26"/>
        </w:rPr>
        <w:t xml:space="preserve">entre </w:t>
      </w:r>
      <w:r w:rsidR="00E07911" w:rsidRPr="00DE6F0A">
        <w:rPr>
          <w:rFonts w:ascii="Arial Narrow" w:hAnsi="Arial Narrow"/>
          <w:bCs/>
          <w:sz w:val="26"/>
          <w:szCs w:val="26"/>
        </w:rPr>
        <w:t xml:space="preserve">los </w:t>
      </w:r>
      <w:r w:rsidRPr="00DE6F0A">
        <w:rPr>
          <w:rFonts w:ascii="Arial Narrow" w:hAnsi="Arial Narrow"/>
          <w:bCs/>
          <w:sz w:val="26"/>
          <w:szCs w:val="26"/>
        </w:rPr>
        <w:t xml:space="preserve">reparos </w:t>
      </w:r>
      <w:r w:rsidR="00230D2C" w:rsidRPr="00DE6F0A">
        <w:rPr>
          <w:rFonts w:ascii="Arial Narrow" w:hAnsi="Arial Narrow"/>
          <w:bCs/>
          <w:sz w:val="26"/>
          <w:szCs w:val="26"/>
        </w:rPr>
        <w:t>d</w:t>
      </w:r>
      <w:r w:rsidRPr="00DE6F0A">
        <w:rPr>
          <w:rFonts w:ascii="Arial Narrow" w:hAnsi="Arial Narrow"/>
          <w:bCs/>
          <w:sz w:val="26"/>
          <w:szCs w:val="26"/>
        </w:rPr>
        <w:t xml:space="preserve">e primera instancia y </w:t>
      </w:r>
      <w:r w:rsidR="00E07911" w:rsidRPr="00DE6F0A">
        <w:rPr>
          <w:rFonts w:ascii="Arial Narrow" w:hAnsi="Arial Narrow"/>
          <w:bCs/>
          <w:sz w:val="26"/>
          <w:szCs w:val="26"/>
        </w:rPr>
        <w:t xml:space="preserve">los </w:t>
      </w:r>
      <w:r w:rsidRPr="00DE6F0A">
        <w:rPr>
          <w:rFonts w:ascii="Arial Narrow" w:hAnsi="Arial Narrow"/>
          <w:bCs/>
          <w:sz w:val="26"/>
          <w:szCs w:val="26"/>
        </w:rPr>
        <w:t xml:space="preserve">argumentos de la sustentación, se concluye que solo </w:t>
      </w:r>
      <w:r w:rsidR="00CA0A8E" w:rsidRPr="00DE6F0A">
        <w:rPr>
          <w:rFonts w:ascii="Arial Narrow" w:hAnsi="Arial Narrow"/>
          <w:bCs/>
          <w:sz w:val="26"/>
          <w:szCs w:val="26"/>
        </w:rPr>
        <w:t xml:space="preserve">el indicado en el literal c) del numeral </w:t>
      </w:r>
      <w:proofErr w:type="spellStart"/>
      <w:r w:rsidR="00CA0A8E" w:rsidRPr="00DE6F0A">
        <w:rPr>
          <w:rFonts w:ascii="Arial Narrow" w:hAnsi="Arial Narrow"/>
          <w:bCs/>
          <w:sz w:val="26"/>
          <w:szCs w:val="26"/>
        </w:rPr>
        <w:t>iii</w:t>
      </w:r>
      <w:proofErr w:type="spellEnd"/>
      <w:r w:rsidR="00CA0A8E" w:rsidRPr="00DE6F0A">
        <w:rPr>
          <w:rFonts w:ascii="Arial Narrow" w:hAnsi="Arial Narrow"/>
          <w:bCs/>
          <w:sz w:val="26"/>
          <w:szCs w:val="26"/>
        </w:rPr>
        <w:t xml:space="preserve">) </w:t>
      </w:r>
      <w:r w:rsidR="00DE06B8" w:rsidRPr="00DE6F0A">
        <w:rPr>
          <w:rFonts w:ascii="Arial Narrow" w:hAnsi="Arial Narrow"/>
          <w:bCs/>
          <w:sz w:val="26"/>
          <w:szCs w:val="26"/>
        </w:rPr>
        <w:t xml:space="preserve">del párrafo que </w:t>
      </w:r>
      <w:r w:rsidR="00CA0A8E" w:rsidRPr="00DE6F0A">
        <w:rPr>
          <w:rFonts w:ascii="Arial Narrow" w:hAnsi="Arial Narrow"/>
          <w:bCs/>
          <w:sz w:val="26"/>
          <w:szCs w:val="26"/>
        </w:rPr>
        <w:t xml:space="preserve">precede </w:t>
      </w:r>
      <w:r w:rsidR="002164A8" w:rsidRPr="00DE6F0A">
        <w:rPr>
          <w:rFonts w:ascii="Arial Narrow" w:hAnsi="Arial Narrow"/>
          <w:bCs/>
          <w:sz w:val="26"/>
          <w:szCs w:val="26"/>
        </w:rPr>
        <w:t xml:space="preserve">constituye un desarrollo de </w:t>
      </w:r>
      <w:r w:rsidR="0066591F" w:rsidRPr="00DE6F0A">
        <w:rPr>
          <w:rFonts w:ascii="Arial Narrow" w:hAnsi="Arial Narrow"/>
          <w:bCs/>
          <w:sz w:val="26"/>
          <w:szCs w:val="26"/>
        </w:rPr>
        <w:t>aquellos</w:t>
      </w:r>
      <w:r w:rsidR="00230D2C" w:rsidRPr="00DE6F0A">
        <w:rPr>
          <w:rFonts w:ascii="Arial Narrow" w:hAnsi="Arial Narrow"/>
          <w:bCs/>
          <w:sz w:val="26"/>
          <w:szCs w:val="26"/>
        </w:rPr>
        <w:t xml:space="preserve"> expuestos ante el </w:t>
      </w:r>
      <w:r w:rsidR="003B6FF5" w:rsidRPr="00DE6F0A">
        <w:rPr>
          <w:rFonts w:ascii="Arial Narrow" w:hAnsi="Arial Narrow"/>
          <w:bCs/>
          <w:sz w:val="26"/>
          <w:szCs w:val="26"/>
        </w:rPr>
        <w:t>a quo</w:t>
      </w:r>
      <w:r w:rsidR="002164A8" w:rsidRPr="00DE6F0A">
        <w:rPr>
          <w:rFonts w:ascii="Arial Narrow" w:hAnsi="Arial Narrow"/>
          <w:bCs/>
          <w:sz w:val="26"/>
          <w:szCs w:val="26"/>
        </w:rPr>
        <w:t>, como lo exige el artículo 327 del CGP, acá aplicable</w:t>
      </w:r>
      <w:r w:rsidR="008F60F0" w:rsidRPr="00DE6F0A">
        <w:rPr>
          <w:rFonts w:ascii="Arial Narrow" w:hAnsi="Arial Narrow"/>
          <w:bCs/>
          <w:sz w:val="26"/>
          <w:szCs w:val="26"/>
        </w:rPr>
        <w:t xml:space="preserve"> por mandato del artículo 3</w:t>
      </w:r>
      <w:r w:rsidR="003052A8" w:rsidRPr="00DE6F0A">
        <w:rPr>
          <w:rFonts w:ascii="Arial Narrow" w:hAnsi="Arial Narrow"/>
          <w:bCs/>
          <w:sz w:val="26"/>
          <w:szCs w:val="26"/>
        </w:rPr>
        <w:t>7</w:t>
      </w:r>
      <w:r w:rsidR="008F60F0" w:rsidRPr="00DE6F0A">
        <w:rPr>
          <w:rFonts w:ascii="Arial Narrow" w:hAnsi="Arial Narrow"/>
          <w:bCs/>
          <w:sz w:val="26"/>
          <w:szCs w:val="26"/>
        </w:rPr>
        <w:t xml:space="preserve"> de la Ley 472 de 1998</w:t>
      </w:r>
      <w:r w:rsidR="00141E33" w:rsidRPr="00DE6F0A">
        <w:rPr>
          <w:rStyle w:val="Refdenotaalpie"/>
          <w:rFonts w:ascii="Arial Narrow" w:hAnsi="Arial Narrow"/>
          <w:bCs/>
          <w:sz w:val="26"/>
          <w:szCs w:val="26"/>
        </w:rPr>
        <w:footnoteReference w:id="27"/>
      </w:r>
      <w:r w:rsidR="008F60F0" w:rsidRPr="00DE6F0A">
        <w:rPr>
          <w:rFonts w:ascii="Arial Narrow" w:hAnsi="Arial Narrow"/>
          <w:bCs/>
          <w:sz w:val="26"/>
          <w:szCs w:val="26"/>
        </w:rPr>
        <w:t>.</w:t>
      </w:r>
    </w:p>
    <w:p w14:paraId="443149C2" w14:textId="31E76900" w:rsidR="00CA0A8E" w:rsidRPr="00DE6F0A" w:rsidRDefault="00CA0A8E" w:rsidP="00DE6F0A">
      <w:pPr>
        <w:pStyle w:val="Sinespaciado"/>
        <w:spacing w:line="276" w:lineRule="auto"/>
        <w:jc w:val="both"/>
        <w:rPr>
          <w:rFonts w:ascii="Arial Narrow" w:hAnsi="Arial Narrow"/>
          <w:bCs/>
          <w:sz w:val="26"/>
          <w:szCs w:val="26"/>
        </w:rPr>
      </w:pPr>
    </w:p>
    <w:p w14:paraId="5C32DC13" w14:textId="1674ACBE" w:rsidR="007463EB" w:rsidRPr="00DE6F0A" w:rsidRDefault="00E13D1F" w:rsidP="00DE6F0A">
      <w:pPr>
        <w:spacing w:line="276" w:lineRule="auto"/>
        <w:ind w:right="49"/>
        <w:jc w:val="both"/>
        <w:rPr>
          <w:rFonts w:ascii="Arial Narrow" w:hAnsi="Arial Narrow"/>
          <w:sz w:val="26"/>
          <w:szCs w:val="26"/>
        </w:rPr>
      </w:pPr>
      <w:r w:rsidRPr="00DE6F0A">
        <w:rPr>
          <w:rFonts w:ascii="Arial Narrow" w:hAnsi="Arial Narrow"/>
          <w:sz w:val="26"/>
          <w:szCs w:val="26"/>
        </w:rPr>
        <w:t xml:space="preserve">En consecuencia, de acuerdo con los precisos límites que impone a este </w:t>
      </w:r>
      <w:r w:rsidR="00635073" w:rsidRPr="00DE6F0A">
        <w:rPr>
          <w:rFonts w:ascii="Arial Narrow" w:hAnsi="Arial Narrow"/>
          <w:sz w:val="26"/>
          <w:szCs w:val="26"/>
        </w:rPr>
        <w:t>T</w:t>
      </w:r>
      <w:r w:rsidRPr="00DE6F0A">
        <w:rPr>
          <w:rFonts w:ascii="Arial Narrow" w:hAnsi="Arial Narrow"/>
          <w:sz w:val="26"/>
          <w:szCs w:val="26"/>
        </w:rPr>
        <w:t xml:space="preserve">ribunal el artículo 328 del CGP, </w:t>
      </w:r>
      <w:r w:rsidR="00291929" w:rsidRPr="00DE6F0A">
        <w:rPr>
          <w:rFonts w:ascii="Arial Narrow" w:hAnsi="Arial Narrow"/>
          <w:sz w:val="26"/>
          <w:szCs w:val="26"/>
        </w:rPr>
        <w:t xml:space="preserve">sin perjuicio </w:t>
      </w:r>
      <w:r w:rsidR="007F31A5" w:rsidRPr="00DE6F0A">
        <w:rPr>
          <w:rFonts w:ascii="Arial Narrow" w:hAnsi="Arial Narrow" w:cs="Arial"/>
          <w:sz w:val="26"/>
          <w:szCs w:val="26"/>
        </w:rPr>
        <w:t xml:space="preserve">de las decisiones que </w:t>
      </w:r>
      <w:r w:rsidR="0014137B" w:rsidRPr="00DE6F0A">
        <w:rPr>
          <w:rFonts w:ascii="Arial Narrow" w:hAnsi="Arial Narrow" w:cs="Arial"/>
          <w:sz w:val="26"/>
          <w:szCs w:val="26"/>
        </w:rPr>
        <w:t xml:space="preserve">eventualmente se </w:t>
      </w:r>
      <w:r w:rsidR="007F31A5" w:rsidRPr="00DE6F0A">
        <w:rPr>
          <w:rFonts w:ascii="Arial Narrow" w:hAnsi="Arial Narrow" w:cs="Arial"/>
          <w:sz w:val="26"/>
          <w:szCs w:val="26"/>
        </w:rPr>
        <w:t>deba</w:t>
      </w:r>
      <w:r w:rsidR="0014137B" w:rsidRPr="00DE6F0A">
        <w:rPr>
          <w:rFonts w:ascii="Arial Narrow" w:hAnsi="Arial Narrow" w:cs="Arial"/>
          <w:sz w:val="26"/>
          <w:szCs w:val="26"/>
        </w:rPr>
        <w:t>n</w:t>
      </w:r>
      <w:r w:rsidR="007F31A5" w:rsidRPr="00DE6F0A">
        <w:rPr>
          <w:rFonts w:ascii="Arial Narrow" w:hAnsi="Arial Narrow" w:cs="Arial"/>
          <w:sz w:val="26"/>
          <w:szCs w:val="26"/>
        </w:rPr>
        <w:t xml:space="preserve"> adoptar </w:t>
      </w:r>
      <w:r w:rsidR="0014137B" w:rsidRPr="00DE6F0A">
        <w:rPr>
          <w:rFonts w:ascii="Arial Narrow" w:hAnsi="Arial Narrow" w:cs="Arial"/>
          <w:sz w:val="26"/>
          <w:szCs w:val="26"/>
        </w:rPr>
        <w:t xml:space="preserve">aun </w:t>
      </w:r>
      <w:r w:rsidR="007F31A5" w:rsidRPr="00DE6F0A">
        <w:rPr>
          <w:rFonts w:ascii="Arial Narrow" w:hAnsi="Arial Narrow" w:cs="Arial"/>
          <w:sz w:val="26"/>
          <w:szCs w:val="26"/>
        </w:rPr>
        <w:t>de oficio para garantizar en debida forma los derechos colectivos objeto de protección, en virtud de la congruencia flexible que caracteriza este remedio constitucional</w:t>
      </w:r>
      <w:r w:rsidR="0014137B" w:rsidRPr="00DE6F0A">
        <w:rPr>
          <w:rFonts w:ascii="Arial Narrow" w:hAnsi="Arial Narrow" w:cs="Arial"/>
          <w:sz w:val="26"/>
          <w:szCs w:val="26"/>
        </w:rPr>
        <w:t xml:space="preserve">, </w:t>
      </w:r>
      <w:r w:rsidRPr="00DE6F0A">
        <w:rPr>
          <w:rFonts w:ascii="Arial Narrow" w:hAnsi="Arial Narrow"/>
          <w:sz w:val="26"/>
          <w:szCs w:val="26"/>
        </w:rPr>
        <w:t xml:space="preserve">corresponde a esta Sala analizar </w:t>
      </w:r>
      <w:r w:rsidR="00F04ECE" w:rsidRPr="00DE6F0A">
        <w:rPr>
          <w:rFonts w:ascii="Arial Narrow" w:hAnsi="Arial Narrow"/>
          <w:sz w:val="26"/>
          <w:szCs w:val="26"/>
        </w:rPr>
        <w:t xml:space="preserve">si conforme lo reclama el apelante, el juzgador desconoció la prueba del cumplimiento del artículo 8 de la Ley 982 de 2005 al </w:t>
      </w:r>
      <w:r w:rsidR="00844993" w:rsidRPr="00DE6F0A">
        <w:rPr>
          <w:rFonts w:ascii="Arial Narrow" w:hAnsi="Arial Narrow"/>
          <w:sz w:val="26"/>
          <w:szCs w:val="26"/>
        </w:rPr>
        <w:t>funcionar en cada centro de atención farmacéutica</w:t>
      </w:r>
      <w:r w:rsidR="00F04ECE" w:rsidRPr="00DE6F0A">
        <w:rPr>
          <w:rFonts w:ascii="Arial Narrow" w:hAnsi="Arial Narrow"/>
          <w:sz w:val="26"/>
          <w:szCs w:val="26"/>
        </w:rPr>
        <w:t>, como se afirma,</w:t>
      </w:r>
      <w:r w:rsidR="00844993" w:rsidRPr="00DE6F0A">
        <w:rPr>
          <w:rFonts w:ascii="Arial Narrow" w:hAnsi="Arial Narrow"/>
          <w:sz w:val="26"/>
          <w:szCs w:val="26"/>
        </w:rPr>
        <w:t xml:space="preserve"> acceso a la plataforma </w:t>
      </w:r>
      <w:r w:rsidR="00792D80" w:rsidRPr="00DE6F0A">
        <w:rPr>
          <w:rFonts w:ascii="Arial Narrow" w:hAnsi="Arial Narrow"/>
          <w:sz w:val="26"/>
          <w:szCs w:val="26"/>
        </w:rPr>
        <w:t>digital Centro de Relevo, con diadema y cámara web.</w:t>
      </w:r>
      <w:r w:rsidR="007463EB" w:rsidRPr="00DE6F0A">
        <w:rPr>
          <w:rFonts w:ascii="Arial Narrow" w:hAnsi="Arial Narrow"/>
          <w:sz w:val="26"/>
          <w:szCs w:val="26"/>
        </w:rPr>
        <w:t xml:space="preserve"> Resuelto lo anterior se definirá si el fallo debe ser revocado, como se propone.</w:t>
      </w:r>
    </w:p>
    <w:p w14:paraId="6C1869AA" w14:textId="7E1504EF" w:rsidR="00792D80" w:rsidRPr="00DE6F0A" w:rsidRDefault="00792D80" w:rsidP="00DE6F0A">
      <w:pPr>
        <w:pStyle w:val="Sinespaciado"/>
        <w:spacing w:line="276" w:lineRule="auto"/>
        <w:jc w:val="both"/>
        <w:rPr>
          <w:rFonts w:ascii="Arial Narrow" w:hAnsi="Arial Narrow"/>
          <w:bCs/>
          <w:sz w:val="26"/>
          <w:szCs w:val="26"/>
        </w:rPr>
      </w:pPr>
    </w:p>
    <w:p w14:paraId="12EE92F6" w14:textId="77777777" w:rsidR="0065717A" w:rsidRPr="00DE6F0A" w:rsidRDefault="00792D80" w:rsidP="00DE6F0A">
      <w:pPr>
        <w:pStyle w:val="Sinespaciado"/>
        <w:spacing w:line="276" w:lineRule="auto"/>
        <w:jc w:val="both"/>
        <w:rPr>
          <w:rFonts w:ascii="Arial Narrow" w:hAnsi="Arial Narrow"/>
          <w:bCs/>
          <w:sz w:val="26"/>
          <w:szCs w:val="26"/>
        </w:rPr>
      </w:pPr>
      <w:r w:rsidRPr="00DE6F0A">
        <w:rPr>
          <w:rFonts w:ascii="Arial Narrow" w:hAnsi="Arial Narrow"/>
          <w:b/>
          <w:sz w:val="26"/>
          <w:szCs w:val="26"/>
        </w:rPr>
        <w:t>4.</w:t>
      </w:r>
      <w:r w:rsidRPr="00DE6F0A">
        <w:rPr>
          <w:rFonts w:ascii="Arial Narrow" w:hAnsi="Arial Narrow"/>
          <w:bCs/>
          <w:sz w:val="26"/>
          <w:szCs w:val="26"/>
        </w:rPr>
        <w:t xml:space="preserve"> </w:t>
      </w:r>
      <w:r w:rsidR="00BA7DE9" w:rsidRPr="00DE6F0A">
        <w:rPr>
          <w:rFonts w:ascii="Arial Narrow" w:hAnsi="Arial Narrow"/>
          <w:bCs/>
          <w:sz w:val="26"/>
          <w:szCs w:val="26"/>
        </w:rPr>
        <w:t xml:space="preserve">La anterior delimitación no impide señalar, en todo caso, que </w:t>
      </w:r>
      <w:r w:rsidR="000C1E48" w:rsidRPr="00DE6F0A">
        <w:rPr>
          <w:rFonts w:ascii="Arial Narrow" w:hAnsi="Arial Narrow"/>
          <w:bCs/>
          <w:sz w:val="26"/>
          <w:szCs w:val="26"/>
        </w:rPr>
        <w:t>la demanda</w:t>
      </w:r>
      <w:r w:rsidR="004F2817" w:rsidRPr="00DE6F0A">
        <w:rPr>
          <w:rFonts w:ascii="Arial Narrow" w:hAnsi="Arial Narrow"/>
          <w:bCs/>
          <w:sz w:val="26"/>
          <w:szCs w:val="26"/>
        </w:rPr>
        <w:t>da</w:t>
      </w:r>
      <w:r w:rsidR="000C1E48" w:rsidRPr="00DE6F0A">
        <w:rPr>
          <w:rFonts w:ascii="Arial Narrow" w:hAnsi="Arial Narrow"/>
          <w:bCs/>
          <w:sz w:val="26"/>
          <w:szCs w:val="26"/>
        </w:rPr>
        <w:t xml:space="preserve"> n</w:t>
      </w:r>
      <w:r w:rsidR="001A515E" w:rsidRPr="00DE6F0A">
        <w:rPr>
          <w:rFonts w:ascii="Arial Narrow" w:hAnsi="Arial Narrow"/>
          <w:bCs/>
          <w:sz w:val="26"/>
          <w:szCs w:val="26"/>
        </w:rPr>
        <w:t>o</w:t>
      </w:r>
      <w:r w:rsidR="000C1E48" w:rsidRPr="00DE6F0A">
        <w:rPr>
          <w:rFonts w:ascii="Arial Narrow" w:hAnsi="Arial Narrow"/>
          <w:bCs/>
          <w:sz w:val="26"/>
          <w:szCs w:val="26"/>
        </w:rPr>
        <w:t xml:space="preserve"> controvirtió, ni al contestar la demanda principal ni la de las acciones populares acumuladas, </w:t>
      </w:r>
      <w:r w:rsidR="001A515E" w:rsidRPr="00DE6F0A">
        <w:rPr>
          <w:rFonts w:ascii="Arial Narrow" w:hAnsi="Arial Narrow"/>
          <w:bCs/>
          <w:sz w:val="26"/>
          <w:szCs w:val="26"/>
        </w:rPr>
        <w:t>la dirección de ubicación de sus centros de atención farmacéutica</w:t>
      </w:r>
      <w:r w:rsidR="00D56456" w:rsidRPr="00DE6F0A">
        <w:rPr>
          <w:rFonts w:ascii="Arial Narrow" w:hAnsi="Arial Narrow"/>
          <w:bCs/>
          <w:sz w:val="26"/>
          <w:szCs w:val="26"/>
        </w:rPr>
        <w:t xml:space="preserve"> señalados por el actor. </w:t>
      </w:r>
    </w:p>
    <w:p w14:paraId="471EA5D1" w14:textId="77777777" w:rsidR="0065717A" w:rsidRPr="00DE6F0A" w:rsidRDefault="0065717A" w:rsidP="00DE6F0A">
      <w:pPr>
        <w:pStyle w:val="Sinespaciado"/>
        <w:spacing w:line="276" w:lineRule="auto"/>
        <w:jc w:val="both"/>
        <w:rPr>
          <w:rFonts w:ascii="Arial Narrow" w:hAnsi="Arial Narrow"/>
          <w:bCs/>
          <w:sz w:val="26"/>
          <w:szCs w:val="26"/>
        </w:rPr>
      </w:pPr>
    </w:p>
    <w:p w14:paraId="05C4C6C3" w14:textId="18BEE506" w:rsidR="00BA7DE9" w:rsidRPr="00DE6F0A" w:rsidRDefault="00D56456"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Por el contrario, y ante requerimiento realizado por el a quo</w:t>
      </w:r>
      <w:r w:rsidR="00B012BD" w:rsidRPr="00DE6F0A">
        <w:rPr>
          <w:rStyle w:val="Refdenotaalpie"/>
          <w:rFonts w:ascii="Arial Narrow" w:hAnsi="Arial Narrow"/>
          <w:bCs/>
          <w:sz w:val="26"/>
          <w:szCs w:val="26"/>
        </w:rPr>
        <w:footnoteReference w:id="28"/>
      </w:r>
      <w:r w:rsidRPr="00DE6F0A">
        <w:rPr>
          <w:rFonts w:ascii="Arial Narrow" w:hAnsi="Arial Narrow"/>
          <w:bCs/>
          <w:sz w:val="26"/>
          <w:szCs w:val="26"/>
        </w:rPr>
        <w:t xml:space="preserve">, </w:t>
      </w:r>
      <w:r w:rsidR="001A28F9" w:rsidRPr="00DE6F0A">
        <w:rPr>
          <w:rFonts w:ascii="Arial Narrow" w:hAnsi="Arial Narrow"/>
          <w:bCs/>
          <w:sz w:val="26"/>
          <w:szCs w:val="26"/>
        </w:rPr>
        <w:t xml:space="preserve">su apoderada identificó de los 19 lugares, 6 en los que </w:t>
      </w:r>
      <w:r w:rsidR="002957AF" w:rsidRPr="00DE6F0A">
        <w:rPr>
          <w:rFonts w:ascii="Arial Narrow" w:hAnsi="Arial Narrow"/>
          <w:bCs/>
          <w:sz w:val="26"/>
          <w:szCs w:val="26"/>
        </w:rPr>
        <w:t xml:space="preserve">afirmó </w:t>
      </w:r>
      <w:r w:rsidR="001A28F9" w:rsidRPr="00DE6F0A">
        <w:rPr>
          <w:rFonts w:ascii="Arial Narrow" w:hAnsi="Arial Narrow"/>
          <w:bCs/>
          <w:sz w:val="26"/>
          <w:szCs w:val="26"/>
        </w:rPr>
        <w:t>no funcionaba</w:t>
      </w:r>
      <w:r w:rsidR="002957AF" w:rsidRPr="00DE6F0A">
        <w:rPr>
          <w:rFonts w:ascii="Arial Narrow" w:hAnsi="Arial Narrow"/>
          <w:bCs/>
          <w:sz w:val="26"/>
          <w:szCs w:val="26"/>
        </w:rPr>
        <w:t>n sus agencias</w:t>
      </w:r>
      <w:r w:rsidR="0065717A" w:rsidRPr="00DE6F0A">
        <w:rPr>
          <w:rFonts w:ascii="Arial Narrow" w:hAnsi="Arial Narrow"/>
          <w:bCs/>
          <w:sz w:val="26"/>
          <w:szCs w:val="26"/>
        </w:rPr>
        <w:t xml:space="preserve"> (en los que finalmente se negaron las pretensiones)</w:t>
      </w:r>
      <w:r w:rsidR="002957AF" w:rsidRPr="00DE6F0A">
        <w:rPr>
          <w:rFonts w:ascii="Arial Narrow" w:hAnsi="Arial Narrow"/>
          <w:bCs/>
          <w:sz w:val="26"/>
          <w:szCs w:val="26"/>
        </w:rPr>
        <w:t>,</w:t>
      </w:r>
      <w:r w:rsidR="001A28F9" w:rsidRPr="00DE6F0A">
        <w:rPr>
          <w:rFonts w:ascii="Arial Narrow" w:hAnsi="Arial Narrow"/>
          <w:bCs/>
          <w:sz w:val="26"/>
          <w:szCs w:val="26"/>
        </w:rPr>
        <w:t xml:space="preserve"> y otros 13</w:t>
      </w:r>
      <w:r w:rsidR="005F6FB2" w:rsidRPr="00DE6F0A">
        <w:rPr>
          <w:rFonts w:ascii="Arial Narrow" w:hAnsi="Arial Narrow"/>
          <w:bCs/>
          <w:sz w:val="26"/>
          <w:szCs w:val="26"/>
        </w:rPr>
        <w:t xml:space="preserve"> de los que remitió </w:t>
      </w:r>
      <w:r w:rsidR="0065717A" w:rsidRPr="00DE6F0A">
        <w:rPr>
          <w:rFonts w:ascii="Arial Narrow" w:hAnsi="Arial Narrow"/>
          <w:bCs/>
          <w:sz w:val="26"/>
          <w:szCs w:val="26"/>
        </w:rPr>
        <w:t xml:space="preserve">la </w:t>
      </w:r>
      <w:r w:rsidR="005F6FB2" w:rsidRPr="00DE6F0A">
        <w:rPr>
          <w:rFonts w:ascii="Arial Narrow" w:hAnsi="Arial Narrow"/>
          <w:bCs/>
          <w:sz w:val="26"/>
          <w:szCs w:val="26"/>
        </w:rPr>
        <w:t>“</w:t>
      </w:r>
      <w:r w:rsidR="005F6FB2" w:rsidRPr="00DE6F0A">
        <w:rPr>
          <w:rFonts w:ascii="Arial Narrow" w:hAnsi="Arial Narrow"/>
          <w:bCs/>
          <w:i/>
          <w:iCs/>
          <w:sz w:val="26"/>
          <w:szCs w:val="26"/>
        </w:rPr>
        <w:t>dirección correcta</w:t>
      </w:r>
      <w:r w:rsidR="005F6FB2" w:rsidRPr="00DE6F0A">
        <w:rPr>
          <w:rFonts w:ascii="Arial Narrow" w:hAnsi="Arial Narrow"/>
          <w:bCs/>
          <w:sz w:val="26"/>
          <w:szCs w:val="26"/>
        </w:rPr>
        <w:t>”</w:t>
      </w:r>
      <w:r w:rsidR="005F6FB2" w:rsidRPr="00DE6F0A">
        <w:rPr>
          <w:rStyle w:val="Refdenotaalpie"/>
          <w:rFonts w:ascii="Arial Narrow" w:hAnsi="Arial Narrow"/>
          <w:bCs/>
          <w:sz w:val="26"/>
          <w:szCs w:val="26"/>
        </w:rPr>
        <w:footnoteReference w:id="29"/>
      </w:r>
      <w:r w:rsidR="007976BE" w:rsidRPr="00DE6F0A">
        <w:rPr>
          <w:rFonts w:ascii="Arial Narrow" w:hAnsi="Arial Narrow"/>
          <w:bCs/>
          <w:sz w:val="26"/>
          <w:szCs w:val="26"/>
        </w:rPr>
        <w:t xml:space="preserve"> que, al juzgar por la información que reposa en </w:t>
      </w:r>
      <w:r w:rsidR="00813BC0" w:rsidRPr="00DE6F0A">
        <w:rPr>
          <w:rFonts w:ascii="Arial Narrow" w:hAnsi="Arial Narrow"/>
          <w:bCs/>
          <w:sz w:val="26"/>
          <w:szCs w:val="26"/>
        </w:rPr>
        <w:t>su</w:t>
      </w:r>
      <w:r w:rsidR="007976BE" w:rsidRPr="00DE6F0A">
        <w:rPr>
          <w:rFonts w:ascii="Arial Narrow" w:hAnsi="Arial Narrow"/>
          <w:bCs/>
          <w:sz w:val="26"/>
          <w:szCs w:val="26"/>
        </w:rPr>
        <w:t xml:space="preserve"> columna </w:t>
      </w:r>
      <w:r w:rsidR="008A13D8" w:rsidRPr="00DE6F0A">
        <w:rPr>
          <w:rFonts w:ascii="Arial Narrow" w:hAnsi="Arial Narrow"/>
          <w:bCs/>
          <w:sz w:val="26"/>
          <w:szCs w:val="26"/>
        </w:rPr>
        <w:t>“DIRECCIÓN CAF” y la parte resolutiva de la sentencia apelada</w:t>
      </w:r>
      <w:r w:rsidR="00A24183" w:rsidRPr="00DE6F0A">
        <w:rPr>
          <w:rStyle w:val="Refdenotaalpie"/>
          <w:rFonts w:ascii="Arial Narrow" w:hAnsi="Arial Narrow"/>
          <w:bCs/>
          <w:sz w:val="26"/>
          <w:szCs w:val="26"/>
        </w:rPr>
        <w:footnoteReference w:id="30"/>
      </w:r>
      <w:r w:rsidR="008A13D8" w:rsidRPr="00DE6F0A">
        <w:rPr>
          <w:rFonts w:ascii="Arial Narrow" w:hAnsi="Arial Narrow"/>
          <w:bCs/>
          <w:sz w:val="26"/>
          <w:szCs w:val="26"/>
        </w:rPr>
        <w:t>, fue el documento que tuvo en cuenta el juzgado</w:t>
      </w:r>
      <w:r w:rsidR="003235B9" w:rsidRPr="00DE6F0A">
        <w:rPr>
          <w:rFonts w:ascii="Arial Narrow" w:hAnsi="Arial Narrow"/>
          <w:bCs/>
          <w:sz w:val="26"/>
          <w:szCs w:val="26"/>
        </w:rPr>
        <w:t xml:space="preserve"> </w:t>
      </w:r>
      <w:r w:rsidR="00813BC0" w:rsidRPr="00DE6F0A">
        <w:rPr>
          <w:rFonts w:ascii="Arial Narrow" w:hAnsi="Arial Narrow"/>
          <w:bCs/>
          <w:sz w:val="26"/>
          <w:szCs w:val="26"/>
        </w:rPr>
        <w:t xml:space="preserve">para </w:t>
      </w:r>
      <w:r w:rsidR="00F5561E" w:rsidRPr="00DE6F0A">
        <w:rPr>
          <w:rFonts w:ascii="Arial Narrow" w:hAnsi="Arial Narrow"/>
          <w:bCs/>
          <w:sz w:val="26"/>
          <w:szCs w:val="26"/>
        </w:rPr>
        <w:t>identificar los sitios de vulneración.</w:t>
      </w:r>
      <w:r w:rsidR="00711718" w:rsidRPr="00DE6F0A">
        <w:rPr>
          <w:rFonts w:ascii="Arial Narrow" w:hAnsi="Arial Narrow"/>
          <w:bCs/>
          <w:sz w:val="26"/>
          <w:szCs w:val="26"/>
        </w:rPr>
        <w:t xml:space="preserve"> </w:t>
      </w:r>
      <w:r w:rsidR="00F5561E" w:rsidRPr="00DE6F0A">
        <w:rPr>
          <w:rFonts w:ascii="Arial Narrow" w:hAnsi="Arial Narrow"/>
          <w:bCs/>
          <w:sz w:val="26"/>
          <w:szCs w:val="26"/>
        </w:rPr>
        <w:t>Luego si alg</w:t>
      </w:r>
      <w:r w:rsidR="003235B9" w:rsidRPr="00DE6F0A">
        <w:rPr>
          <w:rFonts w:ascii="Arial Narrow" w:hAnsi="Arial Narrow"/>
          <w:bCs/>
          <w:sz w:val="26"/>
          <w:szCs w:val="26"/>
        </w:rPr>
        <w:t>ú</w:t>
      </w:r>
      <w:r w:rsidR="00F5561E" w:rsidRPr="00DE6F0A">
        <w:rPr>
          <w:rFonts w:ascii="Arial Narrow" w:hAnsi="Arial Narrow"/>
          <w:bCs/>
          <w:sz w:val="26"/>
          <w:szCs w:val="26"/>
        </w:rPr>
        <w:t xml:space="preserve">n error existe en ellos, no resulta atribuible al actor popular </w:t>
      </w:r>
      <w:r w:rsidR="007207CE" w:rsidRPr="00DE6F0A">
        <w:rPr>
          <w:rFonts w:ascii="Arial Narrow" w:hAnsi="Arial Narrow"/>
          <w:bCs/>
          <w:sz w:val="26"/>
          <w:szCs w:val="26"/>
        </w:rPr>
        <w:t xml:space="preserve">ni al juez, </w:t>
      </w:r>
      <w:r w:rsidR="00F5561E" w:rsidRPr="00DE6F0A">
        <w:rPr>
          <w:rFonts w:ascii="Arial Narrow" w:hAnsi="Arial Narrow"/>
          <w:bCs/>
          <w:sz w:val="26"/>
          <w:szCs w:val="26"/>
        </w:rPr>
        <w:t>sino a la demandada misma.</w:t>
      </w:r>
      <w:r w:rsidR="008A13D8" w:rsidRPr="00DE6F0A">
        <w:rPr>
          <w:rFonts w:ascii="Arial Narrow" w:hAnsi="Arial Narrow"/>
          <w:bCs/>
          <w:sz w:val="26"/>
          <w:szCs w:val="26"/>
        </w:rPr>
        <w:t xml:space="preserve"> </w:t>
      </w:r>
    </w:p>
    <w:p w14:paraId="7519D6F3" w14:textId="3992B1BC" w:rsidR="00D56456" w:rsidRPr="00DE6F0A" w:rsidRDefault="00D56456" w:rsidP="00DE6F0A">
      <w:pPr>
        <w:pStyle w:val="Sinespaciado"/>
        <w:spacing w:line="276" w:lineRule="auto"/>
        <w:jc w:val="both"/>
        <w:rPr>
          <w:rFonts w:ascii="Arial Narrow" w:hAnsi="Arial Narrow"/>
          <w:bCs/>
          <w:sz w:val="26"/>
          <w:szCs w:val="26"/>
        </w:rPr>
      </w:pPr>
    </w:p>
    <w:p w14:paraId="4BB94CC4" w14:textId="3502B4A5" w:rsidR="006A0CAB" w:rsidRPr="00DE6F0A" w:rsidRDefault="006A0CAB"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 xml:space="preserve">En cuanto a las sedes </w:t>
      </w:r>
      <w:r w:rsidR="008F3B22" w:rsidRPr="00DE6F0A">
        <w:rPr>
          <w:rFonts w:ascii="Arial Narrow" w:hAnsi="Arial Narrow"/>
          <w:bCs/>
          <w:sz w:val="26"/>
          <w:szCs w:val="26"/>
        </w:rPr>
        <w:t>c</w:t>
      </w:r>
      <w:r w:rsidRPr="00DE6F0A">
        <w:rPr>
          <w:rFonts w:ascii="Arial Narrow" w:hAnsi="Arial Narrow"/>
          <w:bCs/>
          <w:sz w:val="26"/>
          <w:szCs w:val="26"/>
        </w:rPr>
        <w:t>arrera 53 # 75-108 de Barranquilla (</w:t>
      </w:r>
      <w:r w:rsidR="002F7F99" w:rsidRPr="00DE6F0A">
        <w:rPr>
          <w:rFonts w:ascii="Arial Narrow" w:hAnsi="Arial Narrow"/>
          <w:bCs/>
          <w:sz w:val="26"/>
          <w:szCs w:val="26"/>
        </w:rPr>
        <w:t xml:space="preserve">radicado </w:t>
      </w:r>
      <w:r w:rsidR="00F03A02" w:rsidRPr="00DE6F0A">
        <w:rPr>
          <w:rFonts w:ascii="Arial Narrow" w:hAnsi="Arial Narrow"/>
          <w:bCs/>
          <w:sz w:val="26"/>
          <w:szCs w:val="26"/>
        </w:rPr>
        <w:t>2017-00223-00)</w:t>
      </w:r>
      <w:r w:rsidR="00CC3697" w:rsidRPr="00DE6F0A">
        <w:rPr>
          <w:rFonts w:ascii="Arial Narrow" w:hAnsi="Arial Narrow"/>
          <w:bCs/>
          <w:sz w:val="26"/>
          <w:szCs w:val="26"/>
        </w:rPr>
        <w:t xml:space="preserve">, </w:t>
      </w:r>
      <w:r w:rsidR="008F3B22" w:rsidRPr="00DE6F0A">
        <w:rPr>
          <w:rFonts w:ascii="Arial Narrow" w:hAnsi="Arial Narrow"/>
          <w:bCs/>
          <w:sz w:val="26"/>
          <w:szCs w:val="26"/>
        </w:rPr>
        <w:t>a</w:t>
      </w:r>
      <w:r w:rsidR="00382F27" w:rsidRPr="00DE6F0A">
        <w:rPr>
          <w:rFonts w:ascii="Arial Narrow" w:hAnsi="Arial Narrow"/>
          <w:bCs/>
          <w:sz w:val="26"/>
          <w:szCs w:val="26"/>
        </w:rPr>
        <w:t xml:space="preserve">venida Suba # 115U-58 </w:t>
      </w:r>
      <w:r w:rsidR="008F3B22" w:rsidRPr="00DE6F0A">
        <w:rPr>
          <w:rFonts w:ascii="Arial Narrow" w:hAnsi="Arial Narrow"/>
          <w:bCs/>
          <w:sz w:val="26"/>
          <w:szCs w:val="26"/>
        </w:rPr>
        <w:t>t</w:t>
      </w:r>
      <w:r w:rsidR="00382F27" w:rsidRPr="00DE6F0A">
        <w:rPr>
          <w:rFonts w:ascii="Arial Narrow" w:hAnsi="Arial Narrow"/>
          <w:bCs/>
          <w:sz w:val="26"/>
          <w:szCs w:val="26"/>
        </w:rPr>
        <w:t xml:space="preserve">orre 8 </w:t>
      </w:r>
      <w:proofErr w:type="spellStart"/>
      <w:r w:rsidR="00382F27" w:rsidRPr="00DE6F0A">
        <w:rPr>
          <w:rFonts w:ascii="Arial Narrow" w:hAnsi="Arial Narrow"/>
          <w:bCs/>
          <w:sz w:val="26"/>
          <w:szCs w:val="26"/>
        </w:rPr>
        <w:t>Lc</w:t>
      </w:r>
      <w:proofErr w:type="spellEnd"/>
      <w:r w:rsidR="00382F27" w:rsidRPr="00DE6F0A">
        <w:rPr>
          <w:rFonts w:ascii="Arial Narrow" w:hAnsi="Arial Narrow"/>
          <w:bCs/>
          <w:sz w:val="26"/>
          <w:szCs w:val="26"/>
        </w:rPr>
        <w:t xml:space="preserve"> 107 (</w:t>
      </w:r>
      <w:r w:rsidR="002F7F99" w:rsidRPr="00DE6F0A">
        <w:rPr>
          <w:rFonts w:ascii="Arial Narrow" w:hAnsi="Arial Narrow"/>
          <w:bCs/>
          <w:sz w:val="26"/>
          <w:szCs w:val="26"/>
        </w:rPr>
        <w:t xml:space="preserve">radicado </w:t>
      </w:r>
      <w:r w:rsidR="005206FF" w:rsidRPr="00DE6F0A">
        <w:rPr>
          <w:rFonts w:ascii="Arial Narrow" w:hAnsi="Arial Narrow"/>
          <w:bCs/>
          <w:sz w:val="26"/>
          <w:szCs w:val="26"/>
        </w:rPr>
        <w:t xml:space="preserve">2017-00275-00) y </w:t>
      </w:r>
      <w:r w:rsidR="008F3B22" w:rsidRPr="00DE6F0A">
        <w:rPr>
          <w:rFonts w:ascii="Arial Narrow" w:hAnsi="Arial Narrow"/>
          <w:bCs/>
          <w:sz w:val="26"/>
          <w:szCs w:val="26"/>
        </w:rPr>
        <w:t>c</w:t>
      </w:r>
      <w:r w:rsidR="00CC3697" w:rsidRPr="00DE6F0A">
        <w:rPr>
          <w:rFonts w:ascii="Arial Narrow" w:hAnsi="Arial Narrow"/>
          <w:bCs/>
          <w:sz w:val="26"/>
          <w:szCs w:val="26"/>
        </w:rPr>
        <w:t xml:space="preserve">alle 26 </w:t>
      </w:r>
      <w:r w:rsidR="008F3B22" w:rsidRPr="00DE6F0A">
        <w:rPr>
          <w:rFonts w:ascii="Arial Narrow" w:hAnsi="Arial Narrow"/>
          <w:bCs/>
          <w:sz w:val="26"/>
          <w:szCs w:val="26"/>
        </w:rPr>
        <w:t>s</w:t>
      </w:r>
      <w:r w:rsidR="00CC3697" w:rsidRPr="00DE6F0A">
        <w:rPr>
          <w:rFonts w:ascii="Arial Narrow" w:hAnsi="Arial Narrow"/>
          <w:bCs/>
          <w:sz w:val="26"/>
          <w:szCs w:val="26"/>
        </w:rPr>
        <w:t xml:space="preserve">ur # 78N-10 </w:t>
      </w:r>
      <w:r w:rsidR="007C1240" w:rsidRPr="00DE6F0A">
        <w:rPr>
          <w:rFonts w:ascii="Arial Narrow" w:hAnsi="Arial Narrow"/>
          <w:bCs/>
          <w:sz w:val="26"/>
          <w:szCs w:val="26"/>
        </w:rPr>
        <w:t>(</w:t>
      </w:r>
      <w:r w:rsidR="002F7F99" w:rsidRPr="00DE6F0A">
        <w:rPr>
          <w:rFonts w:ascii="Arial Narrow" w:hAnsi="Arial Narrow"/>
          <w:bCs/>
          <w:sz w:val="26"/>
          <w:szCs w:val="26"/>
        </w:rPr>
        <w:t xml:space="preserve">radicado </w:t>
      </w:r>
      <w:r w:rsidR="007C1240" w:rsidRPr="00DE6F0A">
        <w:rPr>
          <w:rFonts w:ascii="Arial Narrow" w:hAnsi="Arial Narrow"/>
          <w:bCs/>
          <w:sz w:val="26"/>
          <w:szCs w:val="26"/>
        </w:rPr>
        <w:t>2017-00287-00)</w:t>
      </w:r>
      <w:r w:rsidR="005206FF" w:rsidRPr="00DE6F0A">
        <w:rPr>
          <w:rFonts w:ascii="Arial Narrow" w:hAnsi="Arial Narrow"/>
          <w:bCs/>
          <w:sz w:val="26"/>
          <w:szCs w:val="26"/>
        </w:rPr>
        <w:t xml:space="preserve">, estas dos últimas de Bogotá, </w:t>
      </w:r>
      <w:r w:rsidR="002F7F99" w:rsidRPr="00DE6F0A">
        <w:rPr>
          <w:rFonts w:ascii="Arial Narrow" w:hAnsi="Arial Narrow"/>
          <w:bCs/>
          <w:sz w:val="26"/>
          <w:szCs w:val="26"/>
        </w:rPr>
        <w:t>se informa</w:t>
      </w:r>
      <w:r w:rsidR="008F3B22" w:rsidRPr="00DE6F0A">
        <w:rPr>
          <w:rFonts w:ascii="Arial Narrow" w:hAnsi="Arial Narrow"/>
          <w:bCs/>
          <w:sz w:val="26"/>
          <w:szCs w:val="26"/>
        </w:rPr>
        <w:t xml:space="preserve"> por la defensa</w:t>
      </w:r>
      <w:r w:rsidR="002F7F99" w:rsidRPr="00DE6F0A">
        <w:rPr>
          <w:rFonts w:ascii="Arial Narrow" w:hAnsi="Arial Narrow"/>
          <w:bCs/>
          <w:sz w:val="26"/>
          <w:szCs w:val="26"/>
        </w:rPr>
        <w:t xml:space="preserve"> que dejaron de funcionar por traslado</w:t>
      </w:r>
      <w:r w:rsidR="00F80689" w:rsidRPr="00DE6F0A">
        <w:rPr>
          <w:rFonts w:ascii="Arial Narrow" w:hAnsi="Arial Narrow"/>
          <w:bCs/>
          <w:sz w:val="26"/>
          <w:szCs w:val="26"/>
        </w:rPr>
        <w:t xml:space="preserve"> a otro sitio</w:t>
      </w:r>
      <w:r w:rsidR="002F7F99" w:rsidRPr="00DE6F0A">
        <w:rPr>
          <w:rFonts w:ascii="Arial Narrow" w:hAnsi="Arial Narrow"/>
          <w:bCs/>
          <w:sz w:val="26"/>
          <w:szCs w:val="26"/>
        </w:rPr>
        <w:t xml:space="preserve"> en los meses de mayo y junio de 2019, hecho que por demás no </w:t>
      </w:r>
      <w:r w:rsidR="005206FF" w:rsidRPr="00DE6F0A">
        <w:rPr>
          <w:rFonts w:ascii="Arial Narrow" w:hAnsi="Arial Narrow"/>
          <w:bCs/>
          <w:sz w:val="26"/>
          <w:szCs w:val="26"/>
        </w:rPr>
        <w:t>se acreditó en deb</w:t>
      </w:r>
      <w:r w:rsidR="002F7F99" w:rsidRPr="00DE6F0A">
        <w:rPr>
          <w:rFonts w:ascii="Arial Narrow" w:hAnsi="Arial Narrow"/>
          <w:bCs/>
          <w:sz w:val="26"/>
          <w:szCs w:val="26"/>
        </w:rPr>
        <w:t xml:space="preserve">ida forma. </w:t>
      </w:r>
      <w:r w:rsidR="006733A9" w:rsidRPr="00DE6F0A">
        <w:rPr>
          <w:rFonts w:ascii="Arial Narrow" w:hAnsi="Arial Narrow"/>
          <w:bCs/>
          <w:sz w:val="26"/>
          <w:szCs w:val="26"/>
        </w:rPr>
        <w:t>Desechó la parte accionada la posibilidad probatoria establecida en el artículo 327</w:t>
      </w:r>
      <w:r w:rsidR="00C03F0F" w:rsidRPr="00DE6F0A">
        <w:rPr>
          <w:rFonts w:ascii="Arial Narrow" w:hAnsi="Arial Narrow"/>
          <w:bCs/>
          <w:sz w:val="26"/>
          <w:szCs w:val="26"/>
        </w:rPr>
        <w:t xml:space="preserve">-3 del CGP. </w:t>
      </w:r>
    </w:p>
    <w:p w14:paraId="7F01D4D8" w14:textId="77777777" w:rsidR="00D56456" w:rsidRPr="00DE6F0A" w:rsidRDefault="00D56456" w:rsidP="00DE6F0A">
      <w:pPr>
        <w:pStyle w:val="Sinespaciado"/>
        <w:spacing w:line="276" w:lineRule="auto"/>
        <w:jc w:val="both"/>
        <w:rPr>
          <w:rFonts w:ascii="Arial Narrow" w:hAnsi="Arial Narrow"/>
          <w:bCs/>
          <w:sz w:val="26"/>
          <w:szCs w:val="26"/>
        </w:rPr>
      </w:pPr>
    </w:p>
    <w:p w14:paraId="38E1146B" w14:textId="43D8F156" w:rsidR="00BA7DE9" w:rsidRPr="00DE6F0A" w:rsidRDefault="009624FA" w:rsidP="00DE6F0A">
      <w:pPr>
        <w:pStyle w:val="Sinespaciado"/>
        <w:spacing w:line="276" w:lineRule="auto"/>
        <w:jc w:val="both"/>
        <w:rPr>
          <w:rFonts w:ascii="Arial Narrow" w:hAnsi="Arial Narrow"/>
          <w:bCs/>
          <w:sz w:val="26"/>
          <w:szCs w:val="26"/>
        </w:rPr>
      </w:pPr>
      <w:r w:rsidRPr="00DE6F0A">
        <w:rPr>
          <w:rFonts w:ascii="Arial Narrow" w:hAnsi="Arial Narrow"/>
          <w:bCs/>
          <w:sz w:val="26"/>
          <w:szCs w:val="26"/>
        </w:rPr>
        <w:t>De cualquier modo</w:t>
      </w:r>
      <w:r w:rsidR="004413D7" w:rsidRPr="00DE6F0A">
        <w:rPr>
          <w:rFonts w:ascii="Arial Narrow" w:hAnsi="Arial Narrow"/>
          <w:bCs/>
          <w:sz w:val="26"/>
          <w:szCs w:val="26"/>
        </w:rPr>
        <w:t>,</w:t>
      </w:r>
      <w:r w:rsidRPr="00DE6F0A">
        <w:rPr>
          <w:rFonts w:ascii="Arial Narrow" w:hAnsi="Arial Narrow"/>
          <w:bCs/>
          <w:sz w:val="26"/>
          <w:szCs w:val="26"/>
        </w:rPr>
        <w:t xml:space="preserve"> los traslados aludidos serían posteriores a la sentencia apelada que, por esa razón, no pudo incurrir en algún defecto.</w:t>
      </w:r>
    </w:p>
    <w:p w14:paraId="74AF5072" w14:textId="04AE2E50" w:rsidR="00F80689" w:rsidRPr="00DE6F0A" w:rsidRDefault="00F80689" w:rsidP="00DE6F0A">
      <w:pPr>
        <w:pStyle w:val="Sinespaciado"/>
        <w:spacing w:line="276" w:lineRule="auto"/>
        <w:jc w:val="both"/>
        <w:rPr>
          <w:rFonts w:ascii="Arial Narrow" w:hAnsi="Arial Narrow"/>
          <w:bCs/>
          <w:sz w:val="26"/>
          <w:szCs w:val="26"/>
        </w:rPr>
      </w:pPr>
    </w:p>
    <w:p w14:paraId="61DB8739" w14:textId="55F75139" w:rsidR="008518EA" w:rsidRPr="00DE6F0A" w:rsidRDefault="00337942" w:rsidP="00DE6F0A">
      <w:pPr>
        <w:pStyle w:val="Sinespaciado"/>
        <w:spacing w:line="276" w:lineRule="auto"/>
        <w:jc w:val="both"/>
        <w:rPr>
          <w:rFonts w:ascii="Arial Narrow" w:hAnsi="Arial Narrow"/>
          <w:sz w:val="26"/>
          <w:szCs w:val="26"/>
        </w:rPr>
      </w:pPr>
      <w:r w:rsidRPr="00DE6F0A">
        <w:rPr>
          <w:rFonts w:ascii="Arial Narrow" w:hAnsi="Arial Narrow"/>
          <w:b/>
          <w:sz w:val="26"/>
          <w:szCs w:val="26"/>
        </w:rPr>
        <w:t xml:space="preserve">5. </w:t>
      </w:r>
      <w:r w:rsidR="00CA76C7" w:rsidRPr="00DE6F0A">
        <w:rPr>
          <w:rFonts w:ascii="Arial Narrow" w:hAnsi="Arial Narrow"/>
          <w:sz w:val="26"/>
          <w:szCs w:val="26"/>
        </w:rPr>
        <w:t>El artículo 8</w:t>
      </w:r>
      <w:r w:rsidR="001B6A5B" w:rsidRPr="00DE6F0A">
        <w:rPr>
          <w:rFonts w:ascii="Arial Narrow" w:hAnsi="Arial Narrow"/>
          <w:sz w:val="26"/>
          <w:szCs w:val="26"/>
        </w:rPr>
        <w:t>8</w:t>
      </w:r>
      <w:r w:rsidR="00CA76C7" w:rsidRPr="00DE6F0A">
        <w:rPr>
          <w:rFonts w:ascii="Arial Narrow" w:hAnsi="Arial Narrow"/>
          <w:sz w:val="26"/>
          <w:szCs w:val="26"/>
        </w:rPr>
        <w:t xml:space="preserve"> de la Constitución Política establece </w:t>
      </w:r>
      <w:r w:rsidR="00B4386B" w:rsidRPr="00DE6F0A">
        <w:rPr>
          <w:rFonts w:ascii="Arial Narrow" w:hAnsi="Arial Narrow"/>
          <w:sz w:val="26"/>
          <w:szCs w:val="26"/>
        </w:rPr>
        <w:t xml:space="preserve">las acciones populares como la herramienta procesal adecuada para la protección de los derechos e intereses colectivos, relacionados con el patrimonio, el espacio, la seguridad y la salubridad públicos, la moral administrativa, el ambiente, la libre competencia económica y otros de similar naturaleza que </w:t>
      </w:r>
      <w:r w:rsidR="008518EA" w:rsidRPr="00DE6F0A">
        <w:rPr>
          <w:rFonts w:ascii="Arial Narrow" w:hAnsi="Arial Narrow"/>
          <w:sz w:val="26"/>
          <w:szCs w:val="26"/>
        </w:rPr>
        <w:t xml:space="preserve">se </w:t>
      </w:r>
      <w:r w:rsidR="00B4386B" w:rsidRPr="00DE6F0A">
        <w:rPr>
          <w:rFonts w:ascii="Arial Narrow" w:hAnsi="Arial Narrow"/>
          <w:sz w:val="26"/>
          <w:szCs w:val="26"/>
        </w:rPr>
        <w:t>definen</w:t>
      </w:r>
      <w:r w:rsidR="008518EA" w:rsidRPr="00DE6F0A">
        <w:rPr>
          <w:rFonts w:ascii="Arial Narrow" w:hAnsi="Arial Narrow"/>
          <w:sz w:val="26"/>
          <w:szCs w:val="26"/>
        </w:rPr>
        <w:t xml:space="preserve"> por el legislador.</w:t>
      </w:r>
    </w:p>
    <w:p w14:paraId="23B226B6" w14:textId="77777777" w:rsidR="008518EA" w:rsidRPr="00DE6F0A" w:rsidRDefault="008518EA" w:rsidP="00DE6F0A">
      <w:pPr>
        <w:pStyle w:val="Sinespaciado"/>
        <w:spacing w:line="276" w:lineRule="auto"/>
        <w:jc w:val="both"/>
        <w:rPr>
          <w:rFonts w:ascii="Arial Narrow" w:hAnsi="Arial Narrow"/>
          <w:sz w:val="26"/>
          <w:szCs w:val="26"/>
        </w:rPr>
      </w:pPr>
    </w:p>
    <w:p w14:paraId="3F4E12FD" w14:textId="0CE7B905" w:rsidR="007C38CA" w:rsidRPr="00DE6F0A" w:rsidRDefault="00CA2E54" w:rsidP="00DE6F0A">
      <w:pPr>
        <w:pStyle w:val="Sinespaciado"/>
        <w:spacing w:line="276" w:lineRule="auto"/>
        <w:jc w:val="both"/>
        <w:rPr>
          <w:rFonts w:ascii="Arial Narrow" w:hAnsi="Arial Narrow"/>
          <w:sz w:val="26"/>
          <w:szCs w:val="26"/>
        </w:rPr>
      </w:pPr>
      <w:r w:rsidRPr="00DE6F0A">
        <w:rPr>
          <w:rFonts w:ascii="Arial Narrow" w:hAnsi="Arial Narrow"/>
          <w:sz w:val="26"/>
          <w:szCs w:val="26"/>
        </w:rPr>
        <w:lastRenderedPageBreak/>
        <w:t>En cuanto acá interesa, su regulación se encuentra prevista en la Ley 472 de 1998</w:t>
      </w:r>
      <w:r w:rsidR="00CC20C4" w:rsidRPr="00DE6F0A">
        <w:rPr>
          <w:rFonts w:ascii="Arial Narrow" w:hAnsi="Arial Narrow"/>
          <w:sz w:val="26"/>
          <w:szCs w:val="26"/>
        </w:rPr>
        <w:t>, que señala como objeto de aquella herramienta evitar el daño contingente</w:t>
      </w:r>
      <w:r w:rsidR="007C38CA" w:rsidRPr="00DE6F0A">
        <w:rPr>
          <w:rFonts w:ascii="Arial Narrow" w:hAnsi="Arial Narrow"/>
          <w:sz w:val="26"/>
          <w:szCs w:val="26"/>
        </w:rPr>
        <w:t xml:space="preserve"> o</w:t>
      </w:r>
      <w:r w:rsidR="00CC20C4" w:rsidRPr="00DE6F0A">
        <w:rPr>
          <w:rFonts w:ascii="Arial Narrow" w:hAnsi="Arial Narrow"/>
          <w:sz w:val="26"/>
          <w:szCs w:val="26"/>
        </w:rPr>
        <w:t xml:space="preserve"> hacer cesar el peligro, la amenaza, la vulneración o agravio sobre los derechos e intereses colectivos, o restituir las cosas a su estado anterior cuando </w:t>
      </w:r>
      <w:r w:rsidR="007C38CA" w:rsidRPr="00DE6F0A">
        <w:rPr>
          <w:rFonts w:ascii="Arial Narrow" w:hAnsi="Arial Narrow"/>
          <w:sz w:val="26"/>
          <w:szCs w:val="26"/>
        </w:rPr>
        <w:t xml:space="preserve">ello </w:t>
      </w:r>
      <w:r w:rsidR="00CC20C4" w:rsidRPr="00DE6F0A">
        <w:rPr>
          <w:rFonts w:ascii="Arial Narrow" w:hAnsi="Arial Narrow"/>
          <w:sz w:val="26"/>
          <w:szCs w:val="26"/>
        </w:rPr>
        <w:t>fuere posible.</w:t>
      </w:r>
    </w:p>
    <w:p w14:paraId="4A481A40" w14:textId="77777777" w:rsidR="007C38CA" w:rsidRPr="00DE6F0A" w:rsidRDefault="007C38CA" w:rsidP="00DE6F0A">
      <w:pPr>
        <w:pStyle w:val="Sinespaciado"/>
        <w:spacing w:line="276" w:lineRule="auto"/>
        <w:jc w:val="both"/>
        <w:rPr>
          <w:rFonts w:ascii="Arial Narrow" w:hAnsi="Arial Narrow"/>
          <w:sz w:val="26"/>
          <w:szCs w:val="26"/>
        </w:rPr>
      </w:pPr>
    </w:p>
    <w:p w14:paraId="5B1625DC" w14:textId="497EB4A7" w:rsidR="00E8461A" w:rsidRPr="00DE6F0A" w:rsidRDefault="00E8461A" w:rsidP="00DE6F0A">
      <w:pPr>
        <w:pStyle w:val="Sinespaciado"/>
        <w:spacing w:line="276" w:lineRule="auto"/>
        <w:jc w:val="both"/>
        <w:rPr>
          <w:rFonts w:ascii="Arial Narrow" w:hAnsi="Arial Narrow"/>
          <w:sz w:val="26"/>
          <w:szCs w:val="26"/>
        </w:rPr>
      </w:pPr>
      <w:r w:rsidRPr="00DE6F0A">
        <w:rPr>
          <w:rFonts w:ascii="Arial Narrow" w:hAnsi="Arial Narrow"/>
          <w:sz w:val="26"/>
          <w:szCs w:val="26"/>
        </w:rPr>
        <w:t>La acción popular, de conformidad con el artículo 9º, procede contra toda acción u omisión de las autoridades o de los particulares</w:t>
      </w:r>
      <w:r w:rsidR="0065786D" w:rsidRPr="00DE6F0A">
        <w:rPr>
          <w:rFonts w:ascii="Arial Narrow" w:hAnsi="Arial Narrow"/>
          <w:sz w:val="26"/>
          <w:szCs w:val="26"/>
        </w:rPr>
        <w:t>. S</w:t>
      </w:r>
      <w:r w:rsidRPr="00DE6F0A">
        <w:rPr>
          <w:rFonts w:ascii="Arial Narrow" w:hAnsi="Arial Narrow"/>
          <w:sz w:val="26"/>
          <w:szCs w:val="26"/>
        </w:rPr>
        <w:t>on elementos esenciales de esa clase de acciones</w:t>
      </w:r>
      <w:r w:rsidR="0065786D" w:rsidRPr="00DE6F0A">
        <w:rPr>
          <w:rFonts w:ascii="Arial Narrow" w:hAnsi="Arial Narrow"/>
          <w:sz w:val="26"/>
          <w:szCs w:val="26"/>
        </w:rPr>
        <w:t>:</w:t>
      </w:r>
      <w:r w:rsidRPr="00DE6F0A">
        <w:rPr>
          <w:rFonts w:ascii="Arial Narrow" w:hAnsi="Arial Narrow"/>
          <w:sz w:val="26"/>
          <w:szCs w:val="26"/>
        </w:rPr>
        <w:t xml:space="preserve"> a) la acción u omisión de la autoridad o del particular demandado; b) un daño contingente, peligro o amenaza o vulneración de derechos o intereses colectivos</w:t>
      </w:r>
      <w:r w:rsidR="0065786D" w:rsidRPr="00DE6F0A">
        <w:rPr>
          <w:rFonts w:ascii="Arial Narrow" w:hAnsi="Arial Narrow"/>
          <w:sz w:val="26"/>
          <w:szCs w:val="26"/>
        </w:rPr>
        <w:t>,</w:t>
      </w:r>
      <w:r w:rsidRPr="00DE6F0A">
        <w:rPr>
          <w:rFonts w:ascii="Arial Narrow" w:hAnsi="Arial Narrow"/>
          <w:sz w:val="26"/>
          <w:szCs w:val="26"/>
        </w:rPr>
        <w:t xml:space="preserve"> y c) la relación de causalidad entre esa acción u omisión y el daño, </w:t>
      </w:r>
      <w:r w:rsidR="0065786D" w:rsidRPr="00DE6F0A">
        <w:rPr>
          <w:rFonts w:ascii="Arial Narrow" w:hAnsi="Arial Narrow"/>
          <w:sz w:val="26"/>
          <w:szCs w:val="26"/>
        </w:rPr>
        <w:t xml:space="preserve">la </w:t>
      </w:r>
      <w:r w:rsidRPr="00DE6F0A">
        <w:rPr>
          <w:rFonts w:ascii="Arial Narrow" w:hAnsi="Arial Narrow"/>
          <w:sz w:val="26"/>
          <w:szCs w:val="26"/>
        </w:rPr>
        <w:t>amenaza o vulneración.</w:t>
      </w:r>
    </w:p>
    <w:p w14:paraId="448E1637" w14:textId="77777777" w:rsidR="00E8461A" w:rsidRPr="00DE6F0A" w:rsidRDefault="00E8461A" w:rsidP="00DE6F0A">
      <w:pPr>
        <w:pStyle w:val="Sinespaciado"/>
        <w:spacing w:line="276" w:lineRule="auto"/>
        <w:jc w:val="both"/>
        <w:rPr>
          <w:rFonts w:ascii="Arial Narrow" w:hAnsi="Arial Narrow"/>
          <w:sz w:val="26"/>
          <w:szCs w:val="26"/>
        </w:rPr>
      </w:pPr>
    </w:p>
    <w:p w14:paraId="220E5457" w14:textId="4539991C" w:rsidR="00A43DBC" w:rsidRPr="00DE6F0A" w:rsidRDefault="0065786D"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6</w:t>
      </w:r>
      <w:r w:rsidR="00EA2A68" w:rsidRPr="00DE6F0A">
        <w:rPr>
          <w:rFonts w:ascii="Arial Narrow" w:hAnsi="Arial Narrow"/>
          <w:b/>
          <w:bCs/>
          <w:sz w:val="26"/>
          <w:szCs w:val="26"/>
        </w:rPr>
        <w:t xml:space="preserve">. </w:t>
      </w:r>
      <w:r w:rsidR="00337942" w:rsidRPr="00DE6F0A">
        <w:rPr>
          <w:rFonts w:ascii="Arial Narrow" w:hAnsi="Arial Narrow"/>
          <w:sz w:val="26"/>
          <w:szCs w:val="26"/>
        </w:rPr>
        <w:t>Dentro de los derechos colectivos pasibles de protección</w:t>
      </w:r>
      <w:r w:rsidR="00333BD9" w:rsidRPr="00DE6F0A">
        <w:rPr>
          <w:rFonts w:ascii="Arial Narrow" w:hAnsi="Arial Narrow"/>
          <w:b/>
          <w:bCs/>
          <w:sz w:val="26"/>
          <w:szCs w:val="26"/>
        </w:rPr>
        <w:t xml:space="preserve"> </w:t>
      </w:r>
      <w:r w:rsidR="002456D6" w:rsidRPr="00DE6F0A">
        <w:rPr>
          <w:rFonts w:ascii="Arial Narrow" w:hAnsi="Arial Narrow"/>
          <w:sz w:val="26"/>
          <w:szCs w:val="26"/>
        </w:rPr>
        <w:t>bajo el mencionado mecanismo se encuentra e</w:t>
      </w:r>
      <w:r w:rsidR="00AB0658" w:rsidRPr="00DE6F0A">
        <w:rPr>
          <w:rFonts w:ascii="Arial Narrow" w:hAnsi="Arial Narrow"/>
          <w:sz w:val="26"/>
          <w:szCs w:val="26"/>
        </w:rPr>
        <w:t>l acceso a los servicios públicos y a que su prestación sea eficiente y oportuna</w:t>
      </w:r>
      <w:r w:rsidR="002456D6" w:rsidRPr="00DE6F0A">
        <w:rPr>
          <w:rFonts w:ascii="Arial Narrow" w:hAnsi="Arial Narrow"/>
          <w:sz w:val="26"/>
          <w:szCs w:val="26"/>
        </w:rPr>
        <w:t xml:space="preserve">, según consagración expresa contenida </w:t>
      </w:r>
      <w:r w:rsidR="00AB0658" w:rsidRPr="00DE6F0A">
        <w:rPr>
          <w:rFonts w:ascii="Arial Narrow" w:hAnsi="Arial Narrow"/>
          <w:sz w:val="26"/>
          <w:szCs w:val="26"/>
        </w:rPr>
        <w:t xml:space="preserve">en el artículo 4 de la Ley en cita, </w:t>
      </w:r>
      <w:r w:rsidR="002456D6" w:rsidRPr="00DE6F0A">
        <w:rPr>
          <w:rFonts w:ascii="Arial Narrow" w:hAnsi="Arial Narrow"/>
          <w:sz w:val="26"/>
          <w:szCs w:val="26"/>
        </w:rPr>
        <w:t xml:space="preserve">que </w:t>
      </w:r>
      <w:r w:rsidR="00BE2A23" w:rsidRPr="00DE6F0A">
        <w:rPr>
          <w:rFonts w:ascii="Arial Narrow" w:hAnsi="Arial Narrow"/>
          <w:sz w:val="26"/>
          <w:szCs w:val="26"/>
        </w:rPr>
        <w:t>encuentra</w:t>
      </w:r>
      <w:r w:rsidR="00A43C07" w:rsidRPr="00DE6F0A">
        <w:rPr>
          <w:rFonts w:ascii="Arial Narrow" w:hAnsi="Arial Narrow"/>
          <w:sz w:val="26"/>
          <w:szCs w:val="26"/>
        </w:rPr>
        <w:t xml:space="preserve"> soporte directo en el artículo 365 constitucional</w:t>
      </w:r>
      <w:r w:rsidR="00977F96" w:rsidRPr="00DE6F0A">
        <w:rPr>
          <w:rFonts w:ascii="Arial Narrow" w:hAnsi="Arial Narrow"/>
          <w:sz w:val="26"/>
          <w:szCs w:val="26"/>
        </w:rPr>
        <w:t xml:space="preserve">, entendiéndose por eficiente </w:t>
      </w:r>
      <w:r w:rsidR="00DD7CA5" w:rsidRPr="00DE6F0A">
        <w:rPr>
          <w:rFonts w:ascii="Arial Narrow" w:hAnsi="Arial Narrow"/>
          <w:sz w:val="26"/>
          <w:szCs w:val="26"/>
        </w:rPr>
        <w:t xml:space="preserve">que su </w:t>
      </w:r>
      <w:r w:rsidR="00977F96" w:rsidRPr="00DE6F0A">
        <w:rPr>
          <w:rFonts w:ascii="Arial Narrow" w:hAnsi="Arial Narrow"/>
          <w:sz w:val="26"/>
          <w:szCs w:val="26"/>
        </w:rPr>
        <w:t xml:space="preserve">prestación </w:t>
      </w:r>
      <w:r w:rsidR="00DD7CA5" w:rsidRPr="00DE6F0A">
        <w:rPr>
          <w:rFonts w:ascii="Arial Narrow" w:hAnsi="Arial Narrow"/>
          <w:sz w:val="26"/>
          <w:szCs w:val="26"/>
        </w:rPr>
        <w:t xml:space="preserve">debe hacerse </w:t>
      </w:r>
      <w:r w:rsidR="00977F96" w:rsidRPr="00DE6F0A">
        <w:rPr>
          <w:rFonts w:ascii="Arial Narrow" w:hAnsi="Arial Narrow"/>
          <w:sz w:val="26"/>
          <w:szCs w:val="26"/>
        </w:rPr>
        <w:t>utilizando y disponiendo del mejor modo posible los instrumentos o recursos necesarios para cumplir los fines propuestos</w:t>
      </w:r>
      <w:r w:rsidR="00DD7CA5" w:rsidRPr="00DE6F0A">
        <w:rPr>
          <w:rFonts w:ascii="Arial Narrow" w:hAnsi="Arial Narrow"/>
          <w:sz w:val="26"/>
          <w:szCs w:val="26"/>
        </w:rPr>
        <w:t>.</w:t>
      </w:r>
      <w:r w:rsidR="00D15E08" w:rsidRPr="00DE6F0A">
        <w:rPr>
          <w:rStyle w:val="Refdenotaalpie"/>
          <w:rFonts w:ascii="Arial Narrow" w:hAnsi="Arial Narrow"/>
          <w:sz w:val="26"/>
          <w:szCs w:val="26"/>
        </w:rPr>
        <w:footnoteReference w:id="31"/>
      </w:r>
    </w:p>
    <w:p w14:paraId="43960A79" w14:textId="77777777" w:rsidR="00A43DBC" w:rsidRPr="00DE6F0A" w:rsidRDefault="00A43DBC" w:rsidP="00DE6F0A">
      <w:pPr>
        <w:pStyle w:val="Sinespaciado"/>
        <w:spacing w:line="276" w:lineRule="auto"/>
        <w:jc w:val="both"/>
        <w:rPr>
          <w:rFonts w:ascii="Arial Narrow" w:hAnsi="Arial Narrow"/>
          <w:sz w:val="26"/>
          <w:szCs w:val="26"/>
        </w:rPr>
      </w:pPr>
    </w:p>
    <w:p w14:paraId="003E67EB" w14:textId="7A3E5A2E" w:rsidR="00BA2AEC" w:rsidRPr="00DE6F0A" w:rsidRDefault="0050772E" w:rsidP="00DE6F0A">
      <w:pPr>
        <w:pStyle w:val="Sinespaciado"/>
        <w:spacing w:line="276" w:lineRule="auto"/>
        <w:jc w:val="both"/>
        <w:rPr>
          <w:rFonts w:ascii="Arial Narrow" w:hAnsi="Arial Narrow"/>
          <w:sz w:val="26"/>
          <w:szCs w:val="26"/>
        </w:rPr>
      </w:pPr>
      <w:r w:rsidRPr="00DE6F0A">
        <w:rPr>
          <w:rFonts w:ascii="Arial Narrow" w:hAnsi="Arial Narrow"/>
          <w:sz w:val="26"/>
          <w:szCs w:val="26"/>
        </w:rPr>
        <w:t>L</w:t>
      </w:r>
      <w:r w:rsidR="00F83108" w:rsidRPr="00DE6F0A">
        <w:rPr>
          <w:rFonts w:ascii="Arial Narrow" w:hAnsi="Arial Narrow"/>
          <w:sz w:val="26"/>
          <w:szCs w:val="26"/>
        </w:rPr>
        <w:t xml:space="preserve">a </w:t>
      </w:r>
      <w:r w:rsidR="00F83108" w:rsidRPr="00DE6F0A">
        <w:rPr>
          <w:rFonts w:ascii="Arial Narrow" w:hAnsi="Arial Narrow"/>
          <w:b/>
          <w:bCs/>
          <w:sz w:val="26"/>
          <w:szCs w:val="26"/>
        </w:rPr>
        <w:t>atención de la salud</w:t>
      </w:r>
      <w:r w:rsidRPr="00DE6F0A">
        <w:rPr>
          <w:rFonts w:ascii="Arial Narrow" w:hAnsi="Arial Narrow"/>
          <w:sz w:val="26"/>
          <w:szCs w:val="26"/>
        </w:rPr>
        <w:t>, a su turno,</w:t>
      </w:r>
      <w:r w:rsidR="00F83108" w:rsidRPr="00DE6F0A">
        <w:rPr>
          <w:rFonts w:ascii="Arial Narrow" w:hAnsi="Arial Narrow"/>
          <w:sz w:val="26"/>
          <w:szCs w:val="26"/>
        </w:rPr>
        <w:t xml:space="preserve"> </w:t>
      </w:r>
      <w:r w:rsidR="0025432D" w:rsidRPr="00DE6F0A">
        <w:rPr>
          <w:rFonts w:ascii="Arial Narrow" w:hAnsi="Arial Narrow"/>
          <w:sz w:val="26"/>
          <w:szCs w:val="26"/>
        </w:rPr>
        <w:t>se encuentra catalogad</w:t>
      </w:r>
      <w:r w:rsidR="00A43DBC" w:rsidRPr="00DE6F0A">
        <w:rPr>
          <w:rFonts w:ascii="Arial Narrow" w:hAnsi="Arial Narrow"/>
          <w:sz w:val="26"/>
          <w:szCs w:val="26"/>
        </w:rPr>
        <w:t>a</w:t>
      </w:r>
      <w:r w:rsidR="0025432D" w:rsidRPr="00DE6F0A">
        <w:rPr>
          <w:rFonts w:ascii="Arial Narrow" w:hAnsi="Arial Narrow"/>
          <w:sz w:val="26"/>
          <w:szCs w:val="26"/>
        </w:rPr>
        <w:t xml:space="preserve"> como u</w:t>
      </w:r>
      <w:r w:rsidR="00F83108" w:rsidRPr="00DE6F0A">
        <w:rPr>
          <w:rFonts w:ascii="Arial Narrow" w:hAnsi="Arial Narrow"/>
          <w:sz w:val="26"/>
          <w:szCs w:val="26"/>
        </w:rPr>
        <w:t>n servicio público a cargo del Estado</w:t>
      </w:r>
      <w:r w:rsidR="0025432D" w:rsidRPr="00DE6F0A">
        <w:rPr>
          <w:rFonts w:ascii="Arial Narrow" w:hAnsi="Arial Narrow"/>
          <w:sz w:val="26"/>
          <w:szCs w:val="26"/>
        </w:rPr>
        <w:t xml:space="preserve"> (Art. 49 CN), que debe g</w:t>
      </w:r>
      <w:r w:rsidR="00F83108" w:rsidRPr="00DE6F0A">
        <w:rPr>
          <w:rFonts w:ascii="Arial Narrow" w:hAnsi="Arial Narrow"/>
          <w:sz w:val="26"/>
          <w:szCs w:val="26"/>
        </w:rPr>
        <w:t>arantiza</w:t>
      </w:r>
      <w:r w:rsidR="005408F1" w:rsidRPr="00DE6F0A">
        <w:rPr>
          <w:rFonts w:ascii="Arial Narrow" w:hAnsi="Arial Narrow"/>
          <w:sz w:val="26"/>
          <w:szCs w:val="26"/>
        </w:rPr>
        <w:t>r</w:t>
      </w:r>
      <w:r w:rsidR="00F83108" w:rsidRPr="00DE6F0A">
        <w:rPr>
          <w:rFonts w:ascii="Arial Narrow" w:hAnsi="Arial Narrow"/>
          <w:sz w:val="26"/>
          <w:szCs w:val="26"/>
        </w:rPr>
        <w:t xml:space="preserve"> a todas las personas el acceso a los servicios de promoción, protección y recuperación de la salud.</w:t>
      </w:r>
      <w:r w:rsidR="00A43C07" w:rsidRPr="00DE6F0A">
        <w:rPr>
          <w:rFonts w:ascii="Arial Narrow" w:hAnsi="Arial Narrow"/>
          <w:sz w:val="26"/>
          <w:szCs w:val="26"/>
        </w:rPr>
        <w:t xml:space="preserve"> </w:t>
      </w:r>
      <w:r w:rsidR="00A43DBC" w:rsidRPr="00DE6F0A">
        <w:rPr>
          <w:rFonts w:ascii="Arial Narrow" w:hAnsi="Arial Narrow"/>
          <w:sz w:val="26"/>
          <w:szCs w:val="26"/>
        </w:rPr>
        <w:t xml:space="preserve">También puede ser prestado por </w:t>
      </w:r>
      <w:r w:rsidR="00A43DBC" w:rsidRPr="00DE6F0A">
        <w:rPr>
          <w:rFonts w:ascii="Arial Narrow" w:hAnsi="Arial Narrow"/>
          <w:b/>
          <w:bCs/>
          <w:sz w:val="26"/>
          <w:szCs w:val="26"/>
        </w:rPr>
        <w:t>particulares</w:t>
      </w:r>
      <w:r w:rsidR="00A43DBC" w:rsidRPr="00DE6F0A">
        <w:rPr>
          <w:rFonts w:ascii="Arial Narrow" w:hAnsi="Arial Narrow"/>
          <w:sz w:val="26"/>
          <w:szCs w:val="26"/>
        </w:rPr>
        <w:t xml:space="preserve">, </w:t>
      </w:r>
      <w:r w:rsidR="0041395F" w:rsidRPr="00DE6F0A">
        <w:rPr>
          <w:rFonts w:ascii="Arial Narrow" w:hAnsi="Arial Narrow"/>
          <w:sz w:val="26"/>
          <w:szCs w:val="26"/>
        </w:rPr>
        <w:t>correspondiendo en todo caso a</w:t>
      </w:r>
      <w:r w:rsidR="00056922" w:rsidRPr="00DE6F0A">
        <w:rPr>
          <w:rFonts w:ascii="Arial Narrow" w:hAnsi="Arial Narrow"/>
          <w:sz w:val="26"/>
          <w:szCs w:val="26"/>
        </w:rPr>
        <w:t xml:space="preserve"> aquel </w:t>
      </w:r>
      <w:r w:rsidR="0041395F" w:rsidRPr="00DE6F0A">
        <w:rPr>
          <w:rFonts w:ascii="Arial Narrow" w:hAnsi="Arial Narrow"/>
          <w:sz w:val="26"/>
          <w:szCs w:val="26"/>
        </w:rPr>
        <w:t>organizar, dirigir y reglamentar su prestación, establecer las políticas y ejercer su vigilancia y control</w:t>
      </w:r>
      <w:r w:rsidR="00BA2AEC" w:rsidRPr="00DE6F0A">
        <w:rPr>
          <w:rFonts w:ascii="Arial Narrow" w:hAnsi="Arial Narrow"/>
          <w:sz w:val="26"/>
          <w:szCs w:val="26"/>
        </w:rPr>
        <w:t>.</w:t>
      </w:r>
    </w:p>
    <w:p w14:paraId="35B1481E" w14:textId="3E61501F" w:rsidR="00BA2AEC" w:rsidRPr="00DE6F0A" w:rsidRDefault="00BA2AEC" w:rsidP="00DE6F0A">
      <w:pPr>
        <w:pStyle w:val="Sinespaciado"/>
        <w:spacing w:line="276" w:lineRule="auto"/>
        <w:jc w:val="both"/>
        <w:rPr>
          <w:rFonts w:ascii="Arial Narrow" w:hAnsi="Arial Narrow"/>
          <w:sz w:val="26"/>
          <w:szCs w:val="26"/>
        </w:rPr>
      </w:pPr>
    </w:p>
    <w:p w14:paraId="364B86C9" w14:textId="18E7005A" w:rsidR="000840E4" w:rsidRPr="00DE6F0A" w:rsidRDefault="000840E4" w:rsidP="00DE6F0A">
      <w:pPr>
        <w:pStyle w:val="Sinespaciado"/>
        <w:spacing w:line="276" w:lineRule="auto"/>
        <w:jc w:val="both"/>
        <w:rPr>
          <w:rFonts w:ascii="Arial Narrow" w:hAnsi="Arial Narrow"/>
          <w:sz w:val="26"/>
          <w:szCs w:val="26"/>
        </w:rPr>
      </w:pPr>
      <w:r w:rsidRPr="00DE6F0A">
        <w:rPr>
          <w:rFonts w:ascii="Arial Narrow" w:hAnsi="Arial Narrow"/>
          <w:sz w:val="26"/>
          <w:szCs w:val="26"/>
        </w:rPr>
        <w:t>La Ley Estatutaria 1751 de 2015</w:t>
      </w:r>
      <w:r w:rsidR="001C2BE6" w:rsidRPr="00DE6F0A">
        <w:rPr>
          <w:rFonts w:ascii="Arial Narrow" w:hAnsi="Arial Narrow"/>
          <w:sz w:val="26"/>
          <w:szCs w:val="26"/>
        </w:rPr>
        <w:t xml:space="preserve">, por medio de la cual se regula el derecho fundamental a la salud y se dictan otras disposiciones, </w:t>
      </w:r>
      <w:r w:rsidR="00A646F8" w:rsidRPr="00DE6F0A">
        <w:rPr>
          <w:rFonts w:ascii="Arial Narrow" w:hAnsi="Arial Narrow"/>
          <w:sz w:val="26"/>
          <w:szCs w:val="26"/>
        </w:rPr>
        <w:t xml:space="preserve">confirma que de conformidad con el artículo 49 superior, la prestación del </w:t>
      </w:r>
      <w:r w:rsidR="008B7ECC" w:rsidRPr="00DE6F0A">
        <w:rPr>
          <w:rFonts w:ascii="Arial Narrow" w:hAnsi="Arial Narrow"/>
          <w:sz w:val="26"/>
          <w:szCs w:val="26"/>
        </w:rPr>
        <w:t xml:space="preserve">servicio de salud se cataloga como </w:t>
      </w:r>
      <w:r w:rsidR="00A646F8" w:rsidRPr="00DE6F0A">
        <w:rPr>
          <w:rFonts w:ascii="Arial Narrow" w:hAnsi="Arial Narrow"/>
          <w:sz w:val="26"/>
          <w:szCs w:val="26"/>
        </w:rPr>
        <w:t xml:space="preserve">servicio público esencial obligatorio, </w:t>
      </w:r>
      <w:r w:rsidR="008B7ECC" w:rsidRPr="00DE6F0A">
        <w:rPr>
          <w:rFonts w:ascii="Arial Narrow" w:hAnsi="Arial Narrow"/>
          <w:sz w:val="26"/>
          <w:szCs w:val="26"/>
        </w:rPr>
        <w:t xml:space="preserve">y </w:t>
      </w:r>
      <w:r w:rsidR="00A646F8" w:rsidRPr="00DE6F0A">
        <w:rPr>
          <w:rFonts w:ascii="Arial Narrow" w:hAnsi="Arial Narrow"/>
          <w:sz w:val="26"/>
          <w:szCs w:val="26"/>
        </w:rPr>
        <w:t>se ejecuta bajo la indelegable dirección, supervisión, organización, regulación, coordinación y control del Estado.</w:t>
      </w:r>
      <w:r w:rsidR="004D491D" w:rsidRPr="00DE6F0A">
        <w:rPr>
          <w:rFonts w:ascii="Arial Narrow" w:hAnsi="Arial Narrow"/>
          <w:sz w:val="26"/>
          <w:szCs w:val="26"/>
        </w:rPr>
        <w:t xml:space="preserve"> </w:t>
      </w:r>
      <w:r w:rsidR="00E56CF3" w:rsidRPr="00DE6F0A">
        <w:rPr>
          <w:rFonts w:ascii="Arial Narrow" w:hAnsi="Arial Narrow"/>
          <w:sz w:val="26"/>
          <w:szCs w:val="26"/>
        </w:rPr>
        <w:t xml:space="preserve">Similar calificativo </w:t>
      </w:r>
      <w:r w:rsidR="004D491D" w:rsidRPr="00DE6F0A">
        <w:rPr>
          <w:rFonts w:ascii="Arial Narrow" w:hAnsi="Arial Narrow"/>
          <w:sz w:val="26"/>
          <w:szCs w:val="26"/>
        </w:rPr>
        <w:t>se encuentra el artículo 4º de la Ley 100 de 1993</w:t>
      </w:r>
      <w:r w:rsidR="007D1889" w:rsidRPr="00DE6F0A">
        <w:rPr>
          <w:rFonts w:ascii="Arial Narrow" w:hAnsi="Arial Narrow"/>
          <w:sz w:val="26"/>
          <w:szCs w:val="26"/>
        </w:rPr>
        <w:t xml:space="preserve">, normativa que </w:t>
      </w:r>
      <w:r w:rsidR="007D1889" w:rsidRPr="00DE6F0A">
        <w:rPr>
          <w:rFonts w:ascii="Arial Narrow" w:hAnsi="Arial Narrow"/>
          <w:sz w:val="26"/>
          <w:szCs w:val="26"/>
          <w:lang w:val="es-ES_tradnl"/>
        </w:rPr>
        <w:t xml:space="preserve">a partir de su artículo 152 y ss., crea un entramado institucional para la satisfacción de la necesidad, </w:t>
      </w:r>
      <w:r w:rsidR="007D1889" w:rsidRPr="00DE6F0A">
        <w:rPr>
          <w:rFonts w:ascii="Arial Narrow" w:hAnsi="Arial Narrow"/>
          <w:b/>
          <w:sz w:val="26"/>
          <w:szCs w:val="26"/>
          <w:lang w:val="es-ES_tradnl"/>
        </w:rPr>
        <w:t>a través de entidades tanto públicas como privadas</w:t>
      </w:r>
      <w:r w:rsidR="007D1889" w:rsidRPr="00DE6F0A">
        <w:rPr>
          <w:rFonts w:ascii="Arial Narrow" w:hAnsi="Arial Narrow"/>
          <w:sz w:val="26"/>
          <w:szCs w:val="26"/>
          <w:lang w:val="es-ES_tradnl"/>
        </w:rPr>
        <w:t>, estando todas ellas reguladas por Minsalud y la Supersalud.</w:t>
      </w:r>
    </w:p>
    <w:p w14:paraId="5069812F" w14:textId="10299C64" w:rsidR="00CF0A96" w:rsidRPr="00DE6F0A" w:rsidRDefault="00CF0A96" w:rsidP="00DE6F0A">
      <w:pPr>
        <w:pStyle w:val="Sinespaciado"/>
        <w:spacing w:line="276" w:lineRule="auto"/>
        <w:jc w:val="both"/>
        <w:rPr>
          <w:rFonts w:ascii="Arial Narrow" w:hAnsi="Arial Narrow"/>
          <w:sz w:val="26"/>
          <w:szCs w:val="26"/>
        </w:rPr>
      </w:pPr>
    </w:p>
    <w:p w14:paraId="12258A61" w14:textId="1869C111" w:rsidR="005C05B8" w:rsidRPr="00DE6F0A" w:rsidRDefault="00F43942"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el caso concreto se tiene que l</w:t>
      </w:r>
      <w:r w:rsidR="005C05B8" w:rsidRPr="00DE6F0A">
        <w:rPr>
          <w:rFonts w:ascii="Arial Narrow" w:hAnsi="Arial Narrow"/>
          <w:sz w:val="26"/>
          <w:szCs w:val="26"/>
        </w:rPr>
        <w:t>a accionada AUDIFARMA S</w:t>
      </w:r>
      <w:r w:rsidR="000A79C8" w:rsidRPr="00DE6F0A">
        <w:rPr>
          <w:rFonts w:ascii="Arial Narrow" w:hAnsi="Arial Narrow"/>
          <w:sz w:val="26"/>
          <w:szCs w:val="26"/>
        </w:rPr>
        <w:t>.</w:t>
      </w:r>
      <w:r w:rsidR="005C05B8" w:rsidRPr="00DE6F0A">
        <w:rPr>
          <w:rFonts w:ascii="Arial Narrow" w:hAnsi="Arial Narrow"/>
          <w:sz w:val="26"/>
          <w:szCs w:val="26"/>
        </w:rPr>
        <w:t>A</w:t>
      </w:r>
      <w:r w:rsidR="000A79C8" w:rsidRPr="00DE6F0A">
        <w:rPr>
          <w:rFonts w:ascii="Arial Narrow" w:hAnsi="Arial Narrow"/>
          <w:sz w:val="26"/>
          <w:szCs w:val="26"/>
        </w:rPr>
        <w:t>.</w:t>
      </w:r>
      <w:r w:rsidR="005C05B8" w:rsidRPr="00DE6F0A">
        <w:rPr>
          <w:rFonts w:ascii="Arial Narrow" w:hAnsi="Arial Narrow"/>
          <w:sz w:val="26"/>
          <w:szCs w:val="26"/>
        </w:rPr>
        <w:t xml:space="preserve"> tiene como actividad económica, el comercio al por mayor de productos farmacéuticos, medicinales, cosméticos y de tocador. Su objeto social</w:t>
      </w:r>
      <w:r w:rsidR="00E20B21" w:rsidRPr="00DE6F0A">
        <w:rPr>
          <w:rStyle w:val="Refdenotaalpie"/>
          <w:rFonts w:ascii="Arial Narrow" w:hAnsi="Arial Narrow"/>
          <w:sz w:val="26"/>
          <w:szCs w:val="26"/>
        </w:rPr>
        <w:footnoteReference w:id="32"/>
      </w:r>
      <w:r w:rsidR="005C05B8" w:rsidRPr="00DE6F0A">
        <w:rPr>
          <w:rFonts w:ascii="Arial Narrow" w:hAnsi="Arial Narrow"/>
          <w:sz w:val="26"/>
          <w:szCs w:val="26"/>
        </w:rPr>
        <w:t>, en lo pertinente, le autoriza para la dispensación de medicamentos, insumos médico-quirúrgicos, prótesis, ortesis, productos cosméticos y otras tecnologías en salud al usuario final de entidades promotoras de salud, instituciones prestadoras de servicios de salud y otras con objeto social afín.</w:t>
      </w:r>
    </w:p>
    <w:p w14:paraId="453A5473" w14:textId="77777777" w:rsidR="005C05B8" w:rsidRPr="00DE6F0A" w:rsidRDefault="005C05B8" w:rsidP="00DE6F0A">
      <w:pPr>
        <w:pStyle w:val="Sinespaciado"/>
        <w:spacing w:line="276" w:lineRule="auto"/>
        <w:jc w:val="both"/>
        <w:rPr>
          <w:rFonts w:ascii="Arial Narrow" w:hAnsi="Arial Narrow"/>
          <w:sz w:val="26"/>
          <w:szCs w:val="26"/>
        </w:rPr>
      </w:pPr>
    </w:p>
    <w:p w14:paraId="69C695DE" w14:textId="632A3884" w:rsidR="005C05B8" w:rsidRPr="00DE6F0A" w:rsidRDefault="005C05B8"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La dispensación, según lo define el artículo 3 del Decreto 2200 de 2005 por el cual se reglamenta el servicio farmacéutico y se dictan otras disposiciones, consiste en la entrega de uno o más </w:t>
      </w:r>
      <w:r w:rsidRPr="00DE6F0A">
        <w:rPr>
          <w:rFonts w:ascii="Arial Narrow" w:hAnsi="Arial Narrow"/>
          <w:sz w:val="26"/>
          <w:szCs w:val="26"/>
        </w:rPr>
        <w:lastRenderedPageBreak/>
        <w:t xml:space="preserve">medicamentos y dispositivos médicos a un paciente y la información sobre su uso adecuado realizada por el Químico Farmacéutico y el Tecnólogo en Regencia de Farmacia. Los establecimientos farmacéuticos minoristas como las Farmacias-Droguerías y las Droguerías, están autorizados para la labor de dispensación, que </w:t>
      </w:r>
      <w:r w:rsidR="00F66DC8" w:rsidRPr="00DE6F0A">
        <w:rPr>
          <w:rFonts w:ascii="Arial Narrow" w:hAnsi="Arial Narrow"/>
          <w:sz w:val="26"/>
          <w:szCs w:val="26"/>
        </w:rPr>
        <w:t>se enmarca en el</w:t>
      </w:r>
      <w:r w:rsidRPr="00DE6F0A">
        <w:rPr>
          <w:rFonts w:ascii="Arial Narrow" w:hAnsi="Arial Narrow"/>
          <w:sz w:val="26"/>
          <w:szCs w:val="26"/>
        </w:rPr>
        <w:t xml:space="preserve"> servicio farmacéutico</w:t>
      </w:r>
      <w:r w:rsidR="00487589" w:rsidRPr="00DE6F0A">
        <w:rPr>
          <w:rFonts w:ascii="Arial Narrow" w:hAnsi="Arial Narrow"/>
          <w:sz w:val="26"/>
          <w:szCs w:val="26"/>
        </w:rPr>
        <w:t xml:space="preserve">. Éste, a su vez, </w:t>
      </w:r>
      <w:r w:rsidR="008E38CA" w:rsidRPr="00DE6F0A">
        <w:rPr>
          <w:rFonts w:ascii="Arial Narrow" w:hAnsi="Arial Narrow"/>
          <w:sz w:val="26"/>
          <w:szCs w:val="26"/>
        </w:rPr>
        <w:t xml:space="preserve">integra </w:t>
      </w:r>
      <w:r w:rsidR="004A1F45" w:rsidRPr="00DE6F0A">
        <w:rPr>
          <w:rFonts w:ascii="Arial Narrow" w:hAnsi="Arial Narrow"/>
          <w:sz w:val="26"/>
          <w:szCs w:val="26"/>
        </w:rPr>
        <w:t xml:space="preserve">el </w:t>
      </w:r>
      <w:r w:rsidRPr="00DE6F0A">
        <w:rPr>
          <w:rFonts w:ascii="Arial Narrow" w:hAnsi="Arial Narrow"/>
          <w:sz w:val="26"/>
          <w:szCs w:val="26"/>
        </w:rPr>
        <w:t xml:space="preserve">servicio de atención en salud </w:t>
      </w:r>
      <w:r w:rsidR="00487589" w:rsidRPr="00DE6F0A">
        <w:rPr>
          <w:rFonts w:ascii="Arial Narrow" w:hAnsi="Arial Narrow"/>
          <w:sz w:val="26"/>
          <w:szCs w:val="26"/>
        </w:rPr>
        <w:t xml:space="preserve">siendo el </w:t>
      </w:r>
      <w:r w:rsidRPr="00DE6F0A">
        <w:rPr>
          <w:rFonts w:ascii="Arial Narrow" w:hAnsi="Arial Narrow"/>
          <w:sz w:val="26"/>
          <w:szCs w:val="26"/>
        </w:rPr>
        <w:t xml:space="preserve">responsable de las actividades, procedimientos e intervenciones de carácter técnico, científico y administrativo, relacionados con los medicamentos y los dispositivos médicos utilizados en la promoción de la salud y la prevención, diagnóstico, tratamiento y rehabilitación de la enfermedad, con el fin de contribuir en forma armónica e integral al mejoramiento de la calidad de vida individual y colectiva (Artículo 4, Decreto 2200/2005).   </w:t>
      </w:r>
    </w:p>
    <w:p w14:paraId="276168C5" w14:textId="36C54B80" w:rsidR="005C05B8" w:rsidRPr="00DE6F0A" w:rsidRDefault="005C05B8" w:rsidP="00DE6F0A">
      <w:pPr>
        <w:pStyle w:val="Sinespaciado"/>
        <w:spacing w:line="276" w:lineRule="auto"/>
        <w:jc w:val="both"/>
        <w:rPr>
          <w:rFonts w:ascii="Arial Narrow" w:hAnsi="Arial Narrow"/>
          <w:sz w:val="26"/>
          <w:szCs w:val="26"/>
        </w:rPr>
      </w:pPr>
    </w:p>
    <w:p w14:paraId="49EE513B" w14:textId="7C094EDA" w:rsidR="0071161F" w:rsidRPr="00DE6F0A" w:rsidRDefault="0071161F"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el anterior contexto</w:t>
      </w:r>
      <w:r w:rsidR="00487589" w:rsidRPr="00DE6F0A">
        <w:rPr>
          <w:rFonts w:ascii="Arial Narrow" w:hAnsi="Arial Narrow"/>
          <w:sz w:val="26"/>
          <w:szCs w:val="26"/>
        </w:rPr>
        <w:t xml:space="preserve">, resulta plausible concluir </w:t>
      </w:r>
      <w:r w:rsidR="000654EB" w:rsidRPr="00DE6F0A">
        <w:rPr>
          <w:rFonts w:ascii="Arial Narrow" w:hAnsi="Arial Narrow"/>
          <w:sz w:val="26"/>
          <w:szCs w:val="26"/>
        </w:rPr>
        <w:t>que</w:t>
      </w:r>
      <w:r w:rsidRPr="00DE6F0A">
        <w:rPr>
          <w:rFonts w:ascii="Arial Narrow" w:hAnsi="Arial Narrow"/>
          <w:sz w:val="26"/>
          <w:szCs w:val="26"/>
        </w:rPr>
        <w:t xml:space="preserve"> la </w:t>
      </w:r>
      <w:r w:rsidR="00475C97" w:rsidRPr="00DE6F0A">
        <w:rPr>
          <w:rFonts w:ascii="Arial Narrow" w:hAnsi="Arial Narrow"/>
          <w:sz w:val="26"/>
          <w:szCs w:val="26"/>
        </w:rPr>
        <w:t xml:space="preserve">actividad desarrollada por la </w:t>
      </w:r>
      <w:r w:rsidRPr="00DE6F0A">
        <w:rPr>
          <w:rFonts w:ascii="Arial Narrow" w:hAnsi="Arial Narrow"/>
          <w:sz w:val="26"/>
          <w:szCs w:val="26"/>
        </w:rPr>
        <w:t>accionada</w:t>
      </w:r>
      <w:r w:rsidR="00390157" w:rsidRPr="00DE6F0A">
        <w:rPr>
          <w:rFonts w:ascii="Arial Narrow" w:hAnsi="Arial Narrow"/>
          <w:sz w:val="26"/>
          <w:szCs w:val="26"/>
        </w:rPr>
        <w:t xml:space="preserve"> </w:t>
      </w:r>
      <w:r w:rsidR="003B3F93" w:rsidRPr="00DE6F0A">
        <w:rPr>
          <w:rFonts w:ascii="Arial Narrow" w:hAnsi="Arial Narrow"/>
          <w:sz w:val="26"/>
          <w:szCs w:val="26"/>
        </w:rPr>
        <w:t>se enmarca en</w:t>
      </w:r>
      <w:r w:rsidR="00390157" w:rsidRPr="00DE6F0A">
        <w:rPr>
          <w:rFonts w:ascii="Arial Narrow" w:hAnsi="Arial Narrow"/>
          <w:sz w:val="26"/>
          <w:szCs w:val="26"/>
        </w:rPr>
        <w:t xml:space="preserve"> la </w:t>
      </w:r>
      <w:r w:rsidRPr="00DE6F0A">
        <w:rPr>
          <w:rFonts w:ascii="Arial Narrow" w:hAnsi="Arial Narrow"/>
          <w:sz w:val="26"/>
          <w:szCs w:val="26"/>
        </w:rPr>
        <w:t>presta</w:t>
      </w:r>
      <w:r w:rsidR="00390157" w:rsidRPr="00DE6F0A">
        <w:rPr>
          <w:rFonts w:ascii="Arial Narrow" w:hAnsi="Arial Narrow"/>
          <w:sz w:val="26"/>
          <w:szCs w:val="26"/>
        </w:rPr>
        <w:t>ción de</w:t>
      </w:r>
      <w:r w:rsidRPr="00DE6F0A">
        <w:rPr>
          <w:rFonts w:ascii="Arial Narrow" w:hAnsi="Arial Narrow"/>
          <w:sz w:val="26"/>
          <w:szCs w:val="26"/>
        </w:rPr>
        <w:t xml:space="preserve"> un servicio público</w:t>
      </w:r>
      <w:r w:rsidR="00857674" w:rsidRPr="00DE6F0A">
        <w:rPr>
          <w:rFonts w:ascii="Arial Narrow" w:hAnsi="Arial Narrow"/>
          <w:sz w:val="26"/>
          <w:szCs w:val="26"/>
        </w:rPr>
        <w:t xml:space="preserve">, </w:t>
      </w:r>
      <w:r w:rsidR="00074B67" w:rsidRPr="00DE6F0A">
        <w:rPr>
          <w:rFonts w:ascii="Arial Narrow" w:hAnsi="Arial Narrow"/>
          <w:sz w:val="26"/>
          <w:szCs w:val="26"/>
        </w:rPr>
        <w:t xml:space="preserve">o cuando menos la actividad que desarrolla está ligada con dicho servicio, </w:t>
      </w:r>
      <w:r w:rsidR="002253BE" w:rsidRPr="00DE6F0A">
        <w:rPr>
          <w:rFonts w:ascii="Arial Narrow" w:hAnsi="Arial Narrow"/>
          <w:sz w:val="26"/>
          <w:szCs w:val="26"/>
        </w:rPr>
        <w:t>sin perjuicio de</w:t>
      </w:r>
      <w:r w:rsidR="00857674" w:rsidRPr="00DE6F0A">
        <w:rPr>
          <w:rFonts w:ascii="Arial Narrow" w:hAnsi="Arial Narrow"/>
          <w:sz w:val="26"/>
          <w:szCs w:val="26"/>
        </w:rPr>
        <w:t xml:space="preserve"> su naturaleza jurídica </w:t>
      </w:r>
      <w:r w:rsidR="002253BE" w:rsidRPr="00DE6F0A">
        <w:rPr>
          <w:rFonts w:ascii="Arial Narrow" w:hAnsi="Arial Narrow"/>
          <w:sz w:val="26"/>
          <w:szCs w:val="26"/>
        </w:rPr>
        <w:t>como</w:t>
      </w:r>
      <w:r w:rsidR="00857674" w:rsidRPr="00DE6F0A">
        <w:rPr>
          <w:rFonts w:ascii="Arial Narrow" w:hAnsi="Arial Narrow"/>
          <w:sz w:val="26"/>
          <w:szCs w:val="26"/>
        </w:rPr>
        <w:t xml:space="preserve"> sociedad anónima de derecho privado.</w:t>
      </w:r>
    </w:p>
    <w:p w14:paraId="6067F573" w14:textId="77777777" w:rsidR="000654EB" w:rsidRPr="00DE6F0A" w:rsidRDefault="000654EB" w:rsidP="00DE6F0A">
      <w:pPr>
        <w:pStyle w:val="Sinespaciado"/>
        <w:spacing w:line="276" w:lineRule="auto"/>
        <w:jc w:val="both"/>
        <w:rPr>
          <w:rFonts w:ascii="Arial Narrow" w:hAnsi="Arial Narrow"/>
          <w:sz w:val="26"/>
          <w:szCs w:val="26"/>
        </w:rPr>
      </w:pPr>
    </w:p>
    <w:p w14:paraId="33286C98" w14:textId="12780AD7" w:rsidR="006A4E34" w:rsidRPr="00DE6F0A" w:rsidRDefault="00FD2C10"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7</w:t>
      </w:r>
      <w:r w:rsidR="00695DF0" w:rsidRPr="00DE6F0A">
        <w:rPr>
          <w:rFonts w:ascii="Arial Narrow" w:hAnsi="Arial Narrow"/>
          <w:b/>
          <w:bCs/>
          <w:sz w:val="26"/>
          <w:szCs w:val="26"/>
        </w:rPr>
        <w:t xml:space="preserve">. </w:t>
      </w:r>
      <w:r w:rsidR="00C8396A" w:rsidRPr="00DE6F0A">
        <w:rPr>
          <w:rFonts w:ascii="Arial Narrow" w:hAnsi="Arial Narrow"/>
          <w:sz w:val="26"/>
          <w:szCs w:val="26"/>
        </w:rPr>
        <w:t xml:space="preserve">Se destaca también </w:t>
      </w:r>
      <w:r w:rsidR="00517E20" w:rsidRPr="00DE6F0A">
        <w:rPr>
          <w:rFonts w:ascii="Arial Narrow" w:hAnsi="Arial Narrow"/>
          <w:sz w:val="26"/>
          <w:szCs w:val="26"/>
        </w:rPr>
        <w:t>que</w:t>
      </w:r>
      <w:r w:rsidR="00C8396A" w:rsidRPr="00DE6F0A">
        <w:rPr>
          <w:rFonts w:ascii="Arial Narrow" w:hAnsi="Arial Narrow"/>
          <w:sz w:val="26"/>
          <w:szCs w:val="26"/>
        </w:rPr>
        <w:t xml:space="preserve"> la Ley Estatutaria 1751 ya citada establec</w:t>
      </w:r>
      <w:r w:rsidR="006A4E34" w:rsidRPr="00DE6F0A">
        <w:rPr>
          <w:rFonts w:ascii="Arial Narrow" w:hAnsi="Arial Narrow"/>
          <w:sz w:val="26"/>
          <w:szCs w:val="26"/>
        </w:rPr>
        <w:t>e</w:t>
      </w:r>
      <w:r w:rsidR="00517E20" w:rsidRPr="00DE6F0A">
        <w:rPr>
          <w:rFonts w:ascii="Arial Narrow" w:hAnsi="Arial Narrow"/>
          <w:sz w:val="26"/>
          <w:szCs w:val="26"/>
        </w:rPr>
        <w:t>,</w:t>
      </w:r>
      <w:r w:rsidR="00C8396A" w:rsidRPr="00DE6F0A">
        <w:rPr>
          <w:rFonts w:ascii="Arial Narrow" w:hAnsi="Arial Narrow"/>
          <w:sz w:val="26"/>
          <w:szCs w:val="26"/>
        </w:rPr>
        <w:t xml:space="preserve"> en el literal c) de su artículo 6</w:t>
      </w:r>
      <w:r w:rsidR="00517E20" w:rsidRPr="00DE6F0A">
        <w:rPr>
          <w:rFonts w:ascii="Arial Narrow" w:hAnsi="Arial Narrow"/>
          <w:sz w:val="26"/>
          <w:szCs w:val="26"/>
        </w:rPr>
        <w:t>,</w:t>
      </w:r>
      <w:r w:rsidR="006A4E34" w:rsidRPr="00DE6F0A">
        <w:rPr>
          <w:rFonts w:ascii="Arial Narrow" w:hAnsi="Arial Narrow"/>
          <w:sz w:val="26"/>
          <w:szCs w:val="26"/>
        </w:rPr>
        <w:t xml:space="preserve"> el principio de accesibilidad</w:t>
      </w:r>
      <w:r w:rsidR="00C8396A" w:rsidRPr="00DE6F0A">
        <w:rPr>
          <w:rFonts w:ascii="Arial Narrow" w:hAnsi="Arial Narrow"/>
          <w:sz w:val="26"/>
          <w:szCs w:val="26"/>
        </w:rPr>
        <w:t xml:space="preserve"> según el cual los servicios y tecnologías de salud deben ser accesibles a todos, en condiciones de igualdad, dentro del respeto a las especificidades de los diversos grupos vulnerables y al pluralismo cultural. La accesibilidad comprende la no discriminación, la accesibilidad física, la asequibilidad económica y el acceso a la información. </w:t>
      </w:r>
    </w:p>
    <w:p w14:paraId="54E136D5" w14:textId="77777777" w:rsidR="006A4E34" w:rsidRPr="00DE6F0A" w:rsidRDefault="006A4E34" w:rsidP="00DE6F0A">
      <w:pPr>
        <w:pStyle w:val="Sinespaciado"/>
        <w:spacing w:line="276" w:lineRule="auto"/>
        <w:jc w:val="both"/>
        <w:rPr>
          <w:rFonts w:ascii="Arial Narrow" w:hAnsi="Arial Narrow"/>
          <w:sz w:val="26"/>
          <w:szCs w:val="26"/>
        </w:rPr>
      </w:pPr>
    </w:p>
    <w:p w14:paraId="0BCFFD4B" w14:textId="7E66F1D7" w:rsidR="004E6C12" w:rsidRPr="00DE6F0A" w:rsidRDefault="00F05554"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En </w:t>
      </w:r>
      <w:r w:rsidR="002562B4" w:rsidRPr="00DE6F0A">
        <w:rPr>
          <w:rFonts w:ascii="Arial Narrow" w:hAnsi="Arial Narrow"/>
          <w:sz w:val="26"/>
          <w:szCs w:val="26"/>
        </w:rPr>
        <w:t xml:space="preserve">similar </w:t>
      </w:r>
      <w:r w:rsidRPr="00DE6F0A">
        <w:rPr>
          <w:rFonts w:ascii="Arial Narrow" w:hAnsi="Arial Narrow"/>
          <w:sz w:val="26"/>
          <w:szCs w:val="26"/>
        </w:rPr>
        <w:t xml:space="preserve">sentido, la Observación General </w:t>
      </w:r>
      <w:proofErr w:type="spellStart"/>
      <w:r w:rsidRPr="00DE6F0A">
        <w:rPr>
          <w:rFonts w:ascii="Arial Narrow" w:hAnsi="Arial Narrow"/>
          <w:sz w:val="26"/>
          <w:szCs w:val="26"/>
        </w:rPr>
        <w:t>Num</w:t>
      </w:r>
      <w:proofErr w:type="spellEnd"/>
      <w:r w:rsidRPr="00DE6F0A">
        <w:rPr>
          <w:rFonts w:ascii="Arial Narrow" w:hAnsi="Arial Narrow"/>
          <w:sz w:val="26"/>
          <w:szCs w:val="26"/>
        </w:rPr>
        <w:t>. 14 del Comité de Derechos Económicos, Sociales y Culturales</w:t>
      </w:r>
      <w:r w:rsidR="00F94FF0" w:rsidRPr="00DE6F0A">
        <w:rPr>
          <w:rStyle w:val="Refdenotaalpie"/>
          <w:rFonts w:ascii="Arial Narrow" w:hAnsi="Arial Narrow"/>
          <w:sz w:val="26"/>
          <w:szCs w:val="26"/>
        </w:rPr>
        <w:footnoteReference w:id="33"/>
      </w:r>
      <w:r w:rsidRPr="00DE6F0A">
        <w:rPr>
          <w:rFonts w:ascii="Arial Narrow" w:hAnsi="Arial Narrow"/>
          <w:sz w:val="26"/>
          <w:szCs w:val="26"/>
        </w:rPr>
        <w:t xml:space="preserve"> establece que un</w:t>
      </w:r>
      <w:r w:rsidR="009B1B9F" w:rsidRPr="00DE6F0A">
        <w:rPr>
          <w:rFonts w:ascii="Arial Narrow" w:hAnsi="Arial Narrow"/>
          <w:sz w:val="26"/>
          <w:szCs w:val="26"/>
        </w:rPr>
        <w:t>o</w:t>
      </w:r>
      <w:r w:rsidRPr="00DE6F0A">
        <w:rPr>
          <w:rFonts w:ascii="Arial Narrow" w:hAnsi="Arial Narrow"/>
          <w:sz w:val="26"/>
          <w:szCs w:val="26"/>
        </w:rPr>
        <w:t xml:space="preserve"> de l</w:t>
      </w:r>
      <w:r w:rsidR="0097364C" w:rsidRPr="00DE6F0A">
        <w:rPr>
          <w:rFonts w:ascii="Arial Narrow" w:hAnsi="Arial Narrow"/>
          <w:sz w:val="26"/>
          <w:szCs w:val="26"/>
        </w:rPr>
        <w:t>o</w:t>
      </w:r>
      <w:r w:rsidRPr="00DE6F0A">
        <w:rPr>
          <w:rFonts w:ascii="Arial Narrow" w:hAnsi="Arial Narrow"/>
          <w:sz w:val="26"/>
          <w:szCs w:val="26"/>
        </w:rPr>
        <w:t>s componentes del derecho a la salud es la accesibilidad, que comprende la accesibilidad física y económica, la no discriminación</w:t>
      </w:r>
      <w:r w:rsidR="00790B29" w:rsidRPr="00DE6F0A">
        <w:rPr>
          <w:rStyle w:val="Refdenotaalpie"/>
          <w:rFonts w:ascii="Arial Narrow" w:hAnsi="Arial Narrow"/>
          <w:sz w:val="26"/>
          <w:szCs w:val="26"/>
        </w:rPr>
        <w:footnoteReference w:id="34"/>
      </w:r>
      <w:r w:rsidRPr="00DE6F0A">
        <w:rPr>
          <w:rFonts w:ascii="Arial Narrow" w:hAnsi="Arial Narrow"/>
          <w:sz w:val="26"/>
          <w:szCs w:val="26"/>
        </w:rPr>
        <w:t xml:space="preserve"> y el acceso a la información</w:t>
      </w:r>
      <w:r w:rsidR="00887FB2" w:rsidRPr="00DE6F0A">
        <w:rPr>
          <w:rStyle w:val="Refdenotaalpie"/>
          <w:rFonts w:ascii="Arial Narrow" w:hAnsi="Arial Narrow"/>
          <w:sz w:val="26"/>
          <w:szCs w:val="26"/>
        </w:rPr>
        <w:footnoteReference w:id="35"/>
      </w:r>
      <w:r w:rsidR="004E6C12" w:rsidRPr="00DE6F0A">
        <w:rPr>
          <w:rFonts w:ascii="Arial Narrow" w:hAnsi="Arial Narrow"/>
          <w:sz w:val="26"/>
          <w:szCs w:val="26"/>
        </w:rPr>
        <w:t>.</w:t>
      </w:r>
    </w:p>
    <w:p w14:paraId="17A57EFA" w14:textId="77777777" w:rsidR="004E6C12" w:rsidRPr="00DE6F0A" w:rsidRDefault="004E6C12" w:rsidP="00DE6F0A">
      <w:pPr>
        <w:pStyle w:val="Sinespaciado"/>
        <w:spacing w:line="276" w:lineRule="auto"/>
        <w:jc w:val="both"/>
        <w:rPr>
          <w:rFonts w:ascii="Arial Narrow" w:hAnsi="Arial Narrow"/>
          <w:sz w:val="26"/>
          <w:szCs w:val="26"/>
        </w:rPr>
      </w:pPr>
    </w:p>
    <w:p w14:paraId="1D3279E5" w14:textId="3F29E775" w:rsidR="00C8396A" w:rsidRPr="00DE6F0A" w:rsidRDefault="00C61C80" w:rsidP="00DE6F0A">
      <w:pPr>
        <w:pStyle w:val="Sinespaciado"/>
        <w:spacing w:line="276" w:lineRule="auto"/>
        <w:jc w:val="both"/>
        <w:rPr>
          <w:rFonts w:ascii="Arial Narrow" w:hAnsi="Arial Narrow"/>
          <w:sz w:val="26"/>
          <w:szCs w:val="26"/>
        </w:rPr>
      </w:pPr>
      <w:r w:rsidRPr="00DE6F0A">
        <w:rPr>
          <w:rFonts w:ascii="Arial Narrow" w:hAnsi="Arial Narrow"/>
          <w:sz w:val="26"/>
          <w:szCs w:val="26"/>
        </w:rPr>
        <w:t>E</w:t>
      </w:r>
      <w:r w:rsidR="00C8396A" w:rsidRPr="00DE6F0A">
        <w:rPr>
          <w:rFonts w:ascii="Arial Narrow" w:hAnsi="Arial Narrow"/>
          <w:sz w:val="26"/>
          <w:szCs w:val="26"/>
        </w:rPr>
        <w:t>l artículo 11</w:t>
      </w:r>
      <w:r w:rsidR="002562B4" w:rsidRPr="00DE6F0A">
        <w:rPr>
          <w:rFonts w:ascii="Arial Narrow" w:hAnsi="Arial Narrow"/>
          <w:sz w:val="26"/>
          <w:szCs w:val="26"/>
        </w:rPr>
        <w:t xml:space="preserve"> de</w:t>
      </w:r>
      <w:r w:rsidRPr="00DE6F0A">
        <w:rPr>
          <w:rFonts w:ascii="Arial Narrow" w:hAnsi="Arial Narrow"/>
          <w:sz w:val="26"/>
          <w:szCs w:val="26"/>
        </w:rPr>
        <w:t xml:space="preserve"> </w:t>
      </w:r>
      <w:r w:rsidR="002562B4" w:rsidRPr="00DE6F0A">
        <w:rPr>
          <w:rFonts w:ascii="Arial Narrow" w:hAnsi="Arial Narrow"/>
          <w:sz w:val="26"/>
          <w:szCs w:val="26"/>
        </w:rPr>
        <w:t xml:space="preserve">la </w:t>
      </w:r>
      <w:r w:rsidRPr="00DE6F0A">
        <w:rPr>
          <w:rFonts w:ascii="Arial Narrow" w:hAnsi="Arial Narrow"/>
          <w:sz w:val="26"/>
          <w:szCs w:val="26"/>
        </w:rPr>
        <w:t xml:space="preserve">citada </w:t>
      </w:r>
      <w:r w:rsidR="002562B4" w:rsidRPr="00DE6F0A">
        <w:rPr>
          <w:rFonts w:ascii="Arial Narrow" w:hAnsi="Arial Narrow"/>
          <w:sz w:val="26"/>
          <w:szCs w:val="26"/>
        </w:rPr>
        <w:t>Ley 1751</w:t>
      </w:r>
      <w:r w:rsidR="00C8396A" w:rsidRPr="00DE6F0A">
        <w:rPr>
          <w:rFonts w:ascii="Arial Narrow" w:hAnsi="Arial Narrow"/>
          <w:sz w:val="26"/>
          <w:szCs w:val="26"/>
        </w:rPr>
        <w:t xml:space="preserve"> remarca que la atención en salud de personas en condición de discapacidad goza de especial protección por parte del Estado, su atención en salud no está limitada por ningún tipo de restricción administrativa o económica, y las instituciones que hacen parte del sector salud deben definir procesos de atención intersectoriales e interdisciplinarios que garanticen las mejores condiciones de atención.</w:t>
      </w:r>
    </w:p>
    <w:p w14:paraId="347B1488" w14:textId="0D9FC500" w:rsidR="00C8396A" w:rsidRPr="00DE6F0A" w:rsidRDefault="00C8396A" w:rsidP="00DE6F0A">
      <w:pPr>
        <w:pStyle w:val="Sinespaciado"/>
        <w:spacing w:line="276" w:lineRule="auto"/>
        <w:jc w:val="both"/>
        <w:rPr>
          <w:rFonts w:ascii="Arial Narrow" w:hAnsi="Arial Narrow"/>
          <w:sz w:val="26"/>
          <w:szCs w:val="26"/>
        </w:rPr>
      </w:pPr>
    </w:p>
    <w:p w14:paraId="0601220F" w14:textId="7FE73513" w:rsidR="00E05041" w:rsidRPr="00DE6F0A" w:rsidRDefault="00B50989" w:rsidP="00DE6F0A">
      <w:pPr>
        <w:spacing w:line="276" w:lineRule="auto"/>
        <w:jc w:val="both"/>
        <w:rPr>
          <w:rFonts w:ascii="Arial Narrow" w:eastAsia="Times New Roman" w:hAnsi="Arial Narrow" w:cs="Times New Roman"/>
          <w:sz w:val="26"/>
          <w:szCs w:val="26"/>
          <w:lang w:val="es-ES"/>
        </w:rPr>
      </w:pPr>
      <w:r w:rsidRPr="00DE6F0A">
        <w:rPr>
          <w:rFonts w:ascii="Arial Narrow" w:hAnsi="Arial Narrow"/>
          <w:sz w:val="26"/>
          <w:szCs w:val="26"/>
        </w:rPr>
        <w:t xml:space="preserve">Ya desde el año </w:t>
      </w:r>
      <w:r w:rsidR="005D088B" w:rsidRPr="00DE6F0A">
        <w:rPr>
          <w:rFonts w:ascii="Arial Narrow" w:hAnsi="Arial Narrow"/>
          <w:sz w:val="26"/>
          <w:szCs w:val="26"/>
        </w:rPr>
        <w:t>2011, al modificar</w:t>
      </w:r>
      <w:r w:rsidR="00BC148D" w:rsidRPr="00DE6F0A">
        <w:rPr>
          <w:rFonts w:ascii="Arial Narrow" w:hAnsi="Arial Narrow"/>
          <w:sz w:val="26"/>
          <w:szCs w:val="26"/>
        </w:rPr>
        <w:t>se</w:t>
      </w:r>
      <w:r w:rsidR="005D088B" w:rsidRPr="00DE6F0A">
        <w:rPr>
          <w:rFonts w:ascii="Arial Narrow" w:hAnsi="Arial Narrow"/>
          <w:sz w:val="26"/>
          <w:szCs w:val="26"/>
        </w:rPr>
        <w:t xml:space="preserve"> el artículo 153</w:t>
      </w:r>
      <w:r w:rsidRPr="00DE6F0A">
        <w:rPr>
          <w:rFonts w:ascii="Arial Narrow" w:hAnsi="Arial Narrow"/>
          <w:sz w:val="26"/>
          <w:szCs w:val="26"/>
        </w:rPr>
        <w:t xml:space="preserve"> </w:t>
      </w:r>
      <w:r w:rsidR="005D088B" w:rsidRPr="00DE6F0A">
        <w:rPr>
          <w:rFonts w:ascii="Arial Narrow" w:hAnsi="Arial Narrow"/>
          <w:sz w:val="26"/>
          <w:szCs w:val="26"/>
        </w:rPr>
        <w:t xml:space="preserve">de </w:t>
      </w:r>
      <w:r w:rsidRPr="00DE6F0A">
        <w:rPr>
          <w:rFonts w:ascii="Arial Narrow" w:hAnsi="Arial Narrow"/>
          <w:sz w:val="26"/>
          <w:szCs w:val="26"/>
        </w:rPr>
        <w:t xml:space="preserve">la Ley 100 </w:t>
      </w:r>
      <w:r w:rsidR="005D088B" w:rsidRPr="00DE6F0A">
        <w:rPr>
          <w:rFonts w:ascii="Arial Narrow" w:hAnsi="Arial Narrow"/>
          <w:sz w:val="26"/>
          <w:szCs w:val="26"/>
        </w:rPr>
        <w:t>de 1993, s</w:t>
      </w:r>
      <w:r w:rsidR="00BC148D" w:rsidRPr="00DE6F0A">
        <w:rPr>
          <w:rFonts w:ascii="Arial Narrow" w:hAnsi="Arial Narrow"/>
          <w:sz w:val="26"/>
          <w:szCs w:val="26"/>
        </w:rPr>
        <w:t xml:space="preserve">e </w:t>
      </w:r>
      <w:r w:rsidR="009C26B9" w:rsidRPr="00DE6F0A">
        <w:rPr>
          <w:rFonts w:ascii="Arial Narrow" w:hAnsi="Arial Narrow"/>
          <w:sz w:val="26"/>
          <w:szCs w:val="26"/>
        </w:rPr>
        <w:t xml:space="preserve">había </w:t>
      </w:r>
      <w:r w:rsidRPr="00DE6F0A">
        <w:rPr>
          <w:rFonts w:ascii="Arial Narrow" w:hAnsi="Arial Narrow"/>
          <w:sz w:val="26"/>
          <w:szCs w:val="26"/>
        </w:rPr>
        <w:t>señal</w:t>
      </w:r>
      <w:r w:rsidR="009C26B9" w:rsidRPr="00DE6F0A">
        <w:rPr>
          <w:rFonts w:ascii="Arial Narrow" w:hAnsi="Arial Narrow"/>
          <w:sz w:val="26"/>
          <w:szCs w:val="26"/>
        </w:rPr>
        <w:t>ado</w:t>
      </w:r>
      <w:r w:rsidR="003504BD" w:rsidRPr="00DE6F0A">
        <w:rPr>
          <w:rFonts w:ascii="Arial Narrow" w:hAnsi="Arial Narrow"/>
          <w:sz w:val="26"/>
          <w:szCs w:val="26"/>
        </w:rPr>
        <w:t xml:space="preserve"> como principio del sistema general de seguridad social en salud</w:t>
      </w:r>
      <w:r w:rsidR="00E05041" w:rsidRPr="00DE6F0A">
        <w:rPr>
          <w:rFonts w:ascii="Arial Narrow" w:hAnsi="Arial Narrow"/>
          <w:sz w:val="26"/>
          <w:szCs w:val="26"/>
        </w:rPr>
        <w:t xml:space="preserve"> el e</w:t>
      </w:r>
      <w:proofErr w:type="spellStart"/>
      <w:r w:rsidR="00E05041" w:rsidRPr="00DE6F0A">
        <w:rPr>
          <w:rFonts w:ascii="Arial Narrow" w:eastAsia="Times New Roman" w:hAnsi="Arial Narrow" w:cs="Times New Roman"/>
          <w:sz w:val="26"/>
          <w:szCs w:val="26"/>
          <w:lang w:val="es-ES"/>
        </w:rPr>
        <w:t>nfoque</w:t>
      </w:r>
      <w:proofErr w:type="spellEnd"/>
      <w:r w:rsidR="00E05041" w:rsidRPr="00DE6F0A">
        <w:rPr>
          <w:rFonts w:ascii="Arial Narrow" w:eastAsia="Times New Roman" w:hAnsi="Arial Narrow" w:cs="Times New Roman"/>
          <w:sz w:val="26"/>
          <w:szCs w:val="26"/>
          <w:lang w:val="es-ES"/>
        </w:rPr>
        <w:t xml:space="preserve"> diferencial, que reconoce que hay poblaciones con características particulares, por ejemplo, </w:t>
      </w:r>
      <w:r w:rsidR="00BC148D" w:rsidRPr="00DE6F0A">
        <w:rPr>
          <w:rFonts w:ascii="Arial Narrow" w:eastAsia="Times New Roman" w:hAnsi="Arial Narrow" w:cs="Times New Roman"/>
          <w:sz w:val="26"/>
          <w:szCs w:val="26"/>
          <w:lang w:val="es-ES"/>
        </w:rPr>
        <w:t>debido a</w:t>
      </w:r>
      <w:r w:rsidR="00E05041" w:rsidRPr="00DE6F0A">
        <w:rPr>
          <w:rFonts w:ascii="Arial Narrow" w:eastAsia="Times New Roman" w:hAnsi="Arial Narrow" w:cs="Times New Roman"/>
          <w:sz w:val="26"/>
          <w:szCs w:val="26"/>
          <w:lang w:val="es-ES"/>
        </w:rPr>
        <w:t xml:space="preserve"> su condición de discapacidad, frente a la</w:t>
      </w:r>
      <w:r w:rsidR="009C26B9" w:rsidRPr="00DE6F0A">
        <w:rPr>
          <w:rFonts w:ascii="Arial Narrow" w:eastAsia="Times New Roman" w:hAnsi="Arial Narrow" w:cs="Times New Roman"/>
          <w:sz w:val="26"/>
          <w:szCs w:val="26"/>
          <w:lang w:val="es-ES"/>
        </w:rPr>
        <w:t>s</w:t>
      </w:r>
      <w:r w:rsidR="00E05041" w:rsidRPr="00DE6F0A">
        <w:rPr>
          <w:rFonts w:ascii="Arial Narrow" w:eastAsia="Times New Roman" w:hAnsi="Arial Narrow" w:cs="Times New Roman"/>
          <w:sz w:val="26"/>
          <w:szCs w:val="26"/>
          <w:lang w:val="es-ES"/>
        </w:rPr>
        <w:t xml:space="preserve"> cual</w:t>
      </w:r>
      <w:r w:rsidR="009C26B9" w:rsidRPr="00DE6F0A">
        <w:rPr>
          <w:rFonts w:ascii="Arial Narrow" w:eastAsia="Times New Roman" w:hAnsi="Arial Narrow" w:cs="Times New Roman"/>
          <w:sz w:val="26"/>
          <w:szCs w:val="26"/>
          <w:lang w:val="es-ES"/>
        </w:rPr>
        <w:t>es</w:t>
      </w:r>
      <w:r w:rsidR="00E05041" w:rsidRPr="00DE6F0A">
        <w:rPr>
          <w:rFonts w:ascii="Arial Narrow" w:eastAsia="Times New Roman" w:hAnsi="Arial Narrow" w:cs="Times New Roman"/>
          <w:sz w:val="26"/>
          <w:szCs w:val="26"/>
          <w:lang w:val="es-ES"/>
        </w:rPr>
        <w:t xml:space="preserve"> el sistema debe ofrecer especiales garantías y esfuerzos encaminados a la eliminación de las situaciones de discriminación y marginación</w:t>
      </w:r>
      <w:r w:rsidR="00BC148D" w:rsidRPr="00DE6F0A">
        <w:rPr>
          <w:rFonts w:ascii="Arial Narrow" w:eastAsia="Times New Roman" w:hAnsi="Arial Narrow" w:cs="Times New Roman"/>
          <w:sz w:val="26"/>
          <w:szCs w:val="26"/>
          <w:lang w:val="es-ES"/>
        </w:rPr>
        <w:t xml:space="preserve"> (Ley </w:t>
      </w:r>
      <w:r w:rsidR="00F27D05" w:rsidRPr="00DE6F0A">
        <w:rPr>
          <w:rFonts w:ascii="Arial Narrow" w:eastAsia="Times New Roman" w:hAnsi="Arial Narrow" w:cs="Times New Roman"/>
          <w:sz w:val="26"/>
          <w:szCs w:val="26"/>
          <w:lang w:val="es-ES"/>
        </w:rPr>
        <w:t>1438 de 2011, art. 3)</w:t>
      </w:r>
      <w:r w:rsidR="00E05041" w:rsidRPr="00DE6F0A">
        <w:rPr>
          <w:rFonts w:ascii="Arial Narrow" w:eastAsia="Times New Roman" w:hAnsi="Arial Narrow" w:cs="Times New Roman"/>
          <w:sz w:val="26"/>
          <w:szCs w:val="26"/>
          <w:lang w:val="es-ES"/>
        </w:rPr>
        <w:t>.</w:t>
      </w:r>
    </w:p>
    <w:p w14:paraId="455553FC" w14:textId="74844EB8" w:rsidR="00B50989" w:rsidRPr="00DE6F0A" w:rsidRDefault="00B50989" w:rsidP="00DE6F0A">
      <w:pPr>
        <w:pStyle w:val="Sinespaciado"/>
        <w:spacing w:line="276" w:lineRule="auto"/>
        <w:jc w:val="both"/>
        <w:rPr>
          <w:rFonts w:ascii="Arial Narrow" w:hAnsi="Arial Narrow"/>
          <w:sz w:val="26"/>
          <w:szCs w:val="26"/>
        </w:rPr>
      </w:pPr>
    </w:p>
    <w:p w14:paraId="0898273E" w14:textId="0492F350" w:rsidR="00B2353C" w:rsidRPr="00DE6F0A" w:rsidRDefault="00AA25CF"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El </w:t>
      </w:r>
      <w:r w:rsidR="00365034" w:rsidRPr="00DE6F0A">
        <w:rPr>
          <w:rFonts w:ascii="Arial Narrow" w:hAnsi="Arial Narrow"/>
          <w:sz w:val="26"/>
          <w:szCs w:val="26"/>
        </w:rPr>
        <w:t>servicio farmacéutic</w:t>
      </w:r>
      <w:r w:rsidR="00071DF4" w:rsidRPr="00DE6F0A">
        <w:rPr>
          <w:rFonts w:ascii="Arial Narrow" w:hAnsi="Arial Narrow"/>
          <w:sz w:val="26"/>
          <w:szCs w:val="26"/>
        </w:rPr>
        <w:t>o</w:t>
      </w:r>
      <w:r w:rsidR="004F1E24" w:rsidRPr="00DE6F0A">
        <w:rPr>
          <w:rFonts w:ascii="Arial Narrow" w:hAnsi="Arial Narrow"/>
          <w:sz w:val="26"/>
          <w:szCs w:val="26"/>
        </w:rPr>
        <w:t xml:space="preserve">, por su parte, </w:t>
      </w:r>
      <w:r w:rsidR="00071DF4" w:rsidRPr="00DE6F0A">
        <w:rPr>
          <w:rFonts w:ascii="Arial Narrow" w:hAnsi="Arial Narrow"/>
          <w:sz w:val="26"/>
          <w:szCs w:val="26"/>
        </w:rPr>
        <w:t>tiene dentro de sus funciones</w:t>
      </w:r>
      <w:r w:rsidR="005E1070" w:rsidRPr="00DE6F0A">
        <w:rPr>
          <w:rFonts w:ascii="Arial Narrow" w:hAnsi="Arial Narrow"/>
          <w:sz w:val="26"/>
          <w:szCs w:val="26"/>
        </w:rPr>
        <w:t xml:space="preserve"> (</w:t>
      </w:r>
      <w:r w:rsidR="004F1E24" w:rsidRPr="00DE6F0A">
        <w:rPr>
          <w:rFonts w:ascii="Arial Narrow" w:hAnsi="Arial Narrow"/>
          <w:sz w:val="26"/>
          <w:szCs w:val="26"/>
        </w:rPr>
        <w:t xml:space="preserve">Decreto </w:t>
      </w:r>
      <w:r w:rsidR="00EF489C" w:rsidRPr="00DE6F0A">
        <w:rPr>
          <w:rFonts w:ascii="Arial Narrow" w:hAnsi="Arial Narrow"/>
          <w:sz w:val="26"/>
          <w:szCs w:val="26"/>
        </w:rPr>
        <w:t xml:space="preserve">2200/2005, </w:t>
      </w:r>
      <w:r w:rsidR="005E1070" w:rsidRPr="00DE6F0A">
        <w:rPr>
          <w:rFonts w:ascii="Arial Narrow" w:hAnsi="Arial Narrow"/>
          <w:sz w:val="26"/>
          <w:szCs w:val="26"/>
        </w:rPr>
        <w:t>art. 7)</w:t>
      </w:r>
      <w:r w:rsidR="00071DF4" w:rsidRPr="00DE6F0A">
        <w:rPr>
          <w:rFonts w:ascii="Arial Narrow" w:hAnsi="Arial Narrow"/>
          <w:sz w:val="26"/>
          <w:szCs w:val="26"/>
        </w:rPr>
        <w:t xml:space="preserve"> </w:t>
      </w:r>
      <w:r w:rsidR="00071DF4" w:rsidRPr="00DE6F0A">
        <w:rPr>
          <w:rFonts w:ascii="Arial Narrow" w:hAnsi="Arial Narrow"/>
          <w:sz w:val="26"/>
          <w:szCs w:val="26"/>
        </w:rPr>
        <w:lastRenderedPageBreak/>
        <w:t>ofrecer la atención farmacéutica a los pacientes que la requieran</w:t>
      </w:r>
      <w:r w:rsidR="00D83BA4" w:rsidRPr="00DE6F0A">
        <w:rPr>
          <w:rFonts w:ascii="Arial Narrow" w:hAnsi="Arial Narrow"/>
          <w:sz w:val="26"/>
          <w:szCs w:val="26"/>
        </w:rPr>
        <w:t xml:space="preserve">, informar y educar a los miembros del grupo de salud, el paciente y la comunidad sobre el uso adecuado de los </w:t>
      </w:r>
      <w:r w:rsidR="005E1070" w:rsidRPr="00DE6F0A">
        <w:rPr>
          <w:rFonts w:ascii="Arial Narrow" w:hAnsi="Arial Narrow"/>
          <w:sz w:val="26"/>
          <w:szCs w:val="26"/>
        </w:rPr>
        <w:t>medicamentos y dispositivos médicos</w:t>
      </w:r>
      <w:r w:rsidR="001012A9" w:rsidRPr="00DE6F0A">
        <w:rPr>
          <w:rFonts w:ascii="Arial Narrow" w:hAnsi="Arial Narrow"/>
          <w:sz w:val="26"/>
          <w:szCs w:val="26"/>
        </w:rPr>
        <w:t>.</w:t>
      </w:r>
      <w:r w:rsidR="00F27634" w:rsidRPr="00DE6F0A">
        <w:rPr>
          <w:rFonts w:ascii="Arial Narrow" w:hAnsi="Arial Narrow"/>
          <w:sz w:val="26"/>
          <w:szCs w:val="26"/>
        </w:rPr>
        <w:t xml:space="preserve"> D</w:t>
      </w:r>
      <w:r w:rsidR="00B2353C" w:rsidRPr="00DE6F0A">
        <w:rPr>
          <w:rFonts w:ascii="Arial Narrow" w:hAnsi="Arial Narrow"/>
          <w:sz w:val="26"/>
          <w:szCs w:val="26"/>
        </w:rPr>
        <w:t xml:space="preserve">entro de las obligaciones del dispensador (art. 19) se encuentra las de informar al usuario sobre los aspectos indispensables que garanticen el efecto terapéutico y promuevan el uso adecuado de los medicamentos, tales como: condiciones de almacenamiento, cómo reconstituirlos, cómo medir la dosis, qué cuidados debe tener en la administración, interacciones con alimentos y otros medicamentos, advertencias sobre efectos adversos, contraindicaciones y la importancia de la adherencia a la terapia. </w:t>
      </w:r>
    </w:p>
    <w:p w14:paraId="73870CC4" w14:textId="77777777" w:rsidR="00433E13" w:rsidRPr="00DE6F0A" w:rsidRDefault="00433E13" w:rsidP="00DE6F0A">
      <w:pPr>
        <w:pStyle w:val="Sinespaciado"/>
        <w:spacing w:line="276" w:lineRule="auto"/>
        <w:jc w:val="both"/>
        <w:rPr>
          <w:rFonts w:ascii="Arial Narrow" w:hAnsi="Arial Narrow"/>
          <w:sz w:val="26"/>
          <w:szCs w:val="26"/>
        </w:rPr>
      </w:pPr>
    </w:p>
    <w:p w14:paraId="2533C320" w14:textId="574D1B83" w:rsidR="00D83BA4" w:rsidRPr="00DE6F0A" w:rsidRDefault="00433E13"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Para </w:t>
      </w:r>
      <w:r w:rsidR="0013269D" w:rsidRPr="00DE6F0A">
        <w:rPr>
          <w:rFonts w:ascii="Arial Narrow" w:hAnsi="Arial Narrow"/>
          <w:sz w:val="26"/>
          <w:szCs w:val="26"/>
        </w:rPr>
        <w:t xml:space="preserve">la ejecución </w:t>
      </w:r>
      <w:r w:rsidRPr="00DE6F0A">
        <w:rPr>
          <w:rFonts w:ascii="Arial Narrow" w:hAnsi="Arial Narrow"/>
          <w:sz w:val="26"/>
          <w:szCs w:val="26"/>
        </w:rPr>
        <w:t xml:space="preserve">de sus funciones </w:t>
      </w:r>
      <w:r w:rsidR="007F75D6" w:rsidRPr="00DE6F0A">
        <w:rPr>
          <w:rFonts w:ascii="Arial Narrow" w:hAnsi="Arial Narrow"/>
          <w:sz w:val="26"/>
          <w:szCs w:val="26"/>
        </w:rPr>
        <w:t>debe contar con un recurso humano idóneo para el cumplimiento de las actividades y/o procesos que realice (Art. 8)</w:t>
      </w:r>
      <w:r w:rsidR="006B05E3" w:rsidRPr="00DE6F0A">
        <w:rPr>
          <w:rFonts w:ascii="Arial Narrow" w:hAnsi="Arial Narrow"/>
          <w:sz w:val="26"/>
          <w:szCs w:val="26"/>
        </w:rPr>
        <w:t>, así como aplicar el principio de accesibilidad, en virtud del cual debe garantizar a sus usuarios, beneficiarios, destinatarios y a la comunidad, los medicamentos y dispositivos médicos, la información y asesoría en el uso adecuado de los mismos, para contribuir de manera efectiva a la satisfacción de las necesidades de atención en salud</w:t>
      </w:r>
      <w:r w:rsidR="00DE0479" w:rsidRPr="00DE6F0A">
        <w:rPr>
          <w:rFonts w:ascii="Arial Narrow" w:hAnsi="Arial Narrow"/>
          <w:sz w:val="26"/>
          <w:szCs w:val="26"/>
        </w:rPr>
        <w:t xml:space="preserve"> (Resolución 1403 de 2007, artículo </w:t>
      </w:r>
      <w:r w:rsidR="00225790" w:rsidRPr="00DE6F0A">
        <w:rPr>
          <w:rFonts w:ascii="Arial Narrow" w:hAnsi="Arial Narrow"/>
          <w:sz w:val="26"/>
          <w:szCs w:val="26"/>
        </w:rPr>
        <w:t>4º)</w:t>
      </w:r>
      <w:r w:rsidR="006B05E3" w:rsidRPr="00DE6F0A">
        <w:rPr>
          <w:rFonts w:ascii="Arial Narrow" w:hAnsi="Arial Narrow"/>
          <w:sz w:val="26"/>
          <w:szCs w:val="26"/>
        </w:rPr>
        <w:t>.</w:t>
      </w:r>
    </w:p>
    <w:p w14:paraId="2C5446B4" w14:textId="3A938D8A" w:rsidR="005C05B8" w:rsidRPr="00DE6F0A" w:rsidRDefault="005C05B8" w:rsidP="00DE6F0A">
      <w:pPr>
        <w:pStyle w:val="Sinespaciado"/>
        <w:spacing w:line="276" w:lineRule="auto"/>
        <w:jc w:val="both"/>
        <w:rPr>
          <w:rFonts w:ascii="Arial Narrow" w:hAnsi="Arial Narrow"/>
          <w:sz w:val="26"/>
          <w:szCs w:val="26"/>
        </w:rPr>
      </w:pPr>
    </w:p>
    <w:p w14:paraId="51BAD32A" w14:textId="57A43024" w:rsidR="00F27634" w:rsidRPr="00DE6F0A" w:rsidRDefault="0061409B"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8</w:t>
      </w:r>
      <w:r w:rsidR="0070313C" w:rsidRPr="00DE6F0A">
        <w:rPr>
          <w:rFonts w:ascii="Arial Narrow" w:hAnsi="Arial Narrow"/>
          <w:b/>
          <w:bCs/>
          <w:sz w:val="26"/>
          <w:szCs w:val="26"/>
        </w:rPr>
        <w:t xml:space="preserve">. </w:t>
      </w:r>
      <w:r w:rsidR="00F27634" w:rsidRPr="00DE6F0A">
        <w:rPr>
          <w:rFonts w:ascii="Arial Narrow" w:hAnsi="Arial Narrow"/>
          <w:sz w:val="26"/>
          <w:szCs w:val="26"/>
        </w:rPr>
        <w:t xml:space="preserve">En el anterior contexto resulta de relieve la </w:t>
      </w:r>
      <w:r w:rsidR="00524C4F" w:rsidRPr="00DE6F0A">
        <w:rPr>
          <w:rFonts w:ascii="Arial Narrow" w:hAnsi="Arial Narrow"/>
          <w:sz w:val="26"/>
          <w:szCs w:val="26"/>
        </w:rPr>
        <w:t>importancia</w:t>
      </w:r>
      <w:r w:rsidR="00EE6220" w:rsidRPr="00DE6F0A">
        <w:rPr>
          <w:rFonts w:ascii="Arial Narrow" w:hAnsi="Arial Narrow"/>
          <w:sz w:val="26"/>
          <w:szCs w:val="26"/>
        </w:rPr>
        <w:t xml:space="preserve"> que </w:t>
      </w:r>
      <w:r w:rsidR="00F27634" w:rsidRPr="00DE6F0A">
        <w:rPr>
          <w:rFonts w:ascii="Arial Narrow" w:hAnsi="Arial Narrow"/>
          <w:sz w:val="26"/>
          <w:szCs w:val="26"/>
        </w:rPr>
        <w:t xml:space="preserve">tiene </w:t>
      </w:r>
      <w:r w:rsidR="00524C4F" w:rsidRPr="00DE6F0A">
        <w:rPr>
          <w:rFonts w:ascii="Arial Narrow" w:hAnsi="Arial Narrow"/>
          <w:sz w:val="26"/>
          <w:szCs w:val="26"/>
        </w:rPr>
        <w:t>la aplicación d</w:t>
      </w:r>
      <w:r w:rsidR="00F27634" w:rsidRPr="00DE6F0A">
        <w:rPr>
          <w:rFonts w:ascii="Arial Narrow" w:hAnsi="Arial Narrow"/>
          <w:sz w:val="26"/>
          <w:szCs w:val="26"/>
        </w:rPr>
        <w:t>el artículo 8 de la Ley 982 de 2005</w:t>
      </w:r>
      <w:r w:rsidR="00C5334F" w:rsidRPr="00DE6F0A">
        <w:rPr>
          <w:rFonts w:ascii="Arial Narrow" w:hAnsi="Arial Narrow"/>
          <w:sz w:val="26"/>
          <w:szCs w:val="26"/>
        </w:rPr>
        <w:t xml:space="preserve"> (por la cual se establecen normas tendientes a la equiparación de oportunidades para las personas sordas y sordociegas y se dictan otras disposiciones)</w:t>
      </w:r>
      <w:r w:rsidR="00EE6220" w:rsidRPr="00DE6F0A">
        <w:rPr>
          <w:rFonts w:ascii="Arial Narrow" w:hAnsi="Arial Narrow"/>
          <w:sz w:val="26"/>
          <w:szCs w:val="26"/>
        </w:rPr>
        <w:t xml:space="preserve"> en el caso concreto</w:t>
      </w:r>
      <w:r w:rsidR="00F27634" w:rsidRPr="00DE6F0A">
        <w:rPr>
          <w:rFonts w:ascii="Arial Narrow" w:hAnsi="Arial Narrow"/>
          <w:sz w:val="26"/>
          <w:szCs w:val="26"/>
        </w:rPr>
        <w:t xml:space="preserve">, </w:t>
      </w:r>
      <w:r w:rsidR="00C5334F" w:rsidRPr="00DE6F0A">
        <w:rPr>
          <w:rFonts w:ascii="Arial Narrow" w:hAnsi="Arial Narrow"/>
          <w:sz w:val="26"/>
          <w:szCs w:val="26"/>
        </w:rPr>
        <w:t xml:space="preserve">disposición </w:t>
      </w:r>
      <w:r w:rsidR="00F27634" w:rsidRPr="00DE6F0A">
        <w:rPr>
          <w:rFonts w:ascii="Arial Narrow" w:hAnsi="Arial Narrow"/>
          <w:sz w:val="26"/>
          <w:szCs w:val="26"/>
        </w:rPr>
        <w:t>que señala:</w:t>
      </w:r>
    </w:p>
    <w:p w14:paraId="554A8DB5" w14:textId="77777777" w:rsidR="00A377C7" w:rsidRPr="00DE6F0A" w:rsidRDefault="00A377C7" w:rsidP="00DE6F0A">
      <w:pPr>
        <w:pStyle w:val="Sinespaciado"/>
        <w:spacing w:line="276" w:lineRule="auto"/>
        <w:ind w:left="567" w:right="618"/>
        <w:jc w:val="both"/>
        <w:rPr>
          <w:rFonts w:ascii="Arial Narrow" w:hAnsi="Arial Narrow"/>
          <w:i/>
          <w:iCs/>
          <w:sz w:val="26"/>
          <w:szCs w:val="26"/>
        </w:rPr>
      </w:pPr>
    </w:p>
    <w:p w14:paraId="4BC67504" w14:textId="73901B35" w:rsidR="007E4228" w:rsidRPr="0062008E" w:rsidRDefault="007E4228" w:rsidP="0062008E">
      <w:pPr>
        <w:pStyle w:val="Sinespaciado"/>
        <w:ind w:left="426" w:right="420"/>
        <w:jc w:val="both"/>
        <w:rPr>
          <w:rFonts w:ascii="Arial Narrow" w:hAnsi="Arial Narrow"/>
          <w:i/>
          <w:iCs/>
          <w:sz w:val="24"/>
          <w:szCs w:val="26"/>
        </w:rPr>
      </w:pPr>
      <w:r w:rsidRPr="0062008E">
        <w:rPr>
          <w:rFonts w:ascii="Arial Narrow" w:hAnsi="Arial Narrow"/>
          <w:i/>
          <w:iCs/>
          <w:sz w:val="24"/>
          <w:szCs w:val="26"/>
        </w:rPr>
        <w:t xml:space="preserve">Las entidades estatales de cualquier </w:t>
      </w:r>
      <w:r w:rsidR="00A5352B" w:rsidRPr="0062008E">
        <w:rPr>
          <w:rFonts w:ascii="Arial Narrow" w:hAnsi="Arial Narrow"/>
          <w:i/>
          <w:iCs/>
          <w:sz w:val="24"/>
          <w:szCs w:val="26"/>
        </w:rPr>
        <w:t>orden</w:t>
      </w:r>
      <w:r w:rsidRPr="0062008E">
        <w:rPr>
          <w:rFonts w:ascii="Arial Narrow" w:hAnsi="Arial Narrow"/>
          <w:i/>
          <w:iCs/>
          <w:sz w:val="24"/>
          <w:szCs w:val="26"/>
        </w:rPr>
        <w:t xml:space="preserve"> incorporan paulatinamente dentro de los programas de atención al cliente, el servicio de intérprete y guía intérprete para las personas sordas y sordociegas que lo requieran de manera directa o mediante convenios con organismos que ofrezcan tal servicio.</w:t>
      </w:r>
    </w:p>
    <w:p w14:paraId="178401A2" w14:textId="77777777" w:rsidR="007E4228" w:rsidRPr="0062008E" w:rsidRDefault="007E4228" w:rsidP="0062008E">
      <w:pPr>
        <w:pStyle w:val="Sinespaciado"/>
        <w:ind w:left="426" w:right="420"/>
        <w:jc w:val="both"/>
        <w:rPr>
          <w:rFonts w:ascii="Arial Narrow" w:hAnsi="Arial Narrow"/>
          <w:i/>
          <w:iCs/>
          <w:sz w:val="24"/>
          <w:szCs w:val="26"/>
        </w:rPr>
      </w:pPr>
    </w:p>
    <w:p w14:paraId="7B945FD1" w14:textId="0027ED8F" w:rsidR="00F27634" w:rsidRPr="0062008E" w:rsidRDefault="007E4228" w:rsidP="0062008E">
      <w:pPr>
        <w:pStyle w:val="Sinespaciado"/>
        <w:ind w:left="426" w:right="420"/>
        <w:jc w:val="both"/>
        <w:rPr>
          <w:rFonts w:ascii="Arial Narrow" w:hAnsi="Arial Narrow"/>
          <w:i/>
          <w:iCs/>
          <w:sz w:val="24"/>
          <w:szCs w:val="26"/>
        </w:rPr>
      </w:pPr>
      <w:r w:rsidRPr="0062008E">
        <w:rPr>
          <w:rFonts w:ascii="Arial Narrow" w:hAnsi="Arial Narrow"/>
          <w:i/>
          <w:iCs/>
          <w:sz w:val="24"/>
          <w:szCs w:val="26"/>
        </w:rPr>
        <w:t>De igual manera, lo harán las empresas prestadoras de servicios públicos, las Instituciones Prestadoras de Salud, las bibliotecas públicas, los centros de documentación e información y en general las instituciones gubernamentales y no gubernamentales que ofrezcan servicios al público, fijando en lugar visible la información correspondiente, con plena identificación del lugar o lugares en los que podrán ser atendidas las personas sordas y sordociegas.</w:t>
      </w:r>
    </w:p>
    <w:p w14:paraId="4E823736" w14:textId="69119173" w:rsidR="00BC1991" w:rsidRPr="00DE6F0A" w:rsidRDefault="00F27634" w:rsidP="00DE6F0A">
      <w:pPr>
        <w:pStyle w:val="Sinespaciado"/>
        <w:spacing w:line="276" w:lineRule="auto"/>
        <w:jc w:val="both"/>
        <w:rPr>
          <w:rFonts w:ascii="Arial Narrow" w:hAnsi="Arial Narrow"/>
          <w:sz w:val="26"/>
          <w:szCs w:val="26"/>
        </w:rPr>
      </w:pPr>
      <w:r w:rsidRPr="00DE6F0A">
        <w:rPr>
          <w:rFonts w:ascii="Arial Narrow" w:hAnsi="Arial Narrow"/>
          <w:sz w:val="26"/>
          <w:szCs w:val="26"/>
        </w:rPr>
        <w:br/>
      </w:r>
      <w:r w:rsidR="004B5B72" w:rsidRPr="00DE6F0A">
        <w:rPr>
          <w:rFonts w:ascii="Arial Narrow" w:hAnsi="Arial Narrow"/>
          <w:sz w:val="26"/>
          <w:szCs w:val="26"/>
        </w:rPr>
        <w:t>Sobre la obligación que tienen las entidades públicas y privadas de garantizar el acceso de las personas en situación de discapacidad al servicio público que ofrezcan a la comunidad,</w:t>
      </w:r>
      <w:r w:rsidR="00735D4F" w:rsidRPr="00DE6F0A">
        <w:rPr>
          <w:rFonts w:ascii="Arial Narrow" w:hAnsi="Arial Narrow"/>
          <w:sz w:val="26"/>
          <w:szCs w:val="26"/>
        </w:rPr>
        <w:t xml:space="preserve"> resultan aplicables al caso</w:t>
      </w:r>
      <w:r w:rsidR="00A5352B" w:rsidRPr="00DE6F0A">
        <w:rPr>
          <w:rFonts w:ascii="Arial Narrow" w:hAnsi="Arial Narrow"/>
          <w:sz w:val="26"/>
          <w:szCs w:val="26"/>
        </w:rPr>
        <w:t xml:space="preserve"> ademá</w:t>
      </w:r>
      <w:r w:rsidR="00A32CEF" w:rsidRPr="00DE6F0A">
        <w:rPr>
          <w:rFonts w:ascii="Arial Narrow" w:hAnsi="Arial Narrow"/>
          <w:sz w:val="26"/>
          <w:szCs w:val="26"/>
        </w:rPr>
        <w:t>s</w:t>
      </w:r>
      <w:r w:rsidR="00735D4F" w:rsidRPr="00DE6F0A">
        <w:rPr>
          <w:rFonts w:ascii="Arial Narrow" w:hAnsi="Arial Narrow"/>
          <w:sz w:val="26"/>
          <w:szCs w:val="26"/>
        </w:rPr>
        <w:t xml:space="preserve"> las Leyes 361 de 1997, </w:t>
      </w:r>
      <w:r w:rsidR="00E953B6" w:rsidRPr="00DE6F0A">
        <w:rPr>
          <w:rFonts w:ascii="Arial Narrow" w:hAnsi="Arial Narrow"/>
          <w:sz w:val="26"/>
          <w:szCs w:val="26"/>
        </w:rPr>
        <w:t>que regula diversos mecanismos de integración social de las personas que se hallen en situación de discapacidad</w:t>
      </w:r>
      <w:r w:rsidR="00BC1991" w:rsidRPr="00DE6F0A">
        <w:rPr>
          <w:rFonts w:ascii="Arial Narrow" w:hAnsi="Arial Narrow"/>
          <w:sz w:val="26"/>
          <w:szCs w:val="26"/>
        </w:rPr>
        <w:t xml:space="preserve">. Si bien </w:t>
      </w:r>
      <w:r w:rsidR="00F2403E" w:rsidRPr="00DE6F0A">
        <w:rPr>
          <w:rFonts w:ascii="Arial Narrow" w:hAnsi="Arial Narrow"/>
          <w:sz w:val="26"/>
          <w:szCs w:val="26"/>
        </w:rPr>
        <w:t>el grueso de sus normas sobre accesibilidad se refiere</w:t>
      </w:r>
      <w:r w:rsidR="00D0559B" w:rsidRPr="00DE6F0A">
        <w:rPr>
          <w:rFonts w:ascii="Arial Narrow" w:hAnsi="Arial Narrow"/>
          <w:sz w:val="26"/>
          <w:szCs w:val="26"/>
        </w:rPr>
        <w:t xml:space="preserve"> al entorno físico, su artículo 46</w:t>
      </w:r>
      <w:r w:rsidR="00F2403E" w:rsidRPr="00DE6F0A">
        <w:rPr>
          <w:rFonts w:ascii="Arial Narrow" w:hAnsi="Arial Narrow"/>
          <w:sz w:val="26"/>
          <w:szCs w:val="26"/>
        </w:rPr>
        <w:t xml:space="preserve"> recuerda que aquella “</w:t>
      </w:r>
      <w:r w:rsidR="00F2403E" w:rsidRPr="0062008E">
        <w:rPr>
          <w:rFonts w:ascii="Arial Narrow" w:hAnsi="Arial Narrow"/>
          <w:i/>
          <w:iCs/>
          <w:sz w:val="24"/>
          <w:szCs w:val="26"/>
        </w:rPr>
        <w:t>es un elemento esencial de los servicios públicos a cargo del Estado y por lo tanto deberá ser tenida en cuenta por los organismos públicos o privados en la ejecución de dichos servicios</w:t>
      </w:r>
      <w:r w:rsidR="00F64873" w:rsidRPr="00DE6F0A">
        <w:rPr>
          <w:rFonts w:ascii="Arial Narrow" w:hAnsi="Arial Narrow"/>
          <w:i/>
          <w:iCs/>
          <w:sz w:val="26"/>
          <w:szCs w:val="26"/>
        </w:rPr>
        <w:t>”</w:t>
      </w:r>
      <w:r w:rsidR="00F64873" w:rsidRPr="00DE6F0A">
        <w:rPr>
          <w:rFonts w:ascii="Arial Narrow" w:hAnsi="Arial Narrow"/>
          <w:sz w:val="26"/>
          <w:szCs w:val="26"/>
        </w:rPr>
        <w:t>.</w:t>
      </w:r>
    </w:p>
    <w:p w14:paraId="5C4FA213" w14:textId="77777777" w:rsidR="00BC1991" w:rsidRPr="00DE6F0A" w:rsidRDefault="00BC1991" w:rsidP="00DE6F0A">
      <w:pPr>
        <w:pStyle w:val="Sinespaciado"/>
        <w:spacing w:line="276" w:lineRule="auto"/>
        <w:jc w:val="both"/>
        <w:rPr>
          <w:rFonts w:ascii="Arial Narrow" w:hAnsi="Arial Narrow"/>
          <w:sz w:val="26"/>
          <w:szCs w:val="26"/>
        </w:rPr>
      </w:pPr>
    </w:p>
    <w:p w14:paraId="0806BDE6" w14:textId="072B098E" w:rsidR="006C532C" w:rsidRPr="00DE6F0A" w:rsidRDefault="00DF43B5" w:rsidP="00DE6F0A">
      <w:pPr>
        <w:pStyle w:val="Sinespaciado"/>
        <w:spacing w:line="276" w:lineRule="auto"/>
        <w:jc w:val="both"/>
        <w:rPr>
          <w:rFonts w:ascii="Arial Narrow" w:hAnsi="Arial Narrow"/>
          <w:sz w:val="26"/>
          <w:szCs w:val="26"/>
          <w:lang w:val="es-CO" w:eastAsia="es-CO"/>
        </w:rPr>
      </w:pPr>
      <w:r w:rsidRPr="00DE6F0A">
        <w:rPr>
          <w:rFonts w:ascii="Arial Narrow" w:hAnsi="Arial Narrow"/>
          <w:sz w:val="26"/>
          <w:szCs w:val="26"/>
        </w:rPr>
        <w:t>También l</w:t>
      </w:r>
      <w:r w:rsidR="006C532C" w:rsidRPr="00DE6F0A">
        <w:rPr>
          <w:rFonts w:ascii="Arial Narrow" w:hAnsi="Arial Narrow"/>
          <w:sz w:val="26"/>
          <w:szCs w:val="26"/>
        </w:rPr>
        <w:t>a Ley 1346 de 2009</w:t>
      </w:r>
      <w:r w:rsidR="00F64873" w:rsidRPr="00DE6F0A">
        <w:rPr>
          <w:rFonts w:ascii="Arial Narrow" w:hAnsi="Arial Narrow"/>
          <w:sz w:val="26"/>
          <w:szCs w:val="26"/>
        </w:rPr>
        <w:t xml:space="preserve"> que</w:t>
      </w:r>
      <w:r w:rsidR="006C532C" w:rsidRPr="00DE6F0A">
        <w:rPr>
          <w:rFonts w:ascii="Arial Narrow" w:hAnsi="Arial Narrow"/>
          <w:sz w:val="26"/>
          <w:szCs w:val="26"/>
        </w:rPr>
        <w:t xml:space="preserve"> aprueba e incorpora al ordenamiento interno la convención sobre los derechos de las personas con discapacidad, adoptada por la Asamblea General de la</w:t>
      </w:r>
      <w:r w:rsidR="003917D2" w:rsidRPr="00DE6F0A">
        <w:rPr>
          <w:rFonts w:ascii="Arial Narrow" w:hAnsi="Arial Narrow"/>
          <w:sz w:val="26"/>
          <w:szCs w:val="26"/>
        </w:rPr>
        <w:t>s</w:t>
      </w:r>
      <w:r w:rsidR="006C532C" w:rsidRPr="00DE6F0A">
        <w:rPr>
          <w:rFonts w:ascii="Arial Narrow" w:hAnsi="Arial Narrow"/>
          <w:sz w:val="26"/>
          <w:szCs w:val="26"/>
        </w:rPr>
        <w:t xml:space="preserve"> Naciones Unidas el 13 de diciembre de 2006, previ</w:t>
      </w:r>
      <w:r w:rsidR="0040554C" w:rsidRPr="00DE6F0A">
        <w:rPr>
          <w:rFonts w:ascii="Arial Narrow" w:hAnsi="Arial Narrow"/>
          <w:sz w:val="26"/>
          <w:szCs w:val="26"/>
        </w:rPr>
        <w:t>o</w:t>
      </w:r>
      <w:r w:rsidR="006C532C" w:rsidRPr="00DE6F0A">
        <w:rPr>
          <w:rFonts w:ascii="Arial Narrow" w:hAnsi="Arial Narrow"/>
          <w:sz w:val="26"/>
          <w:szCs w:val="26"/>
        </w:rPr>
        <w:t xml:space="preserve"> control constitucional efectuado en la sentencia C-293 de 2010 de la Corte Constitucional</w:t>
      </w:r>
      <w:r w:rsidR="007C42FA" w:rsidRPr="00DE6F0A">
        <w:rPr>
          <w:rFonts w:ascii="Arial Narrow" w:hAnsi="Arial Narrow"/>
          <w:sz w:val="26"/>
          <w:szCs w:val="26"/>
        </w:rPr>
        <w:t xml:space="preserve">. Su </w:t>
      </w:r>
      <w:r w:rsidR="006C532C" w:rsidRPr="00DE6F0A">
        <w:rPr>
          <w:rFonts w:ascii="Arial Narrow" w:hAnsi="Arial Narrow"/>
          <w:sz w:val="26"/>
          <w:szCs w:val="26"/>
        </w:rPr>
        <w:t>artículo 9º se refiere a la accesibilidad como propósito para que est</w:t>
      </w:r>
      <w:r w:rsidR="007C42FA" w:rsidRPr="00DE6F0A">
        <w:rPr>
          <w:rFonts w:ascii="Arial Narrow" w:hAnsi="Arial Narrow"/>
          <w:sz w:val="26"/>
          <w:szCs w:val="26"/>
        </w:rPr>
        <w:t xml:space="preserve">e grupo poblacional pueda </w:t>
      </w:r>
      <w:r w:rsidR="006C532C" w:rsidRPr="00DE6F0A">
        <w:rPr>
          <w:rFonts w:ascii="Arial Narrow" w:hAnsi="Arial Narrow"/>
          <w:sz w:val="26"/>
          <w:szCs w:val="26"/>
        </w:rPr>
        <w:t>“</w:t>
      </w:r>
      <w:r w:rsidR="006C532C" w:rsidRPr="0062008E">
        <w:rPr>
          <w:rFonts w:ascii="Arial Narrow" w:hAnsi="Arial Narrow"/>
          <w:sz w:val="24"/>
          <w:szCs w:val="26"/>
        </w:rPr>
        <w:t>…</w:t>
      </w:r>
      <w:r w:rsidR="0062008E" w:rsidRPr="0062008E">
        <w:rPr>
          <w:rFonts w:ascii="Arial Narrow" w:hAnsi="Arial Narrow"/>
          <w:sz w:val="24"/>
          <w:szCs w:val="26"/>
        </w:rPr>
        <w:t xml:space="preserve"> </w:t>
      </w:r>
      <w:r w:rsidR="006C532C" w:rsidRPr="0062008E">
        <w:rPr>
          <w:rFonts w:ascii="Arial Narrow" w:hAnsi="Arial Narrow"/>
          <w:i/>
          <w:iCs/>
          <w:sz w:val="24"/>
          <w:szCs w:val="26"/>
        </w:rPr>
        <w:t>vivir en forma independiente y participar plenamente en todos los aspectos de la vida</w:t>
      </w:r>
      <w:r w:rsidR="006C532C" w:rsidRPr="00DE6F0A">
        <w:rPr>
          <w:rFonts w:ascii="Arial Narrow" w:hAnsi="Arial Narrow"/>
          <w:sz w:val="26"/>
          <w:szCs w:val="26"/>
        </w:rPr>
        <w:t>.”</w:t>
      </w:r>
    </w:p>
    <w:p w14:paraId="13E00377" w14:textId="05AFDFCC" w:rsidR="006C532C" w:rsidRPr="00DE6F0A" w:rsidRDefault="006C532C" w:rsidP="00DE6F0A">
      <w:pPr>
        <w:pStyle w:val="Sinespaciado"/>
        <w:spacing w:line="276" w:lineRule="auto"/>
        <w:jc w:val="both"/>
        <w:rPr>
          <w:rFonts w:ascii="Arial Narrow" w:hAnsi="Arial Narrow"/>
          <w:sz w:val="26"/>
          <w:szCs w:val="26"/>
          <w:lang w:val="es-CO"/>
        </w:rPr>
      </w:pPr>
    </w:p>
    <w:p w14:paraId="42D59BE8" w14:textId="2068C85B" w:rsidR="00D91B13" w:rsidRPr="00DE6F0A" w:rsidRDefault="007C42FA" w:rsidP="00DE6F0A">
      <w:pPr>
        <w:pStyle w:val="Sinespaciado"/>
        <w:spacing w:line="276" w:lineRule="auto"/>
        <w:jc w:val="both"/>
        <w:rPr>
          <w:rFonts w:ascii="Arial Narrow" w:hAnsi="Arial Narrow"/>
          <w:sz w:val="26"/>
          <w:szCs w:val="26"/>
        </w:rPr>
      </w:pPr>
      <w:r w:rsidRPr="00DE6F0A">
        <w:rPr>
          <w:rFonts w:ascii="Arial Narrow" w:hAnsi="Arial Narrow"/>
          <w:sz w:val="26"/>
          <w:szCs w:val="26"/>
        </w:rPr>
        <w:lastRenderedPageBreak/>
        <w:t>L</w:t>
      </w:r>
      <w:r w:rsidR="00E953B6" w:rsidRPr="00DE6F0A">
        <w:rPr>
          <w:rFonts w:ascii="Arial Narrow" w:hAnsi="Arial Narrow"/>
          <w:sz w:val="26"/>
          <w:szCs w:val="26"/>
        </w:rPr>
        <w:t xml:space="preserve">a </w:t>
      </w:r>
      <w:r w:rsidR="0018467D" w:rsidRPr="00DE6F0A">
        <w:rPr>
          <w:rFonts w:ascii="Arial Narrow" w:hAnsi="Arial Narrow"/>
          <w:sz w:val="26"/>
          <w:szCs w:val="26"/>
        </w:rPr>
        <w:t>Ley</w:t>
      </w:r>
      <w:r w:rsidRPr="00DE6F0A">
        <w:rPr>
          <w:rFonts w:ascii="Arial Narrow" w:hAnsi="Arial Narrow"/>
          <w:sz w:val="26"/>
          <w:szCs w:val="26"/>
        </w:rPr>
        <w:t xml:space="preserve"> Estatutaria</w:t>
      </w:r>
      <w:r w:rsidR="0018467D" w:rsidRPr="00DE6F0A">
        <w:rPr>
          <w:rFonts w:ascii="Arial Narrow" w:hAnsi="Arial Narrow"/>
          <w:sz w:val="26"/>
          <w:szCs w:val="26"/>
        </w:rPr>
        <w:t xml:space="preserve"> </w:t>
      </w:r>
      <w:r w:rsidR="00735D4F" w:rsidRPr="00DE6F0A">
        <w:rPr>
          <w:rFonts w:ascii="Arial Narrow" w:hAnsi="Arial Narrow"/>
          <w:sz w:val="26"/>
          <w:szCs w:val="26"/>
        </w:rPr>
        <w:t>1618 de 2013,</w:t>
      </w:r>
      <w:r w:rsidR="004A54EF" w:rsidRPr="00DE6F0A">
        <w:rPr>
          <w:rFonts w:ascii="Arial Narrow" w:hAnsi="Arial Narrow"/>
          <w:sz w:val="26"/>
          <w:szCs w:val="26"/>
        </w:rPr>
        <w:t xml:space="preserve"> por</w:t>
      </w:r>
      <w:r w:rsidRPr="00DE6F0A">
        <w:rPr>
          <w:rFonts w:ascii="Arial Narrow" w:hAnsi="Arial Narrow"/>
          <w:sz w:val="26"/>
          <w:szCs w:val="26"/>
        </w:rPr>
        <w:t xml:space="preserve"> su parte, estableció </w:t>
      </w:r>
      <w:r w:rsidR="004A54EF" w:rsidRPr="00DE6F0A">
        <w:rPr>
          <w:rFonts w:ascii="Arial Narrow" w:hAnsi="Arial Narrow"/>
          <w:sz w:val="26"/>
          <w:szCs w:val="26"/>
        </w:rPr>
        <w:t>disposiciones para garantizar el pleno ejercicio de los derechos de las personas con discapacidad</w:t>
      </w:r>
      <w:r w:rsidRPr="00DE6F0A">
        <w:rPr>
          <w:rFonts w:ascii="Arial Narrow" w:hAnsi="Arial Narrow"/>
          <w:sz w:val="26"/>
          <w:szCs w:val="26"/>
        </w:rPr>
        <w:t xml:space="preserve">. Tuvo </w:t>
      </w:r>
      <w:r w:rsidR="00D91B13" w:rsidRPr="00DE6F0A">
        <w:rPr>
          <w:rFonts w:ascii="Arial Narrow" w:hAnsi="Arial Narrow"/>
          <w:sz w:val="26"/>
          <w:szCs w:val="26"/>
        </w:rPr>
        <w:t>como objeto “</w:t>
      </w:r>
      <w:r w:rsidR="00D91B13" w:rsidRPr="0062008E">
        <w:rPr>
          <w:rFonts w:ascii="Arial Narrow" w:hAnsi="Arial Narrow"/>
          <w:i/>
          <w:iCs/>
          <w:sz w:val="24"/>
          <w:szCs w:val="26"/>
        </w:rPr>
        <w:t>…</w:t>
      </w:r>
      <w:r w:rsidR="0062008E" w:rsidRPr="0062008E">
        <w:rPr>
          <w:rFonts w:ascii="Arial Narrow" w:hAnsi="Arial Narrow"/>
          <w:i/>
          <w:iCs/>
          <w:sz w:val="24"/>
          <w:szCs w:val="26"/>
        </w:rPr>
        <w:t xml:space="preserve"> </w:t>
      </w:r>
      <w:r w:rsidR="00D91B13" w:rsidRPr="0062008E">
        <w:rPr>
          <w:rFonts w:ascii="Arial Narrow" w:hAnsi="Arial Narrow"/>
          <w:i/>
          <w:iCs/>
          <w:sz w:val="24"/>
          <w:szCs w:val="26"/>
        </w:rPr>
        <w:t>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r w:rsidR="00D91B13" w:rsidRPr="00DE6F0A">
        <w:rPr>
          <w:rFonts w:ascii="Arial Narrow" w:hAnsi="Arial Narrow"/>
          <w:sz w:val="26"/>
          <w:szCs w:val="26"/>
        </w:rPr>
        <w:t>”</w:t>
      </w:r>
      <w:r w:rsidR="00FF2298" w:rsidRPr="00DE6F0A">
        <w:rPr>
          <w:rStyle w:val="SinespaciadoCar"/>
          <w:rFonts w:ascii="Arial Narrow" w:hAnsi="Arial Narrow"/>
          <w:i/>
          <w:sz w:val="26"/>
          <w:szCs w:val="26"/>
          <w:lang w:val="es-ES_tradnl"/>
        </w:rPr>
        <w:t xml:space="preserve"> </w:t>
      </w:r>
      <w:r w:rsidR="00FF2298" w:rsidRPr="00DE6F0A">
        <w:rPr>
          <w:rStyle w:val="Refdenotaalpie"/>
          <w:rFonts w:ascii="Arial Narrow" w:hAnsi="Arial Narrow"/>
          <w:iCs/>
          <w:sz w:val="26"/>
          <w:szCs w:val="26"/>
          <w:lang w:val="es-ES_tradnl"/>
        </w:rPr>
        <w:footnoteReference w:id="36"/>
      </w:r>
      <w:r w:rsidR="00FF2298" w:rsidRPr="00DE6F0A">
        <w:rPr>
          <w:rFonts w:ascii="Arial Narrow" w:hAnsi="Arial Narrow"/>
          <w:sz w:val="26"/>
          <w:szCs w:val="26"/>
        </w:rPr>
        <w:t>. Esta norma</w:t>
      </w:r>
      <w:r w:rsidR="00D91B13" w:rsidRPr="00DE6F0A">
        <w:rPr>
          <w:rFonts w:ascii="Arial Narrow" w:hAnsi="Arial Narrow"/>
          <w:sz w:val="26"/>
          <w:szCs w:val="26"/>
        </w:rPr>
        <w:t xml:space="preserve"> definió las acciones afirmativas como políticas, medidas y acciones que permiten eliminar o reducir las desigualdades de todo tipo que enfrentan las personas en situación de discapacidad por esa condición; en concordancia con los ajustes razonables de que habla la convención, entendidos como “</w:t>
      </w:r>
      <w:r w:rsidR="00D91B13" w:rsidRPr="0062008E">
        <w:rPr>
          <w:rFonts w:ascii="Arial Narrow" w:hAnsi="Arial Narrow"/>
          <w:sz w:val="24"/>
          <w:szCs w:val="26"/>
        </w:rPr>
        <w:t>…</w:t>
      </w:r>
      <w:r w:rsidR="0062008E" w:rsidRPr="0062008E">
        <w:rPr>
          <w:rFonts w:ascii="Arial Narrow" w:hAnsi="Arial Narrow"/>
          <w:sz w:val="24"/>
          <w:szCs w:val="26"/>
        </w:rPr>
        <w:t xml:space="preserve"> </w:t>
      </w:r>
      <w:r w:rsidR="00D91B13" w:rsidRPr="0062008E">
        <w:rPr>
          <w:rFonts w:ascii="Arial Narrow" w:hAnsi="Arial Narrow"/>
          <w:i/>
          <w:iCs/>
          <w:sz w:val="24"/>
          <w:szCs w:val="26"/>
        </w:rPr>
        <w:t>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D91B13" w:rsidRPr="00DE6F0A">
        <w:rPr>
          <w:rFonts w:ascii="Arial Narrow" w:hAnsi="Arial Narrow"/>
          <w:sz w:val="26"/>
          <w:szCs w:val="26"/>
        </w:rPr>
        <w:t>”</w:t>
      </w:r>
      <w:r w:rsidR="00A50D5D" w:rsidRPr="00DE6F0A">
        <w:rPr>
          <w:rStyle w:val="SinespaciadoCar"/>
          <w:rFonts w:ascii="Arial Narrow" w:hAnsi="Arial Narrow"/>
          <w:iCs/>
          <w:sz w:val="26"/>
          <w:szCs w:val="26"/>
          <w:lang w:val="es-ES_tradnl"/>
        </w:rPr>
        <w:t xml:space="preserve"> </w:t>
      </w:r>
      <w:r w:rsidR="00A50D5D" w:rsidRPr="00DE6F0A">
        <w:rPr>
          <w:rStyle w:val="Refdenotaalpie"/>
          <w:rFonts w:ascii="Arial Narrow" w:hAnsi="Arial Narrow"/>
          <w:iCs/>
          <w:sz w:val="26"/>
          <w:szCs w:val="26"/>
          <w:lang w:val="es-ES_tradnl"/>
        </w:rPr>
        <w:footnoteReference w:id="37"/>
      </w:r>
      <w:r w:rsidR="00D91B13" w:rsidRPr="00DE6F0A">
        <w:rPr>
          <w:rFonts w:ascii="Arial Narrow" w:hAnsi="Arial Narrow"/>
          <w:sz w:val="26"/>
          <w:szCs w:val="26"/>
        </w:rPr>
        <w:t>.</w:t>
      </w:r>
    </w:p>
    <w:p w14:paraId="39A5896B" w14:textId="2C4F20B5" w:rsidR="00D91B13" w:rsidRPr="00DE6F0A" w:rsidRDefault="00D91B13" w:rsidP="00DE6F0A">
      <w:pPr>
        <w:pStyle w:val="Sinespaciado"/>
        <w:spacing w:line="276" w:lineRule="auto"/>
        <w:jc w:val="both"/>
        <w:rPr>
          <w:rFonts w:ascii="Arial Narrow" w:hAnsi="Arial Narrow"/>
          <w:sz w:val="26"/>
          <w:szCs w:val="26"/>
          <w:lang w:val="es-CO"/>
        </w:rPr>
      </w:pPr>
    </w:p>
    <w:p w14:paraId="72A6952B" w14:textId="4C9CFBB6" w:rsidR="00045CE9" w:rsidRPr="00DE6F0A" w:rsidRDefault="00045CE9" w:rsidP="00DE6F0A">
      <w:pPr>
        <w:pStyle w:val="Sinespaciado"/>
        <w:spacing w:line="276" w:lineRule="auto"/>
        <w:jc w:val="both"/>
        <w:rPr>
          <w:rFonts w:ascii="Arial Narrow" w:hAnsi="Arial Narrow"/>
          <w:sz w:val="26"/>
          <w:szCs w:val="26"/>
          <w:lang w:val="es-CO"/>
        </w:rPr>
      </w:pPr>
      <w:r w:rsidRPr="00DE6F0A">
        <w:rPr>
          <w:rFonts w:ascii="Arial Narrow" w:hAnsi="Arial Narrow"/>
          <w:sz w:val="26"/>
          <w:szCs w:val="26"/>
          <w:lang w:val="es-CO"/>
        </w:rPr>
        <w:t xml:space="preserve">Su artículo 14, en materia de acceso y accesibilidad, consagró como manifestación directa de la igualdad material y con el objetivo de fomentar la vida autónoma e independiente de las personas con discapacidad, </w:t>
      </w:r>
      <w:r w:rsidR="008C6F64" w:rsidRPr="00DE6F0A">
        <w:rPr>
          <w:rFonts w:ascii="Arial Narrow" w:hAnsi="Arial Narrow"/>
          <w:sz w:val="26"/>
          <w:szCs w:val="26"/>
          <w:lang w:val="es-CO"/>
        </w:rPr>
        <w:t xml:space="preserve">que </w:t>
      </w:r>
      <w:r w:rsidRPr="00DE6F0A">
        <w:rPr>
          <w:rFonts w:ascii="Arial Narrow" w:hAnsi="Arial Narrow"/>
          <w:sz w:val="26"/>
          <w:szCs w:val="26"/>
          <w:lang w:val="es-CO"/>
        </w:rPr>
        <w:t xml:space="preserve">las entidades </w:t>
      </w:r>
      <w:r w:rsidR="008C6F64" w:rsidRPr="00DE6F0A">
        <w:rPr>
          <w:rFonts w:ascii="Arial Narrow" w:hAnsi="Arial Narrow"/>
          <w:sz w:val="26"/>
          <w:szCs w:val="26"/>
          <w:lang w:val="es-CO"/>
        </w:rPr>
        <w:t xml:space="preserve">deben </w:t>
      </w:r>
      <w:r w:rsidRPr="00DE6F0A">
        <w:rPr>
          <w:rFonts w:ascii="Arial Narrow" w:hAnsi="Arial Narrow"/>
          <w:sz w:val="26"/>
          <w:szCs w:val="26"/>
          <w:lang w:val="es-CO"/>
        </w:rPr>
        <w:t>garantizar el acceso de estas personas, en igualdad de condiciones, al entorno físico, al transporte, a la información y a las comunicaciones, incluidos los sistemas y tecnologías de la información y las comunicaciones, el espacio público, los bienes públicos, los lugares abiertos al público y los servicios públicos, tanto en zonas urbanas como rurales.</w:t>
      </w:r>
      <w:r w:rsidR="007B2C4B" w:rsidRPr="00DE6F0A">
        <w:rPr>
          <w:rFonts w:ascii="Arial Narrow" w:hAnsi="Arial Narrow"/>
          <w:sz w:val="26"/>
          <w:szCs w:val="26"/>
          <w:lang w:val="es-CO"/>
        </w:rPr>
        <w:t xml:space="preserve"> En ese mismo sentido, </w:t>
      </w:r>
      <w:r w:rsidR="003810D0" w:rsidRPr="00DE6F0A">
        <w:rPr>
          <w:rFonts w:ascii="Arial Narrow" w:hAnsi="Arial Narrow"/>
          <w:sz w:val="26"/>
          <w:szCs w:val="26"/>
          <w:lang w:val="es-CO"/>
        </w:rPr>
        <w:t xml:space="preserve">corresponde a las entidades públicas y privadas encargadas de la prestación de los servicios públicos, de cualquier naturaleza, tipo y nivel, desarrollar sus funciones, competencias, objetos sociales, y en general, todas las actividades, siguiendo los postulados del diseño universal, de manera que no se excluya o limite el acceso en condiciones de igualdad, en todo o en parte, a ninguna persona </w:t>
      </w:r>
      <w:r w:rsidR="00BE4A0C" w:rsidRPr="00DE6F0A">
        <w:rPr>
          <w:rFonts w:ascii="Arial Narrow" w:hAnsi="Arial Narrow"/>
          <w:sz w:val="26"/>
          <w:szCs w:val="26"/>
          <w:lang w:val="es-CO"/>
        </w:rPr>
        <w:t>debido a</w:t>
      </w:r>
      <w:r w:rsidR="003810D0" w:rsidRPr="00DE6F0A">
        <w:rPr>
          <w:rFonts w:ascii="Arial Narrow" w:hAnsi="Arial Narrow"/>
          <w:sz w:val="26"/>
          <w:szCs w:val="26"/>
          <w:lang w:val="es-CO"/>
        </w:rPr>
        <w:t xml:space="preserve"> su discapacidad. Para ello, dichas entidades deberán diseñar, implementar y financiar todos los ajustes razonables que sean necesarios para cumplir con los fines del artículo 9o de la Ley 1346 de 2009.</w:t>
      </w:r>
    </w:p>
    <w:p w14:paraId="2B00AFD9" w14:textId="77777777" w:rsidR="007B2C4B" w:rsidRPr="00DE6F0A" w:rsidRDefault="007B2C4B" w:rsidP="00DE6F0A">
      <w:pPr>
        <w:pStyle w:val="Sinespaciado"/>
        <w:spacing w:line="276" w:lineRule="auto"/>
        <w:jc w:val="both"/>
        <w:rPr>
          <w:rFonts w:ascii="Arial Narrow" w:hAnsi="Arial Narrow"/>
          <w:sz w:val="26"/>
          <w:szCs w:val="26"/>
          <w:lang w:val="es-CO"/>
        </w:rPr>
      </w:pPr>
    </w:p>
    <w:p w14:paraId="3CDE9D9B" w14:textId="18A1599B" w:rsidR="002E5975" w:rsidRPr="00DE6F0A" w:rsidRDefault="00DB59A2" w:rsidP="00DE6F0A">
      <w:pPr>
        <w:pStyle w:val="Sinespaciado"/>
        <w:spacing w:line="276" w:lineRule="auto"/>
        <w:jc w:val="both"/>
        <w:rPr>
          <w:rFonts w:ascii="Arial Narrow" w:hAnsi="Arial Narrow"/>
          <w:i/>
          <w:iCs/>
          <w:sz w:val="26"/>
          <w:szCs w:val="26"/>
        </w:rPr>
      </w:pPr>
      <w:r w:rsidRPr="00DE6F0A">
        <w:rPr>
          <w:rFonts w:ascii="Arial Narrow" w:hAnsi="Arial Narrow"/>
          <w:sz w:val="26"/>
          <w:szCs w:val="26"/>
        </w:rPr>
        <w:t xml:space="preserve">En el anterior marco luce </w:t>
      </w:r>
      <w:r w:rsidR="00C9073E" w:rsidRPr="00DE6F0A">
        <w:rPr>
          <w:rFonts w:ascii="Arial Narrow" w:hAnsi="Arial Narrow"/>
          <w:sz w:val="26"/>
          <w:szCs w:val="26"/>
        </w:rPr>
        <w:t>razonable</w:t>
      </w:r>
      <w:r w:rsidRPr="00DE6F0A">
        <w:rPr>
          <w:rFonts w:ascii="Arial Narrow" w:hAnsi="Arial Narrow"/>
          <w:sz w:val="26"/>
          <w:szCs w:val="26"/>
        </w:rPr>
        <w:t xml:space="preserve"> concluir </w:t>
      </w:r>
      <w:r w:rsidR="008C24CE" w:rsidRPr="00DE6F0A">
        <w:rPr>
          <w:rFonts w:ascii="Arial Narrow" w:hAnsi="Arial Narrow"/>
          <w:sz w:val="26"/>
          <w:szCs w:val="26"/>
        </w:rPr>
        <w:t>que el artículo 8</w:t>
      </w:r>
      <w:r w:rsidR="00120ECD" w:rsidRPr="00DE6F0A">
        <w:rPr>
          <w:rFonts w:ascii="Arial Narrow" w:hAnsi="Arial Narrow"/>
          <w:sz w:val="26"/>
          <w:szCs w:val="26"/>
        </w:rPr>
        <w:t xml:space="preserve"> de la Ley 982 de 2005, señalado como fundamento de la demanda de acción popular, contiene una </w:t>
      </w:r>
      <w:r w:rsidR="008C24CE" w:rsidRPr="00DE6F0A">
        <w:rPr>
          <w:rFonts w:ascii="Arial Narrow" w:hAnsi="Arial Narrow"/>
          <w:sz w:val="26"/>
          <w:szCs w:val="26"/>
        </w:rPr>
        <w:t>acción afirmativa</w:t>
      </w:r>
      <w:r w:rsidR="00F43DE5" w:rsidRPr="00DE6F0A">
        <w:rPr>
          <w:rStyle w:val="Refdenotaalpie"/>
          <w:rFonts w:ascii="Arial Narrow" w:hAnsi="Arial Narrow"/>
          <w:sz w:val="26"/>
          <w:szCs w:val="26"/>
        </w:rPr>
        <w:footnoteReference w:id="38"/>
      </w:r>
      <w:r w:rsidR="008C24CE" w:rsidRPr="00DE6F0A">
        <w:rPr>
          <w:rFonts w:ascii="Arial Narrow" w:hAnsi="Arial Narrow"/>
          <w:sz w:val="26"/>
          <w:szCs w:val="26"/>
        </w:rPr>
        <w:t xml:space="preserve"> impuesta por el</w:t>
      </w:r>
      <w:r w:rsidR="00120ECD" w:rsidRPr="00DE6F0A">
        <w:rPr>
          <w:rFonts w:ascii="Arial Narrow" w:hAnsi="Arial Narrow"/>
          <w:sz w:val="26"/>
          <w:szCs w:val="26"/>
        </w:rPr>
        <w:t xml:space="preserve"> legislador </w:t>
      </w:r>
      <w:r w:rsidR="008C24CE" w:rsidRPr="00DE6F0A">
        <w:rPr>
          <w:rFonts w:ascii="Arial Narrow" w:hAnsi="Arial Narrow"/>
          <w:sz w:val="26"/>
          <w:szCs w:val="26"/>
        </w:rPr>
        <w:t>a las entidades públicas y a los particulares que presten servicios públicos,</w:t>
      </w:r>
      <w:r w:rsidR="00CE2896" w:rsidRPr="00DE6F0A">
        <w:rPr>
          <w:rFonts w:ascii="Arial Narrow" w:hAnsi="Arial Narrow"/>
          <w:sz w:val="26"/>
          <w:szCs w:val="26"/>
        </w:rPr>
        <w:t xml:space="preserve"> o que ofrezcan servicios al público,</w:t>
      </w:r>
      <w:r w:rsidR="008C24CE" w:rsidRPr="00DE6F0A">
        <w:rPr>
          <w:rFonts w:ascii="Arial Narrow" w:hAnsi="Arial Narrow"/>
          <w:sz w:val="26"/>
          <w:szCs w:val="26"/>
        </w:rPr>
        <w:t xml:space="preserve"> </w:t>
      </w:r>
      <w:r w:rsidR="00120ECD" w:rsidRPr="00DE6F0A">
        <w:rPr>
          <w:rFonts w:ascii="Arial Narrow" w:hAnsi="Arial Narrow"/>
          <w:sz w:val="26"/>
          <w:szCs w:val="26"/>
        </w:rPr>
        <w:t xml:space="preserve">y </w:t>
      </w:r>
      <w:r w:rsidR="008C24CE" w:rsidRPr="00DE6F0A">
        <w:rPr>
          <w:rFonts w:ascii="Arial Narrow" w:hAnsi="Arial Narrow"/>
          <w:sz w:val="26"/>
          <w:szCs w:val="26"/>
        </w:rPr>
        <w:t xml:space="preserve">consiste en la incorporación en sus programas de atención al cliente, </w:t>
      </w:r>
      <w:r w:rsidR="00120ECD" w:rsidRPr="00DE6F0A">
        <w:rPr>
          <w:rFonts w:ascii="Arial Narrow" w:hAnsi="Arial Narrow"/>
          <w:sz w:val="26"/>
          <w:szCs w:val="26"/>
        </w:rPr>
        <w:t>d</w:t>
      </w:r>
      <w:r w:rsidR="008C24CE" w:rsidRPr="00DE6F0A">
        <w:rPr>
          <w:rFonts w:ascii="Arial Narrow" w:hAnsi="Arial Narrow"/>
          <w:sz w:val="26"/>
          <w:szCs w:val="26"/>
        </w:rPr>
        <w:t>el servicio de intérprete y</w:t>
      </w:r>
      <w:r w:rsidR="00120ECD" w:rsidRPr="00DE6F0A">
        <w:rPr>
          <w:rFonts w:ascii="Arial Narrow" w:hAnsi="Arial Narrow"/>
          <w:sz w:val="26"/>
          <w:szCs w:val="26"/>
        </w:rPr>
        <w:t xml:space="preserve"> de</w:t>
      </w:r>
      <w:r w:rsidR="008C24CE" w:rsidRPr="00DE6F0A">
        <w:rPr>
          <w:rFonts w:ascii="Arial Narrow" w:hAnsi="Arial Narrow"/>
          <w:sz w:val="26"/>
          <w:szCs w:val="26"/>
        </w:rPr>
        <w:t xml:space="preserve"> guía de intérprete</w:t>
      </w:r>
      <w:r w:rsidR="00A2607D" w:rsidRPr="00DE6F0A">
        <w:rPr>
          <w:rFonts w:ascii="Arial Narrow" w:hAnsi="Arial Narrow"/>
          <w:sz w:val="26"/>
          <w:szCs w:val="26"/>
        </w:rPr>
        <w:t>, como forma de propender “</w:t>
      </w:r>
      <w:r w:rsidR="00A2607D" w:rsidRPr="0062008E">
        <w:rPr>
          <w:rFonts w:ascii="Arial Narrow" w:hAnsi="Arial Narrow"/>
          <w:i/>
          <w:iCs/>
          <w:sz w:val="24"/>
          <w:szCs w:val="26"/>
        </w:rPr>
        <w:t>por su inclusión social y acercamiento a los servicios públicos a los cuales tiene acceso cualquier persona del común que no padece de ningún tipo de discapacidad. Por ello el trato preferencial se presenta como el medio eficaz para equipararlos con el resto de la sociedad y así permitirles vivir en forma independiente y participar plenamente en todos los aspectos de la vida</w:t>
      </w:r>
      <w:r w:rsidR="00A2607D" w:rsidRPr="00DE6F0A">
        <w:rPr>
          <w:rFonts w:ascii="Arial Narrow" w:hAnsi="Arial Narrow"/>
          <w:i/>
          <w:iCs/>
          <w:sz w:val="26"/>
          <w:szCs w:val="26"/>
        </w:rPr>
        <w:t>”</w:t>
      </w:r>
      <w:r w:rsidR="00A2607D" w:rsidRPr="00DE6F0A">
        <w:rPr>
          <w:rStyle w:val="Refdenotaalpie"/>
          <w:rFonts w:ascii="Arial Narrow" w:hAnsi="Arial Narrow"/>
          <w:i/>
          <w:iCs/>
          <w:sz w:val="26"/>
          <w:szCs w:val="26"/>
        </w:rPr>
        <w:footnoteReference w:id="39"/>
      </w:r>
      <w:r w:rsidR="00C42D77" w:rsidRPr="00DE6F0A">
        <w:rPr>
          <w:rFonts w:ascii="Arial Narrow" w:hAnsi="Arial Narrow"/>
          <w:i/>
          <w:iCs/>
          <w:sz w:val="26"/>
          <w:szCs w:val="26"/>
        </w:rPr>
        <w:t>.</w:t>
      </w:r>
    </w:p>
    <w:p w14:paraId="386130D6" w14:textId="039B412C" w:rsidR="00150BCE" w:rsidRPr="00DE6F0A" w:rsidRDefault="00150BCE" w:rsidP="00DE6F0A">
      <w:pPr>
        <w:pStyle w:val="Sinespaciado"/>
        <w:spacing w:line="276" w:lineRule="auto"/>
        <w:jc w:val="both"/>
        <w:rPr>
          <w:rFonts w:ascii="Arial Narrow" w:hAnsi="Arial Narrow"/>
          <w:i/>
          <w:iCs/>
          <w:sz w:val="26"/>
          <w:szCs w:val="26"/>
        </w:rPr>
      </w:pPr>
    </w:p>
    <w:p w14:paraId="761FF26C" w14:textId="30634E26" w:rsidR="00150BCE" w:rsidRPr="00DE6F0A" w:rsidRDefault="00E11349"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9</w:t>
      </w:r>
      <w:r w:rsidR="00150BCE" w:rsidRPr="00DE6F0A">
        <w:rPr>
          <w:rFonts w:ascii="Arial Narrow" w:hAnsi="Arial Narrow"/>
          <w:b/>
          <w:bCs/>
          <w:sz w:val="26"/>
          <w:szCs w:val="26"/>
        </w:rPr>
        <w:t>.</w:t>
      </w:r>
      <w:r w:rsidR="00150BCE" w:rsidRPr="00DE6F0A">
        <w:rPr>
          <w:rFonts w:ascii="Arial Narrow" w:hAnsi="Arial Narrow"/>
          <w:i/>
          <w:iCs/>
          <w:sz w:val="26"/>
          <w:szCs w:val="26"/>
        </w:rPr>
        <w:t xml:space="preserve"> </w:t>
      </w:r>
      <w:r w:rsidR="00150BCE" w:rsidRPr="00DE6F0A">
        <w:rPr>
          <w:rFonts w:ascii="Arial Narrow" w:hAnsi="Arial Narrow"/>
          <w:sz w:val="26"/>
          <w:szCs w:val="26"/>
        </w:rPr>
        <w:t xml:space="preserve">Realizado el anterior recuento normativo, necesario en el caso concreto </w:t>
      </w:r>
      <w:r w:rsidR="00B344D2" w:rsidRPr="00DE6F0A">
        <w:rPr>
          <w:rFonts w:ascii="Arial Narrow" w:hAnsi="Arial Narrow"/>
          <w:sz w:val="26"/>
          <w:szCs w:val="26"/>
        </w:rPr>
        <w:t>a fin de</w:t>
      </w:r>
      <w:r w:rsidR="00150BCE" w:rsidRPr="00DE6F0A">
        <w:rPr>
          <w:rFonts w:ascii="Arial Narrow" w:hAnsi="Arial Narrow"/>
          <w:sz w:val="26"/>
          <w:szCs w:val="26"/>
        </w:rPr>
        <w:t xml:space="preserve"> contextualizar las órdenes impugnadas ante el déficit argumentativo que la sentencia apelada acusa al respecto, es preciso </w:t>
      </w:r>
      <w:r w:rsidR="004E12B0" w:rsidRPr="00DE6F0A">
        <w:rPr>
          <w:rFonts w:ascii="Arial Narrow" w:hAnsi="Arial Narrow"/>
          <w:sz w:val="26"/>
          <w:szCs w:val="26"/>
        </w:rPr>
        <w:t>despachar el reparo propuesto por el acciona</w:t>
      </w:r>
      <w:r w:rsidR="0095486A" w:rsidRPr="00DE6F0A">
        <w:rPr>
          <w:rFonts w:ascii="Arial Narrow" w:hAnsi="Arial Narrow"/>
          <w:sz w:val="26"/>
          <w:szCs w:val="26"/>
        </w:rPr>
        <w:t>do</w:t>
      </w:r>
      <w:r w:rsidR="004E12B0" w:rsidRPr="00DE6F0A">
        <w:rPr>
          <w:rFonts w:ascii="Arial Narrow" w:hAnsi="Arial Narrow"/>
          <w:sz w:val="26"/>
          <w:szCs w:val="26"/>
        </w:rPr>
        <w:t>, advirtiendo de una vez que el mismo carece de vocación de prosperidad como pasa a señalarse.</w:t>
      </w:r>
    </w:p>
    <w:p w14:paraId="68DE6E6E" w14:textId="383F667A" w:rsidR="004E12B0" w:rsidRPr="00DE6F0A" w:rsidRDefault="004E12B0" w:rsidP="00DE6F0A">
      <w:pPr>
        <w:pStyle w:val="Sinespaciado"/>
        <w:spacing w:line="276" w:lineRule="auto"/>
        <w:jc w:val="both"/>
        <w:rPr>
          <w:rFonts w:ascii="Arial Narrow" w:hAnsi="Arial Narrow"/>
          <w:sz w:val="26"/>
          <w:szCs w:val="26"/>
        </w:rPr>
      </w:pPr>
    </w:p>
    <w:p w14:paraId="38120750" w14:textId="18355C41" w:rsidR="00BF786B" w:rsidRPr="00DE6F0A" w:rsidRDefault="004E12B0" w:rsidP="00DE6F0A">
      <w:pPr>
        <w:pStyle w:val="Sinespaciado"/>
        <w:spacing w:line="276" w:lineRule="auto"/>
        <w:jc w:val="both"/>
        <w:rPr>
          <w:rFonts w:ascii="Arial Narrow" w:hAnsi="Arial Narrow"/>
          <w:sz w:val="26"/>
          <w:szCs w:val="26"/>
        </w:rPr>
      </w:pPr>
      <w:r w:rsidRPr="00DE6F0A">
        <w:rPr>
          <w:rFonts w:ascii="Arial Narrow" w:hAnsi="Arial Narrow"/>
          <w:sz w:val="26"/>
          <w:szCs w:val="26"/>
        </w:rPr>
        <w:lastRenderedPageBreak/>
        <w:t>Se recuerd</w:t>
      </w:r>
      <w:r w:rsidR="00BF786B" w:rsidRPr="00DE6F0A">
        <w:rPr>
          <w:rFonts w:ascii="Arial Narrow" w:hAnsi="Arial Narrow"/>
          <w:sz w:val="26"/>
          <w:szCs w:val="26"/>
        </w:rPr>
        <w:t>a</w:t>
      </w:r>
      <w:r w:rsidRPr="00DE6F0A">
        <w:rPr>
          <w:rFonts w:ascii="Arial Narrow" w:hAnsi="Arial Narrow"/>
          <w:sz w:val="26"/>
          <w:szCs w:val="26"/>
        </w:rPr>
        <w:t xml:space="preserve"> que, en lo toral, el argumento de alzada, sustentado en segunda instancia, se redujo a señalar que la accionada da cumplimiento al artículo 8 de la Ley 982 de 2005</w:t>
      </w:r>
      <w:r w:rsidR="00BF786B" w:rsidRPr="00DE6F0A">
        <w:rPr>
          <w:rFonts w:ascii="Arial Narrow" w:hAnsi="Arial Narrow"/>
          <w:bCs/>
          <w:sz w:val="26"/>
          <w:szCs w:val="26"/>
        </w:rPr>
        <w:t xml:space="preserve"> </w:t>
      </w:r>
      <w:r w:rsidR="00BF786B" w:rsidRPr="00DE6F0A">
        <w:rPr>
          <w:rFonts w:ascii="Arial Narrow" w:hAnsi="Arial Narrow"/>
          <w:bCs/>
          <w:sz w:val="26"/>
          <w:szCs w:val="26"/>
          <w:u w:val="single"/>
        </w:rPr>
        <w:t>a</w:t>
      </w:r>
      <w:r w:rsidR="00FC0AC8" w:rsidRPr="00DE6F0A">
        <w:rPr>
          <w:rFonts w:ascii="Arial Narrow" w:hAnsi="Arial Narrow"/>
          <w:bCs/>
          <w:sz w:val="26"/>
          <w:szCs w:val="26"/>
          <w:u w:val="single"/>
        </w:rPr>
        <w:t xml:space="preserve"> partir del uso de</w:t>
      </w:r>
      <w:r w:rsidR="00BF786B" w:rsidRPr="00DE6F0A">
        <w:rPr>
          <w:rFonts w:ascii="Arial Narrow" w:hAnsi="Arial Narrow"/>
          <w:bCs/>
          <w:sz w:val="26"/>
          <w:szCs w:val="26"/>
          <w:u w:val="single"/>
        </w:rPr>
        <w:t xml:space="preserve"> plataformas y herramientas tecnológicas</w:t>
      </w:r>
      <w:r w:rsidR="00FC0AC8" w:rsidRPr="00DE6F0A">
        <w:rPr>
          <w:rFonts w:ascii="Arial Narrow" w:hAnsi="Arial Narrow"/>
          <w:bCs/>
          <w:sz w:val="26"/>
          <w:szCs w:val="26"/>
          <w:u w:val="single"/>
        </w:rPr>
        <w:t>,</w:t>
      </w:r>
      <w:r w:rsidR="00BF786B" w:rsidRPr="00DE6F0A">
        <w:rPr>
          <w:rFonts w:ascii="Arial Narrow" w:hAnsi="Arial Narrow"/>
          <w:bCs/>
          <w:sz w:val="26"/>
          <w:szCs w:val="26"/>
          <w:u w:val="single"/>
        </w:rPr>
        <w:t xml:space="preserve"> como el Centro de Relevo, que funciona en los centros de atención farmacéutica con diadema y cámara web.</w:t>
      </w:r>
      <w:r w:rsidR="006E693A" w:rsidRPr="00DE6F0A">
        <w:rPr>
          <w:rFonts w:ascii="Arial Narrow" w:hAnsi="Arial Narrow"/>
          <w:sz w:val="26"/>
          <w:szCs w:val="26"/>
        </w:rPr>
        <w:t xml:space="preserve"> En adición, Audifarma ha generado directrices, medidas, instrucciones y capacitaciones para que haya una atención especial y personalizada, y ha dotado sus instalaciones de juegos de señales y combinación de diversas estrategias para mejorar la atención</w:t>
      </w:r>
      <w:r w:rsidR="006A792A" w:rsidRPr="00DE6F0A">
        <w:rPr>
          <w:rFonts w:ascii="Arial Narrow" w:hAnsi="Arial Narrow"/>
          <w:sz w:val="26"/>
          <w:szCs w:val="26"/>
        </w:rPr>
        <w:t>.</w:t>
      </w:r>
    </w:p>
    <w:p w14:paraId="5220E8ED" w14:textId="5394B898" w:rsidR="006A792A" w:rsidRPr="00DE6F0A" w:rsidRDefault="006A792A" w:rsidP="00DE6F0A">
      <w:pPr>
        <w:pStyle w:val="Sinespaciado"/>
        <w:spacing w:line="276" w:lineRule="auto"/>
        <w:jc w:val="both"/>
        <w:rPr>
          <w:rFonts w:ascii="Arial Narrow" w:hAnsi="Arial Narrow"/>
          <w:sz w:val="26"/>
          <w:szCs w:val="26"/>
        </w:rPr>
      </w:pPr>
    </w:p>
    <w:p w14:paraId="0B7A79A9" w14:textId="415FBC15" w:rsidR="006A792A" w:rsidRPr="00DE6F0A" w:rsidRDefault="00DE02F6" w:rsidP="00DE6F0A">
      <w:pPr>
        <w:pStyle w:val="Sinespaciado"/>
        <w:spacing w:line="276" w:lineRule="auto"/>
        <w:jc w:val="both"/>
        <w:rPr>
          <w:rFonts w:ascii="Arial Narrow" w:hAnsi="Arial Narrow"/>
          <w:sz w:val="26"/>
          <w:szCs w:val="26"/>
        </w:rPr>
      </w:pPr>
      <w:r w:rsidRPr="00DE6F0A">
        <w:rPr>
          <w:rFonts w:ascii="Arial Narrow" w:hAnsi="Arial Narrow"/>
          <w:sz w:val="26"/>
          <w:szCs w:val="26"/>
        </w:rPr>
        <w:t>T</w:t>
      </w:r>
      <w:r w:rsidR="006A792A" w:rsidRPr="00DE6F0A">
        <w:rPr>
          <w:rFonts w:ascii="Arial Narrow" w:hAnsi="Arial Narrow"/>
          <w:sz w:val="26"/>
          <w:szCs w:val="26"/>
        </w:rPr>
        <w:t>odas esas aseveraciones</w:t>
      </w:r>
      <w:r w:rsidRPr="00DE6F0A">
        <w:rPr>
          <w:rFonts w:ascii="Arial Narrow" w:hAnsi="Arial Narrow"/>
          <w:sz w:val="26"/>
          <w:szCs w:val="26"/>
        </w:rPr>
        <w:t xml:space="preserve"> carecen de prueba </w:t>
      </w:r>
      <w:r w:rsidR="00D55275" w:rsidRPr="00DE6F0A">
        <w:rPr>
          <w:rFonts w:ascii="Arial Narrow" w:hAnsi="Arial Narrow"/>
          <w:sz w:val="26"/>
          <w:szCs w:val="26"/>
        </w:rPr>
        <w:t>que</w:t>
      </w:r>
      <w:r w:rsidR="000F503A" w:rsidRPr="00DE6F0A">
        <w:rPr>
          <w:rFonts w:ascii="Arial Narrow" w:hAnsi="Arial Narrow"/>
          <w:sz w:val="26"/>
          <w:szCs w:val="26"/>
        </w:rPr>
        <w:t>,</w:t>
      </w:r>
      <w:r w:rsidR="00D55275" w:rsidRPr="00DE6F0A">
        <w:rPr>
          <w:rFonts w:ascii="Arial Narrow" w:hAnsi="Arial Narrow"/>
          <w:sz w:val="26"/>
          <w:szCs w:val="26"/>
        </w:rPr>
        <w:t xml:space="preserve"> </w:t>
      </w:r>
      <w:r w:rsidR="007E4F29" w:rsidRPr="00DE6F0A">
        <w:rPr>
          <w:rFonts w:ascii="Arial Narrow" w:hAnsi="Arial Narrow"/>
          <w:sz w:val="26"/>
          <w:szCs w:val="26"/>
        </w:rPr>
        <w:t>oportunamente</w:t>
      </w:r>
      <w:r w:rsidR="00D55275" w:rsidRPr="00DE6F0A">
        <w:rPr>
          <w:rFonts w:ascii="Arial Narrow" w:hAnsi="Arial Narrow"/>
          <w:sz w:val="26"/>
          <w:szCs w:val="26"/>
        </w:rPr>
        <w:t xml:space="preserve"> </w:t>
      </w:r>
      <w:r w:rsidR="007E4F29" w:rsidRPr="00DE6F0A">
        <w:rPr>
          <w:rFonts w:ascii="Arial Narrow" w:hAnsi="Arial Narrow"/>
          <w:sz w:val="26"/>
          <w:szCs w:val="26"/>
        </w:rPr>
        <w:t>aportada a</w:t>
      </w:r>
      <w:r w:rsidRPr="00DE6F0A">
        <w:rPr>
          <w:rFonts w:ascii="Arial Narrow" w:hAnsi="Arial Narrow"/>
          <w:sz w:val="26"/>
          <w:szCs w:val="26"/>
        </w:rPr>
        <w:t>l expediente</w:t>
      </w:r>
      <w:r w:rsidR="007E4F29" w:rsidRPr="00DE6F0A">
        <w:rPr>
          <w:rFonts w:ascii="Arial Narrow" w:hAnsi="Arial Narrow"/>
          <w:sz w:val="26"/>
          <w:szCs w:val="26"/>
        </w:rPr>
        <w:t>,</w:t>
      </w:r>
      <w:r w:rsidR="000F503A" w:rsidRPr="00DE6F0A">
        <w:rPr>
          <w:rFonts w:ascii="Arial Narrow" w:hAnsi="Arial Narrow"/>
          <w:sz w:val="26"/>
          <w:szCs w:val="26"/>
        </w:rPr>
        <w:t xml:space="preserve"> las respalde,</w:t>
      </w:r>
      <w:r w:rsidR="007E4F29" w:rsidRPr="00DE6F0A">
        <w:rPr>
          <w:rFonts w:ascii="Arial Narrow" w:hAnsi="Arial Narrow"/>
          <w:sz w:val="26"/>
          <w:szCs w:val="26"/>
        </w:rPr>
        <w:t xml:space="preserve"> </w:t>
      </w:r>
      <w:r w:rsidR="00D55275" w:rsidRPr="00DE6F0A">
        <w:rPr>
          <w:rFonts w:ascii="Arial Narrow" w:hAnsi="Arial Narrow"/>
          <w:sz w:val="26"/>
          <w:szCs w:val="26"/>
        </w:rPr>
        <w:t>luego no resultan suficientes para</w:t>
      </w:r>
      <w:r w:rsidR="007E4F29" w:rsidRPr="00DE6F0A">
        <w:rPr>
          <w:rFonts w:ascii="Arial Narrow" w:hAnsi="Arial Narrow"/>
          <w:sz w:val="26"/>
          <w:szCs w:val="26"/>
        </w:rPr>
        <w:t xml:space="preserve"> soportar </w:t>
      </w:r>
      <w:r w:rsidR="002951D5" w:rsidRPr="00DE6F0A">
        <w:rPr>
          <w:rFonts w:ascii="Arial Narrow" w:hAnsi="Arial Narrow"/>
          <w:sz w:val="26"/>
          <w:szCs w:val="26"/>
        </w:rPr>
        <w:t>la revocatoria de lo decidido por el juzgado de primera instancia.</w:t>
      </w:r>
    </w:p>
    <w:p w14:paraId="07F0A250" w14:textId="358F8C90" w:rsidR="00DE02F6" w:rsidRPr="00DE6F0A" w:rsidRDefault="00DE02F6" w:rsidP="00DE6F0A">
      <w:pPr>
        <w:pStyle w:val="Sinespaciado"/>
        <w:spacing w:line="276" w:lineRule="auto"/>
        <w:jc w:val="both"/>
        <w:rPr>
          <w:rFonts w:ascii="Arial Narrow" w:hAnsi="Arial Narrow"/>
          <w:sz w:val="26"/>
          <w:szCs w:val="26"/>
        </w:rPr>
      </w:pPr>
    </w:p>
    <w:p w14:paraId="5F103E50" w14:textId="15098B52" w:rsidR="00DE02F6" w:rsidRPr="00DE6F0A" w:rsidRDefault="00DE02F6"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Sobre la prestación del servicio farmacéutico en los lugares señalados </w:t>
      </w:r>
      <w:r w:rsidR="006322F5" w:rsidRPr="00DE6F0A">
        <w:rPr>
          <w:rFonts w:ascii="Arial Narrow" w:hAnsi="Arial Narrow"/>
          <w:sz w:val="26"/>
          <w:szCs w:val="26"/>
        </w:rPr>
        <w:t xml:space="preserve">por el actor popular, </w:t>
      </w:r>
      <w:r w:rsidR="00297029" w:rsidRPr="00DE6F0A">
        <w:rPr>
          <w:rFonts w:ascii="Arial Narrow" w:hAnsi="Arial Narrow"/>
          <w:sz w:val="26"/>
          <w:szCs w:val="26"/>
        </w:rPr>
        <w:t xml:space="preserve">luego </w:t>
      </w:r>
      <w:r w:rsidRPr="00DE6F0A">
        <w:rPr>
          <w:rFonts w:ascii="Arial Narrow" w:hAnsi="Arial Narrow"/>
          <w:sz w:val="26"/>
          <w:szCs w:val="26"/>
        </w:rPr>
        <w:t>corregido</w:t>
      </w:r>
      <w:r w:rsidR="006322F5" w:rsidRPr="00DE6F0A">
        <w:rPr>
          <w:rFonts w:ascii="Arial Narrow" w:hAnsi="Arial Narrow"/>
          <w:sz w:val="26"/>
          <w:szCs w:val="26"/>
        </w:rPr>
        <w:t>s</w:t>
      </w:r>
      <w:r w:rsidR="00297029" w:rsidRPr="00DE6F0A">
        <w:rPr>
          <w:rFonts w:ascii="Arial Narrow" w:hAnsi="Arial Narrow"/>
          <w:sz w:val="26"/>
          <w:szCs w:val="26"/>
        </w:rPr>
        <w:t xml:space="preserve"> </w:t>
      </w:r>
      <w:r w:rsidRPr="00DE6F0A">
        <w:rPr>
          <w:rFonts w:ascii="Arial Narrow" w:hAnsi="Arial Narrow"/>
          <w:sz w:val="26"/>
          <w:szCs w:val="26"/>
        </w:rPr>
        <w:t>por la accionada,</w:t>
      </w:r>
      <w:r w:rsidR="00124BA7" w:rsidRPr="00DE6F0A">
        <w:rPr>
          <w:rFonts w:ascii="Arial Narrow" w:hAnsi="Arial Narrow"/>
          <w:sz w:val="26"/>
          <w:szCs w:val="26"/>
        </w:rPr>
        <w:t xml:space="preserve"> sin dar cumplimiento a lo señalado en la norma indicada</w:t>
      </w:r>
      <w:r w:rsidR="00FC6777" w:rsidRPr="00DE6F0A">
        <w:rPr>
          <w:rFonts w:ascii="Arial Narrow" w:hAnsi="Arial Narrow"/>
          <w:sz w:val="26"/>
          <w:szCs w:val="26"/>
        </w:rPr>
        <w:t>, se advierte que la convocada al atender el proceso</w:t>
      </w:r>
      <w:r w:rsidR="00124BA7" w:rsidRPr="00DE6F0A">
        <w:rPr>
          <w:rFonts w:ascii="Arial Narrow" w:hAnsi="Arial Narrow"/>
          <w:sz w:val="26"/>
          <w:szCs w:val="26"/>
        </w:rPr>
        <w:t xml:space="preserve"> </w:t>
      </w:r>
      <w:r w:rsidR="006322F5" w:rsidRPr="00DE6F0A">
        <w:rPr>
          <w:rFonts w:ascii="Arial Narrow" w:hAnsi="Arial Narrow"/>
          <w:sz w:val="26"/>
          <w:szCs w:val="26"/>
        </w:rPr>
        <w:t>no</w:t>
      </w:r>
      <w:r w:rsidR="00124BA7" w:rsidRPr="00DE6F0A">
        <w:rPr>
          <w:rFonts w:ascii="Arial Narrow" w:hAnsi="Arial Narrow"/>
          <w:sz w:val="26"/>
          <w:szCs w:val="26"/>
        </w:rPr>
        <w:t xml:space="preserve"> </w:t>
      </w:r>
      <w:r w:rsidR="00FC6777" w:rsidRPr="00DE6F0A">
        <w:rPr>
          <w:rFonts w:ascii="Arial Narrow" w:hAnsi="Arial Narrow"/>
          <w:sz w:val="26"/>
          <w:szCs w:val="26"/>
        </w:rPr>
        <w:t xml:space="preserve">lo </w:t>
      </w:r>
      <w:r w:rsidR="00124BA7" w:rsidRPr="00DE6F0A">
        <w:rPr>
          <w:rFonts w:ascii="Arial Narrow" w:hAnsi="Arial Narrow"/>
          <w:sz w:val="26"/>
          <w:szCs w:val="26"/>
        </w:rPr>
        <w:t>negó</w:t>
      </w:r>
      <w:r w:rsidR="000C28C1" w:rsidRPr="00DE6F0A">
        <w:rPr>
          <w:rFonts w:ascii="Arial Narrow" w:hAnsi="Arial Narrow"/>
          <w:sz w:val="26"/>
          <w:szCs w:val="26"/>
        </w:rPr>
        <w:t xml:space="preserve">; se limitó a </w:t>
      </w:r>
      <w:r w:rsidR="001A59B9" w:rsidRPr="00DE6F0A">
        <w:rPr>
          <w:rFonts w:ascii="Arial Narrow" w:hAnsi="Arial Narrow"/>
          <w:sz w:val="26"/>
          <w:szCs w:val="26"/>
        </w:rPr>
        <w:t>reprochar su</w:t>
      </w:r>
      <w:r w:rsidR="00124BA7" w:rsidRPr="00DE6F0A">
        <w:rPr>
          <w:rFonts w:ascii="Arial Narrow" w:hAnsi="Arial Narrow"/>
          <w:sz w:val="26"/>
          <w:szCs w:val="26"/>
        </w:rPr>
        <w:t xml:space="preserve"> obligación de acatar </w:t>
      </w:r>
      <w:r w:rsidR="001A59B9" w:rsidRPr="00DE6F0A">
        <w:rPr>
          <w:rFonts w:ascii="Arial Narrow" w:hAnsi="Arial Narrow"/>
          <w:sz w:val="26"/>
          <w:szCs w:val="26"/>
        </w:rPr>
        <w:t>tal</w:t>
      </w:r>
      <w:r w:rsidR="00124BA7" w:rsidRPr="00DE6F0A">
        <w:rPr>
          <w:rFonts w:ascii="Arial Narrow" w:hAnsi="Arial Narrow"/>
          <w:sz w:val="26"/>
          <w:szCs w:val="26"/>
        </w:rPr>
        <w:t xml:space="preserve"> </w:t>
      </w:r>
      <w:r w:rsidR="00FB334F" w:rsidRPr="00DE6F0A">
        <w:rPr>
          <w:rFonts w:ascii="Arial Narrow" w:hAnsi="Arial Narrow"/>
          <w:sz w:val="26"/>
          <w:szCs w:val="26"/>
        </w:rPr>
        <w:t>precepto</w:t>
      </w:r>
      <w:r w:rsidR="000C28C1" w:rsidRPr="00DE6F0A">
        <w:rPr>
          <w:rFonts w:ascii="Arial Narrow" w:hAnsi="Arial Narrow"/>
          <w:sz w:val="26"/>
          <w:szCs w:val="26"/>
        </w:rPr>
        <w:t xml:space="preserve"> normativo</w:t>
      </w:r>
      <w:r w:rsidR="00FB334F" w:rsidRPr="00DE6F0A">
        <w:rPr>
          <w:rFonts w:ascii="Arial Narrow" w:hAnsi="Arial Narrow"/>
          <w:sz w:val="26"/>
          <w:szCs w:val="26"/>
        </w:rPr>
        <w:t xml:space="preserve">, </w:t>
      </w:r>
      <w:r w:rsidR="001A59B9" w:rsidRPr="00DE6F0A">
        <w:rPr>
          <w:rFonts w:ascii="Arial Narrow" w:hAnsi="Arial Narrow"/>
          <w:sz w:val="26"/>
          <w:szCs w:val="26"/>
        </w:rPr>
        <w:t xml:space="preserve">para </w:t>
      </w:r>
      <w:r w:rsidR="00FB334F" w:rsidRPr="00DE6F0A">
        <w:rPr>
          <w:rFonts w:ascii="Arial Narrow" w:hAnsi="Arial Narrow"/>
          <w:sz w:val="26"/>
          <w:szCs w:val="26"/>
        </w:rPr>
        <w:t>luego señal</w:t>
      </w:r>
      <w:r w:rsidR="001A59B9" w:rsidRPr="00DE6F0A">
        <w:rPr>
          <w:rFonts w:ascii="Arial Narrow" w:hAnsi="Arial Narrow"/>
          <w:sz w:val="26"/>
          <w:szCs w:val="26"/>
        </w:rPr>
        <w:t>ar</w:t>
      </w:r>
      <w:r w:rsidR="00FB334F" w:rsidRPr="00DE6F0A">
        <w:rPr>
          <w:rFonts w:ascii="Arial Narrow" w:hAnsi="Arial Narrow"/>
          <w:sz w:val="26"/>
          <w:szCs w:val="26"/>
        </w:rPr>
        <w:t xml:space="preserve"> que lo cumple a través del mecanismo “centro de relevo”</w:t>
      </w:r>
      <w:r w:rsidR="00911221" w:rsidRPr="00DE6F0A">
        <w:rPr>
          <w:rFonts w:ascii="Arial Narrow" w:hAnsi="Arial Narrow"/>
          <w:sz w:val="26"/>
          <w:szCs w:val="26"/>
        </w:rPr>
        <w:t>.</w:t>
      </w:r>
    </w:p>
    <w:p w14:paraId="64AED270" w14:textId="21CBFE5D" w:rsidR="002951D5" w:rsidRPr="00DE6F0A" w:rsidRDefault="002951D5" w:rsidP="00DE6F0A">
      <w:pPr>
        <w:pStyle w:val="Sinespaciado"/>
        <w:spacing w:line="276" w:lineRule="auto"/>
        <w:jc w:val="both"/>
        <w:rPr>
          <w:rFonts w:ascii="Arial Narrow" w:hAnsi="Arial Narrow"/>
          <w:sz w:val="26"/>
          <w:szCs w:val="26"/>
        </w:rPr>
      </w:pPr>
    </w:p>
    <w:p w14:paraId="29E9E9F0" w14:textId="02FF3ED0" w:rsidR="002951D5" w:rsidRPr="00DE6F0A" w:rsidRDefault="002951D5"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Sin embargo, </w:t>
      </w:r>
      <w:r w:rsidR="004D53CC" w:rsidRPr="00DE6F0A">
        <w:rPr>
          <w:rFonts w:ascii="Arial Narrow" w:hAnsi="Arial Narrow"/>
          <w:sz w:val="26"/>
          <w:szCs w:val="26"/>
        </w:rPr>
        <w:t>ninguna prueba aportó la defensa al contestar la demanda, ni en el periodo probatorio, ni en la oportunidad contemplada de manera excepcional en la segunda instancia, para acreditar el funcionamiento del denominado “centro de relevo” en cada un</w:t>
      </w:r>
      <w:r w:rsidR="00D96976" w:rsidRPr="00DE6F0A">
        <w:rPr>
          <w:rFonts w:ascii="Arial Narrow" w:hAnsi="Arial Narrow"/>
          <w:sz w:val="26"/>
          <w:szCs w:val="26"/>
        </w:rPr>
        <w:t>o</w:t>
      </w:r>
      <w:r w:rsidR="004D53CC" w:rsidRPr="00DE6F0A">
        <w:rPr>
          <w:rFonts w:ascii="Arial Narrow" w:hAnsi="Arial Narrow"/>
          <w:sz w:val="26"/>
          <w:szCs w:val="26"/>
        </w:rPr>
        <w:t xml:space="preserve"> de los lugares que motivaron </w:t>
      </w:r>
      <w:r w:rsidR="00212DA8" w:rsidRPr="00DE6F0A">
        <w:rPr>
          <w:rFonts w:ascii="Arial Narrow" w:hAnsi="Arial Narrow"/>
          <w:sz w:val="26"/>
          <w:szCs w:val="26"/>
        </w:rPr>
        <w:t>este trámite</w:t>
      </w:r>
      <w:r w:rsidR="004D53CC" w:rsidRPr="00DE6F0A">
        <w:rPr>
          <w:rFonts w:ascii="Arial Narrow" w:hAnsi="Arial Narrow"/>
          <w:sz w:val="26"/>
          <w:szCs w:val="26"/>
        </w:rPr>
        <w:t>.</w:t>
      </w:r>
      <w:r w:rsidR="00D96976" w:rsidRPr="00DE6F0A">
        <w:rPr>
          <w:rFonts w:ascii="Arial Narrow" w:hAnsi="Arial Narrow"/>
          <w:sz w:val="26"/>
          <w:szCs w:val="26"/>
        </w:rPr>
        <w:t xml:space="preserve"> </w:t>
      </w:r>
      <w:r w:rsidR="00212DA8" w:rsidRPr="00DE6F0A">
        <w:rPr>
          <w:rFonts w:ascii="Arial Narrow" w:hAnsi="Arial Narrow"/>
          <w:sz w:val="26"/>
          <w:szCs w:val="26"/>
        </w:rPr>
        <w:t xml:space="preserve">Al apersonarse del proceso </w:t>
      </w:r>
      <w:r w:rsidR="00D96976" w:rsidRPr="00DE6F0A">
        <w:rPr>
          <w:rFonts w:ascii="Arial Narrow" w:hAnsi="Arial Narrow"/>
          <w:sz w:val="26"/>
          <w:szCs w:val="26"/>
        </w:rPr>
        <w:t xml:space="preserve">la demandada se limitó a aportar copia de decisiones judiciales favorables a sus intereses en otras actuaciones, y ninguna prueba solicitó </w:t>
      </w:r>
      <w:r w:rsidR="0087330D" w:rsidRPr="00DE6F0A">
        <w:rPr>
          <w:rFonts w:ascii="Arial Narrow" w:hAnsi="Arial Narrow"/>
          <w:sz w:val="26"/>
          <w:szCs w:val="26"/>
        </w:rPr>
        <w:t>s</w:t>
      </w:r>
      <w:r w:rsidR="00D96976" w:rsidRPr="00DE6F0A">
        <w:rPr>
          <w:rFonts w:ascii="Arial Narrow" w:hAnsi="Arial Narrow"/>
          <w:sz w:val="26"/>
          <w:szCs w:val="26"/>
        </w:rPr>
        <w:t>e</w:t>
      </w:r>
      <w:r w:rsidR="0087330D" w:rsidRPr="00DE6F0A">
        <w:rPr>
          <w:rFonts w:ascii="Arial Narrow" w:hAnsi="Arial Narrow"/>
          <w:sz w:val="26"/>
          <w:szCs w:val="26"/>
        </w:rPr>
        <w:t xml:space="preserve"> practicara </w:t>
      </w:r>
      <w:r w:rsidR="00D96976" w:rsidRPr="00DE6F0A">
        <w:rPr>
          <w:rFonts w:ascii="Arial Narrow" w:hAnsi="Arial Narrow"/>
          <w:sz w:val="26"/>
          <w:szCs w:val="26"/>
        </w:rPr>
        <w:t xml:space="preserve">para demostrar sus </w:t>
      </w:r>
      <w:r w:rsidR="00403099" w:rsidRPr="00DE6F0A">
        <w:rPr>
          <w:rFonts w:ascii="Arial Narrow" w:hAnsi="Arial Narrow"/>
          <w:sz w:val="26"/>
          <w:szCs w:val="26"/>
        </w:rPr>
        <w:t>afirmaciones</w:t>
      </w:r>
      <w:r w:rsidR="00D96976" w:rsidRPr="00DE6F0A">
        <w:rPr>
          <w:rFonts w:ascii="Arial Narrow" w:hAnsi="Arial Narrow"/>
          <w:sz w:val="26"/>
          <w:szCs w:val="26"/>
        </w:rPr>
        <w:t>.</w:t>
      </w:r>
    </w:p>
    <w:p w14:paraId="68A53C5D" w14:textId="2609B266" w:rsidR="00D96976" w:rsidRPr="00DE6F0A" w:rsidRDefault="00D96976" w:rsidP="00DE6F0A">
      <w:pPr>
        <w:pStyle w:val="Sinespaciado"/>
        <w:spacing w:line="276" w:lineRule="auto"/>
        <w:jc w:val="both"/>
        <w:rPr>
          <w:rFonts w:ascii="Arial Narrow" w:hAnsi="Arial Narrow"/>
          <w:sz w:val="26"/>
          <w:szCs w:val="26"/>
        </w:rPr>
      </w:pPr>
    </w:p>
    <w:p w14:paraId="5D0DBB22" w14:textId="39077996" w:rsidR="00D96976" w:rsidRPr="00DE6F0A" w:rsidRDefault="00570DF3" w:rsidP="00DE6F0A">
      <w:pPr>
        <w:pStyle w:val="Sinespaciado"/>
        <w:spacing w:line="276" w:lineRule="auto"/>
        <w:jc w:val="both"/>
        <w:rPr>
          <w:rFonts w:ascii="Arial Narrow" w:hAnsi="Arial Narrow"/>
          <w:sz w:val="26"/>
          <w:szCs w:val="26"/>
        </w:rPr>
      </w:pPr>
      <w:r w:rsidRPr="00DE6F0A">
        <w:rPr>
          <w:rFonts w:ascii="Arial Narrow" w:hAnsi="Arial Narrow"/>
          <w:sz w:val="26"/>
          <w:szCs w:val="26"/>
        </w:rPr>
        <w:t>En el auto de decreto de prueba</w:t>
      </w:r>
      <w:r w:rsidR="00EC317B" w:rsidRPr="00DE6F0A">
        <w:rPr>
          <w:rFonts w:ascii="Arial Narrow" w:hAnsi="Arial Narrow"/>
          <w:sz w:val="26"/>
          <w:szCs w:val="26"/>
        </w:rPr>
        <w:t>s</w:t>
      </w:r>
      <w:r w:rsidRPr="00DE6F0A">
        <w:rPr>
          <w:rFonts w:ascii="Arial Narrow" w:hAnsi="Arial Narrow"/>
          <w:sz w:val="26"/>
          <w:szCs w:val="26"/>
        </w:rPr>
        <w:t xml:space="preserve"> el juzgado le ordenó</w:t>
      </w:r>
      <w:r w:rsidR="00A732C0" w:rsidRPr="00DE6F0A">
        <w:rPr>
          <w:rFonts w:ascii="Arial Narrow" w:hAnsi="Arial Narrow"/>
          <w:sz w:val="26"/>
          <w:szCs w:val="26"/>
        </w:rPr>
        <w:t xml:space="preserve"> informar si contaba con profesionales intérpretes y guías intérpretes, acreditados por entidad idónea certificada por el Ministerio de Educación Nacional, que brinden atención a los usuarios con limitaciones audiovisuales</w:t>
      </w:r>
      <w:r w:rsidR="00087B89" w:rsidRPr="00DE6F0A">
        <w:rPr>
          <w:rFonts w:ascii="Arial Narrow" w:hAnsi="Arial Narrow"/>
          <w:sz w:val="26"/>
          <w:szCs w:val="26"/>
        </w:rPr>
        <w:t xml:space="preserve">, en cada uno de los locales señalados por el actor popular, </w:t>
      </w:r>
      <w:r w:rsidR="000E22B1" w:rsidRPr="00DE6F0A">
        <w:rPr>
          <w:rFonts w:ascii="Arial Narrow" w:hAnsi="Arial Narrow"/>
          <w:sz w:val="26"/>
          <w:szCs w:val="26"/>
        </w:rPr>
        <w:t>informe que NO rindió dentro del periodo probatorio. Cerrado el mismo compareció su apoderada</w:t>
      </w:r>
      <w:r w:rsidR="00511442" w:rsidRPr="00DE6F0A">
        <w:rPr>
          <w:rFonts w:ascii="Arial Narrow" w:hAnsi="Arial Narrow"/>
          <w:sz w:val="26"/>
          <w:szCs w:val="26"/>
        </w:rPr>
        <w:t>, no a responder lo que se la había preguntado</w:t>
      </w:r>
      <w:r w:rsidR="003D5EC1" w:rsidRPr="00DE6F0A">
        <w:rPr>
          <w:rFonts w:ascii="Arial Narrow" w:hAnsi="Arial Narrow"/>
          <w:sz w:val="26"/>
          <w:szCs w:val="26"/>
        </w:rPr>
        <w:t xml:space="preserve"> frente a cada siti</w:t>
      </w:r>
      <w:r w:rsidR="00066F1B" w:rsidRPr="00DE6F0A">
        <w:rPr>
          <w:rFonts w:ascii="Arial Narrow" w:hAnsi="Arial Narrow"/>
          <w:sz w:val="26"/>
          <w:szCs w:val="26"/>
        </w:rPr>
        <w:t>o</w:t>
      </w:r>
      <w:r w:rsidR="003D5EC1" w:rsidRPr="00DE6F0A">
        <w:rPr>
          <w:rFonts w:ascii="Arial Narrow" w:hAnsi="Arial Narrow"/>
          <w:sz w:val="26"/>
          <w:szCs w:val="26"/>
        </w:rPr>
        <w:t xml:space="preserve"> materia de vulneración,</w:t>
      </w:r>
      <w:r w:rsidR="00511442" w:rsidRPr="00DE6F0A">
        <w:rPr>
          <w:rFonts w:ascii="Arial Narrow" w:hAnsi="Arial Narrow"/>
          <w:sz w:val="26"/>
          <w:szCs w:val="26"/>
        </w:rPr>
        <w:t xml:space="preserve"> sino a señalar </w:t>
      </w:r>
      <w:r w:rsidR="003D5EC1" w:rsidRPr="00DE6F0A">
        <w:rPr>
          <w:rFonts w:ascii="Arial Narrow" w:hAnsi="Arial Narrow"/>
          <w:sz w:val="26"/>
          <w:szCs w:val="26"/>
        </w:rPr>
        <w:t xml:space="preserve">en </w:t>
      </w:r>
      <w:r w:rsidR="00B2128A" w:rsidRPr="00DE6F0A">
        <w:rPr>
          <w:rFonts w:ascii="Arial Narrow" w:hAnsi="Arial Narrow"/>
          <w:sz w:val="26"/>
          <w:szCs w:val="26"/>
        </w:rPr>
        <w:t xml:space="preserve">forma general y </w:t>
      </w:r>
      <w:r w:rsidR="003D5EC1" w:rsidRPr="00DE6F0A">
        <w:rPr>
          <w:rFonts w:ascii="Arial Narrow" w:hAnsi="Arial Narrow"/>
          <w:sz w:val="26"/>
          <w:szCs w:val="26"/>
        </w:rPr>
        <w:t>abstract</w:t>
      </w:r>
      <w:r w:rsidR="00B2128A" w:rsidRPr="00DE6F0A">
        <w:rPr>
          <w:rFonts w:ascii="Arial Narrow" w:hAnsi="Arial Narrow"/>
          <w:sz w:val="26"/>
          <w:szCs w:val="26"/>
        </w:rPr>
        <w:t>a</w:t>
      </w:r>
      <w:r w:rsidR="003D5EC1" w:rsidRPr="00DE6F0A">
        <w:rPr>
          <w:rFonts w:ascii="Arial Narrow" w:hAnsi="Arial Narrow"/>
          <w:sz w:val="26"/>
          <w:szCs w:val="26"/>
        </w:rPr>
        <w:t xml:space="preserve">, </w:t>
      </w:r>
      <w:r w:rsidR="00694BA6" w:rsidRPr="00DE6F0A">
        <w:rPr>
          <w:rFonts w:ascii="Arial Narrow" w:hAnsi="Arial Narrow"/>
          <w:sz w:val="26"/>
          <w:szCs w:val="26"/>
        </w:rPr>
        <w:t>que la entidad contaba con computadores y acceso al “centro de relevo”, a la plataforma “SIEL” – servicio de interpretación en línea -</w:t>
      </w:r>
      <w:r w:rsidR="003E627E" w:rsidRPr="00DE6F0A">
        <w:rPr>
          <w:rFonts w:ascii="Arial Narrow" w:hAnsi="Arial Narrow"/>
          <w:sz w:val="26"/>
          <w:szCs w:val="26"/>
        </w:rPr>
        <w:t xml:space="preserve">, indicando un paso a paso para el ingreso, así como el usuario y la contraseña. Agregó que la entidad genera directrices, medidas, instrucciones y capacitaciones para que haya atención especial, personalizada y eficiente, todo lo cual estuvo desprovisto de pruebas que permitieron </w:t>
      </w:r>
      <w:r w:rsidR="00C26A60" w:rsidRPr="00DE6F0A">
        <w:rPr>
          <w:rFonts w:ascii="Arial Narrow" w:hAnsi="Arial Narrow"/>
          <w:sz w:val="26"/>
          <w:szCs w:val="26"/>
        </w:rPr>
        <w:t>llegar al convencimiento sobre la veracidad de lo afirmado</w:t>
      </w:r>
      <w:r w:rsidR="00A47D7F" w:rsidRPr="00DE6F0A">
        <w:rPr>
          <w:rStyle w:val="Refdenotaalpie"/>
          <w:rFonts w:ascii="Arial Narrow" w:hAnsi="Arial Narrow"/>
          <w:sz w:val="26"/>
          <w:szCs w:val="26"/>
        </w:rPr>
        <w:footnoteReference w:id="40"/>
      </w:r>
      <w:r w:rsidR="00C26A60" w:rsidRPr="00DE6F0A">
        <w:rPr>
          <w:rFonts w:ascii="Arial Narrow" w:hAnsi="Arial Narrow"/>
          <w:sz w:val="26"/>
          <w:szCs w:val="26"/>
        </w:rPr>
        <w:t>.</w:t>
      </w:r>
    </w:p>
    <w:p w14:paraId="716C8007" w14:textId="6A789163" w:rsidR="00C26A60" w:rsidRPr="00DE6F0A" w:rsidRDefault="00C26A60" w:rsidP="00DE6F0A">
      <w:pPr>
        <w:pStyle w:val="Sinespaciado"/>
        <w:spacing w:line="276" w:lineRule="auto"/>
        <w:jc w:val="both"/>
        <w:rPr>
          <w:rFonts w:ascii="Arial Narrow" w:hAnsi="Arial Narrow"/>
          <w:sz w:val="26"/>
          <w:szCs w:val="26"/>
        </w:rPr>
      </w:pPr>
    </w:p>
    <w:p w14:paraId="021E0A1E" w14:textId="1BBEAC78" w:rsidR="00741A37" w:rsidRPr="00DE6F0A" w:rsidRDefault="00574559"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La a quo ordenó también informe a las distintas entidades territoriales </w:t>
      </w:r>
      <w:r w:rsidR="0015294E" w:rsidRPr="00DE6F0A">
        <w:rPr>
          <w:rFonts w:ascii="Arial Narrow" w:hAnsi="Arial Narrow"/>
          <w:sz w:val="26"/>
          <w:szCs w:val="26"/>
        </w:rPr>
        <w:t xml:space="preserve">de los municipios donde funcionan los lugares concernidos, </w:t>
      </w:r>
      <w:r w:rsidR="00B113D0" w:rsidRPr="00DE6F0A">
        <w:rPr>
          <w:rFonts w:ascii="Arial Narrow" w:hAnsi="Arial Narrow"/>
          <w:sz w:val="26"/>
          <w:szCs w:val="26"/>
        </w:rPr>
        <w:t>para que ofrecieran similar información a la que deprecó al ente demandado. Ninguno de tales informes fue recibido a tiempo</w:t>
      </w:r>
      <w:r w:rsidR="00DE6359" w:rsidRPr="00DE6F0A">
        <w:rPr>
          <w:rFonts w:ascii="Arial Narrow" w:hAnsi="Arial Narrow"/>
          <w:sz w:val="26"/>
          <w:szCs w:val="26"/>
        </w:rPr>
        <w:t xml:space="preserve">, pues los que llegaron se incorporaron al expediente vencida </w:t>
      </w:r>
      <w:r w:rsidR="005B376A" w:rsidRPr="00DE6F0A">
        <w:rPr>
          <w:rFonts w:ascii="Arial Narrow" w:hAnsi="Arial Narrow"/>
          <w:sz w:val="26"/>
          <w:szCs w:val="26"/>
        </w:rPr>
        <w:t xml:space="preserve">ya </w:t>
      </w:r>
      <w:r w:rsidR="00DE6359" w:rsidRPr="00DE6F0A">
        <w:rPr>
          <w:rFonts w:ascii="Arial Narrow" w:hAnsi="Arial Narrow"/>
          <w:sz w:val="26"/>
          <w:szCs w:val="26"/>
        </w:rPr>
        <w:t>la etapa probatoria</w:t>
      </w:r>
      <w:r w:rsidR="00725815" w:rsidRPr="00DE6F0A">
        <w:rPr>
          <w:rStyle w:val="Refdenotaalpie"/>
          <w:rFonts w:ascii="Arial Narrow" w:hAnsi="Arial Narrow"/>
          <w:sz w:val="26"/>
          <w:szCs w:val="26"/>
        </w:rPr>
        <w:footnoteReference w:id="41"/>
      </w:r>
      <w:r w:rsidR="005B376A" w:rsidRPr="00DE6F0A">
        <w:rPr>
          <w:rFonts w:ascii="Arial Narrow" w:hAnsi="Arial Narrow"/>
          <w:sz w:val="26"/>
          <w:szCs w:val="26"/>
        </w:rPr>
        <w:t>,</w:t>
      </w:r>
      <w:r w:rsidR="00DE6359" w:rsidRPr="00DE6F0A">
        <w:rPr>
          <w:rFonts w:ascii="Arial Narrow" w:hAnsi="Arial Narrow"/>
          <w:sz w:val="26"/>
          <w:szCs w:val="26"/>
        </w:rPr>
        <w:t xml:space="preserve"> sin haberse agotado frente a ellos las garantías de contradicción y defensa (Art. </w:t>
      </w:r>
      <w:r w:rsidR="00D11955" w:rsidRPr="00DE6F0A">
        <w:rPr>
          <w:rFonts w:ascii="Arial Narrow" w:hAnsi="Arial Narrow"/>
          <w:sz w:val="26"/>
          <w:szCs w:val="26"/>
        </w:rPr>
        <w:t xml:space="preserve">173 CGP, inciso final). Incluso varios se recibieron </w:t>
      </w:r>
      <w:r w:rsidR="00D11955" w:rsidRPr="00DE6F0A">
        <w:rPr>
          <w:rFonts w:ascii="Arial Narrow" w:hAnsi="Arial Narrow"/>
          <w:sz w:val="26"/>
          <w:szCs w:val="26"/>
        </w:rPr>
        <w:lastRenderedPageBreak/>
        <w:t>luego de emitida la sentencia</w:t>
      </w:r>
      <w:r w:rsidR="002542DA" w:rsidRPr="00DE6F0A">
        <w:rPr>
          <w:rStyle w:val="Refdenotaalpie"/>
          <w:rFonts w:ascii="Arial Narrow" w:hAnsi="Arial Narrow"/>
          <w:sz w:val="26"/>
          <w:szCs w:val="26"/>
        </w:rPr>
        <w:footnoteReference w:id="42"/>
      </w:r>
      <w:r w:rsidR="00D11955" w:rsidRPr="00DE6F0A">
        <w:rPr>
          <w:rFonts w:ascii="Arial Narrow" w:hAnsi="Arial Narrow"/>
          <w:sz w:val="26"/>
          <w:szCs w:val="26"/>
        </w:rPr>
        <w:t xml:space="preserve">. </w:t>
      </w:r>
    </w:p>
    <w:p w14:paraId="48965161" w14:textId="77777777" w:rsidR="00741A37" w:rsidRPr="00DE6F0A" w:rsidRDefault="00741A37" w:rsidP="00DE6F0A">
      <w:pPr>
        <w:pStyle w:val="Sinespaciado"/>
        <w:spacing w:line="276" w:lineRule="auto"/>
        <w:jc w:val="both"/>
        <w:rPr>
          <w:rFonts w:ascii="Arial Narrow" w:hAnsi="Arial Narrow"/>
          <w:sz w:val="26"/>
          <w:szCs w:val="26"/>
        </w:rPr>
      </w:pPr>
    </w:p>
    <w:p w14:paraId="1030C350" w14:textId="29A2E350" w:rsidR="00D11955" w:rsidRPr="00DE6F0A" w:rsidRDefault="00D11955"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En todo caso y si </w:t>
      </w:r>
      <w:r w:rsidR="00A152E8" w:rsidRPr="00DE6F0A">
        <w:rPr>
          <w:rFonts w:ascii="Arial Narrow" w:hAnsi="Arial Narrow"/>
          <w:sz w:val="26"/>
          <w:szCs w:val="26"/>
        </w:rPr>
        <w:t>resultara viable la valoración de tales pruebas, lo cierto es que solo en un</w:t>
      </w:r>
      <w:r w:rsidR="00EB7C5D" w:rsidRPr="00DE6F0A">
        <w:rPr>
          <w:rFonts w:ascii="Arial Narrow" w:hAnsi="Arial Narrow"/>
          <w:sz w:val="26"/>
          <w:szCs w:val="26"/>
        </w:rPr>
        <w:t>o de tales informes</w:t>
      </w:r>
      <w:r w:rsidR="008970B0" w:rsidRPr="00DE6F0A">
        <w:rPr>
          <w:rStyle w:val="Refdenotaalpie"/>
          <w:rFonts w:ascii="Arial Narrow" w:hAnsi="Arial Narrow"/>
          <w:sz w:val="26"/>
          <w:szCs w:val="26"/>
        </w:rPr>
        <w:footnoteReference w:id="43"/>
      </w:r>
      <w:r w:rsidR="00A152E8" w:rsidRPr="00DE6F0A">
        <w:rPr>
          <w:rFonts w:ascii="Arial Narrow" w:hAnsi="Arial Narrow"/>
          <w:sz w:val="26"/>
          <w:szCs w:val="26"/>
        </w:rPr>
        <w:t xml:space="preserve"> se refiere la existencia y funcionamiento del Centro de Relevo, </w:t>
      </w:r>
      <w:r w:rsidR="00AA6811" w:rsidRPr="00DE6F0A">
        <w:rPr>
          <w:rFonts w:ascii="Arial Narrow" w:hAnsi="Arial Narrow"/>
          <w:sz w:val="26"/>
          <w:szCs w:val="26"/>
        </w:rPr>
        <w:t xml:space="preserve">(sede: Calle 26 Sur # 78N-10; radicado 2017-00287-00), donde el funcionario que realizó la visita </w:t>
      </w:r>
      <w:r w:rsidR="005C7B2D" w:rsidRPr="00DE6F0A">
        <w:rPr>
          <w:rFonts w:ascii="Arial Narrow" w:hAnsi="Arial Narrow"/>
          <w:sz w:val="26"/>
          <w:szCs w:val="26"/>
        </w:rPr>
        <w:t xml:space="preserve">señaló que quien le atendió </w:t>
      </w:r>
      <w:r w:rsidR="00B87CD6" w:rsidRPr="00DE6F0A">
        <w:rPr>
          <w:rFonts w:ascii="Arial Narrow" w:hAnsi="Arial Narrow"/>
          <w:sz w:val="26"/>
          <w:szCs w:val="26"/>
        </w:rPr>
        <w:t xml:space="preserve">indicó que la entidad </w:t>
      </w:r>
      <w:r w:rsidR="005C7B2D" w:rsidRPr="00DE6F0A">
        <w:rPr>
          <w:rFonts w:ascii="Arial Narrow" w:hAnsi="Arial Narrow"/>
          <w:sz w:val="26"/>
          <w:szCs w:val="26"/>
        </w:rPr>
        <w:t>socializ</w:t>
      </w:r>
      <w:r w:rsidR="00B87CD6" w:rsidRPr="00DE6F0A">
        <w:rPr>
          <w:rFonts w:ascii="Arial Narrow" w:hAnsi="Arial Narrow"/>
          <w:sz w:val="26"/>
          <w:szCs w:val="26"/>
        </w:rPr>
        <w:t>ó</w:t>
      </w:r>
      <w:r w:rsidR="005C7B2D" w:rsidRPr="00DE6F0A">
        <w:rPr>
          <w:rFonts w:ascii="Arial Narrow" w:hAnsi="Arial Narrow"/>
          <w:sz w:val="26"/>
          <w:szCs w:val="26"/>
        </w:rPr>
        <w:t xml:space="preserve"> el uso del aplicativo centro de relevo, </w:t>
      </w:r>
      <w:r w:rsidR="005C7B2D" w:rsidRPr="00DE6F0A">
        <w:rPr>
          <w:rFonts w:ascii="Arial Narrow" w:hAnsi="Arial Narrow"/>
          <w:sz w:val="26"/>
          <w:szCs w:val="26"/>
          <w:u w:val="single"/>
        </w:rPr>
        <w:t>para ayudar a personas con discapacidad auditiva</w:t>
      </w:r>
      <w:r w:rsidR="00B87CD6" w:rsidRPr="00DE6F0A">
        <w:rPr>
          <w:rFonts w:ascii="Arial Narrow" w:hAnsi="Arial Narrow"/>
          <w:sz w:val="26"/>
          <w:szCs w:val="26"/>
        </w:rPr>
        <w:t xml:space="preserve">, </w:t>
      </w:r>
      <w:r w:rsidR="005C7B2D" w:rsidRPr="00DE6F0A">
        <w:rPr>
          <w:rFonts w:ascii="Arial Narrow" w:hAnsi="Arial Narrow"/>
          <w:sz w:val="26"/>
          <w:szCs w:val="26"/>
        </w:rPr>
        <w:t>e</w:t>
      </w:r>
      <w:r w:rsidR="00B87CD6" w:rsidRPr="00DE6F0A">
        <w:rPr>
          <w:rFonts w:ascii="Arial Narrow" w:hAnsi="Arial Narrow"/>
          <w:sz w:val="26"/>
          <w:szCs w:val="26"/>
        </w:rPr>
        <w:t>l</w:t>
      </w:r>
      <w:r w:rsidR="005C7B2D" w:rsidRPr="00DE6F0A">
        <w:rPr>
          <w:rFonts w:ascii="Arial Narrow" w:hAnsi="Arial Narrow"/>
          <w:sz w:val="26"/>
          <w:szCs w:val="26"/>
        </w:rPr>
        <w:t xml:space="preserve"> </w:t>
      </w:r>
      <w:r w:rsidR="00930714" w:rsidRPr="00DE6F0A">
        <w:rPr>
          <w:rFonts w:ascii="Arial Narrow" w:hAnsi="Arial Narrow"/>
          <w:sz w:val="26"/>
          <w:szCs w:val="26"/>
        </w:rPr>
        <w:t xml:space="preserve">cual se </w:t>
      </w:r>
      <w:r w:rsidR="005C7B2D" w:rsidRPr="00DE6F0A">
        <w:rPr>
          <w:rFonts w:ascii="Arial Narrow" w:hAnsi="Arial Narrow"/>
          <w:sz w:val="26"/>
          <w:szCs w:val="26"/>
        </w:rPr>
        <w:t xml:space="preserve">probó y se logró establecer contacto con el intérprete. </w:t>
      </w:r>
      <w:r w:rsidR="00930714" w:rsidRPr="00DE6F0A">
        <w:rPr>
          <w:rFonts w:ascii="Arial Narrow" w:hAnsi="Arial Narrow"/>
          <w:sz w:val="26"/>
          <w:szCs w:val="26"/>
        </w:rPr>
        <w:t xml:space="preserve">Por ello, concluyó, el local </w:t>
      </w:r>
      <w:r w:rsidR="005C7B2D" w:rsidRPr="00DE6F0A">
        <w:rPr>
          <w:rFonts w:ascii="Arial Narrow" w:hAnsi="Arial Narrow"/>
          <w:sz w:val="26"/>
          <w:szCs w:val="26"/>
        </w:rPr>
        <w:t>sí cuenta con servicio de intérprete</w:t>
      </w:r>
      <w:r w:rsidR="00930714" w:rsidRPr="00DE6F0A">
        <w:rPr>
          <w:rFonts w:ascii="Arial Narrow" w:hAnsi="Arial Narrow"/>
          <w:sz w:val="26"/>
          <w:szCs w:val="26"/>
        </w:rPr>
        <w:t xml:space="preserve"> </w:t>
      </w:r>
      <w:r w:rsidR="005C7B2D" w:rsidRPr="00DE6F0A">
        <w:rPr>
          <w:rFonts w:ascii="Arial Narrow" w:hAnsi="Arial Narrow"/>
          <w:sz w:val="26"/>
          <w:szCs w:val="26"/>
        </w:rPr>
        <w:t>para las personas con discapacidad auditiva</w:t>
      </w:r>
      <w:r w:rsidR="00930714" w:rsidRPr="00DE6F0A">
        <w:rPr>
          <w:rFonts w:ascii="Arial Narrow" w:hAnsi="Arial Narrow"/>
          <w:sz w:val="26"/>
          <w:szCs w:val="26"/>
        </w:rPr>
        <w:t xml:space="preserve">, mas no </w:t>
      </w:r>
      <w:r w:rsidR="005C7B2D" w:rsidRPr="00DE6F0A">
        <w:rPr>
          <w:rFonts w:ascii="Arial Narrow" w:hAnsi="Arial Narrow"/>
          <w:sz w:val="26"/>
          <w:szCs w:val="26"/>
        </w:rPr>
        <w:t>para personas con discapacidad visual.</w:t>
      </w:r>
      <w:r w:rsidR="00741A37" w:rsidRPr="00DE6F0A">
        <w:rPr>
          <w:rFonts w:ascii="Arial Narrow" w:hAnsi="Arial Narrow"/>
          <w:sz w:val="26"/>
          <w:szCs w:val="26"/>
        </w:rPr>
        <w:t xml:space="preserve"> Luego tampoco sería una prueba</w:t>
      </w:r>
      <w:r w:rsidR="007D66DE" w:rsidRPr="00DE6F0A">
        <w:rPr>
          <w:rFonts w:ascii="Arial Narrow" w:hAnsi="Arial Narrow"/>
          <w:sz w:val="26"/>
          <w:szCs w:val="26"/>
        </w:rPr>
        <w:t xml:space="preserve"> idónea </w:t>
      </w:r>
      <w:r w:rsidR="00741A37" w:rsidRPr="00DE6F0A">
        <w:rPr>
          <w:rFonts w:ascii="Arial Narrow" w:hAnsi="Arial Narrow"/>
          <w:sz w:val="26"/>
          <w:szCs w:val="26"/>
        </w:rPr>
        <w:t>para lograr</w:t>
      </w:r>
      <w:r w:rsidR="007D66DE" w:rsidRPr="00DE6F0A">
        <w:rPr>
          <w:rFonts w:ascii="Arial Narrow" w:hAnsi="Arial Narrow"/>
          <w:sz w:val="26"/>
          <w:szCs w:val="26"/>
        </w:rPr>
        <w:t xml:space="preserve"> demostrar,</w:t>
      </w:r>
      <w:r w:rsidR="00741A37" w:rsidRPr="00DE6F0A">
        <w:rPr>
          <w:rFonts w:ascii="Arial Narrow" w:hAnsi="Arial Narrow"/>
          <w:sz w:val="26"/>
          <w:szCs w:val="26"/>
        </w:rPr>
        <w:t xml:space="preserve"> a plenitud, que la accionada en todos los centros de atención farmacéutica a que se refiere esta acción popular acumulada</w:t>
      </w:r>
      <w:r w:rsidR="007D66DE" w:rsidRPr="00DE6F0A">
        <w:rPr>
          <w:rFonts w:ascii="Arial Narrow" w:hAnsi="Arial Narrow"/>
          <w:sz w:val="26"/>
          <w:szCs w:val="26"/>
        </w:rPr>
        <w:t xml:space="preserve">, da cabal cumplimiento a las medidas afirmativas establecidas en el artículo 8 de la </w:t>
      </w:r>
      <w:proofErr w:type="spellStart"/>
      <w:r w:rsidR="007D66DE" w:rsidRPr="00DE6F0A">
        <w:rPr>
          <w:rFonts w:ascii="Arial Narrow" w:hAnsi="Arial Narrow"/>
          <w:sz w:val="26"/>
          <w:szCs w:val="26"/>
        </w:rPr>
        <w:t>plurimencionada</w:t>
      </w:r>
      <w:proofErr w:type="spellEnd"/>
      <w:r w:rsidR="007D66DE" w:rsidRPr="00DE6F0A">
        <w:rPr>
          <w:rFonts w:ascii="Arial Narrow" w:hAnsi="Arial Narrow"/>
          <w:sz w:val="26"/>
          <w:szCs w:val="26"/>
        </w:rPr>
        <w:t xml:space="preserve"> Ley 982 en 2005, en favor de las personas con discapacidad visual, auditiva o audiovisual.</w:t>
      </w:r>
    </w:p>
    <w:p w14:paraId="1E2556C2" w14:textId="197E10FE" w:rsidR="007D66DE" w:rsidRPr="00DE6F0A" w:rsidRDefault="007D66DE" w:rsidP="00DE6F0A">
      <w:pPr>
        <w:pStyle w:val="Sinespaciado"/>
        <w:spacing w:line="276" w:lineRule="auto"/>
        <w:jc w:val="both"/>
        <w:rPr>
          <w:rFonts w:ascii="Arial Narrow" w:hAnsi="Arial Narrow"/>
          <w:sz w:val="26"/>
          <w:szCs w:val="26"/>
        </w:rPr>
      </w:pPr>
    </w:p>
    <w:p w14:paraId="145EA2D0" w14:textId="0EB99C03" w:rsidR="007D66DE" w:rsidRPr="00DE6F0A" w:rsidRDefault="009848DF"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En suma, el argumento de alzada carece de prueba en el expediente; y aun si la tuviera, lo cierto es que </w:t>
      </w:r>
      <w:r w:rsidR="00114F4A" w:rsidRPr="00DE6F0A">
        <w:rPr>
          <w:rFonts w:ascii="Arial Narrow" w:hAnsi="Arial Narrow"/>
          <w:sz w:val="26"/>
          <w:szCs w:val="26"/>
        </w:rPr>
        <w:t>el centro de relevo “</w:t>
      </w:r>
      <w:r w:rsidR="00114F4A" w:rsidRPr="00F6660B">
        <w:rPr>
          <w:rFonts w:ascii="Arial Narrow" w:hAnsi="Arial Narrow"/>
          <w:i/>
          <w:iCs/>
          <w:sz w:val="24"/>
          <w:szCs w:val="26"/>
        </w:rPr>
        <w:t>solo sirve para las personas que se comuniquen mediante el lenguaje de señas, esto es, con dificultades en el habla, básicamente con hipoacusia; los individuos con sordo-ceguera evidentemente no pueden usar ese mecanismo</w:t>
      </w:r>
      <w:r w:rsidR="00114F4A" w:rsidRPr="00DE6F0A">
        <w:rPr>
          <w:rFonts w:ascii="Arial Narrow" w:hAnsi="Arial Narrow"/>
          <w:i/>
          <w:iCs/>
          <w:sz w:val="26"/>
          <w:szCs w:val="26"/>
        </w:rPr>
        <w:t>.”</w:t>
      </w:r>
      <w:r w:rsidR="00B6680D" w:rsidRPr="00DE6F0A">
        <w:rPr>
          <w:rStyle w:val="Refdenotaalpie"/>
          <w:rFonts w:ascii="Arial Narrow" w:hAnsi="Arial Narrow"/>
          <w:i/>
          <w:iCs/>
          <w:sz w:val="26"/>
          <w:szCs w:val="26"/>
        </w:rPr>
        <w:footnoteReference w:id="44"/>
      </w:r>
    </w:p>
    <w:p w14:paraId="6A93C4C0" w14:textId="41EFECB1" w:rsidR="00930714" w:rsidRPr="00DE6F0A" w:rsidRDefault="00930714" w:rsidP="00DE6F0A">
      <w:pPr>
        <w:pStyle w:val="Sinespaciado"/>
        <w:spacing w:line="276" w:lineRule="auto"/>
        <w:jc w:val="both"/>
        <w:rPr>
          <w:rFonts w:ascii="Arial Narrow" w:hAnsi="Arial Narrow"/>
          <w:sz w:val="26"/>
          <w:szCs w:val="26"/>
        </w:rPr>
      </w:pPr>
    </w:p>
    <w:p w14:paraId="2C580E34" w14:textId="27B4C266" w:rsidR="00930714" w:rsidRPr="00DE6F0A" w:rsidRDefault="001F455F" w:rsidP="00DE6F0A">
      <w:pPr>
        <w:pStyle w:val="Sinespaciado"/>
        <w:spacing w:line="276" w:lineRule="auto"/>
        <w:jc w:val="both"/>
        <w:rPr>
          <w:rFonts w:ascii="Arial Narrow" w:hAnsi="Arial Narrow"/>
          <w:sz w:val="26"/>
          <w:szCs w:val="26"/>
        </w:rPr>
      </w:pPr>
      <w:r w:rsidRPr="00DE6F0A">
        <w:rPr>
          <w:rFonts w:ascii="Arial Narrow" w:hAnsi="Arial Narrow"/>
          <w:b/>
          <w:bCs/>
          <w:sz w:val="26"/>
          <w:szCs w:val="26"/>
        </w:rPr>
        <w:t>10</w:t>
      </w:r>
      <w:r w:rsidR="00832028" w:rsidRPr="00DE6F0A">
        <w:rPr>
          <w:rFonts w:ascii="Arial Narrow" w:hAnsi="Arial Narrow"/>
          <w:b/>
          <w:bCs/>
          <w:sz w:val="26"/>
          <w:szCs w:val="26"/>
        </w:rPr>
        <w:t xml:space="preserve">. </w:t>
      </w:r>
      <w:r w:rsidR="00922B3E" w:rsidRPr="00DE6F0A">
        <w:rPr>
          <w:rFonts w:ascii="Arial Narrow" w:hAnsi="Arial Narrow"/>
          <w:sz w:val="26"/>
          <w:szCs w:val="26"/>
        </w:rPr>
        <w:t xml:space="preserve">De acuerdo con lo expuesto, puede concluirse que la sociedad accionada desconoció los derechos que tienen las personas sordas y sordociegas a acceder a los servicios </w:t>
      </w:r>
      <w:r w:rsidR="00635419" w:rsidRPr="00DE6F0A">
        <w:rPr>
          <w:rFonts w:ascii="Arial Narrow" w:hAnsi="Arial Narrow"/>
          <w:sz w:val="26"/>
          <w:szCs w:val="26"/>
        </w:rPr>
        <w:t>de atención en salud</w:t>
      </w:r>
      <w:r w:rsidR="00922B3E" w:rsidRPr="00DE6F0A">
        <w:rPr>
          <w:rFonts w:ascii="Arial Narrow" w:hAnsi="Arial Narrow"/>
          <w:sz w:val="26"/>
          <w:szCs w:val="26"/>
        </w:rPr>
        <w:t xml:space="preserve"> que ofrece, en similares condiciones a quienes no padecen esa clase de discapacidad</w:t>
      </w:r>
      <w:r w:rsidR="00635419" w:rsidRPr="00DE6F0A">
        <w:rPr>
          <w:rFonts w:ascii="Arial Narrow" w:hAnsi="Arial Narrow"/>
          <w:sz w:val="26"/>
          <w:szCs w:val="26"/>
        </w:rPr>
        <w:t xml:space="preserve">. Lo anterior obliga a </w:t>
      </w:r>
      <w:r w:rsidR="00922B3E" w:rsidRPr="00DE6F0A">
        <w:rPr>
          <w:rFonts w:ascii="Arial Narrow" w:hAnsi="Arial Narrow"/>
          <w:sz w:val="26"/>
          <w:szCs w:val="26"/>
        </w:rPr>
        <w:t>confirmar</w:t>
      </w:r>
      <w:r w:rsidR="00635419" w:rsidRPr="00DE6F0A">
        <w:rPr>
          <w:rFonts w:ascii="Arial Narrow" w:hAnsi="Arial Narrow"/>
          <w:sz w:val="26"/>
          <w:szCs w:val="26"/>
        </w:rPr>
        <w:t xml:space="preserve"> </w:t>
      </w:r>
      <w:r w:rsidR="00922B3E" w:rsidRPr="00DE6F0A">
        <w:rPr>
          <w:rFonts w:ascii="Arial Narrow" w:hAnsi="Arial Narrow"/>
          <w:sz w:val="26"/>
          <w:szCs w:val="26"/>
        </w:rPr>
        <w:t xml:space="preserve">el fallo </w:t>
      </w:r>
      <w:r w:rsidR="00635419" w:rsidRPr="00DE6F0A">
        <w:rPr>
          <w:rFonts w:ascii="Arial Narrow" w:hAnsi="Arial Narrow"/>
          <w:sz w:val="26"/>
          <w:szCs w:val="26"/>
        </w:rPr>
        <w:t xml:space="preserve">apelado, </w:t>
      </w:r>
      <w:r w:rsidR="00922B3E" w:rsidRPr="00DE6F0A">
        <w:rPr>
          <w:rFonts w:ascii="Arial Narrow" w:hAnsi="Arial Narrow"/>
          <w:sz w:val="26"/>
          <w:szCs w:val="26"/>
        </w:rPr>
        <w:t>en cuanto a las órdenes que contiene de contar con guía y guía interprete para prestar los servicios que ofrece a esa población y sobre la fijación de un aviso en el que se indiquen el lugar donde serán atendidas.</w:t>
      </w:r>
    </w:p>
    <w:p w14:paraId="26C0B719" w14:textId="410CC13A" w:rsidR="00832028" w:rsidRPr="00DE6F0A" w:rsidRDefault="00832028" w:rsidP="00DE6F0A">
      <w:pPr>
        <w:pStyle w:val="Sinespaciado"/>
        <w:spacing w:line="276" w:lineRule="auto"/>
        <w:jc w:val="both"/>
        <w:rPr>
          <w:rFonts w:ascii="Arial Narrow" w:hAnsi="Arial Narrow"/>
          <w:sz w:val="26"/>
          <w:szCs w:val="26"/>
        </w:rPr>
      </w:pPr>
    </w:p>
    <w:p w14:paraId="6D36B93B" w14:textId="77777777" w:rsidR="001E3637" w:rsidRPr="00DE6F0A" w:rsidRDefault="001E3637" w:rsidP="00DE6F0A">
      <w:pPr>
        <w:pStyle w:val="Sinespaciado"/>
        <w:spacing w:line="276" w:lineRule="auto"/>
        <w:jc w:val="both"/>
        <w:rPr>
          <w:rFonts w:ascii="Arial Narrow" w:hAnsi="Arial Narrow"/>
          <w:sz w:val="26"/>
          <w:szCs w:val="26"/>
        </w:rPr>
      </w:pPr>
      <w:r w:rsidRPr="00DE6F0A">
        <w:rPr>
          <w:rFonts w:ascii="Arial Narrow" w:hAnsi="Arial Narrow"/>
          <w:sz w:val="26"/>
          <w:szCs w:val="26"/>
        </w:rPr>
        <w:t>Se adicionará la sentencia en el sentido de ordenar a la entidad accionada que de conformidad con lo previsto por el artículo 42 de la Ley 472 de 1998, en el término de cinco (5) días preste garantía bancaria o póliza de seguros, por la suma de $5.000.000 para garantizar el cumplimiento de la misma.</w:t>
      </w:r>
    </w:p>
    <w:p w14:paraId="676CEDEA" w14:textId="77777777" w:rsidR="001E3637" w:rsidRPr="00DE6F0A" w:rsidRDefault="001E3637" w:rsidP="00DE6F0A">
      <w:pPr>
        <w:pStyle w:val="Sinespaciado"/>
        <w:spacing w:line="276" w:lineRule="auto"/>
        <w:jc w:val="both"/>
        <w:rPr>
          <w:rFonts w:ascii="Arial Narrow" w:hAnsi="Arial Narrow"/>
          <w:sz w:val="26"/>
          <w:szCs w:val="26"/>
        </w:rPr>
      </w:pPr>
    </w:p>
    <w:p w14:paraId="0DA4BBF7" w14:textId="736AC680" w:rsidR="00524494" w:rsidRPr="00DE6F0A" w:rsidRDefault="001E3637"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De conformidad con el numeral </w:t>
      </w:r>
      <w:r w:rsidR="00524494" w:rsidRPr="00DE6F0A">
        <w:rPr>
          <w:rFonts w:ascii="Arial Narrow" w:hAnsi="Arial Narrow"/>
          <w:sz w:val="26"/>
          <w:szCs w:val="26"/>
        </w:rPr>
        <w:t>8</w:t>
      </w:r>
      <w:r w:rsidRPr="00DE6F0A">
        <w:rPr>
          <w:rFonts w:ascii="Arial Narrow" w:hAnsi="Arial Narrow"/>
          <w:sz w:val="26"/>
          <w:szCs w:val="26"/>
        </w:rPr>
        <w:t xml:space="preserve">º del artículo 365 del Código General del Proceso, </w:t>
      </w:r>
      <w:r w:rsidR="00524494" w:rsidRPr="00DE6F0A">
        <w:rPr>
          <w:rFonts w:ascii="Arial Narrow" w:hAnsi="Arial Narrow"/>
          <w:sz w:val="26"/>
          <w:szCs w:val="26"/>
        </w:rPr>
        <w:t xml:space="preserve">no se impondrá condena en </w:t>
      </w:r>
      <w:r w:rsidRPr="00DE6F0A">
        <w:rPr>
          <w:rFonts w:ascii="Arial Narrow" w:hAnsi="Arial Narrow"/>
          <w:sz w:val="26"/>
          <w:szCs w:val="26"/>
        </w:rPr>
        <w:t xml:space="preserve">costas en esta instancia a la parte </w:t>
      </w:r>
      <w:r w:rsidR="00524494" w:rsidRPr="00DE6F0A">
        <w:rPr>
          <w:rFonts w:ascii="Arial Narrow" w:hAnsi="Arial Narrow"/>
          <w:sz w:val="26"/>
          <w:szCs w:val="26"/>
        </w:rPr>
        <w:t>accionada</w:t>
      </w:r>
      <w:r w:rsidR="000E171E" w:rsidRPr="00DE6F0A">
        <w:rPr>
          <w:rFonts w:ascii="Arial Narrow" w:hAnsi="Arial Narrow"/>
          <w:sz w:val="26"/>
          <w:szCs w:val="26"/>
        </w:rPr>
        <w:t>, a favor del actor popular</w:t>
      </w:r>
      <w:r w:rsidR="00524494" w:rsidRPr="00DE6F0A">
        <w:rPr>
          <w:rFonts w:ascii="Arial Narrow" w:hAnsi="Arial Narrow"/>
          <w:sz w:val="26"/>
          <w:szCs w:val="26"/>
        </w:rPr>
        <w:t xml:space="preserve">. Lo anterior porque, no </w:t>
      </w:r>
      <w:r w:rsidR="00FD0C23" w:rsidRPr="00DE6F0A">
        <w:rPr>
          <w:rFonts w:ascii="Arial Narrow" w:hAnsi="Arial Narrow"/>
          <w:sz w:val="26"/>
          <w:szCs w:val="26"/>
        </w:rPr>
        <w:t>obstante</w:t>
      </w:r>
      <w:r w:rsidR="00524494" w:rsidRPr="00DE6F0A">
        <w:rPr>
          <w:rFonts w:ascii="Arial Narrow" w:hAnsi="Arial Narrow"/>
          <w:sz w:val="26"/>
          <w:szCs w:val="26"/>
        </w:rPr>
        <w:t xml:space="preserve"> la ausencia de prosperidad de su recurso, lo cierto es que no brota en el expediente que con ocasión de él, el actor popular haya generado alguna actuación de su parte, luego</w:t>
      </w:r>
      <w:r w:rsidR="008D3D95" w:rsidRPr="00DE6F0A">
        <w:rPr>
          <w:rFonts w:ascii="Arial Narrow" w:hAnsi="Arial Narrow"/>
          <w:sz w:val="26"/>
          <w:szCs w:val="26"/>
        </w:rPr>
        <w:t xml:space="preserve"> ellas</w:t>
      </w:r>
      <w:r w:rsidR="00524494" w:rsidRPr="00DE6F0A">
        <w:rPr>
          <w:rFonts w:ascii="Arial Narrow" w:hAnsi="Arial Narrow"/>
          <w:sz w:val="26"/>
          <w:szCs w:val="26"/>
        </w:rPr>
        <w:t xml:space="preserve"> no aparecen causadas.</w:t>
      </w:r>
    </w:p>
    <w:p w14:paraId="36A5B193" w14:textId="77777777" w:rsidR="00524494" w:rsidRPr="00DE6F0A" w:rsidRDefault="00524494" w:rsidP="00DE6F0A">
      <w:pPr>
        <w:pStyle w:val="Sinespaciado"/>
        <w:spacing w:line="276" w:lineRule="auto"/>
        <w:jc w:val="both"/>
        <w:rPr>
          <w:rFonts w:ascii="Arial Narrow" w:hAnsi="Arial Narrow"/>
          <w:sz w:val="26"/>
          <w:szCs w:val="26"/>
        </w:rPr>
      </w:pPr>
    </w:p>
    <w:p w14:paraId="42F71FE6" w14:textId="6B3763EF" w:rsidR="004D53CC" w:rsidRPr="00DE6F0A" w:rsidRDefault="00524494" w:rsidP="00DE6F0A">
      <w:pPr>
        <w:pStyle w:val="Sinespaciado"/>
        <w:spacing w:line="276" w:lineRule="auto"/>
        <w:jc w:val="both"/>
        <w:rPr>
          <w:rFonts w:ascii="Arial Narrow" w:hAnsi="Arial Narrow"/>
          <w:sz w:val="26"/>
          <w:szCs w:val="26"/>
        </w:rPr>
      </w:pPr>
      <w:r w:rsidRPr="00DE6F0A">
        <w:rPr>
          <w:rFonts w:ascii="Arial Narrow" w:hAnsi="Arial Narrow"/>
          <w:sz w:val="26"/>
          <w:szCs w:val="26"/>
        </w:rPr>
        <w:t xml:space="preserve">Por </w:t>
      </w:r>
      <w:r w:rsidR="00B65CFD" w:rsidRPr="00DE6F0A">
        <w:rPr>
          <w:rFonts w:ascii="Arial Narrow" w:hAnsi="Arial Narrow"/>
          <w:sz w:val="26"/>
          <w:szCs w:val="26"/>
        </w:rPr>
        <w:t>ú</w:t>
      </w:r>
      <w:r w:rsidRPr="00DE6F0A">
        <w:rPr>
          <w:rFonts w:ascii="Arial Narrow" w:hAnsi="Arial Narrow"/>
          <w:sz w:val="26"/>
          <w:szCs w:val="26"/>
        </w:rPr>
        <w:t xml:space="preserve">ltimo, </w:t>
      </w:r>
      <w:r w:rsidR="000233AF" w:rsidRPr="00DE6F0A">
        <w:rPr>
          <w:rFonts w:ascii="Arial Narrow" w:hAnsi="Arial Narrow"/>
          <w:sz w:val="26"/>
          <w:szCs w:val="26"/>
        </w:rPr>
        <w:t xml:space="preserve">se negará </w:t>
      </w:r>
      <w:r w:rsidRPr="00DE6F0A">
        <w:rPr>
          <w:rFonts w:ascii="Arial Narrow" w:hAnsi="Arial Narrow"/>
          <w:sz w:val="26"/>
          <w:szCs w:val="26"/>
        </w:rPr>
        <w:t>l</w:t>
      </w:r>
      <w:r w:rsidR="000233AF" w:rsidRPr="00DE6F0A">
        <w:rPr>
          <w:rFonts w:ascii="Arial Narrow" w:hAnsi="Arial Narrow"/>
          <w:sz w:val="26"/>
          <w:szCs w:val="26"/>
        </w:rPr>
        <w:t>a</w:t>
      </w:r>
      <w:r w:rsidRPr="00DE6F0A">
        <w:rPr>
          <w:rFonts w:ascii="Arial Narrow" w:hAnsi="Arial Narrow"/>
          <w:sz w:val="26"/>
          <w:szCs w:val="26"/>
        </w:rPr>
        <w:t xml:space="preserve"> </w:t>
      </w:r>
      <w:r w:rsidR="000233AF" w:rsidRPr="00DE6F0A">
        <w:rPr>
          <w:rFonts w:ascii="Arial Narrow" w:hAnsi="Arial Narrow"/>
          <w:sz w:val="26"/>
          <w:szCs w:val="26"/>
        </w:rPr>
        <w:t xml:space="preserve">petición de </w:t>
      </w:r>
      <w:r w:rsidR="00A927D6" w:rsidRPr="00DE6F0A">
        <w:rPr>
          <w:rFonts w:ascii="Arial Narrow" w:hAnsi="Arial Narrow"/>
          <w:sz w:val="26"/>
          <w:szCs w:val="26"/>
        </w:rPr>
        <w:t>cesión de costas</w:t>
      </w:r>
      <w:r w:rsidR="006D412D" w:rsidRPr="00DE6F0A">
        <w:rPr>
          <w:rFonts w:ascii="Arial Narrow" w:hAnsi="Arial Narrow"/>
          <w:sz w:val="26"/>
          <w:szCs w:val="26"/>
        </w:rPr>
        <w:t xml:space="preserve"> a favor del actor popular,</w:t>
      </w:r>
      <w:r w:rsidR="00A927D6" w:rsidRPr="00DE6F0A">
        <w:rPr>
          <w:rFonts w:ascii="Arial Narrow" w:hAnsi="Arial Narrow"/>
          <w:sz w:val="26"/>
          <w:szCs w:val="26"/>
        </w:rPr>
        <w:t xml:space="preserve"> </w:t>
      </w:r>
      <w:r w:rsidR="006D412D" w:rsidRPr="00DE6F0A">
        <w:rPr>
          <w:rFonts w:ascii="Arial Narrow" w:hAnsi="Arial Narrow"/>
          <w:sz w:val="26"/>
          <w:szCs w:val="26"/>
        </w:rPr>
        <w:t>presentada por el</w:t>
      </w:r>
      <w:r w:rsidR="00A927D6" w:rsidRPr="00DE6F0A">
        <w:rPr>
          <w:rFonts w:ascii="Arial Narrow" w:hAnsi="Arial Narrow"/>
          <w:sz w:val="26"/>
          <w:szCs w:val="26"/>
        </w:rPr>
        <w:t xml:space="preserve"> coadyuvante Javier </w:t>
      </w:r>
      <w:r w:rsidR="00FD0C23" w:rsidRPr="00DE6F0A">
        <w:rPr>
          <w:rFonts w:ascii="Arial Narrow" w:hAnsi="Arial Narrow"/>
          <w:sz w:val="26"/>
          <w:szCs w:val="26"/>
        </w:rPr>
        <w:t xml:space="preserve">Arias, </w:t>
      </w:r>
      <w:r w:rsidR="006D412D" w:rsidRPr="00DE6F0A">
        <w:rPr>
          <w:rFonts w:ascii="Arial Narrow" w:hAnsi="Arial Narrow"/>
          <w:sz w:val="26"/>
          <w:szCs w:val="26"/>
        </w:rPr>
        <w:t xml:space="preserve">reiterada por última vez en memorial recibido el 18 de mayo de 2021, </w:t>
      </w:r>
      <w:r w:rsidR="00FD0C23" w:rsidRPr="00DE6F0A">
        <w:rPr>
          <w:rFonts w:ascii="Arial Narrow" w:hAnsi="Arial Narrow"/>
          <w:sz w:val="26"/>
          <w:szCs w:val="26"/>
        </w:rPr>
        <w:t xml:space="preserve">por cuanto a su favor no se </w:t>
      </w:r>
      <w:r w:rsidR="00B95EED" w:rsidRPr="00DE6F0A">
        <w:rPr>
          <w:rFonts w:ascii="Arial Narrow" w:hAnsi="Arial Narrow"/>
          <w:sz w:val="26"/>
          <w:szCs w:val="26"/>
        </w:rPr>
        <w:t>e</w:t>
      </w:r>
      <w:r w:rsidR="00FD0C23" w:rsidRPr="00DE6F0A">
        <w:rPr>
          <w:rFonts w:ascii="Arial Narrow" w:hAnsi="Arial Narrow"/>
          <w:sz w:val="26"/>
          <w:szCs w:val="26"/>
        </w:rPr>
        <w:t xml:space="preserve">videncia acreditada </w:t>
      </w:r>
      <w:r w:rsidR="00B95EED" w:rsidRPr="00DE6F0A">
        <w:rPr>
          <w:rFonts w:ascii="Arial Narrow" w:hAnsi="Arial Narrow"/>
          <w:sz w:val="26"/>
          <w:szCs w:val="26"/>
        </w:rPr>
        <w:t>condena alguna</w:t>
      </w:r>
      <w:r w:rsidR="00FD0C23" w:rsidRPr="00DE6F0A">
        <w:rPr>
          <w:rFonts w:ascii="Arial Narrow" w:hAnsi="Arial Narrow"/>
          <w:sz w:val="26"/>
          <w:szCs w:val="26"/>
        </w:rPr>
        <w:t xml:space="preserve"> por ese concepto.</w:t>
      </w:r>
    </w:p>
    <w:p w14:paraId="0470B65F" w14:textId="6704897C" w:rsidR="00524494" w:rsidRPr="00DE6F0A" w:rsidRDefault="00524494" w:rsidP="00DE6F0A">
      <w:pPr>
        <w:pStyle w:val="Sinespaciado"/>
        <w:spacing w:line="276" w:lineRule="auto"/>
        <w:jc w:val="both"/>
        <w:rPr>
          <w:rFonts w:ascii="Arial Narrow" w:hAnsi="Arial Narrow"/>
          <w:sz w:val="26"/>
          <w:szCs w:val="26"/>
        </w:rPr>
      </w:pPr>
    </w:p>
    <w:p w14:paraId="2936CD1D" w14:textId="048C79D4" w:rsidR="004D53CC" w:rsidRPr="00DE6F0A" w:rsidRDefault="00721362" w:rsidP="00DE6F0A">
      <w:pPr>
        <w:pStyle w:val="Sinespaciado"/>
        <w:spacing w:line="276" w:lineRule="auto"/>
        <w:jc w:val="center"/>
        <w:rPr>
          <w:rFonts w:ascii="Arial Narrow" w:hAnsi="Arial Narrow"/>
          <w:bCs/>
          <w:sz w:val="26"/>
          <w:szCs w:val="26"/>
        </w:rPr>
      </w:pPr>
      <w:r w:rsidRPr="00DE6F0A">
        <w:rPr>
          <w:rFonts w:ascii="Arial Narrow" w:hAnsi="Arial Narrow"/>
          <w:b/>
          <w:sz w:val="26"/>
          <w:szCs w:val="26"/>
        </w:rPr>
        <w:t>DECISION</w:t>
      </w:r>
    </w:p>
    <w:p w14:paraId="626CF6FC" w14:textId="25F3AACA" w:rsidR="00CA76C7" w:rsidRPr="00DE6F0A" w:rsidRDefault="00CA76C7" w:rsidP="00DE6F0A">
      <w:pPr>
        <w:pStyle w:val="Sinespaciado"/>
        <w:spacing w:line="276" w:lineRule="auto"/>
        <w:jc w:val="both"/>
        <w:rPr>
          <w:rFonts w:ascii="Arial Narrow" w:hAnsi="Arial Narrow"/>
          <w:sz w:val="26"/>
          <w:szCs w:val="26"/>
        </w:rPr>
      </w:pPr>
    </w:p>
    <w:p w14:paraId="094C025C" w14:textId="77777777" w:rsidR="00CA76C7" w:rsidRPr="00DE6F0A" w:rsidRDefault="00CA76C7" w:rsidP="00DE6F0A">
      <w:pPr>
        <w:pStyle w:val="Sinespaciado"/>
        <w:spacing w:line="276" w:lineRule="auto"/>
        <w:jc w:val="both"/>
        <w:rPr>
          <w:rFonts w:ascii="Arial Narrow" w:hAnsi="Arial Narrow"/>
          <w:sz w:val="26"/>
          <w:szCs w:val="26"/>
        </w:rPr>
      </w:pPr>
      <w:r w:rsidRPr="00DE6F0A">
        <w:rPr>
          <w:rFonts w:ascii="Arial Narrow" w:hAnsi="Arial Narrow"/>
          <w:sz w:val="26"/>
          <w:szCs w:val="26"/>
        </w:rPr>
        <w:t>Por lo expuesto, la Sala Civil Familia del Tribunal Superior de Pereira, Risaralda, administrando justicia en nombre de la República y por autoridad de la ley,</w:t>
      </w:r>
    </w:p>
    <w:p w14:paraId="44032A9C" w14:textId="77777777" w:rsidR="00CA76C7" w:rsidRPr="00DE6F0A" w:rsidRDefault="00CA76C7" w:rsidP="00DE6F0A">
      <w:pPr>
        <w:pStyle w:val="Sinespaciado"/>
        <w:spacing w:line="276" w:lineRule="auto"/>
        <w:jc w:val="both"/>
        <w:rPr>
          <w:rFonts w:ascii="Arial Narrow" w:hAnsi="Arial Narrow"/>
          <w:sz w:val="26"/>
          <w:szCs w:val="26"/>
        </w:rPr>
      </w:pPr>
    </w:p>
    <w:p w14:paraId="48867C70" w14:textId="77777777" w:rsidR="00CA76C7" w:rsidRPr="00DE6F0A" w:rsidRDefault="00CA76C7" w:rsidP="00DE6F0A">
      <w:pPr>
        <w:pStyle w:val="Sinespaciado"/>
        <w:spacing w:line="276" w:lineRule="auto"/>
        <w:jc w:val="center"/>
        <w:rPr>
          <w:rFonts w:ascii="Arial Narrow" w:hAnsi="Arial Narrow"/>
          <w:sz w:val="26"/>
          <w:szCs w:val="26"/>
        </w:rPr>
      </w:pPr>
      <w:r w:rsidRPr="00DE6F0A">
        <w:rPr>
          <w:rFonts w:ascii="Arial Narrow" w:hAnsi="Arial Narrow"/>
          <w:b/>
          <w:bCs/>
          <w:sz w:val="26"/>
          <w:szCs w:val="26"/>
        </w:rPr>
        <w:t>RESUELVE</w:t>
      </w:r>
    </w:p>
    <w:p w14:paraId="6A609F64" w14:textId="77777777" w:rsidR="00CA76C7" w:rsidRPr="00DE6F0A" w:rsidRDefault="00CA76C7" w:rsidP="00DE6F0A">
      <w:pPr>
        <w:pStyle w:val="Sinespaciado"/>
        <w:spacing w:line="276" w:lineRule="auto"/>
        <w:jc w:val="center"/>
        <w:rPr>
          <w:rFonts w:ascii="Arial Narrow" w:hAnsi="Arial Narrow"/>
          <w:sz w:val="26"/>
          <w:szCs w:val="26"/>
        </w:rPr>
      </w:pPr>
    </w:p>
    <w:p w14:paraId="6E20B1AE" w14:textId="15E97A15" w:rsidR="007B5BB6" w:rsidRPr="00DE6F0A" w:rsidRDefault="00082FCE" w:rsidP="00DE6F0A">
      <w:pPr>
        <w:pStyle w:val="Sinespaciado"/>
        <w:spacing w:line="276" w:lineRule="auto"/>
        <w:jc w:val="both"/>
        <w:rPr>
          <w:rFonts w:ascii="Arial Narrow" w:hAnsi="Arial Narrow"/>
          <w:sz w:val="26"/>
          <w:szCs w:val="26"/>
        </w:rPr>
      </w:pPr>
      <w:r w:rsidRPr="00DE6F0A">
        <w:rPr>
          <w:rFonts w:ascii="Arial Narrow" w:hAnsi="Arial Narrow" w:cs="Arial"/>
          <w:b/>
          <w:bCs/>
          <w:sz w:val="26"/>
          <w:szCs w:val="26"/>
          <w:lang w:val="es-MX"/>
        </w:rPr>
        <w:t xml:space="preserve">PRIMERO: </w:t>
      </w:r>
      <w:r w:rsidR="00CC1933" w:rsidRPr="00DE6F0A">
        <w:rPr>
          <w:rFonts w:ascii="Arial Narrow" w:hAnsi="Arial Narrow"/>
          <w:b/>
          <w:bCs/>
          <w:sz w:val="26"/>
          <w:szCs w:val="26"/>
        </w:rPr>
        <w:t>CONFIRMAR</w:t>
      </w:r>
      <w:r w:rsidR="00CC1933" w:rsidRPr="00DE6F0A">
        <w:rPr>
          <w:rFonts w:ascii="Arial Narrow" w:hAnsi="Arial Narrow"/>
          <w:sz w:val="26"/>
          <w:szCs w:val="26"/>
        </w:rPr>
        <w:t xml:space="preserve"> </w:t>
      </w:r>
      <w:r w:rsidR="007B5BB6" w:rsidRPr="00DE6F0A">
        <w:rPr>
          <w:rFonts w:ascii="Arial Narrow" w:hAnsi="Arial Narrow"/>
          <w:sz w:val="26"/>
          <w:szCs w:val="26"/>
        </w:rPr>
        <w:t xml:space="preserve">el fallo proferido por </w:t>
      </w:r>
      <w:r w:rsidR="007B5BB6" w:rsidRPr="00DE6F0A">
        <w:rPr>
          <w:rFonts w:ascii="Arial Narrow" w:hAnsi="Arial Narrow"/>
          <w:bCs/>
          <w:sz w:val="26"/>
          <w:szCs w:val="26"/>
          <w:lang w:val="es-CO"/>
        </w:rPr>
        <w:t>el Juzgado Cuarto Civil del Circuito de Pereira</w:t>
      </w:r>
      <w:r w:rsidR="007B5BB6" w:rsidRPr="00DE6F0A">
        <w:rPr>
          <w:rFonts w:ascii="Arial Narrow" w:hAnsi="Arial Narrow"/>
          <w:sz w:val="26"/>
          <w:szCs w:val="26"/>
        </w:rPr>
        <w:t xml:space="preserve">, el </w:t>
      </w:r>
      <w:r w:rsidR="00CC1933" w:rsidRPr="00DE6F0A">
        <w:rPr>
          <w:rFonts w:ascii="Arial Narrow" w:hAnsi="Arial Narrow"/>
          <w:sz w:val="26"/>
          <w:szCs w:val="26"/>
        </w:rPr>
        <w:t>12</w:t>
      </w:r>
      <w:r w:rsidR="007B5BB6" w:rsidRPr="00DE6F0A">
        <w:rPr>
          <w:rFonts w:ascii="Arial Narrow" w:hAnsi="Arial Narrow"/>
          <w:sz w:val="26"/>
          <w:szCs w:val="26"/>
        </w:rPr>
        <w:t xml:space="preserve"> de </w:t>
      </w:r>
      <w:r w:rsidR="00CC1933" w:rsidRPr="00DE6F0A">
        <w:rPr>
          <w:rFonts w:ascii="Arial Narrow" w:hAnsi="Arial Narrow"/>
          <w:sz w:val="26"/>
          <w:szCs w:val="26"/>
        </w:rPr>
        <w:t>abril</w:t>
      </w:r>
      <w:r w:rsidR="007B5BB6" w:rsidRPr="00DE6F0A">
        <w:rPr>
          <w:rFonts w:ascii="Arial Narrow" w:hAnsi="Arial Narrow"/>
          <w:sz w:val="26"/>
          <w:szCs w:val="26"/>
        </w:rPr>
        <w:t xml:space="preserve"> de </w:t>
      </w:r>
      <w:r w:rsidR="00CC1933" w:rsidRPr="00DE6F0A">
        <w:rPr>
          <w:rFonts w:ascii="Arial Narrow" w:hAnsi="Arial Narrow"/>
          <w:sz w:val="26"/>
          <w:szCs w:val="26"/>
        </w:rPr>
        <w:t>2019</w:t>
      </w:r>
      <w:r w:rsidR="007B5BB6" w:rsidRPr="00DE6F0A">
        <w:rPr>
          <w:rFonts w:ascii="Arial Narrow" w:hAnsi="Arial Narrow"/>
          <w:sz w:val="26"/>
          <w:szCs w:val="26"/>
        </w:rPr>
        <w:t>, en la</w:t>
      </w:r>
      <w:r w:rsidR="007E33FF" w:rsidRPr="00DE6F0A">
        <w:rPr>
          <w:rFonts w:ascii="Arial Narrow" w:hAnsi="Arial Narrow"/>
          <w:sz w:val="26"/>
          <w:szCs w:val="26"/>
        </w:rPr>
        <w:t>s</w:t>
      </w:r>
      <w:r w:rsidR="007B5BB6" w:rsidRPr="00DE6F0A">
        <w:rPr>
          <w:rFonts w:ascii="Arial Narrow" w:hAnsi="Arial Narrow"/>
          <w:sz w:val="26"/>
          <w:szCs w:val="26"/>
        </w:rPr>
        <w:t xml:space="preserve"> acci</w:t>
      </w:r>
      <w:r w:rsidR="007E33FF" w:rsidRPr="00DE6F0A">
        <w:rPr>
          <w:rFonts w:ascii="Arial Narrow" w:hAnsi="Arial Narrow"/>
          <w:sz w:val="26"/>
          <w:szCs w:val="26"/>
        </w:rPr>
        <w:t>o</w:t>
      </w:r>
      <w:r w:rsidR="007B5BB6" w:rsidRPr="00DE6F0A">
        <w:rPr>
          <w:rFonts w:ascii="Arial Narrow" w:hAnsi="Arial Narrow"/>
          <w:sz w:val="26"/>
          <w:szCs w:val="26"/>
        </w:rPr>
        <w:t>n</w:t>
      </w:r>
      <w:r w:rsidR="007E33FF" w:rsidRPr="00DE6F0A">
        <w:rPr>
          <w:rFonts w:ascii="Arial Narrow" w:hAnsi="Arial Narrow"/>
          <w:sz w:val="26"/>
          <w:szCs w:val="26"/>
        </w:rPr>
        <w:t>es</w:t>
      </w:r>
      <w:r w:rsidR="007B5BB6" w:rsidRPr="00DE6F0A">
        <w:rPr>
          <w:rFonts w:ascii="Arial Narrow" w:hAnsi="Arial Narrow"/>
          <w:sz w:val="26"/>
          <w:szCs w:val="26"/>
        </w:rPr>
        <w:t xml:space="preserve"> </w:t>
      </w:r>
      <w:r w:rsidR="00CC1933" w:rsidRPr="00DE6F0A">
        <w:rPr>
          <w:rFonts w:ascii="Arial Narrow" w:hAnsi="Arial Narrow"/>
          <w:sz w:val="26"/>
          <w:szCs w:val="26"/>
        </w:rPr>
        <w:t>popular</w:t>
      </w:r>
      <w:r w:rsidR="007E33FF" w:rsidRPr="00DE6F0A">
        <w:rPr>
          <w:rFonts w:ascii="Arial Narrow" w:hAnsi="Arial Narrow"/>
          <w:sz w:val="26"/>
          <w:szCs w:val="26"/>
        </w:rPr>
        <w:t>es</w:t>
      </w:r>
      <w:r w:rsidR="00CC1933" w:rsidRPr="00DE6F0A">
        <w:rPr>
          <w:rFonts w:ascii="Arial Narrow" w:hAnsi="Arial Narrow"/>
          <w:sz w:val="26"/>
          <w:szCs w:val="26"/>
        </w:rPr>
        <w:t xml:space="preserve"> (acumuladas) </w:t>
      </w:r>
      <w:r w:rsidR="005F0AEE" w:rsidRPr="00DE6F0A">
        <w:rPr>
          <w:rFonts w:ascii="Arial Narrow" w:hAnsi="Arial Narrow"/>
          <w:sz w:val="26"/>
          <w:szCs w:val="26"/>
        </w:rPr>
        <w:t>acá analizada</w:t>
      </w:r>
      <w:r w:rsidR="007E33FF" w:rsidRPr="00DE6F0A">
        <w:rPr>
          <w:rFonts w:ascii="Arial Narrow" w:hAnsi="Arial Narrow"/>
          <w:sz w:val="26"/>
          <w:szCs w:val="26"/>
        </w:rPr>
        <w:t>s</w:t>
      </w:r>
      <w:r w:rsidR="007B5BB6" w:rsidRPr="00DE6F0A">
        <w:rPr>
          <w:rFonts w:ascii="Arial Narrow" w:hAnsi="Arial Narrow"/>
          <w:sz w:val="26"/>
          <w:szCs w:val="26"/>
        </w:rPr>
        <w:t>.</w:t>
      </w:r>
    </w:p>
    <w:p w14:paraId="02BEAD97" w14:textId="77777777" w:rsidR="00C95185" w:rsidRPr="00DE6F0A" w:rsidRDefault="00C95185" w:rsidP="00DE6F0A">
      <w:pPr>
        <w:pStyle w:val="Sinespaciado"/>
        <w:spacing w:line="276" w:lineRule="auto"/>
        <w:jc w:val="both"/>
        <w:rPr>
          <w:rFonts w:ascii="Arial Narrow" w:hAnsi="Arial Narrow"/>
          <w:sz w:val="26"/>
          <w:szCs w:val="26"/>
        </w:rPr>
      </w:pPr>
    </w:p>
    <w:p w14:paraId="4FB5B3E1" w14:textId="2B37BA6B" w:rsidR="00CC1933" w:rsidRPr="00DE6F0A" w:rsidRDefault="00082FCE" w:rsidP="00DE6F0A">
      <w:pPr>
        <w:pStyle w:val="Sinespaciado"/>
        <w:spacing w:line="276" w:lineRule="auto"/>
        <w:jc w:val="both"/>
        <w:rPr>
          <w:rFonts w:ascii="Arial Narrow" w:hAnsi="Arial Narrow" w:cs="Arial"/>
          <w:sz w:val="26"/>
          <w:szCs w:val="26"/>
          <w:lang w:val="es-MX"/>
        </w:rPr>
      </w:pPr>
      <w:r w:rsidRPr="00DE6F0A">
        <w:rPr>
          <w:rFonts w:ascii="Arial Narrow" w:hAnsi="Arial Narrow" w:cs="Arial"/>
          <w:b/>
          <w:bCs/>
          <w:sz w:val="26"/>
          <w:szCs w:val="26"/>
          <w:lang w:val="es-MX"/>
        </w:rPr>
        <w:t xml:space="preserve">SEGUNDO: </w:t>
      </w:r>
      <w:r w:rsidR="00B34D7D" w:rsidRPr="00DE6F0A">
        <w:rPr>
          <w:rFonts w:ascii="Arial Narrow" w:hAnsi="Arial Narrow" w:cs="Arial"/>
          <w:b/>
          <w:bCs/>
          <w:sz w:val="26"/>
          <w:szCs w:val="26"/>
          <w:lang w:val="es-MX"/>
        </w:rPr>
        <w:t>ORDENAR</w:t>
      </w:r>
      <w:r w:rsidR="00B34D7D" w:rsidRPr="00DE6F0A">
        <w:rPr>
          <w:rFonts w:ascii="Arial Narrow" w:hAnsi="Arial Narrow" w:cs="Arial"/>
          <w:sz w:val="26"/>
          <w:szCs w:val="26"/>
          <w:lang w:val="es-MX"/>
        </w:rPr>
        <w:t xml:space="preserve"> a la entidad accionada que de conformidad con lo previsto por el artículo 42 de la Ley 472 de 1998, en el término de cinco (5) días preste garantía bancaria o póliza de seguros, por la suma de $5.000.000 para garantizar el cumplimiento de la </w:t>
      </w:r>
      <w:r w:rsidR="00257F38" w:rsidRPr="00DE6F0A">
        <w:rPr>
          <w:rFonts w:ascii="Arial Narrow" w:hAnsi="Arial Narrow" w:cs="Arial"/>
          <w:sz w:val="26"/>
          <w:szCs w:val="26"/>
          <w:lang w:val="es-MX"/>
        </w:rPr>
        <w:t>sentencia</w:t>
      </w:r>
      <w:r w:rsidR="00B34D7D" w:rsidRPr="00DE6F0A">
        <w:rPr>
          <w:rFonts w:ascii="Arial Narrow" w:hAnsi="Arial Narrow" w:cs="Arial"/>
          <w:sz w:val="26"/>
          <w:szCs w:val="26"/>
          <w:lang w:val="es-MX"/>
        </w:rPr>
        <w:t>.</w:t>
      </w:r>
    </w:p>
    <w:p w14:paraId="2B4A841D" w14:textId="77777777" w:rsidR="00CC1933" w:rsidRPr="00DE6F0A" w:rsidRDefault="00CC1933" w:rsidP="00DE6F0A">
      <w:pPr>
        <w:pStyle w:val="Sinespaciado"/>
        <w:spacing w:line="276" w:lineRule="auto"/>
        <w:jc w:val="both"/>
        <w:rPr>
          <w:rFonts w:ascii="Arial Narrow" w:hAnsi="Arial Narrow" w:cs="Arial"/>
          <w:b/>
          <w:bCs/>
          <w:sz w:val="26"/>
          <w:szCs w:val="26"/>
          <w:lang w:val="es-MX"/>
        </w:rPr>
      </w:pPr>
    </w:p>
    <w:p w14:paraId="43E2C6C4" w14:textId="2B26BB59" w:rsidR="001133E7" w:rsidRPr="00DE6F0A" w:rsidRDefault="00B34D7D" w:rsidP="00DE6F0A">
      <w:pPr>
        <w:pStyle w:val="Sinespaciado"/>
        <w:spacing w:line="276" w:lineRule="auto"/>
        <w:jc w:val="both"/>
        <w:rPr>
          <w:rFonts w:ascii="Arial Narrow" w:hAnsi="Arial Narrow" w:cs="Arial"/>
          <w:sz w:val="26"/>
          <w:szCs w:val="26"/>
          <w:lang w:val="es-MX"/>
        </w:rPr>
      </w:pPr>
      <w:r w:rsidRPr="00DE6F0A">
        <w:rPr>
          <w:rFonts w:ascii="Arial Narrow" w:hAnsi="Arial Narrow" w:cs="Arial"/>
          <w:b/>
          <w:bCs/>
          <w:sz w:val="26"/>
          <w:szCs w:val="26"/>
          <w:lang w:val="es-MX"/>
        </w:rPr>
        <w:t>TERCERO</w:t>
      </w:r>
      <w:r w:rsidRPr="00DE6F0A">
        <w:rPr>
          <w:rFonts w:ascii="Arial Narrow" w:hAnsi="Arial Narrow" w:cs="Arial"/>
          <w:sz w:val="26"/>
          <w:szCs w:val="26"/>
          <w:lang w:val="es-MX"/>
        </w:rPr>
        <w:t xml:space="preserve">: </w:t>
      </w:r>
      <w:r w:rsidR="002030C7" w:rsidRPr="00DE6F0A">
        <w:rPr>
          <w:rFonts w:ascii="Arial Narrow" w:hAnsi="Arial Narrow" w:cs="Arial"/>
          <w:sz w:val="26"/>
          <w:szCs w:val="26"/>
          <w:lang w:val="es-MX"/>
        </w:rPr>
        <w:t>Sin condena en costas en esta instancia, por lo anotado</w:t>
      </w:r>
      <w:r w:rsidR="001133E7" w:rsidRPr="00DE6F0A">
        <w:rPr>
          <w:rFonts w:ascii="Arial Narrow" w:hAnsi="Arial Narrow" w:cs="Arial"/>
          <w:sz w:val="26"/>
          <w:szCs w:val="26"/>
          <w:lang w:val="es-MX"/>
        </w:rPr>
        <w:t>.</w:t>
      </w:r>
      <w:r w:rsidRPr="00DE6F0A">
        <w:rPr>
          <w:rFonts w:ascii="Arial Narrow" w:hAnsi="Arial Narrow" w:cs="Arial"/>
          <w:sz w:val="26"/>
          <w:szCs w:val="26"/>
          <w:lang w:val="es-MX"/>
        </w:rPr>
        <w:t xml:space="preserve"> </w:t>
      </w:r>
    </w:p>
    <w:p w14:paraId="2E874028" w14:textId="77777777" w:rsidR="001133E7" w:rsidRPr="00DE6F0A" w:rsidRDefault="001133E7" w:rsidP="00DE6F0A">
      <w:pPr>
        <w:pStyle w:val="Sinespaciado"/>
        <w:spacing w:line="276" w:lineRule="auto"/>
        <w:jc w:val="both"/>
        <w:rPr>
          <w:rFonts w:ascii="Arial Narrow" w:hAnsi="Arial Narrow" w:cs="Arial"/>
          <w:b/>
          <w:bCs/>
          <w:sz w:val="26"/>
          <w:szCs w:val="26"/>
          <w:lang w:val="es-MX"/>
        </w:rPr>
      </w:pPr>
    </w:p>
    <w:p w14:paraId="3A6210F1" w14:textId="0B23D7A5" w:rsidR="002030C7" w:rsidRPr="00DE6F0A" w:rsidRDefault="00FA3125" w:rsidP="00DE6F0A">
      <w:pPr>
        <w:pStyle w:val="Sinespaciado"/>
        <w:spacing w:line="276" w:lineRule="auto"/>
        <w:jc w:val="both"/>
        <w:rPr>
          <w:rFonts w:ascii="Arial Narrow" w:hAnsi="Arial Narrow" w:cs="Arial"/>
          <w:sz w:val="26"/>
          <w:szCs w:val="26"/>
          <w:lang w:val="es-MX"/>
        </w:rPr>
      </w:pPr>
      <w:r w:rsidRPr="00DE6F0A">
        <w:rPr>
          <w:rFonts w:ascii="Arial Narrow" w:hAnsi="Arial Narrow" w:cs="Arial"/>
          <w:b/>
          <w:bCs/>
          <w:sz w:val="26"/>
          <w:szCs w:val="26"/>
          <w:lang w:val="es-MX"/>
        </w:rPr>
        <w:t>CUART</w:t>
      </w:r>
      <w:r w:rsidR="00741FE7" w:rsidRPr="00DE6F0A">
        <w:rPr>
          <w:rFonts w:ascii="Arial Narrow" w:hAnsi="Arial Narrow" w:cs="Arial"/>
          <w:b/>
          <w:bCs/>
          <w:sz w:val="26"/>
          <w:szCs w:val="26"/>
          <w:lang w:val="es-MX"/>
        </w:rPr>
        <w:t>O</w:t>
      </w:r>
      <w:r w:rsidRPr="00DE6F0A">
        <w:rPr>
          <w:rFonts w:ascii="Arial Narrow" w:hAnsi="Arial Narrow" w:cs="Arial"/>
          <w:b/>
          <w:bCs/>
          <w:sz w:val="26"/>
          <w:szCs w:val="26"/>
          <w:lang w:val="es-MX"/>
        </w:rPr>
        <w:t>:</w:t>
      </w:r>
      <w:r w:rsidR="002030C7" w:rsidRPr="00DE6F0A">
        <w:rPr>
          <w:rFonts w:ascii="Arial Narrow" w:hAnsi="Arial Narrow"/>
          <w:sz w:val="26"/>
          <w:szCs w:val="26"/>
        </w:rPr>
        <w:t xml:space="preserve"> </w:t>
      </w:r>
      <w:r w:rsidR="002030C7" w:rsidRPr="00DE6F0A">
        <w:rPr>
          <w:rFonts w:ascii="Arial Narrow" w:hAnsi="Arial Narrow" w:cs="Arial"/>
          <w:b/>
          <w:bCs/>
          <w:sz w:val="26"/>
          <w:szCs w:val="26"/>
          <w:lang w:val="es-MX"/>
        </w:rPr>
        <w:t xml:space="preserve">REMITIR </w:t>
      </w:r>
      <w:r w:rsidR="002030C7" w:rsidRPr="00DE6F0A">
        <w:rPr>
          <w:rFonts w:ascii="Arial Narrow" w:hAnsi="Arial Narrow" w:cs="Arial"/>
          <w:sz w:val="26"/>
          <w:szCs w:val="26"/>
          <w:lang w:val="es-MX"/>
        </w:rPr>
        <w:t>copia del presente fallo a la Defensoría del Pueblo, en</w:t>
      </w:r>
      <w:r w:rsidR="00741FE7" w:rsidRPr="00DE6F0A">
        <w:rPr>
          <w:rFonts w:ascii="Arial Narrow" w:hAnsi="Arial Narrow" w:cs="Arial"/>
          <w:sz w:val="26"/>
          <w:szCs w:val="26"/>
          <w:lang w:val="es-MX"/>
        </w:rPr>
        <w:t xml:space="preserve"> </w:t>
      </w:r>
      <w:r w:rsidR="002030C7" w:rsidRPr="00DE6F0A">
        <w:rPr>
          <w:rFonts w:ascii="Arial Narrow" w:hAnsi="Arial Narrow" w:cs="Arial"/>
          <w:sz w:val="26"/>
          <w:szCs w:val="26"/>
          <w:lang w:val="es-MX"/>
        </w:rPr>
        <w:t xml:space="preserve">cumplimiento de lo dispuesto en el artículo 80 de la Ley 472 de 1998. </w:t>
      </w:r>
    </w:p>
    <w:p w14:paraId="6A8119FA" w14:textId="77777777" w:rsidR="002030C7" w:rsidRPr="00DE6F0A" w:rsidRDefault="002030C7" w:rsidP="00DE6F0A">
      <w:pPr>
        <w:pStyle w:val="Sinespaciado"/>
        <w:spacing w:line="276" w:lineRule="auto"/>
        <w:jc w:val="both"/>
        <w:rPr>
          <w:rFonts w:ascii="Arial Narrow" w:hAnsi="Arial Narrow" w:cs="Arial"/>
          <w:b/>
          <w:bCs/>
          <w:sz w:val="26"/>
          <w:szCs w:val="26"/>
          <w:lang w:val="es-MX"/>
        </w:rPr>
      </w:pPr>
    </w:p>
    <w:p w14:paraId="26CDA836" w14:textId="748B512B" w:rsidR="00741FE7" w:rsidRPr="00DE6F0A" w:rsidRDefault="00741FE7" w:rsidP="00DE6F0A">
      <w:pPr>
        <w:pStyle w:val="Sinespaciado"/>
        <w:spacing w:line="276" w:lineRule="auto"/>
        <w:jc w:val="both"/>
        <w:rPr>
          <w:rFonts w:ascii="Arial Narrow" w:hAnsi="Arial Narrow" w:cs="Arial"/>
          <w:sz w:val="26"/>
          <w:szCs w:val="26"/>
          <w:lang w:val="es-MX"/>
        </w:rPr>
      </w:pPr>
      <w:r w:rsidRPr="00DE6F0A">
        <w:rPr>
          <w:rFonts w:ascii="Arial Narrow" w:hAnsi="Arial Narrow" w:cs="Arial"/>
          <w:b/>
          <w:bCs/>
          <w:sz w:val="26"/>
          <w:szCs w:val="26"/>
          <w:lang w:val="es-MX"/>
        </w:rPr>
        <w:t xml:space="preserve">QUINTO: </w:t>
      </w:r>
      <w:r w:rsidR="000942C2" w:rsidRPr="00DE6F0A">
        <w:rPr>
          <w:rFonts w:ascii="Arial Narrow" w:hAnsi="Arial Narrow" w:cs="Arial"/>
          <w:b/>
          <w:bCs/>
          <w:sz w:val="26"/>
          <w:szCs w:val="26"/>
          <w:lang w:val="es-MX"/>
        </w:rPr>
        <w:t xml:space="preserve">NEGAR </w:t>
      </w:r>
      <w:r w:rsidR="000942C2" w:rsidRPr="00DE6F0A">
        <w:rPr>
          <w:rFonts w:ascii="Arial Narrow" w:hAnsi="Arial Narrow" w:cs="Arial"/>
          <w:sz w:val="26"/>
          <w:szCs w:val="26"/>
          <w:lang w:val="es-MX"/>
        </w:rPr>
        <w:t>la solicitud de cesión de costas referida.</w:t>
      </w:r>
    </w:p>
    <w:p w14:paraId="2D692412" w14:textId="77777777" w:rsidR="00741FE7" w:rsidRPr="00DE6F0A" w:rsidRDefault="00741FE7" w:rsidP="00DE6F0A">
      <w:pPr>
        <w:pStyle w:val="Sinespaciado"/>
        <w:spacing w:line="276" w:lineRule="auto"/>
        <w:jc w:val="both"/>
        <w:rPr>
          <w:rFonts w:ascii="Arial Narrow" w:hAnsi="Arial Narrow" w:cs="Arial"/>
          <w:b/>
          <w:bCs/>
          <w:sz w:val="26"/>
          <w:szCs w:val="26"/>
          <w:lang w:val="es-MX"/>
        </w:rPr>
      </w:pPr>
    </w:p>
    <w:p w14:paraId="67F74579" w14:textId="69B67974" w:rsidR="00082FCE" w:rsidRPr="00DE6F0A" w:rsidRDefault="00741FE7" w:rsidP="00DE6F0A">
      <w:pPr>
        <w:pStyle w:val="Sinespaciado"/>
        <w:spacing w:line="276" w:lineRule="auto"/>
        <w:jc w:val="both"/>
        <w:rPr>
          <w:rFonts w:ascii="Arial Narrow" w:hAnsi="Arial Narrow" w:cs="Arial"/>
          <w:sz w:val="26"/>
          <w:szCs w:val="26"/>
          <w:lang w:val="es-MX"/>
        </w:rPr>
      </w:pPr>
      <w:r w:rsidRPr="00DE6F0A">
        <w:rPr>
          <w:rFonts w:ascii="Arial Narrow" w:hAnsi="Arial Narrow" w:cs="Arial"/>
          <w:b/>
          <w:bCs/>
          <w:sz w:val="26"/>
          <w:szCs w:val="26"/>
          <w:lang w:val="es-MX"/>
        </w:rPr>
        <w:t>SEXTO:</w:t>
      </w:r>
      <w:r w:rsidR="00FA3125" w:rsidRPr="00DE6F0A">
        <w:rPr>
          <w:rFonts w:ascii="Arial Narrow" w:hAnsi="Arial Narrow" w:cs="Arial"/>
          <w:b/>
          <w:bCs/>
          <w:sz w:val="26"/>
          <w:szCs w:val="26"/>
          <w:lang w:val="es-MX"/>
        </w:rPr>
        <w:t xml:space="preserve"> </w:t>
      </w:r>
      <w:r w:rsidR="00FA3125" w:rsidRPr="00DE6F0A">
        <w:rPr>
          <w:rFonts w:ascii="Arial Narrow" w:hAnsi="Arial Narrow" w:cs="Arial"/>
          <w:sz w:val="26"/>
          <w:szCs w:val="26"/>
          <w:lang w:val="es-MX"/>
        </w:rPr>
        <w:t>Ejecutoriada esta providencia, devuélvase el expediente al juzgado de origen.</w:t>
      </w:r>
    </w:p>
    <w:p w14:paraId="11DBB504" w14:textId="1E6FC2E0" w:rsidR="00CA76C7" w:rsidRPr="00DE6F0A" w:rsidRDefault="00CA76C7" w:rsidP="00DE6F0A">
      <w:pPr>
        <w:pStyle w:val="Sinespaciado"/>
        <w:spacing w:line="276" w:lineRule="auto"/>
        <w:jc w:val="both"/>
        <w:rPr>
          <w:rFonts w:ascii="Arial Narrow" w:hAnsi="Arial Narrow"/>
          <w:sz w:val="26"/>
          <w:szCs w:val="26"/>
        </w:rPr>
      </w:pPr>
    </w:p>
    <w:p w14:paraId="6F02BD81" w14:textId="77777777" w:rsidR="00DE6F0A" w:rsidRPr="00AE4475" w:rsidRDefault="00DE6F0A" w:rsidP="00DE6F0A">
      <w:pPr>
        <w:spacing w:line="276" w:lineRule="auto"/>
        <w:ind w:right="49"/>
        <w:jc w:val="center"/>
        <w:rPr>
          <w:rFonts w:ascii="Arial Narrow" w:hAnsi="Arial Narrow"/>
          <w:b/>
          <w:iCs/>
          <w:sz w:val="26"/>
          <w:szCs w:val="26"/>
        </w:rPr>
      </w:pPr>
      <w:bookmarkStart w:id="2" w:name="_Hlk83579254"/>
      <w:bookmarkStart w:id="3" w:name="_Hlk83579590"/>
      <w:r w:rsidRPr="00AE4475">
        <w:rPr>
          <w:rFonts w:ascii="Arial Narrow" w:hAnsi="Arial Narrow"/>
          <w:b/>
          <w:iCs/>
          <w:sz w:val="26"/>
          <w:szCs w:val="26"/>
        </w:rPr>
        <w:t>NOTIFÍQUESE Y CÚMPLASE</w:t>
      </w:r>
    </w:p>
    <w:p w14:paraId="572CE0EB" w14:textId="77777777" w:rsidR="00DE6F0A" w:rsidRPr="00AE4475" w:rsidRDefault="00DE6F0A" w:rsidP="00DE6F0A">
      <w:pPr>
        <w:spacing w:line="276" w:lineRule="auto"/>
        <w:ind w:right="49"/>
        <w:jc w:val="center"/>
        <w:rPr>
          <w:rFonts w:ascii="Arial Narrow" w:hAnsi="Arial Narrow"/>
          <w:bCs/>
          <w:sz w:val="26"/>
          <w:szCs w:val="26"/>
        </w:rPr>
      </w:pPr>
    </w:p>
    <w:p w14:paraId="6FBD764D" w14:textId="77777777" w:rsidR="00DE6F0A" w:rsidRPr="00AE4475" w:rsidRDefault="00DE6F0A" w:rsidP="00DE6F0A">
      <w:pPr>
        <w:spacing w:line="276" w:lineRule="auto"/>
        <w:ind w:right="49"/>
        <w:jc w:val="center"/>
        <w:rPr>
          <w:rFonts w:ascii="Arial Narrow" w:hAnsi="Arial Narrow"/>
          <w:bCs/>
          <w:sz w:val="26"/>
          <w:szCs w:val="26"/>
        </w:rPr>
      </w:pPr>
      <w:r w:rsidRPr="00AE4475">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7EB57475" wp14:editId="1241B626">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6BF5158F" w14:textId="77777777" w:rsidR="00DE6F0A" w:rsidRDefault="00DE6F0A" w:rsidP="00DE6F0A">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3448FC45" w14:textId="77777777" w:rsidR="00DE6F0A" w:rsidRDefault="00DE6F0A" w:rsidP="00DE6F0A">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B57475" id="Rectángulo 2" o:spid="_x0000_s1026" style="position:absolute;left:0;text-align:left;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6BF5158F" w14:textId="77777777" w:rsidR="00DE6F0A" w:rsidRDefault="00DE6F0A" w:rsidP="00DE6F0A">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3448FC45" w14:textId="77777777" w:rsidR="00DE6F0A" w:rsidRDefault="00DE6F0A" w:rsidP="00DE6F0A">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AE4475">
        <w:rPr>
          <w:rFonts w:ascii="Arial Narrow" w:hAnsi="Arial Narrow"/>
          <w:bCs/>
          <w:sz w:val="26"/>
          <w:szCs w:val="26"/>
        </w:rPr>
        <w:t>Los magistrados,</w:t>
      </w:r>
    </w:p>
    <w:p w14:paraId="52706D7E" w14:textId="77777777" w:rsidR="00DE6F0A" w:rsidRPr="00AE4475" w:rsidRDefault="00DE6F0A" w:rsidP="00DE6F0A">
      <w:pPr>
        <w:spacing w:line="276" w:lineRule="auto"/>
        <w:ind w:right="49"/>
        <w:jc w:val="both"/>
        <w:rPr>
          <w:rFonts w:ascii="Arial Narrow" w:hAnsi="Arial Narrow"/>
          <w:bCs/>
          <w:sz w:val="26"/>
          <w:szCs w:val="26"/>
        </w:rPr>
      </w:pPr>
    </w:p>
    <w:p w14:paraId="3E256EFD" w14:textId="77777777" w:rsidR="00DE6F0A" w:rsidRPr="00AE4475" w:rsidRDefault="00DE6F0A" w:rsidP="00DE6F0A">
      <w:pPr>
        <w:spacing w:line="276" w:lineRule="auto"/>
        <w:ind w:right="49"/>
        <w:jc w:val="both"/>
        <w:rPr>
          <w:rFonts w:ascii="Arial Narrow" w:hAnsi="Arial Narrow"/>
          <w:bCs/>
          <w:sz w:val="26"/>
          <w:szCs w:val="26"/>
        </w:rPr>
      </w:pPr>
    </w:p>
    <w:p w14:paraId="3D1FAF2F" w14:textId="77777777" w:rsidR="00DE6F0A" w:rsidRPr="00AE4475" w:rsidRDefault="00DE6F0A" w:rsidP="00DE6F0A">
      <w:pPr>
        <w:spacing w:line="276" w:lineRule="auto"/>
        <w:ind w:right="49"/>
        <w:jc w:val="both"/>
        <w:rPr>
          <w:rFonts w:ascii="Arial Narrow" w:hAnsi="Arial Narrow"/>
          <w:bCs/>
          <w:sz w:val="26"/>
          <w:szCs w:val="26"/>
        </w:rPr>
      </w:pPr>
    </w:p>
    <w:p w14:paraId="03907EA9" w14:textId="77777777" w:rsidR="00DE6F0A" w:rsidRPr="00AE4475" w:rsidRDefault="00DE6F0A" w:rsidP="00DE6F0A">
      <w:pPr>
        <w:spacing w:line="276" w:lineRule="auto"/>
        <w:ind w:right="49"/>
        <w:jc w:val="center"/>
        <w:rPr>
          <w:rFonts w:ascii="Arial Narrow" w:hAnsi="Arial Narrow" w:cs="Segoe UI"/>
          <w:b/>
          <w:bCs/>
          <w:sz w:val="26"/>
          <w:szCs w:val="26"/>
          <w:lang w:val="es-ES"/>
        </w:rPr>
      </w:pPr>
      <w:r w:rsidRPr="00AE4475">
        <w:rPr>
          <w:rFonts w:ascii="Arial Narrow" w:hAnsi="Arial Narrow" w:cs="Segoe UI"/>
          <w:b/>
          <w:bCs/>
          <w:sz w:val="26"/>
          <w:szCs w:val="26"/>
          <w:lang w:val="es-ES"/>
        </w:rPr>
        <w:t>CARLOS MAURICIO GARCÍA BARAJAS</w:t>
      </w:r>
    </w:p>
    <w:bookmarkEnd w:id="2"/>
    <w:p w14:paraId="5957D20A" w14:textId="77777777" w:rsidR="00DE6F0A" w:rsidRPr="00AE4475" w:rsidRDefault="00DE6F0A" w:rsidP="00DE6F0A">
      <w:pPr>
        <w:spacing w:line="276" w:lineRule="auto"/>
        <w:ind w:right="49"/>
        <w:jc w:val="both"/>
        <w:rPr>
          <w:rFonts w:ascii="Arial Narrow" w:hAnsi="Arial Narrow" w:cs="Segoe UI"/>
          <w:bCs/>
          <w:sz w:val="26"/>
          <w:szCs w:val="26"/>
          <w:lang w:val="es-ES"/>
        </w:rPr>
      </w:pPr>
    </w:p>
    <w:p w14:paraId="1921AFC3" w14:textId="77777777" w:rsidR="00DE6F0A" w:rsidRPr="00AE4475" w:rsidRDefault="00DE6F0A" w:rsidP="00DE6F0A">
      <w:pPr>
        <w:spacing w:line="276" w:lineRule="auto"/>
        <w:ind w:right="49"/>
        <w:jc w:val="both"/>
        <w:rPr>
          <w:rFonts w:ascii="Arial Narrow" w:hAnsi="Arial Narrow" w:cs="Segoe UI"/>
          <w:bCs/>
          <w:sz w:val="26"/>
          <w:szCs w:val="26"/>
          <w:lang w:val="es-ES"/>
        </w:rPr>
      </w:pPr>
    </w:p>
    <w:p w14:paraId="3C60956C" w14:textId="77777777" w:rsidR="00DE6F0A" w:rsidRPr="00AE4475" w:rsidRDefault="00DE6F0A" w:rsidP="00DE6F0A">
      <w:pPr>
        <w:spacing w:line="276" w:lineRule="auto"/>
        <w:ind w:right="49"/>
        <w:jc w:val="both"/>
        <w:rPr>
          <w:rFonts w:ascii="Arial Narrow" w:hAnsi="Arial Narrow" w:cs="Segoe UI"/>
          <w:bCs/>
          <w:sz w:val="26"/>
          <w:szCs w:val="26"/>
          <w:lang w:val="es-ES"/>
        </w:rPr>
      </w:pPr>
    </w:p>
    <w:p w14:paraId="605111F2" w14:textId="77777777" w:rsidR="00DE6F0A" w:rsidRPr="00AE4475" w:rsidRDefault="00DE6F0A" w:rsidP="00DE6F0A">
      <w:pPr>
        <w:spacing w:line="276" w:lineRule="auto"/>
        <w:ind w:right="49"/>
        <w:jc w:val="center"/>
        <w:rPr>
          <w:rFonts w:ascii="Arial Narrow" w:hAnsi="Arial Narrow" w:cs="Segoe UI"/>
          <w:b/>
          <w:bCs/>
          <w:sz w:val="26"/>
          <w:szCs w:val="26"/>
          <w:lang w:val="es-ES"/>
        </w:rPr>
      </w:pPr>
      <w:r w:rsidRPr="00AE4475">
        <w:rPr>
          <w:rFonts w:ascii="Arial Narrow" w:hAnsi="Arial Narrow" w:cs="Segoe UI"/>
          <w:b/>
          <w:bCs/>
          <w:sz w:val="26"/>
          <w:szCs w:val="26"/>
          <w:lang w:val="es-ES"/>
        </w:rPr>
        <w:t>DUBERNEY GRISALES HERRERA</w:t>
      </w:r>
    </w:p>
    <w:p w14:paraId="212A5638" w14:textId="77777777" w:rsidR="00DE6F0A" w:rsidRPr="00AE4475" w:rsidRDefault="00DE6F0A" w:rsidP="00DE6F0A">
      <w:pPr>
        <w:spacing w:line="276" w:lineRule="auto"/>
        <w:ind w:right="49"/>
        <w:jc w:val="both"/>
        <w:rPr>
          <w:rFonts w:ascii="Arial Narrow" w:hAnsi="Arial Narrow" w:cs="Segoe UI"/>
          <w:bCs/>
          <w:sz w:val="26"/>
          <w:szCs w:val="26"/>
          <w:lang w:val="es-ES"/>
        </w:rPr>
      </w:pPr>
    </w:p>
    <w:p w14:paraId="703A6BFF" w14:textId="77777777" w:rsidR="00DE6F0A" w:rsidRPr="00AE4475" w:rsidRDefault="00DE6F0A" w:rsidP="00DE6F0A">
      <w:pPr>
        <w:spacing w:line="276" w:lineRule="auto"/>
        <w:ind w:right="49"/>
        <w:jc w:val="both"/>
        <w:rPr>
          <w:rFonts w:ascii="Arial Narrow" w:hAnsi="Arial Narrow" w:cs="Segoe UI"/>
          <w:bCs/>
          <w:sz w:val="26"/>
          <w:szCs w:val="26"/>
          <w:lang w:val="es-ES"/>
        </w:rPr>
      </w:pPr>
    </w:p>
    <w:p w14:paraId="0C4E04AF" w14:textId="77777777" w:rsidR="00DE6F0A" w:rsidRPr="00AE4475" w:rsidRDefault="00DE6F0A" w:rsidP="00DE6F0A">
      <w:pPr>
        <w:spacing w:line="276" w:lineRule="auto"/>
        <w:ind w:right="49"/>
        <w:jc w:val="both"/>
        <w:rPr>
          <w:rFonts w:ascii="Arial Narrow" w:hAnsi="Arial Narrow" w:cs="Segoe UI"/>
          <w:bCs/>
          <w:sz w:val="26"/>
          <w:szCs w:val="26"/>
          <w:lang w:val="es-ES"/>
        </w:rPr>
      </w:pPr>
    </w:p>
    <w:p w14:paraId="2816688B" w14:textId="77777777" w:rsidR="00DE6F0A" w:rsidRPr="00AE4475" w:rsidRDefault="00DE6F0A" w:rsidP="00DE6F0A">
      <w:pPr>
        <w:spacing w:line="276" w:lineRule="auto"/>
        <w:ind w:right="49"/>
        <w:jc w:val="center"/>
        <w:rPr>
          <w:rFonts w:ascii="Arial Narrow" w:hAnsi="Arial Narrow"/>
          <w:sz w:val="26"/>
          <w:szCs w:val="26"/>
        </w:rPr>
      </w:pPr>
      <w:r w:rsidRPr="00AE4475">
        <w:rPr>
          <w:rFonts w:ascii="Arial Narrow" w:hAnsi="Arial Narrow" w:cs="Segoe UI"/>
          <w:b/>
          <w:bCs/>
          <w:sz w:val="26"/>
          <w:szCs w:val="26"/>
          <w:lang w:val="es-ES"/>
        </w:rPr>
        <w:t>EDDER JIMMY SÁNCHEZ CALAMBÁS</w:t>
      </w:r>
      <w:bookmarkEnd w:id="3"/>
    </w:p>
    <w:p w14:paraId="06FCF6F1" w14:textId="2335CC4B" w:rsidR="00BD31E0" w:rsidRPr="00DE6F0A" w:rsidRDefault="00DE6F0A" w:rsidP="00DE6F0A">
      <w:pPr>
        <w:spacing w:line="276" w:lineRule="auto"/>
        <w:ind w:right="49"/>
        <w:jc w:val="center"/>
        <w:rPr>
          <w:rFonts w:ascii="Arial Narrow" w:hAnsi="Arial Narrow" w:cs="Arial"/>
          <w:sz w:val="26"/>
          <w:szCs w:val="26"/>
        </w:rPr>
      </w:pPr>
      <w:r>
        <w:rPr>
          <w:rFonts w:ascii="Arial Narrow" w:hAnsi="Arial Narrow" w:cs="Arial"/>
          <w:bCs/>
          <w:sz w:val="26"/>
          <w:szCs w:val="26"/>
        </w:rPr>
        <w:t>C</w:t>
      </w:r>
      <w:r w:rsidR="00FF4D93" w:rsidRPr="00DE6F0A">
        <w:rPr>
          <w:rFonts w:ascii="Arial Narrow" w:hAnsi="Arial Narrow" w:cs="Arial"/>
          <w:bCs/>
          <w:sz w:val="26"/>
          <w:szCs w:val="26"/>
        </w:rPr>
        <w:t>on impedimento aceptado</w:t>
      </w:r>
    </w:p>
    <w:sectPr w:rsidR="00BD31E0" w:rsidRPr="00DE6F0A" w:rsidSect="00DE6F0A">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0E189" w14:textId="77777777" w:rsidR="005F147E" w:rsidRDefault="005F147E" w:rsidP="00CA76C7">
      <w:r>
        <w:separator/>
      </w:r>
    </w:p>
  </w:endnote>
  <w:endnote w:type="continuationSeparator" w:id="0">
    <w:p w14:paraId="156494EA" w14:textId="77777777" w:rsidR="005F147E" w:rsidRDefault="005F147E" w:rsidP="00C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6"/>
        <w:szCs w:val="16"/>
      </w:rPr>
      <w:id w:val="-295838284"/>
      <w:docPartObj>
        <w:docPartGallery w:val="Page Numbers (Bottom of Page)"/>
        <w:docPartUnique/>
      </w:docPartObj>
    </w:sdtPr>
    <w:sdtEndPr>
      <w:rPr>
        <w:rFonts w:ascii="Arial" w:hAnsi="Arial" w:cs="Arial"/>
        <w:bCs/>
        <w:sz w:val="18"/>
        <w:szCs w:val="18"/>
        <w:lang w:val="es-ES" w:eastAsia="es-MX"/>
      </w:rPr>
    </w:sdtEndPr>
    <w:sdtContent>
      <w:p w14:paraId="0D64B0C1" w14:textId="50D785A8" w:rsidR="000045BF" w:rsidRPr="00DE6F0A" w:rsidRDefault="000045BF">
        <w:pPr>
          <w:pStyle w:val="Piedepgina"/>
          <w:jc w:val="right"/>
          <w:rPr>
            <w:rFonts w:ascii="Arial" w:hAnsi="Arial" w:cs="Arial"/>
            <w:bCs/>
            <w:sz w:val="18"/>
            <w:szCs w:val="18"/>
            <w:lang w:val="es-ES" w:eastAsia="es-MX"/>
          </w:rPr>
        </w:pPr>
        <w:r w:rsidRPr="00DE6F0A">
          <w:rPr>
            <w:rFonts w:ascii="Arial" w:hAnsi="Arial" w:cs="Arial"/>
            <w:bCs/>
            <w:sz w:val="18"/>
            <w:szCs w:val="18"/>
            <w:lang w:val="es-ES" w:eastAsia="es-MX"/>
          </w:rPr>
          <w:fldChar w:fldCharType="begin"/>
        </w:r>
        <w:r w:rsidRPr="00DE6F0A">
          <w:rPr>
            <w:rFonts w:ascii="Arial" w:hAnsi="Arial" w:cs="Arial"/>
            <w:bCs/>
            <w:sz w:val="18"/>
            <w:szCs w:val="18"/>
            <w:lang w:val="es-ES" w:eastAsia="es-MX"/>
          </w:rPr>
          <w:instrText>PAGE   \* MERGEFORMAT</w:instrText>
        </w:r>
        <w:r w:rsidRPr="00DE6F0A">
          <w:rPr>
            <w:rFonts w:ascii="Arial" w:hAnsi="Arial" w:cs="Arial"/>
            <w:bCs/>
            <w:sz w:val="18"/>
            <w:szCs w:val="18"/>
            <w:lang w:val="es-ES" w:eastAsia="es-MX"/>
          </w:rPr>
          <w:fldChar w:fldCharType="separate"/>
        </w:r>
        <w:r w:rsidRPr="00DE6F0A">
          <w:rPr>
            <w:rFonts w:ascii="Arial" w:hAnsi="Arial" w:cs="Arial"/>
            <w:bCs/>
            <w:sz w:val="18"/>
            <w:szCs w:val="18"/>
            <w:lang w:val="es-ES" w:eastAsia="es-MX"/>
          </w:rPr>
          <w:t>2</w:t>
        </w:r>
        <w:r w:rsidRPr="00DE6F0A">
          <w:rPr>
            <w:rFonts w:ascii="Arial" w:hAnsi="Arial" w:cs="Arial"/>
            <w:bCs/>
            <w:sz w:val="18"/>
            <w:szCs w:val="18"/>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E593" w14:textId="77777777" w:rsidR="005F147E" w:rsidRDefault="005F147E" w:rsidP="00CA76C7">
      <w:r>
        <w:separator/>
      </w:r>
    </w:p>
  </w:footnote>
  <w:footnote w:type="continuationSeparator" w:id="0">
    <w:p w14:paraId="467EE98F" w14:textId="77777777" w:rsidR="005F147E" w:rsidRDefault="005F147E" w:rsidP="00CA76C7">
      <w:r>
        <w:continuationSeparator/>
      </w:r>
    </w:p>
  </w:footnote>
  <w:footnote w:id="1">
    <w:p w14:paraId="650EB327" w14:textId="6A931BC5" w:rsidR="002E4707" w:rsidRPr="001D3DFB" w:rsidRDefault="002E4707"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 esta acción se acumularon otras de similar naturaleza, que se tramitaban bajo los siguientes radicados: </w:t>
      </w:r>
      <w:r w:rsidR="00A2391C" w:rsidRPr="001D3DFB">
        <w:rPr>
          <w:rFonts w:ascii="Arial" w:hAnsi="Arial" w:cs="Arial"/>
          <w:sz w:val="18"/>
          <w:szCs w:val="18"/>
        </w:rPr>
        <w:t>2017-00209-00, 2017-00212-00, 2017-00213-00, 2017-00214-00, 2017-00216-00, 2017-00218-00, 2017-00223-00, 2017-00224-00, 2017-00275-00, 2017-00276-00, 2017-00277-00, 2017-00280-00, 2017-00281-00, 2017-00282-00, 2017-00283-00, 2017-00285-00, 2017-00287-00 y 2017-00288-00.</w:t>
      </w:r>
    </w:p>
  </w:footnote>
  <w:footnote w:id="2">
    <w:p w14:paraId="4EE9D99D"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11, archivo “Cuaderno No. 1 (Principal), parte 1”, del cuaderno de primera instancia.</w:t>
      </w:r>
    </w:p>
  </w:footnote>
  <w:footnote w:id="3">
    <w:p w14:paraId="7C4E4E86"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Aviso publicado por cuenta del Fondo para la Defensa de los Derechos e Intereses Colectivos de la Defensoría del Pueblo, según obra a página 97 y siguientes del archivo “Cuaderno No. 1 (Principal), parte 1”, del cuaderno de primera instancia.</w:t>
      </w:r>
    </w:p>
  </w:footnote>
  <w:footnote w:id="4">
    <w:p w14:paraId="6327597F"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17, ibidem.</w:t>
      </w:r>
    </w:p>
  </w:footnote>
  <w:footnote w:id="5">
    <w:p w14:paraId="77A14FD9"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24, Ibidem.</w:t>
      </w:r>
    </w:p>
  </w:footnote>
  <w:footnote w:id="6">
    <w:p w14:paraId="02813B8F"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110, ibidem.</w:t>
      </w:r>
    </w:p>
  </w:footnote>
  <w:footnote w:id="7">
    <w:p w14:paraId="32D69D04"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27, Ibidem.</w:t>
      </w:r>
    </w:p>
  </w:footnote>
  <w:footnote w:id="8">
    <w:p w14:paraId="6E52618B" w14:textId="77777777" w:rsidR="00D43DFE" w:rsidRPr="001D3DFB" w:rsidRDefault="00D43DFE" w:rsidP="001D3DFB">
      <w:pPr>
        <w:pStyle w:val="Textonotapie"/>
        <w:jc w:val="both"/>
        <w:rPr>
          <w:rFonts w:ascii="Arial" w:hAnsi="Arial" w:cs="Arial"/>
          <w:sz w:val="18"/>
          <w:szCs w:val="18"/>
          <w:lang w:val="es-CO"/>
        </w:rPr>
      </w:pPr>
      <w:r w:rsidRPr="001D3DFB">
        <w:rPr>
          <w:rStyle w:val="Refdenotaalpie"/>
          <w:rFonts w:ascii="Arial" w:hAnsi="Arial" w:cs="Arial"/>
          <w:sz w:val="18"/>
          <w:szCs w:val="18"/>
        </w:rPr>
        <w:footnoteRef/>
      </w:r>
      <w:r w:rsidRPr="001D3DFB">
        <w:rPr>
          <w:rFonts w:ascii="Arial" w:hAnsi="Arial" w:cs="Arial"/>
          <w:sz w:val="18"/>
          <w:szCs w:val="18"/>
        </w:rPr>
        <w:t xml:space="preserve"> Página 114, ibidem.</w:t>
      </w:r>
    </w:p>
  </w:footnote>
  <w:footnote w:id="9">
    <w:p w14:paraId="69750017"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76, ibidem.</w:t>
      </w:r>
    </w:p>
  </w:footnote>
  <w:footnote w:id="10">
    <w:p w14:paraId="48915017"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Auto del 24 de enero de 2018. Página 95, ibidem. Frente a las acciones acumuladas: auto de fecha 3 de septiembre de 2018, página 29 del archivo “Cuaderno No. 1 (Principal), parte 2”, en el cuaderno de primera instancia.</w:t>
      </w:r>
    </w:p>
  </w:footnote>
  <w:footnote w:id="11">
    <w:p w14:paraId="09BA651D"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103, “Cuaderno No. 1 (Principal), parte 1”, del cuaderno de primera instancia. </w:t>
      </w:r>
    </w:p>
  </w:footnote>
  <w:footnote w:id="12">
    <w:p w14:paraId="4EC5CC72"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172, “Cuaderno No. 1 (Principal), parte 2”, en el cuaderno de primera instancia.</w:t>
      </w:r>
    </w:p>
  </w:footnote>
  <w:footnote w:id="13">
    <w:p w14:paraId="15411320"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174, ibidem.</w:t>
      </w:r>
    </w:p>
  </w:footnote>
  <w:footnote w:id="14">
    <w:p w14:paraId="7C8760B4"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8, “Cuaderno No. 1 (Principal), parte 3”, en el cuaderno de primera instancia.</w:t>
      </w:r>
    </w:p>
  </w:footnote>
  <w:footnote w:id="15">
    <w:p w14:paraId="7095CE6D"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Style w:val="Refdenotaalpie"/>
          <w:rFonts w:ascii="Arial" w:hAnsi="Arial" w:cs="Arial"/>
          <w:sz w:val="18"/>
          <w:szCs w:val="18"/>
        </w:rPr>
        <w:t xml:space="preserve"> </w:t>
      </w:r>
      <w:r w:rsidRPr="001D3DFB">
        <w:rPr>
          <w:rFonts w:ascii="Arial" w:hAnsi="Arial" w:cs="Arial"/>
          <w:sz w:val="18"/>
          <w:szCs w:val="18"/>
        </w:rPr>
        <w:t>Página 101 Cuaderno No. 1 (Principal), parte 3.</w:t>
      </w:r>
    </w:p>
  </w:footnote>
  <w:footnote w:id="16">
    <w:p w14:paraId="3E1D214F"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Dando cumplimiento a lo ordenado por la Corte Suprema de Justicia, Sala Laboral, en la acción de tutela STL3249-2020, con auto de 14 de julio de 2020 (archivo 12ProvidenciaDel14_07_20203, cuaderno segunda instancia), corregido el 21 de octubre siguiente (20ProvidenciaDel21_10_20, cuaderno segunda instancia), se admitió el recurso de apelación propuesto por él frente a lo decidido en las acciones populares radicadas bajo los números 2017-00274-00, 2017-00218-00 y 2017-00276-00. Con todo, en auto de sala dual, al resolver recurso de súplica parcial contra esta providencia, se resolvió admitir además el recurso frente a las acciones populares acumuladas 2017-00214, 2017-00224 y 2017-00277, al existir frente a ellas también legitimación para recurrir.</w:t>
      </w:r>
    </w:p>
  </w:footnote>
  <w:footnote w:id="17">
    <w:p w14:paraId="7E93BB52"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En auto adiado 9 de febrero de 2021 se admitió la apelación adhesiva del actor popular Nilton </w:t>
      </w:r>
      <w:proofErr w:type="spellStart"/>
      <w:r w:rsidRPr="001D3DFB">
        <w:rPr>
          <w:rFonts w:ascii="Arial" w:hAnsi="Arial" w:cs="Arial"/>
          <w:sz w:val="18"/>
          <w:szCs w:val="18"/>
        </w:rPr>
        <w:t>Donavis</w:t>
      </w:r>
      <w:proofErr w:type="spellEnd"/>
      <w:r w:rsidRPr="001D3DFB">
        <w:rPr>
          <w:rFonts w:ascii="Arial" w:hAnsi="Arial" w:cs="Arial"/>
          <w:sz w:val="18"/>
          <w:szCs w:val="18"/>
        </w:rPr>
        <w:t xml:space="preserve"> Ruge Nieto. Archivo “52EstarALoResueltoEnSúplica”, cuaderno de segunda instancia.</w:t>
      </w:r>
    </w:p>
  </w:footnote>
  <w:footnote w:id="18">
    <w:p w14:paraId="04864103" w14:textId="77777777" w:rsidR="00D43DFE" w:rsidRPr="001D3DFB" w:rsidRDefault="00D43DFE" w:rsidP="001D3DFB">
      <w:pPr>
        <w:pStyle w:val="Sinespaciado"/>
        <w:jc w:val="both"/>
        <w:rPr>
          <w:rFonts w:ascii="Arial" w:hAnsi="Arial" w:cs="Arial"/>
          <w:sz w:val="18"/>
          <w:szCs w:val="18"/>
          <w:lang w:val="es-CO"/>
        </w:rPr>
      </w:pPr>
      <w:r w:rsidRPr="001D3DFB">
        <w:rPr>
          <w:rStyle w:val="Refdenotaalpie"/>
          <w:rFonts w:ascii="Arial" w:hAnsi="Arial" w:cs="Arial"/>
          <w:sz w:val="18"/>
          <w:szCs w:val="18"/>
        </w:rPr>
        <w:footnoteRef/>
      </w:r>
      <w:r w:rsidRPr="001D3DFB">
        <w:rPr>
          <w:rFonts w:ascii="Arial" w:hAnsi="Arial" w:cs="Arial"/>
          <w:sz w:val="18"/>
          <w:szCs w:val="18"/>
        </w:rPr>
        <w:t xml:space="preserve"> Archivo “67DeserciónParcialRecursos”, ibidem.</w:t>
      </w:r>
    </w:p>
  </w:footnote>
  <w:footnote w:id="19">
    <w:p w14:paraId="2D78CC42" w14:textId="77777777" w:rsidR="00D43DFE" w:rsidRPr="001D3DFB" w:rsidRDefault="00D43DFE" w:rsidP="001D3DFB">
      <w:pPr>
        <w:pStyle w:val="Sinespaciado"/>
        <w:jc w:val="both"/>
        <w:rPr>
          <w:rFonts w:ascii="Arial" w:hAnsi="Arial" w:cs="Arial"/>
          <w:sz w:val="18"/>
          <w:szCs w:val="18"/>
          <w:lang w:val="es-CO"/>
        </w:rPr>
      </w:pPr>
      <w:r w:rsidRPr="001D3DFB">
        <w:rPr>
          <w:rStyle w:val="Refdenotaalpie"/>
          <w:rFonts w:ascii="Arial" w:hAnsi="Arial" w:cs="Arial"/>
          <w:sz w:val="18"/>
          <w:szCs w:val="18"/>
        </w:rPr>
        <w:footnoteRef/>
      </w:r>
      <w:r w:rsidRPr="001D3DFB">
        <w:rPr>
          <w:rFonts w:ascii="Arial" w:hAnsi="Arial" w:cs="Arial"/>
          <w:sz w:val="18"/>
          <w:szCs w:val="18"/>
        </w:rPr>
        <w:t xml:space="preserve"> Archivo “74NoReponeAuto”, ibidem.</w:t>
      </w:r>
    </w:p>
  </w:footnote>
  <w:footnote w:id="20">
    <w:p w14:paraId="0E40D459"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145, archivo Cuaderno No. 1 (Principal), parte 3.</w:t>
      </w:r>
    </w:p>
  </w:footnote>
  <w:footnote w:id="21">
    <w:p w14:paraId="681F2209" w14:textId="77777777" w:rsidR="00D43DFE" w:rsidRPr="001D3DFB" w:rsidRDefault="00D43DF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El recurso interpuesto por la sociedad demandada se admitió en las acciones populares radicadas bajo los Nos. 2017-00209-00, 2017-00212-00, 2017-00213-00, 2017-00216-00, 2017-00223-00, 2017-00275-00, 2017-00280-00, 2017-00281-00, 2017-00282-00, 2017-00283-00, 2017-00285-00, 2017-00287-00 y 2017-00288-00. En las demás se declaró inadmisible por ausencia de legitimación para recurrir.</w:t>
      </w:r>
    </w:p>
  </w:footnote>
  <w:footnote w:id="22">
    <w:p w14:paraId="0D69ACF5" w14:textId="77777777" w:rsidR="00D43DFE" w:rsidRPr="001D3DFB" w:rsidRDefault="00D43DFE" w:rsidP="001D3DFB">
      <w:pPr>
        <w:pStyle w:val="Textonotapie"/>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Archivo 29 cuaderno de segunda instancia.</w:t>
      </w:r>
    </w:p>
  </w:footnote>
  <w:footnote w:id="23">
    <w:p w14:paraId="2A1CE5E2" w14:textId="77777777" w:rsidR="00D43DFE" w:rsidRPr="001D3DFB" w:rsidRDefault="00D43DFE" w:rsidP="001D3DFB">
      <w:pPr>
        <w:pStyle w:val="Textonotapie"/>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Archivo 80 cuaderno de segunda instancia.</w:t>
      </w:r>
    </w:p>
  </w:footnote>
  <w:footnote w:id="24">
    <w:p w14:paraId="3175B32F" w14:textId="77777777" w:rsidR="006018BE" w:rsidRPr="001D3DFB" w:rsidRDefault="006018BE"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Páginas 179 y 180, archivo Cuaderno No. 1 (Principal), parte 1.</w:t>
      </w:r>
    </w:p>
  </w:footnote>
  <w:footnote w:id="25">
    <w:p w14:paraId="498CC8FD" w14:textId="77777777" w:rsidR="005C0B8B" w:rsidRPr="001D3DFB" w:rsidRDefault="005C0B8B"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145, archivo Cuaderno No. 1 (Principal), parte 3.</w:t>
      </w:r>
    </w:p>
  </w:footnote>
  <w:footnote w:id="26">
    <w:p w14:paraId="66E90F9B" w14:textId="0F2F24CA" w:rsidR="009B0441" w:rsidRPr="001D3DFB" w:rsidRDefault="009B0441"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Archivo 29, cuaderno de segunda instancia.</w:t>
      </w:r>
    </w:p>
  </w:footnote>
  <w:footnote w:id="27">
    <w:p w14:paraId="2516D1F4" w14:textId="4E88FDC3" w:rsidR="00141E33" w:rsidRPr="001D3DFB" w:rsidRDefault="00141E33" w:rsidP="001D3DFB">
      <w:pPr>
        <w:pStyle w:val="Textonotapie"/>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En similar sentido: CSJ,</w:t>
      </w:r>
      <w:r w:rsidR="002156A1" w:rsidRPr="001D3DFB">
        <w:rPr>
          <w:rFonts w:ascii="Arial" w:hAnsi="Arial" w:cs="Arial"/>
          <w:sz w:val="18"/>
          <w:szCs w:val="18"/>
        </w:rPr>
        <w:t xml:space="preserve"> sentencia</w:t>
      </w:r>
      <w:r w:rsidRPr="001D3DFB">
        <w:rPr>
          <w:rFonts w:ascii="Arial" w:hAnsi="Arial" w:cs="Arial"/>
          <w:sz w:val="18"/>
          <w:szCs w:val="18"/>
        </w:rPr>
        <w:t xml:space="preserve"> STC10281-2018</w:t>
      </w:r>
      <w:r w:rsidR="002156A1" w:rsidRPr="001D3DFB">
        <w:rPr>
          <w:rFonts w:ascii="Arial" w:hAnsi="Arial" w:cs="Arial"/>
          <w:sz w:val="18"/>
          <w:szCs w:val="18"/>
        </w:rPr>
        <w:t>.</w:t>
      </w:r>
      <w:r w:rsidR="005C6424" w:rsidRPr="001D3DFB">
        <w:rPr>
          <w:rFonts w:ascii="Arial" w:hAnsi="Arial" w:cs="Arial"/>
          <w:sz w:val="18"/>
          <w:szCs w:val="18"/>
        </w:rPr>
        <w:t xml:space="preserve"> Consideración 9.</w:t>
      </w:r>
    </w:p>
  </w:footnote>
  <w:footnote w:id="28">
    <w:p w14:paraId="653151A6" w14:textId="1B7BD963" w:rsidR="00B012BD" w:rsidRPr="001D3DFB" w:rsidRDefault="00B012BD"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Auto del 19 de abril de 2018, visible en la página 170 </w:t>
      </w:r>
      <w:r w:rsidR="00503DCA" w:rsidRPr="001D3DFB">
        <w:rPr>
          <w:rFonts w:ascii="Arial" w:hAnsi="Arial" w:cs="Arial"/>
          <w:sz w:val="18"/>
          <w:szCs w:val="18"/>
        </w:rPr>
        <w:t>del “archivo Cuaderno No. 1 (Principal), parte 1”.</w:t>
      </w:r>
    </w:p>
  </w:footnote>
  <w:footnote w:id="29">
    <w:p w14:paraId="22435BAC" w14:textId="3A934E60" w:rsidR="005F6FB2" w:rsidRPr="001D3DFB" w:rsidRDefault="005F6FB2"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w:t>
      </w:r>
      <w:r w:rsidR="007976BE" w:rsidRPr="001D3DFB">
        <w:rPr>
          <w:rFonts w:ascii="Arial" w:hAnsi="Arial" w:cs="Arial"/>
          <w:sz w:val="18"/>
          <w:szCs w:val="18"/>
        </w:rPr>
        <w:t xml:space="preserve">Páginas 179 y 180, archivo </w:t>
      </w:r>
      <w:r w:rsidR="00A24183" w:rsidRPr="001D3DFB">
        <w:rPr>
          <w:rFonts w:ascii="Arial" w:hAnsi="Arial" w:cs="Arial"/>
          <w:sz w:val="18"/>
          <w:szCs w:val="18"/>
        </w:rPr>
        <w:t>“</w:t>
      </w:r>
      <w:r w:rsidR="007976BE" w:rsidRPr="001D3DFB">
        <w:rPr>
          <w:rFonts w:ascii="Arial" w:hAnsi="Arial" w:cs="Arial"/>
          <w:sz w:val="18"/>
          <w:szCs w:val="18"/>
        </w:rPr>
        <w:t>Cuaderno No. 1 (Principal), parte 1”.</w:t>
      </w:r>
    </w:p>
  </w:footnote>
  <w:footnote w:id="30">
    <w:p w14:paraId="00038640" w14:textId="4748013B" w:rsidR="00A24183" w:rsidRPr="001D3DFB" w:rsidRDefault="00A24183"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108 del archivo “Cuaderno No. 1 (Principal), parte 3”.</w:t>
      </w:r>
    </w:p>
  </w:footnote>
  <w:footnote w:id="31">
    <w:p w14:paraId="780B6F40" w14:textId="651EA89B" w:rsidR="00AC66A9" w:rsidRPr="001D3DFB" w:rsidRDefault="00D15E08" w:rsidP="001D3DFB">
      <w:pPr>
        <w:pStyle w:val="Textonotapie"/>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Consejo de Estado. </w:t>
      </w:r>
      <w:r w:rsidR="00AC66A9" w:rsidRPr="001D3DFB">
        <w:rPr>
          <w:rFonts w:ascii="Arial" w:hAnsi="Arial" w:cs="Arial"/>
          <w:sz w:val="18"/>
          <w:szCs w:val="18"/>
        </w:rPr>
        <w:t xml:space="preserve">Sección Tercera. Sentencia de 19 de abril de 2007. Radicado 54001-23-31-000-2003-00266-01(AP). C.P. </w:t>
      </w:r>
      <w:r w:rsidR="003C0F6C" w:rsidRPr="001D3DFB">
        <w:rPr>
          <w:rFonts w:ascii="Arial" w:hAnsi="Arial" w:cs="Arial"/>
          <w:sz w:val="18"/>
          <w:szCs w:val="18"/>
        </w:rPr>
        <w:t>Alier Eduardo Hernández Enríquez.</w:t>
      </w:r>
    </w:p>
    <w:p w14:paraId="38343BC7" w14:textId="69B7ED5F" w:rsidR="00D15E08" w:rsidRPr="001D3DFB" w:rsidRDefault="00D15E08" w:rsidP="001D3DFB">
      <w:pPr>
        <w:pStyle w:val="Textonotapie"/>
        <w:jc w:val="both"/>
        <w:rPr>
          <w:rFonts w:ascii="Arial" w:hAnsi="Arial" w:cs="Arial"/>
          <w:sz w:val="18"/>
          <w:szCs w:val="18"/>
        </w:rPr>
      </w:pPr>
    </w:p>
  </w:footnote>
  <w:footnote w:id="32">
    <w:p w14:paraId="57A35240" w14:textId="77777777" w:rsidR="00E20B21" w:rsidRPr="001D3DFB" w:rsidRDefault="00E20B21"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119 del archivo “Cuaderno No. 1 (Principal), parte 1”.</w:t>
      </w:r>
    </w:p>
  </w:footnote>
  <w:footnote w:id="33">
    <w:p w14:paraId="7C0D0B4A" w14:textId="3C78EBEE" w:rsidR="00F94FF0" w:rsidRPr="001D3DFB" w:rsidRDefault="00F94FF0"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w:t>
      </w:r>
      <w:r w:rsidR="00DE0942" w:rsidRPr="001D3DFB">
        <w:rPr>
          <w:rFonts w:ascii="Arial" w:hAnsi="Arial" w:cs="Arial"/>
          <w:sz w:val="18"/>
          <w:szCs w:val="18"/>
        </w:rPr>
        <w:t xml:space="preserve">En línea: </w:t>
      </w:r>
      <w:hyperlink r:id="rId1" w:history="1">
        <w:r w:rsidR="00CB1FC1" w:rsidRPr="001D3DFB">
          <w:rPr>
            <w:rStyle w:val="Hipervnculo"/>
            <w:rFonts w:ascii="Arial" w:hAnsi="Arial" w:cs="Arial"/>
            <w:sz w:val="18"/>
            <w:szCs w:val="18"/>
          </w:rPr>
          <w:t>https://undocs.org/es/E/C.12/2000/4</w:t>
        </w:r>
      </w:hyperlink>
      <w:r w:rsidRPr="001D3DFB">
        <w:rPr>
          <w:rFonts w:ascii="Arial" w:hAnsi="Arial" w:cs="Arial"/>
          <w:sz w:val="18"/>
          <w:szCs w:val="18"/>
        </w:rPr>
        <w:t xml:space="preserve"> </w:t>
      </w:r>
      <w:r w:rsidR="005472C9" w:rsidRPr="001D3DFB">
        <w:rPr>
          <w:rFonts w:ascii="Arial" w:hAnsi="Arial" w:cs="Arial"/>
          <w:sz w:val="18"/>
          <w:szCs w:val="18"/>
        </w:rPr>
        <w:t>[consulta: 27 de mayo de 2021].</w:t>
      </w:r>
    </w:p>
  </w:footnote>
  <w:footnote w:id="34">
    <w:p w14:paraId="6850D197" w14:textId="13EF3D30" w:rsidR="00790B29" w:rsidRPr="001D3DFB" w:rsidRDefault="00790B29"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“Los establecimientos, bienes y servicios de salud deben ser accesibles, de hecho y de derecho, a los sectores más vulnerables y marginados de la población, sin discriminación alguna por cualquiera de los motivos prohibidos”</w:t>
      </w:r>
    </w:p>
  </w:footnote>
  <w:footnote w:id="35">
    <w:p w14:paraId="61545B6C" w14:textId="11AD5162" w:rsidR="00887FB2" w:rsidRPr="001D3DFB" w:rsidRDefault="00887FB2"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“Ese acceso comprende el derecho de solicitar, recibir y difundir información e ideas acerca de las cuestiones relacionadas con la salud. Con todo, el acceso a la información no debe menoscabar el derecho de que los datos personales relativos a la salud sean tratados con confidencialidad.”</w:t>
      </w:r>
    </w:p>
  </w:footnote>
  <w:footnote w:id="36">
    <w:p w14:paraId="315AC26F" w14:textId="77777777" w:rsidR="00FF2298" w:rsidRPr="001D3DFB" w:rsidRDefault="00FF2298" w:rsidP="001D3DFB">
      <w:pPr>
        <w:pStyle w:val="Sinespaciado"/>
        <w:jc w:val="both"/>
        <w:rPr>
          <w:rFonts w:ascii="Arial" w:hAnsi="Arial" w:cs="Arial"/>
          <w:sz w:val="18"/>
          <w:szCs w:val="18"/>
          <w:lang w:val="en-US"/>
        </w:rPr>
      </w:pPr>
      <w:r w:rsidRPr="001D3DFB">
        <w:rPr>
          <w:rStyle w:val="Refdenotaalpie"/>
          <w:rFonts w:ascii="Arial" w:hAnsi="Arial" w:cs="Arial"/>
          <w:sz w:val="18"/>
          <w:szCs w:val="18"/>
        </w:rPr>
        <w:footnoteRef/>
      </w:r>
      <w:r w:rsidRPr="001D3DFB">
        <w:rPr>
          <w:rFonts w:ascii="Arial" w:hAnsi="Arial" w:cs="Arial"/>
          <w:sz w:val="18"/>
          <w:szCs w:val="18"/>
          <w:lang w:val="en-US"/>
        </w:rPr>
        <w:t xml:space="preserve"> Art. 1º. </w:t>
      </w:r>
    </w:p>
  </w:footnote>
  <w:footnote w:id="37">
    <w:p w14:paraId="2678BCC6" w14:textId="77777777" w:rsidR="00A50D5D" w:rsidRPr="001D3DFB" w:rsidRDefault="00A50D5D" w:rsidP="001D3DFB">
      <w:pPr>
        <w:pStyle w:val="Sinespaciado"/>
        <w:jc w:val="both"/>
        <w:rPr>
          <w:rFonts w:ascii="Arial" w:hAnsi="Arial" w:cs="Arial"/>
          <w:sz w:val="18"/>
          <w:szCs w:val="18"/>
          <w:lang w:val="en-US"/>
        </w:rPr>
      </w:pPr>
      <w:r w:rsidRPr="001D3DFB">
        <w:rPr>
          <w:rStyle w:val="Refdenotaalpie"/>
          <w:rFonts w:ascii="Arial" w:hAnsi="Arial" w:cs="Arial"/>
          <w:sz w:val="18"/>
          <w:szCs w:val="18"/>
        </w:rPr>
        <w:footnoteRef/>
      </w:r>
      <w:r w:rsidRPr="001D3DFB">
        <w:rPr>
          <w:rFonts w:ascii="Arial" w:hAnsi="Arial" w:cs="Arial"/>
          <w:sz w:val="18"/>
          <w:szCs w:val="18"/>
          <w:lang w:val="en-US"/>
        </w:rPr>
        <w:t xml:space="preserve"> Art. 2º, Ley 1346. </w:t>
      </w:r>
    </w:p>
  </w:footnote>
  <w:footnote w:id="38">
    <w:p w14:paraId="00F75D9D" w14:textId="77777777" w:rsidR="00F43DE5" w:rsidRPr="001D3DFB" w:rsidRDefault="00F43DE5" w:rsidP="001D3DFB">
      <w:pPr>
        <w:pStyle w:val="Textonotapie"/>
        <w:jc w:val="both"/>
        <w:rPr>
          <w:rFonts w:ascii="Arial" w:hAnsi="Arial" w:cs="Arial"/>
          <w:sz w:val="18"/>
          <w:szCs w:val="18"/>
          <w:lang w:val="es-CO"/>
        </w:rPr>
      </w:pPr>
      <w:r w:rsidRPr="001D3DFB">
        <w:rPr>
          <w:rStyle w:val="Refdenotaalpie"/>
          <w:rFonts w:ascii="Arial" w:hAnsi="Arial" w:cs="Arial"/>
          <w:sz w:val="18"/>
          <w:szCs w:val="18"/>
        </w:rPr>
        <w:footnoteRef/>
      </w:r>
      <w:r w:rsidRPr="001D3DFB">
        <w:rPr>
          <w:rFonts w:ascii="Arial" w:hAnsi="Arial" w:cs="Arial"/>
          <w:sz w:val="18"/>
          <w:szCs w:val="18"/>
        </w:rPr>
        <w:t xml:space="preserve"> </w:t>
      </w:r>
      <w:r w:rsidRPr="001D3DFB">
        <w:rPr>
          <w:rFonts w:ascii="Arial" w:hAnsi="Arial" w:cs="Arial"/>
          <w:sz w:val="18"/>
          <w:szCs w:val="18"/>
          <w:lang w:val="es-CO"/>
        </w:rPr>
        <w:t xml:space="preserve">TSP, Sentencia del 27 de febrero de 2019, radicado 2016-00625-03. M.S </w:t>
      </w:r>
      <w:proofErr w:type="spellStart"/>
      <w:r w:rsidRPr="001D3DFB">
        <w:rPr>
          <w:rFonts w:ascii="Arial" w:hAnsi="Arial" w:cs="Arial"/>
          <w:sz w:val="18"/>
          <w:szCs w:val="18"/>
          <w:lang w:val="es-CO"/>
        </w:rPr>
        <w:t>Duberney</w:t>
      </w:r>
      <w:proofErr w:type="spellEnd"/>
      <w:r w:rsidRPr="001D3DFB">
        <w:rPr>
          <w:rFonts w:ascii="Arial" w:hAnsi="Arial" w:cs="Arial"/>
          <w:sz w:val="18"/>
          <w:szCs w:val="18"/>
          <w:lang w:val="es-CO"/>
        </w:rPr>
        <w:t xml:space="preserve"> Grisales Herrera.    </w:t>
      </w:r>
    </w:p>
  </w:footnote>
  <w:footnote w:id="39">
    <w:p w14:paraId="5FDEB4E2" w14:textId="4259E64A" w:rsidR="00A2607D" w:rsidRPr="001D3DFB" w:rsidRDefault="00A2607D"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TSP, S</w:t>
      </w:r>
      <w:r w:rsidR="006664C0" w:rsidRPr="001D3DFB">
        <w:rPr>
          <w:rFonts w:ascii="Arial" w:hAnsi="Arial" w:cs="Arial"/>
          <w:sz w:val="18"/>
          <w:szCs w:val="18"/>
        </w:rPr>
        <w:t>entencia del 18 de mayo de 2018</w:t>
      </w:r>
      <w:r w:rsidR="000A70B6" w:rsidRPr="001D3DFB">
        <w:rPr>
          <w:rFonts w:ascii="Arial" w:hAnsi="Arial" w:cs="Arial"/>
          <w:sz w:val="18"/>
          <w:szCs w:val="18"/>
        </w:rPr>
        <w:t xml:space="preserve">, </w:t>
      </w:r>
      <w:r w:rsidR="000910D0" w:rsidRPr="001D3DFB">
        <w:rPr>
          <w:rFonts w:ascii="Arial" w:hAnsi="Arial" w:cs="Arial"/>
          <w:sz w:val="18"/>
          <w:szCs w:val="18"/>
        </w:rPr>
        <w:t>radicado 2016-00595-02, M.S</w:t>
      </w:r>
      <w:r w:rsidR="0018678F" w:rsidRPr="001D3DFB">
        <w:rPr>
          <w:rFonts w:ascii="Arial" w:hAnsi="Arial" w:cs="Arial"/>
          <w:sz w:val="18"/>
          <w:szCs w:val="18"/>
        </w:rPr>
        <w:t xml:space="preserve">. </w:t>
      </w:r>
      <w:proofErr w:type="spellStart"/>
      <w:r w:rsidR="0018678F" w:rsidRPr="001D3DFB">
        <w:rPr>
          <w:rFonts w:ascii="Arial" w:hAnsi="Arial" w:cs="Arial"/>
          <w:sz w:val="18"/>
          <w:szCs w:val="18"/>
        </w:rPr>
        <w:t>Duberney</w:t>
      </w:r>
      <w:proofErr w:type="spellEnd"/>
      <w:r w:rsidR="0018678F" w:rsidRPr="001D3DFB">
        <w:rPr>
          <w:rFonts w:ascii="Arial" w:hAnsi="Arial" w:cs="Arial"/>
          <w:sz w:val="18"/>
          <w:szCs w:val="18"/>
        </w:rPr>
        <w:t xml:space="preserve"> Grisales Herrera.</w:t>
      </w:r>
    </w:p>
  </w:footnote>
  <w:footnote w:id="40">
    <w:p w14:paraId="6C989AAA" w14:textId="127374E8" w:rsidR="00A47D7F" w:rsidRPr="001D3DFB" w:rsidRDefault="00A47D7F" w:rsidP="001D3DFB">
      <w:pPr>
        <w:pStyle w:val="Textonotapie"/>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Página 88 y </w:t>
      </w:r>
      <w:proofErr w:type="spellStart"/>
      <w:r w:rsidRPr="001D3DFB">
        <w:rPr>
          <w:rFonts w:ascii="Arial" w:hAnsi="Arial" w:cs="Arial"/>
          <w:sz w:val="18"/>
          <w:szCs w:val="18"/>
        </w:rPr>
        <w:t>ss</w:t>
      </w:r>
      <w:proofErr w:type="spellEnd"/>
      <w:r w:rsidRPr="001D3DFB">
        <w:rPr>
          <w:rFonts w:ascii="Arial" w:hAnsi="Arial" w:cs="Arial"/>
          <w:sz w:val="18"/>
          <w:szCs w:val="18"/>
        </w:rPr>
        <w:t xml:space="preserve"> del archivo “Cuaderno No. 1 (Principal), parte 3”.</w:t>
      </w:r>
    </w:p>
  </w:footnote>
  <w:footnote w:id="41">
    <w:p w14:paraId="2C2945C2" w14:textId="1BF7469D" w:rsidR="00725815" w:rsidRPr="001D3DFB" w:rsidRDefault="00725815" w:rsidP="001D3DFB">
      <w:pPr>
        <w:pStyle w:val="Sinespaciado"/>
        <w:jc w:val="both"/>
        <w:rPr>
          <w:rFonts w:ascii="Arial" w:hAnsi="Arial" w:cs="Arial"/>
          <w:sz w:val="18"/>
          <w:szCs w:val="18"/>
          <w:lang w:val="es-CO"/>
        </w:rPr>
      </w:pPr>
      <w:r w:rsidRPr="001D3DFB">
        <w:rPr>
          <w:rStyle w:val="Refdenotaalpie"/>
          <w:rFonts w:ascii="Arial" w:hAnsi="Arial" w:cs="Arial"/>
          <w:sz w:val="18"/>
          <w:szCs w:val="18"/>
        </w:rPr>
        <w:footnoteRef/>
      </w:r>
      <w:r w:rsidRPr="001D3DFB">
        <w:rPr>
          <w:rFonts w:ascii="Arial" w:hAnsi="Arial" w:cs="Arial"/>
          <w:sz w:val="18"/>
          <w:szCs w:val="18"/>
        </w:rPr>
        <w:t xml:space="preserve"> </w:t>
      </w:r>
      <w:r w:rsidR="002542DA" w:rsidRPr="001D3DFB">
        <w:rPr>
          <w:rFonts w:ascii="Arial" w:hAnsi="Arial" w:cs="Arial"/>
          <w:sz w:val="18"/>
          <w:szCs w:val="18"/>
        </w:rPr>
        <w:t xml:space="preserve">Página 93, </w:t>
      </w:r>
      <w:r w:rsidR="00A47D7F" w:rsidRPr="001D3DFB">
        <w:rPr>
          <w:rFonts w:ascii="Arial" w:hAnsi="Arial" w:cs="Arial"/>
          <w:sz w:val="18"/>
          <w:szCs w:val="18"/>
        </w:rPr>
        <w:t>ibidem.</w:t>
      </w:r>
    </w:p>
  </w:footnote>
  <w:footnote w:id="42">
    <w:p w14:paraId="10747C93" w14:textId="5B439CDF" w:rsidR="002542DA" w:rsidRPr="001D3DFB" w:rsidRDefault="002542DA" w:rsidP="001D3DFB">
      <w:pPr>
        <w:pStyle w:val="Sinespaciado"/>
        <w:jc w:val="both"/>
        <w:rPr>
          <w:rFonts w:ascii="Arial" w:hAnsi="Arial" w:cs="Arial"/>
          <w:sz w:val="18"/>
          <w:szCs w:val="18"/>
          <w:lang w:val="es-ES_tradnl"/>
        </w:rPr>
      </w:pPr>
      <w:r w:rsidRPr="001D3DFB">
        <w:rPr>
          <w:rStyle w:val="Refdenotaalpie"/>
          <w:rFonts w:ascii="Arial" w:hAnsi="Arial" w:cs="Arial"/>
          <w:sz w:val="18"/>
          <w:szCs w:val="18"/>
        </w:rPr>
        <w:footnoteRef/>
      </w:r>
      <w:r w:rsidRPr="001D3DFB">
        <w:rPr>
          <w:rFonts w:ascii="Arial" w:hAnsi="Arial" w:cs="Arial"/>
          <w:sz w:val="18"/>
          <w:szCs w:val="18"/>
        </w:rPr>
        <w:t xml:space="preserve"> </w:t>
      </w:r>
      <w:r w:rsidR="00D50213" w:rsidRPr="001D3DFB">
        <w:rPr>
          <w:rFonts w:ascii="Arial" w:hAnsi="Arial" w:cs="Arial"/>
          <w:sz w:val="18"/>
          <w:szCs w:val="18"/>
        </w:rPr>
        <w:t xml:space="preserve">Páginas 109 a 133, </w:t>
      </w:r>
      <w:r w:rsidR="004D6058" w:rsidRPr="001D3DFB">
        <w:rPr>
          <w:rFonts w:ascii="Arial" w:hAnsi="Arial" w:cs="Arial"/>
          <w:sz w:val="18"/>
          <w:szCs w:val="18"/>
        </w:rPr>
        <w:t>134 a 138</w:t>
      </w:r>
      <w:r w:rsidR="00DA3E0C" w:rsidRPr="001D3DFB">
        <w:rPr>
          <w:rFonts w:ascii="Arial" w:hAnsi="Arial" w:cs="Arial"/>
          <w:sz w:val="18"/>
          <w:szCs w:val="18"/>
        </w:rPr>
        <w:t xml:space="preserve"> y 151 y </w:t>
      </w:r>
      <w:proofErr w:type="spellStart"/>
      <w:r w:rsidR="00DA3E0C" w:rsidRPr="001D3DFB">
        <w:rPr>
          <w:rFonts w:ascii="Arial" w:hAnsi="Arial" w:cs="Arial"/>
          <w:sz w:val="18"/>
          <w:szCs w:val="18"/>
        </w:rPr>
        <w:t>ss</w:t>
      </w:r>
      <w:proofErr w:type="spellEnd"/>
      <w:r w:rsidR="00DA3E0C" w:rsidRPr="001D3DFB">
        <w:rPr>
          <w:rFonts w:ascii="Arial" w:hAnsi="Arial" w:cs="Arial"/>
          <w:sz w:val="18"/>
          <w:szCs w:val="18"/>
        </w:rPr>
        <w:t>, ibidem.</w:t>
      </w:r>
    </w:p>
  </w:footnote>
  <w:footnote w:id="43">
    <w:p w14:paraId="34FD482C" w14:textId="1E5B01E7" w:rsidR="008970B0" w:rsidRPr="001D3DFB" w:rsidRDefault="008970B0" w:rsidP="001D3DFB">
      <w:pPr>
        <w:pStyle w:val="Sinespaciado"/>
        <w:jc w:val="both"/>
        <w:rPr>
          <w:rFonts w:ascii="Arial" w:hAnsi="Arial" w:cs="Arial"/>
          <w:sz w:val="18"/>
          <w:szCs w:val="18"/>
          <w:lang w:val="es-ES_tradnl"/>
        </w:rPr>
      </w:pPr>
      <w:r w:rsidRPr="001D3DFB">
        <w:rPr>
          <w:rStyle w:val="Refdenotaalpie"/>
          <w:rFonts w:ascii="Arial" w:hAnsi="Arial" w:cs="Arial"/>
          <w:sz w:val="18"/>
          <w:szCs w:val="18"/>
        </w:rPr>
        <w:footnoteRef/>
      </w:r>
      <w:r w:rsidRPr="001D3DFB">
        <w:rPr>
          <w:rFonts w:ascii="Arial" w:hAnsi="Arial" w:cs="Arial"/>
          <w:sz w:val="18"/>
          <w:szCs w:val="18"/>
        </w:rPr>
        <w:t xml:space="preserve"> Páginas 134 a 138, ibidem</w:t>
      </w:r>
      <w:r w:rsidR="00CE79AE" w:rsidRPr="001D3DFB">
        <w:rPr>
          <w:rFonts w:ascii="Arial" w:hAnsi="Arial" w:cs="Arial"/>
          <w:sz w:val="18"/>
          <w:szCs w:val="18"/>
        </w:rPr>
        <w:t>.</w:t>
      </w:r>
      <w:r w:rsidRPr="001D3DFB">
        <w:rPr>
          <w:rFonts w:ascii="Arial" w:hAnsi="Arial" w:cs="Arial"/>
          <w:sz w:val="18"/>
          <w:szCs w:val="18"/>
        </w:rPr>
        <w:t xml:space="preserve"> Informe técnico de visita de la Alcaldía Local de </w:t>
      </w:r>
      <w:proofErr w:type="spellStart"/>
      <w:r w:rsidRPr="001D3DFB">
        <w:rPr>
          <w:rFonts w:ascii="Arial" w:hAnsi="Arial" w:cs="Arial"/>
          <w:sz w:val="18"/>
          <w:szCs w:val="18"/>
        </w:rPr>
        <w:t>kennedy</w:t>
      </w:r>
      <w:proofErr w:type="spellEnd"/>
      <w:r w:rsidRPr="001D3DFB">
        <w:rPr>
          <w:rFonts w:ascii="Arial" w:hAnsi="Arial" w:cs="Arial"/>
          <w:sz w:val="18"/>
          <w:szCs w:val="18"/>
        </w:rPr>
        <w:t>.</w:t>
      </w:r>
      <w:r w:rsidR="00CE79AE" w:rsidRPr="001D3DFB">
        <w:rPr>
          <w:rFonts w:ascii="Arial" w:hAnsi="Arial" w:cs="Arial"/>
          <w:sz w:val="18"/>
          <w:szCs w:val="18"/>
        </w:rPr>
        <w:t xml:space="preserve"> Bogotá.</w:t>
      </w:r>
    </w:p>
  </w:footnote>
  <w:footnote w:id="44">
    <w:p w14:paraId="01A2CF1F" w14:textId="248A06B7" w:rsidR="00B6680D" w:rsidRPr="001D3DFB" w:rsidRDefault="00B6680D" w:rsidP="001D3DFB">
      <w:pPr>
        <w:pStyle w:val="Sinespaciado"/>
        <w:jc w:val="both"/>
        <w:rPr>
          <w:rFonts w:ascii="Arial" w:hAnsi="Arial" w:cs="Arial"/>
          <w:sz w:val="18"/>
          <w:szCs w:val="18"/>
        </w:rPr>
      </w:pPr>
      <w:r w:rsidRPr="001D3DFB">
        <w:rPr>
          <w:rStyle w:val="Refdenotaalpie"/>
          <w:rFonts w:ascii="Arial" w:hAnsi="Arial" w:cs="Arial"/>
          <w:sz w:val="18"/>
          <w:szCs w:val="18"/>
        </w:rPr>
        <w:footnoteRef/>
      </w:r>
      <w:r w:rsidRPr="001D3DFB">
        <w:rPr>
          <w:rFonts w:ascii="Arial" w:hAnsi="Arial" w:cs="Arial"/>
          <w:sz w:val="18"/>
          <w:szCs w:val="18"/>
        </w:rPr>
        <w:t xml:space="preserve"> TSP, Sentencia del 18 de mayo de 2018 ya 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DF99" w14:textId="399F782B" w:rsidR="00B81A44" w:rsidRPr="00DE6F0A" w:rsidRDefault="00DE6F0A" w:rsidP="00A12857">
    <w:pPr>
      <w:pStyle w:val="Encabezado"/>
      <w:rPr>
        <w:rFonts w:ascii="Arial" w:hAnsi="Arial" w:cs="Arial"/>
        <w:bCs/>
        <w:sz w:val="18"/>
        <w:szCs w:val="18"/>
        <w:lang w:val="es-ES" w:eastAsia="es-MX"/>
      </w:rPr>
    </w:pPr>
    <w:r w:rsidRPr="00DE6F0A">
      <w:rPr>
        <w:rFonts w:ascii="Arial" w:hAnsi="Arial" w:cs="Arial"/>
        <w:sz w:val="18"/>
        <w:szCs w:val="18"/>
        <w:lang w:val="es-ES" w:eastAsia="es-MX"/>
      </w:rPr>
      <w:t xml:space="preserve">Acción popular </w:t>
    </w:r>
    <w:r w:rsidR="00B81A44" w:rsidRPr="00DE6F0A">
      <w:rPr>
        <w:rFonts w:ascii="Arial" w:hAnsi="Arial" w:cs="Arial"/>
        <w:sz w:val="18"/>
        <w:szCs w:val="18"/>
        <w:lang w:val="es-ES" w:eastAsia="es-MX"/>
      </w:rPr>
      <w:t>(</w:t>
    </w:r>
    <w:r w:rsidRPr="00DE6F0A">
      <w:rPr>
        <w:rFonts w:ascii="Arial" w:hAnsi="Arial" w:cs="Arial"/>
        <w:sz w:val="18"/>
        <w:szCs w:val="18"/>
        <w:lang w:val="es-ES" w:eastAsia="es-MX"/>
      </w:rPr>
      <w:t>Segunda instancia</w:t>
    </w:r>
    <w:r w:rsidR="00B81A44" w:rsidRPr="00DE6F0A">
      <w:rPr>
        <w:rFonts w:ascii="Arial" w:hAnsi="Arial" w:cs="Arial"/>
        <w:sz w:val="18"/>
        <w:szCs w:val="18"/>
        <w:lang w:val="es-ES" w:eastAsia="es-MX"/>
      </w:rPr>
      <w:t>)</w:t>
    </w:r>
    <w:r w:rsidR="00B81A44" w:rsidRPr="00DE6F0A">
      <w:rPr>
        <w:rFonts w:ascii="Arial" w:hAnsi="Arial" w:cs="Arial"/>
        <w:bCs/>
        <w:sz w:val="18"/>
        <w:szCs w:val="18"/>
        <w:lang w:val="es-ES" w:eastAsia="es-MX"/>
      </w:rPr>
      <w:t xml:space="preserve"> </w:t>
    </w:r>
  </w:p>
  <w:p w14:paraId="49D894FC" w14:textId="097CB7A3" w:rsidR="00B81A44" w:rsidRPr="00DE6F0A" w:rsidRDefault="00B81A44" w:rsidP="00DE6F0A">
    <w:pPr>
      <w:pStyle w:val="Encabezado"/>
      <w:tabs>
        <w:tab w:val="clear" w:pos="4419"/>
        <w:tab w:val="clear" w:pos="8838"/>
      </w:tabs>
      <w:rPr>
        <w:rFonts w:ascii="Arial" w:hAnsi="Arial" w:cs="Arial"/>
        <w:bCs/>
        <w:sz w:val="18"/>
        <w:szCs w:val="18"/>
        <w:lang w:val="es-ES" w:eastAsia="es-MX"/>
      </w:rPr>
    </w:pPr>
    <w:r w:rsidRPr="00DE6F0A">
      <w:rPr>
        <w:rFonts w:ascii="Arial" w:hAnsi="Arial" w:cs="Arial"/>
        <w:bCs/>
        <w:sz w:val="18"/>
        <w:szCs w:val="18"/>
        <w:lang w:val="es-ES" w:eastAsia="es-MX"/>
      </w:rPr>
      <w:t>Radicado:</w:t>
    </w:r>
    <w:r w:rsidR="00DE6F0A">
      <w:rPr>
        <w:rFonts w:ascii="Arial" w:hAnsi="Arial" w:cs="Arial"/>
        <w:bCs/>
        <w:sz w:val="18"/>
        <w:szCs w:val="18"/>
        <w:lang w:val="es-ES" w:eastAsia="es-MX"/>
      </w:rPr>
      <w:t xml:space="preserve"> </w:t>
    </w:r>
    <w:r w:rsidRPr="00DE6F0A">
      <w:rPr>
        <w:rFonts w:ascii="Arial" w:hAnsi="Arial" w:cs="Arial"/>
        <w:bCs/>
        <w:sz w:val="18"/>
        <w:szCs w:val="18"/>
        <w:lang w:val="es-ES" w:eastAsia="es-MX"/>
      </w:rPr>
      <w:t>66001310300420</w:t>
    </w:r>
    <w:r w:rsidR="001F7A54" w:rsidRPr="00DE6F0A">
      <w:rPr>
        <w:rFonts w:ascii="Arial" w:hAnsi="Arial" w:cs="Arial"/>
        <w:bCs/>
        <w:sz w:val="18"/>
        <w:szCs w:val="18"/>
        <w:lang w:val="es-ES" w:eastAsia="es-MX"/>
      </w:rPr>
      <w:t>17</w:t>
    </w:r>
    <w:r w:rsidRPr="00DE6F0A">
      <w:rPr>
        <w:rFonts w:ascii="Arial" w:hAnsi="Arial" w:cs="Arial"/>
        <w:bCs/>
        <w:sz w:val="18"/>
        <w:szCs w:val="18"/>
        <w:lang w:val="es-ES" w:eastAsia="es-MX"/>
      </w:rPr>
      <w:t>00</w:t>
    </w:r>
    <w:r w:rsidR="001F7A54" w:rsidRPr="00DE6F0A">
      <w:rPr>
        <w:rFonts w:ascii="Arial" w:hAnsi="Arial" w:cs="Arial"/>
        <w:bCs/>
        <w:sz w:val="18"/>
        <w:szCs w:val="18"/>
        <w:lang w:val="es-ES" w:eastAsia="es-MX"/>
      </w:rPr>
      <w:t>274</w:t>
    </w:r>
    <w:r w:rsidRPr="00DE6F0A">
      <w:rPr>
        <w:rFonts w:ascii="Arial" w:hAnsi="Arial" w:cs="Arial"/>
        <w:bCs/>
        <w:sz w:val="18"/>
        <w:szCs w:val="18"/>
        <w:lang w:val="es-ES" w:eastAsia="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590E"/>
    <w:multiLevelType w:val="hybridMultilevel"/>
    <w:tmpl w:val="A80417CE"/>
    <w:lvl w:ilvl="0" w:tplc="5E185D9C">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58520231"/>
    <w:multiLevelType w:val="hybridMultilevel"/>
    <w:tmpl w:val="8A7888C6"/>
    <w:lvl w:ilvl="0" w:tplc="81B2EBC0">
      <w:start w:val="1"/>
      <w:numFmt w:val="lowerRoman"/>
      <w:lvlText w:val="(%1)"/>
      <w:lvlJc w:val="left"/>
      <w:pPr>
        <w:ind w:left="720" w:hanging="360"/>
      </w:pPr>
      <w:rPr>
        <w:rFonts w:ascii="Arial Narrow" w:eastAsia="Times New Roman"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C7"/>
    <w:rsid w:val="00001D8E"/>
    <w:rsid w:val="00001EED"/>
    <w:rsid w:val="00002901"/>
    <w:rsid w:val="000045BF"/>
    <w:rsid w:val="000079DB"/>
    <w:rsid w:val="000144FC"/>
    <w:rsid w:val="000218A1"/>
    <w:rsid w:val="000233AF"/>
    <w:rsid w:val="0003005C"/>
    <w:rsid w:val="000309CA"/>
    <w:rsid w:val="00045CE9"/>
    <w:rsid w:val="0005448D"/>
    <w:rsid w:val="000551C0"/>
    <w:rsid w:val="00056922"/>
    <w:rsid w:val="00056E42"/>
    <w:rsid w:val="0006497C"/>
    <w:rsid w:val="0006507C"/>
    <w:rsid w:val="000654EB"/>
    <w:rsid w:val="00065D03"/>
    <w:rsid w:val="00066F1B"/>
    <w:rsid w:val="000673A8"/>
    <w:rsid w:val="00067F59"/>
    <w:rsid w:val="00070610"/>
    <w:rsid w:val="00071DF4"/>
    <w:rsid w:val="00074B67"/>
    <w:rsid w:val="00082FCE"/>
    <w:rsid w:val="000840E4"/>
    <w:rsid w:val="00087B89"/>
    <w:rsid w:val="000910D0"/>
    <w:rsid w:val="00094214"/>
    <w:rsid w:val="000942C2"/>
    <w:rsid w:val="000A4E0B"/>
    <w:rsid w:val="000A5492"/>
    <w:rsid w:val="000A70B6"/>
    <w:rsid w:val="000A79C8"/>
    <w:rsid w:val="000B2522"/>
    <w:rsid w:val="000B2C0C"/>
    <w:rsid w:val="000C15BE"/>
    <w:rsid w:val="000C1E48"/>
    <w:rsid w:val="000C28C1"/>
    <w:rsid w:val="000D071A"/>
    <w:rsid w:val="000D4AFC"/>
    <w:rsid w:val="000E171E"/>
    <w:rsid w:val="000E22B1"/>
    <w:rsid w:val="000E4F06"/>
    <w:rsid w:val="000F0DB3"/>
    <w:rsid w:val="000F23C6"/>
    <w:rsid w:val="000F503A"/>
    <w:rsid w:val="00100664"/>
    <w:rsid w:val="00100BE7"/>
    <w:rsid w:val="001012A9"/>
    <w:rsid w:val="00107136"/>
    <w:rsid w:val="00110A3C"/>
    <w:rsid w:val="00110FDE"/>
    <w:rsid w:val="00111282"/>
    <w:rsid w:val="001133E7"/>
    <w:rsid w:val="00113A02"/>
    <w:rsid w:val="00114F4A"/>
    <w:rsid w:val="00115581"/>
    <w:rsid w:val="00120ECD"/>
    <w:rsid w:val="00122171"/>
    <w:rsid w:val="00124BA7"/>
    <w:rsid w:val="001251BD"/>
    <w:rsid w:val="00125A71"/>
    <w:rsid w:val="00125DD3"/>
    <w:rsid w:val="0013269D"/>
    <w:rsid w:val="001331EB"/>
    <w:rsid w:val="001343A7"/>
    <w:rsid w:val="00135A46"/>
    <w:rsid w:val="00137117"/>
    <w:rsid w:val="00137807"/>
    <w:rsid w:val="0014031F"/>
    <w:rsid w:val="0014137B"/>
    <w:rsid w:val="00141E33"/>
    <w:rsid w:val="0014285B"/>
    <w:rsid w:val="0014487C"/>
    <w:rsid w:val="00144F71"/>
    <w:rsid w:val="00150BCE"/>
    <w:rsid w:val="0015294E"/>
    <w:rsid w:val="001531AE"/>
    <w:rsid w:val="00153E62"/>
    <w:rsid w:val="00157C14"/>
    <w:rsid w:val="001727FE"/>
    <w:rsid w:val="00175C75"/>
    <w:rsid w:val="00176763"/>
    <w:rsid w:val="00176B72"/>
    <w:rsid w:val="001803CD"/>
    <w:rsid w:val="00180FE6"/>
    <w:rsid w:val="00182403"/>
    <w:rsid w:val="0018467D"/>
    <w:rsid w:val="0018678F"/>
    <w:rsid w:val="001908C3"/>
    <w:rsid w:val="001967B0"/>
    <w:rsid w:val="001A28F9"/>
    <w:rsid w:val="001A515E"/>
    <w:rsid w:val="001A59B9"/>
    <w:rsid w:val="001B604D"/>
    <w:rsid w:val="001B6A4A"/>
    <w:rsid w:val="001B6A5B"/>
    <w:rsid w:val="001C2BE6"/>
    <w:rsid w:val="001D3DFB"/>
    <w:rsid w:val="001D4CB7"/>
    <w:rsid w:val="001D5D12"/>
    <w:rsid w:val="001D771A"/>
    <w:rsid w:val="001D7C62"/>
    <w:rsid w:val="001E1567"/>
    <w:rsid w:val="001E3637"/>
    <w:rsid w:val="001E66E3"/>
    <w:rsid w:val="001E72CD"/>
    <w:rsid w:val="001F2006"/>
    <w:rsid w:val="001F4150"/>
    <w:rsid w:val="001F455F"/>
    <w:rsid w:val="001F7A54"/>
    <w:rsid w:val="00202021"/>
    <w:rsid w:val="00202B5C"/>
    <w:rsid w:val="002030C7"/>
    <w:rsid w:val="0020487F"/>
    <w:rsid w:val="00205774"/>
    <w:rsid w:val="00205A64"/>
    <w:rsid w:val="00206FBB"/>
    <w:rsid w:val="00212017"/>
    <w:rsid w:val="00212962"/>
    <w:rsid w:val="00212DA8"/>
    <w:rsid w:val="00212F07"/>
    <w:rsid w:val="002141F9"/>
    <w:rsid w:val="002156A1"/>
    <w:rsid w:val="002164A8"/>
    <w:rsid w:val="00223763"/>
    <w:rsid w:val="00223C76"/>
    <w:rsid w:val="00225029"/>
    <w:rsid w:val="002253BE"/>
    <w:rsid w:val="00225790"/>
    <w:rsid w:val="0023067C"/>
    <w:rsid w:val="00230D2C"/>
    <w:rsid w:val="002360B5"/>
    <w:rsid w:val="00236965"/>
    <w:rsid w:val="00241777"/>
    <w:rsid w:val="00242253"/>
    <w:rsid w:val="002456D6"/>
    <w:rsid w:val="00247903"/>
    <w:rsid w:val="00251766"/>
    <w:rsid w:val="002539B1"/>
    <w:rsid w:val="002542DA"/>
    <w:rsid w:val="0025432D"/>
    <w:rsid w:val="002562B4"/>
    <w:rsid w:val="00257F38"/>
    <w:rsid w:val="00261A12"/>
    <w:rsid w:val="0028335C"/>
    <w:rsid w:val="00285F16"/>
    <w:rsid w:val="00291929"/>
    <w:rsid w:val="00293A77"/>
    <w:rsid w:val="002951D5"/>
    <w:rsid w:val="002957AF"/>
    <w:rsid w:val="00297029"/>
    <w:rsid w:val="002A1EC8"/>
    <w:rsid w:val="002A393C"/>
    <w:rsid w:val="002B0361"/>
    <w:rsid w:val="002B13B0"/>
    <w:rsid w:val="002B56C7"/>
    <w:rsid w:val="002B5719"/>
    <w:rsid w:val="002B69C7"/>
    <w:rsid w:val="002C7648"/>
    <w:rsid w:val="002C79DC"/>
    <w:rsid w:val="002D18EF"/>
    <w:rsid w:val="002D49A3"/>
    <w:rsid w:val="002E4707"/>
    <w:rsid w:val="002E5975"/>
    <w:rsid w:val="002F57DA"/>
    <w:rsid w:val="002F7F99"/>
    <w:rsid w:val="003052A8"/>
    <w:rsid w:val="00307863"/>
    <w:rsid w:val="003125F3"/>
    <w:rsid w:val="00314BD3"/>
    <w:rsid w:val="003160FC"/>
    <w:rsid w:val="003203DB"/>
    <w:rsid w:val="003235B9"/>
    <w:rsid w:val="00327968"/>
    <w:rsid w:val="00332D82"/>
    <w:rsid w:val="00333BD9"/>
    <w:rsid w:val="003372F3"/>
    <w:rsid w:val="00337942"/>
    <w:rsid w:val="003435BE"/>
    <w:rsid w:val="003447F4"/>
    <w:rsid w:val="003504BD"/>
    <w:rsid w:val="00350B2D"/>
    <w:rsid w:val="00352320"/>
    <w:rsid w:val="00352AB0"/>
    <w:rsid w:val="0035329A"/>
    <w:rsid w:val="00355860"/>
    <w:rsid w:val="00356646"/>
    <w:rsid w:val="00357117"/>
    <w:rsid w:val="00357F7A"/>
    <w:rsid w:val="00364835"/>
    <w:rsid w:val="00365034"/>
    <w:rsid w:val="00373177"/>
    <w:rsid w:val="00374490"/>
    <w:rsid w:val="003810D0"/>
    <w:rsid w:val="00382F27"/>
    <w:rsid w:val="00390157"/>
    <w:rsid w:val="003917D2"/>
    <w:rsid w:val="00392086"/>
    <w:rsid w:val="003A19B7"/>
    <w:rsid w:val="003A4848"/>
    <w:rsid w:val="003A56DD"/>
    <w:rsid w:val="003B183A"/>
    <w:rsid w:val="003B3F93"/>
    <w:rsid w:val="003B5992"/>
    <w:rsid w:val="003B6B24"/>
    <w:rsid w:val="003B6BC7"/>
    <w:rsid w:val="003B6FF5"/>
    <w:rsid w:val="003B77A3"/>
    <w:rsid w:val="003C0F6C"/>
    <w:rsid w:val="003C356A"/>
    <w:rsid w:val="003D07BE"/>
    <w:rsid w:val="003D503F"/>
    <w:rsid w:val="003D5EC1"/>
    <w:rsid w:val="003D6BCF"/>
    <w:rsid w:val="003D7832"/>
    <w:rsid w:val="003E1C78"/>
    <w:rsid w:val="003E41DF"/>
    <w:rsid w:val="003E4E74"/>
    <w:rsid w:val="003E627E"/>
    <w:rsid w:val="003F0DA9"/>
    <w:rsid w:val="00403099"/>
    <w:rsid w:val="00403514"/>
    <w:rsid w:val="0040474D"/>
    <w:rsid w:val="0040554C"/>
    <w:rsid w:val="0041395F"/>
    <w:rsid w:val="00423FCA"/>
    <w:rsid w:val="0042641E"/>
    <w:rsid w:val="00426BD6"/>
    <w:rsid w:val="0042784B"/>
    <w:rsid w:val="0043102B"/>
    <w:rsid w:val="004316F4"/>
    <w:rsid w:val="00432710"/>
    <w:rsid w:val="00433E13"/>
    <w:rsid w:val="00434045"/>
    <w:rsid w:val="00436045"/>
    <w:rsid w:val="004413D7"/>
    <w:rsid w:val="00446172"/>
    <w:rsid w:val="00446857"/>
    <w:rsid w:val="0045254D"/>
    <w:rsid w:val="00457A8D"/>
    <w:rsid w:val="00462BD5"/>
    <w:rsid w:val="004639E6"/>
    <w:rsid w:val="00475C97"/>
    <w:rsid w:val="00476276"/>
    <w:rsid w:val="004861CD"/>
    <w:rsid w:val="00487589"/>
    <w:rsid w:val="00487A2E"/>
    <w:rsid w:val="0049174E"/>
    <w:rsid w:val="00491791"/>
    <w:rsid w:val="00491CFA"/>
    <w:rsid w:val="00497792"/>
    <w:rsid w:val="00497E4B"/>
    <w:rsid w:val="004A1F45"/>
    <w:rsid w:val="004A4756"/>
    <w:rsid w:val="004A54EF"/>
    <w:rsid w:val="004B0C49"/>
    <w:rsid w:val="004B5B72"/>
    <w:rsid w:val="004C10DE"/>
    <w:rsid w:val="004C1B6F"/>
    <w:rsid w:val="004C28EE"/>
    <w:rsid w:val="004C3129"/>
    <w:rsid w:val="004C39A3"/>
    <w:rsid w:val="004D473D"/>
    <w:rsid w:val="004D491D"/>
    <w:rsid w:val="004D53CC"/>
    <w:rsid w:val="004D6058"/>
    <w:rsid w:val="004E12B0"/>
    <w:rsid w:val="004E2266"/>
    <w:rsid w:val="004E6C12"/>
    <w:rsid w:val="004F1DFC"/>
    <w:rsid w:val="004F1E24"/>
    <w:rsid w:val="004F2817"/>
    <w:rsid w:val="00500B9B"/>
    <w:rsid w:val="00503DCA"/>
    <w:rsid w:val="005062FF"/>
    <w:rsid w:val="0050772E"/>
    <w:rsid w:val="00511442"/>
    <w:rsid w:val="0051537F"/>
    <w:rsid w:val="00517E20"/>
    <w:rsid w:val="00517EEF"/>
    <w:rsid w:val="005206FF"/>
    <w:rsid w:val="005230D1"/>
    <w:rsid w:val="00524494"/>
    <w:rsid w:val="00524C4F"/>
    <w:rsid w:val="00525BCD"/>
    <w:rsid w:val="00537DAF"/>
    <w:rsid w:val="005408F1"/>
    <w:rsid w:val="005417F2"/>
    <w:rsid w:val="005455F8"/>
    <w:rsid w:val="00545DCB"/>
    <w:rsid w:val="005472C9"/>
    <w:rsid w:val="005530F3"/>
    <w:rsid w:val="00554E5E"/>
    <w:rsid w:val="00555A9F"/>
    <w:rsid w:val="00567841"/>
    <w:rsid w:val="00570DF3"/>
    <w:rsid w:val="0057200F"/>
    <w:rsid w:val="0057393B"/>
    <w:rsid w:val="00574559"/>
    <w:rsid w:val="00575895"/>
    <w:rsid w:val="005771EF"/>
    <w:rsid w:val="00577395"/>
    <w:rsid w:val="00577CA2"/>
    <w:rsid w:val="00581546"/>
    <w:rsid w:val="005963B7"/>
    <w:rsid w:val="005974E2"/>
    <w:rsid w:val="005A3E55"/>
    <w:rsid w:val="005A4A5B"/>
    <w:rsid w:val="005B376A"/>
    <w:rsid w:val="005B4A88"/>
    <w:rsid w:val="005B6E6A"/>
    <w:rsid w:val="005B6FFF"/>
    <w:rsid w:val="005B72B9"/>
    <w:rsid w:val="005C05B8"/>
    <w:rsid w:val="005C0B8B"/>
    <w:rsid w:val="005C4DED"/>
    <w:rsid w:val="005C5CEC"/>
    <w:rsid w:val="005C6424"/>
    <w:rsid w:val="005C7B2D"/>
    <w:rsid w:val="005D088B"/>
    <w:rsid w:val="005D1B47"/>
    <w:rsid w:val="005D3E21"/>
    <w:rsid w:val="005D6ACF"/>
    <w:rsid w:val="005E1070"/>
    <w:rsid w:val="005F0AEE"/>
    <w:rsid w:val="005F147E"/>
    <w:rsid w:val="005F1E3B"/>
    <w:rsid w:val="005F3286"/>
    <w:rsid w:val="005F4079"/>
    <w:rsid w:val="005F6560"/>
    <w:rsid w:val="005F6FB2"/>
    <w:rsid w:val="005F7329"/>
    <w:rsid w:val="006016D3"/>
    <w:rsid w:val="006018BE"/>
    <w:rsid w:val="00605DEC"/>
    <w:rsid w:val="00611833"/>
    <w:rsid w:val="00612A18"/>
    <w:rsid w:val="0061409B"/>
    <w:rsid w:val="00615E0C"/>
    <w:rsid w:val="0062008E"/>
    <w:rsid w:val="006241D9"/>
    <w:rsid w:val="006247B5"/>
    <w:rsid w:val="006322F5"/>
    <w:rsid w:val="006346EB"/>
    <w:rsid w:val="00635073"/>
    <w:rsid w:val="00635419"/>
    <w:rsid w:val="00635763"/>
    <w:rsid w:val="0064474A"/>
    <w:rsid w:val="00644805"/>
    <w:rsid w:val="00647A91"/>
    <w:rsid w:val="00652FCB"/>
    <w:rsid w:val="0065717A"/>
    <w:rsid w:val="0065786D"/>
    <w:rsid w:val="00661D9F"/>
    <w:rsid w:val="006625F5"/>
    <w:rsid w:val="006635C0"/>
    <w:rsid w:val="00664066"/>
    <w:rsid w:val="0066591F"/>
    <w:rsid w:val="00666194"/>
    <w:rsid w:val="006664C0"/>
    <w:rsid w:val="00670217"/>
    <w:rsid w:val="006733A9"/>
    <w:rsid w:val="00683578"/>
    <w:rsid w:val="00686335"/>
    <w:rsid w:val="00694848"/>
    <w:rsid w:val="00694BA6"/>
    <w:rsid w:val="00695DF0"/>
    <w:rsid w:val="006A0CAB"/>
    <w:rsid w:val="006A47CB"/>
    <w:rsid w:val="006A4E34"/>
    <w:rsid w:val="006A5B8E"/>
    <w:rsid w:val="006A792A"/>
    <w:rsid w:val="006B05E3"/>
    <w:rsid w:val="006B0A3C"/>
    <w:rsid w:val="006B19DA"/>
    <w:rsid w:val="006C21E0"/>
    <w:rsid w:val="006C48CC"/>
    <w:rsid w:val="006C532C"/>
    <w:rsid w:val="006D2EE6"/>
    <w:rsid w:val="006D35A5"/>
    <w:rsid w:val="006D3A8B"/>
    <w:rsid w:val="006D412D"/>
    <w:rsid w:val="006D4258"/>
    <w:rsid w:val="006E23FB"/>
    <w:rsid w:val="006E693A"/>
    <w:rsid w:val="006F1EFF"/>
    <w:rsid w:val="006F5077"/>
    <w:rsid w:val="0070313C"/>
    <w:rsid w:val="00703DE6"/>
    <w:rsid w:val="00705121"/>
    <w:rsid w:val="0071161F"/>
    <w:rsid w:val="00711718"/>
    <w:rsid w:val="00711B34"/>
    <w:rsid w:val="00713E3C"/>
    <w:rsid w:val="007141D1"/>
    <w:rsid w:val="0072015E"/>
    <w:rsid w:val="007207CE"/>
    <w:rsid w:val="00721362"/>
    <w:rsid w:val="00725815"/>
    <w:rsid w:val="00725ADE"/>
    <w:rsid w:val="0073491A"/>
    <w:rsid w:val="00735D4F"/>
    <w:rsid w:val="00741A37"/>
    <w:rsid w:val="00741FE7"/>
    <w:rsid w:val="007435AB"/>
    <w:rsid w:val="00745D99"/>
    <w:rsid w:val="007463EB"/>
    <w:rsid w:val="00755C2F"/>
    <w:rsid w:val="007668A8"/>
    <w:rsid w:val="00776E69"/>
    <w:rsid w:val="00785D15"/>
    <w:rsid w:val="00786FE5"/>
    <w:rsid w:val="00790602"/>
    <w:rsid w:val="00790B29"/>
    <w:rsid w:val="00792D80"/>
    <w:rsid w:val="00793ED9"/>
    <w:rsid w:val="00796859"/>
    <w:rsid w:val="007976BE"/>
    <w:rsid w:val="007B2C4B"/>
    <w:rsid w:val="007B5BB6"/>
    <w:rsid w:val="007B73A4"/>
    <w:rsid w:val="007B748B"/>
    <w:rsid w:val="007C1240"/>
    <w:rsid w:val="007C2610"/>
    <w:rsid w:val="007C38CA"/>
    <w:rsid w:val="007C4184"/>
    <w:rsid w:val="007C42FA"/>
    <w:rsid w:val="007C7DC5"/>
    <w:rsid w:val="007D0012"/>
    <w:rsid w:val="007D1395"/>
    <w:rsid w:val="007D1889"/>
    <w:rsid w:val="007D66DE"/>
    <w:rsid w:val="007D6C8C"/>
    <w:rsid w:val="007D6D35"/>
    <w:rsid w:val="007D7A05"/>
    <w:rsid w:val="007E1125"/>
    <w:rsid w:val="007E33FF"/>
    <w:rsid w:val="007E4228"/>
    <w:rsid w:val="007E4D00"/>
    <w:rsid w:val="007E4F29"/>
    <w:rsid w:val="007E5615"/>
    <w:rsid w:val="007F25DA"/>
    <w:rsid w:val="007F31A5"/>
    <w:rsid w:val="007F34AA"/>
    <w:rsid w:val="007F3B72"/>
    <w:rsid w:val="007F75D6"/>
    <w:rsid w:val="0080251A"/>
    <w:rsid w:val="00813BC0"/>
    <w:rsid w:val="00816CEA"/>
    <w:rsid w:val="008214F3"/>
    <w:rsid w:val="00827EA6"/>
    <w:rsid w:val="0083100D"/>
    <w:rsid w:val="00832028"/>
    <w:rsid w:val="00833D6D"/>
    <w:rsid w:val="00840733"/>
    <w:rsid w:val="00844993"/>
    <w:rsid w:val="00846462"/>
    <w:rsid w:val="008518EA"/>
    <w:rsid w:val="0085281E"/>
    <w:rsid w:val="00853725"/>
    <w:rsid w:val="00855C84"/>
    <w:rsid w:val="0085636B"/>
    <w:rsid w:val="00857674"/>
    <w:rsid w:val="00864ABA"/>
    <w:rsid w:val="00864C77"/>
    <w:rsid w:val="0087330D"/>
    <w:rsid w:val="00887FB2"/>
    <w:rsid w:val="00890B2D"/>
    <w:rsid w:val="0089238D"/>
    <w:rsid w:val="008951AF"/>
    <w:rsid w:val="008970B0"/>
    <w:rsid w:val="008A13D8"/>
    <w:rsid w:val="008B5AC5"/>
    <w:rsid w:val="008B7ECC"/>
    <w:rsid w:val="008C1350"/>
    <w:rsid w:val="008C166B"/>
    <w:rsid w:val="008C24CE"/>
    <w:rsid w:val="008C35FB"/>
    <w:rsid w:val="008C6F64"/>
    <w:rsid w:val="008C7262"/>
    <w:rsid w:val="008D00C6"/>
    <w:rsid w:val="008D1A09"/>
    <w:rsid w:val="008D3D95"/>
    <w:rsid w:val="008E38CA"/>
    <w:rsid w:val="008E48CA"/>
    <w:rsid w:val="008E4BDE"/>
    <w:rsid w:val="008E55DD"/>
    <w:rsid w:val="008E6F65"/>
    <w:rsid w:val="008F3B22"/>
    <w:rsid w:val="008F60F0"/>
    <w:rsid w:val="008F6898"/>
    <w:rsid w:val="009037A3"/>
    <w:rsid w:val="009042F2"/>
    <w:rsid w:val="0091032C"/>
    <w:rsid w:val="00910F02"/>
    <w:rsid w:val="00911221"/>
    <w:rsid w:val="009135A1"/>
    <w:rsid w:val="0091507C"/>
    <w:rsid w:val="00921710"/>
    <w:rsid w:val="00922894"/>
    <w:rsid w:val="0092289C"/>
    <w:rsid w:val="00922B3E"/>
    <w:rsid w:val="009240F6"/>
    <w:rsid w:val="009274CD"/>
    <w:rsid w:val="00930714"/>
    <w:rsid w:val="0093215F"/>
    <w:rsid w:val="00933BD2"/>
    <w:rsid w:val="009379D1"/>
    <w:rsid w:val="009503DA"/>
    <w:rsid w:val="00950680"/>
    <w:rsid w:val="00953E9D"/>
    <w:rsid w:val="0095486A"/>
    <w:rsid w:val="009551A3"/>
    <w:rsid w:val="009561EC"/>
    <w:rsid w:val="009624FA"/>
    <w:rsid w:val="00965062"/>
    <w:rsid w:val="00970792"/>
    <w:rsid w:val="0097364C"/>
    <w:rsid w:val="00973B8D"/>
    <w:rsid w:val="00975886"/>
    <w:rsid w:val="0097591E"/>
    <w:rsid w:val="00977F96"/>
    <w:rsid w:val="00981083"/>
    <w:rsid w:val="009848DF"/>
    <w:rsid w:val="00985725"/>
    <w:rsid w:val="00985A4D"/>
    <w:rsid w:val="00993C4E"/>
    <w:rsid w:val="00993E5B"/>
    <w:rsid w:val="009A443E"/>
    <w:rsid w:val="009B0036"/>
    <w:rsid w:val="009B0441"/>
    <w:rsid w:val="009B1B9F"/>
    <w:rsid w:val="009B2541"/>
    <w:rsid w:val="009C26B9"/>
    <w:rsid w:val="009D0436"/>
    <w:rsid w:val="009D31BB"/>
    <w:rsid w:val="009E4104"/>
    <w:rsid w:val="009E4478"/>
    <w:rsid w:val="009E64B2"/>
    <w:rsid w:val="009E7277"/>
    <w:rsid w:val="009E7A9B"/>
    <w:rsid w:val="009E7B45"/>
    <w:rsid w:val="00A016CA"/>
    <w:rsid w:val="00A03D62"/>
    <w:rsid w:val="00A0595A"/>
    <w:rsid w:val="00A05F00"/>
    <w:rsid w:val="00A12857"/>
    <w:rsid w:val="00A13147"/>
    <w:rsid w:val="00A143F6"/>
    <w:rsid w:val="00A152E8"/>
    <w:rsid w:val="00A17342"/>
    <w:rsid w:val="00A2391C"/>
    <w:rsid w:val="00A24183"/>
    <w:rsid w:val="00A2607D"/>
    <w:rsid w:val="00A30E3A"/>
    <w:rsid w:val="00A31EE5"/>
    <w:rsid w:val="00A32CEF"/>
    <w:rsid w:val="00A32D5D"/>
    <w:rsid w:val="00A377C7"/>
    <w:rsid w:val="00A43C07"/>
    <w:rsid w:val="00A43DBC"/>
    <w:rsid w:val="00A47D7F"/>
    <w:rsid w:val="00A50D5D"/>
    <w:rsid w:val="00A5352B"/>
    <w:rsid w:val="00A56999"/>
    <w:rsid w:val="00A646F8"/>
    <w:rsid w:val="00A675BC"/>
    <w:rsid w:val="00A732C0"/>
    <w:rsid w:val="00A75048"/>
    <w:rsid w:val="00A76B7A"/>
    <w:rsid w:val="00A87537"/>
    <w:rsid w:val="00A927D6"/>
    <w:rsid w:val="00A9541D"/>
    <w:rsid w:val="00AA25CF"/>
    <w:rsid w:val="00AA270E"/>
    <w:rsid w:val="00AA37A9"/>
    <w:rsid w:val="00AA6811"/>
    <w:rsid w:val="00AB0658"/>
    <w:rsid w:val="00AC30CB"/>
    <w:rsid w:val="00AC3FE7"/>
    <w:rsid w:val="00AC66A9"/>
    <w:rsid w:val="00AD0A39"/>
    <w:rsid w:val="00AD3756"/>
    <w:rsid w:val="00AD5069"/>
    <w:rsid w:val="00AD5AC0"/>
    <w:rsid w:val="00AD601D"/>
    <w:rsid w:val="00AD6F5B"/>
    <w:rsid w:val="00AE196A"/>
    <w:rsid w:val="00AE2090"/>
    <w:rsid w:val="00AE379B"/>
    <w:rsid w:val="00AF11A0"/>
    <w:rsid w:val="00AF184A"/>
    <w:rsid w:val="00AF252B"/>
    <w:rsid w:val="00B00457"/>
    <w:rsid w:val="00B00F5F"/>
    <w:rsid w:val="00B012BD"/>
    <w:rsid w:val="00B01DB2"/>
    <w:rsid w:val="00B04A83"/>
    <w:rsid w:val="00B071E0"/>
    <w:rsid w:val="00B113D0"/>
    <w:rsid w:val="00B14496"/>
    <w:rsid w:val="00B15DDE"/>
    <w:rsid w:val="00B171B2"/>
    <w:rsid w:val="00B2128A"/>
    <w:rsid w:val="00B2353C"/>
    <w:rsid w:val="00B2695B"/>
    <w:rsid w:val="00B344D2"/>
    <w:rsid w:val="00B34D7D"/>
    <w:rsid w:val="00B3792E"/>
    <w:rsid w:val="00B435F6"/>
    <w:rsid w:val="00B4386B"/>
    <w:rsid w:val="00B475D7"/>
    <w:rsid w:val="00B50989"/>
    <w:rsid w:val="00B50E11"/>
    <w:rsid w:val="00B6035B"/>
    <w:rsid w:val="00B62A76"/>
    <w:rsid w:val="00B65CFD"/>
    <w:rsid w:val="00B6680D"/>
    <w:rsid w:val="00B66DC3"/>
    <w:rsid w:val="00B67C3F"/>
    <w:rsid w:val="00B72AEA"/>
    <w:rsid w:val="00B73689"/>
    <w:rsid w:val="00B73BCA"/>
    <w:rsid w:val="00B74F56"/>
    <w:rsid w:val="00B75E7A"/>
    <w:rsid w:val="00B81A44"/>
    <w:rsid w:val="00B87CD6"/>
    <w:rsid w:val="00B9502C"/>
    <w:rsid w:val="00B95EED"/>
    <w:rsid w:val="00BA04B8"/>
    <w:rsid w:val="00BA2AEC"/>
    <w:rsid w:val="00BA7DE9"/>
    <w:rsid w:val="00BB22E3"/>
    <w:rsid w:val="00BB379F"/>
    <w:rsid w:val="00BB4695"/>
    <w:rsid w:val="00BB733E"/>
    <w:rsid w:val="00BC148D"/>
    <w:rsid w:val="00BC1991"/>
    <w:rsid w:val="00BC1E11"/>
    <w:rsid w:val="00BC1FB3"/>
    <w:rsid w:val="00BC6078"/>
    <w:rsid w:val="00BD31E0"/>
    <w:rsid w:val="00BD33D8"/>
    <w:rsid w:val="00BD566D"/>
    <w:rsid w:val="00BD7866"/>
    <w:rsid w:val="00BE12B4"/>
    <w:rsid w:val="00BE1D48"/>
    <w:rsid w:val="00BE2A23"/>
    <w:rsid w:val="00BE4737"/>
    <w:rsid w:val="00BE4A0C"/>
    <w:rsid w:val="00BE6C65"/>
    <w:rsid w:val="00BE7696"/>
    <w:rsid w:val="00BF038F"/>
    <w:rsid w:val="00BF0800"/>
    <w:rsid w:val="00BF121D"/>
    <w:rsid w:val="00BF3B4D"/>
    <w:rsid w:val="00BF76E9"/>
    <w:rsid w:val="00BF786B"/>
    <w:rsid w:val="00C0089C"/>
    <w:rsid w:val="00C03BEF"/>
    <w:rsid w:val="00C03ECE"/>
    <w:rsid w:val="00C03F0F"/>
    <w:rsid w:val="00C040CE"/>
    <w:rsid w:val="00C0484A"/>
    <w:rsid w:val="00C06036"/>
    <w:rsid w:val="00C16F42"/>
    <w:rsid w:val="00C24E23"/>
    <w:rsid w:val="00C26A60"/>
    <w:rsid w:val="00C26AE1"/>
    <w:rsid w:val="00C30F52"/>
    <w:rsid w:val="00C40E54"/>
    <w:rsid w:val="00C42B9D"/>
    <w:rsid w:val="00C42D77"/>
    <w:rsid w:val="00C4445F"/>
    <w:rsid w:val="00C44C1A"/>
    <w:rsid w:val="00C504A4"/>
    <w:rsid w:val="00C52419"/>
    <w:rsid w:val="00C5334F"/>
    <w:rsid w:val="00C535C2"/>
    <w:rsid w:val="00C53FEB"/>
    <w:rsid w:val="00C57B5A"/>
    <w:rsid w:val="00C61C47"/>
    <w:rsid w:val="00C61C80"/>
    <w:rsid w:val="00C660F5"/>
    <w:rsid w:val="00C66CEC"/>
    <w:rsid w:val="00C73865"/>
    <w:rsid w:val="00C76727"/>
    <w:rsid w:val="00C770BA"/>
    <w:rsid w:val="00C8396A"/>
    <w:rsid w:val="00C8408F"/>
    <w:rsid w:val="00C859D8"/>
    <w:rsid w:val="00C879FB"/>
    <w:rsid w:val="00C9073E"/>
    <w:rsid w:val="00C921C1"/>
    <w:rsid w:val="00C95185"/>
    <w:rsid w:val="00CA0A8E"/>
    <w:rsid w:val="00CA2E54"/>
    <w:rsid w:val="00CA36AC"/>
    <w:rsid w:val="00CA58F2"/>
    <w:rsid w:val="00CA76C7"/>
    <w:rsid w:val="00CB08FB"/>
    <w:rsid w:val="00CB1FC1"/>
    <w:rsid w:val="00CB5D18"/>
    <w:rsid w:val="00CC1933"/>
    <w:rsid w:val="00CC20C4"/>
    <w:rsid w:val="00CC3697"/>
    <w:rsid w:val="00CC4DA8"/>
    <w:rsid w:val="00CC7BEE"/>
    <w:rsid w:val="00CD3A94"/>
    <w:rsid w:val="00CE2896"/>
    <w:rsid w:val="00CE79AE"/>
    <w:rsid w:val="00CF0A96"/>
    <w:rsid w:val="00CF0AF3"/>
    <w:rsid w:val="00CF1630"/>
    <w:rsid w:val="00CF6088"/>
    <w:rsid w:val="00CF655A"/>
    <w:rsid w:val="00D02226"/>
    <w:rsid w:val="00D0559B"/>
    <w:rsid w:val="00D11955"/>
    <w:rsid w:val="00D13E28"/>
    <w:rsid w:val="00D15E08"/>
    <w:rsid w:val="00D27F24"/>
    <w:rsid w:val="00D3312B"/>
    <w:rsid w:val="00D343F1"/>
    <w:rsid w:val="00D365B5"/>
    <w:rsid w:val="00D40641"/>
    <w:rsid w:val="00D410A9"/>
    <w:rsid w:val="00D43DFE"/>
    <w:rsid w:val="00D50213"/>
    <w:rsid w:val="00D53058"/>
    <w:rsid w:val="00D55275"/>
    <w:rsid w:val="00D55AC3"/>
    <w:rsid w:val="00D56456"/>
    <w:rsid w:val="00D64380"/>
    <w:rsid w:val="00D747E9"/>
    <w:rsid w:val="00D83BA4"/>
    <w:rsid w:val="00D91885"/>
    <w:rsid w:val="00D91B13"/>
    <w:rsid w:val="00D9584D"/>
    <w:rsid w:val="00D96976"/>
    <w:rsid w:val="00D96C3D"/>
    <w:rsid w:val="00D96DF7"/>
    <w:rsid w:val="00DA3E0C"/>
    <w:rsid w:val="00DB0D36"/>
    <w:rsid w:val="00DB2416"/>
    <w:rsid w:val="00DB59A1"/>
    <w:rsid w:val="00DB59A2"/>
    <w:rsid w:val="00DB6411"/>
    <w:rsid w:val="00DB6BB3"/>
    <w:rsid w:val="00DC19C3"/>
    <w:rsid w:val="00DC36B4"/>
    <w:rsid w:val="00DC480B"/>
    <w:rsid w:val="00DC6F12"/>
    <w:rsid w:val="00DD03AC"/>
    <w:rsid w:val="00DD091B"/>
    <w:rsid w:val="00DD4771"/>
    <w:rsid w:val="00DD7C96"/>
    <w:rsid w:val="00DD7CA5"/>
    <w:rsid w:val="00DE02F6"/>
    <w:rsid w:val="00DE0479"/>
    <w:rsid w:val="00DE06B8"/>
    <w:rsid w:val="00DE0942"/>
    <w:rsid w:val="00DE0F61"/>
    <w:rsid w:val="00DE6103"/>
    <w:rsid w:val="00DE6359"/>
    <w:rsid w:val="00DE6F0A"/>
    <w:rsid w:val="00DF0054"/>
    <w:rsid w:val="00DF3F52"/>
    <w:rsid w:val="00DF3FD4"/>
    <w:rsid w:val="00DF43B5"/>
    <w:rsid w:val="00DF7B0B"/>
    <w:rsid w:val="00E0080E"/>
    <w:rsid w:val="00E02AEA"/>
    <w:rsid w:val="00E05041"/>
    <w:rsid w:val="00E07911"/>
    <w:rsid w:val="00E11349"/>
    <w:rsid w:val="00E13D1F"/>
    <w:rsid w:val="00E14477"/>
    <w:rsid w:val="00E20534"/>
    <w:rsid w:val="00E20B21"/>
    <w:rsid w:val="00E2170B"/>
    <w:rsid w:val="00E23524"/>
    <w:rsid w:val="00E2643F"/>
    <w:rsid w:val="00E30C64"/>
    <w:rsid w:val="00E33543"/>
    <w:rsid w:val="00E34161"/>
    <w:rsid w:val="00E43DCD"/>
    <w:rsid w:val="00E4423F"/>
    <w:rsid w:val="00E44C58"/>
    <w:rsid w:val="00E453D8"/>
    <w:rsid w:val="00E458EA"/>
    <w:rsid w:val="00E461A2"/>
    <w:rsid w:val="00E50728"/>
    <w:rsid w:val="00E5128F"/>
    <w:rsid w:val="00E5574E"/>
    <w:rsid w:val="00E55944"/>
    <w:rsid w:val="00E560AC"/>
    <w:rsid w:val="00E56CF3"/>
    <w:rsid w:val="00E57A5D"/>
    <w:rsid w:val="00E6753E"/>
    <w:rsid w:val="00E812C1"/>
    <w:rsid w:val="00E830BC"/>
    <w:rsid w:val="00E8461A"/>
    <w:rsid w:val="00E86E95"/>
    <w:rsid w:val="00E93229"/>
    <w:rsid w:val="00E953B6"/>
    <w:rsid w:val="00E954CC"/>
    <w:rsid w:val="00E97590"/>
    <w:rsid w:val="00EA2A68"/>
    <w:rsid w:val="00EA32D7"/>
    <w:rsid w:val="00EA5115"/>
    <w:rsid w:val="00EA660E"/>
    <w:rsid w:val="00EB0605"/>
    <w:rsid w:val="00EB1EB2"/>
    <w:rsid w:val="00EB4E5E"/>
    <w:rsid w:val="00EB6C60"/>
    <w:rsid w:val="00EB7C5D"/>
    <w:rsid w:val="00EC0C8D"/>
    <w:rsid w:val="00EC317B"/>
    <w:rsid w:val="00EC33BF"/>
    <w:rsid w:val="00EC69A9"/>
    <w:rsid w:val="00ED1C3C"/>
    <w:rsid w:val="00EE323C"/>
    <w:rsid w:val="00EE48B2"/>
    <w:rsid w:val="00EE6220"/>
    <w:rsid w:val="00EE6E36"/>
    <w:rsid w:val="00EF2E52"/>
    <w:rsid w:val="00EF489C"/>
    <w:rsid w:val="00EF6714"/>
    <w:rsid w:val="00EF7560"/>
    <w:rsid w:val="00F01A77"/>
    <w:rsid w:val="00F03A02"/>
    <w:rsid w:val="00F04ECE"/>
    <w:rsid w:val="00F05554"/>
    <w:rsid w:val="00F162D0"/>
    <w:rsid w:val="00F167AF"/>
    <w:rsid w:val="00F2310B"/>
    <w:rsid w:val="00F23947"/>
    <w:rsid w:val="00F2403E"/>
    <w:rsid w:val="00F27634"/>
    <w:rsid w:val="00F27D05"/>
    <w:rsid w:val="00F34ECC"/>
    <w:rsid w:val="00F403C1"/>
    <w:rsid w:val="00F421A0"/>
    <w:rsid w:val="00F4240A"/>
    <w:rsid w:val="00F43337"/>
    <w:rsid w:val="00F43942"/>
    <w:rsid w:val="00F43DE5"/>
    <w:rsid w:val="00F4570D"/>
    <w:rsid w:val="00F5325C"/>
    <w:rsid w:val="00F5561E"/>
    <w:rsid w:val="00F6021C"/>
    <w:rsid w:val="00F64873"/>
    <w:rsid w:val="00F6660B"/>
    <w:rsid w:val="00F66DC8"/>
    <w:rsid w:val="00F72FBA"/>
    <w:rsid w:val="00F72FFF"/>
    <w:rsid w:val="00F7561E"/>
    <w:rsid w:val="00F77E53"/>
    <w:rsid w:val="00F80689"/>
    <w:rsid w:val="00F82CA9"/>
    <w:rsid w:val="00F83108"/>
    <w:rsid w:val="00F84C5C"/>
    <w:rsid w:val="00F91DFC"/>
    <w:rsid w:val="00F9453B"/>
    <w:rsid w:val="00F94FF0"/>
    <w:rsid w:val="00F95921"/>
    <w:rsid w:val="00FA07DE"/>
    <w:rsid w:val="00FA2565"/>
    <w:rsid w:val="00FA3125"/>
    <w:rsid w:val="00FA3AF0"/>
    <w:rsid w:val="00FA4457"/>
    <w:rsid w:val="00FB334F"/>
    <w:rsid w:val="00FC0AC8"/>
    <w:rsid w:val="00FC3663"/>
    <w:rsid w:val="00FC6777"/>
    <w:rsid w:val="00FD0C23"/>
    <w:rsid w:val="00FD2C10"/>
    <w:rsid w:val="00FD6253"/>
    <w:rsid w:val="00FD690E"/>
    <w:rsid w:val="00FD713B"/>
    <w:rsid w:val="00FF0F7C"/>
    <w:rsid w:val="00FF2199"/>
    <w:rsid w:val="00FF2298"/>
    <w:rsid w:val="00FF3669"/>
    <w:rsid w:val="00FF368B"/>
    <w:rsid w:val="00FF4D93"/>
    <w:rsid w:val="00FF6529"/>
    <w:rsid w:val="21C4C96E"/>
    <w:rsid w:val="2ACB7760"/>
    <w:rsid w:val="2EB2EA48"/>
    <w:rsid w:val="3F949558"/>
    <w:rsid w:val="4D2A03C0"/>
    <w:rsid w:val="5513CDEC"/>
    <w:rsid w:val="580FC9FE"/>
    <w:rsid w:val="694C44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38C7"/>
  <w15:chartTrackingRefBased/>
  <w15:docId w15:val="{14DF453C-ED21-403A-A3A6-22CBAE8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6C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76C7"/>
    <w:rPr>
      <w:color w:val="0563C1" w:themeColor="hyperlink"/>
      <w:u w:val="single"/>
    </w:rPr>
  </w:style>
  <w:style w:type="character" w:customStyle="1" w:styleId="SinespaciadoCar">
    <w:name w:val="Sin espaciado Car"/>
    <w:link w:val="Sinespaciado"/>
    <w:uiPriority w:val="1"/>
    <w:locked/>
    <w:rsid w:val="00CA76C7"/>
    <w:rPr>
      <w:rFonts w:ascii="Courier New" w:eastAsia="Times New Roman" w:hAnsi="Courier New" w:cs="Times New Roman"/>
      <w:lang w:val="es-ES" w:eastAsia="es-ES"/>
    </w:rPr>
  </w:style>
  <w:style w:type="paragraph" w:styleId="Sinespaciado">
    <w:name w:val="No Spacing"/>
    <w:link w:val="SinespaciadoCar"/>
    <w:uiPriority w:val="1"/>
    <w:qFormat/>
    <w:rsid w:val="00CA76C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CA76C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A76C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A12857"/>
    <w:pPr>
      <w:tabs>
        <w:tab w:val="center" w:pos="4419"/>
        <w:tab w:val="right" w:pos="8838"/>
      </w:tabs>
    </w:pPr>
  </w:style>
  <w:style w:type="character" w:customStyle="1" w:styleId="EncabezadoCar">
    <w:name w:val="Encabezado Car"/>
    <w:basedOn w:val="Fuentedeprrafopredeter"/>
    <w:link w:val="Encabezado"/>
    <w:uiPriority w:val="99"/>
    <w:rsid w:val="00A1285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A12857"/>
    <w:pPr>
      <w:tabs>
        <w:tab w:val="center" w:pos="4419"/>
        <w:tab w:val="right" w:pos="8838"/>
      </w:tabs>
    </w:pPr>
  </w:style>
  <w:style w:type="character" w:customStyle="1" w:styleId="PiedepginaCar">
    <w:name w:val="Pie de página Car"/>
    <w:basedOn w:val="Fuentedeprrafopredeter"/>
    <w:link w:val="Piedepgina"/>
    <w:uiPriority w:val="99"/>
    <w:rsid w:val="00A12857"/>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9B0036"/>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rsid w:val="009B0036"/>
    <w:rPr>
      <w:rFonts w:ascii="Cambria Math" w:eastAsia="Cambria Math" w:hAnsi="Cambria Math" w:cs="Cambria Math"/>
      <w:sz w:val="20"/>
      <w:szCs w:val="20"/>
      <w:lang w:val="es-ES_tradnl" w:eastAsia="es-ES"/>
    </w:rPr>
  </w:style>
  <w:style w:type="character" w:customStyle="1" w:styleId="iaj">
    <w:name w:val="i_aj"/>
    <w:basedOn w:val="Fuentedeprrafopredeter"/>
    <w:rsid w:val="00F162D0"/>
  </w:style>
  <w:style w:type="paragraph" w:styleId="Prrafodelista">
    <w:name w:val="List Paragraph"/>
    <w:basedOn w:val="Normal"/>
    <w:uiPriority w:val="34"/>
    <w:qFormat/>
    <w:rsid w:val="00E50728"/>
    <w:pPr>
      <w:ind w:left="720"/>
      <w:contextualSpacing/>
    </w:pPr>
  </w:style>
  <w:style w:type="character" w:styleId="Mencinsinresolver">
    <w:name w:val="Unresolved Mention"/>
    <w:basedOn w:val="Fuentedeprrafopredeter"/>
    <w:uiPriority w:val="99"/>
    <w:semiHidden/>
    <w:unhideWhenUsed/>
    <w:rsid w:val="00F94FF0"/>
    <w:rPr>
      <w:color w:val="605E5C"/>
      <w:shd w:val="clear" w:color="auto" w:fill="E1DFDD"/>
    </w:rPr>
  </w:style>
  <w:style w:type="paragraph" w:styleId="NormalWeb">
    <w:name w:val="Normal (Web)"/>
    <w:basedOn w:val="Normal"/>
    <w:uiPriority w:val="99"/>
    <w:semiHidden/>
    <w:unhideWhenUsed/>
    <w:rsid w:val="00D91B13"/>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436045"/>
    <w:rPr>
      <w:b/>
      <w:bCs/>
    </w:rPr>
  </w:style>
  <w:style w:type="character" w:customStyle="1" w:styleId="AsuntodelcomentarioCar">
    <w:name w:val="Asunto del comentario Car"/>
    <w:basedOn w:val="TextocomentarioCar"/>
    <w:link w:val="Asuntodelcomentario"/>
    <w:uiPriority w:val="99"/>
    <w:semiHidden/>
    <w:rsid w:val="00436045"/>
    <w:rPr>
      <w:rFonts w:ascii="Cambria Math" w:eastAsia="Cambria Math" w:hAnsi="Cambria Math" w:cs="Cambria Math"/>
      <w:b/>
      <w:bCs/>
      <w:sz w:val="20"/>
      <w:szCs w:val="20"/>
      <w:lang w:val="es-ES_tradnl" w:eastAsia="es-ES"/>
    </w:rPr>
  </w:style>
  <w:style w:type="paragraph" w:customStyle="1" w:styleId="313">
    <w:name w:val="313"/>
    <w:basedOn w:val="Normal"/>
    <w:uiPriority w:val="99"/>
    <w:rsid w:val="00DE6F0A"/>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1303">
      <w:bodyDiv w:val="1"/>
      <w:marLeft w:val="0"/>
      <w:marRight w:val="0"/>
      <w:marTop w:val="0"/>
      <w:marBottom w:val="0"/>
      <w:divBdr>
        <w:top w:val="none" w:sz="0" w:space="0" w:color="auto"/>
        <w:left w:val="none" w:sz="0" w:space="0" w:color="auto"/>
        <w:bottom w:val="none" w:sz="0" w:space="0" w:color="auto"/>
        <w:right w:val="none" w:sz="0" w:space="0" w:color="auto"/>
      </w:divBdr>
    </w:div>
    <w:div w:id="216818794">
      <w:bodyDiv w:val="1"/>
      <w:marLeft w:val="0"/>
      <w:marRight w:val="0"/>
      <w:marTop w:val="0"/>
      <w:marBottom w:val="0"/>
      <w:divBdr>
        <w:top w:val="none" w:sz="0" w:space="0" w:color="auto"/>
        <w:left w:val="none" w:sz="0" w:space="0" w:color="auto"/>
        <w:bottom w:val="none" w:sz="0" w:space="0" w:color="auto"/>
        <w:right w:val="none" w:sz="0" w:space="0" w:color="auto"/>
      </w:divBdr>
    </w:div>
    <w:div w:id="4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es/E/C.12/20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0253-4A30-46CA-B609-391C7A8B8A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C0F0C-82D5-4E04-A30C-82E0806231F0}">
  <ds:schemaRefs>
    <ds:schemaRef ds:uri="http://schemas.microsoft.com/sharepoint/v3/contenttype/forms"/>
  </ds:schemaRefs>
</ds:datastoreItem>
</file>

<file path=customXml/itemProps3.xml><?xml version="1.0" encoding="utf-8"?>
<ds:datastoreItem xmlns:ds="http://schemas.openxmlformats.org/officeDocument/2006/customXml" ds:itemID="{74467DD0-C81D-4083-9DA7-CEDE8E3CA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7A517-88E5-4F27-924B-DE0BB189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5842</Words>
  <Characters>32131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11</cp:revision>
  <dcterms:created xsi:type="dcterms:W3CDTF">2021-07-26T14:10:00Z</dcterms:created>
  <dcterms:modified xsi:type="dcterms:W3CDTF">2021-09-28T18:18:00Z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