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151D8" w14:textId="77777777" w:rsidR="005E2453" w:rsidRPr="008A290B" w:rsidRDefault="005E2453" w:rsidP="005E245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7DADC7" w14:textId="77777777" w:rsidR="005E2453" w:rsidRDefault="005E2453" w:rsidP="005E2453">
      <w:pPr>
        <w:jc w:val="both"/>
        <w:rPr>
          <w:rFonts w:ascii="Arial" w:hAnsi="Arial" w:cs="Arial"/>
          <w:lang w:val="es-419"/>
        </w:rPr>
      </w:pPr>
    </w:p>
    <w:p w14:paraId="33806AC2" w14:textId="2B803F23" w:rsidR="005E2453" w:rsidRPr="00E32969" w:rsidRDefault="005E2453" w:rsidP="005E2453">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44089F">
        <w:rPr>
          <w:rFonts w:ascii="Arial" w:hAnsi="Arial" w:cs="Arial"/>
          <w:b/>
          <w:bCs/>
          <w:iCs/>
          <w:sz w:val="20"/>
          <w:szCs w:val="20"/>
          <w:lang w:val="es-419" w:eastAsia="fr-FR"/>
        </w:rPr>
        <w:t xml:space="preserve">HABEAS DATA / DEFINICIÓN / PRESUPUESTOS </w:t>
      </w:r>
      <w:r w:rsidRPr="00E32969">
        <w:rPr>
          <w:rFonts w:ascii="Arial" w:hAnsi="Arial" w:cs="Arial"/>
          <w:b/>
          <w:bCs/>
          <w:iCs/>
          <w:sz w:val="20"/>
          <w:szCs w:val="20"/>
          <w:lang w:val="es-419" w:eastAsia="fr-FR"/>
        </w:rPr>
        <w:t>/</w:t>
      </w:r>
      <w:r w:rsidR="0050461D">
        <w:rPr>
          <w:rFonts w:ascii="Arial" w:hAnsi="Arial" w:cs="Arial"/>
          <w:b/>
          <w:bCs/>
          <w:iCs/>
          <w:sz w:val="20"/>
          <w:szCs w:val="20"/>
          <w:lang w:val="es-419" w:eastAsia="fr-FR"/>
        </w:rPr>
        <w:t xml:space="preserve"> LA INFORMACIÓN DEBE SER CLARA, COMPLETA Y ACTUALIZADA /</w:t>
      </w:r>
      <w:r w:rsidRPr="00E32969">
        <w:rPr>
          <w:rFonts w:ascii="Arial" w:hAnsi="Arial" w:cs="Arial"/>
          <w:b/>
          <w:bCs/>
          <w:iCs/>
          <w:sz w:val="20"/>
          <w:szCs w:val="20"/>
          <w:lang w:val="es-419" w:eastAsia="fr-FR"/>
        </w:rPr>
        <w:t xml:space="preserve"> </w:t>
      </w:r>
      <w:r w:rsidR="0044089F">
        <w:rPr>
          <w:rFonts w:ascii="Arial" w:hAnsi="Arial" w:cs="Arial"/>
          <w:b/>
          <w:bCs/>
          <w:iCs/>
          <w:sz w:val="20"/>
          <w:szCs w:val="20"/>
          <w:lang w:val="es-419" w:eastAsia="fr-FR"/>
        </w:rPr>
        <w:t xml:space="preserve">REPORTE EN CENTRALES DE RIESGO / PROCEDENCIA DE LA TUTELA / REQUISITOS / </w:t>
      </w:r>
      <w:r w:rsidR="0050461D">
        <w:rPr>
          <w:rFonts w:ascii="Arial" w:hAnsi="Arial" w:cs="Arial"/>
          <w:b/>
          <w:bCs/>
          <w:iCs/>
          <w:sz w:val="20"/>
          <w:szCs w:val="20"/>
          <w:lang w:val="es-419" w:eastAsia="fr-FR"/>
        </w:rPr>
        <w:t>FORMULAR PREVIAMENTE SOLICITUD DE RECTIFICACIÓN.</w:t>
      </w:r>
    </w:p>
    <w:p w14:paraId="608C688B" w14:textId="77777777" w:rsidR="005E2453" w:rsidRPr="00E32969" w:rsidRDefault="005E2453" w:rsidP="005E2453">
      <w:pPr>
        <w:jc w:val="both"/>
        <w:rPr>
          <w:rFonts w:ascii="Arial" w:hAnsi="Arial" w:cs="Arial"/>
          <w:lang w:val="es-419"/>
        </w:rPr>
      </w:pPr>
    </w:p>
    <w:p w14:paraId="0593950F" w14:textId="07B470D8" w:rsidR="005E2453" w:rsidRPr="00E32969" w:rsidRDefault="00FD4078" w:rsidP="005E2453">
      <w:pPr>
        <w:jc w:val="both"/>
        <w:rPr>
          <w:rFonts w:ascii="Arial" w:hAnsi="Arial" w:cs="Arial"/>
          <w:lang w:val="es-419"/>
        </w:rPr>
      </w:pPr>
      <w:r>
        <w:rPr>
          <w:rFonts w:ascii="Arial" w:hAnsi="Arial" w:cs="Arial"/>
          <w:lang w:val="es-419"/>
        </w:rPr>
        <w:t xml:space="preserve">… </w:t>
      </w:r>
      <w:r w:rsidRPr="00FD4078">
        <w:rPr>
          <w:rFonts w:ascii="Arial" w:hAnsi="Arial" w:cs="Arial"/>
          <w:lang w:val="es-419"/>
        </w:rPr>
        <w:t>el debate entre las partes se circunscribe al cumplimiento de los estándares establecidos para poder generar un reporte negativo en centrales de riesgo. La primera instancia declaró improcedente el amparo al no avizorar situación especial que transformara en ineficaces a los medios ordinarios de defensa judicial</w:t>
      </w:r>
      <w:r>
        <w:rPr>
          <w:rFonts w:ascii="Arial" w:hAnsi="Arial" w:cs="Arial"/>
          <w:lang w:val="es-419"/>
        </w:rPr>
        <w:t>…</w:t>
      </w:r>
    </w:p>
    <w:p w14:paraId="09CA1DE5" w14:textId="77777777" w:rsidR="005E2453" w:rsidRPr="00E32969" w:rsidRDefault="005E2453" w:rsidP="005E2453">
      <w:pPr>
        <w:jc w:val="both"/>
        <w:rPr>
          <w:rFonts w:ascii="Arial" w:hAnsi="Arial" w:cs="Arial"/>
          <w:lang w:val="es-419"/>
        </w:rPr>
      </w:pPr>
    </w:p>
    <w:p w14:paraId="29E98B92" w14:textId="22817614" w:rsidR="005E2453" w:rsidRDefault="00611C71" w:rsidP="005E2453">
      <w:pPr>
        <w:jc w:val="both"/>
        <w:rPr>
          <w:rFonts w:ascii="Arial" w:hAnsi="Arial" w:cs="Arial"/>
          <w:lang w:val="es-419"/>
        </w:rPr>
      </w:pPr>
      <w:r>
        <w:rPr>
          <w:rFonts w:ascii="Arial" w:hAnsi="Arial" w:cs="Arial"/>
          <w:lang w:val="es-419"/>
        </w:rPr>
        <w:t xml:space="preserve">… </w:t>
      </w:r>
      <w:r w:rsidRPr="00611C71">
        <w:rPr>
          <w:rFonts w:ascii="Arial" w:hAnsi="Arial" w:cs="Arial"/>
          <w:lang w:val="es-419"/>
        </w:rPr>
        <w:t>la acción de amparo del caso se dirige fundamentalmente a proteger el derecho al hábeas data, que se considera lesionado por la entidad demandada, según se dice, al no reportar en las centrales de riesgo información veraz sobre el estado de la obligación que contrajo, y principalmente según se acentúa en la impugnación, por haber omitido adelantar el trámite previo necesario para generar aquel reporte negativo</w:t>
      </w:r>
      <w:r>
        <w:rPr>
          <w:rFonts w:ascii="Arial" w:hAnsi="Arial" w:cs="Arial"/>
          <w:lang w:val="es-419"/>
        </w:rPr>
        <w:t>…</w:t>
      </w:r>
    </w:p>
    <w:p w14:paraId="7F9C2E69" w14:textId="77777777" w:rsidR="005E2453" w:rsidRDefault="005E2453" w:rsidP="005E2453">
      <w:pPr>
        <w:jc w:val="both"/>
        <w:rPr>
          <w:rFonts w:ascii="Arial" w:hAnsi="Arial" w:cs="Arial"/>
          <w:lang w:val="es-419"/>
        </w:rPr>
      </w:pPr>
    </w:p>
    <w:p w14:paraId="01463F1F" w14:textId="77777777" w:rsidR="00213139" w:rsidRPr="00213139" w:rsidRDefault="00213139" w:rsidP="00213139">
      <w:pPr>
        <w:jc w:val="both"/>
        <w:rPr>
          <w:rFonts w:ascii="Arial" w:hAnsi="Arial" w:cs="Arial"/>
          <w:lang w:val="es-419"/>
        </w:rPr>
      </w:pPr>
      <w:r w:rsidRPr="00213139">
        <w:rPr>
          <w:rFonts w:ascii="Arial" w:hAnsi="Arial" w:cs="Arial"/>
          <w:lang w:val="es-419"/>
        </w:rPr>
        <w:t>La Corte Constitucional se ha ocupado de establecer los presupuestos de procedencia de la acción de tutela como figura de protección frente al derecho al habeas data, así:</w:t>
      </w:r>
    </w:p>
    <w:p w14:paraId="7EF0349E" w14:textId="77777777" w:rsidR="00213139" w:rsidRPr="00213139" w:rsidRDefault="00213139" w:rsidP="00213139">
      <w:pPr>
        <w:jc w:val="both"/>
        <w:rPr>
          <w:rFonts w:ascii="Arial" w:hAnsi="Arial" w:cs="Arial"/>
          <w:lang w:val="es-419"/>
        </w:rPr>
      </w:pPr>
    </w:p>
    <w:p w14:paraId="25AD7233" w14:textId="789D1B6B" w:rsidR="005E2453" w:rsidRPr="00E32969" w:rsidRDefault="00213139" w:rsidP="00213139">
      <w:pPr>
        <w:jc w:val="both"/>
        <w:rPr>
          <w:rFonts w:ascii="Arial" w:hAnsi="Arial" w:cs="Arial"/>
          <w:lang w:val="es-419"/>
        </w:rPr>
      </w:pPr>
      <w:r w:rsidRPr="00213139">
        <w:rPr>
          <w:rFonts w:ascii="Arial" w:hAnsi="Arial" w:cs="Arial"/>
          <w:lang w:val="es-419"/>
        </w:rPr>
        <w:t>“</w:t>
      </w:r>
      <w:r>
        <w:rPr>
          <w:rFonts w:ascii="Arial" w:hAnsi="Arial" w:cs="Arial"/>
          <w:lang w:val="es-419"/>
        </w:rPr>
        <w:t xml:space="preserve">… </w:t>
      </w:r>
      <w:r w:rsidRPr="00213139">
        <w:rPr>
          <w:rFonts w:ascii="Arial" w:hAnsi="Arial" w:cs="Arial"/>
          <w:lang w:val="es-419"/>
        </w:rPr>
        <w:t>la jurisprudencia constitucional ha establecido como presupuesto general para el ejercicio de la acción de tutela que el afectado haya solicitado la aclaración, corrección, rectificación o actualización del dato o de la información que considera errónea, previo a la interposición del mecanismo de amparo constitucional. En efecto, en el análisis de la procedencia general de las acciones de tutela formuladas para obtener la protección del derecho al habeas data, las Salas de Revisión verifican el agotamiento del recurso principal al alcance del afectado, que corresponde a la solicitud de rectificación, de acuerdo con las reglas jurisprudenciales establecidas respecto al presupuesto se subsidiariedad.”</w:t>
      </w:r>
      <w:r w:rsidR="000002C5">
        <w:rPr>
          <w:rFonts w:ascii="Arial" w:hAnsi="Arial" w:cs="Arial"/>
          <w:lang w:val="es-419"/>
        </w:rPr>
        <w:t xml:space="preserve"> (…)</w:t>
      </w:r>
    </w:p>
    <w:p w14:paraId="0A02D257" w14:textId="3B338AEE" w:rsidR="005E2453" w:rsidRDefault="005E2453" w:rsidP="005E2453">
      <w:pPr>
        <w:jc w:val="both"/>
        <w:rPr>
          <w:rFonts w:ascii="Arial" w:hAnsi="Arial" w:cs="Arial"/>
        </w:rPr>
      </w:pPr>
    </w:p>
    <w:p w14:paraId="4365942B" w14:textId="4DF88DBC" w:rsidR="00213139" w:rsidRDefault="003E543B" w:rsidP="005E2453">
      <w:pPr>
        <w:jc w:val="both"/>
        <w:rPr>
          <w:rFonts w:ascii="Arial" w:hAnsi="Arial" w:cs="Arial"/>
        </w:rPr>
      </w:pPr>
      <w:r w:rsidRPr="003E543B">
        <w:rPr>
          <w:rFonts w:ascii="Arial" w:hAnsi="Arial" w:cs="Arial"/>
        </w:rPr>
        <w:t>El derecho al habeas data ha sido entendido como aquel que garantiza a los ciudadanos que la información que de ellos repose en bases de datos sea veraz, completa y actualizada, garantía de la cual se desprende la facultad de ejercer acciones para solicitar su aclaración, corrección, rectificación o actualización</w:t>
      </w:r>
      <w:r>
        <w:rPr>
          <w:rFonts w:ascii="Arial" w:hAnsi="Arial" w:cs="Arial"/>
        </w:rPr>
        <w:t>. (…)</w:t>
      </w:r>
    </w:p>
    <w:p w14:paraId="2405AB01" w14:textId="77777777" w:rsidR="00213139" w:rsidRDefault="00213139" w:rsidP="005E2453">
      <w:pPr>
        <w:jc w:val="both"/>
        <w:rPr>
          <w:rFonts w:ascii="Arial" w:hAnsi="Arial" w:cs="Arial"/>
        </w:rPr>
      </w:pPr>
    </w:p>
    <w:p w14:paraId="294C15D8" w14:textId="14EC629B" w:rsidR="005E2453" w:rsidRDefault="003E543B" w:rsidP="005E2453">
      <w:pPr>
        <w:jc w:val="both"/>
        <w:rPr>
          <w:rFonts w:ascii="Arial" w:hAnsi="Arial" w:cs="Arial"/>
        </w:rPr>
      </w:pPr>
      <w:r>
        <w:rPr>
          <w:rFonts w:ascii="Arial" w:hAnsi="Arial" w:cs="Arial"/>
        </w:rPr>
        <w:t xml:space="preserve">… </w:t>
      </w:r>
      <w:r w:rsidRPr="003E543B">
        <w:rPr>
          <w:rFonts w:ascii="Arial" w:hAnsi="Arial" w:cs="Arial"/>
        </w:rPr>
        <w:t xml:space="preserve">los datos reportados por el ICETEX no solo son inexactos e inducen a error respecto de mora que sustenta el registro negativo en centrales de riesgo, sino que, al menos en cuanto al reporte en el </w:t>
      </w:r>
      <w:proofErr w:type="spellStart"/>
      <w:r w:rsidRPr="003E543B">
        <w:rPr>
          <w:rFonts w:ascii="Arial" w:hAnsi="Arial" w:cs="Arial"/>
        </w:rPr>
        <w:t>Cifin-TransUnión</w:t>
      </w:r>
      <w:proofErr w:type="spellEnd"/>
      <w:r w:rsidRPr="003E543B">
        <w:rPr>
          <w:rFonts w:ascii="Arial" w:hAnsi="Arial" w:cs="Arial"/>
        </w:rPr>
        <w:t>, se evidencia el incumplimiento del requerimiento previo a que se refiere la norma transcrita, circunstancias que justifican la intervención del juez constitucional.</w:t>
      </w:r>
    </w:p>
    <w:p w14:paraId="7C9875C8" w14:textId="77777777" w:rsidR="003E543B" w:rsidRDefault="003E543B" w:rsidP="005E2453">
      <w:pPr>
        <w:jc w:val="both"/>
        <w:rPr>
          <w:rFonts w:ascii="Arial" w:hAnsi="Arial" w:cs="Arial"/>
        </w:rPr>
      </w:pPr>
    </w:p>
    <w:p w14:paraId="66EEC8D2" w14:textId="4B8F9280" w:rsidR="005E2453" w:rsidRDefault="005E2453" w:rsidP="005E2453">
      <w:pPr>
        <w:jc w:val="both"/>
        <w:rPr>
          <w:rFonts w:ascii="Arial" w:hAnsi="Arial" w:cs="Arial"/>
        </w:rPr>
      </w:pPr>
    </w:p>
    <w:p w14:paraId="5DF40932" w14:textId="77777777" w:rsidR="003E543B" w:rsidRDefault="003E543B" w:rsidP="005E2453">
      <w:pPr>
        <w:jc w:val="both"/>
        <w:rPr>
          <w:rFonts w:ascii="Arial" w:hAnsi="Arial" w:cs="Arial"/>
        </w:rPr>
      </w:pPr>
    </w:p>
    <w:bookmarkEnd w:id="0"/>
    <w:p w14:paraId="162270F0" w14:textId="77777777" w:rsidR="00615447" w:rsidRPr="005E2453" w:rsidRDefault="00615447" w:rsidP="005E2453">
      <w:pPr>
        <w:spacing w:line="276" w:lineRule="auto"/>
        <w:jc w:val="center"/>
        <w:rPr>
          <w:rFonts w:ascii="Arial Narrow" w:hAnsi="Arial Narrow"/>
          <w:b/>
          <w:sz w:val="26"/>
          <w:szCs w:val="26"/>
        </w:rPr>
      </w:pPr>
      <w:r w:rsidRPr="005E2453">
        <w:rPr>
          <w:rFonts w:ascii="Arial Narrow" w:hAnsi="Arial Narrow"/>
          <w:b/>
          <w:sz w:val="26"/>
          <w:szCs w:val="26"/>
        </w:rPr>
        <w:t>REPÚBLICA DE COLOMBIA</w:t>
      </w:r>
    </w:p>
    <w:p w14:paraId="42535438" w14:textId="77777777" w:rsidR="00615447" w:rsidRPr="005E2453" w:rsidRDefault="00615447" w:rsidP="005E2453">
      <w:pPr>
        <w:spacing w:line="276" w:lineRule="auto"/>
        <w:jc w:val="center"/>
        <w:rPr>
          <w:rFonts w:ascii="Arial Narrow" w:hAnsi="Arial Narrow"/>
          <w:b/>
          <w:sz w:val="26"/>
          <w:szCs w:val="26"/>
        </w:rPr>
      </w:pPr>
      <w:r w:rsidRPr="005E2453">
        <w:rPr>
          <w:rFonts w:ascii="Arial Narrow" w:hAnsi="Arial Narrow"/>
          <w:b/>
          <w:noProof/>
          <w:sz w:val="26"/>
          <w:szCs w:val="26"/>
          <w:lang w:val="es-CO" w:eastAsia="es-CO"/>
        </w:rPr>
        <w:drawing>
          <wp:inline distT="0" distB="0" distL="0" distR="0" wp14:anchorId="626C1798" wp14:editId="67D20799">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1D2C88E" w14:textId="77777777" w:rsidR="00053B5E" w:rsidRPr="005E2453" w:rsidRDefault="00053B5E" w:rsidP="005E2453">
      <w:pPr>
        <w:spacing w:line="276" w:lineRule="auto"/>
        <w:jc w:val="center"/>
        <w:rPr>
          <w:rFonts w:ascii="Arial Narrow" w:hAnsi="Arial Narrow"/>
          <w:b/>
          <w:bCs/>
          <w:sz w:val="26"/>
          <w:szCs w:val="26"/>
        </w:rPr>
      </w:pPr>
      <w:r w:rsidRPr="005E2453">
        <w:rPr>
          <w:rFonts w:ascii="Arial Narrow" w:hAnsi="Arial Narrow"/>
          <w:b/>
          <w:bCs/>
          <w:sz w:val="26"/>
          <w:szCs w:val="26"/>
        </w:rPr>
        <w:t>TRIBUNAL SUPERIOR DE PEREIRA</w:t>
      </w:r>
    </w:p>
    <w:p w14:paraId="5E64ABC0" w14:textId="77777777" w:rsidR="00053B5E" w:rsidRPr="005E2453" w:rsidRDefault="00053B5E" w:rsidP="005E2453">
      <w:pPr>
        <w:spacing w:line="276" w:lineRule="auto"/>
        <w:jc w:val="center"/>
        <w:rPr>
          <w:rFonts w:ascii="Arial Narrow" w:hAnsi="Arial Narrow"/>
          <w:b/>
          <w:sz w:val="26"/>
          <w:szCs w:val="26"/>
        </w:rPr>
      </w:pPr>
      <w:r w:rsidRPr="005E2453">
        <w:rPr>
          <w:rFonts w:ascii="Arial Narrow" w:hAnsi="Arial Narrow"/>
          <w:b/>
          <w:sz w:val="26"/>
          <w:szCs w:val="26"/>
        </w:rPr>
        <w:t xml:space="preserve">SALA No. 1 DE ASUNTOS PENALES PARA ADOLESCENTES </w:t>
      </w:r>
    </w:p>
    <w:p w14:paraId="571DDF7B" w14:textId="77777777" w:rsidR="00615447" w:rsidRPr="005E2453" w:rsidRDefault="00615447" w:rsidP="005E2453">
      <w:pPr>
        <w:pStyle w:val="Sinespaciado"/>
        <w:spacing w:line="276" w:lineRule="auto"/>
        <w:rPr>
          <w:rFonts w:ascii="Arial Narrow" w:hAnsi="Arial Narrow"/>
          <w:b/>
          <w:sz w:val="26"/>
          <w:szCs w:val="26"/>
          <w:lang w:val="es-ES_tradnl"/>
        </w:rPr>
      </w:pPr>
    </w:p>
    <w:p w14:paraId="30135FC1" w14:textId="5645E7A8" w:rsidR="00615447" w:rsidRPr="005E2453" w:rsidRDefault="00615447" w:rsidP="005E2453">
      <w:pPr>
        <w:pStyle w:val="Sinespaciado"/>
        <w:spacing w:line="276" w:lineRule="auto"/>
        <w:jc w:val="center"/>
        <w:rPr>
          <w:rFonts w:ascii="Arial Narrow" w:hAnsi="Arial Narrow"/>
          <w:b/>
          <w:bCs/>
          <w:sz w:val="26"/>
          <w:szCs w:val="26"/>
        </w:rPr>
      </w:pPr>
      <w:r w:rsidRPr="005E2453">
        <w:rPr>
          <w:rFonts w:ascii="Arial Narrow" w:hAnsi="Arial Narrow"/>
          <w:b/>
          <w:bCs/>
          <w:sz w:val="26"/>
          <w:szCs w:val="26"/>
        </w:rPr>
        <w:t>MAGISTRADO PONENTE: CARLOS MAURICIO GARCÍA BARAJAS</w:t>
      </w:r>
    </w:p>
    <w:p w14:paraId="724D426E" w14:textId="77777777" w:rsidR="00D2711D" w:rsidRPr="005E2453" w:rsidRDefault="00D2711D" w:rsidP="005E2453">
      <w:pPr>
        <w:pStyle w:val="Sinespaciado"/>
        <w:spacing w:line="276" w:lineRule="auto"/>
        <w:jc w:val="center"/>
        <w:rPr>
          <w:rFonts w:ascii="Arial Narrow" w:hAnsi="Arial Narrow"/>
          <w:b/>
          <w:sz w:val="26"/>
          <w:szCs w:val="26"/>
        </w:rPr>
      </w:pPr>
    </w:p>
    <w:p w14:paraId="18FA7591" w14:textId="77777777" w:rsidR="000E76B1" w:rsidRPr="007244B9" w:rsidRDefault="000E76B1" w:rsidP="005E2453">
      <w:pPr>
        <w:pStyle w:val="Sinespaciado"/>
        <w:spacing w:line="276" w:lineRule="auto"/>
        <w:jc w:val="center"/>
        <w:rPr>
          <w:rFonts w:ascii="Arial Narrow" w:hAnsi="Arial Narrow"/>
          <w:sz w:val="26"/>
          <w:szCs w:val="26"/>
        </w:rPr>
      </w:pPr>
      <w:r w:rsidRPr="007244B9">
        <w:rPr>
          <w:rFonts w:ascii="Arial Narrow" w:hAnsi="Arial Narrow"/>
          <w:sz w:val="26"/>
          <w:szCs w:val="26"/>
        </w:rPr>
        <w:t>Pereira,</w:t>
      </w:r>
      <w:r w:rsidR="00AA5AA6" w:rsidRPr="007244B9">
        <w:rPr>
          <w:rFonts w:ascii="Arial Narrow" w:hAnsi="Arial Narrow"/>
          <w:sz w:val="26"/>
          <w:szCs w:val="26"/>
        </w:rPr>
        <w:t xml:space="preserve"> veinte</w:t>
      </w:r>
      <w:r w:rsidRPr="007244B9">
        <w:rPr>
          <w:rFonts w:ascii="Arial Narrow" w:hAnsi="Arial Narrow"/>
          <w:sz w:val="26"/>
          <w:szCs w:val="26"/>
        </w:rPr>
        <w:t xml:space="preserve"> (</w:t>
      </w:r>
      <w:r w:rsidR="00AA5AA6" w:rsidRPr="007244B9">
        <w:rPr>
          <w:rFonts w:ascii="Arial Narrow" w:hAnsi="Arial Narrow"/>
          <w:sz w:val="26"/>
          <w:szCs w:val="26"/>
        </w:rPr>
        <w:t>20</w:t>
      </w:r>
      <w:r w:rsidRPr="007244B9">
        <w:rPr>
          <w:rFonts w:ascii="Arial Narrow" w:hAnsi="Arial Narrow"/>
          <w:sz w:val="26"/>
          <w:szCs w:val="26"/>
        </w:rPr>
        <w:t xml:space="preserve">) de </w:t>
      </w:r>
      <w:r w:rsidR="00E42BAA" w:rsidRPr="007244B9">
        <w:rPr>
          <w:rFonts w:ascii="Arial Narrow" w:hAnsi="Arial Narrow"/>
          <w:sz w:val="26"/>
          <w:szCs w:val="26"/>
        </w:rPr>
        <w:t>agost</w:t>
      </w:r>
      <w:r w:rsidRPr="007244B9">
        <w:rPr>
          <w:rFonts w:ascii="Arial Narrow" w:hAnsi="Arial Narrow"/>
          <w:sz w:val="26"/>
          <w:szCs w:val="26"/>
        </w:rPr>
        <w:t>o de dos mil veintiuno (2021)</w:t>
      </w:r>
    </w:p>
    <w:p w14:paraId="5B7CFC0A" w14:textId="77777777" w:rsidR="000E76B1" w:rsidRPr="005E2453" w:rsidRDefault="000E76B1" w:rsidP="005E2453">
      <w:pPr>
        <w:pStyle w:val="Sinespaciado"/>
        <w:spacing w:line="276" w:lineRule="auto"/>
        <w:rPr>
          <w:rFonts w:ascii="Arial Narrow" w:hAnsi="Arial Narrow"/>
          <w:b/>
          <w:sz w:val="26"/>
          <w:szCs w:val="26"/>
        </w:rPr>
      </w:pPr>
    </w:p>
    <w:p w14:paraId="64DDE698" w14:textId="77777777" w:rsidR="000E76B1" w:rsidRPr="007244B9" w:rsidRDefault="000E76B1" w:rsidP="007244B9">
      <w:pPr>
        <w:pStyle w:val="Sinespaciado"/>
        <w:ind w:left="993"/>
        <w:rPr>
          <w:rFonts w:ascii="Arial Narrow" w:hAnsi="Arial Narrow"/>
          <w:sz w:val="24"/>
          <w:szCs w:val="26"/>
          <w:lang w:val="pt-BR"/>
        </w:rPr>
      </w:pPr>
      <w:r w:rsidRPr="007244B9">
        <w:rPr>
          <w:rFonts w:ascii="Arial Narrow" w:hAnsi="Arial Narrow"/>
          <w:sz w:val="24"/>
          <w:szCs w:val="26"/>
        </w:rPr>
        <w:tab/>
      </w:r>
      <w:r w:rsidR="00E42BAA" w:rsidRPr="007244B9">
        <w:rPr>
          <w:rFonts w:ascii="Arial Narrow" w:hAnsi="Arial Narrow"/>
          <w:sz w:val="24"/>
          <w:szCs w:val="26"/>
          <w:lang w:val="pt-BR"/>
        </w:rPr>
        <w:t xml:space="preserve">Acta N° </w:t>
      </w:r>
      <w:r w:rsidR="00AA5AA6" w:rsidRPr="007244B9">
        <w:rPr>
          <w:rFonts w:ascii="Arial Narrow" w:hAnsi="Arial Narrow"/>
          <w:sz w:val="24"/>
          <w:szCs w:val="26"/>
          <w:lang w:val="pt-BR"/>
        </w:rPr>
        <w:t>388 de 20</w:t>
      </w:r>
      <w:r w:rsidR="00053B5E" w:rsidRPr="007244B9">
        <w:rPr>
          <w:rFonts w:ascii="Arial Narrow" w:hAnsi="Arial Narrow"/>
          <w:sz w:val="24"/>
          <w:szCs w:val="26"/>
          <w:lang w:val="pt-BR"/>
        </w:rPr>
        <w:t>-08</w:t>
      </w:r>
      <w:r w:rsidRPr="007244B9">
        <w:rPr>
          <w:rFonts w:ascii="Arial Narrow" w:hAnsi="Arial Narrow"/>
          <w:sz w:val="24"/>
          <w:szCs w:val="26"/>
          <w:lang w:val="pt-BR"/>
        </w:rPr>
        <w:t>-2021</w:t>
      </w:r>
    </w:p>
    <w:p w14:paraId="2FE442B1" w14:textId="4EBBA542" w:rsidR="000E76B1" w:rsidRPr="007244B9" w:rsidRDefault="000E76B1" w:rsidP="007244B9">
      <w:pPr>
        <w:pStyle w:val="Sinespaciado"/>
        <w:ind w:left="993"/>
        <w:rPr>
          <w:rFonts w:ascii="Arial Narrow" w:hAnsi="Arial Narrow"/>
          <w:sz w:val="24"/>
          <w:szCs w:val="26"/>
        </w:rPr>
      </w:pPr>
      <w:r w:rsidRPr="007244B9">
        <w:rPr>
          <w:rFonts w:ascii="Arial Narrow" w:hAnsi="Arial Narrow"/>
          <w:sz w:val="24"/>
          <w:szCs w:val="26"/>
          <w:lang w:val="pt-BR"/>
        </w:rPr>
        <w:tab/>
        <w:t xml:space="preserve">Sentencia: TSP. </w:t>
      </w:r>
      <w:r w:rsidR="00AA5AA6" w:rsidRPr="007244B9">
        <w:rPr>
          <w:rFonts w:ascii="Arial Narrow" w:hAnsi="Arial Narrow"/>
          <w:sz w:val="24"/>
          <w:szCs w:val="26"/>
        </w:rPr>
        <w:t>ST2-</w:t>
      </w:r>
      <w:r w:rsidR="00EF658C">
        <w:rPr>
          <w:rFonts w:ascii="Arial Narrow" w:hAnsi="Arial Narrow"/>
          <w:sz w:val="24"/>
          <w:szCs w:val="26"/>
        </w:rPr>
        <w:t>0</w:t>
      </w:r>
      <w:bookmarkStart w:id="1" w:name="_GoBack"/>
      <w:bookmarkEnd w:id="1"/>
      <w:r w:rsidR="00AA5AA6" w:rsidRPr="007244B9">
        <w:rPr>
          <w:rFonts w:ascii="Arial Narrow" w:hAnsi="Arial Narrow"/>
          <w:sz w:val="24"/>
          <w:szCs w:val="26"/>
        </w:rPr>
        <w:t>263</w:t>
      </w:r>
      <w:r w:rsidRPr="007244B9">
        <w:rPr>
          <w:rFonts w:ascii="Arial Narrow" w:hAnsi="Arial Narrow"/>
          <w:sz w:val="24"/>
          <w:szCs w:val="26"/>
        </w:rPr>
        <w:t>-2021</w:t>
      </w:r>
    </w:p>
    <w:p w14:paraId="62DF423C" w14:textId="77777777" w:rsidR="00615447" w:rsidRPr="007244B9" w:rsidRDefault="00080AC1" w:rsidP="007244B9">
      <w:pPr>
        <w:pStyle w:val="Sinespaciado"/>
        <w:ind w:left="993"/>
        <w:rPr>
          <w:rFonts w:ascii="Arial Narrow" w:hAnsi="Arial Narrow"/>
          <w:sz w:val="24"/>
          <w:szCs w:val="26"/>
        </w:rPr>
      </w:pPr>
      <w:r w:rsidRPr="007244B9">
        <w:rPr>
          <w:rFonts w:ascii="Arial Narrow" w:hAnsi="Arial Narrow"/>
          <w:sz w:val="24"/>
          <w:szCs w:val="26"/>
        </w:rPr>
        <w:tab/>
        <w:t>Referencia:</w:t>
      </w:r>
      <w:r w:rsidR="00053B5E" w:rsidRPr="007244B9">
        <w:rPr>
          <w:rFonts w:ascii="Arial Narrow" w:hAnsi="Arial Narrow"/>
          <w:sz w:val="24"/>
          <w:szCs w:val="26"/>
        </w:rPr>
        <w:t xml:space="preserve"> 66001311800220210005301</w:t>
      </w:r>
    </w:p>
    <w:p w14:paraId="29FCF202" w14:textId="77777777" w:rsidR="00080AC1" w:rsidRPr="005E2453" w:rsidRDefault="00080AC1" w:rsidP="005E2453">
      <w:pPr>
        <w:spacing w:line="276" w:lineRule="auto"/>
        <w:jc w:val="center"/>
        <w:rPr>
          <w:rFonts w:ascii="Arial Narrow" w:hAnsi="Arial Narrow"/>
          <w:b/>
          <w:sz w:val="26"/>
          <w:szCs w:val="26"/>
          <w:u w:val="single"/>
        </w:rPr>
      </w:pPr>
    </w:p>
    <w:p w14:paraId="67DCF404" w14:textId="77777777" w:rsidR="00615447" w:rsidRPr="005E2453" w:rsidRDefault="00615447" w:rsidP="005E2453">
      <w:pPr>
        <w:spacing w:line="276" w:lineRule="auto"/>
        <w:jc w:val="center"/>
        <w:rPr>
          <w:rFonts w:ascii="Arial Narrow" w:hAnsi="Arial Narrow"/>
          <w:b/>
          <w:sz w:val="26"/>
          <w:szCs w:val="26"/>
          <w:u w:val="single"/>
        </w:rPr>
      </w:pPr>
      <w:r w:rsidRPr="005E2453">
        <w:rPr>
          <w:rFonts w:ascii="Arial Narrow" w:hAnsi="Arial Narrow"/>
          <w:b/>
          <w:sz w:val="26"/>
          <w:szCs w:val="26"/>
          <w:u w:val="single"/>
        </w:rPr>
        <w:t>ASUNTO</w:t>
      </w:r>
    </w:p>
    <w:p w14:paraId="228A2D9F" w14:textId="77777777" w:rsidR="00615447" w:rsidRPr="005E2453" w:rsidRDefault="00615447" w:rsidP="005E2453">
      <w:pPr>
        <w:pStyle w:val="Sinespaciado"/>
        <w:spacing w:line="276" w:lineRule="auto"/>
        <w:jc w:val="both"/>
        <w:rPr>
          <w:rFonts w:ascii="Arial Narrow" w:hAnsi="Arial Narrow"/>
          <w:sz w:val="26"/>
          <w:szCs w:val="26"/>
          <w:lang w:val="es-ES_tradnl"/>
        </w:rPr>
      </w:pPr>
    </w:p>
    <w:p w14:paraId="2A050361" w14:textId="77777777" w:rsidR="008F7185" w:rsidRPr="005E2453" w:rsidRDefault="00E16532" w:rsidP="005E2453">
      <w:pPr>
        <w:pStyle w:val="Sinespaciado"/>
        <w:tabs>
          <w:tab w:val="left" w:pos="1750"/>
        </w:tabs>
        <w:spacing w:line="276" w:lineRule="auto"/>
        <w:jc w:val="both"/>
        <w:rPr>
          <w:rFonts w:ascii="Arial Narrow" w:hAnsi="Arial Narrow"/>
          <w:sz w:val="26"/>
          <w:szCs w:val="26"/>
        </w:rPr>
      </w:pPr>
      <w:r w:rsidRPr="005E2453">
        <w:rPr>
          <w:rFonts w:ascii="Arial Narrow" w:hAnsi="Arial Narrow"/>
          <w:sz w:val="26"/>
          <w:szCs w:val="26"/>
        </w:rPr>
        <w:t xml:space="preserve">Resuelve la Sala sobre </w:t>
      </w:r>
      <w:r w:rsidR="00053B5E" w:rsidRPr="005E2453">
        <w:rPr>
          <w:rFonts w:ascii="Arial Narrow" w:hAnsi="Arial Narrow"/>
          <w:sz w:val="26"/>
          <w:szCs w:val="26"/>
          <w:lang w:val="es-CO"/>
        </w:rPr>
        <w:t>la impugnación formulada por la parte actora frente a la sentencia proferida por el Juzgado Segundo Penal del Circuito para Adolescentes con Función de Conocimiento de Pereira, el 13 de julio pasado, dentro de la acción de tutela que promovió Eduardo Sánchez Quintero en contra del Instituto Colombiano de Crédito Educativo y Estudios Técnicos en el Exterior</w:t>
      </w:r>
      <w:r w:rsidR="00C272D5" w:rsidRPr="005E2453">
        <w:rPr>
          <w:rFonts w:ascii="Arial Narrow" w:hAnsi="Arial Narrow"/>
          <w:sz w:val="26"/>
          <w:szCs w:val="26"/>
          <w:lang w:val="es-CO"/>
        </w:rPr>
        <w:t xml:space="preserve"> -</w:t>
      </w:r>
      <w:r w:rsidR="00053B5E" w:rsidRPr="005E2453">
        <w:rPr>
          <w:rFonts w:ascii="Arial Narrow" w:hAnsi="Arial Narrow"/>
          <w:sz w:val="26"/>
          <w:szCs w:val="26"/>
          <w:lang w:val="es-CO"/>
        </w:rPr>
        <w:t xml:space="preserve">ICETEX-, trámite al que fueron vinculados la funcionaria Evelyn Carolina Avendaño Castro y el Coordinador del Grupo de Administración de Cartera de la Vicepresidencia de Operaciones y Tecnología de esa misma entidad, así como Experian Colombia, </w:t>
      </w:r>
      <w:proofErr w:type="spellStart"/>
      <w:r w:rsidR="00053B5E" w:rsidRPr="005E2453">
        <w:rPr>
          <w:rFonts w:ascii="Arial Narrow" w:hAnsi="Arial Narrow"/>
          <w:sz w:val="26"/>
          <w:szCs w:val="26"/>
          <w:lang w:val="es-CO"/>
        </w:rPr>
        <w:t>Datacrédito</w:t>
      </w:r>
      <w:proofErr w:type="spellEnd"/>
      <w:r w:rsidR="00053B5E" w:rsidRPr="005E2453">
        <w:rPr>
          <w:rFonts w:ascii="Arial Narrow" w:hAnsi="Arial Narrow"/>
          <w:sz w:val="26"/>
          <w:szCs w:val="26"/>
          <w:lang w:val="es-CO"/>
        </w:rPr>
        <w:t xml:space="preserve"> y </w:t>
      </w:r>
      <w:proofErr w:type="spellStart"/>
      <w:r w:rsidR="00053B5E" w:rsidRPr="005E2453">
        <w:rPr>
          <w:rFonts w:ascii="Arial Narrow" w:hAnsi="Arial Narrow"/>
          <w:sz w:val="26"/>
          <w:szCs w:val="26"/>
          <w:lang w:val="es-CO"/>
        </w:rPr>
        <w:t>Trans</w:t>
      </w:r>
      <w:r w:rsidR="00CB700F" w:rsidRPr="005E2453">
        <w:rPr>
          <w:rFonts w:ascii="Arial Narrow" w:hAnsi="Arial Narrow"/>
          <w:sz w:val="26"/>
          <w:szCs w:val="26"/>
          <w:lang w:val="es-CO"/>
        </w:rPr>
        <w:t>U</w:t>
      </w:r>
      <w:r w:rsidR="00053B5E" w:rsidRPr="005E2453">
        <w:rPr>
          <w:rFonts w:ascii="Arial Narrow" w:hAnsi="Arial Narrow"/>
          <w:sz w:val="26"/>
          <w:szCs w:val="26"/>
          <w:lang w:val="es-CO"/>
        </w:rPr>
        <w:t>nión</w:t>
      </w:r>
      <w:proofErr w:type="spellEnd"/>
      <w:r w:rsidR="00053B5E" w:rsidRPr="005E2453">
        <w:rPr>
          <w:rFonts w:ascii="Arial Narrow" w:hAnsi="Arial Narrow"/>
          <w:sz w:val="26"/>
          <w:szCs w:val="26"/>
          <w:lang w:val="es-CO"/>
        </w:rPr>
        <w:t>-CIFIN</w:t>
      </w:r>
      <w:r w:rsidR="00053B5E" w:rsidRPr="005E2453">
        <w:rPr>
          <w:rFonts w:ascii="Arial Narrow" w:hAnsi="Arial Narrow"/>
          <w:sz w:val="26"/>
          <w:szCs w:val="26"/>
        </w:rPr>
        <w:t>.</w:t>
      </w:r>
    </w:p>
    <w:p w14:paraId="1D5F792E" w14:textId="77777777" w:rsidR="008F7185" w:rsidRPr="005E2453" w:rsidRDefault="008F7185" w:rsidP="005E2453">
      <w:pPr>
        <w:pStyle w:val="Sinespaciado"/>
        <w:tabs>
          <w:tab w:val="left" w:pos="1750"/>
        </w:tabs>
        <w:spacing w:line="276" w:lineRule="auto"/>
        <w:jc w:val="both"/>
        <w:rPr>
          <w:rFonts w:ascii="Arial Narrow" w:hAnsi="Arial Narrow"/>
          <w:sz w:val="26"/>
          <w:szCs w:val="26"/>
          <w:lang w:val="es-CO"/>
        </w:rPr>
      </w:pPr>
    </w:p>
    <w:p w14:paraId="72B8A47D" w14:textId="77777777" w:rsidR="008F7185" w:rsidRPr="005E2453" w:rsidRDefault="008F7185" w:rsidP="005E2453">
      <w:pPr>
        <w:pStyle w:val="Sinespaciado"/>
        <w:tabs>
          <w:tab w:val="left" w:pos="1750"/>
        </w:tabs>
        <w:spacing w:line="276" w:lineRule="auto"/>
        <w:jc w:val="center"/>
        <w:rPr>
          <w:rFonts w:ascii="Arial Narrow" w:hAnsi="Arial Narrow"/>
          <w:b/>
          <w:sz w:val="26"/>
          <w:szCs w:val="26"/>
          <w:u w:val="single"/>
        </w:rPr>
      </w:pPr>
      <w:r w:rsidRPr="005E2453">
        <w:rPr>
          <w:rFonts w:ascii="Arial Narrow" w:hAnsi="Arial Narrow"/>
          <w:b/>
          <w:sz w:val="26"/>
          <w:szCs w:val="26"/>
          <w:u w:val="single"/>
        </w:rPr>
        <w:t>ANTECEDENTES</w:t>
      </w:r>
    </w:p>
    <w:p w14:paraId="308B33E4" w14:textId="77777777" w:rsidR="008F7185" w:rsidRPr="005E2453" w:rsidRDefault="008F7185" w:rsidP="005E2453">
      <w:pPr>
        <w:pStyle w:val="Sinespaciado"/>
        <w:tabs>
          <w:tab w:val="left" w:pos="1750"/>
        </w:tabs>
        <w:spacing w:line="276" w:lineRule="auto"/>
        <w:jc w:val="both"/>
        <w:rPr>
          <w:rFonts w:ascii="Arial Narrow" w:hAnsi="Arial Narrow"/>
          <w:sz w:val="26"/>
          <w:szCs w:val="26"/>
        </w:rPr>
      </w:pPr>
    </w:p>
    <w:p w14:paraId="67527BA1" w14:textId="77777777" w:rsidR="00615DFC" w:rsidRPr="005E2453" w:rsidRDefault="008A3A12" w:rsidP="005E2453">
      <w:pPr>
        <w:pStyle w:val="Sinespaciado"/>
        <w:tabs>
          <w:tab w:val="left" w:pos="1750"/>
        </w:tabs>
        <w:spacing w:line="276" w:lineRule="auto"/>
        <w:jc w:val="both"/>
        <w:rPr>
          <w:rFonts w:ascii="Arial Narrow" w:hAnsi="Arial Narrow"/>
          <w:sz w:val="26"/>
          <w:szCs w:val="26"/>
        </w:rPr>
      </w:pPr>
      <w:r w:rsidRPr="005E2453">
        <w:rPr>
          <w:rFonts w:ascii="Arial Narrow" w:hAnsi="Arial Narrow"/>
          <w:sz w:val="26"/>
          <w:szCs w:val="26"/>
        </w:rPr>
        <w:t>1.</w:t>
      </w:r>
      <w:r w:rsidR="002E08EE" w:rsidRPr="005E2453">
        <w:rPr>
          <w:rFonts w:ascii="Arial Narrow" w:hAnsi="Arial Narrow"/>
          <w:sz w:val="26"/>
          <w:szCs w:val="26"/>
        </w:rPr>
        <w:t xml:space="preserve"> Según los hechos narrados</w:t>
      </w:r>
      <w:r w:rsidR="00B333BE" w:rsidRPr="005E2453">
        <w:rPr>
          <w:rFonts w:ascii="Arial Narrow" w:hAnsi="Arial Narrow"/>
          <w:sz w:val="26"/>
          <w:szCs w:val="26"/>
        </w:rPr>
        <w:t xml:space="preserve"> por la apoderada del actor</w:t>
      </w:r>
      <w:r w:rsidR="001A7787" w:rsidRPr="005E2453">
        <w:rPr>
          <w:rStyle w:val="Refdenotaalpie"/>
          <w:rFonts w:ascii="Arial Narrow" w:hAnsi="Arial Narrow"/>
          <w:sz w:val="26"/>
          <w:szCs w:val="26"/>
        </w:rPr>
        <w:footnoteReference w:id="1"/>
      </w:r>
      <w:r w:rsidR="00C272D5" w:rsidRPr="005E2453">
        <w:rPr>
          <w:rFonts w:ascii="Arial Narrow" w:hAnsi="Arial Narrow"/>
          <w:sz w:val="26"/>
          <w:szCs w:val="26"/>
        </w:rPr>
        <w:t>,</w:t>
      </w:r>
      <w:r w:rsidR="00B333BE" w:rsidRPr="005E2453">
        <w:rPr>
          <w:rFonts w:ascii="Arial Narrow" w:hAnsi="Arial Narrow"/>
          <w:sz w:val="26"/>
          <w:szCs w:val="26"/>
        </w:rPr>
        <w:t xml:space="preserve"> m</w:t>
      </w:r>
      <w:r w:rsidR="002E08EE" w:rsidRPr="005E2453">
        <w:rPr>
          <w:rFonts w:ascii="Arial Narrow" w:hAnsi="Arial Narrow"/>
          <w:sz w:val="26"/>
          <w:szCs w:val="26"/>
        </w:rPr>
        <w:t>ediante derecho de petición se solicitó al ICETEX informar sobre el estado de la obligación reportada ante centrales de riesgo y se expidiera co</w:t>
      </w:r>
      <w:r w:rsidR="00C272D5" w:rsidRPr="005E2453">
        <w:rPr>
          <w:rFonts w:ascii="Arial Narrow" w:hAnsi="Arial Narrow"/>
          <w:sz w:val="26"/>
          <w:szCs w:val="26"/>
        </w:rPr>
        <w:t>pia de la notificación previa a ese registro</w:t>
      </w:r>
      <w:r w:rsidR="002E08EE" w:rsidRPr="005E2453">
        <w:rPr>
          <w:rFonts w:ascii="Arial Narrow" w:hAnsi="Arial Narrow"/>
          <w:sz w:val="26"/>
          <w:szCs w:val="26"/>
        </w:rPr>
        <w:t xml:space="preserve">. </w:t>
      </w:r>
    </w:p>
    <w:p w14:paraId="625DCC78" w14:textId="77777777" w:rsidR="00615DFC" w:rsidRPr="005E2453" w:rsidRDefault="00615DFC" w:rsidP="005E2453">
      <w:pPr>
        <w:pStyle w:val="Sinespaciado"/>
        <w:tabs>
          <w:tab w:val="left" w:pos="1750"/>
        </w:tabs>
        <w:spacing w:line="276" w:lineRule="auto"/>
        <w:jc w:val="both"/>
        <w:rPr>
          <w:rFonts w:ascii="Arial Narrow" w:hAnsi="Arial Narrow"/>
          <w:sz w:val="26"/>
          <w:szCs w:val="26"/>
        </w:rPr>
      </w:pPr>
    </w:p>
    <w:p w14:paraId="4379F089" w14:textId="77777777" w:rsidR="00B333BE" w:rsidRPr="005E2453" w:rsidRDefault="002E08EE" w:rsidP="005E2453">
      <w:pPr>
        <w:pStyle w:val="Sinespaciado"/>
        <w:tabs>
          <w:tab w:val="left" w:pos="1750"/>
        </w:tabs>
        <w:spacing w:line="276" w:lineRule="auto"/>
        <w:jc w:val="both"/>
        <w:rPr>
          <w:rFonts w:ascii="Arial Narrow" w:hAnsi="Arial Narrow"/>
          <w:sz w:val="26"/>
          <w:szCs w:val="26"/>
        </w:rPr>
      </w:pPr>
      <w:r w:rsidRPr="005E2453">
        <w:rPr>
          <w:rFonts w:ascii="Arial Narrow" w:hAnsi="Arial Narrow"/>
          <w:sz w:val="26"/>
          <w:szCs w:val="26"/>
        </w:rPr>
        <w:t xml:space="preserve">En respuesta </w:t>
      </w:r>
      <w:r w:rsidR="00C272D5" w:rsidRPr="005E2453">
        <w:rPr>
          <w:rFonts w:ascii="Arial Narrow" w:hAnsi="Arial Narrow"/>
          <w:sz w:val="26"/>
          <w:szCs w:val="26"/>
        </w:rPr>
        <w:t>la</w:t>
      </w:r>
      <w:r w:rsidRPr="005E2453">
        <w:rPr>
          <w:rFonts w:ascii="Arial Narrow" w:hAnsi="Arial Narrow"/>
          <w:sz w:val="26"/>
          <w:szCs w:val="26"/>
        </w:rPr>
        <w:t xml:space="preserve"> entidad indicó </w:t>
      </w:r>
      <w:r w:rsidR="002C1987" w:rsidRPr="005E2453">
        <w:rPr>
          <w:rFonts w:ascii="Arial Narrow" w:hAnsi="Arial Narrow"/>
          <w:sz w:val="26"/>
          <w:szCs w:val="26"/>
        </w:rPr>
        <w:t>que “</w:t>
      </w:r>
      <w:r w:rsidR="00B333BE" w:rsidRPr="007244B9">
        <w:rPr>
          <w:rFonts w:ascii="Arial Narrow" w:hAnsi="Arial Narrow"/>
          <w:i/>
          <w:iCs/>
          <w:sz w:val="24"/>
          <w:szCs w:val="26"/>
        </w:rPr>
        <w:t>1…</w:t>
      </w:r>
      <w:r w:rsidRPr="007244B9">
        <w:rPr>
          <w:rFonts w:ascii="Arial Narrow" w:hAnsi="Arial Narrow"/>
          <w:i/>
          <w:iCs/>
          <w:sz w:val="24"/>
          <w:szCs w:val="26"/>
        </w:rPr>
        <w:t xml:space="preserve"> la fecha de pago de la obligación se realizó en el mes de Julio del año 2020. 2. La obligación se encuentra cancelada. 3. Las fechas en las que se realizó el reporte negativo corresponden a años 2017 y 2020. 4. En la solicitud se encuentra la autorización de notificación</w:t>
      </w:r>
      <w:r w:rsidRPr="005E2453">
        <w:rPr>
          <w:rFonts w:ascii="Arial Narrow" w:hAnsi="Arial Narrow"/>
          <w:sz w:val="26"/>
          <w:szCs w:val="26"/>
        </w:rPr>
        <w:t xml:space="preserve">”. </w:t>
      </w:r>
      <w:r w:rsidR="00B333BE" w:rsidRPr="005E2453">
        <w:rPr>
          <w:rFonts w:ascii="Arial Narrow" w:hAnsi="Arial Narrow"/>
          <w:sz w:val="26"/>
          <w:szCs w:val="26"/>
        </w:rPr>
        <w:t>Así mismo se señaló que la notificación previa al reporte se remitió a la dirección calle 20C n° 29-46 de Pereira.</w:t>
      </w:r>
    </w:p>
    <w:p w14:paraId="380D828C" w14:textId="77777777" w:rsidR="00C272D5" w:rsidRPr="005E2453" w:rsidRDefault="00C272D5" w:rsidP="005E2453">
      <w:pPr>
        <w:pStyle w:val="Sinespaciado"/>
        <w:tabs>
          <w:tab w:val="left" w:pos="1750"/>
        </w:tabs>
        <w:spacing w:line="276" w:lineRule="auto"/>
        <w:jc w:val="both"/>
        <w:rPr>
          <w:rFonts w:ascii="Arial Narrow" w:hAnsi="Arial Narrow"/>
          <w:sz w:val="26"/>
          <w:szCs w:val="26"/>
        </w:rPr>
      </w:pPr>
    </w:p>
    <w:p w14:paraId="79561956" w14:textId="77EA43AA" w:rsidR="00B333BE" w:rsidRPr="005E2453" w:rsidRDefault="00B333BE" w:rsidP="005E2453">
      <w:pPr>
        <w:pStyle w:val="Sinespaciado"/>
        <w:tabs>
          <w:tab w:val="left" w:pos="1750"/>
        </w:tabs>
        <w:spacing w:line="276" w:lineRule="auto"/>
        <w:jc w:val="both"/>
        <w:rPr>
          <w:rFonts w:ascii="Arial Narrow" w:hAnsi="Arial Narrow"/>
          <w:sz w:val="26"/>
          <w:szCs w:val="26"/>
        </w:rPr>
      </w:pPr>
      <w:r w:rsidRPr="005E2453">
        <w:rPr>
          <w:rFonts w:ascii="Arial Narrow" w:hAnsi="Arial Narrow"/>
          <w:sz w:val="26"/>
          <w:szCs w:val="26"/>
        </w:rPr>
        <w:t>Fr</w:t>
      </w:r>
      <w:r w:rsidR="00C272D5" w:rsidRPr="005E2453">
        <w:rPr>
          <w:rFonts w:ascii="Arial Narrow" w:hAnsi="Arial Narrow"/>
          <w:sz w:val="26"/>
          <w:szCs w:val="26"/>
        </w:rPr>
        <w:t xml:space="preserve">ente a esto último </w:t>
      </w:r>
      <w:r w:rsidR="002C1987" w:rsidRPr="005E2453">
        <w:rPr>
          <w:rFonts w:ascii="Arial Narrow" w:hAnsi="Arial Narrow"/>
          <w:sz w:val="26"/>
          <w:szCs w:val="26"/>
        </w:rPr>
        <w:t>se afirma</w:t>
      </w:r>
      <w:r w:rsidR="00C272D5" w:rsidRPr="005E2453">
        <w:rPr>
          <w:rFonts w:ascii="Arial Narrow" w:hAnsi="Arial Narrow"/>
          <w:sz w:val="26"/>
          <w:szCs w:val="26"/>
        </w:rPr>
        <w:t xml:space="preserve"> que esa</w:t>
      </w:r>
      <w:r w:rsidRPr="005E2453">
        <w:rPr>
          <w:rFonts w:ascii="Arial Narrow" w:hAnsi="Arial Narrow"/>
          <w:sz w:val="26"/>
          <w:szCs w:val="26"/>
        </w:rPr>
        <w:t xml:space="preserve"> dirección no coincide con la autorizada para recibir notificaciones “</w:t>
      </w:r>
      <w:r w:rsidRPr="00D54DCE">
        <w:rPr>
          <w:rFonts w:ascii="Arial Narrow" w:hAnsi="Arial Narrow"/>
          <w:sz w:val="24"/>
          <w:szCs w:val="26"/>
        </w:rPr>
        <w:t>mediante la carta de instrucciones</w:t>
      </w:r>
      <w:r w:rsidRPr="005E2453">
        <w:rPr>
          <w:rFonts w:ascii="Arial Narrow" w:hAnsi="Arial Narrow"/>
          <w:sz w:val="26"/>
          <w:szCs w:val="26"/>
        </w:rPr>
        <w:t>”, en la que se consignó</w:t>
      </w:r>
      <w:r w:rsidR="00C272D5" w:rsidRPr="005E2453">
        <w:rPr>
          <w:rFonts w:ascii="Arial Narrow" w:hAnsi="Arial Narrow"/>
          <w:sz w:val="26"/>
          <w:szCs w:val="26"/>
        </w:rPr>
        <w:t>, para tales efectos</w:t>
      </w:r>
      <w:r w:rsidR="002C1987" w:rsidRPr="005E2453">
        <w:rPr>
          <w:rFonts w:ascii="Arial Narrow" w:hAnsi="Arial Narrow"/>
          <w:sz w:val="26"/>
          <w:szCs w:val="26"/>
        </w:rPr>
        <w:t>,</w:t>
      </w:r>
      <w:r w:rsidRPr="005E2453">
        <w:rPr>
          <w:rFonts w:ascii="Arial Narrow" w:hAnsi="Arial Narrow"/>
          <w:sz w:val="26"/>
          <w:szCs w:val="26"/>
        </w:rPr>
        <w:t xml:space="preserve"> la Finca Babilonia Kilómetro n° 7 vía Armenia, de Pereira, al punto de que la fir</w:t>
      </w:r>
      <w:r w:rsidR="00C272D5" w:rsidRPr="005E2453">
        <w:rPr>
          <w:rFonts w:ascii="Arial Narrow" w:hAnsi="Arial Narrow"/>
          <w:sz w:val="26"/>
          <w:szCs w:val="26"/>
        </w:rPr>
        <w:t>ma de recibido que aparece en la</w:t>
      </w:r>
      <w:r w:rsidRPr="005E2453">
        <w:rPr>
          <w:rFonts w:ascii="Arial Narrow" w:hAnsi="Arial Narrow"/>
          <w:sz w:val="26"/>
          <w:szCs w:val="26"/>
        </w:rPr>
        <w:t xml:space="preserve"> constancia de correo</w:t>
      </w:r>
      <w:r w:rsidR="00C272D5" w:rsidRPr="005E2453">
        <w:rPr>
          <w:rFonts w:ascii="Arial Narrow" w:hAnsi="Arial Narrow"/>
          <w:sz w:val="26"/>
          <w:szCs w:val="26"/>
        </w:rPr>
        <w:t xml:space="preserve"> remitida a aquella dirección no es la de</w:t>
      </w:r>
      <w:r w:rsidRPr="005E2453">
        <w:rPr>
          <w:rFonts w:ascii="Arial Narrow" w:hAnsi="Arial Narrow"/>
          <w:sz w:val="26"/>
          <w:szCs w:val="26"/>
        </w:rPr>
        <w:t xml:space="preserve"> su poderdante. En consecuencia</w:t>
      </w:r>
      <w:r w:rsidR="00DC6996">
        <w:rPr>
          <w:rFonts w:ascii="Arial Narrow" w:hAnsi="Arial Narrow"/>
          <w:sz w:val="26"/>
          <w:szCs w:val="26"/>
        </w:rPr>
        <w:t>,</w:t>
      </w:r>
      <w:r w:rsidRPr="005E2453">
        <w:rPr>
          <w:rFonts w:ascii="Arial Narrow" w:hAnsi="Arial Narrow"/>
          <w:sz w:val="26"/>
          <w:szCs w:val="26"/>
        </w:rPr>
        <w:t xml:space="preserve"> nunca se informó adecuadamente sobre aquel reporte.</w:t>
      </w:r>
    </w:p>
    <w:p w14:paraId="7716E855" w14:textId="77777777" w:rsidR="00B333BE" w:rsidRPr="005E2453" w:rsidRDefault="00B333BE" w:rsidP="005E2453">
      <w:pPr>
        <w:pStyle w:val="Sinespaciado"/>
        <w:tabs>
          <w:tab w:val="left" w:pos="1750"/>
        </w:tabs>
        <w:spacing w:line="276" w:lineRule="auto"/>
        <w:jc w:val="both"/>
        <w:rPr>
          <w:rFonts w:ascii="Arial Narrow" w:hAnsi="Arial Narrow"/>
          <w:sz w:val="26"/>
          <w:szCs w:val="26"/>
        </w:rPr>
      </w:pPr>
    </w:p>
    <w:p w14:paraId="44DBFAE4" w14:textId="77777777" w:rsidR="00EC10A4" w:rsidRPr="005E2453" w:rsidRDefault="00B333BE" w:rsidP="005E2453">
      <w:pPr>
        <w:pStyle w:val="Sinespaciado"/>
        <w:tabs>
          <w:tab w:val="left" w:pos="1750"/>
        </w:tabs>
        <w:spacing w:line="276" w:lineRule="auto"/>
        <w:jc w:val="both"/>
        <w:rPr>
          <w:rFonts w:ascii="Arial Narrow" w:hAnsi="Arial Narrow"/>
          <w:sz w:val="26"/>
          <w:szCs w:val="26"/>
        </w:rPr>
      </w:pPr>
      <w:r w:rsidRPr="005E2453">
        <w:rPr>
          <w:rFonts w:ascii="Arial Narrow" w:hAnsi="Arial Narrow"/>
          <w:sz w:val="26"/>
          <w:szCs w:val="26"/>
        </w:rPr>
        <w:t>Así mismo, a</w:t>
      </w:r>
      <w:r w:rsidR="002E08EE" w:rsidRPr="005E2453">
        <w:rPr>
          <w:rFonts w:ascii="Arial Narrow" w:hAnsi="Arial Narrow"/>
          <w:sz w:val="26"/>
          <w:szCs w:val="26"/>
        </w:rPr>
        <w:t>l confrontar el contenido de esa contestación</w:t>
      </w:r>
      <w:r w:rsidRPr="005E2453">
        <w:rPr>
          <w:rFonts w:ascii="Arial Narrow" w:hAnsi="Arial Narrow"/>
          <w:sz w:val="26"/>
          <w:szCs w:val="26"/>
        </w:rPr>
        <w:t>, con los datos brindados por</w:t>
      </w:r>
      <w:r w:rsidR="00C272D5" w:rsidRPr="005E2453">
        <w:rPr>
          <w:rFonts w:ascii="Arial Narrow" w:hAnsi="Arial Narrow"/>
          <w:sz w:val="26"/>
          <w:szCs w:val="26"/>
        </w:rPr>
        <w:t xml:space="preserve"> las centrales de riesgo</w:t>
      </w:r>
      <w:r w:rsidR="002E08EE" w:rsidRPr="005E2453">
        <w:rPr>
          <w:rFonts w:ascii="Arial Narrow" w:hAnsi="Arial Narrow"/>
          <w:sz w:val="26"/>
          <w:szCs w:val="26"/>
        </w:rPr>
        <w:t xml:space="preserve"> </w:t>
      </w:r>
      <w:proofErr w:type="spellStart"/>
      <w:r w:rsidR="002E08EE" w:rsidRPr="005E2453">
        <w:rPr>
          <w:rFonts w:ascii="Arial Narrow" w:hAnsi="Arial Narrow"/>
          <w:sz w:val="26"/>
          <w:szCs w:val="26"/>
        </w:rPr>
        <w:t>Trans</w:t>
      </w:r>
      <w:r w:rsidR="00CB700F" w:rsidRPr="005E2453">
        <w:rPr>
          <w:rFonts w:ascii="Arial Narrow" w:hAnsi="Arial Narrow"/>
          <w:sz w:val="26"/>
          <w:szCs w:val="26"/>
        </w:rPr>
        <w:t>U</w:t>
      </w:r>
      <w:r w:rsidR="002E08EE" w:rsidRPr="005E2453">
        <w:rPr>
          <w:rFonts w:ascii="Arial Narrow" w:hAnsi="Arial Narrow"/>
          <w:sz w:val="26"/>
          <w:szCs w:val="26"/>
        </w:rPr>
        <w:t>nión</w:t>
      </w:r>
      <w:proofErr w:type="spellEnd"/>
      <w:r w:rsidR="002E08EE" w:rsidRPr="005E2453">
        <w:rPr>
          <w:rFonts w:ascii="Arial Narrow" w:hAnsi="Arial Narrow"/>
          <w:sz w:val="26"/>
          <w:szCs w:val="26"/>
        </w:rPr>
        <w:t xml:space="preserve"> y </w:t>
      </w:r>
      <w:proofErr w:type="spellStart"/>
      <w:r w:rsidR="002E08EE" w:rsidRPr="005E2453">
        <w:rPr>
          <w:rFonts w:ascii="Arial Narrow" w:hAnsi="Arial Narrow"/>
          <w:sz w:val="26"/>
          <w:szCs w:val="26"/>
        </w:rPr>
        <w:t>Datacrédito</w:t>
      </w:r>
      <w:proofErr w:type="spellEnd"/>
      <w:r w:rsidRPr="005E2453">
        <w:rPr>
          <w:rFonts w:ascii="Arial Narrow" w:hAnsi="Arial Narrow"/>
          <w:sz w:val="26"/>
          <w:szCs w:val="26"/>
        </w:rPr>
        <w:t>,</w:t>
      </w:r>
      <w:r w:rsidR="002E08EE" w:rsidRPr="005E2453">
        <w:rPr>
          <w:rFonts w:ascii="Arial Narrow" w:hAnsi="Arial Narrow"/>
          <w:sz w:val="26"/>
          <w:szCs w:val="26"/>
        </w:rPr>
        <w:t xml:space="preserve"> se evidenció que el reporte </w:t>
      </w:r>
      <w:r w:rsidR="00EC10A4" w:rsidRPr="005E2453">
        <w:rPr>
          <w:rFonts w:ascii="Arial Narrow" w:hAnsi="Arial Narrow"/>
          <w:sz w:val="26"/>
          <w:szCs w:val="26"/>
        </w:rPr>
        <w:t>no fue realizado dentro d</w:t>
      </w:r>
      <w:r w:rsidR="002E08EE" w:rsidRPr="005E2453">
        <w:rPr>
          <w:rFonts w:ascii="Arial Narrow" w:hAnsi="Arial Narrow"/>
          <w:sz w:val="26"/>
          <w:szCs w:val="26"/>
        </w:rPr>
        <w:t>el término de veinte días</w:t>
      </w:r>
      <w:r w:rsidR="00EC10A4" w:rsidRPr="005E2453">
        <w:rPr>
          <w:rFonts w:ascii="Arial Narrow" w:hAnsi="Arial Narrow"/>
          <w:sz w:val="26"/>
          <w:szCs w:val="26"/>
        </w:rPr>
        <w:t xml:space="preserve"> que establece el artículo 12 de la Ley 1266 de</w:t>
      </w:r>
      <w:r w:rsidR="002E08EE" w:rsidRPr="005E2453">
        <w:rPr>
          <w:rFonts w:ascii="Arial Narrow" w:hAnsi="Arial Narrow"/>
          <w:sz w:val="26"/>
          <w:szCs w:val="26"/>
        </w:rPr>
        <w:t xml:space="preserve"> 2008</w:t>
      </w:r>
      <w:r w:rsidR="00EC10A4" w:rsidRPr="005E2453">
        <w:rPr>
          <w:rFonts w:ascii="Arial Narrow" w:hAnsi="Arial Narrow"/>
          <w:sz w:val="26"/>
          <w:szCs w:val="26"/>
        </w:rPr>
        <w:t>. Como si fuera poco no se puede establecer una fecha exacta del momento en que se incurrió en mora, debido a la notoria diferencia entre los datos reportados respecto de las centrales de riesgo</w:t>
      </w:r>
      <w:r w:rsidR="00C272D5" w:rsidRPr="005E2453">
        <w:rPr>
          <w:rFonts w:ascii="Arial Narrow" w:hAnsi="Arial Narrow"/>
          <w:sz w:val="26"/>
          <w:szCs w:val="26"/>
        </w:rPr>
        <w:t>,</w:t>
      </w:r>
      <w:r w:rsidR="00EC10A4" w:rsidRPr="005E2453">
        <w:rPr>
          <w:rFonts w:ascii="Arial Narrow" w:hAnsi="Arial Narrow"/>
          <w:sz w:val="26"/>
          <w:szCs w:val="26"/>
        </w:rPr>
        <w:t xml:space="preserve"> pues en </w:t>
      </w:r>
      <w:proofErr w:type="spellStart"/>
      <w:r w:rsidR="00EC10A4" w:rsidRPr="005E2453">
        <w:rPr>
          <w:rFonts w:ascii="Arial Narrow" w:hAnsi="Arial Narrow"/>
          <w:sz w:val="26"/>
          <w:szCs w:val="26"/>
        </w:rPr>
        <w:t>Trans</w:t>
      </w:r>
      <w:r w:rsidR="00CB700F" w:rsidRPr="005E2453">
        <w:rPr>
          <w:rFonts w:ascii="Arial Narrow" w:hAnsi="Arial Narrow"/>
          <w:sz w:val="26"/>
          <w:szCs w:val="26"/>
        </w:rPr>
        <w:t>U</w:t>
      </w:r>
      <w:r w:rsidR="00EC10A4" w:rsidRPr="005E2453">
        <w:rPr>
          <w:rFonts w:ascii="Arial Narrow" w:hAnsi="Arial Narrow"/>
          <w:sz w:val="26"/>
          <w:szCs w:val="26"/>
        </w:rPr>
        <w:t>nión</w:t>
      </w:r>
      <w:proofErr w:type="spellEnd"/>
      <w:r w:rsidR="00EC10A4" w:rsidRPr="005E2453">
        <w:rPr>
          <w:rFonts w:ascii="Arial Narrow" w:hAnsi="Arial Narrow"/>
          <w:sz w:val="26"/>
          <w:szCs w:val="26"/>
        </w:rPr>
        <w:t xml:space="preserve"> se dice que la mora data del mes de mayo de 2016</w:t>
      </w:r>
      <w:r w:rsidR="001E7485" w:rsidRPr="005E2453">
        <w:rPr>
          <w:rFonts w:ascii="Arial Narrow" w:hAnsi="Arial Narrow"/>
          <w:sz w:val="26"/>
          <w:szCs w:val="26"/>
        </w:rPr>
        <w:t>,</w:t>
      </w:r>
      <w:r w:rsidR="00EC10A4" w:rsidRPr="005E2453">
        <w:rPr>
          <w:rFonts w:ascii="Arial Narrow" w:hAnsi="Arial Narrow"/>
          <w:sz w:val="26"/>
          <w:szCs w:val="26"/>
        </w:rPr>
        <w:t xml:space="preserve"> mientras que en </w:t>
      </w:r>
      <w:proofErr w:type="spellStart"/>
      <w:r w:rsidR="00EC10A4" w:rsidRPr="005E2453">
        <w:rPr>
          <w:rFonts w:ascii="Arial Narrow" w:hAnsi="Arial Narrow"/>
          <w:sz w:val="26"/>
          <w:szCs w:val="26"/>
        </w:rPr>
        <w:t>Datacrédito</w:t>
      </w:r>
      <w:proofErr w:type="spellEnd"/>
      <w:r w:rsidR="00EC10A4" w:rsidRPr="005E2453">
        <w:rPr>
          <w:rFonts w:ascii="Arial Narrow" w:hAnsi="Arial Narrow"/>
          <w:sz w:val="26"/>
          <w:szCs w:val="26"/>
        </w:rPr>
        <w:t xml:space="preserve"> desde julio de 2020.</w:t>
      </w:r>
    </w:p>
    <w:p w14:paraId="4634D9F7" w14:textId="77777777" w:rsidR="00EC10A4" w:rsidRPr="005E2453" w:rsidRDefault="00EC10A4" w:rsidP="005E2453">
      <w:pPr>
        <w:pStyle w:val="Sinespaciado"/>
        <w:tabs>
          <w:tab w:val="left" w:pos="1750"/>
        </w:tabs>
        <w:spacing w:line="276" w:lineRule="auto"/>
        <w:jc w:val="both"/>
        <w:rPr>
          <w:rFonts w:ascii="Arial Narrow" w:hAnsi="Arial Narrow"/>
          <w:sz w:val="26"/>
          <w:szCs w:val="26"/>
        </w:rPr>
      </w:pPr>
    </w:p>
    <w:p w14:paraId="749AAA1A" w14:textId="77777777" w:rsidR="00676457" w:rsidRPr="005E2453" w:rsidRDefault="00EC10A4" w:rsidP="005E2453">
      <w:pPr>
        <w:pStyle w:val="Sinespaciado"/>
        <w:tabs>
          <w:tab w:val="left" w:pos="1750"/>
        </w:tabs>
        <w:spacing w:line="276" w:lineRule="auto"/>
        <w:jc w:val="both"/>
        <w:rPr>
          <w:rFonts w:ascii="Arial Narrow" w:hAnsi="Arial Narrow"/>
          <w:sz w:val="26"/>
          <w:szCs w:val="26"/>
        </w:rPr>
      </w:pPr>
      <w:r w:rsidRPr="005E2453">
        <w:rPr>
          <w:rFonts w:ascii="Arial Narrow" w:hAnsi="Arial Narrow"/>
          <w:sz w:val="26"/>
          <w:szCs w:val="26"/>
        </w:rPr>
        <w:t>En consecuencia, el proceder del ICETEX es ilegal</w:t>
      </w:r>
      <w:r w:rsidR="004166A5" w:rsidRPr="005E2453">
        <w:rPr>
          <w:rFonts w:ascii="Arial Narrow" w:hAnsi="Arial Narrow"/>
          <w:sz w:val="26"/>
          <w:szCs w:val="26"/>
        </w:rPr>
        <w:t>, no tiene en cuenta la necesidad de verificar la existencia de la obligación</w:t>
      </w:r>
      <w:r w:rsidRPr="005E2453">
        <w:rPr>
          <w:rFonts w:ascii="Arial Narrow" w:hAnsi="Arial Narrow"/>
          <w:sz w:val="26"/>
          <w:szCs w:val="26"/>
        </w:rPr>
        <w:t xml:space="preserve"> y desconoce el principio de veracidad al que se debe acudir respecto de la información personal</w:t>
      </w:r>
      <w:r w:rsidR="00676457" w:rsidRPr="005E2453">
        <w:rPr>
          <w:rFonts w:ascii="Arial Narrow" w:hAnsi="Arial Narrow"/>
          <w:sz w:val="26"/>
          <w:szCs w:val="26"/>
        </w:rPr>
        <w:t xml:space="preserve"> en bases de datos públicas</w:t>
      </w:r>
      <w:r w:rsidR="004166A5" w:rsidRPr="005E2453">
        <w:rPr>
          <w:rFonts w:ascii="Arial Narrow" w:hAnsi="Arial Narrow"/>
          <w:sz w:val="26"/>
          <w:szCs w:val="26"/>
        </w:rPr>
        <w:t xml:space="preserve"> y según la cual,</w:t>
      </w:r>
      <w:r w:rsidR="00433E94" w:rsidRPr="005E2453">
        <w:rPr>
          <w:rFonts w:ascii="Arial Narrow" w:hAnsi="Arial Narrow"/>
          <w:sz w:val="26"/>
          <w:szCs w:val="26"/>
        </w:rPr>
        <w:t xml:space="preserve"> además,</w:t>
      </w:r>
      <w:r w:rsidR="004166A5" w:rsidRPr="005E2453">
        <w:rPr>
          <w:rFonts w:ascii="Arial Narrow" w:hAnsi="Arial Narrow"/>
          <w:sz w:val="26"/>
          <w:szCs w:val="26"/>
        </w:rPr>
        <w:t xml:space="preserve"> ese reporte no puede permanecer por más de diez años.</w:t>
      </w:r>
      <w:r w:rsidR="00676457" w:rsidRPr="005E2453">
        <w:rPr>
          <w:rFonts w:ascii="Arial Narrow" w:hAnsi="Arial Narrow"/>
          <w:sz w:val="26"/>
          <w:szCs w:val="26"/>
        </w:rPr>
        <w:t xml:space="preserve"> </w:t>
      </w:r>
    </w:p>
    <w:p w14:paraId="6C7C8B53" w14:textId="77777777" w:rsidR="00676457" w:rsidRPr="005E2453" w:rsidRDefault="00676457" w:rsidP="005E2453">
      <w:pPr>
        <w:pStyle w:val="Sinespaciado"/>
        <w:tabs>
          <w:tab w:val="left" w:pos="1750"/>
        </w:tabs>
        <w:spacing w:line="276" w:lineRule="auto"/>
        <w:jc w:val="both"/>
        <w:rPr>
          <w:rFonts w:ascii="Arial Narrow" w:hAnsi="Arial Narrow"/>
          <w:sz w:val="26"/>
          <w:szCs w:val="26"/>
        </w:rPr>
      </w:pPr>
    </w:p>
    <w:p w14:paraId="00F9CDF1" w14:textId="77777777" w:rsidR="00C8044C" w:rsidRPr="005E2453" w:rsidRDefault="00676457" w:rsidP="005E2453">
      <w:pPr>
        <w:pStyle w:val="Sinespaciado"/>
        <w:tabs>
          <w:tab w:val="left" w:pos="1750"/>
        </w:tabs>
        <w:spacing w:line="276" w:lineRule="auto"/>
        <w:jc w:val="both"/>
        <w:rPr>
          <w:rFonts w:ascii="Arial Narrow" w:hAnsi="Arial Narrow"/>
          <w:sz w:val="26"/>
          <w:szCs w:val="26"/>
        </w:rPr>
      </w:pPr>
      <w:r w:rsidRPr="005E2453">
        <w:rPr>
          <w:rFonts w:ascii="Arial Narrow" w:hAnsi="Arial Narrow"/>
          <w:sz w:val="26"/>
          <w:szCs w:val="26"/>
        </w:rPr>
        <w:t>Se pretende</w:t>
      </w:r>
      <w:r w:rsidR="004166A5" w:rsidRPr="005E2453">
        <w:rPr>
          <w:rFonts w:ascii="Arial Narrow" w:hAnsi="Arial Narrow"/>
          <w:sz w:val="26"/>
          <w:szCs w:val="26"/>
        </w:rPr>
        <w:t xml:space="preserve">, para lograr </w:t>
      </w:r>
      <w:r w:rsidRPr="005E2453">
        <w:rPr>
          <w:rFonts w:ascii="Arial Narrow" w:hAnsi="Arial Narrow"/>
          <w:sz w:val="26"/>
          <w:szCs w:val="26"/>
        </w:rPr>
        <w:t xml:space="preserve">el amparo </w:t>
      </w:r>
      <w:r w:rsidR="00433E94" w:rsidRPr="005E2453">
        <w:rPr>
          <w:rFonts w:ascii="Arial Narrow" w:hAnsi="Arial Narrow"/>
          <w:sz w:val="26"/>
          <w:szCs w:val="26"/>
        </w:rPr>
        <w:t>a los derechos al hábeas data, a</w:t>
      </w:r>
      <w:r w:rsidRPr="005E2453">
        <w:rPr>
          <w:rFonts w:ascii="Arial Narrow" w:hAnsi="Arial Narrow"/>
          <w:sz w:val="26"/>
          <w:szCs w:val="26"/>
        </w:rPr>
        <w:t>l buen nombre,</w:t>
      </w:r>
      <w:r w:rsidR="00433E94" w:rsidRPr="005E2453">
        <w:rPr>
          <w:rFonts w:ascii="Arial Narrow" w:hAnsi="Arial Narrow"/>
          <w:sz w:val="26"/>
          <w:szCs w:val="26"/>
        </w:rPr>
        <w:t xml:space="preserve"> al</w:t>
      </w:r>
      <w:r w:rsidR="003011C5" w:rsidRPr="005E2453">
        <w:rPr>
          <w:rFonts w:ascii="Arial Narrow" w:hAnsi="Arial Narrow"/>
          <w:sz w:val="26"/>
          <w:szCs w:val="26"/>
        </w:rPr>
        <w:t xml:space="preserve"> olvido, </w:t>
      </w:r>
      <w:r w:rsidR="00433E94" w:rsidRPr="005E2453">
        <w:rPr>
          <w:rFonts w:ascii="Arial Narrow" w:hAnsi="Arial Narrow"/>
          <w:sz w:val="26"/>
          <w:szCs w:val="26"/>
        </w:rPr>
        <w:t xml:space="preserve">a la </w:t>
      </w:r>
      <w:r w:rsidR="003011C5" w:rsidRPr="005E2453">
        <w:rPr>
          <w:rFonts w:ascii="Arial Narrow" w:hAnsi="Arial Narrow"/>
          <w:sz w:val="26"/>
          <w:szCs w:val="26"/>
        </w:rPr>
        <w:t>intimidad,</w:t>
      </w:r>
      <w:r w:rsidR="00433E94" w:rsidRPr="005E2453">
        <w:rPr>
          <w:rFonts w:ascii="Arial Narrow" w:hAnsi="Arial Narrow"/>
          <w:sz w:val="26"/>
          <w:szCs w:val="26"/>
        </w:rPr>
        <w:t xml:space="preserve"> a</w:t>
      </w:r>
      <w:r w:rsidR="003011C5" w:rsidRPr="005E2453">
        <w:rPr>
          <w:rFonts w:ascii="Arial Narrow" w:hAnsi="Arial Narrow"/>
          <w:sz w:val="26"/>
          <w:szCs w:val="26"/>
        </w:rPr>
        <w:t xml:space="preserve"> </w:t>
      </w:r>
      <w:r w:rsidRPr="005E2453">
        <w:rPr>
          <w:rFonts w:ascii="Arial Narrow" w:hAnsi="Arial Narrow"/>
          <w:sz w:val="26"/>
          <w:szCs w:val="26"/>
        </w:rPr>
        <w:t xml:space="preserve">la </w:t>
      </w:r>
      <w:r w:rsidR="00105B54" w:rsidRPr="005E2453">
        <w:rPr>
          <w:rFonts w:ascii="Arial Narrow" w:hAnsi="Arial Narrow"/>
          <w:sz w:val="26"/>
          <w:szCs w:val="26"/>
        </w:rPr>
        <w:t>autodeterminación financiera</w:t>
      </w:r>
      <w:r w:rsidRPr="005E2453">
        <w:rPr>
          <w:rFonts w:ascii="Arial Narrow" w:hAnsi="Arial Narrow"/>
          <w:sz w:val="26"/>
          <w:szCs w:val="26"/>
        </w:rPr>
        <w:t>,</w:t>
      </w:r>
      <w:r w:rsidR="00433E94" w:rsidRPr="005E2453">
        <w:rPr>
          <w:rFonts w:ascii="Arial Narrow" w:hAnsi="Arial Narrow"/>
          <w:sz w:val="26"/>
          <w:szCs w:val="26"/>
        </w:rPr>
        <w:t xml:space="preserve"> a la</w:t>
      </w:r>
      <w:r w:rsidRPr="005E2453">
        <w:rPr>
          <w:rFonts w:ascii="Arial Narrow" w:hAnsi="Arial Narrow"/>
          <w:sz w:val="26"/>
          <w:szCs w:val="26"/>
        </w:rPr>
        <w:t xml:space="preserve"> defensa y </w:t>
      </w:r>
      <w:r w:rsidR="00433E94" w:rsidRPr="005E2453">
        <w:rPr>
          <w:rFonts w:ascii="Arial Narrow" w:hAnsi="Arial Narrow"/>
          <w:sz w:val="26"/>
          <w:szCs w:val="26"/>
        </w:rPr>
        <w:t xml:space="preserve">al </w:t>
      </w:r>
      <w:r w:rsidRPr="005E2453">
        <w:rPr>
          <w:rFonts w:ascii="Arial Narrow" w:hAnsi="Arial Narrow"/>
          <w:sz w:val="26"/>
          <w:szCs w:val="26"/>
        </w:rPr>
        <w:t>debido proceso</w:t>
      </w:r>
      <w:r w:rsidR="004166A5" w:rsidRPr="005E2453">
        <w:rPr>
          <w:rFonts w:ascii="Arial Narrow" w:hAnsi="Arial Narrow"/>
          <w:sz w:val="26"/>
          <w:szCs w:val="26"/>
        </w:rPr>
        <w:t xml:space="preserve">, se ordene a la </w:t>
      </w:r>
      <w:r w:rsidR="004166A5" w:rsidRPr="005E2453">
        <w:rPr>
          <w:rFonts w:ascii="Arial Narrow" w:hAnsi="Arial Narrow"/>
          <w:sz w:val="26"/>
          <w:szCs w:val="26"/>
        </w:rPr>
        <w:lastRenderedPageBreak/>
        <w:t xml:space="preserve">demandada eliminar completamente </w:t>
      </w:r>
      <w:r w:rsidR="002E08EE" w:rsidRPr="005E2453">
        <w:rPr>
          <w:rFonts w:ascii="Arial Narrow" w:hAnsi="Arial Narrow"/>
          <w:sz w:val="26"/>
          <w:szCs w:val="26"/>
        </w:rPr>
        <w:t>la información negativa que</w:t>
      </w:r>
      <w:r w:rsidR="004166A5" w:rsidRPr="005E2453">
        <w:rPr>
          <w:rFonts w:ascii="Arial Narrow" w:hAnsi="Arial Narrow"/>
          <w:sz w:val="26"/>
          <w:szCs w:val="26"/>
        </w:rPr>
        <w:t xml:space="preserve"> del actor</w:t>
      </w:r>
      <w:r w:rsidR="00433E94" w:rsidRPr="005E2453">
        <w:rPr>
          <w:rFonts w:ascii="Arial Narrow" w:hAnsi="Arial Narrow"/>
          <w:sz w:val="26"/>
          <w:szCs w:val="26"/>
        </w:rPr>
        <w:t xml:space="preserve"> reportó en las centrales de riesgo</w:t>
      </w:r>
      <w:r w:rsidR="00C8044C" w:rsidRPr="005E2453">
        <w:rPr>
          <w:rFonts w:ascii="Arial Narrow" w:hAnsi="Arial Narrow"/>
          <w:sz w:val="26"/>
          <w:szCs w:val="26"/>
          <w:lang w:val="es-CO"/>
        </w:rPr>
        <w:t xml:space="preserve">. </w:t>
      </w:r>
    </w:p>
    <w:p w14:paraId="0A5E417D" w14:textId="77777777" w:rsidR="008F7185" w:rsidRPr="005E2453" w:rsidRDefault="008F7185" w:rsidP="005E2453">
      <w:pPr>
        <w:pStyle w:val="Sinespaciado"/>
        <w:tabs>
          <w:tab w:val="left" w:pos="1750"/>
        </w:tabs>
        <w:spacing w:line="276" w:lineRule="auto"/>
        <w:jc w:val="both"/>
        <w:rPr>
          <w:rFonts w:ascii="Arial Narrow" w:hAnsi="Arial Narrow"/>
          <w:b/>
          <w:sz w:val="26"/>
          <w:szCs w:val="26"/>
          <w:lang w:val="es-CO"/>
        </w:rPr>
      </w:pPr>
    </w:p>
    <w:p w14:paraId="5D030EF5" w14:textId="77777777" w:rsidR="008F7185" w:rsidRPr="005E2453" w:rsidRDefault="003B1A9F" w:rsidP="005E2453">
      <w:pPr>
        <w:pStyle w:val="Sinespaciado"/>
        <w:tabs>
          <w:tab w:val="left" w:pos="1750"/>
        </w:tabs>
        <w:spacing w:line="276" w:lineRule="auto"/>
        <w:jc w:val="both"/>
        <w:rPr>
          <w:rFonts w:ascii="Arial Narrow" w:hAnsi="Arial Narrow"/>
          <w:sz w:val="26"/>
          <w:szCs w:val="26"/>
        </w:rPr>
      </w:pPr>
      <w:r w:rsidRPr="005E2453">
        <w:rPr>
          <w:rFonts w:ascii="Arial Narrow" w:hAnsi="Arial Narrow"/>
          <w:b/>
          <w:sz w:val="26"/>
          <w:szCs w:val="26"/>
        </w:rPr>
        <w:t xml:space="preserve">2. Trámite: </w:t>
      </w:r>
      <w:r w:rsidRPr="005E2453">
        <w:rPr>
          <w:rFonts w:ascii="Arial Narrow" w:hAnsi="Arial Narrow"/>
          <w:sz w:val="26"/>
          <w:szCs w:val="26"/>
        </w:rPr>
        <w:t xml:space="preserve">En </w:t>
      </w:r>
      <w:r w:rsidR="008F7185" w:rsidRPr="005E2453">
        <w:rPr>
          <w:rFonts w:ascii="Arial Narrow" w:hAnsi="Arial Narrow"/>
          <w:sz w:val="26"/>
          <w:szCs w:val="26"/>
        </w:rPr>
        <w:t xml:space="preserve">auto del pasado </w:t>
      </w:r>
      <w:r w:rsidR="003011C5" w:rsidRPr="005E2453">
        <w:rPr>
          <w:rFonts w:ascii="Arial Narrow" w:hAnsi="Arial Narrow"/>
          <w:sz w:val="26"/>
          <w:szCs w:val="26"/>
        </w:rPr>
        <w:t>30</w:t>
      </w:r>
      <w:r w:rsidR="008F7185" w:rsidRPr="005E2453">
        <w:rPr>
          <w:rFonts w:ascii="Arial Narrow" w:hAnsi="Arial Narrow"/>
          <w:sz w:val="26"/>
          <w:szCs w:val="26"/>
        </w:rPr>
        <w:t xml:space="preserve"> de</w:t>
      </w:r>
      <w:r w:rsidR="007D5632" w:rsidRPr="005E2453">
        <w:rPr>
          <w:rFonts w:ascii="Arial Narrow" w:hAnsi="Arial Narrow"/>
          <w:sz w:val="26"/>
          <w:szCs w:val="26"/>
        </w:rPr>
        <w:t xml:space="preserve"> junio</w:t>
      </w:r>
      <w:r w:rsidR="008F7185" w:rsidRPr="005E2453">
        <w:rPr>
          <w:rFonts w:ascii="Arial Narrow" w:hAnsi="Arial Narrow"/>
          <w:sz w:val="26"/>
          <w:szCs w:val="26"/>
        </w:rPr>
        <w:t xml:space="preserve"> se admitió la demanda y</w:t>
      </w:r>
      <w:r w:rsidR="00DC05A4" w:rsidRPr="005E2453">
        <w:rPr>
          <w:rFonts w:ascii="Arial Narrow" w:hAnsi="Arial Narrow"/>
          <w:sz w:val="26"/>
          <w:szCs w:val="26"/>
        </w:rPr>
        <w:t xml:space="preserve"> se corrió traslado a la demandada y a los vinculados.</w:t>
      </w:r>
      <w:r w:rsidR="008F7185" w:rsidRPr="005E2453">
        <w:rPr>
          <w:rFonts w:ascii="Arial Narrow" w:hAnsi="Arial Narrow"/>
          <w:sz w:val="26"/>
          <w:szCs w:val="26"/>
        </w:rPr>
        <w:t xml:space="preserve"> </w:t>
      </w:r>
    </w:p>
    <w:p w14:paraId="5961BB56" w14:textId="77777777" w:rsidR="008F7185" w:rsidRPr="005E2453" w:rsidRDefault="008F7185" w:rsidP="005E2453">
      <w:pPr>
        <w:pStyle w:val="Sinespaciado"/>
        <w:tabs>
          <w:tab w:val="left" w:pos="1750"/>
        </w:tabs>
        <w:spacing w:line="276" w:lineRule="auto"/>
        <w:jc w:val="both"/>
        <w:rPr>
          <w:rFonts w:ascii="Arial Narrow" w:hAnsi="Arial Narrow"/>
          <w:sz w:val="26"/>
          <w:szCs w:val="26"/>
          <w:lang w:val="es-CO"/>
        </w:rPr>
      </w:pPr>
    </w:p>
    <w:p w14:paraId="155CAACF" w14:textId="77777777" w:rsidR="00872D68" w:rsidRPr="005E2453" w:rsidRDefault="00872D68" w:rsidP="005E2453">
      <w:pPr>
        <w:pStyle w:val="Sinespaciado"/>
        <w:tabs>
          <w:tab w:val="left" w:pos="1750"/>
        </w:tabs>
        <w:spacing w:line="276" w:lineRule="auto"/>
        <w:jc w:val="both"/>
        <w:rPr>
          <w:rFonts w:ascii="Arial Narrow" w:hAnsi="Arial Narrow"/>
          <w:sz w:val="26"/>
          <w:szCs w:val="26"/>
          <w:lang w:val="es-CO"/>
        </w:rPr>
      </w:pPr>
      <w:r w:rsidRPr="005E2453">
        <w:rPr>
          <w:rFonts w:ascii="Arial Narrow" w:hAnsi="Arial Narrow"/>
          <w:bCs/>
          <w:sz w:val="26"/>
          <w:szCs w:val="26"/>
          <w:lang w:val="es-CO"/>
        </w:rPr>
        <w:t>CIFIN-</w:t>
      </w:r>
      <w:proofErr w:type="spellStart"/>
      <w:r w:rsidRPr="005E2453">
        <w:rPr>
          <w:rFonts w:ascii="Arial Narrow" w:hAnsi="Arial Narrow"/>
          <w:bCs/>
          <w:sz w:val="26"/>
          <w:szCs w:val="26"/>
          <w:lang w:val="es-CO"/>
        </w:rPr>
        <w:t>Trans</w:t>
      </w:r>
      <w:r w:rsidR="00B13B10" w:rsidRPr="005E2453">
        <w:rPr>
          <w:rFonts w:ascii="Arial Narrow" w:hAnsi="Arial Narrow"/>
          <w:bCs/>
          <w:sz w:val="26"/>
          <w:szCs w:val="26"/>
          <w:lang w:val="es-CO"/>
        </w:rPr>
        <w:t>U</w:t>
      </w:r>
      <w:r w:rsidRPr="005E2453">
        <w:rPr>
          <w:rFonts w:ascii="Arial Narrow" w:hAnsi="Arial Narrow"/>
          <w:bCs/>
          <w:sz w:val="26"/>
          <w:szCs w:val="26"/>
          <w:lang w:val="es-CO"/>
        </w:rPr>
        <w:t>nión</w:t>
      </w:r>
      <w:proofErr w:type="spellEnd"/>
      <w:r w:rsidR="00862E2A" w:rsidRPr="005E2453">
        <w:rPr>
          <w:rStyle w:val="Refdenotaalpie"/>
          <w:rFonts w:ascii="Arial Narrow" w:hAnsi="Arial Narrow"/>
          <w:sz w:val="26"/>
          <w:szCs w:val="26"/>
          <w:lang w:val="es-CO"/>
        </w:rPr>
        <w:footnoteReference w:id="2"/>
      </w:r>
      <w:r w:rsidRPr="005E2453">
        <w:rPr>
          <w:rFonts w:ascii="Arial Narrow" w:hAnsi="Arial Narrow"/>
          <w:bCs/>
          <w:sz w:val="26"/>
          <w:szCs w:val="26"/>
          <w:lang w:val="es-CO"/>
        </w:rPr>
        <w:t xml:space="preserve"> se pronunció para manifestar que esa entidad carece de relación contractual entre la fuente y el titular de la información, </w:t>
      </w:r>
      <w:r w:rsidR="00433E94" w:rsidRPr="005E2453">
        <w:rPr>
          <w:rFonts w:ascii="Arial Narrow" w:hAnsi="Arial Narrow"/>
          <w:bCs/>
          <w:sz w:val="26"/>
          <w:szCs w:val="26"/>
          <w:lang w:val="es-CO"/>
        </w:rPr>
        <w:t xml:space="preserve">desconoce </w:t>
      </w:r>
      <w:r w:rsidRPr="005E2453">
        <w:rPr>
          <w:rFonts w:ascii="Arial Narrow" w:hAnsi="Arial Narrow"/>
          <w:bCs/>
          <w:sz w:val="26"/>
          <w:szCs w:val="26"/>
          <w:lang w:val="es-CO"/>
        </w:rPr>
        <w:t xml:space="preserve">el contenido y las condiciones de la obligación que se dice incumplida, ni </w:t>
      </w:r>
      <w:r w:rsidRPr="005E2453">
        <w:rPr>
          <w:rFonts w:ascii="Arial Narrow" w:hAnsi="Arial Narrow"/>
          <w:sz w:val="26"/>
          <w:szCs w:val="26"/>
          <w:lang w:val="es-CO"/>
        </w:rPr>
        <w:t>es responsable de los datos</w:t>
      </w:r>
      <w:r w:rsidR="002D5491" w:rsidRPr="005E2453">
        <w:rPr>
          <w:rFonts w:ascii="Arial Narrow" w:hAnsi="Arial Narrow"/>
          <w:sz w:val="26"/>
          <w:szCs w:val="26"/>
          <w:lang w:val="es-CO"/>
        </w:rPr>
        <w:t xml:space="preserve"> </w:t>
      </w:r>
      <w:r w:rsidRPr="005E2453">
        <w:rPr>
          <w:rFonts w:ascii="Arial Narrow" w:hAnsi="Arial Narrow"/>
          <w:sz w:val="26"/>
          <w:szCs w:val="26"/>
          <w:lang w:val="es-CO"/>
        </w:rPr>
        <w:t>reportado</w:t>
      </w:r>
      <w:r w:rsidR="002D5491" w:rsidRPr="005E2453">
        <w:rPr>
          <w:rFonts w:ascii="Arial Narrow" w:hAnsi="Arial Narrow"/>
          <w:sz w:val="26"/>
          <w:szCs w:val="26"/>
          <w:lang w:val="es-CO"/>
        </w:rPr>
        <w:t>s</w:t>
      </w:r>
      <w:r w:rsidRPr="005E2453">
        <w:rPr>
          <w:rFonts w:ascii="Arial Narrow" w:hAnsi="Arial Narrow"/>
          <w:sz w:val="26"/>
          <w:szCs w:val="26"/>
          <w:lang w:val="es-CO"/>
        </w:rPr>
        <w:t xml:space="preserve"> por la primera</w:t>
      </w:r>
      <w:r w:rsidR="00433E94" w:rsidRPr="005E2453">
        <w:rPr>
          <w:rFonts w:ascii="Arial Narrow" w:hAnsi="Arial Narrow"/>
          <w:sz w:val="26"/>
          <w:szCs w:val="26"/>
          <w:lang w:val="es-CO"/>
        </w:rPr>
        <w:t xml:space="preserve">, como tampoco le asiste competencia para </w:t>
      </w:r>
      <w:r w:rsidRPr="005E2453">
        <w:rPr>
          <w:rFonts w:ascii="Arial Narrow" w:hAnsi="Arial Narrow"/>
          <w:sz w:val="26"/>
          <w:szCs w:val="26"/>
          <w:lang w:val="es-CO"/>
        </w:rPr>
        <w:t xml:space="preserve">realizar el aviso previo correspondiente. </w:t>
      </w:r>
      <w:r w:rsidR="00433E94" w:rsidRPr="005E2453">
        <w:rPr>
          <w:rFonts w:ascii="Arial Narrow" w:hAnsi="Arial Narrow"/>
          <w:sz w:val="26"/>
          <w:szCs w:val="26"/>
          <w:lang w:val="es-CO"/>
        </w:rPr>
        <w:t>Al revisar</w:t>
      </w:r>
      <w:r w:rsidRPr="005E2453">
        <w:rPr>
          <w:rFonts w:ascii="Arial Narrow" w:hAnsi="Arial Narrow"/>
          <w:sz w:val="26"/>
          <w:szCs w:val="26"/>
          <w:lang w:val="es-CO"/>
        </w:rPr>
        <w:t xml:space="preserve"> </w:t>
      </w:r>
      <w:r w:rsidR="002D5491" w:rsidRPr="005E2453">
        <w:rPr>
          <w:rFonts w:ascii="Arial Narrow" w:hAnsi="Arial Narrow"/>
          <w:sz w:val="26"/>
          <w:szCs w:val="26"/>
          <w:lang w:val="es-CO"/>
        </w:rPr>
        <w:t>la información</w:t>
      </w:r>
      <w:r w:rsidRPr="005E2453">
        <w:rPr>
          <w:rFonts w:ascii="Arial Narrow" w:hAnsi="Arial Narrow"/>
          <w:sz w:val="26"/>
          <w:szCs w:val="26"/>
          <w:lang w:val="es-CO"/>
        </w:rPr>
        <w:t xml:space="preserve"> del accionante se puede establecer que la obligación No. 4403-7j reportada por mora por el ICETEX</w:t>
      </w:r>
      <w:r w:rsidR="00433E94" w:rsidRPr="005E2453">
        <w:rPr>
          <w:rFonts w:ascii="Arial Narrow" w:hAnsi="Arial Narrow"/>
          <w:sz w:val="26"/>
          <w:szCs w:val="26"/>
          <w:lang w:val="es-CO"/>
        </w:rPr>
        <w:t>,</w:t>
      </w:r>
      <w:r w:rsidRPr="005E2453">
        <w:rPr>
          <w:rFonts w:ascii="Arial Narrow" w:hAnsi="Arial Narrow"/>
          <w:sz w:val="26"/>
          <w:szCs w:val="26"/>
          <w:lang w:val="es-CO"/>
        </w:rPr>
        <w:t xml:space="preserve"> presenta un pago del 31 de agosto de 2020, de manera que el registro tendrá permanenc</w:t>
      </w:r>
      <w:r w:rsidR="00433E94" w:rsidRPr="005E2453">
        <w:rPr>
          <w:rFonts w:ascii="Arial Narrow" w:hAnsi="Arial Narrow"/>
          <w:sz w:val="26"/>
          <w:szCs w:val="26"/>
          <w:lang w:val="es-CO"/>
        </w:rPr>
        <w:t>ia hasta el 31 de agosto de 2024</w:t>
      </w:r>
      <w:r w:rsidRPr="005E2453">
        <w:rPr>
          <w:rFonts w:ascii="Arial Narrow" w:hAnsi="Arial Narrow"/>
          <w:sz w:val="26"/>
          <w:szCs w:val="26"/>
          <w:lang w:val="es-CO"/>
        </w:rPr>
        <w:t>, de conformidad con lo dispuesto en el artículo 13 de la Ley 1266 de 2008, reglamentado por el artículo 2.2.2</w:t>
      </w:r>
      <w:r w:rsidR="00433E94" w:rsidRPr="005E2453">
        <w:rPr>
          <w:rFonts w:ascii="Arial Narrow" w:hAnsi="Arial Narrow"/>
          <w:sz w:val="26"/>
          <w:szCs w:val="26"/>
          <w:lang w:val="es-CO"/>
        </w:rPr>
        <w:t>.28.3. d</w:t>
      </w:r>
      <w:r w:rsidR="002D5491" w:rsidRPr="005E2453">
        <w:rPr>
          <w:rFonts w:ascii="Arial Narrow" w:hAnsi="Arial Narrow"/>
          <w:sz w:val="26"/>
          <w:szCs w:val="26"/>
          <w:lang w:val="es-CO"/>
        </w:rPr>
        <w:t>el Decreto 1074 de 2015. Solicita se le desvincule de la actuación y en el evento de que se considere que hay lugar a modificación de los datos registrados a nombre del actor</w:t>
      </w:r>
      <w:r w:rsidR="00433E94" w:rsidRPr="005E2453">
        <w:rPr>
          <w:rFonts w:ascii="Arial Narrow" w:hAnsi="Arial Narrow"/>
          <w:sz w:val="26"/>
          <w:szCs w:val="26"/>
          <w:lang w:val="es-CO"/>
        </w:rPr>
        <w:t>,</w:t>
      </w:r>
      <w:r w:rsidR="002D5491" w:rsidRPr="005E2453">
        <w:rPr>
          <w:rFonts w:ascii="Arial Narrow" w:hAnsi="Arial Narrow"/>
          <w:sz w:val="26"/>
          <w:szCs w:val="26"/>
          <w:lang w:val="es-CO"/>
        </w:rPr>
        <w:t xml:space="preserve"> se dirija la orden respectiva </w:t>
      </w:r>
      <w:r w:rsidRPr="005E2453">
        <w:rPr>
          <w:rFonts w:ascii="Arial Narrow" w:hAnsi="Arial Narrow"/>
          <w:sz w:val="26"/>
          <w:szCs w:val="26"/>
          <w:lang w:val="es-CO"/>
        </w:rPr>
        <w:t>a la fuente de informació</w:t>
      </w:r>
      <w:r w:rsidR="002D5491" w:rsidRPr="005E2453">
        <w:rPr>
          <w:rFonts w:ascii="Arial Narrow" w:hAnsi="Arial Narrow"/>
          <w:sz w:val="26"/>
          <w:szCs w:val="26"/>
          <w:lang w:val="es-CO"/>
        </w:rPr>
        <w:t>n, única “</w:t>
      </w:r>
      <w:r w:rsidRPr="00D54DCE">
        <w:rPr>
          <w:rFonts w:ascii="Arial Narrow" w:hAnsi="Arial Narrow"/>
          <w:i/>
          <w:iCs/>
          <w:sz w:val="24"/>
          <w:szCs w:val="26"/>
          <w:lang w:val="es-CO"/>
        </w:rPr>
        <w:t>facultada legalmente para realizar actualizaciones, modificaciones y</w:t>
      </w:r>
      <w:r w:rsidR="002D5491" w:rsidRPr="00D54DCE">
        <w:rPr>
          <w:rFonts w:ascii="Arial Narrow" w:hAnsi="Arial Narrow"/>
          <w:i/>
          <w:iCs/>
          <w:sz w:val="24"/>
          <w:szCs w:val="26"/>
          <w:lang w:val="es-CO"/>
        </w:rPr>
        <w:t xml:space="preserve"> </w:t>
      </w:r>
      <w:r w:rsidRPr="00D54DCE">
        <w:rPr>
          <w:rFonts w:ascii="Arial Narrow" w:hAnsi="Arial Narrow"/>
          <w:i/>
          <w:iCs/>
          <w:sz w:val="24"/>
          <w:szCs w:val="26"/>
          <w:lang w:val="es-CO"/>
        </w:rPr>
        <w:t>rectificaciones en la información reportada al operador</w:t>
      </w:r>
      <w:r w:rsidR="002D5491" w:rsidRPr="005E2453">
        <w:rPr>
          <w:rFonts w:ascii="Arial Narrow" w:hAnsi="Arial Narrow"/>
          <w:sz w:val="26"/>
          <w:szCs w:val="26"/>
          <w:lang w:val="es-CO"/>
        </w:rPr>
        <w:t>”</w:t>
      </w:r>
      <w:r w:rsidRPr="005E2453">
        <w:rPr>
          <w:rFonts w:ascii="Arial Narrow" w:hAnsi="Arial Narrow"/>
          <w:sz w:val="26"/>
          <w:szCs w:val="26"/>
          <w:lang w:val="es-CO"/>
        </w:rPr>
        <w:t>.</w:t>
      </w:r>
    </w:p>
    <w:p w14:paraId="1F119580" w14:textId="77777777" w:rsidR="00872D68" w:rsidRPr="005E2453" w:rsidRDefault="00872D68" w:rsidP="005E2453">
      <w:pPr>
        <w:pStyle w:val="Sinespaciado"/>
        <w:tabs>
          <w:tab w:val="left" w:pos="1750"/>
        </w:tabs>
        <w:spacing w:line="276" w:lineRule="auto"/>
        <w:jc w:val="both"/>
        <w:rPr>
          <w:rFonts w:ascii="Arial Narrow" w:hAnsi="Arial Narrow"/>
          <w:sz w:val="26"/>
          <w:szCs w:val="26"/>
          <w:lang w:val="es-CO"/>
        </w:rPr>
      </w:pPr>
    </w:p>
    <w:p w14:paraId="00A1223A" w14:textId="77777777" w:rsidR="001853C2" w:rsidRPr="005E2453" w:rsidRDefault="002D5491" w:rsidP="005E2453">
      <w:pPr>
        <w:pStyle w:val="Sinespaciado"/>
        <w:tabs>
          <w:tab w:val="left" w:pos="1750"/>
        </w:tabs>
        <w:spacing w:line="276" w:lineRule="auto"/>
        <w:jc w:val="both"/>
        <w:rPr>
          <w:rFonts w:ascii="Arial Narrow" w:hAnsi="Arial Narrow"/>
          <w:sz w:val="26"/>
          <w:szCs w:val="26"/>
        </w:rPr>
      </w:pPr>
      <w:r w:rsidRPr="005E2453">
        <w:rPr>
          <w:rFonts w:ascii="Arial Narrow" w:hAnsi="Arial Narrow"/>
          <w:sz w:val="26"/>
          <w:szCs w:val="26"/>
        </w:rPr>
        <w:t>El ICETEX</w:t>
      </w:r>
      <w:r w:rsidR="009E5089" w:rsidRPr="005E2453">
        <w:rPr>
          <w:rStyle w:val="Refdenotaalpie"/>
          <w:rFonts w:ascii="Arial Narrow" w:hAnsi="Arial Narrow"/>
          <w:sz w:val="26"/>
          <w:szCs w:val="26"/>
          <w:lang w:val="es-CO"/>
        </w:rPr>
        <w:footnoteReference w:id="3"/>
      </w:r>
      <w:r w:rsidRPr="005E2453">
        <w:rPr>
          <w:rFonts w:ascii="Arial Narrow" w:hAnsi="Arial Narrow"/>
          <w:sz w:val="26"/>
          <w:szCs w:val="26"/>
        </w:rPr>
        <w:t xml:space="preserve"> </w:t>
      </w:r>
      <w:r w:rsidR="00EE4A91" w:rsidRPr="005E2453">
        <w:rPr>
          <w:rFonts w:ascii="Arial Narrow" w:hAnsi="Arial Narrow"/>
          <w:sz w:val="26"/>
          <w:szCs w:val="26"/>
        </w:rPr>
        <w:t xml:space="preserve">manifestó que: (i) la fecha de exigibilidad de la obligación por crédito estudiantil, en la que el accionante </w:t>
      </w:r>
      <w:r w:rsidR="00433E94" w:rsidRPr="005E2453">
        <w:rPr>
          <w:rFonts w:ascii="Arial Narrow" w:hAnsi="Arial Narrow"/>
          <w:sz w:val="26"/>
          <w:szCs w:val="26"/>
        </w:rPr>
        <w:t xml:space="preserve">figura como </w:t>
      </w:r>
      <w:r w:rsidR="00EE4A91" w:rsidRPr="005E2453">
        <w:rPr>
          <w:rFonts w:ascii="Arial Narrow" w:hAnsi="Arial Narrow"/>
          <w:sz w:val="26"/>
          <w:szCs w:val="26"/>
        </w:rPr>
        <w:t>codeudor, se registra a partir de octubre de 2015, fecha en la que se gene</w:t>
      </w:r>
      <w:r w:rsidR="00E07E2C" w:rsidRPr="005E2453">
        <w:rPr>
          <w:rFonts w:ascii="Arial Narrow" w:hAnsi="Arial Narrow"/>
          <w:sz w:val="26"/>
          <w:szCs w:val="26"/>
        </w:rPr>
        <w:t xml:space="preserve">ró la primera cuota del crédito; (ii) la mora consecutiva que generó el reporte en centrales de riesgo se presentó en los periodos de </w:t>
      </w:r>
      <w:r w:rsidR="00EE4A91" w:rsidRPr="005E2453">
        <w:rPr>
          <w:rFonts w:ascii="Arial Narrow" w:hAnsi="Arial Narrow"/>
          <w:sz w:val="26"/>
          <w:szCs w:val="26"/>
        </w:rPr>
        <w:t>novie</w:t>
      </w:r>
      <w:r w:rsidR="00E07E2C" w:rsidRPr="005E2453">
        <w:rPr>
          <w:rFonts w:ascii="Arial Narrow" w:hAnsi="Arial Narrow"/>
          <w:sz w:val="26"/>
          <w:szCs w:val="26"/>
        </w:rPr>
        <w:t>mbre de 2015 a mayo de</w:t>
      </w:r>
      <w:r w:rsidR="00EE4A91" w:rsidRPr="005E2453">
        <w:rPr>
          <w:rFonts w:ascii="Arial Narrow" w:hAnsi="Arial Narrow"/>
          <w:sz w:val="26"/>
          <w:szCs w:val="26"/>
        </w:rPr>
        <w:t xml:space="preserve"> 2017</w:t>
      </w:r>
      <w:r w:rsidR="00E07E2C" w:rsidRPr="005E2453">
        <w:rPr>
          <w:rFonts w:ascii="Arial Narrow" w:hAnsi="Arial Narrow"/>
          <w:sz w:val="26"/>
          <w:szCs w:val="26"/>
        </w:rPr>
        <w:t xml:space="preserve"> y de julio de 2017 a junio de</w:t>
      </w:r>
      <w:r w:rsidR="00EE4A91" w:rsidRPr="005E2453">
        <w:rPr>
          <w:rFonts w:ascii="Arial Narrow" w:hAnsi="Arial Narrow"/>
          <w:sz w:val="26"/>
          <w:szCs w:val="26"/>
        </w:rPr>
        <w:t xml:space="preserve"> 2020</w:t>
      </w:r>
      <w:r w:rsidR="007526E0" w:rsidRPr="005E2453">
        <w:rPr>
          <w:rFonts w:ascii="Arial Narrow" w:hAnsi="Arial Narrow"/>
          <w:sz w:val="26"/>
          <w:szCs w:val="26"/>
        </w:rPr>
        <w:t xml:space="preserve">; (iii) el periodo registrado ante esas centrales comprenden el </w:t>
      </w:r>
      <w:r w:rsidR="00433E94" w:rsidRPr="005E2453">
        <w:rPr>
          <w:rFonts w:ascii="Arial Narrow" w:hAnsi="Arial Narrow"/>
          <w:sz w:val="26"/>
          <w:szCs w:val="26"/>
        </w:rPr>
        <w:t>ciclo</w:t>
      </w:r>
      <w:r w:rsidR="007526E0" w:rsidRPr="005E2453">
        <w:rPr>
          <w:rFonts w:ascii="Arial Narrow" w:hAnsi="Arial Narrow"/>
          <w:sz w:val="26"/>
          <w:szCs w:val="26"/>
        </w:rPr>
        <w:t xml:space="preserve"> de marzo de 2018 a febrero de 2020</w:t>
      </w:r>
      <w:r w:rsidR="00433E94" w:rsidRPr="005E2453">
        <w:rPr>
          <w:rFonts w:ascii="Arial Narrow" w:hAnsi="Arial Narrow"/>
          <w:sz w:val="26"/>
          <w:szCs w:val="26"/>
        </w:rPr>
        <w:t>; (iv)</w:t>
      </w:r>
      <w:r w:rsidR="007526E0" w:rsidRPr="005E2453">
        <w:rPr>
          <w:rFonts w:ascii="Arial Narrow" w:hAnsi="Arial Narrow"/>
          <w:sz w:val="26"/>
          <w:szCs w:val="26"/>
        </w:rPr>
        <w:t xml:space="preserve"> previo a ese reporte, </w:t>
      </w:r>
      <w:r w:rsidR="00EE4A91" w:rsidRPr="005E2453">
        <w:rPr>
          <w:rFonts w:ascii="Arial Narrow" w:hAnsi="Arial Narrow"/>
          <w:sz w:val="26"/>
          <w:szCs w:val="26"/>
        </w:rPr>
        <w:t>en el mes de marzo de 2016,</w:t>
      </w:r>
      <w:r w:rsidR="007526E0" w:rsidRPr="005E2453">
        <w:rPr>
          <w:rFonts w:ascii="Arial Narrow" w:hAnsi="Arial Narrow"/>
          <w:sz w:val="26"/>
          <w:szCs w:val="26"/>
        </w:rPr>
        <w:t xml:space="preserve"> esa entidad decidió eliminar la información negativa, para con posterioridad de esa fecha notificar a los usuarios</w:t>
      </w:r>
      <w:r w:rsidR="00EE4A91" w:rsidRPr="005E2453">
        <w:rPr>
          <w:rFonts w:ascii="Arial Narrow" w:hAnsi="Arial Narrow"/>
          <w:sz w:val="26"/>
          <w:szCs w:val="26"/>
        </w:rPr>
        <w:t xml:space="preserve"> que</w:t>
      </w:r>
      <w:r w:rsidR="007526E0" w:rsidRPr="005E2453">
        <w:rPr>
          <w:rFonts w:ascii="Arial Narrow" w:hAnsi="Arial Narrow"/>
          <w:sz w:val="26"/>
          <w:szCs w:val="26"/>
        </w:rPr>
        <w:t xml:space="preserve"> presentaban mora para </w:t>
      </w:r>
      <w:r w:rsidR="00EE4A91" w:rsidRPr="005E2453">
        <w:rPr>
          <w:rFonts w:ascii="Arial Narrow" w:hAnsi="Arial Narrow"/>
          <w:sz w:val="26"/>
          <w:szCs w:val="26"/>
        </w:rPr>
        <w:t>ese momento</w:t>
      </w:r>
      <w:r w:rsidR="00433E94" w:rsidRPr="005E2453">
        <w:rPr>
          <w:rFonts w:ascii="Arial Narrow" w:hAnsi="Arial Narrow"/>
          <w:sz w:val="26"/>
          <w:szCs w:val="26"/>
        </w:rPr>
        <w:t>,</w:t>
      </w:r>
      <w:r w:rsidR="007526E0" w:rsidRPr="005E2453">
        <w:rPr>
          <w:rFonts w:ascii="Arial Narrow" w:hAnsi="Arial Narrow"/>
          <w:sz w:val="26"/>
          <w:szCs w:val="26"/>
        </w:rPr>
        <w:t xml:space="preserve"> que a partir del mismo</w:t>
      </w:r>
      <w:r w:rsidR="00433E94" w:rsidRPr="005E2453">
        <w:rPr>
          <w:rFonts w:ascii="Arial Narrow" w:hAnsi="Arial Narrow"/>
          <w:sz w:val="26"/>
          <w:szCs w:val="26"/>
        </w:rPr>
        <w:t xml:space="preserve"> se comenzaría </w:t>
      </w:r>
      <w:r w:rsidR="00EE4A91" w:rsidRPr="005E2453">
        <w:rPr>
          <w:rFonts w:ascii="Arial Narrow" w:hAnsi="Arial Narrow"/>
          <w:sz w:val="26"/>
          <w:szCs w:val="26"/>
        </w:rPr>
        <w:t>a generar los reportes</w:t>
      </w:r>
      <w:r w:rsidR="007526E0" w:rsidRPr="005E2453">
        <w:rPr>
          <w:rFonts w:ascii="Arial Narrow" w:hAnsi="Arial Narrow"/>
          <w:sz w:val="26"/>
          <w:szCs w:val="26"/>
        </w:rPr>
        <w:t xml:space="preserve"> </w:t>
      </w:r>
      <w:r w:rsidR="00EE4A91" w:rsidRPr="005E2453">
        <w:rPr>
          <w:rFonts w:ascii="Arial Narrow" w:hAnsi="Arial Narrow"/>
          <w:sz w:val="26"/>
          <w:szCs w:val="26"/>
        </w:rPr>
        <w:t xml:space="preserve">negativos correspondientes. </w:t>
      </w:r>
      <w:r w:rsidR="009B699A" w:rsidRPr="005E2453">
        <w:rPr>
          <w:rFonts w:ascii="Arial Narrow" w:hAnsi="Arial Narrow"/>
          <w:sz w:val="26"/>
          <w:szCs w:val="26"/>
        </w:rPr>
        <w:t>En este caso, la notificación previa al reporte fue enviada</w:t>
      </w:r>
      <w:r w:rsidR="007526E0" w:rsidRPr="005E2453">
        <w:rPr>
          <w:rFonts w:ascii="Arial Narrow" w:hAnsi="Arial Narrow"/>
          <w:sz w:val="26"/>
          <w:szCs w:val="26"/>
        </w:rPr>
        <w:t xml:space="preserve"> a la dirección residencial del</w:t>
      </w:r>
      <w:r w:rsidR="00433E94" w:rsidRPr="005E2453">
        <w:rPr>
          <w:rFonts w:ascii="Arial Narrow" w:hAnsi="Arial Narrow"/>
          <w:sz w:val="26"/>
          <w:szCs w:val="26"/>
        </w:rPr>
        <w:t xml:space="preserve"> beneficiario </w:t>
      </w:r>
      <w:r w:rsidR="007526E0" w:rsidRPr="005E2453">
        <w:rPr>
          <w:rFonts w:ascii="Arial Narrow" w:hAnsi="Arial Narrow"/>
          <w:sz w:val="26"/>
          <w:szCs w:val="26"/>
        </w:rPr>
        <w:t xml:space="preserve">que se encuentra registrada en su base de datos, información que se actualiza de manera periódica </w:t>
      </w:r>
      <w:r w:rsidR="00EE4A91" w:rsidRPr="005E2453">
        <w:rPr>
          <w:rFonts w:ascii="Arial Narrow" w:hAnsi="Arial Narrow"/>
          <w:sz w:val="26"/>
          <w:szCs w:val="26"/>
        </w:rPr>
        <w:t xml:space="preserve">mediante las llamadas </w:t>
      </w:r>
      <w:r w:rsidR="007526E0" w:rsidRPr="005E2453">
        <w:rPr>
          <w:rFonts w:ascii="Arial Narrow" w:hAnsi="Arial Narrow"/>
          <w:sz w:val="26"/>
          <w:szCs w:val="26"/>
        </w:rPr>
        <w:t>telefó</w:t>
      </w:r>
      <w:r w:rsidR="00433E94" w:rsidRPr="005E2453">
        <w:rPr>
          <w:rFonts w:ascii="Arial Narrow" w:hAnsi="Arial Narrow"/>
          <w:sz w:val="26"/>
          <w:szCs w:val="26"/>
        </w:rPr>
        <w:t>nicas u otros requerimientos</w:t>
      </w:r>
      <w:r w:rsidR="001853C2" w:rsidRPr="005E2453">
        <w:rPr>
          <w:rFonts w:ascii="Arial Narrow" w:hAnsi="Arial Narrow"/>
          <w:sz w:val="26"/>
          <w:szCs w:val="26"/>
        </w:rPr>
        <w:t>.</w:t>
      </w:r>
    </w:p>
    <w:p w14:paraId="40AAAC90" w14:textId="77777777" w:rsidR="001853C2" w:rsidRPr="005E2453" w:rsidRDefault="001853C2" w:rsidP="005E2453">
      <w:pPr>
        <w:pStyle w:val="Sinespaciado"/>
        <w:tabs>
          <w:tab w:val="left" w:pos="1750"/>
        </w:tabs>
        <w:spacing w:line="276" w:lineRule="auto"/>
        <w:jc w:val="both"/>
        <w:rPr>
          <w:rFonts w:ascii="Arial Narrow" w:hAnsi="Arial Narrow"/>
          <w:sz w:val="26"/>
          <w:szCs w:val="26"/>
        </w:rPr>
      </w:pPr>
    </w:p>
    <w:p w14:paraId="6EAAF191" w14:textId="77777777" w:rsidR="00387DB0" w:rsidRPr="005E2453" w:rsidRDefault="00BC0601" w:rsidP="005E2453">
      <w:pPr>
        <w:pStyle w:val="Sinespaciado"/>
        <w:tabs>
          <w:tab w:val="left" w:pos="1750"/>
        </w:tabs>
        <w:spacing w:line="276" w:lineRule="auto"/>
        <w:jc w:val="both"/>
        <w:rPr>
          <w:rFonts w:ascii="Arial Narrow" w:hAnsi="Arial Narrow"/>
          <w:sz w:val="26"/>
          <w:szCs w:val="26"/>
          <w:lang w:val="es-CO"/>
        </w:rPr>
      </w:pPr>
      <w:r w:rsidRPr="005E2453">
        <w:rPr>
          <w:rFonts w:ascii="Arial Narrow" w:hAnsi="Arial Narrow"/>
          <w:sz w:val="26"/>
          <w:szCs w:val="26"/>
        </w:rPr>
        <w:t>Continuó resaltado que</w:t>
      </w:r>
      <w:r w:rsidR="00433E94" w:rsidRPr="005E2453">
        <w:rPr>
          <w:rFonts w:ascii="Arial Narrow" w:hAnsi="Arial Narrow"/>
          <w:sz w:val="26"/>
          <w:szCs w:val="26"/>
        </w:rPr>
        <w:t xml:space="preserve"> (</w:t>
      </w:r>
      <w:r w:rsidR="007526E0" w:rsidRPr="005E2453">
        <w:rPr>
          <w:rFonts w:ascii="Arial Narrow" w:hAnsi="Arial Narrow"/>
          <w:sz w:val="26"/>
          <w:szCs w:val="26"/>
        </w:rPr>
        <w:t xml:space="preserve">v) con la firma del respectivo </w:t>
      </w:r>
      <w:r w:rsidR="00EE4A91" w:rsidRPr="005E2453">
        <w:rPr>
          <w:rFonts w:ascii="Arial Narrow" w:hAnsi="Arial Narrow"/>
          <w:sz w:val="26"/>
          <w:szCs w:val="26"/>
        </w:rPr>
        <w:t xml:space="preserve">pagaré se </w:t>
      </w:r>
      <w:r w:rsidR="00433E94" w:rsidRPr="005E2453">
        <w:rPr>
          <w:rFonts w:ascii="Arial Narrow" w:hAnsi="Arial Narrow"/>
          <w:sz w:val="26"/>
          <w:szCs w:val="26"/>
        </w:rPr>
        <w:t>autoriza de forma</w:t>
      </w:r>
      <w:r w:rsidR="00EE4A91" w:rsidRPr="005E2453">
        <w:rPr>
          <w:rFonts w:ascii="Arial Narrow" w:hAnsi="Arial Narrow"/>
          <w:sz w:val="26"/>
          <w:szCs w:val="26"/>
        </w:rPr>
        <w:t xml:space="preserve"> previa y expresa </w:t>
      </w:r>
      <w:r w:rsidRPr="005E2453">
        <w:rPr>
          <w:rFonts w:ascii="Arial Narrow" w:hAnsi="Arial Narrow"/>
          <w:sz w:val="26"/>
          <w:szCs w:val="26"/>
        </w:rPr>
        <w:t>su</w:t>
      </w:r>
      <w:r w:rsidR="00433E94" w:rsidRPr="005E2453">
        <w:rPr>
          <w:rFonts w:ascii="Arial Narrow" w:hAnsi="Arial Narrow"/>
          <w:sz w:val="26"/>
          <w:szCs w:val="26"/>
        </w:rPr>
        <w:t xml:space="preserve"> generación </w:t>
      </w:r>
      <w:r w:rsidRPr="005E2453">
        <w:rPr>
          <w:rFonts w:ascii="Arial Narrow" w:hAnsi="Arial Narrow"/>
          <w:sz w:val="26"/>
          <w:szCs w:val="26"/>
        </w:rPr>
        <w:t>ante l</w:t>
      </w:r>
      <w:r w:rsidR="00433E94" w:rsidRPr="005E2453">
        <w:rPr>
          <w:rFonts w:ascii="Arial Narrow" w:hAnsi="Arial Narrow"/>
          <w:sz w:val="26"/>
          <w:szCs w:val="26"/>
        </w:rPr>
        <w:t>a</w:t>
      </w:r>
      <w:r w:rsidRPr="005E2453">
        <w:rPr>
          <w:rFonts w:ascii="Arial Narrow" w:hAnsi="Arial Narrow"/>
          <w:sz w:val="26"/>
          <w:szCs w:val="26"/>
        </w:rPr>
        <w:t>s</w:t>
      </w:r>
      <w:r w:rsidR="00433E94" w:rsidRPr="005E2453">
        <w:rPr>
          <w:rFonts w:ascii="Arial Narrow" w:hAnsi="Arial Narrow"/>
          <w:sz w:val="26"/>
          <w:szCs w:val="26"/>
        </w:rPr>
        <w:t xml:space="preserve"> centrales de riesgo</w:t>
      </w:r>
      <w:r w:rsidR="007526E0" w:rsidRPr="005E2453">
        <w:rPr>
          <w:rFonts w:ascii="Arial Narrow" w:hAnsi="Arial Narrow"/>
          <w:sz w:val="26"/>
          <w:szCs w:val="26"/>
        </w:rPr>
        <w:t>; (v</w:t>
      </w:r>
      <w:r w:rsidR="00433E94" w:rsidRPr="005E2453">
        <w:rPr>
          <w:rFonts w:ascii="Arial Narrow" w:hAnsi="Arial Narrow"/>
          <w:sz w:val="26"/>
          <w:szCs w:val="26"/>
        </w:rPr>
        <w:t>i</w:t>
      </w:r>
      <w:r w:rsidR="007526E0" w:rsidRPr="005E2453">
        <w:rPr>
          <w:rFonts w:ascii="Arial Narrow" w:hAnsi="Arial Narrow"/>
          <w:sz w:val="26"/>
          <w:szCs w:val="26"/>
        </w:rPr>
        <w:t xml:space="preserve">) </w:t>
      </w:r>
      <w:r w:rsidR="00D41891" w:rsidRPr="005E2453">
        <w:rPr>
          <w:rFonts w:ascii="Arial Narrow" w:hAnsi="Arial Narrow"/>
          <w:sz w:val="26"/>
          <w:szCs w:val="26"/>
        </w:rPr>
        <w:t>el proceder de la entidad ha sido conforme a ordenamiento legal</w:t>
      </w:r>
      <w:r w:rsidR="004A1F54" w:rsidRPr="005E2453">
        <w:rPr>
          <w:rFonts w:ascii="Arial Narrow" w:hAnsi="Arial Narrow"/>
          <w:sz w:val="26"/>
          <w:szCs w:val="26"/>
        </w:rPr>
        <w:t xml:space="preserve">, así como </w:t>
      </w:r>
      <w:r w:rsidR="00D41891" w:rsidRPr="005E2453">
        <w:rPr>
          <w:rFonts w:ascii="Arial Narrow" w:hAnsi="Arial Narrow"/>
          <w:sz w:val="26"/>
          <w:szCs w:val="26"/>
        </w:rPr>
        <w:t xml:space="preserve">la permanencia de la información negativa en </w:t>
      </w:r>
      <w:proofErr w:type="spellStart"/>
      <w:r w:rsidR="00D41891" w:rsidRPr="005E2453">
        <w:rPr>
          <w:rFonts w:ascii="Arial Narrow" w:hAnsi="Arial Narrow"/>
          <w:sz w:val="26"/>
          <w:szCs w:val="26"/>
        </w:rPr>
        <w:t>Datacrédito</w:t>
      </w:r>
      <w:proofErr w:type="spellEnd"/>
      <w:r w:rsidR="00D41891" w:rsidRPr="005E2453">
        <w:rPr>
          <w:rFonts w:ascii="Arial Narrow" w:hAnsi="Arial Narrow"/>
          <w:sz w:val="26"/>
          <w:szCs w:val="26"/>
        </w:rPr>
        <w:t xml:space="preserve"> y </w:t>
      </w:r>
      <w:proofErr w:type="spellStart"/>
      <w:r w:rsidR="00D41891" w:rsidRPr="005E2453">
        <w:rPr>
          <w:rFonts w:ascii="Arial Narrow" w:hAnsi="Arial Narrow"/>
          <w:sz w:val="26"/>
          <w:szCs w:val="26"/>
        </w:rPr>
        <w:t>Trans</w:t>
      </w:r>
      <w:r w:rsidR="00CB700F" w:rsidRPr="005E2453">
        <w:rPr>
          <w:rFonts w:ascii="Arial Narrow" w:hAnsi="Arial Narrow"/>
          <w:sz w:val="26"/>
          <w:szCs w:val="26"/>
        </w:rPr>
        <w:t>U</w:t>
      </w:r>
      <w:r w:rsidR="00D41891" w:rsidRPr="005E2453">
        <w:rPr>
          <w:rFonts w:ascii="Arial Narrow" w:hAnsi="Arial Narrow"/>
          <w:sz w:val="26"/>
          <w:szCs w:val="26"/>
        </w:rPr>
        <w:t>nión</w:t>
      </w:r>
      <w:proofErr w:type="spellEnd"/>
      <w:r w:rsidR="00D41891" w:rsidRPr="005E2453">
        <w:rPr>
          <w:rFonts w:ascii="Arial Narrow" w:hAnsi="Arial Narrow"/>
          <w:sz w:val="26"/>
          <w:szCs w:val="26"/>
        </w:rPr>
        <w:t>; (vi</w:t>
      </w:r>
      <w:r w:rsidR="00433E94" w:rsidRPr="005E2453">
        <w:rPr>
          <w:rFonts w:ascii="Arial Narrow" w:hAnsi="Arial Narrow"/>
          <w:sz w:val="26"/>
          <w:szCs w:val="26"/>
        </w:rPr>
        <w:t>i</w:t>
      </w:r>
      <w:r w:rsidR="00D41891" w:rsidRPr="005E2453">
        <w:rPr>
          <w:rFonts w:ascii="Arial Narrow" w:hAnsi="Arial Narrow"/>
          <w:sz w:val="26"/>
          <w:szCs w:val="26"/>
        </w:rPr>
        <w:t>)</w:t>
      </w:r>
      <w:r w:rsidR="0085703A" w:rsidRPr="005E2453">
        <w:rPr>
          <w:rFonts w:ascii="Arial Narrow" w:hAnsi="Arial Narrow"/>
          <w:sz w:val="26"/>
          <w:szCs w:val="26"/>
        </w:rPr>
        <w:t xml:space="preserve"> </w:t>
      </w:r>
      <w:r w:rsidR="004A1F54" w:rsidRPr="005E2453">
        <w:rPr>
          <w:rFonts w:ascii="Arial Narrow" w:hAnsi="Arial Narrow"/>
          <w:sz w:val="26"/>
          <w:szCs w:val="26"/>
        </w:rPr>
        <w:t xml:space="preserve">que </w:t>
      </w:r>
      <w:r w:rsidR="0085703A" w:rsidRPr="005E2453">
        <w:rPr>
          <w:rFonts w:ascii="Arial Narrow" w:hAnsi="Arial Narrow"/>
          <w:sz w:val="26"/>
          <w:szCs w:val="26"/>
        </w:rPr>
        <w:t xml:space="preserve">todo lo anterior fue puesto en conocimiento del </w:t>
      </w:r>
      <w:r w:rsidR="00433E94" w:rsidRPr="005E2453">
        <w:rPr>
          <w:rFonts w:ascii="Arial Narrow" w:hAnsi="Arial Narrow"/>
          <w:sz w:val="26"/>
          <w:szCs w:val="26"/>
        </w:rPr>
        <w:t>tutelante, mediante respuesta al</w:t>
      </w:r>
      <w:r w:rsidR="0085703A" w:rsidRPr="005E2453">
        <w:rPr>
          <w:rFonts w:ascii="Arial Narrow" w:hAnsi="Arial Narrow"/>
          <w:sz w:val="26"/>
          <w:szCs w:val="26"/>
        </w:rPr>
        <w:t xml:space="preserve"> derecho</w:t>
      </w:r>
      <w:r w:rsidR="00433E94" w:rsidRPr="005E2453">
        <w:rPr>
          <w:rFonts w:ascii="Arial Narrow" w:hAnsi="Arial Narrow"/>
          <w:sz w:val="26"/>
          <w:szCs w:val="26"/>
        </w:rPr>
        <w:t xml:space="preserve"> de petición enviada a sus direcciones de contacto y</w:t>
      </w:r>
      <w:r w:rsidR="0085703A" w:rsidRPr="005E2453">
        <w:rPr>
          <w:rFonts w:ascii="Arial Narrow" w:hAnsi="Arial Narrow"/>
          <w:sz w:val="26"/>
          <w:szCs w:val="26"/>
        </w:rPr>
        <w:t xml:space="preserve"> (</w:t>
      </w:r>
      <w:proofErr w:type="spellStart"/>
      <w:r w:rsidR="0085703A" w:rsidRPr="005E2453">
        <w:rPr>
          <w:rFonts w:ascii="Arial Narrow" w:hAnsi="Arial Narrow"/>
          <w:sz w:val="26"/>
          <w:szCs w:val="26"/>
        </w:rPr>
        <w:t>vii</w:t>
      </w:r>
      <w:r w:rsidR="00433E94" w:rsidRPr="005E2453">
        <w:rPr>
          <w:rFonts w:ascii="Arial Narrow" w:hAnsi="Arial Narrow"/>
          <w:sz w:val="26"/>
          <w:szCs w:val="26"/>
        </w:rPr>
        <w:t>i</w:t>
      </w:r>
      <w:proofErr w:type="spellEnd"/>
      <w:r w:rsidR="0085703A" w:rsidRPr="005E2453">
        <w:rPr>
          <w:rFonts w:ascii="Arial Narrow" w:hAnsi="Arial Narrow"/>
          <w:sz w:val="26"/>
          <w:szCs w:val="26"/>
        </w:rPr>
        <w:t>) el amparo es improcedente como quiera que los reportes realizados a centrales de riesgo se encuentran debidamente sustentados en las normas legales. En adición</w:t>
      </w:r>
      <w:r w:rsidR="00433E94" w:rsidRPr="005E2453">
        <w:rPr>
          <w:rFonts w:ascii="Arial Narrow" w:hAnsi="Arial Narrow"/>
          <w:sz w:val="26"/>
          <w:szCs w:val="26"/>
        </w:rPr>
        <w:t>,</w:t>
      </w:r>
      <w:r w:rsidR="0085703A" w:rsidRPr="005E2453">
        <w:rPr>
          <w:rFonts w:ascii="Arial Narrow" w:hAnsi="Arial Narrow"/>
          <w:sz w:val="26"/>
          <w:szCs w:val="26"/>
        </w:rPr>
        <w:t xml:space="preserve"> la tutela no es el medio para dirimir conflictos de carácter económico, fin para el cual el legislador ha contemplado otros mecanismos de defensa judicial.</w:t>
      </w:r>
    </w:p>
    <w:p w14:paraId="2F024A80" w14:textId="77777777" w:rsidR="00387DB0" w:rsidRPr="005E2453" w:rsidRDefault="00387DB0" w:rsidP="005E2453">
      <w:pPr>
        <w:pStyle w:val="Sinespaciado"/>
        <w:tabs>
          <w:tab w:val="left" w:pos="1750"/>
        </w:tabs>
        <w:spacing w:line="276" w:lineRule="auto"/>
        <w:jc w:val="both"/>
        <w:rPr>
          <w:rFonts w:ascii="Arial Narrow" w:hAnsi="Arial Narrow"/>
          <w:sz w:val="26"/>
          <w:szCs w:val="26"/>
        </w:rPr>
      </w:pPr>
      <w:r w:rsidRPr="005E2453">
        <w:rPr>
          <w:rFonts w:ascii="Arial Narrow" w:hAnsi="Arial Narrow"/>
          <w:sz w:val="26"/>
          <w:szCs w:val="26"/>
          <w:lang w:val="es-CO"/>
        </w:rPr>
        <w:t xml:space="preserve"> </w:t>
      </w:r>
    </w:p>
    <w:p w14:paraId="05F0F00A" w14:textId="77777777" w:rsidR="00332426" w:rsidRPr="005E2453" w:rsidRDefault="008F7185" w:rsidP="005E2453">
      <w:pPr>
        <w:pStyle w:val="Sinespaciado"/>
        <w:tabs>
          <w:tab w:val="left" w:pos="1750"/>
        </w:tabs>
        <w:spacing w:line="276" w:lineRule="auto"/>
        <w:jc w:val="both"/>
        <w:rPr>
          <w:rFonts w:ascii="Arial Narrow" w:hAnsi="Arial Narrow"/>
          <w:sz w:val="26"/>
          <w:szCs w:val="26"/>
          <w:lang w:val="es-CO"/>
        </w:rPr>
      </w:pPr>
      <w:r w:rsidRPr="005E2453">
        <w:rPr>
          <w:rFonts w:ascii="Arial Narrow" w:hAnsi="Arial Narrow"/>
          <w:b/>
          <w:sz w:val="26"/>
          <w:szCs w:val="26"/>
        </w:rPr>
        <w:lastRenderedPageBreak/>
        <w:t xml:space="preserve">3. </w:t>
      </w:r>
      <w:r w:rsidR="003B1A9F" w:rsidRPr="005E2453">
        <w:rPr>
          <w:rFonts w:ascii="Arial Narrow" w:hAnsi="Arial Narrow"/>
          <w:b/>
          <w:sz w:val="26"/>
          <w:szCs w:val="26"/>
        </w:rPr>
        <w:t>Sentencia impugnada</w:t>
      </w:r>
      <w:r w:rsidR="00E65641" w:rsidRPr="005E2453">
        <w:rPr>
          <w:rStyle w:val="Refdenotaalpie"/>
          <w:rFonts w:ascii="Arial Narrow" w:hAnsi="Arial Narrow"/>
          <w:sz w:val="26"/>
          <w:szCs w:val="26"/>
          <w:lang w:val="es-CO"/>
        </w:rPr>
        <w:footnoteReference w:id="4"/>
      </w:r>
      <w:r w:rsidR="003B1A9F" w:rsidRPr="005E2453">
        <w:rPr>
          <w:rFonts w:ascii="Arial Narrow" w:hAnsi="Arial Narrow"/>
          <w:sz w:val="26"/>
          <w:szCs w:val="26"/>
        </w:rPr>
        <w:t>: En providencia</w:t>
      </w:r>
      <w:r w:rsidRPr="005E2453">
        <w:rPr>
          <w:rFonts w:ascii="Arial Narrow" w:hAnsi="Arial Narrow"/>
          <w:sz w:val="26"/>
          <w:szCs w:val="26"/>
        </w:rPr>
        <w:t xml:space="preserve"> del </w:t>
      </w:r>
      <w:r w:rsidR="0085703A" w:rsidRPr="005E2453">
        <w:rPr>
          <w:rFonts w:ascii="Arial Narrow" w:hAnsi="Arial Narrow"/>
          <w:sz w:val="26"/>
          <w:szCs w:val="26"/>
        </w:rPr>
        <w:t>13</w:t>
      </w:r>
      <w:r w:rsidRPr="005E2453">
        <w:rPr>
          <w:rFonts w:ascii="Arial Narrow" w:hAnsi="Arial Narrow"/>
          <w:sz w:val="26"/>
          <w:szCs w:val="26"/>
        </w:rPr>
        <w:t xml:space="preserve"> de </w:t>
      </w:r>
      <w:r w:rsidR="0085703A" w:rsidRPr="005E2453">
        <w:rPr>
          <w:rFonts w:ascii="Arial Narrow" w:hAnsi="Arial Narrow"/>
          <w:sz w:val="26"/>
          <w:szCs w:val="26"/>
        </w:rPr>
        <w:t>jul</w:t>
      </w:r>
      <w:r w:rsidR="00387DB0" w:rsidRPr="005E2453">
        <w:rPr>
          <w:rFonts w:ascii="Arial Narrow" w:hAnsi="Arial Narrow"/>
          <w:sz w:val="26"/>
          <w:szCs w:val="26"/>
        </w:rPr>
        <w:t>io</w:t>
      </w:r>
      <w:r w:rsidRPr="005E2453">
        <w:rPr>
          <w:rFonts w:ascii="Arial Narrow" w:hAnsi="Arial Narrow"/>
          <w:sz w:val="26"/>
          <w:szCs w:val="26"/>
        </w:rPr>
        <w:t xml:space="preserve"> último el juzgado de primera sede resolvió </w:t>
      </w:r>
      <w:r w:rsidR="009933E7" w:rsidRPr="005E2453">
        <w:rPr>
          <w:rFonts w:ascii="Arial Narrow" w:hAnsi="Arial Narrow"/>
          <w:sz w:val="26"/>
          <w:szCs w:val="26"/>
        </w:rPr>
        <w:t>declarar improcedente la acción de tutela.</w:t>
      </w:r>
      <w:r w:rsidR="00332426" w:rsidRPr="005E2453">
        <w:rPr>
          <w:rFonts w:ascii="Arial Narrow" w:hAnsi="Arial Narrow"/>
          <w:sz w:val="26"/>
          <w:szCs w:val="26"/>
        </w:rPr>
        <w:t xml:space="preserve"> Ello </w:t>
      </w:r>
      <w:r w:rsidR="003A4647" w:rsidRPr="005E2453">
        <w:rPr>
          <w:rFonts w:ascii="Arial Narrow" w:hAnsi="Arial Narrow"/>
          <w:sz w:val="26"/>
          <w:szCs w:val="26"/>
        </w:rPr>
        <w:t>tras considerar</w:t>
      </w:r>
      <w:r w:rsidR="009933E7" w:rsidRPr="005E2453">
        <w:rPr>
          <w:rFonts w:ascii="Arial Narrow" w:hAnsi="Arial Narrow"/>
          <w:sz w:val="26"/>
          <w:szCs w:val="26"/>
        </w:rPr>
        <w:t xml:space="preserve"> que si bien los derechos al buen nombre</w:t>
      </w:r>
      <w:r w:rsidR="003A4647" w:rsidRPr="005E2453">
        <w:rPr>
          <w:rFonts w:ascii="Arial Narrow" w:hAnsi="Arial Narrow"/>
          <w:sz w:val="26"/>
          <w:szCs w:val="26"/>
        </w:rPr>
        <w:t>,</w:t>
      </w:r>
      <w:r w:rsidR="009933E7" w:rsidRPr="005E2453">
        <w:rPr>
          <w:rFonts w:ascii="Arial Narrow" w:hAnsi="Arial Narrow"/>
          <w:sz w:val="26"/>
          <w:szCs w:val="26"/>
        </w:rPr>
        <w:t xml:space="preserve"> intimidad y hábeas data, son susceptibles de amparo por esta vía constitucional, para ese efecto debe concurrir, además </w:t>
      </w:r>
      <w:r w:rsidR="00433E94" w:rsidRPr="005E2453">
        <w:rPr>
          <w:rFonts w:ascii="Arial Narrow" w:hAnsi="Arial Narrow"/>
          <w:sz w:val="26"/>
          <w:szCs w:val="26"/>
        </w:rPr>
        <w:t xml:space="preserve">de una clara lesión, la existencia </w:t>
      </w:r>
      <w:r w:rsidR="009933E7" w:rsidRPr="005E2453">
        <w:rPr>
          <w:rFonts w:ascii="Arial Narrow" w:hAnsi="Arial Narrow"/>
          <w:sz w:val="26"/>
          <w:szCs w:val="26"/>
        </w:rPr>
        <w:t>de un perjuicio irremediable que convierta a los mecanismos ordinarios judiciales en ineficaces. En este asunto, en la demanda no se alega situación especial en ese sentido, ni se puede evidenciar en el sumario circunstancias de</w:t>
      </w:r>
      <w:r w:rsidR="009933E7" w:rsidRPr="005E2453">
        <w:rPr>
          <w:rFonts w:ascii="Arial Narrow" w:hAnsi="Arial Narrow"/>
          <w:sz w:val="26"/>
          <w:szCs w:val="26"/>
          <w:lang w:val="es-CO"/>
        </w:rPr>
        <w:t xml:space="preserve"> urgencia, gravedad, inminencia e </w:t>
      </w:r>
      <w:proofErr w:type="spellStart"/>
      <w:r w:rsidR="009933E7" w:rsidRPr="005E2453">
        <w:rPr>
          <w:rFonts w:ascii="Arial Narrow" w:hAnsi="Arial Narrow"/>
          <w:sz w:val="26"/>
          <w:szCs w:val="26"/>
          <w:lang w:val="es-CO"/>
        </w:rPr>
        <w:t>impostergabilidad</w:t>
      </w:r>
      <w:proofErr w:type="spellEnd"/>
      <w:r w:rsidR="009933E7" w:rsidRPr="005E2453">
        <w:rPr>
          <w:rFonts w:ascii="Arial Narrow" w:hAnsi="Arial Narrow"/>
          <w:sz w:val="26"/>
          <w:szCs w:val="26"/>
          <w:lang w:val="es-CO"/>
        </w:rPr>
        <w:t xml:space="preserve"> que conviertan a la tutela en el único medio para acceder a la protección requerida</w:t>
      </w:r>
      <w:r w:rsidR="000C227C" w:rsidRPr="005E2453">
        <w:rPr>
          <w:rFonts w:ascii="Arial Narrow" w:hAnsi="Arial Narrow"/>
          <w:sz w:val="26"/>
          <w:szCs w:val="26"/>
          <w:lang w:val="es-CO"/>
        </w:rPr>
        <w:t>, existiendo otros a los cuales el interesado puede recurrir, por ejemplo</w:t>
      </w:r>
      <w:r w:rsidR="00535EB2" w:rsidRPr="005E2453">
        <w:rPr>
          <w:rFonts w:ascii="Arial Narrow" w:hAnsi="Arial Narrow"/>
          <w:sz w:val="26"/>
          <w:szCs w:val="26"/>
          <w:lang w:val="es-CO"/>
        </w:rPr>
        <w:t>,</w:t>
      </w:r>
      <w:r w:rsidR="000C227C" w:rsidRPr="005E2453">
        <w:rPr>
          <w:rFonts w:ascii="Arial Narrow" w:hAnsi="Arial Narrow"/>
          <w:sz w:val="26"/>
          <w:szCs w:val="26"/>
          <w:lang w:val="es-CO"/>
        </w:rPr>
        <w:t xml:space="preserve"> acciones ante los jueces civiles.</w:t>
      </w:r>
    </w:p>
    <w:p w14:paraId="07355374" w14:textId="77777777" w:rsidR="008F7185" w:rsidRPr="005E2453" w:rsidRDefault="008F7185" w:rsidP="005E2453">
      <w:pPr>
        <w:pStyle w:val="Sinespaciado"/>
        <w:tabs>
          <w:tab w:val="left" w:pos="1750"/>
        </w:tabs>
        <w:spacing w:line="276" w:lineRule="auto"/>
        <w:jc w:val="both"/>
        <w:rPr>
          <w:rFonts w:ascii="Arial Narrow" w:hAnsi="Arial Narrow"/>
          <w:iCs/>
          <w:sz w:val="26"/>
          <w:szCs w:val="26"/>
          <w:lang w:val="es-CO"/>
        </w:rPr>
      </w:pPr>
    </w:p>
    <w:p w14:paraId="23CF35E0" w14:textId="77777777" w:rsidR="001E370C" w:rsidRPr="005E2453" w:rsidRDefault="008F7185" w:rsidP="005E2453">
      <w:pPr>
        <w:pStyle w:val="Sinespaciado"/>
        <w:tabs>
          <w:tab w:val="left" w:pos="1750"/>
        </w:tabs>
        <w:spacing w:line="276" w:lineRule="auto"/>
        <w:jc w:val="both"/>
        <w:rPr>
          <w:rFonts w:ascii="Arial Narrow" w:hAnsi="Arial Narrow"/>
          <w:sz w:val="26"/>
          <w:szCs w:val="26"/>
          <w:lang w:val="es-CO"/>
        </w:rPr>
      </w:pPr>
      <w:r w:rsidRPr="005E2453">
        <w:rPr>
          <w:rFonts w:ascii="Arial Narrow" w:hAnsi="Arial Narrow"/>
          <w:b/>
          <w:sz w:val="26"/>
          <w:szCs w:val="26"/>
        </w:rPr>
        <w:t>4.</w:t>
      </w:r>
      <w:r w:rsidR="003B1A9F" w:rsidRPr="005E2453">
        <w:rPr>
          <w:rFonts w:ascii="Arial Narrow" w:hAnsi="Arial Narrow"/>
          <w:b/>
          <w:sz w:val="26"/>
          <w:szCs w:val="26"/>
        </w:rPr>
        <w:t xml:space="preserve"> Impugnación</w:t>
      </w:r>
      <w:r w:rsidR="00E65641" w:rsidRPr="005E2453">
        <w:rPr>
          <w:rStyle w:val="Refdenotaalpie"/>
          <w:rFonts w:ascii="Arial Narrow" w:hAnsi="Arial Narrow"/>
          <w:sz w:val="26"/>
          <w:szCs w:val="26"/>
          <w:lang w:val="es-CO"/>
        </w:rPr>
        <w:footnoteReference w:id="5"/>
      </w:r>
      <w:r w:rsidR="003B1A9F" w:rsidRPr="005E2453">
        <w:rPr>
          <w:rFonts w:ascii="Arial Narrow" w:hAnsi="Arial Narrow"/>
          <w:b/>
          <w:sz w:val="26"/>
          <w:szCs w:val="26"/>
        </w:rPr>
        <w:t>:</w:t>
      </w:r>
      <w:r w:rsidRPr="005E2453">
        <w:rPr>
          <w:rFonts w:ascii="Arial Narrow" w:hAnsi="Arial Narrow"/>
          <w:sz w:val="26"/>
          <w:szCs w:val="26"/>
        </w:rPr>
        <w:t xml:space="preserve"> </w:t>
      </w:r>
      <w:r w:rsidR="00BE3695" w:rsidRPr="005E2453">
        <w:rPr>
          <w:rFonts w:ascii="Arial Narrow" w:hAnsi="Arial Narrow"/>
          <w:sz w:val="26"/>
          <w:szCs w:val="26"/>
          <w:lang w:val="es-CO"/>
        </w:rPr>
        <w:t>La parte actora solicita se revoque el fallo de primer nivel, con sustento en que la jurisprudencia constitucional es clara en indicar que el amparo resulta procedente para salvaguardar los derechos al hábeas data</w:t>
      </w:r>
      <w:r w:rsidR="002C2A4D" w:rsidRPr="005E2453">
        <w:rPr>
          <w:rFonts w:ascii="Arial Narrow" w:hAnsi="Arial Narrow"/>
          <w:sz w:val="26"/>
          <w:szCs w:val="26"/>
          <w:lang w:val="es-CO"/>
        </w:rPr>
        <w:t>,</w:t>
      </w:r>
      <w:r w:rsidR="00BE3695" w:rsidRPr="005E2453">
        <w:rPr>
          <w:rFonts w:ascii="Arial Narrow" w:hAnsi="Arial Narrow"/>
          <w:sz w:val="26"/>
          <w:szCs w:val="26"/>
          <w:lang w:val="es-CO"/>
        </w:rPr>
        <w:t xml:space="preserve"> buen nombre</w:t>
      </w:r>
      <w:r w:rsidR="002C2A4D" w:rsidRPr="005E2453">
        <w:rPr>
          <w:rFonts w:ascii="Arial Narrow" w:hAnsi="Arial Narrow"/>
          <w:sz w:val="26"/>
          <w:szCs w:val="26"/>
          <w:lang w:val="es-CO"/>
        </w:rPr>
        <w:t xml:space="preserve"> y debido proceso</w:t>
      </w:r>
      <w:r w:rsidR="00BE3695" w:rsidRPr="005E2453">
        <w:rPr>
          <w:rFonts w:ascii="Arial Narrow" w:hAnsi="Arial Narrow"/>
          <w:sz w:val="26"/>
          <w:szCs w:val="26"/>
          <w:lang w:val="es-CO"/>
        </w:rPr>
        <w:t>, siempre y cuando s</w:t>
      </w:r>
      <w:r w:rsidR="002C2A4D" w:rsidRPr="005E2453">
        <w:rPr>
          <w:rFonts w:ascii="Arial Narrow" w:hAnsi="Arial Narrow"/>
          <w:sz w:val="26"/>
          <w:szCs w:val="26"/>
          <w:lang w:val="es-CO"/>
        </w:rPr>
        <w:t>e</w:t>
      </w:r>
      <w:r w:rsidR="00BE3695" w:rsidRPr="005E2453">
        <w:rPr>
          <w:rFonts w:ascii="Arial Narrow" w:hAnsi="Arial Narrow"/>
          <w:sz w:val="26"/>
          <w:szCs w:val="26"/>
          <w:lang w:val="es-CO"/>
        </w:rPr>
        <w:t xml:space="preserve"> haya acudido a la entidad privada para solicitar la rectificación de los </w:t>
      </w:r>
      <w:r w:rsidR="00105FC4" w:rsidRPr="005E2453">
        <w:rPr>
          <w:rFonts w:ascii="Arial Narrow" w:hAnsi="Arial Narrow"/>
          <w:sz w:val="26"/>
          <w:szCs w:val="26"/>
          <w:lang w:val="es-CO"/>
        </w:rPr>
        <w:t xml:space="preserve">datos </w:t>
      </w:r>
      <w:r w:rsidR="00BE3695" w:rsidRPr="005E2453">
        <w:rPr>
          <w:rFonts w:ascii="Arial Narrow" w:hAnsi="Arial Narrow"/>
          <w:sz w:val="26"/>
          <w:szCs w:val="26"/>
          <w:lang w:val="es-CO"/>
        </w:rPr>
        <w:t>registrados en las centrales de riesgo. La lesión se encuentra acreditada por el incumplimiento de las normas que regulan la materia, como quiera que</w:t>
      </w:r>
      <w:r w:rsidR="00433E94" w:rsidRPr="005E2453">
        <w:rPr>
          <w:rFonts w:ascii="Arial Narrow" w:hAnsi="Arial Narrow"/>
          <w:sz w:val="26"/>
          <w:szCs w:val="26"/>
          <w:lang w:val="es-CO"/>
        </w:rPr>
        <w:t xml:space="preserve"> se</w:t>
      </w:r>
      <w:r w:rsidR="00BE3695" w:rsidRPr="005E2453">
        <w:rPr>
          <w:rFonts w:ascii="Arial Narrow" w:hAnsi="Arial Narrow"/>
          <w:sz w:val="26"/>
          <w:szCs w:val="26"/>
          <w:lang w:val="es-CO"/>
        </w:rPr>
        <w:t xml:space="preserve"> omitió realizar la notificación previa al reporte, tal como se indicó en la demanda, en notorio abuso de </w:t>
      </w:r>
      <w:r w:rsidR="00433E94" w:rsidRPr="005E2453">
        <w:rPr>
          <w:rFonts w:ascii="Arial Narrow" w:hAnsi="Arial Narrow"/>
          <w:sz w:val="26"/>
          <w:szCs w:val="26"/>
          <w:lang w:val="es-CO"/>
        </w:rPr>
        <w:t>la</w:t>
      </w:r>
      <w:r w:rsidR="00BE3695" w:rsidRPr="005E2453">
        <w:rPr>
          <w:rFonts w:ascii="Arial Narrow" w:hAnsi="Arial Narrow"/>
          <w:sz w:val="26"/>
          <w:szCs w:val="26"/>
          <w:lang w:val="es-CO"/>
        </w:rPr>
        <w:t xml:space="preserve"> posición dominante</w:t>
      </w:r>
      <w:r w:rsidR="00203AC0" w:rsidRPr="005E2453">
        <w:rPr>
          <w:rFonts w:ascii="Arial Narrow" w:hAnsi="Arial Narrow"/>
          <w:sz w:val="26"/>
          <w:szCs w:val="26"/>
          <w:lang w:val="es-CO"/>
        </w:rPr>
        <w:t>. Reitera que es clara la falta de veracidad de los datos trasladados por la accionada a los operadores y que la tutela, en consecuencia, es viable para restablecer la eficacia de los derechos fundamentales lesionados</w:t>
      </w:r>
      <w:r w:rsidR="001E370C" w:rsidRPr="005E2453">
        <w:rPr>
          <w:rFonts w:ascii="Arial Narrow" w:hAnsi="Arial Narrow"/>
          <w:sz w:val="26"/>
          <w:szCs w:val="26"/>
        </w:rPr>
        <w:t xml:space="preserve">. </w:t>
      </w:r>
    </w:p>
    <w:p w14:paraId="5F5296B5" w14:textId="77777777" w:rsidR="000E7A9D" w:rsidRPr="005E2453" w:rsidRDefault="001E370C" w:rsidP="005E2453">
      <w:pPr>
        <w:pStyle w:val="Sinespaciado"/>
        <w:tabs>
          <w:tab w:val="left" w:pos="1750"/>
        </w:tabs>
        <w:spacing w:line="276" w:lineRule="auto"/>
        <w:jc w:val="both"/>
        <w:rPr>
          <w:rFonts w:ascii="Arial Narrow" w:hAnsi="Arial Narrow"/>
          <w:b/>
          <w:sz w:val="26"/>
          <w:szCs w:val="26"/>
        </w:rPr>
      </w:pPr>
      <w:r w:rsidRPr="005E2453">
        <w:rPr>
          <w:rFonts w:ascii="Arial Narrow" w:hAnsi="Arial Narrow"/>
          <w:sz w:val="26"/>
          <w:szCs w:val="26"/>
        </w:rPr>
        <w:t xml:space="preserve"> </w:t>
      </w:r>
    </w:p>
    <w:p w14:paraId="7E6C90C4" w14:textId="77777777" w:rsidR="00E16532" w:rsidRPr="005E2453" w:rsidRDefault="007B7DAE" w:rsidP="005E2453">
      <w:pPr>
        <w:pStyle w:val="Sinespaciado"/>
        <w:spacing w:line="276" w:lineRule="auto"/>
        <w:jc w:val="center"/>
        <w:rPr>
          <w:rFonts w:ascii="Arial Narrow" w:hAnsi="Arial Narrow"/>
          <w:b/>
          <w:sz w:val="26"/>
          <w:szCs w:val="26"/>
          <w:u w:val="single"/>
          <w:lang w:val="pt-BR"/>
        </w:rPr>
      </w:pPr>
      <w:r w:rsidRPr="005E2453">
        <w:rPr>
          <w:rFonts w:ascii="Arial Narrow" w:hAnsi="Arial Narrow"/>
          <w:b/>
          <w:sz w:val="26"/>
          <w:szCs w:val="26"/>
          <w:u w:val="single"/>
          <w:lang w:val="pt-BR"/>
        </w:rPr>
        <w:t>CONSIDERACIONES</w:t>
      </w:r>
    </w:p>
    <w:p w14:paraId="25FAA870" w14:textId="77777777" w:rsidR="00E16532" w:rsidRPr="005E2453" w:rsidRDefault="00E16532" w:rsidP="005E2453">
      <w:pPr>
        <w:pStyle w:val="Sinespaciado"/>
        <w:spacing w:line="276" w:lineRule="auto"/>
        <w:jc w:val="both"/>
        <w:rPr>
          <w:rFonts w:ascii="Arial Narrow" w:hAnsi="Arial Narrow"/>
          <w:b/>
          <w:sz w:val="26"/>
          <w:szCs w:val="26"/>
          <w:lang w:val="pt-BR"/>
        </w:rPr>
      </w:pPr>
    </w:p>
    <w:p w14:paraId="1C1CA6A2" w14:textId="77777777" w:rsidR="00E16532" w:rsidRPr="005E2453" w:rsidRDefault="00E16532" w:rsidP="005E2453">
      <w:pPr>
        <w:spacing w:line="276" w:lineRule="auto"/>
        <w:jc w:val="both"/>
        <w:rPr>
          <w:rFonts w:ascii="Arial Narrow" w:hAnsi="Arial Narrow"/>
          <w:sz w:val="26"/>
          <w:szCs w:val="26"/>
        </w:rPr>
      </w:pPr>
      <w:r w:rsidRPr="005E2453">
        <w:rPr>
          <w:rFonts w:ascii="Arial Narrow" w:hAnsi="Arial Narrow"/>
          <w:b/>
          <w:bCs/>
          <w:sz w:val="26"/>
          <w:szCs w:val="26"/>
        </w:rPr>
        <w:t>1.</w:t>
      </w:r>
      <w:r w:rsidR="3AEA8015" w:rsidRPr="005E2453">
        <w:rPr>
          <w:rFonts w:ascii="Arial Narrow" w:eastAsia="Arial Narrow" w:hAnsi="Arial Narrow" w:cs="Arial Narrow"/>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p>
    <w:p w14:paraId="12315571" w14:textId="77777777" w:rsidR="00E16532" w:rsidRPr="005E2453" w:rsidRDefault="00E16532" w:rsidP="005E2453">
      <w:pPr>
        <w:pStyle w:val="Sinespaciado"/>
        <w:spacing w:line="276" w:lineRule="auto"/>
        <w:jc w:val="both"/>
        <w:rPr>
          <w:rFonts w:ascii="Arial Narrow" w:hAnsi="Arial Narrow"/>
          <w:b/>
          <w:sz w:val="26"/>
          <w:szCs w:val="26"/>
        </w:rPr>
      </w:pPr>
    </w:p>
    <w:p w14:paraId="09A7998F" w14:textId="77777777" w:rsidR="00E817B0" w:rsidRPr="005E2453" w:rsidRDefault="00E16532" w:rsidP="005E2453">
      <w:pPr>
        <w:pStyle w:val="Sinespaciado"/>
        <w:spacing w:line="276" w:lineRule="auto"/>
        <w:jc w:val="both"/>
        <w:rPr>
          <w:rFonts w:ascii="Arial Narrow" w:hAnsi="Arial Narrow"/>
          <w:sz w:val="26"/>
          <w:szCs w:val="26"/>
        </w:rPr>
      </w:pPr>
      <w:r w:rsidRPr="005E2453">
        <w:rPr>
          <w:rFonts w:ascii="Arial Narrow" w:hAnsi="Arial Narrow"/>
          <w:b/>
          <w:bCs/>
          <w:sz w:val="26"/>
          <w:szCs w:val="26"/>
        </w:rPr>
        <w:t>2.</w:t>
      </w:r>
      <w:r w:rsidRPr="005E2453">
        <w:rPr>
          <w:rFonts w:ascii="Arial Narrow" w:hAnsi="Arial Narrow"/>
          <w:sz w:val="26"/>
          <w:szCs w:val="26"/>
        </w:rPr>
        <w:t xml:space="preserve"> </w:t>
      </w:r>
      <w:r w:rsidR="00E817B0" w:rsidRPr="005E2453">
        <w:rPr>
          <w:rFonts w:ascii="Arial Narrow" w:hAnsi="Arial Narrow"/>
          <w:sz w:val="26"/>
          <w:szCs w:val="26"/>
        </w:rPr>
        <w:t>En el presente caso</w:t>
      </w:r>
      <w:r w:rsidR="00332426" w:rsidRPr="005E2453">
        <w:rPr>
          <w:rFonts w:ascii="Arial Narrow" w:hAnsi="Arial Narrow"/>
          <w:sz w:val="26"/>
          <w:szCs w:val="26"/>
        </w:rPr>
        <w:t xml:space="preserve"> </w:t>
      </w:r>
      <w:r w:rsidR="002753C5" w:rsidRPr="005E2453">
        <w:rPr>
          <w:rFonts w:ascii="Arial Narrow" w:hAnsi="Arial Narrow"/>
          <w:sz w:val="26"/>
          <w:szCs w:val="26"/>
        </w:rPr>
        <w:t>se evidencia que el debate ent</w:t>
      </w:r>
      <w:r w:rsidR="00162441" w:rsidRPr="005E2453">
        <w:rPr>
          <w:rFonts w:ascii="Arial Narrow" w:hAnsi="Arial Narrow"/>
          <w:sz w:val="26"/>
          <w:szCs w:val="26"/>
        </w:rPr>
        <w:t xml:space="preserve">re las partes se circunscribe al </w:t>
      </w:r>
      <w:r w:rsidR="00B32564" w:rsidRPr="005E2453">
        <w:rPr>
          <w:rFonts w:ascii="Arial Narrow" w:hAnsi="Arial Narrow"/>
          <w:sz w:val="26"/>
          <w:szCs w:val="26"/>
        </w:rPr>
        <w:t>cumplimiento de los estándares establecidos para poder generar un</w:t>
      </w:r>
      <w:r w:rsidR="00162441" w:rsidRPr="005E2453">
        <w:rPr>
          <w:rFonts w:ascii="Arial Narrow" w:hAnsi="Arial Narrow"/>
          <w:sz w:val="26"/>
          <w:szCs w:val="26"/>
        </w:rPr>
        <w:t xml:space="preserve"> reporte negativo en centrales de riesgo.</w:t>
      </w:r>
      <w:r w:rsidR="00A908DB" w:rsidRPr="005E2453">
        <w:rPr>
          <w:rFonts w:ascii="Arial Narrow" w:hAnsi="Arial Narrow"/>
          <w:sz w:val="26"/>
          <w:szCs w:val="26"/>
        </w:rPr>
        <w:t xml:space="preserve"> </w:t>
      </w:r>
      <w:r w:rsidR="004261A0" w:rsidRPr="005E2453">
        <w:rPr>
          <w:rFonts w:ascii="Arial Narrow" w:hAnsi="Arial Narrow"/>
          <w:sz w:val="26"/>
          <w:szCs w:val="26"/>
        </w:rPr>
        <w:t>La primera instancia</w:t>
      </w:r>
      <w:r w:rsidR="00162441" w:rsidRPr="005E2453">
        <w:rPr>
          <w:rFonts w:ascii="Arial Narrow" w:hAnsi="Arial Narrow"/>
          <w:sz w:val="26"/>
          <w:szCs w:val="26"/>
        </w:rPr>
        <w:t xml:space="preserve"> declaró improcedente el amparo al no avizorar situación especial que transformara en ineficaces a los medios ordinarios de defensa judicial</w:t>
      </w:r>
      <w:r w:rsidR="00A908DB" w:rsidRPr="005E2453">
        <w:rPr>
          <w:rFonts w:ascii="Arial Narrow" w:hAnsi="Arial Narrow"/>
          <w:sz w:val="26"/>
          <w:szCs w:val="26"/>
        </w:rPr>
        <w:t xml:space="preserve">, mientras que en su recurso </w:t>
      </w:r>
      <w:r w:rsidR="00162441" w:rsidRPr="005E2453">
        <w:rPr>
          <w:rFonts w:ascii="Arial Narrow" w:hAnsi="Arial Narrow"/>
          <w:sz w:val="26"/>
          <w:szCs w:val="26"/>
        </w:rPr>
        <w:t>el demandante</w:t>
      </w:r>
      <w:r w:rsidR="00A908DB" w:rsidRPr="005E2453">
        <w:rPr>
          <w:rFonts w:ascii="Arial Narrow" w:hAnsi="Arial Narrow"/>
          <w:sz w:val="26"/>
          <w:szCs w:val="26"/>
        </w:rPr>
        <w:t xml:space="preserve"> alega</w:t>
      </w:r>
      <w:r w:rsidR="002753C5" w:rsidRPr="005E2453">
        <w:rPr>
          <w:rFonts w:ascii="Arial Narrow" w:hAnsi="Arial Narrow"/>
          <w:sz w:val="26"/>
          <w:szCs w:val="26"/>
        </w:rPr>
        <w:t xml:space="preserve"> que</w:t>
      </w:r>
      <w:r w:rsidR="004537F2" w:rsidRPr="005E2453">
        <w:rPr>
          <w:rFonts w:ascii="Arial Narrow" w:hAnsi="Arial Narrow"/>
          <w:sz w:val="26"/>
          <w:szCs w:val="26"/>
        </w:rPr>
        <w:t xml:space="preserve"> la</w:t>
      </w:r>
      <w:r w:rsidR="00162441" w:rsidRPr="005E2453">
        <w:rPr>
          <w:rFonts w:ascii="Arial Narrow" w:hAnsi="Arial Narrow"/>
          <w:sz w:val="26"/>
          <w:szCs w:val="26"/>
        </w:rPr>
        <w:t xml:space="preserve"> tutela</w:t>
      </w:r>
      <w:r w:rsidR="00B32564" w:rsidRPr="005E2453">
        <w:rPr>
          <w:rFonts w:ascii="Arial Narrow" w:hAnsi="Arial Narrow"/>
          <w:sz w:val="26"/>
          <w:szCs w:val="26"/>
        </w:rPr>
        <w:t xml:space="preserve"> sí es viable</w:t>
      </w:r>
      <w:r w:rsidR="00162441" w:rsidRPr="005E2453">
        <w:rPr>
          <w:rFonts w:ascii="Arial Narrow" w:hAnsi="Arial Narrow"/>
          <w:sz w:val="26"/>
          <w:szCs w:val="26"/>
        </w:rPr>
        <w:t xml:space="preserve"> para proteger los derechos al buen nombre y hábeas data, los que fueron lesionados</w:t>
      </w:r>
      <w:r w:rsidR="00B32564" w:rsidRPr="005E2453">
        <w:rPr>
          <w:rFonts w:ascii="Arial Narrow" w:hAnsi="Arial Narrow"/>
          <w:sz w:val="26"/>
          <w:szCs w:val="26"/>
        </w:rPr>
        <w:t xml:space="preserve"> en este caso</w:t>
      </w:r>
      <w:r w:rsidR="00416C3D" w:rsidRPr="005E2453">
        <w:rPr>
          <w:rFonts w:ascii="Arial Narrow" w:hAnsi="Arial Narrow"/>
          <w:sz w:val="26"/>
          <w:szCs w:val="26"/>
        </w:rPr>
        <w:t xml:space="preserve"> por el ICETEX al </w:t>
      </w:r>
      <w:r w:rsidR="00B32564" w:rsidRPr="005E2453">
        <w:rPr>
          <w:rFonts w:ascii="Arial Narrow" w:hAnsi="Arial Narrow"/>
          <w:sz w:val="26"/>
          <w:szCs w:val="26"/>
        </w:rPr>
        <w:t xml:space="preserve">actuar al margen del </w:t>
      </w:r>
      <w:r w:rsidR="00162441" w:rsidRPr="005E2453">
        <w:rPr>
          <w:rFonts w:ascii="Arial Narrow" w:hAnsi="Arial Narrow"/>
          <w:sz w:val="26"/>
          <w:szCs w:val="26"/>
        </w:rPr>
        <w:t>trámite regulado por el legislador</w:t>
      </w:r>
      <w:r w:rsidR="004537F2" w:rsidRPr="005E2453">
        <w:rPr>
          <w:rFonts w:ascii="Arial Narrow" w:hAnsi="Arial Narrow"/>
          <w:sz w:val="26"/>
          <w:szCs w:val="26"/>
        </w:rPr>
        <w:t>, al generar un reporte negativo si notificación previa al titular de la información.</w:t>
      </w:r>
    </w:p>
    <w:p w14:paraId="7DBABDB1" w14:textId="77777777" w:rsidR="00E817B0" w:rsidRPr="005E2453" w:rsidRDefault="00E817B0" w:rsidP="005E2453">
      <w:pPr>
        <w:pStyle w:val="Sinespaciado"/>
        <w:spacing w:line="276" w:lineRule="auto"/>
        <w:jc w:val="both"/>
        <w:rPr>
          <w:rFonts w:ascii="Arial Narrow" w:hAnsi="Arial Narrow"/>
          <w:sz w:val="26"/>
          <w:szCs w:val="26"/>
        </w:rPr>
      </w:pPr>
    </w:p>
    <w:p w14:paraId="000C18BB" w14:textId="77777777" w:rsidR="00086C26" w:rsidRPr="005E2453" w:rsidRDefault="00E817B0" w:rsidP="005E2453">
      <w:pPr>
        <w:pStyle w:val="Sinespaciado"/>
        <w:spacing w:line="276" w:lineRule="auto"/>
        <w:jc w:val="both"/>
        <w:rPr>
          <w:rFonts w:ascii="Arial Narrow" w:hAnsi="Arial Narrow"/>
          <w:sz w:val="26"/>
          <w:szCs w:val="26"/>
        </w:rPr>
      </w:pPr>
      <w:r w:rsidRPr="005E2453">
        <w:rPr>
          <w:rFonts w:ascii="Arial Narrow" w:hAnsi="Arial Narrow"/>
          <w:sz w:val="26"/>
          <w:szCs w:val="26"/>
        </w:rPr>
        <w:t>De conformidad con lo anterior, e</w:t>
      </w:r>
      <w:r w:rsidR="00E16532" w:rsidRPr="005E2453">
        <w:rPr>
          <w:rFonts w:ascii="Arial Narrow" w:hAnsi="Arial Narrow"/>
          <w:sz w:val="26"/>
          <w:szCs w:val="26"/>
        </w:rPr>
        <w:t>l problema jurídico</w:t>
      </w:r>
      <w:r w:rsidRPr="005E2453">
        <w:rPr>
          <w:rFonts w:ascii="Arial Narrow" w:hAnsi="Arial Narrow"/>
          <w:sz w:val="26"/>
          <w:szCs w:val="26"/>
        </w:rPr>
        <w:t xml:space="preserve"> consiste en establecer si </w:t>
      </w:r>
      <w:r w:rsidR="00A908DB" w:rsidRPr="005E2453">
        <w:rPr>
          <w:rFonts w:ascii="Arial Narrow" w:hAnsi="Arial Narrow"/>
          <w:sz w:val="26"/>
          <w:szCs w:val="26"/>
        </w:rPr>
        <w:t xml:space="preserve">la </w:t>
      </w:r>
      <w:r w:rsidR="00162441" w:rsidRPr="005E2453">
        <w:rPr>
          <w:rFonts w:ascii="Arial Narrow" w:hAnsi="Arial Narrow"/>
          <w:sz w:val="26"/>
          <w:szCs w:val="26"/>
        </w:rPr>
        <w:t>tutela resulta procedente para ventilar tales cuestiones y</w:t>
      </w:r>
      <w:r w:rsidR="00515EAA" w:rsidRPr="005E2453">
        <w:rPr>
          <w:rFonts w:ascii="Arial Narrow" w:hAnsi="Arial Narrow"/>
          <w:sz w:val="26"/>
          <w:szCs w:val="26"/>
        </w:rPr>
        <w:t>,</w:t>
      </w:r>
      <w:r w:rsidR="00162441" w:rsidRPr="005E2453">
        <w:rPr>
          <w:rFonts w:ascii="Arial Narrow" w:hAnsi="Arial Narrow"/>
          <w:sz w:val="26"/>
          <w:szCs w:val="26"/>
        </w:rPr>
        <w:t xml:space="preserve"> de serlo</w:t>
      </w:r>
      <w:r w:rsidR="00515EAA" w:rsidRPr="005E2453">
        <w:rPr>
          <w:rFonts w:ascii="Arial Narrow" w:hAnsi="Arial Narrow"/>
          <w:sz w:val="26"/>
          <w:szCs w:val="26"/>
        </w:rPr>
        <w:t>,</w:t>
      </w:r>
      <w:r w:rsidR="00162441" w:rsidRPr="005E2453">
        <w:rPr>
          <w:rFonts w:ascii="Arial Narrow" w:hAnsi="Arial Narrow"/>
          <w:sz w:val="26"/>
          <w:szCs w:val="26"/>
        </w:rPr>
        <w:t xml:space="preserve"> si la demandada incurrió en lesi</w:t>
      </w:r>
      <w:r w:rsidR="00932E19" w:rsidRPr="005E2453">
        <w:rPr>
          <w:rFonts w:ascii="Arial Narrow" w:hAnsi="Arial Narrow"/>
          <w:sz w:val="26"/>
          <w:szCs w:val="26"/>
        </w:rPr>
        <w:t>ón de</w:t>
      </w:r>
      <w:r w:rsidR="00162441" w:rsidRPr="005E2453">
        <w:rPr>
          <w:rFonts w:ascii="Arial Narrow" w:hAnsi="Arial Narrow"/>
          <w:sz w:val="26"/>
          <w:szCs w:val="26"/>
        </w:rPr>
        <w:t xml:space="preserve"> </w:t>
      </w:r>
      <w:r w:rsidR="00162441" w:rsidRPr="005E2453">
        <w:rPr>
          <w:rFonts w:ascii="Arial Narrow" w:hAnsi="Arial Narrow"/>
          <w:sz w:val="26"/>
          <w:szCs w:val="26"/>
        </w:rPr>
        <w:lastRenderedPageBreak/>
        <w:t>aquellos derechos</w:t>
      </w:r>
      <w:r w:rsidR="00515EAA" w:rsidRPr="005E2453">
        <w:rPr>
          <w:rFonts w:ascii="Arial Narrow" w:hAnsi="Arial Narrow"/>
          <w:sz w:val="26"/>
          <w:szCs w:val="26"/>
        </w:rPr>
        <w:t xml:space="preserve"> en la forma cómo se le enrostra en la demanda</w:t>
      </w:r>
      <w:r w:rsidR="00162441" w:rsidRPr="005E2453">
        <w:rPr>
          <w:rFonts w:ascii="Arial Narrow" w:hAnsi="Arial Narrow"/>
          <w:sz w:val="26"/>
          <w:szCs w:val="26"/>
        </w:rPr>
        <w:t xml:space="preserve">. </w:t>
      </w:r>
    </w:p>
    <w:p w14:paraId="6B1D60EC" w14:textId="77777777" w:rsidR="00211260" w:rsidRPr="005E2453" w:rsidRDefault="00211260" w:rsidP="005E2453">
      <w:pPr>
        <w:pStyle w:val="Sinespaciado"/>
        <w:spacing w:line="276" w:lineRule="auto"/>
        <w:jc w:val="both"/>
        <w:rPr>
          <w:rFonts w:ascii="Arial Narrow" w:hAnsi="Arial Narrow"/>
          <w:sz w:val="26"/>
          <w:szCs w:val="26"/>
        </w:rPr>
      </w:pPr>
    </w:p>
    <w:p w14:paraId="611C3745" w14:textId="77777777" w:rsidR="00D37BBE" w:rsidRPr="005E2453" w:rsidRDefault="00E16532" w:rsidP="005E2453">
      <w:pPr>
        <w:pStyle w:val="Sinespaciado"/>
        <w:spacing w:line="276" w:lineRule="auto"/>
        <w:jc w:val="both"/>
        <w:rPr>
          <w:rFonts w:ascii="Arial Narrow" w:hAnsi="Arial Narrow"/>
          <w:sz w:val="26"/>
          <w:szCs w:val="26"/>
        </w:rPr>
      </w:pPr>
      <w:r w:rsidRPr="005E2453">
        <w:rPr>
          <w:rFonts w:ascii="Arial Narrow" w:hAnsi="Arial Narrow"/>
          <w:b/>
          <w:bCs/>
          <w:sz w:val="26"/>
          <w:szCs w:val="26"/>
        </w:rPr>
        <w:t>3.</w:t>
      </w:r>
      <w:r w:rsidRPr="005E2453">
        <w:rPr>
          <w:rFonts w:ascii="Arial Narrow" w:hAnsi="Arial Narrow"/>
          <w:sz w:val="26"/>
          <w:szCs w:val="26"/>
        </w:rPr>
        <w:t xml:space="preserve"> </w:t>
      </w:r>
      <w:r w:rsidR="006C162A" w:rsidRPr="005E2453">
        <w:rPr>
          <w:rFonts w:ascii="Arial Narrow" w:hAnsi="Arial Narrow"/>
          <w:sz w:val="26"/>
          <w:szCs w:val="26"/>
        </w:rPr>
        <w:t>Se precisa</w:t>
      </w:r>
      <w:r w:rsidRPr="005E2453">
        <w:rPr>
          <w:rFonts w:ascii="Arial Narrow" w:hAnsi="Arial Narrow"/>
          <w:sz w:val="26"/>
          <w:szCs w:val="26"/>
        </w:rPr>
        <w:t>, para comenzar,</w:t>
      </w:r>
      <w:r w:rsidR="006C162A" w:rsidRPr="005E2453">
        <w:rPr>
          <w:rFonts w:ascii="Arial Narrow" w:hAnsi="Arial Narrow"/>
          <w:sz w:val="26"/>
          <w:szCs w:val="26"/>
        </w:rPr>
        <w:t xml:space="preserve"> que</w:t>
      </w:r>
      <w:r w:rsidR="00932E19" w:rsidRPr="005E2453">
        <w:rPr>
          <w:rFonts w:ascii="Arial Narrow" w:hAnsi="Arial Narrow"/>
          <w:sz w:val="26"/>
          <w:szCs w:val="26"/>
        </w:rPr>
        <w:t xml:space="preserve"> el señor</w:t>
      </w:r>
      <w:r w:rsidR="006C162A" w:rsidRPr="005E2453">
        <w:rPr>
          <w:rFonts w:ascii="Arial Narrow" w:hAnsi="Arial Narrow"/>
          <w:sz w:val="26"/>
          <w:szCs w:val="26"/>
        </w:rPr>
        <w:t xml:space="preserve"> </w:t>
      </w:r>
      <w:r w:rsidR="00932E19" w:rsidRPr="005E2453">
        <w:rPr>
          <w:rFonts w:ascii="Arial Narrow" w:hAnsi="Arial Narrow"/>
          <w:sz w:val="26"/>
          <w:szCs w:val="26"/>
          <w:lang w:val="es-CO"/>
        </w:rPr>
        <w:t xml:space="preserve">Eduardo Sánchez Quintero </w:t>
      </w:r>
      <w:r w:rsidR="00932E19" w:rsidRPr="005E2453">
        <w:rPr>
          <w:rFonts w:ascii="Arial Narrow" w:hAnsi="Arial Narrow"/>
          <w:sz w:val="26"/>
          <w:szCs w:val="26"/>
        </w:rPr>
        <w:t>está legitimado</w:t>
      </w:r>
      <w:r w:rsidRPr="005E2453">
        <w:rPr>
          <w:rFonts w:ascii="Arial Narrow" w:hAnsi="Arial Narrow"/>
          <w:sz w:val="26"/>
          <w:szCs w:val="26"/>
        </w:rPr>
        <w:t xml:space="preserve"> e</w:t>
      </w:r>
      <w:r w:rsidR="000C18E9" w:rsidRPr="005E2453">
        <w:rPr>
          <w:rFonts w:ascii="Arial Narrow" w:hAnsi="Arial Narrow"/>
          <w:sz w:val="26"/>
          <w:szCs w:val="26"/>
        </w:rPr>
        <w:t xml:space="preserve">n la causa por activa, </w:t>
      </w:r>
      <w:r w:rsidR="00932E19" w:rsidRPr="005E2453">
        <w:rPr>
          <w:rFonts w:ascii="Arial Narrow" w:hAnsi="Arial Narrow"/>
          <w:sz w:val="26"/>
          <w:szCs w:val="26"/>
        </w:rPr>
        <w:t>como titular de l</w:t>
      </w:r>
      <w:r w:rsidR="00B970E7" w:rsidRPr="005E2453">
        <w:rPr>
          <w:rFonts w:ascii="Arial Narrow" w:hAnsi="Arial Narrow"/>
          <w:sz w:val="26"/>
          <w:szCs w:val="26"/>
        </w:rPr>
        <w:t xml:space="preserve">a información </w:t>
      </w:r>
      <w:r w:rsidR="00D37BBE" w:rsidRPr="005E2453">
        <w:rPr>
          <w:rFonts w:ascii="Arial Narrow" w:hAnsi="Arial Narrow"/>
          <w:sz w:val="26"/>
          <w:szCs w:val="26"/>
        </w:rPr>
        <w:t xml:space="preserve">reportada en las centrales de riesgos, que se pretende sea corregida. </w:t>
      </w:r>
    </w:p>
    <w:p w14:paraId="12812B29" w14:textId="77777777" w:rsidR="00D37BBE" w:rsidRPr="005E2453" w:rsidRDefault="00D37BBE" w:rsidP="005E2453">
      <w:pPr>
        <w:pStyle w:val="Sinespaciado"/>
        <w:spacing w:line="276" w:lineRule="auto"/>
        <w:jc w:val="both"/>
        <w:rPr>
          <w:rFonts w:ascii="Arial Narrow" w:hAnsi="Arial Narrow"/>
          <w:sz w:val="26"/>
          <w:szCs w:val="26"/>
        </w:rPr>
      </w:pPr>
    </w:p>
    <w:p w14:paraId="00617640" w14:textId="77777777" w:rsidR="00E16532" w:rsidRPr="005E2453" w:rsidRDefault="00E16532" w:rsidP="005E2453">
      <w:pPr>
        <w:pStyle w:val="Sinespaciado"/>
        <w:spacing w:line="276" w:lineRule="auto"/>
        <w:jc w:val="both"/>
        <w:rPr>
          <w:rFonts w:ascii="Arial Narrow" w:hAnsi="Arial Narrow"/>
          <w:sz w:val="26"/>
          <w:szCs w:val="26"/>
        </w:rPr>
      </w:pPr>
      <w:r w:rsidRPr="005E2453">
        <w:rPr>
          <w:rFonts w:ascii="Arial Narrow" w:hAnsi="Arial Narrow"/>
          <w:sz w:val="26"/>
          <w:szCs w:val="26"/>
        </w:rPr>
        <w:t xml:space="preserve">También lo está por pasiva </w:t>
      </w:r>
      <w:r w:rsidR="00691DDA" w:rsidRPr="005E2453">
        <w:rPr>
          <w:rFonts w:ascii="Arial Narrow" w:hAnsi="Arial Narrow"/>
          <w:sz w:val="26"/>
          <w:szCs w:val="26"/>
        </w:rPr>
        <w:t>el ICETEX</w:t>
      </w:r>
      <w:r w:rsidRPr="005E2453">
        <w:rPr>
          <w:rFonts w:ascii="Arial Narrow" w:hAnsi="Arial Narrow"/>
          <w:sz w:val="26"/>
          <w:szCs w:val="26"/>
        </w:rPr>
        <w:t>,</w:t>
      </w:r>
      <w:r w:rsidR="00DC05A4" w:rsidRPr="005E2453">
        <w:rPr>
          <w:rFonts w:ascii="Arial Narrow" w:hAnsi="Arial Narrow"/>
          <w:sz w:val="26"/>
          <w:szCs w:val="26"/>
        </w:rPr>
        <w:t xml:space="preserve"> por intermed</w:t>
      </w:r>
      <w:r w:rsidR="00025DC3" w:rsidRPr="005E2453">
        <w:rPr>
          <w:rFonts w:ascii="Arial Narrow" w:hAnsi="Arial Narrow"/>
          <w:sz w:val="26"/>
          <w:szCs w:val="26"/>
        </w:rPr>
        <w:t xml:space="preserve">io de </w:t>
      </w:r>
      <w:r w:rsidR="00691DDA" w:rsidRPr="005E2453">
        <w:rPr>
          <w:rFonts w:ascii="Arial Narrow" w:hAnsi="Arial Narrow"/>
          <w:sz w:val="26"/>
          <w:szCs w:val="26"/>
        </w:rPr>
        <w:t>su</w:t>
      </w:r>
      <w:r w:rsidR="00691DDA" w:rsidRPr="005E2453">
        <w:rPr>
          <w:rFonts w:ascii="Arial Narrow" w:hAnsi="Arial Narrow"/>
          <w:sz w:val="26"/>
          <w:szCs w:val="26"/>
          <w:lang w:val="es-CO"/>
        </w:rPr>
        <w:t xml:space="preserve"> Coordinador del Grupo de Administración de Cartera de la Vicepresidencia de Operaciones y Tecnología, </w:t>
      </w:r>
      <w:r w:rsidRPr="005E2453">
        <w:rPr>
          <w:rFonts w:ascii="Arial Narrow" w:hAnsi="Arial Narrow"/>
          <w:sz w:val="26"/>
          <w:szCs w:val="26"/>
        </w:rPr>
        <w:t xml:space="preserve">como autoridad encargada de </w:t>
      </w:r>
      <w:r w:rsidR="00691DDA" w:rsidRPr="005E2453">
        <w:rPr>
          <w:rFonts w:ascii="Arial Narrow" w:hAnsi="Arial Narrow"/>
          <w:sz w:val="26"/>
          <w:szCs w:val="26"/>
        </w:rPr>
        <w:t>agotar tal actuación</w:t>
      </w:r>
      <w:r w:rsidRPr="005E2453">
        <w:rPr>
          <w:rFonts w:ascii="Arial Narrow" w:hAnsi="Arial Narrow"/>
          <w:sz w:val="26"/>
          <w:szCs w:val="26"/>
        </w:rPr>
        <w:t>.</w:t>
      </w:r>
      <w:r w:rsidR="00414715" w:rsidRPr="005E2453">
        <w:rPr>
          <w:rFonts w:ascii="Arial Narrow" w:hAnsi="Arial Narrow"/>
          <w:sz w:val="26"/>
          <w:szCs w:val="26"/>
        </w:rPr>
        <w:t xml:space="preserve"> A este último funcionario, así como a </w:t>
      </w:r>
      <w:r w:rsidR="00414715" w:rsidRPr="005E2453">
        <w:rPr>
          <w:rFonts w:ascii="Arial Narrow" w:hAnsi="Arial Narrow"/>
          <w:sz w:val="26"/>
          <w:szCs w:val="26"/>
          <w:lang w:val="es-CO"/>
        </w:rPr>
        <w:t>la funcionaria Evelyn Carolina Avendaño Castro de ese Instituto, se puso en conocimiento</w:t>
      </w:r>
      <w:r w:rsidR="00CE398B" w:rsidRPr="005E2453">
        <w:rPr>
          <w:rFonts w:ascii="Arial Narrow" w:hAnsi="Arial Narrow"/>
          <w:sz w:val="26"/>
          <w:szCs w:val="26"/>
          <w:lang w:val="es-CO"/>
        </w:rPr>
        <w:t xml:space="preserve"> en esta sede </w:t>
      </w:r>
      <w:r w:rsidR="00414715" w:rsidRPr="005E2453">
        <w:rPr>
          <w:rFonts w:ascii="Arial Narrow" w:hAnsi="Arial Narrow"/>
          <w:sz w:val="26"/>
          <w:szCs w:val="26"/>
          <w:lang w:val="es-CO"/>
        </w:rPr>
        <w:t>la nulidad</w:t>
      </w:r>
      <w:r w:rsidR="00416C3D" w:rsidRPr="005E2453">
        <w:rPr>
          <w:rFonts w:ascii="Arial Narrow" w:hAnsi="Arial Narrow"/>
          <w:sz w:val="26"/>
          <w:szCs w:val="26"/>
          <w:lang w:val="es-CO"/>
        </w:rPr>
        <w:t xml:space="preserve"> ocasionada</w:t>
      </w:r>
      <w:r w:rsidR="00414715" w:rsidRPr="005E2453">
        <w:rPr>
          <w:rFonts w:ascii="Arial Narrow" w:hAnsi="Arial Narrow"/>
          <w:sz w:val="26"/>
          <w:szCs w:val="26"/>
          <w:lang w:val="es-CO"/>
        </w:rPr>
        <w:t xml:space="preserve"> por su falta de convocatoria a la actuación, mas al haber guardado silencio, se considera saneada esa irregularidad</w:t>
      </w:r>
      <w:r w:rsidR="00414715" w:rsidRPr="005E2453">
        <w:rPr>
          <w:rStyle w:val="Refdenotaalpie"/>
          <w:rFonts w:ascii="Arial Narrow" w:hAnsi="Arial Narrow"/>
          <w:sz w:val="26"/>
          <w:szCs w:val="26"/>
          <w:lang w:val="es-CO"/>
        </w:rPr>
        <w:footnoteReference w:id="6"/>
      </w:r>
      <w:r w:rsidR="00414715" w:rsidRPr="005E2453">
        <w:rPr>
          <w:rFonts w:ascii="Arial Narrow" w:hAnsi="Arial Narrow"/>
          <w:sz w:val="26"/>
          <w:szCs w:val="26"/>
          <w:lang w:val="es-CO"/>
        </w:rPr>
        <w:t xml:space="preserve">.  </w:t>
      </w:r>
    </w:p>
    <w:p w14:paraId="36022B20" w14:textId="77777777" w:rsidR="00CE398B" w:rsidRPr="005E2453" w:rsidRDefault="00CE398B" w:rsidP="005E2453">
      <w:pPr>
        <w:pStyle w:val="Sinespaciado"/>
        <w:spacing w:line="276" w:lineRule="auto"/>
        <w:jc w:val="both"/>
        <w:rPr>
          <w:rFonts w:ascii="Arial Narrow" w:hAnsi="Arial Narrow"/>
          <w:sz w:val="26"/>
          <w:szCs w:val="26"/>
        </w:rPr>
      </w:pPr>
    </w:p>
    <w:p w14:paraId="0C3D351C" w14:textId="77777777" w:rsidR="007510CD" w:rsidRPr="005E2453" w:rsidRDefault="00356923" w:rsidP="005E2453">
      <w:pPr>
        <w:pStyle w:val="Sinespaciado"/>
        <w:spacing w:line="276" w:lineRule="auto"/>
        <w:jc w:val="both"/>
        <w:rPr>
          <w:rFonts w:ascii="Arial Narrow" w:hAnsi="Arial Narrow"/>
          <w:spacing w:val="-2"/>
          <w:sz w:val="26"/>
          <w:szCs w:val="26"/>
        </w:rPr>
      </w:pPr>
      <w:r w:rsidRPr="005E2453">
        <w:rPr>
          <w:rFonts w:ascii="Arial Narrow" w:hAnsi="Arial Narrow"/>
          <w:b/>
          <w:bCs/>
          <w:spacing w:val="-2"/>
          <w:sz w:val="26"/>
          <w:szCs w:val="26"/>
        </w:rPr>
        <w:t>4.</w:t>
      </w:r>
      <w:r w:rsidRPr="005E2453">
        <w:rPr>
          <w:rFonts w:ascii="Arial Narrow" w:hAnsi="Arial Narrow"/>
          <w:spacing w:val="-2"/>
          <w:sz w:val="26"/>
          <w:szCs w:val="26"/>
        </w:rPr>
        <w:t xml:space="preserve"> </w:t>
      </w:r>
      <w:r w:rsidR="007510CD" w:rsidRPr="005E2453">
        <w:rPr>
          <w:rFonts w:ascii="Arial Narrow" w:hAnsi="Arial Narrow"/>
          <w:spacing w:val="-2"/>
          <w:sz w:val="26"/>
          <w:szCs w:val="26"/>
        </w:rPr>
        <w:t>Se recuerda que la acción de amparo</w:t>
      </w:r>
      <w:r w:rsidR="00521347" w:rsidRPr="005E2453">
        <w:rPr>
          <w:rFonts w:ascii="Arial Narrow" w:hAnsi="Arial Narrow"/>
          <w:spacing w:val="-2"/>
          <w:sz w:val="26"/>
          <w:szCs w:val="26"/>
        </w:rPr>
        <w:t xml:space="preserve"> del caso</w:t>
      </w:r>
      <w:r w:rsidR="007510CD" w:rsidRPr="005E2453">
        <w:rPr>
          <w:rFonts w:ascii="Arial Narrow" w:hAnsi="Arial Narrow"/>
          <w:spacing w:val="-2"/>
          <w:sz w:val="26"/>
          <w:szCs w:val="26"/>
        </w:rPr>
        <w:t xml:space="preserve"> se dirige fundamentalmente a proteger el derecho al hábeas data, </w:t>
      </w:r>
      <w:r w:rsidR="00521347" w:rsidRPr="005E2453">
        <w:rPr>
          <w:rFonts w:ascii="Arial Narrow" w:hAnsi="Arial Narrow"/>
          <w:spacing w:val="-2"/>
          <w:sz w:val="26"/>
          <w:szCs w:val="26"/>
        </w:rPr>
        <w:t xml:space="preserve">que se considera </w:t>
      </w:r>
      <w:r w:rsidR="007510CD" w:rsidRPr="005E2453">
        <w:rPr>
          <w:rFonts w:ascii="Arial Narrow" w:hAnsi="Arial Narrow"/>
          <w:spacing w:val="-2"/>
          <w:sz w:val="26"/>
          <w:szCs w:val="26"/>
        </w:rPr>
        <w:t>lesionado</w:t>
      </w:r>
      <w:r w:rsidR="00521347" w:rsidRPr="005E2453">
        <w:rPr>
          <w:rFonts w:ascii="Arial Narrow" w:hAnsi="Arial Narrow"/>
          <w:spacing w:val="-2"/>
          <w:sz w:val="26"/>
          <w:szCs w:val="26"/>
        </w:rPr>
        <w:t xml:space="preserve"> por la entidad demandada</w:t>
      </w:r>
      <w:r w:rsidR="007510CD" w:rsidRPr="005E2453">
        <w:rPr>
          <w:rFonts w:ascii="Arial Narrow" w:hAnsi="Arial Narrow"/>
          <w:spacing w:val="-2"/>
          <w:sz w:val="26"/>
          <w:szCs w:val="26"/>
        </w:rPr>
        <w:t xml:space="preserve">, según se dice, al no reportar en las centrales de riesgo información veraz sobre el estado de la obligación </w:t>
      </w:r>
      <w:r w:rsidR="00D872E2" w:rsidRPr="005E2453">
        <w:rPr>
          <w:rFonts w:ascii="Arial Narrow" w:hAnsi="Arial Narrow"/>
          <w:spacing w:val="-2"/>
          <w:sz w:val="26"/>
          <w:szCs w:val="26"/>
        </w:rPr>
        <w:t>que contrajo</w:t>
      </w:r>
      <w:r w:rsidR="00521347" w:rsidRPr="005E2453">
        <w:rPr>
          <w:rFonts w:ascii="Arial Narrow" w:hAnsi="Arial Narrow"/>
          <w:spacing w:val="-2"/>
          <w:sz w:val="26"/>
          <w:szCs w:val="26"/>
        </w:rPr>
        <w:t>,</w:t>
      </w:r>
      <w:r w:rsidR="00D872E2" w:rsidRPr="005E2453">
        <w:rPr>
          <w:rFonts w:ascii="Arial Narrow" w:hAnsi="Arial Narrow"/>
          <w:spacing w:val="-2"/>
          <w:sz w:val="26"/>
          <w:szCs w:val="26"/>
        </w:rPr>
        <w:t xml:space="preserve"> y </w:t>
      </w:r>
      <w:r w:rsidR="00521347" w:rsidRPr="005E2453">
        <w:rPr>
          <w:rFonts w:ascii="Arial Narrow" w:hAnsi="Arial Narrow"/>
          <w:spacing w:val="-2"/>
          <w:sz w:val="26"/>
          <w:szCs w:val="26"/>
        </w:rPr>
        <w:t xml:space="preserve">principalmente según se acentúa en la impugnación, por </w:t>
      </w:r>
      <w:r w:rsidR="007510CD" w:rsidRPr="005E2453">
        <w:rPr>
          <w:rFonts w:ascii="Arial Narrow" w:hAnsi="Arial Narrow"/>
          <w:spacing w:val="-2"/>
          <w:sz w:val="26"/>
          <w:szCs w:val="26"/>
        </w:rPr>
        <w:t>haber</w:t>
      </w:r>
      <w:r w:rsidR="00D872E2" w:rsidRPr="005E2453">
        <w:rPr>
          <w:rFonts w:ascii="Arial Narrow" w:hAnsi="Arial Narrow"/>
          <w:spacing w:val="-2"/>
          <w:sz w:val="26"/>
          <w:szCs w:val="26"/>
        </w:rPr>
        <w:t xml:space="preserve"> omitido adelantar</w:t>
      </w:r>
      <w:r w:rsidR="007510CD" w:rsidRPr="005E2453">
        <w:rPr>
          <w:rFonts w:ascii="Arial Narrow" w:hAnsi="Arial Narrow"/>
          <w:spacing w:val="-2"/>
          <w:sz w:val="26"/>
          <w:szCs w:val="26"/>
        </w:rPr>
        <w:t xml:space="preserve"> el trámite</w:t>
      </w:r>
      <w:r w:rsidR="00D872E2" w:rsidRPr="005E2453">
        <w:rPr>
          <w:rFonts w:ascii="Arial Narrow" w:hAnsi="Arial Narrow"/>
          <w:spacing w:val="-2"/>
          <w:sz w:val="26"/>
          <w:szCs w:val="26"/>
        </w:rPr>
        <w:t xml:space="preserve"> previo</w:t>
      </w:r>
      <w:r w:rsidR="007510CD" w:rsidRPr="005E2453">
        <w:rPr>
          <w:rFonts w:ascii="Arial Narrow" w:hAnsi="Arial Narrow"/>
          <w:spacing w:val="-2"/>
          <w:sz w:val="26"/>
          <w:szCs w:val="26"/>
        </w:rPr>
        <w:t xml:space="preserve"> </w:t>
      </w:r>
      <w:r w:rsidR="00D872E2" w:rsidRPr="005E2453">
        <w:rPr>
          <w:rFonts w:ascii="Arial Narrow" w:hAnsi="Arial Narrow"/>
          <w:spacing w:val="-2"/>
          <w:sz w:val="26"/>
          <w:szCs w:val="26"/>
        </w:rPr>
        <w:t>necesario</w:t>
      </w:r>
      <w:r w:rsidR="007510CD" w:rsidRPr="005E2453">
        <w:rPr>
          <w:rFonts w:ascii="Arial Narrow" w:hAnsi="Arial Narrow"/>
          <w:spacing w:val="-2"/>
          <w:sz w:val="26"/>
          <w:szCs w:val="26"/>
        </w:rPr>
        <w:t xml:space="preserve"> para </w:t>
      </w:r>
      <w:r w:rsidR="00D872E2" w:rsidRPr="005E2453">
        <w:rPr>
          <w:rFonts w:ascii="Arial Narrow" w:hAnsi="Arial Narrow"/>
          <w:spacing w:val="-2"/>
          <w:sz w:val="26"/>
          <w:szCs w:val="26"/>
        </w:rPr>
        <w:t>generar aquel</w:t>
      </w:r>
      <w:r w:rsidR="007510CD" w:rsidRPr="005E2453">
        <w:rPr>
          <w:rFonts w:ascii="Arial Narrow" w:hAnsi="Arial Narrow"/>
          <w:spacing w:val="-2"/>
          <w:sz w:val="26"/>
          <w:szCs w:val="26"/>
        </w:rPr>
        <w:t xml:space="preserve"> </w:t>
      </w:r>
      <w:r w:rsidR="009A41C6" w:rsidRPr="005E2453">
        <w:rPr>
          <w:rFonts w:ascii="Arial Narrow" w:hAnsi="Arial Narrow"/>
          <w:spacing w:val="-2"/>
          <w:sz w:val="26"/>
          <w:szCs w:val="26"/>
        </w:rPr>
        <w:t>reporte negativo</w:t>
      </w:r>
      <w:r w:rsidR="006D33C9" w:rsidRPr="005E2453">
        <w:rPr>
          <w:rFonts w:ascii="Arial Narrow" w:hAnsi="Arial Narrow"/>
          <w:spacing w:val="-2"/>
          <w:sz w:val="26"/>
          <w:szCs w:val="26"/>
        </w:rPr>
        <w:t xml:space="preserve"> (Ley 1266 de 2008, artículo 12)</w:t>
      </w:r>
      <w:r w:rsidR="007510CD" w:rsidRPr="005E2453">
        <w:rPr>
          <w:rFonts w:ascii="Arial Narrow" w:hAnsi="Arial Narrow"/>
          <w:spacing w:val="-2"/>
          <w:sz w:val="26"/>
          <w:szCs w:val="26"/>
        </w:rPr>
        <w:t>.</w:t>
      </w:r>
    </w:p>
    <w:p w14:paraId="232B23CD" w14:textId="77777777" w:rsidR="00D872E2" w:rsidRPr="005E2453" w:rsidRDefault="00D872E2" w:rsidP="005E2453">
      <w:pPr>
        <w:pStyle w:val="Sinespaciado"/>
        <w:spacing w:line="276" w:lineRule="auto"/>
        <w:jc w:val="both"/>
        <w:rPr>
          <w:rFonts w:ascii="Arial Narrow" w:hAnsi="Arial Narrow"/>
          <w:spacing w:val="-2"/>
          <w:sz w:val="26"/>
          <w:szCs w:val="26"/>
        </w:rPr>
      </w:pPr>
    </w:p>
    <w:p w14:paraId="490944E4" w14:textId="77777777" w:rsidR="00D872E2" w:rsidRPr="005E2453" w:rsidRDefault="00D872E2" w:rsidP="005E2453">
      <w:pPr>
        <w:pStyle w:val="Sinespaciado"/>
        <w:spacing w:line="276" w:lineRule="auto"/>
        <w:jc w:val="both"/>
        <w:rPr>
          <w:rFonts w:ascii="Arial Narrow" w:hAnsi="Arial Narrow"/>
          <w:spacing w:val="-2"/>
          <w:sz w:val="26"/>
          <w:szCs w:val="26"/>
        </w:rPr>
      </w:pPr>
      <w:r w:rsidRPr="005E2453">
        <w:rPr>
          <w:rFonts w:ascii="Arial Narrow" w:hAnsi="Arial Narrow"/>
          <w:b/>
          <w:spacing w:val="-2"/>
          <w:sz w:val="26"/>
          <w:szCs w:val="26"/>
        </w:rPr>
        <w:t>5.</w:t>
      </w:r>
      <w:r w:rsidRPr="005E2453">
        <w:rPr>
          <w:rFonts w:ascii="Arial Narrow" w:hAnsi="Arial Narrow"/>
          <w:spacing w:val="-2"/>
          <w:sz w:val="26"/>
          <w:szCs w:val="26"/>
        </w:rPr>
        <w:t xml:space="preserve"> Las pruebas documentales incorporadas al expediente, dan cuenta de los siguientes hechos:</w:t>
      </w:r>
    </w:p>
    <w:p w14:paraId="03A4BB5E" w14:textId="77777777" w:rsidR="00D872E2" w:rsidRPr="005E2453" w:rsidRDefault="00D872E2" w:rsidP="005E2453">
      <w:pPr>
        <w:pStyle w:val="Sinespaciado"/>
        <w:spacing w:line="276" w:lineRule="auto"/>
        <w:jc w:val="both"/>
        <w:rPr>
          <w:rFonts w:ascii="Arial Narrow" w:hAnsi="Arial Narrow"/>
          <w:spacing w:val="-2"/>
          <w:sz w:val="26"/>
          <w:szCs w:val="26"/>
        </w:rPr>
      </w:pPr>
    </w:p>
    <w:p w14:paraId="61B4C523" w14:textId="77777777" w:rsidR="00DF55A8" w:rsidRPr="005E2453" w:rsidRDefault="00D872E2" w:rsidP="005E2453">
      <w:pPr>
        <w:pStyle w:val="Sinespaciado"/>
        <w:spacing w:line="276" w:lineRule="auto"/>
        <w:jc w:val="both"/>
        <w:rPr>
          <w:rFonts w:ascii="Arial Narrow" w:hAnsi="Arial Narrow"/>
          <w:sz w:val="26"/>
          <w:szCs w:val="26"/>
          <w:lang w:val="es-CO"/>
        </w:rPr>
      </w:pPr>
      <w:r w:rsidRPr="005E2453">
        <w:rPr>
          <w:rFonts w:ascii="Arial Narrow" w:hAnsi="Arial Narrow"/>
          <w:b/>
          <w:spacing w:val="-2"/>
          <w:sz w:val="26"/>
          <w:szCs w:val="26"/>
        </w:rPr>
        <w:t>5.1.</w:t>
      </w:r>
      <w:r w:rsidR="00DF55A8" w:rsidRPr="005E2453">
        <w:rPr>
          <w:rFonts w:ascii="Arial Narrow" w:hAnsi="Arial Narrow"/>
          <w:b/>
          <w:spacing w:val="-2"/>
          <w:sz w:val="26"/>
          <w:szCs w:val="26"/>
        </w:rPr>
        <w:t xml:space="preserve"> </w:t>
      </w:r>
      <w:r w:rsidR="00590E14" w:rsidRPr="005E2453">
        <w:rPr>
          <w:rFonts w:ascii="Arial Narrow" w:hAnsi="Arial Narrow"/>
          <w:spacing w:val="-2"/>
          <w:sz w:val="26"/>
          <w:szCs w:val="26"/>
        </w:rPr>
        <w:t xml:space="preserve">Mediante oficio del 12 de febrero de 2018 el </w:t>
      </w:r>
      <w:r w:rsidR="00590E14" w:rsidRPr="005E2453">
        <w:rPr>
          <w:rFonts w:ascii="Arial Narrow" w:hAnsi="Arial Narrow"/>
          <w:sz w:val="26"/>
          <w:szCs w:val="26"/>
          <w:lang w:val="es-CO"/>
        </w:rPr>
        <w:t>Coordinador del Grupo de Administración de Cartera de la Vicepresidencia de Operaciones y Tecnología del ICETEX le informó al accionante Eduardo Sánchez Quintero</w:t>
      </w:r>
      <w:r w:rsidR="00646CDF" w:rsidRPr="005E2453">
        <w:rPr>
          <w:rFonts w:ascii="Arial Narrow" w:hAnsi="Arial Narrow"/>
          <w:sz w:val="26"/>
          <w:szCs w:val="26"/>
          <w:lang w:val="es-CO"/>
        </w:rPr>
        <w:t>,</w:t>
      </w:r>
      <w:r w:rsidR="00590E14" w:rsidRPr="005E2453">
        <w:rPr>
          <w:rFonts w:ascii="Arial Narrow" w:hAnsi="Arial Narrow"/>
          <w:sz w:val="26"/>
          <w:szCs w:val="26"/>
          <w:lang w:val="es-CO"/>
        </w:rPr>
        <w:t xml:space="preserve"> que la obligación a su cargo presenta</w:t>
      </w:r>
      <w:r w:rsidR="00416C3D" w:rsidRPr="005E2453">
        <w:rPr>
          <w:rFonts w:ascii="Arial Narrow" w:hAnsi="Arial Narrow"/>
          <w:sz w:val="26"/>
          <w:szCs w:val="26"/>
          <w:lang w:val="es-CO"/>
        </w:rPr>
        <w:t>ba</w:t>
      </w:r>
      <w:r w:rsidR="00590E14" w:rsidRPr="005E2453">
        <w:rPr>
          <w:rFonts w:ascii="Arial Narrow" w:hAnsi="Arial Narrow"/>
          <w:sz w:val="26"/>
          <w:szCs w:val="26"/>
          <w:lang w:val="es-CO"/>
        </w:rPr>
        <w:t xml:space="preserve"> mora</w:t>
      </w:r>
      <w:r w:rsidR="00646CDF" w:rsidRPr="005E2453">
        <w:rPr>
          <w:rFonts w:ascii="Arial Narrow" w:hAnsi="Arial Narrow"/>
          <w:sz w:val="26"/>
          <w:szCs w:val="26"/>
          <w:lang w:val="es-CO"/>
        </w:rPr>
        <w:t>,</w:t>
      </w:r>
      <w:r w:rsidR="00590E14" w:rsidRPr="005E2453">
        <w:rPr>
          <w:rFonts w:ascii="Arial Narrow" w:hAnsi="Arial Narrow"/>
          <w:sz w:val="26"/>
          <w:szCs w:val="26"/>
          <w:lang w:val="es-CO"/>
        </w:rPr>
        <w:t xml:space="preserve"> y </w:t>
      </w:r>
      <w:r w:rsidR="00E83054" w:rsidRPr="005E2453">
        <w:rPr>
          <w:rFonts w:ascii="Arial Narrow" w:hAnsi="Arial Narrow"/>
          <w:sz w:val="26"/>
          <w:szCs w:val="26"/>
          <w:lang w:val="es-CO"/>
        </w:rPr>
        <w:t>que,</w:t>
      </w:r>
      <w:r w:rsidR="00590E14" w:rsidRPr="005E2453">
        <w:rPr>
          <w:rFonts w:ascii="Arial Narrow" w:hAnsi="Arial Narrow"/>
          <w:sz w:val="26"/>
          <w:szCs w:val="26"/>
          <w:lang w:val="es-CO"/>
        </w:rPr>
        <w:t xml:space="preserve"> pasados más de veinte días</w:t>
      </w:r>
      <w:r w:rsidR="00646CDF" w:rsidRPr="005E2453">
        <w:rPr>
          <w:rFonts w:ascii="Arial Narrow" w:hAnsi="Arial Narrow"/>
          <w:sz w:val="26"/>
          <w:szCs w:val="26"/>
          <w:lang w:val="es-CO"/>
        </w:rPr>
        <w:t xml:space="preserve">, si </w:t>
      </w:r>
      <w:r w:rsidR="00590E14" w:rsidRPr="005E2453">
        <w:rPr>
          <w:rFonts w:ascii="Arial Narrow" w:hAnsi="Arial Narrow"/>
          <w:sz w:val="26"/>
          <w:szCs w:val="26"/>
          <w:lang w:val="es-CO"/>
        </w:rPr>
        <w:t>persist</w:t>
      </w:r>
      <w:r w:rsidR="00416C3D" w:rsidRPr="005E2453">
        <w:rPr>
          <w:rFonts w:ascii="Arial Narrow" w:hAnsi="Arial Narrow"/>
          <w:sz w:val="26"/>
          <w:szCs w:val="26"/>
          <w:lang w:val="es-CO"/>
        </w:rPr>
        <w:t>ía</w:t>
      </w:r>
      <w:r w:rsidR="00590E14" w:rsidRPr="005E2453">
        <w:rPr>
          <w:rFonts w:ascii="Arial Narrow" w:hAnsi="Arial Narrow"/>
          <w:sz w:val="26"/>
          <w:szCs w:val="26"/>
          <w:lang w:val="es-CO"/>
        </w:rPr>
        <w:t xml:space="preserve"> el incumplimiento, se procedería a realizar reporte negativo en las centrales de riesgo</w:t>
      </w:r>
      <w:r w:rsidR="00590E14" w:rsidRPr="005E2453">
        <w:rPr>
          <w:rStyle w:val="Refdenotaalpie"/>
          <w:rFonts w:ascii="Arial Narrow" w:hAnsi="Arial Narrow"/>
          <w:sz w:val="26"/>
          <w:szCs w:val="26"/>
          <w:lang w:val="es-CO"/>
        </w:rPr>
        <w:footnoteReference w:id="7"/>
      </w:r>
      <w:r w:rsidR="00590E14" w:rsidRPr="005E2453">
        <w:rPr>
          <w:rFonts w:ascii="Arial Narrow" w:hAnsi="Arial Narrow"/>
          <w:sz w:val="26"/>
          <w:szCs w:val="26"/>
          <w:lang w:val="es-CO"/>
        </w:rPr>
        <w:t>.</w:t>
      </w:r>
    </w:p>
    <w:p w14:paraId="6EFBAE32" w14:textId="77777777" w:rsidR="00450667" w:rsidRPr="005E2453" w:rsidRDefault="00450667" w:rsidP="005E2453">
      <w:pPr>
        <w:pStyle w:val="Sinespaciado"/>
        <w:spacing w:line="276" w:lineRule="auto"/>
        <w:jc w:val="both"/>
        <w:rPr>
          <w:rFonts w:ascii="Arial Narrow" w:hAnsi="Arial Narrow"/>
          <w:sz w:val="26"/>
          <w:szCs w:val="26"/>
          <w:lang w:val="es-CO"/>
        </w:rPr>
      </w:pPr>
    </w:p>
    <w:p w14:paraId="4856B63D" w14:textId="77777777" w:rsidR="00590E14" w:rsidRPr="005E2453" w:rsidRDefault="00590E14" w:rsidP="005E2453">
      <w:pPr>
        <w:pStyle w:val="Sinespaciado"/>
        <w:spacing w:line="276" w:lineRule="auto"/>
        <w:jc w:val="both"/>
        <w:rPr>
          <w:rFonts w:ascii="Arial Narrow" w:hAnsi="Arial Narrow"/>
          <w:spacing w:val="-2"/>
          <w:sz w:val="26"/>
          <w:szCs w:val="26"/>
        </w:rPr>
      </w:pPr>
      <w:r w:rsidRPr="005E2453">
        <w:rPr>
          <w:rFonts w:ascii="Arial Narrow" w:hAnsi="Arial Narrow"/>
          <w:b/>
          <w:spacing w:val="-2"/>
          <w:sz w:val="26"/>
          <w:szCs w:val="26"/>
        </w:rPr>
        <w:t xml:space="preserve">5.2. </w:t>
      </w:r>
      <w:r w:rsidRPr="005E2453">
        <w:rPr>
          <w:rFonts w:ascii="Arial Narrow" w:hAnsi="Arial Narrow"/>
          <w:spacing w:val="-2"/>
          <w:sz w:val="26"/>
          <w:szCs w:val="26"/>
        </w:rPr>
        <w:t>Esta comunicación fue remitida a la calle 20c No. 29-46 de Pereira</w:t>
      </w:r>
      <w:r w:rsidR="007C2111" w:rsidRPr="005E2453">
        <w:rPr>
          <w:rFonts w:ascii="Arial Narrow" w:hAnsi="Arial Narrow"/>
          <w:spacing w:val="-2"/>
          <w:sz w:val="26"/>
          <w:szCs w:val="26"/>
        </w:rPr>
        <w:t>, en la cual fue recibida</w:t>
      </w:r>
      <w:r w:rsidR="007C2111" w:rsidRPr="005E2453">
        <w:rPr>
          <w:rStyle w:val="Refdenotaalpie"/>
          <w:rFonts w:ascii="Arial Narrow" w:hAnsi="Arial Narrow"/>
          <w:sz w:val="26"/>
          <w:szCs w:val="26"/>
        </w:rPr>
        <w:footnoteReference w:id="8"/>
      </w:r>
      <w:r w:rsidR="00572E02" w:rsidRPr="005E2453">
        <w:rPr>
          <w:rFonts w:ascii="Arial Narrow" w:hAnsi="Arial Narrow"/>
          <w:spacing w:val="-2"/>
          <w:sz w:val="26"/>
          <w:szCs w:val="26"/>
        </w:rPr>
        <w:t>;</w:t>
      </w:r>
      <w:r w:rsidR="007C2111" w:rsidRPr="005E2453">
        <w:rPr>
          <w:rFonts w:ascii="Arial Narrow" w:hAnsi="Arial Narrow"/>
          <w:spacing w:val="-2"/>
          <w:sz w:val="26"/>
          <w:szCs w:val="26"/>
        </w:rPr>
        <w:t xml:space="preserve"> dirección que del citado señor aparece regi</w:t>
      </w:r>
      <w:r w:rsidR="00E46F4F" w:rsidRPr="005E2453">
        <w:rPr>
          <w:rFonts w:ascii="Arial Narrow" w:hAnsi="Arial Narrow"/>
          <w:spacing w:val="-2"/>
          <w:sz w:val="26"/>
          <w:szCs w:val="26"/>
        </w:rPr>
        <w:t>strada en las bases de datos de ese Instituto</w:t>
      </w:r>
      <w:r w:rsidRPr="005E2453">
        <w:rPr>
          <w:rStyle w:val="Refdenotaalpie"/>
          <w:rFonts w:ascii="Arial Narrow" w:hAnsi="Arial Narrow"/>
          <w:sz w:val="26"/>
          <w:szCs w:val="26"/>
        </w:rPr>
        <w:footnoteReference w:id="9"/>
      </w:r>
      <w:r w:rsidRPr="005E2453">
        <w:rPr>
          <w:rFonts w:ascii="Arial Narrow" w:hAnsi="Arial Narrow"/>
          <w:spacing w:val="-2"/>
          <w:sz w:val="26"/>
          <w:szCs w:val="26"/>
        </w:rPr>
        <w:t>.</w:t>
      </w:r>
    </w:p>
    <w:p w14:paraId="419A2896" w14:textId="77777777" w:rsidR="00572E02" w:rsidRPr="005E2453" w:rsidRDefault="00572E02" w:rsidP="005E2453">
      <w:pPr>
        <w:pStyle w:val="Sinespaciado"/>
        <w:spacing w:line="276" w:lineRule="auto"/>
        <w:jc w:val="both"/>
        <w:rPr>
          <w:rFonts w:ascii="Arial Narrow" w:hAnsi="Arial Narrow"/>
          <w:spacing w:val="-2"/>
          <w:sz w:val="26"/>
          <w:szCs w:val="26"/>
        </w:rPr>
      </w:pPr>
    </w:p>
    <w:p w14:paraId="5213E7F2" w14:textId="77777777" w:rsidR="00C96FC5" w:rsidRPr="005E2453" w:rsidRDefault="00C96FC5"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 xml:space="preserve">La anterior información aparece relatada en el informe rendido por la accionada, donde se incluyen las imágenes tanto de la base datos que da cuenta de la dirección del envío, como de la constancia de entrega por la empresa de correo. La información, además, se soporta en certificación adosada al citado informe, </w:t>
      </w:r>
      <w:r w:rsidR="00CD6359" w:rsidRPr="005E2453">
        <w:rPr>
          <w:rFonts w:ascii="Arial Narrow" w:hAnsi="Arial Narrow"/>
          <w:spacing w:val="-2"/>
          <w:sz w:val="26"/>
          <w:szCs w:val="26"/>
        </w:rPr>
        <w:t xml:space="preserve">de fecha 2 de julio de 2021, </w:t>
      </w:r>
      <w:r w:rsidR="0058719B" w:rsidRPr="005E2453">
        <w:rPr>
          <w:rFonts w:ascii="Arial Narrow" w:hAnsi="Arial Narrow"/>
          <w:spacing w:val="-2"/>
          <w:sz w:val="26"/>
          <w:szCs w:val="26"/>
        </w:rPr>
        <w:t>que se atribuye al COORDINADOR GRUPO ADMINISTRACION CARTERA</w:t>
      </w:r>
      <w:r w:rsidR="0058719B" w:rsidRPr="005E2453">
        <w:rPr>
          <w:rStyle w:val="Refdenotaalpie"/>
          <w:rFonts w:ascii="Arial Narrow" w:hAnsi="Arial Narrow"/>
          <w:spacing w:val="-2"/>
          <w:sz w:val="26"/>
          <w:szCs w:val="26"/>
        </w:rPr>
        <w:footnoteReference w:id="10"/>
      </w:r>
      <w:r w:rsidR="0058719B" w:rsidRPr="005E2453">
        <w:rPr>
          <w:rFonts w:ascii="Arial Narrow" w:hAnsi="Arial Narrow"/>
          <w:spacing w:val="-2"/>
          <w:sz w:val="26"/>
          <w:szCs w:val="26"/>
        </w:rPr>
        <w:t xml:space="preserve">. </w:t>
      </w:r>
    </w:p>
    <w:p w14:paraId="60B60681" w14:textId="77777777" w:rsidR="0058719B" w:rsidRPr="005E2453" w:rsidRDefault="0058719B" w:rsidP="005E2453">
      <w:pPr>
        <w:pStyle w:val="Sinespaciado"/>
        <w:spacing w:line="276" w:lineRule="auto"/>
        <w:jc w:val="both"/>
        <w:rPr>
          <w:rFonts w:ascii="Arial Narrow" w:hAnsi="Arial Narrow"/>
          <w:spacing w:val="-2"/>
          <w:sz w:val="26"/>
          <w:szCs w:val="26"/>
        </w:rPr>
      </w:pPr>
    </w:p>
    <w:p w14:paraId="422469AA" w14:textId="77777777" w:rsidR="00A13BFC" w:rsidRPr="005E2453" w:rsidRDefault="00572E02" w:rsidP="005E2453">
      <w:pPr>
        <w:pStyle w:val="Sinespaciado"/>
        <w:spacing w:line="276" w:lineRule="auto"/>
        <w:jc w:val="both"/>
        <w:rPr>
          <w:rFonts w:ascii="Arial Narrow" w:hAnsi="Arial Narrow"/>
          <w:spacing w:val="-2"/>
          <w:sz w:val="26"/>
          <w:szCs w:val="26"/>
        </w:rPr>
      </w:pPr>
      <w:r w:rsidRPr="005E2453">
        <w:rPr>
          <w:rFonts w:ascii="Arial Narrow" w:hAnsi="Arial Narrow"/>
          <w:b/>
          <w:spacing w:val="-2"/>
          <w:sz w:val="26"/>
          <w:szCs w:val="26"/>
        </w:rPr>
        <w:t>5.3.</w:t>
      </w:r>
      <w:r w:rsidR="00932232" w:rsidRPr="005E2453">
        <w:rPr>
          <w:rFonts w:ascii="Arial Narrow" w:hAnsi="Arial Narrow"/>
          <w:b/>
          <w:spacing w:val="-2"/>
          <w:sz w:val="26"/>
          <w:szCs w:val="26"/>
        </w:rPr>
        <w:t xml:space="preserve"> </w:t>
      </w:r>
      <w:r w:rsidR="00932232" w:rsidRPr="005E2453">
        <w:rPr>
          <w:rFonts w:ascii="Arial Narrow" w:hAnsi="Arial Narrow"/>
          <w:spacing w:val="-2"/>
          <w:sz w:val="26"/>
          <w:szCs w:val="26"/>
        </w:rPr>
        <w:t xml:space="preserve">Según información brindada por </w:t>
      </w:r>
      <w:r w:rsidR="00E709D2" w:rsidRPr="005E2453">
        <w:rPr>
          <w:rFonts w:ascii="Arial Narrow" w:hAnsi="Arial Narrow"/>
          <w:spacing w:val="-2"/>
          <w:sz w:val="26"/>
          <w:szCs w:val="26"/>
        </w:rPr>
        <w:t xml:space="preserve">las vinculadas </w:t>
      </w:r>
      <w:proofErr w:type="spellStart"/>
      <w:r w:rsidR="00932232" w:rsidRPr="005E2453">
        <w:rPr>
          <w:rFonts w:ascii="Arial Narrow" w:hAnsi="Arial Narrow"/>
          <w:spacing w:val="-2"/>
          <w:sz w:val="26"/>
          <w:szCs w:val="26"/>
        </w:rPr>
        <w:t>Datacrédito</w:t>
      </w:r>
      <w:proofErr w:type="spellEnd"/>
      <w:r w:rsidR="00932232" w:rsidRPr="005E2453">
        <w:rPr>
          <w:rFonts w:ascii="Arial Narrow" w:hAnsi="Arial Narrow"/>
          <w:spacing w:val="-2"/>
          <w:sz w:val="26"/>
          <w:szCs w:val="26"/>
        </w:rPr>
        <w:t xml:space="preserve"> y </w:t>
      </w:r>
      <w:proofErr w:type="spellStart"/>
      <w:r w:rsidR="00932232" w:rsidRPr="005E2453">
        <w:rPr>
          <w:rFonts w:ascii="Arial Narrow" w:hAnsi="Arial Narrow"/>
          <w:spacing w:val="-2"/>
          <w:sz w:val="26"/>
          <w:szCs w:val="26"/>
        </w:rPr>
        <w:t>Trans</w:t>
      </w:r>
      <w:r w:rsidR="005E2042" w:rsidRPr="005E2453">
        <w:rPr>
          <w:rFonts w:ascii="Arial Narrow" w:hAnsi="Arial Narrow"/>
          <w:spacing w:val="-2"/>
          <w:sz w:val="26"/>
          <w:szCs w:val="26"/>
        </w:rPr>
        <w:t>U</w:t>
      </w:r>
      <w:r w:rsidR="00932232" w:rsidRPr="005E2453">
        <w:rPr>
          <w:rFonts w:ascii="Arial Narrow" w:hAnsi="Arial Narrow"/>
          <w:spacing w:val="-2"/>
          <w:sz w:val="26"/>
          <w:szCs w:val="26"/>
        </w:rPr>
        <w:t>nión</w:t>
      </w:r>
      <w:proofErr w:type="spellEnd"/>
      <w:r w:rsidR="00932232" w:rsidRPr="005E2453">
        <w:rPr>
          <w:rFonts w:ascii="Arial Narrow" w:hAnsi="Arial Narrow"/>
          <w:spacing w:val="-2"/>
          <w:sz w:val="26"/>
          <w:szCs w:val="26"/>
        </w:rPr>
        <w:t xml:space="preserve"> -</w:t>
      </w:r>
      <w:proofErr w:type="spellStart"/>
      <w:r w:rsidR="00932232" w:rsidRPr="005E2453">
        <w:rPr>
          <w:rFonts w:ascii="Arial Narrow" w:hAnsi="Arial Narrow"/>
          <w:spacing w:val="-2"/>
          <w:sz w:val="26"/>
          <w:szCs w:val="26"/>
        </w:rPr>
        <w:t>Cifin</w:t>
      </w:r>
      <w:proofErr w:type="spellEnd"/>
      <w:r w:rsidR="00932232" w:rsidRPr="005E2453">
        <w:rPr>
          <w:rFonts w:ascii="Arial Narrow" w:hAnsi="Arial Narrow"/>
          <w:spacing w:val="-2"/>
          <w:sz w:val="26"/>
          <w:szCs w:val="26"/>
        </w:rPr>
        <w:t>-,</w:t>
      </w:r>
      <w:r w:rsidR="009F2C36" w:rsidRPr="005E2453">
        <w:rPr>
          <w:rFonts w:ascii="Arial Narrow" w:hAnsi="Arial Narrow"/>
          <w:spacing w:val="-2"/>
          <w:sz w:val="26"/>
          <w:szCs w:val="26"/>
        </w:rPr>
        <w:t xml:space="preserve"> y en cuanto a la obligación que acá interesa, </w:t>
      </w:r>
      <w:r w:rsidR="00932232" w:rsidRPr="005E2453">
        <w:rPr>
          <w:rFonts w:ascii="Arial Narrow" w:hAnsi="Arial Narrow"/>
          <w:spacing w:val="-2"/>
          <w:sz w:val="26"/>
          <w:szCs w:val="26"/>
        </w:rPr>
        <w:t>el actor cuenta con reporte negativo por el ICETEX en esas bases de datos, respectivamente</w:t>
      </w:r>
      <w:r w:rsidR="00A13BFC" w:rsidRPr="005E2453">
        <w:rPr>
          <w:rFonts w:ascii="Arial Narrow" w:hAnsi="Arial Narrow"/>
          <w:spacing w:val="-2"/>
          <w:sz w:val="26"/>
          <w:szCs w:val="26"/>
        </w:rPr>
        <w:t>:</w:t>
      </w:r>
    </w:p>
    <w:p w14:paraId="09F680B1" w14:textId="77777777" w:rsidR="00A13BFC" w:rsidRPr="005E2453" w:rsidRDefault="00A13BFC" w:rsidP="005E2453">
      <w:pPr>
        <w:pStyle w:val="Sinespaciado"/>
        <w:spacing w:line="276" w:lineRule="auto"/>
        <w:jc w:val="both"/>
        <w:rPr>
          <w:rFonts w:ascii="Arial Narrow" w:hAnsi="Arial Narrow"/>
          <w:spacing w:val="-2"/>
          <w:sz w:val="26"/>
          <w:szCs w:val="26"/>
        </w:rPr>
      </w:pPr>
    </w:p>
    <w:p w14:paraId="50B3C949" w14:textId="77777777" w:rsidR="00821752" w:rsidRPr="005E2453" w:rsidRDefault="00A13BFC" w:rsidP="005E2453">
      <w:pPr>
        <w:pStyle w:val="Sinespaciado"/>
        <w:spacing w:line="276" w:lineRule="auto"/>
        <w:jc w:val="both"/>
        <w:rPr>
          <w:rFonts w:ascii="Arial Narrow" w:hAnsi="Arial Narrow"/>
          <w:spacing w:val="-2"/>
          <w:sz w:val="26"/>
          <w:szCs w:val="26"/>
        </w:rPr>
      </w:pPr>
      <w:r w:rsidRPr="005E2453">
        <w:rPr>
          <w:rFonts w:ascii="Arial Narrow" w:hAnsi="Arial Narrow"/>
          <w:b/>
          <w:bCs/>
          <w:spacing w:val="-2"/>
          <w:sz w:val="26"/>
          <w:szCs w:val="26"/>
        </w:rPr>
        <w:lastRenderedPageBreak/>
        <w:t xml:space="preserve">5.3.1 </w:t>
      </w:r>
      <w:proofErr w:type="spellStart"/>
      <w:r w:rsidRPr="005E2453">
        <w:rPr>
          <w:rFonts w:ascii="Arial Narrow" w:hAnsi="Arial Narrow"/>
          <w:spacing w:val="-2"/>
          <w:sz w:val="26"/>
          <w:szCs w:val="26"/>
        </w:rPr>
        <w:t>Datacrédito</w:t>
      </w:r>
      <w:proofErr w:type="spellEnd"/>
      <w:r w:rsidRPr="005E2453">
        <w:rPr>
          <w:rFonts w:ascii="Arial Narrow" w:hAnsi="Arial Narrow"/>
          <w:spacing w:val="-2"/>
          <w:sz w:val="26"/>
          <w:szCs w:val="26"/>
        </w:rPr>
        <w:t>:</w:t>
      </w:r>
      <w:r w:rsidR="00932232" w:rsidRPr="005E2453">
        <w:rPr>
          <w:rFonts w:ascii="Arial Narrow" w:hAnsi="Arial Narrow"/>
          <w:spacing w:val="-2"/>
          <w:sz w:val="26"/>
          <w:szCs w:val="26"/>
        </w:rPr>
        <w:t xml:space="preserve"> por la obligación </w:t>
      </w:r>
      <w:r w:rsidR="004A7ADA" w:rsidRPr="005E2453">
        <w:rPr>
          <w:rFonts w:ascii="Arial Narrow" w:hAnsi="Arial Narrow"/>
          <w:spacing w:val="-2"/>
          <w:sz w:val="26"/>
          <w:szCs w:val="26"/>
        </w:rPr>
        <w:t>No.</w:t>
      </w:r>
      <w:r w:rsidR="00932232" w:rsidRPr="005E2453">
        <w:rPr>
          <w:rFonts w:ascii="Arial Narrow" w:hAnsi="Arial Narrow"/>
          <w:spacing w:val="-2"/>
          <w:sz w:val="26"/>
          <w:szCs w:val="26"/>
        </w:rPr>
        <w:t xml:space="preserve"> 174014403 l</w:t>
      </w:r>
      <w:r w:rsidR="00E46F4F" w:rsidRPr="005E2453">
        <w:rPr>
          <w:rFonts w:ascii="Arial Narrow" w:hAnsi="Arial Narrow"/>
          <w:spacing w:val="-2"/>
          <w:sz w:val="26"/>
          <w:szCs w:val="26"/>
        </w:rPr>
        <w:t>a</w:t>
      </w:r>
      <w:r w:rsidR="00932232" w:rsidRPr="005E2453">
        <w:rPr>
          <w:rFonts w:ascii="Arial Narrow" w:hAnsi="Arial Narrow"/>
          <w:spacing w:val="-2"/>
          <w:sz w:val="26"/>
          <w:szCs w:val="26"/>
        </w:rPr>
        <w:t xml:space="preserve"> cual registra como fecha del primer comportamiento negativo el mes enero de 2020</w:t>
      </w:r>
      <w:r w:rsidR="00711830" w:rsidRPr="005E2453">
        <w:rPr>
          <w:rFonts w:ascii="Arial Narrow" w:hAnsi="Arial Narrow"/>
          <w:spacing w:val="-2"/>
          <w:sz w:val="26"/>
          <w:szCs w:val="26"/>
        </w:rPr>
        <w:t>, cuenta con una mora de seis meses</w:t>
      </w:r>
      <w:r w:rsidR="00932232" w:rsidRPr="005E2453">
        <w:rPr>
          <w:rFonts w:ascii="Arial Narrow" w:hAnsi="Arial Narrow"/>
          <w:spacing w:val="-2"/>
          <w:sz w:val="26"/>
          <w:szCs w:val="26"/>
        </w:rPr>
        <w:t xml:space="preserve"> </w:t>
      </w:r>
      <w:r w:rsidR="00711830" w:rsidRPr="005E2453">
        <w:rPr>
          <w:rFonts w:ascii="Arial Narrow" w:hAnsi="Arial Narrow"/>
          <w:spacing w:val="-2"/>
          <w:sz w:val="26"/>
          <w:szCs w:val="26"/>
        </w:rPr>
        <w:t xml:space="preserve">al mes de julio de ese mismo año </w:t>
      </w:r>
      <w:r w:rsidR="00932232" w:rsidRPr="005E2453">
        <w:rPr>
          <w:rFonts w:ascii="Arial Narrow" w:hAnsi="Arial Narrow"/>
          <w:spacing w:val="-2"/>
          <w:sz w:val="26"/>
          <w:szCs w:val="26"/>
        </w:rPr>
        <w:t>y presenta pago voluntario del mes de agosto</w:t>
      </w:r>
      <w:r w:rsidR="00711830" w:rsidRPr="005E2453">
        <w:rPr>
          <w:rFonts w:ascii="Arial Narrow" w:hAnsi="Arial Narrow"/>
          <w:spacing w:val="-2"/>
          <w:sz w:val="26"/>
          <w:szCs w:val="26"/>
        </w:rPr>
        <w:t xml:space="preserve"> siguiente</w:t>
      </w:r>
      <w:r w:rsidR="00932232" w:rsidRPr="005E2453">
        <w:rPr>
          <w:rStyle w:val="Refdenotaalpie"/>
          <w:rFonts w:ascii="Arial Narrow" w:hAnsi="Arial Narrow"/>
          <w:spacing w:val="-2"/>
          <w:sz w:val="26"/>
          <w:szCs w:val="26"/>
        </w:rPr>
        <w:footnoteReference w:id="11"/>
      </w:r>
      <w:r w:rsidR="00821752" w:rsidRPr="005E2453">
        <w:rPr>
          <w:rFonts w:ascii="Arial Narrow" w:hAnsi="Arial Narrow"/>
          <w:spacing w:val="-2"/>
          <w:sz w:val="26"/>
          <w:szCs w:val="26"/>
        </w:rPr>
        <w:t xml:space="preserve">; </w:t>
      </w:r>
    </w:p>
    <w:p w14:paraId="1C3DDE32" w14:textId="77777777" w:rsidR="00821752" w:rsidRPr="005E2453" w:rsidRDefault="00821752" w:rsidP="005E2453">
      <w:pPr>
        <w:pStyle w:val="Sinespaciado"/>
        <w:spacing w:line="276" w:lineRule="auto"/>
        <w:jc w:val="both"/>
        <w:rPr>
          <w:rFonts w:ascii="Arial Narrow" w:hAnsi="Arial Narrow"/>
          <w:spacing w:val="-2"/>
          <w:sz w:val="26"/>
          <w:szCs w:val="26"/>
        </w:rPr>
      </w:pPr>
    </w:p>
    <w:p w14:paraId="0C81F47E" w14:textId="77777777" w:rsidR="00932232" w:rsidRPr="005E2453" w:rsidRDefault="00821752" w:rsidP="005E2453">
      <w:pPr>
        <w:pStyle w:val="Sinespaciado"/>
        <w:spacing w:line="276" w:lineRule="auto"/>
        <w:jc w:val="both"/>
        <w:rPr>
          <w:rFonts w:ascii="Arial Narrow" w:hAnsi="Arial Narrow"/>
          <w:spacing w:val="-2"/>
          <w:sz w:val="26"/>
          <w:szCs w:val="26"/>
        </w:rPr>
      </w:pPr>
      <w:r w:rsidRPr="005E2453">
        <w:rPr>
          <w:rFonts w:ascii="Arial Narrow" w:hAnsi="Arial Narrow"/>
          <w:b/>
          <w:bCs/>
          <w:spacing w:val="-2"/>
          <w:sz w:val="26"/>
          <w:szCs w:val="26"/>
        </w:rPr>
        <w:t xml:space="preserve">5.3.2 </w:t>
      </w:r>
      <w:proofErr w:type="spellStart"/>
      <w:r w:rsidR="005E2042" w:rsidRPr="005E2453">
        <w:rPr>
          <w:rFonts w:ascii="Arial Narrow" w:hAnsi="Arial Narrow"/>
          <w:spacing w:val="-2"/>
          <w:sz w:val="26"/>
          <w:szCs w:val="26"/>
        </w:rPr>
        <w:t>TrasUnión</w:t>
      </w:r>
      <w:proofErr w:type="spellEnd"/>
      <w:r w:rsidR="005E2042" w:rsidRPr="005E2453">
        <w:rPr>
          <w:rFonts w:ascii="Arial Narrow" w:hAnsi="Arial Narrow"/>
          <w:spacing w:val="-2"/>
          <w:sz w:val="26"/>
          <w:szCs w:val="26"/>
        </w:rPr>
        <w:t>:</w:t>
      </w:r>
      <w:r w:rsidR="004A7ADA" w:rsidRPr="005E2453">
        <w:rPr>
          <w:rFonts w:ascii="Arial Narrow" w:hAnsi="Arial Narrow"/>
          <w:spacing w:val="-2"/>
          <w:sz w:val="26"/>
          <w:szCs w:val="26"/>
        </w:rPr>
        <w:t xml:space="preserve"> </w:t>
      </w:r>
      <w:r w:rsidR="005E2042" w:rsidRPr="005E2453">
        <w:rPr>
          <w:rFonts w:ascii="Arial Narrow" w:hAnsi="Arial Narrow"/>
          <w:spacing w:val="-2"/>
          <w:sz w:val="26"/>
          <w:szCs w:val="26"/>
        </w:rPr>
        <w:t xml:space="preserve">se refiere a la </w:t>
      </w:r>
      <w:r w:rsidR="004A7ADA" w:rsidRPr="005E2453">
        <w:rPr>
          <w:rFonts w:ascii="Arial Narrow" w:hAnsi="Arial Narrow"/>
          <w:spacing w:val="-2"/>
          <w:sz w:val="26"/>
          <w:szCs w:val="26"/>
        </w:rPr>
        <w:t xml:space="preserve">obligación No. 4403-7 </w:t>
      </w:r>
      <w:r w:rsidR="009C442B" w:rsidRPr="005E2453">
        <w:rPr>
          <w:rFonts w:ascii="Arial Narrow" w:hAnsi="Arial Narrow"/>
          <w:spacing w:val="-2"/>
          <w:sz w:val="26"/>
          <w:szCs w:val="26"/>
        </w:rPr>
        <w:t>“</w:t>
      </w:r>
      <w:r w:rsidR="004A7ADA" w:rsidRPr="00D5189B">
        <w:rPr>
          <w:rFonts w:ascii="Arial Narrow" w:hAnsi="Arial Narrow"/>
          <w:spacing w:val="-2"/>
          <w:sz w:val="24"/>
          <w:szCs w:val="26"/>
        </w:rPr>
        <w:t>con fecha inicial reporte</w:t>
      </w:r>
      <w:r w:rsidR="009C442B" w:rsidRPr="005E2453">
        <w:rPr>
          <w:rFonts w:ascii="Arial Narrow" w:hAnsi="Arial Narrow"/>
          <w:spacing w:val="-2"/>
          <w:sz w:val="26"/>
          <w:szCs w:val="26"/>
        </w:rPr>
        <w:t>” y de “</w:t>
      </w:r>
      <w:r w:rsidR="009C442B" w:rsidRPr="00D5189B">
        <w:rPr>
          <w:rFonts w:ascii="Arial Narrow" w:hAnsi="Arial Narrow"/>
          <w:spacing w:val="-2"/>
          <w:sz w:val="24"/>
          <w:szCs w:val="26"/>
        </w:rPr>
        <w:t>reporte de primera mora</w:t>
      </w:r>
      <w:r w:rsidR="009C442B" w:rsidRPr="005E2453">
        <w:rPr>
          <w:rFonts w:ascii="Arial Narrow" w:hAnsi="Arial Narrow"/>
          <w:spacing w:val="-2"/>
          <w:sz w:val="26"/>
          <w:szCs w:val="26"/>
        </w:rPr>
        <w:t>”</w:t>
      </w:r>
      <w:r w:rsidR="004A7ADA" w:rsidRPr="005E2453">
        <w:rPr>
          <w:rFonts w:ascii="Arial Narrow" w:hAnsi="Arial Narrow"/>
          <w:spacing w:val="-2"/>
          <w:sz w:val="26"/>
          <w:szCs w:val="26"/>
        </w:rPr>
        <w:t xml:space="preserve"> del 18 de mayo de 2016 y fecha de pago del 31 de agosto de 2020</w:t>
      </w:r>
      <w:r w:rsidR="00E46F4F" w:rsidRPr="005E2453">
        <w:rPr>
          <w:rFonts w:ascii="Arial Narrow" w:hAnsi="Arial Narrow"/>
          <w:spacing w:val="-2"/>
          <w:sz w:val="26"/>
          <w:szCs w:val="26"/>
        </w:rPr>
        <w:t>, para un total de</w:t>
      </w:r>
      <w:r w:rsidR="00BE53DB" w:rsidRPr="005E2453">
        <w:rPr>
          <w:rFonts w:ascii="Arial Narrow" w:hAnsi="Arial Narrow"/>
          <w:spacing w:val="-2"/>
          <w:sz w:val="26"/>
          <w:szCs w:val="26"/>
        </w:rPr>
        <w:t xml:space="preserve"> “</w:t>
      </w:r>
      <w:r w:rsidR="00BE53DB" w:rsidRPr="00D5189B">
        <w:rPr>
          <w:rFonts w:ascii="Arial Narrow" w:hAnsi="Arial Narrow"/>
          <w:spacing w:val="-2"/>
          <w:sz w:val="24"/>
          <w:szCs w:val="26"/>
        </w:rPr>
        <w:t>antecedente de mora</w:t>
      </w:r>
      <w:r w:rsidR="00BE53DB" w:rsidRPr="005E2453">
        <w:rPr>
          <w:rFonts w:ascii="Arial Narrow" w:hAnsi="Arial Narrow"/>
          <w:spacing w:val="-2"/>
          <w:sz w:val="26"/>
          <w:szCs w:val="26"/>
        </w:rPr>
        <w:t>” equivalente a 730 días</w:t>
      </w:r>
      <w:r w:rsidR="004A7ADA" w:rsidRPr="005E2453">
        <w:rPr>
          <w:rStyle w:val="Refdenotaalpie"/>
          <w:rFonts w:ascii="Arial Narrow" w:hAnsi="Arial Narrow"/>
          <w:spacing w:val="-2"/>
          <w:sz w:val="26"/>
          <w:szCs w:val="26"/>
        </w:rPr>
        <w:footnoteReference w:id="12"/>
      </w:r>
      <w:r w:rsidR="004A7ADA" w:rsidRPr="005E2453">
        <w:rPr>
          <w:rFonts w:ascii="Arial Narrow" w:hAnsi="Arial Narrow"/>
          <w:spacing w:val="-2"/>
          <w:sz w:val="26"/>
          <w:szCs w:val="26"/>
        </w:rPr>
        <w:t>.</w:t>
      </w:r>
      <w:r w:rsidR="00932232" w:rsidRPr="005E2453">
        <w:rPr>
          <w:rFonts w:ascii="Arial Narrow" w:hAnsi="Arial Narrow"/>
          <w:spacing w:val="-2"/>
          <w:sz w:val="26"/>
          <w:szCs w:val="26"/>
        </w:rPr>
        <w:t xml:space="preserve"> </w:t>
      </w:r>
    </w:p>
    <w:p w14:paraId="708D2E75" w14:textId="77777777" w:rsidR="00932232" w:rsidRPr="005E2453" w:rsidRDefault="00932232" w:rsidP="005E2453">
      <w:pPr>
        <w:pStyle w:val="Sinespaciado"/>
        <w:spacing w:line="276" w:lineRule="auto"/>
        <w:jc w:val="both"/>
        <w:rPr>
          <w:rFonts w:ascii="Arial Narrow" w:hAnsi="Arial Narrow"/>
          <w:b/>
          <w:spacing w:val="-2"/>
          <w:sz w:val="26"/>
          <w:szCs w:val="26"/>
        </w:rPr>
      </w:pPr>
    </w:p>
    <w:p w14:paraId="733C308B" w14:textId="77777777" w:rsidR="00D872E2" w:rsidRPr="005E2453" w:rsidRDefault="00932232" w:rsidP="005E2453">
      <w:pPr>
        <w:pStyle w:val="Sinespaciado"/>
        <w:spacing w:line="276" w:lineRule="auto"/>
        <w:jc w:val="both"/>
        <w:rPr>
          <w:rFonts w:ascii="Arial Narrow" w:hAnsi="Arial Narrow"/>
          <w:spacing w:val="-2"/>
          <w:sz w:val="26"/>
          <w:szCs w:val="26"/>
        </w:rPr>
      </w:pPr>
      <w:r w:rsidRPr="005E2453">
        <w:rPr>
          <w:rFonts w:ascii="Arial Narrow" w:hAnsi="Arial Narrow"/>
          <w:b/>
          <w:spacing w:val="-2"/>
          <w:sz w:val="26"/>
          <w:szCs w:val="26"/>
        </w:rPr>
        <w:t>5.4.</w:t>
      </w:r>
      <w:r w:rsidR="00572E02" w:rsidRPr="005E2453">
        <w:rPr>
          <w:rFonts w:ascii="Arial Narrow" w:hAnsi="Arial Narrow"/>
          <w:spacing w:val="-2"/>
          <w:sz w:val="26"/>
          <w:szCs w:val="26"/>
        </w:rPr>
        <w:t xml:space="preserve"> </w:t>
      </w:r>
      <w:r w:rsidR="00DF55A8" w:rsidRPr="005E2453">
        <w:rPr>
          <w:rFonts w:ascii="Arial Narrow" w:hAnsi="Arial Narrow"/>
          <w:spacing w:val="-2"/>
          <w:sz w:val="26"/>
          <w:szCs w:val="26"/>
        </w:rPr>
        <w:t>Mediante derecho de petición, sin fecha de recibido</w:t>
      </w:r>
      <w:r w:rsidR="00572E02" w:rsidRPr="005E2453">
        <w:rPr>
          <w:rFonts w:ascii="Arial Narrow" w:hAnsi="Arial Narrow"/>
          <w:spacing w:val="-2"/>
          <w:sz w:val="26"/>
          <w:szCs w:val="26"/>
        </w:rPr>
        <w:t>, el accionante, por intermedio de apoderada, puso en conocimiento al ICETEX que obtuvo información acerca de su reporte negativo en su historial crediticio, a pesar de que a la fecha no ha</w:t>
      </w:r>
      <w:r w:rsidR="00B8737A" w:rsidRPr="005E2453">
        <w:rPr>
          <w:rFonts w:ascii="Arial Narrow" w:hAnsi="Arial Narrow"/>
          <w:spacing w:val="-2"/>
          <w:sz w:val="26"/>
          <w:szCs w:val="26"/>
        </w:rPr>
        <w:t>bía</w:t>
      </w:r>
      <w:r w:rsidR="00572E02" w:rsidRPr="005E2453">
        <w:rPr>
          <w:rFonts w:ascii="Arial Narrow" w:hAnsi="Arial Narrow"/>
          <w:spacing w:val="-2"/>
          <w:sz w:val="26"/>
          <w:szCs w:val="26"/>
        </w:rPr>
        <w:t xml:space="preserve"> sido notificado sobre tal circunstancia. En consecuencia solicita se informe: (i) si los datos reportados por la entidad ante los operadores </w:t>
      </w:r>
      <w:proofErr w:type="spellStart"/>
      <w:r w:rsidR="00572E02" w:rsidRPr="005E2453">
        <w:rPr>
          <w:rFonts w:ascii="Arial Narrow" w:hAnsi="Arial Narrow"/>
          <w:spacing w:val="-2"/>
          <w:sz w:val="26"/>
          <w:szCs w:val="26"/>
        </w:rPr>
        <w:t>Transunión</w:t>
      </w:r>
      <w:proofErr w:type="spellEnd"/>
      <w:r w:rsidR="00572E02" w:rsidRPr="005E2453">
        <w:rPr>
          <w:rFonts w:ascii="Arial Narrow" w:hAnsi="Arial Narrow"/>
          <w:spacing w:val="-2"/>
          <w:sz w:val="26"/>
          <w:szCs w:val="26"/>
        </w:rPr>
        <w:t xml:space="preserve"> y</w:t>
      </w:r>
      <w:r w:rsidR="00E46F4F" w:rsidRPr="005E2453">
        <w:rPr>
          <w:rFonts w:ascii="Arial Narrow" w:hAnsi="Arial Narrow"/>
          <w:spacing w:val="-2"/>
          <w:sz w:val="26"/>
          <w:szCs w:val="26"/>
        </w:rPr>
        <w:t xml:space="preserve"> </w:t>
      </w:r>
      <w:proofErr w:type="spellStart"/>
      <w:r w:rsidR="00E46F4F" w:rsidRPr="005E2453">
        <w:rPr>
          <w:rFonts w:ascii="Arial Narrow" w:hAnsi="Arial Narrow"/>
          <w:spacing w:val="-2"/>
          <w:sz w:val="26"/>
          <w:szCs w:val="26"/>
        </w:rPr>
        <w:t>Datacrédito</w:t>
      </w:r>
      <w:proofErr w:type="spellEnd"/>
      <w:r w:rsidR="00E46F4F" w:rsidRPr="005E2453">
        <w:rPr>
          <w:rFonts w:ascii="Arial Narrow" w:hAnsi="Arial Narrow"/>
          <w:spacing w:val="-2"/>
          <w:sz w:val="26"/>
          <w:szCs w:val="26"/>
        </w:rPr>
        <w:t>, responden a los principios de</w:t>
      </w:r>
      <w:r w:rsidR="00572E02" w:rsidRPr="005E2453">
        <w:rPr>
          <w:rFonts w:ascii="Arial Narrow" w:hAnsi="Arial Narrow"/>
          <w:spacing w:val="-2"/>
          <w:sz w:val="26"/>
          <w:szCs w:val="26"/>
        </w:rPr>
        <w:t xml:space="preserve"> veracidad, confiabilidad y actualización de la obligación; (ii) que se brinde información sobre las condiciones del crédito académico; (iii)</w:t>
      </w:r>
      <w:r w:rsidR="009E16B8" w:rsidRPr="005E2453">
        <w:rPr>
          <w:rFonts w:ascii="Arial Narrow" w:hAnsi="Arial Narrow"/>
          <w:spacing w:val="-2"/>
          <w:sz w:val="26"/>
          <w:szCs w:val="26"/>
        </w:rPr>
        <w:t xml:space="preserve"> se expida copia de los soportes donde conste el comportamiento de la obligación; (iv) se indique si existen otras obligaciones pendientes; (v)</w:t>
      </w:r>
      <w:r w:rsidR="00E46F4F" w:rsidRPr="005E2453">
        <w:rPr>
          <w:rFonts w:ascii="Arial Narrow" w:hAnsi="Arial Narrow"/>
          <w:spacing w:val="-2"/>
          <w:sz w:val="26"/>
          <w:szCs w:val="26"/>
        </w:rPr>
        <w:t xml:space="preserve"> se brinde</w:t>
      </w:r>
      <w:r w:rsidR="009E16B8" w:rsidRPr="005E2453">
        <w:rPr>
          <w:rFonts w:ascii="Arial Narrow" w:hAnsi="Arial Narrow"/>
          <w:spacing w:val="-2"/>
          <w:sz w:val="26"/>
          <w:szCs w:val="26"/>
        </w:rPr>
        <w:t xml:space="preserve"> información sobre la fech</w:t>
      </w:r>
      <w:r w:rsidR="00B32564" w:rsidRPr="005E2453">
        <w:rPr>
          <w:rFonts w:ascii="Arial Narrow" w:hAnsi="Arial Narrow"/>
          <w:spacing w:val="-2"/>
          <w:sz w:val="26"/>
          <w:szCs w:val="26"/>
        </w:rPr>
        <w:t>a inicial del reporte y de pago</w:t>
      </w:r>
      <w:r w:rsidR="00E46F4F" w:rsidRPr="005E2453">
        <w:rPr>
          <w:rFonts w:ascii="Arial Narrow" w:hAnsi="Arial Narrow"/>
          <w:spacing w:val="-2"/>
          <w:sz w:val="26"/>
          <w:szCs w:val="26"/>
        </w:rPr>
        <w:t>, así como d</w:t>
      </w:r>
      <w:r w:rsidR="009E16B8" w:rsidRPr="005E2453">
        <w:rPr>
          <w:rFonts w:ascii="Arial Narrow" w:hAnsi="Arial Narrow"/>
          <w:spacing w:val="-2"/>
          <w:sz w:val="26"/>
          <w:szCs w:val="26"/>
        </w:rPr>
        <w:t>el e</w:t>
      </w:r>
      <w:r w:rsidR="00572E02" w:rsidRPr="005E2453">
        <w:rPr>
          <w:rFonts w:ascii="Arial Narrow" w:hAnsi="Arial Narrow"/>
          <w:spacing w:val="-2"/>
          <w:sz w:val="26"/>
          <w:szCs w:val="26"/>
        </w:rPr>
        <w:t xml:space="preserve">stado actual de cada </w:t>
      </w:r>
      <w:r w:rsidR="00B32564" w:rsidRPr="005E2453">
        <w:rPr>
          <w:rFonts w:ascii="Arial Narrow" w:hAnsi="Arial Narrow"/>
          <w:spacing w:val="-2"/>
          <w:sz w:val="26"/>
          <w:szCs w:val="26"/>
        </w:rPr>
        <w:t>la deuda</w:t>
      </w:r>
      <w:r w:rsidR="009E16B8" w:rsidRPr="005E2453">
        <w:rPr>
          <w:rFonts w:ascii="Arial Narrow" w:hAnsi="Arial Narrow"/>
          <w:spacing w:val="-2"/>
          <w:sz w:val="26"/>
          <w:szCs w:val="26"/>
        </w:rPr>
        <w:t>; (vi) se expida copia de la autorización de tratamientos de datos sensibles; (vii) se remita copia de la notificación previa al reporte negativo, así como de la respectiva cert</w:t>
      </w:r>
      <w:r w:rsidR="00B32564" w:rsidRPr="005E2453">
        <w:rPr>
          <w:rFonts w:ascii="Arial Narrow" w:hAnsi="Arial Narrow"/>
          <w:spacing w:val="-2"/>
          <w:sz w:val="26"/>
          <w:szCs w:val="26"/>
        </w:rPr>
        <w:t>ificación con la fecha de env</w:t>
      </w:r>
      <w:r w:rsidR="00AA5AA6" w:rsidRPr="005E2453">
        <w:rPr>
          <w:rFonts w:ascii="Arial Narrow" w:hAnsi="Arial Narrow"/>
          <w:spacing w:val="-2"/>
          <w:sz w:val="26"/>
          <w:szCs w:val="26"/>
        </w:rPr>
        <w:t>ío</w:t>
      </w:r>
      <w:r w:rsidR="009E16B8" w:rsidRPr="005E2453">
        <w:rPr>
          <w:rFonts w:ascii="Arial Narrow" w:hAnsi="Arial Narrow"/>
          <w:spacing w:val="-2"/>
          <w:sz w:val="26"/>
          <w:szCs w:val="26"/>
        </w:rPr>
        <w:t>; (</w:t>
      </w:r>
      <w:proofErr w:type="spellStart"/>
      <w:r w:rsidR="009E16B8" w:rsidRPr="005E2453">
        <w:rPr>
          <w:rFonts w:ascii="Arial Narrow" w:hAnsi="Arial Narrow"/>
          <w:spacing w:val="-2"/>
          <w:sz w:val="26"/>
          <w:szCs w:val="26"/>
        </w:rPr>
        <w:t>viii</w:t>
      </w:r>
      <w:proofErr w:type="spellEnd"/>
      <w:r w:rsidR="009E16B8" w:rsidRPr="005E2453">
        <w:rPr>
          <w:rFonts w:ascii="Arial Narrow" w:hAnsi="Arial Narrow"/>
          <w:spacing w:val="-2"/>
          <w:sz w:val="26"/>
          <w:szCs w:val="26"/>
        </w:rPr>
        <w:t>) de no contar con los anteriores soportes, pidió se eliminen los datos negativos que aparecen en su historial crediticio</w:t>
      </w:r>
      <w:r w:rsidRPr="005E2453">
        <w:rPr>
          <w:rFonts w:ascii="Arial Narrow" w:hAnsi="Arial Narrow"/>
          <w:spacing w:val="-2"/>
          <w:sz w:val="26"/>
          <w:szCs w:val="26"/>
        </w:rPr>
        <w:t xml:space="preserve"> y</w:t>
      </w:r>
      <w:r w:rsidR="00E46F4F" w:rsidRPr="005E2453">
        <w:rPr>
          <w:rFonts w:ascii="Arial Narrow" w:hAnsi="Arial Narrow"/>
          <w:spacing w:val="-2"/>
          <w:sz w:val="26"/>
          <w:szCs w:val="26"/>
        </w:rPr>
        <w:t xml:space="preserve"> (</w:t>
      </w:r>
      <w:proofErr w:type="spellStart"/>
      <w:r w:rsidR="00E46F4F" w:rsidRPr="005E2453">
        <w:rPr>
          <w:rFonts w:ascii="Arial Narrow" w:hAnsi="Arial Narrow"/>
          <w:spacing w:val="-2"/>
          <w:sz w:val="26"/>
          <w:szCs w:val="26"/>
        </w:rPr>
        <w:t>ix</w:t>
      </w:r>
      <w:proofErr w:type="spellEnd"/>
      <w:r w:rsidR="00E46F4F" w:rsidRPr="005E2453">
        <w:rPr>
          <w:rFonts w:ascii="Arial Narrow" w:hAnsi="Arial Narrow"/>
          <w:spacing w:val="-2"/>
          <w:sz w:val="26"/>
          <w:szCs w:val="26"/>
        </w:rPr>
        <w:t xml:space="preserve">) se indique si </w:t>
      </w:r>
      <w:r w:rsidR="009E16B8" w:rsidRPr="005E2453">
        <w:rPr>
          <w:rFonts w:ascii="Arial Narrow" w:hAnsi="Arial Narrow"/>
          <w:spacing w:val="-2"/>
          <w:sz w:val="26"/>
          <w:szCs w:val="26"/>
        </w:rPr>
        <w:t>en su contra se ha iniciado proceso relacionado con la citada obligación</w:t>
      </w:r>
      <w:r w:rsidR="00D872E2" w:rsidRPr="005E2453">
        <w:rPr>
          <w:rStyle w:val="Refdenotaalpie"/>
          <w:rFonts w:ascii="Arial Narrow" w:hAnsi="Arial Narrow"/>
          <w:sz w:val="26"/>
          <w:szCs w:val="26"/>
        </w:rPr>
        <w:footnoteReference w:id="13"/>
      </w:r>
      <w:r w:rsidR="00D872E2" w:rsidRPr="005E2453">
        <w:rPr>
          <w:rFonts w:ascii="Arial Narrow" w:hAnsi="Arial Narrow"/>
          <w:spacing w:val="-2"/>
          <w:sz w:val="26"/>
          <w:szCs w:val="26"/>
        </w:rPr>
        <w:t>.</w:t>
      </w:r>
    </w:p>
    <w:p w14:paraId="671F3004" w14:textId="77777777" w:rsidR="00D872E2" w:rsidRPr="005E2453" w:rsidRDefault="00D872E2" w:rsidP="005E2453">
      <w:pPr>
        <w:pStyle w:val="Sinespaciado"/>
        <w:spacing w:line="276" w:lineRule="auto"/>
        <w:jc w:val="both"/>
        <w:rPr>
          <w:rFonts w:ascii="Arial Narrow" w:hAnsi="Arial Narrow"/>
          <w:spacing w:val="-2"/>
          <w:sz w:val="26"/>
          <w:szCs w:val="26"/>
        </w:rPr>
      </w:pPr>
    </w:p>
    <w:p w14:paraId="3281FC78" w14:textId="77777777" w:rsidR="004C6612" w:rsidRPr="005E2453" w:rsidRDefault="00D872E2" w:rsidP="005E2453">
      <w:pPr>
        <w:pStyle w:val="Sinespaciado"/>
        <w:spacing w:line="276" w:lineRule="auto"/>
        <w:jc w:val="both"/>
        <w:rPr>
          <w:rFonts w:ascii="Arial Narrow" w:hAnsi="Arial Narrow"/>
          <w:spacing w:val="-2"/>
          <w:sz w:val="26"/>
          <w:szCs w:val="26"/>
        </w:rPr>
      </w:pPr>
      <w:r w:rsidRPr="005E2453">
        <w:rPr>
          <w:rFonts w:ascii="Arial Narrow" w:hAnsi="Arial Narrow"/>
          <w:b/>
          <w:spacing w:val="-2"/>
          <w:sz w:val="26"/>
          <w:szCs w:val="26"/>
        </w:rPr>
        <w:t>5.</w:t>
      </w:r>
      <w:r w:rsidR="00E1260B" w:rsidRPr="005E2453">
        <w:rPr>
          <w:rFonts w:ascii="Arial Narrow" w:hAnsi="Arial Narrow"/>
          <w:b/>
          <w:spacing w:val="-2"/>
          <w:sz w:val="26"/>
          <w:szCs w:val="26"/>
        </w:rPr>
        <w:t>5</w:t>
      </w:r>
      <w:r w:rsidRPr="005E2453">
        <w:rPr>
          <w:rFonts w:ascii="Arial Narrow" w:hAnsi="Arial Narrow"/>
          <w:b/>
          <w:spacing w:val="-2"/>
          <w:sz w:val="26"/>
          <w:szCs w:val="26"/>
        </w:rPr>
        <w:t>.</w:t>
      </w:r>
      <w:r w:rsidRPr="005E2453">
        <w:rPr>
          <w:rFonts w:ascii="Arial Narrow" w:hAnsi="Arial Narrow"/>
          <w:spacing w:val="-2"/>
          <w:sz w:val="26"/>
          <w:szCs w:val="26"/>
        </w:rPr>
        <w:t xml:space="preserve"> </w:t>
      </w:r>
      <w:r w:rsidR="00E1260B" w:rsidRPr="005E2453">
        <w:rPr>
          <w:rFonts w:ascii="Arial Narrow" w:hAnsi="Arial Narrow"/>
          <w:spacing w:val="-2"/>
          <w:sz w:val="26"/>
          <w:szCs w:val="26"/>
        </w:rPr>
        <w:t xml:space="preserve">En respuesta del 06 de abril de este año, el ICETEX indicó que: </w:t>
      </w:r>
    </w:p>
    <w:p w14:paraId="3FBF5A77" w14:textId="77777777" w:rsidR="004C6612" w:rsidRPr="005E2453" w:rsidRDefault="004C6612" w:rsidP="005E2453">
      <w:pPr>
        <w:pStyle w:val="Sinespaciado"/>
        <w:spacing w:line="276" w:lineRule="auto"/>
        <w:jc w:val="both"/>
        <w:rPr>
          <w:rFonts w:ascii="Arial Narrow" w:hAnsi="Arial Narrow"/>
          <w:spacing w:val="-2"/>
          <w:sz w:val="26"/>
          <w:szCs w:val="26"/>
        </w:rPr>
      </w:pPr>
    </w:p>
    <w:p w14:paraId="2AFE5D06" w14:textId="77777777" w:rsidR="004C6612" w:rsidRPr="00D54DCE" w:rsidRDefault="00E1260B" w:rsidP="00D54DCE">
      <w:pPr>
        <w:pStyle w:val="Sinespaciado"/>
        <w:ind w:left="426" w:right="420"/>
        <w:jc w:val="both"/>
        <w:rPr>
          <w:rFonts w:ascii="Arial Narrow" w:hAnsi="Arial Narrow"/>
          <w:spacing w:val="-2"/>
          <w:sz w:val="24"/>
          <w:szCs w:val="26"/>
        </w:rPr>
      </w:pPr>
      <w:r w:rsidRPr="00D54DCE">
        <w:rPr>
          <w:rFonts w:ascii="Arial Narrow" w:hAnsi="Arial Narrow"/>
          <w:spacing w:val="-2"/>
          <w:sz w:val="24"/>
          <w:szCs w:val="26"/>
        </w:rPr>
        <w:t xml:space="preserve">(i) los reportes que registran ante los operadores de información crediticia </w:t>
      </w:r>
      <w:proofErr w:type="spellStart"/>
      <w:r w:rsidRPr="00D54DCE">
        <w:rPr>
          <w:rFonts w:ascii="Arial Narrow" w:hAnsi="Arial Narrow"/>
          <w:spacing w:val="-2"/>
          <w:sz w:val="24"/>
          <w:szCs w:val="26"/>
        </w:rPr>
        <w:t>Datacrédito</w:t>
      </w:r>
      <w:proofErr w:type="spellEnd"/>
      <w:r w:rsidRPr="00D54DCE">
        <w:rPr>
          <w:rFonts w:ascii="Arial Narrow" w:hAnsi="Arial Narrow"/>
          <w:spacing w:val="-2"/>
          <w:sz w:val="24"/>
          <w:szCs w:val="26"/>
        </w:rPr>
        <w:t xml:space="preserve"> y </w:t>
      </w:r>
      <w:proofErr w:type="spellStart"/>
      <w:r w:rsidRPr="00D54DCE">
        <w:rPr>
          <w:rFonts w:ascii="Arial Narrow" w:hAnsi="Arial Narrow"/>
          <w:spacing w:val="-2"/>
          <w:sz w:val="24"/>
          <w:szCs w:val="26"/>
        </w:rPr>
        <w:t>Transunión</w:t>
      </w:r>
      <w:proofErr w:type="spellEnd"/>
      <w:r w:rsidRPr="00D54DCE">
        <w:rPr>
          <w:rFonts w:ascii="Arial Narrow" w:hAnsi="Arial Narrow"/>
          <w:spacing w:val="-2"/>
          <w:sz w:val="24"/>
          <w:szCs w:val="26"/>
        </w:rPr>
        <w:t xml:space="preserve"> hacen referencia a la obligación No. 0173841913-4, adquirida por crédito educativo en el que el peticionario figura como deudor solidario y en el cual la fecha de exigibilidad de la obligación se registra a partir de octubre de 2015, momento en que se generó la primera cuota del crédito.</w:t>
      </w:r>
      <w:r w:rsidR="00B32564" w:rsidRPr="00D54DCE">
        <w:rPr>
          <w:rFonts w:ascii="Arial Narrow" w:hAnsi="Arial Narrow"/>
          <w:spacing w:val="-2"/>
          <w:sz w:val="24"/>
          <w:szCs w:val="26"/>
        </w:rPr>
        <w:t xml:space="preserve"> Además,</w:t>
      </w:r>
      <w:r w:rsidRPr="00D54DCE">
        <w:rPr>
          <w:rFonts w:ascii="Arial Narrow" w:hAnsi="Arial Narrow"/>
          <w:spacing w:val="-2"/>
          <w:sz w:val="24"/>
          <w:szCs w:val="26"/>
        </w:rPr>
        <w:t xml:space="preserve"> “</w:t>
      </w:r>
      <w:r w:rsidRPr="00D54DCE">
        <w:rPr>
          <w:rFonts w:ascii="Arial Narrow" w:hAnsi="Arial Narrow"/>
          <w:i/>
          <w:iCs/>
          <w:spacing w:val="-2"/>
          <w:sz w:val="24"/>
          <w:szCs w:val="26"/>
        </w:rPr>
        <w:t>Dada la mora que registraba el crédito, el 05/06/2017 fue trasladada a etapa final de amortización con un saldo total adeudado de $423,758.81 correspondiente al saldo del giro realizado $418.828,00 más el saldo de intereses causados durante la época de estudios $ 4.930,81. La sumatorios de estos valores conforman el nuevo capital sobre el cual se amortiza el crédito</w:t>
      </w:r>
      <w:r w:rsidRPr="00D54DCE">
        <w:rPr>
          <w:rFonts w:ascii="Arial Narrow" w:hAnsi="Arial Narrow"/>
          <w:spacing w:val="-2"/>
          <w:sz w:val="24"/>
          <w:szCs w:val="26"/>
        </w:rPr>
        <w:t>”.</w:t>
      </w:r>
      <w:r w:rsidR="00A45AE7" w:rsidRPr="00D54DCE">
        <w:rPr>
          <w:rFonts w:ascii="Arial Narrow" w:hAnsi="Arial Narrow"/>
          <w:spacing w:val="-2"/>
          <w:sz w:val="24"/>
          <w:szCs w:val="26"/>
        </w:rPr>
        <w:t xml:space="preserve"> Así mismo, se brindó información sobre las demás condiciones de crédito educativo y se indicó que esa obligación fue saldada el </w:t>
      </w:r>
      <w:r w:rsidR="00E46F4F" w:rsidRPr="00D54DCE">
        <w:rPr>
          <w:rFonts w:ascii="Arial Narrow" w:hAnsi="Arial Narrow"/>
          <w:spacing w:val="-2"/>
          <w:sz w:val="24"/>
          <w:szCs w:val="26"/>
        </w:rPr>
        <w:t>0</w:t>
      </w:r>
      <w:r w:rsidR="00A45AE7" w:rsidRPr="00D54DCE">
        <w:rPr>
          <w:rFonts w:ascii="Arial Narrow" w:hAnsi="Arial Narrow"/>
          <w:spacing w:val="-2"/>
          <w:sz w:val="24"/>
          <w:szCs w:val="26"/>
        </w:rPr>
        <w:t xml:space="preserve">2 de julio de 2020; </w:t>
      </w:r>
    </w:p>
    <w:p w14:paraId="7B438831" w14:textId="77777777" w:rsidR="004C6612" w:rsidRPr="00D54DCE" w:rsidRDefault="004C6612" w:rsidP="00D54DCE">
      <w:pPr>
        <w:pStyle w:val="Sinespaciado"/>
        <w:ind w:left="426" w:right="420"/>
        <w:jc w:val="both"/>
        <w:rPr>
          <w:rFonts w:ascii="Arial Narrow" w:hAnsi="Arial Narrow"/>
          <w:spacing w:val="-2"/>
          <w:sz w:val="24"/>
          <w:szCs w:val="26"/>
        </w:rPr>
      </w:pPr>
    </w:p>
    <w:p w14:paraId="68CCB7E9" w14:textId="77777777" w:rsidR="004C6612" w:rsidRPr="00D54DCE" w:rsidRDefault="00A45AE7" w:rsidP="00D54DCE">
      <w:pPr>
        <w:pStyle w:val="Sinespaciado"/>
        <w:ind w:left="426" w:right="420"/>
        <w:jc w:val="both"/>
        <w:rPr>
          <w:rFonts w:ascii="Arial Narrow" w:hAnsi="Arial Narrow"/>
          <w:spacing w:val="-2"/>
          <w:sz w:val="24"/>
          <w:szCs w:val="26"/>
        </w:rPr>
      </w:pPr>
      <w:r w:rsidRPr="00D54DCE">
        <w:rPr>
          <w:rFonts w:ascii="Arial Narrow" w:hAnsi="Arial Narrow"/>
          <w:spacing w:val="-2"/>
          <w:sz w:val="24"/>
          <w:szCs w:val="26"/>
        </w:rPr>
        <w:t>(ii) l</w:t>
      </w:r>
      <w:r w:rsidR="00E1260B" w:rsidRPr="00D54DCE">
        <w:rPr>
          <w:rFonts w:ascii="Arial Narrow" w:hAnsi="Arial Narrow"/>
          <w:spacing w:val="-2"/>
          <w:sz w:val="24"/>
          <w:szCs w:val="26"/>
        </w:rPr>
        <w:t>a autorización previa para efectuar reportes ante</w:t>
      </w:r>
      <w:r w:rsidRPr="00D54DCE">
        <w:rPr>
          <w:rFonts w:ascii="Arial Narrow" w:hAnsi="Arial Narrow"/>
          <w:spacing w:val="-2"/>
          <w:sz w:val="24"/>
          <w:szCs w:val="26"/>
        </w:rPr>
        <w:t xml:space="preserve"> los operadores de información </w:t>
      </w:r>
      <w:r w:rsidR="00E1260B" w:rsidRPr="00D54DCE">
        <w:rPr>
          <w:rFonts w:ascii="Arial Narrow" w:hAnsi="Arial Narrow"/>
          <w:spacing w:val="-2"/>
          <w:sz w:val="24"/>
          <w:szCs w:val="26"/>
        </w:rPr>
        <w:t>crediticia fue</w:t>
      </w:r>
      <w:r w:rsidRPr="00D54DCE">
        <w:rPr>
          <w:rFonts w:ascii="Arial Narrow" w:hAnsi="Arial Narrow"/>
          <w:spacing w:val="-2"/>
          <w:sz w:val="24"/>
          <w:szCs w:val="26"/>
        </w:rPr>
        <w:t xml:space="preserve"> </w:t>
      </w:r>
      <w:r w:rsidR="00E1260B" w:rsidRPr="00D54DCE">
        <w:rPr>
          <w:rFonts w:ascii="Arial Narrow" w:hAnsi="Arial Narrow"/>
          <w:spacing w:val="-2"/>
          <w:sz w:val="24"/>
          <w:szCs w:val="26"/>
        </w:rPr>
        <w:t xml:space="preserve">otorgada por la beneficiaria y </w:t>
      </w:r>
      <w:r w:rsidRPr="00D54DCE">
        <w:rPr>
          <w:rFonts w:ascii="Arial Narrow" w:hAnsi="Arial Narrow"/>
          <w:spacing w:val="-2"/>
          <w:sz w:val="24"/>
          <w:szCs w:val="26"/>
        </w:rPr>
        <w:t xml:space="preserve">el </w:t>
      </w:r>
      <w:r w:rsidR="00E1260B" w:rsidRPr="00D54DCE">
        <w:rPr>
          <w:rFonts w:ascii="Arial Narrow" w:hAnsi="Arial Narrow"/>
          <w:spacing w:val="-2"/>
          <w:sz w:val="24"/>
          <w:szCs w:val="26"/>
        </w:rPr>
        <w:t>deudor solidario, mediante la firma del</w:t>
      </w:r>
      <w:r w:rsidRPr="00D54DCE">
        <w:rPr>
          <w:rFonts w:ascii="Arial Narrow" w:hAnsi="Arial Narrow"/>
          <w:spacing w:val="-2"/>
          <w:sz w:val="24"/>
          <w:szCs w:val="26"/>
        </w:rPr>
        <w:t xml:space="preserve"> </w:t>
      </w:r>
      <w:r w:rsidR="00E1260B" w:rsidRPr="00D54DCE">
        <w:rPr>
          <w:rFonts w:ascii="Arial Narrow" w:hAnsi="Arial Narrow"/>
          <w:spacing w:val="-2"/>
          <w:sz w:val="24"/>
          <w:szCs w:val="26"/>
        </w:rPr>
        <w:t>pagaré</w:t>
      </w:r>
      <w:r w:rsidRPr="00D54DCE">
        <w:rPr>
          <w:rFonts w:ascii="Arial Narrow" w:hAnsi="Arial Narrow"/>
          <w:spacing w:val="-2"/>
          <w:sz w:val="24"/>
          <w:szCs w:val="26"/>
        </w:rPr>
        <w:t xml:space="preserve"> correspondiente, en cuya cláusula quinta se establece lo pertinente;</w:t>
      </w:r>
    </w:p>
    <w:p w14:paraId="10B84615" w14:textId="77777777" w:rsidR="004C6612" w:rsidRPr="00D54DCE" w:rsidRDefault="004C6612" w:rsidP="00D54DCE">
      <w:pPr>
        <w:pStyle w:val="Sinespaciado"/>
        <w:ind w:left="426" w:right="420"/>
        <w:jc w:val="both"/>
        <w:rPr>
          <w:rFonts w:ascii="Arial Narrow" w:hAnsi="Arial Narrow"/>
          <w:spacing w:val="-2"/>
          <w:sz w:val="24"/>
          <w:szCs w:val="26"/>
        </w:rPr>
      </w:pPr>
    </w:p>
    <w:p w14:paraId="08653E57" w14:textId="77777777" w:rsidR="006B7E3C" w:rsidRPr="00D54DCE" w:rsidRDefault="00A45AE7" w:rsidP="00D54DCE">
      <w:pPr>
        <w:pStyle w:val="Sinespaciado"/>
        <w:ind w:left="426" w:right="420"/>
        <w:jc w:val="both"/>
        <w:rPr>
          <w:rFonts w:ascii="Arial Narrow" w:hAnsi="Arial Narrow"/>
          <w:spacing w:val="-2"/>
          <w:sz w:val="24"/>
          <w:szCs w:val="26"/>
        </w:rPr>
      </w:pPr>
      <w:r w:rsidRPr="00D54DCE">
        <w:rPr>
          <w:rFonts w:ascii="Arial Narrow" w:hAnsi="Arial Narrow"/>
          <w:spacing w:val="-2"/>
          <w:sz w:val="24"/>
          <w:szCs w:val="26"/>
        </w:rPr>
        <w:t>(iii) l</w:t>
      </w:r>
      <w:r w:rsidR="00E1260B" w:rsidRPr="00D54DCE">
        <w:rPr>
          <w:rFonts w:ascii="Arial Narrow" w:hAnsi="Arial Narrow"/>
          <w:spacing w:val="-2"/>
          <w:sz w:val="24"/>
          <w:szCs w:val="26"/>
        </w:rPr>
        <w:t>a obli</w:t>
      </w:r>
      <w:r w:rsidRPr="00D54DCE">
        <w:rPr>
          <w:rFonts w:ascii="Arial Narrow" w:hAnsi="Arial Narrow"/>
          <w:spacing w:val="-2"/>
          <w:sz w:val="24"/>
          <w:szCs w:val="26"/>
        </w:rPr>
        <w:t xml:space="preserve">gación presentó mora de manera </w:t>
      </w:r>
      <w:r w:rsidR="00E1260B" w:rsidRPr="00D54DCE">
        <w:rPr>
          <w:rFonts w:ascii="Arial Narrow" w:hAnsi="Arial Narrow"/>
          <w:spacing w:val="-2"/>
          <w:sz w:val="24"/>
          <w:szCs w:val="26"/>
        </w:rPr>
        <w:t xml:space="preserve">consecutiva </w:t>
      </w:r>
      <w:r w:rsidRPr="00D54DCE">
        <w:rPr>
          <w:rFonts w:ascii="Arial Narrow" w:hAnsi="Arial Narrow"/>
          <w:spacing w:val="-2"/>
          <w:sz w:val="24"/>
          <w:szCs w:val="26"/>
        </w:rPr>
        <w:t xml:space="preserve">durante </w:t>
      </w:r>
      <w:r w:rsidR="00E1260B" w:rsidRPr="00D54DCE">
        <w:rPr>
          <w:rFonts w:ascii="Arial Narrow" w:hAnsi="Arial Narrow"/>
          <w:spacing w:val="-2"/>
          <w:sz w:val="24"/>
          <w:szCs w:val="26"/>
        </w:rPr>
        <w:t>los</w:t>
      </w:r>
      <w:r w:rsidRPr="00D54DCE">
        <w:rPr>
          <w:rFonts w:ascii="Arial Narrow" w:hAnsi="Arial Narrow"/>
          <w:spacing w:val="-2"/>
          <w:sz w:val="24"/>
          <w:szCs w:val="26"/>
        </w:rPr>
        <w:t xml:space="preserve"> periodos de noviembre de 2015 a mayo de </w:t>
      </w:r>
      <w:r w:rsidR="00E1260B" w:rsidRPr="00D54DCE">
        <w:rPr>
          <w:rFonts w:ascii="Arial Narrow" w:hAnsi="Arial Narrow"/>
          <w:spacing w:val="-2"/>
          <w:sz w:val="24"/>
          <w:szCs w:val="26"/>
        </w:rPr>
        <w:t>2017</w:t>
      </w:r>
      <w:r w:rsidRPr="00D54DCE">
        <w:rPr>
          <w:rFonts w:ascii="Arial Narrow" w:hAnsi="Arial Narrow"/>
          <w:spacing w:val="-2"/>
          <w:sz w:val="24"/>
          <w:szCs w:val="26"/>
        </w:rPr>
        <w:t xml:space="preserve"> y de julio de </w:t>
      </w:r>
      <w:r w:rsidR="00E1260B" w:rsidRPr="00D54DCE">
        <w:rPr>
          <w:rFonts w:ascii="Arial Narrow" w:hAnsi="Arial Narrow"/>
          <w:spacing w:val="-2"/>
          <w:sz w:val="24"/>
          <w:szCs w:val="26"/>
        </w:rPr>
        <w:t xml:space="preserve">2017 a junio </w:t>
      </w:r>
      <w:r w:rsidRPr="00D54DCE">
        <w:rPr>
          <w:rFonts w:ascii="Arial Narrow" w:hAnsi="Arial Narrow"/>
          <w:spacing w:val="-2"/>
          <w:sz w:val="24"/>
          <w:szCs w:val="26"/>
        </w:rPr>
        <w:t>de</w:t>
      </w:r>
      <w:r w:rsidR="00E1260B" w:rsidRPr="00D54DCE">
        <w:rPr>
          <w:rFonts w:ascii="Arial Narrow" w:hAnsi="Arial Narrow"/>
          <w:spacing w:val="-2"/>
          <w:sz w:val="24"/>
          <w:szCs w:val="26"/>
        </w:rPr>
        <w:t xml:space="preserve"> 2020</w:t>
      </w:r>
      <w:r w:rsidRPr="00D54DCE">
        <w:rPr>
          <w:rFonts w:ascii="Arial Narrow" w:hAnsi="Arial Narrow"/>
          <w:spacing w:val="-2"/>
          <w:sz w:val="24"/>
          <w:szCs w:val="26"/>
        </w:rPr>
        <w:t>, lo que condujo al reporte negativo en las centrales de riesg</w:t>
      </w:r>
      <w:r w:rsidR="00E46F4F" w:rsidRPr="00D54DCE">
        <w:rPr>
          <w:rFonts w:ascii="Arial Narrow" w:hAnsi="Arial Narrow"/>
          <w:spacing w:val="-2"/>
          <w:sz w:val="24"/>
          <w:szCs w:val="26"/>
        </w:rPr>
        <w:t>o, que</w:t>
      </w:r>
      <w:r w:rsidRPr="00D54DCE">
        <w:rPr>
          <w:rFonts w:ascii="Arial Narrow" w:hAnsi="Arial Narrow"/>
          <w:spacing w:val="-2"/>
          <w:sz w:val="24"/>
          <w:szCs w:val="26"/>
        </w:rPr>
        <w:t xml:space="preserve"> “</w:t>
      </w:r>
      <w:r w:rsidR="00E1260B" w:rsidRPr="00D54DCE">
        <w:rPr>
          <w:rFonts w:ascii="Arial Narrow" w:hAnsi="Arial Narrow"/>
          <w:spacing w:val="-2"/>
          <w:sz w:val="24"/>
          <w:szCs w:val="26"/>
        </w:rPr>
        <w:t>comprenden de</w:t>
      </w:r>
      <w:r w:rsidRPr="00D54DCE">
        <w:rPr>
          <w:rFonts w:ascii="Arial Narrow" w:hAnsi="Arial Narrow"/>
          <w:spacing w:val="-2"/>
          <w:sz w:val="24"/>
          <w:szCs w:val="26"/>
        </w:rPr>
        <w:t xml:space="preserve"> </w:t>
      </w:r>
      <w:r w:rsidR="00E1260B" w:rsidRPr="00D54DCE">
        <w:rPr>
          <w:rFonts w:ascii="Arial Narrow" w:hAnsi="Arial Narrow"/>
          <w:spacing w:val="-2"/>
          <w:sz w:val="24"/>
          <w:szCs w:val="26"/>
        </w:rPr>
        <w:t>marzo de 2018 a febrero de 2020</w:t>
      </w:r>
      <w:r w:rsidRPr="00D54DCE">
        <w:rPr>
          <w:rFonts w:ascii="Arial Narrow" w:hAnsi="Arial Narrow"/>
          <w:spacing w:val="-2"/>
          <w:sz w:val="24"/>
          <w:szCs w:val="26"/>
        </w:rPr>
        <w:t xml:space="preserve">”; </w:t>
      </w:r>
    </w:p>
    <w:p w14:paraId="2F15579D" w14:textId="77777777" w:rsidR="006B7E3C" w:rsidRPr="00D54DCE" w:rsidRDefault="006B7E3C" w:rsidP="00D54DCE">
      <w:pPr>
        <w:pStyle w:val="Sinespaciado"/>
        <w:ind w:left="426" w:right="420"/>
        <w:jc w:val="both"/>
        <w:rPr>
          <w:rFonts w:ascii="Arial Narrow" w:hAnsi="Arial Narrow"/>
          <w:spacing w:val="-2"/>
          <w:sz w:val="24"/>
          <w:szCs w:val="26"/>
        </w:rPr>
      </w:pPr>
    </w:p>
    <w:p w14:paraId="60CEEADD" w14:textId="77777777" w:rsidR="006B7E3C" w:rsidRPr="00D54DCE" w:rsidRDefault="00A45AE7" w:rsidP="00D54DCE">
      <w:pPr>
        <w:pStyle w:val="Sinespaciado"/>
        <w:ind w:left="426" w:right="420"/>
        <w:jc w:val="both"/>
        <w:rPr>
          <w:rFonts w:ascii="Arial Narrow" w:hAnsi="Arial Narrow"/>
          <w:spacing w:val="-2"/>
          <w:sz w:val="24"/>
          <w:szCs w:val="26"/>
        </w:rPr>
      </w:pPr>
      <w:r w:rsidRPr="00D54DCE">
        <w:rPr>
          <w:rFonts w:ascii="Arial Narrow" w:hAnsi="Arial Narrow"/>
          <w:spacing w:val="-2"/>
          <w:sz w:val="24"/>
          <w:szCs w:val="26"/>
        </w:rPr>
        <w:t>(iv) la notificación previa al reporte fue enviada “</w:t>
      </w:r>
      <w:r w:rsidR="00E1260B" w:rsidRPr="00D54DCE">
        <w:rPr>
          <w:rFonts w:ascii="Arial Narrow" w:hAnsi="Arial Narrow"/>
          <w:spacing w:val="-2"/>
          <w:sz w:val="24"/>
          <w:szCs w:val="26"/>
        </w:rPr>
        <w:t>a la dirección residencial del beneficiario/ deudor solidario, registrada para ese momento</w:t>
      </w:r>
      <w:r w:rsidRPr="00D54DCE">
        <w:rPr>
          <w:rFonts w:ascii="Arial Narrow" w:hAnsi="Arial Narrow"/>
          <w:spacing w:val="-2"/>
          <w:sz w:val="24"/>
          <w:szCs w:val="26"/>
        </w:rPr>
        <w:t xml:space="preserve"> </w:t>
      </w:r>
      <w:r w:rsidR="00E1260B" w:rsidRPr="00D54DCE">
        <w:rPr>
          <w:rFonts w:ascii="Arial Narrow" w:hAnsi="Arial Narrow"/>
          <w:spacing w:val="-2"/>
          <w:sz w:val="24"/>
          <w:szCs w:val="26"/>
        </w:rPr>
        <w:t>en nuestro sistema</w:t>
      </w:r>
      <w:r w:rsidRPr="00D54DCE">
        <w:rPr>
          <w:rFonts w:ascii="Arial Narrow" w:hAnsi="Arial Narrow"/>
          <w:spacing w:val="-2"/>
          <w:sz w:val="24"/>
          <w:szCs w:val="26"/>
        </w:rPr>
        <w:t xml:space="preserve">”; </w:t>
      </w:r>
    </w:p>
    <w:p w14:paraId="7D150F67" w14:textId="77777777" w:rsidR="006B7E3C" w:rsidRPr="00D54DCE" w:rsidRDefault="006B7E3C" w:rsidP="00D54DCE">
      <w:pPr>
        <w:pStyle w:val="Sinespaciado"/>
        <w:ind w:left="426" w:right="420"/>
        <w:jc w:val="both"/>
        <w:rPr>
          <w:rFonts w:ascii="Arial Narrow" w:hAnsi="Arial Narrow"/>
          <w:spacing w:val="-2"/>
          <w:sz w:val="24"/>
          <w:szCs w:val="26"/>
        </w:rPr>
      </w:pPr>
    </w:p>
    <w:p w14:paraId="2BFCCA92" w14:textId="77777777" w:rsidR="006B7E3C" w:rsidRPr="00D54DCE" w:rsidRDefault="00A45AE7" w:rsidP="00D54DCE">
      <w:pPr>
        <w:pStyle w:val="Sinespaciado"/>
        <w:ind w:left="426" w:right="420"/>
        <w:jc w:val="both"/>
        <w:rPr>
          <w:rFonts w:ascii="Arial Narrow" w:hAnsi="Arial Narrow"/>
          <w:spacing w:val="-2"/>
          <w:sz w:val="24"/>
          <w:szCs w:val="26"/>
        </w:rPr>
      </w:pPr>
      <w:r w:rsidRPr="00D54DCE">
        <w:rPr>
          <w:rFonts w:ascii="Arial Narrow" w:hAnsi="Arial Narrow"/>
          <w:spacing w:val="-2"/>
          <w:sz w:val="24"/>
          <w:szCs w:val="26"/>
        </w:rPr>
        <w:t xml:space="preserve">(v) </w:t>
      </w:r>
      <w:r w:rsidR="00E1260B" w:rsidRPr="00D54DCE">
        <w:rPr>
          <w:rFonts w:ascii="Arial Narrow" w:hAnsi="Arial Narrow"/>
          <w:spacing w:val="-2"/>
          <w:sz w:val="24"/>
          <w:szCs w:val="26"/>
        </w:rPr>
        <w:t>de acuerdo con el literal J. del artículo 75 del Reglamento de</w:t>
      </w:r>
      <w:r w:rsidR="00773F21" w:rsidRPr="00D54DCE">
        <w:rPr>
          <w:rFonts w:ascii="Arial Narrow" w:hAnsi="Arial Narrow"/>
          <w:spacing w:val="-2"/>
          <w:sz w:val="24"/>
          <w:szCs w:val="26"/>
        </w:rPr>
        <w:t>l</w:t>
      </w:r>
      <w:r w:rsidR="00E1260B" w:rsidRPr="00D54DCE">
        <w:rPr>
          <w:rFonts w:ascii="Arial Narrow" w:hAnsi="Arial Narrow"/>
          <w:spacing w:val="-2"/>
          <w:sz w:val="24"/>
          <w:szCs w:val="26"/>
        </w:rPr>
        <w:t xml:space="preserve"> Crédito, es</w:t>
      </w:r>
      <w:r w:rsidR="00773F21" w:rsidRPr="00D54DCE">
        <w:rPr>
          <w:rFonts w:ascii="Arial Narrow" w:hAnsi="Arial Narrow"/>
          <w:spacing w:val="-2"/>
          <w:sz w:val="24"/>
          <w:szCs w:val="26"/>
        </w:rPr>
        <w:t xml:space="preserve"> </w:t>
      </w:r>
      <w:r w:rsidR="00E1260B" w:rsidRPr="00D54DCE">
        <w:rPr>
          <w:rFonts w:ascii="Arial Narrow" w:hAnsi="Arial Narrow"/>
          <w:spacing w:val="-2"/>
          <w:sz w:val="24"/>
          <w:szCs w:val="26"/>
        </w:rPr>
        <w:t>obligación de los beneficiarios</w:t>
      </w:r>
      <w:r w:rsidR="00773F21" w:rsidRPr="00D54DCE">
        <w:rPr>
          <w:rFonts w:ascii="Arial Narrow" w:hAnsi="Arial Narrow"/>
          <w:spacing w:val="-2"/>
          <w:sz w:val="24"/>
          <w:szCs w:val="26"/>
        </w:rPr>
        <w:t xml:space="preserve"> mantener informados</w:t>
      </w:r>
      <w:r w:rsidR="00E1260B" w:rsidRPr="00D54DCE">
        <w:rPr>
          <w:rFonts w:ascii="Arial Narrow" w:hAnsi="Arial Narrow"/>
          <w:spacing w:val="-2"/>
          <w:sz w:val="24"/>
          <w:szCs w:val="26"/>
        </w:rPr>
        <w:t xml:space="preserve"> al ICETEX y a la Institución de Educación</w:t>
      </w:r>
      <w:r w:rsidR="00773F21" w:rsidRPr="00D54DCE">
        <w:rPr>
          <w:rFonts w:ascii="Arial Narrow" w:hAnsi="Arial Narrow"/>
          <w:spacing w:val="-2"/>
          <w:sz w:val="24"/>
          <w:szCs w:val="26"/>
        </w:rPr>
        <w:t xml:space="preserve"> </w:t>
      </w:r>
      <w:r w:rsidR="00E1260B" w:rsidRPr="00D54DCE">
        <w:rPr>
          <w:rFonts w:ascii="Arial Narrow" w:hAnsi="Arial Narrow"/>
          <w:spacing w:val="-2"/>
          <w:sz w:val="24"/>
          <w:szCs w:val="26"/>
        </w:rPr>
        <w:t>Superior</w:t>
      </w:r>
      <w:r w:rsidR="00773F21" w:rsidRPr="00D54DCE">
        <w:rPr>
          <w:rFonts w:ascii="Arial Narrow" w:hAnsi="Arial Narrow"/>
          <w:spacing w:val="-2"/>
          <w:sz w:val="24"/>
          <w:szCs w:val="26"/>
        </w:rPr>
        <w:t xml:space="preserve"> sobre</w:t>
      </w:r>
      <w:r w:rsidR="00E1260B" w:rsidRPr="00D54DCE">
        <w:rPr>
          <w:rFonts w:ascii="Arial Narrow" w:hAnsi="Arial Narrow"/>
          <w:spacing w:val="-2"/>
          <w:sz w:val="24"/>
          <w:szCs w:val="26"/>
        </w:rPr>
        <w:t xml:space="preserve"> su localización y la de sus deudores solidarios, </w:t>
      </w:r>
      <w:r w:rsidR="00773F21" w:rsidRPr="00D54DCE">
        <w:rPr>
          <w:rFonts w:ascii="Arial Narrow" w:hAnsi="Arial Narrow"/>
          <w:spacing w:val="-2"/>
          <w:sz w:val="24"/>
          <w:szCs w:val="26"/>
        </w:rPr>
        <w:t>“</w:t>
      </w:r>
      <w:r w:rsidR="00E1260B" w:rsidRPr="00D54DCE">
        <w:rPr>
          <w:rFonts w:ascii="Arial Narrow" w:hAnsi="Arial Narrow"/>
          <w:spacing w:val="-2"/>
          <w:sz w:val="24"/>
          <w:szCs w:val="26"/>
        </w:rPr>
        <w:t>obligándose</w:t>
      </w:r>
      <w:r w:rsidR="00773F21" w:rsidRPr="00D54DCE">
        <w:rPr>
          <w:rFonts w:ascii="Arial Narrow" w:hAnsi="Arial Narrow"/>
          <w:spacing w:val="-2"/>
          <w:sz w:val="24"/>
          <w:szCs w:val="26"/>
        </w:rPr>
        <w:t xml:space="preserve"> </w:t>
      </w:r>
      <w:r w:rsidR="00E1260B" w:rsidRPr="00D54DCE">
        <w:rPr>
          <w:rFonts w:ascii="Arial Narrow" w:hAnsi="Arial Narrow"/>
          <w:spacing w:val="-2"/>
          <w:sz w:val="24"/>
          <w:szCs w:val="26"/>
        </w:rPr>
        <w:t>a actualizar por lo menos cada seis meses a partir del otorgamiento del crédito las respectivas</w:t>
      </w:r>
      <w:r w:rsidR="00773F21" w:rsidRPr="00D54DCE">
        <w:rPr>
          <w:rFonts w:ascii="Arial Narrow" w:hAnsi="Arial Narrow"/>
          <w:spacing w:val="-2"/>
          <w:sz w:val="24"/>
          <w:szCs w:val="26"/>
        </w:rPr>
        <w:t xml:space="preserve"> </w:t>
      </w:r>
      <w:r w:rsidR="00E1260B" w:rsidRPr="00D54DCE">
        <w:rPr>
          <w:rFonts w:ascii="Arial Narrow" w:hAnsi="Arial Narrow"/>
          <w:spacing w:val="-2"/>
          <w:sz w:val="24"/>
          <w:szCs w:val="26"/>
        </w:rPr>
        <w:t>direcciones de sus residencias y laborales</w:t>
      </w:r>
      <w:r w:rsidR="00773F21" w:rsidRPr="00D54DCE">
        <w:rPr>
          <w:rFonts w:ascii="Arial Narrow" w:hAnsi="Arial Narrow"/>
          <w:spacing w:val="-2"/>
          <w:sz w:val="24"/>
          <w:szCs w:val="26"/>
        </w:rPr>
        <w:t>” y</w:t>
      </w:r>
      <w:r w:rsidR="006B7E3C" w:rsidRPr="00D54DCE">
        <w:rPr>
          <w:rFonts w:ascii="Arial Narrow" w:hAnsi="Arial Narrow"/>
          <w:spacing w:val="-2"/>
          <w:sz w:val="24"/>
          <w:szCs w:val="26"/>
        </w:rPr>
        <w:t>,</w:t>
      </w:r>
    </w:p>
    <w:p w14:paraId="1BF40919" w14:textId="77777777" w:rsidR="006B7E3C" w:rsidRPr="00D54DCE" w:rsidRDefault="006B7E3C" w:rsidP="00D54DCE">
      <w:pPr>
        <w:pStyle w:val="Sinespaciado"/>
        <w:ind w:left="426" w:right="420"/>
        <w:jc w:val="both"/>
        <w:rPr>
          <w:rFonts w:ascii="Arial Narrow" w:hAnsi="Arial Narrow"/>
          <w:spacing w:val="-2"/>
          <w:sz w:val="24"/>
          <w:szCs w:val="26"/>
        </w:rPr>
      </w:pPr>
    </w:p>
    <w:p w14:paraId="7C0DD78C" w14:textId="77777777" w:rsidR="00D872E2" w:rsidRPr="00D54DCE" w:rsidRDefault="00773F21" w:rsidP="00D54DCE">
      <w:pPr>
        <w:pStyle w:val="Sinespaciado"/>
        <w:ind w:left="426" w:right="420"/>
        <w:jc w:val="both"/>
        <w:rPr>
          <w:rFonts w:ascii="Arial Narrow" w:hAnsi="Arial Narrow"/>
          <w:sz w:val="24"/>
          <w:szCs w:val="26"/>
        </w:rPr>
      </w:pPr>
      <w:r w:rsidRPr="00D54DCE">
        <w:rPr>
          <w:rFonts w:ascii="Arial Narrow" w:hAnsi="Arial Narrow"/>
          <w:spacing w:val="-2"/>
          <w:sz w:val="24"/>
          <w:szCs w:val="26"/>
        </w:rPr>
        <w:t xml:space="preserve">(vi) </w:t>
      </w:r>
      <w:r w:rsidR="00E1260B" w:rsidRPr="00D54DCE">
        <w:rPr>
          <w:rFonts w:ascii="Arial Narrow" w:hAnsi="Arial Narrow"/>
          <w:spacing w:val="-2"/>
          <w:sz w:val="24"/>
          <w:szCs w:val="26"/>
        </w:rPr>
        <w:t>la información reportada por el ICETEX se encuentra</w:t>
      </w:r>
      <w:r w:rsidR="007E4513" w:rsidRPr="00D54DCE">
        <w:rPr>
          <w:rFonts w:ascii="Arial Narrow" w:hAnsi="Arial Narrow"/>
          <w:spacing w:val="-2"/>
          <w:sz w:val="24"/>
          <w:szCs w:val="26"/>
        </w:rPr>
        <w:t xml:space="preserve"> acorde con el “comportamiento de pago” y responde a los criterios de la Ley </w:t>
      </w:r>
      <w:r w:rsidR="00E1260B" w:rsidRPr="00D54DCE">
        <w:rPr>
          <w:rFonts w:ascii="Arial Narrow" w:hAnsi="Arial Narrow"/>
          <w:spacing w:val="-2"/>
          <w:sz w:val="24"/>
          <w:szCs w:val="26"/>
        </w:rPr>
        <w:t>1266 de 2008</w:t>
      </w:r>
      <w:r w:rsidR="00D872E2" w:rsidRPr="00D54DCE">
        <w:rPr>
          <w:rStyle w:val="Refdenotaalpie"/>
          <w:rFonts w:ascii="Arial Narrow" w:hAnsi="Arial Narrow"/>
          <w:sz w:val="24"/>
          <w:szCs w:val="26"/>
        </w:rPr>
        <w:footnoteReference w:id="14"/>
      </w:r>
      <w:r w:rsidR="00D872E2" w:rsidRPr="00D54DCE">
        <w:rPr>
          <w:rFonts w:ascii="Arial Narrow" w:hAnsi="Arial Narrow"/>
          <w:spacing w:val="-2"/>
          <w:sz w:val="24"/>
          <w:szCs w:val="26"/>
        </w:rPr>
        <w:t>.</w:t>
      </w:r>
    </w:p>
    <w:p w14:paraId="3A132366" w14:textId="77777777" w:rsidR="007510CD" w:rsidRPr="005E2453" w:rsidRDefault="007510CD" w:rsidP="005E2453">
      <w:pPr>
        <w:pStyle w:val="Sinespaciado"/>
        <w:spacing w:line="276" w:lineRule="auto"/>
        <w:jc w:val="both"/>
        <w:rPr>
          <w:rFonts w:ascii="Arial Narrow" w:hAnsi="Arial Narrow"/>
          <w:spacing w:val="-2"/>
          <w:sz w:val="26"/>
          <w:szCs w:val="26"/>
        </w:rPr>
      </w:pPr>
    </w:p>
    <w:p w14:paraId="0B41DE8B" w14:textId="77777777" w:rsidR="006B7E3C" w:rsidRPr="005E2453" w:rsidRDefault="007E4513" w:rsidP="005E2453">
      <w:pPr>
        <w:pStyle w:val="Sinespaciado"/>
        <w:spacing w:line="276" w:lineRule="auto"/>
        <w:jc w:val="both"/>
        <w:rPr>
          <w:rFonts w:ascii="Arial Narrow" w:hAnsi="Arial Narrow"/>
          <w:spacing w:val="-2"/>
          <w:sz w:val="26"/>
          <w:szCs w:val="26"/>
        </w:rPr>
      </w:pPr>
      <w:r w:rsidRPr="005E2453">
        <w:rPr>
          <w:rFonts w:ascii="Arial Narrow" w:hAnsi="Arial Narrow"/>
          <w:b/>
          <w:spacing w:val="-2"/>
          <w:sz w:val="26"/>
          <w:szCs w:val="26"/>
        </w:rPr>
        <w:t>6</w:t>
      </w:r>
      <w:r w:rsidR="007510CD" w:rsidRPr="005E2453">
        <w:rPr>
          <w:rFonts w:ascii="Arial Narrow" w:hAnsi="Arial Narrow"/>
          <w:b/>
          <w:spacing w:val="-2"/>
          <w:sz w:val="26"/>
          <w:szCs w:val="26"/>
        </w:rPr>
        <w:t>.</w:t>
      </w:r>
      <w:r w:rsidR="007510CD" w:rsidRPr="005E2453">
        <w:rPr>
          <w:rFonts w:ascii="Arial Narrow" w:hAnsi="Arial Narrow"/>
          <w:spacing w:val="-2"/>
          <w:sz w:val="26"/>
          <w:szCs w:val="26"/>
        </w:rPr>
        <w:t xml:space="preserve"> La Corte Constitucional se ha ocupado de establecer los presupuestos de procedencia de la acción de tutela como figura de protección frente al derecho</w:t>
      </w:r>
      <w:r w:rsidR="006B7E3C" w:rsidRPr="005E2453">
        <w:rPr>
          <w:rFonts w:ascii="Arial Narrow" w:hAnsi="Arial Narrow"/>
          <w:spacing w:val="-2"/>
          <w:sz w:val="26"/>
          <w:szCs w:val="26"/>
        </w:rPr>
        <w:t xml:space="preserve"> al habeas data</w:t>
      </w:r>
      <w:r w:rsidR="007510CD" w:rsidRPr="005E2453">
        <w:rPr>
          <w:rFonts w:ascii="Arial Narrow" w:hAnsi="Arial Narrow"/>
          <w:spacing w:val="-2"/>
          <w:sz w:val="26"/>
          <w:szCs w:val="26"/>
        </w:rPr>
        <w:t>, así:</w:t>
      </w:r>
    </w:p>
    <w:p w14:paraId="79032FD8" w14:textId="77777777" w:rsidR="006B7E3C" w:rsidRPr="005E2453" w:rsidRDefault="006B7E3C" w:rsidP="005E2453">
      <w:pPr>
        <w:pStyle w:val="Sinespaciado"/>
        <w:spacing w:line="276" w:lineRule="auto"/>
        <w:jc w:val="both"/>
        <w:rPr>
          <w:rFonts w:ascii="Arial Narrow" w:hAnsi="Arial Narrow"/>
          <w:spacing w:val="-2"/>
          <w:sz w:val="26"/>
          <w:szCs w:val="26"/>
        </w:rPr>
      </w:pPr>
    </w:p>
    <w:p w14:paraId="0A4F57E6" w14:textId="77777777" w:rsidR="003719C5" w:rsidRPr="00D54DCE" w:rsidRDefault="007510CD" w:rsidP="00D54DCE">
      <w:pPr>
        <w:pStyle w:val="Sinespaciado"/>
        <w:ind w:left="426" w:right="420"/>
        <w:jc w:val="both"/>
        <w:rPr>
          <w:rFonts w:ascii="Arial Narrow" w:hAnsi="Arial Narrow"/>
          <w:i/>
          <w:spacing w:val="-2"/>
          <w:sz w:val="24"/>
          <w:szCs w:val="26"/>
        </w:rPr>
      </w:pPr>
      <w:r w:rsidRPr="00D54DCE">
        <w:rPr>
          <w:rFonts w:ascii="Arial Narrow" w:hAnsi="Arial Narrow"/>
          <w:i/>
          <w:spacing w:val="-2"/>
          <w:sz w:val="24"/>
          <w:szCs w:val="26"/>
        </w:rPr>
        <w:t>“En atención al carácter subsidiario de la tutela; a la previsión del numeral 6º del artículo 42 del Decreto 2591 de 1991, que refiere la solicitud de actualización y rectificación de la información en concordancia con el artículo 15 Superior; y a los mecanismos específicos de actualización, supresión y corrección de datos registrados en bases de datos previstos en la Ley 1266 de 2008 y en la Ley 1581 de 2012, la jurisprudencia constitucional ha establecido como presupuesto general para el ejercicio de la acción de tutela que el afectado haya solicitado la aclaración, corrección, rectificación o actualización del dato o de la información que considera errónea, previo a la interposición del mecanismo de amparo constitucional. En efecto, en el análisis de la procedencia general de las acciones de tutela formuladas para obtener la protección del derecho al habeas data, las Salas de Revisión verifican el agotamiento del recurso principal al alcance del afectado, que corresponde a la solicitud de rectificación, de acuerdo con las reglas jurisprudenciales establecidas respecto al presupuesto se subsidiariedad.”</w:t>
      </w:r>
      <w:r w:rsidRPr="00D54DCE">
        <w:rPr>
          <w:rStyle w:val="Refdenotaalpie"/>
          <w:rFonts w:ascii="Arial Narrow" w:hAnsi="Arial Narrow"/>
          <w:i/>
          <w:spacing w:val="-2"/>
          <w:sz w:val="24"/>
          <w:szCs w:val="26"/>
        </w:rPr>
        <w:footnoteReference w:id="15"/>
      </w:r>
      <w:r w:rsidRPr="00D54DCE">
        <w:rPr>
          <w:rFonts w:ascii="Arial Narrow" w:hAnsi="Arial Narrow"/>
          <w:i/>
          <w:spacing w:val="-2"/>
          <w:sz w:val="24"/>
          <w:szCs w:val="26"/>
        </w:rPr>
        <w:t xml:space="preserve"> </w:t>
      </w:r>
    </w:p>
    <w:p w14:paraId="20EBD1B9" w14:textId="77777777" w:rsidR="003719C5" w:rsidRPr="005E2453" w:rsidRDefault="003719C5" w:rsidP="005E2453">
      <w:pPr>
        <w:pStyle w:val="Sinespaciado"/>
        <w:spacing w:line="276" w:lineRule="auto"/>
        <w:jc w:val="both"/>
        <w:rPr>
          <w:rFonts w:ascii="Arial Narrow" w:hAnsi="Arial Narrow"/>
          <w:i/>
          <w:spacing w:val="-2"/>
          <w:sz w:val="26"/>
          <w:szCs w:val="26"/>
        </w:rPr>
      </w:pPr>
    </w:p>
    <w:p w14:paraId="11D95E68" w14:textId="77777777" w:rsidR="007510CD" w:rsidRPr="005E2453" w:rsidRDefault="007510CD"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Esa regla también ha sido fij</w:t>
      </w:r>
      <w:r w:rsidR="00600634" w:rsidRPr="005E2453">
        <w:rPr>
          <w:rFonts w:ascii="Arial Narrow" w:hAnsi="Arial Narrow"/>
          <w:spacing w:val="-2"/>
          <w:sz w:val="26"/>
          <w:szCs w:val="26"/>
        </w:rPr>
        <w:t>ada, como corresponde, frente</w:t>
      </w:r>
      <w:r w:rsidRPr="005E2453">
        <w:rPr>
          <w:rFonts w:ascii="Arial Narrow" w:hAnsi="Arial Narrow"/>
          <w:spacing w:val="-2"/>
          <w:sz w:val="26"/>
          <w:szCs w:val="26"/>
        </w:rPr>
        <w:t xml:space="preserve"> caso</w:t>
      </w:r>
      <w:r w:rsidR="00600634" w:rsidRPr="005E2453">
        <w:rPr>
          <w:rFonts w:ascii="Arial Narrow" w:hAnsi="Arial Narrow"/>
          <w:spacing w:val="-2"/>
          <w:sz w:val="26"/>
          <w:szCs w:val="26"/>
        </w:rPr>
        <w:t>s específicos</w:t>
      </w:r>
      <w:r w:rsidRPr="005E2453">
        <w:rPr>
          <w:rFonts w:ascii="Arial Narrow" w:hAnsi="Arial Narrow"/>
          <w:spacing w:val="-2"/>
          <w:sz w:val="26"/>
          <w:szCs w:val="26"/>
        </w:rPr>
        <w:t xml:space="preserve"> </w:t>
      </w:r>
      <w:r w:rsidR="00600634" w:rsidRPr="005E2453">
        <w:rPr>
          <w:rFonts w:ascii="Arial Narrow" w:hAnsi="Arial Narrow"/>
          <w:spacing w:val="-2"/>
          <w:sz w:val="26"/>
          <w:szCs w:val="26"/>
        </w:rPr>
        <w:t>del hábeas data</w:t>
      </w:r>
      <w:r w:rsidR="003719C5" w:rsidRPr="005E2453">
        <w:rPr>
          <w:rFonts w:ascii="Arial Narrow" w:hAnsi="Arial Narrow"/>
          <w:spacing w:val="-2"/>
          <w:sz w:val="26"/>
          <w:szCs w:val="26"/>
        </w:rPr>
        <w:t>,</w:t>
      </w:r>
      <w:r w:rsidR="00600634" w:rsidRPr="005E2453">
        <w:rPr>
          <w:rFonts w:ascii="Arial Narrow" w:hAnsi="Arial Narrow"/>
          <w:spacing w:val="-2"/>
          <w:sz w:val="26"/>
          <w:szCs w:val="26"/>
        </w:rPr>
        <w:t xml:space="preserve"> aplicado a información reportada en centrales de riesgo</w:t>
      </w:r>
      <w:r w:rsidR="00600634" w:rsidRPr="005E2453">
        <w:rPr>
          <w:rStyle w:val="Refdenotaalpie"/>
          <w:rFonts w:ascii="Arial Narrow" w:hAnsi="Arial Narrow"/>
          <w:spacing w:val="-2"/>
          <w:sz w:val="26"/>
          <w:szCs w:val="26"/>
        </w:rPr>
        <w:footnoteReference w:id="16"/>
      </w:r>
      <w:r w:rsidR="00600634" w:rsidRPr="005E2453">
        <w:rPr>
          <w:rFonts w:ascii="Arial Narrow" w:hAnsi="Arial Narrow"/>
          <w:spacing w:val="-2"/>
          <w:sz w:val="26"/>
          <w:szCs w:val="26"/>
        </w:rPr>
        <w:t xml:space="preserve">. </w:t>
      </w:r>
      <w:r w:rsidRPr="005E2453">
        <w:rPr>
          <w:rFonts w:ascii="Arial Narrow" w:hAnsi="Arial Narrow"/>
          <w:i/>
          <w:spacing w:val="-2"/>
          <w:sz w:val="26"/>
          <w:szCs w:val="26"/>
        </w:rPr>
        <w:t xml:space="preserve">   </w:t>
      </w:r>
    </w:p>
    <w:p w14:paraId="5B077819" w14:textId="77777777" w:rsidR="007510CD" w:rsidRPr="005E2453" w:rsidRDefault="007510CD" w:rsidP="005E2453">
      <w:pPr>
        <w:pStyle w:val="Sinespaciado"/>
        <w:spacing w:line="276" w:lineRule="auto"/>
        <w:jc w:val="both"/>
        <w:rPr>
          <w:rFonts w:ascii="Arial Narrow" w:hAnsi="Arial Narrow"/>
          <w:spacing w:val="-2"/>
          <w:sz w:val="26"/>
          <w:szCs w:val="26"/>
        </w:rPr>
      </w:pPr>
    </w:p>
    <w:p w14:paraId="48973963" w14:textId="77777777" w:rsidR="007E4513" w:rsidRPr="005E2453" w:rsidRDefault="007E4513"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 xml:space="preserve">Aplicado lo anterior al caso concreto, se deduce que, contrario a lo inferido </w:t>
      </w:r>
      <w:r w:rsidR="00F829E3" w:rsidRPr="005E2453">
        <w:rPr>
          <w:rFonts w:ascii="Arial Narrow" w:hAnsi="Arial Narrow"/>
          <w:spacing w:val="-2"/>
          <w:sz w:val="26"/>
          <w:szCs w:val="26"/>
        </w:rPr>
        <w:t xml:space="preserve">por </w:t>
      </w:r>
      <w:r w:rsidRPr="005E2453">
        <w:rPr>
          <w:rFonts w:ascii="Arial Narrow" w:hAnsi="Arial Narrow"/>
          <w:spacing w:val="-2"/>
          <w:sz w:val="26"/>
          <w:szCs w:val="26"/>
        </w:rPr>
        <w:t>la primera instancia, el</w:t>
      </w:r>
      <w:r w:rsidR="0083458C" w:rsidRPr="005E2453">
        <w:rPr>
          <w:rFonts w:ascii="Arial Narrow" w:hAnsi="Arial Narrow"/>
          <w:spacing w:val="-2"/>
          <w:sz w:val="26"/>
          <w:szCs w:val="26"/>
        </w:rPr>
        <w:t xml:space="preserve"> estudio de fondo de la solicitud de</w:t>
      </w:r>
      <w:r w:rsidRPr="005E2453">
        <w:rPr>
          <w:rFonts w:ascii="Arial Narrow" w:hAnsi="Arial Narrow"/>
          <w:spacing w:val="-2"/>
          <w:sz w:val="26"/>
          <w:szCs w:val="26"/>
        </w:rPr>
        <w:t xml:space="preserve"> amparo sí resulta procedente toda vez que</w:t>
      </w:r>
      <w:r w:rsidR="0083458C" w:rsidRPr="005E2453">
        <w:rPr>
          <w:rFonts w:ascii="Arial Narrow" w:hAnsi="Arial Narrow"/>
          <w:spacing w:val="-2"/>
          <w:sz w:val="26"/>
          <w:szCs w:val="26"/>
        </w:rPr>
        <w:t>,</w:t>
      </w:r>
      <w:r w:rsidRPr="005E2453">
        <w:rPr>
          <w:rFonts w:ascii="Arial Narrow" w:hAnsi="Arial Narrow"/>
          <w:spacing w:val="-2"/>
          <w:sz w:val="26"/>
          <w:szCs w:val="26"/>
        </w:rPr>
        <w:t xml:space="preserve"> de conformidad con las pruebas allegadas a la actuación, el actor acudió de manera previa a solicitar la rectificación de los datos que a su nombre reportó el ICETEX en las centrales de riesgo</w:t>
      </w:r>
      <w:r w:rsidR="0083458C" w:rsidRPr="005E2453">
        <w:rPr>
          <w:rFonts w:ascii="Arial Narrow" w:hAnsi="Arial Narrow"/>
          <w:spacing w:val="-2"/>
          <w:sz w:val="26"/>
          <w:szCs w:val="26"/>
        </w:rPr>
        <w:t>,</w:t>
      </w:r>
      <w:r w:rsidRPr="005E2453">
        <w:rPr>
          <w:rFonts w:ascii="Arial Narrow" w:hAnsi="Arial Narrow"/>
          <w:spacing w:val="-2"/>
          <w:sz w:val="26"/>
          <w:szCs w:val="26"/>
        </w:rPr>
        <w:t xml:space="preserve"> y obtuvo respuesta negativa. De </w:t>
      </w:r>
      <w:r w:rsidR="0083458C" w:rsidRPr="005E2453">
        <w:rPr>
          <w:rFonts w:ascii="Arial Narrow" w:hAnsi="Arial Narrow"/>
          <w:spacing w:val="-2"/>
          <w:sz w:val="26"/>
          <w:szCs w:val="26"/>
        </w:rPr>
        <w:t>esa m</w:t>
      </w:r>
      <w:r w:rsidRPr="005E2453">
        <w:rPr>
          <w:rFonts w:ascii="Arial Narrow" w:hAnsi="Arial Narrow"/>
          <w:spacing w:val="-2"/>
          <w:sz w:val="26"/>
          <w:szCs w:val="26"/>
        </w:rPr>
        <w:t>anera se satisf</w:t>
      </w:r>
      <w:r w:rsidR="0083458C" w:rsidRPr="005E2453">
        <w:rPr>
          <w:rFonts w:ascii="Arial Narrow" w:hAnsi="Arial Narrow"/>
          <w:spacing w:val="-2"/>
          <w:sz w:val="26"/>
          <w:szCs w:val="26"/>
        </w:rPr>
        <w:t xml:space="preserve">izo para el caso concreto </w:t>
      </w:r>
      <w:r w:rsidRPr="005E2453">
        <w:rPr>
          <w:rFonts w:ascii="Arial Narrow" w:hAnsi="Arial Narrow"/>
          <w:spacing w:val="-2"/>
          <w:sz w:val="26"/>
          <w:szCs w:val="26"/>
        </w:rPr>
        <w:t>el requisito de la subsidiariedad.</w:t>
      </w:r>
    </w:p>
    <w:p w14:paraId="6C8170CA" w14:textId="77777777" w:rsidR="007510CD" w:rsidRPr="005E2453" w:rsidRDefault="007510CD" w:rsidP="005E2453">
      <w:pPr>
        <w:pStyle w:val="Sinespaciado"/>
        <w:spacing w:line="276" w:lineRule="auto"/>
        <w:jc w:val="both"/>
        <w:rPr>
          <w:rFonts w:ascii="Arial Narrow" w:hAnsi="Arial Narrow"/>
          <w:spacing w:val="-2"/>
          <w:sz w:val="26"/>
          <w:szCs w:val="26"/>
        </w:rPr>
      </w:pPr>
    </w:p>
    <w:p w14:paraId="3CD0EFD1" w14:textId="77777777" w:rsidR="00AE511E" w:rsidRPr="005E2453" w:rsidRDefault="00D204DB"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 xml:space="preserve">Es que el mismo numeral 6 de la parte II del artículo 16 de la Ley </w:t>
      </w:r>
      <w:r w:rsidR="00767621" w:rsidRPr="005E2453">
        <w:rPr>
          <w:rFonts w:ascii="Arial Narrow" w:hAnsi="Arial Narrow"/>
          <w:spacing w:val="-2"/>
          <w:sz w:val="26"/>
          <w:szCs w:val="26"/>
        </w:rPr>
        <w:t xml:space="preserve">1266 de 2008, invocado por el a quo, señala que </w:t>
      </w:r>
      <w:r w:rsidR="00767621" w:rsidRPr="005E2453">
        <w:rPr>
          <w:rFonts w:ascii="Arial Narrow" w:hAnsi="Arial Narrow"/>
          <w:spacing w:val="-2"/>
          <w:sz w:val="26"/>
          <w:szCs w:val="26"/>
          <w:u w:val="single"/>
        </w:rPr>
        <w:t>“</w:t>
      </w:r>
      <w:r w:rsidR="00767621" w:rsidRPr="00D5189B">
        <w:rPr>
          <w:rFonts w:ascii="Arial Narrow" w:hAnsi="Arial Narrow"/>
          <w:i/>
          <w:iCs/>
          <w:spacing w:val="-2"/>
          <w:sz w:val="24"/>
          <w:szCs w:val="26"/>
          <w:u w:val="single"/>
        </w:rPr>
        <w:t>[</w:t>
      </w:r>
      <w:r w:rsidR="00767621" w:rsidRPr="00D54DCE">
        <w:rPr>
          <w:rFonts w:ascii="Arial Narrow" w:hAnsi="Arial Narrow"/>
          <w:i/>
          <w:iCs/>
          <w:spacing w:val="-2"/>
          <w:sz w:val="24"/>
          <w:szCs w:val="26"/>
          <w:u w:val="single"/>
        </w:rPr>
        <w:t>S</w:t>
      </w:r>
      <w:r w:rsidR="00116994" w:rsidRPr="00D54DCE">
        <w:rPr>
          <w:rFonts w:ascii="Arial Narrow" w:hAnsi="Arial Narrow"/>
          <w:i/>
          <w:iCs/>
          <w:spacing w:val="-2"/>
          <w:sz w:val="24"/>
          <w:szCs w:val="26"/>
          <w:u w:val="single"/>
        </w:rPr>
        <w:t>]</w:t>
      </w:r>
      <w:r w:rsidR="00767621" w:rsidRPr="00D54DCE">
        <w:rPr>
          <w:rFonts w:ascii="Arial Narrow" w:hAnsi="Arial Narrow"/>
          <w:i/>
          <w:iCs/>
          <w:spacing w:val="-2"/>
          <w:sz w:val="24"/>
          <w:szCs w:val="26"/>
          <w:u w:val="single"/>
        </w:rPr>
        <w:t>in perjuicio del ejercicio de la acción de tutela para amparar el derecho fundamental del hábeas data</w:t>
      </w:r>
      <w:r w:rsidR="00767621" w:rsidRPr="00D54DCE">
        <w:rPr>
          <w:rFonts w:ascii="Arial Narrow" w:hAnsi="Arial Narrow"/>
          <w:i/>
          <w:iCs/>
          <w:spacing w:val="-2"/>
          <w:sz w:val="24"/>
          <w:szCs w:val="26"/>
        </w:rPr>
        <w:t>, en caso que el titular no se encuentre satisfecho con la respuesta a la petición, podrá recurrir al proceso judicial correspondiente dentro de los términos legales pertinentes para debatir lo relacionado con la obligación reportada como incumplida</w:t>
      </w:r>
      <w:r w:rsidR="00F33779" w:rsidRPr="005E2453">
        <w:rPr>
          <w:rFonts w:ascii="Arial Narrow" w:hAnsi="Arial Narrow"/>
          <w:i/>
          <w:iCs/>
          <w:spacing w:val="-2"/>
          <w:sz w:val="26"/>
          <w:szCs w:val="26"/>
        </w:rPr>
        <w:t>”</w:t>
      </w:r>
      <w:r w:rsidR="00767621" w:rsidRPr="005E2453">
        <w:rPr>
          <w:rFonts w:ascii="Arial Narrow" w:hAnsi="Arial Narrow"/>
          <w:i/>
          <w:iCs/>
          <w:spacing w:val="-2"/>
          <w:sz w:val="26"/>
          <w:szCs w:val="26"/>
        </w:rPr>
        <w:t>.</w:t>
      </w:r>
      <w:r w:rsidR="00F33779" w:rsidRPr="005E2453">
        <w:rPr>
          <w:rFonts w:ascii="Arial Narrow" w:hAnsi="Arial Narrow"/>
          <w:i/>
          <w:iCs/>
          <w:spacing w:val="-2"/>
          <w:sz w:val="26"/>
          <w:szCs w:val="26"/>
        </w:rPr>
        <w:t xml:space="preserve"> </w:t>
      </w:r>
      <w:r w:rsidR="00F33779" w:rsidRPr="005E2453">
        <w:rPr>
          <w:rFonts w:ascii="Arial Narrow" w:hAnsi="Arial Narrow"/>
          <w:spacing w:val="-2"/>
          <w:sz w:val="26"/>
          <w:szCs w:val="26"/>
        </w:rPr>
        <w:t>(se subraya). Y es precisamente eso lo que acá acontece, pues en protección del citado derecho fundamental se acud</w:t>
      </w:r>
      <w:r w:rsidR="00C83351" w:rsidRPr="005E2453">
        <w:rPr>
          <w:rFonts w:ascii="Arial Narrow" w:hAnsi="Arial Narrow"/>
          <w:spacing w:val="-2"/>
          <w:sz w:val="26"/>
          <w:szCs w:val="26"/>
        </w:rPr>
        <w:t>ió</w:t>
      </w:r>
      <w:r w:rsidR="00F33779" w:rsidRPr="005E2453">
        <w:rPr>
          <w:rFonts w:ascii="Arial Narrow" w:hAnsi="Arial Narrow"/>
          <w:spacing w:val="-2"/>
          <w:sz w:val="26"/>
          <w:szCs w:val="26"/>
        </w:rPr>
        <w:t xml:space="preserve"> al mecanismo del amparo, </w:t>
      </w:r>
      <w:r w:rsidR="00372404" w:rsidRPr="005E2453">
        <w:rPr>
          <w:rFonts w:ascii="Arial Narrow" w:hAnsi="Arial Narrow"/>
          <w:spacing w:val="-2"/>
          <w:sz w:val="26"/>
          <w:szCs w:val="26"/>
        </w:rPr>
        <w:t>sin que s</w:t>
      </w:r>
      <w:r w:rsidR="00C83351" w:rsidRPr="005E2453">
        <w:rPr>
          <w:rFonts w:ascii="Arial Narrow" w:hAnsi="Arial Narrow"/>
          <w:spacing w:val="-2"/>
          <w:sz w:val="26"/>
          <w:szCs w:val="26"/>
        </w:rPr>
        <w:t>e evidenci</w:t>
      </w:r>
      <w:r w:rsidR="003971D4" w:rsidRPr="005E2453">
        <w:rPr>
          <w:rFonts w:ascii="Arial Narrow" w:hAnsi="Arial Narrow"/>
          <w:spacing w:val="-2"/>
          <w:sz w:val="26"/>
          <w:szCs w:val="26"/>
        </w:rPr>
        <w:t>e</w:t>
      </w:r>
      <w:r w:rsidR="00C83351" w:rsidRPr="005E2453">
        <w:rPr>
          <w:rFonts w:ascii="Arial Narrow" w:hAnsi="Arial Narrow"/>
          <w:spacing w:val="-2"/>
          <w:sz w:val="26"/>
          <w:szCs w:val="26"/>
        </w:rPr>
        <w:t xml:space="preserve"> que su</w:t>
      </w:r>
      <w:r w:rsidR="00372404" w:rsidRPr="005E2453">
        <w:rPr>
          <w:rFonts w:ascii="Arial Narrow" w:hAnsi="Arial Narrow"/>
          <w:spacing w:val="-2"/>
          <w:sz w:val="26"/>
          <w:szCs w:val="26"/>
        </w:rPr>
        <w:t xml:space="preserve"> objet</w:t>
      </w:r>
      <w:r w:rsidR="00C83351" w:rsidRPr="005E2453">
        <w:rPr>
          <w:rFonts w:ascii="Arial Narrow" w:hAnsi="Arial Narrow"/>
          <w:spacing w:val="-2"/>
          <w:sz w:val="26"/>
          <w:szCs w:val="26"/>
        </w:rPr>
        <w:t>iv</w:t>
      </w:r>
      <w:r w:rsidR="00372404" w:rsidRPr="005E2453">
        <w:rPr>
          <w:rFonts w:ascii="Arial Narrow" w:hAnsi="Arial Narrow"/>
          <w:spacing w:val="-2"/>
          <w:sz w:val="26"/>
          <w:szCs w:val="26"/>
        </w:rPr>
        <w:t>o sea controvertir los contornos de la obligación que generó el reporte negativo, asunto que sí sería del resorte del juez ordinario</w:t>
      </w:r>
      <w:r w:rsidR="00060E45" w:rsidRPr="005E2453">
        <w:rPr>
          <w:rFonts w:ascii="Arial Narrow" w:hAnsi="Arial Narrow"/>
          <w:spacing w:val="-2"/>
          <w:sz w:val="26"/>
          <w:szCs w:val="26"/>
        </w:rPr>
        <w:t>.</w:t>
      </w:r>
    </w:p>
    <w:p w14:paraId="368CF746" w14:textId="77777777" w:rsidR="00F33779" w:rsidRPr="005E2453" w:rsidRDefault="00F33779" w:rsidP="005E2453">
      <w:pPr>
        <w:pStyle w:val="Sinespaciado"/>
        <w:spacing w:line="276" w:lineRule="auto"/>
        <w:jc w:val="both"/>
        <w:rPr>
          <w:rFonts w:ascii="Arial Narrow" w:hAnsi="Arial Narrow"/>
          <w:spacing w:val="-2"/>
          <w:sz w:val="26"/>
          <w:szCs w:val="26"/>
        </w:rPr>
      </w:pPr>
    </w:p>
    <w:p w14:paraId="58F703CE" w14:textId="77777777" w:rsidR="007E4513" w:rsidRPr="005E2453" w:rsidRDefault="0084418B" w:rsidP="005E2453">
      <w:pPr>
        <w:pStyle w:val="Sinespaciado"/>
        <w:spacing w:line="276" w:lineRule="auto"/>
        <w:jc w:val="both"/>
        <w:rPr>
          <w:rFonts w:ascii="Arial Narrow" w:hAnsi="Arial Narrow"/>
          <w:sz w:val="26"/>
          <w:szCs w:val="26"/>
        </w:rPr>
      </w:pPr>
      <w:r w:rsidRPr="005E2453">
        <w:rPr>
          <w:rFonts w:ascii="Arial Narrow" w:hAnsi="Arial Narrow"/>
          <w:sz w:val="26"/>
          <w:szCs w:val="26"/>
        </w:rPr>
        <w:t>También se considera colmado e</w:t>
      </w:r>
      <w:r w:rsidR="00F646C8" w:rsidRPr="005E2453">
        <w:rPr>
          <w:rFonts w:ascii="Arial Narrow" w:hAnsi="Arial Narrow"/>
          <w:sz w:val="26"/>
          <w:szCs w:val="26"/>
        </w:rPr>
        <w:t xml:space="preserve">l </w:t>
      </w:r>
      <w:r w:rsidR="007E4513" w:rsidRPr="005E2453">
        <w:rPr>
          <w:rFonts w:ascii="Arial Narrow" w:hAnsi="Arial Narrow"/>
          <w:sz w:val="26"/>
          <w:szCs w:val="26"/>
        </w:rPr>
        <w:t xml:space="preserve">presupuesto </w:t>
      </w:r>
      <w:r w:rsidRPr="005E2453">
        <w:rPr>
          <w:rFonts w:ascii="Arial Narrow" w:hAnsi="Arial Narrow"/>
          <w:sz w:val="26"/>
          <w:szCs w:val="26"/>
        </w:rPr>
        <w:t>de la inmediatez</w:t>
      </w:r>
      <w:r w:rsidR="00F646C8" w:rsidRPr="005E2453">
        <w:rPr>
          <w:rFonts w:ascii="Arial Narrow" w:hAnsi="Arial Narrow"/>
          <w:sz w:val="26"/>
          <w:szCs w:val="26"/>
        </w:rPr>
        <w:t xml:space="preserve">, </w:t>
      </w:r>
      <w:r w:rsidR="007E4513" w:rsidRPr="005E2453">
        <w:rPr>
          <w:rFonts w:ascii="Arial Narrow" w:hAnsi="Arial Narrow"/>
          <w:sz w:val="26"/>
          <w:szCs w:val="26"/>
        </w:rPr>
        <w:t>en consideración</w:t>
      </w:r>
      <w:r w:rsidR="00F646C8" w:rsidRPr="005E2453">
        <w:rPr>
          <w:rFonts w:ascii="Arial Narrow" w:hAnsi="Arial Narrow"/>
          <w:sz w:val="26"/>
          <w:szCs w:val="26"/>
        </w:rPr>
        <w:t xml:space="preserve"> a que, </w:t>
      </w:r>
      <w:r w:rsidR="00F646C8" w:rsidRPr="005E2453">
        <w:rPr>
          <w:rFonts w:ascii="Arial Narrow" w:hAnsi="Arial Narrow"/>
          <w:sz w:val="26"/>
          <w:szCs w:val="26"/>
        </w:rPr>
        <w:lastRenderedPageBreak/>
        <w:t xml:space="preserve">primero, a la fecha aquel reporte negativo se mantiene vigente y segundo, la respuesta a la citada solicitud </w:t>
      </w:r>
      <w:r w:rsidR="000F5F63" w:rsidRPr="005E2453">
        <w:rPr>
          <w:rFonts w:ascii="Arial Narrow" w:hAnsi="Arial Narrow"/>
          <w:sz w:val="26"/>
          <w:szCs w:val="26"/>
        </w:rPr>
        <w:t xml:space="preserve">de rectificación </w:t>
      </w:r>
      <w:r w:rsidR="00F646C8" w:rsidRPr="005E2453">
        <w:rPr>
          <w:rFonts w:ascii="Arial Narrow" w:hAnsi="Arial Narrow"/>
          <w:sz w:val="26"/>
          <w:szCs w:val="26"/>
        </w:rPr>
        <w:t xml:space="preserve">tuvo lugar el 6 de abril de este año, mientras que la </w:t>
      </w:r>
      <w:r w:rsidR="007E4513" w:rsidRPr="005E2453">
        <w:rPr>
          <w:rFonts w:ascii="Arial Narrow" w:hAnsi="Arial Narrow"/>
          <w:sz w:val="26"/>
          <w:szCs w:val="26"/>
        </w:rPr>
        <w:t>tutela fue presentada</w:t>
      </w:r>
      <w:r w:rsidR="00F646C8" w:rsidRPr="005E2453">
        <w:rPr>
          <w:rFonts w:ascii="Arial Narrow" w:hAnsi="Arial Narrow"/>
          <w:sz w:val="26"/>
          <w:szCs w:val="26"/>
        </w:rPr>
        <w:t xml:space="preserve"> el 29</w:t>
      </w:r>
      <w:r w:rsidR="007E4513" w:rsidRPr="005E2453">
        <w:rPr>
          <w:rFonts w:ascii="Arial Narrow" w:hAnsi="Arial Narrow"/>
          <w:sz w:val="26"/>
          <w:szCs w:val="26"/>
        </w:rPr>
        <w:t xml:space="preserve"> de junio</w:t>
      </w:r>
      <w:r w:rsidR="00F646C8" w:rsidRPr="005E2453">
        <w:rPr>
          <w:rFonts w:ascii="Arial Narrow" w:hAnsi="Arial Narrow"/>
          <w:sz w:val="26"/>
          <w:szCs w:val="26"/>
        </w:rPr>
        <w:t xml:space="preserve"> último</w:t>
      </w:r>
      <w:r w:rsidR="007E4513" w:rsidRPr="005E2453">
        <w:rPr>
          <w:rStyle w:val="Refdenotaalpie"/>
          <w:rFonts w:ascii="Arial Narrow" w:hAnsi="Arial Narrow"/>
          <w:sz w:val="26"/>
          <w:szCs w:val="26"/>
        </w:rPr>
        <w:footnoteReference w:id="17"/>
      </w:r>
      <w:r w:rsidR="007E4513" w:rsidRPr="005E2453">
        <w:rPr>
          <w:rFonts w:ascii="Arial Narrow" w:hAnsi="Arial Narrow"/>
          <w:sz w:val="26"/>
          <w:szCs w:val="26"/>
        </w:rPr>
        <w:t>, es decir</w:t>
      </w:r>
      <w:r w:rsidR="00F646C8" w:rsidRPr="005E2453">
        <w:rPr>
          <w:rFonts w:ascii="Arial Narrow" w:hAnsi="Arial Narrow"/>
          <w:sz w:val="26"/>
          <w:szCs w:val="26"/>
        </w:rPr>
        <w:t xml:space="preserve"> que entre ambos extremos temporales</w:t>
      </w:r>
      <w:r w:rsidR="007E4513" w:rsidRPr="005E2453">
        <w:rPr>
          <w:rFonts w:ascii="Arial Narrow" w:hAnsi="Arial Narrow"/>
          <w:sz w:val="26"/>
          <w:szCs w:val="26"/>
        </w:rPr>
        <w:t xml:space="preserve"> ni siquiera</w:t>
      </w:r>
      <w:r w:rsidR="00F646C8" w:rsidRPr="005E2453">
        <w:rPr>
          <w:rFonts w:ascii="Arial Narrow" w:hAnsi="Arial Narrow"/>
          <w:sz w:val="26"/>
          <w:szCs w:val="26"/>
        </w:rPr>
        <w:t xml:space="preserve"> transcurrieron </w:t>
      </w:r>
      <w:r w:rsidR="007E4513" w:rsidRPr="005E2453">
        <w:rPr>
          <w:rFonts w:ascii="Arial Narrow" w:hAnsi="Arial Narrow"/>
          <w:sz w:val="26"/>
          <w:szCs w:val="26"/>
        </w:rPr>
        <w:t>tres</w:t>
      </w:r>
      <w:r w:rsidR="00F646C8" w:rsidRPr="005E2453">
        <w:rPr>
          <w:rFonts w:ascii="Arial Narrow" w:hAnsi="Arial Narrow"/>
          <w:sz w:val="26"/>
          <w:szCs w:val="26"/>
        </w:rPr>
        <w:t xml:space="preserve"> meses</w:t>
      </w:r>
      <w:r w:rsidR="007E4513" w:rsidRPr="005E2453">
        <w:rPr>
          <w:rFonts w:ascii="Arial Narrow" w:hAnsi="Arial Narrow"/>
          <w:sz w:val="26"/>
          <w:szCs w:val="26"/>
        </w:rPr>
        <w:t>, lapso que para l</w:t>
      </w:r>
      <w:r w:rsidR="000F5F63" w:rsidRPr="005E2453">
        <w:rPr>
          <w:rFonts w:ascii="Arial Narrow" w:hAnsi="Arial Narrow"/>
          <w:sz w:val="26"/>
          <w:szCs w:val="26"/>
        </w:rPr>
        <w:t>o</w:t>
      </w:r>
      <w:r w:rsidR="007E4513" w:rsidRPr="005E2453">
        <w:rPr>
          <w:rFonts w:ascii="Arial Narrow" w:hAnsi="Arial Narrow"/>
          <w:sz w:val="26"/>
          <w:szCs w:val="26"/>
        </w:rPr>
        <w:t xml:space="preserve">s efectos </w:t>
      </w:r>
      <w:r w:rsidR="000F5F63" w:rsidRPr="005E2453">
        <w:rPr>
          <w:rFonts w:ascii="Arial Narrow" w:hAnsi="Arial Narrow"/>
          <w:sz w:val="26"/>
          <w:szCs w:val="26"/>
        </w:rPr>
        <w:t>que se estudia</w:t>
      </w:r>
      <w:r w:rsidR="00060E45" w:rsidRPr="005E2453">
        <w:rPr>
          <w:rFonts w:ascii="Arial Narrow" w:hAnsi="Arial Narrow"/>
          <w:sz w:val="26"/>
          <w:szCs w:val="26"/>
        </w:rPr>
        <w:t>,</w:t>
      </w:r>
      <w:r w:rsidR="000F5F63" w:rsidRPr="005E2453">
        <w:rPr>
          <w:rFonts w:ascii="Arial Narrow" w:hAnsi="Arial Narrow"/>
          <w:sz w:val="26"/>
          <w:szCs w:val="26"/>
        </w:rPr>
        <w:t xml:space="preserve"> </w:t>
      </w:r>
      <w:r w:rsidR="007E4513" w:rsidRPr="005E2453">
        <w:rPr>
          <w:rFonts w:ascii="Arial Narrow" w:hAnsi="Arial Narrow"/>
          <w:sz w:val="26"/>
          <w:szCs w:val="26"/>
        </w:rPr>
        <w:t xml:space="preserve">se estima </w:t>
      </w:r>
      <w:r w:rsidR="000F5F63" w:rsidRPr="005E2453">
        <w:rPr>
          <w:rFonts w:ascii="Arial Narrow" w:hAnsi="Arial Narrow"/>
          <w:sz w:val="26"/>
          <w:szCs w:val="26"/>
        </w:rPr>
        <w:t>razonable</w:t>
      </w:r>
      <w:r w:rsidR="007E4513" w:rsidRPr="005E2453">
        <w:rPr>
          <w:rFonts w:ascii="Arial Narrow" w:hAnsi="Arial Narrow"/>
          <w:sz w:val="26"/>
          <w:szCs w:val="26"/>
        </w:rPr>
        <w:t xml:space="preserve">.  </w:t>
      </w:r>
    </w:p>
    <w:p w14:paraId="1759EBB3" w14:textId="77777777" w:rsidR="00C36A1C" w:rsidRPr="005E2453" w:rsidRDefault="00C36A1C" w:rsidP="005E2453">
      <w:pPr>
        <w:pStyle w:val="Sinespaciado"/>
        <w:spacing w:line="276" w:lineRule="auto"/>
        <w:jc w:val="both"/>
        <w:rPr>
          <w:rFonts w:ascii="Arial Narrow" w:hAnsi="Arial Narrow"/>
          <w:spacing w:val="-2"/>
          <w:sz w:val="26"/>
          <w:szCs w:val="26"/>
        </w:rPr>
      </w:pPr>
    </w:p>
    <w:p w14:paraId="6FB40126" w14:textId="77777777" w:rsidR="00F646C8" w:rsidRPr="005E2453" w:rsidRDefault="00F646C8"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De modo que al superar el estudio de procedencia de la acción constitucional, la Colegiatura se encuentra habilitada para abordar el fondo del asunto.</w:t>
      </w:r>
    </w:p>
    <w:p w14:paraId="679D07D0" w14:textId="77777777" w:rsidR="00F646C8" w:rsidRPr="005E2453" w:rsidRDefault="00F646C8" w:rsidP="005E2453">
      <w:pPr>
        <w:pStyle w:val="Sinespaciado"/>
        <w:spacing w:line="276" w:lineRule="auto"/>
        <w:jc w:val="both"/>
        <w:rPr>
          <w:rFonts w:ascii="Arial Narrow" w:hAnsi="Arial Narrow"/>
          <w:spacing w:val="-2"/>
          <w:sz w:val="26"/>
          <w:szCs w:val="26"/>
        </w:rPr>
      </w:pPr>
    </w:p>
    <w:p w14:paraId="0E419DE4" w14:textId="77777777" w:rsidR="007D5D69" w:rsidRPr="005E2453" w:rsidRDefault="00F646C8" w:rsidP="005E2453">
      <w:pPr>
        <w:pStyle w:val="Sinespaciado"/>
        <w:spacing w:line="276" w:lineRule="auto"/>
        <w:jc w:val="both"/>
        <w:rPr>
          <w:rFonts w:ascii="Arial Narrow" w:hAnsi="Arial Narrow"/>
          <w:sz w:val="26"/>
          <w:szCs w:val="26"/>
        </w:rPr>
      </w:pPr>
      <w:r w:rsidRPr="005E2453">
        <w:rPr>
          <w:rFonts w:ascii="Arial Narrow" w:hAnsi="Arial Narrow"/>
          <w:b/>
          <w:spacing w:val="-2"/>
          <w:sz w:val="26"/>
          <w:szCs w:val="26"/>
        </w:rPr>
        <w:t>7</w:t>
      </w:r>
      <w:r w:rsidR="00955C14" w:rsidRPr="005E2453">
        <w:rPr>
          <w:rFonts w:ascii="Arial Narrow" w:hAnsi="Arial Narrow"/>
          <w:b/>
          <w:spacing w:val="-2"/>
          <w:sz w:val="26"/>
          <w:szCs w:val="26"/>
        </w:rPr>
        <w:t>.</w:t>
      </w:r>
      <w:r w:rsidR="007D5D69" w:rsidRPr="005E2453">
        <w:rPr>
          <w:rFonts w:ascii="Arial Narrow" w:hAnsi="Arial Narrow"/>
          <w:b/>
          <w:spacing w:val="-2"/>
          <w:sz w:val="26"/>
          <w:szCs w:val="26"/>
        </w:rPr>
        <w:t xml:space="preserve"> </w:t>
      </w:r>
      <w:r w:rsidR="0084418B" w:rsidRPr="005E2453">
        <w:rPr>
          <w:rFonts w:ascii="Arial Narrow" w:hAnsi="Arial Narrow"/>
          <w:sz w:val="26"/>
          <w:szCs w:val="26"/>
        </w:rPr>
        <w:t xml:space="preserve">El derecho al habeas </w:t>
      </w:r>
      <w:r w:rsidR="003719C5" w:rsidRPr="005E2453">
        <w:rPr>
          <w:rFonts w:ascii="Arial Narrow" w:hAnsi="Arial Narrow"/>
          <w:sz w:val="26"/>
          <w:szCs w:val="26"/>
        </w:rPr>
        <w:t>data</w:t>
      </w:r>
      <w:r w:rsidR="0084418B" w:rsidRPr="005E2453">
        <w:rPr>
          <w:rFonts w:ascii="Arial Narrow" w:hAnsi="Arial Narrow"/>
          <w:sz w:val="26"/>
          <w:szCs w:val="26"/>
        </w:rPr>
        <w:t xml:space="preserve"> ha sido entendido como aquel que garantiza a los ciudadanos </w:t>
      </w:r>
      <w:r w:rsidR="00A462B0" w:rsidRPr="005E2453">
        <w:rPr>
          <w:rFonts w:ascii="Arial Narrow" w:hAnsi="Arial Narrow"/>
          <w:sz w:val="26"/>
          <w:szCs w:val="26"/>
        </w:rPr>
        <w:t>que la</w:t>
      </w:r>
      <w:r w:rsidR="0084418B" w:rsidRPr="005E2453">
        <w:rPr>
          <w:rFonts w:ascii="Arial Narrow" w:hAnsi="Arial Narrow"/>
          <w:sz w:val="26"/>
          <w:szCs w:val="26"/>
        </w:rPr>
        <w:t xml:space="preserve"> información que</w:t>
      </w:r>
      <w:r w:rsidR="00A462B0" w:rsidRPr="005E2453">
        <w:rPr>
          <w:rFonts w:ascii="Arial Narrow" w:hAnsi="Arial Narrow"/>
          <w:sz w:val="26"/>
          <w:szCs w:val="26"/>
        </w:rPr>
        <w:t xml:space="preserve"> de ellos</w:t>
      </w:r>
      <w:r w:rsidR="0084418B" w:rsidRPr="005E2453">
        <w:rPr>
          <w:rFonts w:ascii="Arial Narrow" w:hAnsi="Arial Narrow"/>
          <w:sz w:val="26"/>
          <w:szCs w:val="26"/>
        </w:rPr>
        <w:t xml:space="preserve"> repose en bases de datos sea veraz</w:t>
      </w:r>
      <w:r w:rsidR="00A462B0" w:rsidRPr="005E2453">
        <w:rPr>
          <w:rFonts w:ascii="Arial Narrow" w:hAnsi="Arial Narrow"/>
          <w:sz w:val="26"/>
          <w:szCs w:val="26"/>
        </w:rPr>
        <w:t>, completa y actualizada,</w:t>
      </w:r>
      <w:r w:rsidR="00B32564" w:rsidRPr="005E2453">
        <w:rPr>
          <w:rFonts w:ascii="Arial Narrow" w:hAnsi="Arial Narrow"/>
          <w:sz w:val="26"/>
          <w:szCs w:val="26"/>
        </w:rPr>
        <w:t xml:space="preserve"> garantía de la cual se desprende </w:t>
      </w:r>
      <w:r w:rsidR="00A462B0" w:rsidRPr="005E2453">
        <w:rPr>
          <w:rFonts w:ascii="Arial Narrow" w:hAnsi="Arial Narrow"/>
          <w:sz w:val="26"/>
          <w:szCs w:val="26"/>
        </w:rPr>
        <w:t xml:space="preserve">la facultad </w:t>
      </w:r>
      <w:r w:rsidR="00B32564" w:rsidRPr="005E2453">
        <w:rPr>
          <w:rFonts w:ascii="Arial Narrow" w:hAnsi="Arial Narrow"/>
          <w:sz w:val="26"/>
          <w:szCs w:val="26"/>
        </w:rPr>
        <w:t>de ejercer acciones para</w:t>
      </w:r>
      <w:r w:rsidR="00A462B0" w:rsidRPr="005E2453">
        <w:rPr>
          <w:rFonts w:ascii="Arial Narrow" w:hAnsi="Arial Narrow"/>
          <w:sz w:val="26"/>
          <w:szCs w:val="26"/>
        </w:rPr>
        <w:t xml:space="preserve"> solicitar </w:t>
      </w:r>
      <w:r w:rsidR="00407184" w:rsidRPr="005E2453">
        <w:rPr>
          <w:rFonts w:ascii="Arial Narrow" w:hAnsi="Arial Narrow"/>
          <w:sz w:val="26"/>
          <w:szCs w:val="26"/>
        </w:rPr>
        <w:t>su aclaración</w:t>
      </w:r>
      <w:r w:rsidR="00A462B0" w:rsidRPr="005E2453">
        <w:rPr>
          <w:rFonts w:ascii="Arial Narrow" w:hAnsi="Arial Narrow"/>
          <w:sz w:val="26"/>
          <w:szCs w:val="26"/>
        </w:rPr>
        <w:t>, corrección, rectificación o actualización</w:t>
      </w:r>
      <w:r w:rsidR="00A462B0" w:rsidRPr="005E2453">
        <w:rPr>
          <w:rStyle w:val="Refdenotaalpie"/>
          <w:rFonts w:ascii="Arial Narrow" w:hAnsi="Arial Narrow"/>
          <w:sz w:val="26"/>
          <w:szCs w:val="26"/>
        </w:rPr>
        <w:footnoteReference w:id="18"/>
      </w:r>
      <w:r w:rsidR="00A462B0" w:rsidRPr="005E2453">
        <w:rPr>
          <w:rFonts w:ascii="Arial Narrow" w:hAnsi="Arial Narrow"/>
          <w:sz w:val="26"/>
          <w:szCs w:val="26"/>
        </w:rPr>
        <w:t xml:space="preserve">.  </w:t>
      </w:r>
      <w:r w:rsidR="0084418B" w:rsidRPr="005E2453">
        <w:rPr>
          <w:rFonts w:ascii="Arial Narrow" w:hAnsi="Arial Narrow"/>
          <w:sz w:val="26"/>
          <w:szCs w:val="26"/>
        </w:rPr>
        <w:t xml:space="preserve">  </w:t>
      </w:r>
    </w:p>
    <w:p w14:paraId="0652F9D1" w14:textId="77777777" w:rsidR="007D5D69" w:rsidRPr="005E2453" w:rsidRDefault="007D5D69" w:rsidP="005E2453">
      <w:pPr>
        <w:pStyle w:val="Sinespaciado"/>
        <w:spacing w:line="276" w:lineRule="auto"/>
        <w:jc w:val="both"/>
        <w:rPr>
          <w:rFonts w:ascii="Arial Narrow" w:hAnsi="Arial Narrow"/>
          <w:b/>
          <w:spacing w:val="-2"/>
          <w:sz w:val="26"/>
          <w:szCs w:val="26"/>
        </w:rPr>
      </w:pPr>
    </w:p>
    <w:p w14:paraId="38466D11" w14:textId="77777777" w:rsidR="00042023" w:rsidRPr="005E2453" w:rsidRDefault="00042023"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Valga la pena recordar que la queja constitucional se finc</w:t>
      </w:r>
      <w:r w:rsidR="00407184" w:rsidRPr="005E2453">
        <w:rPr>
          <w:rFonts w:ascii="Arial Narrow" w:hAnsi="Arial Narrow"/>
          <w:spacing w:val="-2"/>
          <w:sz w:val="26"/>
          <w:szCs w:val="26"/>
        </w:rPr>
        <w:t>ó</w:t>
      </w:r>
      <w:r w:rsidRPr="005E2453">
        <w:rPr>
          <w:rFonts w:ascii="Arial Narrow" w:hAnsi="Arial Narrow"/>
          <w:spacing w:val="-2"/>
          <w:sz w:val="26"/>
          <w:szCs w:val="26"/>
        </w:rPr>
        <w:t xml:space="preserve"> en la presunta falta de veracidad de los </w:t>
      </w:r>
      <w:r w:rsidR="00450667" w:rsidRPr="005E2453">
        <w:rPr>
          <w:rFonts w:ascii="Arial Narrow" w:hAnsi="Arial Narrow"/>
          <w:spacing w:val="-2"/>
          <w:sz w:val="26"/>
          <w:szCs w:val="26"/>
        </w:rPr>
        <w:t xml:space="preserve">datos consignados por la demandada que sirvieron de sustento para el reporte negativo, tantas veces citado, y en el incumplimiento del trámite de requerimiento previo a dicha actuación.  </w:t>
      </w:r>
      <w:r w:rsidRPr="005E2453">
        <w:rPr>
          <w:rFonts w:ascii="Arial Narrow" w:hAnsi="Arial Narrow"/>
          <w:spacing w:val="-2"/>
          <w:sz w:val="26"/>
          <w:szCs w:val="26"/>
        </w:rPr>
        <w:t xml:space="preserve"> </w:t>
      </w:r>
    </w:p>
    <w:p w14:paraId="00D2EA1D" w14:textId="77777777" w:rsidR="00711830" w:rsidRPr="005E2453" w:rsidRDefault="00711830" w:rsidP="005E2453">
      <w:pPr>
        <w:pStyle w:val="Sinespaciado"/>
        <w:spacing w:line="276" w:lineRule="auto"/>
        <w:jc w:val="both"/>
        <w:rPr>
          <w:rFonts w:ascii="Arial Narrow" w:hAnsi="Arial Narrow"/>
          <w:spacing w:val="-2"/>
          <w:sz w:val="26"/>
          <w:szCs w:val="26"/>
        </w:rPr>
      </w:pPr>
    </w:p>
    <w:p w14:paraId="366C1235" w14:textId="77777777" w:rsidR="003971D4" w:rsidRPr="005E2453" w:rsidRDefault="00450667" w:rsidP="005E2453">
      <w:pPr>
        <w:pStyle w:val="Sinespaciado"/>
        <w:spacing w:line="276" w:lineRule="auto"/>
        <w:jc w:val="both"/>
        <w:rPr>
          <w:rFonts w:ascii="Arial Narrow" w:hAnsi="Arial Narrow"/>
          <w:i/>
          <w:spacing w:val="-2"/>
          <w:sz w:val="26"/>
          <w:szCs w:val="26"/>
        </w:rPr>
      </w:pPr>
      <w:r w:rsidRPr="005E2453">
        <w:rPr>
          <w:rFonts w:ascii="Arial Narrow" w:hAnsi="Arial Narrow"/>
          <w:spacing w:val="-2"/>
          <w:sz w:val="26"/>
          <w:szCs w:val="26"/>
        </w:rPr>
        <w:t xml:space="preserve">A propósito, la </w:t>
      </w:r>
      <w:r w:rsidR="00042023" w:rsidRPr="005E2453">
        <w:rPr>
          <w:rFonts w:ascii="Arial Narrow" w:hAnsi="Arial Narrow"/>
          <w:spacing w:val="-2"/>
          <w:sz w:val="26"/>
          <w:szCs w:val="26"/>
        </w:rPr>
        <w:t xml:space="preserve">Ley 1266 de 2008, encargada de regular de manera general el hábeas data, establece en su artículo 4 literal: </w:t>
      </w:r>
      <w:r w:rsidR="00042023" w:rsidRPr="005E2453">
        <w:rPr>
          <w:rFonts w:ascii="Arial Narrow" w:hAnsi="Arial Narrow"/>
          <w:i/>
          <w:spacing w:val="-2"/>
          <w:sz w:val="26"/>
          <w:szCs w:val="26"/>
        </w:rPr>
        <w:t>“</w:t>
      </w:r>
      <w:r w:rsidR="00042023" w:rsidRPr="00D5189B">
        <w:rPr>
          <w:rFonts w:ascii="Arial Narrow" w:hAnsi="Arial Narrow"/>
          <w:i/>
          <w:spacing w:val="-2"/>
          <w:sz w:val="24"/>
          <w:szCs w:val="26"/>
        </w:rPr>
        <w:t>a) Principio de veracidad o calidad de los registros o datos. La información contenida en los bancos de datos debe ser veraz, completa, exacta, actualizada, comprobable y comprensible. Se prohíbe el registro y divulgación de datos parciales, incompletos, fraccionados o que induzcan a error</w:t>
      </w:r>
      <w:r w:rsidR="00042023" w:rsidRPr="005E2453">
        <w:rPr>
          <w:rFonts w:ascii="Arial Narrow" w:hAnsi="Arial Narrow"/>
          <w:i/>
          <w:spacing w:val="-2"/>
          <w:sz w:val="26"/>
          <w:szCs w:val="26"/>
        </w:rPr>
        <w:t>”.</w:t>
      </w:r>
    </w:p>
    <w:p w14:paraId="6B035385" w14:textId="77777777" w:rsidR="003971D4" w:rsidRPr="005E2453" w:rsidRDefault="003971D4" w:rsidP="005E2453">
      <w:pPr>
        <w:pStyle w:val="Sinespaciado"/>
        <w:spacing w:line="276" w:lineRule="auto"/>
        <w:jc w:val="both"/>
        <w:rPr>
          <w:rFonts w:ascii="Arial Narrow" w:hAnsi="Arial Narrow"/>
          <w:i/>
          <w:spacing w:val="-2"/>
          <w:sz w:val="26"/>
          <w:szCs w:val="26"/>
        </w:rPr>
      </w:pPr>
    </w:p>
    <w:p w14:paraId="79A7F991" w14:textId="77777777" w:rsidR="00042023" w:rsidRPr="005E2453" w:rsidRDefault="003971D4" w:rsidP="005E2453">
      <w:pPr>
        <w:pStyle w:val="Sinespaciado"/>
        <w:spacing w:line="276" w:lineRule="auto"/>
        <w:jc w:val="both"/>
        <w:rPr>
          <w:rFonts w:ascii="Arial Narrow" w:hAnsi="Arial Narrow"/>
          <w:i/>
          <w:spacing w:val="-2"/>
          <w:sz w:val="26"/>
          <w:szCs w:val="26"/>
        </w:rPr>
      </w:pPr>
      <w:r w:rsidRPr="005E2453">
        <w:rPr>
          <w:rFonts w:ascii="Arial Narrow" w:hAnsi="Arial Narrow"/>
          <w:iCs/>
          <w:spacing w:val="-2"/>
          <w:sz w:val="26"/>
          <w:szCs w:val="26"/>
        </w:rPr>
        <w:t xml:space="preserve">Por su parte, </w:t>
      </w:r>
      <w:r w:rsidR="00042023" w:rsidRPr="005E2453">
        <w:rPr>
          <w:rFonts w:ascii="Arial Narrow" w:hAnsi="Arial Narrow"/>
          <w:spacing w:val="-2"/>
          <w:sz w:val="26"/>
          <w:szCs w:val="26"/>
        </w:rPr>
        <w:t xml:space="preserve">su artículo 12 prevé en </w:t>
      </w:r>
      <w:r w:rsidR="009B1FC2" w:rsidRPr="005E2453">
        <w:rPr>
          <w:rFonts w:ascii="Arial Narrow" w:hAnsi="Arial Narrow"/>
          <w:spacing w:val="-2"/>
          <w:sz w:val="26"/>
          <w:szCs w:val="26"/>
        </w:rPr>
        <w:t xml:space="preserve">lo </w:t>
      </w:r>
      <w:r w:rsidR="00042023" w:rsidRPr="005E2453">
        <w:rPr>
          <w:rFonts w:ascii="Arial Narrow" w:hAnsi="Arial Narrow"/>
          <w:spacing w:val="-2"/>
          <w:sz w:val="26"/>
          <w:szCs w:val="26"/>
        </w:rPr>
        <w:t xml:space="preserve">pertinente: </w:t>
      </w:r>
      <w:r w:rsidR="00042023" w:rsidRPr="005E2453">
        <w:rPr>
          <w:rFonts w:ascii="Arial Narrow" w:hAnsi="Arial Narrow"/>
          <w:i/>
          <w:spacing w:val="-2"/>
          <w:sz w:val="26"/>
          <w:szCs w:val="26"/>
        </w:rPr>
        <w:t>“</w:t>
      </w:r>
      <w:r w:rsidR="00042023" w:rsidRPr="00D5189B">
        <w:rPr>
          <w:rFonts w:ascii="Arial Narrow" w:hAnsi="Arial Narrow"/>
          <w:i/>
          <w:spacing w:val="-2"/>
          <w:sz w:val="24"/>
          <w:szCs w:val="26"/>
        </w:rPr>
        <w:t>El reporte de información negativa sobre incumplimiento de obligaciones de cualquier naturaleza, que hagan las fuentes de información a los operadores de bancos de datos de información financiera, crediticia, comercial, de servicios y la proveniente de terceros países, sólo procederá previa comunicación al titular de la información, con el fin de que este pueda demostrar o efectuar el pago de la obligación, así como controvertir aspectos tales como el monto de la obligación o cuota y la fecha de exigibilidad. Dicha comunicación podrá incluirse en los extractos periódicos que las fuentes de información envíen a sus clientes. En todo caso, las fuentes de información podrán efectuar el reporte de la información transcurridos veinte (20) días calendario siguientes a la fecha de envío de la comunicación en la última dirección de domicilio del afectado que se encuentre registrada en los archivos de la fuente de la información y sin perjuicio, si es del caso, de dar cumplimiento a la obligación de informar al operador, que la información se encuentra en discusión por parte de su titular, cuando se haya presentado solicitud de rectificación o actualización y está aún no haya sido resuelta</w:t>
      </w:r>
      <w:r w:rsidR="00042023" w:rsidRPr="005E2453">
        <w:rPr>
          <w:rFonts w:ascii="Arial Narrow" w:hAnsi="Arial Narrow"/>
          <w:i/>
          <w:spacing w:val="-2"/>
          <w:sz w:val="26"/>
          <w:szCs w:val="26"/>
        </w:rPr>
        <w:t xml:space="preserve">.” </w:t>
      </w:r>
    </w:p>
    <w:p w14:paraId="3C1E3161" w14:textId="77777777" w:rsidR="00042023" w:rsidRPr="005E2453" w:rsidRDefault="00042023" w:rsidP="005E2453">
      <w:pPr>
        <w:pStyle w:val="Sinespaciado"/>
        <w:spacing w:line="276" w:lineRule="auto"/>
        <w:jc w:val="both"/>
        <w:rPr>
          <w:rFonts w:ascii="Arial Narrow" w:hAnsi="Arial Narrow"/>
          <w:i/>
          <w:spacing w:val="-2"/>
          <w:sz w:val="26"/>
          <w:szCs w:val="26"/>
        </w:rPr>
      </w:pPr>
    </w:p>
    <w:p w14:paraId="6D5919E5" w14:textId="77777777" w:rsidR="009C442B" w:rsidRPr="005E2453" w:rsidRDefault="00450667"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De los soportes allegados al expediente, se concluye que</w:t>
      </w:r>
      <w:r w:rsidR="00711830" w:rsidRPr="005E2453">
        <w:rPr>
          <w:rFonts w:ascii="Arial Narrow" w:hAnsi="Arial Narrow"/>
          <w:spacing w:val="-2"/>
          <w:sz w:val="26"/>
          <w:szCs w:val="26"/>
        </w:rPr>
        <w:t xml:space="preserve"> la obligación fuente del registro </w:t>
      </w:r>
      <w:r w:rsidR="00FA7707" w:rsidRPr="005E2453">
        <w:rPr>
          <w:rFonts w:ascii="Arial Narrow" w:hAnsi="Arial Narrow"/>
          <w:spacing w:val="-2"/>
          <w:sz w:val="26"/>
          <w:szCs w:val="26"/>
        </w:rPr>
        <w:t>en centrales de riesgo</w:t>
      </w:r>
      <w:r w:rsidR="00711830" w:rsidRPr="005E2453">
        <w:rPr>
          <w:rFonts w:ascii="Arial Narrow" w:hAnsi="Arial Narrow"/>
          <w:spacing w:val="-2"/>
          <w:sz w:val="26"/>
          <w:szCs w:val="26"/>
        </w:rPr>
        <w:t xml:space="preserve"> fue aquella</w:t>
      </w:r>
      <w:r w:rsidR="00E46F4F" w:rsidRPr="005E2453">
        <w:rPr>
          <w:rFonts w:ascii="Arial Narrow" w:hAnsi="Arial Narrow"/>
          <w:spacing w:val="-2"/>
          <w:sz w:val="26"/>
          <w:szCs w:val="26"/>
        </w:rPr>
        <w:t xml:space="preserve"> surgida de</w:t>
      </w:r>
      <w:r w:rsidR="00711830" w:rsidRPr="005E2453">
        <w:rPr>
          <w:rFonts w:ascii="Arial Narrow" w:hAnsi="Arial Narrow"/>
          <w:spacing w:val="-2"/>
          <w:sz w:val="26"/>
          <w:szCs w:val="26"/>
        </w:rPr>
        <w:t xml:space="preserve"> crédito estudiantil que contrajo el actor en su condición de deudor solidario </w:t>
      </w:r>
      <w:r w:rsidR="00FA7707" w:rsidRPr="005E2453">
        <w:rPr>
          <w:rFonts w:ascii="Arial Narrow" w:hAnsi="Arial Narrow"/>
          <w:spacing w:val="-2"/>
          <w:sz w:val="26"/>
          <w:szCs w:val="26"/>
        </w:rPr>
        <w:t>y según el ICETEX la misma presentó</w:t>
      </w:r>
      <w:r w:rsidR="00711830" w:rsidRPr="005E2453">
        <w:rPr>
          <w:rFonts w:ascii="Arial Narrow" w:hAnsi="Arial Narrow"/>
          <w:spacing w:val="-2"/>
          <w:sz w:val="26"/>
          <w:szCs w:val="26"/>
        </w:rPr>
        <w:t xml:space="preserve"> mora consecutiva durante los periodos de noviembre de 2015 a mayo de 2017 y de julio de 2017 a junio de 2020</w:t>
      </w:r>
      <w:r w:rsidR="00FA7707" w:rsidRPr="005E2453">
        <w:rPr>
          <w:rFonts w:ascii="Arial Narrow" w:hAnsi="Arial Narrow"/>
          <w:spacing w:val="-2"/>
          <w:sz w:val="26"/>
          <w:szCs w:val="26"/>
        </w:rPr>
        <w:t xml:space="preserve"> y que dicho reporte negativo comprende el ciclo entre marzo de 2018 a febrero de 2020. Sin embargo, al confrontar esa información con la suministrada por los operadores, se evidencia</w:t>
      </w:r>
      <w:r w:rsidR="00E46F4F" w:rsidRPr="005E2453">
        <w:rPr>
          <w:rFonts w:ascii="Arial Narrow" w:hAnsi="Arial Narrow"/>
          <w:spacing w:val="-2"/>
          <w:sz w:val="26"/>
          <w:szCs w:val="26"/>
        </w:rPr>
        <w:t xml:space="preserve"> por lo</w:t>
      </w:r>
      <w:r w:rsidR="009C442B" w:rsidRPr="005E2453">
        <w:rPr>
          <w:rFonts w:ascii="Arial Narrow" w:hAnsi="Arial Narrow"/>
          <w:spacing w:val="-2"/>
          <w:sz w:val="26"/>
          <w:szCs w:val="26"/>
        </w:rPr>
        <w:t xml:space="preserve"> menos</w:t>
      </w:r>
      <w:r w:rsidR="00FA7707" w:rsidRPr="005E2453">
        <w:rPr>
          <w:rFonts w:ascii="Arial Narrow" w:hAnsi="Arial Narrow"/>
          <w:spacing w:val="-2"/>
          <w:sz w:val="26"/>
          <w:szCs w:val="26"/>
        </w:rPr>
        <w:t xml:space="preserve"> </w:t>
      </w:r>
      <w:r w:rsidR="00553B93" w:rsidRPr="005E2453">
        <w:rPr>
          <w:rFonts w:ascii="Arial Narrow" w:hAnsi="Arial Narrow"/>
          <w:spacing w:val="-2"/>
          <w:sz w:val="26"/>
          <w:szCs w:val="26"/>
        </w:rPr>
        <w:t>incoherente</w:t>
      </w:r>
      <w:r w:rsidR="00E46F4F" w:rsidRPr="005E2453">
        <w:rPr>
          <w:rFonts w:ascii="Arial Narrow" w:hAnsi="Arial Narrow"/>
          <w:spacing w:val="-2"/>
          <w:sz w:val="26"/>
          <w:szCs w:val="26"/>
        </w:rPr>
        <w:t xml:space="preserve">. </w:t>
      </w:r>
      <w:r w:rsidR="00E46F4F" w:rsidRPr="005E2453">
        <w:rPr>
          <w:rFonts w:ascii="Arial Narrow" w:hAnsi="Arial Narrow"/>
          <w:spacing w:val="-2"/>
          <w:sz w:val="26"/>
          <w:szCs w:val="26"/>
        </w:rPr>
        <w:lastRenderedPageBreak/>
        <w:t>En efecto,</w:t>
      </w:r>
      <w:r w:rsidR="00FA7707" w:rsidRPr="005E2453">
        <w:rPr>
          <w:rFonts w:ascii="Arial Narrow" w:hAnsi="Arial Narrow"/>
          <w:spacing w:val="-2"/>
          <w:sz w:val="26"/>
          <w:szCs w:val="26"/>
        </w:rPr>
        <w:t xml:space="preserve"> </w:t>
      </w:r>
      <w:proofErr w:type="spellStart"/>
      <w:r w:rsidR="00FA7707" w:rsidRPr="005E2453">
        <w:rPr>
          <w:rFonts w:ascii="Arial Narrow" w:hAnsi="Arial Narrow"/>
          <w:spacing w:val="-2"/>
          <w:sz w:val="26"/>
          <w:szCs w:val="26"/>
        </w:rPr>
        <w:t>Datacrédito</w:t>
      </w:r>
      <w:proofErr w:type="spellEnd"/>
      <w:r w:rsidR="00FA7707" w:rsidRPr="005E2453">
        <w:rPr>
          <w:rFonts w:ascii="Arial Narrow" w:hAnsi="Arial Narrow"/>
          <w:spacing w:val="-2"/>
          <w:sz w:val="26"/>
          <w:szCs w:val="26"/>
        </w:rPr>
        <w:t xml:space="preserve"> certifica que el primer comportamiento negativo se produjo en el mes enero de 2020, por mora que se extendió por seis meses, mientras que </w:t>
      </w:r>
      <w:proofErr w:type="spellStart"/>
      <w:r w:rsidR="00FA7707" w:rsidRPr="005E2453">
        <w:rPr>
          <w:rFonts w:ascii="Arial Narrow" w:hAnsi="Arial Narrow"/>
          <w:spacing w:val="-2"/>
          <w:sz w:val="26"/>
          <w:szCs w:val="26"/>
        </w:rPr>
        <w:t>Trans</w:t>
      </w:r>
      <w:r w:rsidR="005A23A9" w:rsidRPr="005E2453">
        <w:rPr>
          <w:rFonts w:ascii="Arial Narrow" w:hAnsi="Arial Narrow"/>
          <w:spacing w:val="-2"/>
          <w:sz w:val="26"/>
          <w:szCs w:val="26"/>
        </w:rPr>
        <w:t>U</w:t>
      </w:r>
      <w:r w:rsidR="00FA7707" w:rsidRPr="005E2453">
        <w:rPr>
          <w:rFonts w:ascii="Arial Narrow" w:hAnsi="Arial Narrow"/>
          <w:spacing w:val="-2"/>
          <w:sz w:val="26"/>
          <w:szCs w:val="26"/>
        </w:rPr>
        <w:t>nión</w:t>
      </w:r>
      <w:proofErr w:type="spellEnd"/>
      <w:r w:rsidR="00FA7707" w:rsidRPr="005E2453">
        <w:rPr>
          <w:rFonts w:ascii="Arial Narrow" w:hAnsi="Arial Narrow"/>
          <w:spacing w:val="-2"/>
          <w:sz w:val="26"/>
          <w:szCs w:val="26"/>
        </w:rPr>
        <w:t xml:space="preserve"> indica que el reporte inicial</w:t>
      </w:r>
      <w:r w:rsidR="009C442B" w:rsidRPr="005E2453">
        <w:rPr>
          <w:rFonts w:ascii="Arial Narrow" w:hAnsi="Arial Narrow"/>
          <w:spacing w:val="-2"/>
          <w:sz w:val="26"/>
          <w:szCs w:val="26"/>
        </w:rPr>
        <w:t xml:space="preserve"> y el reporte de primera mora datan </w:t>
      </w:r>
      <w:r w:rsidR="00FA7707" w:rsidRPr="005E2453">
        <w:rPr>
          <w:rFonts w:ascii="Arial Narrow" w:hAnsi="Arial Narrow"/>
          <w:spacing w:val="-2"/>
          <w:sz w:val="26"/>
          <w:szCs w:val="26"/>
        </w:rPr>
        <w:t>del 18 de mayo de 2016</w:t>
      </w:r>
      <w:r w:rsidR="009C442B" w:rsidRPr="005E2453">
        <w:rPr>
          <w:rFonts w:ascii="Arial Narrow" w:hAnsi="Arial Narrow"/>
          <w:spacing w:val="-2"/>
          <w:sz w:val="26"/>
          <w:szCs w:val="26"/>
        </w:rPr>
        <w:t>.</w:t>
      </w:r>
    </w:p>
    <w:p w14:paraId="0E436739" w14:textId="77777777" w:rsidR="002446C2" w:rsidRPr="005E2453" w:rsidRDefault="002446C2" w:rsidP="005E2453">
      <w:pPr>
        <w:pStyle w:val="Sinespaciado"/>
        <w:spacing w:line="276" w:lineRule="auto"/>
        <w:jc w:val="both"/>
        <w:rPr>
          <w:rFonts w:ascii="Arial Narrow" w:hAnsi="Arial Narrow"/>
          <w:spacing w:val="-2"/>
          <w:sz w:val="26"/>
          <w:szCs w:val="26"/>
        </w:rPr>
      </w:pPr>
    </w:p>
    <w:p w14:paraId="4ADBA117" w14:textId="77777777" w:rsidR="002446C2" w:rsidRPr="005E2453" w:rsidRDefault="00E46F4F"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De lo anterior</w:t>
      </w:r>
      <w:r w:rsidR="002446C2" w:rsidRPr="005E2453">
        <w:rPr>
          <w:rFonts w:ascii="Arial Narrow" w:hAnsi="Arial Narrow"/>
          <w:spacing w:val="-2"/>
          <w:sz w:val="26"/>
          <w:szCs w:val="26"/>
        </w:rPr>
        <w:t xml:space="preserve"> no es </w:t>
      </w:r>
      <w:r w:rsidR="00553B93" w:rsidRPr="005E2453">
        <w:rPr>
          <w:rFonts w:ascii="Arial Narrow" w:hAnsi="Arial Narrow"/>
          <w:spacing w:val="-2"/>
          <w:sz w:val="26"/>
          <w:szCs w:val="26"/>
        </w:rPr>
        <w:t>posible deducir con exactitud cuál es el periodo en mora que dio lugar a la sanci</w:t>
      </w:r>
      <w:r w:rsidRPr="005E2453">
        <w:rPr>
          <w:rFonts w:ascii="Arial Narrow" w:hAnsi="Arial Narrow"/>
          <w:spacing w:val="-2"/>
          <w:sz w:val="26"/>
          <w:szCs w:val="26"/>
        </w:rPr>
        <w:t>ón crediticia;</w:t>
      </w:r>
      <w:r w:rsidR="00553B93" w:rsidRPr="005E2453">
        <w:rPr>
          <w:rFonts w:ascii="Arial Narrow" w:hAnsi="Arial Narrow"/>
          <w:spacing w:val="-2"/>
          <w:sz w:val="26"/>
          <w:szCs w:val="26"/>
        </w:rPr>
        <w:t xml:space="preserve"> no es </w:t>
      </w:r>
      <w:r w:rsidR="002446C2" w:rsidRPr="005E2453">
        <w:rPr>
          <w:rFonts w:ascii="Arial Narrow" w:hAnsi="Arial Narrow"/>
          <w:spacing w:val="-2"/>
          <w:sz w:val="26"/>
          <w:szCs w:val="26"/>
        </w:rPr>
        <w:t>comprensible la razón por la que se dice que la mora se presentó entre</w:t>
      </w:r>
      <w:r w:rsidR="00BE53DB" w:rsidRPr="005E2453">
        <w:rPr>
          <w:rFonts w:ascii="Arial Narrow" w:hAnsi="Arial Narrow"/>
          <w:spacing w:val="-2"/>
          <w:sz w:val="26"/>
          <w:szCs w:val="26"/>
        </w:rPr>
        <w:t xml:space="preserve"> noviembre de </w:t>
      </w:r>
      <w:r w:rsidR="002446C2" w:rsidRPr="005E2453">
        <w:rPr>
          <w:rFonts w:ascii="Arial Narrow" w:hAnsi="Arial Narrow"/>
          <w:spacing w:val="-2"/>
          <w:sz w:val="26"/>
          <w:szCs w:val="26"/>
        </w:rPr>
        <w:t>2015 a</w:t>
      </w:r>
      <w:r w:rsidR="00BE53DB" w:rsidRPr="005E2453">
        <w:rPr>
          <w:rFonts w:ascii="Arial Narrow" w:hAnsi="Arial Narrow"/>
          <w:spacing w:val="-2"/>
          <w:sz w:val="26"/>
          <w:szCs w:val="26"/>
        </w:rPr>
        <w:t xml:space="preserve"> junio de </w:t>
      </w:r>
      <w:r w:rsidR="002446C2" w:rsidRPr="005E2453">
        <w:rPr>
          <w:rFonts w:ascii="Arial Narrow" w:hAnsi="Arial Narrow"/>
          <w:spacing w:val="-2"/>
          <w:sz w:val="26"/>
          <w:szCs w:val="26"/>
        </w:rPr>
        <w:t>2020</w:t>
      </w:r>
      <w:r w:rsidR="00553B93" w:rsidRPr="005E2453">
        <w:rPr>
          <w:rFonts w:ascii="Arial Narrow" w:hAnsi="Arial Narrow"/>
          <w:spacing w:val="-2"/>
          <w:sz w:val="26"/>
          <w:szCs w:val="26"/>
        </w:rPr>
        <w:t xml:space="preserve"> y</w:t>
      </w:r>
      <w:r w:rsidR="00BE53DB" w:rsidRPr="005E2453">
        <w:rPr>
          <w:rFonts w:ascii="Arial Narrow" w:hAnsi="Arial Narrow"/>
          <w:spacing w:val="-2"/>
          <w:sz w:val="26"/>
          <w:szCs w:val="26"/>
        </w:rPr>
        <w:t xml:space="preserve"> </w:t>
      </w:r>
      <w:r w:rsidR="002446C2" w:rsidRPr="005E2453">
        <w:rPr>
          <w:rFonts w:ascii="Arial Narrow" w:hAnsi="Arial Narrow"/>
          <w:spacing w:val="-2"/>
          <w:sz w:val="26"/>
          <w:szCs w:val="26"/>
        </w:rPr>
        <w:t>el</w:t>
      </w:r>
      <w:r w:rsidR="00BE53DB" w:rsidRPr="005E2453">
        <w:rPr>
          <w:rFonts w:ascii="Arial Narrow" w:hAnsi="Arial Narrow"/>
          <w:spacing w:val="-2"/>
          <w:sz w:val="26"/>
          <w:szCs w:val="26"/>
        </w:rPr>
        <w:t xml:space="preserve"> periodo que generó el reporte negativo inicia en </w:t>
      </w:r>
      <w:r w:rsidR="002446C2" w:rsidRPr="005E2453">
        <w:rPr>
          <w:rFonts w:ascii="Arial Narrow" w:hAnsi="Arial Narrow"/>
          <w:spacing w:val="-2"/>
          <w:sz w:val="26"/>
          <w:szCs w:val="26"/>
        </w:rPr>
        <w:t xml:space="preserve">marzo de 2018 </w:t>
      </w:r>
      <w:r w:rsidR="00BE53DB" w:rsidRPr="005E2453">
        <w:rPr>
          <w:rFonts w:ascii="Arial Narrow" w:hAnsi="Arial Narrow"/>
          <w:spacing w:val="-2"/>
          <w:sz w:val="26"/>
          <w:szCs w:val="26"/>
        </w:rPr>
        <w:t>y culmina en</w:t>
      </w:r>
      <w:r w:rsidR="002446C2" w:rsidRPr="005E2453">
        <w:rPr>
          <w:rFonts w:ascii="Arial Narrow" w:hAnsi="Arial Narrow"/>
          <w:spacing w:val="-2"/>
          <w:sz w:val="26"/>
          <w:szCs w:val="26"/>
        </w:rPr>
        <w:t xml:space="preserve"> febrero de 2020</w:t>
      </w:r>
      <w:r w:rsidR="00BE53DB" w:rsidRPr="005E2453">
        <w:rPr>
          <w:rFonts w:ascii="Arial Narrow" w:hAnsi="Arial Narrow"/>
          <w:spacing w:val="-2"/>
          <w:sz w:val="26"/>
          <w:szCs w:val="26"/>
        </w:rPr>
        <w:t>,</w:t>
      </w:r>
      <w:r w:rsidR="00553B93" w:rsidRPr="005E2453">
        <w:rPr>
          <w:rFonts w:ascii="Arial Narrow" w:hAnsi="Arial Narrow"/>
          <w:spacing w:val="-2"/>
          <w:sz w:val="26"/>
          <w:szCs w:val="26"/>
        </w:rPr>
        <w:t xml:space="preserve"> pero la mora objeto de registro en</w:t>
      </w:r>
      <w:r w:rsidR="002446C2" w:rsidRPr="005E2453">
        <w:rPr>
          <w:rFonts w:ascii="Arial Narrow" w:hAnsi="Arial Narrow"/>
          <w:spacing w:val="-2"/>
          <w:sz w:val="26"/>
          <w:szCs w:val="26"/>
        </w:rPr>
        <w:t xml:space="preserve"> </w:t>
      </w:r>
      <w:proofErr w:type="spellStart"/>
      <w:r w:rsidR="002446C2" w:rsidRPr="005E2453">
        <w:rPr>
          <w:rFonts w:ascii="Arial Narrow" w:hAnsi="Arial Narrow"/>
          <w:spacing w:val="-2"/>
          <w:sz w:val="26"/>
          <w:szCs w:val="26"/>
        </w:rPr>
        <w:t>Datacrédito</w:t>
      </w:r>
      <w:proofErr w:type="spellEnd"/>
      <w:r w:rsidR="00BE53DB" w:rsidRPr="005E2453">
        <w:rPr>
          <w:rFonts w:ascii="Arial Narrow" w:hAnsi="Arial Narrow"/>
          <w:spacing w:val="-2"/>
          <w:sz w:val="26"/>
          <w:szCs w:val="26"/>
        </w:rPr>
        <w:t xml:space="preserve"> sea únicamente entre los meses de enero a junio</w:t>
      </w:r>
      <w:r w:rsidR="002446C2" w:rsidRPr="005E2453">
        <w:rPr>
          <w:rFonts w:ascii="Arial Narrow" w:hAnsi="Arial Narrow"/>
          <w:spacing w:val="-2"/>
          <w:sz w:val="26"/>
          <w:szCs w:val="26"/>
        </w:rPr>
        <w:t xml:space="preserve"> 2020</w:t>
      </w:r>
      <w:r w:rsidRPr="005E2453">
        <w:rPr>
          <w:rFonts w:ascii="Arial Narrow" w:hAnsi="Arial Narrow"/>
          <w:spacing w:val="-2"/>
          <w:sz w:val="26"/>
          <w:szCs w:val="26"/>
        </w:rPr>
        <w:t xml:space="preserve">, mientras que en </w:t>
      </w:r>
      <w:proofErr w:type="spellStart"/>
      <w:r w:rsidR="002446C2" w:rsidRPr="005E2453">
        <w:rPr>
          <w:rFonts w:ascii="Arial Narrow" w:hAnsi="Arial Narrow"/>
          <w:spacing w:val="-2"/>
          <w:sz w:val="26"/>
          <w:szCs w:val="26"/>
        </w:rPr>
        <w:t>Trans</w:t>
      </w:r>
      <w:r w:rsidR="005E0A5A" w:rsidRPr="005E2453">
        <w:rPr>
          <w:rFonts w:ascii="Arial Narrow" w:hAnsi="Arial Narrow"/>
          <w:spacing w:val="-2"/>
          <w:sz w:val="26"/>
          <w:szCs w:val="26"/>
        </w:rPr>
        <w:t>U</w:t>
      </w:r>
      <w:r w:rsidR="002446C2" w:rsidRPr="005E2453">
        <w:rPr>
          <w:rFonts w:ascii="Arial Narrow" w:hAnsi="Arial Narrow"/>
          <w:spacing w:val="-2"/>
          <w:sz w:val="26"/>
          <w:szCs w:val="26"/>
        </w:rPr>
        <w:t>nión</w:t>
      </w:r>
      <w:proofErr w:type="spellEnd"/>
      <w:r w:rsidR="002446C2" w:rsidRPr="005E2453">
        <w:rPr>
          <w:rFonts w:ascii="Arial Narrow" w:hAnsi="Arial Narrow"/>
          <w:spacing w:val="-2"/>
          <w:sz w:val="26"/>
          <w:szCs w:val="26"/>
        </w:rPr>
        <w:t xml:space="preserve"> </w:t>
      </w:r>
      <w:r w:rsidR="00BE53DB" w:rsidRPr="005E2453">
        <w:rPr>
          <w:rFonts w:ascii="Arial Narrow" w:hAnsi="Arial Narrow"/>
          <w:spacing w:val="-2"/>
          <w:sz w:val="26"/>
          <w:szCs w:val="26"/>
        </w:rPr>
        <w:t xml:space="preserve">haga constar que la mora </w:t>
      </w:r>
      <w:r w:rsidR="00553B93" w:rsidRPr="005E2453">
        <w:rPr>
          <w:rFonts w:ascii="Arial Narrow" w:hAnsi="Arial Narrow"/>
          <w:spacing w:val="-2"/>
          <w:sz w:val="26"/>
          <w:szCs w:val="26"/>
        </w:rPr>
        <w:t>inició a partir de</w:t>
      </w:r>
      <w:r w:rsidR="00BE53DB" w:rsidRPr="005E2453">
        <w:rPr>
          <w:rFonts w:ascii="Arial Narrow" w:hAnsi="Arial Narrow"/>
          <w:spacing w:val="-2"/>
          <w:sz w:val="26"/>
          <w:szCs w:val="26"/>
        </w:rPr>
        <w:t>l</w:t>
      </w:r>
      <w:r w:rsidR="002446C2" w:rsidRPr="005E2453">
        <w:rPr>
          <w:rFonts w:ascii="Arial Narrow" w:hAnsi="Arial Narrow"/>
          <w:spacing w:val="-2"/>
          <w:sz w:val="26"/>
          <w:szCs w:val="26"/>
        </w:rPr>
        <w:t xml:space="preserve"> 18 de mayo de 2016</w:t>
      </w:r>
      <w:r w:rsidR="00553B93" w:rsidRPr="005E2453">
        <w:rPr>
          <w:rFonts w:ascii="Arial Narrow" w:hAnsi="Arial Narrow"/>
          <w:spacing w:val="-2"/>
          <w:sz w:val="26"/>
          <w:szCs w:val="26"/>
        </w:rPr>
        <w:t xml:space="preserve"> y se extendió por 730 días</w:t>
      </w:r>
      <w:r w:rsidR="005E0A5A" w:rsidRPr="005E2453">
        <w:rPr>
          <w:rFonts w:ascii="Arial Narrow" w:hAnsi="Arial Narrow"/>
          <w:spacing w:val="-2"/>
          <w:sz w:val="26"/>
          <w:szCs w:val="26"/>
        </w:rPr>
        <w:t>, tratándose por supuesto de una misma obligación.</w:t>
      </w:r>
    </w:p>
    <w:p w14:paraId="66BFCFB6" w14:textId="77777777" w:rsidR="00450667" w:rsidRPr="005E2453" w:rsidRDefault="00450667" w:rsidP="005E2453">
      <w:pPr>
        <w:pStyle w:val="Sinespaciado"/>
        <w:spacing w:line="276" w:lineRule="auto"/>
        <w:jc w:val="both"/>
        <w:rPr>
          <w:rFonts w:ascii="Arial Narrow" w:hAnsi="Arial Narrow"/>
          <w:spacing w:val="-2"/>
          <w:sz w:val="26"/>
          <w:szCs w:val="26"/>
        </w:rPr>
      </w:pPr>
    </w:p>
    <w:p w14:paraId="67906995" w14:textId="77777777" w:rsidR="004E0239" w:rsidRPr="005E2453" w:rsidRDefault="004E0239"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Como si fuera poco, respecto al registro</w:t>
      </w:r>
      <w:r w:rsidR="00E46F4F" w:rsidRPr="005E2453">
        <w:rPr>
          <w:rFonts w:ascii="Arial Narrow" w:hAnsi="Arial Narrow"/>
          <w:spacing w:val="-2"/>
          <w:sz w:val="26"/>
          <w:szCs w:val="26"/>
        </w:rPr>
        <w:t xml:space="preserve"> de </w:t>
      </w:r>
      <w:r w:rsidRPr="005E2453">
        <w:rPr>
          <w:rFonts w:ascii="Arial Narrow" w:hAnsi="Arial Narrow"/>
          <w:spacing w:val="-2"/>
          <w:sz w:val="26"/>
          <w:szCs w:val="26"/>
        </w:rPr>
        <w:t xml:space="preserve">la mora del año 2016, que según lo informa </w:t>
      </w:r>
      <w:proofErr w:type="spellStart"/>
      <w:r w:rsidRPr="005E2453">
        <w:rPr>
          <w:rFonts w:ascii="Arial Narrow" w:hAnsi="Arial Narrow"/>
          <w:spacing w:val="-2"/>
          <w:sz w:val="26"/>
          <w:szCs w:val="26"/>
        </w:rPr>
        <w:t>Trans</w:t>
      </w:r>
      <w:r w:rsidR="005E0A5A" w:rsidRPr="005E2453">
        <w:rPr>
          <w:rFonts w:ascii="Arial Narrow" w:hAnsi="Arial Narrow"/>
          <w:spacing w:val="-2"/>
          <w:sz w:val="26"/>
          <w:szCs w:val="26"/>
        </w:rPr>
        <w:t>U</w:t>
      </w:r>
      <w:r w:rsidRPr="005E2453">
        <w:rPr>
          <w:rFonts w:ascii="Arial Narrow" w:hAnsi="Arial Narrow"/>
          <w:spacing w:val="-2"/>
          <w:sz w:val="26"/>
          <w:szCs w:val="26"/>
        </w:rPr>
        <w:t>nión</w:t>
      </w:r>
      <w:proofErr w:type="spellEnd"/>
      <w:r w:rsidRPr="005E2453">
        <w:rPr>
          <w:rFonts w:ascii="Arial Narrow" w:hAnsi="Arial Narrow"/>
          <w:spacing w:val="-2"/>
          <w:sz w:val="26"/>
          <w:szCs w:val="26"/>
        </w:rPr>
        <w:t xml:space="preserve"> fue reporta en esa misma anualidad, no existe notificación previa alguna sobre el reporte que de ella eventualmente se haría, tal como lo estipula el artículo 12 ya citado. Véase que la única notificación que se produjo en ese sentido data del año 2018</w:t>
      </w:r>
      <w:r w:rsidR="00414715" w:rsidRPr="005E2453">
        <w:rPr>
          <w:rFonts w:ascii="Arial Narrow" w:hAnsi="Arial Narrow"/>
          <w:spacing w:val="-2"/>
          <w:sz w:val="26"/>
          <w:szCs w:val="26"/>
        </w:rPr>
        <w:t xml:space="preserve"> la cual, valga decirlo de una vez, fue remitida a la dirección</w:t>
      </w:r>
      <w:r w:rsidR="00416C3D" w:rsidRPr="005E2453">
        <w:rPr>
          <w:rFonts w:ascii="Arial Narrow" w:hAnsi="Arial Narrow"/>
          <w:spacing w:val="-2"/>
          <w:sz w:val="26"/>
          <w:szCs w:val="26"/>
        </w:rPr>
        <w:t xml:space="preserve"> que aparece</w:t>
      </w:r>
      <w:r w:rsidR="00414715" w:rsidRPr="005E2453">
        <w:rPr>
          <w:rFonts w:ascii="Arial Narrow" w:hAnsi="Arial Narrow"/>
          <w:spacing w:val="-2"/>
          <w:sz w:val="26"/>
          <w:szCs w:val="26"/>
        </w:rPr>
        <w:t xml:space="preserve"> </w:t>
      </w:r>
      <w:r w:rsidR="00416C3D" w:rsidRPr="005E2453">
        <w:rPr>
          <w:rFonts w:ascii="Arial Narrow" w:hAnsi="Arial Narrow"/>
          <w:spacing w:val="-2"/>
          <w:sz w:val="26"/>
          <w:szCs w:val="26"/>
        </w:rPr>
        <w:t xml:space="preserve">en las bases de datos del ICETEX, tal como lo ordena la norma en mención, de modo que ningún reporte se podría realizar con fecha inicial anterior a </w:t>
      </w:r>
      <w:r w:rsidR="00023346" w:rsidRPr="005E2453">
        <w:rPr>
          <w:rFonts w:ascii="Arial Narrow" w:hAnsi="Arial Narrow"/>
          <w:spacing w:val="-2"/>
          <w:sz w:val="26"/>
          <w:szCs w:val="26"/>
        </w:rPr>
        <w:t>esa calenda</w:t>
      </w:r>
      <w:r w:rsidRPr="005E2453">
        <w:rPr>
          <w:rFonts w:ascii="Arial Narrow" w:hAnsi="Arial Narrow"/>
          <w:spacing w:val="-2"/>
          <w:sz w:val="26"/>
          <w:szCs w:val="26"/>
        </w:rPr>
        <w:t>.</w:t>
      </w:r>
    </w:p>
    <w:p w14:paraId="2A2F6B9F" w14:textId="77777777" w:rsidR="00A03DF7" w:rsidRPr="005E2453" w:rsidRDefault="00A03DF7" w:rsidP="005E2453">
      <w:pPr>
        <w:pStyle w:val="Sinespaciado"/>
        <w:spacing w:line="276" w:lineRule="auto"/>
        <w:jc w:val="both"/>
        <w:rPr>
          <w:rFonts w:ascii="Arial Narrow" w:hAnsi="Arial Narrow"/>
          <w:spacing w:val="-2"/>
          <w:sz w:val="26"/>
          <w:szCs w:val="26"/>
        </w:rPr>
      </w:pPr>
    </w:p>
    <w:p w14:paraId="78407B37" w14:textId="77777777" w:rsidR="00A03DF7" w:rsidRPr="005E2453" w:rsidRDefault="00A03DF7"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 xml:space="preserve">Se reitera sobre ese punto, en respuesta al alegato de la parte actora, que la norma invocada regula el </w:t>
      </w:r>
      <w:r w:rsidRPr="005E2453">
        <w:rPr>
          <w:rFonts w:ascii="Arial Narrow" w:hAnsi="Arial Narrow"/>
          <w:i/>
          <w:iCs/>
          <w:spacing w:val="-2"/>
          <w:sz w:val="26"/>
          <w:szCs w:val="26"/>
        </w:rPr>
        <w:t>“</w:t>
      </w:r>
      <w:r w:rsidRPr="00D5189B">
        <w:rPr>
          <w:rFonts w:ascii="Arial Narrow" w:hAnsi="Arial Narrow"/>
          <w:i/>
          <w:iCs/>
          <w:spacing w:val="-2"/>
          <w:sz w:val="24"/>
          <w:szCs w:val="26"/>
        </w:rPr>
        <w:t>envío de la comunicación en la última dirección de domicilio del afectado que se encuentre registrada en los archivos de la fuente de la información</w:t>
      </w:r>
      <w:r w:rsidRPr="005E2453">
        <w:rPr>
          <w:rFonts w:ascii="Arial Narrow" w:hAnsi="Arial Narrow"/>
          <w:spacing w:val="-2"/>
          <w:sz w:val="26"/>
          <w:szCs w:val="26"/>
        </w:rPr>
        <w:t xml:space="preserve">”, </w:t>
      </w:r>
      <w:r w:rsidR="00C477D3" w:rsidRPr="005E2453">
        <w:rPr>
          <w:rFonts w:ascii="Arial Narrow" w:hAnsi="Arial Narrow"/>
          <w:spacing w:val="-2"/>
          <w:sz w:val="26"/>
          <w:szCs w:val="26"/>
        </w:rPr>
        <w:t>como en este evento ocurrió en el año 2018, luego</w:t>
      </w:r>
      <w:r w:rsidR="007225C2" w:rsidRPr="005E2453">
        <w:rPr>
          <w:rFonts w:ascii="Arial Narrow" w:hAnsi="Arial Narrow"/>
          <w:spacing w:val="-2"/>
          <w:sz w:val="26"/>
          <w:szCs w:val="26"/>
        </w:rPr>
        <w:t>,</w:t>
      </w:r>
      <w:r w:rsidR="00C477D3" w:rsidRPr="005E2453">
        <w:rPr>
          <w:rFonts w:ascii="Arial Narrow" w:hAnsi="Arial Narrow"/>
          <w:spacing w:val="-2"/>
          <w:sz w:val="26"/>
          <w:szCs w:val="26"/>
        </w:rPr>
        <w:t xml:space="preserve"> que no se haya enviado esa comunicación a la dirección reportada desde el momento de la creación de la o</w:t>
      </w:r>
      <w:r w:rsidR="007225C2" w:rsidRPr="005E2453">
        <w:rPr>
          <w:rFonts w:ascii="Arial Narrow" w:hAnsi="Arial Narrow"/>
          <w:spacing w:val="-2"/>
          <w:sz w:val="26"/>
          <w:szCs w:val="26"/>
        </w:rPr>
        <w:t>b</w:t>
      </w:r>
      <w:r w:rsidR="00C477D3" w:rsidRPr="005E2453">
        <w:rPr>
          <w:rFonts w:ascii="Arial Narrow" w:hAnsi="Arial Narrow"/>
          <w:spacing w:val="-2"/>
          <w:sz w:val="26"/>
          <w:szCs w:val="26"/>
        </w:rPr>
        <w:t>ligación (20</w:t>
      </w:r>
      <w:r w:rsidR="00CF750F" w:rsidRPr="005E2453">
        <w:rPr>
          <w:rFonts w:ascii="Arial Narrow" w:hAnsi="Arial Narrow"/>
          <w:spacing w:val="-2"/>
          <w:sz w:val="26"/>
          <w:szCs w:val="26"/>
        </w:rPr>
        <w:t>1</w:t>
      </w:r>
      <w:r w:rsidR="00C477D3" w:rsidRPr="005E2453">
        <w:rPr>
          <w:rFonts w:ascii="Arial Narrow" w:hAnsi="Arial Narrow"/>
          <w:spacing w:val="-2"/>
          <w:sz w:val="26"/>
          <w:szCs w:val="26"/>
        </w:rPr>
        <w:t>5) no implica el desconocimiento de la disposición normativa.</w:t>
      </w:r>
    </w:p>
    <w:p w14:paraId="5CC3DF9F" w14:textId="77777777" w:rsidR="00553B93" w:rsidRPr="005E2453" w:rsidRDefault="00553B93" w:rsidP="005E2453">
      <w:pPr>
        <w:pStyle w:val="Sinespaciado"/>
        <w:spacing w:line="276" w:lineRule="auto"/>
        <w:jc w:val="both"/>
        <w:rPr>
          <w:rFonts w:ascii="Arial Narrow" w:hAnsi="Arial Narrow"/>
          <w:spacing w:val="-2"/>
          <w:sz w:val="26"/>
          <w:szCs w:val="26"/>
        </w:rPr>
      </w:pPr>
    </w:p>
    <w:p w14:paraId="6166AD4D" w14:textId="77777777" w:rsidR="004E0239" w:rsidRPr="005E2453" w:rsidRDefault="004E0239"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 xml:space="preserve">Por tanto, los datos reportados por el ICETEX no solo son inexactos e inducen a error respecto de mora que sustenta el registro negativo en centrales de riesgo, sino que, al menos en cuanto al reporte en el </w:t>
      </w:r>
      <w:proofErr w:type="spellStart"/>
      <w:r w:rsidRPr="005E2453">
        <w:rPr>
          <w:rFonts w:ascii="Arial Narrow" w:hAnsi="Arial Narrow"/>
          <w:spacing w:val="-2"/>
          <w:sz w:val="26"/>
          <w:szCs w:val="26"/>
        </w:rPr>
        <w:t>Cifin-Trans</w:t>
      </w:r>
      <w:r w:rsidR="00023346" w:rsidRPr="005E2453">
        <w:rPr>
          <w:rFonts w:ascii="Arial Narrow" w:hAnsi="Arial Narrow"/>
          <w:spacing w:val="-2"/>
          <w:sz w:val="26"/>
          <w:szCs w:val="26"/>
        </w:rPr>
        <w:t>U</w:t>
      </w:r>
      <w:r w:rsidRPr="005E2453">
        <w:rPr>
          <w:rFonts w:ascii="Arial Narrow" w:hAnsi="Arial Narrow"/>
          <w:spacing w:val="-2"/>
          <w:sz w:val="26"/>
          <w:szCs w:val="26"/>
        </w:rPr>
        <w:t>nión</w:t>
      </w:r>
      <w:proofErr w:type="spellEnd"/>
      <w:r w:rsidRPr="005E2453">
        <w:rPr>
          <w:rFonts w:ascii="Arial Narrow" w:hAnsi="Arial Narrow"/>
          <w:spacing w:val="-2"/>
          <w:sz w:val="26"/>
          <w:szCs w:val="26"/>
        </w:rPr>
        <w:t xml:space="preserve">, se evidencia </w:t>
      </w:r>
      <w:r w:rsidR="00443BDA" w:rsidRPr="005E2453">
        <w:rPr>
          <w:rFonts w:ascii="Arial Narrow" w:hAnsi="Arial Narrow"/>
          <w:spacing w:val="-2"/>
          <w:sz w:val="26"/>
          <w:szCs w:val="26"/>
        </w:rPr>
        <w:t>el</w:t>
      </w:r>
      <w:r w:rsidRPr="005E2453">
        <w:rPr>
          <w:rFonts w:ascii="Arial Narrow" w:hAnsi="Arial Narrow"/>
          <w:spacing w:val="-2"/>
          <w:sz w:val="26"/>
          <w:szCs w:val="26"/>
        </w:rPr>
        <w:t xml:space="preserve"> incumplimiento del requerimiento previo a que se refiere la norma transcrita, circunstancias que justifican la intervención del juez constitucional.</w:t>
      </w:r>
    </w:p>
    <w:p w14:paraId="3B135B4F" w14:textId="77777777" w:rsidR="004E0239" w:rsidRPr="005E2453" w:rsidRDefault="004E0239" w:rsidP="005E2453">
      <w:pPr>
        <w:pStyle w:val="Sinespaciado"/>
        <w:spacing w:line="276" w:lineRule="auto"/>
        <w:jc w:val="both"/>
        <w:rPr>
          <w:rFonts w:ascii="Arial Narrow" w:hAnsi="Arial Narrow"/>
          <w:spacing w:val="-2"/>
          <w:sz w:val="26"/>
          <w:szCs w:val="26"/>
        </w:rPr>
      </w:pPr>
    </w:p>
    <w:p w14:paraId="70A2B499" w14:textId="77777777" w:rsidR="00416C3D" w:rsidRPr="005E2453" w:rsidRDefault="004E0239"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 xml:space="preserve">En consecuencia </w:t>
      </w:r>
      <w:r w:rsidR="00416C3D" w:rsidRPr="005E2453">
        <w:rPr>
          <w:rFonts w:ascii="Arial Narrow" w:hAnsi="Arial Narrow"/>
          <w:spacing w:val="-2"/>
          <w:sz w:val="26"/>
          <w:szCs w:val="26"/>
        </w:rPr>
        <w:t xml:space="preserve">se revocará el fallo apelado y </w:t>
      </w:r>
      <w:r w:rsidRPr="005E2453">
        <w:rPr>
          <w:rFonts w:ascii="Arial Narrow" w:hAnsi="Arial Narrow"/>
          <w:spacing w:val="-2"/>
          <w:sz w:val="26"/>
          <w:szCs w:val="26"/>
        </w:rPr>
        <w:t xml:space="preserve">para restablecer el orden jurídico desviado, </w:t>
      </w:r>
      <w:r w:rsidR="00443BDA" w:rsidRPr="005E2453">
        <w:rPr>
          <w:rFonts w:ascii="Arial Narrow" w:hAnsi="Arial Narrow"/>
          <w:spacing w:val="-2"/>
          <w:sz w:val="26"/>
          <w:szCs w:val="26"/>
        </w:rPr>
        <w:t xml:space="preserve">en protección del derecho fundamental al habeas data del actor, </w:t>
      </w:r>
      <w:r w:rsidRPr="005E2453">
        <w:rPr>
          <w:rFonts w:ascii="Arial Narrow" w:hAnsi="Arial Narrow"/>
          <w:spacing w:val="-2"/>
          <w:sz w:val="26"/>
          <w:szCs w:val="26"/>
        </w:rPr>
        <w:t xml:space="preserve">se ordenará al </w:t>
      </w:r>
      <w:r w:rsidRPr="005E2453">
        <w:rPr>
          <w:rFonts w:ascii="Arial Narrow" w:hAnsi="Arial Narrow"/>
          <w:sz w:val="26"/>
          <w:szCs w:val="26"/>
          <w:lang w:val="es-CO"/>
        </w:rPr>
        <w:t>Coordinador del Grupo de Administración de Cartera de la Vicepresidencia de Operaciones y Tecnología</w:t>
      </w:r>
      <w:r w:rsidR="00416C3D" w:rsidRPr="005E2453">
        <w:rPr>
          <w:rFonts w:ascii="Arial Narrow" w:hAnsi="Arial Narrow"/>
          <w:sz w:val="26"/>
          <w:szCs w:val="26"/>
          <w:lang w:val="es-CO"/>
        </w:rPr>
        <w:t xml:space="preserve"> del ICETEX</w:t>
      </w:r>
      <w:r w:rsidR="00414715" w:rsidRPr="005E2453">
        <w:rPr>
          <w:rFonts w:ascii="Arial Narrow" w:hAnsi="Arial Narrow"/>
          <w:sz w:val="26"/>
          <w:szCs w:val="26"/>
          <w:lang w:val="es-CO"/>
        </w:rPr>
        <w:t>, rectificar la informaci</w:t>
      </w:r>
      <w:r w:rsidR="00416C3D" w:rsidRPr="005E2453">
        <w:rPr>
          <w:rFonts w:ascii="Arial Narrow" w:hAnsi="Arial Narrow"/>
          <w:sz w:val="26"/>
          <w:szCs w:val="26"/>
          <w:lang w:val="es-CO"/>
        </w:rPr>
        <w:t>ón que del accionante se encuentra inscrita</w:t>
      </w:r>
      <w:r w:rsidR="00414715" w:rsidRPr="005E2453">
        <w:rPr>
          <w:rFonts w:ascii="Arial Narrow" w:hAnsi="Arial Narrow"/>
          <w:sz w:val="26"/>
          <w:szCs w:val="26"/>
          <w:lang w:val="es-CO"/>
        </w:rPr>
        <w:t xml:space="preserve"> </w:t>
      </w:r>
      <w:r w:rsidR="00416C3D" w:rsidRPr="005E2453">
        <w:rPr>
          <w:rFonts w:ascii="Arial Narrow" w:hAnsi="Arial Narrow"/>
          <w:sz w:val="26"/>
          <w:szCs w:val="26"/>
          <w:lang w:val="es-CO"/>
        </w:rPr>
        <w:t xml:space="preserve">en </w:t>
      </w:r>
      <w:proofErr w:type="spellStart"/>
      <w:r w:rsidR="00414715" w:rsidRPr="005E2453">
        <w:rPr>
          <w:rFonts w:ascii="Arial Narrow" w:hAnsi="Arial Narrow"/>
          <w:spacing w:val="-2"/>
          <w:sz w:val="26"/>
          <w:szCs w:val="26"/>
        </w:rPr>
        <w:t>Datacrédito</w:t>
      </w:r>
      <w:proofErr w:type="spellEnd"/>
      <w:r w:rsidR="00414715" w:rsidRPr="005E2453">
        <w:rPr>
          <w:rFonts w:ascii="Arial Narrow" w:hAnsi="Arial Narrow"/>
          <w:spacing w:val="-2"/>
          <w:sz w:val="26"/>
          <w:szCs w:val="26"/>
        </w:rPr>
        <w:t xml:space="preserve"> y </w:t>
      </w:r>
      <w:proofErr w:type="spellStart"/>
      <w:r w:rsidR="00414715" w:rsidRPr="005E2453">
        <w:rPr>
          <w:rFonts w:ascii="Arial Narrow" w:hAnsi="Arial Narrow"/>
          <w:spacing w:val="-2"/>
          <w:sz w:val="26"/>
          <w:szCs w:val="26"/>
        </w:rPr>
        <w:t>Trans</w:t>
      </w:r>
      <w:r w:rsidR="00D118F8" w:rsidRPr="005E2453">
        <w:rPr>
          <w:rFonts w:ascii="Arial Narrow" w:hAnsi="Arial Narrow"/>
          <w:spacing w:val="-2"/>
          <w:sz w:val="26"/>
          <w:szCs w:val="26"/>
        </w:rPr>
        <w:t>U</w:t>
      </w:r>
      <w:r w:rsidR="00414715" w:rsidRPr="005E2453">
        <w:rPr>
          <w:rFonts w:ascii="Arial Narrow" w:hAnsi="Arial Narrow"/>
          <w:spacing w:val="-2"/>
          <w:sz w:val="26"/>
          <w:szCs w:val="26"/>
        </w:rPr>
        <w:t>nión</w:t>
      </w:r>
      <w:proofErr w:type="spellEnd"/>
      <w:r w:rsidR="00414715" w:rsidRPr="005E2453">
        <w:rPr>
          <w:rFonts w:ascii="Arial Narrow" w:hAnsi="Arial Narrow"/>
          <w:spacing w:val="-2"/>
          <w:sz w:val="26"/>
          <w:szCs w:val="26"/>
        </w:rPr>
        <w:t xml:space="preserve"> -</w:t>
      </w:r>
      <w:proofErr w:type="spellStart"/>
      <w:r w:rsidR="00414715" w:rsidRPr="005E2453">
        <w:rPr>
          <w:rFonts w:ascii="Arial Narrow" w:hAnsi="Arial Narrow"/>
          <w:spacing w:val="-2"/>
          <w:sz w:val="26"/>
          <w:szCs w:val="26"/>
        </w:rPr>
        <w:t>Cifin</w:t>
      </w:r>
      <w:proofErr w:type="spellEnd"/>
      <w:r w:rsidR="00414715" w:rsidRPr="005E2453">
        <w:rPr>
          <w:rFonts w:ascii="Arial Narrow" w:hAnsi="Arial Narrow"/>
          <w:spacing w:val="-2"/>
          <w:sz w:val="26"/>
          <w:szCs w:val="26"/>
        </w:rPr>
        <w:t>- respecto a los periodos en mora que constituyen la base de ese registro</w:t>
      </w:r>
      <w:r w:rsidR="00A90367" w:rsidRPr="005E2453">
        <w:rPr>
          <w:rFonts w:ascii="Arial Narrow" w:hAnsi="Arial Narrow"/>
          <w:spacing w:val="-2"/>
          <w:sz w:val="26"/>
          <w:szCs w:val="26"/>
        </w:rPr>
        <w:t xml:space="preserve"> (obligación</w:t>
      </w:r>
      <w:r w:rsidR="00A90367" w:rsidRPr="005E2453">
        <w:rPr>
          <w:rFonts w:ascii="Arial Narrow" w:hAnsi="Arial Narrow"/>
          <w:sz w:val="26"/>
          <w:szCs w:val="26"/>
          <w:lang w:val="es-CO"/>
        </w:rPr>
        <w:t xml:space="preserve"> No. 4403-7j)</w:t>
      </w:r>
      <w:r w:rsidR="00414715" w:rsidRPr="005E2453">
        <w:rPr>
          <w:rFonts w:ascii="Arial Narrow" w:hAnsi="Arial Narrow"/>
          <w:spacing w:val="-2"/>
          <w:sz w:val="26"/>
          <w:szCs w:val="26"/>
        </w:rPr>
        <w:t>, sin que sea posible</w:t>
      </w:r>
      <w:r w:rsidR="00416C3D" w:rsidRPr="005E2453">
        <w:rPr>
          <w:rFonts w:ascii="Arial Narrow" w:hAnsi="Arial Narrow"/>
          <w:spacing w:val="-2"/>
          <w:sz w:val="26"/>
          <w:szCs w:val="26"/>
        </w:rPr>
        <w:t xml:space="preserve"> </w:t>
      </w:r>
      <w:r w:rsidR="00C57B4A" w:rsidRPr="005E2453">
        <w:rPr>
          <w:rFonts w:ascii="Arial Narrow" w:hAnsi="Arial Narrow"/>
          <w:spacing w:val="-2"/>
          <w:sz w:val="26"/>
          <w:szCs w:val="26"/>
        </w:rPr>
        <w:t xml:space="preserve">mantener </w:t>
      </w:r>
      <w:r w:rsidR="00416C3D" w:rsidRPr="005E2453">
        <w:rPr>
          <w:rFonts w:ascii="Arial Narrow" w:hAnsi="Arial Narrow"/>
          <w:spacing w:val="-2"/>
          <w:sz w:val="26"/>
          <w:szCs w:val="26"/>
        </w:rPr>
        <w:t>reportes anteriores a</w:t>
      </w:r>
      <w:r w:rsidR="007A63C1" w:rsidRPr="005E2453">
        <w:rPr>
          <w:rFonts w:ascii="Arial Narrow" w:hAnsi="Arial Narrow"/>
          <w:spacing w:val="-2"/>
          <w:sz w:val="26"/>
          <w:szCs w:val="26"/>
        </w:rPr>
        <w:t>l envió de la comunicación de fecha</w:t>
      </w:r>
      <w:r w:rsidR="00416C3D" w:rsidRPr="005E2453">
        <w:rPr>
          <w:rFonts w:ascii="Arial Narrow" w:hAnsi="Arial Narrow"/>
          <w:spacing w:val="-2"/>
          <w:sz w:val="26"/>
          <w:szCs w:val="26"/>
        </w:rPr>
        <w:t xml:space="preserve"> 12 de febrero de 2018, </w:t>
      </w:r>
      <w:r w:rsidR="00BD736B" w:rsidRPr="005E2453">
        <w:rPr>
          <w:rFonts w:ascii="Arial Narrow" w:hAnsi="Arial Narrow"/>
          <w:spacing w:val="-2"/>
          <w:sz w:val="26"/>
          <w:szCs w:val="26"/>
        </w:rPr>
        <w:t>más veinte (20) días calendario adicionales</w:t>
      </w:r>
      <w:r w:rsidR="00416C3D" w:rsidRPr="005E2453">
        <w:rPr>
          <w:rFonts w:ascii="Arial Narrow" w:hAnsi="Arial Narrow"/>
          <w:spacing w:val="-2"/>
          <w:sz w:val="26"/>
          <w:szCs w:val="26"/>
        </w:rPr>
        <w:t xml:space="preserve">. </w:t>
      </w:r>
    </w:p>
    <w:p w14:paraId="2CF735B0" w14:textId="77777777" w:rsidR="00450667" w:rsidRPr="005E2453" w:rsidRDefault="00416C3D" w:rsidP="005E2453">
      <w:pPr>
        <w:pStyle w:val="Sinespaciado"/>
        <w:spacing w:line="276" w:lineRule="auto"/>
        <w:jc w:val="both"/>
        <w:rPr>
          <w:rFonts w:ascii="Arial Narrow" w:hAnsi="Arial Narrow"/>
          <w:spacing w:val="-2"/>
          <w:sz w:val="26"/>
          <w:szCs w:val="26"/>
        </w:rPr>
      </w:pPr>
      <w:r w:rsidRPr="005E2453">
        <w:rPr>
          <w:rFonts w:ascii="Arial Narrow" w:hAnsi="Arial Narrow"/>
          <w:spacing w:val="-2"/>
          <w:sz w:val="26"/>
          <w:szCs w:val="26"/>
        </w:rPr>
        <w:t xml:space="preserve">  </w:t>
      </w:r>
      <w:r w:rsidR="00414715" w:rsidRPr="005E2453">
        <w:rPr>
          <w:rFonts w:ascii="Arial Narrow" w:hAnsi="Arial Narrow"/>
          <w:spacing w:val="-2"/>
          <w:sz w:val="26"/>
          <w:szCs w:val="26"/>
        </w:rPr>
        <w:t xml:space="preserve">  </w:t>
      </w:r>
    </w:p>
    <w:p w14:paraId="22D36E31" w14:textId="77777777" w:rsidR="00053B5E" w:rsidRPr="005E2453" w:rsidRDefault="00053B5E" w:rsidP="005E2453">
      <w:pPr>
        <w:pStyle w:val="Sinespaciado"/>
        <w:spacing w:line="276" w:lineRule="auto"/>
        <w:jc w:val="both"/>
        <w:rPr>
          <w:rFonts w:ascii="Arial Narrow" w:hAnsi="Arial Narrow" w:cs="Arial"/>
          <w:sz w:val="26"/>
          <w:szCs w:val="26"/>
          <w:lang w:val="es-MX"/>
        </w:rPr>
      </w:pPr>
      <w:r w:rsidRPr="005E2453">
        <w:rPr>
          <w:rFonts w:ascii="Arial Narrow" w:hAnsi="Arial Narrow" w:cs="Arial"/>
          <w:sz w:val="26"/>
          <w:szCs w:val="26"/>
          <w:lang w:val="es-MX"/>
        </w:rPr>
        <w:t xml:space="preserve">Con fundamento en lo expuesto, el </w:t>
      </w:r>
      <w:r w:rsidRPr="005E2453">
        <w:rPr>
          <w:rFonts w:ascii="Arial Narrow" w:hAnsi="Arial Narrow" w:cs="Arial"/>
          <w:bCs/>
          <w:sz w:val="26"/>
          <w:szCs w:val="26"/>
          <w:lang w:val="es-MX"/>
        </w:rPr>
        <w:t xml:space="preserve">TRIBUNAL SUPERIOR DEL DISTRITO JUDICIAL DE PEREIRA -SALA No. 1 DE ASUNTOS PENALES PARA ADOLESCENTES-, </w:t>
      </w:r>
      <w:r w:rsidRPr="005E2453">
        <w:rPr>
          <w:rFonts w:ascii="Arial Narrow" w:hAnsi="Arial Narrow" w:cs="Arial"/>
          <w:sz w:val="26"/>
          <w:szCs w:val="26"/>
          <w:lang w:val="es-MX"/>
        </w:rPr>
        <w:t>administrando Justicia en nombre de la República de Colombia y por autoridad de la ley,</w:t>
      </w:r>
    </w:p>
    <w:p w14:paraId="24370BB2" w14:textId="77777777" w:rsidR="00053B5E" w:rsidRPr="005E2453" w:rsidRDefault="00053B5E" w:rsidP="005E2453">
      <w:pPr>
        <w:pStyle w:val="Sinespaciado"/>
        <w:spacing w:line="276" w:lineRule="auto"/>
        <w:jc w:val="both"/>
        <w:rPr>
          <w:rFonts w:ascii="Arial Narrow" w:hAnsi="Arial Narrow"/>
          <w:sz w:val="26"/>
          <w:szCs w:val="26"/>
        </w:rPr>
      </w:pPr>
    </w:p>
    <w:p w14:paraId="6EC8607C" w14:textId="77777777" w:rsidR="00053B5E" w:rsidRPr="005E2453" w:rsidRDefault="00053B5E" w:rsidP="005E2453">
      <w:pPr>
        <w:pStyle w:val="Sinespaciado"/>
        <w:spacing w:line="276" w:lineRule="auto"/>
        <w:jc w:val="center"/>
        <w:rPr>
          <w:rFonts w:ascii="Arial Narrow" w:hAnsi="Arial Narrow"/>
          <w:b/>
          <w:bCs/>
          <w:sz w:val="26"/>
          <w:szCs w:val="26"/>
        </w:rPr>
      </w:pPr>
      <w:r w:rsidRPr="005E2453">
        <w:rPr>
          <w:rFonts w:ascii="Arial Narrow" w:hAnsi="Arial Narrow"/>
          <w:b/>
          <w:bCs/>
          <w:sz w:val="26"/>
          <w:szCs w:val="26"/>
          <w:u w:val="single"/>
        </w:rPr>
        <w:t>RESUELVE</w:t>
      </w:r>
    </w:p>
    <w:p w14:paraId="182A776D" w14:textId="77777777" w:rsidR="00053B5E" w:rsidRPr="005E2453" w:rsidRDefault="00053B5E" w:rsidP="005E2453">
      <w:pPr>
        <w:pStyle w:val="Sinespaciado"/>
        <w:spacing w:line="276" w:lineRule="auto"/>
        <w:jc w:val="both"/>
        <w:rPr>
          <w:rFonts w:ascii="Arial Narrow" w:hAnsi="Arial Narrow"/>
          <w:sz w:val="26"/>
          <w:szCs w:val="26"/>
        </w:rPr>
      </w:pPr>
    </w:p>
    <w:p w14:paraId="3034462C" w14:textId="77777777" w:rsidR="001037B3" w:rsidRPr="005E2453" w:rsidRDefault="00053B5E" w:rsidP="005E2453">
      <w:pPr>
        <w:pStyle w:val="Sinespaciado"/>
        <w:spacing w:line="276" w:lineRule="auto"/>
        <w:jc w:val="both"/>
        <w:rPr>
          <w:rFonts w:ascii="Arial Narrow" w:hAnsi="Arial Narrow"/>
          <w:sz w:val="26"/>
          <w:szCs w:val="26"/>
          <w:lang w:val="es-CO"/>
        </w:rPr>
      </w:pPr>
      <w:r w:rsidRPr="005E2453">
        <w:rPr>
          <w:rFonts w:ascii="Arial Narrow" w:hAnsi="Arial Narrow" w:cs="Arial"/>
          <w:b/>
          <w:bCs/>
          <w:sz w:val="26"/>
          <w:szCs w:val="26"/>
          <w:lang w:val="es-MX"/>
        </w:rPr>
        <w:t xml:space="preserve">PRIMERO: </w:t>
      </w:r>
      <w:r w:rsidR="00416C3D" w:rsidRPr="005E2453">
        <w:rPr>
          <w:rFonts w:ascii="Arial Narrow" w:hAnsi="Arial Narrow" w:cs="Arial"/>
          <w:b/>
          <w:bCs/>
          <w:sz w:val="26"/>
          <w:szCs w:val="26"/>
          <w:lang w:val="es-MX"/>
        </w:rPr>
        <w:t>REVOCAR</w:t>
      </w:r>
      <w:r w:rsidRPr="005E2453">
        <w:rPr>
          <w:rFonts w:ascii="Arial Narrow" w:hAnsi="Arial Narrow" w:cs="Arial"/>
          <w:b/>
          <w:bCs/>
          <w:sz w:val="26"/>
          <w:szCs w:val="26"/>
          <w:lang w:val="es-MX"/>
        </w:rPr>
        <w:t xml:space="preserve"> </w:t>
      </w:r>
      <w:r w:rsidRPr="005E2453">
        <w:rPr>
          <w:rFonts w:ascii="Arial Narrow" w:hAnsi="Arial Narrow" w:cs="Arial"/>
          <w:sz w:val="26"/>
          <w:szCs w:val="26"/>
          <w:lang w:val="es-MX"/>
        </w:rPr>
        <w:t>la sentencia de fecha y procedencia previamente anotadas</w:t>
      </w:r>
      <w:r w:rsidRPr="005E2453">
        <w:rPr>
          <w:rFonts w:ascii="Arial Narrow" w:hAnsi="Arial Narrow"/>
          <w:sz w:val="26"/>
          <w:szCs w:val="26"/>
        </w:rPr>
        <w:t xml:space="preserve">, </w:t>
      </w:r>
      <w:r w:rsidR="00416C3D" w:rsidRPr="005E2453">
        <w:rPr>
          <w:rFonts w:ascii="Arial Narrow" w:hAnsi="Arial Narrow"/>
          <w:sz w:val="26"/>
          <w:szCs w:val="26"/>
        </w:rPr>
        <w:t xml:space="preserve">en su lugar se </w:t>
      </w:r>
      <w:r w:rsidR="00E46F4F" w:rsidRPr="005E2453">
        <w:rPr>
          <w:rFonts w:ascii="Arial Narrow" w:hAnsi="Arial Narrow"/>
          <w:b/>
          <w:sz w:val="26"/>
          <w:szCs w:val="26"/>
        </w:rPr>
        <w:t>CONCEDE</w:t>
      </w:r>
      <w:r w:rsidR="00416C3D" w:rsidRPr="005E2453">
        <w:rPr>
          <w:rFonts w:ascii="Arial Narrow" w:hAnsi="Arial Narrow"/>
          <w:sz w:val="26"/>
          <w:szCs w:val="26"/>
        </w:rPr>
        <w:t xml:space="preserve"> el amparo al derecho de hábeas data de que es titular</w:t>
      </w:r>
      <w:r w:rsidR="00E46F4F" w:rsidRPr="005E2453">
        <w:rPr>
          <w:rFonts w:ascii="Arial Narrow" w:hAnsi="Arial Narrow"/>
          <w:sz w:val="26"/>
          <w:szCs w:val="26"/>
        </w:rPr>
        <w:t xml:space="preserve"> el señor</w:t>
      </w:r>
      <w:r w:rsidR="00416C3D" w:rsidRPr="005E2453">
        <w:rPr>
          <w:rFonts w:ascii="Arial Narrow" w:hAnsi="Arial Narrow"/>
          <w:sz w:val="26"/>
          <w:szCs w:val="26"/>
        </w:rPr>
        <w:t xml:space="preserve"> </w:t>
      </w:r>
      <w:r w:rsidR="00416C3D" w:rsidRPr="005E2453">
        <w:rPr>
          <w:rFonts w:ascii="Arial Narrow" w:hAnsi="Arial Narrow"/>
          <w:sz w:val="26"/>
          <w:szCs w:val="26"/>
          <w:lang w:val="es-CO"/>
        </w:rPr>
        <w:t>Eduardo Sánchez Quintero</w:t>
      </w:r>
      <w:r w:rsidR="001037B3" w:rsidRPr="005E2453">
        <w:rPr>
          <w:rFonts w:ascii="Arial Narrow" w:hAnsi="Arial Narrow"/>
          <w:sz w:val="26"/>
          <w:szCs w:val="26"/>
          <w:lang w:val="es-CO"/>
        </w:rPr>
        <w:t>.</w:t>
      </w:r>
    </w:p>
    <w:p w14:paraId="6074DAF4" w14:textId="77777777" w:rsidR="001037B3" w:rsidRPr="005E2453" w:rsidRDefault="001037B3" w:rsidP="005E2453">
      <w:pPr>
        <w:pStyle w:val="Sinespaciado"/>
        <w:spacing w:line="276" w:lineRule="auto"/>
        <w:jc w:val="both"/>
        <w:rPr>
          <w:rFonts w:ascii="Arial Narrow" w:hAnsi="Arial Narrow"/>
          <w:sz w:val="26"/>
          <w:szCs w:val="26"/>
          <w:lang w:val="es-CO"/>
        </w:rPr>
      </w:pPr>
    </w:p>
    <w:p w14:paraId="7E009BBA" w14:textId="77777777" w:rsidR="00053B5E" w:rsidRPr="005E2453" w:rsidRDefault="001037B3" w:rsidP="005E2453">
      <w:pPr>
        <w:pStyle w:val="Sinespaciado"/>
        <w:spacing w:line="276" w:lineRule="auto"/>
        <w:jc w:val="both"/>
        <w:rPr>
          <w:rFonts w:ascii="Arial Narrow" w:hAnsi="Arial Narrow"/>
          <w:spacing w:val="-2"/>
          <w:sz w:val="26"/>
          <w:szCs w:val="26"/>
        </w:rPr>
      </w:pPr>
      <w:r w:rsidRPr="005E2453">
        <w:rPr>
          <w:rFonts w:ascii="Arial Narrow" w:hAnsi="Arial Narrow"/>
          <w:sz w:val="26"/>
          <w:szCs w:val="26"/>
          <w:lang w:val="es-CO"/>
        </w:rPr>
        <w:t>E</w:t>
      </w:r>
      <w:r w:rsidR="00416C3D" w:rsidRPr="005E2453">
        <w:rPr>
          <w:rFonts w:ascii="Arial Narrow" w:hAnsi="Arial Narrow"/>
          <w:sz w:val="26"/>
          <w:szCs w:val="26"/>
          <w:lang w:val="es-CO"/>
        </w:rPr>
        <w:t>n consecuencia</w:t>
      </w:r>
      <w:r w:rsidRPr="005E2453">
        <w:rPr>
          <w:rFonts w:ascii="Arial Narrow" w:hAnsi="Arial Narrow"/>
          <w:sz w:val="26"/>
          <w:szCs w:val="26"/>
          <w:lang w:val="es-CO"/>
        </w:rPr>
        <w:t>,</w:t>
      </w:r>
      <w:r w:rsidR="00416C3D" w:rsidRPr="005E2453">
        <w:rPr>
          <w:rFonts w:ascii="Arial Narrow" w:hAnsi="Arial Narrow"/>
          <w:sz w:val="26"/>
          <w:szCs w:val="26"/>
          <w:lang w:val="es-CO"/>
        </w:rPr>
        <w:t xml:space="preserve"> se </w:t>
      </w:r>
      <w:r w:rsidRPr="005E2453">
        <w:rPr>
          <w:rFonts w:ascii="Arial Narrow" w:hAnsi="Arial Narrow"/>
          <w:sz w:val="26"/>
          <w:szCs w:val="26"/>
          <w:lang w:val="es-CO"/>
        </w:rPr>
        <w:t>ORDENA</w:t>
      </w:r>
      <w:r w:rsidR="00416C3D" w:rsidRPr="005E2453">
        <w:rPr>
          <w:rFonts w:ascii="Arial Narrow" w:hAnsi="Arial Narrow"/>
          <w:sz w:val="26"/>
          <w:szCs w:val="26"/>
          <w:lang w:val="es-CO"/>
        </w:rPr>
        <w:t xml:space="preserve"> </w:t>
      </w:r>
      <w:r w:rsidR="00416C3D" w:rsidRPr="005E2453">
        <w:rPr>
          <w:rFonts w:ascii="Arial Narrow" w:hAnsi="Arial Narrow"/>
          <w:spacing w:val="-2"/>
          <w:sz w:val="26"/>
          <w:szCs w:val="26"/>
        </w:rPr>
        <w:t xml:space="preserve">al </w:t>
      </w:r>
      <w:r w:rsidR="00416C3D" w:rsidRPr="005E2453">
        <w:rPr>
          <w:rFonts w:ascii="Arial Narrow" w:hAnsi="Arial Narrow"/>
          <w:sz w:val="26"/>
          <w:szCs w:val="26"/>
          <w:lang w:val="es-CO"/>
        </w:rPr>
        <w:t xml:space="preserve">Coordinador del Grupo de Administración de Cartera de la Vicepresidencia de Operaciones y Tecnología del ICETEX, rectificar la información que del accionante se encuentra inscrita en </w:t>
      </w:r>
      <w:proofErr w:type="spellStart"/>
      <w:r w:rsidR="00416C3D" w:rsidRPr="005E2453">
        <w:rPr>
          <w:rFonts w:ascii="Arial Narrow" w:hAnsi="Arial Narrow"/>
          <w:spacing w:val="-2"/>
          <w:sz w:val="26"/>
          <w:szCs w:val="26"/>
        </w:rPr>
        <w:t>Datacrédito</w:t>
      </w:r>
      <w:proofErr w:type="spellEnd"/>
      <w:r w:rsidR="00416C3D" w:rsidRPr="005E2453">
        <w:rPr>
          <w:rFonts w:ascii="Arial Narrow" w:hAnsi="Arial Narrow"/>
          <w:spacing w:val="-2"/>
          <w:sz w:val="26"/>
          <w:szCs w:val="26"/>
        </w:rPr>
        <w:t xml:space="preserve"> y </w:t>
      </w:r>
      <w:proofErr w:type="spellStart"/>
      <w:r w:rsidR="00416C3D" w:rsidRPr="005E2453">
        <w:rPr>
          <w:rFonts w:ascii="Arial Narrow" w:hAnsi="Arial Narrow"/>
          <w:spacing w:val="-2"/>
          <w:sz w:val="26"/>
          <w:szCs w:val="26"/>
        </w:rPr>
        <w:t>Trans</w:t>
      </w:r>
      <w:r w:rsidR="00BE4847" w:rsidRPr="005E2453">
        <w:rPr>
          <w:rFonts w:ascii="Arial Narrow" w:hAnsi="Arial Narrow"/>
          <w:spacing w:val="-2"/>
          <w:sz w:val="26"/>
          <w:szCs w:val="26"/>
        </w:rPr>
        <w:t>U</w:t>
      </w:r>
      <w:r w:rsidR="00416C3D" w:rsidRPr="005E2453">
        <w:rPr>
          <w:rFonts w:ascii="Arial Narrow" w:hAnsi="Arial Narrow"/>
          <w:spacing w:val="-2"/>
          <w:sz w:val="26"/>
          <w:szCs w:val="26"/>
        </w:rPr>
        <w:t>nión</w:t>
      </w:r>
      <w:proofErr w:type="spellEnd"/>
      <w:r w:rsidR="00416C3D" w:rsidRPr="005E2453">
        <w:rPr>
          <w:rFonts w:ascii="Arial Narrow" w:hAnsi="Arial Narrow"/>
          <w:spacing w:val="-2"/>
          <w:sz w:val="26"/>
          <w:szCs w:val="26"/>
        </w:rPr>
        <w:t xml:space="preserve"> -</w:t>
      </w:r>
      <w:proofErr w:type="spellStart"/>
      <w:r w:rsidR="00416C3D" w:rsidRPr="005E2453">
        <w:rPr>
          <w:rFonts w:ascii="Arial Narrow" w:hAnsi="Arial Narrow"/>
          <w:spacing w:val="-2"/>
          <w:sz w:val="26"/>
          <w:szCs w:val="26"/>
        </w:rPr>
        <w:t>Cifin</w:t>
      </w:r>
      <w:proofErr w:type="spellEnd"/>
      <w:r w:rsidR="00416C3D" w:rsidRPr="005E2453">
        <w:rPr>
          <w:rFonts w:ascii="Arial Narrow" w:hAnsi="Arial Narrow"/>
          <w:spacing w:val="-2"/>
          <w:sz w:val="26"/>
          <w:szCs w:val="26"/>
        </w:rPr>
        <w:t xml:space="preserve">- </w:t>
      </w:r>
      <w:r w:rsidR="00BE4847" w:rsidRPr="005E2453">
        <w:rPr>
          <w:rFonts w:ascii="Arial Narrow" w:hAnsi="Arial Narrow"/>
          <w:spacing w:val="-2"/>
          <w:sz w:val="26"/>
          <w:szCs w:val="26"/>
        </w:rPr>
        <w:t>respecto a los periodos en mora que constituyen la base de ese registro (obligación</w:t>
      </w:r>
      <w:r w:rsidR="00BE4847" w:rsidRPr="005E2453">
        <w:rPr>
          <w:rFonts w:ascii="Arial Narrow" w:hAnsi="Arial Narrow"/>
          <w:sz w:val="26"/>
          <w:szCs w:val="26"/>
          <w:lang w:val="es-CO"/>
        </w:rPr>
        <w:t xml:space="preserve"> No. 4403-7j)</w:t>
      </w:r>
      <w:r w:rsidR="00BE4847" w:rsidRPr="005E2453">
        <w:rPr>
          <w:rFonts w:ascii="Arial Narrow" w:hAnsi="Arial Narrow"/>
          <w:spacing w:val="-2"/>
          <w:sz w:val="26"/>
          <w:szCs w:val="26"/>
        </w:rPr>
        <w:t>, sin que sea posible ma</w:t>
      </w:r>
      <w:r w:rsidR="00AA5AA6" w:rsidRPr="005E2453">
        <w:rPr>
          <w:rFonts w:ascii="Arial Narrow" w:hAnsi="Arial Narrow"/>
          <w:spacing w:val="-2"/>
          <w:sz w:val="26"/>
          <w:szCs w:val="26"/>
        </w:rPr>
        <w:t>ntener reportes anteriores al envío</w:t>
      </w:r>
      <w:r w:rsidR="00BE4847" w:rsidRPr="005E2453">
        <w:rPr>
          <w:rFonts w:ascii="Arial Narrow" w:hAnsi="Arial Narrow"/>
          <w:spacing w:val="-2"/>
          <w:sz w:val="26"/>
          <w:szCs w:val="26"/>
        </w:rPr>
        <w:t xml:space="preserve"> de la comunicación de fecha 12 de febrero de 2018, más veinte (20) días calendario adicionales. </w:t>
      </w:r>
    </w:p>
    <w:p w14:paraId="78632DA5" w14:textId="77777777" w:rsidR="00416C3D" w:rsidRPr="005E2453" w:rsidRDefault="00416C3D" w:rsidP="005E2453">
      <w:pPr>
        <w:pStyle w:val="Sinespaciado"/>
        <w:spacing w:line="276" w:lineRule="auto"/>
        <w:jc w:val="both"/>
        <w:rPr>
          <w:rFonts w:ascii="Arial Narrow" w:hAnsi="Arial Narrow" w:cs="Arial"/>
          <w:sz w:val="26"/>
          <w:szCs w:val="26"/>
          <w:lang w:val="es-MX"/>
        </w:rPr>
      </w:pPr>
    </w:p>
    <w:p w14:paraId="0FDB158B" w14:textId="77777777" w:rsidR="00053B5E" w:rsidRPr="005E2453" w:rsidRDefault="00053B5E" w:rsidP="005E2453">
      <w:pPr>
        <w:pStyle w:val="Sinespaciado"/>
        <w:spacing w:line="276" w:lineRule="auto"/>
        <w:jc w:val="both"/>
        <w:rPr>
          <w:rFonts w:ascii="Arial Narrow" w:hAnsi="Arial Narrow" w:cs="Arial"/>
          <w:sz w:val="26"/>
          <w:szCs w:val="26"/>
          <w:lang w:val="es-MX"/>
        </w:rPr>
      </w:pPr>
      <w:r w:rsidRPr="005E2453">
        <w:rPr>
          <w:rFonts w:ascii="Arial Narrow" w:hAnsi="Arial Narrow" w:cs="Arial"/>
          <w:b/>
          <w:sz w:val="26"/>
          <w:szCs w:val="26"/>
          <w:lang w:val="es-MX"/>
        </w:rPr>
        <w:t xml:space="preserve">SEGUNDO: </w:t>
      </w:r>
      <w:r w:rsidRPr="005E2453">
        <w:rPr>
          <w:rFonts w:ascii="Arial Narrow" w:hAnsi="Arial Narrow" w:cs="Arial"/>
          <w:b/>
          <w:bCs/>
          <w:sz w:val="26"/>
          <w:szCs w:val="26"/>
          <w:lang w:val="es-MX"/>
        </w:rPr>
        <w:t>NOTIFICAR</w:t>
      </w:r>
      <w:r w:rsidRPr="005E2453">
        <w:rPr>
          <w:rFonts w:ascii="Arial Narrow" w:hAnsi="Arial Narrow" w:cs="Arial"/>
          <w:sz w:val="26"/>
          <w:szCs w:val="26"/>
          <w:lang w:val="es-MX"/>
        </w:rPr>
        <w:t xml:space="preserve"> a las partes lo aquí resuelto en la forma más expedita y eficaz posible. Comuníquese de igual forma al Juzgado de primera instancia.</w:t>
      </w:r>
    </w:p>
    <w:p w14:paraId="62D6400C" w14:textId="77777777" w:rsidR="00053B5E" w:rsidRPr="005E2453" w:rsidRDefault="00053B5E" w:rsidP="005E2453">
      <w:pPr>
        <w:pStyle w:val="Sinespaciado"/>
        <w:spacing w:line="276" w:lineRule="auto"/>
        <w:jc w:val="both"/>
        <w:rPr>
          <w:rFonts w:ascii="Arial Narrow" w:hAnsi="Arial Narrow" w:cs="Arial"/>
          <w:sz w:val="26"/>
          <w:szCs w:val="26"/>
          <w:lang w:val="es-MX"/>
        </w:rPr>
      </w:pPr>
    </w:p>
    <w:p w14:paraId="5064024C" w14:textId="77777777" w:rsidR="00053B5E" w:rsidRPr="005E2453" w:rsidRDefault="00053B5E" w:rsidP="005E2453">
      <w:pPr>
        <w:spacing w:line="276" w:lineRule="auto"/>
        <w:jc w:val="both"/>
        <w:rPr>
          <w:rFonts w:ascii="Arial Narrow" w:hAnsi="Arial Narrow"/>
          <w:b/>
          <w:iCs/>
          <w:sz w:val="26"/>
          <w:szCs w:val="26"/>
        </w:rPr>
      </w:pPr>
      <w:r w:rsidRPr="005E2453">
        <w:rPr>
          <w:rFonts w:ascii="Arial Narrow" w:hAnsi="Arial Narrow" w:cs="Arial"/>
          <w:b/>
          <w:bCs/>
          <w:sz w:val="26"/>
          <w:szCs w:val="26"/>
          <w:lang w:val="es-MX"/>
        </w:rPr>
        <w:t xml:space="preserve">TERCERO: </w:t>
      </w:r>
      <w:r w:rsidRPr="005E2453">
        <w:rPr>
          <w:rFonts w:ascii="Arial Narrow" w:hAnsi="Arial Narrow" w:cs="Arial"/>
          <w:b/>
          <w:sz w:val="26"/>
          <w:szCs w:val="26"/>
          <w:lang w:val="es-MX"/>
        </w:rPr>
        <w:t>ENVIAR</w:t>
      </w:r>
      <w:r w:rsidRPr="005E2453">
        <w:rPr>
          <w:rFonts w:ascii="Arial Narrow" w:hAnsi="Arial Narrow" w:cs="Arial"/>
          <w:bCs/>
          <w:sz w:val="26"/>
          <w:szCs w:val="26"/>
          <w:lang w:val="es-MX"/>
        </w:rPr>
        <w:t xml:space="preserve"> </w:t>
      </w:r>
      <w:r w:rsidRPr="005E2453">
        <w:rPr>
          <w:rFonts w:ascii="Arial Narrow" w:hAnsi="Arial Narrow" w:cs="Arial"/>
          <w:sz w:val="26"/>
          <w:szCs w:val="26"/>
          <w:lang w:val="es-MX"/>
        </w:rPr>
        <w:t>oportunamente, el presente expediente a la Honorable Corte Constitucional para su eventual revisión.</w:t>
      </w:r>
    </w:p>
    <w:p w14:paraId="27B8F3B4" w14:textId="77777777" w:rsidR="00053B5E" w:rsidRPr="005E2453" w:rsidRDefault="00053B5E" w:rsidP="005E2453">
      <w:pPr>
        <w:spacing w:line="276" w:lineRule="auto"/>
        <w:jc w:val="center"/>
        <w:rPr>
          <w:rFonts w:ascii="Arial Narrow" w:hAnsi="Arial Narrow"/>
          <w:b/>
          <w:iCs/>
          <w:sz w:val="26"/>
          <w:szCs w:val="26"/>
        </w:rPr>
      </w:pPr>
    </w:p>
    <w:p w14:paraId="7D6A0EE9" w14:textId="77777777" w:rsidR="00053B5E" w:rsidRPr="005E2453" w:rsidRDefault="00053B5E" w:rsidP="005E2453">
      <w:pPr>
        <w:spacing w:line="276" w:lineRule="auto"/>
        <w:rPr>
          <w:rFonts w:ascii="Arial Narrow" w:hAnsi="Arial Narrow"/>
          <w:b/>
          <w:iCs/>
          <w:sz w:val="26"/>
          <w:szCs w:val="26"/>
        </w:rPr>
      </w:pPr>
      <w:r w:rsidRPr="005E2453">
        <w:rPr>
          <w:rFonts w:ascii="Arial Narrow" w:hAnsi="Arial Narrow"/>
          <w:b/>
          <w:iCs/>
          <w:sz w:val="26"/>
          <w:szCs w:val="26"/>
        </w:rPr>
        <w:t>NOTIFÍQUESE Y CÚMPLASE</w:t>
      </w:r>
    </w:p>
    <w:p w14:paraId="68CB0EA2" w14:textId="77777777" w:rsidR="00053B5E" w:rsidRPr="005E2453" w:rsidRDefault="00053B5E" w:rsidP="005E2453">
      <w:pPr>
        <w:spacing w:line="276" w:lineRule="auto"/>
        <w:rPr>
          <w:rFonts w:ascii="Arial Narrow" w:hAnsi="Arial Narrow"/>
          <w:b/>
          <w:iCs/>
          <w:sz w:val="26"/>
          <w:szCs w:val="26"/>
        </w:rPr>
      </w:pPr>
    </w:p>
    <w:p w14:paraId="50FD3EC8" w14:textId="77777777" w:rsidR="00053B5E" w:rsidRPr="005E2453" w:rsidRDefault="00053B5E" w:rsidP="005E2453">
      <w:pPr>
        <w:spacing w:line="276" w:lineRule="auto"/>
        <w:rPr>
          <w:rFonts w:ascii="Arial Narrow" w:hAnsi="Arial Narrow"/>
          <w:iCs/>
          <w:sz w:val="26"/>
          <w:szCs w:val="26"/>
        </w:rPr>
      </w:pPr>
      <w:r w:rsidRPr="005E2453">
        <w:rPr>
          <w:rFonts w:ascii="Arial Narrow" w:hAnsi="Arial Narrow"/>
          <w:iCs/>
          <w:sz w:val="26"/>
          <w:szCs w:val="26"/>
        </w:rPr>
        <w:t>Los magistrados,</w:t>
      </w:r>
    </w:p>
    <w:p w14:paraId="1E5E6802" w14:textId="3C79F3CD" w:rsidR="00053B5E" w:rsidRDefault="00053B5E" w:rsidP="005E2453">
      <w:pPr>
        <w:spacing w:line="276" w:lineRule="auto"/>
        <w:ind w:left="2835"/>
        <w:rPr>
          <w:rFonts w:ascii="Arial Narrow" w:hAnsi="Arial Narrow"/>
          <w:b/>
          <w:iCs/>
          <w:sz w:val="26"/>
          <w:szCs w:val="26"/>
        </w:rPr>
      </w:pPr>
    </w:p>
    <w:p w14:paraId="2D8AD3D8" w14:textId="77777777" w:rsidR="003E543B" w:rsidRPr="005E2453" w:rsidRDefault="003E543B" w:rsidP="005E2453">
      <w:pPr>
        <w:spacing w:line="276" w:lineRule="auto"/>
        <w:ind w:left="2835"/>
        <w:rPr>
          <w:rFonts w:ascii="Arial Narrow" w:hAnsi="Arial Narrow"/>
          <w:b/>
          <w:iCs/>
          <w:sz w:val="26"/>
          <w:szCs w:val="26"/>
        </w:rPr>
      </w:pPr>
    </w:p>
    <w:p w14:paraId="26C8D70A" w14:textId="77777777" w:rsidR="00053B5E" w:rsidRPr="005E2453" w:rsidRDefault="00053B5E" w:rsidP="005E2453">
      <w:pPr>
        <w:spacing w:line="276" w:lineRule="auto"/>
        <w:ind w:left="2835"/>
        <w:rPr>
          <w:rFonts w:ascii="Arial Narrow" w:hAnsi="Arial Narrow"/>
          <w:b/>
          <w:iCs/>
          <w:sz w:val="26"/>
          <w:szCs w:val="26"/>
        </w:rPr>
      </w:pPr>
    </w:p>
    <w:p w14:paraId="328A080E" w14:textId="37B66203" w:rsidR="00053B5E" w:rsidRPr="005E2453" w:rsidRDefault="00053B5E" w:rsidP="005E2453">
      <w:pPr>
        <w:spacing w:line="276" w:lineRule="auto"/>
        <w:ind w:left="2835"/>
        <w:rPr>
          <w:rFonts w:ascii="Arial Narrow" w:hAnsi="Arial Narrow"/>
          <w:spacing w:val="-6"/>
          <w:position w:val="-6"/>
          <w:sz w:val="26"/>
          <w:szCs w:val="26"/>
        </w:rPr>
      </w:pPr>
      <w:r w:rsidRPr="005E2453">
        <w:rPr>
          <w:rFonts w:ascii="Arial Narrow" w:hAnsi="Arial Narrow"/>
          <w:b/>
          <w:iCs/>
          <w:sz w:val="26"/>
          <w:szCs w:val="26"/>
        </w:rPr>
        <w:t>CARLOS MAURICIO GARCÍA BARAJAS</w:t>
      </w:r>
      <w:r w:rsidRPr="005E2453">
        <w:rPr>
          <w:rFonts w:ascii="Arial Narrow" w:hAnsi="Arial Narrow"/>
          <w:spacing w:val="-6"/>
          <w:position w:val="-6"/>
          <w:sz w:val="26"/>
          <w:szCs w:val="26"/>
        </w:rPr>
        <w:t xml:space="preserve"> </w:t>
      </w:r>
    </w:p>
    <w:p w14:paraId="7463CCC3" w14:textId="41EDCD2D" w:rsidR="00053B5E" w:rsidRDefault="00053B5E" w:rsidP="005E2453">
      <w:pPr>
        <w:spacing w:line="276" w:lineRule="auto"/>
        <w:ind w:left="2835"/>
        <w:rPr>
          <w:rFonts w:ascii="Arial Narrow" w:hAnsi="Arial Narrow"/>
          <w:b/>
          <w:iCs/>
          <w:sz w:val="26"/>
          <w:szCs w:val="26"/>
        </w:rPr>
      </w:pPr>
    </w:p>
    <w:p w14:paraId="5AE50AAB" w14:textId="77777777" w:rsidR="003E543B" w:rsidRPr="005E2453" w:rsidRDefault="003E543B" w:rsidP="005E2453">
      <w:pPr>
        <w:spacing w:line="276" w:lineRule="auto"/>
        <w:ind w:left="2835"/>
        <w:rPr>
          <w:rFonts w:ascii="Arial Narrow" w:hAnsi="Arial Narrow"/>
          <w:b/>
          <w:iCs/>
          <w:sz w:val="26"/>
          <w:szCs w:val="26"/>
        </w:rPr>
      </w:pPr>
    </w:p>
    <w:p w14:paraId="33B35737" w14:textId="77777777" w:rsidR="00053B5E" w:rsidRPr="005E2453" w:rsidRDefault="00053B5E" w:rsidP="005E2453">
      <w:pPr>
        <w:spacing w:line="276" w:lineRule="auto"/>
        <w:ind w:left="2835"/>
        <w:rPr>
          <w:rFonts w:ascii="Arial Narrow" w:hAnsi="Arial Narrow"/>
          <w:b/>
          <w:iCs/>
          <w:sz w:val="26"/>
          <w:szCs w:val="26"/>
          <w:lang w:val="pt-BR"/>
        </w:rPr>
      </w:pPr>
    </w:p>
    <w:p w14:paraId="7B9A7056" w14:textId="77777777" w:rsidR="00053B5E" w:rsidRPr="005E2453" w:rsidRDefault="00053B5E" w:rsidP="005E2453">
      <w:pPr>
        <w:spacing w:line="276" w:lineRule="auto"/>
        <w:ind w:left="2835"/>
        <w:rPr>
          <w:rFonts w:ascii="Arial Narrow" w:hAnsi="Arial Narrow" w:cs="Verdana"/>
          <w:b/>
          <w:bCs/>
          <w:color w:val="000000"/>
          <w:sz w:val="26"/>
          <w:szCs w:val="26"/>
        </w:rPr>
      </w:pPr>
      <w:r w:rsidRPr="005E2453">
        <w:rPr>
          <w:rFonts w:ascii="Arial Narrow" w:hAnsi="Arial Narrow" w:cs="Verdana"/>
          <w:b/>
          <w:bCs/>
          <w:color w:val="000000" w:themeColor="text1"/>
          <w:sz w:val="26"/>
          <w:szCs w:val="26"/>
        </w:rPr>
        <w:t xml:space="preserve">DUBERNEY GRISALES HERRERA </w:t>
      </w:r>
    </w:p>
    <w:p w14:paraId="6C0CA661" w14:textId="1FD71B5D" w:rsidR="00053B5E" w:rsidRDefault="00053B5E" w:rsidP="005E2453">
      <w:pPr>
        <w:spacing w:line="276" w:lineRule="auto"/>
        <w:ind w:left="2835"/>
        <w:rPr>
          <w:rFonts w:ascii="Arial Narrow" w:hAnsi="Arial Narrow" w:cs="Verdana"/>
          <w:b/>
          <w:color w:val="000000"/>
          <w:sz w:val="26"/>
          <w:szCs w:val="26"/>
        </w:rPr>
      </w:pPr>
    </w:p>
    <w:p w14:paraId="1A417F14" w14:textId="77777777" w:rsidR="003E543B" w:rsidRPr="005E2453" w:rsidRDefault="003E543B" w:rsidP="005E2453">
      <w:pPr>
        <w:spacing w:line="276" w:lineRule="auto"/>
        <w:ind w:left="2835"/>
        <w:rPr>
          <w:rFonts w:ascii="Arial Narrow" w:hAnsi="Arial Narrow" w:cs="Verdana"/>
          <w:b/>
          <w:color w:val="000000"/>
          <w:sz w:val="26"/>
          <w:szCs w:val="26"/>
        </w:rPr>
      </w:pPr>
    </w:p>
    <w:p w14:paraId="3C57D0D9" w14:textId="77777777" w:rsidR="00053B5E" w:rsidRPr="005E2453" w:rsidRDefault="00053B5E" w:rsidP="005E2453">
      <w:pPr>
        <w:spacing w:line="276" w:lineRule="auto"/>
        <w:ind w:left="2835"/>
        <w:rPr>
          <w:rFonts w:ascii="Arial Narrow" w:hAnsi="Arial Narrow" w:cs="Verdana"/>
          <w:b/>
          <w:color w:val="000000"/>
          <w:sz w:val="26"/>
          <w:szCs w:val="26"/>
        </w:rPr>
      </w:pPr>
    </w:p>
    <w:p w14:paraId="002D3C39" w14:textId="6B754326" w:rsidR="00007A17" w:rsidRPr="005E2453" w:rsidRDefault="00053B5E" w:rsidP="005E2453">
      <w:pPr>
        <w:spacing w:line="276" w:lineRule="auto"/>
        <w:ind w:left="2835"/>
        <w:rPr>
          <w:rFonts w:ascii="Arial Narrow" w:hAnsi="Arial Narrow" w:cs="Verdana"/>
          <w:b/>
          <w:color w:val="000000"/>
          <w:sz w:val="26"/>
          <w:szCs w:val="26"/>
        </w:rPr>
      </w:pPr>
      <w:r w:rsidRPr="005E2453">
        <w:rPr>
          <w:rFonts w:ascii="Arial Narrow" w:hAnsi="Arial Narrow" w:cs="Verdana"/>
          <w:b/>
          <w:color w:val="000000"/>
          <w:sz w:val="26"/>
          <w:szCs w:val="26"/>
        </w:rPr>
        <w:t>JORGE ARTURO CASTAÑO DUQUE</w:t>
      </w:r>
    </w:p>
    <w:sectPr w:rsidR="00007A17" w:rsidRPr="005E2453" w:rsidSect="0050461D">
      <w:headerReference w:type="default" r:id="rId12"/>
      <w:footerReference w:type="default" r:id="rId13"/>
      <w:pgSz w:w="12242" w:h="18722" w:code="258"/>
      <w:pgMar w:top="1985" w:right="1361" w:bottom="1418" w:left="192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9E90" w14:textId="77777777" w:rsidR="000400DF" w:rsidRDefault="000400DF">
      <w:r>
        <w:separator/>
      </w:r>
    </w:p>
  </w:endnote>
  <w:endnote w:type="continuationSeparator" w:id="0">
    <w:p w14:paraId="5713FC95" w14:textId="77777777" w:rsidR="000400DF" w:rsidRDefault="000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46FB" w14:textId="77777777" w:rsidR="009933E7" w:rsidRPr="007244B9" w:rsidRDefault="00030447" w:rsidP="007244B9">
    <w:pPr>
      <w:pStyle w:val="Encabezado"/>
      <w:framePr w:wrap="auto" w:vAnchor="text" w:hAnchor="margin" w:xAlign="right" w:y="1"/>
      <w:jc w:val="both"/>
      <w:rPr>
        <w:rFonts w:ascii="Arial" w:hAnsi="Arial" w:cs="Arial"/>
        <w:sz w:val="18"/>
        <w:szCs w:val="16"/>
      </w:rPr>
    </w:pPr>
    <w:r w:rsidRPr="007244B9">
      <w:rPr>
        <w:rFonts w:ascii="Arial" w:hAnsi="Arial" w:cs="Arial"/>
        <w:sz w:val="18"/>
        <w:szCs w:val="16"/>
      </w:rPr>
      <w:fldChar w:fldCharType="begin"/>
    </w:r>
    <w:r w:rsidR="009933E7" w:rsidRPr="007244B9">
      <w:rPr>
        <w:rFonts w:ascii="Arial" w:hAnsi="Arial" w:cs="Arial"/>
        <w:sz w:val="18"/>
        <w:szCs w:val="16"/>
      </w:rPr>
      <w:instrText xml:space="preserve">PAGE  </w:instrText>
    </w:r>
    <w:r w:rsidRPr="007244B9">
      <w:rPr>
        <w:rFonts w:ascii="Arial" w:hAnsi="Arial" w:cs="Arial"/>
        <w:sz w:val="18"/>
        <w:szCs w:val="16"/>
      </w:rPr>
      <w:fldChar w:fldCharType="separate"/>
    </w:r>
    <w:r w:rsidR="00AA5AA6" w:rsidRPr="007244B9">
      <w:rPr>
        <w:rFonts w:ascii="Arial" w:hAnsi="Arial" w:cs="Arial"/>
        <w:sz w:val="18"/>
        <w:szCs w:val="16"/>
      </w:rPr>
      <w:t>13</w:t>
    </w:r>
    <w:r w:rsidRPr="007244B9">
      <w:rPr>
        <w:rFonts w:ascii="Arial" w:hAnsi="Arial" w:cs="Arial"/>
        <w:sz w:val="18"/>
        <w:szCs w:val="16"/>
      </w:rPr>
      <w:fldChar w:fldCharType="end"/>
    </w:r>
  </w:p>
  <w:p w14:paraId="1CEAC242" w14:textId="77777777" w:rsidR="009933E7" w:rsidRDefault="009933E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2453" w14:textId="77777777" w:rsidR="000400DF" w:rsidRDefault="000400DF">
      <w:r>
        <w:separator/>
      </w:r>
    </w:p>
  </w:footnote>
  <w:footnote w:type="continuationSeparator" w:id="0">
    <w:p w14:paraId="3FE04BA8" w14:textId="77777777" w:rsidR="000400DF" w:rsidRDefault="000400DF">
      <w:r>
        <w:continuationSeparator/>
      </w:r>
    </w:p>
  </w:footnote>
  <w:footnote w:id="1">
    <w:p w14:paraId="7B5106B5" w14:textId="77777777" w:rsidR="001A7787" w:rsidRPr="007244B9" w:rsidRDefault="001A7787" w:rsidP="007244B9">
      <w:pPr>
        <w:pStyle w:val="Textonotapie"/>
        <w:jc w:val="both"/>
        <w:rPr>
          <w:rFonts w:ascii="Arial" w:hAnsi="Arial" w:cs="Arial"/>
          <w:sz w:val="18"/>
          <w:szCs w:val="16"/>
          <w:lang w:val="es-CO"/>
        </w:rPr>
      </w:pPr>
      <w:r w:rsidRPr="007244B9">
        <w:rPr>
          <w:rStyle w:val="Refdenotaalpie"/>
          <w:rFonts w:ascii="Arial" w:hAnsi="Arial" w:cs="Arial"/>
          <w:sz w:val="18"/>
          <w:szCs w:val="16"/>
        </w:rPr>
        <w:footnoteRef/>
      </w:r>
      <w:r w:rsidRPr="007244B9">
        <w:rPr>
          <w:rFonts w:ascii="Arial" w:hAnsi="Arial" w:cs="Arial"/>
          <w:sz w:val="18"/>
          <w:szCs w:val="16"/>
        </w:rPr>
        <w:t xml:space="preserve"> Documento 02 del cuaderno de primera instancia</w:t>
      </w:r>
    </w:p>
  </w:footnote>
  <w:footnote w:id="2">
    <w:p w14:paraId="6E7B3740" w14:textId="77777777" w:rsidR="00862E2A" w:rsidRPr="007244B9" w:rsidRDefault="00862E2A" w:rsidP="007244B9">
      <w:pPr>
        <w:pStyle w:val="Textonotapie"/>
        <w:jc w:val="both"/>
        <w:rPr>
          <w:rFonts w:ascii="Arial" w:hAnsi="Arial" w:cs="Arial"/>
          <w:sz w:val="18"/>
          <w:szCs w:val="16"/>
        </w:rPr>
      </w:pPr>
      <w:r w:rsidRPr="007244B9">
        <w:rPr>
          <w:rStyle w:val="Refdenotaalpie"/>
          <w:rFonts w:ascii="Arial" w:hAnsi="Arial" w:cs="Arial"/>
          <w:sz w:val="18"/>
          <w:szCs w:val="16"/>
        </w:rPr>
        <w:footnoteRef/>
      </w:r>
      <w:r w:rsidRPr="007244B9">
        <w:rPr>
          <w:rFonts w:ascii="Arial" w:hAnsi="Arial" w:cs="Arial"/>
          <w:sz w:val="18"/>
          <w:szCs w:val="16"/>
        </w:rPr>
        <w:t xml:space="preserve"> Folios 2 a 7 del archivo 05 del cuaderno de primera instancia</w:t>
      </w:r>
    </w:p>
  </w:footnote>
  <w:footnote w:id="3">
    <w:p w14:paraId="080388DD" w14:textId="77777777" w:rsidR="009E5089" w:rsidRPr="007244B9" w:rsidRDefault="009E5089" w:rsidP="007244B9">
      <w:pPr>
        <w:pStyle w:val="Textonotapie"/>
        <w:jc w:val="both"/>
        <w:rPr>
          <w:rFonts w:ascii="Arial" w:hAnsi="Arial" w:cs="Arial"/>
          <w:sz w:val="18"/>
          <w:szCs w:val="16"/>
        </w:rPr>
      </w:pPr>
      <w:r w:rsidRPr="007244B9">
        <w:rPr>
          <w:rStyle w:val="Refdenotaalpie"/>
          <w:rFonts w:ascii="Arial" w:hAnsi="Arial" w:cs="Arial"/>
          <w:sz w:val="18"/>
          <w:szCs w:val="16"/>
        </w:rPr>
        <w:footnoteRef/>
      </w:r>
      <w:r w:rsidRPr="007244B9">
        <w:rPr>
          <w:rFonts w:ascii="Arial" w:hAnsi="Arial" w:cs="Arial"/>
          <w:sz w:val="18"/>
          <w:szCs w:val="16"/>
        </w:rPr>
        <w:t xml:space="preserve"> Folios 33 a 41 del archivo 05 del cuaderno de primera instancia</w:t>
      </w:r>
    </w:p>
  </w:footnote>
  <w:footnote w:id="4">
    <w:p w14:paraId="0AA64E72" w14:textId="77777777" w:rsidR="00E65641" w:rsidRPr="007244B9" w:rsidRDefault="00E65641" w:rsidP="007244B9">
      <w:pPr>
        <w:pStyle w:val="Textonotapie"/>
        <w:jc w:val="both"/>
        <w:rPr>
          <w:rFonts w:ascii="Arial" w:hAnsi="Arial" w:cs="Arial"/>
          <w:sz w:val="18"/>
          <w:szCs w:val="16"/>
          <w:lang w:val="es-CO"/>
        </w:rPr>
      </w:pPr>
      <w:r w:rsidRPr="007244B9">
        <w:rPr>
          <w:rStyle w:val="Refdenotaalpie"/>
          <w:rFonts w:ascii="Arial" w:hAnsi="Arial" w:cs="Arial"/>
          <w:sz w:val="18"/>
          <w:szCs w:val="16"/>
        </w:rPr>
        <w:footnoteRef/>
      </w:r>
      <w:r w:rsidRPr="007244B9">
        <w:rPr>
          <w:rFonts w:ascii="Arial" w:hAnsi="Arial" w:cs="Arial"/>
          <w:sz w:val="18"/>
          <w:szCs w:val="16"/>
        </w:rPr>
        <w:t xml:space="preserve"> </w:t>
      </w:r>
      <w:r w:rsidRPr="007244B9">
        <w:rPr>
          <w:rFonts w:ascii="Arial" w:hAnsi="Arial" w:cs="Arial"/>
          <w:sz w:val="18"/>
          <w:szCs w:val="16"/>
          <w:lang w:val="es-CO"/>
        </w:rPr>
        <w:t>Documento 06 del cuaderno de primera instancia</w:t>
      </w:r>
    </w:p>
  </w:footnote>
  <w:footnote w:id="5">
    <w:p w14:paraId="291C1BD2" w14:textId="77777777" w:rsidR="00E65641" w:rsidRPr="007244B9" w:rsidRDefault="00E65641" w:rsidP="007244B9">
      <w:pPr>
        <w:pStyle w:val="Textonotapie"/>
        <w:jc w:val="both"/>
        <w:rPr>
          <w:rFonts w:ascii="Arial" w:hAnsi="Arial" w:cs="Arial"/>
          <w:sz w:val="18"/>
          <w:szCs w:val="16"/>
          <w:lang w:val="es-CO"/>
        </w:rPr>
      </w:pPr>
      <w:r w:rsidRPr="007244B9">
        <w:rPr>
          <w:rStyle w:val="Refdenotaalpie"/>
          <w:rFonts w:ascii="Arial" w:hAnsi="Arial" w:cs="Arial"/>
          <w:sz w:val="18"/>
          <w:szCs w:val="16"/>
        </w:rPr>
        <w:footnoteRef/>
      </w:r>
      <w:r w:rsidRPr="007244B9">
        <w:rPr>
          <w:rFonts w:ascii="Arial" w:hAnsi="Arial" w:cs="Arial"/>
          <w:sz w:val="18"/>
          <w:szCs w:val="16"/>
        </w:rPr>
        <w:t xml:space="preserve"> </w:t>
      </w:r>
      <w:r w:rsidRPr="007244B9">
        <w:rPr>
          <w:rFonts w:ascii="Arial" w:hAnsi="Arial" w:cs="Arial"/>
          <w:sz w:val="18"/>
          <w:szCs w:val="16"/>
          <w:lang w:val="es-CO"/>
        </w:rPr>
        <w:t>Documento 08 del cuaderno de primera instancia</w:t>
      </w:r>
    </w:p>
  </w:footnote>
  <w:footnote w:id="6">
    <w:p w14:paraId="366407CE" w14:textId="77777777" w:rsidR="00414715" w:rsidRPr="007244B9" w:rsidRDefault="00414715" w:rsidP="007244B9">
      <w:pPr>
        <w:pStyle w:val="Textonotapie"/>
        <w:jc w:val="both"/>
        <w:rPr>
          <w:rFonts w:ascii="Arial" w:hAnsi="Arial" w:cs="Arial"/>
          <w:sz w:val="18"/>
          <w:szCs w:val="16"/>
        </w:rPr>
      </w:pPr>
      <w:r w:rsidRPr="007244B9">
        <w:rPr>
          <w:rStyle w:val="Refdenotaalpie"/>
          <w:rFonts w:ascii="Arial" w:hAnsi="Arial" w:cs="Arial"/>
          <w:sz w:val="18"/>
          <w:szCs w:val="16"/>
        </w:rPr>
        <w:footnoteRef/>
      </w:r>
      <w:r w:rsidRPr="007244B9">
        <w:rPr>
          <w:rFonts w:ascii="Arial" w:hAnsi="Arial" w:cs="Arial"/>
          <w:sz w:val="18"/>
          <w:szCs w:val="16"/>
        </w:rPr>
        <w:t xml:space="preserve"> </w:t>
      </w:r>
      <w:r w:rsidR="00416C3D" w:rsidRPr="007244B9">
        <w:rPr>
          <w:rFonts w:ascii="Arial" w:hAnsi="Arial" w:cs="Arial"/>
          <w:sz w:val="18"/>
          <w:szCs w:val="16"/>
        </w:rPr>
        <w:t>Archivos 04 a 07 del cuaderno de segunda instancia</w:t>
      </w:r>
    </w:p>
  </w:footnote>
  <w:footnote w:id="7">
    <w:p w14:paraId="368C2C60" w14:textId="77777777" w:rsidR="00590E14" w:rsidRPr="007244B9" w:rsidRDefault="00590E14" w:rsidP="007244B9">
      <w:pPr>
        <w:pStyle w:val="Textonotapie"/>
        <w:jc w:val="both"/>
        <w:rPr>
          <w:rFonts w:ascii="Arial" w:hAnsi="Arial" w:cs="Arial"/>
          <w:sz w:val="18"/>
          <w:szCs w:val="16"/>
        </w:rPr>
      </w:pPr>
      <w:r w:rsidRPr="007244B9">
        <w:rPr>
          <w:rStyle w:val="Refdenotaalpie"/>
          <w:rFonts w:ascii="Arial" w:hAnsi="Arial" w:cs="Arial"/>
          <w:sz w:val="18"/>
          <w:szCs w:val="16"/>
        </w:rPr>
        <w:footnoteRef/>
      </w:r>
      <w:r w:rsidRPr="007244B9">
        <w:rPr>
          <w:rFonts w:ascii="Arial" w:hAnsi="Arial" w:cs="Arial"/>
          <w:sz w:val="18"/>
          <w:szCs w:val="16"/>
        </w:rPr>
        <w:t xml:space="preserve"> Folio 46 del archivo 05 del cuaderno de primera instancia</w:t>
      </w:r>
    </w:p>
  </w:footnote>
  <w:footnote w:id="8">
    <w:p w14:paraId="3A8F1DBE" w14:textId="77777777" w:rsidR="007C2111" w:rsidRPr="007244B9" w:rsidRDefault="007C2111" w:rsidP="007244B9">
      <w:pPr>
        <w:pStyle w:val="Textonotapie"/>
        <w:jc w:val="both"/>
        <w:rPr>
          <w:rFonts w:ascii="Arial" w:hAnsi="Arial" w:cs="Arial"/>
          <w:sz w:val="18"/>
          <w:szCs w:val="16"/>
          <w:lang w:val="es-CO"/>
        </w:rPr>
      </w:pPr>
      <w:r w:rsidRPr="007244B9">
        <w:rPr>
          <w:rStyle w:val="Refdenotaalpie"/>
          <w:rFonts w:ascii="Arial" w:hAnsi="Arial" w:cs="Arial"/>
          <w:sz w:val="18"/>
          <w:szCs w:val="16"/>
        </w:rPr>
        <w:footnoteRef/>
      </w:r>
      <w:r w:rsidRPr="007244B9">
        <w:rPr>
          <w:rFonts w:ascii="Arial" w:hAnsi="Arial" w:cs="Arial"/>
          <w:sz w:val="18"/>
          <w:szCs w:val="16"/>
        </w:rPr>
        <w:t xml:space="preserve"> Ver constancia a folio </w:t>
      </w:r>
      <w:r w:rsidR="00C96FC5" w:rsidRPr="007244B9">
        <w:rPr>
          <w:rFonts w:ascii="Arial" w:hAnsi="Arial" w:cs="Arial"/>
          <w:sz w:val="18"/>
          <w:szCs w:val="16"/>
        </w:rPr>
        <w:t>35</w:t>
      </w:r>
      <w:r w:rsidRPr="007244B9">
        <w:rPr>
          <w:rFonts w:ascii="Arial" w:hAnsi="Arial" w:cs="Arial"/>
          <w:sz w:val="18"/>
          <w:szCs w:val="16"/>
        </w:rPr>
        <w:t xml:space="preserve"> del documento 05 del cuaderno de primera instancia</w:t>
      </w:r>
    </w:p>
  </w:footnote>
  <w:footnote w:id="9">
    <w:p w14:paraId="1F74C4B6" w14:textId="77777777" w:rsidR="00590E14" w:rsidRPr="007244B9" w:rsidRDefault="00590E14" w:rsidP="007244B9">
      <w:pPr>
        <w:pStyle w:val="Textonotapie"/>
        <w:jc w:val="both"/>
        <w:rPr>
          <w:rFonts w:ascii="Arial" w:hAnsi="Arial" w:cs="Arial"/>
          <w:sz w:val="18"/>
          <w:szCs w:val="16"/>
          <w:lang w:val="es-CO"/>
        </w:rPr>
      </w:pPr>
      <w:r w:rsidRPr="007244B9">
        <w:rPr>
          <w:rStyle w:val="Refdenotaalpie"/>
          <w:rFonts w:ascii="Arial" w:hAnsi="Arial" w:cs="Arial"/>
          <w:sz w:val="18"/>
          <w:szCs w:val="16"/>
        </w:rPr>
        <w:footnoteRef/>
      </w:r>
      <w:r w:rsidRPr="007244B9">
        <w:rPr>
          <w:rFonts w:ascii="Arial" w:hAnsi="Arial" w:cs="Arial"/>
          <w:sz w:val="18"/>
          <w:szCs w:val="16"/>
        </w:rPr>
        <w:t xml:space="preserve"> </w:t>
      </w:r>
      <w:r w:rsidR="007C2111" w:rsidRPr="007244B9">
        <w:rPr>
          <w:rFonts w:ascii="Arial" w:hAnsi="Arial" w:cs="Arial"/>
          <w:sz w:val="18"/>
          <w:szCs w:val="16"/>
        </w:rPr>
        <w:t xml:space="preserve">Ver </w:t>
      </w:r>
      <w:r w:rsidR="00AA2655" w:rsidRPr="007244B9">
        <w:rPr>
          <w:rFonts w:ascii="Arial" w:hAnsi="Arial" w:cs="Arial"/>
          <w:sz w:val="18"/>
          <w:szCs w:val="16"/>
        </w:rPr>
        <w:t>pantallazo</w:t>
      </w:r>
      <w:r w:rsidR="007C2111" w:rsidRPr="007244B9">
        <w:rPr>
          <w:rFonts w:ascii="Arial" w:hAnsi="Arial" w:cs="Arial"/>
          <w:sz w:val="18"/>
          <w:szCs w:val="16"/>
        </w:rPr>
        <w:t xml:space="preserve"> inserto en el folio </w:t>
      </w:r>
      <w:r w:rsidR="00AA2655" w:rsidRPr="007244B9">
        <w:rPr>
          <w:rFonts w:ascii="Arial" w:hAnsi="Arial" w:cs="Arial"/>
          <w:sz w:val="18"/>
          <w:szCs w:val="16"/>
        </w:rPr>
        <w:t>35</w:t>
      </w:r>
      <w:r w:rsidR="007C2111" w:rsidRPr="007244B9">
        <w:rPr>
          <w:rFonts w:ascii="Arial" w:hAnsi="Arial" w:cs="Arial"/>
          <w:sz w:val="18"/>
          <w:szCs w:val="16"/>
        </w:rPr>
        <w:t xml:space="preserve"> del documento 05</w:t>
      </w:r>
      <w:r w:rsidRPr="007244B9">
        <w:rPr>
          <w:rFonts w:ascii="Arial" w:hAnsi="Arial" w:cs="Arial"/>
          <w:sz w:val="18"/>
          <w:szCs w:val="16"/>
        </w:rPr>
        <w:t xml:space="preserve"> del cuaderno de primera instancia</w:t>
      </w:r>
    </w:p>
  </w:footnote>
  <w:footnote w:id="10">
    <w:p w14:paraId="5DAB46EB" w14:textId="77777777" w:rsidR="0058719B" w:rsidRPr="007244B9" w:rsidRDefault="0058719B" w:rsidP="007244B9">
      <w:pPr>
        <w:pStyle w:val="Textonotapie"/>
        <w:jc w:val="both"/>
        <w:rPr>
          <w:rFonts w:ascii="Arial" w:hAnsi="Arial" w:cs="Arial"/>
          <w:sz w:val="18"/>
          <w:szCs w:val="16"/>
        </w:rPr>
      </w:pPr>
      <w:r w:rsidRPr="007244B9">
        <w:rPr>
          <w:rStyle w:val="Refdenotaalpie"/>
          <w:rFonts w:ascii="Arial" w:hAnsi="Arial" w:cs="Arial"/>
          <w:sz w:val="18"/>
          <w:szCs w:val="16"/>
        </w:rPr>
        <w:footnoteRef/>
      </w:r>
      <w:r w:rsidRPr="007244B9">
        <w:rPr>
          <w:rFonts w:ascii="Arial" w:hAnsi="Arial" w:cs="Arial"/>
          <w:sz w:val="18"/>
          <w:szCs w:val="16"/>
        </w:rPr>
        <w:t xml:space="preserve"> </w:t>
      </w:r>
      <w:r w:rsidR="004D4928" w:rsidRPr="007244B9">
        <w:rPr>
          <w:rFonts w:ascii="Arial" w:hAnsi="Arial" w:cs="Arial"/>
          <w:sz w:val="18"/>
          <w:szCs w:val="16"/>
        </w:rPr>
        <w:t>Folios 57 a 60 del archivo 05 del cuaderno de primera instancia.</w:t>
      </w:r>
    </w:p>
  </w:footnote>
  <w:footnote w:id="11">
    <w:p w14:paraId="0ECC862F" w14:textId="77777777" w:rsidR="00932232" w:rsidRPr="007244B9" w:rsidRDefault="00932232" w:rsidP="007244B9">
      <w:pPr>
        <w:pStyle w:val="Textonotapie"/>
        <w:jc w:val="both"/>
        <w:rPr>
          <w:rFonts w:ascii="Arial" w:hAnsi="Arial" w:cs="Arial"/>
          <w:sz w:val="18"/>
          <w:szCs w:val="16"/>
        </w:rPr>
      </w:pPr>
      <w:r w:rsidRPr="007244B9">
        <w:rPr>
          <w:rStyle w:val="Refdenotaalpie"/>
          <w:rFonts w:ascii="Arial" w:hAnsi="Arial" w:cs="Arial"/>
          <w:sz w:val="18"/>
          <w:szCs w:val="16"/>
        </w:rPr>
        <w:footnoteRef/>
      </w:r>
      <w:r w:rsidRPr="007244B9">
        <w:rPr>
          <w:rFonts w:ascii="Arial" w:hAnsi="Arial" w:cs="Arial"/>
          <w:sz w:val="18"/>
          <w:szCs w:val="16"/>
        </w:rPr>
        <w:t xml:space="preserve"> Folios 29 a 39 del </w:t>
      </w:r>
      <w:r w:rsidR="0058719B" w:rsidRPr="007244B9">
        <w:rPr>
          <w:rFonts w:ascii="Arial" w:hAnsi="Arial" w:cs="Arial"/>
          <w:sz w:val="18"/>
          <w:szCs w:val="16"/>
        </w:rPr>
        <w:t>d</w:t>
      </w:r>
      <w:proofErr w:type="spellStart"/>
      <w:r w:rsidR="0058719B" w:rsidRPr="007244B9">
        <w:rPr>
          <w:rFonts w:ascii="Arial" w:hAnsi="Arial" w:cs="Arial"/>
          <w:sz w:val="18"/>
          <w:szCs w:val="16"/>
          <w:lang w:val="es-CO"/>
        </w:rPr>
        <w:t>ocumento</w:t>
      </w:r>
      <w:proofErr w:type="spellEnd"/>
      <w:r w:rsidR="0058719B" w:rsidRPr="007244B9">
        <w:rPr>
          <w:rFonts w:ascii="Arial" w:hAnsi="Arial" w:cs="Arial"/>
          <w:sz w:val="18"/>
          <w:szCs w:val="16"/>
          <w:lang w:val="es-CO"/>
        </w:rPr>
        <w:t xml:space="preserve"> </w:t>
      </w:r>
      <w:r w:rsidRPr="007244B9">
        <w:rPr>
          <w:rFonts w:ascii="Arial" w:hAnsi="Arial" w:cs="Arial"/>
          <w:sz w:val="18"/>
          <w:szCs w:val="16"/>
          <w:lang w:val="es-CO"/>
        </w:rPr>
        <w:t>02 del cuaderno de primera instancia</w:t>
      </w:r>
    </w:p>
  </w:footnote>
  <w:footnote w:id="12">
    <w:p w14:paraId="57446043" w14:textId="77777777" w:rsidR="004A7ADA" w:rsidRPr="007244B9" w:rsidRDefault="004A7ADA" w:rsidP="007244B9">
      <w:pPr>
        <w:pStyle w:val="Textonotapie"/>
        <w:jc w:val="both"/>
        <w:rPr>
          <w:rFonts w:ascii="Arial" w:hAnsi="Arial" w:cs="Arial"/>
          <w:sz w:val="18"/>
          <w:szCs w:val="16"/>
        </w:rPr>
      </w:pPr>
      <w:r w:rsidRPr="007244B9">
        <w:rPr>
          <w:rStyle w:val="Refdenotaalpie"/>
          <w:rFonts w:ascii="Arial" w:hAnsi="Arial" w:cs="Arial"/>
          <w:sz w:val="18"/>
          <w:szCs w:val="16"/>
        </w:rPr>
        <w:footnoteRef/>
      </w:r>
      <w:r w:rsidRPr="007244B9">
        <w:rPr>
          <w:rFonts w:ascii="Arial" w:hAnsi="Arial" w:cs="Arial"/>
          <w:sz w:val="18"/>
          <w:szCs w:val="16"/>
        </w:rPr>
        <w:t xml:space="preserve"> Folios 56 a 63 del d</w:t>
      </w:r>
      <w:r w:rsidRPr="007244B9">
        <w:rPr>
          <w:rFonts w:ascii="Arial" w:hAnsi="Arial" w:cs="Arial"/>
          <w:sz w:val="18"/>
          <w:szCs w:val="16"/>
          <w:lang w:val="es-CO"/>
        </w:rPr>
        <w:t>ocumento 02 del cuaderno de primera instancia</w:t>
      </w:r>
    </w:p>
  </w:footnote>
  <w:footnote w:id="13">
    <w:p w14:paraId="752DC41A" w14:textId="77777777" w:rsidR="00D872E2" w:rsidRPr="007244B9" w:rsidRDefault="00D872E2" w:rsidP="007244B9">
      <w:pPr>
        <w:pStyle w:val="Textonotapie"/>
        <w:jc w:val="both"/>
        <w:rPr>
          <w:rFonts w:ascii="Arial" w:hAnsi="Arial" w:cs="Arial"/>
          <w:sz w:val="18"/>
          <w:szCs w:val="16"/>
          <w:lang w:val="es-CO"/>
        </w:rPr>
      </w:pPr>
      <w:r w:rsidRPr="007244B9">
        <w:rPr>
          <w:rStyle w:val="Refdenotaalpie"/>
          <w:rFonts w:ascii="Arial" w:hAnsi="Arial" w:cs="Arial"/>
          <w:sz w:val="18"/>
          <w:szCs w:val="16"/>
        </w:rPr>
        <w:footnoteRef/>
      </w:r>
      <w:r w:rsidR="00DF55A8" w:rsidRPr="007244B9">
        <w:rPr>
          <w:rFonts w:ascii="Arial" w:hAnsi="Arial" w:cs="Arial"/>
          <w:sz w:val="18"/>
          <w:szCs w:val="16"/>
        </w:rPr>
        <w:t xml:space="preserve"> Folios 19 a 2</w:t>
      </w:r>
      <w:r w:rsidR="00572E02" w:rsidRPr="007244B9">
        <w:rPr>
          <w:rFonts w:ascii="Arial" w:hAnsi="Arial" w:cs="Arial"/>
          <w:sz w:val="18"/>
          <w:szCs w:val="16"/>
        </w:rPr>
        <w:t>9</w:t>
      </w:r>
      <w:r w:rsidRPr="007244B9">
        <w:rPr>
          <w:rFonts w:ascii="Arial" w:hAnsi="Arial" w:cs="Arial"/>
          <w:sz w:val="18"/>
          <w:szCs w:val="16"/>
        </w:rPr>
        <w:t xml:space="preserve"> </w:t>
      </w:r>
      <w:r w:rsidR="00DF55A8" w:rsidRPr="007244B9">
        <w:rPr>
          <w:rFonts w:ascii="Arial" w:hAnsi="Arial" w:cs="Arial"/>
          <w:sz w:val="18"/>
          <w:szCs w:val="16"/>
        </w:rPr>
        <w:t xml:space="preserve">del </w:t>
      </w:r>
      <w:r w:rsidRPr="007244B9">
        <w:rPr>
          <w:rFonts w:ascii="Arial" w:hAnsi="Arial" w:cs="Arial"/>
          <w:sz w:val="18"/>
          <w:szCs w:val="16"/>
        </w:rPr>
        <w:t>d</w:t>
      </w:r>
      <w:r w:rsidRPr="007244B9">
        <w:rPr>
          <w:rFonts w:ascii="Arial" w:hAnsi="Arial" w:cs="Arial"/>
          <w:sz w:val="18"/>
          <w:szCs w:val="16"/>
          <w:lang w:val="es-CO"/>
        </w:rPr>
        <w:t>ocumento</w:t>
      </w:r>
      <w:r w:rsidR="00DF55A8" w:rsidRPr="007244B9">
        <w:rPr>
          <w:rFonts w:ascii="Arial" w:hAnsi="Arial" w:cs="Arial"/>
          <w:sz w:val="18"/>
          <w:szCs w:val="16"/>
          <w:lang w:val="es-CO"/>
        </w:rPr>
        <w:t xml:space="preserve"> 02</w:t>
      </w:r>
      <w:r w:rsidRPr="007244B9">
        <w:rPr>
          <w:rFonts w:ascii="Arial" w:hAnsi="Arial" w:cs="Arial"/>
          <w:sz w:val="18"/>
          <w:szCs w:val="16"/>
          <w:lang w:val="es-CO"/>
        </w:rPr>
        <w:t xml:space="preserve"> del cuaderno de primera instancia</w:t>
      </w:r>
    </w:p>
  </w:footnote>
  <w:footnote w:id="14">
    <w:p w14:paraId="77C90A82" w14:textId="77777777" w:rsidR="00D872E2" w:rsidRPr="007244B9" w:rsidRDefault="00D872E2" w:rsidP="007244B9">
      <w:pPr>
        <w:pStyle w:val="Textonotapie"/>
        <w:jc w:val="both"/>
        <w:rPr>
          <w:rFonts w:ascii="Arial" w:hAnsi="Arial" w:cs="Arial"/>
          <w:sz w:val="18"/>
          <w:szCs w:val="16"/>
          <w:lang w:val="es-CO"/>
        </w:rPr>
      </w:pPr>
      <w:r w:rsidRPr="007244B9">
        <w:rPr>
          <w:rStyle w:val="Refdenotaalpie"/>
          <w:rFonts w:ascii="Arial" w:hAnsi="Arial" w:cs="Arial"/>
          <w:sz w:val="18"/>
          <w:szCs w:val="16"/>
        </w:rPr>
        <w:footnoteRef/>
      </w:r>
      <w:r w:rsidR="007E4513" w:rsidRPr="007244B9">
        <w:rPr>
          <w:rFonts w:ascii="Arial" w:hAnsi="Arial" w:cs="Arial"/>
          <w:sz w:val="18"/>
          <w:szCs w:val="16"/>
        </w:rPr>
        <w:t xml:space="preserve"> Folios 42 a 45 del documento 02</w:t>
      </w:r>
      <w:r w:rsidRPr="007244B9">
        <w:rPr>
          <w:rFonts w:ascii="Arial" w:hAnsi="Arial" w:cs="Arial"/>
          <w:sz w:val="18"/>
          <w:szCs w:val="16"/>
        </w:rPr>
        <w:t xml:space="preserve"> del cuaderno de primera instancia</w:t>
      </w:r>
    </w:p>
  </w:footnote>
  <w:footnote w:id="15">
    <w:p w14:paraId="76A5212C" w14:textId="77777777" w:rsidR="007510CD" w:rsidRPr="007244B9" w:rsidRDefault="007510CD" w:rsidP="007244B9">
      <w:pPr>
        <w:pStyle w:val="Textonotapie"/>
        <w:jc w:val="both"/>
        <w:rPr>
          <w:rFonts w:ascii="Arial" w:hAnsi="Arial" w:cs="Arial"/>
          <w:sz w:val="18"/>
          <w:szCs w:val="16"/>
        </w:rPr>
      </w:pPr>
      <w:r w:rsidRPr="007244B9">
        <w:rPr>
          <w:rStyle w:val="Refdenotaalpie"/>
          <w:rFonts w:ascii="Arial" w:hAnsi="Arial" w:cs="Arial"/>
          <w:sz w:val="18"/>
          <w:szCs w:val="16"/>
        </w:rPr>
        <w:footnoteRef/>
      </w:r>
      <w:r w:rsidRPr="007244B9">
        <w:rPr>
          <w:rFonts w:ascii="Arial" w:hAnsi="Arial" w:cs="Arial"/>
          <w:sz w:val="18"/>
          <w:szCs w:val="16"/>
        </w:rPr>
        <w:t xml:space="preserve"> </w:t>
      </w:r>
      <w:r w:rsidRPr="007244B9">
        <w:rPr>
          <w:rFonts w:ascii="Arial" w:hAnsi="Arial" w:cs="Arial"/>
          <w:bCs/>
          <w:color w:val="000000"/>
          <w:sz w:val="18"/>
          <w:szCs w:val="16"/>
          <w:shd w:val="clear" w:color="auto" w:fill="FFFFFF"/>
          <w:lang w:val="pt-BR"/>
        </w:rPr>
        <w:t>Sentencia T-139 de 2017</w:t>
      </w:r>
    </w:p>
  </w:footnote>
  <w:footnote w:id="16">
    <w:p w14:paraId="37F6903E" w14:textId="77777777" w:rsidR="00600634" w:rsidRPr="007244B9" w:rsidRDefault="00600634" w:rsidP="007244B9">
      <w:pPr>
        <w:pStyle w:val="Textonotapie"/>
        <w:jc w:val="both"/>
        <w:rPr>
          <w:rFonts w:ascii="Arial" w:hAnsi="Arial" w:cs="Arial"/>
          <w:sz w:val="18"/>
          <w:szCs w:val="16"/>
        </w:rPr>
      </w:pPr>
      <w:r w:rsidRPr="007244B9">
        <w:rPr>
          <w:rStyle w:val="Refdenotaalpie"/>
          <w:rFonts w:ascii="Arial" w:hAnsi="Arial" w:cs="Arial"/>
          <w:sz w:val="18"/>
          <w:szCs w:val="16"/>
        </w:rPr>
        <w:footnoteRef/>
      </w:r>
      <w:r w:rsidRPr="007244B9">
        <w:rPr>
          <w:rFonts w:ascii="Arial" w:hAnsi="Arial" w:cs="Arial"/>
          <w:sz w:val="18"/>
          <w:szCs w:val="16"/>
        </w:rPr>
        <w:t xml:space="preserve"> Ver entre otras la </w:t>
      </w:r>
      <w:r w:rsidRPr="007244B9">
        <w:rPr>
          <w:rFonts w:ascii="Arial" w:hAnsi="Arial" w:cs="Arial"/>
          <w:bCs/>
          <w:color w:val="2D2D2D"/>
          <w:sz w:val="18"/>
          <w:szCs w:val="16"/>
          <w:shd w:val="clear" w:color="auto" w:fill="FFFFFF"/>
        </w:rPr>
        <w:t>Sentencia T-167 de 2015</w:t>
      </w:r>
    </w:p>
  </w:footnote>
  <w:footnote w:id="17">
    <w:p w14:paraId="09086CB9" w14:textId="77777777" w:rsidR="007E4513" w:rsidRPr="007244B9" w:rsidRDefault="007E4513" w:rsidP="007244B9">
      <w:pPr>
        <w:pStyle w:val="Textonotapie"/>
        <w:jc w:val="both"/>
        <w:rPr>
          <w:rFonts w:ascii="Arial" w:hAnsi="Arial" w:cs="Arial"/>
          <w:sz w:val="18"/>
          <w:szCs w:val="16"/>
        </w:rPr>
      </w:pPr>
      <w:r w:rsidRPr="007244B9">
        <w:rPr>
          <w:rStyle w:val="Refdenotaalpie"/>
          <w:rFonts w:ascii="Arial" w:hAnsi="Arial" w:cs="Arial"/>
          <w:sz w:val="18"/>
          <w:szCs w:val="16"/>
        </w:rPr>
        <w:footnoteRef/>
      </w:r>
      <w:r w:rsidR="00F646C8" w:rsidRPr="007244B9">
        <w:rPr>
          <w:rFonts w:ascii="Arial" w:hAnsi="Arial" w:cs="Arial"/>
          <w:sz w:val="18"/>
          <w:szCs w:val="16"/>
        </w:rPr>
        <w:t xml:space="preserve"> Archivo 01</w:t>
      </w:r>
      <w:r w:rsidRPr="007244B9">
        <w:rPr>
          <w:rFonts w:ascii="Arial" w:hAnsi="Arial" w:cs="Arial"/>
          <w:sz w:val="18"/>
          <w:szCs w:val="16"/>
        </w:rPr>
        <w:t xml:space="preserve"> del cuaderno de primera instancia</w:t>
      </w:r>
    </w:p>
  </w:footnote>
  <w:footnote w:id="18">
    <w:p w14:paraId="233FB2A6" w14:textId="77777777" w:rsidR="00A462B0" w:rsidRPr="007244B9" w:rsidRDefault="00A462B0" w:rsidP="007244B9">
      <w:pPr>
        <w:pStyle w:val="Textonotapie"/>
        <w:jc w:val="both"/>
        <w:rPr>
          <w:rFonts w:ascii="Arial" w:hAnsi="Arial" w:cs="Arial"/>
          <w:sz w:val="18"/>
          <w:szCs w:val="16"/>
        </w:rPr>
      </w:pPr>
      <w:r w:rsidRPr="007244B9">
        <w:rPr>
          <w:rStyle w:val="Refdenotaalpie"/>
          <w:rFonts w:ascii="Arial" w:hAnsi="Arial" w:cs="Arial"/>
          <w:sz w:val="18"/>
          <w:szCs w:val="16"/>
        </w:rPr>
        <w:footnoteRef/>
      </w:r>
      <w:r w:rsidRPr="007244B9">
        <w:rPr>
          <w:rFonts w:ascii="Arial" w:hAnsi="Arial" w:cs="Arial"/>
          <w:sz w:val="18"/>
          <w:szCs w:val="16"/>
        </w:rPr>
        <w:t xml:space="preserve"> Se remite a lectura a la </w:t>
      </w:r>
      <w:r w:rsidR="00B32564" w:rsidRPr="007244B9">
        <w:rPr>
          <w:rFonts w:ascii="Arial" w:hAnsi="Arial" w:cs="Arial"/>
          <w:bCs/>
          <w:color w:val="000000"/>
          <w:sz w:val="18"/>
          <w:szCs w:val="16"/>
          <w:shd w:val="clear" w:color="auto" w:fill="FFFFFF"/>
          <w:lang w:val="pt-BR"/>
        </w:rPr>
        <w:t>Sentencia T-139 de 2017, en</w:t>
      </w:r>
      <w:r w:rsidRPr="007244B9">
        <w:rPr>
          <w:rFonts w:ascii="Arial" w:hAnsi="Arial" w:cs="Arial"/>
          <w:bCs/>
          <w:color w:val="000000"/>
          <w:sz w:val="18"/>
          <w:szCs w:val="16"/>
          <w:shd w:val="clear" w:color="auto" w:fill="FFFFFF"/>
          <w:lang w:val="pt-BR"/>
        </w:rPr>
        <w:t xml:space="preserve"> la cual se trata lo relativo a</w:t>
      </w:r>
      <w:r w:rsidRPr="007244B9">
        <w:rPr>
          <w:rFonts w:ascii="Arial" w:hAnsi="Arial" w:cs="Arial"/>
          <w:sz w:val="18"/>
          <w:szCs w:val="16"/>
        </w:rPr>
        <w:t>l alcance de ese derecho.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BFB8" w14:textId="1C36D527" w:rsidR="009933E7" w:rsidRPr="007244B9" w:rsidRDefault="007244B9" w:rsidP="007244B9">
    <w:pPr>
      <w:pStyle w:val="Encabezado"/>
      <w:jc w:val="both"/>
      <w:rPr>
        <w:rFonts w:ascii="Arial" w:hAnsi="Arial" w:cs="Arial"/>
        <w:bCs/>
        <w:sz w:val="18"/>
        <w:szCs w:val="16"/>
        <w:lang w:val="es-ES" w:eastAsia="es-MX"/>
      </w:rPr>
    </w:pPr>
    <w:r w:rsidRPr="007244B9">
      <w:rPr>
        <w:rFonts w:ascii="Arial" w:hAnsi="Arial" w:cs="Arial"/>
        <w:sz w:val="18"/>
        <w:szCs w:val="16"/>
        <w:lang w:val="es-ES" w:eastAsia="es-MX"/>
      </w:rPr>
      <w:t xml:space="preserve">Acción de Tutela </w:t>
    </w:r>
    <w:r w:rsidR="009933E7" w:rsidRPr="007244B9">
      <w:rPr>
        <w:rFonts w:ascii="Arial" w:hAnsi="Arial" w:cs="Arial"/>
        <w:sz w:val="18"/>
        <w:szCs w:val="16"/>
        <w:lang w:val="es-ES" w:eastAsia="es-MX"/>
      </w:rPr>
      <w:t>(</w:t>
    </w:r>
    <w:r w:rsidRPr="007244B9">
      <w:rPr>
        <w:rFonts w:ascii="Arial" w:hAnsi="Arial" w:cs="Arial"/>
        <w:sz w:val="18"/>
        <w:szCs w:val="16"/>
        <w:lang w:val="es-ES" w:eastAsia="es-MX"/>
      </w:rPr>
      <w:t>Segunda instancia</w:t>
    </w:r>
    <w:r w:rsidR="009933E7" w:rsidRPr="007244B9">
      <w:rPr>
        <w:rFonts w:ascii="Arial" w:hAnsi="Arial" w:cs="Arial"/>
        <w:sz w:val="18"/>
        <w:szCs w:val="16"/>
        <w:lang w:val="es-ES" w:eastAsia="es-MX"/>
      </w:rPr>
      <w:t>)</w:t>
    </w:r>
  </w:p>
  <w:p w14:paraId="580F1B0B" w14:textId="5E6B29CE" w:rsidR="009933E7" w:rsidRPr="007244B9" w:rsidRDefault="007244B9" w:rsidP="007244B9">
    <w:pPr>
      <w:pStyle w:val="Encabezado"/>
      <w:jc w:val="both"/>
      <w:rPr>
        <w:rFonts w:ascii="Arial" w:hAnsi="Arial" w:cs="Arial"/>
        <w:bCs/>
        <w:sz w:val="18"/>
        <w:szCs w:val="16"/>
        <w:lang w:val="es-ES" w:eastAsia="es-MX"/>
      </w:rPr>
    </w:pPr>
    <w:r>
      <w:rPr>
        <w:rFonts w:ascii="Arial" w:hAnsi="Arial" w:cs="Arial"/>
        <w:sz w:val="18"/>
        <w:szCs w:val="16"/>
      </w:rPr>
      <w:t xml:space="preserve">Rad. Único:  </w:t>
    </w:r>
    <w:r w:rsidRPr="007244B9">
      <w:rPr>
        <w:rFonts w:ascii="Arial" w:hAnsi="Arial" w:cs="Arial"/>
        <w:sz w:val="18"/>
        <w:szCs w:val="16"/>
      </w:rPr>
      <w:t>66001311800220210005301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B"/>
    <w:rsid w:val="000002C5"/>
    <w:rsid w:val="000002E5"/>
    <w:rsid w:val="0000123F"/>
    <w:rsid w:val="000013D4"/>
    <w:rsid w:val="00001526"/>
    <w:rsid w:val="000015DA"/>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346"/>
    <w:rsid w:val="00023599"/>
    <w:rsid w:val="00023634"/>
    <w:rsid w:val="00023C5D"/>
    <w:rsid w:val="00024039"/>
    <w:rsid w:val="000244A7"/>
    <w:rsid w:val="00024B04"/>
    <w:rsid w:val="00024C66"/>
    <w:rsid w:val="00024FCB"/>
    <w:rsid w:val="00025DC3"/>
    <w:rsid w:val="00026B23"/>
    <w:rsid w:val="00026EC3"/>
    <w:rsid w:val="00030331"/>
    <w:rsid w:val="00030447"/>
    <w:rsid w:val="000305AE"/>
    <w:rsid w:val="00030690"/>
    <w:rsid w:val="00030798"/>
    <w:rsid w:val="00030CE2"/>
    <w:rsid w:val="000310F1"/>
    <w:rsid w:val="0003192A"/>
    <w:rsid w:val="0003287E"/>
    <w:rsid w:val="0003390D"/>
    <w:rsid w:val="00034264"/>
    <w:rsid w:val="00036D7F"/>
    <w:rsid w:val="00037337"/>
    <w:rsid w:val="00037970"/>
    <w:rsid w:val="000400DF"/>
    <w:rsid w:val="00040160"/>
    <w:rsid w:val="00041204"/>
    <w:rsid w:val="00042023"/>
    <w:rsid w:val="00042056"/>
    <w:rsid w:val="00042728"/>
    <w:rsid w:val="0004294B"/>
    <w:rsid w:val="000436E0"/>
    <w:rsid w:val="000436F0"/>
    <w:rsid w:val="00043F9C"/>
    <w:rsid w:val="00044577"/>
    <w:rsid w:val="00045211"/>
    <w:rsid w:val="00045770"/>
    <w:rsid w:val="00045911"/>
    <w:rsid w:val="00046018"/>
    <w:rsid w:val="00046302"/>
    <w:rsid w:val="000467ED"/>
    <w:rsid w:val="00046B33"/>
    <w:rsid w:val="0004715D"/>
    <w:rsid w:val="00050D95"/>
    <w:rsid w:val="00050E9F"/>
    <w:rsid w:val="000517EF"/>
    <w:rsid w:val="00051AFC"/>
    <w:rsid w:val="00052CEF"/>
    <w:rsid w:val="00053098"/>
    <w:rsid w:val="000533DE"/>
    <w:rsid w:val="000535A9"/>
    <w:rsid w:val="00053817"/>
    <w:rsid w:val="00053A4C"/>
    <w:rsid w:val="00053B5E"/>
    <w:rsid w:val="000542CD"/>
    <w:rsid w:val="000548E1"/>
    <w:rsid w:val="000549E1"/>
    <w:rsid w:val="00054DE6"/>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2D"/>
    <w:rsid w:val="00060239"/>
    <w:rsid w:val="0006070C"/>
    <w:rsid w:val="00060C2E"/>
    <w:rsid w:val="00060E45"/>
    <w:rsid w:val="000616E6"/>
    <w:rsid w:val="000626AB"/>
    <w:rsid w:val="00062BD5"/>
    <w:rsid w:val="000631B5"/>
    <w:rsid w:val="00063BB6"/>
    <w:rsid w:val="00063C3B"/>
    <w:rsid w:val="00063C5D"/>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258"/>
    <w:rsid w:val="000754F6"/>
    <w:rsid w:val="00076C6E"/>
    <w:rsid w:val="00080AC1"/>
    <w:rsid w:val="00080F62"/>
    <w:rsid w:val="000812F1"/>
    <w:rsid w:val="000818AD"/>
    <w:rsid w:val="0008255B"/>
    <w:rsid w:val="00082831"/>
    <w:rsid w:val="0008352E"/>
    <w:rsid w:val="000839CE"/>
    <w:rsid w:val="00083AF9"/>
    <w:rsid w:val="00083C24"/>
    <w:rsid w:val="00084060"/>
    <w:rsid w:val="00085E93"/>
    <w:rsid w:val="000865E6"/>
    <w:rsid w:val="00086851"/>
    <w:rsid w:val="00086C26"/>
    <w:rsid w:val="00087746"/>
    <w:rsid w:val="00090EEA"/>
    <w:rsid w:val="0009105C"/>
    <w:rsid w:val="00091DD7"/>
    <w:rsid w:val="00092795"/>
    <w:rsid w:val="00092935"/>
    <w:rsid w:val="000933E5"/>
    <w:rsid w:val="00093642"/>
    <w:rsid w:val="00093B53"/>
    <w:rsid w:val="00093F47"/>
    <w:rsid w:val="000940EF"/>
    <w:rsid w:val="0009446A"/>
    <w:rsid w:val="00094876"/>
    <w:rsid w:val="000949F2"/>
    <w:rsid w:val="00094D98"/>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23E8"/>
    <w:rsid w:val="000B30B6"/>
    <w:rsid w:val="000B397A"/>
    <w:rsid w:val="000B3D82"/>
    <w:rsid w:val="000B5292"/>
    <w:rsid w:val="000B597B"/>
    <w:rsid w:val="000B5AA4"/>
    <w:rsid w:val="000B63C2"/>
    <w:rsid w:val="000B6414"/>
    <w:rsid w:val="000B6CF1"/>
    <w:rsid w:val="000B6EB4"/>
    <w:rsid w:val="000B7189"/>
    <w:rsid w:val="000B74F9"/>
    <w:rsid w:val="000C1873"/>
    <w:rsid w:val="000C18E9"/>
    <w:rsid w:val="000C227C"/>
    <w:rsid w:val="000C240C"/>
    <w:rsid w:val="000C30E5"/>
    <w:rsid w:val="000C31AC"/>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5F5E"/>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6B1"/>
    <w:rsid w:val="000E775D"/>
    <w:rsid w:val="000E7A9D"/>
    <w:rsid w:val="000E7FC3"/>
    <w:rsid w:val="000F016E"/>
    <w:rsid w:val="000F11D2"/>
    <w:rsid w:val="000F17B5"/>
    <w:rsid w:val="000F1831"/>
    <w:rsid w:val="000F1874"/>
    <w:rsid w:val="000F21F5"/>
    <w:rsid w:val="000F22AE"/>
    <w:rsid w:val="000F2629"/>
    <w:rsid w:val="000F280E"/>
    <w:rsid w:val="000F4BD9"/>
    <w:rsid w:val="000F597E"/>
    <w:rsid w:val="000F5BE1"/>
    <w:rsid w:val="000F5E8D"/>
    <w:rsid w:val="000F5F63"/>
    <w:rsid w:val="000F7077"/>
    <w:rsid w:val="001005FE"/>
    <w:rsid w:val="001008F8"/>
    <w:rsid w:val="00101509"/>
    <w:rsid w:val="00101815"/>
    <w:rsid w:val="00101E30"/>
    <w:rsid w:val="00101E87"/>
    <w:rsid w:val="001022EA"/>
    <w:rsid w:val="001027D7"/>
    <w:rsid w:val="001035CC"/>
    <w:rsid w:val="001037B3"/>
    <w:rsid w:val="00103921"/>
    <w:rsid w:val="00103A3F"/>
    <w:rsid w:val="0010570A"/>
    <w:rsid w:val="00105B54"/>
    <w:rsid w:val="00105FC4"/>
    <w:rsid w:val="001060FB"/>
    <w:rsid w:val="00106E58"/>
    <w:rsid w:val="00107712"/>
    <w:rsid w:val="00110565"/>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6994"/>
    <w:rsid w:val="001175B6"/>
    <w:rsid w:val="00117633"/>
    <w:rsid w:val="001176BE"/>
    <w:rsid w:val="00120145"/>
    <w:rsid w:val="00120574"/>
    <w:rsid w:val="00120F47"/>
    <w:rsid w:val="00121D00"/>
    <w:rsid w:val="001224B6"/>
    <w:rsid w:val="001246C7"/>
    <w:rsid w:val="00124B31"/>
    <w:rsid w:val="00125151"/>
    <w:rsid w:val="0012568E"/>
    <w:rsid w:val="00125D5A"/>
    <w:rsid w:val="00126889"/>
    <w:rsid w:val="00126AB6"/>
    <w:rsid w:val="00126F5A"/>
    <w:rsid w:val="001270B8"/>
    <w:rsid w:val="0013019E"/>
    <w:rsid w:val="001304EB"/>
    <w:rsid w:val="00130725"/>
    <w:rsid w:val="00130A94"/>
    <w:rsid w:val="0013145D"/>
    <w:rsid w:val="00131538"/>
    <w:rsid w:val="0013269C"/>
    <w:rsid w:val="0013325B"/>
    <w:rsid w:val="00134A4C"/>
    <w:rsid w:val="001357E0"/>
    <w:rsid w:val="00135D55"/>
    <w:rsid w:val="00135E15"/>
    <w:rsid w:val="00136FA6"/>
    <w:rsid w:val="0013734E"/>
    <w:rsid w:val="00137D17"/>
    <w:rsid w:val="00137E57"/>
    <w:rsid w:val="00137E66"/>
    <w:rsid w:val="00140962"/>
    <w:rsid w:val="00140C8E"/>
    <w:rsid w:val="00140E00"/>
    <w:rsid w:val="0014114E"/>
    <w:rsid w:val="001412AE"/>
    <w:rsid w:val="001416FB"/>
    <w:rsid w:val="00141D54"/>
    <w:rsid w:val="00141DCA"/>
    <w:rsid w:val="0014281C"/>
    <w:rsid w:val="001432E8"/>
    <w:rsid w:val="001438A4"/>
    <w:rsid w:val="00143FF7"/>
    <w:rsid w:val="00144F84"/>
    <w:rsid w:val="00144FC4"/>
    <w:rsid w:val="00145534"/>
    <w:rsid w:val="00145FEE"/>
    <w:rsid w:val="00146497"/>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DF4"/>
    <w:rsid w:val="001550BA"/>
    <w:rsid w:val="0015521B"/>
    <w:rsid w:val="00155654"/>
    <w:rsid w:val="00155E97"/>
    <w:rsid w:val="00156E0C"/>
    <w:rsid w:val="00156F91"/>
    <w:rsid w:val="001572C0"/>
    <w:rsid w:val="0015795B"/>
    <w:rsid w:val="00160010"/>
    <w:rsid w:val="001611D7"/>
    <w:rsid w:val="00161953"/>
    <w:rsid w:val="0016206D"/>
    <w:rsid w:val="00162441"/>
    <w:rsid w:val="00162A55"/>
    <w:rsid w:val="0016328A"/>
    <w:rsid w:val="0016346F"/>
    <w:rsid w:val="001635F9"/>
    <w:rsid w:val="00163A1B"/>
    <w:rsid w:val="00163A9D"/>
    <w:rsid w:val="00163B76"/>
    <w:rsid w:val="00163E79"/>
    <w:rsid w:val="00165BBA"/>
    <w:rsid w:val="00166053"/>
    <w:rsid w:val="00166193"/>
    <w:rsid w:val="001661F3"/>
    <w:rsid w:val="00166629"/>
    <w:rsid w:val="00166F85"/>
    <w:rsid w:val="00167462"/>
    <w:rsid w:val="001703CB"/>
    <w:rsid w:val="0017180A"/>
    <w:rsid w:val="00171C9C"/>
    <w:rsid w:val="00171DD8"/>
    <w:rsid w:val="001721EB"/>
    <w:rsid w:val="001722A6"/>
    <w:rsid w:val="001725F6"/>
    <w:rsid w:val="001727C3"/>
    <w:rsid w:val="00172D25"/>
    <w:rsid w:val="00172ED0"/>
    <w:rsid w:val="00173BF9"/>
    <w:rsid w:val="00173F91"/>
    <w:rsid w:val="001742A0"/>
    <w:rsid w:val="001752FB"/>
    <w:rsid w:val="00175B94"/>
    <w:rsid w:val="001762AE"/>
    <w:rsid w:val="00177187"/>
    <w:rsid w:val="001779CB"/>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3C2"/>
    <w:rsid w:val="00185696"/>
    <w:rsid w:val="00185905"/>
    <w:rsid w:val="00186437"/>
    <w:rsid w:val="00186568"/>
    <w:rsid w:val="00186D79"/>
    <w:rsid w:val="00187067"/>
    <w:rsid w:val="001877CC"/>
    <w:rsid w:val="001879B9"/>
    <w:rsid w:val="001902EB"/>
    <w:rsid w:val="00190ECB"/>
    <w:rsid w:val="00190ED0"/>
    <w:rsid w:val="00191047"/>
    <w:rsid w:val="00191F68"/>
    <w:rsid w:val="0019252C"/>
    <w:rsid w:val="001926B6"/>
    <w:rsid w:val="00192C30"/>
    <w:rsid w:val="00193890"/>
    <w:rsid w:val="00194681"/>
    <w:rsid w:val="00194C24"/>
    <w:rsid w:val="00195065"/>
    <w:rsid w:val="001956E1"/>
    <w:rsid w:val="0019570B"/>
    <w:rsid w:val="00196414"/>
    <w:rsid w:val="00196588"/>
    <w:rsid w:val="00196667"/>
    <w:rsid w:val="00197AA5"/>
    <w:rsid w:val="001A06EE"/>
    <w:rsid w:val="001A1106"/>
    <w:rsid w:val="001A1388"/>
    <w:rsid w:val="001A22BD"/>
    <w:rsid w:val="001A2E3B"/>
    <w:rsid w:val="001A3033"/>
    <w:rsid w:val="001A3E0F"/>
    <w:rsid w:val="001A3F7B"/>
    <w:rsid w:val="001A57FD"/>
    <w:rsid w:val="001A5B53"/>
    <w:rsid w:val="001A6578"/>
    <w:rsid w:val="001A7787"/>
    <w:rsid w:val="001B028C"/>
    <w:rsid w:val="001B05B6"/>
    <w:rsid w:val="001B20EE"/>
    <w:rsid w:val="001B253B"/>
    <w:rsid w:val="001B2B06"/>
    <w:rsid w:val="001B31F9"/>
    <w:rsid w:val="001B477D"/>
    <w:rsid w:val="001B61EF"/>
    <w:rsid w:val="001B7C13"/>
    <w:rsid w:val="001B7EED"/>
    <w:rsid w:val="001C09AE"/>
    <w:rsid w:val="001C0E90"/>
    <w:rsid w:val="001C18B8"/>
    <w:rsid w:val="001C2417"/>
    <w:rsid w:val="001C3DC7"/>
    <w:rsid w:val="001C3F75"/>
    <w:rsid w:val="001C5A02"/>
    <w:rsid w:val="001C6466"/>
    <w:rsid w:val="001C6F79"/>
    <w:rsid w:val="001C709B"/>
    <w:rsid w:val="001C7451"/>
    <w:rsid w:val="001C7B10"/>
    <w:rsid w:val="001C7B79"/>
    <w:rsid w:val="001D0189"/>
    <w:rsid w:val="001D072B"/>
    <w:rsid w:val="001D078C"/>
    <w:rsid w:val="001D07FD"/>
    <w:rsid w:val="001D0A35"/>
    <w:rsid w:val="001D268A"/>
    <w:rsid w:val="001D2F00"/>
    <w:rsid w:val="001D416F"/>
    <w:rsid w:val="001D5123"/>
    <w:rsid w:val="001D51BE"/>
    <w:rsid w:val="001D5609"/>
    <w:rsid w:val="001D583E"/>
    <w:rsid w:val="001D6562"/>
    <w:rsid w:val="001D6A66"/>
    <w:rsid w:val="001D6BEA"/>
    <w:rsid w:val="001D7720"/>
    <w:rsid w:val="001E11F7"/>
    <w:rsid w:val="001E16F3"/>
    <w:rsid w:val="001E18E4"/>
    <w:rsid w:val="001E1BD4"/>
    <w:rsid w:val="001E2B56"/>
    <w:rsid w:val="001E30AC"/>
    <w:rsid w:val="001E370C"/>
    <w:rsid w:val="001E37AA"/>
    <w:rsid w:val="001E3822"/>
    <w:rsid w:val="001E3B1D"/>
    <w:rsid w:val="001E4F8F"/>
    <w:rsid w:val="001E59D4"/>
    <w:rsid w:val="001E669C"/>
    <w:rsid w:val="001E69AD"/>
    <w:rsid w:val="001E6B1D"/>
    <w:rsid w:val="001E6ED9"/>
    <w:rsid w:val="001E7485"/>
    <w:rsid w:val="001F0F45"/>
    <w:rsid w:val="001F13DC"/>
    <w:rsid w:val="001F194C"/>
    <w:rsid w:val="001F1C26"/>
    <w:rsid w:val="001F2097"/>
    <w:rsid w:val="001F27D5"/>
    <w:rsid w:val="001F28C6"/>
    <w:rsid w:val="001F2DEE"/>
    <w:rsid w:val="001F3365"/>
    <w:rsid w:val="001F3A73"/>
    <w:rsid w:val="001F3AE5"/>
    <w:rsid w:val="001F3DA3"/>
    <w:rsid w:val="001F4263"/>
    <w:rsid w:val="001F4FCC"/>
    <w:rsid w:val="001F51B7"/>
    <w:rsid w:val="001F5FF9"/>
    <w:rsid w:val="001F6172"/>
    <w:rsid w:val="001F624D"/>
    <w:rsid w:val="001F7009"/>
    <w:rsid w:val="001F7176"/>
    <w:rsid w:val="001F7295"/>
    <w:rsid w:val="00200A3F"/>
    <w:rsid w:val="00201DB6"/>
    <w:rsid w:val="00202926"/>
    <w:rsid w:val="00202E71"/>
    <w:rsid w:val="00203353"/>
    <w:rsid w:val="00203AC0"/>
    <w:rsid w:val="00206961"/>
    <w:rsid w:val="00207919"/>
    <w:rsid w:val="0020791F"/>
    <w:rsid w:val="002105ED"/>
    <w:rsid w:val="002108ED"/>
    <w:rsid w:val="00210E8E"/>
    <w:rsid w:val="00211260"/>
    <w:rsid w:val="00211FBE"/>
    <w:rsid w:val="00212847"/>
    <w:rsid w:val="00212ADA"/>
    <w:rsid w:val="00212BCA"/>
    <w:rsid w:val="00212CAB"/>
    <w:rsid w:val="00213139"/>
    <w:rsid w:val="00214166"/>
    <w:rsid w:val="00214207"/>
    <w:rsid w:val="0021478D"/>
    <w:rsid w:val="00214A3F"/>
    <w:rsid w:val="0021562B"/>
    <w:rsid w:val="00215675"/>
    <w:rsid w:val="00215FE6"/>
    <w:rsid w:val="002163CF"/>
    <w:rsid w:val="002204A2"/>
    <w:rsid w:val="00220A6F"/>
    <w:rsid w:val="00220CF0"/>
    <w:rsid w:val="002216B3"/>
    <w:rsid w:val="002219C9"/>
    <w:rsid w:val="00221C7C"/>
    <w:rsid w:val="0022215F"/>
    <w:rsid w:val="00222407"/>
    <w:rsid w:val="00222828"/>
    <w:rsid w:val="00222CAE"/>
    <w:rsid w:val="00223212"/>
    <w:rsid w:val="0022325E"/>
    <w:rsid w:val="002235DF"/>
    <w:rsid w:val="00223AC6"/>
    <w:rsid w:val="00224D58"/>
    <w:rsid w:val="00224DBA"/>
    <w:rsid w:val="00224EC3"/>
    <w:rsid w:val="00226584"/>
    <w:rsid w:val="00226CA3"/>
    <w:rsid w:val="002272A8"/>
    <w:rsid w:val="002275FE"/>
    <w:rsid w:val="0022765D"/>
    <w:rsid w:val="00227754"/>
    <w:rsid w:val="0023001A"/>
    <w:rsid w:val="00231298"/>
    <w:rsid w:val="00231A9C"/>
    <w:rsid w:val="00231E63"/>
    <w:rsid w:val="0023282B"/>
    <w:rsid w:val="00232F87"/>
    <w:rsid w:val="002337EB"/>
    <w:rsid w:val="00235D06"/>
    <w:rsid w:val="002368FE"/>
    <w:rsid w:val="00236907"/>
    <w:rsid w:val="002374A2"/>
    <w:rsid w:val="0023751E"/>
    <w:rsid w:val="00237AE0"/>
    <w:rsid w:val="00237E04"/>
    <w:rsid w:val="00240061"/>
    <w:rsid w:val="00240A4B"/>
    <w:rsid w:val="00241204"/>
    <w:rsid w:val="00241412"/>
    <w:rsid w:val="00242BA0"/>
    <w:rsid w:val="00243CF8"/>
    <w:rsid w:val="00243D36"/>
    <w:rsid w:val="002446C2"/>
    <w:rsid w:val="00246B88"/>
    <w:rsid w:val="002470B7"/>
    <w:rsid w:val="002476B3"/>
    <w:rsid w:val="00247FBD"/>
    <w:rsid w:val="002502E9"/>
    <w:rsid w:val="00250667"/>
    <w:rsid w:val="00250DFD"/>
    <w:rsid w:val="0025192B"/>
    <w:rsid w:val="00252996"/>
    <w:rsid w:val="00252FCD"/>
    <w:rsid w:val="0025315E"/>
    <w:rsid w:val="0025329F"/>
    <w:rsid w:val="00254FC8"/>
    <w:rsid w:val="00255852"/>
    <w:rsid w:val="00255A77"/>
    <w:rsid w:val="00257704"/>
    <w:rsid w:val="002579EC"/>
    <w:rsid w:val="00257C4E"/>
    <w:rsid w:val="0026208B"/>
    <w:rsid w:val="002624E3"/>
    <w:rsid w:val="00262CDC"/>
    <w:rsid w:val="00263D5E"/>
    <w:rsid w:val="00263FB2"/>
    <w:rsid w:val="00264965"/>
    <w:rsid w:val="00264A8A"/>
    <w:rsid w:val="00264D2B"/>
    <w:rsid w:val="0026546F"/>
    <w:rsid w:val="00265E4B"/>
    <w:rsid w:val="0026602A"/>
    <w:rsid w:val="00266790"/>
    <w:rsid w:val="00266C5A"/>
    <w:rsid w:val="00266CFE"/>
    <w:rsid w:val="002671EB"/>
    <w:rsid w:val="00267421"/>
    <w:rsid w:val="00270F6F"/>
    <w:rsid w:val="00271234"/>
    <w:rsid w:val="00271673"/>
    <w:rsid w:val="002718B3"/>
    <w:rsid w:val="002720F9"/>
    <w:rsid w:val="0027276E"/>
    <w:rsid w:val="00272784"/>
    <w:rsid w:val="0027282A"/>
    <w:rsid w:val="00272BA2"/>
    <w:rsid w:val="00273237"/>
    <w:rsid w:val="002736E3"/>
    <w:rsid w:val="00274FFD"/>
    <w:rsid w:val="002753C5"/>
    <w:rsid w:val="00276876"/>
    <w:rsid w:val="00276EDC"/>
    <w:rsid w:val="002776B3"/>
    <w:rsid w:val="00281D44"/>
    <w:rsid w:val="00282962"/>
    <w:rsid w:val="002836E0"/>
    <w:rsid w:val="002837DC"/>
    <w:rsid w:val="002838FC"/>
    <w:rsid w:val="00283B62"/>
    <w:rsid w:val="00283EBE"/>
    <w:rsid w:val="00284000"/>
    <w:rsid w:val="0028412E"/>
    <w:rsid w:val="00284D77"/>
    <w:rsid w:val="002854FC"/>
    <w:rsid w:val="00285F3B"/>
    <w:rsid w:val="00285FFB"/>
    <w:rsid w:val="00286201"/>
    <w:rsid w:val="00286AB0"/>
    <w:rsid w:val="00286ECF"/>
    <w:rsid w:val="00286F20"/>
    <w:rsid w:val="002873F1"/>
    <w:rsid w:val="00287C5F"/>
    <w:rsid w:val="00290209"/>
    <w:rsid w:val="0029055A"/>
    <w:rsid w:val="00290F99"/>
    <w:rsid w:val="0029199B"/>
    <w:rsid w:val="0029239B"/>
    <w:rsid w:val="002925F2"/>
    <w:rsid w:val="00292A08"/>
    <w:rsid w:val="00292A5E"/>
    <w:rsid w:val="00293648"/>
    <w:rsid w:val="00293DFE"/>
    <w:rsid w:val="002941CB"/>
    <w:rsid w:val="00295BD5"/>
    <w:rsid w:val="002961D5"/>
    <w:rsid w:val="002966D0"/>
    <w:rsid w:val="00297097"/>
    <w:rsid w:val="00297774"/>
    <w:rsid w:val="00297E94"/>
    <w:rsid w:val="00297ED6"/>
    <w:rsid w:val="002A0CC4"/>
    <w:rsid w:val="002A16C0"/>
    <w:rsid w:val="002A2317"/>
    <w:rsid w:val="002A23A1"/>
    <w:rsid w:val="002A2C2E"/>
    <w:rsid w:val="002A351C"/>
    <w:rsid w:val="002A353A"/>
    <w:rsid w:val="002A4230"/>
    <w:rsid w:val="002A48EE"/>
    <w:rsid w:val="002A5194"/>
    <w:rsid w:val="002A5681"/>
    <w:rsid w:val="002A5ADD"/>
    <w:rsid w:val="002A5F53"/>
    <w:rsid w:val="002A64BE"/>
    <w:rsid w:val="002A65D8"/>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71D"/>
    <w:rsid w:val="002B7E5C"/>
    <w:rsid w:val="002C07C0"/>
    <w:rsid w:val="002C0DD6"/>
    <w:rsid w:val="002C16B4"/>
    <w:rsid w:val="002C1987"/>
    <w:rsid w:val="002C22F7"/>
    <w:rsid w:val="002C2A4D"/>
    <w:rsid w:val="002C2D99"/>
    <w:rsid w:val="002C3400"/>
    <w:rsid w:val="002C3613"/>
    <w:rsid w:val="002C37F1"/>
    <w:rsid w:val="002C3A1A"/>
    <w:rsid w:val="002C47FF"/>
    <w:rsid w:val="002C57C9"/>
    <w:rsid w:val="002C57F9"/>
    <w:rsid w:val="002C5A7A"/>
    <w:rsid w:val="002C6852"/>
    <w:rsid w:val="002D0147"/>
    <w:rsid w:val="002D05E5"/>
    <w:rsid w:val="002D06D0"/>
    <w:rsid w:val="002D0970"/>
    <w:rsid w:val="002D0D61"/>
    <w:rsid w:val="002D2315"/>
    <w:rsid w:val="002D3027"/>
    <w:rsid w:val="002D355F"/>
    <w:rsid w:val="002D4536"/>
    <w:rsid w:val="002D5491"/>
    <w:rsid w:val="002D576E"/>
    <w:rsid w:val="002D5A3C"/>
    <w:rsid w:val="002D5ABD"/>
    <w:rsid w:val="002D66CB"/>
    <w:rsid w:val="002D7165"/>
    <w:rsid w:val="002E041C"/>
    <w:rsid w:val="002E08EE"/>
    <w:rsid w:val="002E0B53"/>
    <w:rsid w:val="002E1240"/>
    <w:rsid w:val="002E1D2F"/>
    <w:rsid w:val="002E3312"/>
    <w:rsid w:val="002E40EE"/>
    <w:rsid w:val="002E4853"/>
    <w:rsid w:val="002E5286"/>
    <w:rsid w:val="002E5B28"/>
    <w:rsid w:val="002E633C"/>
    <w:rsid w:val="002E6619"/>
    <w:rsid w:val="002E7307"/>
    <w:rsid w:val="002E77E9"/>
    <w:rsid w:val="002F0C3E"/>
    <w:rsid w:val="002F0F4C"/>
    <w:rsid w:val="002F18DD"/>
    <w:rsid w:val="002F204D"/>
    <w:rsid w:val="002F2758"/>
    <w:rsid w:val="002F2C48"/>
    <w:rsid w:val="002F2D07"/>
    <w:rsid w:val="002F338B"/>
    <w:rsid w:val="002F45ED"/>
    <w:rsid w:val="002F4A07"/>
    <w:rsid w:val="002F4DFA"/>
    <w:rsid w:val="002F590E"/>
    <w:rsid w:val="002F591D"/>
    <w:rsid w:val="002F5E5A"/>
    <w:rsid w:val="002F63E6"/>
    <w:rsid w:val="002F6F1F"/>
    <w:rsid w:val="002F78FA"/>
    <w:rsid w:val="00300FF6"/>
    <w:rsid w:val="003011C5"/>
    <w:rsid w:val="00301A58"/>
    <w:rsid w:val="00302567"/>
    <w:rsid w:val="00302AC1"/>
    <w:rsid w:val="00302EB3"/>
    <w:rsid w:val="00303582"/>
    <w:rsid w:val="003038F3"/>
    <w:rsid w:val="0030408D"/>
    <w:rsid w:val="003057C0"/>
    <w:rsid w:val="00307151"/>
    <w:rsid w:val="00307BC6"/>
    <w:rsid w:val="00310CAD"/>
    <w:rsid w:val="00311A9E"/>
    <w:rsid w:val="00312826"/>
    <w:rsid w:val="00314AC5"/>
    <w:rsid w:val="003152E8"/>
    <w:rsid w:val="00316007"/>
    <w:rsid w:val="003160D8"/>
    <w:rsid w:val="00316215"/>
    <w:rsid w:val="0031648B"/>
    <w:rsid w:val="0031665B"/>
    <w:rsid w:val="003173ED"/>
    <w:rsid w:val="003179EB"/>
    <w:rsid w:val="0032002D"/>
    <w:rsid w:val="00321182"/>
    <w:rsid w:val="00322573"/>
    <w:rsid w:val="003237D5"/>
    <w:rsid w:val="00323879"/>
    <w:rsid w:val="003238CA"/>
    <w:rsid w:val="003238CC"/>
    <w:rsid w:val="00323C60"/>
    <w:rsid w:val="0032417D"/>
    <w:rsid w:val="003244AF"/>
    <w:rsid w:val="00324692"/>
    <w:rsid w:val="00324A1C"/>
    <w:rsid w:val="00325B21"/>
    <w:rsid w:val="00326281"/>
    <w:rsid w:val="00326354"/>
    <w:rsid w:val="00331217"/>
    <w:rsid w:val="003312B9"/>
    <w:rsid w:val="003323C2"/>
    <w:rsid w:val="00332426"/>
    <w:rsid w:val="0033257B"/>
    <w:rsid w:val="00332CB3"/>
    <w:rsid w:val="00332CF4"/>
    <w:rsid w:val="00333B79"/>
    <w:rsid w:val="00333FEB"/>
    <w:rsid w:val="003342C9"/>
    <w:rsid w:val="003344DF"/>
    <w:rsid w:val="003359CB"/>
    <w:rsid w:val="003359D7"/>
    <w:rsid w:val="00335F06"/>
    <w:rsid w:val="003369FB"/>
    <w:rsid w:val="00336D42"/>
    <w:rsid w:val="00337099"/>
    <w:rsid w:val="00337125"/>
    <w:rsid w:val="00340A24"/>
    <w:rsid w:val="00340E46"/>
    <w:rsid w:val="00341880"/>
    <w:rsid w:val="00341F29"/>
    <w:rsid w:val="00342304"/>
    <w:rsid w:val="003423A6"/>
    <w:rsid w:val="00342587"/>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6923"/>
    <w:rsid w:val="00357C08"/>
    <w:rsid w:val="00360CC1"/>
    <w:rsid w:val="00360FE4"/>
    <w:rsid w:val="003614CC"/>
    <w:rsid w:val="00361599"/>
    <w:rsid w:val="00362032"/>
    <w:rsid w:val="003632A6"/>
    <w:rsid w:val="003639D1"/>
    <w:rsid w:val="00365C45"/>
    <w:rsid w:val="0036623B"/>
    <w:rsid w:val="0036665D"/>
    <w:rsid w:val="00366AA4"/>
    <w:rsid w:val="00367047"/>
    <w:rsid w:val="0036706B"/>
    <w:rsid w:val="003671A1"/>
    <w:rsid w:val="00367784"/>
    <w:rsid w:val="00370072"/>
    <w:rsid w:val="00370A2C"/>
    <w:rsid w:val="0037113A"/>
    <w:rsid w:val="0037159B"/>
    <w:rsid w:val="00371603"/>
    <w:rsid w:val="003719C5"/>
    <w:rsid w:val="00371C66"/>
    <w:rsid w:val="003723A3"/>
    <w:rsid w:val="00372404"/>
    <w:rsid w:val="00372EDC"/>
    <w:rsid w:val="00373358"/>
    <w:rsid w:val="003746EB"/>
    <w:rsid w:val="00375234"/>
    <w:rsid w:val="003752E3"/>
    <w:rsid w:val="00375E27"/>
    <w:rsid w:val="003766F7"/>
    <w:rsid w:val="0037692D"/>
    <w:rsid w:val="00377969"/>
    <w:rsid w:val="00380D4A"/>
    <w:rsid w:val="00381030"/>
    <w:rsid w:val="003810FA"/>
    <w:rsid w:val="00381D0C"/>
    <w:rsid w:val="00382E07"/>
    <w:rsid w:val="00384C0F"/>
    <w:rsid w:val="00384DE1"/>
    <w:rsid w:val="003855B4"/>
    <w:rsid w:val="00385B73"/>
    <w:rsid w:val="00385D47"/>
    <w:rsid w:val="00386A79"/>
    <w:rsid w:val="00387008"/>
    <w:rsid w:val="003871B8"/>
    <w:rsid w:val="003871C9"/>
    <w:rsid w:val="00387265"/>
    <w:rsid w:val="0038783F"/>
    <w:rsid w:val="00387ADD"/>
    <w:rsid w:val="00387DB0"/>
    <w:rsid w:val="00387F33"/>
    <w:rsid w:val="00387FAB"/>
    <w:rsid w:val="003908B0"/>
    <w:rsid w:val="003913CF"/>
    <w:rsid w:val="003914F1"/>
    <w:rsid w:val="0039191F"/>
    <w:rsid w:val="003924DC"/>
    <w:rsid w:val="00392576"/>
    <w:rsid w:val="00393098"/>
    <w:rsid w:val="003934FB"/>
    <w:rsid w:val="00394133"/>
    <w:rsid w:val="00394656"/>
    <w:rsid w:val="00395797"/>
    <w:rsid w:val="00395B7F"/>
    <w:rsid w:val="00396B56"/>
    <w:rsid w:val="003971D4"/>
    <w:rsid w:val="003A0D82"/>
    <w:rsid w:val="003A0F05"/>
    <w:rsid w:val="003A1BFA"/>
    <w:rsid w:val="003A1CDF"/>
    <w:rsid w:val="003A264A"/>
    <w:rsid w:val="003A2D4C"/>
    <w:rsid w:val="003A2DE9"/>
    <w:rsid w:val="003A3D5C"/>
    <w:rsid w:val="003A4196"/>
    <w:rsid w:val="003A41E7"/>
    <w:rsid w:val="003A4406"/>
    <w:rsid w:val="003A4647"/>
    <w:rsid w:val="003A4AA9"/>
    <w:rsid w:val="003A4D16"/>
    <w:rsid w:val="003A53D7"/>
    <w:rsid w:val="003A554C"/>
    <w:rsid w:val="003A5E5B"/>
    <w:rsid w:val="003A6344"/>
    <w:rsid w:val="003A668A"/>
    <w:rsid w:val="003A6916"/>
    <w:rsid w:val="003A6C50"/>
    <w:rsid w:val="003A6EE4"/>
    <w:rsid w:val="003A73D2"/>
    <w:rsid w:val="003A762C"/>
    <w:rsid w:val="003A7DF3"/>
    <w:rsid w:val="003A7E5E"/>
    <w:rsid w:val="003B0275"/>
    <w:rsid w:val="003B193D"/>
    <w:rsid w:val="003B1A9F"/>
    <w:rsid w:val="003B2169"/>
    <w:rsid w:val="003B24DB"/>
    <w:rsid w:val="003B2F85"/>
    <w:rsid w:val="003B3106"/>
    <w:rsid w:val="003B39AB"/>
    <w:rsid w:val="003B3D82"/>
    <w:rsid w:val="003B420B"/>
    <w:rsid w:val="003B4434"/>
    <w:rsid w:val="003B50A1"/>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E8C"/>
    <w:rsid w:val="003C329E"/>
    <w:rsid w:val="003C347A"/>
    <w:rsid w:val="003C377D"/>
    <w:rsid w:val="003C3907"/>
    <w:rsid w:val="003C3B20"/>
    <w:rsid w:val="003C3E11"/>
    <w:rsid w:val="003C4428"/>
    <w:rsid w:val="003C520D"/>
    <w:rsid w:val="003C5490"/>
    <w:rsid w:val="003C6B0D"/>
    <w:rsid w:val="003C77C8"/>
    <w:rsid w:val="003C799C"/>
    <w:rsid w:val="003C7B9D"/>
    <w:rsid w:val="003D0497"/>
    <w:rsid w:val="003D0556"/>
    <w:rsid w:val="003D0637"/>
    <w:rsid w:val="003D09C3"/>
    <w:rsid w:val="003D144A"/>
    <w:rsid w:val="003D27B2"/>
    <w:rsid w:val="003D2EEF"/>
    <w:rsid w:val="003D37E8"/>
    <w:rsid w:val="003D5D4B"/>
    <w:rsid w:val="003D6BF7"/>
    <w:rsid w:val="003E0255"/>
    <w:rsid w:val="003E0941"/>
    <w:rsid w:val="003E1A06"/>
    <w:rsid w:val="003E1C6F"/>
    <w:rsid w:val="003E2208"/>
    <w:rsid w:val="003E236C"/>
    <w:rsid w:val="003E2386"/>
    <w:rsid w:val="003E2FF7"/>
    <w:rsid w:val="003E3341"/>
    <w:rsid w:val="003E3A60"/>
    <w:rsid w:val="003E3DB9"/>
    <w:rsid w:val="003E4006"/>
    <w:rsid w:val="003E46F2"/>
    <w:rsid w:val="003E543B"/>
    <w:rsid w:val="003E62C3"/>
    <w:rsid w:val="003E6341"/>
    <w:rsid w:val="003E68AB"/>
    <w:rsid w:val="003E6934"/>
    <w:rsid w:val="003E7870"/>
    <w:rsid w:val="003F044B"/>
    <w:rsid w:val="003F0EA5"/>
    <w:rsid w:val="003F19FC"/>
    <w:rsid w:val="003F1B16"/>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017"/>
    <w:rsid w:val="0040596E"/>
    <w:rsid w:val="00405EA4"/>
    <w:rsid w:val="004062DC"/>
    <w:rsid w:val="00407087"/>
    <w:rsid w:val="00407184"/>
    <w:rsid w:val="00407674"/>
    <w:rsid w:val="0040772F"/>
    <w:rsid w:val="00407E5E"/>
    <w:rsid w:val="00410D3A"/>
    <w:rsid w:val="00410E0C"/>
    <w:rsid w:val="00410E45"/>
    <w:rsid w:val="004110F0"/>
    <w:rsid w:val="00412B5B"/>
    <w:rsid w:val="0041397A"/>
    <w:rsid w:val="00413DC7"/>
    <w:rsid w:val="00413ED9"/>
    <w:rsid w:val="0041434B"/>
    <w:rsid w:val="00414715"/>
    <w:rsid w:val="00415AB3"/>
    <w:rsid w:val="00415DC6"/>
    <w:rsid w:val="0041659B"/>
    <w:rsid w:val="004166A5"/>
    <w:rsid w:val="004168F5"/>
    <w:rsid w:val="00416C3D"/>
    <w:rsid w:val="00417000"/>
    <w:rsid w:val="004174E0"/>
    <w:rsid w:val="00420C56"/>
    <w:rsid w:val="00420E50"/>
    <w:rsid w:val="004215B8"/>
    <w:rsid w:val="00421F09"/>
    <w:rsid w:val="00422C36"/>
    <w:rsid w:val="0042375A"/>
    <w:rsid w:val="00423A1C"/>
    <w:rsid w:val="00424E5E"/>
    <w:rsid w:val="00425447"/>
    <w:rsid w:val="004256E9"/>
    <w:rsid w:val="004261A0"/>
    <w:rsid w:val="00426723"/>
    <w:rsid w:val="00426FD2"/>
    <w:rsid w:val="004272EC"/>
    <w:rsid w:val="00427530"/>
    <w:rsid w:val="00427E0F"/>
    <w:rsid w:val="004317D9"/>
    <w:rsid w:val="00431A40"/>
    <w:rsid w:val="00432036"/>
    <w:rsid w:val="00432103"/>
    <w:rsid w:val="004323A0"/>
    <w:rsid w:val="004326E9"/>
    <w:rsid w:val="00433E94"/>
    <w:rsid w:val="004345D2"/>
    <w:rsid w:val="004357D5"/>
    <w:rsid w:val="0043598A"/>
    <w:rsid w:val="004366E1"/>
    <w:rsid w:val="00437063"/>
    <w:rsid w:val="00437811"/>
    <w:rsid w:val="00440397"/>
    <w:rsid w:val="0044055E"/>
    <w:rsid w:val="0044089F"/>
    <w:rsid w:val="00440C24"/>
    <w:rsid w:val="0044151B"/>
    <w:rsid w:val="004418B4"/>
    <w:rsid w:val="00441AB9"/>
    <w:rsid w:val="00442A29"/>
    <w:rsid w:val="00442E77"/>
    <w:rsid w:val="00443BDA"/>
    <w:rsid w:val="00444040"/>
    <w:rsid w:val="004442C0"/>
    <w:rsid w:val="00444F22"/>
    <w:rsid w:val="004451C5"/>
    <w:rsid w:val="004455EE"/>
    <w:rsid w:val="00445CFE"/>
    <w:rsid w:val="00445DE7"/>
    <w:rsid w:val="0044604A"/>
    <w:rsid w:val="00446391"/>
    <w:rsid w:val="00446FF4"/>
    <w:rsid w:val="00450245"/>
    <w:rsid w:val="00450667"/>
    <w:rsid w:val="004509B3"/>
    <w:rsid w:val="00450AF4"/>
    <w:rsid w:val="004515EE"/>
    <w:rsid w:val="00452387"/>
    <w:rsid w:val="004526EE"/>
    <w:rsid w:val="0045303D"/>
    <w:rsid w:val="004534DB"/>
    <w:rsid w:val="004537F2"/>
    <w:rsid w:val="00453B39"/>
    <w:rsid w:val="00454521"/>
    <w:rsid w:val="00455C30"/>
    <w:rsid w:val="00455E1C"/>
    <w:rsid w:val="00455FB2"/>
    <w:rsid w:val="00456D75"/>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1DE"/>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7C2"/>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4C5"/>
    <w:rsid w:val="004A05C1"/>
    <w:rsid w:val="004A19BB"/>
    <w:rsid w:val="004A1E1D"/>
    <w:rsid w:val="004A1F54"/>
    <w:rsid w:val="004A393A"/>
    <w:rsid w:val="004A3987"/>
    <w:rsid w:val="004A3B94"/>
    <w:rsid w:val="004A3CE8"/>
    <w:rsid w:val="004A4DEE"/>
    <w:rsid w:val="004A4ECF"/>
    <w:rsid w:val="004A6271"/>
    <w:rsid w:val="004A6388"/>
    <w:rsid w:val="004A7ADA"/>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3E2"/>
    <w:rsid w:val="004C16A4"/>
    <w:rsid w:val="004C2A6F"/>
    <w:rsid w:val="004C32FA"/>
    <w:rsid w:val="004C3582"/>
    <w:rsid w:val="004C39AA"/>
    <w:rsid w:val="004C46D3"/>
    <w:rsid w:val="004C4E6F"/>
    <w:rsid w:val="004C5C49"/>
    <w:rsid w:val="004C5CC9"/>
    <w:rsid w:val="004C5FE0"/>
    <w:rsid w:val="004C6612"/>
    <w:rsid w:val="004C66B8"/>
    <w:rsid w:val="004C6730"/>
    <w:rsid w:val="004C6A14"/>
    <w:rsid w:val="004C70F9"/>
    <w:rsid w:val="004C7274"/>
    <w:rsid w:val="004C7556"/>
    <w:rsid w:val="004C7A59"/>
    <w:rsid w:val="004C7D9A"/>
    <w:rsid w:val="004D01DC"/>
    <w:rsid w:val="004D03F6"/>
    <w:rsid w:val="004D06D1"/>
    <w:rsid w:val="004D0ACF"/>
    <w:rsid w:val="004D33F2"/>
    <w:rsid w:val="004D3628"/>
    <w:rsid w:val="004D3F24"/>
    <w:rsid w:val="004D4023"/>
    <w:rsid w:val="004D426E"/>
    <w:rsid w:val="004D4834"/>
    <w:rsid w:val="004D4928"/>
    <w:rsid w:val="004D54CA"/>
    <w:rsid w:val="004D600C"/>
    <w:rsid w:val="004D6A62"/>
    <w:rsid w:val="004D7565"/>
    <w:rsid w:val="004D7C68"/>
    <w:rsid w:val="004D7FB1"/>
    <w:rsid w:val="004E0239"/>
    <w:rsid w:val="004E1556"/>
    <w:rsid w:val="004E1570"/>
    <w:rsid w:val="004E2653"/>
    <w:rsid w:val="004E35FF"/>
    <w:rsid w:val="004E38B1"/>
    <w:rsid w:val="004E3A66"/>
    <w:rsid w:val="004E4924"/>
    <w:rsid w:val="004E4C11"/>
    <w:rsid w:val="004E53ED"/>
    <w:rsid w:val="004E56F3"/>
    <w:rsid w:val="004E5A48"/>
    <w:rsid w:val="004E6B90"/>
    <w:rsid w:val="004E701F"/>
    <w:rsid w:val="004F022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525"/>
    <w:rsid w:val="004F77EC"/>
    <w:rsid w:val="004F7A2A"/>
    <w:rsid w:val="0050254D"/>
    <w:rsid w:val="00502D4D"/>
    <w:rsid w:val="00503596"/>
    <w:rsid w:val="00503821"/>
    <w:rsid w:val="00503E41"/>
    <w:rsid w:val="005040CC"/>
    <w:rsid w:val="005043E5"/>
    <w:rsid w:val="0050461D"/>
    <w:rsid w:val="005046D6"/>
    <w:rsid w:val="005048F0"/>
    <w:rsid w:val="00505E8B"/>
    <w:rsid w:val="005060AA"/>
    <w:rsid w:val="00506552"/>
    <w:rsid w:val="00507411"/>
    <w:rsid w:val="00510013"/>
    <w:rsid w:val="00510317"/>
    <w:rsid w:val="00510442"/>
    <w:rsid w:val="00510C50"/>
    <w:rsid w:val="00511D9B"/>
    <w:rsid w:val="00511E19"/>
    <w:rsid w:val="00512842"/>
    <w:rsid w:val="0051346F"/>
    <w:rsid w:val="00514B55"/>
    <w:rsid w:val="0051505B"/>
    <w:rsid w:val="005156EA"/>
    <w:rsid w:val="00515EAA"/>
    <w:rsid w:val="00516332"/>
    <w:rsid w:val="0051722E"/>
    <w:rsid w:val="00517FCD"/>
    <w:rsid w:val="00520144"/>
    <w:rsid w:val="00520196"/>
    <w:rsid w:val="005208A8"/>
    <w:rsid w:val="00520C20"/>
    <w:rsid w:val="00521347"/>
    <w:rsid w:val="00521B1C"/>
    <w:rsid w:val="00521B57"/>
    <w:rsid w:val="00521E42"/>
    <w:rsid w:val="00522F65"/>
    <w:rsid w:val="00523617"/>
    <w:rsid w:val="005238A2"/>
    <w:rsid w:val="005242D6"/>
    <w:rsid w:val="00524475"/>
    <w:rsid w:val="00524A19"/>
    <w:rsid w:val="00524B27"/>
    <w:rsid w:val="0052555D"/>
    <w:rsid w:val="00526030"/>
    <w:rsid w:val="0052655E"/>
    <w:rsid w:val="00526B76"/>
    <w:rsid w:val="00527202"/>
    <w:rsid w:val="00527EDC"/>
    <w:rsid w:val="0053065B"/>
    <w:rsid w:val="00530B66"/>
    <w:rsid w:val="005312A4"/>
    <w:rsid w:val="00531971"/>
    <w:rsid w:val="00531DAA"/>
    <w:rsid w:val="00531F42"/>
    <w:rsid w:val="00532894"/>
    <w:rsid w:val="0053505E"/>
    <w:rsid w:val="00535EB2"/>
    <w:rsid w:val="0053638E"/>
    <w:rsid w:val="005367C3"/>
    <w:rsid w:val="00537237"/>
    <w:rsid w:val="00537BB6"/>
    <w:rsid w:val="00537D8C"/>
    <w:rsid w:val="00541017"/>
    <w:rsid w:val="005412DD"/>
    <w:rsid w:val="00541B8D"/>
    <w:rsid w:val="00542A12"/>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CB7"/>
    <w:rsid w:val="00550F35"/>
    <w:rsid w:val="00551414"/>
    <w:rsid w:val="00551F2F"/>
    <w:rsid w:val="0055200C"/>
    <w:rsid w:val="00552516"/>
    <w:rsid w:val="0055307F"/>
    <w:rsid w:val="00553277"/>
    <w:rsid w:val="00553B93"/>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8F6"/>
    <w:rsid w:val="0056291E"/>
    <w:rsid w:val="00562D6A"/>
    <w:rsid w:val="005630BE"/>
    <w:rsid w:val="00563801"/>
    <w:rsid w:val="00563FF3"/>
    <w:rsid w:val="00564294"/>
    <w:rsid w:val="005646BD"/>
    <w:rsid w:val="005648FE"/>
    <w:rsid w:val="00564969"/>
    <w:rsid w:val="00564C42"/>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2E02"/>
    <w:rsid w:val="0057380B"/>
    <w:rsid w:val="005746E3"/>
    <w:rsid w:val="00574828"/>
    <w:rsid w:val="00574DD4"/>
    <w:rsid w:val="00575107"/>
    <w:rsid w:val="00575709"/>
    <w:rsid w:val="00576463"/>
    <w:rsid w:val="005764CC"/>
    <w:rsid w:val="00576894"/>
    <w:rsid w:val="005774EE"/>
    <w:rsid w:val="00577547"/>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19B"/>
    <w:rsid w:val="00587339"/>
    <w:rsid w:val="0059050E"/>
    <w:rsid w:val="00590A23"/>
    <w:rsid w:val="00590A40"/>
    <w:rsid w:val="00590DE4"/>
    <w:rsid w:val="00590E14"/>
    <w:rsid w:val="00591D2C"/>
    <w:rsid w:val="005934AF"/>
    <w:rsid w:val="005934C0"/>
    <w:rsid w:val="00593C7E"/>
    <w:rsid w:val="00594869"/>
    <w:rsid w:val="00594A5B"/>
    <w:rsid w:val="00594F80"/>
    <w:rsid w:val="005950C0"/>
    <w:rsid w:val="005955C6"/>
    <w:rsid w:val="00597172"/>
    <w:rsid w:val="0059761B"/>
    <w:rsid w:val="005A01EE"/>
    <w:rsid w:val="005A0353"/>
    <w:rsid w:val="005A0C15"/>
    <w:rsid w:val="005A0C3E"/>
    <w:rsid w:val="005A1729"/>
    <w:rsid w:val="005A1A74"/>
    <w:rsid w:val="005A1FBA"/>
    <w:rsid w:val="005A23A9"/>
    <w:rsid w:val="005A27D3"/>
    <w:rsid w:val="005A317B"/>
    <w:rsid w:val="005A5199"/>
    <w:rsid w:val="005A5995"/>
    <w:rsid w:val="005A5AD5"/>
    <w:rsid w:val="005A6323"/>
    <w:rsid w:val="005A63F3"/>
    <w:rsid w:val="005A66C0"/>
    <w:rsid w:val="005A7824"/>
    <w:rsid w:val="005B0788"/>
    <w:rsid w:val="005B0E5C"/>
    <w:rsid w:val="005B1B71"/>
    <w:rsid w:val="005B1BCB"/>
    <w:rsid w:val="005B21B7"/>
    <w:rsid w:val="005B3B3D"/>
    <w:rsid w:val="005B3E2E"/>
    <w:rsid w:val="005B447F"/>
    <w:rsid w:val="005B4784"/>
    <w:rsid w:val="005B4EB8"/>
    <w:rsid w:val="005B5175"/>
    <w:rsid w:val="005B643B"/>
    <w:rsid w:val="005B6696"/>
    <w:rsid w:val="005B76C1"/>
    <w:rsid w:val="005C0A51"/>
    <w:rsid w:val="005C164F"/>
    <w:rsid w:val="005C2489"/>
    <w:rsid w:val="005C2EA5"/>
    <w:rsid w:val="005C372F"/>
    <w:rsid w:val="005C3A19"/>
    <w:rsid w:val="005C3FD8"/>
    <w:rsid w:val="005C42E7"/>
    <w:rsid w:val="005C469D"/>
    <w:rsid w:val="005C671A"/>
    <w:rsid w:val="005C6926"/>
    <w:rsid w:val="005C6E28"/>
    <w:rsid w:val="005C7049"/>
    <w:rsid w:val="005C75A1"/>
    <w:rsid w:val="005C78AF"/>
    <w:rsid w:val="005D0285"/>
    <w:rsid w:val="005D0630"/>
    <w:rsid w:val="005D0E9D"/>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A5A"/>
    <w:rsid w:val="005E0D0D"/>
    <w:rsid w:val="005E1D04"/>
    <w:rsid w:val="005E2042"/>
    <w:rsid w:val="005E23ED"/>
    <w:rsid w:val="005E2453"/>
    <w:rsid w:val="005E2B2C"/>
    <w:rsid w:val="005E3196"/>
    <w:rsid w:val="005E3717"/>
    <w:rsid w:val="005E3A6A"/>
    <w:rsid w:val="005E3C87"/>
    <w:rsid w:val="005E4562"/>
    <w:rsid w:val="005E552C"/>
    <w:rsid w:val="005E6319"/>
    <w:rsid w:val="005E78EB"/>
    <w:rsid w:val="005E7AE4"/>
    <w:rsid w:val="005F016B"/>
    <w:rsid w:val="005F08A4"/>
    <w:rsid w:val="005F08B3"/>
    <w:rsid w:val="005F0F8E"/>
    <w:rsid w:val="005F151A"/>
    <w:rsid w:val="005F155F"/>
    <w:rsid w:val="005F261B"/>
    <w:rsid w:val="005F3595"/>
    <w:rsid w:val="005F3E09"/>
    <w:rsid w:val="005F4347"/>
    <w:rsid w:val="005F454B"/>
    <w:rsid w:val="005F467D"/>
    <w:rsid w:val="005F4705"/>
    <w:rsid w:val="005F4B52"/>
    <w:rsid w:val="005F4FFB"/>
    <w:rsid w:val="005F5519"/>
    <w:rsid w:val="005F56AB"/>
    <w:rsid w:val="005F570B"/>
    <w:rsid w:val="005F58F4"/>
    <w:rsid w:val="005F5E3F"/>
    <w:rsid w:val="005F5F86"/>
    <w:rsid w:val="005F7D91"/>
    <w:rsid w:val="005F7E6F"/>
    <w:rsid w:val="005F7F0C"/>
    <w:rsid w:val="006003B9"/>
    <w:rsid w:val="00600634"/>
    <w:rsid w:val="006009D6"/>
    <w:rsid w:val="0060153A"/>
    <w:rsid w:val="0060176E"/>
    <w:rsid w:val="0060253E"/>
    <w:rsid w:val="006045A4"/>
    <w:rsid w:val="006046C9"/>
    <w:rsid w:val="0060547C"/>
    <w:rsid w:val="00605FF9"/>
    <w:rsid w:val="0060654A"/>
    <w:rsid w:val="006068C7"/>
    <w:rsid w:val="00607287"/>
    <w:rsid w:val="00607A0B"/>
    <w:rsid w:val="00610630"/>
    <w:rsid w:val="00610E22"/>
    <w:rsid w:val="0061161D"/>
    <w:rsid w:val="00611B29"/>
    <w:rsid w:val="00611C71"/>
    <w:rsid w:val="00612369"/>
    <w:rsid w:val="006129BD"/>
    <w:rsid w:val="00612BE3"/>
    <w:rsid w:val="006133BF"/>
    <w:rsid w:val="0061347A"/>
    <w:rsid w:val="00613691"/>
    <w:rsid w:val="00614B40"/>
    <w:rsid w:val="00615447"/>
    <w:rsid w:val="00615D7D"/>
    <w:rsid w:val="00615DFC"/>
    <w:rsid w:val="00616AB1"/>
    <w:rsid w:val="006170AB"/>
    <w:rsid w:val="00617165"/>
    <w:rsid w:val="006207D2"/>
    <w:rsid w:val="00620AE0"/>
    <w:rsid w:val="00622A4F"/>
    <w:rsid w:val="00622DDF"/>
    <w:rsid w:val="0062342C"/>
    <w:rsid w:val="0062472E"/>
    <w:rsid w:val="00624C8A"/>
    <w:rsid w:val="00624DCB"/>
    <w:rsid w:val="00625317"/>
    <w:rsid w:val="00625A48"/>
    <w:rsid w:val="00626165"/>
    <w:rsid w:val="00626F12"/>
    <w:rsid w:val="00626FA0"/>
    <w:rsid w:val="00627945"/>
    <w:rsid w:val="0063066A"/>
    <w:rsid w:val="00630DE1"/>
    <w:rsid w:val="006322CC"/>
    <w:rsid w:val="00634531"/>
    <w:rsid w:val="0063600A"/>
    <w:rsid w:val="00636097"/>
    <w:rsid w:val="00636549"/>
    <w:rsid w:val="006368F0"/>
    <w:rsid w:val="00636B01"/>
    <w:rsid w:val="00636EC7"/>
    <w:rsid w:val="006373B3"/>
    <w:rsid w:val="00637DF7"/>
    <w:rsid w:val="006403E7"/>
    <w:rsid w:val="006405E1"/>
    <w:rsid w:val="006407F6"/>
    <w:rsid w:val="006416EF"/>
    <w:rsid w:val="00641790"/>
    <w:rsid w:val="00641B0F"/>
    <w:rsid w:val="00642695"/>
    <w:rsid w:val="00642B8C"/>
    <w:rsid w:val="00642F5B"/>
    <w:rsid w:val="00643971"/>
    <w:rsid w:val="00643999"/>
    <w:rsid w:val="00644818"/>
    <w:rsid w:val="00644A79"/>
    <w:rsid w:val="00645082"/>
    <w:rsid w:val="00645C71"/>
    <w:rsid w:val="00645FEE"/>
    <w:rsid w:val="006468B5"/>
    <w:rsid w:val="00646C08"/>
    <w:rsid w:val="00646CDF"/>
    <w:rsid w:val="0064712A"/>
    <w:rsid w:val="006476EA"/>
    <w:rsid w:val="00647916"/>
    <w:rsid w:val="00647C10"/>
    <w:rsid w:val="0065067D"/>
    <w:rsid w:val="00650A5B"/>
    <w:rsid w:val="00651137"/>
    <w:rsid w:val="0065131D"/>
    <w:rsid w:val="00651B05"/>
    <w:rsid w:val="00651FDB"/>
    <w:rsid w:val="00652353"/>
    <w:rsid w:val="006526F3"/>
    <w:rsid w:val="006533BF"/>
    <w:rsid w:val="0065364D"/>
    <w:rsid w:val="006539BA"/>
    <w:rsid w:val="00653C64"/>
    <w:rsid w:val="00654D18"/>
    <w:rsid w:val="006561E3"/>
    <w:rsid w:val="006561FE"/>
    <w:rsid w:val="00656605"/>
    <w:rsid w:val="00656FC0"/>
    <w:rsid w:val="006578FF"/>
    <w:rsid w:val="00657A78"/>
    <w:rsid w:val="006601E7"/>
    <w:rsid w:val="00661BF7"/>
    <w:rsid w:val="00661C15"/>
    <w:rsid w:val="00661D62"/>
    <w:rsid w:val="0066233B"/>
    <w:rsid w:val="00663050"/>
    <w:rsid w:val="00663700"/>
    <w:rsid w:val="006642A2"/>
    <w:rsid w:val="0066439E"/>
    <w:rsid w:val="00664942"/>
    <w:rsid w:val="00664C04"/>
    <w:rsid w:val="00665E78"/>
    <w:rsid w:val="00666091"/>
    <w:rsid w:val="006671D6"/>
    <w:rsid w:val="00667405"/>
    <w:rsid w:val="00667A74"/>
    <w:rsid w:val="00670456"/>
    <w:rsid w:val="00670623"/>
    <w:rsid w:val="00671A29"/>
    <w:rsid w:val="00671DB4"/>
    <w:rsid w:val="00672402"/>
    <w:rsid w:val="00672742"/>
    <w:rsid w:val="0067379E"/>
    <w:rsid w:val="00673E64"/>
    <w:rsid w:val="00673E73"/>
    <w:rsid w:val="0067458E"/>
    <w:rsid w:val="00675AE4"/>
    <w:rsid w:val="00675F5D"/>
    <w:rsid w:val="0067640D"/>
    <w:rsid w:val="00676457"/>
    <w:rsid w:val="00676F70"/>
    <w:rsid w:val="00677F04"/>
    <w:rsid w:val="006800C1"/>
    <w:rsid w:val="00680456"/>
    <w:rsid w:val="006806F5"/>
    <w:rsid w:val="0068162B"/>
    <w:rsid w:val="00681943"/>
    <w:rsid w:val="00681C06"/>
    <w:rsid w:val="006822F9"/>
    <w:rsid w:val="0068262D"/>
    <w:rsid w:val="006827B8"/>
    <w:rsid w:val="00683003"/>
    <w:rsid w:val="00684E21"/>
    <w:rsid w:val="00685CB8"/>
    <w:rsid w:val="006866A7"/>
    <w:rsid w:val="00686C52"/>
    <w:rsid w:val="00687480"/>
    <w:rsid w:val="00687536"/>
    <w:rsid w:val="0069009C"/>
    <w:rsid w:val="0069049A"/>
    <w:rsid w:val="006915E3"/>
    <w:rsid w:val="00691979"/>
    <w:rsid w:val="00691DDA"/>
    <w:rsid w:val="00692C8E"/>
    <w:rsid w:val="00693373"/>
    <w:rsid w:val="00694024"/>
    <w:rsid w:val="006946F1"/>
    <w:rsid w:val="00694958"/>
    <w:rsid w:val="00694F5B"/>
    <w:rsid w:val="0069563A"/>
    <w:rsid w:val="00696320"/>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C52"/>
    <w:rsid w:val="006B56E8"/>
    <w:rsid w:val="006B6C01"/>
    <w:rsid w:val="006B7E3C"/>
    <w:rsid w:val="006B7FEC"/>
    <w:rsid w:val="006C051C"/>
    <w:rsid w:val="006C054D"/>
    <w:rsid w:val="006C0908"/>
    <w:rsid w:val="006C162A"/>
    <w:rsid w:val="006C1AB4"/>
    <w:rsid w:val="006C1C13"/>
    <w:rsid w:val="006C2189"/>
    <w:rsid w:val="006C21FF"/>
    <w:rsid w:val="006C27FB"/>
    <w:rsid w:val="006C2F9C"/>
    <w:rsid w:val="006C3035"/>
    <w:rsid w:val="006C3288"/>
    <w:rsid w:val="006C3A11"/>
    <w:rsid w:val="006C3A47"/>
    <w:rsid w:val="006C3BAD"/>
    <w:rsid w:val="006C42E0"/>
    <w:rsid w:val="006C474A"/>
    <w:rsid w:val="006C50DC"/>
    <w:rsid w:val="006C5A49"/>
    <w:rsid w:val="006C622B"/>
    <w:rsid w:val="006C6EC7"/>
    <w:rsid w:val="006C6F33"/>
    <w:rsid w:val="006C767C"/>
    <w:rsid w:val="006D00E3"/>
    <w:rsid w:val="006D13B9"/>
    <w:rsid w:val="006D143D"/>
    <w:rsid w:val="006D18A3"/>
    <w:rsid w:val="006D1B4C"/>
    <w:rsid w:val="006D1E9E"/>
    <w:rsid w:val="006D1FB1"/>
    <w:rsid w:val="006D33C9"/>
    <w:rsid w:val="006D367C"/>
    <w:rsid w:val="006D36E9"/>
    <w:rsid w:val="006D395A"/>
    <w:rsid w:val="006D4A3B"/>
    <w:rsid w:val="006D4E7D"/>
    <w:rsid w:val="006D589C"/>
    <w:rsid w:val="006D787D"/>
    <w:rsid w:val="006D7AB5"/>
    <w:rsid w:val="006E0B4E"/>
    <w:rsid w:val="006E0F54"/>
    <w:rsid w:val="006E1F3D"/>
    <w:rsid w:val="006E2C3D"/>
    <w:rsid w:val="006E33E8"/>
    <w:rsid w:val="006E34FD"/>
    <w:rsid w:val="006E4599"/>
    <w:rsid w:val="006E4726"/>
    <w:rsid w:val="006E550C"/>
    <w:rsid w:val="006E5E44"/>
    <w:rsid w:val="006E6765"/>
    <w:rsid w:val="006E77DB"/>
    <w:rsid w:val="006F35DB"/>
    <w:rsid w:val="006F4511"/>
    <w:rsid w:val="006F495B"/>
    <w:rsid w:val="006F56D1"/>
    <w:rsid w:val="006F592C"/>
    <w:rsid w:val="006F651C"/>
    <w:rsid w:val="006F6779"/>
    <w:rsid w:val="0070124B"/>
    <w:rsid w:val="007012C1"/>
    <w:rsid w:val="00701438"/>
    <w:rsid w:val="007015A3"/>
    <w:rsid w:val="00701C70"/>
    <w:rsid w:val="00701D99"/>
    <w:rsid w:val="007029D0"/>
    <w:rsid w:val="00702FCF"/>
    <w:rsid w:val="00703C18"/>
    <w:rsid w:val="007046F4"/>
    <w:rsid w:val="00704886"/>
    <w:rsid w:val="00705D6E"/>
    <w:rsid w:val="00705E77"/>
    <w:rsid w:val="0070686B"/>
    <w:rsid w:val="00706E04"/>
    <w:rsid w:val="007074C4"/>
    <w:rsid w:val="00710D16"/>
    <w:rsid w:val="0071174A"/>
    <w:rsid w:val="00711830"/>
    <w:rsid w:val="00711A5D"/>
    <w:rsid w:val="00711D9B"/>
    <w:rsid w:val="00712B90"/>
    <w:rsid w:val="00712C92"/>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17D5"/>
    <w:rsid w:val="007225C2"/>
    <w:rsid w:val="007227E9"/>
    <w:rsid w:val="00722B4C"/>
    <w:rsid w:val="0072311E"/>
    <w:rsid w:val="007231CA"/>
    <w:rsid w:val="0072328C"/>
    <w:rsid w:val="007235CE"/>
    <w:rsid w:val="00723A1A"/>
    <w:rsid w:val="00723F93"/>
    <w:rsid w:val="007244B9"/>
    <w:rsid w:val="007244DF"/>
    <w:rsid w:val="00724A99"/>
    <w:rsid w:val="00725340"/>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CD"/>
    <w:rsid w:val="007510F1"/>
    <w:rsid w:val="00751619"/>
    <w:rsid w:val="007517ED"/>
    <w:rsid w:val="00751E5C"/>
    <w:rsid w:val="0075240E"/>
    <w:rsid w:val="007526E0"/>
    <w:rsid w:val="00753DE7"/>
    <w:rsid w:val="00753FC7"/>
    <w:rsid w:val="00754262"/>
    <w:rsid w:val="00754E10"/>
    <w:rsid w:val="0075569D"/>
    <w:rsid w:val="0075612E"/>
    <w:rsid w:val="00756388"/>
    <w:rsid w:val="00756CF7"/>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13E"/>
    <w:rsid w:val="007664F6"/>
    <w:rsid w:val="00767621"/>
    <w:rsid w:val="00767692"/>
    <w:rsid w:val="00767785"/>
    <w:rsid w:val="00770530"/>
    <w:rsid w:val="007708BA"/>
    <w:rsid w:val="0077198E"/>
    <w:rsid w:val="00771EB7"/>
    <w:rsid w:val="00772B87"/>
    <w:rsid w:val="00773BF5"/>
    <w:rsid w:val="00773F21"/>
    <w:rsid w:val="007747E0"/>
    <w:rsid w:val="00775612"/>
    <w:rsid w:val="00775FD6"/>
    <w:rsid w:val="00776756"/>
    <w:rsid w:val="00777D33"/>
    <w:rsid w:val="00780C6F"/>
    <w:rsid w:val="00780D02"/>
    <w:rsid w:val="00780E1A"/>
    <w:rsid w:val="007814B0"/>
    <w:rsid w:val="00781C6C"/>
    <w:rsid w:val="0078213D"/>
    <w:rsid w:val="00782D15"/>
    <w:rsid w:val="00783A45"/>
    <w:rsid w:val="00783D9D"/>
    <w:rsid w:val="00784BB6"/>
    <w:rsid w:val="007852AE"/>
    <w:rsid w:val="0078559F"/>
    <w:rsid w:val="00785EBD"/>
    <w:rsid w:val="0078614B"/>
    <w:rsid w:val="0078762B"/>
    <w:rsid w:val="007876A9"/>
    <w:rsid w:val="007878CE"/>
    <w:rsid w:val="0079091C"/>
    <w:rsid w:val="00791B40"/>
    <w:rsid w:val="00791CCD"/>
    <w:rsid w:val="00791D8C"/>
    <w:rsid w:val="007927D2"/>
    <w:rsid w:val="00792AD5"/>
    <w:rsid w:val="00794194"/>
    <w:rsid w:val="00796294"/>
    <w:rsid w:val="007962C6"/>
    <w:rsid w:val="00797CBB"/>
    <w:rsid w:val="007A02EF"/>
    <w:rsid w:val="007A137E"/>
    <w:rsid w:val="007A1B92"/>
    <w:rsid w:val="007A2689"/>
    <w:rsid w:val="007A2819"/>
    <w:rsid w:val="007A286D"/>
    <w:rsid w:val="007A2E31"/>
    <w:rsid w:val="007A42F1"/>
    <w:rsid w:val="007A639C"/>
    <w:rsid w:val="007A63C1"/>
    <w:rsid w:val="007A6661"/>
    <w:rsid w:val="007A6751"/>
    <w:rsid w:val="007A72B0"/>
    <w:rsid w:val="007A7337"/>
    <w:rsid w:val="007A7C14"/>
    <w:rsid w:val="007B054B"/>
    <w:rsid w:val="007B0AD5"/>
    <w:rsid w:val="007B0B0D"/>
    <w:rsid w:val="007B0BBB"/>
    <w:rsid w:val="007B130B"/>
    <w:rsid w:val="007B1612"/>
    <w:rsid w:val="007B1621"/>
    <w:rsid w:val="007B3780"/>
    <w:rsid w:val="007B4279"/>
    <w:rsid w:val="007B45D4"/>
    <w:rsid w:val="007B49C2"/>
    <w:rsid w:val="007B4EC4"/>
    <w:rsid w:val="007B5DE0"/>
    <w:rsid w:val="007B7683"/>
    <w:rsid w:val="007B7862"/>
    <w:rsid w:val="007B7C38"/>
    <w:rsid w:val="007B7DAE"/>
    <w:rsid w:val="007B7DD1"/>
    <w:rsid w:val="007C04B2"/>
    <w:rsid w:val="007C0652"/>
    <w:rsid w:val="007C1430"/>
    <w:rsid w:val="007C14D1"/>
    <w:rsid w:val="007C196B"/>
    <w:rsid w:val="007C20DB"/>
    <w:rsid w:val="007C2111"/>
    <w:rsid w:val="007C2173"/>
    <w:rsid w:val="007C2EE3"/>
    <w:rsid w:val="007C2F70"/>
    <w:rsid w:val="007C3618"/>
    <w:rsid w:val="007C3A91"/>
    <w:rsid w:val="007C4822"/>
    <w:rsid w:val="007C5F07"/>
    <w:rsid w:val="007C6127"/>
    <w:rsid w:val="007C6D1B"/>
    <w:rsid w:val="007C6E0C"/>
    <w:rsid w:val="007C7492"/>
    <w:rsid w:val="007D01C7"/>
    <w:rsid w:val="007D09D0"/>
    <w:rsid w:val="007D0B6C"/>
    <w:rsid w:val="007D0F2E"/>
    <w:rsid w:val="007D124B"/>
    <w:rsid w:val="007D1373"/>
    <w:rsid w:val="007D2A46"/>
    <w:rsid w:val="007D3059"/>
    <w:rsid w:val="007D39E8"/>
    <w:rsid w:val="007D3E7D"/>
    <w:rsid w:val="007D42BC"/>
    <w:rsid w:val="007D49EC"/>
    <w:rsid w:val="007D4BD8"/>
    <w:rsid w:val="007D4DAE"/>
    <w:rsid w:val="007D50F2"/>
    <w:rsid w:val="007D5632"/>
    <w:rsid w:val="007D59DC"/>
    <w:rsid w:val="007D5D69"/>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513"/>
    <w:rsid w:val="007E4B49"/>
    <w:rsid w:val="007E5853"/>
    <w:rsid w:val="007E6F0B"/>
    <w:rsid w:val="007E70B2"/>
    <w:rsid w:val="007E7761"/>
    <w:rsid w:val="007E7D8B"/>
    <w:rsid w:val="007F01CE"/>
    <w:rsid w:val="007F0DE4"/>
    <w:rsid w:val="007F15CD"/>
    <w:rsid w:val="007F15CF"/>
    <w:rsid w:val="007F2601"/>
    <w:rsid w:val="007F2B29"/>
    <w:rsid w:val="007F2FF2"/>
    <w:rsid w:val="007F3182"/>
    <w:rsid w:val="007F437B"/>
    <w:rsid w:val="007F45EB"/>
    <w:rsid w:val="007F5286"/>
    <w:rsid w:val="007F61FC"/>
    <w:rsid w:val="007F62D2"/>
    <w:rsid w:val="007F67A1"/>
    <w:rsid w:val="007F6820"/>
    <w:rsid w:val="007F6840"/>
    <w:rsid w:val="007F7A24"/>
    <w:rsid w:val="007F7E43"/>
    <w:rsid w:val="00800136"/>
    <w:rsid w:val="0080059B"/>
    <w:rsid w:val="00800D2D"/>
    <w:rsid w:val="0080152A"/>
    <w:rsid w:val="00801752"/>
    <w:rsid w:val="008019D2"/>
    <w:rsid w:val="00801C48"/>
    <w:rsid w:val="00803235"/>
    <w:rsid w:val="008035E3"/>
    <w:rsid w:val="008036D3"/>
    <w:rsid w:val="00804115"/>
    <w:rsid w:val="00804940"/>
    <w:rsid w:val="00804C51"/>
    <w:rsid w:val="00804F79"/>
    <w:rsid w:val="008053DE"/>
    <w:rsid w:val="00806480"/>
    <w:rsid w:val="00806CDC"/>
    <w:rsid w:val="00810DDA"/>
    <w:rsid w:val="00811069"/>
    <w:rsid w:val="008117A1"/>
    <w:rsid w:val="00812248"/>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B41"/>
    <w:rsid w:val="00820DA7"/>
    <w:rsid w:val="00820F6E"/>
    <w:rsid w:val="00821752"/>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B0F"/>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458C"/>
    <w:rsid w:val="00835728"/>
    <w:rsid w:val="00835840"/>
    <w:rsid w:val="00836053"/>
    <w:rsid w:val="008368F8"/>
    <w:rsid w:val="00836AF2"/>
    <w:rsid w:val="008379C3"/>
    <w:rsid w:val="00837A20"/>
    <w:rsid w:val="00837A26"/>
    <w:rsid w:val="00837BFA"/>
    <w:rsid w:val="00837CA5"/>
    <w:rsid w:val="00837D94"/>
    <w:rsid w:val="00837F30"/>
    <w:rsid w:val="00840EDB"/>
    <w:rsid w:val="00841394"/>
    <w:rsid w:val="008420ED"/>
    <w:rsid w:val="008427A8"/>
    <w:rsid w:val="00843A9A"/>
    <w:rsid w:val="00843B0E"/>
    <w:rsid w:val="00843DD3"/>
    <w:rsid w:val="0084418B"/>
    <w:rsid w:val="00844946"/>
    <w:rsid w:val="00844C3B"/>
    <w:rsid w:val="00845C68"/>
    <w:rsid w:val="00845F0D"/>
    <w:rsid w:val="0084612B"/>
    <w:rsid w:val="0084673B"/>
    <w:rsid w:val="0084685B"/>
    <w:rsid w:val="008473D6"/>
    <w:rsid w:val="008474F2"/>
    <w:rsid w:val="008475BD"/>
    <w:rsid w:val="00847CA5"/>
    <w:rsid w:val="008501CE"/>
    <w:rsid w:val="008503A2"/>
    <w:rsid w:val="0085066A"/>
    <w:rsid w:val="00850CA6"/>
    <w:rsid w:val="00850CE8"/>
    <w:rsid w:val="00850D11"/>
    <w:rsid w:val="00850ED6"/>
    <w:rsid w:val="00851E9B"/>
    <w:rsid w:val="008529DF"/>
    <w:rsid w:val="00852ECF"/>
    <w:rsid w:val="008534CC"/>
    <w:rsid w:val="00853A2A"/>
    <w:rsid w:val="0085437D"/>
    <w:rsid w:val="0085463F"/>
    <w:rsid w:val="00854654"/>
    <w:rsid w:val="00855509"/>
    <w:rsid w:val="00855E3F"/>
    <w:rsid w:val="00855E6D"/>
    <w:rsid w:val="00856CC0"/>
    <w:rsid w:val="0085703A"/>
    <w:rsid w:val="00860B3D"/>
    <w:rsid w:val="00860E42"/>
    <w:rsid w:val="00861424"/>
    <w:rsid w:val="0086187F"/>
    <w:rsid w:val="00862E2A"/>
    <w:rsid w:val="00863218"/>
    <w:rsid w:val="00863CAD"/>
    <w:rsid w:val="00863FCA"/>
    <w:rsid w:val="00864066"/>
    <w:rsid w:val="00864254"/>
    <w:rsid w:val="00864270"/>
    <w:rsid w:val="008642B2"/>
    <w:rsid w:val="0086639A"/>
    <w:rsid w:val="00866AAC"/>
    <w:rsid w:val="00866DD9"/>
    <w:rsid w:val="00867679"/>
    <w:rsid w:val="0086767E"/>
    <w:rsid w:val="0086774C"/>
    <w:rsid w:val="00867C51"/>
    <w:rsid w:val="00867CBA"/>
    <w:rsid w:val="00867ECD"/>
    <w:rsid w:val="00867F86"/>
    <w:rsid w:val="008700BE"/>
    <w:rsid w:val="00872D68"/>
    <w:rsid w:val="00872F99"/>
    <w:rsid w:val="00874095"/>
    <w:rsid w:val="008753F2"/>
    <w:rsid w:val="0087554E"/>
    <w:rsid w:val="00876232"/>
    <w:rsid w:val="00876EDB"/>
    <w:rsid w:val="008805EB"/>
    <w:rsid w:val="00880ACB"/>
    <w:rsid w:val="00881634"/>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2959"/>
    <w:rsid w:val="00893164"/>
    <w:rsid w:val="008931E8"/>
    <w:rsid w:val="00893C16"/>
    <w:rsid w:val="00893DE2"/>
    <w:rsid w:val="00893F9E"/>
    <w:rsid w:val="00894E24"/>
    <w:rsid w:val="00895A6D"/>
    <w:rsid w:val="008967DB"/>
    <w:rsid w:val="00897752"/>
    <w:rsid w:val="00897B87"/>
    <w:rsid w:val="008A0569"/>
    <w:rsid w:val="008A26F1"/>
    <w:rsid w:val="008A33A2"/>
    <w:rsid w:val="008A366E"/>
    <w:rsid w:val="008A3A12"/>
    <w:rsid w:val="008A3A2D"/>
    <w:rsid w:val="008A4497"/>
    <w:rsid w:val="008A52FF"/>
    <w:rsid w:val="008A548F"/>
    <w:rsid w:val="008A575C"/>
    <w:rsid w:val="008A57DF"/>
    <w:rsid w:val="008A5E54"/>
    <w:rsid w:val="008A640A"/>
    <w:rsid w:val="008A6EBA"/>
    <w:rsid w:val="008B0429"/>
    <w:rsid w:val="008B0BEF"/>
    <w:rsid w:val="008B0CF2"/>
    <w:rsid w:val="008B15B2"/>
    <w:rsid w:val="008B20EE"/>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490"/>
    <w:rsid w:val="008C162F"/>
    <w:rsid w:val="008C203E"/>
    <w:rsid w:val="008C2932"/>
    <w:rsid w:val="008C2E76"/>
    <w:rsid w:val="008C346F"/>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905"/>
    <w:rsid w:val="008F1BE4"/>
    <w:rsid w:val="008F32E1"/>
    <w:rsid w:val="008F4357"/>
    <w:rsid w:val="008F4F4E"/>
    <w:rsid w:val="008F501C"/>
    <w:rsid w:val="008F5B29"/>
    <w:rsid w:val="008F606D"/>
    <w:rsid w:val="008F6550"/>
    <w:rsid w:val="008F6743"/>
    <w:rsid w:val="008F6B17"/>
    <w:rsid w:val="008F7185"/>
    <w:rsid w:val="008F7648"/>
    <w:rsid w:val="008F7925"/>
    <w:rsid w:val="008F7B6F"/>
    <w:rsid w:val="0090090D"/>
    <w:rsid w:val="00900F64"/>
    <w:rsid w:val="009011B7"/>
    <w:rsid w:val="009011BD"/>
    <w:rsid w:val="0090121A"/>
    <w:rsid w:val="009013B8"/>
    <w:rsid w:val="00901560"/>
    <w:rsid w:val="009016EB"/>
    <w:rsid w:val="00901B30"/>
    <w:rsid w:val="00902556"/>
    <w:rsid w:val="009037C4"/>
    <w:rsid w:val="00903DFD"/>
    <w:rsid w:val="00903E0F"/>
    <w:rsid w:val="0090431F"/>
    <w:rsid w:val="00904660"/>
    <w:rsid w:val="00905422"/>
    <w:rsid w:val="00905BF9"/>
    <w:rsid w:val="00906B77"/>
    <w:rsid w:val="00906F68"/>
    <w:rsid w:val="00906F96"/>
    <w:rsid w:val="0090768D"/>
    <w:rsid w:val="009109FA"/>
    <w:rsid w:val="00910EBE"/>
    <w:rsid w:val="0091189A"/>
    <w:rsid w:val="009121D9"/>
    <w:rsid w:val="009129CE"/>
    <w:rsid w:val="00913476"/>
    <w:rsid w:val="009138FF"/>
    <w:rsid w:val="00913B60"/>
    <w:rsid w:val="009140A7"/>
    <w:rsid w:val="00914196"/>
    <w:rsid w:val="00914538"/>
    <w:rsid w:val="0091504C"/>
    <w:rsid w:val="00915939"/>
    <w:rsid w:val="00915BF7"/>
    <w:rsid w:val="00916421"/>
    <w:rsid w:val="00917541"/>
    <w:rsid w:val="00917C47"/>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1"/>
    <w:rsid w:val="00926D06"/>
    <w:rsid w:val="00927EAC"/>
    <w:rsid w:val="00930A27"/>
    <w:rsid w:val="009312F8"/>
    <w:rsid w:val="00931F5D"/>
    <w:rsid w:val="00932232"/>
    <w:rsid w:val="00932E19"/>
    <w:rsid w:val="00933972"/>
    <w:rsid w:val="009341B5"/>
    <w:rsid w:val="00935B5A"/>
    <w:rsid w:val="00935C50"/>
    <w:rsid w:val="0093705F"/>
    <w:rsid w:val="0093733C"/>
    <w:rsid w:val="0094040E"/>
    <w:rsid w:val="0094082A"/>
    <w:rsid w:val="00940B6F"/>
    <w:rsid w:val="00943878"/>
    <w:rsid w:val="00943E8B"/>
    <w:rsid w:val="009442C8"/>
    <w:rsid w:val="00945284"/>
    <w:rsid w:val="00945C8E"/>
    <w:rsid w:val="00946616"/>
    <w:rsid w:val="0094668D"/>
    <w:rsid w:val="00946A68"/>
    <w:rsid w:val="00946C73"/>
    <w:rsid w:val="00946E3D"/>
    <w:rsid w:val="00947219"/>
    <w:rsid w:val="00947BD8"/>
    <w:rsid w:val="00947D24"/>
    <w:rsid w:val="009500FD"/>
    <w:rsid w:val="00950222"/>
    <w:rsid w:val="0095109C"/>
    <w:rsid w:val="009514DA"/>
    <w:rsid w:val="00951DDF"/>
    <w:rsid w:val="00953594"/>
    <w:rsid w:val="00953B09"/>
    <w:rsid w:val="00954DAC"/>
    <w:rsid w:val="00954E26"/>
    <w:rsid w:val="00955A3E"/>
    <w:rsid w:val="00955C14"/>
    <w:rsid w:val="00956014"/>
    <w:rsid w:val="00960293"/>
    <w:rsid w:val="009606CB"/>
    <w:rsid w:val="00960EEB"/>
    <w:rsid w:val="00961490"/>
    <w:rsid w:val="0096239D"/>
    <w:rsid w:val="009624D7"/>
    <w:rsid w:val="00962804"/>
    <w:rsid w:val="00963743"/>
    <w:rsid w:val="00963777"/>
    <w:rsid w:val="00963AD6"/>
    <w:rsid w:val="00963C6B"/>
    <w:rsid w:val="00963DF3"/>
    <w:rsid w:val="009645A4"/>
    <w:rsid w:val="009654BC"/>
    <w:rsid w:val="00965DBB"/>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F24"/>
    <w:rsid w:val="009740D4"/>
    <w:rsid w:val="00974B94"/>
    <w:rsid w:val="00974E25"/>
    <w:rsid w:val="00975208"/>
    <w:rsid w:val="009752BB"/>
    <w:rsid w:val="0097569A"/>
    <w:rsid w:val="00976A1E"/>
    <w:rsid w:val="009772DD"/>
    <w:rsid w:val="00977708"/>
    <w:rsid w:val="00980632"/>
    <w:rsid w:val="00980A00"/>
    <w:rsid w:val="00980DF9"/>
    <w:rsid w:val="009812E4"/>
    <w:rsid w:val="00981BC6"/>
    <w:rsid w:val="00981E9D"/>
    <w:rsid w:val="00982062"/>
    <w:rsid w:val="0098260B"/>
    <w:rsid w:val="0098261E"/>
    <w:rsid w:val="00983B35"/>
    <w:rsid w:val="00983E66"/>
    <w:rsid w:val="009843AF"/>
    <w:rsid w:val="00985120"/>
    <w:rsid w:val="00985B97"/>
    <w:rsid w:val="00985BEE"/>
    <w:rsid w:val="0098785C"/>
    <w:rsid w:val="00987BFF"/>
    <w:rsid w:val="00990194"/>
    <w:rsid w:val="009903CB"/>
    <w:rsid w:val="00990A3D"/>
    <w:rsid w:val="00991475"/>
    <w:rsid w:val="00991948"/>
    <w:rsid w:val="00992168"/>
    <w:rsid w:val="00992C2D"/>
    <w:rsid w:val="009933E7"/>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A82"/>
    <w:rsid w:val="009A2DD8"/>
    <w:rsid w:val="009A30B3"/>
    <w:rsid w:val="009A374C"/>
    <w:rsid w:val="009A38E6"/>
    <w:rsid w:val="009A4130"/>
    <w:rsid w:val="009A41C6"/>
    <w:rsid w:val="009A441B"/>
    <w:rsid w:val="009A560D"/>
    <w:rsid w:val="009A5A66"/>
    <w:rsid w:val="009A63F9"/>
    <w:rsid w:val="009A6C6B"/>
    <w:rsid w:val="009A6C89"/>
    <w:rsid w:val="009A7220"/>
    <w:rsid w:val="009A7574"/>
    <w:rsid w:val="009A75C7"/>
    <w:rsid w:val="009A76CD"/>
    <w:rsid w:val="009B040A"/>
    <w:rsid w:val="009B1285"/>
    <w:rsid w:val="009B1FC2"/>
    <w:rsid w:val="009B253C"/>
    <w:rsid w:val="009B4666"/>
    <w:rsid w:val="009B4F18"/>
    <w:rsid w:val="009B4F20"/>
    <w:rsid w:val="009B4F41"/>
    <w:rsid w:val="009B5176"/>
    <w:rsid w:val="009B5363"/>
    <w:rsid w:val="009B55CB"/>
    <w:rsid w:val="009B585D"/>
    <w:rsid w:val="009B5CAC"/>
    <w:rsid w:val="009B5F11"/>
    <w:rsid w:val="009B6688"/>
    <w:rsid w:val="009B699A"/>
    <w:rsid w:val="009B7922"/>
    <w:rsid w:val="009C01E9"/>
    <w:rsid w:val="009C0305"/>
    <w:rsid w:val="009C0322"/>
    <w:rsid w:val="009C0354"/>
    <w:rsid w:val="009C0EBC"/>
    <w:rsid w:val="009C1A2A"/>
    <w:rsid w:val="009C1B96"/>
    <w:rsid w:val="009C2597"/>
    <w:rsid w:val="009C2643"/>
    <w:rsid w:val="009C26F3"/>
    <w:rsid w:val="009C2AFB"/>
    <w:rsid w:val="009C3470"/>
    <w:rsid w:val="009C34A4"/>
    <w:rsid w:val="009C442B"/>
    <w:rsid w:val="009C4497"/>
    <w:rsid w:val="009C4C8E"/>
    <w:rsid w:val="009C5452"/>
    <w:rsid w:val="009C552B"/>
    <w:rsid w:val="009C5B77"/>
    <w:rsid w:val="009C5FCA"/>
    <w:rsid w:val="009C6196"/>
    <w:rsid w:val="009C6850"/>
    <w:rsid w:val="009C6E94"/>
    <w:rsid w:val="009C6F83"/>
    <w:rsid w:val="009D11C1"/>
    <w:rsid w:val="009D139E"/>
    <w:rsid w:val="009D16E2"/>
    <w:rsid w:val="009D2D7C"/>
    <w:rsid w:val="009D351A"/>
    <w:rsid w:val="009D38B6"/>
    <w:rsid w:val="009D38BF"/>
    <w:rsid w:val="009D3AD0"/>
    <w:rsid w:val="009D3BF3"/>
    <w:rsid w:val="009D41F6"/>
    <w:rsid w:val="009D497C"/>
    <w:rsid w:val="009D4FD4"/>
    <w:rsid w:val="009D5970"/>
    <w:rsid w:val="009D6C4A"/>
    <w:rsid w:val="009D7646"/>
    <w:rsid w:val="009D79D0"/>
    <w:rsid w:val="009D7A19"/>
    <w:rsid w:val="009E0E48"/>
    <w:rsid w:val="009E10C9"/>
    <w:rsid w:val="009E14DF"/>
    <w:rsid w:val="009E16B8"/>
    <w:rsid w:val="009E16FB"/>
    <w:rsid w:val="009E1E5F"/>
    <w:rsid w:val="009E2387"/>
    <w:rsid w:val="009E2AEE"/>
    <w:rsid w:val="009E2D42"/>
    <w:rsid w:val="009E2F3D"/>
    <w:rsid w:val="009E34BA"/>
    <w:rsid w:val="009E3836"/>
    <w:rsid w:val="009E46DE"/>
    <w:rsid w:val="009E5027"/>
    <w:rsid w:val="009E5089"/>
    <w:rsid w:val="009E52C6"/>
    <w:rsid w:val="009E574D"/>
    <w:rsid w:val="009E58E6"/>
    <w:rsid w:val="009E5BA9"/>
    <w:rsid w:val="009E6103"/>
    <w:rsid w:val="009E7014"/>
    <w:rsid w:val="009E7318"/>
    <w:rsid w:val="009E786B"/>
    <w:rsid w:val="009E7C52"/>
    <w:rsid w:val="009E7DB0"/>
    <w:rsid w:val="009E7E11"/>
    <w:rsid w:val="009E7FAB"/>
    <w:rsid w:val="009F04C7"/>
    <w:rsid w:val="009F09A9"/>
    <w:rsid w:val="009F0DB1"/>
    <w:rsid w:val="009F2C36"/>
    <w:rsid w:val="009F2C9C"/>
    <w:rsid w:val="009F3221"/>
    <w:rsid w:val="009F3C1B"/>
    <w:rsid w:val="009F450B"/>
    <w:rsid w:val="009F4DC2"/>
    <w:rsid w:val="009F533C"/>
    <w:rsid w:val="009F5CCC"/>
    <w:rsid w:val="009F5FE6"/>
    <w:rsid w:val="009F74B4"/>
    <w:rsid w:val="009F7633"/>
    <w:rsid w:val="00A00BFE"/>
    <w:rsid w:val="00A00C26"/>
    <w:rsid w:val="00A00E38"/>
    <w:rsid w:val="00A010DA"/>
    <w:rsid w:val="00A0185C"/>
    <w:rsid w:val="00A01D8C"/>
    <w:rsid w:val="00A0229D"/>
    <w:rsid w:val="00A02578"/>
    <w:rsid w:val="00A032D3"/>
    <w:rsid w:val="00A035AA"/>
    <w:rsid w:val="00A03D44"/>
    <w:rsid w:val="00A03DF7"/>
    <w:rsid w:val="00A040E3"/>
    <w:rsid w:val="00A047C6"/>
    <w:rsid w:val="00A04F3A"/>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3B71"/>
    <w:rsid w:val="00A13BFC"/>
    <w:rsid w:val="00A14782"/>
    <w:rsid w:val="00A14A1E"/>
    <w:rsid w:val="00A14DC5"/>
    <w:rsid w:val="00A14EEA"/>
    <w:rsid w:val="00A15964"/>
    <w:rsid w:val="00A15B5B"/>
    <w:rsid w:val="00A16788"/>
    <w:rsid w:val="00A1687D"/>
    <w:rsid w:val="00A16883"/>
    <w:rsid w:val="00A20303"/>
    <w:rsid w:val="00A20308"/>
    <w:rsid w:val="00A230BC"/>
    <w:rsid w:val="00A26C62"/>
    <w:rsid w:val="00A26F7E"/>
    <w:rsid w:val="00A26FA7"/>
    <w:rsid w:val="00A30F10"/>
    <w:rsid w:val="00A31761"/>
    <w:rsid w:val="00A319DE"/>
    <w:rsid w:val="00A31A27"/>
    <w:rsid w:val="00A3397B"/>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CD2"/>
    <w:rsid w:val="00A42E34"/>
    <w:rsid w:val="00A4317A"/>
    <w:rsid w:val="00A432D1"/>
    <w:rsid w:val="00A4381B"/>
    <w:rsid w:val="00A43FBC"/>
    <w:rsid w:val="00A4402C"/>
    <w:rsid w:val="00A443C4"/>
    <w:rsid w:val="00A4499C"/>
    <w:rsid w:val="00A45AE7"/>
    <w:rsid w:val="00A45D4B"/>
    <w:rsid w:val="00A46137"/>
    <w:rsid w:val="00A462B0"/>
    <w:rsid w:val="00A4647B"/>
    <w:rsid w:val="00A46F08"/>
    <w:rsid w:val="00A474D5"/>
    <w:rsid w:val="00A479B7"/>
    <w:rsid w:val="00A50FC7"/>
    <w:rsid w:val="00A51D83"/>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8F3"/>
    <w:rsid w:val="00A621E0"/>
    <w:rsid w:val="00A6399D"/>
    <w:rsid w:val="00A63DCD"/>
    <w:rsid w:val="00A63F1B"/>
    <w:rsid w:val="00A64650"/>
    <w:rsid w:val="00A6502A"/>
    <w:rsid w:val="00A651D6"/>
    <w:rsid w:val="00A65325"/>
    <w:rsid w:val="00A655F8"/>
    <w:rsid w:val="00A6583C"/>
    <w:rsid w:val="00A6586E"/>
    <w:rsid w:val="00A65A74"/>
    <w:rsid w:val="00A65B43"/>
    <w:rsid w:val="00A65F36"/>
    <w:rsid w:val="00A65F8B"/>
    <w:rsid w:val="00A66163"/>
    <w:rsid w:val="00A66590"/>
    <w:rsid w:val="00A665D4"/>
    <w:rsid w:val="00A66826"/>
    <w:rsid w:val="00A70757"/>
    <w:rsid w:val="00A70A46"/>
    <w:rsid w:val="00A70BBF"/>
    <w:rsid w:val="00A7140C"/>
    <w:rsid w:val="00A71E25"/>
    <w:rsid w:val="00A73D9C"/>
    <w:rsid w:val="00A74F1D"/>
    <w:rsid w:val="00A75053"/>
    <w:rsid w:val="00A768F1"/>
    <w:rsid w:val="00A774A7"/>
    <w:rsid w:val="00A777D6"/>
    <w:rsid w:val="00A800AF"/>
    <w:rsid w:val="00A8069F"/>
    <w:rsid w:val="00A80C8A"/>
    <w:rsid w:val="00A81422"/>
    <w:rsid w:val="00A81A14"/>
    <w:rsid w:val="00A81C4F"/>
    <w:rsid w:val="00A81F75"/>
    <w:rsid w:val="00A82340"/>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367"/>
    <w:rsid w:val="00A90437"/>
    <w:rsid w:val="00A908DB"/>
    <w:rsid w:val="00A919FA"/>
    <w:rsid w:val="00A91B68"/>
    <w:rsid w:val="00A920AE"/>
    <w:rsid w:val="00A927F6"/>
    <w:rsid w:val="00A9323F"/>
    <w:rsid w:val="00A932DF"/>
    <w:rsid w:val="00A936E0"/>
    <w:rsid w:val="00A94458"/>
    <w:rsid w:val="00A94B61"/>
    <w:rsid w:val="00A95252"/>
    <w:rsid w:val="00A97685"/>
    <w:rsid w:val="00AA137B"/>
    <w:rsid w:val="00AA1D67"/>
    <w:rsid w:val="00AA2655"/>
    <w:rsid w:val="00AA27D9"/>
    <w:rsid w:val="00AA34AE"/>
    <w:rsid w:val="00AA373B"/>
    <w:rsid w:val="00AA3AE1"/>
    <w:rsid w:val="00AA3BB6"/>
    <w:rsid w:val="00AA3E57"/>
    <w:rsid w:val="00AA46B6"/>
    <w:rsid w:val="00AA46D3"/>
    <w:rsid w:val="00AA4DDD"/>
    <w:rsid w:val="00AA4E64"/>
    <w:rsid w:val="00AA4E91"/>
    <w:rsid w:val="00AA5090"/>
    <w:rsid w:val="00AA5AA6"/>
    <w:rsid w:val="00AA6A47"/>
    <w:rsid w:val="00AA6E3E"/>
    <w:rsid w:val="00AA7124"/>
    <w:rsid w:val="00AA71FE"/>
    <w:rsid w:val="00AA71FF"/>
    <w:rsid w:val="00AB0E4B"/>
    <w:rsid w:val="00AB10DB"/>
    <w:rsid w:val="00AB20E5"/>
    <w:rsid w:val="00AB33C1"/>
    <w:rsid w:val="00AB41F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3B4"/>
    <w:rsid w:val="00AC1DB1"/>
    <w:rsid w:val="00AC2070"/>
    <w:rsid w:val="00AC2334"/>
    <w:rsid w:val="00AC2703"/>
    <w:rsid w:val="00AC406A"/>
    <w:rsid w:val="00AC477B"/>
    <w:rsid w:val="00AC48C0"/>
    <w:rsid w:val="00AC4D67"/>
    <w:rsid w:val="00AC5324"/>
    <w:rsid w:val="00AC579F"/>
    <w:rsid w:val="00AC6001"/>
    <w:rsid w:val="00AC65C4"/>
    <w:rsid w:val="00AC69F7"/>
    <w:rsid w:val="00AC6B53"/>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5DCB"/>
    <w:rsid w:val="00AD7051"/>
    <w:rsid w:val="00AD7831"/>
    <w:rsid w:val="00AD79E0"/>
    <w:rsid w:val="00AD7B8F"/>
    <w:rsid w:val="00AD7FCC"/>
    <w:rsid w:val="00AE2695"/>
    <w:rsid w:val="00AE4472"/>
    <w:rsid w:val="00AE4736"/>
    <w:rsid w:val="00AE4FC8"/>
    <w:rsid w:val="00AE5023"/>
    <w:rsid w:val="00AE511E"/>
    <w:rsid w:val="00AE54CF"/>
    <w:rsid w:val="00AE5A69"/>
    <w:rsid w:val="00AE6082"/>
    <w:rsid w:val="00AE61E3"/>
    <w:rsid w:val="00AE65B9"/>
    <w:rsid w:val="00AE7243"/>
    <w:rsid w:val="00AE7968"/>
    <w:rsid w:val="00AE7FD8"/>
    <w:rsid w:val="00AF008A"/>
    <w:rsid w:val="00AF17E3"/>
    <w:rsid w:val="00AF17FF"/>
    <w:rsid w:val="00AF22D5"/>
    <w:rsid w:val="00AF26AA"/>
    <w:rsid w:val="00AF3030"/>
    <w:rsid w:val="00AF37E9"/>
    <w:rsid w:val="00AF3903"/>
    <w:rsid w:val="00AF3A3E"/>
    <w:rsid w:val="00AF5B39"/>
    <w:rsid w:val="00AF7E60"/>
    <w:rsid w:val="00B01400"/>
    <w:rsid w:val="00B01EC7"/>
    <w:rsid w:val="00B021C4"/>
    <w:rsid w:val="00B02DCB"/>
    <w:rsid w:val="00B04418"/>
    <w:rsid w:val="00B0492C"/>
    <w:rsid w:val="00B04C3C"/>
    <w:rsid w:val="00B057A8"/>
    <w:rsid w:val="00B05AF3"/>
    <w:rsid w:val="00B05C81"/>
    <w:rsid w:val="00B060E7"/>
    <w:rsid w:val="00B06947"/>
    <w:rsid w:val="00B06CE1"/>
    <w:rsid w:val="00B10437"/>
    <w:rsid w:val="00B104ED"/>
    <w:rsid w:val="00B1211C"/>
    <w:rsid w:val="00B12714"/>
    <w:rsid w:val="00B12739"/>
    <w:rsid w:val="00B12EDA"/>
    <w:rsid w:val="00B13153"/>
    <w:rsid w:val="00B13B10"/>
    <w:rsid w:val="00B140F9"/>
    <w:rsid w:val="00B141D6"/>
    <w:rsid w:val="00B1476E"/>
    <w:rsid w:val="00B14E97"/>
    <w:rsid w:val="00B1521E"/>
    <w:rsid w:val="00B152E7"/>
    <w:rsid w:val="00B15D5A"/>
    <w:rsid w:val="00B161BA"/>
    <w:rsid w:val="00B16DB0"/>
    <w:rsid w:val="00B16E63"/>
    <w:rsid w:val="00B2059F"/>
    <w:rsid w:val="00B20A4D"/>
    <w:rsid w:val="00B20F1E"/>
    <w:rsid w:val="00B2234A"/>
    <w:rsid w:val="00B225CA"/>
    <w:rsid w:val="00B23170"/>
    <w:rsid w:val="00B23266"/>
    <w:rsid w:val="00B2332F"/>
    <w:rsid w:val="00B23619"/>
    <w:rsid w:val="00B238F9"/>
    <w:rsid w:val="00B25CE6"/>
    <w:rsid w:val="00B266A9"/>
    <w:rsid w:val="00B26B26"/>
    <w:rsid w:val="00B27976"/>
    <w:rsid w:val="00B300C8"/>
    <w:rsid w:val="00B30644"/>
    <w:rsid w:val="00B3065B"/>
    <w:rsid w:val="00B3076C"/>
    <w:rsid w:val="00B30D90"/>
    <w:rsid w:val="00B312FA"/>
    <w:rsid w:val="00B31F88"/>
    <w:rsid w:val="00B32286"/>
    <w:rsid w:val="00B32294"/>
    <w:rsid w:val="00B32564"/>
    <w:rsid w:val="00B32641"/>
    <w:rsid w:val="00B333BE"/>
    <w:rsid w:val="00B33497"/>
    <w:rsid w:val="00B33762"/>
    <w:rsid w:val="00B33A9D"/>
    <w:rsid w:val="00B342E9"/>
    <w:rsid w:val="00B34327"/>
    <w:rsid w:val="00B34D03"/>
    <w:rsid w:val="00B358B9"/>
    <w:rsid w:val="00B36244"/>
    <w:rsid w:val="00B3652A"/>
    <w:rsid w:val="00B3707C"/>
    <w:rsid w:val="00B40570"/>
    <w:rsid w:val="00B40A78"/>
    <w:rsid w:val="00B40B9F"/>
    <w:rsid w:val="00B4152A"/>
    <w:rsid w:val="00B42185"/>
    <w:rsid w:val="00B43195"/>
    <w:rsid w:val="00B437D9"/>
    <w:rsid w:val="00B43922"/>
    <w:rsid w:val="00B43DCB"/>
    <w:rsid w:val="00B44E2F"/>
    <w:rsid w:val="00B450F3"/>
    <w:rsid w:val="00B4576A"/>
    <w:rsid w:val="00B46316"/>
    <w:rsid w:val="00B4660C"/>
    <w:rsid w:val="00B46D7C"/>
    <w:rsid w:val="00B4716B"/>
    <w:rsid w:val="00B47A17"/>
    <w:rsid w:val="00B47D0E"/>
    <w:rsid w:val="00B504E1"/>
    <w:rsid w:val="00B507F9"/>
    <w:rsid w:val="00B5094E"/>
    <w:rsid w:val="00B50DAD"/>
    <w:rsid w:val="00B50E10"/>
    <w:rsid w:val="00B51752"/>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0E53"/>
    <w:rsid w:val="00B611F9"/>
    <w:rsid w:val="00B62647"/>
    <w:rsid w:val="00B6322D"/>
    <w:rsid w:val="00B647D6"/>
    <w:rsid w:val="00B64C50"/>
    <w:rsid w:val="00B64E74"/>
    <w:rsid w:val="00B66082"/>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581"/>
    <w:rsid w:val="00B777AC"/>
    <w:rsid w:val="00B779C0"/>
    <w:rsid w:val="00B77F9D"/>
    <w:rsid w:val="00B800F8"/>
    <w:rsid w:val="00B80F4C"/>
    <w:rsid w:val="00B818A5"/>
    <w:rsid w:val="00B82696"/>
    <w:rsid w:val="00B82C39"/>
    <w:rsid w:val="00B82C6A"/>
    <w:rsid w:val="00B82DCC"/>
    <w:rsid w:val="00B831A4"/>
    <w:rsid w:val="00B839B7"/>
    <w:rsid w:val="00B83FF1"/>
    <w:rsid w:val="00B8429C"/>
    <w:rsid w:val="00B8435C"/>
    <w:rsid w:val="00B84983"/>
    <w:rsid w:val="00B85497"/>
    <w:rsid w:val="00B85EDE"/>
    <w:rsid w:val="00B86156"/>
    <w:rsid w:val="00B8737A"/>
    <w:rsid w:val="00B90B27"/>
    <w:rsid w:val="00B9163B"/>
    <w:rsid w:val="00B92889"/>
    <w:rsid w:val="00B92A7F"/>
    <w:rsid w:val="00B93281"/>
    <w:rsid w:val="00B93D73"/>
    <w:rsid w:val="00B94188"/>
    <w:rsid w:val="00B960FC"/>
    <w:rsid w:val="00B96EC6"/>
    <w:rsid w:val="00B97056"/>
    <w:rsid w:val="00B970E7"/>
    <w:rsid w:val="00B97850"/>
    <w:rsid w:val="00BA09AA"/>
    <w:rsid w:val="00BA15AF"/>
    <w:rsid w:val="00BA1714"/>
    <w:rsid w:val="00BA2360"/>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89E"/>
    <w:rsid w:val="00BB2B1B"/>
    <w:rsid w:val="00BB2B97"/>
    <w:rsid w:val="00BB3B87"/>
    <w:rsid w:val="00BB3E1F"/>
    <w:rsid w:val="00BB3FF4"/>
    <w:rsid w:val="00BB42A6"/>
    <w:rsid w:val="00BB491A"/>
    <w:rsid w:val="00BB4D78"/>
    <w:rsid w:val="00BB58F6"/>
    <w:rsid w:val="00BB59A1"/>
    <w:rsid w:val="00BB6817"/>
    <w:rsid w:val="00BB7F24"/>
    <w:rsid w:val="00BB7FA9"/>
    <w:rsid w:val="00BC057E"/>
    <w:rsid w:val="00BC0601"/>
    <w:rsid w:val="00BC0EC7"/>
    <w:rsid w:val="00BC1896"/>
    <w:rsid w:val="00BC1B03"/>
    <w:rsid w:val="00BC1C87"/>
    <w:rsid w:val="00BC1CE3"/>
    <w:rsid w:val="00BC2168"/>
    <w:rsid w:val="00BC2223"/>
    <w:rsid w:val="00BC2862"/>
    <w:rsid w:val="00BC2979"/>
    <w:rsid w:val="00BC3DFA"/>
    <w:rsid w:val="00BC787A"/>
    <w:rsid w:val="00BD071F"/>
    <w:rsid w:val="00BD0AAE"/>
    <w:rsid w:val="00BD0B39"/>
    <w:rsid w:val="00BD0C3C"/>
    <w:rsid w:val="00BD0C78"/>
    <w:rsid w:val="00BD1ADD"/>
    <w:rsid w:val="00BD2405"/>
    <w:rsid w:val="00BD2454"/>
    <w:rsid w:val="00BD24B1"/>
    <w:rsid w:val="00BD2B2E"/>
    <w:rsid w:val="00BD30BD"/>
    <w:rsid w:val="00BD3B94"/>
    <w:rsid w:val="00BD4211"/>
    <w:rsid w:val="00BD47E1"/>
    <w:rsid w:val="00BD51EE"/>
    <w:rsid w:val="00BD5946"/>
    <w:rsid w:val="00BD677C"/>
    <w:rsid w:val="00BD6D72"/>
    <w:rsid w:val="00BD6DD7"/>
    <w:rsid w:val="00BD6DFA"/>
    <w:rsid w:val="00BD736B"/>
    <w:rsid w:val="00BD751A"/>
    <w:rsid w:val="00BE067F"/>
    <w:rsid w:val="00BE0C93"/>
    <w:rsid w:val="00BE0EB2"/>
    <w:rsid w:val="00BE1232"/>
    <w:rsid w:val="00BE234F"/>
    <w:rsid w:val="00BE2375"/>
    <w:rsid w:val="00BE2CEF"/>
    <w:rsid w:val="00BE2E86"/>
    <w:rsid w:val="00BE31CF"/>
    <w:rsid w:val="00BE3695"/>
    <w:rsid w:val="00BE3A5A"/>
    <w:rsid w:val="00BE4847"/>
    <w:rsid w:val="00BE4A64"/>
    <w:rsid w:val="00BE53DB"/>
    <w:rsid w:val="00BE6288"/>
    <w:rsid w:val="00BE6B90"/>
    <w:rsid w:val="00BE715C"/>
    <w:rsid w:val="00BE73D9"/>
    <w:rsid w:val="00BE7685"/>
    <w:rsid w:val="00BE7C5D"/>
    <w:rsid w:val="00BE7D77"/>
    <w:rsid w:val="00BF0183"/>
    <w:rsid w:val="00BF071C"/>
    <w:rsid w:val="00BF0A10"/>
    <w:rsid w:val="00BF1C2B"/>
    <w:rsid w:val="00BF2259"/>
    <w:rsid w:val="00BF28A3"/>
    <w:rsid w:val="00BF2F57"/>
    <w:rsid w:val="00BF35D9"/>
    <w:rsid w:val="00BF388E"/>
    <w:rsid w:val="00BF3EAF"/>
    <w:rsid w:val="00BF43DD"/>
    <w:rsid w:val="00BF61E0"/>
    <w:rsid w:val="00BF6764"/>
    <w:rsid w:val="00BF6D9B"/>
    <w:rsid w:val="00BF7A3A"/>
    <w:rsid w:val="00BF7DF7"/>
    <w:rsid w:val="00BF7FFC"/>
    <w:rsid w:val="00C001EC"/>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0A4"/>
    <w:rsid w:val="00C15EDE"/>
    <w:rsid w:val="00C167EB"/>
    <w:rsid w:val="00C16B36"/>
    <w:rsid w:val="00C17102"/>
    <w:rsid w:val="00C17851"/>
    <w:rsid w:val="00C17CE3"/>
    <w:rsid w:val="00C21D6B"/>
    <w:rsid w:val="00C23317"/>
    <w:rsid w:val="00C23A73"/>
    <w:rsid w:val="00C24137"/>
    <w:rsid w:val="00C24FE8"/>
    <w:rsid w:val="00C25531"/>
    <w:rsid w:val="00C25561"/>
    <w:rsid w:val="00C25DD1"/>
    <w:rsid w:val="00C260DD"/>
    <w:rsid w:val="00C261E2"/>
    <w:rsid w:val="00C26991"/>
    <w:rsid w:val="00C272D5"/>
    <w:rsid w:val="00C274C5"/>
    <w:rsid w:val="00C27655"/>
    <w:rsid w:val="00C27E46"/>
    <w:rsid w:val="00C27EAF"/>
    <w:rsid w:val="00C308CB"/>
    <w:rsid w:val="00C309D5"/>
    <w:rsid w:val="00C3143B"/>
    <w:rsid w:val="00C31921"/>
    <w:rsid w:val="00C31CD5"/>
    <w:rsid w:val="00C32034"/>
    <w:rsid w:val="00C326EE"/>
    <w:rsid w:val="00C3284B"/>
    <w:rsid w:val="00C32942"/>
    <w:rsid w:val="00C34480"/>
    <w:rsid w:val="00C34FA1"/>
    <w:rsid w:val="00C35379"/>
    <w:rsid w:val="00C355AD"/>
    <w:rsid w:val="00C367C0"/>
    <w:rsid w:val="00C36A1C"/>
    <w:rsid w:val="00C36CCE"/>
    <w:rsid w:val="00C374D9"/>
    <w:rsid w:val="00C37789"/>
    <w:rsid w:val="00C37C38"/>
    <w:rsid w:val="00C403BA"/>
    <w:rsid w:val="00C40829"/>
    <w:rsid w:val="00C41009"/>
    <w:rsid w:val="00C41B8B"/>
    <w:rsid w:val="00C420D8"/>
    <w:rsid w:val="00C43F50"/>
    <w:rsid w:val="00C442A9"/>
    <w:rsid w:val="00C4492F"/>
    <w:rsid w:val="00C46178"/>
    <w:rsid w:val="00C4639E"/>
    <w:rsid w:val="00C4640C"/>
    <w:rsid w:val="00C46590"/>
    <w:rsid w:val="00C470E7"/>
    <w:rsid w:val="00C4735C"/>
    <w:rsid w:val="00C477D3"/>
    <w:rsid w:val="00C47B01"/>
    <w:rsid w:val="00C50240"/>
    <w:rsid w:val="00C50D4C"/>
    <w:rsid w:val="00C520DD"/>
    <w:rsid w:val="00C52580"/>
    <w:rsid w:val="00C534C7"/>
    <w:rsid w:val="00C53C25"/>
    <w:rsid w:val="00C5489E"/>
    <w:rsid w:val="00C550C6"/>
    <w:rsid w:val="00C55A9A"/>
    <w:rsid w:val="00C55BC8"/>
    <w:rsid w:val="00C55CF0"/>
    <w:rsid w:val="00C5616E"/>
    <w:rsid w:val="00C56314"/>
    <w:rsid w:val="00C575D9"/>
    <w:rsid w:val="00C57B4A"/>
    <w:rsid w:val="00C61D4B"/>
    <w:rsid w:val="00C63081"/>
    <w:rsid w:val="00C6340C"/>
    <w:rsid w:val="00C63D20"/>
    <w:rsid w:val="00C63E35"/>
    <w:rsid w:val="00C640EF"/>
    <w:rsid w:val="00C6464E"/>
    <w:rsid w:val="00C66595"/>
    <w:rsid w:val="00C66ECF"/>
    <w:rsid w:val="00C6707B"/>
    <w:rsid w:val="00C6719C"/>
    <w:rsid w:val="00C6782D"/>
    <w:rsid w:val="00C679E8"/>
    <w:rsid w:val="00C70193"/>
    <w:rsid w:val="00C704DE"/>
    <w:rsid w:val="00C706B8"/>
    <w:rsid w:val="00C7094D"/>
    <w:rsid w:val="00C70BFD"/>
    <w:rsid w:val="00C71316"/>
    <w:rsid w:val="00C71428"/>
    <w:rsid w:val="00C7240D"/>
    <w:rsid w:val="00C7309E"/>
    <w:rsid w:val="00C73216"/>
    <w:rsid w:val="00C733D6"/>
    <w:rsid w:val="00C7388D"/>
    <w:rsid w:val="00C7416C"/>
    <w:rsid w:val="00C745A7"/>
    <w:rsid w:val="00C74705"/>
    <w:rsid w:val="00C74B17"/>
    <w:rsid w:val="00C75AFD"/>
    <w:rsid w:val="00C7680D"/>
    <w:rsid w:val="00C76AFC"/>
    <w:rsid w:val="00C77949"/>
    <w:rsid w:val="00C77984"/>
    <w:rsid w:val="00C779D6"/>
    <w:rsid w:val="00C800BD"/>
    <w:rsid w:val="00C8044C"/>
    <w:rsid w:val="00C8061D"/>
    <w:rsid w:val="00C80AB0"/>
    <w:rsid w:val="00C821C2"/>
    <w:rsid w:val="00C821FD"/>
    <w:rsid w:val="00C82BDE"/>
    <w:rsid w:val="00C82CD9"/>
    <w:rsid w:val="00C82E33"/>
    <w:rsid w:val="00C83351"/>
    <w:rsid w:val="00C8342A"/>
    <w:rsid w:val="00C83766"/>
    <w:rsid w:val="00C845B1"/>
    <w:rsid w:val="00C84862"/>
    <w:rsid w:val="00C85264"/>
    <w:rsid w:val="00C85892"/>
    <w:rsid w:val="00C870C5"/>
    <w:rsid w:val="00C8739D"/>
    <w:rsid w:val="00C8763E"/>
    <w:rsid w:val="00C87A75"/>
    <w:rsid w:val="00C87BE0"/>
    <w:rsid w:val="00C87EF0"/>
    <w:rsid w:val="00C902A7"/>
    <w:rsid w:val="00C90CC0"/>
    <w:rsid w:val="00C91DF8"/>
    <w:rsid w:val="00C9273F"/>
    <w:rsid w:val="00C9318F"/>
    <w:rsid w:val="00C93356"/>
    <w:rsid w:val="00C9394A"/>
    <w:rsid w:val="00C93C5F"/>
    <w:rsid w:val="00C94890"/>
    <w:rsid w:val="00C9556E"/>
    <w:rsid w:val="00C955F3"/>
    <w:rsid w:val="00C95D52"/>
    <w:rsid w:val="00C96079"/>
    <w:rsid w:val="00C962A9"/>
    <w:rsid w:val="00C96466"/>
    <w:rsid w:val="00C96571"/>
    <w:rsid w:val="00C96FC5"/>
    <w:rsid w:val="00C97071"/>
    <w:rsid w:val="00C9715F"/>
    <w:rsid w:val="00C974C4"/>
    <w:rsid w:val="00C97B98"/>
    <w:rsid w:val="00CA14BF"/>
    <w:rsid w:val="00CA1AD0"/>
    <w:rsid w:val="00CA1BE4"/>
    <w:rsid w:val="00CA1EEE"/>
    <w:rsid w:val="00CA2CD6"/>
    <w:rsid w:val="00CA3514"/>
    <w:rsid w:val="00CA39E3"/>
    <w:rsid w:val="00CA3A0F"/>
    <w:rsid w:val="00CA3E51"/>
    <w:rsid w:val="00CA4453"/>
    <w:rsid w:val="00CA4F93"/>
    <w:rsid w:val="00CA5C3E"/>
    <w:rsid w:val="00CA60BE"/>
    <w:rsid w:val="00CA660B"/>
    <w:rsid w:val="00CA675D"/>
    <w:rsid w:val="00CA6C19"/>
    <w:rsid w:val="00CA6D5E"/>
    <w:rsid w:val="00CA6E56"/>
    <w:rsid w:val="00CA7310"/>
    <w:rsid w:val="00CA7C11"/>
    <w:rsid w:val="00CA7F4E"/>
    <w:rsid w:val="00CA7FA8"/>
    <w:rsid w:val="00CB07BB"/>
    <w:rsid w:val="00CB12F9"/>
    <w:rsid w:val="00CB1722"/>
    <w:rsid w:val="00CB1AB0"/>
    <w:rsid w:val="00CB1AD8"/>
    <w:rsid w:val="00CB33D9"/>
    <w:rsid w:val="00CB388C"/>
    <w:rsid w:val="00CB4A3B"/>
    <w:rsid w:val="00CB4A86"/>
    <w:rsid w:val="00CB4B3C"/>
    <w:rsid w:val="00CB5A12"/>
    <w:rsid w:val="00CB5ADF"/>
    <w:rsid w:val="00CB700F"/>
    <w:rsid w:val="00CB7AE0"/>
    <w:rsid w:val="00CC0258"/>
    <w:rsid w:val="00CC0E38"/>
    <w:rsid w:val="00CC20B8"/>
    <w:rsid w:val="00CC2338"/>
    <w:rsid w:val="00CC2641"/>
    <w:rsid w:val="00CC382F"/>
    <w:rsid w:val="00CC56C5"/>
    <w:rsid w:val="00CC6134"/>
    <w:rsid w:val="00CC62AD"/>
    <w:rsid w:val="00CC736E"/>
    <w:rsid w:val="00CD006F"/>
    <w:rsid w:val="00CD0F27"/>
    <w:rsid w:val="00CD18B9"/>
    <w:rsid w:val="00CD2181"/>
    <w:rsid w:val="00CD2F95"/>
    <w:rsid w:val="00CD333D"/>
    <w:rsid w:val="00CD359D"/>
    <w:rsid w:val="00CD3A8E"/>
    <w:rsid w:val="00CD3CFC"/>
    <w:rsid w:val="00CD4347"/>
    <w:rsid w:val="00CD49EC"/>
    <w:rsid w:val="00CD50F5"/>
    <w:rsid w:val="00CD6359"/>
    <w:rsid w:val="00CD6E0F"/>
    <w:rsid w:val="00CD73BA"/>
    <w:rsid w:val="00CD75AE"/>
    <w:rsid w:val="00CD78C1"/>
    <w:rsid w:val="00CE0C93"/>
    <w:rsid w:val="00CE1076"/>
    <w:rsid w:val="00CE1E1A"/>
    <w:rsid w:val="00CE21F6"/>
    <w:rsid w:val="00CE2D5A"/>
    <w:rsid w:val="00CE33CB"/>
    <w:rsid w:val="00CE34F3"/>
    <w:rsid w:val="00CE3912"/>
    <w:rsid w:val="00CE398B"/>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5EDF"/>
    <w:rsid w:val="00CF6389"/>
    <w:rsid w:val="00CF63B0"/>
    <w:rsid w:val="00CF7411"/>
    <w:rsid w:val="00CF750F"/>
    <w:rsid w:val="00D00F3E"/>
    <w:rsid w:val="00D0102C"/>
    <w:rsid w:val="00D01186"/>
    <w:rsid w:val="00D011F9"/>
    <w:rsid w:val="00D0190D"/>
    <w:rsid w:val="00D01D4D"/>
    <w:rsid w:val="00D02B04"/>
    <w:rsid w:val="00D042A5"/>
    <w:rsid w:val="00D04AE3"/>
    <w:rsid w:val="00D0517A"/>
    <w:rsid w:val="00D0525C"/>
    <w:rsid w:val="00D057B9"/>
    <w:rsid w:val="00D05B9F"/>
    <w:rsid w:val="00D06723"/>
    <w:rsid w:val="00D06C63"/>
    <w:rsid w:val="00D06D13"/>
    <w:rsid w:val="00D07D73"/>
    <w:rsid w:val="00D07D81"/>
    <w:rsid w:val="00D104C5"/>
    <w:rsid w:val="00D10ADB"/>
    <w:rsid w:val="00D10F2C"/>
    <w:rsid w:val="00D118F8"/>
    <w:rsid w:val="00D11C82"/>
    <w:rsid w:val="00D1217D"/>
    <w:rsid w:val="00D12339"/>
    <w:rsid w:val="00D127EB"/>
    <w:rsid w:val="00D13F58"/>
    <w:rsid w:val="00D1511A"/>
    <w:rsid w:val="00D15928"/>
    <w:rsid w:val="00D15B38"/>
    <w:rsid w:val="00D15C98"/>
    <w:rsid w:val="00D16B30"/>
    <w:rsid w:val="00D16FE6"/>
    <w:rsid w:val="00D1743F"/>
    <w:rsid w:val="00D17CDE"/>
    <w:rsid w:val="00D200EC"/>
    <w:rsid w:val="00D204DB"/>
    <w:rsid w:val="00D20526"/>
    <w:rsid w:val="00D20D1B"/>
    <w:rsid w:val="00D21722"/>
    <w:rsid w:val="00D21A83"/>
    <w:rsid w:val="00D21C7C"/>
    <w:rsid w:val="00D22081"/>
    <w:rsid w:val="00D233E8"/>
    <w:rsid w:val="00D239EA"/>
    <w:rsid w:val="00D24E6D"/>
    <w:rsid w:val="00D2508C"/>
    <w:rsid w:val="00D25353"/>
    <w:rsid w:val="00D25544"/>
    <w:rsid w:val="00D25D34"/>
    <w:rsid w:val="00D261DE"/>
    <w:rsid w:val="00D2711D"/>
    <w:rsid w:val="00D30060"/>
    <w:rsid w:val="00D302C1"/>
    <w:rsid w:val="00D304FF"/>
    <w:rsid w:val="00D3060E"/>
    <w:rsid w:val="00D307E6"/>
    <w:rsid w:val="00D30B2B"/>
    <w:rsid w:val="00D31383"/>
    <w:rsid w:val="00D31631"/>
    <w:rsid w:val="00D31E9E"/>
    <w:rsid w:val="00D3336A"/>
    <w:rsid w:val="00D33A81"/>
    <w:rsid w:val="00D33B61"/>
    <w:rsid w:val="00D347E2"/>
    <w:rsid w:val="00D34E3E"/>
    <w:rsid w:val="00D355A7"/>
    <w:rsid w:val="00D368F2"/>
    <w:rsid w:val="00D37BBE"/>
    <w:rsid w:val="00D40766"/>
    <w:rsid w:val="00D409BF"/>
    <w:rsid w:val="00D40A84"/>
    <w:rsid w:val="00D41329"/>
    <w:rsid w:val="00D41725"/>
    <w:rsid w:val="00D41891"/>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0B81"/>
    <w:rsid w:val="00D517A6"/>
    <w:rsid w:val="00D5183B"/>
    <w:rsid w:val="00D5189B"/>
    <w:rsid w:val="00D52E63"/>
    <w:rsid w:val="00D53487"/>
    <w:rsid w:val="00D53A60"/>
    <w:rsid w:val="00D53FB3"/>
    <w:rsid w:val="00D53FEE"/>
    <w:rsid w:val="00D54DCE"/>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5D5"/>
    <w:rsid w:val="00D64A02"/>
    <w:rsid w:val="00D65135"/>
    <w:rsid w:val="00D658B8"/>
    <w:rsid w:val="00D65E6E"/>
    <w:rsid w:val="00D662A5"/>
    <w:rsid w:val="00D66AD5"/>
    <w:rsid w:val="00D67097"/>
    <w:rsid w:val="00D6717D"/>
    <w:rsid w:val="00D67E07"/>
    <w:rsid w:val="00D67FF1"/>
    <w:rsid w:val="00D70D77"/>
    <w:rsid w:val="00D70FF0"/>
    <w:rsid w:val="00D71759"/>
    <w:rsid w:val="00D72C9B"/>
    <w:rsid w:val="00D72CB9"/>
    <w:rsid w:val="00D73316"/>
    <w:rsid w:val="00D735DF"/>
    <w:rsid w:val="00D73669"/>
    <w:rsid w:val="00D73D49"/>
    <w:rsid w:val="00D74902"/>
    <w:rsid w:val="00D756F5"/>
    <w:rsid w:val="00D75765"/>
    <w:rsid w:val="00D773EF"/>
    <w:rsid w:val="00D77C4B"/>
    <w:rsid w:val="00D81009"/>
    <w:rsid w:val="00D81599"/>
    <w:rsid w:val="00D81A70"/>
    <w:rsid w:val="00D8211B"/>
    <w:rsid w:val="00D82168"/>
    <w:rsid w:val="00D823D0"/>
    <w:rsid w:val="00D828E3"/>
    <w:rsid w:val="00D82CB5"/>
    <w:rsid w:val="00D83F6E"/>
    <w:rsid w:val="00D842A4"/>
    <w:rsid w:val="00D843A5"/>
    <w:rsid w:val="00D84F60"/>
    <w:rsid w:val="00D85747"/>
    <w:rsid w:val="00D858F7"/>
    <w:rsid w:val="00D860B5"/>
    <w:rsid w:val="00D8620C"/>
    <w:rsid w:val="00D86567"/>
    <w:rsid w:val="00D86580"/>
    <w:rsid w:val="00D86DA1"/>
    <w:rsid w:val="00D872E2"/>
    <w:rsid w:val="00D87310"/>
    <w:rsid w:val="00D87599"/>
    <w:rsid w:val="00D87D1E"/>
    <w:rsid w:val="00D90304"/>
    <w:rsid w:val="00D90AC3"/>
    <w:rsid w:val="00D92849"/>
    <w:rsid w:val="00D92ADE"/>
    <w:rsid w:val="00D935F0"/>
    <w:rsid w:val="00D9375B"/>
    <w:rsid w:val="00D9425B"/>
    <w:rsid w:val="00D944C2"/>
    <w:rsid w:val="00D94618"/>
    <w:rsid w:val="00D948A0"/>
    <w:rsid w:val="00D94D04"/>
    <w:rsid w:val="00D94D79"/>
    <w:rsid w:val="00D94E25"/>
    <w:rsid w:val="00D95B79"/>
    <w:rsid w:val="00D966BC"/>
    <w:rsid w:val="00D96993"/>
    <w:rsid w:val="00D972A4"/>
    <w:rsid w:val="00D97714"/>
    <w:rsid w:val="00DA054F"/>
    <w:rsid w:val="00DA1152"/>
    <w:rsid w:val="00DA1343"/>
    <w:rsid w:val="00DA19CE"/>
    <w:rsid w:val="00DA35A2"/>
    <w:rsid w:val="00DA3EF0"/>
    <w:rsid w:val="00DA4391"/>
    <w:rsid w:val="00DA4F74"/>
    <w:rsid w:val="00DA5385"/>
    <w:rsid w:val="00DA5432"/>
    <w:rsid w:val="00DA6875"/>
    <w:rsid w:val="00DA76BE"/>
    <w:rsid w:val="00DA7CB2"/>
    <w:rsid w:val="00DB0066"/>
    <w:rsid w:val="00DB019B"/>
    <w:rsid w:val="00DB02F6"/>
    <w:rsid w:val="00DB15F1"/>
    <w:rsid w:val="00DB23F1"/>
    <w:rsid w:val="00DB2F36"/>
    <w:rsid w:val="00DB312F"/>
    <w:rsid w:val="00DB39B0"/>
    <w:rsid w:val="00DB471A"/>
    <w:rsid w:val="00DB4769"/>
    <w:rsid w:val="00DB4ACE"/>
    <w:rsid w:val="00DB550F"/>
    <w:rsid w:val="00DB553C"/>
    <w:rsid w:val="00DB6559"/>
    <w:rsid w:val="00DB6825"/>
    <w:rsid w:val="00DB7241"/>
    <w:rsid w:val="00DB755F"/>
    <w:rsid w:val="00DC01CF"/>
    <w:rsid w:val="00DC0201"/>
    <w:rsid w:val="00DC05A4"/>
    <w:rsid w:val="00DC1AF8"/>
    <w:rsid w:val="00DC287B"/>
    <w:rsid w:val="00DC2B46"/>
    <w:rsid w:val="00DC2BC3"/>
    <w:rsid w:val="00DC3044"/>
    <w:rsid w:val="00DC42DE"/>
    <w:rsid w:val="00DC4A4B"/>
    <w:rsid w:val="00DC5674"/>
    <w:rsid w:val="00DC5B71"/>
    <w:rsid w:val="00DC630F"/>
    <w:rsid w:val="00DC66EA"/>
    <w:rsid w:val="00DC6996"/>
    <w:rsid w:val="00DC6D8D"/>
    <w:rsid w:val="00DC6F8A"/>
    <w:rsid w:val="00DC78B7"/>
    <w:rsid w:val="00DC7B93"/>
    <w:rsid w:val="00DC7EA6"/>
    <w:rsid w:val="00DC7FFB"/>
    <w:rsid w:val="00DD0E0A"/>
    <w:rsid w:val="00DD0F15"/>
    <w:rsid w:val="00DD1240"/>
    <w:rsid w:val="00DD3914"/>
    <w:rsid w:val="00DD4254"/>
    <w:rsid w:val="00DD44AF"/>
    <w:rsid w:val="00DD5173"/>
    <w:rsid w:val="00DD577D"/>
    <w:rsid w:val="00DD5929"/>
    <w:rsid w:val="00DD71D9"/>
    <w:rsid w:val="00DE028B"/>
    <w:rsid w:val="00DE03F4"/>
    <w:rsid w:val="00DE0682"/>
    <w:rsid w:val="00DE06A6"/>
    <w:rsid w:val="00DE0CBB"/>
    <w:rsid w:val="00DE1839"/>
    <w:rsid w:val="00DE209E"/>
    <w:rsid w:val="00DE2195"/>
    <w:rsid w:val="00DE3AE8"/>
    <w:rsid w:val="00DE440E"/>
    <w:rsid w:val="00DE4652"/>
    <w:rsid w:val="00DE4944"/>
    <w:rsid w:val="00DE5291"/>
    <w:rsid w:val="00DE5D15"/>
    <w:rsid w:val="00DE61D0"/>
    <w:rsid w:val="00DE6670"/>
    <w:rsid w:val="00DF0389"/>
    <w:rsid w:val="00DF0D7C"/>
    <w:rsid w:val="00DF0F99"/>
    <w:rsid w:val="00DF10D6"/>
    <w:rsid w:val="00DF186D"/>
    <w:rsid w:val="00DF190E"/>
    <w:rsid w:val="00DF1D17"/>
    <w:rsid w:val="00DF25D2"/>
    <w:rsid w:val="00DF2DDC"/>
    <w:rsid w:val="00DF38BD"/>
    <w:rsid w:val="00DF3BF4"/>
    <w:rsid w:val="00DF4043"/>
    <w:rsid w:val="00DF4702"/>
    <w:rsid w:val="00DF47BF"/>
    <w:rsid w:val="00DF524A"/>
    <w:rsid w:val="00DF52F1"/>
    <w:rsid w:val="00DF55A8"/>
    <w:rsid w:val="00DF5D38"/>
    <w:rsid w:val="00DF66BE"/>
    <w:rsid w:val="00DF6E90"/>
    <w:rsid w:val="00DF7000"/>
    <w:rsid w:val="00DF7D83"/>
    <w:rsid w:val="00E005CD"/>
    <w:rsid w:val="00E01635"/>
    <w:rsid w:val="00E02EBF"/>
    <w:rsid w:val="00E0316D"/>
    <w:rsid w:val="00E039E6"/>
    <w:rsid w:val="00E03AED"/>
    <w:rsid w:val="00E03BC5"/>
    <w:rsid w:val="00E040CC"/>
    <w:rsid w:val="00E044B4"/>
    <w:rsid w:val="00E05A14"/>
    <w:rsid w:val="00E06E5C"/>
    <w:rsid w:val="00E06F82"/>
    <w:rsid w:val="00E0730D"/>
    <w:rsid w:val="00E073C2"/>
    <w:rsid w:val="00E07E2C"/>
    <w:rsid w:val="00E1005B"/>
    <w:rsid w:val="00E10E29"/>
    <w:rsid w:val="00E10F33"/>
    <w:rsid w:val="00E11A40"/>
    <w:rsid w:val="00E11A69"/>
    <w:rsid w:val="00E11E7D"/>
    <w:rsid w:val="00E11F20"/>
    <w:rsid w:val="00E12112"/>
    <w:rsid w:val="00E1260B"/>
    <w:rsid w:val="00E1270F"/>
    <w:rsid w:val="00E12C5C"/>
    <w:rsid w:val="00E13184"/>
    <w:rsid w:val="00E16479"/>
    <w:rsid w:val="00E16532"/>
    <w:rsid w:val="00E1681E"/>
    <w:rsid w:val="00E204B9"/>
    <w:rsid w:val="00E21328"/>
    <w:rsid w:val="00E22E8E"/>
    <w:rsid w:val="00E23523"/>
    <w:rsid w:val="00E23B7D"/>
    <w:rsid w:val="00E24220"/>
    <w:rsid w:val="00E26DB6"/>
    <w:rsid w:val="00E26E70"/>
    <w:rsid w:val="00E272B4"/>
    <w:rsid w:val="00E3035E"/>
    <w:rsid w:val="00E309F7"/>
    <w:rsid w:val="00E30B24"/>
    <w:rsid w:val="00E30EC2"/>
    <w:rsid w:val="00E3106F"/>
    <w:rsid w:val="00E31758"/>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37AF8"/>
    <w:rsid w:val="00E405E3"/>
    <w:rsid w:val="00E4111E"/>
    <w:rsid w:val="00E4127B"/>
    <w:rsid w:val="00E41E8F"/>
    <w:rsid w:val="00E41EAB"/>
    <w:rsid w:val="00E420F8"/>
    <w:rsid w:val="00E42BAA"/>
    <w:rsid w:val="00E42C10"/>
    <w:rsid w:val="00E430E6"/>
    <w:rsid w:val="00E43111"/>
    <w:rsid w:val="00E439C1"/>
    <w:rsid w:val="00E444DF"/>
    <w:rsid w:val="00E44675"/>
    <w:rsid w:val="00E4486C"/>
    <w:rsid w:val="00E448BA"/>
    <w:rsid w:val="00E44A5B"/>
    <w:rsid w:val="00E44AA0"/>
    <w:rsid w:val="00E44F52"/>
    <w:rsid w:val="00E454D0"/>
    <w:rsid w:val="00E45710"/>
    <w:rsid w:val="00E457DF"/>
    <w:rsid w:val="00E45AC8"/>
    <w:rsid w:val="00E463AA"/>
    <w:rsid w:val="00E4656C"/>
    <w:rsid w:val="00E46BE9"/>
    <w:rsid w:val="00E46F4F"/>
    <w:rsid w:val="00E47042"/>
    <w:rsid w:val="00E47A2A"/>
    <w:rsid w:val="00E47F9E"/>
    <w:rsid w:val="00E509CE"/>
    <w:rsid w:val="00E50A32"/>
    <w:rsid w:val="00E52B83"/>
    <w:rsid w:val="00E53A43"/>
    <w:rsid w:val="00E5416D"/>
    <w:rsid w:val="00E5443F"/>
    <w:rsid w:val="00E54AD9"/>
    <w:rsid w:val="00E54E33"/>
    <w:rsid w:val="00E55C96"/>
    <w:rsid w:val="00E561C1"/>
    <w:rsid w:val="00E5641E"/>
    <w:rsid w:val="00E56FBE"/>
    <w:rsid w:val="00E56FEA"/>
    <w:rsid w:val="00E57089"/>
    <w:rsid w:val="00E570A9"/>
    <w:rsid w:val="00E57201"/>
    <w:rsid w:val="00E6011B"/>
    <w:rsid w:val="00E60143"/>
    <w:rsid w:val="00E6030B"/>
    <w:rsid w:val="00E60468"/>
    <w:rsid w:val="00E61073"/>
    <w:rsid w:val="00E6151D"/>
    <w:rsid w:val="00E62651"/>
    <w:rsid w:val="00E62869"/>
    <w:rsid w:val="00E63D7F"/>
    <w:rsid w:val="00E63D8F"/>
    <w:rsid w:val="00E642BF"/>
    <w:rsid w:val="00E644AB"/>
    <w:rsid w:val="00E64634"/>
    <w:rsid w:val="00E65549"/>
    <w:rsid w:val="00E65641"/>
    <w:rsid w:val="00E6574A"/>
    <w:rsid w:val="00E65F6B"/>
    <w:rsid w:val="00E6687D"/>
    <w:rsid w:val="00E66DA3"/>
    <w:rsid w:val="00E67350"/>
    <w:rsid w:val="00E675AF"/>
    <w:rsid w:val="00E6777C"/>
    <w:rsid w:val="00E67CE4"/>
    <w:rsid w:val="00E7003E"/>
    <w:rsid w:val="00E709D2"/>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1B4"/>
    <w:rsid w:val="00E764B1"/>
    <w:rsid w:val="00E77CB9"/>
    <w:rsid w:val="00E80353"/>
    <w:rsid w:val="00E80AE6"/>
    <w:rsid w:val="00E81656"/>
    <w:rsid w:val="00E817B0"/>
    <w:rsid w:val="00E8185D"/>
    <w:rsid w:val="00E82855"/>
    <w:rsid w:val="00E83054"/>
    <w:rsid w:val="00E8336F"/>
    <w:rsid w:val="00E83AA8"/>
    <w:rsid w:val="00E84087"/>
    <w:rsid w:val="00E845E4"/>
    <w:rsid w:val="00E853C3"/>
    <w:rsid w:val="00E85F7C"/>
    <w:rsid w:val="00E8609E"/>
    <w:rsid w:val="00E874BD"/>
    <w:rsid w:val="00E87742"/>
    <w:rsid w:val="00E87C82"/>
    <w:rsid w:val="00E87F9F"/>
    <w:rsid w:val="00E91C69"/>
    <w:rsid w:val="00E928E3"/>
    <w:rsid w:val="00E92B1A"/>
    <w:rsid w:val="00E92EA4"/>
    <w:rsid w:val="00E93406"/>
    <w:rsid w:val="00E94BE5"/>
    <w:rsid w:val="00E94FC7"/>
    <w:rsid w:val="00E9550D"/>
    <w:rsid w:val="00E95A3C"/>
    <w:rsid w:val="00E95BC2"/>
    <w:rsid w:val="00E968A0"/>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51EF"/>
    <w:rsid w:val="00EA5DD1"/>
    <w:rsid w:val="00EA778B"/>
    <w:rsid w:val="00EA7F1B"/>
    <w:rsid w:val="00EA7F7D"/>
    <w:rsid w:val="00EB0CC8"/>
    <w:rsid w:val="00EB144A"/>
    <w:rsid w:val="00EB1895"/>
    <w:rsid w:val="00EB2371"/>
    <w:rsid w:val="00EB25DB"/>
    <w:rsid w:val="00EB2796"/>
    <w:rsid w:val="00EB2869"/>
    <w:rsid w:val="00EB2974"/>
    <w:rsid w:val="00EB2BA7"/>
    <w:rsid w:val="00EB2DAC"/>
    <w:rsid w:val="00EB3AFA"/>
    <w:rsid w:val="00EB45AB"/>
    <w:rsid w:val="00EB4E21"/>
    <w:rsid w:val="00EB5B97"/>
    <w:rsid w:val="00EB61ED"/>
    <w:rsid w:val="00EB6451"/>
    <w:rsid w:val="00EB66C6"/>
    <w:rsid w:val="00EB673A"/>
    <w:rsid w:val="00EC0002"/>
    <w:rsid w:val="00EC001B"/>
    <w:rsid w:val="00EC04D8"/>
    <w:rsid w:val="00EC06F4"/>
    <w:rsid w:val="00EC10A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95"/>
    <w:rsid w:val="00EE1EE1"/>
    <w:rsid w:val="00EE22CF"/>
    <w:rsid w:val="00EE22EB"/>
    <w:rsid w:val="00EE25CA"/>
    <w:rsid w:val="00EE2A9E"/>
    <w:rsid w:val="00EE2FCB"/>
    <w:rsid w:val="00EE3585"/>
    <w:rsid w:val="00EE3A2B"/>
    <w:rsid w:val="00EE3EF4"/>
    <w:rsid w:val="00EE47EF"/>
    <w:rsid w:val="00EE4A91"/>
    <w:rsid w:val="00EE54A3"/>
    <w:rsid w:val="00EE7845"/>
    <w:rsid w:val="00EE79EE"/>
    <w:rsid w:val="00EF0343"/>
    <w:rsid w:val="00EF06E3"/>
    <w:rsid w:val="00EF11C1"/>
    <w:rsid w:val="00EF1434"/>
    <w:rsid w:val="00EF1F70"/>
    <w:rsid w:val="00EF34C5"/>
    <w:rsid w:val="00EF3580"/>
    <w:rsid w:val="00EF3ADA"/>
    <w:rsid w:val="00EF400C"/>
    <w:rsid w:val="00EF42D4"/>
    <w:rsid w:val="00EF4972"/>
    <w:rsid w:val="00EF51D0"/>
    <w:rsid w:val="00EF537D"/>
    <w:rsid w:val="00EF5664"/>
    <w:rsid w:val="00EF575B"/>
    <w:rsid w:val="00EF6079"/>
    <w:rsid w:val="00EF658C"/>
    <w:rsid w:val="00EF7024"/>
    <w:rsid w:val="00F00317"/>
    <w:rsid w:val="00F00FBC"/>
    <w:rsid w:val="00F016ED"/>
    <w:rsid w:val="00F01C4F"/>
    <w:rsid w:val="00F01EAF"/>
    <w:rsid w:val="00F0452B"/>
    <w:rsid w:val="00F04B9D"/>
    <w:rsid w:val="00F04F05"/>
    <w:rsid w:val="00F05007"/>
    <w:rsid w:val="00F050B6"/>
    <w:rsid w:val="00F05AB9"/>
    <w:rsid w:val="00F05CB3"/>
    <w:rsid w:val="00F0635F"/>
    <w:rsid w:val="00F0689B"/>
    <w:rsid w:val="00F069FB"/>
    <w:rsid w:val="00F06A4C"/>
    <w:rsid w:val="00F06BB2"/>
    <w:rsid w:val="00F06FFB"/>
    <w:rsid w:val="00F07894"/>
    <w:rsid w:val="00F105F8"/>
    <w:rsid w:val="00F1158A"/>
    <w:rsid w:val="00F11911"/>
    <w:rsid w:val="00F11E1C"/>
    <w:rsid w:val="00F127CA"/>
    <w:rsid w:val="00F12D3D"/>
    <w:rsid w:val="00F138F4"/>
    <w:rsid w:val="00F13B6B"/>
    <w:rsid w:val="00F142E7"/>
    <w:rsid w:val="00F14312"/>
    <w:rsid w:val="00F1487B"/>
    <w:rsid w:val="00F14933"/>
    <w:rsid w:val="00F14A17"/>
    <w:rsid w:val="00F14A59"/>
    <w:rsid w:val="00F14DBF"/>
    <w:rsid w:val="00F15D37"/>
    <w:rsid w:val="00F15EC3"/>
    <w:rsid w:val="00F16825"/>
    <w:rsid w:val="00F17150"/>
    <w:rsid w:val="00F20420"/>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7A93"/>
    <w:rsid w:val="00F27CF4"/>
    <w:rsid w:val="00F27DAF"/>
    <w:rsid w:val="00F30897"/>
    <w:rsid w:val="00F30AE1"/>
    <w:rsid w:val="00F30C4C"/>
    <w:rsid w:val="00F312ED"/>
    <w:rsid w:val="00F31A67"/>
    <w:rsid w:val="00F31D55"/>
    <w:rsid w:val="00F32F67"/>
    <w:rsid w:val="00F33159"/>
    <w:rsid w:val="00F3348D"/>
    <w:rsid w:val="00F33554"/>
    <w:rsid w:val="00F336CA"/>
    <w:rsid w:val="00F33779"/>
    <w:rsid w:val="00F33DBD"/>
    <w:rsid w:val="00F34455"/>
    <w:rsid w:val="00F3599E"/>
    <w:rsid w:val="00F35C7F"/>
    <w:rsid w:val="00F3694E"/>
    <w:rsid w:val="00F3737B"/>
    <w:rsid w:val="00F37C5C"/>
    <w:rsid w:val="00F37E8B"/>
    <w:rsid w:val="00F404A8"/>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C86"/>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21"/>
    <w:rsid w:val="00F6446D"/>
    <w:rsid w:val="00F646C8"/>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3AEB"/>
    <w:rsid w:val="00F75F51"/>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29E3"/>
    <w:rsid w:val="00F83BB1"/>
    <w:rsid w:val="00F83E71"/>
    <w:rsid w:val="00F840FF"/>
    <w:rsid w:val="00F8455F"/>
    <w:rsid w:val="00F84A5C"/>
    <w:rsid w:val="00F859CC"/>
    <w:rsid w:val="00F86960"/>
    <w:rsid w:val="00F86EF8"/>
    <w:rsid w:val="00F872BD"/>
    <w:rsid w:val="00F87F3B"/>
    <w:rsid w:val="00F90AFF"/>
    <w:rsid w:val="00F91852"/>
    <w:rsid w:val="00F91CD8"/>
    <w:rsid w:val="00F9221C"/>
    <w:rsid w:val="00F93231"/>
    <w:rsid w:val="00F9346C"/>
    <w:rsid w:val="00F949DC"/>
    <w:rsid w:val="00F94D8F"/>
    <w:rsid w:val="00F956CC"/>
    <w:rsid w:val="00F95DC9"/>
    <w:rsid w:val="00F9614B"/>
    <w:rsid w:val="00FA05F2"/>
    <w:rsid w:val="00FA09F4"/>
    <w:rsid w:val="00FA0AC5"/>
    <w:rsid w:val="00FA1180"/>
    <w:rsid w:val="00FA1194"/>
    <w:rsid w:val="00FA170D"/>
    <w:rsid w:val="00FA1864"/>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707"/>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6BB2"/>
    <w:rsid w:val="00FB7304"/>
    <w:rsid w:val="00FC0CDB"/>
    <w:rsid w:val="00FC0D37"/>
    <w:rsid w:val="00FC0DC4"/>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3BF"/>
    <w:rsid w:val="00FC7CC0"/>
    <w:rsid w:val="00FC7E5B"/>
    <w:rsid w:val="00FD04AA"/>
    <w:rsid w:val="00FD10D9"/>
    <w:rsid w:val="00FD1323"/>
    <w:rsid w:val="00FD2D70"/>
    <w:rsid w:val="00FD3148"/>
    <w:rsid w:val="00FD3794"/>
    <w:rsid w:val="00FD3DFA"/>
    <w:rsid w:val="00FD4078"/>
    <w:rsid w:val="00FD4432"/>
    <w:rsid w:val="00FD4B4B"/>
    <w:rsid w:val="00FD4CBE"/>
    <w:rsid w:val="00FD5A1D"/>
    <w:rsid w:val="00FD5CA4"/>
    <w:rsid w:val="00FD7BE4"/>
    <w:rsid w:val="00FD7EA3"/>
    <w:rsid w:val="00FE003C"/>
    <w:rsid w:val="00FE0201"/>
    <w:rsid w:val="00FE06AA"/>
    <w:rsid w:val="00FE0B42"/>
    <w:rsid w:val="00FE1039"/>
    <w:rsid w:val="00FE136D"/>
    <w:rsid w:val="00FE17AE"/>
    <w:rsid w:val="00FE1902"/>
    <w:rsid w:val="00FE2024"/>
    <w:rsid w:val="00FE22CC"/>
    <w:rsid w:val="00FE2847"/>
    <w:rsid w:val="00FE38E1"/>
    <w:rsid w:val="00FE3937"/>
    <w:rsid w:val="00FE3F0A"/>
    <w:rsid w:val="00FE4DC0"/>
    <w:rsid w:val="00FE535D"/>
    <w:rsid w:val="00FE65A5"/>
    <w:rsid w:val="00FE66D8"/>
    <w:rsid w:val="00FE7949"/>
    <w:rsid w:val="00FE7B5D"/>
    <w:rsid w:val="00FE7D06"/>
    <w:rsid w:val="00FE7DC2"/>
    <w:rsid w:val="00FF0977"/>
    <w:rsid w:val="00FF0C50"/>
    <w:rsid w:val="00FF0C8E"/>
    <w:rsid w:val="00FF1859"/>
    <w:rsid w:val="00FF185E"/>
    <w:rsid w:val="00FF1D3B"/>
    <w:rsid w:val="00FF1FAC"/>
    <w:rsid w:val="00FF2601"/>
    <w:rsid w:val="00FF321F"/>
    <w:rsid w:val="00FF3FEA"/>
    <w:rsid w:val="00FF49C6"/>
    <w:rsid w:val="00FF5261"/>
    <w:rsid w:val="00FF52FA"/>
    <w:rsid w:val="00FF5EA5"/>
    <w:rsid w:val="00FF64D8"/>
    <w:rsid w:val="00FF6920"/>
    <w:rsid w:val="00FF6A75"/>
    <w:rsid w:val="00FF7572"/>
    <w:rsid w:val="00FF7802"/>
    <w:rsid w:val="02C775AF"/>
    <w:rsid w:val="03C4B355"/>
    <w:rsid w:val="054A2778"/>
    <w:rsid w:val="0583F5B1"/>
    <w:rsid w:val="05DDCEB8"/>
    <w:rsid w:val="0606D126"/>
    <w:rsid w:val="06B88AC3"/>
    <w:rsid w:val="06F6F5ED"/>
    <w:rsid w:val="09C7F18E"/>
    <w:rsid w:val="0A15D152"/>
    <w:rsid w:val="0F282952"/>
    <w:rsid w:val="0F45CFD1"/>
    <w:rsid w:val="105533FA"/>
    <w:rsid w:val="10BF3148"/>
    <w:rsid w:val="11FFAF39"/>
    <w:rsid w:val="13AA2066"/>
    <w:rsid w:val="148A0F4E"/>
    <w:rsid w:val="1A9F7976"/>
    <w:rsid w:val="1C036D42"/>
    <w:rsid w:val="1D50A1F5"/>
    <w:rsid w:val="2011DDDD"/>
    <w:rsid w:val="219BC7F1"/>
    <w:rsid w:val="260FF44C"/>
    <w:rsid w:val="2755CAA9"/>
    <w:rsid w:val="2861267C"/>
    <w:rsid w:val="2B8B4872"/>
    <w:rsid w:val="2BD4A676"/>
    <w:rsid w:val="2BEAD0A2"/>
    <w:rsid w:val="37AFB672"/>
    <w:rsid w:val="397774C5"/>
    <w:rsid w:val="39FB81C7"/>
    <w:rsid w:val="3A445323"/>
    <w:rsid w:val="3AEA8015"/>
    <w:rsid w:val="43202C6B"/>
    <w:rsid w:val="43CDCDF8"/>
    <w:rsid w:val="44074C16"/>
    <w:rsid w:val="44FEFB0E"/>
    <w:rsid w:val="490CA7C7"/>
    <w:rsid w:val="4D7865C5"/>
    <w:rsid w:val="5332648C"/>
    <w:rsid w:val="55317718"/>
    <w:rsid w:val="563727A3"/>
    <w:rsid w:val="56969E29"/>
    <w:rsid w:val="57B19AD2"/>
    <w:rsid w:val="59422F5D"/>
    <w:rsid w:val="5A3ED19B"/>
    <w:rsid w:val="5AA512B0"/>
    <w:rsid w:val="5C850BF5"/>
    <w:rsid w:val="5FFE2900"/>
    <w:rsid w:val="6053842F"/>
    <w:rsid w:val="613E097D"/>
    <w:rsid w:val="62940EFA"/>
    <w:rsid w:val="6365DD43"/>
    <w:rsid w:val="64EDEDF8"/>
    <w:rsid w:val="65AB6787"/>
    <w:rsid w:val="698CD9B5"/>
    <w:rsid w:val="699C4881"/>
    <w:rsid w:val="6A970BC4"/>
    <w:rsid w:val="6AE954E9"/>
    <w:rsid w:val="6CD07198"/>
    <w:rsid w:val="6CFBEAAE"/>
    <w:rsid w:val="6D05F9F0"/>
    <w:rsid w:val="6D4F4527"/>
    <w:rsid w:val="70EF9B09"/>
    <w:rsid w:val="73A414EC"/>
    <w:rsid w:val="772B2364"/>
    <w:rsid w:val="77D72822"/>
    <w:rsid w:val="78A909E1"/>
    <w:rsid w:val="7D4409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B52A5"/>
  <w15:docId w15:val="{0AC8656C-7F26-440A-8E2D-5EAC7B86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t,f,Footnote Tex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t Car,f Car,Footnote Tex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 w:type="paragraph" w:customStyle="1" w:styleId="Default">
    <w:name w:val="Default"/>
    <w:rsid w:val="00DD44AF"/>
    <w:pPr>
      <w:autoSpaceDE w:val="0"/>
      <w:autoSpaceDN w:val="0"/>
      <w:adjustRightInd w:val="0"/>
    </w:pPr>
    <w:rPr>
      <w:rFonts w:ascii="Times New Roman" w:hAnsi="Times New Roman" w:cs="Times New Roman"/>
      <w:color w:val="000000"/>
      <w:sz w:val="24"/>
      <w:szCs w:val="24"/>
    </w:rPr>
  </w:style>
  <w:style w:type="character" w:customStyle="1" w:styleId="Mencinsinresolver1">
    <w:name w:val="Mención sin resolver1"/>
    <w:basedOn w:val="Fuentedeprrafopredeter"/>
    <w:uiPriority w:val="99"/>
    <w:semiHidden/>
    <w:unhideWhenUsed/>
    <w:rsid w:val="00160010"/>
    <w:rPr>
      <w:color w:val="605E5C"/>
      <w:shd w:val="clear" w:color="auto" w:fill="E1DFDD"/>
    </w:rPr>
  </w:style>
  <w:style w:type="character" w:customStyle="1" w:styleId="PiedepginaCar">
    <w:name w:val="Pie de página Car"/>
    <w:basedOn w:val="Fuentedeprrafopredeter"/>
    <w:link w:val="Piedepgina"/>
    <w:uiPriority w:val="99"/>
    <w:rsid w:val="00053B5E"/>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67196727">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49531964">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28501910">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69433216">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39928377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58750733">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2.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92E68-F11A-46F5-8AE0-F53F1BF3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4527</Words>
  <Characters>24902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7</cp:revision>
  <cp:lastPrinted>2021-01-25T19:09:00Z</cp:lastPrinted>
  <dcterms:created xsi:type="dcterms:W3CDTF">2021-08-20T18:43:00Z</dcterms:created>
  <dcterms:modified xsi:type="dcterms:W3CDTF">2022-02-26T16:54:00Z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