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7E64" w14:textId="77777777" w:rsidR="00D16928" w:rsidRPr="00D16928" w:rsidRDefault="00D16928" w:rsidP="00D1692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D1692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31BD23" w14:textId="77777777" w:rsidR="00D16928" w:rsidRPr="00D16928" w:rsidRDefault="00D16928" w:rsidP="00D16928">
      <w:pPr>
        <w:jc w:val="both"/>
        <w:rPr>
          <w:rFonts w:ascii="Arial" w:hAnsi="Arial" w:cs="Arial"/>
          <w:sz w:val="20"/>
          <w:szCs w:val="20"/>
          <w:lang w:val="es-419"/>
        </w:rPr>
      </w:pPr>
    </w:p>
    <w:p w14:paraId="3831B677" w14:textId="35CD34E7" w:rsidR="00D16928" w:rsidRPr="00D16928" w:rsidRDefault="00D16928" w:rsidP="00D16928">
      <w:pPr>
        <w:jc w:val="both"/>
        <w:rPr>
          <w:rFonts w:ascii="Arial" w:hAnsi="Arial" w:cs="Arial"/>
          <w:b/>
          <w:bCs/>
          <w:iCs/>
          <w:sz w:val="20"/>
          <w:szCs w:val="20"/>
          <w:lang w:val="es-419" w:eastAsia="fr-FR"/>
        </w:rPr>
      </w:pPr>
      <w:r w:rsidRPr="00D16928">
        <w:rPr>
          <w:rFonts w:ascii="Arial" w:hAnsi="Arial" w:cs="Arial"/>
          <w:b/>
          <w:bCs/>
          <w:iCs/>
          <w:sz w:val="20"/>
          <w:szCs w:val="20"/>
          <w:u w:val="single"/>
          <w:lang w:val="es-419" w:eastAsia="fr-FR"/>
        </w:rPr>
        <w:t>TEMAS:</w:t>
      </w:r>
      <w:r w:rsidRPr="00D16928">
        <w:rPr>
          <w:rFonts w:ascii="Arial" w:hAnsi="Arial" w:cs="Arial"/>
          <w:b/>
          <w:bCs/>
          <w:iCs/>
          <w:sz w:val="20"/>
          <w:szCs w:val="20"/>
          <w:lang w:val="es-419" w:eastAsia="fr-FR"/>
        </w:rPr>
        <w:tab/>
      </w:r>
      <w:r w:rsidR="00D34CC9">
        <w:rPr>
          <w:rFonts w:ascii="Arial" w:hAnsi="Arial" w:cs="Arial"/>
          <w:b/>
          <w:bCs/>
          <w:iCs/>
          <w:sz w:val="20"/>
          <w:szCs w:val="20"/>
          <w:lang w:val="es-419" w:eastAsia="fr-FR"/>
        </w:rPr>
        <w:t xml:space="preserve">NULIDAD PROCESAL / INDEBIDA INTEGRACIÓN DEL CONTRADICTORIO </w:t>
      </w:r>
      <w:r w:rsidRPr="00D16928">
        <w:rPr>
          <w:rFonts w:ascii="Arial" w:hAnsi="Arial" w:cs="Arial"/>
          <w:b/>
          <w:bCs/>
          <w:iCs/>
          <w:sz w:val="20"/>
          <w:szCs w:val="20"/>
          <w:lang w:val="es-419" w:eastAsia="fr-FR"/>
        </w:rPr>
        <w:t xml:space="preserve">/ </w:t>
      </w:r>
      <w:r w:rsidR="003F69FB">
        <w:rPr>
          <w:rFonts w:ascii="Arial" w:hAnsi="Arial" w:cs="Arial"/>
          <w:b/>
          <w:bCs/>
          <w:iCs/>
          <w:sz w:val="20"/>
          <w:szCs w:val="20"/>
          <w:lang w:val="es-419" w:eastAsia="fr-FR"/>
        </w:rPr>
        <w:t>PROCESO DE PERTENENCIA / ADELANTADO CONTRA PERSONA FALLECIDA / NO SE CITARON A SUS HEREDEROS DETERMINADOS E INDETERMINADOS</w:t>
      </w:r>
    </w:p>
    <w:p w14:paraId="6631C965" w14:textId="77777777" w:rsidR="00D16928" w:rsidRPr="00D16928" w:rsidRDefault="00D16928" w:rsidP="00D16928">
      <w:pPr>
        <w:jc w:val="both"/>
        <w:rPr>
          <w:rFonts w:ascii="Arial" w:hAnsi="Arial" w:cs="Arial"/>
          <w:sz w:val="20"/>
          <w:szCs w:val="20"/>
          <w:lang w:val="es-419"/>
        </w:rPr>
      </w:pPr>
    </w:p>
    <w:p w14:paraId="722FFF2C" w14:textId="77777777" w:rsidR="007764C4" w:rsidRPr="007764C4" w:rsidRDefault="007764C4" w:rsidP="007764C4">
      <w:pPr>
        <w:jc w:val="both"/>
        <w:rPr>
          <w:rFonts w:ascii="Arial" w:hAnsi="Arial" w:cs="Arial"/>
          <w:sz w:val="20"/>
          <w:szCs w:val="20"/>
          <w:lang w:val="es-419"/>
        </w:rPr>
      </w:pPr>
      <w:r w:rsidRPr="007764C4">
        <w:rPr>
          <w:rFonts w:ascii="Arial" w:hAnsi="Arial" w:cs="Arial"/>
          <w:sz w:val="20"/>
          <w:szCs w:val="20"/>
          <w:lang w:val="es-419"/>
        </w:rPr>
        <w:t>Preceptuaba el artículo 407 del Código de Procedimiento Civil, que la demanda de pertenencia debe ser dirigida contra aquellos que ostenten titularidad de derechos reales principales sobre el inmueble que se pretende usucapir, y al trámite se debe convocar mediante emplazamiento, a terceros indeterminados que se crean con derecho sobre el predio.</w:t>
      </w:r>
    </w:p>
    <w:p w14:paraId="365D3B0A" w14:textId="77777777" w:rsidR="007764C4" w:rsidRPr="007764C4" w:rsidRDefault="007764C4" w:rsidP="007764C4">
      <w:pPr>
        <w:jc w:val="both"/>
        <w:rPr>
          <w:rFonts w:ascii="Arial" w:hAnsi="Arial" w:cs="Arial"/>
          <w:sz w:val="20"/>
          <w:szCs w:val="20"/>
          <w:lang w:val="es-419"/>
        </w:rPr>
      </w:pPr>
    </w:p>
    <w:p w14:paraId="31AEB272" w14:textId="53C8CB0D" w:rsidR="007764C4" w:rsidRPr="007764C4" w:rsidRDefault="007764C4" w:rsidP="007764C4">
      <w:pPr>
        <w:jc w:val="both"/>
        <w:rPr>
          <w:rFonts w:ascii="Arial" w:hAnsi="Arial" w:cs="Arial"/>
          <w:sz w:val="20"/>
          <w:szCs w:val="20"/>
          <w:lang w:val="es-419"/>
        </w:rPr>
      </w:pPr>
      <w:r w:rsidRPr="007764C4">
        <w:rPr>
          <w:rFonts w:ascii="Arial" w:hAnsi="Arial" w:cs="Arial"/>
          <w:sz w:val="20"/>
          <w:szCs w:val="20"/>
          <w:lang w:val="es-419"/>
        </w:rPr>
        <w:t>Ahora bien, si el titular de derechos reales principales se encuentra fallecido al momento de demandar, carecerá de capacidad para ser parte (Art. 44 C.P.C.) y, por tanto, no podrá ser convocado a juicio, debiendo ser traído a través de sus herederos (Art. 81 Ib.)</w:t>
      </w:r>
      <w:r w:rsidR="0059094E">
        <w:rPr>
          <w:rFonts w:ascii="Arial" w:hAnsi="Arial" w:cs="Arial"/>
          <w:sz w:val="20"/>
          <w:szCs w:val="20"/>
          <w:lang w:val="es-419"/>
        </w:rPr>
        <w:t xml:space="preserve"> …</w:t>
      </w:r>
    </w:p>
    <w:p w14:paraId="160081A7" w14:textId="77777777" w:rsidR="007764C4" w:rsidRPr="007764C4" w:rsidRDefault="007764C4" w:rsidP="007764C4">
      <w:pPr>
        <w:jc w:val="both"/>
        <w:rPr>
          <w:rFonts w:ascii="Arial" w:hAnsi="Arial" w:cs="Arial"/>
          <w:sz w:val="20"/>
          <w:szCs w:val="20"/>
          <w:lang w:val="es-419"/>
        </w:rPr>
      </w:pPr>
    </w:p>
    <w:p w14:paraId="1F08238D" w14:textId="5AA231AF" w:rsidR="00D16928" w:rsidRPr="00D16928" w:rsidRDefault="007764C4" w:rsidP="007764C4">
      <w:pPr>
        <w:jc w:val="both"/>
        <w:rPr>
          <w:rFonts w:ascii="Arial" w:hAnsi="Arial" w:cs="Arial"/>
          <w:sz w:val="20"/>
          <w:szCs w:val="20"/>
          <w:lang w:val="es-419"/>
        </w:rPr>
      </w:pPr>
      <w:r w:rsidRPr="007764C4">
        <w:rPr>
          <w:rFonts w:ascii="Arial" w:hAnsi="Arial" w:cs="Arial"/>
          <w:sz w:val="20"/>
          <w:szCs w:val="20"/>
          <w:lang w:val="es-419"/>
        </w:rPr>
        <w:t>Si el deceso ocurre luego de presentada la demanda, y el demandado fallece careciendo de apoderado, representante o curador, se genera el deber de interrumpir el proceso (Art. 168-1 Ib.) y la necesidad de citar a las personas establecidas en el artículo siguiente (169). No hacerlo, de igual forma, genera irregularidad procesal constitutiva de nulidad (Art. 140-5 Ib.)</w:t>
      </w:r>
      <w:r w:rsidR="0059094E">
        <w:rPr>
          <w:rFonts w:ascii="Arial" w:hAnsi="Arial" w:cs="Arial"/>
          <w:sz w:val="20"/>
          <w:szCs w:val="20"/>
          <w:lang w:val="es-419"/>
        </w:rPr>
        <w:t xml:space="preserve"> …</w:t>
      </w:r>
    </w:p>
    <w:p w14:paraId="1648955E" w14:textId="77777777" w:rsidR="00D16928" w:rsidRPr="00D16928" w:rsidRDefault="00D16928" w:rsidP="00D16928">
      <w:pPr>
        <w:jc w:val="both"/>
        <w:rPr>
          <w:rFonts w:ascii="Arial" w:hAnsi="Arial" w:cs="Arial"/>
          <w:sz w:val="20"/>
          <w:szCs w:val="20"/>
          <w:lang w:val="es-419"/>
        </w:rPr>
      </w:pPr>
    </w:p>
    <w:p w14:paraId="7996F303" w14:textId="538DC380" w:rsidR="00D16928" w:rsidRPr="00D16928" w:rsidRDefault="0059094E" w:rsidP="00D16928">
      <w:pPr>
        <w:jc w:val="both"/>
        <w:rPr>
          <w:rFonts w:ascii="Arial" w:hAnsi="Arial" w:cs="Arial"/>
          <w:sz w:val="20"/>
          <w:szCs w:val="20"/>
          <w:lang w:val="es-419"/>
        </w:rPr>
      </w:pPr>
      <w:r w:rsidRPr="0059094E">
        <w:rPr>
          <w:rFonts w:ascii="Arial" w:hAnsi="Arial" w:cs="Arial"/>
          <w:sz w:val="20"/>
          <w:szCs w:val="20"/>
          <w:lang w:val="es-419"/>
        </w:rPr>
        <w:t>La debida conformación del contradictorio conlleva enterar a los herederos determinados (si los hay) y a los herederos indeterminados del difunto (art. 87 Ib.</w:t>
      </w:r>
      <w:r>
        <w:rPr>
          <w:rFonts w:ascii="Arial" w:hAnsi="Arial" w:cs="Arial"/>
          <w:sz w:val="20"/>
          <w:szCs w:val="20"/>
          <w:lang w:val="es-419"/>
        </w:rPr>
        <w:t>) …</w:t>
      </w:r>
    </w:p>
    <w:p w14:paraId="2EF5BF50" w14:textId="77777777" w:rsidR="00D16928" w:rsidRPr="00D16928" w:rsidRDefault="00D16928" w:rsidP="00D16928">
      <w:pPr>
        <w:jc w:val="both"/>
        <w:rPr>
          <w:rFonts w:ascii="Arial" w:hAnsi="Arial" w:cs="Arial"/>
          <w:sz w:val="20"/>
          <w:szCs w:val="20"/>
          <w:lang w:val="es-419"/>
        </w:rPr>
      </w:pPr>
    </w:p>
    <w:p w14:paraId="6D01331A" w14:textId="4D7D22E3" w:rsidR="00393AA3" w:rsidRPr="00393AA3" w:rsidRDefault="00393AA3" w:rsidP="00393AA3">
      <w:pPr>
        <w:jc w:val="both"/>
        <w:rPr>
          <w:rFonts w:ascii="Arial" w:hAnsi="Arial" w:cs="Arial"/>
          <w:sz w:val="20"/>
          <w:szCs w:val="20"/>
          <w:lang w:val="es-419"/>
        </w:rPr>
      </w:pPr>
      <w:r w:rsidRPr="00393AA3">
        <w:rPr>
          <w:rFonts w:ascii="Arial" w:hAnsi="Arial" w:cs="Arial"/>
          <w:sz w:val="20"/>
          <w:szCs w:val="20"/>
          <w:lang w:val="es-419"/>
        </w:rPr>
        <w:t>En el presente caso se dirigió la demanda de pertenencia en contra de Carlos Restrepo Arango, de quien se dijo ignorar su residencia, domicilio y lugar de trabajo</w:t>
      </w:r>
      <w:r>
        <w:rPr>
          <w:rFonts w:ascii="Arial" w:hAnsi="Arial" w:cs="Arial"/>
          <w:sz w:val="20"/>
          <w:szCs w:val="20"/>
          <w:lang w:val="es-419"/>
        </w:rPr>
        <w:t>…</w:t>
      </w:r>
    </w:p>
    <w:p w14:paraId="62126261" w14:textId="77777777" w:rsidR="00393AA3" w:rsidRPr="00393AA3" w:rsidRDefault="00393AA3" w:rsidP="00393AA3">
      <w:pPr>
        <w:jc w:val="both"/>
        <w:rPr>
          <w:rFonts w:ascii="Arial" w:hAnsi="Arial" w:cs="Arial"/>
          <w:sz w:val="20"/>
          <w:szCs w:val="20"/>
          <w:lang w:val="es-419"/>
        </w:rPr>
      </w:pPr>
    </w:p>
    <w:p w14:paraId="24B93868" w14:textId="4E24059D" w:rsidR="00D16928" w:rsidRDefault="00393AA3" w:rsidP="00393AA3">
      <w:pPr>
        <w:jc w:val="both"/>
        <w:rPr>
          <w:rFonts w:ascii="Arial" w:hAnsi="Arial" w:cs="Arial"/>
          <w:sz w:val="20"/>
          <w:szCs w:val="20"/>
          <w:lang w:val="es-419"/>
        </w:rPr>
      </w:pPr>
      <w:r w:rsidRPr="00393AA3">
        <w:rPr>
          <w:rFonts w:ascii="Arial" w:hAnsi="Arial" w:cs="Arial"/>
          <w:sz w:val="20"/>
          <w:szCs w:val="20"/>
          <w:lang w:val="es-419"/>
        </w:rPr>
        <w:t>Sin embargo, desde el albor procesal se advertía información que indicaba la muerte del único demandado</w:t>
      </w:r>
      <w:r>
        <w:rPr>
          <w:rFonts w:ascii="Arial" w:hAnsi="Arial" w:cs="Arial"/>
          <w:sz w:val="20"/>
          <w:szCs w:val="20"/>
          <w:lang w:val="es-419"/>
        </w:rPr>
        <w:t>…</w:t>
      </w:r>
    </w:p>
    <w:p w14:paraId="56F82F7A" w14:textId="0A423430" w:rsidR="00D34CC9" w:rsidRDefault="00D34CC9" w:rsidP="00393AA3">
      <w:pPr>
        <w:jc w:val="both"/>
        <w:rPr>
          <w:rFonts w:ascii="Arial" w:hAnsi="Arial" w:cs="Arial"/>
          <w:sz w:val="20"/>
          <w:szCs w:val="20"/>
          <w:lang w:val="es-419"/>
        </w:rPr>
      </w:pPr>
    </w:p>
    <w:p w14:paraId="28D8D940" w14:textId="2B1B3E44" w:rsidR="00D34CC9" w:rsidRPr="00D16928" w:rsidRDefault="00D34CC9" w:rsidP="00393AA3">
      <w:pPr>
        <w:jc w:val="both"/>
        <w:rPr>
          <w:rFonts w:ascii="Arial" w:hAnsi="Arial" w:cs="Arial"/>
          <w:sz w:val="20"/>
          <w:szCs w:val="20"/>
          <w:lang w:val="es-419"/>
        </w:rPr>
      </w:pPr>
      <w:r w:rsidRPr="00D34CC9">
        <w:rPr>
          <w:rFonts w:ascii="Arial" w:hAnsi="Arial" w:cs="Arial"/>
          <w:sz w:val="20"/>
          <w:szCs w:val="20"/>
          <w:lang w:val="es-419"/>
        </w:rPr>
        <w:t>Lo que acá se concluye es que, incluso para la fecha de presentación de la demanda, ya el señor Restrepo Arango había fallecido, luego se terminó adelantando el proceso en contra de una persona que ya había desaparecido</w:t>
      </w:r>
      <w:r>
        <w:rPr>
          <w:rFonts w:ascii="Arial" w:hAnsi="Arial" w:cs="Arial"/>
          <w:sz w:val="20"/>
          <w:szCs w:val="20"/>
          <w:lang w:val="es-419"/>
        </w:rPr>
        <w:t>…</w:t>
      </w:r>
      <w:r w:rsidRPr="00D34CC9">
        <w:rPr>
          <w:rFonts w:ascii="Arial" w:hAnsi="Arial" w:cs="Arial"/>
          <w:sz w:val="20"/>
          <w:szCs w:val="20"/>
          <w:lang w:val="es-419"/>
        </w:rPr>
        <w:t xml:space="preserve"> Todas esas actuaciones, sin duda revelan una irregularidad procesal constitutiva de nulidad, pues se demandó y emplazó a un muerto, y se omitió integrar al proceso a los llamados a continuar su personalidad</w:t>
      </w:r>
      <w:r>
        <w:rPr>
          <w:rFonts w:ascii="Arial" w:hAnsi="Arial" w:cs="Arial"/>
          <w:sz w:val="20"/>
          <w:szCs w:val="20"/>
          <w:lang w:val="es-419"/>
        </w:rPr>
        <w:t>…</w:t>
      </w:r>
    </w:p>
    <w:p w14:paraId="70B5A72C" w14:textId="77777777" w:rsidR="00D16928" w:rsidRPr="00D16928" w:rsidRDefault="00D16928" w:rsidP="00D16928">
      <w:pPr>
        <w:jc w:val="both"/>
        <w:rPr>
          <w:rFonts w:ascii="Arial" w:hAnsi="Arial" w:cs="Arial"/>
          <w:sz w:val="20"/>
          <w:szCs w:val="20"/>
          <w:lang w:val="es-ES"/>
        </w:rPr>
      </w:pPr>
    </w:p>
    <w:p w14:paraId="03DB4870" w14:textId="77777777" w:rsidR="00D16928" w:rsidRPr="00D16928" w:rsidRDefault="00D16928" w:rsidP="00D16928">
      <w:pPr>
        <w:jc w:val="both"/>
        <w:rPr>
          <w:rFonts w:ascii="Arial" w:hAnsi="Arial" w:cs="Arial"/>
          <w:sz w:val="20"/>
          <w:szCs w:val="20"/>
          <w:lang w:val="es-ES"/>
        </w:rPr>
      </w:pPr>
    </w:p>
    <w:p w14:paraId="0E769123" w14:textId="77777777" w:rsidR="00D16928" w:rsidRPr="00D16928" w:rsidRDefault="00D16928" w:rsidP="00D16928">
      <w:pPr>
        <w:jc w:val="both"/>
        <w:rPr>
          <w:rFonts w:ascii="Arial" w:hAnsi="Arial" w:cs="Arial"/>
          <w:sz w:val="20"/>
          <w:szCs w:val="20"/>
          <w:lang w:val="es-ES"/>
        </w:rPr>
      </w:pPr>
    </w:p>
    <w:bookmarkEnd w:id="0"/>
    <w:p w14:paraId="4A678240" w14:textId="77777777" w:rsidR="00BD15C3" w:rsidRPr="00D16928" w:rsidRDefault="00BD15C3" w:rsidP="00D1692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D16928">
        <w:rPr>
          <w:rFonts w:ascii="Arial Narrow" w:hAnsi="Arial Narrow" w:cs="Arial Narrow"/>
          <w:b/>
          <w:bCs/>
          <w:sz w:val="26"/>
          <w:szCs w:val="26"/>
        </w:rPr>
        <w:t>REPÚBLICA DE COLOMBIA</w:t>
      </w:r>
    </w:p>
    <w:p w14:paraId="7FFC9F66" w14:textId="40D8A132" w:rsidR="00BD15C3" w:rsidRPr="00D16928" w:rsidRDefault="002E70B2" w:rsidP="00D1692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D16928">
        <w:rPr>
          <w:rFonts w:ascii="Arial Narrow" w:hAnsi="Arial Narrow"/>
          <w:noProof/>
          <w:sz w:val="26"/>
          <w:szCs w:val="26"/>
          <w:lang w:eastAsia="es-CO"/>
        </w:rPr>
        <w:drawing>
          <wp:inline distT="0" distB="0" distL="0" distR="0" wp14:anchorId="402FDDDF" wp14:editId="075F90B4">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43C75624" w14:textId="38D6EF31" w:rsidR="002E70B2" w:rsidRPr="00D16928" w:rsidRDefault="00BD15C3" w:rsidP="00D1692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D16928">
        <w:rPr>
          <w:rFonts w:ascii="Arial Narrow" w:hAnsi="Arial Narrow" w:cs="Arial Narrow"/>
          <w:b/>
          <w:bCs/>
          <w:sz w:val="26"/>
          <w:szCs w:val="26"/>
        </w:rPr>
        <w:t>TRIBUNAL SUPERIOR DE</w:t>
      </w:r>
      <w:r w:rsidR="00CB2E55" w:rsidRPr="00D16928">
        <w:rPr>
          <w:rFonts w:ascii="Arial Narrow" w:hAnsi="Arial Narrow" w:cs="Arial Narrow"/>
          <w:b/>
          <w:bCs/>
          <w:sz w:val="26"/>
          <w:szCs w:val="26"/>
        </w:rPr>
        <w:t xml:space="preserve"> </w:t>
      </w:r>
      <w:r w:rsidR="005F3BBD" w:rsidRPr="00D16928">
        <w:rPr>
          <w:rFonts w:ascii="Arial Narrow" w:hAnsi="Arial Narrow" w:cs="Arial Narrow"/>
          <w:b/>
          <w:bCs/>
          <w:sz w:val="26"/>
          <w:szCs w:val="26"/>
        </w:rPr>
        <w:t xml:space="preserve">PEREIRA </w:t>
      </w:r>
    </w:p>
    <w:p w14:paraId="51406B29" w14:textId="77777777" w:rsidR="00BD15C3" w:rsidRPr="00D16928" w:rsidRDefault="00BD15C3" w:rsidP="00D1692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D16928">
        <w:rPr>
          <w:rFonts w:ascii="Arial Narrow" w:hAnsi="Arial Narrow" w:cs="Arial Narrow"/>
          <w:b/>
          <w:bCs/>
          <w:sz w:val="26"/>
          <w:szCs w:val="26"/>
        </w:rPr>
        <w:t>SALA DE DECISIÓN CIVIL</w:t>
      </w:r>
      <w:r w:rsidR="002E70B2" w:rsidRPr="00D16928">
        <w:rPr>
          <w:rFonts w:ascii="Arial Narrow" w:hAnsi="Arial Narrow" w:cs="Arial Narrow"/>
          <w:b/>
          <w:bCs/>
          <w:sz w:val="26"/>
          <w:szCs w:val="26"/>
        </w:rPr>
        <w:t xml:space="preserve"> </w:t>
      </w:r>
      <w:r w:rsidRPr="00D16928">
        <w:rPr>
          <w:rFonts w:ascii="Arial Narrow" w:hAnsi="Arial Narrow" w:cs="Arial Narrow"/>
          <w:b/>
          <w:bCs/>
          <w:sz w:val="26"/>
          <w:szCs w:val="26"/>
        </w:rPr>
        <w:t>–</w:t>
      </w:r>
      <w:r w:rsidR="002E70B2" w:rsidRPr="00D16928">
        <w:rPr>
          <w:rFonts w:ascii="Arial Narrow" w:hAnsi="Arial Narrow" w:cs="Arial Narrow"/>
          <w:b/>
          <w:bCs/>
          <w:sz w:val="26"/>
          <w:szCs w:val="26"/>
        </w:rPr>
        <w:t xml:space="preserve"> </w:t>
      </w:r>
      <w:r w:rsidRPr="00D16928">
        <w:rPr>
          <w:rFonts w:ascii="Arial Narrow" w:hAnsi="Arial Narrow" w:cs="Arial Narrow"/>
          <w:b/>
          <w:bCs/>
          <w:sz w:val="26"/>
          <w:szCs w:val="26"/>
        </w:rPr>
        <w:t>FAMILIA</w:t>
      </w:r>
    </w:p>
    <w:p w14:paraId="2F5BD3B2" w14:textId="77777777" w:rsidR="00BD15C3" w:rsidRPr="00D16928" w:rsidRDefault="00BD15C3" w:rsidP="00D16928">
      <w:pPr>
        <w:tabs>
          <w:tab w:val="left" w:pos="-720"/>
        </w:tabs>
        <w:suppressAutoHyphens/>
        <w:spacing w:line="276" w:lineRule="auto"/>
        <w:jc w:val="center"/>
        <w:rPr>
          <w:rFonts w:ascii="Arial Narrow" w:hAnsi="Arial Narrow"/>
          <w:b/>
          <w:bCs/>
          <w:spacing w:val="-3"/>
          <w:sz w:val="26"/>
          <w:szCs w:val="26"/>
        </w:rPr>
      </w:pPr>
    </w:p>
    <w:p w14:paraId="70D5184C" w14:textId="77777777" w:rsidR="00AA0DE3" w:rsidRPr="00D16928" w:rsidRDefault="0049033E" w:rsidP="00D1692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9F0B2F">
        <w:rPr>
          <w:rFonts w:ascii="Arial Narrow" w:hAnsi="Arial Narrow" w:cs="Arial Narrow"/>
          <w:bCs/>
          <w:sz w:val="26"/>
          <w:szCs w:val="26"/>
        </w:rPr>
        <w:t>Magistrado sustanciador:</w:t>
      </w:r>
      <w:r w:rsidRPr="00D16928">
        <w:rPr>
          <w:rFonts w:ascii="Arial Narrow" w:hAnsi="Arial Narrow" w:cs="Arial Narrow"/>
          <w:b/>
          <w:bCs/>
          <w:sz w:val="26"/>
          <w:szCs w:val="26"/>
        </w:rPr>
        <w:t xml:space="preserve"> Carlos Mauricio García Barajas</w:t>
      </w:r>
    </w:p>
    <w:p w14:paraId="3A120423" w14:textId="77777777" w:rsidR="00AA0DE3" w:rsidRPr="003F69FB" w:rsidRDefault="00AA0DE3"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6035752D" w14:textId="0DFD6020" w:rsidR="00696031" w:rsidRPr="00D16928" w:rsidRDefault="004A6F5C" w:rsidP="00D1692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D16928">
        <w:rPr>
          <w:rFonts w:ascii="Arial Narrow" w:hAnsi="Arial Narrow" w:cs="Arial Narrow"/>
          <w:b/>
          <w:color w:val="auto"/>
          <w:sz w:val="26"/>
          <w:szCs w:val="26"/>
          <w:lang w:val="es-ES"/>
        </w:rPr>
        <w:t>Septiembre</w:t>
      </w:r>
      <w:r w:rsidR="00970CA0" w:rsidRPr="00D16928">
        <w:rPr>
          <w:rFonts w:ascii="Arial Narrow" w:hAnsi="Arial Narrow" w:cs="Arial Narrow"/>
          <w:b/>
          <w:color w:val="auto"/>
          <w:sz w:val="26"/>
          <w:szCs w:val="26"/>
          <w:lang w:val="es-ES"/>
        </w:rPr>
        <w:t xml:space="preserve"> </w:t>
      </w:r>
      <w:r w:rsidR="00B42493" w:rsidRPr="00D16928">
        <w:rPr>
          <w:rFonts w:ascii="Arial Narrow" w:hAnsi="Arial Narrow" w:cs="Arial Narrow"/>
          <w:b/>
          <w:color w:val="auto"/>
          <w:sz w:val="26"/>
          <w:szCs w:val="26"/>
          <w:lang w:val="es-ES"/>
        </w:rPr>
        <w:t>quince (15</w:t>
      </w:r>
      <w:r w:rsidR="000B06B9" w:rsidRPr="00D16928">
        <w:rPr>
          <w:rFonts w:ascii="Arial Narrow" w:hAnsi="Arial Narrow" w:cs="Arial Narrow"/>
          <w:b/>
          <w:color w:val="auto"/>
          <w:sz w:val="26"/>
          <w:szCs w:val="26"/>
          <w:lang w:val="es-ES"/>
        </w:rPr>
        <w:t>)</w:t>
      </w:r>
      <w:r w:rsidR="00696031" w:rsidRPr="00D16928">
        <w:rPr>
          <w:rFonts w:ascii="Arial Narrow" w:hAnsi="Arial Narrow" w:cs="Arial Narrow"/>
          <w:b/>
          <w:color w:val="auto"/>
          <w:sz w:val="26"/>
          <w:szCs w:val="26"/>
          <w:lang w:val="es-ES"/>
        </w:rPr>
        <w:t xml:space="preserve"> de dos mil veintiuno (2.021)</w:t>
      </w:r>
    </w:p>
    <w:p w14:paraId="7DDD1D9B" w14:textId="77777777" w:rsidR="00696031" w:rsidRPr="003F69FB" w:rsidRDefault="00696031"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26C5B07B" w14:textId="49A6FB7A" w:rsidR="00BD15C3" w:rsidRPr="009F0B2F" w:rsidRDefault="005F3BBD" w:rsidP="009F0B2F">
      <w:pPr>
        <w:pStyle w:val="Default"/>
        <w:jc w:val="both"/>
        <w:rPr>
          <w:rFonts w:ascii="Arial Narrow" w:hAnsi="Arial Narrow"/>
          <w:szCs w:val="26"/>
        </w:rPr>
      </w:pPr>
      <w:r w:rsidRPr="009F0B2F">
        <w:rPr>
          <w:rFonts w:ascii="Arial Narrow" w:hAnsi="Arial Narrow"/>
          <w:szCs w:val="26"/>
        </w:rPr>
        <w:t>Radicación No.</w:t>
      </w:r>
      <w:r w:rsidR="009F0B2F">
        <w:rPr>
          <w:rFonts w:ascii="Arial Narrow" w:hAnsi="Arial Narrow"/>
          <w:szCs w:val="26"/>
        </w:rPr>
        <w:t>:</w:t>
      </w:r>
      <w:r w:rsidR="00C85AC0">
        <w:rPr>
          <w:rFonts w:ascii="Arial Narrow" w:hAnsi="Arial Narrow"/>
          <w:szCs w:val="26"/>
        </w:rPr>
        <w:tab/>
      </w:r>
      <w:r w:rsidR="009F0B2F">
        <w:rPr>
          <w:rFonts w:ascii="Arial Narrow" w:hAnsi="Arial Narrow"/>
          <w:szCs w:val="26"/>
        </w:rPr>
        <w:tab/>
      </w:r>
      <w:r w:rsidR="004A6F5C" w:rsidRPr="009F0B2F">
        <w:rPr>
          <w:rFonts w:ascii="Arial Narrow" w:hAnsi="Arial Narrow"/>
          <w:szCs w:val="26"/>
        </w:rPr>
        <w:t>05001310300120060002801</w:t>
      </w:r>
    </w:p>
    <w:p w14:paraId="09102B30" w14:textId="260A579B" w:rsidR="00AA0DE3" w:rsidRPr="009F0B2F" w:rsidRDefault="00AA0DE3" w:rsidP="009F0B2F">
      <w:pPr>
        <w:pStyle w:val="Default"/>
        <w:jc w:val="both"/>
        <w:rPr>
          <w:rFonts w:ascii="Arial Narrow" w:hAnsi="Arial Narrow"/>
          <w:szCs w:val="26"/>
        </w:rPr>
      </w:pPr>
      <w:r w:rsidRPr="009F0B2F">
        <w:rPr>
          <w:rFonts w:ascii="Arial Narrow" w:hAnsi="Arial Narrow"/>
          <w:szCs w:val="26"/>
        </w:rPr>
        <w:t>Proviene:</w:t>
      </w:r>
      <w:r w:rsidR="00C85AC0">
        <w:rPr>
          <w:rFonts w:ascii="Arial Narrow" w:hAnsi="Arial Narrow"/>
          <w:szCs w:val="26"/>
        </w:rPr>
        <w:tab/>
      </w:r>
      <w:r w:rsidR="00142160" w:rsidRPr="009F0B2F">
        <w:rPr>
          <w:rFonts w:ascii="Arial Narrow" w:hAnsi="Arial Narrow"/>
          <w:szCs w:val="26"/>
        </w:rPr>
        <w:tab/>
      </w:r>
      <w:r w:rsidR="0049033E" w:rsidRPr="009F0B2F">
        <w:rPr>
          <w:rFonts w:ascii="Arial Narrow" w:hAnsi="Arial Narrow"/>
          <w:szCs w:val="26"/>
        </w:rPr>
        <w:t xml:space="preserve">Juzgado </w:t>
      </w:r>
      <w:r w:rsidR="004A6F5C" w:rsidRPr="009F0B2F">
        <w:rPr>
          <w:rFonts w:ascii="Arial Narrow" w:hAnsi="Arial Narrow"/>
          <w:szCs w:val="26"/>
        </w:rPr>
        <w:t>Quince Civil del Circuito de Medellín</w:t>
      </w:r>
      <w:r w:rsidR="000A2035" w:rsidRPr="009F0B2F">
        <w:rPr>
          <w:rFonts w:ascii="Arial Narrow" w:hAnsi="Arial Narrow"/>
          <w:szCs w:val="26"/>
        </w:rPr>
        <w:t>.</w:t>
      </w:r>
    </w:p>
    <w:p w14:paraId="4C55955F" w14:textId="75CF9871" w:rsidR="00AA0DE3" w:rsidRPr="009F0B2F" w:rsidRDefault="00AA0DE3" w:rsidP="009F0B2F">
      <w:pPr>
        <w:pStyle w:val="Default"/>
        <w:jc w:val="both"/>
        <w:rPr>
          <w:rFonts w:ascii="Arial Narrow" w:hAnsi="Arial Narrow"/>
          <w:szCs w:val="26"/>
        </w:rPr>
      </w:pPr>
      <w:r w:rsidRPr="009F0B2F">
        <w:rPr>
          <w:rFonts w:ascii="Arial Narrow" w:hAnsi="Arial Narrow"/>
          <w:szCs w:val="26"/>
        </w:rPr>
        <w:t>Proceso:</w:t>
      </w:r>
      <w:r w:rsidR="00142160" w:rsidRPr="009F0B2F">
        <w:rPr>
          <w:rFonts w:ascii="Arial Narrow" w:hAnsi="Arial Narrow"/>
          <w:szCs w:val="26"/>
        </w:rPr>
        <w:tab/>
      </w:r>
      <w:r w:rsidR="00C85AC0">
        <w:rPr>
          <w:rFonts w:ascii="Arial Narrow" w:hAnsi="Arial Narrow"/>
          <w:szCs w:val="26"/>
        </w:rPr>
        <w:tab/>
      </w:r>
      <w:r w:rsidR="004A6F5C" w:rsidRPr="009F0B2F">
        <w:rPr>
          <w:rFonts w:ascii="Arial Narrow" w:hAnsi="Arial Narrow"/>
          <w:szCs w:val="26"/>
        </w:rPr>
        <w:t>Pertenencia</w:t>
      </w:r>
      <w:r w:rsidR="0049033E" w:rsidRPr="009F0B2F">
        <w:rPr>
          <w:rFonts w:ascii="Arial Narrow" w:hAnsi="Arial Narrow"/>
          <w:szCs w:val="26"/>
        </w:rPr>
        <w:t xml:space="preserve"> – Apelación de sentencia</w:t>
      </w:r>
      <w:r w:rsidR="000A2035" w:rsidRPr="009F0B2F">
        <w:rPr>
          <w:rFonts w:ascii="Arial Narrow" w:hAnsi="Arial Narrow"/>
          <w:szCs w:val="26"/>
        </w:rPr>
        <w:t>.</w:t>
      </w:r>
    </w:p>
    <w:p w14:paraId="0A503B8D" w14:textId="38181DAA" w:rsidR="004A6F5C" w:rsidRPr="009F0B2F" w:rsidRDefault="00AA0DE3" w:rsidP="009F0B2F">
      <w:pPr>
        <w:pStyle w:val="Default"/>
        <w:jc w:val="both"/>
        <w:rPr>
          <w:rFonts w:ascii="Arial Narrow" w:hAnsi="Arial Narrow"/>
          <w:szCs w:val="26"/>
        </w:rPr>
      </w:pPr>
      <w:r w:rsidRPr="009F0B2F">
        <w:rPr>
          <w:rFonts w:ascii="Arial Narrow" w:hAnsi="Arial Narrow"/>
          <w:szCs w:val="26"/>
        </w:rPr>
        <w:t>Demandante</w:t>
      </w:r>
      <w:r w:rsidR="004A6F5C" w:rsidRPr="009F0B2F">
        <w:rPr>
          <w:rFonts w:ascii="Arial Narrow" w:hAnsi="Arial Narrow"/>
          <w:szCs w:val="26"/>
        </w:rPr>
        <w:t>s</w:t>
      </w:r>
      <w:r w:rsidRPr="009F0B2F">
        <w:rPr>
          <w:rFonts w:ascii="Arial Narrow" w:hAnsi="Arial Narrow"/>
          <w:szCs w:val="26"/>
        </w:rPr>
        <w:t>:</w:t>
      </w:r>
      <w:r w:rsidR="00C85AC0">
        <w:rPr>
          <w:rFonts w:ascii="Arial Narrow" w:hAnsi="Arial Narrow"/>
          <w:szCs w:val="26"/>
        </w:rPr>
        <w:tab/>
      </w:r>
      <w:r w:rsidR="00142160" w:rsidRPr="009F0B2F">
        <w:rPr>
          <w:rFonts w:ascii="Arial Narrow" w:hAnsi="Arial Narrow"/>
          <w:szCs w:val="26"/>
        </w:rPr>
        <w:tab/>
      </w:r>
      <w:proofErr w:type="spellStart"/>
      <w:r w:rsidR="004A6F5C" w:rsidRPr="009F0B2F">
        <w:rPr>
          <w:rFonts w:ascii="Arial Narrow" w:hAnsi="Arial Narrow"/>
          <w:szCs w:val="26"/>
        </w:rPr>
        <w:t>Evidalina</w:t>
      </w:r>
      <w:proofErr w:type="spellEnd"/>
      <w:r w:rsidR="004A6F5C" w:rsidRPr="009F0B2F">
        <w:rPr>
          <w:rFonts w:ascii="Arial Narrow" w:hAnsi="Arial Narrow"/>
          <w:szCs w:val="26"/>
        </w:rPr>
        <w:t xml:space="preserve"> Martínez Valencia y otros</w:t>
      </w:r>
      <w:r w:rsidR="000A2035" w:rsidRPr="009F0B2F">
        <w:rPr>
          <w:rFonts w:ascii="Arial Narrow" w:hAnsi="Arial Narrow"/>
          <w:szCs w:val="26"/>
        </w:rPr>
        <w:t>.</w:t>
      </w:r>
    </w:p>
    <w:p w14:paraId="43094220" w14:textId="1036CAEB" w:rsidR="00AA0DE3" w:rsidRPr="009F0B2F" w:rsidRDefault="00AA0DE3" w:rsidP="009F0B2F">
      <w:pPr>
        <w:pStyle w:val="Default"/>
        <w:jc w:val="both"/>
        <w:rPr>
          <w:rFonts w:ascii="Arial Narrow" w:hAnsi="Arial Narrow"/>
          <w:szCs w:val="26"/>
        </w:rPr>
      </w:pPr>
      <w:r w:rsidRPr="009F0B2F">
        <w:rPr>
          <w:rFonts w:ascii="Arial Narrow" w:hAnsi="Arial Narrow"/>
          <w:szCs w:val="26"/>
        </w:rPr>
        <w:t>Demandado</w:t>
      </w:r>
      <w:r w:rsidR="0049033E" w:rsidRPr="009F0B2F">
        <w:rPr>
          <w:rFonts w:ascii="Arial Narrow" w:hAnsi="Arial Narrow"/>
          <w:szCs w:val="26"/>
        </w:rPr>
        <w:t>s</w:t>
      </w:r>
      <w:r w:rsidRPr="009F0B2F">
        <w:rPr>
          <w:rFonts w:ascii="Arial Narrow" w:hAnsi="Arial Narrow"/>
          <w:szCs w:val="26"/>
        </w:rPr>
        <w:t>:</w:t>
      </w:r>
      <w:r w:rsidR="00142160" w:rsidRPr="009F0B2F">
        <w:rPr>
          <w:rFonts w:ascii="Arial Narrow" w:hAnsi="Arial Narrow"/>
          <w:szCs w:val="26"/>
        </w:rPr>
        <w:tab/>
      </w:r>
      <w:r w:rsidR="00C85AC0">
        <w:rPr>
          <w:rFonts w:ascii="Arial Narrow" w:hAnsi="Arial Narrow"/>
          <w:szCs w:val="26"/>
        </w:rPr>
        <w:tab/>
      </w:r>
      <w:r w:rsidR="004A6F5C" w:rsidRPr="009F0B2F">
        <w:rPr>
          <w:rFonts w:ascii="Arial Narrow" w:hAnsi="Arial Narrow"/>
          <w:szCs w:val="26"/>
        </w:rPr>
        <w:t>Carlos Restrepo Ara</w:t>
      </w:r>
      <w:r w:rsidR="000A2035" w:rsidRPr="009F0B2F">
        <w:rPr>
          <w:rFonts w:ascii="Arial Narrow" w:hAnsi="Arial Narrow"/>
          <w:szCs w:val="26"/>
        </w:rPr>
        <w:t>n</w:t>
      </w:r>
      <w:r w:rsidR="004A6F5C" w:rsidRPr="009F0B2F">
        <w:rPr>
          <w:rFonts w:ascii="Arial Narrow" w:hAnsi="Arial Narrow"/>
          <w:szCs w:val="26"/>
        </w:rPr>
        <w:t>go</w:t>
      </w:r>
      <w:r w:rsidR="000A2035" w:rsidRPr="009F0B2F">
        <w:rPr>
          <w:rFonts w:ascii="Arial Narrow" w:hAnsi="Arial Narrow"/>
          <w:szCs w:val="26"/>
        </w:rPr>
        <w:t>.</w:t>
      </w:r>
    </w:p>
    <w:p w14:paraId="553A9E6A" w14:textId="77777777" w:rsidR="004A6F5C" w:rsidRPr="003F69FB" w:rsidRDefault="004A6F5C"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44DC2BB7" w14:textId="08FBF257" w:rsidR="0049033E" w:rsidRPr="00A512C5" w:rsidRDefault="00A512C5" w:rsidP="00D1692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Cs/>
          <w:sz w:val="26"/>
          <w:szCs w:val="26"/>
        </w:rPr>
      </w:pPr>
      <w:bookmarkStart w:id="1" w:name="_GoBack"/>
      <w:r w:rsidRPr="00A512C5">
        <w:rPr>
          <w:rFonts w:ascii="Arial Narrow" w:hAnsi="Arial Narrow" w:cs="Arial Narrow"/>
          <w:bCs/>
          <w:sz w:val="26"/>
          <w:szCs w:val="26"/>
        </w:rPr>
        <w:t>Auto</w:t>
      </w:r>
      <w:r w:rsidR="0049033E" w:rsidRPr="00A512C5">
        <w:rPr>
          <w:rFonts w:ascii="Arial Narrow" w:hAnsi="Arial Narrow" w:cs="Arial Narrow"/>
          <w:bCs/>
          <w:sz w:val="26"/>
          <w:szCs w:val="26"/>
        </w:rPr>
        <w:t>: AC</w:t>
      </w:r>
      <w:r w:rsidRPr="00A512C5">
        <w:rPr>
          <w:rFonts w:ascii="Arial Narrow" w:hAnsi="Arial Narrow" w:cs="Arial Narrow"/>
          <w:bCs/>
          <w:sz w:val="26"/>
          <w:szCs w:val="26"/>
        </w:rPr>
        <w:t>-</w:t>
      </w:r>
      <w:r w:rsidR="009811F6" w:rsidRPr="00A512C5">
        <w:rPr>
          <w:rFonts w:ascii="Arial Narrow" w:hAnsi="Arial Narrow" w:cs="Arial Narrow"/>
          <w:bCs/>
          <w:sz w:val="26"/>
          <w:szCs w:val="26"/>
        </w:rPr>
        <w:t>0128</w:t>
      </w:r>
      <w:r w:rsidRPr="00A512C5">
        <w:rPr>
          <w:rFonts w:ascii="Arial Narrow" w:hAnsi="Arial Narrow" w:cs="Arial Narrow"/>
          <w:bCs/>
          <w:sz w:val="26"/>
          <w:szCs w:val="26"/>
        </w:rPr>
        <w:t>-2021</w:t>
      </w:r>
    </w:p>
    <w:bookmarkEnd w:id="1"/>
    <w:p w14:paraId="21CFEE16" w14:textId="77777777" w:rsidR="005F3BBD" w:rsidRPr="003F69FB" w:rsidRDefault="005F3BBD"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40ED98AF" w14:textId="77777777" w:rsidR="00970CA0" w:rsidRPr="00D16928" w:rsidRDefault="00970CA0" w:rsidP="00D1692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D16928">
        <w:rPr>
          <w:rFonts w:ascii="Arial Narrow" w:hAnsi="Arial Narrow" w:cs="Arial Narrow"/>
          <w:b/>
          <w:bCs/>
          <w:color w:val="auto"/>
          <w:sz w:val="26"/>
          <w:szCs w:val="26"/>
          <w:lang w:val="es-CO"/>
        </w:rPr>
        <w:t xml:space="preserve">Objeto de la providencia. </w:t>
      </w:r>
    </w:p>
    <w:p w14:paraId="7607517B" w14:textId="77777777" w:rsidR="00970CA0" w:rsidRPr="003F69FB" w:rsidRDefault="00970CA0"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2301EE21" w14:textId="067E618A" w:rsidR="00320BA7" w:rsidRPr="00D16928" w:rsidRDefault="00CB2E55" w:rsidP="00D1692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FF0000"/>
          <w:sz w:val="26"/>
          <w:szCs w:val="26"/>
          <w:lang w:val="es-CO"/>
        </w:rPr>
      </w:pPr>
      <w:r w:rsidRPr="00D16928">
        <w:rPr>
          <w:rFonts w:ascii="Arial Narrow" w:hAnsi="Arial Narrow"/>
          <w:sz w:val="26"/>
          <w:szCs w:val="26"/>
          <w:lang w:val="es-CO"/>
        </w:rPr>
        <w:t xml:space="preserve">Sería del caso proferir sentencia que resuelva la alzada propuesta, en virtud de </w:t>
      </w:r>
      <w:r w:rsidR="00320BA7" w:rsidRPr="00D16928">
        <w:rPr>
          <w:rFonts w:ascii="Arial Narrow" w:hAnsi="Arial Narrow" w:cs="Arial Narrow"/>
          <w:bCs/>
          <w:color w:val="000000" w:themeColor="text1"/>
          <w:sz w:val="26"/>
          <w:szCs w:val="26"/>
          <w:lang w:val="es-CO"/>
        </w:rPr>
        <w:t xml:space="preserve">lo establecido en el Acuerdo PCSJA19-11327 de 2019 del Consejo Superior de la Judicatura, que se ha venido prorrogando hasta la fecha, de no ser porque se observa una irregularidad procesal constitutiva de nulidad que debe declararse de oficio. </w:t>
      </w:r>
    </w:p>
    <w:p w14:paraId="479E650B" w14:textId="1C19291A" w:rsidR="00CB2E55" w:rsidRPr="003F69FB" w:rsidRDefault="00CB2E55"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11CDC8B5" w14:textId="39DEA35E" w:rsidR="004A6F5C" w:rsidRPr="00D16928" w:rsidRDefault="00E50031" w:rsidP="00D16928">
      <w:pPr>
        <w:pStyle w:val="Default"/>
        <w:spacing w:line="276" w:lineRule="auto"/>
        <w:jc w:val="both"/>
        <w:rPr>
          <w:rFonts w:ascii="Arial Narrow" w:hAnsi="Arial Narrow"/>
          <w:sz w:val="26"/>
          <w:szCs w:val="26"/>
        </w:rPr>
      </w:pPr>
      <w:r w:rsidRPr="00D16928">
        <w:rPr>
          <w:rFonts w:ascii="Arial Narrow" w:hAnsi="Arial Narrow"/>
          <w:sz w:val="26"/>
          <w:szCs w:val="26"/>
        </w:rPr>
        <w:t xml:space="preserve">A ello se procede con pie en las siguientes </w:t>
      </w:r>
    </w:p>
    <w:p w14:paraId="1E998652" w14:textId="77777777" w:rsidR="004A6F5C" w:rsidRPr="003F69FB" w:rsidRDefault="004A6F5C"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02C2C4F8" w14:textId="10889424" w:rsidR="00AA0DE3" w:rsidRPr="00D16928" w:rsidRDefault="00970CA0" w:rsidP="00D16928">
      <w:pPr>
        <w:pStyle w:val="Default"/>
        <w:spacing w:line="276" w:lineRule="auto"/>
        <w:jc w:val="center"/>
        <w:rPr>
          <w:rFonts w:ascii="Arial Narrow" w:hAnsi="Arial Narrow"/>
          <w:b/>
          <w:sz w:val="26"/>
          <w:szCs w:val="26"/>
        </w:rPr>
      </w:pPr>
      <w:r w:rsidRPr="00D16928">
        <w:rPr>
          <w:rFonts w:ascii="Arial Narrow" w:hAnsi="Arial Narrow"/>
          <w:b/>
          <w:sz w:val="26"/>
          <w:szCs w:val="26"/>
        </w:rPr>
        <w:t>Consideraciones</w:t>
      </w:r>
    </w:p>
    <w:p w14:paraId="050B1505" w14:textId="77777777" w:rsidR="00970CA0" w:rsidRPr="003F69FB" w:rsidRDefault="00970CA0"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153219C4" w14:textId="27607D20" w:rsidR="001D49B9" w:rsidRPr="00D16928" w:rsidRDefault="00F261A3" w:rsidP="00D16928">
      <w:pPr>
        <w:pStyle w:val="Default"/>
        <w:spacing w:line="276" w:lineRule="auto"/>
        <w:jc w:val="both"/>
        <w:rPr>
          <w:rFonts w:ascii="Arial Narrow" w:hAnsi="Arial Narrow"/>
          <w:sz w:val="26"/>
          <w:szCs w:val="26"/>
        </w:rPr>
      </w:pPr>
      <w:r w:rsidRPr="00D16928">
        <w:rPr>
          <w:rFonts w:ascii="Arial Narrow" w:hAnsi="Arial Narrow"/>
          <w:b/>
          <w:sz w:val="26"/>
          <w:szCs w:val="26"/>
        </w:rPr>
        <w:t>1</w:t>
      </w:r>
      <w:r w:rsidR="006420CA" w:rsidRPr="00D16928">
        <w:rPr>
          <w:rFonts w:ascii="Arial Narrow" w:hAnsi="Arial Narrow"/>
          <w:b/>
          <w:sz w:val="26"/>
          <w:szCs w:val="26"/>
        </w:rPr>
        <w:t>-</w:t>
      </w:r>
      <w:r w:rsidRPr="00D16928">
        <w:rPr>
          <w:rFonts w:ascii="Arial Narrow" w:hAnsi="Arial Narrow"/>
          <w:b/>
          <w:sz w:val="26"/>
          <w:szCs w:val="26"/>
        </w:rPr>
        <w:t>.</w:t>
      </w:r>
      <w:r w:rsidRPr="00D16928">
        <w:rPr>
          <w:rFonts w:ascii="Arial Narrow" w:hAnsi="Arial Narrow"/>
          <w:sz w:val="26"/>
          <w:szCs w:val="26"/>
        </w:rPr>
        <w:t xml:space="preserve"> </w:t>
      </w:r>
      <w:r w:rsidR="001368BE" w:rsidRPr="00D16928">
        <w:rPr>
          <w:rFonts w:ascii="Arial Narrow" w:hAnsi="Arial Narrow"/>
          <w:sz w:val="26"/>
          <w:szCs w:val="26"/>
        </w:rPr>
        <w:t>Preceptuaba</w:t>
      </w:r>
      <w:r w:rsidR="00CE16C4" w:rsidRPr="00D16928">
        <w:rPr>
          <w:rFonts w:ascii="Arial Narrow" w:hAnsi="Arial Narrow"/>
          <w:sz w:val="26"/>
          <w:szCs w:val="26"/>
        </w:rPr>
        <w:t xml:space="preserve"> el artículo 407 del Código </w:t>
      </w:r>
      <w:r w:rsidR="005D4761" w:rsidRPr="00D16928">
        <w:rPr>
          <w:rFonts w:ascii="Arial Narrow" w:hAnsi="Arial Narrow"/>
          <w:sz w:val="26"/>
          <w:szCs w:val="26"/>
        </w:rPr>
        <w:t>de Procedimiento Civil</w:t>
      </w:r>
      <w:r w:rsidR="00CE16C4" w:rsidRPr="00D16928">
        <w:rPr>
          <w:rFonts w:ascii="Arial Narrow" w:hAnsi="Arial Narrow"/>
          <w:sz w:val="26"/>
          <w:szCs w:val="26"/>
        </w:rPr>
        <w:t>, que la demanda de pertenencia debe ser dirigida contra aquellos que ostente</w:t>
      </w:r>
      <w:r w:rsidR="005D4761" w:rsidRPr="00D16928">
        <w:rPr>
          <w:rFonts w:ascii="Arial Narrow" w:hAnsi="Arial Narrow"/>
          <w:sz w:val="26"/>
          <w:szCs w:val="26"/>
        </w:rPr>
        <w:t>n</w:t>
      </w:r>
      <w:r w:rsidR="00CE16C4" w:rsidRPr="00D16928">
        <w:rPr>
          <w:rFonts w:ascii="Arial Narrow" w:hAnsi="Arial Narrow"/>
          <w:sz w:val="26"/>
          <w:szCs w:val="26"/>
        </w:rPr>
        <w:t xml:space="preserve"> titularidad de derechos reales principales sobre el inmueble que se pretende usucapir, </w:t>
      </w:r>
      <w:r w:rsidR="00612D72" w:rsidRPr="00D16928">
        <w:rPr>
          <w:rFonts w:ascii="Arial Narrow" w:hAnsi="Arial Narrow"/>
          <w:sz w:val="26"/>
          <w:szCs w:val="26"/>
        </w:rPr>
        <w:t xml:space="preserve">y al trámite se debe </w:t>
      </w:r>
      <w:r w:rsidR="00113C1B" w:rsidRPr="00D16928">
        <w:rPr>
          <w:rFonts w:ascii="Arial Narrow" w:hAnsi="Arial Narrow"/>
          <w:sz w:val="26"/>
          <w:szCs w:val="26"/>
        </w:rPr>
        <w:t>convoca</w:t>
      </w:r>
      <w:r w:rsidR="00122D7A" w:rsidRPr="00D16928">
        <w:rPr>
          <w:rFonts w:ascii="Arial Narrow" w:hAnsi="Arial Narrow"/>
          <w:sz w:val="26"/>
          <w:szCs w:val="26"/>
        </w:rPr>
        <w:t>r</w:t>
      </w:r>
      <w:r w:rsidR="00113C1B" w:rsidRPr="00D16928">
        <w:rPr>
          <w:rFonts w:ascii="Arial Narrow" w:hAnsi="Arial Narrow"/>
          <w:sz w:val="26"/>
          <w:szCs w:val="26"/>
        </w:rPr>
        <w:t xml:space="preserve"> mediante emplazamiento, a </w:t>
      </w:r>
      <w:r w:rsidR="00CE16C4" w:rsidRPr="00D16928">
        <w:rPr>
          <w:rFonts w:ascii="Arial Narrow" w:hAnsi="Arial Narrow"/>
          <w:sz w:val="26"/>
          <w:szCs w:val="26"/>
        </w:rPr>
        <w:t>terceros indeterminados que se crean con derecho sobre el predi</w:t>
      </w:r>
      <w:r w:rsidR="00122D7A" w:rsidRPr="00D16928">
        <w:rPr>
          <w:rFonts w:ascii="Arial Narrow" w:hAnsi="Arial Narrow"/>
          <w:sz w:val="26"/>
          <w:szCs w:val="26"/>
        </w:rPr>
        <w:t>o</w:t>
      </w:r>
      <w:r w:rsidR="005D4761" w:rsidRPr="00D16928">
        <w:rPr>
          <w:rFonts w:ascii="Arial Narrow" w:hAnsi="Arial Narrow"/>
          <w:sz w:val="26"/>
          <w:szCs w:val="26"/>
        </w:rPr>
        <w:t>.</w:t>
      </w:r>
    </w:p>
    <w:p w14:paraId="3E134079" w14:textId="77777777" w:rsidR="00CE16C4" w:rsidRPr="003F69FB" w:rsidRDefault="00CE16C4"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41B6E9FC" w14:textId="281CDAA2" w:rsidR="00E064D5" w:rsidRPr="00D16928" w:rsidRDefault="00CE16C4" w:rsidP="00D16928">
      <w:pPr>
        <w:pStyle w:val="Default"/>
        <w:spacing w:line="276" w:lineRule="auto"/>
        <w:jc w:val="both"/>
        <w:rPr>
          <w:rFonts w:ascii="Arial Narrow" w:hAnsi="Arial Narrow"/>
          <w:sz w:val="26"/>
          <w:szCs w:val="26"/>
        </w:rPr>
      </w:pPr>
      <w:r w:rsidRPr="00D16928">
        <w:rPr>
          <w:rFonts w:ascii="Arial Narrow" w:hAnsi="Arial Narrow"/>
          <w:sz w:val="26"/>
          <w:szCs w:val="26"/>
        </w:rPr>
        <w:t>Ahora bien, si</w:t>
      </w:r>
      <w:r w:rsidR="00DC1770" w:rsidRPr="00D16928">
        <w:rPr>
          <w:rFonts w:ascii="Arial Narrow" w:hAnsi="Arial Narrow"/>
          <w:sz w:val="26"/>
          <w:szCs w:val="26"/>
        </w:rPr>
        <w:t xml:space="preserve"> el titular de derechos reales principales se encuentra fallecido al momento de demandar, carecerá de capacidad para ser parte (Art. 44 C.P.C.) y, por tanto, no podrá ser convocad</w:t>
      </w:r>
      <w:r w:rsidR="00EF1225" w:rsidRPr="00D16928">
        <w:rPr>
          <w:rFonts w:ascii="Arial Narrow" w:hAnsi="Arial Narrow"/>
          <w:sz w:val="26"/>
          <w:szCs w:val="26"/>
        </w:rPr>
        <w:t xml:space="preserve">o </w:t>
      </w:r>
      <w:r w:rsidR="00DC1770" w:rsidRPr="00D16928">
        <w:rPr>
          <w:rFonts w:ascii="Arial Narrow" w:hAnsi="Arial Narrow"/>
          <w:sz w:val="26"/>
          <w:szCs w:val="26"/>
        </w:rPr>
        <w:t>a juicio</w:t>
      </w:r>
      <w:r w:rsidR="00EF1225" w:rsidRPr="00D16928">
        <w:rPr>
          <w:rFonts w:ascii="Arial Narrow" w:hAnsi="Arial Narrow"/>
          <w:sz w:val="26"/>
          <w:szCs w:val="26"/>
        </w:rPr>
        <w:t>, debiendo ser traído a través de sus herederos (</w:t>
      </w:r>
      <w:r w:rsidR="00880F3E" w:rsidRPr="00D16928">
        <w:rPr>
          <w:rFonts w:ascii="Arial Narrow" w:hAnsi="Arial Narrow"/>
          <w:sz w:val="26"/>
          <w:szCs w:val="26"/>
        </w:rPr>
        <w:t xml:space="preserve">Art. 81 Ib.) </w:t>
      </w:r>
      <w:r w:rsidR="00662D63" w:rsidRPr="00D16928">
        <w:rPr>
          <w:rFonts w:ascii="Arial Narrow" w:hAnsi="Arial Narrow"/>
          <w:sz w:val="26"/>
          <w:szCs w:val="26"/>
        </w:rPr>
        <w:t>so pena de incurrir en irregularidad procesal</w:t>
      </w:r>
      <w:r w:rsidR="00AE669B" w:rsidRPr="00D16928">
        <w:rPr>
          <w:rFonts w:ascii="Arial Narrow" w:hAnsi="Arial Narrow"/>
          <w:sz w:val="26"/>
          <w:szCs w:val="26"/>
        </w:rPr>
        <w:t xml:space="preserve"> (Art. 140-9 Ib.)</w:t>
      </w:r>
      <w:r w:rsidR="00662D63" w:rsidRPr="00D16928">
        <w:rPr>
          <w:rFonts w:ascii="Arial Narrow" w:hAnsi="Arial Narrow"/>
          <w:sz w:val="26"/>
          <w:szCs w:val="26"/>
        </w:rPr>
        <w:t xml:space="preserve">. </w:t>
      </w:r>
    </w:p>
    <w:p w14:paraId="77ED72F7" w14:textId="77777777" w:rsidR="00E064D5" w:rsidRPr="003F69FB" w:rsidRDefault="00E064D5"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52DC213E" w14:textId="1B5F1345" w:rsidR="00EF1225" w:rsidRPr="00D16928" w:rsidRDefault="00880F3E" w:rsidP="00D16928">
      <w:pPr>
        <w:pStyle w:val="Default"/>
        <w:spacing w:line="276" w:lineRule="auto"/>
        <w:jc w:val="both"/>
        <w:rPr>
          <w:rFonts w:ascii="Arial Narrow" w:hAnsi="Arial Narrow"/>
          <w:sz w:val="26"/>
          <w:szCs w:val="26"/>
        </w:rPr>
      </w:pPr>
      <w:r w:rsidRPr="00D16928">
        <w:rPr>
          <w:rFonts w:ascii="Arial Narrow" w:hAnsi="Arial Narrow"/>
          <w:sz w:val="26"/>
          <w:szCs w:val="26"/>
        </w:rPr>
        <w:t>Si el deceso ocurre</w:t>
      </w:r>
      <w:r w:rsidR="00C00B40" w:rsidRPr="00D16928">
        <w:rPr>
          <w:rFonts w:ascii="Arial Narrow" w:hAnsi="Arial Narrow"/>
          <w:sz w:val="26"/>
          <w:szCs w:val="26"/>
        </w:rPr>
        <w:t xml:space="preserve"> luego de presentada la demanda, </w:t>
      </w:r>
      <w:r w:rsidR="005252CA" w:rsidRPr="00D16928">
        <w:rPr>
          <w:rFonts w:ascii="Arial Narrow" w:hAnsi="Arial Narrow"/>
          <w:sz w:val="26"/>
          <w:szCs w:val="26"/>
        </w:rPr>
        <w:t>y el demandado fallec</w:t>
      </w:r>
      <w:r w:rsidR="00E064D5" w:rsidRPr="00D16928">
        <w:rPr>
          <w:rFonts w:ascii="Arial Narrow" w:hAnsi="Arial Narrow"/>
          <w:sz w:val="26"/>
          <w:szCs w:val="26"/>
        </w:rPr>
        <w:t>e</w:t>
      </w:r>
      <w:r w:rsidR="005252CA" w:rsidRPr="00D16928">
        <w:rPr>
          <w:rFonts w:ascii="Arial Narrow" w:hAnsi="Arial Narrow"/>
          <w:sz w:val="26"/>
          <w:szCs w:val="26"/>
        </w:rPr>
        <w:t xml:space="preserve"> careciendo de apoderado, representante o curador</w:t>
      </w:r>
      <w:r w:rsidR="00E064D5" w:rsidRPr="00D16928">
        <w:rPr>
          <w:rFonts w:ascii="Arial Narrow" w:hAnsi="Arial Narrow"/>
          <w:sz w:val="26"/>
          <w:szCs w:val="26"/>
        </w:rPr>
        <w:t xml:space="preserve">, se genera el deber de interrumpir el proceso (Art. 168-1 Ib.) </w:t>
      </w:r>
      <w:r w:rsidR="00D527D6" w:rsidRPr="00D16928">
        <w:rPr>
          <w:rFonts w:ascii="Arial Narrow" w:hAnsi="Arial Narrow"/>
          <w:sz w:val="26"/>
          <w:szCs w:val="26"/>
        </w:rPr>
        <w:t xml:space="preserve">y la necesidad de citar a las personas establecidas en el artículo </w:t>
      </w:r>
      <w:r w:rsidR="00910234" w:rsidRPr="00D16928">
        <w:rPr>
          <w:rFonts w:ascii="Arial Narrow" w:hAnsi="Arial Narrow"/>
          <w:sz w:val="26"/>
          <w:szCs w:val="26"/>
        </w:rPr>
        <w:t>siguiente (169). No hacerlo, de igual forma, genera irregularidad procesal constitutiva de nulidad</w:t>
      </w:r>
      <w:r w:rsidR="000E4F6A" w:rsidRPr="00D16928">
        <w:rPr>
          <w:rFonts w:ascii="Arial Narrow" w:hAnsi="Arial Narrow"/>
          <w:sz w:val="26"/>
          <w:szCs w:val="26"/>
        </w:rPr>
        <w:t xml:space="preserve"> (Art. 140-5 Ib.)</w:t>
      </w:r>
      <w:r w:rsidR="00910234" w:rsidRPr="00D16928">
        <w:rPr>
          <w:rFonts w:ascii="Arial Narrow" w:hAnsi="Arial Narrow"/>
          <w:sz w:val="26"/>
          <w:szCs w:val="26"/>
        </w:rPr>
        <w:t xml:space="preserve"> </w:t>
      </w:r>
    </w:p>
    <w:p w14:paraId="71AA50AC" w14:textId="77777777" w:rsidR="00EF1225" w:rsidRPr="003F69FB" w:rsidRDefault="00EF1225"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039D291B" w14:textId="5E5AF724" w:rsidR="00CE16C4" w:rsidRPr="00D16928" w:rsidRDefault="0060292F" w:rsidP="00D16928">
      <w:pPr>
        <w:pStyle w:val="Default"/>
        <w:spacing w:line="276" w:lineRule="auto"/>
        <w:jc w:val="both"/>
        <w:rPr>
          <w:rFonts w:ascii="Arial Narrow" w:hAnsi="Arial Narrow"/>
          <w:sz w:val="26"/>
          <w:szCs w:val="26"/>
        </w:rPr>
      </w:pPr>
      <w:r w:rsidRPr="00D16928">
        <w:rPr>
          <w:rFonts w:ascii="Arial Narrow" w:hAnsi="Arial Narrow"/>
          <w:b/>
          <w:bCs/>
          <w:sz w:val="26"/>
          <w:szCs w:val="26"/>
        </w:rPr>
        <w:t>2.-</w:t>
      </w:r>
      <w:r w:rsidR="00DC1770" w:rsidRPr="00D16928">
        <w:rPr>
          <w:rFonts w:ascii="Arial Narrow" w:hAnsi="Arial Narrow"/>
          <w:sz w:val="26"/>
          <w:szCs w:val="26"/>
        </w:rPr>
        <w:t xml:space="preserve"> </w:t>
      </w:r>
      <w:r w:rsidR="00E66460" w:rsidRPr="00D16928">
        <w:rPr>
          <w:rFonts w:ascii="Arial Narrow" w:hAnsi="Arial Narrow"/>
          <w:sz w:val="26"/>
          <w:szCs w:val="26"/>
        </w:rPr>
        <w:t xml:space="preserve">Cuando </w:t>
      </w:r>
      <w:r w:rsidR="009B64AC" w:rsidRPr="00D16928">
        <w:rPr>
          <w:rFonts w:ascii="Arial Narrow" w:hAnsi="Arial Narrow"/>
          <w:sz w:val="26"/>
          <w:szCs w:val="26"/>
        </w:rPr>
        <w:t>desde el inicio d</w:t>
      </w:r>
      <w:r w:rsidR="00CE16C4" w:rsidRPr="00D16928">
        <w:rPr>
          <w:rFonts w:ascii="Arial Narrow" w:hAnsi="Arial Narrow"/>
          <w:sz w:val="26"/>
          <w:szCs w:val="26"/>
        </w:rPr>
        <w:t xml:space="preserve">el juicio se constata o hay indicios de la defunción de uno de los </w:t>
      </w:r>
      <w:r w:rsidR="00E66460" w:rsidRPr="00D16928">
        <w:rPr>
          <w:rFonts w:ascii="Arial Narrow" w:hAnsi="Arial Narrow"/>
          <w:sz w:val="26"/>
          <w:szCs w:val="26"/>
        </w:rPr>
        <w:t xml:space="preserve">demandados, </w:t>
      </w:r>
      <w:r w:rsidR="00CE16C4" w:rsidRPr="00D16928">
        <w:rPr>
          <w:rFonts w:ascii="Arial Narrow" w:hAnsi="Arial Narrow"/>
          <w:sz w:val="26"/>
          <w:szCs w:val="26"/>
        </w:rPr>
        <w:t>corresponde al juez</w:t>
      </w:r>
      <w:r w:rsidR="00A84112" w:rsidRPr="00D16928">
        <w:rPr>
          <w:rFonts w:ascii="Arial Narrow" w:hAnsi="Arial Narrow"/>
          <w:sz w:val="26"/>
          <w:szCs w:val="26"/>
        </w:rPr>
        <w:t xml:space="preserve"> exigir las explicaciones necesarias al momento de calificar la demanda, </w:t>
      </w:r>
      <w:r w:rsidR="009B64AC" w:rsidRPr="00D16928">
        <w:rPr>
          <w:rFonts w:ascii="Arial Narrow" w:hAnsi="Arial Narrow"/>
          <w:sz w:val="26"/>
          <w:szCs w:val="26"/>
        </w:rPr>
        <w:t>y de ser el caso</w:t>
      </w:r>
      <w:r w:rsidR="00CE16C4" w:rsidRPr="00D16928">
        <w:rPr>
          <w:rFonts w:ascii="Arial Narrow" w:hAnsi="Arial Narrow"/>
          <w:sz w:val="26"/>
          <w:szCs w:val="26"/>
        </w:rPr>
        <w:t xml:space="preserve"> desplegar</w:t>
      </w:r>
      <w:r w:rsidR="009B64AC" w:rsidRPr="00D16928">
        <w:rPr>
          <w:rFonts w:ascii="Arial Narrow" w:hAnsi="Arial Narrow"/>
          <w:sz w:val="26"/>
          <w:szCs w:val="26"/>
        </w:rPr>
        <w:t xml:space="preserve"> sus</w:t>
      </w:r>
      <w:r w:rsidR="00CE16C4" w:rsidRPr="00D16928">
        <w:rPr>
          <w:rFonts w:ascii="Arial Narrow" w:hAnsi="Arial Narrow"/>
          <w:sz w:val="26"/>
          <w:szCs w:val="26"/>
        </w:rPr>
        <w:t xml:space="preserve"> facultades oficiosas (art. 37- 4 Ib.</w:t>
      </w:r>
      <w:r w:rsidR="00CE16C4" w:rsidRPr="00D16928">
        <w:rPr>
          <w:rStyle w:val="Refdenotaalpie"/>
          <w:rFonts w:ascii="Arial Narrow" w:hAnsi="Arial Narrow"/>
          <w:sz w:val="26"/>
          <w:szCs w:val="26"/>
        </w:rPr>
        <w:footnoteReference w:id="1"/>
      </w:r>
      <w:r w:rsidR="00CE16C4" w:rsidRPr="00D16928">
        <w:rPr>
          <w:rFonts w:ascii="Arial Narrow" w:hAnsi="Arial Narrow"/>
          <w:sz w:val="26"/>
          <w:szCs w:val="26"/>
        </w:rPr>
        <w:t>) para</w:t>
      </w:r>
      <w:r w:rsidR="003C7D4F" w:rsidRPr="00D16928">
        <w:rPr>
          <w:rFonts w:ascii="Arial Narrow" w:hAnsi="Arial Narrow"/>
          <w:sz w:val="26"/>
          <w:szCs w:val="26"/>
        </w:rPr>
        <w:t xml:space="preserve"> verificar la ocurrencia de tal hecho y de ser necesario, </w:t>
      </w:r>
      <w:r w:rsidR="00CE16C4" w:rsidRPr="00D16928">
        <w:rPr>
          <w:rFonts w:ascii="Arial Narrow" w:hAnsi="Arial Narrow"/>
          <w:sz w:val="26"/>
          <w:szCs w:val="26"/>
        </w:rPr>
        <w:t>conformar en debida forma el contradictorio (art. 83 Ib.</w:t>
      </w:r>
      <w:r w:rsidR="00CE16C4" w:rsidRPr="00D16928">
        <w:rPr>
          <w:rStyle w:val="Refdenotaalpie"/>
          <w:rFonts w:ascii="Arial Narrow" w:hAnsi="Arial Narrow"/>
          <w:sz w:val="26"/>
          <w:szCs w:val="26"/>
        </w:rPr>
        <w:footnoteReference w:id="2"/>
      </w:r>
      <w:r w:rsidR="00CE16C4" w:rsidRPr="00D16928">
        <w:rPr>
          <w:rFonts w:ascii="Arial Narrow" w:hAnsi="Arial Narrow"/>
          <w:sz w:val="26"/>
          <w:szCs w:val="26"/>
        </w:rPr>
        <w:t>)</w:t>
      </w:r>
      <w:r w:rsidR="008948E0" w:rsidRPr="00D16928">
        <w:rPr>
          <w:rFonts w:ascii="Arial Narrow" w:hAnsi="Arial Narrow"/>
          <w:sz w:val="26"/>
          <w:szCs w:val="26"/>
        </w:rPr>
        <w:t>.</w:t>
      </w:r>
    </w:p>
    <w:p w14:paraId="3F3EA303" w14:textId="77777777" w:rsidR="008948E0" w:rsidRPr="003F69FB" w:rsidRDefault="008948E0"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61007863" w14:textId="2DFF18A9" w:rsidR="00D440B9" w:rsidRPr="00D16928" w:rsidRDefault="008948E0" w:rsidP="00D16928">
      <w:pPr>
        <w:pStyle w:val="Default"/>
        <w:spacing w:line="276" w:lineRule="auto"/>
        <w:jc w:val="both"/>
        <w:rPr>
          <w:rFonts w:ascii="Arial Narrow" w:hAnsi="Arial Narrow"/>
          <w:sz w:val="26"/>
          <w:szCs w:val="26"/>
        </w:rPr>
      </w:pPr>
      <w:r w:rsidRPr="00D16928">
        <w:rPr>
          <w:rFonts w:ascii="Arial Narrow" w:hAnsi="Arial Narrow"/>
          <w:sz w:val="26"/>
          <w:szCs w:val="26"/>
        </w:rPr>
        <w:t>La deb</w:t>
      </w:r>
      <w:r w:rsidR="007764C4">
        <w:rPr>
          <w:rFonts w:ascii="Arial Narrow" w:hAnsi="Arial Narrow"/>
          <w:sz w:val="26"/>
          <w:szCs w:val="26"/>
        </w:rPr>
        <w:t>id</w:t>
      </w:r>
      <w:r w:rsidRPr="00D16928">
        <w:rPr>
          <w:rFonts w:ascii="Arial Narrow" w:hAnsi="Arial Narrow"/>
          <w:sz w:val="26"/>
          <w:szCs w:val="26"/>
        </w:rPr>
        <w:t xml:space="preserve">a conformación del </w:t>
      </w:r>
      <w:r w:rsidR="00D440B9" w:rsidRPr="00D16928">
        <w:rPr>
          <w:rFonts w:ascii="Arial Narrow" w:hAnsi="Arial Narrow"/>
          <w:sz w:val="26"/>
          <w:szCs w:val="26"/>
        </w:rPr>
        <w:t>contradictorio conlleva</w:t>
      </w:r>
      <w:r w:rsidRPr="00D16928">
        <w:rPr>
          <w:rFonts w:ascii="Arial Narrow" w:hAnsi="Arial Narrow"/>
          <w:sz w:val="26"/>
          <w:szCs w:val="26"/>
        </w:rPr>
        <w:t xml:space="preserve"> </w:t>
      </w:r>
      <w:r w:rsidR="000A2035" w:rsidRPr="00D16928">
        <w:rPr>
          <w:rFonts w:ascii="Arial Narrow" w:hAnsi="Arial Narrow"/>
          <w:sz w:val="26"/>
          <w:szCs w:val="26"/>
        </w:rPr>
        <w:t>enterar a</w:t>
      </w:r>
      <w:r w:rsidRPr="00D16928">
        <w:rPr>
          <w:rFonts w:ascii="Arial Narrow" w:hAnsi="Arial Narrow"/>
          <w:sz w:val="26"/>
          <w:szCs w:val="26"/>
        </w:rPr>
        <w:t xml:space="preserve"> los herederos determinados</w:t>
      </w:r>
      <w:r w:rsidR="000A2035" w:rsidRPr="00D16928">
        <w:rPr>
          <w:rFonts w:ascii="Arial Narrow" w:hAnsi="Arial Narrow"/>
          <w:sz w:val="26"/>
          <w:szCs w:val="26"/>
        </w:rPr>
        <w:t xml:space="preserve"> (si los hay) y a los herederos indeterminados</w:t>
      </w:r>
      <w:r w:rsidRPr="00D16928">
        <w:rPr>
          <w:rFonts w:ascii="Arial Narrow" w:hAnsi="Arial Narrow"/>
          <w:sz w:val="26"/>
          <w:szCs w:val="26"/>
        </w:rPr>
        <w:t xml:space="preserve"> del difunto (art. 87 Ib.</w:t>
      </w:r>
      <w:r w:rsidRPr="00D16928">
        <w:rPr>
          <w:rStyle w:val="Refdenotaalpie"/>
          <w:rFonts w:ascii="Arial Narrow" w:hAnsi="Arial Narrow"/>
          <w:sz w:val="26"/>
          <w:szCs w:val="26"/>
        </w:rPr>
        <w:footnoteReference w:id="3"/>
      </w:r>
      <w:r w:rsidRPr="00D16928">
        <w:rPr>
          <w:rFonts w:ascii="Arial Narrow" w:hAnsi="Arial Narrow"/>
          <w:sz w:val="26"/>
          <w:szCs w:val="26"/>
        </w:rPr>
        <w:t>); es decir, los herederos indeterminados se convierten en un integrante</w:t>
      </w:r>
      <w:r w:rsidR="00BF3B2C" w:rsidRPr="00D16928">
        <w:rPr>
          <w:rFonts w:ascii="Arial Narrow" w:hAnsi="Arial Narrow"/>
          <w:sz w:val="26"/>
          <w:szCs w:val="26"/>
        </w:rPr>
        <w:t xml:space="preserve"> </w:t>
      </w:r>
      <w:r w:rsidRPr="00D16928">
        <w:rPr>
          <w:rFonts w:ascii="Arial Narrow" w:hAnsi="Arial Narrow"/>
          <w:sz w:val="26"/>
          <w:szCs w:val="26"/>
        </w:rPr>
        <w:t xml:space="preserve">pasivo de la litis, deben ser emplazados y sus </w:t>
      </w:r>
      <w:r w:rsidRPr="00D16928">
        <w:rPr>
          <w:rFonts w:ascii="Arial Narrow" w:hAnsi="Arial Narrow"/>
          <w:sz w:val="26"/>
          <w:szCs w:val="26"/>
        </w:rPr>
        <w:lastRenderedPageBreak/>
        <w:t xml:space="preserve">intereses representando a través de curador </w:t>
      </w:r>
      <w:r w:rsidRPr="00D16928">
        <w:rPr>
          <w:rFonts w:ascii="Arial Narrow" w:hAnsi="Arial Narrow"/>
          <w:i/>
          <w:sz w:val="26"/>
          <w:szCs w:val="26"/>
        </w:rPr>
        <w:t xml:space="preserve">ad </w:t>
      </w:r>
      <w:proofErr w:type="spellStart"/>
      <w:r w:rsidRPr="00D16928">
        <w:rPr>
          <w:rFonts w:ascii="Arial Narrow" w:hAnsi="Arial Narrow"/>
          <w:i/>
          <w:sz w:val="26"/>
          <w:szCs w:val="26"/>
        </w:rPr>
        <w:t>litem</w:t>
      </w:r>
      <w:proofErr w:type="spellEnd"/>
      <w:r w:rsidRPr="00D16928">
        <w:rPr>
          <w:rFonts w:ascii="Arial Narrow" w:hAnsi="Arial Narrow"/>
          <w:i/>
          <w:sz w:val="26"/>
          <w:szCs w:val="26"/>
        </w:rPr>
        <w:t xml:space="preserve">, </w:t>
      </w:r>
      <w:r w:rsidRPr="00D16928">
        <w:rPr>
          <w:rFonts w:ascii="Arial Narrow" w:hAnsi="Arial Narrow"/>
          <w:sz w:val="26"/>
          <w:szCs w:val="26"/>
        </w:rPr>
        <w:t>ello para evitar futuras nulidades ante la concurrencia de algún heredero cuyo nombre y ubicación se desconocía.</w:t>
      </w:r>
    </w:p>
    <w:p w14:paraId="6A17670C" w14:textId="77777777" w:rsidR="00D440B9" w:rsidRPr="003F69FB" w:rsidRDefault="00D440B9"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1ED92595" w14:textId="53B56DD1" w:rsidR="001D49B9" w:rsidRPr="00C85AC0" w:rsidRDefault="0057511C" w:rsidP="00C85AC0">
      <w:pPr>
        <w:pStyle w:val="Default"/>
        <w:ind w:left="426" w:right="420"/>
        <w:jc w:val="both"/>
        <w:rPr>
          <w:rFonts w:ascii="Arial Narrow" w:hAnsi="Arial Narrow"/>
          <w:i/>
          <w:szCs w:val="26"/>
        </w:rPr>
      </w:pPr>
      <w:r w:rsidRPr="00C85AC0">
        <w:rPr>
          <w:rFonts w:ascii="Arial Narrow" w:hAnsi="Arial Narrow"/>
          <w:i/>
          <w:szCs w:val="26"/>
        </w:rPr>
        <w:t xml:space="preserve">“Es de recordar que la obligación de integrar el litisconsorcio pasivo antes de dictar sentencia de primera instancia, so pena de que en la segunda no pueda proferirse decisión de fondo, es tesis revaluada por la Corte. Ella señalaba que el juzgador de segunda instancia, al constatar falta de integración del litisconsorcio necesario en la primera, debía pronunciar fallo inhibitorio. Hoy, al compás de nuevas perspectivas en el análisis del artículo 83 del Código de Procedimiento Civil, ésta norma veda que la cuestión se resuelva de mérito pero no prescribe la inhibición y, en consecuencia, deja espacio para que el fallador de segunda instancia “pueda adoptar cualquier medida procesal, legalmente admisible, que conduzca a solucionar la anómala situación, mientras no resuelva de fondo que es lo único que en verdad se le </w:t>
      </w:r>
      <w:proofErr w:type="spellStart"/>
      <w:r w:rsidRPr="00C85AC0">
        <w:rPr>
          <w:rFonts w:ascii="Arial Narrow" w:hAnsi="Arial Narrow"/>
          <w:i/>
          <w:szCs w:val="26"/>
        </w:rPr>
        <w:t>prohibe</w:t>
      </w:r>
      <w:proofErr w:type="spellEnd"/>
      <w:r w:rsidRPr="00C85AC0">
        <w:rPr>
          <w:rFonts w:ascii="Arial Narrow" w:hAnsi="Arial Narrow"/>
          <w:i/>
          <w:szCs w:val="26"/>
        </w:rPr>
        <w:t>; mucho más, si precisamente, como se dijo, es deber del juez evitar los fallos inhibitorios” (Sentencia No. 068 del 6 de octubre de 1999, proferida en el expediente No. 5224 y reiterada el 23 de marzo de 2000 en el proceso No. 5259).”</w:t>
      </w:r>
      <w:r w:rsidRPr="00C85AC0">
        <w:rPr>
          <w:rStyle w:val="Refdenotaalpie"/>
          <w:rFonts w:ascii="Arial Narrow" w:hAnsi="Arial Narrow"/>
          <w:i/>
          <w:szCs w:val="26"/>
        </w:rPr>
        <w:footnoteReference w:id="4"/>
      </w:r>
    </w:p>
    <w:p w14:paraId="0B838007" w14:textId="77777777" w:rsidR="0057511C" w:rsidRPr="003F69FB" w:rsidRDefault="0057511C"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5E7B77CF" w14:textId="349BE204" w:rsidR="006B2218" w:rsidRPr="00D16928" w:rsidRDefault="006B2218" w:rsidP="00D16928">
      <w:pPr>
        <w:pStyle w:val="Default"/>
        <w:spacing w:line="276" w:lineRule="auto"/>
        <w:jc w:val="both"/>
        <w:rPr>
          <w:rFonts w:ascii="Arial Narrow" w:hAnsi="Arial Narrow"/>
          <w:sz w:val="26"/>
          <w:szCs w:val="26"/>
        </w:rPr>
      </w:pPr>
      <w:r w:rsidRPr="00D16928">
        <w:rPr>
          <w:rFonts w:ascii="Arial Narrow" w:hAnsi="Arial Narrow"/>
          <w:b/>
          <w:sz w:val="26"/>
          <w:szCs w:val="26"/>
        </w:rPr>
        <w:t>3</w:t>
      </w:r>
      <w:r w:rsidR="00D440B9" w:rsidRPr="00D16928">
        <w:rPr>
          <w:rFonts w:ascii="Arial Narrow" w:hAnsi="Arial Narrow"/>
          <w:b/>
          <w:sz w:val="26"/>
          <w:szCs w:val="26"/>
        </w:rPr>
        <w:t>.</w:t>
      </w:r>
      <w:r w:rsidR="009C19C6" w:rsidRPr="00D16928">
        <w:rPr>
          <w:rFonts w:ascii="Arial Narrow" w:hAnsi="Arial Narrow"/>
          <w:b/>
          <w:sz w:val="26"/>
          <w:szCs w:val="26"/>
        </w:rPr>
        <w:t>-</w:t>
      </w:r>
      <w:r w:rsidR="00D440B9" w:rsidRPr="00D16928">
        <w:rPr>
          <w:rFonts w:ascii="Arial Narrow" w:hAnsi="Arial Narrow"/>
          <w:sz w:val="26"/>
          <w:szCs w:val="26"/>
        </w:rPr>
        <w:t xml:space="preserve"> </w:t>
      </w:r>
      <w:r w:rsidRPr="00D16928">
        <w:rPr>
          <w:rFonts w:ascii="Arial Narrow" w:hAnsi="Arial Narrow"/>
          <w:sz w:val="26"/>
          <w:szCs w:val="26"/>
        </w:rPr>
        <w:t xml:space="preserve">En el presente caso se dirigió la demanda de pertenencia en contra de Carlos Restrepo Arango, </w:t>
      </w:r>
      <w:r w:rsidR="00ED67EE" w:rsidRPr="00D16928">
        <w:rPr>
          <w:rFonts w:ascii="Arial Narrow" w:hAnsi="Arial Narrow"/>
          <w:sz w:val="26"/>
          <w:szCs w:val="26"/>
        </w:rPr>
        <w:t>de quien se dijo ignorar su residencia, domicilio y lugar de trabajo</w:t>
      </w:r>
      <w:r w:rsidR="000E5EA9" w:rsidRPr="00D16928">
        <w:rPr>
          <w:rFonts w:ascii="Arial Narrow" w:hAnsi="Arial Narrow"/>
          <w:sz w:val="26"/>
          <w:szCs w:val="26"/>
        </w:rPr>
        <w:t xml:space="preserve"> (F. 131 y </w:t>
      </w:r>
      <w:proofErr w:type="spellStart"/>
      <w:r w:rsidR="000E5EA9" w:rsidRPr="00D16928">
        <w:rPr>
          <w:rFonts w:ascii="Arial Narrow" w:hAnsi="Arial Narrow"/>
          <w:sz w:val="26"/>
          <w:szCs w:val="26"/>
        </w:rPr>
        <w:t>ss</w:t>
      </w:r>
      <w:proofErr w:type="spellEnd"/>
      <w:r w:rsidR="000E5EA9" w:rsidRPr="00D16928">
        <w:rPr>
          <w:rFonts w:ascii="Arial Narrow" w:hAnsi="Arial Narrow"/>
          <w:sz w:val="26"/>
          <w:szCs w:val="26"/>
        </w:rPr>
        <w:t xml:space="preserve"> cuaderno primera instancia</w:t>
      </w:r>
      <w:r w:rsidR="00411DF0" w:rsidRPr="00D16928">
        <w:rPr>
          <w:rFonts w:ascii="Arial Narrow" w:hAnsi="Arial Narrow"/>
          <w:sz w:val="26"/>
          <w:szCs w:val="26"/>
        </w:rPr>
        <w:t xml:space="preserve"> digitalizado</w:t>
      </w:r>
      <w:r w:rsidR="000E5EA9" w:rsidRPr="00D16928">
        <w:rPr>
          <w:rFonts w:ascii="Arial Narrow" w:hAnsi="Arial Narrow"/>
          <w:sz w:val="26"/>
          <w:szCs w:val="26"/>
        </w:rPr>
        <w:t>)</w:t>
      </w:r>
      <w:r w:rsidR="00ED67EE" w:rsidRPr="00D16928">
        <w:rPr>
          <w:rFonts w:ascii="Arial Narrow" w:hAnsi="Arial Narrow"/>
          <w:sz w:val="26"/>
          <w:szCs w:val="26"/>
        </w:rPr>
        <w:t xml:space="preserve">. Así se admitió </w:t>
      </w:r>
      <w:r w:rsidR="004A5EFC" w:rsidRPr="00D16928">
        <w:rPr>
          <w:rFonts w:ascii="Arial Narrow" w:hAnsi="Arial Narrow"/>
          <w:sz w:val="26"/>
          <w:szCs w:val="26"/>
        </w:rPr>
        <w:t xml:space="preserve">(F. 141 Ib.) </w:t>
      </w:r>
      <w:r w:rsidR="00ED67EE" w:rsidRPr="00D16928">
        <w:rPr>
          <w:rFonts w:ascii="Arial Narrow" w:hAnsi="Arial Narrow"/>
          <w:sz w:val="26"/>
          <w:szCs w:val="26"/>
        </w:rPr>
        <w:t>y se dispuso su emplazamiento</w:t>
      </w:r>
      <w:r w:rsidR="002709F2" w:rsidRPr="00D16928">
        <w:rPr>
          <w:rFonts w:ascii="Arial Narrow" w:hAnsi="Arial Narrow"/>
          <w:sz w:val="26"/>
          <w:szCs w:val="26"/>
        </w:rPr>
        <w:t xml:space="preserve"> (publicación visible al folio 169</w:t>
      </w:r>
      <w:r w:rsidR="00411DF0" w:rsidRPr="00D16928">
        <w:rPr>
          <w:rFonts w:ascii="Arial Narrow" w:hAnsi="Arial Narrow"/>
          <w:sz w:val="26"/>
          <w:szCs w:val="26"/>
        </w:rPr>
        <w:t xml:space="preserve"> Ib.</w:t>
      </w:r>
      <w:r w:rsidR="002709F2" w:rsidRPr="00D16928">
        <w:rPr>
          <w:rFonts w:ascii="Arial Narrow" w:hAnsi="Arial Narrow"/>
          <w:sz w:val="26"/>
          <w:szCs w:val="26"/>
        </w:rPr>
        <w:t>)</w:t>
      </w:r>
    </w:p>
    <w:p w14:paraId="20FFA877" w14:textId="77777777" w:rsidR="006B2218" w:rsidRPr="003F69FB" w:rsidRDefault="006B2218"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4ED3372D" w14:textId="67ED684C" w:rsidR="009C19C6" w:rsidRPr="00D16928" w:rsidRDefault="00411DF0" w:rsidP="00D16928">
      <w:pPr>
        <w:pStyle w:val="Default"/>
        <w:spacing w:line="276" w:lineRule="auto"/>
        <w:jc w:val="both"/>
        <w:rPr>
          <w:rFonts w:ascii="Arial Narrow" w:hAnsi="Arial Narrow"/>
          <w:sz w:val="26"/>
          <w:szCs w:val="26"/>
        </w:rPr>
      </w:pPr>
      <w:r w:rsidRPr="00D16928">
        <w:rPr>
          <w:rFonts w:ascii="Arial Narrow" w:hAnsi="Arial Narrow"/>
          <w:sz w:val="26"/>
          <w:szCs w:val="26"/>
        </w:rPr>
        <w:t>Sin embargo, d</w:t>
      </w:r>
      <w:r w:rsidR="009C19C6" w:rsidRPr="00D16928">
        <w:rPr>
          <w:rFonts w:ascii="Arial Narrow" w:hAnsi="Arial Narrow"/>
          <w:sz w:val="26"/>
          <w:szCs w:val="26"/>
        </w:rPr>
        <w:t xml:space="preserve">esde el albor procesal se advertía </w:t>
      </w:r>
      <w:r w:rsidR="003509CB" w:rsidRPr="00D16928">
        <w:rPr>
          <w:rFonts w:ascii="Arial Narrow" w:hAnsi="Arial Narrow"/>
          <w:sz w:val="26"/>
          <w:szCs w:val="26"/>
        </w:rPr>
        <w:t>información que indicaba la muerte del único demandad</w:t>
      </w:r>
      <w:r w:rsidR="006744A2" w:rsidRPr="00D16928">
        <w:rPr>
          <w:rFonts w:ascii="Arial Narrow" w:hAnsi="Arial Narrow"/>
          <w:sz w:val="26"/>
          <w:szCs w:val="26"/>
        </w:rPr>
        <w:t>o</w:t>
      </w:r>
      <w:r w:rsidR="003509CB" w:rsidRPr="00D16928">
        <w:rPr>
          <w:rFonts w:ascii="Arial Narrow" w:hAnsi="Arial Narrow"/>
          <w:sz w:val="26"/>
          <w:szCs w:val="26"/>
        </w:rPr>
        <w:t xml:space="preserve">. Así, </w:t>
      </w:r>
      <w:r w:rsidR="009C19C6" w:rsidRPr="00D16928">
        <w:rPr>
          <w:rFonts w:ascii="Arial Narrow" w:hAnsi="Arial Narrow"/>
          <w:sz w:val="26"/>
          <w:szCs w:val="26"/>
        </w:rPr>
        <w:t>en anotaciones</w:t>
      </w:r>
      <w:r w:rsidR="003509CB" w:rsidRPr="00D16928">
        <w:rPr>
          <w:rFonts w:ascii="Arial Narrow" w:hAnsi="Arial Narrow"/>
          <w:sz w:val="26"/>
          <w:szCs w:val="26"/>
        </w:rPr>
        <w:t xml:space="preserve"> 230 (</w:t>
      </w:r>
      <w:r w:rsidR="00D211AB" w:rsidRPr="00D16928">
        <w:rPr>
          <w:rFonts w:ascii="Arial Narrow" w:hAnsi="Arial Narrow"/>
          <w:sz w:val="26"/>
          <w:szCs w:val="26"/>
        </w:rPr>
        <w:t>21/12/1994), 231 (10/04/1995),</w:t>
      </w:r>
      <w:r w:rsidR="009C19C6" w:rsidRPr="00D16928">
        <w:rPr>
          <w:rFonts w:ascii="Arial Narrow" w:hAnsi="Arial Narrow"/>
          <w:sz w:val="26"/>
          <w:szCs w:val="26"/>
        </w:rPr>
        <w:t xml:space="preserve"> 233</w:t>
      </w:r>
      <w:r w:rsidR="0093482A" w:rsidRPr="00D16928">
        <w:rPr>
          <w:rFonts w:ascii="Arial Narrow" w:hAnsi="Arial Narrow"/>
          <w:sz w:val="26"/>
          <w:szCs w:val="26"/>
        </w:rPr>
        <w:t xml:space="preserve"> (28/02/1996)</w:t>
      </w:r>
      <w:r w:rsidR="009C19C6" w:rsidRPr="00D16928">
        <w:rPr>
          <w:rFonts w:ascii="Arial Narrow" w:hAnsi="Arial Narrow"/>
          <w:sz w:val="26"/>
          <w:szCs w:val="26"/>
        </w:rPr>
        <w:t xml:space="preserve">, 234 </w:t>
      </w:r>
      <w:r w:rsidR="000E2601" w:rsidRPr="00D16928">
        <w:rPr>
          <w:rFonts w:ascii="Arial Narrow" w:hAnsi="Arial Narrow"/>
          <w:sz w:val="26"/>
          <w:szCs w:val="26"/>
        </w:rPr>
        <w:t xml:space="preserve">(21/06/1996) </w:t>
      </w:r>
      <w:r w:rsidR="009C19C6" w:rsidRPr="00D16928">
        <w:rPr>
          <w:rFonts w:ascii="Arial Narrow" w:hAnsi="Arial Narrow"/>
          <w:sz w:val="26"/>
          <w:szCs w:val="26"/>
        </w:rPr>
        <w:t xml:space="preserve">y </w:t>
      </w:r>
      <w:r w:rsidR="000A2035" w:rsidRPr="00D16928">
        <w:rPr>
          <w:rFonts w:ascii="Arial Narrow" w:hAnsi="Arial Narrow"/>
          <w:sz w:val="26"/>
          <w:szCs w:val="26"/>
        </w:rPr>
        <w:t xml:space="preserve">238 </w:t>
      </w:r>
      <w:r w:rsidR="00775E33" w:rsidRPr="00D16928">
        <w:rPr>
          <w:rFonts w:ascii="Arial Narrow" w:hAnsi="Arial Narrow"/>
          <w:sz w:val="26"/>
          <w:szCs w:val="26"/>
        </w:rPr>
        <w:t xml:space="preserve">(26/11/1999) </w:t>
      </w:r>
      <w:r w:rsidR="000A2035" w:rsidRPr="00D16928">
        <w:rPr>
          <w:rFonts w:ascii="Arial Narrow" w:hAnsi="Arial Narrow"/>
          <w:sz w:val="26"/>
          <w:szCs w:val="26"/>
        </w:rPr>
        <w:t>del</w:t>
      </w:r>
      <w:r w:rsidR="009C19C6" w:rsidRPr="00D16928">
        <w:rPr>
          <w:rFonts w:ascii="Arial Narrow" w:hAnsi="Arial Narrow"/>
          <w:sz w:val="26"/>
          <w:szCs w:val="26"/>
        </w:rPr>
        <w:t xml:space="preserve"> </w:t>
      </w:r>
      <w:r w:rsidR="00775E33" w:rsidRPr="00D16928">
        <w:rPr>
          <w:rFonts w:ascii="Arial Narrow" w:hAnsi="Arial Narrow"/>
          <w:sz w:val="26"/>
          <w:szCs w:val="26"/>
        </w:rPr>
        <w:t xml:space="preserve">certificado de tradición y libertad del </w:t>
      </w:r>
      <w:r w:rsidR="009C19C6" w:rsidRPr="00D16928">
        <w:rPr>
          <w:rFonts w:ascii="Arial Narrow" w:hAnsi="Arial Narrow"/>
          <w:sz w:val="26"/>
          <w:szCs w:val="26"/>
        </w:rPr>
        <w:t>inmueble a usucapir allegado junto al libelo genitor (</w:t>
      </w:r>
      <w:proofErr w:type="spellStart"/>
      <w:r w:rsidR="009C19C6" w:rsidRPr="00D16928">
        <w:rPr>
          <w:rFonts w:ascii="Arial Narrow" w:hAnsi="Arial Narrow"/>
          <w:sz w:val="26"/>
          <w:szCs w:val="26"/>
        </w:rPr>
        <w:t>f</w:t>
      </w:r>
      <w:r w:rsidR="00BF3B2C" w:rsidRPr="00D16928">
        <w:rPr>
          <w:rFonts w:ascii="Arial Narrow" w:hAnsi="Arial Narrow"/>
          <w:sz w:val="26"/>
          <w:szCs w:val="26"/>
        </w:rPr>
        <w:t>f</w:t>
      </w:r>
      <w:proofErr w:type="spellEnd"/>
      <w:r w:rsidR="00BF3B2C" w:rsidRPr="00D16928">
        <w:rPr>
          <w:rFonts w:ascii="Arial Narrow" w:hAnsi="Arial Narrow"/>
          <w:sz w:val="26"/>
          <w:szCs w:val="26"/>
        </w:rPr>
        <w:t xml:space="preserve">. </w:t>
      </w:r>
      <w:r w:rsidR="00F42E0C" w:rsidRPr="00D16928">
        <w:rPr>
          <w:rFonts w:ascii="Arial Narrow" w:hAnsi="Arial Narrow"/>
          <w:sz w:val="26"/>
          <w:szCs w:val="26"/>
        </w:rPr>
        <w:t>digitales 19</w:t>
      </w:r>
      <w:r w:rsidR="00BF3B2C" w:rsidRPr="00D16928">
        <w:rPr>
          <w:rFonts w:ascii="Arial Narrow" w:hAnsi="Arial Narrow"/>
          <w:sz w:val="26"/>
          <w:szCs w:val="26"/>
        </w:rPr>
        <w:t xml:space="preserve"> y 20, </w:t>
      </w:r>
      <w:proofErr w:type="spellStart"/>
      <w:r w:rsidR="00BF3B2C" w:rsidRPr="00D16928">
        <w:rPr>
          <w:rFonts w:ascii="Arial Narrow" w:hAnsi="Arial Narrow"/>
          <w:sz w:val="26"/>
          <w:szCs w:val="26"/>
        </w:rPr>
        <w:t>arch</w:t>
      </w:r>
      <w:proofErr w:type="spellEnd"/>
      <w:r w:rsidR="00BF3B2C" w:rsidRPr="00D16928">
        <w:rPr>
          <w:rFonts w:ascii="Arial Narrow" w:hAnsi="Arial Narrow"/>
          <w:sz w:val="26"/>
          <w:szCs w:val="26"/>
        </w:rPr>
        <w:t>. 01, de primera instancia</w:t>
      </w:r>
      <w:r w:rsidR="009C19C6" w:rsidRPr="00D16928">
        <w:rPr>
          <w:rFonts w:ascii="Arial Narrow" w:hAnsi="Arial Narrow"/>
          <w:sz w:val="26"/>
          <w:szCs w:val="26"/>
        </w:rPr>
        <w:t xml:space="preserve">), </w:t>
      </w:r>
      <w:r w:rsidR="006744A2" w:rsidRPr="00D16928">
        <w:rPr>
          <w:rFonts w:ascii="Arial Narrow" w:hAnsi="Arial Narrow"/>
          <w:sz w:val="26"/>
          <w:szCs w:val="26"/>
        </w:rPr>
        <w:t xml:space="preserve">se relacionaba la inscripción de la demanda en otros procesos </w:t>
      </w:r>
      <w:r w:rsidR="009C19C6" w:rsidRPr="00D16928">
        <w:rPr>
          <w:rFonts w:ascii="Arial Narrow" w:hAnsi="Arial Narrow"/>
          <w:sz w:val="26"/>
          <w:szCs w:val="26"/>
        </w:rPr>
        <w:t>previamente iniciado</w:t>
      </w:r>
      <w:r w:rsidR="00700797" w:rsidRPr="00D16928">
        <w:rPr>
          <w:rFonts w:ascii="Arial Narrow" w:hAnsi="Arial Narrow"/>
          <w:sz w:val="26"/>
          <w:szCs w:val="26"/>
        </w:rPr>
        <w:t>s</w:t>
      </w:r>
      <w:r w:rsidR="006744A2" w:rsidRPr="00D16928">
        <w:rPr>
          <w:rFonts w:ascii="Arial Narrow" w:hAnsi="Arial Narrow"/>
          <w:sz w:val="26"/>
          <w:szCs w:val="26"/>
        </w:rPr>
        <w:t xml:space="preserve">, </w:t>
      </w:r>
      <w:r w:rsidR="009C19C6" w:rsidRPr="00D16928">
        <w:rPr>
          <w:rFonts w:ascii="Arial Narrow" w:hAnsi="Arial Narrow"/>
          <w:sz w:val="26"/>
          <w:szCs w:val="26"/>
        </w:rPr>
        <w:t xml:space="preserve">dirigidos </w:t>
      </w:r>
      <w:r w:rsidR="006744A2" w:rsidRPr="00D16928">
        <w:rPr>
          <w:rFonts w:ascii="Arial Narrow" w:hAnsi="Arial Narrow"/>
          <w:sz w:val="26"/>
          <w:szCs w:val="26"/>
        </w:rPr>
        <w:t xml:space="preserve">incluso </w:t>
      </w:r>
      <w:r w:rsidR="009C19C6" w:rsidRPr="00D16928">
        <w:rPr>
          <w:rFonts w:ascii="Arial Narrow" w:hAnsi="Arial Narrow"/>
          <w:sz w:val="26"/>
          <w:szCs w:val="26"/>
        </w:rPr>
        <w:t xml:space="preserve">contra </w:t>
      </w:r>
      <w:r w:rsidR="009C19C6" w:rsidRPr="00D16928">
        <w:rPr>
          <w:rFonts w:ascii="Arial Narrow" w:hAnsi="Arial Narrow"/>
          <w:sz w:val="26"/>
          <w:szCs w:val="26"/>
          <w:u w:val="single"/>
        </w:rPr>
        <w:t xml:space="preserve">herederos </w:t>
      </w:r>
      <w:r w:rsidR="006744A2" w:rsidRPr="00D16928">
        <w:rPr>
          <w:rFonts w:ascii="Arial Narrow" w:hAnsi="Arial Narrow"/>
          <w:sz w:val="26"/>
          <w:szCs w:val="26"/>
          <w:u w:val="single"/>
        </w:rPr>
        <w:t xml:space="preserve">indeterminados </w:t>
      </w:r>
      <w:r w:rsidR="009C19C6" w:rsidRPr="00D16928">
        <w:rPr>
          <w:rFonts w:ascii="Arial Narrow" w:hAnsi="Arial Narrow"/>
          <w:sz w:val="26"/>
          <w:szCs w:val="26"/>
        </w:rPr>
        <w:t>del</w:t>
      </w:r>
      <w:r w:rsidR="006744A2" w:rsidRPr="00D16928">
        <w:rPr>
          <w:rFonts w:ascii="Arial Narrow" w:hAnsi="Arial Narrow"/>
          <w:sz w:val="26"/>
          <w:szCs w:val="26"/>
        </w:rPr>
        <w:t xml:space="preserve"> señor </w:t>
      </w:r>
      <w:r w:rsidR="009C19C6" w:rsidRPr="00D16928">
        <w:rPr>
          <w:rFonts w:ascii="Arial Narrow" w:hAnsi="Arial Narrow"/>
          <w:sz w:val="26"/>
          <w:szCs w:val="26"/>
        </w:rPr>
        <w:t xml:space="preserve">Carlos Restrepo Arango.  </w:t>
      </w:r>
    </w:p>
    <w:p w14:paraId="0963DD74" w14:textId="47899E58" w:rsidR="00345BE2" w:rsidRPr="003F69FB" w:rsidRDefault="00345BE2"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058C71E9" w14:textId="064FF578" w:rsidR="000922DE" w:rsidRPr="00D16928" w:rsidRDefault="000922DE" w:rsidP="00D16928">
      <w:pPr>
        <w:pStyle w:val="Default"/>
        <w:spacing w:line="276" w:lineRule="auto"/>
        <w:jc w:val="both"/>
        <w:rPr>
          <w:rFonts w:ascii="Arial Narrow" w:hAnsi="Arial Narrow"/>
          <w:sz w:val="26"/>
          <w:szCs w:val="26"/>
        </w:rPr>
      </w:pPr>
      <w:r w:rsidRPr="00D16928">
        <w:rPr>
          <w:rFonts w:ascii="Arial Narrow" w:hAnsi="Arial Narrow"/>
          <w:sz w:val="26"/>
          <w:szCs w:val="26"/>
        </w:rPr>
        <w:t>No obstante, la demanda se admitió sin ninguna alusión sobre ese punto.</w:t>
      </w:r>
    </w:p>
    <w:p w14:paraId="6BB882ED" w14:textId="2083B011" w:rsidR="00345BE2" w:rsidRPr="003F69FB" w:rsidRDefault="00345BE2"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383BB2B4" w14:textId="742B28E5" w:rsidR="0096747E" w:rsidRPr="00D16928" w:rsidRDefault="000922DE" w:rsidP="00D16928">
      <w:pPr>
        <w:pStyle w:val="Default"/>
        <w:spacing w:line="276" w:lineRule="auto"/>
        <w:jc w:val="both"/>
        <w:rPr>
          <w:rFonts w:ascii="Arial Narrow" w:hAnsi="Arial Narrow"/>
          <w:sz w:val="26"/>
          <w:szCs w:val="26"/>
        </w:rPr>
      </w:pPr>
      <w:r w:rsidRPr="00D16928">
        <w:rPr>
          <w:rFonts w:ascii="Arial Narrow" w:hAnsi="Arial Narrow"/>
          <w:sz w:val="26"/>
          <w:szCs w:val="26"/>
        </w:rPr>
        <w:t xml:space="preserve">Luego, en la etapa probatoria </w:t>
      </w:r>
      <w:r w:rsidR="0096747E" w:rsidRPr="00D16928">
        <w:rPr>
          <w:rFonts w:ascii="Arial Narrow" w:hAnsi="Arial Narrow"/>
          <w:sz w:val="26"/>
          <w:szCs w:val="26"/>
        </w:rPr>
        <w:t xml:space="preserve">los testigos </w:t>
      </w:r>
      <w:r w:rsidR="009C19C6" w:rsidRPr="00D16928">
        <w:rPr>
          <w:rFonts w:ascii="Arial Narrow" w:hAnsi="Arial Narrow"/>
          <w:sz w:val="26"/>
          <w:szCs w:val="26"/>
        </w:rPr>
        <w:t>Hernando Antonio Montoya Herrera</w:t>
      </w:r>
      <w:r w:rsidR="00A7041A" w:rsidRPr="00D16928">
        <w:rPr>
          <w:rStyle w:val="Refdenotaalpie"/>
          <w:rFonts w:ascii="Arial Narrow" w:hAnsi="Arial Narrow"/>
          <w:sz w:val="26"/>
          <w:szCs w:val="26"/>
        </w:rPr>
        <w:footnoteReference w:id="5"/>
      </w:r>
      <w:r w:rsidR="009C19C6" w:rsidRPr="00D16928">
        <w:rPr>
          <w:rFonts w:ascii="Arial Narrow" w:hAnsi="Arial Narrow"/>
          <w:sz w:val="26"/>
          <w:szCs w:val="26"/>
        </w:rPr>
        <w:t xml:space="preserve">, </w:t>
      </w:r>
      <w:proofErr w:type="spellStart"/>
      <w:r w:rsidR="009C19C6" w:rsidRPr="00D16928">
        <w:rPr>
          <w:rFonts w:ascii="Arial Narrow" w:hAnsi="Arial Narrow"/>
          <w:sz w:val="26"/>
          <w:szCs w:val="26"/>
        </w:rPr>
        <w:t>Hermelina</w:t>
      </w:r>
      <w:proofErr w:type="spellEnd"/>
      <w:r w:rsidR="009C19C6" w:rsidRPr="00D16928">
        <w:rPr>
          <w:rFonts w:ascii="Arial Narrow" w:hAnsi="Arial Narrow"/>
          <w:sz w:val="26"/>
          <w:szCs w:val="26"/>
        </w:rPr>
        <w:t xml:space="preserve"> Pulgarín Arboleda</w:t>
      </w:r>
      <w:r w:rsidR="00A7041A" w:rsidRPr="00D16928">
        <w:rPr>
          <w:rStyle w:val="Refdenotaalpie"/>
          <w:rFonts w:ascii="Arial Narrow" w:hAnsi="Arial Narrow"/>
          <w:sz w:val="26"/>
          <w:szCs w:val="26"/>
        </w:rPr>
        <w:footnoteReference w:id="6"/>
      </w:r>
      <w:r w:rsidR="009C19C6" w:rsidRPr="00D16928">
        <w:rPr>
          <w:rFonts w:ascii="Arial Narrow" w:hAnsi="Arial Narrow"/>
          <w:sz w:val="26"/>
          <w:szCs w:val="26"/>
        </w:rPr>
        <w:t>,</w:t>
      </w:r>
      <w:r w:rsidR="005124D4" w:rsidRPr="00D16928">
        <w:rPr>
          <w:rFonts w:ascii="Arial Narrow" w:hAnsi="Arial Narrow"/>
          <w:sz w:val="26"/>
          <w:szCs w:val="26"/>
        </w:rPr>
        <w:t xml:space="preserve"> María Rosmira Tamayo de Londoño e Israel Bustamante Cadavid</w:t>
      </w:r>
      <w:r w:rsidR="00FC692E" w:rsidRPr="00D16928">
        <w:rPr>
          <w:rStyle w:val="Refdenotaalpie"/>
          <w:rFonts w:ascii="Arial Narrow" w:hAnsi="Arial Narrow"/>
          <w:sz w:val="26"/>
          <w:szCs w:val="26"/>
        </w:rPr>
        <w:footnoteReference w:id="7"/>
      </w:r>
      <w:r w:rsidR="0096747E" w:rsidRPr="00D16928">
        <w:rPr>
          <w:rFonts w:ascii="Arial Narrow" w:hAnsi="Arial Narrow"/>
          <w:sz w:val="26"/>
          <w:szCs w:val="26"/>
        </w:rPr>
        <w:t xml:space="preserve">, </w:t>
      </w:r>
      <w:r w:rsidR="000A2035" w:rsidRPr="00D16928">
        <w:rPr>
          <w:rFonts w:ascii="Arial Narrow" w:hAnsi="Arial Narrow"/>
          <w:sz w:val="26"/>
          <w:szCs w:val="26"/>
        </w:rPr>
        <w:t xml:space="preserve">en </w:t>
      </w:r>
      <w:r w:rsidR="00F3531F" w:rsidRPr="00D16928">
        <w:rPr>
          <w:rFonts w:ascii="Arial Narrow" w:hAnsi="Arial Narrow"/>
          <w:sz w:val="26"/>
          <w:szCs w:val="26"/>
        </w:rPr>
        <w:t>declaraciones llevadas</w:t>
      </w:r>
      <w:r w:rsidR="005124D4" w:rsidRPr="00D16928">
        <w:rPr>
          <w:rFonts w:ascii="Arial Narrow" w:hAnsi="Arial Narrow"/>
          <w:sz w:val="26"/>
          <w:szCs w:val="26"/>
        </w:rPr>
        <w:t xml:space="preserve"> a cabo en el año 2011 (</w:t>
      </w:r>
      <w:proofErr w:type="spellStart"/>
      <w:r w:rsidR="005124D4" w:rsidRPr="00D16928">
        <w:rPr>
          <w:rFonts w:ascii="Arial Narrow" w:hAnsi="Arial Narrow"/>
          <w:sz w:val="26"/>
          <w:szCs w:val="26"/>
        </w:rPr>
        <w:t>f</w:t>
      </w:r>
      <w:r w:rsidR="008653A6" w:rsidRPr="00D16928">
        <w:rPr>
          <w:rFonts w:ascii="Arial Narrow" w:hAnsi="Arial Narrow"/>
          <w:sz w:val="26"/>
          <w:szCs w:val="26"/>
        </w:rPr>
        <w:t>f</w:t>
      </w:r>
      <w:proofErr w:type="spellEnd"/>
      <w:r w:rsidR="005124D4" w:rsidRPr="00D16928">
        <w:rPr>
          <w:rFonts w:ascii="Arial Narrow" w:hAnsi="Arial Narrow"/>
          <w:sz w:val="26"/>
          <w:szCs w:val="26"/>
        </w:rPr>
        <w:t>.</w:t>
      </w:r>
      <w:r w:rsidR="008653A6" w:rsidRPr="00D16928">
        <w:rPr>
          <w:rFonts w:ascii="Arial Narrow" w:hAnsi="Arial Narrow"/>
          <w:sz w:val="26"/>
          <w:szCs w:val="26"/>
        </w:rPr>
        <w:t xml:space="preserve"> digitales</w:t>
      </w:r>
      <w:r w:rsidR="005124D4" w:rsidRPr="00D16928">
        <w:rPr>
          <w:rFonts w:ascii="Arial Narrow" w:hAnsi="Arial Narrow"/>
          <w:sz w:val="26"/>
          <w:szCs w:val="26"/>
        </w:rPr>
        <w:t xml:space="preserve"> 1, 1</w:t>
      </w:r>
      <w:r w:rsidR="008653A6" w:rsidRPr="00D16928">
        <w:rPr>
          <w:rFonts w:ascii="Arial Narrow" w:hAnsi="Arial Narrow"/>
          <w:sz w:val="26"/>
          <w:szCs w:val="26"/>
        </w:rPr>
        <w:t>8</w:t>
      </w:r>
      <w:r w:rsidR="005124D4" w:rsidRPr="00D16928">
        <w:rPr>
          <w:rFonts w:ascii="Arial Narrow" w:hAnsi="Arial Narrow"/>
          <w:sz w:val="26"/>
          <w:szCs w:val="26"/>
        </w:rPr>
        <w:t xml:space="preserve">, </w:t>
      </w:r>
      <w:r w:rsidR="008653A6" w:rsidRPr="00D16928">
        <w:rPr>
          <w:rFonts w:ascii="Arial Narrow" w:hAnsi="Arial Narrow"/>
          <w:sz w:val="26"/>
          <w:szCs w:val="26"/>
        </w:rPr>
        <w:t>28</w:t>
      </w:r>
      <w:r w:rsidR="005124D4" w:rsidRPr="00D16928">
        <w:rPr>
          <w:rFonts w:ascii="Arial Narrow" w:hAnsi="Arial Narrow"/>
          <w:sz w:val="26"/>
          <w:szCs w:val="26"/>
        </w:rPr>
        <w:t xml:space="preserve"> y </w:t>
      </w:r>
      <w:r w:rsidR="008653A6" w:rsidRPr="00D16928">
        <w:rPr>
          <w:rFonts w:ascii="Arial Narrow" w:hAnsi="Arial Narrow"/>
          <w:sz w:val="26"/>
          <w:szCs w:val="26"/>
        </w:rPr>
        <w:t xml:space="preserve">32, </w:t>
      </w:r>
      <w:proofErr w:type="spellStart"/>
      <w:r w:rsidR="008653A6" w:rsidRPr="00D16928">
        <w:rPr>
          <w:rFonts w:ascii="Arial Narrow" w:hAnsi="Arial Narrow"/>
          <w:sz w:val="26"/>
          <w:szCs w:val="26"/>
        </w:rPr>
        <w:t>arch</w:t>
      </w:r>
      <w:proofErr w:type="spellEnd"/>
      <w:r w:rsidR="008653A6" w:rsidRPr="00D16928">
        <w:rPr>
          <w:rFonts w:ascii="Arial Narrow" w:hAnsi="Arial Narrow"/>
          <w:sz w:val="26"/>
          <w:szCs w:val="26"/>
        </w:rPr>
        <w:t xml:space="preserve">. 02 Ib.) </w:t>
      </w:r>
      <w:r w:rsidR="00F3531F" w:rsidRPr="00D16928">
        <w:rPr>
          <w:rFonts w:ascii="Arial Narrow" w:hAnsi="Arial Narrow"/>
          <w:sz w:val="26"/>
          <w:szCs w:val="26"/>
        </w:rPr>
        <w:t>manifestaron</w:t>
      </w:r>
      <w:r w:rsidR="0096747E" w:rsidRPr="00D16928">
        <w:rPr>
          <w:rFonts w:ascii="Arial Narrow" w:hAnsi="Arial Narrow"/>
          <w:sz w:val="26"/>
          <w:szCs w:val="26"/>
        </w:rPr>
        <w:t xml:space="preserve"> conocer que el </w:t>
      </w:r>
      <w:r w:rsidR="00AD230F" w:rsidRPr="00D16928">
        <w:rPr>
          <w:rFonts w:ascii="Arial Narrow" w:hAnsi="Arial Narrow"/>
          <w:sz w:val="26"/>
          <w:szCs w:val="26"/>
        </w:rPr>
        <w:t>demandado</w:t>
      </w:r>
      <w:r w:rsidR="0096747E" w:rsidRPr="00D16928">
        <w:rPr>
          <w:rFonts w:ascii="Arial Narrow" w:hAnsi="Arial Narrow"/>
          <w:sz w:val="26"/>
          <w:szCs w:val="26"/>
        </w:rPr>
        <w:t xml:space="preserve"> había muert</w:t>
      </w:r>
      <w:r w:rsidR="000A2035" w:rsidRPr="00D16928">
        <w:rPr>
          <w:rFonts w:ascii="Arial Narrow" w:hAnsi="Arial Narrow"/>
          <w:sz w:val="26"/>
          <w:szCs w:val="26"/>
        </w:rPr>
        <w:t>o</w:t>
      </w:r>
      <w:r w:rsidR="0096747E" w:rsidRPr="00D16928">
        <w:rPr>
          <w:rFonts w:ascii="Arial Narrow" w:hAnsi="Arial Narrow"/>
          <w:sz w:val="26"/>
          <w:szCs w:val="26"/>
        </w:rPr>
        <w:t xml:space="preserve"> desde hace varios años, aunque no </w:t>
      </w:r>
      <w:r w:rsidR="008653A6" w:rsidRPr="00D16928">
        <w:rPr>
          <w:rFonts w:ascii="Arial Narrow" w:hAnsi="Arial Narrow"/>
          <w:sz w:val="26"/>
          <w:szCs w:val="26"/>
        </w:rPr>
        <w:t xml:space="preserve">se </w:t>
      </w:r>
      <w:r w:rsidR="0096747E" w:rsidRPr="00D16928">
        <w:rPr>
          <w:rFonts w:ascii="Arial Narrow" w:hAnsi="Arial Narrow"/>
          <w:sz w:val="26"/>
          <w:szCs w:val="26"/>
        </w:rPr>
        <w:t>ahond</w:t>
      </w:r>
      <w:r w:rsidR="000A2035" w:rsidRPr="00D16928">
        <w:rPr>
          <w:rFonts w:ascii="Arial Narrow" w:hAnsi="Arial Narrow"/>
          <w:sz w:val="26"/>
          <w:szCs w:val="26"/>
        </w:rPr>
        <w:t>ó</w:t>
      </w:r>
      <w:r w:rsidR="0096747E" w:rsidRPr="00D16928">
        <w:rPr>
          <w:rFonts w:ascii="Arial Narrow" w:hAnsi="Arial Narrow"/>
          <w:sz w:val="26"/>
          <w:szCs w:val="26"/>
        </w:rPr>
        <w:t xml:space="preserve"> sobre su dicho, ni espontáneamente</w:t>
      </w:r>
      <w:r w:rsidR="008653A6" w:rsidRPr="00D16928">
        <w:rPr>
          <w:rFonts w:ascii="Arial Narrow" w:hAnsi="Arial Narrow"/>
          <w:sz w:val="26"/>
          <w:szCs w:val="26"/>
        </w:rPr>
        <w:t>,</w:t>
      </w:r>
      <w:r w:rsidR="0096747E" w:rsidRPr="00D16928">
        <w:rPr>
          <w:rFonts w:ascii="Arial Narrow" w:hAnsi="Arial Narrow"/>
          <w:sz w:val="26"/>
          <w:szCs w:val="26"/>
        </w:rPr>
        <w:t xml:space="preserve"> ni por iniciativa de quien</w:t>
      </w:r>
      <w:r w:rsidR="000A2035" w:rsidRPr="00D16928">
        <w:rPr>
          <w:rFonts w:ascii="Arial Narrow" w:hAnsi="Arial Narrow"/>
          <w:sz w:val="26"/>
          <w:szCs w:val="26"/>
        </w:rPr>
        <w:t>es</w:t>
      </w:r>
      <w:r w:rsidR="0096747E" w:rsidRPr="00D16928">
        <w:rPr>
          <w:rFonts w:ascii="Arial Narrow" w:hAnsi="Arial Narrow"/>
          <w:sz w:val="26"/>
          <w:szCs w:val="26"/>
        </w:rPr>
        <w:t xml:space="preserve"> </w:t>
      </w:r>
      <w:r w:rsidR="000A2035" w:rsidRPr="00D16928">
        <w:rPr>
          <w:rFonts w:ascii="Arial Narrow" w:hAnsi="Arial Narrow"/>
          <w:sz w:val="26"/>
          <w:szCs w:val="26"/>
        </w:rPr>
        <w:t>debían</w:t>
      </w:r>
      <w:r w:rsidR="0096747E" w:rsidRPr="00D16928">
        <w:rPr>
          <w:rFonts w:ascii="Arial Narrow" w:hAnsi="Arial Narrow"/>
          <w:sz w:val="26"/>
          <w:szCs w:val="26"/>
        </w:rPr>
        <w:t xml:space="preserve"> </w:t>
      </w:r>
      <w:r w:rsidR="000A2035" w:rsidRPr="00D16928">
        <w:rPr>
          <w:rFonts w:ascii="Arial Narrow" w:hAnsi="Arial Narrow"/>
          <w:sz w:val="26"/>
          <w:szCs w:val="26"/>
        </w:rPr>
        <w:t>interrogar</w:t>
      </w:r>
      <w:r w:rsidR="0096747E" w:rsidRPr="00D16928">
        <w:rPr>
          <w:rFonts w:ascii="Arial Narrow" w:hAnsi="Arial Narrow"/>
          <w:sz w:val="26"/>
          <w:szCs w:val="26"/>
        </w:rPr>
        <w:t xml:space="preserve">. </w:t>
      </w:r>
      <w:r w:rsidR="00B87736" w:rsidRPr="00D16928">
        <w:rPr>
          <w:rFonts w:ascii="Arial Narrow" w:hAnsi="Arial Narrow"/>
          <w:sz w:val="26"/>
          <w:szCs w:val="26"/>
        </w:rPr>
        <w:t>Tampoco se activ</w:t>
      </w:r>
      <w:r w:rsidR="00274684" w:rsidRPr="00D16928">
        <w:rPr>
          <w:rFonts w:ascii="Arial Narrow" w:hAnsi="Arial Narrow"/>
          <w:sz w:val="26"/>
          <w:szCs w:val="26"/>
        </w:rPr>
        <w:t>ó</w:t>
      </w:r>
      <w:r w:rsidR="00B87736" w:rsidRPr="00D16928">
        <w:rPr>
          <w:rFonts w:ascii="Arial Narrow" w:hAnsi="Arial Narrow"/>
          <w:sz w:val="26"/>
          <w:szCs w:val="26"/>
        </w:rPr>
        <w:t xml:space="preserve"> alguna actuación por parte del juzgador de primer grado.</w:t>
      </w:r>
    </w:p>
    <w:p w14:paraId="7143DF2F" w14:textId="5461DD63" w:rsidR="00274684" w:rsidRPr="003F69FB" w:rsidRDefault="00274684"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668A503D" w14:textId="4490C2CE" w:rsidR="0096747E" w:rsidRPr="00D16928" w:rsidRDefault="00B87736" w:rsidP="00D16928">
      <w:pPr>
        <w:pStyle w:val="Default"/>
        <w:spacing w:line="276" w:lineRule="auto"/>
        <w:jc w:val="both"/>
        <w:rPr>
          <w:rFonts w:ascii="Arial Narrow" w:hAnsi="Arial Narrow"/>
          <w:sz w:val="26"/>
          <w:szCs w:val="26"/>
        </w:rPr>
      </w:pPr>
      <w:r w:rsidRPr="00D16928">
        <w:rPr>
          <w:rFonts w:ascii="Arial Narrow" w:hAnsi="Arial Narrow"/>
          <w:b/>
          <w:sz w:val="26"/>
          <w:szCs w:val="26"/>
        </w:rPr>
        <w:t>4</w:t>
      </w:r>
      <w:r w:rsidR="000A2035" w:rsidRPr="00D16928">
        <w:rPr>
          <w:rFonts w:ascii="Arial Narrow" w:hAnsi="Arial Narrow"/>
          <w:b/>
          <w:sz w:val="26"/>
          <w:szCs w:val="26"/>
        </w:rPr>
        <w:t>.-</w:t>
      </w:r>
      <w:r w:rsidR="00E66381" w:rsidRPr="00D16928">
        <w:rPr>
          <w:rFonts w:ascii="Arial Narrow" w:hAnsi="Arial Narrow"/>
          <w:b/>
          <w:sz w:val="26"/>
          <w:szCs w:val="26"/>
        </w:rPr>
        <w:t xml:space="preserve"> </w:t>
      </w:r>
      <w:r w:rsidR="00E66381" w:rsidRPr="00D16928">
        <w:rPr>
          <w:rFonts w:ascii="Arial Narrow" w:hAnsi="Arial Narrow"/>
          <w:sz w:val="26"/>
          <w:szCs w:val="26"/>
        </w:rPr>
        <w:t>Esos</w:t>
      </w:r>
      <w:r w:rsidR="0096747E" w:rsidRPr="00D16928">
        <w:rPr>
          <w:rFonts w:ascii="Arial Narrow" w:hAnsi="Arial Narrow"/>
          <w:sz w:val="26"/>
          <w:szCs w:val="26"/>
        </w:rPr>
        <w:t xml:space="preserve"> antecedentes del proceso llevaron a desplegar</w:t>
      </w:r>
      <w:r w:rsidR="000A2035" w:rsidRPr="00D16928">
        <w:rPr>
          <w:rFonts w:ascii="Arial Narrow" w:hAnsi="Arial Narrow"/>
          <w:sz w:val="26"/>
          <w:szCs w:val="26"/>
        </w:rPr>
        <w:t xml:space="preserve"> en segunda instancia</w:t>
      </w:r>
      <w:r w:rsidR="0096747E" w:rsidRPr="00D16928">
        <w:rPr>
          <w:rFonts w:ascii="Arial Narrow" w:hAnsi="Arial Narrow"/>
          <w:sz w:val="26"/>
          <w:szCs w:val="26"/>
        </w:rPr>
        <w:t xml:space="preserve"> indagaciones oficiosas desde el auto del 09 de marzo de 2020, para determinar el deceso del demandado. </w:t>
      </w:r>
    </w:p>
    <w:p w14:paraId="63350EAC" w14:textId="77777777" w:rsidR="0096747E" w:rsidRPr="003F69FB" w:rsidRDefault="0096747E"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0580C683" w14:textId="77777777" w:rsidR="00F3531F" w:rsidRPr="00D16928" w:rsidRDefault="00F3531F" w:rsidP="00D16928">
      <w:pPr>
        <w:pStyle w:val="Default"/>
        <w:spacing w:line="276" w:lineRule="auto"/>
        <w:jc w:val="both"/>
        <w:rPr>
          <w:rFonts w:ascii="Arial Narrow" w:hAnsi="Arial Narrow"/>
          <w:sz w:val="26"/>
          <w:szCs w:val="26"/>
        </w:rPr>
      </w:pPr>
      <w:r w:rsidRPr="00D16928">
        <w:rPr>
          <w:rFonts w:ascii="Arial Narrow" w:hAnsi="Arial Narrow"/>
          <w:sz w:val="26"/>
          <w:szCs w:val="26"/>
        </w:rPr>
        <w:t xml:space="preserve">Se solicitó a los juzgados sexto y </w:t>
      </w:r>
      <w:r w:rsidR="00E66381" w:rsidRPr="00D16928">
        <w:rPr>
          <w:rFonts w:ascii="Arial Narrow" w:hAnsi="Arial Narrow"/>
          <w:sz w:val="26"/>
          <w:szCs w:val="26"/>
        </w:rPr>
        <w:t>quince civiles</w:t>
      </w:r>
      <w:r w:rsidRPr="00D16928">
        <w:rPr>
          <w:rFonts w:ascii="Arial Narrow" w:hAnsi="Arial Narrow"/>
          <w:sz w:val="26"/>
          <w:szCs w:val="26"/>
        </w:rPr>
        <w:t xml:space="preserve"> del circuito de Medellín, donde se conocieron procesos de los </w:t>
      </w:r>
      <w:r w:rsidR="000A2035" w:rsidRPr="00D16928">
        <w:rPr>
          <w:rFonts w:ascii="Arial Narrow" w:hAnsi="Arial Narrow"/>
          <w:sz w:val="26"/>
          <w:szCs w:val="26"/>
        </w:rPr>
        <w:t xml:space="preserve">que </w:t>
      </w:r>
      <w:r w:rsidRPr="00D16928">
        <w:rPr>
          <w:rFonts w:ascii="Arial Narrow" w:hAnsi="Arial Narrow"/>
          <w:sz w:val="26"/>
          <w:szCs w:val="26"/>
        </w:rPr>
        <w:t xml:space="preserve">dimanaron las actuaciones jurisdiccionales </w:t>
      </w:r>
      <w:r w:rsidR="00E66381" w:rsidRPr="00D16928">
        <w:rPr>
          <w:rFonts w:ascii="Arial Narrow" w:hAnsi="Arial Narrow"/>
          <w:sz w:val="26"/>
          <w:szCs w:val="26"/>
        </w:rPr>
        <w:t>vertidas en</w:t>
      </w:r>
      <w:r w:rsidRPr="00D16928">
        <w:rPr>
          <w:rFonts w:ascii="Arial Narrow" w:hAnsi="Arial Narrow"/>
          <w:sz w:val="26"/>
          <w:szCs w:val="26"/>
        </w:rPr>
        <w:t xml:space="preserve"> anotaciones del folio real antes advertidas, para que remitieran con destino a est</w:t>
      </w:r>
      <w:r w:rsidR="000A2035" w:rsidRPr="00D16928">
        <w:rPr>
          <w:rFonts w:ascii="Arial Narrow" w:hAnsi="Arial Narrow"/>
          <w:sz w:val="26"/>
          <w:szCs w:val="26"/>
        </w:rPr>
        <w:t>a</w:t>
      </w:r>
      <w:r w:rsidRPr="00D16928">
        <w:rPr>
          <w:rFonts w:ascii="Arial Narrow" w:hAnsi="Arial Narrow"/>
          <w:sz w:val="26"/>
          <w:szCs w:val="26"/>
        </w:rPr>
        <w:t xml:space="preserve"> </w:t>
      </w:r>
      <w:r w:rsidR="000A2035" w:rsidRPr="00D16928">
        <w:rPr>
          <w:rFonts w:ascii="Arial Narrow" w:hAnsi="Arial Narrow"/>
          <w:sz w:val="26"/>
          <w:szCs w:val="26"/>
        </w:rPr>
        <w:t>instancia el</w:t>
      </w:r>
      <w:r w:rsidRPr="00D16928">
        <w:rPr>
          <w:rFonts w:ascii="Arial Narrow" w:hAnsi="Arial Narrow"/>
          <w:sz w:val="26"/>
          <w:szCs w:val="26"/>
        </w:rPr>
        <w:t xml:space="preserve"> registro de defunción de Carlos Restrepo Arango. </w:t>
      </w:r>
    </w:p>
    <w:p w14:paraId="384C43E4" w14:textId="77777777" w:rsidR="00F3531F" w:rsidRPr="003F69FB" w:rsidRDefault="00F3531F"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60D5536C" w14:textId="5BC8AC37" w:rsidR="0096747E" w:rsidRPr="00D16928" w:rsidRDefault="00F3531F" w:rsidP="00D16928">
      <w:pPr>
        <w:pStyle w:val="Default"/>
        <w:spacing w:line="276" w:lineRule="auto"/>
        <w:jc w:val="both"/>
        <w:rPr>
          <w:rFonts w:ascii="Arial Narrow" w:hAnsi="Arial Narrow"/>
          <w:sz w:val="26"/>
          <w:szCs w:val="26"/>
        </w:rPr>
      </w:pPr>
      <w:r w:rsidRPr="00D16928">
        <w:rPr>
          <w:rFonts w:ascii="Arial Narrow" w:hAnsi="Arial Narrow"/>
          <w:sz w:val="26"/>
          <w:szCs w:val="26"/>
        </w:rPr>
        <w:t xml:space="preserve">El primero de </w:t>
      </w:r>
      <w:r w:rsidR="00E66381" w:rsidRPr="00D16928">
        <w:rPr>
          <w:rFonts w:ascii="Arial Narrow" w:hAnsi="Arial Narrow"/>
          <w:sz w:val="26"/>
          <w:szCs w:val="26"/>
        </w:rPr>
        <w:t>ellos, respondió</w:t>
      </w:r>
      <w:r w:rsidRPr="00D16928">
        <w:rPr>
          <w:rFonts w:ascii="Arial Narrow" w:hAnsi="Arial Narrow"/>
          <w:sz w:val="26"/>
          <w:szCs w:val="26"/>
        </w:rPr>
        <w:t xml:space="preserve"> manifestando que no pudo hallar el expediente donde se surtieron </w:t>
      </w:r>
      <w:r w:rsidR="00E66381" w:rsidRPr="00D16928">
        <w:rPr>
          <w:rFonts w:ascii="Arial Narrow" w:hAnsi="Arial Narrow"/>
          <w:sz w:val="26"/>
          <w:szCs w:val="26"/>
        </w:rPr>
        <w:t>las actuaciones</w:t>
      </w:r>
      <w:r w:rsidRPr="00D16928">
        <w:rPr>
          <w:rFonts w:ascii="Arial Narrow" w:hAnsi="Arial Narrow"/>
          <w:sz w:val="26"/>
          <w:szCs w:val="26"/>
        </w:rPr>
        <w:t xml:space="preserve"> (</w:t>
      </w:r>
      <w:proofErr w:type="spellStart"/>
      <w:r w:rsidRPr="00D16928">
        <w:rPr>
          <w:rFonts w:ascii="Arial Narrow" w:hAnsi="Arial Narrow"/>
          <w:sz w:val="26"/>
          <w:szCs w:val="26"/>
        </w:rPr>
        <w:t>arch</w:t>
      </w:r>
      <w:proofErr w:type="spellEnd"/>
      <w:r w:rsidRPr="00D16928">
        <w:rPr>
          <w:rFonts w:ascii="Arial Narrow" w:hAnsi="Arial Narrow"/>
          <w:sz w:val="26"/>
          <w:szCs w:val="26"/>
        </w:rPr>
        <w:t>. 10 de segunda instancia)</w:t>
      </w:r>
      <w:r w:rsidR="00E66381" w:rsidRPr="00D16928">
        <w:rPr>
          <w:rFonts w:ascii="Arial Narrow" w:hAnsi="Arial Narrow"/>
          <w:sz w:val="26"/>
          <w:szCs w:val="26"/>
        </w:rPr>
        <w:t>. El juzgado quince, di</w:t>
      </w:r>
      <w:r w:rsidR="008653A6" w:rsidRPr="00D16928">
        <w:rPr>
          <w:rFonts w:ascii="Arial Narrow" w:hAnsi="Arial Narrow"/>
          <w:sz w:val="26"/>
          <w:szCs w:val="26"/>
        </w:rPr>
        <w:t xml:space="preserve">jo </w:t>
      </w:r>
      <w:r w:rsidR="00E66381" w:rsidRPr="00D16928">
        <w:rPr>
          <w:rFonts w:ascii="Arial Narrow" w:hAnsi="Arial Narrow"/>
          <w:sz w:val="26"/>
          <w:szCs w:val="26"/>
        </w:rPr>
        <w:t>aducir a su respuesta el certificado de defunción; no obstante, lo era de otra persona (</w:t>
      </w:r>
      <w:proofErr w:type="spellStart"/>
      <w:r w:rsidR="00E66381" w:rsidRPr="00D16928">
        <w:rPr>
          <w:rFonts w:ascii="Arial Narrow" w:hAnsi="Arial Narrow"/>
          <w:sz w:val="26"/>
          <w:szCs w:val="26"/>
        </w:rPr>
        <w:t>arch</w:t>
      </w:r>
      <w:proofErr w:type="spellEnd"/>
      <w:r w:rsidR="00E66381" w:rsidRPr="00D16928">
        <w:rPr>
          <w:rFonts w:ascii="Arial Narrow" w:hAnsi="Arial Narrow"/>
          <w:sz w:val="26"/>
          <w:szCs w:val="26"/>
        </w:rPr>
        <w:t>. 13,14 Ib.)</w:t>
      </w:r>
      <w:r w:rsidR="00AD2258" w:rsidRPr="00D16928">
        <w:rPr>
          <w:rFonts w:ascii="Arial Narrow" w:hAnsi="Arial Narrow"/>
          <w:sz w:val="26"/>
          <w:szCs w:val="26"/>
        </w:rPr>
        <w:t>. A</w:t>
      </w:r>
      <w:r w:rsidR="00E66381" w:rsidRPr="00D16928">
        <w:rPr>
          <w:rFonts w:ascii="Arial Narrow" w:hAnsi="Arial Narrow"/>
          <w:sz w:val="26"/>
          <w:szCs w:val="26"/>
        </w:rPr>
        <w:t>nte los requerimiento</w:t>
      </w:r>
      <w:r w:rsidR="00AD2258" w:rsidRPr="00D16928">
        <w:rPr>
          <w:rFonts w:ascii="Arial Narrow" w:hAnsi="Arial Narrow"/>
          <w:sz w:val="26"/>
          <w:szCs w:val="26"/>
        </w:rPr>
        <w:t>s</w:t>
      </w:r>
      <w:r w:rsidR="00E66381" w:rsidRPr="00D16928">
        <w:rPr>
          <w:rFonts w:ascii="Arial Narrow" w:hAnsi="Arial Narrow"/>
          <w:sz w:val="26"/>
          <w:szCs w:val="26"/>
        </w:rPr>
        <w:t xml:space="preserve"> y aclaraciones </w:t>
      </w:r>
      <w:r w:rsidR="00AD2258" w:rsidRPr="00D16928">
        <w:rPr>
          <w:rFonts w:ascii="Arial Narrow" w:hAnsi="Arial Narrow"/>
          <w:sz w:val="26"/>
          <w:szCs w:val="26"/>
        </w:rPr>
        <w:t xml:space="preserve">posteriores </w:t>
      </w:r>
      <w:r w:rsidR="00E66381" w:rsidRPr="00D16928">
        <w:rPr>
          <w:rFonts w:ascii="Arial Narrow" w:hAnsi="Arial Narrow"/>
          <w:sz w:val="26"/>
          <w:szCs w:val="26"/>
        </w:rPr>
        <w:t xml:space="preserve">de esta </w:t>
      </w:r>
      <w:r w:rsidR="00AD2258" w:rsidRPr="00D16928">
        <w:rPr>
          <w:rFonts w:ascii="Arial Narrow" w:hAnsi="Arial Narrow"/>
          <w:sz w:val="26"/>
          <w:szCs w:val="26"/>
        </w:rPr>
        <w:t>C</w:t>
      </w:r>
      <w:r w:rsidR="00E66381" w:rsidRPr="00D16928">
        <w:rPr>
          <w:rFonts w:ascii="Arial Narrow" w:hAnsi="Arial Narrow"/>
          <w:sz w:val="26"/>
          <w:szCs w:val="26"/>
        </w:rPr>
        <w:t>orporación</w:t>
      </w:r>
      <w:r w:rsidR="00AD2258" w:rsidRPr="00D16928">
        <w:rPr>
          <w:rFonts w:ascii="Arial Narrow" w:hAnsi="Arial Narrow"/>
          <w:sz w:val="26"/>
          <w:szCs w:val="26"/>
        </w:rPr>
        <w:t>,</w:t>
      </w:r>
      <w:r w:rsidR="00E66381" w:rsidRPr="00D16928">
        <w:rPr>
          <w:rFonts w:ascii="Arial Narrow" w:hAnsi="Arial Narrow"/>
          <w:sz w:val="26"/>
          <w:szCs w:val="26"/>
        </w:rPr>
        <w:t xml:space="preserve"> no se obtuvo respuesta satisfactoria (</w:t>
      </w:r>
      <w:proofErr w:type="spellStart"/>
      <w:r w:rsidR="00E66381" w:rsidRPr="00D16928">
        <w:rPr>
          <w:rFonts w:ascii="Arial Narrow" w:hAnsi="Arial Narrow"/>
          <w:sz w:val="26"/>
          <w:szCs w:val="26"/>
        </w:rPr>
        <w:t>arch</w:t>
      </w:r>
      <w:proofErr w:type="spellEnd"/>
      <w:r w:rsidR="00E66381" w:rsidRPr="00D16928">
        <w:rPr>
          <w:rFonts w:ascii="Arial Narrow" w:hAnsi="Arial Narrow"/>
          <w:sz w:val="26"/>
          <w:szCs w:val="26"/>
        </w:rPr>
        <w:t xml:space="preserve">. 23 y 24 Ib.).  </w:t>
      </w:r>
    </w:p>
    <w:p w14:paraId="72EE4F04" w14:textId="77777777" w:rsidR="0096747E" w:rsidRPr="003F69FB" w:rsidRDefault="0096747E"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002C4797" w14:textId="5CB167E6" w:rsidR="000A2035" w:rsidRPr="00D16928" w:rsidRDefault="00E66381" w:rsidP="00D16928">
      <w:pPr>
        <w:pStyle w:val="Default"/>
        <w:spacing w:line="276" w:lineRule="auto"/>
        <w:jc w:val="both"/>
        <w:rPr>
          <w:rFonts w:ascii="Arial Narrow" w:hAnsi="Arial Narrow"/>
          <w:sz w:val="26"/>
          <w:szCs w:val="26"/>
        </w:rPr>
      </w:pPr>
      <w:r w:rsidRPr="00D16928">
        <w:rPr>
          <w:rFonts w:ascii="Arial Narrow" w:hAnsi="Arial Narrow"/>
          <w:sz w:val="26"/>
          <w:szCs w:val="26"/>
        </w:rPr>
        <w:t xml:space="preserve">Las </w:t>
      </w:r>
      <w:r w:rsidR="003F36E6" w:rsidRPr="00D16928">
        <w:rPr>
          <w:rFonts w:ascii="Arial Narrow" w:hAnsi="Arial Narrow"/>
          <w:sz w:val="26"/>
          <w:szCs w:val="26"/>
        </w:rPr>
        <w:t>averiguaciones con</w:t>
      </w:r>
      <w:r w:rsidRPr="00D16928">
        <w:rPr>
          <w:rFonts w:ascii="Arial Narrow" w:hAnsi="Arial Narrow"/>
          <w:sz w:val="26"/>
          <w:szCs w:val="26"/>
        </w:rPr>
        <w:t xml:space="preserve"> la</w:t>
      </w:r>
      <w:r w:rsidR="003F36E6" w:rsidRPr="00D16928">
        <w:rPr>
          <w:rFonts w:ascii="Arial Narrow" w:hAnsi="Arial Narrow"/>
          <w:sz w:val="26"/>
          <w:szCs w:val="26"/>
        </w:rPr>
        <w:t xml:space="preserve"> Registraduría General del Estado </w:t>
      </w:r>
      <w:r w:rsidR="00AD2258" w:rsidRPr="00D16928">
        <w:rPr>
          <w:rFonts w:ascii="Arial Narrow" w:hAnsi="Arial Narrow"/>
          <w:sz w:val="26"/>
          <w:szCs w:val="26"/>
        </w:rPr>
        <w:t>Civil</w:t>
      </w:r>
      <w:r w:rsidR="003F36E6" w:rsidRPr="00D16928">
        <w:rPr>
          <w:rFonts w:ascii="Arial Narrow" w:hAnsi="Arial Narrow"/>
          <w:sz w:val="26"/>
          <w:szCs w:val="26"/>
        </w:rPr>
        <w:t xml:space="preserve"> arrojaron que la cédula de ciudadanía No. 3.312.226 perteneciente al ciudadano Carlos Eduardo Restrepo Arango, fue cancelada por muerte, mediante Resolución No. 9236 del año 2010 (</w:t>
      </w:r>
      <w:proofErr w:type="spellStart"/>
      <w:r w:rsidR="003F36E6" w:rsidRPr="00D16928">
        <w:rPr>
          <w:rFonts w:ascii="Arial Narrow" w:hAnsi="Arial Narrow"/>
          <w:sz w:val="26"/>
          <w:szCs w:val="26"/>
        </w:rPr>
        <w:t>arch</w:t>
      </w:r>
      <w:proofErr w:type="spellEnd"/>
      <w:r w:rsidR="003F36E6" w:rsidRPr="00D16928">
        <w:rPr>
          <w:rFonts w:ascii="Arial Narrow" w:hAnsi="Arial Narrow"/>
          <w:sz w:val="26"/>
          <w:szCs w:val="26"/>
        </w:rPr>
        <w:t>. 31 y 32 Ib.) de conformidad a lo estatuido en el artículo 84 de la Ley 1365 de 2009</w:t>
      </w:r>
      <w:r w:rsidR="003F36E6" w:rsidRPr="00D16928">
        <w:rPr>
          <w:rStyle w:val="Refdenotaalpie"/>
          <w:rFonts w:ascii="Arial Narrow" w:hAnsi="Arial Narrow"/>
          <w:sz w:val="26"/>
          <w:szCs w:val="26"/>
        </w:rPr>
        <w:footnoteReference w:id="8"/>
      </w:r>
      <w:r w:rsidR="003F36E6" w:rsidRPr="00D16928">
        <w:rPr>
          <w:rFonts w:ascii="Arial Narrow" w:hAnsi="Arial Narrow"/>
          <w:sz w:val="26"/>
          <w:szCs w:val="26"/>
        </w:rPr>
        <w:t>.</w:t>
      </w:r>
      <w:r w:rsidR="008D0D58" w:rsidRPr="00D16928">
        <w:rPr>
          <w:rFonts w:ascii="Arial Narrow" w:hAnsi="Arial Narrow"/>
          <w:sz w:val="26"/>
          <w:szCs w:val="26"/>
        </w:rPr>
        <w:t xml:space="preserve"> Se consideró en ese acto administrativo que la c</w:t>
      </w:r>
      <w:r w:rsidR="008653A6" w:rsidRPr="00D16928">
        <w:rPr>
          <w:rFonts w:ascii="Arial Narrow" w:hAnsi="Arial Narrow"/>
          <w:sz w:val="26"/>
          <w:szCs w:val="26"/>
        </w:rPr>
        <w:t>é</w:t>
      </w:r>
      <w:r w:rsidR="008D0D58" w:rsidRPr="00D16928">
        <w:rPr>
          <w:rFonts w:ascii="Arial Narrow" w:hAnsi="Arial Narrow"/>
          <w:sz w:val="26"/>
          <w:szCs w:val="26"/>
        </w:rPr>
        <w:t xml:space="preserve">dula correspondía a una persona mayor de 100 años, sin que se advierta registro, movimiento </w:t>
      </w:r>
      <w:r w:rsidR="00C76B5F" w:rsidRPr="00D16928">
        <w:rPr>
          <w:rFonts w:ascii="Arial Narrow" w:hAnsi="Arial Narrow"/>
          <w:sz w:val="26"/>
          <w:szCs w:val="26"/>
        </w:rPr>
        <w:t>o</w:t>
      </w:r>
      <w:r w:rsidR="008D0D58" w:rsidRPr="00D16928">
        <w:rPr>
          <w:rFonts w:ascii="Arial Narrow" w:hAnsi="Arial Narrow"/>
          <w:sz w:val="26"/>
          <w:szCs w:val="26"/>
        </w:rPr>
        <w:t xml:space="preserve"> actividad en diversas bases de datos </w:t>
      </w:r>
      <w:r w:rsidR="00C76B5F" w:rsidRPr="00D16928">
        <w:rPr>
          <w:rFonts w:ascii="Arial Narrow" w:hAnsi="Arial Narrow"/>
          <w:sz w:val="26"/>
          <w:szCs w:val="26"/>
        </w:rPr>
        <w:t>consultadas, ni la renovación obligatoria señalada en la Ley</w:t>
      </w:r>
      <w:r w:rsidR="00C76B5F" w:rsidRPr="00D16928">
        <w:rPr>
          <w:rStyle w:val="Refdenotaalpie"/>
          <w:rFonts w:ascii="Arial Narrow" w:hAnsi="Arial Narrow"/>
          <w:sz w:val="26"/>
          <w:szCs w:val="26"/>
        </w:rPr>
        <w:footnoteReference w:id="9"/>
      </w:r>
      <w:r w:rsidR="0056405B" w:rsidRPr="00D16928">
        <w:rPr>
          <w:rFonts w:ascii="Arial Narrow" w:hAnsi="Arial Narrow"/>
          <w:sz w:val="26"/>
          <w:szCs w:val="26"/>
        </w:rPr>
        <w:t>.</w:t>
      </w:r>
    </w:p>
    <w:p w14:paraId="3DC3107F" w14:textId="77777777" w:rsidR="000A2035" w:rsidRPr="003F69FB" w:rsidRDefault="000A2035"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7F5CAB28" w14:textId="08B49E13" w:rsidR="000A2035" w:rsidRPr="00D16928" w:rsidRDefault="0056405B" w:rsidP="00D16928">
      <w:pPr>
        <w:pStyle w:val="Default"/>
        <w:spacing w:line="276" w:lineRule="auto"/>
        <w:jc w:val="both"/>
        <w:rPr>
          <w:rFonts w:ascii="Arial Narrow" w:hAnsi="Arial Narrow"/>
          <w:sz w:val="26"/>
          <w:szCs w:val="26"/>
        </w:rPr>
      </w:pPr>
      <w:r w:rsidRPr="00D16928">
        <w:rPr>
          <w:rFonts w:ascii="Arial Narrow" w:hAnsi="Arial Narrow"/>
          <w:sz w:val="26"/>
          <w:szCs w:val="26"/>
        </w:rPr>
        <w:t>Ese número de cedula, según se constata en actuaci</w:t>
      </w:r>
      <w:r w:rsidR="000A2035" w:rsidRPr="00D16928">
        <w:rPr>
          <w:rFonts w:ascii="Arial Narrow" w:hAnsi="Arial Narrow"/>
          <w:sz w:val="26"/>
          <w:szCs w:val="26"/>
        </w:rPr>
        <w:t>ones</w:t>
      </w:r>
      <w:r w:rsidRPr="00D16928">
        <w:rPr>
          <w:rFonts w:ascii="Arial Narrow" w:hAnsi="Arial Narrow"/>
          <w:sz w:val="26"/>
          <w:szCs w:val="26"/>
        </w:rPr>
        <w:t xml:space="preserve"> surtida</w:t>
      </w:r>
      <w:r w:rsidR="000A2035" w:rsidRPr="00D16928">
        <w:rPr>
          <w:rFonts w:ascii="Arial Narrow" w:hAnsi="Arial Narrow"/>
          <w:sz w:val="26"/>
          <w:szCs w:val="26"/>
        </w:rPr>
        <w:t>s</w:t>
      </w:r>
      <w:r w:rsidR="00F72864" w:rsidRPr="00D16928">
        <w:rPr>
          <w:rFonts w:ascii="Arial Narrow" w:hAnsi="Arial Narrow"/>
          <w:sz w:val="26"/>
          <w:szCs w:val="26"/>
        </w:rPr>
        <w:t>,</w:t>
      </w:r>
      <w:r w:rsidRPr="00D16928">
        <w:rPr>
          <w:rFonts w:ascii="Arial Narrow" w:hAnsi="Arial Narrow"/>
          <w:sz w:val="26"/>
          <w:szCs w:val="26"/>
        </w:rPr>
        <w:t xml:space="preserve"> corresponde al titular de derecho real principal inscrito contra quien se dirige la demanda, v.gr. folio </w:t>
      </w:r>
      <w:r w:rsidR="00E603D8" w:rsidRPr="00D16928">
        <w:rPr>
          <w:rFonts w:ascii="Arial Narrow" w:hAnsi="Arial Narrow"/>
          <w:sz w:val="26"/>
          <w:szCs w:val="26"/>
        </w:rPr>
        <w:t>80</w:t>
      </w:r>
      <w:r w:rsidRPr="00D16928">
        <w:rPr>
          <w:rFonts w:ascii="Arial Narrow" w:hAnsi="Arial Narrow"/>
          <w:sz w:val="26"/>
          <w:szCs w:val="26"/>
        </w:rPr>
        <w:t xml:space="preserve"> del archivo 01 de primera instancia</w:t>
      </w:r>
      <w:r w:rsidR="00F72864" w:rsidRPr="00D16928">
        <w:rPr>
          <w:rFonts w:ascii="Arial Narrow" w:hAnsi="Arial Narrow"/>
          <w:sz w:val="26"/>
          <w:szCs w:val="26"/>
        </w:rPr>
        <w:t xml:space="preserve"> (contrato de promesa)</w:t>
      </w:r>
      <w:r w:rsidRPr="00D16928">
        <w:rPr>
          <w:rFonts w:ascii="Arial Narrow" w:hAnsi="Arial Narrow"/>
          <w:sz w:val="26"/>
          <w:szCs w:val="26"/>
        </w:rPr>
        <w:t xml:space="preserve">, y folios reales que obran en el </w:t>
      </w:r>
      <w:r w:rsidR="00E603D8" w:rsidRPr="00D16928">
        <w:rPr>
          <w:rFonts w:ascii="Arial Narrow" w:hAnsi="Arial Narrow"/>
          <w:sz w:val="26"/>
          <w:szCs w:val="26"/>
        </w:rPr>
        <w:t>archivo</w:t>
      </w:r>
      <w:r w:rsidRPr="00D16928">
        <w:rPr>
          <w:rFonts w:ascii="Arial Narrow" w:hAnsi="Arial Narrow"/>
          <w:sz w:val="26"/>
          <w:szCs w:val="26"/>
        </w:rPr>
        <w:t xml:space="preserve"> 03 Ib.</w:t>
      </w:r>
      <w:r w:rsidR="007E35EA" w:rsidRPr="00D16928">
        <w:rPr>
          <w:rFonts w:ascii="Arial Narrow" w:hAnsi="Arial Narrow"/>
          <w:sz w:val="26"/>
          <w:szCs w:val="26"/>
        </w:rPr>
        <w:t>, folio 28.</w:t>
      </w:r>
      <w:r w:rsidRPr="00D16928">
        <w:rPr>
          <w:rFonts w:ascii="Arial Narrow" w:hAnsi="Arial Narrow"/>
          <w:sz w:val="26"/>
          <w:szCs w:val="26"/>
        </w:rPr>
        <w:t xml:space="preserve"> </w:t>
      </w:r>
    </w:p>
    <w:p w14:paraId="211F0FA6" w14:textId="77777777" w:rsidR="000A2035" w:rsidRPr="003F69FB" w:rsidRDefault="000A2035"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3FA81F5B" w14:textId="77777777" w:rsidR="00384162" w:rsidRPr="00D16928" w:rsidRDefault="0056405B" w:rsidP="00D16928">
      <w:pPr>
        <w:pStyle w:val="Default"/>
        <w:spacing w:line="276" w:lineRule="auto"/>
        <w:jc w:val="both"/>
        <w:rPr>
          <w:rFonts w:ascii="Arial Narrow" w:hAnsi="Arial Narrow"/>
          <w:sz w:val="26"/>
          <w:szCs w:val="26"/>
        </w:rPr>
      </w:pPr>
      <w:r w:rsidRPr="00D16928">
        <w:rPr>
          <w:rFonts w:ascii="Arial Narrow" w:hAnsi="Arial Narrow"/>
          <w:sz w:val="26"/>
          <w:szCs w:val="26"/>
        </w:rPr>
        <w:t xml:space="preserve">Asimismo, en </w:t>
      </w:r>
      <w:r w:rsidR="00384162" w:rsidRPr="00D16928">
        <w:rPr>
          <w:rFonts w:ascii="Arial Narrow" w:hAnsi="Arial Narrow"/>
          <w:sz w:val="26"/>
          <w:szCs w:val="26"/>
        </w:rPr>
        <w:t xml:space="preserve">archivos 18 y 19 de segunda instancia, reposan tarjetas decadactilares aportadas por la Registraduría, donde se coincide que el año de nacimiento del demandado es 1906. </w:t>
      </w:r>
    </w:p>
    <w:p w14:paraId="2FC7CDE9" w14:textId="77777777" w:rsidR="003F36E6" w:rsidRPr="003F69FB" w:rsidRDefault="0056405B"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r w:rsidRPr="003F69FB">
        <w:rPr>
          <w:rFonts w:ascii="Arial Narrow" w:hAnsi="Arial Narrow" w:cs="Arial Narrow"/>
          <w:bCs/>
          <w:sz w:val="26"/>
          <w:szCs w:val="26"/>
        </w:rPr>
        <w:t xml:space="preserve">   </w:t>
      </w:r>
      <w:r w:rsidR="00C76B5F" w:rsidRPr="003F69FB">
        <w:rPr>
          <w:rFonts w:ascii="Arial Narrow" w:hAnsi="Arial Narrow" w:cs="Arial Narrow"/>
          <w:bCs/>
          <w:sz w:val="26"/>
          <w:szCs w:val="26"/>
        </w:rPr>
        <w:t xml:space="preserve"> </w:t>
      </w:r>
    </w:p>
    <w:p w14:paraId="1F33340B" w14:textId="139359A3" w:rsidR="00384162" w:rsidRPr="00D16928" w:rsidRDefault="003F36E6" w:rsidP="00D16928">
      <w:pPr>
        <w:pStyle w:val="Default"/>
        <w:spacing w:line="276" w:lineRule="auto"/>
        <w:jc w:val="both"/>
        <w:rPr>
          <w:rFonts w:ascii="Arial Narrow" w:hAnsi="Arial Narrow"/>
          <w:sz w:val="26"/>
          <w:szCs w:val="26"/>
        </w:rPr>
      </w:pPr>
      <w:r w:rsidRPr="00D16928">
        <w:rPr>
          <w:rFonts w:ascii="Arial Narrow" w:hAnsi="Arial Narrow"/>
          <w:sz w:val="26"/>
          <w:szCs w:val="26"/>
        </w:rPr>
        <w:t xml:space="preserve">Cuando se le preguntó </w:t>
      </w:r>
      <w:r w:rsidR="0056405B" w:rsidRPr="00D16928">
        <w:rPr>
          <w:rFonts w:ascii="Arial Narrow" w:hAnsi="Arial Narrow"/>
          <w:sz w:val="26"/>
          <w:szCs w:val="26"/>
        </w:rPr>
        <w:t xml:space="preserve">a la autoridad </w:t>
      </w:r>
      <w:r w:rsidRPr="00D16928">
        <w:rPr>
          <w:rFonts w:ascii="Arial Narrow" w:hAnsi="Arial Narrow"/>
          <w:sz w:val="26"/>
          <w:szCs w:val="26"/>
        </w:rPr>
        <w:t xml:space="preserve">sí podía aportar copia del registro de </w:t>
      </w:r>
      <w:r w:rsidR="00BF65B0" w:rsidRPr="00D16928">
        <w:rPr>
          <w:rFonts w:ascii="Arial Narrow" w:hAnsi="Arial Narrow"/>
          <w:sz w:val="26"/>
          <w:szCs w:val="26"/>
        </w:rPr>
        <w:t>de</w:t>
      </w:r>
      <w:r w:rsidRPr="00D16928">
        <w:rPr>
          <w:rFonts w:ascii="Arial Narrow" w:hAnsi="Arial Narrow"/>
          <w:sz w:val="26"/>
          <w:szCs w:val="26"/>
        </w:rPr>
        <w:t>función o el lugar donde podría hallarse, dijo</w:t>
      </w:r>
      <w:r w:rsidR="00E603D8" w:rsidRPr="00D16928">
        <w:rPr>
          <w:rFonts w:ascii="Arial Narrow" w:hAnsi="Arial Narrow"/>
          <w:sz w:val="26"/>
          <w:szCs w:val="26"/>
        </w:rPr>
        <w:t xml:space="preserve">: </w:t>
      </w:r>
      <w:r w:rsidR="000A2035" w:rsidRPr="00D16928">
        <w:rPr>
          <w:rFonts w:ascii="Arial Narrow" w:hAnsi="Arial Narrow"/>
          <w:sz w:val="26"/>
          <w:szCs w:val="26"/>
        </w:rPr>
        <w:t>“</w:t>
      </w:r>
      <w:r w:rsidR="00BA7A23" w:rsidRPr="00C85AC0">
        <w:rPr>
          <w:rFonts w:ascii="Arial Narrow" w:hAnsi="Arial Narrow"/>
          <w:i/>
          <w:szCs w:val="26"/>
        </w:rPr>
        <w:t>…</w:t>
      </w:r>
      <w:r w:rsidR="00C85AC0" w:rsidRPr="00C85AC0">
        <w:rPr>
          <w:rFonts w:ascii="Arial Narrow" w:hAnsi="Arial Narrow"/>
          <w:i/>
          <w:szCs w:val="26"/>
        </w:rPr>
        <w:t xml:space="preserve"> </w:t>
      </w:r>
      <w:r w:rsidR="00BA7A23" w:rsidRPr="00C85AC0">
        <w:rPr>
          <w:rFonts w:ascii="Arial Narrow" w:hAnsi="Arial Narrow"/>
          <w:i/>
          <w:szCs w:val="26"/>
        </w:rPr>
        <w:t>se efectuó la búsqueda en el Sistema de Información de Registro Civil (SIRC) sin encontrarse información…</w:t>
      </w:r>
      <w:r w:rsidR="00BA7A23" w:rsidRPr="00D16928">
        <w:rPr>
          <w:rFonts w:ascii="Arial Narrow" w:hAnsi="Arial Narrow"/>
          <w:i/>
          <w:sz w:val="26"/>
          <w:szCs w:val="26"/>
        </w:rPr>
        <w:t xml:space="preserve">” </w:t>
      </w:r>
      <w:r w:rsidR="00BA7A23" w:rsidRPr="00D16928">
        <w:rPr>
          <w:rFonts w:ascii="Arial Narrow" w:hAnsi="Arial Narrow"/>
          <w:sz w:val="26"/>
          <w:szCs w:val="26"/>
        </w:rPr>
        <w:t>(</w:t>
      </w:r>
      <w:proofErr w:type="spellStart"/>
      <w:r w:rsidR="00BA7A23" w:rsidRPr="00D16928">
        <w:rPr>
          <w:rFonts w:ascii="Arial Narrow" w:hAnsi="Arial Narrow"/>
          <w:sz w:val="26"/>
          <w:szCs w:val="26"/>
        </w:rPr>
        <w:t>arch</w:t>
      </w:r>
      <w:proofErr w:type="spellEnd"/>
      <w:r w:rsidR="00BA7A23" w:rsidRPr="00D16928">
        <w:rPr>
          <w:rFonts w:ascii="Arial Narrow" w:hAnsi="Arial Narrow"/>
          <w:sz w:val="26"/>
          <w:szCs w:val="26"/>
        </w:rPr>
        <w:t>.  53 Ib.)</w:t>
      </w:r>
      <w:r w:rsidR="008D0D58" w:rsidRPr="00D16928">
        <w:rPr>
          <w:rFonts w:ascii="Arial Narrow" w:hAnsi="Arial Narrow"/>
          <w:sz w:val="26"/>
          <w:szCs w:val="26"/>
        </w:rPr>
        <w:t>.</w:t>
      </w:r>
      <w:r w:rsidR="00BA7A23" w:rsidRPr="00D16928">
        <w:rPr>
          <w:rFonts w:ascii="Arial Narrow" w:hAnsi="Arial Narrow"/>
          <w:sz w:val="26"/>
          <w:szCs w:val="26"/>
        </w:rPr>
        <w:t xml:space="preserve"> </w:t>
      </w:r>
      <w:r w:rsidR="0056405B" w:rsidRPr="00D16928">
        <w:rPr>
          <w:rFonts w:ascii="Arial Narrow" w:hAnsi="Arial Narrow"/>
          <w:sz w:val="26"/>
          <w:szCs w:val="26"/>
        </w:rPr>
        <w:t xml:space="preserve">Continuó: </w:t>
      </w:r>
      <w:r w:rsidR="0056405B" w:rsidRPr="00D16928">
        <w:rPr>
          <w:rFonts w:ascii="Arial Narrow" w:hAnsi="Arial Narrow"/>
          <w:i/>
          <w:sz w:val="26"/>
          <w:szCs w:val="26"/>
        </w:rPr>
        <w:t>“</w:t>
      </w:r>
      <w:r w:rsidR="0056405B" w:rsidRPr="00C85AC0">
        <w:rPr>
          <w:rFonts w:ascii="Arial Narrow" w:hAnsi="Arial Narrow"/>
          <w:i/>
          <w:szCs w:val="26"/>
        </w:rPr>
        <w:t>…</w:t>
      </w:r>
      <w:r w:rsidR="00C85AC0" w:rsidRPr="00C85AC0">
        <w:rPr>
          <w:rFonts w:ascii="Arial Narrow" w:hAnsi="Arial Narrow"/>
          <w:i/>
          <w:szCs w:val="26"/>
        </w:rPr>
        <w:t xml:space="preserve"> </w:t>
      </w:r>
      <w:r w:rsidR="0056405B" w:rsidRPr="00C85AC0">
        <w:rPr>
          <w:rFonts w:ascii="Arial Narrow" w:hAnsi="Arial Narrow"/>
          <w:i/>
          <w:szCs w:val="26"/>
        </w:rPr>
        <w:t>al parecer aún no se ha registrado el deceso…</w:t>
      </w:r>
      <w:r w:rsidR="0056405B" w:rsidRPr="00D16928">
        <w:rPr>
          <w:rFonts w:ascii="Arial Narrow" w:hAnsi="Arial Narrow"/>
          <w:i/>
          <w:sz w:val="26"/>
          <w:szCs w:val="26"/>
        </w:rPr>
        <w:t>”</w:t>
      </w:r>
      <w:r w:rsidR="00384162" w:rsidRPr="00D16928">
        <w:rPr>
          <w:rFonts w:ascii="Arial Narrow" w:hAnsi="Arial Narrow"/>
          <w:i/>
          <w:sz w:val="26"/>
          <w:szCs w:val="26"/>
        </w:rPr>
        <w:t xml:space="preserve">. </w:t>
      </w:r>
      <w:r w:rsidR="00384162" w:rsidRPr="00D16928">
        <w:rPr>
          <w:rFonts w:ascii="Arial Narrow" w:hAnsi="Arial Narrow"/>
          <w:sz w:val="26"/>
          <w:szCs w:val="26"/>
        </w:rPr>
        <w:t xml:space="preserve">No sobra decir que también se consultó a </w:t>
      </w:r>
      <w:proofErr w:type="spellStart"/>
      <w:r w:rsidR="00384162" w:rsidRPr="00D16928">
        <w:rPr>
          <w:rFonts w:ascii="Arial Narrow" w:hAnsi="Arial Narrow"/>
          <w:sz w:val="26"/>
          <w:szCs w:val="26"/>
        </w:rPr>
        <w:t>Supernotariado</w:t>
      </w:r>
      <w:proofErr w:type="spellEnd"/>
      <w:r w:rsidR="00384162" w:rsidRPr="00D16928">
        <w:rPr>
          <w:rFonts w:ascii="Arial Narrow" w:hAnsi="Arial Narrow"/>
          <w:sz w:val="26"/>
          <w:szCs w:val="26"/>
        </w:rPr>
        <w:t>, quien dijo no tener competencia para ello (</w:t>
      </w:r>
      <w:proofErr w:type="spellStart"/>
      <w:r w:rsidR="00384162" w:rsidRPr="00D16928">
        <w:rPr>
          <w:rFonts w:ascii="Arial Narrow" w:hAnsi="Arial Narrow"/>
          <w:sz w:val="26"/>
          <w:szCs w:val="26"/>
        </w:rPr>
        <w:t>arch</w:t>
      </w:r>
      <w:proofErr w:type="spellEnd"/>
      <w:r w:rsidR="00384162" w:rsidRPr="00D16928">
        <w:rPr>
          <w:rFonts w:ascii="Arial Narrow" w:hAnsi="Arial Narrow"/>
          <w:sz w:val="26"/>
          <w:szCs w:val="26"/>
        </w:rPr>
        <w:t>. 49 Ib.).</w:t>
      </w:r>
    </w:p>
    <w:p w14:paraId="0A606004" w14:textId="77777777" w:rsidR="00384162" w:rsidRPr="003F69FB" w:rsidRDefault="00384162"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2E504103" w14:textId="70439553" w:rsidR="00BA7A23" w:rsidRPr="00D16928" w:rsidRDefault="00B47854" w:rsidP="00D16928">
      <w:pPr>
        <w:pStyle w:val="Default"/>
        <w:spacing w:line="276" w:lineRule="auto"/>
        <w:jc w:val="both"/>
        <w:rPr>
          <w:rFonts w:ascii="Arial Narrow" w:hAnsi="Arial Narrow"/>
          <w:sz w:val="26"/>
          <w:szCs w:val="26"/>
        </w:rPr>
      </w:pPr>
      <w:r w:rsidRPr="00D16928">
        <w:rPr>
          <w:rFonts w:ascii="Arial Narrow" w:hAnsi="Arial Narrow"/>
          <w:b/>
          <w:bCs/>
          <w:sz w:val="26"/>
          <w:szCs w:val="26"/>
        </w:rPr>
        <w:t xml:space="preserve">5.- </w:t>
      </w:r>
      <w:r w:rsidR="00384162" w:rsidRPr="00D16928">
        <w:rPr>
          <w:rFonts w:ascii="Arial Narrow" w:hAnsi="Arial Narrow"/>
          <w:sz w:val="26"/>
          <w:szCs w:val="26"/>
        </w:rPr>
        <w:t xml:space="preserve">Corolario de lo hasta ahora expuesto, </w:t>
      </w:r>
      <w:r w:rsidR="00AD4088" w:rsidRPr="00D16928">
        <w:rPr>
          <w:rFonts w:ascii="Arial Narrow" w:hAnsi="Arial Narrow"/>
          <w:sz w:val="26"/>
          <w:szCs w:val="26"/>
        </w:rPr>
        <w:t>ante la</w:t>
      </w:r>
      <w:r w:rsidR="003B2604" w:rsidRPr="00D16928">
        <w:rPr>
          <w:rFonts w:ascii="Arial Narrow" w:hAnsi="Arial Narrow"/>
          <w:sz w:val="26"/>
          <w:szCs w:val="26"/>
        </w:rPr>
        <w:t xml:space="preserve"> información que obra en el expediente, desde su mismo inicio, y luego con la declaración </w:t>
      </w:r>
      <w:r w:rsidR="00AD4088" w:rsidRPr="00D16928">
        <w:rPr>
          <w:rFonts w:ascii="Arial Narrow" w:hAnsi="Arial Narrow"/>
          <w:sz w:val="26"/>
          <w:szCs w:val="26"/>
        </w:rPr>
        <w:t>de testi</w:t>
      </w:r>
      <w:r w:rsidR="003B2604" w:rsidRPr="00D16928">
        <w:rPr>
          <w:rFonts w:ascii="Arial Narrow" w:hAnsi="Arial Narrow"/>
          <w:sz w:val="26"/>
          <w:szCs w:val="26"/>
        </w:rPr>
        <w:t>g</w:t>
      </w:r>
      <w:r w:rsidR="00AD4088" w:rsidRPr="00D16928">
        <w:rPr>
          <w:rFonts w:ascii="Arial Narrow" w:hAnsi="Arial Narrow"/>
          <w:sz w:val="26"/>
          <w:szCs w:val="26"/>
        </w:rPr>
        <w:t xml:space="preserve">os (2011), correspondía al juzgador </w:t>
      </w:r>
      <w:r w:rsidR="00AD4088" w:rsidRPr="00D16928">
        <w:rPr>
          <w:rFonts w:ascii="Arial Narrow" w:hAnsi="Arial Narrow"/>
          <w:i/>
          <w:sz w:val="26"/>
          <w:szCs w:val="26"/>
        </w:rPr>
        <w:t>a quo</w:t>
      </w:r>
      <w:r w:rsidR="00AD4088" w:rsidRPr="00D16928">
        <w:rPr>
          <w:rFonts w:ascii="Arial Narrow" w:hAnsi="Arial Narrow"/>
          <w:sz w:val="26"/>
          <w:szCs w:val="26"/>
        </w:rPr>
        <w:t xml:space="preserve"> hacer las indagaciones correspondientes para establecer si efectivamente había fallecido </w:t>
      </w:r>
      <w:r w:rsidR="000A2035" w:rsidRPr="00D16928">
        <w:rPr>
          <w:rFonts w:ascii="Arial Narrow" w:hAnsi="Arial Narrow"/>
          <w:sz w:val="26"/>
          <w:szCs w:val="26"/>
        </w:rPr>
        <w:t xml:space="preserve">el demandado </w:t>
      </w:r>
      <w:r w:rsidR="00AD4088" w:rsidRPr="00D16928">
        <w:rPr>
          <w:rFonts w:ascii="Arial Narrow" w:hAnsi="Arial Narrow"/>
          <w:sz w:val="26"/>
          <w:szCs w:val="26"/>
        </w:rPr>
        <w:t>y así proceder a conformar debidamente el contradictorio con sus herederos determinados e indeterminados. De haberse hecho así, se hubiera obtenido el mismo recaudo antes descrito, teniendo en cuenta que la Resolución que cancela por muerte la c</w:t>
      </w:r>
      <w:r w:rsidR="000A2035" w:rsidRPr="00D16928">
        <w:rPr>
          <w:rFonts w:ascii="Arial Narrow" w:hAnsi="Arial Narrow"/>
          <w:sz w:val="26"/>
          <w:szCs w:val="26"/>
        </w:rPr>
        <w:t>é</w:t>
      </w:r>
      <w:r w:rsidR="00AD4088" w:rsidRPr="00D16928">
        <w:rPr>
          <w:rFonts w:ascii="Arial Narrow" w:hAnsi="Arial Narrow"/>
          <w:sz w:val="26"/>
          <w:szCs w:val="26"/>
        </w:rPr>
        <w:t xml:space="preserve">dula de ciudadanía de Carlos Eduardo Restrepo Arango data del año 2010.        </w:t>
      </w:r>
      <w:r w:rsidR="00384162" w:rsidRPr="00D16928">
        <w:rPr>
          <w:rFonts w:ascii="Arial Narrow" w:hAnsi="Arial Narrow"/>
          <w:sz w:val="26"/>
          <w:szCs w:val="26"/>
        </w:rPr>
        <w:t xml:space="preserve">  </w:t>
      </w:r>
    </w:p>
    <w:p w14:paraId="6BC47986" w14:textId="6B770AEE" w:rsidR="00F057CE" w:rsidRPr="003F69FB" w:rsidRDefault="00F057CE"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50EB3309" w14:textId="6A790D77" w:rsidR="00F057CE" w:rsidRPr="00D16928" w:rsidRDefault="00F057CE" w:rsidP="00D16928">
      <w:pPr>
        <w:pStyle w:val="Default"/>
        <w:spacing w:line="276" w:lineRule="auto"/>
        <w:jc w:val="both"/>
        <w:rPr>
          <w:rFonts w:ascii="Arial Narrow" w:hAnsi="Arial Narrow"/>
          <w:sz w:val="26"/>
          <w:szCs w:val="26"/>
        </w:rPr>
      </w:pPr>
      <w:r w:rsidRPr="00D16928">
        <w:rPr>
          <w:rFonts w:ascii="Arial Narrow" w:hAnsi="Arial Narrow"/>
          <w:sz w:val="26"/>
          <w:szCs w:val="26"/>
        </w:rPr>
        <w:t>Lo que acá se concluye es que, incluso para la fecha de presentación de la demanda, ya el señor</w:t>
      </w:r>
      <w:r w:rsidR="004A1937" w:rsidRPr="00D16928">
        <w:rPr>
          <w:rFonts w:ascii="Arial Narrow" w:hAnsi="Arial Narrow"/>
          <w:sz w:val="26"/>
          <w:szCs w:val="26"/>
        </w:rPr>
        <w:t xml:space="preserve"> Restrepo Arango había fallecido, luego se terminó adelantando el proceso en contra de una persona </w:t>
      </w:r>
      <w:r w:rsidR="00792B07" w:rsidRPr="00D16928">
        <w:rPr>
          <w:rFonts w:ascii="Arial Narrow" w:hAnsi="Arial Narrow"/>
          <w:sz w:val="26"/>
          <w:szCs w:val="26"/>
        </w:rPr>
        <w:t>que ya había desaparecido</w:t>
      </w:r>
      <w:r w:rsidR="004A1937" w:rsidRPr="00D16928">
        <w:rPr>
          <w:rFonts w:ascii="Arial Narrow" w:hAnsi="Arial Narrow"/>
          <w:sz w:val="26"/>
          <w:szCs w:val="26"/>
        </w:rPr>
        <w:t xml:space="preserve">, que fue emplazada y notificada a través de curador para la </w:t>
      </w:r>
      <w:r w:rsidR="004A1937" w:rsidRPr="00D16928">
        <w:rPr>
          <w:rFonts w:ascii="Arial Narrow" w:hAnsi="Arial Narrow"/>
          <w:sz w:val="26"/>
          <w:szCs w:val="26"/>
        </w:rPr>
        <w:lastRenderedPageBreak/>
        <w:t>litis. Todas esas actuaciones, sin duda revelan una irregularidad procesal constitutiva de nulidad</w:t>
      </w:r>
      <w:r w:rsidR="00E434C7" w:rsidRPr="00D16928">
        <w:rPr>
          <w:rFonts w:ascii="Arial Narrow" w:hAnsi="Arial Narrow"/>
          <w:sz w:val="26"/>
          <w:szCs w:val="26"/>
        </w:rPr>
        <w:t>, pues se demand</w:t>
      </w:r>
      <w:r w:rsidR="001E055A" w:rsidRPr="00D16928">
        <w:rPr>
          <w:rFonts w:ascii="Arial Narrow" w:hAnsi="Arial Narrow"/>
          <w:sz w:val="26"/>
          <w:szCs w:val="26"/>
        </w:rPr>
        <w:t>ó</w:t>
      </w:r>
      <w:r w:rsidR="00E434C7" w:rsidRPr="00D16928">
        <w:rPr>
          <w:rFonts w:ascii="Arial Narrow" w:hAnsi="Arial Narrow"/>
          <w:sz w:val="26"/>
          <w:szCs w:val="26"/>
        </w:rPr>
        <w:t xml:space="preserve"> y emplazó a un muerto, y se omitió integrar al proceso a los llamados a continuar su personalidad (Art. 140-9 C.P.C.). </w:t>
      </w:r>
      <w:r w:rsidRPr="00D16928">
        <w:rPr>
          <w:rFonts w:ascii="Arial Narrow" w:hAnsi="Arial Narrow"/>
          <w:sz w:val="26"/>
          <w:szCs w:val="26"/>
        </w:rPr>
        <w:t xml:space="preserve"> </w:t>
      </w:r>
    </w:p>
    <w:p w14:paraId="57DAD579" w14:textId="77777777" w:rsidR="00AD4088" w:rsidRPr="003F69FB" w:rsidRDefault="00AD4088"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1098EBF6" w14:textId="11064934" w:rsidR="001C7DB8" w:rsidRPr="00D16928" w:rsidRDefault="00E434C7" w:rsidP="00D16928">
      <w:pPr>
        <w:pStyle w:val="Default"/>
        <w:spacing w:line="276" w:lineRule="auto"/>
        <w:jc w:val="both"/>
        <w:rPr>
          <w:rFonts w:ascii="Arial Narrow" w:hAnsi="Arial Narrow"/>
          <w:sz w:val="26"/>
          <w:szCs w:val="26"/>
        </w:rPr>
      </w:pPr>
      <w:r w:rsidRPr="00D16928">
        <w:rPr>
          <w:rFonts w:ascii="Arial Narrow" w:hAnsi="Arial Narrow"/>
          <w:b/>
          <w:sz w:val="26"/>
          <w:szCs w:val="26"/>
        </w:rPr>
        <w:t>6</w:t>
      </w:r>
      <w:r w:rsidR="00AD4088" w:rsidRPr="00D16928">
        <w:rPr>
          <w:rFonts w:ascii="Arial Narrow" w:hAnsi="Arial Narrow"/>
          <w:b/>
          <w:sz w:val="26"/>
          <w:szCs w:val="26"/>
        </w:rPr>
        <w:t xml:space="preserve">.- </w:t>
      </w:r>
      <w:r w:rsidR="00AD4088" w:rsidRPr="00D16928">
        <w:rPr>
          <w:rFonts w:ascii="Arial Narrow" w:hAnsi="Arial Narrow"/>
          <w:sz w:val="26"/>
          <w:szCs w:val="26"/>
        </w:rPr>
        <w:t xml:space="preserve">Ahora bien, </w:t>
      </w:r>
      <w:r w:rsidR="001C7DB8" w:rsidRPr="00D16928">
        <w:rPr>
          <w:rFonts w:ascii="Arial Narrow" w:hAnsi="Arial Narrow"/>
          <w:sz w:val="26"/>
          <w:szCs w:val="26"/>
        </w:rPr>
        <w:t>es cierto que no se logró aportar al expediente el registro civil de defunción, ni certificado elaborado con soporte en él</w:t>
      </w:r>
      <w:r w:rsidR="00F036C2" w:rsidRPr="00D16928">
        <w:rPr>
          <w:rFonts w:ascii="Arial Narrow" w:hAnsi="Arial Narrow"/>
          <w:sz w:val="26"/>
          <w:szCs w:val="26"/>
        </w:rPr>
        <w:t>,</w:t>
      </w:r>
      <w:r w:rsidR="001C7DB8" w:rsidRPr="00D16928">
        <w:rPr>
          <w:rFonts w:ascii="Arial Narrow" w:hAnsi="Arial Narrow"/>
          <w:sz w:val="26"/>
          <w:szCs w:val="26"/>
        </w:rPr>
        <w:t xml:space="preserve"> porque, al parecer, tal hecho (la muerte) </w:t>
      </w:r>
      <w:r w:rsidR="00666659" w:rsidRPr="00D16928">
        <w:rPr>
          <w:rFonts w:ascii="Arial Narrow" w:hAnsi="Arial Narrow"/>
          <w:sz w:val="26"/>
          <w:szCs w:val="26"/>
        </w:rPr>
        <w:t xml:space="preserve">ni siquiera </w:t>
      </w:r>
      <w:r w:rsidR="001C7DB8" w:rsidRPr="00D16928">
        <w:rPr>
          <w:rFonts w:ascii="Arial Narrow" w:hAnsi="Arial Narrow"/>
          <w:sz w:val="26"/>
          <w:szCs w:val="26"/>
        </w:rPr>
        <w:t>ha sido registrado.</w:t>
      </w:r>
    </w:p>
    <w:p w14:paraId="1BD5CF5B" w14:textId="77777777" w:rsidR="001C7DB8" w:rsidRPr="003F69FB" w:rsidRDefault="001C7DB8"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013C6471" w14:textId="7EE4B015" w:rsidR="00AD4088" w:rsidRPr="00D16928" w:rsidRDefault="00E0796C" w:rsidP="00D16928">
      <w:pPr>
        <w:pStyle w:val="Default"/>
        <w:spacing w:line="276" w:lineRule="auto"/>
        <w:jc w:val="both"/>
        <w:rPr>
          <w:rFonts w:ascii="Arial Narrow" w:hAnsi="Arial Narrow"/>
          <w:sz w:val="26"/>
          <w:szCs w:val="26"/>
        </w:rPr>
      </w:pPr>
      <w:r w:rsidRPr="00D16928">
        <w:rPr>
          <w:rFonts w:ascii="Arial Narrow" w:hAnsi="Arial Narrow"/>
          <w:sz w:val="26"/>
          <w:szCs w:val="26"/>
        </w:rPr>
        <w:t>Lo anterior no impide</w:t>
      </w:r>
      <w:r w:rsidR="00BD6828" w:rsidRPr="00D16928">
        <w:rPr>
          <w:rFonts w:ascii="Arial Narrow" w:hAnsi="Arial Narrow"/>
          <w:sz w:val="26"/>
          <w:szCs w:val="26"/>
        </w:rPr>
        <w:t>,</w:t>
      </w:r>
      <w:r w:rsidRPr="00D16928">
        <w:rPr>
          <w:rFonts w:ascii="Arial Narrow" w:hAnsi="Arial Narrow"/>
          <w:sz w:val="26"/>
          <w:szCs w:val="26"/>
        </w:rPr>
        <w:t xml:space="preserve"> en todo c</w:t>
      </w:r>
      <w:r w:rsidR="00BD6828" w:rsidRPr="00D16928">
        <w:rPr>
          <w:rFonts w:ascii="Arial Narrow" w:hAnsi="Arial Narrow"/>
          <w:sz w:val="26"/>
          <w:szCs w:val="26"/>
        </w:rPr>
        <w:t>a</w:t>
      </w:r>
      <w:r w:rsidRPr="00D16928">
        <w:rPr>
          <w:rFonts w:ascii="Arial Narrow" w:hAnsi="Arial Narrow"/>
          <w:sz w:val="26"/>
          <w:szCs w:val="26"/>
        </w:rPr>
        <w:t xml:space="preserve">so, </w:t>
      </w:r>
      <w:r w:rsidR="00BD6828" w:rsidRPr="00D16928">
        <w:rPr>
          <w:rFonts w:ascii="Arial Narrow" w:hAnsi="Arial Narrow"/>
          <w:sz w:val="26"/>
          <w:szCs w:val="26"/>
        </w:rPr>
        <w:t xml:space="preserve">adoptar la medida correctiva que se impone, que tiene por objeto sanear lo actuado ordenando la correcta </w:t>
      </w:r>
      <w:r w:rsidR="00AD4088" w:rsidRPr="00D16928">
        <w:rPr>
          <w:rFonts w:ascii="Arial Narrow" w:hAnsi="Arial Narrow"/>
          <w:sz w:val="26"/>
          <w:szCs w:val="26"/>
        </w:rPr>
        <w:t>conforma</w:t>
      </w:r>
      <w:r w:rsidR="00BD6828" w:rsidRPr="00D16928">
        <w:rPr>
          <w:rFonts w:ascii="Arial Narrow" w:hAnsi="Arial Narrow"/>
          <w:sz w:val="26"/>
          <w:szCs w:val="26"/>
        </w:rPr>
        <w:t>ción de</w:t>
      </w:r>
      <w:r w:rsidR="00AD4088" w:rsidRPr="00D16928">
        <w:rPr>
          <w:rFonts w:ascii="Arial Narrow" w:hAnsi="Arial Narrow"/>
          <w:sz w:val="26"/>
          <w:szCs w:val="26"/>
        </w:rPr>
        <w:t>l contradictorio</w:t>
      </w:r>
      <w:r w:rsidR="00BD6828" w:rsidRPr="00D16928">
        <w:rPr>
          <w:rFonts w:ascii="Arial Narrow" w:hAnsi="Arial Narrow"/>
          <w:sz w:val="26"/>
          <w:szCs w:val="26"/>
        </w:rPr>
        <w:t xml:space="preserve">, </w:t>
      </w:r>
      <w:r w:rsidR="00B50202" w:rsidRPr="00D16928">
        <w:rPr>
          <w:rFonts w:ascii="Arial Narrow" w:hAnsi="Arial Narrow"/>
          <w:sz w:val="26"/>
          <w:szCs w:val="26"/>
        </w:rPr>
        <w:t xml:space="preserve">y no hacer valer algún derecho derivado del estado civil. </w:t>
      </w:r>
    </w:p>
    <w:p w14:paraId="04E60298" w14:textId="77777777" w:rsidR="006666EE" w:rsidRPr="003F69FB" w:rsidRDefault="006666EE"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06FE35E6" w14:textId="16E26B94" w:rsidR="00DA087F" w:rsidRPr="00D16928" w:rsidRDefault="00DA087F" w:rsidP="00D16928">
      <w:pPr>
        <w:pStyle w:val="Default"/>
        <w:spacing w:line="276" w:lineRule="auto"/>
        <w:jc w:val="both"/>
        <w:rPr>
          <w:rFonts w:ascii="Arial Narrow" w:hAnsi="Arial Narrow"/>
          <w:iCs/>
          <w:sz w:val="26"/>
          <w:szCs w:val="26"/>
          <w:u w:val="single"/>
        </w:rPr>
      </w:pPr>
      <w:r w:rsidRPr="00D16928">
        <w:rPr>
          <w:rFonts w:ascii="Arial Narrow" w:hAnsi="Arial Narrow"/>
          <w:sz w:val="26"/>
          <w:szCs w:val="26"/>
        </w:rPr>
        <w:t xml:space="preserve">Reza el artículo 5º del </w:t>
      </w:r>
      <w:r w:rsidR="002B4CCF" w:rsidRPr="00D16928">
        <w:rPr>
          <w:rFonts w:ascii="Arial Narrow" w:hAnsi="Arial Narrow"/>
          <w:sz w:val="26"/>
          <w:szCs w:val="26"/>
        </w:rPr>
        <w:t xml:space="preserve">Decreto 1260 de 1970: </w:t>
      </w:r>
      <w:r w:rsidR="002B4CCF" w:rsidRPr="00D16928">
        <w:rPr>
          <w:rFonts w:ascii="Arial Narrow" w:hAnsi="Arial Narrow"/>
          <w:i/>
          <w:sz w:val="26"/>
          <w:szCs w:val="26"/>
        </w:rPr>
        <w:t>“</w:t>
      </w:r>
      <w:r w:rsidR="002B4CCF" w:rsidRPr="00C85AC0">
        <w:rPr>
          <w:rFonts w:ascii="Arial Narrow" w:hAnsi="Arial Narrow"/>
          <w:i/>
          <w:szCs w:val="26"/>
        </w:rPr>
        <w:t>Los hechos y los actos relativos al estado civil de las personas, deben ser inscritos en el competente registro civil, especialmente … defunciones… con indicación del folio y el lugar del respectivo registro</w:t>
      </w:r>
      <w:r w:rsidR="002B4CCF" w:rsidRPr="00D16928">
        <w:rPr>
          <w:rFonts w:ascii="Arial Narrow" w:hAnsi="Arial Narrow"/>
          <w:i/>
          <w:sz w:val="26"/>
          <w:szCs w:val="26"/>
        </w:rPr>
        <w:t xml:space="preserve">”; </w:t>
      </w:r>
      <w:r w:rsidR="002B4CCF" w:rsidRPr="00D16928">
        <w:rPr>
          <w:rFonts w:ascii="Arial Narrow" w:hAnsi="Arial Narrow"/>
          <w:sz w:val="26"/>
          <w:szCs w:val="26"/>
        </w:rPr>
        <w:t xml:space="preserve">seguidamente en su artículo </w:t>
      </w:r>
      <w:r w:rsidR="00D57282" w:rsidRPr="00D16928">
        <w:rPr>
          <w:rFonts w:ascii="Arial Narrow" w:hAnsi="Arial Narrow"/>
          <w:sz w:val="26"/>
          <w:szCs w:val="26"/>
        </w:rPr>
        <w:t>106: “</w:t>
      </w:r>
      <w:r w:rsidR="00D57282" w:rsidRPr="00C85AC0">
        <w:rPr>
          <w:rFonts w:ascii="Arial Narrow" w:hAnsi="Arial Narrow"/>
          <w:i/>
          <w:szCs w:val="26"/>
        </w:rPr>
        <w:t xml:space="preserve">Ninguno de los hechos, actos y providencias relativos al estado civil y la capacidad de las personas, sujetos a registro, hace fe en proceso ni ante ninguna autoridad, empleado a funcionario público, si no ha sido inscrito o registrado en la respectiva oficina, conforme a lo dispuesto en la presente ordenación, </w:t>
      </w:r>
      <w:r w:rsidR="00D57282" w:rsidRPr="00C85AC0">
        <w:rPr>
          <w:rFonts w:ascii="Arial Narrow" w:hAnsi="Arial Narrow"/>
          <w:i/>
          <w:szCs w:val="26"/>
          <w:u w:val="single"/>
        </w:rPr>
        <w:t>salvo en cuanto a los hechos para cuya demostración no se requiera legalmente la formalidad del registro</w:t>
      </w:r>
      <w:r w:rsidR="00D57282" w:rsidRPr="00D16928">
        <w:rPr>
          <w:rFonts w:ascii="Arial Narrow" w:hAnsi="Arial Narrow"/>
          <w:i/>
          <w:sz w:val="26"/>
          <w:szCs w:val="26"/>
          <w:u w:val="single"/>
        </w:rPr>
        <w:t>”</w:t>
      </w:r>
      <w:r w:rsidR="001E055A" w:rsidRPr="00D16928">
        <w:rPr>
          <w:rFonts w:ascii="Arial Narrow" w:hAnsi="Arial Narrow"/>
          <w:i/>
          <w:sz w:val="26"/>
          <w:szCs w:val="26"/>
          <w:u w:val="single"/>
        </w:rPr>
        <w:t xml:space="preserve">. </w:t>
      </w:r>
      <w:r w:rsidR="001E055A" w:rsidRPr="00D16928">
        <w:rPr>
          <w:rFonts w:ascii="Arial Narrow" w:hAnsi="Arial Narrow"/>
          <w:iCs/>
          <w:sz w:val="26"/>
          <w:szCs w:val="26"/>
        </w:rPr>
        <w:t>(se subraya)</w:t>
      </w:r>
    </w:p>
    <w:p w14:paraId="61666BC3" w14:textId="77777777" w:rsidR="00E66381" w:rsidRPr="003F69FB" w:rsidRDefault="003F36E6"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r w:rsidRPr="003F69FB">
        <w:rPr>
          <w:rFonts w:ascii="Arial Narrow" w:hAnsi="Arial Narrow" w:cs="Arial Narrow"/>
          <w:bCs/>
          <w:sz w:val="26"/>
          <w:szCs w:val="26"/>
        </w:rPr>
        <w:t xml:space="preserve">     </w:t>
      </w:r>
    </w:p>
    <w:p w14:paraId="3141030B" w14:textId="664FF208" w:rsidR="00185833" w:rsidRPr="00D16928" w:rsidRDefault="00034878" w:rsidP="00D16928">
      <w:pPr>
        <w:pStyle w:val="Default"/>
        <w:spacing w:line="276" w:lineRule="auto"/>
        <w:jc w:val="both"/>
        <w:rPr>
          <w:rFonts w:ascii="Arial Narrow" w:hAnsi="Arial Narrow"/>
          <w:sz w:val="26"/>
          <w:szCs w:val="26"/>
        </w:rPr>
      </w:pPr>
      <w:r w:rsidRPr="00D16928">
        <w:rPr>
          <w:rFonts w:ascii="Arial Narrow" w:hAnsi="Arial Narrow"/>
          <w:sz w:val="26"/>
          <w:szCs w:val="26"/>
        </w:rPr>
        <w:t>Al respecto en</w:t>
      </w:r>
      <w:r w:rsidR="00C02408" w:rsidRPr="00D16928">
        <w:rPr>
          <w:rFonts w:ascii="Arial Narrow" w:hAnsi="Arial Narrow"/>
          <w:sz w:val="26"/>
          <w:szCs w:val="26"/>
        </w:rPr>
        <w:t xml:space="preserve"> sentencia SU</w:t>
      </w:r>
      <w:r w:rsidRPr="00D16928">
        <w:rPr>
          <w:rFonts w:ascii="Arial Narrow" w:hAnsi="Arial Narrow"/>
          <w:sz w:val="26"/>
          <w:szCs w:val="26"/>
        </w:rPr>
        <w:t>-</w:t>
      </w:r>
      <w:r w:rsidR="00C02408" w:rsidRPr="00D16928">
        <w:rPr>
          <w:rFonts w:ascii="Arial Narrow" w:hAnsi="Arial Narrow"/>
          <w:sz w:val="26"/>
          <w:szCs w:val="26"/>
        </w:rPr>
        <w:t xml:space="preserve">355 de 2017, </w:t>
      </w:r>
      <w:r w:rsidR="00185833" w:rsidRPr="00D16928">
        <w:rPr>
          <w:rFonts w:ascii="Arial Narrow" w:hAnsi="Arial Narrow"/>
          <w:sz w:val="26"/>
          <w:szCs w:val="26"/>
        </w:rPr>
        <w:t xml:space="preserve">la </w:t>
      </w:r>
      <w:r w:rsidR="000A2035" w:rsidRPr="00D16928">
        <w:rPr>
          <w:rFonts w:ascii="Arial Narrow" w:hAnsi="Arial Narrow"/>
          <w:sz w:val="26"/>
          <w:szCs w:val="26"/>
        </w:rPr>
        <w:t>C</w:t>
      </w:r>
      <w:r w:rsidR="00185833" w:rsidRPr="00D16928">
        <w:rPr>
          <w:rFonts w:ascii="Arial Narrow" w:hAnsi="Arial Narrow"/>
          <w:sz w:val="26"/>
          <w:szCs w:val="26"/>
        </w:rPr>
        <w:t>orte</w:t>
      </w:r>
      <w:r w:rsidR="000A2035" w:rsidRPr="00D16928">
        <w:rPr>
          <w:rFonts w:ascii="Arial Narrow" w:hAnsi="Arial Narrow"/>
          <w:sz w:val="26"/>
          <w:szCs w:val="26"/>
        </w:rPr>
        <w:t xml:space="preserve"> Constitucional</w:t>
      </w:r>
      <w:r w:rsidR="00185833" w:rsidRPr="00D16928">
        <w:rPr>
          <w:rFonts w:ascii="Arial Narrow" w:hAnsi="Arial Narrow"/>
          <w:sz w:val="26"/>
          <w:szCs w:val="26"/>
        </w:rPr>
        <w:t xml:space="preserve"> estimó pronunciamientos del Consejo de Estado, en </w:t>
      </w:r>
      <w:r w:rsidR="000A2035" w:rsidRPr="00D16928">
        <w:rPr>
          <w:rFonts w:ascii="Arial Narrow" w:hAnsi="Arial Narrow"/>
          <w:sz w:val="26"/>
          <w:szCs w:val="26"/>
        </w:rPr>
        <w:t xml:space="preserve">el </w:t>
      </w:r>
      <w:r w:rsidR="00185833" w:rsidRPr="00D16928">
        <w:rPr>
          <w:rFonts w:ascii="Arial Narrow" w:hAnsi="Arial Narrow"/>
          <w:sz w:val="26"/>
          <w:szCs w:val="26"/>
        </w:rPr>
        <w:t xml:space="preserve">que se había expresado que </w:t>
      </w:r>
      <w:r w:rsidR="00185833" w:rsidRPr="00D16928">
        <w:rPr>
          <w:rFonts w:ascii="Arial Narrow" w:hAnsi="Arial Narrow"/>
          <w:i/>
          <w:sz w:val="26"/>
          <w:szCs w:val="26"/>
        </w:rPr>
        <w:t>“</w:t>
      </w:r>
      <w:r w:rsidR="00C85AC0" w:rsidRPr="00C85AC0">
        <w:rPr>
          <w:rFonts w:ascii="Arial Narrow" w:hAnsi="Arial Narrow"/>
          <w:i/>
          <w:szCs w:val="26"/>
        </w:rPr>
        <w:t xml:space="preserve">… </w:t>
      </w:r>
      <w:r w:rsidR="00185833" w:rsidRPr="00C85AC0">
        <w:rPr>
          <w:rFonts w:ascii="Arial Narrow" w:hAnsi="Arial Narrow"/>
          <w:i/>
          <w:szCs w:val="26"/>
        </w:rPr>
        <w:t>esa circunstancia [la defunción] también puede tenerse como cierta cuando se cuenta en el expediente con otros elementos que permitan llegar a esa conclusión, sin que lo anterior implique el desconocimiento de las normas que regulan la materia porque lo que se pretenden es garantizar el acceso a la administración de justicia y la prevalencia del derecho sustancial sobre el formal</w:t>
      </w:r>
      <w:r w:rsidR="00185833" w:rsidRPr="00D16928">
        <w:rPr>
          <w:rFonts w:ascii="Arial Narrow" w:hAnsi="Arial Narrow"/>
          <w:i/>
          <w:sz w:val="26"/>
          <w:szCs w:val="26"/>
        </w:rPr>
        <w:t>”</w:t>
      </w:r>
      <w:r w:rsidR="00185833" w:rsidRPr="00D16928">
        <w:rPr>
          <w:rStyle w:val="Refdenotaalpie"/>
          <w:rFonts w:ascii="Arial Narrow" w:hAnsi="Arial Narrow"/>
          <w:i/>
          <w:sz w:val="26"/>
          <w:szCs w:val="26"/>
        </w:rPr>
        <w:footnoteReference w:id="10"/>
      </w:r>
      <w:r w:rsidR="00185833" w:rsidRPr="00D16928">
        <w:rPr>
          <w:rFonts w:ascii="Arial Narrow" w:hAnsi="Arial Narrow"/>
          <w:sz w:val="26"/>
          <w:szCs w:val="26"/>
        </w:rPr>
        <w:t>.</w:t>
      </w:r>
    </w:p>
    <w:p w14:paraId="261E9BEF" w14:textId="77777777" w:rsidR="00185833" w:rsidRPr="003F69FB" w:rsidRDefault="00185833"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7F50D89E" w14:textId="24050FEC" w:rsidR="00185833" w:rsidRPr="00D16928" w:rsidRDefault="00185833" w:rsidP="00D16928">
      <w:pPr>
        <w:pStyle w:val="Default"/>
        <w:spacing w:line="276" w:lineRule="auto"/>
        <w:jc w:val="both"/>
        <w:rPr>
          <w:rFonts w:ascii="Arial Narrow" w:hAnsi="Arial Narrow"/>
          <w:sz w:val="26"/>
          <w:szCs w:val="26"/>
        </w:rPr>
      </w:pPr>
      <w:r w:rsidRPr="00D16928">
        <w:rPr>
          <w:rFonts w:ascii="Arial Narrow" w:hAnsi="Arial Narrow"/>
          <w:sz w:val="26"/>
          <w:szCs w:val="26"/>
        </w:rPr>
        <w:t xml:space="preserve">A partir de ese análisis concluyó: </w:t>
      </w:r>
      <w:r w:rsidRPr="00D16928">
        <w:rPr>
          <w:rFonts w:ascii="Arial Narrow" w:hAnsi="Arial Narrow"/>
          <w:i/>
          <w:sz w:val="26"/>
          <w:szCs w:val="26"/>
        </w:rPr>
        <w:t>“</w:t>
      </w:r>
      <w:r w:rsidRPr="00C85AC0">
        <w:rPr>
          <w:rFonts w:ascii="Arial Narrow" w:hAnsi="Arial Narrow"/>
          <w:i/>
          <w:szCs w:val="26"/>
        </w:rPr>
        <w:t>…</w:t>
      </w:r>
      <w:r w:rsidR="00C85AC0" w:rsidRPr="00C85AC0">
        <w:rPr>
          <w:rFonts w:ascii="Arial Narrow" w:hAnsi="Arial Narrow"/>
          <w:i/>
          <w:szCs w:val="26"/>
        </w:rPr>
        <w:t xml:space="preserve"> </w:t>
      </w:r>
      <w:r w:rsidRPr="00C85AC0">
        <w:rPr>
          <w:rFonts w:ascii="Arial Narrow" w:hAnsi="Arial Narrow"/>
          <w:i/>
          <w:szCs w:val="26"/>
        </w:rPr>
        <w:t>quedó establecido que el certificado civil de defunción es la prueba por excelencia del fallecimiento, no obstante, es un hecho que puede demostrarse por otro medio como el certificado médico, el testimonio, el acta de levantamiento o la necropsia</w:t>
      </w:r>
      <w:r w:rsidRPr="00D16928">
        <w:rPr>
          <w:rFonts w:ascii="Arial Narrow" w:hAnsi="Arial Narrow"/>
          <w:i/>
          <w:sz w:val="26"/>
          <w:szCs w:val="26"/>
        </w:rPr>
        <w:t>”.</w:t>
      </w:r>
    </w:p>
    <w:p w14:paraId="5B931976" w14:textId="77777777" w:rsidR="00185833" w:rsidRPr="003F69FB" w:rsidRDefault="00185833"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360556A8" w14:textId="77777777" w:rsidR="00E70DAA" w:rsidRPr="00D16928" w:rsidRDefault="00185833" w:rsidP="00D16928">
      <w:pPr>
        <w:pStyle w:val="Default"/>
        <w:spacing w:line="276" w:lineRule="auto"/>
        <w:jc w:val="both"/>
        <w:rPr>
          <w:rFonts w:ascii="Arial Narrow" w:hAnsi="Arial Narrow"/>
          <w:sz w:val="26"/>
          <w:szCs w:val="26"/>
        </w:rPr>
      </w:pPr>
      <w:r w:rsidRPr="00D16928">
        <w:rPr>
          <w:rFonts w:ascii="Arial Narrow" w:hAnsi="Arial Narrow"/>
          <w:sz w:val="26"/>
          <w:szCs w:val="26"/>
        </w:rPr>
        <w:t>En el caso que nos ocupa, para efectos de conformar el contradictorio debe tenerse por probada la defunción del demandado, teniendo en cuenta que</w:t>
      </w:r>
      <w:r w:rsidR="00090F52" w:rsidRPr="00D16928">
        <w:rPr>
          <w:rFonts w:ascii="Arial Narrow" w:hAnsi="Arial Narrow"/>
          <w:sz w:val="26"/>
          <w:szCs w:val="26"/>
        </w:rPr>
        <w:t xml:space="preserve"> se hizo esfuerzo probatorio con el propósito de encontrar </w:t>
      </w:r>
      <w:r w:rsidR="003A3C1A" w:rsidRPr="00D16928">
        <w:rPr>
          <w:rFonts w:ascii="Arial Narrow" w:hAnsi="Arial Narrow"/>
          <w:sz w:val="26"/>
          <w:szCs w:val="26"/>
        </w:rPr>
        <w:t>el</w:t>
      </w:r>
      <w:r w:rsidR="00090F52" w:rsidRPr="00D16928">
        <w:rPr>
          <w:rFonts w:ascii="Arial Narrow" w:hAnsi="Arial Narrow"/>
          <w:sz w:val="26"/>
          <w:szCs w:val="26"/>
        </w:rPr>
        <w:t xml:space="preserve"> </w:t>
      </w:r>
      <w:r w:rsidR="000E4A1A" w:rsidRPr="00D16928">
        <w:rPr>
          <w:rFonts w:ascii="Arial Narrow" w:hAnsi="Arial Narrow"/>
          <w:sz w:val="26"/>
          <w:szCs w:val="26"/>
        </w:rPr>
        <w:t>r</w:t>
      </w:r>
      <w:r w:rsidR="00090F52" w:rsidRPr="00D16928">
        <w:rPr>
          <w:rFonts w:ascii="Arial Narrow" w:hAnsi="Arial Narrow"/>
          <w:sz w:val="26"/>
          <w:szCs w:val="26"/>
        </w:rPr>
        <w:t xml:space="preserve">egistro civil de </w:t>
      </w:r>
      <w:r w:rsidR="000E4A1A" w:rsidRPr="00D16928">
        <w:rPr>
          <w:rFonts w:ascii="Arial Narrow" w:hAnsi="Arial Narrow"/>
          <w:sz w:val="26"/>
          <w:szCs w:val="26"/>
        </w:rPr>
        <w:t>d</w:t>
      </w:r>
      <w:r w:rsidR="00090F52" w:rsidRPr="00D16928">
        <w:rPr>
          <w:rFonts w:ascii="Arial Narrow" w:hAnsi="Arial Narrow"/>
          <w:sz w:val="26"/>
          <w:szCs w:val="26"/>
        </w:rPr>
        <w:t>efunción</w:t>
      </w:r>
      <w:r w:rsidR="003A3C1A" w:rsidRPr="00D16928">
        <w:rPr>
          <w:rFonts w:ascii="Arial Narrow" w:hAnsi="Arial Narrow"/>
          <w:sz w:val="26"/>
          <w:szCs w:val="26"/>
        </w:rPr>
        <w:t>,</w:t>
      </w:r>
      <w:r w:rsidR="00090F52" w:rsidRPr="00D16928">
        <w:rPr>
          <w:rFonts w:ascii="Arial Narrow" w:hAnsi="Arial Narrow"/>
          <w:sz w:val="26"/>
          <w:szCs w:val="26"/>
        </w:rPr>
        <w:t xml:space="preserve"> sin éxito; no obstante</w:t>
      </w:r>
      <w:r w:rsidR="000E4A1A" w:rsidRPr="00D16928">
        <w:rPr>
          <w:rFonts w:ascii="Arial Narrow" w:hAnsi="Arial Narrow"/>
          <w:sz w:val="26"/>
          <w:szCs w:val="26"/>
        </w:rPr>
        <w:t>,</w:t>
      </w:r>
      <w:r w:rsidR="00090F52" w:rsidRPr="00D16928">
        <w:rPr>
          <w:rFonts w:ascii="Arial Narrow" w:hAnsi="Arial Narrow"/>
          <w:sz w:val="26"/>
          <w:szCs w:val="26"/>
        </w:rPr>
        <w:t xml:space="preserve"> las </w:t>
      </w:r>
      <w:r w:rsidR="0070752E" w:rsidRPr="00D16928">
        <w:rPr>
          <w:rFonts w:ascii="Arial Narrow" w:hAnsi="Arial Narrow"/>
          <w:sz w:val="26"/>
          <w:szCs w:val="26"/>
        </w:rPr>
        <w:t xml:space="preserve">pruebas </w:t>
      </w:r>
      <w:r w:rsidR="00090F52" w:rsidRPr="00D16928">
        <w:rPr>
          <w:rFonts w:ascii="Arial Narrow" w:hAnsi="Arial Narrow"/>
          <w:sz w:val="26"/>
          <w:szCs w:val="26"/>
        </w:rPr>
        <w:t>recaudadas en segunda instancia y las que ya obraban en el expediente desde la actuación primigenia, permiten inferior razonablemente la muerte del señor Carlos Eduardo Restrepo Arango con fecha anterior a</w:t>
      </w:r>
      <w:r w:rsidR="00931822" w:rsidRPr="00D16928">
        <w:rPr>
          <w:rFonts w:ascii="Arial Narrow" w:hAnsi="Arial Narrow"/>
          <w:sz w:val="26"/>
          <w:szCs w:val="26"/>
        </w:rPr>
        <w:t xml:space="preserve"> </w:t>
      </w:r>
      <w:r w:rsidR="00090F52" w:rsidRPr="00D16928">
        <w:rPr>
          <w:rFonts w:ascii="Arial Narrow" w:hAnsi="Arial Narrow"/>
          <w:sz w:val="26"/>
          <w:szCs w:val="26"/>
        </w:rPr>
        <w:t>l</w:t>
      </w:r>
      <w:r w:rsidR="00931822" w:rsidRPr="00D16928">
        <w:rPr>
          <w:rFonts w:ascii="Arial Narrow" w:hAnsi="Arial Narrow"/>
          <w:sz w:val="26"/>
          <w:szCs w:val="26"/>
        </w:rPr>
        <w:t>a presentación de la demanda</w:t>
      </w:r>
      <w:r w:rsidR="00090F52" w:rsidRPr="00D16928">
        <w:rPr>
          <w:rFonts w:ascii="Arial Narrow" w:hAnsi="Arial Narrow"/>
          <w:sz w:val="26"/>
          <w:szCs w:val="26"/>
        </w:rPr>
        <w:t xml:space="preserve">. </w:t>
      </w:r>
    </w:p>
    <w:p w14:paraId="1E2CD7BE" w14:textId="77777777" w:rsidR="00E70DAA" w:rsidRPr="003F69FB" w:rsidRDefault="00E70DAA"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3544ABA5" w14:textId="05DA2E3F" w:rsidR="00A94374" w:rsidRPr="00D16928" w:rsidRDefault="00090F52" w:rsidP="00D16928">
      <w:pPr>
        <w:pStyle w:val="Default"/>
        <w:spacing w:line="276" w:lineRule="auto"/>
        <w:jc w:val="both"/>
        <w:rPr>
          <w:rFonts w:ascii="Arial Narrow" w:hAnsi="Arial Narrow"/>
          <w:sz w:val="26"/>
          <w:szCs w:val="26"/>
        </w:rPr>
      </w:pPr>
      <w:r w:rsidRPr="00D16928">
        <w:rPr>
          <w:rFonts w:ascii="Arial Narrow" w:hAnsi="Arial Narrow"/>
          <w:sz w:val="26"/>
          <w:szCs w:val="26"/>
        </w:rPr>
        <w:t xml:space="preserve">Además, </w:t>
      </w:r>
      <w:r w:rsidR="00AA6D3C" w:rsidRPr="00D16928">
        <w:rPr>
          <w:rFonts w:ascii="Arial Narrow" w:hAnsi="Arial Narrow"/>
          <w:sz w:val="26"/>
          <w:szCs w:val="26"/>
        </w:rPr>
        <w:t xml:space="preserve">de la certeza probatoria que se aduce no se deriva la configuración de derecho sustancial alguno </w:t>
      </w:r>
      <w:r w:rsidR="00A94374" w:rsidRPr="00D16928">
        <w:rPr>
          <w:rFonts w:ascii="Arial Narrow" w:hAnsi="Arial Narrow"/>
          <w:sz w:val="26"/>
          <w:szCs w:val="26"/>
        </w:rPr>
        <w:t xml:space="preserve">en cabeza de un tercero </w:t>
      </w:r>
      <w:r w:rsidR="00AA6D3C" w:rsidRPr="00D16928">
        <w:rPr>
          <w:rFonts w:ascii="Arial Narrow" w:hAnsi="Arial Narrow"/>
          <w:sz w:val="26"/>
          <w:szCs w:val="26"/>
        </w:rPr>
        <w:t>que penda del estado civil</w:t>
      </w:r>
      <w:r w:rsidR="000E4A1A" w:rsidRPr="00D16928">
        <w:rPr>
          <w:rFonts w:ascii="Arial Narrow" w:hAnsi="Arial Narrow"/>
          <w:sz w:val="26"/>
          <w:szCs w:val="26"/>
        </w:rPr>
        <w:t xml:space="preserve"> del difunto</w:t>
      </w:r>
      <w:r w:rsidR="00A94374" w:rsidRPr="00D16928">
        <w:rPr>
          <w:rFonts w:ascii="Arial Narrow" w:hAnsi="Arial Narrow"/>
          <w:sz w:val="26"/>
          <w:szCs w:val="26"/>
        </w:rPr>
        <w:t xml:space="preserve">, sino que se opone como garantía del debido proceso. Es que, si ocurre como lo sugiere la Registraduría, la inscripción del deceso, él no tendrá efectos </w:t>
      </w:r>
      <w:r w:rsidR="00A94374" w:rsidRPr="00D16928">
        <w:rPr>
          <w:rFonts w:ascii="Arial Narrow" w:hAnsi="Arial Narrow"/>
          <w:i/>
          <w:sz w:val="26"/>
          <w:szCs w:val="26"/>
        </w:rPr>
        <w:t>ex nunc</w:t>
      </w:r>
      <w:r w:rsidR="00A94374" w:rsidRPr="00D16928">
        <w:rPr>
          <w:rFonts w:ascii="Arial Narrow" w:hAnsi="Arial Narrow"/>
          <w:sz w:val="26"/>
          <w:szCs w:val="26"/>
        </w:rPr>
        <w:t xml:space="preserve">, ellos ocurren desde el fenecimiento mismo, que como se advirtió en líneas anteriores, ocurrió antes de la emisión de la sentencia de primera instancia.     </w:t>
      </w:r>
    </w:p>
    <w:p w14:paraId="2679A25F" w14:textId="77777777" w:rsidR="00A94374" w:rsidRPr="003F69FB" w:rsidRDefault="00A94374" w:rsidP="003F69F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2356F0A7" w14:textId="77777777" w:rsidR="00662497" w:rsidRPr="00F50C95" w:rsidRDefault="00662497" w:rsidP="00F50C95">
      <w:pPr>
        <w:pStyle w:val="Default"/>
        <w:ind w:left="426" w:right="420"/>
        <w:jc w:val="both"/>
        <w:rPr>
          <w:rFonts w:ascii="Arial Narrow" w:hAnsi="Arial Narrow"/>
          <w:i/>
          <w:szCs w:val="26"/>
        </w:rPr>
      </w:pPr>
      <w:r w:rsidRPr="00A305F2">
        <w:rPr>
          <w:rFonts w:ascii="Arial Narrow" w:hAnsi="Arial Narrow"/>
          <w:i/>
          <w:szCs w:val="26"/>
        </w:rPr>
        <w:lastRenderedPageBreak/>
        <w:t>“De otro lado, no puede desconocerse el efecto, retroactivo o mejor retrospectivo, del</w:t>
      </w:r>
      <w:r w:rsidRPr="00F50C95">
        <w:rPr>
          <w:rFonts w:ascii="Arial Narrow" w:hAnsi="Arial Narrow"/>
          <w:i/>
          <w:szCs w:val="26"/>
        </w:rPr>
        <w:t xml:space="preserve"> asentamiento de las actas del estado civil al contener en ellas las fechas en que se produjo el hecho registrado, bien sea nacimiento, matrimonio o defunción, y por tanto al referirse a tales fechas como aquellas desde las cuales tiene existencia, no sólo fáctica, sino jurídica el hecho así registrado.</w:t>
      </w:r>
    </w:p>
    <w:p w14:paraId="595AFDD9" w14:textId="77777777" w:rsidR="00662497" w:rsidRPr="00F50C95" w:rsidRDefault="00662497" w:rsidP="00F50C95">
      <w:pPr>
        <w:pStyle w:val="Default"/>
        <w:ind w:left="426" w:right="420"/>
        <w:jc w:val="both"/>
        <w:rPr>
          <w:rFonts w:ascii="Arial Narrow" w:hAnsi="Arial Narrow"/>
          <w:i/>
          <w:szCs w:val="26"/>
        </w:rPr>
      </w:pPr>
    </w:p>
    <w:p w14:paraId="12C95D1B" w14:textId="77777777" w:rsidR="00AA6D3C" w:rsidRPr="00F50C95" w:rsidRDefault="00662497" w:rsidP="00F50C95">
      <w:pPr>
        <w:pStyle w:val="Default"/>
        <w:ind w:left="426" w:right="420"/>
        <w:jc w:val="both"/>
        <w:rPr>
          <w:rFonts w:ascii="Arial Narrow" w:hAnsi="Arial Narrow"/>
          <w:i/>
          <w:szCs w:val="26"/>
        </w:rPr>
      </w:pPr>
      <w:r w:rsidRPr="00F50C95">
        <w:rPr>
          <w:rFonts w:ascii="Arial Narrow" w:hAnsi="Arial Narrow"/>
          <w:i/>
          <w:szCs w:val="26"/>
        </w:rPr>
        <w:t xml:space="preserve">Todo lo anterior </w:t>
      </w:r>
      <w:r w:rsidR="00DB0E35" w:rsidRPr="00F50C95">
        <w:rPr>
          <w:rFonts w:ascii="Arial Narrow" w:hAnsi="Arial Narrow"/>
          <w:i/>
          <w:szCs w:val="26"/>
        </w:rPr>
        <w:t>co</w:t>
      </w:r>
      <w:r w:rsidRPr="00F50C95">
        <w:rPr>
          <w:rFonts w:ascii="Arial Narrow" w:hAnsi="Arial Narrow"/>
          <w:i/>
          <w:szCs w:val="26"/>
        </w:rPr>
        <w:t>mo obligada consecuencia de la evidente distinción que, obviamente existe, entre el estado civil y su prueba”</w:t>
      </w:r>
      <w:r w:rsidRPr="00F50C95">
        <w:rPr>
          <w:rStyle w:val="Refdenotaalpie"/>
          <w:rFonts w:ascii="Arial Narrow" w:hAnsi="Arial Narrow"/>
          <w:i/>
          <w:szCs w:val="26"/>
        </w:rPr>
        <w:footnoteReference w:id="11"/>
      </w:r>
    </w:p>
    <w:p w14:paraId="52057E2B" w14:textId="77777777" w:rsidR="00AA6D3C" w:rsidRPr="00A305F2" w:rsidRDefault="00AA6D3C" w:rsidP="00A305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0CDC2027" w14:textId="77777777" w:rsidR="00F67C57" w:rsidRPr="00D16928" w:rsidRDefault="00B97592" w:rsidP="00D16928">
      <w:pPr>
        <w:pStyle w:val="Default"/>
        <w:spacing w:line="276" w:lineRule="auto"/>
        <w:jc w:val="both"/>
        <w:rPr>
          <w:rFonts w:ascii="Arial Narrow" w:hAnsi="Arial Narrow"/>
          <w:sz w:val="26"/>
          <w:szCs w:val="26"/>
        </w:rPr>
      </w:pPr>
      <w:r w:rsidRPr="00D16928">
        <w:rPr>
          <w:rFonts w:ascii="Arial Narrow" w:hAnsi="Arial Narrow"/>
          <w:b/>
          <w:sz w:val="26"/>
          <w:szCs w:val="26"/>
        </w:rPr>
        <w:t>7.</w:t>
      </w:r>
      <w:r w:rsidR="00AA6D3C" w:rsidRPr="00D16928">
        <w:rPr>
          <w:rFonts w:ascii="Arial Narrow" w:hAnsi="Arial Narrow"/>
          <w:b/>
          <w:sz w:val="26"/>
          <w:szCs w:val="26"/>
        </w:rPr>
        <w:t xml:space="preserve">- </w:t>
      </w:r>
      <w:r w:rsidR="00AA6D3C" w:rsidRPr="00D16928">
        <w:rPr>
          <w:rFonts w:ascii="Arial Narrow" w:hAnsi="Arial Narrow"/>
          <w:sz w:val="26"/>
          <w:szCs w:val="26"/>
        </w:rPr>
        <w:t xml:space="preserve">La </w:t>
      </w:r>
      <w:r w:rsidR="0003515E" w:rsidRPr="00D16928">
        <w:rPr>
          <w:rFonts w:ascii="Arial Narrow" w:hAnsi="Arial Narrow"/>
          <w:sz w:val="26"/>
          <w:szCs w:val="26"/>
        </w:rPr>
        <w:t xml:space="preserve">decisión </w:t>
      </w:r>
      <w:r w:rsidR="00AA6D3C" w:rsidRPr="00D16928">
        <w:rPr>
          <w:rFonts w:ascii="Arial Narrow" w:hAnsi="Arial Narrow"/>
          <w:sz w:val="26"/>
          <w:szCs w:val="26"/>
        </w:rPr>
        <w:t>de conforma</w:t>
      </w:r>
      <w:r w:rsidR="0003515E" w:rsidRPr="00D16928">
        <w:rPr>
          <w:rFonts w:ascii="Arial Narrow" w:hAnsi="Arial Narrow"/>
          <w:sz w:val="26"/>
          <w:szCs w:val="26"/>
        </w:rPr>
        <w:t>r</w:t>
      </w:r>
      <w:r w:rsidR="00AA6D3C" w:rsidRPr="00D16928">
        <w:rPr>
          <w:rFonts w:ascii="Arial Narrow" w:hAnsi="Arial Narrow"/>
          <w:sz w:val="26"/>
          <w:szCs w:val="26"/>
        </w:rPr>
        <w:t xml:space="preserve"> el contradictorio con los herederos </w:t>
      </w:r>
      <w:r w:rsidR="00BF6C92" w:rsidRPr="00D16928">
        <w:rPr>
          <w:rFonts w:ascii="Arial Narrow" w:hAnsi="Arial Narrow"/>
          <w:sz w:val="26"/>
          <w:szCs w:val="26"/>
        </w:rPr>
        <w:t>determinados y/o indeterminados</w:t>
      </w:r>
      <w:r w:rsidR="00AA6D3C" w:rsidRPr="00D16928">
        <w:rPr>
          <w:rFonts w:ascii="Arial Narrow" w:hAnsi="Arial Narrow"/>
          <w:sz w:val="26"/>
          <w:szCs w:val="26"/>
        </w:rPr>
        <w:t xml:space="preserve"> del difunto</w:t>
      </w:r>
      <w:r w:rsidR="00BF6C92" w:rsidRPr="00D16928">
        <w:rPr>
          <w:rFonts w:ascii="Arial Narrow" w:hAnsi="Arial Narrow"/>
          <w:sz w:val="26"/>
          <w:szCs w:val="26"/>
        </w:rPr>
        <w:t xml:space="preserve"> no obedece a una necesidad procedimental o instrumental, sino a la satisfacción de la garantía </w:t>
      </w:r>
      <w:r w:rsidR="00DB5117" w:rsidRPr="00D16928">
        <w:rPr>
          <w:rFonts w:ascii="Arial Narrow" w:hAnsi="Arial Narrow"/>
          <w:sz w:val="26"/>
          <w:szCs w:val="26"/>
        </w:rPr>
        <w:t>ius</w:t>
      </w:r>
      <w:r w:rsidR="00F33C3D" w:rsidRPr="00D16928">
        <w:rPr>
          <w:rFonts w:ascii="Arial Narrow" w:hAnsi="Arial Narrow"/>
          <w:sz w:val="26"/>
          <w:szCs w:val="26"/>
        </w:rPr>
        <w:t xml:space="preserve"> </w:t>
      </w:r>
      <w:r w:rsidR="00DB5117" w:rsidRPr="00D16928">
        <w:rPr>
          <w:rFonts w:ascii="Arial Narrow" w:hAnsi="Arial Narrow"/>
          <w:sz w:val="26"/>
          <w:szCs w:val="26"/>
        </w:rPr>
        <w:t xml:space="preserve">fundamental </w:t>
      </w:r>
      <w:r w:rsidR="00BF6C92" w:rsidRPr="00D16928">
        <w:rPr>
          <w:rFonts w:ascii="Arial Narrow" w:hAnsi="Arial Narrow"/>
          <w:sz w:val="26"/>
          <w:szCs w:val="26"/>
        </w:rPr>
        <w:t>del debido proceso, en sus aristas de contradicción y defensa</w:t>
      </w:r>
      <w:r w:rsidR="00DB5117" w:rsidRPr="00D16928">
        <w:rPr>
          <w:rFonts w:ascii="Arial Narrow" w:hAnsi="Arial Narrow"/>
          <w:sz w:val="26"/>
          <w:szCs w:val="26"/>
        </w:rPr>
        <w:t xml:space="preserve">, </w:t>
      </w:r>
      <w:r w:rsidR="0067656D" w:rsidRPr="00D16928">
        <w:rPr>
          <w:rFonts w:ascii="Arial Narrow" w:hAnsi="Arial Narrow"/>
          <w:sz w:val="26"/>
          <w:szCs w:val="26"/>
        </w:rPr>
        <w:t xml:space="preserve">teniendo en cuenta que </w:t>
      </w:r>
      <w:r w:rsidR="00CE4BE5" w:rsidRPr="00D16928">
        <w:rPr>
          <w:rFonts w:ascii="Arial Narrow" w:hAnsi="Arial Narrow"/>
          <w:sz w:val="26"/>
          <w:szCs w:val="26"/>
        </w:rPr>
        <w:t xml:space="preserve">son </w:t>
      </w:r>
      <w:r w:rsidR="0055783B" w:rsidRPr="00D16928">
        <w:rPr>
          <w:rFonts w:ascii="Arial Narrow" w:hAnsi="Arial Narrow"/>
          <w:sz w:val="26"/>
          <w:szCs w:val="26"/>
        </w:rPr>
        <w:t>estos</w:t>
      </w:r>
      <w:r w:rsidR="00CE4BE5" w:rsidRPr="00D16928">
        <w:rPr>
          <w:rFonts w:ascii="Arial Narrow" w:hAnsi="Arial Narrow"/>
          <w:sz w:val="26"/>
          <w:szCs w:val="26"/>
        </w:rPr>
        <w:t xml:space="preserve"> los sucesores </w:t>
      </w:r>
      <w:r w:rsidR="0055783B" w:rsidRPr="00D16928">
        <w:rPr>
          <w:rFonts w:ascii="Arial Narrow" w:hAnsi="Arial Narrow"/>
          <w:sz w:val="26"/>
          <w:szCs w:val="26"/>
        </w:rPr>
        <w:t xml:space="preserve">de los derechos y obligaciones del difunto (art. 1008 y ss. del Código </w:t>
      </w:r>
      <w:r w:rsidR="00ED4EA7" w:rsidRPr="00D16928">
        <w:rPr>
          <w:rFonts w:ascii="Arial Narrow" w:hAnsi="Arial Narrow"/>
          <w:sz w:val="26"/>
          <w:szCs w:val="26"/>
        </w:rPr>
        <w:t>Civil, art.</w:t>
      </w:r>
      <w:r w:rsidR="0055783B" w:rsidRPr="00D16928">
        <w:rPr>
          <w:rFonts w:ascii="Arial Narrow" w:hAnsi="Arial Narrow"/>
          <w:sz w:val="26"/>
          <w:szCs w:val="26"/>
        </w:rPr>
        <w:t xml:space="preserve"> 60 del C.P.C, hoy 68 del C.G.P) siendo los  llamados a soportar la pretensiones de la demanda. </w:t>
      </w:r>
    </w:p>
    <w:p w14:paraId="317A0244" w14:textId="77777777" w:rsidR="00F67C57" w:rsidRPr="00A305F2" w:rsidRDefault="00F67C57" w:rsidP="00A305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37C61BA7" w14:textId="09451F03" w:rsidR="00185833" w:rsidRPr="00D16928" w:rsidRDefault="00F33C3D" w:rsidP="00D16928">
      <w:pPr>
        <w:pStyle w:val="Default"/>
        <w:spacing w:line="276" w:lineRule="auto"/>
        <w:jc w:val="both"/>
        <w:rPr>
          <w:rFonts w:ascii="Arial Narrow" w:hAnsi="Arial Narrow"/>
          <w:b/>
          <w:sz w:val="26"/>
          <w:szCs w:val="26"/>
        </w:rPr>
      </w:pPr>
      <w:r w:rsidRPr="00D16928">
        <w:rPr>
          <w:rFonts w:ascii="Arial Narrow" w:hAnsi="Arial Narrow"/>
          <w:sz w:val="26"/>
          <w:szCs w:val="26"/>
        </w:rPr>
        <w:t xml:space="preserve">No puede tenerse por válido el llamamiento </w:t>
      </w:r>
      <w:proofErr w:type="spellStart"/>
      <w:r w:rsidRPr="00D16928">
        <w:rPr>
          <w:rFonts w:ascii="Arial Narrow" w:hAnsi="Arial Narrow"/>
          <w:sz w:val="26"/>
          <w:szCs w:val="26"/>
        </w:rPr>
        <w:t>edictal</w:t>
      </w:r>
      <w:proofErr w:type="spellEnd"/>
      <w:r w:rsidRPr="00D16928">
        <w:rPr>
          <w:rFonts w:ascii="Arial Narrow" w:hAnsi="Arial Narrow"/>
          <w:sz w:val="26"/>
          <w:szCs w:val="26"/>
        </w:rPr>
        <w:t xml:space="preserve"> realizado a Carlo</w:t>
      </w:r>
      <w:r w:rsidR="00E46CB3" w:rsidRPr="00D16928">
        <w:rPr>
          <w:rFonts w:ascii="Arial Narrow" w:hAnsi="Arial Narrow"/>
          <w:sz w:val="26"/>
          <w:szCs w:val="26"/>
        </w:rPr>
        <w:t>s Restrepo Arango cuando, según se ha visto, para cuando se realizó ya estaba fallecido.</w:t>
      </w:r>
      <w:r w:rsidRPr="00D16928">
        <w:rPr>
          <w:rFonts w:ascii="Arial Narrow" w:hAnsi="Arial Narrow"/>
          <w:sz w:val="26"/>
          <w:szCs w:val="26"/>
        </w:rPr>
        <w:t xml:space="preserve"> </w:t>
      </w:r>
      <w:r w:rsidR="00F67C57" w:rsidRPr="00D16928">
        <w:rPr>
          <w:rFonts w:ascii="Arial Narrow" w:hAnsi="Arial Narrow"/>
          <w:sz w:val="26"/>
          <w:szCs w:val="26"/>
        </w:rPr>
        <w:t>Tampoco intentar su saneamiento en esta instancia, porque no existe sujeto procesal vinculado a quien ponerle en conocimiento</w:t>
      </w:r>
      <w:r w:rsidR="00185833" w:rsidRPr="00D16928">
        <w:rPr>
          <w:rFonts w:ascii="Arial Narrow" w:hAnsi="Arial Narrow"/>
          <w:b/>
          <w:sz w:val="26"/>
          <w:szCs w:val="26"/>
        </w:rPr>
        <w:t xml:space="preserve"> </w:t>
      </w:r>
      <w:r w:rsidR="00F67C57" w:rsidRPr="00D16928">
        <w:rPr>
          <w:rFonts w:ascii="Arial Narrow" w:hAnsi="Arial Narrow"/>
          <w:bCs/>
          <w:sz w:val="26"/>
          <w:szCs w:val="26"/>
        </w:rPr>
        <w:t>la irregularidad.</w:t>
      </w:r>
    </w:p>
    <w:p w14:paraId="461F9BF3" w14:textId="77777777" w:rsidR="0055783B" w:rsidRPr="00A305F2" w:rsidRDefault="0055783B" w:rsidP="00A305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45AEA1A7" w14:textId="77777777" w:rsidR="0055783B" w:rsidRPr="00F50C95" w:rsidRDefault="0055783B" w:rsidP="00F50C95">
      <w:pPr>
        <w:pStyle w:val="Default"/>
        <w:ind w:left="426" w:right="420"/>
        <w:jc w:val="both"/>
        <w:rPr>
          <w:rFonts w:ascii="Arial Narrow" w:hAnsi="Arial Narrow"/>
          <w:i/>
          <w:szCs w:val="26"/>
        </w:rPr>
      </w:pPr>
      <w:r w:rsidRPr="00F50C95">
        <w:rPr>
          <w:rFonts w:ascii="Arial Narrow" w:hAnsi="Arial Narrow"/>
          <w:i/>
          <w:szCs w:val="26"/>
        </w:rPr>
        <w:t>“Así, si el actor conoce herederos del causante cuyo proceso de sucesión no se ha iniciado, y pretende convocarlos a litigio de conocimiento, tiene que dirigir la demanda frente a ellos y también contra los herederos que no conozca, todo de conformidad con lo establecido en la oración final del inciso primero del artículo 81 citado, pues no siendo posible, como no lo es, resolver sin su presencia, la demanda deberá encaminarse contra los  ciertos y los indeterminados a fin de integrar cabalmente el contradictorio, tal cual lo prescribe el artículo 83 de la obra dicha, cuyo inciso segundo establece la obligación de citar las mencionadas personas, de oficio incluso, “mientras no se haya dictado sentencia de primera instancia”; con la obvia consecuencia de que, cuando así no se proceda, quedará practicada en ilegal forma la notificación a personas determinadas “que deban ser citadas como partes””</w:t>
      </w:r>
      <w:r w:rsidRPr="00F50C95">
        <w:rPr>
          <w:rStyle w:val="Refdenotaalpie"/>
          <w:rFonts w:ascii="Arial Narrow" w:hAnsi="Arial Narrow"/>
          <w:i/>
          <w:szCs w:val="26"/>
        </w:rPr>
        <w:footnoteReference w:id="12"/>
      </w:r>
    </w:p>
    <w:p w14:paraId="577C5E7B" w14:textId="77777777" w:rsidR="0055783B" w:rsidRPr="00A305F2" w:rsidRDefault="0055783B" w:rsidP="00A305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59417437" w14:textId="72E289A4" w:rsidR="00010D64" w:rsidRPr="00D16928" w:rsidRDefault="00465B4E" w:rsidP="00D16928">
      <w:pPr>
        <w:pStyle w:val="Default"/>
        <w:spacing w:line="276" w:lineRule="auto"/>
        <w:jc w:val="both"/>
        <w:rPr>
          <w:rFonts w:ascii="Arial Narrow" w:hAnsi="Arial Narrow"/>
          <w:sz w:val="26"/>
          <w:szCs w:val="26"/>
        </w:rPr>
      </w:pPr>
      <w:r w:rsidRPr="00A305F2">
        <w:rPr>
          <w:rFonts w:ascii="Arial Narrow" w:eastAsia="Times New Roman" w:hAnsi="Arial Narrow" w:cs="Arial Narrow"/>
          <w:bCs/>
          <w:color w:val="auto"/>
          <w:sz w:val="26"/>
          <w:szCs w:val="26"/>
          <w:lang w:eastAsia="es-ES"/>
        </w:rPr>
        <w:t>8</w:t>
      </w:r>
      <w:r w:rsidR="00E25200" w:rsidRPr="00A305F2">
        <w:rPr>
          <w:rFonts w:ascii="Arial Narrow" w:eastAsia="Times New Roman" w:hAnsi="Arial Narrow" w:cs="Arial Narrow"/>
          <w:bCs/>
          <w:color w:val="auto"/>
          <w:sz w:val="26"/>
          <w:szCs w:val="26"/>
          <w:lang w:eastAsia="es-ES"/>
        </w:rPr>
        <w:t xml:space="preserve">.- </w:t>
      </w:r>
      <w:r w:rsidR="00010D64" w:rsidRPr="00A305F2">
        <w:rPr>
          <w:rFonts w:ascii="Arial Narrow" w:eastAsia="Times New Roman" w:hAnsi="Arial Narrow" w:cs="Arial Narrow"/>
          <w:bCs/>
          <w:color w:val="auto"/>
          <w:sz w:val="26"/>
          <w:szCs w:val="26"/>
          <w:lang w:eastAsia="es-ES"/>
        </w:rPr>
        <w:t>Consecuencia de no haberse tomado las medias procesales correctivas antes dichas,</w:t>
      </w:r>
      <w:r w:rsidR="00010D64" w:rsidRPr="00D16928">
        <w:rPr>
          <w:rFonts w:ascii="Arial Narrow" w:hAnsi="Arial Narrow"/>
          <w:sz w:val="26"/>
          <w:szCs w:val="26"/>
        </w:rPr>
        <w:t xml:space="preserve"> corresponde decretar la nulidad de l</w:t>
      </w:r>
      <w:r w:rsidR="00352B2F" w:rsidRPr="00D16928">
        <w:rPr>
          <w:rFonts w:ascii="Arial Narrow" w:hAnsi="Arial Narrow"/>
          <w:sz w:val="26"/>
          <w:szCs w:val="26"/>
        </w:rPr>
        <w:t>a</w:t>
      </w:r>
      <w:r w:rsidR="00010D64" w:rsidRPr="00D16928">
        <w:rPr>
          <w:rFonts w:ascii="Arial Narrow" w:hAnsi="Arial Narrow"/>
          <w:sz w:val="26"/>
          <w:szCs w:val="26"/>
        </w:rPr>
        <w:t xml:space="preserve"> actuación desde la sentencia apelada, </w:t>
      </w:r>
      <w:r w:rsidR="002B58B5" w:rsidRPr="00D16928">
        <w:rPr>
          <w:rFonts w:ascii="Arial Narrow" w:hAnsi="Arial Narrow"/>
          <w:sz w:val="26"/>
          <w:szCs w:val="26"/>
        </w:rPr>
        <w:t xml:space="preserve">incluyéndola, </w:t>
      </w:r>
      <w:r w:rsidR="00010D64" w:rsidRPr="00D16928">
        <w:rPr>
          <w:rFonts w:ascii="Arial Narrow" w:hAnsi="Arial Narrow"/>
          <w:sz w:val="26"/>
          <w:szCs w:val="26"/>
        </w:rPr>
        <w:t xml:space="preserve">para que el fallador de primer grado </w:t>
      </w:r>
      <w:r w:rsidR="00352B2F" w:rsidRPr="00D16928">
        <w:rPr>
          <w:rFonts w:ascii="Arial Narrow" w:hAnsi="Arial Narrow"/>
          <w:sz w:val="26"/>
          <w:szCs w:val="26"/>
        </w:rPr>
        <w:t>logre la notificación de</w:t>
      </w:r>
      <w:r w:rsidR="00915DE2" w:rsidRPr="00D16928">
        <w:rPr>
          <w:rFonts w:ascii="Arial Narrow" w:hAnsi="Arial Narrow"/>
          <w:sz w:val="26"/>
          <w:szCs w:val="26"/>
        </w:rPr>
        <w:t>l auto admisorio de la</w:t>
      </w:r>
      <w:r w:rsidR="00352B2F" w:rsidRPr="00D16928">
        <w:rPr>
          <w:rFonts w:ascii="Arial Narrow" w:hAnsi="Arial Narrow"/>
          <w:sz w:val="26"/>
          <w:szCs w:val="26"/>
        </w:rPr>
        <w:t xml:space="preserve"> demanda </w:t>
      </w:r>
      <w:r w:rsidR="00915DE2" w:rsidRPr="00D16928">
        <w:rPr>
          <w:rFonts w:ascii="Arial Narrow" w:hAnsi="Arial Narrow"/>
          <w:sz w:val="26"/>
          <w:szCs w:val="26"/>
        </w:rPr>
        <w:t>a</w:t>
      </w:r>
      <w:r w:rsidR="00352B2F" w:rsidRPr="00D16928">
        <w:rPr>
          <w:rFonts w:ascii="Arial Narrow" w:hAnsi="Arial Narrow"/>
          <w:sz w:val="26"/>
          <w:szCs w:val="26"/>
        </w:rPr>
        <w:t xml:space="preserve"> los herederos determinado</w:t>
      </w:r>
      <w:r w:rsidR="00CA6865" w:rsidRPr="00D16928">
        <w:rPr>
          <w:rFonts w:ascii="Arial Narrow" w:hAnsi="Arial Narrow"/>
          <w:sz w:val="26"/>
          <w:szCs w:val="26"/>
        </w:rPr>
        <w:t>s</w:t>
      </w:r>
      <w:r w:rsidR="00352B2F" w:rsidRPr="00D16928">
        <w:rPr>
          <w:rFonts w:ascii="Arial Narrow" w:hAnsi="Arial Narrow"/>
          <w:sz w:val="26"/>
          <w:szCs w:val="26"/>
        </w:rPr>
        <w:t xml:space="preserve"> del señor Carlos Restrepo Arango, si lo</w:t>
      </w:r>
      <w:r w:rsidR="00915DE2" w:rsidRPr="00D16928">
        <w:rPr>
          <w:rFonts w:ascii="Arial Narrow" w:hAnsi="Arial Narrow"/>
          <w:sz w:val="26"/>
          <w:szCs w:val="26"/>
        </w:rPr>
        <w:t>s</w:t>
      </w:r>
      <w:r w:rsidR="00352B2F" w:rsidRPr="00D16928">
        <w:rPr>
          <w:rFonts w:ascii="Arial Narrow" w:hAnsi="Arial Narrow"/>
          <w:sz w:val="26"/>
          <w:szCs w:val="26"/>
        </w:rPr>
        <w:t xml:space="preserve"> hay, y sus herederos indeterminados, según dicta el numeral 9º del artículo 140 del C.P.C</w:t>
      </w:r>
      <w:r w:rsidR="00352B2F" w:rsidRPr="00D16928">
        <w:rPr>
          <w:rStyle w:val="Refdenotaalpie"/>
          <w:rFonts w:ascii="Arial Narrow" w:hAnsi="Arial Narrow"/>
          <w:sz w:val="26"/>
          <w:szCs w:val="26"/>
        </w:rPr>
        <w:footnoteReference w:id="13"/>
      </w:r>
      <w:r w:rsidR="00352B2F" w:rsidRPr="00D16928">
        <w:rPr>
          <w:rFonts w:ascii="Arial Narrow" w:hAnsi="Arial Narrow"/>
          <w:sz w:val="26"/>
          <w:szCs w:val="26"/>
        </w:rPr>
        <w:t xml:space="preserve"> (hoy numeral 8º del artículo 133 del C.G.P</w:t>
      </w:r>
      <w:r w:rsidR="00915DE2" w:rsidRPr="00D16928">
        <w:rPr>
          <w:rFonts w:ascii="Arial Narrow" w:hAnsi="Arial Narrow"/>
          <w:sz w:val="26"/>
          <w:szCs w:val="26"/>
        </w:rPr>
        <w:t>.</w:t>
      </w:r>
      <w:r w:rsidR="00352B2F" w:rsidRPr="00D16928">
        <w:rPr>
          <w:rFonts w:ascii="Arial Narrow" w:hAnsi="Arial Narrow"/>
          <w:sz w:val="26"/>
          <w:szCs w:val="26"/>
        </w:rPr>
        <w:t>)</w:t>
      </w:r>
      <w:r w:rsidR="00B976F0" w:rsidRPr="00D16928">
        <w:rPr>
          <w:rFonts w:ascii="Arial Narrow" w:hAnsi="Arial Narrow"/>
          <w:sz w:val="26"/>
          <w:szCs w:val="26"/>
        </w:rPr>
        <w:t xml:space="preserve">, realizando los emplazamiento a que haya lugar, y nombrando los auxiliares de la justicia pertinentes que represente sus derechos. </w:t>
      </w:r>
      <w:r w:rsidR="00352B2F" w:rsidRPr="00D16928">
        <w:rPr>
          <w:rFonts w:ascii="Arial Narrow" w:hAnsi="Arial Narrow"/>
          <w:sz w:val="26"/>
          <w:szCs w:val="26"/>
        </w:rPr>
        <w:t xml:space="preserve">  </w:t>
      </w:r>
    </w:p>
    <w:p w14:paraId="3F145286" w14:textId="77777777" w:rsidR="00010D64" w:rsidRPr="00A305F2" w:rsidRDefault="00010D64" w:rsidP="00A305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09AEB1C7" w14:textId="77777777" w:rsidR="00185833" w:rsidRPr="00F50C95" w:rsidRDefault="00352B2F" w:rsidP="00F50C95">
      <w:pPr>
        <w:pStyle w:val="Default"/>
        <w:ind w:left="426" w:right="420"/>
        <w:jc w:val="both"/>
        <w:rPr>
          <w:rFonts w:ascii="Arial Narrow" w:hAnsi="Arial Narrow"/>
          <w:i/>
          <w:szCs w:val="26"/>
        </w:rPr>
      </w:pPr>
      <w:r w:rsidRPr="00F50C95">
        <w:rPr>
          <w:rFonts w:ascii="Arial Narrow" w:hAnsi="Arial Narrow"/>
          <w:i/>
          <w:spacing w:val="-3"/>
          <w:szCs w:val="26"/>
        </w:rPr>
        <w:t>“…</w:t>
      </w:r>
      <w:r w:rsidR="00010D64" w:rsidRPr="00F50C95">
        <w:rPr>
          <w:rFonts w:ascii="Arial Narrow" w:hAnsi="Arial Narrow"/>
          <w:i/>
          <w:spacing w:val="-3"/>
          <w:szCs w:val="26"/>
        </w:rPr>
        <w:t xml:space="preserve">lo que se le impone en esas circunstancias al fallador es la obligación de utilizar las herramientas procesales admisibles para corregir ese yerro procedimental, en aras de obtener una verdadera sentencia, que resuelva el fondo de la litis. Expresó sobre el particular la Corte que “la medida procesal que le corresponde adoptar al fallador de segunda instancia está dada por la consagración de la causal 9ª del artículo 140 del C. de P.C., la cual se produce, entre otros eventos, </w:t>
      </w:r>
      <w:r w:rsidR="00010D64" w:rsidRPr="00F50C95">
        <w:rPr>
          <w:rFonts w:ascii="Arial Narrow" w:hAnsi="Arial Narrow"/>
          <w:i/>
          <w:spacing w:val="-3"/>
          <w:szCs w:val="26"/>
        </w:rPr>
        <w:lastRenderedPageBreak/>
        <w:t>cuando se deje de notificar o emplazar a una de “las demás personas que daban ser citadas como partes”, situación que atañe con los litisconsortes necesarios, quienes deben ser citados al proceso justamente para que se pueda resolver de mérito sobre la cuestión litigiosa; situación que se da tanto frente aquellos litisconsortes que mencionados en la demanda y en el auto admisorio de la misma no fueron notificados de éste; como frente a quienes deben ser citados, y no lo han sido, a pesar de que por la ley o por la naturaleza del litigio deben demandar o ser demandados; todo en aplicación de lo dispuesto en el artículo 83 del C. de P.C.”.</w:t>
      </w:r>
      <w:r w:rsidRPr="00F50C95">
        <w:rPr>
          <w:rFonts w:ascii="Arial Narrow" w:hAnsi="Arial Narrow"/>
          <w:i/>
          <w:spacing w:val="-3"/>
          <w:szCs w:val="26"/>
        </w:rPr>
        <w:t>”</w:t>
      </w:r>
      <w:r w:rsidRPr="00F50C95">
        <w:rPr>
          <w:rStyle w:val="Refdenotaalpie"/>
          <w:rFonts w:ascii="Arial Narrow" w:hAnsi="Arial Narrow"/>
          <w:i/>
          <w:spacing w:val="-3"/>
          <w:szCs w:val="26"/>
        </w:rPr>
        <w:footnoteReference w:id="14"/>
      </w:r>
      <w:r w:rsidR="00010D64" w:rsidRPr="00F50C95">
        <w:rPr>
          <w:rFonts w:ascii="Arial Narrow" w:hAnsi="Arial Narrow"/>
          <w:i/>
          <w:spacing w:val="-3"/>
          <w:szCs w:val="26"/>
        </w:rPr>
        <w:t xml:space="preserve"> </w:t>
      </w:r>
      <w:r w:rsidR="00010D64" w:rsidRPr="00F50C95">
        <w:rPr>
          <w:rFonts w:ascii="Arial Narrow" w:hAnsi="Arial Narrow"/>
          <w:i/>
          <w:szCs w:val="26"/>
        </w:rPr>
        <w:t xml:space="preserve">  </w:t>
      </w:r>
    </w:p>
    <w:p w14:paraId="0DE6E3A2" w14:textId="77777777" w:rsidR="0055783B" w:rsidRPr="00A305F2" w:rsidRDefault="0055783B" w:rsidP="00A305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6DB76423" w14:textId="42E08DC3" w:rsidR="00352B2F" w:rsidRPr="00D16928" w:rsidRDefault="00722939" w:rsidP="00D16928">
      <w:pPr>
        <w:pStyle w:val="Default"/>
        <w:spacing w:line="276" w:lineRule="auto"/>
        <w:jc w:val="both"/>
        <w:rPr>
          <w:rFonts w:ascii="Arial Narrow" w:hAnsi="Arial Narrow"/>
          <w:sz w:val="26"/>
          <w:szCs w:val="26"/>
        </w:rPr>
      </w:pPr>
      <w:r w:rsidRPr="00A305F2">
        <w:rPr>
          <w:rFonts w:ascii="Arial Narrow" w:eastAsia="Times New Roman" w:hAnsi="Arial Narrow" w:cs="Arial Narrow"/>
          <w:bCs/>
          <w:color w:val="auto"/>
          <w:sz w:val="26"/>
          <w:szCs w:val="26"/>
          <w:lang w:eastAsia="es-ES"/>
        </w:rPr>
        <w:t>Realizada tal declaración, corresponde e</w:t>
      </w:r>
      <w:r w:rsidR="00352B2F" w:rsidRPr="00A305F2">
        <w:rPr>
          <w:rFonts w:ascii="Arial Narrow" w:eastAsia="Times New Roman" w:hAnsi="Arial Narrow" w:cs="Arial Narrow"/>
          <w:bCs/>
          <w:color w:val="auto"/>
          <w:sz w:val="26"/>
          <w:szCs w:val="26"/>
          <w:lang w:eastAsia="es-ES"/>
        </w:rPr>
        <w:t>ntonces devolverse el expediente a su lugar de origen,</w:t>
      </w:r>
      <w:r w:rsidR="00352B2F" w:rsidRPr="00D16928">
        <w:rPr>
          <w:rFonts w:ascii="Arial Narrow" w:hAnsi="Arial Narrow"/>
          <w:sz w:val="26"/>
          <w:szCs w:val="26"/>
        </w:rPr>
        <w:t xml:space="preserve"> para que se rehaga la actuación de conformidad. Si bien ella aconteció en el Juzgado Trece Civil del Circuito de Medellín, a folio </w:t>
      </w:r>
      <w:r w:rsidR="00E603D8" w:rsidRPr="00D16928">
        <w:rPr>
          <w:rFonts w:ascii="Arial Narrow" w:hAnsi="Arial Narrow"/>
          <w:sz w:val="26"/>
          <w:szCs w:val="26"/>
        </w:rPr>
        <w:t>361</w:t>
      </w:r>
      <w:r w:rsidR="00352B2F" w:rsidRPr="00D16928">
        <w:rPr>
          <w:rFonts w:ascii="Arial Narrow" w:hAnsi="Arial Narrow"/>
          <w:sz w:val="26"/>
          <w:szCs w:val="26"/>
        </w:rPr>
        <w:t xml:space="preserve"> del archivo 01 de primera instancia, se observa que</w:t>
      </w:r>
      <w:r w:rsidR="00B976F0" w:rsidRPr="00D16928">
        <w:rPr>
          <w:rFonts w:ascii="Arial Narrow" w:hAnsi="Arial Narrow"/>
          <w:sz w:val="26"/>
          <w:szCs w:val="26"/>
        </w:rPr>
        <w:t>,</w:t>
      </w:r>
      <w:r w:rsidR="00352B2F" w:rsidRPr="00D16928">
        <w:rPr>
          <w:rFonts w:ascii="Arial Narrow" w:hAnsi="Arial Narrow"/>
          <w:sz w:val="26"/>
          <w:szCs w:val="26"/>
        </w:rPr>
        <w:t xml:space="preserve"> en virtud</w:t>
      </w:r>
      <w:r w:rsidR="00B976F0" w:rsidRPr="00D16928">
        <w:rPr>
          <w:rFonts w:ascii="Arial Narrow" w:hAnsi="Arial Narrow"/>
          <w:sz w:val="26"/>
          <w:szCs w:val="26"/>
        </w:rPr>
        <w:t xml:space="preserve"> de disposiciones del Consejo Seccional de la judicatura, luego de la sentencia, avocó conocimiento su similar Quince Civil del Circuito de la misma ciudad.</w:t>
      </w:r>
      <w:r w:rsidR="001F25F2" w:rsidRPr="00D16928">
        <w:rPr>
          <w:rFonts w:ascii="Arial Narrow" w:hAnsi="Arial Narrow"/>
          <w:sz w:val="26"/>
          <w:szCs w:val="26"/>
        </w:rPr>
        <w:t xml:space="preserve"> Allí se </w:t>
      </w:r>
      <w:r w:rsidR="00C516C6" w:rsidRPr="00D16928">
        <w:rPr>
          <w:rFonts w:ascii="Arial Narrow" w:hAnsi="Arial Narrow"/>
          <w:sz w:val="26"/>
          <w:szCs w:val="26"/>
        </w:rPr>
        <w:t>procederá a</w:t>
      </w:r>
      <w:r w:rsidR="001F25F2" w:rsidRPr="00D16928">
        <w:rPr>
          <w:rFonts w:ascii="Arial Narrow" w:hAnsi="Arial Narrow"/>
          <w:sz w:val="26"/>
          <w:szCs w:val="26"/>
        </w:rPr>
        <w:t xml:space="preserve"> remitir lo actuado.</w:t>
      </w:r>
      <w:r w:rsidR="00B976F0" w:rsidRPr="00D16928">
        <w:rPr>
          <w:rFonts w:ascii="Arial Narrow" w:hAnsi="Arial Narrow"/>
          <w:sz w:val="26"/>
          <w:szCs w:val="26"/>
        </w:rPr>
        <w:t xml:space="preserve">   </w:t>
      </w:r>
      <w:r w:rsidR="00352B2F" w:rsidRPr="00D16928">
        <w:rPr>
          <w:rFonts w:ascii="Arial Narrow" w:hAnsi="Arial Narrow"/>
          <w:sz w:val="26"/>
          <w:szCs w:val="26"/>
        </w:rPr>
        <w:t xml:space="preserve">    </w:t>
      </w:r>
    </w:p>
    <w:p w14:paraId="2F898BF3" w14:textId="77777777" w:rsidR="00352B2F" w:rsidRPr="00A305F2" w:rsidRDefault="00352B2F" w:rsidP="00A305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4ACABF38" w14:textId="77777777" w:rsidR="00AA0DE3" w:rsidRPr="00D16928" w:rsidRDefault="00352B2F" w:rsidP="00D16928">
      <w:pPr>
        <w:pStyle w:val="Default"/>
        <w:spacing w:line="276" w:lineRule="auto"/>
        <w:jc w:val="both"/>
        <w:rPr>
          <w:rFonts w:ascii="Arial Narrow" w:hAnsi="Arial Narrow"/>
          <w:sz w:val="26"/>
          <w:szCs w:val="26"/>
        </w:rPr>
      </w:pPr>
      <w:r w:rsidRPr="00D16928">
        <w:rPr>
          <w:rFonts w:ascii="Arial Narrow" w:hAnsi="Arial Narrow"/>
          <w:sz w:val="26"/>
          <w:szCs w:val="26"/>
        </w:rPr>
        <w:t xml:space="preserve">En </w:t>
      </w:r>
      <w:r w:rsidR="00B976F0" w:rsidRPr="00D16928">
        <w:rPr>
          <w:rFonts w:ascii="Arial Narrow" w:hAnsi="Arial Narrow"/>
          <w:sz w:val="26"/>
          <w:szCs w:val="26"/>
        </w:rPr>
        <w:t>mérito</w:t>
      </w:r>
      <w:r w:rsidRPr="00D16928">
        <w:rPr>
          <w:rFonts w:ascii="Arial Narrow" w:hAnsi="Arial Narrow"/>
          <w:sz w:val="26"/>
          <w:szCs w:val="26"/>
        </w:rPr>
        <w:t xml:space="preserve"> de lo expuesto, </w:t>
      </w:r>
      <w:r w:rsidR="00B976F0" w:rsidRPr="00D16928">
        <w:rPr>
          <w:rFonts w:ascii="Arial Narrow" w:hAnsi="Arial Narrow"/>
          <w:sz w:val="26"/>
          <w:szCs w:val="26"/>
        </w:rPr>
        <w:t xml:space="preserve">el despacho 002 de la Sala Civil Familia del Tribunal Superior de Pereira, </w:t>
      </w:r>
    </w:p>
    <w:p w14:paraId="5F16AE4B" w14:textId="77777777" w:rsidR="00DA3F1A" w:rsidRPr="00A305F2" w:rsidRDefault="00DA3F1A" w:rsidP="00A305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0429631E" w14:textId="77777777" w:rsidR="00DA3F1A" w:rsidRPr="00D16928" w:rsidRDefault="00DA3F1A" w:rsidP="00D16928">
      <w:pPr>
        <w:pStyle w:val="Default"/>
        <w:spacing w:line="276" w:lineRule="auto"/>
        <w:jc w:val="center"/>
        <w:rPr>
          <w:rFonts w:ascii="Arial Narrow" w:hAnsi="Arial Narrow"/>
          <w:b/>
          <w:sz w:val="26"/>
          <w:szCs w:val="26"/>
        </w:rPr>
      </w:pPr>
      <w:r w:rsidRPr="00D16928">
        <w:rPr>
          <w:rFonts w:ascii="Arial Narrow" w:hAnsi="Arial Narrow"/>
          <w:b/>
          <w:sz w:val="26"/>
          <w:szCs w:val="26"/>
        </w:rPr>
        <w:t>RESUELVE</w:t>
      </w:r>
    </w:p>
    <w:p w14:paraId="42CC30A4" w14:textId="77777777" w:rsidR="00AA0DE3" w:rsidRPr="00A305F2" w:rsidRDefault="00AA0DE3" w:rsidP="00A305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2E72ED01" w14:textId="77777777" w:rsidR="00EE5792" w:rsidRPr="00D16928" w:rsidRDefault="00EE5792" w:rsidP="00D16928">
      <w:pPr>
        <w:pStyle w:val="Textoindependiente"/>
        <w:spacing w:line="276" w:lineRule="auto"/>
        <w:ind w:right="157"/>
        <w:rPr>
          <w:rFonts w:ascii="Arial Narrow" w:hAnsi="Arial Narrow" w:cs="Arial Narrow"/>
          <w:sz w:val="26"/>
          <w:szCs w:val="26"/>
          <w:lang w:val="es-ES"/>
        </w:rPr>
      </w:pPr>
      <w:r w:rsidRPr="00D16928">
        <w:rPr>
          <w:rFonts w:ascii="Arial Narrow" w:hAnsi="Arial Narrow" w:cs="Arial Narrow"/>
          <w:b/>
          <w:sz w:val="26"/>
          <w:szCs w:val="26"/>
          <w:lang w:val="es-ES"/>
        </w:rPr>
        <w:t>PRIMERO:</w:t>
      </w:r>
      <w:r w:rsidRPr="00D16928">
        <w:rPr>
          <w:rFonts w:ascii="Arial Narrow" w:hAnsi="Arial Narrow" w:cs="Arial Narrow"/>
          <w:sz w:val="26"/>
          <w:szCs w:val="26"/>
          <w:lang w:val="es-ES"/>
        </w:rPr>
        <w:t xml:space="preserve"> Declarar la nulidad de lo actuado en este proceso desde la</w:t>
      </w:r>
      <w:r w:rsidR="005A1216" w:rsidRPr="00D16928">
        <w:rPr>
          <w:rFonts w:ascii="Arial Narrow" w:hAnsi="Arial Narrow" w:cs="Arial Narrow"/>
          <w:sz w:val="26"/>
          <w:szCs w:val="26"/>
          <w:lang w:val="es-ES"/>
        </w:rPr>
        <w:t xml:space="preserve"> sentencia de primera instancia</w:t>
      </w:r>
      <w:r w:rsidR="00CA6865" w:rsidRPr="00D16928">
        <w:rPr>
          <w:rFonts w:ascii="Arial Narrow" w:hAnsi="Arial Narrow" w:cs="Arial Narrow"/>
          <w:sz w:val="26"/>
          <w:szCs w:val="26"/>
          <w:lang w:val="es-ES"/>
        </w:rPr>
        <w:t xml:space="preserve"> (inclusive)</w:t>
      </w:r>
      <w:r w:rsidR="00DF0596" w:rsidRPr="00D16928">
        <w:rPr>
          <w:rFonts w:ascii="Arial Narrow" w:hAnsi="Arial Narrow" w:cs="Arial Narrow"/>
          <w:sz w:val="26"/>
          <w:szCs w:val="26"/>
          <w:lang w:val="es-ES"/>
        </w:rPr>
        <w:t xml:space="preserve">, según lo expuesto en la parte motiva de este proveído. </w:t>
      </w:r>
    </w:p>
    <w:p w14:paraId="09FB08A6" w14:textId="77777777" w:rsidR="00EE5792" w:rsidRPr="00A305F2" w:rsidRDefault="00EE5792" w:rsidP="00A305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7E876E24" w14:textId="45F77BAF" w:rsidR="00EE5792" w:rsidRPr="00D16928" w:rsidRDefault="00EE5792" w:rsidP="00D16928">
      <w:pPr>
        <w:pStyle w:val="Textoindependiente"/>
        <w:spacing w:line="276" w:lineRule="auto"/>
        <w:ind w:right="157"/>
        <w:rPr>
          <w:rFonts w:ascii="Arial Narrow" w:hAnsi="Arial Narrow" w:cs="Arial Narrow"/>
          <w:sz w:val="26"/>
          <w:szCs w:val="26"/>
          <w:lang w:val="es-ES"/>
        </w:rPr>
      </w:pPr>
      <w:r w:rsidRPr="00D16928">
        <w:rPr>
          <w:rFonts w:ascii="Arial Narrow" w:hAnsi="Arial Narrow" w:cs="Arial Narrow"/>
          <w:b/>
          <w:sz w:val="26"/>
          <w:szCs w:val="26"/>
          <w:lang w:val="es-ES"/>
        </w:rPr>
        <w:t>SEGUNDO</w:t>
      </w:r>
      <w:r w:rsidR="005A1216" w:rsidRPr="00D16928">
        <w:rPr>
          <w:rFonts w:ascii="Arial Narrow" w:hAnsi="Arial Narrow" w:cs="Arial Narrow"/>
          <w:b/>
          <w:sz w:val="26"/>
          <w:szCs w:val="26"/>
          <w:lang w:val="es-ES"/>
        </w:rPr>
        <w:t>:</w:t>
      </w:r>
      <w:r w:rsidR="005A1216" w:rsidRPr="00D16928">
        <w:rPr>
          <w:rFonts w:ascii="Arial Narrow" w:hAnsi="Arial Narrow" w:cs="Arial Narrow"/>
          <w:sz w:val="26"/>
          <w:szCs w:val="26"/>
          <w:lang w:val="es-ES"/>
        </w:rPr>
        <w:t xml:space="preserve"> Se</w:t>
      </w:r>
      <w:r w:rsidRPr="00D16928">
        <w:rPr>
          <w:rFonts w:ascii="Arial Narrow" w:hAnsi="Arial Narrow" w:cs="Arial Narrow"/>
          <w:sz w:val="26"/>
          <w:szCs w:val="26"/>
          <w:lang w:val="es-ES"/>
        </w:rPr>
        <w:t xml:space="preserve"> ordena rehacer la actuación afectada, para lo cual deberá el juzgado de primera instancia, proceder en la forma indicada en la parte motiva de esta providencia.</w:t>
      </w:r>
      <w:r w:rsidR="00FE500C" w:rsidRPr="00D16928">
        <w:rPr>
          <w:rFonts w:ascii="Arial Narrow" w:hAnsi="Arial Narrow" w:cs="Arial Narrow"/>
          <w:sz w:val="26"/>
          <w:szCs w:val="26"/>
          <w:lang w:val="es-ES"/>
        </w:rPr>
        <w:t xml:space="preserve"> Advirtiendo que las actuaciones previas al acto viciado, incluso pruebas, se mantienen incólumes frente a </w:t>
      </w:r>
      <w:r w:rsidR="00250166" w:rsidRPr="00D16928">
        <w:rPr>
          <w:rFonts w:ascii="Arial Narrow" w:hAnsi="Arial Narrow" w:cs="Arial Narrow"/>
          <w:sz w:val="26"/>
          <w:szCs w:val="26"/>
          <w:lang w:val="es-ES"/>
        </w:rPr>
        <w:t>quienes tuvieron la oportunidad de contradecirlas</w:t>
      </w:r>
      <w:r w:rsidR="00E65BEA" w:rsidRPr="00D16928">
        <w:rPr>
          <w:rFonts w:ascii="Arial Narrow" w:hAnsi="Arial Narrow" w:cs="Arial Narrow"/>
          <w:sz w:val="26"/>
          <w:szCs w:val="26"/>
          <w:lang w:val="es-ES"/>
        </w:rPr>
        <w:t>.</w:t>
      </w:r>
    </w:p>
    <w:p w14:paraId="2C9950DE" w14:textId="77777777" w:rsidR="00EE5792" w:rsidRPr="00A305F2" w:rsidRDefault="00EE5792" w:rsidP="00A305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p>
    <w:p w14:paraId="10C01CCF" w14:textId="77777777" w:rsidR="00EE5792" w:rsidRPr="00D16928" w:rsidRDefault="00EE5792" w:rsidP="00D16928">
      <w:pPr>
        <w:pStyle w:val="Textoindependiente"/>
        <w:spacing w:line="276" w:lineRule="auto"/>
        <w:ind w:right="157"/>
        <w:rPr>
          <w:rFonts w:ascii="Arial Narrow" w:hAnsi="Arial Narrow" w:cs="Arial Narrow"/>
          <w:sz w:val="26"/>
          <w:szCs w:val="26"/>
          <w:lang w:val="es-ES"/>
        </w:rPr>
      </w:pPr>
      <w:r w:rsidRPr="00D16928">
        <w:rPr>
          <w:rFonts w:ascii="Arial Narrow" w:hAnsi="Arial Narrow" w:cs="Arial Narrow"/>
          <w:b/>
          <w:sz w:val="26"/>
          <w:szCs w:val="26"/>
          <w:lang w:val="es-ES"/>
        </w:rPr>
        <w:t>TERCERO:</w:t>
      </w:r>
      <w:r w:rsidRPr="00D16928">
        <w:rPr>
          <w:rFonts w:ascii="Arial Narrow" w:hAnsi="Arial Narrow" w:cs="Arial Narrow"/>
          <w:sz w:val="26"/>
          <w:szCs w:val="26"/>
          <w:lang w:val="es-ES"/>
        </w:rPr>
        <w:t xml:space="preserve"> Ejecutoriada está providencia, retorne el expediente a su lugar de origen</w:t>
      </w:r>
      <w:r w:rsidR="00B976F0" w:rsidRPr="00D16928">
        <w:rPr>
          <w:rFonts w:ascii="Arial Narrow" w:hAnsi="Arial Narrow" w:cs="Arial Narrow"/>
          <w:sz w:val="26"/>
          <w:szCs w:val="26"/>
          <w:lang w:val="es-ES"/>
        </w:rPr>
        <w:t xml:space="preserve">, Juzgado Quince Civil del Circuito de Medellín. </w:t>
      </w:r>
      <w:r w:rsidRPr="00D16928">
        <w:rPr>
          <w:rFonts w:ascii="Arial Narrow" w:hAnsi="Arial Narrow" w:cs="Arial Narrow"/>
          <w:sz w:val="26"/>
          <w:szCs w:val="26"/>
          <w:lang w:val="es-ES"/>
        </w:rPr>
        <w:t xml:space="preserve"> </w:t>
      </w:r>
    </w:p>
    <w:p w14:paraId="351DE19B" w14:textId="77777777" w:rsidR="00EE5792" w:rsidRPr="00D16928" w:rsidRDefault="00EE5792" w:rsidP="00D16928">
      <w:pPr>
        <w:pStyle w:val="Textoindependiente"/>
        <w:spacing w:line="276" w:lineRule="auto"/>
        <w:ind w:right="157"/>
        <w:rPr>
          <w:rFonts w:ascii="Arial Narrow" w:hAnsi="Arial Narrow" w:cs="Arial Narrow"/>
          <w:sz w:val="26"/>
          <w:szCs w:val="26"/>
          <w:lang w:val="es-ES"/>
        </w:rPr>
      </w:pPr>
    </w:p>
    <w:p w14:paraId="5664B7D2" w14:textId="77777777" w:rsidR="007B2A2B" w:rsidRPr="00D16928" w:rsidRDefault="007B2A2B" w:rsidP="00D16928">
      <w:pPr>
        <w:spacing w:line="276" w:lineRule="auto"/>
        <w:jc w:val="center"/>
        <w:rPr>
          <w:rFonts w:ascii="Arial Narrow" w:hAnsi="Arial Narrow"/>
          <w:sz w:val="26"/>
          <w:szCs w:val="26"/>
        </w:rPr>
      </w:pPr>
      <w:r w:rsidRPr="00D16928">
        <w:rPr>
          <w:rFonts w:ascii="Arial Narrow" w:hAnsi="Arial Narrow" w:cs="Century Gothic"/>
          <w:b/>
          <w:bCs/>
          <w:sz w:val="26"/>
          <w:szCs w:val="26"/>
          <w:lang w:eastAsia="es-CO"/>
        </w:rPr>
        <w:t>NOTIFÍQUESE Y CÚMPLASE</w:t>
      </w:r>
      <w:r w:rsidR="00D8266D" w:rsidRPr="00D16928">
        <w:rPr>
          <w:rStyle w:val="Refdenotaalpie"/>
          <w:rFonts w:ascii="Arial Narrow" w:hAnsi="Arial Narrow" w:cs="Century Gothic"/>
          <w:b/>
          <w:bCs/>
          <w:color w:val="FFFFFF" w:themeColor="background1"/>
          <w:sz w:val="26"/>
          <w:szCs w:val="26"/>
          <w:lang w:eastAsia="es-CO"/>
        </w:rPr>
        <w:footnoteReference w:id="15"/>
      </w:r>
    </w:p>
    <w:p w14:paraId="70ECDC30" w14:textId="18D5C90D" w:rsidR="000766A4" w:rsidRPr="00D16928" w:rsidRDefault="000766A4" w:rsidP="00D16928">
      <w:pPr>
        <w:pStyle w:val="Textoindependiente"/>
        <w:spacing w:line="276" w:lineRule="auto"/>
        <w:ind w:right="157"/>
        <w:rPr>
          <w:rFonts w:ascii="Arial Narrow" w:hAnsi="Arial Narrow"/>
          <w:sz w:val="26"/>
          <w:szCs w:val="26"/>
        </w:rPr>
      </w:pPr>
    </w:p>
    <w:p w14:paraId="5C8EB011" w14:textId="187CC11E" w:rsidR="00E82AE4" w:rsidRDefault="00E82AE4" w:rsidP="00D16928">
      <w:pPr>
        <w:pStyle w:val="Textoindependiente"/>
        <w:spacing w:line="276" w:lineRule="auto"/>
        <w:ind w:right="157"/>
        <w:rPr>
          <w:rFonts w:ascii="Arial Narrow" w:hAnsi="Arial Narrow"/>
          <w:sz w:val="26"/>
          <w:szCs w:val="26"/>
        </w:rPr>
      </w:pPr>
    </w:p>
    <w:p w14:paraId="05096B8D" w14:textId="77777777" w:rsidR="00D16928" w:rsidRPr="00D16928" w:rsidRDefault="00D16928" w:rsidP="00D16928">
      <w:pPr>
        <w:pStyle w:val="Textoindependiente"/>
        <w:spacing w:line="276" w:lineRule="auto"/>
        <w:ind w:right="157"/>
        <w:rPr>
          <w:rFonts w:ascii="Arial Narrow" w:hAnsi="Arial Narrow"/>
          <w:sz w:val="26"/>
          <w:szCs w:val="26"/>
        </w:rPr>
      </w:pPr>
    </w:p>
    <w:p w14:paraId="79674109" w14:textId="32A82BE6" w:rsidR="001833CD" w:rsidRPr="00D16928" w:rsidRDefault="001833CD" w:rsidP="00D16928">
      <w:pPr>
        <w:pStyle w:val="Textoindependiente"/>
        <w:spacing w:line="276" w:lineRule="auto"/>
        <w:ind w:right="157"/>
        <w:jc w:val="center"/>
        <w:rPr>
          <w:rFonts w:ascii="Arial Narrow" w:hAnsi="Arial Narrow"/>
          <w:b/>
          <w:bCs/>
          <w:sz w:val="26"/>
          <w:szCs w:val="26"/>
        </w:rPr>
      </w:pPr>
      <w:r w:rsidRPr="00D16928">
        <w:rPr>
          <w:rFonts w:ascii="Arial Narrow" w:hAnsi="Arial Narrow"/>
          <w:b/>
          <w:bCs/>
          <w:sz w:val="26"/>
          <w:szCs w:val="26"/>
        </w:rPr>
        <w:t>CARLOS MAURICIO GARCÍA BARAJAS</w:t>
      </w:r>
    </w:p>
    <w:p w14:paraId="49C802AA" w14:textId="541A0ED0" w:rsidR="00CF656D" w:rsidRPr="00D16928" w:rsidRDefault="00D16928" w:rsidP="00D16928">
      <w:pPr>
        <w:pStyle w:val="Textoindependiente"/>
        <w:spacing w:line="276" w:lineRule="auto"/>
        <w:ind w:right="157"/>
        <w:jc w:val="center"/>
        <w:rPr>
          <w:rFonts w:ascii="Arial Narrow" w:hAnsi="Arial Narrow"/>
          <w:bCs/>
          <w:sz w:val="26"/>
          <w:szCs w:val="26"/>
        </w:rPr>
      </w:pPr>
      <w:r w:rsidRPr="00D16928">
        <w:rPr>
          <w:rFonts w:ascii="Arial Narrow" w:hAnsi="Arial Narrow"/>
          <w:bCs/>
          <w:sz w:val="26"/>
          <w:szCs w:val="26"/>
        </w:rPr>
        <w:t>Magistrado</w:t>
      </w:r>
    </w:p>
    <w:sectPr w:rsidR="00CF656D" w:rsidRPr="00D16928" w:rsidSect="009F0B2F">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3BA5" w14:textId="77777777" w:rsidR="008D7F12" w:rsidRDefault="008D7F12" w:rsidP="00BD15C3">
      <w:r>
        <w:separator/>
      </w:r>
    </w:p>
  </w:endnote>
  <w:endnote w:type="continuationSeparator" w:id="0">
    <w:p w14:paraId="2A6ED028" w14:textId="77777777" w:rsidR="008D7F12" w:rsidRDefault="008D7F12"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3D39" w14:textId="77777777" w:rsidR="008D7F12" w:rsidRDefault="008D7F12" w:rsidP="00BD15C3">
      <w:r>
        <w:separator/>
      </w:r>
    </w:p>
  </w:footnote>
  <w:footnote w:type="continuationSeparator" w:id="0">
    <w:p w14:paraId="1F9C1C4B" w14:textId="77777777" w:rsidR="008D7F12" w:rsidRDefault="008D7F12" w:rsidP="00BD15C3">
      <w:r>
        <w:continuationSeparator/>
      </w:r>
    </w:p>
  </w:footnote>
  <w:footnote w:id="1">
    <w:p w14:paraId="6F04C447" w14:textId="77777777" w:rsidR="00352B2F" w:rsidRPr="00D16928" w:rsidRDefault="00352B2F" w:rsidP="00D16928">
      <w:pPr>
        <w:pStyle w:val="Textonotapie"/>
        <w:jc w:val="both"/>
        <w:rPr>
          <w:rFonts w:ascii="Arial" w:hAnsi="Arial" w:cs="Arial"/>
          <w:sz w:val="18"/>
          <w:szCs w:val="18"/>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i/>
          <w:sz w:val="18"/>
          <w:szCs w:val="18"/>
        </w:rPr>
        <w:t>“Emplear los poderes que este Código le concede en materia de pruebas, siempre que lo considere conveniente para verificar los hechos alegados por las partes y evitar nulidades y providencias inhibitoria”</w:t>
      </w:r>
    </w:p>
  </w:footnote>
  <w:footnote w:id="2">
    <w:p w14:paraId="24EAD8F9" w14:textId="77777777" w:rsidR="00352B2F" w:rsidRPr="00D16928" w:rsidRDefault="00352B2F" w:rsidP="00D16928">
      <w:pPr>
        <w:pStyle w:val="Textonotapie"/>
        <w:jc w:val="both"/>
        <w:rPr>
          <w:rFonts w:ascii="Arial" w:hAnsi="Arial" w:cs="Arial"/>
          <w:i/>
          <w:sz w:val="18"/>
          <w:szCs w:val="18"/>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i/>
          <w:sz w:val="18"/>
          <w:szCs w:val="18"/>
        </w:rPr>
        <w:t>Cuando el proceso verse sobre relaciones o actos jurídicos respecto de los cuales, por su naturaleza o por disposición legal, no fuere posible resolver de mérito sin la comparecencia de las personas que sean sujetos de tales relaciones o que intervinieron en dichos actos, la demanda deberá formularse por todas o dirigirse contra todas; si no se hiciere así, el juez en el auto que admite la demanda ordenará dar traslado de ésta a quienes falten para integrar el contradictorio, en la forma y con el término de comparecencia dispuestos para el demandado.</w:t>
      </w:r>
    </w:p>
    <w:p w14:paraId="609281A0" w14:textId="77777777" w:rsidR="00352B2F" w:rsidRPr="00D16928" w:rsidRDefault="00352B2F" w:rsidP="00D16928">
      <w:pPr>
        <w:pStyle w:val="Textonotapie"/>
        <w:jc w:val="both"/>
        <w:rPr>
          <w:rFonts w:ascii="Arial" w:hAnsi="Arial" w:cs="Arial"/>
          <w:sz w:val="18"/>
          <w:szCs w:val="18"/>
        </w:rPr>
      </w:pPr>
      <w:r w:rsidRPr="00D16928">
        <w:rPr>
          <w:rFonts w:ascii="Arial" w:hAnsi="Arial" w:cs="Arial"/>
          <w:i/>
          <w:sz w:val="18"/>
          <w:szCs w:val="18"/>
        </w:rPr>
        <w:t>En caso de no haberse ordenado el traslado al admitirse la demanda, el juez dispondrá la citación de las mencionadas personas, de oficio o a petición de parte, mientras no se haya dictado sentencia de primera instancia, y concederá a los citados el mismo término para que comparezcan. El proceso se suspenderá durante el término para comparecer los citados.”</w:t>
      </w:r>
    </w:p>
  </w:footnote>
  <w:footnote w:id="3">
    <w:p w14:paraId="6F83C7AA" w14:textId="77777777" w:rsidR="00352B2F" w:rsidRPr="00D16928" w:rsidRDefault="00352B2F" w:rsidP="00D16928">
      <w:pPr>
        <w:pStyle w:val="Textonotapie"/>
        <w:jc w:val="both"/>
        <w:rPr>
          <w:rFonts w:ascii="Arial" w:hAnsi="Arial" w:cs="Arial"/>
          <w:sz w:val="18"/>
          <w:szCs w:val="18"/>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i/>
          <w:sz w:val="18"/>
          <w:szCs w:val="18"/>
        </w:rPr>
        <w:t>Cuando se pretenda demandar en proceso de conocimiento a los herederos de una persona cuyo proceso de sucesión no se haya iniciado y cuyos nombres se ignoran, la demanda deberá dirigirse indeterminadamente contra todos los que tengan dicha calidad, y el auto admisorio ordenará emplazarlos en la forma y para los fines dispuestos en el artículo 318. Si se conoce a alguno de los herederos, la demanda se dirigirá contra éstos y los indeterminados.”</w:t>
      </w:r>
    </w:p>
  </w:footnote>
  <w:footnote w:id="4">
    <w:p w14:paraId="2D8FBE38" w14:textId="77777777" w:rsidR="00352B2F" w:rsidRPr="00D16928" w:rsidRDefault="00352B2F" w:rsidP="00D16928">
      <w:pPr>
        <w:pStyle w:val="Textonotapie"/>
        <w:jc w:val="both"/>
        <w:rPr>
          <w:rFonts w:ascii="Arial" w:hAnsi="Arial" w:cs="Arial"/>
          <w:sz w:val="18"/>
          <w:szCs w:val="18"/>
          <w:lang w:val="es-ES"/>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sz w:val="18"/>
          <w:szCs w:val="18"/>
          <w:lang w:val="es-ES"/>
        </w:rPr>
        <w:t xml:space="preserve">Corte Suprema de Justicia. Sala de Casación Civil. Decisión del 29 de marzo de 2001. </w:t>
      </w:r>
      <w:proofErr w:type="spellStart"/>
      <w:r w:rsidRPr="00D16928">
        <w:rPr>
          <w:rFonts w:ascii="Arial" w:hAnsi="Arial" w:cs="Arial"/>
          <w:sz w:val="18"/>
          <w:szCs w:val="18"/>
          <w:lang w:val="es-ES"/>
        </w:rPr>
        <w:t>Exp</w:t>
      </w:r>
      <w:proofErr w:type="spellEnd"/>
      <w:r w:rsidRPr="00D16928">
        <w:rPr>
          <w:rFonts w:ascii="Arial" w:hAnsi="Arial" w:cs="Arial"/>
          <w:sz w:val="18"/>
          <w:szCs w:val="18"/>
          <w:lang w:val="es-ES"/>
        </w:rPr>
        <w:t>. 5740. M.P Dr. Nicolas Bechara Simancas.</w:t>
      </w:r>
    </w:p>
  </w:footnote>
  <w:footnote w:id="5">
    <w:p w14:paraId="798E57FC" w14:textId="2165297B" w:rsidR="00A7041A" w:rsidRPr="00D16928" w:rsidRDefault="00A7041A" w:rsidP="00D16928">
      <w:pPr>
        <w:pStyle w:val="Textonotapie"/>
        <w:jc w:val="both"/>
        <w:rPr>
          <w:rFonts w:ascii="Arial" w:hAnsi="Arial" w:cs="Arial"/>
          <w:sz w:val="18"/>
          <w:szCs w:val="18"/>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color w:val="000000"/>
          <w:sz w:val="18"/>
          <w:szCs w:val="18"/>
          <w:shd w:val="clear" w:color="auto" w:fill="FFFFFF"/>
        </w:rPr>
        <w:t>Le parece que murió el demandado, hace como 20 años.</w:t>
      </w:r>
    </w:p>
  </w:footnote>
  <w:footnote w:id="6">
    <w:p w14:paraId="17B54CCE" w14:textId="133500EF" w:rsidR="00A7041A" w:rsidRPr="00D16928" w:rsidRDefault="00A7041A" w:rsidP="00D16928">
      <w:pPr>
        <w:pStyle w:val="Textonotapie"/>
        <w:jc w:val="both"/>
        <w:rPr>
          <w:rFonts w:ascii="Arial" w:hAnsi="Arial" w:cs="Arial"/>
          <w:sz w:val="18"/>
          <w:szCs w:val="18"/>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color w:val="000000"/>
          <w:sz w:val="18"/>
          <w:szCs w:val="18"/>
          <w:shd w:val="clear" w:color="auto" w:fill="FFFFFF"/>
        </w:rPr>
        <w:t>El demandado ya hace unos 10 años que murió.</w:t>
      </w:r>
    </w:p>
  </w:footnote>
  <w:footnote w:id="7">
    <w:p w14:paraId="263CB597" w14:textId="0AC14122" w:rsidR="00FC692E" w:rsidRPr="00D16928" w:rsidRDefault="00FC692E" w:rsidP="00D16928">
      <w:pPr>
        <w:pStyle w:val="Textonotapie"/>
        <w:jc w:val="both"/>
        <w:rPr>
          <w:rFonts w:ascii="Arial" w:hAnsi="Arial" w:cs="Arial"/>
          <w:sz w:val="18"/>
          <w:szCs w:val="18"/>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color w:val="000000"/>
          <w:sz w:val="18"/>
          <w:szCs w:val="18"/>
          <w:shd w:val="clear" w:color="auto" w:fill="FFFFFF"/>
        </w:rPr>
        <w:t>El demandado murió hace unos 20 años.</w:t>
      </w:r>
    </w:p>
  </w:footnote>
  <w:footnote w:id="8">
    <w:p w14:paraId="7E812EC0" w14:textId="77777777" w:rsidR="00352B2F" w:rsidRPr="00D16928" w:rsidRDefault="00352B2F" w:rsidP="00D16928">
      <w:pPr>
        <w:pStyle w:val="Textonotapie"/>
        <w:jc w:val="both"/>
        <w:rPr>
          <w:rFonts w:ascii="Arial" w:hAnsi="Arial" w:cs="Arial"/>
          <w:i/>
          <w:sz w:val="18"/>
          <w:szCs w:val="18"/>
        </w:rPr>
      </w:pPr>
      <w:r w:rsidRPr="00D16928">
        <w:rPr>
          <w:rStyle w:val="Refdenotaalpie"/>
          <w:rFonts w:ascii="Arial" w:hAnsi="Arial" w:cs="Arial"/>
          <w:i/>
          <w:sz w:val="18"/>
          <w:szCs w:val="18"/>
        </w:rPr>
        <w:footnoteRef/>
      </w:r>
      <w:r w:rsidRPr="00D16928">
        <w:rPr>
          <w:rFonts w:ascii="Arial" w:hAnsi="Arial" w:cs="Arial"/>
          <w:i/>
          <w:sz w:val="18"/>
          <w:szCs w:val="18"/>
        </w:rPr>
        <w:t xml:space="preserve"> “Con cargo a los recursos del proyecto “Levantamiento y Depuración Sistemática del Archivo Nacional de Identificación, ANI, Registro de Votantes a Nivel Nacional”, el Registrador Nacional del Estado Civil podrá adoptar las acciones administrativas necesarias para corregir de oficio los registros civiles que al ser confrontados con la base de datos de la Registraduría Nacional del Estado Civil resulten inconsistentes, sin afectar su intangibilidad.</w:t>
      </w:r>
    </w:p>
    <w:p w14:paraId="3CEB75BC" w14:textId="77777777" w:rsidR="00352B2F" w:rsidRPr="00D16928" w:rsidRDefault="00352B2F" w:rsidP="00D16928">
      <w:pPr>
        <w:pStyle w:val="Textonotapie"/>
        <w:jc w:val="both"/>
        <w:rPr>
          <w:rFonts w:ascii="Arial" w:hAnsi="Arial" w:cs="Arial"/>
          <w:sz w:val="18"/>
          <w:szCs w:val="18"/>
          <w:lang w:val="es-ES"/>
        </w:rPr>
      </w:pPr>
      <w:r w:rsidRPr="00D16928">
        <w:rPr>
          <w:rFonts w:ascii="Arial" w:hAnsi="Arial" w:cs="Arial"/>
          <w:i/>
          <w:sz w:val="18"/>
          <w:szCs w:val="18"/>
        </w:rPr>
        <w:t>Así mismo, el Registrador Nacional del Estado Civil podrá cancelar las cédulas de ciudadanía correspondientes a personas fallecidas, previa confrontación de las bases de datos de la Registraduría Nacional del Estado Civil, en los casos en que exista certeza del fallecimiento de una persona de acuerdo con los registros, archivos y bases de datos de los Centros de Inhumación, de Hospitales, Funerarias, Clínicas, Secretarías de Salud, Instituto de Medicina Legal y Ciencias Forenses, los cuales tendrán para estos efectos, valor de plena prueba.”</w:t>
      </w:r>
    </w:p>
  </w:footnote>
  <w:footnote w:id="9">
    <w:p w14:paraId="30107C0C" w14:textId="77777777" w:rsidR="00352B2F" w:rsidRPr="00D16928" w:rsidRDefault="00352B2F" w:rsidP="00D16928">
      <w:pPr>
        <w:pStyle w:val="Textonotapie"/>
        <w:jc w:val="both"/>
        <w:rPr>
          <w:rFonts w:ascii="Arial" w:hAnsi="Arial" w:cs="Arial"/>
          <w:sz w:val="18"/>
          <w:szCs w:val="18"/>
          <w:lang w:val="es-ES"/>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sz w:val="18"/>
          <w:szCs w:val="18"/>
          <w:lang w:val="es-ES"/>
        </w:rPr>
        <w:t xml:space="preserve">Cfr. Ley 486 de 1998, 757 del 2002 y 999 de 2005. </w:t>
      </w:r>
    </w:p>
  </w:footnote>
  <w:footnote w:id="10">
    <w:p w14:paraId="0373AE88" w14:textId="77777777" w:rsidR="00352B2F" w:rsidRPr="00D16928" w:rsidRDefault="00352B2F" w:rsidP="00D16928">
      <w:pPr>
        <w:pStyle w:val="Textonotapie"/>
        <w:jc w:val="both"/>
        <w:rPr>
          <w:rFonts w:ascii="Arial" w:hAnsi="Arial" w:cs="Arial"/>
          <w:sz w:val="18"/>
          <w:szCs w:val="18"/>
          <w:lang w:val="es-ES"/>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i/>
          <w:sz w:val="18"/>
          <w:szCs w:val="18"/>
        </w:rPr>
        <w:t>Sentencia del 2 de mayo de 2016 dentro del expediente radicado 47001-23-31-000-2005-01061-01 (36541)”</w:t>
      </w:r>
    </w:p>
  </w:footnote>
  <w:footnote w:id="11">
    <w:p w14:paraId="07FB468A" w14:textId="77777777" w:rsidR="00662497" w:rsidRPr="00D16928" w:rsidRDefault="00662497" w:rsidP="00D16928">
      <w:pPr>
        <w:pStyle w:val="Textonotapie"/>
        <w:jc w:val="both"/>
        <w:rPr>
          <w:rFonts w:ascii="Arial" w:hAnsi="Arial" w:cs="Arial"/>
          <w:sz w:val="18"/>
          <w:szCs w:val="18"/>
          <w:lang w:val="es-ES"/>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sz w:val="18"/>
          <w:szCs w:val="18"/>
          <w:lang w:val="es-ES"/>
        </w:rPr>
        <w:t xml:space="preserve">Corte Suprema de Justicia, Decisión del 20 de agosto de 1981. M.P Dr. Ernesto Gamboa Álvarez. Gaceta Judicial 2407. Pág. 512. </w:t>
      </w:r>
    </w:p>
  </w:footnote>
  <w:footnote w:id="12">
    <w:p w14:paraId="4DCDD946" w14:textId="77777777" w:rsidR="00352B2F" w:rsidRPr="00D16928" w:rsidRDefault="00352B2F" w:rsidP="00D16928">
      <w:pPr>
        <w:pStyle w:val="Textonotapie"/>
        <w:jc w:val="both"/>
        <w:rPr>
          <w:rFonts w:ascii="Arial" w:hAnsi="Arial" w:cs="Arial"/>
          <w:sz w:val="18"/>
          <w:szCs w:val="18"/>
          <w:lang w:val="es-ES"/>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sz w:val="18"/>
          <w:szCs w:val="18"/>
          <w:lang w:val="es-ES"/>
        </w:rPr>
        <w:t xml:space="preserve">Corte Suprema de Justicia. </w:t>
      </w:r>
      <w:proofErr w:type="spellStart"/>
      <w:r w:rsidRPr="00D16928">
        <w:rPr>
          <w:rFonts w:ascii="Arial" w:hAnsi="Arial" w:cs="Arial"/>
          <w:sz w:val="18"/>
          <w:szCs w:val="18"/>
          <w:lang w:val="es-ES"/>
        </w:rPr>
        <w:t>Exp</w:t>
      </w:r>
      <w:proofErr w:type="spellEnd"/>
      <w:r w:rsidRPr="00D16928">
        <w:rPr>
          <w:rFonts w:ascii="Arial" w:hAnsi="Arial" w:cs="Arial"/>
          <w:sz w:val="18"/>
          <w:szCs w:val="18"/>
          <w:lang w:val="es-ES"/>
        </w:rPr>
        <w:t xml:space="preserve">. 5740. </w:t>
      </w:r>
      <w:proofErr w:type="spellStart"/>
      <w:r w:rsidRPr="00D16928">
        <w:rPr>
          <w:rFonts w:ascii="Arial" w:hAnsi="Arial" w:cs="Arial"/>
          <w:sz w:val="18"/>
          <w:szCs w:val="18"/>
          <w:lang w:val="es-ES"/>
        </w:rPr>
        <w:t>Op</w:t>
      </w:r>
      <w:proofErr w:type="spellEnd"/>
      <w:r w:rsidRPr="00D16928">
        <w:rPr>
          <w:rFonts w:ascii="Arial" w:hAnsi="Arial" w:cs="Arial"/>
          <w:sz w:val="18"/>
          <w:szCs w:val="18"/>
          <w:lang w:val="es-ES"/>
        </w:rPr>
        <w:t xml:space="preserve">. Cit. </w:t>
      </w:r>
    </w:p>
  </w:footnote>
  <w:footnote w:id="13">
    <w:p w14:paraId="6D1534A9" w14:textId="77777777" w:rsidR="00352B2F" w:rsidRPr="00D16928" w:rsidRDefault="00352B2F" w:rsidP="00D16928">
      <w:pPr>
        <w:pStyle w:val="Textonotapie"/>
        <w:jc w:val="both"/>
        <w:rPr>
          <w:rFonts w:ascii="Arial" w:hAnsi="Arial" w:cs="Arial"/>
          <w:i/>
          <w:sz w:val="18"/>
          <w:szCs w:val="18"/>
          <w:lang w:val="es-ES"/>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i/>
          <w:sz w:val="18"/>
          <w:szCs w:val="18"/>
        </w:rPr>
        <w:t>“Cuando no se practica en legal forma la notificación a personas determinadas, o el emplazamiento de las demás personas aunque sean indeterminadas, que deban ser citadas como partes, o de aquellas de deban suceder en el proceso a cualquiera de las partes, cuando la ley así lo ordena, o no se cita en debida forma al Ministerio Público en los casos de ley.”</w:t>
      </w:r>
    </w:p>
  </w:footnote>
  <w:footnote w:id="14">
    <w:p w14:paraId="61921641" w14:textId="77777777" w:rsidR="00352B2F" w:rsidRPr="00D16928" w:rsidRDefault="00352B2F" w:rsidP="00D16928">
      <w:pPr>
        <w:pStyle w:val="Textonotapie"/>
        <w:jc w:val="both"/>
        <w:rPr>
          <w:rFonts w:ascii="Arial" w:hAnsi="Arial" w:cs="Arial"/>
          <w:sz w:val="18"/>
          <w:szCs w:val="18"/>
          <w:lang w:val="es-ES"/>
        </w:rPr>
      </w:pPr>
      <w:r w:rsidRPr="00D16928">
        <w:rPr>
          <w:rStyle w:val="Refdenotaalpie"/>
          <w:rFonts w:ascii="Arial" w:hAnsi="Arial" w:cs="Arial"/>
          <w:sz w:val="18"/>
          <w:szCs w:val="18"/>
        </w:rPr>
        <w:footnoteRef/>
      </w:r>
      <w:r w:rsidRPr="00D16928">
        <w:rPr>
          <w:rFonts w:ascii="Arial" w:hAnsi="Arial" w:cs="Arial"/>
          <w:sz w:val="18"/>
          <w:szCs w:val="18"/>
        </w:rPr>
        <w:t xml:space="preserve"> </w:t>
      </w:r>
      <w:r w:rsidRPr="00D16928">
        <w:rPr>
          <w:rFonts w:ascii="Arial" w:hAnsi="Arial" w:cs="Arial"/>
          <w:sz w:val="18"/>
          <w:szCs w:val="18"/>
          <w:lang w:val="es-ES"/>
        </w:rPr>
        <w:t xml:space="preserve">Corte Suprema de Justicia. Sala de Casación Civil. Decisión del 23 de marzo de 2000. </w:t>
      </w:r>
      <w:proofErr w:type="spellStart"/>
      <w:r w:rsidRPr="00D16928">
        <w:rPr>
          <w:rFonts w:ascii="Arial" w:hAnsi="Arial" w:cs="Arial"/>
          <w:sz w:val="18"/>
          <w:szCs w:val="18"/>
          <w:lang w:val="es-ES"/>
        </w:rPr>
        <w:t>Exp</w:t>
      </w:r>
      <w:proofErr w:type="spellEnd"/>
      <w:r w:rsidRPr="00D16928">
        <w:rPr>
          <w:rFonts w:ascii="Arial" w:hAnsi="Arial" w:cs="Arial"/>
          <w:sz w:val="18"/>
          <w:szCs w:val="18"/>
          <w:lang w:val="es-ES"/>
        </w:rPr>
        <w:t xml:space="preserve">. 5259. M.P Dr. Carlos Ignacio Jaramillo </w:t>
      </w:r>
      <w:proofErr w:type="spellStart"/>
      <w:r w:rsidRPr="00D16928">
        <w:rPr>
          <w:rFonts w:ascii="Arial" w:hAnsi="Arial" w:cs="Arial"/>
          <w:sz w:val="18"/>
          <w:szCs w:val="18"/>
          <w:lang w:val="es-ES"/>
        </w:rPr>
        <w:t>Jaramillo</w:t>
      </w:r>
      <w:proofErr w:type="spellEnd"/>
      <w:r w:rsidRPr="00D16928">
        <w:rPr>
          <w:rFonts w:ascii="Arial" w:hAnsi="Arial" w:cs="Arial"/>
          <w:sz w:val="18"/>
          <w:szCs w:val="18"/>
          <w:lang w:val="es-ES"/>
        </w:rPr>
        <w:t>.</w:t>
      </w:r>
    </w:p>
  </w:footnote>
  <w:footnote w:id="15">
    <w:p w14:paraId="2C74D767" w14:textId="77777777" w:rsidR="00352B2F" w:rsidRDefault="00352B2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2D7E" w14:textId="1105D61A" w:rsidR="00352B2F" w:rsidRPr="009F0B2F" w:rsidRDefault="00352B2F" w:rsidP="00FD0E47">
    <w:pPr>
      <w:pStyle w:val="Encabezado"/>
      <w:rPr>
        <w:rFonts w:ascii="Arial" w:hAnsi="Arial" w:cs="Arial"/>
        <w:sz w:val="18"/>
        <w:szCs w:val="16"/>
        <w:lang w:val="es-ES" w:eastAsia="es-MX"/>
      </w:rPr>
    </w:pPr>
    <w:r w:rsidRPr="009F0B2F">
      <w:rPr>
        <w:rFonts w:ascii="Arial" w:hAnsi="Arial" w:cs="Arial"/>
        <w:sz w:val="18"/>
        <w:szCs w:val="16"/>
        <w:lang w:val="es-ES" w:eastAsia="es-MX"/>
      </w:rPr>
      <w:t>Apelación de Sentencia</w:t>
    </w:r>
  </w:p>
  <w:p w14:paraId="60BF24DF" w14:textId="7E44B15B" w:rsidR="00352B2F" w:rsidRPr="009F0B2F" w:rsidRDefault="00352B2F" w:rsidP="00FD0E47">
    <w:pPr>
      <w:pStyle w:val="Encabezado"/>
      <w:rPr>
        <w:rFonts w:ascii="Arial" w:hAnsi="Arial" w:cs="Arial"/>
        <w:sz w:val="28"/>
      </w:rPr>
    </w:pPr>
    <w:r w:rsidRPr="009F0B2F">
      <w:rPr>
        <w:rFonts w:ascii="Arial" w:hAnsi="Arial" w:cs="Arial"/>
        <w:sz w:val="18"/>
        <w:szCs w:val="16"/>
        <w:lang w:val="es-ES" w:eastAsia="es-MX"/>
      </w:rPr>
      <w:t>Radicación No. 05001310300120060002801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4B89"/>
    <w:multiLevelType w:val="multilevel"/>
    <w:tmpl w:val="F5C6699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F01E06"/>
    <w:multiLevelType w:val="multilevel"/>
    <w:tmpl w:val="0CD0E130"/>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2"/>
  </w:num>
  <w:num w:numId="6">
    <w:abstractNumId w:val="9"/>
  </w:num>
  <w:num w:numId="7">
    <w:abstractNumId w:val="7"/>
  </w:num>
  <w:num w:numId="8">
    <w:abstractNumId w:val="8"/>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6" w:nlCheck="1" w:checkStyle="1"/>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D6A"/>
    <w:rsid w:val="00010D64"/>
    <w:rsid w:val="00012AE0"/>
    <w:rsid w:val="000149E5"/>
    <w:rsid w:val="000219DB"/>
    <w:rsid w:val="00022430"/>
    <w:rsid w:val="000228FA"/>
    <w:rsid w:val="000233F6"/>
    <w:rsid w:val="00027890"/>
    <w:rsid w:val="000320CA"/>
    <w:rsid w:val="00034878"/>
    <w:rsid w:val="0003515E"/>
    <w:rsid w:val="00035D44"/>
    <w:rsid w:val="0003698D"/>
    <w:rsid w:val="000442CB"/>
    <w:rsid w:val="000454C8"/>
    <w:rsid w:val="0004628B"/>
    <w:rsid w:val="00055236"/>
    <w:rsid w:val="000634B1"/>
    <w:rsid w:val="00067CF2"/>
    <w:rsid w:val="000709D8"/>
    <w:rsid w:val="00071A22"/>
    <w:rsid w:val="00073C1B"/>
    <w:rsid w:val="000740E0"/>
    <w:rsid w:val="0007660C"/>
    <w:rsid w:val="000766A4"/>
    <w:rsid w:val="00083865"/>
    <w:rsid w:val="0008406C"/>
    <w:rsid w:val="00085122"/>
    <w:rsid w:val="00090F52"/>
    <w:rsid w:val="000922DE"/>
    <w:rsid w:val="000972EE"/>
    <w:rsid w:val="000A2035"/>
    <w:rsid w:val="000A2CC4"/>
    <w:rsid w:val="000A508E"/>
    <w:rsid w:val="000A7F94"/>
    <w:rsid w:val="000B06B9"/>
    <w:rsid w:val="000B1A91"/>
    <w:rsid w:val="000B623F"/>
    <w:rsid w:val="000C040B"/>
    <w:rsid w:val="000C19FD"/>
    <w:rsid w:val="000C3D5D"/>
    <w:rsid w:val="000C4E94"/>
    <w:rsid w:val="000D0955"/>
    <w:rsid w:val="000E2601"/>
    <w:rsid w:val="000E4A1A"/>
    <w:rsid w:val="000E4F6A"/>
    <w:rsid w:val="000E5EA9"/>
    <w:rsid w:val="000E6EB5"/>
    <w:rsid w:val="000F015D"/>
    <w:rsid w:val="000F1789"/>
    <w:rsid w:val="00100223"/>
    <w:rsid w:val="001015CA"/>
    <w:rsid w:val="001046C5"/>
    <w:rsid w:val="00105D2F"/>
    <w:rsid w:val="00107E23"/>
    <w:rsid w:val="00111C72"/>
    <w:rsid w:val="00112ADB"/>
    <w:rsid w:val="00113C1B"/>
    <w:rsid w:val="00122B10"/>
    <w:rsid w:val="00122D7A"/>
    <w:rsid w:val="00123242"/>
    <w:rsid w:val="00124EC4"/>
    <w:rsid w:val="0012552E"/>
    <w:rsid w:val="00127D45"/>
    <w:rsid w:val="00132348"/>
    <w:rsid w:val="00132B4F"/>
    <w:rsid w:val="00132FD5"/>
    <w:rsid w:val="001333EE"/>
    <w:rsid w:val="00134232"/>
    <w:rsid w:val="0013522F"/>
    <w:rsid w:val="001368BE"/>
    <w:rsid w:val="00142160"/>
    <w:rsid w:val="0014381A"/>
    <w:rsid w:val="00144A11"/>
    <w:rsid w:val="00144F2D"/>
    <w:rsid w:val="00145833"/>
    <w:rsid w:val="00145F40"/>
    <w:rsid w:val="0014603B"/>
    <w:rsid w:val="00150E9D"/>
    <w:rsid w:val="00151107"/>
    <w:rsid w:val="001528F5"/>
    <w:rsid w:val="001703C3"/>
    <w:rsid w:val="00171D4F"/>
    <w:rsid w:val="00172518"/>
    <w:rsid w:val="00177283"/>
    <w:rsid w:val="00182B17"/>
    <w:rsid w:val="001833CD"/>
    <w:rsid w:val="001836D7"/>
    <w:rsid w:val="00185833"/>
    <w:rsid w:val="00190FEA"/>
    <w:rsid w:val="00193904"/>
    <w:rsid w:val="00196142"/>
    <w:rsid w:val="001A0D94"/>
    <w:rsid w:val="001B05BF"/>
    <w:rsid w:val="001B1B2E"/>
    <w:rsid w:val="001B3B27"/>
    <w:rsid w:val="001B58B2"/>
    <w:rsid w:val="001C246D"/>
    <w:rsid w:val="001C36F0"/>
    <w:rsid w:val="001C7DB8"/>
    <w:rsid w:val="001D49B9"/>
    <w:rsid w:val="001D7C87"/>
    <w:rsid w:val="001E055A"/>
    <w:rsid w:val="001E1225"/>
    <w:rsid w:val="001E2BFF"/>
    <w:rsid w:val="001E3052"/>
    <w:rsid w:val="001F25F2"/>
    <w:rsid w:val="001F26DD"/>
    <w:rsid w:val="001F4D73"/>
    <w:rsid w:val="001F5990"/>
    <w:rsid w:val="001F7822"/>
    <w:rsid w:val="00201494"/>
    <w:rsid w:val="002127D4"/>
    <w:rsid w:val="00220A58"/>
    <w:rsid w:val="002223C5"/>
    <w:rsid w:val="0022519E"/>
    <w:rsid w:val="00227DFE"/>
    <w:rsid w:val="00242709"/>
    <w:rsid w:val="00244FC6"/>
    <w:rsid w:val="002479E9"/>
    <w:rsid w:val="00250166"/>
    <w:rsid w:val="00253DCB"/>
    <w:rsid w:val="00257609"/>
    <w:rsid w:val="002613C4"/>
    <w:rsid w:val="00261F7F"/>
    <w:rsid w:val="00266518"/>
    <w:rsid w:val="00266C10"/>
    <w:rsid w:val="002709F2"/>
    <w:rsid w:val="00274684"/>
    <w:rsid w:val="0027498E"/>
    <w:rsid w:val="00274C71"/>
    <w:rsid w:val="002833A6"/>
    <w:rsid w:val="00286743"/>
    <w:rsid w:val="0028728E"/>
    <w:rsid w:val="00287794"/>
    <w:rsid w:val="0029729F"/>
    <w:rsid w:val="002A1719"/>
    <w:rsid w:val="002A2D97"/>
    <w:rsid w:val="002A2E09"/>
    <w:rsid w:val="002A3B12"/>
    <w:rsid w:val="002A4188"/>
    <w:rsid w:val="002B4CCF"/>
    <w:rsid w:val="002B5318"/>
    <w:rsid w:val="002B58B5"/>
    <w:rsid w:val="002B654C"/>
    <w:rsid w:val="002C2BFC"/>
    <w:rsid w:val="002C328E"/>
    <w:rsid w:val="002C6988"/>
    <w:rsid w:val="002D54F5"/>
    <w:rsid w:val="002D6761"/>
    <w:rsid w:val="002E51F0"/>
    <w:rsid w:val="002E70B2"/>
    <w:rsid w:val="002F0401"/>
    <w:rsid w:val="002F0877"/>
    <w:rsid w:val="002F172A"/>
    <w:rsid w:val="002F2586"/>
    <w:rsid w:val="002F5DF0"/>
    <w:rsid w:val="002F76EA"/>
    <w:rsid w:val="002F79E7"/>
    <w:rsid w:val="00306D02"/>
    <w:rsid w:val="0030758F"/>
    <w:rsid w:val="003154E8"/>
    <w:rsid w:val="00315860"/>
    <w:rsid w:val="00316614"/>
    <w:rsid w:val="00320318"/>
    <w:rsid w:val="00320BA7"/>
    <w:rsid w:val="00326393"/>
    <w:rsid w:val="003352FA"/>
    <w:rsid w:val="00340457"/>
    <w:rsid w:val="00342B9F"/>
    <w:rsid w:val="00345BE2"/>
    <w:rsid w:val="00347F2F"/>
    <w:rsid w:val="003509CB"/>
    <w:rsid w:val="00350B16"/>
    <w:rsid w:val="00352B2F"/>
    <w:rsid w:val="00354CA8"/>
    <w:rsid w:val="0035757F"/>
    <w:rsid w:val="00362692"/>
    <w:rsid w:val="00363EB1"/>
    <w:rsid w:val="003640E7"/>
    <w:rsid w:val="00365F93"/>
    <w:rsid w:val="0036702E"/>
    <w:rsid w:val="00375699"/>
    <w:rsid w:val="00376336"/>
    <w:rsid w:val="00377660"/>
    <w:rsid w:val="0038050F"/>
    <w:rsid w:val="003805F3"/>
    <w:rsid w:val="003840CB"/>
    <w:rsid w:val="00384162"/>
    <w:rsid w:val="00384D53"/>
    <w:rsid w:val="00385660"/>
    <w:rsid w:val="00386AC3"/>
    <w:rsid w:val="00387BD6"/>
    <w:rsid w:val="003917A3"/>
    <w:rsid w:val="00393AA3"/>
    <w:rsid w:val="00395DF3"/>
    <w:rsid w:val="00396D32"/>
    <w:rsid w:val="003A3C1A"/>
    <w:rsid w:val="003B0CD5"/>
    <w:rsid w:val="003B2604"/>
    <w:rsid w:val="003B3490"/>
    <w:rsid w:val="003B34A5"/>
    <w:rsid w:val="003B3C63"/>
    <w:rsid w:val="003C0B92"/>
    <w:rsid w:val="003C4CE2"/>
    <w:rsid w:val="003C5BEB"/>
    <w:rsid w:val="003C7D4F"/>
    <w:rsid w:val="003C7F57"/>
    <w:rsid w:val="003D0027"/>
    <w:rsid w:val="003D1761"/>
    <w:rsid w:val="003D2CE1"/>
    <w:rsid w:val="003D31C9"/>
    <w:rsid w:val="003E164A"/>
    <w:rsid w:val="003E1799"/>
    <w:rsid w:val="003E28B1"/>
    <w:rsid w:val="003E78EE"/>
    <w:rsid w:val="003E7C1A"/>
    <w:rsid w:val="003F022A"/>
    <w:rsid w:val="003F36E6"/>
    <w:rsid w:val="003F69FB"/>
    <w:rsid w:val="00400137"/>
    <w:rsid w:val="0040302B"/>
    <w:rsid w:val="00403A7E"/>
    <w:rsid w:val="00406F6D"/>
    <w:rsid w:val="00411DF0"/>
    <w:rsid w:val="004204A1"/>
    <w:rsid w:val="0042174C"/>
    <w:rsid w:val="004224F3"/>
    <w:rsid w:val="0042545C"/>
    <w:rsid w:val="0042557D"/>
    <w:rsid w:val="00425ED7"/>
    <w:rsid w:val="0043347D"/>
    <w:rsid w:val="00433B2A"/>
    <w:rsid w:val="0043438E"/>
    <w:rsid w:val="00434816"/>
    <w:rsid w:val="00434E3E"/>
    <w:rsid w:val="004375F5"/>
    <w:rsid w:val="00452587"/>
    <w:rsid w:val="004558F2"/>
    <w:rsid w:val="00462631"/>
    <w:rsid w:val="00465B4E"/>
    <w:rsid w:val="0047317F"/>
    <w:rsid w:val="004738F2"/>
    <w:rsid w:val="00482377"/>
    <w:rsid w:val="00486318"/>
    <w:rsid w:val="0049033E"/>
    <w:rsid w:val="004906C0"/>
    <w:rsid w:val="00493F12"/>
    <w:rsid w:val="004A0E90"/>
    <w:rsid w:val="004A1937"/>
    <w:rsid w:val="004A5EFC"/>
    <w:rsid w:val="004A6F5C"/>
    <w:rsid w:val="004B0F56"/>
    <w:rsid w:val="004B1FB9"/>
    <w:rsid w:val="004B3503"/>
    <w:rsid w:val="004B3C00"/>
    <w:rsid w:val="004B63E4"/>
    <w:rsid w:val="004D01F2"/>
    <w:rsid w:val="004D1FB4"/>
    <w:rsid w:val="004D4452"/>
    <w:rsid w:val="004D5372"/>
    <w:rsid w:val="004E4B9F"/>
    <w:rsid w:val="004E6C64"/>
    <w:rsid w:val="004F0480"/>
    <w:rsid w:val="004F0E7E"/>
    <w:rsid w:val="004F12C5"/>
    <w:rsid w:val="004F20CB"/>
    <w:rsid w:val="004F7AA6"/>
    <w:rsid w:val="0050728B"/>
    <w:rsid w:val="005124D4"/>
    <w:rsid w:val="00515B78"/>
    <w:rsid w:val="00522919"/>
    <w:rsid w:val="0052338C"/>
    <w:rsid w:val="00523A34"/>
    <w:rsid w:val="005252CA"/>
    <w:rsid w:val="00530814"/>
    <w:rsid w:val="00533B7D"/>
    <w:rsid w:val="005411B8"/>
    <w:rsid w:val="005424B8"/>
    <w:rsid w:val="00547FB1"/>
    <w:rsid w:val="00552BA6"/>
    <w:rsid w:val="00553218"/>
    <w:rsid w:val="00553CD5"/>
    <w:rsid w:val="0055783B"/>
    <w:rsid w:val="0056405B"/>
    <w:rsid w:val="00570580"/>
    <w:rsid w:val="00574030"/>
    <w:rsid w:val="0057511C"/>
    <w:rsid w:val="00575295"/>
    <w:rsid w:val="0058259A"/>
    <w:rsid w:val="00587FA8"/>
    <w:rsid w:val="0059094E"/>
    <w:rsid w:val="0059382A"/>
    <w:rsid w:val="00594E2A"/>
    <w:rsid w:val="00597EA8"/>
    <w:rsid w:val="005A01AF"/>
    <w:rsid w:val="005A1216"/>
    <w:rsid w:val="005A225A"/>
    <w:rsid w:val="005A3430"/>
    <w:rsid w:val="005A40DF"/>
    <w:rsid w:val="005A72F1"/>
    <w:rsid w:val="005B1FC6"/>
    <w:rsid w:val="005C1FC6"/>
    <w:rsid w:val="005D4761"/>
    <w:rsid w:val="005E54C1"/>
    <w:rsid w:val="005F3BBD"/>
    <w:rsid w:val="005F46CB"/>
    <w:rsid w:val="005F5678"/>
    <w:rsid w:val="00600A9E"/>
    <w:rsid w:val="00601DB6"/>
    <w:rsid w:val="0060292F"/>
    <w:rsid w:val="00603E4C"/>
    <w:rsid w:val="00604409"/>
    <w:rsid w:val="0061283B"/>
    <w:rsid w:val="00612D72"/>
    <w:rsid w:val="00614BC5"/>
    <w:rsid w:val="00615593"/>
    <w:rsid w:val="00616BD9"/>
    <w:rsid w:val="00617B58"/>
    <w:rsid w:val="00620BF1"/>
    <w:rsid w:val="00621847"/>
    <w:rsid w:val="00621AE6"/>
    <w:rsid w:val="0062449A"/>
    <w:rsid w:val="00624BE0"/>
    <w:rsid w:val="00634E0C"/>
    <w:rsid w:val="00637197"/>
    <w:rsid w:val="00640F7C"/>
    <w:rsid w:val="006420CA"/>
    <w:rsid w:val="00643793"/>
    <w:rsid w:val="00646408"/>
    <w:rsid w:val="00646768"/>
    <w:rsid w:val="0065336B"/>
    <w:rsid w:val="00653386"/>
    <w:rsid w:val="006544D7"/>
    <w:rsid w:val="00655E79"/>
    <w:rsid w:val="00662497"/>
    <w:rsid w:val="00662D63"/>
    <w:rsid w:val="00663B48"/>
    <w:rsid w:val="006665CE"/>
    <w:rsid w:val="00666659"/>
    <w:rsid w:val="006666EE"/>
    <w:rsid w:val="0066742C"/>
    <w:rsid w:val="0067304E"/>
    <w:rsid w:val="006744A2"/>
    <w:rsid w:val="006746F9"/>
    <w:rsid w:val="0067656D"/>
    <w:rsid w:val="00682899"/>
    <w:rsid w:val="0069467F"/>
    <w:rsid w:val="00695DAE"/>
    <w:rsid w:val="00696031"/>
    <w:rsid w:val="006A1DE7"/>
    <w:rsid w:val="006B2218"/>
    <w:rsid w:val="006B4182"/>
    <w:rsid w:val="006B52F1"/>
    <w:rsid w:val="006C1FC3"/>
    <w:rsid w:val="006C5A4E"/>
    <w:rsid w:val="006D01FD"/>
    <w:rsid w:val="006D080D"/>
    <w:rsid w:val="006D0BE9"/>
    <w:rsid w:val="006D197D"/>
    <w:rsid w:val="006D4FC8"/>
    <w:rsid w:val="006D5536"/>
    <w:rsid w:val="006D59AB"/>
    <w:rsid w:val="006D790E"/>
    <w:rsid w:val="006E0013"/>
    <w:rsid w:val="006E0A99"/>
    <w:rsid w:val="006E3DD2"/>
    <w:rsid w:val="006F0262"/>
    <w:rsid w:val="006F0784"/>
    <w:rsid w:val="006F2601"/>
    <w:rsid w:val="006F7C8E"/>
    <w:rsid w:val="007001F8"/>
    <w:rsid w:val="00700797"/>
    <w:rsid w:val="007025D4"/>
    <w:rsid w:val="0070752E"/>
    <w:rsid w:val="00707728"/>
    <w:rsid w:val="00707FE8"/>
    <w:rsid w:val="00714952"/>
    <w:rsid w:val="00722939"/>
    <w:rsid w:val="007258A4"/>
    <w:rsid w:val="007510AC"/>
    <w:rsid w:val="007536A6"/>
    <w:rsid w:val="0075772F"/>
    <w:rsid w:val="00762206"/>
    <w:rsid w:val="00762B98"/>
    <w:rsid w:val="007632A6"/>
    <w:rsid w:val="00763C64"/>
    <w:rsid w:val="00767143"/>
    <w:rsid w:val="0076764C"/>
    <w:rsid w:val="00772F28"/>
    <w:rsid w:val="0077354F"/>
    <w:rsid w:val="00774678"/>
    <w:rsid w:val="00775E33"/>
    <w:rsid w:val="007764C4"/>
    <w:rsid w:val="007778E7"/>
    <w:rsid w:val="00792B07"/>
    <w:rsid w:val="00793118"/>
    <w:rsid w:val="00794943"/>
    <w:rsid w:val="007A179B"/>
    <w:rsid w:val="007A5730"/>
    <w:rsid w:val="007B0CF6"/>
    <w:rsid w:val="007B1045"/>
    <w:rsid w:val="007B2A2B"/>
    <w:rsid w:val="007B2AD4"/>
    <w:rsid w:val="007C2F81"/>
    <w:rsid w:val="007C72F3"/>
    <w:rsid w:val="007D1747"/>
    <w:rsid w:val="007D4EA9"/>
    <w:rsid w:val="007D7039"/>
    <w:rsid w:val="007D7DE0"/>
    <w:rsid w:val="007E2F07"/>
    <w:rsid w:val="007E35EA"/>
    <w:rsid w:val="007E5FF3"/>
    <w:rsid w:val="007E7FBD"/>
    <w:rsid w:val="007F1D5C"/>
    <w:rsid w:val="007F74A9"/>
    <w:rsid w:val="007F7BE8"/>
    <w:rsid w:val="00801979"/>
    <w:rsid w:val="008026A2"/>
    <w:rsid w:val="0080627B"/>
    <w:rsid w:val="00806569"/>
    <w:rsid w:val="00807D92"/>
    <w:rsid w:val="00815332"/>
    <w:rsid w:val="008154EB"/>
    <w:rsid w:val="00815F1F"/>
    <w:rsid w:val="0081698A"/>
    <w:rsid w:val="0082482B"/>
    <w:rsid w:val="00825B36"/>
    <w:rsid w:val="00831BB3"/>
    <w:rsid w:val="0083304C"/>
    <w:rsid w:val="00833CD1"/>
    <w:rsid w:val="0083451E"/>
    <w:rsid w:val="0084147C"/>
    <w:rsid w:val="008425AD"/>
    <w:rsid w:val="00845D23"/>
    <w:rsid w:val="008569A8"/>
    <w:rsid w:val="008577BC"/>
    <w:rsid w:val="00862838"/>
    <w:rsid w:val="008629B5"/>
    <w:rsid w:val="00863EBE"/>
    <w:rsid w:val="0086480A"/>
    <w:rsid w:val="00865083"/>
    <w:rsid w:val="008653A6"/>
    <w:rsid w:val="00866262"/>
    <w:rsid w:val="008676DA"/>
    <w:rsid w:val="008714EC"/>
    <w:rsid w:val="00873785"/>
    <w:rsid w:val="008738E5"/>
    <w:rsid w:val="00877DA5"/>
    <w:rsid w:val="00880F3E"/>
    <w:rsid w:val="008857BE"/>
    <w:rsid w:val="008948E0"/>
    <w:rsid w:val="00896560"/>
    <w:rsid w:val="008969D4"/>
    <w:rsid w:val="008B08C4"/>
    <w:rsid w:val="008B5DB3"/>
    <w:rsid w:val="008C22AB"/>
    <w:rsid w:val="008C684A"/>
    <w:rsid w:val="008D0D58"/>
    <w:rsid w:val="008D17F7"/>
    <w:rsid w:val="008D4190"/>
    <w:rsid w:val="008D7F12"/>
    <w:rsid w:val="008E1A70"/>
    <w:rsid w:val="008F5BC1"/>
    <w:rsid w:val="008F5C0B"/>
    <w:rsid w:val="008F5E63"/>
    <w:rsid w:val="008F5FE8"/>
    <w:rsid w:val="009060D4"/>
    <w:rsid w:val="00910234"/>
    <w:rsid w:val="00910B97"/>
    <w:rsid w:val="0091373D"/>
    <w:rsid w:val="00915083"/>
    <w:rsid w:val="00915DE2"/>
    <w:rsid w:val="00922FA1"/>
    <w:rsid w:val="00925ACF"/>
    <w:rsid w:val="00926D04"/>
    <w:rsid w:val="00927AE5"/>
    <w:rsid w:val="00931822"/>
    <w:rsid w:val="0093482A"/>
    <w:rsid w:val="00935932"/>
    <w:rsid w:val="009425F4"/>
    <w:rsid w:val="0094548E"/>
    <w:rsid w:val="009544D3"/>
    <w:rsid w:val="009553EE"/>
    <w:rsid w:val="00956BC8"/>
    <w:rsid w:val="009577C5"/>
    <w:rsid w:val="00961BD8"/>
    <w:rsid w:val="0096495D"/>
    <w:rsid w:val="00965074"/>
    <w:rsid w:val="00967278"/>
    <w:rsid w:val="0096747E"/>
    <w:rsid w:val="0097078D"/>
    <w:rsid w:val="00970CA0"/>
    <w:rsid w:val="0098007B"/>
    <w:rsid w:val="00980134"/>
    <w:rsid w:val="00980FC3"/>
    <w:rsid w:val="009811F6"/>
    <w:rsid w:val="00991A7F"/>
    <w:rsid w:val="00995C45"/>
    <w:rsid w:val="0099718B"/>
    <w:rsid w:val="009A34F7"/>
    <w:rsid w:val="009B0B8C"/>
    <w:rsid w:val="009B1114"/>
    <w:rsid w:val="009B11B7"/>
    <w:rsid w:val="009B64AC"/>
    <w:rsid w:val="009B7247"/>
    <w:rsid w:val="009B7C44"/>
    <w:rsid w:val="009C19C6"/>
    <w:rsid w:val="009C1DFF"/>
    <w:rsid w:val="009C2AF5"/>
    <w:rsid w:val="009D14C4"/>
    <w:rsid w:val="009D40FC"/>
    <w:rsid w:val="009E3AC4"/>
    <w:rsid w:val="009E7988"/>
    <w:rsid w:val="009F0B2F"/>
    <w:rsid w:val="009F4224"/>
    <w:rsid w:val="009F6277"/>
    <w:rsid w:val="009F78A9"/>
    <w:rsid w:val="009F7B94"/>
    <w:rsid w:val="00A003FB"/>
    <w:rsid w:val="00A00B07"/>
    <w:rsid w:val="00A04133"/>
    <w:rsid w:val="00A07465"/>
    <w:rsid w:val="00A135E8"/>
    <w:rsid w:val="00A2396E"/>
    <w:rsid w:val="00A25A55"/>
    <w:rsid w:val="00A305F2"/>
    <w:rsid w:val="00A34A67"/>
    <w:rsid w:val="00A364B9"/>
    <w:rsid w:val="00A410D2"/>
    <w:rsid w:val="00A437EF"/>
    <w:rsid w:val="00A46F3F"/>
    <w:rsid w:val="00A476F6"/>
    <w:rsid w:val="00A5079D"/>
    <w:rsid w:val="00A512C5"/>
    <w:rsid w:val="00A51EF3"/>
    <w:rsid w:val="00A52F89"/>
    <w:rsid w:val="00A54E0C"/>
    <w:rsid w:val="00A6100B"/>
    <w:rsid w:val="00A67E1C"/>
    <w:rsid w:val="00A7041A"/>
    <w:rsid w:val="00A721F4"/>
    <w:rsid w:val="00A774DC"/>
    <w:rsid w:val="00A77FF5"/>
    <w:rsid w:val="00A8173C"/>
    <w:rsid w:val="00A84112"/>
    <w:rsid w:val="00A85773"/>
    <w:rsid w:val="00A85AA5"/>
    <w:rsid w:val="00A86CB8"/>
    <w:rsid w:val="00A92213"/>
    <w:rsid w:val="00A94374"/>
    <w:rsid w:val="00A95A3E"/>
    <w:rsid w:val="00A97867"/>
    <w:rsid w:val="00A97C73"/>
    <w:rsid w:val="00AA06DD"/>
    <w:rsid w:val="00AA0DE3"/>
    <w:rsid w:val="00AA2050"/>
    <w:rsid w:val="00AA3C14"/>
    <w:rsid w:val="00AA4855"/>
    <w:rsid w:val="00AA6C55"/>
    <w:rsid w:val="00AA6D3C"/>
    <w:rsid w:val="00AA7279"/>
    <w:rsid w:val="00AA7DE1"/>
    <w:rsid w:val="00AB3BDE"/>
    <w:rsid w:val="00AB49FD"/>
    <w:rsid w:val="00AC2839"/>
    <w:rsid w:val="00AC7F5B"/>
    <w:rsid w:val="00AD2258"/>
    <w:rsid w:val="00AD230F"/>
    <w:rsid w:val="00AD4088"/>
    <w:rsid w:val="00AD582C"/>
    <w:rsid w:val="00AD698D"/>
    <w:rsid w:val="00AD6BBB"/>
    <w:rsid w:val="00AE0191"/>
    <w:rsid w:val="00AE0C86"/>
    <w:rsid w:val="00AE1664"/>
    <w:rsid w:val="00AE1759"/>
    <w:rsid w:val="00AE21CF"/>
    <w:rsid w:val="00AE2A30"/>
    <w:rsid w:val="00AE33A2"/>
    <w:rsid w:val="00AE51F2"/>
    <w:rsid w:val="00AE669B"/>
    <w:rsid w:val="00AE7BA5"/>
    <w:rsid w:val="00AF0C7A"/>
    <w:rsid w:val="00AF33EB"/>
    <w:rsid w:val="00B00FE0"/>
    <w:rsid w:val="00B121BB"/>
    <w:rsid w:val="00B138D7"/>
    <w:rsid w:val="00B16A48"/>
    <w:rsid w:val="00B21F2F"/>
    <w:rsid w:val="00B232AB"/>
    <w:rsid w:val="00B25428"/>
    <w:rsid w:val="00B25586"/>
    <w:rsid w:val="00B2646E"/>
    <w:rsid w:val="00B30AB6"/>
    <w:rsid w:val="00B3396C"/>
    <w:rsid w:val="00B34579"/>
    <w:rsid w:val="00B36D4A"/>
    <w:rsid w:val="00B37C1C"/>
    <w:rsid w:val="00B40075"/>
    <w:rsid w:val="00B4009D"/>
    <w:rsid w:val="00B40A2A"/>
    <w:rsid w:val="00B42493"/>
    <w:rsid w:val="00B436B8"/>
    <w:rsid w:val="00B43A39"/>
    <w:rsid w:val="00B4444E"/>
    <w:rsid w:val="00B449B8"/>
    <w:rsid w:val="00B46618"/>
    <w:rsid w:val="00B472CB"/>
    <w:rsid w:val="00B47854"/>
    <w:rsid w:val="00B50202"/>
    <w:rsid w:val="00B67827"/>
    <w:rsid w:val="00B73168"/>
    <w:rsid w:val="00B75565"/>
    <w:rsid w:val="00B83B88"/>
    <w:rsid w:val="00B87293"/>
    <w:rsid w:val="00B87736"/>
    <w:rsid w:val="00B94968"/>
    <w:rsid w:val="00B96692"/>
    <w:rsid w:val="00B9752F"/>
    <w:rsid w:val="00B97592"/>
    <w:rsid w:val="00B976F0"/>
    <w:rsid w:val="00BA2CF2"/>
    <w:rsid w:val="00BA3314"/>
    <w:rsid w:val="00BA77E8"/>
    <w:rsid w:val="00BA7A23"/>
    <w:rsid w:val="00BB3D95"/>
    <w:rsid w:val="00BB551D"/>
    <w:rsid w:val="00BB5C74"/>
    <w:rsid w:val="00BB7117"/>
    <w:rsid w:val="00BC1D59"/>
    <w:rsid w:val="00BD15C3"/>
    <w:rsid w:val="00BD20B8"/>
    <w:rsid w:val="00BD6828"/>
    <w:rsid w:val="00BD6A71"/>
    <w:rsid w:val="00BD77CB"/>
    <w:rsid w:val="00BE15D5"/>
    <w:rsid w:val="00BE1E4C"/>
    <w:rsid w:val="00BE2756"/>
    <w:rsid w:val="00BE707B"/>
    <w:rsid w:val="00BF0380"/>
    <w:rsid w:val="00BF2483"/>
    <w:rsid w:val="00BF2539"/>
    <w:rsid w:val="00BF3B2C"/>
    <w:rsid w:val="00BF65B0"/>
    <w:rsid w:val="00BF6C92"/>
    <w:rsid w:val="00BF6E7E"/>
    <w:rsid w:val="00C00605"/>
    <w:rsid w:val="00C00B40"/>
    <w:rsid w:val="00C02408"/>
    <w:rsid w:val="00C0596D"/>
    <w:rsid w:val="00C068B3"/>
    <w:rsid w:val="00C13203"/>
    <w:rsid w:val="00C13E06"/>
    <w:rsid w:val="00C14141"/>
    <w:rsid w:val="00C20109"/>
    <w:rsid w:val="00C20E43"/>
    <w:rsid w:val="00C24A49"/>
    <w:rsid w:val="00C25892"/>
    <w:rsid w:val="00C26B36"/>
    <w:rsid w:val="00C27B75"/>
    <w:rsid w:val="00C27EC4"/>
    <w:rsid w:val="00C3057F"/>
    <w:rsid w:val="00C312F4"/>
    <w:rsid w:val="00C314CD"/>
    <w:rsid w:val="00C32783"/>
    <w:rsid w:val="00C32F91"/>
    <w:rsid w:val="00C350B6"/>
    <w:rsid w:val="00C40462"/>
    <w:rsid w:val="00C4249A"/>
    <w:rsid w:val="00C42A93"/>
    <w:rsid w:val="00C50418"/>
    <w:rsid w:val="00C51640"/>
    <w:rsid w:val="00C516C6"/>
    <w:rsid w:val="00C52E3C"/>
    <w:rsid w:val="00C5647A"/>
    <w:rsid w:val="00C62F58"/>
    <w:rsid w:val="00C6517E"/>
    <w:rsid w:val="00C721CD"/>
    <w:rsid w:val="00C766CA"/>
    <w:rsid w:val="00C76B5F"/>
    <w:rsid w:val="00C7716C"/>
    <w:rsid w:val="00C77253"/>
    <w:rsid w:val="00C82B78"/>
    <w:rsid w:val="00C85AC0"/>
    <w:rsid w:val="00C87438"/>
    <w:rsid w:val="00C9044C"/>
    <w:rsid w:val="00C91EF8"/>
    <w:rsid w:val="00C92AC5"/>
    <w:rsid w:val="00CA6865"/>
    <w:rsid w:val="00CB2E55"/>
    <w:rsid w:val="00CB3F77"/>
    <w:rsid w:val="00CB520E"/>
    <w:rsid w:val="00CD27F2"/>
    <w:rsid w:val="00CD3561"/>
    <w:rsid w:val="00CD377B"/>
    <w:rsid w:val="00CD77B6"/>
    <w:rsid w:val="00CE16C4"/>
    <w:rsid w:val="00CE4BE5"/>
    <w:rsid w:val="00CE5926"/>
    <w:rsid w:val="00CF06DF"/>
    <w:rsid w:val="00CF2D0B"/>
    <w:rsid w:val="00CF37A2"/>
    <w:rsid w:val="00CF4E63"/>
    <w:rsid w:val="00CF656D"/>
    <w:rsid w:val="00CF7E9B"/>
    <w:rsid w:val="00D00536"/>
    <w:rsid w:val="00D01676"/>
    <w:rsid w:val="00D065E4"/>
    <w:rsid w:val="00D139B8"/>
    <w:rsid w:val="00D13C19"/>
    <w:rsid w:val="00D165C0"/>
    <w:rsid w:val="00D16893"/>
    <w:rsid w:val="00D16928"/>
    <w:rsid w:val="00D211AB"/>
    <w:rsid w:val="00D21B06"/>
    <w:rsid w:val="00D23225"/>
    <w:rsid w:val="00D34CC9"/>
    <w:rsid w:val="00D36866"/>
    <w:rsid w:val="00D36F7A"/>
    <w:rsid w:val="00D414D8"/>
    <w:rsid w:val="00D428E9"/>
    <w:rsid w:val="00D440B9"/>
    <w:rsid w:val="00D527D6"/>
    <w:rsid w:val="00D52E00"/>
    <w:rsid w:val="00D5669E"/>
    <w:rsid w:val="00D57282"/>
    <w:rsid w:val="00D602AF"/>
    <w:rsid w:val="00D60CA8"/>
    <w:rsid w:val="00D61185"/>
    <w:rsid w:val="00D635D4"/>
    <w:rsid w:val="00D66965"/>
    <w:rsid w:val="00D67F51"/>
    <w:rsid w:val="00D708F6"/>
    <w:rsid w:val="00D75C9D"/>
    <w:rsid w:val="00D76214"/>
    <w:rsid w:val="00D80A32"/>
    <w:rsid w:val="00D80DE1"/>
    <w:rsid w:val="00D8266D"/>
    <w:rsid w:val="00D85837"/>
    <w:rsid w:val="00D859CF"/>
    <w:rsid w:val="00D92F8E"/>
    <w:rsid w:val="00D9446F"/>
    <w:rsid w:val="00DA087F"/>
    <w:rsid w:val="00DA137E"/>
    <w:rsid w:val="00DA3F1A"/>
    <w:rsid w:val="00DA41A4"/>
    <w:rsid w:val="00DA645C"/>
    <w:rsid w:val="00DA7966"/>
    <w:rsid w:val="00DB0E35"/>
    <w:rsid w:val="00DB2961"/>
    <w:rsid w:val="00DB48F2"/>
    <w:rsid w:val="00DB5117"/>
    <w:rsid w:val="00DB5A46"/>
    <w:rsid w:val="00DB7799"/>
    <w:rsid w:val="00DB7AB6"/>
    <w:rsid w:val="00DB7C2D"/>
    <w:rsid w:val="00DC0A47"/>
    <w:rsid w:val="00DC1770"/>
    <w:rsid w:val="00DC26CA"/>
    <w:rsid w:val="00DC3561"/>
    <w:rsid w:val="00DD2612"/>
    <w:rsid w:val="00DD7103"/>
    <w:rsid w:val="00DE1748"/>
    <w:rsid w:val="00DE3B7A"/>
    <w:rsid w:val="00DE4FC2"/>
    <w:rsid w:val="00DE6587"/>
    <w:rsid w:val="00DF00B2"/>
    <w:rsid w:val="00DF0596"/>
    <w:rsid w:val="00DF38A4"/>
    <w:rsid w:val="00DF7F2D"/>
    <w:rsid w:val="00E01CFD"/>
    <w:rsid w:val="00E064D5"/>
    <w:rsid w:val="00E0796C"/>
    <w:rsid w:val="00E16C50"/>
    <w:rsid w:val="00E21B13"/>
    <w:rsid w:val="00E237B5"/>
    <w:rsid w:val="00E25200"/>
    <w:rsid w:val="00E27DFB"/>
    <w:rsid w:val="00E308C8"/>
    <w:rsid w:val="00E30EEF"/>
    <w:rsid w:val="00E34987"/>
    <w:rsid w:val="00E36A49"/>
    <w:rsid w:val="00E405BD"/>
    <w:rsid w:val="00E434C7"/>
    <w:rsid w:val="00E46CB3"/>
    <w:rsid w:val="00E50031"/>
    <w:rsid w:val="00E51086"/>
    <w:rsid w:val="00E52345"/>
    <w:rsid w:val="00E525B9"/>
    <w:rsid w:val="00E56210"/>
    <w:rsid w:val="00E603D8"/>
    <w:rsid w:val="00E61C40"/>
    <w:rsid w:val="00E64F95"/>
    <w:rsid w:val="00E65166"/>
    <w:rsid w:val="00E65BEA"/>
    <w:rsid w:val="00E66381"/>
    <w:rsid w:val="00E66460"/>
    <w:rsid w:val="00E70DAA"/>
    <w:rsid w:val="00E73119"/>
    <w:rsid w:val="00E754B9"/>
    <w:rsid w:val="00E75527"/>
    <w:rsid w:val="00E75996"/>
    <w:rsid w:val="00E80D4E"/>
    <w:rsid w:val="00E82ADE"/>
    <w:rsid w:val="00E82AE4"/>
    <w:rsid w:val="00E85E42"/>
    <w:rsid w:val="00EA12DA"/>
    <w:rsid w:val="00EA319E"/>
    <w:rsid w:val="00EA366F"/>
    <w:rsid w:val="00EA5179"/>
    <w:rsid w:val="00EA5B9E"/>
    <w:rsid w:val="00EA7B32"/>
    <w:rsid w:val="00EB1834"/>
    <w:rsid w:val="00EB1890"/>
    <w:rsid w:val="00EB2BFB"/>
    <w:rsid w:val="00EB45D6"/>
    <w:rsid w:val="00EB7DF4"/>
    <w:rsid w:val="00EC2AD2"/>
    <w:rsid w:val="00EC3EC3"/>
    <w:rsid w:val="00ED020D"/>
    <w:rsid w:val="00ED16D4"/>
    <w:rsid w:val="00ED21C1"/>
    <w:rsid w:val="00ED44A6"/>
    <w:rsid w:val="00ED45AF"/>
    <w:rsid w:val="00ED4EA7"/>
    <w:rsid w:val="00ED51AD"/>
    <w:rsid w:val="00ED53AF"/>
    <w:rsid w:val="00ED67EE"/>
    <w:rsid w:val="00EE17B4"/>
    <w:rsid w:val="00EE4B31"/>
    <w:rsid w:val="00EE5792"/>
    <w:rsid w:val="00EF1225"/>
    <w:rsid w:val="00EF6A19"/>
    <w:rsid w:val="00EF73B8"/>
    <w:rsid w:val="00F020FE"/>
    <w:rsid w:val="00F024B5"/>
    <w:rsid w:val="00F03602"/>
    <w:rsid w:val="00F036C2"/>
    <w:rsid w:val="00F057CE"/>
    <w:rsid w:val="00F11964"/>
    <w:rsid w:val="00F16108"/>
    <w:rsid w:val="00F261A3"/>
    <w:rsid w:val="00F33C3D"/>
    <w:rsid w:val="00F3531F"/>
    <w:rsid w:val="00F36588"/>
    <w:rsid w:val="00F378AB"/>
    <w:rsid w:val="00F41CCC"/>
    <w:rsid w:val="00F42E0C"/>
    <w:rsid w:val="00F50C95"/>
    <w:rsid w:val="00F53152"/>
    <w:rsid w:val="00F551DD"/>
    <w:rsid w:val="00F66838"/>
    <w:rsid w:val="00F66886"/>
    <w:rsid w:val="00F67C57"/>
    <w:rsid w:val="00F72864"/>
    <w:rsid w:val="00F76E1E"/>
    <w:rsid w:val="00F770E8"/>
    <w:rsid w:val="00F77723"/>
    <w:rsid w:val="00F821B4"/>
    <w:rsid w:val="00F85D63"/>
    <w:rsid w:val="00F87F2F"/>
    <w:rsid w:val="00F94473"/>
    <w:rsid w:val="00FA0B2A"/>
    <w:rsid w:val="00FA2D38"/>
    <w:rsid w:val="00FA6901"/>
    <w:rsid w:val="00FB1245"/>
    <w:rsid w:val="00FC15BC"/>
    <w:rsid w:val="00FC5F91"/>
    <w:rsid w:val="00FC692E"/>
    <w:rsid w:val="00FD0E47"/>
    <w:rsid w:val="00FE0E27"/>
    <w:rsid w:val="00FE0F89"/>
    <w:rsid w:val="00FE500C"/>
    <w:rsid w:val="00FE77E7"/>
    <w:rsid w:val="00FE7AD2"/>
    <w:rsid w:val="00FF0400"/>
    <w:rsid w:val="00FF4DBF"/>
    <w:rsid w:val="00FF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F0D0"/>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character" w:styleId="Mencinsinresolver">
    <w:name w:val="Unresolved Mention"/>
    <w:basedOn w:val="Fuentedeprrafopredeter"/>
    <w:uiPriority w:val="99"/>
    <w:semiHidden/>
    <w:unhideWhenUsed/>
    <w:rsid w:val="00E36A49"/>
    <w:rPr>
      <w:color w:val="605E5C"/>
      <w:shd w:val="clear" w:color="auto" w:fill="E1DFDD"/>
    </w:rPr>
  </w:style>
  <w:style w:type="character" w:customStyle="1" w:styleId="SinespaciadoCar">
    <w:name w:val="Sin espaciado Car"/>
    <w:link w:val="Sinespaciado"/>
    <w:uiPriority w:val="1"/>
    <w:locked/>
    <w:rsid w:val="00CF656D"/>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3541F-A109-42DA-940A-13752708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2988</Words>
  <Characters>16434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105</cp:revision>
  <cp:lastPrinted>2020-02-25T12:17:00Z</cp:lastPrinted>
  <dcterms:created xsi:type="dcterms:W3CDTF">2021-09-15T13:53:00Z</dcterms:created>
  <dcterms:modified xsi:type="dcterms:W3CDTF">2022-02-26T17:08:00Z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