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4244" w14:textId="77777777" w:rsidR="002A4CEC" w:rsidRPr="002A4CEC" w:rsidRDefault="002A4CEC" w:rsidP="002A4CE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2A4CE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DEF675" w14:textId="77777777" w:rsidR="002A4CEC" w:rsidRPr="002A4CEC" w:rsidRDefault="002A4CEC" w:rsidP="002A4CEC">
      <w:pPr>
        <w:overflowPunct/>
        <w:autoSpaceDE/>
        <w:autoSpaceDN/>
        <w:adjustRightInd/>
        <w:jc w:val="both"/>
        <w:rPr>
          <w:rFonts w:ascii="Arial" w:eastAsia="Times New Roman" w:hAnsi="Arial" w:cs="Arial"/>
          <w:lang w:val="es-419"/>
        </w:rPr>
      </w:pPr>
    </w:p>
    <w:p w14:paraId="76A1B27A" w14:textId="343FB30D" w:rsidR="002A4CEC" w:rsidRPr="002A4CEC" w:rsidRDefault="008D678B" w:rsidP="002A4CEC">
      <w:pPr>
        <w:overflowPunct/>
        <w:autoSpaceDE/>
        <w:autoSpaceDN/>
        <w:adjustRightInd/>
        <w:jc w:val="both"/>
        <w:rPr>
          <w:rFonts w:ascii="Arial" w:eastAsia="Times New Roman" w:hAnsi="Arial" w:cs="Arial"/>
          <w:b/>
          <w:bCs/>
          <w:iCs/>
          <w:lang w:val="es-419" w:eastAsia="fr-FR"/>
        </w:rPr>
      </w:pPr>
      <w:r w:rsidRPr="002A4CEC">
        <w:rPr>
          <w:rFonts w:ascii="Arial" w:eastAsia="Times New Roman" w:hAnsi="Arial" w:cs="Arial"/>
          <w:b/>
          <w:bCs/>
          <w:iCs/>
          <w:u w:val="single"/>
          <w:lang w:val="es-419" w:eastAsia="fr-FR"/>
        </w:rPr>
        <w:t>TEMAS:</w:t>
      </w:r>
      <w:r w:rsidRPr="002A4CEC">
        <w:rPr>
          <w:rFonts w:ascii="Arial" w:eastAsia="Times New Roman" w:hAnsi="Arial" w:cs="Arial"/>
          <w:b/>
          <w:bCs/>
          <w:iCs/>
          <w:lang w:val="es-419" w:eastAsia="fr-FR"/>
        </w:rPr>
        <w:tab/>
      </w:r>
      <w:r>
        <w:rPr>
          <w:rFonts w:ascii="Arial" w:eastAsia="Times New Roman" w:hAnsi="Arial" w:cs="Arial"/>
          <w:b/>
          <w:bCs/>
          <w:iCs/>
          <w:lang w:val="es-419" w:eastAsia="fr-FR"/>
        </w:rPr>
        <w:t>DEBIDO PROCESO ADMINISTRATIVO / DEBE CUMPLIRSE EN LA CALIFICACIÓN DE PÉRDIDA DE CAPACIDAD LABORAL / PROCEDENCIA EXCEPCIONAL DE LA TUTELA / REQUISITOS.</w:t>
      </w:r>
    </w:p>
    <w:p w14:paraId="3448F991" w14:textId="77777777" w:rsidR="002A4CEC" w:rsidRPr="002A4CEC" w:rsidRDefault="002A4CEC" w:rsidP="002A4CEC">
      <w:pPr>
        <w:overflowPunct/>
        <w:autoSpaceDE/>
        <w:autoSpaceDN/>
        <w:adjustRightInd/>
        <w:jc w:val="both"/>
        <w:rPr>
          <w:rFonts w:ascii="Arial" w:eastAsia="Times New Roman" w:hAnsi="Arial" w:cs="Arial"/>
          <w:lang w:val="es-419"/>
        </w:rPr>
      </w:pPr>
    </w:p>
    <w:p w14:paraId="6E9B0444" w14:textId="164AA596" w:rsidR="002A4CEC" w:rsidRPr="002A4CEC" w:rsidRDefault="00872FD9" w:rsidP="002A4CEC">
      <w:pPr>
        <w:overflowPunct/>
        <w:autoSpaceDE/>
        <w:autoSpaceDN/>
        <w:adjustRightInd/>
        <w:jc w:val="both"/>
        <w:rPr>
          <w:rFonts w:ascii="Arial" w:eastAsia="Times New Roman" w:hAnsi="Arial" w:cs="Arial"/>
          <w:lang w:val="es-419"/>
        </w:rPr>
      </w:pPr>
      <w:r w:rsidRPr="00872FD9">
        <w:rPr>
          <w:rFonts w:ascii="Arial" w:eastAsia="Times New Roman" w:hAnsi="Arial" w:cs="Arial"/>
          <w:lang w:val="es-419"/>
        </w:rPr>
        <w:t>De cara al estudio del requisito de subsidiariedad, es necesario advertir que si bien las controversias respecto a las calificaciones de pérdida de capacidad laboral, concretamente en lo que tiene que ver con los análisis fácticos, probatorios, técnicos o jurídicos, deben ser ventiladas ante la jurisdicción ordinaria laboral, la jurisprudencia constitucional ha trazado eventos de excepción a esa regla general. Estos, básicamente, se resumen a casos en los cuales los mecanismos ordinarios de defensa no se tornan en idóneos ni eficaces para garantizar la protección de los derechos presuntamente vulnerados o amenazados; o cuando se requiere el amparo constitucional como mecanismo transitorio, pues, de lo contrario, el actor se vería frente a la ocurrencia inminente de un perjuicio irremediable frente a sus derechos fundamentales</w:t>
      </w:r>
      <w:r>
        <w:rPr>
          <w:rFonts w:ascii="Arial" w:eastAsia="Times New Roman" w:hAnsi="Arial" w:cs="Arial"/>
          <w:lang w:val="es-419"/>
        </w:rPr>
        <w:t>…</w:t>
      </w:r>
    </w:p>
    <w:p w14:paraId="4BFFA7AD" w14:textId="77777777" w:rsidR="002A4CEC" w:rsidRPr="002A4CEC" w:rsidRDefault="002A4CEC" w:rsidP="002A4CEC">
      <w:pPr>
        <w:overflowPunct/>
        <w:autoSpaceDE/>
        <w:autoSpaceDN/>
        <w:adjustRightInd/>
        <w:jc w:val="both"/>
        <w:rPr>
          <w:rFonts w:ascii="Arial" w:eastAsia="Times New Roman" w:hAnsi="Arial" w:cs="Arial"/>
          <w:lang w:val="es-419"/>
        </w:rPr>
      </w:pPr>
    </w:p>
    <w:p w14:paraId="29D0852B" w14:textId="2AB324E5" w:rsidR="002A4CEC" w:rsidRPr="002A4CEC" w:rsidRDefault="00290955" w:rsidP="002A4CEC">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290955">
        <w:rPr>
          <w:rFonts w:ascii="Arial" w:eastAsia="Times New Roman" w:hAnsi="Arial" w:cs="Arial"/>
          <w:lang w:val="es-419"/>
        </w:rPr>
        <w:t>destaca la Sala que en el sub judice la cuestión pasa por la vulneración del derecho fundamental al debido proceso ante deficiencias de motivación que presenta el dictamen cuestionado, asunto eminentemente constitucional frente a lo cual no luce eficaz el medio de defensa judicial establecido ante el juez laboral; por el contrario, dificulta su ejercicio, pues el dictamen debe contar “con una motivación científica susceptible de ser controvertida ante la justicia laboral”</w:t>
      </w:r>
      <w:r>
        <w:rPr>
          <w:rFonts w:ascii="Arial" w:eastAsia="Times New Roman" w:hAnsi="Arial" w:cs="Arial"/>
          <w:lang w:val="es-419"/>
        </w:rPr>
        <w:t xml:space="preserve"> …</w:t>
      </w:r>
    </w:p>
    <w:p w14:paraId="3F919CFC" w14:textId="0DD6E4E6" w:rsidR="002A4CEC" w:rsidRDefault="002A4CEC" w:rsidP="002A4CEC">
      <w:pPr>
        <w:overflowPunct/>
        <w:autoSpaceDE/>
        <w:autoSpaceDN/>
        <w:adjustRightInd/>
        <w:jc w:val="both"/>
        <w:rPr>
          <w:rFonts w:ascii="Arial" w:eastAsia="Times New Roman" w:hAnsi="Arial" w:cs="Arial"/>
          <w:lang w:val="es-419"/>
        </w:rPr>
      </w:pPr>
    </w:p>
    <w:p w14:paraId="0817F285" w14:textId="59555074" w:rsidR="00290955" w:rsidRDefault="00290955" w:rsidP="002A4CEC">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290955">
        <w:rPr>
          <w:rFonts w:ascii="Arial" w:eastAsia="Times New Roman" w:hAnsi="Arial" w:cs="Arial"/>
          <w:lang w:val="es-419"/>
        </w:rPr>
        <w:t xml:space="preserve">hay que señalar que la jurisprudencia constitucional también ha sido clara en indicar que las decisiones que se adopten en el marco de procedimientos de calificación de la pérdida de la capacidad laboral, deben cumplir con los estándares del debido proceso administrativo, siendo </w:t>
      </w:r>
      <w:proofErr w:type="spellStart"/>
      <w:r w:rsidRPr="00290955">
        <w:rPr>
          <w:rFonts w:ascii="Arial" w:eastAsia="Times New Roman" w:hAnsi="Arial" w:cs="Arial"/>
          <w:lang w:val="es-419"/>
        </w:rPr>
        <w:t>unos</w:t>
      </w:r>
      <w:proofErr w:type="spellEnd"/>
      <w:r w:rsidRPr="00290955">
        <w:rPr>
          <w:rFonts w:ascii="Arial" w:eastAsia="Times New Roman" w:hAnsi="Arial" w:cs="Arial"/>
          <w:lang w:val="es-419"/>
        </w:rPr>
        <w:t xml:space="preserve"> de ellos la motivación de esas determinaciones y la valoración de todos los diagnósticos cuyos soportes aparezcan en la historia clínica</w:t>
      </w:r>
      <w:r>
        <w:rPr>
          <w:rFonts w:ascii="Arial" w:eastAsia="Times New Roman" w:hAnsi="Arial" w:cs="Arial"/>
          <w:lang w:val="es-419"/>
        </w:rPr>
        <w:t>…</w:t>
      </w:r>
    </w:p>
    <w:p w14:paraId="66FD9E6A" w14:textId="77777777" w:rsidR="00290955" w:rsidRPr="002A4CEC" w:rsidRDefault="00290955" w:rsidP="002A4CEC">
      <w:pPr>
        <w:overflowPunct/>
        <w:autoSpaceDE/>
        <w:autoSpaceDN/>
        <w:adjustRightInd/>
        <w:jc w:val="both"/>
        <w:rPr>
          <w:rFonts w:ascii="Arial" w:eastAsia="Times New Roman" w:hAnsi="Arial" w:cs="Arial"/>
          <w:lang w:val="es-419"/>
        </w:rPr>
      </w:pPr>
    </w:p>
    <w:p w14:paraId="50404BA2" w14:textId="7D7F7DA7" w:rsidR="002A4CEC" w:rsidRPr="002A4CEC" w:rsidRDefault="000953C3" w:rsidP="002A4CEC">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0953C3">
        <w:rPr>
          <w:rFonts w:ascii="Arial" w:eastAsia="Times New Roman" w:hAnsi="Arial" w:cs="Arial"/>
          <w:lang w:val="es-419"/>
        </w:rPr>
        <w:t>como la Junta Nacional accionada resolvió el trámite de calificación de invalidez, sin cumplir las directrices sobre la protección del debido proceso fijadas por la jurisprudencia, en especial lo relacionado con el deber de motivación y de emitir valoraciones en forma integral, se revocará el fallo recurrido que declaró improcedente el amparo.</w:t>
      </w:r>
    </w:p>
    <w:p w14:paraId="4DA268C2" w14:textId="77777777" w:rsidR="002A4CEC" w:rsidRPr="002A4CEC" w:rsidRDefault="002A4CEC" w:rsidP="002A4CEC">
      <w:pPr>
        <w:overflowPunct/>
        <w:autoSpaceDE/>
        <w:autoSpaceDN/>
        <w:adjustRightInd/>
        <w:jc w:val="both"/>
        <w:rPr>
          <w:rFonts w:ascii="Arial" w:eastAsia="Times New Roman" w:hAnsi="Arial" w:cs="Arial"/>
          <w:lang w:val="es-ES"/>
        </w:rPr>
      </w:pPr>
    </w:p>
    <w:p w14:paraId="6A99AB52" w14:textId="77777777" w:rsidR="002A4CEC" w:rsidRPr="002A4CEC" w:rsidRDefault="002A4CEC" w:rsidP="002A4CEC">
      <w:pPr>
        <w:overflowPunct/>
        <w:autoSpaceDE/>
        <w:autoSpaceDN/>
        <w:adjustRightInd/>
        <w:jc w:val="both"/>
        <w:rPr>
          <w:rFonts w:ascii="Arial" w:eastAsia="Times New Roman" w:hAnsi="Arial" w:cs="Arial"/>
          <w:lang w:val="es-ES"/>
        </w:rPr>
      </w:pPr>
    </w:p>
    <w:p w14:paraId="244E689E" w14:textId="77777777" w:rsidR="002A4CEC" w:rsidRPr="002A4CEC" w:rsidRDefault="002A4CEC" w:rsidP="002A4CEC">
      <w:pPr>
        <w:overflowPunct/>
        <w:autoSpaceDE/>
        <w:autoSpaceDN/>
        <w:adjustRightInd/>
        <w:jc w:val="both"/>
        <w:rPr>
          <w:rFonts w:ascii="Arial" w:eastAsia="Times New Roman" w:hAnsi="Arial" w:cs="Arial"/>
          <w:lang w:val="es-ES"/>
        </w:rPr>
      </w:pPr>
    </w:p>
    <w:bookmarkEnd w:id="0"/>
    <w:p w14:paraId="02A5D713" w14:textId="77777777" w:rsidR="7E8B33B9" w:rsidRPr="00E64FF7" w:rsidRDefault="008D1630" w:rsidP="00E64FF7">
      <w:pPr>
        <w:spacing w:line="276" w:lineRule="auto"/>
        <w:jc w:val="center"/>
        <w:rPr>
          <w:rFonts w:ascii="Arial Narrow" w:hAnsi="Arial Narrow"/>
          <w:b/>
          <w:sz w:val="26"/>
          <w:szCs w:val="26"/>
        </w:rPr>
      </w:pPr>
      <w:r w:rsidRPr="00E64FF7">
        <w:rPr>
          <w:rFonts w:ascii="Arial Narrow" w:hAnsi="Arial Narrow"/>
          <w:b/>
          <w:sz w:val="26"/>
          <w:szCs w:val="26"/>
        </w:rPr>
        <w:t>REPÚBLICA DE COLOMBIA</w:t>
      </w:r>
    </w:p>
    <w:p w14:paraId="2F38B491" w14:textId="77777777" w:rsidR="003E5CA4" w:rsidRPr="00E64FF7" w:rsidRDefault="003E5CA4" w:rsidP="00E64FF7">
      <w:pPr>
        <w:spacing w:line="276" w:lineRule="auto"/>
        <w:jc w:val="center"/>
        <w:rPr>
          <w:rFonts w:ascii="Arial Narrow" w:hAnsi="Arial Narrow"/>
          <w:b/>
          <w:sz w:val="26"/>
          <w:szCs w:val="26"/>
        </w:rPr>
      </w:pPr>
      <w:r w:rsidRPr="00E64FF7">
        <w:rPr>
          <w:rFonts w:ascii="Arial Narrow" w:hAnsi="Arial Narrow"/>
          <w:noProof/>
          <w:sz w:val="26"/>
          <w:szCs w:val="26"/>
          <w:lang w:val="es-CO" w:eastAsia="es-CO"/>
        </w:rPr>
        <w:drawing>
          <wp:inline distT="0" distB="0" distL="0" distR="0" wp14:anchorId="0B13B2DE" wp14:editId="0DC197F0">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D73EF27" w14:textId="77777777" w:rsidR="003E5CA4" w:rsidRPr="00E64FF7" w:rsidRDefault="003E5CA4" w:rsidP="00E64FF7">
      <w:pPr>
        <w:spacing w:line="276" w:lineRule="auto"/>
        <w:jc w:val="center"/>
        <w:rPr>
          <w:rFonts w:ascii="Arial Narrow" w:hAnsi="Arial Narrow"/>
          <w:b/>
          <w:sz w:val="26"/>
          <w:szCs w:val="26"/>
        </w:rPr>
      </w:pPr>
      <w:r w:rsidRPr="00E64FF7">
        <w:rPr>
          <w:rFonts w:ascii="Arial Narrow" w:hAnsi="Arial Narrow"/>
          <w:b/>
          <w:sz w:val="26"/>
          <w:szCs w:val="26"/>
        </w:rPr>
        <w:t>TRIBUNAL SUPERIOR DE PEREIRA</w:t>
      </w:r>
    </w:p>
    <w:p w14:paraId="53AA78CB" w14:textId="77777777" w:rsidR="003E5CA4" w:rsidRPr="00E64FF7" w:rsidRDefault="003E5CA4" w:rsidP="00E64FF7">
      <w:pPr>
        <w:spacing w:line="276" w:lineRule="auto"/>
        <w:jc w:val="center"/>
        <w:rPr>
          <w:rFonts w:ascii="Arial Narrow" w:hAnsi="Arial Narrow"/>
          <w:b/>
          <w:sz w:val="26"/>
          <w:szCs w:val="26"/>
        </w:rPr>
      </w:pPr>
      <w:r w:rsidRPr="00E64FF7">
        <w:rPr>
          <w:rFonts w:ascii="Arial Narrow" w:hAnsi="Arial Narrow"/>
          <w:b/>
          <w:sz w:val="26"/>
          <w:szCs w:val="26"/>
        </w:rPr>
        <w:t xml:space="preserve">SALA CIVIL – FAMILIA </w:t>
      </w:r>
    </w:p>
    <w:p w14:paraId="4DE8E47A" w14:textId="77777777" w:rsidR="00655921" w:rsidRPr="00E64FF7" w:rsidRDefault="00655921" w:rsidP="00E64FF7">
      <w:pPr>
        <w:spacing w:line="276" w:lineRule="auto"/>
        <w:jc w:val="center"/>
        <w:rPr>
          <w:rFonts w:ascii="Arial Narrow" w:hAnsi="Arial Narrow"/>
          <w:b/>
          <w:sz w:val="26"/>
          <w:szCs w:val="26"/>
        </w:rPr>
      </w:pPr>
    </w:p>
    <w:p w14:paraId="7A920943" w14:textId="77777777" w:rsidR="003E5CA4" w:rsidRPr="00E64FF7" w:rsidRDefault="003E5CA4" w:rsidP="00E64FF7">
      <w:pPr>
        <w:pStyle w:val="Sinespaciado"/>
        <w:spacing w:line="276" w:lineRule="auto"/>
        <w:jc w:val="center"/>
        <w:rPr>
          <w:rFonts w:ascii="Arial Narrow" w:hAnsi="Arial Narrow"/>
          <w:b/>
          <w:bCs/>
          <w:sz w:val="26"/>
          <w:szCs w:val="26"/>
        </w:rPr>
      </w:pPr>
      <w:r w:rsidRPr="00E64FF7">
        <w:rPr>
          <w:rFonts w:ascii="Arial Narrow" w:hAnsi="Arial Narrow"/>
          <w:b/>
          <w:bCs/>
          <w:sz w:val="26"/>
          <w:szCs w:val="26"/>
        </w:rPr>
        <w:t>MAGISTRADO PONENTE: CARLOS MAURICIO GARCÍA BARAJAS</w:t>
      </w:r>
    </w:p>
    <w:p w14:paraId="4F7A5396" w14:textId="77777777" w:rsidR="003846DE" w:rsidRPr="00E64FF7" w:rsidRDefault="003846DE" w:rsidP="00E64FF7">
      <w:pPr>
        <w:pStyle w:val="Sinespaciado"/>
        <w:spacing w:line="276" w:lineRule="auto"/>
        <w:jc w:val="center"/>
        <w:rPr>
          <w:rFonts w:ascii="Arial Narrow" w:hAnsi="Arial Narrow"/>
          <w:b/>
          <w:bCs/>
          <w:sz w:val="26"/>
          <w:szCs w:val="26"/>
        </w:rPr>
      </w:pPr>
    </w:p>
    <w:p w14:paraId="25A5B628" w14:textId="487F46B3" w:rsidR="00C02504" w:rsidRPr="00E64FF7" w:rsidRDefault="003E5CA4" w:rsidP="00E64FF7">
      <w:pPr>
        <w:pStyle w:val="Sinespaciado"/>
        <w:spacing w:line="276" w:lineRule="auto"/>
        <w:jc w:val="center"/>
        <w:rPr>
          <w:rFonts w:ascii="Arial Narrow" w:hAnsi="Arial Narrow"/>
          <w:sz w:val="26"/>
          <w:szCs w:val="26"/>
        </w:rPr>
      </w:pPr>
      <w:r w:rsidRPr="00E64FF7">
        <w:rPr>
          <w:rFonts w:ascii="Arial Narrow" w:hAnsi="Arial Narrow"/>
          <w:sz w:val="26"/>
          <w:szCs w:val="26"/>
        </w:rPr>
        <w:t xml:space="preserve">Pereira, </w:t>
      </w:r>
      <w:r w:rsidR="002369FB" w:rsidRPr="00E64FF7">
        <w:rPr>
          <w:rFonts w:ascii="Arial Narrow" w:hAnsi="Arial Narrow"/>
          <w:sz w:val="26"/>
          <w:szCs w:val="26"/>
        </w:rPr>
        <w:t xml:space="preserve">dieciséis </w:t>
      </w:r>
      <w:r w:rsidRPr="00E64FF7">
        <w:rPr>
          <w:rFonts w:ascii="Arial Narrow" w:hAnsi="Arial Narrow"/>
          <w:sz w:val="26"/>
          <w:szCs w:val="26"/>
        </w:rPr>
        <w:t>(</w:t>
      </w:r>
      <w:r w:rsidR="00FB3BBD" w:rsidRPr="00E64FF7">
        <w:rPr>
          <w:rFonts w:ascii="Arial Narrow" w:hAnsi="Arial Narrow"/>
          <w:sz w:val="26"/>
          <w:szCs w:val="26"/>
        </w:rPr>
        <w:t>16)</w:t>
      </w:r>
      <w:r w:rsidRPr="00E64FF7">
        <w:rPr>
          <w:rFonts w:ascii="Arial Narrow" w:hAnsi="Arial Narrow"/>
          <w:sz w:val="26"/>
          <w:szCs w:val="26"/>
        </w:rPr>
        <w:t xml:space="preserve"> de </w:t>
      </w:r>
      <w:r w:rsidR="000A2128" w:rsidRPr="00E64FF7">
        <w:rPr>
          <w:rFonts w:ascii="Arial Narrow" w:hAnsi="Arial Narrow"/>
          <w:sz w:val="26"/>
          <w:szCs w:val="26"/>
        </w:rPr>
        <w:t xml:space="preserve">diciembre </w:t>
      </w:r>
      <w:r w:rsidRPr="00E64FF7">
        <w:rPr>
          <w:rFonts w:ascii="Arial Narrow" w:hAnsi="Arial Narrow"/>
          <w:sz w:val="26"/>
          <w:szCs w:val="26"/>
        </w:rPr>
        <w:t>de dos mil veintiuno (2021)</w:t>
      </w:r>
    </w:p>
    <w:p w14:paraId="6149EA4E" w14:textId="77777777" w:rsidR="003846DE" w:rsidRPr="00E64FF7" w:rsidRDefault="003846DE" w:rsidP="00E64FF7">
      <w:pPr>
        <w:pStyle w:val="Sinespaciado"/>
        <w:spacing w:line="276" w:lineRule="auto"/>
        <w:jc w:val="center"/>
        <w:rPr>
          <w:rFonts w:ascii="Arial Narrow" w:hAnsi="Arial Narrow"/>
          <w:b/>
          <w:sz w:val="26"/>
          <w:szCs w:val="26"/>
        </w:rPr>
      </w:pPr>
    </w:p>
    <w:p w14:paraId="6BAEA101" w14:textId="0D2A6423" w:rsidR="003E5CA4" w:rsidRPr="00E64FF7" w:rsidRDefault="003E5CA4" w:rsidP="00E64FF7">
      <w:pPr>
        <w:pStyle w:val="Sinespaciado"/>
        <w:spacing w:line="276" w:lineRule="auto"/>
        <w:ind w:left="993"/>
        <w:rPr>
          <w:rFonts w:ascii="Arial Narrow" w:hAnsi="Arial Narrow"/>
          <w:b/>
          <w:sz w:val="26"/>
          <w:szCs w:val="26"/>
          <w:lang w:val="pt-BR"/>
        </w:rPr>
      </w:pPr>
      <w:r w:rsidRPr="00E64FF7">
        <w:rPr>
          <w:rFonts w:ascii="Arial Narrow" w:hAnsi="Arial Narrow"/>
          <w:b/>
          <w:sz w:val="26"/>
          <w:szCs w:val="26"/>
        </w:rPr>
        <w:tab/>
      </w:r>
      <w:r w:rsidRPr="00E64FF7">
        <w:rPr>
          <w:rFonts w:ascii="Arial Narrow" w:hAnsi="Arial Narrow"/>
          <w:b/>
          <w:sz w:val="26"/>
          <w:szCs w:val="26"/>
          <w:lang w:val="pt-BR"/>
        </w:rPr>
        <w:t xml:space="preserve">Acta N° </w:t>
      </w:r>
      <w:r w:rsidR="00B155EE" w:rsidRPr="00E64FF7">
        <w:rPr>
          <w:rFonts w:ascii="Arial Narrow" w:hAnsi="Arial Narrow"/>
          <w:b/>
          <w:sz w:val="26"/>
          <w:szCs w:val="26"/>
          <w:lang w:val="pt-BR"/>
        </w:rPr>
        <w:t>605</w:t>
      </w:r>
      <w:r w:rsidR="00C02504" w:rsidRPr="00E64FF7">
        <w:rPr>
          <w:rFonts w:ascii="Arial Narrow" w:hAnsi="Arial Narrow"/>
          <w:b/>
          <w:sz w:val="26"/>
          <w:szCs w:val="26"/>
          <w:lang w:val="pt-BR"/>
        </w:rPr>
        <w:t xml:space="preserve"> </w:t>
      </w:r>
      <w:r w:rsidRPr="00E64FF7">
        <w:rPr>
          <w:rFonts w:ascii="Arial Narrow" w:hAnsi="Arial Narrow"/>
          <w:b/>
          <w:sz w:val="26"/>
          <w:szCs w:val="26"/>
          <w:lang w:val="pt-BR"/>
        </w:rPr>
        <w:t xml:space="preserve">de </w:t>
      </w:r>
      <w:r w:rsidR="00B155EE" w:rsidRPr="00E64FF7">
        <w:rPr>
          <w:rFonts w:ascii="Arial Narrow" w:hAnsi="Arial Narrow"/>
          <w:b/>
          <w:sz w:val="26"/>
          <w:szCs w:val="26"/>
          <w:lang w:val="pt-BR"/>
        </w:rPr>
        <w:t>16-</w:t>
      </w:r>
      <w:r w:rsidR="00C02504" w:rsidRPr="00E64FF7">
        <w:rPr>
          <w:rFonts w:ascii="Arial Narrow" w:hAnsi="Arial Narrow"/>
          <w:b/>
          <w:sz w:val="26"/>
          <w:szCs w:val="26"/>
          <w:lang w:val="pt-BR"/>
        </w:rPr>
        <w:t>1</w:t>
      </w:r>
      <w:r w:rsidR="001225CF" w:rsidRPr="00E64FF7">
        <w:rPr>
          <w:rFonts w:ascii="Arial Narrow" w:hAnsi="Arial Narrow"/>
          <w:b/>
          <w:sz w:val="26"/>
          <w:szCs w:val="26"/>
          <w:lang w:val="pt-BR"/>
        </w:rPr>
        <w:t>2</w:t>
      </w:r>
      <w:r w:rsidR="009A2FFC" w:rsidRPr="00E64FF7">
        <w:rPr>
          <w:rFonts w:ascii="Arial Narrow" w:hAnsi="Arial Narrow"/>
          <w:b/>
          <w:sz w:val="26"/>
          <w:szCs w:val="26"/>
          <w:lang w:val="pt-BR"/>
        </w:rPr>
        <w:t>-</w:t>
      </w:r>
      <w:r w:rsidRPr="00E64FF7">
        <w:rPr>
          <w:rFonts w:ascii="Arial Narrow" w:hAnsi="Arial Narrow"/>
          <w:b/>
          <w:sz w:val="26"/>
          <w:szCs w:val="26"/>
          <w:lang w:val="pt-BR"/>
        </w:rPr>
        <w:t>2021</w:t>
      </w:r>
    </w:p>
    <w:p w14:paraId="25638812" w14:textId="09756219" w:rsidR="003E5CA4" w:rsidRPr="00E64FF7" w:rsidRDefault="003E5CA4" w:rsidP="00E64FF7">
      <w:pPr>
        <w:pStyle w:val="Sinespaciado"/>
        <w:spacing w:line="276" w:lineRule="auto"/>
        <w:ind w:left="993"/>
        <w:rPr>
          <w:rFonts w:ascii="Arial Narrow" w:hAnsi="Arial Narrow"/>
          <w:b/>
          <w:sz w:val="26"/>
          <w:szCs w:val="26"/>
        </w:rPr>
      </w:pPr>
      <w:r w:rsidRPr="00E64FF7">
        <w:rPr>
          <w:rFonts w:ascii="Arial Narrow" w:hAnsi="Arial Narrow"/>
          <w:b/>
          <w:sz w:val="26"/>
          <w:szCs w:val="26"/>
          <w:lang w:val="pt-BR"/>
        </w:rPr>
        <w:tab/>
        <w:t xml:space="preserve">Sentencia: TSP. </w:t>
      </w:r>
      <w:r w:rsidRPr="00E64FF7">
        <w:rPr>
          <w:rFonts w:ascii="Arial Narrow" w:hAnsi="Arial Narrow"/>
          <w:b/>
          <w:sz w:val="26"/>
          <w:szCs w:val="26"/>
        </w:rPr>
        <w:t>ST2</w:t>
      </w:r>
      <w:r w:rsidR="004D6D35" w:rsidRPr="00E64FF7">
        <w:rPr>
          <w:rFonts w:ascii="Arial Narrow" w:hAnsi="Arial Narrow"/>
          <w:b/>
          <w:sz w:val="26"/>
          <w:szCs w:val="26"/>
        </w:rPr>
        <w:t>-0450-</w:t>
      </w:r>
      <w:r w:rsidRPr="00E64FF7">
        <w:rPr>
          <w:rFonts w:ascii="Arial Narrow" w:hAnsi="Arial Narrow"/>
          <w:b/>
          <w:sz w:val="26"/>
          <w:szCs w:val="26"/>
        </w:rPr>
        <w:t>2021</w:t>
      </w:r>
    </w:p>
    <w:p w14:paraId="7667D2CF" w14:textId="77777777" w:rsidR="003E5CA4" w:rsidRPr="00E64FF7" w:rsidRDefault="003E5CA4" w:rsidP="00E64FF7">
      <w:pPr>
        <w:pStyle w:val="Sinespaciado"/>
        <w:spacing w:line="276" w:lineRule="auto"/>
        <w:ind w:left="993"/>
        <w:rPr>
          <w:rFonts w:ascii="Arial Narrow" w:hAnsi="Arial Narrow"/>
          <w:b/>
          <w:i/>
          <w:sz w:val="26"/>
          <w:szCs w:val="26"/>
        </w:rPr>
      </w:pPr>
      <w:r w:rsidRPr="00E64FF7">
        <w:rPr>
          <w:rFonts w:ascii="Arial Narrow" w:hAnsi="Arial Narrow"/>
          <w:b/>
          <w:sz w:val="26"/>
          <w:szCs w:val="26"/>
        </w:rPr>
        <w:tab/>
        <w:t xml:space="preserve">Referencia: </w:t>
      </w:r>
      <w:r w:rsidR="00D87072" w:rsidRPr="00E64FF7">
        <w:rPr>
          <w:rFonts w:ascii="Arial Narrow" w:hAnsi="Arial Narrow"/>
          <w:b/>
          <w:sz w:val="26"/>
          <w:szCs w:val="26"/>
        </w:rPr>
        <w:t>6600131030032021001580</w:t>
      </w:r>
      <w:r w:rsidR="00C60953" w:rsidRPr="00E64FF7">
        <w:rPr>
          <w:rFonts w:ascii="Arial Narrow" w:hAnsi="Arial Narrow"/>
          <w:b/>
          <w:sz w:val="26"/>
          <w:szCs w:val="26"/>
        </w:rPr>
        <w:t>2</w:t>
      </w:r>
    </w:p>
    <w:p w14:paraId="080F38DA" w14:textId="38DE908D" w:rsidR="003E5CA4" w:rsidRDefault="003E5CA4" w:rsidP="00E64FF7">
      <w:pPr>
        <w:spacing w:line="276" w:lineRule="auto"/>
        <w:jc w:val="center"/>
        <w:rPr>
          <w:rFonts w:ascii="Arial Narrow" w:hAnsi="Arial Narrow"/>
          <w:b/>
          <w:sz w:val="26"/>
          <w:szCs w:val="26"/>
          <w:u w:val="single"/>
        </w:rPr>
      </w:pPr>
    </w:p>
    <w:p w14:paraId="4D5C3901" w14:textId="77777777" w:rsidR="008D678B" w:rsidRPr="00E64FF7" w:rsidRDefault="008D678B" w:rsidP="00E64FF7">
      <w:pPr>
        <w:spacing w:line="276" w:lineRule="auto"/>
        <w:jc w:val="center"/>
        <w:rPr>
          <w:rFonts w:ascii="Arial Narrow" w:hAnsi="Arial Narrow"/>
          <w:b/>
          <w:sz w:val="26"/>
          <w:szCs w:val="26"/>
          <w:u w:val="single"/>
        </w:rPr>
      </w:pPr>
    </w:p>
    <w:p w14:paraId="4B04BB2B" w14:textId="77777777" w:rsidR="00AA072B" w:rsidRPr="00E64FF7" w:rsidRDefault="00AA072B" w:rsidP="00E64FF7">
      <w:pPr>
        <w:pStyle w:val="Sinespaciado"/>
        <w:spacing w:line="276" w:lineRule="auto"/>
        <w:jc w:val="center"/>
        <w:rPr>
          <w:rFonts w:ascii="Arial Narrow" w:hAnsi="Arial Narrow"/>
          <w:sz w:val="26"/>
          <w:szCs w:val="26"/>
        </w:rPr>
      </w:pPr>
      <w:r w:rsidRPr="00E64FF7">
        <w:rPr>
          <w:rFonts w:ascii="Arial Narrow" w:hAnsi="Arial Narrow"/>
          <w:b/>
          <w:bCs/>
          <w:sz w:val="26"/>
          <w:szCs w:val="26"/>
        </w:rPr>
        <w:t>ASUNTO</w:t>
      </w:r>
    </w:p>
    <w:p w14:paraId="0F8D2E66" w14:textId="77777777" w:rsidR="00AA072B" w:rsidRPr="00E64FF7" w:rsidRDefault="00AA072B" w:rsidP="00E64FF7">
      <w:pPr>
        <w:pStyle w:val="Sinespaciado"/>
        <w:spacing w:line="276" w:lineRule="auto"/>
        <w:jc w:val="both"/>
        <w:rPr>
          <w:rFonts w:ascii="Arial Narrow" w:hAnsi="Arial Narrow"/>
          <w:sz w:val="26"/>
          <w:szCs w:val="26"/>
        </w:rPr>
      </w:pPr>
    </w:p>
    <w:p w14:paraId="3639C75D" w14:textId="4F68EB77" w:rsidR="006A4B01" w:rsidRPr="00E64FF7" w:rsidRDefault="00AA072B" w:rsidP="00E64FF7">
      <w:pPr>
        <w:pStyle w:val="Sinespaciado"/>
        <w:tabs>
          <w:tab w:val="left" w:pos="1750"/>
        </w:tabs>
        <w:spacing w:line="276" w:lineRule="auto"/>
        <w:jc w:val="both"/>
        <w:rPr>
          <w:rFonts w:ascii="Arial Narrow" w:hAnsi="Arial Narrow"/>
          <w:sz w:val="26"/>
          <w:szCs w:val="26"/>
          <w:lang w:val="es-CO"/>
        </w:rPr>
      </w:pPr>
      <w:r w:rsidRPr="00E64FF7">
        <w:rPr>
          <w:rFonts w:ascii="Arial Narrow" w:hAnsi="Arial Narrow"/>
          <w:sz w:val="26"/>
          <w:szCs w:val="26"/>
        </w:rPr>
        <w:t xml:space="preserve">Procede la Sala a resolver </w:t>
      </w:r>
      <w:r w:rsidR="00B153D9" w:rsidRPr="00E64FF7">
        <w:rPr>
          <w:rFonts w:ascii="Arial Narrow" w:hAnsi="Arial Narrow"/>
          <w:sz w:val="26"/>
          <w:szCs w:val="26"/>
          <w:lang w:val="es-CO"/>
        </w:rPr>
        <w:t xml:space="preserve">sobre </w:t>
      </w:r>
      <w:r w:rsidR="00156EC7" w:rsidRPr="00E64FF7">
        <w:rPr>
          <w:rFonts w:ascii="Arial Narrow" w:hAnsi="Arial Narrow"/>
          <w:sz w:val="26"/>
          <w:szCs w:val="26"/>
          <w:lang w:val="es-CO"/>
        </w:rPr>
        <w:t xml:space="preserve">la impugnación </w:t>
      </w:r>
      <w:r w:rsidR="00D87072" w:rsidRPr="00E64FF7">
        <w:rPr>
          <w:rFonts w:ascii="Arial Narrow" w:hAnsi="Arial Narrow"/>
          <w:sz w:val="26"/>
          <w:szCs w:val="26"/>
          <w:lang w:val="es-CO"/>
        </w:rPr>
        <w:t>formulada por la parte actora</w:t>
      </w:r>
      <w:r w:rsidR="00156EC7" w:rsidRPr="00E64FF7">
        <w:rPr>
          <w:rFonts w:ascii="Arial Narrow" w:hAnsi="Arial Narrow"/>
          <w:sz w:val="26"/>
          <w:szCs w:val="26"/>
          <w:lang w:val="es-CO"/>
        </w:rPr>
        <w:t xml:space="preserve"> contra la sentencia proferida por el Juzgado Tercero Civil de</w:t>
      </w:r>
      <w:r w:rsidR="00D87072" w:rsidRPr="00E64FF7">
        <w:rPr>
          <w:rFonts w:ascii="Arial Narrow" w:hAnsi="Arial Narrow"/>
          <w:sz w:val="26"/>
          <w:szCs w:val="26"/>
          <w:lang w:val="es-CO"/>
        </w:rPr>
        <w:t xml:space="preserve">l Circuito de esta ciudad, el </w:t>
      </w:r>
      <w:r w:rsidR="002A78C8" w:rsidRPr="00E64FF7">
        <w:rPr>
          <w:rFonts w:ascii="Arial Narrow" w:hAnsi="Arial Narrow"/>
          <w:sz w:val="26"/>
          <w:szCs w:val="26"/>
          <w:lang w:val="es-CO"/>
        </w:rPr>
        <w:t>18</w:t>
      </w:r>
      <w:r w:rsidR="00156EC7" w:rsidRPr="00E64FF7">
        <w:rPr>
          <w:rFonts w:ascii="Arial Narrow" w:hAnsi="Arial Narrow"/>
          <w:sz w:val="26"/>
          <w:szCs w:val="26"/>
          <w:lang w:val="es-CO"/>
        </w:rPr>
        <w:t xml:space="preserve"> de </w:t>
      </w:r>
      <w:r w:rsidR="002A78C8" w:rsidRPr="00E64FF7">
        <w:rPr>
          <w:rFonts w:ascii="Arial Narrow" w:hAnsi="Arial Narrow"/>
          <w:sz w:val="26"/>
          <w:szCs w:val="26"/>
          <w:lang w:val="es-CO"/>
        </w:rPr>
        <w:t>octubre</w:t>
      </w:r>
      <w:r w:rsidR="00156EC7" w:rsidRPr="00E64FF7">
        <w:rPr>
          <w:rFonts w:ascii="Arial Narrow" w:hAnsi="Arial Narrow"/>
          <w:sz w:val="26"/>
          <w:szCs w:val="26"/>
          <w:lang w:val="es-CO"/>
        </w:rPr>
        <w:t xml:space="preserve"> </w:t>
      </w:r>
      <w:r w:rsidR="00156EC7" w:rsidRPr="00E64FF7">
        <w:rPr>
          <w:rFonts w:ascii="Arial Narrow" w:hAnsi="Arial Narrow"/>
          <w:sz w:val="26"/>
          <w:szCs w:val="26"/>
          <w:lang w:val="es-CO"/>
        </w:rPr>
        <w:lastRenderedPageBreak/>
        <w:t xml:space="preserve">pasado, dentro de la acción de tutela que promovió el señor </w:t>
      </w:r>
      <w:r w:rsidR="00D87072" w:rsidRPr="00E64FF7">
        <w:rPr>
          <w:rFonts w:ascii="Arial Narrow" w:hAnsi="Arial Narrow"/>
          <w:sz w:val="26"/>
          <w:szCs w:val="26"/>
          <w:lang w:val="es-CO"/>
        </w:rPr>
        <w:t>Cesar Augusto Arango Gómez frente a la Junta Nacional de Calificación de Invalidez</w:t>
      </w:r>
      <w:r w:rsidR="00156EC7" w:rsidRPr="00E64FF7">
        <w:rPr>
          <w:rFonts w:ascii="Arial Narrow" w:hAnsi="Arial Narrow"/>
          <w:sz w:val="26"/>
          <w:szCs w:val="26"/>
          <w:lang w:val="es-CO"/>
        </w:rPr>
        <w:t xml:space="preserve">, trámite al que </w:t>
      </w:r>
      <w:r w:rsidR="00D87072" w:rsidRPr="00E64FF7">
        <w:rPr>
          <w:rFonts w:ascii="Arial Narrow" w:hAnsi="Arial Narrow"/>
          <w:sz w:val="26"/>
          <w:szCs w:val="26"/>
          <w:lang w:val="es-CO"/>
        </w:rPr>
        <w:t xml:space="preserve">fue vinculada la </w:t>
      </w:r>
      <w:r w:rsidR="00156EC7" w:rsidRPr="00E64FF7">
        <w:rPr>
          <w:rFonts w:ascii="Arial Narrow" w:hAnsi="Arial Narrow"/>
          <w:sz w:val="26"/>
          <w:szCs w:val="26"/>
          <w:lang w:val="es-CO"/>
        </w:rPr>
        <w:t>Junta Regional de Calificación de Invalidez de Risaralda</w:t>
      </w:r>
      <w:r w:rsidR="006915E1" w:rsidRPr="00E64FF7">
        <w:rPr>
          <w:rFonts w:ascii="Arial Narrow" w:hAnsi="Arial Narrow"/>
          <w:sz w:val="26"/>
          <w:szCs w:val="26"/>
          <w:lang w:val="es-CO"/>
        </w:rPr>
        <w:t xml:space="preserve"> y </w:t>
      </w:r>
      <w:r w:rsidR="00872FD9" w:rsidRPr="00E64FF7">
        <w:rPr>
          <w:rFonts w:ascii="Arial Narrow" w:hAnsi="Arial Narrow"/>
          <w:sz w:val="26"/>
          <w:szCs w:val="26"/>
          <w:lang w:val="es-CO"/>
        </w:rPr>
        <w:t>la Aseguradora</w:t>
      </w:r>
      <w:r w:rsidR="00F62473" w:rsidRPr="00E64FF7">
        <w:rPr>
          <w:rFonts w:ascii="Arial Narrow" w:hAnsi="Arial Narrow"/>
          <w:sz w:val="26"/>
          <w:szCs w:val="26"/>
          <w:lang w:val="es-CO"/>
        </w:rPr>
        <w:t xml:space="preserve"> de Riesgos Laborales COLMENA.</w:t>
      </w:r>
    </w:p>
    <w:p w14:paraId="61A1F920" w14:textId="77777777" w:rsidR="00B9535D" w:rsidRPr="00E64FF7" w:rsidRDefault="00B9535D" w:rsidP="00E64FF7">
      <w:pPr>
        <w:pStyle w:val="Sinespaciado"/>
        <w:spacing w:line="276" w:lineRule="auto"/>
        <w:jc w:val="center"/>
        <w:rPr>
          <w:rFonts w:ascii="Arial Narrow" w:hAnsi="Arial Narrow"/>
          <w:b/>
          <w:bCs/>
          <w:sz w:val="26"/>
          <w:szCs w:val="26"/>
        </w:rPr>
      </w:pPr>
    </w:p>
    <w:p w14:paraId="1DDF1F43" w14:textId="77777777" w:rsidR="00AA072B" w:rsidRPr="00E64FF7" w:rsidRDefault="00AA072B" w:rsidP="00E64FF7">
      <w:pPr>
        <w:pStyle w:val="Sinespaciado"/>
        <w:spacing w:line="276" w:lineRule="auto"/>
        <w:jc w:val="center"/>
        <w:rPr>
          <w:rFonts w:ascii="Arial Narrow" w:hAnsi="Arial Narrow"/>
          <w:sz w:val="26"/>
          <w:szCs w:val="26"/>
        </w:rPr>
      </w:pPr>
      <w:r w:rsidRPr="00E64FF7">
        <w:rPr>
          <w:rFonts w:ascii="Arial Narrow" w:hAnsi="Arial Narrow"/>
          <w:b/>
          <w:bCs/>
          <w:sz w:val="26"/>
          <w:szCs w:val="26"/>
        </w:rPr>
        <w:t>ANTECEDENTES</w:t>
      </w:r>
    </w:p>
    <w:p w14:paraId="13BF10A1" w14:textId="77777777" w:rsidR="00AA072B" w:rsidRPr="00E64FF7" w:rsidRDefault="00AA072B" w:rsidP="00E64FF7">
      <w:pPr>
        <w:pStyle w:val="Sinespaciado"/>
        <w:spacing w:line="276" w:lineRule="auto"/>
        <w:jc w:val="both"/>
        <w:rPr>
          <w:rFonts w:ascii="Arial Narrow" w:hAnsi="Arial Narrow"/>
          <w:sz w:val="26"/>
          <w:szCs w:val="26"/>
        </w:rPr>
      </w:pPr>
    </w:p>
    <w:p w14:paraId="23EDA850" w14:textId="0EFD9A2A" w:rsidR="00D87072" w:rsidRPr="00E64FF7" w:rsidRDefault="00156EC7" w:rsidP="00E64FF7">
      <w:pPr>
        <w:pStyle w:val="Sinespaciado"/>
        <w:spacing w:line="276" w:lineRule="auto"/>
        <w:jc w:val="both"/>
        <w:rPr>
          <w:rFonts w:ascii="Arial Narrow" w:hAnsi="Arial Narrow"/>
          <w:sz w:val="26"/>
          <w:szCs w:val="26"/>
        </w:rPr>
      </w:pPr>
      <w:r w:rsidRPr="00E64FF7">
        <w:rPr>
          <w:rFonts w:ascii="Arial Narrow" w:hAnsi="Arial Narrow"/>
          <w:b/>
          <w:sz w:val="26"/>
          <w:szCs w:val="26"/>
        </w:rPr>
        <w:t xml:space="preserve">1. </w:t>
      </w:r>
      <w:r w:rsidRPr="00E64FF7">
        <w:rPr>
          <w:rFonts w:ascii="Arial Narrow" w:hAnsi="Arial Narrow"/>
          <w:bCs/>
          <w:sz w:val="26"/>
          <w:szCs w:val="26"/>
        </w:rPr>
        <w:t xml:space="preserve">Del escrito de tutela se advierte </w:t>
      </w:r>
      <w:r w:rsidRPr="00E64FF7">
        <w:rPr>
          <w:rFonts w:ascii="Arial Narrow" w:hAnsi="Arial Narrow"/>
          <w:sz w:val="26"/>
          <w:szCs w:val="26"/>
        </w:rPr>
        <w:t>que</w:t>
      </w:r>
      <w:r w:rsidR="001762FF" w:rsidRPr="00E64FF7">
        <w:rPr>
          <w:rFonts w:ascii="Arial Narrow" w:hAnsi="Arial Narrow"/>
          <w:sz w:val="26"/>
          <w:szCs w:val="26"/>
        </w:rPr>
        <w:t xml:space="preserve"> el actor fue diagnosticado con </w:t>
      </w:r>
      <w:r w:rsidR="00BD3358" w:rsidRPr="00E64FF7">
        <w:rPr>
          <w:rFonts w:ascii="Arial Narrow" w:hAnsi="Arial Narrow"/>
          <w:sz w:val="26"/>
          <w:szCs w:val="26"/>
        </w:rPr>
        <w:t>síndrome del túnel carpiano, trastorno del humor, gastritis crónica y lumbago. La Junta Regional de Invalidez del Risaralda calificó su pérdida de la capacidad laboral en 22,50%, con sustento únicamente en la primera de aquellas enfermedades. Contra esa valoración formuló recursos de reposición y en subsidio apelación</w:t>
      </w:r>
      <w:r w:rsidR="00FB402B" w:rsidRPr="00E64FF7">
        <w:rPr>
          <w:rFonts w:ascii="Arial Narrow" w:hAnsi="Arial Narrow"/>
          <w:sz w:val="26"/>
          <w:szCs w:val="26"/>
        </w:rPr>
        <w:t>,</w:t>
      </w:r>
      <w:r w:rsidR="00BD3358" w:rsidRPr="00E64FF7">
        <w:rPr>
          <w:rFonts w:ascii="Arial Narrow" w:hAnsi="Arial Narrow"/>
          <w:sz w:val="26"/>
          <w:szCs w:val="26"/>
        </w:rPr>
        <w:t xml:space="preserve"> y solicitó se tuvieran en cuenta todos sus padecimientos a efecto de establecer su invalidez. Sin embargo, tanto la Junta Regional como la Junta Nacional de Invalidez</w:t>
      </w:r>
      <w:r w:rsidR="00FB402B" w:rsidRPr="00E64FF7">
        <w:rPr>
          <w:rFonts w:ascii="Arial Narrow" w:hAnsi="Arial Narrow"/>
          <w:sz w:val="26"/>
          <w:szCs w:val="26"/>
        </w:rPr>
        <w:t>,</w:t>
      </w:r>
      <w:r w:rsidR="00BD3358" w:rsidRPr="00E64FF7">
        <w:rPr>
          <w:rFonts w:ascii="Arial Narrow" w:hAnsi="Arial Narrow"/>
          <w:sz w:val="26"/>
          <w:szCs w:val="26"/>
        </w:rPr>
        <w:t xml:space="preserve"> confirmaron dicho dictamen, es decir que se limitaron a examinar uno </w:t>
      </w:r>
      <w:r w:rsidR="00175858" w:rsidRPr="00E64FF7">
        <w:rPr>
          <w:rFonts w:ascii="Arial Narrow" w:hAnsi="Arial Narrow"/>
          <w:sz w:val="26"/>
          <w:szCs w:val="26"/>
        </w:rPr>
        <w:t>de los diagnósticos</w:t>
      </w:r>
      <w:r w:rsidR="00BD3358" w:rsidRPr="00E64FF7">
        <w:rPr>
          <w:rFonts w:ascii="Arial Narrow" w:hAnsi="Arial Narrow"/>
          <w:sz w:val="26"/>
          <w:szCs w:val="26"/>
        </w:rPr>
        <w:t xml:space="preserve"> que lo aquejan, en desconocimiento del principio de calificación integral</w:t>
      </w:r>
      <w:r w:rsidR="00D87072" w:rsidRPr="00E64FF7">
        <w:rPr>
          <w:rFonts w:ascii="Arial Narrow" w:hAnsi="Arial Narrow"/>
          <w:sz w:val="26"/>
          <w:szCs w:val="26"/>
        </w:rPr>
        <w:t>.</w:t>
      </w:r>
    </w:p>
    <w:p w14:paraId="6F5EC4E6" w14:textId="77777777" w:rsidR="00BD3358" w:rsidRPr="00E64FF7" w:rsidRDefault="00BD3358" w:rsidP="00E64FF7">
      <w:pPr>
        <w:pStyle w:val="Sinespaciado"/>
        <w:spacing w:line="276" w:lineRule="auto"/>
        <w:jc w:val="both"/>
        <w:rPr>
          <w:rFonts w:ascii="Arial Narrow" w:hAnsi="Arial Narrow"/>
          <w:sz w:val="26"/>
          <w:szCs w:val="26"/>
        </w:rPr>
      </w:pPr>
    </w:p>
    <w:p w14:paraId="21B4A278" w14:textId="2CAB08EE" w:rsidR="00156EC7" w:rsidRPr="00E64FF7" w:rsidRDefault="00FB402B" w:rsidP="00E64FF7">
      <w:pPr>
        <w:pStyle w:val="Sinespaciado"/>
        <w:spacing w:line="276" w:lineRule="auto"/>
        <w:jc w:val="both"/>
        <w:rPr>
          <w:rFonts w:ascii="Arial Narrow" w:hAnsi="Arial Narrow"/>
          <w:sz w:val="26"/>
          <w:szCs w:val="26"/>
        </w:rPr>
      </w:pPr>
      <w:r w:rsidRPr="00E64FF7">
        <w:rPr>
          <w:rFonts w:ascii="Arial Narrow" w:hAnsi="Arial Narrow"/>
          <w:sz w:val="26"/>
          <w:szCs w:val="26"/>
        </w:rPr>
        <w:t>Considera</w:t>
      </w:r>
      <w:r w:rsidR="00BD3358" w:rsidRPr="00E64FF7">
        <w:rPr>
          <w:rFonts w:ascii="Arial Narrow" w:hAnsi="Arial Narrow"/>
          <w:sz w:val="26"/>
          <w:szCs w:val="26"/>
        </w:rPr>
        <w:t xml:space="preserve"> vulnerado el derecho a la seguridad social</w:t>
      </w:r>
      <w:r w:rsidR="00E217E3" w:rsidRPr="00E64FF7">
        <w:rPr>
          <w:rFonts w:ascii="Arial Narrow" w:hAnsi="Arial Narrow"/>
          <w:sz w:val="26"/>
          <w:szCs w:val="26"/>
        </w:rPr>
        <w:t xml:space="preserve"> y para protegerlo solicita se ordene a la Junta Nacional de Invalidez realizar una nueva </w:t>
      </w:r>
      <w:r w:rsidR="00175858" w:rsidRPr="00E64FF7">
        <w:rPr>
          <w:rFonts w:ascii="Arial Narrow" w:hAnsi="Arial Narrow"/>
          <w:sz w:val="26"/>
          <w:szCs w:val="26"/>
        </w:rPr>
        <w:t xml:space="preserve">junta </w:t>
      </w:r>
      <w:r w:rsidR="00E217E3" w:rsidRPr="00E64FF7">
        <w:rPr>
          <w:rFonts w:ascii="Arial Narrow" w:hAnsi="Arial Narrow"/>
          <w:sz w:val="26"/>
          <w:szCs w:val="26"/>
        </w:rPr>
        <w:t>médica legal en la que se valoren la totalidad de sus padecimientos</w:t>
      </w:r>
      <w:r w:rsidR="00156EC7" w:rsidRPr="00E64FF7">
        <w:rPr>
          <w:rStyle w:val="Refdenotaalpie"/>
          <w:rFonts w:ascii="Arial Narrow" w:hAnsi="Arial Narrow"/>
          <w:sz w:val="26"/>
          <w:szCs w:val="26"/>
          <w:lang w:val="es-CO"/>
        </w:rPr>
        <w:footnoteReference w:id="1"/>
      </w:r>
      <w:r w:rsidR="00156EC7" w:rsidRPr="00E64FF7">
        <w:rPr>
          <w:rFonts w:ascii="Arial Narrow" w:hAnsi="Arial Narrow"/>
          <w:sz w:val="26"/>
          <w:szCs w:val="26"/>
          <w:lang w:val="es-CO"/>
        </w:rPr>
        <w:t>.</w:t>
      </w:r>
    </w:p>
    <w:p w14:paraId="29C99343" w14:textId="77777777" w:rsidR="00156EC7" w:rsidRPr="00E64FF7" w:rsidRDefault="00156EC7" w:rsidP="00E64FF7">
      <w:pPr>
        <w:pStyle w:val="Sinespaciado"/>
        <w:spacing w:line="276" w:lineRule="auto"/>
        <w:jc w:val="both"/>
        <w:rPr>
          <w:rFonts w:ascii="Arial Narrow" w:hAnsi="Arial Narrow"/>
          <w:sz w:val="26"/>
          <w:szCs w:val="26"/>
        </w:rPr>
      </w:pPr>
    </w:p>
    <w:p w14:paraId="352337A0" w14:textId="77777777" w:rsidR="00156EC7" w:rsidRPr="00E64FF7" w:rsidRDefault="00156EC7" w:rsidP="00E64FF7">
      <w:pPr>
        <w:pStyle w:val="Sinespaciado"/>
        <w:spacing w:line="276" w:lineRule="auto"/>
        <w:jc w:val="both"/>
        <w:rPr>
          <w:rFonts w:ascii="Arial Narrow" w:hAnsi="Arial Narrow"/>
          <w:bCs/>
          <w:sz w:val="26"/>
          <w:szCs w:val="26"/>
        </w:rPr>
      </w:pPr>
      <w:r w:rsidRPr="00E64FF7">
        <w:rPr>
          <w:rFonts w:ascii="Arial Narrow" w:hAnsi="Arial Narrow"/>
          <w:b/>
          <w:bCs/>
          <w:sz w:val="26"/>
          <w:szCs w:val="26"/>
        </w:rPr>
        <w:t xml:space="preserve">2. Trámite: </w:t>
      </w:r>
      <w:r w:rsidRPr="00E64FF7">
        <w:rPr>
          <w:rFonts w:ascii="Arial Narrow" w:hAnsi="Arial Narrow"/>
          <w:bCs/>
          <w:sz w:val="26"/>
          <w:szCs w:val="26"/>
        </w:rPr>
        <w:t xml:space="preserve">Por auto del </w:t>
      </w:r>
      <w:r w:rsidR="00E217E3" w:rsidRPr="00E64FF7">
        <w:rPr>
          <w:rFonts w:ascii="Arial Narrow" w:hAnsi="Arial Narrow"/>
          <w:bCs/>
          <w:sz w:val="26"/>
          <w:szCs w:val="26"/>
        </w:rPr>
        <w:t>27</w:t>
      </w:r>
      <w:r w:rsidRPr="00E64FF7">
        <w:rPr>
          <w:rFonts w:ascii="Arial Narrow" w:hAnsi="Arial Narrow"/>
          <w:bCs/>
          <w:sz w:val="26"/>
          <w:szCs w:val="26"/>
        </w:rPr>
        <w:t xml:space="preserve"> de</w:t>
      </w:r>
      <w:r w:rsidR="009E214B" w:rsidRPr="00E64FF7">
        <w:rPr>
          <w:rFonts w:ascii="Arial Narrow" w:hAnsi="Arial Narrow"/>
          <w:bCs/>
          <w:sz w:val="26"/>
          <w:szCs w:val="26"/>
        </w:rPr>
        <w:t xml:space="preserve"> </w:t>
      </w:r>
      <w:r w:rsidR="00E217E3" w:rsidRPr="00E64FF7">
        <w:rPr>
          <w:rFonts w:ascii="Arial Narrow" w:hAnsi="Arial Narrow"/>
          <w:bCs/>
          <w:sz w:val="26"/>
          <w:szCs w:val="26"/>
        </w:rPr>
        <w:t>julio</w:t>
      </w:r>
      <w:r w:rsidRPr="00E64FF7">
        <w:rPr>
          <w:rFonts w:ascii="Arial Narrow" w:hAnsi="Arial Narrow"/>
          <w:bCs/>
          <w:sz w:val="26"/>
          <w:szCs w:val="26"/>
        </w:rPr>
        <w:t xml:space="preserve"> de esta anualidad, el juzgado de primera instancia </w:t>
      </w:r>
      <w:r w:rsidR="00E217E3" w:rsidRPr="00E64FF7">
        <w:rPr>
          <w:rFonts w:ascii="Arial Narrow" w:hAnsi="Arial Narrow"/>
          <w:bCs/>
          <w:sz w:val="26"/>
          <w:szCs w:val="26"/>
        </w:rPr>
        <w:t>avocó el conocimiento de la</w:t>
      </w:r>
      <w:r w:rsidRPr="00E64FF7">
        <w:rPr>
          <w:rFonts w:ascii="Arial Narrow" w:hAnsi="Arial Narrow"/>
          <w:bCs/>
          <w:sz w:val="26"/>
          <w:szCs w:val="26"/>
        </w:rPr>
        <w:t xml:space="preserve"> acción constitucional y ordenó </w:t>
      </w:r>
      <w:r w:rsidR="009E214B" w:rsidRPr="00E64FF7">
        <w:rPr>
          <w:rFonts w:ascii="Arial Narrow" w:hAnsi="Arial Narrow"/>
          <w:bCs/>
          <w:sz w:val="26"/>
          <w:szCs w:val="26"/>
        </w:rPr>
        <w:t>vincular a la Junta Regional de Calificación de Invalidez de Risaralda</w:t>
      </w:r>
      <w:r w:rsidRPr="00E64FF7">
        <w:rPr>
          <w:rFonts w:ascii="Arial Narrow" w:hAnsi="Arial Narrow"/>
          <w:bCs/>
          <w:sz w:val="26"/>
          <w:szCs w:val="26"/>
        </w:rPr>
        <w:t>.</w:t>
      </w:r>
    </w:p>
    <w:p w14:paraId="2319B724" w14:textId="77777777" w:rsidR="00156EC7" w:rsidRPr="00E64FF7" w:rsidRDefault="00156EC7" w:rsidP="00E64FF7">
      <w:pPr>
        <w:pStyle w:val="Sinespaciado"/>
        <w:spacing w:line="276" w:lineRule="auto"/>
        <w:jc w:val="both"/>
        <w:rPr>
          <w:rFonts w:ascii="Arial Narrow" w:hAnsi="Arial Narrow"/>
          <w:bCs/>
          <w:sz w:val="26"/>
          <w:szCs w:val="26"/>
        </w:rPr>
      </w:pPr>
    </w:p>
    <w:p w14:paraId="2C939488" w14:textId="77777777" w:rsidR="00156EC7" w:rsidRPr="00E64FF7" w:rsidRDefault="00E217E3" w:rsidP="00E64FF7">
      <w:pPr>
        <w:pStyle w:val="Sinespaciado"/>
        <w:spacing w:line="276" w:lineRule="auto"/>
        <w:jc w:val="both"/>
        <w:rPr>
          <w:rFonts w:ascii="Arial Narrow" w:hAnsi="Arial Narrow"/>
          <w:sz w:val="26"/>
          <w:szCs w:val="26"/>
        </w:rPr>
      </w:pPr>
      <w:r w:rsidRPr="00E64FF7">
        <w:rPr>
          <w:rFonts w:ascii="Arial Narrow" w:hAnsi="Arial Narrow"/>
          <w:sz w:val="26"/>
          <w:szCs w:val="26"/>
        </w:rPr>
        <w:t>La Junta Nacional de Invalidez indicó que esa entidad agotó el trámite con estricto apego a la normativa vigente, y que</w:t>
      </w:r>
      <w:r w:rsidR="005227C8" w:rsidRPr="00E64FF7">
        <w:rPr>
          <w:rFonts w:ascii="Arial Narrow" w:hAnsi="Arial Narrow"/>
          <w:sz w:val="26"/>
          <w:szCs w:val="26"/>
        </w:rPr>
        <w:t xml:space="preserve"> como el caso</w:t>
      </w:r>
      <w:r w:rsidRPr="00E64FF7">
        <w:rPr>
          <w:rFonts w:ascii="Arial Narrow" w:hAnsi="Arial Narrow"/>
          <w:sz w:val="26"/>
          <w:szCs w:val="26"/>
        </w:rPr>
        <w:t xml:space="preserve"> </w:t>
      </w:r>
      <w:r w:rsidR="005227C8" w:rsidRPr="00E64FF7">
        <w:rPr>
          <w:rFonts w:ascii="Arial Narrow" w:hAnsi="Arial Narrow"/>
          <w:sz w:val="26"/>
          <w:szCs w:val="26"/>
        </w:rPr>
        <w:t>“</w:t>
      </w:r>
      <w:r w:rsidRPr="00E64FF7">
        <w:rPr>
          <w:rFonts w:ascii="Arial Narrow" w:hAnsi="Arial Narrow"/>
          <w:sz w:val="24"/>
          <w:szCs w:val="26"/>
        </w:rPr>
        <w:t>no cumplía los requisitos establecidos no fue posible dar aplicación a la calificación integral en materia de invalidez</w:t>
      </w:r>
      <w:r w:rsidR="005227C8" w:rsidRPr="00E64FF7">
        <w:rPr>
          <w:rFonts w:ascii="Arial Narrow" w:hAnsi="Arial Narrow"/>
          <w:sz w:val="26"/>
          <w:szCs w:val="26"/>
        </w:rPr>
        <w:t>”</w:t>
      </w:r>
      <w:r w:rsidRPr="00E64FF7">
        <w:rPr>
          <w:rFonts w:ascii="Arial Narrow" w:hAnsi="Arial Narrow"/>
          <w:sz w:val="26"/>
          <w:szCs w:val="26"/>
        </w:rPr>
        <w:t>.</w:t>
      </w:r>
      <w:r w:rsidR="005227C8" w:rsidRPr="00E64FF7">
        <w:rPr>
          <w:rFonts w:ascii="Arial Narrow" w:hAnsi="Arial Narrow"/>
          <w:sz w:val="26"/>
          <w:szCs w:val="26"/>
        </w:rPr>
        <w:t xml:space="preserve"> De otro lado, señaló que la controversia planteada por el actor debe ser dilucidada en el marco de un </w:t>
      </w:r>
      <w:r w:rsidRPr="00E64FF7">
        <w:rPr>
          <w:rFonts w:ascii="Arial Narrow" w:hAnsi="Arial Narrow"/>
          <w:sz w:val="26"/>
          <w:szCs w:val="26"/>
        </w:rPr>
        <w:t>proceso ordinario</w:t>
      </w:r>
      <w:r w:rsidR="005227C8" w:rsidRPr="00E64FF7">
        <w:rPr>
          <w:rFonts w:ascii="Arial Narrow" w:hAnsi="Arial Narrow"/>
          <w:sz w:val="26"/>
          <w:szCs w:val="26"/>
        </w:rPr>
        <w:t xml:space="preserve"> laboral, medio idóneo para resolver debates formulados contra dictámenes en firme de pérdida de la capacidad laboral, de conformidad con el artículo 44 del Decreto 1352 de 2013</w:t>
      </w:r>
      <w:r w:rsidR="00156EC7" w:rsidRPr="00E64FF7">
        <w:rPr>
          <w:rStyle w:val="Refdenotaalpie"/>
          <w:rFonts w:ascii="Arial Narrow" w:hAnsi="Arial Narrow"/>
          <w:sz w:val="26"/>
          <w:szCs w:val="26"/>
        </w:rPr>
        <w:footnoteReference w:id="2"/>
      </w:r>
      <w:r w:rsidR="00156EC7" w:rsidRPr="00E64FF7">
        <w:rPr>
          <w:rFonts w:ascii="Arial Narrow" w:hAnsi="Arial Narrow"/>
          <w:sz w:val="26"/>
          <w:szCs w:val="26"/>
        </w:rPr>
        <w:t>.</w:t>
      </w:r>
    </w:p>
    <w:p w14:paraId="34B5DE94" w14:textId="77777777" w:rsidR="00156EC7" w:rsidRPr="00E64FF7" w:rsidRDefault="00156EC7" w:rsidP="00E64FF7">
      <w:pPr>
        <w:pStyle w:val="Sinespaciado"/>
        <w:spacing w:line="276" w:lineRule="auto"/>
        <w:jc w:val="both"/>
        <w:rPr>
          <w:rFonts w:ascii="Arial Narrow" w:hAnsi="Arial Narrow"/>
          <w:bCs/>
          <w:sz w:val="26"/>
          <w:szCs w:val="26"/>
        </w:rPr>
      </w:pPr>
    </w:p>
    <w:p w14:paraId="40289DF2" w14:textId="65EBCF73" w:rsidR="003F1871" w:rsidRPr="00E64FF7" w:rsidRDefault="00156EC7" w:rsidP="00E64FF7">
      <w:pPr>
        <w:pStyle w:val="Sinespaciado"/>
        <w:spacing w:line="276" w:lineRule="auto"/>
        <w:jc w:val="both"/>
        <w:rPr>
          <w:rFonts w:ascii="Arial Narrow" w:hAnsi="Arial Narrow"/>
          <w:color w:val="ED7D31" w:themeColor="accent2"/>
          <w:sz w:val="26"/>
          <w:szCs w:val="26"/>
        </w:rPr>
      </w:pPr>
      <w:r w:rsidRPr="00E64FF7">
        <w:rPr>
          <w:rFonts w:ascii="Arial Narrow" w:hAnsi="Arial Narrow"/>
          <w:b/>
          <w:bCs/>
          <w:sz w:val="26"/>
          <w:szCs w:val="26"/>
        </w:rPr>
        <w:t>3.</w:t>
      </w:r>
      <w:r w:rsidR="00545E35" w:rsidRPr="00E64FF7">
        <w:rPr>
          <w:rFonts w:ascii="Arial Narrow" w:hAnsi="Arial Narrow"/>
          <w:b/>
          <w:bCs/>
          <w:sz w:val="26"/>
          <w:szCs w:val="26"/>
        </w:rPr>
        <w:t xml:space="preserve"> </w:t>
      </w:r>
      <w:r w:rsidR="00545E35" w:rsidRPr="00E64FF7">
        <w:rPr>
          <w:rFonts w:ascii="Arial Narrow" w:hAnsi="Arial Narrow"/>
          <w:sz w:val="26"/>
          <w:szCs w:val="26"/>
        </w:rPr>
        <w:t>La sentencia proferida el 06 de agosto de este año</w:t>
      </w:r>
      <w:r w:rsidR="00707F32" w:rsidRPr="00E64FF7">
        <w:rPr>
          <w:rFonts w:ascii="Arial Narrow" w:hAnsi="Arial Narrow"/>
          <w:sz w:val="26"/>
          <w:szCs w:val="26"/>
        </w:rPr>
        <w:t xml:space="preserve"> por </w:t>
      </w:r>
      <w:r w:rsidR="00545E35" w:rsidRPr="00E64FF7">
        <w:rPr>
          <w:rFonts w:ascii="Arial Narrow" w:hAnsi="Arial Narrow"/>
          <w:sz w:val="26"/>
          <w:szCs w:val="26"/>
        </w:rPr>
        <w:t xml:space="preserve">el juzgado de primera instancia, fue declarada nula </w:t>
      </w:r>
      <w:r w:rsidR="0001797E" w:rsidRPr="00E64FF7">
        <w:rPr>
          <w:rFonts w:ascii="Arial Narrow" w:hAnsi="Arial Narrow"/>
          <w:sz w:val="26"/>
          <w:szCs w:val="26"/>
        </w:rPr>
        <w:t xml:space="preserve">en esta sede debido a la falta de vinculación de </w:t>
      </w:r>
      <w:r w:rsidR="0001797E" w:rsidRPr="00E64FF7">
        <w:rPr>
          <w:rFonts w:ascii="Arial Narrow" w:hAnsi="Arial Narrow"/>
          <w:sz w:val="26"/>
          <w:szCs w:val="26"/>
          <w:lang w:val="es-CO"/>
        </w:rPr>
        <w:t>la Aseguradora de Riesgos Laborales COLMENA</w:t>
      </w:r>
      <w:r w:rsidR="00AA0F1D" w:rsidRPr="00E64FF7">
        <w:rPr>
          <w:rFonts w:ascii="Arial Narrow" w:hAnsi="Arial Narrow"/>
          <w:sz w:val="26"/>
          <w:szCs w:val="26"/>
          <w:lang w:val="es-CO"/>
        </w:rPr>
        <w:t xml:space="preserve">, </w:t>
      </w:r>
      <w:r w:rsidR="00251330" w:rsidRPr="00E64FF7">
        <w:rPr>
          <w:rFonts w:ascii="Arial Narrow" w:hAnsi="Arial Narrow"/>
          <w:sz w:val="26"/>
          <w:szCs w:val="26"/>
          <w:lang w:val="es-CO"/>
        </w:rPr>
        <w:t>entidad a quien se puso en conocimiento la irregularidad y deprecó la anulación de lo actuado.</w:t>
      </w:r>
    </w:p>
    <w:p w14:paraId="71402002" w14:textId="77777777" w:rsidR="003F1871" w:rsidRPr="00E64FF7" w:rsidRDefault="003F1871" w:rsidP="00E64FF7">
      <w:pPr>
        <w:pStyle w:val="Sinespaciado"/>
        <w:spacing w:line="276" w:lineRule="auto"/>
        <w:jc w:val="both"/>
        <w:rPr>
          <w:rFonts w:ascii="Arial Narrow" w:hAnsi="Arial Narrow"/>
          <w:b/>
          <w:bCs/>
          <w:sz w:val="26"/>
          <w:szCs w:val="26"/>
        </w:rPr>
      </w:pPr>
    </w:p>
    <w:p w14:paraId="4418D76D" w14:textId="4CC993A0" w:rsidR="00156EC7" w:rsidRPr="00E64FF7" w:rsidRDefault="00644BF5" w:rsidP="00E64FF7">
      <w:pPr>
        <w:pStyle w:val="Sinespaciado"/>
        <w:spacing w:line="276" w:lineRule="auto"/>
        <w:jc w:val="both"/>
        <w:rPr>
          <w:rFonts w:ascii="Arial Narrow" w:hAnsi="Arial Narrow"/>
          <w:sz w:val="26"/>
          <w:szCs w:val="26"/>
        </w:rPr>
      </w:pPr>
      <w:r w:rsidRPr="00E64FF7">
        <w:rPr>
          <w:rFonts w:ascii="Arial Narrow" w:hAnsi="Arial Narrow"/>
          <w:b/>
          <w:bCs/>
          <w:sz w:val="26"/>
          <w:szCs w:val="26"/>
        </w:rPr>
        <w:t xml:space="preserve">4. </w:t>
      </w:r>
      <w:r w:rsidRPr="00E64FF7">
        <w:rPr>
          <w:rFonts w:ascii="Arial Narrow" w:hAnsi="Arial Narrow"/>
          <w:sz w:val="26"/>
          <w:szCs w:val="26"/>
        </w:rPr>
        <w:t>Rehecha la actuación</w:t>
      </w:r>
      <w:r w:rsidR="00BD6BEE" w:rsidRPr="00E64FF7">
        <w:rPr>
          <w:rFonts w:ascii="Arial Narrow" w:hAnsi="Arial Narrow"/>
          <w:sz w:val="26"/>
          <w:szCs w:val="26"/>
        </w:rPr>
        <w:t xml:space="preserve"> ese despacho judicial emitió nueva sentencia el</w:t>
      </w:r>
      <w:r w:rsidR="005227C8" w:rsidRPr="00E64FF7">
        <w:rPr>
          <w:rFonts w:ascii="Arial Narrow" w:hAnsi="Arial Narrow"/>
          <w:sz w:val="26"/>
          <w:szCs w:val="26"/>
        </w:rPr>
        <w:t xml:space="preserve"> </w:t>
      </w:r>
      <w:r w:rsidR="00ED0374" w:rsidRPr="00E64FF7">
        <w:rPr>
          <w:rFonts w:ascii="Arial Narrow" w:hAnsi="Arial Narrow"/>
          <w:sz w:val="26"/>
          <w:szCs w:val="26"/>
        </w:rPr>
        <w:t xml:space="preserve">18 de noviembre </w:t>
      </w:r>
      <w:r w:rsidR="00CE65CA" w:rsidRPr="00E64FF7">
        <w:rPr>
          <w:rFonts w:ascii="Arial Narrow" w:hAnsi="Arial Narrow"/>
          <w:sz w:val="26"/>
          <w:szCs w:val="26"/>
        </w:rPr>
        <w:t>de este año</w:t>
      </w:r>
      <w:r w:rsidR="00156EC7" w:rsidRPr="00E64FF7">
        <w:rPr>
          <w:rFonts w:ascii="Arial Narrow" w:hAnsi="Arial Narrow"/>
          <w:sz w:val="26"/>
          <w:szCs w:val="26"/>
        </w:rPr>
        <w:t>,</w:t>
      </w:r>
      <w:r w:rsidR="007E0BE2" w:rsidRPr="00E64FF7">
        <w:rPr>
          <w:rFonts w:ascii="Arial Narrow" w:hAnsi="Arial Narrow"/>
          <w:sz w:val="26"/>
          <w:szCs w:val="26"/>
        </w:rPr>
        <w:t xml:space="preserve"> </w:t>
      </w:r>
      <w:r w:rsidR="005227C8" w:rsidRPr="00E64FF7">
        <w:rPr>
          <w:rFonts w:ascii="Arial Narrow" w:hAnsi="Arial Narrow"/>
          <w:sz w:val="26"/>
          <w:szCs w:val="26"/>
        </w:rPr>
        <w:t>ne</w:t>
      </w:r>
      <w:r w:rsidR="007E0BE2" w:rsidRPr="00E64FF7">
        <w:rPr>
          <w:rFonts w:ascii="Arial Narrow" w:hAnsi="Arial Narrow"/>
          <w:sz w:val="26"/>
          <w:szCs w:val="26"/>
        </w:rPr>
        <w:t>gando e</w:t>
      </w:r>
      <w:r w:rsidR="005227C8" w:rsidRPr="00E64FF7">
        <w:rPr>
          <w:rFonts w:ascii="Arial Narrow" w:hAnsi="Arial Narrow"/>
          <w:sz w:val="26"/>
          <w:szCs w:val="26"/>
        </w:rPr>
        <w:t>l amparo constitucional,</w:t>
      </w:r>
      <w:r w:rsidR="00156EC7" w:rsidRPr="00E64FF7">
        <w:rPr>
          <w:rFonts w:ascii="Arial Narrow" w:hAnsi="Arial Narrow"/>
          <w:iCs/>
          <w:sz w:val="26"/>
          <w:szCs w:val="26"/>
        </w:rPr>
        <w:t xml:space="preserve"> tras considerar que </w:t>
      </w:r>
      <w:r w:rsidR="009E6207" w:rsidRPr="00E64FF7">
        <w:rPr>
          <w:rFonts w:ascii="Arial Narrow" w:hAnsi="Arial Narrow"/>
          <w:iCs/>
          <w:sz w:val="26"/>
          <w:szCs w:val="26"/>
        </w:rPr>
        <w:t>el Decreto 1</w:t>
      </w:r>
      <w:r w:rsidR="0071699E" w:rsidRPr="00E64FF7">
        <w:rPr>
          <w:rFonts w:ascii="Arial Narrow" w:hAnsi="Arial Narrow"/>
          <w:iCs/>
          <w:sz w:val="26"/>
          <w:szCs w:val="26"/>
        </w:rPr>
        <w:t>072</w:t>
      </w:r>
      <w:r w:rsidR="009E6207" w:rsidRPr="00E64FF7">
        <w:rPr>
          <w:rFonts w:ascii="Arial Narrow" w:hAnsi="Arial Narrow"/>
          <w:iCs/>
          <w:sz w:val="26"/>
          <w:szCs w:val="26"/>
        </w:rPr>
        <w:t xml:space="preserve"> de 201</w:t>
      </w:r>
      <w:r w:rsidR="0071699E" w:rsidRPr="00E64FF7">
        <w:rPr>
          <w:rFonts w:ascii="Arial Narrow" w:hAnsi="Arial Narrow"/>
          <w:iCs/>
          <w:sz w:val="26"/>
          <w:szCs w:val="26"/>
        </w:rPr>
        <w:t>5</w:t>
      </w:r>
      <w:r w:rsidR="009E6207" w:rsidRPr="00E64FF7">
        <w:rPr>
          <w:rFonts w:ascii="Arial Narrow" w:hAnsi="Arial Narrow"/>
          <w:iCs/>
          <w:sz w:val="26"/>
          <w:szCs w:val="26"/>
        </w:rPr>
        <w:t xml:space="preserve"> establece que las </w:t>
      </w:r>
      <w:r w:rsidR="00FB402B" w:rsidRPr="00E64FF7">
        <w:rPr>
          <w:rFonts w:ascii="Arial Narrow" w:hAnsi="Arial Narrow"/>
          <w:iCs/>
          <w:sz w:val="26"/>
          <w:szCs w:val="26"/>
        </w:rPr>
        <w:t xml:space="preserve">objeciones </w:t>
      </w:r>
      <w:r w:rsidR="009E6207" w:rsidRPr="00E64FF7">
        <w:rPr>
          <w:rFonts w:ascii="Arial Narrow" w:hAnsi="Arial Narrow"/>
          <w:iCs/>
          <w:sz w:val="26"/>
          <w:szCs w:val="26"/>
        </w:rPr>
        <w:t xml:space="preserve">que se originen en decisiones de las Juntas de Calificación de Invalidez deben ser dirimidas por la jurisdicción ordinaria laboral, es decir que en este caso concurre medio ordinario de defensa judicial que demerita la procedencia de la tutela, en aplicación del principio de subsidiariedad, más aún si se tiene en cuenta que no se demostró la </w:t>
      </w:r>
      <w:r w:rsidR="009E6207" w:rsidRPr="00E64FF7">
        <w:rPr>
          <w:rFonts w:ascii="Arial Narrow" w:hAnsi="Arial Narrow"/>
          <w:iCs/>
          <w:sz w:val="26"/>
          <w:szCs w:val="26"/>
        </w:rPr>
        <w:lastRenderedPageBreak/>
        <w:t>ocurrencia de un perjuicio irremediable</w:t>
      </w:r>
      <w:r w:rsidR="00156EC7" w:rsidRPr="00E64FF7">
        <w:rPr>
          <w:rStyle w:val="Refdenotaalpie"/>
          <w:rFonts w:ascii="Arial Narrow" w:hAnsi="Arial Narrow"/>
          <w:bCs/>
          <w:sz w:val="26"/>
          <w:szCs w:val="26"/>
        </w:rPr>
        <w:footnoteReference w:id="3"/>
      </w:r>
      <w:r w:rsidR="00156EC7" w:rsidRPr="00E64FF7">
        <w:rPr>
          <w:rFonts w:ascii="Arial Narrow" w:hAnsi="Arial Narrow"/>
          <w:iCs/>
          <w:sz w:val="26"/>
          <w:szCs w:val="26"/>
          <w:lang w:val="es-CO"/>
        </w:rPr>
        <w:t>.</w:t>
      </w:r>
    </w:p>
    <w:p w14:paraId="080D3D41" w14:textId="77777777" w:rsidR="00156EC7" w:rsidRPr="00E64FF7" w:rsidRDefault="00156EC7" w:rsidP="00E64FF7">
      <w:pPr>
        <w:pStyle w:val="Sinespaciado"/>
        <w:spacing w:line="276" w:lineRule="auto"/>
        <w:jc w:val="both"/>
        <w:rPr>
          <w:rFonts w:ascii="Arial Narrow" w:hAnsi="Arial Narrow"/>
          <w:b/>
          <w:sz w:val="26"/>
          <w:szCs w:val="26"/>
          <w:lang w:val="es-CO"/>
        </w:rPr>
      </w:pPr>
    </w:p>
    <w:p w14:paraId="7EF3931E" w14:textId="77777777" w:rsidR="00156EC7" w:rsidRPr="00E64FF7" w:rsidRDefault="00BD6BEE" w:rsidP="00E64FF7">
      <w:pPr>
        <w:pStyle w:val="Sinespaciado"/>
        <w:spacing w:line="276" w:lineRule="auto"/>
        <w:jc w:val="both"/>
        <w:rPr>
          <w:rFonts w:ascii="Arial Narrow" w:hAnsi="Arial Narrow"/>
          <w:sz w:val="26"/>
          <w:szCs w:val="26"/>
        </w:rPr>
      </w:pPr>
      <w:r w:rsidRPr="00E64FF7">
        <w:rPr>
          <w:rFonts w:ascii="Arial Narrow" w:hAnsi="Arial Narrow"/>
          <w:b/>
          <w:sz w:val="26"/>
          <w:szCs w:val="26"/>
        </w:rPr>
        <w:t>5</w:t>
      </w:r>
      <w:r w:rsidR="00156EC7" w:rsidRPr="00E64FF7">
        <w:rPr>
          <w:rFonts w:ascii="Arial Narrow" w:hAnsi="Arial Narrow"/>
          <w:b/>
          <w:sz w:val="26"/>
          <w:szCs w:val="26"/>
        </w:rPr>
        <w:t>. Impugnación:</w:t>
      </w:r>
      <w:r w:rsidR="009E6207" w:rsidRPr="00E64FF7">
        <w:rPr>
          <w:rFonts w:ascii="Arial Narrow" w:hAnsi="Arial Narrow"/>
          <w:sz w:val="26"/>
          <w:szCs w:val="26"/>
        </w:rPr>
        <w:t xml:space="preserve"> La parte actora hizo consistir las razones de su disenso con la sentencia de primera instancia, en que el cuadro clínico que presenta el accionante lo ubica en situación de debilidad manifiesta</w:t>
      </w:r>
      <w:r w:rsidR="00FB402B" w:rsidRPr="00E64FF7">
        <w:rPr>
          <w:rFonts w:ascii="Arial Narrow" w:hAnsi="Arial Narrow"/>
          <w:sz w:val="26"/>
          <w:szCs w:val="26"/>
        </w:rPr>
        <w:t xml:space="preserve">, que hace obsoleto cualquier otro medio de defensa judicial ya que por tales condiciones de salud no puede aguardar una decisión en sede </w:t>
      </w:r>
      <w:r w:rsidR="00307B8E" w:rsidRPr="00E64FF7">
        <w:rPr>
          <w:rFonts w:ascii="Arial Narrow" w:hAnsi="Arial Narrow"/>
          <w:sz w:val="26"/>
          <w:szCs w:val="26"/>
        </w:rPr>
        <w:t>ordinaria</w:t>
      </w:r>
      <w:r w:rsidR="00FB402B" w:rsidRPr="00E64FF7">
        <w:rPr>
          <w:rFonts w:ascii="Arial Narrow" w:hAnsi="Arial Narrow"/>
          <w:sz w:val="26"/>
          <w:szCs w:val="26"/>
        </w:rPr>
        <w:t xml:space="preserve"> laboral, </w:t>
      </w:r>
      <w:r w:rsidR="009E6207" w:rsidRPr="00E64FF7">
        <w:rPr>
          <w:rFonts w:ascii="Arial Narrow" w:hAnsi="Arial Narrow"/>
          <w:sz w:val="26"/>
          <w:szCs w:val="26"/>
        </w:rPr>
        <w:t xml:space="preserve"> y que la Junta Nacional de Invalidez, al omitir </w:t>
      </w:r>
      <w:r w:rsidR="00FB402B" w:rsidRPr="00E64FF7">
        <w:rPr>
          <w:rFonts w:ascii="Arial Narrow" w:hAnsi="Arial Narrow"/>
          <w:sz w:val="26"/>
          <w:szCs w:val="26"/>
        </w:rPr>
        <w:t xml:space="preserve">injustificadamente </w:t>
      </w:r>
      <w:r w:rsidR="009E6207" w:rsidRPr="00E64FF7">
        <w:rPr>
          <w:rFonts w:ascii="Arial Narrow" w:hAnsi="Arial Narrow"/>
          <w:sz w:val="26"/>
          <w:szCs w:val="26"/>
        </w:rPr>
        <w:t>calificar de manera integral</w:t>
      </w:r>
      <w:r w:rsidR="00FB402B" w:rsidRPr="00E64FF7">
        <w:rPr>
          <w:rFonts w:ascii="Arial Narrow" w:hAnsi="Arial Narrow"/>
          <w:sz w:val="26"/>
          <w:szCs w:val="26"/>
        </w:rPr>
        <w:t xml:space="preserve"> su pérdida de la capacidad laboral, le causa un perjuicio irremediable</w:t>
      </w:r>
      <w:r w:rsidR="00156EC7" w:rsidRPr="00E64FF7">
        <w:rPr>
          <w:rStyle w:val="Refdenotaalpie"/>
          <w:rFonts w:ascii="Arial Narrow" w:hAnsi="Arial Narrow"/>
          <w:bCs/>
          <w:sz w:val="26"/>
          <w:szCs w:val="26"/>
        </w:rPr>
        <w:footnoteReference w:id="4"/>
      </w:r>
      <w:r w:rsidR="00156EC7" w:rsidRPr="00E64FF7">
        <w:rPr>
          <w:rFonts w:ascii="Arial Narrow" w:hAnsi="Arial Narrow"/>
          <w:sz w:val="26"/>
          <w:szCs w:val="26"/>
        </w:rPr>
        <w:t>.</w:t>
      </w:r>
    </w:p>
    <w:p w14:paraId="615FE20E" w14:textId="77777777" w:rsidR="00156EC7" w:rsidRPr="00E64FF7" w:rsidRDefault="00156EC7" w:rsidP="00E64FF7">
      <w:pPr>
        <w:pStyle w:val="Sinespaciado"/>
        <w:spacing w:line="276" w:lineRule="auto"/>
        <w:jc w:val="both"/>
        <w:rPr>
          <w:rFonts w:ascii="Arial Narrow" w:hAnsi="Arial Narrow"/>
          <w:sz w:val="26"/>
          <w:szCs w:val="26"/>
        </w:rPr>
      </w:pPr>
    </w:p>
    <w:p w14:paraId="36700C2D" w14:textId="77777777" w:rsidR="00156EC7" w:rsidRPr="00E64FF7" w:rsidRDefault="00156EC7" w:rsidP="00E64FF7">
      <w:pPr>
        <w:pStyle w:val="Sinespaciado"/>
        <w:spacing w:line="276" w:lineRule="auto"/>
        <w:jc w:val="center"/>
        <w:rPr>
          <w:rFonts w:ascii="Arial Narrow" w:hAnsi="Arial Narrow"/>
          <w:sz w:val="26"/>
          <w:szCs w:val="26"/>
        </w:rPr>
      </w:pPr>
      <w:r w:rsidRPr="00E64FF7">
        <w:rPr>
          <w:rFonts w:ascii="Arial Narrow" w:hAnsi="Arial Narrow"/>
          <w:b/>
          <w:bCs/>
          <w:sz w:val="26"/>
          <w:szCs w:val="26"/>
        </w:rPr>
        <w:t>CONSIDERACIONES</w:t>
      </w:r>
    </w:p>
    <w:p w14:paraId="038FF311" w14:textId="77777777" w:rsidR="00156EC7" w:rsidRPr="00E64FF7" w:rsidRDefault="00156EC7" w:rsidP="00E64FF7">
      <w:pPr>
        <w:pStyle w:val="Sinespaciado"/>
        <w:spacing w:line="276" w:lineRule="auto"/>
        <w:jc w:val="both"/>
        <w:rPr>
          <w:rFonts w:ascii="Arial Narrow" w:hAnsi="Arial Narrow"/>
          <w:sz w:val="26"/>
          <w:szCs w:val="26"/>
        </w:rPr>
      </w:pPr>
    </w:p>
    <w:p w14:paraId="446C890D" w14:textId="4C3923DA" w:rsidR="00FB402B" w:rsidRPr="00E64FF7" w:rsidRDefault="00FB402B" w:rsidP="00E64FF7">
      <w:pPr>
        <w:spacing w:line="276" w:lineRule="auto"/>
        <w:jc w:val="both"/>
        <w:rPr>
          <w:rFonts w:ascii="Arial Narrow" w:hAnsi="Arial Narrow"/>
          <w:sz w:val="26"/>
          <w:szCs w:val="26"/>
        </w:rPr>
      </w:pPr>
      <w:r w:rsidRPr="00E64FF7">
        <w:rPr>
          <w:rFonts w:ascii="Arial Narrow" w:hAnsi="Arial Narrow"/>
          <w:b/>
          <w:sz w:val="26"/>
          <w:szCs w:val="26"/>
        </w:rPr>
        <w:t>1.</w:t>
      </w:r>
      <w:r w:rsidRPr="00E64FF7">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w:t>
      </w:r>
      <w:r w:rsidR="00175858" w:rsidRPr="00E64FF7">
        <w:rPr>
          <w:rFonts w:ascii="Arial Narrow" w:eastAsia="Arial Narrow" w:hAnsi="Arial Narrow" w:cs="Arial Narrow"/>
          <w:sz w:val="26"/>
          <w:szCs w:val="26"/>
        </w:rPr>
        <w:t xml:space="preserve">e defensa judicial o existiendo, </w:t>
      </w:r>
      <w:r w:rsidRPr="00E64FF7">
        <w:rPr>
          <w:rFonts w:ascii="Arial Narrow" w:eastAsia="Arial Narrow" w:hAnsi="Arial Narrow" w:cs="Arial Narrow"/>
          <w:sz w:val="26"/>
          <w:szCs w:val="26"/>
        </w:rPr>
        <w:t>cuando la tutela se utilice como mecanismo transitorio para evitar la materialización de un perjuicio de carácter irremediable.</w:t>
      </w:r>
    </w:p>
    <w:p w14:paraId="12D28234" w14:textId="77777777" w:rsidR="00FB402B" w:rsidRPr="00E64FF7" w:rsidRDefault="00FB402B" w:rsidP="00E64FF7">
      <w:pPr>
        <w:pStyle w:val="Sinespaciado"/>
        <w:spacing w:line="276" w:lineRule="auto"/>
        <w:jc w:val="both"/>
        <w:rPr>
          <w:rFonts w:ascii="Arial Narrow" w:hAnsi="Arial Narrow"/>
          <w:b/>
          <w:sz w:val="26"/>
          <w:szCs w:val="26"/>
        </w:rPr>
      </w:pPr>
    </w:p>
    <w:p w14:paraId="30D9CD7F" w14:textId="77777777" w:rsidR="00307B8E" w:rsidRPr="00E64FF7" w:rsidRDefault="00307B8E" w:rsidP="00E64FF7">
      <w:pPr>
        <w:pStyle w:val="Sinespaciado"/>
        <w:spacing w:line="276" w:lineRule="auto"/>
        <w:jc w:val="both"/>
        <w:rPr>
          <w:rFonts w:ascii="Arial Narrow" w:hAnsi="Arial Narrow" w:cs="Arial Narrow"/>
          <w:bCs/>
          <w:sz w:val="26"/>
          <w:szCs w:val="26"/>
          <w:lang w:eastAsia="es-MX"/>
        </w:rPr>
      </w:pPr>
      <w:r w:rsidRPr="00E64FF7">
        <w:rPr>
          <w:rFonts w:ascii="Arial Narrow" w:hAnsi="Arial Narrow"/>
          <w:b/>
          <w:sz w:val="26"/>
          <w:szCs w:val="26"/>
        </w:rPr>
        <w:t xml:space="preserve">2. </w:t>
      </w:r>
      <w:r w:rsidRPr="00E64FF7">
        <w:rPr>
          <w:rFonts w:ascii="Arial Narrow" w:hAnsi="Arial Narrow"/>
          <w:sz w:val="26"/>
          <w:szCs w:val="26"/>
        </w:rPr>
        <w:t xml:space="preserve">En el caso concreto la queja constitucional se plantea contra </w:t>
      </w:r>
      <w:r w:rsidR="00673D9B" w:rsidRPr="00E64FF7">
        <w:rPr>
          <w:rFonts w:ascii="Arial Narrow" w:hAnsi="Arial Narrow"/>
          <w:sz w:val="26"/>
          <w:szCs w:val="26"/>
        </w:rPr>
        <w:t>la Junta Nacional de Calificación de Invalidez por, supuestamente, haber resuelto el trámite médico laboral sin valorar de manera íntegra sus diagnósticos</w:t>
      </w:r>
      <w:r w:rsidRPr="00E64FF7">
        <w:rPr>
          <w:rFonts w:ascii="Arial Narrow" w:hAnsi="Arial Narrow"/>
          <w:sz w:val="26"/>
          <w:szCs w:val="26"/>
        </w:rPr>
        <w:t xml:space="preserve">. </w:t>
      </w:r>
      <w:r w:rsidRPr="00E64FF7">
        <w:rPr>
          <w:rFonts w:ascii="Arial Narrow" w:hAnsi="Arial Narrow" w:cs="Arial Narrow"/>
          <w:bCs/>
          <w:sz w:val="26"/>
          <w:szCs w:val="26"/>
          <w:lang w:eastAsia="es-MX"/>
        </w:rPr>
        <w:t>Frente a esas situaciones, la</w:t>
      </w:r>
      <w:r w:rsidR="00673D9B" w:rsidRPr="00E64FF7">
        <w:rPr>
          <w:rFonts w:ascii="Arial Narrow" w:hAnsi="Arial Narrow" w:cs="Arial Narrow"/>
          <w:bCs/>
          <w:sz w:val="26"/>
          <w:szCs w:val="26"/>
          <w:lang w:eastAsia="es-MX"/>
        </w:rPr>
        <w:t xml:space="preserve"> pr</w:t>
      </w:r>
      <w:r w:rsidR="00870EB1" w:rsidRPr="00E64FF7">
        <w:rPr>
          <w:rFonts w:ascii="Arial Narrow" w:hAnsi="Arial Narrow" w:cs="Arial Narrow"/>
          <w:bCs/>
          <w:sz w:val="26"/>
          <w:szCs w:val="26"/>
          <w:lang w:eastAsia="es-MX"/>
        </w:rPr>
        <w:t>imera instancia estimó que las co</w:t>
      </w:r>
      <w:r w:rsidR="00AC6F0C" w:rsidRPr="00E64FF7">
        <w:rPr>
          <w:rFonts w:ascii="Arial Narrow" w:hAnsi="Arial Narrow" w:cs="Arial Narrow"/>
          <w:bCs/>
          <w:sz w:val="26"/>
          <w:szCs w:val="26"/>
          <w:lang w:eastAsia="es-MX"/>
        </w:rPr>
        <w:t>ntroversias sobre</w:t>
      </w:r>
      <w:r w:rsidR="00870EB1" w:rsidRPr="00E64FF7">
        <w:rPr>
          <w:rFonts w:ascii="Arial Narrow" w:hAnsi="Arial Narrow" w:cs="Arial Narrow"/>
          <w:bCs/>
          <w:sz w:val="26"/>
          <w:szCs w:val="26"/>
          <w:lang w:eastAsia="es-MX"/>
        </w:rPr>
        <w:t xml:space="preserve"> dictámenes de las Juntas de Invalidez, deben ser ventiladas ante la jurisdicción ordinaria, medio eficaz para esos efectos</w:t>
      </w:r>
      <w:r w:rsidRPr="00E64FF7">
        <w:rPr>
          <w:rFonts w:ascii="Arial Narrow" w:hAnsi="Arial Narrow" w:cs="Arial Narrow"/>
          <w:bCs/>
          <w:sz w:val="26"/>
          <w:szCs w:val="26"/>
          <w:lang w:eastAsia="es-MX"/>
        </w:rPr>
        <w:t xml:space="preserve">. </w:t>
      </w:r>
    </w:p>
    <w:p w14:paraId="2EAD5B5A" w14:textId="77777777" w:rsidR="00307B8E" w:rsidRPr="00E64FF7" w:rsidRDefault="00307B8E" w:rsidP="00E64FF7">
      <w:pPr>
        <w:pStyle w:val="Sinespaciado"/>
        <w:spacing w:line="276" w:lineRule="auto"/>
        <w:jc w:val="both"/>
        <w:rPr>
          <w:rFonts w:ascii="Arial Narrow" w:hAnsi="Arial Narrow" w:cs="Arial Narrow"/>
          <w:bCs/>
          <w:sz w:val="26"/>
          <w:szCs w:val="26"/>
          <w:lang w:eastAsia="es-MX"/>
        </w:rPr>
      </w:pPr>
    </w:p>
    <w:p w14:paraId="4B9659D8" w14:textId="77777777" w:rsidR="00307B8E" w:rsidRPr="00E64FF7" w:rsidRDefault="00870EB1" w:rsidP="00E64FF7">
      <w:pPr>
        <w:pStyle w:val="Sinespaciado"/>
        <w:spacing w:line="276" w:lineRule="auto"/>
        <w:jc w:val="both"/>
        <w:rPr>
          <w:rFonts w:ascii="Arial Narrow" w:hAnsi="Arial Narrow"/>
          <w:sz w:val="26"/>
          <w:szCs w:val="26"/>
        </w:rPr>
      </w:pPr>
      <w:r w:rsidRPr="00E64FF7">
        <w:rPr>
          <w:rFonts w:ascii="Arial Narrow" w:hAnsi="Arial Narrow" w:cs="Arial Narrow"/>
          <w:bCs/>
          <w:sz w:val="26"/>
          <w:szCs w:val="26"/>
          <w:lang w:eastAsia="es-MX"/>
        </w:rPr>
        <w:t>El</w:t>
      </w:r>
      <w:r w:rsidR="00307B8E" w:rsidRPr="00E64FF7">
        <w:rPr>
          <w:rFonts w:ascii="Arial Narrow" w:hAnsi="Arial Narrow" w:cs="Arial Narrow"/>
          <w:bCs/>
          <w:sz w:val="26"/>
          <w:szCs w:val="26"/>
          <w:lang w:eastAsia="es-MX"/>
        </w:rPr>
        <w:t xml:space="preserve"> accionante se mostró inconforme con esa decisión porque, considera, </w:t>
      </w:r>
      <w:r w:rsidRPr="00E64FF7">
        <w:rPr>
          <w:rFonts w:ascii="Arial Narrow" w:hAnsi="Arial Narrow" w:cs="Arial Narrow"/>
          <w:bCs/>
          <w:sz w:val="26"/>
          <w:szCs w:val="26"/>
          <w:lang w:eastAsia="es-MX"/>
        </w:rPr>
        <w:t xml:space="preserve">dicha herramienta </w:t>
      </w:r>
      <w:r w:rsidR="00307B8E" w:rsidRPr="00E64FF7">
        <w:rPr>
          <w:rFonts w:ascii="Arial Narrow" w:hAnsi="Arial Narrow" w:cs="Arial Narrow"/>
          <w:bCs/>
          <w:sz w:val="26"/>
          <w:szCs w:val="26"/>
          <w:lang w:eastAsia="es-MX"/>
        </w:rPr>
        <w:t xml:space="preserve">de defensa judicial </w:t>
      </w:r>
      <w:r w:rsidRPr="00E64FF7">
        <w:rPr>
          <w:rFonts w:ascii="Arial Narrow" w:hAnsi="Arial Narrow" w:cs="Arial Narrow"/>
          <w:bCs/>
          <w:sz w:val="26"/>
          <w:szCs w:val="26"/>
          <w:lang w:eastAsia="es-MX"/>
        </w:rPr>
        <w:t xml:space="preserve">carece de idoneidad, en razón a </w:t>
      </w:r>
      <w:r w:rsidR="00AC6F0C" w:rsidRPr="00E64FF7">
        <w:rPr>
          <w:rFonts w:ascii="Arial Narrow" w:hAnsi="Arial Narrow" w:cs="Arial Narrow"/>
          <w:bCs/>
          <w:sz w:val="26"/>
          <w:szCs w:val="26"/>
          <w:lang w:eastAsia="es-MX"/>
        </w:rPr>
        <w:t>su estado actual de salud</w:t>
      </w:r>
      <w:r w:rsidR="00307B8E" w:rsidRPr="00E64FF7">
        <w:rPr>
          <w:rFonts w:ascii="Arial Narrow" w:hAnsi="Arial Narrow" w:cs="Arial Narrow"/>
          <w:bCs/>
          <w:sz w:val="26"/>
          <w:szCs w:val="26"/>
          <w:lang w:eastAsia="es-MX"/>
        </w:rPr>
        <w:t>.</w:t>
      </w:r>
    </w:p>
    <w:p w14:paraId="62019E9D" w14:textId="77777777" w:rsidR="00307B8E" w:rsidRPr="00E64FF7" w:rsidRDefault="00307B8E" w:rsidP="00E64FF7">
      <w:pPr>
        <w:pStyle w:val="Sinespaciado"/>
        <w:spacing w:line="276" w:lineRule="auto"/>
        <w:jc w:val="both"/>
        <w:rPr>
          <w:rFonts w:ascii="Arial Narrow" w:hAnsi="Arial Narrow" w:cs="Arial Narrow"/>
          <w:bCs/>
          <w:sz w:val="26"/>
          <w:szCs w:val="26"/>
          <w:lang w:eastAsia="es-MX"/>
        </w:rPr>
      </w:pPr>
    </w:p>
    <w:p w14:paraId="732EE37E" w14:textId="562E0F2B" w:rsidR="00307B8E" w:rsidRPr="00E64FF7" w:rsidRDefault="00307B8E" w:rsidP="00E64FF7">
      <w:pPr>
        <w:pStyle w:val="Sinespaciado"/>
        <w:spacing w:line="276" w:lineRule="auto"/>
        <w:jc w:val="both"/>
        <w:rPr>
          <w:rFonts w:ascii="Arial Narrow" w:hAnsi="Arial Narrow"/>
          <w:sz w:val="26"/>
          <w:szCs w:val="26"/>
        </w:rPr>
      </w:pPr>
      <w:r w:rsidRPr="00E64FF7">
        <w:rPr>
          <w:rFonts w:ascii="Arial Narrow" w:hAnsi="Arial Narrow"/>
          <w:bCs/>
          <w:sz w:val="26"/>
          <w:szCs w:val="26"/>
        </w:rPr>
        <w:t>De conformidad con lo anterior, el problema jurídico consiste en determinar si el amparo resulta o no procedente para resolver el debate planteado y, en caso positivo, si</w:t>
      </w:r>
      <w:r w:rsidRPr="00E64FF7">
        <w:rPr>
          <w:rFonts w:ascii="Arial Narrow" w:hAnsi="Arial Narrow"/>
          <w:sz w:val="26"/>
          <w:szCs w:val="26"/>
        </w:rPr>
        <w:t xml:space="preserve"> la</w:t>
      </w:r>
      <w:r w:rsidR="00AC6F0C" w:rsidRPr="00E64FF7">
        <w:rPr>
          <w:rFonts w:ascii="Arial Narrow" w:hAnsi="Arial Narrow"/>
          <w:sz w:val="26"/>
          <w:szCs w:val="26"/>
        </w:rPr>
        <w:t xml:space="preserve"> entidad </w:t>
      </w:r>
      <w:r w:rsidR="00B96F4C" w:rsidRPr="00E64FF7">
        <w:rPr>
          <w:rFonts w:ascii="Arial Narrow" w:hAnsi="Arial Narrow"/>
          <w:sz w:val="26"/>
          <w:szCs w:val="26"/>
        </w:rPr>
        <w:t xml:space="preserve">demandada </w:t>
      </w:r>
      <w:r w:rsidR="00AC6F0C" w:rsidRPr="00E64FF7">
        <w:rPr>
          <w:rFonts w:ascii="Arial Narrow" w:hAnsi="Arial Narrow"/>
          <w:sz w:val="26"/>
          <w:szCs w:val="26"/>
        </w:rPr>
        <w:t>lesi</w:t>
      </w:r>
      <w:r w:rsidR="00281F7A" w:rsidRPr="00E64FF7">
        <w:rPr>
          <w:rFonts w:ascii="Arial Narrow" w:hAnsi="Arial Narrow"/>
          <w:sz w:val="26"/>
          <w:szCs w:val="26"/>
        </w:rPr>
        <w:t xml:space="preserve">onó </w:t>
      </w:r>
      <w:r w:rsidR="00AC6F0C" w:rsidRPr="00E64FF7">
        <w:rPr>
          <w:rFonts w:ascii="Arial Narrow" w:hAnsi="Arial Narrow"/>
          <w:sz w:val="26"/>
          <w:szCs w:val="26"/>
        </w:rPr>
        <w:t>el derecho constitucional invocado, a partir de la decisión que adoptó</w:t>
      </w:r>
      <w:r w:rsidRPr="00E64FF7">
        <w:rPr>
          <w:rFonts w:ascii="Arial Narrow" w:hAnsi="Arial Narrow"/>
          <w:sz w:val="26"/>
          <w:szCs w:val="26"/>
        </w:rPr>
        <w:t xml:space="preserve">. </w:t>
      </w:r>
    </w:p>
    <w:p w14:paraId="68DA5FA4" w14:textId="77777777" w:rsidR="00307B8E" w:rsidRPr="00E64FF7" w:rsidRDefault="00307B8E" w:rsidP="00E64FF7">
      <w:pPr>
        <w:pStyle w:val="Sinespaciado"/>
        <w:spacing w:line="276" w:lineRule="auto"/>
        <w:jc w:val="both"/>
        <w:rPr>
          <w:rFonts w:ascii="Arial Narrow" w:hAnsi="Arial Narrow"/>
          <w:bCs/>
          <w:color w:val="ED7D31" w:themeColor="accent2"/>
          <w:sz w:val="26"/>
          <w:szCs w:val="26"/>
        </w:rPr>
      </w:pPr>
    </w:p>
    <w:p w14:paraId="1C9414FC" w14:textId="77777777" w:rsidR="00AC6F0C" w:rsidRPr="00E64FF7" w:rsidRDefault="00307B8E" w:rsidP="00E64FF7">
      <w:pPr>
        <w:pStyle w:val="Sinespaciado"/>
        <w:spacing w:line="276" w:lineRule="auto"/>
        <w:jc w:val="both"/>
        <w:rPr>
          <w:rFonts w:ascii="Arial Narrow" w:hAnsi="Arial Narrow"/>
          <w:sz w:val="26"/>
          <w:szCs w:val="26"/>
        </w:rPr>
      </w:pPr>
      <w:r w:rsidRPr="00E64FF7">
        <w:rPr>
          <w:rFonts w:ascii="Arial Narrow" w:hAnsi="Arial Narrow"/>
          <w:b/>
          <w:sz w:val="26"/>
          <w:szCs w:val="26"/>
        </w:rPr>
        <w:t xml:space="preserve">3. </w:t>
      </w:r>
      <w:r w:rsidR="00AC6F0C" w:rsidRPr="00E64FF7">
        <w:rPr>
          <w:rFonts w:ascii="Arial Narrow" w:hAnsi="Arial Narrow"/>
          <w:sz w:val="26"/>
          <w:szCs w:val="26"/>
          <w:lang w:val="es-CO"/>
        </w:rPr>
        <w:t xml:space="preserve">El señor Cesar Augusto Arango Gómez </w:t>
      </w:r>
      <w:r w:rsidR="00AC6F0C" w:rsidRPr="00E64FF7">
        <w:rPr>
          <w:rFonts w:ascii="Arial Narrow" w:hAnsi="Arial Narrow"/>
          <w:sz w:val="26"/>
          <w:szCs w:val="26"/>
        </w:rPr>
        <w:t>está legitimado</w:t>
      </w:r>
      <w:r w:rsidRPr="00E64FF7">
        <w:rPr>
          <w:rFonts w:ascii="Arial Narrow" w:hAnsi="Arial Narrow"/>
          <w:sz w:val="26"/>
          <w:szCs w:val="26"/>
        </w:rPr>
        <w:t xml:space="preserve"> en la causa por activa, al ser la persona que fue </w:t>
      </w:r>
      <w:r w:rsidR="00AC6F0C" w:rsidRPr="00E64FF7">
        <w:rPr>
          <w:rFonts w:ascii="Arial Narrow" w:hAnsi="Arial Narrow"/>
          <w:sz w:val="26"/>
          <w:szCs w:val="26"/>
        </w:rPr>
        <w:t>objeto de la valoración médico legal en que encuentra lesionados sus derechos</w:t>
      </w:r>
      <w:r w:rsidRPr="00E64FF7">
        <w:rPr>
          <w:rFonts w:ascii="Arial Narrow" w:hAnsi="Arial Narrow"/>
          <w:sz w:val="26"/>
          <w:szCs w:val="26"/>
        </w:rPr>
        <w:t xml:space="preserve">. También está legitimada por pasiva </w:t>
      </w:r>
      <w:r w:rsidR="00AC6F0C" w:rsidRPr="00E64FF7">
        <w:rPr>
          <w:rFonts w:ascii="Arial Narrow" w:hAnsi="Arial Narrow"/>
          <w:sz w:val="26"/>
          <w:szCs w:val="26"/>
        </w:rPr>
        <w:t>la Junta Nacional de Calificación de Invalidez, como entidad que emitió el dictamen correspondiente.</w:t>
      </w:r>
    </w:p>
    <w:p w14:paraId="77F5CB6E" w14:textId="77777777" w:rsidR="00AC6F0C" w:rsidRPr="00E64FF7" w:rsidRDefault="00AC6F0C" w:rsidP="00E64FF7">
      <w:pPr>
        <w:pStyle w:val="Sinespaciado"/>
        <w:spacing w:line="276" w:lineRule="auto"/>
        <w:jc w:val="both"/>
        <w:rPr>
          <w:rFonts w:ascii="Arial Narrow" w:hAnsi="Arial Narrow"/>
          <w:sz w:val="26"/>
          <w:szCs w:val="26"/>
        </w:rPr>
      </w:pPr>
    </w:p>
    <w:p w14:paraId="2B8A2A88" w14:textId="77777777" w:rsidR="00307B8E" w:rsidRPr="00E64FF7" w:rsidRDefault="00AC6F0C" w:rsidP="00E64FF7">
      <w:pPr>
        <w:pStyle w:val="Sinespaciado"/>
        <w:spacing w:line="276" w:lineRule="auto"/>
        <w:jc w:val="both"/>
        <w:rPr>
          <w:rFonts w:ascii="Arial Narrow" w:hAnsi="Arial Narrow"/>
          <w:sz w:val="26"/>
          <w:szCs w:val="26"/>
        </w:rPr>
      </w:pPr>
      <w:r w:rsidRPr="00E64FF7">
        <w:rPr>
          <w:rFonts w:ascii="Arial Narrow" w:hAnsi="Arial Narrow"/>
          <w:sz w:val="26"/>
          <w:szCs w:val="26"/>
        </w:rPr>
        <w:t xml:space="preserve">Si bien fue vinculada la Junta Regional de Invalidez de Risaralda, como entidad que adoptó la decisión que confirmó aquella entidad, lo cierto es que la Sala se limitará a analizar el procedimiento surtido por la demandada al constituir la última instancia de ese trámite médico legal. </w:t>
      </w:r>
    </w:p>
    <w:p w14:paraId="6E8E68B6" w14:textId="77777777" w:rsidR="00307B8E" w:rsidRPr="00E64FF7" w:rsidRDefault="00307B8E" w:rsidP="00E64FF7">
      <w:pPr>
        <w:pStyle w:val="Sinespaciado"/>
        <w:spacing w:line="276" w:lineRule="auto"/>
        <w:jc w:val="both"/>
        <w:rPr>
          <w:rFonts w:ascii="Arial Narrow" w:hAnsi="Arial Narrow"/>
          <w:sz w:val="26"/>
          <w:szCs w:val="26"/>
        </w:rPr>
      </w:pPr>
    </w:p>
    <w:p w14:paraId="68540EFE" w14:textId="27C09258" w:rsidR="00FB402B" w:rsidRPr="00E64FF7" w:rsidRDefault="00307B8E" w:rsidP="00E64FF7">
      <w:pPr>
        <w:pStyle w:val="Sinespaciado"/>
        <w:spacing w:line="276" w:lineRule="auto"/>
        <w:jc w:val="both"/>
        <w:rPr>
          <w:rFonts w:ascii="Arial Narrow" w:hAnsi="Arial Narrow"/>
          <w:color w:val="ED7D31" w:themeColor="accent2"/>
          <w:sz w:val="26"/>
          <w:szCs w:val="26"/>
        </w:rPr>
      </w:pPr>
      <w:r w:rsidRPr="00E64FF7">
        <w:rPr>
          <w:rFonts w:ascii="Arial Narrow" w:hAnsi="Arial Narrow"/>
          <w:b/>
          <w:bCs/>
          <w:sz w:val="26"/>
          <w:szCs w:val="26"/>
        </w:rPr>
        <w:lastRenderedPageBreak/>
        <w:t xml:space="preserve">4. </w:t>
      </w:r>
      <w:r w:rsidR="008D71FD" w:rsidRPr="00E64FF7">
        <w:rPr>
          <w:rFonts w:ascii="Arial Narrow" w:hAnsi="Arial Narrow"/>
          <w:sz w:val="26"/>
          <w:szCs w:val="26"/>
        </w:rPr>
        <w:t xml:space="preserve">Se entiende satisfecho el presupuesto de </w:t>
      </w:r>
      <w:r w:rsidRPr="00E64FF7">
        <w:rPr>
          <w:rFonts w:ascii="Arial Narrow" w:hAnsi="Arial Narrow"/>
          <w:sz w:val="26"/>
          <w:szCs w:val="26"/>
        </w:rPr>
        <w:t xml:space="preserve">inmediatez, </w:t>
      </w:r>
      <w:r w:rsidR="008D71FD" w:rsidRPr="00E64FF7">
        <w:rPr>
          <w:rFonts w:ascii="Arial Narrow" w:hAnsi="Arial Narrow"/>
          <w:sz w:val="26"/>
          <w:szCs w:val="26"/>
        </w:rPr>
        <w:t xml:space="preserve">como quiera que el dictamen criticado se emitió el 08 de julio de 2021 y la tutela se promovió el 23 de ese mismo mes, de donde fácil se deduce que </w:t>
      </w:r>
      <w:r w:rsidRPr="00E64FF7">
        <w:rPr>
          <w:rFonts w:ascii="Arial Narrow" w:hAnsi="Arial Narrow"/>
          <w:sz w:val="26"/>
          <w:szCs w:val="26"/>
        </w:rPr>
        <w:t>se acudió al ruego constitucional</w:t>
      </w:r>
      <w:r w:rsidR="008D71FD" w:rsidRPr="00E64FF7">
        <w:rPr>
          <w:rFonts w:ascii="Arial Narrow" w:hAnsi="Arial Narrow"/>
          <w:sz w:val="26"/>
          <w:szCs w:val="26"/>
        </w:rPr>
        <w:t xml:space="preserve"> en término </w:t>
      </w:r>
      <w:r w:rsidR="00020116" w:rsidRPr="00E64FF7">
        <w:rPr>
          <w:rFonts w:ascii="Arial Narrow" w:hAnsi="Arial Narrow"/>
          <w:sz w:val="26"/>
          <w:szCs w:val="26"/>
        </w:rPr>
        <w:t>perentorio</w:t>
      </w:r>
      <w:r w:rsidR="00020116" w:rsidRPr="00E64FF7">
        <w:rPr>
          <w:rFonts w:ascii="Arial Narrow" w:hAnsi="Arial Narrow"/>
          <w:color w:val="ED7D31" w:themeColor="accent2"/>
          <w:sz w:val="26"/>
          <w:szCs w:val="26"/>
        </w:rPr>
        <w:t>.</w:t>
      </w:r>
    </w:p>
    <w:p w14:paraId="7BD0104B" w14:textId="77777777" w:rsidR="00307B8E" w:rsidRPr="00E64FF7" w:rsidRDefault="00307B8E" w:rsidP="00E64FF7">
      <w:pPr>
        <w:pStyle w:val="Sinespaciado"/>
        <w:spacing w:line="276" w:lineRule="auto"/>
        <w:jc w:val="both"/>
        <w:rPr>
          <w:rFonts w:ascii="Arial Narrow" w:hAnsi="Arial Narrow"/>
          <w:sz w:val="26"/>
          <w:szCs w:val="26"/>
        </w:rPr>
      </w:pPr>
    </w:p>
    <w:p w14:paraId="780E0E45" w14:textId="77777777" w:rsidR="00FB402B" w:rsidRPr="00E64FF7" w:rsidRDefault="00C1651D" w:rsidP="00E64FF7">
      <w:pPr>
        <w:pStyle w:val="Sinespaciado"/>
        <w:spacing w:line="276" w:lineRule="auto"/>
        <w:jc w:val="both"/>
        <w:rPr>
          <w:rFonts w:ascii="Arial Narrow" w:hAnsi="Arial Narrow"/>
          <w:sz w:val="26"/>
          <w:szCs w:val="26"/>
        </w:rPr>
      </w:pPr>
      <w:r w:rsidRPr="00E64FF7">
        <w:rPr>
          <w:rFonts w:ascii="Arial Narrow" w:hAnsi="Arial Narrow"/>
          <w:b/>
          <w:sz w:val="26"/>
          <w:szCs w:val="26"/>
        </w:rPr>
        <w:t>5</w:t>
      </w:r>
      <w:r w:rsidR="00FB402B" w:rsidRPr="00E64FF7">
        <w:rPr>
          <w:rFonts w:ascii="Arial Narrow" w:hAnsi="Arial Narrow"/>
          <w:b/>
          <w:sz w:val="26"/>
          <w:szCs w:val="26"/>
        </w:rPr>
        <w:t>.</w:t>
      </w:r>
      <w:r w:rsidR="00FB402B" w:rsidRPr="00E64FF7">
        <w:rPr>
          <w:rFonts w:ascii="Arial Narrow" w:hAnsi="Arial Narrow"/>
          <w:sz w:val="26"/>
          <w:szCs w:val="26"/>
        </w:rPr>
        <w:t xml:space="preserve"> </w:t>
      </w:r>
      <w:bookmarkStart w:id="2" w:name="_Hlk94795202"/>
      <w:r w:rsidR="008D71FD" w:rsidRPr="00E64FF7">
        <w:rPr>
          <w:rFonts w:ascii="Arial Narrow" w:hAnsi="Arial Narrow"/>
          <w:sz w:val="26"/>
          <w:szCs w:val="26"/>
        </w:rPr>
        <w:t>De cara al estudio del requisito de subsidiariedad</w:t>
      </w:r>
      <w:r w:rsidR="00FB402B" w:rsidRPr="00E64FF7">
        <w:rPr>
          <w:rFonts w:ascii="Arial Narrow" w:hAnsi="Arial Narrow"/>
          <w:sz w:val="26"/>
          <w:szCs w:val="26"/>
        </w:rPr>
        <w:t>, es necesario advertir que si bien las controversias respecto a las calificaciones de pérdida de capacidad laboral, concretamente en lo que tiene que ver con los análisis fácticos, probatorios, técnicos o jurídicos, deben ser ventiladas ante la jurisdicción ordinaria laboral</w:t>
      </w:r>
      <w:r w:rsidR="00FB402B" w:rsidRPr="00E64FF7">
        <w:rPr>
          <w:rStyle w:val="Refdenotaalpie"/>
          <w:rFonts w:ascii="Arial Narrow" w:hAnsi="Arial Narrow"/>
          <w:sz w:val="26"/>
          <w:szCs w:val="26"/>
        </w:rPr>
        <w:footnoteReference w:id="5"/>
      </w:r>
      <w:r w:rsidR="00FB402B" w:rsidRPr="00E64FF7">
        <w:rPr>
          <w:rFonts w:ascii="Arial Narrow" w:hAnsi="Arial Narrow"/>
          <w:sz w:val="26"/>
          <w:szCs w:val="26"/>
        </w:rPr>
        <w:t>, la jurisprudencia constitucional ha trazado eventos de excepción a esa regla general. Estos, básicamente, se resumen a casos en los cuales los mecanismos ordinarios de defensa no se tornan en idóneos ni eficaces para garantizar la protección de los derechos presuntamente vulnerados o amenazados; o cuando se requiere el amparo constitucional como mecanismo transitorio, pues, de lo contrario, el actor se vería frente a la ocurrencia inminente de un perjuicio irremediable frente a sus derechos fundamentales</w:t>
      </w:r>
      <w:bookmarkEnd w:id="2"/>
      <w:r w:rsidR="00FB402B" w:rsidRPr="00E64FF7">
        <w:rPr>
          <w:rFonts w:ascii="Arial Narrow" w:hAnsi="Arial Narrow"/>
          <w:sz w:val="26"/>
          <w:szCs w:val="26"/>
        </w:rPr>
        <w:t>. En todo caso, ha de mirarse las condiciones en que se encuentra el titular de los derechos fundamentales amenazados o vulnerados, como sujeto de especial protección constitucional.</w:t>
      </w:r>
    </w:p>
    <w:p w14:paraId="4E46652D" w14:textId="77777777" w:rsidR="00FB402B" w:rsidRPr="00E64FF7" w:rsidRDefault="00FB402B" w:rsidP="00E64FF7">
      <w:pPr>
        <w:pStyle w:val="Sinespaciado"/>
        <w:spacing w:line="276" w:lineRule="auto"/>
        <w:jc w:val="both"/>
        <w:rPr>
          <w:rFonts w:ascii="Arial Narrow" w:hAnsi="Arial Narrow"/>
          <w:sz w:val="26"/>
          <w:szCs w:val="26"/>
        </w:rPr>
      </w:pPr>
    </w:p>
    <w:p w14:paraId="7DA44FC7" w14:textId="3D3FD7DF" w:rsidR="00FB402B" w:rsidRPr="00E64FF7" w:rsidRDefault="00FB402B" w:rsidP="00E64FF7">
      <w:pPr>
        <w:pStyle w:val="Sinespaciado"/>
        <w:spacing w:line="276" w:lineRule="auto"/>
        <w:jc w:val="both"/>
        <w:rPr>
          <w:rFonts w:ascii="Arial Narrow" w:hAnsi="Arial Narrow"/>
          <w:sz w:val="26"/>
          <w:szCs w:val="26"/>
        </w:rPr>
      </w:pPr>
      <w:r w:rsidRPr="00E64FF7">
        <w:rPr>
          <w:rFonts w:ascii="Arial Narrow" w:hAnsi="Arial Narrow"/>
          <w:sz w:val="26"/>
          <w:szCs w:val="26"/>
        </w:rPr>
        <w:t xml:space="preserve">En el caso concreto el señor </w:t>
      </w:r>
      <w:r w:rsidR="008D71FD" w:rsidRPr="00E64FF7">
        <w:rPr>
          <w:rFonts w:ascii="Arial Narrow" w:hAnsi="Arial Narrow"/>
          <w:sz w:val="26"/>
          <w:szCs w:val="26"/>
        </w:rPr>
        <w:t>Cesar Augusto Arango Gómez</w:t>
      </w:r>
      <w:r w:rsidRPr="00E64FF7">
        <w:rPr>
          <w:rFonts w:ascii="Arial Narrow" w:hAnsi="Arial Narrow"/>
          <w:sz w:val="26"/>
          <w:szCs w:val="26"/>
        </w:rPr>
        <w:t xml:space="preserve">, de </w:t>
      </w:r>
      <w:r w:rsidR="00C1651D" w:rsidRPr="00E64FF7">
        <w:rPr>
          <w:rFonts w:ascii="Arial Narrow" w:hAnsi="Arial Narrow"/>
          <w:sz w:val="26"/>
          <w:szCs w:val="26"/>
        </w:rPr>
        <w:t>52 años de edad</w:t>
      </w:r>
      <w:r w:rsidRPr="00E64FF7">
        <w:rPr>
          <w:rFonts w:ascii="Arial Narrow" w:hAnsi="Arial Narrow"/>
          <w:sz w:val="26"/>
          <w:szCs w:val="26"/>
        </w:rPr>
        <w:t xml:space="preserve">, se dedica a </w:t>
      </w:r>
      <w:r w:rsidR="00C1651D" w:rsidRPr="00E64FF7">
        <w:rPr>
          <w:rFonts w:ascii="Arial Narrow" w:hAnsi="Arial Narrow"/>
          <w:sz w:val="26"/>
          <w:szCs w:val="26"/>
        </w:rPr>
        <w:t>labores relacionada con la ebanistería</w:t>
      </w:r>
      <w:r w:rsidRPr="00E64FF7">
        <w:rPr>
          <w:rFonts w:ascii="Arial Narrow" w:hAnsi="Arial Narrow"/>
          <w:sz w:val="26"/>
          <w:szCs w:val="26"/>
        </w:rPr>
        <w:t>, tal y como consta en los dictámenes de pérdida de capacidad laboral</w:t>
      </w:r>
      <w:r w:rsidRPr="00E64FF7">
        <w:rPr>
          <w:rStyle w:val="Refdenotaalpie"/>
          <w:rFonts w:ascii="Arial Narrow" w:hAnsi="Arial Narrow"/>
          <w:sz w:val="26"/>
          <w:szCs w:val="26"/>
        </w:rPr>
        <w:footnoteReference w:id="6"/>
      </w:r>
      <w:r w:rsidRPr="00E64FF7">
        <w:rPr>
          <w:rFonts w:ascii="Arial Narrow" w:hAnsi="Arial Narrow"/>
          <w:sz w:val="26"/>
          <w:szCs w:val="26"/>
        </w:rPr>
        <w:t xml:space="preserve">. </w:t>
      </w:r>
      <w:r w:rsidR="00C1651D" w:rsidRPr="00E64FF7">
        <w:rPr>
          <w:rFonts w:ascii="Arial Narrow" w:hAnsi="Arial Narrow"/>
          <w:sz w:val="26"/>
          <w:szCs w:val="26"/>
        </w:rPr>
        <w:t>Fu</w:t>
      </w:r>
      <w:r w:rsidRPr="00E64FF7">
        <w:rPr>
          <w:rFonts w:ascii="Arial Narrow" w:hAnsi="Arial Narrow"/>
          <w:sz w:val="26"/>
          <w:szCs w:val="26"/>
        </w:rPr>
        <w:t xml:space="preserve">e calificado con un </w:t>
      </w:r>
      <w:r w:rsidR="00C1651D" w:rsidRPr="00E64FF7">
        <w:rPr>
          <w:rFonts w:ascii="Arial Narrow" w:hAnsi="Arial Narrow"/>
          <w:sz w:val="26"/>
          <w:szCs w:val="26"/>
          <w:lang w:val="es-CO"/>
        </w:rPr>
        <w:t xml:space="preserve">22,50% de pérdida de la capacidad laboral, </w:t>
      </w:r>
      <w:r w:rsidRPr="00E64FF7">
        <w:rPr>
          <w:rFonts w:ascii="Arial Narrow" w:hAnsi="Arial Narrow"/>
          <w:sz w:val="26"/>
          <w:szCs w:val="26"/>
          <w:lang w:val="es-CO"/>
        </w:rPr>
        <w:t>por parte de la Junta Regional de Invalidez de Risaralda</w:t>
      </w:r>
      <w:r w:rsidRPr="00E64FF7">
        <w:rPr>
          <w:rStyle w:val="Refdenotaalpie"/>
          <w:rFonts w:ascii="Arial Narrow" w:hAnsi="Arial Narrow"/>
          <w:sz w:val="26"/>
          <w:szCs w:val="26"/>
          <w:lang w:val="es-CO"/>
        </w:rPr>
        <w:footnoteReference w:id="7"/>
      </w:r>
      <w:r w:rsidRPr="00E64FF7">
        <w:rPr>
          <w:rFonts w:ascii="Arial Narrow" w:hAnsi="Arial Narrow"/>
          <w:sz w:val="26"/>
          <w:szCs w:val="26"/>
          <w:lang w:val="es-CO"/>
        </w:rPr>
        <w:t xml:space="preserve"> y ese porcentaje fue</w:t>
      </w:r>
      <w:r w:rsidR="00C1651D" w:rsidRPr="00E64FF7">
        <w:rPr>
          <w:rFonts w:ascii="Arial Narrow" w:hAnsi="Arial Narrow"/>
          <w:sz w:val="26"/>
          <w:szCs w:val="26"/>
          <w:lang w:val="es-CO"/>
        </w:rPr>
        <w:t xml:space="preserve"> confirmado </w:t>
      </w:r>
      <w:r w:rsidRPr="00E64FF7">
        <w:rPr>
          <w:rFonts w:ascii="Arial Narrow" w:hAnsi="Arial Narrow"/>
          <w:sz w:val="26"/>
          <w:szCs w:val="26"/>
          <w:lang w:val="es-CO"/>
        </w:rPr>
        <w:t>por la Junta Nacional</w:t>
      </w:r>
      <w:r w:rsidR="00C1651D" w:rsidRPr="00E64FF7">
        <w:rPr>
          <w:rFonts w:ascii="Arial Narrow" w:hAnsi="Arial Narrow"/>
          <w:sz w:val="26"/>
          <w:szCs w:val="26"/>
          <w:lang w:val="es-CO"/>
        </w:rPr>
        <w:t xml:space="preserve">, </w:t>
      </w:r>
      <w:r w:rsidRPr="00E64FF7">
        <w:rPr>
          <w:rFonts w:ascii="Arial Narrow" w:hAnsi="Arial Narrow"/>
          <w:sz w:val="26"/>
          <w:szCs w:val="26"/>
          <w:lang w:val="es-CO"/>
        </w:rPr>
        <w:t>siendo este el dictamen objeto de controversia, sobre el cual se plantea una duda razonable sobre el porcentaje real de pérdida de la capacidad laboral del actor, al estar acusado de excluir</w:t>
      </w:r>
      <w:r w:rsidR="00C1651D" w:rsidRPr="00E64FF7">
        <w:rPr>
          <w:rFonts w:ascii="Arial Narrow" w:hAnsi="Arial Narrow"/>
          <w:sz w:val="26"/>
          <w:szCs w:val="26"/>
          <w:lang w:val="es-CO"/>
        </w:rPr>
        <w:t>, injustificadamente,</w:t>
      </w:r>
      <w:r w:rsidRPr="00E64FF7">
        <w:rPr>
          <w:rFonts w:ascii="Arial Narrow" w:hAnsi="Arial Narrow"/>
          <w:sz w:val="26"/>
          <w:szCs w:val="26"/>
          <w:lang w:val="es-CO"/>
        </w:rPr>
        <w:t xml:space="preserve"> </w:t>
      </w:r>
      <w:r w:rsidR="00C1651D" w:rsidRPr="00E64FF7">
        <w:rPr>
          <w:rFonts w:ascii="Arial Narrow" w:hAnsi="Arial Narrow"/>
          <w:sz w:val="26"/>
          <w:szCs w:val="26"/>
          <w:lang w:val="es-CO"/>
        </w:rPr>
        <w:t>padecimientos</w:t>
      </w:r>
      <w:r w:rsidRPr="00E64FF7">
        <w:rPr>
          <w:rFonts w:ascii="Arial Narrow" w:hAnsi="Arial Narrow"/>
          <w:sz w:val="26"/>
          <w:szCs w:val="26"/>
          <w:lang w:val="es-CO"/>
        </w:rPr>
        <w:t xml:space="preserve"> que </w:t>
      </w:r>
      <w:r w:rsidR="009919F3" w:rsidRPr="00E64FF7">
        <w:rPr>
          <w:rFonts w:ascii="Arial Narrow" w:hAnsi="Arial Narrow"/>
          <w:sz w:val="26"/>
          <w:szCs w:val="26"/>
          <w:lang w:val="es-CO"/>
        </w:rPr>
        <w:t>se encuentran debidamente diagno</w:t>
      </w:r>
      <w:r w:rsidR="00C1651D" w:rsidRPr="00E64FF7">
        <w:rPr>
          <w:rFonts w:ascii="Arial Narrow" w:hAnsi="Arial Narrow"/>
          <w:sz w:val="26"/>
          <w:szCs w:val="26"/>
          <w:lang w:val="es-CO"/>
        </w:rPr>
        <w:t>sticados</w:t>
      </w:r>
      <w:r w:rsidR="00077B0B" w:rsidRPr="00E64FF7">
        <w:rPr>
          <w:rFonts w:ascii="Arial Narrow" w:hAnsi="Arial Narrow"/>
          <w:sz w:val="26"/>
          <w:szCs w:val="26"/>
          <w:lang w:val="es-CO"/>
        </w:rPr>
        <w:t xml:space="preserve"> y con soporte en la historia clínica</w:t>
      </w:r>
      <w:r w:rsidRPr="00E64FF7">
        <w:rPr>
          <w:rFonts w:ascii="Arial Narrow" w:hAnsi="Arial Narrow"/>
          <w:sz w:val="26"/>
          <w:szCs w:val="26"/>
          <w:lang w:val="es-CO"/>
        </w:rPr>
        <w:t>.</w:t>
      </w:r>
    </w:p>
    <w:p w14:paraId="23957CBB" w14:textId="77777777" w:rsidR="00FB402B" w:rsidRPr="00E64FF7" w:rsidRDefault="00FB402B" w:rsidP="00E64FF7">
      <w:pPr>
        <w:pStyle w:val="Sinespaciado"/>
        <w:spacing w:line="276" w:lineRule="auto"/>
        <w:jc w:val="both"/>
        <w:rPr>
          <w:rFonts w:ascii="Arial Narrow" w:hAnsi="Arial Narrow"/>
          <w:sz w:val="26"/>
          <w:szCs w:val="26"/>
          <w:lang w:val="es-CO"/>
        </w:rPr>
      </w:pPr>
    </w:p>
    <w:p w14:paraId="38DEDA17" w14:textId="77777777" w:rsidR="00FB402B" w:rsidRPr="00E64FF7" w:rsidRDefault="00FB402B" w:rsidP="00E64FF7">
      <w:pPr>
        <w:pStyle w:val="Sinespaciado"/>
        <w:spacing w:line="276" w:lineRule="auto"/>
        <w:jc w:val="both"/>
        <w:rPr>
          <w:rFonts w:ascii="Arial Narrow" w:hAnsi="Arial Narrow"/>
          <w:sz w:val="26"/>
          <w:szCs w:val="26"/>
        </w:rPr>
      </w:pPr>
      <w:r w:rsidRPr="00E64FF7">
        <w:rPr>
          <w:rFonts w:ascii="Arial Narrow" w:hAnsi="Arial Narrow"/>
          <w:sz w:val="26"/>
          <w:szCs w:val="26"/>
          <w:lang w:val="es-CO"/>
        </w:rPr>
        <w:t>En tales condiciones, y como lo ha estimado la Corte Constitucional, es válido considerar al actor como un sujeto de especial protección, en razón a su</w:t>
      </w:r>
      <w:r w:rsidR="00C1651D" w:rsidRPr="00E64FF7">
        <w:rPr>
          <w:rFonts w:ascii="Arial Narrow" w:hAnsi="Arial Narrow"/>
          <w:sz w:val="26"/>
          <w:szCs w:val="26"/>
          <w:lang w:val="es-CO"/>
        </w:rPr>
        <w:t xml:space="preserve"> eventual</w:t>
      </w:r>
      <w:r w:rsidRPr="00E64FF7">
        <w:rPr>
          <w:rFonts w:ascii="Arial Narrow" w:hAnsi="Arial Narrow"/>
          <w:sz w:val="26"/>
          <w:szCs w:val="26"/>
          <w:lang w:val="es-CO"/>
        </w:rPr>
        <w:t xml:space="preserve"> i</w:t>
      </w:r>
      <w:r w:rsidR="00C1651D" w:rsidRPr="00E64FF7">
        <w:rPr>
          <w:rFonts w:ascii="Arial Narrow" w:hAnsi="Arial Narrow"/>
          <w:sz w:val="26"/>
          <w:szCs w:val="26"/>
          <w:lang w:val="es-CO"/>
        </w:rPr>
        <w:t xml:space="preserve">nvalidez, ante la existencia dictamen en ese sentido </w:t>
      </w:r>
      <w:r w:rsidRPr="00E64FF7">
        <w:rPr>
          <w:rFonts w:ascii="Arial Narrow" w:hAnsi="Arial Narrow"/>
          <w:sz w:val="26"/>
          <w:szCs w:val="26"/>
          <w:lang w:val="es-CO"/>
        </w:rPr>
        <w:t xml:space="preserve">que está bajo discusión. Se trata del caso </w:t>
      </w:r>
      <w:r w:rsidRPr="00E64FF7">
        <w:rPr>
          <w:rFonts w:ascii="Arial Narrow" w:hAnsi="Arial Narrow"/>
          <w:sz w:val="26"/>
          <w:szCs w:val="26"/>
        </w:rPr>
        <w:t>de un usuario del sistema general de pensiones que tiene la virtualidad de convertirse en una persona en situación de discapacidad y que precisamente reprocha el dictamen médico laboral que lo deja al margen de la obtención de su pensión de invalidez</w:t>
      </w:r>
      <w:r w:rsidRPr="00E64FF7">
        <w:rPr>
          <w:rStyle w:val="Refdenotaalpie"/>
          <w:rFonts w:ascii="Arial Narrow" w:hAnsi="Arial Narrow"/>
          <w:sz w:val="26"/>
          <w:szCs w:val="26"/>
        </w:rPr>
        <w:footnoteReference w:id="8"/>
      </w:r>
      <w:r w:rsidRPr="00E64FF7">
        <w:rPr>
          <w:rFonts w:ascii="Arial Narrow" w:hAnsi="Arial Narrow"/>
          <w:sz w:val="26"/>
          <w:szCs w:val="26"/>
        </w:rPr>
        <w:t>.</w:t>
      </w:r>
    </w:p>
    <w:p w14:paraId="58617B1F" w14:textId="77777777" w:rsidR="00FB402B" w:rsidRPr="00E64FF7" w:rsidRDefault="00FB402B" w:rsidP="00E64FF7">
      <w:pPr>
        <w:pStyle w:val="Sinespaciado"/>
        <w:spacing w:line="276" w:lineRule="auto"/>
        <w:jc w:val="both"/>
        <w:rPr>
          <w:rFonts w:ascii="Arial Narrow" w:hAnsi="Arial Narrow"/>
          <w:sz w:val="26"/>
          <w:szCs w:val="26"/>
        </w:rPr>
      </w:pPr>
    </w:p>
    <w:p w14:paraId="0458186F" w14:textId="073B7A50" w:rsidR="001242FC" w:rsidRPr="00E64FF7" w:rsidRDefault="00FB402B" w:rsidP="00E64FF7">
      <w:pPr>
        <w:pStyle w:val="Sinespaciado"/>
        <w:spacing w:line="276" w:lineRule="auto"/>
        <w:jc w:val="both"/>
        <w:rPr>
          <w:rFonts w:ascii="Arial Narrow" w:hAnsi="Arial Narrow"/>
          <w:spacing w:val="-2"/>
          <w:sz w:val="26"/>
          <w:szCs w:val="26"/>
        </w:rPr>
      </w:pPr>
      <w:r w:rsidRPr="00E64FF7">
        <w:rPr>
          <w:rFonts w:ascii="Arial Narrow" w:hAnsi="Arial Narrow"/>
          <w:sz w:val="26"/>
          <w:szCs w:val="26"/>
        </w:rPr>
        <w:t>Además, como adelante se analizará, destaca la Sala que en el sub judice la cuestión pasa por la vulneración del derecho fundamental al debido proceso</w:t>
      </w:r>
      <w:r w:rsidR="001242FC" w:rsidRPr="00E64FF7">
        <w:rPr>
          <w:rStyle w:val="Refdenotaalpie"/>
          <w:rFonts w:ascii="Arial Narrow" w:hAnsi="Arial Narrow"/>
          <w:spacing w:val="-2"/>
          <w:sz w:val="26"/>
          <w:szCs w:val="26"/>
        </w:rPr>
        <w:footnoteReference w:id="9"/>
      </w:r>
      <w:r w:rsidRPr="00E64FF7">
        <w:rPr>
          <w:rFonts w:ascii="Arial Narrow" w:hAnsi="Arial Narrow"/>
          <w:sz w:val="26"/>
          <w:szCs w:val="26"/>
        </w:rPr>
        <w:t xml:space="preserve"> ante deficiencias de motivación que presenta el dictamen cuestionado, asunto eminentemente constitucional frente a lo cual no luce eficaz el medio de defensa judicial establecido ante el juez laboral; por el contrario, dificulta su ejercicio, pues el dictamen debe contar “</w:t>
      </w:r>
      <w:r w:rsidRPr="00E64FF7">
        <w:rPr>
          <w:rFonts w:ascii="Arial Narrow" w:hAnsi="Arial Narrow"/>
          <w:i/>
          <w:iCs/>
          <w:sz w:val="24"/>
          <w:szCs w:val="26"/>
        </w:rPr>
        <w:t xml:space="preserve">con una motivación científica susceptible de ser </w:t>
      </w:r>
      <w:r w:rsidRPr="00E64FF7">
        <w:rPr>
          <w:rFonts w:ascii="Arial Narrow" w:hAnsi="Arial Narrow"/>
          <w:i/>
          <w:iCs/>
          <w:sz w:val="24"/>
          <w:szCs w:val="26"/>
        </w:rPr>
        <w:lastRenderedPageBreak/>
        <w:t>controvertida ante la justicia laboral</w:t>
      </w:r>
      <w:r w:rsidRPr="00E64FF7">
        <w:rPr>
          <w:rFonts w:ascii="Arial Narrow" w:hAnsi="Arial Narrow"/>
          <w:sz w:val="26"/>
          <w:szCs w:val="26"/>
        </w:rPr>
        <w:t>”</w:t>
      </w:r>
      <w:r w:rsidRPr="00E64FF7">
        <w:rPr>
          <w:rStyle w:val="Refdenotaalpie"/>
          <w:rFonts w:ascii="Arial Narrow" w:hAnsi="Arial Narrow"/>
          <w:sz w:val="26"/>
          <w:szCs w:val="26"/>
        </w:rPr>
        <w:footnoteReference w:id="10"/>
      </w:r>
      <w:r w:rsidRPr="00E64FF7">
        <w:rPr>
          <w:rFonts w:ascii="Arial Narrow" w:hAnsi="Arial Narrow"/>
          <w:sz w:val="26"/>
          <w:szCs w:val="26"/>
        </w:rPr>
        <w:t>.</w:t>
      </w:r>
      <w:r w:rsidR="001242FC" w:rsidRPr="00E64FF7">
        <w:rPr>
          <w:rFonts w:ascii="Arial Narrow" w:hAnsi="Arial Narrow"/>
          <w:spacing w:val="-2"/>
          <w:sz w:val="26"/>
          <w:szCs w:val="26"/>
        </w:rPr>
        <w:t xml:space="preserve"> En todo caso, la intervención del juez constitucional no tendría por objeto modificar el fondo del dictamen sino ordenar la expedición de uno nuevo que respete las específicas directrices relacionadas con el debido proceso, con el objeto de que su motivación o sus justificaciones científicas puedan ser controvertidas ante la justicia laboral</w:t>
      </w:r>
      <w:r w:rsidR="001242FC" w:rsidRPr="00E64FF7">
        <w:rPr>
          <w:rStyle w:val="Refdenotaalpie"/>
          <w:rFonts w:ascii="Arial Narrow" w:hAnsi="Arial Narrow"/>
          <w:spacing w:val="-2"/>
          <w:sz w:val="26"/>
          <w:szCs w:val="26"/>
        </w:rPr>
        <w:footnoteReference w:id="11"/>
      </w:r>
      <w:r w:rsidR="001242FC" w:rsidRPr="00E64FF7">
        <w:rPr>
          <w:rFonts w:ascii="Arial Narrow" w:hAnsi="Arial Narrow"/>
          <w:spacing w:val="-2"/>
          <w:sz w:val="26"/>
          <w:szCs w:val="26"/>
        </w:rPr>
        <w:t>.</w:t>
      </w:r>
    </w:p>
    <w:p w14:paraId="2C92969E" w14:textId="77777777" w:rsidR="00FB402B" w:rsidRPr="00E64FF7" w:rsidRDefault="00FB402B" w:rsidP="00E64FF7">
      <w:pPr>
        <w:pStyle w:val="Sinespaciado"/>
        <w:spacing w:line="276" w:lineRule="auto"/>
        <w:jc w:val="both"/>
        <w:rPr>
          <w:rFonts w:ascii="Arial Narrow" w:hAnsi="Arial Narrow"/>
          <w:sz w:val="26"/>
          <w:szCs w:val="26"/>
        </w:rPr>
      </w:pPr>
    </w:p>
    <w:p w14:paraId="5467D9F9" w14:textId="77777777" w:rsidR="001242FC" w:rsidRPr="00E64FF7" w:rsidRDefault="001242FC" w:rsidP="00E64FF7">
      <w:pPr>
        <w:pStyle w:val="Sinespaciado"/>
        <w:spacing w:line="276" w:lineRule="auto"/>
        <w:jc w:val="both"/>
        <w:rPr>
          <w:rFonts w:ascii="Arial Narrow" w:hAnsi="Arial Narrow"/>
          <w:spacing w:val="-2"/>
          <w:sz w:val="26"/>
          <w:szCs w:val="26"/>
        </w:rPr>
      </w:pPr>
      <w:r w:rsidRPr="00E64FF7">
        <w:rPr>
          <w:rFonts w:ascii="Arial Narrow" w:hAnsi="Arial Narrow"/>
          <w:spacing w:val="-2"/>
          <w:sz w:val="26"/>
          <w:szCs w:val="26"/>
        </w:rPr>
        <w:t>Por tanto, y bajos las precisas condiciones del caso concreto, se encuentra superado el requisito de la subsidiariedad.</w:t>
      </w:r>
    </w:p>
    <w:p w14:paraId="012FF565" w14:textId="77777777" w:rsidR="00FB402B" w:rsidRPr="00E64FF7" w:rsidRDefault="00FB402B" w:rsidP="00E64FF7">
      <w:pPr>
        <w:pStyle w:val="Sinespaciado"/>
        <w:spacing w:line="276" w:lineRule="auto"/>
        <w:jc w:val="both"/>
        <w:rPr>
          <w:rFonts w:ascii="Arial Narrow" w:hAnsi="Arial Narrow"/>
          <w:sz w:val="26"/>
          <w:szCs w:val="26"/>
        </w:rPr>
      </w:pPr>
    </w:p>
    <w:p w14:paraId="27E5CA22" w14:textId="77777777" w:rsidR="00FB402B" w:rsidRPr="00E64FF7" w:rsidRDefault="00C1651D" w:rsidP="00E64FF7">
      <w:pPr>
        <w:spacing w:line="276" w:lineRule="auto"/>
        <w:jc w:val="both"/>
        <w:rPr>
          <w:rFonts w:ascii="Arial Narrow" w:hAnsi="Arial Narrow"/>
          <w:sz w:val="26"/>
          <w:szCs w:val="26"/>
        </w:rPr>
      </w:pPr>
      <w:r w:rsidRPr="00E64FF7">
        <w:rPr>
          <w:rFonts w:ascii="Arial Narrow" w:hAnsi="Arial Narrow"/>
          <w:b/>
          <w:sz w:val="26"/>
          <w:szCs w:val="26"/>
        </w:rPr>
        <w:t>6.</w:t>
      </w:r>
      <w:r w:rsidR="00FB402B" w:rsidRPr="00E64FF7">
        <w:rPr>
          <w:rFonts w:ascii="Arial Narrow" w:hAnsi="Arial Narrow"/>
          <w:sz w:val="26"/>
          <w:szCs w:val="26"/>
        </w:rPr>
        <w:t xml:space="preserve"> Respecto al fondo del asunto, de entrada </w:t>
      </w:r>
      <w:bookmarkStart w:id="3" w:name="_Hlk94795329"/>
      <w:r w:rsidR="00FB402B" w:rsidRPr="00E64FF7">
        <w:rPr>
          <w:rFonts w:ascii="Arial Narrow" w:hAnsi="Arial Narrow"/>
          <w:sz w:val="26"/>
          <w:szCs w:val="26"/>
        </w:rPr>
        <w:t xml:space="preserve">hay que señalar que la jurisprudencia constitucional también ha sido clara en indicar que las decisiones que se adopten en el marco de procedimientos de calificación de la pérdida de la capacidad laboral, deben cumplir con los estándares del debido proceso administrativo, siendo unos de ellos la motivación de esas determinaciones y la valoración de todos los diagnósticos cuyos soportes aparezcan en la historia clínica </w:t>
      </w:r>
      <w:bookmarkEnd w:id="3"/>
      <w:r w:rsidR="00FB402B" w:rsidRPr="00E64FF7">
        <w:rPr>
          <w:rFonts w:ascii="Arial Narrow" w:hAnsi="Arial Narrow"/>
          <w:sz w:val="26"/>
          <w:szCs w:val="26"/>
        </w:rPr>
        <w:t>(calificación integral). Así se ha pronunciado la Corte Constitucional</w:t>
      </w:r>
      <w:r w:rsidR="00FB402B" w:rsidRPr="00E64FF7">
        <w:rPr>
          <w:rStyle w:val="Refdenotaalpie"/>
          <w:rFonts w:ascii="Arial Narrow" w:hAnsi="Arial Narrow"/>
          <w:sz w:val="26"/>
          <w:szCs w:val="26"/>
        </w:rPr>
        <w:footnoteReference w:id="12"/>
      </w:r>
      <w:r w:rsidR="00FB402B" w:rsidRPr="00E64FF7">
        <w:rPr>
          <w:rFonts w:ascii="Arial Narrow" w:hAnsi="Arial Narrow"/>
          <w:sz w:val="26"/>
          <w:szCs w:val="26"/>
        </w:rPr>
        <w:t>:</w:t>
      </w:r>
    </w:p>
    <w:p w14:paraId="358834CC" w14:textId="77777777" w:rsidR="00FB402B" w:rsidRPr="00E64FF7" w:rsidRDefault="00FB402B" w:rsidP="00E64FF7">
      <w:pPr>
        <w:spacing w:line="276" w:lineRule="auto"/>
        <w:jc w:val="both"/>
        <w:rPr>
          <w:rFonts w:ascii="Arial Narrow" w:hAnsi="Arial Narrow"/>
          <w:sz w:val="26"/>
          <w:szCs w:val="26"/>
        </w:rPr>
      </w:pPr>
    </w:p>
    <w:p w14:paraId="455E4F29"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“5.3. Por otra parte, en cuanto al contenido de los dictámenes emitidos por las juntas de calificación de invalidez el artículo 31 del Decreto 2463 de 2001 indica que éstos </w:t>
      </w:r>
      <w:r w:rsidRPr="00E64FF7">
        <w:rPr>
          <w:rFonts w:ascii="Arial Narrow" w:hAnsi="Arial Narrow"/>
          <w:i/>
          <w:iCs/>
          <w:sz w:val="24"/>
          <w:szCs w:val="26"/>
          <w:lang w:val="es-CO"/>
        </w:rPr>
        <w:t>“deben contener las decisiones expresas y claras sobre el origen, fecha de estructuración y calificación porcentual de pérdida de la capacidad laboral”. </w:t>
      </w:r>
      <w:r w:rsidRPr="00E64FF7">
        <w:rPr>
          <w:rFonts w:ascii="Arial Narrow" w:hAnsi="Arial Narrow"/>
          <w:i/>
          <w:sz w:val="24"/>
          <w:szCs w:val="26"/>
          <w:lang w:val="es-CO"/>
        </w:rPr>
        <w:t>En el mismo sentido la Corte estableció que los dictámenes que expiden las juntas de calificación, deben contener todos los elementos probatorios que sirvan para establecer una relación causal tales como la historia clínica, exámenes médicos periódicos, el cargo desempeñado, actividades etc.</w:t>
      </w:r>
    </w:p>
    <w:p w14:paraId="4E0FC058"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 </w:t>
      </w:r>
    </w:p>
    <w:p w14:paraId="4D52D1C0" w14:textId="238238B0"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 xml:space="preserve">5.4. Lo anterior pretende demostrar que las decisiones tomadas por la junta de calificación de </w:t>
      </w:r>
      <w:r w:rsidR="00386D8E" w:rsidRPr="00E64FF7">
        <w:rPr>
          <w:rFonts w:ascii="Arial Narrow" w:hAnsi="Arial Narrow"/>
          <w:i/>
          <w:sz w:val="24"/>
          <w:szCs w:val="26"/>
          <w:lang w:val="es-CO"/>
        </w:rPr>
        <w:t>invalidez en</w:t>
      </w:r>
      <w:r w:rsidRPr="00E64FF7">
        <w:rPr>
          <w:rFonts w:ascii="Arial Narrow" w:hAnsi="Arial Narrow"/>
          <w:i/>
          <w:sz w:val="24"/>
          <w:szCs w:val="26"/>
          <w:lang w:val="es-CO"/>
        </w:rPr>
        <w:t xml:space="preserve"> cuanto a establecer origen, fecha, y porcentaje de la calificación, entre otros ítems, se debe sustentar en las diferentes pruebas, esto obedece a criterios legalmente y jurisprudencialmente señalados, lo que les garantiza a los peticionarios la aplicación de un debido proceso.</w:t>
      </w:r>
    </w:p>
    <w:p w14:paraId="7D458E29"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 </w:t>
      </w:r>
    </w:p>
    <w:p w14:paraId="706BABCF"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w:t>
      </w:r>
    </w:p>
    <w:p w14:paraId="6DAB1A35" w14:textId="77777777" w:rsidR="00FB402B" w:rsidRPr="00E64FF7" w:rsidRDefault="00FB402B" w:rsidP="00E64FF7">
      <w:pPr>
        <w:ind w:left="426" w:right="420"/>
        <w:jc w:val="both"/>
        <w:rPr>
          <w:rFonts w:ascii="Arial Narrow" w:hAnsi="Arial Narrow"/>
          <w:i/>
          <w:sz w:val="24"/>
          <w:szCs w:val="26"/>
          <w:lang w:val="es-CO"/>
        </w:rPr>
      </w:pPr>
    </w:p>
    <w:p w14:paraId="581966C0" w14:textId="77777777" w:rsidR="00FB402B" w:rsidRPr="00E64FF7" w:rsidRDefault="00FB402B" w:rsidP="00E64FF7">
      <w:pPr>
        <w:ind w:left="426" w:right="420"/>
        <w:jc w:val="both"/>
        <w:rPr>
          <w:rFonts w:ascii="Arial Narrow" w:hAnsi="Arial Narrow"/>
          <w:i/>
          <w:iCs/>
          <w:sz w:val="24"/>
          <w:szCs w:val="26"/>
          <w:lang w:val="es-CO"/>
        </w:rPr>
      </w:pPr>
      <w:r w:rsidRPr="00E64FF7">
        <w:rPr>
          <w:rFonts w:ascii="Arial Narrow" w:hAnsi="Arial Narrow"/>
          <w:i/>
          <w:sz w:val="24"/>
          <w:szCs w:val="26"/>
          <w:lang w:val="es-CO"/>
        </w:rPr>
        <w:t>6.8. El segundo parámetro establece que la valoración para determinar el estado de salud de la persona sea completa e integral; lo anterior implica el deber de las juntas de realizar un examen físico y el estudio de la historia clínica del paciente (artículo. 28</w:t>
      </w:r>
      <w:r w:rsidRPr="00E64FF7">
        <w:rPr>
          <w:rFonts w:ascii="Arial Narrow" w:hAnsi="Arial Narrow"/>
          <w:i/>
          <w:iCs/>
          <w:sz w:val="24"/>
          <w:szCs w:val="26"/>
          <w:lang w:val="es-CO"/>
        </w:rPr>
        <w:t> </w:t>
      </w:r>
      <w:r w:rsidRPr="00E64FF7">
        <w:rPr>
          <w:rFonts w:ascii="Arial Narrow" w:hAnsi="Arial Narrow"/>
          <w:i/>
          <w:sz w:val="24"/>
          <w:szCs w:val="26"/>
          <w:lang w:val="es-CO"/>
        </w:rPr>
        <w:t>Decreto 2463 de 2001</w:t>
      </w:r>
      <w:r w:rsidRPr="00E64FF7">
        <w:rPr>
          <w:rFonts w:ascii="Arial Narrow" w:hAnsi="Arial Narrow"/>
          <w:i/>
          <w:iCs/>
          <w:sz w:val="24"/>
          <w:szCs w:val="26"/>
          <w:lang w:val="es-CO"/>
        </w:rPr>
        <w:t>).</w:t>
      </w:r>
    </w:p>
    <w:p w14:paraId="6187CB8F" w14:textId="77777777" w:rsidR="00FB402B" w:rsidRPr="00E64FF7" w:rsidRDefault="00FB402B" w:rsidP="00E64FF7">
      <w:pPr>
        <w:ind w:left="426" w:right="420"/>
        <w:jc w:val="both"/>
        <w:rPr>
          <w:rFonts w:ascii="Arial Narrow" w:hAnsi="Arial Narrow"/>
          <w:i/>
          <w:iCs/>
          <w:sz w:val="24"/>
          <w:szCs w:val="26"/>
          <w:lang w:val="es-CO"/>
        </w:rPr>
      </w:pPr>
    </w:p>
    <w:p w14:paraId="319917CC"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6.9. Las EPS, las AFP o los beneficiarios, según corresponda, deben aportar la historia clínica, los exámenes diagnósticos, evaluaciones técnicas y demás relevantes; la certificación sobre el proceso de rehabilitación integral, cuando haya lugar; y los certificados de cargos y labores, cuando se requiera (Artículo 25 a del Decreto 2463 de 2001). Cuando se presenten solicitudes incompletas, las Juntas tienen la obligación de indicar al peticionario cuáles son los documentos faltantes, para que éstos completen la información. Si una vez iniciado el estudio se evidencia la ausencia de documentos, la Junta deberá requerirlos por escrito a quien se encuentre en la posibilidad de aportarlos o al peticionario.</w:t>
      </w:r>
    </w:p>
    <w:p w14:paraId="5932C7B2"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iCs/>
          <w:sz w:val="24"/>
          <w:szCs w:val="26"/>
          <w:lang w:val="es-CO"/>
        </w:rPr>
        <w:t> </w:t>
      </w:r>
    </w:p>
    <w:p w14:paraId="0C23E8A9"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w:t>
      </w:r>
    </w:p>
    <w:p w14:paraId="58A14B92"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 </w:t>
      </w:r>
    </w:p>
    <w:p w14:paraId="3EDD1860"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 xml:space="preserve">6.11. La tercera regla señala que si bien los dictámenes de pérdida de la capacidad laboral no son considerados actos administrativos, los mismos deben estar debidamente motivados; </w:t>
      </w:r>
      <w:r w:rsidRPr="00E64FF7">
        <w:rPr>
          <w:rFonts w:ascii="Arial Narrow" w:hAnsi="Arial Narrow"/>
          <w:i/>
          <w:sz w:val="24"/>
          <w:szCs w:val="26"/>
          <w:lang w:val="es-CO"/>
        </w:rPr>
        <w:lastRenderedPageBreak/>
        <w:t>esto implica que el dictamen debe contener los fundamentos de hecho y de derecho. Los fundamentos de hecho son los que tienen relación con la ocurrencia de determinada contingencia, esto supone la valoración de la historia clínica, reportes, exámenes médicos periódicos y todo aquello que pueda servir de prueba para certificar una determinada relación causal entre la patología y el trabajo desempeñado, tales como certificado de cargos, actividades laborales, funciones, manejo de equipos, entre otros. Los fundamentos de derecho son todas las normas que son aplicables al caso concreto.</w:t>
      </w:r>
    </w:p>
    <w:p w14:paraId="42FCE9C6"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 </w:t>
      </w:r>
    </w:p>
    <w:p w14:paraId="7BA13508"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w:t>
      </w:r>
    </w:p>
    <w:p w14:paraId="727C6785"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   </w:t>
      </w:r>
    </w:p>
    <w:p w14:paraId="299C3DA6"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MX"/>
        </w:rPr>
        <w:t>7.1.11. </w:t>
      </w:r>
      <w:r w:rsidRPr="00E64FF7">
        <w:rPr>
          <w:rFonts w:ascii="Arial Narrow" w:hAnsi="Arial Narrow"/>
          <w:i/>
          <w:sz w:val="24"/>
          <w:szCs w:val="26"/>
          <w:lang w:val="es-CO"/>
        </w:rPr>
        <w:t>En segundo lugar, la Sala considera que si bien el dictamen se fundamentó en la historia clínica, la valoración que se hizo de este medio de prueba no fue completa e integral, puesto que sólo se hizo referencia a tres sucesos todos ocurridos en el mes de noviembre de 2014. Ello a pesar que de lo manifestado por el actor en los hechos de la demanda de tutela, se desprende que le han realizado 4 cirugías y que ha sido valorado en varias oportunidades por los especialistas, afirmación que en ningún momento fue controvertido por las entidades accionadas.</w:t>
      </w:r>
    </w:p>
    <w:p w14:paraId="69F5C52C" w14:textId="77777777" w:rsidR="00FB402B" w:rsidRPr="00E64FF7" w:rsidRDefault="00FB402B" w:rsidP="00E64FF7">
      <w:pPr>
        <w:ind w:left="426" w:right="420"/>
        <w:jc w:val="both"/>
        <w:rPr>
          <w:rFonts w:ascii="Arial Narrow" w:hAnsi="Arial Narrow"/>
          <w:i/>
          <w:sz w:val="24"/>
          <w:szCs w:val="26"/>
          <w:lang w:val="es-CO"/>
        </w:rPr>
      </w:pPr>
    </w:p>
    <w:p w14:paraId="149A07D9"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w:t>
      </w:r>
    </w:p>
    <w:p w14:paraId="742BC1A8" w14:textId="77777777" w:rsidR="00FB402B" w:rsidRPr="00E64FF7" w:rsidRDefault="00FB402B" w:rsidP="00E64FF7">
      <w:pPr>
        <w:ind w:left="426" w:right="420"/>
        <w:jc w:val="both"/>
        <w:rPr>
          <w:rFonts w:ascii="Arial Narrow" w:hAnsi="Arial Narrow"/>
          <w:i/>
          <w:sz w:val="24"/>
          <w:szCs w:val="26"/>
          <w:lang w:val="es-CO"/>
        </w:rPr>
      </w:pPr>
    </w:p>
    <w:p w14:paraId="4DB14237" w14:textId="77777777" w:rsidR="00FB402B" w:rsidRPr="00E64FF7" w:rsidRDefault="00FB402B" w:rsidP="00E64FF7">
      <w:pPr>
        <w:ind w:left="426" w:right="420"/>
        <w:jc w:val="both"/>
        <w:rPr>
          <w:rFonts w:ascii="Arial Narrow" w:hAnsi="Arial Narrow"/>
          <w:i/>
          <w:sz w:val="24"/>
          <w:szCs w:val="26"/>
          <w:lang w:val="es-CO"/>
        </w:rPr>
      </w:pPr>
      <w:r w:rsidRPr="00E64FF7">
        <w:rPr>
          <w:rFonts w:ascii="Arial Narrow" w:hAnsi="Arial Narrow"/>
          <w:i/>
          <w:sz w:val="24"/>
          <w:szCs w:val="26"/>
          <w:lang w:val="es-CO"/>
        </w:rPr>
        <w:t>7.1.13. En cuanto a la tercera regla establecida por la jurisprudencia de esta Corporación y descrita anteriormente se estableció que los dictámenes de pérdida de la capacidad laboral deberían contener los fundamentos de hecho y de derecho, al respecto, la Sala constató que el dictamen emitido por la Junta Nacional tiene un capítulo de fundamentos de derecho en el que se hizo referencia a las normas aplicables y se explicó la forma en que se hace la calificación; pero considera que la valoración realizada de los fundamentos de hecho fue insuficiente, debido a que, en el capítulo de reporte del accidente de trabajo, así como en el de análisis y conclusión no se hizo referencia, al menos sumaria, a los exámenes diagnósticos, a las controles médicos periódicos, a los conceptos emitidos por los especialistas, no se intentó desvirtuar el nexo causal entre las patologías que aquejan al actor y la imposibilidad para seguir realizando la labor de picador y sólo mencionó que para ese momento el actor lleva 1 año y 8 meses incapacitado.”</w:t>
      </w:r>
    </w:p>
    <w:p w14:paraId="24461F4F" w14:textId="77777777" w:rsidR="00FB402B" w:rsidRPr="00E64FF7" w:rsidRDefault="00FB402B" w:rsidP="00E64FF7">
      <w:pPr>
        <w:spacing w:line="276" w:lineRule="auto"/>
        <w:jc w:val="both"/>
        <w:rPr>
          <w:rFonts w:ascii="Arial Narrow" w:hAnsi="Arial Narrow"/>
          <w:sz w:val="26"/>
          <w:szCs w:val="26"/>
          <w:lang w:val="es-CO"/>
        </w:rPr>
      </w:pPr>
    </w:p>
    <w:p w14:paraId="312BDFAF" w14:textId="77777777" w:rsidR="00FB402B" w:rsidRPr="00E64FF7" w:rsidRDefault="00FB402B" w:rsidP="00E64FF7">
      <w:pPr>
        <w:spacing w:line="276" w:lineRule="auto"/>
        <w:jc w:val="both"/>
        <w:rPr>
          <w:rFonts w:ascii="Arial Narrow" w:hAnsi="Arial Narrow"/>
          <w:sz w:val="26"/>
          <w:szCs w:val="26"/>
          <w:lang w:val="es-CO"/>
        </w:rPr>
      </w:pPr>
      <w:r w:rsidRPr="00E64FF7">
        <w:rPr>
          <w:rFonts w:ascii="Arial Narrow" w:hAnsi="Arial Narrow"/>
          <w:sz w:val="26"/>
          <w:szCs w:val="26"/>
          <w:lang w:val="es-CO"/>
        </w:rPr>
        <w:t>Debe destacarse, además, que “</w:t>
      </w:r>
      <w:r w:rsidRPr="00386D8E">
        <w:rPr>
          <w:rFonts w:ascii="Arial Narrow" w:hAnsi="Arial Narrow"/>
          <w:i/>
          <w:iCs/>
          <w:sz w:val="24"/>
          <w:szCs w:val="26"/>
          <w:lang w:val="es-CO"/>
        </w:rPr>
        <w:t>constituye un derecho para el paciente que en el proceso de calificación se tengan en cuenta todas las historias clínicas e informes de los médicos y especialistas que lo hubiesen diagnosticado, tratado y pronosticado; que las mismas se encuentren actualizadas para el momento de la calificación y constituyan una valoración íntegra y objetiva de su patología</w:t>
      </w:r>
      <w:r w:rsidRPr="00E64FF7">
        <w:rPr>
          <w:rFonts w:ascii="Arial Narrow" w:hAnsi="Arial Narrow"/>
          <w:sz w:val="26"/>
          <w:szCs w:val="26"/>
          <w:lang w:val="es-CO"/>
        </w:rPr>
        <w:t>”</w:t>
      </w:r>
      <w:r w:rsidRPr="00E64FF7">
        <w:rPr>
          <w:rStyle w:val="Refdenotaalpie"/>
          <w:rFonts w:ascii="Arial Narrow" w:hAnsi="Arial Narrow"/>
          <w:sz w:val="26"/>
          <w:szCs w:val="26"/>
          <w:lang w:val="es-CO"/>
        </w:rPr>
        <w:footnoteReference w:id="13"/>
      </w:r>
      <w:r w:rsidRPr="00E64FF7">
        <w:rPr>
          <w:rFonts w:ascii="Arial Narrow" w:hAnsi="Arial Narrow"/>
          <w:sz w:val="26"/>
          <w:szCs w:val="26"/>
          <w:lang w:val="es-CO"/>
        </w:rPr>
        <w:t>. Ello porque, “</w:t>
      </w:r>
      <w:r w:rsidRPr="00386D8E">
        <w:rPr>
          <w:rFonts w:ascii="Arial Narrow" w:hAnsi="Arial Narrow"/>
          <w:i/>
          <w:iCs/>
          <w:sz w:val="24"/>
          <w:szCs w:val="26"/>
          <w:lang w:val="es-CO"/>
        </w:rPr>
        <w:t>permitir una calificación fraccionada de la capacidad laboral (…), conduciría a la inexistencia del concepto de invalidez, dado que ésta es una valoración integral de dicho conjunto, y no de las fracciones del mismo; de lo contrario, si se entendiera como lo último, no solo se desconocería el fundamento mismo de la calificación como el resultado de una pérdida global y considerable de facultades para el desempeño laboral, sino que se admitiría una falta de protección, en tanto se aceptaría a una persona que aún siendo materialmente inválida, el sistema no la reconoce formalmente como tal, a pesar de que tiene todas la cualidades para ello y para recibir, en consecuencia, la pensión por tal contingencia</w:t>
      </w:r>
      <w:r w:rsidRPr="00E64FF7">
        <w:rPr>
          <w:rFonts w:ascii="Arial Narrow" w:hAnsi="Arial Narrow"/>
          <w:i/>
          <w:iCs/>
          <w:sz w:val="26"/>
          <w:szCs w:val="26"/>
          <w:lang w:val="es-CO"/>
        </w:rPr>
        <w:t>”</w:t>
      </w:r>
      <w:r w:rsidRPr="00E64FF7">
        <w:rPr>
          <w:rStyle w:val="Refdenotaalpie"/>
          <w:rFonts w:ascii="Arial Narrow" w:hAnsi="Arial Narrow"/>
          <w:i/>
          <w:iCs/>
          <w:sz w:val="26"/>
          <w:szCs w:val="26"/>
          <w:lang w:val="es-CO"/>
        </w:rPr>
        <w:footnoteReference w:id="14"/>
      </w:r>
      <w:r w:rsidRPr="00E64FF7">
        <w:rPr>
          <w:rFonts w:ascii="Arial Narrow" w:hAnsi="Arial Narrow"/>
          <w:sz w:val="26"/>
          <w:szCs w:val="26"/>
          <w:lang w:val="es-CO"/>
        </w:rPr>
        <w:t>.</w:t>
      </w:r>
    </w:p>
    <w:p w14:paraId="7B310913" w14:textId="77777777" w:rsidR="00FB402B" w:rsidRPr="00E64FF7" w:rsidRDefault="00FB402B" w:rsidP="00E64FF7">
      <w:pPr>
        <w:spacing w:line="276" w:lineRule="auto"/>
        <w:jc w:val="both"/>
        <w:rPr>
          <w:rFonts w:ascii="Arial Narrow" w:hAnsi="Arial Narrow"/>
          <w:sz w:val="26"/>
          <w:szCs w:val="26"/>
          <w:lang w:val="es-CO"/>
        </w:rPr>
      </w:pPr>
    </w:p>
    <w:p w14:paraId="23360934" w14:textId="77777777" w:rsidR="00FB402B" w:rsidRPr="00E64FF7" w:rsidRDefault="00C1651D" w:rsidP="00E64FF7">
      <w:pPr>
        <w:spacing w:line="276" w:lineRule="auto"/>
        <w:jc w:val="both"/>
        <w:rPr>
          <w:rFonts w:ascii="Arial Narrow" w:hAnsi="Arial Narrow"/>
          <w:sz w:val="26"/>
          <w:szCs w:val="26"/>
        </w:rPr>
      </w:pPr>
      <w:r w:rsidRPr="00E64FF7">
        <w:rPr>
          <w:rFonts w:ascii="Arial Narrow" w:hAnsi="Arial Narrow"/>
          <w:b/>
          <w:sz w:val="26"/>
          <w:szCs w:val="26"/>
          <w:lang w:val="es-CO"/>
        </w:rPr>
        <w:t>7.</w:t>
      </w:r>
      <w:r w:rsidR="00FB402B" w:rsidRPr="00E64FF7">
        <w:rPr>
          <w:rFonts w:ascii="Arial Narrow" w:hAnsi="Arial Narrow"/>
          <w:sz w:val="26"/>
          <w:szCs w:val="26"/>
          <w:lang w:val="es-CO"/>
        </w:rPr>
        <w:t xml:space="preserve"> Cabe recordar que el debate propuesto por el accionante se refiere a la presunta falta de análisis de los elementos consignados en su historia clínica que dan cuenta de los diagnósticos de</w:t>
      </w:r>
      <w:r w:rsidR="00FB402B" w:rsidRPr="00E64FF7">
        <w:rPr>
          <w:rFonts w:ascii="Arial Narrow" w:hAnsi="Arial Narrow"/>
          <w:sz w:val="26"/>
          <w:szCs w:val="26"/>
        </w:rPr>
        <w:t xml:space="preserve"> </w:t>
      </w:r>
      <w:r w:rsidRPr="00E64FF7">
        <w:rPr>
          <w:rFonts w:ascii="Arial Narrow" w:hAnsi="Arial Narrow"/>
          <w:sz w:val="26"/>
          <w:szCs w:val="26"/>
        </w:rPr>
        <w:t>trastorno del humor</w:t>
      </w:r>
      <w:r w:rsidR="009919F3" w:rsidRPr="00E64FF7">
        <w:rPr>
          <w:rFonts w:ascii="Arial Narrow" w:hAnsi="Arial Narrow"/>
          <w:sz w:val="26"/>
          <w:szCs w:val="26"/>
        </w:rPr>
        <w:t xml:space="preserve"> y</w:t>
      </w:r>
      <w:r w:rsidRPr="00E64FF7">
        <w:rPr>
          <w:rFonts w:ascii="Arial Narrow" w:hAnsi="Arial Narrow"/>
          <w:sz w:val="26"/>
          <w:szCs w:val="26"/>
        </w:rPr>
        <w:t xml:space="preserve"> gastritis crónica</w:t>
      </w:r>
      <w:r w:rsidR="00FB402B" w:rsidRPr="00E64FF7">
        <w:rPr>
          <w:rFonts w:ascii="Arial Narrow" w:hAnsi="Arial Narrow"/>
          <w:sz w:val="26"/>
          <w:szCs w:val="26"/>
        </w:rPr>
        <w:t xml:space="preserve">. </w:t>
      </w:r>
    </w:p>
    <w:p w14:paraId="6B0BC78F" w14:textId="77777777" w:rsidR="00FB402B" w:rsidRPr="00E64FF7" w:rsidRDefault="00FB402B" w:rsidP="00E64FF7">
      <w:pPr>
        <w:spacing w:line="276" w:lineRule="auto"/>
        <w:jc w:val="both"/>
        <w:rPr>
          <w:rFonts w:ascii="Arial Narrow" w:hAnsi="Arial Narrow"/>
          <w:sz w:val="26"/>
          <w:szCs w:val="26"/>
        </w:rPr>
      </w:pPr>
    </w:p>
    <w:p w14:paraId="3DF3B794" w14:textId="77777777" w:rsidR="00FB402B" w:rsidRPr="00E64FF7" w:rsidRDefault="00FB402B" w:rsidP="00E64FF7">
      <w:pPr>
        <w:spacing w:line="276" w:lineRule="auto"/>
        <w:jc w:val="both"/>
        <w:rPr>
          <w:rFonts w:ascii="Arial Narrow" w:hAnsi="Arial Narrow"/>
          <w:sz w:val="26"/>
          <w:szCs w:val="26"/>
        </w:rPr>
      </w:pPr>
      <w:r w:rsidRPr="00E64FF7">
        <w:rPr>
          <w:rFonts w:ascii="Arial Narrow" w:hAnsi="Arial Narrow"/>
          <w:sz w:val="26"/>
          <w:szCs w:val="26"/>
        </w:rPr>
        <w:t>Sobre el particular las pruebas allegadas a este expediente demuestran lo siguiente:</w:t>
      </w:r>
    </w:p>
    <w:p w14:paraId="49D681B5" w14:textId="77777777" w:rsidR="00FB402B" w:rsidRPr="00E64FF7" w:rsidRDefault="00FB402B" w:rsidP="00E64FF7">
      <w:pPr>
        <w:spacing w:line="276" w:lineRule="auto"/>
        <w:jc w:val="both"/>
        <w:rPr>
          <w:rFonts w:ascii="Arial Narrow" w:hAnsi="Arial Narrow"/>
          <w:sz w:val="26"/>
          <w:szCs w:val="26"/>
        </w:rPr>
      </w:pPr>
    </w:p>
    <w:p w14:paraId="453AC788" w14:textId="77777777" w:rsidR="00FB402B" w:rsidRPr="00E64FF7" w:rsidRDefault="009919F3" w:rsidP="00E64FF7">
      <w:pPr>
        <w:spacing w:line="276" w:lineRule="auto"/>
        <w:jc w:val="both"/>
        <w:rPr>
          <w:rFonts w:ascii="Arial Narrow" w:hAnsi="Arial Narrow"/>
          <w:sz w:val="26"/>
          <w:szCs w:val="26"/>
        </w:rPr>
      </w:pPr>
      <w:r w:rsidRPr="00E64FF7">
        <w:rPr>
          <w:rFonts w:ascii="Arial Narrow" w:hAnsi="Arial Narrow"/>
          <w:b/>
          <w:sz w:val="26"/>
          <w:szCs w:val="26"/>
        </w:rPr>
        <w:t>7</w:t>
      </w:r>
      <w:r w:rsidR="00FB402B" w:rsidRPr="00E64FF7">
        <w:rPr>
          <w:rFonts w:ascii="Arial Narrow" w:hAnsi="Arial Narrow"/>
          <w:b/>
          <w:sz w:val="26"/>
          <w:szCs w:val="26"/>
        </w:rPr>
        <w:t>.1.</w:t>
      </w:r>
      <w:r w:rsidR="00FB402B" w:rsidRPr="00E64FF7">
        <w:rPr>
          <w:rFonts w:ascii="Arial Narrow" w:hAnsi="Arial Narrow"/>
          <w:sz w:val="26"/>
          <w:szCs w:val="26"/>
        </w:rPr>
        <w:t xml:space="preserve"> Según la historia clínica aportada, el</w:t>
      </w:r>
      <w:r w:rsidR="00A83DAF" w:rsidRPr="00E64FF7">
        <w:rPr>
          <w:rFonts w:ascii="Arial Narrow" w:hAnsi="Arial Narrow"/>
          <w:sz w:val="26"/>
          <w:szCs w:val="26"/>
        </w:rPr>
        <w:t xml:space="preserve"> 20 de septiembre de 2017, 25 de octubre de 2017, 08 de noviembre de 2017, 12 de diciembre de 2017,</w:t>
      </w:r>
      <w:r w:rsidR="00FB402B" w:rsidRPr="00E64FF7">
        <w:rPr>
          <w:rFonts w:ascii="Arial Narrow" w:hAnsi="Arial Narrow"/>
          <w:sz w:val="26"/>
          <w:szCs w:val="26"/>
        </w:rPr>
        <w:t xml:space="preserve"> </w:t>
      </w:r>
      <w:r w:rsidR="00A83DAF" w:rsidRPr="00E64FF7">
        <w:rPr>
          <w:rFonts w:ascii="Arial Narrow" w:hAnsi="Arial Narrow"/>
          <w:sz w:val="26"/>
          <w:szCs w:val="26"/>
        </w:rPr>
        <w:t>28 de mayo de 2019</w:t>
      </w:r>
      <w:r w:rsidR="00FB402B" w:rsidRPr="00E64FF7">
        <w:rPr>
          <w:rFonts w:ascii="Arial Narrow" w:hAnsi="Arial Narrow"/>
          <w:sz w:val="26"/>
          <w:szCs w:val="26"/>
        </w:rPr>
        <w:t>,</w:t>
      </w:r>
      <w:r w:rsidR="00A83DAF" w:rsidRPr="00E64FF7">
        <w:rPr>
          <w:rFonts w:ascii="Arial Narrow" w:hAnsi="Arial Narrow"/>
          <w:sz w:val="26"/>
          <w:szCs w:val="26"/>
        </w:rPr>
        <w:t xml:space="preserve"> 31 de enero de 2020 y 15 de abril de 2020 </w:t>
      </w:r>
      <w:r w:rsidR="00FB402B" w:rsidRPr="00E64FF7">
        <w:rPr>
          <w:rFonts w:ascii="Arial Narrow" w:hAnsi="Arial Narrow"/>
          <w:sz w:val="26"/>
          <w:szCs w:val="26"/>
        </w:rPr>
        <w:t xml:space="preserve">se hizo referencia al diagnóstico de </w:t>
      </w:r>
      <w:r w:rsidR="00A83DAF" w:rsidRPr="00E64FF7">
        <w:rPr>
          <w:rFonts w:ascii="Arial Narrow" w:hAnsi="Arial Narrow"/>
          <w:sz w:val="26"/>
          <w:szCs w:val="26"/>
        </w:rPr>
        <w:t>trastorno de ansiedad</w:t>
      </w:r>
      <w:r w:rsidR="00FB402B" w:rsidRPr="00E64FF7">
        <w:rPr>
          <w:rStyle w:val="Refdenotaalpie"/>
          <w:rFonts w:ascii="Arial Narrow" w:hAnsi="Arial Narrow"/>
          <w:sz w:val="26"/>
          <w:szCs w:val="26"/>
          <w:lang w:val="es-CO"/>
        </w:rPr>
        <w:footnoteReference w:id="15"/>
      </w:r>
      <w:r w:rsidR="00FB402B" w:rsidRPr="00E64FF7">
        <w:rPr>
          <w:rFonts w:ascii="Arial Narrow" w:hAnsi="Arial Narrow"/>
          <w:sz w:val="26"/>
          <w:szCs w:val="26"/>
        </w:rPr>
        <w:t>. Dan cuenta esos folios de los medicamentos consumidos y su resultado, así como de la persistencia de</w:t>
      </w:r>
      <w:r w:rsidR="00A83DAF" w:rsidRPr="00E64FF7">
        <w:rPr>
          <w:rFonts w:ascii="Arial Narrow" w:hAnsi="Arial Narrow"/>
          <w:sz w:val="26"/>
          <w:szCs w:val="26"/>
        </w:rPr>
        <w:t>l trastorno</w:t>
      </w:r>
      <w:r w:rsidR="00FB402B" w:rsidRPr="00E64FF7">
        <w:rPr>
          <w:rFonts w:ascii="Arial Narrow" w:hAnsi="Arial Narrow"/>
          <w:sz w:val="26"/>
          <w:szCs w:val="26"/>
        </w:rPr>
        <w:t>.</w:t>
      </w:r>
    </w:p>
    <w:p w14:paraId="7B0590E2" w14:textId="77777777" w:rsidR="00FB402B" w:rsidRPr="00E64FF7" w:rsidRDefault="00FB402B" w:rsidP="00E64FF7">
      <w:pPr>
        <w:spacing w:line="276" w:lineRule="auto"/>
        <w:jc w:val="both"/>
        <w:rPr>
          <w:rFonts w:ascii="Arial Narrow" w:hAnsi="Arial Narrow"/>
          <w:sz w:val="26"/>
          <w:szCs w:val="26"/>
        </w:rPr>
      </w:pPr>
    </w:p>
    <w:p w14:paraId="1F941E32" w14:textId="77777777" w:rsidR="00FB402B" w:rsidRPr="00E64FF7" w:rsidRDefault="00FB402B" w:rsidP="00E64FF7">
      <w:pPr>
        <w:spacing w:line="276" w:lineRule="auto"/>
        <w:jc w:val="both"/>
        <w:rPr>
          <w:rFonts w:ascii="Arial Narrow" w:hAnsi="Arial Narrow"/>
          <w:sz w:val="26"/>
          <w:szCs w:val="26"/>
          <w:lang w:val="es-CO"/>
        </w:rPr>
      </w:pPr>
      <w:r w:rsidRPr="00E64FF7">
        <w:rPr>
          <w:rFonts w:ascii="Arial Narrow" w:hAnsi="Arial Narrow"/>
          <w:sz w:val="26"/>
          <w:szCs w:val="26"/>
        </w:rPr>
        <w:t xml:space="preserve">También aparece que el </w:t>
      </w:r>
      <w:r w:rsidR="00A83DAF" w:rsidRPr="00E64FF7">
        <w:rPr>
          <w:rFonts w:ascii="Arial Narrow" w:hAnsi="Arial Narrow"/>
          <w:sz w:val="26"/>
          <w:szCs w:val="26"/>
        </w:rPr>
        <w:t>12</w:t>
      </w:r>
      <w:r w:rsidRPr="00E64FF7">
        <w:rPr>
          <w:rFonts w:ascii="Arial Narrow" w:hAnsi="Arial Narrow"/>
          <w:sz w:val="26"/>
          <w:szCs w:val="26"/>
        </w:rPr>
        <w:t xml:space="preserve"> de</w:t>
      </w:r>
      <w:r w:rsidR="00A83DAF" w:rsidRPr="00E64FF7">
        <w:rPr>
          <w:rFonts w:ascii="Arial Narrow" w:hAnsi="Arial Narrow"/>
          <w:sz w:val="26"/>
          <w:szCs w:val="26"/>
        </w:rPr>
        <w:t xml:space="preserve"> noviembre de 2019 </w:t>
      </w:r>
      <w:r w:rsidR="000B7D5F" w:rsidRPr="00E64FF7">
        <w:rPr>
          <w:rFonts w:ascii="Arial Narrow" w:hAnsi="Arial Narrow"/>
          <w:sz w:val="26"/>
          <w:szCs w:val="26"/>
        </w:rPr>
        <w:t>se hizo lo propio respecto de la</w:t>
      </w:r>
      <w:r w:rsidR="00A83DAF" w:rsidRPr="00E64FF7">
        <w:rPr>
          <w:rFonts w:ascii="Arial Narrow" w:hAnsi="Arial Narrow"/>
          <w:sz w:val="26"/>
          <w:szCs w:val="26"/>
        </w:rPr>
        <w:t xml:space="preserve"> enfermedad de gastritis</w:t>
      </w:r>
      <w:r w:rsidRPr="00E64FF7">
        <w:rPr>
          <w:rStyle w:val="Refdenotaalpie"/>
          <w:rFonts w:ascii="Arial Narrow" w:hAnsi="Arial Narrow"/>
          <w:sz w:val="26"/>
          <w:szCs w:val="26"/>
          <w:lang w:val="es-CO"/>
        </w:rPr>
        <w:footnoteReference w:id="16"/>
      </w:r>
      <w:r w:rsidRPr="00E64FF7">
        <w:rPr>
          <w:rFonts w:ascii="Arial Narrow" w:hAnsi="Arial Narrow"/>
          <w:sz w:val="26"/>
          <w:szCs w:val="26"/>
          <w:lang w:val="es-CO"/>
        </w:rPr>
        <w:t>.</w:t>
      </w:r>
    </w:p>
    <w:p w14:paraId="105733D1" w14:textId="77777777" w:rsidR="00FB402B" w:rsidRPr="00E64FF7" w:rsidRDefault="00FB402B" w:rsidP="00E64FF7">
      <w:pPr>
        <w:spacing w:line="276" w:lineRule="auto"/>
        <w:jc w:val="both"/>
        <w:rPr>
          <w:rFonts w:ascii="Arial Narrow" w:hAnsi="Arial Narrow"/>
          <w:sz w:val="26"/>
          <w:szCs w:val="26"/>
          <w:lang w:val="es-CO"/>
        </w:rPr>
      </w:pPr>
    </w:p>
    <w:p w14:paraId="7C6B8F9F" w14:textId="458DC41B" w:rsidR="00FB402B" w:rsidRPr="00E64FF7" w:rsidRDefault="009919F3" w:rsidP="00E64FF7">
      <w:pPr>
        <w:pStyle w:val="Sinespaciado"/>
        <w:tabs>
          <w:tab w:val="left" w:pos="1750"/>
        </w:tabs>
        <w:spacing w:line="276" w:lineRule="auto"/>
        <w:jc w:val="both"/>
        <w:rPr>
          <w:rFonts w:ascii="Arial Narrow" w:hAnsi="Arial Narrow"/>
          <w:sz w:val="26"/>
          <w:szCs w:val="26"/>
          <w:lang w:val="es-CO"/>
        </w:rPr>
      </w:pPr>
      <w:r w:rsidRPr="00E64FF7">
        <w:rPr>
          <w:rFonts w:ascii="Arial Narrow" w:hAnsi="Arial Narrow"/>
          <w:b/>
          <w:sz w:val="26"/>
          <w:szCs w:val="26"/>
          <w:lang w:val="es-CO"/>
        </w:rPr>
        <w:t>7</w:t>
      </w:r>
      <w:r w:rsidR="00FB402B" w:rsidRPr="00E64FF7">
        <w:rPr>
          <w:rFonts w:ascii="Arial Narrow" w:hAnsi="Arial Narrow"/>
          <w:b/>
          <w:sz w:val="26"/>
          <w:szCs w:val="26"/>
          <w:lang w:val="es-CO"/>
        </w:rPr>
        <w:t>.2.</w:t>
      </w:r>
      <w:r w:rsidR="00FB402B" w:rsidRPr="00E64FF7">
        <w:rPr>
          <w:rFonts w:ascii="Arial Narrow" w:hAnsi="Arial Narrow"/>
          <w:sz w:val="26"/>
          <w:szCs w:val="26"/>
          <w:lang w:val="es-CO"/>
        </w:rPr>
        <w:t xml:space="preserve"> El </w:t>
      </w:r>
      <w:r w:rsidRPr="00E64FF7">
        <w:rPr>
          <w:rFonts w:ascii="Arial Narrow" w:hAnsi="Arial Narrow"/>
          <w:sz w:val="26"/>
          <w:szCs w:val="26"/>
          <w:lang w:val="es-CO"/>
        </w:rPr>
        <w:t xml:space="preserve">29 de enero de 2021 </w:t>
      </w:r>
      <w:r w:rsidR="00FB402B" w:rsidRPr="00E64FF7">
        <w:rPr>
          <w:rFonts w:ascii="Arial Narrow" w:hAnsi="Arial Narrow"/>
          <w:sz w:val="26"/>
          <w:szCs w:val="26"/>
          <w:lang w:val="es-CO"/>
        </w:rPr>
        <w:t xml:space="preserve">la Junta Regional de Calificación de invalidez emitió dictamen en el que determinó que la pérdida de capacidad laboral del demandante asciende al </w:t>
      </w:r>
      <w:r w:rsidRPr="00E64FF7">
        <w:rPr>
          <w:rFonts w:ascii="Arial Narrow" w:hAnsi="Arial Narrow"/>
          <w:sz w:val="26"/>
          <w:szCs w:val="26"/>
          <w:lang w:val="es-CO"/>
        </w:rPr>
        <w:t>22,50%</w:t>
      </w:r>
      <w:r w:rsidR="00FB402B" w:rsidRPr="00E64FF7">
        <w:rPr>
          <w:rFonts w:ascii="Arial Narrow" w:hAnsi="Arial Narrow"/>
          <w:sz w:val="26"/>
          <w:szCs w:val="26"/>
          <w:lang w:val="es-CO"/>
        </w:rPr>
        <w:t>, con ocasión a</w:t>
      </w:r>
      <w:r w:rsidRPr="00E64FF7">
        <w:rPr>
          <w:rFonts w:ascii="Arial Narrow" w:hAnsi="Arial Narrow"/>
          <w:sz w:val="26"/>
          <w:szCs w:val="26"/>
          <w:lang w:val="es-CO"/>
        </w:rPr>
        <w:t xml:space="preserve"> su diagnóstico de síndrome del túnel carpiano</w:t>
      </w:r>
      <w:r w:rsidR="00FB402B" w:rsidRPr="00E64FF7">
        <w:rPr>
          <w:rStyle w:val="Refdenotaalpie"/>
          <w:rFonts w:ascii="Arial Narrow" w:hAnsi="Arial Narrow"/>
          <w:sz w:val="26"/>
          <w:szCs w:val="26"/>
          <w:lang w:val="es-CO"/>
        </w:rPr>
        <w:footnoteReference w:id="17"/>
      </w:r>
      <w:r w:rsidRPr="00E64FF7">
        <w:rPr>
          <w:rFonts w:ascii="Arial Narrow" w:hAnsi="Arial Narrow"/>
          <w:sz w:val="26"/>
          <w:szCs w:val="26"/>
          <w:lang w:val="es-CO"/>
        </w:rPr>
        <w:t>.</w:t>
      </w:r>
      <w:r w:rsidR="00FB402B" w:rsidRPr="00E64FF7">
        <w:rPr>
          <w:rFonts w:ascii="Arial Narrow" w:hAnsi="Arial Narrow"/>
          <w:sz w:val="26"/>
          <w:szCs w:val="26"/>
          <w:lang w:val="es-CO"/>
        </w:rPr>
        <w:t xml:space="preserve"> </w:t>
      </w:r>
      <w:r w:rsidR="00720A8A" w:rsidRPr="00E64FF7">
        <w:rPr>
          <w:rFonts w:ascii="Arial Narrow" w:hAnsi="Arial Narrow"/>
          <w:sz w:val="26"/>
          <w:szCs w:val="26"/>
          <w:lang w:val="es-CO"/>
        </w:rPr>
        <w:t xml:space="preserve"> Con ocasión a las demás dolencias simplemente señaló: “</w:t>
      </w:r>
      <w:r w:rsidR="00720A8A" w:rsidRPr="00386D8E">
        <w:rPr>
          <w:rFonts w:ascii="Arial Narrow" w:hAnsi="Arial Narrow"/>
          <w:i/>
          <w:sz w:val="24"/>
          <w:szCs w:val="26"/>
          <w:lang w:val="es-CO"/>
        </w:rPr>
        <w:t>El evaluado solicita calificación integral de acuerdo a la sentencia C-425 de 2005 considerando patologías comunes como son trastorno  del  humor,  lumbago  no  especificado,  gastritis  crónica,  se  hace  el  ejercicio  de  calificación  y  no  se  alcanza  el porcentaje  de  50%  o  mas  por  lo  que  no  aplica  dicha  sentencia  y  se  procede  a  calificar  únicamente  lo  que  es  objeto  de</w:t>
      </w:r>
      <w:r w:rsidR="00AC56EF" w:rsidRPr="00386D8E">
        <w:rPr>
          <w:rFonts w:ascii="Arial Narrow" w:hAnsi="Arial Narrow"/>
          <w:i/>
          <w:sz w:val="24"/>
          <w:szCs w:val="26"/>
          <w:lang w:val="es-CO"/>
        </w:rPr>
        <w:t xml:space="preserve"> </w:t>
      </w:r>
      <w:r w:rsidR="00720A8A" w:rsidRPr="00386D8E">
        <w:rPr>
          <w:rFonts w:ascii="Arial Narrow" w:hAnsi="Arial Narrow"/>
          <w:i/>
          <w:sz w:val="24"/>
          <w:szCs w:val="26"/>
          <w:lang w:val="es-CO"/>
        </w:rPr>
        <w:t>controversia del dictamen de primera oportunidad</w:t>
      </w:r>
      <w:r w:rsidR="00720A8A" w:rsidRPr="00E64FF7">
        <w:rPr>
          <w:rFonts w:ascii="Arial Narrow" w:hAnsi="Arial Narrow"/>
          <w:sz w:val="26"/>
          <w:szCs w:val="26"/>
          <w:lang w:val="es-CO"/>
        </w:rPr>
        <w:t>”</w:t>
      </w:r>
      <w:r w:rsidR="00720A8A" w:rsidRPr="00E64FF7">
        <w:rPr>
          <w:rFonts w:ascii="Arial Narrow" w:hAnsi="Arial Narrow"/>
          <w:i/>
          <w:sz w:val="26"/>
          <w:szCs w:val="26"/>
          <w:lang w:val="es-CO"/>
        </w:rPr>
        <w:t>.</w:t>
      </w:r>
    </w:p>
    <w:p w14:paraId="4571B787" w14:textId="77777777" w:rsidR="009919F3" w:rsidRPr="00E64FF7" w:rsidRDefault="009919F3" w:rsidP="00E64FF7">
      <w:pPr>
        <w:pStyle w:val="Sinespaciado"/>
        <w:tabs>
          <w:tab w:val="left" w:pos="1750"/>
        </w:tabs>
        <w:spacing w:line="276" w:lineRule="auto"/>
        <w:jc w:val="both"/>
        <w:rPr>
          <w:rFonts w:ascii="Arial Narrow" w:hAnsi="Arial Narrow"/>
          <w:sz w:val="26"/>
          <w:szCs w:val="26"/>
          <w:lang w:val="es-CO"/>
        </w:rPr>
      </w:pPr>
    </w:p>
    <w:p w14:paraId="369A9E1F" w14:textId="77777777" w:rsidR="009919F3" w:rsidRPr="00E64FF7" w:rsidRDefault="009919F3" w:rsidP="00E64FF7">
      <w:pPr>
        <w:pStyle w:val="Sinespaciado"/>
        <w:tabs>
          <w:tab w:val="left" w:pos="1750"/>
        </w:tabs>
        <w:spacing w:line="276" w:lineRule="auto"/>
        <w:jc w:val="both"/>
        <w:rPr>
          <w:rFonts w:ascii="Arial Narrow" w:hAnsi="Arial Narrow"/>
          <w:sz w:val="26"/>
          <w:szCs w:val="26"/>
          <w:lang w:val="es-CO"/>
        </w:rPr>
      </w:pPr>
      <w:r w:rsidRPr="00E64FF7">
        <w:rPr>
          <w:rFonts w:ascii="Arial Narrow" w:hAnsi="Arial Narrow"/>
          <w:b/>
          <w:sz w:val="26"/>
          <w:szCs w:val="26"/>
          <w:lang w:val="es-CO"/>
        </w:rPr>
        <w:t>7.3.</w:t>
      </w:r>
      <w:r w:rsidRPr="00E64FF7">
        <w:rPr>
          <w:rFonts w:ascii="Arial Narrow" w:hAnsi="Arial Narrow"/>
          <w:sz w:val="26"/>
          <w:szCs w:val="26"/>
          <w:lang w:val="es-CO"/>
        </w:rPr>
        <w:t xml:space="preserve"> Contra esa decisión el accionante planteó inconformidad, con sustento en que</w:t>
      </w:r>
      <w:r w:rsidR="004557ED" w:rsidRPr="00E64FF7">
        <w:rPr>
          <w:rFonts w:ascii="Arial Narrow" w:hAnsi="Arial Narrow"/>
          <w:sz w:val="26"/>
          <w:szCs w:val="26"/>
          <w:lang w:val="es-CO"/>
        </w:rPr>
        <w:t xml:space="preserve"> se omitió valorar y, en consecuencia, conceder porcentaje a las patologías de lumbago, trastorno de humor y gastritis crónica. Solicitó se realizara una calificación integral de invalidez</w:t>
      </w:r>
      <w:r w:rsidRPr="00E64FF7">
        <w:rPr>
          <w:rStyle w:val="Refdenotaalpie"/>
          <w:rFonts w:ascii="Arial Narrow" w:hAnsi="Arial Narrow"/>
          <w:sz w:val="26"/>
          <w:szCs w:val="26"/>
          <w:lang w:val="es-CO"/>
        </w:rPr>
        <w:footnoteReference w:id="18"/>
      </w:r>
      <w:r w:rsidR="004557ED" w:rsidRPr="00E64FF7">
        <w:rPr>
          <w:rFonts w:ascii="Arial Narrow" w:hAnsi="Arial Narrow"/>
          <w:sz w:val="26"/>
          <w:szCs w:val="26"/>
          <w:lang w:val="es-CO"/>
        </w:rPr>
        <w:t>.</w:t>
      </w:r>
    </w:p>
    <w:p w14:paraId="64B0CA33" w14:textId="77777777" w:rsidR="00FB402B" w:rsidRPr="00E64FF7" w:rsidRDefault="00FB402B" w:rsidP="00E64FF7">
      <w:pPr>
        <w:pStyle w:val="Sinespaciado"/>
        <w:tabs>
          <w:tab w:val="left" w:pos="1750"/>
        </w:tabs>
        <w:spacing w:line="276" w:lineRule="auto"/>
        <w:jc w:val="both"/>
        <w:rPr>
          <w:rFonts w:ascii="Arial Narrow" w:hAnsi="Arial Narrow"/>
          <w:sz w:val="26"/>
          <w:szCs w:val="26"/>
          <w:lang w:val="es-CO"/>
        </w:rPr>
      </w:pPr>
    </w:p>
    <w:p w14:paraId="6D49F68B" w14:textId="77777777" w:rsidR="00FB402B" w:rsidRPr="00E64FF7" w:rsidRDefault="004557ED" w:rsidP="00E64FF7">
      <w:pPr>
        <w:pStyle w:val="Sinespaciado"/>
        <w:tabs>
          <w:tab w:val="left" w:pos="1750"/>
        </w:tabs>
        <w:spacing w:line="276" w:lineRule="auto"/>
        <w:jc w:val="both"/>
        <w:rPr>
          <w:rFonts w:ascii="Arial Narrow" w:hAnsi="Arial Narrow"/>
          <w:sz w:val="26"/>
          <w:szCs w:val="26"/>
          <w:lang w:val="es-CO"/>
        </w:rPr>
      </w:pPr>
      <w:r w:rsidRPr="00E64FF7">
        <w:rPr>
          <w:rFonts w:ascii="Arial Narrow" w:hAnsi="Arial Narrow"/>
          <w:b/>
          <w:sz w:val="26"/>
          <w:szCs w:val="26"/>
          <w:lang w:val="es-CO"/>
        </w:rPr>
        <w:t>7.4</w:t>
      </w:r>
      <w:r w:rsidR="00FB402B" w:rsidRPr="00E64FF7">
        <w:rPr>
          <w:rFonts w:ascii="Arial Narrow" w:hAnsi="Arial Narrow"/>
          <w:b/>
          <w:sz w:val="26"/>
          <w:szCs w:val="26"/>
          <w:lang w:val="es-CO"/>
        </w:rPr>
        <w:t>.</w:t>
      </w:r>
      <w:r w:rsidR="00FB402B" w:rsidRPr="00E64FF7">
        <w:rPr>
          <w:rFonts w:ascii="Arial Narrow" w:hAnsi="Arial Narrow"/>
          <w:sz w:val="26"/>
          <w:szCs w:val="26"/>
          <w:lang w:val="es-CO"/>
        </w:rPr>
        <w:t xml:space="preserve"> </w:t>
      </w:r>
      <w:r w:rsidRPr="00E64FF7">
        <w:rPr>
          <w:rFonts w:ascii="Arial Narrow" w:hAnsi="Arial Narrow"/>
          <w:sz w:val="26"/>
          <w:szCs w:val="26"/>
          <w:lang w:val="es-CO"/>
        </w:rPr>
        <w:t>El 08 de julio de 2021</w:t>
      </w:r>
      <w:r w:rsidR="00FB402B" w:rsidRPr="00E64FF7">
        <w:rPr>
          <w:rFonts w:ascii="Arial Narrow" w:hAnsi="Arial Narrow"/>
          <w:sz w:val="26"/>
          <w:szCs w:val="26"/>
          <w:lang w:val="es-CO"/>
        </w:rPr>
        <w:t xml:space="preserve"> </w:t>
      </w:r>
      <w:r w:rsidRPr="00E64FF7">
        <w:rPr>
          <w:rFonts w:ascii="Arial Narrow" w:hAnsi="Arial Narrow"/>
          <w:sz w:val="26"/>
          <w:szCs w:val="26"/>
          <w:lang w:val="es-CO"/>
        </w:rPr>
        <w:t xml:space="preserve">la Junta Nacional de Invalidez confirmó </w:t>
      </w:r>
      <w:r w:rsidR="002A0228" w:rsidRPr="00E64FF7">
        <w:rPr>
          <w:rFonts w:ascii="Arial Narrow" w:hAnsi="Arial Narrow"/>
          <w:sz w:val="26"/>
          <w:szCs w:val="26"/>
          <w:lang w:val="es-CO"/>
        </w:rPr>
        <w:t>la determinación</w:t>
      </w:r>
      <w:r w:rsidR="00371396" w:rsidRPr="00E64FF7">
        <w:rPr>
          <w:rFonts w:ascii="Arial Narrow" w:hAnsi="Arial Narrow"/>
          <w:sz w:val="26"/>
          <w:szCs w:val="26"/>
          <w:lang w:val="es-CO"/>
        </w:rPr>
        <w:t xml:space="preserve"> recurrid</w:t>
      </w:r>
      <w:r w:rsidR="002A0228" w:rsidRPr="00E64FF7">
        <w:rPr>
          <w:rFonts w:ascii="Arial Narrow" w:hAnsi="Arial Narrow"/>
          <w:sz w:val="26"/>
          <w:szCs w:val="26"/>
          <w:lang w:val="es-CO"/>
        </w:rPr>
        <w:t>a</w:t>
      </w:r>
      <w:r w:rsidR="00FB402B" w:rsidRPr="00E64FF7">
        <w:rPr>
          <w:rFonts w:ascii="Arial Narrow" w:hAnsi="Arial Narrow"/>
          <w:sz w:val="26"/>
          <w:szCs w:val="26"/>
          <w:lang w:val="es-CO"/>
        </w:rPr>
        <w:t>.</w:t>
      </w:r>
      <w:r w:rsidR="002A0228" w:rsidRPr="00E64FF7">
        <w:rPr>
          <w:rFonts w:ascii="Arial Narrow" w:hAnsi="Arial Narrow"/>
          <w:sz w:val="26"/>
          <w:szCs w:val="26"/>
          <w:lang w:val="es-CO"/>
        </w:rPr>
        <w:t xml:space="preserve"> En ese dictamen se relacionaron, entre otros conceptos clínicos, el de la especialidad de psiquiatría</w:t>
      </w:r>
      <w:r w:rsidR="0081670B" w:rsidRPr="00E64FF7">
        <w:rPr>
          <w:rFonts w:ascii="Arial Narrow" w:hAnsi="Arial Narrow"/>
          <w:sz w:val="26"/>
          <w:szCs w:val="26"/>
          <w:lang w:val="es-CO"/>
        </w:rPr>
        <w:t>,</w:t>
      </w:r>
      <w:r w:rsidR="002A0228" w:rsidRPr="00E64FF7">
        <w:rPr>
          <w:rFonts w:ascii="Arial Narrow" w:hAnsi="Arial Narrow"/>
          <w:sz w:val="26"/>
          <w:szCs w:val="26"/>
          <w:lang w:val="es-CO"/>
        </w:rPr>
        <w:t xml:space="preserve"> relacionados con el diagnóstico de ansiedad y otros trastornos mentales, así como examen de esofagogastroduodenoscopia cuyo resultado fue de diagnosis de gastritis crónica. Sin embargo, el estudio médico legal se limitó a la patología de síndrome del túnel carpiano y se concluyó, con base en ese</w:t>
      </w:r>
      <w:r w:rsidR="0081670B" w:rsidRPr="00E64FF7">
        <w:rPr>
          <w:rFonts w:ascii="Arial Narrow" w:hAnsi="Arial Narrow"/>
          <w:sz w:val="26"/>
          <w:szCs w:val="26"/>
          <w:lang w:val="es-CO"/>
        </w:rPr>
        <w:t xml:space="preserve"> mero</w:t>
      </w:r>
      <w:r w:rsidR="002A0228" w:rsidRPr="00E64FF7">
        <w:rPr>
          <w:rFonts w:ascii="Arial Narrow" w:hAnsi="Arial Narrow"/>
          <w:sz w:val="26"/>
          <w:szCs w:val="26"/>
          <w:lang w:val="es-CO"/>
        </w:rPr>
        <w:t xml:space="preserve"> análisis, que </w:t>
      </w:r>
      <w:r w:rsidR="0081670B" w:rsidRPr="00E64FF7">
        <w:rPr>
          <w:rFonts w:ascii="Arial Narrow" w:hAnsi="Arial Narrow"/>
          <w:sz w:val="26"/>
          <w:szCs w:val="26"/>
          <w:lang w:val="es-CO"/>
        </w:rPr>
        <w:t>“</w:t>
      </w:r>
      <w:r w:rsidR="0081670B" w:rsidRPr="00386D8E">
        <w:rPr>
          <w:rFonts w:ascii="Arial Narrow" w:hAnsi="Arial Narrow"/>
          <w:sz w:val="24"/>
          <w:szCs w:val="26"/>
          <w:lang w:val="es-CO"/>
        </w:rPr>
        <w:t>no se evidencian elementos clínicos de juicio que permitan modificar la calificación, motivo por el cual se ratifican las deficiencias</w:t>
      </w:r>
      <w:r w:rsidR="0081670B" w:rsidRPr="00E64FF7">
        <w:rPr>
          <w:rFonts w:ascii="Arial Narrow" w:hAnsi="Arial Narrow"/>
          <w:sz w:val="26"/>
          <w:szCs w:val="26"/>
          <w:lang w:val="es-CO"/>
        </w:rPr>
        <w:t>”</w:t>
      </w:r>
      <w:r w:rsidR="00FB402B" w:rsidRPr="00E64FF7">
        <w:rPr>
          <w:rStyle w:val="Refdenotaalpie"/>
          <w:rFonts w:ascii="Arial Narrow" w:hAnsi="Arial Narrow"/>
          <w:sz w:val="26"/>
          <w:szCs w:val="26"/>
          <w:lang w:val="es-CO"/>
        </w:rPr>
        <w:footnoteReference w:id="19"/>
      </w:r>
      <w:r w:rsidR="00FB402B" w:rsidRPr="00E64FF7">
        <w:rPr>
          <w:rFonts w:ascii="Arial Narrow" w:hAnsi="Arial Narrow"/>
          <w:sz w:val="26"/>
          <w:szCs w:val="26"/>
          <w:lang w:val="es-CO"/>
        </w:rPr>
        <w:t>.</w:t>
      </w:r>
    </w:p>
    <w:p w14:paraId="4984218A" w14:textId="77777777" w:rsidR="00FB402B" w:rsidRPr="00E64FF7" w:rsidRDefault="00FB402B" w:rsidP="00E64FF7">
      <w:pPr>
        <w:spacing w:line="276" w:lineRule="auto"/>
        <w:jc w:val="both"/>
        <w:rPr>
          <w:rFonts w:ascii="Arial Narrow" w:hAnsi="Arial Narrow"/>
          <w:sz w:val="26"/>
          <w:szCs w:val="26"/>
          <w:lang w:val="es-CO"/>
        </w:rPr>
      </w:pPr>
    </w:p>
    <w:p w14:paraId="6D078C76" w14:textId="77777777" w:rsidR="00FB402B" w:rsidRPr="00E64FF7" w:rsidRDefault="0081670B" w:rsidP="00E64FF7">
      <w:pPr>
        <w:spacing w:line="276" w:lineRule="auto"/>
        <w:jc w:val="both"/>
        <w:rPr>
          <w:rFonts w:ascii="Arial Narrow" w:hAnsi="Arial Narrow"/>
          <w:sz w:val="26"/>
          <w:szCs w:val="26"/>
          <w:lang w:val="es-CO"/>
        </w:rPr>
      </w:pPr>
      <w:r w:rsidRPr="00E64FF7">
        <w:rPr>
          <w:rFonts w:ascii="Arial Narrow" w:hAnsi="Arial Narrow"/>
          <w:b/>
          <w:sz w:val="26"/>
          <w:szCs w:val="26"/>
          <w:lang w:val="es-CO"/>
        </w:rPr>
        <w:t>8.</w:t>
      </w:r>
      <w:r w:rsidRPr="00E64FF7">
        <w:rPr>
          <w:rFonts w:ascii="Arial Narrow" w:hAnsi="Arial Narrow"/>
          <w:sz w:val="26"/>
          <w:szCs w:val="26"/>
          <w:lang w:val="es-CO"/>
        </w:rPr>
        <w:t xml:space="preserve"> </w:t>
      </w:r>
      <w:r w:rsidR="00FB402B" w:rsidRPr="00E64FF7">
        <w:rPr>
          <w:rFonts w:ascii="Arial Narrow" w:hAnsi="Arial Narrow"/>
          <w:sz w:val="26"/>
          <w:szCs w:val="26"/>
          <w:lang w:val="es-CO"/>
        </w:rPr>
        <w:t>Surge de las anteriores pruebas que, en este caso, la entidad accionada actuó al margen de los criterios jurisprudenciales relativos a la salvaguarda del debi</w:t>
      </w:r>
      <w:r w:rsidR="006179D3" w:rsidRPr="00E64FF7">
        <w:rPr>
          <w:rFonts w:ascii="Arial Narrow" w:hAnsi="Arial Narrow"/>
          <w:sz w:val="26"/>
          <w:szCs w:val="26"/>
          <w:lang w:val="es-CO"/>
        </w:rPr>
        <w:t xml:space="preserve">do proceso en decisiones médico </w:t>
      </w:r>
      <w:r w:rsidR="00FB402B" w:rsidRPr="00E64FF7">
        <w:rPr>
          <w:rFonts w:ascii="Arial Narrow" w:hAnsi="Arial Narrow"/>
          <w:sz w:val="26"/>
          <w:szCs w:val="26"/>
          <w:lang w:val="es-CO"/>
        </w:rPr>
        <w:t>laborales.</w:t>
      </w:r>
    </w:p>
    <w:p w14:paraId="55A48932" w14:textId="77777777" w:rsidR="00FB402B" w:rsidRPr="00E64FF7" w:rsidRDefault="00FB402B" w:rsidP="00E64FF7">
      <w:pPr>
        <w:spacing w:line="276" w:lineRule="auto"/>
        <w:jc w:val="both"/>
        <w:rPr>
          <w:rFonts w:ascii="Arial Narrow" w:hAnsi="Arial Narrow"/>
          <w:sz w:val="26"/>
          <w:szCs w:val="26"/>
          <w:lang w:val="es-CO"/>
        </w:rPr>
      </w:pPr>
    </w:p>
    <w:p w14:paraId="24302699" w14:textId="24FF047D" w:rsidR="00FB402B" w:rsidRPr="00E64FF7" w:rsidRDefault="00FB402B" w:rsidP="00E64FF7">
      <w:pPr>
        <w:spacing w:line="276" w:lineRule="auto"/>
        <w:jc w:val="both"/>
        <w:rPr>
          <w:rFonts w:ascii="Arial Narrow" w:hAnsi="Arial Narrow"/>
          <w:sz w:val="26"/>
          <w:szCs w:val="26"/>
        </w:rPr>
      </w:pPr>
      <w:r w:rsidRPr="00E64FF7">
        <w:rPr>
          <w:rFonts w:ascii="Arial Narrow" w:hAnsi="Arial Narrow"/>
          <w:sz w:val="26"/>
          <w:szCs w:val="26"/>
          <w:lang w:val="es-CO"/>
        </w:rPr>
        <w:t>En efecto, se evidencia que aunque la historia clínica aportada</w:t>
      </w:r>
      <w:r w:rsidR="006179D3" w:rsidRPr="00E64FF7">
        <w:rPr>
          <w:rFonts w:ascii="Arial Narrow" w:hAnsi="Arial Narrow"/>
          <w:sz w:val="26"/>
          <w:szCs w:val="26"/>
          <w:lang w:val="es-CO"/>
        </w:rPr>
        <w:t xml:space="preserve"> en ese trám</w:t>
      </w:r>
      <w:r w:rsidR="000B7D5F" w:rsidRPr="00E64FF7">
        <w:rPr>
          <w:rFonts w:ascii="Arial Narrow" w:hAnsi="Arial Narrow"/>
          <w:sz w:val="26"/>
          <w:szCs w:val="26"/>
          <w:lang w:val="es-CO"/>
        </w:rPr>
        <w:t>i</w:t>
      </w:r>
      <w:r w:rsidR="006179D3" w:rsidRPr="00E64FF7">
        <w:rPr>
          <w:rFonts w:ascii="Arial Narrow" w:hAnsi="Arial Narrow"/>
          <w:sz w:val="26"/>
          <w:szCs w:val="26"/>
          <w:lang w:val="es-CO"/>
        </w:rPr>
        <w:t>te</w:t>
      </w:r>
      <w:r w:rsidRPr="00E64FF7">
        <w:rPr>
          <w:rFonts w:ascii="Arial Narrow" w:hAnsi="Arial Narrow"/>
          <w:sz w:val="26"/>
          <w:szCs w:val="26"/>
          <w:lang w:val="es-CO"/>
        </w:rPr>
        <w:t xml:space="preserve"> denota que el actor viene siendo tratado por la especialidad de psiquiatría,</w:t>
      </w:r>
      <w:r w:rsidR="006179D3" w:rsidRPr="00E64FF7">
        <w:rPr>
          <w:rFonts w:ascii="Arial Narrow" w:hAnsi="Arial Narrow"/>
          <w:sz w:val="26"/>
          <w:szCs w:val="26"/>
          <w:lang w:val="es-CO"/>
        </w:rPr>
        <w:t xml:space="preserve"> </w:t>
      </w:r>
      <w:r w:rsidR="000B7D5F" w:rsidRPr="00E64FF7">
        <w:rPr>
          <w:rFonts w:ascii="Arial Narrow" w:hAnsi="Arial Narrow"/>
          <w:sz w:val="26"/>
          <w:szCs w:val="26"/>
          <w:lang w:val="es-CO"/>
        </w:rPr>
        <w:t>con ocasión a varios</w:t>
      </w:r>
      <w:r w:rsidRPr="00E64FF7">
        <w:rPr>
          <w:rFonts w:ascii="Arial Narrow" w:hAnsi="Arial Narrow"/>
          <w:sz w:val="26"/>
          <w:szCs w:val="26"/>
          <w:lang w:val="es-CO"/>
        </w:rPr>
        <w:t xml:space="preserve"> trastorno</w:t>
      </w:r>
      <w:r w:rsidR="000B7D5F" w:rsidRPr="00E64FF7">
        <w:rPr>
          <w:rFonts w:ascii="Arial Narrow" w:hAnsi="Arial Narrow"/>
          <w:sz w:val="26"/>
          <w:szCs w:val="26"/>
          <w:lang w:val="es-CO"/>
        </w:rPr>
        <w:t>s</w:t>
      </w:r>
      <w:r w:rsidRPr="00E64FF7">
        <w:rPr>
          <w:rFonts w:ascii="Arial Narrow" w:hAnsi="Arial Narrow"/>
          <w:sz w:val="26"/>
          <w:szCs w:val="26"/>
          <w:lang w:val="es-CO"/>
        </w:rPr>
        <w:t xml:space="preserve">, desde el </w:t>
      </w:r>
      <w:r w:rsidR="000B7D5F" w:rsidRPr="00E64FF7">
        <w:rPr>
          <w:rFonts w:ascii="Arial Narrow" w:hAnsi="Arial Narrow"/>
          <w:sz w:val="26"/>
          <w:szCs w:val="26"/>
        </w:rPr>
        <w:t>20 de septiembre de 2017</w:t>
      </w:r>
      <w:r w:rsidRPr="00E64FF7">
        <w:rPr>
          <w:rFonts w:ascii="Arial Narrow" w:hAnsi="Arial Narrow"/>
          <w:sz w:val="26"/>
          <w:szCs w:val="26"/>
        </w:rPr>
        <w:t xml:space="preserve">, </w:t>
      </w:r>
      <w:r w:rsidR="000B7D5F" w:rsidRPr="00E64FF7">
        <w:rPr>
          <w:rFonts w:ascii="Arial Narrow" w:hAnsi="Arial Narrow"/>
          <w:sz w:val="26"/>
          <w:szCs w:val="26"/>
        </w:rPr>
        <w:t>y que</w:t>
      </w:r>
      <w:r w:rsidR="00B67902" w:rsidRPr="00E64FF7">
        <w:rPr>
          <w:rFonts w:ascii="Arial Narrow" w:hAnsi="Arial Narrow"/>
          <w:sz w:val="26"/>
          <w:szCs w:val="26"/>
        </w:rPr>
        <w:t xml:space="preserve"> fue diagnosticado con</w:t>
      </w:r>
      <w:r w:rsidR="000B7D5F" w:rsidRPr="00E64FF7">
        <w:rPr>
          <w:rFonts w:ascii="Arial Narrow" w:hAnsi="Arial Narrow"/>
          <w:sz w:val="26"/>
          <w:szCs w:val="26"/>
        </w:rPr>
        <w:t xml:space="preserve"> gastritis crónica</w:t>
      </w:r>
      <w:r w:rsidRPr="00E64FF7">
        <w:rPr>
          <w:rFonts w:ascii="Arial Narrow" w:hAnsi="Arial Narrow"/>
          <w:sz w:val="26"/>
          <w:szCs w:val="26"/>
        </w:rPr>
        <w:t xml:space="preserve">, la Junta Nacional de Calificación </w:t>
      </w:r>
      <w:r w:rsidR="00B67902" w:rsidRPr="00E64FF7">
        <w:rPr>
          <w:rFonts w:ascii="Arial Narrow" w:hAnsi="Arial Narrow"/>
          <w:sz w:val="26"/>
          <w:szCs w:val="26"/>
        </w:rPr>
        <w:t>dejó de valorar tales enfermedades en su dictamen</w:t>
      </w:r>
      <w:r w:rsidR="00F07527" w:rsidRPr="00E64FF7">
        <w:rPr>
          <w:rFonts w:ascii="Arial Narrow" w:hAnsi="Arial Narrow"/>
          <w:sz w:val="26"/>
          <w:szCs w:val="26"/>
        </w:rPr>
        <w:t>, ni</w:t>
      </w:r>
      <w:r w:rsidR="00B67902" w:rsidRPr="00E64FF7">
        <w:rPr>
          <w:rFonts w:ascii="Arial Narrow" w:hAnsi="Arial Narrow"/>
          <w:sz w:val="26"/>
          <w:szCs w:val="26"/>
        </w:rPr>
        <w:t xml:space="preserve"> se detuvo a </w:t>
      </w:r>
      <w:r w:rsidR="00B67902" w:rsidRPr="00E64FF7">
        <w:rPr>
          <w:rFonts w:ascii="Arial Narrow" w:hAnsi="Arial Narrow"/>
          <w:sz w:val="26"/>
          <w:szCs w:val="26"/>
        </w:rPr>
        <w:lastRenderedPageBreak/>
        <w:t>señalar los motivos por los cuales las dejaba al margen,</w:t>
      </w:r>
      <w:r w:rsidR="00500E59" w:rsidRPr="00E64FF7">
        <w:rPr>
          <w:rFonts w:ascii="Arial Narrow" w:hAnsi="Arial Narrow"/>
          <w:sz w:val="26"/>
          <w:szCs w:val="26"/>
        </w:rPr>
        <w:t xml:space="preserve"> o el puntaje que se asignaba y que no permitía superar el 50% como lo indicó la Junta Regional,</w:t>
      </w:r>
      <w:r w:rsidR="00B67902" w:rsidRPr="00E64FF7">
        <w:rPr>
          <w:rFonts w:ascii="Arial Narrow" w:hAnsi="Arial Narrow"/>
          <w:sz w:val="26"/>
          <w:szCs w:val="26"/>
        </w:rPr>
        <w:t xml:space="preserve"> siendo solo objeto de su estudio la enfermedad de síndrome del túnel carpiano, a pesar de que el reparo</w:t>
      </w:r>
      <w:r w:rsidR="00F07527" w:rsidRPr="00E64FF7">
        <w:rPr>
          <w:rFonts w:ascii="Arial Narrow" w:hAnsi="Arial Narrow"/>
          <w:sz w:val="26"/>
          <w:szCs w:val="26"/>
        </w:rPr>
        <w:t xml:space="preserve"> en que centra </w:t>
      </w:r>
      <w:r w:rsidR="00B67902" w:rsidRPr="00E64FF7">
        <w:rPr>
          <w:rFonts w:ascii="Arial Narrow" w:hAnsi="Arial Narrow"/>
          <w:sz w:val="26"/>
          <w:szCs w:val="26"/>
        </w:rPr>
        <w:t xml:space="preserve">el recurso de apelación formulado por el citado señor contra el dictamen de primera instancia, tiene que ver precisamente a la falta de valoración de aquellos diagnósticos, en pro de calificar integralmente su cuadro clínico. </w:t>
      </w:r>
    </w:p>
    <w:p w14:paraId="6645707B" w14:textId="77777777" w:rsidR="00FB402B" w:rsidRPr="00E64FF7" w:rsidRDefault="00FB402B" w:rsidP="00E64FF7">
      <w:pPr>
        <w:spacing w:line="276" w:lineRule="auto"/>
        <w:jc w:val="both"/>
        <w:rPr>
          <w:rFonts w:ascii="Arial Narrow" w:hAnsi="Arial Narrow"/>
          <w:sz w:val="26"/>
          <w:szCs w:val="26"/>
        </w:rPr>
      </w:pPr>
    </w:p>
    <w:p w14:paraId="10F901AB" w14:textId="053B5D12" w:rsidR="00FB402B" w:rsidRPr="00E64FF7" w:rsidRDefault="00FB402B" w:rsidP="00E64FF7">
      <w:pPr>
        <w:spacing w:line="276" w:lineRule="auto"/>
        <w:jc w:val="both"/>
        <w:rPr>
          <w:rFonts w:ascii="Arial Narrow" w:hAnsi="Arial Narrow"/>
          <w:sz w:val="26"/>
          <w:szCs w:val="26"/>
        </w:rPr>
      </w:pPr>
      <w:r w:rsidRPr="00E64FF7">
        <w:rPr>
          <w:rFonts w:ascii="Arial Narrow" w:hAnsi="Arial Narrow"/>
          <w:sz w:val="26"/>
          <w:szCs w:val="26"/>
        </w:rPr>
        <w:t xml:space="preserve">En otras palabras, si la demandada concluyó que la decisión apelada </w:t>
      </w:r>
      <w:r w:rsidR="00B67902" w:rsidRPr="00E64FF7">
        <w:rPr>
          <w:rFonts w:ascii="Arial Narrow" w:hAnsi="Arial Narrow"/>
          <w:sz w:val="26"/>
          <w:szCs w:val="26"/>
        </w:rPr>
        <w:t>debía mantenerse</w:t>
      </w:r>
      <w:r w:rsidRPr="00E64FF7">
        <w:rPr>
          <w:rFonts w:ascii="Arial Narrow" w:hAnsi="Arial Narrow"/>
          <w:sz w:val="26"/>
          <w:szCs w:val="26"/>
        </w:rPr>
        <w:t>,</w:t>
      </w:r>
      <w:r w:rsidR="00B67902" w:rsidRPr="00E64FF7">
        <w:rPr>
          <w:rFonts w:ascii="Arial Narrow" w:hAnsi="Arial Narrow"/>
          <w:sz w:val="26"/>
          <w:szCs w:val="26"/>
        </w:rPr>
        <w:t xml:space="preserve"> a pesar de la existencia de diagnósticos dejados de valorar,</w:t>
      </w:r>
      <w:r w:rsidRPr="00E64FF7">
        <w:rPr>
          <w:rFonts w:ascii="Arial Narrow" w:hAnsi="Arial Narrow"/>
          <w:sz w:val="26"/>
          <w:szCs w:val="26"/>
        </w:rPr>
        <w:t xml:space="preserve"> era necesario fundamentar las razones fácticas </w:t>
      </w:r>
      <w:r w:rsidR="002801F8" w:rsidRPr="00E64FF7">
        <w:rPr>
          <w:rFonts w:ascii="Arial Narrow" w:hAnsi="Arial Narrow"/>
          <w:sz w:val="26"/>
          <w:szCs w:val="26"/>
        </w:rPr>
        <w:t xml:space="preserve">y jurídicas </w:t>
      </w:r>
      <w:r w:rsidRPr="00E64FF7">
        <w:rPr>
          <w:rFonts w:ascii="Arial Narrow" w:hAnsi="Arial Narrow"/>
          <w:sz w:val="26"/>
          <w:szCs w:val="26"/>
        </w:rPr>
        <w:t xml:space="preserve">por las cuales se </w:t>
      </w:r>
      <w:r w:rsidR="00B67902" w:rsidRPr="00E64FF7">
        <w:rPr>
          <w:rFonts w:ascii="Arial Narrow" w:hAnsi="Arial Narrow"/>
          <w:sz w:val="26"/>
          <w:szCs w:val="26"/>
        </w:rPr>
        <w:t>procedía de esa manera</w:t>
      </w:r>
      <w:r w:rsidRPr="00E64FF7">
        <w:rPr>
          <w:rFonts w:ascii="Arial Narrow" w:hAnsi="Arial Narrow"/>
          <w:sz w:val="26"/>
          <w:szCs w:val="26"/>
        </w:rPr>
        <w:t xml:space="preserve"> y no simplemente indicar que </w:t>
      </w:r>
      <w:r w:rsidR="00B67902" w:rsidRPr="00E64FF7">
        <w:rPr>
          <w:rFonts w:ascii="Arial Narrow" w:hAnsi="Arial Narrow"/>
          <w:sz w:val="26"/>
          <w:szCs w:val="26"/>
        </w:rPr>
        <w:t>el porcentaje de deficiencia otorgado por la Junta Regional de Invalidez sobre la patología de síndrome d</w:t>
      </w:r>
      <w:r w:rsidR="001F3B6D" w:rsidRPr="00E64FF7">
        <w:rPr>
          <w:rFonts w:ascii="Arial Narrow" w:hAnsi="Arial Narrow"/>
          <w:sz w:val="26"/>
          <w:szCs w:val="26"/>
        </w:rPr>
        <w:t>el túnel carpiano era adecuado, pues con ello desconoció el principio de justa motivación al que se debe acudir en trámites administrativos, como quiera que al haber sido reparo concreto la falta de valoración de aquellos diagnósticos, de manera ineludible se debía pronunciar sobre el porcentaje de deficiencia que a cada uno le corresponden o argumentar por qué no se podía conceder</w:t>
      </w:r>
      <w:r w:rsidR="00507F2B" w:rsidRPr="00E64FF7">
        <w:rPr>
          <w:rFonts w:ascii="Arial Narrow" w:hAnsi="Arial Narrow"/>
          <w:sz w:val="26"/>
          <w:szCs w:val="26"/>
        </w:rPr>
        <w:t>.</w:t>
      </w:r>
    </w:p>
    <w:p w14:paraId="3BC1AE93" w14:textId="77777777" w:rsidR="00FB402B" w:rsidRPr="00E64FF7" w:rsidRDefault="00FB402B" w:rsidP="00E64FF7">
      <w:pPr>
        <w:spacing w:line="276" w:lineRule="auto"/>
        <w:jc w:val="both"/>
        <w:rPr>
          <w:rFonts w:ascii="Arial Narrow" w:hAnsi="Arial Narrow"/>
          <w:sz w:val="26"/>
          <w:szCs w:val="26"/>
        </w:rPr>
      </w:pPr>
    </w:p>
    <w:p w14:paraId="105312C0" w14:textId="40903521" w:rsidR="00FB402B" w:rsidRPr="00E64FF7" w:rsidRDefault="001F3B6D" w:rsidP="00E64FF7">
      <w:pPr>
        <w:spacing w:line="276" w:lineRule="auto"/>
        <w:jc w:val="both"/>
        <w:rPr>
          <w:rFonts w:ascii="Arial Narrow" w:hAnsi="Arial Narrow"/>
          <w:sz w:val="26"/>
          <w:szCs w:val="26"/>
        </w:rPr>
      </w:pPr>
      <w:r w:rsidRPr="00E64FF7">
        <w:rPr>
          <w:rFonts w:ascii="Arial Narrow" w:hAnsi="Arial Narrow"/>
          <w:b/>
          <w:sz w:val="26"/>
          <w:szCs w:val="26"/>
        </w:rPr>
        <w:t>8</w:t>
      </w:r>
      <w:r w:rsidR="00FB402B" w:rsidRPr="00E64FF7">
        <w:rPr>
          <w:rFonts w:ascii="Arial Narrow" w:hAnsi="Arial Narrow"/>
          <w:b/>
          <w:sz w:val="26"/>
          <w:szCs w:val="26"/>
        </w:rPr>
        <w:t>.</w:t>
      </w:r>
      <w:r w:rsidR="00FB402B" w:rsidRPr="00E64FF7">
        <w:rPr>
          <w:rFonts w:ascii="Arial Narrow" w:hAnsi="Arial Narrow"/>
          <w:sz w:val="26"/>
          <w:szCs w:val="26"/>
        </w:rPr>
        <w:t xml:space="preserve"> En estas condiciones como la </w:t>
      </w:r>
      <w:r w:rsidRPr="00E64FF7">
        <w:rPr>
          <w:rFonts w:ascii="Arial Narrow" w:hAnsi="Arial Narrow"/>
          <w:sz w:val="26"/>
          <w:szCs w:val="26"/>
        </w:rPr>
        <w:t xml:space="preserve">Junta Nacional </w:t>
      </w:r>
      <w:r w:rsidR="00FB402B" w:rsidRPr="00E64FF7">
        <w:rPr>
          <w:rFonts w:ascii="Arial Narrow" w:hAnsi="Arial Narrow"/>
          <w:sz w:val="26"/>
          <w:szCs w:val="26"/>
        </w:rPr>
        <w:t xml:space="preserve">accionada resolvió el trámite de calificación de invalidez, sin cumplir las directrices sobre la protección del debido proceso fijadas por la jurisprudencia, en especial lo relacionado con el deber de motivación </w:t>
      </w:r>
      <w:r w:rsidR="00F07527" w:rsidRPr="00E64FF7">
        <w:rPr>
          <w:rFonts w:ascii="Arial Narrow" w:hAnsi="Arial Narrow"/>
          <w:sz w:val="26"/>
          <w:szCs w:val="26"/>
        </w:rPr>
        <w:t xml:space="preserve">y de emitir </w:t>
      </w:r>
      <w:r w:rsidR="000953C3" w:rsidRPr="00E64FF7">
        <w:rPr>
          <w:rFonts w:ascii="Arial Narrow" w:hAnsi="Arial Narrow"/>
          <w:sz w:val="26"/>
          <w:szCs w:val="26"/>
        </w:rPr>
        <w:t>valoraciones en</w:t>
      </w:r>
      <w:r w:rsidR="00FB402B" w:rsidRPr="00E64FF7">
        <w:rPr>
          <w:rFonts w:ascii="Arial Narrow" w:hAnsi="Arial Narrow"/>
          <w:sz w:val="26"/>
          <w:szCs w:val="26"/>
        </w:rPr>
        <w:t xml:space="preserve"> forma integral, se revocará el fallo recurrido que declaró improcedente el amparo. </w:t>
      </w:r>
    </w:p>
    <w:p w14:paraId="5E02FEF4" w14:textId="77777777" w:rsidR="00FB402B" w:rsidRPr="00E64FF7" w:rsidRDefault="00FB402B" w:rsidP="00E64FF7">
      <w:pPr>
        <w:spacing w:line="276" w:lineRule="auto"/>
        <w:jc w:val="both"/>
        <w:rPr>
          <w:rFonts w:ascii="Arial Narrow" w:hAnsi="Arial Narrow"/>
          <w:sz w:val="26"/>
          <w:szCs w:val="26"/>
        </w:rPr>
      </w:pPr>
    </w:p>
    <w:p w14:paraId="33FBC11D" w14:textId="1292AF4A" w:rsidR="00FB402B" w:rsidRPr="00E64FF7" w:rsidRDefault="00FB402B" w:rsidP="00E64FF7">
      <w:pPr>
        <w:spacing w:line="276" w:lineRule="auto"/>
        <w:jc w:val="both"/>
        <w:rPr>
          <w:rFonts w:ascii="Arial Narrow" w:hAnsi="Arial Narrow"/>
          <w:sz w:val="26"/>
          <w:szCs w:val="26"/>
          <w:lang w:val="es-CO"/>
        </w:rPr>
      </w:pPr>
      <w:r w:rsidRPr="00E64FF7">
        <w:rPr>
          <w:rFonts w:ascii="Arial Narrow" w:hAnsi="Arial Narrow"/>
          <w:sz w:val="26"/>
          <w:szCs w:val="26"/>
        </w:rPr>
        <w:t>En su lugar se concederá la protección y, en consecuencia, se dejará sin efecto el dictamen expedido por esa autoridad a quien se le ordenará que proceda a expedir un nuevo dictamen de calificación de invalidez, en el cual se evalúe la totalidad de la historia clínica e informes médicos del accionante, de acuerdo a los parámetros acá señalados,</w:t>
      </w:r>
      <w:r w:rsidR="001F3B6D" w:rsidRPr="00E64FF7">
        <w:rPr>
          <w:rFonts w:ascii="Arial Narrow" w:hAnsi="Arial Narrow"/>
          <w:sz w:val="26"/>
          <w:szCs w:val="26"/>
        </w:rPr>
        <w:t xml:space="preserve"> o </w:t>
      </w:r>
      <w:r w:rsidR="00C57C4C" w:rsidRPr="00E64FF7">
        <w:rPr>
          <w:rFonts w:ascii="Arial Narrow" w:hAnsi="Arial Narrow"/>
          <w:sz w:val="26"/>
          <w:szCs w:val="26"/>
        </w:rPr>
        <w:t>en su defecto motiv</w:t>
      </w:r>
      <w:r w:rsidR="00513639" w:rsidRPr="00E64FF7">
        <w:rPr>
          <w:rFonts w:ascii="Arial Narrow" w:hAnsi="Arial Narrow"/>
          <w:sz w:val="26"/>
          <w:szCs w:val="26"/>
        </w:rPr>
        <w:t xml:space="preserve">e </w:t>
      </w:r>
      <w:r w:rsidR="00C57C4C" w:rsidRPr="00E64FF7">
        <w:rPr>
          <w:rFonts w:ascii="Arial Narrow" w:hAnsi="Arial Narrow"/>
          <w:sz w:val="26"/>
          <w:szCs w:val="26"/>
        </w:rPr>
        <w:t xml:space="preserve">adecuadamente las razones </w:t>
      </w:r>
      <w:r w:rsidR="001F3B6D" w:rsidRPr="00E64FF7">
        <w:rPr>
          <w:rFonts w:ascii="Arial Narrow" w:hAnsi="Arial Narrow"/>
          <w:sz w:val="26"/>
          <w:szCs w:val="26"/>
        </w:rPr>
        <w:t>por los cuales no se puede entrar a analizar los diagnósticos</w:t>
      </w:r>
      <w:r w:rsidR="00C57C4C" w:rsidRPr="00E64FF7">
        <w:rPr>
          <w:rFonts w:ascii="Arial Narrow" w:hAnsi="Arial Narrow"/>
          <w:sz w:val="26"/>
          <w:szCs w:val="26"/>
        </w:rPr>
        <w:t xml:space="preserve"> de trastornos mentales y gastritis crónica,</w:t>
      </w:r>
      <w:r w:rsidR="00620EFE" w:rsidRPr="00E64FF7">
        <w:rPr>
          <w:rFonts w:ascii="Arial Narrow" w:hAnsi="Arial Narrow"/>
          <w:sz w:val="26"/>
          <w:szCs w:val="26"/>
        </w:rPr>
        <w:t xml:space="preserve"> y con base en ellos realizar la calificación integral, </w:t>
      </w:r>
      <w:r w:rsidRPr="00E64FF7">
        <w:rPr>
          <w:rFonts w:ascii="Arial Narrow" w:hAnsi="Arial Narrow"/>
          <w:sz w:val="26"/>
          <w:szCs w:val="26"/>
        </w:rPr>
        <w:t>con total apego del derecho fundamental al debido proceso.</w:t>
      </w:r>
    </w:p>
    <w:p w14:paraId="5C2C53A5" w14:textId="77777777" w:rsidR="00FB402B" w:rsidRPr="00E64FF7" w:rsidRDefault="00FB402B" w:rsidP="00E64FF7">
      <w:pPr>
        <w:pStyle w:val="Sinespaciado"/>
        <w:spacing w:line="276" w:lineRule="auto"/>
        <w:jc w:val="both"/>
        <w:rPr>
          <w:rFonts w:ascii="Arial Narrow" w:hAnsi="Arial Narrow"/>
          <w:sz w:val="26"/>
          <w:szCs w:val="26"/>
          <w:lang w:val="es-CO"/>
        </w:rPr>
      </w:pPr>
    </w:p>
    <w:p w14:paraId="2B91C02D" w14:textId="77777777" w:rsidR="00FB402B" w:rsidRPr="00E64FF7" w:rsidRDefault="00FB402B" w:rsidP="00E64FF7">
      <w:pPr>
        <w:pStyle w:val="Sinespaciado"/>
        <w:spacing w:line="276" w:lineRule="auto"/>
        <w:jc w:val="both"/>
        <w:rPr>
          <w:rFonts w:ascii="Arial Narrow" w:hAnsi="Arial Narrow"/>
          <w:sz w:val="26"/>
          <w:szCs w:val="26"/>
          <w:lang w:val="es-ES_tradnl"/>
        </w:rPr>
      </w:pPr>
      <w:r w:rsidRPr="00E64FF7">
        <w:rPr>
          <w:rFonts w:ascii="Arial Narrow" w:hAnsi="Arial Narrow"/>
          <w:sz w:val="26"/>
          <w:szCs w:val="26"/>
          <w:lang w:val="es-ES_tradnl"/>
        </w:rPr>
        <w:t>La expedición del nuevo dictamen no puede superar el término de veinte (20) días, contados desde la notificación de esta providencia.</w:t>
      </w:r>
    </w:p>
    <w:p w14:paraId="11865305" w14:textId="77777777" w:rsidR="00FB402B" w:rsidRPr="00E64FF7" w:rsidRDefault="00FB402B" w:rsidP="00E64FF7">
      <w:pPr>
        <w:pStyle w:val="Sinespaciado"/>
        <w:spacing w:line="276" w:lineRule="auto"/>
        <w:jc w:val="both"/>
        <w:rPr>
          <w:rFonts w:ascii="Arial Narrow" w:hAnsi="Arial Narrow"/>
          <w:sz w:val="26"/>
          <w:szCs w:val="26"/>
          <w:lang w:val="es-ES_tradnl"/>
        </w:rPr>
      </w:pPr>
    </w:p>
    <w:p w14:paraId="692BA408" w14:textId="77777777" w:rsidR="00FB402B" w:rsidRPr="00E64FF7" w:rsidRDefault="00FB402B" w:rsidP="00E64FF7">
      <w:pPr>
        <w:pStyle w:val="Sinespaciado"/>
        <w:spacing w:line="276" w:lineRule="auto"/>
        <w:jc w:val="both"/>
        <w:rPr>
          <w:rFonts w:ascii="Arial Narrow" w:hAnsi="Arial Narrow"/>
          <w:sz w:val="26"/>
          <w:szCs w:val="26"/>
        </w:rPr>
      </w:pPr>
      <w:r w:rsidRPr="00E64FF7">
        <w:rPr>
          <w:rFonts w:ascii="Arial Narrow" w:hAnsi="Arial Narrow"/>
          <w:sz w:val="26"/>
          <w:szCs w:val="26"/>
        </w:rPr>
        <w:t>Por lo expuesto, la Sala Civil Familia del Tribunal Superior de Pereira, Risaralda, administrando justicia en nombre de la República y por autoridad de la ley,</w:t>
      </w:r>
    </w:p>
    <w:p w14:paraId="4A40B01B" w14:textId="77777777" w:rsidR="00FB402B" w:rsidRPr="00E64FF7" w:rsidRDefault="00FB402B" w:rsidP="00E64FF7">
      <w:pPr>
        <w:pStyle w:val="Sinespaciado"/>
        <w:spacing w:line="276" w:lineRule="auto"/>
        <w:jc w:val="both"/>
        <w:rPr>
          <w:rFonts w:ascii="Arial Narrow" w:hAnsi="Arial Narrow"/>
          <w:sz w:val="26"/>
          <w:szCs w:val="26"/>
        </w:rPr>
      </w:pPr>
    </w:p>
    <w:p w14:paraId="2EB0D68C" w14:textId="77777777" w:rsidR="00FB402B" w:rsidRPr="00E64FF7" w:rsidRDefault="00FB402B" w:rsidP="00E64FF7">
      <w:pPr>
        <w:pStyle w:val="Sinespaciado"/>
        <w:spacing w:line="276" w:lineRule="auto"/>
        <w:jc w:val="center"/>
        <w:rPr>
          <w:rFonts w:ascii="Arial Narrow" w:hAnsi="Arial Narrow"/>
          <w:b/>
          <w:sz w:val="26"/>
          <w:szCs w:val="26"/>
        </w:rPr>
      </w:pPr>
      <w:r w:rsidRPr="00E64FF7">
        <w:rPr>
          <w:rFonts w:ascii="Arial Narrow" w:hAnsi="Arial Narrow"/>
          <w:b/>
          <w:sz w:val="26"/>
          <w:szCs w:val="26"/>
        </w:rPr>
        <w:t>RESUELVE</w:t>
      </w:r>
    </w:p>
    <w:p w14:paraId="5123916D" w14:textId="77777777" w:rsidR="00FB402B" w:rsidRPr="00E64FF7" w:rsidRDefault="00FB402B" w:rsidP="00E64FF7">
      <w:pPr>
        <w:pStyle w:val="Sinespaciado"/>
        <w:spacing w:line="276" w:lineRule="auto"/>
        <w:jc w:val="both"/>
        <w:rPr>
          <w:rFonts w:ascii="Arial Narrow" w:hAnsi="Arial Narrow"/>
          <w:b/>
          <w:sz w:val="26"/>
          <w:szCs w:val="26"/>
        </w:rPr>
      </w:pPr>
    </w:p>
    <w:p w14:paraId="5C8ED0E5" w14:textId="77777777" w:rsidR="00FB402B" w:rsidRPr="00E64FF7" w:rsidRDefault="00FB402B" w:rsidP="00E64FF7">
      <w:pPr>
        <w:pStyle w:val="Sinespaciado"/>
        <w:spacing w:line="276" w:lineRule="auto"/>
        <w:jc w:val="both"/>
        <w:rPr>
          <w:rFonts w:ascii="Arial Narrow" w:hAnsi="Arial Narrow"/>
          <w:sz w:val="26"/>
          <w:szCs w:val="26"/>
        </w:rPr>
      </w:pPr>
      <w:r w:rsidRPr="00E64FF7">
        <w:rPr>
          <w:rFonts w:ascii="Arial Narrow" w:hAnsi="Arial Narrow"/>
          <w:b/>
          <w:bCs/>
          <w:sz w:val="26"/>
          <w:szCs w:val="26"/>
        </w:rPr>
        <w:t>PRIMERO:</w:t>
      </w:r>
      <w:r w:rsidRPr="00E64FF7">
        <w:rPr>
          <w:rFonts w:ascii="Arial Narrow" w:hAnsi="Arial Narrow"/>
          <w:sz w:val="26"/>
          <w:szCs w:val="26"/>
        </w:rPr>
        <w:t xml:space="preserve"> Revocar </w:t>
      </w:r>
      <w:r w:rsidR="00C57C4C" w:rsidRPr="00E64FF7">
        <w:rPr>
          <w:rFonts w:ascii="Arial Narrow" w:hAnsi="Arial Narrow"/>
          <w:sz w:val="26"/>
          <w:szCs w:val="26"/>
        </w:rPr>
        <w:t xml:space="preserve">la sentencia de fecha y procedencia anotadas. En su lugar se concede </w:t>
      </w:r>
      <w:r w:rsidRPr="00E64FF7">
        <w:rPr>
          <w:rFonts w:ascii="Arial Narrow" w:hAnsi="Arial Narrow"/>
          <w:bCs/>
          <w:sz w:val="26"/>
          <w:szCs w:val="26"/>
        </w:rPr>
        <w:t>el amparo a los derechos a la seguridad social y al debido proceso adm</w:t>
      </w:r>
      <w:r w:rsidR="00C57C4C" w:rsidRPr="00E64FF7">
        <w:rPr>
          <w:rFonts w:ascii="Arial Narrow" w:hAnsi="Arial Narrow"/>
          <w:bCs/>
          <w:sz w:val="26"/>
          <w:szCs w:val="26"/>
        </w:rPr>
        <w:t>inistrativo de que es titular el</w:t>
      </w:r>
      <w:r w:rsidRPr="00E64FF7">
        <w:rPr>
          <w:rFonts w:ascii="Arial Narrow" w:hAnsi="Arial Narrow"/>
          <w:bCs/>
          <w:sz w:val="26"/>
          <w:szCs w:val="26"/>
        </w:rPr>
        <w:t xml:space="preserve"> accionante.</w:t>
      </w:r>
    </w:p>
    <w:p w14:paraId="6DF0DA46" w14:textId="77777777" w:rsidR="00FB402B" w:rsidRPr="00E64FF7" w:rsidRDefault="00FB402B" w:rsidP="00E64FF7">
      <w:pPr>
        <w:pStyle w:val="Sinespaciado"/>
        <w:spacing w:line="276" w:lineRule="auto"/>
        <w:jc w:val="both"/>
        <w:rPr>
          <w:rFonts w:ascii="Arial Narrow" w:hAnsi="Arial Narrow"/>
          <w:bCs/>
          <w:sz w:val="26"/>
          <w:szCs w:val="26"/>
        </w:rPr>
      </w:pPr>
    </w:p>
    <w:p w14:paraId="4BF29DA6" w14:textId="0F9DE4D1" w:rsidR="00C57C4C" w:rsidRPr="00E64FF7" w:rsidRDefault="00FB402B" w:rsidP="00E64FF7">
      <w:pPr>
        <w:spacing w:line="276" w:lineRule="auto"/>
        <w:jc w:val="both"/>
        <w:rPr>
          <w:rFonts w:ascii="Arial Narrow" w:hAnsi="Arial Narrow"/>
          <w:sz w:val="26"/>
          <w:szCs w:val="26"/>
          <w:lang w:val="es-CO"/>
        </w:rPr>
      </w:pPr>
      <w:r w:rsidRPr="00E64FF7">
        <w:rPr>
          <w:rFonts w:ascii="Arial Narrow" w:hAnsi="Arial Narrow"/>
          <w:b/>
          <w:sz w:val="26"/>
          <w:szCs w:val="26"/>
        </w:rPr>
        <w:t xml:space="preserve">TERCERO: </w:t>
      </w:r>
      <w:r w:rsidRPr="00E64FF7">
        <w:rPr>
          <w:rFonts w:ascii="Arial Narrow" w:hAnsi="Arial Narrow"/>
          <w:bCs/>
          <w:sz w:val="26"/>
          <w:szCs w:val="26"/>
        </w:rPr>
        <w:t>Como consecuencia de lo anterior, s</w:t>
      </w:r>
      <w:r w:rsidRPr="00E64FF7">
        <w:rPr>
          <w:rFonts w:ascii="Arial Narrow" w:hAnsi="Arial Narrow"/>
          <w:sz w:val="26"/>
          <w:szCs w:val="26"/>
        </w:rPr>
        <w:t xml:space="preserve">e deja sin efecto el dictamen emitido por la Junta Nacional de Invalidez el </w:t>
      </w:r>
      <w:r w:rsidR="00C57C4C" w:rsidRPr="00E64FF7">
        <w:rPr>
          <w:rFonts w:ascii="Arial Narrow" w:hAnsi="Arial Narrow"/>
          <w:sz w:val="26"/>
          <w:szCs w:val="26"/>
          <w:lang w:val="es-CO"/>
        </w:rPr>
        <w:t xml:space="preserve">08 de julio de 2021 </w:t>
      </w:r>
      <w:r w:rsidRPr="00E64FF7">
        <w:rPr>
          <w:rFonts w:ascii="Arial Narrow" w:hAnsi="Arial Narrow"/>
          <w:sz w:val="26"/>
          <w:szCs w:val="26"/>
        </w:rPr>
        <w:t xml:space="preserve">y se le ordena a esa entidad que en el término </w:t>
      </w:r>
      <w:r w:rsidRPr="00E64FF7">
        <w:rPr>
          <w:rFonts w:ascii="Arial Narrow" w:hAnsi="Arial Narrow"/>
          <w:sz w:val="26"/>
          <w:szCs w:val="26"/>
        </w:rPr>
        <w:lastRenderedPageBreak/>
        <w:t>de 48 horas, contadas a partir de la notificación que se le haga de esta providencia</w:t>
      </w:r>
      <w:r w:rsidR="00C57C4C" w:rsidRPr="00E64FF7">
        <w:rPr>
          <w:rFonts w:ascii="Arial Narrow" w:hAnsi="Arial Narrow"/>
          <w:sz w:val="26"/>
          <w:szCs w:val="26"/>
        </w:rPr>
        <w:t xml:space="preserve"> </w:t>
      </w:r>
      <w:r w:rsidRPr="00E64FF7">
        <w:rPr>
          <w:rFonts w:ascii="Arial Narrow" w:hAnsi="Arial Narrow"/>
          <w:sz w:val="26"/>
          <w:szCs w:val="26"/>
        </w:rPr>
        <w:t xml:space="preserve">proceda a expedir un nuevo dictamen de calificación de invalidez, </w:t>
      </w:r>
      <w:r w:rsidR="00C57C4C" w:rsidRPr="00E64FF7">
        <w:rPr>
          <w:rFonts w:ascii="Arial Narrow" w:hAnsi="Arial Narrow"/>
          <w:sz w:val="26"/>
          <w:szCs w:val="26"/>
        </w:rPr>
        <w:t>en el cual se evalúe la totalidad de la historia clínica e informes médicos del accionante, de acuerdo a los parámetros aquí señalados, o en su defecto motiv</w:t>
      </w:r>
      <w:r w:rsidR="00FC32C5" w:rsidRPr="00E64FF7">
        <w:rPr>
          <w:rFonts w:ascii="Arial Narrow" w:hAnsi="Arial Narrow"/>
          <w:sz w:val="26"/>
          <w:szCs w:val="26"/>
        </w:rPr>
        <w:t xml:space="preserve">e </w:t>
      </w:r>
      <w:r w:rsidR="00C57C4C" w:rsidRPr="00E64FF7">
        <w:rPr>
          <w:rFonts w:ascii="Arial Narrow" w:hAnsi="Arial Narrow"/>
          <w:sz w:val="26"/>
          <w:szCs w:val="26"/>
        </w:rPr>
        <w:t>adecuadamente las razones por los cuales n</w:t>
      </w:r>
      <w:r w:rsidR="00F07527" w:rsidRPr="00E64FF7">
        <w:rPr>
          <w:rFonts w:ascii="Arial Narrow" w:hAnsi="Arial Narrow"/>
          <w:sz w:val="26"/>
          <w:szCs w:val="26"/>
        </w:rPr>
        <w:t>o se puede entrar a analizar sus</w:t>
      </w:r>
      <w:r w:rsidR="00C57C4C" w:rsidRPr="00E64FF7">
        <w:rPr>
          <w:rFonts w:ascii="Arial Narrow" w:hAnsi="Arial Narrow"/>
          <w:sz w:val="26"/>
          <w:szCs w:val="26"/>
        </w:rPr>
        <w:t xml:space="preserve"> diagnósticos de trastornos mentales y gastritis crónica</w:t>
      </w:r>
      <w:r w:rsidR="00620EFE" w:rsidRPr="00E64FF7">
        <w:rPr>
          <w:rFonts w:ascii="Arial Narrow" w:hAnsi="Arial Narrow"/>
          <w:sz w:val="26"/>
          <w:szCs w:val="26"/>
        </w:rPr>
        <w:t>, y con base en ellos realizar la calificación integral</w:t>
      </w:r>
      <w:r w:rsidR="00C57C4C" w:rsidRPr="00E64FF7">
        <w:rPr>
          <w:rFonts w:ascii="Arial Narrow" w:hAnsi="Arial Narrow"/>
          <w:sz w:val="26"/>
          <w:szCs w:val="26"/>
        </w:rPr>
        <w:t>.</w:t>
      </w:r>
    </w:p>
    <w:p w14:paraId="3596CAA3" w14:textId="77777777" w:rsidR="00FB402B" w:rsidRPr="00E64FF7" w:rsidRDefault="00FB402B" w:rsidP="00E64FF7">
      <w:pPr>
        <w:spacing w:line="276" w:lineRule="auto"/>
        <w:jc w:val="both"/>
        <w:rPr>
          <w:rFonts w:ascii="Arial Narrow" w:hAnsi="Arial Narrow"/>
          <w:sz w:val="26"/>
          <w:szCs w:val="26"/>
          <w:lang w:val="es-CO"/>
        </w:rPr>
      </w:pPr>
    </w:p>
    <w:p w14:paraId="74E8A72E" w14:textId="77777777" w:rsidR="00FB402B" w:rsidRPr="00E64FF7" w:rsidRDefault="00FB402B" w:rsidP="00E64FF7">
      <w:pPr>
        <w:pStyle w:val="Sinespaciado"/>
        <w:spacing w:line="276" w:lineRule="auto"/>
        <w:jc w:val="both"/>
        <w:rPr>
          <w:rFonts w:ascii="Arial Narrow" w:hAnsi="Arial Narrow"/>
          <w:sz w:val="26"/>
          <w:szCs w:val="26"/>
          <w:lang w:val="es-ES_tradnl"/>
        </w:rPr>
      </w:pPr>
      <w:r w:rsidRPr="00E64FF7">
        <w:rPr>
          <w:rFonts w:ascii="Arial Narrow" w:hAnsi="Arial Narrow"/>
          <w:sz w:val="26"/>
          <w:szCs w:val="26"/>
          <w:lang w:val="es-ES_tradnl"/>
        </w:rPr>
        <w:t>La expedición del nuevo dictamen no puede superar el término de veinte (20) días, contados desde la notificación de esta providencia.</w:t>
      </w:r>
    </w:p>
    <w:p w14:paraId="1C6272FE" w14:textId="77777777" w:rsidR="00FB402B" w:rsidRPr="00E64FF7" w:rsidRDefault="00FB402B" w:rsidP="00E64FF7">
      <w:pPr>
        <w:pStyle w:val="Sinespaciado"/>
        <w:spacing w:line="276" w:lineRule="auto"/>
        <w:jc w:val="both"/>
        <w:rPr>
          <w:rFonts w:ascii="Arial Narrow" w:hAnsi="Arial Narrow"/>
          <w:sz w:val="26"/>
          <w:szCs w:val="26"/>
          <w:lang w:val="es-ES_tradnl"/>
        </w:rPr>
      </w:pPr>
    </w:p>
    <w:p w14:paraId="07E247AE" w14:textId="77777777" w:rsidR="00FB402B" w:rsidRPr="00E64FF7" w:rsidRDefault="00FB402B" w:rsidP="00E64FF7">
      <w:pPr>
        <w:pStyle w:val="Sinespaciado"/>
        <w:spacing w:line="276" w:lineRule="auto"/>
        <w:jc w:val="both"/>
        <w:rPr>
          <w:rFonts w:ascii="Arial Narrow" w:hAnsi="Arial Narrow"/>
          <w:sz w:val="26"/>
          <w:szCs w:val="26"/>
        </w:rPr>
      </w:pPr>
      <w:r w:rsidRPr="00E64FF7">
        <w:rPr>
          <w:rFonts w:ascii="Arial Narrow" w:hAnsi="Arial Narrow"/>
          <w:b/>
          <w:sz w:val="26"/>
          <w:szCs w:val="26"/>
        </w:rPr>
        <w:t xml:space="preserve">CUARTO: </w:t>
      </w:r>
      <w:r w:rsidRPr="00E64FF7">
        <w:rPr>
          <w:rFonts w:ascii="Arial Narrow" w:hAnsi="Arial Narrow"/>
          <w:sz w:val="26"/>
          <w:szCs w:val="26"/>
        </w:rPr>
        <w:t>Notifíquese esta decisión a las partes conforme lo previene el artículo 30 del Decreto 2591 de 1991. Infórmese de igual modo al juzgado de primer grado.</w:t>
      </w:r>
    </w:p>
    <w:p w14:paraId="0EE483AE" w14:textId="77777777" w:rsidR="00FB402B" w:rsidRPr="00E64FF7" w:rsidRDefault="00FB402B" w:rsidP="00E64FF7">
      <w:pPr>
        <w:pStyle w:val="Sinespaciado"/>
        <w:spacing w:line="276" w:lineRule="auto"/>
        <w:jc w:val="both"/>
        <w:rPr>
          <w:rFonts w:ascii="Arial Narrow" w:hAnsi="Arial Narrow"/>
          <w:b/>
          <w:sz w:val="26"/>
          <w:szCs w:val="26"/>
        </w:rPr>
      </w:pPr>
    </w:p>
    <w:p w14:paraId="6F9C56CA" w14:textId="77777777" w:rsidR="00FB402B" w:rsidRPr="00E64FF7" w:rsidRDefault="00FB402B" w:rsidP="00E64FF7">
      <w:pPr>
        <w:pStyle w:val="Sinespaciado"/>
        <w:spacing w:line="276" w:lineRule="auto"/>
        <w:jc w:val="both"/>
        <w:rPr>
          <w:rFonts w:ascii="Arial Narrow" w:hAnsi="Arial Narrow"/>
          <w:sz w:val="26"/>
          <w:szCs w:val="26"/>
        </w:rPr>
      </w:pPr>
      <w:r w:rsidRPr="00E64FF7">
        <w:rPr>
          <w:rFonts w:ascii="Arial Narrow" w:hAnsi="Arial Narrow"/>
          <w:b/>
          <w:sz w:val="26"/>
          <w:szCs w:val="26"/>
        </w:rPr>
        <w:t xml:space="preserve">QUINTO: </w:t>
      </w:r>
      <w:r w:rsidRPr="00E64FF7">
        <w:rPr>
          <w:rFonts w:ascii="Arial Narrow" w:hAnsi="Arial Narrow"/>
          <w:sz w:val="26"/>
          <w:szCs w:val="26"/>
        </w:rPr>
        <w:t>Envíese el expediente a la Corte Constitucional para su eventual revisión conforme lo dispone el artículo 32 del Decreto 2591 de 1991.</w:t>
      </w:r>
    </w:p>
    <w:p w14:paraId="5BBA8682" w14:textId="77777777" w:rsidR="00FB402B" w:rsidRPr="00E64FF7" w:rsidRDefault="00FB402B" w:rsidP="00E64FF7">
      <w:pPr>
        <w:pStyle w:val="Sinespaciado"/>
        <w:tabs>
          <w:tab w:val="left" w:pos="5529"/>
        </w:tabs>
        <w:spacing w:line="276" w:lineRule="auto"/>
        <w:jc w:val="both"/>
        <w:rPr>
          <w:rFonts w:ascii="Arial Narrow" w:hAnsi="Arial Narrow"/>
          <w:sz w:val="26"/>
          <w:szCs w:val="26"/>
        </w:rPr>
      </w:pPr>
    </w:p>
    <w:p w14:paraId="1DC6FE46" w14:textId="77777777" w:rsidR="0004014C" w:rsidRPr="00E64FF7" w:rsidRDefault="0004014C" w:rsidP="00E64FF7">
      <w:pPr>
        <w:pStyle w:val="Sinespaciado"/>
        <w:spacing w:line="276" w:lineRule="auto"/>
        <w:jc w:val="both"/>
        <w:rPr>
          <w:rFonts w:ascii="Arial Narrow" w:hAnsi="Arial Narrow"/>
          <w:sz w:val="26"/>
          <w:szCs w:val="26"/>
        </w:rPr>
      </w:pPr>
    </w:p>
    <w:p w14:paraId="76157D1F" w14:textId="2F24A467" w:rsidR="00AA072B" w:rsidRPr="00E64FF7" w:rsidRDefault="00AA072B" w:rsidP="00E64FF7">
      <w:pPr>
        <w:spacing w:line="276" w:lineRule="auto"/>
        <w:ind w:right="49"/>
        <w:jc w:val="center"/>
        <w:rPr>
          <w:rFonts w:ascii="Arial Narrow" w:hAnsi="Arial Narrow"/>
          <w:b/>
          <w:iCs/>
          <w:sz w:val="26"/>
          <w:szCs w:val="26"/>
          <w:lang w:val="es-ES"/>
        </w:rPr>
      </w:pPr>
      <w:r w:rsidRPr="00E64FF7">
        <w:rPr>
          <w:rFonts w:ascii="Arial Narrow" w:hAnsi="Arial Narrow"/>
          <w:b/>
          <w:iCs/>
          <w:sz w:val="26"/>
          <w:szCs w:val="26"/>
          <w:lang w:val="es-ES"/>
        </w:rPr>
        <w:t>NOTIFÍQUESE Y CÚMPLASE</w:t>
      </w:r>
    </w:p>
    <w:p w14:paraId="316E0938" w14:textId="77777777" w:rsidR="0038041A" w:rsidRPr="00E64FF7" w:rsidRDefault="0038041A" w:rsidP="00E64FF7">
      <w:pPr>
        <w:spacing w:line="276" w:lineRule="auto"/>
        <w:ind w:right="49"/>
        <w:jc w:val="center"/>
        <w:rPr>
          <w:rFonts w:ascii="Arial Narrow" w:hAnsi="Arial Narrow"/>
          <w:b/>
          <w:iCs/>
          <w:sz w:val="26"/>
          <w:szCs w:val="26"/>
          <w:lang w:val="es-ES"/>
        </w:rPr>
      </w:pPr>
    </w:p>
    <w:p w14:paraId="65648607" w14:textId="10B08552" w:rsidR="003E5CA4" w:rsidRPr="00E64FF7" w:rsidRDefault="003E5CA4" w:rsidP="00E64FF7">
      <w:pPr>
        <w:spacing w:line="276" w:lineRule="auto"/>
        <w:ind w:right="49"/>
        <w:jc w:val="center"/>
        <w:rPr>
          <w:rFonts w:ascii="Arial Narrow" w:hAnsi="Arial Narrow"/>
          <w:iCs/>
          <w:sz w:val="26"/>
          <w:szCs w:val="26"/>
        </w:rPr>
      </w:pPr>
      <w:r w:rsidRPr="00E64FF7">
        <w:rPr>
          <w:rFonts w:ascii="Arial Narrow" w:hAnsi="Arial Narrow"/>
          <w:iCs/>
          <w:sz w:val="26"/>
          <w:szCs w:val="26"/>
        </w:rPr>
        <w:t xml:space="preserve">Los </w:t>
      </w:r>
      <w:r w:rsidR="00E64FF7" w:rsidRPr="00E64FF7">
        <w:rPr>
          <w:rFonts w:ascii="Arial Narrow" w:hAnsi="Arial Narrow"/>
          <w:iCs/>
          <w:sz w:val="26"/>
          <w:szCs w:val="26"/>
        </w:rPr>
        <w:t>Magistrados</w:t>
      </w:r>
      <w:r w:rsidRPr="00E64FF7">
        <w:rPr>
          <w:rFonts w:ascii="Arial Narrow" w:hAnsi="Arial Narrow"/>
          <w:iCs/>
          <w:sz w:val="26"/>
          <w:szCs w:val="26"/>
        </w:rPr>
        <w:t>,</w:t>
      </w:r>
    </w:p>
    <w:p w14:paraId="5C76AED5" w14:textId="454F6876" w:rsidR="00CF0834" w:rsidRDefault="00CF0834" w:rsidP="00E64FF7">
      <w:pPr>
        <w:spacing w:line="276" w:lineRule="auto"/>
        <w:ind w:right="49"/>
        <w:rPr>
          <w:rFonts w:ascii="Arial Narrow" w:hAnsi="Arial Narrow"/>
          <w:iCs/>
          <w:sz w:val="26"/>
          <w:szCs w:val="26"/>
        </w:rPr>
      </w:pPr>
    </w:p>
    <w:p w14:paraId="12675581" w14:textId="018B48F8" w:rsidR="00E64FF7" w:rsidRDefault="00E64FF7" w:rsidP="00E64FF7">
      <w:pPr>
        <w:spacing w:line="276" w:lineRule="auto"/>
        <w:ind w:right="49"/>
        <w:rPr>
          <w:rFonts w:ascii="Arial Narrow" w:hAnsi="Arial Narrow"/>
          <w:iCs/>
          <w:sz w:val="26"/>
          <w:szCs w:val="26"/>
        </w:rPr>
      </w:pPr>
    </w:p>
    <w:p w14:paraId="577AFE3A" w14:textId="77777777" w:rsidR="00386D8E" w:rsidRDefault="00386D8E" w:rsidP="00E64FF7">
      <w:pPr>
        <w:spacing w:line="276" w:lineRule="auto"/>
        <w:ind w:right="49"/>
        <w:rPr>
          <w:rFonts w:ascii="Arial Narrow" w:hAnsi="Arial Narrow"/>
          <w:iCs/>
          <w:sz w:val="26"/>
          <w:szCs w:val="26"/>
        </w:rPr>
      </w:pPr>
    </w:p>
    <w:p w14:paraId="28B16B3A" w14:textId="660ECF35" w:rsidR="00031048" w:rsidRPr="00E64FF7" w:rsidRDefault="00031048" w:rsidP="00E64FF7">
      <w:pPr>
        <w:spacing w:line="276" w:lineRule="auto"/>
        <w:ind w:right="49"/>
        <w:jc w:val="center"/>
        <w:rPr>
          <w:rFonts w:ascii="Arial Narrow" w:hAnsi="Arial Narrow"/>
          <w:b/>
          <w:iCs/>
          <w:sz w:val="26"/>
          <w:szCs w:val="26"/>
        </w:rPr>
      </w:pPr>
      <w:r w:rsidRPr="00E64FF7">
        <w:rPr>
          <w:rFonts w:ascii="Arial Narrow" w:hAnsi="Arial Narrow"/>
          <w:b/>
          <w:iCs/>
          <w:sz w:val="26"/>
          <w:szCs w:val="26"/>
        </w:rPr>
        <w:t>CARLOS MAURICIO GARCÍA BARAJAS</w:t>
      </w:r>
    </w:p>
    <w:p w14:paraId="396B4917" w14:textId="2FAA91F8" w:rsidR="00C02504" w:rsidRPr="00E64FF7" w:rsidRDefault="00C02504" w:rsidP="00E64FF7">
      <w:pPr>
        <w:pStyle w:val="Sinespaciado"/>
        <w:spacing w:line="276" w:lineRule="auto"/>
        <w:rPr>
          <w:rFonts w:ascii="Arial Narrow" w:hAnsi="Arial Narrow"/>
          <w:sz w:val="26"/>
          <w:szCs w:val="26"/>
          <w:lang w:val="es-ES_tradnl"/>
        </w:rPr>
      </w:pPr>
    </w:p>
    <w:p w14:paraId="63DFD9F6" w14:textId="4B999D88" w:rsidR="00FB402B" w:rsidRPr="00E64FF7" w:rsidRDefault="00FB402B" w:rsidP="00E64FF7">
      <w:pPr>
        <w:spacing w:line="276" w:lineRule="auto"/>
        <w:rPr>
          <w:rFonts w:ascii="Arial Narrow" w:hAnsi="Arial Narrow" w:cs="Arial"/>
          <w:bCs/>
          <w:sz w:val="26"/>
          <w:szCs w:val="26"/>
        </w:rPr>
      </w:pPr>
    </w:p>
    <w:p w14:paraId="1DB98DB5" w14:textId="2C701DFA" w:rsidR="00FB402B" w:rsidRPr="00E64FF7" w:rsidRDefault="00FB402B" w:rsidP="00E64FF7">
      <w:pPr>
        <w:spacing w:line="276" w:lineRule="auto"/>
        <w:rPr>
          <w:rFonts w:ascii="Arial Narrow" w:hAnsi="Arial Narrow" w:cs="Arial"/>
          <w:bCs/>
          <w:sz w:val="26"/>
          <w:szCs w:val="26"/>
        </w:rPr>
      </w:pPr>
    </w:p>
    <w:p w14:paraId="7E1C8F8A" w14:textId="535A8F56" w:rsidR="32CF7954" w:rsidRPr="00E64FF7" w:rsidRDefault="32CF7954" w:rsidP="00E64FF7">
      <w:pPr>
        <w:spacing w:line="276" w:lineRule="auto"/>
        <w:jc w:val="center"/>
        <w:rPr>
          <w:rFonts w:ascii="Arial Narrow" w:hAnsi="Arial Narrow"/>
          <w:b/>
          <w:bCs/>
          <w:sz w:val="26"/>
          <w:szCs w:val="26"/>
        </w:rPr>
      </w:pPr>
      <w:r w:rsidRPr="00E64FF7">
        <w:rPr>
          <w:rFonts w:ascii="Arial Narrow" w:hAnsi="Arial Narrow" w:cs="Arial"/>
          <w:b/>
          <w:bCs/>
          <w:sz w:val="26"/>
          <w:szCs w:val="26"/>
        </w:rPr>
        <w:t xml:space="preserve">ADOLFO TOUS SALGADO </w:t>
      </w:r>
    </w:p>
    <w:p w14:paraId="2DFBA4C4" w14:textId="0D6C7FC4" w:rsidR="00FB402B" w:rsidRDefault="00E64FF7" w:rsidP="00E64FF7">
      <w:pPr>
        <w:spacing w:line="276" w:lineRule="auto"/>
        <w:jc w:val="center"/>
        <w:rPr>
          <w:rFonts w:ascii="Arial Narrow" w:hAnsi="Arial Narrow" w:cs="Arial"/>
          <w:bCs/>
          <w:sz w:val="26"/>
          <w:szCs w:val="26"/>
        </w:rPr>
      </w:pPr>
      <w:r w:rsidRPr="00E64FF7">
        <w:rPr>
          <w:rFonts w:ascii="Arial Narrow" w:hAnsi="Arial Narrow" w:cs="Arial"/>
          <w:bCs/>
          <w:sz w:val="26"/>
          <w:szCs w:val="26"/>
        </w:rPr>
        <w:t>Conjuez</w:t>
      </w:r>
    </w:p>
    <w:p w14:paraId="166E4C9C" w14:textId="37E6160C" w:rsidR="00E64FF7" w:rsidRDefault="00E64FF7" w:rsidP="00E64FF7">
      <w:pPr>
        <w:spacing w:line="276" w:lineRule="auto"/>
        <w:rPr>
          <w:rFonts w:ascii="Arial Narrow" w:hAnsi="Arial Narrow"/>
          <w:b/>
          <w:bCs/>
          <w:sz w:val="26"/>
          <w:szCs w:val="26"/>
        </w:rPr>
      </w:pPr>
    </w:p>
    <w:p w14:paraId="10E892AB" w14:textId="77777777" w:rsidR="00E64FF7" w:rsidRPr="00E64FF7" w:rsidRDefault="00E64FF7" w:rsidP="00E64FF7">
      <w:pPr>
        <w:spacing w:line="276" w:lineRule="auto"/>
        <w:rPr>
          <w:rFonts w:ascii="Arial Narrow" w:hAnsi="Arial Narrow"/>
          <w:b/>
          <w:bCs/>
          <w:sz w:val="26"/>
          <w:szCs w:val="26"/>
        </w:rPr>
      </w:pPr>
    </w:p>
    <w:p w14:paraId="4A73C203" w14:textId="036B739D" w:rsidR="32CF7954" w:rsidRPr="00E64FF7" w:rsidRDefault="32CF7954" w:rsidP="00E64FF7">
      <w:pPr>
        <w:spacing w:line="276" w:lineRule="auto"/>
        <w:jc w:val="center"/>
        <w:rPr>
          <w:rFonts w:ascii="Arial Narrow" w:hAnsi="Arial Narrow"/>
          <w:b/>
          <w:bCs/>
          <w:sz w:val="26"/>
          <w:szCs w:val="26"/>
        </w:rPr>
      </w:pPr>
      <w:r w:rsidRPr="00E64FF7">
        <w:rPr>
          <w:rFonts w:ascii="Arial Narrow" w:hAnsi="Arial Narrow" w:cs="Arial"/>
          <w:b/>
          <w:bCs/>
          <w:sz w:val="26"/>
          <w:szCs w:val="26"/>
        </w:rPr>
        <w:t xml:space="preserve">FABIO HERNÁN VÉLEZ ACEVEDO </w:t>
      </w:r>
    </w:p>
    <w:p w14:paraId="7797869A" w14:textId="5DA62932" w:rsidR="00E65768" w:rsidRPr="000953C3" w:rsidRDefault="00E64FF7" w:rsidP="000953C3">
      <w:pPr>
        <w:spacing w:line="276" w:lineRule="auto"/>
        <w:jc w:val="center"/>
        <w:rPr>
          <w:rFonts w:ascii="Arial Narrow" w:hAnsi="Arial Narrow"/>
          <w:b/>
          <w:bCs/>
          <w:sz w:val="26"/>
          <w:szCs w:val="26"/>
        </w:rPr>
      </w:pPr>
      <w:r w:rsidRPr="00E64FF7">
        <w:rPr>
          <w:rFonts w:ascii="Arial Narrow" w:hAnsi="Arial Narrow" w:cs="Arial"/>
          <w:bCs/>
          <w:sz w:val="26"/>
          <w:szCs w:val="26"/>
        </w:rPr>
        <w:t>Conjuez</w:t>
      </w:r>
    </w:p>
    <w:sectPr w:rsidR="00E65768" w:rsidRPr="000953C3" w:rsidSect="008D678B">
      <w:headerReference w:type="default" r:id="rId11"/>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8F82" w14:textId="77777777" w:rsidR="008717A0" w:rsidRDefault="008717A0" w:rsidP="003E5CA4">
      <w:r>
        <w:separator/>
      </w:r>
    </w:p>
  </w:endnote>
  <w:endnote w:type="continuationSeparator" w:id="0">
    <w:p w14:paraId="0459B9C0" w14:textId="77777777" w:rsidR="008717A0" w:rsidRDefault="008717A0"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4F07" w14:textId="77777777" w:rsidR="008717A0" w:rsidRDefault="008717A0" w:rsidP="003E5CA4">
      <w:r>
        <w:separator/>
      </w:r>
    </w:p>
  </w:footnote>
  <w:footnote w:type="continuationSeparator" w:id="0">
    <w:p w14:paraId="21C6ABA8" w14:textId="77777777" w:rsidR="008717A0" w:rsidRDefault="008717A0" w:rsidP="003E5CA4">
      <w:r>
        <w:continuationSeparator/>
      </w:r>
    </w:p>
  </w:footnote>
  <w:footnote w:id="1">
    <w:p w14:paraId="6FF4C5AD" w14:textId="77777777" w:rsidR="00156EC7" w:rsidRPr="00C1651D" w:rsidRDefault="00156EC7"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00E217E3" w:rsidRPr="00C1651D">
        <w:rPr>
          <w:rFonts w:ascii="Arial Narrow" w:hAnsi="Arial Narrow"/>
          <w:sz w:val="16"/>
          <w:szCs w:val="16"/>
        </w:rPr>
        <w:t xml:space="preserve"> Documento 02</w:t>
      </w:r>
      <w:r w:rsidRPr="00C1651D">
        <w:rPr>
          <w:rFonts w:ascii="Arial Narrow" w:hAnsi="Arial Narrow"/>
          <w:sz w:val="16"/>
          <w:szCs w:val="16"/>
        </w:rPr>
        <w:t xml:space="preserve"> del cuaderno de primera instancia.</w:t>
      </w:r>
    </w:p>
  </w:footnote>
  <w:footnote w:id="2">
    <w:p w14:paraId="1C507BA8" w14:textId="77777777" w:rsidR="00156EC7" w:rsidRPr="00C1651D" w:rsidRDefault="00156EC7" w:rsidP="00C1651D">
      <w:pPr>
        <w:pStyle w:val="Textonotapie"/>
        <w:jc w:val="both"/>
        <w:rPr>
          <w:rFonts w:ascii="Arial Narrow" w:hAnsi="Arial Narrow" w:cs="Arial"/>
          <w:sz w:val="16"/>
          <w:szCs w:val="16"/>
          <w:lang w:val="es-CO"/>
        </w:rPr>
      </w:pPr>
      <w:r w:rsidRPr="00C1651D">
        <w:rPr>
          <w:rStyle w:val="Refdenotaalpie"/>
          <w:rFonts w:ascii="Arial Narrow" w:hAnsi="Arial Narrow" w:cs="Arial"/>
          <w:sz w:val="16"/>
          <w:szCs w:val="16"/>
        </w:rPr>
        <w:footnoteRef/>
      </w:r>
      <w:r w:rsidRPr="00C1651D">
        <w:rPr>
          <w:rFonts w:ascii="Arial Narrow" w:hAnsi="Arial Narrow" w:cs="Arial"/>
          <w:sz w:val="16"/>
          <w:szCs w:val="16"/>
        </w:rPr>
        <w:t xml:space="preserve"> </w:t>
      </w:r>
      <w:r w:rsidRPr="00C1651D">
        <w:rPr>
          <w:rFonts w:ascii="Arial Narrow" w:hAnsi="Arial Narrow" w:cs="Arial"/>
          <w:sz w:val="16"/>
          <w:szCs w:val="16"/>
          <w:lang w:val="es-CO"/>
        </w:rPr>
        <w:t>Documento</w:t>
      </w:r>
      <w:r w:rsidR="005227C8" w:rsidRPr="00C1651D">
        <w:rPr>
          <w:rFonts w:ascii="Arial Narrow" w:hAnsi="Arial Narrow" w:cs="Arial"/>
          <w:sz w:val="16"/>
          <w:szCs w:val="16"/>
          <w:lang w:val="es-CO"/>
        </w:rPr>
        <w:t xml:space="preserve"> 08</w:t>
      </w:r>
      <w:r w:rsidRPr="00C1651D">
        <w:rPr>
          <w:rFonts w:ascii="Arial Narrow" w:hAnsi="Arial Narrow" w:cs="Arial"/>
          <w:sz w:val="16"/>
          <w:szCs w:val="16"/>
          <w:lang w:val="es-CO"/>
        </w:rPr>
        <w:t xml:space="preserve"> del cuaderno de primera instancia</w:t>
      </w:r>
    </w:p>
  </w:footnote>
  <w:footnote w:id="3">
    <w:p w14:paraId="56A48E9B" w14:textId="77777777" w:rsidR="00156EC7" w:rsidRPr="00C1651D" w:rsidRDefault="00156EC7" w:rsidP="00C1651D">
      <w:pPr>
        <w:pStyle w:val="Textonotapie"/>
        <w:jc w:val="both"/>
        <w:rPr>
          <w:rFonts w:ascii="Arial Narrow" w:hAnsi="Arial Narrow"/>
          <w:sz w:val="16"/>
          <w:szCs w:val="16"/>
          <w:lang w:val="es-MX"/>
        </w:rPr>
      </w:pPr>
      <w:r w:rsidRPr="00C1651D">
        <w:rPr>
          <w:rStyle w:val="Refdenotaalpie"/>
          <w:rFonts w:ascii="Arial Narrow" w:hAnsi="Arial Narrow"/>
          <w:sz w:val="16"/>
          <w:szCs w:val="16"/>
        </w:rPr>
        <w:footnoteRef/>
      </w:r>
      <w:r w:rsidRPr="00C1651D">
        <w:rPr>
          <w:rFonts w:ascii="Arial Narrow" w:hAnsi="Arial Narrow"/>
          <w:sz w:val="16"/>
          <w:szCs w:val="16"/>
        </w:rPr>
        <w:t xml:space="preserve"> </w:t>
      </w:r>
      <w:r w:rsidR="009E6207" w:rsidRPr="00C1651D">
        <w:rPr>
          <w:rFonts w:ascii="Arial Narrow" w:hAnsi="Arial Narrow"/>
          <w:sz w:val="16"/>
          <w:szCs w:val="16"/>
          <w:lang w:val="es-MX"/>
        </w:rPr>
        <w:t>Documento 1</w:t>
      </w:r>
      <w:r w:rsidR="00A866D4">
        <w:rPr>
          <w:rFonts w:ascii="Arial Narrow" w:hAnsi="Arial Narrow"/>
          <w:sz w:val="16"/>
          <w:szCs w:val="16"/>
          <w:lang w:val="es-MX"/>
        </w:rPr>
        <w:t xml:space="preserve">8 </w:t>
      </w:r>
      <w:r w:rsidRPr="00C1651D">
        <w:rPr>
          <w:rFonts w:ascii="Arial Narrow" w:hAnsi="Arial Narrow"/>
          <w:sz w:val="16"/>
          <w:szCs w:val="16"/>
          <w:lang w:val="es-MX"/>
        </w:rPr>
        <w:t>del cuaderno de primera instancia.</w:t>
      </w:r>
    </w:p>
  </w:footnote>
  <w:footnote w:id="4">
    <w:p w14:paraId="01FFC174" w14:textId="77777777" w:rsidR="00156EC7" w:rsidRPr="00C1651D" w:rsidRDefault="00156EC7" w:rsidP="00C1651D">
      <w:pPr>
        <w:pStyle w:val="Textonotapie"/>
        <w:jc w:val="both"/>
        <w:rPr>
          <w:rFonts w:ascii="Arial Narrow" w:hAnsi="Arial Narrow"/>
          <w:sz w:val="16"/>
          <w:szCs w:val="16"/>
          <w:lang w:val="es-MX"/>
        </w:rPr>
      </w:pPr>
      <w:r w:rsidRPr="00C1651D">
        <w:rPr>
          <w:rStyle w:val="Refdenotaalpie"/>
          <w:rFonts w:ascii="Arial Narrow" w:hAnsi="Arial Narrow"/>
          <w:sz w:val="16"/>
          <w:szCs w:val="16"/>
        </w:rPr>
        <w:footnoteRef/>
      </w:r>
      <w:r w:rsidRPr="00C1651D">
        <w:rPr>
          <w:rFonts w:ascii="Arial Narrow" w:hAnsi="Arial Narrow"/>
          <w:sz w:val="16"/>
          <w:szCs w:val="16"/>
        </w:rPr>
        <w:t xml:space="preserve"> </w:t>
      </w:r>
      <w:r w:rsidR="00FB402B" w:rsidRPr="00C1651D">
        <w:rPr>
          <w:rFonts w:ascii="Arial Narrow" w:hAnsi="Arial Narrow"/>
          <w:sz w:val="16"/>
          <w:szCs w:val="16"/>
          <w:lang w:val="es-MX"/>
        </w:rPr>
        <w:t xml:space="preserve">Documento </w:t>
      </w:r>
      <w:r w:rsidR="00A866D4">
        <w:rPr>
          <w:rFonts w:ascii="Arial Narrow" w:hAnsi="Arial Narrow"/>
          <w:sz w:val="16"/>
          <w:szCs w:val="16"/>
          <w:lang w:val="es-MX"/>
        </w:rPr>
        <w:t xml:space="preserve">20 </w:t>
      </w:r>
      <w:r w:rsidRPr="00C1651D">
        <w:rPr>
          <w:rFonts w:ascii="Arial Narrow" w:hAnsi="Arial Narrow"/>
          <w:sz w:val="16"/>
          <w:szCs w:val="16"/>
          <w:lang w:val="es-MX"/>
        </w:rPr>
        <w:t>del cuaderno de primera instancia.</w:t>
      </w:r>
    </w:p>
  </w:footnote>
  <w:footnote w:id="5">
    <w:p w14:paraId="4BAD3D41" w14:textId="77777777" w:rsidR="00FB402B" w:rsidRPr="00C1651D" w:rsidRDefault="00FB402B" w:rsidP="00C1651D">
      <w:pPr>
        <w:pStyle w:val="Textonotapie"/>
        <w:jc w:val="both"/>
        <w:rPr>
          <w:rFonts w:ascii="Arial Narrow" w:hAnsi="Arial Narrow"/>
          <w:sz w:val="16"/>
          <w:szCs w:val="16"/>
          <w:lang w:val="es-CO"/>
        </w:rPr>
      </w:pPr>
      <w:r w:rsidRPr="00C1651D">
        <w:rPr>
          <w:rStyle w:val="Refdenotaalpie"/>
          <w:rFonts w:ascii="Arial Narrow" w:hAnsi="Arial Narrow" w:cs="Arial"/>
          <w:sz w:val="16"/>
          <w:szCs w:val="16"/>
        </w:rPr>
        <w:footnoteRef/>
      </w:r>
      <w:r w:rsidRPr="00C1651D">
        <w:rPr>
          <w:rStyle w:val="Refdenotaalpie"/>
          <w:rFonts w:ascii="Arial Narrow" w:hAnsi="Arial Narrow" w:cs="Arial"/>
          <w:sz w:val="16"/>
          <w:szCs w:val="16"/>
        </w:rPr>
        <w:t xml:space="preserve"> </w:t>
      </w:r>
      <w:r w:rsidRPr="00C1651D">
        <w:rPr>
          <w:rFonts w:ascii="Arial Narrow" w:hAnsi="Arial Narrow"/>
          <w:sz w:val="16"/>
          <w:szCs w:val="16"/>
          <w:lang w:val="es-CO"/>
        </w:rPr>
        <w:t>Artículo 2 del Código Procesal del Trabajo y de la Seguridad Social.</w:t>
      </w:r>
    </w:p>
  </w:footnote>
  <w:footnote w:id="6">
    <w:p w14:paraId="5013D6B5"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00C1651D" w:rsidRPr="00C1651D">
        <w:rPr>
          <w:rFonts w:ascii="Arial Narrow" w:hAnsi="Arial Narrow"/>
          <w:sz w:val="16"/>
          <w:szCs w:val="16"/>
        </w:rPr>
        <w:t xml:space="preserve"> Folios 1 a 31 documento 02</w:t>
      </w:r>
      <w:r w:rsidRPr="00C1651D">
        <w:rPr>
          <w:rFonts w:ascii="Arial Narrow" w:hAnsi="Arial Narrow"/>
          <w:sz w:val="16"/>
          <w:szCs w:val="16"/>
        </w:rPr>
        <w:t xml:space="preserve"> del cuaderno de primera instancia.</w:t>
      </w:r>
    </w:p>
  </w:footnote>
  <w:footnote w:id="7">
    <w:p w14:paraId="2420C468"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Pr="00C1651D">
        <w:rPr>
          <w:rFonts w:ascii="Arial Narrow" w:hAnsi="Arial Narrow"/>
          <w:sz w:val="16"/>
          <w:szCs w:val="16"/>
        </w:rPr>
        <w:t xml:space="preserve"> Folios 1 a 7 del documento 3 del cuaderno de primera instancia</w:t>
      </w:r>
    </w:p>
  </w:footnote>
  <w:footnote w:id="8">
    <w:p w14:paraId="181B9DC7"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Pr="00C1651D">
        <w:rPr>
          <w:rFonts w:ascii="Arial Narrow" w:hAnsi="Arial Narrow"/>
          <w:sz w:val="16"/>
          <w:szCs w:val="16"/>
        </w:rPr>
        <w:t xml:space="preserve"> Corte Constitucional sentencia T-093 de 2016</w:t>
      </w:r>
    </w:p>
  </w:footnote>
  <w:footnote w:id="9">
    <w:p w14:paraId="300D2493" w14:textId="77777777" w:rsidR="001242FC" w:rsidRPr="00682746" w:rsidRDefault="001242FC" w:rsidP="001242FC">
      <w:pPr>
        <w:pStyle w:val="Textonotapie"/>
        <w:jc w:val="both"/>
        <w:rPr>
          <w:rFonts w:ascii="Arial Narrow" w:hAnsi="Arial Narrow"/>
        </w:rPr>
      </w:pPr>
      <w:r w:rsidRPr="00682746">
        <w:rPr>
          <w:rStyle w:val="Refdenotaalpie"/>
          <w:rFonts w:ascii="Arial Narrow" w:hAnsi="Arial Narrow"/>
          <w:sz w:val="16"/>
          <w:szCs w:val="16"/>
        </w:rPr>
        <w:footnoteRef/>
      </w:r>
      <w:r w:rsidRPr="00682746">
        <w:rPr>
          <w:rFonts w:ascii="Arial Narrow" w:hAnsi="Arial Narrow"/>
          <w:sz w:val="16"/>
          <w:szCs w:val="16"/>
        </w:rPr>
        <w:t xml:space="preserve"> En el análisis de precedentes de la Corte Constitucional se observan diversos casos de protección de esta garantía fundamental, en el marco de la expedición del dictamen de pérdida de capacidad laboral. Así, por ejemplo: Sentencia T-150 de 2013</w:t>
      </w:r>
      <w:r>
        <w:rPr>
          <w:rFonts w:ascii="Arial Narrow" w:hAnsi="Arial Narrow"/>
          <w:sz w:val="16"/>
          <w:szCs w:val="16"/>
        </w:rPr>
        <w:t xml:space="preserve">, T-048 de 2018 </w:t>
      </w:r>
      <w:r w:rsidRPr="00682746">
        <w:rPr>
          <w:rFonts w:ascii="Arial Narrow" w:hAnsi="Arial Narrow"/>
          <w:sz w:val="16"/>
          <w:szCs w:val="16"/>
        </w:rPr>
        <w:t>(violación del debido proceso al negarse el trámite de un recurso de apelación por ausencia de requisitos formales); T-518 de 2011, T-798 de 2011</w:t>
      </w:r>
      <w:r>
        <w:rPr>
          <w:rFonts w:ascii="Arial Narrow" w:hAnsi="Arial Narrow"/>
          <w:sz w:val="16"/>
          <w:szCs w:val="16"/>
        </w:rPr>
        <w:t>, T-726 de 2011</w:t>
      </w:r>
      <w:r w:rsidRPr="00682746">
        <w:rPr>
          <w:rFonts w:ascii="Arial Narrow" w:hAnsi="Arial Narrow"/>
          <w:sz w:val="16"/>
          <w:szCs w:val="16"/>
        </w:rPr>
        <w:t xml:space="preserve"> (ausencia de valoración integral o de exposición clara de los distintos fundamentos de cada uno de sus componentes</w:t>
      </w:r>
      <w:r>
        <w:rPr>
          <w:rFonts w:ascii="Arial Narrow" w:hAnsi="Arial Narrow"/>
          <w:sz w:val="16"/>
          <w:szCs w:val="16"/>
        </w:rPr>
        <w:t>, defectuosa motivación</w:t>
      </w:r>
      <w:r w:rsidRPr="00682746">
        <w:rPr>
          <w:rFonts w:ascii="Arial Narrow" w:hAnsi="Arial Narrow"/>
          <w:sz w:val="16"/>
          <w:szCs w:val="16"/>
        </w:rPr>
        <w:t>); T-558 de 2011 (vulneración del debido proceso por indebida notificación)</w:t>
      </w:r>
      <w:r>
        <w:rPr>
          <w:rFonts w:ascii="Arial Narrow" w:hAnsi="Arial Narrow"/>
          <w:sz w:val="16"/>
          <w:szCs w:val="16"/>
        </w:rPr>
        <w:t>, entre otras.</w:t>
      </w:r>
    </w:p>
  </w:footnote>
  <w:footnote w:id="10">
    <w:p w14:paraId="7680A685" w14:textId="77777777" w:rsidR="00FB402B" w:rsidRPr="00C1651D" w:rsidRDefault="00FB402B" w:rsidP="00C1651D">
      <w:pPr>
        <w:pStyle w:val="Textonotapie"/>
        <w:jc w:val="both"/>
        <w:rPr>
          <w:rFonts w:ascii="Arial Narrow" w:hAnsi="Arial Narrow" w:cs="Aparajita"/>
          <w:sz w:val="16"/>
          <w:szCs w:val="16"/>
        </w:rPr>
      </w:pPr>
      <w:r w:rsidRPr="00C1651D">
        <w:rPr>
          <w:rStyle w:val="Refdenotaalpie"/>
          <w:rFonts w:ascii="Arial Narrow" w:hAnsi="Arial Narrow" w:cs="Aparajita"/>
          <w:sz w:val="16"/>
          <w:szCs w:val="16"/>
        </w:rPr>
        <w:footnoteRef/>
      </w:r>
      <w:r w:rsidRPr="00C1651D">
        <w:rPr>
          <w:rFonts w:ascii="Arial Narrow" w:hAnsi="Arial Narrow" w:cs="Aparajita"/>
          <w:sz w:val="16"/>
          <w:szCs w:val="16"/>
        </w:rPr>
        <w:t xml:space="preserve"> Corte Constitucional. Sentencia T-726 de 2011.</w:t>
      </w:r>
    </w:p>
  </w:footnote>
  <w:footnote w:id="11">
    <w:p w14:paraId="0FCFF8F3" w14:textId="00E1D8FB" w:rsidR="001242FC" w:rsidRPr="00F0175D" w:rsidRDefault="001242FC" w:rsidP="00F0175D">
      <w:pPr>
        <w:pStyle w:val="Sinespaciado"/>
        <w:jc w:val="both"/>
        <w:rPr>
          <w:rFonts w:ascii="Arial Narrow" w:hAnsi="Arial Narrow"/>
          <w:sz w:val="16"/>
        </w:rPr>
      </w:pPr>
      <w:r w:rsidRPr="00F0175D">
        <w:rPr>
          <w:rStyle w:val="Refdenotaalpie"/>
          <w:rFonts w:ascii="Arial Narrow" w:hAnsi="Arial Narrow"/>
          <w:sz w:val="16"/>
        </w:rPr>
        <w:footnoteRef/>
      </w:r>
      <w:r w:rsidRPr="00F0175D">
        <w:rPr>
          <w:rFonts w:ascii="Arial Narrow" w:hAnsi="Arial Narrow"/>
          <w:sz w:val="16"/>
        </w:rPr>
        <w:t xml:space="preserve"> En similar sentido: Tribunal Superior de Pereira, Sentencia </w:t>
      </w:r>
      <w:r w:rsidR="00F0175D" w:rsidRPr="00F0175D">
        <w:rPr>
          <w:rFonts w:ascii="Arial Narrow" w:hAnsi="Arial Narrow"/>
          <w:sz w:val="16"/>
        </w:rPr>
        <w:t>TSP. ST2-0341-2021</w:t>
      </w:r>
      <w:r w:rsidR="00F0175D">
        <w:rPr>
          <w:rFonts w:ascii="Arial Narrow" w:hAnsi="Arial Narrow"/>
          <w:sz w:val="16"/>
        </w:rPr>
        <w:t xml:space="preserve"> de 15 de octubre de 2021, radicado </w:t>
      </w:r>
      <w:r w:rsidR="00F0175D" w:rsidRPr="00F0175D">
        <w:rPr>
          <w:rFonts w:ascii="Arial Narrow" w:hAnsi="Arial Narrow"/>
          <w:sz w:val="16"/>
        </w:rPr>
        <w:t>66001311000420210030401</w:t>
      </w:r>
      <w:r w:rsidR="00F0175D">
        <w:rPr>
          <w:rFonts w:ascii="Arial Narrow" w:hAnsi="Arial Narrow"/>
          <w:sz w:val="16"/>
        </w:rPr>
        <w:t>.</w:t>
      </w:r>
    </w:p>
  </w:footnote>
  <w:footnote w:id="12">
    <w:p w14:paraId="4081243E"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Pr="00C1651D">
        <w:rPr>
          <w:rFonts w:ascii="Arial Narrow" w:hAnsi="Arial Narrow"/>
          <w:sz w:val="16"/>
          <w:szCs w:val="16"/>
        </w:rPr>
        <w:t xml:space="preserve"> Sentencia T-093 de 2016, ya citada.</w:t>
      </w:r>
    </w:p>
  </w:footnote>
  <w:footnote w:id="13">
    <w:p w14:paraId="355835F7"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Pr="00C1651D">
        <w:rPr>
          <w:rFonts w:ascii="Arial Narrow" w:hAnsi="Arial Narrow"/>
          <w:sz w:val="16"/>
          <w:szCs w:val="16"/>
        </w:rPr>
        <w:t xml:space="preserve"> Corte Constitucional, sentencia T-539 de 2015. En similar sentido: Sentencias T-664 de 2013, T-717 de 2017, entre otras. </w:t>
      </w:r>
    </w:p>
  </w:footnote>
  <w:footnote w:id="14">
    <w:p w14:paraId="141B1D99"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Pr="00C1651D">
        <w:rPr>
          <w:rFonts w:ascii="Arial Narrow" w:hAnsi="Arial Narrow"/>
          <w:sz w:val="16"/>
          <w:szCs w:val="16"/>
        </w:rPr>
        <w:t xml:space="preserve"> Ibidem.</w:t>
      </w:r>
    </w:p>
  </w:footnote>
  <w:footnote w:id="15">
    <w:p w14:paraId="6F4B3A64"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Pr="00C1651D">
        <w:rPr>
          <w:rFonts w:ascii="Arial Narrow" w:hAnsi="Arial Narrow"/>
          <w:sz w:val="16"/>
          <w:szCs w:val="16"/>
        </w:rPr>
        <w:t xml:space="preserve"> Folios </w:t>
      </w:r>
      <w:r w:rsidR="00A83DAF">
        <w:rPr>
          <w:rFonts w:ascii="Arial Narrow" w:hAnsi="Arial Narrow"/>
          <w:sz w:val="16"/>
          <w:szCs w:val="16"/>
        </w:rPr>
        <w:t>32 a 34, 37 y 38, 41 a 52 del documento 02</w:t>
      </w:r>
      <w:r w:rsidRPr="00C1651D">
        <w:rPr>
          <w:rFonts w:ascii="Arial Narrow" w:hAnsi="Arial Narrow"/>
          <w:sz w:val="16"/>
          <w:szCs w:val="16"/>
        </w:rPr>
        <w:t xml:space="preserve"> del cuaderno de primera instancia</w:t>
      </w:r>
    </w:p>
  </w:footnote>
  <w:footnote w:id="16">
    <w:p w14:paraId="340BF6EE"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00A83DAF">
        <w:rPr>
          <w:rFonts w:ascii="Arial Narrow" w:hAnsi="Arial Narrow"/>
          <w:sz w:val="16"/>
          <w:szCs w:val="16"/>
        </w:rPr>
        <w:t xml:space="preserve"> Folios 35 y 36</w:t>
      </w:r>
      <w:r w:rsidRPr="00C1651D">
        <w:rPr>
          <w:rFonts w:ascii="Arial Narrow" w:hAnsi="Arial Narrow"/>
          <w:sz w:val="16"/>
          <w:szCs w:val="16"/>
        </w:rPr>
        <w:t xml:space="preserve"> </w:t>
      </w:r>
      <w:r w:rsidR="00A83DAF">
        <w:rPr>
          <w:rFonts w:ascii="Arial Narrow" w:hAnsi="Arial Narrow"/>
          <w:sz w:val="16"/>
          <w:szCs w:val="16"/>
        </w:rPr>
        <w:t>del documento 02</w:t>
      </w:r>
      <w:r w:rsidRPr="00C1651D">
        <w:rPr>
          <w:rFonts w:ascii="Arial Narrow" w:hAnsi="Arial Narrow"/>
          <w:sz w:val="16"/>
          <w:szCs w:val="16"/>
        </w:rPr>
        <w:t xml:space="preserve"> del cuaderno de primera instancia</w:t>
      </w:r>
    </w:p>
  </w:footnote>
  <w:footnote w:id="17">
    <w:p w14:paraId="4A0CD1D1"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Pr="00C1651D">
        <w:rPr>
          <w:rFonts w:ascii="Arial Narrow" w:hAnsi="Arial Narrow"/>
          <w:sz w:val="16"/>
          <w:szCs w:val="16"/>
        </w:rPr>
        <w:t xml:space="preserve"> </w:t>
      </w:r>
      <w:r w:rsidR="009919F3">
        <w:rPr>
          <w:rFonts w:ascii="Arial Narrow" w:hAnsi="Arial Narrow"/>
          <w:sz w:val="16"/>
          <w:szCs w:val="16"/>
        </w:rPr>
        <w:t>Folios 10 a 15</w:t>
      </w:r>
      <w:r w:rsidR="009919F3" w:rsidRPr="00C1651D">
        <w:rPr>
          <w:rFonts w:ascii="Arial Narrow" w:hAnsi="Arial Narrow"/>
          <w:sz w:val="16"/>
          <w:szCs w:val="16"/>
        </w:rPr>
        <w:t xml:space="preserve"> </w:t>
      </w:r>
      <w:r w:rsidR="009919F3">
        <w:rPr>
          <w:rFonts w:ascii="Arial Narrow" w:hAnsi="Arial Narrow"/>
          <w:sz w:val="16"/>
          <w:szCs w:val="16"/>
        </w:rPr>
        <w:t>del documento 02</w:t>
      </w:r>
      <w:r w:rsidR="009919F3" w:rsidRPr="00C1651D">
        <w:rPr>
          <w:rFonts w:ascii="Arial Narrow" w:hAnsi="Arial Narrow"/>
          <w:sz w:val="16"/>
          <w:szCs w:val="16"/>
        </w:rPr>
        <w:t xml:space="preserve"> del cuaderno de primera instancia</w:t>
      </w:r>
    </w:p>
  </w:footnote>
  <w:footnote w:id="18">
    <w:p w14:paraId="68DA1218" w14:textId="77777777" w:rsidR="009919F3" w:rsidRPr="00C1651D" w:rsidRDefault="009919F3" w:rsidP="009919F3">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Pr="00C1651D">
        <w:rPr>
          <w:rFonts w:ascii="Arial Narrow" w:hAnsi="Arial Narrow"/>
          <w:sz w:val="16"/>
          <w:szCs w:val="16"/>
        </w:rPr>
        <w:t xml:space="preserve"> </w:t>
      </w:r>
      <w:r w:rsidR="004557ED">
        <w:rPr>
          <w:rFonts w:ascii="Arial Narrow" w:hAnsi="Arial Narrow"/>
          <w:sz w:val="16"/>
          <w:szCs w:val="16"/>
        </w:rPr>
        <w:t>Folios 08 y 09</w:t>
      </w:r>
      <w:r w:rsidRPr="00C1651D">
        <w:rPr>
          <w:rFonts w:ascii="Arial Narrow" w:hAnsi="Arial Narrow"/>
          <w:sz w:val="16"/>
          <w:szCs w:val="16"/>
        </w:rPr>
        <w:t xml:space="preserve"> </w:t>
      </w:r>
      <w:r>
        <w:rPr>
          <w:rFonts w:ascii="Arial Narrow" w:hAnsi="Arial Narrow"/>
          <w:sz w:val="16"/>
          <w:szCs w:val="16"/>
        </w:rPr>
        <w:t>del documento 02</w:t>
      </w:r>
      <w:r w:rsidRPr="00C1651D">
        <w:rPr>
          <w:rFonts w:ascii="Arial Narrow" w:hAnsi="Arial Narrow"/>
          <w:sz w:val="16"/>
          <w:szCs w:val="16"/>
        </w:rPr>
        <w:t xml:space="preserve"> del cuaderno de primera instancia</w:t>
      </w:r>
    </w:p>
  </w:footnote>
  <w:footnote w:id="19">
    <w:p w14:paraId="10F51463" w14:textId="77777777" w:rsidR="00FB402B" w:rsidRPr="00C1651D" w:rsidRDefault="00FB402B" w:rsidP="00C1651D">
      <w:pPr>
        <w:pStyle w:val="Textonotapie"/>
        <w:jc w:val="both"/>
        <w:rPr>
          <w:rFonts w:ascii="Arial Narrow" w:hAnsi="Arial Narrow"/>
          <w:sz w:val="16"/>
          <w:szCs w:val="16"/>
        </w:rPr>
      </w:pPr>
      <w:r w:rsidRPr="00C1651D">
        <w:rPr>
          <w:rStyle w:val="Refdenotaalpie"/>
          <w:rFonts w:ascii="Arial Narrow" w:hAnsi="Arial Narrow"/>
          <w:sz w:val="16"/>
          <w:szCs w:val="16"/>
        </w:rPr>
        <w:footnoteRef/>
      </w:r>
      <w:r w:rsidRPr="00C1651D">
        <w:rPr>
          <w:rFonts w:ascii="Arial Narrow" w:hAnsi="Arial Narrow"/>
          <w:sz w:val="16"/>
          <w:szCs w:val="16"/>
        </w:rPr>
        <w:t xml:space="preserve"> </w:t>
      </w:r>
      <w:r w:rsidR="009919F3">
        <w:rPr>
          <w:rFonts w:ascii="Arial Narrow" w:hAnsi="Arial Narrow"/>
          <w:sz w:val="16"/>
          <w:szCs w:val="16"/>
        </w:rPr>
        <w:t>Folios 19 a 31</w:t>
      </w:r>
      <w:r w:rsidR="009919F3" w:rsidRPr="00C1651D">
        <w:rPr>
          <w:rFonts w:ascii="Arial Narrow" w:hAnsi="Arial Narrow"/>
          <w:sz w:val="16"/>
          <w:szCs w:val="16"/>
        </w:rPr>
        <w:t xml:space="preserve"> </w:t>
      </w:r>
      <w:r w:rsidR="009919F3">
        <w:rPr>
          <w:rFonts w:ascii="Arial Narrow" w:hAnsi="Arial Narrow"/>
          <w:sz w:val="16"/>
          <w:szCs w:val="16"/>
        </w:rPr>
        <w:t>del documento 02</w:t>
      </w:r>
      <w:r w:rsidR="009919F3" w:rsidRPr="00C1651D">
        <w:rPr>
          <w:rFonts w:ascii="Arial Narrow" w:hAnsi="Arial Narrow"/>
          <w:sz w:val="16"/>
          <w:szCs w:val="16"/>
        </w:rPr>
        <w:t xml:space="preserve">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9711" w14:textId="017D4EAD" w:rsidR="003E386E" w:rsidRPr="00E64FF7" w:rsidRDefault="00E64FF7" w:rsidP="00E64FF7">
    <w:pPr>
      <w:pStyle w:val="Encabezado"/>
      <w:jc w:val="both"/>
      <w:rPr>
        <w:rFonts w:ascii="Arial" w:hAnsi="Arial" w:cs="Arial"/>
        <w:bCs/>
        <w:sz w:val="16"/>
        <w:szCs w:val="16"/>
        <w:lang w:val="es-ES" w:eastAsia="es-MX"/>
      </w:rPr>
    </w:pPr>
    <w:r w:rsidRPr="00E64FF7">
      <w:rPr>
        <w:rFonts w:ascii="Arial" w:hAnsi="Arial" w:cs="Arial"/>
        <w:sz w:val="16"/>
        <w:szCs w:val="16"/>
        <w:lang w:val="es-ES" w:eastAsia="es-MX"/>
      </w:rPr>
      <w:t>Acción de tutela</w:t>
    </w:r>
    <w:r w:rsidR="003E386E" w:rsidRPr="00E64FF7">
      <w:rPr>
        <w:rFonts w:ascii="Arial" w:hAnsi="Arial" w:cs="Arial"/>
        <w:sz w:val="16"/>
        <w:szCs w:val="16"/>
        <w:lang w:val="es-ES" w:eastAsia="es-MX"/>
      </w:rPr>
      <w:t xml:space="preserve"> (</w:t>
    </w:r>
    <w:r w:rsidRPr="00E64FF7">
      <w:rPr>
        <w:rFonts w:ascii="Arial" w:hAnsi="Arial" w:cs="Arial"/>
        <w:sz w:val="16"/>
        <w:szCs w:val="16"/>
        <w:lang w:val="es-ES" w:eastAsia="es-MX"/>
      </w:rPr>
      <w:t>Segunda instancia</w:t>
    </w:r>
    <w:r w:rsidR="003E386E" w:rsidRPr="00E64FF7">
      <w:rPr>
        <w:rFonts w:ascii="Arial" w:hAnsi="Arial" w:cs="Arial"/>
        <w:sz w:val="16"/>
        <w:szCs w:val="16"/>
        <w:lang w:val="es-ES" w:eastAsia="es-MX"/>
      </w:rPr>
      <w:t>)</w:t>
    </w:r>
  </w:p>
  <w:p w14:paraId="66B0EBFA" w14:textId="3F3FFDE4" w:rsidR="000B20A5" w:rsidRPr="00E64FF7" w:rsidRDefault="00E64FF7" w:rsidP="00E64FF7">
    <w:pPr>
      <w:pStyle w:val="Encabezado"/>
      <w:jc w:val="both"/>
      <w:rPr>
        <w:rFonts w:ascii="Arial" w:hAnsi="Arial" w:cs="Arial"/>
        <w:bCs/>
        <w:sz w:val="16"/>
        <w:szCs w:val="16"/>
        <w:lang w:val="es-ES" w:eastAsia="es-MX"/>
      </w:rPr>
    </w:pPr>
    <w:r w:rsidRPr="00E64FF7">
      <w:rPr>
        <w:rFonts w:ascii="Arial" w:hAnsi="Arial" w:cs="Arial"/>
        <w:bCs/>
        <w:sz w:val="16"/>
        <w:szCs w:val="16"/>
        <w:lang w:val="es-ES" w:eastAsia="es-MX"/>
      </w:rPr>
      <w:t xml:space="preserve">Radicado: </w:t>
    </w:r>
    <w:r w:rsidRPr="00E64FF7">
      <w:rPr>
        <w:rFonts w:ascii="Arial" w:eastAsia="Times New Roman" w:hAnsi="Arial" w:cs="Arial"/>
        <w:sz w:val="16"/>
        <w:szCs w:val="16"/>
      </w:rPr>
      <w:t>66001310300320210015802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4"/>
    <w:rsid w:val="00003887"/>
    <w:rsid w:val="00011091"/>
    <w:rsid w:val="0001120A"/>
    <w:rsid w:val="0001153F"/>
    <w:rsid w:val="00011662"/>
    <w:rsid w:val="0001797E"/>
    <w:rsid w:val="00020116"/>
    <w:rsid w:val="000208BD"/>
    <w:rsid w:val="00024744"/>
    <w:rsid w:val="00031048"/>
    <w:rsid w:val="00032A23"/>
    <w:rsid w:val="0004014C"/>
    <w:rsid w:val="000425C3"/>
    <w:rsid w:val="00043062"/>
    <w:rsid w:val="00045407"/>
    <w:rsid w:val="00052159"/>
    <w:rsid w:val="00062DD0"/>
    <w:rsid w:val="00071A01"/>
    <w:rsid w:val="00076920"/>
    <w:rsid w:val="00077B0B"/>
    <w:rsid w:val="00082FC7"/>
    <w:rsid w:val="00085079"/>
    <w:rsid w:val="000922A8"/>
    <w:rsid w:val="00093EAF"/>
    <w:rsid w:val="000953C3"/>
    <w:rsid w:val="000A2128"/>
    <w:rsid w:val="000B20A5"/>
    <w:rsid w:val="000B22DE"/>
    <w:rsid w:val="000B48E5"/>
    <w:rsid w:val="000B7A5F"/>
    <w:rsid w:val="000B7B58"/>
    <w:rsid w:val="000B7D5F"/>
    <w:rsid w:val="000D0AE3"/>
    <w:rsid w:val="000D3109"/>
    <w:rsid w:val="000D4372"/>
    <w:rsid w:val="000D442C"/>
    <w:rsid w:val="000D485D"/>
    <w:rsid w:val="000D5B48"/>
    <w:rsid w:val="000E0D8E"/>
    <w:rsid w:val="000E6BBD"/>
    <w:rsid w:val="000F2F20"/>
    <w:rsid w:val="001025CF"/>
    <w:rsid w:val="00106ADE"/>
    <w:rsid w:val="0011089F"/>
    <w:rsid w:val="00112281"/>
    <w:rsid w:val="00112303"/>
    <w:rsid w:val="001170B6"/>
    <w:rsid w:val="00117106"/>
    <w:rsid w:val="00117641"/>
    <w:rsid w:val="001225CF"/>
    <w:rsid w:val="00123CA5"/>
    <w:rsid w:val="001242FC"/>
    <w:rsid w:val="001359CF"/>
    <w:rsid w:val="00140E23"/>
    <w:rsid w:val="0014337D"/>
    <w:rsid w:val="001478E0"/>
    <w:rsid w:val="001529A6"/>
    <w:rsid w:val="00153B2D"/>
    <w:rsid w:val="00156EC7"/>
    <w:rsid w:val="00161D0B"/>
    <w:rsid w:val="001726C1"/>
    <w:rsid w:val="00175858"/>
    <w:rsid w:val="001762FF"/>
    <w:rsid w:val="001901CE"/>
    <w:rsid w:val="00194865"/>
    <w:rsid w:val="00195629"/>
    <w:rsid w:val="00196C16"/>
    <w:rsid w:val="001A177B"/>
    <w:rsid w:val="001A1FED"/>
    <w:rsid w:val="001A7725"/>
    <w:rsid w:val="001B5856"/>
    <w:rsid w:val="001B7A9D"/>
    <w:rsid w:val="001C1D18"/>
    <w:rsid w:val="001C2D94"/>
    <w:rsid w:val="001C41B5"/>
    <w:rsid w:val="001C5B0A"/>
    <w:rsid w:val="001C65DD"/>
    <w:rsid w:val="001D051A"/>
    <w:rsid w:val="001D48C9"/>
    <w:rsid w:val="001D7C74"/>
    <w:rsid w:val="001F3B6D"/>
    <w:rsid w:val="001F4DC7"/>
    <w:rsid w:val="001F6037"/>
    <w:rsid w:val="002034D8"/>
    <w:rsid w:val="0020680F"/>
    <w:rsid w:val="0021352A"/>
    <w:rsid w:val="00213C2F"/>
    <w:rsid w:val="00215781"/>
    <w:rsid w:val="00215E95"/>
    <w:rsid w:val="0022178F"/>
    <w:rsid w:val="00221C90"/>
    <w:rsid w:val="00223373"/>
    <w:rsid w:val="00224965"/>
    <w:rsid w:val="00230760"/>
    <w:rsid w:val="002369FB"/>
    <w:rsid w:val="00242785"/>
    <w:rsid w:val="0024660E"/>
    <w:rsid w:val="0024678B"/>
    <w:rsid w:val="00246BF7"/>
    <w:rsid w:val="002474FF"/>
    <w:rsid w:val="00251330"/>
    <w:rsid w:val="00252E74"/>
    <w:rsid w:val="00255F49"/>
    <w:rsid w:val="0026707A"/>
    <w:rsid w:val="00270D2C"/>
    <w:rsid w:val="002754E5"/>
    <w:rsid w:val="002801F8"/>
    <w:rsid w:val="00281F7A"/>
    <w:rsid w:val="00282D3C"/>
    <w:rsid w:val="0028460F"/>
    <w:rsid w:val="00290955"/>
    <w:rsid w:val="00291999"/>
    <w:rsid w:val="00292BF7"/>
    <w:rsid w:val="002A0228"/>
    <w:rsid w:val="002A2CE0"/>
    <w:rsid w:val="002A4CEC"/>
    <w:rsid w:val="002A4D07"/>
    <w:rsid w:val="002A78C8"/>
    <w:rsid w:val="002B58B5"/>
    <w:rsid w:val="002B5AD7"/>
    <w:rsid w:val="002D17A2"/>
    <w:rsid w:val="002D26D1"/>
    <w:rsid w:val="002D2E60"/>
    <w:rsid w:val="002D3B47"/>
    <w:rsid w:val="002D42DC"/>
    <w:rsid w:val="002D5CFF"/>
    <w:rsid w:val="002E2B6D"/>
    <w:rsid w:val="002E4EFE"/>
    <w:rsid w:val="002E6270"/>
    <w:rsid w:val="002E65E1"/>
    <w:rsid w:val="002E66D2"/>
    <w:rsid w:val="002E6C54"/>
    <w:rsid w:val="002F12EA"/>
    <w:rsid w:val="00300C9C"/>
    <w:rsid w:val="0030653A"/>
    <w:rsid w:val="00307B8E"/>
    <w:rsid w:val="0031566C"/>
    <w:rsid w:val="003207A2"/>
    <w:rsid w:val="0033184A"/>
    <w:rsid w:val="003330A3"/>
    <w:rsid w:val="00334249"/>
    <w:rsid w:val="00337123"/>
    <w:rsid w:val="003376F6"/>
    <w:rsid w:val="00340D60"/>
    <w:rsid w:val="00347DE3"/>
    <w:rsid w:val="00352C0E"/>
    <w:rsid w:val="0036015B"/>
    <w:rsid w:val="00361E94"/>
    <w:rsid w:val="0036648D"/>
    <w:rsid w:val="00370C12"/>
    <w:rsid w:val="00371396"/>
    <w:rsid w:val="00373A23"/>
    <w:rsid w:val="0038041A"/>
    <w:rsid w:val="003846DE"/>
    <w:rsid w:val="00386D8E"/>
    <w:rsid w:val="00391E0B"/>
    <w:rsid w:val="003B75BA"/>
    <w:rsid w:val="003C2D62"/>
    <w:rsid w:val="003C573A"/>
    <w:rsid w:val="003D02D6"/>
    <w:rsid w:val="003D20D9"/>
    <w:rsid w:val="003D4440"/>
    <w:rsid w:val="003E386E"/>
    <w:rsid w:val="003E5A42"/>
    <w:rsid w:val="003E5CA4"/>
    <w:rsid w:val="003F1871"/>
    <w:rsid w:val="004033AA"/>
    <w:rsid w:val="004040FF"/>
    <w:rsid w:val="004103D9"/>
    <w:rsid w:val="00412A0A"/>
    <w:rsid w:val="00432710"/>
    <w:rsid w:val="00432A66"/>
    <w:rsid w:val="00433A88"/>
    <w:rsid w:val="00443A35"/>
    <w:rsid w:val="0044767E"/>
    <w:rsid w:val="004557ED"/>
    <w:rsid w:val="0046713F"/>
    <w:rsid w:val="00470AC9"/>
    <w:rsid w:val="004715A4"/>
    <w:rsid w:val="00474A20"/>
    <w:rsid w:val="004762AA"/>
    <w:rsid w:val="004870EA"/>
    <w:rsid w:val="004873F2"/>
    <w:rsid w:val="00493D38"/>
    <w:rsid w:val="004A0C30"/>
    <w:rsid w:val="004A171B"/>
    <w:rsid w:val="004A26BA"/>
    <w:rsid w:val="004A5817"/>
    <w:rsid w:val="004B3D84"/>
    <w:rsid w:val="004B4A37"/>
    <w:rsid w:val="004C1404"/>
    <w:rsid w:val="004D03E2"/>
    <w:rsid w:val="004D0453"/>
    <w:rsid w:val="004D6D35"/>
    <w:rsid w:val="004D74FD"/>
    <w:rsid w:val="004E4C39"/>
    <w:rsid w:val="004E533F"/>
    <w:rsid w:val="004E6937"/>
    <w:rsid w:val="004E6996"/>
    <w:rsid w:val="00500E59"/>
    <w:rsid w:val="00502A07"/>
    <w:rsid w:val="00504C5A"/>
    <w:rsid w:val="00505355"/>
    <w:rsid w:val="00507F2B"/>
    <w:rsid w:val="00513639"/>
    <w:rsid w:val="00514855"/>
    <w:rsid w:val="00515E89"/>
    <w:rsid w:val="005171C6"/>
    <w:rsid w:val="0052261A"/>
    <w:rsid w:val="005227C8"/>
    <w:rsid w:val="005232F4"/>
    <w:rsid w:val="00532337"/>
    <w:rsid w:val="00534180"/>
    <w:rsid w:val="00535CED"/>
    <w:rsid w:val="005425FA"/>
    <w:rsid w:val="00544338"/>
    <w:rsid w:val="005444A5"/>
    <w:rsid w:val="00545E35"/>
    <w:rsid w:val="005465B5"/>
    <w:rsid w:val="0055028C"/>
    <w:rsid w:val="00554134"/>
    <w:rsid w:val="00557B13"/>
    <w:rsid w:val="005675F9"/>
    <w:rsid w:val="0057374F"/>
    <w:rsid w:val="00574E59"/>
    <w:rsid w:val="0057719E"/>
    <w:rsid w:val="00582BF2"/>
    <w:rsid w:val="00583BF7"/>
    <w:rsid w:val="00583E7B"/>
    <w:rsid w:val="00584E76"/>
    <w:rsid w:val="0059460F"/>
    <w:rsid w:val="005A3F17"/>
    <w:rsid w:val="005A6495"/>
    <w:rsid w:val="005B5CD0"/>
    <w:rsid w:val="005B78E0"/>
    <w:rsid w:val="005C4D1B"/>
    <w:rsid w:val="005D3EA4"/>
    <w:rsid w:val="005D4044"/>
    <w:rsid w:val="005E17E1"/>
    <w:rsid w:val="005E3017"/>
    <w:rsid w:val="005E66B2"/>
    <w:rsid w:val="005F0C16"/>
    <w:rsid w:val="005F42D1"/>
    <w:rsid w:val="00602717"/>
    <w:rsid w:val="00603040"/>
    <w:rsid w:val="006147F2"/>
    <w:rsid w:val="00615A3D"/>
    <w:rsid w:val="006179D3"/>
    <w:rsid w:val="00620EFE"/>
    <w:rsid w:val="0062121C"/>
    <w:rsid w:val="00630FE7"/>
    <w:rsid w:val="00634F41"/>
    <w:rsid w:val="00636C5A"/>
    <w:rsid w:val="006410F3"/>
    <w:rsid w:val="00644BF5"/>
    <w:rsid w:val="00644DA2"/>
    <w:rsid w:val="00655921"/>
    <w:rsid w:val="00655B6C"/>
    <w:rsid w:val="00656842"/>
    <w:rsid w:val="006601AB"/>
    <w:rsid w:val="006611FA"/>
    <w:rsid w:val="00662221"/>
    <w:rsid w:val="00662732"/>
    <w:rsid w:val="0066586A"/>
    <w:rsid w:val="0067248F"/>
    <w:rsid w:val="00673D9B"/>
    <w:rsid w:val="00682180"/>
    <w:rsid w:val="00685504"/>
    <w:rsid w:val="00687B0F"/>
    <w:rsid w:val="006915E1"/>
    <w:rsid w:val="00694C9F"/>
    <w:rsid w:val="0069552C"/>
    <w:rsid w:val="006A0766"/>
    <w:rsid w:val="006A4B01"/>
    <w:rsid w:val="006A792B"/>
    <w:rsid w:val="006B0A3C"/>
    <w:rsid w:val="006B2753"/>
    <w:rsid w:val="006B363D"/>
    <w:rsid w:val="006B785E"/>
    <w:rsid w:val="006C4291"/>
    <w:rsid w:val="006D4CD1"/>
    <w:rsid w:val="006D77DD"/>
    <w:rsid w:val="006E7DBA"/>
    <w:rsid w:val="006F57BC"/>
    <w:rsid w:val="006F5C2C"/>
    <w:rsid w:val="006F6D7E"/>
    <w:rsid w:val="007006ED"/>
    <w:rsid w:val="00700F59"/>
    <w:rsid w:val="007023FE"/>
    <w:rsid w:val="00703ABC"/>
    <w:rsid w:val="00707F32"/>
    <w:rsid w:val="00710EE9"/>
    <w:rsid w:val="00711896"/>
    <w:rsid w:val="007141F6"/>
    <w:rsid w:val="00716587"/>
    <w:rsid w:val="0071699E"/>
    <w:rsid w:val="00720A8A"/>
    <w:rsid w:val="00722D01"/>
    <w:rsid w:val="007232A7"/>
    <w:rsid w:val="00733399"/>
    <w:rsid w:val="00736921"/>
    <w:rsid w:val="007402ED"/>
    <w:rsid w:val="0074246D"/>
    <w:rsid w:val="0074378D"/>
    <w:rsid w:val="007533B1"/>
    <w:rsid w:val="00755E50"/>
    <w:rsid w:val="00757D7C"/>
    <w:rsid w:val="00760F57"/>
    <w:rsid w:val="00762377"/>
    <w:rsid w:val="007625A9"/>
    <w:rsid w:val="00770B53"/>
    <w:rsid w:val="007735BF"/>
    <w:rsid w:val="00773AFD"/>
    <w:rsid w:val="007814A3"/>
    <w:rsid w:val="007839D0"/>
    <w:rsid w:val="00784EA3"/>
    <w:rsid w:val="00786A03"/>
    <w:rsid w:val="00787C3B"/>
    <w:rsid w:val="0079052F"/>
    <w:rsid w:val="0079072C"/>
    <w:rsid w:val="00792C99"/>
    <w:rsid w:val="007A0180"/>
    <w:rsid w:val="007A3C8B"/>
    <w:rsid w:val="007A43B3"/>
    <w:rsid w:val="007A4BD3"/>
    <w:rsid w:val="007A6CE6"/>
    <w:rsid w:val="007B39BA"/>
    <w:rsid w:val="007B6490"/>
    <w:rsid w:val="007B6A98"/>
    <w:rsid w:val="007C24CD"/>
    <w:rsid w:val="007C2600"/>
    <w:rsid w:val="007C5FB7"/>
    <w:rsid w:val="007C7F7F"/>
    <w:rsid w:val="007D2411"/>
    <w:rsid w:val="007D356F"/>
    <w:rsid w:val="007D48A0"/>
    <w:rsid w:val="007D4BDD"/>
    <w:rsid w:val="007D709F"/>
    <w:rsid w:val="007E0BE2"/>
    <w:rsid w:val="007E54BA"/>
    <w:rsid w:val="007E5A77"/>
    <w:rsid w:val="007F6682"/>
    <w:rsid w:val="00801CC5"/>
    <w:rsid w:val="00802537"/>
    <w:rsid w:val="008120CE"/>
    <w:rsid w:val="0081239A"/>
    <w:rsid w:val="0081670B"/>
    <w:rsid w:val="0082230D"/>
    <w:rsid w:val="0082372E"/>
    <w:rsid w:val="00830AE2"/>
    <w:rsid w:val="008357CF"/>
    <w:rsid w:val="008364ED"/>
    <w:rsid w:val="00857E8F"/>
    <w:rsid w:val="0086426F"/>
    <w:rsid w:val="00870EB1"/>
    <w:rsid w:val="008717A0"/>
    <w:rsid w:val="008717AA"/>
    <w:rsid w:val="00872FD9"/>
    <w:rsid w:val="008735A3"/>
    <w:rsid w:val="00874898"/>
    <w:rsid w:val="00877AC0"/>
    <w:rsid w:val="008804FC"/>
    <w:rsid w:val="00886279"/>
    <w:rsid w:val="008A1F7A"/>
    <w:rsid w:val="008A35CF"/>
    <w:rsid w:val="008A4393"/>
    <w:rsid w:val="008A50B9"/>
    <w:rsid w:val="008A6334"/>
    <w:rsid w:val="008A68BC"/>
    <w:rsid w:val="008A6B7B"/>
    <w:rsid w:val="008B7506"/>
    <w:rsid w:val="008B7E8C"/>
    <w:rsid w:val="008C4EFC"/>
    <w:rsid w:val="008C745F"/>
    <w:rsid w:val="008D1630"/>
    <w:rsid w:val="008D37CB"/>
    <w:rsid w:val="008D678B"/>
    <w:rsid w:val="008D6921"/>
    <w:rsid w:val="008D71FD"/>
    <w:rsid w:val="008E3952"/>
    <w:rsid w:val="008E422B"/>
    <w:rsid w:val="008F08F0"/>
    <w:rsid w:val="008F3C02"/>
    <w:rsid w:val="008F4215"/>
    <w:rsid w:val="008F6EC9"/>
    <w:rsid w:val="009018E2"/>
    <w:rsid w:val="009048CC"/>
    <w:rsid w:val="00906BAE"/>
    <w:rsid w:val="00915B6A"/>
    <w:rsid w:val="00921722"/>
    <w:rsid w:val="00924753"/>
    <w:rsid w:val="00930F83"/>
    <w:rsid w:val="00936CE4"/>
    <w:rsid w:val="00947C24"/>
    <w:rsid w:val="00961BAC"/>
    <w:rsid w:val="00961FE3"/>
    <w:rsid w:val="00963567"/>
    <w:rsid w:val="00967C77"/>
    <w:rsid w:val="00975E82"/>
    <w:rsid w:val="009919F3"/>
    <w:rsid w:val="00995658"/>
    <w:rsid w:val="009978B6"/>
    <w:rsid w:val="009A0CDD"/>
    <w:rsid w:val="009A1359"/>
    <w:rsid w:val="009A2833"/>
    <w:rsid w:val="009A2FFC"/>
    <w:rsid w:val="009A44AC"/>
    <w:rsid w:val="009B108B"/>
    <w:rsid w:val="009B1238"/>
    <w:rsid w:val="009B57EC"/>
    <w:rsid w:val="009B5B74"/>
    <w:rsid w:val="009B5E31"/>
    <w:rsid w:val="009B75BD"/>
    <w:rsid w:val="009C1689"/>
    <w:rsid w:val="009D5259"/>
    <w:rsid w:val="009D5755"/>
    <w:rsid w:val="009E18D5"/>
    <w:rsid w:val="009E214B"/>
    <w:rsid w:val="009E4AE9"/>
    <w:rsid w:val="009E5D2E"/>
    <w:rsid w:val="009E6207"/>
    <w:rsid w:val="009F0838"/>
    <w:rsid w:val="009F4054"/>
    <w:rsid w:val="009F78FF"/>
    <w:rsid w:val="009F7EF5"/>
    <w:rsid w:val="00A1055A"/>
    <w:rsid w:val="00A16AE2"/>
    <w:rsid w:val="00A17D48"/>
    <w:rsid w:val="00A22D7A"/>
    <w:rsid w:val="00A25559"/>
    <w:rsid w:val="00A3166F"/>
    <w:rsid w:val="00A31807"/>
    <w:rsid w:val="00A3187E"/>
    <w:rsid w:val="00A327F0"/>
    <w:rsid w:val="00A55A7B"/>
    <w:rsid w:val="00A56F11"/>
    <w:rsid w:val="00A573A6"/>
    <w:rsid w:val="00A61D86"/>
    <w:rsid w:val="00A67F31"/>
    <w:rsid w:val="00A74D38"/>
    <w:rsid w:val="00A8039F"/>
    <w:rsid w:val="00A83DAF"/>
    <w:rsid w:val="00A866D4"/>
    <w:rsid w:val="00A95D39"/>
    <w:rsid w:val="00A9603F"/>
    <w:rsid w:val="00A97740"/>
    <w:rsid w:val="00AA0244"/>
    <w:rsid w:val="00AA072B"/>
    <w:rsid w:val="00AA0F1D"/>
    <w:rsid w:val="00AA188F"/>
    <w:rsid w:val="00AB2ED8"/>
    <w:rsid w:val="00AB4BB4"/>
    <w:rsid w:val="00AC011A"/>
    <w:rsid w:val="00AC06AA"/>
    <w:rsid w:val="00AC116C"/>
    <w:rsid w:val="00AC236F"/>
    <w:rsid w:val="00AC56EF"/>
    <w:rsid w:val="00AC6F0C"/>
    <w:rsid w:val="00AD20C2"/>
    <w:rsid w:val="00AD2D8F"/>
    <w:rsid w:val="00AD2F37"/>
    <w:rsid w:val="00AD5133"/>
    <w:rsid w:val="00AD5441"/>
    <w:rsid w:val="00AD5C29"/>
    <w:rsid w:val="00AE5516"/>
    <w:rsid w:val="00AE60D4"/>
    <w:rsid w:val="00AE6849"/>
    <w:rsid w:val="00AF1D41"/>
    <w:rsid w:val="00AF26E3"/>
    <w:rsid w:val="00AF3EBB"/>
    <w:rsid w:val="00AF5E33"/>
    <w:rsid w:val="00AF634B"/>
    <w:rsid w:val="00B005DE"/>
    <w:rsid w:val="00B06141"/>
    <w:rsid w:val="00B07B55"/>
    <w:rsid w:val="00B11D41"/>
    <w:rsid w:val="00B12C03"/>
    <w:rsid w:val="00B153D9"/>
    <w:rsid w:val="00B155EE"/>
    <w:rsid w:val="00B16F0B"/>
    <w:rsid w:val="00B213E5"/>
    <w:rsid w:val="00B23289"/>
    <w:rsid w:val="00B27603"/>
    <w:rsid w:val="00B52903"/>
    <w:rsid w:val="00B54240"/>
    <w:rsid w:val="00B54B58"/>
    <w:rsid w:val="00B6129B"/>
    <w:rsid w:val="00B612D9"/>
    <w:rsid w:val="00B61F18"/>
    <w:rsid w:val="00B669F8"/>
    <w:rsid w:val="00B67902"/>
    <w:rsid w:val="00B9535D"/>
    <w:rsid w:val="00B96F4C"/>
    <w:rsid w:val="00BA6BF0"/>
    <w:rsid w:val="00BA7372"/>
    <w:rsid w:val="00BB416B"/>
    <w:rsid w:val="00BC3F8B"/>
    <w:rsid w:val="00BD2612"/>
    <w:rsid w:val="00BD2B85"/>
    <w:rsid w:val="00BD3358"/>
    <w:rsid w:val="00BD6BEE"/>
    <w:rsid w:val="00BE10EB"/>
    <w:rsid w:val="00BE2BCF"/>
    <w:rsid w:val="00BE2D48"/>
    <w:rsid w:val="00BE620A"/>
    <w:rsid w:val="00BF035F"/>
    <w:rsid w:val="00C00766"/>
    <w:rsid w:val="00C02504"/>
    <w:rsid w:val="00C050C5"/>
    <w:rsid w:val="00C05BFA"/>
    <w:rsid w:val="00C05EA5"/>
    <w:rsid w:val="00C103CE"/>
    <w:rsid w:val="00C14E62"/>
    <w:rsid w:val="00C1507A"/>
    <w:rsid w:val="00C1651D"/>
    <w:rsid w:val="00C210A5"/>
    <w:rsid w:val="00C22766"/>
    <w:rsid w:val="00C2444A"/>
    <w:rsid w:val="00C24FD3"/>
    <w:rsid w:val="00C259DA"/>
    <w:rsid w:val="00C3498A"/>
    <w:rsid w:val="00C41583"/>
    <w:rsid w:val="00C46184"/>
    <w:rsid w:val="00C525AA"/>
    <w:rsid w:val="00C55F50"/>
    <w:rsid w:val="00C57C4C"/>
    <w:rsid w:val="00C60953"/>
    <w:rsid w:val="00C62FD5"/>
    <w:rsid w:val="00C64E07"/>
    <w:rsid w:val="00C72D86"/>
    <w:rsid w:val="00C73085"/>
    <w:rsid w:val="00C746CF"/>
    <w:rsid w:val="00C77E45"/>
    <w:rsid w:val="00C80A30"/>
    <w:rsid w:val="00C876B1"/>
    <w:rsid w:val="00C9244A"/>
    <w:rsid w:val="00C93E25"/>
    <w:rsid w:val="00CA2312"/>
    <w:rsid w:val="00CB01E8"/>
    <w:rsid w:val="00CB0EF3"/>
    <w:rsid w:val="00CB1F1D"/>
    <w:rsid w:val="00CB2A4D"/>
    <w:rsid w:val="00CC28DC"/>
    <w:rsid w:val="00CC6CB6"/>
    <w:rsid w:val="00CD206E"/>
    <w:rsid w:val="00CD3046"/>
    <w:rsid w:val="00CE002F"/>
    <w:rsid w:val="00CE0375"/>
    <w:rsid w:val="00CE65CA"/>
    <w:rsid w:val="00CF0834"/>
    <w:rsid w:val="00CF0E26"/>
    <w:rsid w:val="00D00AFE"/>
    <w:rsid w:val="00D00B7E"/>
    <w:rsid w:val="00D01B49"/>
    <w:rsid w:val="00D02F66"/>
    <w:rsid w:val="00D060D5"/>
    <w:rsid w:val="00D16DAA"/>
    <w:rsid w:val="00D174AE"/>
    <w:rsid w:val="00D176E9"/>
    <w:rsid w:val="00D21B66"/>
    <w:rsid w:val="00D33310"/>
    <w:rsid w:val="00D35C5F"/>
    <w:rsid w:val="00D4046A"/>
    <w:rsid w:val="00D4188C"/>
    <w:rsid w:val="00D43028"/>
    <w:rsid w:val="00D52697"/>
    <w:rsid w:val="00D54997"/>
    <w:rsid w:val="00D56991"/>
    <w:rsid w:val="00D57999"/>
    <w:rsid w:val="00D60FC3"/>
    <w:rsid w:val="00D6619E"/>
    <w:rsid w:val="00D70BA3"/>
    <w:rsid w:val="00D70F2C"/>
    <w:rsid w:val="00D76F44"/>
    <w:rsid w:val="00D83C2F"/>
    <w:rsid w:val="00D87072"/>
    <w:rsid w:val="00D912DE"/>
    <w:rsid w:val="00D91B53"/>
    <w:rsid w:val="00D92098"/>
    <w:rsid w:val="00DA539C"/>
    <w:rsid w:val="00DB3139"/>
    <w:rsid w:val="00DB6857"/>
    <w:rsid w:val="00DB69C2"/>
    <w:rsid w:val="00DB7360"/>
    <w:rsid w:val="00DB7976"/>
    <w:rsid w:val="00DB7BA8"/>
    <w:rsid w:val="00DC04A3"/>
    <w:rsid w:val="00DC5687"/>
    <w:rsid w:val="00DC6C86"/>
    <w:rsid w:val="00DD18B5"/>
    <w:rsid w:val="00DD2D4A"/>
    <w:rsid w:val="00DD4764"/>
    <w:rsid w:val="00DE0675"/>
    <w:rsid w:val="00DE6C10"/>
    <w:rsid w:val="00DE6C91"/>
    <w:rsid w:val="00DE7978"/>
    <w:rsid w:val="00DF171F"/>
    <w:rsid w:val="00DF5534"/>
    <w:rsid w:val="00E0290C"/>
    <w:rsid w:val="00E14C6B"/>
    <w:rsid w:val="00E15BEE"/>
    <w:rsid w:val="00E15D2D"/>
    <w:rsid w:val="00E217E3"/>
    <w:rsid w:val="00E26814"/>
    <w:rsid w:val="00E32A77"/>
    <w:rsid w:val="00E34A8F"/>
    <w:rsid w:val="00E407C8"/>
    <w:rsid w:val="00E409D2"/>
    <w:rsid w:val="00E4362D"/>
    <w:rsid w:val="00E473D4"/>
    <w:rsid w:val="00E5454E"/>
    <w:rsid w:val="00E5638D"/>
    <w:rsid w:val="00E5750E"/>
    <w:rsid w:val="00E60624"/>
    <w:rsid w:val="00E60C5E"/>
    <w:rsid w:val="00E64836"/>
    <w:rsid w:val="00E64FF7"/>
    <w:rsid w:val="00E65768"/>
    <w:rsid w:val="00E703EC"/>
    <w:rsid w:val="00E70CFA"/>
    <w:rsid w:val="00E71461"/>
    <w:rsid w:val="00E733CD"/>
    <w:rsid w:val="00E76685"/>
    <w:rsid w:val="00E776B2"/>
    <w:rsid w:val="00E83A77"/>
    <w:rsid w:val="00E87398"/>
    <w:rsid w:val="00E87EDF"/>
    <w:rsid w:val="00E87FD8"/>
    <w:rsid w:val="00E944B3"/>
    <w:rsid w:val="00E945F6"/>
    <w:rsid w:val="00E94C92"/>
    <w:rsid w:val="00EA1819"/>
    <w:rsid w:val="00EA20C5"/>
    <w:rsid w:val="00EA2116"/>
    <w:rsid w:val="00EA360B"/>
    <w:rsid w:val="00EA618E"/>
    <w:rsid w:val="00EB6E5A"/>
    <w:rsid w:val="00EC45A5"/>
    <w:rsid w:val="00ED0374"/>
    <w:rsid w:val="00ED5AE3"/>
    <w:rsid w:val="00ED768D"/>
    <w:rsid w:val="00EF130B"/>
    <w:rsid w:val="00EF59F0"/>
    <w:rsid w:val="00EF66DC"/>
    <w:rsid w:val="00F0175D"/>
    <w:rsid w:val="00F0547D"/>
    <w:rsid w:val="00F074CD"/>
    <w:rsid w:val="00F07527"/>
    <w:rsid w:val="00F120A6"/>
    <w:rsid w:val="00F2152C"/>
    <w:rsid w:val="00F30EE8"/>
    <w:rsid w:val="00F33A6E"/>
    <w:rsid w:val="00F43413"/>
    <w:rsid w:val="00F45E09"/>
    <w:rsid w:val="00F4604A"/>
    <w:rsid w:val="00F52858"/>
    <w:rsid w:val="00F53DC5"/>
    <w:rsid w:val="00F54053"/>
    <w:rsid w:val="00F563DA"/>
    <w:rsid w:val="00F602E2"/>
    <w:rsid w:val="00F61F19"/>
    <w:rsid w:val="00F62473"/>
    <w:rsid w:val="00F63909"/>
    <w:rsid w:val="00F65E96"/>
    <w:rsid w:val="00F67AE8"/>
    <w:rsid w:val="00F73D22"/>
    <w:rsid w:val="00F75349"/>
    <w:rsid w:val="00F75A2A"/>
    <w:rsid w:val="00F77A36"/>
    <w:rsid w:val="00F868B6"/>
    <w:rsid w:val="00F87909"/>
    <w:rsid w:val="00F944EC"/>
    <w:rsid w:val="00F95ABC"/>
    <w:rsid w:val="00F95CF2"/>
    <w:rsid w:val="00FA1285"/>
    <w:rsid w:val="00FA2C48"/>
    <w:rsid w:val="00FA40EB"/>
    <w:rsid w:val="00FA4A31"/>
    <w:rsid w:val="00FA6779"/>
    <w:rsid w:val="00FB255B"/>
    <w:rsid w:val="00FB3BBD"/>
    <w:rsid w:val="00FB402B"/>
    <w:rsid w:val="00FB57BA"/>
    <w:rsid w:val="00FC010C"/>
    <w:rsid w:val="00FC22F2"/>
    <w:rsid w:val="00FC32C5"/>
    <w:rsid w:val="00FC4363"/>
    <w:rsid w:val="00FD4056"/>
    <w:rsid w:val="00FD6666"/>
    <w:rsid w:val="00FD78B0"/>
    <w:rsid w:val="00FE2098"/>
    <w:rsid w:val="00FE244D"/>
    <w:rsid w:val="00FE4CD6"/>
    <w:rsid w:val="00FE5985"/>
    <w:rsid w:val="00FE72A3"/>
    <w:rsid w:val="00FF0680"/>
    <w:rsid w:val="00FF18B2"/>
    <w:rsid w:val="00FF1EB2"/>
    <w:rsid w:val="00FF42C5"/>
    <w:rsid w:val="16FE8ACE"/>
    <w:rsid w:val="1CFEBE67"/>
    <w:rsid w:val="1E634BDD"/>
    <w:rsid w:val="3272A596"/>
    <w:rsid w:val="32CF7954"/>
    <w:rsid w:val="37C67B86"/>
    <w:rsid w:val="3C3276AA"/>
    <w:rsid w:val="4052CC69"/>
    <w:rsid w:val="4CEBD475"/>
    <w:rsid w:val="78A4AA6D"/>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8FCA"/>
  <w15:docId w15:val="{3B7A3DFE-2B57-9C41-B64A-1F4C4BDE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5552">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5ECF81F4-FECE-4FF5-926D-7513F7B2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375724-EB6C-43E2-844E-18280BE7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3869</Words>
  <Characters>21281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5</cp:revision>
  <dcterms:created xsi:type="dcterms:W3CDTF">2021-12-16T15:00:00Z</dcterms:created>
  <dcterms:modified xsi:type="dcterms:W3CDTF">2022-02-03T20:45:00Z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