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354FB" w14:textId="77777777" w:rsidR="000F5681" w:rsidRPr="000F5681" w:rsidRDefault="000F5681" w:rsidP="000F568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0F568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73002E5" w14:textId="77777777" w:rsidR="000F5681" w:rsidRPr="000F5681" w:rsidRDefault="000F5681" w:rsidP="000F5681">
      <w:pPr>
        <w:jc w:val="both"/>
        <w:rPr>
          <w:rFonts w:ascii="Arial" w:hAnsi="Arial" w:cs="Arial"/>
          <w:sz w:val="20"/>
          <w:szCs w:val="20"/>
          <w:lang w:val="es-419"/>
        </w:rPr>
      </w:pPr>
    </w:p>
    <w:p w14:paraId="666BFAD7" w14:textId="77777777" w:rsidR="000F5681" w:rsidRPr="000F5681" w:rsidRDefault="000F5681" w:rsidP="000F5681">
      <w:pPr>
        <w:jc w:val="both"/>
        <w:rPr>
          <w:rFonts w:ascii="Arial" w:hAnsi="Arial" w:cs="Arial"/>
          <w:sz w:val="20"/>
          <w:szCs w:val="20"/>
          <w:lang w:val="es-419"/>
        </w:rPr>
      </w:pPr>
      <w:r w:rsidRPr="000F5681">
        <w:rPr>
          <w:rFonts w:ascii="Arial" w:hAnsi="Arial" w:cs="Arial"/>
          <w:sz w:val="20"/>
          <w:szCs w:val="20"/>
          <w:lang w:val="es-419"/>
        </w:rPr>
        <w:t>Asunto</w:t>
      </w:r>
      <w:r w:rsidRPr="000F5681">
        <w:rPr>
          <w:rFonts w:ascii="Arial" w:hAnsi="Arial" w:cs="Arial"/>
          <w:sz w:val="20"/>
          <w:szCs w:val="20"/>
          <w:lang w:val="es-419"/>
        </w:rPr>
        <w:tab/>
      </w:r>
      <w:r w:rsidRPr="000F5681">
        <w:rPr>
          <w:rFonts w:ascii="Arial" w:hAnsi="Arial" w:cs="Arial"/>
          <w:sz w:val="20"/>
          <w:szCs w:val="20"/>
          <w:lang w:val="es-419"/>
        </w:rPr>
        <w:tab/>
      </w:r>
      <w:r w:rsidRPr="000F5681">
        <w:rPr>
          <w:rFonts w:ascii="Arial" w:hAnsi="Arial" w:cs="Arial"/>
          <w:sz w:val="20"/>
          <w:szCs w:val="20"/>
          <w:lang w:val="es-419"/>
        </w:rPr>
        <w:tab/>
        <w:t>: Apelación de auto interlocutorio</w:t>
      </w:r>
    </w:p>
    <w:p w14:paraId="5782F75A" w14:textId="0AA530FA" w:rsidR="000F5681" w:rsidRPr="000F5681" w:rsidRDefault="000F5681" w:rsidP="000F5681">
      <w:pPr>
        <w:jc w:val="both"/>
        <w:rPr>
          <w:rFonts w:ascii="Arial" w:hAnsi="Arial" w:cs="Arial"/>
          <w:sz w:val="20"/>
          <w:szCs w:val="20"/>
          <w:lang w:val="es-419"/>
        </w:rPr>
      </w:pPr>
      <w:r w:rsidRPr="000F5681">
        <w:rPr>
          <w:rFonts w:ascii="Arial" w:hAnsi="Arial" w:cs="Arial"/>
          <w:sz w:val="20"/>
          <w:szCs w:val="20"/>
          <w:lang w:val="es-419"/>
        </w:rPr>
        <w:t>Tipo de proceso</w:t>
      </w:r>
      <w:r w:rsidRPr="000F5681">
        <w:rPr>
          <w:rFonts w:ascii="Arial" w:hAnsi="Arial" w:cs="Arial"/>
          <w:sz w:val="20"/>
          <w:szCs w:val="20"/>
          <w:lang w:val="es-419"/>
        </w:rPr>
        <w:tab/>
        <w:t>: Ejecutivo con pretensión personal</w:t>
      </w:r>
    </w:p>
    <w:p w14:paraId="56580B17" w14:textId="7E548BAE" w:rsidR="000F5681" w:rsidRPr="000F5681" w:rsidRDefault="000F5681" w:rsidP="000F5681">
      <w:pPr>
        <w:jc w:val="both"/>
        <w:rPr>
          <w:rFonts w:ascii="Arial" w:hAnsi="Arial" w:cs="Arial"/>
          <w:sz w:val="20"/>
          <w:szCs w:val="20"/>
          <w:lang w:val="es-419"/>
        </w:rPr>
      </w:pPr>
      <w:r w:rsidRPr="000F5681">
        <w:rPr>
          <w:rFonts w:ascii="Arial" w:hAnsi="Arial" w:cs="Arial"/>
          <w:sz w:val="20"/>
          <w:szCs w:val="20"/>
          <w:lang w:val="es-419"/>
        </w:rPr>
        <w:t xml:space="preserve">Ejecutante </w:t>
      </w:r>
      <w:r w:rsidRPr="000F5681">
        <w:rPr>
          <w:rFonts w:ascii="Arial" w:hAnsi="Arial" w:cs="Arial"/>
          <w:sz w:val="20"/>
          <w:szCs w:val="20"/>
          <w:lang w:val="es-419"/>
        </w:rPr>
        <w:tab/>
      </w:r>
      <w:r w:rsidRPr="000F5681">
        <w:rPr>
          <w:rFonts w:ascii="Arial" w:hAnsi="Arial" w:cs="Arial"/>
          <w:sz w:val="20"/>
          <w:szCs w:val="20"/>
          <w:lang w:val="es-419"/>
        </w:rPr>
        <w:tab/>
        <w:t>: Olga Lucía Moncada Cano</w:t>
      </w:r>
    </w:p>
    <w:p w14:paraId="0AAE5191" w14:textId="0C7FA081" w:rsidR="000F5681" w:rsidRPr="000F5681" w:rsidRDefault="000F5681" w:rsidP="000F5681">
      <w:pPr>
        <w:jc w:val="both"/>
        <w:rPr>
          <w:rFonts w:ascii="Arial" w:hAnsi="Arial" w:cs="Arial"/>
          <w:sz w:val="20"/>
          <w:szCs w:val="20"/>
          <w:lang w:val="es-419"/>
        </w:rPr>
      </w:pPr>
      <w:r w:rsidRPr="000F5681">
        <w:rPr>
          <w:rFonts w:ascii="Arial" w:hAnsi="Arial" w:cs="Arial"/>
          <w:sz w:val="20"/>
          <w:szCs w:val="20"/>
          <w:lang w:val="es-419"/>
        </w:rPr>
        <w:t>Ejecutado</w:t>
      </w:r>
      <w:r w:rsidRPr="000F5681">
        <w:rPr>
          <w:rFonts w:ascii="Arial" w:hAnsi="Arial" w:cs="Arial"/>
          <w:sz w:val="20"/>
          <w:szCs w:val="20"/>
          <w:lang w:val="es-419"/>
        </w:rPr>
        <w:tab/>
      </w:r>
      <w:r w:rsidRPr="000F5681">
        <w:rPr>
          <w:rFonts w:ascii="Arial" w:hAnsi="Arial" w:cs="Arial"/>
          <w:sz w:val="20"/>
          <w:szCs w:val="20"/>
          <w:lang w:val="es-419"/>
        </w:rPr>
        <w:tab/>
        <w:t>: Fernando Augusto Arias Bedoya</w:t>
      </w:r>
    </w:p>
    <w:p w14:paraId="5C7BE3D7" w14:textId="173D25F2" w:rsidR="000F5681" w:rsidRPr="000F5681" w:rsidRDefault="000F5681" w:rsidP="000F5681">
      <w:pPr>
        <w:jc w:val="both"/>
        <w:rPr>
          <w:rFonts w:ascii="Arial" w:hAnsi="Arial" w:cs="Arial"/>
          <w:sz w:val="20"/>
          <w:szCs w:val="20"/>
          <w:lang w:val="es-419"/>
        </w:rPr>
      </w:pPr>
      <w:r w:rsidRPr="000F5681">
        <w:rPr>
          <w:rFonts w:ascii="Arial" w:hAnsi="Arial" w:cs="Arial"/>
          <w:sz w:val="20"/>
          <w:szCs w:val="20"/>
          <w:lang w:val="es-419"/>
        </w:rPr>
        <w:t xml:space="preserve">Procedencia </w:t>
      </w:r>
      <w:r w:rsidRPr="000F5681">
        <w:rPr>
          <w:rFonts w:ascii="Arial" w:hAnsi="Arial" w:cs="Arial"/>
          <w:sz w:val="20"/>
          <w:szCs w:val="20"/>
          <w:lang w:val="es-419"/>
        </w:rPr>
        <w:tab/>
      </w:r>
      <w:r w:rsidRPr="000F5681">
        <w:rPr>
          <w:rFonts w:ascii="Arial" w:hAnsi="Arial" w:cs="Arial"/>
          <w:sz w:val="20"/>
          <w:szCs w:val="20"/>
          <w:lang w:val="es-419"/>
        </w:rPr>
        <w:tab/>
        <w:t>: Juzgado 1º Civil del Circuito de Pereira</w:t>
      </w:r>
    </w:p>
    <w:p w14:paraId="17E0A9D7" w14:textId="1FE5676B" w:rsidR="000F5681" w:rsidRPr="000F5681" w:rsidRDefault="000F5681" w:rsidP="000F5681">
      <w:pPr>
        <w:jc w:val="both"/>
        <w:rPr>
          <w:rFonts w:ascii="Arial" w:hAnsi="Arial" w:cs="Arial"/>
          <w:sz w:val="20"/>
          <w:szCs w:val="20"/>
          <w:lang w:val="es-419"/>
        </w:rPr>
      </w:pPr>
      <w:r w:rsidRPr="000F5681">
        <w:rPr>
          <w:rFonts w:ascii="Arial" w:hAnsi="Arial" w:cs="Arial"/>
          <w:sz w:val="20"/>
          <w:szCs w:val="20"/>
          <w:lang w:val="es-419"/>
        </w:rPr>
        <w:t>Radicación</w:t>
      </w:r>
      <w:r w:rsidRPr="000F5681">
        <w:rPr>
          <w:rFonts w:ascii="Arial" w:hAnsi="Arial" w:cs="Arial"/>
          <w:sz w:val="20"/>
          <w:szCs w:val="20"/>
          <w:lang w:val="es-419"/>
        </w:rPr>
        <w:tab/>
      </w:r>
      <w:r w:rsidRPr="000F5681">
        <w:rPr>
          <w:rFonts w:ascii="Arial" w:hAnsi="Arial" w:cs="Arial"/>
          <w:sz w:val="20"/>
          <w:szCs w:val="20"/>
          <w:lang w:val="es-419"/>
        </w:rPr>
        <w:tab/>
        <w:t>: 66001-31-03-001-2012-00222-01</w:t>
      </w:r>
    </w:p>
    <w:p w14:paraId="57EBB945" w14:textId="7C0DF6CF" w:rsidR="000F5681" w:rsidRPr="000F5681" w:rsidRDefault="000F5681" w:rsidP="000F5681">
      <w:pPr>
        <w:jc w:val="both"/>
        <w:rPr>
          <w:rFonts w:ascii="Arial" w:hAnsi="Arial" w:cs="Arial"/>
          <w:sz w:val="20"/>
          <w:szCs w:val="20"/>
          <w:lang w:val="es-419"/>
        </w:rPr>
      </w:pPr>
      <w:proofErr w:type="spellStart"/>
      <w:r w:rsidRPr="000F5681">
        <w:rPr>
          <w:rFonts w:ascii="Arial" w:hAnsi="Arial" w:cs="Arial"/>
          <w:sz w:val="20"/>
          <w:szCs w:val="20"/>
          <w:lang w:val="es-419"/>
        </w:rPr>
        <w:t>Mag</w:t>
      </w:r>
      <w:proofErr w:type="spellEnd"/>
      <w:r w:rsidRPr="000F5681">
        <w:rPr>
          <w:rFonts w:ascii="Arial" w:hAnsi="Arial" w:cs="Arial"/>
          <w:sz w:val="20"/>
          <w:szCs w:val="20"/>
          <w:lang w:val="es-419"/>
        </w:rPr>
        <w:t>. Sustanciador</w:t>
      </w:r>
      <w:r w:rsidRPr="000F5681">
        <w:rPr>
          <w:rFonts w:ascii="Arial" w:hAnsi="Arial" w:cs="Arial"/>
          <w:sz w:val="20"/>
          <w:szCs w:val="20"/>
          <w:lang w:val="es-419"/>
        </w:rPr>
        <w:tab/>
        <w:t>: DUBERNEY GRISALES HERRERA</w:t>
      </w:r>
    </w:p>
    <w:p w14:paraId="092F811C" w14:textId="77777777" w:rsidR="000F5681" w:rsidRPr="000F5681" w:rsidRDefault="000F5681" w:rsidP="000F5681">
      <w:pPr>
        <w:jc w:val="both"/>
        <w:rPr>
          <w:rFonts w:ascii="Arial" w:hAnsi="Arial" w:cs="Arial"/>
          <w:sz w:val="20"/>
          <w:szCs w:val="20"/>
          <w:lang w:val="es-419"/>
        </w:rPr>
      </w:pPr>
    </w:p>
    <w:p w14:paraId="7E78B801" w14:textId="3850F3E5" w:rsidR="000F5681" w:rsidRPr="000F5681" w:rsidRDefault="000F5681" w:rsidP="000F5681">
      <w:pPr>
        <w:jc w:val="both"/>
        <w:rPr>
          <w:rFonts w:ascii="Arial" w:hAnsi="Arial" w:cs="Arial"/>
          <w:b/>
          <w:bCs/>
          <w:iCs/>
          <w:sz w:val="20"/>
          <w:szCs w:val="20"/>
          <w:lang w:val="es-419" w:eastAsia="fr-FR"/>
        </w:rPr>
      </w:pPr>
      <w:r w:rsidRPr="000F5681">
        <w:rPr>
          <w:rFonts w:ascii="Arial" w:hAnsi="Arial" w:cs="Arial"/>
          <w:b/>
          <w:bCs/>
          <w:iCs/>
          <w:sz w:val="20"/>
          <w:szCs w:val="20"/>
          <w:u w:val="single"/>
          <w:lang w:val="es-419" w:eastAsia="fr-FR"/>
        </w:rPr>
        <w:t>TEMAS:</w:t>
      </w:r>
      <w:r w:rsidRPr="000F5681">
        <w:rPr>
          <w:rFonts w:ascii="Arial" w:hAnsi="Arial" w:cs="Arial"/>
          <w:b/>
          <w:bCs/>
          <w:iCs/>
          <w:sz w:val="20"/>
          <w:szCs w:val="20"/>
          <w:lang w:val="es-419" w:eastAsia="fr-FR"/>
        </w:rPr>
        <w:tab/>
      </w:r>
      <w:r w:rsidRPr="000F5681">
        <w:rPr>
          <w:rFonts w:ascii="Arial" w:hAnsi="Arial" w:cs="Arial"/>
          <w:b/>
          <w:sz w:val="20"/>
          <w:szCs w:val="20"/>
          <w:lang w:val="es-419"/>
        </w:rPr>
        <w:t xml:space="preserve">DESISTIMIENTO TÁCITO </w:t>
      </w:r>
      <w:r w:rsidR="006B3B23">
        <w:rPr>
          <w:rFonts w:ascii="Arial" w:hAnsi="Arial" w:cs="Arial"/>
          <w:b/>
          <w:sz w:val="20"/>
          <w:szCs w:val="20"/>
          <w:lang w:val="es-419"/>
        </w:rPr>
        <w:t>/ FORMA ANORMAL DE TERMINACIÓN DEL PROCESO / ANÁLISIS LEGAL Y JURISPRUDENCIAL DE LA FIGURA / APLICA AÚN EN PROCESOS CON SENTENCIA, ANIQUILÁNDOLA / EL TÉRMINO ES OBJETIVO / CARGA PROCESAL DE LAS PARTES.</w:t>
      </w:r>
    </w:p>
    <w:p w14:paraId="7837FE56" w14:textId="77777777" w:rsidR="000F5681" w:rsidRPr="000F5681" w:rsidRDefault="000F5681" w:rsidP="000F5681">
      <w:pPr>
        <w:jc w:val="both"/>
        <w:rPr>
          <w:rFonts w:ascii="Arial" w:hAnsi="Arial" w:cs="Arial"/>
          <w:sz w:val="20"/>
          <w:szCs w:val="20"/>
          <w:lang w:val="es-419"/>
        </w:rPr>
      </w:pPr>
    </w:p>
    <w:p w14:paraId="10105F1C" w14:textId="566E99BF" w:rsidR="00AF1E58" w:rsidRPr="00AF1E58" w:rsidRDefault="00AF1E58" w:rsidP="00AF1E58">
      <w:pPr>
        <w:jc w:val="both"/>
        <w:rPr>
          <w:rFonts w:ascii="Arial" w:hAnsi="Arial" w:cs="Arial"/>
          <w:sz w:val="20"/>
          <w:szCs w:val="20"/>
          <w:lang w:val="es-419"/>
        </w:rPr>
      </w:pPr>
      <w:r w:rsidRPr="00AF1E58">
        <w:rPr>
          <w:rFonts w:ascii="Arial" w:hAnsi="Arial" w:cs="Arial"/>
          <w:sz w:val="20"/>
          <w:szCs w:val="20"/>
          <w:lang w:val="es-419"/>
        </w:rPr>
        <w:t>EL DESISTIMIENTO TÁCITO EN EL CGP</w:t>
      </w:r>
      <w:r>
        <w:rPr>
          <w:rFonts w:ascii="Arial" w:hAnsi="Arial" w:cs="Arial"/>
          <w:sz w:val="20"/>
          <w:szCs w:val="20"/>
          <w:lang w:val="es-419"/>
        </w:rPr>
        <w:t xml:space="preserve">.  </w:t>
      </w:r>
      <w:r w:rsidRPr="00AF1E58">
        <w:rPr>
          <w:rFonts w:ascii="Arial" w:hAnsi="Arial" w:cs="Arial"/>
          <w:sz w:val="20"/>
          <w:szCs w:val="20"/>
          <w:lang w:val="es-419"/>
        </w:rPr>
        <w:t>La figura se incorporó a nuestro sistema procesal a partir de la Ley 1194</w:t>
      </w:r>
      <w:r>
        <w:rPr>
          <w:rFonts w:ascii="Arial" w:hAnsi="Arial" w:cs="Arial"/>
          <w:sz w:val="20"/>
          <w:szCs w:val="20"/>
          <w:lang w:val="es-419"/>
        </w:rPr>
        <w:t>…</w:t>
      </w:r>
      <w:r w:rsidRPr="00AF1E58">
        <w:rPr>
          <w:rFonts w:ascii="Arial" w:hAnsi="Arial" w:cs="Arial"/>
          <w:sz w:val="20"/>
          <w:szCs w:val="20"/>
          <w:lang w:val="es-419"/>
        </w:rPr>
        <w:t>, como una forma más, de terminación anormal de los procesos, opera de oficio o a petición de parte.</w:t>
      </w:r>
    </w:p>
    <w:p w14:paraId="5F1D67D2" w14:textId="77777777" w:rsidR="00AF1E58" w:rsidRPr="00AF1E58" w:rsidRDefault="00AF1E58" w:rsidP="00AF1E58">
      <w:pPr>
        <w:jc w:val="both"/>
        <w:rPr>
          <w:rFonts w:ascii="Arial" w:hAnsi="Arial" w:cs="Arial"/>
          <w:sz w:val="20"/>
          <w:szCs w:val="20"/>
          <w:lang w:val="es-419"/>
        </w:rPr>
      </w:pPr>
    </w:p>
    <w:p w14:paraId="0624DB67" w14:textId="6C0D2407" w:rsidR="00AF1E58" w:rsidRPr="00AF1E58" w:rsidRDefault="00AF1E58" w:rsidP="00AF1E58">
      <w:pPr>
        <w:jc w:val="both"/>
        <w:rPr>
          <w:rFonts w:ascii="Arial" w:hAnsi="Arial" w:cs="Arial"/>
          <w:sz w:val="20"/>
          <w:szCs w:val="20"/>
          <w:lang w:val="es-419"/>
        </w:rPr>
      </w:pPr>
      <w:r w:rsidRPr="00AF1E58">
        <w:rPr>
          <w:rFonts w:ascii="Arial" w:hAnsi="Arial" w:cs="Arial"/>
          <w:sz w:val="20"/>
          <w:szCs w:val="20"/>
          <w:lang w:val="es-419"/>
        </w:rPr>
        <w:t>En su momento, la CC (2008) al ocuparse de su inconstitucionalidad, razonó:</w:t>
      </w:r>
    </w:p>
    <w:p w14:paraId="4F01B869" w14:textId="77777777" w:rsidR="00AF1E58" w:rsidRPr="00AF1E58" w:rsidRDefault="00AF1E58" w:rsidP="00AF1E58">
      <w:pPr>
        <w:jc w:val="both"/>
        <w:rPr>
          <w:rFonts w:ascii="Arial" w:hAnsi="Arial" w:cs="Arial"/>
          <w:sz w:val="20"/>
          <w:szCs w:val="20"/>
          <w:lang w:val="es-419"/>
        </w:rPr>
      </w:pPr>
    </w:p>
    <w:p w14:paraId="100C849D" w14:textId="63117C51" w:rsidR="00AF1E58" w:rsidRPr="000F5681" w:rsidRDefault="00AF1E58" w:rsidP="00AF1E58">
      <w:pPr>
        <w:jc w:val="both"/>
        <w:rPr>
          <w:rFonts w:ascii="Arial" w:hAnsi="Arial" w:cs="Arial"/>
          <w:sz w:val="20"/>
          <w:szCs w:val="20"/>
          <w:lang w:val="es-419"/>
        </w:rPr>
      </w:pPr>
      <w:r w:rsidRPr="00AF1E58">
        <w:rPr>
          <w:rFonts w:ascii="Arial" w:hAnsi="Arial" w:cs="Arial"/>
          <w:sz w:val="20"/>
          <w:szCs w:val="20"/>
          <w:lang w:val="es-419"/>
        </w:rPr>
        <w:t>“(…) es una forma anormal de terminación del proceso, que se sigue como consecuencia jurídica del incumplimiento de una carga procesal a cargo de la parte que promovió un trámite, y de la cual depende la continuación del proceso, pero no la cumple en un determinado lapso, con la cual se busca sancionar no sólo la desidia sino también el abuso de los derechos procesales (…)”.</w:t>
      </w:r>
    </w:p>
    <w:p w14:paraId="172532BD" w14:textId="68E5E8AB" w:rsidR="000F5681" w:rsidRPr="000F5681" w:rsidRDefault="000F5681" w:rsidP="00AF1E58">
      <w:pPr>
        <w:jc w:val="both"/>
        <w:rPr>
          <w:rFonts w:ascii="Arial" w:hAnsi="Arial" w:cs="Arial"/>
          <w:sz w:val="20"/>
          <w:szCs w:val="20"/>
          <w:lang w:val="es-419"/>
        </w:rPr>
      </w:pPr>
    </w:p>
    <w:p w14:paraId="2EA7BD93" w14:textId="298BE0C4" w:rsidR="00AF1E58" w:rsidRPr="00AF1E58" w:rsidRDefault="00AF1E58" w:rsidP="00AF1E58">
      <w:pPr>
        <w:jc w:val="both"/>
        <w:rPr>
          <w:rFonts w:ascii="Arial" w:hAnsi="Arial" w:cs="Arial"/>
          <w:sz w:val="20"/>
          <w:szCs w:val="20"/>
          <w:lang w:val="es-419"/>
        </w:rPr>
      </w:pPr>
      <w:r w:rsidRPr="00AF1E58">
        <w:rPr>
          <w:rFonts w:ascii="Arial" w:hAnsi="Arial" w:cs="Arial"/>
          <w:sz w:val="20"/>
          <w:szCs w:val="20"/>
          <w:lang w:val="es-419"/>
        </w:rPr>
        <w:t>Luego advino la Ley 1564, CGP, y en su artículo 317, consagró de nuevo la institución en comento, pero ahora con otras hipótesis normativas, se amplió su espectro de aplicación.</w:t>
      </w:r>
      <w:r>
        <w:rPr>
          <w:rFonts w:ascii="Arial" w:hAnsi="Arial" w:cs="Arial"/>
          <w:sz w:val="20"/>
          <w:szCs w:val="20"/>
          <w:lang w:val="es-419"/>
        </w:rPr>
        <w:t xml:space="preserve"> (…)</w:t>
      </w:r>
      <w:r w:rsidRPr="00AF1E58">
        <w:rPr>
          <w:rFonts w:ascii="Arial" w:hAnsi="Arial" w:cs="Arial"/>
          <w:sz w:val="20"/>
          <w:szCs w:val="20"/>
          <w:lang w:val="es-419"/>
        </w:rPr>
        <w:t xml:space="preserve"> </w:t>
      </w:r>
    </w:p>
    <w:p w14:paraId="742085AB" w14:textId="77777777" w:rsidR="00AF1E58" w:rsidRPr="00AF1E58" w:rsidRDefault="00AF1E58" w:rsidP="00AF1E58">
      <w:pPr>
        <w:jc w:val="both"/>
        <w:rPr>
          <w:rFonts w:ascii="Arial" w:hAnsi="Arial" w:cs="Arial"/>
          <w:sz w:val="20"/>
          <w:szCs w:val="20"/>
          <w:lang w:val="es-419"/>
        </w:rPr>
      </w:pPr>
    </w:p>
    <w:p w14:paraId="09183C21" w14:textId="4D3962F7" w:rsidR="000F5681" w:rsidRPr="000F5681" w:rsidRDefault="00AF1E58" w:rsidP="00AF1E58">
      <w:pPr>
        <w:jc w:val="both"/>
        <w:rPr>
          <w:rFonts w:ascii="Arial" w:hAnsi="Arial" w:cs="Arial"/>
          <w:sz w:val="20"/>
          <w:szCs w:val="20"/>
          <w:lang w:val="es-419"/>
        </w:rPr>
      </w:pPr>
      <w:r w:rsidRPr="00AF1E58">
        <w:rPr>
          <w:rFonts w:ascii="Arial" w:hAnsi="Arial" w:cs="Arial"/>
          <w:sz w:val="20"/>
          <w:szCs w:val="20"/>
          <w:lang w:val="es-419"/>
        </w:rPr>
        <w:t xml:space="preserve">Y la misma CC en su momento, precisó sobre el desistimiento tácito de la anterior normativa: “(…) no es una figura novedosa en tanto ocupa el lugar que antes ocupó la perención como una forma anormal de terminación del proceso, imponible cuando se acredita la inactividad de la parte a cuyas instancias se promovió un trámite o proceso, el cual se paralizó por su causa”. </w:t>
      </w:r>
      <w:r>
        <w:rPr>
          <w:rFonts w:ascii="Arial" w:hAnsi="Arial" w:cs="Arial"/>
          <w:sz w:val="20"/>
          <w:szCs w:val="20"/>
          <w:lang w:val="es-419"/>
        </w:rPr>
        <w:t>(…)</w:t>
      </w:r>
    </w:p>
    <w:p w14:paraId="01C76BB3" w14:textId="77777777" w:rsidR="000F5681" w:rsidRPr="000F5681" w:rsidRDefault="000F5681" w:rsidP="000F5681">
      <w:pPr>
        <w:jc w:val="both"/>
        <w:rPr>
          <w:rFonts w:ascii="Arial" w:hAnsi="Arial" w:cs="Arial"/>
          <w:sz w:val="20"/>
          <w:szCs w:val="20"/>
          <w:lang w:val="es-419"/>
        </w:rPr>
      </w:pPr>
    </w:p>
    <w:p w14:paraId="6DC8C0D8" w14:textId="77777777" w:rsidR="00AF1E58" w:rsidRPr="00AF1E58" w:rsidRDefault="00AF1E58" w:rsidP="00AF1E58">
      <w:pPr>
        <w:jc w:val="both"/>
        <w:rPr>
          <w:rFonts w:ascii="Arial" w:hAnsi="Arial" w:cs="Arial"/>
          <w:sz w:val="20"/>
          <w:szCs w:val="20"/>
          <w:lang w:val="es-419"/>
        </w:rPr>
      </w:pPr>
      <w:r w:rsidRPr="00AF1E58">
        <w:rPr>
          <w:rFonts w:ascii="Arial" w:hAnsi="Arial" w:cs="Arial"/>
          <w:sz w:val="20"/>
          <w:szCs w:val="20"/>
          <w:lang w:val="es-419"/>
        </w:rPr>
        <w:t>A ninguna duda se remite que las últimas reformas procesales, y en especial el CGP, anhelan que los litigios tengan un plazo razonable para su resolución (Art.121, CGP) en el marco del principio de celeridad, prescrito por el artículo 4º de la Ley Estatutaria de la Administración de Justicia, al que debe sumarse el derecho a la tutela judicial efectiva (Art.2º, CGP).</w:t>
      </w:r>
    </w:p>
    <w:p w14:paraId="499B2185" w14:textId="77777777" w:rsidR="00AF1E58" w:rsidRPr="00AF1E58" w:rsidRDefault="00AF1E58" w:rsidP="00AF1E58">
      <w:pPr>
        <w:jc w:val="both"/>
        <w:rPr>
          <w:rFonts w:ascii="Arial" w:hAnsi="Arial" w:cs="Arial"/>
          <w:sz w:val="20"/>
          <w:szCs w:val="20"/>
          <w:lang w:val="es-419"/>
        </w:rPr>
      </w:pPr>
    </w:p>
    <w:p w14:paraId="5A7B5DDC" w14:textId="71BB8FE4" w:rsidR="000F5681" w:rsidRPr="000F5681" w:rsidRDefault="00AF1E58" w:rsidP="00AF1E58">
      <w:pPr>
        <w:jc w:val="both"/>
        <w:rPr>
          <w:rFonts w:ascii="Arial" w:hAnsi="Arial" w:cs="Arial"/>
          <w:sz w:val="20"/>
          <w:szCs w:val="20"/>
          <w:lang w:val="es-419"/>
        </w:rPr>
      </w:pPr>
      <w:r w:rsidRPr="00AF1E58">
        <w:rPr>
          <w:rFonts w:ascii="Arial" w:hAnsi="Arial" w:cs="Arial"/>
          <w:sz w:val="20"/>
          <w:szCs w:val="20"/>
          <w:lang w:val="es-419"/>
        </w:rPr>
        <w:t>Ahora, muy importante en el condigno ejercicio hermenéutico, es considerar que como se está en presencia de sanciones, su aplicación ha de ser restringida, tal como dispone de antaño la Ley 153 de 1887</w:t>
      </w:r>
      <w:r>
        <w:rPr>
          <w:rFonts w:ascii="Arial" w:hAnsi="Arial" w:cs="Arial"/>
          <w:sz w:val="20"/>
          <w:szCs w:val="20"/>
          <w:lang w:val="es-419"/>
        </w:rPr>
        <w:t>…</w:t>
      </w:r>
    </w:p>
    <w:p w14:paraId="49CCA4BA" w14:textId="470F12A0" w:rsidR="000F5681" w:rsidRDefault="000F5681" w:rsidP="000F5681">
      <w:pPr>
        <w:jc w:val="both"/>
        <w:rPr>
          <w:rFonts w:ascii="Arial" w:hAnsi="Arial" w:cs="Arial"/>
          <w:sz w:val="20"/>
          <w:szCs w:val="20"/>
          <w:lang w:val="es-419"/>
        </w:rPr>
      </w:pPr>
    </w:p>
    <w:p w14:paraId="284A68D5" w14:textId="5F684158" w:rsidR="00AF1E58" w:rsidRDefault="00AF1E58" w:rsidP="000F5681">
      <w:pPr>
        <w:jc w:val="both"/>
        <w:rPr>
          <w:rFonts w:ascii="Arial" w:hAnsi="Arial" w:cs="Arial"/>
          <w:sz w:val="20"/>
          <w:szCs w:val="20"/>
          <w:lang w:val="es-419"/>
        </w:rPr>
      </w:pPr>
      <w:r w:rsidRPr="00AF1E58">
        <w:rPr>
          <w:rFonts w:ascii="Arial" w:hAnsi="Arial" w:cs="Arial"/>
          <w:sz w:val="20"/>
          <w:szCs w:val="20"/>
          <w:lang w:val="es-419"/>
        </w:rPr>
        <w:t>Respecto a la aplicación de esta forma de terminación anormal del proceso, cuando exista sentencia en el proceso, un sector de la doctrina procesalista repele la aniquilación del fallo, abogan para que se reduzca a la actuación posterior inconclusa; incluso el maestro López Blanco califica de inconstitucional semejante consecuencia sobre tal decisión; sin embargo, ya la CC se había mostrado partidaria de su aplicación</w:t>
      </w:r>
      <w:r>
        <w:rPr>
          <w:rFonts w:ascii="Arial" w:hAnsi="Arial" w:cs="Arial"/>
          <w:sz w:val="20"/>
          <w:szCs w:val="20"/>
          <w:lang w:val="es-419"/>
        </w:rPr>
        <w:t>…</w:t>
      </w:r>
    </w:p>
    <w:p w14:paraId="457A752B" w14:textId="77777777" w:rsidR="00AF1E58" w:rsidRPr="000F5681" w:rsidRDefault="00AF1E58" w:rsidP="000F5681">
      <w:pPr>
        <w:jc w:val="both"/>
        <w:rPr>
          <w:rFonts w:ascii="Arial" w:hAnsi="Arial" w:cs="Arial"/>
          <w:sz w:val="20"/>
          <w:szCs w:val="20"/>
          <w:lang w:val="es-419"/>
        </w:rPr>
      </w:pPr>
    </w:p>
    <w:p w14:paraId="4AD86250" w14:textId="5FFF7905" w:rsidR="000F5681" w:rsidRDefault="006B3B23" w:rsidP="000F5681">
      <w:pPr>
        <w:jc w:val="both"/>
        <w:rPr>
          <w:rFonts w:ascii="Arial" w:hAnsi="Arial" w:cs="Arial"/>
          <w:sz w:val="20"/>
          <w:szCs w:val="20"/>
        </w:rPr>
      </w:pPr>
      <w:r w:rsidRPr="006B3B23">
        <w:rPr>
          <w:rFonts w:ascii="Arial" w:hAnsi="Arial" w:cs="Arial"/>
          <w:sz w:val="20"/>
          <w:szCs w:val="20"/>
        </w:rPr>
        <w:t>Asimismo, respecto de  la  interrupción,  refiere  el  literal  c)  que: “Cualquier actuación, de oficio o a petición de parte, de cualquier naturaleza, interrumpirá los términos previstos en este artículo”; ahora, aun cuando se emplee la expresión “actuación”, debe tenerse en cuenta que no se está significando que deba mediar una providencia, sino que es idónea cualquier solicitud, por lo tanto, deviene inútil calificarla de apta para impulsar o no el proceso</w:t>
      </w:r>
      <w:r>
        <w:rPr>
          <w:rFonts w:ascii="Arial" w:hAnsi="Arial" w:cs="Arial"/>
          <w:sz w:val="20"/>
          <w:szCs w:val="20"/>
        </w:rPr>
        <w:t>…</w:t>
      </w:r>
    </w:p>
    <w:p w14:paraId="66D298D8" w14:textId="77777777" w:rsidR="006B3B23" w:rsidRPr="000F5681" w:rsidRDefault="006B3B23" w:rsidP="000F5681">
      <w:pPr>
        <w:jc w:val="both"/>
        <w:rPr>
          <w:rFonts w:ascii="Arial" w:hAnsi="Arial" w:cs="Arial"/>
          <w:sz w:val="20"/>
          <w:szCs w:val="20"/>
        </w:rPr>
      </w:pPr>
    </w:p>
    <w:p w14:paraId="6A4082BB" w14:textId="4C79D9BB" w:rsidR="000F5681" w:rsidRDefault="006B3B23" w:rsidP="000F5681">
      <w:pPr>
        <w:jc w:val="both"/>
        <w:rPr>
          <w:rFonts w:ascii="Arial" w:hAnsi="Arial" w:cs="Arial"/>
          <w:sz w:val="20"/>
          <w:szCs w:val="20"/>
        </w:rPr>
      </w:pPr>
      <w:r w:rsidRPr="006B3B23">
        <w:rPr>
          <w:rFonts w:ascii="Arial" w:hAnsi="Arial" w:cs="Arial"/>
          <w:sz w:val="20"/>
          <w:szCs w:val="20"/>
        </w:rPr>
        <w:t>Las subreglas en comento, aplican para las tres (3) modalidades estatuidas, tal y como manda la misma preceptiva; la primera hipótesis amerita requerimiento previo, mientras que para las dos (2) restantes (317-2º y 317-2º-b), solo basta el paso del tiempo, un (1) año cuando no haya sentencia y dos (2) años, cuando la hubiere.  Dicho más llanamente: el plazo es objetivo.</w:t>
      </w:r>
      <w:r>
        <w:rPr>
          <w:rFonts w:ascii="Arial" w:hAnsi="Arial" w:cs="Arial"/>
          <w:sz w:val="20"/>
          <w:szCs w:val="20"/>
        </w:rPr>
        <w:t xml:space="preserve"> (…)</w:t>
      </w:r>
    </w:p>
    <w:p w14:paraId="2A998BA9" w14:textId="5F8F96BA" w:rsidR="006B3B23" w:rsidRDefault="006B3B23" w:rsidP="000F5681">
      <w:pPr>
        <w:jc w:val="both"/>
        <w:rPr>
          <w:rFonts w:ascii="Arial" w:hAnsi="Arial" w:cs="Arial"/>
          <w:sz w:val="20"/>
          <w:szCs w:val="20"/>
        </w:rPr>
      </w:pPr>
    </w:p>
    <w:p w14:paraId="22965096" w14:textId="13C3E892" w:rsidR="006B3B23" w:rsidRPr="000F5681" w:rsidRDefault="006B3B23" w:rsidP="000F5681">
      <w:pPr>
        <w:jc w:val="both"/>
        <w:rPr>
          <w:rFonts w:ascii="Arial" w:hAnsi="Arial" w:cs="Arial"/>
          <w:sz w:val="20"/>
          <w:szCs w:val="20"/>
        </w:rPr>
      </w:pPr>
      <w:r w:rsidRPr="006B3B23">
        <w:rPr>
          <w:rFonts w:ascii="Arial" w:hAnsi="Arial" w:cs="Arial"/>
          <w:sz w:val="20"/>
          <w:szCs w:val="20"/>
        </w:rPr>
        <w:t>Lo esgrimido en el auto recurrido, ilustró con precisión las posibilidades que tenía la parte para “activar” el proceso: “(…) las partes pueden a través de cualquier escrito, inclusive uno que no le dé impulso al trámite, interrumpir el lapso que trascurre en su contra por inactividad procesal, de ello no se ha valido el recurrente, no obstante que el término es vasto y bien ha podido hacer uso de las facultades otorgadas en el art.466-2 del CGP (…)”</w:t>
      </w:r>
    </w:p>
    <w:p w14:paraId="597671F7" w14:textId="2FFF03E6" w:rsidR="006B3B23" w:rsidRDefault="006B3B23" w:rsidP="000F5681">
      <w:pPr>
        <w:jc w:val="both"/>
        <w:rPr>
          <w:rFonts w:ascii="Arial" w:hAnsi="Arial" w:cs="Arial"/>
          <w:sz w:val="20"/>
          <w:szCs w:val="20"/>
        </w:rPr>
      </w:pPr>
    </w:p>
    <w:p w14:paraId="654548FF" w14:textId="55B8173E" w:rsidR="006B3B23" w:rsidRDefault="006B3B23" w:rsidP="000F5681">
      <w:pPr>
        <w:jc w:val="both"/>
        <w:rPr>
          <w:rFonts w:ascii="Arial" w:hAnsi="Arial" w:cs="Arial"/>
          <w:sz w:val="20"/>
          <w:szCs w:val="20"/>
        </w:rPr>
      </w:pPr>
    </w:p>
    <w:p w14:paraId="12607FF7" w14:textId="77777777" w:rsidR="00096894" w:rsidRPr="000F5681" w:rsidRDefault="00096894" w:rsidP="000F5681">
      <w:pPr>
        <w:jc w:val="both"/>
        <w:rPr>
          <w:rFonts w:ascii="Arial" w:hAnsi="Arial" w:cs="Arial"/>
          <w:sz w:val="20"/>
          <w:szCs w:val="20"/>
        </w:rPr>
      </w:pPr>
    </w:p>
    <w:p w14:paraId="77027DE0" w14:textId="77777777" w:rsidR="00FE5476" w:rsidRPr="0078538E" w:rsidRDefault="00FE5476" w:rsidP="0078538E">
      <w:pPr>
        <w:pStyle w:val="Sinespaciado"/>
      </w:pPr>
    </w:p>
    <w:p w14:paraId="35A3DF28" w14:textId="77777777" w:rsidR="0072378B" w:rsidRDefault="00CA3DCD" w:rsidP="0072378B">
      <w:pPr>
        <w:pStyle w:val="Ttulo"/>
        <w:rPr>
          <w:rFonts w:ascii="Georgia" w:hAnsi="Georgia"/>
          <w:noProof/>
        </w:rPr>
      </w:pPr>
      <w:r>
        <w:rPr>
          <w:noProof/>
        </w:rPr>
        <w:drawing>
          <wp:anchor distT="0" distB="0" distL="114300" distR="114300" simplePos="0" relativeHeight="251663360" behindDoc="0" locked="0" layoutInCell="1" allowOverlap="1" wp14:anchorId="6484CE49" wp14:editId="55EAA8C0">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4C0D8" w14:textId="77777777" w:rsidR="0072378B" w:rsidRDefault="0072378B" w:rsidP="0072378B">
      <w:pPr>
        <w:pStyle w:val="Sinespaciado"/>
        <w:spacing w:line="360" w:lineRule="auto"/>
        <w:jc w:val="center"/>
        <w:rPr>
          <w:rFonts w:ascii="Georgia" w:hAnsi="Georgia" w:cs="Arial"/>
          <w:w w:val="140"/>
          <w:sz w:val="14"/>
        </w:rPr>
      </w:pPr>
    </w:p>
    <w:p w14:paraId="78425739" w14:textId="77777777" w:rsidR="000F5681" w:rsidRPr="008D0A29" w:rsidRDefault="000F5681" w:rsidP="000F5681">
      <w:pPr>
        <w:tabs>
          <w:tab w:val="left" w:pos="3579"/>
        </w:tabs>
        <w:spacing w:line="360" w:lineRule="auto"/>
        <w:jc w:val="center"/>
        <w:rPr>
          <w:rFonts w:ascii="Georgia" w:hAnsi="Georgia" w:cs="Arial"/>
          <w:w w:val="140"/>
          <w:sz w:val="18"/>
          <w:szCs w:val="18"/>
          <w:lang w:val="es-CO"/>
        </w:rPr>
      </w:pPr>
      <w:r w:rsidRPr="008D0A29">
        <w:rPr>
          <w:rFonts w:ascii="Georgia" w:hAnsi="Georgia" w:cs="Arial"/>
          <w:w w:val="140"/>
          <w:sz w:val="18"/>
          <w:szCs w:val="18"/>
          <w:lang w:val="es-CO"/>
        </w:rPr>
        <w:t>REPUBLICA DE COLOMBIA</w:t>
      </w:r>
    </w:p>
    <w:p w14:paraId="24190F35" w14:textId="77777777" w:rsidR="000F5681" w:rsidRPr="008D0A29" w:rsidRDefault="000F5681" w:rsidP="000F5681">
      <w:pPr>
        <w:tabs>
          <w:tab w:val="center" w:pos="4987"/>
          <w:tab w:val="left" w:pos="8449"/>
        </w:tabs>
        <w:spacing w:line="360" w:lineRule="auto"/>
        <w:jc w:val="center"/>
        <w:rPr>
          <w:rFonts w:ascii="Georgia" w:hAnsi="Georgia" w:cs="Arial"/>
          <w:w w:val="140"/>
          <w:sz w:val="18"/>
          <w:szCs w:val="18"/>
          <w:lang w:val="es-CO"/>
        </w:rPr>
      </w:pPr>
      <w:r w:rsidRPr="008D0A29">
        <w:rPr>
          <w:rFonts w:ascii="Georgia" w:hAnsi="Georgia" w:cs="Arial"/>
          <w:w w:val="140"/>
          <w:sz w:val="18"/>
          <w:szCs w:val="18"/>
          <w:lang w:val="es-CO"/>
        </w:rPr>
        <w:t>RAMA JUDICIAL DEL PODER PÚBLICO</w:t>
      </w:r>
    </w:p>
    <w:p w14:paraId="70693480" w14:textId="77777777" w:rsidR="000F5681" w:rsidRPr="008D0A29" w:rsidRDefault="000F5681" w:rsidP="000F5681">
      <w:pPr>
        <w:spacing w:line="360" w:lineRule="auto"/>
        <w:jc w:val="center"/>
        <w:rPr>
          <w:rFonts w:ascii="Georgia" w:hAnsi="Georgia" w:cs="Arial"/>
          <w:b/>
          <w:bCs/>
          <w:w w:val="140"/>
          <w:sz w:val="18"/>
          <w:szCs w:val="18"/>
          <w:lang w:val="es-CO"/>
        </w:rPr>
      </w:pPr>
      <w:r w:rsidRPr="008D0A29">
        <w:rPr>
          <w:rFonts w:ascii="Georgia" w:hAnsi="Georgia" w:cs="Arial"/>
          <w:b/>
          <w:bCs/>
          <w:w w:val="140"/>
          <w:sz w:val="18"/>
          <w:szCs w:val="18"/>
          <w:lang w:val="es-CO"/>
        </w:rPr>
        <w:t>TRIBUNAL SUPERIOR DEL DISTRITO JUDICIAL</w:t>
      </w:r>
    </w:p>
    <w:p w14:paraId="0F1000F3" w14:textId="77777777" w:rsidR="000F5681" w:rsidRPr="008D0A29" w:rsidRDefault="000F5681" w:rsidP="000F5681">
      <w:pPr>
        <w:spacing w:line="360" w:lineRule="auto"/>
        <w:jc w:val="center"/>
        <w:rPr>
          <w:rFonts w:ascii="Georgia" w:hAnsi="Georgia" w:cs="Arial"/>
          <w:w w:val="140"/>
          <w:sz w:val="18"/>
          <w:szCs w:val="18"/>
          <w:lang w:val="es-CO"/>
        </w:rPr>
      </w:pPr>
      <w:r w:rsidRPr="008D0A29">
        <w:rPr>
          <w:rFonts w:ascii="Georgia" w:hAnsi="Georgia" w:cs="Arial"/>
          <w:w w:val="140"/>
          <w:sz w:val="18"/>
          <w:szCs w:val="18"/>
          <w:lang w:val="es-CO"/>
        </w:rPr>
        <w:t>SALA DE DECISIÓN CIVIL – FAMILIA – DISTRITO DE PEREIRA</w:t>
      </w:r>
    </w:p>
    <w:p w14:paraId="740113DC" w14:textId="77777777" w:rsidR="000F5681" w:rsidRPr="008D0A29" w:rsidRDefault="000F5681" w:rsidP="000F5681">
      <w:pPr>
        <w:spacing w:line="360" w:lineRule="auto"/>
        <w:jc w:val="center"/>
        <w:rPr>
          <w:rFonts w:ascii="Georgia" w:hAnsi="Georgia" w:cs="Arial"/>
          <w:w w:val="140"/>
          <w:sz w:val="18"/>
          <w:szCs w:val="18"/>
          <w:lang w:val="es-CO"/>
        </w:rPr>
      </w:pPr>
      <w:r w:rsidRPr="008D0A29">
        <w:rPr>
          <w:rFonts w:ascii="Georgia" w:hAnsi="Georgia" w:cs="Arial"/>
          <w:w w:val="140"/>
          <w:sz w:val="18"/>
          <w:szCs w:val="18"/>
          <w:lang w:val="es-CO"/>
        </w:rPr>
        <w:t>DEPARTAMENTO DEL RISARALDA</w:t>
      </w:r>
    </w:p>
    <w:p w14:paraId="6863D7DB" w14:textId="77777777" w:rsidR="000F5681" w:rsidRPr="00765DEE" w:rsidRDefault="000F5681" w:rsidP="000F5681">
      <w:pPr>
        <w:pBdr>
          <w:bottom w:val="double" w:sz="6" w:space="1" w:color="auto"/>
        </w:pBdr>
        <w:spacing w:line="276" w:lineRule="auto"/>
        <w:rPr>
          <w:rFonts w:ascii="Georgia" w:hAnsi="Georgia"/>
          <w:spacing w:val="20"/>
          <w:w w:val="150"/>
          <w:sz w:val="26"/>
          <w:szCs w:val="26"/>
        </w:rPr>
      </w:pPr>
    </w:p>
    <w:p w14:paraId="6B61273A" w14:textId="53A7E123" w:rsidR="00DA52A9" w:rsidRDefault="00DA52A9" w:rsidP="000F5681">
      <w:pPr>
        <w:pStyle w:val="Ttulo"/>
        <w:spacing w:line="276" w:lineRule="auto"/>
        <w:rPr>
          <w:rFonts w:ascii="Georgia" w:hAnsi="Georgia"/>
          <w:b w:val="0"/>
          <w:bCs w:val="0"/>
          <w:i w:val="0"/>
          <w:iCs w:val="0"/>
          <w:spacing w:val="-3"/>
          <w:sz w:val="26"/>
          <w:szCs w:val="26"/>
        </w:rPr>
      </w:pPr>
    </w:p>
    <w:p w14:paraId="5BBF763B" w14:textId="6691280E" w:rsidR="001E1EF8" w:rsidRPr="001E1EF8" w:rsidRDefault="001E1EF8" w:rsidP="001E1EF8">
      <w:pPr>
        <w:spacing w:line="276" w:lineRule="auto"/>
        <w:jc w:val="center"/>
        <w:rPr>
          <w:rFonts w:ascii="Georgia" w:hAnsi="Georgia" w:cs="Arial"/>
          <w:b/>
          <w:bCs/>
        </w:rPr>
      </w:pPr>
      <w:r w:rsidRPr="001E1EF8">
        <w:rPr>
          <w:rFonts w:ascii="Georgia" w:hAnsi="Georgia" w:cs="Arial"/>
          <w:b/>
          <w:bCs/>
        </w:rPr>
        <w:t>AC-0006-2021</w:t>
      </w:r>
    </w:p>
    <w:p w14:paraId="6A74ECC8" w14:textId="77777777" w:rsidR="001E1EF8" w:rsidRPr="001E1EF8" w:rsidRDefault="001E1EF8" w:rsidP="001E1EF8">
      <w:pPr>
        <w:pStyle w:val="Ttulo"/>
        <w:spacing w:line="276" w:lineRule="auto"/>
        <w:rPr>
          <w:rFonts w:ascii="Georgia" w:hAnsi="Georgia"/>
          <w:bCs w:val="0"/>
          <w:i w:val="0"/>
          <w:iCs w:val="0"/>
          <w:spacing w:val="-3"/>
          <w:sz w:val="26"/>
          <w:szCs w:val="26"/>
        </w:rPr>
      </w:pPr>
    </w:p>
    <w:p w14:paraId="092AC02E" w14:textId="403E9C1C" w:rsidR="00AC5058" w:rsidRPr="000F5681" w:rsidRDefault="0078538E" w:rsidP="000F5681">
      <w:pPr>
        <w:widowControl w:val="0"/>
        <w:overflowPunct w:val="0"/>
        <w:autoSpaceDE w:val="0"/>
        <w:autoSpaceDN w:val="0"/>
        <w:adjustRightInd w:val="0"/>
        <w:spacing w:line="276" w:lineRule="auto"/>
        <w:jc w:val="center"/>
        <w:rPr>
          <w:rFonts w:ascii="Georgia" w:hAnsi="Georgia" w:cs="Arial"/>
          <w:smallCaps/>
          <w:kern w:val="28"/>
          <w:sz w:val="26"/>
          <w:szCs w:val="26"/>
        </w:rPr>
      </w:pPr>
      <w:r w:rsidRPr="000F5681">
        <w:rPr>
          <w:rFonts w:ascii="Georgia" w:hAnsi="Georgia" w:cs="Arial"/>
          <w:smallCaps/>
          <w:kern w:val="28"/>
          <w:sz w:val="26"/>
          <w:szCs w:val="26"/>
        </w:rPr>
        <w:t>Nueve</w:t>
      </w:r>
      <w:r w:rsidR="00510764" w:rsidRPr="000F5681">
        <w:rPr>
          <w:rFonts w:ascii="Georgia" w:hAnsi="Georgia" w:cs="Arial"/>
          <w:smallCaps/>
          <w:kern w:val="28"/>
          <w:sz w:val="26"/>
          <w:szCs w:val="26"/>
        </w:rPr>
        <w:t xml:space="preserve"> </w:t>
      </w:r>
      <w:r w:rsidR="005C5B79" w:rsidRPr="000F5681">
        <w:rPr>
          <w:rFonts w:ascii="Georgia" w:hAnsi="Georgia" w:cs="Arial"/>
          <w:smallCaps/>
          <w:kern w:val="28"/>
          <w:sz w:val="26"/>
          <w:szCs w:val="26"/>
        </w:rPr>
        <w:t>(</w:t>
      </w:r>
      <w:r w:rsidRPr="000F5681">
        <w:rPr>
          <w:rFonts w:ascii="Georgia" w:hAnsi="Georgia" w:cs="Arial"/>
          <w:smallCaps/>
          <w:kern w:val="28"/>
          <w:sz w:val="26"/>
          <w:szCs w:val="26"/>
        </w:rPr>
        <w:t>9</w:t>
      </w:r>
      <w:r w:rsidR="005C5B79" w:rsidRPr="000F5681">
        <w:rPr>
          <w:rFonts w:ascii="Georgia" w:hAnsi="Georgia" w:cs="Arial"/>
          <w:smallCaps/>
          <w:kern w:val="28"/>
          <w:sz w:val="26"/>
          <w:szCs w:val="26"/>
        </w:rPr>
        <w:t>)</w:t>
      </w:r>
      <w:r w:rsidR="00AC5058" w:rsidRPr="000F5681">
        <w:rPr>
          <w:rFonts w:ascii="Georgia" w:hAnsi="Georgia" w:cs="Arial"/>
          <w:smallCaps/>
          <w:kern w:val="28"/>
          <w:sz w:val="26"/>
          <w:szCs w:val="26"/>
        </w:rPr>
        <w:t xml:space="preserve"> de </w:t>
      </w:r>
      <w:r w:rsidR="0072378B" w:rsidRPr="000F5681">
        <w:rPr>
          <w:rFonts w:ascii="Georgia" w:hAnsi="Georgia" w:cs="Arial"/>
          <w:smallCaps/>
          <w:kern w:val="28"/>
          <w:sz w:val="26"/>
          <w:szCs w:val="26"/>
        </w:rPr>
        <w:t>febrero</w:t>
      </w:r>
      <w:r w:rsidR="00510764" w:rsidRPr="000F5681">
        <w:rPr>
          <w:rFonts w:ascii="Georgia" w:hAnsi="Georgia" w:cs="Arial"/>
          <w:smallCaps/>
          <w:kern w:val="28"/>
          <w:sz w:val="26"/>
          <w:szCs w:val="26"/>
        </w:rPr>
        <w:t xml:space="preserve"> </w:t>
      </w:r>
      <w:r w:rsidR="00AC5058" w:rsidRPr="000F5681">
        <w:rPr>
          <w:rFonts w:ascii="Georgia" w:hAnsi="Georgia" w:cs="Arial"/>
          <w:smallCaps/>
          <w:kern w:val="28"/>
          <w:sz w:val="26"/>
          <w:szCs w:val="26"/>
        </w:rPr>
        <w:t xml:space="preserve">de dos mil </w:t>
      </w:r>
      <w:r w:rsidR="0072378B" w:rsidRPr="000F5681">
        <w:rPr>
          <w:rFonts w:ascii="Georgia" w:hAnsi="Georgia" w:cs="Arial"/>
          <w:smallCaps/>
          <w:kern w:val="28"/>
          <w:sz w:val="26"/>
          <w:szCs w:val="26"/>
        </w:rPr>
        <w:t xml:space="preserve">veintiuno </w:t>
      </w:r>
      <w:r w:rsidR="00DA56B3" w:rsidRPr="000F5681">
        <w:rPr>
          <w:rFonts w:ascii="Georgia" w:hAnsi="Georgia" w:cs="Arial"/>
          <w:smallCaps/>
          <w:kern w:val="28"/>
          <w:sz w:val="26"/>
          <w:szCs w:val="26"/>
        </w:rPr>
        <w:t>(</w:t>
      </w:r>
      <w:r w:rsidR="0072378B" w:rsidRPr="000F5681">
        <w:rPr>
          <w:rFonts w:ascii="Georgia" w:hAnsi="Georgia" w:cs="Arial"/>
          <w:smallCaps/>
          <w:kern w:val="28"/>
          <w:sz w:val="26"/>
          <w:szCs w:val="26"/>
        </w:rPr>
        <w:t>2021</w:t>
      </w:r>
      <w:r w:rsidR="00AC5058" w:rsidRPr="000F5681">
        <w:rPr>
          <w:rFonts w:ascii="Georgia" w:hAnsi="Georgia" w:cs="Arial"/>
          <w:smallCaps/>
          <w:kern w:val="28"/>
          <w:sz w:val="26"/>
          <w:szCs w:val="26"/>
        </w:rPr>
        <w:t>).</w:t>
      </w:r>
    </w:p>
    <w:p w14:paraId="24D3E8B3" w14:textId="2CE5E358" w:rsidR="11721A1B" w:rsidRPr="000F5681" w:rsidRDefault="11721A1B" w:rsidP="000F5681">
      <w:pPr>
        <w:pStyle w:val="Sinespaciado"/>
        <w:spacing w:line="276" w:lineRule="auto"/>
        <w:rPr>
          <w:rFonts w:ascii="Georgia" w:hAnsi="Georgia" w:cs="Arial"/>
          <w:sz w:val="26"/>
          <w:szCs w:val="26"/>
        </w:rPr>
      </w:pPr>
    </w:p>
    <w:p w14:paraId="5A3010D6" w14:textId="77777777" w:rsidR="00356104" w:rsidRPr="000F5681" w:rsidRDefault="00046468" w:rsidP="000F5681">
      <w:pPr>
        <w:pStyle w:val="Sinespaciado"/>
        <w:numPr>
          <w:ilvl w:val="0"/>
          <w:numId w:val="6"/>
        </w:numPr>
        <w:spacing w:line="276" w:lineRule="auto"/>
        <w:jc w:val="both"/>
        <w:rPr>
          <w:rFonts w:ascii="Georgia" w:hAnsi="Georgia" w:cs="Arial"/>
          <w:b/>
          <w:bCs/>
          <w:sz w:val="26"/>
          <w:szCs w:val="26"/>
        </w:rPr>
      </w:pPr>
      <w:r w:rsidRPr="000F5681">
        <w:rPr>
          <w:rFonts w:ascii="Georgia" w:hAnsi="Georgia" w:cs="Arial"/>
          <w:b/>
          <w:bCs/>
          <w:sz w:val="26"/>
          <w:szCs w:val="26"/>
        </w:rPr>
        <w:t>EL ASUNTO POR DECIDIR</w:t>
      </w:r>
    </w:p>
    <w:p w14:paraId="0102BCEF" w14:textId="77777777" w:rsidR="00356104" w:rsidRPr="000F5681" w:rsidRDefault="00356104" w:rsidP="000F5681">
      <w:pPr>
        <w:pStyle w:val="Sinespaciado"/>
        <w:spacing w:line="276" w:lineRule="auto"/>
        <w:jc w:val="both"/>
        <w:rPr>
          <w:rFonts w:ascii="Georgia" w:hAnsi="Georgia" w:cs="Arial"/>
          <w:sz w:val="26"/>
          <w:szCs w:val="26"/>
        </w:rPr>
      </w:pPr>
    </w:p>
    <w:p w14:paraId="6116D279" w14:textId="0A5F5455" w:rsidR="00356104" w:rsidRPr="000F5681" w:rsidRDefault="00BF496F" w:rsidP="000F5681">
      <w:pPr>
        <w:pStyle w:val="Sinespaciado"/>
        <w:spacing w:line="276" w:lineRule="auto"/>
        <w:jc w:val="both"/>
        <w:rPr>
          <w:rFonts w:ascii="Georgia" w:hAnsi="Georgia" w:cs="Arial"/>
          <w:sz w:val="26"/>
          <w:szCs w:val="26"/>
        </w:rPr>
      </w:pPr>
      <w:r w:rsidRPr="000F5681">
        <w:rPr>
          <w:rFonts w:ascii="Georgia" w:hAnsi="Georgia" w:cs="Arial"/>
          <w:sz w:val="26"/>
          <w:szCs w:val="26"/>
        </w:rPr>
        <w:t xml:space="preserve">La </w:t>
      </w:r>
      <w:r w:rsidR="00E713BA" w:rsidRPr="000F5681">
        <w:rPr>
          <w:rFonts w:ascii="Georgia" w:hAnsi="Georgia" w:cs="Arial"/>
          <w:sz w:val="26"/>
          <w:szCs w:val="26"/>
        </w:rPr>
        <w:t xml:space="preserve">alzada formulada por </w:t>
      </w:r>
      <w:r w:rsidRPr="000F5681">
        <w:rPr>
          <w:rFonts w:ascii="Georgia" w:hAnsi="Georgia" w:cs="Arial"/>
          <w:sz w:val="26"/>
          <w:szCs w:val="26"/>
        </w:rPr>
        <w:t xml:space="preserve">el </w:t>
      </w:r>
      <w:r w:rsidR="00E713BA" w:rsidRPr="000F5681">
        <w:rPr>
          <w:rFonts w:ascii="Georgia" w:hAnsi="Georgia" w:cs="Arial"/>
          <w:sz w:val="26"/>
          <w:szCs w:val="26"/>
        </w:rPr>
        <w:t xml:space="preserve">vocero </w:t>
      </w:r>
      <w:r w:rsidRPr="000F5681">
        <w:rPr>
          <w:rFonts w:ascii="Georgia" w:hAnsi="Georgia" w:cs="Arial"/>
          <w:sz w:val="26"/>
          <w:szCs w:val="26"/>
        </w:rPr>
        <w:t>judicial de</w:t>
      </w:r>
      <w:r w:rsidR="00FB14B3" w:rsidRPr="000F5681">
        <w:rPr>
          <w:rFonts w:ascii="Georgia" w:hAnsi="Georgia" w:cs="Arial"/>
          <w:sz w:val="26"/>
          <w:szCs w:val="26"/>
        </w:rPr>
        <w:t xml:space="preserve"> </w:t>
      </w:r>
      <w:r w:rsidR="004E704C" w:rsidRPr="000F5681">
        <w:rPr>
          <w:rFonts w:ascii="Georgia" w:hAnsi="Georgia" w:cs="Arial"/>
          <w:sz w:val="26"/>
          <w:szCs w:val="26"/>
        </w:rPr>
        <w:t>l</w:t>
      </w:r>
      <w:r w:rsidR="00FB14B3" w:rsidRPr="000F5681">
        <w:rPr>
          <w:rFonts w:ascii="Georgia" w:hAnsi="Georgia" w:cs="Arial"/>
          <w:sz w:val="26"/>
          <w:szCs w:val="26"/>
        </w:rPr>
        <w:t>a</w:t>
      </w:r>
      <w:r w:rsidR="004E704C" w:rsidRPr="000F5681">
        <w:rPr>
          <w:rFonts w:ascii="Georgia" w:hAnsi="Georgia" w:cs="Arial"/>
          <w:sz w:val="26"/>
          <w:szCs w:val="26"/>
        </w:rPr>
        <w:t xml:space="preserve"> </w:t>
      </w:r>
      <w:r w:rsidR="00FB14B3" w:rsidRPr="000F5681">
        <w:rPr>
          <w:rFonts w:ascii="Georgia" w:hAnsi="Georgia" w:cs="Arial"/>
          <w:sz w:val="26"/>
          <w:szCs w:val="26"/>
        </w:rPr>
        <w:t xml:space="preserve">parte </w:t>
      </w:r>
      <w:r w:rsidR="00510764" w:rsidRPr="000F5681">
        <w:rPr>
          <w:rFonts w:ascii="Georgia" w:hAnsi="Georgia" w:cs="Arial"/>
          <w:sz w:val="26"/>
          <w:szCs w:val="26"/>
        </w:rPr>
        <w:t>actora</w:t>
      </w:r>
      <w:r w:rsidR="00B21B22" w:rsidRPr="000F5681">
        <w:rPr>
          <w:rFonts w:ascii="Georgia" w:hAnsi="Georgia" w:cs="Arial"/>
          <w:sz w:val="26"/>
          <w:szCs w:val="26"/>
        </w:rPr>
        <w:t>,</w:t>
      </w:r>
      <w:r w:rsidR="008B706D" w:rsidRPr="000F5681">
        <w:rPr>
          <w:rFonts w:ascii="Georgia" w:hAnsi="Georgia" w:cs="Arial"/>
          <w:sz w:val="26"/>
          <w:szCs w:val="26"/>
        </w:rPr>
        <w:t xml:space="preserve"> </w:t>
      </w:r>
      <w:r w:rsidR="00356104" w:rsidRPr="000F5681">
        <w:rPr>
          <w:rFonts w:ascii="Georgia" w:hAnsi="Georgia" w:cs="Arial"/>
          <w:sz w:val="26"/>
          <w:szCs w:val="26"/>
        </w:rPr>
        <w:t xml:space="preserve">contra </w:t>
      </w:r>
      <w:r w:rsidR="00B21B22" w:rsidRPr="000F5681">
        <w:rPr>
          <w:rFonts w:ascii="Georgia" w:hAnsi="Georgia" w:cs="Arial"/>
          <w:sz w:val="26"/>
          <w:szCs w:val="26"/>
        </w:rPr>
        <w:t xml:space="preserve">el auto </w:t>
      </w:r>
      <w:r w:rsidR="002F5A53" w:rsidRPr="000F5681">
        <w:rPr>
          <w:rFonts w:ascii="Georgia" w:hAnsi="Georgia" w:cs="Arial"/>
          <w:sz w:val="26"/>
          <w:szCs w:val="26"/>
        </w:rPr>
        <w:t>que</w:t>
      </w:r>
      <w:r w:rsidR="007B4C24" w:rsidRPr="000F5681">
        <w:rPr>
          <w:rFonts w:ascii="Georgia" w:hAnsi="Georgia" w:cs="Arial"/>
          <w:sz w:val="26"/>
          <w:szCs w:val="26"/>
        </w:rPr>
        <w:t xml:space="preserve"> </w:t>
      </w:r>
      <w:r w:rsidR="00D91E99" w:rsidRPr="000F5681">
        <w:rPr>
          <w:rFonts w:ascii="Georgia" w:hAnsi="Georgia" w:cs="Arial"/>
          <w:sz w:val="26"/>
          <w:szCs w:val="26"/>
        </w:rPr>
        <w:t>terminó por desistimiento tácito el proceso</w:t>
      </w:r>
      <w:r w:rsidR="00143CA9" w:rsidRPr="000F5681">
        <w:rPr>
          <w:rFonts w:ascii="Georgia" w:hAnsi="Georgia" w:cs="Arial"/>
          <w:sz w:val="26"/>
          <w:szCs w:val="26"/>
        </w:rPr>
        <w:t xml:space="preserve"> (Recibido de reparto el 11-11-2020)</w:t>
      </w:r>
      <w:r w:rsidR="00E713BA" w:rsidRPr="000F5681">
        <w:rPr>
          <w:rFonts w:ascii="Georgia" w:hAnsi="Georgia" w:cs="Arial"/>
          <w:sz w:val="26"/>
          <w:szCs w:val="26"/>
        </w:rPr>
        <w:t>,</w:t>
      </w:r>
      <w:r w:rsidR="007B4C24" w:rsidRPr="000F5681">
        <w:rPr>
          <w:rFonts w:ascii="Georgia" w:hAnsi="Georgia" w:cs="Arial"/>
          <w:sz w:val="26"/>
          <w:szCs w:val="26"/>
        </w:rPr>
        <w:t xml:space="preserve"> </w:t>
      </w:r>
      <w:r w:rsidR="00D91E99" w:rsidRPr="000F5681">
        <w:rPr>
          <w:rFonts w:ascii="Georgia" w:hAnsi="Georgia" w:cs="Arial"/>
          <w:sz w:val="26"/>
          <w:szCs w:val="26"/>
        </w:rPr>
        <w:t xml:space="preserve">al tenor de </w:t>
      </w:r>
      <w:r w:rsidRPr="000F5681">
        <w:rPr>
          <w:rFonts w:ascii="Georgia" w:hAnsi="Georgia" w:cs="Arial"/>
          <w:sz w:val="26"/>
          <w:szCs w:val="26"/>
        </w:rPr>
        <w:t xml:space="preserve">las </w:t>
      </w:r>
      <w:r w:rsidR="00D91E99" w:rsidRPr="000F5681">
        <w:rPr>
          <w:rFonts w:ascii="Georgia" w:hAnsi="Georgia" w:cs="Arial"/>
          <w:sz w:val="26"/>
          <w:szCs w:val="26"/>
        </w:rPr>
        <w:t xml:space="preserve">apreciaciones </w:t>
      </w:r>
      <w:r w:rsidR="008B4305" w:rsidRPr="000F5681">
        <w:rPr>
          <w:rFonts w:ascii="Georgia" w:hAnsi="Georgia" w:cs="Arial"/>
          <w:sz w:val="26"/>
          <w:szCs w:val="26"/>
        </w:rPr>
        <w:t>jurídicas</w:t>
      </w:r>
      <w:r w:rsidR="00E713BA" w:rsidRPr="000F5681">
        <w:rPr>
          <w:rFonts w:ascii="Georgia" w:hAnsi="Georgia" w:cs="Arial"/>
          <w:sz w:val="26"/>
          <w:szCs w:val="26"/>
        </w:rPr>
        <w:t xml:space="preserve"> </w:t>
      </w:r>
      <w:r w:rsidR="00164065" w:rsidRPr="000F5681">
        <w:rPr>
          <w:rFonts w:ascii="Georgia" w:hAnsi="Georgia" w:cs="Arial"/>
          <w:sz w:val="26"/>
          <w:szCs w:val="26"/>
        </w:rPr>
        <w:t>siguientes</w:t>
      </w:r>
      <w:r w:rsidR="007751D3" w:rsidRPr="000F5681">
        <w:rPr>
          <w:rFonts w:ascii="Georgia" w:hAnsi="Georgia" w:cs="Arial"/>
          <w:sz w:val="26"/>
          <w:szCs w:val="26"/>
        </w:rPr>
        <w:t>.</w:t>
      </w:r>
    </w:p>
    <w:p w14:paraId="094F65B9" w14:textId="36238A45" w:rsidR="11721A1B" w:rsidRPr="000F5681" w:rsidRDefault="11721A1B" w:rsidP="000F5681">
      <w:pPr>
        <w:pStyle w:val="Sinespaciado"/>
        <w:spacing w:line="276" w:lineRule="auto"/>
        <w:jc w:val="both"/>
        <w:rPr>
          <w:rFonts w:ascii="Georgia" w:hAnsi="Georgia" w:cs="Arial"/>
          <w:sz w:val="26"/>
          <w:szCs w:val="26"/>
        </w:rPr>
      </w:pPr>
    </w:p>
    <w:p w14:paraId="3B2F5733" w14:textId="289C3F92" w:rsidR="00046468" w:rsidRPr="000F5681" w:rsidRDefault="63CBA0CA" w:rsidP="000F5681">
      <w:pPr>
        <w:pStyle w:val="Textoindependiente"/>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rPr>
          <w:rFonts w:ascii="Georgia" w:hAnsi="Georgia"/>
          <w:b/>
          <w:bCs/>
          <w:smallCaps/>
          <w:sz w:val="26"/>
          <w:szCs w:val="26"/>
        </w:rPr>
      </w:pPr>
      <w:r w:rsidRPr="000F5681">
        <w:rPr>
          <w:rFonts w:ascii="Georgia" w:hAnsi="Georgia"/>
          <w:b/>
          <w:bCs/>
          <w:smallCaps/>
          <w:sz w:val="26"/>
          <w:szCs w:val="26"/>
        </w:rPr>
        <w:t xml:space="preserve">La providencia recurrida </w:t>
      </w:r>
    </w:p>
    <w:p w14:paraId="4DFADB99" w14:textId="77777777" w:rsidR="00356104" w:rsidRPr="000F5681" w:rsidRDefault="00356104" w:rsidP="000F5681">
      <w:pPr>
        <w:pStyle w:val="Sinespaciado"/>
        <w:spacing w:line="276" w:lineRule="auto"/>
        <w:jc w:val="both"/>
        <w:rPr>
          <w:rFonts w:ascii="Georgia" w:hAnsi="Georgia" w:cs="Arial"/>
          <w:sz w:val="26"/>
          <w:szCs w:val="26"/>
        </w:rPr>
      </w:pPr>
    </w:p>
    <w:p w14:paraId="2BC76BB4" w14:textId="67CFD34A" w:rsidR="003232DA" w:rsidRPr="000F5681" w:rsidRDefault="0072378B" w:rsidP="000F5681">
      <w:pPr>
        <w:spacing w:line="276" w:lineRule="auto"/>
        <w:jc w:val="both"/>
        <w:rPr>
          <w:rFonts w:ascii="Georgia" w:hAnsi="Georgia" w:cs="Arial"/>
          <w:sz w:val="26"/>
          <w:szCs w:val="26"/>
        </w:rPr>
      </w:pPr>
      <w:r w:rsidRPr="000F5681">
        <w:rPr>
          <w:rFonts w:ascii="Georgia" w:hAnsi="Georgia" w:cs="Arial"/>
          <w:sz w:val="26"/>
          <w:szCs w:val="26"/>
        </w:rPr>
        <w:t>Con auto del</w:t>
      </w:r>
      <w:r w:rsidR="007B4C24" w:rsidRPr="000F5681">
        <w:rPr>
          <w:rFonts w:ascii="Georgia" w:hAnsi="Georgia" w:cs="Arial"/>
          <w:sz w:val="26"/>
          <w:szCs w:val="26"/>
        </w:rPr>
        <w:t xml:space="preserve"> </w:t>
      </w:r>
      <w:r w:rsidRPr="000F5681">
        <w:rPr>
          <w:rFonts w:ascii="Georgia" w:hAnsi="Georgia" w:cs="Arial"/>
          <w:sz w:val="26"/>
          <w:szCs w:val="26"/>
        </w:rPr>
        <w:t xml:space="preserve">11-02-2020 se </w:t>
      </w:r>
      <w:r w:rsidR="005139B5" w:rsidRPr="000F5681">
        <w:rPr>
          <w:rFonts w:ascii="Georgia" w:hAnsi="Georgia" w:cs="Arial"/>
          <w:sz w:val="26"/>
          <w:szCs w:val="26"/>
        </w:rPr>
        <w:t xml:space="preserve">declaró </w:t>
      </w:r>
      <w:r w:rsidR="008742DA" w:rsidRPr="000F5681">
        <w:rPr>
          <w:rFonts w:ascii="Georgia" w:hAnsi="Georgia" w:cs="Arial"/>
          <w:sz w:val="26"/>
          <w:szCs w:val="26"/>
        </w:rPr>
        <w:t>la terminación anormal</w:t>
      </w:r>
      <w:r w:rsidR="005139B5" w:rsidRPr="000F5681">
        <w:rPr>
          <w:rFonts w:ascii="Georgia" w:hAnsi="Georgia" w:cs="Arial"/>
          <w:sz w:val="26"/>
          <w:szCs w:val="26"/>
        </w:rPr>
        <w:t xml:space="preserve"> </w:t>
      </w:r>
      <w:r w:rsidR="00B7712C" w:rsidRPr="000F5681">
        <w:rPr>
          <w:rFonts w:ascii="Georgia" w:hAnsi="Georgia" w:cs="Arial"/>
          <w:sz w:val="26"/>
          <w:szCs w:val="26"/>
        </w:rPr>
        <w:t xml:space="preserve">por operar </w:t>
      </w:r>
      <w:r w:rsidR="005139B5" w:rsidRPr="000F5681">
        <w:rPr>
          <w:rFonts w:ascii="Georgia" w:hAnsi="Georgia" w:cs="Arial"/>
          <w:sz w:val="26"/>
          <w:szCs w:val="26"/>
        </w:rPr>
        <w:t xml:space="preserve">el desistimiento tácito, pues encontró inactividad procesal </w:t>
      </w:r>
      <w:r w:rsidR="706B3CCA" w:rsidRPr="000F5681">
        <w:rPr>
          <w:rFonts w:ascii="Georgia" w:hAnsi="Georgia" w:cs="Arial"/>
          <w:sz w:val="26"/>
          <w:szCs w:val="26"/>
        </w:rPr>
        <w:t xml:space="preserve">por </w:t>
      </w:r>
      <w:r w:rsidR="005139B5" w:rsidRPr="000F5681">
        <w:rPr>
          <w:rFonts w:ascii="Georgia" w:hAnsi="Georgia" w:cs="Arial"/>
          <w:sz w:val="26"/>
          <w:szCs w:val="26"/>
        </w:rPr>
        <w:t xml:space="preserve">más de </w:t>
      </w:r>
      <w:r w:rsidRPr="000F5681">
        <w:rPr>
          <w:rFonts w:ascii="Georgia" w:hAnsi="Georgia" w:cs="Arial"/>
          <w:sz w:val="26"/>
          <w:szCs w:val="26"/>
        </w:rPr>
        <w:t xml:space="preserve">dos </w:t>
      </w:r>
      <w:r w:rsidR="00C511E4" w:rsidRPr="000F5681">
        <w:rPr>
          <w:rFonts w:ascii="Georgia" w:hAnsi="Georgia" w:cs="Arial"/>
          <w:sz w:val="26"/>
          <w:szCs w:val="26"/>
        </w:rPr>
        <w:t>(</w:t>
      </w:r>
      <w:r w:rsidRPr="000F5681">
        <w:rPr>
          <w:rFonts w:ascii="Georgia" w:hAnsi="Georgia" w:cs="Arial"/>
          <w:sz w:val="26"/>
          <w:szCs w:val="26"/>
        </w:rPr>
        <w:t>2</w:t>
      </w:r>
      <w:r w:rsidR="00C511E4" w:rsidRPr="000F5681">
        <w:rPr>
          <w:rFonts w:ascii="Georgia" w:hAnsi="Georgia" w:cs="Arial"/>
          <w:sz w:val="26"/>
          <w:szCs w:val="26"/>
        </w:rPr>
        <w:t xml:space="preserve">) </w:t>
      </w:r>
      <w:r w:rsidR="005139B5" w:rsidRPr="000F5681">
        <w:rPr>
          <w:rFonts w:ascii="Georgia" w:hAnsi="Georgia" w:cs="Arial"/>
          <w:sz w:val="26"/>
          <w:szCs w:val="26"/>
        </w:rPr>
        <w:t>años</w:t>
      </w:r>
      <w:r w:rsidR="00B7712C" w:rsidRPr="000F5681">
        <w:rPr>
          <w:rFonts w:ascii="Georgia" w:hAnsi="Georgia" w:cs="Arial"/>
          <w:sz w:val="26"/>
          <w:szCs w:val="26"/>
        </w:rPr>
        <w:t xml:space="preserve">, sin </w:t>
      </w:r>
      <w:r w:rsidR="005139B5" w:rsidRPr="000F5681">
        <w:rPr>
          <w:rFonts w:ascii="Georgia" w:hAnsi="Georgia" w:cs="Arial"/>
          <w:sz w:val="26"/>
          <w:szCs w:val="26"/>
        </w:rPr>
        <w:t>interrupción</w:t>
      </w:r>
      <w:r w:rsidRPr="000F5681">
        <w:rPr>
          <w:rFonts w:ascii="Georgia" w:hAnsi="Georgia" w:cs="Arial"/>
          <w:sz w:val="26"/>
          <w:szCs w:val="26"/>
        </w:rPr>
        <w:t xml:space="preserve"> alguna; la parte ejecutante omitió gestionar pedimento </w:t>
      </w:r>
      <w:r w:rsidR="1288256A" w:rsidRPr="000F5681">
        <w:rPr>
          <w:rFonts w:ascii="Georgia" w:hAnsi="Georgia" w:cs="Arial"/>
          <w:sz w:val="26"/>
          <w:szCs w:val="26"/>
        </w:rPr>
        <w:t xml:space="preserve">alguno </w:t>
      </w:r>
      <w:r w:rsidR="003232DA" w:rsidRPr="000F5681">
        <w:rPr>
          <w:rFonts w:ascii="Georgia" w:hAnsi="Georgia" w:cs="Arial"/>
          <w:sz w:val="26"/>
          <w:szCs w:val="26"/>
        </w:rPr>
        <w:t>(</w:t>
      </w:r>
      <w:r w:rsidRPr="000F5681">
        <w:rPr>
          <w:rFonts w:ascii="Georgia" w:hAnsi="Georgia" w:cs="Arial"/>
          <w:sz w:val="26"/>
          <w:szCs w:val="26"/>
        </w:rPr>
        <w:t>Cuaderno No.1, documento No.01, folios 64-65</w:t>
      </w:r>
      <w:r w:rsidR="00691512" w:rsidRPr="000F5681">
        <w:rPr>
          <w:rFonts w:ascii="Georgia" w:hAnsi="Georgia" w:cs="Arial"/>
          <w:sz w:val="26"/>
          <w:szCs w:val="26"/>
        </w:rPr>
        <w:t>).</w:t>
      </w:r>
      <w:r w:rsidR="00B7712C" w:rsidRPr="000F5681">
        <w:rPr>
          <w:rFonts w:ascii="Georgia" w:hAnsi="Georgia" w:cs="Arial"/>
          <w:sz w:val="26"/>
          <w:szCs w:val="26"/>
        </w:rPr>
        <w:t xml:space="preserve"> </w:t>
      </w:r>
      <w:r w:rsidR="28B1B170" w:rsidRPr="000F5681">
        <w:rPr>
          <w:rFonts w:ascii="Georgia" w:hAnsi="Georgia" w:cs="Arial"/>
          <w:sz w:val="26"/>
          <w:szCs w:val="26"/>
        </w:rPr>
        <w:t>Lo recurrió</w:t>
      </w:r>
      <w:r w:rsidRPr="000F5681">
        <w:rPr>
          <w:rFonts w:ascii="Georgia" w:hAnsi="Georgia" w:cs="Arial"/>
          <w:sz w:val="26"/>
          <w:szCs w:val="26"/>
        </w:rPr>
        <w:t xml:space="preserve"> en reposición</w:t>
      </w:r>
      <w:r w:rsidR="00026ADC" w:rsidRPr="000F5681">
        <w:rPr>
          <w:rFonts w:ascii="Georgia" w:hAnsi="Georgia" w:cs="Arial"/>
          <w:sz w:val="26"/>
          <w:szCs w:val="26"/>
        </w:rPr>
        <w:t xml:space="preserve">, pero </w:t>
      </w:r>
      <w:r w:rsidRPr="000F5681">
        <w:rPr>
          <w:rFonts w:ascii="Georgia" w:hAnsi="Georgia" w:cs="Arial"/>
          <w:sz w:val="26"/>
          <w:szCs w:val="26"/>
        </w:rPr>
        <w:t xml:space="preserve">se mantuvo incólume con auto del 16-03-2020 </w:t>
      </w:r>
      <w:r w:rsidR="00B7712C" w:rsidRPr="000F5681">
        <w:rPr>
          <w:rFonts w:ascii="Georgia" w:hAnsi="Georgia" w:cs="Arial"/>
          <w:sz w:val="26"/>
          <w:szCs w:val="26"/>
        </w:rPr>
        <w:t>(</w:t>
      </w:r>
      <w:r w:rsidRPr="000F5681">
        <w:rPr>
          <w:rFonts w:ascii="Georgia" w:hAnsi="Georgia" w:cs="Arial"/>
          <w:sz w:val="26"/>
          <w:szCs w:val="26"/>
        </w:rPr>
        <w:t>Cuaderno No.1, documento No.01, folios 69-75</w:t>
      </w:r>
      <w:r w:rsidR="00B7712C" w:rsidRPr="000F5681">
        <w:rPr>
          <w:rFonts w:ascii="Georgia" w:hAnsi="Georgia" w:cs="Arial"/>
          <w:sz w:val="26"/>
          <w:szCs w:val="26"/>
        </w:rPr>
        <w:t>)</w:t>
      </w:r>
      <w:r w:rsidR="00DB4C1B" w:rsidRPr="000F5681">
        <w:rPr>
          <w:rFonts w:ascii="Georgia" w:hAnsi="Georgia" w:cs="Arial"/>
          <w:sz w:val="26"/>
          <w:szCs w:val="26"/>
        </w:rPr>
        <w:t>.</w:t>
      </w:r>
    </w:p>
    <w:p w14:paraId="1C7B9A2E" w14:textId="77777777" w:rsidR="00144B3B" w:rsidRPr="000F5681" w:rsidRDefault="00144B3B" w:rsidP="000F5681">
      <w:pPr>
        <w:spacing w:line="276" w:lineRule="auto"/>
        <w:jc w:val="both"/>
        <w:rPr>
          <w:rFonts w:ascii="Georgia" w:hAnsi="Georgia" w:cs="Arial"/>
          <w:sz w:val="26"/>
          <w:szCs w:val="26"/>
        </w:rPr>
      </w:pPr>
    </w:p>
    <w:p w14:paraId="6043454B" w14:textId="7DCDC699" w:rsidR="00046468" w:rsidRPr="000F5681" w:rsidRDefault="1C09EF98" w:rsidP="000F5681">
      <w:pPr>
        <w:pStyle w:val="Sinespaciado"/>
        <w:numPr>
          <w:ilvl w:val="0"/>
          <w:numId w:val="6"/>
        </w:numPr>
        <w:spacing w:line="276" w:lineRule="auto"/>
        <w:jc w:val="both"/>
        <w:rPr>
          <w:rFonts w:ascii="Georgia" w:eastAsia="Georgia" w:hAnsi="Georgia" w:cs="Georgia"/>
          <w:b/>
          <w:bCs/>
          <w:smallCaps/>
          <w:sz w:val="26"/>
          <w:szCs w:val="26"/>
        </w:rPr>
      </w:pPr>
      <w:r w:rsidRPr="000F5681">
        <w:rPr>
          <w:rFonts w:ascii="Georgia" w:hAnsi="Georgia"/>
          <w:b/>
          <w:bCs/>
          <w:smallCaps/>
          <w:sz w:val="26"/>
          <w:szCs w:val="26"/>
        </w:rPr>
        <w:t xml:space="preserve">La síntesis de la apelación </w:t>
      </w:r>
    </w:p>
    <w:p w14:paraId="783681A3" w14:textId="11C48CA1" w:rsidR="6D8AFD21" w:rsidRPr="000F5681" w:rsidRDefault="6D8AFD21" w:rsidP="000F5681">
      <w:pPr>
        <w:pStyle w:val="Sinespaciado"/>
        <w:spacing w:line="276" w:lineRule="auto"/>
        <w:jc w:val="both"/>
        <w:rPr>
          <w:rFonts w:ascii="Georgia" w:hAnsi="Georgia"/>
          <w:b/>
          <w:bCs/>
          <w:smallCaps/>
          <w:sz w:val="26"/>
          <w:szCs w:val="26"/>
        </w:rPr>
      </w:pPr>
    </w:p>
    <w:p w14:paraId="0FC63DAB" w14:textId="2B59FD02" w:rsidR="00E84523" w:rsidRPr="000F5681" w:rsidRDefault="0072378B" w:rsidP="000F5681">
      <w:pPr>
        <w:pStyle w:val="Sinespaciado"/>
        <w:spacing w:line="276" w:lineRule="auto"/>
        <w:jc w:val="both"/>
        <w:rPr>
          <w:rFonts w:ascii="Georgia" w:hAnsi="Georgia" w:cs="Arial"/>
          <w:sz w:val="26"/>
          <w:szCs w:val="26"/>
        </w:rPr>
      </w:pPr>
      <w:r w:rsidRPr="000F5681">
        <w:rPr>
          <w:rFonts w:ascii="Georgia" w:hAnsi="Georgia" w:cs="Arial"/>
          <w:sz w:val="26"/>
          <w:szCs w:val="26"/>
        </w:rPr>
        <w:t>El mandatario pid</w:t>
      </w:r>
      <w:r w:rsidR="008742DA" w:rsidRPr="000F5681">
        <w:rPr>
          <w:rFonts w:ascii="Georgia" w:hAnsi="Georgia" w:cs="Arial"/>
          <w:sz w:val="26"/>
          <w:szCs w:val="26"/>
        </w:rPr>
        <w:t>e</w:t>
      </w:r>
      <w:r w:rsidRPr="000F5681">
        <w:rPr>
          <w:rFonts w:ascii="Georgia" w:hAnsi="Georgia" w:cs="Arial"/>
          <w:sz w:val="26"/>
          <w:szCs w:val="26"/>
        </w:rPr>
        <w:t xml:space="preserve"> revocar la </w:t>
      </w:r>
      <w:r w:rsidR="001F23EE" w:rsidRPr="000F5681">
        <w:rPr>
          <w:rFonts w:ascii="Georgia" w:hAnsi="Georgia" w:cs="Arial"/>
          <w:sz w:val="26"/>
          <w:szCs w:val="26"/>
        </w:rPr>
        <w:t>providencia porque</w:t>
      </w:r>
      <w:r w:rsidR="008742DA" w:rsidRPr="000F5681">
        <w:rPr>
          <w:rFonts w:ascii="Georgia" w:hAnsi="Georgia" w:cs="Arial"/>
          <w:sz w:val="26"/>
          <w:szCs w:val="26"/>
        </w:rPr>
        <w:t xml:space="preserve">: </w:t>
      </w:r>
      <w:r w:rsidR="00681823" w:rsidRPr="000F5681">
        <w:rPr>
          <w:rFonts w:ascii="Georgia" w:hAnsi="Georgia" w:cs="Arial"/>
          <w:b/>
          <w:bCs/>
          <w:sz w:val="26"/>
          <w:szCs w:val="26"/>
        </w:rPr>
        <w:t>(i)</w:t>
      </w:r>
      <w:r w:rsidR="00681823" w:rsidRPr="000F5681">
        <w:rPr>
          <w:rFonts w:ascii="Georgia" w:hAnsi="Georgia" w:cs="Arial"/>
          <w:sz w:val="26"/>
          <w:szCs w:val="26"/>
        </w:rPr>
        <w:t xml:space="preserve"> E</w:t>
      </w:r>
      <w:r w:rsidR="00E84523" w:rsidRPr="000F5681">
        <w:rPr>
          <w:rFonts w:ascii="Georgia" w:hAnsi="Georgia" w:cs="Arial"/>
          <w:sz w:val="26"/>
          <w:szCs w:val="26"/>
        </w:rPr>
        <w:t xml:space="preserve">l pago de la obligación depende </w:t>
      </w:r>
      <w:r w:rsidR="00681823" w:rsidRPr="000F5681">
        <w:rPr>
          <w:rFonts w:ascii="Georgia" w:hAnsi="Georgia" w:cs="Arial"/>
          <w:sz w:val="26"/>
          <w:szCs w:val="26"/>
        </w:rPr>
        <w:t>d</w:t>
      </w:r>
      <w:r w:rsidR="00E84523" w:rsidRPr="000F5681">
        <w:rPr>
          <w:rFonts w:ascii="Georgia" w:hAnsi="Georgia" w:cs="Arial"/>
          <w:sz w:val="26"/>
          <w:szCs w:val="26"/>
        </w:rPr>
        <w:t>el remate del inmueble aprisionado en el proceso donde se embargaron los remanentes desde el 22-11-2012</w:t>
      </w:r>
      <w:r w:rsidR="7F230D6F" w:rsidRPr="000F5681">
        <w:rPr>
          <w:rFonts w:ascii="Georgia" w:hAnsi="Georgia" w:cs="Arial"/>
          <w:sz w:val="26"/>
          <w:szCs w:val="26"/>
        </w:rPr>
        <w:t>, no hay</w:t>
      </w:r>
      <w:r w:rsidR="00681823" w:rsidRPr="000F5681">
        <w:rPr>
          <w:rFonts w:ascii="Georgia" w:hAnsi="Georgia" w:cs="Arial"/>
          <w:sz w:val="26"/>
          <w:szCs w:val="26"/>
        </w:rPr>
        <w:t xml:space="preserve"> desidia </w:t>
      </w:r>
      <w:r w:rsidR="62388483" w:rsidRPr="000F5681">
        <w:rPr>
          <w:rFonts w:ascii="Georgia" w:hAnsi="Georgia" w:cs="Arial"/>
          <w:sz w:val="26"/>
          <w:szCs w:val="26"/>
        </w:rPr>
        <w:t xml:space="preserve">ya que </w:t>
      </w:r>
      <w:r w:rsidR="277E239E" w:rsidRPr="000F5681">
        <w:rPr>
          <w:rFonts w:ascii="Georgia" w:hAnsi="Georgia" w:cs="Arial"/>
          <w:sz w:val="26"/>
          <w:szCs w:val="26"/>
        </w:rPr>
        <w:t xml:space="preserve">la actuación </w:t>
      </w:r>
      <w:r w:rsidR="00131A9F" w:rsidRPr="000F5681">
        <w:rPr>
          <w:rFonts w:ascii="Georgia" w:hAnsi="Georgia" w:cs="Arial"/>
          <w:sz w:val="26"/>
          <w:szCs w:val="26"/>
        </w:rPr>
        <w:t>está ligad</w:t>
      </w:r>
      <w:r w:rsidR="5AF82871" w:rsidRPr="000F5681">
        <w:rPr>
          <w:rFonts w:ascii="Georgia" w:hAnsi="Georgia" w:cs="Arial"/>
          <w:sz w:val="26"/>
          <w:szCs w:val="26"/>
        </w:rPr>
        <w:t>a</w:t>
      </w:r>
      <w:r w:rsidR="00681823" w:rsidRPr="000F5681">
        <w:rPr>
          <w:rFonts w:ascii="Georgia" w:hAnsi="Georgia" w:cs="Arial"/>
          <w:sz w:val="26"/>
          <w:szCs w:val="26"/>
        </w:rPr>
        <w:t xml:space="preserve"> </w:t>
      </w:r>
      <w:r w:rsidR="00131A9F" w:rsidRPr="000F5681">
        <w:rPr>
          <w:rFonts w:ascii="Georgia" w:hAnsi="Georgia" w:cs="Arial"/>
          <w:sz w:val="26"/>
          <w:szCs w:val="26"/>
        </w:rPr>
        <w:t xml:space="preserve">al </w:t>
      </w:r>
      <w:r w:rsidR="00681823" w:rsidRPr="000F5681">
        <w:rPr>
          <w:rFonts w:ascii="Georgia" w:hAnsi="Georgia" w:cs="Arial"/>
          <w:sz w:val="26"/>
          <w:szCs w:val="26"/>
        </w:rPr>
        <w:t xml:space="preserve">resultado de un trámite ajeno; y, </w:t>
      </w:r>
      <w:r w:rsidR="00131A9F" w:rsidRPr="000F5681">
        <w:rPr>
          <w:rFonts w:ascii="Georgia" w:hAnsi="Georgia" w:cs="Arial"/>
          <w:b/>
          <w:bCs/>
          <w:sz w:val="26"/>
          <w:szCs w:val="26"/>
        </w:rPr>
        <w:t>(ii)</w:t>
      </w:r>
      <w:r w:rsidR="00131A9F" w:rsidRPr="000F5681">
        <w:rPr>
          <w:rFonts w:ascii="Georgia" w:hAnsi="Georgia" w:cs="Arial"/>
          <w:sz w:val="26"/>
          <w:szCs w:val="26"/>
        </w:rPr>
        <w:t xml:space="preserve"> L</w:t>
      </w:r>
      <w:r w:rsidR="00E84523" w:rsidRPr="000F5681">
        <w:rPr>
          <w:rFonts w:ascii="Georgia" w:hAnsi="Georgia" w:cs="Arial"/>
          <w:sz w:val="26"/>
          <w:szCs w:val="26"/>
        </w:rPr>
        <w:t xml:space="preserve">a última </w:t>
      </w:r>
      <w:r w:rsidR="00681823" w:rsidRPr="000F5681">
        <w:rPr>
          <w:rFonts w:ascii="Georgia" w:hAnsi="Georgia" w:cs="Arial"/>
          <w:sz w:val="26"/>
          <w:szCs w:val="26"/>
        </w:rPr>
        <w:t>“</w:t>
      </w:r>
      <w:r w:rsidR="00E84523" w:rsidRPr="000F5681">
        <w:rPr>
          <w:rFonts w:ascii="Georgia" w:hAnsi="Georgia" w:cs="Arial"/>
          <w:i/>
          <w:iCs/>
          <w:sz w:val="26"/>
          <w:szCs w:val="26"/>
        </w:rPr>
        <w:t>actuación procesal</w:t>
      </w:r>
      <w:r w:rsidR="00681823" w:rsidRPr="000F5681">
        <w:rPr>
          <w:rFonts w:ascii="Georgia" w:hAnsi="Georgia" w:cs="Arial"/>
          <w:sz w:val="26"/>
          <w:szCs w:val="26"/>
        </w:rPr>
        <w:t>”</w:t>
      </w:r>
      <w:r w:rsidR="00E84523" w:rsidRPr="000F5681">
        <w:rPr>
          <w:rFonts w:ascii="Georgia" w:hAnsi="Georgia" w:cs="Arial"/>
          <w:sz w:val="26"/>
          <w:szCs w:val="26"/>
        </w:rPr>
        <w:t xml:space="preserve"> consiste en comunicado</w:t>
      </w:r>
      <w:r w:rsidR="00131A9F" w:rsidRPr="000F5681">
        <w:rPr>
          <w:rFonts w:ascii="Georgia" w:hAnsi="Georgia" w:cs="Arial"/>
          <w:sz w:val="26"/>
          <w:szCs w:val="26"/>
        </w:rPr>
        <w:t>s</w:t>
      </w:r>
      <w:r w:rsidR="00681823" w:rsidRPr="000F5681">
        <w:rPr>
          <w:rFonts w:ascii="Georgia" w:hAnsi="Georgia" w:cs="Arial"/>
          <w:sz w:val="26"/>
          <w:szCs w:val="26"/>
        </w:rPr>
        <w:t xml:space="preserve"> de entidad</w:t>
      </w:r>
      <w:r w:rsidR="00131A9F" w:rsidRPr="000F5681">
        <w:rPr>
          <w:rFonts w:ascii="Georgia" w:hAnsi="Georgia" w:cs="Arial"/>
          <w:sz w:val="26"/>
          <w:szCs w:val="26"/>
        </w:rPr>
        <w:t>es</w:t>
      </w:r>
      <w:r w:rsidR="00681823" w:rsidRPr="000F5681">
        <w:rPr>
          <w:rFonts w:ascii="Georgia" w:hAnsi="Georgia" w:cs="Arial"/>
          <w:sz w:val="26"/>
          <w:szCs w:val="26"/>
        </w:rPr>
        <w:t xml:space="preserve"> bancaria</w:t>
      </w:r>
      <w:r w:rsidR="00131A9F" w:rsidRPr="000F5681">
        <w:rPr>
          <w:rFonts w:ascii="Georgia" w:hAnsi="Georgia" w:cs="Arial"/>
          <w:sz w:val="26"/>
          <w:szCs w:val="26"/>
        </w:rPr>
        <w:t>s</w:t>
      </w:r>
      <w:r w:rsidR="00681823" w:rsidRPr="000F5681">
        <w:rPr>
          <w:rFonts w:ascii="Georgia" w:hAnsi="Georgia" w:cs="Arial"/>
          <w:sz w:val="26"/>
          <w:szCs w:val="26"/>
        </w:rPr>
        <w:t xml:space="preserve"> incorporad</w:t>
      </w:r>
      <w:r w:rsidR="00131A9F" w:rsidRPr="000F5681">
        <w:rPr>
          <w:rFonts w:ascii="Georgia" w:hAnsi="Georgia" w:cs="Arial"/>
          <w:sz w:val="26"/>
          <w:szCs w:val="26"/>
        </w:rPr>
        <w:t>os</w:t>
      </w:r>
      <w:r w:rsidR="00681823" w:rsidRPr="000F5681">
        <w:rPr>
          <w:rFonts w:ascii="Georgia" w:hAnsi="Georgia" w:cs="Arial"/>
          <w:sz w:val="26"/>
          <w:szCs w:val="26"/>
        </w:rPr>
        <w:t xml:space="preserve"> en un lapso inferior a los dos (2) años contados desde que se expidió el auto de terminación</w:t>
      </w:r>
      <w:r w:rsidR="008742DA" w:rsidRPr="000F5681">
        <w:rPr>
          <w:rFonts w:ascii="Georgia" w:hAnsi="Georgia" w:cs="Arial"/>
          <w:sz w:val="26"/>
          <w:szCs w:val="26"/>
        </w:rPr>
        <w:t xml:space="preserve"> (Cuaderno No.1, documento No.01, folios 66-67).</w:t>
      </w:r>
    </w:p>
    <w:p w14:paraId="72ADBBB5" w14:textId="336084ED" w:rsidR="11721A1B" w:rsidRPr="000F5681" w:rsidRDefault="11721A1B" w:rsidP="000F5681">
      <w:pPr>
        <w:pStyle w:val="Sinespaciado"/>
        <w:spacing w:line="276" w:lineRule="auto"/>
        <w:jc w:val="both"/>
        <w:rPr>
          <w:rFonts w:ascii="Georgia" w:hAnsi="Georgia" w:cs="Arial"/>
          <w:sz w:val="26"/>
          <w:szCs w:val="26"/>
        </w:rPr>
      </w:pPr>
    </w:p>
    <w:p w14:paraId="10FA70A1" w14:textId="56CA68D2" w:rsidR="4984A9C7" w:rsidRPr="000F5681" w:rsidRDefault="4984A9C7" w:rsidP="000F5681">
      <w:pPr>
        <w:pStyle w:val="Sinespaciado"/>
        <w:numPr>
          <w:ilvl w:val="0"/>
          <w:numId w:val="6"/>
        </w:numPr>
        <w:spacing w:line="276" w:lineRule="auto"/>
        <w:jc w:val="both"/>
        <w:rPr>
          <w:rFonts w:ascii="Georgia" w:eastAsia="Georgia" w:hAnsi="Georgia" w:cs="Georgia"/>
          <w:b/>
          <w:bCs/>
          <w:smallCaps/>
          <w:sz w:val="26"/>
          <w:szCs w:val="26"/>
        </w:rPr>
      </w:pPr>
      <w:r w:rsidRPr="000F5681">
        <w:rPr>
          <w:rFonts w:ascii="Georgia" w:hAnsi="Georgia"/>
          <w:b/>
          <w:bCs/>
          <w:smallCaps/>
          <w:sz w:val="26"/>
          <w:szCs w:val="26"/>
        </w:rPr>
        <w:t>Las estimaciones jurídicas para decidir</w:t>
      </w:r>
    </w:p>
    <w:p w14:paraId="3C596E6D" w14:textId="77777777" w:rsidR="00A640EB" w:rsidRPr="000F5681" w:rsidRDefault="00A640EB" w:rsidP="000F5681">
      <w:pPr>
        <w:pStyle w:val="Sinespaciado"/>
        <w:spacing w:line="276" w:lineRule="auto"/>
        <w:jc w:val="both"/>
        <w:rPr>
          <w:rFonts w:ascii="Georgia" w:hAnsi="Georgia"/>
          <w:sz w:val="26"/>
          <w:szCs w:val="26"/>
        </w:rPr>
      </w:pPr>
    </w:p>
    <w:p w14:paraId="4DEE2CEE" w14:textId="24B600FE" w:rsidR="009F7B8B" w:rsidRPr="000F5681" w:rsidRDefault="009F7B8B" w:rsidP="000F5681">
      <w:pPr>
        <w:pStyle w:val="Textopredeterminado"/>
        <w:numPr>
          <w:ilvl w:val="1"/>
          <w:numId w:val="6"/>
        </w:numPr>
        <w:spacing w:line="276" w:lineRule="auto"/>
        <w:jc w:val="both"/>
        <w:rPr>
          <w:rFonts w:ascii="Georgia" w:hAnsi="Georgia" w:cs="Arial"/>
          <w:color w:val="auto"/>
          <w:sz w:val="26"/>
          <w:szCs w:val="26"/>
          <w:lang w:val="es-MX"/>
        </w:rPr>
      </w:pPr>
      <w:r w:rsidRPr="000F5681">
        <w:rPr>
          <w:rFonts w:ascii="Georgia" w:hAnsi="Georgia" w:cs="Arial"/>
          <w:i/>
          <w:iCs/>
          <w:smallCaps/>
          <w:color w:val="auto"/>
          <w:sz w:val="26"/>
          <w:szCs w:val="26"/>
        </w:rPr>
        <w:t>La competencia funcional</w:t>
      </w:r>
      <w:r w:rsidR="008742DA" w:rsidRPr="000F5681">
        <w:rPr>
          <w:rFonts w:ascii="Georgia" w:hAnsi="Georgia" w:cs="Arial"/>
          <w:b/>
          <w:bCs/>
          <w:i/>
          <w:iCs/>
          <w:smallCaps/>
          <w:color w:val="auto"/>
          <w:sz w:val="26"/>
          <w:szCs w:val="26"/>
        </w:rPr>
        <w:t xml:space="preserve">. </w:t>
      </w:r>
      <w:r w:rsidR="008742DA" w:rsidRPr="000F5681">
        <w:rPr>
          <w:rFonts w:ascii="Georgia" w:hAnsi="Georgia" w:cs="Arial"/>
          <w:color w:val="auto"/>
          <w:sz w:val="26"/>
          <w:szCs w:val="26"/>
        </w:rPr>
        <w:t>La tiene esta Sala, por ser la superiora jerárquica del Despacho cognoscente</w:t>
      </w:r>
      <w:r w:rsidRPr="000F5681">
        <w:rPr>
          <w:rFonts w:ascii="Georgia" w:hAnsi="Georgia" w:cs="Arial"/>
          <w:color w:val="auto"/>
          <w:sz w:val="26"/>
          <w:szCs w:val="26"/>
        </w:rPr>
        <w:t xml:space="preserve"> (Art</w:t>
      </w:r>
      <w:r w:rsidR="008742DA" w:rsidRPr="000F5681">
        <w:rPr>
          <w:rFonts w:ascii="Georgia" w:hAnsi="Georgia" w:cs="Arial"/>
          <w:color w:val="auto"/>
          <w:sz w:val="26"/>
          <w:szCs w:val="26"/>
        </w:rPr>
        <w:t>s.</w:t>
      </w:r>
      <w:r w:rsidRPr="000F5681">
        <w:rPr>
          <w:rFonts w:ascii="Georgia" w:hAnsi="Georgia" w:cs="Arial"/>
          <w:color w:val="auto"/>
          <w:sz w:val="26"/>
          <w:szCs w:val="26"/>
        </w:rPr>
        <w:t>31-1º y 35, CGP)</w:t>
      </w:r>
      <w:r w:rsidRPr="000F5681">
        <w:rPr>
          <w:rFonts w:ascii="Georgia" w:hAnsi="Georgia" w:cs="Arial"/>
          <w:color w:val="auto"/>
          <w:sz w:val="26"/>
          <w:szCs w:val="26"/>
          <w:lang w:val="es-MX"/>
        </w:rPr>
        <w:t>.</w:t>
      </w:r>
    </w:p>
    <w:p w14:paraId="453E7E6D" w14:textId="77777777" w:rsidR="00A640EB" w:rsidRPr="000F5681" w:rsidRDefault="00A640EB" w:rsidP="000F5681">
      <w:pPr>
        <w:pStyle w:val="Textopredeterminado"/>
        <w:spacing w:line="276" w:lineRule="auto"/>
        <w:jc w:val="both"/>
        <w:textAlignment w:val="auto"/>
        <w:rPr>
          <w:rFonts w:ascii="Georgia" w:hAnsi="Georgia" w:cs="Arial"/>
          <w:color w:val="auto"/>
          <w:sz w:val="26"/>
          <w:szCs w:val="26"/>
        </w:rPr>
      </w:pPr>
    </w:p>
    <w:p w14:paraId="0984FEE2" w14:textId="3E1B2602" w:rsidR="00026ADC" w:rsidRPr="000F5681" w:rsidRDefault="00046468" w:rsidP="000F5681">
      <w:pPr>
        <w:pStyle w:val="Textopredeterminado"/>
        <w:numPr>
          <w:ilvl w:val="1"/>
          <w:numId w:val="6"/>
        </w:numPr>
        <w:spacing w:line="276" w:lineRule="auto"/>
        <w:jc w:val="both"/>
        <w:textAlignment w:val="auto"/>
        <w:rPr>
          <w:rFonts w:ascii="Georgia" w:hAnsi="Georgia" w:cs="Arial"/>
          <w:color w:val="auto"/>
          <w:sz w:val="26"/>
          <w:szCs w:val="26"/>
        </w:rPr>
      </w:pPr>
      <w:r w:rsidRPr="000F5681">
        <w:rPr>
          <w:rFonts w:ascii="Georgia" w:hAnsi="Georgia" w:cs="Arial"/>
          <w:i/>
          <w:iCs/>
          <w:smallCaps/>
          <w:color w:val="auto"/>
          <w:sz w:val="26"/>
          <w:szCs w:val="26"/>
        </w:rPr>
        <w:lastRenderedPageBreak/>
        <w:t>Los requisitos de viabilidad de un recurso</w:t>
      </w:r>
      <w:r w:rsidRPr="000F5681">
        <w:rPr>
          <w:rFonts w:ascii="Georgia" w:hAnsi="Georgia" w:cs="Arial"/>
          <w:smallCaps/>
          <w:color w:val="auto"/>
          <w:sz w:val="26"/>
          <w:szCs w:val="26"/>
        </w:rPr>
        <w:t xml:space="preserve">. </w:t>
      </w:r>
      <w:r w:rsidR="00026ADC" w:rsidRPr="000F5681">
        <w:rPr>
          <w:rFonts w:ascii="Georgia" w:hAnsi="Georgia" w:cs="Arial"/>
          <w:color w:val="auto"/>
          <w:spacing w:val="-3"/>
          <w:sz w:val="26"/>
          <w:szCs w:val="26"/>
        </w:rPr>
        <w:t>D</w:t>
      </w:r>
      <w:r w:rsidR="00026ADC" w:rsidRPr="000F5681">
        <w:rPr>
          <w:rFonts w:ascii="Georgia" w:hAnsi="Georgia" w:cs="Arial"/>
          <w:color w:val="auto"/>
          <w:sz w:val="26"/>
          <w:szCs w:val="26"/>
        </w:rPr>
        <w:t>esde la óptica procesal, en presencia de los recursos, deben siempre concurrir los llamados presupuestos de viabilidad, trámite</w:t>
      </w:r>
      <w:r w:rsidR="00026ADC" w:rsidRPr="000F5681">
        <w:rPr>
          <w:rStyle w:val="Refdenotaalpie"/>
          <w:rFonts w:ascii="Georgia" w:hAnsi="Georgia"/>
          <w:color w:val="auto"/>
          <w:sz w:val="26"/>
          <w:szCs w:val="26"/>
        </w:rPr>
        <w:footnoteReference w:id="1"/>
      </w:r>
      <w:r w:rsidR="00026ADC" w:rsidRPr="000F5681">
        <w:rPr>
          <w:rFonts w:ascii="Georgia" w:hAnsi="Georgia" w:cs="Arial"/>
          <w:color w:val="auto"/>
          <w:sz w:val="26"/>
          <w:szCs w:val="26"/>
        </w:rPr>
        <w:t xml:space="preserve">, o </w:t>
      </w:r>
      <w:r w:rsidR="00026ADC" w:rsidRPr="000F5681">
        <w:rPr>
          <w:rFonts w:ascii="Georgia" w:hAnsi="Georgia" w:cs="Arial"/>
          <w:i/>
          <w:iCs/>
          <w:color w:val="auto"/>
          <w:sz w:val="26"/>
          <w:szCs w:val="26"/>
        </w:rPr>
        <w:t>condiciones para tener la posibilidad de recurrir</w:t>
      </w:r>
      <w:r w:rsidR="00026ADC" w:rsidRPr="000F5681">
        <w:rPr>
          <w:rStyle w:val="Refdenotaalpie"/>
          <w:rFonts w:ascii="Georgia" w:hAnsi="Georgia"/>
          <w:i/>
          <w:iCs/>
          <w:color w:val="auto"/>
          <w:sz w:val="26"/>
          <w:szCs w:val="26"/>
        </w:rPr>
        <w:footnoteReference w:id="2"/>
      </w:r>
      <w:r w:rsidR="00026ADC" w:rsidRPr="000F5681">
        <w:rPr>
          <w:rFonts w:ascii="Georgia" w:hAnsi="Georgia" w:cs="Arial"/>
          <w:color w:val="auto"/>
          <w:sz w:val="26"/>
          <w:szCs w:val="26"/>
        </w:rPr>
        <w:t>, al decir de la doctrina procesal nacional</w:t>
      </w:r>
      <w:r w:rsidR="00026ADC" w:rsidRPr="000F5681">
        <w:rPr>
          <w:rFonts w:ascii="Georgia" w:hAnsi="Georgia" w:cs="Arial"/>
          <w:color w:val="auto"/>
          <w:sz w:val="26"/>
          <w:szCs w:val="26"/>
          <w:vertAlign w:val="superscript"/>
        </w:rPr>
        <w:footnoteReference w:id="3"/>
      </w:r>
      <w:r w:rsidR="00026ADC" w:rsidRPr="000F5681">
        <w:rPr>
          <w:rFonts w:ascii="Georgia" w:hAnsi="Georgia" w:cs="Arial"/>
          <w:color w:val="auto"/>
          <w:sz w:val="26"/>
          <w:szCs w:val="26"/>
          <w:vertAlign w:val="superscript"/>
        </w:rPr>
        <w:t>-</w:t>
      </w:r>
      <w:r w:rsidR="00026ADC" w:rsidRPr="000F5681">
        <w:rPr>
          <w:rFonts w:ascii="Georgia" w:hAnsi="Georgia" w:cs="Arial"/>
          <w:color w:val="auto"/>
          <w:sz w:val="26"/>
          <w:szCs w:val="26"/>
          <w:vertAlign w:val="superscript"/>
        </w:rPr>
        <w:footnoteReference w:id="4"/>
      </w:r>
      <w:r w:rsidR="00026ADC" w:rsidRPr="000F5681">
        <w:rPr>
          <w:rFonts w:ascii="Georgia" w:hAnsi="Georgia" w:cs="Arial"/>
          <w:color w:val="auto"/>
          <w:sz w:val="26"/>
          <w:szCs w:val="26"/>
        </w:rPr>
        <w:t>, a efectos de examinar el tema de apelación.</w:t>
      </w:r>
    </w:p>
    <w:p w14:paraId="4E32CB10" w14:textId="77777777" w:rsidR="00026ADC" w:rsidRPr="000F5681" w:rsidRDefault="00026ADC" w:rsidP="000F5681">
      <w:pPr>
        <w:pStyle w:val="Prrafodelista"/>
        <w:spacing w:line="276" w:lineRule="auto"/>
        <w:rPr>
          <w:rFonts w:ascii="Georgia" w:hAnsi="Georgia" w:cs="Arial"/>
          <w:sz w:val="26"/>
          <w:szCs w:val="26"/>
        </w:rPr>
      </w:pPr>
    </w:p>
    <w:p w14:paraId="0DA5100A" w14:textId="4585D92C" w:rsidR="00026ADC" w:rsidRPr="000F5681" w:rsidRDefault="00026ADC" w:rsidP="000F5681">
      <w:pPr>
        <w:pStyle w:val="Textopredeterminado"/>
        <w:spacing w:line="276" w:lineRule="auto"/>
        <w:ind w:left="720"/>
        <w:jc w:val="both"/>
        <w:textAlignment w:val="auto"/>
        <w:rPr>
          <w:rFonts w:ascii="Georgia" w:hAnsi="Georgia" w:cs="Arial"/>
          <w:color w:val="auto"/>
          <w:sz w:val="26"/>
          <w:szCs w:val="26"/>
        </w:rPr>
      </w:pPr>
      <w:r w:rsidRPr="000F5681">
        <w:rPr>
          <w:rFonts w:ascii="Georgia" w:hAnsi="Georgia" w:cs="Arial"/>
          <w:color w:val="auto"/>
          <w:sz w:val="26"/>
          <w:szCs w:val="26"/>
        </w:rPr>
        <w:t>Esos presupuestos son una serie de exigencias normativas formales que permiten su trámite y aseguran su decisión</w:t>
      </w:r>
      <w:r w:rsidR="009F7B8B" w:rsidRPr="000F5681">
        <w:rPr>
          <w:rFonts w:ascii="Georgia" w:hAnsi="Georgia" w:cs="Arial"/>
          <w:color w:val="auto"/>
          <w:sz w:val="26"/>
          <w:szCs w:val="26"/>
        </w:rPr>
        <w:t>. Así lo anota el maestro López B.: “</w:t>
      </w:r>
      <w:r w:rsidR="009F7B8B" w:rsidRPr="000F5681">
        <w:rPr>
          <w:rFonts w:ascii="Georgia" w:hAnsi="Georgia" w:cs="Arial"/>
          <w:i/>
          <w:color w:val="auto"/>
          <w:sz w:val="26"/>
          <w:szCs w:val="26"/>
        </w:rPr>
        <w:t>E</w:t>
      </w:r>
      <w:r w:rsidR="009F7B8B" w:rsidRPr="00E17ACC">
        <w:rPr>
          <w:rFonts w:ascii="Georgia" w:hAnsi="Georgia" w:cs="Arial"/>
          <w:i/>
          <w:color w:val="auto"/>
          <w:szCs w:val="26"/>
        </w:rPr>
        <w:t>n todo caso sin estar reunidos los requisitos de viabilidad del recurso jamás se podrá tener éxito en el mismo por constituir un precedente necesario para decidirlo</w:t>
      </w:r>
      <w:r w:rsidR="009F7B8B" w:rsidRPr="000F5681">
        <w:rPr>
          <w:rFonts w:ascii="Georgia" w:hAnsi="Georgia" w:cs="Arial"/>
          <w:color w:val="auto"/>
          <w:sz w:val="26"/>
          <w:szCs w:val="26"/>
        </w:rPr>
        <w:t>”</w:t>
      </w:r>
      <w:r w:rsidR="009F7B8B" w:rsidRPr="000F5681">
        <w:rPr>
          <w:rFonts w:ascii="Georgia" w:hAnsi="Georgia"/>
          <w:color w:val="auto"/>
          <w:sz w:val="26"/>
          <w:szCs w:val="26"/>
          <w:vertAlign w:val="superscript"/>
        </w:rPr>
        <w:footnoteReference w:id="5"/>
      </w:r>
      <w:r w:rsidR="009F7B8B" w:rsidRPr="000F5681">
        <w:rPr>
          <w:rFonts w:ascii="Georgia" w:hAnsi="Georgia" w:cs="Arial"/>
          <w:color w:val="auto"/>
          <w:sz w:val="26"/>
          <w:szCs w:val="26"/>
        </w:rPr>
        <w:t xml:space="preserve">. Y lo explica el profesor Rojas G. en su obra: </w:t>
      </w:r>
      <w:proofErr w:type="gramStart"/>
      <w:r w:rsidR="009F7B8B" w:rsidRPr="000F5681">
        <w:rPr>
          <w:rFonts w:ascii="Georgia" w:hAnsi="Georgia" w:cs="Arial"/>
          <w:color w:val="auto"/>
          <w:sz w:val="26"/>
          <w:szCs w:val="26"/>
        </w:rPr>
        <w:t>“</w:t>
      </w:r>
      <w:r w:rsidR="00E17ACC" w:rsidRPr="00E17ACC">
        <w:rPr>
          <w:rFonts w:ascii="Georgia" w:hAnsi="Georgia" w:cs="Arial"/>
          <w:i/>
          <w:color w:val="auto"/>
          <w:szCs w:val="26"/>
        </w:rPr>
        <w:t xml:space="preserve"> </w:t>
      </w:r>
      <w:r w:rsidRPr="00E17ACC">
        <w:rPr>
          <w:rFonts w:ascii="Georgia" w:hAnsi="Georgia" w:cs="Arial"/>
          <w:i/>
          <w:color w:val="auto"/>
          <w:szCs w:val="26"/>
        </w:rPr>
        <w:t>(</w:t>
      </w:r>
      <w:proofErr w:type="gramEnd"/>
      <w:r w:rsidRPr="00E17ACC">
        <w:rPr>
          <w:rFonts w:ascii="Georgia" w:hAnsi="Georgia" w:cs="Arial"/>
          <w:i/>
          <w:color w:val="auto"/>
          <w:szCs w:val="26"/>
        </w:rPr>
        <w:t>…) para que la impugnación pueda ser tramitada hasta establecer si debe prosperar han de cumplirse unos precisos requisitos.  En ausencia de ellos no debe dársele curso a la impugnación, o el trámite queda trunco, si ya se inició</w:t>
      </w:r>
      <w:r w:rsidRPr="000F5681">
        <w:rPr>
          <w:rFonts w:ascii="Georgia" w:hAnsi="Georgia" w:cs="Arial"/>
          <w:color w:val="auto"/>
          <w:sz w:val="26"/>
          <w:szCs w:val="26"/>
        </w:rPr>
        <w:t>”</w:t>
      </w:r>
      <w:r w:rsidR="009F7B8B" w:rsidRPr="000F5681">
        <w:rPr>
          <w:rStyle w:val="Refdenotaalpie"/>
          <w:rFonts w:ascii="Georgia" w:hAnsi="Georgia" w:cs="Arial"/>
          <w:color w:val="auto"/>
          <w:sz w:val="26"/>
          <w:szCs w:val="26"/>
        </w:rPr>
        <w:t xml:space="preserve"> </w:t>
      </w:r>
      <w:r w:rsidR="009F7B8B" w:rsidRPr="000F5681">
        <w:rPr>
          <w:rStyle w:val="Refdenotaalpie"/>
          <w:rFonts w:ascii="Georgia" w:hAnsi="Georgia" w:cs="Arial"/>
          <w:color w:val="auto"/>
          <w:sz w:val="26"/>
          <w:szCs w:val="26"/>
        </w:rPr>
        <w:footnoteReference w:id="6"/>
      </w:r>
      <w:r w:rsidR="009F7B8B" w:rsidRPr="000F5681">
        <w:rPr>
          <w:rFonts w:ascii="Georgia" w:hAnsi="Georgia" w:cs="Arial"/>
          <w:color w:val="auto"/>
          <w:sz w:val="26"/>
          <w:szCs w:val="26"/>
        </w:rPr>
        <w:t>.</w:t>
      </w:r>
    </w:p>
    <w:p w14:paraId="10650057" w14:textId="77777777" w:rsidR="00026ADC" w:rsidRPr="000F5681" w:rsidRDefault="00026ADC" w:rsidP="000F5681">
      <w:pPr>
        <w:pStyle w:val="Textopredeterminado"/>
        <w:spacing w:line="276" w:lineRule="auto"/>
        <w:ind w:left="720"/>
        <w:jc w:val="both"/>
        <w:textAlignment w:val="auto"/>
        <w:rPr>
          <w:rFonts w:ascii="Georgia" w:hAnsi="Georgia" w:cs="Arial"/>
          <w:color w:val="auto"/>
          <w:sz w:val="26"/>
          <w:szCs w:val="26"/>
        </w:rPr>
      </w:pPr>
    </w:p>
    <w:p w14:paraId="0DCABFA2" w14:textId="77777777" w:rsidR="00026ADC" w:rsidRPr="000F5681" w:rsidRDefault="00026ADC" w:rsidP="000F5681">
      <w:pPr>
        <w:pStyle w:val="Textopredeterminado"/>
        <w:spacing w:line="276" w:lineRule="auto"/>
        <w:ind w:left="720"/>
        <w:jc w:val="both"/>
        <w:textAlignment w:val="auto"/>
        <w:rPr>
          <w:rFonts w:ascii="Georgia" w:hAnsi="Georgia" w:cs="Arial"/>
          <w:color w:val="auto"/>
          <w:sz w:val="26"/>
          <w:szCs w:val="26"/>
        </w:rPr>
      </w:pPr>
      <w:r w:rsidRPr="000F5681">
        <w:rPr>
          <w:rFonts w:ascii="Georgia" w:hAnsi="Georgia" w:cs="Arial"/>
          <w:color w:val="auto"/>
          <w:sz w:val="26"/>
          <w:szCs w:val="26"/>
        </w:rPr>
        <w:t>Son concurrentes y</w:t>
      </w:r>
      <w:r w:rsidR="009F7B8B" w:rsidRPr="000F5681">
        <w:rPr>
          <w:rFonts w:ascii="Georgia" w:hAnsi="Georgia" w:cs="Arial"/>
          <w:color w:val="auto"/>
          <w:sz w:val="26"/>
          <w:szCs w:val="26"/>
        </w:rPr>
        <w:t xml:space="preserve"> necesarios, </w:t>
      </w:r>
      <w:r w:rsidRPr="000F5681">
        <w:rPr>
          <w:rFonts w:ascii="Georgia" w:hAnsi="Georgia" w:cs="Arial"/>
          <w:color w:val="auto"/>
          <w:sz w:val="26"/>
          <w:szCs w:val="26"/>
        </w:rPr>
        <w:t>ausente uno se malogra el estudio de la impugnación. La misma CSJ así ha enseñado:</w:t>
      </w:r>
      <w:r w:rsidR="009F7B8B" w:rsidRPr="000F5681">
        <w:rPr>
          <w:rFonts w:ascii="Georgia" w:hAnsi="Georgia" w:cs="Arial"/>
          <w:color w:val="auto"/>
          <w:sz w:val="26"/>
          <w:szCs w:val="26"/>
        </w:rPr>
        <w:t xml:space="preserve"> “</w:t>
      </w:r>
      <w:r w:rsidR="009F7B8B" w:rsidRPr="00E17ACC">
        <w:rPr>
          <w:rFonts w:ascii="Georgia" w:hAnsi="Georgia" w:cs="Arial"/>
          <w:i/>
          <w:color w:val="auto"/>
          <w:szCs w:val="26"/>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9F7B8B" w:rsidRPr="000F5681">
        <w:rPr>
          <w:rFonts w:ascii="Georgia" w:hAnsi="Georgia" w:cs="Arial"/>
          <w:color w:val="auto"/>
          <w:sz w:val="26"/>
          <w:szCs w:val="26"/>
        </w:rPr>
        <w:t>”</w:t>
      </w:r>
      <w:r w:rsidR="009F7B8B" w:rsidRPr="000F5681">
        <w:rPr>
          <w:rStyle w:val="Refdenotaalpie"/>
          <w:rFonts w:ascii="Georgia" w:hAnsi="Georgia"/>
          <w:color w:val="auto"/>
          <w:sz w:val="26"/>
          <w:szCs w:val="26"/>
        </w:rPr>
        <w:footnoteReference w:id="7"/>
      </w:r>
      <w:r w:rsidR="009F7B8B" w:rsidRPr="000F5681">
        <w:rPr>
          <w:rFonts w:ascii="Georgia" w:hAnsi="Georgia" w:cs="Arial"/>
          <w:color w:val="auto"/>
          <w:sz w:val="26"/>
          <w:szCs w:val="26"/>
        </w:rPr>
        <w:t xml:space="preserve">. </w:t>
      </w:r>
    </w:p>
    <w:p w14:paraId="36265BE8" w14:textId="77777777" w:rsidR="00026ADC" w:rsidRPr="000F5681" w:rsidRDefault="00026ADC" w:rsidP="000F5681">
      <w:pPr>
        <w:pStyle w:val="Textopredeterminado"/>
        <w:spacing w:line="276" w:lineRule="auto"/>
        <w:ind w:left="720"/>
        <w:jc w:val="both"/>
        <w:textAlignment w:val="auto"/>
        <w:rPr>
          <w:rFonts w:ascii="Georgia" w:hAnsi="Georgia" w:cs="Arial"/>
          <w:color w:val="auto"/>
          <w:sz w:val="26"/>
          <w:szCs w:val="26"/>
        </w:rPr>
      </w:pPr>
    </w:p>
    <w:p w14:paraId="78A093A4" w14:textId="77777777" w:rsidR="00026ADC" w:rsidRPr="000F5681" w:rsidRDefault="009F7B8B" w:rsidP="000F5681">
      <w:pPr>
        <w:pStyle w:val="Textopredeterminado"/>
        <w:spacing w:line="276" w:lineRule="auto"/>
        <w:ind w:left="720"/>
        <w:jc w:val="both"/>
        <w:textAlignment w:val="auto"/>
        <w:rPr>
          <w:rFonts w:ascii="Georgia" w:hAnsi="Georgia" w:cs="Arial"/>
          <w:color w:val="auto"/>
          <w:sz w:val="26"/>
          <w:szCs w:val="26"/>
        </w:rPr>
      </w:pPr>
      <w:r w:rsidRPr="000F5681">
        <w:rPr>
          <w:rFonts w:ascii="Georgia" w:hAnsi="Georgia" w:cs="Arial"/>
          <w:color w:val="auto"/>
          <w:sz w:val="26"/>
          <w:szCs w:val="26"/>
        </w:rPr>
        <w:t>Y en decisión más próxima (2017)</w:t>
      </w:r>
      <w:r w:rsidRPr="000F5681">
        <w:rPr>
          <w:rStyle w:val="Refdenotaalpie"/>
          <w:rFonts w:ascii="Georgia" w:hAnsi="Georgia"/>
          <w:color w:val="auto"/>
          <w:sz w:val="26"/>
          <w:szCs w:val="26"/>
        </w:rPr>
        <w:footnoteReference w:id="8"/>
      </w:r>
      <w:r w:rsidRPr="000F5681">
        <w:rPr>
          <w:rFonts w:ascii="Georgia" w:hAnsi="Georgia" w:cs="Arial"/>
          <w:color w:val="auto"/>
          <w:sz w:val="26"/>
          <w:szCs w:val="26"/>
        </w:rPr>
        <w:t xml:space="preserve"> </w:t>
      </w:r>
      <w:r w:rsidR="00026ADC" w:rsidRPr="000F5681">
        <w:rPr>
          <w:rFonts w:ascii="Georgia" w:hAnsi="Georgia" w:cs="Arial"/>
          <w:color w:val="auto"/>
          <w:sz w:val="26"/>
          <w:szCs w:val="26"/>
        </w:rPr>
        <w:t>recordó</w:t>
      </w:r>
      <w:r w:rsidRPr="000F5681">
        <w:rPr>
          <w:rFonts w:ascii="Georgia" w:hAnsi="Georgia" w:cs="Arial"/>
          <w:color w:val="auto"/>
          <w:sz w:val="26"/>
          <w:szCs w:val="26"/>
        </w:rPr>
        <w:t>: “</w:t>
      </w:r>
      <w:r w:rsidRPr="00E17ACC">
        <w:rPr>
          <w:rFonts w:ascii="Georgia" w:hAnsi="Georgia" w:cs="Arial"/>
          <w:i/>
          <w:color w:val="auto"/>
          <w:szCs w:val="26"/>
        </w:rPr>
        <w:t xml:space="preserve">(…) </w:t>
      </w:r>
      <w:r w:rsidRPr="00E17ACC">
        <w:rPr>
          <w:rFonts w:ascii="Georgia" w:hAnsi="Georgia" w:cs="Arial"/>
          <w:i/>
          <w:color w:val="auto"/>
          <w:spacing w:val="-4"/>
          <w:szCs w:val="26"/>
        </w:rPr>
        <w:t>Por supuesto que, era facultad del superior realizar el análisis preliminar para la «admisión» de la alzada, y conforme a la regla cuarta del canon 325 del C.G.P.</w:t>
      </w:r>
      <w:r w:rsidRPr="00E17ACC">
        <w:rPr>
          <w:rFonts w:ascii="Georgia" w:hAnsi="Georgia" w:cs="Arial"/>
          <w:color w:val="auto"/>
          <w:spacing w:val="-4"/>
          <w:szCs w:val="26"/>
        </w:rPr>
        <w:t xml:space="preserve"> </w:t>
      </w:r>
      <w:r w:rsidRPr="00E17ACC">
        <w:rPr>
          <w:rFonts w:ascii="Georgia" w:hAnsi="Georgia" w:cs="Arial"/>
          <w:i/>
          <w:color w:val="auto"/>
          <w:szCs w:val="26"/>
          <w:shd w:val="clear" w:color="auto" w:fill="FFFFFF"/>
        </w:rPr>
        <w:t>(…)</w:t>
      </w:r>
      <w:r w:rsidRPr="000F5681">
        <w:rPr>
          <w:rFonts w:ascii="Georgia" w:hAnsi="Georgia" w:cs="Arial"/>
          <w:i/>
          <w:color w:val="auto"/>
          <w:sz w:val="26"/>
          <w:szCs w:val="26"/>
          <w:shd w:val="clear" w:color="auto" w:fill="FFFFFF"/>
        </w:rPr>
        <w:t>”.</w:t>
      </w:r>
      <w:r w:rsidR="00F069A9" w:rsidRPr="000F5681">
        <w:rPr>
          <w:rFonts w:ascii="Georgia" w:hAnsi="Georgia" w:cs="Arial"/>
          <w:color w:val="auto"/>
          <w:sz w:val="26"/>
          <w:szCs w:val="26"/>
          <w:shd w:val="clear" w:color="auto" w:fill="FFFFFF"/>
        </w:rPr>
        <w:t xml:space="preserve"> Comentarios que son aplicables para el CGP, puesto que en este aspecto se conservó el esquema.</w:t>
      </w:r>
    </w:p>
    <w:p w14:paraId="434CFBE8" w14:textId="77777777" w:rsidR="00026ADC" w:rsidRPr="000F5681" w:rsidRDefault="00026ADC" w:rsidP="000F5681">
      <w:pPr>
        <w:pStyle w:val="Textopredeterminado"/>
        <w:spacing w:line="276" w:lineRule="auto"/>
        <w:ind w:left="720"/>
        <w:jc w:val="both"/>
        <w:textAlignment w:val="auto"/>
        <w:rPr>
          <w:rFonts w:ascii="Georgia" w:hAnsi="Georgia" w:cs="Arial"/>
          <w:color w:val="auto"/>
          <w:sz w:val="26"/>
          <w:szCs w:val="26"/>
        </w:rPr>
      </w:pPr>
    </w:p>
    <w:p w14:paraId="7B68BA89" w14:textId="77777777" w:rsidR="00026ADC" w:rsidRPr="000F5681" w:rsidRDefault="00026ADC" w:rsidP="000F5681">
      <w:pPr>
        <w:pStyle w:val="Textopredeterminado"/>
        <w:spacing w:line="276" w:lineRule="auto"/>
        <w:ind w:left="720"/>
        <w:jc w:val="both"/>
        <w:textAlignment w:val="auto"/>
        <w:rPr>
          <w:rFonts w:ascii="Georgia" w:hAnsi="Georgia" w:cs="Arial"/>
          <w:color w:val="auto"/>
          <w:sz w:val="26"/>
          <w:szCs w:val="26"/>
        </w:rPr>
      </w:pPr>
      <w:r w:rsidRPr="000F5681">
        <w:rPr>
          <w:rFonts w:ascii="Georgia" w:hAnsi="Georgia" w:cs="Arial"/>
          <w:color w:val="auto"/>
          <w:sz w:val="26"/>
          <w:szCs w:val="26"/>
        </w:rPr>
        <w:t xml:space="preserve">Ellos son </w:t>
      </w:r>
      <w:r w:rsidR="000341E2" w:rsidRPr="000F5681">
        <w:rPr>
          <w:rFonts w:ascii="Georgia" w:hAnsi="Georgia" w:cs="Arial"/>
          <w:color w:val="auto"/>
          <w:sz w:val="26"/>
          <w:szCs w:val="26"/>
        </w:rPr>
        <w:t xml:space="preserve">(i) </w:t>
      </w:r>
      <w:r w:rsidR="009F7B8B" w:rsidRPr="000F5681">
        <w:rPr>
          <w:rFonts w:ascii="Georgia" w:hAnsi="Georgia" w:cs="Arial"/>
          <w:color w:val="auto"/>
          <w:sz w:val="26"/>
          <w:szCs w:val="26"/>
        </w:rPr>
        <w:t xml:space="preserve">legitimación, </w:t>
      </w:r>
      <w:r w:rsidR="000341E2" w:rsidRPr="000F5681">
        <w:rPr>
          <w:rFonts w:ascii="Georgia" w:hAnsi="Georgia" w:cs="Arial"/>
          <w:color w:val="auto"/>
          <w:sz w:val="26"/>
          <w:szCs w:val="26"/>
        </w:rPr>
        <w:t xml:space="preserve">(ii) </w:t>
      </w:r>
      <w:r w:rsidR="009F7B8B" w:rsidRPr="000F5681">
        <w:rPr>
          <w:rFonts w:ascii="Georgia" w:hAnsi="Georgia" w:cs="Arial"/>
          <w:color w:val="auto"/>
          <w:sz w:val="26"/>
          <w:szCs w:val="26"/>
        </w:rPr>
        <w:t xml:space="preserve">oportunidad, </w:t>
      </w:r>
      <w:r w:rsidR="000341E2" w:rsidRPr="000F5681">
        <w:rPr>
          <w:rFonts w:ascii="Georgia" w:hAnsi="Georgia" w:cs="Arial"/>
          <w:color w:val="auto"/>
          <w:sz w:val="26"/>
          <w:szCs w:val="26"/>
        </w:rPr>
        <w:t xml:space="preserve">(iii) </w:t>
      </w:r>
      <w:r w:rsidR="009F7B8B" w:rsidRPr="000F5681">
        <w:rPr>
          <w:rFonts w:ascii="Georgia" w:hAnsi="Georgia" w:cs="Arial"/>
          <w:color w:val="auto"/>
          <w:sz w:val="26"/>
          <w:szCs w:val="26"/>
        </w:rPr>
        <w:t xml:space="preserve">procedencia y </w:t>
      </w:r>
      <w:r w:rsidR="000341E2" w:rsidRPr="000F5681">
        <w:rPr>
          <w:rFonts w:ascii="Georgia" w:hAnsi="Georgia" w:cs="Arial"/>
          <w:color w:val="auto"/>
          <w:sz w:val="26"/>
          <w:szCs w:val="26"/>
        </w:rPr>
        <w:t xml:space="preserve">(iv) </w:t>
      </w:r>
      <w:r w:rsidR="009F7B8B" w:rsidRPr="000F5681">
        <w:rPr>
          <w:rFonts w:ascii="Georgia" w:hAnsi="Georgia" w:cs="Arial"/>
          <w:color w:val="auto"/>
          <w:sz w:val="26"/>
          <w:szCs w:val="26"/>
        </w:rPr>
        <w:t>cargas procesales (Sustentación, expedición de copias, etc.</w:t>
      </w:r>
      <w:r w:rsidR="000341E2" w:rsidRPr="000F5681">
        <w:rPr>
          <w:rFonts w:ascii="Georgia" w:hAnsi="Georgia" w:cs="Arial"/>
          <w:color w:val="auto"/>
          <w:sz w:val="26"/>
          <w:szCs w:val="26"/>
        </w:rPr>
        <w:t>)</w:t>
      </w:r>
      <w:r w:rsidR="009F7B8B" w:rsidRPr="000F5681">
        <w:rPr>
          <w:rFonts w:ascii="Georgia" w:hAnsi="Georgia" w:cs="Arial"/>
          <w:color w:val="auto"/>
          <w:sz w:val="26"/>
          <w:szCs w:val="26"/>
        </w:rPr>
        <w:t xml:space="preserve">, los tres </w:t>
      </w:r>
      <w:r w:rsidR="000341E2" w:rsidRPr="000F5681">
        <w:rPr>
          <w:rFonts w:ascii="Georgia" w:hAnsi="Georgia" w:cs="Arial"/>
          <w:color w:val="auto"/>
          <w:sz w:val="26"/>
          <w:szCs w:val="26"/>
        </w:rPr>
        <w:t xml:space="preserve">(3) </w:t>
      </w:r>
      <w:r w:rsidR="009F7B8B" w:rsidRPr="000F5681">
        <w:rPr>
          <w:rFonts w:ascii="Georgia" w:hAnsi="Georgia" w:cs="Arial"/>
          <w:color w:val="auto"/>
          <w:sz w:val="26"/>
          <w:szCs w:val="26"/>
        </w:rPr>
        <w:t>primeros implican la inadmisibilidad del recurso</w:t>
      </w:r>
      <w:r w:rsidR="000341E2" w:rsidRPr="000F5681">
        <w:rPr>
          <w:rFonts w:ascii="Georgia" w:hAnsi="Georgia" w:cs="Arial"/>
          <w:color w:val="auto"/>
          <w:sz w:val="26"/>
          <w:szCs w:val="26"/>
        </w:rPr>
        <w:t>,</w:t>
      </w:r>
      <w:r w:rsidR="009F7B8B" w:rsidRPr="000F5681">
        <w:rPr>
          <w:rFonts w:ascii="Georgia" w:hAnsi="Georgia" w:cs="Arial"/>
          <w:color w:val="auto"/>
          <w:sz w:val="26"/>
          <w:szCs w:val="26"/>
        </w:rPr>
        <w:t xml:space="preserve"> mientras que el cuarto provoca la deserción, tal como acota la doctrina patria</w:t>
      </w:r>
      <w:r w:rsidR="009F7B8B" w:rsidRPr="000F5681">
        <w:rPr>
          <w:rStyle w:val="Refdenotaalpie"/>
          <w:rFonts w:ascii="Georgia" w:hAnsi="Georgia"/>
          <w:color w:val="auto"/>
          <w:sz w:val="26"/>
          <w:szCs w:val="26"/>
        </w:rPr>
        <w:footnoteReference w:id="9"/>
      </w:r>
      <w:r w:rsidR="009F7B8B" w:rsidRPr="000F5681">
        <w:rPr>
          <w:rFonts w:ascii="Georgia" w:hAnsi="Georgia" w:cs="Arial"/>
          <w:color w:val="auto"/>
          <w:sz w:val="26"/>
          <w:szCs w:val="26"/>
          <w:vertAlign w:val="superscript"/>
        </w:rPr>
        <w:t>-</w:t>
      </w:r>
      <w:r w:rsidR="009F7B8B" w:rsidRPr="000F5681">
        <w:rPr>
          <w:rStyle w:val="Refdenotaalpie"/>
          <w:rFonts w:ascii="Georgia" w:hAnsi="Georgia"/>
          <w:color w:val="auto"/>
          <w:sz w:val="26"/>
          <w:szCs w:val="26"/>
        </w:rPr>
        <w:footnoteReference w:id="10"/>
      </w:r>
      <w:r w:rsidR="00386016" w:rsidRPr="000F5681">
        <w:rPr>
          <w:rFonts w:ascii="Georgia" w:hAnsi="Georgia" w:cs="Arial"/>
          <w:color w:val="auto"/>
          <w:sz w:val="26"/>
          <w:szCs w:val="26"/>
        </w:rPr>
        <w:t>.</w:t>
      </w:r>
      <w:r w:rsidRPr="000F5681">
        <w:rPr>
          <w:rFonts w:ascii="Georgia" w:hAnsi="Georgia" w:cs="Arial"/>
          <w:color w:val="auto"/>
          <w:sz w:val="26"/>
          <w:szCs w:val="26"/>
        </w:rPr>
        <w:t xml:space="preserve"> </w:t>
      </w:r>
    </w:p>
    <w:p w14:paraId="7BC91001" w14:textId="77777777" w:rsidR="00026ADC" w:rsidRPr="000F5681" w:rsidRDefault="00026ADC" w:rsidP="000F5681">
      <w:pPr>
        <w:pStyle w:val="Textopredeterminado"/>
        <w:spacing w:line="276" w:lineRule="auto"/>
        <w:ind w:left="720"/>
        <w:jc w:val="both"/>
        <w:textAlignment w:val="auto"/>
        <w:rPr>
          <w:rFonts w:ascii="Georgia" w:hAnsi="Georgia" w:cs="Arial"/>
          <w:color w:val="auto"/>
          <w:sz w:val="26"/>
          <w:szCs w:val="26"/>
        </w:rPr>
      </w:pPr>
    </w:p>
    <w:p w14:paraId="6B77E87A" w14:textId="399CC652" w:rsidR="009F7B8B" w:rsidRPr="000F5681" w:rsidRDefault="00026ADC" w:rsidP="000F5681">
      <w:pPr>
        <w:pStyle w:val="Textopredeterminado"/>
        <w:spacing w:line="276" w:lineRule="auto"/>
        <w:ind w:left="720"/>
        <w:jc w:val="both"/>
        <w:textAlignment w:val="auto"/>
        <w:rPr>
          <w:rFonts w:ascii="Georgia" w:hAnsi="Georgia" w:cs="Arial"/>
          <w:color w:val="auto"/>
          <w:sz w:val="26"/>
          <w:szCs w:val="26"/>
        </w:rPr>
      </w:pPr>
      <w:r w:rsidRPr="000F5681">
        <w:rPr>
          <w:rFonts w:ascii="Georgia" w:hAnsi="Georgia" w:cs="Arial"/>
          <w:color w:val="auto"/>
          <w:sz w:val="26"/>
          <w:szCs w:val="26"/>
        </w:rPr>
        <w:lastRenderedPageBreak/>
        <w:t xml:space="preserve">En este caso están cumplidos. </w:t>
      </w:r>
      <w:r w:rsidRPr="000F5681">
        <w:rPr>
          <w:rFonts w:ascii="Georgia" w:hAnsi="Georgia" w:cs="Arial"/>
          <w:color w:val="auto"/>
          <w:sz w:val="26"/>
          <w:szCs w:val="26"/>
          <w:lang w:val="es-ES"/>
        </w:rPr>
        <w:t>La providencia atacada menoscaba los intereses de la parte actora</w:t>
      </w:r>
      <w:r w:rsidR="009F7B8B" w:rsidRPr="000F5681">
        <w:rPr>
          <w:rFonts w:ascii="Georgia" w:hAnsi="Georgia" w:cs="Arial"/>
          <w:color w:val="auto"/>
          <w:sz w:val="26"/>
          <w:szCs w:val="26"/>
        </w:rPr>
        <w:t xml:space="preserve">; el recurso </w:t>
      </w:r>
      <w:r w:rsidRPr="000F5681">
        <w:rPr>
          <w:rFonts w:ascii="Georgia" w:hAnsi="Georgia" w:cs="Arial"/>
          <w:color w:val="auto"/>
          <w:sz w:val="26"/>
          <w:szCs w:val="26"/>
        </w:rPr>
        <w:t xml:space="preserve">fue tempestivo </w:t>
      </w:r>
      <w:r w:rsidR="009E4545" w:rsidRPr="000F5681">
        <w:rPr>
          <w:rFonts w:ascii="Georgia" w:hAnsi="Georgia" w:cs="Arial"/>
          <w:color w:val="auto"/>
          <w:sz w:val="26"/>
          <w:szCs w:val="26"/>
        </w:rPr>
        <w:t>(Art</w:t>
      </w:r>
      <w:r w:rsidRPr="000F5681">
        <w:rPr>
          <w:rFonts w:ascii="Georgia" w:hAnsi="Georgia" w:cs="Arial"/>
          <w:color w:val="auto"/>
          <w:sz w:val="26"/>
          <w:szCs w:val="26"/>
        </w:rPr>
        <w:t>.</w:t>
      </w:r>
      <w:r w:rsidR="009E4545" w:rsidRPr="000F5681">
        <w:rPr>
          <w:rFonts w:ascii="Georgia" w:hAnsi="Georgia" w:cs="Arial"/>
          <w:color w:val="auto"/>
          <w:sz w:val="26"/>
          <w:szCs w:val="26"/>
        </w:rPr>
        <w:t>322-1º</w:t>
      </w:r>
      <w:r w:rsidR="002F5A53" w:rsidRPr="000F5681">
        <w:rPr>
          <w:rFonts w:ascii="Georgia" w:hAnsi="Georgia" w:cs="Arial"/>
          <w:color w:val="auto"/>
          <w:sz w:val="26"/>
          <w:szCs w:val="26"/>
        </w:rPr>
        <w:t>, CGP)</w:t>
      </w:r>
      <w:r w:rsidRPr="000F5681">
        <w:rPr>
          <w:rFonts w:ascii="Georgia" w:hAnsi="Georgia" w:cs="Arial"/>
          <w:color w:val="auto"/>
          <w:sz w:val="26"/>
          <w:szCs w:val="26"/>
        </w:rPr>
        <w:t xml:space="preserve"> y es procedente </w:t>
      </w:r>
      <w:r w:rsidR="009E4545" w:rsidRPr="000F5681">
        <w:rPr>
          <w:rFonts w:ascii="Georgia" w:hAnsi="Georgia" w:cs="Arial"/>
          <w:color w:val="auto"/>
          <w:sz w:val="26"/>
          <w:szCs w:val="26"/>
        </w:rPr>
        <w:t>(Art</w:t>
      </w:r>
      <w:r w:rsidR="1BD979D5" w:rsidRPr="000F5681">
        <w:rPr>
          <w:rFonts w:ascii="Georgia" w:hAnsi="Georgia" w:cs="Arial"/>
          <w:color w:val="auto"/>
          <w:sz w:val="26"/>
          <w:szCs w:val="26"/>
        </w:rPr>
        <w:t>s</w:t>
      </w:r>
      <w:r w:rsidRPr="000F5681">
        <w:rPr>
          <w:rFonts w:ascii="Georgia" w:hAnsi="Georgia" w:cs="Arial"/>
          <w:color w:val="auto"/>
          <w:sz w:val="26"/>
          <w:szCs w:val="26"/>
        </w:rPr>
        <w:t>.</w:t>
      </w:r>
      <w:r w:rsidR="00847767" w:rsidRPr="000F5681">
        <w:rPr>
          <w:rFonts w:ascii="Georgia" w:hAnsi="Georgia" w:cs="Arial"/>
          <w:color w:val="auto"/>
          <w:sz w:val="26"/>
          <w:szCs w:val="26"/>
        </w:rPr>
        <w:t>321-7º</w:t>
      </w:r>
      <w:r w:rsidR="20102ECC" w:rsidRPr="000F5681">
        <w:rPr>
          <w:rFonts w:ascii="Georgia" w:hAnsi="Georgia" w:cs="Arial"/>
          <w:color w:val="auto"/>
          <w:sz w:val="26"/>
          <w:szCs w:val="26"/>
        </w:rPr>
        <w:t xml:space="preserve"> y 317-2°, ordinal e)</w:t>
      </w:r>
      <w:r w:rsidRPr="000F5681">
        <w:rPr>
          <w:rFonts w:ascii="Georgia" w:hAnsi="Georgia" w:cs="Arial"/>
          <w:color w:val="auto"/>
          <w:sz w:val="26"/>
          <w:szCs w:val="26"/>
        </w:rPr>
        <w:t>, ídem</w:t>
      </w:r>
      <w:r w:rsidR="009F7B8B" w:rsidRPr="000F5681">
        <w:rPr>
          <w:rFonts w:ascii="Georgia" w:hAnsi="Georgia" w:cs="Arial"/>
          <w:color w:val="auto"/>
          <w:sz w:val="26"/>
          <w:szCs w:val="26"/>
        </w:rPr>
        <w:t>)</w:t>
      </w:r>
      <w:r w:rsidRPr="000F5681">
        <w:rPr>
          <w:rFonts w:ascii="Georgia" w:hAnsi="Georgia" w:cs="Arial"/>
          <w:color w:val="auto"/>
          <w:sz w:val="26"/>
          <w:szCs w:val="26"/>
        </w:rPr>
        <w:t>;</w:t>
      </w:r>
      <w:r w:rsidR="009F7B8B" w:rsidRPr="000F5681">
        <w:rPr>
          <w:rFonts w:ascii="Georgia" w:hAnsi="Georgia" w:cs="Arial"/>
          <w:color w:val="auto"/>
          <w:sz w:val="26"/>
          <w:szCs w:val="26"/>
        </w:rPr>
        <w:t xml:space="preserve"> y</w:t>
      </w:r>
      <w:r w:rsidRPr="000F5681">
        <w:rPr>
          <w:rFonts w:ascii="Georgia" w:hAnsi="Georgia" w:cs="Arial"/>
          <w:color w:val="auto"/>
          <w:sz w:val="26"/>
          <w:szCs w:val="26"/>
        </w:rPr>
        <w:t>,</w:t>
      </w:r>
      <w:r w:rsidR="009F7B8B" w:rsidRPr="000F5681">
        <w:rPr>
          <w:rFonts w:ascii="Georgia" w:hAnsi="Georgia" w:cs="Arial"/>
          <w:color w:val="auto"/>
          <w:sz w:val="26"/>
          <w:szCs w:val="26"/>
        </w:rPr>
        <w:t xml:space="preserve"> está cumplida la carga procesal de la sustentación (Art</w:t>
      </w:r>
      <w:r w:rsidRPr="000F5681">
        <w:rPr>
          <w:rFonts w:ascii="Georgia" w:hAnsi="Georgia" w:cs="Arial"/>
          <w:color w:val="auto"/>
          <w:sz w:val="26"/>
          <w:szCs w:val="26"/>
        </w:rPr>
        <w:t xml:space="preserve">. </w:t>
      </w:r>
      <w:r w:rsidR="009F7B8B" w:rsidRPr="000F5681">
        <w:rPr>
          <w:rFonts w:ascii="Georgia" w:hAnsi="Georgia" w:cs="Arial"/>
          <w:color w:val="auto"/>
          <w:sz w:val="26"/>
          <w:szCs w:val="26"/>
        </w:rPr>
        <w:t>322-3º</w:t>
      </w:r>
      <w:r w:rsidRPr="000F5681">
        <w:rPr>
          <w:rFonts w:ascii="Georgia" w:hAnsi="Georgia" w:cs="Arial"/>
          <w:color w:val="auto"/>
          <w:sz w:val="26"/>
          <w:szCs w:val="26"/>
        </w:rPr>
        <w:t>, íd.</w:t>
      </w:r>
      <w:r w:rsidR="009F7B8B" w:rsidRPr="000F5681">
        <w:rPr>
          <w:rFonts w:ascii="Georgia" w:hAnsi="Georgia" w:cs="Arial"/>
          <w:color w:val="auto"/>
          <w:sz w:val="26"/>
          <w:szCs w:val="26"/>
        </w:rPr>
        <w:t>)</w:t>
      </w:r>
      <w:r w:rsidR="00154732" w:rsidRPr="000F5681">
        <w:rPr>
          <w:rFonts w:ascii="Georgia" w:hAnsi="Georgia" w:cs="Arial"/>
          <w:color w:val="auto"/>
          <w:sz w:val="26"/>
          <w:szCs w:val="26"/>
        </w:rPr>
        <w:t xml:space="preserve"> (Cuaderno No.1, documento No.01, folios 66-68).</w:t>
      </w:r>
    </w:p>
    <w:p w14:paraId="721E82BC" w14:textId="77777777" w:rsidR="00A640EB" w:rsidRPr="000F5681" w:rsidRDefault="00A640EB" w:rsidP="000F5681">
      <w:pPr>
        <w:pStyle w:val="Sinespaciado"/>
        <w:spacing w:line="276" w:lineRule="auto"/>
        <w:jc w:val="both"/>
        <w:rPr>
          <w:rFonts w:ascii="Georgia" w:hAnsi="Georgia" w:cs="Arial"/>
          <w:sz w:val="26"/>
          <w:szCs w:val="26"/>
          <w:lang w:val="es-CO"/>
        </w:rPr>
      </w:pPr>
    </w:p>
    <w:p w14:paraId="178A4E3A" w14:textId="2D48E45E" w:rsidR="0053086A" w:rsidRPr="000F5681" w:rsidRDefault="00154732" w:rsidP="000F5681">
      <w:pPr>
        <w:pStyle w:val="Sinespaciado"/>
        <w:numPr>
          <w:ilvl w:val="1"/>
          <w:numId w:val="6"/>
        </w:numPr>
        <w:spacing w:line="276" w:lineRule="auto"/>
        <w:jc w:val="both"/>
        <w:rPr>
          <w:rFonts w:ascii="Georgia" w:hAnsi="Georgia"/>
          <w:sz w:val="26"/>
          <w:szCs w:val="26"/>
        </w:rPr>
      </w:pPr>
      <w:r w:rsidRPr="000F5681">
        <w:rPr>
          <w:rFonts w:ascii="Georgia" w:hAnsi="Georgia" w:cs="Arial"/>
          <w:i/>
          <w:iCs/>
          <w:smallCaps/>
          <w:sz w:val="26"/>
          <w:szCs w:val="26"/>
        </w:rPr>
        <w:t xml:space="preserve">El problema jurídico por resolver. </w:t>
      </w:r>
      <w:r w:rsidR="00BF3114" w:rsidRPr="000F5681">
        <w:rPr>
          <w:rFonts w:ascii="Georgia" w:hAnsi="Georgia"/>
          <w:sz w:val="26"/>
          <w:szCs w:val="26"/>
        </w:rPr>
        <w:t>¿</w:t>
      </w:r>
      <w:r w:rsidR="006A7F66" w:rsidRPr="000F5681">
        <w:rPr>
          <w:rFonts w:ascii="Georgia" w:hAnsi="Georgia"/>
          <w:sz w:val="26"/>
          <w:szCs w:val="26"/>
        </w:rPr>
        <w:t>Debe</w:t>
      </w:r>
      <w:r w:rsidR="00BF3114" w:rsidRPr="000F5681">
        <w:rPr>
          <w:rFonts w:ascii="Georgia" w:hAnsi="Georgia"/>
          <w:sz w:val="26"/>
          <w:szCs w:val="26"/>
        </w:rPr>
        <w:t xml:space="preserve"> confirmar</w:t>
      </w:r>
      <w:r w:rsidR="006A7F66" w:rsidRPr="000F5681">
        <w:rPr>
          <w:rFonts w:ascii="Georgia" w:hAnsi="Georgia"/>
          <w:sz w:val="26"/>
          <w:szCs w:val="26"/>
        </w:rPr>
        <w:t>se</w:t>
      </w:r>
      <w:r w:rsidR="00394B16" w:rsidRPr="000F5681">
        <w:rPr>
          <w:rFonts w:ascii="Georgia" w:hAnsi="Georgia"/>
          <w:sz w:val="26"/>
          <w:szCs w:val="26"/>
        </w:rPr>
        <w:t>, modificarse</w:t>
      </w:r>
      <w:r w:rsidR="00BF3114" w:rsidRPr="000F5681">
        <w:rPr>
          <w:rFonts w:ascii="Georgia" w:hAnsi="Georgia"/>
          <w:sz w:val="26"/>
          <w:szCs w:val="26"/>
        </w:rPr>
        <w:t xml:space="preserve"> o revocar</w:t>
      </w:r>
      <w:r w:rsidR="006A7F66" w:rsidRPr="000F5681">
        <w:rPr>
          <w:rFonts w:ascii="Georgia" w:hAnsi="Georgia"/>
          <w:sz w:val="26"/>
          <w:szCs w:val="26"/>
        </w:rPr>
        <w:t>se</w:t>
      </w:r>
      <w:r w:rsidR="00BF3114" w:rsidRPr="000F5681">
        <w:rPr>
          <w:rFonts w:ascii="Georgia" w:hAnsi="Georgia"/>
          <w:sz w:val="26"/>
          <w:szCs w:val="26"/>
        </w:rPr>
        <w:t xml:space="preserve"> </w:t>
      </w:r>
      <w:r w:rsidRPr="000F5681">
        <w:rPr>
          <w:rFonts w:ascii="Georgia" w:hAnsi="Georgia"/>
          <w:sz w:val="26"/>
          <w:szCs w:val="26"/>
        </w:rPr>
        <w:t xml:space="preserve">el </w:t>
      </w:r>
      <w:r w:rsidR="006A7F66" w:rsidRPr="000F5681">
        <w:rPr>
          <w:rFonts w:ascii="Georgia" w:hAnsi="Georgia"/>
          <w:sz w:val="26"/>
          <w:szCs w:val="26"/>
        </w:rPr>
        <w:t>auto</w:t>
      </w:r>
      <w:r w:rsidR="00BF3114" w:rsidRPr="000F5681">
        <w:rPr>
          <w:rFonts w:ascii="Georgia" w:hAnsi="Georgia"/>
          <w:sz w:val="26"/>
          <w:szCs w:val="26"/>
        </w:rPr>
        <w:t xml:space="preserve"> </w:t>
      </w:r>
      <w:r w:rsidRPr="000F5681">
        <w:rPr>
          <w:rFonts w:ascii="Georgia" w:hAnsi="Georgia"/>
          <w:sz w:val="26"/>
          <w:szCs w:val="26"/>
        </w:rPr>
        <w:t>recurrido</w:t>
      </w:r>
      <w:r w:rsidR="00394B16" w:rsidRPr="000F5681">
        <w:rPr>
          <w:rFonts w:ascii="Georgia" w:hAnsi="Georgia"/>
          <w:sz w:val="26"/>
          <w:szCs w:val="26"/>
        </w:rPr>
        <w:t xml:space="preserve">, a </w:t>
      </w:r>
      <w:r w:rsidR="00506DB0" w:rsidRPr="000F5681">
        <w:rPr>
          <w:rFonts w:ascii="Georgia" w:hAnsi="Georgia"/>
          <w:sz w:val="26"/>
          <w:szCs w:val="26"/>
        </w:rPr>
        <w:t xml:space="preserve">la </w:t>
      </w:r>
      <w:r w:rsidR="00394B16" w:rsidRPr="000F5681">
        <w:rPr>
          <w:rFonts w:ascii="Georgia" w:hAnsi="Georgia"/>
          <w:sz w:val="26"/>
          <w:szCs w:val="26"/>
        </w:rPr>
        <w:t>luz de lo argüido por el recurrente</w:t>
      </w:r>
      <w:r w:rsidR="0053086A" w:rsidRPr="000F5681">
        <w:rPr>
          <w:rFonts w:ascii="Georgia" w:hAnsi="Georgia"/>
          <w:sz w:val="26"/>
          <w:szCs w:val="26"/>
        </w:rPr>
        <w:t>?</w:t>
      </w:r>
    </w:p>
    <w:p w14:paraId="2FE7B826" w14:textId="77777777" w:rsidR="00144B3B" w:rsidRPr="000F5681" w:rsidRDefault="00144B3B" w:rsidP="000F5681">
      <w:pPr>
        <w:pStyle w:val="Sinespaciado"/>
        <w:spacing w:line="276" w:lineRule="auto"/>
        <w:ind w:left="720"/>
        <w:jc w:val="both"/>
        <w:rPr>
          <w:rFonts w:ascii="Georgia" w:hAnsi="Georgia"/>
          <w:sz w:val="26"/>
          <w:szCs w:val="26"/>
        </w:rPr>
      </w:pPr>
    </w:p>
    <w:p w14:paraId="679062AB" w14:textId="35FCEAD2" w:rsidR="00154732" w:rsidRPr="000F5681" w:rsidRDefault="00154732" w:rsidP="000F5681">
      <w:pPr>
        <w:pStyle w:val="Textopredeterminado"/>
        <w:numPr>
          <w:ilvl w:val="0"/>
          <w:numId w:val="6"/>
        </w:numPr>
        <w:spacing w:line="276" w:lineRule="auto"/>
        <w:jc w:val="both"/>
        <w:rPr>
          <w:rFonts w:ascii="Georgia" w:hAnsi="Georgia" w:cs="Arial"/>
          <w:b/>
          <w:bCs/>
          <w:smallCaps/>
          <w:color w:val="auto"/>
          <w:sz w:val="26"/>
          <w:szCs w:val="26"/>
        </w:rPr>
      </w:pPr>
      <w:r w:rsidRPr="000F5681">
        <w:rPr>
          <w:rFonts w:ascii="Georgia" w:hAnsi="Georgia" w:cs="Arial"/>
          <w:b/>
          <w:bCs/>
          <w:smallCaps/>
          <w:color w:val="auto"/>
          <w:sz w:val="26"/>
          <w:szCs w:val="26"/>
        </w:rPr>
        <w:t>La resolución del problema jurídico</w:t>
      </w:r>
    </w:p>
    <w:p w14:paraId="2926244C" w14:textId="77777777" w:rsidR="00154732" w:rsidRPr="000F5681" w:rsidRDefault="00154732" w:rsidP="000F5681">
      <w:pPr>
        <w:pStyle w:val="Textopredeterminado"/>
        <w:spacing w:line="276" w:lineRule="auto"/>
        <w:jc w:val="both"/>
        <w:rPr>
          <w:rFonts w:ascii="Georgia" w:hAnsi="Georgia" w:cs="Arial"/>
          <w:i/>
          <w:iCs/>
          <w:smallCaps/>
          <w:color w:val="auto"/>
          <w:sz w:val="26"/>
          <w:szCs w:val="26"/>
        </w:rPr>
      </w:pPr>
    </w:p>
    <w:p w14:paraId="1D33A7E5" w14:textId="13E9F1E3" w:rsidR="00C56D0B" w:rsidRPr="000F5681" w:rsidRDefault="00154732" w:rsidP="000F5681">
      <w:pPr>
        <w:pStyle w:val="Prrafodelista"/>
        <w:numPr>
          <w:ilvl w:val="1"/>
          <w:numId w:val="6"/>
        </w:numPr>
        <w:spacing w:line="276" w:lineRule="auto"/>
        <w:jc w:val="both"/>
        <w:rPr>
          <w:rFonts w:ascii="Georgia" w:hAnsi="Georgia" w:cs="Arial"/>
          <w:sz w:val="26"/>
          <w:szCs w:val="26"/>
        </w:rPr>
      </w:pPr>
      <w:r w:rsidRPr="000F5681">
        <w:rPr>
          <w:rFonts w:ascii="Georgia" w:hAnsi="Georgia" w:cs="Arial"/>
          <w:smallCaps/>
          <w:sz w:val="26"/>
          <w:szCs w:val="26"/>
        </w:rPr>
        <w:t>Los límites en el ámbito decisional de la alzada</w:t>
      </w:r>
    </w:p>
    <w:p w14:paraId="7249B22F" w14:textId="44307393" w:rsidR="11721A1B" w:rsidRPr="000F5681" w:rsidRDefault="11721A1B" w:rsidP="000F5681">
      <w:pPr>
        <w:spacing w:line="276" w:lineRule="auto"/>
        <w:jc w:val="both"/>
        <w:rPr>
          <w:rFonts w:ascii="Georgia" w:hAnsi="Georgia" w:cs="Arial"/>
          <w:sz w:val="26"/>
          <w:szCs w:val="26"/>
        </w:rPr>
      </w:pPr>
    </w:p>
    <w:p w14:paraId="7B11DBD1" w14:textId="5C5E0005" w:rsidR="00143CA9" w:rsidRPr="000F5681" w:rsidRDefault="00143CA9" w:rsidP="000F5681">
      <w:pPr>
        <w:spacing w:line="276" w:lineRule="auto"/>
        <w:jc w:val="both"/>
        <w:rPr>
          <w:rFonts w:ascii="Georgia" w:hAnsi="Georgia" w:cs="Arial"/>
          <w:sz w:val="26"/>
          <w:szCs w:val="26"/>
        </w:rPr>
      </w:pPr>
      <w:r w:rsidRPr="000F5681">
        <w:rPr>
          <w:rFonts w:ascii="Georgia" w:hAnsi="Georgia" w:cs="Arial"/>
          <w:sz w:val="26"/>
          <w:szCs w:val="26"/>
        </w:rPr>
        <w:t xml:space="preserve">En esta sede están definidos por los temas objeto del recurso, es una patente aplicación del modelo dispositivo en el proceso civil nacional (Arts.  320 y 328, CGP), es lo que hoy se conoce como la </w:t>
      </w:r>
      <w:r w:rsidRPr="000F5681">
        <w:rPr>
          <w:rFonts w:ascii="Georgia" w:hAnsi="Georgia" w:cs="Arial"/>
          <w:i/>
          <w:iCs/>
          <w:sz w:val="26"/>
          <w:szCs w:val="26"/>
        </w:rPr>
        <w:t>pretensión impugnaticia</w:t>
      </w:r>
      <w:r w:rsidRPr="000F5681">
        <w:rPr>
          <w:rStyle w:val="Refdenotaalpie"/>
          <w:rFonts w:ascii="Georgia" w:hAnsi="Georgia"/>
          <w:i/>
          <w:iCs/>
          <w:sz w:val="26"/>
          <w:szCs w:val="26"/>
        </w:rPr>
        <w:footnoteReference w:id="11"/>
      </w:r>
      <w:r w:rsidRPr="000F5681">
        <w:rPr>
          <w:rFonts w:ascii="Georgia" w:hAnsi="Georgia" w:cs="Arial"/>
          <w:sz w:val="26"/>
          <w:szCs w:val="26"/>
        </w:rPr>
        <w:t>, novedad de la nueva regulación procedimental del CGP, según la literatura especializada, entre ellos el doctor Forero S.</w:t>
      </w:r>
      <w:r w:rsidRPr="000F5681">
        <w:rPr>
          <w:rStyle w:val="Refdenotaalpie"/>
          <w:rFonts w:ascii="Georgia" w:hAnsi="Georgia"/>
          <w:sz w:val="26"/>
          <w:szCs w:val="26"/>
        </w:rPr>
        <w:footnoteReference w:id="12"/>
      </w:r>
      <w:r w:rsidRPr="000F5681">
        <w:rPr>
          <w:rFonts w:ascii="Georgia" w:hAnsi="Georgia" w:cs="Arial"/>
          <w:sz w:val="26"/>
          <w:szCs w:val="26"/>
        </w:rPr>
        <w:t>. Discrepa</w:t>
      </w:r>
      <w:r w:rsidRPr="000F5681">
        <w:rPr>
          <w:rFonts w:ascii="Georgia" w:hAnsi="Georgia" w:cs="Arial"/>
          <w:strike/>
          <w:sz w:val="26"/>
          <w:szCs w:val="26"/>
        </w:rPr>
        <w:t>,</w:t>
      </w:r>
      <w:r w:rsidRPr="000F5681">
        <w:rPr>
          <w:rFonts w:ascii="Georgia" w:hAnsi="Georgia" w:cs="Arial"/>
          <w:sz w:val="26"/>
          <w:szCs w:val="26"/>
        </w:rPr>
        <w:t xml:space="preserve"> el profesor Bejarano G.</w:t>
      </w:r>
      <w:r w:rsidRPr="000F5681">
        <w:rPr>
          <w:rStyle w:val="Refdenotaalpie"/>
          <w:rFonts w:ascii="Georgia" w:hAnsi="Georgia"/>
          <w:sz w:val="26"/>
          <w:szCs w:val="26"/>
        </w:rPr>
        <w:footnoteReference w:id="13"/>
      </w:r>
      <w:r w:rsidRPr="000F5681">
        <w:rPr>
          <w:rFonts w:ascii="Georgia" w:hAnsi="Georgia" w:cs="Arial"/>
          <w:sz w:val="26"/>
          <w:szCs w:val="26"/>
        </w:rPr>
        <w:t>, al entender que contraviene la tutela judicial efectiva, de igual parecer Quintero G.</w:t>
      </w:r>
      <w:r w:rsidRPr="000F5681">
        <w:rPr>
          <w:rStyle w:val="Refdenotaalpie"/>
          <w:rFonts w:ascii="Georgia" w:hAnsi="Georgia"/>
          <w:sz w:val="26"/>
          <w:szCs w:val="26"/>
        </w:rPr>
        <w:footnoteReference w:id="14"/>
      </w:r>
      <w:r w:rsidRPr="000F5681">
        <w:rPr>
          <w:rFonts w:ascii="Georgia" w:hAnsi="Georgia" w:cs="Arial"/>
          <w:sz w:val="26"/>
          <w:szCs w:val="26"/>
        </w:rPr>
        <w:t>, mas esta Magistratura disiente de esas opiniones divergentes, en todo caso minoritarias.</w:t>
      </w:r>
    </w:p>
    <w:p w14:paraId="772AC7CD" w14:textId="77777777" w:rsidR="00143CA9" w:rsidRPr="000F5681" w:rsidRDefault="00143CA9" w:rsidP="000F5681">
      <w:pPr>
        <w:spacing w:line="276" w:lineRule="auto"/>
        <w:jc w:val="both"/>
        <w:rPr>
          <w:rFonts w:ascii="Georgia" w:hAnsi="Georgia" w:cs="Arial"/>
          <w:bCs/>
          <w:sz w:val="26"/>
          <w:szCs w:val="26"/>
        </w:rPr>
      </w:pPr>
    </w:p>
    <w:p w14:paraId="3F3FEC73" w14:textId="77777777" w:rsidR="00143CA9" w:rsidRPr="000F5681" w:rsidRDefault="00143CA9" w:rsidP="000F5681">
      <w:pPr>
        <w:spacing w:line="276" w:lineRule="auto"/>
        <w:jc w:val="both"/>
        <w:rPr>
          <w:rFonts w:ascii="Georgia" w:hAnsi="Georgia" w:cs="Arial"/>
          <w:sz w:val="26"/>
          <w:szCs w:val="26"/>
        </w:rPr>
      </w:pPr>
      <w:r w:rsidRPr="000F5681">
        <w:rPr>
          <w:rFonts w:ascii="Georgia" w:hAnsi="Georgia" w:cs="Arial"/>
          <w:sz w:val="26"/>
          <w:szCs w:val="26"/>
        </w:rPr>
        <w:t>Ha entendido, de manera pacífica y consistente, esta Colegiatura en múltiples decisiones, por ejemplo, las más recientes: de esta misma Sala y de otra</w:t>
      </w:r>
      <w:r w:rsidRPr="000F5681">
        <w:rPr>
          <w:rStyle w:val="Refdenotaalpie"/>
          <w:rFonts w:ascii="Georgia" w:hAnsi="Georgia"/>
          <w:sz w:val="26"/>
          <w:szCs w:val="26"/>
        </w:rPr>
        <w:footnoteReference w:id="15"/>
      </w:r>
      <w:r w:rsidRPr="000F5681">
        <w:rPr>
          <w:rFonts w:ascii="Georgia" w:hAnsi="Georgia" w:cs="Arial"/>
          <w:sz w:val="26"/>
          <w:szCs w:val="26"/>
        </w:rPr>
        <w:t>, que opera la aludida restricción. En la última sentencia mencionada, se prohijó lo argüido por la CSJ en 2017</w:t>
      </w:r>
      <w:r w:rsidRPr="000F5681">
        <w:rPr>
          <w:rStyle w:val="Refdenotaalpie"/>
          <w:rFonts w:ascii="Georgia" w:hAnsi="Georgia"/>
          <w:sz w:val="26"/>
          <w:szCs w:val="26"/>
        </w:rPr>
        <w:footnoteReference w:id="16"/>
      </w:r>
      <w:r w:rsidRPr="000F5681">
        <w:rPr>
          <w:rFonts w:ascii="Georgia" w:hAnsi="Georgia" w:cs="Arial"/>
          <w:sz w:val="26"/>
          <w:szCs w:val="26"/>
        </w:rPr>
        <w:t>, eso sí como criterio auxiliar; y en decisión posterior y más reciente, la misma Corporación</w:t>
      </w:r>
      <w:r w:rsidRPr="000F5681">
        <w:rPr>
          <w:rStyle w:val="Refdenotaalpie"/>
          <w:rFonts w:ascii="Georgia" w:hAnsi="Georgia"/>
          <w:sz w:val="26"/>
          <w:szCs w:val="26"/>
        </w:rPr>
        <w:footnoteReference w:id="17"/>
      </w:r>
      <w:r w:rsidRPr="000F5681">
        <w:rPr>
          <w:rFonts w:ascii="Georgia" w:hAnsi="Georgia" w:cs="Arial"/>
          <w:sz w:val="26"/>
          <w:szCs w:val="26"/>
        </w:rPr>
        <w:t xml:space="preserve"> (2019), ya en sede de casación reiteró la referida tesis de la apelación restrictiva.</w:t>
      </w:r>
    </w:p>
    <w:p w14:paraId="125EBDB0" w14:textId="77777777" w:rsidR="00143CA9" w:rsidRPr="000F5681" w:rsidRDefault="00143CA9" w:rsidP="000F5681">
      <w:pPr>
        <w:spacing w:line="276" w:lineRule="auto"/>
        <w:jc w:val="both"/>
        <w:rPr>
          <w:rFonts w:ascii="Georgia" w:hAnsi="Georgia" w:cs="Arial"/>
          <w:bCs/>
          <w:sz w:val="26"/>
          <w:szCs w:val="26"/>
        </w:rPr>
      </w:pPr>
    </w:p>
    <w:p w14:paraId="374B39D9" w14:textId="17F08064" w:rsidR="00154732" w:rsidRPr="000F5681" w:rsidRDefault="00143CA9" w:rsidP="000F5681">
      <w:pPr>
        <w:spacing w:line="276" w:lineRule="auto"/>
        <w:jc w:val="both"/>
        <w:rPr>
          <w:rFonts w:ascii="Georgia" w:hAnsi="Georgia" w:cs="Arial"/>
          <w:sz w:val="26"/>
          <w:szCs w:val="26"/>
        </w:rPr>
      </w:pPr>
      <w:r w:rsidRPr="000F5681">
        <w:rPr>
          <w:rFonts w:ascii="Georgia" w:hAnsi="Georgia" w:cs="Arial"/>
          <w:sz w:val="26"/>
          <w:szCs w:val="26"/>
        </w:rPr>
        <w:t xml:space="preserve">Ahora, también son límites para la resolución del caso, el principio de congruencia como regla general (Art. 281, ibidem). Las excepciones, es decir, aquellos temas que son revisables de oficio son los asuntos de familia y agrarios (Art. 281, parágrafos 1º y 2º, ibidem), las excepciones declarables de oficio (Art. </w:t>
      </w:r>
      <w:r w:rsidRPr="000F5681">
        <w:rPr>
          <w:rFonts w:ascii="Georgia" w:hAnsi="Georgia" w:cs="Arial"/>
          <w:sz w:val="26"/>
          <w:szCs w:val="26"/>
        </w:rPr>
        <w:lastRenderedPageBreak/>
        <w:t>282, ibidem) y los eventos del artículo 282, inc.3º., ib.; también los presupuestos procesales</w:t>
      </w:r>
      <w:r w:rsidRPr="000F5681">
        <w:rPr>
          <w:rStyle w:val="Refdenotaalpie"/>
          <w:rFonts w:ascii="Georgia" w:hAnsi="Georgia"/>
          <w:sz w:val="26"/>
          <w:szCs w:val="26"/>
        </w:rPr>
        <w:footnoteReference w:id="18"/>
      </w:r>
      <w:r w:rsidRPr="000F5681">
        <w:rPr>
          <w:rFonts w:ascii="Georgia" w:hAnsi="Georgia" w:cs="Arial"/>
          <w:sz w:val="26"/>
          <w:szCs w:val="26"/>
        </w:rPr>
        <w:t xml:space="preserve"> y sustanciales</w:t>
      </w:r>
      <w:r w:rsidRPr="000F5681">
        <w:rPr>
          <w:rStyle w:val="Refdenotaalpie"/>
          <w:rFonts w:ascii="Georgia" w:hAnsi="Georgia"/>
          <w:sz w:val="26"/>
          <w:szCs w:val="26"/>
        </w:rPr>
        <w:footnoteReference w:id="19"/>
      </w:r>
      <w:r w:rsidRPr="000F5681">
        <w:rPr>
          <w:rFonts w:ascii="Georgia" w:hAnsi="Georgia" w:cs="Arial"/>
          <w:sz w:val="26"/>
          <w:szCs w:val="26"/>
        </w:rPr>
        <w:t>, las nulidades absolutas (Art. 2º, Ley 50 de 1936), las prestaciones mutuas</w:t>
      </w:r>
      <w:r w:rsidRPr="000F5681">
        <w:rPr>
          <w:rStyle w:val="Refdenotaalpie"/>
          <w:rFonts w:ascii="Georgia" w:hAnsi="Georgia"/>
          <w:sz w:val="26"/>
          <w:szCs w:val="26"/>
        </w:rPr>
        <w:footnoteReference w:id="20"/>
      </w:r>
      <w:r w:rsidRPr="000F5681">
        <w:rPr>
          <w:rFonts w:ascii="Georgia" w:hAnsi="Georgia" w:cs="Arial"/>
          <w:sz w:val="26"/>
          <w:szCs w:val="26"/>
        </w:rPr>
        <w:t xml:space="preserve"> y las costas procesales</w:t>
      </w:r>
      <w:r w:rsidRPr="000F5681">
        <w:rPr>
          <w:rStyle w:val="Refdenotaalpie"/>
          <w:rFonts w:ascii="Georgia" w:hAnsi="Georgia"/>
          <w:sz w:val="26"/>
          <w:szCs w:val="26"/>
        </w:rPr>
        <w:footnoteReference w:id="21"/>
      </w:r>
      <w:r w:rsidRPr="000F5681">
        <w:rPr>
          <w:rFonts w:ascii="Georgia" w:hAnsi="Georgia" w:cs="Arial"/>
          <w:sz w:val="26"/>
          <w:szCs w:val="26"/>
        </w:rPr>
        <w:t>, la extensión de la condena en concreto (Art.283, ibidem); cuando se ordenan pruebas en segunda instancia</w:t>
      </w:r>
      <w:r w:rsidRPr="000F5681">
        <w:rPr>
          <w:rStyle w:val="Refdenotaalpie"/>
          <w:rFonts w:ascii="Georgia" w:hAnsi="Georgia" w:cs="Arial"/>
          <w:sz w:val="26"/>
          <w:szCs w:val="26"/>
        </w:rPr>
        <w:footnoteReference w:id="22"/>
      </w:r>
      <w:r w:rsidRPr="000F5681">
        <w:rPr>
          <w:rFonts w:ascii="Georgia" w:hAnsi="Georgia" w:cs="Arial"/>
          <w:sz w:val="26"/>
          <w:szCs w:val="26"/>
        </w:rPr>
        <w:t>; la apelación adhesiva (Art.328, inc.2º, CGP); por último, es panorámica la competencia cuando ambas partes recurren, en lo desfavorable (Art.328, inciso 2º, CGP)</w:t>
      </w:r>
      <w:r w:rsidR="00154732" w:rsidRPr="000F5681">
        <w:rPr>
          <w:rFonts w:ascii="Georgia" w:hAnsi="Georgia" w:cs="Arial"/>
          <w:sz w:val="26"/>
          <w:szCs w:val="26"/>
          <w:lang w:val="es-CO"/>
        </w:rPr>
        <w:t>.</w:t>
      </w:r>
    </w:p>
    <w:p w14:paraId="5BF7032F" w14:textId="77777777" w:rsidR="00B91725" w:rsidRPr="000F5681" w:rsidRDefault="00B91725" w:rsidP="000F5681">
      <w:pPr>
        <w:pStyle w:val="Textopredeterminado"/>
        <w:spacing w:line="276" w:lineRule="auto"/>
        <w:jc w:val="both"/>
        <w:rPr>
          <w:rFonts w:ascii="Georgia" w:hAnsi="Georgia" w:cs="Arial"/>
          <w:color w:val="auto"/>
          <w:sz w:val="26"/>
          <w:szCs w:val="26"/>
        </w:rPr>
      </w:pPr>
    </w:p>
    <w:p w14:paraId="2E421B9C" w14:textId="25FF8929" w:rsidR="00E206BE" w:rsidRPr="000F5681" w:rsidRDefault="00E206BE" w:rsidP="000F5681">
      <w:pPr>
        <w:pStyle w:val="Prrafodelista"/>
        <w:numPr>
          <w:ilvl w:val="1"/>
          <w:numId w:val="6"/>
        </w:numPr>
        <w:overflowPunct w:val="0"/>
        <w:autoSpaceDE w:val="0"/>
        <w:autoSpaceDN w:val="0"/>
        <w:adjustRightInd w:val="0"/>
        <w:spacing w:line="276" w:lineRule="auto"/>
        <w:jc w:val="both"/>
        <w:textAlignment w:val="baseline"/>
        <w:rPr>
          <w:rFonts w:ascii="Georgia" w:hAnsi="Georgia" w:cs="Arial"/>
          <w:smallCaps/>
          <w:sz w:val="26"/>
          <w:szCs w:val="26"/>
        </w:rPr>
      </w:pPr>
      <w:r w:rsidRPr="000F5681">
        <w:rPr>
          <w:rFonts w:ascii="Georgia" w:hAnsi="Georgia" w:cs="Arial"/>
          <w:smallCaps/>
          <w:sz w:val="26"/>
          <w:szCs w:val="26"/>
        </w:rPr>
        <w:t>El desistimiento tácito en el CGP</w:t>
      </w:r>
    </w:p>
    <w:p w14:paraId="3929FAFA" w14:textId="77777777" w:rsidR="00E206BE" w:rsidRPr="000F5681" w:rsidRDefault="00E206BE" w:rsidP="000F5681">
      <w:pPr>
        <w:pStyle w:val="Sinespaciado"/>
        <w:spacing w:line="276" w:lineRule="auto"/>
        <w:jc w:val="both"/>
        <w:rPr>
          <w:rFonts w:ascii="Georgia" w:hAnsi="Georgia" w:cs="Arial"/>
          <w:sz w:val="26"/>
          <w:szCs w:val="26"/>
        </w:rPr>
      </w:pPr>
    </w:p>
    <w:p w14:paraId="1A8E115A" w14:textId="17DB9FA1" w:rsidR="00E206BE" w:rsidRPr="000F5681" w:rsidRDefault="00E206BE" w:rsidP="000F5681">
      <w:pPr>
        <w:pStyle w:val="Sinespaciado"/>
        <w:spacing w:line="276" w:lineRule="auto"/>
        <w:jc w:val="both"/>
        <w:rPr>
          <w:rFonts w:ascii="Georgia" w:hAnsi="Georgia" w:cs="Arial"/>
          <w:sz w:val="26"/>
          <w:szCs w:val="26"/>
        </w:rPr>
      </w:pPr>
      <w:r w:rsidRPr="000F5681">
        <w:rPr>
          <w:rFonts w:ascii="Georgia" w:hAnsi="Georgia" w:cs="Arial"/>
          <w:sz w:val="26"/>
          <w:szCs w:val="26"/>
        </w:rPr>
        <w:t xml:space="preserve">La figura se incorporó a nuestro sistema procesal a partir de la Ley 1194, </w:t>
      </w:r>
      <w:r w:rsidRPr="000F5681">
        <w:rPr>
          <w:rFonts w:ascii="Georgia" w:hAnsi="Georgia" w:cs="Arial"/>
          <w:i/>
          <w:iCs/>
          <w:sz w:val="26"/>
          <w:szCs w:val="26"/>
        </w:rPr>
        <w:t>“Por medio de la cual se reforma el Código de Procedimiento Civil y se dictan otras disposiciones”</w:t>
      </w:r>
      <w:r w:rsidRPr="000F5681">
        <w:rPr>
          <w:rFonts w:ascii="Georgia" w:hAnsi="Georgia" w:cs="Arial"/>
          <w:sz w:val="26"/>
          <w:szCs w:val="26"/>
        </w:rPr>
        <w:t>, como una forma más,</w:t>
      </w:r>
      <w:r w:rsidR="00154732" w:rsidRPr="000F5681">
        <w:rPr>
          <w:rFonts w:ascii="Georgia" w:hAnsi="Georgia" w:cs="Arial"/>
          <w:sz w:val="26"/>
          <w:szCs w:val="26"/>
        </w:rPr>
        <w:t xml:space="preserve"> </w:t>
      </w:r>
      <w:r w:rsidRPr="000F5681">
        <w:rPr>
          <w:rFonts w:ascii="Georgia" w:hAnsi="Georgia" w:cs="Arial"/>
          <w:sz w:val="26"/>
          <w:szCs w:val="26"/>
        </w:rPr>
        <w:t>de terminación anormal de los procesos,</w:t>
      </w:r>
      <w:r w:rsidR="00154732" w:rsidRPr="000F5681">
        <w:rPr>
          <w:rFonts w:ascii="Georgia" w:hAnsi="Georgia" w:cs="Arial"/>
          <w:sz w:val="26"/>
          <w:szCs w:val="26"/>
        </w:rPr>
        <w:t xml:space="preserve"> opera</w:t>
      </w:r>
      <w:r w:rsidRPr="000F5681">
        <w:rPr>
          <w:rFonts w:ascii="Georgia" w:hAnsi="Georgia" w:cs="Arial"/>
          <w:sz w:val="26"/>
          <w:szCs w:val="26"/>
        </w:rPr>
        <w:t xml:space="preserve"> de oficio o a petición de parte.</w:t>
      </w:r>
    </w:p>
    <w:p w14:paraId="573C7CF1" w14:textId="77777777" w:rsidR="00E206BE" w:rsidRPr="000F5681" w:rsidRDefault="00E206BE" w:rsidP="000F5681">
      <w:pPr>
        <w:pStyle w:val="Sinespaciado"/>
        <w:spacing w:line="276" w:lineRule="auto"/>
        <w:jc w:val="both"/>
        <w:rPr>
          <w:rFonts w:ascii="Georgia" w:hAnsi="Georgia" w:cs="Arial"/>
          <w:sz w:val="26"/>
          <w:szCs w:val="26"/>
        </w:rPr>
      </w:pPr>
    </w:p>
    <w:p w14:paraId="79F9CDCD" w14:textId="77777777" w:rsidR="00E17ACC" w:rsidRDefault="00E206BE" w:rsidP="000F5681">
      <w:pPr>
        <w:pStyle w:val="Sinespaciado"/>
        <w:spacing w:line="276" w:lineRule="auto"/>
        <w:jc w:val="both"/>
        <w:rPr>
          <w:rFonts w:ascii="Georgia" w:hAnsi="Georgia" w:cs="Arial"/>
          <w:sz w:val="26"/>
          <w:szCs w:val="26"/>
        </w:rPr>
      </w:pPr>
      <w:r w:rsidRPr="000F5681">
        <w:rPr>
          <w:rFonts w:ascii="Georgia" w:hAnsi="Georgia" w:cs="Arial"/>
          <w:sz w:val="26"/>
          <w:szCs w:val="26"/>
        </w:rPr>
        <w:t>En su momento, la CC</w:t>
      </w:r>
      <w:r w:rsidRPr="000F5681">
        <w:rPr>
          <w:rFonts w:ascii="Georgia" w:hAnsi="Georgia" w:cs="Arial"/>
          <w:sz w:val="26"/>
          <w:szCs w:val="26"/>
          <w:vertAlign w:val="superscript"/>
        </w:rPr>
        <w:footnoteReference w:id="23"/>
      </w:r>
      <w:r w:rsidRPr="000F5681">
        <w:rPr>
          <w:rFonts w:ascii="Georgia" w:hAnsi="Georgia" w:cs="Arial"/>
          <w:sz w:val="26"/>
          <w:szCs w:val="26"/>
        </w:rPr>
        <w:t xml:space="preserve"> (2008) al ocuparse de su inconstitucionalidad, </w:t>
      </w:r>
      <w:r w:rsidR="00154732" w:rsidRPr="000F5681">
        <w:rPr>
          <w:rFonts w:ascii="Georgia" w:hAnsi="Georgia" w:cs="Arial"/>
          <w:sz w:val="26"/>
          <w:szCs w:val="26"/>
        </w:rPr>
        <w:t>razonó</w:t>
      </w:r>
      <w:r w:rsidRPr="000F5681">
        <w:rPr>
          <w:rFonts w:ascii="Georgia" w:hAnsi="Georgia" w:cs="Arial"/>
          <w:sz w:val="26"/>
          <w:szCs w:val="26"/>
        </w:rPr>
        <w:t>:</w:t>
      </w:r>
    </w:p>
    <w:p w14:paraId="1DA536A5" w14:textId="77777777" w:rsidR="00E17ACC" w:rsidRDefault="00E17ACC" w:rsidP="000F5681">
      <w:pPr>
        <w:pStyle w:val="Sinespaciado"/>
        <w:spacing w:line="276" w:lineRule="auto"/>
        <w:jc w:val="both"/>
        <w:rPr>
          <w:rFonts w:ascii="Georgia" w:hAnsi="Georgia" w:cs="Arial"/>
          <w:sz w:val="26"/>
          <w:szCs w:val="26"/>
        </w:rPr>
      </w:pPr>
    </w:p>
    <w:p w14:paraId="4691FBD2" w14:textId="7F593DCF" w:rsidR="00E206BE" w:rsidRPr="000F5681" w:rsidRDefault="00154732" w:rsidP="000F5681">
      <w:pPr>
        <w:pStyle w:val="Sinespaciado"/>
        <w:spacing w:line="276" w:lineRule="auto"/>
        <w:jc w:val="both"/>
        <w:rPr>
          <w:rFonts w:ascii="Georgia" w:hAnsi="Georgia" w:cs="Arial"/>
          <w:sz w:val="26"/>
          <w:szCs w:val="26"/>
        </w:rPr>
      </w:pPr>
      <w:r w:rsidRPr="000F5681">
        <w:rPr>
          <w:rFonts w:ascii="Georgia" w:hAnsi="Georgia" w:cs="Arial"/>
          <w:sz w:val="26"/>
          <w:szCs w:val="26"/>
        </w:rPr>
        <w:t>“</w:t>
      </w:r>
      <w:r w:rsidR="00E206BE" w:rsidRPr="00E17ACC">
        <w:rPr>
          <w:rFonts w:ascii="Georgia" w:hAnsi="Georgia" w:cs="Arial"/>
          <w:i/>
          <w:sz w:val="24"/>
          <w:szCs w:val="26"/>
        </w:rPr>
        <w:t>(…) es una forma anormal de terminación del proceso, que se sigue como consecuencia jurídica del incumplimiento de una carga procesal a cargo de la parte que promovió un trámite, y de la cual depende la continuación del proceso, pero no la cumple en un determinado lapso, con la cual se busca sancionar no sólo la desidia sino también el abuso de los derechos procesales (…)</w:t>
      </w:r>
      <w:r w:rsidR="00E206BE" w:rsidRPr="000F5681">
        <w:rPr>
          <w:rFonts w:ascii="Georgia" w:hAnsi="Georgia" w:cs="Arial"/>
          <w:i/>
          <w:sz w:val="26"/>
          <w:szCs w:val="26"/>
        </w:rPr>
        <w:t>”</w:t>
      </w:r>
      <w:r w:rsidR="00E206BE" w:rsidRPr="000F5681">
        <w:rPr>
          <w:rFonts w:ascii="Georgia" w:hAnsi="Georgia" w:cs="Arial"/>
          <w:sz w:val="26"/>
          <w:szCs w:val="26"/>
        </w:rPr>
        <w:t>.  El concepto fue reiterado por la misma Corporación</w:t>
      </w:r>
      <w:r w:rsidR="00E206BE" w:rsidRPr="000F5681">
        <w:rPr>
          <w:rFonts w:ascii="Georgia" w:hAnsi="Georgia" w:cs="Arial"/>
          <w:sz w:val="26"/>
          <w:szCs w:val="26"/>
          <w:vertAlign w:val="superscript"/>
        </w:rPr>
        <w:footnoteReference w:id="24"/>
      </w:r>
      <w:r w:rsidR="00E206BE" w:rsidRPr="000F5681">
        <w:rPr>
          <w:rFonts w:ascii="Georgia" w:hAnsi="Georgia" w:cs="Arial"/>
          <w:sz w:val="26"/>
          <w:szCs w:val="26"/>
        </w:rPr>
        <w:t xml:space="preserve"> </w:t>
      </w:r>
      <w:r w:rsidRPr="000F5681">
        <w:rPr>
          <w:rFonts w:ascii="Georgia" w:hAnsi="Georgia" w:cs="Arial"/>
          <w:sz w:val="26"/>
          <w:szCs w:val="26"/>
        </w:rPr>
        <w:t>(</w:t>
      </w:r>
      <w:r w:rsidR="004D6D81" w:rsidRPr="000F5681">
        <w:rPr>
          <w:rFonts w:ascii="Georgia" w:hAnsi="Georgia" w:cs="Arial"/>
          <w:sz w:val="26"/>
          <w:szCs w:val="26"/>
        </w:rPr>
        <w:t>2010</w:t>
      </w:r>
      <w:r w:rsidRPr="000F5681">
        <w:rPr>
          <w:rFonts w:ascii="Georgia" w:hAnsi="Georgia" w:cs="Arial"/>
          <w:sz w:val="26"/>
          <w:szCs w:val="26"/>
        </w:rPr>
        <w:t>)</w:t>
      </w:r>
      <w:r w:rsidR="00F527A3" w:rsidRPr="000F5681">
        <w:rPr>
          <w:rFonts w:ascii="Georgia" w:hAnsi="Georgia" w:cs="Arial"/>
          <w:sz w:val="26"/>
          <w:szCs w:val="26"/>
        </w:rPr>
        <w:t xml:space="preserve"> al </w:t>
      </w:r>
      <w:r w:rsidR="00E206BE" w:rsidRPr="000F5681">
        <w:rPr>
          <w:rFonts w:ascii="Georgia" w:hAnsi="Georgia" w:cs="Arial"/>
          <w:sz w:val="26"/>
          <w:szCs w:val="26"/>
        </w:rPr>
        <w:t>revisar la constitucionalidad de la norma</w:t>
      </w:r>
      <w:r w:rsidR="00F527A3" w:rsidRPr="000F5681">
        <w:rPr>
          <w:rFonts w:ascii="Georgia" w:hAnsi="Georgia" w:cs="Arial"/>
          <w:sz w:val="26"/>
          <w:szCs w:val="26"/>
        </w:rPr>
        <w:t>.</w:t>
      </w:r>
    </w:p>
    <w:p w14:paraId="6976920F" w14:textId="77777777" w:rsidR="00E206BE" w:rsidRPr="000F5681" w:rsidRDefault="00E206BE" w:rsidP="000F5681">
      <w:pPr>
        <w:pStyle w:val="Sinespaciado"/>
        <w:spacing w:line="276" w:lineRule="auto"/>
        <w:jc w:val="both"/>
        <w:rPr>
          <w:rFonts w:ascii="Georgia" w:hAnsi="Georgia" w:cs="Arial"/>
          <w:sz w:val="26"/>
          <w:szCs w:val="26"/>
        </w:rPr>
      </w:pPr>
    </w:p>
    <w:p w14:paraId="04CE4370" w14:textId="7C6C0E36" w:rsidR="00E206BE" w:rsidRPr="000F5681" w:rsidRDefault="0961121E" w:rsidP="000F5681">
      <w:pPr>
        <w:pStyle w:val="Sinespaciado"/>
        <w:spacing w:line="276" w:lineRule="auto"/>
        <w:jc w:val="both"/>
        <w:rPr>
          <w:rFonts w:ascii="Georgia" w:hAnsi="Georgia" w:cs="Arial"/>
          <w:sz w:val="26"/>
          <w:szCs w:val="26"/>
        </w:rPr>
      </w:pPr>
      <w:r w:rsidRPr="000F5681">
        <w:rPr>
          <w:rFonts w:ascii="Georgia" w:hAnsi="Georgia" w:cs="Arial"/>
          <w:sz w:val="26"/>
          <w:szCs w:val="26"/>
        </w:rPr>
        <w:t xml:space="preserve">Esas </w:t>
      </w:r>
      <w:r w:rsidR="00E206BE" w:rsidRPr="000F5681">
        <w:rPr>
          <w:rFonts w:ascii="Georgia" w:hAnsi="Georgia" w:cs="Arial"/>
          <w:sz w:val="26"/>
          <w:szCs w:val="26"/>
        </w:rPr>
        <w:t>consecuencias adversas, se concibieron como efecto por desaten</w:t>
      </w:r>
      <w:r w:rsidR="5908E1FA" w:rsidRPr="000F5681">
        <w:rPr>
          <w:rFonts w:ascii="Georgia" w:hAnsi="Georgia" w:cs="Arial"/>
          <w:sz w:val="26"/>
          <w:szCs w:val="26"/>
        </w:rPr>
        <w:t>der</w:t>
      </w:r>
      <w:r w:rsidR="00E206BE" w:rsidRPr="000F5681">
        <w:rPr>
          <w:rFonts w:ascii="Georgia" w:hAnsi="Georgia" w:cs="Arial"/>
          <w:sz w:val="26"/>
          <w:szCs w:val="26"/>
        </w:rPr>
        <w:t xml:space="preserve"> el deber </w:t>
      </w:r>
      <w:r w:rsidR="004D6D81" w:rsidRPr="000F5681">
        <w:rPr>
          <w:rFonts w:ascii="Georgia" w:hAnsi="Georgia" w:cs="Arial"/>
          <w:sz w:val="26"/>
          <w:szCs w:val="26"/>
        </w:rPr>
        <w:t>de c</w:t>
      </w:r>
      <w:r w:rsidR="00F527A3" w:rsidRPr="000F5681">
        <w:rPr>
          <w:rFonts w:ascii="Georgia" w:hAnsi="Georgia" w:cs="Arial"/>
          <w:i/>
          <w:iCs/>
          <w:sz w:val="26"/>
          <w:szCs w:val="26"/>
        </w:rPr>
        <w:t>olabora</w:t>
      </w:r>
      <w:r w:rsidR="7D21F031" w:rsidRPr="000F5681">
        <w:rPr>
          <w:rFonts w:ascii="Georgia" w:hAnsi="Georgia" w:cs="Arial"/>
          <w:i/>
          <w:iCs/>
          <w:sz w:val="26"/>
          <w:szCs w:val="26"/>
        </w:rPr>
        <w:t>ción</w:t>
      </w:r>
      <w:r w:rsidR="00F527A3" w:rsidRPr="000F5681">
        <w:rPr>
          <w:rFonts w:ascii="Georgia" w:hAnsi="Georgia" w:cs="Arial"/>
          <w:i/>
          <w:iCs/>
          <w:sz w:val="26"/>
          <w:szCs w:val="26"/>
        </w:rPr>
        <w:t xml:space="preserve"> </w:t>
      </w:r>
      <w:r w:rsidR="004D6D81" w:rsidRPr="000F5681">
        <w:rPr>
          <w:rFonts w:ascii="Georgia" w:hAnsi="Georgia" w:cs="Arial"/>
          <w:i/>
          <w:iCs/>
          <w:sz w:val="26"/>
          <w:szCs w:val="26"/>
        </w:rPr>
        <w:t xml:space="preserve">con el </w:t>
      </w:r>
      <w:r w:rsidR="00F527A3" w:rsidRPr="000F5681">
        <w:rPr>
          <w:rFonts w:ascii="Georgia" w:hAnsi="Georgia" w:cs="Arial"/>
          <w:i/>
          <w:iCs/>
          <w:sz w:val="26"/>
          <w:szCs w:val="26"/>
        </w:rPr>
        <w:t>funcionamiento de la administración de justicia</w:t>
      </w:r>
      <w:r w:rsidR="00E206BE" w:rsidRPr="000F5681">
        <w:rPr>
          <w:rFonts w:ascii="Georgia" w:hAnsi="Georgia" w:cs="Arial"/>
          <w:sz w:val="26"/>
          <w:szCs w:val="26"/>
        </w:rPr>
        <w:t>, cuya finalidad es proteger el derecho de todas las personas</w:t>
      </w:r>
      <w:r w:rsidR="7442CB92" w:rsidRPr="000F5681">
        <w:rPr>
          <w:rFonts w:ascii="Georgia" w:hAnsi="Georgia" w:cs="Arial"/>
          <w:sz w:val="26"/>
          <w:szCs w:val="26"/>
        </w:rPr>
        <w:t xml:space="preserve">, en su </w:t>
      </w:r>
      <w:r w:rsidR="00E206BE" w:rsidRPr="000F5681">
        <w:rPr>
          <w:rFonts w:ascii="Georgia" w:hAnsi="Georgia" w:cs="Arial"/>
          <w:sz w:val="26"/>
          <w:szCs w:val="26"/>
        </w:rPr>
        <w:t>acce</w:t>
      </w:r>
      <w:r w:rsidR="61BB160F" w:rsidRPr="000F5681">
        <w:rPr>
          <w:rFonts w:ascii="Georgia" w:hAnsi="Georgia" w:cs="Arial"/>
          <w:sz w:val="26"/>
          <w:szCs w:val="26"/>
        </w:rPr>
        <w:t>so</w:t>
      </w:r>
      <w:r w:rsidR="00E206BE" w:rsidRPr="000F5681">
        <w:rPr>
          <w:rFonts w:ascii="Georgia" w:hAnsi="Georgia" w:cs="Arial"/>
          <w:sz w:val="26"/>
          <w:szCs w:val="26"/>
        </w:rPr>
        <w:t xml:space="preserve"> a un </w:t>
      </w:r>
      <w:r w:rsidR="4DD7639E" w:rsidRPr="000F5681">
        <w:rPr>
          <w:rFonts w:ascii="Georgia" w:hAnsi="Georgia" w:cs="Arial"/>
          <w:sz w:val="26"/>
          <w:szCs w:val="26"/>
        </w:rPr>
        <w:t xml:space="preserve">servicio </w:t>
      </w:r>
      <w:r w:rsidR="00E206BE" w:rsidRPr="000F5681">
        <w:rPr>
          <w:rFonts w:ascii="Georgia" w:hAnsi="Georgia" w:cs="Arial"/>
          <w:sz w:val="26"/>
          <w:szCs w:val="26"/>
        </w:rPr>
        <w:t>diligente, célere, eficaz y eficiente, al debido proceso y la solución oportuna de los conflictos.</w:t>
      </w:r>
    </w:p>
    <w:p w14:paraId="77FDC812" w14:textId="77777777" w:rsidR="00E206BE" w:rsidRPr="000F5681" w:rsidRDefault="00E206BE" w:rsidP="000F5681">
      <w:pPr>
        <w:pStyle w:val="Sinespaciado"/>
        <w:spacing w:line="276" w:lineRule="auto"/>
        <w:jc w:val="both"/>
        <w:rPr>
          <w:rFonts w:ascii="Georgia" w:hAnsi="Georgia" w:cs="Arial"/>
          <w:sz w:val="26"/>
          <w:szCs w:val="26"/>
        </w:rPr>
      </w:pPr>
    </w:p>
    <w:p w14:paraId="5DF15712" w14:textId="4553FFEE" w:rsidR="00E206BE" w:rsidRPr="000F5681" w:rsidRDefault="00E206BE" w:rsidP="000F5681">
      <w:pPr>
        <w:pStyle w:val="Sinespaciado"/>
        <w:spacing w:line="276" w:lineRule="auto"/>
        <w:jc w:val="both"/>
        <w:rPr>
          <w:rFonts w:ascii="Georgia" w:hAnsi="Georgia" w:cs="Arial"/>
          <w:sz w:val="26"/>
          <w:szCs w:val="26"/>
        </w:rPr>
      </w:pPr>
      <w:r w:rsidRPr="000F5681">
        <w:rPr>
          <w:rFonts w:ascii="Georgia" w:hAnsi="Georgia" w:cs="Arial"/>
          <w:sz w:val="26"/>
          <w:szCs w:val="26"/>
        </w:rPr>
        <w:t xml:space="preserve">Luego advino la Ley 1564, CGP, y en su artículo 317, consagró de nuevo la institución en comento, pero ahora con otras hipótesis normativas, </w:t>
      </w:r>
      <w:r w:rsidR="48E7C657" w:rsidRPr="000F5681">
        <w:rPr>
          <w:rFonts w:ascii="Georgia" w:hAnsi="Georgia" w:cs="Arial"/>
          <w:sz w:val="26"/>
          <w:szCs w:val="26"/>
        </w:rPr>
        <w:t xml:space="preserve">se </w:t>
      </w:r>
      <w:r w:rsidRPr="000F5681">
        <w:rPr>
          <w:rFonts w:ascii="Georgia" w:hAnsi="Georgia" w:cs="Arial"/>
          <w:sz w:val="26"/>
          <w:szCs w:val="26"/>
        </w:rPr>
        <w:t>ampli</w:t>
      </w:r>
      <w:r w:rsidR="1465B1FA" w:rsidRPr="000F5681">
        <w:rPr>
          <w:rFonts w:ascii="Georgia" w:hAnsi="Georgia" w:cs="Arial"/>
          <w:sz w:val="26"/>
          <w:szCs w:val="26"/>
        </w:rPr>
        <w:t>ó</w:t>
      </w:r>
      <w:r w:rsidRPr="000F5681">
        <w:rPr>
          <w:rFonts w:ascii="Georgia" w:hAnsi="Georgia" w:cs="Arial"/>
          <w:sz w:val="26"/>
          <w:szCs w:val="26"/>
        </w:rPr>
        <w:t xml:space="preserve"> su espectro de aplicación.</w:t>
      </w:r>
    </w:p>
    <w:p w14:paraId="6E0E5B69" w14:textId="449CB35C" w:rsidR="11721A1B" w:rsidRPr="000F5681" w:rsidRDefault="11721A1B" w:rsidP="000F5681">
      <w:pPr>
        <w:pStyle w:val="Sinespaciado"/>
        <w:spacing w:line="276" w:lineRule="auto"/>
        <w:jc w:val="both"/>
        <w:rPr>
          <w:rFonts w:ascii="Georgia" w:hAnsi="Georgia" w:cs="Arial"/>
          <w:sz w:val="26"/>
          <w:szCs w:val="26"/>
        </w:rPr>
      </w:pPr>
    </w:p>
    <w:p w14:paraId="0EA6232F" w14:textId="40952D92" w:rsidR="003E74B8" w:rsidRPr="000F5681" w:rsidRDefault="00E206BE" w:rsidP="000F5681">
      <w:pPr>
        <w:spacing w:line="276" w:lineRule="auto"/>
        <w:jc w:val="both"/>
        <w:rPr>
          <w:rFonts w:ascii="Georgia" w:hAnsi="Georgia" w:cs="Arial"/>
          <w:sz w:val="26"/>
          <w:szCs w:val="26"/>
        </w:rPr>
      </w:pPr>
      <w:r w:rsidRPr="000F5681">
        <w:rPr>
          <w:rFonts w:ascii="Georgia" w:hAnsi="Georgia" w:cs="Arial"/>
          <w:sz w:val="26"/>
          <w:szCs w:val="26"/>
        </w:rPr>
        <w:t>Algún sector de la doctrina especializada ha dicho que se trata de la misma perención</w:t>
      </w:r>
      <w:r w:rsidRPr="000F5681">
        <w:rPr>
          <w:rStyle w:val="Refdenotaalpie"/>
          <w:rFonts w:ascii="Georgia" w:hAnsi="Georgia"/>
          <w:sz w:val="26"/>
          <w:szCs w:val="26"/>
        </w:rPr>
        <w:footnoteReference w:id="25"/>
      </w:r>
      <w:r w:rsidRPr="000F5681">
        <w:rPr>
          <w:rFonts w:ascii="Georgia" w:hAnsi="Georgia" w:cs="Arial"/>
          <w:sz w:val="26"/>
          <w:szCs w:val="26"/>
        </w:rPr>
        <w:t xml:space="preserve">, la otrora </w:t>
      </w:r>
      <w:r w:rsidR="00152E12" w:rsidRPr="000F5681">
        <w:rPr>
          <w:rFonts w:ascii="Georgia" w:hAnsi="Georgia" w:cs="Arial"/>
          <w:sz w:val="26"/>
          <w:szCs w:val="26"/>
        </w:rPr>
        <w:t>“</w:t>
      </w:r>
      <w:r w:rsidRPr="000F5681">
        <w:rPr>
          <w:rFonts w:ascii="Georgia" w:hAnsi="Georgia" w:cs="Arial"/>
          <w:i/>
          <w:iCs/>
          <w:sz w:val="26"/>
          <w:szCs w:val="26"/>
        </w:rPr>
        <w:t>caducidad de la instancia</w:t>
      </w:r>
      <w:r w:rsidR="00152E12" w:rsidRPr="000F5681">
        <w:rPr>
          <w:rFonts w:ascii="Georgia" w:hAnsi="Georgia" w:cs="Arial"/>
          <w:sz w:val="26"/>
          <w:szCs w:val="26"/>
        </w:rPr>
        <w:t>”</w:t>
      </w:r>
      <w:r w:rsidRPr="000F5681">
        <w:rPr>
          <w:rFonts w:ascii="Georgia" w:hAnsi="Georgia" w:cs="Arial"/>
          <w:sz w:val="26"/>
          <w:szCs w:val="26"/>
        </w:rPr>
        <w:t xml:space="preserve">, </w:t>
      </w:r>
      <w:r w:rsidR="27741F0A" w:rsidRPr="000F5681">
        <w:rPr>
          <w:rFonts w:ascii="Georgia" w:hAnsi="Georgia" w:cs="Arial"/>
          <w:sz w:val="26"/>
          <w:szCs w:val="26"/>
        </w:rPr>
        <w:t xml:space="preserve">que </w:t>
      </w:r>
      <w:r w:rsidRPr="000F5681">
        <w:rPr>
          <w:rFonts w:ascii="Georgia" w:hAnsi="Georgia" w:cs="Arial"/>
          <w:sz w:val="26"/>
          <w:szCs w:val="26"/>
        </w:rPr>
        <w:t>prev</w:t>
      </w:r>
      <w:r w:rsidR="5680DDE8" w:rsidRPr="000F5681">
        <w:rPr>
          <w:rFonts w:ascii="Georgia" w:hAnsi="Georgia" w:cs="Arial"/>
          <w:sz w:val="26"/>
          <w:szCs w:val="26"/>
        </w:rPr>
        <w:t>eía</w:t>
      </w:r>
      <w:r w:rsidRPr="000F5681">
        <w:rPr>
          <w:rFonts w:ascii="Georgia" w:hAnsi="Georgia" w:cs="Arial"/>
          <w:sz w:val="26"/>
          <w:szCs w:val="26"/>
        </w:rPr>
        <w:t xml:space="preserve"> el artículo 364, </w:t>
      </w:r>
      <w:r w:rsidRPr="000F5681">
        <w:rPr>
          <w:rFonts w:ascii="Georgia" w:hAnsi="Georgia" w:cs="Arial"/>
          <w:sz w:val="26"/>
          <w:szCs w:val="26"/>
        </w:rPr>
        <w:lastRenderedPageBreak/>
        <w:t>Ley 105 de 1931</w:t>
      </w:r>
      <w:r w:rsidR="00C55C73" w:rsidRPr="000F5681">
        <w:rPr>
          <w:rFonts w:ascii="Georgia" w:hAnsi="Georgia" w:cs="Arial"/>
          <w:sz w:val="26"/>
          <w:szCs w:val="26"/>
        </w:rPr>
        <w:t xml:space="preserve"> (Código Judicial)</w:t>
      </w:r>
      <w:r w:rsidRPr="000F5681">
        <w:rPr>
          <w:rFonts w:ascii="Georgia" w:hAnsi="Georgia" w:cs="Arial"/>
          <w:sz w:val="26"/>
          <w:szCs w:val="26"/>
        </w:rPr>
        <w:t xml:space="preserve">, con el siguiente tenor literal: </w:t>
      </w:r>
      <w:r w:rsidRPr="000F5681">
        <w:rPr>
          <w:rFonts w:ascii="Georgia" w:hAnsi="Georgia" w:cs="Arial"/>
          <w:i/>
          <w:iCs/>
          <w:sz w:val="26"/>
          <w:szCs w:val="26"/>
        </w:rPr>
        <w:t>“Cuando El demandante abandone el juicio en la primera instancia, el Juez, si el demandado lo pide, decreta la caducidad de ésta, previo informe del Secretario. Se entiende que ha habido abandono cuando el demandante no ha hecho gestión alguna por escrito en el juicio durante un año, que se cuenta desde la notificación del último auto, o desde el día de la práctica de la última diligencia.  (…)”.</w:t>
      </w:r>
      <w:r w:rsidRPr="000F5681">
        <w:rPr>
          <w:rFonts w:ascii="Georgia" w:hAnsi="Georgia" w:cs="Arial"/>
          <w:sz w:val="26"/>
          <w:szCs w:val="26"/>
        </w:rPr>
        <w:t xml:space="preserve">  Las semejanzas </w:t>
      </w:r>
      <w:r w:rsidR="00C55C73" w:rsidRPr="000F5681">
        <w:rPr>
          <w:rFonts w:ascii="Georgia" w:hAnsi="Georgia" w:cs="Arial"/>
          <w:sz w:val="26"/>
          <w:szCs w:val="26"/>
        </w:rPr>
        <w:t xml:space="preserve">se evidencian con una simple </w:t>
      </w:r>
      <w:r w:rsidRPr="000F5681">
        <w:rPr>
          <w:rFonts w:ascii="Georgia" w:hAnsi="Georgia" w:cs="Arial"/>
          <w:sz w:val="26"/>
          <w:szCs w:val="26"/>
        </w:rPr>
        <w:t>lectura del enunciado.</w:t>
      </w:r>
      <w:r w:rsidR="003E74B8" w:rsidRPr="000F5681">
        <w:rPr>
          <w:rFonts w:ascii="Georgia" w:hAnsi="Georgia" w:cs="Arial"/>
          <w:sz w:val="26"/>
          <w:szCs w:val="26"/>
        </w:rPr>
        <w:t xml:space="preserve"> </w:t>
      </w:r>
    </w:p>
    <w:p w14:paraId="16A08D28" w14:textId="77777777" w:rsidR="003E74B8" w:rsidRPr="000F5681" w:rsidRDefault="003E74B8" w:rsidP="000F5681">
      <w:pPr>
        <w:spacing w:line="276" w:lineRule="auto"/>
        <w:jc w:val="both"/>
        <w:rPr>
          <w:rFonts w:ascii="Georgia" w:hAnsi="Georgia" w:cs="Arial"/>
          <w:sz w:val="26"/>
          <w:szCs w:val="26"/>
        </w:rPr>
      </w:pPr>
    </w:p>
    <w:p w14:paraId="2853EB29" w14:textId="13E56697" w:rsidR="004D6D81" w:rsidRPr="000F5681" w:rsidRDefault="00E206BE" w:rsidP="000F5681">
      <w:pPr>
        <w:spacing w:line="276" w:lineRule="auto"/>
        <w:jc w:val="both"/>
        <w:rPr>
          <w:rFonts w:ascii="Georgia" w:hAnsi="Georgia" w:cs="Arial"/>
          <w:sz w:val="26"/>
          <w:szCs w:val="26"/>
          <w:lang w:val="es-CO"/>
        </w:rPr>
      </w:pPr>
      <w:r w:rsidRPr="000F5681">
        <w:rPr>
          <w:rFonts w:ascii="Georgia" w:hAnsi="Georgia"/>
          <w:sz w:val="26"/>
          <w:szCs w:val="26"/>
        </w:rPr>
        <w:t>Y la misma CC</w:t>
      </w:r>
      <w:r w:rsidR="004D6D81" w:rsidRPr="000F5681">
        <w:rPr>
          <w:rStyle w:val="Refdenotaalpie"/>
          <w:rFonts w:ascii="Georgia" w:hAnsi="Georgia"/>
          <w:sz w:val="26"/>
          <w:szCs w:val="26"/>
        </w:rPr>
        <w:footnoteReference w:id="26"/>
      </w:r>
      <w:r w:rsidRPr="000F5681">
        <w:rPr>
          <w:rFonts w:ascii="Georgia" w:hAnsi="Georgia"/>
          <w:sz w:val="26"/>
          <w:szCs w:val="26"/>
        </w:rPr>
        <w:t xml:space="preserve"> en su momento, precisó sobre el desistimiento tácito de la anterior normativa: “</w:t>
      </w:r>
      <w:r w:rsidRPr="00E17ACC">
        <w:rPr>
          <w:rFonts w:ascii="Georgia" w:hAnsi="Georgia"/>
          <w:i/>
          <w:szCs w:val="26"/>
        </w:rPr>
        <w:t xml:space="preserve">(…) </w:t>
      </w:r>
      <w:r w:rsidRPr="00E17ACC">
        <w:rPr>
          <w:rFonts w:ascii="Georgia" w:hAnsi="Georgia" w:cs="Arial"/>
          <w:i/>
          <w:szCs w:val="26"/>
          <w:lang w:val="es-CO"/>
        </w:rPr>
        <w:t>no es una figura novedosa en tanto ocupa el lugar que antes ocupó la perención como una forma anormal de terminación del proceso, imponible cuando se acredita la inactividad de la parte a cuyas instancias se promovió un trámite o proceso, el cual se paralizó por su causa</w:t>
      </w:r>
      <w:r w:rsidRPr="000F5681">
        <w:rPr>
          <w:rFonts w:ascii="Georgia" w:hAnsi="Georgia" w:cs="Arial"/>
          <w:i/>
          <w:sz w:val="26"/>
          <w:szCs w:val="26"/>
          <w:lang w:val="es-CO"/>
        </w:rPr>
        <w:t>”.</w:t>
      </w:r>
      <w:r w:rsidRPr="000F5681">
        <w:rPr>
          <w:rFonts w:ascii="Georgia" w:hAnsi="Georgia" w:cs="Arial"/>
          <w:sz w:val="26"/>
          <w:szCs w:val="26"/>
          <w:lang w:val="es-CO"/>
        </w:rPr>
        <w:t xml:space="preserve">  </w:t>
      </w:r>
    </w:p>
    <w:p w14:paraId="36713D24" w14:textId="77777777" w:rsidR="004D6D81" w:rsidRPr="000F5681" w:rsidRDefault="004D6D81" w:rsidP="000F5681">
      <w:pPr>
        <w:spacing w:line="276" w:lineRule="auto"/>
        <w:jc w:val="both"/>
        <w:rPr>
          <w:rFonts w:ascii="Georgia" w:hAnsi="Georgia" w:cs="Arial"/>
          <w:sz w:val="26"/>
          <w:szCs w:val="26"/>
          <w:lang w:val="es-CO"/>
        </w:rPr>
      </w:pPr>
    </w:p>
    <w:p w14:paraId="31435F3A" w14:textId="629D7BCE" w:rsidR="004D6D81" w:rsidRPr="000F5681" w:rsidRDefault="00E206BE" w:rsidP="000F5681">
      <w:pPr>
        <w:spacing w:line="276" w:lineRule="auto"/>
        <w:jc w:val="both"/>
        <w:rPr>
          <w:rFonts w:ascii="Georgia" w:hAnsi="Georgia" w:cs="Arial"/>
          <w:i/>
          <w:sz w:val="26"/>
          <w:szCs w:val="26"/>
        </w:rPr>
      </w:pPr>
      <w:r w:rsidRPr="000F5681">
        <w:rPr>
          <w:rFonts w:ascii="Georgia" w:hAnsi="Georgia" w:cs="Arial"/>
          <w:sz w:val="26"/>
          <w:szCs w:val="26"/>
          <w:lang w:val="es-CO"/>
        </w:rPr>
        <w:t>Reforzó el corolario preindicado así</w:t>
      </w:r>
      <w:r w:rsidR="004D6D81" w:rsidRPr="000F5681">
        <w:rPr>
          <w:rStyle w:val="Refdenotaalpie"/>
          <w:rFonts w:ascii="Georgia" w:hAnsi="Georgia"/>
          <w:sz w:val="26"/>
          <w:szCs w:val="26"/>
          <w:lang w:val="es-CO"/>
        </w:rPr>
        <w:footnoteReference w:id="27"/>
      </w:r>
      <w:r w:rsidRPr="000F5681">
        <w:rPr>
          <w:rFonts w:ascii="Georgia" w:hAnsi="Georgia" w:cs="Arial"/>
          <w:sz w:val="26"/>
          <w:szCs w:val="26"/>
          <w:lang w:val="es-CO"/>
        </w:rPr>
        <w:t>: “</w:t>
      </w:r>
      <w:r w:rsidRPr="00E17ACC">
        <w:rPr>
          <w:rFonts w:ascii="Georgia" w:hAnsi="Georgia" w:cs="Arial"/>
          <w:i/>
          <w:szCs w:val="26"/>
        </w:rPr>
        <w:t>El desistimiento tácito guarda algunas similitudes relevantes con la perención. Primero, es una forma de terminación anormal del proceso, la instancia o la actuación (art. 1°, Ley 1194 de 2008); segundo, tiene lugar a consecuencia de la inactividad de una parte (ídem); tercero, opera sin necesidad de que la parte la solicite (ídem); cuarto, está llamada a aplicarse en los procesos civiles y de familia</w:t>
      </w:r>
      <w:r w:rsidRPr="000F5681">
        <w:rPr>
          <w:rFonts w:ascii="Georgia" w:hAnsi="Georgia" w:cs="Arial"/>
          <w:i/>
          <w:sz w:val="26"/>
          <w:szCs w:val="26"/>
        </w:rPr>
        <w:t>”.</w:t>
      </w:r>
    </w:p>
    <w:p w14:paraId="00A9030D" w14:textId="77777777" w:rsidR="004D6D81" w:rsidRPr="000F5681" w:rsidRDefault="004D6D81" w:rsidP="000F5681">
      <w:pPr>
        <w:spacing w:line="276" w:lineRule="auto"/>
        <w:jc w:val="both"/>
        <w:rPr>
          <w:rFonts w:ascii="Georgia" w:hAnsi="Georgia" w:cs="Arial"/>
          <w:i/>
          <w:sz w:val="26"/>
          <w:szCs w:val="26"/>
        </w:rPr>
      </w:pPr>
    </w:p>
    <w:p w14:paraId="6EE6A811" w14:textId="77777777" w:rsidR="003F7D17" w:rsidRPr="000F5681" w:rsidRDefault="00E206BE" w:rsidP="000F5681">
      <w:pPr>
        <w:spacing w:line="276" w:lineRule="auto"/>
        <w:jc w:val="both"/>
        <w:rPr>
          <w:rFonts w:ascii="Georgia" w:hAnsi="Georgia" w:cs="Arial"/>
          <w:sz w:val="26"/>
          <w:szCs w:val="26"/>
          <w:lang w:val="es-CO"/>
        </w:rPr>
      </w:pPr>
      <w:r w:rsidRPr="000F5681">
        <w:rPr>
          <w:rFonts w:ascii="Georgia" w:hAnsi="Georgia" w:cs="Arial"/>
          <w:sz w:val="26"/>
          <w:szCs w:val="26"/>
          <w:lang w:val="es-CO"/>
        </w:rPr>
        <w:t>Al revisar la nueva estructura de la regla del CGP, se advierte que son tres (3) las hipótesis normativas que pueden darse para su aplicación, a saber: (i) En el ordinal primero (317-1º</w:t>
      </w:r>
      <w:r w:rsidR="00152E12" w:rsidRPr="000F5681">
        <w:rPr>
          <w:rFonts w:ascii="Georgia" w:hAnsi="Georgia" w:cs="Arial"/>
          <w:sz w:val="26"/>
          <w:szCs w:val="26"/>
          <w:lang w:val="es-CO"/>
        </w:rPr>
        <w:t>)</w:t>
      </w:r>
      <w:r w:rsidRPr="000F5681">
        <w:rPr>
          <w:rFonts w:ascii="Georgia" w:hAnsi="Georgia" w:cs="Arial"/>
          <w:sz w:val="26"/>
          <w:szCs w:val="26"/>
          <w:lang w:val="es-CO"/>
        </w:rPr>
        <w:t xml:space="preserve">; (ii) </w:t>
      </w:r>
      <w:r w:rsidR="00152E12" w:rsidRPr="000F5681">
        <w:rPr>
          <w:rFonts w:ascii="Georgia" w:hAnsi="Georgia" w:cs="Arial"/>
          <w:sz w:val="26"/>
          <w:szCs w:val="26"/>
          <w:lang w:val="es-CO"/>
        </w:rPr>
        <w:t>E</w:t>
      </w:r>
      <w:r w:rsidRPr="000F5681">
        <w:rPr>
          <w:rFonts w:ascii="Georgia" w:hAnsi="Georgia" w:cs="Arial"/>
          <w:sz w:val="26"/>
          <w:szCs w:val="26"/>
          <w:lang w:val="es-CO"/>
        </w:rPr>
        <w:t xml:space="preserve">n el numeral segundo (317-2º); y, (iii) En el literal b) del numeral 2º (317-2º-b).  </w:t>
      </w:r>
    </w:p>
    <w:p w14:paraId="21CA83AC" w14:textId="77777777" w:rsidR="003F7D17" w:rsidRPr="000F5681" w:rsidRDefault="003F7D17" w:rsidP="000F5681">
      <w:pPr>
        <w:spacing w:line="276" w:lineRule="auto"/>
        <w:jc w:val="both"/>
        <w:rPr>
          <w:rFonts w:ascii="Georgia" w:hAnsi="Georgia" w:cs="Arial"/>
          <w:sz w:val="26"/>
          <w:szCs w:val="26"/>
          <w:lang w:val="es-CO"/>
        </w:rPr>
      </w:pPr>
    </w:p>
    <w:p w14:paraId="712A2749" w14:textId="04267D2E" w:rsidR="00E206BE" w:rsidRPr="000F5681" w:rsidRDefault="00E206BE" w:rsidP="000F5681">
      <w:pPr>
        <w:spacing w:line="276" w:lineRule="auto"/>
        <w:jc w:val="both"/>
        <w:rPr>
          <w:rFonts w:ascii="Georgia" w:hAnsi="Georgia" w:cs="Arial"/>
          <w:sz w:val="26"/>
          <w:szCs w:val="26"/>
          <w:lang w:val="es-CO"/>
        </w:rPr>
      </w:pPr>
      <w:r w:rsidRPr="000F5681">
        <w:rPr>
          <w:rFonts w:ascii="Georgia" w:hAnsi="Georgia" w:cs="Arial"/>
          <w:sz w:val="26"/>
          <w:szCs w:val="26"/>
          <w:lang w:val="es-CO"/>
        </w:rPr>
        <w:t>La primera posibilidad contempla su versión primigenia (Ley 1194), mientras que las otras corresponden a la antigua perención, pero ahora, por virtud del legislador procesal, quedan refundidas todas en el instituto del “</w:t>
      </w:r>
      <w:r w:rsidRPr="000F5681">
        <w:rPr>
          <w:rFonts w:ascii="Georgia" w:hAnsi="Georgia" w:cs="Arial"/>
          <w:i/>
          <w:iCs/>
          <w:sz w:val="26"/>
          <w:szCs w:val="26"/>
          <w:lang w:val="es-CO"/>
        </w:rPr>
        <w:t>desistimiento tácito</w:t>
      </w:r>
      <w:r w:rsidRPr="000F5681">
        <w:rPr>
          <w:rFonts w:ascii="Georgia" w:hAnsi="Georgia" w:cs="Arial"/>
          <w:sz w:val="26"/>
          <w:szCs w:val="26"/>
          <w:lang w:val="es-CO"/>
        </w:rPr>
        <w:t>”; subyace entonces, que esa “integración” de las dos figuras, no es extraña, atendidas las similitudes ya resaltadas.</w:t>
      </w:r>
    </w:p>
    <w:p w14:paraId="7932187F" w14:textId="77777777" w:rsidR="00E206BE" w:rsidRPr="000F5681" w:rsidRDefault="00E206BE" w:rsidP="000F5681">
      <w:pPr>
        <w:spacing w:line="276" w:lineRule="auto"/>
        <w:jc w:val="both"/>
        <w:rPr>
          <w:rFonts w:ascii="Georgia" w:hAnsi="Georgia" w:cs="Arial"/>
          <w:sz w:val="26"/>
          <w:szCs w:val="26"/>
          <w:lang w:val="es-CO"/>
        </w:rPr>
      </w:pPr>
    </w:p>
    <w:p w14:paraId="11E2BF71" w14:textId="4B84B3E0" w:rsidR="005C0C89" w:rsidRPr="000F5681" w:rsidRDefault="00E206BE" w:rsidP="000F5681">
      <w:pPr>
        <w:spacing w:line="276" w:lineRule="auto"/>
        <w:jc w:val="both"/>
        <w:rPr>
          <w:rFonts w:ascii="Georgia" w:hAnsi="Georgia" w:cs="Arial"/>
          <w:sz w:val="26"/>
          <w:szCs w:val="26"/>
        </w:rPr>
      </w:pPr>
      <w:r w:rsidRPr="000F5681">
        <w:rPr>
          <w:rFonts w:ascii="Georgia" w:hAnsi="Georgia" w:cs="Arial"/>
          <w:sz w:val="26"/>
          <w:szCs w:val="26"/>
        </w:rPr>
        <w:t>Por esos elementos comunes, también es razonable aplicar las legítimas finalidades adjudicadas a la figura en el pasado</w:t>
      </w:r>
      <w:r w:rsidR="50AB8C66" w:rsidRPr="000F5681">
        <w:rPr>
          <w:rFonts w:ascii="Georgia" w:hAnsi="Georgia" w:cs="Arial"/>
          <w:sz w:val="26"/>
          <w:szCs w:val="26"/>
        </w:rPr>
        <w:t>,</w:t>
      </w:r>
      <w:r w:rsidR="004D6D81" w:rsidRPr="000F5681">
        <w:rPr>
          <w:rFonts w:ascii="Georgia" w:hAnsi="Georgia" w:cs="Arial"/>
          <w:sz w:val="26"/>
          <w:szCs w:val="26"/>
        </w:rPr>
        <w:t xml:space="preserve"> </w:t>
      </w:r>
      <w:r w:rsidR="09C36DF5" w:rsidRPr="000F5681">
        <w:rPr>
          <w:rFonts w:ascii="Georgia" w:hAnsi="Georgia" w:cs="Arial"/>
          <w:sz w:val="26"/>
          <w:szCs w:val="26"/>
        </w:rPr>
        <w:t>s</w:t>
      </w:r>
      <w:r w:rsidR="004D6D81" w:rsidRPr="000F5681">
        <w:rPr>
          <w:rFonts w:ascii="Georgia" w:hAnsi="Georgia" w:cs="Arial"/>
          <w:sz w:val="26"/>
          <w:szCs w:val="26"/>
        </w:rPr>
        <w:t>e itera</w:t>
      </w:r>
      <w:r w:rsidRPr="000F5681">
        <w:rPr>
          <w:rFonts w:ascii="Georgia" w:hAnsi="Georgia" w:cs="Arial"/>
          <w:sz w:val="26"/>
          <w:szCs w:val="26"/>
        </w:rPr>
        <w:t xml:space="preserve"> pues</w:t>
      </w:r>
      <w:r w:rsidR="6D6E29D1" w:rsidRPr="000F5681">
        <w:rPr>
          <w:rFonts w:ascii="Georgia" w:hAnsi="Georgia" w:cs="Arial"/>
          <w:sz w:val="26"/>
          <w:szCs w:val="26"/>
        </w:rPr>
        <w:t>,</w:t>
      </w:r>
      <w:r w:rsidRPr="000F5681">
        <w:rPr>
          <w:rFonts w:ascii="Georgia" w:hAnsi="Georgia" w:cs="Arial"/>
          <w:sz w:val="26"/>
          <w:szCs w:val="26"/>
        </w:rPr>
        <w:t xml:space="preserve"> el análisis se hizo sobre supuestos semejantes; se explicaron en los términos siguientes: (i) Evita la paralización del aparato jurisdiccional; (ii)</w:t>
      </w:r>
      <w:r w:rsidRPr="000F5681">
        <w:rPr>
          <w:rFonts w:ascii="Georgia" w:hAnsi="Georgia" w:cs="Arial"/>
          <w:b/>
          <w:bCs/>
          <w:sz w:val="26"/>
          <w:szCs w:val="26"/>
        </w:rPr>
        <w:t xml:space="preserve"> </w:t>
      </w:r>
      <w:r w:rsidRPr="000F5681">
        <w:rPr>
          <w:rFonts w:ascii="Georgia" w:hAnsi="Georgia" w:cs="Arial"/>
          <w:sz w:val="26"/>
          <w:szCs w:val="26"/>
        </w:rPr>
        <w:t>Permite la efectividad de los derechos de quienes participan en la administración de justicia; y (iii) Promueve la certeza jurídica de quienes actúan como partes en los procesos, entre otros efectos constitucionalmente valiosos</w:t>
      </w:r>
      <w:r w:rsidRPr="000F5681">
        <w:rPr>
          <w:rFonts w:ascii="Georgia" w:hAnsi="Georgia" w:cs="Arial"/>
          <w:sz w:val="26"/>
          <w:szCs w:val="26"/>
          <w:vertAlign w:val="superscript"/>
        </w:rPr>
        <w:footnoteReference w:id="28"/>
      </w:r>
      <w:r w:rsidRPr="000F5681">
        <w:rPr>
          <w:rFonts w:ascii="Georgia" w:hAnsi="Georgia" w:cs="Arial"/>
          <w:sz w:val="26"/>
          <w:szCs w:val="26"/>
        </w:rPr>
        <w:t>, por eso las limitaciones de los derechos fundamentales que resultan de la regulación acusada, no son desproporcionadas.</w:t>
      </w:r>
      <w:r w:rsidR="004D1311" w:rsidRPr="000F5681">
        <w:rPr>
          <w:rFonts w:ascii="Georgia" w:hAnsi="Georgia" w:cs="Arial"/>
          <w:sz w:val="26"/>
          <w:szCs w:val="26"/>
        </w:rPr>
        <w:t xml:space="preserve"> </w:t>
      </w:r>
    </w:p>
    <w:p w14:paraId="42D71CE8" w14:textId="77777777" w:rsidR="005C0C89" w:rsidRPr="000F5681" w:rsidRDefault="005C0C89" w:rsidP="000F5681">
      <w:pPr>
        <w:spacing w:line="276" w:lineRule="auto"/>
        <w:jc w:val="both"/>
        <w:rPr>
          <w:rFonts w:ascii="Georgia" w:hAnsi="Georgia" w:cs="Arial"/>
          <w:sz w:val="26"/>
          <w:szCs w:val="26"/>
        </w:rPr>
      </w:pPr>
    </w:p>
    <w:p w14:paraId="517CB55D" w14:textId="662E28F0" w:rsidR="00E206BE" w:rsidRPr="000F5681" w:rsidRDefault="004D1311" w:rsidP="000F5681">
      <w:pPr>
        <w:spacing w:line="276" w:lineRule="auto"/>
        <w:jc w:val="both"/>
        <w:rPr>
          <w:rFonts w:ascii="Georgia" w:hAnsi="Georgia" w:cs="Arial"/>
          <w:sz w:val="26"/>
          <w:szCs w:val="26"/>
          <w:lang w:val="es-CO"/>
        </w:rPr>
      </w:pPr>
      <w:r w:rsidRPr="000F5681">
        <w:rPr>
          <w:rFonts w:ascii="Georgia" w:hAnsi="Georgia" w:cs="Arial"/>
          <w:sz w:val="26"/>
          <w:szCs w:val="26"/>
        </w:rPr>
        <w:lastRenderedPageBreak/>
        <w:t xml:space="preserve">Y </w:t>
      </w:r>
      <w:r w:rsidR="3C46F9A5" w:rsidRPr="000F5681">
        <w:rPr>
          <w:rFonts w:ascii="Georgia" w:hAnsi="Georgia" w:cs="Arial"/>
          <w:sz w:val="26"/>
          <w:szCs w:val="26"/>
        </w:rPr>
        <w:t xml:space="preserve">fue </w:t>
      </w:r>
      <w:r w:rsidRPr="000F5681">
        <w:rPr>
          <w:rFonts w:ascii="Georgia" w:hAnsi="Georgia" w:cs="Arial"/>
          <w:sz w:val="26"/>
          <w:szCs w:val="26"/>
        </w:rPr>
        <w:t>re</w:t>
      </w:r>
      <w:r w:rsidR="00CE2317" w:rsidRPr="000F5681">
        <w:rPr>
          <w:rFonts w:ascii="Georgia" w:hAnsi="Georgia" w:cs="Arial"/>
          <w:sz w:val="26"/>
          <w:szCs w:val="26"/>
        </w:rPr>
        <w:t>iter</w:t>
      </w:r>
      <w:r w:rsidR="21DBE6A9" w:rsidRPr="000F5681">
        <w:rPr>
          <w:rFonts w:ascii="Georgia" w:hAnsi="Georgia" w:cs="Arial"/>
          <w:sz w:val="26"/>
          <w:szCs w:val="26"/>
        </w:rPr>
        <w:t>ado</w:t>
      </w:r>
      <w:r w:rsidRPr="000F5681">
        <w:rPr>
          <w:rFonts w:ascii="Georgia" w:hAnsi="Georgia" w:cs="Arial"/>
          <w:sz w:val="26"/>
          <w:szCs w:val="26"/>
        </w:rPr>
        <w:t xml:space="preserve"> </w:t>
      </w:r>
      <w:r w:rsidR="182D2D3F" w:rsidRPr="000F5681">
        <w:rPr>
          <w:rFonts w:ascii="Georgia" w:hAnsi="Georgia" w:cs="Arial"/>
          <w:sz w:val="26"/>
          <w:szCs w:val="26"/>
        </w:rPr>
        <w:t xml:space="preserve">por </w:t>
      </w:r>
      <w:r w:rsidR="00E53F5B" w:rsidRPr="000F5681">
        <w:rPr>
          <w:rFonts w:ascii="Georgia" w:hAnsi="Georgia" w:cs="Arial"/>
          <w:sz w:val="26"/>
          <w:szCs w:val="26"/>
        </w:rPr>
        <w:t xml:space="preserve">la </w:t>
      </w:r>
      <w:r w:rsidR="00CE2317" w:rsidRPr="000F5681">
        <w:rPr>
          <w:rFonts w:ascii="Georgia" w:hAnsi="Georgia" w:cs="Arial"/>
          <w:sz w:val="26"/>
          <w:szCs w:val="26"/>
        </w:rPr>
        <w:t>Alta Colegiatura</w:t>
      </w:r>
      <w:r w:rsidR="00E53F5B" w:rsidRPr="000F5681">
        <w:rPr>
          <w:rStyle w:val="Refdenotaalpie"/>
          <w:rFonts w:ascii="Georgia" w:hAnsi="Georgia"/>
          <w:sz w:val="26"/>
          <w:szCs w:val="26"/>
        </w:rPr>
        <w:footnoteReference w:id="29"/>
      </w:r>
      <w:r w:rsidR="00E53F5B" w:rsidRPr="000F5681">
        <w:rPr>
          <w:rFonts w:ascii="Georgia" w:hAnsi="Georgia" w:cs="Arial"/>
          <w:sz w:val="26"/>
          <w:szCs w:val="26"/>
        </w:rPr>
        <w:t xml:space="preserve"> </w:t>
      </w:r>
      <w:r w:rsidRPr="000F5681">
        <w:rPr>
          <w:rFonts w:ascii="Georgia" w:hAnsi="Georgia" w:cs="Arial"/>
          <w:sz w:val="26"/>
          <w:szCs w:val="26"/>
        </w:rPr>
        <w:t>en reciente sentencia (2019), al revisar los efectos sancionatorios de extinción del derecho, cuando se imponga</w:t>
      </w:r>
      <w:r w:rsidR="0FFC0EC3" w:rsidRPr="000F5681">
        <w:rPr>
          <w:rFonts w:ascii="Georgia" w:hAnsi="Georgia" w:cs="Arial"/>
          <w:sz w:val="26"/>
          <w:szCs w:val="26"/>
        </w:rPr>
        <w:t>,</w:t>
      </w:r>
      <w:r w:rsidRPr="000F5681">
        <w:rPr>
          <w:rFonts w:ascii="Georgia" w:hAnsi="Georgia" w:cs="Arial"/>
          <w:sz w:val="26"/>
          <w:szCs w:val="26"/>
        </w:rPr>
        <w:t xml:space="preserve"> por segunda ocasión</w:t>
      </w:r>
      <w:r w:rsidR="62413997" w:rsidRPr="000F5681">
        <w:rPr>
          <w:rFonts w:ascii="Georgia" w:hAnsi="Georgia" w:cs="Arial"/>
          <w:sz w:val="26"/>
          <w:szCs w:val="26"/>
        </w:rPr>
        <w:t>, anotó</w:t>
      </w:r>
      <w:r w:rsidR="005C0C89" w:rsidRPr="000F5681">
        <w:rPr>
          <w:rFonts w:ascii="Georgia" w:hAnsi="Georgia" w:cs="Arial"/>
          <w:sz w:val="26"/>
          <w:szCs w:val="26"/>
        </w:rPr>
        <w:t>: “</w:t>
      </w:r>
      <w:r w:rsidR="005C0C89" w:rsidRPr="00E17ACC">
        <w:rPr>
          <w:rFonts w:ascii="Georgia" w:hAnsi="Georgia"/>
          <w:i/>
          <w:iCs/>
          <w:szCs w:val="26"/>
        </w:rPr>
        <w:t>La imposición de este tipo de cargas a los usuarios del aparato judicial no vulnera su derecho de acceso a la administración de justicia. Este derecho, como todos los demás, no es absoluto y, por ende, puede ser limitado por el Legislador; para el caso, con la imposición de unas cargas mínimas de diligencia en cabeza de quien activa el aparato judicial, las cuales, para la Sala, se traducen en deberes correlativos al derecho de acceder al sistema de justicia</w:t>
      </w:r>
      <w:r w:rsidR="005C0C89" w:rsidRPr="000F5681">
        <w:rPr>
          <w:rFonts w:ascii="Georgia" w:hAnsi="Georgia"/>
          <w:sz w:val="26"/>
          <w:szCs w:val="26"/>
        </w:rPr>
        <w:t>”.</w:t>
      </w:r>
    </w:p>
    <w:p w14:paraId="38469CC2" w14:textId="77777777" w:rsidR="00E206BE" w:rsidRPr="000F5681" w:rsidRDefault="00E206BE" w:rsidP="000F5681">
      <w:pPr>
        <w:spacing w:line="276" w:lineRule="auto"/>
        <w:jc w:val="both"/>
        <w:rPr>
          <w:rFonts w:ascii="Georgia" w:hAnsi="Georgia" w:cs="Arial"/>
          <w:sz w:val="26"/>
          <w:szCs w:val="26"/>
          <w:lang w:val="es-CO"/>
        </w:rPr>
      </w:pPr>
    </w:p>
    <w:p w14:paraId="07F88E81" w14:textId="72651A69" w:rsidR="00E206BE" w:rsidRPr="000F5681" w:rsidRDefault="00E206BE" w:rsidP="000F5681">
      <w:pPr>
        <w:spacing w:line="276" w:lineRule="auto"/>
        <w:jc w:val="both"/>
        <w:rPr>
          <w:rFonts w:ascii="Georgia" w:hAnsi="Georgia" w:cs="Arial"/>
          <w:sz w:val="26"/>
          <w:szCs w:val="26"/>
          <w:lang w:val="es-CO"/>
        </w:rPr>
      </w:pPr>
      <w:bookmarkStart w:id="1" w:name="_Hlk66945880"/>
      <w:r w:rsidRPr="000F5681">
        <w:rPr>
          <w:rFonts w:ascii="Georgia" w:hAnsi="Georgia" w:cs="Arial"/>
          <w:sz w:val="26"/>
          <w:szCs w:val="26"/>
          <w:lang w:val="es-CO"/>
        </w:rPr>
        <w:t>A ninguna duda se remite que las últimas reformas procesales</w:t>
      </w:r>
      <w:r w:rsidR="1DD2A017" w:rsidRPr="000F5681">
        <w:rPr>
          <w:rFonts w:ascii="Georgia" w:hAnsi="Georgia" w:cs="Arial"/>
          <w:sz w:val="26"/>
          <w:szCs w:val="26"/>
          <w:lang w:val="es-CO"/>
        </w:rPr>
        <w:t>,</w:t>
      </w:r>
      <w:r w:rsidRPr="000F5681">
        <w:rPr>
          <w:rFonts w:ascii="Georgia" w:hAnsi="Georgia" w:cs="Arial"/>
          <w:sz w:val="26"/>
          <w:szCs w:val="26"/>
          <w:lang w:val="es-CO"/>
        </w:rPr>
        <w:t xml:space="preserve"> y en especial el CGP</w:t>
      </w:r>
      <w:r w:rsidR="4C16FC7B" w:rsidRPr="000F5681">
        <w:rPr>
          <w:rFonts w:ascii="Georgia" w:hAnsi="Georgia" w:cs="Arial"/>
          <w:sz w:val="26"/>
          <w:szCs w:val="26"/>
          <w:lang w:val="es-CO"/>
        </w:rPr>
        <w:t>,</w:t>
      </w:r>
      <w:r w:rsidRPr="000F5681">
        <w:rPr>
          <w:rFonts w:ascii="Georgia" w:hAnsi="Georgia" w:cs="Arial"/>
          <w:sz w:val="26"/>
          <w:szCs w:val="26"/>
          <w:lang w:val="es-CO"/>
        </w:rPr>
        <w:t xml:space="preserve"> anhelan que los litigios tengan un plazo razonable para su resolución (Art</w:t>
      </w:r>
      <w:r w:rsidR="003F7D17" w:rsidRPr="000F5681">
        <w:rPr>
          <w:rFonts w:ascii="Georgia" w:hAnsi="Georgia" w:cs="Arial"/>
          <w:sz w:val="26"/>
          <w:szCs w:val="26"/>
          <w:lang w:val="es-CO"/>
        </w:rPr>
        <w:t>.</w:t>
      </w:r>
      <w:r w:rsidRPr="000F5681">
        <w:rPr>
          <w:rFonts w:ascii="Georgia" w:hAnsi="Georgia" w:cs="Arial"/>
          <w:sz w:val="26"/>
          <w:szCs w:val="26"/>
          <w:lang w:val="es-CO"/>
        </w:rPr>
        <w:t>121</w:t>
      </w:r>
      <w:r w:rsidR="00E53F5B" w:rsidRPr="000F5681">
        <w:rPr>
          <w:rFonts w:ascii="Georgia" w:hAnsi="Georgia" w:cs="Arial"/>
          <w:sz w:val="26"/>
          <w:szCs w:val="26"/>
          <w:lang w:val="es-CO"/>
        </w:rPr>
        <w:t>, CGP</w:t>
      </w:r>
      <w:r w:rsidRPr="000F5681">
        <w:rPr>
          <w:rFonts w:ascii="Georgia" w:hAnsi="Georgia" w:cs="Arial"/>
          <w:sz w:val="26"/>
          <w:szCs w:val="26"/>
          <w:lang w:val="es-CO"/>
        </w:rPr>
        <w:t>) en el marco del principio de celeridad, prescrito por el artículo 4º de la Ley Estatutaria de la Administración de Justicia, al que debe sumarse el derecho a la tutela judicial efectiva (Art</w:t>
      </w:r>
      <w:r w:rsidR="003F7D17" w:rsidRPr="000F5681">
        <w:rPr>
          <w:rFonts w:ascii="Georgia" w:hAnsi="Georgia" w:cs="Arial"/>
          <w:sz w:val="26"/>
          <w:szCs w:val="26"/>
          <w:lang w:val="es-CO"/>
        </w:rPr>
        <w:t>.</w:t>
      </w:r>
      <w:r w:rsidRPr="000F5681">
        <w:rPr>
          <w:rFonts w:ascii="Georgia" w:hAnsi="Georgia" w:cs="Arial"/>
          <w:sz w:val="26"/>
          <w:szCs w:val="26"/>
          <w:lang w:val="es-CO"/>
        </w:rPr>
        <w:t>2º, CGP).</w:t>
      </w:r>
    </w:p>
    <w:p w14:paraId="657F9E0A" w14:textId="77777777" w:rsidR="00E206BE" w:rsidRPr="000F5681" w:rsidRDefault="00E206BE" w:rsidP="000F5681">
      <w:pPr>
        <w:spacing w:line="276" w:lineRule="auto"/>
        <w:jc w:val="both"/>
        <w:rPr>
          <w:rFonts w:ascii="Georgia" w:hAnsi="Georgia" w:cs="Arial"/>
          <w:sz w:val="26"/>
          <w:szCs w:val="26"/>
          <w:lang w:val="es-CO"/>
        </w:rPr>
      </w:pPr>
    </w:p>
    <w:p w14:paraId="5BBD729E" w14:textId="19A437BE" w:rsidR="00E206BE" w:rsidRPr="000F5681" w:rsidRDefault="00E206BE" w:rsidP="000F5681">
      <w:pPr>
        <w:spacing w:line="276" w:lineRule="auto"/>
        <w:jc w:val="both"/>
        <w:rPr>
          <w:rFonts w:ascii="Georgia" w:hAnsi="Georgia" w:cs="Arial"/>
          <w:sz w:val="26"/>
          <w:szCs w:val="26"/>
        </w:rPr>
      </w:pPr>
      <w:r w:rsidRPr="000F5681">
        <w:rPr>
          <w:rFonts w:ascii="Georgia" w:hAnsi="Georgia" w:cs="Arial"/>
          <w:sz w:val="26"/>
          <w:szCs w:val="26"/>
          <w:lang w:val="es-CO"/>
        </w:rPr>
        <w:t xml:space="preserve">Ahora, muy importante en el condigno ejercicio hermenéutico, es considerar que como se está en presencia de sanciones, su aplicación ha de ser restringida, tal como dispone de antaño </w:t>
      </w:r>
      <w:r w:rsidRPr="000F5681">
        <w:rPr>
          <w:rFonts w:ascii="Georgia" w:hAnsi="Georgia" w:cs="Arial"/>
          <w:sz w:val="26"/>
          <w:szCs w:val="26"/>
        </w:rPr>
        <w:t>la Ley 153 de 1887</w:t>
      </w:r>
      <w:bookmarkEnd w:id="1"/>
      <w:r w:rsidRPr="000F5681">
        <w:rPr>
          <w:rFonts w:ascii="Georgia" w:hAnsi="Georgia" w:cs="Arial"/>
          <w:sz w:val="26"/>
          <w:szCs w:val="26"/>
        </w:rPr>
        <w:t>,</w:t>
      </w:r>
      <w:r w:rsidR="00C56D0B" w:rsidRPr="000F5681">
        <w:rPr>
          <w:rFonts w:ascii="Georgia" w:hAnsi="Georgia" w:cs="Arial"/>
          <w:sz w:val="26"/>
          <w:szCs w:val="26"/>
        </w:rPr>
        <w:t xml:space="preserve"> </w:t>
      </w:r>
      <w:r w:rsidRPr="000F5681">
        <w:rPr>
          <w:rFonts w:ascii="Georgia" w:hAnsi="Georgia" w:cs="Arial"/>
          <w:sz w:val="26"/>
          <w:szCs w:val="26"/>
        </w:rPr>
        <w:t xml:space="preserve">con </w:t>
      </w:r>
      <w:r w:rsidR="0078538E" w:rsidRPr="000F5681">
        <w:rPr>
          <w:rFonts w:ascii="Georgia" w:hAnsi="Georgia" w:cs="Arial"/>
          <w:sz w:val="26"/>
          <w:szCs w:val="26"/>
        </w:rPr>
        <w:t>reconocimiento de la justicia ordinaria</w:t>
      </w:r>
      <w:r w:rsidRPr="000F5681">
        <w:rPr>
          <w:rStyle w:val="Refdenotaalpie"/>
          <w:rFonts w:ascii="Georgia" w:hAnsi="Georgia"/>
          <w:sz w:val="26"/>
          <w:szCs w:val="26"/>
        </w:rPr>
        <w:footnoteReference w:id="30"/>
      </w:r>
      <w:r w:rsidRPr="000F5681">
        <w:rPr>
          <w:rFonts w:ascii="Georgia" w:hAnsi="Georgia" w:cs="Arial"/>
          <w:sz w:val="26"/>
          <w:szCs w:val="26"/>
        </w:rPr>
        <w:t xml:space="preserve"> y </w:t>
      </w:r>
      <w:r w:rsidR="0078538E" w:rsidRPr="000F5681">
        <w:rPr>
          <w:rFonts w:ascii="Georgia" w:hAnsi="Georgia" w:cs="Arial"/>
          <w:sz w:val="26"/>
          <w:szCs w:val="26"/>
        </w:rPr>
        <w:t>la constitucional</w:t>
      </w:r>
      <w:r w:rsidRPr="000F5681">
        <w:rPr>
          <w:rFonts w:ascii="Georgia" w:hAnsi="Georgia" w:cs="Arial"/>
          <w:sz w:val="26"/>
          <w:szCs w:val="26"/>
        </w:rPr>
        <w:t xml:space="preserve"> </w:t>
      </w:r>
      <w:r w:rsidR="0078538E" w:rsidRPr="000F5681">
        <w:rPr>
          <w:rFonts w:ascii="Georgia" w:hAnsi="Georgia" w:cs="Arial"/>
          <w:sz w:val="26"/>
          <w:szCs w:val="26"/>
        </w:rPr>
        <w:t>del órgano de</w:t>
      </w:r>
      <w:r w:rsidRPr="000F5681">
        <w:rPr>
          <w:rFonts w:ascii="Georgia" w:hAnsi="Georgia" w:cs="Arial"/>
          <w:sz w:val="26"/>
          <w:szCs w:val="26"/>
        </w:rPr>
        <w:t xml:space="preserve"> cierre</w:t>
      </w:r>
      <w:r w:rsidRPr="000F5681">
        <w:rPr>
          <w:rStyle w:val="Refdenotaalpie"/>
          <w:rFonts w:ascii="Georgia" w:hAnsi="Georgia"/>
          <w:sz w:val="26"/>
          <w:szCs w:val="26"/>
        </w:rPr>
        <w:footnoteReference w:id="31"/>
      </w:r>
      <w:r w:rsidRPr="000F5681">
        <w:rPr>
          <w:rFonts w:ascii="Georgia" w:hAnsi="Georgia" w:cs="Arial"/>
          <w:sz w:val="26"/>
          <w:szCs w:val="26"/>
        </w:rPr>
        <w:t>, así:</w:t>
      </w:r>
    </w:p>
    <w:p w14:paraId="0DE30A91" w14:textId="77777777" w:rsidR="00E206BE" w:rsidRPr="000F5681" w:rsidRDefault="00E206BE" w:rsidP="000F5681">
      <w:pPr>
        <w:spacing w:line="276" w:lineRule="auto"/>
        <w:ind w:left="567"/>
        <w:jc w:val="both"/>
        <w:rPr>
          <w:rFonts w:ascii="Georgia" w:hAnsi="Georgia" w:cs="Arial"/>
          <w:sz w:val="26"/>
          <w:szCs w:val="26"/>
          <w:shd w:val="clear" w:color="auto" w:fill="FFFFFF"/>
        </w:rPr>
      </w:pPr>
    </w:p>
    <w:p w14:paraId="5A19171E" w14:textId="77777777" w:rsidR="00E206BE" w:rsidRPr="00E17ACC" w:rsidRDefault="00E206BE" w:rsidP="00E17ACC">
      <w:pPr>
        <w:ind w:left="426" w:right="420"/>
        <w:jc w:val="both"/>
        <w:rPr>
          <w:rFonts w:ascii="Georgia" w:hAnsi="Georgia" w:cs="Arial"/>
          <w:szCs w:val="26"/>
        </w:rPr>
      </w:pPr>
      <w:r w:rsidRPr="00E17ACC">
        <w:rPr>
          <w:rFonts w:ascii="Georgia" w:hAnsi="Georgia" w:cs="Arial"/>
          <w:szCs w:val="26"/>
          <w:shd w:val="clear" w:color="auto" w:fill="FFFFFF"/>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E17ACC">
        <w:rPr>
          <w:rFonts w:ascii="Georgia" w:hAnsi="Georgia" w:cs="Arial"/>
          <w:szCs w:val="26"/>
          <w:u w:val="single"/>
          <w:shd w:val="clear" w:color="auto" w:fill="FFFFFF"/>
        </w:rPr>
        <w:t>las normas que imponen sanciones o que establecen límites a los derechos son de interpretación restrictiva. Las reglas que el intérprete pretenda derivar de una disposición jurídica, al margen de este principio hermenéutico, carecerán de todo valor jurídico</w:t>
      </w:r>
      <w:r w:rsidRPr="00E17ACC">
        <w:rPr>
          <w:rFonts w:ascii="Georgia" w:hAnsi="Georgia" w:cs="Arial"/>
          <w:szCs w:val="26"/>
          <w:shd w:val="clear" w:color="auto" w:fill="FFFFFF"/>
        </w:rPr>
        <w:t xml:space="preserve">.  </w:t>
      </w:r>
      <w:r w:rsidR="003F7D17" w:rsidRPr="00E17ACC">
        <w:rPr>
          <w:rFonts w:ascii="Georgia" w:hAnsi="Georgia" w:cs="Arial"/>
          <w:szCs w:val="26"/>
          <w:shd w:val="clear" w:color="auto" w:fill="FFFFFF"/>
        </w:rPr>
        <w:t>(</w:t>
      </w:r>
      <w:proofErr w:type="spellStart"/>
      <w:r w:rsidRPr="00E17ACC">
        <w:rPr>
          <w:rFonts w:ascii="Georgia" w:hAnsi="Georgia" w:cs="Arial"/>
          <w:szCs w:val="26"/>
          <w:shd w:val="clear" w:color="auto" w:fill="FFFFFF"/>
        </w:rPr>
        <w:t>Sublínea</w:t>
      </w:r>
      <w:proofErr w:type="spellEnd"/>
      <w:r w:rsidRPr="00E17ACC">
        <w:rPr>
          <w:rFonts w:ascii="Georgia" w:hAnsi="Georgia" w:cs="Arial"/>
          <w:szCs w:val="26"/>
          <w:shd w:val="clear" w:color="auto" w:fill="FFFFFF"/>
        </w:rPr>
        <w:t xml:space="preserve"> ajena al original</w:t>
      </w:r>
      <w:r w:rsidR="003F7D17" w:rsidRPr="00E17ACC">
        <w:rPr>
          <w:rFonts w:ascii="Georgia" w:hAnsi="Georgia" w:cs="Arial"/>
          <w:szCs w:val="26"/>
          <w:shd w:val="clear" w:color="auto" w:fill="FFFFFF"/>
        </w:rPr>
        <w:t>)</w:t>
      </w:r>
      <w:r w:rsidRPr="00E17ACC">
        <w:rPr>
          <w:rFonts w:ascii="Georgia" w:hAnsi="Georgia" w:cs="Arial"/>
          <w:szCs w:val="26"/>
          <w:shd w:val="clear" w:color="auto" w:fill="FFFFFF"/>
        </w:rPr>
        <w:t>.</w:t>
      </w:r>
    </w:p>
    <w:p w14:paraId="0F98CDD1" w14:textId="77777777" w:rsidR="00E206BE" w:rsidRPr="000F5681" w:rsidRDefault="00E206BE" w:rsidP="000F5681">
      <w:pPr>
        <w:pStyle w:val="Sinespaciado"/>
        <w:spacing w:line="276" w:lineRule="auto"/>
        <w:jc w:val="both"/>
        <w:rPr>
          <w:rFonts w:ascii="Georgia" w:hAnsi="Georgia" w:cs="Arial"/>
          <w:sz w:val="26"/>
          <w:szCs w:val="26"/>
        </w:rPr>
      </w:pPr>
    </w:p>
    <w:p w14:paraId="741C7E53" w14:textId="77777777" w:rsidR="00E206BE" w:rsidRPr="000F5681" w:rsidRDefault="00E206BE" w:rsidP="000F5681">
      <w:pPr>
        <w:pStyle w:val="Textoindependiente"/>
        <w:spacing w:line="276" w:lineRule="auto"/>
        <w:ind w:right="51"/>
        <w:rPr>
          <w:rFonts w:ascii="Georgia" w:hAnsi="Georgia" w:cs="Arial"/>
          <w:sz w:val="26"/>
          <w:szCs w:val="26"/>
        </w:rPr>
      </w:pPr>
      <w:r w:rsidRPr="000F5681">
        <w:rPr>
          <w:rFonts w:ascii="Georgia" w:hAnsi="Georgia" w:cs="Arial"/>
          <w:sz w:val="26"/>
          <w:szCs w:val="26"/>
        </w:rPr>
        <w:t xml:space="preserve">Así, para que la afectación generada con el desistimiento no sea inesperada, previamente la parte debe ser advertida por el juez, quien con </w:t>
      </w:r>
      <w:r w:rsidRPr="000F5681">
        <w:rPr>
          <w:rFonts w:ascii="Georgia" w:hAnsi="Georgia" w:cs="Arial"/>
          <w:sz w:val="26"/>
          <w:szCs w:val="26"/>
          <w:u w:val="single"/>
        </w:rPr>
        <w:t>claridad determinará la actuación encomendada</w:t>
      </w:r>
      <w:r w:rsidRPr="000F5681">
        <w:rPr>
          <w:rFonts w:ascii="Georgia" w:hAnsi="Georgia" w:cs="Arial"/>
          <w:sz w:val="26"/>
          <w:szCs w:val="26"/>
        </w:rPr>
        <w:t xml:space="preserve"> y otorgará el término legal para ejecutarla (Art</w:t>
      </w:r>
      <w:r w:rsidR="003F7D17" w:rsidRPr="000F5681">
        <w:rPr>
          <w:rFonts w:ascii="Georgia" w:hAnsi="Georgia" w:cs="Arial"/>
          <w:sz w:val="26"/>
          <w:szCs w:val="26"/>
        </w:rPr>
        <w:t>.</w:t>
      </w:r>
      <w:r w:rsidRPr="000F5681">
        <w:rPr>
          <w:rFonts w:ascii="Georgia" w:hAnsi="Georgia" w:cs="Arial"/>
          <w:sz w:val="26"/>
          <w:szCs w:val="26"/>
        </w:rPr>
        <w:t>317-1º, CGP). De tiempo atrás tiene dicho el alto Tribunal Constitucional</w:t>
      </w:r>
      <w:r w:rsidRPr="000F5681">
        <w:rPr>
          <w:rFonts w:ascii="Georgia" w:hAnsi="Georgia"/>
          <w:sz w:val="26"/>
          <w:szCs w:val="26"/>
          <w:vertAlign w:val="superscript"/>
        </w:rPr>
        <w:footnoteReference w:id="32"/>
      </w:r>
      <w:r w:rsidRPr="000F5681">
        <w:rPr>
          <w:rFonts w:ascii="Georgia" w:hAnsi="Georgia" w:cs="Arial"/>
          <w:sz w:val="26"/>
          <w:szCs w:val="26"/>
        </w:rPr>
        <w:t>:</w:t>
      </w:r>
    </w:p>
    <w:p w14:paraId="04272739" w14:textId="77777777" w:rsidR="00E206BE" w:rsidRPr="000F5681" w:rsidRDefault="00E206BE" w:rsidP="000F5681">
      <w:pPr>
        <w:pStyle w:val="Textoindependiente"/>
        <w:spacing w:line="276" w:lineRule="auto"/>
        <w:ind w:right="51"/>
        <w:rPr>
          <w:rFonts w:ascii="Georgia" w:hAnsi="Georgia" w:cs="Arial"/>
          <w:sz w:val="26"/>
          <w:szCs w:val="26"/>
        </w:rPr>
      </w:pPr>
    </w:p>
    <w:p w14:paraId="6D186CED" w14:textId="6F6661BA" w:rsidR="00E206BE" w:rsidRPr="00E17ACC" w:rsidRDefault="00E206BE" w:rsidP="00E17ACC">
      <w:pPr>
        <w:pStyle w:val="Textoindependiente"/>
        <w:ind w:left="426" w:right="420"/>
        <w:rPr>
          <w:rFonts w:ascii="Georgia" w:hAnsi="Georgia" w:cs="Arial"/>
          <w:sz w:val="24"/>
          <w:szCs w:val="26"/>
        </w:rPr>
      </w:pPr>
      <w:r w:rsidRPr="00E17ACC">
        <w:rPr>
          <w:rFonts w:ascii="Georgia" w:hAnsi="Georgia" w:cs="Arial"/>
          <w:sz w:val="24"/>
          <w:szCs w:val="26"/>
        </w:rPr>
        <w:t xml:space="preserve">… la afectación que se produce con el desistimiento tácito no es súbita, ni sorpresiva para el futuro afectado. Este es advertido previamente por el juez de su deber de colaborar con el buen funcionamiento de la administración de justicia. </w:t>
      </w:r>
      <w:r w:rsidRPr="00E17ACC">
        <w:rPr>
          <w:rFonts w:ascii="Georgia" w:hAnsi="Georgia" w:cs="Arial"/>
          <w:sz w:val="24"/>
          <w:szCs w:val="26"/>
          <w:u w:val="single"/>
        </w:rPr>
        <w:t>Además recibe de parte del juez una orden específica sobre lo que le incumbe hacer procesalmente dentro de un plazo claro previamente determinado.</w:t>
      </w:r>
      <w:r w:rsidRPr="00E17ACC">
        <w:rPr>
          <w:rFonts w:ascii="Georgia" w:hAnsi="Georgia" w:cs="Arial"/>
          <w:sz w:val="24"/>
          <w:szCs w:val="26"/>
        </w:rPr>
        <w:t xml:space="preserve"> De </w:t>
      </w:r>
      <w:r w:rsidR="00AF1E58" w:rsidRPr="00E17ACC">
        <w:rPr>
          <w:rFonts w:ascii="Georgia" w:hAnsi="Georgia" w:cs="Arial"/>
          <w:sz w:val="24"/>
          <w:szCs w:val="26"/>
        </w:rPr>
        <w:t>esta</w:t>
      </w:r>
      <w:r w:rsidRPr="00E17ACC">
        <w:rPr>
          <w:rFonts w:ascii="Georgia" w:hAnsi="Georgia" w:cs="Arial"/>
          <w:sz w:val="24"/>
          <w:szCs w:val="26"/>
        </w:rPr>
        <w:t xml:space="preserve"> forma, la carga procesal </w:t>
      </w:r>
      <w:r w:rsidRPr="00E17ACC">
        <w:rPr>
          <w:rFonts w:ascii="Georgia" w:hAnsi="Georgia" w:cs="Arial"/>
          <w:b/>
          <w:sz w:val="24"/>
          <w:szCs w:val="26"/>
        </w:rPr>
        <w:t xml:space="preserve">(i) </w:t>
      </w:r>
      <w:r w:rsidRPr="00E17ACC">
        <w:rPr>
          <w:rFonts w:ascii="Georgia" w:hAnsi="Georgia" w:cs="Arial"/>
          <w:sz w:val="24"/>
          <w:szCs w:val="26"/>
        </w:rPr>
        <w:t>recae sobre el presunto interesado en seguir adelante con la actuación;</w:t>
      </w:r>
      <w:r w:rsidRPr="00E17ACC">
        <w:rPr>
          <w:rFonts w:ascii="Georgia" w:hAnsi="Georgia" w:cs="Arial"/>
          <w:sz w:val="24"/>
          <w:szCs w:val="26"/>
          <w:vertAlign w:val="superscript"/>
        </w:rPr>
        <w:footnoteReference w:id="33"/>
      </w:r>
      <w:r w:rsidRPr="00E17ACC">
        <w:rPr>
          <w:rFonts w:ascii="Georgia" w:hAnsi="Georgia" w:cs="Arial"/>
          <w:sz w:val="24"/>
          <w:szCs w:val="26"/>
        </w:rPr>
        <w:t xml:space="preserve"> </w:t>
      </w:r>
      <w:r w:rsidRPr="00E17ACC">
        <w:rPr>
          <w:rFonts w:ascii="Georgia" w:hAnsi="Georgia" w:cs="Arial"/>
          <w:b/>
          <w:sz w:val="24"/>
          <w:szCs w:val="26"/>
        </w:rPr>
        <w:t xml:space="preserve">(ii) </w:t>
      </w:r>
      <w:r w:rsidRPr="00E17ACC">
        <w:rPr>
          <w:rFonts w:ascii="Georgia" w:hAnsi="Georgia" w:cs="Arial"/>
          <w:sz w:val="24"/>
          <w:szCs w:val="26"/>
        </w:rPr>
        <w:t xml:space="preserve">se advierte cuando hay omisiones o conductas que impidan garantizar la diligente observancia de los términos; </w:t>
      </w:r>
      <w:r w:rsidRPr="00E17ACC">
        <w:rPr>
          <w:rFonts w:ascii="Georgia" w:hAnsi="Georgia" w:cs="Arial"/>
          <w:b/>
          <w:sz w:val="24"/>
          <w:szCs w:val="26"/>
        </w:rPr>
        <w:t xml:space="preserve">(iii) </w:t>
      </w:r>
      <w:r w:rsidR="004F1D47" w:rsidRPr="00E17ACC">
        <w:rPr>
          <w:rFonts w:ascii="Georgia" w:hAnsi="Georgia" w:cs="Arial"/>
          <w:sz w:val="24"/>
          <w:szCs w:val="26"/>
        </w:rPr>
        <w:t xml:space="preserve">se debe cumplir dentro de un término de treinta (30) días </w:t>
      </w:r>
      <w:r w:rsidR="004F1D47" w:rsidRPr="00E17ACC">
        <w:rPr>
          <w:rFonts w:ascii="Georgia" w:hAnsi="Georgia" w:cs="Arial"/>
          <w:sz w:val="24"/>
          <w:szCs w:val="26"/>
        </w:rPr>
        <w:lastRenderedPageBreak/>
        <w:t>hábiles, tiempo amplio y suficiente para desplegar una actividad en la cual la parte se encuentra interesada</w:t>
      </w:r>
      <w:r w:rsidRPr="00E17ACC">
        <w:rPr>
          <w:rFonts w:ascii="Georgia" w:hAnsi="Georgia" w:cs="Arial"/>
          <w:sz w:val="24"/>
          <w:szCs w:val="26"/>
        </w:rPr>
        <w:t xml:space="preserve">. Además, </w:t>
      </w:r>
      <w:r w:rsidRPr="00E17ACC">
        <w:rPr>
          <w:rFonts w:ascii="Georgia" w:hAnsi="Georgia" w:cs="Arial"/>
          <w:b/>
          <w:sz w:val="24"/>
          <w:szCs w:val="26"/>
        </w:rPr>
        <w:t xml:space="preserve">(iv) </w:t>
      </w:r>
      <w:r w:rsidRPr="00E17ACC">
        <w:rPr>
          <w:rFonts w:ascii="Georgia" w:hAnsi="Georgia" w:cs="Arial"/>
          <w:sz w:val="24"/>
          <w:szCs w:val="26"/>
        </w:rPr>
        <w:t>la persona a la que se le impone la carga es advertida de la imposición de la misma y de las consecuencias de su incumplimiento...</w:t>
      </w:r>
    </w:p>
    <w:p w14:paraId="5D17BB47" w14:textId="77777777" w:rsidR="00E206BE" w:rsidRPr="000F5681" w:rsidRDefault="00E206BE" w:rsidP="000F5681">
      <w:pPr>
        <w:pStyle w:val="Sinespaciado"/>
        <w:spacing w:line="276" w:lineRule="auto"/>
        <w:jc w:val="both"/>
        <w:rPr>
          <w:rFonts w:ascii="Georgia" w:hAnsi="Georgia" w:cs="Arial"/>
          <w:sz w:val="26"/>
          <w:szCs w:val="26"/>
        </w:rPr>
      </w:pPr>
    </w:p>
    <w:p w14:paraId="7C28E0AE" w14:textId="6F094715" w:rsidR="00E206BE" w:rsidRPr="000F5681" w:rsidRDefault="00E206BE" w:rsidP="000F5681">
      <w:pPr>
        <w:pStyle w:val="Sinespaciado"/>
        <w:spacing w:line="276" w:lineRule="auto"/>
        <w:jc w:val="both"/>
        <w:rPr>
          <w:rFonts w:ascii="Georgia" w:hAnsi="Georgia" w:cs="Arial"/>
          <w:sz w:val="26"/>
          <w:szCs w:val="26"/>
        </w:rPr>
      </w:pPr>
      <w:r w:rsidRPr="000F5681">
        <w:rPr>
          <w:rFonts w:ascii="Georgia" w:hAnsi="Georgia" w:cs="Arial"/>
          <w:sz w:val="26"/>
          <w:szCs w:val="26"/>
        </w:rPr>
        <w:t>De otro lado, en forma expresa, se estipula en las subreglas para la aplicación de esta forma de terminación anormal (</w:t>
      </w:r>
      <w:r w:rsidR="003F7D17" w:rsidRPr="000F5681">
        <w:rPr>
          <w:rFonts w:ascii="Georgia" w:hAnsi="Georgia" w:cs="Arial"/>
          <w:sz w:val="26"/>
          <w:szCs w:val="26"/>
        </w:rPr>
        <w:t>Art.317, l</w:t>
      </w:r>
      <w:r w:rsidRPr="000F5681">
        <w:rPr>
          <w:rFonts w:ascii="Georgia" w:hAnsi="Georgia" w:cs="Arial"/>
          <w:sz w:val="26"/>
          <w:szCs w:val="26"/>
        </w:rPr>
        <w:t xml:space="preserve">iterales a) </w:t>
      </w:r>
      <w:r w:rsidR="003F7D17" w:rsidRPr="000F5681">
        <w:rPr>
          <w:rFonts w:ascii="Georgia" w:hAnsi="Georgia" w:cs="Arial"/>
          <w:sz w:val="26"/>
          <w:szCs w:val="26"/>
        </w:rPr>
        <w:t xml:space="preserve">al </w:t>
      </w:r>
      <w:r w:rsidRPr="000F5681">
        <w:rPr>
          <w:rFonts w:ascii="Georgia" w:hAnsi="Georgia" w:cs="Arial"/>
          <w:sz w:val="26"/>
          <w:szCs w:val="26"/>
        </w:rPr>
        <w:t xml:space="preserve">h), </w:t>
      </w:r>
      <w:r w:rsidR="003F7D17" w:rsidRPr="000F5681">
        <w:rPr>
          <w:rFonts w:ascii="Georgia" w:hAnsi="Georgia" w:cs="Arial"/>
          <w:sz w:val="26"/>
          <w:szCs w:val="26"/>
        </w:rPr>
        <w:t>CGP</w:t>
      </w:r>
      <w:r w:rsidRPr="000F5681">
        <w:rPr>
          <w:rFonts w:ascii="Georgia" w:hAnsi="Georgia" w:cs="Arial"/>
          <w:sz w:val="26"/>
          <w:szCs w:val="26"/>
        </w:rPr>
        <w:t>), que cuando se trate de incapaces sin apoderado judicial, es improcedente</w:t>
      </w:r>
      <w:r w:rsidRPr="000F5681">
        <w:rPr>
          <w:rStyle w:val="Refdenotaalpie"/>
          <w:rFonts w:ascii="Georgia" w:hAnsi="Georgia"/>
          <w:sz w:val="26"/>
          <w:szCs w:val="26"/>
        </w:rPr>
        <w:footnoteReference w:id="34"/>
      </w:r>
      <w:r w:rsidRPr="000F5681">
        <w:rPr>
          <w:rFonts w:ascii="Georgia" w:hAnsi="Georgia" w:cs="Arial"/>
          <w:sz w:val="26"/>
          <w:szCs w:val="26"/>
        </w:rPr>
        <w:t>; y en parecer de este Despacho, deben añadirse aquellas situaciones de fuerza mayor, debidamente alegadas y probadas, ante el operador judicial, ya prohijadas por la Alta Magistratura Constitucional, al revisar la norma anterior</w:t>
      </w:r>
      <w:r w:rsidRPr="000F5681">
        <w:rPr>
          <w:rStyle w:val="Refdenotaalpie"/>
          <w:rFonts w:ascii="Georgia" w:hAnsi="Georgia"/>
          <w:sz w:val="26"/>
          <w:szCs w:val="26"/>
        </w:rPr>
        <w:footnoteReference w:id="35"/>
      </w:r>
      <w:r w:rsidRPr="000F5681">
        <w:rPr>
          <w:rFonts w:ascii="Georgia" w:hAnsi="Georgia" w:cs="Arial"/>
          <w:sz w:val="26"/>
          <w:szCs w:val="26"/>
        </w:rPr>
        <w:t>;</w:t>
      </w:r>
      <w:r w:rsidR="78E115F2" w:rsidRPr="000F5681">
        <w:rPr>
          <w:rFonts w:ascii="Georgia" w:hAnsi="Georgia" w:cs="Arial"/>
          <w:sz w:val="26"/>
          <w:szCs w:val="26"/>
        </w:rPr>
        <w:t xml:space="preserve"> así mismo</w:t>
      </w:r>
      <w:r w:rsidR="72C6049B" w:rsidRPr="000F5681">
        <w:rPr>
          <w:rFonts w:ascii="Georgia" w:hAnsi="Georgia" w:cs="Arial"/>
          <w:sz w:val="26"/>
          <w:szCs w:val="26"/>
        </w:rPr>
        <w:t xml:space="preserve">, </w:t>
      </w:r>
      <w:r w:rsidR="24A5BE1B" w:rsidRPr="000F5681">
        <w:rPr>
          <w:rFonts w:ascii="Georgia" w:hAnsi="Georgia" w:cs="Arial"/>
          <w:sz w:val="26"/>
          <w:szCs w:val="26"/>
        </w:rPr>
        <w:t xml:space="preserve">son casos exceptivos </w:t>
      </w:r>
      <w:r w:rsidR="72C6049B" w:rsidRPr="000F5681">
        <w:rPr>
          <w:rFonts w:ascii="Georgia" w:hAnsi="Georgia" w:cs="Arial"/>
          <w:sz w:val="26"/>
          <w:szCs w:val="26"/>
        </w:rPr>
        <w:t>aquellos eventos que comprometen el estado civil</w:t>
      </w:r>
      <w:r w:rsidR="00C56D0B" w:rsidRPr="000F5681">
        <w:rPr>
          <w:rStyle w:val="Refdenotaalpie"/>
          <w:rFonts w:ascii="Georgia" w:hAnsi="Georgia"/>
          <w:sz w:val="26"/>
          <w:szCs w:val="26"/>
        </w:rPr>
        <w:footnoteReference w:id="36"/>
      </w:r>
      <w:r w:rsidR="72C6049B" w:rsidRPr="000F5681">
        <w:rPr>
          <w:rFonts w:ascii="Georgia" w:hAnsi="Georgia" w:cs="Arial"/>
          <w:sz w:val="26"/>
          <w:szCs w:val="26"/>
        </w:rPr>
        <w:t xml:space="preserve"> (2020)</w:t>
      </w:r>
      <w:r w:rsidR="5A720B3D" w:rsidRPr="000F5681">
        <w:rPr>
          <w:rFonts w:ascii="Georgia" w:hAnsi="Georgia" w:cs="Arial"/>
          <w:sz w:val="26"/>
          <w:szCs w:val="26"/>
        </w:rPr>
        <w:t>, según prohíja la doctrina de tutela.</w:t>
      </w:r>
    </w:p>
    <w:p w14:paraId="75669049" w14:textId="4A9B4F74" w:rsidR="00E206BE" w:rsidRPr="000F5681" w:rsidRDefault="00E206BE" w:rsidP="000F5681">
      <w:pPr>
        <w:pStyle w:val="Sinespaciado"/>
        <w:spacing w:line="276" w:lineRule="auto"/>
        <w:jc w:val="both"/>
        <w:rPr>
          <w:rFonts w:ascii="Georgia" w:hAnsi="Georgia" w:cs="Arial"/>
          <w:sz w:val="26"/>
          <w:szCs w:val="26"/>
        </w:rPr>
      </w:pPr>
    </w:p>
    <w:p w14:paraId="7278844E" w14:textId="05F82B2E" w:rsidR="00E206BE" w:rsidRPr="000F5681" w:rsidRDefault="78E115F2" w:rsidP="000F5681">
      <w:pPr>
        <w:pStyle w:val="Sinespaciado"/>
        <w:spacing w:line="276" w:lineRule="auto"/>
        <w:jc w:val="both"/>
        <w:rPr>
          <w:rFonts w:ascii="Georgia" w:hAnsi="Georgia" w:cs="Arial"/>
          <w:sz w:val="26"/>
          <w:szCs w:val="26"/>
        </w:rPr>
      </w:pPr>
      <w:r w:rsidRPr="000F5681">
        <w:rPr>
          <w:rFonts w:ascii="Georgia" w:hAnsi="Georgia" w:cs="Arial"/>
          <w:sz w:val="26"/>
          <w:szCs w:val="26"/>
        </w:rPr>
        <w:t>Re</w:t>
      </w:r>
      <w:r w:rsidR="00E206BE" w:rsidRPr="000F5681">
        <w:rPr>
          <w:rFonts w:ascii="Georgia" w:hAnsi="Georgia" w:cs="Arial"/>
          <w:sz w:val="26"/>
          <w:szCs w:val="26"/>
        </w:rPr>
        <w:t>firiéndose</w:t>
      </w:r>
      <w:r w:rsidR="5F512B02" w:rsidRPr="000F5681">
        <w:rPr>
          <w:rFonts w:ascii="Georgia" w:hAnsi="Georgia" w:cs="Arial"/>
          <w:sz w:val="26"/>
          <w:szCs w:val="26"/>
        </w:rPr>
        <w:t>,</w:t>
      </w:r>
      <w:r w:rsidR="00E206BE" w:rsidRPr="000F5681">
        <w:rPr>
          <w:rFonts w:ascii="Georgia" w:hAnsi="Georgia" w:cs="Arial"/>
          <w:sz w:val="26"/>
          <w:szCs w:val="26"/>
        </w:rPr>
        <w:t xml:space="preserve"> la citada colegiatura</w:t>
      </w:r>
      <w:r w:rsidR="216B4842" w:rsidRPr="000F5681">
        <w:rPr>
          <w:rFonts w:ascii="Georgia" w:hAnsi="Georgia" w:cs="Arial"/>
          <w:sz w:val="26"/>
          <w:szCs w:val="26"/>
        </w:rPr>
        <w:t>,</w:t>
      </w:r>
      <w:r w:rsidR="00E206BE" w:rsidRPr="000F5681">
        <w:rPr>
          <w:rFonts w:ascii="Georgia" w:hAnsi="Georgia" w:cs="Arial"/>
          <w:sz w:val="26"/>
          <w:szCs w:val="26"/>
        </w:rPr>
        <w:t xml:space="preserve"> a que la parte se encuentre en imposibilidad de cumplir oportunamente con la carga procesal requerida por el Juez, esto es, encontrándose en situación de fuerza mayor, anota:</w:t>
      </w:r>
    </w:p>
    <w:p w14:paraId="1478ABA9" w14:textId="77777777" w:rsidR="003F7D17" w:rsidRPr="000F5681" w:rsidRDefault="003F7D17" w:rsidP="000F5681">
      <w:pPr>
        <w:pStyle w:val="Sinespaciado"/>
        <w:spacing w:line="276" w:lineRule="auto"/>
        <w:jc w:val="both"/>
        <w:rPr>
          <w:rFonts w:ascii="Georgia" w:hAnsi="Georgia" w:cs="Arial"/>
          <w:sz w:val="26"/>
          <w:szCs w:val="26"/>
        </w:rPr>
      </w:pPr>
    </w:p>
    <w:p w14:paraId="745E27AA" w14:textId="77777777" w:rsidR="00E206BE" w:rsidRPr="00E17ACC" w:rsidRDefault="00E206BE" w:rsidP="00E17ACC">
      <w:pPr>
        <w:pStyle w:val="Sinespaciado"/>
        <w:ind w:left="426" w:right="420"/>
        <w:jc w:val="both"/>
        <w:rPr>
          <w:rFonts w:ascii="Georgia" w:hAnsi="Georgia" w:cs="Arial"/>
          <w:sz w:val="24"/>
          <w:szCs w:val="26"/>
          <w:lang w:val="es-CO"/>
        </w:rPr>
      </w:pPr>
      <w:r w:rsidRPr="00E17ACC">
        <w:rPr>
          <w:rFonts w:ascii="Georgia" w:hAnsi="Georgia" w:cs="Arial"/>
          <w:sz w:val="24"/>
          <w:szCs w:val="26"/>
          <w:lang w:val="es-CO"/>
        </w:rPr>
        <w:t xml:space="preserve">Así las cosas, aun cuando en una situación de conflicto armado irregular o de violencia localizada, ciertas personalidades o grupos poblacionales se encuentren en una situación de especial vulnerabilidad frente a conductas como </w:t>
      </w:r>
      <w:r w:rsidRPr="00E17ACC">
        <w:rPr>
          <w:rFonts w:ascii="Georgia" w:hAnsi="Georgia" w:cs="Arial"/>
          <w:sz w:val="24"/>
          <w:szCs w:val="26"/>
          <w:u w:val="single"/>
          <w:lang w:val="es-CO"/>
        </w:rPr>
        <w:t>el secuestro, la desaparición forzada, la toma de rehenes y el desplazamiento forzado,</w:t>
      </w:r>
      <w:r w:rsidRPr="00E17ACC">
        <w:rPr>
          <w:rFonts w:ascii="Georgia" w:hAnsi="Georgia" w:cs="Arial"/>
          <w:sz w:val="24"/>
          <w:szCs w:val="26"/>
          <w:lang w:val="es-CO"/>
        </w:rPr>
        <w:t xml:space="preserve"> no por eso dejan de estar sometidos a una fuerza que deviene irresistible e imprevisible. En esa medida, éstos serían claros ejemplos de personas sometidas a una fuerza mayor, tal como lo ha indicado la jurisprudencia de la Corte Constitucional.</w:t>
      </w:r>
    </w:p>
    <w:p w14:paraId="5B24AA94" w14:textId="77777777" w:rsidR="00E206BE" w:rsidRPr="00E17ACC" w:rsidRDefault="00E206BE" w:rsidP="00E17ACC">
      <w:pPr>
        <w:pStyle w:val="Sinespaciado"/>
        <w:ind w:left="426" w:right="420"/>
        <w:jc w:val="both"/>
        <w:rPr>
          <w:rFonts w:ascii="Georgia" w:hAnsi="Georgia" w:cs="Arial"/>
          <w:sz w:val="24"/>
          <w:szCs w:val="26"/>
          <w:lang w:val="es-CO"/>
        </w:rPr>
      </w:pPr>
    </w:p>
    <w:p w14:paraId="28B0D97E" w14:textId="77777777" w:rsidR="00E206BE" w:rsidRPr="00E17ACC" w:rsidRDefault="00E206BE" w:rsidP="00E17ACC">
      <w:pPr>
        <w:pStyle w:val="Sinespaciado"/>
        <w:ind w:left="426" w:right="420"/>
        <w:jc w:val="both"/>
        <w:rPr>
          <w:rFonts w:ascii="Georgia" w:hAnsi="Georgia" w:cs="Arial"/>
          <w:sz w:val="24"/>
          <w:szCs w:val="26"/>
        </w:rPr>
      </w:pPr>
      <w:r w:rsidRPr="00E17ACC">
        <w:rPr>
          <w:rFonts w:ascii="Georgia" w:hAnsi="Georgia" w:cs="Arial"/>
          <w:sz w:val="24"/>
          <w:szCs w:val="26"/>
        </w:rPr>
        <w:t>Por consiguiente, en los casos de fuerza mayor valorada por el juez, ni sería razonable interpretar que la persona ha desistido tácitamente de su pretensión o solicitud, ni sería ajustado a la realidad estimar que la persona ha cometido un comportamiento desleal o dilatorio de los términos a sabiendas, que merezca ser sancionado. Tampoco se le puede exigir que mientras está sometido a una fuerza que es irresistible e imprevisible, cumpla con una carga procesal que le es imposible realizar por razones ajenas a su voluntad.</w:t>
      </w:r>
    </w:p>
    <w:p w14:paraId="23947591" w14:textId="77777777" w:rsidR="00E206BE" w:rsidRPr="000F5681" w:rsidRDefault="00E206BE" w:rsidP="000F5681">
      <w:pPr>
        <w:pStyle w:val="Sinespaciado"/>
        <w:spacing w:line="276" w:lineRule="auto"/>
        <w:jc w:val="both"/>
        <w:rPr>
          <w:rFonts w:ascii="Georgia" w:hAnsi="Georgia" w:cs="Arial"/>
          <w:sz w:val="26"/>
          <w:szCs w:val="26"/>
        </w:rPr>
      </w:pPr>
    </w:p>
    <w:p w14:paraId="116EF766" w14:textId="28E232F1" w:rsidR="00E206BE" w:rsidRPr="000F5681" w:rsidRDefault="00CC0183" w:rsidP="000F5681">
      <w:pPr>
        <w:pStyle w:val="Sinespaciado"/>
        <w:spacing w:line="276" w:lineRule="auto"/>
        <w:jc w:val="both"/>
        <w:rPr>
          <w:rFonts w:ascii="Georgia" w:hAnsi="Georgia" w:cs="Arial"/>
          <w:sz w:val="26"/>
          <w:szCs w:val="26"/>
        </w:rPr>
      </w:pPr>
      <w:r w:rsidRPr="000F5681">
        <w:rPr>
          <w:rFonts w:ascii="Georgia" w:hAnsi="Georgia" w:cs="Arial"/>
          <w:sz w:val="26"/>
          <w:szCs w:val="26"/>
        </w:rPr>
        <w:t>Agregado que se justifica en la medida en que se trata de los mismos supuestos normativos.</w:t>
      </w:r>
      <w:r w:rsidR="006C0424" w:rsidRPr="000F5681">
        <w:rPr>
          <w:rFonts w:ascii="Georgia" w:hAnsi="Georgia" w:cs="Arial"/>
          <w:sz w:val="26"/>
          <w:szCs w:val="26"/>
        </w:rPr>
        <w:t xml:space="preserve"> </w:t>
      </w:r>
      <w:r w:rsidR="00E206BE" w:rsidRPr="000F5681">
        <w:rPr>
          <w:rFonts w:ascii="Georgia" w:hAnsi="Georgia" w:cs="Arial"/>
          <w:sz w:val="26"/>
          <w:szCs w:val="26"/>
        </w:rPr>
        <w:t>Importante relievar la intelección que en sede de tutela (Criterio auxiliar) ha hecho la CSJ</w:t>
      </w:r>
      <w:r w:rsidR="00E206BE" w:rsidRPr="000F5681">
        <w:rPr>
          <w:rStyle w:val="Refdenotaalpie"/>
          <w:rFonts w:ascii="Georgia" w:hAnsi="Georgia"/>
          <w:sz w:val="26"/>
          <w:szCs w:val="26"/>
        </w:rPr>
        <w:footnoteReference w:id="37"/>
      </w:r>
      <w:r w:rsidR="00E206BE" w:rsidRPr="000F5681">
        <w:rPr>
          <w:rFonts w:ascii="Georgia" w:hAnsi="Georgia" w:cs="Arial"/>
          <w:sz w:val="26"/>
          <w:szCs w:val="26"/>
        </w:rPr>
        <w:t xml:space="preserve"> (2017), sobre la inactividad a que se refiere el artículo 317, CGP, </w:t>
      </w:r>
      <w:r w:rsidR="3AD6A6FE" w:rsidRPr="000F5681">
        <w:rPr>
          <w:rFonts w:ascii="Georgia" w:hAnsi="Georgia" w:cs="Arial"/>
          <w:sz w:val="26"/>
          <w:szCs w:val="26"/>
        </w:rPr>
        <w:t xml:space="preserve">compartida por </w:t>
      </w:r>
      <w:r w:rsidR="00E206BE" w:rsidRPr="000F5681">
        <w:rPr>
          <w:rFonts w:ascii="Georgia" w:hAnsi="Georgia" w:cs="Arial"/>
          <w:sz w:val="26"/>
          <w:szCs w:val="26"/>
        </w:rPr>
        <w:t xml:space="preserve">esta Magistratura: </w:t>
      </w:r>
    </w:p>
    <w:p w14:paraId="6915AE9D" w14:textId="77777777" w:rsidR="00E206BE" w:rsidRPr="000F5681" w:rsidRDefault="00E206BE" w:rsidP="000F5681">
      <w:pPr>
        <w:pStyle w:val="Textoindependiente"/>
        <w:spacing w:line="276" w:lineRule="auto"/>
        <w:rPr>
          <w:rFonts w:ascii="Georgia" w:hAnsi="Georgia"/>
          <w:sz w:val="26"/>
          <w:szCs w:val="26"/>
        </w:rPr>
      </w:pPr>
    </w:p>
    <w:p w14:paraId="7FD89D77" w14:textId="77777777" w:rsidR="00E206BE" w:rsidRPr="00E17ACC" w:rsidRDefault="00E206BE" w:rsidP="00E17ACC">
      <w:pPr>
        <w:widowControl w:val="0"/>
        <w:ind w:left="426" w:right="420"/>
        <w:jc w:val="both"/>
        <w:rPr>
          <w:rFonts w:ascii="Georgia" w:hAnsi="Georgia" w:cs="Arial"/>
          <w:bCs/>
          <w:szCs w:val="26"/>
        </w:rPr>
      </w:pPr>
      <w:r w:rsidRPr="00E17ACC">
        <w:rPr>
          <w:rFonts w:ascii="Georgia" w:hAnsi="Georgia" w:cs="Arial"/>
          <w:bCs/>
          <w:szCs w:val="26"/>
        </w:rPr>
        <w:t>… la expresión «inactivo» a que hace alusión la norma mencionada, debe analizarse de manera sistemática y armónica con lo preceptuado en el literal «c» del mismo canon, según el cual «cualquier actuación, de oficio o a petición de parte, de cualquier naturaleza, interrumpirá los términos previstos en este artículo».</w:t>
      </w:r>
    </w:p>
    <w:p w14:paraId="341DD5AB" w14:textId="77777777" w:rsidR="00E206BE" w:rsidRPr="00E17ACC" w:rsidRDefault="00E206BE" w:rsidP="00E17ACC">
      <w:pPr>
        <w:widowControl w:val="0"/>
        <w:ind w:left="426" w:right="420"/>
        <w:jc w:val="both"/>
        <w:rPr>
          <w:rFonts w:ascii="Georgia" w:hAnsi="Georgia" w:cs="Arial"/>
          <w:bCs/>
          <w:szCs w:val="26"/>
        </w:rPr>
      </w:pPr>
    </w:p>
    <w:p w14:paraId="779AC946" w14:textId="77777777" w:rsidR="00E206BE" w:rsidRPr="00E17ACC" w:rsidRDefault="00E206BE" w:rsidP="00E17ACC">
      <w:pPr>
        <w:widowControl w:val="0"/>
        <w:ind w:left="426" w:right="420"/>
        <w:jc w:val="both"/>
        <w:rPr>
          <w:rFonts w:ascii="Georgia" w:hAnsi="Georgia" w:cs="Arial"/>
          <w:bCs/>
          <w:szCs w:val="26"/>
        </w:rPr>
      </w:pPr>
      <w:r w:rsidRPr="00E17ACC">
        <w:rPr>
          <w:rFonts w:ascii="Georgia" w:hAnsi="Georgia" w:cs="Arial"/>
          <w:b/>
          <w:bCs/>
          <w:szCs w:val="26"/>
          <w:u w:val="single"/>
        </w:rPr>
        <w:t xml:space="preserve">Una sana hermenéutica del texto legal referido, indica entonces, </w:t>
      </w:r>
      <w:r w:rsidRPr="00E17ACC">
        <w:rPr>
          <w:rFonts w:ascii="Georgia" w:hAnsi="Georgia" w:cs="Arial"/>
          <w:b/>
          <w:bCs/>
          <w:szCs w:val="26"/>
          <w:u w:val="single"/>
        </w:rPr>
        <w:lastRenderedPageBreak/>
        <w:t>que para que podamos considerar que un expediente estuvo «inactivo» en la secretaría del despacho, debe permanecer huérfano de todo tipo de actuación, es decir, debe carecer de trámite, movimiento o alteración de cualquier naturaleza y ello debe ocurrir durante un plazo mínimo de un año, si lo que se pretende es aplicarle válidamente la figura jurídica del desistimiento tácito</w:t>
      </w:r>
      <w:r w:rsidRPr="00E17ACC">
        <w:rPr>
          <w:rFonts w:ascii="Georgia" w:hAnsi="Georgia" w:cs="Arial"/>
          <w:bCs/>
          <w:szCs w:val="26"/>
        </w:rPr>
        <w:t xml:space="preserve">… </w:t>
      </w:r>
      <w:r w:rsidR="003F7D17" w:rsidRPr="00E17ACC">
        <w:rPr>
          <w:rFonts w:ascii="Georgia" w:hAnsi="Georgia" w:cs="Arial"/>
          <w:bCs/>
          <w:szCs w:val="26"/>
        </w:rPr>
        <w:t>(</w:t>
      </w:r>
      <w:r w:rsidRPr="00E17ACC">
        <w:rPr>
          <w:rFonts w:ascii="Georgia" w:hAnsi="Georgia" w:cs="Arial"/>
          <w:bCs/>
          <w:szCs w:val="26"/>
        </w:rPr>
        <w:t>Negrilla y sublínea originales</w:t>
      </w:r>
      <w:r w:rsidR="003F7D17" w:rsidRPr="00E17ACC">
        <w:rPr>
          <w:rFonts w:ascii="Georgia" w:hAnsi="Georgia" w:cs="Arial"/>
          <w:bCs/>
          <w:szCs w:val="26"/>
        </w:rPr>
        <w:t>)</w:t>
      </w:r>
      <w:r w:rsidRPr="00E17ACC">
        <w:rPr>
          <w:rFonts w:ascii="Georgia" w:hAnsi="Georgia" w:cs="Arial"/>
          <w:bCs/>
          <w:szCs w:val="26"/>
        </w:rPr>
        <w:t>.</w:t>
      </w:r>
    </w:p>
    <w:p w14:paraId="08287F90" w14:textId="77777777" w:rsidR="00773A8F" w:rsidRPr="000F5681" w:rsidRDefault="00773A8F" w:rsidP="000F5681">
      <w:pPr>
        <w:pStyle w:val="Sinespaciado"/>
        <w:spacing w:line="276" w:lineRule="auto"/>
        <w:jc w:val="both"/>
        <w:rPr>
          <w:rFonts w:ascii="Georgia" w:hAnsi="Georgia" w:cs="Arial"/>
          <w:sz w:val="26"/>
          <w:szCs w:val="26"/>
        </w:rPr>
      </w:pPr>
    </w:p>
    <w:p w14:paraId="14B277FB" w14:textId="77777777" w:rsidR="00490AE3" w:rsidRPr="000F5681" w:rsidRDefault="00E206BE" w:rsidP="000F5681">
      <w:pPr>
        <w:pStyle w:val="Sinespaciado"/>
        <w:spacing w:line="276" w:lineRule="auto"/>
        <w:jc w:val="both"/>
        <w:rPr>
          <w:rFonts w:ascii="Georgia" w:hAnsi="Georgia" w:cs="Arial"/>
          <w:sz w:val="26"/>
          <w:szCs w:val="26"/>
        </w:rPr>
      </w:pPr>
      <w:r w:rsidRPr="000F5681">
        <w:rPr>
          <w:rFonts w:ascii="Georgia" w:hAnsi="Georgia" w:cs="Arial"/>
          <w:sz w:val="26"/>
          <w:szCs w:val="26"/>
        </w:rPr>
        <w:t>Finalmente, compete señalar que el desistimiento tácito del CGP fue demandado ante la CC</w:t>
      </w:r>
      <w:r w:rsidRPr="000F5681">
        <w:rPr>
          <w:rStyle w:val="Refdenotaalpie"/>
          <w:rFonts w:ascii="Georgia" w:hAnsi="Georgia"/>
          <w:sz w:val="26"/>
          <w:szCs w:val="26"/>
        </w:rPr>
        <w:footnoteReference w:id="38"/>
      </w:r>
      <w:r w:rsidRPr="000F5681">
        <w:rPr>
          <w:rFonts w:ascii="Georgia" w:hAnsi="Georgia" w:cs="Arial"/>
          <w:sz w:val="26"/>
          <w:szCs w:val="26"/>
        </w:rPr>
        <w:t xml:space="preserve">, pero la Magistratura se declaró inhibida para decidir, por manera que los razonamientos allí vertidos, como no fueron las motivaciones que sirvieron para adoptar la decisión final, se catalogan como </w:t>
      </w:r>
      <w:r w:rsidRPr="000F5681">
        <w:rPr>
          <w:rFonts w:ascii="Georgia" w:hAnsi="Georgia" w:cs="Arial"/>
          <w:i/>
          <w:sz w:val="26"/>
          <w:szCs w:val="26"/>
        </w:rPr>
        <w:t>obiter dicta</w:t>
      </w:r>
      <w:r w:rsidRPr="000F5681">
        <w:rPr>
          <w:rStyle w:val="Refdenotaalpie"/>
          <w:rFonts w:ascii="Georgia" w:hAnsi="Georgia"/>
          <w:sz w:val="26"/>
          <w:szCs w:val="26"/>
        </w:rPr>
        <w:footnoteReference w:id="39"/>
      </w:r>
      <w:r w:rsidRPr="000F5681">
        <w:rPr>
          <w:rFonts w:ascii="Georgia" w:hAnsi="Georgia" w:cs="Arial"/>
          <w:sz w:val="26"/>
          <w:szCs w:val="26"/>
        </w:rPr>
        <w:t xml:space="preserve">, es decir, carecen de fuerza vinculante alguna para la comunidad jurídica, tienen apenas valor persuasivo. </w:t>
      </w:r>
    </w:p>
    <w:p w14:paraId="1DB1824C" w14:textId="77777777" w:rsidR="00E206BE" w:rsidRPr="000F5681" w:rsidRDefault="00E206BE" w:rsidP="000F5681">
      <w:pPr>
        <w:pStyle w:val="Sinespaciado"/>
        <w:spacing w:line="276" w:lineRule="auto"/>
        <w:ind w:right="567"/>
        <w:jc w:val="both"/>
        <w:rPr>
          <w:rFonts w:ascii="Georgia" w:hAnsi="Georgia" w:cs="Arial"/>
          <w:sz w:val="26"/>
          <w:szCs w:val="26"/>
        </w:rPr>
      </w:pPr>
    </w:p>
    <w:p w14:paraId="3DE0543C" w14:textId="77777777" w:rsidR="00E206BE" w:rsidRPr="000F5681" w:rsidRDefault="00E206BE" w:rsidP="000F5681">
      <w:pPr>
        <w:pStyle w:val="Sinespaciado"/>
        <w:spacing w:line="276" w:lineRule="auto"/>
        <w:jc w:val="both"/>
        <w:rPr>
          <w:rFonts w:ascii="Georgia" w:hAnsi="Georgia" w:cs="Arial"/>
          <w:sz w:val="26"/>
          <w:szCs w:val="26"/>
          <w:lang w:val="es-CO"/>
        </w:rPr>
      </w:pPr>
      <w:r w:rsidRPr="000F5681">
        <w:rPr>
          <w:rFonts w:ascii="Georgia" w:hAnsi="Georgia" w:cs="Arial"/>
          <w:sz w:val="26"/>
          <w:szCs w:val="26"/>
          <w:lang w:val="es-CO"/>
        </w:rPr>
        <w:t xml:space="preserve">Sobre la inactividad, dispone el artículo 317-2º que: </w:t>
      </w:r>
      <w:r w:rsidRPr="000F5681">
        <w:rPr>
          <w:rFonts w:ascii="Georgia" w:hAnsi="Georgia" w:cs="Arial"/>
          <w:i/>
          <w:sz w:val="26"/>
          <w:szCs w:val="26"/>
          <w:lang w:val="es-CO"/>
        </w:rPr>
        <w:t>“</w:t>
      </w:r>
      <w:r w:rsidRPr="00E17ACC">
        <w:rPr>
          <w:rFonts w:ascii="Georgia" w:hAnsi="Georgia" w:cs="Arial"/>
          <w:i/>
          <w:sz w:val="24"/>
          <w:szCs w:val="26"/>
          <w:lang w:val="es-CO"/>
        </w:rPr>
        <w:t>(…) Cuando un proceso (…), permanezca inactivo en la secretaría del despacho, porque no se solicita o realiza ninguna actuación (…), a petición de parte o de oficio, se decretará la terminación por desistimiento tácito sin necesidad de requerimiento previo (…)</w:t>
      </w:r>
      <w:r w:rsidRPr="000F5681">
        <w:rPr>
          <w:rFonts w:ascii="Georgia" w:hAnsi="Georgia" w:cs="Arial"/>
          <w:i/>
          <w:sz w:val="26"/>
          <w:szCs w:val="26"/>
          <w:lang w:val="es-CO"/>
        </w:rPr>
        <w:t>”</w:t>
      </w:r>
      <w:r w:rsidRPr="000F5681">
        <w:rPr>
          <w:rFonts w:ascii="Georgia" w:hAnsi="Georgia" w:cs="Arial"/>
          <w:sz w:val="26"/>
          <w:szCs w:val="26"/>
          <w:lang w:val="es-CO"/>
        </w:rPr>
        <w:t>; y, de conformidad con su literal b), el plazo será de dos (2) años en procesos que cuenten con sentencia judicial o auto de segu</w:t>
      </w:r>
      <w:r w:rsidR="004F1D47" w:rsidRPr="000F5681">
        <w:rPr>
          <w:rFonts w:ascii="Georgia" w:hAnsi="Georgia" w:cs="Arial"/>
          <w:sz w:val="26"/>
          <w:szCs w:val="26"/>
          <w:lang w:val="es-CO"/>
        </w:rPr>
        <w:t>ir adelante con la ejecución.</w:t>
      </w:r>
    </w:p>
    <w:p w14:paraId="620C453B" w14:textId="77777777" w:rsidR="004F1D47" w:rsidRPr="000F5681" w:rsidRDefault="004F1D47" w:rsidP="000F5681">
      <w:pPr>
        <w:pStyle w:val="Sinespaciado"/>
        <w:spacing w:line="276" w:lineRule="auto"/>
        <w:jc w:val="both"/>
        <w:rPr>
          <w:rFonts w:ascii="Georgia" w:hAnsi="Georgia" w:cs="Arial"/>
          <w:sz w:val="26"/>
          <w:szCs w:val="26"/>
          <w:lang w:val="es-CO"/>
        </w:rPr>
      </w:pPr>
    </w:p>
    <w:p w14:paraId="0BC8D48F" w14:textId="3548B383" w:rsidR="004F1D47" w:rsidRPr="000F5681" w:rsidRDefault="539F0492" w:rsidP="000F5681">
      <w:pPr>
        <w:pStyle w:val="Sinespaciado"/>
        <w:spacing w:line="276" w:lineRule="auto"/>
        <w:jc w:val="both"/>
        <w:rPr>
          <w:rFonts w:ascii="Georgia" w:hAnsi="Georgia" w:cs="Arial"/>
          <w:sz w:val="26"/>
          <w:szCs w:val="26"/>
          <w:lang w:val="es-CO"/>
        </w:rPr>
      </w:pPr>
      <w:r w:rsidRPr="000F5681">
        <w:rPr>
          <w:rFonts w:ascii="Georgia" w:hAnsi="Georgia" w:cs="Arial"/>
          <w:sz w:val="26"/>
          <w:szCs w:val="26"/>
          <w:lang w:val="es-CO"/>
        </w:rPr>
        <w:t xml:space="preserve">Respecto a </w:t>
      </w:r>
      <w:r w:rsidR="004F1D47" w:rsidRPr="000F5681">
        <w:rPr>
          <w:rFonts w:ascii="Georgia" w:hAnsi="Georgia" w:cs="Arial"/>
          <w:sz w:val="26"/>
          <w:szCs w:val="26"/>
          <w:lang w:val="es-CO"/>
        </w:rPr>
        <w:t>la aplicación de esta forma de terminación anormal del proceso, cuando exista sentencia</w:t>
      </w:r>
      <w:r w:rsidR="00B244C0" w:rsidRPr="000F5681">
        <w:rPr>
          <w:rFonts w:ascii="Georgia" w:hAnsi="Georgia" w:cs="Arial"/>
          <w:sz w:val="26"/>
          <w:szCs w:val="26"/>
          <w:lang w:val="es-CO"/>
        </w:rPr>
        <w:t xml:space="preserve"> en el proceso</w:t>
      </w:r>
      <w:r w:rsidR="004F1D47" w:rsidRPr="000F5681">
        <w:rPr>
          <w:rFonts w:ascii="Georgia" w:hAnsi="Georgia" w:cs="Arial"/>
          <w:sz w:val="26"/>
          <w:szCs w:val="26"/>
          <w:lang w:val="es-CO"/>
        </w:rPr>
        <w:t>, un sector de la doctrina procesalista repele la aniquilación del fallo, abogan para que se reduzca a la actuación posterior inconclusa</w:t>
      </w:r>
      <w:r w:rsidR="004F1D47" w:rsidRPr="000F5681">
        <w:rPr>
          <w:rStyle w:val="Refdenotaalpie"/>
          <w:rFonts w:ascii="Georgia" w:hAnsi="Georgia"/>
          <w:sz w:val="26"/>
          <w:szCs w:val="26"/>
          <w:lang w:val="es-CO"/>
        </w:rPr>
        <w:footnoteReference w:id="40"/>
      </w:r>
      <w:r w:rsidR="004F1D47" w:rsidRPr="000F5681">
        <w:rPr>
          <w:rFonts w:ascii="Georgia" w:hAnsi="Georgia" w:cs="Arial"/>
          <w:sz w:val="26"/>
          <w:szCs w:val="26"/>
          <w:lang w:val="es-CO"/>
        </w:rPr>
        <w:t>; incluso el maestro López Blanco</w:t>
      </w:r>
      <w:r w:rsidR="004F1D47" w:rsidRPr="000F5681">
        <w:rPr>
          <w:rStyle w:val="Refdenotaalpie"/>
          <w:rFonts w:ascii="Georgia" w:hAnsi="Georgia"/>
          <w:sz w:val="26"/>
          <w:szCs w:val="26"/>
          <w:lang w:val="es-CO"/>
        </w:rPr>
        <w:footnoteReference w:id="41"/>
      </w:r>
      <w:r w:rsidR="004F1D47" w:rsidRPr="000F5681">
        <w:rPr>
          <w:rFonts w:ascii="Georgia" w:hAnsi="Georgia" w:cs="Arial"/>
          <w:sz w:val="26"/>
          <w:szCs w:val="26"/>
          <w:lang w:val="es-CO"/>
        </w:rPr>
        <w:t xml:space="preserve"> </w:t>
      </w:r>
      <w:r w:rsidR="6E7742E2" w:rsidRPr="000F5681">
        <w:rPr>
          <w:rFonts w:ascii="Georgia" w:hAnsi="Georgia" w:cs="Arial"/>
          <w:sz w:val="26"/>
          <w:szCs w:val="26"/>
          <w:lang w:val="es-CO"/>
        </w:rPr>
        <w:t xml:space="preserve">califica </w:t>
      </w:r>
      <w:r w:rsidR="004F1D47" w:rsidRPr="000F5681">
        <w:rPr>
          <w:rFonts w:ascii="Georgia" w:hAnsi="Georgia" w:cs="Arial"/>
          <w:sz w:val="26"/>
          <w:szCs w:val="26"/>
          <w:lang w:val="es-CO"/>
        </w:rPr>
        <w:t>de inconstitucional semejante consecuencia sobre tal decisión</w:t>
      </w:r>
      <w:r w:rsidR="00B244C0" w:rsidRPr="000F5681">
        <w:rPr>
          <w:rFonts w:ascii="Georgia" w:hAnsi="Georgia" w:cs="Arial"/>
          <w:sz w:val="26"/>
          <w:szCs w:val="26"/>
          <w:lang w:val="es-CO"/>
        </w:rPr>
        <w:t>; sin embargo, ya la CC</w:t>
      </w:r>
      <w:r w:rsidR="00B244C0" w:rsidRPr="000F5681">
        <w:rPr>
          <w:rStyle w:val="Refdenotaalpie"/>
          <w:rFonts w:ascii="Georgia" w:hAnsi="Georgia"/>
          <w:sz w:val="26"/>
          <w:szCs w:val="26"/>
          <w:lang w:val="es-CO"/>
        </w:rPr>
        <w:footnoteReference w:id="42"/>
      </w:r>
      <w:r w:rsidR="00B244C0" w:rsidRPr="000F5681">
        <w:rPr>
          <w:rFonts w:ascii="Georgia" w:hAnsi="Georgia" w:cs="Arial"/>
          <w:sz w:val="26"/>
          <w:szCs w:val="26"/>
          <w:lang w:val="es-CO"/>
        </w:rPr>
        <w:t xml:space="preserve"> se había mostrado partidaria de su aplicación, eso sí en sede de tutela (2011), así documentó una Sala de esta Corporación en 2015</w:t>
      </w:r>
      <w:r w:rsidR="00B244C0" w:rsidRPr="000F5681">
        <w:rPr>
          <w:rStyle w:val="Refdenotaalpie"/>
          <w:rFonts w:ascii="Georgia" w:hAnsi="Georgia"/>
          <w:sz w:val="26"/>
          <w:szCs w:val="26"/>
          <w:lang w:val="es-CO"/>
        </w:rPr>
        <w:footnoteReference w:id="43"/>
      </w:r>
      <w:r w:rsidR="00B244C0" w:rsidRPr="000F5681">
        <w:rPr>
          <w:rFonts w:ascii="Georgia" w:hAnsi="Georgia" w:cs="Arial"/>
          <w:sz w:val="26"/>
          <w:szCs w:val="26"/>
          <w:lang w:val="es-CO"/>
        </w:rPr>
        <w:t>, que al final no empleó para desatar el tema que le competía.</w:t>
      </w:r>
    </w:p>
    <w:p w14:paraId="328F298C" w14:textId="77777777" w:rsidR="00B244C0" w:rsidRPr="000F5681" w:rsidRDefault="00B244C0" w:rsidP="000F5681">
      <w:pPr>
        <w:pStyle w:val="Sinespaciado"/>
        <w:spacing w:line="276" w:lineRule="auto"/>
        <w:jc w:val="both"/>
        <w:rPr>
          <w:rFonts w:ascii="Georgia" w:hAnsi="Georgia" w:cs="Arial"/>
          <w:sz w:val="26"/>
          <w:szCs w:val="26"/>
          <w:lang w:val="es-CO"/>
        </w:rPr>
      </w:pPr>
    </w:p>
    <w:p w14:paraId="3939B128" w14:textId="6D5E9089" w:rsidR="00E206BE" w:rsidRPr="000F5681" w:rsidRDefault="0078538E" w:rsidP="000F5681">
      <w:pPr>
        <w:pStyle w:val="Sinespaciado"/>
        <w:spacing w:line="276" w:lineRule="auto"/>
        <w:jc w:val="both"/>
        <w:rPr>
          <w:rFonts w:ascii="Georgia" w:hAnsi="Georgia" w:cs="Arial"/>
          <w:sz w:val="26"/>
          <w:szCs w:val="26"/>
          <w:lang w:val="es-CO"/>
        </w:rPr>
      </w:pPr>
      <w:r w:rsidRPr="000F5681">
        <w:rPr>
          <w:rFonts w:ascii="Georgia" w:hAnsi="Georgia" w:cs="Arial"/>
          <w:sz w:val="26"/>
          <w:szCs w:val="26"/>
          <w:lang w:val="es-CO"/>
        </w:rPr>
        <w:t>Asimismo, respecto de</w:t>
      </w:r>
      <w:r w:rsidR="00E206BE" w:rsidRPr="000F5681">
        <w:rPr>
          <w:rFonts w:ascii="Georgia" w:hAnsi="Georgia" w:cs="Arial"/>
          <w:sz w:val="26"/>
          <w:szCs w:val="26"/>
          <w:lang w:val="es-CO"/>
        </w:rPr>
        <w:t xml:space="preserve"> </w:t>
      </w:r>
      <w:r w:rsidR="004E3F48" w:rsidRPr="000F5681">
        <w:rPr>
          <w:rFonts w:ascii="Georgia" w:hAnsi="Georgia" w:cs="Arial"/>
          <w:sz w:val="26"/>
          <w:szCs w:val="26"/>
          <w:lang w:val="es-CO"/>
        </w:rPr>
        <w:t xml:space="preserve"> </w:t>
      </w:r>
      <w:r w:rsidR="00E206BE" w:rsidRPr="000F5681">
        <w:rPr>
          <w:rFonts w:ascii="Georgia" w:hAnsi="Georgia" w:cs="Arial"/>
          <w:sz w:val="26"/>
          <w:szCs w:val="26"/>
          <w:lang w:val="es-CO"/>
        </w:rPr>
        <w:t xml:space="preserve">la </w:t>
      </w:r>
      <w:r w:rsidR="004E3F48" w:rsidRPr="000F5681">
        <w:rPr>
          <w:rFonts w:ascii="Georgia" w:hAnsi="Georgia" w:cs="Arial"/>
          <w:sz w:val="26"/>
          <w:szCs w:val="26"/>
          <w:lang w:val="es-CO"/>
        </w:rPr>
        <w:t xml:space="preserve"> </w:t>
      </w:r>
      <w:r w:rsidR="00E206BE" w:rsidRPr="000F5681">
        <w:rPr>
          <w:rFonts w:ascii="Georgia" w:hAnsi="Georgia" w:cs="Arial"/>
          <w:sz w:val="26"/>
          <w:szCs w:val="26"/>
          <w:lang w:val="es-CO"/>
        </w:rPr>
        <w:t xml:space="preserve">interrupción, </w:t>
      </w:r>
      <w:r w:rsidR="004E3F48" w:rsidRPr="000F5681">
        <w:rPr>
          <w:rFonts w:ascii="Georgia" w:hAnsi="Georgia" w:cs="Arial"/>
          <w:sz w:val="26"/>
          <w:szCs w:val="26"/>
          <w:lang w:val="es-CO"/>
        </w:rPr>
        <w:t xml:space="preserve"> </w:t>
      </w:r>
      <w:r w:rsidR="00E206BE" w:rsidRPr="000F5681">
        <w:rPr>
          <w:rFonts w:ascii="Georgia" w:hAnsi="Georgia" w:cs="Arial"/>
          <w:sz w:val="26"/>
          <w:szCs w:val="26"/>
          <w:lang w:val="es-CO"/>
        </w:rPr>
        <w:t xml:space="preserve">refiere </w:t>
      </w:r>
      <w:r w:rsidR="004E3F48" w:rsidRPr="000F5681">
        <w:rPr>
          <w:rFonts w:ascii="Georgia" w:hAnsi="Georgia" w:cs="Arial"/>
          <w:sz w:val="26"/>
          <w:szCs w:val="26"/>
          <w:lang w:val="es-CO"/>
        </w:rPr>
        <w:t xml:space="preserve"> </w:t>
      </w:r>
      <w:r w:rsidR="00E206BE" w:rsidRPr="000F5681">
        <w:rPr>
          <w:rFonts w:ascii="Georgia" w:hAnsi="Georgia" w:cs="Arial"/>
          <w:sz w:val="26"/>
          <w:szCs w:val="26"/>
          <w:lang w:val="es-CO"/>
        </w:rPr>
        <w:t xml:space="preserve">el </w:t>
      </w:r>
      <w:r w:rsidR="004E3F48" w:rsidRPr="000F5681">
        <w:rPr>
          <w:rFonts w:ascii="Georgia" w:hAnsi="Georgia" w:cs="Arial"/>
          <w:sz w:val="26"/>
          <w:szCs w:val="26"/>
          <w:lang w:val="es-CO"/>
        </w:rPr>
        <w:t xml:space="preserve"> </w:t>
      </w:r>
      <w:r w:rsidR="00E206BE" w:rsidRPr="000F5681">
        <w:rPr>
          <w:rFonts w:ascii="Georgia" w:hAnsi="Georgia" w:cs="Arial"/>
          <w:sz w:val="26"/>
          <w:szCs w:val="26"/>
          <w:lang w:val="es-CO"/>
        </w:rPr>
        <w:t xml:space="preserve">literal </w:t>
      </w:r>
      <w:r w:rsidR="004E3F48" w:rsidRPr="000F5681">
        <w:rPr>
          <w:rFonts w:ascii="Georgia" w:hAnsi="Georgia" w:cs="Arial"/>
          <w:sz w:val="26"/>
          <w:szCs w:val="26"/>
          <w:lang w:val="es-CO"/>
        </w:rPr>
        <w:t xml:space="preserve"> </w:t>
      </w:r>
      <w:r w:rsidR="00E206BE" w:rsidRPr="000F5681">
        <w:rPr>
          <w:rFonts w:ascii="Georgia" w:hAnsi="Georgia" w:cs="Arial"/>
          <w:sz w:val="26"/>
          <w:szCs w:val="26"/>
          <w:lang w:val="es-CO"/>
        </w:rPr>
        <w:t xml:space="preserve">c) </w:t>
      </w:r>
      <w:r w:rsidR="004E3F48" w:rsidRPr="000F5681">
        <w:rPr>
          <w:rFonts w:ascii="Georgia" w:hAnsi="Georgia" w:cs="Arial"/>
          <w:sz w:val="26"/>
          <w:szCs w:val="26"/>
          <w:lang w:val="es-CO"/>
        </w:rPr>
        <w:t xml:space="preserve"> </w:t>
      </w:r>
      <w:r w:rsidR="00E206BE" w:rsidRPr="000F5681">
        <w:rPr>
          <w:rFonts w:ascii="Georgia" w:hAnsi="Georgia" w:cs="Arial"/>
          <w:sz w:val="26"/>
          <w:szCs w:val="26"/>
          <w:lang w:val="es-CO"/>
        </w:rPr>
        <w:t xml:space="preserve">que: </w:t>
      </w:r>
      <w:r w:rsidR="00E206BE" w:rsidRPr="000F5681">
        <w:rPr>
          <w:rFonts w:ascii="Georgia" w:hAnsi="Georgia" w:cs="Arial"/>
          <w:i/>
          <w:iCs/>
          <w:sz w:val="26"/>
          <w:szCs w:val="26"/>
          <w:lang w:val="es-CO"/>
        </w:rPr>
        <w:t>“</w:t>
      </w:r>
      <w:r w:rsidR="00E206BE" w:rsidRPr="00E17ACC">
        <w:rPr>
          <w:rFonts w:ascii="Georgia" w:hAnsi="Georgia" w:cs="Arial"/>
          <w:i/>
          <w:iCs/>
          <w:sz w:val="24"/>
          <w:szCs w:val="26"/>
          <w:lang w:val="es-CO"/>
        </w:rPr>
        <w:t>Cualquier actuación, de oficio o a petición de parte, de cualquier naturaleza, interrumpirá los términos previstos en este artículo</w:t>
      </w:r>
      <w:r w:rsidR="00E206BE" w:rsidRPr="000F5681">
        <w:rPr>
          <w:rFonts w:ascii="Georgia" w:hAnsi="Georgia" w:cs="Arial"/>
          <w:sz w:val="26"/>
          <w:szCs w:val="26"/>
          <w:lang w:val="es-CO"/>
        </w:rPr>
        <w:t xml:space="preserve">”; ahora, aun cuando se emplee la expresión “actuación”, debe tenerse en cuenta que no se está significando que deba mediar una providencia, sino que es idónea </w:t>
      </w:r>
      <w:r w:rsidR="00E206BE" w:rsidRPr="000F5681">
        <w:rPr>
          <w:rFonts w:ascii="Georgia" w:hAnsi="Georgia" w:cs="Arial"/>
          <w:i/>
          <w:iCs/>
          <w:sz w:val="26"/>
          <w:szCs w:val="26"/>
          <w:lang w:val="es-CO"/>
        </w:rPr>
        <w:t xml:space="preserve">cualquier solicitud, </w:t>
      </w:r>
      <w:r w:rsidR="00E206BE" w:rsidRPr="000F5681">
        <w:rPr>
          <w:rFonts w:ascii="Georgia" w:hAnsi="Georgia" w:cs="Arial"/>
          <w:sz w:val="26"/>
          <w:szCs w:val="26"/>
          <w:lang w:val="es-CO"/>
        </w:rPr>
        <w:t>por lo tanto,</w:t>
      </w:r>
      <w:r w:rsidR="00E206BE" w:rsidRPr="000F5681">
        <w:rPr>
          <w:rFonts w:ascii="Georgia" w:hAnsi="Georgia" w:cs="Arial"/>
          <w:i/>
          <w:iCs/>
          <w:sz w:val="26"/>
          <w:szCs w:val="26"/>
          <w:lang w:val="es-CO"/>
        </w:rPr>
        <w:t xml:space="preserve"> </w:t>
      </w:r>
      <w:r w:rsidR="00E206BE" w:rsidRPr="000F5681">
        <w:rPr>
          <w:rFonts w:ascii="Georgia" w:hAnsi="Georgia" w:cs="Arial"/>
          <w:sz w:val="26"/>
          <w:szCs w:val="26"/>
          <w:lang w:val="es-CO"/>
        </w:rPr>
        <w:t xml:space="preserve">deviene inútil calificarla de apta para impulsar o no el proceso, pues así sean peticiones de copias u otra especie, en especial aquellas que no connotan avance procesal, el legislador ha sido claro y reconoce que esos escritos demuestran un interés de </w:t>
      </w:r>
      <w:r w:rsidR="00E206BE" w:rsidRPr="000F5681">
        <w:rPr>
          <w:rFonts w:ascii="Georgia" w:hAnsi="Georgia" w:cs="Arial"/>
          <w:sz w:val="26"/>
          <w:szCs w:val="26"/>
          <w:lang w:val="es-CO"/>
        </w:rPr>
        <w:lastRenderedPageBreak/>
        <w:t xml:space="preserve">la parte en el asunto, y ello basta para interrumpir el término. Criterio sostenido </w:t>
      </w:r>
      <w:r w:rsidR="004E3F48" w:rsidRPr="000F5681">
        <w:rPr>
          <w:rFonts w:ascii="Georgia" w:hAnsi="Georgia" w:cs="Arial"/>
          <w:sz w:val="26"/>
          <w:szCs w:val="26"/>
          <w:lang w:val="es-CO"/>
        </w:rPr>
        <w:t xml:space="preserve">de tiempo atrás </w:t>
      </w:r>
      <w:r w:rsidR="00E206BE" w:rsidRPr="000F5681">
        <w:rPr>
          <w:rFonts w:ascii="Georgia" w:hAnsi="Georgia" w:cs="Arial"/>
          <w:sz w:val="26"/>
          <w:szCs w:val="26"/>
          <w:lang w:val="es-CO"/>
        </w:rPr>
        <w:t>por esta Sala de la Corporación</w:t>
      </w:r>
      <w:r w:rsidR="00E206BE" w:rsidRPr="000F5681">
        <w:rPr>
          <w:rStyle w:val="Refdenotaalpie"/>
          <w:rFonts w:ascii="Georgia" w:hAnsi="Georgia"/>
          <w:sz w:val="26"/>
          <w:szCs w:val="26"/>
          <w:lang w:val="es-CO"/>
        </w:rPr>
        <w:footnoteReference w:id="44"/>
      </w:r>
      <w:r w:rsidR="00E206BE" w:rsidRPr="000F5681">
        <w:rPr>
          <w:rFonts w:ascii="Georgia" w:hAnsi="Georgia" w:cs="Arial"/>
          <w:sz w:val="26"/>
          <w:szCs w:val="26"/>
          <w:lang w:val="es-CO"/>
        </w:rPr>
        <w:t>.</w:t>
      </w:r>
    </w:p>
    <w:p w14:paraId="754E2870" w14:textId="77777777" w:rsidR="00E206BE" w:rsidRPr="000F5681" w:rsidRDefault="00E206BE" w:rsidP="000F5681">
      <w:pPr>
        <w:pStyle w:val="Sinespaciado"/>
        <w:spacing w:line="276" w:lineRule="auto"/>
        <w:jc w:val="both"/>
        <w:rPr>
          <w:rFonts w:ascii="Georgia" w:hAnsi="Georgia" w:cs="Arial"/>
          <w:sz w:val="26"/>
          <w:szCs w:val="26"/>
          <w:lang w:val="es-CO"/>
        </w:rPr>
      </w:pPr>
    </w:p>
    <w:p w14:paraId="1BEBA1BC" w14:textId="0B4D9C27" w:rsidR="18264E06" w:rsidRPr="000F5681" w:rsidRDefault="18264E06" w:rsidP="000F5681">
      <w:pPr>
        <w:pStyle w:val="Sinespaciado"/>
        <w:spacing w:line="276" w:lineRule="auto"/>
        <w:jc w:val="both"/>
        <w:rPr>
          <w:rFonts w:ascii="Georgia" w:hAnsi="Georgia" w:cs="Arial"/>
          <w:sz w:val="26"/>
          <w:szCs w:val="26"/>
          <w:lang w:val="es-CO"/>
        </w:rPr>
      </w:pPr>
      <w:r w:rsidRPr="000F5681">
        <w:rPr>
          <w:rFonts w:ascii="Georgia" w:hAnsi="Georgia" w:cs="Arial"/>
          <w:sz w:val="26"/>
          <w:szCs w:val="26"/>
          <w:lang w:val="es-CO"/>
        </w:rPr>
        <w:t>Sin embargo</w:t>
      </w:r>
      <w:r w:rsidR="534BEDF3" w:rsidRPr="000F5681">
        <w:rPr>
          <w:rFonts w:ascii="Georgia" w:hAnsi="Georgia" w:cs="Arial"/>
          <w:sz w:val="26"/>
          <w:szCs w:val="26"/>
          <w:lang w:val="es-CO"/>
        </w:rPr>
        <w:t>, importa</w:t>
      </w:r>
      <w:r w:rsidR="35AD30E9" w:rsidRPr="000F5681">
        <w:rPr>
          <w:rFonts w:ascii="Georgia" w:hAnsi="Georgia" w:cs="Arial"/>
          <w:sz w:val="26"/>
          <w:szCs w:val="26"/>
          <w:lang w:val="es-CO"/>
        </w:rPr>
        <w:t xml:space="preserve"> relievar que </w:t>
      </w:r>
      <w:r w:rsidRPr="000F5681">
        <w:rPr>
          <w:rFonts w:ascii="Georgia" w:hAnsi="Georgia" w:cs="Arial"/>
          <w:sz w:val="26"/>
          <w:szCs w:val="26"/>
          <w:lang w:val="es-CO"/>
        </w:rPr>
        <w:t>la CSJ</w:t>
      </w:r>
      <w:r w:rsidR="004E3F48" w:rsidRPr="000F5681">
        <w:rPr>
          <w:rStyle w:val="Refdenotaalpie"/>
          <w:rFonts w:ascii="Georgia" w:hAnsi="Georgia"/>
          <w:sz w:val="26"/>
          <w:szCs w:val="26"/>
          <w:lang w:val="es-CO"/>
        </w:rPr>
        <w:footnoteReference w:id="45"/>
      </w:r>
      <w:r w:rsidRPr="000F5681">
        <w:rPr>
          <w:rFonts w:ascii="Georgia" w:hAnsi="Georgia" w:cs="Arial"/>
          <w:sz w:val="26"/>
          <w:szCs w:val="26"/>
          <w:lang w:val="es-CO"/>
        </w:rPr>
        <w:t xml:space="preserve"> en reciente decisión tutelar</w:t>
      </w:r>
      <w:r w:rsidR="004E3F48" w:rsidRPr="000F5681">
        <w:rPr>
          <w:rFonts w:ascii="Georgia" w:hAnsi="Georgia" w:cs="Arial"/>
          <w:sz w:val="26"/>
          <w:szCs w:val="26"/>
          <w:lang w:val="es-CO"/>
        </w:rPr>
        <w:t xml:space="preserve"> (2020)</w:t>
      </w:r>
      <w:r w:rsidR="33D638DD" w:rsidRPr="000F5681">
        <w:rPr>
          <w:rFonts w:ascii="Georgia" w:hAnsi="Georgia" w:cs="Arial"/>
          <w:sz w:val="26"/>
          <w:szCs w:val="26"/>
          <w:lang w:val="es-CO"/>
        </w:rPr>
        <w:t xml:space="preserve">, iteró postura de </w:t>
      </w:r>
      <w:r w:rsidR="4493A58D" w:rsidRPr="000F5681">
        <w:rPr>
          <w:rFonts w:ascii="Georgia" w:hAnsi="Georgia" w:cs="Arial"/>
          <w:sz w:val="26"/>
          <w:szCs w:val="26"/>
          <w:lang w:val="es-CO"/>
        </w:rPr>
        <w:t xml:space="preserve">una </w:t>
      </w:r>
      <w:r w:rsidR="33D638DD" w:rsidRPr="000F5681">
        <w:rPr>
          <w:rFonts w:ascii="Georgia" w:hAnsi="Georgia" w:cs="Arial"/>
          <w:sz w:val="26"/>
          <w:szCs w:val="26"/>
          <w:lang w:val="es-CO"/>
        </w:rPr>
        <w:t>Sala Unitaria</w:t>
      </w:r>
      <w:r w:rsidR="004E3F48" w:rsidRPr="000F5681">
        <w:rPr>
          <w:rStyle w:val="Refdenotaalpie"/>
          <w:rFonts w:ascii="Georgia" w:hAnsi="Georgia"/>
          <w:sz w:val="26"/>
          <w:szCs w:val="26"/>
          <w:lang w:val="es-CO"/>
        </w:rPr>
        <w:footnoteReference w:id="46"/>
      </w:r>
      <w:r w:rsidR="290B9B83" w:rsidRPr="000F5681">
        <w:rPr>
          <w:rFonts w:ascii="Georgia" w:hAnsi="Georgia" w:cs="Arial"/>
          <w:sz w:val="26"/>
          <w:szCs w:val="26"/>
          <w:lang w:val="es-CO"/>
        </w:rPr>
        <w:t xml:space="preserve"> </w:t>
      </w:r>
      <w:r w:rsidR="7F8996AA" w:rsidRPr="000F5681">
        <w:rPr>
          <w:rFonts w:ascii="Georgia" w:hAnsi="Georgia" w:cs="Arial"/>
          <w:sz w:val="26"/>
          <w:szCs w:val="26"/>
          <w:lang w:val="es-CO"/>
        </w:rPr>
        <w:t xml:space="preserve">de esa Colegiatura, </w:t>
      </w:r>
      <w:r w:rsidR="33D638DD" w:rsidRPr="000F5681">
        <w:rPr>
          <w:rFonts w:ascii="Georgia" w:hAnsi="Georgia" w:cs="Arial"/>
          <w:sz w:val="26"/>
          <w:szCs w:val="26"/>
          <w:lang w:val="es-CO"/>
        </w:rPr>
        <w:t>que discrepa de aquel razonamiento</w:t>
      </w:r>
      <w:r w:rsidR="40BD05C4" w:rsidRPr="000F5681">
        <w:rPr>
          <w:rFonts w:ascii="Georgia" w:hAnsi="Georgia" w:cs="Arial"/>
          <w:sz w:val="26"/>
          <w:szCs w:val="26"/>
          <w:lang w:val="es-CO"/>
        </w:rPr>
        <w:t>;</w:t>
      </w:r>
      <w:r w:rsidR="33D638DD" w:rsidRPr="000F5681">
        <w:rPr>
          <w:rFonts w:ascii="Georgia" w:hAnsi="Georgia" w:cs="Arial"/>
          <w:sz w:val="26"/>
          <w:szCs w:val="26"/>
          <w:lang w:val="es-CO"/>
        </w:rPr>
        <w:t xml:space="preserve"> a su juicio, </w:t>
      </w:r>
      <w:r w:rsidR="5A7463A0" w:rsidRPr="000F5681">
        <w:rPr>
          <w:rFonts w:ascii="Georgia" w:hAnsi="Georgia" w:cs="Arial"/>
          <w:sz w:val="26"/>
          <w:szCs w:val="26"/>
          <w:lang w:val="es-CO"/>
        </w:rPr>
        <w:t xml:space="preserve">la norma realmente </w:t>
      </w:r>
      <w:r w:rsidR="52C7BBD1" w:rsidRPr="000F5681">
        <w:rPr>
          <w:rFonts w:ascii="Georgia" w:hAnsi="Georgia" w:cs="Arial"/>
          <w:sz w:val="26"/>
          <w:szCs w:val="26"/>
          <w:lang w:val="es-CO"/>
        </w:rPr>
        <w:t xml:space="preserve">exige a la parte impulsar </w:t>
      </w:r>
      <w:r w:rsidR="5A7463A0" w:rsidRPr="000F5681">
        <w:rPr>
          <w:rFonts w:ascii="Georgia" w:hAnsi="Georgia" w:cs="Arial"/>
          <w:sz w:val="26"/>
          <w:szCs w:val="26"/>
          <w:lang w:val="es-CO"/>
        </w:rPr>
        <w:t>el trámite</w:t>
      </w:r>
      <w:r w:rsidR="5D791E25" w:rsidRPr="000F5681">
        <w:rPr>
          <w:rFonts w:ascii="Georgia" w:hAnsi="Georgia" w:cs="Arial"/>
          <w:sz w:val="26"/>
          <w:szCs w:val="26"/>
          <w:lang w:val="es-CO"/>
        </w:rPr>
        <w:t xml:space="preserve"> mediante actuaciones idóneas</w:t>
      </w:r>
      <w:r w:rsidR="13ACDD98" w:rsidRPr="000F5681">
        <w:rPr>
          <w:rFonts w:ascii="Georgia" w:hAnsi="Georgia" w:cs="Arial"/>
          <w:sz w:val="26"/>
          <w:szCs w:val="26"/>
          <w:lang w:val="es-CO"/>
        </w:rPr>
        <w:t>, en síntesis, que ayude</w:t>
      </w:r>
      <w:r w:rsidR="12324FC4" w:rsidRPr="000F5681">
        <w:rPr>
          <w:rFonts w:ascii="Georgia" w:hAnsi="Georgia" w:cs="Arial"/>
          <w:sz w:val="26"/>
          <w:szCs w:val="26"/>
          <w:lang w:val="es-CO"/>
        </w:rPr>
        <w:t>n</w:t>
      </w:r>
      <w:r w:rsidR="13ACDD98" w:rsidRPr="000F5681">
        <w:rPr>
          <w:rFonts w:ascii="Georgia" w:hAnsi="Georgia" w:cs="Arial"/>
          <w:sz w:val="26"/>
          <w:szCs w:val="26"/>
          <w:lang w:val="es-CO"/>
        </w:rPr>
        <w:t xml:space="preserve"> a la superación de estadios procesales</w:t>
      </w:r>
      <w:r w:rsidR="004E3F48" w:rsidRPr="000F5681">
        <w:rPr>
          <w:rFonts w:ascii="Georgia" w:hAnsi="Georgia" w:cs="Arial"/>
          <w:sz w:val="26"/>
          <w:szCs w:val="26"/>
          <w:lang w:val="es-CO"/>
        </w:rPr>
        <w:t xml:space="preserve"> y resolución pronta del problema jurídico</w:t>
      </w:r>
      <w:r w:rsidR="55DCC2E3" w:rsidRPr="000F5681">
        <w:rPr>
          <w:rFonts w:ascii="Georgia" w:hAnsi="Georgia" w:cs="Arial"/>
          <w:sz w:val="26"/>
          <w:szCs w:val="26"/>
          <w:lang w:val="es-CO"/>
        </w:rPr>
        <w:t xml:space="preserve">; </w:t>
      </w:r>
      <w:r w:rsidR="2BC1D120" w:rsidRPr="000F5681">
        <w:rPr>
          <w:rFonts w:ascii="Georgia" w:hAnsi="Georgia" w:cs="Arial"/>
          <w:sz w:val="26"/>
          <w:szCs w:val="26"/>
          <w:lang w:val="es-CO"/>
        </w:rPr>
        <w:t>así</w:t>
      </w:r>
      <w:r w:rsidR="55DCC2E3" w:rsidRPr="000F5681">
        <w:rPr>
          <w:rFonts w:ascii="Georgia" w:hAnsi="Georgia" w:cs="Arial"/>
          <w:sz w:val="26"/>
          <w:szCs w:val="26"/>
          <w:lang w:val="es-CO"/>
        </w:rPr>
        <w:t xml:space="preserve">, </w:t>
      </w:r>
      <w:r w:rsidR="36B181E6" w:rsidRPr="000F5681">
        <w:rPr>
          <w:rFonts w:ascii="Georgia" w:hAnsi="Georgia" w:cs="Arial"/>
          <w:sz w:val="26"/>
          <w:szCs w:val="26"/>
          <w:lang w:val="es-CO"/>
        </w:rPr>
        <w:t>l</w:t>
      </w:r>
      <w:r w:rsidR="55DCC2E3" w:rsidRPr="000F5681">
        <w:rPr>
          <w:rFonts w:ascii="Georgia" w:hAnsi="Georgia" w:cs="Arial"/>
          <w:sz w:val="26"/>
          <w:szCs w:val="26"/>
          <w:lang w:val="es-CO"/>
        </w:rPr>
        <w:t xml:space="preserve">a petición de copias o la designación </w:t>
      </w:r>
      <w:r w:rsidR="3F073835" w:rsidRPr="000F5681">
        <w:rPr>
          <w:rFonts w:ascii="Georgia" w:hAnsi="Georgia" w:cs="Arial"/>
          <w:sz w:val="26"/>
          <w:szCs w:val="26"/>
          <w:lang w:val="es-CO"/>
        </w:rPr>
        <w:t>de</w:t>
      </w:r>
      <w:r w:rsidR="55DCC2E3" w:rsidRPr="000F5681">
        <w:rPr>
          <w:rFonts w:ascii="Georgia" w:hAnsi="Georgia" w:cs="Arial"/>
          <w:sz w:val="26"/>
          <w:szCs w:val="26"/>
          <w:lang w:val="es-CO"/>
        </w:rPr>
        <w:t xml:space="preserve"> apoderado, entre otras</w:t>
      </w:r>
      <w:r w:rsidR="17E2AE5B" w:rsidRPr="000F5681">
        <w:rPr>
          <w:rFonts w:ascii="Georgia" w:hAnsi="Georgia" w:cs="Arial"/>
          <w:sz w:val="26"/>
          <w:szCs w:val="26"/>
          <w:lang w:val="es-CO"/>
        </w:rPr>
        <w:t xml:space="preserve"> semejantes</w:t>
      </w:r>
      <w:r w:rsidR="55DCC2E3" w:rsidRPr="000F5681">
        <w:rPr>
          <w:rFonts w:ascii="Georgia" w:hAnsi="Georgia" w:cs="Arial"/>
          <w:sz w:val="26"/>
          <w:szCs w:val="26"/>
          <w:lang w:val="es-CO"/>
        </w:rPr>
        <w:t xml:space="preserve">, </w:t>
      </w:r>
      <w:r w:rsidR="175D3E5F" w:rsidRPr="000F5681">
        <w:rPr>
          <w:rFonts w:ascii="Georgia" w:hAnsi="Georgia" w:cs="Arial"/>
          <w:sz w:val="26"/>
          <w:szCs w:val="26"/>
          <w:lang w:val="es-CO"/>
        </w:rPr>
        <w:t>s</w:t>
      </w:r>
      <w:r w:rsidR="25D133C4" w:rsidRPr="000F5681">
        <w:rPr>
          <w:rFonts w:ascii="Georgia" w:hAnsi="Georgia" w:cs="Arial"/>
          <w:sz w:val="26"/>
          <w:szCs w:val="26"/>
          <w:lang w:val="es-CO"/>
        </w:rPr>
        <w:t>e</w:t>
      </w:r>
      <w:r w:rsidR="175D3E5F" w:rsidRPr="000F5681">
        <w:rPr>
          <w:rFonts w:ascii="Georgia" w:hAnsi="Georgia" w:cs="Arial"/>
          <w:sz w:val="26"/>
          <w:szCs w:val="26"/>
          <w:lang w:val="es-CO"/>
        </w:rPr>
        <w:t xml:space="preserve"> </w:t>
      </w:r>
      <w:r w:rsidR="25D133C4" w:rsidRPr="000F5681">
        <w:rPr>
          <w:rFonts w:ascii="Georgia" w:hAnsi="Georgia" w:cs="Arial"/>
          <w:sz w:val="26"/>
          <w:szCs w:val="26"/>
          <w:lang w:val="es-CO"/>
        </w:rPr>
        <w:t xml:space="preserve">revelan </w:t>
      </w:r>
      <w:r w:rsidR="175D3E5F" w:rsidRPr="000F5681">
        <w:rPr>
          <w:rFonts w:ascii="Georgia" w:hAnsi="Georgia" w:cs="Arial"/>
          <w:sz w:val="26"/>
          <w:szCs w:val="26"/>
          <w:lang w:val="es-CO"/>
        </w:rPr>
        <w:t xml:space="preserve">inútiles </w:t>
      </w:r>
      <w:r w:rsidR="5DDB4067" w:rsidRPr="000F5681">
        <w:rPr>
          <w:rFonts w:ascii="Georgia" w:hAnsi="Georgia" w:cs="Arial"/>
          <w:sz w:val="26"/>
          <w:szCs w:val="26"/>
          <w:lang w:val="es-CO"/>
        </w:rPr>
        <w:t xml:space="preserve">porque </w:t>
      </w:r>
      <w:r w:rsidR="697B7A02" w:rsidRPr="000F5681">
        <w:rPr>
          <w:rFonts w:ascii="Georgia" w:hAnsi="Georgia" w:cs="Arial"/>
          <w:sz w:val="26"/>
          <w:szCs w:val="26"/>
          <w:lang w:val="es-CO"/>
        </w:rPr>
        <w:t>no repercuten en el trámite</w:t>
      </w:r>
      <w:r w:rsidR="004E3F48" w:rsidRPr="000F5681">
        <w:rPr>
          <w:rFonts w:ascii="Georgia" w:hAnsi="Georgia" w:cs="Arial"/>
          <w:sz w:val="26"/>
          <w:szCs w:val="26"/>
          <w:lang w:val="es-CO"/>
        </w:rPr>
        <w:t xml:space="preserve"> ni comportan el acato de carga procesal alguna</w:t>
      </w:r>
      <w:r w:rsidR="78DA8414" w:rsidRPr="000F5681">
        <w:rPr>
          <w:rFonts w:ascii="Georgia" w:hAnsi="Georgia" w:cs="Arial"/>
          <w:sz w:val="26"/>
          <w:szCs w:val="26"/>
          <w:lang w:val="es-CO"/>
        </w:rPr>
        <w:t>.</w:t>
      </w:r>
      <w:r w:rsidR="00946D86" w:rsidRPr="000F5681">
        <w:rPr>
          <w:rFonts w:ascii="Georgia" w:hAnsi="Georgia" w:cs="Arial"/>
          <w:sz w:val="26"/>
          <w:szCs w:val="26"/>
          <w:lang w:val="es-CO"/>
        </w:rPr>
        <w:t xml:space="preserve"> Esta es una tesis sin reiteración posterior</w:t>
      </w:r>
      <w:r w:rsidR="0AA45720" w:rsidRPr="000F5681">
        <w:rPr>
          <w:rFonts w:ascii="Georgia" w:hAnsi="Georgia" w:cs="Arial"/>
          <w:sz w:val="26"/>
          <w:szCs w:val="26"/>
          <w:lang w:val="es-CO"/>
        </w:rPr>
        <w:t xml:space="preserve">, que cuando el caso amerite su aplicación, será examinada </w:t>
      </w:r>
      <w:r w:rsidR="1B166FCA" w:rsidRPr="000F5681">
        <w:rPr>
          <w:rFonts w:ascii="Georgia" w:hAnsi="Georgia" w:cs="Arial"/>
          <w:sz w:val="26"/>
          <w:szCs w:val="26"/>
          <w:lang w:val="es-CO"/>
        </w:rPr>
        <w:t xml:space="preserve">por esta Sala, </w:t>
      </w:r>
      <w:r w:rsidR="0AA45720" w:rsidRPr="000F5681">
        <w:rPr>
          <w:rFonts w:ascii="Georgia" w:hAnsi="Georgia" w:cs="Arial"/>
          <w:sz w:val="26"/>
          <w:szCs w:val="26"/>
          <w:lang w:val="es-CO"/>
        </w:rPr>
        <w:t>para adoptar una postura concreta.</w:t>
      </w:r>
    </w:p>
    <w:p w14:paraId="5CC37DC3" w14:textId="6C3CA8AB" w:rsidR="70EC85A6" w:rsidRPr="000F5681" w:rsidRDefault="70EC85A6" w:rsidP="000F5681">
      <w:pPr>
        <w:pStyle w:val="Sinespaciado"/>
        <w:spacing w:line="276" w:lineRule="auto"/>
        <w:jc w:val="both"/>
        <w:rPr>
          <w:rFonts w:ascii="Georgia" w:hAnsi="Georgia" w:cs="Arial"/>
          <w:sz w:val="26"/>
          <w:szCs w:val="26"/>
          <w:lang w:val="es-CO"/>
        </w:rPr>
      </w:pPr>
    </w:p>
    <w:p w14:paraId="527259E1" w14:textId="77777777" w:rsidR="00E206BE" w:rsidRPr="000F5681" w:rsidRDefault="00E206BE" w:rsidP="000F5681">
      <w:pPr>
        <w:pStyle w:val="Sinespaciado"/>
        <w:spacing w:line="276" w:lineRule="auto"/>
        <w:jc w:val="both"/>
        <w:rPr>
          <w:rFonts w:ascii="Georgia" w:hAnsi="Georgia" w:cs="Arial"/>
          <w:sz w:val="26"/>
          <w:szCs w:val="26"/>
          <w:lang w:val="es-CO"/>
        </w:rPr>
      </w:pPr>
      <w:bookmarkStart w:id="2" w:name="_Hlk66946263"/>
      <w:r w:rsidRPr="000F5681">
        <w:rPr>
          <w:rFonts w:ascii="Georgia" w:hAnsi="Georgia" w:cs="Arial"/>
          <w:sz w:val="26"/>
          <w:szCs w:val="26"/>
          <w:lang w:val="es-CO"/>
        </w:rPr>
        <w:t>La</w:t>
      </w:r>
      <w:r w:rsidR="00984117" w:rsidRPr="000F5681">
        <w:rPr>
          <w:rFonts w:ascii="Georgia" w:hAnsi="Georgia" w:cs="Arial"/>
          <w:sz w:val="26"/>
          <w:szCs w:val="26"/>
          <w:lang w:val="es-CO"/>
        </w:rPr>
        <w:t>s</w:t>
      </w:r>
      <w:r w:rsidRPr="000F5681">
        <w:rPr>
          <w:rFonts w:ascii="Georgia" w:hAnsi="Georgia" w:cs="Arial"/>
          <w:sz w:val="26"/>
          <w:szCs w:val="26"/>
          <w:lang w:val="es-CO"/>
        </w:rPr>
        <w:t xml:space="preserve"> subreglas en comento, aplican para las tres (3) modalidades estatuidas, tal y como manda la misma preceptiva; la primera hipótesis amerita requerimiento previo, mientras que para las dos (2) restantes (317-2º y 317-2º-b), </w:t>
      </w:r>
      <w:r w:rsidRPr="000F5681">
        <w:rPr>
          <w:rFonts w:ascii="Georgia" w:hAnsi="Georgia" w:cs="Arial"/>
          <w:sz w:val="26"/>
          <w:szCs w:val="26"/>
          <w:u w:val="single"/>
          <w:lang w:val="es-CO"/>
        </w:rPr>
        <w:t>solo basta el paso del tiempo</w:t>
      </w:r>
      <w:r w:rsidRPr="000F5681">
        <w:rPr>
          <w:rFonts w:ascii="Georgia" w:hAnsi="Georgia" w:cs="Arial"/>
          <w:sz w:val="26"/>
          <w:szCs w:val="26"/>
          <w:lang w:val="es-CO"/>
        </w:rPr>
        <w:t>, un (1) año cuando no haya sentencia y dos (2) años, cuando la hubiere.  Dicho más llanamente: el plazo es objetivo.</w:t>
      </w:r>
    </w:p>
    <w:bookmarkEnd w:id="2"/>
    <w:p w14:paraId="07EEFD0F" w14:textId="77777777" w:rsidR="00E206BE" w:rsidRPr="000F5681" w:rsidRDefault="00E206BE" w:rsidP="000F5681">
      <w:pPr>
        <w:pStyle w:val="Sinespaciado"/>
        <w:spacing w:line="276" w:lineRule="auto"/>
        <w:jc w:val="both"/>
        <w:rPr>
          <w:rFonts w:ascii="Georgia" w:hAnsi="Georgia" w:cs="Arial"/>
          <w:sz w:val="26"/>
          <w:szCs w:val="26"/>
          <w:lang w:val="es-CO"/>
        </w:rPr>
      </w:pPr>
    </w:p>
    <w:p w14:paraId="766EE6A3" w14:textId="5FDBC84F" w:rsidR="00045F25" w:rsidRPr="000F5681" w:rsidRDefault="00E206BE" w:rsidP="000F5681">
      <w:pPr>
        <w:pStyle w:val="Textopredeterminado"/>
        <w:spacing w:line="276" w:lineRule="auto"/>
        <w:jc w:val="both"/>
        <w:rPr>
          <w:rFonts w:ascii="Georgia" w:hAnsi="Georgia" w:cs="Arial"/>
          <w:color w:val="auto"/>
          <w:sz w:val="26"/>
          <w:szCs w:val="26"/>
        </w:rPr>
      </w:pPr>
      <w:r w:rsidRPr="000F5681">
        <w:rPr>
          <w:rFonts w:ascii="Georgia" w:hAnsi="Georgia" w:cs="Arial"/>
          <w:color w:val="auto"/>
          <w:sz w:val="26"/>
          <w:szCs w:val="26"/>
        </w:rPr>
        <w:t xml:space="preserve">El </w:t>
      </w:r>
      <w:r w:rsidR="00984117" w:rsidRPr="000F5681">
        <w:rPr>
          <w:rFonts w:ascii="Georgia" w:hAnsi="Georgia" w:cs="Arial"/>
          <w:color w:val="auto"/>
          <w:sz w:val="26"/>
          <w:szCs w:val="26"/>
        </w:rPr>
        <w:t>conteo de la inactividad procesal se inicia</w:t>
      </w:r>
      <w:r w:rsidRPr="000F5681">
        <w:rPr>
          <w:rFonts w:ascii="Georgia" w:hAnsi="Georgia" w:cs="Arial"/>
          <w:color w:val="auto"/>
          <w:sz w:val="26"/>
          <w:szCs w:val="26"/>
        </w:rPr>
        <w:t xml:space="preserve"> desde la última diligencia o audiencia y se descontará el tiempo que estuviese el expediente suspendido por acuerdo de las partes (Literal a).</w:t>
      </w:r>
    </w:p>
    <w:p w14:paraId="70F4E9C5" w14:textId="17448E1D" w:rsidR="11721A1B" w:rsidRPr="000F5681" w:rsidRDefault="11721A1B" w:rsidP="000F5681">
      <w:pPr>
        <w:pStyle w:val="Textopredeterminado"/>
        <w:spacing w:line="276" w:lineRule="auto"/>
        <w:jc w:val="both"/>
        <w:rPr>
          <w:rFonts w:ascii="Georgia" w:hAnsi="Georgia" w:cs="Arial"/>
          <w:color w:val="auto"/>
          <w:sz w:val="26"/>
          <w:szCs w:val="26"/>
        </w:rPr>
      </w:pPr>
    </w:p>
    <w:p w14:paraId="7B655964" w14:textId="5A1B8902" w:rsidR="00984117" w:rsidRPr="000F5681" w:rsidRDefault="00984117" w:rsidP="000F5681">
      <w:pPr>
        <w:pStyle w:val="Prrafodelista"/>
        <w:numPr>
          <w:ilvl w:val="0"/>
          <w:numId w:val="6"/>
        </w:numPr>
        <w:spacing w:line="276" w:lineRule="auto"/>
        <w:jc w:val="both"/>
        <w:rPr>
          <w:rFonts w:ascii="Georgia" w:hAnsi="Georgia" w:cs="Arial"/>
          <w:b/>
          <w:bCs/>
          <w:sz w:val="26"/>
          <w:szCs w:val="26"/>
        </w:rPr>
      </w:pPr>
      <w:r w:rsidRPr="000F5681">
        <w:rPr>
          <w:rFonts w:ascii="Georgia" w:hAnsi="Georgia" w:cs="Arial"/>
          <w:b/>
          <w:bCs/>
          <w:smallCaps/>
          <w:sz w:val="26"/>
          <w:szCs w:val="26"/>
        </w:rPr>
        <w:t>Análisis del caso concreto</w:t>
      </w:r>
    </w:p>
    <w:p w14:paraId="6521507A" w14:textId="480457E6" w:rsidR="00381C10" w:rsidRPr="000F5681" w:rsidRDefault="00381C10" w:rsidP="000F5681">
      <w:pPr>
        <w:pStyle w:val="Textopredeterminado"/>
        <w:spacing w:line="276" w:lineRule="auto"/>
        <w:jc w:val="both"/>
        <w:rPr>
          <w:rFonts w:ascii="Georgia" w:hAnsi="Georgia" w:cs="Arial"/>
          <w:color w:val="auto"/>
          <w:sz w:val="26"/>
          <w:szCs w:val="26"/>
        </w:rPr>
      </w:pPr>
    </w:p>
    <w:p w14:paraId="400C8B54" w14:textId="6DEEC136" w:rsidR="00381C10" w:rsidRPr="000F5681" w:rsidRDefault="2326D570" w:rsidP="000F5681">
      <w:pPr>
        <w:pStyle w:val="Textopredeterminado"/>
        <w:spacing w:line="276" w:lineRule="auto"/>
        <w:jc w:val="both"/>
        <w:rPr>
          <w:rFonts w:ascii="Georgia" w:hAnsi="Georgia" w:cs="Arial"/>
          <w:color w:val="auto"/>
          <w:sz w:val="26"/>
          <w:szCs w:val="26"/>
        </w:rPr>
      </w:pPr>
      <w:r w:rsidRPr="000F5681">
        <w:rPr>
          <w:rFonts w:ascii="Georgia" w:hAnsi="Georgia" w:cs="Arial"/>
          <w:color w:val="auto"/>
          <w:sz w:val="26"/>
          <w:szCs w:val="26"/>
        </w:rPr>
        <w:t xml:space="preserve">Se confirmará la decisión venida en alzada, pues se aprecia que los razonamientos hechos por </w:t>
      </w:r>
      <w:r w:rsidR="42F8E2C0" w:rsidRPr="000F5681">
        <w:rPr>
          <w:rFonts w:ascii="Georgia" w:hAnsi="Georgia" w:cs="Arial"/>
          <w:color w:val="auto"/>
          <w:sz w:val="26"/>
          <w:szCs w:val="26"/>
        </w:rPr>
        <w:t xml:space="preserve">el </w:t>
      </w:r>
      <w:r w:rsidRPr="000F5681">
        <w:rPr>
          <w:rFonts w:ascii="Georgia" w:hAnsi="Georgia" w:cs="Arial"/>
          <w:color w:val="auto"/>
          <w:sz w:val="26"/>
          <w:szCs w:val="26"/>
        </w:rPr>
        <w:t>juzgador de primer nivel, se acompasa</w:t>
      </w:r>
      <w:r w:rsidR="49565F2B" w:rsidRPr="000F5681">
        <w:rPr>
          <w:rFonts w:ascii="Georgia" w:hAnsi="Georgia" w:cs="Arial"/>
          <w:color w:val="auto"/>
          <w:sz w:val="26"/>
          <w:szCs w:val="26"/>
        </w:rPr>
        <w:t>n</w:t>
      </w:r>
      <w:r w:rsidRPr="000F5681">
        <w:rPr>
          <w:rFonts w:ascii="Georgia" w:hAnsi="Georgia" w:cs="Arial"/>
          <w:color w:val="auto"/>
          <w:sz w:val="26"/>
          <w:szCs w:val="26"/>
        </w:rPr>
        <w:t xml:space="preserve"> a las pautas hermenéuticas jurídicas adoptadas por esta Colegiatura de ti</w:t>
      </w:r>
      <w:r w:rsidR="6E14B547" w:rsidRPr="000F5681">
        <w:rPr>
          <w:rFonts w:ascii="Georgia" w:hAnsi="Georgia" w:cs="Arial"/>
          <w:color w:val="auto"/>
          <w:sz w:val="26"/>
          <w:szCs w:val="26"/>
        </w:rPr>
        <w:t>empo atrás, como se reseñara ya.</w:t>
      </w:r>
    </w:p>
    <w:p w14:paraId="34848244" w14:textId="3057857E" w:rsidR="00381C10" w:rsidRPr="000F5681" w:rsidRDefault="00381C10" w:rsidP="000F5681">
      <w:pPr>
        <w:pStyle w:val="Textopredeterminado"/>
        <w:spacing w:line="276" w:lineRule="auto"/>
        <w:jc w:val="both"/>
        <w:rPr>
          <w:rFonts w:ascii="Georgia" w:hAnsi="Georgia" w:cs="Arial"/>
          <w:color w:val="auto"/>
          <w:sz w:val="26"/>
          <w:szCs w:val="26"/>
        </w:rPr>
      </w:pPr>
    </w:p>
    <w:p w14:paraId="34B31FB8" w14:textId="3828CB2D" w:rsidR="00381C10" w:rsidRPr="000F5681" w:rsidRDefault="0DDDA89F" w:rsidP="000F5681">
      <w:pPr>
        <w:spacing w:line="276" w:lineRule="auto"/>
        <w:jc w:val="both"/>
        <w:rPr>
          <w:rFonts w:ascii="Georgia" w:hAnsi="Georgia" w:cs="Arial"/>
          <w:sz w:val="26"/>
          <w:szCs w:val="26"/>
        </w:rPr>
      </w:pPr>
      <w:r w:rsidRPr="000F5681">
        <w:rPr>
          <w:rFonts w:ascii="Georgia" w:hAnsi="Georgia" w:cs="Arial"/>
          <w:sz w:val="26"/>
          <w:szCs w:val="26"/>
        </w:rPr>
        <w:t>La CSJ</w:t>
      </w:r>
      <w:r w:rsidR="00381C10" w:rsidRPr="000F5681">
        <w:rPr>
          <w:rStyle w:val="Refdenotaalpie"/>
          <w:rFonts w:ascii="Georgia" w:hAnsi="Georgia"/>
          <w:sz w:val="26"/>
          <w:szCs w:val="26"/>
        </w:rPr>
        <w:footnoteReference w:id="47"/>
      </w:r>
      <w:r w:rsidRPr="000F5681">
        <w:rPr>
          <w:rFonts w:ascii="Georgia" w:hAnsi="Georgia" w:cs="Arial"/>
          <w:sz w:val="26"/>
          <w:szCs w:val="26"/>
        </w:rPr>
        <w:t xml:space="preserve"> e</w:t>
      </w:r>
      <w:r w:rsidR="00381C10" w:rsidRPr="000F5681">
        <w:rPr>
          <w:rFonts w:ascii="Georgia" w:hAnsi="Georgia" w:cs="Arial"/>
          <w:sz w:val="26"/>
          <w:szCs w:val="26"/>
        </w:rPr>
        <w:t>n decisión que guarda idénticos parámetros fácticos con este asunto, pues la queja consistía en que: “</w:t>
      </w:r>
      <w:r w:rsidR="00381C10" w:rsidRPr="000F5681">
        <w:rPr>
          <w:rFonts w:ascii="Georgia" w:hAnsi="Georgia" w:cs="Arial"/>
          <w:i/>
          <w:iCs/>
          <w:sz w:val="26"/>
          <w:szCs w:val="26"/>
        </w:rPr>
        <w:t>(…) el Tribunal dio un concepto errado a la figura, al considerar que aquella no se puede aplicar en los procesos en los que ya existe sentencia o auto que ordena seguir adelante con la ejecución.</w:t>
      </w:r>
      <w:r w:rsidR="00381C10" w:rsidRPr="000F5681">
        <w:rPr>
          <w:rFonts w:ascii="Georgia" w:hAnsi="Georgia" w:cs="Arial"/>
          <w:sz w:val="26"/>
          <w:szCs w:val="26"/>
        </w:rPr>
        <w:t xml:space="preserve">”, precisó </w:t>
      </w:r>
      <w:r w:rsidR="11F382D8" w:rsidRPr="000F5681">
        <w:rPr>
          <w:rFonts w:ascii="Georgia" w:hAnsi="Georgia" w:cs="Arial"/>
          <w:sz w:val="26"/>
          <w:szCs w:val="26"/>
        </w:rPr>
        <w:t xml:space="preserve">la Corporación, </w:t>
      </w:r>
      <w:r w:rsidR="00381C10" w:rsidRPr="000F5681">
        <w:rPr>
          <w:rFonts w:ascii="Georgia" w:hAnsi="Georgia" w:cs="Arial"/>
          <w:sz w:val="26"/>
          <w:szCs w:val="26"/>
        </w:rPr>
        <w:t xml:space="preserve">con </w:t>
      </w:r>
      <w:r w:rsidR="68D066FD" w:rsidRPr="000F5681">
        <w:rPr>
          <w:rFonts w:ascii="Georgia" w:hAnsi="Georgia" w:cs="Arial"/>
          <w:sz w:val="26"/>
          <w:szCs w:val="26"/>
        </w:rPr>
        <w:t xml:space="preserve">bastante </w:t>
      </w:r>
      <w:r w:rsidR="00381C10" w:rsidRPr="000F5681">
        <w:rPr>
          <w:rFonts w:ascii="Georgia" w:hAnsi="Georgia" w:cs="Arial"/>
          <w:sz w:val="26"/>
          <w:szCs w:val="26"/>
        </w:rPr>
        <w:t>claridad:</w:t>
      </w:r>
    </w:p>
    <w:p w14:paraId="56D49FA6" w14:textId="77777777" w:rsidR="00381C10" w:rsidRPr="000F5681" w:rsidRDefault="00381C10" w:rsidP="000F5681">
      <w:pPr>
        <w:spacing w:line="276" w:lineRule="auto"/>
        <w:jc w:val="both"/>
        <w:rPr>
          <w:rFonts w:ascii="Georgia" w:hAnsi="Georgia" w:cs="Arial"/>
          <w:sz w:val="26"/>
          <w:szCs w:val="26"/>
        </w:rPr>
      </w:pPr>
    </w:p>
    <w:p w14:paraId="35FD79EC" w14:textId="77777777" w:rsidR="00381C10" w:rsidRPr="00E17ACC" w:rsidRDefault="00381C10" w:rsidP="00E17ACC">
      <w:pPr>
        <w:ind w:left="426" w:right="420"/>
        <w:jc w:val="both"/>
        <w:rPr>
          <w:rFonts w:ascii="Georgia" w:hAnsi="Georgia" w:cs="Arial"/>
          <w:szCs w:val="26"/>
        </w:rPr>
      </w:pPr>
      <w:r w:rsidRPr="00E17ACC">
        <w:rPr>
          <w:rFonts w:ascii="Georgia" w:hAnsi="Georgia"/>
          <w:szCs w:val="26"/>
          <w:shd w:val="clear" w:color="auto" w:fill="FFFFFF"/>
        </w:rPr>
        <w:t xml:space="preserve">… para la Sala, </w:t>
      </w:r>
      <w:r w:rsidRPr="00E17ACC">
        <w:rPr>
          <w:rFonts w:ascii="Georgia" w:hAnsi="Georgia" w:cs="Arial"/>
          <w:szCs w:val="26"/>
          <w:lang w:val="es-MX"/>
        </w:rPr>
        <w:t xml:space="preserve">es evidente la incursión del fallador accionado en un defecto sustancial que habilita la intervención excepcional del juez de tutela </w:t>
      </w:r>
      <w:r w:rsidRPr="00E17ACC">
        <w:rPr>
          <w:rFonts w:ascii="Georgia" w:hAnsi="Georgia" w:cs="Arial"/>
          <w:szCs w:val="26"/>
          <w:u w:val="single"/>
          <w:lang w:val="es-MX"/>
        </w:rPr>
        <w:t xml:space="preserve">para conjurar la ostensible transgresión a la garantía fundamental del debido proceso del peticionario del amparo, pues no existió ninguna razón </w:t>
      </w:r>
      <w:r w:rsidRPr="00E17ACC">
        <w:rPr>
          <w:rFonts w:ascii="Georgia" w:hAnsi="Georgia" w:cs="Arial"/>
          <w:szCs w:val="26"/>
          <w:u w:val="single"/>
          <w:lang w:val="es-MX"/>
        </w:rPr>
        <w:lastRenderedPageBreak/>
        <w:t xml:space="preserve">jurídicamente válida para considerar que en </w:t>
      </w:r>
      <w:r w:rsidRPr="00E17ACC">
        <w:rPr>
          <w:rFonts w:ascii="Georgia" w:hAnsi="Georgia" w:cs="Arial"/>
          <w:i/>
          <w:szCs w:val="26"/>
          <w:u w:val="single"/>
          <w:lang w:val="es-MX"/>
        </w:rPr>
        <w:t>«tratándose del proceso ejecutivo con sentencia o auto que ordena seguir adelante con la ejecución, el desistimiento tácito, solo puede hacerse efectivo respecto de la fase, o actuación subsiguiente al proferimiento de las referidas providencias»</w:t>
      </w:r>
      <w:r w:rsidRPr="00E17ACC">
        <w:rPr>
          <w:rFonts w:ascii="Georgia" w:hAnsi="Georgia" w:cs="Arial"/>
          <w:szCs w:val="26"/>
          <w:u w:val="single"/>
          <w:lang w:val="es-MX"/>
        </w:rPr>
        <w:t xml:space="preserve"> y decretar así, una terminación de manera parcial</w:t>
      </w:r>
      <w:r w:rsidRPr="00E17ACC">
        <w:rPr>
          <w:rFonts w:ascii="Georgia" w:hAnsi="Georgia" w:cs="Arial"/>
          <w:szCs w:val="26"/>
          <w:lang w:val="es-MX"/>
        </w:rPr>
        <w:t>, como se hizo,  circunstancia que impone la concesión de la protección deprecada</w:t>
      </w:r>
      <w:r w:rsidR="00984117" w:rsidRPr="00E17ACC">
        <w:rPr>
          <w:rFonts w:ascii="Georgia" w:hAnsi="Georgia" w:cs="Arial"/>
          <w:szCs w:val="26"/>
          <w:lang w:val="es-MX"/>
        </w:rPr>
        <w:t>..</w:t>
      </w:r>
      <w:r w:rsidRPr="00E17ACC">
        <w:rPr>
          <w:rFonts w:ascii="Georgia" w:hAnsi="Georgia" w:cs="Arial"/>
          <w:szCs w:val="26"/>
          <w:lang w:val="es-MX"/>
        </w:rPr>
        <w:t xml:space="preserve">. </w:t>
      </w:r>
      <w:r w:rsidR="00984117" w:rsidRPr="00E17ACC">
        <w:rPr>
          <w:rFonts w:ascii="Georgia" w:hAnsi="Georgia" w:cs="Arial"/>
          <w:szCs w:val="26"/>
          <w:lang w:val="es-MX"/>
        </w:rPr>
        <w:t>(</w:t>
      </w:r>
      <w:r w:rsidRPr="00E17ACC">
        <w:rPr>
          <w:rFonts w:ascii="Georgia" w:hAnsi="Georgia" w:cs="Arial"/>
          <w:szCs w:val="26"/>
          <w:lang w:val="es-MX"/>
        </w:rPr>
        <w:t>Sublínea puesta a propósito por esta Sala</w:t>
      </w:r>
      <w:r w:rsidR="00984117" w:rsidRPr="00E17ACC">
        <w:rPr>
          <w:rFonts w:ascii="Georgia" w:hAnsi="Georgia" w:cs="Arial"/>
          <w:szCs w:val="26"/>
          <w:lang w:val="es-MX"/>
        </w:rPr>
        <w:t>)</w:t>
      </w:r>
      <w:r w:rsidRPr="00E17ACC">
        <w:rPr>
          <w:rFonts w:ascii="Georgia" w:hAnsi="Georgia" w:cs="Arial"/>
          <w:szCs w:val="26"/>
          <w:lang w:val="es-MX"/>
        </w:rPr>
        <w:t>.</w:t>
      </w:r>
    </w:p>
    <w:p w14:paraId="583B2BAC" w14:textId="77777777" w:rsidR="00381C10" w:rsidRPr="000F5681" w:rsidRDefault="00381C10" w:rsidP="000F5681">
      <w:pPr>
        <w:pStyle w:val="Textopredeterminado"/>
        <w:spacing w:line="276" w:lineRule="auto"/>
        <w:jc w:val="both"/>
        <w:rPr>
          <w:rFonts w:ascii="Georgia" w:hAnsi="Georgia" w:cs="Arial"/>
          <w:color w:val="auto"/>
          <w:sz w:val="26"/>
          <w:szCs w:val="26"/>
        </w:rPr>
      </w:pPr>
    </w:p>
    <w:p w14:paraId="710756A0" w14:textId="7EAC7476" w:rsidR="008D15CE" w:rsidRPr="000F5681" w:rsidRDefault="008D15CE" w:rsidP="000F5681">
      <w:pPr>
        <w:pStyle w:val="Textopredeterminado"/>
        <w:spacing w:line="276" w:lineRule="auto"/>
        <w:jc w:val="both"/>
        <w:rPr>
          <w:rFonts w:ascii="Georgia" w:hAnsi="Georgia" w:cs="Arial"/>
          <w:color w:val="auto"/>
          <w:sz w:val="26"/>
          <w:szCs w:val="26"/>
        </w:rPr>
      </w:pPr>
      <w:r w:rsidRPr="000F5681">
        <w:rPr>
          <w:rFonts w:ascii="Georgia" w:hAnsi="Georgia" w:cs="Arial"/>
          <w:color w:val="auto"/>
          <w:sz w:val="26"/>
          <w:szCs w:val="26"/>
        </w:rPr>
        <w:t xml:space="preserve">Y como base para tal estimación esclareció </w:t>
      </w:r>
      <w:r w:rsidR="00B02527" w:rsidRPr="000F5681">
        <w:rPr>
          <w:rFonts w:ascii="Georgia" w:hAnsi="Georgia" w:cs="Arial"/>
          <w:color w:val="auto"/>
          <w:sz w:val="26"/>
          <w:szCs w:val="26"/>
        </w:rPr>
        <w:t xml:space="preserve">que en la certeza de subsumirse la hipótesis en </w:t>
      </w:r>
      <w:r w:rsidR="00984117" w:rsidRPr="000F5681">
        <w:rPr>
          <w:rFonts w:ascii="Georgia" w:hAnsi="Georgia" w:cs="Arial"/>
          <w:color w:val="auto"/>
          <w:sz w:val="26"/>
          <w:szCs w:val="26"/>
        </w:rPr>
        <w:t xml:space="preserve">el artículo 317-2º, literal b), CGP, </w:t>
      </w:r>
      <w:r w:rsidR="00B02527" w:rsidRPr="000F5681">
        <w:rPr>
          <w:rFonts w:ascii="Georgia" w:hAnsi="Georgia" w:cs="Arial"/>
          <w:color w:val="auto"/>
          <w:sz w:val="26"/>
          <w:szCs w:val="26"/>
        </w:rPr>
        <w:t xml:space="preserve">examinada la superación del bienio, correspondía, sin más, aplicar el efecto jurídico previsto en la regla: </w:t>
      </w:r>
      <w:r w:rsidR="00984117" w:rsidRPr="000F5681">
        <w:rPr>
          <w:rFonts w:ascii="Georgia" w:hAnsi="Georgia" w:cs="Arial"/>
          <w:color w:val="auto"/>
          <w:sz w:val="26"/>
          <w:szCs w:val="26"/>
          <w:u w:val="single"/>
        </w:rPr>
        <w:t>T</w:t>
      </w:r>
      <w:r w:rsidR="00B02527" w:rsidRPr="000F5681">
        <w:rPr>
          <w:rFonts w:ascii="Georgia" w:hAnsi="Georgia" w:cs="Arial"/>
          <w:color w:val="auto"/>
          <w:sz w:val="26"/>
          <w:szCs w:val="26"/>
          <w:u w:val="single"/>
        </w:rPr>
        <w:t>erminar el proceso</w:t>
      </w:r>
      <w:r w:rsidR="00B02527" w:rsidRPr="000F5681">
        <w:rPr>
          <w:rFonts w:ascii="Georgia" w:hAnsi="Georgia" w:cs="Arial"/>
          <w:color w:val="auto"/>
          <w:sz w:val="26"/>
          <w:szCs w:val="26"/>
        </w:rPr>
        <w:t>. Y enfatizó que errado es: “</w:t>
      </w:r>
      <w:r w:rsidR="00B02527" w:rsidRPr="00B647C1">
        <w:rPr>
          <w:rFonts w:ascii="Georgia" w:hAnsi="Georgia" w:cs="Arial"/>
          <w:i/>
          <w:color w:val="auto"/>
          <w:szCs w:val="26"/>
        </w:rPr>
        <w:t>(…) establecer que la “fase procesal” a terminar era la subsiguiente a la sentencia, pues de la lectura del canon que desarrolla la figura, ninguna interpretación arroja en ese sentido</w:t>
      </w:r>
      <w:r w:rsidR="00B02527" w:rsidRPr="000F5681">
        <w:rPr>
          <w:rFonts w:ascii="Georgia" w:hAnsi="Georgia" w:cs="Arial"/>
          <w:i/>
          <w:color w:val="auto"/>
          <w:sz w:val="26"/>
          <w:szCs w:val="26"/>
        </w:rPr>
        <w:t>”.</w:t>
      </w:r>
    </w:p>
    <w:p w14:paraId="41931C9B" w14:textId="77777777" w:rsidR="00527A65" w:rsidRPr="000F5681" w:rsidRDefault="00527A65" w:rsidP="000F5681">
      <w:pPr>
        <w:pStyle w:val="Textopredeterminado"/>
        <w:spacing w:line="276" w:lineRule="auto"/>
        <w:jc w:val="both"/>
        <w:rPr>
          <w:rFonts w:ascii="Georgia" w:hAnsi="Georgia" w:cs="Arial"/>
          <w:color w:val="auto"/>
          <w:sz w:val="26"/>
          <w:szCs w:val="26"/>
        </w:rPr>
      </w:pPr>
    </w:p>
    <w:p w14:paraId="43BD301D" w14:textId="77777777" w:rsidR="00045F25" w:rsidRPr="000F5681" w:rsidRDefault="00954748" w:rsidP="000F5681">
      <w:pPr>
        <w:pStyle w:val="Textopredeterminado"/>
        <w:spacing w:line="276" w:lineRule="auto"/>
        <w:jc w:val="both"/>
        <w:rPr>
          <w:rFonts w:ascii="Georgia" w:hAnsi="Georgia" w:cs="Arial"/>
          <w:color w:val="auto"/>
          <w:sz w:val="26"/>
          <w:szCs w:val="26"/>
        </w:rPr>
      </w:pPr>
      <w:r w:rsidRPr="000F5681">
        <w:rPr>
          <w:rFonts w:ascii="Georgia" w:hAnsi="Georgia" w:cs="Arial"/>
          <w:color w:val="auto"/>
          <w:sz w:val="26"/>
          <w:szCs w:val="26"/>
        </w:rPr>
        <w:t>Así las cosas, y no obstante que las sentencias de tutela de la CSJ carecen de fuerza vinculante, pues sí lo son aquellas emitidas por la autoridad vértice de la especialidad constitucional, para evitar la incursión en un defecto sustantivo, se prohíja la tesis de la Alta Magistratura en el sentido de fulminar la actuación, incluida la sentencia misma, por efectos de la terminación anormal que comporta la aplicación del desistimiento tácito.</w:t>
      </w:r>
    </w:p>
    <w:p w14:paraId="4BEB9F27" w14:textId="77777777" w:rsidR="004C6A39" w:rsidRPr="000F5681" w:rsidRDefault="004C6A39" w:rsidP="000F5681">
      <w:pPr>
        <w:pStyle w:val="Textopredeterminado"/>
        <w:spacing w:line="276" w:lineRule="auto"/>
        <w:jc w:val="both"/>
        <w:rPr>
          <w:rFonts w:ascii="Georgia" w:hAnsi="Georgia" w:cs="Arial"/>
          <w:color w:val="auto"/>
          <w:sz w:val="26"/>
          <w:szCs w:val="26"/>
        </w:rPr>
      </w:pPr>
    </w:p>
    <w:p w14:paraId="2945741C" w14:textId="56B5C5CC" w:rsidR="00E47B28" w:rsidRPr="000F5681" w:rsidRDefault="00490E5D" w:rsidP="000F5681">
      <w:pPr>
        <w:pStyle w:val="Textopredeterminado"/>
        <w:spacing w:line="276" w:lineRule="auto"/>
        <w:jc w:val="both"/>
        <w:rPr>
          <w:rFonts w:ascii="Georgia" w:hAnsi="Georgia" w:cs="Arial"/>
          <w:color w:val="auto"/>
          <w:sz w:val="26"/>
          <w:szCs w:val="26"/>
        </w:rPr>
      </w:pPr>
      <w:r w:rsidRPr="000F5681">
        <w:rPr>
          <w:rFonts w:ascii="Georgia" w:hAnsi="Georgia" w:cs="Arial"/>
          <w:color w:val="auto"/>
          <w:sz w:val="26"/>
          <w:szCs w:val="26"/>
        </w:rPr>
        <w:t>L</w:t>
      </w:r>
      <w:r w:rsidR="004C6A39" w:rsidRPr="000F5681">
        <w:rPr>
          <w:rFonts w:ascii="Georgia" w:hAnsi="Georgia" w:cs="Arial"/>
          <w:color w:val="auto"/>
          <w:sz w:val="26"/>
          <w:szCs w:val="26"/>
        </w:rPr>
        <w:t xml:space="preserve">o esgrimido en </w:t>
      </w:r>
      <w:r w:rsidR="0B87DAF0" w:rsidRPr="000F5681">
        <w:rPr>
          <w:rFonts w:ascii="Georgia" w:hAnsi="Georgia" w:cs="Arial"/>
          <w:color w:val="auto"/>
          <w:sz w:val="26"/>
          <w:szCs w:val="26"/>
        </w:rPr>
        <w:t>el auto recurrido</w:t>
      </w:r>
      <w:r w:rsidR="004C6A39" w:rsidRPr="000F5681">
        <w:rPr>
          <w:rFonts w:ascii="Georgia" w:hAnsi="Georgia" w:cs="Arial"/>
          <w:color w:val="auto"/>
          <w:sz w:val="26"/>
          <w:szCs w:val="26"/>
        </w:rPr>
        <w:t>, ilustró con precisión las posibilidades que tenía la parte para “activar” el proceso</w:t>
      </w:r>
      <w:r w:rsidR="00144B3B" w:rsidRPr="000F5681">
        <w:rPr>
          <w:rFonts w:ascii="Georgia" w:hAnsi="Georgia" w:cs="Arial"/>
          <w:color w:val="auto"/>
          <w:sz w:val="26"/>
          <w:szCs w:val="26"/>
        </w:rPr>
        <w:t>:</w:t>
      </w:r>
      <w:r w:rsidR="00E47B28" w:rsidRPr="000F5681">
        <w:rPr>
          <w:rFonts w:ascii="Georgia" w:hAnsi="Georgia" w:cs="Arial"/>
          <w:color w:val="auto"/>
          <w:sz w:val="26"/>
          <w:szCs w:val="26"/>
        </w:rPr>
        <w:t xml:space="preserve"> “</w:t>
      </w:r>
      <w:r w:rsidR="00E47B28" w:rsidRPr="00B647C1">
        <w:rPr>
          <w:rFonts w:ascii="Georgia" w:hAnsi="Georgia" w:cs="Arial"/>
          <w:i/>
          <w:iCs/>
          <w:color w:val="auto"/>
          <w:szCs w:val="26"/>
        </w:rPr>
        <w:t>(…) las partes pueden a través de cualquier escrito, inclusive uno que no le dé impulso al trámite, interrumpir el lapso que trascurre en su contra por inactividad procesal, de ello no se ha valido el recurrente, no obstante que el término es vasto y bien ha podido hacer uso de las facultades otorgadas en el art.466-2 del CGP (…)</w:t>
      </w:r>
      <w:r w:rsidR="00E47B28" w:rsidRPr="000F5681">
        <w:rPr>
          <w:rFonts w:ascii="Georgia" w:hAnsi="Georgia" w:cs="Arial"/>
          <w:color w:val="auto"/>
          <w:sz w:val="26"/>
          <w:szCs w:val="26"/>
        </w:rPr>
        <w:t>” (Esto referente al embargo de remanentes)</w:t>
      </w:r>
      <w:r w:rsidR="00767458" w:rsidRPr="000F5681">
        <w:rPr>
          <w:rFonts w:ascii="Georgia" w:hAnsi="Georgia" w:cs="Arial"/>
          <w:color w:val="auto"/>
          <w:sz w:val="26"/>
          <w:szCs w:val="26"/>
        </w:rPr>
        <w:t>; y, “</w:t>
      </w:r>
      <w:r w:rsidR="00767458" w:rsidRPr="00B647C1">
        <w:rPr>
          <w:rFonts w:ascii="Georgia" w:hAnsi="Georgia" w:cs="Arial"/>
          <w:i/>
          <w:iCs/>
          <w:color w:val="auto"/>
          <w:szCs w:val="26"/>
        </w:rPr>
        <w:t>(…) entre el escrito recibido el 6 de febrero de 2018 [Oficios de bancos] y el auto que decreta el desistimiento (11 de febrero de 2020), si (Sic) existe un término superior a dos años (…)</w:t>
      </w:r>
      <w:r w:rsidR="00767458" w:rsidRPr="000F5681">
        <w:rPr>
          <w:rFonts w:ascii="Georgia" w:hAnsi="Georgia" w:cs="Arial"/>
          <w:i/>
          <w:iCs/>
          <w:color w:val="auto"/>
          <w:sz w:val="26"/>
          <w:szCs w:val="26"/>
        </w:rPr>
        <w:t>”</w:t>
      </w:r>
      <w:r w:rsidR="00B35825" w:rsidRPr="000F5681">
        <w:rPr>
          <w:rFonts w:ascii="Georgia" w:hAnsi="Georgia" w:cs="Arial"/>
          <w:color w:val="auto"/>
          <w:sz w:val="26"/>
          <w:szCs w:val="26"/>
        </w:rPr>
        <w:t xml:space="preserve"> (Corchetes de la Sala) (Cuaderno No.1, documento No.01, folios 69-75)</w:t>
      </w:r>
      <w:r w:rsidR="003C2901" w:rsidRPr="000F5681">
        <w:rPr>
          <w:rFonts w:ascii="Georgia" w:hAnsi="Georgia" w:cs="Arial"/>
          <w:color w:val="auto"/>
          <w:sz w:val="26"/>
          <w:szCs w:val="26"/>
        </w:rPr>
        <w:t>.</w:t>
      </w:r>
      <w:r w:rsidR="00B35825" w:rsidRPr="000F5681">
        <w:rPr>
          <w:rFonts w:ascii="Georgia" w:hAnsi="Georgia" w:cs="Arial"/>
          <w:color w:val="auto"/>
          <w:sz w:val="26"/>
          <w:szCs w:val="26"/>
        </w:rPr>
        <w:t xml:space="preserve"> </w:t>
      </w:r>
    </w:p>
    <w:p w14:paraId="688420F3" w14:textId="77777777" w:rsidR="00E47B28" w:rsidRPr="000F5681" w:rsidRDefault="00E47B28" w:rsidP="000F5681">
      <w:pPr>
        <w:pStyle w:val="Textopredeterminado"/>
        <w:spacing w:line="276" w:lineRule="auto"/>
        <w:jc w:val="both"/>
        <w:rPr>
          <w:rFonts w:ascii="Georgia" w:hAnsi="Georgia" w:cs="Arial"/>
          <w:color w:val="auto"/>
          <w:sz w:val="26"/>
          <w:szCs w:val="26"/>
        </w:rPr>
      </w:pPr>
    </w:p>
    <w:p w14:paraId="35DFACC0" w14:textId="1672190D" w:rsidR="11721A1B" w:rsidRPr="000F5681" w:rsidRDefault="413039F6" w:rsidP="000F5681">
      <w:pPr>
        <w:pStyle w:val="Textopredeterminado"/>
        <w:spacing w:line="276" w:lineRule="auto"/>
        <w:jc w:val="both"/>
        <w:rPr>
          <w:rFonts w:ascii="Georgia" w:hAnsi="Georgia" w:cs="Arial"/>
          <w:color w:val="auto"/>
          <w:sz w:val="26"/>
          <w:szCs w:val="26"/>
        </w:rPr>
      </w:pPr>
      <w:r w:rsidRPr="000F5681">
        <w:rPr>
          <w:rFonts w:ascii="Georgia" w:hAnsi="Georgia" w:cs="Arial"/>
          <w:color w:val="auto"/>
          <w:sz w:val="26"/>
          <w:szCs w:val="26"/>
        </w:rPr>
        <w:t>La gestión procesal posible aludida en la providencia, es plausible y razón suficiente para patrocinarla en esta instancia</w:t>
      </w:r>
      <w:r w:rsidR="356B7172" w:rsidRPr="000F5681">
        <w:rPr>
          <w:rFonts w:ascii="Georgia" w:hAnsi="Georgia" w:cs="Arial"/>
          <w:color w:val="auto"/>
          <w:sz w:val="26"/>
          <w:szCs w:val="26"/>
        </w:rPr>
        <w:t>, sin más aditamentos</w:t>
      </w:r>
      <w:r w:rsidRPr="000F5681">
        <w:rPr>
          <w:rFonts w:ascii="Georgia" w:hAnsi="Georgia" w:cs="Arial"/>
          <w:color w:val="auto"/>
          <w:sz w:val="26"/>
          <w:szCs w:val="26"/>
        </w:rPr>
        <w:t>. Y, s</w:t>
      </w:r>
      <w:r w:rsidR="16383218" w:rsidRPr="000F5681">
        <w:rPr>
          <w:rFonts w:ascii="Georgia" w:hAnsi="Georgia" w:cs="Arial"/>
          <w:color w:val="auto"/>
          <w:sz w:val="26"/>
          <w:szCs w:val="26"/>
        </w:rPr>
        <w:t>obre la actuación última, que se dice el apelante son unos oficios bancarios, ni siquiera se acercaron en el interregno de los dos (2</w:t>
      </w:r>
      <w:r w:rsidR="1C9EC87C" w:rsidRPr="000F5681">
        <w:rPr>
          <w:rFonts w:ascii="Georgia" w:hAnsi="Georgia" w:cs="Arial"/>
          <w:color w:val="auto"/>
          <w:sz w:val="26"/>
          <w:szCs w:val="26"/>
        </w:rPr>
        <w:t xml:space="preserve">) años; y eso basta para resolver como hizo </w:t>
      </w:r>
      <w:r w:rsidR="0C2F5D44" w:rsidRPr="000F5681">
        <w:rPr>
          <w:rFonts w:ascii="Georgia" w:hAnsi="Georgia" w:cs="Arial"/>
          <w:color w:val="auto"/>
          <w:sz w:val="26"/>
          <w:szCs w:val="26"/>
        </w:rPr>
        <w:t>l</w:t>
      </w:r>
      <w:r w:rsidR="00295A04" w:rsidRPr="000F5681">
        <w:rPr>
          <w:rFonts w:ascii="Georgia" w:hAnsi="Georgia" w:cs="Arial"/>
          <w:color w:val="auto"/>
          <w:sz w:val="26"/>
          <w:szCs w:val="26"/>
        </w:rPr>
        <w:t>a</w:t>
      </w:r>
      <w:r w:rsidR="0C2F5D44" w:rsidRPr="000F5681">
        <w:rPr>
          <w:rFonts w:ascii="Georgia" w:hAnsi="Georgia" w:cs="Arial"/>
          <w:color w:val="auto"/>
          <w:sz w:val="26"/>
          <w:szCs w:val="26"/>
        </w:rPr>
        <w:t xml:space="preserve"> </w:t>
      </w:r>
      <w:r w:rsidR="1C9EC87C" w:rsidRPr="000F5681">
        <w:rPr>
          <w:rFonts w:ascii="Georgia" w:hAnsi="Georgia" w:cs="Arial"/>
          <w:color w:val="auto"/>
          <w:sz w:val="26"/>
          <w:szCs w:val="26"/>
        </w:rPr>
        <w:t>juez</w:t>
      </w:r>
      <w:r w:rsidR="00295A04" w:rsidRPr="000F5681">
        <w:rPr>
          <w:rFonts w:ascii="Georgia" w:hAnsi="Georgia" w:cs="Arial"/>
          <w:color w:val="auto"/>
          <w:sz w:val="26"/>
          <w:szCs w:val="26"/>
        </w:rPr>
        <w:t>a</w:t>
      </w:r>
      <w:r w:rsidR="1C9EC87C" w:rsidRPr="000F5681">
        <w:rPr>
          <w:rFonts w:ascii="Georgia" w:hAnsi="Georgia" w:cs="Arial"/>
          <w:color w:val="auto"/>
          <w:sz w:val="26"/>
          <w:szCs w:val="26"/>
        </w:rPr>
        <w:t>. Mas si se hubiesen allegado en tiempo, serios reparos c</w:t>
      </w:r>
      <w:r w:rsidR="0D1B6617" w:rsidRPr="000F5681">
        <w:rPr>
          <w:rFonts w:ascii="Georgia" w:hAnsi="Georgia" w:cs="Arial"/>
          <w:color w:val="auto"/>
          <w:sz w:val="26"/>
          <w:szCs w:val="26"/>
        </w:rPr>
        <w:t>abría</w:t>
      </w:r>
      <w:r w:rsidR="7CDD7007" w:rsidRPr="000F5681">
        <w:rPr>
          <w:rFonts w:ascii="Georgia" w:hAnsi="Georgia" w:cs="Arial"/>
          <w:color w:val="auto"/>
          <w:sz w:val="26"/>
          <w:szCs w:val="26"/>
        </w:rPr>
        <w:t>n</w:t>
      </w:r>
      <w:r w:rsidR="0D1B6617" w:rsidRPr="000F5681">
        <w:rPr>
          <w:rFonts w:ascii="Georgia" w:hAnsi="Georgia" w:cs="Arial"/>
          <w:color w:val="auto"/>
          <w:sz w:val="26"/>
          <w:szCs w:val="26"/>
        </w:rPr>
        <w:t xml:space="preserve"> hacer, a su estimación como una </w:t>
      </w:r>
      <w:r w:rsidR="104794BC" w:rsidRPr="000F5681">
        <w:rPr>
          <w:rFonts w:ascii="Georgia" w:hAnsi="Georgia" w:cs="Arial"/>
          <w:color w:val="auto"/>
          <w:sz w:val="26"/>
          <w:szCs w:val="26"/>
        </w:rPr>
        <w:t>“</w:t>
      </w:r>
      <w:r w:rsidR="0D1B6617" w:rsidRPr="000F5681">
        <w:rPr>
          <w:rFonts w:ascii="Georgia" w:hAnsi="Georgia" w:cs="Arial"/>
          <w:i/>
          <w:iCs/>
          <w:color w:val="auto"/>
          <w:sz w:val="26"/>
          <w:szCs w:val="26"/>
        </w:rPr>
        <w:t>actuación procesal</w:t>
      </w:r>
      <w:r w:rsidR="15F494ED" w:rsidRPr="000F5681">
        <w:rPr>
          <w:rFonts w:ascii="Georgia" w:hAnsi="Georgia" w:cs="Arial"/>
          <w:i/>
          <w:iCs/>
          <w:color w:val="auto"/>
          <w:sz w:val="26"/>
          <w:szCs w:val="26"/>
        </w:rPr>
        <w:t>”</w:t>
      </w:r>
      <w:r w:rsidR="0D1B6617" w:rsidRPr="000F5681">
        <w:rPr>
          <w:rFonts w:ascii="Georgia" w:hAnsi="Georgia" w:cs="Arial"/>
          <w:color w:val="auto"/>
          <w:sz w:val="26"/>
          <w:szCs w:val="26"/>
        </w:rPr>
        <w:t xml:space="preserve">, </w:t>
      </w:r>
      <w:r w:rsidR="57CBEB33" w:rsidRPr="000F5681">
        <w:rPr>
          <w:rFonts w:ascii="Georgia" w:hAnsi="Georgia" w:cs="Arial"/>
          <w:color w:val="auto"/>
          <w:sz w:val="26"/>
          <w:szCs w:val="26"/>
        </w:rPr>
        <w:t>desde la ciencia procesalista</w:t>
      </w:r>
      <w:r w:rsidR="0D1B6617" w:rsidRPr="000F5681">
        <w:rPr>
          <w:rFonts w:ascii="Georgia" w:hAnsi="Georgia" w:cs="Arial"/>
          <w:color w:val="auto"/>
          <w:sz w:val="26"/>
          <w:szCs w:val="26"/>
        </w:rPr>
        <w:t>,</w:t>
      </w:r>
      <w:r w:rsidR="5DEBAA30" w:rsidRPr="000F5681">
        <w:rPr>
          <w:rFonts w:ascii="Georgia" w:hAnsi="Georgia" w:cs="Arial"/>
          <w:color w:val="auto"/>
          <w:sz w:val="26"/>
          <w:szCs w:val="26"/>
        </w:rPr>
        <w:t xml:space="preserve"> no proviene de alguna parte de la relación jurídica trabada, tampoco amerita decisión judicial.</w:t>
      </w:r>
    </w:p>
    <w:p w14:paraId="388CB6EF" w14:textId="13A0F010" w:rsidR="11721A1B" w:rsidRPr="000F5681" w:rsidRDefault="11721A1B" w:rsidP="000F5681">
      <w:pPr>
        <w:pStyle w:val="Textopredeterminado"/>
        <w:tabs>
          <w:tab w:val="left" w:pos="3900"/>
        </w:tabs>
        <w:spacing w:line="276" w:lineRule="auto"/>
        <w:jc w:val="both"/>
        <w:rPr>
          <w:rFonts w:ascii="Georgia" w:hAnsi="Georgia" w:cs="Arial"/>
          <w:color w:val="auto"/>
          <w:sz w:val="26"/>
          <w:szCs w:val="26"/>
        </w:rPr>
      </w:pPr>
    </w:p>
    <w:p w14:paraId="45D28AE7" w14:textId="77777777" w:rsidR="00B35825" w:rsidRPr="000F5681" w:rsidRDefault="00144B3B" w:rsidP="000F5681">
      <w:pPr>
        <w:pStyle w:val="Prrafodelista"/>
        <w:numPr>
          <w:ilvl w:val="0"/>
          <w:numId w:val="6"/>
        </w:numPr>
        <w:spacing w:line="276" w:lineRule="auto"/>
        <w:jc w:val="both"/>
        <w:rPr>
          <w:rFonts w:ascii="Georgia" w:hAnsi="Georgia" w:cs="Arial"/>
          <w:b/>
          <w:bCs/>
          <w:smallCaps/>
          <w:sz w:val="26"/>
          <w:szCs w:val="26"/>
        </w:rPr>
      </w:pPr>
      <w:r w:rsidRPr="000F5681">
        <w:rPr>
          <w:rFonts w:ascii="Georgia" w:hAnsi="Georgia" w:cs="Arial"/>
          <w:b/>
          <w:bCs/>
          <w:smallCaps/>
          <w:sz w:val="26"/>
          <w:szCs w:val="26"/>
        </w:rPr>
        <w:t>Las decisiones finales</w:t>
      </w:r>
    </w:p>
    <w:p w14:paraId="39279CFB" w14:textId="77777777" w:rsidR="00773A8F" w:rsidRPr="000F5681" w:rsidRDefault="00773A8F" w:rsidP="000F5681">
      <w:pPr>
        <w:spacing w:line="276" w:lineRule="auto"/>
        <w:jc w:val="both"/>
        <w:rPr>
          <w:rFonts w:ascii="Georgia" w:hAnsi="Georgia" w:cs="Arial"/>
          <w:sz w:val="26"/>
          <w:szCs w:val="26"/>
        </w:rPr>
      </w:pPr>
    </w:p>
    <w:p w14:paraId="3FBE1396" w14:textId="1E9FAD5C" w:rsidR="00B35825" w:rsidRPr="000F5681" w:rsidRDefault="00B35825" w:rsidP="000F5681">
      <w:pPr>
        <w:spacing w:line="276" w:lineRule="auto"/>
        <w:jc w:val="both"/>
        <w:rPr>
          <w:rFonts w:ascii="Georgia" w:hAnsi="Georgia" w:cs="Arial"/>
          <w:sz w:val="26"/>
          <w:szCs w:val="26"/>
        </w:rPr>
      </w:pPr>
      <w:r w:rsidRPr="000F5681">
        <w:rPr>
          <w:rFonts w:ascii="Georgia" w:hAnsi="Georgia" w:cs="Arial"/>
          <w:sz w:val="26"/>
          <w:szCs w:val="26"/>
        </w:rPr>
        <w:t xml:space="preserve">Con estribo en las premisas anteriores: </w:t>
      </w:r>
      <w:r w:rsidRPr="000F5681">
        <w:rPr>
          <w:rFonts w:ascii="Georgia" w:hAnsi="Georgia" w:cs="Arial"/>
          <w:b/>
          <w:sz w:val="26"/>
          <w:szCs w:val="26"/>
        </w:rPr>
        <w:t>(i)</w:t>
      </w:r>
      <w:r w:rsidRPr="000F5681">
        <w:rPr>
          <w:rFonts w:ascii="Georgia" w:hAnsi="Georgia" w:cs="Arial"/>
          <w:sz w:val="26"/>
          <w:szCs w:val="26"/>
        </w:rPr>
        <w:t xml:space="preserve"> Se confirmará el auto apelado; </w:t>
      </w:r>
      <w:r w:rsidRPr="000F5681">
        <w:rPr>
          <w:rFonts w:ascii="Georgia" w:hAnsi="Georgia" w:cs="Arial"/>
          <w:b/>
          <w:sz w:val="26"/>
          <w:szCs w:val="26"/>
        </w:rPr>
        <w:t>(ii)</w:t>
      </w:r>
      <w:r w:rsidRPr="000F5681">
        <w:rPr>
          <w:rFonts w:ascii="Georgia" w:hAnsi="Georgia" w:cs="Arial"/>
          <w:sz w:val="26"/>
          <w:szCs w:val="26"/>
        </w:rPr>
        <w:t xml:space="preserve"> Se condenará en costas al recurrente (Art.365-1º, CGP);</w:t>
      </w:r>
      <w:r w:rsidRPr="000F5681">
        <w:rPr>
          <w:rFonts w:ascii="Georgia" w:hAnsi="Georgia" w:cs="Arial"/>
          <w:b/>
          <w:sz w:val="26"/>
          <w:szCs w:val="26"/>
        </w:rPr>
        <w:t xml:space="preserve"> (iii)</w:t>
      </w:r>
      <w:r w:rsidRPr="000F5681">
        <w:rPr>
          <w:rFonts w:ascii="Georgia" w:hAnsi="Georgia" w:cs="Arial"/>
          <w:sz w:val="26"/>
          <w:szCs w:val="26"/>
        </w:rPr>
        <w:t xml:space="preserve"> Se advertirá que </w:t>
      </w:r>
      <w:r w:rsidRPr="000F5681">
        <w:rPr>
          <w:rFonts w:ascii="Georgia" w:hAnsi="Georgia" w:cs="Arial"/>
          <w:sz w:val="26"/>
          <w:szCs w:val="26"/>
        </w:rPr>
        <w:lastRenderedPageBreak/>
        <w:t>esta decisión es irrecurrible (Art.35, CGP)</w:t>
      </w:r>
      <w:r w:rsidRPr="000F5681">
        <w:rPr>
          <w:rFonts w:ascii="Georgia" w:hAnsi="Georgia" w:cs="Arial"/>
          <w:sz w:val="26"/>
          <w:szCs w:val="26"/>
          <w:lang w:val="es-CO"/>
        </w:rPr>
        <w:t xml:space="preserve">; </w:t>
      </w:r>
      <w:r w:rsidRPr="000F5681">
        <w:rPr>
          <w:rFonts w:ascii="Georgia" w:hAnsi="Georgia" w:cs="Arial"/>
          <w:sz w:val="26"/>
          <w:szCs w:val="26"/>
        </w:rPr>
        <w:t xml:space="preserve">y, </w:t>
      </w:r>
      <w:r w:rsidRPr="000F5681">
        <w:rPr>
          <w:rFonts w:ascii="Georgia" w:hAnsi="Georgia" w:cs="Arial"/>
          <w:b/>
          <w:sz w:val="26"/>
          <w:szCs w:val="26"/>
        </w:rPr>
        <w:t>(iv)</w:t>
      </w:r>
      <w:r w:rsidRPr="000F5681">
        <w:rPr>
          <w:rFonts w:ascii="Georgia" w:hAnsi="Georgia" w:cs="Arial"/>
          <w:sz w:val="26"/>
          <w:szCs w:val="26"/>
        </w:rPr>
        <w:t xml:space="preserve"> Se ordenará devolver el expediente al juzgado de origen.</w:t>
      </w:r>
    </w:p>
    <w:p w14:paraId="7A02497D" w14:textId="77777777" w:rsidR="002020F7" w:rsidRPr="000F5681" w:rsidRDefault="002020F7" w:rsidP="000F5681">
      <w:pPr>
        <w:spacing w:line="276" w:lineRule="auto"/>
        <w:jc w:val="both"/>
        <w:rPr>
          <w:rFonts w:ascii="Georgia" w:hAnsi="Georgia" w:cs="Arial"/>
          <w:sz w:val="26"/>
          <w:szCs w:val="26"/>
        </w:rPr>
      </w:pPr>
    </w:p>
    <w:p w14:paraId="44CA451C" w14:textId="77777777" w:rsidR="00B103A7" w:rsidRPr="000F5681" w:rsidRDefault="00B35825" w:rsidP="000F5681">
      <w:pPr>
        <w:spacing w:line="276" w:lineRule="auto"/>
        <w:jc w:val="both"/>
        <w:rPr>
          <w:rStyle w:val="normaltextrun"/>
          <w:rFonts w:ascii="Georgia" w:eastAsiaTheme="majorEastAsia" w:hAnsi="Georgia"/>
          <w:sz w:val="26"/>
          <w:szCs w:val="26"/>
          <w:shd w:val="clear" w:color="auto" w:fill="FFFFFF"/>
        </w:rPr>
      </w:pPr>
      <w:r w:rsidRPr="000F5681">
        <w:rPr>
          <w:rStyle w:val="normaltextrun"/>
          <w:rFonts w:ascii="Georgia" w:eastAsiaTheme="majorEastAsia" w:hAnsi="Georgia"/>
          <w:sz w:val="26"/>
          <w:szCs w:val="26"/>
          <w:shd w:val="clear" w:color="auto" w:fill="FFFFFF"/>
        </w:rPr>
        <w:t>La liquidación de costas se sujetará, en primera instancia, a lo previsto en el artículo 366 del CGP; y, las agencias en esta instancia se fijarán en auto posterior CSJ</w:t>
      </w:r>
      <w:r w:rsidRPr="000F5681">
        <w:rPr>
          <w:rStyle w:val="superscript"/>
          <w:rFonts w:ascii="Georgia" w:hAnsi="Georgia"/>
          <w:sz w:val="26"/>
          <w:szCs w:val="26"/>
          <w:shd w:val="clear" w:color="auto" w:fill="FFFFFF"/>
          <w:vertAlign w:val="superscript"/>
        </w:rPr>
        <w:t>29</w:t>
      </w:r>
      <w:r w:rsidRPr="000F5681">
        <w:rPr>
          <w:rStyle w:val="normaltextrun"/>
          <w:rFonts w:ascii="Georgia" w:eastAsiaTheme="majorEastAsia" w:hAnsi="Georgia"/>
          <w:sz w:val="26"/>
          <w:szCs w:val="26"/>
          <w:shd w:val="clear" w:color="auto" w:fill="FFFFFF"/>
        </w:rPr>
        <w:t> (2017), porque la expresa novedad, introducida por la Ley 1395 de 2010, desapareció en la nueva redacción del ordinal 2º del artículo 365, CGP.</w:t>
      </w:r>
    </w:p>
    <w:p w14:paraId="1ECA1106" w14:textId="77777777" w:rsidR="00B35825" w:rsidRPr="000F5681" w:rsidRDefault="00B35825" w:rsidP="000F5681">
      <w:pPr>
        <w:spacing w:line="276" w:lineRule="auto"/>
        <w:jc w:val="both"/>
        <w:rPr>
          <w:rFonts w:ascii="Georgia" w:hAnsi="Georgia" w:cs="Arial"/>
          <w:sz w:val="26"/>
          <w:szCs w:val="26"/>
          <w:lang w:val="es-CO"/>
        </w:rPr>
      </w:pPr>
    </w:p>
    <w:p w14:paraId="48FBE274" w14:textId="77777777" w:rsidR="003B3275" w:rsidRPr="000F5681" w:rsidRDefault="003B3275" w:rsidP="000F5681">
      <w:pPr>
        <w:tabs>
          <w:tab w:val="left" w:pos="-720"/>
        </w:tabs>
        <w:suppressAutoHyphens/>
        <w:spacing w:line="276" w:lineRule="auto"/>
        <w:jc w:val="both"/>
        <w:rPr>
          <w:rFonts w:ascii="Georgia" w:hAnsi="Georgia" w:cs="Arial"/>
          <w:spacing w:val="-3"/>
          <w:sz w:val="26"/>
          <w:szCs w:val="26"/>
        </w:rPr>
      </w:pPr>
      <w:r w:rsidRPr="000F5681">
        <w:rPr>
          <w:rFonts w:ascii="Georgia" w:hAnsi="Georgia" w:cs="Arial"/>
          <w:sz w:val="26"/>
          <w:szCs w:val="26"/>
        </w:rPr>
        <w:t xml:space="preserve">En mérito de lo discurrido en los acápites precedentes, el </w:t>
      </w:r>
      <w:r w:rsidRPr="000F5681">
        <w:rPr>
          <w:rFonts w:ascii="Georgia" w:hAnsi="Georgia" w:cs="Arial"/>
          <w:smallCaps/>
          <w:sz w:val="26"/>
          <w:szCs w:val="26"/>
        </w:rPr>
        <w:t>Tribunal Superior del Distrito Judicial de Pereira, Sala Unitaria de Decisión</w:t>
      </w:r>
      <w:r w:rsidRPr="000F5681">
        <w:rPr>
          <w:rFonts w:ascii="Georgia" w:hAnsi="Georgia" w:cs="Arial"/>
          <w:sz w:val="26"/>
          <w:szCs w:val="26"/>
        </w:rPr>
        <w:t>,</w:t>
      </w:r>
    </w:p>
    <w:p w14:paraId="1C52552F" w14:textId="2AB22CD3" w:rsidR="11721A1B" w:rsidRPr="000F5681" w:rsidRDefault="11721A1B" w:rsidP="000F5681">
      <w:pPr>
        <w:pStyle w:val="Sinespaciado"/>
        <w:spacing w:line="276" w:lineRule="auto"/>
        <w:jc w:val="center"/>
        <w:rPr>
          <w:rFonts w:ascii="Georgia" w:hAnsi="Georgia" w:cs="Arial"/>
          <w:b/>
          <w:bCs/>
          <w:sz w:val="26"/>
          <w:szCs w:val="26"/>
        </w:rPr>
      </w:pPr>
    </w:p>
    <w:p w14:paraId="54910437" w14:textId="77777777" w:rsidR="003B3275" w:rsidRPr="000F5681" w:rsidRDefault="003B3275" w:rsidP="000F5681">
      <w:pPr>
        <w:pStyle w:val="Sinespaciado"/>
        <w:spacing w:line="276" w:lineRule="auto"/>
        <w:jc w:val="center"/>
        <w:rPr>
          <w:rFonts w:ascii="Georgia" w:hAnsi="Georgia" w:cs="Arial"/>
          <w:sz w:val="26"/>
          <w:szCs w:val="26"/>
        </w:rPr>
      </w:pPr>
      <w:r w:rsidRPr="000F5681">
        <w:rPr>
          <w:rFonts w:ascii="Georgia" w:hAnsi="Georgia" w:cs="Arial"/>
          <w:sz w:val="26"/>
          <w:szCs w:val="26"/>
        </w:rPr>
        <w:t>R E S U E L V E,</w:t>
      </w:r>
    </w:p>
    <w:p w14:paraId="5A5B981C" w14:textId="77777777" w:rsidR="003B3275" w:rsidRPr="000F5681" w:rsidRDefault="003B3275" w:rsidP="000F5681">
      <w:pPr>
        <w:pStyle w:val="Sinespaciado"/>
        <w:spacing w:line="276" w:lineRule="auto"/>
        <w:jc w:val="center"/>
        <w:rPr>
          <w:rFonts w:ascii="Georgia" w:hAnsi="Georgia" w:cs="Arial"/>
          <w:sz w:val="26"/>
          <w:szCs w:val="26"/>
        </w:rPr>
      </w:pPr>
    </w:p>
    <w:p w14:paraId="06E74AC2" w14:textId="77777777" w:rsidR="003B3275" w:rsidRPr="000F5681" w:rsidRDefault="008F0855" w:rsidP="000F5681">
      <w:pPr>
        <w:pStyle w:val="Textopredeterminado"/>
        <w:numPr>
          <w:ilvl w:val="0"/>
          <w:numId w:val="23"/>
        </w:numPr>
        <w:tabs>
          <w:tab w:val="left" w:pos="544"/>
        </w:tabs>
        <w:spacing w:line="276" w:lineRule="auto"/>
        <w:jc w:val="both"/>
        <w:textAlignment w:val="auto"/>
        <w:rPr>
          <w:rFonts w:ascii="Georgia" w:hAnsi="Georgia"/>
          <w:color w:val="auto"/>
          <w:sz w:val="26"/>
          <w:szCs w:val="26"/>
        </w:rPr>
      </w:pPr>
      <w:r w:rsidRPr="000F5681">
        <w:rPr>
          <w:rFonts w:ascii="Georgia" w:hAnsi="Georgia" w:cs="Arial"/>
          <w:color w:val="auto"/>
          <w:sz w:val="26"/>
          <w:szCs w:val="26"/>
        </w:rPr>
        <w:t xml:space="preserve">CONFIRMAR </w:t>
      </w:r>
      <w:r w:rsidR="00EA41B6" w:rsidRPr="000F5681">
        <w:rPr>
          <w:rFonts w:ascii="Georgia" w:hAnsi="Georgia" w:cs="Arial"/>
          <w:color w:val="auto"/>
          <w:sz w:val="26"/>
          <w:szCs w:val="26"/>
        </w:rPr>
        <w:t>el pro</w:t>
      </w:r>
      <w:r w:rsidR="0007518B" w:rsidRPr="000F5681">
        <w:rPr>
          <w:rFonts w:ascii="Georgia" w:hAnsi="Georgia" w:cs="Arial"/>
          <w:color w:val="auto"/>
          <w:sz w:val="26"/>
          <w:szCs w:val="26"/>
        </w:rPr>
        <w:t xml:space="preserve">veído dictado </w:t>
      </w:r>
      <w:r w:rsidR="00144B3B" w:rsidRPr="000F5681">
        <w:rPr>
          <w:rFonts w:ascii="Georgia" w:hAnsi="Georgia" w:cs="Arial"/>
          <w:color w:val="auto"/>
          <w:sz w:val="26"/>
          <w:szCs w:val="26"/>
        </w:rPr>
        <w:t>el</w:t>
      </w:r>
      <w:r w:rsidRPr="000F5681">
        <w:rPr>
          <w:rFonts w:ascii="Georgia" w:hAnsi="Georgia" w:cs="Arial"/>
          <w:color w:val="auto"/>
          <w:sz w:val="26"/>
          <w:szCs w:val="26"/>
        </w:rPr>
        <w:t xml:space="preserve"> </w:t>
      </w:r>
      <w:r w:rsidR="00144B3B" w:rsidRPr="000F5681">
        <w:rPr>
          <w:rFonts w:ascii="Georgia" w:hAnsi="Georgia" w:cs="Arial"/>
          <w:color w:val="auto"/>
          <w:sz w:val="26"/>
          <w:szCs w:val="26"/>
        </w:rPr>
        <w:t>11-02-2020</w:t>
      </w:r>
      <w:r w:rsidRPr="000F5681">
        <w:rPr>
          <w:rFonts w:ascii="Georgia" w:hAnsi="Georgia" w:cs="Arial"/>
          <w:color w:val="auto"/>
          <w:sz w:val="26"/>
          <w:szCs w:val="26"/>
        </w:rPr>
        <w:t xml:space="preserve">, que </w:t>
      </w:r>
      <w:r w:rsidR="003D5372" w:rsidRPr="000F5681">
        <w:rPr>
          <w:rFonts w:ascii="Georgia" w:hAnsi="Georgia" w:cs="Arial"/>
          <w:color w:val="auto"/>
          <w:sz w:val="26"/>
          <w:szCs w:val="26"/>
        </w:rPr>
        <w:t>declaró la terminación del proceso por desistimiento tácito</w:t>
      </w:r>
      <w:r w:rsidR="00DA20FF" w:rsidRPr="000F5681">
        <w:rPr>
          <w:rFonts w:ascii="Georgia" w:hAnsi="Georgia" w:cs="Arial"/>
          <w:color w:val="auto"/>
          <w:sz w:val="26"/>
          <w:szCs w:val="26"/>
        </w:rPr>
        <w:t>.</w:t>
      </w:r>
    </w:p>
    <w:p w14:paraId="722BAD1F" w14:textId="77777777" w:rsidR="003B3275" w:rsidRPr="000F5681" w:rsidRDefault="003B3275" w:rsidP="000F5681">
      <w:pPr>
        <w:spacing w:line="276" w:lineRule="auto"/>
        <w:ind w:left="360"/>
        <w:rPr>
          <w:rFonts w:ascii="Georgia" w:hAnsi="Georgia" w:cs="Arial"/>
          <w:sz w:val="26"/>
          <w:szCs w:val="26"/>
        </w:rPr>
      </w:pPr>
    </w:p>
    <w:p w14:paraId="012119FD" w14:textId="03CEFAB2" w:rsidR="00B8609D" w:rsidRPr="000F5681" w:rsidRDefault="003B3275" w:rsidP="000F5681">
      <w:pPr>
        <w:pStyle w:val="Textopredeterminado"/>
        <w:numPr>
          <w:ilvl w:val="0"/>
          <w:numId w:val="23"/>
        </w:numPr>
        <w:tabs>
          <w:tab w:val="left" w:pos="544"/>
        </w:tabs>
        <w:spacing w:line="276" w:lineRule="auto"/>
        <w:jc w:val="both"/>
        <w:textAlignment w:val="auto"/>
        <w:rPr>
          <w:rFonts w:ascii="Georgia" w:hAnsi="Georgia"/>
          <w:color w:val="auto"/>
          <w:sz w:val="26"/>
          <w:szCs w:val="26"/>
        </w:rPr>
      </w:pPr>
      <w:r w:rsidRPr="000F5681">
        <w:rPr>
          <w:rFonts w:ascii="Georgia" w:hAnsi="Georgia" w:cs="Arial"/>
          <w:color w:val="auto"/>
          <w:sz w:val="26"/>
          <w:szCs w:val="26"/>
        </w:rPr>
        <w:t>ADVERTIR qu</w:t>
      </w:r>
      <w:r w:rsidR="00F978D5" w:rsidRPr="000F5681">
        <w:rPr>
          <w:rFonts w:ascii="Georgia" w:hAnsi="Georgia" w:cs="Arial"/>
          <w:color w:val="auto"/>
          <w:sz w:val="26"/>
          <w:szCs w:val="26"/>
        </w:rPr>
        <w:t xml:space="preserve">e esta decisión es irrecurrible; </w:t>
      </w:r>
      <w:r w:rsidR="003D5372" w:rsidRPr="000F5681">
        <w:rPr>
          <w:rFonts w:ascii="Georgia" w:hAnsi="Georgia" w:cs="Arial"/>
          <w:color w:val="auto"/>
          <w:sz w:val="26"/>
          <w:szCs w:val="26"/>
        </w:rPr>
        <w:t xml:space="preserve">y, </w:t>
      </w:r>
      <w:r w:rsidR="00B8609D" w:rsidRPr="000F5681">
        <w:rPr>
          <w:rFonts w:ascii="Georgia" w:hAnsi="Georgia"/>
          <w:color w:val="auto"/>
          <w:sz w:val="26"/>
          <w:szCs w:val="26"/>
        </w:rPr>
        <w:t xml:space="preserve">CONDENAR </w:t>
      </w:r>
      <w:r w:rsidR="008F0855" w:rsidRPr="000F5681">
        <w:rPr>
          <w:rFonts w:ascii="Georgia" w:hAnsi="Georgia"/>
          <w:color w:val="auto"/>
          <w:sz w:val="26"/>
          <w:szCs w:val="26"/>
        </w:rPr>
        <w:t>en costas</w:t>
      </w:r>
      <w:r w:rsidR="003D5372" w:rsidRPr="000F5681">
        <w:rPr>
          <w:rFonts w:ascii="Georgia" w:hAnsi="Georgia"/>
          <w:color w:val="auto"/>
          <w:sz w:val="26"/>
          <w:szCs w:val="26"/>
        </w:rPr>
        <w:t>, en</w:t>
      </w:r>
      <w:r w:rsidR="00917029" w:rsidRPr="000F5681">
        <w:rPr>
          <w:rFonts w:ascii="Georgia" w:hAnsi="Georgia"/>
          <w:color w:val="auto"/>
          <w:sz w:val="26"/>
          <w:szCs w:val="26"/>
        </w:rPr>
        <w:t xml:space="preserve"> esta instancia, a la parte ejecutante y a favor de la</w:t>
      </w:r>
      <w:r w:rsidR="003D5372" w:rsidRPr="000F5681">
        <w:rPr>
          <w:rFonts w:ascii="Georgia" w:hAnsi="Georgia"/>
          <w:color w:val="auto"/>
          <w:sz w:val="26"/>
          <w:szCs w:val="26"/>
        </w:rPr>
        <w:t xml:space="preserve"> ejecutada. Las agencias de esta instancia se fijarán en auto posterior.</w:t>
      </w:r>
    </w:p>
    <w:p w14:paraId="6DEEA13A" w14:textId="77777777" w:rsidR="009C5650" w:rsidRPr="000F5681" w:rsidRDefault="009C5650" w:rsidP="000F5681">
      <w:pPr>
        <w:spacing w:line="276" w:lineRule="auto"/>
        <w:ind w:left="360"/>
        <w:rPr>
          <w:rFonts w:ascii="Georgia" w:hAnsi="Georgia"/>
          <w:sz w:val="26"/>
          <w:szCs w:val="26"/>
          <w:lang w:val="es-CO"/>
        </w:rPr>
      </w:pPr>
    </w:p>
    <w:p w14:paraId="76AC0F40" w14:textId="77777777" w:rsidR="003964CD" w:rsidRPr="000F5681" w:rsidRDefault="003B3275" w:rsidP="000F5681">
      <w:pPr>
        <w:pStyle w:val="Textopredeterminado"/>
        <w:numPr>
          <w:ilvl w:val="0"/>
          <w:numId w:val="23"/>
        </w:numPr>
        <w:tabs>
          <w:tab w:val="left" w:pos="544"/>
        </w:tabs>
        <w:spacing w:line="276" w:lineRule="auto"/>
        <w:jc w:val="both"/>
        <w:textAlignment w:val="auto"/>
        <w:rPr>
          <w:rFonts w:ascii="Georgia" w:hAnsi="Georgia" w:cs="Arial"/>
          <w:color w:val="auto"/>
          <w:sz w:val="26"/>
          <w:szCs w:val="26"/>
        </w:rPr>
      </w:pPr>
      <w:r w:rsidRPr="000F5681">
        <w:rPr>
          <w:rFonts w:ascii="Georgia" w:hAnsi="Georgia" w:cs="Arial"/>
          <w:color w:val="auto"/>
          <w:sz w:val="26"/>
          <w:szCs w:val="26"/>
        </w:rPr>
        <w:t xml:space="preserve">DEVOLVER el expediente al Despacho de origen, por conducto de la Secretaría </w:t>
      </w:r>
      <w:r w:rsidR="00F17EA4" w:rsidRPr="000F5681">
        <w:rPr>
          <w:rFonts w:ascii="Georgia" w:hAnsi="Georgia" w:cs="Arial"/>
          <w:color w:val="auto"/>
          <w:sz w:val="26"/>
          <w:szCs w:val="26"/>
        </w:rPr>
        <w:t>de la Sala</w:t>
      </w:r>
      <w:r w:rsidRPr="000F5681">
        <w:rPr>
          <w:rFonts w:ascii="Georgia" w:hAnsi="Georgia" w:cs="Arial"/>
          <w:color w:val="auto"/>
          <w:sz w:val="26"/>
          <w:szCs w:val="26"/>
        </w:rPr>
        <w:t>.</w:t>
      </w:r>
      <w:r w:rsidR="00B55798" w:rsidRPr="000F5681">
        <w:rPr>
          <w:rFonts w:ascii="Georgia" w:hAnsi="Georgia" w:cs="Arial"/>
          <w:color w:val="auto"/>
          <w:sz w:val="26"/>
          <w:szCs w:val="26"/>
        </w:rPr>
        <w:t xml:space="preserve"> </w:t>
      </w:r>
    </w:p>
    <w:p w14:paraId="41D20642" w14:textId="77777777" w:rsidR="00144B3B" w:rsidRPr="000F5681" w:rsidRDefault="00144B3B" w:rsidP="000F5681">
      <w:pPr>
        <w:pStyle w:val="Textopredeterminado"/>
        <w:tabs>
          <w:tab w:val="left" w:pos="544"/>
        </w:tabs>
        <w:spacing w:line="276" w:lineRule="auto"/>
        <w:jc w:val="both"/>
        <w:textAlignment w:val="auto"/>
        <w:rPr>
          <w:rFonts w:ascii="Georgia" w:hAnsi="Georgia" w:cs="Arial"/>
          <w:color w:val="auto"/>
          <w:sz w:val="26"/>
          <w:szCs w:val="26"/>
        </w:rPr>
      </w:pPr>
    </w:p>
    <w:p w14:paraId="3146DD22" w14:textId="77777777" w:rsidR="005F57E8" w:rsidRPr="000F5681" w:rsidRDefault="00B8609D" w:rsidP="000F5681">
      <w:pPr>
        <w:pStyle w:val="Sinespaciado"/>
        <w:tabs>
          <w:tab w:val="center" w:pos="4845"/>
          <w:tab w:val="left" w:pos="6463"/>
        </w:tabs>
        <w:spacing w:line="276" w:lineRule="auto"/>
        <w:jc w:val="center"/>
        <w:rPr>
          <w:rFonts w:ascii="Georgia" w:hAnsi="Georgia" w:cs="Arial"/>
          <w:smallCaps/>
          <w:sz w:val="26"/>
          <w:szCs w:val="26"/>
          <w:lang w:val="es-CO"/>
        </w:rPr>
      </w:pPr>
      <w:r w:rsidRPr="000F5681">
        <w:rPr>
          <w:rFonts w:ascii="Georgia" w:hAnsi="Georgia" w:cs="Arial"/>
          <w:smallCaps/>
          <w:sz w:val="26"/>
          <w:szCs w:val="26"/>
          <w:lang w:val="es-CO"/>
        </w:rPr>
        <w:t>N O T I F Í Q U E S E</w:t>
      </w:r>
      <w:r w:rsidR="00356104" w:rsidRPr="000F5681">
        <w:rPr>
          <w:rFonts w:ascii="Georgia" w:hAnsi="Georgia" w:cs="Arial"/>
          <w:smallCaps/>
          <w:sz w:val="26"/>
          <w:szCs w:val="26"/>
          <w:lang w:val="es-CO"/>
        </w:rPr>
        <w:t>,</w:t>
      </w:r>
    </w:p>
    <w:p w14:paraId="7AA2EE66" w14:textId="3C8FDF0A" w:rsidR="00144B3B" w:rsidRDefault="00144B3B" w:rsidP="000F5681">
      <w:pPr>
        <w:pStyle w:val="Textoindependiente"/>
        <w:spacing w:line="276" w:lineRule="auto"/>
        <w:jc w:val="center"/>
        <w:rPr>
          <w:rFonts w:ascii="Georgia" w:hAnsi="Georgia"/>
          <w:w w:val="150"/>
          <w:sz w:val="26"/>
          <w:szCs w:val="26"/>
          <w:lang w:val="es-CO"/>
        </w:rPr>
      </w:pPr>
    </w:p>
    <w:p w14:paraId="766C5666" w14:textId="77777777" w:rsidR="000F5681" w:rsidRPr="000F5681" w:rsidRDefault="000F5681" w:rsidP="000F5681">
      <w:pPr>
        <w:pStyle w:val="Textoindependiente"/>
        <w:spacing w:line="276" w:lineRule="auto"/>
        <w:jc w:val="center"/>
        <w:rPr>
          <w:rFonts w:ascii="Georgia" w:hAnsi="Georgia"/>
          <w:w w:val="150"/>
          <w:sz w:val="26"/>
          <w:szCs w:val="26"/>
          <w:lang w:val="es-CO"/>
        </w:rPr>
      </w:pPr>
    </w:p>
    <w:p w14:paraId="57A0B6F0" w14:textId="77777777" w:rsidR="00B8609D" w:rsidRPr="000F5681" w:rsidRDefault="00B8609D" w:rsidP="000F5681">
      <w:pPr>
        <w:pStyle w:val="Textoindependiente"/>
        <w:spacing w:line="276" w:lineRule="auto"/>
        <w:jc w:val="center"/>
        <w:rPr>
          <w:rFonts w:ascii="Georgia" w:hAnsi="Georgia"/>
          <w:w w:val="150"/>
          <w:sz w:val="26"/>
          <w:szCs w:val="26"/>
          <w:lang w:val="es-CO"/>
        </w:rPr>
      </w:pPr>
    </w:p>
    <w:p w14:paraId="4B970701" w14:textId="77777777" w:rsidR="00412B9B" w:rsidRPr="000F5681" w:rsidRDefault="00412B9B" w:rsidP="000F5681">
      <w:pPr>
        <w:pStyle w:val="Textoindependiente"/>
        <w:spacing w:line="276" w:lineRule="auto"/>
        <w:jc w:val="center"/>
        <w:rPr>
          <w:rFonts w:ascii="Georgia" w:hAnsi="Georgia"/>
          <w:i/>
          <w:iCs/>
          <w:w w:val="150"/>
          <w:sz w:val="26"/>
          <w:szCs w:val="26"/>
          <w:lang w:val="en-US"/>
        </w:rPr>
      </w:pPr>
      <w:r w:rsidRPr="000F5681">
        <w:rPr>
          <w:rFonts w:ascii="Georgia" w:hAnsi="Georgia"/>
          <w:i/>
          <w:iCs/>
          <w:w w:val="150"/>
          <w:sz w:val="26"/>
          <w:szCs w:val="26"/>
          <w:lang w:val="en-US"/>
        </w:rPr>
        <w:t>DUBERNEY GRISALES HERRERA</w:t>
      </w:r>
    </w:p>
    <w:p w14:paraId="31CE7D88" w14:textId="353B8A1B" w:rsidR="00A33DB9" w:rsidRPr="000F5681" w:rsidRDefault="00412B9B" w:rsidP="000F5681">
      <w:pPr>
        <w:pStyle w:val="Textoindependiente"/>
        <w:tabs>
          <w:tab w:val="center" w:pos="4703"/>
          <w:tab w:val="right" w:pos="9407"/>
        </w:tabs>
        <w:spacing w:line="276" w:lineRule="auto"/>
        <w:jc w:val="center"/>
        <w:rPr>
          <w:rFonts w:ascii="Georgia" w:hAnsi="Georgia"/>
          <w:w w:val="150"/>
          <w:sz w:val="26"/>
          <w:szCs w:val="26"/>
          <w:lang w:val="en-US"/>
        </w:rPr>
      </w:pPr>
      <w:r w:rsidRPr="000F5681">
        <w:rPr>
          <w:rFonts w:ascii="Georgia" w:hAnsi="Georgia"/>
          <w:w w:val="150"/>
          <w:sz w:val="26"/>
          <w:szCs w:val="26"/>
          <w:lang w:val="en-US"/>
        </w:rPr>
        <w:t>M A G I S T R A D O</w:t>
      </w:r>
      <w:bookmarkStart w:id="3" w:name="_GoBack"/>
      <w:bookmarkEnd w:id="3"/>
    </w:p>
    <w:sectPr w:rsidR="00A33DB9" w:rsidRPr="000F5681" w:rsidSect="000F5681">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7B65B" w14:textId="77777777" w:rsidR="00473079" w:rsidRDefault="00473079" w:rsidP="004D2025">
      <w:r>
        <w:separator/>
      </w:r>
    </w:p>
  </w:endnote>
  <w:endnote w:type="continuationSeparator" w:id="0">
    <w:p w14:paraId="6A2C9230" w14:textId="77777777" w:rsidR="00473079" w:rsidRDefault="00473079"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D66A" w14:textId="77777777" w:rsidR="00F013A2" w:rsidRPr="00EF2F25" w:rsidRDefault="00F013A2" w:rsidP="00EF2F25">
    <w:pPr>
      <w:pStyle w:val="Piedepgina"/>
      <w:pBdr>
        <w:bottom w:val="double" w:sz="6" w:space="1" w:color="auto"/>
      </w:pBdr>
      <w:spacing w:line="360" w:lineRule="auto"/>
      <w:rPr>
        <w:rFonts w:ascii="Georgia" w:hAnsi="Georgia" w:cs="Arial"/>
        <w:spacing w:val="20"/>
        <w:w w:val="200"/>
        <w:sz w:val="2"/>
        <w:szCs w:val="10"/>
      </w:rPr>
    </w:pPr>
  </w:p>
  <w:p w14:paraId="500C6092" w14:textId="77777777" w:rsidR="00F013A2" w:rsidRPr="00EF2F25" w:rsidRDefault="00F013A2" w:rsidP="00F013A2">
    <w:pPr>
      <w:pStyle w:val="Piedepgina"/>
      <w:spacing w:line="360" w:lineRule="auto"/>
      <w:jc w:val="right"/>
      <w:rPr>
        <w:rFonts w:ascii="Georgia" w:hAnsi="Georgia" w:cs="Arial"/>
        <w:i/>
        <w:spacing w:val="20"/>
        <w:w w:val="200"/>
        <w:sz w:val="14"/>
        <w:szCs w:val="10"/>
      </w:rPr>
    </w:pPr>
  </w:p>
  <w:p w14:paraId="05E1A67F" w14:textId="77777777" w:rsidR="00F013A2" w:rsidRPr="00EF2F25" w:rsidRDefault="00F013A2" w:rsidP="00F013A2">
    <w:pPr>
      <w:pStyle w:val="Piedepgina"/>
      <w:spacing w:line="360" w:lineRule="auto"/>
      <w:jc w:val="right"/>
      <w:rPr>
        <w:rFonts w:ascii="Georgia" w:hAnsi="Georgia" w:cs="Arial"/>
        <w:i/>
        <w:spacing w:val="20"/>
        <w:w w:val="200"/>
        <w:sz w:val="10"/>
        <w:szCs w:val="10"/>
      </w:rPr>
    </w:pPr>
    <w:r w:rsidRPr="00EF2F25">
      <w:rPr>
        <w:rFonts w:ascii="Georgia" w:hAnsi="Georgia" w:cs="Arial"/>
        <w:i/>
        <w:spacing w:val="20"/>
        <w:w w:val="200"/>
        <w:sz w:val="14"/>
        <w:szCs w:val="10"/>
      </w:rPr>
      <w:t>T</w:t>
    </w:r>
    <w:r w:rsidRPr="00EF2F25">
      <w:rPr>
        <w:rFonts w:ascii="Georgia" w:hAnsi="Georgia" w:cs="Arial"/>
        <w:i/>
        <w:spacing w:val="20"/>
        <w:w w:val="200"/>
        <w:sz w:val="10"/>
        <w:szCs w:val="10"/>
      </w:rPr>
      <w:t xml:space="preserve">RIBUNAL </w:t>
    </w:r>
    <w:r w:rsidRPr="00EF2F25">
      <w:rPr>
        <w:rFonts w:ascii="Georgia" w:hAnsi="Georgia" w:cs="Arial"/>
        <w:i/>
        <w:spacing w:val="20"/>
        <w:w w:val="200"/>
        <w:sz w:val="14"/>
        <w:szCs w:val="10"/>
      </w:rPr>
      <w:t>S</w:t>
    </w:r>
    <w:r w:rsidRPr="00EF2F25">
      <w:rPr>
        <w:rFonts w:ascii="Georgia" w:hAnsi="Georgia" w:cs="Arial"/>
        <w:i/>
        <w:spacing w:val="20"/>
        <w:w w:val="200"/>
        <w:sz w:val="10"/>
        <w:szCs w:val="10"/>
      </w:rPr>
      <w:t xml:space="preserve">UPERIOR DE </w:t>
    </w:r>
    <w:r w:rsidRPr="00EF2F25">
      <w:rPr>
        <w:rFonts w:ascii="Georgia" w:hAnsi="Georgia" w:cs="Arial"/>
        <w:i/>
        <w:spacing w:val="20"/>
        <w:w w:val="200"/>
        <w:sz w:val="14"/>
        <w:szCs w:val="10"/>
      </w:rPr>
      <w:t>P</w:t>
    </w:r>
    <w:r w:rsidRPr="00EF2F25">
      <w:rPr>
        <w:rFonts w:ascii="Georgia" w:hAnsi="Georgia" w:cs="Arial"/>
        <w:i/>
        <w:spacing w:val="20"/>
        <w:w w:val="200"/>
        <w:sz w:val="10"/>
        <w:szCs w:val="10"/>
      </w:rPr>
      <w:t>EREIRA</w:t>
    </w:r>
  </w:p>
  <w:p w14:paraId="3CBD075D" w14:textId="77777777" w:rsidR="00441A24" w:rsidRPr="00EF2F25" w:rsidRDefault="00F013A2" w:rsidP="00F013A2">
    <w:pPr>
      <w:pStyle w:val="Piedepgina"/>
      <w:jc w:val="right"/>
      <w:rPr>
        <w:rFonts w:ascii="Georgia" w:hAnsi="Georgia"/>
      </w:rPr>
    </w:pPr>
    <w:r w:rsidRPr="00EF2F25">
      <w:rPr>
        <w:rFonts w:ascii="Georgia" w:hAnsi="Georgia" w:cs="Arial"/>
        <w:i/>
        <w:spacing w:val="20"/>
        <w:w w:val="200"/>
        <w:sz w:val="10"/>
        <w:szCs w:val="10"/>
      </w:rPr>
      <w:t>MP D</w:t>
    </w:r>
    <w:r w:rsidRPr="00EF2F25">
      <w:rPr>
        <w:rFonts w:ascii="Georgia" w:hAnsi="Georgia" w:cs="Arial"/>
        <w:i/>
        <w:spacing w:val="20"/>
        <w:w w:val="200"/>
        <w:sz w:val="8"/>
        <w:szCs w:val="10"/>
      </w:rPr>
      <w:t>UBERNEY</w:t>
    </w:r>
    <w:r w:rsidRPr="00EF2F25">
      <w:rPr>
        <w:rFonts w:ascii="Georgia" w:hAnsi="Georgia" w:cs="Arial"/>
        <w:i/>
        <w:spacing w:val="20"/>
        <w:w w:val="200"/>
        <w:sz w:val="10"/>
        <w:szCs w:val="10"/>
      </w:rPr>
      <w:t xml:space="preserve"> G</w:t>
    </w:r>
    <w:r w:rsidRPr="00EF2F25">
      <w:rPr>
        <w:rFonts w:ascii="Georgia" w:hAnsi="Georgia" w:cs="Arial"/>
        <w:i/>
        <w:spacing w:val="20"/>
        <w:w w:val="200"/>
        <w:sz w:val="8"/>
        <w:szCs w:val="10"/>
      </w:rPr>
      <w:t>RISALES</w:t>
    </w:r>
    <w:r w:rsidRPr="00EF2F25">
      <w:rPr>
        <w:rFonts w:ascii="Georgia" w:hAnsi="Georgia" w:cs="Arial"/>
        <w:i/>
        <w:spacing w:val="20"/>
        <w:w w:val="200"/>
        <w:sz w:val="10"/>
        <w:szCs w:val="10"/>
      </w:rPr>
      <w:t xml:space="preserve"> H</w:t>
    </w:r>
    <w:r w:rsidRPr="00EF2F25">
      <w:rPr>
        <w:rFonts w:ascii="Georgia" w:hAnsi="Georgia" w:cs="Arial"/>
        <w:i/>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17119" w14:textId="77777777" w:rsidR="00473079" w:rsidRDefault="00473079" w:rsidP="004D2025">
      <w:r>
        <w:separator/>
      </w:r>
    </w:p>
  </w:footnote>
  <w:footnote w:type="continuationSeparator" w:id="0">
    <w:p w14:paraId="313ACC6F" w14:textId="77777777" w:rsidR="00473079" w:rsidRDefault="00473079" w:rsidP="004D2025">
      <w:r>
        <w:continuationSeparator/>
      </w:r>
    </w:p>
  </w:footnote>
  <w:footnote w:id="1">
    <w:p w14:paraId="1AD6AD96" w14:textId="77777777" w:rsidR="00646F7B" w:rsidRPr="00C56D0B" w:rsidRDefault="00026ADC"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w:t>
      </w:r>
      <w:r w:rsidRPr="00C56D0B">
        <w:rPr>
          <w:rFonts w:ascii="Century" w:hAnsi="Century" w:cs="Calibri"/>
          <w:lang w:val="es-CO"/>
        </w:rPr>
        <w:t>FORERO S., Jorge. Actividad probatoria en la segunda instancia. Memorias del XXIX Congreso de derecho Procesal, 2018, ICDP, p.307 ss.</w:t>
      </w:r>
    </w:p>
  </w:footnote>
  <w:footnote w:id="2">
    <w:p w14:paraId="38CE15CE" w14:textId="77777777" w:rsidR="00646F7B" w:rsidRPr="00C56D0B" w:rsidRDefault="00026ADC"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w:t>
      </w:r>
      <w:r w:rsidRPr="00C56D0B">
        <w:rPr>
          <w:rFonts w:ascii="Century" w:hAnsi="Century"/>
          <w:lang w:val="es-CO"/>
        </w:rPr>
        <w:t>ESCOBAR V. Édgar G. Los recursos en el Código General del Proceso. Librería jurídica Sánchez R. Ltda. 2015, p.37.</w:t>
      </w:r>
    </w:p>
  </w:footnote>
  <w:footnote w:id="3">
    <w:p w14:paraId="55275028" w14:textId="77777777" w:rsidR="00646F7B" w:rsidRPr="00C56D0B" w:rsidRDefault="00026ADC" w:rsidP="000F5681">
      <w:pPr>
        <w:pStyle w:val="Textonotapie"/>
        <w:jc w:val="both"/>
        <w:rPr>
          <w:rFonts w:ascii="Century" w:hAnsi="Century"/>
        </w:rPr>
      </w:pPr>
      <w:r w:rsidRPr="00C56D0B">
        <w:rPr>
          <w:rFonts w:ascii="Century" w:hAnsi="Century"/>
          <w:vertAlign w:val="superscript"/>
        </w:rPr>
        <w:footnoteRef/>
      </w:r>
      <w:r w:rsidRPr="00C56D0B">
        <w:rPr>
          <w:rFonts w:ascii="Century" w:hAnsi="Century"/>
        </w:rPr>
        <w:t xml:space="preserve"> </w:t>
      </w:r>
      <w:r w:rsidRPr="00C56D0B">
        <w:rPr>
          <w:rFonts w:ascii="Century" w:hAnsi="Century"/>
          <w:lang w:val="es-CO"/>
        </w:rPr>
        <w:t>LÓPEZ B., Hernán F. Código General del Proceso, parte general, Bogotá DC, Dupre editores, 2016, p.769-776</w:t>
      </w:r>
      <w:r w:rsidRPr="00C56D0B">
        <w:rPr>
          <w:rFonts w:ascii="Century" w:hAnsi="Century"/>
        </w:rPr>
        <w:t>.</w:t>
      </w:r>
    </w:p>
  </w:footnote>
  <w:footnote w:id="4">
    <w:p w14:paraId="603B03F1" w14:textId="77777777" w:rsidR="00646F7B" w:rsidRPr="00C56D0B" w:rsidRDefault="00026ADC" w:rsidP="000F5681">
      <w:pPr>
        <w:pStyle w:val="Textonotapie"/>
        <w:jc w:val="both"/>
        <w:rPr>
          <w:rFonts w:ascii="Century" w:hAnsi="Century"/>
        </w:rPr>
      </w:pPr>
      <w:r w:rsidRPr="00C56D0B">
        <w:rPr>
          <w:rFonts w:ascii="Century" w:hAnsi="Century"/>
          <w:vertAlign w:val="superscript"/>
        </w:rPr>
        <w:footnoteRef/>
      </w:r>
      <w:r w:rsidRPr="00C56D0B">
        <w:rPr>
          <w:rFonts w:ascii="Century" w:hAnsi="Century"/>
        </w:rPr>
        <w:t xml:space="preserve"> PARRA Q., Jairo. Derecho procesal civil, tomo I, Santafé de Bogotá D.C., Temis, 1992, p.276.</w:t>
      </w:r>
    </w:p>
  </w:footnote>
  <w:footnote w:id="5">
    <w:p w14:paraId="53132697" w14:textId="77777777" w:rsidR="00646F7B" w:rsidRPr="00C56D0B" w:rsidRDefault="009F7B8B" w:rsidP="000F5681">
      <w:pPr>
        <w:pStyle w:val="Sinespaciado"/>
        <w:jc w:val="both"/>
        <w:rPr>
          <w:rFonts w:ascii="Century" w:hAnsi="Century"/>
          <w:sz w:val="20"/>
          <w:szCs w:val="20"/>
        </w:rPr>
      </w:pPr>
      <w:r w:rsidRPr="00C56D0B">
        <w:rPr>
          <w:rFonts w:ascii="Century" w:hAnsi="Century"/>
          <w:sz w:val="20"/>
          <w:szCs w:val="20"/>
          <w:vertAlign w:val="superscript"/>
        </w:rPr>
        <w:footnoteRef/>
      </w:r>
      <w:r w:rsidRPr="00C56D0B">
        <w:rPr>
          <w:rFonts w:ascii="Century" w:hAnsi="Century"/>
          <w:sz w:val="20"/>
          <w:szCs w:val="20"/>
        </w:rPr>
        <w:t xml:space="preserve"> </w:t>
      </w:r>
      <w:r w:rsidRPr="00C56D0B">
        <w:rPr>
          <w:rFonts w:ascii="Century" w:hAnsi="Century"/>
          <w:sz w:val="20"/>
          <w:szCs w:val="20"/>
          <w:lang w:val="es-CO"/>
        </w:rPr>
        <w:t xml:space="preserve">LÓPEZ B., Hernán F. </w:t>
      </w:r>
      <w:r w:rsidRPr="00C56D0B">
        <w:rPr>
          <w:rFonts w:ascii="Century" w:hAnsi="Century"/>
          <w:sz w:val="20"/>
          <w:szCs w:val="20"/>
        </w:rPr>
        <w:t>Ob. cit., p.769.</w:t>
      </w:r>
    </w:p>
  </w:footnote>
  <w:footnote w:id="6">
    <w:p w14:paraId="20BC5A3B" w14:textId="77777777" w:rsidR="00646F7B" w:rsidRPr="00C56D0B" w:rsidRDefault="009F7B8B"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w:t>
      </w:r>
      <w:r w:rsidR="00026ADC" w:rsidRPr="00C56D0B">
        <w:rPr>
          <w:rFonts w:ascii="Century" w:hAnsi="Century"/>
          <w:lang w:val="es-CO"/>
        </w:rPr>
        <w:t>ROJAS G., Miguel E. Lecciones de derecho procesal, procedimiento civil, tomo II, ESAJU, 2020, 7ª edición, Bogotá, p.468.</w:t>
      </w:r>
    </w:p>
  </w:footnote>
  <w:footnote w:id="7">
    <w:p w14:paraId="74DE4812" w14:textId="77777777" w:rsidR="00646F7B" w:rsidRPr="00C56D0B" w:rsidRDefault="009F7B8B"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w:t>
      </w:r>
      <w:r w:rsidRPr="00C56D0B">
        <w:rPr>
          <w:rFonts w:ascii="Century" w:hAnsi="Century"/>
          <w:lang w:val="es-CO"/>
        </w:rPr>
        <w:t>CSJ. Sala Civil. Sentencia del 17-09-1992; MP: Ospina B.</w:t>
      </w:r>
    </w:p>
  </w:footnote>
  <w:footnote w:id="8">
    <w:p w14:paraId="0E7FD50D" w14:textId="77777777" w:rsidR="00646F7B" w:rsidRPr="00C56D0B" w:rsidRDefault="009F7B8B"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w:t>
      </w:r>
      <w:r w:rsidRPr="00C56D0B">
        <w:rPr>
          <w:rFonts w:ascii="Century" w:hAnsi="Century"/>
          <w:lang w:val="es-CO"/>
        </w:rPr>
        <w:t>CSJ. STC12737-2017.</w:t>
      </w:r>
    </w:p>
  </w:footnote>
  <w:footnote w:id="9">
    <w:p w14:paraId="591D0699" w14:textId="77777777" w:rsidR="00646F7B" w:rsidRPr="00C56D0B" w:rsidRDefault="009F7B8B"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w:t>
      </w:r>
      <w:r w:rsidRPr="00C56D0B">
        <w:rPr>
          <w:rFonts w:ascii="Century" w:hAnsi="Century"/>
          <w:lang w:val="es-CO"/>
        </w:rPr>
        <w:t>LÓPEZ B., Hernán F.</w:t>
      </w:r>
      <w:r w:rsidRPr="00C56D0B">
        <w:rPr>
          <w:rFonts w:ascii="Century" w:hAnsi="Century"/>
        </w:rPr>
        <w:t xml:space="preserve"> Ob. cit., p.776.</w:t>
      </w:r>
    </w:p>
  </w:footnote>
  <w:footnote w:id="10">
    <w:p w14:paraId="4993023C" w14:textId="77777777" w:rsidR="00646F7B" w:rsidRPr="00C56D0B" w:rsidRDefault="009F7B8B"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w:t>
      </w:r>
      <w:r w:rsidRPr="00C56D0B">
        <w:rPr>
          <w:rFonts w:ascii="Century" w:hAnsi="Century"/>
          <w:lang w:val="es-CO"/>
        </w:rPr>
        <w:t>ROJAS G., Miguel E. Código General del Proceso comentado, ESAJU, 2017, Bogotá DC, p.511.</w:t>
      </w:r>
    </w:p>
  </w:footnote>
  <w:footnote w:id="11">
    <w:p w14:paraId="05B96DC1" w14:textId="77777777" w:rsidR="00143CA9" w:rsidRPr="00C56D0B" w:rsidRDefault="00143CA9"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ÁLVAREZ G., Marco A. Variaciones sobre el recurso de apelación en el CGP, </w:t>
      </w:r>
      <w:r w:rsidRPr="00C56D0B">
        <w:rPr>
          <w:rFonts w:ascii="Century" w:hAnsi="Century"/>
          <w:u w:val="single"/>
        </w:rPr>
        <w:t>En:</w:t>
      </w:r>
      <w:r w:rsidRPr="00C56D0B">
        <w:rPr>
          <w:rFonts w:ascii="Century" w:hAnsi="Century"/>
        </w:rPr>
        <w:t xml:space="preserve"> INSTITUTO COLOMBIANO DE DERECHO PROCESAL. Código General del Proceso, Bogotá DC, editorial, Panamericana Formas e impresos, 2018, p.438-449.</w:t>
      </w:r>
    </w:p>
  </w:footnote>
  <w:footnote w:id="12">
    <w:p w14:paraId="35B43A8A" w14:textId="77777777" w:rsidR="00143CA9" w:rsidRPr="00C56D0B" w:rsidRDefault="00143CA9"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FORERO S., Jorge. Actividad probatoria en segunda instancia, </w:t>
      </w:r>
      <w:r w:rsidRPr="00C56D0B">
        <w:rPr>
          <w:rFonts w:ascii="Century" w:hAnsi="Century"/>
          <w:u w:val="single"/>
        </w:rPr>
        <w:t>En:</w:t>
      </w:r>
      <w:r w:rsidRPr="00C56D0B">
        <w:rPr>
          <w:rFonts w:ascii="Century" w:hAnsi="Century"/>
        </w:rPr>
        <w:t xml:space="preserve"> INSTITUTO COLOMBIANO DE DERECHO PROCESAL. Memorias del XXXIX Congreso de derecho procesal en Cali, </w:t>
      </w:r>
      <w:bookmarkStart w:id="0" w:name="_Hlk53652533"/>
      <w:r w:rsidRPr="00C56D0B">
        <w:rPr>
          <w:rFonts w:ascii="Century" w:hAnsi="Century"/>
        </w:rPr>
        <w:t>Bogotá DC, editorial Universidad Libre</w:t>
      </w:r>
      <w:bookmarkEnd w:id="0"/>
      <w:r w:rsidRPr="00C56D0B">
        <w:rPr>
          <w:rFonts w:ascii="Century" w:hAnsi="Century"/>
        </w:rPr>
        <w:t>, 2018, p.307-324.</w:t>
      </w:r>
    </w:p>
  </w:footnote>
  <w:footnote w:id="13">
    <w:p w14:paraId="5E36872A" w14:textId="77777777" w:rsidR="00143CA9" w:rsidRPr="00C56D0B" w:rsidRDefault="00143CA9"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BEJARANO G., Ramiro. Falencias dialécticas del CGP, </w:t>
      </w:r>
      <w:r w:rsidRPr="00C56D0B">
        <w:rPr>
          <w:rFonts w:ascii="Century" w:hAnsi="Century"/>
          <w:u w:val="single"/>
        </w:rPr>
        <w:t>En:</w:t>
      </w:r>
      <w:r w:rsidRPr="00C56D0B">
        <w:rPr>
          <w:rFonts w:ascii="Century" w:hAnsi="Century"/>
        </w:rPr>
        <w:t xml:space="preserve"> INSTITUTO COLOMBIANO DE DERECHO PROCESAL. Memorial del Congreso XXXVIII en Cartagena, editorial Universidad Libre, Bogotá DC, 2017, p.639-663.</w:t>
      </w:r>
    </w:p>
  </w:footnote>
  <w:footnote w:id="14">
    <w:p w14:paraId="6CEC3796" w14:textId="77777777" w:rsidR="00143CA9" w:rsidRPr="00C56D0B" w:rsidRDefault="00143CA9" w:rsidP="000F5681">
      <w:pPr>
        <w:shd w:val="clear" w:color="auto" w:fill="FFFFFF"/>
        <w:jc w:val="both"/>
        <w:rPr>
          <w:rFonts w:ascii="Century" w:hAnsi="Century"/>
          <w:sz w:val="20"/>
          <w:szCs w:val="20"/>
        </w:rPr>
      </w:pPr>
      <w:r w:rsidRPr="00C56D0B">
        <w:rPr>
          <w:rStyle w:val="Refdenotaalpie"/>
          <w:rFonts w:ascii="Century" w:hAnsi="Century"/>
          <w:sz w:val="20"/>
          <w:szCs w:val="20"/>
        </w:rPr>
        <w:footnoteRef/>
      </w:r>
      <w:r w:rsidRPr="00C56D0B">
        <w:rPr>
          <w:rFonts w:ascii="Century" w:hAnsi="Century"/>
          <w:sz w:val="20"/>
          <w:szCs w:val="20"/>
        </w:rPr>
        <w:t xml:space="preserve"> QUINTERO G., Armando A. El recurso de apelación en el nuevo CGP: un desatino para la justicia colombiana [En línea]. Universidad Santo Tomás, revista virtual: </w:t>
      </w:r>
      <w:r w:rsidRPr="00C56D0B">
        <w:rPr>
          <w:rFonts w:ascii="Century" w:hAnsi="Century"/>
          <w:i/>
          <w:sz w:val="20"/>
          <w:szCs w:val="20"/>
        </w:rPr>
        <w:t>via inveniendi et iudicandi</w:t>
      </w:r>
      <w:r w:rsidRPr="00C56D0B">
        <w:rPr>
          <w:rFonts w:ascii="Century" w:hAnsi="Century"/>
          <w:sz w:val="20"/>
          <w:szCs w:val="20"/>
        </w:rPr>
        <w:t xml:space="preserve">, julio-diciembre 2015 [Visitado el 2020-08-10]. Disponible en internet: </w:t>
      </w:r>
      <w:r w:rsidRPr="00C56D0B">
        <w:rPr>
          <w:rFonts w:ascii="Century" w:hAnsi="Century" w:cs="Arial"/>
          <w:sz w:val="20"/>
          <w:szCs w:val="20"/>
        </w:rPr>
        <w:t>https://dialnet.unirioja.es/descarga/articulo/6132861.pdf</w:t>
      </w:r>
    </w:p>
  </w:footnote>
  <w:footnote w:id="15">
    <w:p w14:paraId="3D1D73D2" w14:textId="77777777" w:rsidR="00143CA9" w:rsidRPr="00C56D0B" w:rsidRDefault="00143CA9"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TS, Civil-Familia. Sentencias del 19-06-2020; MP: Grisales H., No.2019-00046-01</w:t>
      </w:r>
      <w:r w:rsidRPr="00C56D0B">
        <w:rPr>
          <w:rFonts w:ascii="Century" w:eastAsia="DotumChe" w:hAnsi="Century"/>
          <w:spacing w:val="-4"/>
        </w:rPr>
        <w:t xml:space="preserve"> y (ii) 04</w:t>
      </w:r>
      <w:r w:rsidRPr="00C56D0B">
        <w:rPr>
          <w:rFonts w:ascii="Century" w:hAnsi="Century"/>
        </w:rPr>
        <w:t>-07-2018; MP: Saraza N., No.2011-00193-01, entre muchas.</w:t>
      </w:r>
    </w:p>
  </w:footnote>
  <w:footnote w:id="16">
    <w:p w14:paraId="2DF122B8" w14:textId="77777777" w:rsidR="00143CA9" w:rsidRPr="00C56D0B" w:rsidRDefault="00143CA9"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CSJ. STC-9587-2017.</w:t>
      </w:r>
    </w:p>
  </w:footnote>
  <w:footnote w:id="17">
    <w:p w14:paraId="16CDC81C" w14:textId="77777777" w:rsidR="00143CA9" w:rsidRPr="00C56D0B" w:rsidRDefault="00143CA9"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CSJ. SC-2351-2019.</w:t>
      </w:r>
    </w:p>
  </w:footnote>
  <w:footnote w:id="18">
    <w:p w14:paraId="6F8296C9" w14:textId="77777777" w:rsidR="00143CA9" w:rsidRPr="00C56D0B" w:rsidRDefault="00143CA9" w:rsidP="000F5681">
      <w:pPr>
        <w:pStyle w:val="Textonotapie"/>
        <w:jc w:val="both"/>
        <w:rPr>
          <w:rFonts w:ascii="Century" w:hAnsi="Century"/>
          <w:b/>
        </w:rPr>
      </w:pPr>
      <w:r w:rsidRPr="00C56D0B">
        <w:rPr>
          <w:rStyle w:val="Refdenotaalpie"/>
          <w:rFonts w:ascii="Century" w:hAnsi="Century"/>
        </w:rPr>
        <w:footnoteRef/>
      </w:r>
      <w:r w:rsidRPr="00C56D0B">
        <w:rPr>
          <w:rFonts w:ascii="Century" w:hAnsi="Century"/>
        </w:rPr>
        <w:t xml:space="preserve"> </w:t>
      </w:r>
      <w:r w:rsidRPr="00C56D0B">
        <w:rPr>
          <w:rFonts w:ascii="Century" w:hAnsi="Century" w:cs="Arial"/>
        </w:rPr>
        <w:t xml:space="preserve">CSJ, SC6795-2017. También sentencias: (i) </w:t>
      </w:r>
      <w:r w:rsidRPr="00C56D0B">
        <w:rPr>
          <w:rFonts w:ascii="Century" w:hAnsi="Century"/>
        </w:rPr>
        <w:t>24-11-1993, MP: Romero S</w:t>
      </w:r>
      <w:r w:rsidRPr="00C56D0B">
        <w:rPr>
          <w:rFonts w:ascii="Century" w:hAnsi="Century"/>
          <w:b/>
        </w:rPr>
        <w:t>.; (</w:t>
      </w:r>
      <w:r w:rsidRPr="00C56D0B">
        <w:rPr>
          <w:rFonts w:ascii="Century" w:hAnsi="Century"/>
        </w:rPr>
        <w:t>ii)</w:t>
      </w:r>
      <w:r w:rsidRPr="00C56D0B">
        <w:rPr>
          <w:rFonts w:ascii="Century" w:hAnsi="Century"/>
          <w:b/>
        </w:rPr>
        <w:t xml:space="preserve"> </w:t>
      </w:r>
      <w:r w:rsidRPr="00C56D0B">
        <w:rPr>
          <w:rFonts w:ascii="Century" w:hAnsi="Century" w:cs="Arial"/>
        </w:rPr>
        <w:t>06-06-2013, No.2008-01381-00, MP: Díaz R.</w:t>
      </w:r>
    </w:p>
  </w:footnote>
  <w:footnote w:id="19">
    <w:p w14:paraId="7FDF9B32" w14:textId="77777777" w:rsidR="00143CA9" w:rsidRPr="00C56D0B" w:rsidRDefault="00143CA9"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CSJ. SC1182-2016, reiterada en la SC16669-2016.</w:t>
      </w:r>
    </w:p>
  </w:footnote>
  <w:footnote w:id="20">
    <w:p w14:paraId="4051C8DF" w14:textId="77777777" w:rsidR="00143CA9" w:rsidRPr="00C56D0B" w:rsidRDefault="00143CA9"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CSJ, Civil. Sentencia del 15-06-1995; MP: Romero S., No.4398.</w:t>
      </w:r>
    </w:p>
  </w:footnote>
  <w:footnote w:id="21">
    <w:p w14:paraId="1C93E8A8" w14:textId="77777777" w:rsidR="00143CA9" w:rsidRPr="00C56D0B" w:rsidRDefault="00143CA9"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w:t>
      </w:r>
      <w:r w:rsidRPr="00C56D0B">
        <w:rPr>
          <w:rFonts w:ascii="Century" w:hAnsi="Century" w:cs="Calibri"/>
        </w:rPr>
        <w:t>LÓPEZ B., Hernán F.</w:t>
      </w:r>
      <w:r w:rsidRPr="00C56D0B">
        <w:rPr>
          <w:rFonts w:ascii="Century" w:hAnsi="Century"/>
        </w:rPr>
        <w:t xml:space="preserve"> Procedimiento civil colombiano, parte general, 2016, 10ª edición, Dupré Editores, p.</w:t>
      </w:r>
      <w:r w:rsidRPr="00C56D0B">
        <w:rPr>
          <w:rFonts w:ascii="Century" w:hAnsi="Century" w:cs="Calibri"/>
        </w:rPr>
        <w:t>1055.</w:t>
      </w:r>
    </w:p>
  </w:footnote>
  <w:footnote w:id="22">
    <w:p w14:paraId="7151401B" w14:textId="77777777" w:rsidR="00143CA9" w:rsidRPr="00C56D0B" w:rsidRDefault="00143CA9"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ÁLVAREZ G., Marco A. Ob. cit., p.444.</w:t>
      </w:r>
    </w:p>
  </w:footnote>
  <w:footnote w:id="23">
    <w:p w14:paraId="27C98BCB" w14:textId="77777777" w:rsidR="00646F7B" w:rsidRPr="00C56D0B" w:rsidRDefault="00E206BE" w:rsidP="000F5681">
      <w:pPr>
        <w:pStyle w:val="Textonotapie"/>
        <w:jc w:val="both"/>
        <w:rPr>
          <w:rFonts w:ascii="Century" w:hAnsi="Century"/>
        </w:rPr>
      </w:pPr>
      <w:r w:rsidRPr="00C56D0B">
        <w:rPr>
          <w:rFonts w:ascii="Century" w:hAnsi="Century"/>
          <w:vertAlign w:val="superscript"/>
        </w:rPr>
        <w:footnoteRef/>
      </w:r>
      <w:r w:rsidRPr="00C56D0B">
        <w:rPr>
          <w:rFonts w:ascii="Century" w:hAnsi="Century"/>
        </w:rPr>
        <w:t xml:space="preserve"> CC. </w:t>
      </w:r>
      <w:r w:rsidRPr="00C56D0B">
        <w:rPr>
          <w:rFonts w:ascii="Century" w:hAnsi="Century"/>
          <w:lang w:val="es-CO"/>
        </w:rPr>
        <w:t>C-1186 de 2008.</w:t>
      </w:r>
    </w:p>
  </w:footnote>
  <w:footnote w:id="24">
    <w:p w14:paraId="7A04B5F9" w14:textId="77777777" w:rsidR="00646F7B" w:rsidRPr="00C56D0B" w:rsidRDefault="00E206BE" w:rsidP="000F5681">
      <w:pPr>
        <w:pStyle w:val="Textonotapie"/>
        <w:jc w:val="both"/>
        <w:rPr>
          <w:rFonts w:ascii="Century" w:hAnsi="Century"/>
        </w:rPr>
      </w:pPr>
      <w:r w:rsidRPr="00C56D0B">
        <w:rPr>
          <w:rFonts w:ascii="Century" w:hAnsi="Century"/>
          <w:vertAlign w:val="superscript"/>
        </w:rPr>
        <w:footnoteRef/>
      </w:r>
      <w:r w:rsidRPr="00C56D0B">
        <w:rPr>
          <w:rFonts w:ascii="Century" w:hAnsi="Century"/>
        </w:rPr>
        <w:t xml:space="preserve"> CC. </w:t>
      </w:r>
      <w:r w:rsidRPr="00C56D0B">
        <w:rPr>
          <w:rFonts w:ascii="Century" w:hAnsi="Century"/>
          <w:lang w:val="es-CO"/>
        </w:rPr>
        <w:t>C-868 de 2010.</w:t>
      </w:r>
    </w:p>
  </w:footnote>
  <w:footnote w:id="25">
    <w:p w14:paraId="21C5F962" w14:textId="77777777" w:rsidR="00646F7B" w:rsidRPr="00C56D0B" w:rsidRDefault="00E206BE"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INSTITUTO COLOMBIANO DE DERECHO PROCESAL. </w:t>
      </w:r>
      <w:r w:rsidRPr="00C56D0B">
        <w:rPr>
          <w:rFonts w:ascii="Century" w:hAnsi="Century"/>
          <w:lang w:val="es-CO"/>
        </w:rPr>
        <w:t>Código General del Proceso, Carlos A. Colmenares U., XI. Formas anormales de terminación del proceso, impresor Panamericana Formas e Impresos SAS,</w:t>
      </w:r>
      <w:r w:rsidRPr="00C56D0B">
        <w:rPr>
          <w:rFonts w:ascii="Century" w:hAnsi="Century"/>
        </w:rPr>
        <w:t xml:space="preserve"> Bogotá DC, 2014, p.329.</w:t>
      </w:r>
    </w:p>
  </w:footnote>
  <w:footnote w:id="26">
    <w:p w14:paraId="42FCFC0B" w14:textId="77777777" w:rsidR="00646F7B" w:rsidRPr="00C56D0B" w:rsidRDefault="004D6D81"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w:t>
      </w:r>
      <w:r w:rsidRPr="00C56D0B">
        <w:rPr>
          <w:rFonts w:ascii="Century" w:hAnsi="Century"/>
          <w:lang w:val="es-CO"/>
        </w:rPr>
        <w:t>CC. C-868 de 2010.</w:t>
      </w:r>
    </w:p>
  </w:footnote>
  <w:footnote w:id="27">
    <w:p w14:paraId="7E5E0ADC" w14:textId="77777777" w:rsidR="00646F7B" w:rsidRPr="00C56D0B" w:rsidRDefault="004D6D81"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CC. C-1186 de 2008.</w:t>
      </w:r>
    </w:p>
  </w:footnote>
  <w:footnote w:id="28">
    <w:p w14:paraId="78D38418" w14:textId="77777777" w:rsidR="00646F7B" w:rsidRPr="00C56D0B" w:rsidRDefault="00E206BE" w:rsidP="000F5681">
      <w:pPr>
        <w:pStyle w:val="Sinespaciado"/>
        <w:jc w:val="both"/>
        <w:rPr>
          <w:rFonts w:ascii="Century" w:hAnsi="Century"/>
          <w:sz w:val="20"/>
          <w:szCs w:val="20"/>
        </w:rPr>
      </w:pPr>
      <w:r w:rsidRPr="00C56D0B">
        <w:rPr>
          <w:rFonts w:ascii="Century" w:hAnsi="Century"/>
          <w:sz w:val="20"/>
          <w:szCs w:val="20"/>
          <w:vertAlign w:val="superscript"/>
        </w:rPr>
        <w:footnoteRef/>
      </w:r>
      <w:r w:rsidRPr="00C56D0B">
        <w:rPr>
          <w:rFonts w:ascii="Century" w:hAnsi="Century"/>
          <w:sz w:val="20"/>
          <w:szCs w:val="20"/>
        </w:rPr>
        <w:t xml:space="preserve"> CC. </w:t>
      </w:r>
      <w:r w:rsidRPr="00C56D0B">
        <w:rPr>
          <w:rFonts w:ascii="Century" w:hAnsi="Century"/>
          <w:sz w:val="20"/>
          <w:szCs w:val="20"/>
          <w:lang w:val="es-CO"/>
        </w:rPr>
        <w:t>C-1186 de 2008.</w:t>
      </w:r>
    </w:p>
  </w:footnote>
  <w:footnote w:id="29">
    <w:p w14:paraId="657F7564" w14:textId="77777777" w:rsidR="00646F7B" w:rsidRPr="00C56D0B" w:rsidRDefault="00E53F5B"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CC. </w:t>
      </w:r>
      <w:r w:rsidRPr="00C56D0B">
        <w:rPr>
          <w:rFonts w:ascii="Century" w:hAnsi="Century"/>
          <w:lang w:val="es-CO"/>
        </w:rPr>
        <w:t>C-173 de 2019.</w:t>
      </w:r>
    </w:p>
  </w:footnote>
  <w:footnote w:id="30">
    <w:p w14:paraId="65C77416" w14:textId="77777777" w:rsidR="00646F7B" w:rsidRPr="00C56D0B" w:rsidRDefault="00E206BE"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CSJ, Sala Civil y Agraria. </w:t>
      </w:r>
      <w:r w:rsidRPr="00C56D0B">
        <w:rPr>
          <w:rFonts w:ascii="Century" w:hAnsi="Century"/>
          <w:lang w:val="es-CO"/>
        </w:rPr>
        <w:t xml:space="preserve">Sentencia del 28-06-1963; MP: López de la Pava. </w:t>
      </w:r>
      <w:r w:rsidRPr="00C56D0B">
        <w:rPr>
          <w:rFonts w:ascii="Century" w:hAnsi="Century"/>
        </w:rPr>
        <w:t>Publicada en Gaceta Judicial: Tomo CII No.2267, p. 175-184.</w:t>
      </w:r>
    </w:p>
  </w:footnote>
  <w:footnote w:id="31">
    <w:p w14:paraId="2FBD6C60" w14:textId="77777777" w:rsidR="00646F7B" w:rsidRPr="00C56D0B" w:rsidRDefault="00E206BE"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CC. </w:t>
      </w:r>
      <w:r w:rsidRPr="00C56D0B">
        <w:rPr>
          <w:rFonts w:ascii="Century" w:hAnsi="Century"/>
          <w:lang w:val="es-CO"/>
        </w:rPr>
        <w:t>C-273 de 1999.</w:t>
      </w:r>
    </w:p>
  </w:footnote>
  <w:footnote w:id="32">
    <w:p w14:paraId="10F3666F" w14:textId="77777777" w:rsidR="00646F7B" w:rsidRPr="00C56D0B" w:rsidRDefault="00E206BE" w:rsidP="000F5681">
      <w:pPr>
        <w:pStyle w:val="Textonotapie"/>
        <w:jc w:val="both"/>
        <w:rPr>
          <w:rFonts w:ascii="Century" w:hAnsi="Century"/>
        </w:rPr>
      </w:pPr>
      <w:r w:rsidRPr="00C56D0B">
        <w:rPr>
          <w:rFonts w:ascii="Century" w:hAnsi="Century"/>
          <w:vertAlign w:val="superscript"/>
        </w:rPr>
        <w:footnoteRef/>
      </w:r>
      <w:r w:rsidRPr="00C56D0B">
        <w:rPr>
          <w:rFonts w:ascii="Century" w:hAnsi="Century"/>
        </w:rPr>
        <w:t xml:space="preserve"> CC. C-1186 de 2008.</w:t>
      </w:r>
    </w:p>
  </w:footnote>
  <w:footnote w:id="33">
    <w:p w14:paraId="64AD75B5" w14:textId="77777777" w:rsidR="00646F7B" w:rsidRPr="00C56D0B" w:rsidRDefault="00E206BE" w:rsidP="000F5681">
      <w:pPr>
        <w:pStyle w:val="Textonotapie"/>
        <w:jc w:val="both"/>
        <w:rPr>
          <w:rFonts w:ascii="Century" w:hAnsi="Century"/>
        </w:rPr>
      </w:pPr>
      <w:r w:rsidRPr="00C56D0B">
        <w:rPr>
          <w:rFonts w:ascii="Century" w:hAnsi="Century"/>
          <w:vertAlign w:val="superscript"/>
        </w:rPr>
        <w:footnoteRef/>
      </w:r>
      <w:r w:rsidRPr="00C56D0B">
        <w:rPr>
          <w:rFonts w:ascii="Century" w:hAnsi="Century"/>
        </w:rPr>
        <w:t xml:space="preserve"> CC. C-874 de 2003.</w:t>
      </w:r>
    </w:p>
  </w:footnote>
  <w:footnote w:id="34">
    <w:p w14:paraId="6D89823C" w14:textId="77777777" w:rsidR="00646F7B" w:rsidRPr="00C56D0B" w:rsidRDefault="00E206BE"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w:t>
      </w:r>
      <w:r w:rsidRPr="00C56D0B">
        <w:rPr>
          <w:rFonts w:ascii="Century" w:hAnsi="Century"/>
          <w:lang w:val="es-CO"/>
        </w:rPr>
        <w:t xml:space="preserve">CSJ. </w:t>
      </w:r>
      <w:r w:rsidRPr="00C56D0B">
        <w:rPr>
          <w:rFonts w:ascii="Century" w:hAnsi="Century"/>
        </w:rPr>
        <w:t>STC</w:t>
      </w:r>
      <w:r w:rsidR="00527A65" w:rsidRPr="00C56D0B">
        <w:rPr>
          <w:rFonts w:ascii="Century" w:hAnsi="Century"/>
        </w:rPr>
        <w:t>-</w:t>
      </w:r>
      <w:r w:rsidRPr="00C56D0B">
        <w:rPr>
          <w:rFonts w:ascii="Century" w:hAnsi="Century"/>
        </w:rPr>
        <w:t>8850-2016.</w:t>
      </w:r>
    </w:p>
  </w:footnote>
  <w:footnote w:id="35">
    <w:p w14:paraId="4F561DB3" w14:textId="77777777" w:rsidR="00646F7B" w:rsidRPr="00C56D0B" w:rsidRDefault="00E206BE"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CC. </w:t>
      </w:r>
      <w:r w:rsidRPr="00C56D0B">
        <w:rPr>
          <w:rFonts w:ascii="Century" w:hAnsi="Century"/>
          <w:lang w:val="es-CO"/>
        </w:rPr>
        <w:t>C-1186 de 2008.</w:t>
      </w:r>
    </w:p>
  </w:footnote>
  <w:footnote w:id="36">
    <w:p w14:paraId="3DE804C0" w14:textId="65A53912" w:rsidR="00C56D0B" w:rsidRPr="00C56D0B" w:rsidRDefault="00C56D0B"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CSJ. STC-6078-2018 y STC-4021-2020.</w:t>
      </w:r>
    </w:p>
  </w:footnote>
  <w:footnote w:id="37">
    <w:p w14:paraId="35BE3711" w14:textId="105DA7B0" w:rsidR="00646F7B" w:rsidRPr="00C56D0B" w:rsidRDefault="00E206BE" w:rsidP="000F5681">
      <w:pPr>
        <w:pStyle w:val="Textonotapie"/>
        <w:jc w:val="both"/>
        <w:rPr>
          <w:rFonts w:ascii="Century" w:hAnsi="Century"/>
        </w:rPr>
      </w:pPr>
      <w:r w:rsidRPr="00C56D0B">
        <w:rPr>
          <w:rStyle w:val="Refdenotaalpie"/>
          <w:rFonts w:ascii="Century" w:hAnsi="Century"/>
        </w:rPr>
        <w:footnoteRef/>
      </w:r>
      <w:r w:rsidR="7A25256E" w:rsidRPr="00C56D0B">
        <w:rPr>
          <w:rFonts w:ascii="Century" w:hAnsi="Century"/>
        </w:rPr>
        <w:t xml:space="preserve"> </w:t>
      </w:r>
      <w:r w:rsidR="7A25256E" w:rsidRPr="00C56D0B">
        <w:rPr>
          <w:rFonts w:ascii="Century" w:hAnsi="Century"/>
          <w:lang w:val="es-CO"/>
        </w:rPr>
        <w:t xml:space="preserve">CSJ. </w:t>
      </w:r>
      <w:r w:rsidR="7A25256E" w:rsidRPr="00C56D0B">
        <w:rPr>
          <w:rFonts w:ascii="Century" w:hAnsi="Century"/>
        </w:rPr>
        <w:t>STC-16426-2017 y</w:t>
      </w:r>
      <w:r w:rsidR="7A25256E" w:rsidRPr="00C56D0B">
        <w:rPr>
          <w:rFonts w:ascii="Century" w:hAnsi="Century"/>
          <w:b/>
          <w:bCs/>
        </w:rPr>
        <w:t xml:space="preserve"> </w:t>
      </w:r>
      <w:r w:rsidR="7A25256E" w:rsidRPr="00C56D0B">
        <w:rPr>
          <w:rFonts w:ascii="Century" w:hAnsi="Century"/>
        </w:rPr>
        <w:t>STC-14997 de 2016, entre otras.</w:t>
      </w:r>
    </w:p>
  </w:footnote>
  <w:footnote w:id="38">
    <w:p w14:paraId="5D535540" w14:textId="77777777" w:rsidR="00646F7B" w:rsidRPr="00C56D0B" w:rsidRDefault="00E206BE"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CC. </w:t>
      </w:r>
      <w:r w:rsidRPr="00C56D0B">
        <w:rPr>
          <w:rFonts w:ascii="Century" w:hAnsi="Century"/>
          <w:lang w:val="es-CO"/>
        </w:rPr>
        <w:t xml:space="preserve">C-531 de 2013 y </w:t>
      </w:r>
      <w:hyperlink r:id="rId1" w:history="1">
        <w:r w:rsidRPr="00C56D0B">
          <w:rPr>
            <w:rStyle w:val="Hipervnculo"/>
            <w:rFonts w:ascii="Century" w:hAnsi="Century"/>
            <w:color w:val="auto"/>
            <w:u w:val="none"/>
          </w:rPr>
          <w:t>C-553 de 2016</w:t>
        </w:r>
      </w:hyperlink>
      <w:r w:rsidRPr="00C56D0B">
        <w:rPr>
          <w:rFonts w:ascii="Century" w:hAnsi="Century"/>
          <w:lang w:val="es-CO"/>
        </w:rPr>
        <w:t>.</w:t>
      </w:r>
    </w:p>
  </w:footnote>
  <w:footnote w:id="39">
    <w:p w14:paraId="60FA5C6D" w14:textId="77777777" w:rsidR="00646F7B" w:rsidRPr="00C56D0B" w:rsidRDefault="00E206BE"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CC. </w:t>
      </w:r>
      <w:r w:rsidRPr="00C56D0B">
        <w:rPr>
          <w:rFonts w:ascii="Century" w:hAnsi="Century"/>
          <w:lang w:val="es-CO"/>
        </w:rPr>
        <w:t>SU-047 de 1999 y C-530 de 2011, entre otras.</w:t>
      </w:r>
    </w:p>
  </w:footnote>
  <w:footnote w:id="40">
    <w:p w14:paraId="7FB8BC2D" w14:textId="77777777" w:rsidR="00646F7B" w:rsidRPr="00C56D0B" w:rsidRDefault="004F1D47"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w:t>
      </w:r>
      <w:r w:rsidRPr="00C56D0B">
        <w:rPr>
          <w:rFonts w:ascii="Century" w:hAnsi="Century"/>
          <w:lang w:val="es-CO"/>
        </w:rPr>
        <w:t>ROJAS G., Miguel E. Ob. cit., p.551.</w:t>
      </w:r>
    </w:p>
  </w:footnote>
  <w:footnote w:id="41">
    <w:p w14:paraId="6D1810D7" w14:textId="77777777" w:rsidR="00646F7B" w:rsidRPr="00C56D0B" w:rsidRDefault="004F1D47"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w:t>
      </w:r>
      <w:r w:rsidRPr="00C56D0B">
        <w:rPr>
          <w:rFonts w:ascii="Century" w:hAnsi="Century"/>
          <w:lang w:val="es-CO"/>
        </w:rPr>
        <w:t xml:space="preserve">LÓPEZ B., Hernán F. </w:t>
      </w:r>
      <w:r w:rsidRPr="00C56D0B">
        <w:rPr>
          <w:rFonts w:ascii="Century" w:hAnsi="Century"/>
        </w:rPr>
        <w:t>Ob. cit., p.1039.</w:t>
      </w:r>
    </w:p>
  </w:footnote>
  <w:footnote w:id="42">
    <w:p w14:paraId="4F4B0A1B" w14:textId="77777777" w:rsidR="00646F7B" w:rsidRPr="00C56D0B" w:rsidRDefault="00B244C0"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CC. T</w:t>
      </w:r>
      <w:r w:rsidRPr="00C56D0B">
        <w:rPr>
          <w:rFonts w:ascii="Century" w:hAnsi="Century"/>
          <w:lang w:val="es-CO"/>
        </w:rPr>
        <w:t>-511 de 2011.</w:t>
      </w:r>
    </w:p>
  </w:footnote>
  <w:footnote w:id="43">
    <w:p w14:paraId="0CCF8D58" w14:textId="77777777" w:rsidR="00646F7B" w:rsidRPr="00C56D0B" w:rsidRDefault="00B244C0"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TSP, Sala Unitaria Civil-Familia. Auto</w:t>
      </w:r>
      <w:r w:rsidR="003F7D17" w:rsidRPr="00C56D0B">
        <w:rPr>
          <w:rFonts w:ascii="Century" w:hAnsi="Century"/>
        </w:rPr>
        <w:t xml:space="preserve">s </w:t>
      </w:r>
      <w:r w:rsidRPr="00C56D0B">
        <w:rPr>
          <w:rFonts w:ascii="Century" w:hAnsi="Century"/>
        </w:rPr>
        <w:t>04-06-2015, MP: Saraza N., No.2002-00189-01</w:t>
      </w:r>
      <w:r w:rsidR="00984117" w:rsidRPr="00C56D0B">
        <w:rPr>
          <w:rFonts w:ascii="Century" w:hAnsi="Century"/>
        </w:rPr>
        <w:t>.</w:t>
      </w:r>
    </w:p>
  </w:footnote>
  <w:footnote w:id="44">
    <w:p w14:paraId="116E3327" w14:textId="77777777" w:rsidR="00646F7B" w:rsidRPr="004E3F48" w:rsidRDefault="00E206BE" w:rsidP="000F5681">
      <w:pPr>
        <w:pStyle w:val="Textonotapie"/>
        <w:jc w:val="both"/>
        <w:rPr>
          <w:rFonts w:ascii="Century" w:hAnsi="Century"/>
        </w:rPr>
      </w:pPr>
      <w:r w:rsidRPr="00C56D0B">
        <w:rPr>
          <w:rStyle w:val="Refdenotaalpie"/>
          <w:rFonts w:ascii="Century" w:hAnsi="Century"/>
        </w:rPr>
        <w:footnoteRef/>
      </w:r>
      <w:r w:rsidRPr="00C56D0B">
        <w:rPr>
          <w:rFonts w:ascii="Century" w:hAnsi="Century"/>
        </w:rPr>
        <w:t xml:space="preserve"> TSP, </w:t>
      </w:r>
      <w:r w:rsidR="004F1D47" w:rsidRPr="00C56D0B">
        <w:rPr>
          <w:rFonts w:ascii="Century" w:hAnsi="Century"/>
        </w:rPr>
        <w:t xml:space="preserve">Sala </w:t>
      </w:r>
      <w:r w:rsidRPr="00C56D0B">
        <w:rPr>
          <w:rFonts w:ascii="Century" w:hAnsi="Century"/>
        </w:rPr>
        <w:t>Unitaria Civil-F</w:t>
      </w:r>
      <w:r w:rsidR="00B244C0" w:rsidRPr="00C56D0B">
        <w:rPr>
          <w:rFonts w:ascii="Century" w:hAnsi="Century"/>
        </w:rPr>
        <w:t>amilia. Auto</w:t>
      </w:r>
      <w:r w:rsidR="00984117" w:rsidRPr="00C56D0B">
        <w:rPr>
          <w:rFonts w:ascii="Century" w:hAnsi="Century"/>
        </w:rPr>
        <w:t>s</w:t>
      </w:r>
      <w:r w:rsidR="00B244C0" w:rsidRPr="00C56D0B">
        <w:rPr>
          <w:rFonts w:ascii="Century" w:hAnsi="Century"/>
        </w:rPr>
        <w:t xml:space="preserve"> del </w:t>
      </w:r>
      <w:r w:rsidR="00984117" w:rsidRPr="00C56D0B">
        <w:rPr>
          <w:rFonts w:ascii="Century" w:hAnsi="Century"/>
        </w:rPr>
        <w:t>(i) 28-03-2017, MP: Grisales H., No.2014-00299-02; (i) 27-03-2015, MP: Grisales H., No.2008-00069-01; y, (iii) 30-09-2019, MP: Grisales H., No.2009-00419-01</w:t>
      </w:r>
      <w:r w:rsidR="00984117" w:rsidRPr="004E3F48">
        <w:rPr>
          <w:rFonts w:ascii="Century" w:hAnsi="Century"/>
        </w:rPr>
        <w:t>.</w:t>
      </w:r>
    </w:p>
  </w:footnote>
  <w:footnote w:id="45">
    <w:p w14:paraId="2B60A05D" w14:textId="4E7FA244" w:rsidR="004E3F48" w:rsidRPr="0078538E" w:rsidRDefault="004E3F48" w:rsidP="000F5681">
      <w:pPr>
        <w:pStyle w:val="Textonotapie"/>
        <w:jc w:val="both"/>
        <w:rPr>
          <w:rFonts w:ascii="Century" w:hAnsi="Century"/>
        </w:rPr>
      </w:pPr>
      <w:r w:rsidRPr="004E3F48">
        <w:rPr>
          <w:rStyle w:val="Refdenotaalpie"/>
          <w:rFonts w:ascii="Century" w:hAnsi="Century"/>
        </w:rPr>
        <w:footnoteRef/>
      </w:r>
      <w:r w:rsidRPr="0078538E">
        <w:rPr>
          <w:rFonts w:ascii="Century" w:hAnsi="Century"/>
        </w:rPr>
        <w:t xml:space="preserve"> CSJ. STC4021-2020.</w:t>
      </w:r>
    </w:p>
  </w:footnote>
  <w:footnote w:id="46">
    <w:p w14:paraId="291A7D20" w14:textId="27ECCE9E" w:rsidR="004E3F48" w:rsidRPr="0078538E" w:rsidRDefault="004E3F48" w:rsidP="000F5681">
      <w:pPr>
        <w:pStyle w:val="Textonotapie"/>
        <w:jc w:val="both"/>
      </w:pPr>
      <w:r w:rsidRPr="004E3F48">
        <w:rPr>
          <w:rStyle w:val="Refdenotaalpie"/>
          <w:rFonts w:ascii="Century" w:hAnsi="Century"/>
        </w:rPr>
        <w:footnoteRef/>
      </w:r>
      <w:r w:rsidRPr="0078538E">
        <w:rPr>
          <w:rFonts w:ascii="Century" w:hAnsi="Century"/>
        </w:rPr>
        <w:t xml:space="preserve"> CSJ. AC8174-2017.</w:t>
      </w:r>
    </w:p>
  </w:footnote>
  <w:footnote w:id="47">
    <w:p w14:paraId="0AB1B1D8" w14:textId="77777777" w:rsidR="11721A1B" w:rsidRPr="0078538E" w:rsidRDefault="11721A1B" w:rsidP="000F5681">
      <w:pPr>
        <w:pStyle w:val="Textonotapie"/>
        <w:jc w:val="both"/>
      </w:pPr>
      <w:r w:rsidRPr="11721A1B">
        <w:rPr>
          <w:rStyle w:val="Refdenotaalpie"/>
          <w:rFonts w:ascii="Century" w:hAnsi="Century"/>
        </w:rPr>
        <w:footnoteRef/>
      </w:r>
      <w:r w:rsidRPr="0078538E">
        <w:rPr>
          <w:rFonts w:ascii="Century" w:hAnsi="Century"/>
        </w:rPr>
        <w:t xml:space="preserve"> CSJ. STC-12923-2017.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03FE" w14:textId="77777777"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F92E00" w14:textId="77777777" w:rsidR="00713068" w:rsidRDefault="00713068"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59E5" w14:textId="77777777" w:rsidR="006D2A7F" w:rsidRPr="000F5681" w:rsidRDefault="006D2A7F" w:rsidP="000F5681">
    <w:pPr>
      <w:pStyle w:val="Encabezado"/>
      <w:pBdr>
        <w:bottom w:val="single" w:sz="4" w:space="1" w:color="D9D9D9"/>
      </w:pBdr>
      <w:jc w:val="right"/>
      <w:rPr>
        <w:rFonts w:ascii="Georgia" w:hAnsi="Georgia" w:cs="Kalinga"/>
        <w:bCs/>
        <w:i/>
        <w:sz w:val="20"/>
      </w:rPr>
    </w:pPr>
    <w:r w:rsidRPr="000F5681">
      <w:rPr>
        <w:rFonts w:ascii="Georgia" w:hAnsi="Georgia" w:cs="Kalinga"/>
        <w:i/>
        <w:spacing w:val="60"/>
        <w:sz w:val="20"/>
      </w:rPr>
      <w:t>Página</w:t>
    </w:r>
    <w:r w:rsidRPr="000F5681">
      <w:rPr>
        <w:rFonts w:ascii="Georgia" w:hAnsi="Georgia" w:cs="Kalinga"/>
        <w:i/>
        <w:sz w:val="20"/>
      </w:rPr>
      <w:t xml:space="preserve"> | </w:t>
    </w:r>
    <w:r w:rsidRPr="000F5681">
      <w:rPr>
        <w:rFonts w:ascii="Georgia" w:hAnsi="Georgia" w:cs="Kalinga"/>
        <w:i/>
        <w:sz w:val="20"/>
      </w:rPr>
      <w:fldChar w:fldCharType="begin"/>
    </w:r>
    <w:r w:rsidRPr="000F5681">
      <w:rPr>
        <w:rFonts w:ascii="Georgia" w:hAnsi="Georgia" w:cs="Kalinga"/>
        <w:i/>
        <w:sz w:val="20"/>
      </w:rPr>
      <w:instrText>PAGE   \* MERGEFORMAT</w:instrText>
    </w:r>
    <w:r w:rsidRPr="000F5681">
      <w:rPr>
        <w:rFonts w:ascii="Georgia" w:hAnsi="Georgia" w:cs="Kalinga"/>
        <w:i/>
        <w:sz w:val="20"/>
      </w:rPr>
      <w:fldChar w:fldCharType="separate"/>
    </w:r>
    <w:r w:rsidR="00313701" w:rsidRPr="000F5681">
      <w:rPr>
        <w:rFonts w:ascii="Georgia" w:hAnsi="Georgia" w:cs="Kalinga"/>
        <w:bCs/>
        <w:i/>
        <w:noProof/>
        <w:sz w:val="20"/>
      </w:rPr>
      <w:t>10</w:t>
    </w:r>
    <w:r w:rsidRPr="000F5681">
      <w:rPr>
        <w:rFonts w:ascii="Georgia" w:hAnsi="Georgia" w:cs="Kalinga"/>
        <w:i/>
        <w:sz w:val="20"/>
      </w:rPr>
      <w:fldChar w:fldCharType="end"/>
    </w:r>
  </w:p>
  <w:p w14:paraId="012170D0" w14:textId="64165F50" w:rsidR="00257B1F" w:rsidRPr="000F5681" w:rsidRDefault="006D2A7F" w:rsidP="000F5681">
    <w:pPr>
      <w:pStyle w:val="Encabezado"/>
      <w:widowControl w:val="0"/>
      <w:autoSpaceDE w:val="0"/>
      <w:autoSpaceDN w:val="0"/>
      <w:adjustRightInd w:val="0"/>
      <w:ind w:right="360"/>
      <w:jc w:val="both"/>
      <w:rPr>
        <w:rFonts w:ascii="Georgia" w:hAnsi="Georgia" w:cs="Kalinga"/>
        <w:i/>
        <w:sz w:val="20"/>
        <w:szCs w:val="20"/>
        <w:lang w:val="es-CO"/>
      </w:rPr>
    </w:pPr>
    <w:r w:rsidRPr="000F5681">
      <w:rPr>
        <w:rFonts w:ascii="Georgia" w:hAnsi="Georgia" w:cs="Kalinga"/>
        <w:i/>
        <w:szCs w:val="20"/>
        <w:lang w:val="es-CO"/>
      </w:rPr>
      <w:t>E</w:t>
    </w:r>
    <w:r w:rsidRPr="000F5681">
      <w:rPr>
        <w:rFonts w:ascii="Georgia" w:hAnsi="Georgia" w:cs="Kalinga"/>
        <w:i/>
        <w:sz w:val="20"/>
        <w:szCs w:val="20"/>
        <w:lang w:val="es-CO"/>
      </w:rPr>
      <w:t>XPEDIENTE N</w:t>
    </w:r>
    <w:r w:rsidR="00510CEA" w:rsidRPr="000F5681">
      <w:rPr>
        <w:rFonts w:ascii="Georgia" w:hAnsi="Georgia" w:cs="Kalinga"/>
        <w:i/>
        <w:sz w:val="20"/>
        <w:szCs w:val="20"/>
        <w:lang w:val="es-CO"/>
      </w:rPr>
      <w:t>o</w:t>
    </w:r>
    <w:r w:rsidRPr="000F5681">
      <w:rPr>
        <w:rFonts w:ascii="Georgia" w:hAnsi="Georgia" w:cs="Kalinga"/>
        <w:i/>
        <w:sz w:val="20"/>
        <w:szCs w:val="20"/>
        <w:lang w:val="es-CO"/>
      </w:rPr>
      <w:t>.</w:t>
    </w:r>
    <w:r w:rsidR="000F5681" w:rsidRPr="000F5681">
      <w:rPr>
        <w:rFonts w:ascii="Georgia" w:hAnsi="Georgia" w:cs="Kalinga"/>
        <w:i/>
        <w:sz w:val="20"/>
        <w:szCs w:val="20"/>
        <w:lang w:val="es-CO"/>
      </w:rPr>
      <w:t xml:space="preserve"> </w:t>
    </w:r>
    <w:r w:rsidR="00046468" w:rsidRPr="000F5681">
      <w:rPr>
        <w:rFonts w:ascii="Georgia" w:hAnsi="Georgia" w:cs="Kalinga"/>
        <w:i/>
        <w:sz w:val="20"/>
        <w:szCs w:val="20"/>
        <w:lang w:val="es-CO"/>
      </w:rPr>
      <w:t>2012-00222-01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6DC"/>
    <w:multiLevelType w:val="hybridMultilevel"/>
    <w:tmpl w:val="DC847000"/>
    <w:lvl w:ilvl="0" w:tplc="32043A12">
      <w:start w:val="1"/>
      <w:numFmt w:val="bullet"/>
      <w:lvlText w:val=""/>
      <w:lvlJc w:val="left"/>
      <w:pPr>
        <w:ind w:left="720" w:hanging="360"/>
      </w:pPr>
      <w:rPr>
        <w:rFonts w:ascii="Symbol" w:hAnsi="Symbol" w:hint="default"/>
      </w:rPr>
    </w:lvl>
    <w:lvl w:ilvl="1" w:tplc="2DA8FB1A">
      <w:start w:val="1"/>
      <w:numFmt w:val="bullet"/>
      <w:lvlText w:val="o"/>
      <w:lvlJc w:val="left"/>
      <w:pPr>
        <w:ind w:left="1440" w:hanging="360"/>
      </w:pPr>
      <w:rPr>
        <w:rFonts w:ascii="Courier New" w:hAnsi="Courier New" w:hint="default"/>
      </w:rPr>
    </w:lvl>
    <w:lvl w:ilvl="2" w:tplc="A65CB8F0">
      <w:start w:val="1"/>
      <w:numFmt w:val="bullet"/>
      <w:lvlText w:val=""/>
      <w:lvlJc w:val="left"/>
      <w:pPr>
        <w:ind w:left="2160" w:hanging="360"/>
      </w:pPr>
      <w:rPr>
        <w:rFonts w:ascii="Wingdings" w:hAnsi="Wingdings" w:hint="default"/>
      </w:rPr>
    </w:lvl>
    <w:lvl w:ilvl="3" w:tplc="42A63886">
      <w:start w:val="1"/>
      <w:numFmt w:val="bullet"/>
      <w:lvlText w:val=""/>
      <w:lvlJc w:val="left"/>
      <w:pPr>
        <w:ind w:left="2880" w:hanging="360"/>
      </w:pPr>
      <w:rPr>
        <w:rFonts w:ascii="Symbol" w:hAnsi="Symbol" w:hint="default"/>
      </w:rPr>
    </w:lvl>
    <w:lvl w:ilvl="4" w:tplc="BF04B82A">
      <w:start w:val="1"/>
      <w:numFmt w:val="bullet"/>
      <w:lvlText w:val="o"/>
      <w:lvlJc w:val="left"/>
      <w:pPr>
        <w:ind w:left="3600" w:hanging="360"/>
      </w:pPr>
      <w:rPr>
        <w:rFonts w:ascii="Courier New" w:hAnsi="Courier New" w:hint="default"/>
      </w:rPr>
    </w:lvl>
    <w:lvl w:ilvl="5" w:tplc="B81C8DB6">
      <w:start w:val="1"/>
      <w:numFmt w:val="bullet"/>
      <w:lvlText w:val=""/>
      <w:lvlJc w:val="left"/>
      <w:pPr>
        <w:ind w:left="4320" w:hanging="360"/>
      </w:pPr>
      <w:rPr>
        <w:rFonts w:ascii="Wingdings" w:hAnsi="Wingdings" w:hint="default"/>
      </w:rPr>
    </w:lvl>
    <w:lvl w:ilvl="6" w:tplc="0B7E5894">
      <w:start w:val="1"/>
      <w:numFmt w:val="bullet"/>
      <w:lvlText w:val=""/>
      <w:lvlJc w:val="left"/>
      <w:pPr>
        <w:ind w:left="5040" w:hanging="360"/>
      </w:pPr>
      <w:rPr>
        <w:rFonts w:ascii="Symbol" w:hAnsi="Symbol" w:hint="default"/>
      </w:rPr>
    </w:lvl>
    <w:lvl w:ilvl="7" w:tplc="9C923906">
      <w:start w:val="1"/>
      <w:numFmt w:val="bullet"/>
      <w:lvlText w:val="o"/>
      <w:lvlJc w:val="left"/>
      <w:pPr>
        <w:ind w:left="5760" w:hanging="360"/>
      </w:pPr>
      <w:rPr>
        <w:rFonts w:ascii="Courier New" w:hAnsi="Courier New" w:hint="default"/>
      </w:rPr>
    </w:lvl>
    <w:lvl w:ilvl="8" w:tplc="15C6986A">
      <w:start w:val="1"/>
      <w:numFmt w:val="bullet"/>
      <w:lvlText w:val=""/>
      <w:lvlJc w:val="left"/>
      <w:pPr>
        <w:ind w:left="6480" w:hanging="360"/>
      </w:pPr>
      <w:rPr>
        <w:rFonts w:ascii="Wingdings" w:hAnsi="Wingdings" w:hint="default"/>
      </w:rPr>
    </w:lvl>
  </w:abstractNum>
  <w:abstractNum w:abstractNumId="1" w15:restartNumberingAfterBreak="0">
    <w:nsid w:val="0DAB12EC"/>
    <w:multiLevelType w:val="multilevel"/>
    <w:tmpl w:val="47BC6588"/>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3" w15:restartNumberingAfterBreak="0">
    <w:nsid w:val="106D4BC1"/>
    <w:multiLevelType w:val="multilevel"/>
    <w:tmpl w:val="85B88052"/>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2527AB2"/>
    <w:multiLevelType w:val="multilevel"/>
    <w:tmpl w:val="FA2C1624"/>
    <w:lvl w:ilvl="0">
      <w:start w:val="2"/>
      <w:numFmt w:val="decimal"/>
      <w:lvlText w:val="%1."/>
      <w:lvlJc w:val="left"/>
      <w:pPr>
        <w:ind w:left="915" w:hanging="915"/>
      </w:pPr>
      <w:rPr>
        <w:rFonts w:cs="Times New Roman" w:hint="default"/>
      </w:rPr>
    </w:lvl>
    <w:lvl w:ilvl="1">
      <w:start w:val="3"/>
      <w:numFmt w:val="decimal"/>
      <w:lvlText w:val="%1.%2."/>
      <w:lvlJc w:val="left"/>
      <w:pPr>
        <w:ind w:left="915" w:hanging="915"/>
      </w:pPr>
      <w:rPr>
        <w:rFonts w:cs="Times New Roman" w:hint="default"/>
      </w:rPr>
    </w:lvl>
    <w:lvl w:ilvl="2">
      <w:start w:val="4"/>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15:restartNumberingAfterBreak="0">
    <w:nsid w:val="155E6D5D"/>
    <w:multiLevelType w:val="multilevel"/>
    <w:tmpl w:val="30BA94C0"/>
    <w:lvl w:ilvl="0">
      <w:start w:val="4"/>
      <w:numFmt w:val="decimal"/>
      <w:lvlText w:val="%1."/>
      <w:lvlJc w:val="left"/>
      <w:pPr>
        <w:ind w:left="360" w:hanging="360"/>
      </w:pPr>
      <w:rPr>
        <w:rFonts w:cs="Times New Roman" w:hint="default"/>
        <w:color w:val="auto"/>
        <w:sz w:val="28"/>
        <w:szCs w:val="28"/>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6" w15:restartNumberingAfterBreak="0">
    <w:nsid w:val="1E1F54B3"/>
    <w:multiLevelType w:val="multilevel"/>
    <w:tmpl w:val="C1A8DB3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15:restartNumberingAfterBreak="0">
    <w:nsid w:val="1F1B0792"/>
    <w:multiLevelType w:val="hybridMultilevel"/>
    <w:tmpl w:val="40767FF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43474B2"/>
    <w:multiLevelType w:val="multilevel"/>
    <w:tmpl w:val="25A48978"/>
    <w:lvl w:ilvl="0">
      <w:start w:val="6"/>
      <w:numFmt w:val="decimal"/>
      <w:lvlText w:val="%1."/>
      <w:lvlJc w:val="left"/>
      <w:pPr>
        <w:ind w:left="435" w:hanging="435"/>
      </w:pPr>
      <w:rPr>
        <w:rFonts w:hint="default"/>
        <w:i/>
        <w:color w:val="0033CC"/>
      </w:rPr>
    </w:lvl>
    <w:lvl w:ilvl="1">
      <w:start w:val="1"/>
      <w:numFmt w:val="decimal"/>
      <w:lvlText w:val="%1.%2."/>
      <w:lvlJc w:val="left"/>
      <w:pPr>
        <w:ind w:left="720" w:hanging="720"/>
      </w:pPr>
      <w:rPr>
        <w:rFonts w:hint="default"/>
        <w:i/>
        <w:color w:val="0033CC"/>
      </w:rPr>
    </w:lvl>
    <w:lvl w:ilvl="2">
      <w:start w:val="1"/>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0"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43611BB9"/>
    <w:multiLevelType w:val="multilevel"/>
    <w:tmpl w:val="37B47FD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46AA2CAA"/>
    <w:multiLevelType w:val="multilevel"/>
    <w:tmpl w:val="25B63AC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52D329C7"/>
    <w:multiLevelType w:val="multilevel"/>
    <w:tmpl w:val="3CD87E2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54EBA"/>
    <w:multiLevelType w:val="multilevel"/>
    <w:tmpl w:val="D4C4E5A8"/>
    <w:lvl w:ilvl="0">
      <w:start w:val="2"/>
      <w:numFmt w:val="decimal"/>
      <w:lvlText w:val="%1."/>
      <w:lvlJc w:val="left"/>
      <w:pPr>
        <w:ind w:left="675" w:hanging="675"/>
      </w:pPr>
      <w:rPr>
        <w:rFonts w:cs="Times New Roman" w:hint="default"/>
        <w:i/>
        <w:color w:val="0033CC"/>
      </w:rPr>
    </w:lvl>
    <w:lvl w:ilvl="1">
      <w:start w:val="3"/>
      <w:numFmt w:val="decimal"/>
      <w:lvlText w:val="%1.%2."/>
      <w:lvlJc w:val="left"/>
      <w:pPr>
        <w:ind w:left="720" w:hanging="720"/>
      </w:pPr>
      <w:rPr>
        <w:rFonts w:cs="Times New Roman" w:hint="default"/>
        <w:i/>
        <w:color w:val="0033CC"/>
      </w:rPr>
    </w:lvl>
    <w:lvl w:ilvl="2">
      <w:start w:val="1"/>
      <w:numFmt w:val="decimal"/>
      <w:lvlText w:val="%1.%2.%3."/>
      <w:lvlJc w:val="left"/>
      <w:rPr>
        <w:rFonts w:cs="Times New Roman" w:hint="default"/>
        <w:i/>
        <w:color w:val="0033CC"/>
      </w:rPr>
    </w:lvl>
    <w:lvl w:ilvl="3">
      <w:start w:val="1"/>
      <w:numFmt w:val="decimal"/>
      <w:lvlText w:val="%1.%2.%3.%4."/>
      <w:lvlJc w:val="left"/>
      <w:rPr>
        <w:rFonts w:cs="Times New Roman" w:hint="default"/>
        <w:i/>
        <w:color w:val="0033CC"/>
      </w:rPr>
    </w:lvl>
    <w:lvl w:ilvl="4">
      <w:start w:val="1"/>
      <w:numFmt w:val="decimal"/>
      <w:lvlText w:val="%1.%2.%3.%4.%5."/>
      <w:lvlJc w:val="left"/>
      <w:pPr>
        <w:ind w:left="1440" w:hanging="1440"/>
      </w:pPr>
      <w:rPr>
        <w:rFonts w:cs="Times New Roman" w:hint="default"/>
        <w:i/>
        <w:color w:val="0033CC"/>
      </w:rPr>
    </w:lvl>
    <w:lvl w:ilvl="5">
      <w:start w:val="1"/>
      <w:numFmt w:val="decimal"/>
      <w:lvlText w:val="%1.%2.%3.%4.%5.%6."/>
      <w:lvlJc w:val="left"/>
      <w:pPr>
        <w:ind w:left="1800" w:hanging="1800"/>
      </w:pPr>
      <w:rPr>
        <w:rFonts w:cs="Times New Roman" w:hint="default"/>
        <w:i/>
        <w:color w:val="0033CC"/>
      </w:rPr>
    </w:lvl>
    <w:lvl w:ilvl="6">
      <w:start w:val="1"/>
      <w:numFmt w:val="decimal"/>
      <w:lvlText w:val="%1.%2.%3.%4.%5.%6.%7."/>
      <w:lvlJc w:val="left"/>
      <w:pPr>
        <w:ind w:left="1800" w:hanging="1800"/>
      </w:pPr>
      <w:rPr>
        <w:rFonts w:cs="Times New Roman" w:hint="default"/>
        <w:i/>
        <w:color w:val="0033CC"/>
      </w:rPr>
    </w:lvl>
    <w:lvl w:ilvl="7">
      <w:start w:val="1"/>
      <w:numFmt w:val="decimal"/>
      <w:lvlText w:val="%1.%2.%3.%4.%5.%6.%7.%8."/>
      <w:lvlJc w:val="left"/>
      <w:pPr>
        <w:ind w:left="2160" w:hanging="2160"/>
      </w:pPr>
      <w:rPr>
        <w:rFonts w:cs="Times New Roman" w:hint="default"/>
        <w:i/>
        <w:color w:val="0033CC"/>
      </w:rPr>
    </w:lvl>
    <w:lvl w:ilvl="8">
      <w:start w:val="1"/>
      <w:numFmt w:val="decimal"/>
      <w:lvlText w:val="%1.%2.%3.%4.%5.%6.%7.%8.%9."/>
      <w:lvlJc w:val="left"/>
      <w:pPr>
        <w:ind w:left="2520" w:hanging="2520"/>
      </w:pPr>
      <w:rPr>
        <w:rFonts w:cs="Times New Roman" w:hint="default"/>
        <w:i/>
        <w:color w:val="0033CC"/>
      </w:rPr>
    </w:lvl>
  </w:abstractNum>
  <w:abstractNum w:abstractNumId="18" w15:restartNumberingAfterBreak="0">
    <w:nsid w:val="6199068C"/>
    <w:multiLevelType w:val="hybridMultilevel"/>
    <w:tmpl w:val="7C9AAAF8"/>
    <w:lvl w:ilvl="0" w:tplc="7206D352">
      <w:start w:val="1"/>
      <w:numFmt w:val="decimal"/>
      <w:lvlText w:val="%1."/>
      <w:lvlJc w:val="left"/>
      <w:pPr>
        <w:tabs>
          <w:tab w:val="num" w:pos="360"/>
        </w:tabs>
        <w:ind w:left="360" w:hanging="360"/>
      </w:pPr>
      <w:rPr>
        <w:rFonts w:cs="Times New Roman"/>
        <w:i w:val="0"/>
      </w:rPr>
    </w:lvl>
    <w:lvl w:ilvl="1" w:tplc="6BD89B9A">
      <w:numFmt w:val="decimal"/>
      <w:lvlText w:val=""/>
      <w:lvlJc w:val="left"/>
    </w:lvl>
    <w:lvl w:ilvl="2" w:tplc="F54C23D8">
      <w:numFmt w:val="decimal"/>
      <w:lvlText w:val=""/>
      <w:lvlJc w:val="left"/>
    </w:lvl>
    <w:lvl w:ilvl="3" w:tplc="8CCCDDBE">
      <w:numFmt w:val="decimal"/>
      <w:lvlText w:val=""/>
      <w:lvlJc w:val="left"/>
    </w:lvl>
    <w:lvl w:ilvl="4" w:tplc="69F2E7BA">
      <w:numFmt w:val="decimal"/>
      <w:lvlText w:val=""/>
      <w:lvlJc w:val="left"/>
    </w:lvl>
    <w:lvl w:ilvl="5" w:tplc="5CDCBC96">
      <w:numFmt w:val="decimal"/>
      <w:lvlText w:val=""/>
      <w:lvlJc w:val="left"/>
    </w:lvl>
    <w:lvl w:ilvl="6" w:tplc="6D06F124">
      <w:numFmt w:val="decimal"/>
      <w:lvlText w:val=""/>
      <w:lvlJc w:val="left"/>
    </w:lvl>
    <w:lvl w:ilvl="7" w:tplc="A25A02D0">
      <w:numFmt w:val="decimal"/>
      <w:lvlText w:val=""/>
      <w:lvlJc w:val="left"/>
    </w:lvl>
    <w:lvl w:ilvl="8" w:tplc="52C484BE">
      <w:numFmt w:val="decimal"/>
      <w:lvlText w:val=""/>
      <w:lvlJc w:val="left"/>
    </w:lvl>
  </w:abstractNum>
  <w:abstractNum w:abstractNumId="19" w15:restartNumberingAfterBreak="0">
    <w:nsid w:val="67334F69"/>
    <w:multiLevelType w:val="multilevel"/>
    <w:tmpl w:val="92A44294"/>
    <w:lvl w:ilvl="0">
      <w:start w:val="1"/>
      <w:numFmt w:val="decimal"/>
      <w:lvlText w:val="%1."/>
      <w:lvlJc w:val="left"/>
      <w:pPr>
        <w:ind w:left="360" w:hanging="360"/>
      </w:pPr>
      <w:rPr>
        <w:rFonts w:cs="Times New Roman"/>
        <w:sz w:val="32"/>
        <w:szCs w:val="32"/>
      </w:rPr>
    </w:lvl>
    <w:lvl w:ilvl="1">
      <w:start w:val="1"/>
      <w:numFmt w:val="decimal"/>
      <w:isLgl/>
      <w:lvlText w:val="%1.%2."/>
      <w:lvlJc w:val="left"/>
      <w:pPr>
        <w:ind w:left="720" w:hanging="720"/>
      </w:pPr>
      <w:rPr>
        <w:rFonts w:cs="Times New Roman" w:hint="default"/>
        <w:i/>
        <w:iCs/>
        <w:color w:val="auto"/>
        <w:sz w:val="28"/>
        <w:szCs w:val="28"/>
      </w:rPr>
    </w:lvl>
    <w:lvl w:ilvl="2">
      <w:start w:val="1"/>
      <w:numFmt w:val="decimal"/>
      <w:isLgl/>
      <w:lvlText w:val="%1.%2.%3."/>
      <w:lvlJc w:val="left"/>
      <w:pPr>
        <w:ind w:left="720" w:hanging="720"/>
      </w:pPr>
      <w:rPr>
        <w:rFonts w:cs="Times New Roman" w:hint="default"/>
        <w:i/>
        <w:iCs/>
        <w:color w:val="3333FF"/>
        <w:sz w:val="28"/>
        <w:szCs w:val="28"/>
      </w:rPr>
    </w:lvl>
    <w:lvl w:ilvl="3">
      <w:start w:val="1"/>
      <w:numFmt w:val="decimal"/>
      <w:isLgl/>
      <w:lvlText w:val="%1.%2.%3.%4."/>
      <w:lvlJc w:val="left"/>
      <w:pPr>
        <w:ind w:left="1080" w:hanging="1080"/>
      </w:pPr>
      <w:rPr>
        <w:rFonts w:cs="Times New Roman" w:hint="default"/>
        <w:i/>
        <w:iCs/>
        <w:color w:val="3333FF"/>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cs="Times New Roman" w:hint="default"/>
      </w:rPr>
    </w:lvl>
    <w:lvl w:ilvl="1" w:tplc="4112AED2">
      <w:start w:val="1"/>
      <w:numFmt w:val="decimal"/>
      <w:lvlText w:val="%2."/>
      <w:lvlJc w:val="left"/>
      <w:pPr>
        <w:tabs>
          <w:tab w:val="num" w:pos="1440"/>
        </w:tabs>
        <w:ind w:left="1440" w:hanging="360"/>
      </w:pPr>
      <w:rPr>
        <w:rFonts w:cs="Times New Roman" w:hint="default"/>
      </w:rPr>
    </w:lvl>
    <w:lvl w:ilvl="2" w:tplc="47283302" w:tentative="1">
      <w:start w:val="1"/>
      <w:numFmt w:val="lowerRoman"/>
      <w:lvlText w:val="%3."/>
      <w:lvlJc w:val="right"/>
      <w:pPr>
        <w:tabs>
          <w:tab w:val="num" w:pos="2160"/>
        </w:tabs>
        <w:ind w:left="2160" w:hanging="180"/>
      </w:pPr>
      <w:rPr>
        <w:rFonts w:cs="Times New Roman"/>
      </w:rPr>
    </w:lvl>
    <w:lvl w:ilvl="3" w:tplc="5A549DD2" w:tentative="1">
      <w:start w:val="1"/>
      <w:numFmt w:val="decimal"/>
      <w:lvlText w:val="%4."/>
      <w:lvlJc w:val="left"/>
      <w:pPr>
        <w:tabs>
          <w:tab w:val="num" w:pos="2880"/>
        </w:tabs>
        <w:ind w:left="2880" w:hanging="360"/>
      </w:pPr>
      <w:rPr>
        <w:rFonts w:cs="Times New Roman"/>
      </w:rPr>
    </w:lvl>
    <w:lvl w:ilvl="4" w:tplc="E7BA6C16" w:tentative="1">
      <w:start w:val="1"/>
      <w:numFmt w:val="lowerLetter"/>
      <w:lvlText w:val="%5."/>
      <w:lvlJc w:val="left"/>
      <w:pPr>
        <w:tabs>
          <w:tab w:val="num" w:pos="3600"/>
        </w:tabs>
        <w:ind w:left="3600" w:hanging="360"/>
      </w:pPr>
      <w:rPr>
        <w:rFonts w:cs="Times New Roman"/>
      </w:rPr>
    </w:lvl>
    <w:lvl w:ilvl="5" w:tplc="EB3CEA32" w:tentative="1">
      <w:start w:val="1"/>
      <w:numFmt w:val="lowerRoman"/>
      <w:lvlText w:val="%6."/>
      <w:lvlJc w:val="right"/>
      <w:pPr>
        <w:tabs>
          <w:tab w:val="num" w:pos="4320"/>
        </w:tabs>
        <w:ind w:left="4320" w:hanging="180"/>
      </w:pPr>
      <w:rPr>
        <w:rFonts w:cs="Times New Roman"/>
      </w:rPr>
    </w:lvl>
    <w:lvl w:ilvl="6" w:tplc="30DCE78A" w:tentative="1">
      <w:start w:val="1"/>
      <w:numFmt w:val="decimal"/>
      <w:lvlText w:val="%7."/>
      <w:lvlJc w:val="left"/>
      <w:pPr>
        <w:tabs>
          <w:tab w:val="num" w:pos="5040"/>
        </w:tabs>
        <w:ind w:left="5040" w:hanging="360"/>
      </w:pPr>
      <w:rPr>
        <w:rFonts w:cs="Times New Roman"/>
      </w:rPr>
    </w:lvl>
    <w:lvl w:ilvl="7" w:tplc="26C018BA" w:tentative="1">
      <w:start w:val="1"/>
      <w:numFmt w:val="lowerLetter"/>
      <w:lvlText w:val="%8."/>
      <w:lvlJc w:val="left"/>
      <w:pPr>
        <w:tabs>
          <w:tab w:val="num" w:pos="5760"/>
        </w:tabs>
        <w:ind w:left="5760" w:hanging="360"/>
      </w:pPr>
      <w:rPr>
        <w:rFonts w:cs="Times New Roman"/>
      </w:rPr>
    </w:lvl>
    <w:lvl w:ilvl="8" w:tplc="0FFE03F6"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667050"/>
    <w:multiLevelType w:val="multilevel"/>
    <w:tmpl w:val="1DCC9D1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8506D98"/>
    <w:multiLevelType w:val="hybridMultilevel"/>
    <w:tmpl w:val="79F895C0"/>
    <w:lvl w:ilvl="0" w:tplc="398E7D80">
      <w:start w:val="1"/>
      <w:numFmt w:val="bullet"/>
      <w:lvlText w:val=""/>
      <w:lvlJc w:val="left"/>
      <w:pPr>
        <w:tabs>
          <w:tab w:val="num" w:pos="720"/>
        </w:tabs>
        <w:ind w:left="720" w:hanging="360"/>
      </w:pPr>
      <w:rPr>
        <w:rFonts w:ascii="Symbol" w:hAnsi="Symbol" w:hint="default"/>
        <w:sz w:val="20"/>
      </w:rPr>
    </w:lvl>
    <w:lvl w:ilvl="1" w:tplc="200E0C1A" w:tentative="1">
      <w:start w:val="1"/>
      <w:numFmt w:val="bullet"/>
      <w:lvlText w:val="o"/>
      <w:lvlJc w:val="left"/>
      <w:pPr>
        <w:tabs>
          <w:tab w:val="num" w:pos="1440"/>
        </w:tabs>
        <w:ind w:left="1440" w:hanging="360"/>
      </w:pPr>
      <w:rPr>
        <w:rFonts w:ascii="Courier New" w:hAnsi="Courier New" w:hint="default"/>
        <w:sz w:val="20"/>
      </w:rPr>
    </w:lvl>
    <w:lvl w:ilvl="2" w:tplc="8592AC50" w:tentative="1">
      <w:start w:val="1"/>
      <w:numFmt w:val="bullet"/>
      <w:lvlText w:val=""/>
      <w:lvlJc w:val="left"/>
      <w:pPr>
        <w:tabs>
          <w:tab w:val="num" w:pos="2160"/>
        </w:tabs>
        <w:ind w:left="2160" w:hanging="360"/>
      </w:pPr>
      <w:rPr>
        <w:rFonts w:ascii="Wingdings" w:hAnsi="Wingdings" w:hint="default"/>
        <w:sz w:val="20"/>
      </w:rPr>
    </w:lvl>
    <w:lvl w:ilvl="3" w:tplc="FF26D9CC" w:tentative="1">
      <w:start w:val="1"/>
      <w:numFmt w:val="bullet"/>
      <w:lvlText w:val=""/>
      <w:lvlJc w:val="left"/>
      <w:pPr>
        <w:tabs>
          <w:tab w:val="num" w:pos="2880"/>
        </w:tabs>
        <w:ind w:left="2880" w:hanging="360"/>
      </w:pPr>
      <w:rPr>
        <w:rFonts w:ascii="Wingdings" w:hAnsi="Wingdings" w:hint="default"/>
        <w:sz w:val="20"/>
      </w:rPr>
    </w:lvl>
    <w:lvl w:ilvl="4" w:tplc="E7DA58F0" w:tentative="1">
      <w:start w:val="1"/>
      <w:numFmt w:val="bullet"/>
      <w:lvlText w:val=""/>
      <w:lvlJc w:val="left"/>
      <w:pPr>
        <w:tabs>
          <w:tab w:val="num" w:pos="3600"/>
        </w:tabs>
        <w:ind w:left="3600" w:hanging="360"/>
      </w:pPr>
      <w:rPr>
        <w:rFonts w:ascii="Wingdings" w:hAnsi="Wingdings" w:hint="default"/>
        <w:sz w:val="20"/>
      </w:rPr>
    </w:lvl>
    <w:lvl w:ilvl="5" w:tplc="61E62E52" w:tentative="1">
      <w:start w:val="1"/>
      <w:numFmt w:val="bullet"/>
      <w:lvlText w:val=""/>
      <w:lvlJc w:val="left"/>
      <w:pPr>
        <w:tabs>
          <w:tab w:val="num" w:pos="4320"/>
        </w:tabs>
        <w:ind w:left="4320" w:hanging="360"/>
      </w:pPr>
      <w:rPr>
        <w:rFonts w:ascii="Wingdings" w:hAnsi="Wingdings" w:hint="default"/>
        <w:sz w:val="20"/>
      </w:rPr>
    </w:lvl>
    <w:lvl w:ilvl="6" w:tplc="4E5EBC76" w:tentative="1">
      <w:start w:val="1"/>
      <w:numFmt w:val="bullet"/>
      <w:lvlText w:val=""/>
      <w:lvlJc w:val="left"/>
      <w:pPr>
        <w:tabs>
          <w:tab w:val="num" w:pos="5040"/>
        </w:tabs>
        <w:ind w:left="5040" w:hanging="360"/>
      </w:pPr>
      <w:rPr>
        <w:rFonts w:ascii="Wingdings" w:hAnsi="Wingdings" w:hint="default"/>
        <w:sz w:val="20"/>
      </w:rPr>
    </w:lvl>
    <w:lvl w:ilvl="7" w:tplc="B5ACFA0E" w:tentative="1">
      <w:start w:val="1"/>
      <w:numFmt w:val="bullet"/>
      <w:lvlText w:val=""/>
      <w:lvlJc w:val="left"/>
      <w:pPr>
        <w:tabs>
          <w:tab w:val="num" w:pos="5760"/>
        </w:tabs>
        <w:ind w:left="5760" w:hanging="360"/>
      </w:pPr>
      <w:rPr>
        <w:rFonts w:ascii="Wingdings" w:hAnsi="Wingdings" w:hint="default"/>
        <w:sz w:val="20"/>
      </w:rPr>
    </w:lvl>
    <w:lvl w:ilvl="8" w:tplc="93F49D2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5" w15:restartNumberingAfterBreak="0">
    <w:nsid w:val="7EFE21BE"/>
    <w:multiLevelType w:val="hybridMultilevel"/>
    <w:tmpl w:val="D144B0AA"/>
    <w:lvl w:ilvl="0" w:tplc="A09ABC78">
      <w:start w:val="1"/>
      <w:numFmt w:val="decimal"/>
      <w:lvlText w:val="%1."/>
      <w:lvlJc w:val="left"/>
      <w:pPr>
        <w:tabs>
          <w:tab w:val="num" w:pos="360"/>
        </w:tabs>
        <w:ind w:left="360" w:hanging="360"/>
      </w:pPr>
      <w:rPr>
        <w:rFonts w:cs="Times New Roman"/>
      </w:rPr>
    </w:lvl>
    <w:lvl w:ilvl="1" w:tplc="EBF2641E">
      <w:start w:val="1"/>
      <w:numFmt w:val="lowerLetter"/>
      <w:lvlText w:val="%2."/>
      <w:lvlJc w:val="left"/>
      <w:pPr>
        <w:tabs>
          <w:tab w:val="num" w:pos="1080"/>
        </w:tabs>
        <w:ind w:left="1080" w:hanging="360"/>
      </w:pPr>
      <w:rPr>
        <w:rFonts w:cs="Times New Roman"/>
      </w:rPr>
    </w:lvl>
    <w:lvl w:ilvl="2" w:tplc="67F46BB8" w:tentative="1">
      <w:start w:val="1"/>
      <w:numFmt w:val="lowerRoman"/>
      <w:lvlText w:val="%3."/>
      <w:lvlJc w:val="right"/>
      <w:pPr>
        <w:tabs>
          <w:tab w:val="num" w:pos="1800"/>
        </w:tabs>
        <w:ind w:left="1800" w:hanging="180"/>
      </w:pPr>
      <w:rPr>
        <w:rFonts w:cs="Times New Roman"/>
      </w:rPr>
    </w:lvl>
    <w:lvl w:ilvl="3" w:tplc="F960714E">
      <w:start w:val="1"/>
      <w:numFmt w:val="decimal"/>
      <w:lvlText w:val="%4."/>
      <w:lvlJc w:val="left"/>
      <w:pPr>
        <w:tabs>
          <w:tab w:val="num" w:pos="2520"/>
        </w:tabs>
        <w:ind w:left="2520" w:hanging="360"/>
      </w:pPr>
      <w:rPr>
        <w:rFonts w:cs="Times New Roman"/>
      </w:rPr>
    </w:lvl>
    <w:lvl w:ilvl="4" w:tplc="1FE01892" w:tentative="1">
      <w:start w:val="1"/>
      <w:numFmt w:val="lowerLetter"/>
      <w:lvlText w:val="%5."/>
      <w:lvlJc w:val="left"/>
      <w:pPr>
        <w:tabs>
          <w:tab w:val="num" w:pos="3240"/>
        </w:tabs>
        <w:ind w:left="3240" w:hanging="360"/>
      </w:pPr>
      <w:rPr>
        <w:rFonts w:cs="Times New Roman"/>
      </w:rPr>
    </w:lvl>
    <w:lvl w:ilvl="5" w:tplc="0F28AF78" w:tentative="1">
      <w:start w:val="1"/>
      <w:numFmt w:val="lowerRoman"/>
      <w:lvlText w:val="%6."/>
      <w:lvlJc w:val="right"/>
      <w:pPr>
        <w:tabs>
          <w:tab w:val="num" w:pos="3960"/>
        </w:tabs>
        <w:ind w:left="3960" w:hanging="180"/>
      </w:pPr>
      <w:rPr>
        <w:rFonts w:cs="Times New Roman"/>
      </w:rPr>
    </w:lvl>
    <w:lvl w:ilvl="6" w:tplc="2EA2540C" w:tentative="1">
      <w:start w:val="1"/>
      <w:numFmt w:val="decimal"/>
      <w:lvlText w:val="%7."/>
      <w:lvlJc w:val="left"/>
      <w:pPr>
        <w:tabs>
          <w:tab w:val="num" w:pos="4680"/>
        </w:tabs>
        <w:ind w:left="4680" w:hanging="360"/>
      </w:pPr>
      <w:rPr>
        <w:rFonts w:cs="Times New Roman"/>
      </w:rPr>
    </w:lvl>
    <w:lvl w:ilvl="7" w:tplc="C958B16C" w:tentative="1">
      <w:start w:val="1"/>
      <w:numFmt w:val="lowerLetter"/>
      <w:lvlText w:val="%8."/>
      <w:lvlJc w:val="left"/>
      <w:pPr>
        <w:tabs>
          <w:tab w:val="num" w:pos="5400"/>
        </w:tabs>
        <w:ind w:left="5400" w:hanging="360"/>
      </w:pPr>
      <w:rPr>
        <w:rFonts w:cs="Times New Roman"/>
      </w:rPr>
    </w:lvl>
    <w:lvl w:ilvl="8" w:tplc="01B0FBDA" w:tentative="1">
      <w:start w:val="1"/>
      <w:numFmt w:val="lowerRoman"/>
      <w:lvlText w:val="%9."/>
      <w:lvlJc w:val="right"/>
      <w:pPr>
        <w:tabs>
          <w:tab w:val="num" w:pos="6120"/>
        </w:tabs>
        <w:ind w:left="6120" w:hanging="180"/>
      </w:pPr>
      <w:rPr>
        <w:rFonts w:cs="Times New Roman"/>
      </w:rPr>
    </w:lvl>
  </w:abstractNum>
  <w:num w:numId="1">
    <w:abstractNumId w:val="0"/>
  </w:num>
  <w:num w:numId="2">
    <w:abstractNumId w:val="11"/>
  </w:num>
  <w:num w:numId="3">
    <w:abstractNumId w:val="22"/>
  </w:num>
  <w:num w:numId="4">
    <w:abstractNumId w:val="15"/>
  </w:num>
  <w:num w:numId="5">
    <w:abstractNumId w:val="12"/>
  </w:num>
  <w:num w:numId="6">
    <w:abstractNumId w:val="19"/>
  </w:num>
  <w:num w:numId="7">
    <w:abstractNumId w:val="13"/>
  </w:num>
  <w:num w:numId="8">
    <w:abstractNumId w:val="3"/>
  </w:num>
  <w:num w:numId="9">
    <w:abstractNumId w:val="14"/>
  </w:num>
  <w:num w:numId="10">
    <w:abstractNumId w:val="8"/>
  </w:num>
  <w:num w:numId="11">
    <w:abstractNumId w:val="10"/>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3"/>
  </w:num>
  <w:num w:numId="16">
    <w:abstractNumId w:val="16"/>
  </w:num>
  <w:num w:numId="17">
    <w:abstractNumId w:val="20"/>
  </w:num>
  <w:num w:numId="18">
    <w:abstractNumId w:val="25"/>
  </w:num>
  <w:num w:numId="19">
    <w:abstractNumId w:val="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4"/>
  </w:num>
  <w:num w:numId="26">
    <w:abstractNumId w:val="17"/>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55"/>
    <w:rsid w:val="00001EB9"/>
    <w:rsid w:val="000020BB"/>
    <w:rsid w:val="000022CC"/>
    <w:rsid w:val="000029D6"/>
    <w:rsid w:val="00003124"/>
    <w:rsid w:val="00003236"/>
    <w:rsid w:val="000033C5"/>
    <w:rsid w:val="00003584"/>
    <w:rsid w:val="000035F1"/>
    <w:rsid w:val="00003B70"/>
    <w:rsid w:val="00004AA0"/>
    <w:rsid w:val="00004C3C"/>
    <w:rsid w:val="00005004"/>
    <w:rsid w:val="000053E3"/>
    <w:rsid w:val="000055EA"/>
    <w:rsid w:val="00005A80"/>
    <w:rsid w:val="00006FD4"/>
    <w:rsid w:val="0000701E"/>
    <w:rsid w:val="00007421"/>
    <w:rsid w:val="00007450"/>
    <w:rsid w:val="000078F2"/>
    <w:rsid w:val="00007A01"/>
    <w:rsid w:val="00007DED"/>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192D6"/>
    <w:rsid w:val="000203CF"/>
    <w:rsid w:val="000209BD"/>
    <w:rsid w:val="000218F7"/>
    <w:rsid w:val="00021FFF"/>
    <w:rsid w:val="00022115"/>
    <w:rsid w:val="00023336"/>
    <w:rsid w:val="00023A42"/>
    <w:rsid w:val="000243B0"/>
    <w:rsid w:val="0002461B"/>
    <w:rsid w:val="000256E1"/>
    <w:rsid w:val="00025A17"/>
    <w:rsid w:val="00025B1B"/>
    <w:rsid w:val="00026618"/>
    <w:rsid w:val="00026ADC"/>
    <w:rsid w:val="00026F61"/>
    <w:rsid w:val="000278F9"/>
    <w:rsid w:val="00027A37"/>
    <w:rsid w:val="00027D1A"/>
    <w:rsid w:val="0003030D"/>
    <w:rsid w:val="000317B0"/>
    <w:rsid w:val="000317B5"/>
    <w:rsid w:val="00031A51"/>
    <w:rsid w:val="00031AD8"/>
    <w:rsid w:val="00032507"/>
    <w:rsid w:val="0003263B"/>
    <w:rsid w:val="00032945"/>
    <w:rsid w:val="00032C87"/>
    <w:rsid w:val="0003326C"/>
    <w:rsid w:val="00033451"/>
    <w:rsid w:val="000337D1"/>
    <w:rsid w:val="000338AF"/>
    <w:rsid w:val="00033D60"/>
    <w:rsid w:val="00033F10"/>
    <w:rsid w:val="0003411A"/>
    <w:rsid w:val="000341E2"/>
    <w:rsid w:val="00034EC6"/>
    <w:rsid w:val="0003518B"/>
    <w:rsid w:val="000352FB"/>
    <w:rsid w:val="00035741"/>
    <w:rsid w:val="00035BB3"/>
    <w:rsid w:val="0003615A"/>
    <w:rsid w:val="0003646F"/>
    <w:rsid w:val="00036718"/>
    <w:rsid w:val="00036B41"/>
    <w:rsid w:val="000373B1"/>
    <w:rsid w:val="000376BC"/>
    <w:rsid w:val="00037A79"/>
    <w:rsid w:val="00037C33"/>
    <w:rsid w:val="00037EE0"/>
    <w:rsid w:val="000400B7"/>
    <w:rsid w:val="000401FE"/>
    <w:rsid w:val="000409B8"/>
    <w:rsid w:val="00041D2A"/>
    <w:rsid w:val="00041DCD"/>
    <w:rsid w:val="00042FA4"/>
    <w:rsid w:val="000430A7"/>
    <w:rsid w:val="000432DB"/>
    <w:rsid w:val="000439BE"/>
    <w:rsid w:val="00043B5F"/>
    <w:rsid w:val="00045D6D"/>
    <w:rsid w:val="00045F25"/>
    <w:rsid w:val="0004642E"/>
    <w:rsid w:val="00046468"/>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633"/>
    <w:rsid w:val="00054882"/>
    <w:rsid w:val="00054CD3"/>
    <w:rsid w:val="00054EF7"/>
    <w:rsid w:val="00055004"/>
    <w:rsid w:val="00055297"/>
    <w:rsid w:val="00055628"/>
    <w:rsid w:val="00056099"/>
    <w:rsid w:val="00056843"/>
    <w:rsid w:val="00056A75"/>
    <w:rsid w:val="00056EF7"/>
    <w:rsid w:val="00057BF9"/>
    <w:rsid w:val="00057D0E"/>
    <w:rsid w:val="00060262"/>
    <w:rsid w:val="00060B9C"/>
    <w:rsid w:val="0006201F"/>
    <w:rsid w:val="000621D3"/>
    <w:rsid w:val="000622EE"/>
    <w:rsid w:val="00062A6B"/>
    <w:rsid w:val="000632C7"/>
    <w:rsid w:val="000645D9"/>
    <w:rsid w:val="000645E7"/>
    <w:rsid w:val="000647FD"/>
    <w:rsid w:val="00064B0A"/>
    <w:rsid w:val="00065965"/>
    <w:rsid w:val="00066AFD"/>
    <w:rsid w:val="000676C8"/>
    <w:rsid w:val="000677CD"/>
    <w:rsid w:val="000678B9"/>
    <w:rsid w:val="00070703"/>
    <w:rsid w:val="000708BE"/>
    <w:rsid w:val="000712F2"/>
    <w:rsid w:val="00071643"/>
    <w:rsid w:val="000726FF"/>
    <w:rsid w:val="00072D4F"/>
    <w:rsid w:val="0007334E"/>
    <w:rsid w:val="00073362"/>
    <w:rsid w:val="000734DC"/>
    <w:rsid w:val="00074B36"/>
    <w:rsid w:val="00074CDA"/>
    <w:rsid w:val="00074DD7"/>
    <w:rsid w:val="00074E99"/>
    <w:rsid w:val="0007518B"/>
    <w:rsid w:val="000753E0"/>
    <w:rsid w:val="00075498"/>
    <w:rsid w:val="00075C99"/>
    <w:rsid w:val="00075EFF"/>
    <w:rsid w:val="000778B5"/>
    <w:rsid w:val="00080BF4"/>
    <w:rsid w:val="00080DDE"/>
    <w:rsid w:val="00080E2C"/>
    <w:rsid w:val="0008118C"/>
    <w:rsid w:val="000812B0"/>
    <w:rsid w:val="0008205C"/>
    <w:rsid w:val="00082340"/>
    <w:rsid w:val="000826EC"/>
    <w:rsid w:val="00082E07"/>
    <w:rsid w:val="00082EF4"/>
    <w:rsid w:val="000842F0"/>
    <w:rsid w:val="00084368"/>
    <w:rsid w:val="00084375"/>
    <w:rsid w:val="0008450C"/>
    <w:rsid w:val="000846ED"/>
    <w:rsid w:val="0008475F"/>
    <w:rsid w:val="00084999"/>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3ED"/>
    <w:rsid w:val="0008799C"/>
    <w:rsid w:val="00087C52"/>
    <w:rsid w:val="000904D1"/>
    <w:rsid w:val="00091736"/>
    <w:rsid w:val="00091B6C"/>
    <w:rsid w:val="00091D87"/>
    <w:rsid w:val="00091E45"/>
    <w:rsid w:val="00091E7D"/>
    <w:rsid w:val="00091FAE"/>
    <w:rsid w:val="00092740"/>
    <w:rsid w:val="00092B5E"/>
    <w:rsid w:val="00092D49"/>
    <w:rsid w:val="00093241"/>
    <w:rsid w:val="00094033"/>
    <w:rsid w:val="000941F0"/>
    <w:rsid w:val="0009555C"/>
    <w:rsid w:val="000956FC"/>
    <w:rsid w:val="00095C48"/>
    <w:rsid w:val="00096894"/>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A7976"/>
    <w:rsid w:val="000B01EA"/>
    <w:rsid w:val="000B0813"/>
    <w:rsid w:val="000B0B19"/>
    <w:rsid w:val="000B14C4"/>
    <w:rsid w:val="000B1802"/>
    <w:rsid w:val="000B196D"/>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B7F5D"/>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0391"/>
    <w:rsid w:val="000D10DA"/>
    <w:rsid w:val="000D1D86"/>
    <w:rsid w:val="000D1DD8"/>
    <w:rsid w:val="000D2431"/>
    <w:rsid w:val="000D2B8B"/>
    <w:rsid w:val="000D3288"/>
    <w:rsid w:val="000D391A"/>
    <w:rsid w:val="000D3B00"/>
    <w:rsid w:val="000D454A"/>
    <w:rsid w:val="000D46C4"/>
    <w:rsid w:val="000D4780"/>
    <w:rsid w:val="000D50E9"/>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E7D04"/>
    <w:rsid w:val="000F00F1"/>
    <w:rsid w:val="000F0742"/>
    <w:rsid w:val="000F081A"/>
    <w:rsid w:val="000F0991"/>
    <w:rsid w:val="000F0BE1"/>
    <w:rsid w:val="000F0EBE"/>
    <w:rsid w:val="000F0F72"/>
    <w:rsid w:val="000F18D0"/>
    <w:rsid w:val="000F1DAF"/>
    <w:rsid w:val="000F1E70"/>
    <w:rsid w:val="000F2875"/>
    <w:rsid w:val="000F28CA"/>
    <w:rsid w:val="000F2FEE"/>
    <w:rsid w:val="000F39FE"/>
    <w:rsid w:val="000F3FA8"/>
    <w:rsid w:val="000F40C6"/>
    <w:rsid w:val="000F40FB"/>
    <w:rsid w:val="000F41AC"/>
    <w:rsid w:val="000F5681"/>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3B9"/>
    <w:rsid w:val="0010466B"/>
    <w:rsid w:val="00104867"/>
    <w:rsid w:val="00104C84"/>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4646"/>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9DD"/>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1A9F"/>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3CA9"/>
    <w:rsid w:val="00144264"/>
    <w:rsid w:val="00144453"/>
    <w:rsid w:val="00144596"/>
    <w:rsid w:val="001445F4"/>
    <w:rsid w:val="00144B3B"/>
    <w:rsid w:val="00144E8E"/>
    <w:rsid w:val="00145291"/>
    <w:rsid w:val="00145823"/>
    <w:rsid w:val="00145EA4"/>
    <w:rsid w:val="001461D6"/>
    <w:rsid w:val="00146358"/>
    <w:rsid w:val="0014653A"/>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E12"/>
    <w:rsid w:val="00152FE7"/>
    <w:rsid w:val="00153450"/>
    <w:rsid w:val="001534D3"/>
    <w:rsid w:val="00153733"/>
    <w:rsid w:val="00153B59"/>
    <w:rsid w:val="001540EB"/>
    <w:rsid w:val="00154502"/>
    <w:rsid w:val="001545C0"/>
    <w:rsid w:val="00154732"/>
    <w:rsid w:val="001550CD"/>
    <w:rsid w:val="00155C05"/>
    <w:rsid w:val="0015621A"/>
    <w:rsid w:val="001563D8"/>
    <w:rsid w:val="0015653D"/>
    <w:rsid w:val="0015683A"/>
    <w:rsid w:val="00157C29"/>
    <w:rsid w:val="00160282"/>
    <w:rsid w:val="0016165A"/>
    <w:rsid w:val="001625C6"/>
    <w:rsid w:val="001629BC"/>
    <w:rsid w:val="00162D36"/>
    <w:rsid w:val="00162D56"/>
    <w:rsid w:val="001633A1"/>
    <w:rsid w:val="00163DDD"/>
    <w:rsid w:val="00164065"/>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5B94"/>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3840"/>
    <w:rsid w:val="001A428D"/>
    <w:rsid w:val="001A47EA"/>
    <w:rsid w:val="001A5579"/>
    <w:rsid w:val="001A6147"/>
    <w:rsid w:val="001A724F"/>
    <w:rsid w:val="001A76DD"/>
    <w:rsid w:val="001A7907"/>
    <w:rsid w:val="001A7916"/>
    <w:rsid w:val="001A7CA4"/>
    <w:rsid w:val="001B019E"/>
    <w:rsid w:val="001B067D"/>
    <w:rsid w:val="001B08EE"/>
    <w:rsid w:val="001B0965"/>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12F1"/>
    <w:rsid w:val="001C1740"/>
    <w:rsid w:val="001C1B1E"/>
    <w:rsid w:val="001C1C57"/>
    <w:rsid w:val="001C2224"/>
    <w:rsid w:val="001C2348"/>
    <w:rsid w:val="001C2866"/>
    <w:rsid w:val="001C30B3"/>
    <w:rsid w:val="001C31C4"/>
    <w:rsid w:val="001C3426"/>
    <w:rsid w:val="001C3EEA"/>
    <w:rsid w:val="001C455D"/>
    <w:rsid w:val="001C527C"/>
    <w:rsid w:val="001C55EF"/>
    <w:rsid w:val="001C6330"/>
    <w:rsid w:val="001C6B35"/>
    <w:rsid w:val="001C6E55"/>
    <w:rsid w:val="001D046E"/>
    <w:rsid w:val="001D0ABB"/>
    <w:rsid w:val="001D0D37"/>
    <w:rsid w:val="001D109C"/>
    <w:rsid w:val="001D1B5E"/>
    <w:rsid w:val="001D2638"/>
    <w:rsid w:val="001D28CE"/>
    <w:rsid w:val="001D3297"/>
    <w:rsid w:val="001D36DF"/>
    <w:rsid w:val="001D3DB3"/>
    <w:rsid w:val="001D42E3"/>
    <w:rsid w:val="001D43CC"/>
    <w:rsid w:val="001D47CF"/>
    <w:rsid w:val="001D4854"/>
    <w:rsid w:val="001D4D4A"/>
    <w:rsid w:val="001D51A9"/>
    <w:rsid w:val="001D61AF"/>
    <w:rsid w:val="001D62B8"/>
    <w:rsid w:val="001D68EA"/>
    <w:rsid w:val="001D6CB6"/>
    <w:rsid w:val="001D72A6"/>
    <w:rsid w:val="001D7FD0"/>
    <w:rsid w:val="001E0330"/>
    <w:rsid w:val="001E040F"/>
    <w:rsid w:val="001E06A0"/>
    <w:rsid w:val="001E0A69"/>
    <w:rsid w:val="001E0C2D"/>
    <w:rsid w:val="001E143E"/>
    <w:rsid w:val="001E1EF8"/>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4B89"/>
    <w:rsid w:val="001E53D7"/>
    <w:rsid w:val="001E6124"/>
    <w:rsid w:val="001E639B"/>
    <w:rsid w:val="001E65FE"/>
    <w:rsid w:val="001E6880"/>
    <w:rsid w:val="001E754C"/>
    <w:rsid w:val="001F0456"/>
    <w:rsid w:val="001F10F5"/>
    <w:rsid w:val="001F1A88"/>
    <w:rsid w:val="001F233E"/>
    <w:rsid w:val="001F23EE"/>
    <w:rsid w:val="001F278E"/>
    <w:rsid w:val="001F2905"/>
    <w:rsid w:val="001F2972"/>
    <w:rsid w:val="001F31FE"/>
    <w:rsid w:val="001F37AB"/>
    <w:rsid w:val="001F389D"/>
    <w:rsid w:val="001F3ABD"/>
    <w:rsid w:val="001F4B7B"/>
    <w:rsid w:val="001F4DA2"/>
    <w:rsid w:val="001F5077"/>
    <w:rsid w:val="001F5577"/>
    <w:rsid w:val="001F5AFC"/>
    <w:rsid w:val="001F5B4D"/>
    <w:rsid w:val="001F615E"/>
    <w:rsid w:val="001F6274"/>
    <w:rsid w:val="001F6704"/>
    <w:rsid w:val="001F7474"/>
    <w:rsid w:val="001F77C3"/>
    <w:rsid w:val="001F788D"/>
    <w:rsid w:val="001F79AA"/>
    <w:rsid w:val="002008FA"/>
    <w:rsid w:val="00200C80"/>
    <w:rsid w:val="00200ED7"/>
    <w:rsid w:val="0020113F"/>
    <w:rsid w:val="002019D3"/>
    <w:rsid w:val="00201C9D"/>
    <w:rsid w:val="002020F7"/>
    <w:rsid w:val="0020320C"/>
    <w:rsid w:val="00203237"/>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327"/>
    <w:rsid w:val="002114AA"/>
    <w:rsid w:val="002114FD"/>
    <w:rsid w:val="00211745"/>
    <w:rsid w:val="00211791"/>
    <w:rsid w:val="00211CA5"/>
    <w:rsid w:val="002123FA"/>
    <w:rsid w:val="00212A41"/>
    <w:rsid w:val="00212CF3"/>
    <w:rsid w:val="00212D93"/>
    <w:rsid w:val="0021304C"/>
    <w:rsid w:val="002147E8"/>
    <w:rsid w:val="00215693"/>
    <w:rsid w:val="0021578A"/>
    <w:rsid w:val="00215930"/>
    <w:rsid w:val="00216337"/>
    <w:rsid w:val="0022046A"/>
    <w:rsid w:val="00221314"/>
    <w:rsid w:val="0022173F"/>
    <w:rsid w:val="00221D60"/>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865"/>
    <w:rsid w:val="002309E0"/>
    <w:rsid w:val="00230D7E"/>
    <w:rsid w:val="00230EE8"/>
    <w:rsid w:val="0023187B"/>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D78"/>
    <w:rsid w:val="00240F48"/>
    <w:rsid w:val="00241921"/>
    <w:rsid w:val="00241A36"/>
    <w:rsid w:val="00241D1E"/>
    <w:rsid w:val="00242293"/>
    <w:rsid w:val="00242CFE"/>
    <w:rsid w:val="00243174"/>
    <w:rsid w:val="0024383A"/>
    <w:rsid w:val="002442C4"/>
    <w:rsid w:val="00244552"/>
    <w:rsid w:val="00245383"/>
    <w:rsid w:val="0024542F"/>
    <w:rsid w:val="002456C6"/>
    <w:rsid w:val="00245AA6"/>
    <w:rsid w:val="002461D8"/>
    <w:rsid w:val="0024686D"/>
    <w:rsid w:val="00246880"/>
    <w:rsid w:val="00246C81"/>
    <w:rsid w:val="00246D32"/>
    <w:rsid w:val="00247A9D"/>
    <w:rsid w:val="00250296"/>
    <w:rsid w:val="00250A15"/>
    <w:rsid w:val="002514BD"/>
    <w:rsid w:val="002516EC"/>
    <w:rsid w:val="002523DC"/>
    <w:rsid w:val="00252465"/>
    <w:rsid w:val="002524DB"/>
    <w:rsid w:val="002524DD"/>
    <w:rsid w:val="002529D3"/>
    <w:rsid w:val="00252EE1"/>
    <w:rsid w:val="002533D7"/>
    <w:rsid w:val="002535B3"/>
    <w:rsid w:val="00253A57"/>
    <w:rsid w:val="00253CFD"/>
    <w:rsid w:val="00254A52"/>
    <w:rsid w:val="00254ADE"/>
    <w:rsid w:val="00254C9E"/>
    <w:rsid w:val="00254EE2"/>
    <w:rsid w:val="002550C8"/>
    <w:rsid w:val="00255402"/>
    <w:rsid w:val="00256424"/>
    <w:rsid w:val="00256A78"/>
    <w:rsid w:val="00257050"/>
    <w:rsid w:val="00257B1F"/>
    <w:rsid w:val="0026069E"/>
    <w:rsid w:val="0026092C"/>
    <w:rsid w:val="00260BC5"/>
    <w:rsid w:val="00260C92"/>
    <w:rsid w:val="002611B8"/>
    <w:rsid w:val="00261BCC"/>
    <w:rsid w:val="00261C7E"/>
    <w:rsid w:val="00261D8A"/>
    <w:rsid w:val="002620C8"/>
    <w:rsid w:val="002623AF"/>
    <w:rsid w:val="00262477"/>
    <w:rsid w:val="002624BA"/>
    <w:rsid w:val="00262E53"/>
    <w:rsid w:val="00263537"/>
    <w:rsid w:val="00263BD3"/>
    <w:rsid w:val="00263C5C"/>
    <w:rsid w:val="00263E1F"/>
    <w:rsid w:val="00264DD9"/>
    <w:rsid w:val="00264F0B"/>
    <w:rsid w:val="0026562D"/>
    <w:rsid w:val="00265782"/>
    <w:rsid w:val="002658A7"/>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0D2"/>
    <w:rsid w:val="002755FA"/>
    <w:rsid w:val="00275A9D"/>
    <w:rsid w:val="00275ED1"/>
    <w:rsid w:val="00276704"/>
    <w:rsid w:val="002767AA"/>
    <w:rsid w:val="002768ED"/>
    <w:rsid w:val="00276A65"/>
    <w:rsid w:val="00276C3E"/>
    <w:rsid w:val="00276E66"/>
    <w:rsid w:val="00276F03"/>
    <w:rsid w:val="002771A8"/>
    <w:rsid w:val="00277831"/>
    <w:rsid w:val="00277B70"/>
    <w:rsid w:val="00280089"/>
    <w:rsid w:val="00280606"/>
    <w:rsid w:val="00280630"/>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ABC"/>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A04"/>
    <w:rsid w:val="00295A42"/>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C39"/>
    <w:rsid w:val="002D2160"/>
    <w:rsid w:val="002D21F5"/>
    <w:rsid w:val="002D2DD4"/>
    <w:rsid w:val="002D324B"/>
    <w:rsid w:val="002D3A58"/>
    <w:rsid w:val="002D3B40"/>
    <w:rsid w:val="002D3BB9"/>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5E82"/>
    <w:rsid w:val="002E6110"/>
    <w:rsid w:val="002E646C"/>
    <w:rsid w:val="002E6CDB"/>
    <w:rsid w:val="002E7265"/>
    <w:rsid w:val="002E7DA1"/>
    <w:rsid w:val="002E7F3D"/>
    <w:rsid w:val="002F0314"/>
    <w:rsid w:val="002F0AAE"/>
    <w:rsid w:val="002F0F46"/>
    <w:rsid w:val="002F17CD"/>
    <w:rsid w:val="002F1B40"/>
    <w:rsid w:val="002F1DDB"/>
    <w:rsid w:val="002F1F08"/>
    <w:rsid w:val="002F2227"/>
    <w:rsid w:val="002F2276"/>
    <w:rsid w:val="002F2360"/>
    <w:rsid w:val="002F23BA"/>
    <w:rsid w:val="002F27EB"/>
    <w:rsid w:val="002F390D"/>
    <w:rsid w:val="002F4529"/>
    <w:rsid w:val="002F4A86"/>
    <w:rsid w:val="002F4E06"/>
    <w:rsid w:val="002F4EFD"/>
    <w:rsid w:val="002F4FC6"/>
    <w:rsid w:val="002F5301"/>
    <w:rsid w:val="002F5A53"/>
    <w:rsid w:val="002F5A74"/>
    <w:rsid w:val="002F5D3B"/>
    <w:rsid w:val="002F5E0A"/>
    <w:rsid w:val="002F661A"/>
    <w:rsid w:val="002F71AD"/>
    <w:rsid w:val="002F78E1"/>
    <w:rsid w:val="002F7D43"/>
    <w:rsid w:val="003008EA"/>
    <w:rsid w:val="00300E2C"/>
    <w:rsid w:val="00301B37"/>
    <w:rsid w:val="0030280E"/>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701"/>
    <w:rsid w:val="00313B91"/>
    <w:rsid w:val="00314F5B"/>
    <w:rsid w:val="0031552B"/>
    <w:rsid w:val="0031561E"/>
    <w:rsid w:val="00315759"/>
    <w:rsid w:val="00315E8D"/>
    <w:rsid w:val="0031617F"/>
    <w:rsid w:val="003176BE"/>
    <w:rsid w:val="00317875"/>
    <w:rsid w:val="003200B4"/>
    <w:rsid w:val="003200C5"/>
    <w:rsid w:val="003200E7"/>
    <w:rsid w:val="003201EE"/>
    <w:rsid w:val="003202E9"/>
    <w:rsid w:val="0032091F"/>
    <w:rsid w:val="00320C41"/>
    <w:rsid w:val="00320EF2"/>
    <w:rsid w:val="00321488"/>
    <w:rsid w:val="00321A14"/>
    <w:rsid w:val="00321D58"/>
    <w:rsid w:val="00321F83"/>
    <w:rsid w:val="003224B1"/>
    <w:rsid w:val="00322ADD"/>
    <w:rsid w:val="003232DA"/>
    <w:rsid w:val="003235F9"/>
    <w:rsid w:val="00323EC0"/>
    <w:rsid w:val="00324C01"/>
    <w:rsid w:val="00324C7D"/>
    <w:rsid w:val="00324E7B"/>
    <w:rsid w:val="003253F7"/>
    <w:rsid w:val="00325608"/>
    <w:rsid w:val="003257F9"/>
    <w:rsid w:val="00325BD8"/>
    <w:rsid w:val="00326248"/>
    <w:rsid w:val="00326B09"/>
    <w:rsid w:val="00326D3E"/>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50A"/>
    <w:rsid w:val="003437CE"/>
    <w:rsid w:val="00343984"/>
    <w:rsid w:val="003439EC"/>
    <w:rsid w:val="00343B21"/>
    <w:rsid w:val="00343E5D"/>
    <w:rsid w:val="00344704"/>
    <w:rsid w:val="00344A49"/>
    <w:rsid w:val="00344B36"/>
    <w:rsid w:val="00344F74"/>
    <w:rsid w:val="00345E71"/>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3EE6"/>
    <w:rsid w:val="00354452"/>
    <w:rsid w:val="00354BDD"/>
    <w:rsid w:val="003552B2"/>
    <w:rsid w:val="003554CE"/>
    <w:rsid w:val="003555B8"/>
    <w:rsid w:val="00355634"/>
    <w:rsid w:val="00355665"/>
    <w:rsid w:val="00356104"/>
    <w:rsid w:val="003562DD"/>
    <w:rsid w:val="003572D1"/>
    <w:rsid w:val="00360A14"/>
    <w:rsid w:val="00360E44"/>
    <w:rsid w:val="0036168E"/>
    <w:rsid w:val="00361E94"/>
    <w:rsid w:val="00361FC8"/>
    <w:rsid w:val="0036253A"/>
    <w:rsid w:val="00362BF5"/>
    <w:rsid w:val="003634F7"/>
    <w:rsid w:val="0036386C"/>
    <w:rsid w:val="00363ED2"/>
    <w:rsid w:val="00364366"/>
    <w:rsid w:val="00365059"/>
    <w:rsid w:val="0036517C"/>
    <w:rsid w:val="003666A9"/>
    <w:rsid w:val="003666BF"/>
    <w:rsid w:val="0036714A"/>
    <w:rsid w:val="00367EC2"/>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1C10"/>
    <w:rsid w:val="003823F6"/>
    <w:rsid w:val="00382E48"/>
    <w:rsid w:val="003830E8"/>
    <w:rsid w:val="0038367F"/>
    <w:rsid w:val="0038389F"/>
    <w:rsid w:val="00383F3B"/>
    <w:rsid w:val="00383F8A"/>
    <w:rsid w:val="00386016"/>
    <w:rsid w:val="0038654C"/>
    <w:rsid w:val="003865AF"/>
    <w:rsid w:val="00387718"/>
    <w:rsid w:val="0038775D"/>
    <w:rsid w:val="00387F7D"/>
    <w:rsid w:val="003900A5"/>
    <w:rsid w:val="003900EC"/>
    <w:rsid w:val="003906CD"/>
    <w:rsid w:val="00391C0B"/>
    <w:rsid w:val="00391D42"/>
    <w:rsid w:val="00391EDF"/>
    <w:rsid w:val="003923B8"/>
    <w:rsid w:val="003925E7"/>
    <w:rsid w:val="003938DC"/>
    <w:rsid w:val="003939AC"/>
    <w:rsid w:val="00394209"/>
    <w:rsid w:val="00394306"/>
    <w:rsid w:val="00394B16"/>
    <w:rsid w:val="00394C90"/>
    <w:rsid w:val="0039508D"/>
    <w:rsid w:val="00395350"/>
    <w:rsid w:val="00395A55"/>
    <w:rsid w:val="00395B39"/>
    <w:rsid w:val="00395E68"/>
    <w:rsid w:val="00396433"/>
    <w:rsid w:val="003964CD"/>
    <w:rsid w:val="00397083"/>
    <w:rsid w:val="00397223"/>
    <w:rsid w:val="0039799F"/>
    <w:rsid w:val="00397C8B"/>
    <w:rsid w:val="00397EE7"/>
    <w:rsid w:val="003A0260"/>
    <w:rsid w:val="003A0379"/>
    <w:rsid w:val="003A058D"/>
    <w:rsid w:val="003A0AED"/>
    <w:rsid w:val="003A10CA"/>
    <w:rsid w:val="003A1716"/>
    <w:rsid w:val="003A1AEB"/>
    <w:rsid w:val="003A2E01"/>
    <w:rsid w:val="003A3383"/>
    <w:rsid w:val="003A3702"/>
    <w:rsid w:val="003A3CF8"/>
    <w:rsid w:val="003A3F4F"/>
    <w:rsid w:val="003A4380"/>
    <w:rsid w:val="003A43D3"/>
    <w:rsid w:val="003A5232"/>
    <w:rsid w:val="003A58BA"/>
    <w:rsid w:val="003A6515"/>
    <w:rsid w:val="003A656D"/>
    <w:rsid w:val="003A682E"/>
    <w:rsid w:val="003A6A1F"/>
    <w:rsid w:val="003A6CF7"/>
    <w:rsid w:val="003A72A9"/>
    <w:rsid w:val="003A734F"/>
    <w:rsid w:val="003A7BEE"/>
    <w:rsid w:val="003B0BBA"/>
    <w:rsid w:val="003B0E63"/>
    <w:rsid w:val="003B0EC3"/>
    <w:rsid w:val="003B12F3"/>
    <w:rsid w:val="003B1721"/>
    <w:rsid w:val="003B17D7"/>
    <w:rsid w:val="003B1865"/>
    <w:rsid w:val="003B1AF8"/>
    <w:rsid w:val="003B1C29"/>
    <w:rsid w:val="003B2424"/>
    <w:rsid w:val="003B24D9"/>
    <w:rsid w:val="003B2611"/>
    <w:rsid w:val="003B2941"/>
    <w:rsid w:val="003B2AC1"/>
    <w:rsid w:val="003B2C4D"/>
    <w:rsid w:val="003B2E27"/>
    <w:rsid w:val="003B31CA"/>
    <w:rsid w:val="003B3275"/>
    <w:rsid w:val="003B334D"/>
    <w:rsid w:val="003B3EF6"/>
    <w:rsid w:val="003B4FA2"/>
    <w:rsid w:val="003B534A"/>
    <w:rsid w:val="003B573F"/>
    <w:rsid w:val="003B59A2"/>
    <w:rsid w:val="003B5B9B"/>
    <w:rsid w:val="003B5D9F"/>
    <w:rsid w:val="003B61EC"/>
    <w:rsid w:val="003B6DA9"/>
    <w:rsid w:val="003B6E01"/>
    <w:rsid w:val="003B7119"/>
    <w:rsid w:val="003B7C3D"/>
    <w:rsid w:val="003C04E3"/>
    <w:rsid w:val="003C054A"/>
    <w:rsid w:val="003C06A1"/>
    <w:rsid w:val="003C0D75"/>
    <w:rsid w:val="003C1247"/>
    <w:rsid w:val="003C18FB"/>
    <w:rsid w:val="003C1917"/>
    <w:rsid w:val="003C1BEB"/>
    <w:rsid w:val="003C1FE5"/>
    <w:rsid w:val="003C2901"/>
    <w:rsid w:val="003C301C"/>
    <w:rsid w:val="003C3258"/>
    <w:rsid w:val="003C395E"/>
    <w:rsid w:val="003C3A3A"/>
    <w:rsid w:val="003C3EFA"/>
    <w:rsid w:val="003C4B41"/>
    <w:rsid w:val="003C4E05"/>
    <w:rsid w:val="003C4F84"/>
    <w:rsid w:val="003C5E61"/>
    <w:rsid w:val="003C6A61"/>
    <w:rsid w:val="003C6B64"/>
    <w:rsid w:val="003C6D34"/>
    <w:rsid w:val="003C6F40"/>
    <w:rsid w:val="003C6FC6"/>
    <w:rsid w:val="003C773D"/>
    <w:rsid w:val="003C779C"/>
    <w:rsid w:val="003D00DF"/>
    <w:rsid w:val="003D0D03"/>
    <w:rsid w:val="003D1576"/>
    <w:rsid w:val="003D1B66"/>
    <w:rsid w:val="003D1BB9"/>
    <w:rsid w:val="003D1BF2"/>
    <w:rsid w:val="003D242E"/>
    <w:rsid w:val="003D279C"/>
    <w:rsid w:val="003D287E"/>
    <w:rsid w:val="003D4550"/>
    <w:rsid w:val="003D52F1"/>
    <w:rsid w:val="003D5372"/>
    <w:rsid w:val="003D5ECE"/>
    <w:rsid w:val="003D6613"/>
    <w:rsid w:val="003D663C"/>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4B8"/>
    <w:rsid w:val="003E76A6"/>
    <w:rsid w:val="003E7DAC"/>
    <w:rsid w:val="003F017C"/>
    <w:rsid w:val="003F0534"/>
    <w:rsid w:val="003F09D8"/>
    <w:rsid w:val="003F0AB1"/>
    <w:rsid w:val="003F12DB"/>
    <w:rsid w:val="003F13D8"/>
    <w:rsid w:val="003F17A3"/>
    <w:rsid w:val="003F1EB7"/>
    <w:rsid w:val="003F1F96"/>
    <w:rsid w:val="003F21F4"/>
    <w:rsid w:val="003F2602"/>
    <w:rsid w:val="003F340F"/>
    <w:rsid w:val="003F34CA"/>
    <w:rsid w:val="003F3D62"/>
    <w:rsid w:val="003F4164"/>
    <w:rsid w:val="003F4AFA"/>
    <w:rsid w:val="003F54C5"/>
    <w:rsid w:val="003F58BB"/>
    <w:rsid w:val="003F5ED2"/>
    <w:rsid w:val="003F5F65"/>
    <w:rsid w:val="003F609B"/>
    <w:rsid w:val="003F641A"/>
    <w:rsid w:val="003F6F92"/>
    <w:rsid w:val="003F715C"/>
    <w:rsid w:val="003F73BF"/>
    <w:rsid w:val="003F7AAA"/>
    <w:rsid w:val="003F7D17"/>
    <w:rsid w:val="003F7F98"/>
    <w:rsid w:val="00400255"/>
    <w:rsid w:val="00401F20"/>
    <w:rsid w:val="0040233C"/>
    <w:rsid w:val="0040263E"/>
    <w:rsid w:val="0040264A"/>
    <w:rsid w:val="00402B66"/>
    <w:rsid w:val="00402BDC"/>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59C"/>
    <w:rsid w:val="00410723"/>
    <w:rsid w:val="00410995"/>
    <w:rsid w:val="00410B6E"/>
    <w:rsid w:val="004115E5"/>
    <w:rsid w:val="0041165F"/>
    <w:rsid w:val="004119D5"/>
    <w:rsid w:val="00411D76"/>
    <w:rsid w:val="00412229"/>
    <w:rsid w:val="00412B9B"/>
    <w:rsid w:val="00413046"/>
    <w:rsid w:val="00413077"/>
    <w:rsid w:val="004132E8"/>
    <w:rsid w:val="00413345"/>
    <w:rsid w:val="00413A06"/>
    <w:rsid w:val="00413C6D"/>
    <w:rsid w:val="004141AE"/>
    <w:rsid w:val="0041480B"/>
    <w:rsid w:val="00414CEF"/>
    <w:rsid w:val="00415113"/>
    <w:rsid w:val="00415853"/>
    <w:rsid w:val="00415A48"/>
    <w:rsid w:val="00415C7F"/>
    <w:rsid w:val="00415E11"/>
    <w:rsid w:val="00415F26"/>
    <w:rsid w:val="00416BFD"/>
    <w:rsid w:val="00416E4A"/>
    <w:rsid w:val="00416EC0"/>
    <w:rsid w:val="004174AA"/>
    <w:rsid w:val="00417711"/>
    <w:rsid w:val="004179EB"/>
    <w:rsid w:val="0042095B"/>
    <w:rsid w:val="00420EAE"/>
    <w:rsid w:val="00421253"/>
    <w:rsid w:val="00421578"/>
    <w:rsid w:val="004220D6"/>
    <w:rsid w:val="00422276"/>
    <w:rsid w:val="00422304"/>
    <w:rsid w:val="00423B09"/>
    <w:rsid w:val="0042423E"/>
    <w:rsid w:val="00424369"/>
    <w:rsid w:val="004248CE"/>
    <w:rsid w:val="00424E88"/>
    <w:rsid w:val="00424EF6"/>
    <w:rsid w:val="00425297"/>
    <w:rsid w:val="004254A0"/>
    <w:rsid w:val="00425880"/>
    <w:rsid w:val="004259FD"/>
    <w:rsid w:val="00425A14"/>
    <w:rsid w:val="004261FA"/>
    <w:rsid w:val="004263FA"/>
    <w:rsid w:val="0042661D"/>
    <w:rsid w:val="00426A18"/>
    <w:rsid w:val="00426B1F"/>
    <w:rsid w:val="00427436"/>
    <w:rsid w:val="0042745F"/>
    <w:rsid w:val="00427C91"/>
    <w:rsid w:val="004302E8"/>
    <w:rsid w:val="00430F69"/>
    <w:rsid w:val="0043114B"/>
    <w:rsid w:val="00431334"/>
    <w:rsid w:val="004314C5"/>
    <w:rsid w:val="00431F3D"/>
    <w:rsid w:val="0043251B"/>
    <w:rsid w:val="00432660"/>
    <w:rsid w:val="00433F90"/>
    <w:rsid w:val="004342D0"/>
    <w:rsid w:val="00434A69"/>
    <w:rsid w:val="00434EC2"/>
    <w:rsid w:val="004371CD"/>
    <w:rsid w:val="00437B20"/>
    <w:rsid w:val="00440422"/>
    <w:rsid w:val="004406E4"/>
    <w:rsid w:val="0044109B"/>
    <w:rsid w:val="004411E9"/>
    <w:rsid w:val="00441A24"/>
    <w:rsid w:val="00441D14"/>
    <w:rsid w:val="004422B5"/>
    <w:rsid w:val="00442B8B"/>
    <w:rsid w:val="00442EE2"/>
    <w:rsid w:val="00443071"/>
    <w:rsid w:val="0044371A"/>
    <w:rsid w:val="004437EE"/>
    <w:rsid w:val="00443D4F"/>
    <w:rsid w:val="0044419F"/>
    <w:rsid w:val="00444601"/>
    <w:rsid w:val="004448A2"/>
    <w:rsid w:val="00445065"/>
    <w:rsid w:val="00445442"/>
    <w:rsid w:val="004454A5"/>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1010"/>
    <w:rsid w:val="004528A2"/>
    <w:rsid w:val="004529C1"/>
    <w:rsid w:val="00452B77"/>
    <w:rsid w:val="004538D4"/>
    <w:rsid w:val="00454B5D"/>
    <w:rsid w:val="00455081"/>
    <w:rsid w:val="004557CB"/>
    <w:rsid w:val="004562A2"/>
    <w:rsid w:val="004563B6"/>
    <w:rsid w:val="0045749B"/>
    <w:rsid w:val="00457904"/>
    <w:rsid w:val="00457A61"/>
    <w:rsid w:val="00457DDB"/>
    <w:rsid w:val="0046054F"/>
    <w:rsid w:val="00461066"/>
    <w:rsid w:val="00461FB3"/>
    <w:rsid w:val="00462A42"/>
    <w:rsid w:val="00462BC8"/>
    <w:rsid w:val="00462C5C"/>
    <w:rsid w:val="00462E74"/>
    <w:rsid w:val="00463B6A"/>
    <w:rsid w:val="00463E07"/>
    <w:rsid w:val="004643FA"/>
    <w:rsid w:val="00464D36"/>
    <w:rsid w:val="00464F65"/>
    <w:rsid w:val="004650FC"/>
    <w:rsid w:val="00465253"/>
    <w:rsid w:val="00465CFC"/>
    <w:rsid w:val="00466060"/>
    <w:rsid w:val="00466A80"/>
    <w:rsid w:val="00466AD4"/>
    <w:rsid w:val="004676C1"/>
    <w:rsid w:val="0046776E"/>
    <w:rsid w:val="004677E1"/>
    <w:rsid w:val="00467ABD"/>
    <w:rsid w:val="00467B99"/>
    <w:rsid w:val="00470332"/>
    <w:rsid w:val="0047043C"/>
    <w:rsid w:val="004709F5"/>
    <w:rsid w:val="00471C68"/>
    <w:rsid w:val="00471EE2"/>
    <w:rsid w:val="004727DB"/>
    <w:rsid w:val="004729DA"/>
    <w:rsid w:val="00472B53"/>
    <w:rsid w:val="00473079"/>
    <w:rsid w:val="00473786"/>
    <w:rsid w:val="004739FB"/>
    <w:rsid w:val="00473A05"/>
    <w:rsid w:val="00473EE2"/>
    <w:rsid w:val="0047405D"/>
    <w:rsid w:val="0047440D"/>
    <w:rsid w:val="00474A33"/>
    <w:rsid w:val="00475641"/>
    <w:rsid w:val="0047579F"/>
    <w:rsid w:val="00475E05"/>
    <w:rsid w:val="004760BA"/>
    <w:rsid w:val="00476401"/>
    <w:rsid w:val="004768B6"/>
    <w:rsid w:val="00476BD4"/>
    <w:rsid w:val="00476F46"/>
    <w:rsid w:val="00477B37"/>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AE3"/>
    <w:rsid w:val="00490D4C"/>
    <w:rsid w:val="00490E5D"/>
    <w:rsid w:val="0049134D"/>
    <w:rsid w:val="004917E6"/>
    <w:rsid w:val="0049191A"/>
    <w:rsid w:val="00491931"/>
    <w:rsid w:val="00492C46"/>
    <w:rsid w:val="00492D78"/>
    <w:rsid w:val="00493822"/>
    <w:rsid w:val="00494340"/>
    <w:rsid w:val="00494662"/>
    <w:rsid w:val="0049502A"/>
    <w:rsid w:val="00495527"/>
    <w:rsid w:val="00495677"/>
    <w:rsid w:val="00496357"/>
    <w:rsid w:val="00496522"/>
    <w:rsid w:val="00496823"/>
    <w:rsid w:val="0049692C"/>
    <w:rsid w:val="0049697E"/>
    <w:rsid w:val="00497043"/>
    <w:rsid w:val="0049774A"/>
    <w:rsid w:val="004A16B9"/>
    <w:rsid w:val="004A1A99"/>
    <w:rsid w:val="004A1E74"/>
    <w:rsid w:val="004A2090"/>
    <w:rsid w:val="004A34C1"/>
    <w:rsid w:val="004A3FA1"/>
    <w:rsid w:val="004A48FF"/>
    <w:rsid w:val="004A508A"/>
    <w:rsid w:val="004A6A66"/>
    <w:rsid w:val="004A6ADA"/>
    <w:rsid w:val="004A6D27"/>
    <w:rsid w:val="004A7356"/>
    <w:rsid w:val="004A7911"/>
    <w:rsid w:val="004A795F"/>
    <w:rsid w:val="004B0129"/>
    <w:rsid w:val="004B0EAC"/>
    <w:rsid w:val="004B286B"/>
    <w:rsid w:val="004B2B8B"/>
    <w:rsid w:val="004B2E93"/>
    <w:rsid w:val="004B2FE1"/>
    <w:rsid w:val="004B31AE"/>
    <w:rsid w:val="004B344F"/>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415"/>
    <w:rsid w:val="004C25C8"/>
    <w:rsid w:val="004C2FE3"/>
    <w:rsid w:val="004C3825"/>
    <w:rsid w:val="004C4CD2"/>
    <w:rsid w:val="004C50B5"/>
    <w:rsid w:val="004C541D"/>
    <w:rsid w:val="004C5C99"/>
    <w:rsid w:val="004C6293"/>
    <w:rsid w:val="004C6617"/>
    <w:rsid w:val="004C6A39"/>
    <w:rsid w:val="004C6F31"/>
    <w:rsid w:val="004C6F83"/>
    <w:rsid w:val="004C79BF"/>
    <w:rsid w:val="004D09FA"/>
    <w:rsid w:val="004D0ED2"/>
    <w:rsid w:val="004D113A"/>
    <w:rsid w:val="004D1311"/>
    <w:rsid w:val="004D1C76"/>
    <w:rsid w:val="004D1F05"/>
    <w:rsid w:val="004D2025"/>
    <w:rsid w:val="004D35D9"/>
    <w:rsid w:val="004D3892"/>
    <w:rsid w:val="004D3925"/>
    <w:rsid w:val="004D3BA7"/>
    <w:rsid w:val="004D3E0A"/>
    <w:rsid w:val="004D4158"/>
    <w:rsid w:val="004D476B"/>
    <w:rsid w:val="004D480B"/>
    <w:rsid w:val="004D5CCB"/>
    <w:rsid w:val="004D5FFE"/>
    <w:rsid w:val="004D609B"/>
    <w:rsid w:val="004D6239"/>
    <w:rsid w:val="004D6894"/>
    <w:rsid w:val="004D6A25"/>
    <w:rsid w:val="004D6A9B"/>
    <w:rsid w:val="004D6D81"/>
    <w:rsid w:val="004D73BF"/>
    <w:rsid w:val="004D7AE9"/>
    <w:rsid w:val="004D7CED"/>
    <w:rsid w:val="004E0177"/>
    <w:rsid w:val="004E0293"/>
    <w:rsid w:val="004E05A8"/>
    <w:rsid w:val="004E07EF"/>
    <w:rsid w:val="004E0884"/>
    <w:rsid w:val="004E09CC"/>
    <w:rsid w:val="004E0A07"/>
    <w:rsid w:val="004E0BF6"/>
    <w:rsid w:val="004E0CCB"/>
    <w:rsid w:val="004E0DD9"/>
    <w:rsid w:val="004E1392"/>
    <w:rsid w:val="004E1A84"/>
    <w:rsid w:val="004E1EEB"/>
    <w:rsid w:val="004E1F12"/>
    <w:rsid w:val="004E22EF"/>
    <w:rsid w:val="004E3691"/>
    <w:rsid w:val="004E3F48"/>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1D47"/>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69"/>
    <w:rsid w:val="00501083"/>
    <w:rsid w:val="005019C2"/>
    <w:rsid w:val="00501C2B"/>
    <w:rsid w:val="00501C3F"/>
    <w:rsid w:val="00502DA8"/>
    <w:rsid w:val="0050311F"/>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6DB0"/>
    <w:rsid w:val="00507063"/>
    <w:rsid w:val="00510072"/>
    <w:rsid w:val="00510697"/>
    <w:rsid w:val="00510764"/>
    <w:rsid w:val="00510CEA"/>
    <w:rsid w:val="00510DA2"/>
    <w:rsid w:val="00510E02"/>
    <w:rsid w:val="00510EB2"/>
    <w:rsid w:val="00511331"/>
    <w:rsid w:val="0051143D"/>
    <w:rsid w:val="0051207A"/>
    <w:rsid w:val="005120D2"/>
    <w:rsid w:val="005122AA"/>
    <w:rsid w:val="00512C03"/>
    <w:rsid w:val="00513258"/>
    <w:rsid w:val="005134EA"/>
    <w:rsid w:val="005139B5"/>
    <w:rsid w:val="005148E9"/>
    <w:rsid w:val="00514F40"/>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79F"/>
    <w:rsid w:val="00524B7C"/>
    <w:rsid w:val="005253CD"/>
    <w:rsid w:val="005259DB"/>
    <w:rsid w:val="00525C3F"/>
    <w:rsid w:val="00526A27"/>
    <w:rsid w:val="00526A33"/>
    <w:rsid w:val="00527007"/>
    <w:rsid w:val="005275FC"/>
    <w:rsid w:val="00527A65"/>
    <w:rsid w:val="0053063D"/>
    <w:rsid w:val="0053086A"/>
    <w:rsid w:val="00532280"/>
    <w:rsid w:val="00532A8F"/>
    <w:rsid w:val="005334F0"/>
    <w:rsid w:val="005343E7"/>
    <w:rsid w:val="00534DF8"/>
    <w:rsid w:val="005355CE"/>
    <w:rsid w:val="00535C2F"/>
    <w:rsid w:val="00535DB2"/>
    <w:rsid w:val="0053614E"/>
    <w:rsid w:val="005368B0"/>
    <w:rsid w:val="005373CE"/>
    <w:rsid w:val="005373FC"/>
    <w:rsid w:val="005404A8"/>
    <w:rsid w:val="00540733"/>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850"/>
    <w:rsid w:val="005509C4"/>
    <w:rsid w:val="00551B79"/>
    <w:rsid w:val="00551E08"/>
    <w:rsid w:val="00552514"/>
    <w:rsid w:val="0055286A"/>
    <w:rsid w:val="00552889"/>
    <w:rsid w:val="0055298F"/>
    <w:rsid w:val="00552990"/>
    <w:rsid w:val="00552CCD"/>
    <w:rsid w:val="00553486"/>
    <w:rsid w:val="00553E21"/>
    <w:rsid w:val="005543CF"/>
    <w:rsid w:val="00554870"/>
    <w:rsid w:val="005548D9"/>
    <w:rsid w:val="00554EBE"/>
    <w:rsid w:val="00554F8A"/>
    <w:rsid w:val="005550DF"/>
    <w:rsid w:val="00556920"/>
    <w:rsid w:val="00556A12"/>
    <w:rsid w:val="00557091"/>
    <w:rsid w:val="0055714D"/>
    <w:rsid w:val="00557ABA"/>
    <w:rsid w:val="005601D8"/>
    <w:rsid w:val="00560408"/>
    <w:rsid w:val="00560E8F"/>
    <w:rsid w:val="00560EE2"/>
    <w:rsid w:val="005613DB"/>
    <w:rsid w:val="005615C3"/>
    <w:rsid w:val="00561688"/>
    <w:rsid w:val="00561A3E"/>
    <w:rsid w:val="00561B4C"/>
    <w:rsid w:val="00561D72"/>
    <w:rsid w:val="0056214C"/>
    <w:rsid w:val="0056295D"/>
    <w:rsid w:val="00562ABE"/>
    <w:rsid w:val="00562E97"/>
    <w:rsid w:val="00562EBD"/>
    <w:rsid w:val="00563DF2"/>
    <w:rsid w:val="0056412E"/>
    <w:rsid w:val="005643D0"/>
    <w:rsid w:val="005644F1"/>
    <w:rsid w:val="00564879"/>
    <w:rsid w:val="00564EE1"/>
    <w:rsid w:val="005650F1"/>
    <w:rsid w:val="0056513B"/>
    <w:rsid w:val="00565A50"/>
    <w:rsid w:val="00565E05"/>
    <w:rsid w:val="00567270"/>
    <w:rsid w:val="005674EB"/>
    <w:rsid w:val="00567511"/>
    <w:rsid w:val="005678F6"/>
    <w:rsid w:val="00570E8B"/>
    <w:rsid w:val="005714F2"/>
    <w:rsid w:val="00571A5A"/>
    <w:rsid w:val="00571D59"/>
    <w:rsid w:val="005722FC"/>
    <w:rsid w:val="00572331"/>
    <w:rsid w:val="00572344"/>
    <w:rsid w:val="00572358"/>
    <w:rsid w:val="0057281C"/>
    <w:rsid w:val="0057284B"/>
    <w:rsid w:val="005732AA"/>
    <w:rsid w:val="005733C9"/>
    <w:rsid w:val="00573551"/>
    <w:rsid w:val="00573D51"/>
    <w:rsid w:val="00574004"/>
    <w:rsid w:val="00574058"/>
    <w:rsid w:val="005749B4"/>
    <w:rsid w:val="00574B91"/>
    <w:rsid w:val="00575571"/>
    <w:rsid w:val="00575751"/>
    <w:rsid w:val="005757C0"/>
    <w:rsid w:val="00575EDF"/>
    <w:rsid w:val="0057685C"/>
    <w:rsid w:val="00576AC4"/>
    <w:rsid w:val="00576E4A"/>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D0B"/>
    <w:rsid w:val="0058642D"/>
    <w:rsid w:val="0058654B"/>
    <w:rsid w:val="00586685"/>
    <w:rsid w:val="00586F56"/>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A7F6B"/>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C89"/>
    <w:rsid w:val="005C0F1E"/>
    <w:rsid w:val="005C1337"/>
    <w:rsid w:val="005C13F9"/>
    <w:rsid w:val="005C1986"/>
    <w:rsid w:val="005C1B5F"/>
    <w:rsid w:val="005C2199"/>
    <w:rsid w:val="005C221B"/>
    <w:rsid w:val="005C223F"/>
    <w:rsid w:val="005C224F"/>
    <w:rsid w:val="005C2266"/>
    <w:rsid w:val="005C2C93"/>
    <w:rsid w:val="005C3FA2"/>
    <w:rsid w:val="005C43D0"/>
    <w:rsid w:val="005C4766"/>
    <w:rsid w:val="005C4AD2"/>
    <w:rsid w:val="005C4BFC"/>
    <w:rsid w:val="005C4D8D"/>
    <w:rsid w:val="005C52DC"/>
    <w:rsid w:val="005C5B79"/>
    <w:rsid w:val="005C63F1"/>
    <w:rsid w:val="005C66AF"/>
    <w:rsid w:val="005C6808"/>
    <w:rsid w:val="005C6AFA"/>
    <w:rsid w:val="005C7986"/>
    <w:rsid w:val="005C7ABF"/>
    <w:rsid w:val="005C7F49"/>
    <w:rsid w:val="005C7FAF"/>
    <w:rsid w:val="005D15E3"/>
    <w:rsid w:val="005D1CCD"/>
    <w:rsid w:val="005D23CA"/>
    <w:rsid w:val="005D24FF"/>
    <w:rsid w:val="005D27EC"/>
    <w:rsid w:val="005D2A77"/>
    <w:rsid w:val="005D364F"/>
    <w:rsid w:val="005D3DDD"/>
    <w:rsid w:val="005D4324"/>
    <w:rsid w:val="005D5439"/>
    <w:rsid w:val="005D56AE"/>
    <w:rsid w:val="005D5DCA"/>
    <w:rsid w:val="005D5F40"/>
    <w:rsid w:val="005D68F1"/>
    <w:rsid w:val="005D6B1F"/>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2C8"/>
    <w:rsid w:val="005F040A"/>
    <w:rsid w:val="005F0699"/>
    <w:rsid w:val="005F0828"/>
    <w:rsid w:val="005F08EC"/>
    <w:rsid w:val="005F1058"/>
    <w:rsid w:val="005F10D8"/>
    <w:rsid w:val="005F1506"/>
    <w:rsid w:val="005F1B6C"/>
    <w:rsid w:val="005F1DAA"/>
    <w:rsid w:val="005F25F8"/>
    <w:rsid w:val="005F386B"/>
    <w:rsid w:val="005F39C2"/>
    <w:rsid w:val="005F3A6F"/>
    <w:rsid w:val="005F4FAF"/>
    <w:rsid w:val="005F53F9"/>
    <w:rsid w:val="005F57E8"/>
    <w:rsid w:val="005F5813"/>
    <w:rsid w:val="005F6245"/>
    <w:rsid w:val="005F64EC"/>
    <w:rsid w:val="005F730C"/>
    <w:rsid w:val="005F7C07"/>
    <w:rsid w:val="006008F2"/>
    <w:rsid w:val="006012EF"/>
    <w:rsid w:val="006019DD"/>
    <w:rsid w:val="0060232B"/>
    <w:rsid w:val="0060253F"/>
    <w:rsid w:val="00602947"/>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07E54"/>
    <w:rsid w:val="0061050D"/>
    <w:rsid w:val="00610560"/>
    <w:rsid w:val="006106D7"/>
    <w:rsid w:val="00610899"/>
    <w:rsid w:val="00612431"/>
    <w:rsid w:val="0061288C"/>
    <w:rsid w:val="00612F73"/>
    <w:rsid w:val="00612FE4"/>
    <w:rsid w:val="006134AF"/>
    <w:rsid w:val="006134F7"/>
    <w:rsid w:val="00613FE7"/>
    <w:rsid w:val="006143F1"/>
    <w:rsid w:val="0061443B"/>
    <w:rsid w:val="006149F8"/>
    <w:rsid w:val="006153E4"/>
    <w:rsid w:val="00615CB5"/>
    <w:rsid w:val="00615E24"/>
    <w:rsid w:val="006164A3"/>
    <w:rsid w:val="006164D0"/>
    <w:rsid w:val="006166BC"/>
    <w:rsid w:val="0061695C"/>
    <w:rsid w:val="00616FB7"/>
    <w:rsid w:val="006171E9"/>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EB9"/>
    <w:rsid w:val="0063120E"/>
    <w:rsid w:val="006315E3"/>
    <w:rsid w:val="006322D8"/>
    <w:rsid w:val="006326CA"/>
    <w:rsid w:val="006326D2"/>
    <w:rsid w:val="00633E59"/>
    <w:rsid w:val="00633FB2"/>
    <w:rsid w:val="00634843"/>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7B"/>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2DE4"/>
    <w:rsid w:val="0066366E"/>
    <w:rsid w:val="00663F87"/>
    <w:rsid w:val="00664141"/>
    <w:rsid w:val="006641DB"/>
    <w:rsid w:val="00664FC2"/>
    <w:rsid w:val="00665E63"/>
    <w:rsid w:val="00666761"/>
    <w:rsid w:val="0066680D"/>
    <w:rsid w:val="006673D8"/>
    <w:rsid w:val="0066761F"/>
    <w:rsid w:val="00667BD3"/>
    <w:rsid w:val="00667E67"/>
    <w:rsid w:val="00670318"/>
    <w:rsid w:val="006705BD"/>
    <w:rsid w:val="00671012"/>
    <w:rsid w:val="0067122E"/>
    <w:rsid w:val="006716CD"/>
    <w:rsid w:val="006719B5"/>
    <w:rsid w:val="00671A96"/>
    <w:rsid w:val="00671CA6"/>
    <w:rsid w:val="00671EAF"/>
    <w:rsid w:val="00671ED7"/>
    <w:rsid w:val="00673420"/>
    <w:rsid w:val="006739FC"/>
    <w:rsid w:val="00673DF0"/>
    <w:rsid w:val="00673F48"/>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823"/>
    <w:rsid w:val="00681EF4"/>
    <w:rsid w:val="00681FC2"/>
    <w:rsid w:val="006826CF"/>
    <w:rsid w:val="00682894"/>
    <w:rsid w:val="00682DE8"/>
    <w:rsid w:val="00684A9F"/>
    <w:rsid w:val="00684D86"/>
    <w:rsid w:val="00684EF0"/>
    <w:rsid w:val="00685316"/>
    <w:rsid w:val="00685B74"/>
    <w:rsid w:val="0068699A"/>
    <w:rsid w:val="00687351"/>
    <w:rsid w:val="00687D44"/>
    <w:rsid w:val="0069045A"/>
    <w:rsid w:val="00690C74"/>
    <w:rsid w:val="00691139"/>
    <w:rsid w:val="00691315"/>
    <w:rsid w:val="00691512"/>
    <w:rsid w:val="0069265E"/>
    <w:rsid w:val="00693FC9"/>
    <w:rsid w:val="00694C52"/>
    <w:rsid w:val="006966A1"/>
    <w:rsid w:val="00696844"/>
    <w:rsid w:val="00697380"/>
    <w:rsid w:val="0069751F"/>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0C"/>
    <w:rsid w:val="006B11EE"/>
    <w:rsid w:val="006B1586"/>
    <w:rsid w:val="006B171F"/>
    <w:rsid w:val="006B1A14"/>
    <w:rsid w:val="006B2AED"/>
    <w:rsid w:val="006B2BF3"/>
    <w:rsid w:val="006B2D99"/>
    <w:rsid w:val="006B2E6C"/>
    <w:rsid w:val="006B31B6"/>
    <w:rsid w:val="006B348D"/>
    <w:rsid w:val="006B35B8"/>
    <w:rsid w:val="006B35BA"/>
    <w:rsid w:val="006B3B23"/>
    <w:rsid w:val="006B3B5B"/>
    <w:rsid w:val="006B418B"/>
    <w:rsid w:val="006B428D"/>
    <w:rsid w:val="006B5E4E"/>
    <w:rsid w:val="006B5EA5"/>
    <w:rsid w:val="006B6041"/>
    <w:rsid w:val="006B6993"/>
    <w:rsid w:val="006B6A85"/>
    <w:rsid w:val="006B6DE2"/>
    <w:rsid w:val="006B73DF"/>
    <w:rsid w:val="006B7D4E"/>
    <w:rsid w:val="006C03AE"/>
    <w:rsid w:val="006C0424"/>
    <w:rsid w:val="006C0548"/>
    <w:rsid w:val="006C06FC"/>
    <w:rsid w:val="006C11FC"/>
    <w:rsid w:val="006C120D"/>
    <w:rsid w:val="006C1FCB"/>
    <w:rsid w:val="006C2800"/>
    <w:rsid w:val="006C2ABE"/>
    <w:rsid w:val="006C2B60"/>
    <w:rsid w:val="006C2C88"/>
    <w:rsid w:val="006C2D1A"/>
    <w:rsid w:val="006C2E0C"/>
    <w:rsid w:val="006C2F54"/>
    <w:rsid w:val="006C32AE"/>
    <w:rsid w:val="006C3BB0"/>
    <w:rsid w:val="006C3BC6"/>
    <w:rsid w:val="006C3D91"/>
    <w:rsid w:val="006C425F"/>
    <w:rsid w:val="006C43CF"/>
    <w:rsid w:val="006C4F90"/>
    <w:rsid w:val="006C51F7"/>
    <w:rsid w:val="006C584C"/>
    <w:rsid w:val="006C5B42"/>
    <w:rsid w:val="006C5FDF"/>
    <w:rsid w:val="006C755C"/>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297"/>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378"/>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CCD"/>
    <w:rsid w:val="006F6D8D"/>
    <w:rsid w:val="006F6ECA"/>
    <w:rsid w:val="006F7128"/>
    <w:rsid w:val="006F7139"/>
    <w:rsid w:val="006F7467"/>
    <w:rsid w:val="006F75C7"/>
    <w:rsid w:val="007040E9"/>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D2C"/>
    <w:rsid w:val="00714178"/>
    <w:rsid w:val="00714652"/>
    <w:rsid w:val="0071475B"/>
    <w:rsid w:val="007153BB"/>
    <w:rsid w:val="00715924"/>
    <w:rsid w:val="00715B01"/>
    <w:rsid w:val="00716304"/>
    <w:rsid w:val="007169E2"/>
    <w:rsid w:val="00716BE2"/>
    <w:rsid w:val="007170D6"/>
    <w:rsid w:val="00717B8B"/>
    <w:rsid w:val="00717EF5"/>
    <w:rsid w:val="00720051"/>
    <w:rsid w:val="00720686"/>
    <w:rsid w:val="00720728"/>
    <w:rsid w:val="00721094"/>
    <w:rsid w:val="0072156F"/>
    <w:rsid w:val="00722004"/>
    <w:rsid w:val="00722EE8"/>
    <w:rsid w:val="0072378B"/>
    <w:rsid w:val="00724681"/>
    <w:rsid w:val="00724B9C"/>
    <w:rsid w:val="007251FC"/>
    <w:rsid w:val="007256B1"/>
    <w:rsid w:val="00725DD8"/>
    <w:rsid w:val="00725F9F"/>
    <w:rsid w:val="007260AB"/>
    <w:rsid w:val="00726E5B"/>
    <w:rsid w:val="007277E2"/>
    <w:rsid w:val="00727C45"/>
    <w:rsid w:val="00727FA4"/>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97B"/>
    <w:rsid w:val="00736BB9"/>
    <w:rsid w:val="00740224"/>
    <w:rsid w:val="007408F0"/>
    <w:rsid w:val="00740B99"/>
    <w:rsid w:val="00741048"/>
    <w:rsid w:val="00741BCD"/>
    <w:rsid w:val="0074301C"/>
    <w:rsid w:val="0074332E"/>
    <w:rsid w:val="00743570"/>
    <w:rsid w:val="00743665"/>
    <w:rsid w:val="00743A37"/>
    <w:rsid w:val="00743D77"/>
    <w:rsid w:val="00743F40"/>
    <w:rsid w:val="00744810"/>
    <w:rsid w:val="00744939"/>
    <w:rsid w:val="00745171"/>
    <w:rsid w:val="007453D3"/>
    <w:rsid w:val="00745DC5"/>
    <w:rsid w:val="00746852"/>
    <w:rsid w:val="00746D7C"/>
    <w:rsid w:val="0074745B"/>
    <w:rsid w:val="00747C74"/>
    <w:rsid w:val="007504D5"/>
    <w:rsid w:val="00750D27"/>
    <w:rsid w:val="00751059"/>
    <w:rsid w:val="00751161"/>
    <w:rsid w:val="0075183E"/>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E80"/>
    <w:rsid w:val="00763AEE"/>
    <w:rsid w:val="00763B20"/>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458"/>
    <w:rsid w:val="00767676"/>
    <w:rsid w:val="00770342"/>
    <w:rsid w:val="00770819"/>
    <w:rsid w:val="007709DB"/>
    <w:rsid w:val="00771A04"/>
    <w:rsid w:val="007726C3"/>
    <w:rsid w:val="00772AAB"/>
    <w:rsid w:val="00773A8F"/>
    <w:rsid w:val="0077435E"/>
    <w:rsid w:val="007745EF"/>
    <w:rsid w:val="00774870"/>
    <w:rsid w:val="00774A0E"/>
    <w:rsid w:val="00774B65"/>
    <w:rsid w:val="00774C47"/>
    <w:rsid w:val="0077506C"/>
    <w:rsid w:val="007750D5"/>
    <w:rsid w:val="007751D3"/>
    <w:rsid w:val="00775C12"/>
    <w:rsid w:val="00775DF5"/>
    <w:rsid w:val="00775F6B"/>
    <w:rsid w:val="00776073"/>
    <w:rsid w:val="00776359"/>
    <w:rsid w:val="00776B7D"/>
    <w:rsid w:val="00776EDB"/>
    <w:rsid w:val="0077702F"/>
    <w:rsid w:val="00777D75"/>
    <w:rsid w:val="007803B5"/>
    <w:rsid w:val="0078055D"/>
    <w:rsid w:val="0078059E"/>
    <w:rsid w:val="00780C20"/>
    <w:rsid w:val="00782679"/>
    <w:rsid w:val="00782783"/>
    <w:rsid w:val="00783617"/>
    <w:rsid w:val="00783F34"/>
    <w:rsid w:val="00784640"/>
    <w:rsid w:val="00784C58"/>
    <w:rsid w:val="00784C9F"/>
    <w:rsid w:val="00784D52"/>
    <w:rsid w:val="00784DAF"/>
    <w:rsid w:val="00785161"/>
    <w:rsid w:val="0078538E"/>
    <w:rsid w:val="007860A5"/>
    <w:rsid w:val="007867B0"/>
    <w:rsid w:val="007870DF"/>
    <w:rsid w:val="0079114A"/>
    <w:rsid w:val="00791193"/>
    <w:rsid w:val="0079124F"/>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A0304"/>
    <w:rsid w:val="007A0CE2"/>
    <w:rsid w:val="007A1FDB"/>
    <w:rsid w:val="007A2472"/>
    <w:rsid w:val="007A27C9"/>
    <w:rsid w:val="007A29BF"/>
    <w:rsid w:val="007A2AF5"/>
    <w:rsid w:val="007A2C9D"/>
    <w:rsid w:val="007A3255"/>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09D"/>
    <w:rsid w:val="007B3244"/>
    <w:rsid w:val="007B4316"/>
    <w:rsid w:val="007B4C24"/>
    <w:rsid w:val="007B56B9"/>
    <w:rsid w:val="007B579F"/>
    <w:rsid w:val="007B59E7"/>
    <w:rsid w:val="007B5BC6"/>
    <w:rsid w:val="007B5CE9"/>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594"/>
    <w:rsid w:val="007C7757"/>
    <w:rsid w:val="007C7BB2"/>
    <w:rsid w:val="007C7FC0"/>
    <w:rsid w:val="007D011E"/>
    <w:rsid w:val="007D047F"/>
    <w:rsid w:val="007D0731"/>
    <w:rsid w:val="007D0DBC"/>
    <w:rsid w:val="007D1415"/>
    <w:rsid w:val="007D2A88"/>
    <w:rsid w:val="007D2E7B"/>
    <w:rsid w:val="007D3015"/>
    <w:rsid w:val="007D301E"/>
    <w:rsid w:val="007D4E7F"/>
    <w:rsid w:val="007D6402"/>
    <w:rsid w:val="007D6632"/>
    <w:rsid w:val="007D6F56"/>
    <w:rsid w:val="007D7A35"/>
    <w:rsid w:val="007E0935"/>
    <w:rsid w:val="007E0CAF"/>
    <w:rsid w:val="007E1499"/>
    <w:rsid w:val="007E18C3"/>
    <w:rsid w:val="007E1A8F"/>
    <w:rsid w:val="007E25D4"/>
    <w:rsid w:val="007E25FC"/>
    <w:rsid w:val="007E2996"/>
    <w:rsid w:val="007E344C"/>
    <w:rsid w:val="007E3DD0"/>
    <w:rsid w:val="007E4208"/>
    <w:rsid w:val="007E42BA"/>
    <w:rsid w:val="007E437C"/>
    <w:rsid w:val="007E4A92"/>
    <w:rsid w:val="007E52DE"/>
    <w:rsid w:val="007E6128"/>
    <w:rsid w:val="007E671D"/>
    <w:rsid w:val="007E6F5F"/>
    <w:rsid w:val="007E72BD"/>
    <w:rsid w:val="007E73D2"/>
    <w:rsid w:val="007E7532"/>
    <w:rsid w:val="007E7771"/>
    <w:rsid w:val="007E7987"/>
    <w:rsid w:val="007E79B5"/>
    <w:rsid w:val="007E79C2"/>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6D24"/>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CAF"/>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AF4"/>
    <w:rsid w:val="00814F7E"/>
    <w:rsid w:val="00815080"/>
    <w:rsid w:val="008158F8"/>
    <w:rsid w:val="0081738A"/>
    <w:rsid w:val="00817782"/>
    <w:rsid w:val="00817E82"/>
    <w:rsid w:val="00817F3F"/>
    <w:rsid w:val="00817FC8"/>
    <w:rsid w:val="00817FEA"/>
    <w:rsid w:val="0082044F"/>
    <w:rsid w:val="0082082A"/>
    <w:rsid w:val="008209A4"/>
    <w:rsid w:val="008223AB"/>
    <w:rsid w:val="008224DB"/>
    <w:rsid w:val="0082272F"/>
    <w:rsid w:val="00822A45"/>
    <w:rsid w:val="008233DF"/>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02D"/>
    <w:rsid w:val="0083622F"/>
    <w:rsid w:val="00836869"/>
    <w:rsid w:val="00836E8C"/>
    <w:rsid w:val="0083763E"/>
    <w:rsid w:val="00837C6F"/>
    <w:rsid w:val="0084094C"/>
    <w:rsid w:val="00840EA2"/>
    <w:rsid w:val="00840ED7"/>
    <w:rsid w:val="0084144F"/>
    <w:rsid w:val="00841B97"/>
    <w:rsid w:val="00842139"/>
    <w:rsid w:val="0084229A"/>
    <w:rsid w:val="008425BF"/>
    <w:rsid w:val="0084276C"/>
    <w:rsid w:val="008427AD"/>
    <w:rsid w:val="00842C50"/>
    <w:rsid w:val="0084309A"/>
    <w:rsid w:val="00843508"/>
    <w:rsid w:val="00843A0F"/>
    <w:rsid w:val="008440DD"/>
    <w:rsid w:val="00844423"/>
    <w:rsid w:val="00844B1C"/>
    <w:rsid w:val="008451B6"/>
    <w:rsid w:val="008459E6"/>
    <w:rsid w:val="00845C31"/>
    <w:rsid w:val="0084708C"/>
    <w:rsid w:val="00847767"/>
    <w:rsid w:val="00847809"/>
    <w:rsid w:val="00847942"/>
    <w:rsid w:val="00847D04"/>
    <w:rsid w:val="00850CDA"/>
    <w:rsid w:val="00850D1C"/>
    <w:rsid w:val="00851023"/>
    <w:rsid w:val="008511AA"/>
    <w:rsid w:val="00851A80"/>
    <w:rsid w:val="008522CE"/>
    <w:rsid w:val="00852F38"/>
    <w:rsid w:val="00853397"/>
    <w:rsid w:val="008537DF"/>
    <w:rsid w:val="00853A52"/>
    <w:rsid w:val="00854884"/>
    <w:rsid w:val="00854E40"/>
    <w:rsid w:val="00855193"/>
    <w:rsid w:val="00855841"/>
    <w:rsid w:val="00855A0B"/>
    <w:rsid w:val="00855C71"/>
    <w:rsid w:val="0085635F"/>
    <w:rsid w:val="00856541"/>
    <w:rsid w:val="0085664F"/>
    <w:rsid w:val="00856834"/>
    <w:rsid w:val="00856B78"/>
    <w:rsid w:val="00856DD2"/>
    <w:rsid w:val="00856FC7"/>
    <w:rsid w:val="0085735B"/>
    <w:rsid w:val="0085780A"/>
    <w:rsid w:val="0085783B"/>
    <w:rsid w:val="0085789C"/>
    <w:rsid w:val="00857D25"/>
    <w:rsid w:val="0086023D"/>
    <w:rsid w:val="008603FB"/>
    <w:rsid w:val="00860C36"/>
    <w:rsid w:val="0086132E"/>
    <w:rsid w:val="00862474"/>
    <w:rsid w:val="00862D16"/>
    <w:rsid w:val="008631BE"/>
    <w:rsid w:val="008632AF"/>
    <w:rsid w:val="0086405D"/>
    <w:rsid w:val="00864361"/>
    <w:rsid w:val="008647CD"/>
    <w:rsid w:val="00864A3C"/>
    <w:rsid w:val="00864FF6"/>
    <w:rsid w:val="00865F4D"/>
    <w:rsid w:val="008664A8"/>
    <w:rsid w:val="008672BE"/>
    <w:rsid w:val="00867531"/>
    <w:rsid w:val="0087070F"/>
    <w:rsid w:val="0087082D"/>
    <w:rsid w:val="00871125"/>
    <w:rsid w:val="008713FF"/>
    <w:rsid w:val="0087166E"/>
    <w:rsid w:val="00871CD2"/>
    <w:rsid w:val="00871DB7"/>
    <w:rsid w:val="00873872"/>
    <w:rsid w:val="00873B92"/>
    <w:rsid w:val="008741CE"/>
    <w:rsid w:val="008742DA"/>
    <w:rsid w:val="00874A37"/>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4ADE"/>
    <w:rsid w:val="00885593"/>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6A7"/>
    <w:rsid w:val="008A1764"/>
    <w:rsid w:val="008A186C"/>
    <w:rsid w:val="008A19C8"/>
    <w:rsid w:val="008A21EF"/>
    <w:rsid w:val="008A2305"/>
    <w:rsid w:val="008A2D4F"/>
    <w:rsid w:val="008A3114"/>
    <w:rsid w:val="008A340B"/>
    <w:rsid w:val="008A35C1"/>
    <w:rsid w:val="008A4C81"/>
    <w:rsid w:val="008A4F3D"/>
    <w:rsid w:val="008A55C2"/>
    <w:rsid w:val="008A566C"/>
    <w:rsid w:val="008A5B5E"/>
    <w:rsid w:val="008A62D1"/>
    <w:rsid w:val="008A6818"/>
    <w:rsid w:val="008A6B21"/>
    <w:rsid w:val="008A6ED3"/>
    <w:rsid w:val="008A76AE"/>
    <w:rsid w:val="008A78F2"/>
    <w:rsid w:val="008A78FE"/>
    <w:rsid w:val="008A7E7D"/>
    <w:rsid w:val="008B0472"/>
    <w:rsid w:val="008B0513"/>
    <w:rsid w:val="008B0D0B"/>
    <w:rsid w:val="008B2FA5"/>
    <w:rsid w:val="008B308B"/>
    <w:rsid w:val="008B3597"/>
    <w:rsid w:val="008B35B5"/>
    <w:rsid w:val="008B3625"/>
    <w:rsid w:val="008B3826"/>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29F2"/>
    <w:rsid w:val="008C2B92"/>
    <w:rsid w:val="008C3837"/>
    <w:rsid w:val="008C40FA"/>
    <w:rsid w:val="008C49D3"/>
    <w:rsid w:val="008C611B"/>
    <w:rsid w:val="008C67CE"/>
    <w:rsid w:val="008C68CB"/>
    <w:rsid w:val="008C6CE0"/>
    <w:rsid w:val="008C7916"/>
    <w:rsid w:val="008C7D37"/>
    <w:rsid w:val="008D0493"/>
    <w:rsid w:val="008D1018"/>
    <w:rsid w:val="008D15CE"/>
    <w:rsid w:val="008D16AE"/>
    <w:rsid w:val="008D1920"/>
    <w:rsid w:val="008D1EF7"/>
    <w:rsid w:val="008D1F1D"/>
    <w:rsid w:val="008D20D3"/>
    <w:rsid w:val="008D2DCA"/>
    <w:rsid w:val="008D345B"/>
    <w:rsid w:val="008D38EB"/>
    <w:rsid w:val="008D4017"/>
    <w:rsid w:val="008D406F"/>
    <w:rsid w:val="008D4424"/>
    <w:rsid w:val="008D46DD"/>
    <w:rsid w:val="008D5232"/>
    <w:rsid w:val="008D5553"/>
    <w:rsid w:val="008D5AC0"/>
    <w:rsid w:val="008D5C28"/>
    <w:rsid w:val="008D6312"/>
    <w:rsid w:val="008D681D"/>
    <w:rsid w:val="008D7021"/>
    <w:rsid w:val="008D7B9E"/>
    <w:rsid w:val="008D7D37"/>
    <w:rsid w:val="008E006B"/>
    <w:rsid w:val="008E0E03"/>
    <w:rsid w:val="008E10F5"/>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C9"/>
    <w:rsid w:val="008E77F3"/>
    <w:rsid w:val="008E7AA0"/>
    <w:rsid w:val="008E7C2E"/>
    <w:rsid w:val="008F019E"/>
    <w:rsid w:val="008F0855"/>
    <w:rsid w:val="008F1419"/>
    <w:rsid w:val="008F1AAE"/>
    <w:rsid w:val="008F1BA8"/>
    <w:rsid w:val="008F1F05"/>
    <w:rsid w:val="008F2408"/>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3F79"/>
    <w:rsid w:val="009144F6"/>
    <w:rsid w:val="00914893"/>
    <w:rsid w:val="00914CFF"/>
    <w:rsid w:val="009157DD"/>
    <w:rsid w:val="0091592F"/>
    <w:rsid w:val="00915AF3"/>
    <w:rsid w:val="00916203"/>
    <w:rsid w:val="009165DF"/>
    <w:rsid w:val="00916787"/>
    <w:rsid w:val="009167BE"/>
    <w:rsid w:val="00917029"/>
    <w:rsid w:val="00917CED"/>
    <w:rsid w:val="00917E6C"/>
    <w:rsid w:val="009202D9"/>
    <w:rsid w:val="00920AC0"/>
    <w:rsid w:val="009211D6"/>
    <w:rsid w:val="009219A1"/>
    <w:rsid w:val="00921FA9"/>
    <w:rsid w:val="00922435"/>
    <w:rsid w:val="00922444"/>
    <w:rsid w:val="0092254F"/>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3A9"/>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481"/>
    <w:rsid w:val="009455B3"/>
    <w:rsid w:val="00945699"/>
    <w:rsid w:val="009458C7"/>
    <w:rsid w:val="00945AEF"/>
    <w:rsid w:val="00945BE4"/>
    <w:rsid w:val="00946BE9"/>
    <w:rsid w:val="00946D4F"/>
    <w:rsid w:val="00946D86"/>
    <w:rsid w:val="00947429"/>
    <w:rsid w:val="00947779"/>
    <w:rsid w:val="009504F6"/>
    <w:rsid w:val="00950EB1"/>
    <w:rsid w:val="00951A5F"/>
    <w:rsid w:val="00951FB1"/>
    <w:rsid w:val="0095205D"/>
    <w:rsid w:val="00952134"/>
    <w:rsid w:val="00952AF3"/>
    <w:rsid w:val="00952EBD"/>
    <w:rsid w:val="00952FCF"/>
    <w:rsid w:val="0095350B"/>
    <w:rsid w:val="00953B10"/>
    <w:rsid w:val="00953DFF"/>
    <w:rsid w:val="00954192"/>
    <w:rsid w:val="0095450B"/>
    <w:rsid w:val="00954696"/>
    <w:rsid w:val="009546DD"/>
    <w:rsid w:val="00954748"/>
    <w:rsid w:val="0095480E"/>
    <w:rsid w:val="00954DFD"/>
    <w:rsid w:val="00954F3A"/>
    <w:rsid w:val="009550E9"/>
    <w:rsid w:val="0095514B"/>
    <w:rsid w:val="0095561D"/>
    <w:rsid w:val="00955BB8"/>
    <w:rsid w:val="00955F3B"/>
    <w:rsid w:val="00956795"/>
    <w:rsid w:val="009567DE"/>
    <w:rsid w:val="0095764E"/>
    <w:rsid w:val="00957AE4"/>
    <w:rsid w:val="00957DBB"/>
    <w:rsid w:val="009607BA"/>
    <w:rsid w:val="00960B2F"/>
    <w:rsid w:val="0096127C"/>
    <w:rsid w:val="00961A0E"/>
    <w:rsid w:val="0096289C"/>
    <w:rsid w:val="00962A07"/>
    <w:rsid w:val="00962BBA"/>
    <w:rsid w:val="0096351D"/>
    <w:rsid w:val="00963846"/>
    <w:rsid w:val="009638AC"/>
    <w:rsid w:val="009639D7"/>
    <w:rsid w:val="00964534"/>
    <w:rsid w:val="00964ABC"/>
    <w:rsid w:val="009664FA"/>
    <w:rsid w:val="00966CB8"/>
    <w:rsid w:val="00967076"/>
    <w:rsid w:val="00967543"/>
    <w:rsid w:val="0096759F"/>
    <w:rsid w:val="00967D47"/>
    <w:rsid w:val="0097011E"/>
    <w:rsid w:val="00970551"/>
    <w:rsid w:val="00970A09"/>
    <w:rsid w:val="00970D01"/>
    <w:rsid w:val="00971349"/>
    <w:rsid w:val="00972097"/>
    <w:rsid w:val="00972B7D"/>
    <w:rsid w:val="00972F3E"/>
    <w:rsid w:val="00973497"/>
    <w:rsid w:val="009734B3"/>
    <w:rsid w:val="009737AB"/>
    <w:rsid w:val="009739AA"/>
    <w:rsid w:val="00973A65"/>
    <w:rsid w:val="00973A94"/>
    <w:rsid w:val="00973AC4"/>
    <w:rsid w:val="0097430A"/>
    <w:rsid w:val="00975044"/>
    <w:rsid w:val="00975244"/>
    <w:rsid w:val="00975779"/>
    <w:rsid w:val="0097659D"/>
    <w:rsid w:val="00976B12"/>
    <w:rsid w:val="00976DB4"/>
    <w:rsid w:val="0097729B"/>
    <w:rsid w:val="009779DE"/>
    <w:rsid w:val="00977CBE"/>
    <w:rsid w:val="00980091"/>
    <w:rsid w:val="00980C55"/>
    <w:rsid w:val="00980F7C"/>
    <w:rsid w:val="0098115C"/>
    <w:rsid w:val="009819A9"/>
    <w:rsid w:val="00981C28"/>
    <w:rsid w:val="009821C0"/>
    <w:rsid w:val="00982C82"/>
    <w:rsid w:val="00982DCC"/>
    <w:rsid w:val="0098315A"/>
    <w:rsid w:val="0098341B"/>
    <w:rsid w:val="0098350B"/>
    <w:rsid w:val="00983FFE"/>
    <w:rsid w:val="00984117"/>
    <w:rsid w:val="00984300"/>
    <w:rsid w:val="009844B1"/>
    <w:rsid w:val="009844F8"/>
    <w:rsid w:val="0098468E"/>
    <w:rsid w:val="009849FB"/>
    <w:rsid w:val="00984B3E"/>
    <w:rsid w:val="00985145"/>
    <w:rsid w:val="0098562F"/>
    <w:rsid w:val="009859D6"/>
    <w:rsid w:val="00985B2B"/>
    <w:rsid w:val="00985F80"/>
    <w:rsid w:val="009865A8"/>
    <w:rsid w:val="00986FF6"/>
    <w:rsid w:val="0098704E"/>
    <w:rsid w:val="0098715D"/>
    <w:rsid w:val="00987190"/>
    <w:rsid w:val="0098732A"/>
    <w:rsid w:val="009875F6"/>
    <w:rsid w:val="00987954"/>
    <w:rsid w:val="00987C54"/>
    <w:rsid w:val="00987EC1"/>
    <w:rsid w:val="00990203"/>
    <w:rsid w:val="00990EB6"/>
    <w:rsid w:val="009912BC"/>
    <w:rsid w:val="00992307"/>
    <w:rsid w:val="00992942"/>
    <w:rsid w:val="009933E7"/>
    <w:rsid w:val="0099431D"/>
    <w:rsid w:val="00994370"/>
    <w:rsid w:val="009947E9"/>
    <w:rsid w:val="00994B74"/>
    <w:rsid w:val="00994D1A"/>
    <w:rsid w:val="0099516A"/>
    <w:rsid w:val="009951D9"/>
    <w:rsid w:val="00995254"/>
    <w:rsid w:val="0099535E"/>
    <w:rsid w:val="009959A6"/>
    <w:rsid w:val="009959E3"/>
    <w:rsid w:val="009966F9"/>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2692"/>
    <w:rsid w:val="009B3356"/>
    <w:rsid w:val="009B350C"/>
    <w:rsid w:val="009B3935"/>
    <w:rsid w:val="009B3D84"/>
    <w:rsid w:val="009B3F4B"/>
    <w:rsid w:val="009B43C3"/>
    <w:rsid w:val="009B46B9"/>
    <w:rsid w:val="009B4950"/>
    <w:rsid w:val="009B4A77"/>
    <w:rsid w:val="009B4E6D"/>
    <w:rsid w:val="009B5481"/>
    <w:rsid w:val="009B58D8"/>
    <w:rsid w:val="009B618A"/>
    <w:rsid w:val="009B66D3"/>
    <w:rsid w:val="009B6901"/>
    <w:rsid w:val="009B6C8C"/>
    <w:rsid w:val="009B6DBE"/>
    <w:rsid w:val="009B720F"/>
    <w:rsid w:val="009C0C42"/>
    <w:rsid w:val="009C15E9"/>
    <w:rsid w:val="009C18A4"/>
    <w:rsid w:val="009C1CF7"/>
    <w:rsid w:val="009C1D33"/>
    <w:rsid w:val="009C1ED6"/>
    <w:rsid w:val="009C23A0"/>
    <w:rsid w:val="009C2C32"/>
    <w:rsid w:val="009C2DE4"/>
    <w:rsid w:val="009C33B4"/>
    <w:rsid w:val="009C33DD"/>
    <w:rsid w:val="009C3E7F"/>
    <w:rsid w:val="009C3F2A"/>
    <w:rsid w:val="009C4400"/>
    <w:rsid w:val="009C4AD0"/>
    <w:rsid w:val="009C5186"/>
    <w:rsid w:val="009C55C9"/>
    <w:rsid w:val="009C5650"/>
    <w:rsid w:val="009C5B5F"/>
    <w:rsid w:val="009C5D05"/>
    <w:rsid w:val="009C6881"/>
    <w:rsid w:val="009C703D"/>
    <w:rsid w:val="009C7911"/>
    <w:rsid w:val="009C79AB"/>
    <w:rsid w:val="009C79C5"/>
    <w:rsid w:val="009C7A26"/>
    <w:rsid w:val="009C7BFC"/>
    <w:rsid w:val="009C7DBF"/>
    <w:rsid w:val="009D0315"/>
    <w:rsid w:val="009D0370"/>
    <w:rsid w:val="009D087A"/>
    <w:rsid w:val="009D0E2A"/>
    <w:rsid w:val="009D0EF9"/>
    <w:rsid w:val="009D1130"/>
    <w:rsid w:val="009D141B"/>
    <w:rsid w:val="009D151A"/>
    <w:rsid w:val="009D21B8"/>
    <w:rsid w:val="009D2916"/>
    <w:rsid w:val="009D2A1E"/>
    <w:rsid w:val="009D3BE3"/>
    <w:rsid w:val="009D4135"/>
    <w:rsid w:val="009D463A"/>
    <w:rsid w:val="009D47BD"/>
    <w:rsid w:val="009D48F7"/>
    <w:rsid w:val="009D4ED3"/>
    <w:rsid w:val="009D532D"/>
    <w:rsid w:val="009D5ECE"/>
    <w:rsid w:val="009D6031"/>
    <w:rsid w:val="009D64A7"/>
    <w:rsid w:val="009D71C4"/>
    <w:rsid w:val="009D750B"/>
    <w:rsid w:val="009E04F6"/>
    <w:rsid w:val="009E0CC8"/>
    <w:rsid w:val="009E283E"/>
    <w:rsid w:val="009E285B"/>
    <w:rsid w:val="009E2883"/>
    <w:rsid w:val="009E3076"/>
    <w:rsid w:val="009E30C6"/>
    <w:rsid w:val="009E33E6"/>
    <w:rsid w:val="009E35DD"/>
    <w:rsid w:val="009E384D"/>
    <w:rsid w:val="009E3D85"/>
    <w:rsid w:val="009E400C"/>
    <w:rsid w:val="009E4545"/>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6E1"/>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9F7B8B"/>
    <w:rsid w:val="00A00582"/>
    <w:rsid w:val="00A00734"/>
    <w:rsid w:val="00A00B70"/>
    <w:rsid w:val="00A01004"/>
    <w:rsid w:val="00A0106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3470"/>
    <w:rsid w:val="00A1479F"/>
    <w:rsid w:val="00A149BD"/>
    <w:rsid w:val="00A154B3"/>
    <w:rsid w:val="00A15730"/>
    <w:rsid w:val="00A15AC0"/>
    <w:rsid w:val="00A15BCF"/>
    <w:rsid w:val="00A16365"/>
    <w:rsid w:val="00A1660E"/>
    <w:rsid w:val="00A16958"/>
    <w:rsid w:val="00A174BF"/>
    <w:rsid w:val="00A17E66"/>
    <w:rsid w:val="00A17EB1"/>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7C5"/>
    <w:rsid w:val="00A25B7B"/>
    <w:rsid w:val="00A25BCE"/>
    <w:rsid w:val="00A2632A"/>
    <w:rsid w:val="00A26403"/>
    <w:rsid w:val="00A26A4C"/>
    <w:rsid w:val="00A26F46"/>
    <w:rsid w:val="00A271BB"/>
    <w:rsid w:val="00A2728F"/>
    <w:rsid w:val="00A27EDD"/>
    <w:rsid w:val="00A32A7E"/>
    <w:rsid w:val="00A32D74"/>
    <w:rsid w:val="00A33258"/>
    <w:rsid w:val="00A33953"/>
    <w:rsid w:val="00A33DB9"/>
    <w:rsid w:val="00A33F8C"/>
    <w:rsid w:val="00A34197"/>
    <w:rsid w:val="00A341F6"/>
    <w:rsid w:val="00A343D0"/>
    <w:rsid w:val="00A345AA"/>
    <w:rsid w:val="00A3491D"/>
    <w:rsid w:val="00A3493A"/>
    <w:rsid w:val="00A352F7"/>
    <w:rsid w:val="00A356DF"/>
    <w:rsid w:val="00A35860"/>
    <w:rsid w:val="00A35C79"/>
    <w:rsid w:val="00A3647C"/>
    <w:rsid w:val="00A36525"/>
    <w:rsid w:val="00A37188"/>
    <w:rsid w:val="00A37359"/>
    <w:rsid w:val="00A37B12"/>
    <w:rsid w:val="00A40239"/>
    <w:rsid w:val="00A40B11"/>
    <w:rsid w:val="00A40F1F"/>
    <w:rsid w:val="00A411A0"/>
    <w:rsid w:val="00A4214D"/>
    <w:rsid w:val="00A42CF5"/>
    <w:rsid w:val="00A42EB9"/>
    <w:rsid w:val="00A43205"/>
    <w:rsid w:val="00A433C1"/>
    <w:rsid w:val="00A43A56"/>
    <w:rsid w:val="00A44C5B"/>
    <w:rsid w:val="00A45268"/>
    <w:rsid w:val="00A452FF"/>
    <w:rsid w:val="00A45C9E"/>
    <w:rsid w:val="00A476B1"/>
    <w:rsid w:val="00A5051C"/>
    <w:rsid w:val="00A507A2"/>
    <w:rsid w:val="00A507AB"/>
    <w:rsid w:val="00A50B2C"/>
    <w:rsid w:val="00A510BB"/>
    <w:rsid w:val="00A51FA1"/>
    <w:rsid w:val="00A5226B"/>
    <w:rsid w:val="00A52723"/>
    <w:rsid w:val="00A52A3F"/>
    <w:rsid w:val="00A537A8"/>
    <w:rsid w:val="00A539B0"/>
    <w:rsid w:val="00A53C91"/>
    <w:rsid w:val="00A54B5B"/>
    <w:rsid w:val="00A554BF"/>
    <w:rsid w:val="00A55703"/>
    <w:rsid w:val="00A55800"/>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19C3"/>
    <w:rsid w:val="00A62359"/>
    <w:rsid w:val="00A62A41"/>
    <w:rsid w:val="00A62A9E"/>
    <w:rsid w:val="00A62E32"/>
    <w:rsid w:val="00A62FA2"/>
    <w:rsid w:val="00A633A7"/>
    <w:rsid w:val="00A640EB"/>
    <w:rsid w:val="00A6419F"/>
    <w:rsid w:val="00A65025"/>
    <w:rsid w:val="00A657BF"/>
    <w:rsid w:val="00A661D1"/>
    <w:rsid w:val="00A66816"/>
    <w:rsid w:val="00A668EE"/>
    <w:rsid w:val="00A66FE5"/>
    <w:rsid w:val="00A67EFF"/>
    <w:rsid w:val="00A67F37"/>
    <w:rsid w:val="00A70411"/>
    <w:rsid w:val="00A704F4"/>
    <w:rsid w:val="00A7066B"/>
    <w:rsid w:val="00A70D5F"/>
    <w:rsid w:val="00A70EE2"/>
    <w:rsid w:val="00A7168F"/>
    <w:rsid w:val="00A71AEE"/>
    <w:rsid w:val="00A72936"/>
    <w:rsid w:val="00A7315D"/>
    <w:rsid w:val="00A73605"/>
    <w:rsid w:val="00A73AAC"/>
    <w:rsid w:val="00A73CBA"/>
    <w:rsid w:val="00A73DE2"/>
    <w:rsid w:val="00A73FC8"/>
    <w:rsid w:val="00A74FEE"/>
    <w:rsid w:val="00A75226"/>
    <w:rsid w:val="00A75315"/>
    <w:rsid w:val="00A7538A"/>
    <w:rsid w:val="00A75C3E"/>
    <w:rsid w:val="00A75DD5"/>
    <w:rsid w:val="00A75EC3"/>
    <w:rsid w:val="00A7654E"/>
    <w:rsid w:val="00A76F69"/>
    <w:rsid w:val="00A777E7"/>
    <w:rsid w:val="00A77B50"/>
    <w:rsid w:val="00A80707"/>
    <w:rsid w:val="00A8082A"/>
    <w:rsid w:val="00A80C0B"/>
    <w:rsid w:val="00A810C2"/>
    <w:rsid w:val="00A814C0"/>
    <w:rsid w:val="00A8191F"/>
    <w:rsid w:val="00A82471"/>
    <w:rsid w:val="00A8257C"/>
    <w:rsid w:val="00A82E8D"/>
    <w:rsid w:val="00A83059"/>
    <w:rsid w:val="00A8316B"/>
    <w:rsid w:val="00A836BF"/>
    <w:rsid w:val="00A83909"/>
    <w:rsid w:val="00A83C4B"/>
    <w:rsid w:val="00A83F98"/>
    <w:rsid w:val="00A84A85"/>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478"/>
    <w:rsid w:val="00A936B8"/>
    <w:rsid w:val="00A9527E"/>
    <w:rsid w:val="00A95CB8"/>
    <w:rsid w:val="00A95DFC"/>
    <w:rsid w:val="00A96538"/>
    <w:rsid w:val="00A967F1"/>
    <w:rsid w:val="00A96B48"/>
    <w:rsid w:val="00A96E62"/>
    <w:rsid w:val="00A97E28"/>
    <w:rsid w:val="00AA019D"/>
    <w:rsid w:val="00AA0879"/>
    <w:rsid w:val="00AA14DC"/>
    <w:rsid w:val="00AA1DE7"/>
    <w:rsid w:val="00AA22CD"/>
    <w:rsid w:val="00AA3FF4"/>
    <w:rsid w:val="00AA44E5"/>
    <w:rsid w:val="00AA487E"/>
    <w:rsid w:val="00AA4E6B"/>
    <w:rsid w:val="00AA5C1F"/>
    <w:rsid w:val="00AA6110"/>
    <w:rsid w:val="00AA6DC1"/>
    <w:rsid w:val="00AB073D"/>
    <w:rsid w:val="00AB14EF"/>
    <w:rsid w:val="00AB1663"/>
    <w:rsid w:val="00AB1B30"/>
    <w:rsid w:val="00AB1C1C"/>
    <w:rsid w:val="00AB2C2F"/>
    <w:rsid w:val="00AB312A"/>
    <w:rsid w:val="00AB3305"/>
    <w:rsid w:val="00AB36B5"/>
    <w:rsid w:val="00AB3990"/>
    <w:rsid w:val="00AB39E4"/>
    <w:rsid w:val="00AB43AD"/>
    <w:rsid w:val="00AB4B82"/>
    <w:rsid w:val="00AB6705"/>
    <w:rsid w:val="00AB67B0"/>
    <w:rsid w:val="00AB6BB0"/>
    <w:rsid w:val="00AB727D"/>
    <w:rsid w:val="00AB7624"/>
    <w:rsid w:val="00AC087B"/>
    <w:rsid w:val="00AC1191"/>
    <w:rsid w:val="00AC154E"/>
    <w:rsid w:val="00AC2291"/>
    <w:rsid w:val="00AC2813"/>
    <w:rsid w:val="00AC29A4"/>
    <w:rsid w:val="00AC2EC4"/>
    <w:rsid w:val="00AC31F6"/>
    <w:rsid w:val="00AC33E1"/>
    <w:rsid w:val="00AC36B9"/>
    <w:rsid w:val="00AC3A36"/>
    <w:rsid w:val="00AC3DD7"/>
    <w:rsid w:val="00AC4746"/>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968"/>
    <w:rsid w:val="00AE0F74"/>
    <w:rsid w:val="00AE1300"/>
    <w:rsid w:val="00AE17BE"/>
    <w:rsid w:val="00AE1BA5"/>
    <w:rsid w:val="00AE1E58"/>
    <w:rsid w:val="00AE1EA3"/>
    <w:rsid w:val="00AE2054"/>
    <w:rsid w:val="00AE207D"/>
    <w:rsid w:val="00AE222A"/>
    <w:rsid w:val="00AE224C"/>
    <w:rsid w:val="00AE2283"/>
    <w:rsid w:val="00AE2410"/>
    <w:rsid w:val="00AE3846"/>
    <w:rsid w:val="00AE3CB1"/>
    <w:rsid w:val="00AE3F52"/>
    <w:rsid w:val="00AE412E"/>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1E58"/>
    <w:rsid w:val="00AF270A"/>
    <w:rsid w:val="00AF324D"/>
    <w:rsid w:val="00AF3593"/>
    <w:rsid w:val="00AF385C"/>
    <w:rsid w:val="00AF38EA"/>
    <w:rsid w:val="00AF3AED"/>
    <w:rsid w:val="00AF3E49"/>
    <w:rsid w:val="00AF40F6"/>
    <w:rsid w:val="00AF47AF"/>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27"/>
    <w:rsid w:val="00B0258C"/>
    <w:rsid w:val="00B028DF"/>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3A7"/>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17E5D"/>
    <w:rsid w:val="00B200E8"/>
    <w:rsid w:val="00B200ED"/>
    <w:rsid w:val="00B202E1"/>
    <w:rsid w:val="00B202E2"/>
    <w:rsid w:val="00B2186B"/>
    <w:rsid w:val="00B21B22"/>
    <w:rsid w:val="00B21DAC"/>
    <w:rsid w:val="00B22F8E"/>
    <w:rsid w:val="00B23334"/>
    <w:rsid w:val="00B233CB"/>
    <w:rsid w:val="00B2345A"/>
    <w:rsid w:val="00B23922"/>
    <w:rsid w:val="00B23E37"/>
    <w:rsid w:val="00B240BB"/>
    <w:rsid w:val="00B24214"/>
    <w:rsid w:val="00B244C0"/>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62A"/>
    <w:rsid w:val="00B30904"/>
    <w:rsid w:val="00B31065"/>
    <w:rsid w:val="00B3173E"/>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825"/>
    <w:rsid w:val="00B35C25"/>
    <w:rsid w:val="00B35E7E"/>
    <w:rsid w:val="00B36072"/>
    <w:rsid w:val="00B361C9"/>
    <w:rsid w:val="00B364A5"/>
    <w:rsid w:val="00B36673"/>
    <w:rsid w:val="00B3715F"/>
    <w:rsid w:val="00B37763"/>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5798"/>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B6D"/>
    <w:rsid w:val="00B647C1"/>
    <w:rsid w:val="00B64D7F"/>
    <w:rsid w:val="00B64DB3"/>
    <w:rsid w:val="00B66642"/>
    <w:rsid w:val="00B6693D"/>
    <w:rsid w:val="00B66F46"/>
    <w:rsid w:val="00B67359"/>
    <w:rsid w:val="00B6740F"/>
    <w:rsid w:val="00B677FB"/>
    <w:rsid w:val="00B679C4"/>
    <w:rsid w:val="00B67D66"/>
    <w:rsid w:val="00B7027F"/>
    <w:rsid w:val="00B706D6"/>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12C"/>
    <w:rsid w:val="00B77C88"/>
    <w:rsid w:val="00B80009"/>
    <w:rsid w:val="00B8064C"/>
    <w:rsid w:val="00B809D1"/>
    <w:rsid w:val="00B80AC1"/>
    <w:rsid w:val="00B80CC1"/>
    <w:rsid w:val="00B80D95"/>
    <w:rsid w:val="00B80F3F"/>
    <w:rsid w:val="00B81072"/>
    <w:rsid w:val="00B81086"/>
    <w:rsid w:val="00B81256"/>
    <w:rsid w:val="00B81293"/>
    <w:rsid w:val="00B81567"/>
    <w:rsid w:val="00B816A5"/>
    <w:rsid w:val="00B816B1"/>
    <w:rsid w:val="00B816DC"/>
    <w:rsid w:val="00B817BB"/>
    <w:rsid w:val="00B817D9"/>
    <w:rsid w:val="00B8198A"/>
    <w:rsid w:val="00B824AB"/>
    <w:rsid w:val="00B82EA3"/>
    <w:rsid w:val="00B83347"/>
    <w:rsid w:val="00B8384C"/>
    <w:rsid w:val="00B83BE7"/>
    <w:rsid w:val="00B85B19"/>
    <w:rsid w:val="00B85ECC"/>
    <w:rsid w:val="00B8609D"/>
    <w:rsid w:val="00B86530"/>
    <w:rsid w:val="00B86DA8"/>
    <w:rsid w:val="00B870C6"/>
    <w:rsid w:val="00B87611"/>
    <w:rsid w:val="00B87627"/>
    <w:rsid w:val="00B87AA8"/>
    <w:rsid w:val="00B87ADC"/>
    <w:rsid w:val="00B9005E"/>
    <w:rsid w:val="00B90709"/>
    <w:rsid w:val="00B91498"/>
    <w:rsid w:val="00B91725"/>
    <w:rsid w:val="00B91849"/>
    <w:rsid w:val="00B91B00"/>
    <w:rsid w:val="00B9281A"/>
    <w:rsid w:val="00B93FD7"/>
    <w:rsid w:val="00B94772"/>
    <w:rsid w:val="00B9623D"/>
    <w:rsid w:val="00B963F6"/>
    <w:rsid w:val="00B9646F"/>
    <w:rsid w:val="00B96C00"/>
    <w:rsid w:val="00B9703A"/>
    <w:rsid w:val="00B97766"/>
    <w:rsid w:val="00B97C19"/>
    <w:rsid w:val="00B97E9F"/>
    <w:rsid w:val="00BA00AB"/>
    <w:rsid w:val="00BA0C4B"/>
    <w:rsid w:val="00BA0E72"/>
    <w:rsid w:val="00BA0F02"/>
    <w:rsid w:val="00BA131D"/>
    <w:rsid w:val="00BA17D6"/>
    <w:rsid w:val="00BA208B"/>
    <w:rsid w:val="00BA2AD8"/>
    <w:rsid w:val="00BA3681"/>
    <w:rsid w:val="00BA3C9A"/>
    <w:rsid w:val="00BA4FA1"/>
    <w:rsid w:val="00BA540E"/>
    <w:rsid w:val="00BA5702"/>
    <w:rsid w:val="00BA5919"/>
    <w:rsid w:val="00BA5921"/>
    <w:rsid w:val="00BA5B87"/>
    <w:rsid w:val="00BA65A2"/>
    <w:rsid w:val="00BA6752"/>
    <w:rsid w:val="00BA6D3A"/>
    <w:rsid w:val="00BB0785"/>
    <w:rsid w:val="00BB0823"/>
    <w:rsid w:val="00BB0BDE"/>
    <w:rsid w:val="00BB0D50"/>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5D7F"/>
    <w:rsid w:val="00BC69C0"/>
    <w:rsid w:val="00BC6DD6"/>
    <w:rsid w:val="00BC6F92"/>
    <w:rsid w:val="00BC6FC3"/>
    <w:rsid w:val="00BC763A"/>
    <w:rsid w:val="00BC79CB"/>
    <w:rsid w:val="00BC7C86"/>
    <w:rsid w:val="00BD0392"/>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BB9"/>
    <w:rsid w:val="00BE2C90"/>
    <w:rsid w:val="00BE3193"/>
    <w:rsid w:val="00BE3542"/>
    <w:rsid w:val="00BE3C30"/>
    <w:rsid w:val="00BE3C32"/>
    <w:rsid w:val="00BE4091"/>
    <w:rsid w:val="00BE4CEE"/>
    <w:rsid w:val="00BE52C8"/>
    <w:rsid w:val="00BE53DF"/>
    <w:rsid w:val="00BE54C3"/>
    <w:rsid w:val="00BE56BA"/>
    <w:rsid w:val="00BE6006"/>
    <w:rsid w:val="00BE6078"/>
    <w:rsid w:val="00BE6802"/>
    <w:rsid w:val="00BE6BB8"/>
    <w:rsid w:val="00BE6D95"/>
    <w:rsid w:val="00BE7BE3"/>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19DA"/>
    <w:rsid w:val="00C021ED"/>
    <w:rsid w:val="00C022C2"/>
    <w:rsid w:val="00C029EF"/>
    <w:rsid w:val="00C02C02"/>
    <w:rsid w:val="00C033B4"/>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9CF"/>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1E4"/>
    <w:rsid w:val="00C518D9"/>
    <w:rsid w:val="00C51A0C"/>
    <w:rsid w:val="00C51FF8"/>
    <w:rsid w:val="00C527B6"/>
    <w:rsid w:val="00C52D19"/>
    <w:rsid w:val="00C53317"/>
    <w:rsid w:val="00C5370B"/>
    <w:rsid w:val="00C53BB8"/>
    <w:rsid w:val="00C53DB5"/>
    <w:rsid w:val="00C54B85"/>
    <w:rsid w:val="00C54FA4"/>
    <w:rsid w:val="00C55311"/>
    <w:rsid w:val="00C55B9B"/>
    <w:rsid w:val="00C55C73"/>
    <w:rsid w:val="00C5631C"/>
    <w:rsid w:val="00C563DB"/>
    <w:rsid w:val="00C56A5E"/>
    <w:rsid w:val="00C56C64"/>
    <w:rsid w:val="00C56D0B"/>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3E47"/>
    <w:rsid w:val="00C64AD3"/>
    <w:rsid w:val="00C6520F"/>
    <w:rsid w:val="00C65430"/>
    <w:rsid w:val="00C6568A"/>
    <w:rsid w:val="00C657AC"/>
    <w:rsid w:val="00C66129"/>
    <w:rsid w:val="00C66328"/>
    <w:rsid w:val="00C6671F"/>
    <w:rsid w:val="00C67000"/>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3A8D"/>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6F8"/>
    <w:rsid w:val="00C94710"/>
    <w:rsid w:val="00C96604"/>
    <w:rsid w:val="00C96658"/>
    <w:rsid w:val="00C96DD0"/>
    <w:rsid w:val="00C96F06"/>
    <w:rsid w:val="00C970CC"/>
    <w:rsid w:val="00C976C4"/>
    <w:rsid w:val="00C97996"/>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9CB"/>
    <w:rsid w:val="00CA3DCD"/>
    <w:rsid w:val="00CA409D"/>
    <w:rsid w:val="00CA4ED4"/>
    <w:rsid w:val="00CA6E68"/>
    <w:rsid w:val="00CA702A"/>
    <w:rsid w:val="00CB01DF"/>
    <w:rsid w:val="00CB04FD"/>
    <w:rsid w:val="00CB08DC"/>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183"/>
    <w:rsid w:val="00CC0268"/>
    <w:rsid w:val="00CC02A1"/>
    <w:rsid w:val="00CC047A"/>
    <w:rsid w:val="00CC06FB"/>
    <w:rsid w:val="00CC0F60"/>
    <w:rsid w:val="00CC15FD"/>
    <w:rsid w:val="00CC206D"/>
    <w:rsid w:val="00CC3FEA"/>
    <w:rsid w:val="00CC4085"/>
    <w:rsid w:val="00CC436D"/>
    <w:rsid w:val="00CC47A7"/>
    <w:rsid w:val="00CC4AE3"/>
    <w:rsid w:val="00CC5006"/>
    <w:rsid w:val="00CC5659"/>
    <w:rsid w:val="00CC58AE"/>
    <w:rsid w:val="00CC6867"/>
    <w:rsid w:val="00CC6890"/>
    <w:rsid w:val="00CC68DE"/>
    <w:rsid w:val="00CC6E07"/>
    <w:rsid w:val="00CC73A5"/>
    <w:rsid w:val="00CC76B6"/>
    <w:rsid w:val="00CC7943"/>
    <w:rsid w:val="00CD02C8"/>
    <w:rsid w:val="00CD077D"/>
    <w:rsid w:val="00CD138A"/>
    <w:rsid w:val="00CD1450"/>
    <w:rsid w:val="00CD15D4"/>
    <w:rsid w:val="00CD1702"/>
    <w:rsid w:val="00CD1AF6"/>
    <w:rsid w:val="00CD22A4"/>
    <w:rsid w:val="00CD284E"/>
    <w:rsid w:val="00CD2A0E"/>
    <w:rsid w:val="00CD3830"/>
    <w:rsid w:val="00CD3914"/>
    <w:rsid w:val="00CD4762"/>
    <w:rsid w:val="00CD550B"/>
    <w:rsid w:val="00CD6583"/>
    <w:rsid w:val="00CD69EB"/>
    <w:rsid w:val="00CD6C79"/>
    <w:rsid w:val="00CD70D7"/>
    <w:rsid w:val="00CD71B3"/>
    <w:rsid w:val="00CD7BDE"/>
    <w:rsid w:val="00CE0F86"/>
    <w:rsid w:val="00CE1225"/>
    <w:rsid w:val="00CE162C"/>
    <w:rsid w:val="00CE19C0"/>
    <w:rsid w:val="00CE1E1A"/>
    <w:rsid w:val="00CE214C"/>
    <w:rsid w:val="00CE2317"/>
    <w:rsid w:val="00CE26E6"/>
    <w:rsid w:val="00CE28CF"/>
    <w:rsid w:val="00CE2DF4"/>
    <w:rsid w:val="00CE3B4C"/>
    <w:rsid w:val="00CE4463"/>
    <w:rsid w:val="00CE448A"/>
    <w:rsid w:val="00CE44A3"/>
    <w:rsid w:val="00CE5236"/>
    <w:rsid w:val="00CE556C"/>
    <w:rsid w:val="00CE5C82"/>
    <w:rsid w:val="00CE670D"/>
    <w:rsid w:val="00CF02A8"/>
    <w:rsid w:val="00CF0520"/>
    <w:rsid w:val="00CF1930"/>
    <w:rsid w:val="00CF2E46"/>
    <w:rsid w:val="00CF2E58"/>
    <w:rsid w:val="00CF3121"/>
    <w:rsid w:val="00CF364A"/>
    <w:rsid w:val="00CF3BD0"/>
    <w:rsid w:val="00CF4117"/>
    <w:rsid w:val="00CF42AF"/>
    <w:rsid w:val="00CF5328"/>
    <w:rsid w:val="00CF5332"/>
    <w:rsid w:val="00CF5F3C"/>
    <w:rsid w:val="00CF5FD0"/>
    <w:rsid w:val="00CF6908"/>
    <w:rsid w:val="00CF6E71"/>
    <w:rsid w:val="00CF738B"/>
    <w:rsid w:val="00CF78A6"/>
    <w:rsid w:val="00CF7C01"/>
    <w:rsid w:val="00D005E9"/>
    <w:rsid w:val="00D00915"/>
    <w:rsid w:val="00D009F4"/>
    <w:rsid w:val="00D02339"/>
    <w:rsid w:val="00D02CA8"/>
    <w:rsid w:val="00D02EA1"/>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3337"/>
    <w:rsid w:val="00D1493D"/>
    <w:rsid w:val="00D149D8"/>
    <w:rsid w:val="00D14D9B"/>
    <w:rsid w:val="00D1506A"/>
    <w:rsid w:val="00D158EC"/>
    <w:rsid w:val="00D15CDE"/>
    <w:rsid w:val="00D16609"/>
    <w:rsid w:val="00D16BCF"/>
    <w:rsid w:val="00D16DD9"/>
    <w:rsid w:val="00D1768F"/>
    <w:rsid w:val="00D176C8"/>
    <w:rsid w:val="00D179E8"/>
    <w:rsid w:val="00D17A36"/>
    <w:rsid w:val="00D20774"/>
    <w:rsid w:val="00D20F20"/>
    <w:rsid w:val="00D21820"/>
    <w:rsid w:val="00D21B02"/>
    <w:rsid w:val="00D21E74"/>
    <w:rsid w:val="00D22042"/>
    <w:rsid w:val="00D220E8"/>
    <w:rsid w:val="00D22474"/>
    <w:rsid w:val="00D22FD7"/>
    <w:rsid w:val="00D2302C"/>
    <w:rsid w:val="00D23656"/>
    <w:rsid w:val="00D24089"/>
    <w:rsid w:val="00D2460D"/>
    <w:rsid w:val="00D2467A"/>
    <w:rsid w:val="00D247AA"/>
    <w:rsid w:val="00D25C13"/>
    <w:rsid w:val="00D26D17"/>
    <w:rsid w:val="00D2740B"/>
    <w:rsid w:val="00D27C6D"/>
    <w:rsid w:val="00D27F37"/>
    <w:rsid w:val="00D319A1"/>
    <w:rsid w:val="00D31C86"/>
    <w:rsid w:val="00D324CA"/>
    <w:rsid w:val="00D329C8"/>
    <w:rsid w:val="00D32F09"/>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74A"/>
    <w:rsid w:val="00D37AAF"/>
    <w:rsid w:val="00D37D04"/>
    <w:rsid w:val="00D40854"/>
    <w:rsid w:val="00D40D1F"/>
    <w:rsid w:val="00D41855"/>
    <w:rsid w:val="00D41D0F"/>
    <w:rsid w:val="00D42607"/>
    <w:rsid w:val="00D42B47"/>
    <w:rsid w:val="00D432AA"/>
    <w:rsid w:val="00D43BC7"/>
    <w:rsid w:val="00D43FB9"/>
    <w:rsid w:val="00D4416D"/>
    <w:rsid w:val="00D44656"/>
    <w:rsid w:val="00D44A25"/>
    <w:rsid w:val="00D44BEE"/>
    <w:rsid w:val="00D451A9"/>
    <w:rsid w:val="00D45781"/>
    <w:rsid w:val="00D45972"/>
    <w:rsid w:val="00D45C02"/>
    <w:rsid w:val="00D46322"/>
    <w:rsid w:val="00D47191"/>
    <w:rsid w:val="00D473A5"/>
    <w:rsid w:val="00D474D9"/>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5D2"/>
    <w:rsid w:val="00D657AC"/>
    <w:rsid w:val="00D6674E"/>
    <w:rsid w:val="00D66EF7"/>
    <w:rsid w:val="00D67204"/>
    <w:rsid w:val="00D67BDB"/>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4FD9"/>
    <w:rsid w:val="00D75D30"/>
    <w:rsid w:val="00D75E74"/>
    <w:rsid w:val="00D75F83"/>
    <w:rsid w:val="00D75FD0"/>
    <w:rsid w:val="00D76A49"/>
    <w:rsid w:val="00D76CDC"/>
    <w:rsid w:val="00D76F50"/>
    <w:rsid w:val="00D77213"/>
    <w:rsid w:val="00D7734E"/>
    <w:rsid w:val="00D77796"/>
    <w:rsid w:val="00D77A76"/>
    <w:rsid w:val="00D77C6E"/>
    <w:rsid w:val="00D77C85"/>
    <w:rsid w:val="00D77DD4"/>
    <w:rsid w:val="00D77F82"/>
    <w:rsid w:val="00D804BF"/>
    <w:rsid w:val="00D811AA"/>
    <w:rsid w:val="00D815BC"/>
    <w:rsid w:val="00D815E3"/>
    <w:rsid w:val="00D81DF7"/>
    <w:rsid w:val="00D82AB1"/>
    <w:rsid w:val="00D82CC8"/>
    <w:rsid w:val="00D83BC7"/>
    <w:rsid w:val="00D83D5A"/>
    <w:rsid w:val="00D84E8F"/>
    <w:rsid w:val="00D854E0"/>
    <w:rsid w:val="00D856DD"/>
    <w:rsid w:val="00D85936"/>
    <w:rsid w:val="00D85B9F"/>
    <w:rsid w:val="00D868AA"/>
    <w:rsid w:val="00D86C60"/>
    <w:rsid w:val="00D87690"/>
    <w:rsid w:val="00D87707"/>
    <w:rsid w:val="00D87A9C"/>
    <w:rsid w:val="00D87BF4"/>
    <w:rsid w:val="00D9069A"/>
    <w:rsid w:val="00D90D20"/>
    <w:rsid w:val="00D91C61"/>
    <w:rsid w:val="00D91E99"/>
    <w:rsid w:val="00D933C6"/>
    <w:rsid w:val="00D93E8C"/>
    <w:rsid w:val="00D93FCA"/>
    <w:rsid w:val="00D94A01"/>
    <w:rsid w:val="00D94B32"/>
    <w:rsid w:val="00D960DB"/>
    <w:rsid w:val="00D96C37"/>
    <w:rsid w:val="00D96EEA"/>
    <w:rsid w:val="00D97FCB"/>
    <w:rsid w:val="00DA080F"/>
    <w:rsid w:val="00DA0A58"/>
    <w:rsid w:val="00DA0AD3"/>
    <w:rsid w:val="00DA0E09"/>
    <w:rsid w:val="00DA0F42"/>
    <w:rsid w:val="00DA1151"/>
    <w:rsid w:val="00DA20FF"/>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4C1B"/>
    <w:rsid w:val="00DB4C35"/>
    <w:rsid w:val="00DB4DAA"/>
    <w:rsid w:val="00DB5165"/>
    <w:rsid w:val="00DB667F"/>
    <w:rsid w:val="00DB66DA"/>
    <w:rsid w:val="00DB6D43"/>
    <w:rsid w:val="00DB6E8A"/>
    <w:rsid w:val="00DB6FFE"/>
    <w:rsid w:val="00DB7697"/>
    <w:rsid w:val="00DC002C"/>
    <w:rsid w:val="00DC0114"/>
    <w:rsid w:val="00DC0BA5"/>
    <w:rsid w:val="00DC1947"/>
    <w:rsid w:val="00DC1D3A"/>
    <w:rsid w:val="00DC21C3"/>
    <w:rsid w:val="00DC279C"/>
    <w:rsid w:val="00DC29E8"/>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57B"/>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B1F"/>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6B"/>
    <w:rsid w:val="00DE47BC"/>
    <w:rsid w:val="00DE4952"/>
    <w:rsid w:val="00DE4B04"/>
    <w:rsid w:val="00DE501A"/>
    <w:rsid w:val="00DE5145"/>
    <w:rsid w:val="00DE5162"/>
    <w:rsid w:val="00DE5261"/>
    <w:rsid w:val="00DE5660"/>
    <w:rsid w:val="00DE5C9E"/>
    <w:rsid w:val="00DE5DA6"/>
    <w:rsid w:val="00DE71A0"/>
    <w:rsid w:val="00DE7CA6"/>
    <w:rsid w:val="00DF12D8"/>
    <w:rsid w:val="00DF192F"/>
    <w:rsid w:val="00DF1D22"/>
    <w:rsid w:val="00DF344D"/>
    <w:rsid w:val="00DF3C86"/>
    <w:rsid w:val="00DF43F3"/>
    <w:rsid w:val="00DF4D1F"/>
    <w:rsid w:val="00DF5B23"/>
    <w:rsid w:val="00DF6464"/>
    <w:rsid w:val="00DF669D"/>
    <w:rsid w:val="00DF6F01"/>
    <w:rsid w:val="00DF723F"/>
    <w:rsid w:val="00DF7396"/>
    <w:rsid w:val="00DF7591"/>
    <w:rsid w:val="00DF7C6A"/>
    <w:rsid w:val="00DF7F23"/>
    <w:rsid w:val="00E00FDA"/>
    <w:rsid w:val="00E010DF"/>
    <w:rsid w:val="00E0192A"/>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5D"/>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17ACC"/>
    <w:rsid w:val="00E200C5"/>
    <w:rsid w:val="00E20343"/>
    <w:rsid w:val="00E206BE"/>
    <w:rsid w:val="00E20739"/>
    <w:rsid w:val="00E209B7"/>
    <w:rsid w:val="00E20B6B"/>
    <w:rsid w:val="00E20E76"/>
    <w:rsid w:val="00E21035"/>
    <w:rsid w:val="00E21662"/>
    <w:rsid w:val="00E2193F"/>
    <w:rsid w:val="00E2214D"/>
    <w:rsid w:val="00E226D7"/>
    <w:rsid w:val="00E227C8"/>
    <w:rsid w:val="00E230DD"/>
    <w:rsid w:val="00E240D2"/>
    <w:rsid w:val="00E2431E"/>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657"/>
    <w:rsid w:val="00E417DC"/>
    <w:rsid w:val="00E419EE"/>
    <w:rsid w:val="00E41A78"/>
    <w:rsid w:val="00E41D3F"/>
    <w:rsid w:val="00E42529"/>
    <w:rsid w:val="00E429F0"/>
    <w:rsid w:val="00E42FD7"/>
    <w:rsid w:val="00E43062"/>
    <w:rsid w:val="00E4328E"/>
    <w:rsid w:val="00E4349F"/>
    <w:rsid w:val="00E43E2F"/>
    <w:rsid w:val="00E43FE4"/>
    <w:rsid w:val="00E44E44"/>
    <w:rsid w:val="00E45089"/>
    <w:rsid w:val="00E453DB"/>
    <w:rsid w:val="00E45692"/>
    <w:rsid w:val="00E45E0E"/>
    <w:rsid w:val="00E46CB5"/>
    <w:rsid w:val="00E47B28"/>
    <w:rsid w:val="00E510CC"/>
    <w:rsid w:val="00E511FE"/>
    <w:rsid w:val="00E51305"/>
    <w:rsid w:val="00E513CD"/>
    <w:rsid w:val="00E515FE"/>
    <w:rsid w:val="00E5291B"/>
    <w:rsid w:val="00E53F5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592F"/>
    <w:rsid w:val="00E66292"/>
    <w:rsid w:val="00E66E67"/>
    <w:rsid w:val="00E6715A"/>
    <w:rsid w:val="00E675ED"/>
    <w:rsid w:val="00E679D2"/>
    <w:rsid w:val="00E70527"/>
    <w:rsid w:val="00E70738"/>
    <w:rsid w:val="00E70F4D"/>
    <w:rsid w:val="00E7114D"/>
    <w:rsid w:val="00E711FC"/>
    <w:rsid w:val="00E713BA"/>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523"/>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654"/>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067E"/>
    <w:rsid w:val="00EA107D"/>
    <w:rsid w:val="00EA127D"/>
    <w:rsid w:val="00EA1C9B"/>
    <w:rsid w:val="00EA2455"/>
    <w:rsid w:val="00EA2A25"/>
    <w:rsid w:val="00EA2C2F"/>
    <w:rsid w:val="00EA2E9A"/>
    <w:rsid w:val="00EA41B6"/>
    <w:rsid w:val="00EA434C"/>
    <w:rsid w:val="00EA45D9"/>
    <w:rsid w:val="00EA4A08"/>
    <w:rsid w:val="00EA4E5C"/>
    <w:rsid w:val="00EA4FB0"/>
    <w:rsid w:val="00EA5A0A"/>
    <w:rsid w:val="00EA6329"/>
    <w:rsid w:val="00EA6812"/>
    <w:rsid w:val="00EA6A2C"/>
    <w:rsid w:val="00EA6DBB"/>
    <w:rsid w:val="00EA77EF"/>
    <w:rsid w:val="00EA7D45"/>
    <w:rsid w:val="00EB0895"/>
    <w:rsid w:val="00EB1A75"/>
    <w:rsid w:val="00EB1E75"/>
    <w:rsid w:val="00EB2D8F"/>
    <w:rsid w:val="00EB50E6"/>
    <w:rsid w:val="00EB5CB5"/>
    <w:rsid w:val="00EB5F11"/>
    <w:rsid w:val="00EB61D1"/>
    <w:rsid w:val="00EB61F9"/>
    <w:rsid w:val="00EB6F18"/>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468"/>
    <w:rsid w:val="00ED1900"/>
    <w:rsid w:val="00ED1F48"/>
    <w:rsid w:val="00ED3441"/>
    <w:rsid w:val="00ED34AF"/>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1D7C"/>
    <w:rsid w:val="00EE237E"/>
    <w:rsid w:val="00EE2B27"/>
    <w:rsid w:val="00EE2D77"/>
    <w:rsid w:val="00EE3640"/>
    <w:rsid w:val="00EE3942"/>
    <w:rsid w:val="00EE405B"/>
    <w:rsid w:val="00EE4308"/>
    <w:rsid w:val="00EE4394"/>
    <w:rsid w:val="00EE4D9F"/>
    <w:rsid w:val="00EE4F51"/>
    <w:rsid w:val="00EE53E3"/>
    <w:rsid w:val="00EE5493"/>
    <w:rsid w:val="00EE552E"/>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2F25"/>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514"/>
    <w:rsid w:val="00F00736"/>
    <w:rsid w:val="00F007FB"/>
    <w:rsid w:val="00F009F2"/>
    <w:rsid w:val="00F013A2"/>
    <w:rsid w:val="00F018D1"/>
    <w:rsid w:val="00F019DB"/>
    <w:rsid w:val="00F01A72"/>
    <w:rsid w:val="00F01C25"/>
    <w:rsid w:val="00F02018"/>
    <w:rsid w:val="00F02393"/>
    <w:rsid w:val="00F0259C"/>
    <w:rsid w:val="00F0262A"/>
    <w:rsid w:val="00F02ACC"/>
    <w:rsid w:val="00F02E23"/>
    <w:rsid w:val="00F04206"/>
    <w:rsid w:val="00F044CC"/>
    <w:rsid w:val="00F04A91"/>
    <w:rsid w:val="00F04EFA"/>
    <w:rsid w:val="00F05191"/>
    <w:rsid w:val="00F05D00"/>
    <w:rsid w:val="00F061F5"/>
    <w:rsid w:val="00F063B9"/>
    <w:rsid w:val="00F068FE"/>
    <w:rsid w:val="00F069A9"/>
    <w:rsid w:val="00F06F8F"/>
    <w:rsid w:val="00F0748B"/>
    <w:rsid w:val="00F0795B"/>
    <w:rsid w:val="00F07B17"/>
    <w:rsid w:val="00F07B6F"/>
    <w:rsid w:val="00F07C9D"/>
    <w:rsid w:val="00F1001F"/>
    <w:rsid w:val="00F1040D"/>
    <w:rsid w:val="00F11DB6"/>
    <w:rsid w:val="00F12297"/>
    <w:rsid w:val="00F127F6"/>
    <w:rsid w:val="00F12A3F"/>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EA4"/>
    <w:rsid w:val="00F17FCC"/>
    <w:rsid w:val="00F20245"/>
    <w:rsid w:val="00F2038E"/>
    <w:rsid w:val="00F20733"/>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658B"/>
    <w:rsid w:val="00F2748F"/>
    <w:rsid w:val="00F30001"/>
    <w:rsid w:val="00F30750"/>
    <w:rsid w:val="00F308B7"/>
    <w:rsid w:val="00F31B9F"/>
    <w:rsid w:val="00F3218F"/>
    <w:rsid w:val="00F322A7"/>
    <w:rsid w:val="00F324B2"/>
    <w:rsid w:val="00F339F6"/>
    <w:rsid w:val="00F3443E"/>
    <w:rsid w:val="00F347AF"/>
    <w:rsid w:val="00F34806"/>
    <w:rsid w:val="00F34C4E"/>
    <w:rsid w:val="00F35AFA"/>
    <w:rsid w:val="00F3610E"/>
    <w:rsid w:val="00F366D2"/>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0A"/>
    <w:rsid w:val="00F47325"/>
    <w:rsid w:val="00F474D4"/>
    <w:rsid w:val="00F47B29"/>
    <w:rsid w:val="00F47B9F"/>
    <w:rsid w:val="00F50B30"/>
    <w:rsid w:val="00F50FF0"/>
    <w:rsid w:val="00F527A3"/>
    <w:rsid w:val="00F533A5"/>
    <w:rsid w:val="00F5367F"/>
    <w:rsid w:val="00F53750"/>
    <w:rsid w:val="00F53BBC"/>
    <w:rsid w:val="00F5420D"/>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09C0"/>
    <w:rsid w:val="00F60DEE"/>
    <w:rsid w:val="00F614E5"/>
    <w:rsid w:val="00F6165A"/>
    <w:rsid w:val="00F6181D"/>
    <w:rsid w:val="00F6199D"/>
    <w:rsid w:val="00F62329"/>
    <w:rsid w:val="00F623D5"/>
    <w:rsid w:val="00F626FF"/>
    <w:rsid w:val="00F6280C"/>
    <w:rsid w:val="00F62ABC"/>
    <w:rsid w:val="00F62C29"/>
    <w:rsid w:val="00F62F0C"/>
    <w:rsid w:val="00F6346A"/>
    <w:rsid w:val="00F63549"/>
    <w:rsid w:val="00F63A52"/>
    <w:rsid w:val="00F63DC9"/>
    <w:rsid w:val="00F641B8"/>
    <w:rsid w:val="00F64433"/>
    <w:rsid w:val="00F646BB"/>
    <w:rsid w:val="00F64ECC"/>
    <w:rsid w:val="00F650FE"/>
    <w:rsid w:val="00F6515A"/>
    <w:rsid w:val="00F6544D"/>
    <w:rsid w:val="00F6575C"/>
    <w:rsid w:val="00F65A02"/>
    <w:rsid w:val="00F65A53"/>
    <w:rsid w:val="00F65A7D"/>
    <w:rsid w:val="00F66BAD"/>
    <w:rsid w:val="00F6701C"/>
    <w:rsid w:val="00F6737D"/>
    <w:rsid w:val="00F6790C"/>
    <w:rsid w:val="00F67C6F"/>
    <w:rsid w:val="00F7011B"/>
    <w:rsid w:val="00F704CD"/>
    <w:rsid w:val="00F7051F"/>
    <w:rsid w:val="00F70649"/>
    <w:rsid w:val="00F7082C"/>
    <w:rsid w:val="00F709E7"/>
    <w:rsid w:val="00F71298"/>
    <w:rsid w:val="00F7203C"/>
    <w:rsid w:val="00F734BC"/>
    <w:rsid w:val="00F735B4"/>
    <w:rsid w:val="00F73642"/>
    <w:rsid w:val="00F73753"/>
    <w:rsid w:val="00F738CF"/>
    <w:rsid w:val="00F7479C"/>
    <w:rsid w:val="00F7521A"/>
    <w:rsid w:val="00F75284"/>
    <w:rsid w:val="00F7614C"/>
    <w:rsid w:val="00F76AC7"/>
    <w:rsid w:val="00F80452"/>
    <w:rsid w:val="00F80887"/>
    <w:rsid w:val="00F81092"/>
    <w:rsid w:val="00F81378"/>
    <w:rsid w:val="00F81709"/>
    <w:rsid w:val="00F8175B"/>
    <w:rsid w:val="00F81C1C"/>
    <w:rsid w:val="00F8307D"/>
    <w:rsid w:val="00F8311E"/>
    <w:rsid w:val="00F83275"/>
    <w:rsid w:val="00F83B1E"/>
    <w:rsid w:val="00F84042"/>
    <w:rsid w:val="00F84379"/>
    <w:rsid w:val="00F84BD3"/>
    <w:rsid w:val="00F84E99"/>
    <w:rsid w:val="00F8525F"/>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1F0"/>
    <w:rsid w:val="00F923FE"/>
    <w:rsid w:val="00F928A1"/>
    <w:rsid w:val="00F92C4E"/>
    <w:rsid w:val="00F92F23"/>
    <w:rsid w:val="00F9307E"/>
    <w:rsid w:val="00F94B54"/>
    <w:rsid w:val="00F94BD7"/>
    <w:rsid w:val="00F95678"/>
    <w:rsid w:val="00F966EB"/>
    <w:rsid w:val="00F967B7"/>
    <w:rsid w:val="00F96936"/>
    <w:rsid w:val="00F96C17"/>
    <w:rsid w:val="00F978D5"/>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4C"/>
    <w:rsid w:val="00FB0E9C"/>
    <w:rsid w:val="00FB107C"/>
    <w:rsid w:val="00FB1389"/>
    <w:rsid w:val="00FB1400"/>
    <w:rsid w:val="00FB14B3"/>
    <w:rsid w:val="00FB1758"/>
    <w:rsid w:val="00FB1D14"/>
    <w:rsid w:val="00FB1EB7"/>
    <w:rsid w:val="00FB1F50"/>
    <w:rsid w:val="00FB218C"/>
    <w:rsid w:val="00FB2B89"/>
    <w:rsid w:val="00FB2D68"/>
    <w:rsid w:val="00FB322B"/>
    <w:rsid w:val="00FB3CF6"/>
    <w:rsid w:val="00FB493D"/>
    <w:rsid w:val="00FB49CF"/>
    <w:rsid w:val="00FB5154"/>
    <w:rsid w:val="00FB5D32"/>
    <w:rsid w:val="00FB6569"/>
    <w:rsid w:val="00FB6E61"/>
    <w:rsid w:val="00FB755D"/>
    <w:rsid w:val="00FB7818"/>
    <w:rsid w:val="00FB7A8E"/>
    <w:rsid w:val="00FC0A35"/>
    <w:rsid w:val="00FC0A5D"/>
    <w:rsid w:val="00FC0E64"/>
    <w:rsid w:val="00FC15C9"/>
    <w:rsid w:val="00FC2269"/>
    <w:rsid w:val="00FC24EF"/>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256"/>
    <w:rsid w:val="00FD73D6"/>
    <w:rsid w:val="00FD7500"/>
    <w:rsid w:val="00FD7706"/>
    <w:rsid w:val="00FE0601"/>
    <w:rsid w:val="00FE08AA"/>
    <w:rsid w:val="00FE0AD0"/>
    <w:rsid w:val="00FE0E16"/>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951"/>
    <w:rsid w:val="00FF5AD5"/>
    <w:rsid w:val="00FF5DC2"/>
    <w:rsid w:val="00FF6052"/>
    <w:rsid w:val="00FF62EC"/>
    <w:rsid w:val="00FF632D"/>
    <w:rsid w:val="00FF6B45"/>
    <w:rsid w:val="00FF70EF"/>
    <w:rsid w:val="00FF7142"/>
    <w:rsid w:val="00FF716D"/>
    <w:rsid w:val="00FF78E0"/>
    <w:rsid w:val="00FF7AC0"/>
    <w:rsid w:val="01C2F895"/>
    <w:rsid w:val="02DD1421"/>
    <w:rsid w:val="04973874"/>
    <w:rsid w:val="04A767D8"/>
    <w:rsid w:val="057F6C80"/>
    <w:rsid w:val="05AC6A02"/>
    <w:rsid w:val="07C9A43E"/>
    <w:rsid w:val="08C13B07"/>
    <w:rsid w:val="0961121E"/>
    <w:rsid w:val="097AD8FB"/>
    <w:rsid w:val="09C36DF5"/>
    <w:rsid w:val="0A1A188F"/>
    <w:rsid w:val="0AA45720"/>
    <w:rsid w:val="0AD97182"/>
    <w:rsid w:val="0B87DAF0"/>
    <w:rsid w:val="0BB5A4EA"/>
    <w:rsid w:val="0C2F5D44"/>
    <w:rsid w:val="0D1B6617"/>
    <w:rsid w:val="0D231C60"/>
    <w:rsid w:val="0D27E434"/>
    <w:rsid w:val="0DDC6501"/>
    <w:rsid w:val="0DDDA89F"/>
    <w:rsid w:val="0EC3B495"/>
    <w:rsid w:val="0FA58D92"/>
    <w:rsid w:val="0FFC0EC3"/>
    <w:rsid w:val="104794BC"/>
    <w:rsid w:val="11721A1B"/>
    <w:rsid w:val="11EE7154"/>
    <w:rsid w:val="11F382D8"/>
    <w:rsid w:val="12324FC4"/>
    <w:rsid w:val="1288256A"/>
    <w:rsid w:val="13ACDD98"/>
    <w:rsid w:val="1465B1FA"/>
    <w:rsid w:val="14A69EB6"/>
    <w:rsid w:val="15194F3E"/>
    <w:rsid w:val="15F494ED"/>
    <w:rsid w:val="16383218"/>
    <w:rsid w:val="17560E01"/>
    <w:rsid w:val="175D3E5F"/>
    <w:rsid w:val="177EC16E"/>
    <w:rsid w:val="17E2AE5B"/>
    <w:rsid w:val="18264E06"/>
    <w:rsid w:val="182D2D3F"/>
    <w:rsid w:val="185ACF4F"/>
    <w:rsid w:val="186A96DB"/>
    <w:rsid w:val="1933477B"/>
    <w:rsid w:val="196E3168"/>
    <w:rsid w:val="1A3501CD"/>
    <w:rsid w:val="1AE101D2"/>
    <w:rsid w:val="1B03B16E"/>
    <w:rsid w:val="1B166FCA"/>
    <w:rsid w:val="1BD979D5"/>
    <w:rsid w:val="1C09EF98"/>
    <w:rsid w:val="1C39BCD6"/>
    <w:rsid w:val="1C9EC87C"/>
    <w:rsid w:val="1DBC64DA"/>
    <w:rsid w:val="1DD2A017"/>
    <w:rsid w:val="1E257A9A"/>
    <w:rsid w:val="1EE3B075"/>
    <w:rsid w:val="1F405375"/>
    <w:rsid w:val="1FFBC54D"/>
    <w:rsid w:val="20102ECC"/>
    <w:rsid w:val="216B4842"/>
    <w:rsid w:val="21DBE6A9"/>
    <w:rsid w:val="2326D570"/>
    <w:rsid w:val="23CAF857"/>
    <w:rsid w:val="24A5BE1B"/>
    <w:rsid w:val="24BEEC81"/>
    <w:rsid w:val="255B3ABC"/>
    <w:rsid w:val="25D133C4"/>
    <w:rsid w:val="25F31E6F"/>
    <w:rsid w:val="27741F0A"/>
    <w:rsid w:val="277E239E"/>
    <w:rsid w:val="28B1B170"/>
    <w:rsid w:val="290B9B83"/>
    <w:rsid w:val="295D40C6"/>
    <w:rsid w:val="29D5F371"/>
    <w:rsid w:val="2A45E0AC"/>
    <w:rsid w:val="2BC1D120"/>
    <w:rsid w:val="2D30C278"/>
    <w:rsid w:val="30DEA3A1"/>
    <w:rsid w:val="31FDEC59"/>
    <w:rsid w:val="321EFCF7"/>
    <w:rsid w:val="33D638DD"/>
    <w:rsid w:val="34308AF1"/>
    <w:rsid w:val="34A1F6E2"/>
    <w:rsid w:val="353B8168"/>
    <w:rsid w:val="356B7172"/>
    <w:rsid w:val="35AD30E9"/>
    <w:rsid w:val="36B181E6"/>
    <w:rsid w:val="38215E29"/>
    <w:rsid w:val="3A0B450A"/>
    <w:rsid w:val="3A938E2C"/>
    <w:rsid w:val="3AD6A6FE"/>
    <w:rsid w:val="3BAC0983"/>
    <w:rsid w:val="3BD5FA06"/>
    <w:rsid w:val="3C46F9A5"/>
    <w:rsid w:val="3D6EEB96"/>
    <w:rsid w:val="3E7BD6E6"/>
    <w:rsid w:val="3E844F56"/>
    <w:rsid w:val="3F073835"/>
    <w:rsid w:val="408ABF15"/>
    <w:rsid w:val="40BD05C4"/>
    <w:rsid w:val="413039F6"/>
    <w:rsid w:val="42547E23"/>
    <w:rsid w:val="4266A076"/>
    <w:rsid w:val="42832E59"/>
    <w:rsid w:val="42F8E2C0"/>
    <w:rsid w:val="4493A58D"/>
    <w:rsid w:val="455460E5"/>
    <w:rsid w:val="471B5505"/>
    <w:rsid w:val="473F5C2F"/>
    <w:rsid w:val="48E7C657"/>
    <w:rsid w:val="49565F2B"/>
    <w:rsid w:val="4984A9C7"/>
    <w:rsid w:val="4A666760"/>
    <w:rsid w:val="4B2B5AB6"/>
    <w:rsid w:val="4B55FA58"/>
    <w:rsid w:val="4C16FC7B"/>
    <w:rsid w:val="4CAE02BA"/>
    <w:rsid w:val="4DD7639E"/>
    <w:rsid w:val="4E5E5531"/>
    <w:rsid w:val="4EC9FA94"/>
    <w:rsid w:val="4EE15854"/>
    <w:rsid w:val="4F749E77"/>
    <w:rsid w:val="4FB346AE"/>
    <w:rsid w:val="507D28B5"/>
    <w:rsid w:val="50AB8C66"/>
    <w:rsid w:val="52C7BBD1"/>
    <w:rsid w:val="531D443E"/>
    <w:rsid w:val="534BEDF3"/>
    <w:rsid w:val="539F0492"/>
    <w:rsid w:val="548AF6A2"/>
    <w:rsid w:val="54CC7087"/>
    <w:rsid w:val="55A80FBE"/>
    <w:rsid w:val="55DCC2E3"/>
    <w:rsid w:val="5658D400"/>
    <w:rsid w:val="5680DDE8"/>
    <w:rsid w:val="572F7F96"/>
    <w:rsid w:val="57CBEB33"/>
    <w:rsid w:val="5908E1FA"/>
    <w:rsid w:val="597B4AEB"/>
    <w:rsid w:val="59F1B5E1"/>
    <w:rsid w:val="5A720B3D"/>
    <w:rsid w:val="5A7463A0"/>
    <w:rsid w:val="5AF82871"/>
    <w:rsid w:val="5C02F0B9"/>
    <w:rsid w:val="5CDC512B"/>
    <w:rsid w:val="5D791E25"/>
    <w:rsid w:val="5DDB4067"/>
    <w:rsid w:val="5DEBAA30"/>
    <w:rsid w:val="5E24C467"/>
    <w:rsid w:val="5F512B02"/>
    <w:rsid w:val="61056114"/>
    <w:rsid w:val="61BB160F"/>
    <w:rsid w:val="61D6FCD5"/>
    <w:rsid w:val="62388483"/>
    <w:rsid w:val="62413997"/>
    <w:rsid w:val="628B5A9A"/>
    <w:rsid w:val="630170DC"/>
    <w:rsid w:val="63540B3A"/>
    <w:rsid w:val="63CBA0CA"/>
    <w:rsid w:val="643C54D2"/>
    <w:rsid w:val="66409982"/>
    <w:rsid w:val="6745A360"/>
    <w:rsid w:val="681B2E67"/>
    <w:rsid w:val="68D066FD"/>
    <w:rsid w:val="68E173C1"/>
    <w:rsid w:val="694C1CD7"/>
    <w:rsid w:val="697B7A02"/>
    <w:rsid w:val="69C63BA2"/>
    <w:rsid w:val="6A0C3F1D"/>
    <w:rsid w:val="6A9209AE"/>
    <w:rsid w:val="6C0F1813"/>
    <w:rsid w:val="6C95E95B"/>
    <w:rsid w:val="6D5FCAC3"/>
    <w:rsid w:val="6D6E29D1"/>
    <w:rsid w:val="6D8AFD21"/>
    <w:rsid w:val="6DBCD26A"/>
    <w:rsid w:val="6E14B547"/>
    <w:rsid w:val="6E7742E2"/>
    <w:rsid w:val="6F46B8D5"/>
    <w:rsid w:val="706B3CCA"/>
    <w:rsid w:val="70EC85A6"/>
    <w:rsid w:val="716AE282"/>
    <w:rsid w:val="71E880EE"/>
    <w:rsid w:val="721AD916"/>
    <w:rsid w:val="72C6049B"/>
    <w:rsid w:val="72FF5030"/>
    <w:rsid w:val="73271624"/>
    <w:rsid w:val="737A17C5"/>
    <w:rsid w:val="73840680"/>
    <w:rsid w:val="7442CB92"/>
    <w:rsid w:val="77768DB6"/>
    <w:rsid w:val="777975FF"/>
    <w:rsid w:val="78DA8414"/>
    <w:rsid w:val="78E115F2"/>
    <w:rsid w:val="78FF8511"/>
    <w:rsid w:val="7948F6E5"/>
    <w:rsid w:val="7A25256E"/>
    <w:rsid w:val="7AE4C746"/>
    <w:rsid w:val="7C1C1C31"/>
    <w:rsid w:val="7CDD7007"/>
    <w:rsid w:val="7CFFD673"/>
    <w:rsid w:val="7D11C069"/>
    <w:rsid w:val="7D21F031"/>
    <w:rsid w:val="7D2AE8C6"/>
    <w:rsid w:val="7E9BA6D4"/>
    <w:rsid w:val="7F230D6F"/>
    <w:rsid w:val="7F877C41"/>
    <w:rsid w:val="7F8996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EB649"/>
  <w14:defaultImageDpi w14:val="0"/>
  <w15:docId w15:val="{EF89D5AA-FB29-4978-A03A-E281F42F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uiPriority="0"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1874E9"/>
    <w:rPr>
      <w:rFonts w:asciiTheme="majorHAnsi" w:eastAsiaTheme="majorEastAsia" w:hAnsiTheme="majorHAnsi" w:cs="Times New Roman"/>
      <w:color w:val="365F91" w:themeColor="accent1" w:themeShade="BF"/>
      <w:sz w:val="26"/>
      <w:szCs w:val="26"/>
    </w:rPr>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character" w:customStyle="1" w:styleId="Ttulo4Car">
    <w:name w:val="Título 4 Car"/>
    <w:basedOn w:val="Fuentedeprrafopredeter"/>
    <w:link w:val="Ttulo4"/>
    <w:uiPriority w:val="9"/>
    <w:semiHidden/>
    <w:locked/>
    <w:rsid w:val="00FE5476"/>
    <w:rPr>
      <w:rFonts w:asciiTheme="majorHAnsi" w:eastAsiaTheme="majorEastAsia" w:hAnsiTheme="majorHAnsi" w:cs="Times New Roman"/>
      <w:i/>
      <w:iCs/>
      <w:color w:val="365F91" w:themeColor="accent1" w:themeShade="BF"/>
      <w:sz w:val="24"/>
      <w:szCs w:val="24"/>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lang w:val="es-ES" w:eastAsia="es-ES"/>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lang w:val="es-ES" w:eastAsia="es-ES"/>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qFormat/>
    <w:rsid w:val="00D0339A"/>
    <w:rPr>
      <w:rFonts w:cs="Times New Roman"/>
      <w:vertAlign w:val="superscript"/>
    </w:rPr>
  </w:style>
  <w:style w:type="paragraph" w:styleId="Ttulo">
    <w:name w:val="Title"/>
    <w:basedOn w:val="Normal"/>
    <w:link w:val="TtuloCar"/>
    <w:uiPriority w:val="10"/>
    <w:qFormat/>
    <w:rsid w:val="00AC5058"/>
    <w:pPr>
      <w:jc w:val="center"/>
    </w:pPr>
    <w:rPr>
      <w:rFonts w:ascii="Arial" w:hAnsi="Arial" w:cs="Arial"/>
      <w:b/>
      <w:bCs/>
      <w:i/>
      <w:iCs/>
    </w:rPr>
  </w:style>
  <w:style w:type="character" w:customStyle="1" w:styleId="TtuloCar">
    <w:name w:val="Título Car"/>
    <w:basedOn w:val="Fuentedeprrafopredeter"/>
    <w:link w:val="Ttulo"/>
    <w:uiPriority w:val="10"/>
    <w:locked/>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sz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rPr>
      <w:rFonts w:cs="Times New Roman"/>
    </w:rPr>
  </w:style>
  <w:style w:type="character" w:styleId="Textoennegrita">
    <w:name w:val="Strong"/>
    <w:basedOn w:val="Fuentedeprrafopredeter"/>
    <w:uiPriority w:val="22"/>
    <w:qFormat/>
    <w:rsid w:val="00200C80"/>
    <w:rPr>
      <w:rFonts w:cs="Times New Roman"/>
      <w:b/>
      <w:bCs/>
    </w:rPr>
  </w:style>
  <w:style w:type="character" w:customStyle="1" w:styleId="textonavy1">
    <w:name w:val="texto_navy1"/>
    <w:rsid w:val="00873B92"/>
    <w:rPr>
      <w:color w:val="000080"/>
    </w:rPr>
  </w:style>
  <w:style w:type="character" w:styleId="CitaHTML">
    <w:name w:val="HTML Cite"/>
    <w:basedOn w:val="Fuentedeprrafopredeter"/>
    <w:uiPriority w:val="99"/>
    <w:unhideWhenUsed/>
    <w:rsid w:val="00B05CE0"/>
    <w:rPr>
      <w:rFonts w:cs="Times New Roman"/>
      <w:i/>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locked/>
    <w:rsid w:val="00E117CD"/>
    <w:rPr>
      <w:rFonts w:ascii="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hAnsi="Tahoma" w:cs="Tahoma"/>
      <w:sz w:val="21"/>
      <w:szCs w:val="21"/>
    </w:rPr>
  </w:style>
  <w:style w:type="character" w:customStyle="1" w:styleId="CitadestacadaCarCar">
    <w:name w:val="Cita destacada Car Car"/>
    <w:rsid w:val="00E1166E"/>
    <w:rPr>
      <w:rFonts w:ascii="Calibri" w:hAnsi="Calibri"/>
      <w:b/>
      <w:i/>
      <w:color w:val="4F81BD"/>
      <w:sz w:val="22"/>
      <w:lang w:val="es-ES" w:eastAsia="es-ES"/>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locked/>
    <w:rsid w:val="00E91654"/>
    <w:rPr>
      <w:rFonts w:ascii="Times New Roman" w:hAnsi="Times New Roman" w:cs="Times New Roman"/>
      <w:sz w:val="16"/>
      <w:szCs w:val="16"/>
    </w:rPr>
  </w:style>
  <w:style w:type="character" w:customStyle="1" w:styleId="SinespaciadoCar1">
    <w:name w:val="Sin espaciado Car1"/>
    <w:uiPriority w:val="99"/>
    <w:locked/>
    <w:rsid w:val="005543CF"/>
    <w:rPr>
      <w:rFonts w:ascii="Courier New" w:hAnsi="Courier New"/>
      <w:sz w:val="24"/>
      <w:lang w:val="es-ES" w:eastAsia="es-ES"/>
    </w:rPr>
  </w:style>
  <w:style w:type="paragraph" w:customStyle="1" w:styleId="CM203">
    <w:name w:val="CM203"/>
    <w:basedOn w:val="Normal"/>
    <w:next w:val="Normal"/>
    <w:uiPriority w:val="99"/>
    <w:rsid w:val="003A43D3"/>
    <w:pPr>
      <w:widowControl w:val="0"/>
      <w:autoSpaceDE w:val="0"/>
      <w:autoSpaceDN w:val="0"/>
      <w:adjustRightInd w:val="0"/>
    </w:pPr>
  </w:style>
  <w:style w:type="paragraph" w:customStyle="1" w:styleId="CM207">
    <w:name w:val="CM207"/>
    <w:basedOn w:val="Normal"/>
    <w:next w:val="Normal"/>
    <w:uiPriority w:val="99"/>
    <w:rsid w:val="00397EE7"/>
    <w:pPr>
      <w:widowControl w:val="0"/>
      <w:autoSpaceDE w:val="0"/>
      <w:autoSpaceDN w:val="0"/>
      <w:adjustRightInd w:val="0"/>
    </w:pPr>
  </w:style>
  <w:style w:type="character" w:customStyle="1" w:styleId="normaltextrun">
    <w:name w:val="normaltextrun"/>
    <w:basedOn w:val="Fuentedeprrafopredeter"/>
    <w:rsid w:val="00B35825"/>
    <w:rPr>
      <w:rFonts w:cs="Times New Roman"/>
    </w:rPr>
  </w:style>
  <w:style w:type="character" w:customStyle="1" w:styleId="superscript">
    <w:name w:val="superscript"/>
    <w:basedOn w:val="Fuentedeprrafopredeter"/>
    <w:rsid w:val="00B35825"/>
    <w:rPr>
      <w:rFonts w:cs="Times New Roman"/>
    </w:rPr>
  </w:style>
  <w:style w:type="character" w:styleId="Refdecomentario">
    <w:name w:val="annotation reference"/>
    <w:basedOn w:val="Fuentedeprrafopredeter"/>
    <w:uiPriority w:val="99"/>
    <w:rsid w:val="00B816DC"/>
    <w:rPr>
      <w:sz w:val="16"/>
      <w:szCs w:val="16"/>
    </w:rPr>
  </w:style>
  <w:style w:type="paragraph" w:styleId="Textocomentario">
    <w:name w:val="annotation text"/>
    <w:basedOn w:val="Normal"/>
    <w:link w:val="TextocomentarioCar"/>
    <w:uiPriority w:val="99"/>
    <w:rsid w:val="00B816DC"/>
    <w:rPr>
      <w:sz w:val="20"/>
      <w:szCs w:val="20"/>
    </w:rPr>
  </w:style>
  <w:style w:type="character" w:customStyle="1" w:styleId="TextocomentarioCar">
    <w:name w:val="Texto comentario Car"/>
    <w:basedOn w:val="Fuentedeprrafopredeter"/>
    <w:link w:val="Textocomentario"/>
    <w:uiPriority w:val="99"/>
    <w:rsid w:val="00B816DC"/>
    <w:rPr>
      <w:rFonts w:ascii="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rsid w:val="00B816DC"/>
    <w:rPr>
      <w:b/>
      <w:bCs/>
    </w:rPr>
  </w:style>
  <w:style w:type="character" w:customStyle="1" w:styleId="AsuntodelcomentarioCar">
    <w:name w:val="Asunto del comentario Car"/>
    <w:basedOn w:val="TextocomentarioCar"/>
    <w:link w:val="Asuntodelcomentario"/>
    <w:uiPriority w:val="99"/>
    <w:rsid w:val="00B816DC"/>
    <w:rPr>
      <w:rFonts w:ascii="Times New Roman" w:hAnsi="Times New Roman" w:cs="Times New Roman"/>
      <w:b/>
      <w:bCs/>
      <w:lang w:val="es-ES" w:eastAsia="es-ES"/>
    </w:rPr>
  </w:style>
  <w:style w:type="paragraph" w:customStyle="1" w:styleId="Notadepie">
    <w:name w:val="Nota de pie"/>
    <w:aliases w:val="Pie de pagina"/>
    <w:basedOn w:val="Normal"/>
    <w:link w:val="Refdenotaalpie"/>
    <w:rsid w:val="00143CA9"/>
    <w:pPr>
      <w:spacing w:after="160" w:line="240" w:lineRule="exact"/>
    </w:pPr>
    <w:rPr>
      <w:rFonts w:ascii="Calibri" w:hAnsi="Calibri"/>
      <w:sz w:val="20"/>
      <w:szCs w:val="20"/>
      <w:vertAlign w:val="superscript"/>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782">
      <w:marLeft w:val="0"/>
      <w:marRight w:val="0"/>
      <w:marTop w:val="0"/>
      <w:marBottom w:val="0"/>
      <w:divBdr>
        <w:top w:val="none" w:sz="0" w:space="0" w:color="auto"/>
        <w:left w:val="none" w:sz="0" w:space="0" w:color="auto"/>
        <w:bottom w:val="none" w:sz="0" w:space="0" w:color="auto"/>
        <w:right w:val="none" w:sz="0" w:space="0" w:color="auto"/>
      </w:divBdr>
      <w:divsChild>
        <w:div w:id="9844783">
          <w:marLeft w:val="45"/>
          <w:marRight w:val="45"/>
          <w:marTop w:val="0"/>
          <w:marBottom w:val="0"/>
          <w:divBdr>
            <w:top w:val="none" w:sz="0" w:space="0" w:color="auto"/>
            <w:left w:val="none" w:sz="0" w:space="0" w:color="auto"/>
            <w:bottom w:val="none" w:sz="0" w:space="0" w:color="auto"/>
            <w:right w:val="none" w:sz="0" w:space="0" w:color="auto"/>
          </w:divBdr>
          <w:divsChild>
            <w:div w:id="9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784">
      <w:marLeft w:val="0"/>
      <w:marRight w:val="0"/>
      <w:marTop w:val="0"/>
      <w:marBottom w:val="0"/>
      <w:divBdr>
        <w:top w:val="none" w:sz="0" w:space="0" w:color="auto"/>
        <w:left w:val="none" w:sz="0" w:space="0" w:color="auto"/>
        <w:bottom w:val="none" w:sz="0" w:space="0" w:color="auto"/>
        <w:right w:val="none" w:sz="0" w:space="0" w:color="auto"/>
      </w:divBdr>
    </w:div>
    <w:div w:id="9844785">
      <w:marLeft w:val="0"/>
      <w:marRight w:val="0"/>
      <w:marTop w:val="0"/>
      <w:marBottom w:val="0"/>
      <w:divBdr>
        <w:top w:val="none" w:sz="0" w:space="0" w:color="auto"/>
        <w:left w:val="none" w:sz="0" w:space="0" w:color="auto"/>
        <w:bottom w:val="none" w:sz="0" w:space="0" w:color="auto"/>
        <w:right w:val="none" w:sz="0" w:space="0" w:color="auto"/>
      </w:divBdr>
    </w:div>
    <w:div w:id="9844786">
      <w:marLeft w:val="0"/>
      <w:marRight w:val="0"/>
      <w:marTop w:val="0"/>
      <w:marBottom w:val="0"/>
      <w:divBdr>
        <w:top w:val="none" w:sz="0" w:space="0" w:color="auto"/>
        <w:left w:val="none" w:sz="0" w:space="0" w:color="auto"/>
        <w:bottom w:val="none" w:sz="0" w:space="0" w:color="auto"/>
        <w:right w:val="none" w:sz="0" w:space="0" w:color="auto"/>
      </w:divBdr>
      <w:divsChild>
        <w:div w:id="9844789">
          <w:marLeft w:val="45"/>
          <w:marRight w:val="45"/>
          <w:marTop w:val="0"/>
          <w:marBottom w:val="0"/>
          <w:divBdr>
            <w:top w:val="none" w:sz="0" w:space="0" w:color="auto"/>
            <w:left w:val="none" w:sz="0" w:space="0" w:color="auto"/>
            <w:bottom w:val="none" w:sz="0" w:space="0" w:color="auto"/>
            <w:right w:val="none" w:sz="0" w:space="0" w:color="auto"/>
          </w:divBdr>
          <w:divsChild>
            <w:div w:id="98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787">
      <w:marLeft w:val="0"/>
      <w:marRight w:val="0"/>
      <w:marTop w:val="0"/>
      <w:marBottom w:val="0"/>
      <w:divBdr>
        <w:top w:val="none" w:sz="0" w:space="0" w:color="auto"/>
        <w:left w:val="none" w:sz="0" w:space="0" w:color="auto"/>
        <w:bottom w:val="none" w:sz="0" w:space="0" w:color="auto"/>
        <w:right w:val="none" w:sz="0" w:space="0" w:color="auto"/>
      </w:divBdr>
    </w:div>
    <w:div w:id="9844791">
      <w:marLeft w:val="0"/>
      <w:marRight w:val="0"/>
      <w:marTop w:val="0"/>
      <w:marBottom w:val="0"/>
      <w:divBdr>
        <w:top w:val="none" w:sz="0" w:space="0" w:color="auto"/>
        <w:left w:val="none" w:sz="0" w:space="0" w:color="auto"/>
        <w:bottom w:val="none" w:sz="0" w:space="0" w:color="auto"/>
        <w:right w:val="none" w:sz="0" w:space="0" w:color="auto"/>
      </w:divBdr>
    </w:div>
    <w:div w:id="9844792">
      <w:marLeft w:val="0"/>
      <w:marRight w:val="0"/>
      <w:marTop w:val="0"/>
      <w:marBottom w:val="0"/>
      <w:divBdr>
        <w:top w:val="none" w:sz="0" w:space="0" w:color="auto"/>
        <w:left w:val="none" w:sz="0" w:space="0" w:color="auto"/>
        <w:bottom w:val="none" w:sz="0" w:space="0" w:color="auto"/>
        <w:right w:val="none" w:sz="0" w:space="0" w:color="auto"/>
      </w:divBdr>
    </w:div>
    <w:div w:id="9844793">
      <w:marLeft w:val="0"/>
      <w:marRight w:val="0"/>
      <w:marTop w:val="0"/>
      <w:marBottom w:val="0"/>
      <w:divBdr>
        <w:top w:val="none" w:sz="0" w:space="0" w:color="auto"/>
        <w:left w:val="none" w:sz="0" w:space="0" w:color="auto"/>
        <w:bottom w:val="none" w:sz="0" w:space="0" w:color="auto"/>
        <w:right w:val="none" w:sz="0" w:space="0" w:color="auto"/>
      </w:divBdr>
    </w:div>
    <w:div w:id="9844794">
      <w:marLeft w:val="0"/>
      <w:marRight w:val="0"/>
      <w:marTop w:val="0"/>
      <w:marBottom w:val="0"/>
      <w:divBdr>
        <w:top w:val="none" w:sz="0" w:space="0" w:color="auto"/>
        <w:left w:val="none" w:sz="0" w:space="0" w:color="auto"/>
        <w:bottom w:val="none" w:sz="0" w:space="0" w:color="auto"/>
        <w:right w:val="none" w:sz="0" w:space="0" w:color="auto"/>
      </w:divBdr>
    </w:div>
    <w:div w:id="9844795">
      <w:marLeft w:val="0"/>
      <w:marRight w:val="0"/>
      <w:marTop w:val="0"/>
      <w:marBottom w:val="0"/>
      <w:divBdr>
        <w:top w:val="none" w:sz="0" w:space="0" w:color="auto"/>
        <w:left w:val="none" w:sz="0" w:space="0" w:color="auto"/>
        <w:bottom w:val="none" w:sz="0" w:space="0" w:color="auto"/>
        <w:right w:val="none" w:sz="0" w:space="0" w:color="auto"/>
      </w:divBdr>
    </w:div>
    <w:div w:id="9844796">
      <w:marLeft w:val="0"/>
      <w:marRight w:val="0"/>
      <w:marTop w:val="0"/>
      <w:marBottom w:val="0"/>
      <w:divBdr>
        <w:top w:val="none" w:sz="0" w:space="0" w:color="auto"/>
        <w:left w:val="none" w:sz="0" w:space="0" w:color="auto"/>
        <w:bottom w:val="none" w:sz="0" w:space="0" w:color="auto"/>
        <w:right w:val="none" w:sz="0" w:space="0" w:color="auto"/>
      </w:divBdr>
    </w:div>
    <w:div w:id="9844798">
      <w:marLeft w:val="0"/>
      <w:marRight w:val="0"/>
      <w:marTop w:val="0"/>
      <w:marBottom w:val="0"/>
      <w:divBdr>
        <w:top w:val="none" w:sz="0" w:space="0" w:color="auto"/>
        <w:left w:val="none" w:sz="0" w:space="0" w:color="auto"/>
        <w:bottom w:val="none" w:sz="0" w:space="0" w:color="auto"/>
        <w:right w:val="none" w:sz="0" w:space="0" w:color="auto"/>
      </w:divBdr>
      <w:divsChild>
        <w:div w:id="9844799">
          <w:marLeft w:val="0"/>
          <w:marRight w:val="0"/>
          <w:marTop w:val="0"/>
          <w:marBottom w:val="0"/>
          <w:divBdr>
            <w:top w:val="none" w:sz="0" w:space="0" w:color="auto"/>
            <w:left w:val="none" w:sz="0" w:space="0" w:color="auto"/>
            <w:bottom w:val="none" w:sz="0" w:space="0" w:color="auto"/>
            <w:right w:val="none" w:sz="0" w:space="0" w:color="auto"/>
          </w:divBdr>
        </w:div>
        <w:div w:id="9844802">
          <w:marLeft w:val="0"/>
          <w:marRight w:val="0"/>
          <w:marTop w:val="0"/>
          <w:marBottom w:val="0"/>
          <w:divBdr>
            <w:top w:val="none" w:sz="0" w:space="0" w:color="auto"/>
            <w:left w:val="none" w:sz="0" w:space="0" w:color="auto"/>
            <w:bottom w:val="none" w:sz="0" w:space="0" w:color="auto"/>
            <w:right w:val="none" w:sz="0" w:space="0" w:color="auto"/>
          </w:divBdr>
        </w:div>
      </w:divsChild>
    </w:div>
    <w:div w:id="9844801">
      <w:marLeft w:val="0"/>
      <w:marRight w:val="0"/>
      <w:marTop w:val="0"/>
      <w:marBottom w:val="0"/>
      <w:divBdr>
        <w:top w:val="none" w:sz="0" w:space="0" w:color="auto"/>
        <w:left w:val="none" w:sz="0" w:space="0" w:color="auto"/>
        <w:bottom w:val="none" w:sz="0" w:space="0" w:color="auto"/>
        <w:right w:val="none" w:sz="0" w:space="0" w:color="auto"/>
      </w:divBdr>
      <w:divsChild>
        <w:div w:id="9844797">
          <w:marLeft w:val="0"/>
          <w:marRight w:val="0"/>
          <w:marTop w:val="0"/>
          <w:marBottom w:val="0"/>
          <w:divBdr>
            <w:top w:val="none" w:sz="0" w:space="0" w:color="auto"/>
            <w:left w:val="none" w:sz="0" w:space="0" w:color="auto"/>
            <w:bottom w:val="none" w:sz="0" w:space="0" w:color="auto"/>
            <w:right w:val="none" w:sz="0" w:space="0" w:color="auto"/>
          </w:divBdr>
        </w:div>
        <w:div w:id="9844800">
          <w:marLeft w:val="0"/>
          <w:marRight w:val="0"/>
          <w:marTop w:val="0"/>
          <w:marBottom w:val="0"/>
          <w:divBdr>
            <w:top w:val="none" w:sz="0" w:space="0" w:color="auto"/>
            <w:left w:val="none" w:sz="0" w:space="0" w:color="auto"/>
            <w:bottom w:val="none" w:sz="0" w:space="0" w:color="auto"/>
            <w:right w:val="none" w:sz="0" w:space="0" w:color="auto"/>
          </w:divBdr>
        </w:div>
      </w:divsChild>
    </w:div>
    <w:div w:id="1722249215">
      <w:bodyDiv w:val="1"/>
      <w:marLeft w:val="0"/>
      <w:marRight w:val="0"/>
      <w:marTop w:val="0"/>
      <w:marBottom w:val="0"/>
      <w:divBdr>
        <w:top w:val="none" w:sz="0" w:space="0" w:color="auto"/>
        <w:left w:val="none" w:sz="0" w:space="0" w:color="auto"/>
        <w:bottom w:val="none" w:sz="0" w:space="0" w:color="auto"/>
        <w:right w:val="none" w:sz="0" w:space="0" w:color="auto"/>
      </w:divBdr>
      <w:divsChild>
        <w:div w:id="823933729">
          <w:marLeft w:val="0"/>
          <w:marRight w:val="0"/>
          <w:marTop w:val="0"/>
          <w:marBottom w:val="0"/>
          <w:divBdr>
            <w:top w:val="none" w:sz="0" w:space="0" w:color="auto"/>
            <w:left w:val="none" w:sz="0" w:space="0" w:color="auto"/>
            <w:bottom w:val="none" w:sz="0" w:space="0" w:color="auto"/>
            <w:right w:val="none" w:sz="0" w:space="0" w:color="auto"/>
          </w:divBdr>
        </w:div>
        <w:div w:id="34038746">
          <w:marLeft w:val="0"/>
          <w:marRight w:val="0"/>
          <w:marTop w:val="0"/>
          <w:marBottom w:val="0"/>
          <w:divBdr>
            <w:top w:val="none" w:sz="0" w:space="0" w:color="auto"/>
            <w:left w:val="none" w:sz="0" w:space="0" w:color="auto"/>
            <w:bottom w:val="none" w:sz="0" w:space="0" w:color="auto"/>
            <w:right w:val="none" w:sz="0" w:space="0" w:color="auto"/>
          </w:divBdr>
        </w:div>
        <w:div w:id="1468622408">
          <w:marLeft w:val="0"/>
          <w:marRight w:val="0"/>
          <w:marTop w:val="0"/>
          <w:marBottom w:val="0"/>
          <w:divBdr>
            <w:top w:val="none" w:sz="0" w:space="0" w:color="auto"/>
            <w:left w:val="none" w:sz="0" w:space="0" w:color="auto"/>
            <w:bottom w:val="none" w:sz="0" w:space="0" w:color="auto"/>
            <w:right w:val="none" w:sz="0" w:space="0" w:color="auto"/>
          </w:divBdr>
        </w:div>
        <w:div w:id="1809786520">
          <w:marLeft w:val="0"/>
          <w:marRight w:val="0"/>
          <w:marTop w:val="0"/>
          <w:marBottom w:val="0"/>
          <w:divBdr>
            <w:top w:val="none" w:sz="0" w:space="0" w:color="auto"/>
            <w:left w:val="none" w:sz="0" w:space="0" w:color="auto"/>
            <w:bottom w:val="none" w:sz="0" w:space="0" w:color="auto"/>
            <w:right w:val="none" w:sz="0" w:space="0" w:color="auto"/>
          </w:divBdr>
        </w:div>
        <w:div w:id="702828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6/C-553-1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69890-28A2-4756-AF68-6B66930CC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FA7EF-2A6E-4A34-BC19-D500F5568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AF3DCE-C9F0-4B4D-A5FC-1B6A1AE964D8}">
  <ds:schemaRefs>
    <ds:schemaRef ds:uri="http://schemas.microsoft.com/sharepoint/v3/contenttype/forms"/>
  </ds:schemaRefs>
</ds:datastoreItem>
</file>

<file path=customXml/itemProps4.xml><?xml version="1.0" encoding="utf-8"?>
<ds:datastoreItem xmlns:ds="http://schemas.openxmlformats.org/officeDocument/2006/customXml" ds:itemID="{032F23FD-C9D8-4F54-8CFD-F84F24D4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4468</Words>
  <Characters>24578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9</cp:revision>
  <cp:lastPrinted>2019-09-30T20:42:00Z</cp:lastPrinted>
  <dcterms:created xsi:type="dcterms:W3CDTF">2021-02-09T12:41:00Z</dcterms:created>
  <dcterms:modified xsi:type="dcterms:W3CDTF">2022-02-26T18:46:00Z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