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A49916" w14:textId="77777777" w:rsidR="00724B5D" w:rsidRPr="00724B5D" w:rsidRDefault="00724B5D" w:rsidP="00724B5D">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r w:rsidRPr="00724B5D">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44919DC2" w14:textId="77777777" w:rsidR="00724B5D" w:rsidRPr="00724B5D" w:rsidRDefault="00724B5D" w:rsidP="00724B5D">
      <w:pPr>
        <w:jc w:val="both"/>
        <w:rPr>
          <w:rFonts w:ascii="Arial" w:hAnsi="Arial" w:cs="Arial"/>
          <w:lang w:val="es-419"/>
        </w:rPr>
      </w:pPr>
    </w:p>
    <w:p w14:paraId="308CE824" w14:textId="77777777" w:rsidR="00724B5D" w:rsidRPr="00724B5D" w:rsidRDefault="00724B5D" w:rsidP="00724B5D">
      <w:pPr>
        <w:jc w:val="both"/>
        <w:rPr>
          <w:rFonts w:ascii="Arial" w:hAnsi="Arial" w:cs="Arial"/>
          <w:lang w:val="es-419"/>
        </w:rPr>
      </w:pPr>
      <w:r w:rsidRPr="00724B5D">
        <w:rPr>
          <w:rFonts w:ascii="Arial" w:hAnsi="Arial" w:cs="Arial"/>
          <w:lang w:val="es-419"/>
        </w:rPr>
        <w:t>Asunto</w:t>
      </w:r>
      <w:r w:rsidRPr="00724B5D">
        <w:rPr>
          <w:rFonts w:ascii="Arial" w:hAnsi="Arial" w:cs="Arial"/>
          <w:lang w:val="es-419"/>
        </w:rPr>
        <w:tab/>
      </w:r>
      <w:r w:rsidRPr="00724B5D">
        <w:rPr>
          <w:rFonts w:ascii="Arial" w:hAnsi="Arial" w:cs="Arial"/>
          <w:lang w:val="es-419"/>
        </w:rPr>
        <w:tab/>
      </w:r>
      <w:r w:rsidRPr="00724B5D">
        <w:rPr>
          <w:rFonts w:ascii="Arial" w:hAnsi="Arial" w:cs="Arial"/>
          <w:lang w:val="es-419"/>
        </w:rPr>
        <w:tab/>
        <w:t>: Decide nulidad procesal</w:t>
      </w:r>
    </w:p>
    <w:p w14:paraId="28B26AF8" w14:textId="1EE0754D" w:rsidR="00724B5D" w:rsidRPr="00724B5D" w:rsidRDefault="00724B5D" w:rsidP="00724B5D">
      <w:pPr>
        <w:jc w:val="both"/>
        <w:rPr>
          <w:rFonts w:ascii="Arial" w:hAnsi="Arial" w:cs="Arial"/>
          <w:lang w:val="es-419"/>
        </w:rPr>
      </w:pPr>
      <w:r w:rsidRPr="00724B5D">
        <w:rPr>
          <w:rFonts w:ascii="Arial" w:hAnsi="Arial" w:cs="Arial"/>
          <w:lang w:val="es-419"/>
        </w:rPr>
        <w:t>Proceso</w:t>
      </w:r>
      <w:r>
        <w:rPr>
          <w:rFonts w:ascii="Arial" w:hAnsi="Arial" w:cs="Arial"/>
          <w:lang w:val="es-419"/>
        </w:rPr>
        <w:tab/>
      </w:r>
      <w:r>
        <w:rPr>
          <w:rFonts w:ascii="Arial" w:hAnsi="Arial" w:cs="Arial"/>
          <w:lang w:val="es-419"/>
        </w:rPr>
        <w:tab/>
      </w:r>
      <w:r w:rsidRPr="00724B5D">
        <w:rPr>
          <w:rFonts w:ascii="Arial" w:hAnsi="Arial" w:cs="Arial"/>
          <w:lang w:val="es-419"/>
        </w:rPr>
        <w:t xml:space="preserve">: Abreviado – Servidumbre </w:t>
      </w:r>
    </w:p>
    <w:p w14:paraId="5FBE8748" w14:textId="2400BEE6" w:rsidR="00724B5D" w:rsidRPr="00724B5D" w:rsidRDefault="00724B5D" w:rsidP="00724B5D">
      <w:pPr>
        <w:jc w:val="both"/>
        <w:rPr>
          <w:rFonts w:ascii="Arial" w:hAnsi="Arial" w:cs="Arial"/>
          <w:lang w:val="es-419"/>
        </w:rPr>
      </w:pPr>
      <w:r w:rsidRPr="00724B5D">
        <w:rPr>
          <w:rFonts w:ascii="Arial" w:hAnsi="Arial" w:cs="Arial"/>
          <w:lang w:val="es-419"/>
        </w:rPr>
        <w:t>Demandante</w:t>
      </w:r>
      <w:r>
        <w:rPr>
          <w:rFonts w:ascii="Arial" w:hAnsi="Arial" w:cs="Arial"/>
          <w:lang w:val="es-419"/>
        </w:rPr>
        <w:tab/>
      </w:r>
      <w:r w:rsidRPr="00724B5D">
        <w:rPr>
          <w:rFonts w:ascii="Arial" w:hAnsi="Arial" w:cs="Arial"/>
          <w:lang w:val="es-419"/>
        </w:rPr>
        <w:tab/>
        <w:t>: Empresa de Energía de Bogotá SA ESP</w:t>
      </w:r>
    </w:p>
    <w:p w14:paraId="2B58B12B" w14:textId="4BA852AC" w:rsidR="00724B5D" w:rsidRPr="00724B5D" w:rsidRDefault="00724B5D" w:rsidP="00724B5D">
      <w:pPr>
        <w:jc w:val="both"/>
        <w:rPr>
          <w:rFonts w:ascii="Arial" w:hAnsi="Arial" w:cs="Arial"/>
          <w:lang w:val="es-419"/>
        </w:rPr>
      </w:pPr>
      <w:r w:rsidRPr="00724B5D">
        <w:rPr>
          <w:rFonts w:ascii="Arial" w:hAnsi="Arial" w:cs="Arial"/>
          <w:lang w:val="es-419"/>
        </w:rPr>
        <w:t>Demandada</w:t>
      </w:r>
      <w:r>
        <w:rPr>
          <w:rFonts w:ascii="Arial" w:hAnsi="Arial" w:cs="Arial"/>
          <w:lang w:val="es-419"/>
        </w:rPr>
        <w:tab/>
      </w:r>
      <w:r w:rsidRPr="00724B5D">
        <w:rPr>
          <w:rFonts w:ascii="Arial" w:hAnsi="Arial" w:cs="Arial"/>
          <w:lang w:val="es-419"/>
        </w:rPr>
        <w:tab/>
        <w:t>: Josefina Restrepo González</w:t>
      </w:r>
    </w:p>
    <w:p w14:paraId="04919A90" w14:textId="13787784" w:rsidR="00724B5D" w:rsidRPr="00724B5D" w:rsidRDefault="00724B5D" w:rsidP="00724B5D">
      <w:pPr>
        <w:jc w:val="both"/>
        <w:rPr>
          <w:rFonts w:ascii="Arial" w:hAnsi="Arial" w:cs="Arial"/>
          <w:lang w:val="es-419"/>
        </w:rPr>
      </w:pPr>
      <w:r w:rsidRPr="00724B5D">
        <w:rPr>
          <w:rFonts w:ascii="Arial" w:hAnsi="Arial" w:cs="Arial"/>
          <w:lang w:val="es-419"/>
        </w:rPr>
        <w:t xml:space="preserve">Procedencia </w:t>
      </w:r>
      <w:r>
        <w:rPr>
          <w:rFonts w:ascii="Arial" w:hAnsi="Arial" w:cs="Arial"/>
          <w:lang w:val="es-419"/>
        </w:rPr>
        <w:tab/>
      </w:r>
      <w:r w:rsidRPr="00724B5D">
        <w:rPr>
          <w:rFonts w:ascii="Arial" w:hAnsi="Arial" w:cs="Arial"/>
          <w:lang w:val="es-419"/>
        </w:rPr>
        <w:tab/>
        <w:t>: Juzgado Segundo Civil del Circuito de Pereira</w:t>
      </w:r>
    </w:p>
    <w:p w14:paraId="60E334EB" w14:textId="0F8DAD11" w:rsidR="00724B5D" w:rsidRPr="00724B5D" w:rsidRDefault="00724B5D" w:rsidP="00724B5D">
      <w:pPr>
        <w:jc w:val="both"/>
        <w:rPr>
          <w:rFonts w:ascii="Arial" w:hAnsi="Arial" w:cs="Arial"/>
          <w:lang w:val="es-419"/>
        </w:rPr>
      </w:pPr>
      <w:r w:rsidRPr="00724B5D">
        <w:rPr>
          <w:rFonts w:ascii="Arial" w:hAnsi="Arial" w:cs="Arial"/>
          <w:lang w:val="es-419"/>
        </w:rPr>
        <w:t>Radicación</w:t>
      </w:r>
      <w:r>
        <w:rPr>
          <w:rFonts w:ascii="Arial" w:hAnsi="Arial" w:cs="Arial"/>
          <w:lang w:val="es-419"/>
        </w:rPr>
        <w:tab/>
      </w:r>
      <w:r w:rsidRPr="00724B5D">
        <w:rPr>
          <w:rFonts w:ascii="Arial" w:hAnsi="Arial" w:cs="Arial"/>
          <w:lang w:val="es-419"/>
        </w:rPr>
        <w:tab/>
        <w:t>: 66001-31-03-004-2014-00305-01</w:t>
      </w:r>
    </w:p>
    <w:p w14:paraId="215E013B" w14:textId="39BC2B95" w:rsidR="00724B5D" w:rsidRPr="00724B5D" w:rsidRDefault="00724B5D" w:rsidP="00724B5D">
      <w:pPr>
        <w:jc w:val="both"/>
        <w:rPr>
          <w:rFonts w:ascii="Arial" w:hAnsi="Arial" w:cs="Arial"/>
          <w:lang w:val="es-419"/>
        </w:rPr>
      </w:pPr>
      <w:proofErr w:type="spellStart"/>
      <w:r w:rsidRPr="00724B5D">
        <w:rPr>
          <w:rFonts w:ascii="Arial" w:hAnsi="Arial" w:cs="Arial"/>
          <w:lang w:val="es-419"/>
        </w:rPr>
        <w:t>Mag</w:t>
      </w:r>
      <w:proofErr w:type="spellEnd"/>
      <w:r w:rsidRPr="00724B5D">
        <w:rPr>
          <w:rFonts w:ascii="Arial" w:hAnsi="Arial" w:cs="Arial"/>
          <w:lang w:val="es-419"/>
        </w:rPr>
        <w:t>. Sustanciador</w:t>
      </w:r>
      <w:r w:rsidRPr="00724B5D">
        <w:rPr>
          <w:rFonts w:ascii="Arial" w:hAnsi="Arial" w:cs="Arial"/>
          <w:lang w:val="es-419"/>
        </w:rPr>
        <w:tab/>
        <w:t>: DUBERNEY GRISALES HERRERA</w:t>
      </w:r>
    </w:p>
    <w:p w14:paraId="2E620189" w14:textId="77777777" w:rsidR="00724B5D" w:rsidRPr="00724B5D" w:rsidRDefault="00724B5D" w:rsidP="00724B5D">
      <w:pPr>
        <w:jc w:val="both"/>
        <w:rPr>
          <w:rFonts w:ascii="Arial" w:hAnsi="Arial" w:cs="Arial"/>
          <w:lang w:val="es-419"/>
        </w:rPr>
      </w:pPr>
    </w:p>
    <w:p w14:paraId="00E1BB17" w14:textId="02EF09A8" w:rsidR="00724B5D" w:rsidRPr="00724B5D" w:rsidRDefault="00724B5D" w:rsidP="00724B5D">
      <w:pPr>
        <w:jc w:val="both"/>
        <w:rPr>
          <w:rFonts w:ascii="Arial" w:hAnsi="Arial" w:cs="Arial"/>
          <w:b/>
          <w:bCs/>
          <w:iCs/>
          <w:lang w:val="es-419" w:eastAsia="fr-FR"/>
        </w:rPr>
      </w:pPr>
      <w:r w:rsidRPr="00724B5D">
        <w:rPr>
          <w:rFonts w:ascii="Arial" w:hAnsi="Arial" w:cs="Arial"/>
          <w:b/>
          <w:bCs/>
          <w:iCs/>
          <w:u w:val="single"/>
          <w:lang w:val="es-419" w:eastAsia="fr-FR"/>
        </w:rPr>
        <w:t>TEMAS:</w:t>
      </w:r>
      <w:r w:rsidRPr="00724B5D">
        <w:rPr>
          <w:rFonts w:ascii="Arial" w:hAnsi="Arial" w:cs="Arial"/>
          <w:b/>
          <w:bCs/>
          <w:iCs/>
          <w:lang w:val="es-419" w:eastAsia="fr-FR"/>
        </w:rPr>
        <w:tab/>
      </w:r>
      <w:r w:rsidR="002F3BE8">
        <w:rPr>
          <w:rFonts w:ascii="Arial" w:hAnsi="Arial" w:cs="Arial"/>
          <w:b/>
          <w:bCs/>
          <w:iCs/>
          <w:lang w:val="es-419" w:eastAsia="fr-FR"/>
        </w:rPr>
        <w:t xml:space="preserve">NULIDAD PROCESAL / PRINCIPIO DE TAXATIVIDAD / INDEBIDA NOTIFICACIÓN / </w:t>
      </w:r>
      <w:r w:rsidRPr="00724B5D">
        <w:rPr>
          <w:rFonts w:ascii="Arial" w:hAnsi="Arial" w:cs="Arial"/>
          <w:b/>
          <w:lang w:val="es-419"/>
        </w:rPr>
        <w:t xml:space="preserve">INTEGRACIÓN DE </w:t>
      </w:r>
      <w:r w:rsidR="002F3BE8">
        <w:rPr>
          <w:rFonts w:ascii="Arial" w:hAnsi="Arial" w:cs="Arial"/>
          <w:b/>
          <w:lang w:val="es-419"/>
        </w:rPr>
        <w:t xml:space="preserve">LA </w:t>
      </w:r>
      <w:r w:rsidRPr="00724B5D">
        <w:rPr>
          <w:rFonts w:ascii="Arial" w:hAnsi="Arial" w:cs="Arial"/>
          <w:b/>
          <w:lang w:val="es-419"/>
        </w:rPr>
        <w:t xml:space="preserve">LITIS </w:t>
      </w:r>
      <w:r w:rsidRPr="00724B5D">
        <w:rPr>
          <w:rFonts w:ascii="Arial" w:hAnsi="Arial" w:cs="Arial"/>
          <w:b/>
          <w:bCs/>
          <w:iCs/>
          <w:lang w:val="es-419" w:eastAsia="fr-FR"/>
        </w:rPr>
        <w:t xml:space="preserve">/ </w:t>
      </w:r>
      <w:r w:rsidR="002F3BE8">
        <w:rPr>
          <w:rFonts w:ascii="Arial" w:hAnsi="Arial" w:cs="Arial"/>
          <w:b/>
          <w:bCs/>
          <w:iCs/>
          <w:lang w:val="es-419" w:eastAsia="fr-FR"/>
        </w:rPr>
        <w:t>PROCESO DE SERVIDUMBRE / TITULAR DE DERECHO REAL ACCESORIO / ACREEDOR HIPOTECARIO.</w:t>
      </w:r>
    </w:p>
    <w:p w14:paraId="6ED31E6B" w14:textId="77777777" w:rsidR="00724B5D" w:rsidRPr="00724B5D" w:rsidRDefault="00724B5D" w:rsidP="00724B5D">
      <w:pPr>
        <w:jc w:val="both"/>
        <w:rPr>
          <w:rFonts w:ascii="Arial" w:hAnsi="Arial" w:cs="Arial"/>
          <w:lang w:val="es-419"/>
        </w:rPr>
      </w:pPr>
    </w:p>
    <w:p w14:paraId="30A6937C" w14:textId="77777777" w:rsidR="002F3BE8" w:rsidRPr="002F3BE8" w:rsidRDefault="002F3BE8" w:rsidP="002F3BE8">
      <w:pPr>
        <w:jc w:val="both"/>
        <w:rPr>
          <w:rFonts w:ascii="Arial" w:hAnsi="Arial" w:cs="Arial"/>
          <w:lang w:val="es-419"/>
        </w:rPr>
      </w:pPr>
      <w:r w:rsidRPr="002F3BE8">
        <w:rPr>
          <w:rFonts w:ascii="Arial" w:hAnsi="Arial" w:cs="Arial"/>
          <w:lang w:val="es-419"/>
        </w:rPr>
        <w:t>El ordenamiento legal, vigente en nuestro país, consagra como regla que la institución de las nulidades de tipo procedimental está estatuida con el propósito de salvaguardar el derecho constitucional del debido proceso y su derivado natural, el derecho de defensa (Artículo 29, CP).</w:t>
      </w:r>
    </w:p>
    <w:p w14:paraId="0174C508" w14:textId="77777777" w:rsidR="002F3BE8" w:rsidRPr="002F3BE8" w:rsidRDefault="002F3BE8" w:rsidP="002F3BE8">
      <w:pPr>
        <w:jc w:val="both"/>
        <w:rPr>
          <w:rFonts w:ascii="Arial" w:hAnsi="Arial" w:cs="Arial"/>
          <w:lang w:val="es-419"/>
        </w:rPr>
      </w:pPr>
    </w:p>
    <w:p w14:paraId="77B7743B" w14:textId="411E96BA" w:rsidR="002F3BE8" w:rsidRPr="002F3BE8" w:rsidRDefault="002F3BE8" w:rsidP="002F3BE8">
      <w:pPr>
        <w:jc w:val="both"/>
        <w:rPr>
          <w:rFonts w:ascii="Arial" w:hAnsi="Arial" w:cs="Arial"/>
          <w:lang w:val="es-419"/>
        </w:rPr>
      </w:pPr>
      <w:r w:rsidRPr="002F3BE8">
        <w:rPr>
          <w:rFonts w:ascii="Arial" w:hAnsi="Arial" w:cs="Arial"/>
          <w:lang w:val="es-419"/>
        </w:rPr>
        <w:t xml:space="preserve">Es preciso advertir que este instrumento, reglamentado por los artículos 133 y </w:t>
      </w:r>
      <w:proofErr w:type="spellStart"/>
      <w:r w:rsidRPr="002F3BE8">
        <w:rPr>
          <w:rFonts w:ascii="Arial" w:hAnsi="Arial" w:cs="Arial"/>
          <w:lang w:val="es-419"/>
        </w:rPr>
        <w:t>ss</w:t>
      </w:r>
      <w:proofErr w:type="spellEnd"/>
      <w:r w:rsidRPr="002F3BE8">
        <w:rPr>
          <w:rFonts w:ascii="Arial" w:hAnsi="Arial" w:cs="Arial"/>
          <w:lang w:val="es-419"/>
        </w:rPr>
        <w:t>, CGP, no tuvo cambios sustanciales respecto a lo regulado en el CPC (Artículos 140 y 141)</w:t>
      </w:r>
      <w:r>
        <w:rPr>
          <w:rFonts w:ascii="Arial" w:hAnsi="Arial" w:cs="Arial"/>
          <w:lang w:val="es-419"/>
        </w:rPr>
        <w:t xml:space="preserve"> …</w:t>
      </w:r>
    </w:p>
    <w:p w14:paraId="53F301B5" w14:textId="77777777" w:rsidR="002F3BE8" w:rsidRPr="002F3BE8" w:rsidRDefault="002F3BE8" w:rsidP="002F3BE8">
      <w:pPr>
        <w:jc w:val="both"/>
        <w:rPr>
          <w:rFonts w:ascii="Arial" w:hAnsi="Arial" w:cs="Arial"/>
          <w:lang w:val="es-419"/>
        </w:rPr>
      </w:pPr>
    </w:p>
    <w:p w14:paraId="3442F080" w14:textId="12256EF6" w:rsidR="00724B5D" w:rsidRPr="00724B5D" w:rsidRDefault="002F3BE8" w:rsidP="002F3BE8">
      <w:pPr>
        <w:jc w:val="both"/>
        <w:rPr>
          <w:rFonts w:ascii="Arial" w:hAnsi="Arial" w:cs="Arial"/>
          <w:lang w:val="es-419"/>
        </w:rPr>
      </w:pPr>
      <w:r w:rsidRPr="002F3BE8">
        <w:rPr>
          <w:rFonts w:ascii="Arial" w:hAnsi="Arial" w:cs="Arial"/>
          <w:lang w:val="es-419"/>
        </w:rPr>
        <w:t>El régimen de esta figura, en ambos estatutos, está informado por el principio de la taxatividad o especificidad</w:t>
      </w:r>
      <w:r>
        <w:rPr>
          <w:rFonts w:ascii="Arial" w:hAnsi="Arial" w:cs="Arial"/>
          <w:lang w:val="es-419"/>
        </w:rPr>
        <w:t>…</w:t>
      </w:r>
    </w:p>
    <w:p w14:paraId="071126A9" w14:textId="77777777" w:rsidR="00724B5D" w:rsidRPr="00724B5D" w:rsidRDefault="00724B5D" w:rsidP="00724B5D">
      <w:pPr>
        <w:jc w:val="both"/>
        <w:rPr>
          <w:rFonts w:ascii="Arial" w:hAnsi="Arial" w:cs="Arial"/>
          <w:lang w:val="es-419"/>
        </w:rPr>
      </w:pPr>
    </w:p>
    <w:p w14:paraId="3804D1CD" w14:textId="1BCFBAF6" w:rsidR="00724B5D" w:rsidRPr="00724B5D" w:rsidRDefault="002F3BE8" w:rsidP="00724B5D">
      <w:pPr>
        <w:jc w:val="both"/>
        <w:rPr>
          <w:rFonts w:ascii="Arial" w:hAnsi="Arial" w:cs="Arial"/>
          <w:lang w:val="es-419"/>
        </w:rPr>
      </w:pPr>
      <w:r w:rsidRPr="002F3BE8">
        <w:rPr>
          <w:rFonts w:ascii="Arial" w:hAnsi="Arial" w:cs="Arial"/>
          <w:lang w:val="es-419"/>
        </w:rPr>
        <w:t>Establece el artículo 133-8º del CGP, que cuando se práctica de manera indebida, valga decir, no se hace en forma legal, (i) La notificación a las personas determinadas, cuando la ley ordena, que deban ser citadas como partes o como sucesores de quien es parte; o (ii) El emplazamiento de las demás personas aunque sean indeterminadas; será nula la actuación posterior que dependa de dicha comunicación, salvo que quien dejó de ser notificado haya actuado sin proponerla (Artículo 136-4º, CGP).</w:t>
      </w:r>
    </w:p>
    <w:p w14:paraId="2BF165FD" w14:textId="77777777" w:rsidR="00724B5D" w:rsidRPr="00724B5D" w:rsidRDefault="00724B5D" w:rsidP="00724B5D">
      <w:pPr>
        <w:jc w:val="both"/>
        <w:rPr>
          <w:rFonts w:ascii="Arial" w:hAnsi="Arial" w:cs="Arial"/>
          <w:lang w:val="es-419"/>
        </w:rPr>
      </w:pPr>
    </w:p>
    <w:p w14:paraId="66E25D72" w14:textId="523E3004" w:rsidR="00724B5D" w:rsidRPr="00724B5D" w:rsidRDefault="002F3BE8" w:rsidP="00724B5D">
      <w:pPr>
        <w:jc w:val="both"/>
        <w:rPr>
          <w:rFonts w:ascii="Arial" w:hAnsi="Arial" w:cs="Arial"/>
          <w:lang w:val="es-419"/>
        </w:rPr>
      </w:pPr>
      <w:r w:rsidRPr="002F3BE8">
        <w:rPr>
          <w:rFonts w:ascii="Arial" w:hAnsi="Arial" w:cs="Arial"/>
          <w:lang w:val="es-419"/>
        </w:rPr>
        <w:t>Siempre que se solicite la autorización judicial para imponer una servidumbre, tal como pregona la doctrina patria, deben citarse los titulares de derechos reales sobre los predios dominante y sirviente, acorde con las anotaciones de los certificados de instrumentos públicos aportados con la demanda.</w:t>
      </w:r>
      <w:r>
        <w:rPr>
          <w:rFonts w:ascii="Arial" w:hAnsi="Arial" w:cs="Arial"/>
          <w:lang w:val="es-419"/>
        </w:rPr>
        <w:t xml:space="preserve"> (…)</w:t>
      </w:r>
    </w:p>
    <w:p w14:paraId="1527C3A5" w14:textId="77777777" w:rsidR="00724B5D" w:rsidRPr="00724B5D" w:rsidRDefault="00724B5D" w:rsidP="00724B5D">
      <w:pPr>
        <w:jc w:val="both"/>
        <w:rPr>
          <w:rFonts w:ascii="Arial" w:hAnsi="Arial" w:cs="Arial"/>
        </w:rPr>
      </w:pPr>
    </w:p>
    <w:p w14:paraId="318953A1" w14:textId="0149C61D" w:rsidR="00724B5D" w:rsidRDefault="002F3BE8" w:rsidP="00724B5D">
      <w:pPr>
        <w:jc w:val="both"/>
        <w:rPr>
          <w:rFonts w:ascii="Arial" w:hAnsi="Arial" w:cs="Arial"/>
        </w:rPr>
      </w:pPr>
      <w:r w:rsidRPr="002F3BE8">
        <w:rPr>
          <w:rFonts w:ascii="Arial" w:hAnsi="Arial" w:cs="Arial"/>
        </w:rPr>
        <w:t>A partir de las premisas jurídicas aludidas, en este asunto se configura la nulidad del numeral 8º del artículo 133 del CGP, puesto que, revisados los sujetos procesales convocados, se evidencia que se pretermitió citar al Banco Agrario de Colombia SA, pese a ser titular de un derecho real sobre el predio sirviente</w:t>
      </w:r>
      <w:r>
        <w:rPr>
          <w:rFonts w:ascii="Arial" w:hAnsi="Arial" w:cs="Arial"/>
        </w:rPr>
        <w:t>…</w:t>
      </w:r>
    </w:p>
    <w:p w14:paraId="0641EBA1" w14:textId="77777777" w:rsidR="002F3BE8" w:rsidRDefault="002F3BE8" w:rsidP="00724B5D">
      <w:pPr>
        <w:jc w:val="both"/>
        <w:rPr>
          <w:rFonts w:ascii="Arial" w:hAnsi="Arial" w:cs="Arial"/>
        </w:rPr>
      </w:pPr>
    </w:p>
    <w:p w14:paraId="0BA623AB" w14:textId="0BF2D39A" w:rsidR="002F3BE8" w:rsidRDefault="002F3BE8" w:rsidP="00724B5D">
      <w:pPr>
        <w:jc w:val="both"/>
        <w:rPr>
          <w:rFonts w:ascii="Arial" w:hAnsi="Arial" w:cs="Arial"/>
        </w:rPr>
      </w:pPr>
      <w:r w:rsidRPr="002F3BE8">
        <w:rPr>
          <w:rFonts w:ascii="Arial" w:hAnsi="Arial" w:cs="Arial"/>
        </w:rPr>
        <w:t>La razón de esa vinculación radica en el eventual interés económico que puede tener la entidad financiera, pues la imposición de un gravamen sobre el predio constitutivo de su garantía hipotecaria, resultará afectado con la servidumbre pretendida, por ende, ese interés la habilita para intervenir</w:t>
      </w:r>
    </w:p>
    <w:p w14:paraId="161439F1" w14:textId="7DAC68CC" w:rsidR="002F3BE8" w:rsidRDefault="002F3BE8" w:rsidP="00724B5D">
      <w:pPr>
        <w:jc w:val="both"/>
        <w:rPr>
          <w:rFonts w:ascii="Arial" w:hAnsi="Arial" w:cs="Arial"/>
        </w:rPr>
      </w:pPr>
    </w:p>
    <w:p w14:paraId="5A3D609B" w14:textId="7FAFF5F1" w:rsidR="002F3BE8" w:rsidRDefault="002F3BE8" w:rsidP="00724B5D">
      <w:pPr>
        <w:jc w:val="both"/>
        <w:rPr>
          <w:rFonts w:ascii="Arial" w:hAnsi="Arial" w:cs="Arial"/>
        </w:rPr>
      </w:pPr>
    </w:p>
    <w:p w14:paraId="1C7B2460" w14:textId="77777777" w:rsidR="002F3BE8" w:rsidRPr="00724B5D" w:rsidRDefault="002F3BE8" w:rsidP="00724B5D">
      <w:pPr>
        <w:jc w:val="both"/>
        <w:rPr>
          <w:rFonts w:ascii="Arial" w:hAnsi="Arial" w:cs="Arial"/>
        </w:rPr>
      </w:pPr>
    </w:p>
    <w:p w14:paraId="7C5A1449" w14:textId="0F51AAE9" w:rsidR="00724B5D" w:rsidRPr="00724B5D" w:rsidRDefault="005C3B3A" w:rsidP="00724B5D">
      <w:pPr>
        <w:jc w:val="both"/>
        <w:rPr>
          <w:rFonts w:ascii="Arial" w:hAnsi="Arial" w:cs="Arial"/>
        </w:rPr>
      </w:pPr>
      <w:r w:rsidRPr="000B53AD">
        <w:rPr>
          <w:rFonts w:ascii="Georgia" w:hAnsi="Georgia"/>
          <w:noProof/>
          <w:lang w:val="es-CO" w:eastAsia="es-CO"/>
        </w:rPr>
        <w:drawing>
          <wp:anchor distT="0" distB="0" distL="114300" distR="114300" simplePos="0" relativeHeight="251658240" behindDoc="0" locked="0" layoutInCell="1" allowOverlap="1" wp14:anchorId="30247659" wp14:editId="4B167121">
            <wp:simplePos x="0" y="0"/>
            <wp:positionH relativeFrom="margin">
              <wp:align>center</wp:align>
            </wp:positionH>
            <wp:positionV relativeFrom="paragraph">
              <wp:posOffset>67945</wp:posOffset>
            </wp:positionV>
            <wp:extent cx="363220" cy="361315"/>
            <wp:effectExtent l="0" t="0" r="0" b="63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3220" cy="3613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A541ED" w14:textId="1854FBEE" w:rsidR="00724B5D" w:rsidRPr="00A345BF" w:rsidRDefault="00724B5D" w:rsidP="00724B5D">
      <w:pPr>
        <w:rPr>
          <w:rFonts w:ascii="Calibri" w:hAnsi="Calibri"/>
          <w:sz w:val="22"/>
          <w:szCs w:val="22"/>
        </w:rPr>
      </w:pPr>
    </w:p>
    <w:p w14:paraId="5FDF0666" w14:textId="136F4722" w:rsidR="00724B5D" w:rsidRPr="005C3B3A" w:rsidRDefault="00724B5D" w:rsidP="00724B5D">
      <w:pPr>
        <w:jc w:val="center"/>
        <w:rPr>
          <w:rFonts w:ascii="Georgia" w:hAnsi="Georgia" w:cs="Arial"/>
          <w:b/>
          <w:bCs/>
          <w:iCs/>
          <w:noProof/>
          <w:sz w:val="24"/>
          <w:szCs w:val="24"/>
        </w:rPr>
      </w:pPr>
    </w:p>
    <w:p w14:paraId="0C500C96" w14:textId="77777777" w:rsidR="00724B5D" w:rsidRPr="00724B5D" w:rsidRDefault="00724B5D" w:rsidP="00724B5D">
      <w:pPr>
        <w:tabs>
          <w:tab w:val="left" w:pos="3579"/>
        </w:tabs>
        <w:spacing w:line="360" w:lineRule="auto"/>
        <w:jc w:val="center"/>
        <w:rPr>
          <w:rFonts w:ascii="Georgia" w:hAnsi="Georgia" w:cs="Arial"/>
          <w:w w:val="140"/>
          <w:sz w:val="18"/>
          <w:szCs w:val="18"/>
          <w:lang w:val="es-CO"/>
        </w:rPr>
      </w:pPr>
      <w:r w:rsidRPr="00724B5D">
        <w:rPr>
          <w:rFonts w:ascii="Georgia" w:hAnsi="Georgia" w:cs="Arial"/>
          <w:w w:val="140"/>
          <w:sz w:val="18"/>
          <w:szCs w:val="18"/>
          <w:lang w:val="es-CO"/>
        </w:rPr>
        <w:t>REPUBLICA DE COLOMBIA</w:t>
      </w:r>
    </w:p>
    <w:p w14:paraId="75FF914F" w14:textId="77777777" w:rsidR="00724B5D" w:rsidRPr="00724B5D" w:rsidRDefault="00724B5D" w:rsidP="00724B5D">
      <w:pPr>
        <w:tabs>
          <w:tab w:val="center" w:pos="4987"/>
          <w:tab w:val="left" w:pos="8449"/>
        </w:tabs>
        <w:spacing w:line="360" w:lineRule="auto"/>
        <w:jc w:val="center"/>
        <w:rPr>
          <w:rFonts w:ascii="Georgia" w:hAnsi="Georgia" w:cs="Arial"/>
          <w:w w:val="140"/>
          <w:sz w:val="18"/>
          <w:szCs w:val="18"/>
          <w:lang w:val="es-CO"/>
        </w:rPr>
      </w:pPr>
      <w:r w:rsidRPr="00724B5D">
        <w:rPr>
          <w:rFonts w:ascii="Georgia" w:hAnsi="Georgia" w:cs="Arial"/>
          <w:w w:val="140"/>
          <w:sz w:val="18"/>
          <w:szCs w:val="18"/>
          <w:lang w:val="es-CO"/>
        </w:rPr>
        <w:t>RAMA JUDICIAL DEL PODER PÚBLICO</w:t>
      </w:r>
    </w:p>
    <w:p w14:paraId="68767417" w14:textId="77777777" w:rsidR="00724B5D" w:rsidRPr="00724B5D" w:rsidRDefault="00724B5D" w:rsidP="00724B5D">
      <w:pPr>
        <w:spacing w:line="360" w:lineRule="auto"/>
        <w:jc w:val="center"/>
        <w:rPr>
          <w:rFonts w:ascii="Georgia" w:hAnsi="Georgia" w:cs="Arial"/>
          <w:b/>
          <w:bCs/>
          <w:w w:val="140"/>
          <w:sz w:val="18"/>
          <w:szCs w:val="18"/>
          <w:lang w:val="es-CO"/>
        </w:rPr>
      </w:pPr>
      <w:r w:rsidRPr="00724B5D">
        <w:rPr>
          <w:rFonts w:ascii="Georgia" w:hAnsi="Georgia" w:cs="Arial"/>
          <w:b/>
          <w:bCs/>
          <w:w w:val="140"/>
          <w:sz w:val="18"/>
          <w:szCs w:val="18"/>
          <w:lang w:val="es-CO"/>
        </w:rPr>
        <w:t>TRIBUNAL SUPERIOR DEL DISTRITO JUDICIAL</w:t>
      </w:r>
    </w:p>
    <w:p w14:paraId="235081E1" w14:textId="77777777" w:rsidR="00724B5D" w:rsidRPr="00724B5D" w:rsidRDefault="00724B5D" w:rsidP="00724B5D">
      <w:pPr>
        <w:spacing w:line="360" w:lineRule="auto"/>
        <w:jc w:val="center"/>
        <w:rPr>
          <w:rFonts w:ascii="Georgia" w:hAnsi="Georgia" w:cs="Arial"/>
          <w:w w:val="140"/>
          <w:sz w:val="18"/>
          <w:szCs w:val="18"/>
          <w:lang w:val="es-CO"/>
        </w:rPr>
      </w:pPr>
      <w:r w:rsidRPr="00724B5D">
        <w:rPr>
          <w:rFonts w:ascii="Georgia" w:hAnsi="Georgia" w:cs="Arial"/>
          <w:w w:val="140"/>
          <w:sz w:val="18"/>
          <w:szCs w:val="18"/>
          <w:lang w:val="es-CO"/>
        </w:rPr>
        <w:t>SALA DE DECISIÓN CIVIL – FAMILIA – DISTRITO DE PEREIRA</w:t>
      </w:r>
    </w:p>
    <w:p w14:paraId="62936150" w14:textId="77777777" w:rsidR="00724B5D" w:rsidRPr="00724B5D" w:rsidRDefault="00724B5D" w:rsidP="00724B5D">
      <w:pPr>
        <w:spacing w:line="360" w:lineRule="auto"/>
        <w:jc w:val="center"/>
        <w:rPr>
          <w:rFonts w:ascii="Georgia" w:hAnsi="Georgia" w:cs="Arial"/>
          <w:w w:val="140"/>
          <w:sz w:val="18"/>
          <w:szCs w:val="18"/>
          <w:lang w:val="es-CO"/>
        </w:rPr>
      </w:pPr>
      <w:r w:rsidRPr="00724B5D">
        <w:rPr>
          <w:rFonts w:ascii="Georgia" w:hAnsi="Georgia" w:cs="Arial"/>
          <w:w w:val="140"/>
          <w:sz w:val="18"/>
          <w:szCs w:val="18"/>
          <w:lang w:val="es-CO"/>
        </w:rPr>
        <w:t>DEPARTAMENTO DEL RISARALDA</w:t>
      </w:r>
    </w:p>
    <w:p w14:paraId="4B092C54" w14:textId="77777777" w:rsidR="00724B5D" w:rsidRPr="00724B5D" w:rsidRDefault="00724B5D" w:rsidP="00724B5D">
      <w:pPr>
        <w:pBdr>
          <w:bottom w:val="double" w:sz="6" w:space="1" w:color="auto"/>
        </w:pBdr>
        <w:spacing w:line="276" w:lineRule="auto"/>
        <w:rPr>
          <w:rFonts w:ascii="Georgia" w:hAnsi="Georgia"/>
          <w:spacing w:val="20"/>
          <w:w w:val="150"/>
          <w:sz w:val="26"/>
          <w:szCs w:val="26"/>
        </w:rPr>
      </w:pPr>
    </w:p>
    <w:p w14:paraId="39F66C6E" w14:textId="30D8EFCB" w:rsidR="00724B5D" w:rsidRDefault="00724B5D" w:rsidP="00724B5D">
      <w:pPr>
        <w:spacing w:line="276" w:lineRule="auto"/>
        <w:jc w:val="center"/>
        <w:rPr>
          <w:rFonts w:ascii="Georgia" w:hAnsi="Georgia" w:cs="Arial"/>
          <w:spacing w:val="-3"/>
          <w:sz w:val="26"/>
          <w:szCs w:val="26"/>
        </w:rPr>
      </w:pPr>
    </w:p>
    <w:p w14:paraId="36C987BB" w14:textId="77777777" w:rsidR="00BE490D" w:rsidRPr="00BE490D" w:rsidRDefault="00BE490D" w:rsidP="00BE490D">
      <w:pPr>
        <w:pStyle w:val="Textoindependiente"/>
        <w:spacing w:line="276" w:lineRule="auto"/>
        <w:jc w:val="center"/>
        <w:rPr>
          <w:rFonts w:ascii="Georgia" w:hAnsi="Georgia" w:cs="Arial"/>
          <w:b/>
          <w:szCs w:val="32"/>
          <w:lang w:val="es-CO"/>
        </w:rPr>
      </w:pPr>
      <w:bookmarkStart w:id="0" w:name="_GoBack"/>
      <w:r w:rsidRPr="00BE490D">
        <w:rPr>
          <w:rFonts w:ascii="Georgia" w:hAnsi="Georgia" w:cs="Arial"/>
          <w:b/>
          <w:szCs w:val="32"/>
          <w:lang w:val="es-CO"/>
        </w:rPr>
        <w:t>AC-0016-2021</w:t>
      </w:r>
    </w:p>
    <w:p w14:paraId="0D7403FC" w14:textId="77777777" w:rsidR="00BE490D" w:rsidRPr="00BE490D" w:rsidRDefault="00BE490D" w:rsidP="00BE490D">
      <w:pPr>
        <w:spacing w:line="276" w:lineRule="auto"/>
        <w:jc w:val="center"/>
        <w:rPr>
          <w:rFonts w:ascii="Georgia" w:hAnsi="Georgia" w:cs="Arial"/>
          <w:b/>
          <w:spacing w:val="-3"/>
          <w:sz w:val="28"/>
          <w:szCs w:val="26"/>
        </w:rPr>
      </w:pPr>
    </w:p>
    <w:bookmarkEnd w:id="0"/>
    <w:p w14:paraId="30247604" w14:textId="5FF92FA2" w:rsidR="008B7145" w:rsidRPr="00724B5D" w:rsidRDefault="005E01D3" w:rsidP="00724B5D">
      <w:pPr>
        <w:pStyle w:val="Sinespaciado"/>
        <w:spacing w:line="276" w:lineRule="auto"/>
        <w:jc w:val="center"/>
        <w:rPr>
          <w:rFonts w:ascii="Georgia" w:hAnsi="Georgia" w:cs="Arial"/>
          <w:smallCaps/>
        </w:rPr>
      </w:pPr>
      <w:r w:rsidRPr="00724B5D">
        <w:rPr>
          <w:rFonts w:ascii="Georgia" w:hAnsi="Georgia" w:cs="Arial"/>
          <w:smallCaps/>
        </w:rPr>
        <w:t xml:space="preserve">Dos </w:t>
      </w:r>
      <w:r w:rsidR="008B7145" w:rsidRPr="00724B5D">
        <w:rPr>
          <w:rFonts w:ascii="Georgia" w:hAnsi="Georgia" w:cs="Arial"/>
          <w:smallCaps/>
        </w:rPr>
        <w:t>(</w:t>
      </w:r>
      <w:r w:rsidR="00890386" w:rsidRPr="00724B5D">
        <w:rPr>
          <w:rFonts w:ascii="Georgia" w:hAnsi="Georgia" w:cs="Arial"/>
          <w:smallCaps/>
        </w:rPr>
        <w:t>2</w:t>
      </w:r>
      <w:r w:rsidR="008B7145" w:rsidRPr="00724B5D">
        <w:rPr>
          <w:rFonts w:ascii="Georgia" w:hAnsi="Georgia" w:cs="Arial"/>
          <w:smallCaps/>
        </w:rPr>
        <w:t>) de</w:t>
      </w:r>
      <w:r w:rsidR="004561E8" w:rsidRPr="00724B5D">
        <w:rPr>
          <w:rFonts w:ascii="Georgia" w:hAnsi="Georgia" w:cs="Arial"/>
          <w:smallCaps/>
        </w:rPr>
        <w:t xml:space="preserve"> </w:t>
      </w:r>
      <w:r w:rsidRPr="00724B5D">
        <w:rPr>
          <w:rFonts w:ascii="Georgia" w:hAnsi="Georgia" w:cs="Arial"/>
          <w:smallCaps/>
        </w:rPr>
        <w:t xml:space="preserve">marzo </w:t>
      </w:r>
      <w:r w:rsidR="008B7145" w:rsidRPr="00724B5D">
        <w:rPr>
          <w:rFonts w:ascii="Georgia" w:hAnsi="Georgia" w:cs="Arial"/>
          <w:smallCaps/>
        </w:rPr>
        <w:t xml:space="preserve">de dos mil </w:t>
      </w:r>
      <w:r w:rsidR="006C37A3" w:rsidRPr="00724B5D">
        <w:rPr>
          <w:rFonts w:ascii="Georgia" w:hAnsi="Georgia" w:cs="Arial"/>
          <w:smallCaps/>
        </w:rPr>
        <w:t>veint</w:t>
      </w:r>
      <w:r w:rsidR="00890386" w:rsidRPr="00724B5D">
        <w:rPr>
          <w:rFonts w:ascii="Georgia" w:hAnsi="Georgia" w:cs="Arial"/>
          <w:smallCaps/>
        </w:rPr>
        <w:t>iuno</w:t>
      </w:r>
      <w:r w:rsidR="004561E8" w:rsidRPr="00724B5D">
        <w:rPr>
          <w:rFonts w:ascii="Georgia" w:hAnsi="Georgia" w:cs="Arial"/>
          <w:smallCaps/>
        </w:rPr>
        <w:t xml:space="preserve"> </w:t>
      </w:r>
      <w:r w:rsidR="008B7145" w:rsidRPr="00724B5D">
        <w:rPr>
          <w:rFonts w:ascii="Georgia" w:hAnsi="Georgia" w:cs="Arial"/>
          <w:smallCaps/>
        </w:rPr>
        <w:t>(20</w:t>
      </w:r>
      <w:r w:rsidR="006C37A3" w:rsidRPr="00724B5D">
        <w:rPr>
          <w:rFonts w:ascii="Georgia" w:hAnsi="Georgia" w:cs="Arial"/>
          <w:smallCaps/>
        </w:rPr>
        <w:t>2</w:t>
      </w:r>
      <w:r w:rsidR="00890386" w:rsidRPr="00724B5D">
        <w:rPr>
          <w:rFonts w:ascii="Georgia" w:hAnsi="Georgia" w:cs="Arial"/>
          <w:smallCaps/>
        </w:rPr>
        <w:t>1</w:t>
      </w:r>
      <w:r w:rsidR="008B7145" w:rsidRPr="00724B5D">
        <w:rPr>
          <w:rFonts w:ascii="Georgia" w:hAnsi="Georgia" w:cs="Arial"/>
          <w:smallCaps/>
        </w:rPr>
        <w:t>).</w:t>
      </w:r>
    </w:p>
    <w:p w14:paraId="30247605" w14:textId="519ABA0B" w:rsidR="00AC7745" w:rsidRPr="00724B5D" w:rsidRDefault="00AC7745" w:rsidP="00724B5D">
      <w:pPr>
        <w:pStyle w:val="Ttulo"/>
        <w:spacing w:line="276" w:lineRule="auto"/>
        <w:rPr>
          <w:rFonts w:ascii="Georgia" w:hAnsi="Georgia" w:cs="Arial"/>
          <w:b w:val="0"/>
          <w:i w:val="0"/>
          <w:spacing w:val="-3"/>
          <w:szCs w:val="24"/>
        </w:rPr>
      </w:pPr>
    </w:p>
    <w:p w14:paraId="37E01821" w14:textId="65C7FB1F" w:rsidR="006B3074" w:rsidRPr="00724B5D" w:rsidRDefault="006B3074" w:rsidP="00724B5D">
      <w:pPr>
        <w:pStyle w:val="Ttulo"/>
        <w:tabs>
          <w:tab w:val="left" w:pos="2685"/>
        </w:tabs>
        <w:spacing w:line="276" w:lineRule="auto"/>
        <w:jc w:val="left"/>
        <w:rPr>
          <w:rFonts w:ascii="Georgia" w:hAnsi="Georgia" w:cs="Arial"/>
          <w:b w:val="0"/>
          <w:i w:val="0"/>
          <w:spacing w:val="-3"/>
          <w:szCs w:val="24"/>
        </w:rPr>
      </w:pPr>
      <w:r w:rsidRPr="00724B5D">
        <w:rPr>
          <w:rFonts w:ascii="Georgia" w:hAnsi="Georgia" w:cs="Arial"/>
          <w:b w:val="0"/>
          <w:i w:val="0"/>
          <w:spacing w:val="-3"/>
          <w:szCs w:val="24"/>
        </w:rPr>
        <w:lastRenderedPageBreak/>
        <w:tab/>
      </w:r>
    </w:p>
    <w:p w14:paraId="30247606" w14:textId="77777777" w:rsidR="008872A2" w:rsidRPr="00724B5D" w:rsidRDefault="00350C7A" w:rsidP="00724B5D">
      <w:pPr>
        <w:pStyle w:val="Ttulo"/>
        <w:numPr>
          <w:ilvl w:val="0"/>
          <w:numId w:val="1"/>
        </w:numPr>
        <w:spacing w:line="276" w:lineRule="auto"/>
        <w:jc w:val="left"/>
        <w:rPr>
          <w:rFonts w:ascii="Georgia" w:hAnsi="Georgia" w:cs="Arial"/>
          <w:bCs/>
          <w:i w:val="0"/>
          <w:smallCaps/>
          <w:spacing w:val="-3"/>
          <w:szCs w:val="24"/>
        </w:rPr>
      </w:pPr>
      <w:r w:rsidRPr="00724B5D">
        <w:rPr>
          <w:rFonts w:ascii="Georgia" w:hAnsi="Georgia" w:cs="Arial"/>
          <w:bCs/>
          <w:i w:val="0"/>
          <w:smallCaps/>
          <w:szCs w:val="24"/>
        </w:rPr>
        <w:t>el asunto por decidir</w:t>
      </w:r>
    </w:p>
    <w:p w14:paraId="30247607" w14:textId="77777777" w:rsidR="008872A2" w:rsidRPr="00724B5D" w:rsidRDefault="008872A2" w:rsidP="00724B5D">
      <w:pPr>
        <w:pStyle w:val="Ttulo"/>
        <w:spacing w:line="276" w:lineRule="auto"/>
        <w:jc w:val="left"/>
        <w:rPr>
          <w:rFonts w:ascii="Georgia" w:hAnsi="Georgia" w:cs="Arial"/>
          <w:b w:val="0"/>
          <w:i w:val="0"/>
          <w:spacing w:val="-3"/>
          <w:szCs w:val="24"/>
        </w:rPr>
      </w:pPr>
    </w:p>
    <w:p w14:paraId="556336A3" w14:textId="77777777" w:rsidR="00FB63EA" w:rsidRPr="00724B5D" w:rsidRDefault="00FB63EA" w:rsidP="00724B5D">
      <w:pPr>
        <w:spacing w:line="276" w:lineRule="auto"/>
        <w:jc w:val="both"/>
        <w:rPr>
          <w:rFonts w:ascii="Georgia" w:hAnsi="Georgia" w:cs="Arial"/>
          <w:sz w:val="24"/>
          <w:szCs w:val="24"/>
        </w:rPr>
      </w:pPr>
      <w:r w:rsidRPr="00724B5D">
        <w:rPr>
          <w:rFonts w:ascii="Georgia" w:hAnsi="Georgia" w:cs="Arial"/>
          <w:spacing w:val="-3"/>
          <w:sz w:val="24"/>
          <w:szCs w:val="24"/>
        </w:rPr>
        <w:t>Previo a la decisión de fondo, debe resolver sobre la nulidad que advierte esta Sala, en el curso del proceso de la referencia, al tenor de las consideraciones que siguen.</w:t>
      </w:r>
    </w:p>
    <w:p w14:paraId="30247609" w14:textId="623A813F" w:rsidR="00AC7745" w:rsidRPr="00724B5D" w:rsidRDefault="00AC7745" w:rsidP="00724B5D">
      <w:pPr>
        <w:spacing w:line="276" w:lineRule="auto"/>
        <w:jc w:val="both"/>
        <w:rPr>
          <w:rFonts w:ascii="Georgia" w:hAnsi="Georgia" w:cs="Arial"/>
          <w:sz w:val="24"/>
          <w:szCs w:val="24"/>
        </w:rPr>
      </w:pPr>
    </w:p>
    <w:p w14:paraId="797D28FF" w14:textId="77777777" w:rsidR="006B3074" w:rsidRPr="00724B5D" w:rsidRDefault="006B3074" w:rsidP="00724B5D">
      <w:pPr>
        <w:spacing w:line="276" w:lineRule="auto"/>
        <w:jc w:val="both"/>
        <w:rPr>
          <w:rFonts w:ascii="Georgia" w:hAnsi="Georgia" w:cs="Arial"/>
          <w:sz w:val="24"/>
          <w:szCs w:val="24"/>
        </w:rPr>
      </w:pPr>
    </w:p>
    <w:p w14:paraId="3024760A" w14:textId="77777777" w:rsidR="008872A2" w:rsidRPr="00724B5D" w:rsidRDefault="00350C7A" w:rsidP="00724B5D">
      <w:pPr>
        <w:numPr>
          <w:ilvl w:val="0"/>
          <w:numId w:val="1"/>
        </w:numPr>
        <w:spacing w:line="276" w:lineRule="auto"/>
        <w:jc w:val="both"/>
        <w:rPr>
          <w:rFonts w:ascii="Georgia" w:hAnsi="Georgia" w:cs="Arial"/>
          <w:b/>
          <w:bCs/>
          <w:smallCaps/>
          <w:sz w:val="24"/>
          <w:szCs w:val="24"/>
        </w:rPr>
      </w:pPr>
      <w:r w:rsidRPr="00724B5D">
        <w:rPr>
          <w:rFonts w:ascii="Georgia" w:hAnsi="Georgia" w:cs="Arial"/>
          <w:b/>
          <w:bCs/>
          <w:smallCaps/>
          <w:sz w:val="24"/>
          <w:szCs w:val="24"/>
        </w:rPr>
        <w:t>la síntesis de la crónica procesal</w:t>
      </w:r>
    </w:p>
    <w:p w14:paraId="3024760B" w14:textId="77777777" w:rsidR="00607310" w:rsidRPr="00724B5D" w:rsidRDefault="00607310" w:rsidP="00724B5D">
      <w:pPr>
        <w:spacing w:line="276" w:lineRule="auto"/>
        <w:jc w:val="both"/>
        <w:rPr>
          <w:rFonts w:ascii="Georgia" w:hAnsi="Georgia" w:cs="Arial"/>
          <w:sz w:val="24"/>
          <w:szCs w:val="24"/>
        </w:rPr>
      </w:pPr>
    </w:p>
    <w:p w14:paraId="263C81C8" w14:textId="427665D0" w:rsidR="00FB63EA" w:rsidRPr="00724B5D" w:rsidRDefault="00890386" w:rsidP="00724B5D">
      <w:pPr>
        <w:spacing w:line="276" w:lineRule="auto"/>
        <w:jc w:val="both"/>
        <w:rPr>
          <w:rFonts w:ascii="Georgia" w:hAnsi="Georgia" w:cs="Arial"/>
          <w:sz w:val="24"/>
          <w:szCs w:val="24"/>
          <w:lang w:val="es-CO"/>
        </w:rPr>
      </w:pPr>
      <w:r w:rsidRPr="00724B5D">
        <w:rPr>
          <w:rFonts w:ascii="Georgia" w:hAnsi="Georgia" w:cs="Arial"/>
          <w:sz w:val="24"/>
          <w:szCs w:val="24"/>
          <w:lang w:val="es-CO"/>
        </w:rPr>
        <w:t>E</w:t>
      </w:r>
      <w:r w:rsidR="00AF1773" w:rsidRPr="00724B5D">
        <w:rPr>
          <w:rFonts w:ascii="Georgia" w:hAnsi="Georgia" w:cs="Arial"/>
          <w:sz w:val="24"/>
          <w:szCs w:val="24"/>
          <w:lang w:val="es-CO"/>
        </w:rPr>
        <w:t>l</w:t>
      </w:r>
      <w:r w:rsidRPr="00724B5D">
        <w:rPr>
          <w:rFonts w:ascii="Georgia" w:hAnsi="Georgia" w:cs="Arial"/>
          <w:sz w:val="24"/>
          <w:szCs w:val="24"/>
          <w:lang w:val="es-CO"/>
        </w:rPr>
        <w:t xml:space="preserve"> escrito introductor </w:t>
      </w:r>
      <w:r w:rsidR="00FB63EA" w:rsidRPr="00724B5D">
        <w:rPr>
          <w:rFonts w:ascii="Georgia" w:hAnsi="Georgia" w:cs="Arial"/>
          <w:sz w:val="24"/>
          <w:szCs w:val="24"/>
          <w:lang w:val="es-CO"/>
        </w:rPr>
        <w:t>fue asignad</w:t>
      </w:r>
      <w:r w:rsidRPr="00724B5D">
        <w:rPr>
          <w:rFonts w:ascii="Georgia" w:hAnsi="Georgia" w:cs="Arial"/>
          <w:sz w:val="24"/>
          <w:szCs w:val="24"/>
          <w:lang w:val="es-CO"/>
        </w:rPr>
        <w:t>o</w:t>
      </w:r>
      <w:r w:rsidR="00FB63EA" w:rsidRPr="00724B5D">
        <w:rPr>
          <w:rFonts w:ascii="Georgia" w:hAnsi="Georgia" w:cs="Arial"/>
          <w:sz w:val="24"/>
          <w:szCs w:val="24"/>
          <w:lang w:val="es-CO"/>
        </w:rPr>
        <w:t xml:space="preserve"> al Juzgado Cuarto Civil del Circuito de este municipio </w:t>
      </w:r>
      <w:r w:rsidR="00FB63EA" w:rsidRPr="00724B5D">
        <w:rPr>
          <w:rFonts w:ascii="Georgia" w:hAnsi="Georgia" w:cs="Arial"/>
          <w:sz w:val="24"/>
          <w:szCs w:val="24"/>
        </w:rPr>
        <w:t>(Carpeta 1ª instancia, cuaderno principal, volumen 1, folio 82)</w:t>
      </w:r>
      <w:r w:rsidR="00FB63EA" w:rsidRPr="00724B5D">
        <w:rPr>
          <w:rFonts w:ascii="Georgia" w:hAnsi="Georgia" w:cs="Arial"/>
          <w:sz w:val="24"/>
          <w:szCs w:val="24"/>
          <w:lang w:val="es-CO"/>
        </w:rPr>
        <w:t>, que con proveído del 12-11-2014, le dio trámite, ordenó notificarl</w:t>
      </w:r>
      <w:r w:rsidRPr="00724B5D">
        <w:rPr>
          <w:rFonts w:ascii="Georgia" w:hAnsi="Georgia" w:cs="Arial"/>
          <w:sz w:val="24"/>
          <w:szCs w:val="24"/>
          <w:lang w:val="es-CO"/>
        </w:rPr>
        <w:t>o</w:t>
      </w:r>
      <w:r w:rsidR="00FB63EA" w:rsidRPr="00724B5D">
        <w:rPr>
          <w:rFonts w:ascii="Georgia" w:hAnsi="Georgia" w:cs="Arial"/>
          <w:sz w:val="24"/>
          <w:szCs w:val="24"/>
          <w:lang w:val="es-CO"/>
        </w:rPr>
        <w:t xml:space="preserve"> y correr traslado, entre otros ordenamientos </w:t>
      </w:r>
      <w:r w:rsidR="00FB63EA" w:rsidRPr="00724B5D">
        <w:rPr>
          <w:rFonts w:ascii="Georgia" w:hAnsi="Georgia" w:cs="Arial"/>
          <w:sz w:val="24"/>
          <w:szCs w:val="24"/>
        </w:rPr>
        <w:t>(Carpeta 1ª instancia, cuaderno principal, volumen 1, folio 85)</w:t>
      </w:r>
      <w:r w:rsidR="00FB63EA" w:rsidRPr="00724B5D">
        <w:rPr>
          <w:rFonts w:ascii="Georgia" w:hAnsi="Georgia" w:cs="Arial"/>
          <w:sz w:val="24"/>
          <w:szCs w:val="24"/>
          <w:lang w:val="es-CO"/>
        </w:rPr>
        <w:t xml:space="preserve">.  </w:t>
      </w:r>
    </w:p>
    <w:p w14:paraId="7A4BA155" w14:textId="77777777" w:rsidR="00FB63EA" w:rsidRPr="00724B5D" w:rsidRDefault="00FB63EA" w:rsidP="00724B5D">
      <w:pPr>
        <w:spacing w:line="276" w:lineRule="auto"/>
        <w:jc w:val="both"/>
        <w:rPr>
          <w:rFonts w:ascii="Georgia" w:hAnsi="Georgia" w:cs="Arial"/>
          <w:sz w:val="24"/>
          <w:szCs w:val="24"/>
          <w:lang w:val="es-CO"/>
        </w:rPr>
      </w:pPr>
    </w:p>
    <w:p w14:paraId="42A4C95B" w14:textId="62E31966" w:rsidR="00890386" w:rsidRPr="00724B5D" w:rsidRDefault="00FB63EA" w:rsidP="00724B5D">
      <w:pPr>
        <w:spacing w:line="276" w:lineRule="auto"/>
        <w:jc w:val="both"/>
        <w:rPr>
          <w:rFonts w:ascii="Georgia" w:hAnsi="Georgia" w:cs="Arial"/>
          <w:sz w:val="24"/>
          <w:szCs w:val="24"/>
          <w:lang w:val="es-CO"/>
        </w:rPr>
      </w:pPr>
      <w:r w:rsidRPr="00724B5D">
        <w:rPr>
          <w:rFonts w:ascii="Georgia" w:hAnsi="Georgia" w:cs="Arial"/>
          <w:sz w:val="24"/>
          <w:szCs w:val="24"/>
          <w:lang w:val="es-CO"/>
        </w:rPr>
        <w:t>La demandada recibi</w:t>
      </w:r>
      <w:r w:rsidR="009C7DC9" w:rsidRPr="00724B5D">
        <w:rPr>
          <w:rFonts w:ascii="Georgia" w:hAnsi="Georgia" w:cs="Arial"/>
          <w:sz w:val="24"/>
          <w:szCs w:val="24"/>
          <w:lang w:val="es-CO"/>
        </w:rPr>
        <w:t>ó</w:t>
      </w:r>
      <w:r w:rsidRPr="00724B5D">
        <w:rPr>
          <w:rFonts w:ascii="Georgia" w:hAnsi="Georgia" w:cs="Arial"/>
          <w:sz w:val="24"/>
          <w:szCs w:val="24"/>
          <w:lang w:val="es-CO"/>
        </w:rPr>
        <w:t xml:space="preserve"> notificación personal el </w:t>
      </w:r>
      <w:r w:rsidR="009C7DC9" w:rsidRPr="00724B5D">
        <w:rPr>
          <w:rFonts w:ascii="Georgia" w:hAnsi="Georgia" w:cs="Arial"/>
          <w:sz w:val="24"/>
          <w:szCs w:val="24"/>
          <w:lang w:val="es-CO"/>
        </w:rPr>
        <w:t>22-04-</w:t>
      </w:r>
      <w:r w:rsidRPr="00724B5D">
        <w:rPr>
          <w:rFonts w:ascii="Georgia" w:hAnsi="Georgia" w:cs="Arial"/>
          <w:sz w:val="24"/>
          <w:szCs w:val="24"/>
          <w:lang w:val="es-CO"/>
        </w:rPr>
        <w:t>201</w:t>
      </w:r>
      <w:r w:rsidR="009C7DC9" w:rsidRPr="00724B5D">
        <w:rPr>
          <w:rFonts w:ascii="Georgia" w:hAnsi="Georgia" w:cs="Arial"/>
          <w:sz w:val="24"/>
          <w:szCs w:val="24"/>
          <w:lang w:val="es-CO"/>
        </w:rPr>
        <w:t>6</w:t>
      </w:r>
      <w:r w:rsidRPr="00724B5D">
        <w:rPr>
          <w:rFonts w:ascii="Georgia" w:hAnsi="Georgia" w:cs="Arial"/>
          <w:sz w:val="24"/>
          <w:szCs w:val="24"/>
          <w:lang w:val="es-CO"/>
        </w:rPr>
        <w:t xml:space="preserve"> (</w:t>
      </w:r>
      <w:r w:rsidR="009C7DC9" w:rsidRPr="00724B5D">
        <w:rPr>
          <w:rFonts w:ascii="Georgia" w:hAnsi="Georgia" w:cs="Arial"/>
          <w:sz w:val="24"/>
          <w:szCs w:val="24"/>
        </w:rPr>
        <w:t>Carpeta 1ª instancia, cuaderno principal, volumen 1, folio 246</w:t>
      </w:r>
      <w:r w:rsidRPr="00724B5D">
        <w:rPr>
          <w:rFonts w:ascii="Georgia" w:hAnsi="Georgia" w:cs="Arial"/>
          <w:sz w:val="24"/>
          <w:szCs w:val="24"/>
          <w:lang w:val="es-CO"/>
        </w:rPr>
        <w:t>)</w:t>
      </w:r>
      <w:r w:rsidR="009C7DC9" w:rsidRPr="00724B5D">
        <w:rPr>
          <w:rFonts w:ascii="Georgia" w:hAnsi="Georgia" w:cs="Arial"/>
          <w:sz w:val="24"/>
          <w:szCs w:val="24"/>
          <w:lang w:val="es-CO"/>
        </w:rPr>
        <w:t xml:space="preserve">, </w:t>
      </w:r>
      <w:r w:rsidR="00AF1773" w:rsidRPr="00724B5D">
        <w:rPr>
          <w:rFonts w:ascii="Georgia" w:hAnsi="Georgia" w:cs="Arial"/>
          <w:sz w:val="24"/>
          <w:szCs w:val="24"/>
          <w:lang w:val="es-CO"/>
        </w:rPr>
        <w:t xml:space="preserve">quien </w:t>
      </w:r>
      <w:r w:rsidR="009C7DC9" w:rsidRPr="00724B5D">
        <w:rPr>
          <w:rFonts w:ascii="Georgia" w:hAnsi="Georgia" w:cs="Arial"/>
          <w:sz w:val="24"/>
          <w:szCs w:val="24"/>
          <w:lang w:val="es-CO"/>
        </w:rPr>
        <w:t>contestó y cuestionó la indemnización estimada por la parte actora</w:t>
      </w:r>
      <w:r w:rsidRPr="00724B5D">
        <w:rPr>
          <w:rFonts w:ascii="Georgia" w:hAnsi="Georgia" w:cs="Arial"/>
          <w:sz w:val="24"/>
          <w:szCs w:val="24"/>
          <w:lang w:val="es-CO"/>
        </w:rPr>
        <w:t xml:space="preserve"> (</w:t>
      </w:r>
      <w:r w:rsidR="009C7DC9" w:rsidRPr="00724B5D">
        <w:rPr>
          <w:rFonts w:ascii="Georgia" w:hAnsi="Georgia" w:cs="Arial"/>
          <w:sz w:val="24"/>
          <w:szCs w:val="24"/>
          <w:lang w:val="es-CO"/>
        </w:rPr>
        <w:t>Ibidem, folios 250-266</w:t>
      </w:r>
      <w:r w:rsidRPr="00724B5D">
        <w:rPr>
          <w:rFonts w:ascii="Georgia" w:hAnsi="Georgia" w:cs="Arial"/>
          <w:sz w:val="24"/>
          <w:szCs w:val="24"/>
          <w:lang w:val="es-CO"/>
        </w:rPr>
        <w:t xml:space="preserve">). El día </w:t>
      </w:r>
      <w:r w:rsidR="009C7DC9" w:rsidRPr="00724B5D">
        <w:rPr>
          <w:rFonts w:ascii="Georgia" w:hAnsi="Georgia" w:cs="Arial"/>
          <w:sz w:val="24"/>
          <w:szCs w:val="24"/>
          <w:lang w:val="es-CO"/>
        </w:rPr>
        <w:t>01</w:t>
      </w:r>
      <w:r w:rsidRPr="00724B5D">
        <w:rPr>
          <w:rFonts w:ascii="Georgia" w:hAnsi="Georgia" w:cs="Arial"/>
          <w:sz w:val="24"/>
          <w:szCs w:val="24"/>
          <w:lang w:val="es-CO"/>
        </w:rPr>
        <w:t>-</w:t>
      </w:r>
      <w:r w:rsidR="009C7DC9" w:rsidRPr="00724B5D">
        <w:rPr>
          <w:rFonts w:ascii="Georgia" w:hAnsi="Georgia" w:cs="Arial"/>
          <w:sz w:val="24"/>
          <w:szCs w:val="24"/>
          <w:lang w:val="es-CO"/>
        </w:rPr>
        <w:t>09</w:t>
      </w:r>
      <w:r w:rsidRPr="00724B5D">
        <w:rPr>
          <w:rFonts w:ascii="Georgia" w:hAnsi="Georgia" w:cs="Arial"/>
          <w:sz w:val="24"/>
          <w:szCs w:val="24"/>
          <w:lang w:val="es-CO"/>
        </w:rPr>
        <w:t>-201</w:t>
      </w:r>
      <w:r w:rsidR="009C7DC9" w:rsidRPr="00724B5D">
        <w:rPr>
          <w:rFonts w:ascii="Georgia" w:hAnsi="Georgia" w:cs="Arial"/>
          <w:sz w:val="24"/>
          <w:szCs w:val="24"/>
          <w:lang w:val="es-CO"/>
        </w:rPr>
        <w:t>6, dada aquella oposición, se ordenó un</w:t>
      </w:r>
      <w:r w:rsidRPr="00724B5D">
        <w:rPr>
          <w:rFonts w:ascii="Georgia" w:hAnsi="Georgia" w:cs="Arial"/>
          <w:sz w:val="24"/>
          <w:szCs w:val="24"/>
          <w:lang w:val="es-CO"/>
        </w:rPr>
        <w:t xml:space="preserve"> </w:t>
      </w:r>
      <w:r w:rsidR="009C7DC9" w:rsidRPr="00724B5D">
        <w:rPr>
          <w:rFonts w:ascii="Georgia" w:hAnsi="Georgia" w:cs="Arial"/>
          <w:sz w:val="24"/>
          <w:szCs w:val="24"/>
          <w:lang w:val="es-CO"/>
        </w:rPr>
        <w:t>avalúo de los daños que causare la imposición de la servidumbre (Ibidem, folios 270-271)</w:t>
      </w:r>
      <w:r w:rsidR="00890386" w:rsidRPr="00724B5D">
        <w:rPr>
          <w:rFonts w:ascii="Georgia" w:hAnsi="Georgia" w:cs="Arial"/>
          <w:sz w:val="24"/>
          <w:szCs w:val="24"/>
          <w:lang w:val="es-CO"/>
        </w:rPr>
        <w:t xml:space="preserve">; </w:t>
      </w:r>
      <w:r w:rsidR="002A7DF3" w:rsidRPr="00724B5D">
        <w:rPr>
          <w:rFonts w:ascii="Georgia" w:hAnsi="Georgia" w:cs="Arial"/>
          <w:sz w:val="24"/>
          <w:szCs w:val="24"/>
          <w:lang w:val="es-CO"/>
        </w:rPr>
        <w:t xml:space="preserve">empero, </w:t>
      </w:r>
      <w:r w:rsidR="00890386" w:rsidRPr="00724B5D">
        <w:rPr>
          <w:rFonts w:ascii="Georgia" w:hAnsi="Georgia" w:cs="Arial"/>
          <w:sz w:val="24"/>
          <w:szCs w:val="24"/>
          <w:lang w:val="es-CO"/>
        </w:rPr>
        <w:t xml:space="preserve">con auto del 24-09-2020, </w:t>
      </w:r>
      <w:r w:rsidR="002A7DF3" w:rsidRPr="00724B5D">
        <w:rPr>
          <w:rFonts w:ascii="Georgia" w:hAnsi="Georgia" w:cs="Arial"/>
          <w:sz w:val="24"/>
          <w:szCs w:val="24"/>
          <w:lang w:val="es-CO"/>
        </w:rPr>
        <w:t xml:space="preserve">se prescindió </w:t>
      </w:r>
      <w:r w:rsidR="00890386" w:rsidRPr="00724B5D">
        <w:rPr>
          <w:rFonts w:ascii="Georgia" w:hAnsi="Georgia" w:cs="Arial"/>
          <w:sz w:val="24"/>
          <w:szCs w:val="24"/>
          <w:lang w:val="es-CO"/>
        </w:rPr>
        <w:t xml:space="preserve">de </w:t>
      </w:r>
      <w:r w:rsidR="001E7F4F" w:rsidRPr="00724B5D">
        <w:rPr>
          <w:rFonts w:ascii="Georgia" w:hAnsi="Georgia" w:cs="Arial"/>
          <w:sz w:val="24"/>
          <w:szCs w:val="24"/>
          <w:lang w:val="es-CO"/>
        </w:rPr>
        <w:t>su práctica por cuanto, luego de diferentes trámites</w:t>
      </w:r>
      <w:r w:rsidR="00890386" w:rsidRPr="00724B5D">
        <w:rPr>
          <w:rFonts w:ascii="Georgia" w:hAnsi="Georgia" w:cs="Arial"/>
          <w:sz w:val="24"/>
          <w:szCs w:val="24"/>
          <w:lang w:val="es-CO"/>
        </w:rPr>
        <w:t>,</w:t>
      </w:r>
      <w:r w:rsidR="001E7F4F" w:rsidRPr="00724B5D">
        <w:rPr>
          <w:rFonts w:ascii="Georgia" w:hAnsi="Georgia" w:cs="Arial"/>
          <w:sz w:val="24"/>
          <w:szCs w:val="24"/>
          <w:lang w:val="es-CO"/>
        </w:rPr>
        <w:t xml:space="preserve"> dejaron de pagarse unos gastos requeridos para acopiar esa experticia (</w:t>
      </w:r>
      <w:r w:rsidR="001E7F4F" w:rsidRPr="00724B5D">
        <w:rPr>
          <w:rFonts w:ascii="Georgia" w:hAnsi="Georgia" w:cs="Arial"/>
          <w:sz w:val="24"/>
          <w:szCs w:val="24"/>
        </w:rPr>
        <w:t xml:space="preserve">Carpeta 1ª instancia, cuaderno principal, </w:t>
      </w:r>
      <w:proofErr w:type="spellStart"/>
      <w:r w:rsidR="001E7F4F" w:rsidRPr="00724B5D">
        <w:rPr>
          <w:rFonts w:ascii="Georgia" w:hAnsi="Georgia" w:cs="Arial"/>
          <w:sz w:val="24"/>
          <w:szCs w:val="24"/>
        </w:rPr>
        <w:t>pdf</w:t>
      </w:r>
      <w:proofErr w:type="spellEnd"/>
      <w:r w:rsidR="001E7F4F" w:rsidRPr="00724B5D">
        <w:rPr>
          <w:rFonts w:ascii="Georgia" w:hAnsi="Georgia" w:cs="Arial"/>
          <w:sz w:val="24"/>
          <w:szCs w:val="24"/>
        </w:rPr>
        <w:t xml:space="preserve"> 07</w:t>
      </w:r>
      <w:r w:rsidR="001E7F4F" w:rsidRPr="00724B5D">
        <w:rPr>
          <w:rFonts w:ascii="Georgia" w:hAnsi="Georgia" w:cs="Arial"/>
          <w:sz w:val="24"/>
          <w:szCs w:val="24"/>
          <w:lang w:val="es-CO"/>
        </w:rPr>
        <w:t xml:space="preserve">). </w:t>
      </w:r>
    </w:p>
    <w:p w14:paraId="56DD30A1" w14:textId="77777777" w:rsidR="00890386" w:rsidRPr="00724B5D" w:rsidRDefault="00890386" w:rsidP="00724B5D">
      <w:pPr>
        <w:spacing w:line="276" w:lineRule="auto"/>
        <w:jc w:val="both"/>
        <w:rPr>
          <w:rFonts w:ascii="Georgia" w:hAnsi="Georgia" w:cs="Arial"/>
          <w:sz w:val="24"/>
          <w:szCs w:val="24"/>
          <w:lang w:val="es-CO"/>
        </w:rPr>
      </w:pPr>
    </w:p>
    <w:p w14:paraId="42792540" w14:textId="46CD8E69" w:rsidR="00FB63EA" w:rsidRPr="00724B5D" w:rsidRDefault="001E7F4F" w:rsidP="00724B5D">
      <w:pPr>
        <w:spacing w:line="276" w:lineRule="auto"/>
        <w:jc w:val="both"/>
        <w:rPr>
          <w:rFonts w:ascii="Georgia" w:hAnsi="Georgia" w:cs="Arial"/>
          <w:sz w:val="24"/>
          <w:szCs w:val="24"/>
          <w:lang w:val="es-CO"/>
        </w:rPr>
      </w:pPr>
      <w:r w:rsidRPr="00724B5D">
        <w:rPr>
          <w:rFonts w:ascii="Georgia" w:hAnsi="Georgia" w:cs="Arial"/>
          <w:sz w:val="24"/>
          <w:szCs w:val="24"/>
          <w:lang w:val="es-CO"/>
        </w:rPr>
        <w:t>Finalmente, el 30-10-2020 se emitió fallo estimatorio (</w:t>
      </w:r>
      <w:r w:rsidRPr="00724B5D">
        <w:rPr>
          <w:rFonts w:ascii="Georgia" w:hAnsi="Georgia" w:cs="Arial"/>
          <w:sz w:val="24"/>
          <w:szCs w:val="24"/>
        </w:rPr>
        <w:t xml:space="preserve">Carpeta 1ª instancia, cuaderno principal, </w:t>
      </w:r>
      <w:proofErr w:type="spellStart"/>
      <w:r w:rsidRPr="00724B5D">
        <w:rPr>
          <w:rFonts w:ascii="Georgia" w:hAnsi="Georgia" w:cs="Arial"/>
          <w:sz w:val="24"/>
          <w:szCs w:val="24"/>
        </w:rPr>
        <w:t>pdf</w:t>
      </w:r>
      <w:proofErr w:type="spellEnd"/>
      <w:r w:rsidRPr="00724B5D">
        <w:rPr>
          <w:rFonts w:ascii="Georgia" w:hAnsi="Georgia" w:cs="Arial"/>
          <w:sz w:val="24"/>
          <w:szCs w:val="24"/>
        </w:rPr>
        <w:t xml:space="preserve"> 08</w:t>
      </w:r>
      <w:r w:rsidRPr="00724B5D">
        <w:rPr>
          <w:rFonts w:ascii="Georgia" w:hAnsi="Georgia" w:cs="Arial"/>
          <w:sz w:val="24"/>
          <w:szCs w:val="24"/>
          <w:lang w:val="es-CO"/>
        </w:rPr>
        <w:t>), recurrido por la demandada</w:t>
      </w:r>
      <w:r w:rsidR="00890386" w:rsidRPr="00724B5D">
        <w:rPr>
          <w:rFonts w:ascii="Georgia" w:hAnsi="Georgia" w:cs="Arial"/>
          <w:sz w:val="24"/>
          <w:szCs w:val="24"/>
          <w:lang w:val="es-CO"/>
        </w:rPr>
        <w:t xml:space="preserve">, </w:t>
      </w:r>
      <w:r w:rsidRPr="00724B5D">
        <w:rPr>
          <w:rFonts w:ascii="Georgia" w:hAnsi="Georgia" w:cs="Arial"/>
          <w:sz w:val="24"/>
          <w:szCs w:val="24"/>
          <w:lang w:val="es-CO"/>
        </w:rPr>
        <w:t>se concedió ante esta Corporación (</w:t>
      </w:r>
      <w:r w:rsidRPr="00724B5D">
        <w:rPr>
          <w:rFonts w:ascii="Georgia" w:hAnsi="Georgia" w:cs="Arial"/>
          <w:sz w:val="24"/>
          <w:szCs w:val="24"/>
        </w:rPr>
        <w:t xml:space="preserve">Carpeta 1ª instancia, cuaderno principal, </w:t>
      </w:r>
      <w:proofErr w:type="spellStart"/>
      <w:r w:rsidRPr="00724B5D">
        <w:rPr>
          <w:rFonts w:ascii="Georgia" w:hAnsi="Georgia" w:cs="Arial"/>
          <w:sz w:val="24"/>
          <w:szCs w:val="24"/>
        </w:rPr>
        <w:t>pdf</w:t>
      </w:r>
      <w:proofErr w:type="spellEnd"/>
      <w:r w:rsidRPr="00724B5D">
        <w:rPr>
          <w:rFonts w:ascii="Georgia" w:hAnsi="Georgia" w:cs="Arial"/>
          <w:sz w:val="24"/>
          <w:szCs w:val="24"/>
        </w:rPr>
        <w:t xml:space="preserve"> 09 y 10</w:t>
      </w:r>
      <w:r w:rsidRPr="00724B5D">
        <w:rPr>
          <w:rFonts w:ascii="Georgia" w:hAnsi="Georgia" w:cs="Arial"/>
          <w:sz w:val="24"/>
          <w:szCs w:val="24"/>
          <w:lang w:val="es-CO"/>
        </w:rPr>
        <w:t>)</w:t>
      </w:r>
      <w:r w:rsidR="00FB63EA" w:rsidRPr="00724B5D">
        <w:rPr>
          <w:rFonts w:ascii="Georgia" w:hAnsi="Georgia" w:cs="Arial"/>
          <w:sz w:val="24"/>
          <w:szCs w:val="24"/>
          <w:lang w:val="es-CO"/>
        </w:rPr>
        <w:t xml:space="preserve">. </w:t>
      </w:r>
    </w:p>
    <w:p w14:paraId="4A9EB253" w14:textId="67012057" w:rsidR="00FB63EA" w:rsidRPr="00724B5D" w:rsidRDefault="00FB63EA" w:rsidP="00724B5D">
      <w:pPr>
        <w:spacing w:line="276" w:lineRule="auto"/>
        <w:jc w:val="both"/>
        <w:rPr>
          <w:rFonts w:ascii="Georgia" w:hAnsi="Georgia" w:cs="Arial"/>
          <w:sz w:val="24"/>
          <w:szCs w:val="24"/>
        </w:rPr>
      </w:pPr>
    </w:p>
    <w:p w14:paraId="30247616" w14:textId="77777777" w:rsidR="00E316D9" w:rsidRPr="00724B5D" w:rsidRDefault="00350C7A" w:rsidP="00724B5D">
      <w:pPr>
        <w:pStyle w:val="Prrafodelista"/>
        <w:numPr>
          <w:ilvl w:val="0"/>
          <w:numId w:val="1"/>
        </w:numPr>
        <w:tabs>
          <w:tab w:val="left" w:pos="-720"/>
        </w:tabs>
        <w:suppressAutoHyphens/>
        <w:spacing w:line="276" w:lineRule="auto"/>
        <w:jc w:val="both"/>
        <w:rPr>
          <w:rFonts w:ascii="Georgia" w:hAnsi="Georgia" w:cs="Arial"/>
          <w:b/>
          <w:bCs/>
          <w:smallCaps/>
          <w:spacing w:val="-3"/>
          <w:sz w:val="24"/>
          <w:szCs w:val="24"/>
        </w:rPr>
      </w:pPr>
      <w:r w:rsidRPr="00724B5D">
        <w:rPr>
          <w:rFonts w:ascii="Georgia" w:hAnsi="Georgia" w:cs="Arial"/>
          <w:b/>
          <w:bCs/>
          <w:smallCaps/>
          <w:spacing w:val="-3"/>
          <w:sz w:val="24"/>
          <w:szCs w:val="24"/>
        </w:rPr>
        <w:t>las estimaciones jurídicas para decidir</w:t>
      </w:r>
    </w:p>
    <w:p w14:paraId="6560A1B9" w14:textId="7807B281" w:rsidR="4C620428" w:rsidRPr="00724B5D" w:rsidRDefault="4C620428" w:rsidP="00724B5D">
      <w:pPr>
        <w:pStyle w:val="Sinespaciado"/>
        <w:spacing w:line="276" w:lineRule="auto"/>
        <w:ind w:left="360"/>
        <w:jc w:val="both"/>
        <w:rPr>
          <w:rFonts w:ascii="Georgia" w:hAnsi="Georgia" w:cs="Arial"/>
        </w:rPr>
      </w:pPr>
    </w:p>
    <w:p w14:paraId="30247618" w14:textId="77777777" w:rsidR="00582F12" w:rsidRPr="00724B5D" w:rsidRDefault="00582F12" w:rsidP="00724B5D">
      <w:pPr>
        <w:pStyle w:val="Sinespaciado"/>
        <w:widowControl/>
        <w:numPr>
          <w:ilvl w:val="1"/>
          <w:numId w:val="1"/>
        </w:numPr>
        <w:autoSpaceDE/>
        <w:autoSpaceDN/>
        <w:adjustRightInd/>
        <w:spacing w:line="276" w:lineRule="auto"/>
        <w:jc w:val="both"/>
        <w:rPr>
          <w:rFonts w:ascii="Georgia" w:hAnsi="Georgia" w:cs="Arial"/>
          <w:smallCaps/>
        </w:rPr>
      </w:pPr>
      <w:r w:rsidRPr="00724B5D">
        <w:rPr>
          <w:rFonts w:ascii="Georgia" w:hAnsi="Georgia" w:cs="Arial"/>
          <w:smallCaps/>
        </w:rPr>
        <w:t>El régimen de las nulidades procesales</w:t>
      </w:r>
    </w:p>
    <w:p w14:paraId="30247619" w14:textId="77777777" w:rsidR="002825A8" w:rsidRPr="00724B5D" w:rsidRDefault="002825A8" w:rsidP="00724B5D">
      <w:pPr>
        <w:pStyle w:val="Sinespaciado"/>
        <w:widowControl/>
        <w:autoSpaceDE/>
        <w:autoSpaceDN/>
        <w:adjustRightInd/>
        <w:spacing w:line="276" w:lineRule="auto"/>
        <w:jc w:val="both"/>
        <w:rPr>
          <w:rFonts w:ascii="Georgia" w:hAnsi="Georgia" w:cs="Arial"/>
        </w:rPr>
      </w:pPr>
    </w:p>
    <w:p w14:paraId="3024761A" w14:textId="3C370573" w:rsidR="00526C51" w:rsidRPr="00724B5D" w:rsidRDefault="00526C51" w:rsidP="00724B5D">
      <w:pPr>
        <w:suppressAutoHyphens/>
        <w:spacing w:line="276" w:lineRule="auto"/>
        <w:jc w:val="both"/>
        <w:rPr>
          <w:rFonts w:ascii="Georgia" w:hAnsi="Georgia" w:cs="Arial"/>
          <w:sz w:val="24"/>
          <w:szCs w:val="24"/>
        </w:rPr>
      </w:pPr>
      <w:r w:rsidRPr="00724B5D">
        <w:rPr>
          <w:rFonts w:ascii="Georgia" w:hAnsi="Georgia" w:cs="Arial"/>
          <w:sz w:val="24"/>
          <w:szCs w:val="24"/>
        </w:rPr>
        <w:t>El ordenamiento legal, vigente en nuestro país, consagra como regla que la institución de las nulidades de tipo procedimental está estatuida con el propósito de salvaguardar el derecho constitucional del debido proceso y su derivado natural, el derecho de defensa (Artículo 29, CP).</w:t>
      </w:r>
    </w:p>
    <w:p w14:paraId="3024761B" w14:textId="77777777" w:rsidR="00526C51" w:rsidRPr="00724B5D" w:rsidRDefault="00526C51" w:rsidP="00724B5D">
      <w:pPr>
        <w:spacing w:line="276" w:lineRule="auto"/>
        <w:jc w:val="both"/>
        <w:rPr>
          <w:rFonts w:ascii="Georgia" w:hAnsi="Georgia" w:cs="Arial"/>
          <w:sz w:val="24"/>
          <w:szCs w:val="24"/>
        </w:rPr>
      </w:pPr>
    </w:p>
    <w:p w14:paraId="3024761C" w14:textId="77777777" w:rsidR="00526C51" w:rsidRPr="00724B5D" w:rsidRDefault="00071273" w:rsidP="00724B5D">
      <w:pPr>
        <w:spacing w:line="276" w:lineRule="auto"/>
        <w:jc w:val="both"/>
        <w:rPr>
          <w:rFonts w:ascii="Georgia" w:hAnsi="Georgia" w:cs="Arial"/>
          <w:i/>
          <w:sz w:val="24"/>
          <w:szCs w:val="24"/>
        </w:rPr>
      </w:pPr>
      <w:r w:rsidRPr="00724B5D">
        <w:rPr>
          <w:rFonts w:ascii="Georgia" w:hAnsi="Georgia"/>
          <w:sz w:val="24"/>
          <w:szCs w:val="24"/>
        </w:rPr>
        <w:t>Es preciso advertir que este instrumento,</w:t>
      </w:r>
      <w:r w:rsidR="00526C51" w:rsidRPr="00724B5D">
        <w:rPr>
          <w:rFonts w:ascii="Georgia" w:hAnsi="Georgia"/>
          <w:sz w:val="24"/>
          <w:szCs w:val="24"/>
        </w:rPr>
        <w:t xml:space="preserve"> reglamentad</w:t>
      </w:r>
      <w:r w:rsidRPr="00724B5D">
        <w:rPr>
          <w:rFonts w:ascii="Georgia" w:hAnsi="Georgia"/>
          <w:sz w:val="24"/>
          <w:szCs w:val="24"/>
        </w:rPr>
        <w:t xml:space="preserve">o por </w:t>
      </w:r>
      <w:r w:rsidR="00526C51" w:rsidRPr="00724B5D">
        <w:rPr>
          <w:rFonts w:ascii="Georgia" w:hAnsi="Georgia"/>
          <w:sz w:val="24"/>
          <w:szCs w:val="24"/>
        </w:rPr>
        <w:t>l</w:t>
      </w:r>
      <w:r w:rsidRPr="00724B5D">
        <w:rPr>
          <w:rFonts w:ascii="Georgia" w:hAnsi="Georgia"/>
          <w:sz w:val="24"/>
          <w:szCs w:val="24"/>
        </w:rPr>
        <w:t>os</w:t>
      </w:r>
      <w:r w:rsidR="00526C51" w:rsidRPr="00724B5D">
        <w:rPr>
          <w:rFonts w:ascii="Georgia" w:hAnsi="Georgia"/>
          <w:sz w:val="24"/>
          <w:szCs w:val="24"/>
        </w:rPr>
        <w:t xml:space="preserve"> artículo</w:t>
      </w:r>
      <w:r w:rsidRPr="00724B5D">
        <w:rPr>
          <w:rFonts w:ascii="Georgia" w:hAnsi="Georgia"/>
          <w:sz w:val="24"/>
          <w:szCs w:val="24"/>
        </w:rPr>
        <w:t>s</w:t>
      </w:r>
      <w:r w:rsidR="00526C51" w:rsidRPr="00724B5D">
        <w:rPr>
          <w:rFonts w:ascii="Georgia" w:hAnsi="Georgia"/>
          <w:sz w:val="24"/>
          <w:szCs w:val="24"/>
        </w:rPr>
        <w:t xml:space="preserve"> 133 </w:t>
      </w:r>
      <w:r w:rsidRPr="00724B5D">
        <w:rPr>
          <w:rFonts w:ascii="Georgia" w:hAnsi="Georgia"/>
          <w:sz w:val="24"/>
          <w:szCs w:val="24"/>
        </w:rPr>
        <w:t xml:space="preserve">y </w:t>
      </w:r>
      <w:proofErr w:type="spellStart"/>
      <w:r w:rsidRPr="00724B5D">
        <w:rPr>
          <w:rFonts w:ascii="Georgia" w:hAnsi="Georgia"/>
          <w:sz w:val="24"/>
          <w:szCs w:val="24"/>
        </w:rPr>
        <w:t>ss</w:t>
      </w:r>
      <w:proofErr w:type="spellEnd"/>
      <w:r w:rsidRPr="00724B5D">
        <w:rPr>
          <w:rFonts w:ascii="Georgia" w:hAnsi="Georgia"/>
          <w:sz w:val="24"/>
          <w:szCs w:val="24"/>
        </w:rPr>
        <w:t xml:space="preserve">, </w:t>
      </w:r>
      <w:r w:rsidR="00526C51" w:rsidRPr="00724B5D">
        <w:rPr>
          <w:rFonts w:ascii="Georgia" w:hAnsi="Georgia"/>
          <w:sz w:val="24"/>
          <w:szCs w:val="24"/>
        </w:rPr>
        <w:t>CGP, no tuvo cambios sustanciales respecto a lo regulado en el CPC (Artículos 140 y 141), salvo que desapareció la causal del artículo 141-1º y se erigieron otras especiales (Artículos 14, 36, 38, 107, 164 y 121, CGP). De tal suerte que la jurisprudencia y doctrina que se han encargado de estudiar el tema con arreglo al CPC</w:t>
      </w:r>
      <w:r w:rsidR="00526C51" w:rsidRPr="00724B5D">
        <w:rPr>
          <w:rFonts w:ascii="Georgia" w:hAnsi="Georgia" w:cs="Arial"/>
          <w:sz w:val="24"/>
          <w:szCs w:val="24"/>
        </w:rPr>
        <w:t>, s</w:t>
      </w:r>
      <w:r w:rsidR="003862AD" w:rsidRPr="00724B5D">
        <w:rPr>
          <w:rFonts w:ascii="Georgia" w:hAnsi="Georgia" w:cs="Arial"/>
          <w:sz w:val="24"/>
          <w:szCs w:val="24"/>
        </w:rPr>
        <w:t>on</w:t>
      </w:r>
      <w:r w:rsidR="00526C51" w:rsidRPr="00724B5D">
        <w:rPr>
          <w:rFonts w:ascii="Georgia" w:hAnsi="Georgia" w:cs="Arial"/>
          <w:sz w:val="24"/>
          <w:szCs w:val="24"/>
        </w:rPr>
        <w:t xml:space="preserve"> aplicable</w:t>
      </w:r>
      <w:r w:rsidR="003862AD" w:rsidRPr="00724B5D">
        <w:rPr>
          <w:rFonts w:ascii="Georgia" w:hAnsi="Georgia" w:cs="Arial"/>
          <w:sz w:val="24"/>
          <w:szCs w:val="24"/>
        </w:rPr>
        <w:t>s</w:t>
      </w:r>
      <w:r w:rsidR="00411109" w:rsidRPr="00724B5D">
        <w:rPr>
          <w:rFonts w:ascii="Georgia" w:hAnsi="Georgia" w:cs="Arial"/>
          <w:sz w:val="24"/>
          <w:szCs w:val="24"/>
        </w:rPr>
        <w:t xml:space="preserve"> para el nuevo estatuto, en su mayoría.</w:t>
      </w:r>
    </w:p>
    <w:p w14:paraId="3024761D" w14:textId="77777777" w:rsidR="00526C51" w:rsidRPr="00724B5D" w:rsidRDefault="00526C51" w:rsidP="00724B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Georgia" w:hAnsi="Georgia" w:cs="Arial"/>
          <w:sz w:val="24"/>
          <w:szCs w:val="24"/>
        </w:rPr>
      </w:pPr>
    </w:p>
    <w:p w14:paraId="3024761E" w14:textId="3D28673C" w:rsidR="00526C51" w:rsidRPr="00724B5D" w:rsidRDefault="00526C51" w:rsidP="00724B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Georgia" w:hAnsi="Georgia" w:cs="Arial"/>
          <w:sz w:val="24"/>
          <w:szCs w:val="24"/>
        </w:rPr>
      </w:pPr>
      <w:r w:rsidRPr="00724B5D">
        <w:rPr>
          <w:rFonts w:ascii="Georgia" w:hAnsi="Georgia" w:cs="Arial"/>
          <w:sz w:val="24"/>
          <w:szCs w:val="24"/>
        </w:rPr>
        <w:t xml:space="preserve">El régimen de esta </w:t>
      </w:r>
      <w:r w:rsidR="00AE3D1F" w:rsidRPr="00724B5D">
        <w:rPr>
          <w:rFonts w:ascii="Georgia" w:hAnsi="Georgia" w:cs="Arial"/>
          <w:sz w:val="24"/>
          <w:szCs w:val="24"/>
        </w:rPr>
        <w:t>figura</w:t>
      </w:r>
      <w:r w:rsidR="003E4458" w:rsidRPr="00724B5D">
        <w:rPr>
          <w:rFonts w:ascii="Georgia" w:hAnsi="Georgia" w:cs="Arial"/>
          <w:sz w:val="24"/>
          <w:szCs w:val="24"/>
        </w:rPr>
        <w:t xml:space="preserve">, en ambos estatutos, </w:t>
      </w:r>
      <w:r w:rsidRPr="00724B5D">
        <w:rPr>
          <w:rFonts w:ascii="Georgia" w:hAnsi="Georgia" w:cs="Arial"/>
          <w:sz w:val="24"/>
          <w:szCs w:val="24"/>
        </w:rPr>
        <w:t xml:space="preserve">está informado por el principio de la taxatividad o especificidad, que puede consultarse en la doctrina, pacífica, de los </w:t>
      </w:r>
      <w:r w:rsidRPr="00724B5D">
        <w:rPr>
          <w:rFonts w:ascii="Georgia" w:hAnsi="Georgia" w:cs="Arial"/>
          <w:sz w:val="24"/>
          <w:szCs w:val="24"/>
        </w:rPr>
        <w:lastRenderedPageBreak/>
        <w:t>profesores Canosa T.</w:t>
      </w:r>
      <w:r w:rsidRPr="00724B5D">
        <w:rPr>
          <w:rStyle w:val="Refdenotaalpie"/>
          <w:rFonts w:ascii="Georgia" w:hAnsi="Georgia" w:cs="Arial"/>
          <w:sz w:val="24"/>
          <w:szCs w:val="24"/>
        </w:rPr>
        <w:footnoteReference w:id="2"/>
      </w:r>
      <w:r w:rsidRPr="00724B5D">
        <w:rPr>
          <w:rFonts w:ascii="Georgia" w:hAnsi="Georgia" w:cs="Arial"/>
          <w:sz w:val="24"/>
          <w:szCs w:val="24"/>
        </w:rPr>
        <w:t>, López B.</w:t>
      </w:r>
      <w:r w:rsidRPr="00724B5D">
        <w:rPr>
          <w:rStyle w:val="Refdenotaalpie"/>
          <w:rFonts w:ascii="Georgia" w:hAnsi="Georgia" w:cs="Arial"/>
          <w:sz w:val="24"/>
          <w:szCs w:val="24"/>
        </w:rPr>
        <w:footnoteReference w:id="3"/>
      </w:r>
      <w:r w:rsidRPr="00724B5D">
        <w:rPr>
          <w:rFonts w:ascii="Georgia" w:hAnsi="Georgia" w:cs="Arial"/>
          <w:sz w:val="24"/>
          <w:szCs w:val="24"/>
        </w:rPr>
        <w:t>, Azula C.</w:t>
      </w:r>
      <w:r w:rsidRPr="00724B5D">
        <w:rPr>
          <w:rStyle w:val="Refdenotaalpie"/>
          <w:rFonts w:ascii="Georgia" w:hAnsi="Georgia" w:cs="Arial"/>
          <w:sz w:val="24"/>
          <w:szCs w:val="24"/>
        </w:rPr>
        <w:footnoteReference w:id="4"/>
      </w:r>
      <w:r w:rsidRPr="00724B5D">
        <w:rPr>
          <w:rFonts w:ascii="Georgia" w:hAnsi="Georgia" w:cs="Arial"/>
          <w:sz w:val="24"/>
          <w:szCs w:val="24"/>
        </w:rPr>
        <w:t xml:space="preserve"> y Rojas G.</w:t>
      </w:r>
      <w:r w:rsidRPr="00724B5D">
        <w:rPr>
          <w:rStyle w:val="Refdenotaalpie"/>
          <w:rFonts w:ascii="Georgia" w:hAnsi="Georgia" w:cs="Arial"/>
          <w:sz w:val="24"/>
          <w:szCs w:val="24"/>
        </w:rPr>
        <w:footnoteReference w:id="5"/>
      </w:r>
      <w:r w:rsidRPr="00724B5D">
        <w:rPr>
          <w:rFonts w:ascii="Georgia" w:hAnsi="Georgia" w:cs="Arial"/>
          <w:sz w:val="24"/>
          <w:szCs w:val="24"/>
        </w:rPr>
        <w:t xml:space="preserve"> y Sanabria S</w:t>
      </w:r>
      <w:r w:rsidRPr="00724B5D">
        <w:rPr>
          <w:rStyle w:val="Refdenotaalpie"/>
          <w:rFonts w:ascii="Georgia" w:hAnsi="Georgia"/>
          <w:sz w:val="24"/>
          <w:szCs w:val="24"/>
        </w:rPr>
        <w:footnoteReference w:id="6"/>
      </w:r>
      <w:r w:rsidRPr="00724B5D">
        <w:rPr>
          <w:rFonts w:ascii="Georgia" w:hAnsi="Georgia" w:cs="Arial"/>
          <w:sz w:val="24"/>
          <w:szCs w:val="24"/>
        </w:rPr>
        <w:t xml:space="preserve">. Otros principios de igual entidad que permean </w:t>
      </w:r>
      <w:r w:rsidR="00071273" w:rsidRPr="00724B5D">
        <w:rPr>
          <w:rFonts w:ascii="Georgia" w:hAnsi="Georgia" w:cs="Arial"/>
          <w:sz w:val="24"/>
          <w:szCs w:val="24"/>
        </w:rPr>
        <w:t>la herramienta</w:t>
      </w:r>
      <w:r w:rsidR="00AE3D1F" w:rsidRPr="00724B5D">
        <w:rPr>
          <w:rFonts w:ascii="Georgia" w:hAnsi="Georgia" w:cs="Arial"/>
          <w:sz w:val="24"/>
          <w:szCs w:val="24"/>
        </w:rPr>
        <w:t>,</w:t>
      </w:r>
      <w:r w:rsidR="00071273" w:rsidRPr="00724B5D">
        <w:rPr>
          <w:rFonts w:ascii="Georgia" w:hAnsi="Georgia" w:cs="Arial"/>
          <w:sz w:val="24"/>
          <w:szCs w:val="24"/>
        </w:rPr>
        <w:t xml:space="preserve"> </w:t>
      </w:r>
      <w:r w:rsidRPr="00724B5D">
        <w:rPr>
          <w:rFonts w:ascii="Georgia" w:hAnsi="Georgia" w:cs="Arial"/>
          <w:sz w:val="24"/>
          <w:szCs w:val="24"/>
        </w:rPr>
        <w:t>en comento, son el de preclusión, protección, convalidación, trascendencia y legitimación para invocarla, así lo reconoce la CSJ</w:t>
      </w:r>
      <w:r w:rsidRPr="00724B5D">
        <w:rPr>
          <w:rStyle w:val="Refdenotaalpie"/>
          <w:rFonts w:ascii="Georgia" w:hAnsi="Georgia"/>
          <w:sz w:val="24"/>
          <w:szCs w:val="24"/>
        </w:rPr>
        <w:footnoteReference w:id="7"/>
      </w:r>
      <w:r w:rsidRPr="00724B5D">
        <w:rPr>
          <w:rFonts w:ascii="Georgia" w:hAnsi="Georgia" w:cs="Arial"/>
          <w:sz w:val="24"/>
          <w:szCs w:val="24"/>
        </w:rPr>
        <w:t xml:space="preserve">. </w:t>
      </w:r>
    </w:p>
    <w:p w14:paraId="3024761F" w14:textId="77777777" w:rsidR="00526C51" w:rsidRPr="00724B5D" w:rsidRDefault="00526C51" w:rsidP="00724B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Georgia" w:hAnsi="Georgia" w:cs="Arial"/>
          <w:sz w:val="24"/>
          <w:szCs w:val="24"/>
        </w:rPr>
      </w:pPr>
    </w:p>
    <w:p w14:paraId="30247620" w14:textId="77777777" w:rsidR="00647818" w:rsidRPr="00724B5D" w:rsidRDefault="00526C51" w:rsidP="00724B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Georgia" w:hAnsi="Georgia" w:cs="Arial"/>
          <w:sz w:val="24"/>
          <w:szCs w:val="24"/>
        </w:rPr>
      </w:pPr>
      <w:r w:rsidRPr="00724B5D">
        <w:rPr>
          <w:rFonts w:ascii="Georgia" w:hAnsi="Georgia" w:cs="Arial"/>
          <w:sz w:val="24"/>
          <w:szCs w:val="24"/>
        </w:rPr>
        <w:t xml:space="preserve">Las sentencias C-491 de 1995 y C-217 de 1996 de la Corte Constitucional, agregó otra causal, en los siguientes términos: </w:t>
      </w:r>
      <w:r w:rsidRPr="00724B5D">
        <w:rPr>
          <w:rFonts w:ascii="Georgia" w:hAnsi="Georgia" w:cs="Arial"/>
          <w:i/>
          <w:sz w:val="24"/>
          <w:szCs w:val="24"/>
        </w:rPr>
        <w:t>“</w:t>
      </w:r>
      <w:r w:rsidRPr="00724B5D">
        <w:rPr>
          <w:rFonts w:ascii="Georgia" w:hAnsi="Georgia" w:cs="Arial"/>
          <w:i/>
          <w:sz w:val="22"/>
          <w:szCs w:val="24"/>
        </w:rPr>
        <w:t>Además de dichas causales legales de nulidad es viable y puede ser invocada la consagrada en el artículo 29 de la Constitución, según el cual es nula, de pleno derecho, la prueba obtenida con violación del debido proceso, (...)</w:t>
      </w:r>
      <w:r w:rsidRPr="00724B5D">
        <w:rPr>
          <w:rFonts w:ascii="Georgia" w:hAnsi="Georgia" w:cs="Arial"/>
          <w:i/>
          <w:sz w:val="24"/>
          <w:szCs w:val="24"/>
        </w:rPr>
        <w:t>”</w:t>
      </w:r>
      <w:r w:rsidR="00071273" w:rsidRPr="00724B5D">
        <w:rPr>
          <w:rFonts w:ascii="Georgia" w:hAnsi="Georgia" w:cs="Arial"/>
          <w:i/>
          <w:sz w:val="24"/>
          <w:szCs w:val="24"/>
        </w:rPr>
        <w:t>.</w:t>
      </w:r>
      <w:r w:rsidR="00071273" w:rsidRPr="00724B5D">
        <w:rPr>
          <w:rFonts w:ascii="Georgia" w:hAnsi="Georgia" w:cs="Arial"/>
          <w:sz w:val="24"/>
          <w:szCs w:val="24"/>
        </w:rPr>
        <w:t xml:space="preserve"> Hoy reconocidas en el CGP (Artículos 14, 164 y 168) y, revalidada</w:t>
      </w:r>
      <w:r w:rsidR="00CA0F6D" w:rsidRPr="00724B5D">
        <w:rPr>
          <w:rFonts w:ascii="Georgia" w:hAnsi="Georgia" w:cs="Arial"/>
          <w:sz w:val="24"/>
          <w:szCs w:val="24"/>
        </w:rPr>
        <w:t>s</w:t>
      </w:r>
      <w:r w:rsidR="00071273" w:rsidRPr="00724B5D">
        <w:rPr>
          <w:rFonts w:ascii="Georgia" w:hAnsi="Georgia" w:cs="Arial"/>
          <w:sz w:val="24"/>
          <w:szCs w:val="24"/>
        </w:rPr>
        <w:t xml:space="preserve"> con la C-537 de 2016, que declaró exequible, entre otros, al mentado artículo 133, y que es distinta de la prevista en su numeral 5º.</w:t>
      </w:r>
    </w:p>
    <w:p w14:paraId="30247621" w14:textId="77777777" w:rsidR="00B704FA" w:rsidRPr="00724B5D" w:rsidRDefault="00B704FA" w:rsidP="00724B5D">
      <w:pPr>
        <w:tabs>
          <w:tab w:val="left" w:pos="-720"/>
        </w:tabs>
        <w:suppressAutoHyphens/>
        <w:spacing w:line="276" w:lineRule="auto"/>
        <w:jc w:val="both"/>
        <w:rPr>
          <w:rFonts w:ascii="Georgia" w:hAnsi="Georgia" w:cs="Arial"/>
          <w:sz w:val="24"/>
          <w:szCs w:val="24"/>
        </w:rPr>
      </w:pPr>
    </w:p>
    <w:p w14:paraId="30247622" w14:textId="77777777" w:rsidR="008247CC" w:rsidRPr="00724B5D" w:rsidRDefault="008247CC" w:rsidP="00724B5D">
      <w:pPr>
        <w:pStyle w:val="Sinespaciado"/>
        <w:widowControl/>
        <w:numPr>
          <w:ilvl w:val="1"/>
          <w:numId w:val="1"/>
        </w:numPr>
        <w:autoSpaceDE/>
        <w:autoSpaceDN/>
        <w:adjustRightInd/>
        <w:spacing w:line="276" w:lineRule="auto"/>
        <w:jc w:val="both"/>
        <w:rPr>
          <w:rFonts w:ascii="Georgia" w:hAnsi="Georgia" w:cs="Arial"/>
          <w:smallCaps/>
        </w:rPr>
      </w:pPr>
      <w:r w:rsidRPr="00724B5D">
        <w:rPr>
          <w:rFonts w:ascii="Georgia" w:hAnsi="Georgia" w:cs="Arial"/>
          <w:smallCaps/>
        </w:rPr>
        <w:t>Los presupuestos de las nulidades procesales</w:t>
      </w:r>
    </w:p>
    <w:p w14:paraId="30247623" w14:textId="77777777" w:rsidR="00877480" w:rsidRPr="00724B5D" w:rsidRDefault="00877480" w:rsidP="00724B5D">
      <w:pPr>
        <w:tabs>
          <w:tab w:val="left" w:pos="-720"/>
        </w:tabs>
        <w:suppressAutoHyphens/>
        <w:spacing w:line="276" w:lineRule="auto"/>
        <w:jc w:val="both"/>
        <w:rPr>
          <w:rFonts w:ascii="Georgia" w:hAnsi="Georgia" w:cs="Arial"/>
          <w:sz w:val="24"/>
          <w:szCs w:val="24"/>
        </w:rPr>
      </w:pPr>
    </w:p>
    <w:p w14:paraId="30247624" w14:textId="501D739A" w:rsidR="008F10E2" w:rsidRPr="00724B5D" w:rsidRDefault="00526C51" w:rsidP="00724B5D">
      <w:pPr>
        <w:tabs>
          <w:tab w:val="left" w:pos="-720"/>
        </w:tabs>
        <w:suppressAutoHyphens/>
        <w:spacing w:line="276" w:lineRule="auto"/>
        <w:jc w:val="both"/>
        <w:rPr>
          <w:rFonts w:ascii="Georgia" w:hAnsi="Georgia" w:cs="Arial"/>
          <w:sz w:val="24"/>
          <w:szCs w:val="24"/>
        </w:rPr>
      </w:pPr>
      <w:r w:rsidRPr="00724B5D">
        <w:rPr>
          <w:rFonts w:ascii="Georgia" w:hAnsi="Georgia" w:cs="Arial"/>
          <w:sz w:val="24"/>
          <w:szCs w:val="24"/>
        </w:rPr>
        <w:t>Consisten en la concurrencia de legitimación, falta de saneamiento y oportunidad para proponerlas (Artículos 134, 135 y 136</w:t>
      </w:r>
      <w:r w:rsidR="00AF1773" w:rsidRPr="00724B5D">
        <w:rPr>
          <w:rFonts w:ascii="Georgia" w:hAnsi="Georgia" w:cs="Arial"/>
          <w:sz w:val="24"/>
          <w:szCs w:val="24"/>
        </w:rPr>
        <w:t>,</w:t>
      </w:r>
      <w:r w:rsidRPr="00724B5D">
        <w:rPr>
          <w:rFonts w:ascii="Georgia" w:hAnsi="Georgia" w:cs="Arial"/>
          <w:sz w:val="24"/>
          <w:szCs w:val="24"/>
        </w:rPr>
        <w:t xml:space="preserve"> CGP); verificado el cumplimiento de tales requisitos se abre paso el análisis de la respectiva causal.  En este caso, se hace el pronunciamiento de oficio, conforme autoriza el artículo 137 </w:t>
      </w:r>
      <w:r w:rsidR="00D0169F" w:rsidRPr="00724B5D">
        <w:rPr>
          <w:rFonts w:ascii="Georgia" w:hAnsi="Georgia" w:cs="Arial"/>
          <w:i/>
          <w:sz w:val="24"/>
          <w:szCs w:val="24"/>
        </w:rPr>
        <w:t>ibidem</w:t>
      </w:r>
      <w:r w:rsidRPr="00724B5D">
        <w:rPr>
          <w:rFonts w:ascii="Georgia" w:hAnsi="Georgia" w:cs="Arial"/>
          <w:sz w:val="24"/>
          <w:szCs w:val="24"/>
        </w:rPr>
        <w:t xml:space="preserve">, por ello hay habilitación legal para declararla, amén de que es tempestivo hacerlo. No obstante, ser una causal restringida a la parte y ser </w:t>
      </w:r>
      <w:proofErr w:type="spellStart"/>
      <w:r w:rsidRPr="00724B5D">
        <w:rPr>
          <w:rFonts w:ascii="Georgia" w:hAnsi="Georgia" w:cs="Arial"/>
          <w:sz w:val="24"/>
          <w:szCs w:val="24"/>
        </w:rPr>
        <w:t>saneable</w:t>
      </w:r>
      <w:proofErr w:type="spellEnd"/>
      <w:r w:rsidRPr="00724B5D">
        <w:rPr>
          <w:rFonts w:ascii="Georgia" w:hAnsi="Georgia" w:cs="Arial"/>
          <w:sz w:val="24"/>
          <w:szCs w:val="24"/>
        </w:rPr>
        <w:t xml:space="preserve"> (Artículo 135-3, CGP), </w:t>
      </w:r>
      <w:r w:rsidR="008F10E2" w:rsidRPr="00724B5D">
        <w:rPr>
          <w:rFonts w:ascii="Georgia" w:hAnsi="Georgia" w:cs="Arial"/>
          <w:sz w:val="24"/>
          <w:szCs w:val="24"/>
        </w:rPr>
        <w:t xml:space="preserve">ante su ausencia, debe remediarse bajo la declaración de nulidad. </w:t>
      </w:r>
    </w:p>
    <w:p w14:paraId="30247625" w14:textId="77777777" w:rsidR="00E111A4" w:rsidRPr="00724B5D" w:rsidRDefault="00E111A4" w:rsidP="00724B5D">
      <w:pPr>
        <w:tabs>
          <w:tab w:val="left" w:pos="-720"/>
        </w:tabs>
        <w:suppressAutoHyphens/>
        <w:spacing w:line="276" w:lineRule="auto"/>
        <w:ind w:right="567"/>
        <w:jc w:val="both"/>
        <w:rPr>
          <w:rFonts w:ascii="Georgia" w:hAnsi="Georgia" w:cs="Arial"/>
          <w:spacing w:val="-3"/>
          <w:sz w:val="24"/>
          <w:szCs w:val="24"/>
        </w:rPr>
      </w:pPr>
    </w:p>
    <w:p w14:paraId="52AF70E4" w14:textId="5B91249B" w:rsidR="006C6842" w:rsidRPr="00724B5D" w:rsidRDefault="003E4458" w:rsidP="00724B5D">
      <w:pPr>
        <w:pStyle w:val="Prrafodelista"/>
        <w:numPr>
          <w:ilvl w:val="1"/>
          <w:numId w:val="1"/>
        </w:numPr>
        <w:suppressAutoHyphens/>
        <w:spacing w:line="276" w:lineRule="auto"/>
        <w:jc w:val="both"/>
        <w:rPr>
          <w:rFonts w:ascii="Georgia" w:hAnsi="Georgia" w:cs="Arial"/>
          <w:smallCaps/>
          <w:spacing w:val="-3"/>
          <w:sz w:val="24"/>
          <w:szCs w:val="24"/>
        </w:rPr>
      </w:pPr>
      <w:r w:rsidRPr="00724B5D">
        <w:rPr>
          <w:rFonts w:ascii="Georgia" w:hAnsi="Georgia" w:cs="Arial"/>
          <w:smallCaps/>
          <w:spacing w:val="-3"/>
          <w:sz w:val="24"/>
          <w:szCs w:val="24"/>
        </w:rPr>
        <w:t>La indebida notificación</w:t>
      </w:r>
    </w:p>
    <w:p w14:paraId="2F8ABA5D" w14:textId="77777777" w:rsidR="006C6842" w:rsidRPr="00724B5D" w:rsidRDefault="006C6842" w:rsidP="00724B5D">
      <w:pPr>
        <w:tabs>
          <w:tab w:val="left" w:pos="-720"/>
          <w:tab w:val="left" w:pos="4185"/>
        </w:tabs>
        <w:suppressAutoHyphens/>
        <w:spacing w:line="276" w:lineRule="auto"/>
        <w:jc w:val="both"/>
        <w:rPr>
          <w:rFonts w:ascii="Georgia" w:hAnsi="Georgia" w:cs="Arial"/>
          <w:spacing w:val="-3"/>
          <w:sz w:val="24"/>
          <w:szCs w:val="24"/>
        </w:rPr>
      </w:pPr>
    </w:p>
    <w:p w14:paraId="3951A7D6" w14:textId="0D4F5509" w:rsidR="003E4458" w:rsidRPr="00724B5D" w:rsidRDefault="003E4458" w:rsidP="00724B5D">
      <w:pPr>
        <w:suppressAutoHyphens/>
        <w:spacing w:line="276" w:lineRule="auto"/>
        <w:jc w:val="both"/>
        <w:rPr>
          <w:rFonts w:ascii="Georgia" w:hAnsi="Georgia" w:cs="Arial"/>
          <w:spacing w:val="-3"/>
          <w:sz w:val="24"/>
          <w:szCs w:val="24"/>
        </w:rPr>
      </w:pPr>
      <w:r w:rsidRPr="00724B5D">
        <w:rPr>
          <w:rFonts w:ascii="Georgia" w:hAnsi="Georgia" w:cs="Arial"/>
          <w:spacing w:val="-3"/>
          <w:sz w:val="24"/>
          <w:szCs w:val="24"/>
        </w:rPr>
        <w:t xml:space="preserve">Establece el artículo 133-8º del CGP, que cuando se práctica </w:t>
      </w:r>
      <w:r w:rsidR="00804561" w:rsidRPr="00724B5D">
        <w:rPr>
          <w:rFonts w:ascii="Georgia" w:hAnsi="Georgia" w:cs="Arial"/>
          <w:spacing w:val="-3"/>
          <w:sz w:val="24"/>
          <w:szCs w:val="24"/>
        </w:rPr>
        <w:t xml:space="preserve">de manera </w:t>
      </w:r>
      <w:r w:rsidRPr="00724B5D">
        <w:rPr>
          <w:rFonts w:ascii="Georgia" w:hAnsi="Georgia" w:cs="Arial"/>
          <w:spacing w:val="-3"/>
          <w:sz w:val="24"/>
          <w:szCs w:val="24"/>
        </w:rPr>
        <w:t>indebida, valga decir</w:t>
      </w:r>
      <w:r w:rsidR="00AC25DA" w:rsidRPr="00724B5D">
        <w:rPr>
          <w:rFonts w:ascii="Georgia" w:hAnsi="Georgia" w:cs="Arial"/>
          <w:spacing w:val="-3"/>
          <w:sz w:val="24"/>
          <w:szCs w:val="24"/>
        </w:rPr>
        <w:t>,</w:t>
      </w:r>
      <w:r w:rsidRPr="00724B5D">
        <w:rPr>
          <w:rFonts w:ascii="Georgia" w:hAnsi="Georgia" w:cs="Arial"/>
          <w:spacing w:val="-3"/>
          <w:sz w:val="24"/>
          <w:szCs w:val="24"/>
        </w:rPr>
        <w:t xml:space="preserve"> no se hace en forma legal, </w:t>
      </w:r>
      <w:r w:rsidRPr="00724B5D">
        <w:rPr>
          <w:rFonts w:ascii="Georgia" w:hAnsi="Georgia" w:cs="Arial"/>
          <w:b/>
          <w:bCs/>
          <w:spacing w:val="-3"/>
          <w:sz w:val="24"/>
          <w:szCs w:val="24"/>
        </w:rPr>
        <w:t>(i)</w:t>
      </w:r>
      <w:r w:rsidRPr="00724B5D">
        <w:rPr>
          <w:rFonts w:ascii="Georgia" w:hAnsi="Georgia" w:cs="Arial"/>
          <w:spacing w:val="-3"/>
          <w:sz w:val="24"/>
          <w:szCs w:val="24"/>
        </w:rPr>
        <w:t xml:space="preserve"> La notificación a las personas determinadas, cuando la ley ordena, que deban ser citadas como partes o como sucesores de quien es parte; o </w:t>
      </w:r>
      <w:r w:rsidRPr="00724B5D">
        <w:rPr>
          <w:rFonts w:ascii="Georgia" w:hAnsi="Georgia" w:cs="Arial"/>
          <w:b/>
          <w:bCs/>
          <w:spacing w:val="-3"/>
          <w:sz w:val="24"/>
          <w:szCs w:val="24"/>
        </w:rPr>
        <w:t>(ii)</w:t>
      </w:r>
      <w:r w:rsidRPr="00724B5D">
        <w:rPr>
          <w:rFonts w:ascii="Georgia" w:hAnsi="Georgia" w:cs="Arial"/>
          <w:spacing w:val="-3"/>
          <w:sz w:val="24"/>
          <w:szCs w:val="24"/>
        </w:rPr>
        <w:t xml:space="preserve"> El emplazamiento de las demás personas aunque sean indeterminadas; será nula la actuación posterior que dependa de dicha comunicación, salvo que quien dejó de </w:t>
      </w:r>
      <w:r w:rsidR="00AC25DA" w:rsidRPr="00724B5D">
        <w:rPr>
          <w:rFonts w:ascii="Georgia" w:hAnsi="Georgia" w:cs="Arial"/>
          <w:spacing w:val="-3"/>
          <w:sz w:val="24"/>
          <w:szCs w:val="24"/>
        </w:rPr>
        <w:t xml:space="preserve">ser </w:t>
      </w:r>
      <w:r w:rsidRPr="00724B5D">
        <w:rPr>
          <w:rFonts w:ascii="Georgia" w:hAnsi="Georgia" w:cs="Arial"/>
          <w:spacing w:val="-3"/>
          <w:sz w:val="24"/>
          <w:szCs w:val="24"/>
        </w:rPr>
        <w:t>notifica</w:t>
      </w:r>
      <w:r w:rsidR="00AC25DA" w:rsidRPr="00724B5D">
        <w:rPr>
          <w:rFonts w:ascii="Georgia" w:hAnsi="Georgia" w:cs="Arial"/>
          <w:spacing w:val="-3"/>
          <w:sz w:val="24"/>
          <w:szCs w:val="24"/>
        </w:rPr>
        <w:t>do</w:t>
      </w:r>
      <w:r w:rsidRPr="00724B5D">
        <w:rPr>
          <w:rFonts w:ascii="Georgia" w:hAnsi="Georgia" w:cs="Arial"/>
          <w:spacing w:val="-3"/>
          <w:sz w:val="24"/>
          <w:szCs w:val="24"/>
        </w:rPr>
        <w:t xml:space="preserve"> haya actuado sin proponerla (Artículo 136-4º, CGP)</w:t>
      </w:r>
      <w:r w:rsidR="005E0A6F" w:rsidRPr="00724B5D">
        <w:rPr>
          <w:rFonts w:ascii="Georgia" w:hAnsi="Georgia" w:cs="Arial"/>
          <w:spacing w:val="-3"/>
          <w:sz w:val="24"/>
          <w:szCs w:val="24"/>
        </w:rPr>
        <w:t>.</w:t>
      </w:r>
      <w:r w:rsidRPr="00724B5D">
        <w:rPr>
          <w:rFonts w:ascii="Georgia" w:hAnsi="Georgia" w:cs="Arial"/>
          <w:spacing w:val="-3"/>
          <w:sz w:val="24"/>
          <w:szCs w:val="24"/>
        </w:rPr>
        <w:t xml:space="preserve"> </w:t>
      </w:r>
    </w:p>
    <w:p w14:paraId="7F72CB5C" w14:textId="2213C913" w:rsidR="006C6842" w:rsidRPr="00724B5D" w:rsidRDefault="006C6842" w:rsidP="00724B5D">
      <w:pPr>
        <w:spacing w:line="276" w:lineRule="auto"/>
        <w:ind w:right="51"/>
        <w:jc w:val="both"/>
        <w:rPr>
          <w:rFonts w:ascii="Georgia" w:hAnsi="Georgia" w:cs="Arial"/>
          <w:sz w:val="24"/>
          <w:szCs w:val="24"/>
        </w:rPr>
      </w:pPr>
    </w:p>
    <w:p w14:paraId="135CFD91" w14:textId="7AED1CA0" w:rsidR="003E4458" w:rsidRPr="00724B5D" w:rsidRDefault="003E4458" w:rsidP="00724B5D">
      <w:pPr>
        <w:pStyle w:val="Prrafodelista"/>
        <w:numPr>
          <w:ilvl w:val="1"/>
          <w:numId w:val="1"/>
        </w:numPr>
        <w:tabs>
          <w:tab w:val="left" w:pos="-720"/>
        </w:tabs>
        <w:suppressAutoHyphens/>
        <w:spacing w:line="276" w:lineRule="auto"/>
        <w:jc w:val="both"/>
        <w:rPr>
          <w:rFonts w:ascii="Georgia" w:hAnsi="Georgia" w:cs="Arial"/>
          <w:smallCaps/>
          <w:spacing w:val="-3"/>
          <w:sz w:val="24"/>
          <w:szCs w:val="24"/>
        </w:rPr>
      </w:pPr>
      <w:r w:rsidRPr="00724B5D">
        <w:rPr>
          <w:rFonts w:ascii="Georgia" w:hAnsi="Georgia" w:cs="Arial"/>
          <w:smallCaps/>
          <w:spacing w:val="-3"/>
          <w:sz w:val="24"/>
          <w:szCs w:val="24"/>
        </w:rPr>
        <w:t>L</w:t>
      </w:r>
      <w:r w:rsidR="00AE612F" w:rsidRPr="00724B5D">
        <w:rPr>
          <w:rFonts w:ascii="Georgia" w:hAnsi="Georgia" w:cs="Arial"/>
          <w:smallCaps/>
          <w:spacing w:val="-3"/>
          <w:sz w:val="24"/>
          <w:szCs w:val="24"/>
        </w:rPr>
        <w:t xml:space="preserve">os titulares de derechos reales </w:t>
      </w:r>
      <w:r w:rsidRPr="00724B5D">
        <w:rPr>
          <w:rFonts w:ascii="Georgia" w:hAnsi="Georgia" w:cs="Arial"/>
          <w:smallCaps/>
          <w:spacing w:val="-3"/>
          <w:sz w:val="24"/>
          <w:szCs w:val="24"/>
        </w:rPr>
        <w:t xml:space="preserve">en </w:t>
      </w:r>
      <w:r w:rsidR="001A76DE" w:rsidRPr="00724B5D">
        <w:rPr>
          <w:rFonts w:ascii="Georgia" w:hAnsi="Georgia" w:cs="Arial"/>
          <w:smallCaps/>
          <w:spacing w:val="-3"/>
          <w:sz w:val="24"/>
          <w:szCs w:val="24"/>
        </w:rPr>
        <w:t xml:space="preserve">la </w:t>
      </w:r>
      <w:r w:rsidR="00DE1B09" w:rsidRPr="00724B5D">
        <w:rPr>
          <w:rFonts w:ascii="Georgia" w:hAnsi="Georgia" w:cs="Arial"/>
          <w:smallCaps/>
          <w:spacing w:val="-3"/>
          <w:sz w:val="24"/>
          <w:szCs w:val="24"/>
        </w:rPr>
        <w:t>servidumbre de conducción eléctrica</w:t>
      </w:r>
      <w:r w:rsidRPr="00724B5D">
        <w:rPr>
          <w:rFonts w:ascii="Georgia" w:hAnsi="Georgia" w:cs="Arial"/>
          <w:smallCaps/>
          <w:spacing w:val="-3"/>
          <w:sz w:val="24"/>
          <w:szCs w:val="24"/>
        </w:rPr>
        <w:t xml:space="preserve"> </w:t>
      </w:r>
    </w:p>
    <w:p w14:paraId="7178666F" w14:textId="77777777" w:rsidR="003E4458" w:rsidRPr="00724B5D" w:rsidRDefault="003E4458" w:rsidP="00724B5D">
      <w:pPr>
        <w:tabs>
          <w:tab w:val="left" w:pos="-720"/>
        </w:tabs>
        <w:suppressAutoHyphens/>
        <w:spacing w:line="276" w:lineRule="auto"/>
        <w:jc w:val="both"/>
        <w:rPr>
          <w:rFonts w:ascii="Georgia" w:hAnsi="Georgia" w:cs="Arial"/>
          <w:spacing w:val="-3"/>
          <w:sz w:val="24"/>
          <w:szCs w:val="24"/>
          <w:lang w:val="es-MX"/>
        </w:rPr>
      </w:pPr>
    </w:p>
    <w:p w14:paraId="5B981077" w14:textId="598547B1" w:rsidR="003E4458" w:rsidRPr="00724B5D" w:rsidRDefault="003E4458" w:rsidP="00724B5D">
      <w:pPr>
        <w:tabs>
          <w:tab w:val="left" w:pos="-720"/>
        </w:tabs>
        <w:suppressAutoHyphens/>
        <w:spacing w:line="276" w:lineRule="auto"/>
        <w:jc w:val="both"/>
        <w:rPr>
          <w:rFonts w:ascii="Georgia" w:hAnsi="Georgia" w:cs="Arial"/>
          <w:spacing w:val="-3"/>
          <w:sz w:val="24"/>
          <w:szCs w:val="24"/>
          <w:lang w:val="es-MX"/>
        </w:rPr>
      </w:pPr>
      <w:r w:rsidRPr="00724B5D">
        <w:rPr>
          <w:rFonts w:ascii="Georgia" w:hAnsi="Georgia" w:cs="Arial"/>
          <w:spacing w:val="-3"/>
          <w:sz w:val="24"/>
          <w:szCs w:val="24"/>
          <w:lang w:val="es-MX"/>
        </w:rPr>
        <w:t>Siempre que se</w:t>
      </w:r>
      <w:r w:rsidR="00FA3E72" w:rsidRPr="00724B5D">
        <w:rPr>
          <w:rFonts w:ascii="Georgia" w:hAnsi="Georgia" w:cs="Arial"/>
          <w:spacing w:val="-3"/>
          <w:sz w:val="24"/>
          <w:szCs w:val="24"/>
          <w:lang w:val="es-MX"/>
        </w:rPr>
        <w:t xml:space="preserve"> solicite la autorización judicial para imponer una servidumbre</w:t>
      </w:r>
      <w:r w:rsidRPr="00724B5D">
        <w:rPr>
          <w:rFonts w:ascii="Georgia" w:hAnsi="Georgia" w:cs="Arial"/>
          <w:spacing w:val="-3"/>
          <w:sz w:val="24"/>
          <w:szCs w:val="24"/>
          <w:lang w:val="es-MX"/>
        </w:rPr>
        <w:t>, tal como pregona la doctrina patria</w:t>
      </w:r>
      <w:r w:rsidRPr="00724B5D">
        <w:rPr>
          <w:rStyle w:val="Refdenotaalpie"/>
          <w:rFonts w:ascii="Georgia" w:hAnsi="Georgia"/>
          <w:spacing w:val="-3"/>
          <w:sz w:val="24"/>
          <w:szCs w:val="24"/>
          <w:lang w:val="es-MX"/>
        </w:rPr>
        <w:footnoteReference w:id="8"/>
      </w:r>
      <w:r w:rsidRPr="00724B5D">
        <w:rPr>
          <w:rFonts w:ascii="Georgia" w:hAnsi="Georgia" w:cs="Arial"/>
          <w:spacing w:val="-3"/>
          <w:sz w:val="24"/>
          <w:szCs w:val="24"/>
          <w:vertAlign w:val="superscript"/>
          <w:lang w:val="es-MX"/>
        </w:rPr>
        <w:t>-</w:t>
      </w:r>
      <w:r w:rsidRPr="00724B5D">
        <w:rPr>
          <w:rStyle w:val="Refdenotaalpie"/>
          <w:rFonts w:ascii="Georgia" w:hAnsi="Georgia"/>
          <w:spacing w:val="-3"/>
          <w:sz w:val="24"/>
          <w:szCs w:val="24"/>
          <w:lang w:val="es-MX"/>
        </w:rPr>
        <w:footnoteReference w:id="9"/>
      </w:r>
      <w:r w:rsidR="009D3970" w:rsidRPr="00724B5D">
        <w:rPr>
          <w:rFonts w:ascii="Georgia" w:hAnsi="Georgia" w:cs="Arial"/>
          <w:spacing w:val="-3"/>
          <w:sz w:val="24"/>
          <w:szCs w:val="24"/>
          <w:lang w:val="es-MX"/>
        </w:rPr>
        <w:t xml:space="preserve">, deben citarse los titulares de derechos reales </w:t>
      </w:r>
      <w:r w:rsidR="009D3D9B" w:rsidRPr="00724B5D">
        <w:rPr>
          <w:rFonts w:ascii="Georgia" w:hAnsi="Georgia" w:cs="Arial"/>
          <w:spacing w:val="-3"/>
          <w:sz w:val="24"/>
          <w:szCs w:val="24"/>
          <w:lang w:val="es-MX"/>
        </w:rPr>
        <w:t xml:space="preserve">sobre los </w:t>
      </w:r>
      <w:r w:rsidR="009D3D9B" w:rsidRPr="00724B5D">
        <w:rPr>
          <w:rFonts w:ascii="Georgia" w:hAnsi="Georgia" w:cs="Arial"/>
          <w:spacing w:val="-3"/>
          <w:sz w:val="24"/>
          <w:szCs w:val="24"/>
          <w:lang w:val="es-MX"/>
        </w:rPr>
        <w:lastRenderedPageBreak/>
        <w:t>predios dominante y sirviente</w:t>
      </w:r>
      <w:r w:rsidR="003741A6" w:rsidRPr="00724B5D">
        <w:rPr>
          <w:rFonts w:ascii="Georgia" w:hAnsi="Georgia" w:cs="Arial"/>
          <w:spacing w:val="-3"/>
          <w:sz w:val="24"/>
          <w:szCs w:val="24"/>
          <w:lang w:val="es-MX"/>
        </w:rPr>
        <w:t>, acorde con las anotaciones de</w:t>
      </w:r>
      <w:r w:rsidR="00890386" w:rsidRPr="00724B5D">
        <w:rPr>
          <w:rFonts w:ascii="Georgia" w:hAnsi="Georgia" w:cs="Arial"/>
          <w:spacing w:val="-3"/>
          <w:sz w:val="24"/>
          <w:szCs w:val="24"/>
          <w:lang w:val="es-MX"/>
        </w:rPr>
        <w:t xml:space="preserve"> </w:t>
      </w:r>
      <w:r w:rsidR="003741A6" w:rsidRPr="00724B5D">
        <w:rPr>
          <w:rFonts w:ascii="Georgia" w:hAnsi="Georgia" w:cs="Arial"/>
          <w:spacing w:val="-3"/>
          <w:sz w:val="24"/>
          <w:szCs w:val="24"/>
          <w:lang w:val="es-MX"/>
        </w:rPr>
        <w:t>l</w:t>
      </w:r>
      <w:r w:rsidR="00890386" w:rsidRPr="00724B5D">
        <w:rPr>
          <w:rFonts w:ascii="Georgia" w:hAnsi="Georgia" w:cs="Arial"/>
          <w:spacing w:val="-3"/>
          <w:sz w:val="24"/>
          <w:szCs w:val="24"/>
          <w:lang w:val="es-MX"/>
        </w:rPr>
        <w:t>os</w:t>
      </w:r>
      <w:r w:rsidR="003741A6" w:rsidRPr="00724B5D">
        <w:rPr>
          <w:rFonts w:ascii="Georgia" w:hAnsi="Georgia" w:cs="Arial"/>
          <w:spacing w:val="-3"/>
          <w:sz w:val="24"/>
          <w:szCs w:val="24"/>
          <w:lang w:val="es-MX"/>
        </w:rPr>
        <w:t xml:space="preserve"> certificado</w:t>
      </w:r>
      <w:r w:rsidR="00890386" w:rsidRPr="00724B5D">
        <w:rPr>
          <w:rFonts w:ascii="Georgia" w:hAnsi="Georgia" w:cs="Arial"/>
          <w:spacing w:val="-3"/>
          <w:sz w:val="24"/>
          <w:szCs w:val="24"/>
          <w:lang w:val="es-MX"/>
        </w:rPr>
        <w:t>s</w:t>
      </w:r>
      <w:r w:rsidR="003741A6" w:rsidRPr="00724B5D">
        <w:rPr>
          <w:rFonts w:ascii="Georgia" w:hAnsi="Georgia" w:cs="Arial"/>
          <w:spacing w:val="-3"/>
          <w:sz w:val="24"/>
          <w:szCs w:val="24"/>
          <w:lang w:val="es-MX"/>
        </w:rPr>
        <w:t xml:space="preserve"> de </w:t>
      </w:r>
      <w:r w:rsidR="00DE1B09" w:rsidRPr="00724B5D">
        <w:rPr>
          <w:rFonts w:ascii="Georgia" w:hAnsi="Georgia" w:cs="Arial"/>
          <w:spacing w:val="-3"/>
          <w:sz w:val="24"/>
          <w:szCs w:val="24"/>
          <w:lang w:val="es-MX"/>
        </w:rPr>
        <w:t>instrumentos públicos aportado</w:t>
      </w:r>
      <w:r w:rsidR="00890386" w:rsidRPr="00724B5D">
        <w:rPr>
          <w:rFonts w:ascii="Georgia" w:hAnsi="Georgia" w:cs="Arial"/>
          <w:spacing w:val="-3"/>
          <w:sz w:val="24"/>
          <w:szCs w:val="24"/>
          <w:lang w:val="es-MX"/>
        </w:rPr>
        <w:t>s</w:t>
      </w:r>
      <w:r w:rsidR="00DE1B09" w:rsidRPr="00724B5D">
        <w:rPr>
          <w:rFonts w:ascii="Georgia" w:hAnsi="Georgia" w:cs="Arial"/>
          <w:spacing w:val="-3"/>
          <w:sz w:val="24"/>
          <w:szCs w:val="24"/>
          <w:lang w:val="es-MX"/>
        </w:rPr>
        <w:t xml:space="preserve"> </w:t>
      </w:r>
      <w:r w:rsidR="00890386" w:rsidRPr="00724B5D">
        <w:rPr>
          <w:rFonts w:ascii="Georgia" w:hAnsi="Georgia" w:cs="Arial"/>
          <w:spacing w:val="-3"/>
          <w:sz w:val="24"/>
          <w:szCs w:val="24"/>
          <w:lang w:val="es-MX"/>
        </w:rPr>
        <w:t>co</w:t>
      </w:r>
      <w:r w:rsidR="00DE1B09" w:rsidRPr="00724B5D">
        <w:rPr>
          <w:rFonts w:ascii="Georgia" w:hAnsi="Georgia" w:cs="Arial"/>
          <w:spacing w:val="-3"/>
          <w:sz w:val="24"/>
          <w:szCs w:val="24"/>
          <w:lang w:val="es-MX"/>
        </w:rPr>
        <w:t xml:space="preserve">n la demanda. </w:t>
      </w:r>
    </w:p>
    <w:p w14:paraId="6C15975F" w14:textId="4B266E38" w:rsidR="003E4458" w:rsidRPr="00724B5D" w:rsidRDefault="003E4458" w:rsidP="00724B5D">
      <w:pPr>
        <w:spacing w:line="276" w:lineRule="auto"/>
        <w:ind w:right="51"/>
        <w:jc w:val="both"/>
        <w:rPr>
          <w:rFonts w:ascii="Georgia" w:hAnsi="Georgia" w:cs="Arial"/>
          <w:sz w:val="24"/>
          <w:szCs w:val="24"/>
        </w:rPr>
      </w:pPr>
    </w:p>
    <w:p w14:paraId="1C5F4438" w14:textId="747B454A" w:rsidR="00AC25DA" w:rsidRPr="00724B5D" w:rsidRDefault="6D1FD008" w:rsidP="00724B5D">
      <w:pPr>
        <w:spacing w:line="276" w:lineRule="auto"/>
        <w:ind w:right="51"/>
        <w:jc w:val="both"/>
        <w:rPr>
          <w:rFonts w:ascii="Georgia" w:hAnsi="Georgia" w:cs="Arial"/>
          <w:spacing w:val="-3"/>
          <w:sz w:val="24"/>
          <w:szCs w:val="24"/>
          <w:lang w:val="es-MX"/>
        </w:rPr>
      </w:pPr>
      <w:r w:rsidRPr="00724B5D">
        <w:rPr>
          <w:rFonts w:ascii="Georgia" w:hAnsi="Georgia" w:cs="Arial"/>
          <w:spacing w:val="-3"/>
          <w:sz w:val="24"/>
          <w:szCs w:val="24"/>
          <w:lang w:val="es-MX"/>
        </w:rPr>
        <w:t>L</w:t>
      </w:r>
      <w:r w:rsidR="00AC25DA" w:rsidRPr="00724B5D">
        <w:rPr>
          <w:rFonts w:ascii="Georgia" w:hAnsi="Georgia" w:cs="Arial"/>
          <w:spacing w:val="-3"/>
          <w:sz w:val="24"/>
          <w:szCs w:val="24"/>
          <w:lang w:val="es-MX"/>
        </w:rPr>
        <w:t xml:space="preserve">as normas </w:t>
      </w:r>
      <w:r w:rsidR="28A77B94" w:rsidRPr="00724B5D">
        <w:rPr>
          <w:rFonts w:ascii="Georgia" w:hAnsi="Georgia" w:cs="Arial"/>
          <w:spacing w:val="-3"/>
          <w:sz w:val="24"/>
          <w:szCs w:val="24"/>
          <w:lang w:val="es-MX"/>
        </w:rPr>
        <w:t>d</w:t>
      </w:r>
      <w:r w:rsidR="00AC25DA" w:rsidRPr="00724B5D">
        <w:rPr>
          <w:rFonts w:ascii="Georgia" w:hAnsi="Georgia" w:cs="Arial"/>
          <w:spacing w:val="-3"/>
          <w:sz w:val="24"/>
          <w:szCs w:val="24"/>
          <w:lang w:val="es-MX"/>
        </w:rPr>
        <w:t>el proceso de servidumbre</w:t>
      </w:r>
      <w:r w:rsidR="1739E7A6" w:rsidRPr="00724B5D">
        <w:rPr>
          <w:rFonts w:ascii="Georgia" w:hAnsi="Georgia" w:cs="Arial"/>
          <w:spacing w:val="-3"/>
          <w:sz w:val="24"/>
          <w:szCs w:val="24"/>
          <w:lang w:val="es-MX"/>
        </w:rPr>
        <w:t xml:space="preserve"> en el </w:t>
      </w:r>
      <w:r w:rsidR="00AC25DA" w:rsidRPr="00724B5D">
        <w:rPr>
          <w:rFonts w:ascii="Georgia" w:hAnsi="Georgia" w:cs="Arial"/>
          <w:spacing w:val="-3"/>
          <w:sz w:val="24"/>
          <w:szCs w:val="24"/>
          <w:lang w:val="es-MX"/>
        </w:rPr>
        <w:t>anterior estat</w:t>
      </w:r>
      <w:r w:rsidR="00802F5E" w:rsidRPr="00724B5D">
        <w:rPr>
          <w:rFonts w:ascii="Georgia" w:hAnsi="Georgia" w:cs="Arial"/>
          <w:spacing w:val="-3"/>
          <w:sz w:val="24"/>
          <w:szCs w:val="24"/>
          <w:lang w:val="es-MX"/>
        </w:rPr>
        <w:t>uto y el vigente</w:t>
      </w:r>
      <w:r w:rsidR="001A76DE" w:rsidRPr="00724B5D">
        <w:rPr>
          <w:rFonts w:ascii="Georgia" w:hAnsi="Georgia" w:cs="Arial"/>
          <w:spacing w:val="-3"/>
          <w:sz w:val="24"/>
          <w:szCs w:val="24"/>
          <w:lang w:val="es-MX"/>
        </w:rPr>
        <w:t xml:space="preserve"> (Artículo </w:t>
      </w:r>
      <w:r w:rsidR="00714386" w:rsidRPr="00724B5D">
        <w:rPr>
          <w:rFonts w:ascii="Georgia" w:hAnsi="Georgia" w:cs="Arial"/>
          <w:spacing w:val="-3"/>
          <w:sz w:val="24"/>
          <w:szCs w:val="24"/>
          <w:lang w:val="es-MX"/>
        </w:rPr>
        <w:t xml:space="preserve">415, CPC </w:t>
      </w:r>
      <w:r w:rsidR="001A76DE" w:rsidRPr="00724B5D">
        <w:rPr>
          <w:rFonts w:ascii="Georgia" w:hAnsi="Georgia" w:cs="Arial"/>
          <w:spacing w:val="-3"/>
          <w:sz w:val="24"/>
          <w:szCs w:val="24"/>
          <w:lang w:val="es-MX"/>
        </w:rPr>
        <w:t>a</w:t>
      </w:r>
      <w:r w:rsidR="00714386" w:rsidRPr="00724B5D">
        <w:rPr>
          <w:rFonts w:ascii="Georgia" w:hAnsi="Georgia" w:cs="Arial"/>
          <w:spacing w:val="-3"/>
          <w:sz w:val="24"/>
          <w:szCs w:val="24"/>
          <w:lang w:val="es-MX"/>
        </w:rPr>
        <w:t>hora</w:t>
      </w:r>
      <w:r w:rsidR="001A76DE" w:rsidRPr="00724B5D">
        <w:rPr>
          <w:rFonts w:ascii="Georgia" w:hAnsi="Georgia" w:cs="Arial"/>
          <w:spacing w:val="-3"/>
          <w:sz w:val="24"/>
          <w:szCs w:val="24"/>
          <w:lang w:val="es-MX"/>
        </w:rPr>
        <w:t xml:space="preserve"> </w:t>
      </w:r>
      <w:r w:rsidR="00714386" w:rsidRPr="00724B5D">
        <w:rPr>
          <w:rFonts w:ascii="Georgia" w:hAnsi="Georgia" w:cs="Arial"/>
          <w:spacing w:val="-3"/>
          <w:sz w:val="24"/>
          <w:szCs w:val="24"/>
          <w:lang w:val="es-MX"/>
        </w:rPr>
        <w:t>376, CGP</w:t>
      </w:r>
      <w:r w:rsidR="001A76DE" w:rsidRPr="00724B5D">
        <w:rPr>
          <w:rFonts w:ascii="Georgia" w:hAnsi="Georgia" w:cs="Arial"/>
          <w:spacing w:val="-3"/>
          <w:sz w:val="24"/>
          <w:szCs w:val="24"/>
          <w:lang w:val="es-MX"/>
        </w:rPr>
        <w:t>)</w:t>
      </w:r>
      <w:r w:rsidR="00802F5E" w:rsidRPr="00724B5D">
        <w:rPr>
          <w:rFonts w:ascii="Georgia" w:hAnsi="Georgia" w:cs="Arial"/>
          <w:spacing w:val="-3"/>
          <w:sz w:val="24"/>
          <w:szCs w:val="24"/>
          <w:lang w:val="es-MX"/>
        </w:rPr>
        <w:t>, guardan diferencia</w:t>
      </w:r>
      <w:r w:rsidR="402947FB" w:rsidRPr="00724B5D">
        <w:rPr>
          <w:rFonts w:ascii="Georgia" w:hAnsi="Georgia" w:cs="Arial"/>
          <w:spacing w:val="-3"/>
          <w:sz w:val="24"/>
          <w:szCs w:val="24"/>
          <w:lang w:val="es-MX"/>
        </w:rPr>
        <w:t>, pues aquel</w:t>
      </w:r>
      <w:r w:rsidR="001A76DE" w:rsidRPr="00724B5D">
        <w:rPr>
          <w:rFonts w:ascii="Georgia" w:hAnsi="Georgia" w:cs="Arial"/>
          <w:spacing w:val="-3"/>
          <w:sz w:val="24"/>
          <w:szCs w:val="24"/>
          <w:lang w:val="es-MX"/>
        </w:rPr>
        <w:t xml:space="preserve"> </w:t>
      </w:r>
      <w:r w:rsidR="00802F5E" w:rsidRPr="00724B5D">
        <w:rPr>
          <w:rFonts w:ascii="Georgia" w:hAnsi="Georgia" w:cs="Arial"/>
          <w:spacing w:val="-3"/>
          <w:sz w:val="24"/>
          <w:szCs w:val="24"/>
          <w:lang w:val="es-MX"/>
        </w:rPr>
        <w:t xml:space="preserve">disponía la citación </w:t>
      </w:r>
      <w:r w:rsidR="001A76DE" w:rsidRPr="00724B5D">
        <w:rPr>
          <w:rFonts w:ascii="Georgia" w:hAnsi="Georgia" w:cs="Arial"/>
          <w:spacing w:val="-3"/>
          <w:sz w:val="24"/>
          <w:szCs w:val="24"/>
          <w:lang w:val="es-MX"/>
        </w:rPr>
        <w:t xml:space="preserve">solo </w:t>
      </w:r>
      <w:r w:rsidR="1594C4D5" w:rsidRPr="00724B5D">
        <w:rPr>
          <w:rFonts w:ascii="Georgia" w:hAnsi="Georgia" w:cs="Arial"/>
          <w:spacing w:val="-3"/>
          <w:sz w:val="24"/>
          <w:szCs w:val="24"/>
          <w:lang w:val="es-MX"/>
        </w:rPr>
        <w:t xml:space="preserve">de </w:t>
      </w:r>
      <w:r w:rsidR="00802F5E" w:rsidRPr="00724B5D">
        <w:rPr>
          <w:rFonts w:ascii="Georgia" w:hAnsi="Georgia" w:cs="Arial"/>
          <w:spacing w:val="-3"/>
          <w:sz w:val="24"/>
          <w:szCs w:val="24"/>
          <w:lang w:val="es-MX"/>
        </w:rPr>
        <w:t xml:space="preserve">los titulares de derechos reales </w:t>
      </w:r>
      <w:r w:rsidR="00802F5E" w:rsidRPr="00724B5D">
        <w:rPr>
          <w:rFonts w:ascii="Georgia" w:hAnsi="Georgia" w:cs="Arial"/>
          <w:b/>
          <w:bCs/>
          <w:spacing w:val="-3"/>
          <w:sz w:val="24"/>
          <w:szCs w:val="24"/>
          <w:lang w:val="es-MX"/>
        </w:rPr>
        <w:t>principales</w:t>
      </w:r>
      <w:r w:rsidR="001A76DE" w:rsidRPr="00724B5D">
        <w:rPr>
          <w:rFonts w:ascii="Georgia" w:hAnsi="Georgia" w:cs="Arial"/>
          <w:b/>
          <w:bCs/>
          <w:spacing w:val="-3"/>
          <w:sz w:val="24"/>
          <w:szCs w:val="24"/>
          <w:lang w:val="es-MX"/>
        </w:rPr>
        <w:t xml:space="preserve"> </w:t>
      </w:r>
      <w:r w:rsidR="001A76DE" w:rsidRPr="00724B5D">
        <w:rPr>
          <w:rFonts w:ascii="Georgia" w:hAnsi="Georgia" w:cs="Arial"/>
          <w:spacing w:val="-3"/>
          <w:sz w:val="24"/>
          <w:szCs w:val="24"/>
          <w:lang w:val="es-MX"/>
        </w:rPr>
        <w:t>y ahora</w:t>
      </w:r>
      <w:r w:rsidR="2416D86C" w:rsidRPr="00724B5D">
        <w:rPr>
          <w:rFonts w:ascii="Georgia" w:hAnsi="Georgia" w:cs="Arial"/>
          <w:spacing w:val="-3"/>
          <w:sz w:val="24"/>
          <w:szCs w:val="24"/>
          <w:lang w:val="es-MX"/>
        </w:rPr>
        <w:t xml:space="preserve">, se eliminó esa expresión, de tal suerte que se entiende que </w:t>
      </w:r>
      <w:r w:rsidR="001A76DE" w:rsidRPr="00724B5D">
        <w:rPr>
          <w:rFonts w:ascii="Georgia" w:hAnsi="Georgia" w:cs="Arial"/>
          <w:spacing w:val="-3"/>
          <w:sz w:val="24"/>
          <w:szCs w:val="24"/>
          <w:lang w:val="es-MX"/>
        </w:rPr>
        <w:t xml:space="preserve">están incluidos </w:t>
      </w:r>
      <w:r w:rsidR="25577ED4" w:rsidRPr="00724B5D">
        <w:rPr>
          <w:rFonts w:ascii="Georgia" w:hAnsi="Georgia" w:cs="Arial"/>
          <w:spacing w:val="-3"/>
          <w:sz w:val="24"/>
          <w:szCs w:val="24"/>
          <w:lang w:val="es-MX"/>
        </w:rPr>
        <w:t xml:space="preserve">los </w:t>
      </w:r>
      <w:r w:rsidR="3A46E3B9" w:rsidRPr="00724B5D">
        <w:rPr>
          <w:rFonts w:ascii="Georgia" w:hAnsi="Georgia" w:cs="Arial"/>
          <w:spacing w:val="-3"/>
          <w:sz w:val="24"/>
          <w:szCs w:val="24"/>
          <w:lang w:val="es-MX"/>
        </w:rPr>
        <w:t>accesorios</w:t>
      </w:r>
      <w:r w:rsidR="00804561" w:rsidRPr="00724B5D">
        <w:rPr>
          <w:rFonts w:ascii="Georgia" w:hAnsi="Georgia" w:cs="Arial"/>
          <w:spacing w:val="-3"/>
          <w:sz w:val="24"/>
          <w:szCs w:val="24"/>
          <w:lang w:val="es-MX"/>
        </w:rPr>
        <w:t>, lo cual resulta ser más garantista,</w:t>
      </w:r>
      <w:r w:rsidR="00E1340A" w:rsidRPr="00724B5D">
        <w:rPr>
          <w:rFonts w:ascii="Georgia" w:hAnsi="Georgia" w:cs="Arial"/>
          <w:spacing w:val="-3"/>
          <w:sz w:val="24"/>
          <w:szCs w:val="24"/>
          <w:lang w:val="es-MX"/>
        </w:rPr>
        <w:t xml:space="preserve"> pues, en todo caso, quienes los tienen a su favor, no quedarán iner</w:t>
      </w:r>
      <w:r w:rsidR="1EF0E870" w:rsidRPr="00724B5D">
        <w:rPr>
          <w:rFonts w:ascii="Georgia" w:hAnsi="Georgia" w:cs="Arial"/>
          <w:spacing w:val="-3"/>
          <w:sz w:val="24"/>
          <w:szCs w:val="24"/>
          <w:lang w:val="es-MX"/>
        </w:rPr>
        <w:t>m</w:t>
      </w:r>
      <w:r w:rsidR="00E1340A" w:rsidRPr="00724B5D">
        <w:rPr>
          <w:rFonts w:ascii="Georgia" w:hAnsi="Georgia" w:cs="Arial"/>
          <w:spacing w:val="-3"/>
          <w:sz w:val="24"/>
          <w:szCs w:val="24"/>
          <w:lang w:val="es-MX"/>
        </w:rPr>
        <w:t>es ante una eventual mengua de sus intereses</w:t>
      </w:r>
      <w:r w:rsidR="00A90D88" w:rsidRPr="00724B5D">
        <w:rPr>
          <w:rFonts w:ascii="Georgia" w:hAnsi="Georgia" w:cs="Arial"/>
          <w:spacing w:val="-3"/>
          <w:sz w:val="24"/>
          <w:szCs w:val="24"/>
          <w:lang w:val="es-MX"/>
        </w:rPr>
        <w:t>,</w:t>
      </w:r>
      <w:r w:rsidR="00E1340A" w:rsidRPr="00724B5D">
        <w:rPr>
          <w:rFonts w:ascii="Georgia" w:hAnsi="Georgia" w:cs="Arial"/>
          <w:spacing w:val="-3"/>
          <w:sz w:val="24"/>
          <w:szCs w:val="24"/>
          <w:lang w:val="es-MX"/>
        </w:rPr>
        <w:t xml:space="preserve"> en la cosa sobre la cual constituyeron determinado gravamen.</w:t>
      </w:r>
    </w:p>
    <w:p w14:paraId="5AEEB635" w14:textId="77777777" w:rsidR="00E1340A" w:rsidRPr="00724B5D" w:rsidRDefault="00E1340A" w:rsidP="00724B5D">
      <w:pPr>
        <w:spacing w:line="276" w:lineRule="auto"/>
        <w:ind w:right="51"/>
        <w:jc w:val="both"/>
        <w:rPr>
          <w:rFonts w:ascii="Georgia" w:hAnsi="Georgia" w:cs="Arial"/>
          <w:spacing w:val="-3"/>
          <w:sz w:val="24"/>
          <w:szCs w:val="24"/>
          <w:lang w:val="es-MX"/>
        </w:rPr>
      </w:pPr>
    </w:p>
    <w:p w14:paraId="33B89BB7" w14:textId="66FA4FF6" w:rsidR="00804561" w:rsidRPr="00724B5D" w:rsidRDefault="652D96D9" w:rsidP="00724B5D">
      <w:pPr>
        <w:suppressAutoHyphens/>
        <w:spacing w:line="276" w:lineRule="auto"/>
        <w:jc w:val="both"/>
        <w:rPr>
          <w:rFonts w:ascii="Georgia" w:hAnsi="Georgia" w:cs="Arial"/>
          <w:spacing w:val="-3"/>
          <w:sz w:val="24"/>
          <w:szCs w:val="24"/>
          <w:lang w:val="es-MX"/>
        </w:rPr>
      </w:pPr>
      <w:r w:rsidRPr="00724B5D">
        <w:rPr>
          <w:rFonts w:ascii="Georgia" w:hAnsi="Georgia" w:cs="Arial"/>
          <w:spacing w:val="-3"/>
          <w:sz w:val="24"/>
          <w:szCs w:val="24"/>
          <w:lang w:val="es-MX"/>
        </w:rPr>
        <w:t xml:space="preserve">Dice </w:t>
      </w:r>
      <w:r w:rsidR="00804561" w:rsidRPr="00724B5D">
        <w:rPr>
          <w:rFonts w:ascii="Georgia" w:hAnsi="Georgia" w:cs="Arial"/>
          <w:spacing w:val="-3"/>
          <w:sz w:val="24"/>
          <w:szCs w:val="24"/>
          <w:lang w:val="es-MX"/>
        </w:rPr>
        <w:t>el profesor Azula C.</w:t>
      </w:r>
      <w:r w:rsidR="00804561" w:rsidRPr="00724B5D">
        <w:rPr>
          <w:rStyle w:val="Refdenotaalpie"/>
          <w:rFonts w:ascii="Georgia" w:hAnsi="Georgia"/>
          <w:spacing w:val="-3"/>
          <w:sz w:val="24"/>
          <w:szCs w:val="24"/>
          <w:lang w:val="es-MX"/>
        </w:rPr>
        <w:footnoteReference w:id="10"/>
      </w:r>
      <w:r w:rsidR="00804561" w:rsidRPr="00724B5D">
        <w:rPr>
          <w:rFonts w:ascii="Georgia" w:hAnsi="Georgia" w:cs="Arial"/>
          <w:spacing w:val="-3"/>
          <w:sz w:val="24"/>
          <w:szCs w:val="24"/>
          <w:lang w:val="es-MX"/>
        </w:rPr>
        <w:t>, en su obra, que esta regla de vinculación aplica para la servidumbre especial de conducción eléctrica</w:t>
      </w:r>
      <w:r w:rsidR="74A2385F" w:rsidRPr="00724B5D">
        <w:rPr>
          <w:rFonts w:ascii="Georgia" w:hAnsi="Georgia" w:cs="Arial"/>
          <w:spacing w:val="-3"/>
          <w:sz w:val="24"/>
          <w:szCs w:val="24"/>
          <w:lang w:val="es-MX"/>
        </w:rPr>
        <w:t>;</w:t>
      </w:r>
      <w:r w:rsidR="00804561" w:rsidRPr="00724B5D">
        <w:rPr>
          <w:rFonts w:ascii="Georgia" w:hAnsi="Georgia" w:cs="Arial"/>
          <w:spacing w:val="-3"/>
          <w:sz w:val="24"/>
          <w:szCs w:val="24"/>
          <w:lang w:val="es-MX"/>
        </w:rPr>
        <w:t xml:space="preserve"> y</w:t>
      </w:r>
      <w:r w:rsidR="53B7B472" w:rsidRPr="00724B5D">
        <w:rPr>
          <w:rFonts w:ascii="Georgia" w:hAnsi="Georgia" w:cs="Arial"/>
          <w:spacing w:val="-3"/>
          <w:sz w:val="24"/>
          <w:szCs w:val="24"/>
          <w:lang w:val="es-MX"/>
        </w:rPr>
        <w:t>,</w:t>
      </w:r>
      <w:r w:rsidR="00804561" w:rsidRPr="00724B5D">
        <w:rPr>
          <w:rFonts w:ascii="Georgia" w:hAnsi="Georgia" w:cs="Arial"/>
          <w:spacing w:val="-3"/>
          <w:sz w:val="24"/>
          <w:szCs w:val="24"/>
          <w:lang w:val="es-MX"/>
        </w:rPr>
        <w:t xml:space="preserve"> </w:t>
      </w:r>
      <w:r w:rsidR="10AFB946" w:rsidRPr="00724B5D">
        <w:rPr>
          <w:rFonts w:ascii="Georgia" w:hAnsi="Georgia" w:cs="Arial"/>
          <w:spacing w:val="-3"/>
          <w:sz w:val="24"/>
          <w:szCs w:val="24"/>
          <w:lang w:val="es-MX"/>
        </w:rPr>
        <w:t xml:space="preserve">esta Sala </w:t>
      </w:r>
      <w:r w:rsidR="00285F3D" w:rsidRPr="00724B5D">
        <w:rPr>
          <w:rFonts w:ascii="Georgia" w:hAnsi="Georgia" w:cs="Arial"/>
          <w:spacing w:val="-3"/>
          <w:sz w:val="24"/>
          <w:szCs w:val="24"/>
          <w:lang w:val="es-MX"/>
        </w:rPr>
        <w:t>comparte</w:t>
      </w:r>
      <w:r w:rsidR="10AFB946" w:rsidRPr="00724B5D">
        <w:rPr>
          <w:rFonts w:ascii="Georgia" w:hAnsi="Georgia" w:cs="Arial"/>
          <w:spacing w:val="-3"/>
          <w:sz w:val="24"/>
          <w:szCs w:val="24"/>
          <w:lang w:val="es-MX"/>
        </w:rPr>
        <w:t xml:space="preserve"> esa conclusión, pues </w:t>
      </w:r>
      <w:r w:rsidR="00804561" w:rsidRPr="00724B5D">
        <w:rPr>
          <w:rFonts w:ascii="Georgia" w:hAnsi="Georgia" w:cs="Arial"/>
          <w:spacing w:val="-3"/>
          <w:sz w:val="24"/>
          <w:szCs w:val="24"/>
          <w:lang w:val="es-MX"/>
        </w:rPr>
        <w:t>aun cuando es un trámite que tiene una regulación especial</w:t>
      </w:r>
      <w:r w:rsidR="5C34B162" w:rsidRPr="00724B5D">
        <w:rPr>
          <w:rFonts w:ascii="Georgia" w:hAnsi="Georgia" w:cs="Arial"/>
          <w:spacing w:val="-3"/>
          <w:sz w:val="24"/>
          <w:szCs w:val="24"/>
          <w:lang w:val="es-MX"/>
        </w:rPr>
        <w:t>,</w:t>
      </w:r>
      <w:r w:rsidR="00804561" w:rsidRPr="00724B5D">
        <w:rPr>
          <w:rFonts w:ascii="Georgia" w:hAnsi="Georgia" w:cs="Arial"/>
          <w:spacing w:val="-3"/>
          <w:sz w:val="24"/>
          <w:szCs w:val="24"/>
          <w:lang w:val="es-MX"/>
        </w:rPr>
        <w:t xml:space="preserve"> lo cierto es que </w:t>
      </w:r>
      <w:r w:rsidR="05CC6362" w:rsidRPr="00724B5D">
        <w:rPr>
          <w:rFonts w:ascii="Georgia" w:hAnsi="Georgia" w:cs="Arial"/>
          <w:spacing w:val="-3"/>
          <w:sz w:val="24"/>
          <w:szCs w:val="24"/>
          <w:lang w:val="es-MX"/>
        </w:rPr>
        <w:t>esa</w:t>
      </w:r>
      <w:r w:rsidR="00804561" w:rsidRPr="00724B5D">
        <w:rPr>
          <w:rFonts w:ascii="Georgia" w:hAnsi="Georgia" w:cs="Arial"/>
          <w:spacing w:val="-3"/>
          <w:sz w:val="24"/>
          <w:szCs w:val="24"/>
          <w:lang w:val="es-MX"/>
        </w:rPr>
        <w:t xml:space="preserve"> normativa </w:t>
      </w:r>
      <w:r w:rsidR="45489D60" w:rsidRPr="00724B5D">
        <w:rPr>
          <w:rFonts w:ascii="Georgia" w:hAnsi="Georgia" w:cs="Arial"/>
          <w:spacing w:val="-3"/>
          <w:sz w:val="24"/>
          <w:szCs w:val="24"/>
          <w:lang w:val="es-MX"/>
        </w:rPr>
        <w:t>d</w:t>
      </w:r>
      <w:r w:rsidR="00804561" w:rsidRPr="00724B5D">
        <w:rPr>
          <w:rFonts w:ascii="Georgia" w:hAnsi="Georgia" w:cs="Arial"/>
          <w:spacing w:val="-3"/>
          <w:sz w:val="24"/>
          <w:szCs w:val="24"/>
          <w:lang w:val="es-MX"/>
        </w:rPr>
        <w:t>ispone que los vacíos deben llenarse con las reglas generales del procedimiento civil (Antes CPC</w:t>
      </w:r>
      <w:r w:rsidR="56C0D5C6" w:rsidRPr="00724B5D">
        <w:rPr>
          <w:rFonts w:ascii="Georgia" w:hAnsi="Georgia" w:cs="Arial"/>
          <w:spacing w:val="-3"/>
          <w:sz w:val="24"/>
          <w:szCs w:val="24"/>
          <w:lang w:val="es-MX"/>
        </w:rPr>
        <w:t>,</w:t>
      </w:r>
      <w:r w:rsidR="00804561" w:rsidRPr="00724B5D">
        <w:rPr>
          <w:rFonts w:ascii="Georgia" w:hAnsi="Georgia" w:cs="Arial"/>
          <w:spacing w:val="-3"/>
          <w:sz w:val="24"/>
          <w:szCs w:val="24"/>
          <w:lang w:val="es-MX"/>
        </w:rPr>
        <w:t xml:space="preserve"> ahora CGP), así puede leerse, a manera de ejemplo, en los artículos 27 y 32 de la Ley 56 de 1981 y, también, en el 5° del Decreto 2580 de 1985</w:t>
      </w:r>
      <w:r w:rsidR="4C7AA11C" w:rsidRPr="00724B5D">
        <w:rPr>
          <w:rFonts w:ascii="Georgia" w:hAnsi="Georgia" w:cs="Arial"/>
          <w:spacing w:val="-3"/>
          <w:sz w:val="24"/>
          <w:szCs w:val="24"/>
          <w:lang w:val="es-MX"/>
        </w:rPr>
        <w:t xml:space="preserve"> - reglamentario de la Ley 56 – compilado por el Decreto No.1973 de 2015</w:t>
      </w:r>
      <w:r w:rsidR="1299902A" w:rsidRPr="00724B5D">
        <w:rPr>
          <w:rFonts w:ascii="Georgia" w:hAnsi="Georgia" w:cs="Arial"/>
          <w:spacing w:val="-3"/>
          <w:sz w:val="24"/>
          <w:szCs w:val="24"/>
          <w:lang w:val="es-MX"/>
        </w:rPr>
        <w:t xml:space="preserve">; normas </w:t>
      </w:r>
      <w:r w:rsidR="2F63B737" w:rsidRPr="00724B5D">
        <w:rPr>
          <w:rFonts w:ascii="Georgia" w:hAnsi="Georgia" w:cs="Arial"/>
          <w:spacing w:val="-3"/>
          <w:sz w:val="24"/>
          <w:szCs w:val="24"/>
          <w:lang w:val="es-MX"/>
        </w:rPr>
        <w:t xml:space="preserve">remisorias que </w:t>
      </w:r>
      <w:r w:rsidR="1299902A" w:rsidRPr="00724B5D">
        <w:rPr>
          <w:rFonts w:ascii="Georgia" w:hAnsi="Georgia" w:cs="Arial"/>
          <w:spacing w:val="-3"/>
          <w:sz w:val="24"/>
          <w:szCs w:val="24"/>
          <w:lang w:val="es-MX"/>
        </w:rPr>
        <w:t xml:space="preserve">no fueron modificadas por el Decreto </w:t>
      </w:r>
      <w:r w:rsidR="34634BCB" w:rsidRPr="00724B5D">
        <w:rPr>
          <w:rFonts w:ascii="Georgia" w:hAnsi="Georgia" w:cs="Arial"/>
          <w:spacing w:val="-3"/>
          <w:sz w:val="24"/>
          <w:szCs w:val="24"/>
          <w:lang w:val="es-MX"/>
        </w:rPr>
        <w:t>798 de 2020.</w:t>
      </w:r>
    </w:p>
    <w:p w14:paraId="58AB8CBB" w14:textId="77777777" w:rsidR="00730597" w:rsidRPr="00724B5D" w:rsidRDefault="00730597" w:rsidP="00724B5D">
      <w:pPr>
        <w:suppressAutoHyphens/>
        <w:spacing w:line="276" w:lineRule="auto"/>
        <w:jc w:val="both"/>
        <w:rPr>
          <w:rFonts w:ascii="Georgia" w:hAnsi="Georgia" w:cs="Arial"/>
          <w:spacing w:val="-3"/>
          <w:sz w:val="24"/>
          <w:szCs w:val="24"/>
          <w:lang w:val="es-MX"/>
        </w:rPr>
      </w:pPr>
    </w:p>
    <w:p w14:paraId="30247634" w14:textId="77777777" w:rsidR="0006374F" w:rsidRPr="00724B5D" w:rsidRDefault="0006374F" w:rsidP="00724B5D">
      <w:pPr>
        <w:pStyle w:val="Prrafodelista"/>
        <w:numPr>
          <w:ilvl w:val="0"/>
          <w:numId w:val="1"/>
        </w:numPr>
        <w:tabs>
          <w:tab w:val="left" w:pos="-720"/>
        </w:tabs>
        <w:suppressAutoHyphens/>
        <w:spacing w:line="276" w:lineRule="auto"/>
        <w:jc w:val="both"/>
        <w:rPr>
          <w:rFonts w:ascii="Georgia" w:hAnsi="Georgia" w:cs="Arial"/>
          <w:b/>
          <w:bCs/>
          <w:smallCaps/>
          <w:spacing w:val="-3"/>
          <w:sz w:val="24"/>
          <w:szCs w:val="24"/>
        </w:rPr>
      </w:pPr>
      <w:r w:rsidRPr="00724B5D">
        <w:rPr>
          <w:rFonts w:ascii="Georgia" w:hAnsi="Georgia" w:cs="Arial"/>
          <w:b/>
          <w:bCs/>
          <w:smallCaps/>
          <w:spacing w:val="-3"/>
          <w:sz w:val="24"/>
          <w:szCs w:val="24"/>
        </w:rPr>
        <w:t>El caso concreto que se analiza</w:t>
      </w:r>
    </w:p>
    <w:p w14:paraId="6BABCA79" w14:textId="19ACA4BA" w:rsidR="59B3B515" w:rsidRPr="00724B5D" w:rsidRDefault="59B3B515" w:rsidP="00724B5D">
      <w:pPr>
        <w:spacing w:line="276" w:lineRule="auto"/>
        <w:jc w:val="both"/>
        <w:rPr>
          <w:rFonts w:ascii="Georgia" w:hAnsi="Georgia" w:cs="Arial"/>
          <w:sz w:val="24"/>
          <w:szCs w:val="24"/>
        </w:rPr>
      </w:pPr>
    </w:p>
    <w:p w14:paraId="67D72EA8" w14:textId="4925D9BF" w:rsidR="4C620428" w:rsidRPr="00724B5D" w:rsidRDefault="009565A0" w:rsidP="00724B5D">
      <w:pPr>
        <w:suppressAutoHyphens/>
        <w:spacing w:line="276" w:lineRule="auto"/>
        <w:jc w:val="both"/>
        <w:rPr>
          <w:rFonts w:ascii="Georgia" w:hAnsi="Georgia" w:cs="Arial"/>
          <w:spacing w:val="-3"/>
          <w:sz w:val="24"/>
          <w:szCs w:val="24"/>
        </w:rPr>
      </w:pPr>
      <w:bookmarkStart w:id="1" w:name="_Hlk69464402"/>
      <w:r w:rsidRPr="00724B5D">
        <w:rPr>
          <w:rFonts w:ascii="Georgia" w:hAnsi="Georgia" w:cs="Arial"/>
          <w:spacing w:val="-3"/>
          <w:sz w:val="24"/>
          <w:szCs w:val="24"/>
        </w:rPr>
        <w:t xml:space="preserve">A partir de las premisas jurídicas aludidas, en este asunto se </w:t>
      </w:r>
      <w:r w:rsidR="7A51970E" w:rsidRPr="00724B5D">
        <w:rPr>
          <w:rFonts w:ascii="Georgia" w:hAnsi="Georgia" w:cs="Arial"/>
          <w:spacing w:val="-3"/>
          <w:sz w:val="24"/>
          <w:szCs w:val="24"/>
        </w:rPr>
        <w:t xml:space="preserve">configura </w:t>
      </w:r>
      <w:r w:rsidRPr="00724B5D">
        <w:rPr>
          <w:rFonts w:ascii="Georgia" w:hAnsi="Georgia" w:cs="Arial"/>
          <w:spacing w:val="-3"/>
          <w:sz w:val="24"/>
          <w:szCs w:val="24"/>
        </w:rPr>
        <w:t>la nulidad del numeral 8º del artículo 133 del CGP</w:t>
      </w:r>
      <w:r w:rsidR="00890386" w:rsidRPr="00724B5D">
        <w:rPr>
          <w:rFonts w:ascii="Georgia" w:hAnsi="Georgia" w:cs="Arial"/>
          <w:sz w:val="24"/>
          <w:szCs w:val="24"/>
        </w:rPr>
        <w:t>, puesto que</w:t>
      </w:r>
      <w:r w:rsidR="600AA00B" w:rsidRPr="00724B5D">
        <w:rPr>
          <w:rFonts w:ascii="Georgia" w:hAnsi="Georgia" w:cs="Arial"/>
          <w:sz w:val="24"/>
          <w:szCs w:val="24"/>
        </w:rPr>
        <w:t>,</w:t>
      </w:r>
      <w:r w:rsidR="00890386" w:rsidRPr="00724B5D">
        <w:rPr>
          <w:rFonts w:ascii="Georgia" w:hAnsi="Georgia" w:cs="Arial"/>
          <w:sz w:val="24"/>
          <w:szCs w:val="24"/>
        </w:rPr>
        <w:t xml:space="preserve"> r</w:t>
      </w:r>
      <w:r w:rsidRPr="00724B5D">
        <w:rPr>
          <w:rFonts w:ascii="Georgia" w:hAnsi="Georgia" w:cs="Arial"/>
          <w:spacing w:val="-3"/>
          <w:sz w:val="24"/>
          <w:szCs w:val="24"/>
        </w:rPr>
        <w:t xml:space="preserve">evisados los </w:t>
      </w:r>
      <w:r w:rsidR="0EFEA577" w:rsidRPr="00724B5D">
        <w:rPr>
          <w:rFonts w:ascii="Georgia" w:hAnsi="Georgia" w:cs="Arial"/>
          <w:spacing w:val="-3"/>
          <w:sz w:val="24"/>
          <w:szCs w:val="24"/>
        </w:rPr>
        <w:t>sujetos procesales convocados</w:t>
      </w:r>
      <w:r w:rsidRPr="00724B5D">
        <w:rPr>
          <w:rFonts w:ascii="Georgia" w:hAnsi="Georgia" w:cs="Arial"/>
          <w:spacing w:val="-3"/>
          <w:sz w:val="24"/>
          <w:szCs w:val="24"/>
        </w:rPr>
        <w:t xml:space="preserve">, se evidencia </w:t>
      </w:r>
      <w:r w:rsidR="3ED8E082" w:rsidRPr="00724B5D">
        <w:rPr>
          <w:rFonts w:ascii="Georgia" w:hAnsi="Georgia" w:cs="Arial"/>
          <w:spacing w:val="-3"/>
          <w:sz w:val="24"/>
          <w:szCs w:val="24"/>
        </w:rPr>
        <w:t xml:space="preserve">que se </w:t>
      </w:r>
      <w:r w:rsidRPr="00724B5D">
        <w:rPr>
          <w:rFonts w:ascii="Georgia" w:hAnsi="Georgia" w:cs="Arial"/>
          <w:spacing w:val="-3"/>
          <w:sz w:val="24"/>
          <w:szCs w:val="24"/>
        </w:rPr>
        <w:t xml:space="preserve">pretermitió citar al Banco Agrario de Colombia SA, pese a ser titular de </w:t>
      </w:r>
      <w:r w:rsidR="3E9E2220" w:rsidRPr="00724B5D">
        <w:rPr>
          <w:rFonts w:ascii="Georgia" w:hAnsi="Georgia" w:cs="Arial"/>
          <w:spacing w:val="-3"/>
          <w:sz w:val="24"/>
          <w:szCs w:val="24"/>
        </w:rPr>
        <w:t xml:space="preserve">un </w:t>
      </w:r>
      <w:r w:rsidRPr="00724B5D">
        <w:rPr>
          <w:rFonts w:ascii="Georgia" w:hAnsi="Georgia" w:cs="Arial"/>
          <w:spacing w:val="-3"/>
          <w:sz w:val="24"/>
          <w:szCs w:val="24"/>
        </w:rPr>
        <w:t>derecho real sobre el predio sirviente</w:t>
      </w:r>
      <w:bookmarkEnd w:id="1"/>
      <w:r w:rsidRPr="00724B5D">
        <w:rPr>
          <w:rFonts w:ascii="Georgia" w:hAnsi="Georgia" w:cs="Arial"/>
          <w:spacing w:val="-3"/>
          <w:sz w:val="24"/>
          <w:szCs w:val="24"/>
        </w:rPr>
        <w:t xml:space="preserve">, según se advierte en la anotación 14, del </w:t>
      </w:r>
      <w:r w:rsidR="00690F99" w:rsidRPr="00724B5D">
        <w:rPr>
          <w:rFonts w:ascii="Georgia" w:hAnsi="Georgia" w:cs="Arial"/>
          <w:spacing w:val="-3"/>
          <w:sz w:val="24"/>
          <w:szCs w:val="24"/>
        </w:rPr>
        <w:t>folio de MI 290-82293</w:t>
      </w:r>
      <w:r w:rsidRPr="00724B5D">
        <w:rPr>
          <w:rFonts w:ascii="Georgia" w:hAnsi="Georgia" w:cs="Arial"/>
          <w:spacing w:val="-3"/>
          <w:sz w:val="24"/>
          <w:szCs w:val="24"/>
        </w:rPr>
        <w:t xml:space="preserve"> </w:t>
      </w:r>
      <w:r w:rsidRPr="00724B5D">
        <w:rPr>
          <w:rFonts w:ascii="Georgia" w:hAnsi="Georgia" w:cs="Arial"/>
          <w:sz w:val="24"/>
          <w:szCs w:val="24"/>
          <w:lang w:val="es-CO"/>
        </w:rPr>
        <w:t>(</w:t>
      </w:r>
      <w:r w:rsidRPr="00724B5D">
        <w:rPr>
          <w:rFonts w:ascii="Georgia" w:hAnsi="Georgia" w:cs="Arial"/>
          <w:sz w:val="24"/>
          <w:szCs w:val="24"/>
        </w:rPr>
        <w:t>Carpeta 1ª instancia, cuaderno principal, volumen 1, folios 60-63, también, en volumen 2, folios 70-75</w:t>
      </w:r>
      <w:r w:rsidRPr="00724B5D">
        <w:rPr>
          <w:rFonts w:ascii="Georgia" w:hAnsi="Georgia" w:cs="Arial"/>
          <w:sz w:val="24"/>
          <w:szCs w:val="24"/>
          <w:lang w:val="es-CO"/>
        </w:rPr>
        <w:t>); deb</w:t>
      </w:r>
      <w:r w:rsidR="7C7D6364" w:rsidRPr="00724B5D">
        <w:rPr>
          <w:rFonts w:ascii="Georgia" w:hAnsi="Georgia" w:cs="Arial"/>
          <w:sz w:val="24"/>
          <w:szCs w:val="24"/>
          <w:lang w:val="es-CO"/>
        </w:rPr>
        <w:t>ió</w:t>
      </w:r>
      <w:r w:rsidRPr="00724B5D">
        <w:rPr>
          <w:rFonts w:ascii="Georgia" w:hAnsi="Georgia" w:cs="Arial"/>
          <w:sz w:val="24"/>
          <w:szCs w:val="24"/>
          <w:lang w:val="es-CO"/>
        </w:rPr>
        <w:t xml:space="preserve"> </w:t>
      </w:r>
      <w:r w:rsidRPr="00724B5D">
        <w:rPr>
          <w:rFonts w:ascii="Georgia" w:hAnsi="Georgia" w:cs="Arial"/>
          <w:spacing w:val="-3"/>
          <w:sz w:val="24"/>
          <w:szCs w:val="24"/>
        </w:rPr>
        <w:t>integrar la litis.</w:t>
      </w:r>
    </w:p>
    <w:p w14:paraId="74684294" w14:textId="59085F9E" w:rsidR="00F86CE0" w:rsidRPr="00724B5D" w:rsidRDefault="00F86CE0" w:rsidP="00724B5D">
      <w:pPr>
        <w:tabs>
          <w:tab w:val="left" w:pos="-720"/>
        </w:tabs>
        <w:suppressAutoHyphens/>
        <w:spacing w:line="276" w:lineRule="auto"/>
        <w:jc w:val="both"/>
        <w:rPr>
          <w:rFonts w:ascii="Georgia" w:hAnsi="Georgia" w:cs="Arial"/>
          <w:spacing w:val="-3"/>
          <w:sz w:val="24"/>
          <w:szCs w:val="24"/>
        </w:rPr>
      </w:pPr>
    </w:p>
    <w:p w14:paraId="497505D5" w14:textId="62911139" w:rsidR="008C4579" w:rsidRPr="00724B5D" w:rsidRDefault="008C4579" w:rsidP="00724B5D">
      <w:pPr>
        <w:suppressAutoHyphens/>
        <w:spacing w:line="276" w:lineRule="auto"/>
        <w:jc w:val="both"/>
        <w:rPr>
          <w:rFonts w:ascii="Georgia" w:hAnsi="Georgia" w:cs="Arial"/>
          <w:sz w:val="24"/>
          <w:szCs w:val="24"/>
        </w:rPr>
      </w:pPr>
      <w:r w:rsidRPr="00724B5D">
        <w:rPr>
          <w:rFonts w:ascii="Georgia" w:hAnsi="Georgia" w:cs="Arial"/>
          <w:spacing w:val="-3"/>
          <w:sz w:val="24"/>
          <w:szCs w:val="24"/>
        </w:rPr>
        <w:t xml:space="preserve">Si bien al iniciar el proceso, el estatuto procesal </w:t>
      </w:r>
      <w:r w:rsidR="00804561" w:rsidRPr="00724B5D">
        <w:rPr>
          <w:rFonts w:ascii="Georgia" w:hAnsi="Georgia" w:cs="Arial"/>
          <w:spacing w:val="-3"/>
          <w:sz w:val="24"/>
          <w:szCs w:val="24"/>
        </w:rPr>
        <w:t>vigente</w:t>
      </w:r>
      <w:r w:rsidRPr="00724B5D">
        <w:rPr>
          <w:rFonts w:ascii="Georgia" w:hAnsi="Georgia" w:cs="Arial"/>
          <w:spacing w:val="-3"/>
          <w:sz w:val="24"/>
          <w:szCs w:val="24"/>
        </w:rPr>
        <w:t xml:space="preserve"> para ese momento, no consideraba la citación de los titulares de derechos reales </w:t>
      </w:r>
      <w:r w:rsidRPr="00724B5D">
        <w:rPr>
          <w:rFonts w:ascii="Georgia" w:hAnsi="Georgia" w:cs="Arial"/>
          <w:spacing w:val="-3"/>
          <w:sz w:val="24"/>
          <w:szCs w:val="24"/>
          <w:u w:val="single"/>
        </w:rPr>
        <w:t>accesorios</w:t>
      </w:r>
      <w:r w:rsidRPr="00724B5D">
        <w:rPr>
          <w:rFonts w:ascii="Georgia" w:hAnsi="Georgia" w:cs="Arial"/>
          <w:spacing w:val="-3"/>
          <w:sz w:val="24"/>
          <w:szCs w:val="24"/>
        </w:rPr>
        <w:t>, lo cierto es que el CGP s</w:t>
      </w:r>
      <w:r w:rsidR="54306E0F" w:rsidRPr="00724B5D">
        <w:rPr>
          <w:rFonts w:ascii="Georgia" w:hAnsi="Georgia" w:cs="Arial"/>
          <w:spacing w:val="-3"/>
          <w:sz w:val="24"/>
          <w:szCs w:val="24"/>
        </w:rPr>
        <w:t>í</w:t>
      </w:r>
      <w:r w:rsidRPr="00724B5D">
        <w:rPr>
          <w:rFonts w:ascii="Georgia" w:hAnsi="Georgia" w:cs="Arial"/>
          <w:spacing w:val="-3"/>
          <w:sz w:val="24"/>
          <w:szCs w:val="24"/>
        </w:rPr>
        <w:t xml:space="preserve"> los incluyó</w:t>
      </w:r>
      <w:r w:rsidR="7372B329" w:rsidRPr="00724B5D">
        <w:rPr>
          <w:rFonts w:ascii="Georgia" w:hAnsi="Georgia" w:cs="Arial"/>
          <w:spacing w:val="-3"/>
          <w:sz w:val="24"/>
          <w:szCs w:val="24"/>
        </w:rPr>
        <w:t>,</w:t>
      </w:r>
      <w:r w:rsidRPr="00724B5D">
        <w:rPr>
          <w:rFonts w:ascii="Georgia" w:hAnsi="Georgia" w:cs="Arial"/>
          <w:spacing w:val="-3"/>
          <w:sz w:val="24"/>
          <w:szCs w:val="24"/>
        </w:rPr>
        <w:t xml:space="preserve"> y para el momento en que empezó a regir (</w:t>
      </w:r>
      <w:r w:rsidR="00804561" w:rsidRPr="00724B5D">
        <w:rPr>
          <w:rFonts w:ascii="Georgia" w:hAnsi="Georgia" w:cs="Arial"/>
          <w:spacing w:val="-3"/>
          <w:sz w:val="24"/>
          <w:szCs w:val="24"/>
        </w:rPr>
        <w:t xml:space="preserve">A partir del </w:t>
      </w:r>
      <w:r w:rsidRPr="00724B5D">
        <w:rPr>
          <w:rFonts w:ascii="Georgia" w:hAnsi="Georgia" w:cs="Arial"/>
          <w:spacing w:val="-3"/>
          <w:sz w:val="24"/>
          <w:szCs w:val="24"/>
        </w:rPr>
        <w:t>01-01-2016</w:t>
      </w:r>
      <w:r w:rsidR="00804561" w:rsidRPr="00724B5D">
        <w:rPr>
          <w:rFonts w:ascii="Georgia" w:hAnsi="Georgia" w:cs="Arial"/>
          <w:spacing w:val="-3"/>
          <w:sz w:val="24"/>
          <w:szCs w:val="24"/>
        </w:rPr>
        <w:t>, conforme el Acuerdo PSAA15-10392</w:t>
      </w:r>
      <w:r w:rsidR="00A90D88" w:rsidRPr="00724B5D">
        <w:rPr>
          <w:rFonts w:ascii="Georgia" w:hAnsi="Georgia" w:cs="Arial"/>
          <w:spacing w:val="-3"/>
          <w:sz w:val="24"/>
          <w:szCs w:val="24"/>
        </w:rPr>
        <w:t xml:space="preserve"> del CSJ</w:t>
      </w:r>
      <w:r w:rsidRPr="00724B5D">
        <w:rPr>
          <w:rFonts w:ascii="Georgia" w:hAnsi="Georgia" w:cs="Arial"/>
          <w:spacing w:val="-3"/>
          <w:sz w:val="24"/>
          <w:szCs w:val="24"/>
        </w:rPr>
        <w:t xml:space="preserve">), </w:t>
      </w:r>
      <w:r w:rsidR="24680947" w:rsidRPr="00724B5D">
        <w:rPr>
          <w:rFonts w:ascii="Georgia" w:hAnsi="Georgia" w:cs="Arial"/>
          <w:spacing w:val="-3"/>
          <w:sz w:val="24"/>
          <w:szCs w:val="24"/>
        </w:rPr>
        <w:t xml:space="preserve">conforme a la regla de tránsito de legislación </w:t>
      </w:r>
      <w:r w:rsidR="24680947" w:rsidRPr="00724B5D">
        <w:rPr>
          <w:rFonts w:ascii="Georgia" w:hAnsi="Georgia" w:cs="Arial"/>
          <w:sz w:val="24"/>
          <w:szCs w:val="24"/>
        </w:rPr>
        <w:t xml:space="preserve">(Art.625-1, CGP), </w:t>
      </w:r>
      <w:r w:rsidR="1C71F6FB" w:rsidRPr="00724B5D">
        <w:rPr>
          <w:rFonts w:ascii="Georgia" w:hAnsi="Georgia" w:cs="Arial"/>
          <w:sz w:val="24"/>
          <w:szCs w:val="24"/>
        </w:rPr>
        <w:t xml:space="preserve">se imponía la vigencia del nuevo estatuto desde el 01-09-2016, </w:t>
      </w:r>
      <w:r w:rsidR="49C90E98" w:rsidRPr="00724B5D">
        <w:rPr>
          <w:rFonts w:ascii="Georgia" w:hAnsi="Georgia" w:cs="Arial"/>
          <w:sz w:val="24"/>
          <w:szCs w:val="24"/>
        </w:rPr>
        <w:t>que es la providencia equivalente al decreto de pruebas.</w:t>
      </w:r>
    </w:p>
    <w:p w14:paraId="07198197" w14:textId="33816D38" w:rsidR="001D5190" w:rsidRPr="00724B5D" w:rsidRDefault="008C4579" w:rsidP="00724B5D">
      <w:pPr>
        <w:suppressAutoHyphens/>
        <w:spacing w:line="276" w:lineRule="auto"/>
        <w:jc w:val="both"/>
        <w:rPr>
          <w:rFonts w:ascii="Georgia" w:hAnsi="Georgia" w:cs="Arial"/>
          <w:spacing w:val="-3"/>
          <w:sz w:val="24"/>
          <w:szCs w:val="24"/>
        </w:rPr>
      </w:pPr>
      <w:r w:rsidRPr="00724B5D">
        <w:rPr>
          <w:rFonts w:ascii="Georgia" w:hAnsi="Georgia" w:cs="Arial"/>
          <w:spacing w:val="-3"/>
          <w:sz w:val="24"/>
          <w:szCs w:val="24"/>
        </w:rPr>
        <w:t xml:space="preserve"> </w:t>
      </w:r>
    </w:p>
    <w:p w14:paraId="7F4F90B1" w14:textId="74B055E9" w:rsidR="008C4579" w:rsidRPr="00724B5D" w:rsidRDefault="72ABF7FB" w:rsidP="00724B5D">
      <w:pPr>
        <w:suppressAutoHyphens/>
        <w:spacing w:line="276" w:lineRule="auto"/>
        <w:jc w:val="both"/>
        <w:rPr>
          <w:rFonts w:ascii="Georgia" w:hAnsi="Georgia" w:cs="Arial"/>
          <w:spacing w:val="-3"/>
          <w:sz w:val="24"/>
          <w:szCs w:val="24"/>
          <w:lang w:val="es-MX"/>
        </w:rPr>
      </w:pPr>
      <w:bookmarkStart w:id="2" w:name="_Hlk69464460"/>
      <w:r w:rsidRPr="00724B5D">
        <w:rPr>
          <w:rFonts w:ascii="Georgia" w:hAnsi="Georgia" w:cs="Arial"/>
          <w:spacing w:val="-3"/>
          <w:sz w:val="24"/>
          <w:szCs w:val="24"/>
        </w:rPr>
        <w:t xml:space="preserve">La razón de esa vinculación radica en el eventual interés económico que puede tener la entidad </w:t>
      </w:r>
      <w:r w:rsidR="00F86CE0" w:rsidRPr="00724B5D">
        <w:rPr>
          <w:rFonts w:ascii="Georgia" w:hAnsi="Georgia" w:cs="Arial"/>
          <w:spacing w:val="-3"/>
          <w:sz w:val="24"/>
          <w:szCs w:val="24"/>
        </w:rPr>
        <w:t>financiera</w:t>
      </w:r>
      <w:r w:rsidR="7B4BC238" w:rsidRPr="00724B5D">
        <w:rPr>
          <w:rFonts w:ascii="Georgia" w:hAnsi="Georgia" w:cs="Arial"/>
          <w:spacing w:val="-3"/>
          <w:sz w:val="24"/>
          <w:szCs w:val="24"/>
        </w:rPr>
        <w:t>, pues la imposición de un gravamen sobre el predio constitutivo de su garantía hipotecaria, resultará afectado con la servidumbre pretend</w:t>
      </w:r>
      <w:r w:rsidR="1934E0E9" w:rsidRPr="00724B5D">
        <w:rPr>
          <w:rFonts w:ascii="Georgia" w:hAnsi="Georgia" w:cs="Arial"/>
          <w:spacing w:val="-3"/>
          <w:sz w:val="24"/>
          <w:szCs w:val="24"/>
        </w:rPr>
        <w:t>ida</w:t>
      </w:r>
      <w:r w:rsidR="7B4BC238" w:rsidRPr="00724B5D">
        <w:rPr>
          <w:rFonts w:ascii="Georgia" w:hAnsi="Georgia" w:cs="Arial"/>
          <w:spacing w:val="-3"/>
          <w:sz w:val="24"/>
          <w:szCs w:val="24"/>
        </w:rPr>
        <w:t xml:space="preserve">, por ende, </w:t>
      </w:r>
      <w:r w:rsidR="27AFDF0A" w:rsidRPr="00724B5D">
        <w:rPr>
          <w:rFonts w:ascii="Georgia" w:hAnsi="Georgia" w:cs="Arial"/>
          <w:spacing w:val="-3"/>
          <w:sz w:val="24"/>
          <w:szCs w:val="24"/>
        </w:rPr>
        <w:t xml:space="preserve">ese interés la habilita para </w:t>
      </w:r>
      <w:r w:rsidR="00A90D88" w:rsidRPr="00724B5D">
        <w:rPr>
          <w:rFonts w:ascii="Georgia" w:hAnsi="Georgia" w:cs="Arial"/>
          <w:spacing w:val="-3"/>
          <w:sz w:val="24"/>
          <w:szCs w:val="24"/>
        </w:rPr>
        <w:t>intervenir</w:t>
      </w:r>
      <w:bookmarkEnd w:id="2"/>
      <w:r w:rsidR="6C3E58DB" w:rsidRPr="00724B5D">
        <w:rPr>
          <w:rFonts w:ascii="Georgia" w:hAnsi="Georgia" w:cs="Arial"/>
          <w:spacing w:val="-3"/>
          <w:sz w:val="24"/>
          <w:szCs w:val="24"/>
        </w:rPr>
        <w:t xml:space="preserve">. </w:t>
      </w:r>
      <w:r w:rsidR="00042314" w:rsidRPr="00724B5D">
        <w:rPr>
          <w:rFonts w:ascii="Georgia" w:hAnsi="Georgia" w:cs="Arial"/>
          <w:spacing w:val="-3"/>
          <w:sz w:val="24"/>
          <w:szCs w:val="24"/>
        </w:rPr>
        <w:t xml:space="preserve">Debe </w:t>
      </w:r>
      <w:r w:rsidR="556EFC3E" w:rsidRPr="00724B5D">
        <w:rPr>
          <w:rFonts w:ascii="Georgia" w:hAnsi="Georgia" w:cs="Arial"/>
          <w:spacing w:val="-3"/>
          <w:sz w:val="24"/>
          <w:szCs w:val="24"/>
        </w:rPr>
        <w:t xml:space="preserve">integrarse </w:t>
      </w:r>
      <w:r w:rsidR="00042314" w:rsidRPr="00724B5D">
        <w:rPr>
          <w:rFonts w:ascii="Georgia" w:hAnsi="Georgia" w:cs="Arial"/>
          <w:spacing w:val="-3"/>
          <w:sz w:val="24"/>
          <w:szCs w:val="24"/>
        </w:rPr>
        <w:t xml:space="preserve">al proceso por expresa disposición normativa del artículo 376, CGP </w:t>
      </w:r>
      <w:r w:rsidR="6C3E58DB" w:rsidRPr="00724B5D">
        <w:rPr>
          <w:rFonts w:ascii="Georgia" w:hAnsi="Georgia" w:cs="Arial"/>
          <w:spacing w:val="-3"/>
          <w:sz w:val="24"/>
          <w:szCs w:val="24"/>
        </w:rPr>
        <w:t xml:space="preserve">a </w:t>
      </w:r>
      <w:r w:rsidR="722EF637" w:rsidRPr="00724B5D">
        <w:rPr>
          <w:rFonts w:ascii="Georgia" w:hAnsi="Georgia" w:cs="Arial"/>
          <w:spacing w:val="-3"/>
          <w:sz w:val="24"/>
          <w:szCs w:val="24"/>
        </w:rPr>
        <w:t xml:space="preserve">título de </w:t>
      </w:r>
      <w:r w:rsidR="722EF637" w:rsidRPr="00724B5D">
        <w:rPr>
          <w:rFonts w:ascii="Georgia" w:hAnsi="Georgia" w:cs="Arial"/>
          <w:b/>
          <w:bCs/>
          <w:spacing w:val="-3"/>
          <w:sz w:val="24"/>
          <w:szCs w:val="24"/>
        </w:rPr>
        <w:t>litisconsorte</w:t>
      </w:r>
      <w:r w:rsidR="00416333" w:rsidRPr="00724B5D">
        <w:rPr>
          <w:rFonts w:ascii="Georgia" w:hAnsi="Georgia" w:cs="Arial"/>
          <w:b/>
          <w:bCs/>
          <w:spacing w:val="-3"/>
          <w:sz w:val="24"/>
          <w:szCs w:val="24"/>
        </w:rPr>
        <w:t xml:space="preserve"> necesario</w:t>
      </w:r>
      <w:r w:rsidR="722EF637" w:rsidRPr="00724B5D">
        <w:rPr>
          <w:rFonts w:ascii="Georgia" w:hAnsi="Georgia" w:cs="Arial"/>
          <w:spacing w:val="-3"/>
          <w:sz w:val="24"/>
          <w:szCs w:val="24"/>
        </w:rPr>
        <w:t xml:space="preserve">, </w:t>
      </w:r>
      <w:r w:rsidR="00416333" w:rsidRPr="00724B5D">
        <w:rPr>
          <w:rFonts w:ascii="Georgia" w:hAnsi="Georgia" w:cs="Arial"/>
          <w:spacing w:val="-3"/>
          <w:sz w:val="24"/>
          <w:szCs w:val="24"/>
        </w:rPr>
        <w:t>como entiende la doctrina patria</w:t>
      </w:r>
      <w:r w:rsidR="00416333" w:rsidRPr="00724B5D">
        <w:rPr>
          <w:rStyle w:val="Refdenotaalpie"/>
          <w:rFonts w:ascii="Georgia" w:hAnsi="Georgia"/>
          <w:spacing w:val="-3"/>
          <w:sz w:val="24"/>
          <w:szCs w:val="24"/>
        </w:rPr>
        <w:footnoteReference w:id="11"/>
      </w:r>
      <w:r w:rsidR="00416333" w:rsidRPr="00724B5D">
        <w:rPr>
          <w:rFonts w:ascii="Georgia" w:hAnsi="Georgia" w:cs="Arial"/>
          <w:spacing w:val="-3"/>
          <w:sz w:val="24"/>
          <w:szCs w:val="24"/>
          <w:vertAlign w:val="superscript"/>
        </w:rPr>
        <w:t>-</w:t>
      </w:r>
      <w:r w:rsidR="00416333" w:rsidRPr="00724B5D">
        <w:rPr>
          <w:rStyle w:val="Refdenotaalpie"/>
          <w:rFonts w:ascii="Georgia" w:hAnsi="Georgia"/>
          <w:spacing w:val="-3"/>
          <w:sz w:val="24"/>
          <w:szCs w:val="24"/>
        </w:rPr>
        <w:footnoteReference w:id="12"/>
      </w:r>
      <w:r w:rsidR="00042314" w:rsidRPr="00724B5D">
        <w:rPr>
          <w:rFonts w:ascii="Georgia" w:hAnsi="Georgia" w:cs="Arial"/>
          <w:spacing w:val="-3"/>
          <w:sz w:val="24"/>
          <w:szCs w:val="24"/>
        </w:rPr>
        <w:t xml:space="preserve">, aun cuando la </w:t>
      </w:r>
      <w:r w:rsidR="40D61685" w:rsidRPr="00724B5D">
        <w:rPr>
          <w:rFonts w:ascii="Georgia" w:hAnsi="Georgia" w:cs="Arial"/>
          <w:spacing w:val="-3"/>
          <w:sz w:val="24"/>
          <w:szCs w:val="24"/>
        </w:rPr>
        <w:t xml:space="preserve">relación sustancial concretada en </w:t>
      </w:r>
      <w:r w:rsidR="722EF637" w:rsidRPr="00724B5D">
        <w:rPr>
          <w:rFonts w:ascii="Georgia" w:hAnsi="Georgia" w:cs="Arial"/>
          <w:spacing w:val="-3"/>
          <w:sz w:val="24"/>
          <w:szCs w:val="24"/>
        </w:rPr>
        <w:t>su derecho real accesorio</w:t>
      </w:r>
      <w:r w:rsidR="4957979B" w:rsidRPr="00724B5D">
        <w:rPr>
          <w:rFonts w:ascii="Georgia" w:hAnsi="Georgia" w:cs="Arial"/>
          <w:spacing w:val="-3"/>
          <w:sz w:val="24"/>
          <w:szCs w:val="24"/>
        </w:rPr>
        <w:t xml:space="preserve">, no </w:t>
      </w:r>
      <w:r w:rsidR="00042314" w:rsidRPr="00724B5D">
        <w:rPr>
          <w:rFonts w:ascii="Georgia" w:hAnsi="Georgia" w:cs="Arial"/>
          <w:spacing w:val="-3"/>
          <w:sz w:val="24"/>
          <w:szCs w:val="24"/>
        </w:rPr>
        <w:t xml:space="preserve">tenga una afectación </w:t>
      </w:r>
      <w:r w:rsidR="4957979B" w:rsidRPr="00724B5D">
        <w:rPr>
          <w:rFonts w:ascii="Georgia" w:hAnsi="Georgia" w:cs="Arial"/>
          <w:spacing w:val="-3"/>
          <w:sz w:val="24"/>
          <w:szCs w:val="24"/>
        </w:rPr>
        <w:t>actual</w:t>
      </w:r>
      <w:r w:rsidR="00042314" w:rsidRPr="00724B5D">
        <w:rPr>
          <w:rFonts w:ascii="Georgia" w:hAnsi="Georgia" w:cs="Arial"/>
          <w:spacing w:val="-3"/>
          <w:sz w:val="24"/>
          <w:szCs w:val="24"/>
        </w:rPr>
        <w:t>, pues</w:t>
      </w:r>
      <w:r w:rsidR="4957979B" w:rsidRPr="00724B5D">
        <w:rPr>
          <w:rFonts w:ascii="Georgia" w:hAnsi="Georgia" w:cs="Arial"/>
          <w:spacing w:val="-3"/>
          <w:sz w:val="24"/>
          <w:szCs w:val="24"/>
        </w:rPr>
        <w:t xml:space="preserve"> está </w:t>
      </w:r>
      <w:r w:rsidR="3D1CD60F" w:rsidRPr="00724B5D">
        <w:rPr>
          <w:rFonts w:ascii="Georgia" w:hAnsi="Georgia" w:cs="Arial"/>
          <w:spacing w:val="-3"/>
          <w:sz w:val="24"/>
          <w:szCs w:val="24"/>
        </w:rPr>
        <w:t>condici</w:t>
      </w:r>
      <w:r w:rsidR="2AE33E0D" w:rsidRPr="00724B5D">
        <w:rPr>
          <w:rFonts w:ascii="Georgia" w:hAnsi="Georgia" w:cs="Arial"/>
          <w:spacing w:val="-3"/>
          <w:sz w:val="24"/>
          <w:szCs w:val="24"/>
        </w:rPr>
        <w:t>onada</w:t>
      </w:r>
      <w:r w:rsidR="3D1CD60F" w:rsidRPr="00724B5D">
        <w:rPr>
          <w:rFonts w:ascii="Georgia" w:hAnsi="Georgia" w:cs="Arial"/>
          <w:spacing w:val="-3"/>
          <w:sz w:val="24"/>
          <w:szCs w:val="24"/>
        </w:rPr>
        <w:t xml:space="preserve"> </w:t>
      </w:r>
      <w:r w:rsidR="45DBD874" w:rsidRPr="00724B5D">
        <w:rPr>
          <w:rFonts w:ascii="Georgia" w:hAnsi="Georgia" w:cs="Arial"/>
          <w:spacing w:val="-3"/>
          <w:sz w:val="24"/>
          <w:szCs w:val="24"/>
        </w:rPr>
        <w:t xml:space="preserve">al </w:t>
      </w:r>
      <w:r w:rsidR="3D1CD60F" w:rsidRPr="00724B5D">
        <w:rPr>
          <w:rFonts w:ascii="Georgia" w:hAnsi="Georgia" w:cs="Arial"/>
          <w:spacing w:val="-3"/>
          <w:sz w:val="24"/>
          <w:szCs w:val="24"/>
        </w:rPr>
        <w:t>impago del crédito garantizado, aspecto que aún es hipotético.</w:t>
      </w:r>
    </w:p>
    <w:p w14:paraId="52D250F7" w14:textId="77777777" w:rsidR="00E1124A" w:rsidRPr="00724B5D" w:rsidRDefault="00E1124A" w:rsidP="00724B5D">
      <w:pPr>
        <w:spacing w:line="276" w:lineRule="auto"/>
        <w:jc w:val="both"/>
        <w:rPr>
          <w:rFonts w:ascii="Georgia" w:hAnsi="Georgia"/>
          <w:sz w:val="24"/>
          <w:szCs w:val="24"/>
        </w:rPr>
      </w:pPr>
    </w:p>
    <w:p w14:paraId="3024763A" w14:textId="4E33C0D2" w:rsidR="005B48F1" w:rsidRPr="00724B5D" w:rsidRDefault="002A5F6E" w:rsidP="00724B5D">
      <w:pPr>
        <w:spacing w:line="276" w:lineRule="auto"/>
        <w:jc w:val="both"/>
        <w:rPr>
          <w:rFonts w:ascii="Georgia" w:hAnsi="Georgia"/>
          <w:sz w:val="24"/>
          <w:szCs w:val="24"/>
        </w:rPr>
      </w:pPr>
      <w:r w:rsidRPr="00724B5D">
        <w:rPr>
          <w:rFonts w:ascii="Georgia" w:hAnsi="Georgia" w:cs="Arial"/>
          <w:sz w:val="24"/>
          <w:szCs w:val="24"/>
        </w:rPr>
        <w:t xml:space="preserve">Así las cosas, se </w:t>
      </w:r>
      <w:r w:rsidR="00AC5E63" w:rsidRPr="00724B5D">
        <w:rPr>
          <w:rFonts w:ascii="Georgia" w:hAnsi="Georgia" w:cs="Arial"/>
          <w:sz w:val="24"/>
          <w:szCs w:val="24"/>
        </w:rPr>
        <w:t>estima</w:t>
      </w:r>
      <w:r w:rsidRPr="00724B5D">
        <w:rPr>
          <w:rFonts w:ascii="Georgia" w:hAnsi="Georgia" w:cs="Arial"/>
          <w:sz w:val="24"/>
          <w:szCs w:val="24"/>
        </w:rPr>
        <w:t xml:space="preserve"> y así será declarado,</w:t>
      </w:r>
      <w:r w:rsidR="00AC5E63" w:rsidRPr="00724B5D">
        <w:rPr>
          <w:rFonts w:ascii="Georgia" w:hAnsi="Georgia" w:cs="Arial"/>
          <w:sz w:val="24"/>
          <w:szCs w:val="24"/>
        </w:rPr>
        <w:t xml:space="preserve"> que</w:t>
      </w:r>
      <w:r w:rsidRPr="00724B5D">
        <w:rPr>
          <w:rFonts w:ascii="Georgia" w:hAnsi="Georgia" w:cs="Arial"/>
          <w:sz w:val="24"/>
          <w:szCs w:val="24"/>
        </w:rPr>
        <w:t xml:space="preserve"> </w:t>
      </w:r>
      <w:r w:rsidR="00566F65" w:rsidRPr="00724B5D">
        <w:rPr>
          <w:rFonts w:ascii="Georgia" w:hAnsi="Georgia" w:cs="Arial"/>
          <w:sz w:val="24"/>
          <w:szCs w:val="24"/>
        </w:rPr>
        <w:t xml:space="preserve">la actuación es </w:t>
      </w:r>
      <w:r w:rsidR="00317A08" w:rsidRPr="00724B5D">
        <w:rPr>
          <w:rFonts w:ascii="Georgia" w:hAnsi="Georgia" w:cs="Arial"/>
          <w:sz w:val="24"/>
          <w:szCs w:val="24"/>
        </w:rPr>
        <w:t>anómala</w:t>
      </w:r>
      <w:r w:rsidR="00566F65" w:rsidRPr="00724B5D">
        <w:rPr>
          <w:rFonts w:ascii="Georgia" w:hAnsi="Georgia" w:cs="Arial"/>
          <w:sz w:val="24"/>
          <w:szCs w:val="24"/>
        </w:rPr>
        <w:t xml:space="preserve"> </w:t>
      </w:r>
      <w:r w:rsidR="1D93A276" w:rsidRPr="00724B5D">
        <w:rPr>
          <w:rFonts w:ascii="Georgia" w:hAnsi="Georgia" w:cs="Arial"/>
          <w:sz w:val="24"/>
          <w:szCs w:val="24"/>
        </w:rPr>
        <w:t>por subsumirse en la</w:t>
      </w:r>
      <w:r w:rsidR="00690F99" w:rsidRPr="00724B5D">
        <w:rPr>
          <w:rFonts w:ascii="Georgia" w:hAnsi="Georgia" w:cs="Arial"/>
          <w:sz w:val="24"/>
          <w:szCs w:val="24"/>
        </w:rPr>
        <w:t xml:space="preserve"> aludida</w:t>
      </w:r>
      <w:r w:rsidR="1D93A276" w:rsidRPr="00724B5D">
        <w:rPr>
          <w:rFonts w:ascii="Georgia" w:hAnsi="Georgia" w:cs="Arial"/>
          <w:sz w:val="24"/>
          <w:szCs w:val="24"/>
        </w:rPr>
        <w:t xml:space="preserve"> </w:t>
      </w:r>
      <w:r w:rsidR="00FC7E53" w:rsidRPr="00724B5D">
        <w:rPr>
          <w:rFonts w:ascii="Georgia" w:hAnsi="Georgia" w:cs="Arial"/>
          <w:sz w:val="24"/>
          <w:szCs w:val="24"/>
        </w:rPr>
        <w:t>causal</w:t>
      </w:r>
      <w:r w:rsidR="21D292B2" w:rsidRPr="00724B5D">
        <w:rPr>
          <w:rFonts w:ascii="Georgia" w:hAnsi="Georgia" w:cs="Arial"/>
          <w:sz w:val="24"/>
          <w:szCs w:val="24"/>
        </w:rPr>
        <w:t>.</w:t>
      </w:r>
      <w:r w:rsidR="00317A08" w:rsidRPr="00724B5D">
        <w:rPr>
          <w:rFonts w:ascii="Georgia" w:hAnsi="Georgia" w:cs="Arial"/>
          <w:sz w:val="24"/>
          <w:szCs w:val="24"/>
        </w:rPr>
        <w:t xml:space="preserve"> </w:t>
      </w:r>
      <w:r w:rsidR="00566F65" w:rsidRPr="00724B5D">
        <w:rPr>
          <w:rFonts w:ascii="Georgia" w:hAnsi="Georgia" w:cs="Arial"/>
          <w:sz w:val="24"/>
          <w:szCs w:val="24"/>
        </w:rPr>
        <w:t xml:space="preserve">Los </w:t>
      </w:r>
      <w:r w:rsidR="00186705" w:rsidRPr="00724B5D">
        <w:rPr>
          <w:rFonts w:ascii="Georgia" w:hAnsi="Georgia" w:cs="Arial"/>
          <w:sz w:val="24"/>
          <w:szCs w:val="24"/>
        </w:rPr>
        <w:t>efectos de esta declaratoria</w:t>
      </w:r>
      <w:r w:rsidR="7CE6150E" w:rsidRPr="00724B5D">
        <w:rPr>
          <w:rFonts w:ascii="Georgia" w:hAnsi="Georgia" w:cs="Arial"/>
          <w:sz w:val="24"/>
          <w:szCs w:val="24"/>
        </w:rPr>
        <w:t xml:space="preserve">, conforme al </w:t>
      </w:r>
      <w:r w:rsidR="005C3ACA" w:rsidRPr="00724B5D">
        <w:rPr>
          <w:rFonts w:ascii="Georgia" w:hAnsi="Georgia" w:cs="Arial"/>
          <w:sz w:val="24"/>
          <w:szCs w:val="24"/>
        </w:rPr>
        <w:t xml:space="preserve">inciso final del artículo </w:t>
      </w:r>
      <w:r w:rsidR="005C3ACA" w:rsidRPr="00724B5D">
        <w:rPr>
          <w:rFonts w:ascii="Georgia" w:hAnsi="Georgia" w:cs="Arial"/>
          <w:sz w:val="24"/>
          <w:szCs w:val="24"/>
          <w:lang w:val="es-CO"/>
        </w:rPr>
        <w:t xml:space="preserve">134, </w:t>
      </w:r>
      <w:r w:rsidR="005C3ACA" w:rsidRPr="00724B5D">
        <w:rPr>
          <w:rFonts w:ascii="Georgia" w:hAnsi="Georgia" w:cs="Arial"/>
          <w:i/>
          <w:iCs/>
          <w:sz w:val="24"/>
          <w:szCs w:val="24"/>
          <w:lang w:val="es-CO"/>
        </w:rPr>
        <w:t>ibidem</w:t>
      </w:r>
      <w:r w:rsidR="005C3ACA" w:rsidRPr="00724B5D">
        <w:rPr>
          <w:rFonts w:ascii="Georgia" w:hAnsi="Georgia" w:cs="Arial"/>
          <w:sz w:val="24"/>
          <w:szCs w:val="24"/>
          <w:lang w:val="es-CO"/>
        </w:rPr>
        <w:t xml:space="preserve">, </w:t>
      </w:r>
      <w:r w:rsidR="00186705" w:rsidRPr="00724B5D">
        <w:rPr>
          <w:rFonts w:ascii="Georgia" w:hAnsi="Georgia" w:cs="Arial"/>
          <w:sz w:val="24"/>
          <w:szCs w:val="24"/>
        </w:rPr>
        <w:t>afecta</w:t>
      </w:r>
      <w:r w:rsidR="009D2C81" w:rsidRPr="00724B5D">
        <w:rPr>
          <w:rFonts w:ascii="Georgia" w:hAnsi="Georgia" w:cs="Arial"/>
          <w:sz w:val="24"/>
          <w:szCs w:val="24"/>
        </w:rPr>
        <w:t>n</w:t>
      </w:r>
      <w:r w:rsidR="00186705" w:rsidRPr="00724B5D">
        <w:rPr>
          <w:rFonts w:ascii="Georgia" w:hAnsi="Georgia" w:cs="Arial"/>
          <w:sz w:val="24"/>
          <w:szCs w:val="24"/>
        </w:rPr>
        <w:t xml:space="preserve"> </w:t>
      </w:r>
      <w:r w:rsidR="005C3ACA" w:rsidRPr="00724B5D">
        <w:rPr>
          <w:rFonts w:ascii="Georgia" w:hAnsi="Georgia" w:cs="Arial"/>
          <w:sz w:val="24"/>
          <w:szCs w:val="24"/>
        </w:rPr>
        <w:t>la decisión de primer grado y el trámite subsiguiente</w:t>
      </w:r>
      <w:r w:rsidR="00F4262A" w:rsidRPr="00724B5D">
        <w:rPr>
          <w:rFonts w:ascii="Georgia" w:hAnsi="Georgia"/>
          <w:sz w:val="24"/>
          <w:szCs w:val="24"/>
        </w:rPr>
        <w:t>.</w:t>
      </w:r>
      <w:r w:rsidR="00F32FED" w:rsidRPr="00724B5D">
        <w:rPr>
          <w:rFonts w:ascii="Georgia" w:hAnsi="Georgia"/>
          <w:sz w:val="24"/>
          <w:szCs w:val="24"/>
        </w:rPr>
        <w:t xml:space="preserve"> </w:t>
      </w:r>
      <w:r w:rsidR="005B48F1" w:rsidRPr="00724B5D">
        <w:rPr>
          <w:rFonts w:ascii="Georgia" w:hAnsi="Georgia"/>
          <w:sz w:val="24"/>
          <w:szCs w:val="24"/>
        </w:rPr>
        <w:t xml:space="preserve"> </w:t>
      </w:r>
    </w:p>
    <w:p w14:paraId="327925C3" w14:textId="77777777" w:rsidR="00042314" w:rsidRPr="00724B5D" w:rsidRDefault="00042314" w:rsidP="00724B5D">
      <w:pPr>
        <w:spacing w:line="276" w:lineRule="auto"/>
        <w:jc w:val="both"/>
        <w:rPr>
          <w:rFonts w:ascii="Georgia" w:hAnsi="Georgia"/>
          <w:sz w:val="24"/>
          <w:szCs w:val="24"/>
        </w:rPr>
      </w:pPr>
    </w:p>
    <w:p w14:paraId="30247641" w14:textId="77777777" w:rsidR="003C5098" w:rsidRPr="00724B5D" w:rsidRDefault="003C5098" w:rsidP="00724B5D">
      <w:pPr>
        <w:pStyle w:val="Textopredeterminado"/>
        <w:numPr>
          <w:ilvl w:val="0"/>
          <w:numId w:val="1"/>
        </w:numPr>
        <w:spacing w:line="276" w:lineRule="auto"/>
        <w:jc w:val="both"/>
        <w:textAlignment w:val="baseline"/>
        <w:rPr>
          <w:rFonts w:ascii="Georgia" w:hAnsi="Georgia" w:cs="Arial"/>
          <w:b/>
          <w:bCs/>
          <w:color w:val="auto"/>
          <w:szCs w:val="24"/>
        </w:rPr>
      </w:pPr>
      <w:r w:rsidRPr="00724B5D">
        <w:rPr>
          <w:rFonts w:ascii="Georgia" w:hAnsi="Georgia" w:cs="Arial"/>
          <w:b/>
          <w:bCs/>
          <w:color w:val="auto"/>
          <w:szCs w:val="24"/>
        </w:rPr>
        <w:t xml:space="preserve">LAS DECISIONES </w:t>
      </w:r>
    </w:p>
    <w:p w14:paraId="30247642" w14:textId="77777777" w:rsidR="003A68B4" w:rsidRPr="00724B5D" w:rsidRDefault="003A68B4" w:rsidP="00724B5D">
      <w:pPr>
        <w:spacing w:line="276" w:lineRule="auto"/>
        <w:ind w:right="51"/>
        <w:jc w:val="both"/>
        <w:rPr>
          <w:rFonts w:ascii="Georgia" w:hAnsi="Georgia" w:cs="Arial"/>
          <w:sz w:val="24"/>
          <w:szCs w:val="24"/>
        </w:rPr>
      </w:pPr>
    </w:p>
    <w:p w14:paraId="30247643" w14:textId="69723FB5" w:rsidR="0006374F" w:rsidRPr="00724B5D" w:rsidRDefault="0006374F" w:rsidP="00724B5D">
      <w:pPr>
        <w:spacing w:line="276" w:lineRule="auto"/>
        <w:ind w:right="51"/>
        <w:jc w:val="both"/>
        <w:rPr>
          <w:rFonts w:ascii="Georgia" w:hAnsi="Georgia" w:cs="Arial"/>
          <w:sz w:val="24"/>
          <w:szCs w:val="24"/>
        </w:rPr>
      </w:pPr>
      <w:r w:rsidRPr="00724B5D">
        <w:rPr>
          <w:rFonts w:ascii="Georgia" w:hAnsi="Georgia" w:cs="Arial"/>
          <w:sz w:val="24"/>
          <w:szCs w:val="24"/>
        </w:rPr>
        <w:t xml:space="preserve">En armonía con las premisas expuestas, se invalidará lo actuado a partir de la </w:t>
      </w:r>
      <w:r w:rsidR="005C3ACA" w:rsidRPr="00724B5D">
        <w:rPr>
          <w:rFonts w:ascii="Georgia" w:hAnsi="Georgia" w:cs="Arial"/>
          <w:sz w:val="24"/>
          <w:szCs w:val="24"/>
        </w:rPr>
        <w:t>sentencia de primera instancia</w:t>
      </w:r>
      <w:r w:rsidRPr="00724B5D">
        <w:rPr>
          <w:rFonts w:ascii="Georgia" w:hAnsi="Georgia"/>
          <w:sz w:val="24"/>
          <w:szCs w:val="24"/>
        </w:rPr>
        <w:t>.</w:t>
      </w:r>
    </w:p>
    <w:p w14:paraId="30247644" w14:textId="77777777" w:rsidR="0006374F" w:rsidRPr="00724B5D" w:rsidRDefault="0006374F" w:rsidP="00724B5D">
      <w:pPr>
        <w:spacing w:line="276" w:lineRule="auto"/>
        <w:ind w:right="51"/>
        <w:jc w:val="both"/>
        <w:rPr>
          <w:rFonts w:ascii="Georgia" w:hAnsi="Georgia" w:cs="Arial"/>
          <w:sz w:val="24"/>
          <w:szCs w:val="24"/>
        </w:rPr>
      </w:pPr>
    </w:p>
    <w:p w14:paraId="30247645" w14:textId="77777777" w:rsidR="0006374F" w:rsidRPr="00724B5D" w:rsidRDefault="0006374F" w:rsidP="00724B5D">
      <w:pPr>
        <w:tabs>
          <w:tab w:val="left" w:pos="-720"/>
        </w:tabs>
        <w:suppressAutoHyphens/>
        <w:spacing w:line="276" w:lineRule="auto"/>
        <w:jc w:val="both"/>
        <w:rPr>
          <w:rFonts w:ascii="Georgia" w:hAnsi="Georgia" w:cs="Arial"/>
          <w:spacing w:val="-3"/>
          <w:sz w:val="24"/>
          <w:szCs w:val="24"/>
        </w:rPr>
      </w:pPr>
      <w:r w:rsidRPr="00724B5D">
        <w:rPr>
          <w:rFonts w:ascii="Georgia" w:hAnsi="Georgia" w:cs="Arial"/>
          <w:sz w:val="24"/>
          <w:szCs w:val="24"/>
        </w:rPr>
        <w:t xml:space="preserve">Considerando suficientes los argumentos expuestos, el </w:t>
      </w:r>
      <w:r w:rsidRPr="00724B5D">
        <w:rPr>
          <w:rFonts w:ascii="Georgia" w:hAnsi="Georgia" w:cs="Arial"/>
          <w:smallCaps/>
          <w:sz w:val="24"/>
          <w:szCs w:val="24"/>
        </w:rPr>
        <w:t>Tribunal Superior del Distrito Judicial de Pereira, Sala Unitaria</w:t>
      </w:r>
      <w:r w:rsidRPr="00724B5D">
        <w:rPr>
          <w:rFonts w:ascii="Georgia" w:hAnsi="Georgia" w:cs="Arial"/>
          <w:sz w:val="24"/>
          <w:szCs w:val="24"/>
        </w:rPr>
        <w:t>,</w:t>
      </w:r>
    </w:p>
    <w:p w14:paraId="30247646" w14:textId="77777777" w:rsidR="0006374F" w:rsidRPr="00724B5D" w:rsidRDefault="0006374F" w:rsidP="00724B5D">
      <w:pPr>
        <w:tabs>
          <w:tab w:val="left" w:pos="-720"/>
        </w:tabs>
        <w:suppressAutoHyphens/>
        <w:spacing w:line="276" w:lineRule="auto"/>
        <w:jc w:val="center"/>
        <w:rPr>
          <w:rFonts w:ascii="Georgia" w:hAnsi="Georgia" w:cs="Arial"/>
          <w:smallCaps/>
          <w:sz w:val="24"/>
          <w:szCs w:val="24"/>
        </w:rPr>
      </w:pPr>
    </w:p>
    <w:p w14:paraId="30247647" w14:textId="77777777" w:rsidR="0006374F" w:rsidRPr="00724B5D" w:rsidRDefault="0006374F" w:rsidP="00724B5D">
      <w:pPr>
        <w:tabs>
          <w:tab w:val="left" w:pos="-720"/>
        </w:tabs>
        <w:suppressAutoHyphens/>
        <w:spacing w:line="276" w:lineRule="auto"/>
        <w:jc w:val="center"/>
        <w:rPr>
          <w:rFonts w:ascii="Georgia" w:hAnsi="Georgia" w:cs="Arial"/>
          <w:smallCaps/>
          <w:sz w:val="24"/>
          <w:szCs w:val="24"/>
        </w:rPr>
      </w:pPr>
      <w:r w:rsidRPr="00724B5D">
        <w:rPr>
          <w:rFonts w:ascii="Georgia" w:hAnsi="Georgia" w:cs="Arial"/>
          <w:smallCaps/>
          <w:sz w:val="24"/>
          <w:szCs w:val="24"/>
        </w:rPr>
        <w:t>R e s u e l v e,</w:t>
      </w:r>
    </w:p>
    <w:p w14:paraId="30247648" w14:textId="77777777" w:rsidR="0006374F" w:rsidRPr="00724B5D" w:rsidRDefault="0006374F" w:rsidP="00724B5D">
      <w:pPr>
        <w:tabs>
          <w:tab w:val="left" w:pos="-720"/>
        </w:tabs>
        <w:suppressAutoHyphens/>
        <w:spacing w:line="276" w:lineRule="auto"/>
        <w:jc w:val="center"/>
        <w:rPr>
          <w:rFonts w:ascii="Georgia" w:hAnsi="Georgia" w:cs="Arial"/>
          <w:smallCaps/>
          <w:sz w:val="24"/>
          <w:szCs w:val="24"/>
        </w:rPr>
      </w:pPr>
    </w:p>
    <w:p w14:paraId="30247649" w14:textId="4D2AAED2" w:rsidR="00224DC7" w:rsidRPr="00724B5D" w:rsidRDefault="0006374F" w:rsidP="00724B5D">
      <w:pPr>
        <w:pStyle w:val="Textopredeterminado"/>
        <w:numPr>
          <w:ilvl w:val="0"/>
          <w:numId w:val="4"/>
        </w:numPr>
        <w:spacing w:line="276" w:lineRule="auto"/>
        <w:ind w:right="51"/>
        <w:jc w:val="both"/>
        <w:textAlignment w:val="baseline"/>
        <w:rPr>
          <w:rFonts w:ascii="Georgia" w:hAnsi="Georgia"/>
          <w:color w:val="auto"/>
          <w:szCs w:val="24"/>
        </w:rPr>
      </w:pPr>
      <w:r w:rsidRPr="00724B5D">
        <w:rPr>
          <w:rFonts w:ascii="Georgia" w:hAnsi="Georgia" w:cs="Arial"/>
          <w:color w:val="auto"/>
          <w:szCs w:val="24"/>
        </w:rPr>
        <w:t xml:space="preserve">DECLARAR la nulidad de lo actuado en este proceso </w:t>
      </w:r>
      <w:r w:rsidR="005C3ACA" w:rsidRPr="00724B5D">
        <w:rPr>
          <w:rFonts w:ascii="Georgia" w:hAnsi="Georgia" w:cs="Arial"/>
          <w:color w:val="auto"/>
          <w:szCs w:val="24"/>
        </w:rPr>
        <w:t xml:space="preserve">a partir del </w:t>
      </w:r>
      <w:r w:rsidR="009565A0" w:rsidRPr="00724B5D">
        <w:rPr>
          <w:rFonts w:ascii="Georgia" w:hAnsi="Georgia" w:cs="Arial"/>
          <w:color w:val="auto"/>
          <w:szCs w:val="24"/>
        </w:rPr>
        <w:t>30</w:t>
      </w:r>
      <w:r w:rsidR="005C3ACA" w:rsidRPr="00724B5D">
        <w:rPr>
          <w:rFonts w:ascii="Georgia" w:hAnsi="Georgia" w:cs="Arial"/>
          <w:color w:val="auto"/>
          <w:szCs w:val="24"/>
        </w:rPr>
        <w:t>-</w:t>
      </w:r>
      <w:r w:rsidR="009565A0" w:rsidRPr="00724B5D">
        <w:rPr>
          <w:rFonts w:ascii="Georgia" w:hAnsi="Georgia" w:cs="Arial"/>
          <w:color w:val="auto"/>
          <w:szCs w:val="24"/>
        </w:rPr>
        <w:t>10</w:t>
      </w:r>
      <w:r w:rsidR="005C3ACA" w:rsidRPr="00724B5D">
        <w:rPr>
          <w:rFonts w:ascii="Georgia" w:hAnsi="Georgia" w:cs="Arial"/>
          <w:color w:val="auto"/>
          <w:szCs w:val="24"/>
        </w:rPr>
        <w:t>-2020</w:t>
      </w:r>
      <w:r w:rsidRPr="00724B5D">
        <w:rPr>
          <w:rFonts w:ascii="Georgia" w:hAnsi="Georgia"/>
          <w:color w:val="auto"/>
          <w:szCs w:val="24"/>
        </w:rPr>
        <w:t>.</w:t>
      </w:r>
    </w:p>
    <w:p w14:paraId="3024764A" w14:textId="77777777" w:rsidR="0006374F" w:rsidRPr="00724B5D" w:rsidRDefault="0006374F" w:rsidP="00724B5D">
      <w:pPr>
        <w:pStyle w:val="Textopredeterminado"/>
        <w:spacing w:line="276" w:lineRule="auto"/>
        <w:ind w:left="360" w:right="51"/>
        <w:jc w:val="both"/>
        <w:textAlignment w:val="baseline"/>
        <w:rPr>
          <w:rFonts w:ascii="Georgia" w:hAnsi="Georgia" w:cs="Arial"/>
          <w:color w:val="auto"/>
          <w:szCs w:val="24"/>
        </w:rPr>
      </w:pPr>
    </w:p>
    <w:p w14:paraId="3024764B" w14:textId="77C9937D" w:rsidR="00DB2868" w:rsidRPr="00724B5D" w:rsidRDefault="003C5098" w:rsidP="00724B5D">
      <w:pPr>
        <w:pStyle w:val="Prrafodelista"/>
        <w:numPr>
          <w:ilvl w:val="0"/>
          <w:numId w:val="4"/>
        </w:numPr>
        <w:spacing w:line="276" w:lineRule="auto"/>
        <w:ind w:left="426" w:hanging="426"/>
        <w:jc w:val="both"/>
        <w:rPr>
          <w:rFonts w:ascii="Georgia" w:hAnsi="Georgia" w:cs="Arial"/>
          <w:sz w:val="24"/>
          <w:szCs w:val="24"/>
        </w:rPr>
      </w:pPr>
      <w:r w:rsidRPr="00724B5D">
        <w:rPr>
          <w:rFonts w:ascii="Georgia" w:hAnsi="Georgia" w:cs="Arial"/>
          <w:sz w:val="24"/>
          <w:szCs w:val="24"/>
        </w:rPr>
        <w:t>DEVOLVER el expediente al Juzgado</w:t>
      </w:r>
      <w:r w:rsidR="008A52AE" w:rsidRPr="00724B5D">
        <w:rPr>
          <w:rFonts w:ascii="Georgia" w:hAnsi="Georgia" w:cs="Arial"/>
          <w:sz w:val="24"/>
          <w:szCs w:val="24"/>
        </w:rPr>
        <w:t xml:space="preserve"> </w:t>
      </w:r>
      <w:r w:rsidR="009565A0" w:rsidRPr="00724B5D">
        <w:rPr>
          <w:rFonts w:ascii="Georgia" w:hAnsi="Georgia" w:cs="Arial"/>
          <w:sz w:val="24"/>
          <w:szCs w:val="24"/>
        </w:rPr>
        <w:t>Segundo</w:t>
      </w:r>
      <w:r w:rsidR="00795C1D" w:rsidRPr="00724B5D">
        <w:rPr>
          <w:rFonts w:ascii="Georgia" w:hAnsi="Georgia" w:cs="Arial"/>
          <w:sz w:val="24"/>
          <w:szCs w:val="24"/>
        </w:rPr>
        <w:t xml:space="preserve"> </w:t>
      </w:r>
      <w:r w:rsidR="00E232E7" w:rsidRPr="00724B5D">
        <w:rPr>
          <w:rFonts w:ascii="Georgia" w:hAnsi="Georgia" w:cs="Arial"/>
          <w:sz w:val="24"/>
          <w:szCs w:val="24"/>
        </w:rPr>
        <w:t xml:space="preserve">Civil del Circuito </w:t>
      </w:r>
      <w:r w:rsidR="005B48F1" w:rsidRPr="00724B5D">
        <w:rPr>
          <w:rFonts w:ascii="Georgia" w:hAnsi="Georgia" w:cs="Arial"/>
          <w:sz w:val="24"/>
          <w:szCs w:val="24"/>
        </w:rPr>
        <w:t xml:space="preserve">de </w:t>
      </w:r>
      <w:r w:rsidR="00795C1D" w:rsidRPr="00724B5D">
        <w:rPr>
          <w:rFonts w:ascii="Georgia" w:hAnsi="Georgia" w:cs="Arial"/>
          <w:sz w:val="24"/>
          <w:szCs w:val="24"/>
        </w:rPr>
        <w:t>Pereira</w:t>
      </w:r>
      <w:r w:rsidR="007270B6" w:rsidRPr="00724B5D">
        <w:rPr>
          <w:rFonts w:ascii="Georgia" w:hAnsi="Georgia" w:cs="Arial"/>
          <w:sz w:val="24"/>
          <w:szCs w:val="24"/>
        </w:rPr>
        <w:t>, R.</w:t>
      </w:r>
      <w:r w:rsidR="00DB2868" w:rsidRPr="00724B5D">
        <w:rPr>
          <w:rFonts w:ascii="Georgia" w:hAnsi="Georgia" w:cs="Arial"/>
          <w:spacing w:val="-3"/>
          <w:sz w:val="24"/>
          <w:szCs w:val="24"/>
        </w:rPr>
        <w:t>, para que se rehaga la actuación viciada, con estricto acatamiento de los términos anotados en esta providencia.</w:t>
      </w:r>
    </w:p>
    <w:p w14:paraId="1F306E14" w14:textId="77777777" w:rsidR="00795C1D" w:rsidRPr="00724B5D" w:rsidRDefault="00795C1D" w:rsidP="00724B5D">
      <w:pPr>
        <w:pStyle w:val="Prrafodelista"/>
        <w:spacing w:line="276" w:lineRule="auto"/>
        <w:rPr>
          <w:rFonts w:ascii="Georgia" w:hAnsi="Georgia" w:cs="Arial"/>
          <w:sz w:val="24"/>
          <w:szCs w:val="24"/>
        </w:rPr>
      </w:pPr>
    </w:p>
    <w:p w14:paraId="0B709683" w14:textId="6E2CBDA7" w:rsidR="00724B5D" w:rsidRPr="00724B5D" w:rsidRDefault="00724B5D" w:rsidP="00724B5D">
      <w:pPr>
        <w:tabs>
          <w:tab w:val="center" w:pos="4845"/>
          <w:tab w:val="left" w:pos="6463"/>
        </w:tabs>
        <w:spacing w:line="276" w:lineRule="auto"/>
        <w:jc w:val="center"/>
        <w:rPr>
          <w:rFonts w:ascii="Georgia" w:hAnsi="Georgia" w:cs="Arial"/>
          <w:smallCaps/>
          <w:sz w:val="26"/>
          <w:szCs w:val="26"/>
          <w:lang w:val="es-CO"/>
        </w:rPr>
      </w:pPr>
      <w:r w:rsidRPr="00724B5D">
        <w:rPr>
          <w:rFonts w:ascii="Georgia" w:hAnsi="Georgia" w:cs="Arial"/>
          <w:smallCaps/>
          <w:sz w:val="26"/>
          <w:szCs w:val="26"/>
          <w:lang w:val="es-CO"/>
        </w:rPr>
        <w:t>N O T I F Í Q U E S E</w:t>
      </w:r>
    </w:p>
    <w:p w14:paraId="794AD443" w14:textId="77777777" w:rsidR="00724B5D" w:rsidRPr="00724B5D" w:rsidRDefault="00724B5D" w:rsidP="00724B5D">
      <w:pPr>
        <w:spacing w:line="276" w:lineRule="auto"/>
        <w:jc w:val="center"/>
        <w:rPr>
          <w:rFonts w:ascii="Georgia" w:hAnsi="Georgia"/>
          <w:w w:val="150"/>
          <w:sz w:val="26"/>
          <w:szCs w:val="26"/>
          <w:lang w:val="es-CO"/>
        </w:rPr>
      </w:pPr>
    </w:p>
    <w:p w14:paraId="46BE02C7" w14:textId="77777777" w:rsidR="00724B5D" w:rsidRPr="00724B5D" w:rsidRDefault="00724B5D" w:rsidP="00724B5D">
      <w:pPr>
        <w:spacing w:line="276" w:lineRule="auto"/>
        <w:jc w:val="center"/>
        <w:rPr>
          <w:rFonts w:ascii="Georgia" w:hAnsi="Georgia"/>
          <w:w w:val="150"/>
          <w:sz w:val="26"/>
          <w:szCs w:val="26"/>
          <w:lang w:val="es-CO"/>
        </w:rPr>
      </w:pPr>
    </w:p>
    <w:p w14:paraId="027D70A0" w14:textId="77777777" w:rsidR="00724B5D" w:rsidRPr="00724B5D" w:rsidRDefault="00724B5D" w:rsidP="00724B5D">
      <w:pPr>
        <w:spacing w:line="276" w:lineRule="auto"/>
        <w:jc w:val="center"/>
        <w:rPr>
          <w:rFonts w:ascii="Georgia" w:hAnsi="Georgia"/>
          <w:w w:val="150"/>
          <w:sz w:val="26"/>
          <w:szCs w:val="26"/>
          <w:lang w:val="es-CO"/>
        </w:rPr>
      </w:pPr>
    </w:p>
    <w:p w14:paraId="215665EC" w14:textId="77777777" w:rsidR="00724B5D" w:rsidRPr="00724B5D" w:rsidRDefault="00724B5D" w:rsidP="00724B5D">
      <w:pPr>
        <w:spacing w:line="276" w:lineRule="auto"/>
        <w:jc w:val="center"/>
        <w:rPr>
          <w:rFonts w:ascii="Georgia" w:hAnsi="Georgia"/>
          <w:i/>
          <w:iCs/>
          <w:w w:val="150"/>
          <w:sz w:val="26"/>
          <w:szCs w:val="26"/>
          <w:lang w:val="en-US"/>
        </w:rPr>
      </w:pPr>
      <w:r w:rsidRPr="00724B5D">
        <w:rPr>
          <w:rFonts w:ascii="Georgia" w:hAnsi="Georgia"/>
          <w:i/>
          <w:iCs/>
          <w:w w:val="150"/>
          <w:sz w:val="26"/>
          <w:szCs w:val="26"/>
          <w:lang w:val="en-US"/>
        </w:rPr>
        <w:t>DUBERNEY GRISALES HERRERA</w:t>
      </w:r>
    </w:p>
    <w:p w14:paraId="164C9478" w14:textId="45749E69" w:rsidR="0064454F" w:rsidRPr="00724B5D" w:rsidRDefault="00724B5D" w:rsidP="00724B5D">
      <w:pPr>
        <w:tabs>
          <w:tab w:val="center" w:pos="4703"/>
          <w:tab w:val="right" w:pos="9407"/>
        </w:tabs>
        <w:spacing w:line="276" w:lineRule="auto"/>
        <w:jc w:val="center"/>
        <w:rPr>
          <w:rFonts w:ascii="Georgia" w:hAnsi="Georgia"/>
          <w:w w:val="150"/>
          <w:sz w:val="22"/>
          <w:szCs w:val="26"/>
          <w:lang w:val="en-US"/>
        </w:rPr>
      </w:pPr>
      <w:r w:rsidRPr="00724B5D">
        <w:rPr>
          <w:rFonts w:ascii="Georgia" w:hAnsi="Georgia"/>
          <w:w w:val="150"/>
          <w:sz w:val="22"/>
          <w:szCs w:val="26"/>
          <w:lang w:val="en-US"/>
        </w:rPr>
        <w:t>M A G I S T R A D O</w:t>
      </w:r>
    </w:p>
    <w:sectPr w:rsidR="0064454F" w:rsidRPr="00724B5D" w:rsidSect="002F3BE8">
      <w:headerReference w:type="default" r:id="rId12"/>
      <w:footerReference w:type="default" r:id="rId13"/>
      <w:pgSz w:w="12240" w:h="18720" w:code="258"/>
      <w:pgMar w:top="1928" w:right="1361" w:bottom="1361" w:left="1928"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6BF6682" w16cex:dateUtc="2021-02-23T12:31:38.672Z"/>
  <w16cex:commentExtensible w16cex:durableId="6048A592" w16cex:dateUtc="2021-02-23T12:32:15.748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1D47B9" w14:textId="77777777" w:rsidR="0096212A" w:rsidRDefault="0096212A" w:rsidP="009A1240">
      <w:r>
        <w:separator/>
      </w:r>
    </w:p>
  </w:endnote>
  <w:endnote w:type="continuationSeparator" w:id="0">
    <w:p w14:paraId="56505528" w14:textId="77777777" w:rsidR="0096212A" w:rsidRDefault="0096212A" w:rsidP="009A1240">
      <w:r>
        <w:continuationSeparator/>
      </w:r>
    </w:p>
  </w:endnote>
  <w:endnote w:type="continuationNotice" w:id="1">
    <w:p w14:paraId="3F7D7927" w14:textId="77777777" w:rsidR="0096212A" w:rsidRDefault="009621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Iskoola Pota">
    <w:charset w:val="00"/>
    <w:family w:val="swiss"/>
    <w:pitch w:val="variable"/>
    <w:sig w:usb0="00000003" w:usb1="00000000" w:usb2="000002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247664" w14:textId="77777777" w:rsidR="00730597" w:rsidRDefault="00730597" w:rsidP="00045CE3">
    <w:pPr>
      <w:pStyle w:val="Piedepgina"/>
      <w:pBdr>
        <w:bottom w:val="double" w:sz="6" w:space="1" w:color="auto"/>
      </w:pBdr>
      <w:spacing w:line="360" w:lineRule="auto"/>
      <w:jc w:val="right"/>
      <w:rPr>
        <w:rFonts w:ascii="Arial" w:hAnsi="Arial" w:cs="Arial"/>
        <w:spacing w:val="20"/>
        <w:w w:val="200"/>
        <w:sz w:val="14"/>
        <w:szCs w:val="10"/>
        <w:lang w:val="es-CO"/>
      </w:rPr>
    </w:pPr>
  </w:p>
  <w:p w14:paraId="30247665" w14:textId="77777777" w:rsidR="00730597" w:rsidRDefault="00730597" w:rsidP="00045CE3">
    <w:pPr>
      <w:pStyle w:val="Piedepgina"/>
      <w:spacing w:line="360" w:lineRule="auto"/>
      <w:jc w:val="right"/>
      <w:rPr>
        <w:rFonts w:ascii="Arial" w:hAnsi="Arial" w:cs="Arial"/>
        <w:spacing w:val="20"/>
        <w:w w:val="200"/>
        <w:sz w:val="14"/>
        <w:szCs w:val="10"/>
        <w:lang w:val="es-CO"/>
      </w:rPr>
    </w:pPr>
  </w:p>
  <w:p w14:paraId="30247666" w14:textId="77777777" w:rsidR="00730597" w:rsidRPr="003E18D8" w:rsidRDefault="00730597" w:rsidP="003C5098">
    <w:pPr>
      <w:pStyle w:val="Piedepgina"/>
      <w:spacing w:line="360" w:lineRule="auto"/>
      <w:jc w:val="right"/>
      <w:rPr>
        <w:rFonts w:ascii="Arial" w:hAnsi="Arial" w:cs="Arial"/>
        <w:spacing w:val="20"/>
        <w:w w:val="200"/>
        <w:sz w:val="10"/>
        <w:szCs w:val="10"/>
      </w:rPr>
    </w:pPr>
    <w:r w:rsidRPr="003E18D8">
      <w:rPr>
        <w:rFonts w:ascii="Arial" w:hAnsi="Arial" w:cs="Arial"/>
        <w:spacing w:val="20"/>
        <w:w w:val="200"/>
        <w:sz w:val="14"/>
        <w:szCs w:val="14"/>
      </w:rPr>
      <w:t>T</w:t>
    </w:r>
    <w:r w:rsidRPr="003E18D8">
      <w:rPr>
        <w:rFonts w:ascii="Arial" w:hAnsi="Arial" w:cs="Arial"/>
        <w:spacing w:val="20"/>
        <w:w w:val="200"/>
        <w:sz w:val="10"/>
        <w:szCs w:val="10"/>
      </w:rPr>
      <w:t xml:space="preserve">RIBUNAL </w:t>
    </w:r>
    <w:r w:rsidRPr="003E18D8">
      <w:rPr>
        <w:rFonts w:ascii="Arial" w:hAnsi="Arial" w:cs="Arial"/>
        <w:spacing w:val="20"/>
        <w:w w:val="200"/>
        <w:sz w:val="14"/>
        <w:szCs w:val="14"/>
      </w:rPr>
      <w:t>S</w:t>
    </w:r>
    <w:r w:rsidRPr="003E18D8">
      <w:rPr>
        <w:rFonts w:ascii="Arial" w:hAnsi="Arial" w:cs="Arial"/>
        <w:spacing w:val="20"/>
        <w:w w:val="200"/>
        <w:sz w:val="10"/>
        <w:szCs w:val="10"/>
      </w:rPr>
      <w:t xml:space="preserve">UPERIOR DE </w:t>
    </w:r>
    <w:r w:rsidRPr="003E18D8">
      <w:rPr>
        <w:rFonts w:ascii="Arial" w:hAnsi="Arial" w:cs="Arial"/>
        <w:spacing w:val="20"/>
        <w:w w:val="200"/>
        <w:sz w:val="14"/>
        <w:szCs w:val="14"/>
      </w:rPr>
      <w:t>P</w:t>
    </w:r>
    <w:r>
      <w:rPr>
        <w:rFonts w:ascii="Arial" w:hAnsi="Arial" w:cs="Arial"/>
        <w:spacing w:val="20"/>
        <w:w w:val="200"/>
        <w:sz w:val="10"/>
        <w:szCs w:val="10"/>
      </w:rPr>
      <w:t>EREIRA</w:t>
    </w:r>
  </w:p>
  <w:p w14:paraId="30247667" w14:textId="77777777" w:rsidR="00730597" w:rsidRDefault="00730597" w:rsidP="00045CE3">
    <w:pPr>
      <w:pStyle w:val="Piedepgina"/>
      <w:jc w:val="right"/>
    </w:pPr>
    <w:r w:rsidRPr="008E0505">
      <w:rPr>
        <w:rFonts w:ascii="Arial" w:hAnsi="Arial" w:cs="Arial"/>
        <w:spacing w:val="20"/>
        <w:w w:val="200"/>
        <w:sz w:val="10"/>
        <w:szCs w:val="10"/>
        <w:lang w:val="es-CO"/>
      </w:rPr>
      <w:t>M</w:t>
    </w:r>
    <w:r>
      <w:rPr>
        <w:rFonts w:ascii="Arial" w:hAnsi="Arial" w:cs="Arial"/>
        <w:spacing w:val="20"/>
        <w:w w:val="200"/>
        <w:sz w:val="10"/>
        <w:szCs w:val="10"/>
        <w:lang w:val="es-CO"/>
      </w:rPr>
      <w:t>S</w:t>
    </w:r>
    <w:r w:rsidRPr="008E0505">
      <w:rPr>
        <w:rFonts w:ascii="Arial" w:hAnsi="Arial" w:cs="Arial"/>
        <w:spacing w:val="20"/>
        <w:w w:val="200"/>
        <w:sz w:val="10"/>
        <w:szCs w:val="10"/>
        <w:lang w:val="es-CO"/>
      </w:rPr>
      <w:t xml:space="preserve"> </w:t>
    </w:r>
    <w:r w:rsidRPr="008E0505">
      <w:rPr>
        <w:rFonts w:ascii="Arial" w:hAnsi="Arial" w:cs="Arial"/>
        <w:spacing w:val="20"/>
        <w:w w:val="200"/>
        <w:sz w:val="12"/>
        <w:szCs w:val="10"/>
        <w:lang w:val="es-CO"/>
      </w:rPr>
      <w:t>D</w:t>
    </w:r>
    <w:r w:rsidRPr="008E0505">
      <w:rPr>
        <w:rFonts w:ascii="Arial" w:hAnsi="Arial" w:cs="Arial"/>
        <w:spacing w:val="20"/>
        <w:w w:val="200"/>
        <w:sz w:val="8"/>
        <w:szCs w:val="10"/>
        <w:lang w:val="es-CO"/>
      </w:rPr>
      <w:t>UBERNEY</w:t>
    </w:r>
    <w:r w:rsidRPr="008E0505">
      <w:rPr>
        <w:rFonts w:ascii="Arial" w:hAnsi="Arial" w:cs="Arial"/>
        <w:spacing w:val="20"/>
        <w:w w:val="200"/>
        <w:sz w:val="10"/>
        <w:szCs w:val="10"/>
        <w:lang w:val="es-CO"/>
      </w:rPr>
      <w:t xml:space="preserve"> </w:t>
    </w:r>
    <w:r w:rsidRPr="008E0505">
      <w:rPr>
        <w:rFonts w:ascii="Arial" w:hAnsi="Arial" w:cs="Arial"/>
        <w:spacing w:val="20"/>
        <w:w w:val="200"/>
        <w:sz w:val="12"/>
        <w:szCs w:val="10"/>
        <w:lang w:val="es-CO"/>
      </w:rPr>
      <w:t>G</w:t>
    </w:r>
    <w:r w:rsidRPr="008E0505">
      <w:rPr>
        <w:rFonts w:ascii="Arial" w:hAnsi="Arial" w:cs="Arial"/>
        <w:spacing w:val="20"/>
        <w:w w:val="200"/>
        <w:sz w:val="8"/>
        <w:szCs w:val="10"/>
        <w:lang w:val="es-CO"/>
      </w:rPr>
      <w:t>RISALES</w:t>
    </w:r>
    <w:r w:rsidRPr="008E0505">
      <w:rPr>
        <w:rFonts w:ascii="Arial" w:hAnsi="Arial" w:cs="Arial"/>
        <w:spacing w:val="20"/>
        <w:w w:val="200"/>
        <w:sz w:val="10"/>
        <w:szCs w:val="10"/>
        <w:lang w:val="es-CO"/>
      </w:rPr>
      <w:t xml:space="preserve"> </w:t>
    </w:r>
    <w:r w:rsidRPr="008E0505">
      <w:rPr>
        <w:rFonts w:ascii="Arial" w:hAnsi="Arial" w:cs="Arial"/>
        <w:spacing w:val="20"/>
        <w:w w:val="200"/>
        <w:sz w:val="12"/>
        <w:szCs w:val="10"/>
        <w:lang w:val="es-CO"/>
      </w:rPr>
      <w:t>H</w:t>
    </w:r>
    <w:r w:rsidRPr="008E0505">
      <w:rPr>
        <w:rFonts w:ascii="Arial" w:hAnsi="Arial" w:cs="Arial"/>
        <w:spacing w:val="20"/>
        <w:w w:val="200"/>
        <w:sz w:val="8"/>
        <w:szCs w:val="10"/>
        <w:lang w:val="es-CO"/>
      </w:rPr>
      <w:t>ERRERA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67F392" w14:textId="77777777" w:rsidR="0096212A" w:rsidRDefault="0096212A" w:rsidP="009A1240">
      <w:r>
        <w:separator/>
      </w:r>
    </w:p>
  </w:footnote>
  <w:footnote w:type="continuationSeparator" w:id="0">
    <w:p w14:paraId="75E64F04" w14:textId="77777777" w:rsidR="0096212A" w:rsidRDefault="0096212A" w:rsidP="009A1240">
      <w:r>
        <w:continuationSeparator/>
      </w:r>
    </w:p>
  </w:footnote>
  <w:footnote w:type="continuationNotice" w:id="1">
    <w:p w14:paraId="7D55AD66" w14:textId="77777777" w:rsidR="0096212A" w:rsidRDefault="0096212A"/>
  </w:footnote>
  <w:footnote w:id="2">
    <w:p w14:paraId="30247668" w14:textId="77777777" w:rsidR="00730597" w:rsidRPr="00724B5D" w:rsidRDefault="00730597" w:rsidP="00724B5D">
      <w:pPr>
        <w:pStyle w:val="Textonotapie"/>
        <w:jc w:val="both"/>
        <w:rPr>
          <w:rFonts w:ascii="Century" w:hAnsi="Century"/>
        </w:rPr>
      </w:pPr>
      <w:r w:rsidRPr="00724B5D">
        <w:rPr>
          <w:rStyle w:val="Refdenotaalpie"/>
          <w:rFonts w:ascii="Century" w:hAnsi="Century"/>
          <w:lang w:val="es-CO"/>
        </w:rPr>
        <w:footnoteRef/>
      </w:r>
      <w:r w:rsidRPr="00724B5D">
        <w:rPr>
          <w:rFonts w:ascii="Century" w:hAnsi="Century"/>
          <w:lang w:val="es-CO"/>
        </w:rPr>
        <w:t xml:space="preserve"> CANOSA T., Fernando. Las nulidades en el derecho procesal civil, 3ª edición, Ediciones Doctrina y ley, 1998, p.26.</w:t>
      </w:r>
    </w:p>
  </w:footnote>
  <w:footnote w:id="3">
    <w:p w14:paraId="30247669" w14:textId="77777777" w:rsidR="00730597" w:rsidRPr="00724B5D" w:rsidRDefault="00730597" w:rsidP="00724B5D">
      <w:pPr>
        <w:pStyle w:val="Textonotapie"/>
        <w:jc w:val="both"/>
        <w:rPr>
          <w:rFonts w:ascii="Century" w:hAnsi="Century"/>
        </w:rPr>
      </w:pPr>
      <w:r w:rsidRPr="00724B5D">
        <w:rPr>
          <w:rStyle w:val="Refdenotaalpie"/>
          <w:rFonts w:ascii="Century" w:hAnsi="Century"/>
          <w:lang w:val="es-CO"/>
        </w:rPr>
        <w:footnoteRef/>
      </w:r>
      <w:r w:rsidRPr="00724B5D">
        <w:rPr>
          <w:rFonts w:ascii="Century" w:hAnsi="Century"/>
          <w:lang w:val="es-CO"/>
        </w:rPr>
        <w:t xml:space="preserve"> LÓPEZ B., Hernán F. Código General del Proceso, tomo I, parte general, Bogotá DC, Dupre editores, 2016, p.909 ss.</w:t>
      </w:r>
    </w:p>
  </w:footnote>
  <w:footnote w:id="4">
    <w:p w14:paraId="3024766A" w14:textId="77777777" w:rsidR="00730597" w:rsidRPr="00724B5D" w:rsidRDefault="00730597" w:rsidP="00724B5D">
      <w:pPr>
        <w:pStyle w:val="Textonotapie"/>
        <w:jc w:val="both"/>
        <w:rPr>
          <w:rFonts w:ascii="Century" w:hAnsi="Century"/>
        </w:rPr>
      </w:pPr>
      <w:r w:rsidRPr="00724B5D">
        <w:rPr>
          <w:rStyle w:val="Refdenotaalpie"/>
          <w:rFonts w:ascii="Century" w:hAnsi="Century"/>
          <w:lang w:val="es-CO"/>
        </w:rPr>
        <w:footnoteRef/>
      </w:r>
      <w:r w:rsidRPr="00724B5D">
        <w:rPr>
          <w:rFonts w:ascii="Century" w:hAnsi="Century"/>
          <w:lang w:val="es-CO"/>
        </w:rPr>
        <w:t xml:space="preserve"> AZULA C., Jaime. Manual de derecho procesal civil, tomo II, 4ª edición, editorial Temis, Bogotá D.C., 1994, p.303.</w:t>
      </w:r>
    </w:p>
  </w:footnote>
  <w:footnote w:id="5">
    <w:p w14:paraId="3024766B" w14:textId="2CF11053" w:rsidR="00730597" w:rsidRPr="00724B5D" w:rsidRDefault="00730597" w:rsidP="00724B5D">
      <w:pPr>
        <w:pStyle w:val="Textonotapie"/>
        <w:jc w:val="both"/>
        <w:rPr>
          <w:rFonts w:ascii="Century" w:hAnsi="Century"/>
        </w:rPr>
      </w:pPr>
      <w:r w:rsidRPr="00724B5D">
        <w:rPr>
          <w:rStyle w:val="Refdenotaalpie"/>
          <w:rFonts w:ascii="Century" w:hAnsi="Century"/>
          <w:lang w:val="es-CO"/>
        </w:rPr>
        <w:footnoteRef/>
      </w:r>
      <w:r w:rsidRPr="00724B5D">
        <w:rPr>
          <w:rFonts w:ascii="Century" w:hAnsi="Century"/>
          <w:lang w:val="es-CO"/>
        </w:rPr>
        <w:t xml:space="preserve"> ROJAS G., Miguel E. Lecciones de derecho procesal, tomo II, Procedimiento Civil, 7ª Edición, </w:t>
      </w:r>
      <w:r w:rsidRPr="00724B5D">
        <w:rPr>
          <w:rFonts w:ascii="Century" w:hAnsi="Century"/>
          <w:lang w:val="es-CO"/>
        </w:rPr>
        <w:t>Esaju, 2020, Bogotá DC, p.651.</w:t>
      </w:r>
    </w:p>
  </w:footnote>
  <w:footnote w:id="6">
    <w:p w14:paraId="3024766C" w14:textId="77777777" w:rsidR="00730597" w:rsidRPr="00724B5D" w:rsidRDefault="00730597" w:rsidP="00724B5D">
      <w:pPr>
        <w:pStyle w:val="Textonotapie"/>
        <w:jc w:val="both"/>
        <w:rPr>
          <w:rFonts w:ascii="Century" w:hAnsi="Century"/>
          <w:lang w:val="es-CO"/>
        </w:rPr>
      </w:pPr>
      <w:r w:rsidRPr="00724B5D">
        <w:rPr>
          <w:rStyle w:val="Refdenotaalpie"/>
          <w:rFonts w:ascii="Century" w:hAnsi="Century"/>
        </w:rPr>
        <w:footnoteRef/>
      </w:r>
      <w:r w:rsidRPr="00724B5D">
        <w:rPr>
          <w:rFonts w:ascii="Century" w:hAnsi="Century"/>
        </w:rPr>
        <w:t xml:space="preserve"> INSTITUTO COLOMBIANO DE DERECHO PROCESAL. Código General del Proceso</w:t>
      </w:r>
      <w:r w:rsidRPr="00724B5D">
        <w:rPr>
          <w:rFonts w:ascii="Century" w:hAnsi="Century"/>
          <w:lang w:val="es-CO"/>
        </w:rPr>
        <w:t>, Henry Sanabria S., Impresor Panamericana Formas e Impresos SAS, 2014, p.258.</w:t>
      </w:r>
      <w:r w:rsidRPr="00724B5D">
        <w:rPr>
          <w:rFonts w:ascii="Century" w:hAnsi="Century"/>
        </w:rPr>
        <w:t xml:space="preserve"> </w:t>
      </w:r>
    </w:p>
  </w:footnote>
  <w:footnote w:id="7">
    <w:p w14:paraId="3024766D" w14:textId="77777777" w:rsidR="00730597" w:rsidRPr="00724B5D" w:rsidRDefault="00730597" w:rsidP="00724B5D">
      <w:pPr>
        <w:pStyle w:val="Textonotapie"/>
        <w:jc w:val="both"/>
        <w:rPr>
          <w:rFonts w:ascii="Century" w:hAnsi="Century"/>
          <w:lang w:val="es-CO"/>
        </w:rPr>
      </w:pPr>
      <w:r w:rsidRPr="00724B5D">
        <w:rPr>
          <w:rStyle w:val="Refdenotaalpie"/>
          <w:rFonts w:ascii="Century" w:hAnsi="Century"/>
        </w:rPr>
        <w:footnoteRef/>
      </w:r>
      <w:r w:rsidRPr="00724B5D">
        <w:rPr>
          <w:rFonts w:ascii="Century" w:hAnsi="Century"/>
        </w:rPr>
        <w:t xml:space="preserve"> </w:t>
      </w:r>
      <w:r w:rsidRPr="00724B5D">
        <w:rPr>
          <w:rFonts w:ascii="Century" w:hAnsi="Century"/>
          <w:lang w:val="es-CO"/>
        </w:rPr>
        <w:t>CSJ. Civil. SC280-2018, SC8210-2016, entre otras.</w:t>
      </w:r>
    </w:p>
  </w:footnote>
  <w:footnote w:id="8">
    <w:p w14:paraId="73BC99BE" w14:textId="284DAA27" w:rsidR="00730597" w:rsidRPr="00724B5D" w:rsidRDefault="00730597" w:rsidP="00724B5D">
      <w:pPr>
        <w:pStyle w:val="Textonotapie"/>
        <w:jc w:val="both"/>
        <w:rPr>
          <w:rFonts w:ascii="Century" w:hAnsi="Century"/>
          <w:lang w:val="es-CO"/>
        </w:rPr>
      </w:pPr>
      <w:r w:rsidRPr="00724B5D">
        <w:rPr>
          <w:rStyle w:val="Refdenotaalpie"/>
          <w:rFonts w:ascii="Century" w:hAnsi="Century"/>
        </w:rPr>
        <w:footnoteRef/>
      </w:r>
      <w:r w:rsidRPr="00724B5D">
        <w:rPr>
          <w:rFonts w:ascii="Century" w:hAnsi="Century"/>
        </w:rPr>
        <w:t xml:space="preserve"> </w:t>
      </w:r>
      <w:r w:rsidRPr="00724B5D">
        <w:rPr>
          <w:rFonts w:ascii="Century" w:hAnsi="Century"/>
          <w:lang w:val="es-CO"/>
        </w:rPr>
        <w:t xml:space="preserve">ROJAS G., Miguel E. Lecciones de derecho procesal, tomo 4, procesos de conocimiento, </w:t>
      </w:r>
      <w:r w:rsidRPr="00724B5D">
        <w:rPr>
          <w:rFonts w:ascii="Century" w:hAnsi="Century"/>
          <w:lang w:val="es-CO"/>
        </w:rPr>
        <w:t>Esaju, 2016, Bogotá DC, p.254.</w:t>
      </w:r>
    </w:p>
  </w:footnote>
  <w:footnote w:id="9">
    <w:p w14:paraId="2562F92C" w14:textId="7935D53D" w:rsidR="00730597" w:rsidRPr="00724B5D" w:rsidRDefault="00730597" w:rsidP="00724B5D">
      <w:pPr>
        <w:pStyle w:val="Textonotapie"/>
        <w:jc w:val="both"/>
        <w:rPr>
          <w:rFonts w:ascii="Century" w:hAnsi="Century"/>
          <w:lang w:val="es-CO"/>
        </w:rPr>
      </w:pPr>
      <w:r w:rsidRPr="00724B5D">
        <w:rPr>
          <w:rStyle w:val="Refdenotaalpie"/>
          <w:rFonts w:ascii="Century" w:hAnsi="Century"/>
        </w:rPr>
        <w:footnoteRef/>
      </w:r>
      <w:r w:rsidRPr="00724B5D">
        <w:rPr>
          <w:rFonts w:ascii="Century" w:hAnsi="Century"/>
        </w:rPr>
        <w:t xml:space="preserve"> AZULA C</w:t>
      </w:r>
      <w:r w:rsidRPr="00724B5D">
        <w:rPr>
          <w:rFonts w:ascii="Century" w:hAnsi="Century"/>
          <w:lang w:val="es-CO"/>
        </w:rPr>
        <w:t>., Jaime. Manual de derecho procesal, tomo III, procesos de conocimiento, Temis, 2019 (Reimpresión), Bogotá DC, p.67.</w:t>
      </w:r>
    </w:p>
  </w:footnote>
  <w:footnote w:id="10">
    <w:p w14:paraId="4C3A935F" w14:textId="77777777" w:rsidR="00730597" w:rsidRPr="00724B5D" w:rsidRDefault="00730597" w:rsidP="00724B5D">
      <w:pPr>
        <w:pStyle w:val="Textonotapie"/>
        <w:jc w:val="both"/>
        <w:rPr>
          <w:rFonts w:ascii="Century" w:hAnsi="Century"/>
          <w:lang w:val="es-CO"/>
        </w:rPr>
      </w:pPr>
      <w:r w:rsidRPr="00724B5D">
        <w:rPr>
          <w:rStyle w:val="Refdenotaalpie"/>
          <w:rFonts w:ascii="Century" w:hAnsi="Century"/>
        </w:rPr>
        <w:footnoteRef/>
      </w:r>
      <w:r w:rsidRPr="00724B5D">
        <w:rPr>
          <w:rFonts w:ascii="Century" w:hAnsi="Century"/>
        </w:rPr>
        <w:t xml:space="preserve"> Ídem</w:t>
      </w:r>
      <w:r w:rsidRPr="00724B5D">
        <w:rPr>
          <w:rFonts w:ascii="Century" w:hAnsi="Century"/>
          <w:lang w:val="es-CO"/>
        </w:rPr>
        <w:t>, p.70.</w:t>
      </w:r>
    </w:p>
  </w:footnote>
  <w:footnote w:id="11">
    <w:p w14:paraId="78C2046D" w14:textId="0B215402" w:rsidR="00730597" w:rsidRPr="00724B5D" w:rsidRDefault="00730597" w:rsidP="00724B5D">
      <w:pPr>
        <w:pStyle w:val="Textonotapie"/>
        <w:jc w:val="both"/>
        <w:rPr>
          <w:rFonts w:ascii="Century" w:hAnsi="Century"/>
          <w:lang w:val="es-CO"/>
        </w:rPr>
      </w:pPr>
      <w:r w:rsidRPr="00724B5D">
        <w:rPr>
          <w:rStyle w:val="Refdenotaalpie"/>
          <w:rFonts w:ascii="Century" w:hAnsi="Century"/>
        </w:rPr>
        <w:footnoteRef/>
      </w:r>
      <w:r w:rsidRPr="00724B5D">
        <w:rPr>
          <w:rFonts w:ascii="Century" w:hAnsi="Century"/>
        </w:rPr>
        <w:t xml:space="preserve"> </w:t>
      </w:r>
      <w:r w:rsidRPr="00724B5D">
        <w:rPr>
          <w:rFonts w:ascii="Century" w:hAnsi="Century"/>
          <w:lang w:val="es-CO"/>
        </w:rPr>
        <w:t>ROJAS G., Miguel E. Ob. cit. p 255.</w:t>
      </w:r>
    </w:p>
  </w:footnote>
  <w:footnote w:id="12">
    <w:p w14:paraId="78895EFB" w14:textId="7676F2D6" w:rsidR="00730597" w:rsidRPr="00724B5D" w:rsidRDefault="00730597" w:rsidP="00724B5D">
      <w:pPr>
        <w:pStyle w:val="Textonotapie"/>
        <w:jc w:val="both"/>
        <w:rPr>
          <w:rFonts w:ascii="Century" w:hAnsi="Century"/>
          <w:lang w:val="es-CO"/>
        </w:rPr>
      </w:pPr>
      <w:r w:rsidRPr="00724B5D">
        <w:rPr>
          <w:rStyle w:val="Refdenotaalpie"/>
          <w:rFonts w:ascii="Century" w:hAnsi="Century"/>
        </w:rPr>
        <w:footnoteRef/>
      </w:r>
      <w:r w:rsidRPr="00724B5D">
        <w:rPr>
          <w:rFonts w:ascii="Century" w:hAnsi="Century"/>
        </w:rPr>
        <w:t xml:space="preserve"> </w:t>
      </w:r>
      <w:r w:rsidRPr="00724B5D">
        <w:rPr>
          <w:rFonts w:ascii="Century" w:hAnsi="Century"/>
          <w:lang w:val="es-CO"/>
        </w:rPr>
        <w:t>LÓPEZ B., Hernán F. Código General del Proceso, tomo I, parte general, Bogotá DC, Dupre editores, 2017, p.135.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247661" w14:textId="77777777" w:rsidR="00730597" w:rsidRPr="00724B5D" w:rsidRDefault="00730597" w:rsidP="00724B5D">
    <w:pPr>
      <w:pStyle w:val="Encabezado"/>
      <w:pBdr>
        <w:bottom w:val="single" w:sz="4" w:space="1" w:color="D9D9D9"/>
      </w:pBdr>
      <w:jc w:val="right"/>
      <w:rPr>
        <w:rFonts w:ascii="Calibri" w:hAnsi="Calibri" w:cs="Calibri"/>
        <w:bCs/>
      </w:rPr>
    </w:pPr>
    <w:r w:rsidRPr="00724B5D">
      <w:rPr>
        <w:rFonts w:ascii="Calibri" w:hAnsi="Calibri" w:cs="Calibri"/>
        <w:spacing w:val="60"/>
      </w:rPr>
      <w:t>Página</w:t>
    </w:r>
    <w:r w:rsidRPr="00724B5D">
      <w:rPr>
        <w:rFonts w:ascii="Calibri" w:hAnsi="Calibri" w:cs="Calibri"/>
      </w:rPr>
      <w:t xml:space="preserve"> | </w:t>
    </w:r>
    <w:r w:rsidRPr="00724B5D">
      <w:rPr>
        <w:rFonts w:ascii="Calibri" w:hAnsi="Calibri" w:cs="Calibri"/>
      </w:rPr>
      <w:fldChar w:fldCharType="begin"/>
    </w:r>
    <w:r w:rsidRPr="00724B5D">
      <w:rPr>
        <w:rFonts w:ascii="Calibri" w:hAnsi="Calibri" w:cs="Calibri"/>
      </w:rPr>
      <w:instrText>PAGE   \* MERGEFORMAT</w:instrText>
    </w:r>
    <w:r w:rsidRPr="00724B5D">
      <w:rPr>
        <w:rFonts w:ascii="Calibri" w:hAnsi="Calibri" w:cs="Calibri"/>
      </w:rPr>
      <w:fldChar w:fldCharType="separate"/>
    </w:r>
    <w:r w:rsidRPr="00724B5D">
      <w:rPr>
        <w:rFonts w:ascii="Calibri" w:hAnsi="Calibri" w:cs="Calibri"/>
        <w:bCs/>
        <w:noProof/>
      </w:rPr>
      <w:t>2</w:t>
    </w:r>
    <w:r w:rsidRPr="00724B5D">
      <w:rPr>
        <w:rFonts w:ascii="Calibri" w:hAnsi="Calibri" w:cs="Calibri"/>
      </w:rPr>
      <w:fldChar w:fldCharType="end"/>
    </w:r>
  </w:p>
  <w:p w14:paraId="30247663" w14:textId="0F415FA2" w:rsidR="00730597" w:rsidRPr="00724B5D" w:rsidRDefault="00730597" w:rsidP="00045CE3">
    <w:pPr>
      <w:pStyle w:val="Encabezado"/>
      <w:rPr>
        <w:rFonts w:ascii="Calibri Light" w:hAnsi="Calibri Light" w:cs="Iskoola Pota"/>
        <w:i/>
        <w:sz w:val="18"/>
        <w:lang w:val="es-CO"/>
      </w:rPr>
    </w:pPr>
    <w:r w:rsidRPr="00724B5D">
      <w:rPr>
        <w:rFonts w:ascii="Calibri Light" w:hAnsi="Calibri Light" w:cs="Iskoola Pota"/>
        <w:i/>
        <w:lang w:val="es-CO"/>
      </w:rPr>
      <w:t>E</w:t>
    </w:r>
    <w:r w:rsidRPr="00724B5D">
      <w:rPr>
        <w:rFonts w:ascii="Calibri Light" w:hAnsi="Calibri Light" w:cs="Iskoola Pota"/>
        <w:i/>
        <w:sz w:val="16"/>
        <w:lang w:val="es-CO"/>
      </w:rPr>
      <w:t>XPEDIENTE No.</w:t>
    </w:r>
    <w:r w:rsidR="00724B5D" w:rsidRPr="00724B5D">
      <w:rPr>
        <w:rFonts w:ascii="Calibri Light" w:hAnsi="Calibri Light" w:cs="Iskoola Pota"/>
        <w:i/>
        <w:sz w:val="16"/>
        <w:lang w:val="es-CO"/>
      </w:rPr>
      <w:t xml:space="preserve"> </w:t>
    </w:r>
    <w:r w:rsidRPr="00724B5D">
      <w:rPr>
        <w:rFonts w:ascii="Calibri Light" w:hAnsi="Calibri Light" w:cs="Iskoola Pota"/>
        <w:i/>
        <w:sz w:val="16"/>
        <w:lang w:val="es-CO"/>
      </w:rPr>
      <w:t>2014-00305-01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9661B9"/>
    <w:multiLevelType w:val="hybridMultilevel"/>
    <w:tmpl w:val="75A6ED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DA53BD3"/>
    <w:multiLevelType w:val="hybridMultilevel"/>
    <w:tmpl w:val="0C18771A"/>
    <w:lvl w:ilvl="0" w:tplc="7E723F50">
      <w:start w:val="1"/>
      <w:numFmt w:val="decimal"/>
      <w:lvlText w:val="%1."/>
      <w:lvlJc w:val="left"/>
      <w:pPr>
        <w:tabs>
          <w:tab w:val="num" w:pos="360"/>
        </w:tabs>
        <w:ind w:left="360" w:hanging="360"/>
      </w:pPr>
      <w:rPr>
        <w:b w:val="0"/>
        <w:bCs w:val="0"/>
      </w:rPr>
    </w:lvl>
    <w:lvl w:ilvl="1" w:tplc="0C0A0019">
      <w:start w:val="1"/>
      <w:numFmt w:val="lowerLetter"/>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start w:val="1"/>
      <w:numFmt w:val="lowerLetter"/>
      <w:lvlText w:val="%5."/>
      <w:lvlJc w:val="left"/>
      <w:pPr>
        <w:tabs>
          <w:tab w:val="num" w:pos="3240"/>
        </w:tabs>
        <w:ind w:left="3240" w:hanging="360"/>
      </w:pPr>
    </w:lvl>
    <w:lvl w:ilvl="5" w:tplc="0C0A001B">
      <w:start w:val="1"/>
      <w:numFmt w:val="lowerRoman"/>
      <w:lvlText w:val="%6."/>
      <w:lvlJc w:val="right"/>
      <w:pPr>
        <w:tabs>
          <w:tab w:val="num" w:pos="3960"/>
        </w:tabs>
        <w:ind w:left="3960" w:hanging="180"/>
      </w:pPr>
    </w:lvl>
    <w:lvl w:ilvl="6" w:tplc="0C0A000F">
      <w:start w:val="1"/>
      <w:numFmt w:val="decimal"/>
      <w:lvlText w:val="%7."/>
      <w:lvlJc w:val="left"/>
      <w:pPr>
        <w:tabs>
          <w:tab w:val="num" w:pos="4680"/>
        </w:tabs>
        <w:ind w:left="4680" w:hanging="360"/>
      </w:pPr>
    </w:lvl>
    <w:lvl w:ilvl="7" w:tplc="0C0A0019">
      <w:start w:val="1"/>
      <w:numFmt w:val="lowerLetter"/>
      <w:lvlText w:val="%8."/>
      <w:lvlJc w:val="left"/>
      <w:pPr>
        <w:tabs>
          <w:tab w:val="num" w:pos="5400"/>
        </w:tabs>
        <w:ind w:left="5400" w:hanging="360"/>
      </w:pPr>
    </w:lvl>
    <w:lvl w:ilvl="8" w:tplc="0C0A001B">
      <w:start w:val="1"/>
      <w:numFmt w:val="lowerRoman"/>
      <w:lvlText w:val="%9."/>
      <w:lvlJc w:val="right"/>
      <w:pPr>
        <w:tabs>
          <w:tab w:val="num" w:pos="6120"/>
        </w:tabs>
        <w:ind w:left="6120" w:hanging="180"/>
      </w:pPr>
    </w:lvl>
  </w:abstractNum>
  <w:abstractNum w:abstractNumId="2" w15:restartNumberingAfterBreak="0">
    <w:nsid w:val="319E3479"/>
    <w:multiLevelType w:val="multilevel"/>
    <w:tmpl w:val="FF7AAAF6"/>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15:restartNumberingAfterBreak="0">
    <w:nsid w:val="333E195C"/>
    <w:multiLevelType w:val="hybridMultilevel"/>
    <w:tmpl w:val="AEB628BC"/>
    <w:lvl w:ilvl="0" w:tplc="1B7269F4">
      <w:start w:val="1"/>
      <w:numFmt w:val="decimal"/>
      <w:lvlText w:val="%1."/>
      <w:lvlJc w:val="left"/>
      <w:pPr>
        <w:ind w:left="360" w:hanging="360"/>
      </w:pPr>
      <w:rPr>
        <w:rFonts w:hint="default"/>
        <w:sz w:val="24"/>
        <w:szCs w:val="24"/>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4" w15:restartNumberingAfterBreak="0">
    <w:nsid w:val="504664BE"/>
    <w:multiLevelType w:val="multilevel"/>
    <w:tmpl w:val="16DAF212"/>
    <w:lvl w:ilvl="0">
      <w:start w:val="1"/>
      <w:numFmt w:val="decimal"/>
      <w:lvlText w:val="%1."/>
      <w:lvlJc w:val="left"/>
      <w:pPr>
        <w:tabs>
          <w:tab w:val="num" w:pos="360"/>
        </w:tabs>
        <w:ind w:left="360" w:hanging="360"/>
      </w:pPr>
      <w:rPr>
        <w:rFonts w:cs="Times New Roman"/>
      </w:rPr>
    </w:lvl>
    <w:lvl w:ilvl="1">
      <w:start w:val="2"/>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5" w15:restartNumberingAfterBreak="0">
    <w:nsid w:val="53D301EC"/>
    <w:multiLevelType w:val="hybridMultilevel"/>
    <w:tmpl w:val="FED4D0C4"/>
    <w:lvl w:ilvl="0" w:tplc="FFFFFFF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6" w15:restartNumberingAfterBreak="0">
    <w:nsid w:val="67334F69"/>
    <w:multiLevelType w:val="multilevel"/>
    <w:tmpl w:val="D402DF9E"/>
    <w:lvl w:ilvl="0">
      <w:start w:val="1"/>
      <w:numFmt w:val="decimal"/>
      <w:lvlText w:val="%1."/>
      <w:lvlJc w:val="left"/>
      <w:pPr>
        <w:ind w:left="360" w:hanging="360"/>
      </w:pPr>
      <w:rPr>
        <w:rFonts w:cs="Times New Roman"/>
        <w:sz w:val="28"/>
      </w:rPr>
    </w:lvl>
    <w:lvl w:ilvl="1">
      <w:start w:val="1"/>
      <w:numFmt w:val="decimal"/>
      <w:isLgl/>
      <w:lvlText w:val="%1.%2."/>
      <w:lvlJc w:val="left"/>
      <w:pPr>
        <w:ind w:left="720" w:hanging="720"/>
      </w:pPr>
      <w:rPr>
        <w:rFonts w:cs="Times New Roman" w:hint="default"/>
        <w:sz w:val="24"/>
      </w:rPr>
    </w:lvl>
    <w:lvl w:ilvl="2">
      <w:start w:val="1"/>
      <w:numFmt w:val="decimal"/>
      <w:isLgl/>
      <w:lvlText w:val="%1.%2.%3."/>
      <w:lvlJc w:val="left"/>
      <w:pPr>
        <w:ind w:left="720" w:hanging="720"/>
      </w:pPr>
      <w:rPr>
        <w:rFonts w:cs="Times New Roman" w:hint="default"/>
        <w:sz w:val="24"/>
        <w:szCs w:val="22"/>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7" w15:restartNumberingAfterBreak="0">
    <w:nsid w:val="69BE7731"/>
    <w:multiLevelType w:val="multilevel"/>
    <w:tmpl w:val="C57A96C0"/>
    <w:lvl w:ilvl="0">
      <w:start w:val="4"/>
      <w:numFmt w:val="decimal"/>
      <w:lvlText w:val="%1."/>
      <w:lvlJc w:val="left"/>
      <w:pPr>
        <w:ind w:left="400" w:hanging="400"/>
      </w:pPr>
      <w:rPr>
        <w:rFonts w:cs="Times New Roman" w:hint="default"/>
        <w:sz w:val="22"/>
      </w:rPr>
    </w:lvl>
    <w:lvl w:ilvl="1">
      <w:start w:val="1"/>
      <w:numFmt w:val="decimal"/>
      <w:lvlText w:val="%1.%2."/>
      <w:lvlJc w:val="left"/>
      <w:pPr>
        <w:ind w:left="720" w:hanging="720"/>
      </w:pPr>
      <w:rPr>
        <w:rFonts w:cs="Times New Roman" w:hint="default"/>
        <w:sz w:val="22"/>
      </w:rPr>
    </w:lvl>
    <w:lvl w:ilvl="2">
      <w:start w:val="1"/>
      <w:numFmt w:val="decimal"/>
      <w:lvlText w:val="%1.%2.%3."/>
      <w:lvlJc w:val="left"/>
      <w:pPr>
        <w:ind w:left="720" w:hanging="720"/>
      </w:pPr>
      <w:rPr>
        <w:rFonts w:cs="Times New Roman" w:hint="default"/>
        <w:sz w:val="22"/>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15:restartNumberingAfterBreak="0">
    <w:nsid w:val="6D581253"/>
    <w:multiLevelType w:val="multilevel"/>
    <w:tmpl w:val="25EE7B8E"/>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9" w15:restartNumberingAfterBreak="0">
    <w:nsid w:val="73D5112F"/>
    <w:multiLevelType w:val="hybridMultilevel"/>
    <w:tmpl w:val="E63C247A"/>
    <w:lvl w:ilvl="0" w:tplc="080A000F">
      <w:start w:val="1"/>
      <w:numFmt w:val="decimal"/>
      <w:lvlText w:val="%1."/>
      <w:lvlJc w:val="left"/>
      <w:pPr>
        <w:tabs>
          <w:tab w:val="num" w:pos="360"/>
        </w:tabs>
        <w:ind w:left="360" w:hanging="360"/>
      </w:pPr>
      <w:rPr>
        <w:rFonts w:cs="Times New Roman"/>
      </w:rPr>
    </w:lvl>
    <w:lvl w:ilvl="1" w:tplc="080A0019" w:tentative="1">
      <w:start w:val="1"/>
      <w:numFmt w:val="lowerLetter"/>
      <w:lvlText w:val="%2."/>
      <w:lvlJc w:val="left"/>
      <w:pPr>
        <w:tabs>
          <w:tab w:val="num" w:pos="1080"/>
        </w:tabs>
        <w:ind w:left="1080" w:hanging="360"/>
      </w:pPr>
      <w:rPr>
        <w:rFonts w:cs="Times New Roman"/>
      </w:rPr>
    </w:lvl>
    <w:lvl w:ilvl="2" w:tplc="080A001B" w:tentative="1">
      <w:start w:val="1"/>
      <w:numFmt w:val="lowerRoman"/>
      <w:lvlText w:val="%3."/>
      <w:lvlJc w:val="right"/>
      <w:pPr>
        <w:tabs>
          <w:tab w:val="num" w:pos="1800"/>
        </w:tabs>
        <w:ind w:left="1800" w:hanging="180"/>
      </w:pPr>
      <w:rPr>
        <w:rFonts w:cs="Times New Roman"/>
      </w:rPr>
    </w:lvl>
    <w:lvl w:ilvl="3" w:tplc="080A000F" w:tentative="1">
      <w:start w:val="1"/>
      <w:numFmt w:val="decimal"/>
      <w:lvlText w:val="%4."/>
      <w:lvlJc w:val="left"/>
      <w:pPr>
        <w:tabs>
          <w:tab w:val="num" w:pos="2520"/>
        </w:tabs>
        <w:ind w:left="2520" w:hanging="360"/>
      </w:pPr>
      <w:rPr>
        <w:rFonts w:cs="Times New Roman"/>
      </w:rPr>
    </w:lvl>
    <w:lvl w:ilvl="4" w:tplc="080A0019" w:tentative="1">
      <w:start w:val="1"/>
      <w:numFmt w:val="lowerLetter"/>
      <w:lvlText w:val="%5."/>
      <w:lvlJc w:val="left"/>
      <w:pPr>
        <w:tabs>
          <w:tab w:val="num" w:pos="3240"/>
        </w:tabs>
        <w:ind w:left="3240" w:hanging="360"/>
      </w:pPr>
      <w:rPr>
        <w:rFonts w:cs="Times New Roman"/>
      </w:rPr>
    </w:lvl>
    <w:lvl w:ilvl="5" w:tplc="080A001B" w:tentative="1">
      <w:start w:val="1"/>
      <w:numFmt w:val="lowerRoman"/>
      <w:lvlText w:val="%6."/>
      <w:lvlJc w:val="right"/>
      <w:pPr>
        <w:tabs>
          <w:tab w:val="num" w:pos="3960"/>
        </w:tabs>
        <w:ind w:left="3960" w:hanging="180"/>
      </w:pPr>
      <w:rPr>
        <w:rFonts w:cs="Times New Roman"/>
      </w:rPr>
    </w:lvl>
    <w:lvl w:ilvl="6" w:tplc="080A000F" w:tentative="1">
      <w:start w:val="1"/>
      <w:numFmt w:val="decimal"/>
      <w:lvlText w:val="%7."/>
      <w:lvlJc w:val="left"/>
      <w:pPr>
        <w:tabs>
          <w:tab w:val="num" w:pos="4680"/>
        </w:tabs>
        <w:ind w:left="4680" w:hanging="360"/>
      </w:pPr>
      <w:rPr>
        <w:rFonts w:cs="Times New Roman"/>
      </w:rPr>
    </w:lvl>
    <w:lvl w:ilvl="7" w:tplc="080A0019" w:tentative="1">
      <w:start w:val="1"/>
      <w:numFmt w:val="lowerLetter"/>
      <w:lvlText w:val="%8."/>
      <w:lvlJc w:val="left"/>
      <w:pPr>
        <w:tabs>
          <w:tab w:val="num" w:pos="5400"/>
        </w:tabs>
        <w:ind w:left="5400" w:hanging="360"/>
      </w:pPr>
      <w:rPr>
        <w:rFonts w:cs="Times New Roman"/>
      </w:rPr>
    </w:lvl>
    <w:lvl w:ilvl="8" w:tplc="080A001B" w:tentative="1">
      <w:start w:val="1"/>
      <w:numFmt w:val="lowerRoman"/>
      <w:lvlText w:val="%9."/>
      <w:lvlJc w:val="right"/>
      <w:pPr>
        <w:tabs>
          <w:tab w:val="num" w:pos="6120"/>
        </w:tabs>
        <w:ind w:left="6120" w:hanging="180"/>
      </w:pPr>
      <w:rPr>
        <w:rFonts w:cs="Times New Roman"/>
      </w:rPr>
    </w:lvl>
  </w:abstractNum>
  <w:abstractNum w:abstractNumId="10" w15:restartNumberingAfterBreak="0">
    <w:nsid w:val="7D0E58B1"/>
    <w:multiLevelType w:val="hybridMultilevel"/>
    <w:tmpl w:val="CB143D22"/>
    <w:lvl w:ilvl="0" w:tplc="D4B4A322">
      <w:start w:val="1"/>
      <w:numFmt w:val="decimal"/>
      <w:lvlText w:val="%1."/>
      <w:lvlJc w:val="left"/>
      <w:pPr>
        <w:ind w:left="360" w:hanging="360"/>
      </w:pPr>
      <w:rPr>
        <w:rFonts w:cs="Times New Roman" w:hint="default"/>
        <w:b/>
      </w:rPr>
    </w:lvl>
    <w:lvl w:ilvl="1" w:tplc="240A0019" w:tentative="1">
      <w:start w:val="1"/>
      <w:numFmt w:val="lowerLetter"/>
      <w:lvlText w:val="%2."/>
      <w:lvlJc w:val="left"/>
      <w:pPr>
        <w:ind w:left="1298" w:hanging="360"/>
      </w:pPr>
      <w:rPr>
        <w:rFonts w:cs="Times New Roman"/>
      </w:rPr>
    </w:lvl>
    <w:lvl w:ilvl="2" w:tplc="240A001B" w:tentative="1">
      <w:start w:val="1"/>
      <w:numFmt w:val="lowerRoman"/>
      <w:lvlText w:val="%3."/>
      <w:lvlJc w:val="right"/>
      <w:pPr>
        <w:ind w:left="2018" w:hanging="180"/>
      </w:pPr>
      <w:rPr>
        <w:rFonts w:cs="Times New Roman"/>
      </w:rPr>
    </w:lvl>
    <w:lvl w:ilvl="3" w:tplc="240A000F" w:tentative="1">
      <w:start w:val="1"/>
      <w:numFmt w:val="decimal"/>
      <w:lvlText w:val="%4."/>
      <w:lvlJc w:val="left"/>
      <w:pPr>
        <w:ind w:left="2738" w:hanging="360"/>
      </w:pPr>
      <w:rPr>
        <w:rFonts w:cs="Times New Roman"/>
      </w:rPr>
    </w:lvl>
    <w:lvl w:ilvl="4" w:tplc="240A0019" w:tentative="1">
      <w:start w:val="1"/>
      <w:numFmt w:val="lowerLetter"/>
      <w:lvlText w:val="%5."/>
      <w:lvlJc w:val="left"/>
      <w:pPr>
        <w:ind w:left="3458" w:hanging="360"/>
      </w:pPr>
      <w:rPr>
        <w:rFonts w:cs="Times New Roman"/>
      </w:rPr>
    </w:lvl>
    <w:lvl w:ilvl="5" w:tplc="240A001B" w:tentative="1">
      <w:start w:val="1"/>
      <w:numFmt w:val="lowerRoman"/>
      <w:lvlText w:val="%6."/>
      <w:lvlJc w:val="right"/>
      <w:pPr>
        <w:ind w:left="4178" w:hanging="180"/>
      </w:pPr>
      <w:rPr>
        <w:rFonts w:cs="Times New Roman"/>
      </w:rPr>
    </w:lvl>
    <w:lvl w:ilvl="6" w:tplc="240A000F" w:tentative="1">
      <w:start w:val="1"/>
      <w:numFmt w:val="decimal"/>
      <w:lvlText w:val="%7."/>
      <w:lvlJc w:val="left"/>
      <w:pPr>
        <w:ind w:left="4898" w:hanging="360"/>
      </w:pPr>
      <w:rPr>
        <w:rFonts w:cs="Times New Roman"/>
      </w:rPr>
    </w:lvl>
    <w:lvl w:ilvl="7" w:tplc="240A0019" w:tentative="1">
      <w:start w:val="1"/>
      <w:numFmt w:val="lowerLetter"/>
      <w:lvlText w:val="%8."/>
      <w:lvlJc w:val="left"/>
      <w:pPr>
        <w:ind w:left="5618" w:hanging="360"/>
      </w:pPr>
      <w:rPr>
        <w:rFonts w:cs="Times New Roman"/>
      </w:rPr>
    </w:lvl>
    <w:lvl w:ilvl="8" w:tplc="240A001B" w:tentative="1">
      <w:start w:val="1"/>
      <w:numFmt w:val="lowerRoman"/>
      <w:lvlText w:val="%9."/>
      <w:lvlJc w:val="right"/>
      <w:pPr>
        <w:ind w:left="6338" w:hanging="180"/>
      </w:pPr>
      <w:rPr>
        <w:rFonts w:cs="Times New Roman"/>
      </w:rPr>
    </w:lvl>
  </w:abstractNum>
  <w:num w:numId="1">
    <w:abstractNumId w:val="8"/>
  </w:num>
  <w:num w:numId="2">
    <w:abstractNumId w:val="5"/>
  </w:num>
  <w:num w:numId="3">
    <w:abstractNumId w:val="10"/>
  </w:num>
  <w:num w:numId="4">
    <w:abstractNumId w:val="9"/>
  </w:num>
  <w:num w:numId="5">
    <w:abstractNumId w:val="4"/>
  </w:num>
  <w:num w:numId="6">
    <w:abstractNumId w:val="2"/>
  </w:num>
  <w:num w:numId="7">
    <w:abstractNumId w:val="7"/>
  </w:num>
  <w:num w:numId="8">
    <w:abstractNumId w:val="3"/>
  </w:num>
  <w:num w:numId="9">
    <w:abstractNumId w:val="1"/>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72A2"/>
    <w:rsid w:val="000021FF"/>
    <w:rsid w:val="00003803"/>
    <w:rsid w:val="0000570F"/>
    <w:rsid w:val="000111C6"/>
    <w:rsid w:val="000124CA"/>
    <w:rsid w:val="0002434F"/>
    <w:rsid w:val="00032991"/>
    <w:rsid w:val="00042314"/>
    <w:rsid w:val="0004285E"/>
    <w:rsid w:val="00045CE3"/>
    <w:rsid w:val="00047864"/>
    <w:rsid w:val="00050BAF"/>
    <w:rsid w:val="00050E52"/>
    <w:rsid w:val="000521D3"/>
    <w:rsid w:val="000535B7"/>
    <w:rsid w:val="00053B9A"/>
    <w:rsid w:val="00054BF9"/>
    <w:rsid w:val="00054ED1"/>
    <w:rsid w:val="00057617"/>
    <w:rsid w:val="000577BE"/>
    <w:rsid w:val="00057B5C"/>
    <w:rsid w:val="00060A66"/>
    <w:rsid w:val="00061786"/>
    <w:rsid w:val="00063444"/>
    <w:rsid w:val="0006374F"/>
    <w:rsid w:val="00063E12"/>
    <w:rsid w:val="00071273"/>
    <w:rsid w:val="00073E33"/>
    <w:rsid w:val="00076EDC"/>
    <w:rsid w:val="00081450"/>
    <w:rsid w:val="00091B32"/>
    <w:rsid w:val="00091E5F"/>
    <w:rsid w:val="00093D74"/>
    <w:rsid w:val="000979F2"/>
    <w:rsid w:val="000A3198"/>
    <w:rsid w:val="000A4144"/>
    <w:rsid w:val="000A44E3"/>
    <w:rsid w:val="000B1356"/>
    <w:rsid w:val="000B2C44"/>
    <w:rsid w:val="000B416A"/>
    <w:rsid w:val="000B4877"/>
    <w:rsid w:val="000B53AD"/>
    <w:rsid w:val="000B5B84"/>
    <w:rsid w:val="000B62AF"/>
    <w:rsid w:val="000C3C7F"/>
    <w:rsid w:val="000D03C3"/>
    <w:rsid w:val="000D106C"/>
    <w:rsid w:val="000D1C67"/>
    <w:rsid w:val="000D304A"/>
    <w:rsid w:val="000D4106"/>
    <w:rsid w:val="000D51C5"/>
    <w:rsid w:val="000D579D"/>
    <w:rsid w:val="000D6D34"/>
    <w:rsid w:val="000D70EB"/>
    <w:rsid w:val="000E0068"/>
    <w:rsid w:val="000E1102"/>
    <w:rsid w:val="000E18D0"/>
    <w:rsid w:val="000E1A74"/>
    <w:rsid w:val="000E21D3"/>
    <w:rsid w:val="000E4FA0"/>
    <w:rsid w:val="000E7392"/>
    <w:rsid w:val="000F08E0"/>
    <w:rsid w:val="000F16E3"/>
    <w:rsid w:val="000F1B66"/>
    <w:rsid w:val="000F3C01"/>
    <w:rsid w:val="000F6932"/>
    <w:rsid w:val="000F6D4C"/>
    <w:rsid w:val="00103AF5"/>
    <w:rsid w:val="00104220"/>
    <w:rsid w:val="0010454D"/>
    <w:rsid w:val="001055C0"/>
    <w:rsid w:val="00107E1A"/>
    <w:rsid w:val="00110366"/>
    <w:rsid w:val="00111F9C"/>
    <w:rsid w:val="00112D32"/>
    <w:rsid w:val="001130D4"/>
    <w:rsid w:val="00114608"/>
    <w:rsid w:val="00114FEE"/>
    <w:rsid w:val="00117C9A"/>
    <w:rsid w:val="0012018F"/>
    <w:rsid w:val="00121881"/>
    <w:rsid w:val="00122AF4"/>
    <w:rsid w:val="00122CE4"/>
    <w:rsid w:val="00132BE5"/>
    <w:rsid w:val="00134551"/>
    <w:rsid w:val="001403D4"/>
    <w:rsid w:val="00141432"/>
    <w:rsid w:val="00142393"/>
    <w:rsid w:val="001445DE"/>
    <w:rsid w:val="001446B1"/>
    <w:rsid w:val="001452E0"/>
    <w:rsid w:val="00157865"/>
    <w:rsid w:val="00163014"/>
    <w:rsid w:val="00164649"/>
    <w:rsid w:val="001654C4"/>
    <w:rsid w:val="00165916"/>
    <w:rsid w:val="001729EA"/>
    <w:rsid w:val="00176160"/>
    <w:rsid w:val="00184852"/>
    <w:rsid w:val="00186705"/>
    <w:rsid w:val="00190036"/>
    <w:rsid w:val="001902A0"/>
    <w:rsid w:val="00193145"/>
    <w:rsid w:val="001A46C4"/>
    <w:rsid w:val="001A565D"/>
    <w:rsid w:val="001A688F"/>
    <w:rsid w:val="001A76DE"/>
    <w:rsid w:val="001B2496"/>
    <w:rsid w:val="001B3230"/>
    <w:rsid w:val="001B4583"/>
    <w:rsid w:val="001B4B9B"/>
    <w:rsid w:val="001C11F9"/>
    <w:rsid w:val="001C36DF"/>
    <w:rsid w:val="001C3F97"/>
    <w:rsid w:val="001C51D4"/>
    <w:rsid w:val="001C5578"/>
    <w:rsid w:val="001C5598"/>
    <w:rsid w:val="001D0AA3"/>
    <w:rsid w:val="001D5190"/>
    <w:rsid w:val="001D5F8C"/>
    <w:rsid w:val="001D60DE"/>
    <w:rsid w:val="001D6F79"/>
    <w:rsid w:val="001D7953"/>
    <w:rsid w:val="001D7E85"/>
    <w:rsid w:val="001E18FB"/>
    <w:rsid w:val="001E57DE"/>
    <w:rsid w:val="001E70A1"/>
    <w:rsid w:val="001E7F4F"/>
    <w:rsid w:val="001F53B6"/>
    <w:rsid w:val="00201848"/>
    <w:rsid w:val="00203059"/>
    <w:rsid w:val="00204BB6"/>
    <w:rsid w:val="00207C51"/>
    <w:rsid w:val="0021075B"/>
    <w:rsid w:val="00216AE8"/>
    <w:rsid w:val="002243EA"/>
    <w:rsid w:val="002245A1"/>
    <w:rsid w:val="00224DC7"/>
    <w:rsid w:val="002275CE"/>
    <w:rsid w:val="00227FA6"/>
    <w:rsid w:val="00230208"/>
    <w:rsid w:val="00231A7F"/>
    <w:rsid w:val="00232FC6"/>
    <w:rsid w:val="0023681D"/>
    <w:rsid w:val="00236A9B"/>
    <w:rsid w:val="0023704F"/>
    <w:rsid w:val="00237B2C"/>
    <w:rsid w:val="00237BF5"/>
    <w:rsid w:val="002419D4"/>
    <w:rsid w:val="00243379"/>
    <w:rsid w:val="0024455A"/>
    <w:rsid w:val="00247DA1"/>
    <w:rsid w:val="00247FA8"/>
    <w:rsid w:val="00250F5E"/>
    <w:rsid w:val="0025169B"/>
    <w:rsid w:val="00253570"/>
    <w:rsid w:val="00255178"/>
    <w:rsid w:val="00257943"/>
    <w:rsid w:val="002579E7"/>
    <w:rsid w:val="00257B1F"/>
    <w:rsid w:val="00266906"/>
    <w:rsid w:val="002711FB"/>
    <w:rsid w:val="0027637D"/>
    <w:rsid w:val="00276737"/>
    <w:rsid w:val="00280589"/>
    <w:rsid w:val="002825A8"/>
    <w:rsid w:val="0028274F"/>
    <w:rsid w:val="00282F5D"/>
    <w:rsid w:val="00285F3D"/>
    <w:rsid w:val="002860D6"/>
    <w:rsid w:val="00286E35"/>
    <w:rsid w:val="002873EC"/>
    <w:rsid w:val="002912F2"/>
    <w:rsid w:val="00297096"/>
    <w:rsid w:val="002A0A88"/>
    <w:rsid w:val="002A18D8"/>
    <w:rsid w:val="002A3FA7"/>
    <w:rsid w:val="002A55F9"/>
    <w:rsid w:val="002A5F6E"/>
    <w:rsid w:val="002A7DF3"/>
    <w:rsid w:val="002B3C27"/>
    <w:rsid w:val="002B513B"/>
    <w:rsid w:val="002B7B3F"/>
    <w:rsid w:val="002C37C0"/>
    <w:rsid w:val="002C4195"/>
    <w:rsid w:val="002C6B60"/>
    <w:rsid w:val="002C7A37"/>
    <w:rsid w:val="002D045F"/>
    <w:rsid w:val="002D4917"/>
    <w:rsid w:val="002D605B"/>
    <w:rsid w:val="002E0BA3"/>
    <w:rsid w:val="002E20D6"/>
    <w:rsid w:val="002E21FB"/>
    <w:rsid w:val="002E442C"/>
    <w:rsid w:val="002E5263"/>
    <w:rsid w:val="002E562C"/>
    <w:rsid w:val="002F3BE8"/>
    <w:rsid w:val="002F4DF5"/>
    <w:rsid w:val="002F7410"/>
    <w:rsid w:val="003013A2"/>
    <w:rsid w:val="0030141B"/>
    <w:rsid w:val="00305C99"/>
    <w:rsid w:val="00307076"/>
    <w:rsid w:val="00310A0A"/>
    <w:rsid w:val="00310EAB"/>
    <w:rsid w:val="003169B1"/>
    <w:rsid w:val="00316BE2"/>
    <w:rsid w:val="00317A08"/>
    <w:rsid w:val="00323447"/>
    <w:rsid w:val="00327CE5"/>
    <w:rsid w:val="003319C7"/>
    <w:rsid w:val="00331B14"/>
    <w:rsid w:val="00332168"/>
    <w:rsid w:val="003336C3"/>
    <w:rsid w:val="00336BCA"/>
    <w:rsid w:val="00342E88"/>
    <w:rsid w:val="003458B9"/>
    <w:rsid w:val="00350C7A"/>
    <w:rsid w:val="00352931"/>
    <w:rsid w:val="00354E29"/>
    <w:rsid w:val="00357CAE"/>
    <w:rsid w:val="00360576"/>
    <w:rsid w:val="0036152A"/>
    <w:rsid w:val="00363D16"/>
    <w:rsid w:val="00363D70"/>
    <w:rsid w:val="003666AA"/>
    <w:rsid w:val="00366D3B"/>
    <w:rsid w:val="0036706F"/>
    <w:rsid w:val="00367DCA"/>
    <w:rsid w:val="00370D1D"/>
    <w:rsid w:val="00371D56"/>
    <w:rsid w:val="00373DF5"/>
    <w:rsid w:val="003741A6"/>
    <w:rsid w:val="00380D0F"/>
    <w:rsid w:val="0038158A"/>
    <w:rsid w:val="00384791"/>
    <w:rsid w:val="00386111"/>
    <w:rsid w:val="003862AD"/>
    <w:rsid w:val="00390B60"/>
    <w:rsid w:val="00392869"/>
    <w:rsid w:val="00392F07"/>
    <w:rsid w:val="00393DD3"/>
    <w:rsid w:val="00395E26"/>
    <w:rsid w:val="003972DC"/>
    <w:rsid w:val="00397F40"/>
    <w:rsid w:val="003A1A5B"/>
    <w:rsid w:val="003A4792"/>
    <w:rsid w:val="003A68B4"/>
    <w:rsid w:val="003B19D8"/>
    <w:rsid w:val="003B445E"/>
    <w:rsid w:val="003B5E6E"/>
    <w:rsid w:val="003C5098"/>
    <w:rsid w:val="003C7051"/>
    <w:rsid w:val="003C77D5"/>
    <w:rsid w:val="003D081D"/>
    <w:rsid w:val="003D67D8"/>
    <w:rsid w:val="003D6993"/>
    <w:rsid w:val="003D6C3D"/>
    <w:rsid w:val="003E0818"/>
    <w:rsid w:val="003E08A7"/>
    <w:rsid w:val="003E1A30"/>
    <w:rsid w:val="003E236C"/>
    <w:rsid w:val="003E36C9"/>
    <w:rsid w:val="003E3CF7"/>
    <w:rsid w:val="003E3FFF"/>
    <w:rsid w:val="003E4458"/>
    <w:rsid w:val="003E4533"/>
    <w:rsid w:val="003E56BB"/>
    <w:rsid w:val="003E5ED3"/>
    <w:rsid w:val="003F1D56"/>
    <w:rsid w:val="003F3836"/>
    <w:rsid w:val="003F3AD2"/>
    <w:rsid w:val="00400B90"/>
    <w:rsid w:val="00402132"/>
    <w:rsid w:val="00403F27"/>
    <w:rsid w:val="004041EA"/>
    <w:rsid w:val="0040527C"/>
    <w:rsid w:val="00407A11"/>
    <w:rsid w:val="00411109"/>
    <w:rsid w:val="00411AC5"/>
    <w:rsid w:val="004139EB"/>
    <w:rsid w:val="00414421"/>
    <w:rsid w:val="004155DE"/>
    <w:rsid w:val="00416333"/>
    <w:rsid w:val="004203C3"/>
    <w:rsid w:val="00427BE4"/>
    <w:rsid w:val="004335C7"/>
    <w:rsid w:val="00436669"/>
    <w:rsid w:val="00436C34"/>
    <w:rsid w:val="00437EF2"/>
    <w:rsid w:val="00455BC7"/>
    <w:rsid w:val="00455DE9"/>
    <w:rsid w:val="004561A2"/>
    <w:rsid w:val="004561E8"/>
    <w:rsid w:val="004614E4"/>
    <w:rsid w:val="00461F2C"/>
    <w:rsid w:val="00465107"/>
    <w:rsid w:val="00467B47"/>
    <w:rsid w:val="00471941"/>
    <w:rsid w:val="00471F25"/>
    <w:rsid w:val="00481083"/>
    <w:rsid w:val="00482924"/>
    <w:rsid w:val="004848E7"/>
    <w:rsid w:val="0048492D"/>
    <w:rsid w:val="004871C6"/>
    <w:rsid w:val="004972C9"/>
    <w:rsid w:val="004A0049"/>
    <w:rsid w:val="004A4D2E"/>
    <w:rsid w:val="004A7C24"/>
    <w:rsid w:val="004B52D3"/>
    <w:rsid w:val="004B5B41"/>
    <w:rsid w:val="004B6BF7"/>
    <w:rsid w:val="004C24E5"/>
    <w:rsid w:val="004C319B"/>
    <w:rsid w:val="004C4214"/>
    <w:rsid w:val="004D1DC4"/>
    <w:rsid w:val="004D3020"/>
    <w:rsid w:val="004D5B90"/>
    <w:rsid w:val="004D62C6"/>
    <w:rsid w:val="004E1CAC"/>
    <w:rsid w:val="004E1EF9"/>
    <w:rsid w:val="004E2173"/>
    <w:rsid w:val="004E640A"/>
    <w:rsid w:val="004E65E6"/>
    <w:rsid w:val="004E6A80"/>
    <w:rsid w:val="004F0F45"/>
    <w:rsid w:val="004F1726"/>
    <w:rsid w:val="004F229E"/>
    <w:rsid w:val="004F42C8"/>
    <w:rsid w:val="004F537C"/>
    <w:rsid w:val="004F7160"/>
    <w:rsid w:val="00500A43"/>
    <w:rsid w:val="00500DC5"/>
    <w:rsid w:val="005012CC"/>
    <w:rsid w:val="005022A7"/>
    <w:rsid w:val="005035D2"/>
    <w:rsid w:val="005116F6"/>
    <w:rsid w:val="005136BB"/>
    <w:rsid w:val="00515B6B"/>
    <w:rsid w:val="005226A9"/>
    <w:rsid w:val="0052315C"/>
    <w:rsid w:val="0052398B"/>
    <w:rsid w:val="005269C3"/>
    <w:rsid w:val="00526C51"/>
    <w:rsid w:val="0053073B"/>
    <w:rsid w:val="0053730A"/>
    <w:rsid w:val="0054427C"/>
    <w:rsid w:val="00544BCA"/>
    <w:rsid w:val="005477D2"/>
    <w:rsid w:val="00547A10"/>
    <w:rsid w:val="00550D01"/>
    <w:rsid w:val="0055115B"/>
    <w:rsid w:val="0055475B"/>
    <w:rsid w:val="0055545C"/>
    <w:rsid w:val="00555A9A"/>
    <w:rsid w:val="00564C16"/>
    <w:rsid w:val="0056502A"/>
    <w:rsid w:val="0056570B"/>
    <w:rsid w:val="00566F65"/>
    <w:rsid w:val="00570A9B"/>
    <w:rsid w:val="00570C60"/>
    <w:rsid w:val="00572804"/>
    <w:rsid w:val="00573BBD"/>
    <w:rsid w:val="00575E13"/>
    <w:rsid w:val="005768FC"/>
    <w:rsid w:val="0058265D"/>
    <w:rsid w:val="00582F12"/>
    <w:rsid w:val="005846B6"/>
    <w:rsid w:val="0058709F"/>
    <w:rsid w:val="00592D99"/>
    <w:rsid w:val="005938D9"/>
    <w:rsid w:val="00597D74"/>
    <w:rsid w:val="005A3245"/>
    <w:rsid w:val="005A3571"/>
    <w:rsid w:val="005B48F1"/>
    <w:rsid w:val="005B781D"/>
    <w:rsid w:val="005C1309"/>
    <w:rsid w:val="005C3773"/>
    <w:rsid w:val="005C3ACA"/>
    <w:rsid w:val="005C3B3A"/>
    <w:rsid w:val="005C3D57"/>
    <w:rsid w:val="005C4919"/>
    <w:rsid w:val="005C5A20"/>
    <w:rsid w:val="005D0B8F"/>
    <w:rsid w:val="005D0C4E"/>
    <w:rsid w:val="005D1D4B"/>
    <w:rsid w:val="005D39F3"/>
    <w:rsid w:val="005D410B"/>
    <w:rsid w:val="005D49DF"/>
    <w:rsid w:val="005E01D3"/>
    <w:rsid w:val="005E03C6"/>
    <w:rsid w:val="005E0A6F"/>
    <w:rsid w:val="005E5E74"/>
    <w:rsid w:val="005E604E"/>
    <w:rsid w:val="005F1FB2"/>
    <w:rsid w:val="005F73E6"/>
    <w:rsid w:val="0060427D"/>
    <w:rsid w:val="00606641"/>
    <w:rsid w:val="0060699E"/>
    <w:rsid w:val="00607310"/>
    <w:rsid w:val="00611CB0"/>
    <w:rsid w:val="00612738"/>
    <w:rsid w:val="006144B3"/>
    <w:rsid w:val="00616F4C"/>
    <w:rsid w:val="00617D63"/>
    <w:rsid w:val="00623497"/>
    <w:rsid w:val="006235A9"/>
    <w:rsid w:val="00623A6D"/>
    <w:rsid w:val="00631466"/>
    <w:rsid w:val="00631717"/>
    <w:rsid w:val="00632458"/>
    <w:rsid w:val="00640278"/>
    <w:rsid w:val="006423C6"/>
    <w:rsid w:val="006437CC"/>
    <w:rsid w:val="0064454F"/>
    <w:rsid w:val="00646320"/>
    <w:rsid w:val="00647818"/>
    <w:rsid w:val="00651C7E"/>
    <w:rsid w:val="00652300"/>
    <w:rsid w:val="006527BF"/>
    <w:rsid w:val="006567B9"/>
    <w:rsid w:val="006575B5"/>
    <w:rsid w:val="00660E7E"/>
    <w:rsid w:val="00663341"/>
    <w:rsid w:val="00664F97"/>
    <w:rsid w:val="00672632"/>
    <w:rsid w:val="00674682"/>
    <w:rsid w:val="00676A65"/>
    <w:rsid w:val="0067785B"/>
    <w:rsid w:val="00680EFF"/>
    <w:rsid w:val="00681A45"/>
    <w:rsid w:val="00682BBB"/>
    <w:rsid w:val="006837D2"/>
    <w:rsid w:val="00683C42"/>
    <w:rsid w:val="00684826"/>
    <w:rsid w:val="00686B69"/>
    <w:rsid w:val="006871B9"/>
    <w:rsid w:val="00690C31"/>
    <w:rsid w:val="00690F99"/>
    <w:rsid w:val="006950C1"/>
    <w:rsid w:val="00695536"/>
    <w:rsid w:val="006A11EF"/>
    <w:rsid w:val="006A13F4"/>
    <w:rsid w:val="006A30E2"/>
    <w:rsid w:val="006A4CB0"/>
    <w:rsid w:val="006A6085"/>
    <w:rsid w:val="006B2386"/>
    <w:rsid w:val="006B3074"/>
    <w:rsid w:val="006B6A86"/>
    <w:rsid w:val="006B768E"/>
    <w:rsid w:val="006B7EB8"/>
    <w:rsid w:val="006C37A3"/>
    <w:rsid w:val="006C408D"/>
    <w:rsid w:val="006C4591"/>
    <w:rsid w:val="006C572F"/>
    <w:rsid w:val="006C6842"/>
    <w:rsid w:val="006C7A9D"/>
    <w:rsid w:val="006D035F"/>
    <w:rsid w:val="006D11A6"/>
    <w:rsid w:val="006E02FE"/>
    <w:rsid w:val="006E07AA"/>
    <w:rsid w:val="006E1121"/>
    <w:rsid w:val="006E221E"/>
    <w:rsid w:val="006E2357"/>
    <w:rsid w:val="006F310C"/>
    <w:rsid w:val="006F58F9"/>
    <w:rsid w:val="006F61F6"/>
    <w:rsid w:val="007031D1"/>
    <w:rsid w:val="0070404A"/>
    <w:rsid w:val="00707F42"/>
    <w:rsid w:val="00714386"/>
    <w:rsid w:val="00715013"/>
    <w:rsid w:val="0071544F"/>
    <w:rsid w:val="00722457"/>
    <w:rsid w:val="00723A3A"/>
    <w:rsid w:val="007243CD"/>
    <w:rsid w:val="00724B5D"/>
    <w:rsid w:val="00725DA4"/>
    <w:rsid w:val="00726D6E"/>
    <w:rsid w:val="007270B6"/>
    <w:rsid w:val="00727833"/>
    <w:rsid w:val="00730597"/>
    <w:rsid w:val="007326D4"/>
    <w:rsid w:val="007330E3"/>
    <w:rsid w:val="00734860"/>
    <w:rsid w:val="00737026"/>
    <w:rsid w:val="0074098A"/>
    <w:rsid w:val="00740B86"/>
    <w:rsid w:val="007518BA"/>
    <w:rsid w:val="00756264"/>
    <w:rsid w:val="0076163D"/>
    <w:rsid w:val="007668A2"/>
    <w:rsid w:val="00772816"/>
    <w:rsid w:val="00774AD2"/>
    <w:rsid w:val="00776488"/>
    <w:rsid w:val="00776C17"/>
    <w:rsid w:val="00780839"/>
    <w:rsid w:val="00781593"/>
    <w:rsid w:val="00781928"/>
    <w:rsid w:val="007841FC"/>
    <w:rsid w:val="007853A8"/>
    <w:rsid w:val="007860C0"/>
    <w:rsid w:val="007864D6"/>
    <w:rsid w:val="0079287D"/>
    <w:rsid w:val="00794B7C"/>
    <w:rsid w:val="00795C1D"/>
    <w:rsid w:val="007A1804"/>
    <w:rsid w:val="007A432B"/>
    <w:rsid w:val="007A476E"/>
    <w:rsid w:val="007A5D05"/>
    <w:rsid w:val="007B017E"/>
    <w:rsid w:val="007B1BDA"/>
    <w:rsid w:val="007B3970"/>
    <w:rsid w:val="007C0260"/>
    <w:rsid w:val="007C03DB"/>
    <w:rsid w:val="007C2D0E"/>
    <w:rsid w:val="007C4788"/>
    <w:rsid w:val="007C66B8"/>
    <w:rsid w:val="007C7F0F"/>
    <w:rsid w:val="007D102F"/>
    <w:rsid w:val="007D22B1"/>
    <w:rsid w:val="007D341B"/>
    <w:rsid w:val="007D3E10"/>
    <w:rsid w:val="007D7466"/>
    <w:rsid w:val="007E6325"/>
    <w:rsid w:val="007E77A9"/>
    <w:rsid w:val="007F105A"/>
    <w:rsid w:val="007F2975"/>
    <w:rsid w:val="007F3A25"/>
    <w:rsid w:val="007F56CD"/>
    <w:rsid w:val="007F76BA"/>
    <w:rsid w:val="00801E58"/>
    <w:rsid w:val="00802F5E"/>
    <w:rsid w:val="00804561"/>
    <w:rsid w:val="00810D50"/>
    <w:rsid w:val="008128BA"/>
    <w:rsid w:val="0081363A"/>
    <w:rsid w:val="00817435"/>
    <w:rsid w:val="00817588"/>
    <w:rsid w:val="00820BF6"/>
    <w:rsid w:val="008213D2"/>
    <w:rsid w:val="0082292F"/>
    <w:rsid w:val="008247CC"/>
    <w:rsid w:val="00827A6D"/>
    <w:rsid w:val="0083050E"/>
    <w:rsid w:val="00832731"/>
    <w:rsid w:val="008336D4"/>
    <w:rsid w:val="00834347"/>
    <w:rsid w:val="00834976"/>
    <w:rsid w:val="00835665"/>
    <w:rsid w:val="008373FF"/>
    <w:rsid w:val="008419DF"/>
    <w:rsid w:val="00842FE8"/>
    <w:rsid w:val="00843CE1"/>
    <w:rsid w:val="00852B82"/>
    <w:rsid w:val="0085302E"/>
    <w:rsid w:val="008557A4"/>
    <w:rsid w:val="008566B5"/>
    <w:rsid w:val="008620CE"/>
    <w:rsid w:val="0086260D"/>
    <w:rsid w:val="0086284C"/>
    <w:rsid w:val="00863948"/>
    <w:rsid w:val="008672C3"/>
    <w:rsid w:val="0087050A"/>
    <w:rsid w:val="00872F16"/>
    <w:rsid w:val="00873A59"/>
    <w:rsid w:val="00874C2A"/>
    <w:rsid w:val="00876E0A"/>
    <w:rsid w:val="00877480"/>
    <w:rsid w:val="0088358E"/>
    <w:rsid w:val="00884D74"/>
    <w:rsid w:val="008851BC"/>
    <w:rsid w:val="008872A2"/>
    <w:rsid w:val="00890386"/>
    <w:rsid w:val="0089172B"/>
    <w:rsid w:val="008920B4"/>
    <w:rsid w:val="008930E1"/>
    <w:rsid w:val="00895B4B"/>
    <w:rsid w:val="008A017D"/>
    <w:rsid w:val="008A52AE"/>
    <w:rsid w:val="008B14AB"/>
    <w:rsid w:val="008B18E2"/>
    <w:rsid w:val="008B3E9A"/>
    <w:rsid w:val="008B500B"/>
    <w:rsid w:val="008B55BF"/>
    <w:rsid w:val="008B7145"/>
    <w:rsid w:val="008C4579"/>
    <w:rsid w:val="008C46F0"/>
    <w:rsid w:val="008D321B"/>
    <w:rsid w:val="008D6CBA"/>
    <w:rsid w:val="008D7783"/>
    <w:rsid w:val="008E0505"/>
    <w:rsid w:val="008E0D48"/>
    <w:rsid w:val="008E1174"/>
    <w:rsid w:val="008E678E"/>
    <w:rsid w:val="008E7C8E"/>
    <w:rsid w:val="008F0AEB"/>
    <w:rsid w:val="008F10E2"/>
    <w:rsid w:val="008F2D4C"/>
    <w:rsid w:val="00903782"/>
    <w:rsid w:val="0090784D"/>
    <w:rsid w:val="009102AC"/>
    <w:rsid w:val="009108C5"/>
    <w:rsid w:val="00910B1E"/>
    <w:rsid w:val="00911C83"/>
    <w:rsid w:val="009147CB"/>
    <w:rsid w:val="00915F3D"/>
    <w:rsid w:val="00921C1B"/>
    <w:rsid w:val="00921EAD"/>
    <w:rsid w:val="00926AF6"/>
    <w:rsid w:val="00927679"/>
    <w:rsid w:val="0092FEA6"/>
    <w:rsid w:val="00944538"/>
    <w:rsid w:val="00945043"/>
    <w:rsid w:val="0094593D"/>
    <w:rsid w:val="0094614E"/>
    <w:rsid w:val="00951616"/>
    <w:rsid w:val="00952E0F"/>
    <w:rsid w:val="00952E5E"/>
    <w:rsid w:val="00953227"/>
    <w:rsid w:val="00953362"/>
    <w:rsid w:val="00953B22"/>
    <w:rsid w:val="009565A0"/>
    <w:rsid w:val="00956A70"/>
    <w:rsid w:val="0095728D"/>
    <w:rsid w:val="00960B51"/>
    <w:rsid w:val="0096212A"/>
    <w:rsid w:val="00963ECB"/>
    <w:rsid w:val="00967D6F"/>
    <w:rsid w:val="0097144C"/>
    <w:rsid w:val="00972291"/>
    <w:rsid w:val="0097269B"/>
    <w:rsid w:val="009759B2"/>
    <w:rsid w:val="00976A37"/>
    <w:rsid w:val="00977321"/>
    <w:rsid w:val="0098009A"/>
    <w:rsid w:val="00980394"/>
    <w:rsid w:val="00985FD1"/>
    <w:rsid w:val="00986196"/>
    <w:rsid w:val="0099309B"/>
    <w:rsid w:val="009969C3"/>
    <w:rsid w:val="009A0469"/>
    <w:rsid w:val="009A123B"/>
    <w:rsid w:val="009A1240"/>
    <w:rsid w:val="009A6C1F"/>
    <w:rsid w:val="009A7A02"/>
    <w:rsid w:val="009A7C70"/>
    <w:rsid w:val="009A7FF4"/>
    <w:rsid w:val="009B1738"/>
    <w:rsid w:val="009B5FF3"/>
    <w:rsid w:val="009C1975"/>
    <w:rsid w:val="009C207D"/>
    <w:rsid w:val="009C743A"/>
    <w:rsid w:val="009C7DC9"/>
    <w:rsid w:val="009C7EA8"/>
    <w:rsid w:val="009D02EA"/>
    <w:rsid w:val="009D0AF1"/>
    <w:rsid w:val="009D2C81"/>
    <w:rsid w:val="009D3970"/>
    <w:rsid w:val="009D3D9B"/>
    <w:rsid w:val="009E089C"/>
    <w:rsid w:val="009E1072"/>
    <w:rsid w:val="009E1CE4"/>
    <w:rsid w:val="009E3076"/>
    <w:rsid w:val="009E3110"/>
    <w:rsid w:val="009E6F52"/>
    <w:rsid w:val="009F0921"/>
    <w:rsid w:val="009F0E61"/>
    <w:rsid w:val="009F2506"/>
    <w:rsid w:val="00A029B6"/>
    <w:rsid w:val="00A11F60"/>
    <w:rsid w:val="00A12284"/>
    <w:rsid w:val="00A13E74"/>
    <w:rsid w:val="00A14729"/>
    <w:rsid w:val="00A22745"/>
    <w:rsid w:val="00A230D3"/>
    <w:rsid w:val="00A2585D"/>
    <w:rsid w:val="00A27611"/>
    <w:rsid w:val="00A3039E"/>
    <w:rsid w:val="00A33DE2"/>
    <w:rsid w:val="00A35365"/>
    <w:rsid w:val="00A403FF"/>
    <w:rsid w:val="00A50045"/>
    <w:rsid w:val="00A51E08"/>
    <w:rsid w:val="00A52C49"/>
    <w:rsid w:val="00A5572D"/>
    <w:rsid w:val="00A56277"/>
    <w:rsid w:val="00A57455"/>
    <w:rsid w:val="00A62541"/>
    <w:rsid w:val="00A62787"/>
    <w:rsid w:val="00A644D6"/>
    <w:rsid w:val="00A65010"/>
    <w:rsid w:val="00A71D99"/>
    <w:rsid w:val="00A7420C"/>
    <w:rsid w:val="00A773FB"/>
    <w:rsid w:val="00A81263"/>
    <w:rsid w:val="00A837CE"/>
    <w:rsid w:val="00A8577A"/>
    <w:rsid w:val="00A909D6"/>
    <w:rsid w:val="00A90D88"/>
    <w:rsid w:val="00A9147B"/>
    <w:rsid w:val="00A94CC8"/>
    <w:rsid w:val="00A96BBB"/>
    <w:rsid w:val="00A96BDB"/>
    <w:rsid w:val="00A97E41"/>
    <w:rsid w:val="00AA0D85"/>
    <w:rsid w:val="00AA4444"/>
    <w:rsid w:val="00AB1809"/>
    <w:rsid w:val="00AB2D84"/>
    <w:rsid w:val="00AB4752"/>
    <w:rsid w:val="00AB6D90"/>
    <w:rsid w:val="00AB75BC"/>
    <w:rsid w:val="00AC0533"/>
    <w:rsid w:val="00AC25DA"/>
    <w:rsid w:val="00AC51E2"/>
    <w:rsid w:val="00AC5E63"/>
    <w:rsid w:val="00AC67C6"/>
    <w:rsid w:val="00AC71B8"/>
    <w:rsid w:val="00AC72E5"/>
    <w:rsid w:val="00AC7745"/>
    <w:rsid w:val="00AD0AE2"/>
    <w:rsid w:val="00AD1A3F"/>
    <w:rsid w:val="00AD2134"/>
    <w:rsid w:val="00AD26B8"/>
    <w:rsid w:val="00AD410B"/>
    <w:rsid w:val="00AE0641"/>
    <w:rsid w:val="00AE2D99"/>
    <w:rsid w:val="00AE38B2"/>
    <w:rsid w:val="00AE3D1F"/>
    <w:rsid w:val="00AE612F"/>
    <w:rsid w:val="00AE6175"/>
    <w:rsid w:val="00AF04B1"/>
    <w:rsid w:val="00AF09DF"/>
    <w:rsid w:val="00AF1773"/>
    <w:rsid w:val="00AF321C"/>
    <w:rsid w:val="00AF3C92"/>
    <w:rsid w:val="00AF4B72"/>
    <w:rsid w:val="00AF6454"/>
    <w:rsid w:val="00AF7A6F"/>
    <w:rsid w:val="00AF7FC7"/>
    <w:rsid w:val="00B01A99"/>
    <w:rsid w:val="00B07F83"/>
    <w:rsid w:val="00B1143C"/>
    <w:rsid w:val="00B1222C"/>
    <w:rsid w:val="00B13AA4"/>
    <w:rsid w:val="00B14C4E"/>
    <w:rsid w:val="00B16506"/>
    <w:rsid w:val="00B17DC6"/>
    <w:rsid w:val="00B21163"/>
    <w:rsid w:val="00B214D7"/>
    <w:rsid w:val="00B248EB"/>
    <w:rsid w:val="00B25249"/>
    <w:rsid w:val="00B25792"/>
    <w:rsid w:val="00B27D74"/>
    <w:rsid w:val="00B307B1"/>
    <w:rsid w:val="00B37678"/>
    <w:rsid w:val="00B40005"/>
    <w:rsid w:val="00B503C2"/>
    <w:rsid w:val="00B52EC6"/>
    <w:rsid w:val="00B55A68"/>
    <w:rsid w:val="00B57FB2"/>
    <w:rsid w:val="00B60061"/>
    <w:rsid w:val="00B62758"/>
    <w:rsid w:val="00B6380C"/>
    <w:rsid w:val="00B675CB"/>
    <w:rsid w:val="00B675DE"/>
    <w:rsid w:val="00B704FA"/>
    <w:rsid w:val="00B71EBD"/>
    <w:rsid w:val="00B72103"/>
    <w:rsid w:val="00B724CE"/>
    <w:rsid w:val="00B74B6B"/>
    <w:rsid w:val="00B75A6A"/>
    <w:rsid w:val="00B769C3"/>
    <w:rsid w:val="00B82B66"/>
    <w:rsid w:val="00B833BD"/>
    <w:rsid w:val="00B849B9"/>
    <w:rsid w:val="00B87206"/>
    <w:rsid w:val="00B9012B"/>
    <w:rsid w:val="00B960FD"/>
    <w:rsid w:val="00B970CA"/>
    <w:rsid w:val="00BA0A2F"/>
    <w:rsid w:val="00BA19C9"/>
    <w:rsid w:val="00BA457F"/>
    <w:rsid w:val="00BB455A"/>
    <w:rsid w:val="00BC1A36"/>
    <w:rsid w:val="00BC2578"/>
    <w:rsid w:val="00BC3D53"/>
    <w:rsid w:val="00BC3EC8"/>
    <w:rsid w:val="00BC589D"/>
    <w:rsid w:val="00BC6804"/>
    <w:rsid w:val="00BC77B9"/>
    <w:rsid w:val="00BD1343"/>
    <w:rsid w:val="00BD493E"/>
    <w:rsid w:val="00BD49EE"/>
    <w:rsid w:val="00BD660E"/>
    <w:rsid w:val="00BD744D"/>
    <w:rsid w:val="00BE0E76"/>
    <w:rsid w:val="00BE16DB"/>
    <w:rsid w:val="00BE2F2A"/>
    <w:rsid w:val="00BE392D"/>
    <w:rsid w:val="00BE490D"/>
    <w:rsid w:val="00BE49F3"/>
    <w:rsid w:val="00BF0045"/>
    <w:rsid w:val="00BF73F6"/>
    <w:rsid w:val="00BF7F76"/>
    <w:rsid w:val="00C022C2"/>
    <w:rsid w:val="00C02A44"/>
    <w:rsid w:val="00C04D9E"/>
    <w:rsid w:val="00C05144"/>
    <w:rsid w:val="00C0547C"/>
    <w:rsid w:val="00C0586F"/>
    <w:rsid w:val="00C05C86"/>
    <w:rsid w:val="00C077C8"/>
    <w:rsid w:val="00C10C9F"/>
    <w:rsid w:val="00C12E58"/>
    <w:rsid w:val="00C15ED5"/>
    <w:rsid w:val="00C20D87"/>
    <w:rsid w:val="00C20FB2"/>
    <w:rsid w:val="00C23440"/>
    <w:rsid w:val="00C30233"/>
    <w:rsid w:val="00C304D5"/>
    <w:rsid w:val="00C31D4B"/>
    <w:rsid w:val="00C32B52"/>
    <w:rsid w:val="00C34DDA"/>
    <w:rsid w:val="00C3537D"/>
    <w:rsid w:val="00C35657"/>
    <w:rsid w:val="00C363C4"/>
    <w:rsid w:val="00C363D3"/>
    <w:rsid w:val="00C36400"/>
    <w:rsid w:val="00C36F80"/>
    <w:rsid w:val="00C40CD0"/>
    <w:rsid w:val="00C40F65"/>
    <w:rsid w:val="00C432DC"/>
    <w:rsid w:val="00C5105B"/>
    <w:rsid w:val="00C52A46"/>
    <w:rsid w:val="00C53FDB"/>
    <w:rsid w:val="00C54FE1"/>
    <w:rsid w:val="00C55232"/>
    <w:rsid w:val="00C6216E"/>
    <w:rsid w:val="00C647E5"/>
    <w:rsid w:val="00C6558E"/>
    <w:rsid w:val="00C65DA3"/>
    <w:rsid w:val="00C73D1B"/>
    <w:rsid w:val="00C741D5"/>
    <w:rsid w:val="00C74D96"/>
    <w:rsid w:val="00C820E9"/>
    <w:rsid w:val="00C82245"/>
    <w:rsid w:val="00C864C7"/>
    <w:rsid w:val="00C87534"/>
    <w:rsid w:val="00C87D8B"/>
    <w:rsid w:val="00C903AF"/>
    <w:rsid w:val="00C91199"/>
    <w:rsid w:val="00C9127E"/>
    <w:rsid w:val="00C925E2"/>
    <w:rsid w:val="00C92A8A"/>
    <w:rsid w:val="00C9534A"/>
    <w:rsid w:val="00CA0F66"/>
    <w:rsid w:val="00CA0F6D"/>
    <w:rsid w:val="00CA6C0B"/>
    <w:rsid w:val="00CB3330"/>
    <w:rsid w:val="00CB4F83"/>
    <w:rsid w:val="00CB6B9A"/>
    <w:rsid w:val="00CC1093"/>
    <w:rsid w:val="00CC15CC"/>
    <w:rsid w:val="00CC753D"/>
    <w:rsid w:val="00CC75F4"/>
    <w:rsid w:val="00CD2257"/>
    <w:rsid w:val="00CD7AAA"/>
    <w:rsid w:val="00CE52D1"/>
    <w:rsid w:val="00CF0EBE"/>
    <w:rsid w:val="00CF0FA9"/>
    <w:rsid w:val="00CF3CF5"/>
    <w:rsid w:val="00CF6850"/>
    <w:rsid w:val="00CF7AA1"/>
    <w:rsid w:val="00D011BE"/>
    <w:rsid w:val="00D0169F"/>
    <w:rsid w:val="00D01EE2"/>
    <w:rsid w:val="00D02CB4"/>
    <w:rsid w:val="00D06465"/>
    <w:rsid w:val="00D112E2"/>
    <w:rsid w:val="00D146BC"/>
    <w:rsid w:val="00D15AC7"/>
    <w:rsid w:val="00D1698E"/>
    <w:rsid w:val="00D2108D"/>
    <w:rsid w:val="00D212C3"/>
    <w:rsid w:val="00D2440A"/>
    <w:rsid w:val="00D26844"/>
    <w:rsid w:val="00D27CA0"/>
    <w:rsid w:val="00D32547"/>
    <w:rsid w:val="00D4052D"/>
    <w:rsid w:val="00D4141F"/>
    <w:rsid w:val="00D43FF1"/>
    <w:rsid w:val="00D449AB"/>
    <w:rsid w:val="00D46DD8"/>
    <w:rsid w:val="00D47ACB"/>
    <w:rsid w:val="00D51EAD"/>
    <w:rsid w:val="00D52B3B"/>
    <w:rsid w:val="00D5369D"/>
    <w:rsid w:val="00D54602"/>
    <w:rsid w:val="00D55D9B"/>
    <w:rsid w:val="00D60ED4"/>
    <w:rsid w:val="00D619AE"/>
    <w:rsid w:val="00D64F30"/>
    <w:rsid w:val="00D705FB"/>
    <w:rsid w:val="00D70FD2"/>
    <w:rsid w:val="00D71B92"/>
    <w:rsid w:val="00D73D69"/>
    <w:rsid w:val="00D740B3"/>
    <w:rsid w:val="00D744A7"/>
    <w:rsid w:val="00D74DAB"/>
    <w:rsid w:val="00D771FE"/>
    <w:rsid w:val="00D83E5D"/>
    <w:rsid w:val="00D84F31"/>
    <w:rsid w:val="00D851DA"/>
    <w:rsid w:val="00D872FA"/>
    <w:rsid w:val="00D90568"/>
    <w:rsid w:val="00D9154D"/>
    <w:rsid w:val="00D915F4"/>
    <w:rsid w:val="00D93167"/>
    <w:rsid w:val="00D93E92"/>
    <w:rsid w:val="00D94851"/>
    <w:rsid w:val="00D94D58"/>
    <w:rsid w:val="00D97527"/>
    <w:rsid w:val="00D9782A"/>
    <w:rsid w:val="00D97B75"/>
    <w:rsid w:val="00D97EBC"/>
    <w:rsid w:val="00DA079E"/>
    <w:rsid w:val="00DA1E67"/>
    <w:rsid w:val="00DA4F77"/>
    <w:rsid w:val="00DA5858"/>
    <w:rsid w:val="00DB0458"/>
    <w:rsid w:val="00DB222B"/>
    <w:rsid w:val="00DB2868"/>
    <w:rsid w:val="00DB4E08"/>
    <w:rsid w:val="00DB6546"/>
    <w:rsid w:val="00DC031D"/>
    <w:rsid w:val="00DC21CE"/>
    <w:rsid w:val="00DC3B05"/>
    <w:rsid w:val="00DC4E67"/>
    <w:rsid w:val="00DC6EBC"/>
    <w:rsid w:val="00DC79CD"/>
    <w:rsid w:val="00DD00F5"/>
    <w:rsid w:val="00DD02AD"/>
    <w:rsid w:val="00DD147B"/>
    <w:rsid w:val="00DD366D"/>
    <w:rsid w:val="00DD61AC"/>
    <w:rsid w:val="00DE078F"/>
    <w:rsid w:val="00DE19D9"/>
    <w:rsid w:val="00DE1B09"/>
    <w:rsid w:val="00DE429A"/>
    <w:rsid w:val="00DF32A2"/>
    <w:rsid w:val="00DF5461"/>
    <w:rsid w:val="00DF73EF"/>
    <w:rsid w:val="00E036C8"/>
    <w:rsid w:val="00E039AA"/>
    <w:rsid w:val="00E04499"/>
    <w:rsid w:val="00E04CE6"/>
    <w:rsid w:val="00E10297"/>
    <w:rsid w:val="00E111A4"/>
    <w:rsid w:val="00E1124A"/>
    <w:rsid w:val="00E12FA3"/>
    <w:rsid w:val="00E1340A"/>
    <w:rsid w:val="00E13879"/>
    <w:rsid w:val="00E14DB5"/>
    <w:rsid w:val="00E1556F"/>
    <w:rsid w:val="00E1630D"/>
    <w:rsid w:val="00E16943"/>
    <w:rsid w:val="00E17AE8"/>
    <w:rsid w:val="00E17EAD"/>
    <w:rsid w:val="00E232E7"/>
    <w:rsid w:val="00E23B32"/>
    <w:rsid w:val="00E24611"/>
    <w:rsid w:val="00E253EE"/>
    <w:rsid w:val="00E2586D"/>
    <w:rsid w:val="00E2686D"/>
    <w:rsid w:val="00E2799B"/>
    <w:rsid w:val="00E30DFC"/>
    <w:rsid w:val="00E30EE5"/>
    <w:rsid w:val="00E316D9"/>
    <w:rsid w:val="00E33045"/>
    <w:rsid w:val="00E34EB6"/>
    <w:rsid w:val="00E3677F"/>
    <w:rsid w:val="00E3754E"/>
    <w:rsid w:val="00E42B6A"/>
    <w:rsid w:val="00E4399D"/>
    <w:rsid w:val="00E44741"/>
    <w:rsid w:val="00E45E5A"/>
    <w:rsid w:val="00E4620F"/>
    <w:rsid w:val="00E54E75"/>
    <w:rsid w:val="00E54FD6"/>
    <w:rsid w:val="00E55393"/>
    <w:rsid w:val="00E5643E"/>
    <w:rsid w:val="00E5720B"/>
    <w:rsid w:val="00E622B2"/>
    <w:rsid w:val="00E7199F"/>
    <w:rsid w:val="00E7400E"/>
    <w:rsid w:val="00E8141D"/>
    <w:rsid w:val="00E83B4F"/>
    <w:rsid w:val="00E84AFB"/>
    <w:rsid w:val="00E856DA"/>
    <w:rsid w:val="00E862D0"/>
    <w:rsid w:val="00E86F07"/>
    <w:rsid w:val="00E87611"/>
    <w:rsid w:val="00E90F47"/>
    <w:rsid w:val="00E92773"/>
    <w:rsid w:val="00E9418E"/>
    <w:rsid w:val="00E96913"/>
    <w:rsid w:val="00EA046C"/>
    <w:rsid w:val="00EA097E"/>
    <w:rsid w:val="00EA0D28"/>
    <w:rsid w:val="00EA12F0"/>
    <w:rsid w:val="00EA2148"/>
    <w:rsid w:val="00EB1F06"/>
    <w:rsid w:val="00EB2A8A"/>
    <w:rsid w:val="00EB7E37"/>
    <w:rsid w:val="00EC3FF2"/>
    <w:rsid w:val="00EC455F"/>
    <w:rsid w:val="00EC72BC"/>
    <w:rsid w:val="00ED0720"/>
    <w:rsid w:val="00ED2A1B"/>
    <w:rsid w:val="00EE0413"/>
    <w:rsid w:val="00EE0973"/>
    <w:rsid w:val="00EF4827"/>
    <w:rsid w:val="00EF4C9C"/>
    <w:rsid w:val="00EF5E48"/>
    <w:rsid w:val="00F0240A"/>
    <w:rsid w:val="00F06F96"/>
    <w:rsid w:val="00F07150"/>
    <w:rsid w:val="00F1005D"/>
    <w:rsid w:val="00F121C1"/>
    <w:rsid w:val="00F20247"/>
    <w:rsid w:val="00F25594"/>
    <w:rsid w:val="00F25745"/>
    <w:rsid w:val="00F2764C"/>
    <w:rsid w:val="00F31348"/>
    <w:rsid w:val="00F32BA7"/>
    <w:rsid w:val="00F32FED"/>
    <w:rsid w:val="00F40355"/>
    <w:rsid w:val="00F404F9"/>
    <w:rsid w:val="00F421BF"/>
    <w:rsid w:val="00F4262A"/>
    <w:rsid w:val="00F428B5"/>
    <w:rsid w:val="00F44F5D"/>
    <w:rsid w:val="00F56902"/>
    <w:rsid w:val="00F6163C"/>
    <w:rsid w:val="00F6458D"/>
    <w:rsid w:val="00F65EC8"/>
    <w:rsid w:val="00F672B0"/>
    <w:rsid w:val="00F72723"/>
    <w:rsid w:val="00F86CE0"/>
    <w:rsid w:val="00F87130"/>
    <w:rsid w:val="00F917C6"/>
    <w:rsid w:val="00F91A2C"/>
    <w:rsid w:val="00F93A07"/>
    <w:rsid w:val="00F94637"/>
    <w:rsid w:val="00F953AA"/>
    <w:rsid w:val="00F96938"/>
    <w:rsid w:val="00FA095C"/>
    <w:rsid w:val="00FA1E7A"/>
    <w:rsid w:val="00FA35FE"/>
    <w:rsid w:val="00FA3E72"/>
    <w:rsid w:val="00FB30C6"/>
    <w:rsid w:val="00FB63EA"/>
    <w:rsid w:val="00FC0A1B"/>
    <w:rsid w:val="00FC0DD8"/>
    <w:rsid w:val="00FC5390"/>
    <w:rsid w:val="00FC5EB6"/>
    <w:rsid w:val="00FC78BD"/>
    <w:rsid w:val="00FC7BF7"/>
    <w:rsid w:val="00FC7E53"/>
    <w:rsid w:val="00FD7D84"/>
    <w:rsid w:val="00FD7EDC"/>
    <w:rsid w:val="00FE04DC"/>
    <w:rsid w:val="00FE2ED4"/>
    <w:rsid w:val="00FE41B1"/>
    <w:rsid w:val="00FE41FD"/>
    <w:rsid w:val="00FE54AD"/>
    <w:rsid w:val="00FE74F1"/>
    <w:rsid w:val="00FF0335"/>
    <w:rsid w:val="00FF079F"/>
    <w:rsid w:val="00FF132F"/>
    <w:rsid w:val="00FF54D4"/>
    <w:rsid w:val="00FF769E"/>
    <w:rsid w:val="01E9A547"/>
    <w:rsid w:val="02E68CFB"/>
    <w:rsid w:val="057D1994"/>
    <w:rsid w:val="05CC6362"/>
    <w:rsid w:val="076D115E"/>
    <w:rsid w:val="0787DF71"/>
    <w:rsid w:val="0A20B88F"/>
    <w:rsid w:val="0A211244"/>
    <w:rsid w:val="0B4020BB"/>
    <w:rsid w:val="0BBD8883"/>
    <w:rsid w:val="0BF01BAF"/>
    <w:rsid w:val="0C408281"/>
    <w:rsid w:val="0D1E1174"/>
    <w:rsid w:val="0D35EB2A"/>
    <w:rsid w:val="0EFEA577"/>
    <w:rsid w:val="0F2C22D8"/>
    <w:rsid w:val="10AFB946"/>
    <w:rsid w:val="10C38CD2"/>
    <w:rsid w:val="117DBE37"/>
    <w:rsid w:val="1299902A"/>
    <w:rsid w:val="13C6053C"/>
    <w:rsid w:val="1527D4B2"/>
    <w:rsid w:val="1594C4D5"/>
    <w:rsid w:val="15F28C90"/>
    <w:rsid w:val="164B81A6"/>
    <w:rsid w:val="1673C123"/>
    <w:rsid w:val="1739E7A6"/>
    <w:rsid w:val="17602279"/>
    <w:rsid w:val="1934E0E9"/>
    <w:rsid w:val="19FB45D5"/>
    <w:rsid w:val="1A043070"/>
    <w:rsid w:val="1C14DF20"/>
    <w:rsid w:val="1C6F48A8"/>
    <w:rsid w:val="1C71F6FB"/>
    <w:rsid w:val="1D32E697"/>
    <w:rsid w:val="1D93A276"/>
    <w:rsid w:val="1EF0E870"/>
    <w:rsid w:val="21D292B2"/>
    <w:rsid w:val="2260858F"/>
    <w:rsid w:val="2416D86C"/>
    <w:rsid w:val="24680947"/>
    <w:rsid w:val="253DF87C"/>
    <w:rsid w:val="25577ED4"/>
    <w:rsid w:val="2733F6B2"/>
    <w:rsid w:val="27A255AC"/>
    <w:rsid w:val="27AFDF0A"/>
    <w:rsid w:val="287D86C4"/>
    <w:rsid w:val="28A77B94"/>
    <w:rsid w:val="2AE33E0D"/>
    <w:rsid w:val="2D8B2CAA"/>
    <w:rsid w:val="2F63B737"/>
    <w:rsid w:val="2FD9B03F"/>
    <w:rsid w:val="3027FF2E"/>
    <w:rsid w:val="33BD3B3A"/>
    <w:rsid w:val="34634BCB"/>
    <w:rsid w:val="34AC0ED8"/>
    <w:rsid w:val="373BA22C"/>
    <w:rsid w:val="3A46E3B9"/>
    <w:rsid w:val="3A8CFB74"/>
    <w:rsid w:val="3BEA9047"/>
    <w:rsid w:val="3D1CD60F"/>
    <w:rsid w:val="3D4DE20E"/>
    <w:rsid w:val="3E9E2220"/>
    <w:rsid w:val="3ED8E082"/>
    <w:rsid w:val="402947FB"/>
    <w:rsid w:val="40D61685"/>
    <w:rsid w:val="43BB8F22"/>
    <w:rsid w:val="44B0F7CB"/>
    <w:rsid w:val="45489D60"/>
    <w:rsid w:val="45A31CA3"/>
    <w:rsid w:val="45C5B631"/>
    <w:rsid w:val="45DBD874"/>
    <w:rsid w:val="45F2CE1E"/>
    <w:rsid w:val="477BC497"/>
    <w:rsid w:val="4957979B"/>
    <w:rsid w:val="49C90E98"/>
    <w:rsid w:val="4A703E5B"/>
    <w:rsid w:val="4B82810E"/>
    <w:rsid w:val="4C620428"/>
    <w:rsid w:val="4C7AA11C"/>
    <w:rsid w:val="4F77C764"/>
    <w:rsid w:val="507A996F"/>
    <w:rsid w:val="50F8A83C"/>
    <w:rsid w:val="53B7B472"/>
    <w:rsid w:val="54306E0F"/>
    <w:rsid w:val="54417C4E"/>
    <w:rsid w:val="556EFC3E"/>
    <w:rsid w:val="558C146A"/>
    <w:rsid w:val="5610DF6E"/>
    <w:rsid w:val="567C1453"/>
    <w:rsid w:val="56C0D5C6"/>
    <w:rsid w:val="57FEBC57"/>
    <w:rsid w:val="5890CD96"/>
    <w:rsid w:val="59A40ECB"/>
    <w:rsid w:val="59B3B515"/>
    <w:rsid w:val="5C34B162"/>
    <w:rsid w:val="5C8020F2"/>
    <w:rsid w:val="600AA00B"/>
    <w:rsid w:val="60DE9E7D"/>
    <w:rsid w:val="652D96D9"/>
    <w:rsid w:val="66FF515F"/>
    <w:rsid w:val="68EF7AB7"/>
    <w:rsid w:val="69105345"/>
    <w:rsid w:val="69F9FF4E"/>
    <w:rsid w:val="6AAC23A6"/>
    <w:rsid w:val="6AFB0A20"/>
    <w:rsid w:val="6B95CFAF"/>
    <w:rsid w:val="6C3E58DB"/>
    <w:rsid w:val="6C47F407"/>
    <w:rsid w:val="6D1FD008"/>
    <w:rsid w:val="6D70DF52"/>
    <w:rsid w:val="6DDC1437"/>
    <w:rsid w:val="720777EC"/>
    <w:rsid w:val="722EF637"/>
    <w:rsid w:val="72ABF7FB"/>
    <w:rsid w:val="7372B329"/>
    <w:rsid w:val="74322D5E"/>
    <w:rsid w:val="74A2385F"/>
    <w:rsid w:val="75CDFDBF"/>
    <w:rsid w:val="78B23038"/>
    <w:rsid w:val="7A1289D1"/>
    <w:rsid w:val="7A51970E"/>
    <w:rsid w:val="7AA95C68"/>
    <w:rsid w:val="7B4BC238"/>
    <w:rsid w:val="7C452CC9"/>
    <w:rsid w:val="7C7D6364"/>
    <w:rsid w:val="7CE6150E"/>
    <w:rsid w:val="7DF88BE8"/>
    <w:rsid w:val="7FD6FB6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02475F1"/>
  <w14:defaultImageDpi w14:val="0"/>
  <w15:docId w15:val="{4C15E5FD-8688-45C4-B6FC-D161F7917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es-C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qFormat="1"/>
    <w:lsdException w:name="caption" w:semiHidden="1" w:uiPriority="35" w:unhideWhenUsed="1" w:qFormat="1"/>
    <w:lsdException w:name="footnote reference"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72A2"/>
    <w:pPr>
      <w:spacing w:after="0" w:line="240" w:lineRule="auto"/>
    </w:pPr>
    <w:rPr>
      <w:rFonts w:ascii="Times New Roman" w:hAnsi="Times New Roman" w:cs="Times New Roman"/>
      <w:sz w:val="20"/>
      <w:szCs w:val="20"/>
      <w:lang w:val="es-ES" w:eastAsia="es-ES"/>
    </w:rPr>
  </w:style>
  <w:style w:type="paragraph" w:styleId="Ttulo4">
    <w:name w:val="heading 4"/>
    <w:basedOn w:val="Normal"/>
    <w:next w:val="Normal"/>
    <w:link w:val="Ttulo4Car"/>
    <w:uiPriority w:val="9"/>
    <w:unhideWhenUsed/>
    <w:qFormat/>
    <w:rsid w:val="008872A2"/>
    <w:pPr>
      <w:keepNext/>
      <w:spacing w:before="240" w:after="60"/>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locked/>
    <w:rsid w:val="008872A2"/>
    <w:rPr>
      <w:rFonts w:ascii="Calibri" w:hAnsi="Calibri" w:cs="Times New Roman"/>
      <w:b/>
      <w:bCs/>
      <w:sz w:val="28"/>
      <w:szCs w:val="28"/>
      <w:lang w:val="es-ES" w:eastAsia="es-ES"/>
    </w:rPr>
  </w:style>
  <w:style w:type="paragraph" w:styleId="Encabezado">
    <w:name w:val="header"/>
    <w:basedOn w:val="Normal"/>
    <w:link w:val="EncabezadoCar"/>
    <w:uiPriority w:val="99"/>
    <w:unhideWhenUsed/>
    <w:rsid w:val="008872A2"/>
    <w:pPr>
      <w:tabs>
        <w:tab w:val="center" w:pos="4419"/>
        <w:tab w:val="right" w:pos="8838"/>
      </w:tabs>
    </w:pPr>
  </w:style>
  <w:style w:type="character" w:customStyle="1" w:styleId="EncabezadoCar">
    <w:name w:val="Encabezado Car"/>
    <w:basedOn w:val="Fuentedeprrafopredeter"/>
    <w:link w:val="Encabezado"/>
    <w:uiPriority w:val="99"/>
    <w:locked/>
    <w:rsid w:val="008872A2"/>
    <w:rPr>
      <w:rFonts w:ascii="Times New Roman" w:hAnsi="Times New Roman" w:cs="Times New Roman"/>
      <w:sz w:val="20"/>
      <w:szCs w:val="20"/>
      <w:lang w:val="es-ES" w:eastAsia="es-ES"/>
    </w:rPr>
  </w:style>
  <w:style w:type="paragraph" w:styleId="Ttulo">
    <w:name w:val="Title"/>
    <w:basedOn w:val="Normal"/>
    <w:link w:val="TtuloCar"/>
    <w:uiPriority w:val="10"/>
    <w:qFormat/>
    <w:rsid w:val="008872A2"/>
    <w:pPr>
      <w:jc w:val="center"/>
    </w:pPr>
    <w:rPr>
      <w:rFonts w:ascii="Arial" w:hAnsi="Arial"/>
      <w:b/>
      <w:i/>
      <w:sz w:val="24"/>
    </w:rPr>
  </w:style>
  <w:style w:type="character" w:customStyle="1" w:styleId="TtuloCar">
    <w:name w:val="Título Car"/>
    <w:basedOn w:val="Fuentedeprrafopredeter"/>
    <w:link w:val="Ttulo"/>
    <w:uiPriority w:val="10"/>
    <w:locked/>
    <w:rsid w:val="008872A2"/>
    <w:rPr>
      <w:rFonts w:ascii="Arial" w:hAnsi="Arial" w:cs="Times New Roman"/>
      <w:b/>
      <w:i/>
      <w:sz w:val="20"/>
      <w:szCs w:val="20"/>
      <w:lang w:val="es-ES" w:eastAsia="es-ES"/>
    </w:rPr>
  </w:style>
  <w:style w:type="paragraph" w:styleId="Sinespaciado">
    <w:name w:val="No Spacing"/>
    <w:link w:val="SinespaciadoCar"/>
    <w:uiPriority w:val="1"/>
    <w:qFormat/>
    <w:rsid w:val="008872A2"/>
    <w:pPr>
      <w:widowControl w:val="0"/>
      <w:autoSpaceDE w:val="0"/>
      <w:autoSpaceDN w:val="0"/>
      <w:adjustRightInd w:val="0"/>
      <w:spacing w:after="0" w:line="240" w:lineRule="auto"/>
    </w:pPr>
    <w:rPr>
      <w:rFonts w:ascii="Courier New" w:hAnsi="Courier New" w:cs="Courier New"/>
      <w:sz w:val="24"/>
      <w:szCs w:val="24"/>
      <w:lang w:val="es-ES" w:eastAsia="es-ES"/>
    </w:rPr>
  </w:style>
  <w:style w:type="paragraph" w:styleId="Textoindependiente">
    <w:name w:val="Body Text"/>
    <w:basedOn w:val="Normal"/>
    <w:link w:val="TextoindependienteCar"/>
    <w:uiPriority w:val="99"/>
    <w:rsid w:val="008872A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hAnsi="Verdana"/>
      <w:spacing w:val="-3"/>
      <w:sz w:val="24"/>
      <w:lang w:val="es-ES_tradnl"/>
    </w:rPr>
  </w:style>
  <w:style w:type="character" w:customStyle="1" w:styleId="TextoindependienteCar">
    <w:name w:val="Texto independiente Car"/>
    <w:basedOn w:val="Fuentedeprrafopredeter"/>
    <w:link w:val="Textoindependiente"/>
    <w:uiPriority w:val="99"/>
    <w:locked/>
    <w:rsid w:val="008872A2"/>
    <w:rPr>
      <w:rFonts w:ascii="Verdana" w:hAnsi="Verdana" w:cs="Times New Roman"/>
      <w:spacing w:val="-3"/>
      <w:sz w:val="20"/>
      <w:szCs w:val="20"/>
      <w:lang w:val="es-ES_tradnl" w:eastAsia="es-ES"/>
    </w:rPr>
  </w:style>
  <w:style w:type="paragraph" w:styleId="Prrafodelista">
    <w:name w:val="List Paragraph"/>
    <w:basedOn w:val="Normal"/>
    <w:uiPriority w:val="99"/>
    <w:qFormat/>
    <w:rsid w:val="008872A2"/>
    <w:pPr>
      <w:ind w:left="708"/>
    </w:pPr>
  </w:style>
  <w:style w:type="paragraph" w:styleId="Textodeglobo">
    <w:name w:val="Balloon Text"/>
    <w:basedOn w:val="Normal"/>
    <w:link w:val="TextodegloboCar"/>
    <w:uiPriority w:val="99"/>
    <w:semiHidden/>
    <w:unhideWhenUsed/>
    <w:rsid w:val="008872A2"/>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8872A2"/>
    <w:rPr>
      <w:rFonts w:ascii="Tahoma" w:hAnsi="Tahoma" w:cs="Tahoma"/>
      <w:sz w:val="16"/>
      <w:szCs w:val="16"/>
      <w:lang w:val="es-ES" w:eastAsia="es-ES"/>
    </w:rPr>
  </w:style>
  <w:style w:type="paragraph" w:styleId="Piedepgina">
    <w:name w:val="footer"/>
    <w:aliases w:val="Pie de página Car Car"/>
    <w:basedOn w:val="Normal"/>
    <w:link w:val="PiedepginaCar"/>
    <w:uiPriority w:val="99"/>
    <w:unhideWhenUsed/>
    <w:rsid w:val="009A1240"/>
    <w:pPr>
      <w:tabs>
        <w:tab w:val="center" w:pos="4419"/>
        <w:tab w:val="right" w:pos="8838"/>
      </w:tabs>
    </w:pPr>
  </w:style>
  <w:style w:type="character" w:customStyle="1" w:styleId="PiedepginaCar">
    <w:name w:val="Pie de página Car"/>
    <w:aliases w:val="Pie de página Car Car Car"/>
    <w:basedOn w:val="Fuentedeprrafopredeter"/>
    <w:link w:val="Piedepgina"/>
    <w:uiPriority w:val="99"/>
    <w:locked/>
    <w:rsid w:val="009A1240"/>
    <w:rPr>
      <w:rFonts w:ascii="Times New Roman" w:hAnsi="Times New Roman" w:cs="Times New Roman"/>
      <w:sz w:val="20"/>
      <w:szCs w:val="20"/>
      <w:lang w:val="es-ES"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texto de nota al pi,Footnote refere"/>
    <w:basedOn w:val="Normal"/>
    <w:link w:val="TextonotapieCar"/>
    <w:uiPriority w:val="99"/>
    <w:unhideWhenUsed/>
    <w:qFormat/>
    <w:rsid w:val="00392869"/>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locked/>
    <w:rsid w:val="00392869"/>
    <w:rPr>
      <w:rFonts w:ascii="Times New Roman" w:hAnsi="Times New Roman" w:cs="Times New Roman"/>
      <w:sz w:val="20"/>
      <w:szCs w:val="20"/>
      <w:lang w:val="es-ES" w:eastAsia="es-ES"/>
    </w:rPr>
  </w:style>
  <w:style w:type="paragraph" w:customStyle="1" w:styleId="Textopredeterminado">
    <w:name w:val="Texto predeterminado"/>
    <w:basedOn w:val="Normal"/>
    <w:uiPriority w:val="99"/>
    <w:rsid w:val="00A12284"/>
    <w:pPr>
      <w:overflowPunct w:val="0"/>
      <w:autoSpaceDE w:val="0"/>
      <w:autoSpaceDN w:val="0"/>
      <w:adjustRightInd w:val="0"/>
    </w:pPr>
    <w:rPr>
      <w:color w:val="000000"/>
      <w:sz w:val="24"/>
    </w:rPr>
  </w:style>
  <w:style w:type="character" w:styleId="Refdenotaalpie">
    <w:name w:val="footnote reference"/>
    <w:aliases w:val="Texto de nota al pie,referencia nota al pie,Ref,de nota al pie,Footnotes refss,Appel note de bas de page,Fago Fußnotenzeichen,Nota a pie,Ref. de nota al pie 2,Footnote symbol,Footnote,Char Car Car Car Ca,Ref. de nota al pie2,R,FC,f"/>
    <w:basedOn w:val="Fuentedeprrafopredeter"/>
    <w:uiPriority w:val="99"/>
    <w:qFormat/>
    <w:rsid w:val="00E316D9"/>
    <w:rPr>
      <w:rFonts w:cs="Times New Roman"/>
      <w:vertAlign w:val="superscript"/>
    </w:rPr>
  </w:style>
  <w:style w:type="character" w:customStyle="1" w:styleId="SinespaciadoCar">
    <w:name w:val="Sin espaciado Car"/>
    <w:link w:val="Sinespaciado"/>
    <w:uiPriority w:val="1"/>
    <w:locked/>
    <w:rsid w:val="00045CE3"/>
    <w:rPr>
      <w:rFonts w:ascii="Courier New" w:hAnsi="Courier New"/>
      <w:sz w:val="24"/>
      <w:lang w:val="es-ES" w:eastAsia="es-ES"/>
    </w:rPr>
  </w:style>
  <w:style w:type="paragraph" w:customStyle="1" w:styleId="Default">
    <w:name w:val="Default"/>
    <w:rsid w:val="00471941"/>
    <w:pPr>
      <w:autoSpaceDE w:val="0"/>
      <w:autoSpaceDN w:val="0"/>
      <w:adjustRightInd w:val="0"/>
      <w:spacing w:after="0" w:line="240" w:lineRule="auto"/>
    </w:pPr>
    <w:rPr>
      <w:rFonts w:ascii="Arial" w:hAnsi="Arial" w:cs="Arial"/>
      <w:color w:val="000000"/>
      <w:sz w:val="24"/>
      <w:szCs w:val="24"/>
    </w:rPr>
  </w:style>
  <w:style w:type="character" w:styleId="Refdecomentario">
    <w:name w:val="annotation reference"/>
    <w:basedOn w:val="Fuentedeprrafopredeter"/>
    <w:uiPriority w:val="99"/>
    <w:rsid w:val="007C4788"/>
    <w:rPr>
      <w:sz w:val="16"/>
      <w:szCs w:val="16"/>
    </w:rPr>
  </w:style>
  <w:style w:type="paragraph" w:styleId="Textocomentario">
    <w:name w:val="annotation text"/>
    <w:basedOn w:val="Normal"/>
    <w:link w:val="TextocomentarioCar"/>
    <w:uiPriority w:val="99"/>
    <w:rsid w:val="007C4788"/>
  </w:style>
  <w:style w:type="character" w:customStyle="1" w:styleId="TextocomentarioCar">
    <w:name w:val="Texto comentario Car"/>
    <w:basedOn w:val="Fuentedeprrafopredeter"/>
    <w:link w:val="Textocomentario"/>
    <w:uiPriority w:val="99"/>
    <w:rsid w:val="007C4788"/>
    <w:rPr>
      <w:rFonts w:ascii="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rsid w:val="007C4788"/>
    <w:rPr>
      <w:b/>
      <w:bCs/>
    </w:rPr>
  </w:style>
  <w:style w:type="character" w:customStyle="1" w:styleId="AsuntodelcomentarioCar">
    <w:name w:val="Asunto del comentario Car"/>
    <w:basedOn w:val="TextocomentarioCar"/>
    <w:link w:val="Asuntodelcomentario"/>
    <w:uiPriority w:val="99"/>
    <w:rsid w:val="007C4788"/>
    <w:rPr>
      <w:rFonts w:ascii="Times New Roman" w:hAnsi="Times New Roman" w:cs="Times New Roman"/>
      <w:b/>
      <w:bCs/>
      <w:sz w:val="20"/>
      <w:szCs w:val="20"/>
      <w:lang w:val="es-ES" w:eastAsia="es-ES"/>
    </w:rPr>
  </w:style>
  <w:style w:type="character" w:styleId="Hipervnculo">
    <w:name w:val="Hyperlink"/>
    <w:basedOn w:val="Fuentedeprrafopredeter"/>
    <w:uiPriority w:val="99"/>
    <w:rsid w:val="005B48F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6060411">
      <w:bodyDiv w:val="1"/>
      <w:marLeft w:val="0"/>
      <w:marRight w:val="0"/>
      <w:marTop w:val="0"/>
      <w:marBottom w:val="0"/>
      <w:divBdr>
        <w:top w:val="none" w:sz="0" w:space="0" w:color="auto"/>
        <w:left w:val="none" w:sz="0" w:space="0" w:color="auto"/>
        <w:bottom w:val="none" w:sz="0" w:space="0" w:color="auto"/>
        <w:right w:val="none" w:sz="0" w:space="0" w:color="auto"/>
      </w:divBdr>
      <w:divsChild>
        <w:div w:id="282463058">
          <w:marLeft w:val="0"/>
          <w:marRight w:val="0"/>
          <w:marTop w:val="0"/>
          <w:marBottom w:val="0"/>
          <w:divBdr>
            <w:top w:val="none" w:sz="0" w:space="0" w:color="auto"/>
            <w:left w:val="none" w:sz="0" w:space="0" w:color="auto"/>
            <w:bottom w:val="none" w:sz="0" w:space="0" w:color="auto"/>
            <w:right w:val="none" w:sz="0" w:space="0" w:color="auto"/>
          </w:divBdr>
        </w:div>
        <w:div w:id="1605840602">
          <w:marLeft w:val="0"/>
          <w:marRight w:val="0"/>
          <w:marTop w:val="0"/>
          <w:marBottom w:val="0"/>
          <w:divBdr>
            <w:top w:val="none" w:sz="0" w:space="0" w:color="auto"/>
            <w:left w:val="none" w:sz="0" w:space="0" w:color="auto"/>
            <w:bottom w:val="none" w:sz="0" w:space="0" w:color="auto"/>
            <w:right w:val="none" w:sz="0" w:space="0" w:color="auto"/>
          </w:divBdr>
        </w:div>
        <w:div w:id="2007126593">
          <w:marLeft w:val="0"/>
          <w:marRight w:val="0"/>
          <w:marTop w:val="0"/>
          <w:marBottom w:val="0"/>
          <w:divBdr>
            <w:top w:val="none" w:sz="0" w:space="0" w:color="auto"/>
            <w:left w:val="none" w:sz="0" w:space="0" w:color="auto"/>
            <w:bottom w:val="none" w:sz="0" w:space="0" w:color="auto"/>
            <w:right w:val="none" w:sz="0" w:space="0" w:color="auto"/>
          </w:divBdr>
        </w:div>
      </w:divsChild>
    </w:div>
    <w:div w:id="1152260101">
      <w:bodyDiv w:val="1"/>
      <w:marLeft w:val="0"/>
      <w:marRight w:val="0"/>
      <w:marTop w:val="0"/>
      <w:marBottom w:val="0"/>
      <w:divBdr>
        <w:top w:val="none" w:sz="0" w:space="0" w:color="auto"/>
        <w:left w:val="none" w:sz="0" w:space="0" w:color="auto"/>
        <w:bottom w:val="none" w:sz="0" w:space="0" w:color="auto"/>
        <w:right w:val="none" w:sz="0" w:space="0" w:color="auto"/>
      </w:divBdr>
    </w:div>
    <w:div w:id="1636719597">
      <w:bodyDiv w:val="1"/>
      <w:marLeft w:val="0"/>
      <w:marRight w:val="0"/>
      <w:marTop w:val="0"/>
      <w:marBottom w:val="0"/>
      <w:divBdr>
        <w:top w:val="none" w:sz="0" w:space="0" w:color="auto"/>
        <w:left w:val="none" w:sz="0" w:space="0" w:color="auto"/>
        <w:bottom w:val="none" w:sz="0" w:space="0" w:color="auto"/>
        <w:right w:val="none" w:sz="0" w:space="0" w:color="auto"/>
      </w:divBdr>
    </w:div>
    <w:div w:id="1731997869">
      <w:bodyDiv w:val="1"/>
      <w:marLeft w:val="0"/>
      <w:marRight w:val="0"/>
      <w:marTop w:val="0"/>
      <w:marBottom w:val="0"/>
      <w:divBdr>
        <w:top w:val="none" w:sz="0" w:space="0" w:color="auto"/>
        <w:left w:val="none" w:sz="0" w:space="0" w:color="auto"/>
        <w:bottom w:val="none" w:sz="0" w:space="0" w:color="auto"/>
        <w:right w:val="none" w:sz="0" w:space="0" w:color="auto"/>
      </w:divBdr>
      <w:divsChild>
        <w:div w:id="564224548">
          <w:marLeft w:val="0"/>
          <w:marRight w:val="0"/>
          <w:marTop w:val="0"/>
          <w:marBottom w:val="0"/>
          <w:divBdr>
            <w:top w:val="none" w:sz="0" w:space="0" w:color="auto"/>
            <w:left w:val="none" w:sz="0" w:space="0" w:color="auto"/>
            <w:bottom w:val="none" w:sz="0" w:space="0" w:color="auto"/>
            <w:right w:val="none" w:sz="0" w:space="0" w:color="auto"/>
          </w:divBdr>
        </w:div>
        <w:div w:id="603153768">
          <w:marLeft w:val="0"/>
          <w:marRight w:val="0"/>
          <w:marTop w:val="0"/>
          <w:marBottom w:val="0"/>
          <w:divBdr>
            <w:top w:val="none" w:sz="0" w:space="0" w:color="auto"/>
            <w:left w:val="none" w:sz="0" w:space="0" w:color="auto"/>
            <w:bottom w:val="none" w:sz="0" w:space="0" w:color="auto"/>
            <w:right w:val="none" w:sz="0" w:space="0" w:color="auto"/>
          </w:divBdr>
        </w:div>
        <w:div w:id="1633249926">
          <w:marLeft w:val="0"/>
          <w:marRight w:val="0"/>
          <w:marTop w:val="0"/>
          <w:marBottom w:val="0"/>
          <w:divBdr>
            <w:top w:val="none" w:sz="0" w:space="0" w:color="auto"/>
            <w:left w:val="none" w:sz="0" w:space="0" w:color="auto"/>
            <w:bottom w:val="none" w:sz="0" w:space="0" w:color="auto"/>
            <w:right w:val="none" w:sz="0" w:space="0" w:color="auto"/>
          </w:divBdr>
        </w:div>
        <w:div w:id="870000419">
          <w:marLeft w:val="0"/>
          <w:marRight w:val="0"/>
          <w:marTop w:val="0"/>
          <w:marBottom w:val="0"/>
          <w:divBdr>
            <w:top w:val="none" w:sz="0" w:space="0" w:color="auto"/>
            <w:left w:val="none" w:sz="0" w:space="0" w:color="auto"/>
            <w:bottom w:val="none" w:sz="0" w:space="0" w:color="auto"/>
            <w:right w:val="none" w:sz="0" w:space="0" w:color="auto"/>
          </w:divBdr>
        </w:div>
        <w:div w:id="2267677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cd2e5240388a433c" Type="http://schemas.microsoft.com/office/2018/08/relationships/commentsExtensible" Target="commentsExtensi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D55DAA59ED71E145A902CBDE44C6EA38" ma:contentTypeVersion="13" ma:contentTypeDescription="Crear nuevo documento." ma:contentTypeScope="" ma:versionID="cf3c778c7db28c7662df68ee229509e4">
  <xsd:schema xmlns:xsd="http://www.w3.org/2001/XMLSchema" xmlns:xs="http://www.w3.org/2001/XMLSchema" xmlns:p="http://schemas.microsoft.com/office/2006/metadata/properties" xmlns:ns3="4679e6eb-720c-4b21-a623-7c255634a943" xmlns:ns4="f5cde72a-7cdc-4841-9e25-b65b844814c3" targetNamespace="http://schemas.microsoft.com/office/2006/metadata/properties" ma:root="true" ma:fieldsID="74f58a98d6aa49fabd45613da598c98f" ns3:_="" ns4:_="">
    <xsd:import namespace="4679e6eb-720c-4b21-a623-7c255634a943"/>
    <xsd:import namespace="f5cde72a-7cdc-4841-9e25-b65b844814c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79e6eb-720c-4b21-a623-7c255634a943"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cde72a-7cdc-4841-9e25-b65b844814c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82A3D0-626D-4407-9012-9399E6858FD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E2528C0-568B-4173-844A-C543B8E71968}">
  <ds:schemaRefs>
    <ds:schemaRef ds:uri="http://schemas.microsoft.com/sharepoint/v3/contenttype/forms"/>
  </ds:schemaRefs>
</ds:datastoreItem>
</file>

<file path=customXml/itemProps3.xml><?xml version="1.0" encoding="utf-8"?>
<ds:datastoreItem xmlns:ds="http://schemas.openxmlformats.org/officeDocument/2006/customXml" ds:itemID="{99FA0A5A-F616-462C-A8BC-00567F7A3C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79e6eb-720c-4b21-a623-7c255634a943"/>
    <ds:schemaRef ds:uri="f5cde72a-7cdc-4841-9e25-b65b844814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05D6957-C10E-43CB-8857-5B2E7F55F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Pages>
  <Words>1761</Words>
  <Characters>9686</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Equipo</dc:creator>
  <cp:keywords/>
  <dc:description/>
  <cp:lastModifiedBy>Hermides Alonso Gaviria Ocampo</cp:lastModifiedBy>
  <cp:revision>10</cp:revision>
  <cp:lastPrinted>2020-02-12T18:45:00Z</cp:lastPrinted>
  <dcterms:created xsi:type="dcterms:W3CDTF">2021-03-02T12:19:00Z</dcterms:created>
  <dcterms:modified xsi:type="dcterms:W3CDTF">2022-02-26T18:37:00Z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0x010100D55DAA59ED71E145A902CBDE44C6EA38</vt:lpwstr>
  </property>
</Properties>
</file>