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D933E" w14:textId="77777777" w:rsidR="00267A1F" w:rsidRPr="00267A1F" w:rsidRDefault="00267A1F" w:rsidP="00267A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_tradnl" w:eastAsia="fr-FR"/>
        </w:rPr>
      </w:pPr>
      <w:r w:rsidRPr="00267A1F">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1956969B" w14:textId="77777777" w:rsidR="00267A1F" w:rsidRPr="00267A1F" w:rsidRDefault="00267A1F" w:rsidP="00267A1F">
      <w:pPr>
        <w:jc w:val="both"/>
        <w:rPr>
          <w:rFonts w:ascii="Arial" w:hAnsi="Arial" w:cs="Arial"/>
          <w:lang w:val="es-ES_tradnl"/>
        </w:rPr>
      </w:pPr>
    </w:p>
    <w:p w14:paraId="4253FCE8" w14:textId="3D048177" w:rsidR="00267A1F" w:rsidRPr="00094383" w:rsidRDefault="00267A1F" w:rsidP="00267A1F">
      <w:pPr>
        <w:jc w:val="both"/>
        <w:rPr>
          <w:rFonts w:ascii="Arial" w:hAnsi="Arial" w:cs="Arial"/>
          <w:lang w:val="es-ES_tradnl"/>
        </w:rPr>
      </w:pPr>
      <w:r w:rsidRPr="00094383">
        <w:rPr>
          <w:rFonts w:ascii="Arial" w:hAnsi="Arial" w:cs="Arial"/>
          <w:lang w:val="es-ES_tradnl"/>
        </w:rPr>
        <w:t>Asunto</w:t>
      </w:r>
      <w:r w:rsidRPr="00094383">
        <w:rPr>
          <w:rFonts w:ascii="Arial" w:hAnsi="Arial" w:cs="Arial"/>
          <w:lang w:val="es-ES_tradnl"/>
        </w:rPr>
        <w:tab/>
      </w:r>
      <w:r w:rsidRPr="00094383">
        <w:rPr>
          <w:rFonts w:ascii="Arial" w:hAnsi="Arial" w:cs="Arial"/>
          <w:lang w:val="es-ES_tradnl"/>
        </w:rPr>
        <w:tab/>
      </w:r>
      <w:r w:rsidRPr="00094383">
        <w:rPr>
          <w:rFonts w:ascii="Arial" w:hAnsi="Arial" w:cs="Arial"/>
          <w:lang w:val="es-ES_tradnl"/>
        </w:rPr>
        <w:tab/>
        <w:t>: Decide admisibilidad recurso de queja</w:t>
      </w:r>
    </w:p>
    <w:p w14:paraId="2B1A28C6" w14:textId="77777777" w:rsidR="00267A1F" w:rsidRPr="00094383" w:rsidRDefault="00267A1F" w:rsidP="00267A1F">
      <w:pPr>
        <w:jc w:val="both"/>
        <w:rPr>
          <w:rFonts w:ascii="Arial" w:hAnsi="Arial" w:cs="Arial"/>
          <w:lang w:val="es-ES_tradnl"/>
        </w:rPr>
      </w:pPr>
      <w:r w:rsidRPr="00094383">
        <w:rPr>
          <w:rFonts w:ascii="Arial" w:hAnsi="Arial" w:cs="Arial"/>
          <w:lang w:val="es-ES_tradnl"/>
        </w:rPr>
        <w:t>Proceso</w:t>
      </w:r>
      <w:r w:rsidRPr="00094383">
        <w:rPr>
          <w:rFonts w:ascii="Arial" w:hAnsi="Arial" w:cs="Arial"/>
          <w:lang w:val="es-ES_tradnl"/>
        </w:rPr>
        <w:tab/>
      </w:r>
      <w:r w:rsidRPr="00094383">
        <w:rPr>
          <w:rFonts w:ascii="Arial" w:hAnsi="Arial" w:cs="Arial"/>
          <w:lang w:val="es-ES_tradnl"/>
        </w:rPr>
        <w:tab/>
        <w:t>: Divisorio</w:t>
      </w:r>
    </w:p>
    <w:p w14:paraId="259AFB43" w14:textId="77777777" w:rsidR="00267A1F" w:rsidRPr="00094383" w:rsidRDefault="00267A1F" w:rsidP="00267A1F">
      <w:pPr>
        <w:jc w:val="both"/>
        <w:rPr>
          <w:rFonts w:ascii="Arial" w:hAnsi="Arial" w:cs="Arial"/>
          <w:lang w:val="es-ES_tradnl"/>
        </w:rPr>
      </w:pPr>
      <w:r w:rsidRPr="00094383">
        <w:rPr>
          <w:rFonts w:ascii="Arial" w:hAnsi="Arial" w:cs="Arial"/>
          <w:lang w:val="es-ES_tradnl"/>
        </w:rPr>
        <w:t>Demandante</w:t>
      </w:r>
      <w:r w:rsidRPr="00094383">
        <w:rPr>
          <w:rFonts w:ascii="Arial" w:hAnsi="Arial" w:cs="Arial"/>
          <w:lang w:val="es-ES_tradnl"/>
        </w:rPr>
        <w:tab/>
      </w:r>
      <w:r w:rsidRPr="00094383">
        <w:rPr>
          <w:rFonts w:ascii="Arial" w:hAnsi="Arial" w:cs="Arial"/>
          <w:lang w:val="es-ES_tradnl"/>
        </w:rPr>
        <w:tab/>
        <w:t xml:space="preserve">: Carolina Ibáñez Pérez </w:t>
      </w:r>
    </w:p>
    <w:p w14:paraId="45A6102F" w14:textId="77777777" w:rsidR="00267A1F" w:rsidRPr="00094383" w:rsidRDefault="00267A1F" w:rsidP="00267A1F">
      <w:pPr>
        <w:jc w:val="both"/>
        <w:rPr>
          <w:rFonts w:ascii="Arial" w:hAnsi="Arial" w:cs="Arial"/>
          <w:lang w:val="es-ES_tradnl"/>
        </w:rPr>
      </w:pPr>
      <w:r w:rsidRPr="00094383">
        <w:rPr>
          <w:rFonts w:ascii="Arial" w:hAnsi="Arial" w:cs="Arial"/>
          <w:lang w:val="es-ES_tradnl"/>
        </w:rPr>
        <w:t>Demandado</w:t>
      </w:r>
      <w:r w:rsidRPr="00094383">
        <w:rPr>
          <w:rFonts w:ascii="Arial" w:hAnsi="Arial" w:cs="Arial"/>
          <w:lang w:val="es-ES_tradnl"/>
        </w:rPr>
        <w:tab/>
      </w:r>
      <w:r w:rsidRPr="00094383">
        <w:rPr>
          <w:rFonts w:ascii="Arial" w:hAnsi="Arial" w:cs="Arial"/>
          <w:lang w:val="es-ES_tradnl"/>
        </w:rPr>
        <w:tab/>
        <w:t>: Mario Ibáñez Soto y otros</w:t>
      </w:r>
    </w:p>
    <w:p w14:paraId="0EC7A28F" w14:textId="77777777" w:rsidR="00267A1F" w:rsidRPr="00094383" w:rsidRDefault="00267A1F" w:rsidP="00267A1F">
      <w:pPr>
        <w:jc w:val="both"/>
        <w:rPr>
          <w:rFonts w:ascii="Arial" w:hAnsi="Arial" w:cs="Arial"/>
          <w:lang w:val="es-ES_tradnl"/>
        </w:rPr>
      </w:pPr>
      <w:r w:rsidRPr="00094383">
        <w:rPr>
          <w:rFonts w:ascii="Arial" w:hAnsi="Arial" w:cs="Arial"/>
          <w:lang w:val="es-ES_tradnl"/>
        </w:rPr>
        <w:t>Procedencia</w:t>
      </w:r>
      <w:r w:rsidRPr="00094383">
        <w:rPr>
          <w:rFonts w:ascii="Arial" w:hAnsi="Arial" w:cs="Arial"/>
          <w:lang w:val="es-ES_tradnl"/>
        </w:rPr>
        <w:tab/>
      </w:r>
      <w:r w:rsidRPr="00094383">
        <w:rPr>
          <w:rFonts w:ascii="Arial" w:hAnsi="Arial" w:cs="Arial"/>
          <w:lang w:val="es-ES_tradnl"/>
        </w:rPr>
        <w:tab/>
        <w:t>: Juzgado Promiscuo del Circuito de Belén de Umbría</w:t>
      </w:r>
    </w:p>
    <w:p w14:paraId="1BB4065E" w14:textId="4A25BC71" w:rsidR="00267A1F" w:rsidRPr="00094383" w:rsidRDefault="00267A1F" w:rsidP="00267A1F">
      <w:pPr>
        <w:jc w:val="both"/>
        <w:rPr>
          <w:rFonts w:ascii="Arial" w:hAnsi="Arial" w:cs="Arial"/>
          <w:lang w:val="es-ES_tradnl"/>
        </w:rPr>
      </w:pPr>
      <w:r w:rsidRPr="00094383">
        <w:rPr>
          <w:rFonts w:ascii="Arial" w:hAnsi="Arial" w:cs="Arial"/>
          <w:lang w:val="es-ES_tradnl"/>
        </w:rPr>
        <w:t>Radicación</w:t>
      </w:r>
      <w:r w:rsidRPr="00094383">
        <w:rPr>
          <w:rFonts w:ascii="Arial" w:hAnsi="Arial" w:cs="Arial"/>
          <w:lang w:val="es-ES_tradnl"/>
        </w:rPr>
        <w:tab/>
      </w:r>
      <w:r w:rsidRPr="00094383">
        <w:rPr>
          <w:rFonts w:ascii="Arial" w:hAnsi="Arial" w:cs="Arial"/>
          <w:lang w:val="es-ES_tradnl"/>
        </w:rPr>
        <w:tab/>
        <w:t>: 66088-31-89-001-2021-00017-01</w:t>
      </w:r>
    </w:p>
    <w:p w14:paraId="29DC6D22" w14:textId="123FD27F" w:rsidR="00267A1F" w:rsidRPr="00267A1F" w:rsidRDefault="00267A1F" w:rsidP="00267A1F">
      <w:pPr>
        <w:jc w:val="both"/>
        <w:rPr>
          <w:rFonts w:ascii="Arial" w:hAnsi="Arial" w:cs="Arial"/>
          <w:lang w:val="es-ES_tradnl"/>
        </w:rPr>
      </w:pPr>
      <w:proofErr w:type="spellStart"/>
      <w:r w:rsidRPr="00094383">
        <w:rPr>
          <w:rFonts w:ascii="Arial" w:hAnsi="Arial" w:cs="Arial"/>
          <w:lang w:val="es-ES_tradnl"/>
        </w:rPr>
        <w:t>Mag</w:t>
      </w:r>
      <w:proofErr w:type="spellEnd"/>
      <w:r w:rsidRPr="00094383">
        <w:rPr>
          <w:rFonts w:ascii="Arial" w:hAnsi="Arial" w:cs="Arial"/>
          <w:lang w:val="es-ES_tradnl"/>
        </w:rPr>
        <w:t xml:space="preserve"> Sustanciador</w:t>
      </w:r>
      <w:r w:rsidRPr="00094383">
        <w:rPr>
          <w:rFonts w:ascii="Arial" w:hAnsi="Arial" w:cs="Arial"/>
          <w:lang w:val="es-ES_tradnl"/>
        </w:rPr>
        <w:tab/>
        <w:t>: DUBERNEY GRISALES HERRERA</w:t>
      </w:r>
    </w:p>
    <w:p w14:paraId="08538D5E" w14:textId="77777777" w:rsidR="00267A1F" w:rsidRPr="00267A1F" w:rsidRDefault="00267A1F" w:rsidP="00267A1F">
      <w:pPr>
        <w:jc w:val="both"/>
        <w:rPr>
          <w:rFonts w:ascii="Arial" w:hAnsi="Arial" w:cs="Arial"/>
          <w:lang w:val="es-ES_tradnl"/>
        </w:rPr>
      </w:pPr>
    </w:p>
    <w:p w14:paraId="086304BA" w14:textId="08B7207B" w:rsidR="00267A1F" w:rsidRPr="00267A1F" w:rsidRDefault="00094383" w:rsidP="00267A1F">
      <w:pPr>
        <w:jc w:val="both"/>
        <w:rPr>
          <w:rFonts w:ascii="Arial" w:hAnsi="Arial" w:cs="Arial"/>
          <w:b/>
          <w:bCs/>
          <w:iCs/>
          <w:lang w:val="es-ES_tradnl" w:eastAsia="fr-FR"/>
        </w:rPr>
      </w:pPr>
      <w:r w:rsidRPr="00094383">
        <w:rPr>
          <w:rFonts w:ascii="Arial" w:hAnsi="Arial" w:cs="Arial"/>
          <w:b/>
          <w:bCs/>
          <w:iCs/>
          <w:u w:val="single"/>
          <w:lang w:val="es-ES_tradnl" w:eastAsia="fr-FR"/>
        </w:rPr>
        <w:t>TEMAS:</w:t>
      </w:r>
      <w:r w:rsidRPr="00094383">
        <w:rPr>
          <w:rFonts w:ascii="Arial" w:hAnsi="Arial" w:cs="Arial"/>
          <w:b/>
          <w:bCs/>
          <w:iCs/>
          <w:lang w:val="es-ES_tradnl" w:eastAsia="fr-FR"/>
        </w:rPr>
        <w:tab/>
      </w:r>
      <w:r w:rsidR="00C62D4D">
        <w:rPr>
          <w:rFonts w:ascii="Arial" w:hAnsi="Arial" w:cs="Arial"/>
          <w:b/>
          <w:bCs/>
          <w:iCs/>
          <w:lang w:val="es-ES_tradnl" w:eastAsia="fr-FR"/>
        </w:rPr>
        <w:t xml:space="preserve">RECURSO DE QUEJA / REQUISITOS DE VIABILIDAD / LEGITIMACIÓN, </w:t>
      </w:r>
      <w:r w:rsidRPr="00094383">
        <w:rPr>
          <w:rFonts w:ascii="Arial" w:hAnsi="Arial" w:cs="Arial"/>
          <w:b/>
          <w:lang w:val="es-ES_tradnl"/>
        </w:rPr>
        <w:t>OPORTUNIDAD</w:t>
      </w:r>
      <w:r w:rsidR="00C62D4D">
        <w:rPr>
          <w:rFonts w:ascii="Arial" w:hAnsi="Arial" w:cs="Arial"/>
          <w:b/>
          <w:lang w:val="es-ES_tradnl"/>
        </w:rPr>
        <w:t xml:space="preserve">, PROCEDENCIA Y CARGAS PROCESALES / ES OBLIGATORIO INTERPONERLO </w:t>
      </w:r>
      <w:r w:rsidR="006E10B7">
        <w:rPr>
          <w:rFonts w:ascii="Arial" w:hAnsi="Arial" w:cs="Arial"/>
          <w:b/>
          <w:lang w:val="es-ES_tradnl"/>
        </w:rPr>
        <w:t>COMO SUBSIDIARIO DEL DE REPOSICIÓN.</w:t>
      </w:r>
    </w:p>
    <w:p w14:paraId="59B9022D" w14:textId="77777777" w:rsidR="00267A1F" w:rsidRPr="00267A1F" w:rsidRDefault="00267A1F" w:rsidP="00267A1F">
      <w:pPr>
        <w:jc w:val="both"/>
        <w:rPr>
          <w:rFonts w:ascii="Arial" w:hAnsi="Arial" w:cs="Arial"/>
          <w:lang w:val="es-ES_tradnl"/>
        </w:rPr>
      </w:pPr>
    </w:p>
    <w:p w14:paraId="29955170" w14:textId="40551B34" w:rsidR="00267A1F" w:rsidRDefault="004A3E7F" w:rsidP="00267A1F">
      <w:pPr>
        <w:jc w:val="both"/>
        <w:rPr>
          <w:rFonts w:ascii="Arial" w:hAnsi="Arial" w:cs="Arial"/>
          <w:lang w:val="es-ES_tradnl"/>
        </w:rPr>
      </w:pPr>
      <w:r w:rsidRPr="004A3E7F">
        <w:rPr>
          <w:rFonts w:ascii="Arial" w:hAnsi="Arial" w:cs="Arial"/>
          <w:lang w:val="es-ES_tradnl"/>
        </w:rPr>
        <w:t>En materia de impugnaciones, es siempre indispensable la revisión de esos presupuestos que permiten desatar el recurso o condiciones para tener la posibilidad de recurrir</w:t>
      </w:r>
      <w:r>
        <w:rPr>
          <w:rFonts w:ascii="Arial" w:hAnsi="Arial" w:cs="Arial"/>
          <w:lang w:val="es-ES_tradnl"/>
        </w:rPr>
        <w:t>…</w:t>
      </w:r>
    </w:p>
    <w:p w14:paraId="1C0172AF" w14:textId="77777777" w:rsidR="004A3E7F" w:rsidRPr="00267A1F" w:rsidRDefault="004A3E7F" w:rsidP="00267A1F">
      <w:pPr>
        <w:jc w:val="both"/>
        <w:rPr>
          <w:rFonts w:ascii="Arial" w:hAnsi="Arial" w:cs="Arial"/>
          <w:lang w:val="es-ES_tradnl"/>
        </w:rPr>
      </w:pPr>
    </w:p>
    <w:p w14:paraId="60620E67" w14:textId="5D1C0713" w:rsidR="00267A1F" w:rsidRPr="00267A1F" w:rsidRDefault="00B14CD9" w:rsidP="00267A1F">
      <w:pPr>
        <w:jc w:val="both"/>
        <w:rPr>
          <w:rFonts w:ascii="Arial" w:hAnsi="Arial" w:cs="Arial"/>
          <w:lang w:val="es-ES_tradnl"/>
        </w:rPr>
      </w:pPr>
      <w:r w:rsidRPr="00B14CD9">
        <w:rPr>
          <w:rFonts w:ascii="Arial" w:hAnsi="Arial" w:cs="Arial"/>
          <w:lang w:val="es-ES_tradnl"/>
        </w:rPr>
        <w:t>Los presupuestos son concurrentes, lo que se traduce en que su ausencia frustra el estudio de la impugnación</w:t>
      </w:r>
      <w:r>
        <w:rPr>
          <w:rFonts w:ascii="Arial" w:hAnsi="Arial" w:cs="Arial"/>
          <w:lang w:val="es-ES_tradnl"/>
        </w:rPr>
        <w:t>…</w:t>
      </w:r>
    </w:p>
    <w:p w14:paraId="2CCF61A8" w14:textId="77777777" w:rsidR="00267A1F" w:rsidRPr="00267A1F" w:rsidRDefault="00267A1F" w:rsidP="00267A1F">
      <w:pPr>
        <w:jc w:val="both"/>
        <w:rPr>
          <w:rFonts w:ascii="Arial" w:hAnsi="Arial" w:cs="Arial"/>
          <w:lang w:val="es-ES_tradnl"/>
        </w:rPr>
      </w:pPr>
    </w:p>
    <w:p w14:paraId="02D35287" w14:textId="69CE592D" w:rsidR="00B14CD9" w:rsidRPr="00B14CD9" w:rsidRDefault="00B14CD9" w:rsidP="00B14CD9">
      <w:pPr>
        <w:jc w:val="both"/>
        <w:rPr>
          <w:rFonts w:ascii="Arial" w:hAnsi="Arial" w:cs="Arial"/>
          <w:lang w:val="es-ES_tradnl"/>
        </w:rPr>
      </w:pPr>
      <w:r w:rsidRPr="00B14CD9">
        <w:rPr>
          <w:rFonts w:ascii="Arial" w:hAnsi="Arial" w:cs="Arial"/>
          <w:lang w:val="es-ES_tradnl"/>
        </w:rPr>
        <w:t>Se hacen consistir en: (i) legitimación, (ii) oportunidad, (iii) procedencia y (iv) cargas procesales (Sustentación, expedición de copias, etc.)</w:t>
      </w:r>
      <w:r w:rsidR="007359B9">
        <w:rPr>
          <w:rFonts w:ascii="Arial" w:hAnsi="Arial" w:cs="Arial"/>
          <w:lang w:val="es-ES_tradnl"/>
        </w:rPr>
        <w:t xml:space="preserve"> …</w:t>
      </w:r>
    </w:p>
    <w:p w14:paraId="0011C7F5" w14:textId="77777777" w:rsidR="00B14CD9" w:rsidRPr="00B14CD9" w:rsidRDefault="00B14CD9" w:rsidP="00B14CD9">
      <w:pPr>
        <w:jc w:val="both"/>
        <w:rPr>
          <w:rFonts w:ascii="Arial" w:hAnsi="Arial" w:cs="Arial"/>
          <w:lang w:val="es-ES_tradnl"/>
        </w:rPr>
      </w:pPr>
    </w:p>
    <w:p w14:paraId="4530BD59" w14:textId="77777777" w:rsidR="00B14CD9" w:rsidRPr="00B14CD9" w:rsidRDefault="00B14CD9" w:rsidP="00B14CD9">
      <w:pPr>
        <w:jc w:val="both"/>
        <w:rPr>
          <w:rFonts w:ascii="Arial" w:hAnsi="Arial" w:cs="Arial"/>
          <w:lang w:val="es-ES_tradnl"/>
        </w:rPr>
      </w:pPr>
      <w:r w:rsidRPr="00B14CD9">
        <w:rPr>
          <w:rFonts w:ascii="Arial" w:hAnsi="Arial" w:cs="Arial"/>
          <w:lang w:val="es-ES_tradnl"/>
        </w:rPr>
        <w:t xml:space="preserve">El examen se centrará en el segundo: la oportunidad, que se estima incumplida, esta se entiende como el límite temporal, definido por la ley para interponer la impugnación, su formulación antes o después de expirado, la hace deslucir por extemporánea. </w:t>
      </w:r>
    </w:p>
    <w:p w14:paraId="79DCEAC5" w14:textId="77777777" w:rsidR="00B14CD9" w:rsidRPr="00B14CD9" w:rsidRDefault="00B14CD9" w:rsidP="00B14CD9">
      <w:pPr>
        <w:jc w:val="both"/>
        <w:rPr>
          <w:rFonts w:ascii="Arial" w:hAnsi="Arial" w:cs="Arial"/>
          <w:lang w:val="es-ES_tradnl"/>
        </w:rPr>
      </w:pPr>
    </w:p>
    <w:p w14:paraId="2AE23483" w14:textId="71FD0BAE" w:rsidR="00267A1F" w:rsidRDefault="00B14CD9" w:rsidP="00B14CD9">
      <w:pPr>
        <w:jc w:val="both"/>
        <w:rPr>
          <w:rFonts w:ascii="Arial" w:hAnsi="Arial" w:cs="Arial"/>
          <w:lang w:val="es-ES_tradnl"/>
        </w:rPr>
      </w:pPr>
      <w:r w:rsidRPr="00B14CD9">
        <w:rPr>
          <w:rFonts w:ascii="Arial" w:hAnsi="Arial" w:cs="Arial"/>
          <w:lang w:val="es-ES_tradnl"/>
        </w:rPr>
        <w:t>Tratándose del recurso de queja, establece el artículo 353, CGP, que: “(…) deberá interponerse en subsidio del de reposición contra el auto que denegó la apelación o la casación</w:t>
      </w:r>
      <w:r w:rsidR="007359B9">
        <w:rPr>
          <w:rFonts w:ascii="Arial" w:hAnsi="Arial" w:cs="Arial"/>
          <w:lang w:val="es-ES_tradnl"/>
        </w:rPr>
        <w:t>…”</w:t>
      </w:r>
    </w:p>
    <w:p w14:paraId="13B604DB" w14:textId="48E50CAA" w:rsidR="007359B9" w:rsidRDefault="007359B9" w:rsidP="00B14CD9">
      <w:pPr>
        <w:jc w:val="both"/>
        <w:rPr>
          <w:rFonts w:ascii="Arial" w:hAnsi="Arial" w:cs="Arial"/>
          <w:lang w:val="es-ES_tradnl"/>
        </w:rPr>
      </w:pPr>
    </w:p>
    <w:p w14:paraId="1623BE10" w14:textId="76C6805C" w:rsidR="007359B9" w:rsidRDefault="007359B9" w:rsidP="00B14CD9">
      <w:pPr>
        <w:jc w:val="both"/>
        <w:rPr>
          <w:rFonts w:ascii="Arial" w:hAnsi="Arial" w:cs="Arial"/>
          <w:lang w:val="es-ES_tradnl"/>
        </w:rPr>
      </w:pPr>
      <w:r w:rsidRPr="007359B9">
        <w:rPr>
          <w:rFonts w:ascii="Arial" w:hAnsi="Arial" w:cs="Arial"/>
          <w:lang w:val="es-ES_tradnl"/>
        </w:rPr>
        <w:t>Entonces, obligatoriamente, con las excepciones referidas, habrán de formularse dos ataques contra una misma decisión, el primero en forma horizontal para que el Juzgado reconsidere la negativa a conceder la alzada o, en su defecto, habilite el camino para que el afectado acuda directamente ante el superior, con el fin de que se evalúe ese resultado adverso.</w:t>
      </w:r>
      <w:r>
        <w:rPr>
          <w:rFonts w:ascii="Arial" w:hAnsi="Arial" w:cs="Arial"/>
          <w:lang w:val="es-ES_tradnl"/>
        </w:rPr>
        <w:t xml:space="preserve"> (…)</w:t>
      </w:r>
    </w:p>
    <w:p w14:paraId="33BA35E7" w14:textId="77777777" w:rsidR="007359B9" w:rsidRPr="00267A1F" w:rsidRDefault="007359B9" w:rsidP="00B14CD9">
      <w:pPr>
        <w:jc w:val="both"/>
        <w:rPr>
          <w:rFonts w:ascii="Arial" w:hAnsi="Arial" w:cs="Arial"/>
          <w:lang w:val="es-ES_tradnl"/>
        </w:rPr>
      </w:pPr>
    </w:p>
    <w:p w14:paraId="43054E32" w14:textId="1B6E9A3A" w:rsidR="00267A1F" w:rsidRDefault="009F4CBF" w:rsidP="00267A1F">
      <w:pPr>
        <w:jc w:val="both"/>
        <w:rPr>
          <w:rFonts w:ascii="Arial" w:hAnsi="Arial" w:cs="Arial"/>
          <w:lang w:val="es-ES_tradnl"/>
        </w:rPr>
      </w:pPr>
      <w:r w:rsidRPr="009F4CBF">
        <w:rPr>
          <w:rFonts w:ascii="Arial" w:hAnsi="Arial" w:cs="Arial"/>
          <w:lang w:val="es-ES_tradnl"/>
        </w:rPr>
        <w:t>Descendiendo al caso, sin duda se advierte que el impugnante omitió la formulación del recurso principal, que debía incoar, pues directamente impetró el recurso de queja</w:t>
      </w:r>
      <w:r>
        <w:rPr>
          <w:rFonts w:ascii="Arial" w:hAnsi="Arial" w:cs="Arial"/>
          <w:lang w:val="es-ES_tradnl"/>
        </w:rPr>
        <w:t>…</w:t>
      </w:r>
      <w:r w:rsidRPr="009F4CBF">
        <w:rPr>
          <w:rFonts w:ascii="Arial" w:hAnsi="Arial" w:cs="Arial"/>
          <w:lang w:val="es-ES_tradnl"/>
        </w:rPr>
        <w:t>, cuando debió interponer primero reposición contra el auto que denegó la apelación</w:t>
      </w:r>
      <w:r>
        <w:rPr>
          <w:rFonts w:ascii="Arial" w:hAnsi="Arial" w:cs="Arial"/>
          <w:lang w:val="es-ES_tradnl"/>
        </w:rPr>
        <w:t>…</w:t>
      </w:r>
    </w:p>
    <w:p w14:paraId="7D1F5904" w14:textId="77777777" w:rsidR="009F4CBF" w:rsidRPr="00267A1F" w:rsidRDefault="009F4CBF" w:rsidP="00267A1F">
      <w:pPr>
        <w:jc w:val="both"/>
        <w:rPr>
          <w:rFonts w:ascii="Arial" w:hAnsi="Arial" w:cs="Arial"/>
          <w:lang w:val="es-ES_tradnl"/>
        </w:rPr>
      </w:pPr>
    </w:p>
    <w:p w14:paraId="3D95AE61" w14:textId="77777777" w:rsidR="00267A1F" w:rsidRPr="00267A1F" w:rsidRDefault="00267A1F" w:rsidP="00267A1F">
      <w:pPr>
        <w:jc w:val="both"/>
        <w:rPr>
          <w:rFonts w:ascii="Arial" w:hAnsi="Arial" w:cs="Arial"/>
          <w:lang w:val="es-ES_tradnl"/>
        </w:rPr>
      </w:pPr>
    </w:p>
    <w:p w14:paraId="324F8D64" w14:textId="77777777" w:rsidR="00267A1F" w:rsidRPr="00267A1F" w:rsidRDefault="00267A1F" w:rsidP="00267A1F">
      <w:pPr>
        <w:jc w:val="both"/>
        <w:rPr>
          <w:rFonts w:ascii="Arial" w:hAnsi="Arial" w:cs="Arial"/>
          <w:lang w:val="es-ES_tradnl"/>
        </w:rPr>
      </w:pPr>
    </w:p>
    <w:p w14:paraId="30EFFA1D" w14:textId="77777777" w:rsidR="00267A1F" w:rsidRPr="00267A1F" w:rsidRDefault="00267A1F" w:rsidP="00267A1F">
      <w:pPr>
        <w:jc w:val="both"/>
        <w:rPr>
          <w:rFonts w:ascii="Arial" w:hAnsi="Arial" w:cs="Arial"/>
          <w:lang w:val="es-ES_tradnl"/>
        </w:rPr>
      </w:pPr>
    </w:p>
    <w:p w14:paraId="280BE485" w14:textId="77777777" w:rsidR="00094383" w:rsidRPr="00094383" w:rsidRDefault="00094383" w:rsidP="00094383">
      <w:pPr>
        <w:jc w:val="center"/>
        <w:rPr>
          <w:rFonts w:ascii="Georgia" w:hAnsi="Georgia" w:cs="Arial"/>
          <w:b/>
          <w:bCs/>
          <w:i/>
          <w:iCs/>
          <w:noProof/>
          <w:sz w:val="24"/>
          <w:szCs w:val="24"/>
          <w:lang w:val="es-ES_tradnl"/>
        </w:rPr>
      </w:pPr>
      <w:bookmarkStart w:id="0" w:name="_Hlk71014572"/>
      <w:r w:rsidRPr="00094383">
        <w:rPr>
          <w:rFonts w:ascii="Arial" w:hAnsi="Arial" w:cs="Arial"/>
          <w:b/>
          <w:bCs/>
          <w:i/>
          <w:iCs/>
          <w:noProof/>
          <w:sz w:val="24"/>
          <w:szCs w:val="24"/>
          <w:lang w:val="es-ES_tradnl"/>
        </w:rPr>
        <w:drawing>
          <wp:anchor distT="0" distB="0" distL="114300" distR="114300" simplePos="0" relativeHeight="251662336" behindDoc="0" locked="0" layoutInCell="1" allowOverlap="1" wp14:anchorId="37B40A95" wp14:editId="1106BF69">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69384531"/>
    </w:p>
    <w:p w14:paraId="6B4A93B0" w14:textId="77777777" w:rsidR="00094383" w:rsidRPr="00094383" w:rsidRDefault="00094383" w:rsidP="00094383">
      <w:pPr>
        <w:spacing w:line="360" w:lineRule="auto"/>
        <w:jc w:val="center"/>
        <w:rPr>
          <w:rFonts w:ascii="Georgia" w:hAnsi="Georgia" w:cs="Arial"/>
          <w:w w:val="140"/>
          <w:sz w:val="14"/>
          <w:szCs w:val="22"/>
          <w:lang w:val="es-ES_tradnl"/>
        </w:rPr>
      </w:pPr>
    </w:p>
    <w:p w14:paraId="2710AAD2" w14:textId="77777777" w:rsidR="00094383" w:rsidRPr="00094383" w:rsidRDefault="00094383" w:rsidP="00094383">
      <w:pPr>
        <w:tabs>
          <w:tab w:val="left" w:pos="3579"/>
        </w:tabs>
        <w:spacing w:line="360" w:lineRule="auto"/>
        <w:jc w:val="center"/>
        <w:rPr>
          <w:rFonts w:ascii="Georgia" w:hAnsi="Georgia" w:cs="Arial"/>
          <w:w w:val="140"/>
          <w:sz w:val="18"/>
          <w:szCs w:val="18"/>
          <w:lang w:val="es-ES_tradnl"/>
        </w:rPr>
      </w:pPr>
      <w:r w:rsidRPr="00094383">
        <w:rPr>
          <w:rFonts w:ascii="Georgia" w:hAnsi="Georgia" w:cs="Arial"/>
          <w:w w:val="140"/>
          <w:sz w:val="18"/>
          <w:szCs w:val="18"/>
          <w:lang w:val="es-ES_tradnl"/>
        </w:rPr>
        <w:t>REPUBLICA DE COLOMBIA</w:t>
      </w:r>
    </w:p>
    <w:p w14:paraId="4575F2B6" w14:textId="77777777" w:rsidR="00094383" w:rsidRPr="00094383" w:rsidRDefault="00094383" w:rsidP="00094383">
      <w:pPr>
        <w:tabs>
          <w:tab w:val="center" w:pos="4987"/>
          <w:tab w:val="left" w:pos="8449"/>
        </w:tabs>
        <w:spacing w:line="360" w:lineRule="auto"/>
        <w:jc w:val="center"/>
        <w:rPr>
          <w:rFonts w:ascii="Georgia" w:hAnsi="Georgia" w:cs="Arial"/>
          <w:w w:val="140"/>
          <w:sz w:val="18"/>
          <w:szCs w:val="18"/>
          <w:lang w:val="es-ES_tradnl"/>
        </w:rPr>
      </w:pPr>
      <w:r w:rsidRPr="00094383">
        <w:rPr>
          <w:rFonts w:ascii="Georgia" w:hAnsi="Georgia" w:cs="Arial"/>
          <w:w w:val="140"/>
          <w:sz w:val="18"/>
          <w:szCs w:val="18"/>
          <w:lang w:val="es-ES_tradnl"/>
        </w:rPr>
        <w:t>RAMA JUDICIAL DEL PODER PÚBLICO</w:t>
      </w:r>
    </w:p>
    <w:p w14:paraId="58ED0157" w14:textId="77777777" w:rsidR="00094383" w:rsidRPr="00094383" w:rsidRDefault="00094383" w:rsidP="00094383">
      <w:pPr>
        <w:spacing w:line="360" w:lineRule="auto"/>
        <w:jc w:val="center"/>
        <w:rPr>
          <w:rFonts w:ascii="Georgia" w:hAnsi="Georgia" w:cs="Arial"/>
          <w:b/>
          <w:bCs/>
          <w:w w:val="140"/>
          <w:sz w:val="18"/>
          <w:szCs w:val="18"/>
          <w:lang w:val="es-ES_tradnl"/>
        </w:rPr>
      </w:pPr>
      <w:r w:rsidRPr="00094383">
        <w:rPr>
          <w:rFonts w:ascii="Georgia" w:hAnsi="Georgia" w:cs="Arial"/>
          <w:b/>
          <w:bCs/>
          <w:w w:val="140"/>
          <w:sz w:val="18"/>
          <w:szCs w:val="18"/>
          <w:lang w:val="es-ES_tradnl"/>
        </w:rPr>
        <w:t>TRIBUNAL SUPERIOR DEL DISTRITO JUDICIAL</w:t>
      </w:r>
    </w:p>
    <w:p w14:paraId="17593C8D" w14:textId="77777777" w:rsidR="00094383" w:rsidRPr="00094383" w:rsidRDefault="00094383" w:rsidP="00094383">
      <w:pPr>
        <w:spacing w:line="360" w:lineRule="auto"/>
        <w:jc w:val="center"/>
        <w:rPr>
          <w:rFonts w:ascii="Georgia" w:hAnsi="Georgia" w:cs="Arial"/>
          <w:w w:val="140"/>
          <w:sz w:val="18"/>
          <w:szCs w:val="18"/>
          <w:lang w:val="es-ES_tradnl"/>
        </w:rPr>
      </w:pPr>
      <w:r w:rsidRPr="00094383">
        <w:rPr>
          <w:rFonts w:ascii="Georgia" w:hAnsi="Georgia" w:cs="Arial"/>
          <w:w w:val="140"/>
          <w:sz w:val="18"/>
          <w:szCs w:val="18"/>
          <w:lang w:val="es-ES_tradnl"/>
        </w:rPr>
        <w:t>SALA DE DECISIÓN CIVIL – FAMILIA – DISTRITO DE PEREIRA</w:t>
      </w:r>
    </w:p>
    <w:p w14:paraId="5574ADCF" w14:textId="77777777" w:rsidR="00094383" w:rsidRPr="00094383" w:rsidRDefault="00094383" w:rsidP="00094383">
      <w:pPr>
        <w:spacing w:line="360" w:lineRule="auto"/>
        <w:jc w:val="center"/>
        <w:rPr>
          <w:rFonts w:ascii="Georgia" w:hAnsi="Georgia" w:cs="Arial"/>
          <w:w w:val="140"/>
          <w:sz w:val="18"/>
          <w:szCs w:val="18"/>
          <w:lang w:val="es-ES_tradnl"/>
        </w:rPr>
      </w:pPr>
      <w:r w:rsidRPr="00094383">
        <w:rPr>
          <w:rFonts w:ascii="Georgia" w:hAnsi="Georgia" w:cs="Arial"/>
          <w:w w:val="140"/>
          <w:sz w:val="18"/>
          <w:szCs w:val="18"/>
          <w:lang w:val="es-ES_tradnl"/>
        </w:rPr>
        <w:t>DEPARTAMENTO DEL RISARALDA</w:t>
      </w:r>
    </w:p>
    <w:p w14:paraId="783CCE10" w14:textId="77777777" w:rsidR="00094383" w:rsidRPr="00094383" w:rsidRDefault="00094383" w:rsidP="00094383">
      <w:pPr>
        <w:pBdr>
          <w:bottom w:val="double" w:sz="6" w:space="1" w:color="auto"/>
        </w:pBdr>
        <w:spacing w:line="276" w:lineRule="auto"/>
        <w:rPr>
          <w:rFonts w:ascii="Georgia" w:hAnsi="Georgia"/>
          <w:spacing w:val="20"/>
          <w:w w:val="150"/>
          <w:sz w:val="24"/>
          <w:szCs w:val="26"/>
          <w:lang w:val="es-ES_tradnl"/>
        </w:rPr>
      </w:pPr>
    </w:p>
    <w:p w14:paraId="4FBA4348" w14:textId="462527AD" w:rsidR="00094383" w:rsidRDefault="00094383" w:rsidP="00094383">
      <w:pPr>
        <w:spacing w:line="276" w:lineRule="auto"/>
        <w:jc w:val="center"/>
        <w:rPr>
          <w:rFonts w:ascii="Georgia" w:hAnsi="Georgia" w:cs="Arial"/>
          <w:spacing w:val="-3"/>
          <w:sz w:val="26"/>
          <w:szCs w:val="26"/>
          <w:lang w:val="es-ES_tradnl"/>
        </w:rPr>
      </w:pPr>
    </w:p>
    <w:p w14:paraId="695235F4" w14:textId="7F6E4369" w:rsidR="003609B6" w:rsidRPr="003609B6" w:rsidRDefault="003609B6" w:rsidP="003609B6">
      <w:pPr>
        <w:pStyle w:val="Textoindependiente"/>
        <w:spacing w:line="360" w:lineRule="auto"/>
        <w:jc w:val="center"/>
        <w:rPr>
          <w:rFonts w:ascii="Georgia" w:hAnsi="Georgia" w:cs="Arial"/>
          <w:b/>
          <w:lang w:val="es-CO"/>
        </w:rPr>
      </w:pPr>
      <w:r w:rsidRPr="003609B6">
        <w:rPr>
          <w:rFonts w:ascii="Georgia" w:hAnsi="Georgia" w:cs="Arial"/>
          <w:b/>
          <w:lang w:val="es-CO"/>
        </w:rPr>
        <w:t>AC</w:t>
      </w:r>
      <w:r>
        <w:rPr>
          <w:rFonts w:ascii="Georgia" w:hAnsi="Georgia" w:cs="Arial"/>
          <w:b/>
          <w:lang w:val="es-CO"/>
        </w:rPr>
        <w:t>-</w:t>
      </w:r>
      <w:bookmarkStart w:id="2" w:name="_GoBack"/>
      <w:bookmarkEnd w:id="2"/>
      <w:r w:rsidRPr="003609B6">
        <w:rPr>
          <w:rFonts w:ascii="Georgia" w:hAnsi="Georgia" w:cs="Arial"/>
          <w:b/>
          <w:lang w:val="es-CO"/>
        </w:rPr>
        <w:t>0060-2021</w:t>
      </w:r>
    </w:p>
    <w:p w14:paraId="1A6FFCB4" w14:textId="77777777" w:rsidR="003609B6" w:rsidRPr="003609B6" w:rsidRDefault="003609B6" w:rsidP="00094383">
      <w:pPr>
        <w:spacing w:line="276" w:lineRule="auto"/>
        <w:jc w:val="center"/>
        <w:rPr>
          <w:rFonts w:ascii="Georgia" w:hAnsi="Georgia" w:cs="Arial"/>
          <w:b/>
          <w:spacing w:val="-3"/>
          <w:sz w:val="24"/>
          <w:szCs w:val="24"/>
          <w:lang w:val="es-ES_tradnl"/>
        </w:rPr>
      </w:pPr>
    </w:p>
    <w:bookmarkEnd w:id="0"/>
    <w:bookmarkEnd w:id="1"/>
    <w:p w14:paraId="12B04F53" w14:textId="688E7D93" w:rsidR="00731779" w:rsidRPr="00CF6D48" w:rsidRDefault="007E52F9" w:rsidP="00094383">
      <w:pPr>
        <w:spacing w:line="276" w:lineRule="auto"/>
        <w:jc w:val="center"/>
        <w:rPr>
          <w:rFonts w:ascii="Georgia" w:hAnsi="Georgia" w:cs="Arial"/>
          <w:smallCaps/>
          <w:sz w:val="24"/>
          <w:szCs w:val="24"/>
          <w:lang w:val="es-ES_tradnl"/>
        </w:rPr>
      </w:pPr>
      <w:r w:rsidRPr="00CF6D48">
        <w:rPr>
          <w:rFonts w:ascii="Georgia" w:hAnsi="Georgia" w:cs="Arial"/>
          <w:smallCaps/>
          <w:sz w:val="24"/>
          <w:szCs w:val="24"/>
          <w:lang w:val="es-ES_tradnl"/>
        </w:rPr>
        <w:t xml:space="preserve">Veintisiete </w:t>
      </w:r>
      <w:r w:rsidR="00731779" w:rsidRPr="00CF6D48">
        <w:rPr>
          <w:rFonts w:ascii="Georgia" w:hAnsi="Georgia" w:cs="Arial"/>
          <w:smallCaps/>
          <w:sz w:val="24"/>
          <w:szCs w:val="24"/>
          <w:lang w:val="es-ES_tradnl"/>
        </w:rPr>
        <w:t>(</w:t>
      </w:r>
      <w:r w:rsidRPr="00CF6D48">
        <w:rPr>
          <w:rFonts w:ascii="Georgia" w:hAnsi="Georgia" w:cs="Arial"/>
          <w:smallCaps/>
          <w:sz w:val="24"/>
          <w:szCs w:val="24"/>
          <w:lang w:val="es-ES_tradnl"/>
        </w:rPr>
        <w:t>27</w:t>
      </w:r>
      <w:r w:rsidR="00731779" w:rsidRPr="00CF6D48">
        <w:rPr>
          <w:rFonts w:ascii="Georgia" w:hAnsi="Georgia" w:cs="Arial"/>
          <w:smallCaps/>
          <w:sz w:val="24"/>
          <w:szCs w:val="24"/>
          <w:lang w:val="es-ES_tradnl"/>
        </w:rPr>
        <w:t xml:space="preserve">) de </w:t>
      </w:r>
      <w:r w:rsidR="00B0164D" w:rsidRPr="00CF6D48">
        <w:rPr>
          <w:rFonts w:ascii="Georgia" w:hAnsi="Georgia" w:cs="Arial"/>
          <w:smallCaps/>
          <w:sz w:val="24"/>
          <w:szCs w:val="24"/>
          <w:lang w:val="es-ES_tradnl"/>
        </w:rPr>
        <w:t xml:space="preserve">abril </w:t>
      </w:r>
      <w:r w:rsidR="00731779" w:rsidRPr="00CF6D48">
        <w:rPr>
          <w:rFonts w:ascii="Georgia" w:hAnsi="Georgia" w:cs="Arial"/>
          <w:smallCaps/>
          <w:sz w:val="24"/>
          <w:szCs w:val="24"/>
          <w:lang w:val="es-ES_tradnl"/>
        </w:rPr>
        <w:t>de dos mil veint</w:t>
      </w:r>
      <w:r w:rsidR="00B0164D" w:rsidRPr="00CF6D48">
        <w:rPr>
          <w:rFonts w:ascii="Georgia" w:hAnsi="Georgia" w:cs="Arial"/>
          <w:smallCaps/>
          <w:sz w:val="24"/>
          <w:szCs w:val="24"/>
          <w:lang w:val="es-ES_tradnl"/>
        </w:rPr>
        <w:t xml:space="preserve">iuno </w:t>
      </w:r>
      <w:r w:rsidR="00731779" w:rsidRPr="00CF6D48">
        <w:rPr>
          <w:rFonts w:ascii="Georgia" w:hAnsi="Georgia" w:cs="Arial"/>
          <w:smallCaps/>
          <w:sz w:val="24"/>
          <w:szCs w:val="24"/>
          <w:lang w:val="es-ES_tradnl"/>
        </w:rPr>
        <w:t>(202</w:t>
      </w:r>
      <w:r w:rsidR="00B0164D" w:rsidRPr="00CF6D48">
        <w:rPr>
          <w:rFonts w:ascii="Georgia" w:hAnsi="Georgia" w:cs="Arial"/>
          <w:smallCaps/>
          <w:sz w:val="24"/>
          <w:szCs w:val="24"/>
          <w:lang w:val="es-ES_tradnl"/>
        </w:rPr>
        <w:t>1</w:t>
      </w:r>
      <w:r w:rsidR="00731779" w:rsidRPr="00CF6D48">
        <w:rPr>
          <w:rFonts w:ascii="Georgia" w:hAnsi="Georgia" w:cs="Arial"/>
          <w:smallCaps/>
          <w:sz w:val="24"/>
          <w:szCs w:val="24"/>
          <w:lang w:val="es-ES_tradnl"/>
        </w:rPr>
        <w:t>).</w:t>
      </w:r>
    </w:p>
    <w:p w14:paraId="10B8F24E" w14:textId="77777777" w:rsidR="00CF2BC2" w:rsidRPr="00CF6D48" w:rsidRDefault="00CF2BC2" w:rsidP="00094383">
      <w:pPr>
        <w:spacing w:line="276" w:lineRule="auto"/>
        <w:jc w:val="both"/>
        <w:rPr>
          <w:rFonts w:ascii="Georgia" w:hAnsi="Georgia" w:cs="Arial"/>
          <w:b/>
          <w:bCs/>
          <w:sz w:val="24"/>
          <w:szCs w:val="24"/>
          <w:lang w:val="es-ES_tradnl"/>
        </w:rPr>
      </w:pPr>
    </w:p>
    <w:p w14:paraId="10B8F24F" w14:textId="77777777" w:rsidR="00CF2BC2" w:rsidRPr="00CF6D48" w:rsidRDefault="00CF2BC2" w:rsidP="00094383">
      <w:pPr>
        <w:pStyle w:val="Sinespaciado"/>
        <w:widowControl/>
        <w:numPr>
          <w:ilvl w:val="0"/>
          <w:numId w:val="3"/>
        </w:numPr>
        <w:autoSpaceDE/>
        <w:autoSpaceDN/>
        <w:adjustRightInd/>
        <w:spacing w:line="276" w:lineRule="auto"/>
        <w:jc w:val="both"/>
        <w:rPr>
          <w:rFonts w:ascii="Georgia" w:hAnsi="Georgia" w:cs="Arial"/>
          <w:sz w:val="24"/>
          <w:szCs w:val="24"/>
          <w:lang w:val="es-ES_tradnl"/>
        </w:rPr>
      </w:pPr>
      <w:r w:rsidRPr="00CF6D48">
        <w:rPr>
          <w:rFonts w:ascii="Georgia" w:hAnsi="Georgia" w:cs="Arial"/>
          <w:sz w:val="24"/>
          <w:szCs w:val="24"/>
          <w:lang w:val="es-ES_tradnl"/>
        </w:rPr>
        <w:t>EL ASUNTO POR DECIDIR</w:t>
      </w:r>
    </w:p>
    <w:p w14:paraId="10B8F250" w14:textId="77777777" w:rsidR="00CF2BC2" w:rsidRPr="00CF6D48" w:rsidRDefault="00CF2BC2" w:rsidP="00094383">
      <w:pPr>
        <w:pStyle w:val="Ttulo"/>
        <w:spacing w:line="276" w:lineRule="auto"/>
        <w:jc w:val="left"/>
        <w:rPr>
          <w:rFonts w:ascii="Georgia" w:hAnsi="Georgia"/>
          <w:b w:val="0"/>
          <w:bCs w:val="0"/>
          <w:i w:val="0"/>
          <w:iCs w:val="0"/>
          <w:spacing w:val="-3"/>
          <w:lang w:val="es-ES_tradnl"/>
        </w:rPr>
      </w:pPr>
    </w:p>
    <w:p w14:paraId="10B8F251" w14:textId="12662D57" w:rsidR="00CF2BC2" w:rsidRPr="00CF6D48" w:rsidRDefault="00CF2BC2" w:rsidP="00094383">
      <w:pPr>
        <w:spacing w:line="276" w:lineRule="auto"/>
        <w:jc w:val="both"/>
        <w:rPr>
          <w:rFonts w:ascii="Georgia" w:hAnsi="Georgia" w:cs="Arial"/>
          <w:sz w:val="24"/>
          <w:szCs w:val="24"/>
          <w:lang w:val="es-ES_tradnl"/>
        </w:rPr>
      </w:pPr>
      <w:r w:rsidRPr="00CF6D48">
        <w:rPr>
          <w:rFonts w:ascii="Georgia" w:hAnsi="Georgia" w:cs="Arial"/>
          <w:sz w:val="24"/>
          <w:szCs w:val="24"/>
          <w:lang w:val="es-ES_tradnl"/>
        </w:rPr>
        <w:t xml:space="preserve">La verificación de los supuestos de </w:t>
      </w:r>
      <w:r w:rsidR="00674D49" w:rsidRPr="00CF6D48">
        <w:rPr>
          <w:rFonts w:ascii="Georgia" w:hAnsi="Georgia" w:cs="Arial"/>
          <w:sz w:val="24"/>
          <w:szCs w:val="24"/>
          <w:lang w:val="es-ES_tradnl"/>
        </w:rPr>
        <w:t>admisibilidad</w:t>
      </w:r>
      <w:r w:rsidR="00680E0E" w:rsidRPr="00CF6D48">
        <w:rPr>
          <w:rFonts w:ascii="Georgia" w:hAnsi="Georgia" w:cs="Arial"/>
          <w:sz w:val="24"/>
          <w:szCs w:val="24"/>
          <w:lang w:val="es-ES_tradnl"/>
        </w:rPr>
        <w:t xml:space="preserve"> o procedencia</w:t>
      </w:r>
      <w:r w:rsidR="00674D49" w:rsidRPr="00CF6D48">
        <w:rPr>
          <w:rFonts w:ascii="Georgia" w:hAnsi="Georgia" w:cs="Arial"/>
          <w:sz w:val="24"/>
          <w:szCs w:val="24"/>
          <w:lang w:val="es-ES_tradnl"/>
        </w:rPr>
        <w:t xml:space="preserve"> </w:t>
      </w:r>
      <w:r w:rsidRPr="00CF6D48">
        <w:rPr>
          <w:rFonts w:ascii="Georgia" w:hAnsi="Georgia" w:cs="Arial"/>
          <w:sz w:val="24"/>
          <w:szCs w:val="24"/>
          <w:lang w:val="es-ES_tradnl"/>
        </w:rPr>
        <w:t xml:space="preserve">del recurso </w:t>
      </w:r>
      <w:r w:rsidR="003B0B26" w:rsidRPr="00CF6D48">
        <w:rPr>
          <w:rFonts w:ascii="Georgia" w:hAnsi="Georgia" w:cs="Arial"/>
          <w:sz w:val="24"/>
          <w:szCs w:val="24"/>
          <w:lang w:val="es-ES_tradnl"/>
        </w:rPr>
        <w:t xml:space="preserve">ordinario </w:t>
      </w:r>
      <w:r w:rsidRPr="00CF6D48">
        <w:rPr>
          <w:rFonts w:ascii="Georgia" w:hAnsi="Georgia" w:cs="Arial"/>
          <w:sz w:val="24"/>
          <w:szCs w:val="24"/>
          <w:lang w:val="es-ES_tradnl"/>
        </w:rPr>
        <w:t xml:space="preserve">de </w:t>
      </w:r>
      <w:r w:rsidR="00CB6BFA" w:rsidRPr="00CF6D48">
        <w:rPr>
          <w:rFonts w:ascii="Georgia" w:hAnsi="Georgia" w:cs="Arial"/>
          <w:sz w:val="24"/>
          <w:szCs w:val="24"/>
          <w:lang w:val="es-ES_tradnl"/>
        </w:rPr>
        <w:t>queja</w:t>
      </w:r>
      <w:r w:rsidR="002A3A14" w:rsidRPr="00CF6D48">
        <w:rPr>
          <w:rFonts w:ascii="Georgia" w:hAnsi="Georgia" w:cs="Arial"/>
          <w:sz w:val="24"/>
          <w:szCs w:val="24"/>
          <w:lang w:val="es-ES_tradnl"/>
        </w:rPr>
        <w:t>,</w:t>
      </w:r>
      <w:r w:rsidRPr="00CF6D48">
        <w:rPr>
          <w:rFonts w:ascii="Georgia" w:hAnsi="Georgia" w:cs="Arial"/>
          <w:sz w:val="24"/>
          <w:szCs w:val="24"/>
          <w:lang w:val="es-ES_tradnl"/>
        </w:rPr>
        <w:t xml:space="preserve"> pr</w:t>
      </w:r>
      <w:r w:rsidR="00977E7F" w:rsidRPr="00CF6D48">
        <w:rPr>
          <w:rFonts w:ascii="Georgia" w:hAnsi="Georgia" w:cs="Arial"/>
          <w:sz w:val="24"/>
          <w:szCs w:val="24"/>
          <w:lang w:val="es-ES_tradnl"/>
        </w:rPr>
        <w:t xml:space="preserve">esentado </w:t>
      </w:r>
      <w:r w:rsidRPr="00CF6D48">
        <w:rPr>
          <w:rFonts w:ascii="Georgia" w:hAnsi="Georgia" w:cs="Arial"/>
          <w:sz w:val="24"/>
          <w:szCs w:val="24"/>
          <w:lang w:val="es-ES_tradnl"/>
        </w:rPr>
        <w:t xml:space="preserve">por </w:t>
      </w:r>
      <w:r w:rsidR="008D4F8E" w:rsidRPr="00CF6D48">
        <w:rPr>
          <w:rFonts w:ascii="Georgia" w:hAnsi="Georgia" w:cs="Arial"/>
          <w:sz w:val="24"/>
          <w:szCs w:val="24"/>
          <w:lang w:val="es-ES_tradnl"/>
        </w:rPr>
        <w:t xml:space="preserve">la parte </w:t>
      </w:r>
      <w:r w:rsidR="00B0164D" w:rsidRPr="00CF6D48">
        <w:rPr>
          <w:rFonts w:ascii="Georgia" w:hAnsi="Georgia" w:cs="Arial"/>
          <w:sz w:val="24"/>
          <w:szCs w:val="24"/>
          <w:lang w:val="es-ES_tradnl"/>
        </w:rPr>
        <w:t>demandante</w:t>
      </w:r>
      <w:r w:rsidR="00440F44" w:rsidRPr="00CF6D48">
        <w:rPr>
          <w:rFonts w:ascii="Georgia" w:hAnsi="Georgia" w:cs="Arial"/>
          <w:sz w:val="24"/>
          <w:szCs w:val="24"/>
          <w:lang w:val="es-ES_tradnl"/>
        </w:rPr>
        <w:t xml:space="preserve"> </w:t>
      </w:r>
      <w:r w:rsidRPr="00CF6D48">
        <w:rPr>
          <w:rFonts w:ascii="Georgia" w:hAnsi="Georgia" w:cs="Arial"/>
          <w:sz w:val="24"/>
          <w:szCs w:val="24"/>
          <w:lang w:val="es-ES_tradnl"/>
        </w:rPr>
        <w:t xml:space="preserve">contra </w:t>
      </w:r>
      <w:r w:rsidR="00C87903" w:rsidRPr="00CF6D48">
        <w:rPr>
          <w:rFonts w:ascii="Georgia" w:hAnsi="Georgia" w:cs="Arial"/>
          <w:sz w:val="24"/>
          <w:szCs w:val="24"/>
          <w:lang w:val="es-ES_tradnl"/>
        </w:rPr>
        <w:t xml:space="preserve">el auto de fecha </w:t>
      </w:r>
      <w:r w:rsidR="007D4C22" w:rsidRPr="00CF6D48">
        <w:rPr>
          <w:rFonts w:ascii="Georgia" w:hAnsi="Georgia" w:cs="Arial"/>
          <w:sz w:val="24"/>
          <w:szCs w:val="24"/>
          <w:lang w:val="es-ES_tradnl"/>
        </w:rPr>
        <w:t>19-03-2021</w:t>
      </w:r>
      <w:r w:rsidR="00C87903" w:rsidRPr="00CF6D48">
        <w:rPr>
          <w:rFonts w:ascii="Georgia" w:hAnsi="Georgia" w:cs="Arial"/>
          <w:sz w:val="24"/>
          <w:szCs w:val="24"/>
          <w:lang w:val="es-ES_tradnl"/>
        </w:rPr>
        <w:t xml:space="preserve"> </w:t>
      </w:r>
      <w:r w:rsidR="002A3A14" w:rsidRPr="00CF6D48">
        <w:rPr>
          <w:rFonts w:ascii="Georgia" w:hAnsi="Georgia" w:cs="Arial"/>
          <w:sz w:val="24"/>
          <w:szCs w:val="24"/>
          <w:lang w:val="es-ES_tradnl"/>
        </w:rPr>
        <w:lastRenderedPageBreak/>
        <w:t>(</w:t>
      </w:r>
      <w:r w:rsidR="002A3A14" w:rsidRPr="00CF6D48">
        <w:rPr>
          <w:rFonts w:ascii="Georgia" w:hAnsi="Georgia" w:cs="Arial"/>
          <w:i/>
          <w:sz w:val="24"/>
          <w:szCs w:val="24"/>
          <w:lang w:val="es-ES_tradnl"/>
        </w:rPr>
        <w:t>Expediente recibido de reparto el 19-04-2021</w:t>
      </w:r>
      <w:r w:rsidR="002A3A14" w:rsidRPr="00CF6D48">
        <w:rPr>
          <w:rFonts w:ascii="Georgia" w:hAnsi="Georgia" w:cs="Arial"/>
          <w:sz w:val="24"/>
          <w:szCs w:val="24"/>
          <w:lang w:val="es-ES_tradnl"/>
        </w:rPr>
        <w:t xml:space="preserve">), </w:t>
      </w:r>
      <w:r w:rsidR="00D91179" w:rsidRPr="00CF6D48">
        <w:rPr>
          <w:rFonts w:ascii="Georgia" w:hAnsi="Georgia" w:cs="Arial"/>
          <w:sz w:val="24"/>
          <w:szCs w:val="24"/>
          <w:lang w:val="es-ES_tradnl"/>
        </w:rPr>
        <w:t>proferid</w:t>
      </w:r>
      <w:r w:rsidR="00C87903" w:rsidRPr="00CF6D48">
        <w:rPr>
          <w:rFonts w:ascii="Georgia" w:hAnsi="Georgia" w:cs="Arial"/>
          <w:sz w:val="24"/>
          <w:szCs w:val="24"/>
          <w:lang w:val="es-ES_tradnl"/>
        </w:rPr>
        <w:t>o</w:t>
      </w:r>
      <w:r w:rsidR="00D91179" w:rsidRPr="00CF6D48">
        <w:rPr>
          <w:rFonts w:ascii="Georgia" w:hAnsi="Georgia" w:cs="Arial"/>
          <w:sz w:val="24"/>
          <w:szCs w:val="24"/>
          <w:lang w:val="es-ES_tradnl"/>
        </w:rPr>
        <w:t xml:space="preserve"> </w:t>
      </w:r>
      <w:r w:rsidR="00DB458F" w:rsidRPr="00CF6D48">
        <w:rPr>
          <w:rFonts w:ascii="Georgia" w:hAnsi="Georgia" w:cs="Arial"/>
          <w:sz w:val="24"/>
          <w:szCs w:val="24"/>
          <w:lang w:val="es-ES_tradnl"/>
        </w:rPr>
        <w:t>en el asunto en referencia</w:t>
      </w:r>
      <w:r w:rsidRPr="00CF6D48">
        <w:rPr>
          <w:rFonts w:ascii="Georgia" w:hAnsi="Georgia" w:cs="Arial"/>
          <w:sz w:val="24"/>
          <w:szCs w:val="24"/>
          <w:lang w:val="es-ES_tradnl"/>
        </w:rPr>
        <w:t>, previas las apreciaciones jurídicas que enseguida se plantean.</w:t>
      </w:r>
    </w:p>
    <w:p w14:paraId="1EBB1FBE" w14:textId="77777777" w:rsidR="007D4C22" w:rsidRPr="00CF6D48" w:rsidRDefault="007D4C22" w:rsidP="00094383">
      <w:pPr>
        <w:pStyle w:val="Sinespaciado"/>
        <w:widowControl/>
        <w:autoSpaceDE/>
        <w:autoSpaceDN/>
        <w:adjustRightInd/>
        <w:spacing w:line="276" w:lineRule="auto"/>
        <w:jc w:val="both"/>
        <w:rPr>
          <w:rFonts w:ascii="Georgia" w:hAnsi="Georgia" w:cs="Arial"/>
          <w:sz w:val="24"/>
          <w:szCs w:val="24"/>
          <w:lang w:val="es-ES_tradnl"/>
        </w:rPr>
      </w:pPr>
    </w:p>
    <w:p w14:paraId="10B8F253" w14:textId="4B09A358" w:rsidR="00CF2BC2" w:rsidRPr="00CF6D48" w:rsidRDefault="00CF2BC2" w:rsidP="00094383">
      <w:pPr>
        <w:pStyle w:val="Sinespaciado"/>
        <w:numPr>
          <w:ilvl w:val="0"/>
          <w:numId w:val="3"/>
        </w:numPr>
        <w:spacing w:line="276" w:lineRule="auto"/>
        <w:jc w:val="both"/>
        <w:rPr>
          <w:rFonts w:ascii="Georgia" w:hAnsi="Georgia" w:cs="Arial"/>
          <w:sz w:val="24"/>
          <w:szCs w:val="24"/>
          <w:lang w:val="es-ES_tradnl"/>
        </w:rPr>
      </w:pPr>
      <w:r w:rsidRPr="00CF6D48">
        <w:rPr>
          <w:rFonts w:ascii="Georgia" w:hAnsi="Georgia" w:cs="Arial"/>
          <w:sz w:val="24"/>
          <w:szCs w:val="24"/>
          <w:lang w:val="es-ES_tradnl"/>
        </w:rPr>
        <w:t>LAS ESTIMACIONES JURÍDICAS PARA DECIDIR</w:t>
      </w:r>
    </w:p>
    <w:p w14:paraId="10B8F254" w14:textId="77777777" w:rsidR="00F3646D" w:rsidRPr="00CF6D48" w:rsidRDefault="00F3646D" w:rsidP="00094383">
      <w:pPr>
        <w:pStyle w:val="Sinespaciado"/>
        <w:spacing w:line="276" w:lineRule="auto"/>
        <w:jc w:val="both"/>
        <w:rPr>
          <w:rFonts w:ascii="Georgia" w:hAnsi="Georgia" w:cs="Arial"/>
          <w:sz w:val="24"/>
          <w:szCs w:val="24"/>
          <w:lang w:val="es-ES_tradnl"/>
        </w:rPr>
      </w:pPr>
    </w:p>
    <w:p w14:paraId="10B8F255" w14:textId="77777777" w:rsidR="00F3646D" w:rsidRPr="00CF6D48" w:rsidRDefault="00F3646D" w:rsidP="00094383">
      <w:pPr>
        <w:pStyle w:val="Prrafodelista"/>
        <w:numPr>
          <w:ilvl w:val="0"/>
          <w:numId w:val="8"/>
        </w:numPr>
        <w:spacing w:line="276" w:lineRule="auto"/>
        <w:jc w:val="both"/>
        <w:rPr>
          <w:rFonts w:ascii="Georgia" w:hAnsi="Georgia" w:cs="Arial"/>
          <w:smallCaps/>
          <w:vanish/>
          <w:sz w:val="24"/>
          <w:szCs w:val="24"/>
          <w:lang w:val="es-ES_tradnl"/>
        </w:rPr>
      </w:pPr>
      <w:r w:rsidRPr="00CF6D48">
        <w:rPr>
          <w:rFonts w:ascii="Georgia" w:hAnsi="Georgia" w:cs="Arial"/>
          <w:smallCaps/>
          <w:vanish/>
          <w:sz w:val="24"/>
          <w:szCs w:val="24"/>
          <w:lang w:val="es-ES_tradnl"/>
        </w:rPr>
        <w:t>2.1. 2.222</w:t>
      </w:r>
    </w:p>
    <w:p w14:paraId="10B8F256" w14:textId="77777777" w:rsidR="00F3646D" w:rsidRPr="00CF6D48" w:rsidRDefault="00F3646D" w:rsidP="00094383">
      <w:pPr>
        <w:pStyle w:val="Prrafodelista"/>
        <w:numPr>
          <w:ilvl w:val="0"/>
          <w:numId w:val="9"/>
        </w:numPr>
        <w:spacing w:line="276" w:lineRule="auto"/>
        <w:jc w:val="both"/>
        <w:rPr>
          <w:rFonts w:ascii="Georgia" w:hAnsi="Georgia" w:cs="Arial"/>
          <w:smallCaps/>
          <w:vanish/>
          <w:sz w:val="24"/>
          <w:szCs w:val="24"/>
          <w:lang w:val="es-ES_tradnl"/>
        </w:rPr>
      </w:pPr>
    </w:p>
    <w:p w14:paraId="10B8F257" w14:textId="77777777" w:rsidR="00F3646D" w:rsidRPr="00CF6D48" w:rsidRDefault="00F3646D" w:rsidP="00094383">
      <w:pPr>
        <w:pStyle w:val="Prrafodelista"/>
        <w:numPr>
          <w:ilvl w:val="0"/>
          <w:numId w:val="9"/>
        </w:numPr>
        <w:spacing w:line="276" w:lineRule="auto"/>
        <w:jc w:val="both"/>
        <w:rPr>
          <w:rFonts w:ascii="Georgia" w:hAnsi="Georgia" w:cs="Arial"/>
          <w:smallCaps/>
          <w:vanish/>
          <w:sz w:val="24"/>
          <w:szCs w:val="24"/>
          <w:lang w:val="es-ES_tradnl"/>
        </w:rPr>
      </w:pPr>
    </w:p>
    <w:p w14:paraId="10B8F258" w14:textId="2C76BD03" w:rsidR="00F3646D" w:rsidRPr="00CF6D48" w:rsidRDefault="00F3646D" w:rsidP="00094383">
      <w:pPr>
        <w:pStyle w:val="Sinespaciado"/>
        <w:widowControl/>
        <w:numPr>
          <w:ilvl w:val="1"/>
          <w:numId w:val="9"/>
        </w:numPr>
        <w:autoSpaceDE/>
        <w:autoSpaceDN/>
        <w:adjustRightInd/>
        <w:spacing w:line="276" w:lineRule="auto"/>
        <w:jc w:val="both"/>
        <w:rPr>
          <w:rFonts w:ascii="Georgia" w:hAnsi="Georgia" w:cs="Arial"/>
          <w:smallCaps/>
          <w:sz w:val="24"/>
          <w:szCs w:val="24"/>
          <w:lang w:val="es-ES_tradnl"/>
        </w:rPr>
      </w:pPr>
      <w:r w:rsidRPr="00CF6D48">
        <w:rPr>
          <w:rFonts w:ascii="Georgia" w:hAnsi="Georgia" w:cs="Arial"/>
          <w:smallCaps/>
          <w:sz w:val="24"/>
          <w:szCs w:val="24"/>
          <w:lang w:val="es-ES_tradnl"/>
        </w:rPr>
        <w:t xml:space="preserve">Los requisitos de viabilidad </w:t>
      </w:r>
    </w:p>
    <w:p w14:paraId="10B8F259" w14:textId="77777777" w:rsidR="00D63AC7" w:rsidRPr="00CF6D48" w:rsidRDefault="00D63AC7" w:rsidP="00094383">
      <w:pPr>
        <w:spacing w:line="276" w:lineRule="auto"/>
        <w:jc w:val="both"/>
        <w:rPr>
          <w:rFonts w:ascii="Georgia" w:hAnsi="Georgia" w:cs="Arial"/>
          <w:sz w:val="24"/>
          <w:szCs w:val="24"/>
          <w:lang w:val="es-ES_tradnl"/>
        </w:rPr>
      </w:pPr>
    </w:p>
    <w:p w14:paraId="639CCA89" w14:textId="0BBD7EA3" w:rsidR="008400E1" w:rsidRPr="00CF6D48" w:rsidRDefault="005B0036" w:rsidP="00094383">
      <w:pPr>
        <w:pStyle w:val="Textopredeterminado"/>
        <w:spacing w:line="276" w:lineRule="auto"/>
        <w:jc w:val="both"/>
        <w:rPr>
          <w:rFonts w:ascii="Georgia" w:hAnsi="Georgia" w:cs="Arial"/>
          <w:color w:val="auto"/>
          <w:lang w:val="es-ES_tradnl"/>
        </w:rPr>
      </w:pPr>
      <w:r w:rsidRPr="00CF6D48">
        <w:rPr>
          <w:rFonts w:ascii="Georgia" w:hAnsi="Georgia"/>
          <w:color w:val="auto"/>
          <w:lang w:val="es-ES_tradnl"/>
        </w:rPr>
        <w:t xml:space="preserve">En </w:t>
      </w:r>
      <w:r w:rsidR="002F0156" w:rsidRPr="00CF6D48">
        <w:rPr>
          <w:rFonts w:ascii="Georgia" w:hAnsi="Georgia"/>
          <w:color w:val="auto"/>
          <w:lang w:val="es-ES_tradnl"/>
        </w:rPr>
        <w:t xml:space="preserve">materia de </w:t>
      </w:r>
      <w:r w:rsidR="00F9683E" w:rsidRPr="00CF6D48">
        <w:rPr>
          <w:rFonts w:ascii="Georgia" w:hAnsi="Georgia"/>
          <w:color w:val="auto"/>
          <w:lang w:val="es-ES_tradnl"/>
        </w:rPr>
        <w:t>impugnaciones</w:t>
      </w:r>
      <w:r w:rsidR="002F0156" w:rsidRPr="00CF6D48">
        <w:rPr>
          <w:rFonts w:ascii="Georgia" w:hAnsi="Georgia"/>
          <w:color w:val="auto"/>
          <w:lang w:val="es-ES_tradnl"/>
        </w:rPr>
        <w:t xml:space="preserve">, </w:t>
      </w:r>
      <w:r w:rsidR="002F0156" w:rsidRPr="00CF6D48">
        <w:rPr>
          <w:rFonts w:ascii="Georgia" w:hAnsi="Georgia" w:cs="Arial"/>
          <w:color w:val="auto"/>
          <w:lang w:val="es-ES_tradnl"/>
        </w:rPr>
        <w:t xml:space="preserve">es </w:t>
      </w:r>
      <w:r w:rsidRPr="00CF6D48">
        <w:rPr>
          <w:rFonts w:ascii="Georgia" w:hAnsi="Georgia" w:cs="Arial"/>
          <w:color w:val="auto"/>
          <w:lang w:val="es-ES_tradnl"/>
        </w:rPr>
        <w:t xml:space="preserve">siempre </w:t>
      </w:r>
      <w:r w:rsidR="002F0156" w:rsidRPr="00CF6D48">
        <w:rPr>
          <w:rFonts w:ascii="Georgia" w:hAnsi="Georgia" w:cs="Arial"/>
          <w:color w:val="auto"/>
          <w:lang w:val="es-ES_tradnl"/>
        </w:rPr>
        <w:t>indispensable la revisión de esos presupuestos que permiten desatar el recurso</w:t>
      </w:r>
      <w:r w:rsidR="008D4F8E" w:rsidRPr="00CF6D48">
        <w:rPr>
          <w:rFonts w:ascii="Georgia" w:hAnsi="Georgia" w:cs="Arial"/>
          <w:color w:val="auto"/>
          <w:lang w:val="es-ES_tradnl"/>
        </w:rPr>
        <w:t xml:space="preserve"> o </w:t>
      </w:r>
      <w:r w:rsidR="008D4F8E" w:rsidRPr="00CF6D48">
        <w:rPr>
          <w:rFonts w:ascii="Georgia" w:hAnsi="Georgia" w:cs="Arial"/>
          <w:i/>
          <w:iCs/>
          <w:color w:val="auto"/>
          <w:lang w:val="es-ES_tradnl"/>
        </w:rPr>
        <w:t>condiciones para tener la posibilidad de recurrir</w:t>
      </w:r>
      <w:r w:rsidR="008D4F8E" w:rsidRPr="00CF6D48">
        <w:rPr>
          <w:rStyle w:val="Refdenotaalpie"/>
          <w:rFonts w:ascii="Georgia" w:hAnsi="Georgia"/>
          <w:color w:val="auto"/>
          <w:lang w:val="es-ES_tradnl"/>
        </w:rPr>
        <w:footnoteReference w:id="1"/>
      </w:r>
      <w:r w:rsidR="002F0156" w:rsidRPr="00CF6D48">
        <w:rPr>
          <w:rFonts w:ascii="Georgia" w:hAnsi="Georgia" w:cs="Arial"/>
          <w:color w:val="auto"/>
          <w:lang w:val="es-ES_tradnl"/>
        </w:rPr>
        <w:t>, según rotula la doctrina procesal nacional</w:t>
      </w:r>
      <w:r w:rsidR="008D4F8E" w:rsidRPr="00CF6D48">
        <w:rPr>
          <w:rFonts w:ascii="Georgia" w:hAnsi="Georgia" w:cs="Arial"/>
          <w:color w:val="auto"/>
          <w:vertAlign w:val="superscript"/>
          <w:lang w:val="es-ES_tradnl"/>
        </w:rPr>
        <w:footnoteReference w:id="2"/>
      </w:r>
      <w:r w:rsidR="008D4F8E" w:rsidRPr="00CF6D48">
        <w:rPr>
          <w:rFonts w:ascii="Georgia" w:hAnsi="Georgia" w:cs="Arial"/>
          <w:color w:val="auto"/>
          <w:vertAlign w:val="superscript"/>
          <w:lang w:val="es-ES_tradnl"/>
        </w:rPr>
        <w:t>-</w:t>
      </w:r>
      <w:r w:rsidR="008D4F8E" w:rsidRPr="00CF6D48">
        <w:rPr>
          <w:rFonts w:ascii="Georgia" w:hAnsi="Georgia" w:cs="Arial"/>
          <w:color w:val="auto"/>
          <w:vertAlign w:val="superscript"/>
          <w:lang w:val="es-ES_tradnl"/>
        </w:rPr>
        <w:footnoteReference w:id="3"/>
      </w:r>
      <w:r w:rsidR="002F0156" w:rsidRPr="00CF6D48">
        <w:rPr>
          <w:rFonts w:ascii="Georgia" w:hAnsi="Georgia" w:cs="Arial"/>
          <w:color w:val="auto"/>
          <w:lang w:val="es-ES_tradnl"/>
        </w:rPr>
        <w:t>, a efectos de examinar el tema discutido</w:t>
      </w:r>
      <w:r w:rsidR="008400E1" w:rsidRPr="00CF6D48">
        <w:rPr>
          <w:rFonts w:ascii="Georgia" w:hAnsi="Georgia" w:cs="Arial"/>
          <w:color w:val="auto"/>
          <w:lang w:val="es-ES_tradnl"/>
        </w:rPr>
        <w:t>.</w:t>
      </w:r>
      <w:r w:rsidR="002F0156" w:rsidRPr="00CF6D48">
        <w:rPr>
          <w:rFonts w:ascii="Georgia" w:hAnsi="Georgia" w:cs="Arial"/>
          <w:color w:val="auto"/>
          <w:lang w:val="es-ES_tradnl"/>
        </w:rPr>
        <w:t xml:space="preserve"> </w:t>
      </w:r>
      <w:r w:rsidR="008400E1" w:rsidRPr="00CF6D48">
        <w:rPr>
          <w:rFonts w:ascii="Georgia" w:hAnsi="Georgia" w:cs="Arial"/>
          <w:color w:val="auto"/>
          <w:lang w:val="es-ES_tradnl"/>
        </w:rPr>
        <w:t>Cuestión que es idéntica en CPC y CGP.</w:t>
      </w:r>
    </w:p>
    <w:p w14:paraId="7FAFF90B" w14:textId="77777777" w:rsidR="007D4C22" w:rsidRPr="00CF6D48" w:rsidRDefault="007D4C22" w:rsidP="00094383">
      <w:pPr>
        <w:pStyle w:val="Textopredeterminado"/>
        <w:spacing w:line="276" w:lineRule="auto"/>
        <w:jc w:val="both"/>
        <w:rPr>
          <w:rFonts w:ascii="Georgia" w:hAnsi="Georgia" w:cs="Arial"/>
          <w:color w:val="auto"/>
          <w:lang w:val="es-ES_tradnl"/>
        </w:rPr>
      </w:pPr>
    </w:p>
    <w:p w14:paraId="10B8F25C" w14:textId="69C7BC66" w:rsidR="002F0156" w:rsidRPr="00CF6D48" w:rsidRDefault="008400E1" w:rsidP="00094383">
      <w:pPr>
        <w:spacing w:line="276" w:lineRule="auto"/>
        <w:jc w:val="both"/>
        <w:rPr>
          <w:rFonts w:ascii="Georgia" w:hAnsi="Georgia" w:cs="Arial"/>
          <w:sz w:val="24"/>
          <w:szCs w:val="24"/>
          <w:lang w:val="es-ES_tradnl"/>
        </w:rPr>
      </w:pPr>
      <w:r w:rsidRPr="00CF6D48">
        <w:rPr>
          <w:rFonts w:ascii="Georgia" w:hAnsi="Georgia" w:cs="Arial"/>
          <w:sz w:val="24"/>
          <w:szCs w:val="24"/>
          <w:lang w:val="es-ES_tradnl"/>
        </w:rPr>
        <w:t xml:space="preserve">Esos requisitos son una serie de exigencias normativas formales que permiten su trámite y aseguran su decisión. </w:t>
      </w:r>
      <w:r w:rsidR="00F9683E" w:rsidRPr="00CF6D48">
        <w:rPr>
          <w:rFonts w:ascii="Georgia" w:hAnsi="Georgia" w:cs="Arial"/>
          <w:sz w:val="24"/>
          <w:szCs w:val="24"/>
          <w:lang w:val="es-ES_tradnl"/>
        </w:rPr>
        <w:t>A</w:t>
      </w:r>
      <w:r w:rsidR="002F0156" w:rsidRPr="00CF6D48">
        <w:rPr>
          <w:rFonts w:ascii="Georgia" w:hAnsi="Georgia" w:cs="Arial"/>
          <w:sz w:val="24"/>
          <w:szCs w:val="24"/>
          <w:lang w:val="es-ES_tradnl"/>
        </w:rPr>
        <w:t xml:space="preserve">sí lo anota el </w:t>
      </w:r>
      <w:r w:rsidR="008D4F8E" w:rsidRPr="00CF6D48">
        <w:rPr>
          <w:rFonts w:ascii="Georgia" w:hAnsi="Georgia" w:cs="Arial"/>
          <w:sz w:val="24"/>
          <w:szCs w:val="24"/>
          <w:lang w:val="es-ES_tradnl"/>
        </w:rPr>
        <w:t>maestro</w:t>
      </w:r>
      <w:r w:rsidR="002F0156" w:rsidRPr="00CF6D48">
        <w:rPr>
          <w:rFonts w:ascii="Georgia" w:hAnsi="Georgia" w:cs="Arial"/>
          <w:sz w:val="24"/>
          <w:szCs w:val="24"/>
          <w:lang w:val="es-ES_tradnl"/>
        </w:rPr>
        <w:t xml:space="preserve"> López B</w:t>
      </w:r>
      <w:r w:rsidRPr="00CF6D48">
        <w:rPr>
          <w:rFonts w:ascii="Georgia" w:hAnsi="Georgia" w:cs="Arial"/>
          <w:sz w:val="24"/>
          <w:szCs w:val="24"/>
          <w:lang w:val="es-ES_tradnl"/>
        </w:rPr>
        <w:t>.</w:t>
      </w:r>
      <w:r w:rsidR="002F0156" w:rsidRPr="00CF6D48">
        <w:rPr>
          <w:rFonts w:ascii="Georgia" w:hAnsi="Georgia" w:cs="Arial"/>
          <w:sz w:val="24"/>
          <w:szCs w:val="24"/>
          <w:vertAlign w:val="superscript"/>
          <w:lang w:val="es-ES_tradnl"/>
        </w:rPr>
        <w:footnoteReference w:id="4"/>
      </w:r>
      <w:r w:rsidR="002F0156" w:rsidRPr="00CF6D48">
        <w:rPr>
          <w:rFonts w:ascii="Georgia" w:hAnsi="Georgia" w:cs="Arial"/>
          <w:sz w:val="24"/>
          <w:szCs w:val="24"/>
          <w:lang w:val="es-ES_tradnl"/>
        </w:rPr>
        <w:t>: “</w:t>
      </w:r>
      <w:r w:rsidR="002F0156" w:rsidRPr="00CF6D48">
        <w:rPr>
          <w:rFonts w:ascii="Georgia" w:hAnsi="Georgia" w:cs="Arial"/>
          <w:i/>
          <w:sz w:val="22"/>
          <w:szCs w:val="24"/>
          <w:lang w:val="es-ES_tradnl"/>
        </w:rPr>
        <w:t>En todo caso sin estar reunidos los requisitos de viabilidad del recurso jamás se podrá tener éxito en el mismo por constituir un precedente necesario para decidirlo</w:t>
      </w:r>
      <w:r w:rsidR="002F0156" w:rsidRPr="00CF6D48">
        <w:rPr>
          <w:rFonts w:ascii="Georgia" w:hAnsi="Georgia" w:cs="Arial"/>
          <w:sz w:val="24"/>
          <w:szCs w:val="24"/>
          <w:lang w:val="es-ES_tradnl"/>
        </w:rPr>
        <w:t xml:space="preserve">”.  </w:t>
      </w:r>
      <w:r w:rsidR="009806FC" w:rsidRPr="00CF6D48">
        <w:rPr>
          <w:rFonts w:ascii="Georgia" w:hAnsi="Georgia" w:cs="Arial"/>
          <w:sz w:val="24"/>
          <w:szCs w:val="24"/>
          <w:lang w:val="es-ES_tradnl"/>
        </w:rPr>
        <w:t>Y lo explica el profesor Rojas G. en su obra: “</w:t>
      </w:r>
      <w:r w:rsidR="009806FC" w:rsidRPr="00CF6D48">
        <w:rPr>
          <w:rFonts w:ascii="Georgia" w:hAnsi="Georgia" w:cs="Arial"/>
          <w:i/>
          <w:sz w:val="22"/>
          <w:szCs w:val="24"/>
          <w:lang w:val="es-ES_tradnl"/>
        </w:rPr>
        <w:t>(…) para que la impugnación pueda ser tramitada hasta establecer si debe prosperar han de cumplirse unos precisos requisitos.  En ausencia de ellos no debe dársele curso a la impugnación, o el trámite queda trunco, si ya se inició</w:t>
      </w:r>
      <w:r w:rsidR="009806FC" w:rsidRPr="00CF6D48">
        <w:rPr>
          <w:rFonts w:ascii="Georgia" w:hAnsi="Georgia" w:cs="Arial"/>
          <w:sz w:val="24"/>
          <w:szCs w:val="24"/>
          <w:lang w:val="es-ES_tradnl"/>
        </w:rPr>
        <w:t>”</w:t>
      </w:r>
      <w:r w:rsidR="009806FC" w:rsidRPr="00CF6D48">
        <w:rPr>
          <w:rStyle w:val="Refdenotaalpie"/>
          <w:rFonts w:ascii="Georgia" w:hAnsi="Georgia"/>
          <w:sz w:val="24"/>
          <w:szCs w:val="24"/>
          <w:lang w:val="es-ES_tradnl"/>
        </w:rPr>
        <w:t xml:space="preserve"> </w:t>
      </w:r>
      <w:r w:rsidR="009806FC" w:rsidRPr="00CF6D48">
        <w:rPr>
          <w:rStyle w:val="Refdenotaalpie"/>
          <w:rFonts w:ascii="Georgia" w:hAnsi="Georgia"/>
          <w:sz w:val="24"/>
          <w:szCs w:val="24"/>
          <w:lang w:val="es-ES_tradnl"/>
        </w:rPr>
        <w:footnoteReference w:id="5"/>
      </w:r>
      <w:r w:rsidR="002F0156" w:rsidRPr="00CF6D48">
        <w:rPr>
          <w:rFonts w:ascii="Georgia" w:hAnsi="Georgia" w:cs="Arial"/>
          <w:sz w:val="24"/>
          <w:szCs w:val="24"/>
          <w:lang w:val="es-ES_tradnl"/>
        </w:rPr>
        <w:t>.</w:t>
      </w:r>
    </w:p>
    <w:p w14:paraId="10B8F25D" w14:textId="77777777" w:rsidR="002F0156" w:rsidRPr="00CF6D48" w:rsidRDefault="002F0156" w:rsidP="00094383">
      <w:pPr>
        <w:pStyle w:val="Sinespaciado"/>
        <w:spacing w:line="276" w:lineRule="auto"/>
        <w:jc w:val="both"/>
        <w:rPr>
          <w:rFonts w:ascii="Georgia" w:hAnsi="Georgia" w:cs="Arial"/>
          <w:sz w:val="24"/>
          <w:szCs w:val="24"/>
          <w:lang w:val="es-ES_tradnl"/>
        </w:rPr>
      </w:pPr>
    </w:p>
    <w:p w14:paraId="10B8F25E" w14:textId="10D07CB8" w:rsidR="008D4F8E" w:rsidRPr="00CF6D48" w:rsidRDefault="008D4F8E" w:rsidP="00094383">
      <w:pPr>
        <w:spacing w:line="276" w:lineRule="auto"/>
        <w:jc w:val="both"/>
        <w:rPr>
          <w:rFonts w:ascii="Georgia" w:hAnsi="Georgia" w:cs="Arial"/>
          <w:sz w:val="24"/>
          <w:szCs w:val="24"/>
          <w:lang w:val="es-ES_tradnl"/>
        </w:rPr>
      </w:pPr>
      <w:r w:rsidRPr="00CF6D48">
        <w:rPr>
          <w:rFonts w:ascii="Georgia" w:hAnsi="Georgia" w:cs="Arial"/>
          <w:sz w:val="24"/>
          <w:szCs w:val="24"/>
          <w:lang w:val="es-ES_tradnl"/>
        </w:rPr>
        <w:t>Los presupuestos son concurrentes, lo que se traduce en que su ausencia frustra el estudio de la impugnación</w:t>
      </w:r>
      <w:r w:rsidR="00F9683E" w:rsidRPr="00CF6D48">
        <w:rPr>
          <w:rStyle w:val="Refdenotaalpie"/>
          <w:rFonts w:ascii="Georgia" w:hAnsi="Georgia" w:cs="Arial"/>
          <w:sz w:val="24"/>
          <w:szCs w:val="24"/>
          <w:lang w:val="es-ES_tradnl"/>
        </w:rPr>
        <w:footnoteReference w:id="6"/>
      </w:r>
      <w:r w:rsidRPr="00CF6D48">
        <w:rPr>
          <w:rFonts w:ascii="Georgia" w:hAnsi="Georgia" w:cs="Arial"/>
          <w:sz w:val="24"/>
          <w:szCs w:val="24"/>
          <w:lang w:val="es-ES_tradnl"/>
        </w:rPr>
        <w:t>. También la CSJ, predica su cumplimiento: “</w:t>
      </w:r>
      <w:r w:rsidRPr="00CF6D48">
        <w:rPr>
          <w:rFonts w:ascii="Georgia" w:hAnsi="Georgia" w:cs="Arial"/>
          <w:i/>
          <w:sz w:val="24"/>
          <w:szCs w:val="24"/>
          <w:lang w:val="es-ES_tradnl"/>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CF6D48">
        <w:rPr>
          <w:rFonts w:ascii="Georgia" w:hAnsi="Georgia" w:cs="Arial"/>
          <w:sz w:val="24"/>
          <w:szCs w:val="24"/>
          <w:lang w:val="es-ES_tradnl"/>
        </w:rPr>
        <w:t>”</w:t>
      </w:r>
      <w:r w:rsidRPr="00CF6D48">
        <w:rPr>
          <w:rStyle w:val="Refdenotaalpie"/>
          <w:rFonts w:ascii="Georgia" w:hAnsi="Georgia"/>
          <w:sz w:val="24"/>
          <w:szCs w:val="24"/>
          <w:lang w:val="es-ES_tradnl"/>
        </w:rPr>
        <w:footnoteReference w:id="7"/>
      </w:r>
      <w:r w:rsidRPr="00CF6D48">
        <w:rPr>
          <w:rFonts w:ascii="Georgia" w:hAnsi="Georgia" w:cs="Arial"/>
          <w:sz w:val="24"/>
          <w:szCs w:val="24"/>
          <w:lang w:val="es-ES_tradnl"/>
        </w:rPr>
        <w:t>. Y en decisión más próxima (2017)</w:t>
      </w:r>
      <w:r w:rsidRPr="00CF6D48">
        <w:rPr>
          <w:rStyle w:val="Refdenotaalpie"/>
          <w:rFonts w:ascii="Georgia" w:hAnsi="Georgia"/>
          <w:sz w:val="24"/>
          <w:szCs w:val="24"/>
          <w:lang w:val="es-ES_tradnl"/>
        </w:rPr>
        <w:footnoteReference w:id="8"/>
      </w:r>
      <w:r w:rsidRPr="00CF6D48">
        <w:rPr>
          <w:rFonts w:ascii="Georgia" w:hAnsi="Georgia" w:cs="Arial"/>
          <w:sz w:val="24"/>
          <w:szCs w:val="24"/>
          <w:lang w:val="es-ES_tradnl"/>
        </w:rPr>
        <w:t xml:space="preserve"> evocó: “</w:t>
      </w:r>
      <w:r w:rsidRPr="00CF6D48">
        <w:rPr>
          <w:rFonts w:ascii="Georgia" w:hAnsi="Georgia" w:cs="Arial"/>
          <w:i/>
          <w:sz w:val="22"/>
          <w:szCs w:val="24"/>
          <w:lang w:val="es-ES_tradnl"/>
        </w:rPr>
        <w:t xml:space="preserve">(…) </w:t>
      </w:r>
      <w:r w:rsidRPr="00CF6D48">
        <w:rPr>
          <w:rFonts w:ascii="Georgia" w:hAnsi="Georgia" w:cs="Arial"/>
          <w:i/>
          <w:spacing w:val="-4"/>
          <w:sz w:val="22"/>
          <w:szCs w:val="24"/>
          <w:lang w:val="es-ES_tradnl"/>
        </w:rPr>
        <w:t>Por supuesto que, era facultad del superior realizar el análisis preliminar para la «admisión» de la alzada, y conforme a la regla cuarta del canon 325 del C.G.P.</w:t>
      </w:r>
      <w:r w:rsidRPr="00CF6D48">
        <w:rPr>
          <w:rFonts w:ascii="Georgia" w:hAnsi="Georgia" w:cs="Arial"/>
          <w:spacing w:val="-4"/>
          <w:sz w:val="22"/>
          <w:szCs w:val="24"/>
          <w:lang w:val="es-ES_tradnl"/>
        </w:rPr>
        <w:t xml:space="preserve"> </w:t>
      </w:r>
      <w:r w:rsidRPr="00CF6D48">
        <w:rPr>
          <w:rFonts w:ascii="Georgia" w:hAnsi="Georgia" w:cs="Arial"/>
          <w:i/>
          <w:sz w:val="22"/>
          <w:szCs w:val="24"/>
          <w:shd w:val="clear" w:color="auto" w:fill="FFFFFF"/>
          <w:lang w:val="es-ES_tradnl"/>
        </w:rPr>
        <w:t>(…)</w:t>
      </w:r>
      <w:r w:rsidRPr="00CF6D48">
        <w:rPr>
          <w:rFonts w:ascii="Georgia" w:hAnsi="Georgia" w:cs="Arial"/>
          <w:i/>
          <w:sz w:val="24"/>
          <w:szCs w:val="24"/>
          <w:shd w:val="clear" w:color="auto" w:fill="FFFFFF"/>
          <w:lang w:val="es-ES_tradnl"/>
        </w:rPr>
        <w:t>”.</w:t>
      </w:r>
      <w:r w:rsidRPr="00CF6D48">
        <w:rPr>
          <w:rFonts w:ascii="Georgia" w:hAnsi="Georgia" w:cs="Arial"/>
          <w:sz w:val="24"/>
          <w:szCs w:val="24"/>
          <w:shd w:val="clear" w:color="auto" w:fill="FFFFFF"/>
          <w:lang w:val="es-ES_tradnl"/>
        </w:rPr>
        <w:t xml:space="preserve"> Comentarios que son aplicables para el CGP, puesto que en este aspecto se conservó el esquema.</w:t>
      </w:r>
    </w:p>
    <w:p w14:paraId="10B8F25F" w14:textId="77777777" w:rsidR="002F0156" w:rsidRPr="00CF6D48" w:rsidRDefault="002F0156" w:rsidP="00094383">
      <w:pPr>
        <w:pStyle w:val="Sinespaciado"/>
        <w:spacing w:line="276" w:lineRule="auto"/>
        <w:jc w:val="both"/>
        <w:rPr>
          <w:rFonts w:ascii="Georgia" w:hAnsi="Georgia" w:cs="Arial"/>
          <w:sz w:val="24"/>
          <w:szCs w:val="24"/>
          <w:lang w:val="es-ES_tradnl"/>
        </w:rPr>
      </w:pPr>
    </w:p>
    <w:p w14:paraId="10B8F260" w14:textId="69DC02A6" w:rsidR="008D4F8E" w:rsidRPr="00CF6D48" w:rsidRDefault="5C3A0D7C" w:rsidP="00094383">
      <w:pPr>
        <w:pStyle w:val="Textopredeterminado"/>
        <w:spacing w:line="276" w:lineRule="auto"/>
        <w:jc w:val="both"/>
        <w:rPr>
          <w:rFonts w:ascii="Georgia" w:hAnsi="Georgia" w:cs="Arial"/>
          <w:color w:val="auto"/>
          <w:lang w:val="es-ES_tradnl"/>
        </w:rPr>
      </w:pPr>
      <w:r w:rsidRPr="00CF6D48">
        <w:rPr>
          <w:rFonts w:ascii="Georgia" w:hAnsi="Georgia" w:cs="Arial"/>
          <w:color w:val="auto"/>
          <w:lang w:val="es-ES_tradnl"/>
        </w:rPr>
        <w:t xml:space="preserve">Se hacen consistir en: </w:t>
      </w:r>
      <w:r w:rsidR="008D4F8E" w:rsidRPr="00CF6D48">
        <w:rPr>
          <w:rFonts w:ascii="Georgia" w:hAnsi="Georgia" w:cs="Arial"/>
          <w:b/>
          <w:bCs/>
          <w:color w:val="auto"/>
          <w:lang w:val="es-ES_tradnl"/>
        </w:rPr>
        <w:t>(i)</w:t>
      </w:r>
      <w:r w:rsidR="008D4F8E" w:rsidRPr="00CF6D48">
        <w:rPr>
          <w:rFonts w:ascii="Georgia" w:hAnsi="Georgia" w:cs="Arial"/>
          <w:color w:val="auto"/>
          <w:lang w:val="es-ES_tradnl"/>
        </w:rPr>
        <w:t xml:space="preserve"> legitimación, </w:t>
      </w:r>
      <w:r w:rsidR="008D4F8E" w:rsidRPr="00CF6D48">
        <w:rPr>
          <w:rFonts w:ascii="Georgia" w:hAnsi="Georgia" w:cs="Arial"/>
          <w:b/>
          <w:bCs/>
          <w:color w:val="auto"/>
          <w:lang w:val="es-ES_tradnl"/>
        </w:rPr>
        <w:t>(ii)</w:t>
      </w:r>
      <w:r w:rsidR="008D4F8E" w:rsidRPr="00CF6D48">
        <w:rPr>
          <w:rFonts w:ascii="Georgia" w:hAnsi="Georgia" w:cs="Arial"/>
          <w:color w:val="auto"/>
          <w:lang w:val="es-ES_tradnl"/>
        </w:rPr>
        <w:t xml:space="preserve"> oportunidad, </w:t>
      </w:r>
      <w:r w:rsidR="008D4F8E" w:rsidRPr="00CF6D48">
        <w:rPr>
          <w:rFonts w:ascii="Georgia" w:hAnsi="Georgia" w:cs="Arial"/>
          <w:b/>
          <w:bCs/>
          <w:color w:val="auto"/>
          <w:lang w:val="es-ES_tradnl"/>
        </w:rPr>
        <w:t>(iii)</w:t>
      </w:r>
      <w:r w:rsidR="008D4F8E" w:rsidRPr="00CF6D48">
        <w:rPr>
          <w:rFonts w:ascii="Georgia" w:hAnsi="Georgia" w:cs="Arial"/>
          <w:color w:val="auto"/>
          <w:lang w:val="es-ES_tradnl"/>
        </w:rPr>
        <w:t xml:space="preserve"> procedencia y </w:t>
      </w:r>
      <w:r w:rsidR="008D4F8E" w:rsidRPr="00CF6D48">
        <w:rPr>
          <w:rFonts w:ascii="Georgia" w:hAnsi="Georgia" w:cs="Arial"/>
          <w:b/>
          <w:bCs/>
          <w:color w:val="auto"/>
          <w:lang w:val="es-ES_tradnl"/>
        </w:rPr>
        <w:t>(iv)</w:t>
      </w:r>
      <w:r w:rsidR="008D4F8E" w:rsidRPr="00CF6D48">
        <w:rPr>
          <w:rFonts w:ascii="Georgia" w:hAnsi="Georgia" w:cs="Arial"/>
          <w:color w:val="auto"/>
          <w:lang w:val="es-ES_tradnl"/>
        </w:rPr>
        <w:t xml:space="preserve"> cargas procesales (Sustentación, expedición de copias, etc.); los tres (3) primeros implican la inadmisibilidad del recurso, mientras que el cuarto, provoca la deserción, tal como acota la doctrina patria</w:t>
      </w:r>
      <w:r w:rsidR="008D4F8E" w:rsidRPr="00CF6D48">
        <w:rPr>
          <w:rStyle w:val="Refdenotaalpie"/>
          <w:rFonts w:ascii="Georgia" w:hAnsi="Georgia"/>
          <w:color w:val="auto"/>
          <w:lang w:val="es-ES_tradnl"/>
        </w:rPr>
        <w:footnoteReference w:id="9"/>
      </w:r>
      <w:r w:rsidR="008D4F8E" w:rsidRPr="00CF6D48">
        <w:rPr>
          <w:rStyle w:val="Refdenotaalpie"/>
          <w:rFonts w:ascii="Georgia" w:hAnsi="Georgia"/>
          <w:color w:val="auto"/>
          <w:lang w:val="es-ES_tradnl"/>
        </w:rPr>
        <w:t>-</w:t>
      </w:r>
      <w:r w:rsidR="008D4F8E" w:rsidRPr="00CF6D48">
        <w:rPr>
          <w:rStyle w:val="Refdenotaalpie"/>
          <w:rFonts w:ascii="Georgia" w:hAnsi="Georgia"/>
          <w:color w:val="auto"/>
          <w:lang w:val="es-ES_tradnl"/>
        </w:rPr>
        <w:footnoteReference w:id="10"/>
      </w:r>
      <w:r w:rsidR="008D4F8E" w:rsidRPr="00CF6D48">
        <w:rPr>
          <w:rFonts w:ascii="Georgia" w:hAnsi="Georgia" w:cs="Arial"/>
          <w:color w:val="auto"/>
          <w:lang w:val="es-ES_tradnl"/>
        </w:rPr>
        <w:t>.</w:t>
      </w:r>
    </w:p>
    <w:p w14:paraId="10B8F261" w14:textId="77777777" w:rsidR="001B103C" w:rsidRPr="00CF6D48" w:rsidRDefault="001B103C" w:rsidP="00094383">
      <w:pPr>
        <w:pStyle w:val="Sinespaciado"/>
        <w:spacing w:line="276" w:lineRule="auto"/>
        <w:jc w:val="both"/>
        <w:rPr>
          <w:rFonts w:ascii="Georgia" w:hAnsi="Georgia" w:cs="Arial"/>
          <w:sz w:val="24"/>
          <w:szCs w:val="24"/>
          <w:lang w:val="es-ES_tradnl"/>
        </w:rPr>
      </w:pPr>
    </w:p>
    <w:p w14:paraId="6135B54C" w14:textId="5DC0CD2C" w:rsidR="00D00FE9" w:rsidRPr="00CF6D48" w:rsidRDefault="00451704" w:rsidP="00094383">
      <w:pPr>
        <w:spacing w:line="276" w:lineRule="auto"/>
        <w:jc w:val="both"/>
        <w:rPr>
          <w:rFonts w:ascii="Georgia" w:hAnsi="Georgia" w:cs="Arial"/>
          <w:sz w:val="24"/>
          <w:szCs w:val="24"/>
          <w:lang w:val="es-ES_tradnl"/>
        </w:rPr>
      </w:pPr>
      <w:r w:rsidRPr="00CF6D48">
        <w:rPr>
          <w:rFonts w:ascii="Georgia" w:hAnsi="Georgia" w:cs="Arial"/>
          <w:sz w:val="24"/>
          <w:szCs w:val="24"/>
          <w:lang w:val="es-ES_tradnl"/>
        </w:rPr>
        <w:t xml:space="preserve">El </w:t>
      </w:r>
      <w:r w:rsidR="001B103C" w:rsidRPr="00CF6D48">
        <w:rPr>
          <w:rFonts w:ascii="Georgia" w:hAnsi="Georgia" w:cs="Arial"/>
          <w:sz w:val="24"/>
          <w:szCs w:val="24"/>
          <w:lang w:val="es-ES_tradnl"/>
        </w:rPr>
        <w:t>examen se centrará en</w:t>
      </w:r>
      <w:r w:rsidR="00064B59" w:rsidRPr="00CF6D48">
        <w:rPr>
          <w:rFonts w:ascii="Georgia" w:hAnsi="Georgia" w:cs="Arial"/>
          <w:sz w:val="24"/>
          <w:szCs w:val="24"/>
          <w:lang w:val="es-ES_tradnl"/>
        </w:rPr>
        <w:t xml:space="preserve"> el</w:t>
      </w:r>
      <w:r w:rsidR="001B103C" w:rsidRPr="00CF6D48">
        <w:rPr>
          <w:rFonts w:ascii="Georgia" w:hAnsi="Georgia" w:cs="Arial"/>
          <w:sz w:val="24"/>
          <w:szCs w:val="24"/>
          <w:lang w:val="es-ES_tradnl"/>
        </w:rPr>
        <w:t xml:space="preserve"> </w:t>
      </w:r>
      <w:r w:rsidR="00064B59" w:rsidRPr="00CF6D48">
        <w:rPr>
          <w:rFonts w:ascii="Georgia" w:hAnsi="Georgia" w:cs="Arial"/>
          <w:sz w:val="24"/>
          <w:szCs w:val="24"/>
          <w:lang w:val="es-ES_tradnl"/>
        </w:rPr>
        <w:t>segundo</w:t>
      </w:r>
      <w:r w:rsidR="19F72A57" w:rsidRPr="00CF6D48">
        <w:rPr>
          <w:rFonts w:ascii="Georgia" w:hAnsi="Georgia" w:cs="Arial"/>
          <w:sz w:val="24"/>
          <w:szCs w:val="24"/>
          <w:lang w:val="es-ES_tradnl"/>
        </w:rPr>
        <w:t>:</w:t>
      </w:r>
      <w:r w:rsidR="00064B59" w:rsidRPr="00CF6D48">
        <w:rPr>
          <w:rFonts w:ascii="Georgia" w:hAnsi="Georgia" w:cs="Arial"/>
          <w:sz w:val="24"/>
          <w:szCs w:val="24"/>
          <w:lang w:val="es-ES_tradnl"/>
        </w:rPr>
        <w:t xml:space="preserve"> </w:t>
      </w:r>
      <w:r w:rsidR="001B103C" w:rsidRPr="00CF6D48">
        <w:rPr>
          <w:rFonts w:ascii="Georgia" w:hAnsi="Georgia" w:cs="Arial"/>
          <w:sz w:val="24"/>
          <w:szCs w:val="24"/>
          <w:u w:val="single"/>
          <w:lang w:val="es-ES_tradnl"/>
        </w:rPr>
        <w:t xml:space="preserve">la </w:t>
      </w:r>
      <w:r w:rsidR="00923C64" w:rsidRPr="00CF6D48">
        <w:rPr>
          <w:rFonts w:ascii="Georgia" w:hAnsi="Georgia" w:cs="Arial"/>
          <w:sz w:val="24"/>
          <w:szCs w:val="24"/>
          <w:u w:val="single"/>
          <w:lang w:val="es-ES_tradnl"/>
        </w:rPr>
        <w:t>oportunidad</w:t>
      </w:r>
      <w:r w:rsidR="00064B59" w:rsidRPr="00CF6D48">
        <w:rPr>
          <w:rFonts w:ascii="Georgia" w:hAnsi="Georgia" w:cs="Arial"/>
          <w:sz w:val="24"/>
          <w:szCs w:val="24"/>
          <w:lang w:val="es-ES_tradnl"/>
        </w:rPr>
        <w:t xml:space="preserve">, </w:t>
      </w:r>
      <w:r w:rsidR="001B103C" w:rsidRPr="00CF6D48">
        <w:rPr>
          <w:rFonts w:ascii="Georgia" w:hAnsi="Georgia" w:cs="Arial"/>
          <w:sz w:val="24"/>
          <w:szCs w:val="24"/>
          <w:lang w:val="es-ES_tradnl"/>
        </w:rPr>
        <w:t>que se e</w:t>
      </w:r>
      <w:r w:rsidR="00C23F12" w:rsidRPr="00CF6D48">
        <w:rPr>
          <w:rFonts w:ascii="Georgia" w:hAnsi="Georgia" w:cs="Arial"/>
          <w:sz w:val="24"/>
          <w:szCs w:val="24"/>
          <w:lang w:val="es-ES_tradnl"/>
        </w:rPr>
        <w:t>stima incumplida</w:t>
      </w:r>
      <w:r w:rsidR="00FD7D4F" w:rsidRPr="00CF6D48">
        <w:rPr>
          <w:rFonts w:ascii="Georgia" w:hAnsi="Georgia" w:cs="Arial"/>
          <w:sz w:val="24"/>
          <w:szCs w:val="24"/>
          <w:lang w:val="es-ES_tradnl"/>
        </w:rPr>
        <w:t xml:space="preserve">, esta se entiende </w:t>
      </w:r>
      <w:r w:rsidR="00D00FE9" w:rsidRPr="00CF6D48">
        <w:rPr>
          <w:rFonts w:ascii="Georgia" w:hAnsi="Georgia" w:cs="Arial"/>
          <w:sz w:val="24"/>
          <w:szCs w:val="24"/>
          <w:lang w:val="es-ES_tradnl"/>
        </w:rPr>
        <w:t>como el límite temporal</w:t>
      </w:r>
      <w:r w:rsidR="004276EF" w:rsidRPr="00CF6D48">
        <w:rPr>
          <w:rFonts w:ascii="Georgia" w:hAnsi="Georgia" w:cs="Arial"/>
          <w:sz w:val="24"/>
          <w:szCs w:val="24"/>
          <w:lang w:val="es-ES_tradnl"/>
        </w:rPr>
        <w:t>,</w:t>
      </w:r>
      <w:r w:rsidR="00D00FE9" w:rsidRPr="00CF6D48">
        <w:rPr>
          <w:rFonts w:ascii="Georgia" w:hAnsi="Georgia" w:cs="Arial"/>
          <w:sz w:val="24"/>
          <w:szCs w:val="24"/>
          <w:lang w:val="es-ES_tradnl"/>
        </w:rPr>
        <w:t xml:space="preserve"> definido por la ley para interponer</w:t>
      </w:r>
      <w:r w:rsidR="004276EF" w:rsidRPr="00CF6D48">
        <w:rPr>
          <w:rFonts w:ascii="Georgia" w:hAnsi="Georgia" w:cs="Arial"/>
          <w:sz w:val="24"/>
          <w:szCs w:val="24"/>
          <w:lang w:val="es-ES_tradnl"/>
        </w:rPr>
        <w:t xml:space="preserve"> la </w:t>
      </w:r>
      <w:r w:rsidR="004276EF" w:rsidRPr="00CF6D48">
        <w:rPr>
          <w:rFonts w:ascii="Georgia" w:hAnsi="Georgia" w:cs="Arial"/>
          <w:sz w:val="24"/>
          <w:szCs w:val="24"/>
          <w:lang w:val="es-ES_tradnl"/>
        </w:rPr>
        <w:lastRenderedPageBreak/>
        <w:t>impugnación</w:t>
      </w:r>
      <w:r w:rsidR="00D00FE9" w:rsidRPr="00CF6D48">
        <w:rPr>
          <w:rFonts w:ascii="Georgia" w:hAnsi="Georgia" w:cs="Arial"/>
          <w:sz w:val="24"/>
          <w:szCs w:val="24"/>
          <w:lang w:val="es-ES_tradnl"/>
        </w:rPr>
        <w:t>, su formulación antes o después de expirad</w:t>
      </w:r>
      <w:r w:rsidR="004276EF" w:rsidRPr="00CF6D48">
        <w:rPr>
          <w:rFonts w:ascii="Georgia" w:hAnsi="Georgia" w:cs="Arial"/>
          <w:sz w:val="24"/>
          <w:szCs w:val="24"/>
          <w:lang w:val="es-ES_tradnl"/>
        </w:rPr>
        <w:t>o</w:t>
      </w:r>
      <w:r w:rsidR="00D00FE9" w:rsidRPr="00CF6D48">
        <w:rPr>
          <w:rFonts w:ascii="Georgia" w:hAnsi="Georgia" w:cs="Arial"/>
          <w:sz w:val="24"/>
          <w:szCs w:val="24"/>
          <w:lang w:val="es-ES_tradnl"/>
        </w:rPr>
        <w:t xml:space="preserve">, </w:t>
      </w:r>
      <w:r w:rsidR="004276EF" w:rsidRPr="00CF6D48">
        <w:rPr>
          <w:rFonts w:ascii="Georgia" w:hAnsi="Georgia" w:cs="Arial"/>
          <w:sz w:val="24"/>
          <w:szCs w:val="24"/>
          <w:lang w:val="es-ES_tradnl"/>
        </w:rPr>
        <w:t xml:space="preserve">la </w:t>
      </w:r>
      <w:r w:rsidR="00D00FE9" w:rsidRPr="00CF6D48">
        <w:rPr>
          <w:rFonts w:ascii="Georgia" w:hAnsi="Georgia" w:cs="Arial"/>
          <w:sz w:val="24"/>
          <w:szCs w:val="24"/>
          <w:lang w:val="es-ES_tradnl"/>
        </w:rPr>
        <w:t xml:space="preserve">hace deslucir por extemporánea. </w:t>
      </w:r>
    </w:p>
    <w:p w14:paraId="647908F0" w14:textId="77777777" w:rsidR="00D00FE9" w:rsidRPr="00CF6D48" w:rsidRDefault="00D00FE9" w:rsidP="00094383">
      <w:pPr>
        <w:pStyle w:val="Sinespaciado"/>
        <w:spacing w:line="276" w:lineRule="auto"/>
        <w:jc w:val="both"/>
        <w:rPr>
          <w:rFonts w:ascii="Georgia" w:hAnsi="Georgia" w:cs="Arial"/>
          <w:sz w:val="24"/>
          <w:szCs w:val="24"/>
          <w:lang w:val="es-ES_tradnl"/>
        </w:rPr>
      </w:pPr>
    </w:p>
    <w:p w14:paraId="1258C159" w14:textId="408865AC" w:rsidR="00D00FE9" w:rsidRPr="00CF6D48" w:rsidRDefault="00D00FE9" w:rsidP="00094383">
      <w:pPr>
        <w:pStyle w:val="Sinespaciado1"/>
        <w:spacing w:line="276" w:lineRule="auto"/>
        <w:jc w:val="both"/>
        <w:rPr>
          <w:rFonts w:ascii="Georgia" w:hAnsi="Georgia" w:cs="Arial"/>
          <w:iCs/>
          <w:sz w:val="24"/>
          <w:szCs w:val="24"/>
          <w:lang w:val="es-ES_tradnl"/>
        </w:rPr>
      </w:pPr>
      <w:r w:rsidRPr="00CF6D48">
        <w:rPr>
          <w:rFonts w:ascii="Georgia" w:hAnsi="Georgia" w:cs="Arial"/>
          <w:bCs/>
          <w:sz w:val="24"/>
          <w:szCs w:val="24"/>
          <w:lang w:val="es-ES_tradnl"/>
        </w:rPr>
        <w:t xml:space="preserve">Tratándose del recurso de queja, establece el </w:t>
      </w:r>
      <w:r w:rsidRPr="00CF6D48">
        <w:rPr>
          <w:rFonts w:ascii="Georgia" w:hAnsi="Georgia" w:cs="Arial"/>
          <w:iCs/>
          <w:sz w:val="24"/>
          <w:szCs w:val="24"/>
          <w:lang w:val="es-ES_tradnl"/>
        </w:rPr>
        <w:t>artículo 353, CGP</w:t>
      </w:r>
      <w:r w:rsidR="00064B59" w:rsidRPr="00CF6D48">
        <w:rPr>
          <w:rFonts w:ascii="Georgia" w:hAnsi="Georgia" w:cs="Arial"/>
          <w:iCs/>
          <w:sz w:val="24"/>
          <w:szCs w:val="24"/>
          <w:lang w:val="es-ES_tradnl"/>
        </w:rPr>
        <w:t>,</w:t>
      </w:r>
      <w:r w:rsidRPr="00CF6D48">
        <w:rPr>
          <w:rFonts w:ascii="Georgia" w:hAnsi="Georgia" w:cs="Arial"/>
          <w:iCs/>
          <w:sz w:val="24"/>
          <w:szCs w:val="24"/>
          <w:lang w:val="es-ES_tradnl"/>
        </w:rPr>
        <w:t xml:space="preserve"> que: </w:t>
      </w:r>
      <w:r w:rsidRPr="00CF6D48">
        <w:rPr>
          <w:rFonts w:ascii="Georgia" w:hAnsi="Georgia" w:cs="Arial"/>
          <w:i/>
          <w:iCs/>
          <w:sz w:val="24"/>
          <w:szCs w:val="24"/>
          <w:lang w:val="es-ES_tradnl"/>
        </w:rPr>
        <w:t>“</w:t>
      </w:r>
      <w:r w:rsidRPr="00CF6D48">
        <w:rPr>
          <w:rFonts w:ascii="Georgia" w:hAnsi="Georgia" w:cs="Arial"/>
          <w:i/>
          <w:iCs/>
          <w:szCs w:val="24"/>
          <w:lang w:val="es-ES_tradnl"/>
        </w:rPr>
        <w:t xml:space="preserve">(…) </w:t>
      </w:r>
      <w:r w:rsidRPr="00CF6D48">
        <w:rPr>
          <w:rFonts w:ascii="Georgia" w:hAnsi="Georgia" w:cs="Arial"/>
          <w:i/>
          <w:iCs/>
          <w:szCs w:val="24"/>
          <w:u w:val="single"/>
          <w:lang w:val="es-ES_tradnl"/>
        </w:rPr>
        <w:t>deberá interponerse en subsidio del de reposición</w:t>
      </w:r>
      <w:r w:rsidRPr="00CF6D48">
        <w:rPr>
          <w:rFonts w:ascii="Georgia" w:hAnsi="Georgia" w:cs="Arial"/>
          <w:i/>
          <w:iCs/>
          <w:szCs w:val="24"/>
          <w:lang w:val="es-ES_tradnl"/>
        </w:rPr>
        <w:t xml:space="preserve"> contra el auto que denegó la apelación o la casación, salvo cuando éste sea consecuencia de la reposición interpuesta por la parte contraria, caso en el cual deberá interponerse directamente dentro de la ejecutoria.  Denegada la reposición, o interpuesta la queja, según el caso, el juez ordenará la reproducción de las piezas procesales necesarias (…)</w:t>
      </w:r>
      <w:r w:rsidRPr="00CF6D48">
        <w:rPr>
          <w:rFonts w:ascii="Georgia" w:hAnsi="Georgia" w:cs="Arial"/>
          <w:i/>
          <w:iCs/>
          <w:sz w:val="24"/>
          <w:szCs w:val="24"/>
          <w:lang w:val="es-ES_tradnl"/>
        </w:rPr>
        <w:t>”</w:t>
      </w:r>
      <w:r w:rsidRPr="00CF6D48">
        <w:rPr>
          <w:rFonts w:ascii="Georgia" w:hAnsi="Georgia" w:cs="Arial"/>
          <w:iCs/>
          <w:sz w:val="24"/>
          <w:szCs w:val="24"/>
          <w:lang w:val="es-ES_tradnl"/>
        </w:rPr>
        <w:t xml:space="preserve"> (Destacado fuera de texto). </w:t>
      </w:r>
    </w:p>
    <w:p w14:paraId="71FE24DB" w14:textId="77777777" w:rsidR="00D00FE9" w:rsidRPr="00CF6D48" w:rsidRDefault="00D00FE9" w:rsidP="00094383">
      <w:pPr>
        <w:pStyle w:val="Sinespaciado1"/>
        <w:spacing w:line="276" w:lineRule="auto"/>
        <w:ind w:firstLine="2835"/>
        <w:jc w:val="both"/>
        <w:rPr>
          <w:rFonts w:ascii="Georgia" w:hAnsi="Georgia" w:cs="Arial"/>
          <w:iCs/>
          <w:sz w:val="24"/>
          <w:szCs w:val="24"/>
          <w:lang w:val="es-ES_tradnl"/>
        </w:rPr>
      </w:pPr>
    </w:p>
    <w:p w14:paraId="74D2C419" w14:textId="54F96963" w:rsidR="004276EF" w:rsidRPr="00CF6D48" w:rsidRDefault="00D00FE9" w:rsidP="00094383">
      <w:pPr>
        <w:pStyle w:val="Sinespaciado1"/>
        <w:spacing w:line="276" w:lineRule="auto"/>
        <w:jc w:val="both"/>
        <w:rPr>
          <w:rFonts w:ascii="Georgia" w:hAnsi="Georgia" w:cs="Arial"/>
          <w:iCs/>
          <w:sz w:val="24"/>
          <w:szCs w:val="24"/>
          <w:lang w:val="es-ES_tradnl"/>
        </w:rPr>
      </w:pPr>
      <w:r w:rsidRPr="00CF6D48">
        <w:rPr>
          <w:rFonts w:ascii="Georgia" w:hAnsi="Georgia" w:cs="Arial"/>
          <w:iCs/>
          <w:sz w:val="24"/>
          <w:szCs w:val="24"/>
          <w:lang w:val="es-ES_tradnl"/>
        </w:rPr>
        <w:t>E</w:t>
      </w:r>
      <w:r w:rsidR="00064B59" w:rsidRPr="00CF6D48">
        <w:rPr>
          <w:rFonts w:ascii="Georgia" w:hAnsi="Georgia" w:cs="Arial"/>
          <w:iCs/>
          <w:sz w:val="24"/>
          <w:szCs w:val="24"/>
          <w:lang w:val="es-ES_tradnl"/>
        </w:rPr>
        <w:t>ntonces</w:t>
      </w:r>
      <w:r w:rsidRPr="00CF6D48">
        <w:rPr>
          <w:rFonts w:ascii="Georgia" w:hAnsi="Georgia" w:cs="Arial"/>
          <w:iCs/>
          <w:sz w:val="24"/>
          <w:szCs w:val="24"/>
          <w:lang w:val="es-ES_tradnl"/>
        </w:rPr>
        <w:t xml:space="preserve">, obligatoriamente, con las excepciones referidas, habrán de formularse dos ataques contra una misma decisión, el primero en forma horizontal para que el Juzgado reconsidere la negativa a conceder la alzada o, en su defecto, habilite el camino para que el afectado acuda directamente ante el superior, con el fin de que se evalúe ese resultado adverso. </w:t>
      </w:r>
    </w:p>
    <w:p w14:paraId="7A61242A" w14:textId="77777777" w:rsidR="004276EF" w:rsidRPr="00CF6D48" w:rsidRDefault="004276EF" w:rsidP="00094383">
      <w:pPr>
        <w:pStyle w:val="Sinespaciado1"/>
        <w:spacing w:line="276" w:lineRule="auto"/>
        <w:jc w:val="both"/>
        <w:rPr>
          <w:rFonts w:ascii="Georgia" w:hAnsi="Georgia" w:cs="Arial"/>
          <w:iCs/>
          <w:sz w:val="24"/>
          <w:szCs w:val="24"/>
          <w:lang w:val="es-ES_tradnl"/>
        </w:rPr>
      </w:pPr>
    </w:p>
    <w:p w14:paraId="3DD8E83C" w14:textId="21F201B2" w:rsidR="00D00FE9" w:rsidRPr="00CF6D48" w:rsidRDefault="0037017B" w:rsidP="00094383">
      <w:pPr>
        <w:pStyle w:val="Sinespaciado1"/>
        <w:spacing w:line="276" w:lineRule="auto"/>
        <w:jc w:val="both"/>
        <w:rPr>
          <w:rFonts w:ascii="Georgia" w:hAnsi="Georgia"/>
          <w:i/>
          <w:iCs/>
          <w:sz w:val="24"/>
          <w:szCs w:val="24"/>
          <w:lang w:val="es-ES_tradnl"/>
        </w:rPr>
      </w:pPr>
      <w:r w:rsidRPr="00CF6D48">
        <w:rPr>
          <w:rFonts w:ascii="Georgia" w:hAnsi="Georgia" w:cs="Arial"/>
          <w:iCs/>
          <w:sz w:val="24"/>
          <w:szCs w:val="24"/>
          <w:lang w:val="es-ES_tradnl"/>
        </w:rPr>
        <w:t xml:space="preserve">Así razonaba </w:t>
      </w:r>
      <w:r w:rsidR="00D00FE9" w:rsidRPr="00CF6D48">
        <w:rPr>
          <w:rFonts w:ascii="Georgia" w:hAnsi="Georgia" w:cs="Arial"/>
          <w:iCs/>
          <w:sz w:val="24"/>
          <w:szCs w:val="24"/>
          <w:lang w:val="es-ES_tradnl"/>
        </w:rPr>
        <w:t>la CSJ</w:t>
      </w:r>
      <w:r w:rsidR="00D00FE9" w:rsidRPr="00CF6D48">
        <w:rPr>
          <w:rStyle w:val="Refdenotaalpie"/>
          <w:rFonts w:ascii="Georgia" w:hAnsi="Georgia"/>
          <w:iCs/>
          <w:sz w:val="24"/>
          <w:szCs w:val="24"/>
          <w:lang w:val="es-ES_tradnl"/>
        </w:rPr>
        <w:footnoteReference w:id="11"/>
      </w:r>
      <w:r w:rsidRPr="00CF6D48">
        <w:rPr>
          <w:rFonts w:ascii="Georgia" w:hAnsi="Georgia" w:cs="Arial"/>
          <w:iCs/>
          <w:sz w:val="24"/>
          <w:szCs w:val="24"/>
          <w:lang w:val="es-ES_tradnl"/>
        </w:rPr>
        <w:t xml:space="preserve"> e</w:t>
      </w:r>
      <w:r w:rsidR="00D00FE9" w:rsidRPr="00CF6D48">
        <w:rPr>
          <w:rFonts w:ascii="Georgia" w:hAnsi="Georgia" w:cs="Arial"/>
          <w:sz w:val="24"/>
          <w:szCs w:val="24"/>
          <w:lang w:val="es-ES_tradnl"/>
        </w:rPr>
        <w:t>n vigencia del CPC</w:t>
      </w:r>
      <w:r w:rsidRPr="00CF6D48">
        <w:rPr>
          <w:rFonts w:ascii="Georgia" w:hAnsi="Georgia" w:cs="Arial"/>
          <w:sz w:val="24"/>
          <w:szCs w:val="24"/>
          <w:lang w:val="es-ES_tradnl"/>
        </w:rPr>
        <w:t>,</w:t>
      </w:r>
      <w:r w:rsidR="00D00FE9" w:rsidRPr="00CF6D48">
        <w:rPr>
          <w:rFonts w:ascii="Georgia" w:hAnsi="Georgia" w:cs="Arial"/>
          <w:sz w:val="24"/>
          <w:szCs w:val="24"/>
          <w:lang w:val="es-ES_tradnl"/>
        </w:rPr>
        <w:t xml:space="preserve"> en planteamiento que conserva aplicación para el CGP, dado que la subsidiariedad del recurso de queja se mantuvo en el nuevo estatuto</w:t>
      </w:r>
      <w:r w:rsidRPr="00CF6D48">
        <w:rPr>
          <w:rFonts w:ascii="Georgia" w:hAnsi="Georgia" w:cs="Arial"/>
          <w:sz w:val="24"/>
          <w:szCs w:val="24"/>
          <w:lang w:val="es-ES_tradnl"/>
        </w:rPr>
        <w:t xml:space="preserve">; </w:t>
      </w:r>
      <w:r w:rsidR="004276EF" w:rsidRPr="00CF6D48">
        <w:rPr>
          <w:rFonts w:ascii="Georgia" w:hAnsi="Georgia" w:cs="Arial"/>
          <w:sz w:val="24"/>
          <w:szCs w:val="24"/>
          <w:lang w:val="es-ES_tradnl"/>
        </w:rPr>
        <w:t xml:space="preserve">y </w:t>
      </w:r>
      <w:r w:rsidRPr="00CF6D48">
        <w:rPr>
          <w:rFonts w:ascii="Georgia" w:hAnsi="Georgia" w:cs="Arial"/>
          <w:sz w:val="24"/>
          <w:szCs w:val="24"/>
          <w:lang w:val="es-ES_tradnl"/>
        </w:rPr>
        <w:t>ya en decisión más próxima (06-02-2017)</w:t>
      </w:r>
      <w:r w:rsidRPr="00CF6D48">
        <w:rPr>
          <w:rStyle w:val="Refdenotaalpie"/>
          <w:rFonts w:ascii="Georgia" w:hAnsi="Georgia" w:cs="Arial"/>
          <w:sz w:val="24"/>
          <w:szCs w:val="24"/>
          <w:lang w:val="es-ES_tradnl"/>
        </w:rPr>
        <w:footnoteReference w:id="12"/>
      </w:r>
      <w:r w:rsidRPr="00CF6D48">
        <w:rPr>
          <w:rFonts w:ascii="Georgia" w:hAnsi="Georgia" w:cs="Arial"/>
          <w:sz w:val="24"/>
          <w:szCs w:val="24"/>
          <w:lang w:val="es-ES_tradnl"/>
        </w:rPr>
        <w:t>,</w:t>
      </w:r>
      <w:r w:rsidR="00D00FE9" w:rsidRPr="00CF6D48">
        <w:rPr>
          <w:rFonts w:ascii="Georgia" w:hAnsi="Georgia" w:cs="Arial"/>
          <w:sz w:val="24"/>
          <w:szCs w:val="24"/>
          <w:lang w:val="es-ES_tradnl"/>
        </w:rPr>
        <w:t xml:space="preserve"> </w:t>
      </w:r>
      <w:r w:rsidRPr="00CF6D48">
        <w:rPr>
          <w:rFonts w:ascii="Georgia" w:hAnsi="Georgia" w:cs="Arial"/>
          <w:sz w:val="24"/>
          <w:szCs w:val="24"/>
          <w:lang w:val="es-ES_tradnl"/>
        </w:rPr>
        <w:t xml:space="preserve">conforme a esta última normativa, </w:t>
      </w:r>
      <w:r w:rsidR="00D00FE9" w:rsidRPr="00CF6D48">
        <w:rPr>
          <w:rFonts w:ascii="Georgia" w:hAnsi="Georgia" w:cs="Arial"/>
          <w:sz w:val="24"/>
          <w:szCs w:val="24"/>
          <w:lang w:val="es-ES_tradnl"/>
        </w:rPr>
        <w:t xml:space="preserve">señaló: </w:t>
      </w:r>
    </w:p>
    <w:p w14:paraId="4552173E" w14:textId="77777777" w:rsidR="00D00FE9" w:rsidRPr="00CF6D48" w:rsidRDefault="00D00FE9" w:rsidP="00094383">
      <w:pPr>
        <w:pStyle w:val="Sinespaciado1"/>
        <w:spacing w:line="276" w:lineRule="auto"/>
        <w:ind w:firstLine="2835"/>
        <w:jc w:val="both"/>
        <w:rPr>
          <w:rFonts w:ascii="Georgia" w:hAnsi="Georgia" w:cs="Arial"/>
          <w:iCs/>
          <w:sz w:val="24"/>
          <w:szCs w:val="24"/>
          <w:lang w:val="es-ES_tradnl"/>
        </w:rPr>
      </w:pPr>
    </w:p>
    <w:p w14:paraId="6BA3775A" w14:textId="1D93E0D4" w:rsidR="0037017B" w:rsidRPr="00CE05EB" w:rsidRDefault="0037017B" w:rsidP="00CE05EB">
      <w:pPr>
        <w:suppressAutoHyphens/>
        <w:ind w:left="426" w:right="420"/>
        <w:jc w:val="both"/>
        <w:rPr>
          <w:rFonts w:ascii="Georgia" w:hAnsi="Georgia"/>
          <w:sz w:val="22"/>
          <w:szCs w:val="24"/>
          <w:lang w:val="es-ES_tradnl"/>
        </w:rPr>
      </w:pPr>
      <w:r w:rsidRPr="00CE05EB">
        <w:rPr>
          <w:rStyle w:val="NormalCSJCar"/>
          <w:rFonts w:ascii="Georgia" w:hAnsi="Georgia"/>
          <w:sz w:val="22"/>
          <w:szCs w:val="24"/>
          <w:lang w:val="es-ES_tradnl"/>
        </w:rPr>
        <w:t xml:space="preserve">A su vez, el precepto 353 del mismo ordenamiento consagra: </w:t>
      </w:r>
      <w:r w:rsidRPr="00CE05EB">
        <w:rPr>
          <w:rStyle w:val="CitaIntraCSJCar"/>
          <w:rFonts w:ascii="Georgia" w:hAnsi="Georgia"/>
          <w:sz w:val="22"/>
          <w:lang w:val="es-ES_tradnl"/>
        </w:rPr>
        <w:t>«El recurso de queja deberá interponerse en subsidio del de reposición contra el auto que denegó la apelación o la casación, salvo cuando este sea consecuencia de la reposición interpuesta por la parte contraria, caso en el cual deberá interponerse directamente dentro de la ejecutoria</w:t>
      </w:r>
      <w:r w:rsidR="00CE05EB">
        <w:rPr>
          <w:rStyle w:val="CitaIntraCSJCar"/>
          <w:rFonts w:ascii="Georgia" w:hAnsi="Georgia"/>
          <w:sz w:val="22"/>
          <w:lang w:val="es-ES_tradnl"/>
        </w:rPr>
        <w:t xml:space="preserve"> </w:t>
      </w:r>
      <w:r w:rsidRPr="00CE05EB">
        <w:rPr>
          <w:rStyle w:val="CitaIntraCSJCar"/>
          <w:rFonts w:ascii="Georgia" w:hAnsi="Georgia"/>
          <w:sz w:val="22"/>
          <w:lang w:val="es-ES_tradnl"/>
        </w:rPr>
        <w:t>(…)».</w:t>
      </w:r>
    </w:p>
    <w:p w14:paraId="0155653C" w14:textId="77777777" w:rsidR="00CE05EB" w:rsidRDefault="00CE05EB" w:rsidP="00CE05EB">
      <w:pPr>
        <w:pStyle w:val="Sinespaciado1"/>
        <w:ind w:left="426" w:right="420"/>
        <w:jc w:val="both"/>
        <w:rPr>
          <w:rFonts w:ascii="Georgia" w:hAnsi="Georgia"/>
          <w:szCs w:val="24"/>
          <w:lang w:val="es-ES_tradnl"/>
        </w:rPr>
      </w:pPr>
    </w:p>
    <w:p w14:paraId="4B1966B9" w14:textId="2764EEC9" w:rsidR="00ED0D05" w:rsidRPr="00CE05EB" w:rsidRDefault="0037017B" w:rsidP="00CE05EB">
      <w:pPr>
        <w:pStyle w:val="Sinespaciado1"/>
        <w:ind w:left="426" w:right="420"/>
        <w:jc w:val="both"/>
        <w:rPr>
          <w:rFonts w:ascii="Georgia" w:hAnsi="Georgia"/>
          <w:szCs w:val="24"/>
          <w:lang w:val="es-ES_tradnl"/>
        </w:rPr>
      </w:pPr>
      <w:r w:rsidRPr="00CE05EB">
        <w:rPr>
          <w:rFonts w:ascii="Georgia" w:hAnsi="Georgia"/>
          <w:szCs w:val="24"/>
          <w:lang w:val="es-ES_tradnl"/>
        </w:rPr>
        <w:t>La disposición transcrita, permite inferir que</w:t>
      </w:r>
      <w:r w:rsidR="00CE05EB">
        <w:rPr>
          <w:rFonts w:ascii="Georgia" w:hAnsi="Georgia"/>
          <w:szCs w:val="24"/>
          <w:lang w:val="es-ES_tradnl"/>
        </w:rPr>
        <w:t>,</w:t>
      </w:r>
      <w:r w:rsidRPr="00CE05EB">
        <w:rPr>
          <w:rFonts w:ascii="Georgia" w:hAnsi="Georgia"/>
          <w:szCs w:val="24"/>
          <w:lang w:val="es-ES_tradnl"/>
        </w:rPr>
        <w:t xml:space="preserve"> por regla general, el mecanismo indicado </w:t>
      </w:r>
      <w:r w:rsidRPr="00CE05EB">
        <w:rPr>
          <w:rFonts w:ascii="Georgia" w:hAnsi="Georgia"/>
          <w:b/>
          <w:szCs w:val="24"/>
          <w:lang w:val="es-ES_tradnl"/>
        </w:rPr>
        <w:t>debe ser invocado de manera subsidiaria al de reposición, frente al proveído denegatorio de la apelación</w:t>
      </w:r>
      <w:r w:rsidRPr="00CE05EB">
        <w:rPr>
          <w:rFonts w:ascii="Georgia" w:hAnsi="Georgia"/>
          <w:szCs w:val="24"/>
          <w:lang w:val="es-ES_tradnl"/>
        </w:rPr>
        <w:t xml:space="preserve"> o la casación, </w:t>
      </w:r>
      <w:r w:rsidR="008C0591" w:rsidRPr="00CE05EB">
        <w:rPr>
          <w:rFonts w:ascii="Georgia" w:hAnsi="Georgia"/>
          <w:szCs w:val="24"/>
          <w:lang w:val="es-ES_tradnl"/>
        </w:rPr>
        <w:t>…</w:t>
      </w:r>
    </w:p>
    <w:p w14:paraId="3799E1F3" w14:textId="383522D9" w:rsidR="008C0591" w:rsidRPr="00CE05EB" w:rsidRDefault="008C0591" w:rsidP="00CE05EB">
      <w:pPr>
        <w:pStyle w:val="Sinespaciado1"/>
        <w:ind w:left="426" w:right="420"/>
        <w:jc w:val="both"/>
        <w:rPr>
          <w:rFonts w:ascii="Georgia" w:hAnsi="Georgia" w:cs="Arial"/>
          <w:iCs/>
          <w:szCs w:val="24"/>
          <w:lang w:val="es-ES_tradnl"/>
        </w:rPr>
      </w:pPr>
    </w:p>
    <w:p w14:paraId="6986A69C" w14:textId="16ED19E8" w:rsidR="008C0591" w:rsidRPr="00CE05EB" w:rsidRDefault="008C0591" w:rsidP="00CE05EB">
      <w:pPr>
        <w:pStyle w:val="Sinespaciado1"/>
        <w:ind w:left="426" w:right="420"/>
        <w:jc w:val="both"/>
        <w:rPr>
          <w:rFonts w:ascii="Georgia" w:hAnsi="Georgia" w:cs="Arial"/>
          <w:iCs/>
          <w:szCs w:val="24"/>
          <w:lang w:val="es-ES_tradnl"/>
        </w:rPr>
      </w:pPr>
      <w:r w:rsidRPr="00CE05EB">
        <w:rPr>
          <w:rFonts w:ascii="Georgia" w:hAnsi="Georgia" w:cs="Arial"/>
          <w:iCs/>
          <w:szCs w:val="24"/>
          <w:lang w:val="es-ES_tradnl"/>
        </w:rPr>
        <w:t xml:space="preserve">(….) </w:t>
      </w:r>
    </w:p>
    <w:p w14:paraId="210795C0" w14:textId="77777777" w:rsidR="008C0591" w:rsidRPr="00CE05EB" w:rsidRDefault="008C0591" w:rsidP="00CE05EB">
      <w:pPr>
        <w:pStyle w:val="Sinespaciado1"/>
        <w:ind w:left="426" w:right="420"/>
        <w:jc w:val="both"/>
        <w:rPr>
          <w:rFonts w:ascii="Georgia" w:hAnsi="Georgia" w:cs="Arial"/>
          <w:iCs/>
          <w:szCs w:val="24"/>
          <w:lang w:val="es-ES_tradnl"/>
        </w:rPr>
      </w:pPr>
    </w:p>
    <w:p w14:paraId="6F22E060" w14:textId="66295708" w:rsidR="008C0591" w:rsidRPr="00CE05EB" w:rsidRDefault="008C0591" w:rsidP="00CE05EB">
      <w:pPr>
        <w:pStyle w:val="Sinespaciado1"/>
        <w:ind w:left="426" w:right="420"/>
        <w:jc w:val="both"/>
        <w:rPr>
          <w:rFonts w:ascii="Georgia" w:hAnsi="Georgia"/>
          <w:szCs w:val="24"/>
          <w:lang w:val="es-ES_tradnl"/>
        </w:rPr>
      </w:pPr>
      <w:r w:rsidRPr="00CE05EB">
        <w:rPr>
          <w:rFonts w:ascii="Georgia" w:hAnsi="Georgia"/>
          <w:szCs w:val="24"/>
          <w:lang w:val="es-ES_tradnl"/>
        </w:rPr>
        <w:t xml:space="preserve">De conformidad con los lineamientos precedentes, </w:t>
      </w:r>
      <w:r w:rsidRPr="00CE05EB">
        <w:rPr>
          <w:rFonts w:ascii="Georgia" w:hAnsi="Georgia"/>
          <w:szCs w:val="24"/>
          <w:u w:val="single"/>
          <w:lang w:val="es-ES_tradnl"/>
        </w:rPr>
        <w:t>resulta inviable para la Corte resolver de fondo el recurso concedido por el Tribunal de origen, en tanto que</w:t>
      </w:r>
      <w:r w:rsidR="00CE05EB">
        <w:rPr>
          <w:rFonts w:ascii="Georgia" w:hAnsi="Georgia"/>
          <w:szCs w:val="24"/>
          <w:u w:val="single"/>
          <w:lang w:val="es-ES_tradnl"/>
        </w:rPr>
        <w:t>,</w:t>
      </w:r>
      <w:r w:rsidRPr="00CE05EB">
        <w:rPr>
          <w:rFonts w:ascii="Georgia" w:hAnsi="Georgia"/>
          <w:szCs w:val="24"/>
          <w:u w:val="single"/>
          <w:lang w:val="es-ES_tradnl"/>
        </w:rPr>
        <w:t xml:space="preserve"> revisado el trámite, no se advierte interpuesta impugnación horizontal alguna</w:t>
      </w:r>
      <w:r w:rsidRPr="00CE05EB">
        <w:rPr>
          <w:rFonts w:ascii="Georgia" w:hAnsi="Georgia"/>
          <w:szCs w:val="24"/>
          <w:lang w:val="es-ES_tradnl"/>
        </w:rPr>
        <w:t>…</w:t>
      </w:r>
      <w:r w:rsidR="00A05BFA" w:rsidRPr="00CE05EB">
        <w:rPr>
          <w:rFonts w:ascii="Georgia" w:hAnsi="Georgia"/>
          <w:szCs w:val="24"/>
          <w:lang w:val="es-ES_tradnl"/>
        </w:rPr>
        <w:t xml:space="preserve"> (</w:t>
      </w:r>
      <w:r w:rsidR="004276EF" w:rsidRPr="00CE05EB">
        <w:rPr>
          <w:rFonts w:ascii="Georgia" w:hAnsi="Georgia"/>
          <w:szCs w:val="24"/>
          <w:lang w:val="es-ES_tradnl"/>
        </w:rPr>
        <w:t xml:space="preserve">Negrillas y </w:t>
      </w:r>
      <w:proofErr w:type="spellStart"/>
      <w:r w:rsidR="004276EF" w:rsidRPr="00CE05EB">
        <w:rPr>
          <w:rFonts w:ascii="Georgia" w:hAnsi="Georgia"/>
          <w:szCs w:val="24"/>
          <w:lang w:val="es-ES_tradnl"/>
        </w:rPr>
        <w:t>s</w:t>
      </w:r>
      <w:r w:rsidR="00A05BFA" w:rsidRPr="00CE05EB">
        <w:rPr>
          <w:rFonts w:ascii="Georgia" w:hAnsi="Georgia"/>
          <w:szCs w:val="24"/>
          <w:lang w:val="es-ES_tradnl"/>
        </w:rPr>
        <w:t>ublínea</w:t>
      </w:r>
      <w:r w:rsidR="004276EF" w:rsidRPr="00CE05EB">
        <w:rPr>
          <w:rFonts w:ascii="Georgia" w:hAnsi="Georgia"/>
          <w:szCs w:val="24"/>
          <w:lang w:val="es-ES_tradnl"/>
        </w:rPr>
        <w:t>s</w:t>
      </w:r>
      <w:proofErr w:type="spellEnd"/>
      <w:r w:rsidR="00A05BFA" w:rsidRPr="00CE05EB">
        <w:rPr>
          <w:rFonts w:ascii="Georgia" w:hAnsi="Georgia"/>
          <w:szCs w:val="24"/>
          <w:lang w:val="es-ES_tradnl"/>
        </w:rPr>
        <w:t xml:space="preserve"> </w:t>
      </w:r>
      <w:r w:rsidR="002A3A14" w:rsidRPr="00CE05EB">
        <w:rPr>
          <w:rFonts w:ascii="Georgia" w:hAnsi="Georgia"/>
          <w:szCs w:val="24"/>
          <w:lang w:val="es-ES_tradnl"/>
        </w:rPr>
        <w:t>extrate</w:t>
      </w:r>
      <w:r w:rsidR="004276EF" w:rsidRPr="00CE05EB">
        <w:rPr>
          <w:rFonts w:ascii="Georgia" w:hAnsi="Georgia"/>
          <w:szCs w:val="24"/>
          <w:lang w:val="es-ES_tradnl"/>
        </w:rPr>
        <w:t>xtuales).</w:t>
      </w:r>
    </w:p>
    <w:p w14:paraId="5DB65DB0" w14:textId="77777777" w:rsidR="008C0591" w:rsidRPr="00CF6D48" w:rsidRDefault="008C0591" w:rsidP="00094383">
      <w:pPr>
        <w:pStyle w:val="Sinespaciado1"/>
        <w:spacing w:line="276" w:lineRule="auto"/>
        <w:ind w:left="567" w:right="567"/>
        <w:jc w:val="both"/>
        <w:rPr>
          <w:rFonts w:ascii="Georgia" w:hAnsi="Georgia" w:cs="Arial"/>
          <w:iCs/>
          <w:sz w:val="24"/>
          <w:szCs w:val="24"/>
          <w:lang w:val="es-ES_tradnl"/>
        </w:rPr>
      </w:pPr>
    </w:p>
    <w:p w14:paraId="1D395EBB" w14:textId="0EFFBC26" w:rsidR="00ED0D05" w:rsidRPr="00CF6D48" w:rsidRDefault="00ED0D05" w:rsidP="00094383">
      <w:pPr>
        <w:pStyle w:val="Sinespaciado1"/>
        <w:spacing w:line="276" w:lineRule="auto"/>
        <w:jc w:val="both"/>
        <w:rPr>
          <w:rFonts w:ascii="Georgia" w:hAnsi="Georgia" w:cs="Arial"/>
          <w:sz w:val="24"/>
          <w:szCs w:val="24"/>
          <w:lang w:val="es-ES_tradnl"/>
        </w:rPr>
      </w:pPr>
      <w:bookmarkStart w:id="3" w:name="_Hlk71019877"/>
      <w:r w:rsidRPr="00CF6D48">
        <w:rPr>
          <w:rFonts w:ascii="Georgia" w:hAnsi="Georgia" w:cs="Arial"/>
          <w:sz w:val="24"/>
          <w:szCs w:val="24"/>
          <w:lang w:val="es-ES_tradnl"/>
        </w:rPr>
        <w:t>De</w:t>
      </w:r>
      <w:r w:rsidR="008C0591" w:rsidRPr="00CF6D48">
        <w:rPr>
          <w:rFonts w:ascii="Georgia" w:hAnsi="Georgia" w:cs="Arial"/>
          <w:sz w:val="24"/>
          <w:szCs w:val="24"/>
          <w:lang w:val="es-ES_tradnl"/>
        </w:rPr>
        <w:t xml:space="preserve">scendiendo al caso, </w:t>
      </w:r>
      <w:r w:rsidRPr="00CF6D48">
        <w:rPr>
          <w:rFonts w:ascii="Georgia" w:hAnsi="Georgia" w:cs="Arial"/>
          <w:sz w:val="24"/>
          <w:szCs w:val="24"/>
          <w:lang w:val="es-ES_tradnl"/>
        </w:rPr>
        <w:t>sin duda se advierte que el impugnante omitió la formulación del recurso principal, que debía incoar, pues directamente impetró el recurso de queja</w:t>
      </w:r>
      <w:r w:rsidR="004276EF" w:rsidRPr="00CF6D48">
        <w:rPr>
          <w:rFonts w:ascii="Georgia" w:hAnsi="Georgia" w:cs="Arial"/>
          <w:sz w:val="24"/>
          <w:szCs w:val="24"/>
          <w:lang w:val="es-ES_tradnl"/>
        </w:rPr>
        <w:t xml:space="preserve"> (Carpeta 1a instancia, archivo 04, folios 1-2)</w:t>
      </w:r>
      <w:r w:rsidRPr="00CF6D48">
        <w:rPr>
          <w:rFonts w:ascii="Georgia" w:hAnsi="Georgia" w:cs="Arial"/>
          <w:sz w:val="24"/>
          <w:szCs w:val="24"/>
          <w:lang w:val="es-ES_tradnl"/>
        </w:rPr>
        <w:t>, cuando debió interponer primero reposición contra el auto que denegó la apelación</w:t>
      </w:r>
      <w:bookmarkEnd w:id="3"/>
      <w:r w:rsidR="004276EF" w:rsidRPr="00CF6D48">
        <w:rPr>
          <w:rFonts w:ascii="Georgia" w:hAnsi="Georgia" w:cs="Arial"/>
          <w:sz w:val="24"/>
          <w:szCs w:val="24"/>
          <w:lang w:val="es-ES_tradnl"/>
        </w:rPr>
        <w:t xml:space="preserve">; evidente refulge </w:t>
      </w:r>
      <w:r w:rsidRPr="00CF6D48">
        <w:rPr>
          <w:rFonts w:ascii="Georgia" w:hAnsi="Georgia" w:cs="Arial"/>
          <w:sz w:val="24"/>
          <w:szCs w:val="24"/>
          <w:lang w:val="es-ES_tradnl"/>
        </w:rPr>
        <w:t xml:space="preserve">el </w:t>
      </w:r>
      <w:r w:rsidRPr="00CF6D48">
        <w:rPr>
          <w:rFonts w:ascii="Georgia" w:hAnsi="Georgia" w:cs="Arial"/>
          <w:i/>
          <w:iCs/>
          <w:sz w:val="24"/>
          <w:szCs w:val="24"/>
          <w:lang w:val="es-ES_tradnl"/>
        </w:rPr>
        <w:t xml:space="preserve">incumplimiento de la </w:t>
      </w:r>
      <w:r w:rsidR="46D90242" w:rsidRPr="00CF6D48">
        <w:rPr>
          <w:rFonts w:ascii="Georgia" w:hAnsi="Georgia" w:cs="Arial"/>
          <w:i/>
          <w:iCs/>
          <w:sz w:val="24"/>
          <w:szCs w:val="24"/>
          <w:lang w:val="es-ES_tradnl"/>
        </w:rPr>
        <w:t>tempestividad</w:t>
      </w:r>
      <w:r w:rsidRPr="00CF6D48">
        <w:rPr>
          <w:rFonts w:ascii="Georgia" w:hAnsi="Georgia" w:cs="Arial"/>
          <w:sz w:val="24"/>
          <w:szCs w:val="24"/>
          <w:lang w:val="es-ES_tradnl"/>
        </w:rPr>
        <w:t xml:space="preserve">, ya que se saltó el paso inicial establecido en la norma adjetiva, </w:t>
      </w:r>
      <w:r w:rsidR="69B3A810" w:rsidRPr="00CF6D48">
        <w:rPr>
          <w:rFonts w:ascii="Georgia" w:hAnsi="Georgia" w:cs="Arial"/>
          <w:sz w:val="24"/>
          <w:szCs w:val="24"/>
          <w:lang w:val="es-ES_tradnl"/>
        </w:rPr>
        <w:t xml:space="preserve">suficiente para obstruir </w:t>
      </w:r>
      <w:r w:rsidRPr="00CF6D48">
        <w:rPr>
          <w:rFonts w:ascii="Georgia" w:hAnsi="Georgia" w:cs="Arial"/>
          <w:sz w:val="24"/>
          <w:szCs w:val="24"/>
          <w:lang w:val="es-ES_tradnl"/>
        </w:rPr>
        <w:t xml:space="preserve">el estudio </w:t>
      </w:r>
      <w:r w:rsidR="60158260" w:rsidRPr="00CF6D48">
        <w:rPr>
          <w:rFonts w:ascii="Georgia" w:hAnsi="Georgia" w:cs="Arial"/>
          <w:sz w:val="24"/>
          <w:szCs w:val="24"/>
          <w:lang w:val="es-ES_tradnl"/>
        </w:rPr>
        <w:t xml:space="preserve">de </w:t>
      </w:r>
      <w:r w:rsidRPr="00CF6D48">
        <w:rPr>
          <w:rFonts w:ascii="Georgia" w:hAnsi="Georgia" w:cs="Arial"/>
          <w:sz w:val="24"/>
          <w:szCs w:val="24"/>
          <w:lang w:val="es-ES_tradnl"/>
        </w:rPr>
        <w:t>este estrado judicial.</w:t>
      </w:r>
    </w:p>
    <w:p w14:paraId="3CF3E21B" w14:textId="77777777" w:rsidR="00ED0D05" w:rsidRPr="00CF6D48" w:rsidRDefault="00ED0D05" w:rsidP="00094383">
      <w:pPr>
        <w:spacing w:line="276" w:lineRule="auto"/>
        <w:ind w:right="567"/>
        <w:jc w:val="both"/>
        <w:rPr>
          <w:rFonts w:ascii="Georgia" w:hAnsi="Georgia" w:cs="Arial"/>
          <w:sz w:val="24"/>
          <w:szCs w:val="24"/>
          <w:lang w:val="es-ES_tradnl"/>
        </w:rPr>
      </w:pPr>
    </w:p>
    <w:p w14:paraId="73360C28" w14:textId="0E071FDC" w:rsidR="00ED0D05" w:rsidRPr="00CF6D48" w:rsidRDefault="00ED0D05" w:rsidP="00094383">
      <w:pPr>
        <w:pStyle w:val="Textopredeterminado"/>
        <w:spacing w:line="276" w:lineRule="auto"/>
        <w:jc w:val="both"/>
        <w:rPr>
          <w:rFonts w:ascii="Georgia" w:hAnsi="Georgia" w:cs="Arial"/>
          <w:color w:val="auto"/>
          <w:lang w:val="es-ES_tradnl"/>
        </w:rPr>
      </w:pPr>
      <w:r w:rsidRPr="00CF6D48">
        <w:rPr>
          <w:rFonts w:ascii="Georgia" w:hAnsi="Georgia" w:cs="Arial"/>
          <w:color w:val="auto"/>
          <w:lang w:val="es-ES_tradnl"/>
        </w:rPr>
        <w:t xml:space="preserve">Así </w:t>
      </w:r>
      <w:r w:rsidR="758A8088" w:rsidRPr="00CF6D48">
        <w:rPr>
          <w:rFonts w:ascii="Georgia" w:hAnsi="Georgia" w:cs="Arial"/>
          <w:color w:val="auto"/>
          <w:lang w:val="es-ES_tradnl"/>
        </w:rPr>
        <w:t xml:space="preserve">se </w:t>
      </w:r>
      <w:r w:rsidR="004276EF" w:rsidRPr="00CF6D48">
        <w:rPr>
          <w:rFonts w:ascii="Georgia" w:hAnsi="Georgia" w:cs="Arial"/>
          <w:color w:val="auto"/>
          <w:lang w:val="es-ES_tradnl"/>
        </w:rPr>
        <w:t>colige</w:t>
      </w:r>
      <w:r w:rsidRPr="00CF6D48">
        <w:rPr>
          <w:rFonts w:ascii="Georgia" w:hAnsi="Georgia" w:cs="Arial"/>
          <w:color w:val="auto"/>
          <w:lang w:val="es-ES_tradnl"/>
        </w:rPr>
        <w:t xml:space="preserve">, </w:t>
      </w:r>
      <w:r w:rsidR="1DFA7348" w:rsidRPr="00CF6D48">
        <w:rPr>
          <w:rFonts w:ascii="Georgia" w:hAnsi="Georgia" w:cs="Arial"/>
          <w:color w:val="auto"/>
          <w:lang w:val="es-ES_tradnl"/>
        </w:rPr>
        <w:t xml:space="preserve">por </w:t>
      </w:r>
      <w:r w:rsidRPr="00CF6D48">
        <w:rPr>
          <w:rFonts w:ascii="Georgia" w:hAnsi="Georgia" w:cs="Arial"/>
          <w:color w:val="auto"/>
          <w:lang w:val="es-ES_tradnl"/>
        </w:rPr>
        <w:t>los diferentes doctrinarios patrios</w:t>
      </w:r>
      <w:r w:rsidRPr="00CF6D48">
        <w:rPr>
          <w:rStyle w:val="Refdenotaalpie"/>
          <w:rFonts w:ascii="Georgia" w:hAnsi="Georgia"/>
          <w:color w:val="auto"/>
          <w:lang w:val="es-ES_tradnl"/>
        </w:rPr>
        <w:footnoteReference w:id="13"/>
      </w:r>
      <w:r w:rsidRPr="00CF6D48">
        <w:rPr>
          <w:rFonts w:ascii="Georgia" w:hAnsi="Georgia" w:cs="Arial"/>
          <w:color w:val="auto"/>
          <w:vertAlign w:val="superscript"/>
          <w:lang w:val="es-ES_tradnl"/>
        </w:rPr>
        <w:t>-</w:t>
      </w:r>
      <w:r w:rsidRPr="00CF6D48">
        <w:rPr>
          <w:rStyle w:val="Refdenotaalpie"/>
          <w:rFonts w:ascii="Georgia" w:hAnsi="Georgia"/>
          <w:color w:val="auto"/>
          <w:lang w:val="es-ES_tradnl"/>
        </w:rPr>
        <w:footnoteReference w:id="14"/>
      </w:r>
      <w:r w:rsidRPr="00CF6D48">
        <w:rPr>
          <w:rFonts w:ascii="Georgia" w:hAnsi="Georgia" w:cs="Arial"/>
          <w:color w:val="auto"/>
          <w:lang w:val="es-ES_tradnl"/>
        </w:rPr>
        <w:t>, al referirse a la oportunidad y forma de interponer el recurso de queja</w:t>
      </w:r>
      <w:r w:rsidR="00064B59" w:rsidRPr="00CF6D48">
        <w:rPr>
          <w:rFonts w:ascii="Georgia" w:hAnsi="Georgia" w:cs="Arial"/>
          <w:color w:val="auto"/>
          <w:lang w:val="es-ES_tradnl"/>
        </w:rPr>
        <w:t>.</w:t>
      </w:r>
      <w:r w:rsidRPr="00CF6D48">
        <w:rPr>
          <w:rFonts w:ascii="Georgia" w:hAnsi="Georgia" w:cs="Arial"/>
          <w:color w:val="auto"/>
          <w:lang w:val="es-ES_tradnl"/>
        </w:rPr>
        <w:t xml:space="preserve"> </w:t>
      </w:r>
      <w:r w:rsidR="00064B59" w:rsidRPr="00CF6D48">
        <w:rPr>
          <w:rFonts w:ascii="Georgia" w:hAnsi="Georgia" w:cs="Arial"/>
          <w:color w:val="auto"/>
          <w:lang w:val="es-ES_tradnl"/>
        </w:rPr>
        <w:t xml:space="preserve">En </w:t>
      </w:r>
      <w:r w:rsidRPr="00CF6D48">
        <w:rPr>
          <w:rFonts w:ascii="Georgia" w:hAnsi="Georgia" w:cs="Arial"/>
          <w:color w:val="auto"/>
          <w:lang w:val="es-ES_tradnl"/>
        </w:rPr>
        <w:t>palabras del profesor Rojas G.</w:t>
      </w:r>
      <w:r w:rsidRPr="00CF6D48">
        <w:rPr>
          <w:rStyle w:val="Refdenotaalpie"/>
          <w:rFonts w:ascii="Georgia" w:hAnsi="Georgia"/>
          <w:color w:val="auto"/>
          <w:lang w:val="es-ES_tradnl"/>
        </w:rPr>
        <w:footnoteReference w:id="15"/>
      </w:r>
      <w:r w:rsidRPr="00CF6D48">
        <w:rPr>
          <w:rFonts w:ascii="Georgia" w:hAnsi="Georgia" w:cs="Arial"/>
          <w:color w:val="auto"/>
          <w:lang w:val="es-ES_tradnl"/>
        </w:rPr>
        <w:t xml:space="preserve">: </w:t>
      </w:r>
      <w:r w:rsidRPr="00CF6D48">
        <w:rPr>
          <w:rFonts w:ascii="Georgia" w:hAnsi="Georgia" w:cs="Arial"/>
          <w:i/>
          <w:iCs/>
          <w:color w:val="auto"/>
          <w:lang w:val="es-ES_tradnl"/>
        </w:rPr>
        <w:t>“</w:t>
      </w:r>
      <w:r w:rsidRPr="00CE05EB">
        <w:rPr>
          <w:rFonts w:ascii="Georgia" w:hAnsi="Georgia" w:cs="Arial"/>
          <w:i/>
          <w:iCs/>
          <w:color w:val="auto"/>
          <w:sz w:val="22"/>
          <w:lang w:val="es-ES_tradnl"/>
        </w:rPr>
        <w:t xml:space="preserve">(…) la queja debe interponerse como subsidiaria de la reposición contra el auto que deniegue el </w:t>
      </w:r>
      <w:r w:rsidRPr="00CE05EB">
        <w:rPr>
          <w:rFonts w:ascii="Georgia" w:hAnsi="Georgia" w:cs="Arial"/>
          <w:i/>
          <w:iCs/>
          <w:color w:val="auto"/>
          <w:sz w:val="22"/>
          <w:lang w:val="es-ES_tradnl"/>
        </w:rPr>
        <w:lastRenderedPageBreak/>
        <w:t>“recurso anhelado” (CGP, art.353-1), lo que implica que queja y reposición deben formularse conjunta y simultáneamente (...)</w:t>
      </w:r>
      <w:r w:rsidRPr="00CF6D48">
        <w:rPr>
          <w:rFonts w:ascii="Georgia" w:hAnsi="Georgia" w:cs="Arial"/>
          <w:i/>
          <w:iCs/>
          <w:color w:val="auto"/>
          <w:lang w:val="es-ES_tradnl"/>
        </w:rPr>
        <w:t>”.</w:t>
      </w:r>
      <w:r w:rsidR="00457FA5" w:rsidRPr="00CF6D48">
        <w:rPr>
          <w:rFonts w:ascii="Georgia" w:hAnsi="Georgia" w:cs="Arial"/>
          <w:color w:val="auto"/>
          <w:lang w:val="es-ES_tradnl"/>
        </w:rPr>
        <w:t xml:space="preserve"> En ese orden de idea</w:t>
      </w:r>
      <w:r w:rsidR="004B0DAC" w:rsidRPr="00CF6D48">
        <w:rPr>
          <w:rFonts w:ascii="Georgia" w:hAnsi="Georgia" w:cs="Arial"/>
          <w:color w:val="auto"/>
          <w:lang w:val="es-ES_tradnl"/>
        </w:rPr>
        <w:t>s</w:t>
      </w:r>
      <w:r w:rsidR="0039148D" w:rsidRPr="00CF6D48">
        <w:rPr>
          <w:rFonts w:ascii="Georgia" w:hAnsi="Georgia" w:cs="Arial"/>
          <w:color w:val="auto"/>
          <w:lang w:val="es-ES_tradnl"/>
        </w:rPr>
        <w:t xml:space="preserve">, </w:t>
      </w:r>
      <w:r w:rsidR="0039148D" w:rsidRPr="00CF6D48">
        <w:rPr>
          <w:rFonts w:ascii="Georgia" w:hAnsi="Georgia" w:cs="Arial"/>
          <w:b/>
          <w:bCs/>
          <w:color w:val="auto"/>
          <w:lang w:val="es-ES_tradnl"/>
        </w:rPr>
        <w:t>es inadmisible</w:t>
      </w:r>
      <w:r w:rsidR="56F9C6BB" w:rsidRPr="00CF6D48">
        <w:rPr>
          <w:rFonts w:ascii="Georgia" w:hAnsi="Georgia" w:cs="Arial"/>
          <w:b/>
          <w:bCs/>
          <w:color w:val="auto"/>
          <w:lang w:val="es-ES_tradnl"/>
        </w:rPr>
        <w:t>,</w:t>
      </w:r>
      <w:r w:rsidR="0039148D" w:rsidRPr="00CF6D48">
        <w:rPr>
          <w:rFonts w:ascii="Georgia" w:hAnsi="Georgia" w:cs="Arial"/>
          <w:b/>
          <w:bCs/>
          <w:color w:val="auto"/>
          <w:lang w:val="es-ES_tradnl"/>
        </w:rPr>
        <w:t xml:space="preserve"> </w:t>
      </w:r>
      <w:r w:rsidR="004276EF" w:rsidRPr="00CF6D48">
        <w:rPr>
          <w:rFonts w:ascii="Georgia" w:hAnsi="Georgia" w:cs="Arial"/>
          <w:b/>
          <w:bCs/>
          <w:color w:val="auto"/>
          <w:lang w:val="es-ES_tradnl"/>
        </w:rPr>
        <w:t xml:space="preserve">por </w:t>
      </w:r>
      <w:r w:rsidR="660D5EA0" w:rsidRPr="00CF6D48">
        <w:rPr>
          <w:rFonts w:ascii="Georgia" w:hAnsi="Georgia" w:cs="Arial"/>
          <w:b/>
          <w:bCs/>
          <w:color w:val="auto"/>
          <w:lang w:val="es-ES_tradnl"/>
        </w:rPr>
        <w:t>extemp</w:t>
      </w:r>
      <w:r w:rsidR="4501D35E" w:rsidRPr="00CF6D48">
        <w:rPr>
          <w:rFonts w:ascii="Georgia" w:hAnsi="Georgia" w:cs="Arial"/>
          <w:b/>
          <w:bCs/>
          <w:color w:val="auto"/>
          <w:lang w:val="es-ES_tradnl"/>
        </w:rPr>
        <w:t>o</w:t>
      </w:r>
      <w:r w:rsidR="660D5EA0" w:rsidRPr="00CF6D48">
        <w:rPr>
          <w:rFonts w:ascii="Georgia" w:hAnsi="Georgia" w:cs="Arial"/>
          <w:b/>
          <w:bCs/>
          <w:color w:val="auto"/>
          <w:lang w:val="es-ES_tradnl"/>
        </w:rPr>
        <w:t>r</w:t>
      </w:r>
      <w:r w:rsidR="1FBA27A5" w:rsidRPr="00CF6D48">
        <w:rPr>
          <w:rFonts w:ascii="Georgia" w:hAnsi="Georgia" w:cs="Arial"/>
          <w:b/>
          <w:bCs/>
          <w:color w:val="auto"/>
          <w:lang w:val="es-ES_tradnl"/>
        </w:rPr>
        <w:t>ánea</w:t>
      </w:r>
      <w:r w:rsidR="660D5EA0" w:rsidRPr="00CF6D48">
        <w:rPr>
          <w:rFonts w:ascii="Georgia" w:hAnsi="Georgia" w:cs="Arial"/>
          <w:b/>
          <w:bCs/>
          <w:color w:val="auto"/>
          <w:lang w:val="es-ES_tradnl"/>
        </w:rPr>
        <w:t xml:space="preserve"> </w:t>
      </w:r>
      <w:r w:rsidR="0039148D" w:rsidRPr="00CF6D48">
        <w:rPr>
          <w:rFonts w:ascii="Georgia" w:hAnsi="Georgia" w:cs="Arial"/>
          <w:b/>
          <w:bCs/>
          <w:color w:val="auto"/>
          <w:lang w:val="es-ES_tradnl"/>
        </w:rPr>
        <w:t>la impugnación propuesta</w:t>
      </w:r>
      <w:r w:rsidR="0039148D" w:rsidRPr="00CF6D48">
        <w:rPr>
          <w:rFonts w:ascii="Georgia" w:hAnsi="Georgia" w:cs="Arial"/>
          <w:color w:val="auto"/>
          <w:lang w:val="es-ES_tradnl"/>
        </w:rPr>
        <w:t>.</w:t>
      </w:r>
    </w:p>
    <w:p w14:paraId="425DF4C4" w14:textId="77777777" w:rsidR="00FD7D4F" w:rsidRPr="00CF6D48" w:rsidRDefault="00FD7D4F" w:rsidP="00094383">
      <w:pPr>
        <w:pStyle w:val="Textopredeterminado"/>
        <w:spacing w:line="276" w:lineRule="auto"/>
        <w:jc w:val="both"/>
        <w:rPr>
          <w:rFonts w:ascii="Georgia" w:hAnsi="Georgia" w:cs="Arial"/>
          <w:color w:val="auto"/>
          <w:lang w:val="es-ES_tradnl"/>
        </w:rPr>
      </w:pPr>
    </w:p>
    <w:p w14:paraId="10B8F26A" w14:textId="6CCC946A" w:rsidR="003918CD" w:rsidRPr="00CF6D48" w:rsidRDefault="00FC7FD5" w:rsidP="00094383">
      <w:pPr>
        <w:pStyle w:val="Textopredeterminado"/>
        <w:spacing w:line="276" w:lineRule="auto"/>
        <w:jc w:val="both"/>
        <w:rPr>
          <w:rFonts w:ascii="Georgia" w:hAnsi="Georgia" w:cs="Arial"/>
          <w:color w:val="auto"/>
          <w:lang w:val="es-ES_tradnl"/>
        </w:rPr>
      </w:pPr>
      <w:r w:rsidRPr="00CF6D48">
        <w:rPr>
          <w:rFonts w:ascii="Georgia" w:hAnsi="Georgia" w:cs="Arial"/>
          <w:color w:val="auto"/>
          <w:lang w:val="es-ES_tradnl"/>
        </w:rPr>
        <w:t>Con todo, si en gracia de discusión</w:t>
      </w:r>
      <w:r w:rsidR="004276EF" w:rsidRPr="00CF6D48">
        <w:rPr>
          <w:rFonts w:ascii="Georgia" w:hAnsi="Georgia" w:cs="Arial"/>
          <w:color w:val="auto"/>
          <w:lang w:val="es-ES_tradnl"/>
        </w:rPr>
        <w:t>,</w:t>
      </w:r>
      <w:r w:rsidRPr="00CF6D48">
        <w:rPr>
          <w:rFonts w:ascii="Georgia" w:hAnsi="Georgia" w:cs="Arial"/>
          <w:color w:val="auto"/>
          <w:lang w:val="es-ES_tradnl"/>
        </w:rPr>
        <w:t xml:space="preserve"> se considerara atendido el </w:t>
      </w:r>
      <w:r w:rsidR="2ECB3F18" w:rsidRPr="00CF6D48">
        <w:rPr>
          <w:rFonts w:ascii="Georgia" w:hAnsi="Georgia" w:cs="Arial"/>
          <w:color w:val="auto"/>
          <w:lang w:val="es-ES_tradnl"/>
        </w:rPr>
        <w:t xml:space="preserve">factor </w:t>
      </w:r>
      <w:r w:rsidRPr="00CF6D48">
        <w:rPr>
          <w:rFonts w:ascii="Georgia" w:hAnsi="Georgia" w:cs="Arial"/>
          <w:color w:val="auto"/>
          <w:lang w:val="es-ES_tradnl"/>
        </w:rPr>
        <w:t xml:space="preserve">reseñado, tampoco podría resolverse de fondo, puesto que </w:t>
      </w:r>
      <w:r w:rsidRPr="00CF6D48">
        <w:rPr>
          <w:rFonts w:ascii="Georgia" w:hAnsi="Georgia" w:cs="Arial"/>
          <w:i/>
          <w:iCs/>
          <w:color w:val="auto"/>
          <w:u w:val="single"/>
          <w:lang w:val="es-ES_tradnl"/>
        </w:rPr>
        <w:t>el recurrente pretirió sustentarla</w:t>
      </w:r>
      <w:r w:rsidRPr="00CF6D48">
        <w:rPr>
          <w:rFonts w:ascii="Georgia" w:hAnsi="Georgia" w:cs="Arial"/>
          <w:color w:val="auto"/>
          <w:lang w:val="es-ES_tradnl"/>
        </w:rPr>
        <w:t xml:space="preserve">. </w:t>
      </w:r>
      <w:r w:rsidR="00BC30E1" w:rsidRPr="00CF6D48">
        <w:rPr>
          <w:rFonts w:ascii="Georgia" w:hAnsi="Georgia" w:cs="Arial"/>
          <w:color w:val="auto"/>
          <w:lang w:val="es-ES_tradnl"/>
        </w:rPr>
        <w:t xml:space="preserve">No </w:t>
      </w:r>
      <w:r w:rsidR="006F5528" w:rsidRPr="00CF6D48">
        <w:rPr>
          <w:rFonts w:ascii="Georgia" w:hAnsi="Georgia" w:cs="Arial"/>
          <w:color w:val="auto"/>
          <w:lang w:val="es-ES_tradnl"/>
        </w:rPr>
        <w:t>puede perderse de vista que</w:t>
      </w:r>
      <w:r w:rsidR="00BC30E1" w:rsidRPr="00CF6D48">
        <w:rPr>
          <w:rFonts w:ascii="Georgia" w:hAnsi="Georgia" w:cs="Arial"/>
          <w:color w:val="auto"/>
          <w:lang w:val="es-ES_tradnl"/>
        </w:rPr>
        <w:t xml:space="preserve">, la finalidad del recurso de queja </w:t>
      </w:r>
      <w:r w:rsidR="006F5528" w:rsidRPr="00CF6D48">
        <w:rPr>
          <w:rFonts w:ascii="Georgia" w:hAnsi="Georgia" w:cs="Arial"/>
          <w:color w:val="auto"/>
          <w:lang w:val="es-ES_tradnl"/>
        </w:rPr>
        <w:t xml:space="preserve">es: </w:t>
      </w:r>
      <w:r w:rsidR="006F5528" w:rsidRPr="00CF6D48">
        <w:rPr>
          <w:rFonts w:ascii="Georgia" w:hAnsi="Georgia" w:cs="Arial"/>
          <w:i/>
          <w:iCs/>
          <w:color w:val="auto"/>
          <w:lang w:val="es-ES_tradnl"/>
        </w:rPr>
        <w:t>“</w:t>
      </w:r>
      <w:r w:rsidR="006F5528" w:rsidRPr="00CE05EB">
        <w:rPr>
          <w:rFonts w:ascii="Georgia" w:hAnsi="Georgia" w:cs="Arial"/>
          <w:i/>
          <w:iCs/>
          <w:color w:val="auto"/>
          <w:sz w:val="22"/>
          <w:lang w:val="es-ES_tradnl"/>
        </w:rPr>
        <w:t>(…) corregir los errores en que haya incurrido el funcionario inferior cuando niega la concesión de los recursos de apelación o casación con el fin de que el superior pueda pronunciarse acerca de la legalidad y acierto de tales determinaciones (…)</w:t>
      </w:r>
      <w:r w:rsidR="006F5528" w:rsidRPr="00CF6D48">
        <w:rPr>
          <w:rFonts w:ascii="Georgia" w:hAnsi="Georgia" w:cs="Arial"/>
          <w:i/>
          <w:iCs/>
          <w:color w:val="auto"/>
          <w:lang w:val="es-ES_tradnl"/>
        </w:rPr>
        <w:t>”</w:t>
      </w:r>
      <w:r w:rsidR="00C545C3" w:rsidRPr="00CF6D48">
        <w:rPr>
          <w:rStyle w:val="Refdenotaalpie"/>
          <w:rFonts w:ascii="Georgia" w:hAnsi="Georgia" w:cs="Arial"/>
          <w:i/>
          <w:iCs/>
          <w:color w:val="auto"/>
          <w:lang w:val="es-ES_tradnl"/>
        </w:rPr>
        <w:footnoteReference w:id="16"/>
      </w:r>
      <w:r w:rsidR="00064B59" w:rsidRPr="00CF6D48">
        <w:rPr>
          <w:rFonts w:ascii="Georgia" w:hAnsi="Georgia" w:cs="Arial"/>
          <w:color w:val="auto"/>
          <w:lang w:val="es-ES_tradnl"/>
        </w:rPr>
        <w:t>,</w:t>
      </w:r>
      <w:r w:rsidR="00875C10" w:rsidRPr="00CF6D48">
        <w:rPr>
          <w:rFonts w:ascii="Georgia" w:hAnsi="Georgia" w:cs="Arial"/>
          <w:color w:val="auto"/>
          <w:lang w:val="es-ES_tradnl"/>
        </w:rPr>
        <w:t xml:space="preserve"> entonces</w:t>
      </w:r>
      <w:r w:rsidR="008819CB" w:rsidRPr="00CF6D48">
        <w:rPr>
          <w:rFonts w:ascii="Georgia" w:hAnsi="Georgia" w:cs="Arial"/>
          <w:color w:val="auto"/>
          <w:lang w:val="es-ES_tradnl"/>
        </w:rPr>
        <w:t>,</w:t>
      </w:r>
      <w:r w:rsidR="00875C10" w:rsidRPr="00CF6D48">
        <w:rPr>
          <w:rFonts w:ascii="Georgia" w:hAnsi="Georgia" w:cs="Arial"/>
          <w:color w:val="auto"/>
          <w:lang w:val="es-ES_tradnl"/>
        </w:rPr>
        <w:t xml:space="preserve"> </w:t>
      </w:r>
      <w:r w:rsidR="00875C10" w:rsidRPr="00CF6D48">
        <w:rPr>
          <w:rFonts w:ascii="Georgia" w:hAnsi="Georgia" w:cs="Arial"/>
          <w:color w:val="auto"/>
          <w:u w:val="single"/>
          <w:lang w:val="es-ES_tradnl"/>
        </w:rPr>
        <w:t>la sustentación deb</w:t>
      </w:r>
      <w:r w:rsidR="00064B59" w:rsidRPr="00CF6D48">
        <w:rPr>
          <w:rFonts w:ascii="Georgia" w:hAnsi="Georgia" w:cs="Arial"/>
          <w:color w:val="auto"/>
          <w:u w:val="single"/>
          <w:lang w:val="es-ES_tradnl"/>
        </w:rPr>
        <w:t>ía i</w:t>
      </w:r>
      <w:r w:rsidR="00875C10" w:rsidRPr="00CF6D48">
        <w:rPr>
          <w:rFonts w:ascii="Georgia" w:hAnsi="Georgia" w:cs="Arial"/>
          <w:color w:val="auto"/>
          <w:u w:val="single"/>
          <w:lang w:val="es-ES_tradnl"/>
        </w:rPr>
        <w:t xml:space="preserve">r encaminada a explicar por qué </w:t>
      </w:r>
      <w:r w:rsidR="00064B59" w:rsidRPr="00CF6D48">
        <w:rPr>
          <w:rFonts w:ascii="Georgia" w:hAnsi="Georgia" w:cs="Arial"/>
          <w:color w:val="auto"/>
          <w:u w:val="single"/>
          <w:lang w:val="es-ES_tradnl"/>
        </w:rPr>
        <w:t xml:space="preserve">hubo de </w:t>
      </w:r>
      <w:r w:rsidR="005A0E1D" w:rsidRPr="00CF6D48">
        <w:rPr>
          <w:rFonts w:ascii="Georgia" w:hAnsi="Georgia" w:cs="Arial"/>
          <w:color w:val="auto"/>
          <w:u w:val="single"/>
          <w:lang w:val="es-ES_tradnl"/>
        </w:rPr>
        <w:t>conceder</w:t>
      </w:r>
      <w:r w:rsidR="00064B59" w:rsidRPr="00CF6D48">
        <w:rPr>
          <w:rFonts w:ascii="Georgia" w:hAnsi="Georgia" w:cs="Arial"/>
          <w:color w:val="auto"/>
          <w:u w:val="single"/>
          <w:lang w:val="es-ES_tradnl"/>
        </w:rPr>
        <w:t>se</w:t>
      </w:r>
      <w:r w:rsidR="005A0E1D" w:rsidRPr="00CF6D48">
        <w:rPr>
          <w:rFonts w:ascii="Georgia" w:hAnsi="Georgia" w:cs="Arial"/>
          <w:color w:val="auto"/>
          <w:u w:val="single"/>
          <w:lang w:val="es-ES_tradnl"/>
        </w:rPr>
        <w:t xml:space="preserve"> la alzada reclamada</w:t>
      </w:r>
      <w:r w:rsidRPr="00CF6D48">
        <w:rPr>
          <w:rFonts w:ascii="Georgia" w:hAnsi="Georgia" w:cs="Arial"/>
          <w:color w:val="auto"/>
          <w:u w:val="single"/>
          <w:lang w:val="es-ES_tradnl"/>
        </w:rPr>
        <w:t>.</w:t>
      </w:r>
    </w:p>
    <w:p w14:paraId="10B8F273" w14:textId="77777777" w:rsidR="00264C32" w:rsidRPr="00CF6D48" w:rsidRDefault="00264C32" w:rsidP="00094383">
      <w:pPr>
        <w:pStyle w:val="Prrafodelista"/>
        <w:overflowPunct w:val="0"/>
        <w:autoSpaceDE w:val="0"/>
        <w:autoSpaceDN w:val="0"/>
        <w:adjustRightInd w:val="0"/>
        <w:spacing w:line="276" w:lineRule="auto"/>
        <w:ind w:left="0"/>
        <w:contextualSpacing/>
        <w:jc w:val="both"/>
        <w:textAlignment w:val="baseline"/>
        <w:rPr>
          <w:rFonts w:ascii="Georgia" w:hAnsi="Georgia" w:cs="Arial"/>
          <w:sz w:val="24"/>
          <w:szCs w:val="24"/>
          <w:lang w:val="es-ES_tradnl"/>
        </w:rPr>
      </w:pPr>
    </w:p>
    <w:p w14:paraId="10B8F274" w14:textId="134F1103" w:rsidR="000E35DB" w:rsidRPr="00CF6D48" w:rsidRDefault="000E35DB" w:rsidP="00094383">
      <w:pPr>
        <w:pStyle w:val="Sinespaciado"/>
        <w:spacing w:line="276" w:lineRule="auto"/>
        <w:jc w:val="both"/>
        <w:rPr>
          <w:rFonts w:ascii="Georgia" w:hAnsi="Georgia" w:cs="Arial"/>
          <w:sz w:val="24"/>
          <w:szCs w:val="24"/>
          <w:lang w:val="es-ES_tradnl"/>
        </w:rPr>
      </w:pPr>
      <w:r w:rsidRPr="00CF6D48">
        <w:rPr>
          <w:rFonts w:ascii="Georgia" w:hAnsi="Georgia" w:cs="Arial"/>
          <w:sz w:val="24"/>
          <w:szCs w:val="24"/>
          <w:lang w:val="es-ES_tradnl"/>
        </w:rPr>
        <w:t xml:space="preserve">La parte </w:t>
      </w:r>
      <w:r w:rsidR="001C3FEE" w:rsidRPr="00CF6D48">
        <w:rPr>
          <w:rFonts w:ascii="Georgia" w:hAnsi="Georgia" w:cs="Arial"/>
          <w:sz w:val="24"/>
          <w:szCs w:val="24"/>
          <w:lang w:val="es-ES_tradnl"/>
        </w:rPr>
        <w:t>interesada</w:t>
      </w:r>
      <w:r w:rsidRPr="00CF6D48">
        <w:rPr>
          <w:rFonts w:ascii="Georgia" w:hAnsi="Georgia" w:cs="Arial"/>
          <w:sz w:val="24"/>
          <w:szCs w:val="24"/>
          <w:lang w:val="es-ES_tradnl"/>
        </w:rPr>
        <w:t>, en primera instancia</w:t>
      </w:r>
      <w:r w:rsidR="00064B59" w:rsidRPr="00CF6D48">
        <w:rPr>
          <w:rFonts w:ascii="Georgia" w:hAnsi="Georgia" w:cs="Arial"/>
          <w:sz w:val="24"/>
          <w:szCs w:val="24"/>
          <w:lang w:val="es-ES_tradnl"/>
        </w:rPr>
        <w:t>,</w:t>
      </w:r>
      <w:r w:rsidR="00FC7FD5" w:rsidRPr="00CF6D48">
        <w:rPr>
          <w:rFonts w:ascii="Georgia" w:hAnsi="Georgia" w:cs="Arial"/>
          <w:sz w:val="24"/>
          <w:szCs w:val="24"/>
          <w:lang w:val="es-ES_tradnl"/>
        </w:rPr>
        <w:t xml:space="preserve"> se limitó a reiterar </w:t>
      </w:r>
      <w:r w:rsidR="00B15897" w:rsidRPr="00CF6D48">
        <w:rPr>
          <w:rFonts w:ascii="Georgia" w:hAnsi="Georgia" w:cs="Arial"/>
          <w:sz w:val="24"/>
          <w:szCs w:val="24"/>
          <w:lang w:val="es-ES_tradnl"/>
        </w:rPr>
        <w:t>las razones</w:t>
      </w:r>
      <w:r w:rsidR="00064B59" w:rsidRPr="00CF6D48">
        <w:rPr>
          <w:rFonts w:ascii="Georgia" w:hAnsi="Georgia" w:cs="Arial"/>
          <w:sz w:val="24"/>
          <w:szCs w:val="24"/>
          <w:lang w:val="es-ES_tradnl"/>
        </w:rPr>
        <w:t>,</w:t>
      </w:r>
      <w:r w:rsidR="00B15897" w:rsidRPr="00CF6D48">
        <w:rPr>
          <w:rFonts w:ascii="Georgia" w:hAnsi="Georgia" w:cs="Arial"/>
          <w:sz w:val="24"/>
          <w:szCs w:val="24"/>
          <w:lang w:val="es-ES_tradnl"/>
        </w:rPr>
        <w:t xml:space="preserve"> </w:t>
      </w:r>
      <w:r w:rsidR="008E4F0D" w:rsidRPr="00CF6D48">
        <w:rPr>
          <w:rFonts w:ascii="Georgia" w:hAnsi="Georgia" w:cs="Arial"/>
          <w:sz w:val="24"/>
          <w:szCs w:val="24"/>
          <w:lang w:val="es-ES_tradnl"/>
        </w:rPr>
        <w:t xml:space="preserve">por las que estimaba </w:t>
      </w:r>
      <w:r w:rsidR="00E1257F" w:rsidRPr="00CF6D48">
        <w:rPr>
          <w:rFonts w:ascii="Georgia" w:hAnsi="Georgia" w:cs="Arial"/>
          <w:sz w:val="24"/>
          <w:szCs w:val="24"/>
          <w:lang w:val="es-ES_tradnl"/>
        </w:rPr>
        <w:t>era equivocad</w:t>
      </w:r>
      <w:r w:rsidR="00EA5FE9" w:rsidRPr="00CF6D48">
        <w:rPr>
          <w:rFonts w:ascii="Georgia" w:hAnsi="Georgia" w:cs="Arial"/>
          <w:sz w:val="24"/>
          <w:szCs w:val="24"/>
          <w:lang w:val="es-ES_tradnl"/>
        </w:rPr>
        <w:t>o</w:t>
      </w:r>
      <w:r w:rsidR="00E1257F" w:rsidRPr="00CF6D48">
        <w:rPr>
          <w:rFonts w:ascii="Georgia" w:hAnsi="Georgia" w:cs="Arial"/>
          <w:sz w:val="24"/>
          <w:szCs w:val="24"/>
          <w:lang w:val="es-ES_tradnl"/>
        </w:rPr>
        <w:t xml:space="preserve"> </w:t>
      </w:r>
      <w:r w:rsidR="00FC7FD5" w:rsidRPr="00CF6D48">
        <w:rPr>
          <w:rFonts w:ascii="Georgia" w:hAnsi="Georgia" w:cs="Arial"/>
          <w:sz w:val="24"/>
          <w:szCs w:val="24"/>
          <w:lang w:val="es-ES_tradnl"/>
        </w:rPr>
        <w:t>rechazar la demanda y como est</w:t>
      </w:r>
      <w:r w:rsidR="00BC30E1" w:rsidRPr="00CF6D48">
        <w:rPr>
          <w:rFonts w:ascii="Georgia" w:hAnsi="Georgia" w:cs="Arial"/>
          <w:sz w:val="24"/>
          <w:szCs w:val="24"/>
          <w:lang w:val="es-ES_tradnl"/>
        </w:rPr>
        <w:t xml:space="preserve">aban </w:t>
      </w:r>
      <w:r w:rsidR="00FC7FD5" w:rsidRPr="00CF6D48">
        <w:rPr>
          <w:rFonts w:ascii="Georgia" w:hAnsi="Georgia" w:cs="Arial"/>
          <w:sz w:val="24"/>
          <w:szCs w:val="24"/>
          <w:lang w:val="es-ES_tradnl"/>
        </w:rPr>
        <w:t>suplidos</w:t>
      </w:r>
      <w:r w:rsidR="00BC30E1" w:rsidRPr="00CF6D48">
        <w:rPr>
          <w:rFonts w:ascii="Georgia" w:hAnsi="Georgia" w:cs="Arial"/>
          <w:sz w:val="24"/>
          <w:szCs w:val="24"/>
          <w:lang w:val="es-ES_tradnl"/>
        </w:rPr>
        <w:t xml:space="preserve">, en su criterio, </w:t>
      </w:r>
      <w:r w:rsidR="00FC7FD5" w:rsidRPr="00CF6D48">
        <w:rPr>
          <w:rFonts w:ascii="Georgia" w:hAnsi="Georgia" w:cs="Arial"/>
          <w:sz w:val="24"/>
          <w:szCs w:val="24"/>
          <w:lang w:val="es-ES_tradnl"/>
        </w:rPr>
        <w:t>los requisitos echados de menos por el juzgado</w:t>
      </w:r>
      <w:r w:rsidR="00E1257F" w:rsidRPr="00CF6D48">
        <w:rPr>
          <w:rFonts w:ascii="Georgia" w:hAnsi="Georgia" w:cs="Arial"/>
          <w:sz w:val="24"/>
          <w:szCs w:val="24"/>
          <w:lang w:val="es-ES_tradnl"/>
        </w:rPr>
        <w:t xml:space="preserve">; sin embargo, </w:t>
      </w:r>
      <w:r w:rsidR="3EEA9AE5" w:rsidRPr="00CF6D48">
        <w:rPr>
          <w:rFonts w:ascii="Georgia" w:hAnsi="Georgia" w:cs="Arial"/>
          <w:b/>
          <w:bCs/>
          <w:sz w:val="24"/>
          <w:szCs w:val="24"/>
          <w:lang w:val="es-ES_tradnl"/>
        </w:rPr>
        <w:t xml:space="preserve">pretermitió </w:t>
      </w:r>
      <w:r w:rsidR="00B15897" w:rsidRPr="00CF6D48">
        <w:rPr>
          <w:rFonts w:ascii="Georgia" w:hAnsi="Georgia" w:cs="Arial"/>
          <w:b/>
          <w:bCs/>
          <w:sz w:val="24"/>
          <w:szCs w:val="24"/>
          <w:lang w:val="es-ES_tradnl"/>
        </w:rPr>
        <w:t xml:space="preserve">argumentación </w:t>
      </w:r>
      <w:r w:rsidR="711954B2" w:rsidRPr="00CF6D48">
        <w:rPr>
          <w:rFonts w:ascii="Georgia" w:hAnsi="Georgia" w:cs="Arial"/>
          <w:b/>
          <w:bCs/>
          <w:sz w:val="24"/>
          <w:szCs w:val="24"/>
          <w:lang w:val="es-ES_tradnl"/>
        </w:rPr>
        <w:t xml:space="preserve">alguna </w:t>
      </w:r>
      <w:r w:rsidR="00B15897" w:rsidRPr="00CF6D48">
        <w:rPr>
          <w:rFonts w:ascii="Georgia" w:hAnsi="Georgia" w:cs="Arial"/>
          <w:b/>
          <w:bCs/>
          <w:sz w:val="24"/>
          <w:szCs w:val="24"/>
          <w:lang w:val="es-ES_tradnl"/>
        </w:rPr>
        <w:t>frente a</w:t>
      </w:r>
      <w:r w:rsidR="00EA5FE9" w:rsidRPr="00CF6D48">
        <w:rPr>
          <w:rFonts w:ascii="Georgia" w:hAnsi="Georgia" w:cs="Arial"/>
          <w:b/>
          <w:bCs/>
          <w:sz w:val="24"/>
          <w:szCs w:val="24"/>
          <w:lang w:val="es-ES_tradnl"/>
        </w:rPr>
        <w:t xml:space="preserve"> su</w:t>
      </w:r>
      <w:r w:rsidR="008E4F0D" w:rsidRPr="00CF6D48">
        <w:rPr>
          <w:rFonts w:ascii="Georgia" w:hAnsi="Georgia" w:cs="Arial"/>
          <w:b/>
          <w:bCs/>
          <w:sz w:val="24"/>
          <w:szCs w:val="24"/>
          <w:lang w:val="es-ES_tradnl"/>
        </w:rPr>
        <w:t xml:space="preserve"> </w:t>
      </w:r>
      <w:r w:rsidR="00EA5FE9" w:rsidRPr="00CF6D48">
        <w:rPr>
          <w:rFonts w:ascii="Georgia" w:hAnsi="Georgia" w:cs="Arial"/>
          <w:b/>
          <w:bCs/>
          <w:sz w:val="24"/>
          <w:szCs w:val="24"/>
          <w:lang w:val="es-ES_tradnl"/>
        </w:rPr>
        <w:t>viabilidad</w:t>
      </w:r>
      <w:r w:rsidR="00DE664A" w:rsidRPr="00CF6D48">
        <w:rPr>
          <w:rFonts w:ascii="Georgia" w:hAnsi="Georgia" w:cs="Arial"/>
          <w:b/>
          <w:bCs/>
          <w:sz w:val="24"/>
          <w:szCs w:val="24"/>
          <w:lang w:val="es-ES_tradnl"/>
        </w:rPr>
        <w:t xml:space="preserve"> o procedencia </w:t>
      </w:r>
      <w:r w:rsidR="00E1257F" w:rsidRPr="00CF6D48">
        <w:rPr>
          <w:rFonts w:ascii="Georgia" w:hAnsi="Georgia" w:cs="Arial"/>
          <w:sz w:val="24"/>
          <w:szCs w:val="24"/>
          <w:lang w:val="es-ES_tradnl"/>
        </w:rPr>
        <w:t xml:space="preserve">(Carpeta 1a instancia, archivo </w:t>
      </w:r>
      <w:r w:rsidR="00FC7FD5" w:rsidRPr="00CF6D48">
        <w:rPr>
          <w:rFonts w:ascii="Georgia" w:hAnsi="Georgia" w:cs="Arial"/>
          <w:sz w:val="24"/>
          <w:szCs w:val="24"/>
          <w:lang w:val="es-ES_tradnl"/>
        </w:rPr>
        <w:t>04</w:t>
      </w:r>
      <w:r w:rsidR="00E1257F" w:rsidRPr="00CF6D48">
        <w:rPr>
          <w:rFonts w:ascii="Georgia" w:hAnsi="Georgia" w:cs="Arial"/>
          <w:sz w:val="24"/>
          <w:szCs w:val="24"/>
          <w:lang w:val="es-ES_tradnl"/>
        </w:rPr>
        <w:t>, folios 1-</w:t>
      </w:r>
      <w:r w:rsidR="00FC7FD5" w:rsidRPr="00CF6D48">
        <w:rPr>
          <w:rFonts w:ascii="Georgia" w:hAnsi="Georgia" w:cs="Arial"/>
          <w:sz w:val="24"/>
          <w:szCs w:val="24"/>
          <w:lang w:val="es-ES_tradnl"/>
        </w:rPr>
        <w:t>2</w:t>
      </w:r>
      <w:r w:rsidR="00E1257F" w:rsidRPr="00CF6D48">
        <w:rPr>
          <w:rFonts w:ascii="Georgia" w:hAnsi="Georgia" w:cs="Arial"/>
          <w:sz w:val="24"/>
          <w:szCs w:val="24"/>
          <w:lang w:val="es-ES_tradnl"/>
        </w:rPr>
        <w:t>)</w:t>
      </w:r>
      <w:r w:rsidRPr="00CF6D48">
        <w:rPr>
          <w:rFonts w:ascii="Georgia" w:hAnsi="Georgia" w:cs="Arial"/>
          <w:sz w:val="24"/>
          <w:szCs w:val="24"/>
          <w:lang w:val="es-ES_tradnl"/>
        </w:rPr>
        <w:t>.</w:t>
      </w:r>
    </w:p>
    <w:p w14:paraId="23FFDF40" w14:textId="6855051A" w:rsidR="00EA5FE9" w:rsidRPr="00CF6D48" w:rsidRDefault="00EA5FE9" w:rsidP="00094383">
      <w:pPr>
        <w:pStyle w:val="Sinespaciado"/>
        <w:spacing w:line="276" w:lineRule="auto"/>
        <w:jc w:val="both"/>
        <w:rPr>
          <w:rFonts w:ascii="Georgia" w:hAnsi="Georgia" w:cs="Arial"/>
          <w:sz w:val="24"/>
          <w:szCs w:val="24"/>
          <w:lang w:val="es-ES_tradnl"/>
        </w:rPr>
      </w:pPr>
    </w:p>
    <w:p w14:paraId="60BC64F4" w14:textId="7BB1F85B" w:rsidR="005C08CE" w:rsidRPr="00CF6D48" w:rsidRDefault="00AD15E2" w:rsidP="00094383">
      <w:pPr>
        <w:pStyle w:val="Sinespaciado"/>
        <w:spacing w:line="276" w:lineRule="auto"/>
        <w:jc w:val="both"/>
        <w:rPr>
          <w:rFonts w:ascii="Georgia" w:hAnsi="Georgia" w:cs="Arial"/>
          <w:sz w:val="24"/>
          <w:szCs w:val="24"/>
          <w:lang w:val="es-ES_tradnl"/>
        </w:rPr>
      </w:pPr>
      <w:r w:rsidRPr="00CF6D48">
        <w:rPr>
          <w:rFonts w:ascii="Georgia" w:hAnsi="Georgia" w:cs="Arial"/>
          <w:sz w:val="24"/>
          <w:szCs w:val="24"/>
          <w:lang w:val="es-ES_tradnl"/>
        </w:rPr>
        <w:t>Al margen de lo anterior</w:t>
      </w:r>
      <w:r w:rsidR="005C08CE" w:rsidRPr="00CF6D48">
        <w:rPr>
          <w:rFonts w:ascii="Georgia" w:hAnsi="Georgia" w:cs="Arial"/>
          <w:sz w:val="24"/>
          <w:szCs w:val="24"/>
          <w:lang w:val="es-ES_tradnl"/>
        </w:rPr>
        <w:t xml:space="preserve">, </w:t>
      </w:r>
      <w:r w:rsidR="32956185" w:rsidRPr="00CF6D48">
        <w:rPr>
          <w:rFonts w:ascii="Georgia" w:hAnsi="Georgia" w:cs="Arial"/>
          <w:sz w:val="24"/>
          <w:szCs w:val="24"/>
          <w:u w:val="single"/>
          <w:lang w:val="es-ES_tradnl"/>
        </w:rPr>
        <w:t xml:space="preserve">es notoria la </w:t>
      </w:r>
      <w:r w:rsidR="005C08CE" w:rsidRPr="00CF6D48">
        <w:rPr>
          <w:rFonts w:ascii="Georgia" w:hAnsi="Georgia" w:cs="Arial"/>
          <w:sz w:val="24"/>
          <w:szCs w:val="24"/>
          <w:u w:val="single"/>
          <w:lang w:val="es-ES_tradnl"/>
        </w:rPr>
        <w:t xml:space="preserve">falta de rigor y cuidado para controlar la concesión del recurso, </w:t>
      </w:r>
      <w:r w:rsidR="00FD7D4F" w:rsidRPr="00CF6D48">
        <w:rPr>
          <w:rFonts w:ascii="Georgia" w:hAnsi="Georgia" w:cs="Arial"/>
          <w:sz w:val="24"/>
          <w:szCs w:val="24"/>
          <w:u w:val="single"/>
          <w:lang w:val="es-ES_tradnl"/>
        </w:rPr>
        <w:t xml:space="preserve">se denegó </w:t>
      </w:r>
      <w:r w:rsidR="005C08CE" w:rsidRPr="00CF6D48">
        <w:rPr>
          <w:rFonts w:ascii="Georgia" w:hAnsi="Georgia" w:cs="Arial"/>
          <w:sz w:val="24"/>
          <w:szCs w:val="24"/>
          <w:u w:val="single"/>
          <w:lang w:val="es-ES_tradnl"/>
        </w:rPr>
        <w:t xml:space="preserve">sin </w:t>
      </w:r>
      <w:r w:rsidRPr="00CF6D48">
        <w:rPr>
          <w:rFonts w:ascii="Georgia" w:hAnsi="Georgia" w:cs="Arial"/>
          <w:sz w:val="24"/>
          <w:szCs w:val="24"/>
          <w:u w:val="single"/>
          <w:lang w:val="es-ES_tradnl"/>
        </w:rPr>
        <w:t xml:space="preserve">argumentar </w:t>
      </w:r>
      <w:r w:rsidR="00FD7D4F" w:rsidRPr="00CF6D48">
        <w:rPr>
          <w:rFonts w:ascii="Georgia" w:hAnsi="Georgia" w:cs="Arial"/>
          <w:sz w:val="24"/>
          <w:szCs w:val="24"/>
          <w:u w:val="single"/>
          <w:lang w:val="es-ES_tradnl"/>
        </w:rPr>
        <w:t xml:space="preserve">el por qué </w:t>
      </w:r>
      <w:r w:rsidR="00D5621B" w:rsidRPr="00CF6D48">
        <w:rPr>
          <w:rFonts w:ascii="Georgia" w:hAnsi="Georgia" w:cs="Arial"/>
          <w:sz w:val="24"/>
          <w:szCs w:val="24"/>
          <w:lang w:val="es-ES_tradnl"/>
        </w:rPr>
        <w:t>(Carpeta 1a instancia, archivo 03, inciso primero, folio 4)</w:t>
      </w:r>
      <w:r w:rsidRPr="00CF6D48">
        <w:rPr>
          <w:rFonts w:ascii="Georgia" w:hAnsi="Georgia" w:cs="Arial"/>
          <w:sz w:val="24"/>
          <w:szCs w:val="24"/>
          <w:lang w:val="es-ES_tradnl"/>
        </w:rPr>
        <w:t xml:space="preserve">, </w:t>
      </w:r>
      <w:r w:rsidRPr="00CF6D48">
        <w:rPr>
          <w:rFonts w:ascii="Georgia" w:hAnsi="Georgia" w:cs="Arial"/>
          <w:sz w:val="24"/>
          <w:szCs w:val="24"/>
          <w:u w:val="single"/>
          <w:lang w:val="es-ES_tradnl"/>
        </w:rPr>
        <w:t xml:space="preserve">cuando sin lugar a dudas </w:t>
      </w:r>
      <w:r w:rsidR="00064B59" w:rsidRPr="00CF6D48">
        <w:rPr>
          <w:rFonts w:ascii="Georgia" w:hAnsi="Georgia" w:cs="Arial"/>
          <w:sz w:val="24"/>
          <w:szCs w:val="24"/>
          <w:u w:val="single"/>
          <w:lang w:val="es-ES_tradnl"/>
        </w:rPr>
        <w:t>e</w:t>
      </w:r>
      <w:r w:rsidR="00FD7D4F" w:rsidRPr="00CF6D48">
        <w:rPr>
          <w:rFonts w:ascii="Georgia" w:hAnsi="Georgia" w:cs="Arial"/>
          <w:sz w:val="24"/>
          <w:szCs w:val="24"/>
          <w:u w:val="single"/>
          <w:lang w:val="es-ES_tradnl"/>
        </w:rPr>
        <w:t xml:space="preserve">s </w:t>
      </w:r>
      <w:r w:rsidRPr="00CF6D48">
        <w:rPr>
          <w:rFonts w:ascii="Georgia" w:hAnsi="Georgia" w:cs="Arial"/>
          <w:sz w:val="24"/>
          <w:szCs w:val="24"/>
          <w:u w:val="single"/>
          <w:lang w:val="es-ES_tradnl"/>
        </w:rPr>
        <w:t>proced</w:t>
      </w:r>
      <w:r w:rsidR="00064B59" w:rsidRPr="00CF6D48">
        <w:rPr>
          <w:rFonts w:ascii="Georgia" w:hAnsi="Georgia" w:cs="Arial"/>
          <w:sz w:val="24"/>
          <w:szCs w:val="24"/>
          <w:u w:val="single"/>
          <w:lang w:val="es-ES_tradnl"/>
        </w:rPr>
        <w:t>ente</w:t>
      </w:r>
      <w:r w:rsidR="00FD7D4F" w:rsidRPr="00CF6D48">
        <w:rPr>
          <w:rFonts w:ascii="Georgia" w:hAnsi="Georgia" w:cs="Arial"/>
          <w:sz w:val="24"/>
          <w:szCs w:val="24"/>
          <w:u w:val="single"/>
          <w:lang w:val="es-ES_tradnl"/>
        </w:rPr>
        <w:t xml:space="preserve"> frente a la decisión de rechazo de la demanda</w:t>
      </w:r>
      <w:r w:rsidR="00FD7D4F" w:rsidRPr="00CF6D48">
        <w:rPr>
          <w:rFonts w:ascii="Georgia" w:hAnsi="Georgia" w:cs="Arial"/>
          <w:sz w:val="24"/>
          <w:szCs w:val="24"/>
          <w:lang w:val="es-ES_tradnl"/>
        </w:rPr>
        <w:t xml:space="preserve"> </w:t>
      </w:r>
      <w:r w:rsidRPr="00CF6D48">
        <w:rPr>
          <w:rFonts w:ascii="Georgia" w:hAnsi="Georgia" w:cs="Arial"/>
          <w:sz w:val="24"/>
          <w:szCs w:val="24"/>
          <w:lang w:val="es-ES_tradnl"/>
        </w:rPr>
        <w:t>(Artículos 90-5º y 321-1º, CGP)</w:t>
      </w:r>
      <w:r w:rsidR="005C08CE" w:rsidRPr="00CF6D48">
        <w:rPr>
          <w:rFonts w:ascii="Georgia" w:hAnsi="Georgia" w:cs="Arial"/>
          <w:sz w:val="24"/>
          <w:szCs w:val="24"/>
          <w:lang w:val="es-ES_tradnl"/>
        </w:rPr>
        <w:t>.</w:t>
      </w:r>
    </w:p>
    <w:p w14:paraId="0EABEC52" w14:textId="77777777" w:rsidR="00D5621B" w:rsidRPr="00CF6D48" w:rsidRDefault="00D5621B" w:rsidP="00094383">
      <w:pPr>
        <w:pStyle w:val="Sinespaciado"/>
        <w:spacing w:line="276" w:lineRule="auto"/>
        <w:jc w:val="both"/>
        <w:rPr>
          <w:rFonts w:ascii="Georgia" w:hAnsi="Georgia" w:cs="Arial"/>
          <w:sz w:val="24"/>
          <w:szCs w:val="24"/>
          <w:lang w:val="es-ES_tradnl"/>
        </w:rPr>
      </w:pPr>
    </w:p>
    <w:p w14:paraId="10B8F27E" w14:textId="77777777" w:rsidR="000E35DB" w:rsidRPr="00CF6D48" w:rsidRDefault="000E35DB" w:rsidP="00094383">
      <w:pPr>
        <w:pStyle w:val="Textopredeterminado"/>
        <w:numPr>
          <w:ilvl w:val="0"/>
          <w:numId w:val="3"/>
        </w:numPr>
        <w:spacing w:line="276" w:lineRule="auto"/>
        <w:jc w:val="both"/>
        <w:rPr>
          <w:rFonts w:ascii="Georgia" w:hAnsi="Georgia" w:cs="Arial"/>
          <w:color w:val="auto"/>
          <w:lang w:val="es-ES_tradnl"/>
        </w:rPr>
      </w:pPr>
      <w:r w:rsidRPr="00CF6D48">
        <w:rPr>
          <w:rFonts w:ascii="Georgia" w:hAnsi="Georgia" w:cs="Arial"/>
          <w:color w:val="auto"/>
          <w:lang w:val="es-ES_tradnl"/>
        </w:rPr>
        <w:t>LAS DECISIONES FINALES</w:t>
      </w:r>
    </w:p>
    <w:p w14:paraId="10B8F27F" w14:textId="77777777" w:rsidR="000E35DB" w:rsidRPr="00CF6D48" w:rsidRDefault="000E35DB" w:rsidP="00094383">
      <w:pPr>
        <w:pStyle w:val="Textopredeterminado"/>
        <w:spacing w:line="276" w:lineRule="auto"/>
        <w:ind w:left="360"/>
        <w:jc w:val="both"/>
        <w:rPr>
          <w:rFonts w:ascii="Georgia" w:hAnsi="Georgia" w:cs="Arial"/>
          <w:color w:val="auto"/>
          <w:lang w:val="es-ES_tradnl"/>
        </w:rPr>
      </w:pPr>
    </w:p>
    <w:p w14:paraId="2FC9F40B" w14:textId="77777777" w:rsidR="00AD15E2" w:rsidRPr="00CF6D48" w:rsidRDefault="00AD15E2" w:rsidP="00094383">
      <w:pPr>
        <w:spacing w:line="276" w:lineRule="auto"/>
        <w:jc w:val="both"/>
        <w:rPr>
          <w:rFonts w:ascii="Georgia" w:hAnsi="Georgia" w:cs="Arial"/>
          <w:sz w:val="24"/>
          <w:szCs w:val="24"/>
          <w:lang w:val="es-ES_tradnl"/>
        </w:rPr>
      </w:pPr>
      <w:r w:rsidRPr="00CF6D48">
        <w:rPr>
          <w:rFonts w:ascii="Georgia" w:hAnsi="Georgia" w:cs="Arial"/>
          <w:sz w:val="24"/>
          <w:szCs w:val="24"/>
          <w:lang w:val="es-ES_tradnl"/>
        </w:rPr>
        <w:t>Acorde con lo disertado, se declarará inadmisible el recurso intentado, por pretermitirse la formulación de la reposición como recurso principal y subsidiariamente el de queja.</w:t>
      </w:r>
    </w:p>
    <w:p w14:paraId="10B8F281" w14:textId="77777777" w:rsidR="00423F93" w:rsidRPr="00CF6D48" w:rsidRDefault="00423F93" w:rsidP="00094383">
      <w:pPr>
        <w:pStyle w:val="Textoindependiente"/>
        <w:spacing w:line="276" w:lineRule="auto"/>
        <w:ind w:right="51"/>
        <w:rPr>
          <w:rFonts w:ascii="Georgia" w:hAnsi="Georgia" w:cs="Arial"/>
        </w:rPr>
      </w:pPr>
    </w:p>
    <w:p w14:paraId="10B8F282" w14:textId="77777777" w:rsidR="000E35DB" w:rsidRPr="00CF6D48" w:rsidRDefault="000E35DB" w:rsidP="00094383">
      <w:pPr>
        <w:autoSpaceDE w:val="0"/>
        <w:autoSpaceDN w:val="0"/>
        <w:adjustRightInd w:val="0"/>
        <w:spacing w:line="276" w:lineRule="auto"/>
        <w:jc w:val="both"/>
        <w:rPr>
          <w:rFonts w:ascii="Georgia" w:hAnsi="Georgia" w:cs="Arial"/>
          <w:sz w:val="24"/>
          <w:szCs w:val="24"/>
          <w:lang w:val="es-ES_tradnl"/>
        </w:rPr>
      </w:pPr>
      <w:r w:rsidRPr="00CF6D48">
        <w:rPr>
          <w:rFonts w:ascii="Georgia" w:hAnsi="Georgia" w:cs="Arial"/>
          <w:sz w:val="24"/>
          <w:szCs w:val="24"/>
          <w:lang w:val="es-ES_tradnl"/>
        </w:rPr>
        <w:t xml:space="preserve">Considerando suficientes los argumentos expuestos en esta providencia, el </w:t>
      </w:r>
      <w:r w:rsidRPr="00CF6D48">
        <w:rPr>
          <w:rFonts w:ascii="Georgia" w:hAnsi="Georgia" w:cs="Arial"/>
          <w:smallCaps/>
          <w:sz w:val="24"/>
          <w:szCs w:val="24"/>
          <w:lang w:val="es-ES_tradnl"/>
        </w:rPr>
        <w:t>Tribunal Superior del Distrito Judicial de Pereira, en Sala Unitaria</w:t>
      </w:r>
      <w:r w:rsidRPr="00CF6D48">
        <w:rPr>
          <w:rFonts w:ascii="Georgia" w:hAnsi="Georgia" w:cs="Arial"/>
          <w:sz w:val="24"/>
          <w:szCs w:val="24"/>
          <w:lang w:val="es-ES_tradnl"/>
        </w:rPr>
        <w:t>,</w:t>
      </w:r>
    </w:p>
    <w:p w14:paraId="10B8F283" w14:textId="77777777" w:rsidR="00F819BA" w:rsidRPr="00CF6D48" w:rsidRDefault="00F819BA" w:rsidP="00094383">
      <w:pPr>
        <w:autoSpaceDE w:val="0"/>
        <w:autoSpaceDN w:val="0"/>
        <w:adjustRightInd w:val="0"/>
        <w:spacing w:line="276" w:lineRule="auto"/>
        <w:jc w:val="both"/>
        <w:rPr>
          <w:rFonts w:ascii="Georgia" w:hAnsi="Georgia" w:cs="Arial"/>
          <w:sz w:val="24"/>
          <w:szCs w:val="24"/>
          <w:lang w:val="es-ES_tradnl"/>
        </w:rPr>
      </w:pPr>
    </w:p>
    <w:p w14:paraId="10B8F284" w14:textId="6B069E18" w:rsidR="000E35DB" w:rsidRPr="00CF6D48" w:rsidRDefault="000E35DB" w:rsidP="00094383">
      <w:pPr>
        <w:pStyle w:val="Sinespaciado"/>
        <w:spacing w:line="276" w:lineRule="auto"/>
        <w:jc w:val="center"/>
        <w:rPr>
          <w:rFonts w:ascii="Georgia" w:hAnsi="Georgia" w:cs="Arial"/>
          <w:sz w:val="24"/>
          <w:szCs w:val="24"/>
          <w:lang w:val="es-ES_tradnl"/>
        </w:rPr>
      </w:pPr>
      <w:r w:rsidRPr="00CF6D48">
        <w:rPr>
          <w:rFonts w:ascii="Georgia" w:hAnsi="Georgia" w:cs="Arial"/>
          <w:sz w:val="24"/>
          <w:szCs w:val="24"/>
          <w:lang w:val="es-ES_tradnl"/>
        </w:rPr>
        <w:t>R E S U E L V E,</w:t>
      </w:r>
    </w:p>
    <w:p w14:paraId="10B8F285" w14:textId="77777777" w:rsidR="000E35DB" w:rsidRPr="00CF6D48" w:rsidRDefault="000E35DB" w:rsidP="00094383">
      <w:pPr>
        <w:pStyle w:val="Sinespaciado"/>
        <w:spacing w:line="276" w:lineRule="auto"/>
        <w:jc w:val="center"/>
        <w:rPr>
          <w:rFonts w:ascii="Georgia" w:hAnsi="Georgia" w:cs="Arial"/>
          <w:sz w:val="24"/>
          <w:szCs w:val="24"/>
          <w:lang w:val="es-ES_tradnl"/>
        </w:rPr>
      </w:pPr>
    </w:p>
    <w:p w14:paraId="10B8F286" w14:textId="3990DFB1" w:rsidR="000E35DB" w:rsidRPr="00CF6D48" w:rsidRDefault="000E35DB" w:rsidP="00094383">
      <w:pPr>
        <w:pStyle w:val="Textopredeterminado"/>
        <w:numPr>
          <w:ilvl w:val="0"/>
          <w:numId w:val="2"/>
        </w:numPr>
        <w:spacing w:line="276" w:lineRule="auto"/>
        <w:jc w:val="both"/>
        <w:rPr>
          <w:rFonts w:ascii="Georgia" w:hAnsi="Georgia" w:cs="Arial"/>
          <w:color w:val="auto"/>
          <w:lang w:val="es-ES_tradnl"/>
        </w:rPr>
      </w:pPr>
      <w:r w:rsidRPr="00CF6D48">
        <w:rPr>
          <w:rFonts w:ascii="Georgia" w:hAnsi="Georgia" w:cs="Arial"/>
          <w:color w:val="auto"/>
          <w:lang w:val="es-ES_tradnl"/>
        </w:rPr>
        <w:t xml:space="preserve">DECLARAR </w:t>
      </w:r>
      <w:r w:rsidR="00AD15E2" w:rsidRPr="00CF6D48">
        <w:rPr>
          <w:rFonts w:ascii="Georgia" w:hAnsi="Georgia" w:cs="Arial"/>
          <w:color w:val="auto"/>
          <w:lang w:val="es-ES_tradnl"/>
        </w:rPr>
        <w:t>inadmisible</w:t>
      </w:r>
      <w:r w:rsidRPr="00CF6D48">
        <w:rPr>
          <w:rFonts w:ascii="Georgia" w:hAnsi="Georgia" w:cs="Arial"/>
          <w:color w:val="auto"/>
          <w:lang w:val="es-ES_tradnl"/>
        </w:rPr>
        <w:t xml:space="preserve"> el recurso de </w:t>
      </w:r>
      <w:r w:rsidR="00C820A5" w:rsidRPr="00CF6D48">
        <w:rPr>
          <w:rFonts w:ascii="Georgia" w:hAnsi="Georgia" w:cs="Arial"/>
          <w:color w:val="auto"/>
          <w:lang w:val="es-ES_tradnl"/>
        </w:rPr>
        <w:t xml:space="preserve">queja, </w:t>
      </w:r>
      <w:r w:rsidRPr="00CF6D48">
        <w:rPr>
          <w:rFonts w:ascii="Georgia" w:hAnsi="Georgia" w:cs="Arial"/>
          <w:color w:val="auto"/>
          <w:lang w:val="es-ES_tradnl"/>
        </w:rPr>
        <w:t>formulado</w:t>
      </w:r>
      <w:r w:rsidR="00C820A5" w:rsidRPr="00CF6D48">
        <w:rPr>
          <w:rFonts w:ascii="Georgia" w:hAnsi="Georgia" w:cs="Arial"/>
          <w:color w:val="auto"/>
          <w:lang w:val="es-ES_tradnl"/>
        </w:rPr>
        <w:t xml:space="preserve"> </w:t>
      </w:r>
      <w:r w:rsidRPr="00CF6D48">
        <w:rPr>
          <w:rFonts w:ascii="Georgia" w:hAnsi="Georgia" w:cs="Arial"/>
          <w:color w:val="auto"/>
          <w:lang w:val="es-ES_tradnl"/>
        </w:rPr>
        <w:t xml:space="preserve">contra la providencia del </w:t>
      </w:r>
      <w:r w:rsidR="00AD15E2" w:rsidRPr="00CF6D48">
        <w:rPr>
          <w:rFonts w:ascii="Georgia" w:hAnsi="Georgia" w:cs="Arial"/>
          <w:color w:val="auto"/>
          <w:lang w:val="es-ES_tradnl"/>
        </w:rPr>
        <w:t>19-03-2021</w:t>
      </w:r>
      <w:r w:rsidRPr="00CF6D48">
        <w:rPr>
          <w:rFonts w:ascii="Georgia" w:hAnsi="Georgia" w:cs="Arial"/>
          <w:color w:val="auto"/>
          <w:lang w:val="es-ES_tradnl"/>
        </w:rPr>
        <w:t xml:space="preserve">, ante </w:t>
      </w:r>
      <w:r w:rsidR="00AD15E2" w:rsidRPr="00CF6D48">
        <w:rPr>
          <w:rFonts w:ascii="Georgia" w:hAnsi="Georgia" w:cs="Arial"/>
          <w:color w:val="auto"/>
          <w:lang w:val="es-ES_tradnl"/>
        </w:rPr>
        <w:t>el incumplimiento del presupuesto de oportunidad</w:t>
      </w:r>
      <w:r w:rsidRPr="00CF6D48">
        <w:rPr>
          <w:rFonts w:ascii="Georgia" w:hAnsi="Georgia" w:cs="Arial"/>
          <w:color w:val="auto"/>
          <w:lang w:val="es-ES_tradnl"/>
        </w:rPr>
        <w:t>.</w:t>
      </w:r>
    </w:p>
    <w:p w14:paraId="10B8F287" w14:textId="6E05902B" w:rsidR="000E35DB" w:rsidRPr="00CF6D48" w:rsidRDefault="000E35DB" w:rsidP="00094383">
      <w:pPr>
        <w:spacing w:line="276" w:lineRule="auto"/>
        <w:ind w:left="360"/>
        <w:rPr>
          <w:rFonts w:ascii="Georgia" w:hAnsi="Georgia" w:cs="Arial"/>
          <w:sz w:val="24"/>
          <w:szCs w:val="24"/>
          <w:lang w:val="es-ES_tradnl"/>
        </w:rPr>
      </w:pPr>
    </w:p>
    <w:p w14:paraId="10B8F288" w14:textId="54C9508C" w:rsidR="000E35DB" w:rsidRPr="00CF6D48" w:rsidRDefault="000E35DB" w:rsidP="00094383">
      <w:pPr>
        <w:pStyle w:val="Textopredeterminado"/>
        <w:numPr>
          <w:ilvl w:val="0"/>
          <w:numId w:val="2"/>
        </w:numPr>
        <w:spacing w:line="276" w:lineRule="auto"/>
        <w:jc w:val="both"/>
        <w:rPr>
          <w:rFonts w:ascii="Georgia" w:hAnsi="Georgia" w:cs="Arial"/>
          <w:color w:val="auto"/>
          <w:lang w:val="es-ES_tradnl"/>
        </w:rPr>
      </w:pPr>
      <w:r w:rsidRPr="00CF6D48">
        <w:rPr>
          <w:rFonts w:ascii="Georgia" w:hAnsi="Georgia" w:cs="Arial"/>
          <w:color w:val="auto"/>
          <w:lang w:val="es-ES_tradnl"/>
        </w:rPr>
        <w:t xml:space="preserve">DEVOLVER el expediente al Juzgado </w:t>
      </w:r>
      <w:r w:rsidR="00AD15E2" w:rsidRPr="00CF6D48">
        <w:rPr>
          <w:rFonts w:ascii="Georgia" w:hAnsi="Georgia" w:cs="Arial"/>
          <w:color w:val="auto"/>
          <w:lang w:val="es-ES_tradnl"/>
        </w:rPr>
        <w:t xml:space="preserve">Promiscuo </w:t>
      </w:r>
      <w:r w:rsidR="00423F93" w:rsidRPr="00CF6D48">
        <w:rPr>
          <w:rFonts w:ascii="Georgia" w:hAnsi="Georgia" w:cs="Arial"/>
          <w:color w:val="auto"/>
          <w:lang w:val="es-ES_tradnl"/>
        </w:rPr>
        <w:t>d</w:t>
      </w:r>
      <w:r w:rsidR="00C6379E" w:rsidRPr="00CF6D48">
        <w:rPr>
          <w:rFonts w:ascii="Georgia" w:hAnsi="Georgia" w:cs="Arial"/>
          <w:color w:val="auto"/>
          <w:lang w:val="es-ES_tradnl"/>
        </w:rPr>
        <w:t xml:space="preserve">el Circuito de </w:t>
      </w:r>
      <w:r w:rsidR="00AD15E2" w:rsidRPr="00CF6D48">
        <w:rPr>
          <w:rFonts w:ascii="Georgia" w:hAnsi="Georgia" w:cs="Arial"/>
          <w:color w:val="auto"/>
          <w:lang w:val="es-ES_tradnl"/>
        </w:rPr>
        <w:t>Belén de Umbría</w:t>
      </w:r>
      <w:r w:rsidR="00C6379E" w:rsidRPr="00CF6D48">
        <w:rPr>
          <w:rFonts w:ascii="Georgia" w:hAnsi="Georgia" w:cs="Arial"/>
          <w:color w:val="auto"/>
          <w:lang w:val="es-ES_tradnl"/>
        </w:rPr>
        <w:t>, R.</w:t>
      </w:r>
    </w:p>
    <w:p w14:paraId="10B8F289" w14:textId="77777777" w:rsidR="00977E7F" w:rsidRPr="00CF6D48" w:rsidRDefault="00977E7F" w:rsidP="00094383">
      <w:pPr>
        <w:pStyle w:val="Prrafodelista"/>
        <w:spacing w:line="276" w:lineRule="auto"/>
        <w:ind w:left="360"/>
        <w:rPr>
          <w:rFonts w:ascii="Georgia" w:hAnsi="Georgia" w:cs="Arial"/>
          <w:sz w:val="24"/>
          <w:szCs w:val="24"/>
          <w:lang w:val="es-ES_tradnl"/>
        </w:rPr>
      </w:pPr>
    </w:p>
    <w:p w14:paraId="10B8F28A" w14:textId="352C8FC0" w:rsidR="00977E7F" w:rsidRPr="00CF6D48" w:rsidRDefault="00977E7F" w:rsidP="00094383">
      <w:pPr>
        <w:pStyle w:val="Prrafodelista"/>
        <w:numPr>
          <w:ilvl w:val="0"/>
          <w:numId w:val="2"/>
        </w:numPr>
        <w:spacing w:line="276" w:lineRule="auto"/>
        <w:jc w:val="both"/>
        <w:rPr>
          <w:rFonts w:ascii="Georgia" w:hAnsi="Georgia" w:cs="Arial"/>
          <w:sz w:val="24"/>
          <w:szCs w:val="24"/>
          <w:lang w:val="es-ES_tradnl"/>
        </w:rPr>
      </w:pPr>
      <w:r w:rsidRPr="00CF6D48">
        <w:rPr>
          <w:rFonts w:ascii="Georgia" w:hAnsi="Georgia" w:cs="Arial"/>
          <w:sz w:val="24"/>
          <w:szCs w:val="24"/>
          <w:lang w:val="es-ES_tradnl"/>
        </w:rPr>
        <w:t>ADVERTIR que contra esta providencia no procede recurso alguno.</w:t>
      </w:r>
    </w:p>
    <w:p w14:paraId="10B8F28B" w14:textId="77777777" w:rsidR="00870960" w:rsidRPr="00CF6D48" w:rsidRDefault="00870960" w:rsidP="00094383">
      <w:pPr>
        <w:pStyle w:val="Textopredeterminado"/>
        <w:spacing w:line="276" w:lineRule="auto"/>
        <w:jc w:val="center"/>
        <w:rPr>
          <w:rFonts w:ascii="Georgia" w:hAnsi="Georgia" w:cs="Arial"/>
          <w:smallCaps/>
          <w:color w:val="auto"/>
          <w:lang w:val="es-ES_tradnl"/>
        </w:rPr>
      </w:pPr>
    </w:p>
    <w:p w14:paraId="10B8F28C" w14:textId="1F22E63E" w:rsidR="00CF2BC2" w:rsidRPr="00CF6D48" w:rsidRDefault="00CF2BC2" w:rsidP="00094383">
      <w:pPr>
        <w:pStyle w:val="Textopredeterminado"/>
        <w:spacing w:line="276" w:lineRule="auto"/>
        <w:jc w:val="center"/>
        <w:rPr>
          <w:rFonts w:ascii="Georgia" w:hAnsi="Georgia" w:cs="Arial"/>
          <w:smallCaps/>
          <w:color w:val="auto"/>
          <w:lang w:val="es-ES_tradnl"/>
        </w:rPr>
      </w:pPr>
      <w:r w:rsidRPr="00CF6D48">
        <w:rPr>
          <w:rFonts w:ascii="Georgia" w:hAnsi="Georgia" w:cs="Arial"/>
          <w:smallCaps/>
          <w:color w:val="auto"/>
          <w:lang w:val="es-ES_tradnl"/>
        </w:rPr>
        <w:t>Notifíquese,</w:t>
      </w:r>
    </w:p>
    <w:p w14:paraId="10B8F28D" w14:textId="5E96878D" w:rsidR="00F819BA" w:rsidRPr="00CF6D48" w:rsidRDefault="00F819BA" w:rsidP="00094383">
      <w:pPr>
        <w:pStyle w:val="Textopredeterminado"/>
        <w:spacing w:line="276" w:lineRule="auto"/>
        <w:jc w:val="center"/>
        <w:rPr>
          <w:rFonts w:ascii="Georgia" w:hAnsi="Georgia" w:cs="Arial"/>
          <w:smallCaps/>
          <w:color w:val="auto"/>
          <w:lang w:val="es-ES_tradnl"/>
        </w:rPr>
      </w:pPr>
    </w:p>
    <w:p w14:paraId="4FDB26CE" w14:textId="21F76B7A" w:rsidR="00FF0372" w:rsidRPr="00CF6D48" w:rsidRDefault="00FF0372" w:rsidP="00094383">
      <w:pPr>
        <w:pStyle w:val="Textopredeterminado"/>
        <w:spacing w:line="276" w:lineRule="auto"/>
        <w:jc w:val="center"/>
        <w:rPr>
          <w:rFonts w:ascii="Georgia" w:hAnsi="Georgia" w:cs="Arial"/>
          <w:smallCaps/>
          <w:color w:val="auto"/>
          <w:lang w:val="es-ES_tradnl"/>
        </w:rPr>
      </w:pPr>
    </w:p>
    <w:p w14:paraId="2BE2E969" w14:textId="77777777" w:rsidR="00094383" w:rsidRPr="00CF6D48" w:rsidRDefault="00094383" w:rsidP="00094383">
      <w:pPr>
        <w:pStyle w:val="Textopredeterminado"/>
        <w:spacing w:line="276" w:lineRule="auto"/>
        <w:jc w:val="center"/>
        <w:rPr>
          <w:rFonts w:ascii="Georgia" w:hAnsi="Georgia" w:cs="Arial"/>
          <w:smallCaps/>
          <w:color w:val="auto"/>
          <w:lang w:val="es-ES_tradnl"/>
        </w:rPr>
      </w:pPr>
    </w:p>
    <w:p w14:paraId="10B8F290" w14:textId="0F98E5D5" w:rsidR="00CF2BC2" w:rsidRPr="00CF6D48" w:rsidRDefault="00CF2BC2" w:rsidP="00094383">
      <w:pPr>
        <w:pStyle w:val="Textopredeterminado"/>
        <w:spacing w:line="276" w:lineRule="auto"/>
        <w:jc w:val="center"/>
        <w:rPr>
          <w:rFonts w:ascii="Georgia" w:hAnsi="Georgia" w:cs="Arial"/>
          <w:caps/>
          <w:color w:val="auto"/>
          <w:spacing w:val="20"/>
          <w:w w:val="150"/>
          <w:lang w:val="es-ES_tradnl"/>
        </w:rPr>
      </w:pPr>
      <w:r w:rsidRPr="00CF6D48">
        <w:rPr>
          <w:rFonts w:ascii="Georgia" w:hAnsi="Georgia" w:cs="Arial"/>
          <w:caps/>
          <w:color w:val="auto"/>
          <w:spacing w:val="20"/>
          <w:w w:val="150"/>
          <w:lang w:val="es-ES_tradnl"/>
        </w:rPr>
        <w:t xml:space="preserve"> DUBERNEY GRISALES HERRERA</w:t>
      </w:r>
    </w:p>
    <w:p w14:paraId="6F8F6B13" w14:textId="656655D3" w:rsidR="00525319" w:rsidRPr="00CF6D48" w:rsidRDefault="00CF2BC2" w:rsidP="00094383">
      <w:pPr>
        <w:spacing w:line="276" w:lineRule="auto"/>
        <w:jc w:val="center"/>
        <w:rPr>
          <w:rFonts w:ascii="Georgia" w:hAnsi="Georgia" w:cs="Arial"/>
          <w:i/>
          <w:sz w:val="24"/>
          <w:szCs w:val="24"/>
          <w:lang w:val="es-ES_tradnl"/>
        </w:rPr>
      </w:pPr>
      <w:r w:rsidRPr="00CF6D48">
        <w:rPr>
          <w:rFonts w:ascii="Georgia" w:hAnsi="Georgia" w:cs="Arial"/>
          <w:caps/>
          <w:spacing w:val="20"/>
          <w:w w:val="150"/>
          <w:sz w:val="24"/>
          <w:szCs w:val="24"/>
          <w:lang w:val="es-ES_tradnl"/>
        </w:rPr>
        <w:t>M A G I S T R A D O</w:t>
      </w:r>
    </w:p>
    <w:sectPr w:rsidR="00525319" w:rsidRPr="00CF6D48" w:rsidSect="002A79C0">
      <w:headerReference w:type="default"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099654" w16cex:dateUtc="2021-04-22T17:19:58.989Z"/>
  <w16cex:commentExtensible w16cex:durableId="4BB26B4B" w16cex:dateUtc="2021-04-22T17:24:21.7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592E" w14:textId="77777777" w:rsidR="006E230F" w:rsidRDefault="006E230F" w:rsidP="00934BB4">
      <w:r>
        <w:separator/>
      </w:r>
    </w:p>
  </w:endnote>
  <w:endnote w:type="continuationSeparator" w:id="0">
    <w:p w14:paraId="085E459C" w14:textId="77777777" w:rsidR="006E230F" w:rsidRDefault="006E230F"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A2" w14:textId="77777777" w:rsidR="00CF2BC2" w:rsidRDefault="00CF2BC2" w:rsidP="006E6DCB">
    <w:pPr>
      <w:pStyle w:val="Piedepgina"/>
      <w:pBdr>
        <w:bottom w:val="double" w:sz="6" w:space="1" w:color="auto"/>
      </w:pBdr>
      <w:spacing w:line="360" w:lineRule="auto"/>
      <w:ind w:firstLine="708"/>
      <w:rPr>
        <w:rFonts w:ascii="Arial" w:hAnsi="Arial" w:cs="Arial"/>
        <w:spacing w:val="20"/>
        <w:w w:val="200"/>
        <w:sz w:val="14"/>
        <w:szCs w:val="14"/>
      </w:rPr>
    </w:pPr>
  </w:p>
  <w:p w14:paraId="10B8F2A3" w14:textId="77777777" w:rsidR="00CF2BC2" w:rsidRDefault="00CF2BC2" w:rsidP="006E6DCB">
    <w:pPr>
      <w:pStyle w:val="Piedepgina"/>
      <w:spacing w:line="360" w:lineRule="auto"/>
      <w:jc w:val="right"/>
      <w:rPr>
        <w:rFonts w:ascii="Arial" w:hAnsi="Arial" w:cs="Arial"/>
        <w:spacing w:val="20"/>
        <w:w w:val="200"/>
        <w:sz w:val="14"/>
        <w:szCs w:val="14"/>
      </w:rPr>
    </w:pPr>
  </w:p>
  <w:p w14:paraId="10B8F2A4" w14:textId="77777777" w:rsidR="00CF2BC2" w:rsidRPr="003E18D8" w:rsidRDefault="00CF2BC2" w:rsidP="00267A1F">
    <w:pPr>
      <w:pStyle w:val="Piedepgina"/>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10B8F2A5" w14:textId="77777777" w:rsidR="00CF2BC2" w:rsidRPr="006E6DCB" w:rsidRDefault="00CF2BC2" w:rsidP="00267A1F">
    <w:pPr>
      <w:pStyle w:val="Piedepgina"/>
      <w:jc w:val="right"/>
    </w:pPr>
    <w:r w:rsidRPr="00836EE1">
      <w:rPr>
        <w:rFonts w:ascii="Arial" w:hAnsi="Arial" w:cs="Arial"/>
        <w:spacing w:val="20"/>
        <w:w w:val="200"/>
        <w:sz w:val="10"/>
        <w:szCs w:val="10"/>
      </w:rPr>
      <w:t>M</w:t>
    </w:r>
    <w:r w:rsidR="00D91179">
      <w:rPr>
        <w:rFonts w:ascii="Arial" w:hAnsi="Arial" w:cs="Arial"/>
        <w:spacing w:val="20"/>
        <w:w w:val="200"/>
        <w:sz w:val="10"/>
        <w:szCs w:val="10"/>
      </w:rPr>
      <w:t>S</w:t>
    </w:r>
    <w:r w:rsidRPr="00836EE1">
      <w:rPr>
        <w:rFonts w:ascii="Arial" w:hAnsi="Arial" w:cs="Arial"/>
        <w:spacing w:val="20"/>
        <w:w w:val="200"/>
        <w:sz w:val="10"/>
        <w:szCs w:val="10"/>
      </w:rPr>
      <w:t xml:space="preserve"> </w:t>
    </w:r>
    <w:r w:rsidRPr="00836EE1">
      <w:rPr>
        <w:rFonts w:ascii="Arial" w:hAnsi="Arial" w:cs="Arial"/>
        <w:spacing w:val="20"/>
        <w:w w:val="200"/>
        <w:sz w:val="12"/>
        <w:szCs w:val="12"/>
      </w:rPr>
      <w:t>D</w:t>
    </w:r>
    <w:r w:rsidRPr="00836EE1">
      <w:rPr>
        <w:rFonts w:ascii="Arial" w:hAnsi="Arial" w:cs="Arial"/>
        <w:spacing w:val="20"/>
        <w:w w:val="200"/>
        <w:sz w:val="8"/>
        <w:szCs w:val="8"/>
      </w:rPr>
      <w:t>UBERNEY</w:t>
    </w:r>
    <w:r>
      <w:rPr>
        <w:rFonts w:ascii="Arial" w:hAnsi="Arial" w:cs="Arial"/>
        <w:spacing w:val="20"/>
        <w:w w:val="200"/>
        <w:sz w:val="8"/>
        <w:szCs w:val="8"/>
      </w:rPr>
      <w:t xml:space="preserve"> </w:t>
    </w:r>
    <w:r w:rsidRPr="00836EE1">
      <w:rPr>
        <w:rFonts w:ascii="Arial" w:hAnsi="Arial" w:cs="Arial"/>
        <w:spacing w:val="20"/>
        <w:w w:val="200"/>
        <w:sz w:val="12"/>
        <w:szCs w:val="12"/>
      </w:rPr>
      <w:t>G</w:t>
    </w:r>
    <w:r w:rsidRPr="00836EE1">
      <w:rPr>
        <w:rFonts w:ascii="Arial" w:hAnsi="Arial" w:cs="Arial"/>
        <w:spacing w:val="20"/>
        <w:w w:val="200"/>
        <w:sz w:val="8"/>
        <w:szCs w:val="8"/>
      </w:rPr>
      <w:t>RISALES</w:t>
    </w:r>
    <w:r>
      <w:rPr>
        <w:rFonts w:ascii="Arial" w:hAnsi="Arial" w:cs="Arial"/>
        <w:spacing w:val="20"/>
        <w:w w:val="200"/>
        <w:sz w:val="8"/>
        <w:szCs w:val="8"/>
      </w:rPr>
      <w:t xml:space="preserve"> </w:t>
    </w:r>
    <w:r w:rsidRPr="00836EE1">
      <w:rPr>
        <w:rFonts w:ascii="Arial" w:hAnsi="Arial" w:cs="Arial"/>
        <w:spacing w:val="20"/>
        <w:w w:val="200"/>
        <w:sz w:val="12"/>
        <w:szCs w:val="12"/>
      </w:rPr>
      <w:t>H</w:t>
    </w:r>
    <w:r w:rsidRPr="00836EE1">
      <w:rPr>
        <w:rFonts w:ascii="Arial" w:hAnsi="Arial" w:cs="Arial"/>
        <w:spacing w:val="20"/>
        <w:w w:val="200"/>
        <w:sz w:val="8"/>
        <w:szCs w:val="8"/>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6EC8" w14:textId="77777777" w:rsidR="006E230F" w:rsidRDefault="006E230F" w:rsidP="00934BB4">
      <w:r>
        <w:separator/>
      </w:r>
    </w:p>
  </w:footnote>
  <w:footnote w:type="continuationSeparator" w:id="0">
    <w:p w14:paraId="32EA5959" w14:textId="77777777" w:rsidR="006E230F" w:rsidRDefault="006E230F" w:rsidP="00934BB4">
      <w:r>
        <w:continuationSeparator/>
      </w:r>
    </w:p>
  </w:footnote>
  <w:footnote w:id="1">
    <w:p w14:paraId="10B8F2A6" w14:textId="77777777" w:rsidR="008D4F8E" w:rsidRPr="00094383" w:rsidRDefault="008D4F8E" w:rsidP="00094383">
      <w:pPr>
        <w:pStyle w:val="Textonotapie"/>
        <w:jc w:val="both"/>
        <w:rPr>
          <w:rFonts w:ascii="Century" w:hAnsi="Century"/>
          <w:sz w:val="18"/>
          <w:szCs w:val="22"/>
        </w:rPr>
      </w:pPr>
      <w:r w:rsidRPr="00094383">
        <w:rPr>
          <w:rStyle w:val="Refdenotaalpie"/>
          <w:rFonts w:ascii="Century" w:hAnsi="Century"/>
          <w:sz w:val="18"/>
          <w:szCs w:val="22"/>
        </w:rPr>
        <w:footnoteRef/>
      </w:r>
      <w:r w:rsidRPr="00094383">
        <w:rPr>
          <w:rFonts w:ascii="Century" w:hAnsi="Century"/>
          <w:sz w:val="18"/>
          <w:szCs w:val="22"/>
        </w:rPr>
        <w:t xml:space="preserve"> </w:t>
      </w:r>
      <w:r w:rsidRPr="00094383">
        <w:rPr>
          <w:rFonts w:ascii="Century" w:hAnsi="Century"/>
          <w:sz w:val="18"/>
          <w:szCs w:val="22"/>
          <w:lang w:val="es-CO"/>
        </w:rPr>
        <w:t>ESCOBAR V. Édgar G. Los recursos en el Código General del Proceso. Librería jurídica Sánchez R. Ltda. 2015, p.37.</w:t>
      </w:r>
    </w:p>
  </w:footnote>
  <w:footnote w:id="2">
    <w:p w14:paraId="10B8F2A7" w14:textId="77777777" w:rsidR="008D4F8E" w:rsidRPr="00094383" w:rsidRDefault="008D4F8E" w:rsidP="00094383">
      <w:pPr>
        <w:pStyle w:val="Textonotapie"/>
        <w:jc w:val="both"/>
        <w:rPr>
          <w:rFonts w:ascii="Century" w:hAnsi="Century"/>
          <w:sz w:val="18"/>
          <w:szCs w:val="22"/>
        </w:rPr>
      </w:pPr>
      <w:r w:rsidRPr="00094383">
        <w:rPr>
          <w:rFonts w:ascii="Century" w:hAnsi="Century"/>
          <w:sz w:val="18"/>
          <w:szCs w:val="22"/>
          <w:vertAlign w:val="superscript"/>
        </w:rPr>
        <w:footnoteRef/>
      </w:r>
      <w:r w:rsidRPr="00094383">
        <w:rPr>
          <w:rFonts w:ascii="Century" w:hAnsi="Century"/>
          <w:sz w:val="18"/>
          <w:szCs w:val="22"/>
        </w:rPr>
        <w:t xml:space="preserve"> </w:t>
      </w:r>
      <w:r w:rsidRPr="00094383">
        <w:rPr>
          <w:rFonts w:ascii="Century" w:hAnsi="Century"/>
          <w:sz w:val="18"/>
          <w:szCs w:val="22"/>
          <w:lang w:val="es-CO"/>
        </w:rPr>
        <w:t>LÓPEZ B., Hernán F. Código General del Proceso, parte general, Bogotá DC, Dupre editores, 2016, p.769-776</w:t>
      </w:r>
      <w:r w:rsidRPr="00094383">
        <w:rPr>
          <w:rFonts w:ascii="Century" w:hAnsi="Century"/>
          <w:sz w:val="18"/>
          <w:szCs w:val="22"/>
        </w:rPr>
        <w:t>.</w:t>
      </w:r>
    </w:p>
  </w:footnote>
  <w:footnote w:id="3">
    <w:p w14:paraId="10B8F2A8" w14:textId="77777777" w:rsidR="008D4F8E" w:rsidRPr="00094383" w:rsidRDefault="008D4F8E" w:rsidP="00094383">
      <w:pPr>
        <w:pStyle w:val="Textonotapie"/>
        <w:jc w:val="both"/>
        <w:rPr>
          <w:rFonts w:ascii="Century" w:hAnsi="Century"/>
          <w:sz w:val="18"/>
          <w:szCs w:val="22"/>
        </w:rPr>
      </w:pPr>
      <w:r w:rsidRPr="00094383">
        <w:rPr>
          <w:rFonts w:ascii="Century" w:hAnsi="Century"/>
          <w:sz w:val="18"/>
          <w:szCs w:val="22"/>
          <w:vertAlign w:val="superscript"/>
        </w:rPr>
        <w:footnoteRef/>
      </w:r>
      <w:r w:rsidRPr="00094383">
        <w:rPr>
          <w:rFonts w:ascii="Century" w:hAnsi="Century"/>
          <w:sz w:val="18"/>
          <w:szCs w:val="22"/>
        </w:rPr>
        <w:t xml:space="preserve"> PARRA Q., Jairo. Derecho procesal civil, tomo I, Santafé de Bogotá DC, Temis, 1992, p.276.</w:t>
      </w:r>
    </w:p>
  </w:footnote>
  <w:footnote w:id="4">
    <w:p w14:paraId="10B8F2A9" w14:textId="77777777" w:rsidR="002F0156" w:rsidRPr="00094383" w:rsidRDefault="002F0156" w:rsidP="00094383">
      <w:pPr>
        <w:pStyle w:val="Sinespaciado"/>
        <w:jc w:val="both"/>
        <w:rPr>
          <w:rFonts w:ascii="Century" w:hAnsi="Century" w:cs="Times New Roman"/>
          <w:sz w:val="18"/>
        </w:rPr>
      </w:pPr>
      <w:r w:rsidRPr="00094383">
        <w:rPr>
          <w:rFonts w:ascii="Century" w:hAnsi="Century" w:cs="Times New Roman"/>
          <w:sz w:val="18"/>
          <w:vertAlign w:val="superscript"/>
        </w:rPr>
        <w:footnoteRef/>
      </w:r>
      <w:r w:rsidRPr="00094383">
        <w:rPr>
          <w:rFonts w:ascii="Century" w:hAnsi="Century" w:cs="Times New Roman"/>
          <w:sz w:val="18"/>
        </w:rPr>
        <w:t xml:space="preserve"> </w:t>
      </w:r>
      <w:r w:rsidR="005B0036" w:rsidRPr="00094383">
        <w:rPr>
          <w:rFonts w:ascii="Century" w:hAnsi="Century" w:cs="Times New Roman"/>
          <w:sz w:val="18"/>
          <w:lang w:val="es-CO"/>
        </w:rPr>
        <w:t>LÓPEZ B., Hernán F.</w:t>
      </w:r>
      <w:r w:rsidRPr="00094383">
        <w:rPr>
          <w:rFonts w:ascii="Century" w:hAnsi="Century" w:cs="Times New Roman"/>
          <w:sz w:val="18"/>
          <w:lang w:val="es-CO"/>
        </w:rPr>
        <w:t xml:space="preserve"> </w:t>
      </w:r>
      <w:r w:rsidR="00C545C3" w:rsidRPr="00094383">
        <w:rPr>
          <w:rFonts w:ascii="Century" w:hAnsi="Century" w:cs="Times New Roman"/>
          <w:sz w:val="18"/>
        </w:rPr>
        <w:t>o</w:t>
      </w:r>
      <w:r w:rsidRPr="00094383">
        <w:rPr>
          <w:rFonts w:ascii="Century" w:hAnsi="Century" w:cs="Times New Roman"/>
          <w:sz w:val="18"/>
        </w:rPr>
        <w:t>b. cit., p.769.</w:t>
      </w:r>
    </w:p>
  </w:footnote>
  <w:footnote w:id="5">
    <w:p w14:paraId="10B8F2AA" w14:textId="733BFD9E" w:rsidR="009806FC" w:rsidRPr="00094383" w:rsidRDefault="009806FC" w:rsidP="00094383">
      <w:pPr>
        <w:pStyle w:val="Textonotapie"/>
        <w:jc w:val="both"/>
        <w:rPr>
          <w:rFonts w:ascii="Century" w:hAnsi="Century"/>
          <w:sz w:val="18"/>
          <w:szCs w:val="22"/>
          <w:lang w:val="es-CO"/>
        </w:rPr>
      </w:pPr>
      <w:r w:rsidRPr="00094383">
        <w:rPr>
          <w:rStyle w:val="Refdenotaalpie"/>
          <w:rFonts w:ascii="Century" w:hAnsi="Century"/>
          <w:sz w:val="18"/>
          <w:szCs w:val="22"/>
        </w:rPr>
        <w:footnoteRef/>
      </w:r>
      <w:r w:rsidRPr="00094383">
        <w:rPr>
          <w:rFonts w:ascii="Century" w:hAnsi="Century"/>
          <w:sz w:val="18"/>
          <w:szCs w:val="22"/>
        </w:rPr>
        <w:t xml:space="preserve"> </w:t>
      </w:r>
      <w:r w:rsidR="008400E1" w:rsidRPr="00094383">
        <w:rPr>
          <w:rFonts w:ascii="Century" w:hAnsi="Century"/>
          <w:sz w:val="18"/>
          <w:szCs w:val="22"/>
          <w:lang w:val="es-CO"/>
        </w:rPr>
        <w:t>ROJAS G., Miguel E. Lecciones de derecho procesal, procedimiento civil, tomo II, ESAJU, 2020, 7ª edición, Bogotá, p.468</w:t>
      </w:r>
      <w:r w:rsidRPr="00094383">
        <w:rPr>
          <w:rFonts w:ascii="Century" w:hAnsi="Century"/>
          <w:sz w:val="18"/>
          <w:szCs w:val="22"/>
          <w:lang w:val="es-CO"/>
        </w:rPr>
        <w:t>.</w:t>
      </w:r>
    </w:p>
  </w:footnote>
  <w:footnote w:id="6">
    <w:p w14:paraId="294D467C" w14:textId="7E96DF1F" w:rsidR="00F9683E" w:rsidRPr="00094383" w:rsidRDefault="00F9683E" w:rsidP="00094383">
      <w:pPr>
        <w:pStyle w:val="Textonotapie"/>
        <w:jc w:val="both"/>
        <w:rPr>
          <w:rFonts w:ascii="Century" w:hAnsi="Century"/>
          <w:sz w:val="18"/>
          <w:lang w:val="es-CO"/>
        </w:rPr>
      </w:pPr>
      <w:r w:rsidRPr="00094383">
        <w:rPr>
          <w:rStyle w:val="Refdenotaalpie"/>
          <w:rFonts w:ascii="Century" w:hAnsi="Century"/>
          <w:sz w:val="18"/>
        </w:rPr>
        <w:footnoteRef/>
      </w:r>
      <w:r w:rsidRPr="00094383">
        <w:rPr>
          <w:rFonts w:ascii="Century" w:hAnsi="Century"/>
          <w:sz w:val="18"/>
        </w:rPr>
        <w:t xml:space="preserve"> Ídem</w:t>
      </w:r>
      <w:r w:rsidRPr="00094383">
        <w:rPr>
          <w:rFonts w:ascii="Century" w:hAnsi="Century"/>
          <w:sz w:val="18"/>
          <w:lang w:val="es-CO"/>
        </w:rPr>
        <w:t xml:space="preserve">. </w:t>
      </w:r>
    </w:p>
  </w:footnote>
  <w:footnote w:id="7">
    <w:p w14:paraId="10B8F2AB" w14:textId="77777777" w:rsidR="008D4F8E" w:rsidRPr="00094383" w:rsidRDefault="008D4F8E" w:rsidP="00094383">
      <w:pPr>
        <w:pStyle w:val="Textonotapie"/>
        <w:jc w:val="both"/>
        <w:rPr>
          <w:rFonts w:ascii="Century" w:hAnsi="Century"/>
          <w:sz w:val="18"/>
          <w:szCs w:val="22"/>
        </w:rPr>
      </w:pPr>
      <w:r w:rsidRPr="00094383">
        <w:rPr>
          <w:rStyle w:val="Refdenotaalpie"/>
          <w:rFonts w:ascii="Century" w:hAnsi="Century"/>
          <w:sz w:val="18"/>
          <w:szCs w:val="22"/>
        </w:rPr>
        <w:footnoteRef/>
      </w:r>
      <w:r w:rsidRPr="00094383">
        <w:rPr>
          <w:rFonts w:ascii="Century" w:hAnsi="Century"/>
          <w:sz w:val="18"/>
          <w:szCs w:val="22"/>
        </w:rPr>
        <w:t xml:space="preserve"> </w:t>
      </w:r>
      <w:r w:rsidRPr="00094383">
        <w:rPr>
          <w:rFonts w:ascii="Century" w:hAnsi="Century"/>
          <w:sz w:val="18"/>
          <w:szCs w:val="22"/>
          <w:lang w:val="es-CO"/>
        </w:rPr>
        <w:t>CSJ. Sala Civil. Sentencia del 17-09-1992; MP: Ospina B.</w:t>
      </w:r>
    </w:p>
  </w:footnote>
  <w:footnote w:id="8">
    <w:p w14:paraId="10B8F2AC" w14:textId="77777777" w:rsidR="008D4F8E" w:rsidRPr="00094383" w:rsidRDefault="008D4F8E" w:rsidP="00094383">
      <w:pPr>
        <w:pStyle w:val="Textonotapie"/>
        <w:jc w:val="both"/>
        <w:rPr>
          <w:rFonts w:ascii="Century" w:hAnsi="Century"/>
          <w:sz w:val="18"/>
          <w:szCs w:val="22"/>
        </w:rPr>
      </w:pPr>
      <w:r w:rsidRPr="00094383">
        <w:rPr>
          <w:rStyle w:val="Refdenotaalpie"/>
          <w:rFonts w:ascii="Century" w:hAnsi="Century"/>
          <w:sz w:val="18"/>
          <w:szCs w:val="22"/>
        </w:rPr>
        <w:footnoteRef/>
      </w:r>
      <w:r w:rsidRPr="00094383">
        <w:rPr>
          <w:rFonts w:ascii="Century" w:hAnsi="Century"/>
          <w:sz w:val="18"/>
          <w:szCs w:val="22"/>
        </w:rPr>
        <w:t xml:space="preserve"> </w:t>
      </w:r>
      <w:r w:rsidRPr="00094383">
        <w:rPr>
          <w:rFonts w:ascii="Century" w:hAnsi="Century"/>
          <w:sz w:val="18"/>
          <w:szCs w:val="22"/>
          <w:lang w:val="es-CO"/>
        </w:rPr>
        <w:t>CSJ. STC12737-2017.</w:t>
      </w:r>
    </w:p>
  </w:footnote>
  <w:footnote w:id="9">
    <w:p w14:paraId="10B8F2AD" w14:textId="77777777" w:rsidR="008D4F8E" w:rsidRPr="00094383" w:rsidRDefault="008D4F8E" w:rsidP="00094383">
      <w:pPr>
        <w:pStyle w:val="Textonotapie"/>
        <w:jc w:val="both"/>
        <w:rPr>
          <w:rFonts w:ascii="Century" w:hAnsi="Century"/>
          <w:sz w:val="18"/>
          <w:szCs w:val="22"/>
        </w:rPr>
      </w:pPr>
      <w:r w:rsidRPr="00094383">
        <w:rPr>
          <w:rStyle w:val="Refdenotaalpie"/>
          <w:rFonts w:ascii="Century" w:hAnsi="Century"/>
          <w:sz w:val="18"/>
          <w:szCs w:val="22"/>
        </w:rPr>
        <w:footnoteRef/>
      </w:r>
      <w:r w:rsidRPr="00094383">
        <w:rPr>
          <w:rFonts w:ascii="Century" w:hAnsi="Century"/>
          <w:sz w:val="18"/>
          <w:szCs w:val="22"/>
        </w:rPr>
        <w:t xml:space="preserve"> </w:t>
      </w:r>
      <w:r w:rsidRPr="00094383">
        <w:rPr>
          <w:rFonts w:ascii="Century" w:hAnsi="Century"/>
          <w:sz w:val="18"/>
          <w:szCs w:val="22"/>
          <w:lang w:val="es-CO"/>
        </w:rPr>
        <w:t>LÓPEZ B., Hernán F.</w:t>
      </w:r>
      <w:r w:rsidRPr="00094383">
        <w:rPr>
          <w:rFonts w:ascii="Century" w:hAnsi="Century"/>
          <w:sz w:val="18"/>
          <w:szCs w:val="22"/>
        </w:rPr>
        <w:t xml:space="preserve"> Ob. cit., p.776.</w:t>
      </w:r>
    </w:p>
  </w:footnote>
  <w:footnote w:id="10">
    <w:p w14:paraId="10B8F2AE" w14:textId="77777777" w:rsidR="008D4F8E" w:rsidRPr="00094383" w:rsidRDefault="008D4F8E" w:rsidP="00094383">
      <w:pPr>
        <w:pStyle w:val="Textonotapie"/>
        <w:jc w:val="both"/>
        <w:rPr>
          <w:rFonts w:ascii="Century" w:hAnsi="Century"/>
          <w:sz w:val="18"/>
          <w:szCs w:val="22"/>
        </w:rPr>
      </w:pPr>
      <w:r w:rsidRPr="00094383">
        <w:rPr>
          <w:rStyle w:val="Refdenotaalpie"/>
          <w:rFonts w:ascii="Century" w:hAnsi="Century"/>
          <w:sz w:val="18"/>
          <w:szCs w:val="22"/>
        </w:rPr>
        <w:footnoteRef/>
      </w:r>
      <w:r w:rsidRPr="00094383">
        <w:rPr>
          <w:rFonts w:ascii="Century" w:hAnsi="Century"/>
          <w:sz w:val="18"/>
          <w:szCs w:val="22"/>
        </w:rPr>
        <w:t xml:space="preserve"> </w:t>
      </w:r>
      <w:r w:rsidRPr="00094383">
        <w:rPr>
          <w:rFonts w:ascii="Century" w:hAnsi="Century"/>
          <w:sz w:val="18"/>
          <w:szCs w:val="22"/>
          <w:lang w:val="es-CO"/>
        </w:rPr>
        <w:t>ROJAS G., Miguel E. Código General del Proceso comentado, ESAJU, 2017, Bogotá DC, p.511.</w:t>
      </w:r>
    </w:p>
  </w:footnote>
  <w:footnote w:id="11">
    <w:p w14:paraId="1F751B27" w14:textId="77777777" w:rsidR="00D00FE9" w:rsidRPr="00094383" w:rsidRDefault="00D00FE9" w:rsidP="00094383">
      <w:pPr>
        <w:pStyle w:val="Textonotapie"/>
        <w:jc w:val="both"/>
        <w:rPr>
          <w:rFonts w:ascii="Century" w:hAnsi="Century"/>
          <w:sz w:val="18"/>
          <w:lang w:val="es-CO"/>
        </w:rPr>
      </w:pPr>
      <w:r w:rsidRPr="00094383">
        <w:rPr>
          <w:rStyle w:val="Refdenotaalpie"/>
          <w:rFonts w:ascii="Century" w:hAnsi="Century"/>
          <w:sz w:val="18"/>
        </w:rPr>
        <w:footnoteRef/>
      </w:r>
      <w:r w:rsidRPr="00094383">
        <w:rPr>
          <w:rFonts w:ascii="Century" w:hAnsi="Century"/>
          <w:sz w:val="18"/>
        </w:rPr>
        <w:t xml:space="preserve"> </w:t>
      </w:r>
      <w:r w:rsidRPr="00094383">
        <w:rPr>
          <w:rFonts w:ascii="Century" w:hAnsi="Century"/>
          <w:sz w:val="18"/>
          <w:lang w:val="es-CO"/>
        </w:rPr>
        <w:t>CSJ. Sala Civil. Providencia del 04-11-2009, No.2009-00976-00.</w:t>
      </w:r>
    </w:p>
  </w:footnote>
  <w:footnote w:id="12">
    <w:p w14:paraId="7F9BA0B5" w14:textId="32EA7721" w:rsidR="0037017B" w:rsidRPr="00094383" w:rsidRDefault="0037017B" w:rsidP="00094383">
      <w:pPr>
        <w:pStyle w:val="Textonotapie"/>
        <w:jc w:val="both"/>
        <w:rPr>
          <w:rFonts w:ascii="Century" w:hAnsi="Century"/>
          <w:sz w:val="18"/>
          <w:lang w:val="es-CO"/>
        </w:rPr>
      </w:pPr>
      <w:r w:rsidRPr="00094383">
        <w:rPr>
          <w:rStyle w:val="Refdenotaalpie"/>
          <w:rFonts w:ascii="Century" w:hAnsi="Century"/>
          <w:sz w:val="18"/>
        </w:rPr>
        <w:footnoteRef/>
      </w:r>
      <w:r w:rsidRPr="00094383">
        <w:rPr>
          <w:rFonts w:ascii="Century" w:hAnsi="Century"/>
          <w:sz w:val="18"/>
        </w:rPr>
        <w:t xml:space="preserve"> </w:t>
      </w:r>
      <w:r w:rsidRPr="00094383">
        <w:rPr>
          <w:rFonts w:ascii="Century" w:hAnsi="Century"/>
          <w:sz w:val="18"/>
          <w:lang w:val="es-CO"/>
        </w:rPr>
        <w:t>CSJ. AC584-2017.</w:t>
      </w:r>
    </w:p>
  </w:footnote>
  <w:footnote w:id="13">
    <w:p w14:paraId="7B7D5F60" w14:textId="77777777" w:rsidR="00ED0D05" w:rsidRPr="00094383" w:rsidRDefault="00ED0D05" w:rsidP="00094383">
      <w:pPr>
        <w:pStyle w:val="Textonotapie"/>
        <w:jc w:val="both"/>
        <w:rPr>
          <w:rFonts w:ascii="Century" w:hAnsi="Century"/>
          <w:sz w:val="18"/>
          <w:lang w:val="es-CO"/>
        </w:rPr>
      </w:pPr>
      <w:r w:rsidRPr="00094383">
        <w:rPr>
          <w:rStyle w:val="Refdenotaalpie"/>
          <w:rFonts w:ascii="Century" w:hAnsi="Century"/>
          <w:sz w:val="18"/>
        </w:rPr>
        <w:footnoteRef/>
      </w:r>
      <w:r w:rsidRPr="00094383">
        <w:rPr>
          <w:rFonts w:ascii="Century" w:hAnsi="Century"/>
          <w:sz w:val="18"/>
        </w:rPr>
        <w:t xml:space="preserve"> </w:t>
      </w:r>
      <w:r w:rsidRPr="00094383">
        <w:rPr>
          <w:rFonts w:ascii="Century" w:hAnsi="Century"/>
          <w:sz w:val="18"/>
          <w:lang w:val="es-CO"/>
        </w:rPr>
        <w:t>LÓPEZ B., Hernán F. Ob. cit., p.880.</w:t>
      </w:r>
    </w:p>
  </w:footnote>
  <w:footnote w:id="14">
    <w:p w14:paraId="13C0E807" w14:textId="77777777" w:rsidR="00ED0D05" w:rsidRPr="00094383" w:rsidRDefault="00ED0D05" w:rsidP="00094383">
      <w:pPr>
        <w:pStyle w:val="Textonotapie"/>
        <w:jc w:val="both"/>
        <w:rPr>
          <w:rFonts w:ascii="Century" w:hAnsi="Century"/>
          <w:sz w:val="18"/>
          <w:lang w:val="es-CO"/>
        </w:rPr>
      </w:pPr>
      <w:r w:rsidRPr="00094383">
        <w:rPr>
          <w:rStyle w:val="Refdenotaalpie"/>
          <w:rFonts w:ascii="Century" w:hAnsi="Century"/>
          <w:sz w:val="18"/>
        </w:rPr>
        <w:footnoteRef/>
      </w:r>
      <w:r w:rsidRPr="00094383">
        <w:rPr>
          <w:rFonts w:ascii="Century" w:hAnsi="Century"/>
          <w:sz w:val="18"/>
        </w:rPr>
        <w:t xml:space="preserve"> </w:t>
      </w:r>
      <w:r w:rsidRPr="00094383">
        <w:rPr>
          <w:rFonts w:ascii="Century" w:hAnsi="Century"/>
          <w:sz w:val="18"/>
          <w:lang w:val="es-CO"/>
        </w:rPr>
        <w:t>ESCOBAR V. Édgar G. Ob. cit. p.95.</w:t>
      </w:r>
    </w:p>
  </w:footnote>
  <w:footnote w:id="15">
    <w:p w14:paraId="6A921BA6" w14:textId="77777777" w:rsidR="00ED0D05" w:rsidRPr="00094383" w:rsidRDefault="00ED0D05" w:rsidP="00094383">
      <w:pPr>
        <w:pStyle w:val="Textonotapie"/>
        <w:jc w:val="both"/>
        <w:rPr>
          <w:rFonts w:ascii="Century" w:hAnsi="Century"/>
          <w:sz w:val="18"/>
          <w:lang w:val="es-CO"/>
        </w:rPr>
      </w:pPr>
      <w:r w:rsidRPr="00094383">
        <w:rPr>
          <w:rStyle w:val="Refdenotaalpie"/>
          <w:rFonts w:ascii="Century" w:hAnsi="Century"/>
          <w:sz w:val="18"/>
        </w:rPr>
        <w:footnoteRef/>
      </w:r>
      <w:r w:rsidRPr="00094383">
        <w:rPr>
          <w:rFonts w:ascii="Century" w:hAnsi="Century"/>
          <w:sz w:val="18"/>
        </w:rPr>
        <w:t xml:space="preserve"> </w:t>
      </w:r>
      <w:r w:rsidRPr="00094383">
        <w:rPr>
          <w:rFonts w:ascii="Century" w:hAnsi="Century"/>
          <w:sz w:val="18"/>
          <w:lang w:val="es-CO"/>
        </w:rPr>
        <w:t>ROJAS G., Miguel E. Lecciones de derecho procesal, ob. cit., pg.370.</w:t>
      </w:r>
    </w:p>
  </w:footnote>
  <w:footnote w:id="16">
    <w:p w14:paraId="10B8F2B1" w14:textId="77777777" w:rsidR="00C545C3" w:rsidRPr="00D04AD6" w:rsidRDefault="00C545C3" w:rsidP="00094383">
      <w:pPr>
        <w:pStyle w:val="Textonotapie"/>
        <w:jc w:val="both"/>
        <w:rPr>
          <w:rFonts w:ascii="Century" w:hAnsi="Century"/>
          <w:szCs w:val="22"/>
          <w:lang w:val="es-CO"/>
        </w:rPr>
      </w:pPr>
      <w:r w:rsidRPr="00094383">
        <w:rPr>
          <w:rStyle w:val="Refdenotaalpie"/>
          <w:rFonts w:ascii="Century" w:hAnsi="Century"/>
          <w:sz w:val="18"/>
          <w:szCs w:val="22"/>
        </w:rPr>
        <w:footnoteRef/>
      </w:r>
      <w:r w:rsidRPr="00094383">
        <w:rPr>
          <w:rFonts w:ascii="Century" w:hAnsi="Century"/>
          <w:sz w:val="18"/>
          <w:szCs w:val="22"/>
        </w:rPr>
        <w:t xml:space="preserve"> </w:t>
      </w:r>
      <w:r w:rsidR="003E05A3" w:rsidRPr="00094383">
        <w:rPr>
          <w:rFonts w:ascii="Century" w:hAnsi="Century"/>
          <w:sz w:val="18"/>
          <w:szCs w:val="22"/>
          <w:lang w:val="es-CO"/>
        </w:rPr>
        <w:t>LÓPEZ B., Hernán F.</w:t>
      </w:r>
      <w:r w:rsidRPr="00094383">
        <w:rPr>
          <w:rFonts w:ascii="Century" w:hAnsi="Century"/>
          <w:sz w:val="18"/>
          <w:szCs w:val="22"/>
        </w:rPr>
        <w:t xml:space="preserve"> ob. cit., p.880</w:t>
      </w:r>
      <w:r w:rsidRPr="00094383">
        <w:rPr>
          <w:rFonts w:ascii="Century" w:hAnsi="Century" w:cs="Calibri"/>
          <w:sz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9E" w14:textId="77777777" w:rsidR="00CF2BC2" w:rsidRPr="00267A1F" w:rsidRDefault="00CF2BC2" w:rsidP="00D279DF">
    <w:pPr>
      <w:pStyle w:val="Encabezado"/>
      <w:pBdr>
        <w:bottom w:val="single" w:sz="4" w:space="1" w:color="D9D9D9"/>
      </w:pBdr>
      <w:jc w:val="right"/>
      <w:rPr>
        <w:rFonts w:ascii="Calibri" w:hAnsi="Calibri" w:cs="Calibri"/>
        <w:b/>
        <w:bCs/>
      </w:rPr>
    </w:pPr>
    <w:r w:rsidRPr="00267A1F">
      <w:rPr>
        <w:rFonts w:ascii="Calibri" w:hAnsi="Calibri" w:cs="Calibri"/>
        <w:spacing w:val="60"/>
      </w:rPr>
      <w:t>Página</w:t>
    </w:r>
    <w:r w:rsidRPr="00267A1F">
      <w:rPr>
        <w:rFonts w:ascii="Calibri" w:hAnsi="Calibri" w:cs="Calibri"/>
      </w:rPr>
      <w:t xml:space="preserve"> | </w:t>
    </w:r>
    <w:r w:rsidRPr="00267A1F">
      <w:rPr>
        <w:rFonts w:ascii="Calibri" w:hAnsi="Calibri" w:cs="Calibri"/>
      </w:rPr>
      <w:fldChar w:fldCharType="begin"/>
    </w:r>
    <w:r w:rsidRPr="00267A1F">
      <w:rPr>
        <w:rFonts w:ascii="Calibri" w:hAnsi="Calibri" w:cs="Calibri"/>
      </w:rPr>
      <w:instrText>PAGE   \* MERGEFORMAT</w:instrText>
    </w:r>
    <w:r w:rsidRPr="00267A1F">
      <w:rPr>
        <w:rFonts w:ascii="Calibri" w:hAnsi="Calibri" w:cs="Calibri"/>
      </w:rPr>
      <w:fldChar w:fldCharType="separate"/>
    </w:r>
    <w:r w:rsidR="00053CED" w:rsidRPr="00267A1F">
      <w:rPr>
        <w:rFonts w:ascii="Calibri" w:hAnsi="Calibri" w:cs="Calibri"/>
        <w:noProof/>
      </w:rPr>
      <w:t>1</w:t>
    </w:r>
    <w:r w:rsidRPr="00267A1F">
      <w:rPr>
        <w:rFonts w:ascii="Calibri" w:hAnsi="Calibri" w:cs="Calibri"/>
      </w:rPr>
      <w:fldChar w:fldCharType="end"/>
    </w:r>
  </w:p>
  <w:p w14:paraId="38F05C6D" w14:textId="4F04D280" w:rsidR="00731779" w:rsidRPr="00267A1F" w:rsidRDefault="00731779" w:rsidP="00731779">
    <w:pPr>
      <w:pStyle w:val="Encabezado"/>
      <w:rPr>
        <w:rFonts w:ascii="Calibri Light" w:hAnsi="Calibri Light" w:cs="Iskoola Pota"/>
        <w:i/>
        <w:sz w:val="18"/>
        <w:lang w:val="es-CO"/>
      </w:rPr>
    </w:pPr>
    <w:r w:rsidRPr="00267A1F">
      <w:rPr>
        <w:rFonts w:ascii="Calibri Light" w:hAnsi="Calibri Light" w:cs="Iskoola Pota"/>
        <w:i/>
        <w:lang w:val="es-CO"/>
      </w:rPr>
      <w:t>E</w:t>
    </w:r>
    <w:r w:rsidRPr="00267A1F">
      <w:rPr>
        <w:rFonts w:ascii="Calibri Light" w:hAnsi="Calibri Light" w:cs="Iskoola Pota"/>
        <w:i/>
        <w:sz w:val="16"/>
        <w:lang w:val="es-CO"/>
      </w:rPr>
      <w:t>XPEDIENTE No.</w:t>
    </w:r>
    <w:r w:rsidR="00267A1F" w:rsidRPr="00267A1F">
      <w:rPr>
        <w:rFonts w:ascii="Calibri Light" w:hAnsi="Calibri Light" w:cs="Iskoola Pota"/>
        <w:i/>
        <w:sz w:val="16"/>
        <w:lang w:val="es-CO"/>
      </w:rPr>
      <w:t xml:space="preserve"> </w:t>
    </w:r>
    <w:r w:rsidRPr="00267A1F">
      <w:rPr>
        <w:rFonts w:ascii="Calibri Light" w:hAnsi="Calibri Light" w:cs="Iskoola Pota"/>
        <w:i/>
        <w:sz w:val="16"/>
        <w:lang w:val="es-CO"/>
      </w:rPr>
      <w:t>20</w:t>
    </w:r>
    <w:r w:rsidR="0037017B" w:rsidRPr="00267A1F">
      <w:rPr>
        <w:rFonts w:ascii="Calibri Light" w:hAnsi="Calibri Light" w:cs="Iskoola Pota"/>
        <w:i/>
        <w:sz w:val="16"/>
        <w:lang w:val="es-CO"/>
      </w:rPr>
      <w:t>21</w:t>
    </w:r>
    <w:r w:rsidRPr="00267A1F">
      <w:rPr>
        <w:rFonts w:ascii="Calibri Light" w:hAnsi="Calibri Light" w:cs="Iskoola Pota"/>
        <w:i/>
        <w:sz w:val="16"/>
        <w:lang w:val="es-CO"/>
      </w:rPr>
      <w:t>-00</w:t>
    </w:r>
    <w:r w:rsidR="0037017B" w:rsidRPr="00267A1F">
      <w:rPr>
        <w:rFonts w:ascii="Calibri Light" w:hAnsi="Calibri Light" w:cs="Iskoola Pota"/>
        <w:i/>
        <w:sz w:val="16"/>
        <w:lang w:val="es-CO"/>
      </w:rPr>
      <w:t>017</w:t>
    </w:r>
    <w:r w:rsidRPr="00267A1F">
      <w:rPr>
        <w:rFonts w:ascii="Calibri Light" w:hAnsi="Calibri Light" w:cs="Iskoola Pota"/>
        <w:i/>
        <w:sz w:val="16"/>
        <w:lang w:val="es-CO"/>
      </w:rPr>
      <w:t>-01</w:t>
    </w:r>
  </w:p>
  <w:p w14:paraId="10B8F2A0" w14:textId="77777777" w:rsidR="00CF2BC2" w:rsidRPr="00267A1F" w:rsidRDefault="00CF2BC2" w:rsidP="0013799C">
    <w:pPr>
      <w:pStyle w:val="Encabezado"/>
      <w:ind w:right="360"/>
      <w:jc w:val="both"/>
      <w:rPr>
        <w:rFonts w:ascii="Calibri" w:hAnsi="Calibri" w:cs="Calibri"/>
      </w:rPr>
    </w:pPr>
  </w:p>
  <w:p w14:paraId="10B8F2A1" w14:textId="77777777" w:rsidR="00CF2BC2" w:rsidRPr="006F2303" w:rsidRDefault="00CF2BC2" w:rsidP="00585B94">
    <w:pPr>
      <w:pStyle w:val="Encabezado"/>
      <w:jc w:val="right"/>
      <w:rPr>
        <w:rFonts w:ascii="Calibri" w:hAnsi="Calibri" w:cs="Calibri"/>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4F0"/>
    <w:multiLevelType w:val="hybridMultilevel"/>
    <w:tmpl w:val="E3CEF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2DA53BD3"/>
    <w:multiLevelType w:val="hybridMultilevel"/>
    <w:tmpl w:val="80E2D34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15:restartNumberingAfterBreak="0">
    <w:nsid w:val="52D329C7"/>
    <w:multiLevelType w:val="multilevel"/>
    <w:tmpl w:val="EDC67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9BE7731"/>
    <w:multiLevelType w:val="multilevel"/>
    <w:tmpl w:val="E62473B6"/>
    <w:lvl w:ilvl="0">
      <w:start w:val="4"/>
      <w:numFmt w:val="decimal"/>
      <w:lvlText w:val="%1."/>
      <w:lvlJc w:val="left"/>
      <w:pPr>
        <w:ind w:left="400" w:hanging="400"/>
      </w:pPr>
      <w:rPr>
        <w:rFonts w:hint="default"/>
        <w:sz w:val="24"/>
        <w:szCs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581253"/>
    <w:multiLevelType w:val="multilevel"/>
    <w:tmpl w:val="672C870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3"/>
  </w:num>
  <w:num w:numId="3">
    <w:abstractNumId w:val="4"/>
  </w:num>
  <w:num w:numId="4">
    <w:abstractNumId w:val="7"/>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C8"/>
    <w:rsid w:val="0000074F"/>
    <w:rsid w:val="000037BB"/>
    <w:rsid w:val="00024513"/>
    <w:rsid w:val="00024962"/>
    <w:rsid w:val="000257D4"/>
    <w:rsid w:val="00026A0B"/>
    <w:rsid w:val="000277D9"/>
    <w:rsid w:val="00032170"/>
    <w:rsid w:val="0003270C"/>
    <w:rsid w:val="00033C34"/>
    <w:rsid w:val="0004057A"/>
    <w:rsid w:val="00041035"/>
    <w:rsid w:val="00045583"/>
    <w:rsid w:val="0005335E"/>
    <w:rsid w:val="00053CED"/>
    <w:rsid w:val="00064B59"/>
    <w:rsid w:val="00073FC1"/>
    <w:rsid w:val="00082B69"/>
    <w:rsid w:val="0008352A"/>
    <w:rsid w:val="00084C89"/>
    <w:rsid w:val="00094383"/>
    <w:rsid w:val="00095957"/>
    <w:rsid w:val="0009631B"/>
    <w:rsid w:val="000A0D0F"/>
    <w:rsid w:val="000A3570"/>
    <w:rsid w:val="000A6D32"/>
    <w:rsid w:val="000B0AA5"/>
    <w:rsid w:val="000C072E"/>
    <w:rsid w:val="000C0AD3"/>
    <w:rsid w:val="000D198F"/>
    <w:rsid w:val="000D571D"/>
    <w:rsid w:val="000D5F5F"/>
    <w:rsid w:val="000E0A1E"/>
    <w:rsid w:val="000E35DB"/>
    <w:rsid w:val="000E770D"/>
    <w:rsid w:val="000F0859"/>
    <w:rsid w:val="000F3C9E"/>
    <w:rsid w:val="00103097"/>
    <w:rsid w:val="00103F51"/>
    <w:rsid w:val="00116E14"/>
    <w:rsid w:val="00121C98"/>
    <w:rsid w:val="0012212E"/>
    <w:rsid w:val="00123173"/>
    <w:rsid w:val="00125206"/>
    <w:rsid w:val="0012615B"/>
    <w:rsid w:val="001261EC"/>
    <w:rsid w:val="0012762C"/>
    <w:rsid w:val="001333D9"/>
    <w:rsid w:val="00133642"/>
    <w:rsid w:val="00134343"/>
    <w:rsid w:val="00136209"/>
    <w:rsid w:val="0013799C"/>
    <w:rsid w:val="0014171F"/>
    <w:rsid w:val="0014183E"/>
    <w:rsid w:val="00144F59"/>
    <w:rsid w:val="001469BE"/>
    <w:rsid w:val="00147B6F"/>
    <w:rsid w:val="00154E71"/>
    <w:rsid w:val="001605CE"/>
    <w:rsid w:val="001720A4"/>
    <w:rsid w:val="00181456"/>
    <w:rsid w:val="00182CE6"/>
    <w:rsid w:val="00187F98"/>
    <w:rsid w:val="00193EF3"/>
    <w:rsid w:val="00195679"/>
    <w:rsid w:val="001A04E5"/>
    <w:rsid w:val="001B103C"/>
    <w:rsid w:val="001B51FB"/>
    <w:rsid w:val="001C3FEE"/>
    <w:rsid w:val="001C486D"/>
    <w:rsid w:val="001D022B"/>
    <w:rsid w:val="001D1A8E"/>
    <w:rsid w:val="001D345B"/>
    <w:rsid w:val="001D35E7"/>
    <w:rsid w:val="001E15ED"/>
    <w:rsid w:val="001E217C"/>
    <w:rsid w:val="001E507E"/>
    <w:rsid w:val="001E5F3E"/>
    <w:rsid w:val="001E6028"/>
    <w:rsid w:val="001E6688"/>
    <w:rsid w:val="001E7E1D"/>
    <w:rsid w:val="001F061C"/>
    <w:rsid w:val="001F1AC3"/>
    <w:rsid w:val="001F7989"/>
    <w:rsid w:val="00202278"/>
    <w:rsid w:val="00202459"/>
    <w:rsid w:val="00204422"/>
    <w:rsid w:val="002069DC"/>
    <w:rsid w:val="0021100C"/>
    <w:rsid w:val="00214826"/>
    <w:rsid w:val="00225EBD"/>
    <w:rsid w:val="00231A7F"/>
    <w:rsid w:val="00231C63"/>
    <w:rsid w:val="00231EC9"/>
    <w:rsid w:val="0023594A"/>
    <w:rsid w:val="00237760"/>
    <w:rsid w:val="00237DB5"/>
    <w:rsid w:val="00241D5D"/>
    <w:rsid w:val="0024283A"/>
    <w:rsid w:val="00244FE8"/>
    <w:rsid w:val="0024635D"/>
    <w:rsid w:val="002508C8"/>
    <w:rsid w:val="00250A89"/>
    <w:rsid w:val="00262AA5"/>
    <w:rsid w:val="002643C1"/>
    <w:rsid w:val="00264C32"/>
    <w:rsid w:val="00267A1F"/>
    <w:rsid w:val="00267E63"/>
    <w:rsid w:val="002720BB"/>
    <w:rsid w:val="00276FBD"/>
    <w:rsid w:val="00283F3B"/>
    <w:rsid w:val="00284272"/>
    <w:rsid w:val="002954B9"/>
    <w:rsid w:val="00295B68"/>
    <w:rsid w:val="00297A18"/>
    <w:rsid w:val="002A2C45"/>
    <w:rsid w:val="002A3A14"/>
    <w:rsid w:val="002A4492"/>
    <w:rsid w:val="002A79C0"/>
    <w:rsid w:val="002B3782"/>
    <w:rsid w:val="002B63B1"/>
    <w:rsid w:val="002C082F"/>
    <w:rsid w:val="002C20A1"/>
    <w:rsid w:val="002C3054"/>
    <w:rsid w:val="002C3923"/>
    <w:rsid w:val="002D6801"/>
    <w:rsid w:val="002D7035"/>
    <w:rsid w:val="002E1265"/>
    <w:rsid w:val="002E3F14"/>
    <w:rsid w:val="002F0156"/>
    <w:rsid w:val="002F109A"/>
    <w:rsid w:val="002F17B8"/>
    <w:rsid w:val="002F3960"/>
    <w:rsid w:val="002F41F8"/>
    <w:rsid w:val="00300CA0"/>
    <w:rsid w:val="00303545"/>
    <w:rsid w:val="00305FD8"/>
    <w:rsid w:val="003101D8"/>
    <w:rsid w:val="00310452"/>
    <w:rsid w:val="00313209"/>
    <w:rsid w:val="0031546B"/>
    <w:rsid w:val="00316338"/>
    <w:rsid w:val="00321EB0"/>
    <w:rsid w:val="0032336B"/>
    <w:rsid w:val="00323FAA"/>
    <w:rsid w:val="00332BA5"/>
    <w:rsid w:val="003378C2"/>
    <w:rsid w:val="00344B8C"/>
    <w:rsid w:val="00345277"/>
    <w:rsid w:val="003469CD"/>
    <w:rsid w:val="003475B0"/>
    <w:rsid w:val="00354A55"/>
    <w:rsid w:val="00355163"/>
    <w:rsid w:val="003609B6"/>
    <w:rsid w:val="00360E12"/>
    <w:rsid w:val="0036415A"/>
    <w:rsid w:val="00364A03"/>
    <w:rsid w:val="003677FC"/>
    <w:rsid w:val="0037017B"/>
    <w:rsid w:val="00374B39"/>
    <w:rsid w:val="003755AA"/>
    <w:rsid w:val="003755C9"/>
    <w:rsid w:val="00385E58"/>
    <w:rsid w:val="00387DA1"/>
    <w:rsid w:val="0039148D"/>
    <w:rsid w:val="003918CD"/>
    <w:rsid w:val="00395097"/>
    <w:rsid w:val="00395DD3"/>
    <w:rsid w:val="00395FA8"/>
    <w:rsid w:val="003A0668"/>
    <w:rsid w:val="003A1DF5"/>
    <w:rsid w:val="003B0ABD"/>
    <w:rsid w:val="003B0B26"/>
    <w:rsid w:val="003B6759"/>
    <w:rsid w:val="003B6A33"/>
    <w:rsid w:val="003B7F40"/>
    <w:rsid w:val="003C23B2"/>
    <w:rsid w:val="003C7277"/>
    <w:rsid w:val="003D05FD"/>
    <w:rsid w:val="003D1EC4"/>
    <w:rsid w:val="003D1FEE"/>
    <w:rsid w:val="003D338B"/>
    <w:rsid w:val="003D637D"/>
    <w:rsid w:val="003D6411"/>
    <w:rsid w:val="003E05A3"/>
    <w:rsid w:val="003E0BE1"/>
    <w:rsid w:val="003E1342"/>
    <w:rsid w:val="003E18D8"/>
    <w:rsid w:val="003F751D"/>
    <w:rsid w:val="00402E7F"/>
    <w:rsid w:val="004042B6"/>
    <w:rsid w:val="0040704F"/>
    <w:rsid w:val="004157A4"/>
    <w:rsid w:val="00415D29"/>
    <w:rsid w:val="004171D2"/>
    <w:rsid w:val="00423F93"/>
    <w:rsid w:val="00424F04"/>
    <w:rsid w:val="004276EF"/>
    <w:rsid w:val="0043241F"/>
    <w:rsid w:val="00433CB1"/>
    <w:rsid w:val="00435A8C"/>
    <w:rsid w:val="00436498"/>
    <w:rsid w:val="00436600"/>
    <w:rsid w:val="00440F44"/>
    <w:rsid w:val="004466E8"/>
    <w:rsid w:val="00450514"/>
    <w:rsid w:val="00451704"/>
    <w:rsid w:val="00452F01"/>
    <w:rsid w:val="00457FA5"/>
    <w:rsid w:val="00462734"/>
    <w:rsid w:val="0046365F"/>
    <w:rsid w:val="004657AC"/>
    <w:rsid w:val="00471258"/>
    <w:rsid w:val="0047403E"/>
    <w:rsid w:val="00476C23"/>
    <w:rsid w:val="00480A57"/>
    <w:rsid w:val="00480C2B"/>
    <w:rsid w:val="0048279C"/>
    <w:rsid w:val="00483AB9"/>
    <w:rsid w:val="00491A48"/>
    <w:rsid w:val="004938AF"/>
    <w:rsid w:val="0049577F"/>
    <w:rsid w:val="004A2497"/>
    <w:rsid w:val="004A3E7F"/>
    <w:rsid w:val="004B0DAC"/>
    <w:rsid w:val="004B283C"/>
    <w:rsid w:val="004C269E"/>
    <w:rsid w:val="004C5362"/>
    <w:rsid w:val="004C742E"/>
    <w:rsid w:val="004D5521"/>
    <w:rsid w:val="004D5BF9"/>
    <w:rsid w:val="004E0A26"/>
    <w:rsid w:val="004F34F3"/>
    <w:rsid w:val="004F4A0C"/>
    <w:rsid w:val="004F63B7"/>
    <w:rsid w:val="00502897"/>
    <w:rsid w:val="005033BE"/>
    <w:rsid w:val="005067BB"/>
    <w:rsid w:val="005073A0"/>
    <w:rsid w:val="00510F15"/>
    <w:rsid w:val="00521784"/>
    <w:rsid w:val="005235C4"/>
    <w:rsid w:val="00525319"/>
    <w:rsid w:val="005328FB"/>
    <w:rsid w:val="0053348A"/>
    <w:rsid w:val="00533EA3"/>
    <w:rsid w:val="00534744"/>
    <w:rsid w:val="00540948"/>
    <w:rsid w:val="00547417"/>
    <w:rsid w:val="00554579"/>
    <w:rsid w:val="0056049A"/>
    <w:rsid w:val="00560A13"/>
    <w:rsid w:val="00570657"/>
    <w:rsid w:val="00571C50"/>
    <w:rsid w:val="005725C5"/>
    <w:rsid w:val="005737A8"/>
    <w:rsid w:val="00573E21"/>
    <w:rsid w:val="005760BE"/>
    <w:rsid w:val="00580988"/>
    <w:rsid w:val="00584F0C"/>
    <w:rsid w:val="00585B94"/>
    <w:rsid w:val="0058654F"/>
    <w:rsid w:val="00594009"/>
    <w:rsid w:val="00595F4D"/>
    <w:rsid w:val="005962AF"/>
    <w:rsid w:val="00596C73"/>
    <w:rsid w:val="005A0E1D"/>
    <w:rsid w:val="005B0036"/>
    <w:rsid w:val="005B1749"/>
    <w:rsid w:val="005B3F17"/>
    <w:rsid w:val="005B51AB"/>
    <w:rsid w:val="005B7C4B"/>
    <w:rsid w:val="005C08CE"/>
    <w:rsid w:val="005C2407"/>
    <w:rsid w:val="005D1D85"/>
    <w:rsid w:val="005D24AC"/>
    <w:rsid w:val="005D42F4"/>
    <w:rsid w:val="005D5F25"/>
    <w:rsid w:val="005D5F82"/>
    <w:rsid w:val="005D66BB"/>
    <w:rsid w:val="005D7F3E"/>
    <w:rsid w:val="005E0907"/>
    <w:rsid w:val="005E0EF5"/>
    <w:rsid w:val="005E716C"/>
    <w:rsid w:val="005F10C5"/>
    <w:rsid w:val="005F2C64"/>
    <w:rsid w:val="005F3A7D"/>
    <w:rsid w:val="005F4DF6"/>
    <w:rsid w:val="00602CAB"/>
    <w:rsid w:val="00610142"/>
    <w:rsid w:val="00612EBD"/>
    <w:rsid w:val="0061392E"/>
    <w:rsid w:val="006167BC"/>
    <w:rsid w:val="00640F5C"/>
    <w:rsid w:val="00642AD4"/>
    <w:rsid w:val="006434AD"/>
    <w:rsid w:val="00644FD2"/>
    <w:rsid w:val="006503FC"/>
    <w:rsid w:val="006504BC"/>
    <w:rsid w:val="00651590"/>
    <w:rsid w:val="00653E8E"/>
    <w:rsid w:val="00656489"/>
    <w:rsid w:val="00657D91"/>
    <w:rsid w:val="00657E95"/>
    <w:rsid w:val="0066267B"/>
    <w:rsid w:val="006643F5"/>
    <w:rsid w:val="00664C8A"/>
    <w:rsid w:val="00665413"/>
    <w:rsid w:val="00672632"/>
    <w:rsid w:val="00674D49"/>
    <w:rsid w:val="0067565D"/>
    <w:rsid w:val="0067615B"/>
    <w:rsid w:val="00680E0E"/>
    <w:rsid w:val="00681918"/>
    <w:rsid w:val="006838A2"/>
    <w:rsid w:val="00684E4A"/>
    <w:rsid w:val="00686970"/>
    <w:rsid w:val="00686AA8"/>
    <w:rsid w:val="00687A40"/>
    <w:rsid w:val="006A52B5"/>
    <w:rsid w:val="006A585E"/>
    <w:rsid w:val="006B17C9"/>
    <w:rsid w:val="006B1D95"/>
    <w:rsid w:val="006B29D1"/>
    <w:rsid w:val="006B5855"/>
    <w:rsid w:val="006B7FDF"/>
    <w:rsid w:val="006C1578"/>
    <w:rsid w:val="006C61B8"/>
    <w:rsid w:val="006D0895"/>
    <w:rsid w:val="006D1431"/>
    <w:rsid w:val="006D1BF2"/>
    <w:rsid w:val="006D6072"/>
    <w:rsid w:val="006D72FA"/>
    <w:rsid w:val="006E10B7"/>
    <w:rsid w:val="006E230F"/>
    <w:rsid w:val="006E29D1"/>
    <w:rsid w:val="006E6DCB"/>
    <w:rsid w:val="006E788B"/>
    <w:rsid w:val="006F1452"/>
    <w:rsid w:val="006F2303"/>
    <w:rsid w:val="006F5528"/>
    <w:rsid w:val="006F6DA6"/>
    <w:rsid w:val="00701405"/>
    <w:rsid w:val="00707831"/>
    <w:rsid w:val="007116D7"/>
    <w:rsid w:val="00723703"/>
    <w:rsid w:val="007260AC"/>
    <w:rsid w:val="00730E6F"/>
    <w:rsid w:val="00731292"/>
    <w:rsid w:val="00731779"/>
    <w:rsid w:val="00731A6A"/>
    <w:rsid w:val="007359B9"/>
    <w:rsid w:val="00740B73"/>
    <w:rsid w:val="0074466A"/>
    <w:rsid w:val="00756496"/>
    <w:rsid w:val="00767E8A"/>
    <w:rsid w:val="00771991"/>
    <w:rsid w:val="00772EBC"/>
    <w:rsid w:val="007816C9"/>
    <w:rsid w:val="007860C0"/>
    <w:rsid w:val="007A0FC4"/>
    <w:rsid w:val="007A203D"/>
    <w:rsid w:val="007B0B58"/>
    <w:rsid w:val="007B48F5"/>
    <w:rsid w:val="007C0444"/>
    <w:rsid w:val="007C2D3D"/>
    <w:rsid w:val="007C37EE"/>
    <w:rsid w:val="007C760F"/>
    <w:rsid w:val="007C7FFE"/>
    <w:rsid w:val="007D2348"/>
    <w:rsid w:val="007D469C"/>
    <w:rsid w:val="007D4C22"/>
    <w:rsid w:val="007D58AF"/>
    <w:rsid w:val="007E3E43"/>
    <w:rsid w:val="007E40E0"/>
    <w:rsid w:val="007E52F9"/>
    <w:rsid w:val="007E5C52"/>
    <w:rsid w:val="007F31A8"/>
    <w:rsid w:val="007F6B11"/>
    <w:rsid w:val="00801268"/>
    <w:rsid w:val="00802837"/>
    <w:rsid w:val="00812438"/>
    <w:rsid w:val="00812CAA"/>
    <w:rsid w:val="0083071A"/>
    <w:rsid w:val="00836EE1"/>
    <w:rsid w:val="008400E1"/>
    <w:rsid w:val="00841492"/>
    <w:rsid w:val="00843E7D"/>
    <w:rsid w:val="00844A81"/>
    <w:rsid w:val="00845DB6"/>
    <w:rsid w:val="00851DF5"/>
    <w:rsid w:val="00852028"/>
    <w:rsid w:val="00855783"/>
    <w:rsid w:val="0086065B"/>
    <w:rsid w:val="00861EC0"/>
    <w:rsid w:val="00866786"/>
    <w:rsid w:val="00866CEB"/>
    <w:rsid w:val="008701DF"/>
    <w:rsid w:val="00870960"/>
    <w:rsid w:val="00870DD8"/>
    <w:rsid w:val="00872615"/>
    <w:rsid w:val="00872825"/>
    <w:rsid w:val="00875C10"/>
    <w:rsid w:val="00877D36"/>
    <w:rsid w:val="0088160B"/>
    <w:rsid w:val="008819CB"/>
    <w:rsid w:val="00886FE9"/>
    <w:rsid w:val="008922FC"/>
    <w:rsid w:val="00892FB7"/>
    <w:rsid w:val="008934E6"/>
    <w:rsid w:val="00894746"/>
    <w:rsid w:val="00894D1F"/>
    <w:rsid w:val="00896FC3"/>
    <w:rsid w:val="00897D2F"/>
    <w:rsid w:val="008A2113"/>
    <w:rsid w:val="008A2989"/>
    <w:rsid w:val="008B681A"/>
    <w:rsid w:val="008C0591"/>
    <w:rsid w:val="008D08BC"/>
    <w:rsid w:val="008D0A65"/>
    <w:rsid w:val="008D2823"/>
    <w:rsid w:val="008D4F8E"/>
    <w:rsid w:val="008D6B5E"/>
    <w:rsid w:val="008E015B"/>
    <w:rsid w:val="008E0D48"/>
    <w:rsid w:val="008E12EC"/>
    <w:rsid w:val="008E3261"/>
    <w:rsid w:val="008E4F0D"/>
    <w:rsid w:val="008F13E9"/>
    <w:rsid w:val="008F1AA8"/>
    <w:rsid w:val="008F4CB6"/>
    <w:rsid w:val="008F5F03"/>
    <w:rsid w:val="0090333F"/>
    <w:rsid w:val="0091310A"/>
    <w:rsid w:val="00913BCC"/>
    <w:rsid w:val="00923C64"/>
    <w:rsid w:val="00934BB4"/>
    <w:rsid w:val="0093624A"/>
    <w:rsid w:val="00941FCD"/>
    <w:rsid w:val="00951C2E"/>
    <w:rsid w:val="009645BB"/>
    <w:rsid w:val="00971480"/>
    <w:rsid w:val="009721FE"/>
    <w:rsid w:val="00973C50"/>
    <w:rsid w:val="00977144"/>
    <w:rsid w:val="00977E7F"/>
    <w:rsid w:val="009806FC"/>
    <w:rsid w:val="0098264E"/>
    <w:rsid w:val="00982B46"/>
    <w:rsid w:val="00982D1F"/>
    <w:rsid w:val="00984E65"/>
    <w:rsid w:val="009A15BE"/>
    <w:rsid w:val="009A5AA5"/>
    <w:rsid w:val="009A7938"/>
    <w:rsid w:val="009B3602"/>
    <w:rsid w:val="009B44B4"/>
    <w:rsid w:val="009B5BBC"/>
    <w:rsid w:val="009B65E5"/>
    <w:rsid w:val="009C2D71"/>
    <w:rsid w:val="009D64AB"/>
    <w:rsid w:val="009E0216"/>
    <w:rsid w:val="009E0EA2"/>
    <w:rsid w:val="009E1ACB"/>
    <w:rsid w:val="009E4D2B"/>
    <w:rsid w:val="009E65DF"/>
    <w:rsid w:val="009F1427"/>
    <w:rsid w:val="009F2D8F"/>
    <w:rsid w:val="009F4CBF"/>
    <w:rsid w:val="009F76D7"/>
    <w:rsid w:val="00A01106"/>
    <w:rsid w:val="00A04C6B"/>
    <w:rsid w:val="00A05BFA"/>
    <w:rsid w:val="00A062F3"/>
    <w:rsid w:val="00A10745"/>
    <w:rsid w:val="00A11372"/>
    <w:rsid w:val="00A14F72"/>
    <w:rsid w:val="00A163BD"/>
    <w:rsid w:val="00A170E4"/>
    <w:rsid w:val="00A238E3"/>
    <w:rsid w:val="00A24704"/>
    <w:rsid w:val="00A33BF7"/>
    <w:rsid w:val="00A54805"/>
    <w:rsid w:val="00A57F6E"/>
    <w:rsid w:val="00A703E3"/>
    <w:rsid w:val="00A72BB3"/>
    <w:rsid w:val="00A72CE2"/>
    <w:rsid w:val="00A74260"/>
    <w:rsid w:val="00A811F0"/>
    <w:rsid w:val="00A87098"/>
    <w:rsid w:val="00A879A3"/>
    <w:rsid w:val="00A87BFE"/>
    <w:rsid w:val="00A95343"/>
    <w:rsid w:val="00A95FD6"/>
    <w:rsid w:val="00A966A2"/>
    <w:rsid w:val="00A96ADB"/>
    <w:rsid w:val="00A970DE"/>
    <w:rsid w:val="00AA0EBA"/>
    <w:rsid w:val="00AA2F1B"/>
    <w:rsid w:val="00AA3772"/>
    <w:rsid w:val="00AA52EE"/>
    <w:rsid w:val="00AB28B5"/>
    <w:rsid w:val="00AB630B"/>
    <w:rsid w:val="00AC3AFA"/>
    <w:rsid w:val="00AC4819"/>
    <w:rsid w:val="00AC5D57"/>
    <w:rsid w:val="00AC6D78"/>
    <w:rsid w:val="00AC7E0E"/>
    <w:rsid w:val="00AD11C0"/>
    <w:rsid w:val="00AD15E2"/>
    <w:rsid w:val="00AD1F9C"/>
    <w:rsid w:val="00AD6960"/>
    <w:rsid w:val="00AF0BEB"/>
    <w:rsid w:val="00AF4A81"/>
    <w:rsid w:val="00AF5519"/>
    <w:rsid w:val="00AF581F"/>
    <w:rsid w:val="00B0164D"/>
    <w:rsid w:val="00B0422C"/>
    <w:rsid w:val="00B12609"/>
    <w:rsid w:val="00B14CD9"/>
    <w:rsid w:val="00B15897"/>
    <w:rsid w:val="00B2078D"/>
    <w:rsid w:val="00B20C5E"/>
    <w:rsid w:val="00B2546D"/>
    <w:rsid w:val="00B27CC5"/>
    <w:rsid w:val="00B30F47"/>
    <w:rsid w:val="00B31648"/>
    <w:rsid w:val="00B3269C"/>
    <w:rsid w:val="00B3707F"/>
    <w:rsid w:val="00B40A31"/>
    <w:rsid w:val="00B40F83"/>
    <w:rsid w:val="00B50E55"/>
    <w:rsid w:val="00B6337A"/>
    <w:rsid w:val="00B70B6C"/>
    <w:rsid w:val="00B70B6D"/>
    <w:rsid w:val="00B80408"/>
    <w:rsid w:val="00B806ED"/>
    <w:rsid w:val="00B80AB6"/>
    <w:rsid w:val="00B87EDA"/>
    <w:rsid w:val="00B92401"/>
    <w:rsid w:val="00B92AB4"/>
    <w:rsid w:val="00B93F8C"/>
    <w:rsid w:val="00B960DF"/>
    <w:rsid w:val="00BA1C8C"/>
    <w:rsid w:val="00BA2013"/>
    <w:rsid w:val="00BA594C"/>
    <w:rsid w:val="00BA7888"/>
    <w:rsid w:val="00BB39DE"/>
    <w:rsid w:val="00BC30E1"/>
    <w:rsid w:val="00BC5F1F"/>
    <w:rsid w:val="00BD0A28"/>
    <w:rsid w:val="00BD12C5"/>
    <w:rsid w:val="00BD1BDA"/>
    <w:rsid w:val="00BD207B"/>
    <w:rsid w:val="00BD4330"/>
    <w:rsid w:val="00BD7CFA"/>
    <w:rsid w:val="00BE0C8F"/>
    <w:rsid w:val="00BE0E76"/>
    <w:rsid w:val="00BE2C52"/>
    <w:rsid w:val="00BF05B9"/>
    <w:rsid w:val="00BF1631"/>
    <w:rsid w:val="00BF4F29"/>
    <w:rsid w:val="00BF54BA"/>
    <w:rsid w:val="00BF6D42"/>
    <w:rsid w:val="00C020C1"/>
    <w:rsid w:val="00C06EDA"/>
    <w:rsid w:val="00C06FCD"/>
    <w:rsid w:val="00C10B9D"/>
    <w:rsid w:val="00C1466E"/>
    <w:rsid w:val="00C206CD"/>
    <w:rsid w:val="00C2164E"/>
    <w:rsid w:val="00C23F12"/>
    <w:rsid w:val="00C25D91"/>
    <w:rsid w:val="00C318EE"/>
    <w:rsid w:val="00C34B6F"/>
    <w:rsid w:val="00C35F68"/>
    <w:rsid w:val="00C37B5C"/>
    <w:rsid w:val="00C42051"/>
    <w:rsid w:val="00C52CF4"/>
    <w:rsid w:val="00C545C3"/>
    <w:rsid w:val="00C6248F"/>
    <w:rsid w:val="00C62D4D"/>
    <w:rsid w:val="00C6379E"/>
    <w:rsid w:val="00C66938"/>
    <w:rsid w:val="00C67CDE"/>
    <w:rsid w:val="00C73C8D"/>
    <w:rsid w:val="00C820A5"/>
    <w:rsid w:val="00C85F9E"/>
    <w:rsid w:val="00C861F3"/>
    <w:rsid w:val="00C87109"/>
    <w:rsid w:val="00C87903"/>
    <w:rsid w:val="00C9261A"/>
    <w:rsid w:val="00C93D6D"/>
    <w:rsid w:val="00C95487"/>
    <w:rsid w:val="00CA3BCF"/>
    <w:rsid w:val="00CA48FA"/>
    <w:rsid w:val="00CB6BFA"/>
    <w:rsid w:val="00CC0F99"/>
    <w:rsid w:val="00CC3457"/>
    <w:rsid w:val="00CC41F7"/>
    <w:rsid w:val="00CC6516"/>
    <w:rsid w:val="00CC7065"/>
    <w:rsid w:val="00CD018E"/>
    <w:rsid w:val="00CD0B7D"/>
    <w:rsid w:val="00CD46C0"/>
    <w:rsid w:val="00CE05EB"/>
    <w:rsid w:val="00CE186E"/>
    <w:rsid w:val="00CE5FAF"/>
    <w:rsid w:val="00CF2BC2"/>
    <w:rsid w:val="00CF2E47"/>
    <w:rsid w:val="00CF35A6"/>
    <w:rsid w:val="00CF3C6C"/>
    <w:rsid w:val="00CF6D48"/>
    <w:rsid w:val="00CF7B32"/>
    <w:rsid w:val="00D00FE9"/>
    <w:rsid w:val="00D04AD6"/>
    <w:rsid w:val="00D067C0"/>
    <w:rsid w:val="00D07372"/>
    <w:rsid w:val="00D1363F"/>
    <w:rsid w:val="00D20FE0"/>
    <w:rsid w:val="00D2626D"/>
    <w:rsid w:val="00D26C55"/>
    <w:rsid w:val="00D279DF"/>
    <w:rsid w:val="00D30A13"/>
    <w:rsid w:val="00D32AA4"/>
    <w:rsid w:val="00D32E3D"/>
    <w:rsid w:val="00D41173"/>
    <w:rsid w:val="00D5242C"/>
    <w:rsid w:val="00D5244E"/>
    <w:rsid w:val="00D53ADD"/>
    <w:rsid w:val="00D5621B"/>
    <w:rsid w:val="00D63659"/>
    <w:rsid w:val="00D63AC7"/>
    <w:rsid w:val="00D758AB"/>
    <w:rsid w:val="00D75C32"/>
    <w:rsid w:val="00D83DC4"/>
    <w:rsid w:val="00D90DCB"/>
    <w:rsid w:val="00D91179"/>
    <w:rsid w:val="00D91BEB"/>
    <w:rsid w:val="00D91D05"/>
    <w:rsid w:val="00D95C78"/>
    <w:rsid w:val="00D973D0"/>
    <w:rsid w:val="00D9750B"/>
    <w:rsid w:val="00DA3BD1"/>
    <w:rsid w:val="00DB1D36"/>
    <w:rsid w:val="00DB458F"/>
    <w:rsid w:val="00DB6059"/>
    <w:rsid w:val="00DB7C98"/>
    <w:rsid w:val="00DC173D"/>
    <w:rsid w:val="00DC4F12"/>
    <w:rsid w:val="00DC703E"/>
    <w:rsid w:val="00DD1704"/>
    <w:rsid w:val="00DD3BD8"/>
    <w:rsid w:val="00DD7872"/>
    <w:rsid w:val="00DE664A"/>
    <w:rsid w:val="00DF2360"/>
    <w:rsid w:val="00DF2C89"/>
    <w:rsid w:val="00DF6816"/>
    <w:rsid w:val="00E1029B"/>
    <w:rsid w:val="00E1257F"/>
    <w:rsid w:val="00E27453"/>
    <w:rsid w:val="00E27935"/>
    <w:rsid w:val="00E30F8E"/>
    <w:rsid w:val="00E31602"/>
    <w:rsid w:val="00E37259"/>
    <w:rsid w:val="00E3739D"/>
    <w:rsid w:val="00E37456"/>
    <w:rsid w:val="00E4399D"/>
    <w:rsid w:val="00E55393"/>
    <w:rsid w:val="00E61687"/>
    <w:rsid w:val="00E619D8"/>
    <w:rsid w:val="00E61CFE"/>
    <w:rsid w:val="00E70F59"/>
    <w:rsid w:val="00E72608"/>
    <w:rsid w:val="00E73D21"/>
    <w:rsid w:val="00E77EB2"/>
    <w:rsid w:val="00E86B83"/>
    <w:rsid w:val="00E934DA"/>
    <w:rsid w:val="00E942BA"/>
    <w:rsid w:val="00E979D2"/>
    <w:rsid w:val="00EA3DE4"/>
    <w:rsid w:val="00EA47A2"/>
    <w:rsid w:val="00EA5FE9"/>
    <w:rsid w:val="00EB19F3"/>
    <w:rsid w:val="00EB6074"/>
    <w:rsid w:val="00EC0B17"/>
    <w:rsid w:val="00EC44E7"/>
    <w:rsid w:val="00EC519C"/>
    <w:rsid w:val="00ED0D05"/>
    <w:rsid w:val="00ED4349"/>
    <w:rsid w:val="00ED506C"/>
    <w:rsid w:val="00ED70B1"/>
    <w:rsid w:val="00EE1700"/>
    <w:rsid w:val="00EE186F"/>
    <w:rsid w:val="00EF73DE"/>
    <w:rsid w:val="00F029D8"/>
    <w:rsid w:val="00F0469C"/>
    <w:rsid w:val="00F10094"/>
    <w:rsid w:val="00F10D94"/>
    <w:rsid w:val="00F207CD"/>
    <w:rsid w:val="00F21836"/>
    <w:rsid w:val="00F25E89"/>
    <w:rsid w:val="00F3646D"/>
    <w:rsid w:val="00F36966"/>
    <w:rsid w:val="00F37133"/>
    <w:rsid w:val="00F437F8"/>
    <w:rsid w:val="00F453F1"/>
    <w:rsid w:val="00F503EE"/>
    <w:rsid w:val="00F60B33"/>
    <w:rsid w:val="00F6278C"/>
    <w:rsid w:val="00F70875"/>
    <w:rsid w:val="00F70D3D"/>
    <w:rsid w:val="00F735F8"/>
    <w:rsid w:val="00F76084"/>
    <w:rsid w:val="00F77D80"/>
    <w:rsid w:val="00F819BA"/>
    <w:rsid w:val="00F83594"/>
    <w:rsid w:val="00F91C7F"/>
    <w:rsid w:val="00F92B15"/>
    <w:rsid w:val="00F9683E"/>
    <w:rsid w:val="00FA0601"/>
    <w:rsid w:val="00FA09AB"/>
    <w:rsid w:val="00FA7D23"/>
    <w:rsid w:val="00FB14A8"/>
    <w:rsid w:val="00FB6E6C"/>
    <w:rsid w:val="00FC7FD5"/>
    <w:rsid w:val="00FD17BA"/>
    <w:rsid w:val="00FD349C"/>
    <w:rsid w:val="00FD72DA"/>
    <w:rsid w:val="00FD7D4F"/>
    <w:rsid w:val="00FF0372"/>
    <w:rsid w:val="00FF2E86"/>
    <w:rsid w:val="00FF4292"/>
    <w:rsid w:val="00FF4C53"/>
    <w:rsid w:val="00FF69FD"/>
    <w:rsid w:val="088C79FE"/>
    <w:rsid w:val="14FCAF5E"/>
    <w:rsid w:val="15F38B4F"/>
    <w:rsid w:val="19F72A57"/>
    <w:rsid w:val="1DFA7348"/>
    <w:rsid w:val="1F955122"/>
    <w:rsid w:val="1FBA27A5"/>
    <w:rsid w:val="21A93D12"/>
    <w:rsid w:val="2ECB3F18"/>
    <w:rsid w:val="30C2E810"/>
    <w:rsid w:val="32956185"/>
    <w:rsid w:val="34215F36"/>
    <w:rsid w:val="34C21791"/>
    <w:rsid w:val="36690643"/>
    <w:rsid w:val="3ABCD4EE"/>
    <w:rsid w:val="3EEA9AE5"/>
    <w:rsid w:val="41A8B9F5"/>
    <w:rsid w:val="4501D35E"/>
    <w:rsid w:val="46D90242"/>
    <w:rsid w:val="55D2F53A"/>
    <w:rsid w:val="56F9C6BB"/>
    <w:rsid w:val="57B7D4B4"/>
    <w:rsid w:val="5BD427A6"/>
    <w:rsid w:val="5C3A0D7C"/>
    <w:rsid w:val="60158260"/>
    <w:rsid w:val="617CD68A"/>
    <w:rsid w:val="660D5EA0"/>
    <w:rsid w:val="67E319AE"/>
    <w:rsid w:val="69B3A810"/>
    <w:rsid w:val="6C086BFB"/>
    <w:rsid w:val="711954B2"/>
    <w:rsid w:val="7587161C"/>
    <w:rsid w:val="758A8088"/>
    <w:rsid w:val="79AB8965"/>
    <w:rsid w:val="7B0A4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8F23B"/>
  <w15:docId w15:val="{1550F256-A8EC-4CD7-9DD2-086608E3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99"/>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vertAlign w:val="superscript"/>
    </w:rPr>
  </w:style>
  <w:style w:type="character" w:customStyle="1" w:styleId="SinespaciadoCar1">
    <w:name w:val="Sin espaciado Car1"/>
    <w:link w:val="Sinespaciado"/>
    <w:uiPriority w:val="99"/>
    <w:locked/>
    <w:rsid w:val="0013799C"/>
    <w:rPr>
      <w:rFonts w:ascii="Courier New" w:hAnsi="Courier New" w:cs="Courier New"/>
      <w:sz w:val="22"/>
      <w:szCs w:val="22"/>
      <w:lang w:val="es-ES" w:eastAsia="es-ES"/>
    </w:rPr>
  </w:style>
  <w:style w:type="paragraph" w:styleId="Ttulo">
    <w:name w:val="Title"/>
    <w:basedOn w:val="Normal"/>
    <w:link w:val="TtuloCar"/>
    <w:uiPriority w:val="99"/>
    <w:qFormat/>
    <w:rsid w:val="00310452"/>
    <w:pPr>
      <w:jc w:val="center"/>
    </w:pPr>
    <w:rPr>
      <w:rFonts w:ascii="Arial" w:hAnsi="Arial" w:cs="Arial"/>
      <w:b/>
      <w:bCs/>
      <w:i/>
      <w:iCs/>
      <w:sz w:val="24"/>
      <w:szCs w:val="24"/>
    </w:rPr>
  </w:style>
  <w:style w:type="character" w:customStyle="1" w:styleId="TtuloCar">
    <w:name w:val="Título Car"/>
    <w:basedOn w:val="Fuentedeprrafopredeter"/>
    <w:link w:val="Ttul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99"/>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955">
      <w:bodyDiv w:val="1"/>
      <w:marLeft w:val="0"/>
      <w:marRight w:val="0"/>
      <w:marTop w:val="0"/>
      <w:marBottom w:val="0"/>
      <w:divBdr>
        <w:top w:val="none" w:sz="0" w:space="0" w:color="auto"/>
        <w:left w:val="none" w:sz="0" w:space="0" w:color="auto"/>
        <w:bottom w:val="none" w:sz="0" w:space="0" w:color="auto"/>
        <w:right w:val="none" w:sz="0" w:space="0" w:color="auto"/>
      </w:divBdr>
    </w:div>
    <w:div w:id="557326770">
      <w:bodyDiv w:val="1"/>
      <w:marLeft w:val="0"/>
      <w:marRight w:val="0"/>
      <w:marTop w:val="0"/>
      <w:marBottom w:val="0"/>
      <w:divBdr>
        <w:top w:val="none" w:sz="0" w:space="0" w:color="auto"/>
        <w:left w:val="none" w:sz="0" w:space="0" w:color="auto"/>
        <w:bottom w:val="none" w:sz="0" w:space="0" w:color="auto"/>
        <w:right w:val="none" w:sz="0" w:space="0" w:color="auto"/>
      </w:divBdr>
    </w:div>
    <w:div w:id="752552977">
      <w:bodyDiv w:val="1"/>
      <w:marLeft w:val="0"/>
      <w:marRight w:val="0"/>
      <w:marTop w:val="0"/>
      <w:marBottom w:val="0"/>
      <w:divBdr>
        <w:top w:val="none" w:sz="0" w:space="0" w:color="auto"/>
        <w:left w:val="none" w:sz="0" w:space="0" w:color="auto"/>
        <w:bottom w:val="none" w:sz="0" w:space="0" w:color="auto"/>
        <w:right w:val="none" w:sz="0" w:space="0" w:color="auto"/>
      </w:divBdr>
    </w:div>
    <w:div w:id="823011553">
      <w:bodyDiv w:val="1"/>
      <w:marLeft w:val="0"/>
      <w:marRight w:val="0"/>
      <w:marTop w:val="0"/>
      <w:marBottom w:val="0"/>
      <w:divBdr>
        <w:top w:val="none" w:sz="0" w:space="0" w:color="auto"/>
        <w:left w:val="none" w:sz="0" w:space="0" w:color="auto"/>
        <w:bottom w:val="none" w:sz="0" w:space="0" w:color="auto"/>
        <w:right w:val="none" w:sz="0" w:space="0" w:color="auto"/>
      </w:divBdr>
    </w:div>
    <w:div w:id="212900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90ab34687b054d1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D7AE-1026-4FE7-B08F-3EA1E76B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7263C-2D62-4C39-8BB6-244C68D2AED5}">
  <ds:schemaRefs>
    <ds:schemaRef ds:uri="http://schemas.microsoft.com/sharepoint/v3/contenttype/forms"/>
  </ds:schemaRefs>
</ds:datastoreItem>
</file>

<file path=customXml/itemProps3.xml><?xml version="1.0" encoding="utf-8"?>
<ds:datastoreItem xmlns:ds="http://schemas.openxmlformats.org/officeDocument/2006/customXml" ds:itemID="{B0CB236B-B508-4C8B-A947-1AD12DCED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14812F-708E-4869-8251-9BFFA617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1556</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Hermides Alonso Gaviria Ocampo</cp:lastModifiedBy>
  <cp:revision>6</cp:revision>
  <cp:lastPrinted>2020-02-26T15:16:00Z</cp:lastPrinted>
  <dcterms:created xsi:type="dcterms:W3CDTF">2021-04-26T15:38:00Z</dcterms:created>
  <dcterms:modified xsi:type="dcterms:W3CDTF">2022-02-26T18:33:00Z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