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29F39" w14:textId="77777777" w:rsidR="00AF0F06" w:rsidRPr="00AF0F06" w:rsidRDefault="00AF0F06" w:rsidP="00AF0F0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AF0F06">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E633D80" w14:textId="77777777" w:rsidR="00AF0F06" w:rsidRPr="00AF0F06" w:rsidRDefault="00AF0F06" w:rsidP="00AF0F06">
      <w:pPr>
        <w:jc w:val="both"/>
        <w:rPr>
          <w:rFonts w:ascii="Arial" w:hAnsi="Arial" w:cs="Arial"/>
          <w:lang w:val="es-419"/>
        </w:rPr>
      </w:pPr>
    </w:p>
    <w:p w14:paraId="02359FCF" w14:textId="2991A815" w:rsidR="00AF0F06" w:rsidRPr="00AF0F06" w:rsidRDefault="00AF0F06" w:rsidP="00AF0F06">
      <w:pPr>
        <w:jc w:val="both"/>
        <w:rPr>
          <w:rFonts w:ascii="Arial" w:hAnsi="Arial" w:cs="Arial"/>
          <w:lang w:val="es-419"/>
        </w:rPr>
      </w:pPr>
      <w:r w:rsidRPr="00AF0F06">
        <w:rPr>
          <w:rFonts w:ascii="Arial" w:hAnsi="Arial" w:cs="Arial"/>
          <w:lang w:val="es-419"/>
        </w:rPr>
        <w:t>Asunto</w:t>
      </w:r>
      <w:r w:rsidRPr="00AF0F06">
        <w:rPr>
          <w:rFonts w:ascii="Arial" w:hAnsi="Arial" w:cs="Arial"/>
          <w:lang w:val="es-419"/>
        </w:rPr>
        <w:tab/>
      </w:r>
      <w:r>
        <w:rPr>
          <w:rFonts w:ascii="Arial" w:hAnsi="Arial" w:cs="Arial"/>
          <w:lang w:val="es-419"/>
        </w:rPr>
        <w:tab/>
      </w:r>
      <w:r w:rsidRPr="00AF0F06">
        <w:rPr>
          <w:rFonts w:ascii="Arial" w:hAnsi="Arial" w:cs="Arial"/>
          <w:lang w:val="es-419"/>
        </w:rPr>
        <w:tab/>
        <w:t xml:space="preserve">: Decide reposición </w:t>
      </w:r>
    </w:p>
    <w:p w14:paraId="5E407049" w14:textId="451DF6CB" w:rsidR="00AF0F06" w:rsidRPr="00AF0F06" w:rsidRDefault="00AF0F06" w:rsidP="00AF0F06">
      <w:pPr>
        <w:jc w:val="both"/>
        <w:rPr>
          <w:rFonts w:ascii="Arial" w:hAnsi="Arial" w:cs="Arial"/>
          <w:lang w:val="es-419"/>
        </w:rPr>
      </w:pPr>
      <w:r w:rsidRPr="00AF0F06">
        <w:rPr>
          <w:rFonts w:ascii="Arial" w:hAnsi="Arial" w:cs="Arial"/>
          <w:lang w:val="es-419"/>
        </w:rPr>
        <w:t>Tipo de proceso</w:t>
      </w:r>
      <w:r w:rsidRPr="00AF0F06">
        <w:rPr>
          <w:rFonts w:ascii="Arial" w:hAnsi="Arial" w:cs="Arial"/>
          <w:lang w:val="es-419"/>
        </w:rPr>
        <w:tab/>
        <w:t>: Verbal – Simulación</w:t>
      </w:r>
    </w:p>
    <w:p w14:paraId="6920812D" w14:textId="77777777" w:rsidR="00AF0F06" w:rsidRPr="00AF0F06" w:rsidRDefault="00AF0F06" w:rsidP="00AF0F06">
      <w:pPr>
        <w:jc w:val="both"/>
        <w:rPr>
          <w:rFonts w:ascii="Arial" w:hAnsi="Arial" w:cs="Arial"/>
          <w:lang w:val="es-419"/>
        </w:rPr>
      </w:pPr>
      <w:r w:rsidRPr="00AF0F06">
        <w:rPr>
          <w:rFonts w:ascii="Arial" w:hAnsi="Arial" w:cs="Arial"/>
          <w:lang w:val="es-419"/>
        </w:rPr>
        <w:t>Demandante</w:t>
      </w:r>
      <w:r w:rsidRPr="00AF0F06">
        <w:rPr>
          <w:rFonts w:ascii="Arial" w:hAnsi="Arial" w:cs="Arial"/>
          <w:lang w:val="es-419"/>
        </w:rPr>
        <w:tab/>
      </w:r>
      <w:r w:rsidRPr="00AF0F06">
        <w:rPr>
          <w:rFonts w:ascii="Arial" w:hAnsi="Arial" w:cs="Arial"/>
          <w:lang w:val="es-419"/>
        </w:rPr>
        <w:tab/>
        <w:t>: Juan Esteban Gallo Mejía</w:t>
      </w:r>
    </w:p>
    <w:p w14:paraId="1F089855" w14:textId="77777777" w:rsidR="00AF0F06" w:rsidRPr="00AF0F06" w:rsidRDefault="00AF0F06" w:rsidP="00AF0F06">
      <w:pPr>
        <w:jc w:val="both"/>
        <w:rPr>
          <w:rFonts w:ascii="Arial" w:hAnsi="Arial" w:cs="Arial"/>
          <w:lang w:val="es-419"/>
        </w:rPr>
      </w:pPr>
      <w:r w:rsidRPr="00AF0F06">
        <w:rPr>
          <w:rFonts w:ascii="Arial" w:hAnsi="Arial" w:cs="Arial"/>
          <w:lang w:val="es-419"/>
        </w:rPr>
        <w:t>Demandados</w:t>
      </w:r>
      <w:r w:rsidRPr="00AF0F06">
        <w:rPr>
          <w:rFonts w:ascii="Arial" w:hAnsi="Arial" w:cs="Arial"/>
          <w:lang w:val="es-419"/>
        </w:rPr>
        <w:tab/>
      </w:r>
      <w:r w:rsidRPr="00AF0F06">
        <w:rPr>
          <w:rFonts w:ascii="Arial" w:hAnsi="Arial" w:cs="Arial"/>
          <w:lang w:val="es-419"/>
        </w:rPr>
        <w:tab/>
        <w:t>: Jaime Posada Gómez y otros</w:t>
      </w:r>
    </w:p>
    <w:p w14:paraId="27C8A775" w14:textId="77777777" w:rsidR="00AF0F06" w:rsidRPr="00AF0F06" w:rsidRDefault="00AF0F06" w:rsidP="00AF0F06">
      <w:pPr>
        <w:jc w:val="both"/>
        <w:rPr>
          <w:rFonts w:ascii="Arial" w:hAnsi="Arial" w:cs="Arial"/>
          <w:lang w:val="es-419"/>
        </w:rPr>
      </w:pPr>
      <w:r w:rsidRPr="00AF0F06">
        <w:rPr>
          <w:rFonts w:ascii="Arial" w:hAnsi="Arial" w:cs="Arial"/>
          <w:lang w:val="es-419"/>
        </w:rPr>
        <w:t>Procedencia</w:t>
      </w:r>
      <w:r w:rsidRPr="00AF0F06">
        <w:rPr>
          <w:rFonts w:ascii="Arial" w:hAnsi="Arial" w:cs="Arial"/>
          <w:lang w:val="es-419"/>
        </w:rPr>
        <w:tab/>
      </w:r>
      <w:r w:rsidRPr="00AF0F06">
        <w:rPr>
          <w:rFonts w:ascii="Arial" w:hAnsi="Arial" w:cs="Arial"/>
          <w:lang w:val="es-419"/>
        </w:rPr>
        <w:tab/>
        <w:t>: Juzgado Tercero Civil del Circuito de Pereira, Rda.</w:t>
      </w:r>
    </w:p>
    <w:p w14:paraId="57CCFE48" w14:textId="77777777" w:rsidR="00AF0F06" w:rsidRPr="00AF0F06" w:rsidRDefault="00AF0F06" w:rsidP="00AF0F06">
      <w:pPr>
        <w:jc w:val="both"/>
        <w:rPr>
          <w:rFonts w:ascii="Arial" w:hAnsi="Arial" w:cs="Arial"/>
          <w:lang w:val="es-419"/>
        </w:rPr>
      </w:pPr>
      <w:r w:rsidRPr="00AF0F06">
        <w:rPr>
          <w:rFonts w:ascii="Arial" w:hAnsi="Arial" w:cs="Arial"/>
          <w:lang w:val="es-419"/>
        </w:rPr>
        <w:t>Radicación</w:t>
      </w:r>
      <w:r w:rsidRPr="00AF0F06">
        <w:rPr>
          <w:rFonts w:ascii="Arial" w:hAnsi="Arial" w:cs="Arial"/>
          <w:lang w:val="es-419"/>
        </w:rPr>
        <w:tab/>
      </w:r>
      <w:r w:rsidRPr="00AF0F06">
        <w:rPr>
          <w:rFonts w:ascii="Arial" w:hAnsi="Arial" w:cs="Arial"/>
          <w:lang w:val="es-419"/>
        </w:rPr>
        <w:tab/>
        <w:t>: 66001-31-03-003-2018-00555-01</w:t>
      </w:r>
    </w:p>
    <w:p w14:paraId="303B31A4" w14:textId="53E9FB67" w:rsidR="00AF0F06" w:rsidRPr="00AF0F06" w:rsidRDefault="00AF0F06" w:rsidP="00AF0F06">
      <w:pPr>
        <w:jc w:val="both"/>
        <w:rPr>
          <w:rFonts w:ascii="Arial" w:hAnsi="Arial" w:cs="Arial"/>
          <w:lang w:val="es-419"/>
        </w:rPr>
      </w:pPr>
      <w:proofErr w:type="spellStart"/>
      <w:r w:rsidRPr="00AF0F06">
        <w:rPr>
          <w:rFonts w:ascii="Arial" w:hAnsi="Arial" w:cs="Arial"/>
          <w:lang w:val="es-419"/>
        </w:rPr>
        <w:t>Mag</w:t>
      </w:r>
      <w:proofErr w:type="spellEnd"/>
      <w:r w:rsidRPr="00AF0F06">
        <w:rPr>
          <w:rFonts w:ascii="Arial" w:hAnsi="Arial" w:cs="Arial"/>
          <w:lang w:val="es-419"/>
        </w:rPr>
        <w:t>. Sustanciador</w:t>
      </w:r>
      <w:r w:rsidRPr="00AF0F06">
        <w:rPr>
          <w:rFonts w:ascii="Arial" w:hAnsi="Arial" w:cs="Arial"/>
          <w:lang w:val="es-419"/>
        </w:rPr>
        <w:tab/>
        <w:t>: DUBERNEY GRISALES HERRERA</w:t>
      </w:r>
    </w:p>
    <w:p w14:paraId="69EC27C2" w14:textId="77777777" w:rsidR="00AF0F06" w:rsidRPr="00AF0F06" w:rsidRDefault="00AF0F06" w:rsidP="00AF0F06">
      <w:pPr>
        <w:jc w:val="both"/>
        <w:rPr>
          <w:rFonts w:ascii="Arial" w:hAnsi="Arial" w:cs="Arial"/>
          <w:lang w:val="es-419"/>
        </w:rPr>
      </w:pPr>
    </w:p>
    <w:p w14:paraId="08FD2887" w14:textId="14C7A88C" w:rsidR="00917AC3" w:rsidRPr="00912E82" w:rsidRDefault="00917AC3" w:rsidP="00917AC3">
      <w:pPr>
        <w:jc w:val="both"/>
        <w:rPr>
          <w:rFonts w:ascii="Arial" w:hAnsi="Arial" w:cs="Arial"/>
          <w:b/>
          <w:bCs/>
          <w:iCs/>
          <w:lang w:val="es-419" w:eastAsia="fr-FR"/>
        </w:rPr>
      </w:pPr>
      <w:r w:rsidRPr="00912E82">
        <w:rPr>
          <w:rFonts w:ascii="Arial" w:hAnsi="Arial" w:cs="Arial"/>
          <w:b/>
          <w:bCs/>
          <w:iCs/>
          <w:u w:val="single"/>
          <w:lang w:val="es-419" w:eastAsia="fr-FR"/>
        </w:rPr>
        <w:t>TEMAS:</w:t>
      </w:r>
      <w:r w:rsidRPr="00912E82">
        <w:rPr>
          <w:rFonts w:ascii="Arial" w:hAnsi="Arial" w:cs="Arial"/>
          <w:b/>
          <w:bCs/>
          <w:iCs/>
          <w:lang w:val="es-419" w:eastAsia="fr-FR"/>
        </w:rPr>
        <w:tab/>
      </w:r>
      <w:r w:rsidRPr="00912E82">
        <w:rPr>
          <w:rFonts w:ascii="Arial" w:hAnsi="Arial" w:cs="Arial"/>
          <w:b/>
          <w:lang w:val="es-419"/>
        </w:rPr>
        <w:t>R</w:t>
      </w:r>
      <w:r>
        <w:rPr>
          <w:rFonts w:ascii="Arial" w:hAnsi="Arial" w:cs="Arial"/>
          <w:b/>
          <w:lang w:val="es-419"/>
        </w:rPr>
        <w:t xml:space="preserve">ECURSO DE APELACIÓN / SUSTENTACIÓN </w:t>
      </w:r>
      <w:r w:rsidRPr="00912E82">
        <w:rPr>
          <w:rFonts w:ascii="Arial" w:hAnsi="Arial" w:cs="Arial"/>
          <w:b/>
          <w:bCs/>
          <w:iCs/>
          <w:lang w:val="es-419" w:eastAsia="fr-FR"/>
        </w:rPr>
        <w:t xml:space="preserve">/ </w:t>
      </w:r>
      <w:r>
        <w:rPr>
          <w:rFonts w:ascii="Arial" w:hAnsi="Arial" w:cs="Arial"/>
          <w:b/>
          <w:bCs/>
          <w:iCs/>
          <w:lang w:val="es-419" w:eastAsia="fr-FR"/>
        </w:rPr>
        <w:t xml:space="preserve">DEBE HACERSE TANTO EN PRIMERA COMO EN SEGUNDA INSTANCIA / </w:t>
      </w:r>
      <w:r w:rsidR="00055FA0">
        <w:rPr>
          <w:rFonts w:ascii="Arial" w:hAnsi="Arial" w:cs="Arial"/>
          <w:b/>
          <w:bCs/>
          <w:iCs/>
          <w:lang w:val="es-419" w:eastAsia="fr-FR"/>
        </w:rPr>
        <w:t xml:space="preserve">EN PRIMERA, PARA EXPONER LOS REPAROS / EN SEGUNDA, </w:t>
      </w:r>
      <w:r w:rsidR="003A5242">
        <w:rPr>
          <w:rFonts w:ascii="Arial" w:hAnsi="Arial" w:cs="Arial"/>
          <w:b/>
          <w:bCs/>
          <w:iCs/>
          <w:lang w:val="es-419" w:eastAsia="fr-FR"/>
        </w:rPr>
        <w:t xml:space="preserve">PARA SUSTENTAR PROPIAMENTE DICHO / </w:t>
      </w:r>
      <w:r>
        <w:rPr>
          <w:rFonts w:ascii="Arial" w:hAnsi="Arial" w:cs="Arial"/>
          <w:b/>
          <w:bCs/>
          <w:iCs/>
          <w:lang w:val="es-419" w:eastAsia="fr-FR"/>
        </w:rPr>
        <w:t>OMITIR</w:t>
      </w:r>
      <w:r w:rsidR="003A5242">
        <w:rPr>
          <w:rFonts w:ascii="Arial" w:hAnsi="Arial" w:cs="Arial"/>
          <w:b/>
          <w:bCs/>
          <w:iCs/>
          <w:lang w:val="es-419" w:eastAsia="fr-FR"/>
        </w:rPr>
        <w:t xml:space="preserve"> </w:t>
      </w:r>
      <w:r>
        <w:rPr>
          <w:rFonts w:ascii="Arial" w:hAnsi="Arial" w:cs="Arial"/>
          <w:b/>
          <w:bCs/>
          <w:iCs/>
          <w:lang w:val="es-419" w:eastAsia="fr-FR"/>
        </w:rPr>
        <w:t>L</w:t>
      </w:r>
      <w:r w:rsidR="003A5242">
        <w:rPr>
          <w:rFonts w:ascii="Arial" w:hAnsi="Arial" w:cs="Arial"/>
          <w:b/>
          <w:bCs/>
          <w:iCs/>
          <w:lang w:val="es-419" w:eastAsia="fr-FR"/>
        </w:rPr>
        <w:t xml:space="preserve">O SEGUNDO </w:t>
      </w:r>
      <w:r>
        <w:rPr>
          <w:rFonts w:ascii="Arial" w:hAnsi="Arial" w:cs="Arial"/>
          <w:b/>
          <w:bCs/>
          <w:iCs/>
          <w:lang w:val="es-419" w:eastAsia="fr-FR"/>
        </w:rPr>
        <w:t>DA LUGAR A LA DESERCIÓN DEL RECURSO.</w:t>
      </w:r>
    </w:p>
    <w:p w14:paraId="73087B50" w14:textId="77777777" w:rsidR="00917AC3" w:rsidRPr="00912E82" w:rsidRDefault="00917AC3" w:rsidP="00917AC3">
      <w:pPr>
        <w:jc w:val="both"/>
        <w:rPr>
          <w:rFonts w:ascii="Arial" w:hAnsi="Arial" w:cs="Arial"/>
          <w:lang w:val="es-419"/>
        </w:rPr>
      </w:pPr>
    </w:p>
    <w:p w14:paraId="004C3E63" w14:textId="77777777" w:rsidR="00980C97" w:rsidRPr="00980C97" w:rsidRDefault="00980C97" w:rsidP="00980C97">
      <w:pPr>
        <w:jc w:val="both"/>
        <w:rPr>
          <w:rFonts w:ascii="Arial" w:hAnsi="Arial" w:cs="Arial"/>
          <w:lang w:val="es-419"/>
        </w:rPr>
      </w:pPr>
      <w:r w:rsidRPr="00980C97">
        <w:rPr>
          <w:rFonts w:ascii="Arial" w:hAnsi="Arial" w:cs="Arial"/>
          <w:lang w:val="es-419"/>
        </w:rPr>
        <w:t xml:space="preserve">La sustentación, en vigencia del CGP, está estatuida en el artículo 322, que prescribe: “(…) Cuando se apele una sentencia, el apelante, al momento de interponer el recurso en la audiencia si hubiera sido proferida en ella, o dentro de los tres (3) días siguientes a su finalización o a la notificación de la que hubiere sido dictada por fuera de audiencia, deberá precisar, de manera breve, los reparos concretos que le hace a la decisión, sobre los cuales versará la sustentación que hará ante el superior (…)”. Y enseguida refiere que, ante la falta de esos reparos, el juez de primera instancia debe declarar desierto el recurso, así como cuando no fuere sustentado ante el superior.  </w:t>
      </w:r>
    </w:p>
    <w:p w14:paraId="08020E9F" w14:textId="77777777" w:rsidR="00980C97" w:rsidRPr="00980C97" w:rsidRDefault="00980C97" w:rsidP="00980C97">
      <w:pPr>
        <w:jc w:val="both"/>
        <w:rPr>
          <w:rFonts w:ascii="Arial" w:hAnsi="Arial" w:cs="Arial"/>
          <w:lang w:val="es-419"/>
        </w:rPr>
      </w:pPr>
    </w:p>
    <w:p w14:paraId="497B67AF" w14:textId="77777777" w:rsidR="00475125" w:rsidRDefault="00980C97" w:rsidP="00917AC3">
      <w:pPr>
        <w:jc w:val="both"/>
        <w:rPr>
          <w:rFonts w:ascii="Arial" w:hAnsi="Arial" w:cs="Arial"/>
          <w:lang w:val="es-419"/>
        </w:rPr>
      </w:pPr>
      <w:r w:rsidRPr="00980C97">
        <w:rPr>
          <w:rFonts w:ascii="Arial" w:hAnsi="Arial" w:cs="Arial"/>
          <w:lang w:val="es-419"/>
        </w:rPr>
        <w:t>Acorde con lo anterior, fácil se concluye que el estatuto procesal dispone una nueva forma de sustentar el recurso, en dos estadios diferenciados para ese efecto, el primero ante el juez de primer grado, pues allí comienza el ejercicio, señalándose los reparos concretos que la parte tiene contra lo resuelto; y, el segundo ante el superior, dentro de la audiencia que se programe para sustentar</w:t>
      </w:r>
      <w:r w:rsidR="00475125">
        <w:rPr>
          <w:rFonts w:ascii="Arial" w:hAnsi="Arial" w:cs="Arial"/>
          <w:lang w:val="es-419"/>
        </w:rPr>
        <w:t xml:space="preserve"> </w:t>
      </w:r>
      <w:r w:rsidR="00917AC3" w:rsidRPr="00E4403F">
        <w:rPr>
          <w:rFonts w:ascii="Arial" w:hAnsi="Arial" w:cs="Arial"/>
          <w:lang w:val="es-419"/>
        </w:rPr>
        <w:t>(Según la norma anterior, sin la modificación temporal introducida por el Decreto Presidencial No.</w:t>
      </w:r>
      <w:r w:rsidR="00184118">
        <w:rPr>
          <w:rFonts w:ascii="Arial" w:hAnsi="Arial" w:cs="Arial"/>
          <w:lang w:val="es-419"/>
        </w:rPr>
        <w:t xml:space="preserve"> </w:t>
      </w:r>
      <w:r w:rsidR="00917AC3" w:rsidRPr="00E4403F">
        <w:rPr>
          <w:rFonts w:ascii="Arial" w:hAnsi="Arial" w:cs="Arial"/>
          <w:lang w:val="es-419"/>
        </w:rPr>
        <w:t>806 de 2020), en la que no podrá excederse o desbordar los reparos propuestos ante el inferior (Artículo 327, CGP)</w:t>
      </w:r>
    </w:p>
    <w:p w14:paraId="6D655F47" w14:textId="77777777" w:rsidR="00475125" w:rsidRDefault="00475125" w:rsidP="00917AC3">
      <w:pPr>
        <w:jc w:val="both"/>
        <w:rPr>
          <w:rFonts w:ascii="Arial" w:hAnsi="Arial" w:cs="Arial"/>
          <w:lang w:val="es-419"/>
        </w:rPr>
      </w:pPr>
    </w:p>
    <w:p w14:paraId="06D0745F" w14:textId="732E8EB2" w:rsidR="00917AC3" w:rsidRPr="00912E82" w:rsidRDefault="00475125" w:rsidP="00917AC3">
      <w:pPr>
        <w:jc w:val="both"/>
        <w:rPr>
          <w:rFonts w:ascii="Arial" w:hAnsi="Arial" w:cs="Arial"/>
          <w:lang w:val="es-419"/>
        </w:rPr>
      </w:pPr>
      <w:r w:rsidRPr="00475125">
        <w:rPr>
          <w:rFonts w:ascii="Arial" w:hAnsi="Arial" w:cs="Arial"/>
          <w:lang w:val="es-419"/>
        </w:rPr>
        <w:t>Con absoluta claridad gramatical el artículo 322-3° establece tres (3) días para formular los reparos, no para sustentar, como malentiende el recurrente; se itera, SON DOS FASES PLENAMENTE DIFERENCIADAS</w:t>
      </w:r>
      <w:r w:rsidR="00917AC3">
        <w:rPr>
          <w:rFonts w:ascii="Arial" w:hAnsi="Arial" w:cs="Arial"/>
          <w:lang w:val="es-419"/>
        </w:rPr>
        <w:t>…</w:t>
      </w:r>
    </w:p>
    <w:p w14:paraId="060D1784" w14:textId="77777777" w:rsidR="00917AC3" w:rsidRPr="00912E82" w:rsidRDefault="00917AC3" w:rsidP="00917AC3">
      <w:pPr>
        <w:jc w:val="both"/>
        <w:rPr>
          <w:rFonts w:ascii="Arial" w:hAnsi="Arial" w:cs="Arial"/>
          <w:lang w:val="es-419"/>
        </w:rPr>
      </w:pPr>
    </w:p>
    <w:p w14:paraId="3F4BD37F" w14:textId="77777777" w:rsidR="00917AC3" w:rsidRDefault="00917AC3" w:rsidP="00917AC3">
      <w:pPr>
        <w:jc w:val="both"/>
        <w:rPr>
          <w:rFonts w:ascii="Arial" w:hAnsi="Arial" w:cs="Arial"/>
        </w:rPr>
      </w:pPr>
      <w:r w:rsidRPr="00E4403F">
        <w:rPr>
          <w:rFonts w:ascii="Arial" w:hAnsi="Arial" w:cs="Arial"/>
        </w:rPr>
        <w:t>Este discernimiento es compartido por la Sala Civil de la CSJ, en sede constitucional, quien en sinnúmero de sentencias de tutela (Criterio auxiliar), ha insistido en la existencia de esas dos fases para la sustentación del recurso de apelación y que, incumplida la segunda, esto es, la exposición ante el superior, se impone la declaratoria de deserción.</w:t>
      </w:r>
    </w:p>
    <w:p w14:paraId="5AFD94B1" w14:textId="77777777" w:rsidR="00917AC3" w:rsidRDefault="00917AC3" w:rsidP="00917AC3">
      <w:pPr>
        <w:jc w:val="both"/>
        <w:rPr>
          <w:rFonts w:ascii="Arial" w:hAnsi="Arial" w:cs="Arial"/>
        </w:rPr>
      </w:pPr>
    </w:p>
    <w:p w14:paraId="6E35808B" w14:textId="77777777" w:rsidR="00AF0F06" w:rsidRPr="00AF0F06" w:rsidRDefault="00AF0F06" w:rsidP="00AF0F06">
      <w:pPr>
        <w:jc w:val="both"/>
        <w:rPr>
          <w:rFonts w:ascii="Arial" w:hAnsi="Arial" w:cs="Arial"/>
        </w:rPr>
      </w:pPr>
    </w:p>
    <w:p w14:paraId="15913F46" w14:textId="77777777" w:rsidR="00AF0F06" w:rsidRPr="00AF0F06" w:rsidRDefault="00AF0F06" w:rsidP="00AF0F06">
      <w:pPr>
        <w:jc w:val="both"/>
        <w:rPr>
          <w:rFonts w:ascii="Arial" w:hAnsi="Arial" w:cs="Arial"/>
        </w:rPr>
      </w:pPr>
    </w:p>
    <w:p w14:paraId="7EAA6333" w14:textId="77777777" w:rsidR="002131E7" w:rsidRPr="002131E7" w:rsidRDefault="002131E7" w:rsidP="002131E7">
      <w:pPr>
        <w:jc w:val="both"/>
        <w:rPr>
          <w:rFonts w:ascii="Arial" w:hAnsi="Arial" w:cs="Arial"/>
        </w:rPr>
      </w:pPr>
      <w:bookmarkStart w:id="0" w:name="_Hlk73520874"/>
      <w:bookmarkStart w:id="1" w:name="_Hlk63144843"/>
    </w:p>
    <w:p w14:paraId="69AC8D7E" w14:textId="77777777" w:rsidR="002131E7" w:rsidRPr="002131E7" w:rsidRDefault="002131E7" w:rsidP="002131E7">
      <w:pPr>
        <w:jc w:val="center"/>
        <w:rPr>
          <w:rFonts w:ascii="Georgia" w:hAnsi="Georgia" w:cs="Arial"/>
          <w:b/>
          <w:bCs/>
          <w:i/>
          <w:iCs/>
          <w:noProof/>
          <w:sz w:val="24"/>
          <w:szCs w:val="24"/>
        </w:rPr>
      </w:pPr>
      <w:r w:rsidRPr="002131E7">
        <w:rPr>
          <w:rFonts w:ascii="Arial" w:hAnsi="Arial" w:cs="Arial"/>
          <w:b/>
          <w:bCs/>
          <w:i/>
          <w:iCs/>
          <w:noProof/>
          <w:sz w:val="24"/>
          <w:szCs w:val="24"/>
        </w:rPr>
        <w:drawing>
          <wp:anchor distT="0" distB="0" distL="114300" distR="114300" simplePos="0" relativeHeight="251663360" behindDoc="0" locked="0" layoutInCell="1" allowOverlap="1" wp14:anchorId="061E9C5F" wp14:editId="5F618A74">
            <wp:simplePos x="0" y="0"/>
            <wp:positionH relativeFrom="margin">
              <wp:align>center</wp:align>
            </wp:positionH>
            <wp:positionV relativeFrom="paragraph">
              <wp:posOffset>-181610</wp:posOffset>
            </wp:positionV>
            <wp:extent cx="363220" cy="36131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BCFF41" w14:textId="77777777" w:rsidR="002131E7" w:rsidRPr="002131E7" w:rsidRDefault="002131E7" w:rsidP="002131E7">
      <w:pPr>
        <w:spacing w:line="360" w:lineRule="auto"/>
        <w:jc w:val="center"/>
        <w:rPr>
          <w:rFonts w:ascii="Georgia" w:hAnsi="Georgia" w:cs="Arial"/>
          <w:w w:val="140"/>
          <w:sz w:val="14"/>
          <w:szCs w:val="22"/>
        </w:rPr>
      </w:pPr>
    </w:p>
    <w:p w14:paraId="3C992A58" w14:textId="77777777" w:rsidR="002131E7" w:rsidRPr="002131E7" w:rsidRDefault="002131E7" w:rsidP="002131E7">
      <w:pPr>
        <w:tabs>
          <w:tab w:val="left" w:pos="3579"/>
        </w:tabs>
        <w:spacing w:line="360" w:lineRule="auto"/>
        <w:jc w:val="center"/>
        <w:rPr>
          <w:rFonts w:ascii="Georgia" w:hAnsi="Georgia" w:cs="Arial"/>
          <w:w w:val="140"/>
          <w:sz w:val="18"/>
          <w:szCs w:val="18"/>
          <w:lang w:val="es-CO"/>
        </w:rPr>
      </w:pPr>
      <w:r w:rsidRPr="002131E7">
        <w:rPr>
          <w:rFonts w:ascii="Georgia" w:hAnsi="Georgia" w:cs="Arial"/>
          <w:w w:val="140"/>
          <w:sz w:val="18"/>
          <w:szCs w:val="18"/>
          <w:lang w:val="es-CO"/>
        </w:rPr>
        <w:t>REPUBLICA DE COLOMBIA</w:t>
      </w:r>
    </w:p>
    <w:p w14:paraId="5AFA419E" w14:textId="77777777" w:rsidR="002131E7" w:rsidRPr="002131E7" w:rsidRDefault="002131E7" w:rsidP="002131E7">
      <w:pPr>
        <w:tabs>
          <w:tab w:val="center" w:pos="4987"/>
          <w:tab w:val="left" w:pos="8449"/>
        </w:tabs>
        <w:spacing w:line="360" w:lineRule="auto"/>
        <w:jc w:val="center"/>
        <w:rPr>
          <w:rFonts w:ascii="Georgia" w:hAnsi="Georgia" w:cs="Arial"/>
          <w:w w:val="140"/>
          <w:sz w:val="18"/>
          <w:szCs w:val="18"/>
          <w:lang w:val="es-CO"/>
        </w:rPr>
      </w:pPr>
      <w:r w:rsidRPr="002131E7">
        <w:rPr>
          <w:rFonts w:ascii="Georgia" w:hAnsi="Georgia" w:cs="Arial"/>
          <w:w w:val="140"/>
          <w:sz w:val="18"/>
          <w:szCs w:val="18"/>
          <w:lang w:val="es-CO"/>
        </w:rPr>
        <w:t>RAMA JUDICIAL DEL PODER PÚBLICO</w:t>
      </w:r>
    </w:p>
    <w:p w14:paraId="4DB42775" w14:textId="77777777" w:rsidR="002131E7" w:rsidRPr="002131E7" w:rsidRDefault="002131E7" w:rsidP="002131E7">
      <w:pPr>
        <w:spacing w:line="360" w:lineRule="auto"/>
        <w:jc w:val="center"/>
        <w:rPr>
          <w:rFonts w:ascii="Georgia" w:hAnsi="Georgia" w:cs="Arial"/>
          <w:b/>
          <w:bCs/>
          <w:w w:val="140"/>
          <w:sz w:val="18"/>
          <w:szCs w:val="18"/>
          <w:lang w:val="es-CO"/>
        </w:rPr>
      </w:pPr>
      <w:r w:rsidRPr="002131E7">
        <w:rPr>
          <w:rFonts w:ascii="Georgia" w:hAnsi="Georgia" w:cs="Arial"/>
          <w:b/>
          <w:bCs/>
          <w:w w:val="140"/>
          <w:sz w:val="18"/>
          <w:szCs w:val="18"/>
          <w:lang w:val="es-CO"/>
        </w:rPr>
        <w:t>TRIBUNAL SUPERIOR DEL DISTRITO JUDICIAL</w:t>
      </w:r>
    </w:p>
    <w:p w14:paraId="135AA446" w14:textId="77777777" w:rsidR="002131E7" w:rsidRPr="002131E7" w:rsidRDefault="002131E7" w:rsidP="002131E7">
      <w:pPr>
        <w:spacing w:line="360" w:lineRule="auto"/>
        <w:jc w:val="center"/>
        <w:rPr>
          <w:rFonts w:ascii="Georgia" w:hAnsi="Georgia" w:cs="Arial"/>
          <w:w w:val="140"/>
          <w:sz w:val="18"/>
          <w:szCs w:val="18"/>
          <w:lang w:val="es-CO"/>
        </w:rPr>
      </w:pPr>
      <w:r w:rsidRPr="002131E7">
        <w:rPr>
          <w:rFonts w:ascii="Georgia" w:hAnsi="Georgia" w:cs="Arial"/>
          <w:w w:val="140"/>
          <w:sz w:val="18"/>
          <w:szCs w:val="18"/>
          <w:lang w:val="es-CO"/>
        </w:rPr>
        <w:t>SALA DE DECISIÓN CIVIL – FAMILIA – DISTRITO DE PEREIRA</w:t>
      </w:r>
    </w:p>
    <w:p w14:paraId="175CD312" w14:textId="77777777" w:rsidR="002131E7" w:rsidRPr="002131E7" w:rsidRDefault="002131E7" w:rsidP="002131E7">
      <w:pPr>
        <w:spacing w:line="360" w:lineRule="auto"/>
        <w:jc w:val="center"/>
        <w:rPr>
          <w:rFonts w:ascii="Georgia" w:hAnsi="Georgia" w:cs="Arial"/>
          <w:w w:val="140"/>
          <w:sz w:val="18"/>
          <w:szCs w:val="18"/>
          <w:lang w:val="es-CO"/>
        </w:rPr>
      </w:pPr>
      <w:r w:rsidRPr="002131E7">
        <w:rPr>
          <w:rFonts w:ascii="Georgia" w:hAnsi="Georgia" w:cs="Arial"/>
          <w:w w:val="140"/>
          <w:sz w:val="18"/>
          <w:szCs w:val="18"/>
          <w:lang w:val="es-CO"/>
        </w:rPr>
        <w:t>DEPARTAMENTO DEL RISARALDA</w:t>
      </w:r>
    </w:p>
    <w:p w14:paraId="5F1A1182" w14:textId="77777777" w:rsidR="002131E7" w:rsidRPr="002131E7" w:rsidRDefault="002131E7" w:rsidP="002131E7">
      <w:pPr>
        <w:pBdr>
          <w:bottom w:val="double" w:sz="6" w:space="1" w:color="auto"/>
        </w:pBdr>
        <w:spacing w:line="276" w:lineRule="auto"/>
        <w:rPr>
          <w:rFonts w:ascii="Georgia" w:hAnsi="Georgia"/>
          <w:spacing w:val="20"/>
          <w:w w:val="150"/>
          <w:sz w:val="24"/>
          <w:szCs w:val="26"/>
        </w:rPr>
      </w:pPr>
    </w:p>
    <w:bookmarkEnd w:id="0"/>
    <w:p w14:paraId="0945F70A" w14:textId="641ACDB6" w:rsidR="00A02517" w:rsidRDefault="00A02517" w:rsidP="00AF0F06">
      <w:pPr>
        <w:spacing w:line="276" w:lineRule="auto"/>
        <w:jc w:val="center"/>
        <w:rPr>
          <w:rFonts w:ascii="Georgia" w:hAnsi="Georgia" w:cs="Arial"/>
          <w:smallCaps/>
          <w:sz w:val="24"/>
          <w:szCs w:val="24"/>
        </w:rPr>
      </w:pPr>
    </w:p>
    <w:p w14:paraId="45664249" w14:textId="77777777" w:rsidR="0057512B" w:rsidRPr="002D0477" w:rsidRDefault="0057512B" w:rsidP="0057512B">
      <w:pPr>
        <w:pStyle w:val="Textoindependiente"/>
        <w:spacing w:line="276" w:lineRule="auto"/>
        <w:jc w:val="center"/>
        <w:rPr>
          <w:rFonts w:ascii="Georgia" w:hAnsi="Georgia" w:cs="Arial"/>
          <w:b/>
          <w:lang w:val="es-CO"/>
        </w:rPr>
      </w:pPr>
      <w:bookmarkStart w:id="2" w:name="_GoBack"/>
      <w:r w:rsidRPr="002D0477">
        <w:rPr>
          <w:rFonts w:ascii="Georgia" w:hAnsi="Georgia" w:cs="Arial"/>
          <w:b/>
          <w:lang w:val="es-CO"/>
        </w:rPr>
        <w:t>AC-0073-2021</w:t>
      </w:r>
    </w:p>
    <w:bookmarkEnd w:id="2"/>
    <w:p w14:paraId="7352AA90" w14:textId="77777777" w:rsidR="0057512B" w:rsidRPr="00AF0F06" w:rsidRDefault="0057512B" w:rsidP="00AF0F06">
      <w:pPr>
        <w:spacing w:line="276" w:lineRule="auto"/>
        <w:jc w:val="center"/>
        <w:rPr>
          <w:rFonts w:ascii="Georgia" w:hAnsi="Georgia" w:cs="Arial"/>
          <w:smallCaps/>
          <w:sz w:val="24"/>
          <w:szCs w:val="24"/>
        </w:rPr>
      </w:pPr>
    </w:p>
    <w:p w14:paraId="696BC1DF" w14:textId="09C9DC1B" w:rsidR="00AA4E6B" w:rsidRPr="00AF0F06" w:rsidRDefault="00D33A4E" w:rsidP="00AF0F06">
      <w:pPr>
        <w:tabs>
          <w:tab w:val="left" w:pos="1215"/>
          <w:tab w:val="center" w:pos="4702"/>
        </w:tabs>
        <w:spacing w:line="276" w:lineRule="auto"/>
        <w:rPr>
          <w:rFonts w:ascii="Georgia" w:hAnsi="Georgia" w:cs="Arial"/>
          <w:smallCaps/>
          <w:sz w:val="24"/>
          <w:szCs w:val="24"/>
        </w:rPr>
      </w:pPr>
      <w:r w:rsidRPr="00AF0F06">
        <w:rPr>
          <w:rFonts w:ascii="Georgia" w:hAnsi="Georgia" w:cs="Arial"/>
          <w:smallCaps/>
          <w:sz w:val="24"/>
          <w:szCs w:val="24"/>
        </w:rPr>
        <w:tab/>
      </w:r>
      <w:r w:rsidR="005F5258" w:rsidRPr="00AF0F06">
        <w:rPr>
          <w:rFonts w:ascii="Georgia" w:hAnsi="Georgia" w:cs="Arial"/>
          <w:smallCaps/>
          <w:sz w:val="24"/>
          <w:szCs w:val="24"/>
        </w:rPr>
        <w:t xml:space="preserve">Dieciocho </w:t>
      </w:r>
      <w:r w:rsidR="00AA4E6B" w:rsidRPr="00AF0F06">
        <w:rPr>
          <w:rFonts w:ascii="Georgia" w:hAnsi="Georgia" w:cs="Arial"/>
          <w:smallCaps/>
          <w:sz w:val="24"/>
          <w:szCs w:val="24"/>
        </w:rPr>
        <w:t>(</w:t>
      </w:r>
      <w:r w:rsidR="005F5258" w:rsidRPr="00AF0F06">
        <w:rPr>
          <w:rFonts w:ascii="Georgia" w:hAnsi="Georgia" w:cs="Arial"/>
          <w:smallCaps/>
          <w:sz w:val="24"/>
          <w:szCs w:val="24"/>
        </w:rPr>
        <w:t>18</w:t>
      </w:r>
      <w:r w:rsidR="00AA4E6B" w:rsidRPr="00AF0F06">
        <w:rPr>
          <w:rFonts w:ascii="Georgia" w:hAnsi="Georgia" w:cs="Arial"/>
          <w:smallCaps/>
          <w:sz w:val="24"/>
          <w:szCs w:val="24"/>
        </w:rPr>
        <w:t xml:space="preserve">) de </w:t>
      </w:r>
      <w:r w:rsidR="00096EAF" w:rsidRPr="00AF0F06">
        <w:rPr>
          <w:rFonts w:ascii="Georgia" w:hAnsi="Georgia" w:cs="Arial"/>
          <w:smallCaps/>
          <w:sz w:val="24"/>
          <w:szCs w:val="24"/>
        </w:rPr>
        <w:t xml:space="preserve">mayo </w:t>
      </w:r>
      <w:r w:rsidR="00AA4E6B" w:rsidRPr="00AF0F06">
        <w:rPr>
          <w:rFonts w:ascii="Georgia" w:hAnsi="Georgia" w:cs="Arial"/>
          <w:smallCaps/>
          <w:sz w:val="24"/>
          <w:szCs w:val="24"/>
        </w:rPr>
        <w:t>de dos mil veint</w:t>
      </w:r>
      <w:r w:rsidR="00C6424D" w:rsidRPr="00AF0F06">
        <w:rPr>
          <w:rFonts w:ascii="Georgia" w:hAnsi="Georgia" w:cs="Arial"/>
          <w:smallCaps/>
          <w:sz w:val="24"/>
          <w:szCs w:val="24"/>
        </w:rPr>
        <w:t>iuno</w:t>
      </w:r>
      <w:r w:rsidR="00AA4E6B" w:rsidRPr="00AF0F06">
        <w:rPr>
          <w:rFonts w:ascii="Georgia" w:hAnsi="Georgia" w:cs="Arial"/>
          <w:smallCaps/>
          <w:sz w:val="24"/>
          <w:szCs w:val="24"/>
        </w:rPr>
        <w:t xml:space="preserve"> (202</w:t>
      </w:r>
      <w:r w:rsidR="00C6424D" w:rsidRPr="00AF0F06">
        <w:rPr>
          <w:rFonts w:ascii="Georgia" w:hAnsi="Georgia" w:cs="Arial"/>
          <w:smallCaps/>
          <w:sz w:val="24"/>
          <w:szCs w:val="24"/>
        </w:rPr>
        <w:t>1</w:t>
      </w:r>
      <w:r w:rsidR="00AA4E6B" w:rsidRPr="00AF0F06">
        <w:rPr>
          <w:rFonts w:ascii="Georgia" w:hAnsi="Georgia" w:cs="Arial"/>
          <w:smallCaps/>
          <w:sz w:val="24"/>
          <w:szCs w:val="24"/>
        </w:rPr>
        <w:t>).</w:t>
      </w:r>
    </w:p>
    <w:bookmarkEnd w:id="1"/>
    <w:p w14:paraId="19BAC3D7" w14:textId="77777777" w:rsidR="00C60906" w:rsidRPr="00AF0F06" w:rsidRDefault="00C60906" w:rsidP="00AF0F06">
      <w:pPr>
        <w:spacing w:line="276" w:lineRule="auto"/>
        <w:jc w:val="center"/>
        <w:rPr>
          <w:rFonts w:ascii="Georgia" w:hAnsi="Georgia"/>
          <w:sz w:val="24"/>
          <w:szCs w:val="24"/>
        </w:rPr>
      </w:pPr>
    </w:p>
    <w:p w14:paraId="2FB1B2AA" w14:textId="2170FDAD" w:rsidR="00AA4E6B" w:rsidRPr="00AF0F06" w:rsidRDefault="00AA4E6B" w:rsidP="00AF0F06">
      <w:pPr>
        <w:pStyle w:val="Textoindependiente"/>
        <w:numPr>
          <w:ilvl w:val="0"/>
          <w:numId w:val="15"/>
        </w:numPr>
        <w:spacing w:line="276" w:lineRule="auto"/>
        <w:rPr>
          <w:rFonts w:ascii="Georgia" w:hAnsi="Georgia"/>
          <w:b/>
          <w:smallCaps/>
          <w:szCs w:val="24"/>
        </w:rPr>
      </w:pPr>
      <w:r w:rsidRPr="00AF0F06">
        <w:rPr>
          <w:rFonts w:ascii="Georgia" w:hAnsi="Georgia"/>
          <w:b/>
          <w:smallCaps/>
          <w:szCs w:val="24"/>
        </w:rPr>
        <w:t>EL ASUNTO POR DECIDIR</w:t>
      </w:r>
    </w:p>
    <w:p w14:paraId="7C2ABFEB" w14:textId="77777777" w:rsidR="009F1786" w:rsidRPr="00AF0F06" w:rsidRDefault="009F1786" w:rsidP="00AF0F06">
      <w:pPr>
        <w:pStyle w:val="Sinespaciado"/>
        <w:spacing w:line="276" w:lineRule="auto"/>
        <w:jc w:val="both"/>
        <w:rPr>
          <w:rFonts w:ascii="Georgia" w:hAnsi="Georgia" w:cs="Arial"/>
          <w:lang w:val="es-CO"/>
        </w:rPr>
      </w:pPr>
    </w:p>
    <w:p w14:paraId="7C2ABFEC" w14:textId="4F7E2911" w:rsidR="009F1786" w:rsidRPr="00AF0F06" w:rsidRDefault="006C17B6" w:rsidP="00AF0F06">
      <w:pPr>
        <w:pStyle w:val="Sinespaciado"/>
        <w:spacing w:line="276" w:lineRule="auto"/>
        <w:jc w:val="both"/>
        <w:rPr>
          <w:rFonts w:ascii="Georgia" w:hAnsi="Georgia" w:cs="Arial"/>
        </w:rPr>
      </w:pPr>
      <w:r w:rsidRPr="00AF0F06">
        <w:rPr>
          <w:rFonts w:ascii="Georgia" w:hAnsi="Georgia" w:cs="Arial"/>
        </w:rPr>
        <w:t>Resolver</w:t>
      </w:r>
      <w:r w:rsidR="005C2CBC" w:rsidRPr="00AF0F06">
        <w:rPr>
          <w:rFonts w:ascii="Georgia" w:hAnsi="Georgia" w:cs="Arial"/>
        </w:rPr>
        <w:t>,</w:t>
      </w:r>
      <w:r w:rsidRPr="00AF0F06">
        <w:rPr>
          <w:rFonts w:ascii="Georgia" w:hAnsi="Georgia" w:cs="Arial"/>
        </w:rPr>
        <w:t xml:space="preserve"> previas las apreciaciones jurídicas que enseguida se plantean, e</w:t>
      </w:r>
      <w:r w:rsidR="00CF16F4" w:rsidRPr="00AF0F06">
        <w:rPr>
          <w:rFonts w:ascii="Georgia" w:hAnsi="Georgia" w:cs="Arial"/>
        </w:rPr>
        <w:t xml:space="preserve">l </w:t>
      </w:r>
      <w:r w:rsidR="009F1786" w:rsidRPr="00AF0F06">
        <w:rPr>
          <w:rFonts w:ascii="Georgia" w:hAnsi="Georgia" w:cs="Arial"/>
        </w:rPr>
        <w:t>recurso ordinario de reposición</w:t>
      </w:r>
      <w:r w:rsidRPr="00AF0F06">
        <w:rPr>
          <w:rFonts w:ascii="Georgia" w:hAnsi="Georgia" w:cs="Arial"/>
        </w:rPr>
        <w:t xml:space="preserve">, </w:t>
      </w:r>
      <w:r w:rsidR="00310588" w:rsidRPr="00AF0F06">
        <w:rPr>
          <w:rFonts w:ascii="Georgia" w:hAnsi="Georgia" w:cs="Arial"/>
        </w:rPr>
        <w:t xml:space="preserve">formulado </w:t>
      </w:r>
      <w:r w:rsidR="009F1786" w:rsidRPr="00AF0F06">
        <w:rPr>
          <w:rFonts w:ascii="Georgia" w:hAnsi="Georgia" w:cs="Arial"/>
        </w:rPr>
        <w:t xml:space="preserve">por </w:t>
      </w:r>
      <w:r w:rsidR="00310588" w:rsidRPr="00AF0F06">
        <w:rPr>
          <w:rFonts w:ascii="Georgia" w:hAnsi="Georgia" w:cs="Arial"/>
        </w:rPr>
        <w:t>e</w:t>
      </w:r>
      <w:r w:rsidR="009F1786" w:rsidRPr="00AF0F06">
        <w:rPr>
          <w:rFonts w:ascii="Georgia" w:hAnsi="Georgia" w:cs="Arial"/>
        </w:rPr>
        <w:t>l mandatari</w:t>
      </w:r>
      <w:r w:rsidR="00310588" w:rsidRPr="00AF0F06">
        <w:rPr>
          <w:rFonts w:ascii="Georgia" w:hAnsi="Georgia" w:cs="Arial"/>
        </w:rPr>
        <w:t>o</w:t>
      </w:r>
      <w:r w:rsidR="009F1786" w:rsidRPr="00AF0F06">
        <w:rPr>
          <w:rFonts w:ascii="Georgia" w:hAnsi="Georgia" w:cs="Arial"/>
        </w:rPr>
        <w:t xml:space="preserve"> judicial de la parte </w:t>
      </w:r>
      <w:r w:rsidR="00AA4E6B" w:rsidRPr="00AF0F06">
        <w:rPr>
          <w:rFonts w:ascii="Georgia" w:hAnsi="Georgia" w:cs="Arial"/>
        </w:rPr>
        <w:t>actora</w:t>
      </w:r>
      <w:r w:rsidR="00310588" w:rsidRPr="00AF0F06">
        <w:rPr>
          <w:rFonts w:ascii="Georgia" w:hAnsi="Georgia" w:cs="Arial"/>
        </w:rPr>
        <w:t>,</w:t>
      </w:r>
      <w:r w:rsidRPr="00AF0F06">
        <w:rPr>
          <w:rFonts w:ascii="Georgia" w:hAnsi="Georgia" w:cs="Arial"/>
        </w:rPr>
        <w:t xml:space="preserve"> </w:t>
      </w:r>
      <w:r w:rsidR="009F1786" w:rsidRPr="00AF0F06">
        <w:rPr>
          <w:rFonts w:ascii="Georgia" w:hAnsi="Georgia" w:cs="Arial"/>
        </w:rPr>
        <w:t xml:space="preserve">contra </w:t>
      </w:r>
      <w:r w:rsidRPr="00AF0F06">
        <w:rPr>
          <w:rFonts w:ascii="Georgia" w:hAnsi="Georgia" w:cs="Arial"/>
        </w:rPr>
        <w:t xml:space="preserve">el proveído </w:t>
      </w:r>
      <w:r w:rsidR="00310588" w:rsidRPr="00AF0F06">
        <w:rPr>
          <w:rFonts w:ascii="Georgia" w:hAnsi="Georgia" w:cs="Arial"/>
        </w:rPr>
        <w:t xml:space="preserve">fechado </w:t>
      </w:r>
      <w:r w:rsidR="00096EAF" w:rsidRPr="00AF0F06">
        <w:rPr>
          <w:rFonts w:ascii="Georgia" w:hAnsi="Georgia" w:cs="Arial"/>
        </w:rPr>
        <w:t>13</w:t>
      </w:r>
      <w:r w:rsidR="00310588" w:rsidRPr="00AF0F06">
        <w:rPr>
          <w:rFonts w:ascii="Georgia" w:hAnsi="Georgia" w:cs="Arial"/>
        </w:rPr>
        <w:t>-0</w:t>
      </w:r>
      <w:r w:rsidR="00E25666" w:rsidRPr="00AF0F06">
        <w:rPr>
          <w:rFonts w:ascii="Georgia" w:hAnsi="Georgia" w:cs="Arial"/>
        </w:rPr>
        <w:t>4</w:t>
      </w:r>
      <w:r w:rsidR="00310588" w:rsidRPr="00AF0F06">
        <w:rPr>
          <w:rFonts w:ascii="Georgia" w:hAnsi="Georgia" w:cs="Arial"/>
        </w:rPr>
        <w:t>-2021</w:t>
      </w:r>
      <w:r w:rsidR="009F1786" w:rsidRPr="00AF0F06">
        <w:rPr>
          <w:rFonts w:ascii="Georgia" w:hAnsi="Georgia" w:cs="Arial"/>
        </w:rPr>
        <w:t>.</w:t>
      </w:r>
    </w:p>
    <w:p w14:paraId="230A3696" w14:textId="77777777" w:rsidR="00C60906" w:rsidRPr="00AF0F06" w:rsidRDefault="00C60906" w:rsidP="00AF0F06">
      <w:pPr>
        <w:pStyle w:val="Sinespaciado"/>
        <w:tabs>
          <w:tab w:val="left" w:pos="2355"/>
        </w:tabs>
        <w:spacing w:line="276" w:lineRule="auto"/>
        <w:jc w:val="both"/>
        <w:rPr>
          <w:rFonts w:ascii="Georgia" w:hAnsi="Georgia" w:cs="Arial"/>
        </w:rPr>
      </w:pPr>
    </w:p>
    <w:p w14:paraId="7C2ABFEF" w14:textId="2ADF1481" w:rsidR="009F1786" w:rsidRPr="00AF0F06" w:rsidRDefault="006C17B6" w:rsidP="00AF0F06">
      <w:pPr>
        <w:pStyle w:val="Textoindependiente"/>
        <w:numPr>
          <w:ilvl w:val="0"/>
          <w:numId w:val="15"/>
        </w:numPr>
        <w:spacing w:line="276" w:lineRule="auto"/>
        <w:rPr>
          <w:rFonts w:ascii="Georgia" w:hAnsi="Georgia"/>
          <w:b/>
          <w:smallCaps/>
          <w:szCs w:val="24"/>
        </w:rPr>
      </w:pPr>
      <w:r w:rsidRPr="00AF0F06">
        <w:rPr>
          <w:rFonts w:ascii="Georgia" w:hAnsi="Georgia"/>
          <w:b/>
          <w:smallCaps/>
          <w:szCs w:val="24"/>
        </w:rPr>
        <w:t>La providencia recurrida</w:t>
      </w:r>
    </w:p>
    <w:p w14:paraId="27FFDAD4" w14:textId="77777777" w:rsidR="006C17B6" w:rsidRPr="00AF0F06" w:rsidRDefault="006C17B6" w:rsidP="00AF0F06">
      <w:pPr>
        <w:spacing w:line="276" w:lineRule="auto"/>
        <w:jc w:val="both"/>
        <w:rPr>
          <w:rFonts w:ascii="Georgia" w:hAnsi="Georgia" w:cs="Arial"/>
          <w:sz w:val="24"/>
          <w:szCs w:val="24"/>
        </w:rPr>
      </w:pPr>
    </w:p>
    <w:p w14:paraId="7C2ABFF0" w14:textId="652A80D0" w:rsidR="009F1786" w:rsidRPr="00AF0F06" w:rsidRDefault="00310588" w:rsidP="00AF0F06">
      <w:pPr>
        <w:spacing w:line="276" w:lineRule="auto"/>
        <w:jc w:val="both"/>
        <w:rPr>
          <w:rFonts w:ascii="Georgia" w:hAnsi="Georgia" w:cs="Arial"/>
          <w:sz w:val="24"/>
          <w:szCs w:val="24"/>
        </w:rPr>
      </w:pPr>
      <w:r w:rsidRPr="00AF0F06">
        <w:rPr>
          <w:rFonts w:ascii="Georgia" w:hAnsi="Georgia" w:cs="Arial"/>
          <w:sz w:val="24"/>
          <w:szCs w:val="24"/>
        </w:rPr>
        <w:t xml:space="preserve">Dispuso </w:t>
      </w:r>
      <w:r w:rsidR="00B262B1" w:rsidRPr="00AF0F06">
        <w:rPr>
          <w:rFonts w:ascii="Georgia" w:hAnsi="Georgia" w:cs="Arial"/>
          <w:sz w:val="24"/>
          <w:szCs w:val="24"/>
        </w:rPr>
        <w:t xml:space="preserve">la deserción </w:t>
      </w:r>
      <w:r w:rsidR="00712790" w:rsidRPr="00AF0F06">
        <w:rPr>
          <w:rFonts w:ascii="Georgia" w:hAnsi="Georgia" w:cs="Arial"/>
          <w:sz w:val="24"/>
          <w:szCs w:val="24"/>
        </w:rPr>
        <w:t>de la alzada</w:t>
      </w:r>
      <w:r w:rsidR="00B262B1" w:rsidRPr="00AF0F06">
        <w:rPr>
          <w:rFonts w:ascii="Georgia" w:hAnsi="Georgia" w:cs="Arial"/>
          <w:sz w:val="24"/>
          <w:szCs w:val="24"/>
        </w:rPr>
        <w:t xml:space="preserve">, </w:t>
      </w:r>
      <w:r w:rsidR="00965E80" w:rsidRPr="00AF0F06">
        <w:rPr>
          <w:rFonts w:ascii="Georgia" w:hAnsi="Georgia" w:cs="Arial"/>
          <w:sz w:val="24"/>
          <w:szCs w:val="24"/>
        </w:rPr>
        <w:t>propuesta</w:t>
      </w:r>
      <w:r w:rsidR="00B262B1" w:rsidRPr="00AF0F06">
        <w:rPr>
          <w:rFonts w:ascii="Georgia" w:hAnsi="Georgia" w:cs="Arial"/>
          <w:sz w:val="24"/>
          <w:szCs w:val="24"/>
        </w:rPr>
        <w:t xml:space="preserve"> contra la sentencia de primera instancia, </w:t>
      </w:r>
      <w:r w:rsidR="00BB55AE" w:rsidRPr="00AF0F06">
        <w:rPr>
          <w:rFonts w:ascii="Georgia" w:hAnsi="Georgia" w:cs="Arial"/>
          <w:sz w:val="24"/>
          <w:szCs w:val="24"/>
        </w:rPr>
        <w:t xml:space="preserve">porque la parte demandante pretermitió presentar </w:t>
      </w:r>
      <w:r w:rsidR="00C6424D" w:rsidRPr="00AF0F06">
        <w:rPr>
          <w:rFonts w:ascii="Georgia" w:hAnsi="Georgia" w:cs="Arial"/>
          <w:sz w:val="24"/>
          <w:szCs w:val="24"/>
        </w:rPr>
        <w:t>l</w:t>
      </w:r>
      <w:r w:rsidR="00BB55AE" w:rsidRPr="00AF0F06">
        <w:rPr>
          <w:rFonts w:ascii="Georgia" w:hAnsi="Georgia" w:cs="Arial"/>
          <w:sz w:val="24"/>
          <w:szCs w:val="24"/>
        </w:rPr>
        <w:t xml:space="preserve">a sustentación, </w:t>
      </w:r>
      <w:r w:rsidR="2022AA48" w:rsidRPr="00AF0F06">
        <w:rPr>
          <w:rFonts w:ascii="Georgia" w:hAnsi="Georgia" w:cs="Arial"/>
          <w:sz w:val="24"/>
          <w:szCs w:val="24"/>
        </w:rPr>
        <w:t xml:space="preserve">según el </w:t>
      </w:r>
      <w:r w:rsidR="00BB55AE" w:rsidRPr="00AF0F06">
        <w:rPr>
          <w:rFonts w:ascii="Georgia" w:hAnsi="Georgia" w:cs="Arial"/>
          <w:sz w:val="24"/>
          <w:szCs w:val="24"/>
        </w:rPr>
        <w:t>Decreto Presidencial No.</w:t>
      </w:r>
      <w:r w:rsidR="004339DF">
        <w:rPr>
          <w:rFonts w:ascii="Georgia" w:hAnsi="Georgia" w:cs="Arial"/>
          <w:sz w:val="24"/>
          <w:szCs w:val="24"/>
        </w:rPr>
        <w:t xml:space="preserve"> </w:t>
      </w:r>
      <w:r w:rsidR="00BB55AE" w:rsidRPr="00AF0F06">
        <w:rPr>
          <w:rFonts w:ascii="Georgia" w:hAnsi="Georgia" w:cs="Arial"/>
          <w:sz w:val="24"/>
          <w:szCs w:val="24"/>
        </w:rPr>
        <w:t>806 de 2020</w:t>
      </w:r>
      <w:r w:rsidR="00A164C0" w:rsidRPr="00AF0F06">
        <w:rPr>
          <w:rFonts w:ascii="Georgia" w:hAnsi="Georgia" w:cs="Arial"/>
          <w:sz w:val="24"/>
          <w:szCs w:val="24"/>
        </w:rPr>
        <w:t xml:space="preserve"> </w:t>
      </w:r>
      <w:r w:rsidR="00BB55AE" w:rsidRPr="00AF0F06">
        <w:rPr>
          <w:rFonts w:ascii="Georgia" w:hAnsi="Georgia" w:cs="Arial"/>
          <w:sz w:val="24"/>
          <w:szCs w:val="24"/>
          <w:lang w:val="es-CO"/>
        </w:rPr>
        <w:t xml:space="preserve">(Carpeta 2ª instancia, </w:t>
      </w:r>
      <w:proofErr w:type="spellStart"/>
      <w:r w:rsidRPr="00AF0F06">
        <w:rPr>
          <w:rFonts w:ascii="Georgia" w:hAnsi="Georgia" w:cs="Arial"/>
          <w:sz w:val="24"/>
          <w:szCs w:val="24"/>
          <w:lang w:val="es-CO"/>
        </w:rPr>
        <w:t>pdf</w:t>
      </w:r>
      <w:proofErr w:type="spellEnd"/>
      <w:r w:rsidRPr="00AF0F06">
        <w:rPr>
          <w:rFonts w:ascii="Georgia" w:hAnsi="Georgia" w:cs="Arial"/>
          <w:sz w:val="24"/>
          <w:szCs w:val="24"/>
          <w:lang w:val="es-CO"/>
        </w:rPr>
        <w:t>.</w:t>
      </w:r>
      <w:r w:rsidR="009823F0" w:rsidRPr="00AF0F06">
        <w:rPr>
          <w:rFonts w:ascii="Georgia" w:hAnsi="Georgia" w:cs="Arial"/>
          <w:sz w:val="24"/>
          <w:szCs w:val="24"/>
          <w:lang w:val="es-CO"/>
        </w:rPr>
        <w:t xml:space="preserve"> No.</w:t>
      </w:r>
      <w:r w:rsidR="00096EAF" w:rsidRPr="00AF0F06">
        <w:rPr>
          <w:rFonts w:ascii="Georgia" w:hAnsi="Georgia" w:cs="Arial"/>
          <w:sz w:val="24"/>
          <w:szCs w:val="24"/>
          <w:lang w:val="es-CO"/>
        </w:rPr>
        <w:t>13</w:t>
      </w:r>
      <w:r w:rsidR="00BB55AE" w:rsidRPr="00AF0F06">
        <w:rPr>
          <w:rFonts w:ascii="Georgia" w:hAnsi="Georgia" w:cs="Arial"/>
          <w:sz w:val="24"/>
          <w:szCs w:val="24"/>
          <w:lang w:val="es-CO"/>
        </w:rPr>
        <w:t>)</w:t>
      </w:r>
      <w:r w:rsidR="009F1786" w:rsidRPr="00AF0F06">
        <w:rPr>
          <w:rFonts w:ascii="Georgia" w:hAnsi="Georgia" w:cs="Arial"/>
          <w:sz w:val="24"/>
          <w:szCs w:val="24"/>
        </w:rPr>
        <w:t>.</w:t>
      </w:r>
    </w:p>
    <w:p w14:paraId="74671AD5" w14:textId="5784EE3B" w:rsidR="00310588" w:rsidRPr="00AF0F06" w:rsidRDefault="00310588" w:rsidP="00AF0F06">
      <w:pPr>
        <w:pStyle w:val="Sinespaciado"/>
        <w:widowControl/>
        <w:autoSpaceDE/>
        <w:autoSpaceDN/>
        <w:adjustRightInd/>
        <w:spacing w:line="276" w:lineRule="auto"/>
        <w:jc w:val="both"/>
        <w:rPr>
          <w:rFonts w:ascii="Georgia" w:hAnsi="Georgia" w:cs="Arial"/>
        </w:rPr>
      </w:pPr>
    </w:p>
    <w:p w14:paraId="7C2ABFF2" w14:textId="5B540FF0" w:rsidR="009F1786" w:rsidRPr="00AF0F06" w:rsidRDefault="00E2193F" w:rsidP="00AF0F06">
      <w:pPr>
        <w:pStyle w:val="Textoindependiente"/>
        <w:numPr>
          <w:ilvl w:val="0"/>
          <w:numId w:val="15"/>
        </w:numPr>
        <w:spacing w:line="276" w:lineRule="auto"/>
        <w:rPr>
          <w:rFonts w:ascii="Georgia" w:hAnsi="Georgia"/>
          <w:b/>
          <w:smallCaps/>
          <w:szCs w:val="24"/>
        </w:rPr>
      </w:pPr>
      <w:r w:rsidRPr="00AF0F06">
        <w:rPr>
          <w:rFonts w:ascii="Georgia" w:hAnsi="Georgia"/>
          <w:b/>
          <w:smallCaps/>
          <w:szCs w:val="24"/>
        </w:rPr>
        <w:t>La síntesis de la reposición</w:t>
      </w:r>
    </w:p>
    <w:p w14:paraId="0AF90B88" w14:textId="77777777" w:rsidR="002D0639" w:rsidRPr="00AF0F06" w:rsidRDefault="002D0639" w:rsidP="00AF0F06">
      <w:pPr>
        <w:pStyle w:val="Sinespaciado"/>
        <w:spacing w:line="276" w:lineRule="auto"/>
        <w:jc w:val="both"/>
        <w:rPr>
          <w:rFonts w:ascii="Georgia" w:hAnsi="Georgia" w:cs="Arial"/>
          <w:highlight w:val="yellow"/>
        </w:rPr>
      </w:pPr>
      <w:bookmarkStart w:id="3" w:name="_Hlk48807934"/>
      <w:bookmarkStart w:id="4" w:name="_Hlk63069874"/>
    </w:p>
    <w:p w14:paraId="4700085A" w14:textId="7B898FFA" w:rsidR="00CE5C8A" w:rsidRPr="00AF0F06" w:rsidRDefault="00096EAF" w:rsidP="00AF0F06">
      <w:pPr>
        <w:pStyle w:val="Sinespaciado"/>
        <w:spacing w:line="276" w:lineRule="auto"/>
        <w:jc w:val="both"/>
        <w:rPr>
          <w:rFonts w:ascii="Georgia" w:hAnsi="Georgia" w:cs="Arial"/>
        </w:rPr>
      </w:pPr>
      <w:r w:rsidRPr="00AF0F06">
        <w:rPr>
          <w:rFonts w:ascii="Georgia" w:hAnsi="Georgia" w:cs="Arial"/>
        </w:rPr>
        <w:t>Explic</w:t>
      </w:r>
      <w:r w:rsidR="00E7402E" w:rsidRPr="00AF0F06">
        <w:rPr>
          <w:rFonts w:ascii="Georgia" w:hAnsi="Georgia" w:cs="Arial"/>
        </w:rPr>
        <w:t>a</w:t>
      </w:r>
      <w:r w:rsidRPr="00AF0F06">
        <w:rPr>
          <w:rFonts w:ascii="Georgia" w:hAnsi="Georgia" w:cs="Arial"/>
        </w:rPr>
        <w:t xml:space="preserve"> </w:t>
      </w:r>
      <w:r w:rsidR="00A92946" w:rsidRPr="00AF0F06">
        <w:rPr>
          <w:rFonts w:ascii="Georgia" w:hAnsi="Georgia" w:cs="Arial"/>
        </w:rPr>
        <w:t>que,</w:t>
      </w:r>
      <w:r w:rsidRPr="00AF0F06">
        <w:rPr>
          <w:rFonts w:ascii="Georgia" w:hAnsi="Georgia" w:cs="Arial"/>
        </w:rPr>
        <w:t xml:space="preserve"> al momento de apelar, también sustentó ante el juzgado de primera instancia, en escrito remitido </w:t>
      </w:r>
      <w:r w:rsidR="00CE5C8A" w:rsidRPr="00AF0F06">
        <w:rPr>
          <w:rFonts w:ascii="Georgia" w:hAnsi="Georgia" w:cs="Arial"/>
        </w:rPr>
        <w:t xml:space="preserve">al correo electrónico de ese despacho </w:t>
      </w:r>
      <w:r w:rsidRPr="00AF0F06">
        <w:rPr>
          <w:rFonts w:ascii="Georgia" w:hAnsi="Georgia" w:cs="Arial"/>
        </w:rPr>
        <w:t>el 09-02-2021</w:t>
      </w:r>
      <w:r w:rsidR="00074EAB" w:rsidRPr="00AF0F06">
        <w:rPr>
          <w:rFonts w:ascii="Georgia" w:hAnsi="Georgia" w:cs="Arial"/>
        </w:rPr>
        <w:t>;</w:t>
      </w:r>
      <w:r w:rsidRPr="00AF0F06">
        <w:rPr>
          <w:rFonts w:ascii="Georgia" w:hAnsi="Georgia" w:cs="Arial"/>
        </w:rPr>
        <w:t xml:space="preserve"> </w:t>
      </w:r>
      <w:r w:rsidR="00074EAB" w:rsidRPr="00AF0F06">
        <w:rPr>
          <w:rFonts w:ascii="Georgia" w:hAnsi="Georgia" w:cs="Arial"/>
        </w:rPr>
        <w:t xml:space="preserve">entonces, </w:t>
      </w:r>
      <w:r w:rsidRPr="00AF0F06">
        <w:rPr>
          <w:rFonts w:ascii="Georgia" w:hAnsi="Georgia" w:cs="Arial"/>
        </w:rPr>
        <w:t xml:space="preserve">se cuestiona ¿Sí ya había sustentado por qué debía volver a hacerlo? </w:t>
      </w:r>
      <w:r w:rsidR="00CE5C8A" w:rsidRPr="00AF0F06">
        <w:rPr>
          <w:rFonts w:ascii="Georgia" w:hAnsi="Georgia" w:cs="Arial"/>
        </w:rPr>
        <w:t>¿Existen dos oportunidades para sustentar?, c</w:t>
      </w:r>
      <w:r w:rsidR="00074EAB" w:rsidRPr="00AF0F06">
        <w:rPr>
          <w:rFonts w:ascii="Georgia" w:hAnsi="Georgia" w:cs="Arial"/>
        </w:rPr>
        <w:t>uando c</w:t>
      </w:r>
      <w:r w:rsidR="00CE5C8A" w:rsidRPr="00AF0F06">
        <w:rPr>
          <w:rFonts w:ascii="Georgia" w:hAnsi="Georgia" w:cs="Arial"/>
        </w:rPr>
        <w:t>on el aludido memorial ya</w:t>
      </w:r>
      <w:r w:rsidR="00E7402E" w:rsidRPr="00AF0F06">
        <w:rPr>
          <w:rFonts w:ascii="Georgia" w:hAnsi="Georgia" w:cs="Arial"/>
        </w:rPr>
        <w:t xml:space="preserve"> había </w:t>
      </w:r>
      <w:r w:rsidR="00CE5C8A" w:rsidRPr="00AF0F06">
        <w:rPr>
          <w:rFonts w:ascii="Georgia" w:hAnsi="Georgia" w:cs="Arial"/>
        </w:rPr>
        <w:t>cumpli</w:t>
      </w:r>
      <w:r w:rsidR="00E7402E" w:rsidRPr="00AF0F06">
        <w:rPr>
          <w:rFonts w:ascii="Georgia" w:hAnsi="Georgia" w:cs="Arial"/>
        </w:rPr>
        <w:t>do</w:t>
      </w:r>
      <w:r w:rsidR="00CE5C8A" w:rsidRPr="00AF0F06">
        <w:rPr>
          <w:rFonts w:ascii="Georgia" w:hAnsi="Georgia" w:cs="Arial"/>
        </w:rPr>
        <w:t xml:space="preserve"> esa carga</w:t>
      </w:r>
      <w:r w:rsidR="00074EAB" w:rsidRPr="00AF0F06">
        <w:rPr>
          <w:rFonts w:ascii="Georgia" w:hAnsi="Georgia" w:cs="Arial"/>
        </w:rPr>
        <w:t>, acaso lo dicho en esa oportunidad no tiene validez, efectos legales y procesales. En todo caso, el artículo 322 impide argumentar otros aspectos de los señalados en los reparos.</w:t>
      </w:r>
    </w:p>
    <w:p w14:paraId="17C9D1F0" w14:textId="77777777" w:rsidR="00CE5C8A" w:rsidRPr="00AF0F06" w:rsidRDefault="00CE5C8A" w:rsidP="00AF0F06">
      <w:pPr>
        <w:pStyle w:val="Sinespaciado"/>
        <w:spacing w:line="276" w:lineRule="auto"/>
        <w:jc w:val="both"/>
        <w:rPr>
          <w:rFonts w:ascii="Georgia" w:hAnsi="Georgia" w:cs="Arial"/>
        </w:rPr>
      </w:pPr>
    </w:p>
    <w:p w14:paraId="659980D3" w14:textId="134F3516" w:rsidR="00E7402E" w:rsidRPr="00AF0F06" w:rsidRDefault="00CE5C8A" w:rsidP="00AF0F06">
      <w:pPr>
        <w:pStyle w:val="Sinespaciado"/>
        <w:spacing w:line="276" w:lineRule="auto"/>
        <w:jc w:val="both"/>
        <w:rPr>
          <w:rFonts w:ascii="Georgia" w:hAnsi="Georgia" w:cs="Arial"/>
        </w:rPr>
      </w:pPr>
      <w:r w:rsidRPr="00AF0F06">
        <w:rPr>
          <w:rFonts w:ascii="Georgia" w:hAnsi="Georgia" w:cs="Arial"/>
        </w:rPr>
        <w:t xml:space="preserve">Estima que el Decreto 806 de 2020 no derogó el CGP, que estipula que esa sustentación se hace dentro de los </w:t>
      </w:r>
      <w:r w:rsidR="70ADBA38" w:rsidRPr="00AF0F06">
        <w:rPr>
          <w:rFonts w:ascii="Georgia" w:hAnsi="Georgia" w:cs="Arial"/>
        </w:rPr>
        <w:t>tres (</w:t>
      </w:r>
      <w:r w:rsidRPr="00AF0F06">
        <w:rPr>
          <w:rFonts w:ascii="Georgia" w:hAnsi="Georgia" w:cs="Arial"/>
        </w:rPr>
        <w:t>3</w:t>
      </w:r>
      <w:r w:rsidR="5C117780" w:rsidRPr="00AF0F06">
        <w:rPr>
          <w:rFonts w:ascii="Georgia" w:hAnsi="Georgia" w:cs="Arial"/>
        </w:rPr>
        <w:t>)</w:t>
      </w:r>
      <w:r w:rsidRPr="00AF0F06">
        <w:rPr>
          <w:rFonts w:ascii="Georgia" w:hAnsi="Georgia" w:cs="Arial"/>
        </w:rPr>
        <w:t xml:space="preserve"> días siguientes a la emisión de la sentencia (Artículo 322, inciso segundo, numeral 3°). </w:t>
      </w:r>
      <w:r w:rsidR="00E7402E" w:rsidRPr="00AF0F06">
        <w:rPr>
          <w:rFonts w:ascii="Georgia" w:hAnsi="Georgia" w:cs="Arial"/>
        </w:rPr>
        <w:t>Aduce que, además, en esas n</w:t>
      </w:r>
      <w:r w:rsidRPr="00AF0F06">
        <w:rPr>
          <w:rFonts w:ascii="Georgia" w:hAnsi="Georgia" w:cs="Arial"/>
        </w:rPr>
        <w:t xml:space="preserve">ormas advierte una disparidad de criterios en cuanto al término, pues en la primera se otorgan </w:t>
      </w:r>
      <w:r w:rsidR="007030EF" w:rsidRPr="00AF0F06">
        <w:rPr>
          <w:rFonts w:ascii="Georgia" w:hAnsi="Georgia" w:cs="Arial"/>
        </w:rPr>
        <w:t>cinco (</w:t>
      </w:r>
      <w:r w:rsidRPr="00AF0F06">
        <w:rPr>
          <w:rFonts w:ascii="Georgia" w:hAnsi="Georgia" w:cs="Arial"/>
        </w:rPr>
        <w:t>5</w:t>
      </w:r>
      <w:r w:rsidR="007030EF" w:rsidRPr="00AF0F06">
        <w:rPr>
          <w:rFonts w:ascii="Georgia" w:hAnsi="Georgia" w:cs="Arial"/>
        </w:rPr>
        <w:t>)</w:t>
      </w:r>
      <w:r w:rsidRPr="00AF0F06">
        <w:rPr>
          <w:rFonts w:ascii="Georgia" w:hAnsi="Georgia" w:cs="Arial"/>
        </w:rPr>
        <w:t xml:space="preserve"> días mientras que</w:t>
      </w:r>
      <w:r w:rsidR="63E84CCB" w:rsidRPr="00AF0F06">
        <w:rPr>
          <w:rFonts w:ascii="Georgia" w:hAnsi="Georgia" w:cs="Arial"/>
        </w:rPr>
        <w:t>,</w:t>
      </w:r>
      <w:r w:rsidRPr="00AF0F06">
        <w:rPr>
          <w:rFonts w:ascii="Georgia" w:hAnsi="Georgia" w:cs="Arial"/>
        </w:rPr>
        <w:t xml:space="preserve"> en la segunda, solo </w:t>
      </w:r>
      <w:r w:rsidR="007030EF" w:rsidRPr="00AF0F06">
        <w:rPr>
          <w:rFonts w:ascii="Georgia" w:hAnsi="Georgia" w:cs="Arial"/>
        </w:rPr>
        <w:t>tres (</w:t>
      </w:r>
      <w:r w:rsidRPr="00AF0F06">
        <w:rPr>
          <w:rFonts w:ascii="Georgia" w:hAnsi="Georgia" w:cs="Arial"/>
        </w:rPr>
        <w:t>3</w:t>
      </w:r>
      <w:r w:rsidR="007030EF" w:rsidRPr="00AF0F06">
        <w:rPr>
          <w:rFonts w:ascii="Georgia" w:hAnsi="Georgia" w:cs="Arial"/>
        </w:rPr>
        <w:t>)</w:t>
      </w:r>
      <w:r w:rsidRPr="00AF0F06">
        <w:rPr>
          <w:rFonts w:ascii="Georgia" w:hAnsi="Georgia" w:cs="Arial"/>
        </w:rPr>
        <w:t xml:space="preserve">. </w:t>
      </w:r>
      <w:r w:rsidR="48EC38A5" w:rsidRPr="00AF0F06">
        <w:rPr>
          <w:rFonts w:ascii="Georgia" w:hAnsi="Georgia" w:cs="Arial"/>
        </w:rPr>
        <w:t xml:space="preserve">Resalta que debe </w:t>
      </w:r>
      <w:r w:rsidRPr="00AF0F06">
        <w:rPr>
          <w:rFonts w:ascii="Georgia" w:hAnsi="Georgia" w:cs="Arial"/>
        </w:rPr>
        <w:t>prevalecer el derecho sustancial sobre el proce</w:t>
      </w:r>
      <w:r w:rsidR="00E7402E" w:rsidRPr="00AF0F06">
        <w:rPr>
          <w:rFonts w:ascii="Georgia" w:hAnsi="Georgia" w:cs="Arial"/>
        </w:rPr>
        <w:t>dimental (Exceso de ritualidad), con fundamento en el artículo 228, CP y</w:t>
      </w:r>
      <w:r w:rsidR="386F6B6B" w:rsidRPr="00AF0F06">
        <w:rPr>
          <w:rFonts w:ascii="Georgia" w:hAnsi="Georgia" w:cs="Arial"/>
        </w:rPr>
        <w:t xml:space="preserve">, </w:t>
      </w:r>
      <w:r w:rsidR="00E7402E" w:rsidRPr="00AF0F06">
        <w:rPr>
          <w:rFonts w:ascii="Georgia" w:hAnsi="Georgia" w:cs="Arial"/>
        </w:rPr>
        <w:t>jurisprudencia de la CC (T-268-2010)</w:t>
      </w:r>
      <w:r w:rsidR="00074EAB" w:rsidRPr="00AF0F06">
        <w:rPr>
          <w:rFonts w:ascii="Georgia" w:hAnsi="Georgia" w:cs="Arial"/>
        </w:rPr>
        <w:t>, también, habrá de acudirse a la interpretación de las normas procesales (Artículo 11, CGP)</w:t>
      </w:r>
      <w:r w:rsidR="00E7402E" w:rsidRPr="00AF0F06">
        <w:rPr>
          <w:rFonts w:ascii="Georgia" w:hAnsi="Georgia" w:cs="Arial"/>
        </w:rPr>
        <w:t>.</w:t>
      </w:r>
    </w:p>
    <w:p w14:paraId="30C8C128" w14:textId="77777777" w:rsidR="00E7402E" w:rsidRPr="00AF0F06" w:rsidRDefault="00E7402E" w:rsidP="00AF0F06">
      <w:pPr>
        <w:pStyle w:val="Sinespaciado"/>
        <w:spacing w:line="276" w:lineRule="auto"/>
        <w:jc w:val="both"/>
        <w:rPr>
          <w:rFonts w:ascii="Georgia" w:hAnsi="Georgia" w:cs="Arial"/>
        </w:rPr>
      </w:pPr>
    </w:p>
    <w:p w14:paraId="3E801185" w14:textId="3C0968D8" w:rsidR="00096EAF" w:rsidRPr="00AF0F06" w:rsidRDefault="00E7402E" w:rsidP="00AF0F06">
      <w:pPr>
        <w:pStyle w:val="Sinespaciado"/>
        <w:spacing w:line="276" w:lineRule="auto"/>
        <w:jc w:val="both"/>
        <w:rPr>
          <w:rFonts w:ascii="Georgia" w:hAnsi="Georgia" w:cs="Arial"/>
        </w:rPr>
      </w:pPr>
      <w:r w:rsidRPr="00AF0F06">
        <w:rPr>
          <w:rFonts w:ascii="Georgia" w:hAnsi="Georgia" w:cs="Arial"/>
        </w:rPr>
        <w:t xml:space="preserve">Ninguna de las </w:t>
      </w:r>
      <w:r w:rsidR="00753D58" w:rsidRPr="00AF0F06">
        <w:rPr>
          <w:rFonts w:ascii="Georgia" w:hAnsi="Georgia" w:cs="Arial"/>
        </w:rPr>
        <w:t>reglas</w:t>
      </w:r>
      <w:r w:rsidRPr="00AF0F06">
        <w:rPr>
          <w:rFonts w:ascii="Georgia" w:hAnsi="Georgia" w:cs="Arial"/>
        </w:rPr>
        <w:t xml:space="preserve"> referidas prohíbe sustentar con anticipación y</w:t>
      </w:r>
      <w:r w:rsidR="00753D58" w:rsidRPr="00AF0F06">
        <w:rPr>
          <w:rFonts w:ascii="Georgia" w:hAnsi="Georgia" w:cs="Arial"/>
        </w:rPr>
        <w:t>,</w:t>
      </w:r>
      <w:r w:rsidRPr="00AF0F06">
        <w:rPr>
          <w:rFonts w:ascii="Georgia" w:hAnsi="Georgia" w:cs="Arial"/>
        </w:rPr>
        <w:t xml:space="preserve"> menos que si se hace</w:t>
      </w:r>
      <w:r w:rsidR="00753D58" w:rsidRPr="00AF0F06">
        <w:rPr>
          <w:rFonts w:ascii="Georgia" w:hAnsi="Georgia" w:cs="Arial"/>
        </w:rPr>
        <w:t>,</w:t>
      </w:r>
      <w:r w:rsidRPr="00AF0F06">
        <w:rPr>
          <w:rFonts w:ascii="Georgia" w:hAnsi="Georgia" w:cs="Arial"/>
        </w:rPr>
        <w:t xml:space="preserve"> no se tendrán en cuenta esos argumentos. Finalmente</w:t>
      </w:r>
      <w:r w:rsidR="00753D58" w:rsidRPr="00AF0F06">
        <w:rPr>
          <w:rFonts w:ascii="Georgia" w:hAnsi="Georgia" w:cs="Arial"/>
        </w:rPr>
        <w:t>,</w:t>
      </w:r>
      <w:r w:rsidRPr="00AF0F06">
        <w:rPr>
          <w:rFonts w:ascii="Georgia" w:hAnsi="Georgia" w:cs="Arial"/>
        </w:rPr>
        <w:t xml:space="preserve"> reitera la solicitud de suspensión del proceso (Artículo 162-2°,</w:t>
      </w:r>
      <w:r w:rsidR="002131E7">
        <w:rPr>
          <w:rFonts w:ascii="Georgia" w:hAnsi="Georgia" w:cs="Arial"/>
        </w:rPr>
        <w:t xml:space="preserve"> </w:t>
      </w:r>
      <w:r w:rsidRPr="00AF0F06">
        <w:rPr>
          <w:rFonts w:ascii="Georgia" w:hAnsi="Georgia" w:cs="Arial"/>
        </w:rPr>
        <w:t xml:space="preserve">CGP) </w:t>
      </w:r>
      <w:r w:rsidR="00096EAF" w:rsidRPr="00AF0F06">
        <w:rPr>
          <w:rFonts w:ascii="Georgia" w:hAnsi="Georgia" w:cs="Arial"/>
          <w:lang w:val="es-CO"/>
        </w:rPr>
        <w:t xml:space="preserve">(Carpeta 2ª instancia, </w:t>
      </w:r>
      <w:proofErr w:type="spellStart"/>
      <w:r w:rsidR="00096EAF" w:rsidRPr="00AF0F06">
        <w:rPr>
          <w:rFonts w:ascii="Georgia" w:hAnsi="Georgia" w:cs="Arial"/>
          <w:lang w:val="es-CO"/>
        </w:rPr>
        <w:t>pdf</w:t>
      </w:r>
      <w:proofErr w:type="spellEnd"/>
      <w:r w:rsidR="00096EAF" w:rsidRPr="00AF0F06">
        <w:rPr>
          <w:rFonts w:ascii="Georgia" w:hAnsi="Georgia" w:cs="Arial"/>
          <w:lang w:val="es-CO"/>
        </w:rPr>
        <w:t>. No.</w:t>
      </w:r>
      <w:r w:rsidRPr="00AF0F06">
        <w:rPr>
          <w:rFonts w:ascii="Georgia" w:hAnsi="Georgia" w:cs="Arial"/>
          <w:lang w:val="es-CO"/>
        </w:rPr>
        <w:t>15</w:t>
      </w:r>
      <w:r w:rsidR="00096EAF" w:rsidRPr="00AF0F06">
        <w:rPr>
          <w:rFonts w:ascii="Georgia" w:hAnsi="Georgia" w:cs="Arial"/>
          <w:lang w:val="es-CO"/>
        </w:rPr>
        <w:t>).</w:t>
      </w:r>
    </w:p>
    <w:p w14:paraId="0406F686" w14:textId="0D6706D5" w:rsidR="00E7402E" w:rsidRPr="00AF0F06" w:rsidRDefault="00085933" w:rsidP="00AF0F06">
      <w:pPr>
        <w:pStyle w:val="Sinespaciado"/>
        <w:tabs>
          <w:tab w:val="left" w:pos="3195"/>
        </w:tabs>
        <w:spacing w:line="276" w:lineRule="auto"/>
        <w:jc w:val="both"/>
        <w:rPr>
          <w:rFonts w:ascii="Georgia" w:hAnsi="Georgia" w:cs="Arial"/>
        </w:rPr>
      </w:pPr>
      <w:r w:rsidRPr="00AF0F06">
        <w:rPr>
          <w:rFonts w:ascii="Georgia" w:hAnsi="Georgia" w:cs="Arial"/>
        </w:rPr>
        <w:t xml:space="preserve"> </w:t>
      </w:r>
      <w:bookmarkEnd w:id="3"/>
      <w:bookmarkEnd w:id="4"/>
    </w:p>
    <w:p w14:paraId="33F598B7" w14:textId="24E287AE" w:rsidR="00E7402E" w:rsidRPr="00AF0F06" w:rsidRDefault="00E7402E" w:rsidP="00AF0F06">
      <w:pPr>
        <w:pStyle w:val="Sinespaciado"/>
        <w:widowControl/>
        <w:numPr>
          <w:ilvl w:val="0"/>
          <w:numId w:val="15"/>
        </w:numPr>
        <w:autoSpaceDE/>
        <w:autoSpaceDN/>
        <w:adjustRightInd/>
        <w:spacing w:line="276" w:lineRule="auto"/>
        <w:jc w:val="both"/>
        <w:rPr>
          <w:rFonts w:ascii="Georgia" w:hAnsi="Georgia" w:cs="Arial"/>
          <w:b/>
          <w:bCs/>
          <w:smallCaps/>
        </w:rPr>
      </w:pPr>
      <w:r w:rsidRPr="00AF0F06">
        <w:rPr>
          <w:rFonts w:ascii="Georgia" w:hAnsi="Georgia" w:cs="Arial"/>
          <w:b/>
          <w:bCs/>
          <w:smallCaps/>
        </w:rPr>
        <w:t>La sinopsis de la r</w:t>
      </w:r>
      <w:r w:rsidR="07EE7906" w:rsidRPr="00AF0F06">
        <w:rPr>
          <w:rFonts w:ascii="Georgia" w:hAnsi="Georgia" w:cs="Arial"/>
          <w:b/>
          <w:bCs/>
          <w:smallCaps/>
        </w:rPr>
        <w:t>é</w:t>
      </w:r>
      <w:r w:rsidRPr="00AF0F06">
        <w:rPr>
          <w:rFonts w:ascii="Georgia" w:hAnsi="Georgia" w:cs="Arial"/>
          <w:b/>
          <w:bCs/>
          <w:smallCaps/>
        </w:rPr>
        <w:t>plica</w:t>
      </w:r>
    </w:p>
    <w:p w14:paraId="6FF067EA" w14:textId="77777777" w:rsidR="00E7402E" w:rsidRPr="00AF0F06" w:rsidRDefault="00E7402E" w:rsidP="00AF0F06">
      <w:pPr>
        <w:pStyle w:val="Sinespaciado"/>
        <w:spacing w:line="276" w:lineRule="auto"/>
        <w:jc w:val="both"/>
        <w:rPr>
          <w:rFonts w:ascii="Georgia" w:hAnsi="Georgia" w:cs="Arial"/>
        </w:rPr>
      </w:pPr>
    </w:p>
    <w:p w14:paraId="74CF6820" w14:textId="55D0AFA8" w:rsidR="00E7402E" w:rsidRPr="00AF0F06" w:rsidRDefault="00074EAB" w:rsidP="00AF0F06">
      <w:pPr>
        <w:pStyle w:val="Sinespaciado"/>
        <w:spacing w:line="276" w:lineRule="auto"/>
        <w:jc w:val="both"/>
        <w:rPr>
          <w:rFonts w:ascii="Georgia" w:hAnsi="Georgia" w:cs="Arial"/>
        </w:rPr>
      </w:pPr>
      <w:r w:rsidRPr="00AF0F06">
        <w:rPr>
          <w:rFonts w:ascii="Georgia" w:hAnsi="Georgia" w:cs="Arial"/>
        </w:rPr>
        <w:t xml:space="preserve">El Banco Davivienda </w:t>
      </w:r>
      <w:r w:rsidR="00E7402E" w:rsidRPr="00AF0F06">
        <w:rPr>
          <w:rFonts w:ascii="Georgia" w:hAnsi="Georgia" w:cs="Arial"/>
        </w:rPr>
        <w:t xml:space="preserve">SA, </w:t>
      </w:r>
      <w:r w:rsidR="00FC09FA" w:rsidRPr="00AF0F06">
        <w:rPr>
          <w:rFonts w:ascii="Georgia" w:hAnsi="Georgia" w:cs="Arial"/>
        </w:rPr>
        <w:t>estima que la decisión cuestionada se ajusta a la norma aplicable</w:t>
      </w:r>
      <w:r w:rsidR="00C81008" w:rsidRPr="00AF0F06">
        <w:rPr>
          <w:rFonts w:ascii="Georgia" w:hAnsi="Georgia" w:cs="Arial"/>
        </w:rPr>
        <w:t xml:space="preserve"> (Decreto 806 de 2020)</w:t>
      </w:r>
      <w:r w:rsidR="00753D58" w:rsidRPr="00AF0F06">
        <w:rPr>
          <w:rFonts w:ascii="Georgia" w:hAnsi="Georgia" w:cs="Arial"/>
        </w:rPr>
        <w:t>;</w:t>
      </w:r>
      <w:r w:rsidR="00FC09FA" w:rsidRPr="00AF0F06">
        <w:rPr>
          <w:rFonts w:ascii="Georgia" w:hAnsi="Georgia" w:cs="Arial"/>
        </w:rPr>
        <w:t xml:space="preserve"> de ningún modo</w:t>
      </w:r>
      <w:r w:rsidR="00D45CED" w:rsidRPr="00AF0F06">
        <w:rPr>
          <w:rFonts w:ascii="Georgia" w:hAnsi="Georgia" w:cs="Arial"/>
        </w:rPr>
        <w:t>,</w:t>
      </w:r>
      <w:r w:rsidR="00FC09FA" w:rsidRPr="00AF0F06">
        <w:rPr>
          <w:rFonts w:ascii="Georgia" w:hAnsi="Georgia" w:cs="Arial"/>
        </w:rPr>
        <w:t xml:space="preserve"> </w:t>
      </w:r>
      <w:r w:rsidR="00753D58" w:rsidRPr="00AF0F06">
        <w:rPr>
          <w:rFonts w:ascii="Georgia" w:hAnsi="Georgia" w:cs="Arial"/>
        </w:rPr>
        <w:t xml:space="preserve">limita </w:t>
      </w:r>
      <w:r w:rsidR="00FC09FA" w:rsidRPr="00AF0F06">
        <w:rPr>
          <w:rFonts w:ascii="Georgia" w:hAnsi="Georgia" w:cs="Arial"/>
        </w:rPr>
        <w:t xml:space="preserve">el acceso a la administración de justicia </w:t>
      </w:r>
      <w:r w:rsidR="00753D58" w:rsidRPr="00AF0F06">
        <w:rPr>
          <w:rFonts w:ascii="Georgia" w:hAnsi="Georgia" w:cs="Arial"/>
        </w:rPr>
        <w:t>pues</w:t>
      </w:r>
      <w:r w:rsidR="00FC09FA" w:rsidRPr="00AF0F06">
        <w:rPr>
          <w:rFonts w:ascii="Georgia" w:hAnsi="Georgia" w:cs="Arial"/>
        </w:rPr>
        <w:t xml:space="preserve">, incluso, amplió la oportunidad para sustentar, pasó de 20 minutos en audiencia a cinco (5) días. </w:t>
      </w:r>
      <w:r w:rsidR="00C81008" w:rsidRPr="00AF0F06">
        <w:rPr>
          <w:rFonts w:ascii="Georgia" w:hAnsi="Georgia" w:cs="Arial"/>
        </w:rPr>
        <w:t>No es cierto que exista una doble oportunidad, la primera es para hacer los reparos y la segunda para sustentar, desecha</w:t>
      </w:r>
      <w:r w:rsidR="00D45CED" w:rsidRPr="00AF0F06">
        <w:rPr>
          <w:rFonts w:ascii="Georgia" w:hAnsi="Georgia" w:cs="Arial"/>
        </w:rPr>
        <w:t>r</w:t>
      </w:r>
      <w:r w:rsidR="57A84CA5" w:rsidRPr="00AF0F06">
        <w:rPr>
          <w:rFonts w:ascii="Georgia" w:hAnsi="Georgia" w:cs="Arial"/>
        </w:rPr>
        <w:t>la</w:t>
      </w:r>
      <w:r w:rsidR="00C81008" w:rsidRPr="00AF0F06">
        <w:rPr>
          <w:rFonts w:ascii="Georgia" w:hAnsi="Georgia" w:cs="Arial"/>
        </w:rPr>
        <w:t xml:space="preserve"> </w:t>
      </w:r>
      <w:r w:rsidR="25061566" w:rsidRPr="00AF0F06">
        <w:rPr>
          <w:rFonts w:ascii="Georgia" w:hAnsi="Georgia" w:cs="Arial"/>
        </w:rPr>
        <w:t xml:space="preserve">es </w:t>
      </w:r>
      <w:r w:rsidR="00C81008" w:rsidRPr="00AF0F06">
        <w:rPr>
          <w:rFonts w:ascii="Georgia" w:hAnsi="Georgia" w:cs="Arial"/>
        </w:rPr>
        <w:t>solo responsabilidad del recurrente y debe asumir la</w:t>
      </w:r>
      <w:r w:rsidR="4AF08955" w:rsidRPr="00AF0F06">
        <w:rPr>
          <w:rFonts w:ascii="Georgia" w:hAnsi="Georgia" w:cs="Arial"/>
        </w:rPr>
        <w:t>s</w:t>
      </w:r>
      <w:r w:rsidR="00C81008" w:rsidRPr="00AF0F06">
        <w:rPr>
          <w:rFonts w:ascii="Georgia" w:hAnsi="Georgia" w:cs="Arial"/>
        </w:rPr>
        <w:t xml:space="preserve"> consecuencia</w:t>
      </w:r>
      <w:r w:rsidR="4DDACAFA" w:rsidRPr="00AF0F06">
        <w:rPr>
          <w:rFonts w:ascii="Georgia" w:hAnsi="Georgia" w:cs="Arial"/>
        </w:rPr>
        <w:t>s adversas</w:t>
      </w:r>
      <w:r w:rsidR="00C81008" w:rsidRPr="00AF0F06">
        <w:rPr>
          <w:rFonts w:ascii="Georgia" w:hAnsi="Georgia" w:cs="Arial"/>
        </w:rPr>
        <w:t xml:space="preserve">, </w:t>
      </w:r>
      <w:r w:rsidR="00D45CED" w:rsidRPr="00AF0F06">
        <w:rPr>
          <w:rFonts w:ascii="Georgia" w:hAnsi="Georgia" w:cs="Arial"/>
        </w:rPr>
        <w:t xml:space="preserve">esto es, </w:t>
      </w:r>
      <w:r w:rsidR="00C81008" w:rsidRPr="00AF0F06">
        <w:rPr>
          <w:rFonts w:ascii="Georgia" w:hAnsi="Georgia" w:cs="Arial"/>
        </w:rPr>
        <w:t xml:space="preserve">la deserción del recurso. Reclama se </w:t>
      </w:r>
      <w:r w:rsidR="00D45CED" w:rsidRPr="00AF0F06">
        <w:rPr>
          <w:rFonts w:ascii="Georgia" w:hAnsi="Georgia" w:cs="Arial"/>
        </w:rPr>
        <w:t>desestime la reposición</w:t>
      </w:r>
      <w:r w:rsidR="00E7402E" w:rsidRPr="00AF0F06">
        <w:rPr>
          <w:rFonts w:ascii="Georgia" w:hAnsi="Georgia" w:cs="Arial"/>
        </w:rPr>
        <w:t xml:space="preserve"> </w:t>
      </w:r>
      <w:r w:rsidR="00E7402E" w:rsidRPr="00AF0F06">
        <w:rPr>
          <w:rFonts w:ascii="Georgia" w:hAnsi="Georgia" w:cs="Arial"/>
          <w:lang w:val="es-CO"/>
        </w:rPr>
        <w:t xml:space="preserve">(Carpeta 2ª instancia, </w:t>
      </w:r>
      <w:proofErr w:type="spellStart"/>
      <w:r w:rsidR="00E7402E" w:rsidRPr="00AF0F06">
        <w:rPr>
          <w:rFonts w:ascii="Georgia" w:hAnsi="Georgia" w:cs="Arial"/>
          <w:lang w:val="es-CO"/>
        </w:rPr>
        <w:t>pdf</w:t>
      </w:r>
      <w:proofErr w:type="spellEnd"/>
      <w:r w:rsidR="00E7402E" w:rsidRPr="00AF0F06">
        <w:rPr>
          <w:rFonts w:ascii="Georgia" w:hAnsi="Georgia" w:cs="Arial"/>
          <w:lang w:val="es-CO"/>
        </w:rPr>
        <w:t xml:space="preserve"> No.</w:t>
      </w:r>
      <w:r w:rsidR="00C81008" w:rsidRPr="00AF0F06">
        <w:rPr>
          <w:rFonts w:ascii="Georgia" w:hAnsi="Georgia" w:cs="Arial"/>
          <w:lang w:val="es-CO"/>
        </w:rPr>
        <w:t>21</w:t>
      </w:r>
      <w:r w:rsidR="00E7402E" w:rsidRPr="00AF0F06">
        <w:rPr>
          <w:rFonts w:ascii="Georgia" w:hAnsi="Georgia" w:cs="Arial"/>
          <w:lang w:val="es-CO"/>
        </w:rPr>
        <w:t>)</w:t>
      </w:r>
      <w:r w:rsidR="00E7402E" w:rsidRPr="00AF0F06">
        <w:rPr>
          <w:rFonts w:ascii="Georgia" w:hAnsi="Georgia" w:cs="Arial"/>
        </w:rPr>
        <w:t xml:space="preserve">. </w:t>
      </w:r>
    </w:p>
    <w:p w14:paraId="64F33D20" w14:textId="77777777" w:rsidR="00C60906" w:rsidRPr="00AF0F06" w:rsidRDefault="00C60906" w:rsidP="00AF0F06">
      <w:pPr>
        <w:pStyle w:val="Sinespaciado"/>
        <w:spacing w:line="276" w:lineRule="auto"/>
        <w:jc w:val="both"/>
        <w:rPr>
          <w:rFonts w:ascii="Georgia" w:hAnsi="Georgia" w:cs="Arial"/>
        </w:rPr>
      </w:pPr>
    </w:p>
    <w:p w14:paraId="7C2ABFF6" w14:textId="3F2E9AA3" w:rsidR="009F1786" w:rsidRPr="00AF0F06" w:rsidRDefault="00E2193F" w:rsidP="00AF0F06">
      <w:pPr>
        <w:pStyle w:val="Textoindependiente"/>
        <w:numPr>
          <w:ilvl w:val="0"/>
          <w:numId w:val="15"/>
        </w:numPr>
        <w:spacing w:line="276" w:lineRule="auto"/>
        <w:rPr>
          <w:rFonts w:ascii="Georgia" w:hAnsi="Georgia"/>
          <w:b/>
          <w:smallCaps/>
          <w:szCs w:val="24"/>
        </w:rPr>
      </w:pPr>
      <w:r w:rsidRPr="00AF0F06">
        <w:rPr>
          <w:rFonts w:ascii="Georgia" w:hAnsi="Georgia"/>
          <w:b/>
          <w:smallCaps/>
          <w:szCs w:val="24"/>
        </w:rPr>
        <w:t>Las estimaciones jurídicas para decidir</w:t>
      </w:r>
    </w:p>
    <w:p w14:paraId="7C2ABFF7" w14:textId="77777777" w:rsidR="005776F2" w:rsidRPr="00AF0F06" w:rsidRDefault="005776F2" w:rsidP="00AF0F06">
      <w:pPr>
        <w:spacing w:line="276" w:lineRule="auto"/>
        <w:jc w:val="both"/>
        <w:rPr>
          <w:rFonts w:ascii="Georgia" w:hAnsi="Georgia" w:cs="Arial"/>
          <w:smallCaps/>
          <w:sz w:val="24"/>
          <w:szCs w:val="24"/>
        </w:rPr>
      </w:pPr>
    </w:p>
    <w:p w14:paraId="7C2ABFFA" w14:textId="218E5FF5" w:rsidR="009F1786" w:rsidRPr="00AF0F06" w:rsidRDefault="004874D7" w:rsidP="00AF0F06">
      <w:pPr>
        <w:pStyle w:val="Textopredeterminado"/>
        <w:spacing w:line="276" w:lineRule="auto"/>
        <w:jc w:val="both"/>
        <w:textAlignment w:val="baseline"/>
        <w:rPr>
          <w:rFonts w:ascii="Georgia" w:hAnsi="Georgia" w:cs="Arial"/>
          <w:color w:val="auto"/>
          <w:szCs w:val="24"/>
        </w:rPr>
      </w:pPr>
      <w:r w:rsidRPr="00AF0F06">
        <w:rPr>
          <w:rFonts w:ascii="Georgia" w:hAnsi="Georgia" w:cs="Arial"/>
          <w:i/>
          <w:iCs/>
          <w:smallCaps/>
          <w:color w:val="auto"/>
          <w:szCs w:val="24"/>
        </w:rPr>
        <w:t xml:space="preserve">5.1. </w:t>
      </w:r>
      <w:r w:rsidR="00C60906" w:rsidRPr="00AF0F06">
        <w:rPr>
          <w:rFonts w:ascii="Georgia" w:hAnsi="Georgia" w:cs="Arial"/>
          <w:i/>
          <w:iCs/>
          <w:smallCaps/>
          <w:color w:val="auto"/>
          <w:szCs w:val="24"/>
        </w:rPr>
        <w:t xml:space="preserve"> </w:t>
      </w:r>
      <w:r w:rsidR="009F1786" w:rsidRPr="00AF0F06">
        <w:rPr>
          <w:rFonts w:ascii="Georgia" w:hAnsi="Georgia" w:cs="Arial"/>
          <w:i/>
          <w:iCs/>
          <w:smallCaps/>
          <w:color w:val="auto"/>
          <w:szCs w:val="24"/>
        </w:rPr>
        <w:t>El trámite del recurso</w:t>
      </w:r>
      <w:r w:rsidR="008C16FC" w:rsidRPr="00AF0F06">
        <w:rPr>
          <w:rFonts w:ascii="Georgia" w:hAnsi="Georgia" w:cs="Arial"/>
          <w:smallCaps/>
          <w:color w:val="auto"/>
          <w:szCs w:val="24"/>
        </w:rPr>
        <w:t xml:space="preserve">. </w:t>
      </w:r>
      <w:r w:rsidR="009F1786" w:rsidRPr="00AF0F06">
        <w:rPr>
          <w:rFonts w:ascii="Georgia" w:hAnsi="Georgia" w:cs="Arial"/>
          <w:color w:val="auto"/>
          <w:szCs w:val="24"/>
        </w:rPr>
        <w:t>De conformidad con los artículos 110 y 318</w:t>
      </w:r>
      <w:r w:rsidR="002E660C" w:rsidRPr="00AF0F06">
        <w:rPr>
          <w:rFonts w:ascii="Georgia" w:hAnsi="Georgia" w:cs="Arial"/>
          <w:color w:val="auto"/>
          <w:szCs w:val="24"/>
        </w:rPr>
        <w:t xml:space="preserve">, </w:t>
      </w:r>
      <w:r w:rsidR="009F1786" w:rsidRPr="00AF0F06">
        <w:rPr>
          <w:rFonts w:ascii="Georgia" w:hAnsi="Georgia" w:cs="Arial"/>
          <w:color w:val="auto"/>
          <w:szCs w:val="24"/>
        </w:rPr>
        <w:t>CGP, se surtió el traslado secretarial</w:t>
      </w:r>
      <w:r w:rsidR="001638CD" w:rsidRPr="00AF0F06">
        <w:rPr>
          <w:rFonts w:ascii="Georgia" w:hAnsi="Georgia" w:cs="Arial"/>
          <w:color w:val="auto"/>
          <w:szCs w:val="24"/>
        </w:rPr>
        <w:t xml:space="preserve"> y</w:t>
      </w:r>
      <w:r w:rsidR="008C16FC" w:rsidRPr="00AF0F06">
        <w:rPr>
          <w:rFonts w:ascii="Georgia" w:hAnsi="Georgia" w:cs="Arial"/>
          <w:color w:val="auto"/>
          <w:szCs w:val="24"/>
        </w:rPr>
        <w:t xml:space="preserve"> </w:t>
      </w:r>
      <w:r w:rsidR="00C81008" w:rsidRPr="00AF0F06">
        <w:rPr>
          <w:rFonts w:ascii="Georgia" w:hAnsi="Georgia" w:cs="Arial"/>
          <w:color w:val="auto"/>
          <w:szCs w:val="24"/>
        </w:rPr>
        <w:t xml:space="preserve">en término se pronunció uno de los integrantes de la parte pasiva </w:t>
      </w:r>
      <w:r w:rsidR="008C16FC" w:rsidRPr="00AF0F06">
        <w:rPr>
          <w:rFonts w:ascii="Georgia" w:hAnsi="Georgia" w:cs="Arial"/>
          <w:color w:val="auto"/>
          <w:szCs w:val="24"/>
          <w:lang w:val="es-CO"/>
        </w:rPr>
        <w:t xml:space="preserve">(Carpeta 2ª instancia, </w:t>
      </w:r>
      <w:proofErr w:type="spellStart"/>
      <w:r w:rsidR="00C60906" w:rsidRPr="00AF0F06">
        <w:rPr>
          <w:rFonts w:ascii="Georgia" w:hAnsi="Georgia" w:cs="Arial"/>
          <w:color w:val="auto"/>
          <w:szCs w:val="24"/>
          <w:lang w:val="es-CO"/>
        </w:rPr>
        <w:t>pdf</w:t>
      </w:r>
      <w:r w:rsidR="000B6B52" w:rsidRPr="00AF0F06">
        <w:rPr>
          <w:rFonts w:ascii="Georgia" w:hAnsi="Georgia" w:cs="Arial"/>
          <w:color w:val="auto"/>
          <w:szCs w:val="24"/>
          <w:lang w:val="es-CO"/>
        </w:rPr>
        <w:t>s</w:t>
      </w:r>
      <w:proofErr w:type="spellEnd"/>
      <w:r w:rsidR="00C60906" w:rsidRPr="00AF0F06">
        <w:rPr>
          <w:rFonts w:ascii="Georgia" w:hAnsi="Georgia" w:cs="Arial"/>
          <w:color w:val="auto"/>
          <w:szCs w:val="24"/>
          <w:lang w:val="es-CO"/>
        </w:rPr>
        <w:t>. No.</w:t>
      </w:r>
      <w:r w:rsidR="00C81008" w:rsidRPr="00AF0F06">
        <w:rPr>
          <w:rFonts w:ascii="Georgia" w:hAnsi="Georgia" w:cs="Arial"/>
          <w:color w:val="auto"/>
          <w:szCs w:val="24"/>
          <w:lang w:val="es-CO"/>
        </w:rPr>
        <w:t>22 y 23</w:t>
      </w:r>
      <w:r w:rsidR="008C16FC" w:rsidRPr="00AF0F06">
        <w:rPr>
          <w:rFonts w:ascii="Georgia" w:hAnsi="Georgia" w:cs="Arial"/>
          <w:color w:val="auto"/>
          <w:szCs w:val="24"/>
          <w:lang w:val="es-CO"/>
        </w:rPr>
        <w:t>)</w:t>
      </w:r>
      <w:r w:rsidR="009F1786" w:rsidRPr="00AF0F06">
        <w:rPr>
          <w:rFonts w:ascii="Georgia" w:hAnsi="Georgia" w:cs="Arial"/>
          <w:color w:val="auto"/>
          <w:szCs w:val="24"/>
        </w:rPr>
        <w:t>.</w:t>
      </w:r>
    </w:p>
    <w:p w14:paraId="1C4D73E3" w14:textId="77777777" w:rsidR="00E7402E" w:rsidRPr="00AF0F06" w:rsidRDefault="00E7402E" w:rsidP="00AF0F06">
      <w:pPr>
        <w:pStyle w:val="Textopredeterminado"/>
        <w:spacing w:line="276" w:lineRule="auto"/>
        <w:jc w:val="both"/>
        <w:textAlignment w:val="baseline"/>
        <w:rPr>
          <w:rFonts w:ascii="Georgia" w:hAnsi="Georgia" w:cs="Arial"/>
          <w:color w:val="auto"/>
          <w:szCs w:val="24"/>
        </w:rPr>
      </w:pPr>
    </w:p>
    <w:p w14:paraId="53B7B810" w14:textId="42131481" w:rsidR="008C16FC" w:rsidRPr="00AF0F06" w:rsidRDefault="004874D7" w:rsidP="00AF0F06">
      <w:pPr>
        <w:pStyle w:val="Textopredeterminado"/>
        <w:spacing w:line="276" w:lineRule="auto"/>
        <w:jc w:val="both"/>
        <w:rPr>
          <w:rFonts w:ascii="Georgia" w:hAnsi="Georgia" w:cs="Arial"/>
          <w:color w:val="auto"/>
          <w:szCs w:val="24"/>
          <w:lang w:val="es-CO"/>
        </w:rPr>
      </w:pPr>
      <w:r w:rsidRPr="00AF0F06">
        <w:rPr>
          <w:rFonts w:ascii="Georgia" w:hAnsi="Georgia" w:cs="Arial"/>
          <w:i/>
          <w:smallCaps/>
          <w:color w:val="auto"/>
          <w:szCs w:val="24"/>
        </w:rPr>
        <w:t xml:space="preserve">5.2. </w:t>
      </w:r>
      <w:r w:rsidR="00C60906" w:rsidRPr="00AF0F06">
        <w:rPr>
          <w:rFonts w:ascii="Georgia" w:hAnsi="Georgia" w:cs="Arial"/>
          <w:i/>
          <w:smallCaps/>
          <w:color w:val="auto"/>
          <w:szCs w:val="24"/>
        </w:rPr>
        <w:t xml:space="preserve"> </w:t>
      </w:r>
      <w:r w:rsidR="009345DA" w:rsidRPr="00AF0F06">
        <w:rPr>
          <w:rFonts w:ascii="Georgia" w:hAnsi="Georgia" w:cs="Arial"/>
          <w:i/>
          <w:smallCaps/>
          <w:color w:val="auto"/>
          <w:szCs w:val="24"/>
        </w:rPr>
        <w:t>Los requisitos de viabilidad de un recurso</w:t>
      </w:r>
      <w:r w:rsidR="008C16FC" w:rsidRPr="00AF0F06">
        <w:rPr>
          <w:rFonts w:ascii="Georgia" w:hAnsi="Georgia" w:cs="Arial"/>
          <w:smallCaps/>
          <w:color w:val="auto"/>
          <w:szCs w:val="24"/>
        </w:rPr>
        <w:t xml:space="preserve">. </w:t>
      </w:r>
      <w:r w:rsidR="008C16FC" w:rsidRPr="00AF0F06">
        <w:rPr>
          <w:rFonts w:ascii="Georgia" w:hAnsi="Georgia" w:cs="Arial"/>
          <w:color w:val="auto"/>
          <w:spacing w:val="-3"/>
          <w:szCs w:val="24"/>
        </w:rPr>
        <w:t>D</w:t>
      </w:r>
      <w:r w:rsidR="008C16FC" w:rsidRPr="00AF0F06">
        <w:rPr>
          <w:rFonts w:ascii="Georgia" w:hAnsi="Georgia" w:cs="Arial"/>
          <w:color w:val="auto"/>
          <w:szCs w:val="24"/>
        </w:rPr>
        <w:t xml:space="preserve">esde la óptica procesal, en presencia de los recursos, deben siempre concurrir los llamados presupuestos de </w:t>
      </w:r>
      <w:r w:rsidR="008C16FC" w:rsidRPr="00AF0F06">
        <w:rPr>
          <w:rFonts w:ascii="Georgia" w:hAnsi="Georgia" w:cs="Arial"/>
          <w:color w:val="auto"/>
          <w:szCs w:val="24"/>
        </w:rPr>
        <w:lastRenderedPageBreak/>
        <w:t>viabilidad, trámite</w:t>
      </w:r>
      <w:r w:rsidR="008C16FC" w:rsidRPr="00AF0F06">
        <w:rPr>
          <w:rStyle w:val="Refdenotaalpie"/>
          <w:rFonts w:ascii="Georgia" w:hAnsi="Georgia"/>
          <w:color w:val="auto"/>
          <w:szCs w:val="24"/>
        </w:rPr>
        <w:footnoteReference w:id="1"/>
      </w:r>
      <w:r w:rsidR="008C16FC" w:rsidRPr="00AF0F06">
        <w:rPr>
          <w:rFonts w:ascii="Georgia" w:hAnsi="Georgia" w:cs="Arial"/>
          <w:color w:val="auto"/>
          <w:szCs w:val="24"/>
        </w:rPr>
        <w:t xml:space="preserve">, o </w:t>
      </w:r>
      <w:r w:rsidR="008C16FC" w:rsidRPr="00AF0F06">
        <w:rPr>
          <w:rFonts w:ascii="Georgia" w:hAnsi="Georgia" w:cs="Arial"/>
          <w:i/>
          <w:color w:val="auto"/>
          <w:szCs w:val="24"/>
        </w:rPr>
        <w:t>condiciones para tener la posibilidad de recurrir</w:t>
      </w:r>
      <w:r w:rsidR="008C16FC" w:rsidRPr="00AF0F06">
        <w:rPr>
          <w:rStyle w:val="Refdenotaalpie"/>
          <w:rFonts w:ascii="Georgia" w:hAnsi="Georgia"/>
          <w:i/>
          <w:color w:val="auto"/>
          <w:szCs w:val="24"/>
        </w:rPr>
        <w:footnoteReference w:id="2"/>
      </w:r>
      <w:r w:rsidR="008C16FC" w:rsidRPr="00AF0F06">
        <w:rPr>
          <w:rFonts w:ascii="Georgia" w:hAnsi="Georgia" w:cs="Arial"/>
          <w:color w:val="auto"/>
          <w:szCs w:val="24"/>
        </w:rPr>
        <w:t>, al decir de la doctrina procesal nacional</w:t>
      </w:r>
      <w:r w:rsidR="008C16FC" w:rsidRPr="00AF0F06">
        <w:rPr>
          <w:rFonts w:ascii="Georgia" w:hAnsi="Georgia" w:cs="Arial"/>
          <w:color w:val="auto"/>
          <w:szCs w:val="24"/>
          <w:vertAlign w:val="superscript"/>
        </w:rPr>
        <w:footnoteReference w:id="3"/>
      </w:r>
      <w:r w:rsidR="008C16FC" w:rsidRPr="00AF0F06">
        <w:rPr>
          <w:rFonts w:ascii="Georgia" w:hAnsi="Georgia" w:cs="Arial"/>
          <w:color w:val="auto"/>
          <w:szCs w:val="24"/>
          <w:vertAlign w:val="superscript"/>
        </w:rPr>
        <w:t>-</w:t>
      </w:r>
      <w:r w:rsidR="008C16FC" w:rsidRPr="00AF0F06">
        <w:rPr>
          <w:rFonts w:ascii="Georgia" w:hAnsi="Georgia" w:cs="Arial"/>
          <w:color w:val="auto"/>
          <w:szCs w:val="24"/>
          <w:vertAlign w:val="superscript"/>
        </w:rPr>
        <w:footnoteReference w:id="4"/>
      </w:r>
      <w:r w:rsidR="008C16FC" w:rsidRPr="00AF0F06">
        <w:rPr>
          <w:rFonts w:ascii="Georgia" w:hAnsi="Georgia" w:cs="Arial"/>
          <w:color w:val="auto"/>
          <w:szCs w:val="24"/>
        </w:rPr>
        <w:t>, a efectos de examinar el tema de apelación.</w:t>
      </w:r>
    </w:p>
    <w:p w14:paraId="72E6C38F" w14:textId="77777777" w:rsidR="00DE4A0C" w:rsidRPr="00AF0F06" w:rsidRDefault="00DE4A0C" w:rsidP="00AF0F06">
      <w:pPr>
        <w:pStyle w:val="Prrafodelista"/>
        <w:spacing w:line="276" w:lineRule="auto"/>
        <w:rPr>
          <w:rFonts w:ascii="Georgia" w:hAnsi="Georgia" w:cs="Arial"/>
          <w:sz w:val="24"/>
          <w:szCs w:val="24"/>
          <w:lang w:val="es-CO"/>
        </w:rPr>
      </w:pPr>
    </w:p>
    <w:p w14:paraId="4A1D297C" w14:textId="6BE296E7" w:rsidR="008C16FC" w:rsidRDefault="008C16FC" w:rsidP="00AF0F06">
      <w:pPr>
        <w:pStyle w:val="Sinespaciado"/>
        <w:spacing w:line="276" w:lineRule="auto"/>
        <w:jc w:val="both"/>
        <w:rPr>
          <w:rFonts w:ascii="Georgia" w:hAnsi="Georgia" w:cs="Arial"/>
          <w:lang w:val="es-CO"/>
        </w:rPr>
      </w:pPr>
      <w:r w:rsidRPr="00AF0F06">
        <w:rPr>
          <w:rFonts w:ascii="Georgia" w:hAnsi="Georgia" w:cs="Arial"/>
          <w:lang w:val="es-CO"/>
        </w:rPr>
        <w:t>Esos presupuestos son una serie de exigencias normativas formales que permiten su trámite y aseguran su decisión.  Así lo anota el maestro López B.: “</w:t>
      </w:r>
      <w:r w:rsidRPr="002131E7">
        <w:rPr>
          <w:rFonts w:ascii="Georgia" w:hAnsi="Georgia" w:cs="Arial"/>
          <w:i/>
          <w:sz w:val="22"/>
          <w:lang w:val="es-CO"/>
        </w:rPr>
        <w:t>En todo caso sin estar reunidos los requisitos de viabilidad del recurso jamás se podrá tener éxito en el mismo por constituir un precedente necesario para decidirlo</w:t>
      </w:r>
      <w:r w:rsidRPr="00AF0F06">
        <w:rPr>
          <w:rFonts w:ascii="Georgia" w:hAnsi="Georgia" w:cs="Arial"/>
          <w:lang w:val="es-CO"/>
        </w:rPr>
        <w:t>”</w:t>
      </w:r>
      <w:r w:rsidRPr="00AF0F06">
        <w:rPr>
          <w:rFonts w:ascii="Georgia" w:hAnsi="Georgia" w:cs="Arial"/>
          <w:vertAlign w:val="superscript"/>
          <w:lang w:val="es-CO"/>
        </w:rPr>
        <w:footnoteReference w:id="5"/>
      </w:r>
      <w:r w:rsidRPr="00AF0F06">
        <w:rPr>
          <w:rFonts w:ascii="Georgia" w:hAnsi="Georgia" w:cs="Arial"/>
          <w:lang w:val="es-CO"/>
        </w:rPr>
        <w:t>.  Y lo explica el profesor Rojas G. en su obra: “</w:t>
      </w:r>
      <w:r w:rsidRPr="002131E7">
        <w:rPr>
          <w:rFonts w:ascii="Georgia" w:hAnsi="Georgia" w:cs="Arial"/>
          <w:i/>
          <w:sz w:val="22"/>
          <w:lang w:val="es-CO"/>
        </w:rPr>
        <w:t>(…) para que la impugnación pueda ser tramitada hasta establecer si debe prosperar han de cumplirse unos precisos requisitos.  En ausencia de ellos no debe dársele curso a la impugnación, o el trámite queda trunco, si ya se inició</w:t>
      </w:r>
      <w:r w:rsidRPr="00AF0F06">
        <w:rPr>
          <w:rFonts w:ascii="Georgia" w:hAnsi="Georgia" w:cs="Arial"/>
          <w:lang w:val="es-CO"/>
        </w:rPr>
        <w:t>”</w:t>
      </w:r>
      <w:r w:rsidRPr="00AF0F06">
        <w:rPr>
          <w:rStyle w:val="Refdenotaalpie"/>
          <w:rFonts w:ascii="Georgia" w:hAnsi="Georgia" w:cs="Arial"/>
          <w:lang w:val="es-CO"/>
        </w:rPr>
        <w:t xml:space="preserve"> </w:t>
      </w:r>
      <w:r w:rsidRPr="00AF0F06">
        <w:rPr>
          <w:rStyle w:val="Refdenotaalpie"/>
          <w:rFonts w:ascii="Georgia" w:hAnsi="Georgia" w:cs="Arial"/>
          <w:lang w:val="es-CO"/>
        </w:rPr>
        <w:footnoteReference w:id="6"/>
      </w:r>
      <w:r w:rsidRPr="00AF0F06">
        <w:rPr>
          <w:rFonts w:ascii="Georgia" w:hAnsi="Georgia" w:cs="Arial"/>
          <w:lang w:val="es-CO"/>
        </w:rPr>
        <w:t>.</w:t>
      </w:r>
    </w:p>
    <w:p w14:paraId="6EC4021E" w14:textId="77777777" w:rsidR="002131E7" w:rsidRPr="00AF0F06" w:rsidRDefault="002131E7" w:rsidP="00AF0F06">
      <w:pPr>
        <w:pStyle w:val="Sinespaciado"/>
        <w:spacing w:line="276" w:lineRule="auto"/>
        <w:jc w:val="both"/>
        <w:rPr>
          <w:rFonts w:ascii="Georgia" w:hAnsi="Georgia" w:cs="Arial"/>
          <w:lang w:val="es-CO"/>
        </w:rPr>
      </w:pPr>
    </w:p>
    <w:p w14:paraId="6F31DBF8" w14:textId="4979869F" w:rsidR="008C16FC" w:rsidRPr="00AF0F06" w:rsidRDefault="008C16FC" w:rsidP="00AF0F06">
      <w:pPr>
        <w:pStyle w:val="Sinespaciado"/>
        <w:spacing w:line="276" w:lineRule="auto"/>
        <w:jc w:val="both"/>
        <w:rPr>
          <w:rFonts w:ascii="Georgia" w:hAnsi="Georgia" w:cs="Arial"/>
          <w:shd w:val="clear" w:color="auto" w:fill="FFFFFF"/>
          <w:lang w:val="es-CO"/>
        </w:rPr>
      </w:pPr>
      <w:r w:rsidRPr="00AF0F06">
        <w:rPr>
          <w:rFonts w:ascii="Georgia" w:hAnsi="Georgia" w:cs="Arial"/>
          <w:lang w:val="es-CO"/>
        </w:rPr>
        <w:t xml:space="preserve">Tales requisitos son concurrentes y necesarios, ausente uno se malogra el estudio de la impugnación. La misma CSJ así </w:t>
      </w:r>
      <w:r w:rsidR="00081941" w:rsidRPr="00AF0F06">
        <w:rPr>
          <w:rFonts w:ascii="Georgia" w:hAnsi="Georgia" w:cs="Arial"/>
          <w:lang w:val="es-CO"/>
        </w:rPr>
        <w:t xml:space="preserve">ha </w:t>
      </w:r>
      <w:r w:rsidRPr="00AF0F06">
        <w:rPr>
          <w:rFonts w:ascii="Georgia" w:hAnsi="Georgia" w:cs="Arial"/>
          <w:lang w:val="es-CO"/>
        </w:rPr>
        <w:t>enseñado: “</w:t>
      </w:r>
      <w:r w:rsidRPr="007D45EA">
        <w:rPr>
          <w:rFonts w:ascii="Georgia" w:hAnsi="Georgia" w:cs="Arial"/>
          <w:i/>
          <w:sz w:val="22"/>
          <w:lang w:val="es-CO"/>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AF0F06">
        <w:rPr>
          <w:rFonts w:ascii="Georgia" w:hAnsi="Georgia" w:cs="Arial"/>
          <w:lang w:val="es-CO"/>
        </w:rPr>
        <w:t>”</w:t>
      </w:r>
      <w:r w:rsidRPr="00AF0F06">
        <w:rPr>
          <w:rStyle w:val="Refdenotaalpie"/>
          <w:rFonts w:ascii="Georgia" w:hAnsi="Georgia"/>
          <w:lang w:val="es-CO"/>
        </w:rPr>
        <w:footnoteReference w:id="7"/>
      </w:r>
      <w:r w:rsidRPr="00AF0F06">
        <w:rPr>
          <w:rFonts w:ascii="Georgia" w:hAnsi="Georgia" w:cs="Arial"/>
          <w:lang w:val="es-CO"/>
        </w:rPr>
        <w:t>. Y en decisión más próxima (2017)</w:t>
      </w:r>
      <w:r w:rsidRPr="00AF0F06">
        <w:rPr>
          <w:rStyle w:val="Refdenotaalpie"/>
          <w:rFonts w:ascii="Georgia" w:hAnsi="Georgia"/>
          <w:lang w:val="es-CO"/>
        </w:rPr>
        <w:footnoteReference w:id="8"/>
      </w:r>
      <w:r w:rsidRPr="00AF0F06">
        <w:rPr>
          <w:rFonts w:ascii="Georgia" w:hAnsi="Georgia" w:cs="Arial"/>
          <w:lang w:val="es-CO"/>
        </w:rPr>
        <w:t xml:space="preserve"> recordó: “</w:t>
      </w:r>
      <w:r w:rsidRPr="007D45EA">
        <w:rPr>
          <w:rFonts w:ascii="Georgia" w:hAnsi="Georgia" w:cs="Arial"/>
          <w:sz w:val="22"/>
          <w:lang w:val="es-CO"/>
        </w:rPr>
        <w:t xml:space="preserve">(…) </w:t>
      </w:r>
      <w:r w:rsidRPr="007D45EA">
        <w:rPr>
          <w:rFonts w:ascii="Georgia" w:hAnsi="Georgia" w:cs="Arial"/>
          <w:i/>
          <w:spacing w:val="-4"/>
          <w:sz w:val="22"/>
          <w:lang w:val="es-CO"/>
        </w:rPr>
        <w:t>Por supuesto que, era facultad del superior realizar el análisis preliminar para la «admisión» de la alzada, y conforme a la regla cuarta del canon 325 del C.G.P.</w:t>
      </w:r>
      <w:r w:rsidRPr="007D45EA">
        <w:rPr>
          <w:rFonts w:ascii="Georgia" w:hAnsi="Georgia" w:cs="Arial"/>
          <w:spacing w:val="-4"/>
          <w:sz w:val="22"/>
          <w:lang w:val="es-CO"/>
        </w:rPr>
        <w:t xml:space="preserve"> </w:t>
      </w:r>
      <w:r w:rsidRPr="007D45EA">
        <w:rPr>
          <w:rFonts w:ascii="Georgia" w:hAnsi="Georgia" w:cs="Arial"/>
          <w:i/>
          <w:sz w:val="22"/>
          <w:shd w:val="clear" w:color="auto" w:fill="FFFFFF"/>
          <w:lang w:val="es-CO"/>
        </w:rPr>
        <w:t xml:space="preserve"> (…)</w:t>
      </w:r>
      <w:r w:rsidRPr="00AF0F06">
        <w:rPr>
          <w:rFonts w:ascii="Georgia" w:hAnsi="Georgia" w:cs="Arial"/>
          <w:i/>
          <w:shd w:val="clear" w:color="auto" w:fill="FFFFFF"/>
          <w:lang w:val="es-CO"/>
        </w:rPr>
        <w:t>”.</w:t>
      </w:r>
    </w:p>
    <w:p w14:paraId="66D0BA1E" w14:textId="644D4E9E" w:rsidR="008C16FC" w:rsidRPr="00AF0F06" w:rsidRDefault="008C16FC" w:rsidP="00AF0F06">
      <w:pPr>
        <w:pStyle w:val="Sinespaciado"/>
        <w:spacing w:line="276" w:lineRule="auto"/>
        <w:ind w:left="708"/>
        <w:jc w:val="both"/>
        <w:rPr>
          <w:rFonts w:ascii="Georgia" w:hAnsi="Georgia" w:cs="Times New Roman"/>
          <w:shd w:val="clear" w:color="auto" w:fill="FFFFFF"/>
          <w:lang w:val="es-CO"/>
        </w:rPr>
      </w:pPr>
    </w:p>
    <w:p w14:paraId="462C1002" w14:textId="77777777" w:rsidR="00184960" w:rsidRPr="00AF0F06" w:rsidRDefault="003D663C" w:rsidP="00AF0F06">
      <w:pPr>
        <w:pStyle w:val="Textopredeterminado"/>
        <w:spacing w:line="276" w:lineRule="auto"/>
        <w:jc w:val="both"/>
        <w:rPr>
          <w:rFonts w:ascii="Georgia" w:hAnsi="Georgia" w:cs="Arial"/>
          <w:color w:val="auto"/>
          <w:szCs w:val="24"/>
        </w:rPr>
      </w:pPr>
      <w:r w:rsidRPr="00AF0F06">
        <w:rPr>
          <w:rFonts w:ascii="Georgia" w:hAnsi="Georgia" w:cs="Arial"/>
          <w:color w:val="auto"/>
          <w:szCs w:val="24"/>
        </w:rPr>
        <w:t xml:space="preserve">Ellos son </w:t>
      </w:r>
      <w:r w:rsidRPr="00AF0F06">
        <w:rPr>
          <w:rFonts w:ascii="Georgia" w:hAnsi="Georgia" w:cs="Arial"/>
          <w:b/>
          <w:color w:val="auto"/>
          <w:szCs w:val="24"/>
        </w:rPr>
        <w:t>(i)</w:t>
      </w:r>
      <w:r w:rsidRPr="00AF0F06">
        <w:rPr>
          <w:rFonts w:ascii="Georgia" w:hAnsi="Georgia" w:cs="Arial"/>
          <w:color w:val="auto"/>
          <w:szCs w:val="24"/>
        </w:rPr>
        <w:t xml:space="preserve"> legitimación o interés, </w:t>
      </w:r>
      <w:r w:rsidRPr="00AF0F06">
        <w:rPr>
          <w:rFonts w:ascii="Georgia" w:hAnsi="Georgia" w:cs="Arial"/>
          <w:b/>
          <w:color w:val="auto"/>
          <w:szCs w:val="24"/>
        </w:rPr>
        <w:t>(ii)</w:t>
      </w:r>
      <w:r w:rsidRPr="00AF0F06">
        <w:rPr>
          <w:rFonts w:ascii="Georgia" w:hAnsi="Georgia" w:cs="Arial"/>
          <w:color w:val="auto"/>
          <w:szCs w:val="24"/>
        </w:rPr>
        <w:t xml:space="preserve"> oportunidad, </w:t>
      </w:r>
      <w:r w:rsidRPr="00AF0F06">
        <w:rPr>
          <w:rFonts w:ascii="Georgia" w:hAnsi="Georgia" w:cs="Arial"/>
          <w:b/>
          <w:color w:val="auto"/>
          <w:szCs w:val="24"/>
        </w:rPr>
        <w:t xml:space="preserve">(iii) </w:t>
      </w:r>
      <w:r w:rsidRPr="00AF0F06">
        <w:rPr>
          <w:rFonts w:ascii="Georgia" w:hAnsi="Georgia" w:cs="Arial"/>
          <w:color w:val="auto"/>
          <w:szCs w:val="24"/>
        </w:rPr>
        <w:t xml:space="preserve">procedencia y </w:t>
      </w:r>
      <w:r w:rsidRPr="00AF0F06">
        <w:rPr>
          <w:rFonts w:ascii="Georgia" w:hAnsi="Georgia" w:cs="Arial"/>
          <w:b/>
          <w:color w:val="auto"/>
          <w:szCs w:val="24"/>
        </w:rPr>
        <w:t xml:space="preserve">(iv) </w:t>
      </w:r>
      <w:r w:rsidRPr="00AF0F06">
        <w:rPr>
          <w:rFonts w:ascii="Georgia" w:hAnsi="Georgia" w:cs="Arial"/>
          <w:color w:val="auto"/>
          <w:szCs w:val="24"/>
        </w:rPr>
        <w:t>cargas procesales (Sustentación, expedición de copias, etc.), los tres primeros generan la inadmisibilidad del recurso mientras que el cuarto provoca su deserción, tal como anota la doctrina patria</w:t>
      </w:r>
      <w:r w:rsidRPr="00AF0F06">
        <w:rPr>
          <w:rStyle w:val="Refdenotaalpie"/>
          <w:rFonts w:ascii="Georgia" w:hAnsi="Georgia"/>
          <w:color w:val="auto"/>
          <w:szCs w:val="24"/>
        </w:rPr>
        <w:footnoteReference w:id="9"/>
      </w:r>
      <w:r w:rsidRPr="00AF0F06">
        <w:rPr>
          <w:rFonts w:ascii="Georgia" w:hAnsi="Georgia" w:cs="Arial"/>
          <w:color w:val="auto"/>
          <w:szCs w:val="24"/>
          <w:vertAlign w:val="superscript"/>
        </w:rPr>
        <w:t>-</w:t>
      </w:r>
      <w:r w:rsidRPr="00AF0F06">
        <w:rPr>
          <w:rStyle w:val="Refdenotaalpie"/>
          <w:rFonts w:ascii="Georgia" w:hAnsi="Georgia"/>
          <w:color w:val="auto"/>
          <w:szCs w:val="24"/>
        </w:rPr>
        <w:footnoteReference w:id="10"/>
      </w:r>
      <w:r w:rsidRPr="00AF0F06">
        <w:rPr>
          <w:rFonts w:ascii="Georgia" w:hAnsi="Georgia" w:cs="Arial"/>
          <w:color w:val="auto"/>
          <w:szCs w:val="24"/>
        </w:rPr>
        <w:t xml:space="preserve">.  </w:t>
      </w:r>
    </w:p>
    <w:p w14:paraId="735A85D2" w14:textId="77777777" w:rsidR="00184960" w:rsidRPr="00AF0F06" w:rsidRDefault="00184960" w:rsidP="00AF0F06">
      <w:pPr>
        <w:pStyle w:val="Textopredeterminado"/>
        <w:spacing w:line="276" w:lineRule="auto"/>
        <w:jc w:val="both"/>
        <w:rPr>
          <w:rFonts w:ascii="Georgia" w:hAnsi="Georgia" w:cs="Arial"/>
          <w:color w:val="auto"/>
          <w:szCs w:val="24"/>
        </w:rPr>
      </w:pPr>
    </w:p>
    <w:p w14:paraId="6CDA23F8" w14:textId="5ED03663" w:rsidR="003D663C" w:rsidRPr="00AF0F06" w:rsidRDefault="00184960" w:rsidP="00AF0F06">
      <w:pPr>
        <w:pStyle w:val="Textopredeterminado"/>
        <w:spacing w:line="276" w:lineRule="auto"/>
        <w:jc w:val="both"/>
        <w:rPr>
          <w:rFonts w:ascii="Georgia" w:hAnsi="Georgia" w:cs="Arial"/>
          <w:color w:val="auto"/>
          <w:szCs w:val="24"/>
        </w:rPr>
      </w:pPr>
      <w:r w:rsidRPr="00AF0F06">
        <w:rPr>
          <w:rFonts w:ascii="Georgia" w:hAnsi="Georgia" w:cs="Arial"/>
          <w:color w:val="auto"/>
          <w:szCs w:val="24"/>
        </w:rPr>
        <w:t>En este caso están cumplidos</w:t>
      </w:r>
      <w:r w:rsidRPr="00AF0F06">
        <w:rPr>
          <w:rFonts w:ascii="Georgia" w:eastAsia="Georgia" w:hAnsi="Georgia" w:cs="Georgia"/>
          <w:color w:val="auto"/>
          <w:szCs w:val="24"/>
          <w:lang w:val="es"/>
        </w:rPr>
        <w:t xml:space="preserve">, dado que: </w:t>
      </w:r>
      <w:r w:rsidRPr="00AF0F06">
        <w:rPr>
          <w:rFonts w:ascii="Georgia" w:eastAsia="Georgia" w:hAnsi="Georgia" w:cs="Georgia"/>
          <w:b/>
          <w:bCs/>
          <w:color w:val="auto"/>
          <w:szCs w:val="24"/>
          <w:lang w:val="es"/>
        </w:rPr>
        <w:t>(i)</w:t>
      </w:r>
      <w:r w:rsidRPr="00AF0F06">
        <w:rPr>
          <w:rFonts w:ascii="Georgia" w:eastAsia="Georgia" w:hAnsi="Georgia" w:cs="Georgia"/>
          <w:color w:val="auto"/>
          <w:szCs w:val="24"/>
          <w:lang w:val="es"/>
        </w:rPr>
        <w:t xml:space="preserve"> hay legitimación en la parte que recurre porque estima que hay mengua de sus intereses con la decisión atacada; </w:t>
      </w:r>
      <w:r w:rsidRPr="00AF0F06">
        <w:rPr>
          <w:rFonts w:ascii="Georgia" w:eastAsia="Georgia" w:hAnsi="Georgia" w:cs="Georgia"/>
          <w:b/>
          <w:bCs/>
          <w:color w:val="auto"/>
          <w:szCs w:val="24"/>
          <w:lang w:val="es"/>
        </w:rPr>
        <w:t>(ii)</w:t>
      </w:r>
      <w:r w:rsidRPr="00AF0F06">
        <w:rPr>
          <w:rFonts w:ascii="Georgia" w:eastAsia="Georgia" w:hAnsi="Georgia" w:cs="Georgia"/>
          <w:color w:val="auto"/>
          <w:szCs w:val="24"/>
          <w:lang w:val="es"/>
        </w:rPr>
        <w:t xml:space="preserve"> </w:t>
      </w:r>
      <w:r w:rsidR="7A450D4D" w:rsidRPr="00AF0F06">
        <w:rPr>
          <w:rFonts w:ascii="Georgia" w:eastAsia="Georgia" w:hAnsi="Georgia" w:cs="Georgia"/>
          <w:color w:val="auto"/>
          <w:szCs w:val="24"/>
          <w:lang w:val="es"/>
        </w:rPr>
        <w:t xml:space="preserve">Oportunidad </w:t>
      </w:r>
      <w:r w:rsidRPr="00AF0F06">
        <w:rPr>
          <w:rFonts w:ascii="Georgia" w:eastAsia="Georgia" w:hAnsi="Georgia" w:cs="Georgia"/>
          <w:color w:val="auto"/>
          <w:szCs w:val="24"/>
          <w:lang w:val="es"/>
        </w:rPr>
        <w:t xml:space="preserve">(Carpeta 1ª instancia, </w:t>
      </w:r>
      <w:proofErr w:type="spellStart"/>
      <w:r w:rsidRPr="00AF0F06">
        <w:rPr>
          <w:rFonts w:ascii="Georgia" w:eastAsia="Georgia" w:hAnsi="Georgia" w:cs="Georgia"/>
          <w:color w:val="auto"/>
          <w:szCs w:val="24"/>
          <w:lang w:val="es"/>
        </w:rPr>
        <w:t>pdf</w:t>
      </w:r>
      <w:proofErr w:type="spellEnd"/>
      <w:r w:rsidRPr="00AF0F06">
        <w:rPr>
          <w:rFonts w:ascii="Georgia" w:eastAsia="Georgia" w:hAnsi="Georgia" w:cs="Georgia"/>
          <w:color w:val="auto"/>
          <w:szCs w:val="24"/>
          <w:lang w:val="es"/>
        </w:rPr>
        <w:t>. No.</w:t>
      </w:r>
      <w:r w:rsidR="00C81008" w:rsidRPr="00AF0F06">
        <w:rPr>
          <w:rFonts w:ascii="Georgia" w:eastAsia="Georgia" w:hAnsi="Georgia" w:cs="Georgia"/>
          <w:color w:val="auto"/>
          <w:szCs w:val="24"/>
          <w:lang w:val="es"/>
        </w:rPr>
        <w:t>16</w:t>
      </w:r>
      <w:r w:rsidRPr="00AF0F06">
        <w:rPr>
          <w:rFonts w:ascii="Georgia" w:eastAsia="Georgia" w:hAnsi="Georgia"/>
          <w:color w:val="auto"/>
          <w:szCs w:val="24"/>
        </w:rPr>
        <w:t>)</w:t>
      </w:r>
      <w:r w:rsidRPr="00AF0F06">
        <w:rPr>
          <w:rFonts w:ascii="Georgia" w:eastAsia="Georgia" w:hAnsi="Georgia" w:cs="Georgia"/>
          <w:color w:val="auto"/>
          <w:szCs w:val="24"/>
          <w:lang w:val="es"/>
        </w:rPr>
        <w:t xml:space="preserve">; </w:t>
      </w:r>
      <w:r w:rsidRPr="00AF0F06">
        <w:rPr>
          <w:rFonts w:ascii="Georgia" w:eastAsia="Georgia" w:hAnsi="Georgia" w:cs="Georgia"/>
          <w:b/>
          <w:bCs/>
          <w:color w:val="auto"/>
          <w:szCs w:val="24"/>
          <w:lang w:val="es"/>
        </w:rPr>
        <w:t>(iii)</w:t>
      </w:r>
      <w:r w:rsidRPr="00AF0F06">
        <w:rPr>
          <w:rFonts w:ascii="Georgia" w:eastAsia="Georgia" w:hAnsi="Georgia" w:cs="Georgia"/>
          <w:color w:val="auto"/>
          <w:szCs w:val="24"/>
          <w:lang w:val="es"/>
        </w:rPr>
        <w:t xml:space="preserve"> </w:t>
      </w:r>
      <w:r w:rsidR="0FF5E3D5" w:rsidRPr="00AF0F06">
        <w:rPr>
          <w:rFonts w:ascii="Georgia" w:eastAsia="Georgia" w:hAnsi="Georgia" w:cs="Georgia"/>
          <w:color w:val="auto"/>
          <w:szCs w:val="24"/>
          <w:lang w:val="es"/>
        </w:rPr>
        <w:t xml:space="preserve">Procedencia, pues </w:t>
      </w:r>
      <w:r w:rsidRPr="00AF0F06">
        <w:rPr>
          <w:rFonts w:ascii="Georgia" w:eastAsia="Georgia" w:hAnsi="Georgia" w:cs="Georgia"/>
          <w:color w:val="auto"/>
          <w:szCs w:val="24"/>
          <w:lang w:val="es"/>
        </w:rPr>
        <w:t xml:space="preserve">la aludida providencia es </w:t>
      </w:r>
      <w:r w:rsidR="69A95697" w:rsidRPr="00AF0F06">
        <w:rPr>
          <w:rFonts w:ascii="Georgia" w:eastAsia="Georgia" w:hAnsi="Georgia" w:cs="Georgia"/>
          <w:color w:val="auto"/>
          <w:szCs w:val="24"/>
          <w:lang w:val="es"/>
        </w:rPr>
        <w:t xml:space="preserve">pasible </w:t>
      </w:r>
      <w:r w:rsidRPr="00AF0F06">
        <w:rPr>
          <w:rFonts w:ascii="Georgia" w:eastAsia="Georgia" w:hAnsi="Georgia" w:cs="Georgia"/>
          <w:color w:val="auto"/>
          <w:szCs w:val="24"/>
          <w:lang w:val="es"/>
        </w:rPr>
        <w:t>de reposición (Artículo 318, CGP); y</w:t>
      </w:r>
      <w:r w:rsidR="63A746B3" w:rsidRPr="00AF0F06">
        <w:rPr>
          <w:rFonts w:ascii="Georgia" w:eastAsia="Georgia" w:hAnsi="Georgia" w:cs="Georgia"/>
          <w:color w:val="auto"/>
          <w:szCs w:val="24"/>
          <w:lang w:val="es"/>
        </w:rPr>
        <w:t>,</w:t>
      </w:r>
      <w:r w:rsidRPr="00AF0F06">
        <w:rPr>
          <w:rFonts w:ascii="Georgia" w:eastAsia="Georgia" w:hAnsi="Georgia" w:cs="Georgia"/>
          <w:color w:val="auto"/>
          <w:szCs w:val="24"/>
          <w:lang w:val="es"/>
        </w:rPr>
        <w:t xml:space="preserve"> está cumplida la carga procesal de </w:t>
      </w:r>
      <w:r w:rsidRPr="00AF0F06">
        <w:rPr>
          <w:rFonts w:ascii="Georgia" w:eastAsia="Georgia" w:hAnsi="Georgia" w:cs="Georgia"/>
          <w:b/>
          <w:bCs/>
          <w:color w:val="auto"/>
          <w:szCs w:val="24"/>
          <w:lang w:val="es"/>
        </w:rPr>
        <w:t xml:space="preserve">(iv) </w:t>
      </w:r>
      <w:r w:rsidRPr="00AF0F06">
        <w:rPr>
          <w:rFonts w:ascii="Georgia" w:eastAsia="Georgia" w:hAnsi="Georgia" w:cs="Georgia"/>
          <w:color w:val="auto"/>
          <w:szCs w:val="24"/>
          <w:lang w:val="es"/>
        </w:rPr>
        <w:t xml:space="preserve">la sustentación (Artículo 318-3º, CGP), acorde con el memorial </w:t>
      </w:r>
      <w:r w:rsidRPr="00AF0F06">
        <w:rPr>
          <w:rFonts w:ascii="Georgia" w:hAnsi="Georgia" w:cs="Arial"/>
          <w:color w:val="auto"/>
          <w:szCs w:val="24"/>
        </w:rPr>
        <w:t xml:space="preserve">acercado en tiempo </w:t>
      </w:r>
      <w:r w:rsidRPr="00AF0F06">
        <w:rPr>
          <w:rFonts w:ascii="Georgia" w:eastAsia="Georgia" w:hAnsi="Georgia" w:cs="Georgia"/>
          <w:color w:val="auto"/>
          <w:szCs w:val="24"/>
          <w:lang w:val="es"/>
        </w:rPr>
        <w:t xml:space="preserve">(Carpeta 2ª instancia, </w:t>
      </w:r>
      <w:proofErr w:type="spellStart"/>
      <w:r w:rsidRPr="00AF0F06">
        <w:rPr>
          <w:rFonts w:ascii="Georgia" w:eastAsia="Georgia" w:hAnsi="Georgia" w:cs="Georgia"/>
          <w:color w:val="auto"/>
          <w:szCs w:val="24"/>
          <w:lang w:val="es"/>
        </w:rPr>
        <w:t>pdf</w:t>
      </w:r>
      <w:proofErr w:type="spellEnd"/>
      <w:r w:rsidRPr="00AF0F06">
        <w:rPr>
          <w:rFonts w:ascii="Georgia" w:eastAsia="Georgia" w:hAnsi="Georgia" w:cs="Georgia"/>
          <w:color w:val="auto"/>
          <w:szCs w:val="24"/>
          <w:lang w:val="es"/>
        </w:rPr>
        <w:t xml:space="preserve">. Nos. </w:t>
      </w:r>
      <w:r w:rsidR="00C81008" w:rsidRPr="00AF0F06">
        <w:rPr>
          <w:rFonts w:ascii="Georgia" w:eastAsia="Georgia" w:hAnsi="Georgia" w:cs="Georgia"/>
          <w:color w:val="auto"/>
          <w:szCs w:val="24"/>
          <w:lang w:val="es"/>
        </w:rPr>
        <w:t>15 y 16</w:t>
      </w:r>
      <w:r w:rsidRPr="00AF0F06">
        <w:rPr>
          <w:rFonts w:ascii="Georgia" w:eastAsia="Georgia" w:hAnsi="Georgia" w:cs="Georgia"/>
          <w:color w:val="auto"/>
          <w:szCs w:val="24"/>
          <w:lang w:val="es"/>
        </w:rPr>
        <w:t>).</w:t>
      </w:r>
      <w:r w:rsidR="009D4966" w:rsidRPr="00AF0F06">
        <w:rPr>
          <w:rFonts w:ascii="Georgia" w:eastAsia="Georgia" w:hAnsi="Georgia" w:cs="Georgia"/>
          <w:color w:val="auto"/>
          <w:szCs w:val="24"/>
          <w:lang w:val="es"/>
        </w:rPr>
        <w:t xml:space="preserve"> </w:t>
      </w:r>
    </w:p>
    <w:p w14:paraId="7B125324" w14:textId="696B99B7" w:rsidR="003D5A4E" w:rsidRPr="00AF0F06" w:rsidRDefault="003D5A4E" w:rsidP="00AF0F06">
      <w:pPr>
        <w:pStyle w:val="Sinespaciado"/>
        <w:spacing w:line="276" w:lineRule="auto"/>
        <w:jc w:val="both"/>
        <w:rPr>
          <w:rFonts w:ascii="Georgia" w:hAnsi="Georgia" w:cs="Arial"/>
        </w:rPr>
      </w:pPr>
    </w:p>
    <w:p w14:paraId="54E12D29" w14:textId="2BDFA83A" w:rsidR="003D663C" w:rsidRPr="00AF0F06" w:rsidRDefault="004874D7" w:rsidP="00AF0F06">
      <w:pPr>
        <w:pStyle w:val="Textoindependiente"/>
        <w:spacing w:line="276" w:lineRule="auto"/>
        <w:rPr>
          <w:rFonts w:ascii="Georgia" w:hAnsi="Georgia"/>
          <w:szCs w:val="24"/>
        </w:rPr>
      </w:pPr>
      <w:r w:rsidRPr="00AF0F06">
        <w:rPr>
          <w:rFonts w:ascii="Georgia" w:hAnsi="Georgia" w:cs="Arial"/>
          <w:i/>
          <w:smallCaps/>
          <w:spacing w:val="0"/>
          <w:szCs w:val="24"/>
          <w:lang w:val="es-ES"/>
        </w:rPr>
        <w:t>5.3.</w:t>
      </w:r>
      <w:r w:rsidR="009D4966" w:rsidRPr="00AF0F06">
        <w:rPr>
          <w:rFonts w:ascii="Georgia" w:hAnsi="Georgia" w:cs="Arial"/>
          <w:i/>
          <w:smallCaps/>
          <w:spacing w:val="0"/>
          <w:szCs w:val="24"/>
          <w:lang w:val="es-ES"/>
        </w:rPr>
        <w:t xml:space="preserve"> </w:t>
      </w:r>
      <w:r w:rsidR="003D663C" w:rsidRPr="00AF0F06">
        <w:rPr>
          <w:rFonts w:ascii="Georgia" w:hAnsi="Georgia" w:cs="Arial"/>
          <w:i/>
          <w:smallCaps/>
          <w:spacing w:val="0"/>
          <w:szCs w:val="24"/>
          <w:lang w:val="es-ES"/>
        </w:rPr>
        <w:t>El problema jurídico por resolver.</w:t>
      </w:r>
      <w:r w:rsidR="003D663C" w:rsidRPr="00AF0F06">
        <w:rPr>
          <w:rFonts w:ascii="Georgia" w:hAnsi="Georgia" w:cs="Arial"/>
          <w:smallCaps/>
          <w:spacing w:val="0"/>
          <w:szCs w:val="24"/>
          <w:lang w:val="es-ES"/>
        </w:rPr>
        <w:t xml:space="preserve"> </w:t>
      </w:r>
      <w:r w:rsidR="003D663C" w:rsidRPr="00AF0F06">
        <w:rPr>
          <w:rFonts w:ascii="Georgia" w:hAnsi="Georgia"/>
          <w:szCs w:val="24"/>
        </w:rPr>
        <w:t xml:space="preserve">¿Debe reponerse, para en su lugar tener por sustentado el recurso de apelación y darle trámite, según la reposición formulada por </w:t>
      </w:r>
      <w:r w:rsidR="009D4966" w:rsidRPr="00AF0F06">
        <w:rPr>
          <w:rFonts w:ascii="Georgia" w:hAnsi="Georgia"/>
          <w:szCs w:val="24"/>
        </w:rPr>
        <w:t>e</w:t>
      </w:r>
      <w:r w:rsidR="003D663C" w:rsidRPr="00AF0F06">
        <w:rPr>
          <w:rFonts w:ascii="Georgia" w:hAnsi="Georgia"/>
          <w:szCs w:val="24"/>
        </w:rPr>
        <w:t>l apoderad</w:t>
      </w:r>
      <w:r w:rsidR="009D4966" w:rsidRPr="00AF0F06">
        <w:rPr>
          <w:rFonts w:ascii="Georgia" w:hAnsi="Georgia"/>
          <w:szCs w:val="24"/>
        </w:rPr>
        <w:t>o</w:t>
      </w:r>
      <w:r w:rsidR="003D663C" w:rsidRPr="00AF0F06">
        <w:rPr>
          <w:rFonts w:ascii="Georgia" w:hAnsi="Georgia"/>
          <w:szCs w:val="24"/>
        </w:rPr>
        <w:t xml:space="preserve"> judicial de la parte demandante?</w:t>
      </w:r>
    </w:p>
    <w:p w14:paraId="2276AE25" w14:textId="77777777" w:rsidR="000B6B52" w:rsidRPr="00AF0F06" w:rsidRDefault="000B6B52" w:rsidP="00AF0F06">
      <w:pPr>
        <w:pStyle w:val="Textoindependiente"/>
        <w:spacing w:line="276" w:lineRule="auto"/>
        <w:rPr>
          <w:rFonts w:ascii="Georgia" w:hAnsi="Georgia"/>
          <w:szCs w:val="24"/>
        </w:rPr>
      </w:pPr>
    </w:p>
    <w:p w14:paraId="39301450" w14:textId="587050DB" w:rsidR="003D663C" w:rsidRPr="00AF0F06" w:rsidRDefault="003D663C" w:rsidP="00AF0F06">
      <w:pPr>
        <w:pStyle w:val="Textopredeterminado"/>
        <w:numPr>
          <w:ilvl w:val="1"/>
          <w:numId w:val="23"/>
        </w:numPr>
        <w:spacing w:line="276" w:lineRule="auto"/>
        <w:jc w:val="both"/>
        <w:textAlignment w:val="baseline"/>
        <w:rPr>
          <w:rFonts w:ascii="Georgia" w:hAnsi="Georgia" w:cs="Arial"/>
          <w:i/>
          <w:iCs/>
          <w:smallCaps/>
          <w:color w:val="auto"/>
          <w:szCs w:val="24"/>
        </w:rPr>
      </w:pPr>
      <w:r w:rsidRPr="00AF0F06">
        <w:rPr>
          <w:rFonts w:ascii="Georgia" w:hAnsi="Georgia" w:cs="Arial"/>
          <w:i/>
          <w:iCs/>
          <w:smallCaps/>
          <w:color w:val="auto"/>
          <w:szCs w:val="24"/>
        </w:rPr>
        <w:t>La resolución del problema jurídico</w:t>
      </w:r>
    </w:p>
    <w:p w14:paraId="4F36B0CA" w14:textId="77777777" w:rsidR="009D4966" w:rsidRPr="00AF0F06" w:rsidRDefault="009D4966" w:rsidP="00AF0F06">
      <w:pPr>
        <w:pStyle w:val="Textopredeterminado"/>
        <w:spacing w:line="276" w:lineRule="auto"/>
        <w:jc w:val="both"/>
        <w:textAlignment w:val="baseline"/>
        <w:rPr>
          <w:rFonts w:ascii="Georgia" w:hAnsi="Georgia" w:cs="Arial"/>
          <w:i/>
          <w:iCs/>
          <w:smallCaps/>
          <w:color w:val="auto"/>
          <w:szCs w:val="24"/>
        </w:rPr>
      </w:pPr>
    </w:p>
    <w:p w14:paraId="0EBAA6C3" w14:textId="48A96F12" w:rsidR="003D663C" w:rsidRPr="00AF0F06" w:rsidRDefault="004874D7" w:rsidP="00AF0F06">
      <w:pPr>
        <w:pStyle w:val="Prrafodelista"/>
        <w:widowControl w:val="0"/>
        <w:overflowPunct w:val="0"/>
        <w:autoSpaceDE w:val="0"/>
        <w:autoSpaceDN w:val="0"/>
        <w:adjustRightInd w:val="0"/>
        <w:spacing w:line="276" w:lineRule="auto"/>
        <w:ind w:left="0"/>
        <w:contextualSpacing/>
        <w:jc w:val="both"/>
        <w:rPr>
          <w:rFonts w:ascii="Georgia" w:hAnsi="Georgia" w:cs="Arial"/>
          <w:sz w:val="24"/>
          <w:szCs w:val="24"/>
          <w:lang w:val="es-CO"/>
        </w:rPr>
      </w:pPr>
      <w:r w:rsidRPr="00AF0F06">
        <w:rPr>
          <w:rFonts w:ascii="Georgia" w:hAnsi="Georgia" w:cs="Arial"/>
          <w:i/>
          <w:iCs/>
          <w:smallCaps/>
          <w:sz w:val="24"/>
          <w:szCs w:val="24"/>
        </w:rPr>
        <w:t>5</w:t>
      </w:r>
      <w:r w:rsidR="009D4966" w:rsidRPr="00AF0F06">
        <w:rPr>
          <w:rFonts w:ascii="Georgia" w:hAnsi="Georgia" w:cs="Arial"/>
          <w:i/>
          <w:iCs/>
          <w:smallCaps/>
          <w:sz w:val="24"/>
          <w:szCs w:val="24"/>
        </w:rPr>
        <w:t xml:space="preserve">.4.1. </w:t>
      </w:r>
      <w:r w:rsidR="003D663C" w:rsidRPr="00AF0F06">
        <w:rPr>
          <w:rFonts w:ascii="Georgia" w:hAnsi="Georgia" w:cs="Arial"/>
          <w:i/>
          <w:iCs/>
          <w:smallCaps/>
          <w:sz w:val="24"/>
          <w:szCs w:val="24"/>
        </w:rPr>
        <w:t xml:space="preserve">Los límites en el ámbito decisional de la alzada. </w:t>
      </w:r>
      <w:r w:rsidR="003D663C" w:rsidRPr="00AF0F06">
        <w:rPr>
          <w:rFonts w:ascii="Georgia" w:hAnsi="Georgia" w:cs="Arial"/>
          <w:sz w:val="24"/>
          <w:szCs w:val="24"/>
          <w:lang w:val="es-CO"/>
        </w:rPr>
        <w:t>El trazado de los puntos que, son materia de análisis en esta instancia, está delimitado por los precisos reparos formulados por la parte recurrente, según prescripción normativa expresa de los artículos 320 y 328, ib., aplicación particular del principio dispositivo. En ese contexto se desarrollará el análisis siguiente.</w:t>
      </w:r>
    </w:p>
    <w:p w14:paraId="73213CFA" w14:textId="77777777" w:rsidR="003D663C" w:rsidRPr="00AF0F06" w:rsidRDefault="003D663C" w:rsidP="00AF0F06">
      <w:pPr>
        <w:pStyle w:val="Prrafodelista"/>
        <w:spacing w:line="276" w:lineRule="auto"/>
        <w:ind w:left="0"/>
        <w:jc w:val="both"/>
        <w:rPr>
          <w:rFonts w:ascii="Georgia" w:hAnsi="Georgia" w:cs="Arial"/>
          <w:smallCaps/>
          <w:sz w:val="24"/>
          <w:szCs w:val="24"/>
        </w:rPr>
      </w:pPr>
    </w:p>
    <w:p w14:paraId="6E76E651" w14:textId="77777777" w:rsidR="004874D7" w:rsidRPr="00AF0F06" w:rsidRDefault="004874D7" w:rsidP="00AF0F06">
      <w:pPr>
        <w:pStyle w:val="Prrafodelista"/>
        <w:numPr>
          <w:ilvl w:val="0"/>
          <w:numId w:val="22"/>
        </w:numPr>
        <w:spacing w:line="276" w:lineRule="auto"/>
        <w:jc w:val="both"/>
        <w:rPr>
          <w:rFonts w:ascii="Georgia" w:hAnsi="Georgia" w:cs="Arial"/>
          <w:i/>
          <w:iCs/>
          <w:smallCaps/>
          <w:vanish/>
          <w:sz w:val="24"/>
          <w:szCs w:val="24"/>
        </w:rPr>
      </w:pPr>
    </w:p>
    <w:p w14:paraId="4C257949" w14:textId="77777777" w:rsidR="004874D7" w:rsidRPr="00AF0F06" w:rsidRDefault="004874D7" w:rsidP="00AF0F06">
      <w:pPr>
        <w:pStyle w:val="Prrafodelista"/>
        <w:numPr>
          <w:ilvl w:val="0"/>
          <w:numId w:val="22"/>
        </w:numPr>
        <w:spacing w:line="276" w:lineRule="auto"/>
        <w:jc w:val="both"/>
        <w:rPr>
          <w:rFonts w:ascii="Georgia" w:hAnsi="Georgia" w:cs="Arial"/>
          <w:i/>
          <w:iCs/>
          <w:smallCaps/>
          <w:vanish/>
          <w:sz w:val="24"/>
          <w:szCs w:val="24"/>
        </w:rPr>
      </w:pPr>
    </w:p>
    <w:p w14:paraId="36CC4EF7" w14:textId="77777777" w:rsidR="004874D7" w:rsidRPr="00AF0F06" w:rsidRDefault="004874D7" w:rsidP="00AF0F06">
      <w:pPr>
        <w:pStyle w:val="Prrafodelista"/>
        <w:numPr>
          <w:ilvl w:val="1"/>
          <w:numId w:val="22"/>
        </w:numPr>
        <w:spacing w:line="276" w:lineRule="auto"/>
        <w:jc w:val="both"/>
        <w:rPr>
          <w:rFonts w:ascii="Georgia" w:hAnsi="Georgia" w:cs="Arial"/>
          <w:i/>
          <w:iCs/>
          <w:smallCaps/>
          <w:vanish/>
          <w:sz w:val="24"/>
          <w:szCs w:val="24"/>
        </w:rPr>
      </w:pPr>
    </w:p>
    <w:p w14:paraId="5FF4FED5" w14:textId="54AAC820" w:rsidR="003D663C" w:rsidRPr="00AF0F06" w:rsidRDefault="003D663C" w:rsidP="00AF0F06">
      <w:pPr>
        <w:pStyle w:val="Prrafodelista"/>
        <w:numPr>
          <w:ilvl w:val="2"/>
          <w:numId w:val="22"/>
        </w:numPr>
        <w:spacing w:line="276" w:lineRule="auto"/>
        <w:jc w:val="both"/>
        <w:rPr>
          <w:rFonts w:ascii="Georgia" w:hAnsi="Georgia" w:cs="Arial"/>
          <w:sz w:val="24"/>
          <w:szCs w:val="24"/>
        </w:rPr>
      </w:pPr>
      <w:r w:rsidRPr="00AF0F06">
        <w:rPr>
          <w:rFonts w:ascii="Georgia" w:hAnsi="Georgia" w:cs="Arial"/>
          <w:i/>
          <w:iCs/>
          <w:smallCaps/>
          <w:sz w:val="24"/>
          <w:szCs w:val="24"/>
        </w:rPr>
        <w:t>Análisis del caso</w:t>
      </w:r>
      <w:r w:rsidR="0037295F" w:rsidRPr="00AF0F06">
        <w:rPr>
          <w:rFonts w:ascii="Georgia" w:hAnsi="Georgia" w:cs="Arial"/>
          <w:i/>
          <w:iCs/>
          <w:smallCaps/>
          <w:sz w:val="24"/>
          <w:szCs w:val="24"/>
        </w:rPr>
        <w:t xml:space="preserve"> concreto</w:t>
      </w:r>
    </w:p>
    <w:p w14:paraId="7C0E561F" w14:textId="0E65F1EA" w:rsidR="0037295F" w:rsidRPr="00AF0F06" w:rsidRDefault="0037295F" w:rsidP="00AF0F06">
      <w:pPr>
        <w:pStyle w:val="Sinespaciado"/>
        <w:spacing w:line="276" w:lineRule="auto"/>
        <w:jc w:val="both"/>
        <w:rPr>
          <w:rFonts w:ascii="Georgia" w:hAnsi="Georgia" w:cs="Arial"/>
        </w:rPr>
      </w:pPr>
    </w:p>
    <w:p w14:paraId="713B62B8" w14:textId="6947C24F" w:rsidR="009D4966" w:rsidRPr="00AF0F06" w:rsidRDefault="009D4966" w:rsidP="00AF0F06">
      <w:pPr>
        <w:pStyle w:val="Sinespaciado"/>
        <w:spacing w:line="276" w:lineRule="auto"/>
        <w:jc w:val="both"/>
        <w:rPr>
          <w:rFonts w:ascii="Georgia" w:hAnsi="Georgia" w:cs="Arial"/>
        </w:rPr>
      </w:pPr>
      <w:r w:rsidRPr="00AF0F06">
        <w:rPr>
          <w:rFonts w:ascii="Georgia" w:hAnsi="Georgia" w:cs="Arial"/>
        </w:rPr>
        <w:t xml:space="preserve">Se mantendrá la decisión motivo de impugnación, </w:t>
      </w:r>
      <w:r w:rsidR="405627A2" w:rsidRPr="00AF0F06">
        <w:rPr>
          <w:rFonts w:ascii="Georgia" w:hAnsi="Georgia" w:cs="Arial"/>
        </w:rPr>
        <w:t xml:space="preserve">ya que se disiente de </w:t>
      </w:r>
      <w:r w:rsidRPr="00AF0F06">
        <w:rPr>
          <w:rFonts w:ascii="Georgia" w:hAnsi="Georgia" w:cs="Arial"/>
        </w:rPr>
        <w:t xml:space="preserve">los razonamientos del recurrente, conforme pasa a exponerse. </w:t>
      </w:r>
    </w:p>
    <w:p w14:paraId="07DD5768" w14:textId="77777777" w:rsidR="008B7470" w:rsidRPr="00AF0F06" w:rsidRDefault="008B7470" w:rsidP="00AF0F06">
      <w:pPr>
        <w:pStyle w:val="Sinespaciado"/>
        <w:spacing w:line="276" w:lineRule="auto"/>
        <w:jc w:val="both"/>
        <w:rPr>
          <w:rFonts w:ascii="Georgia" w:hAnsi="Georgia" w:cs="Arial"/>
        </w:rPr>
      </w:pPr>
    </w:p>
    <w:p w14:paraId="50EE62F1" w14:textId="112C88A8" w:rsidR="003D663C" w:rsidRPr="00AF0F06" w:rsidRDefault="003D663C" w:rsidP="00AF0F06">
      <w:pPr>
        <w:pStyle w:val="Sinespaciado"/>
        <w:spacing w:line="276" w:lineRule="auto"/>
        <w:jc w:val="both"/>
        <w:rPr>
          <w:rFonts w:ascii="Georgia" w:hAnsi="Georgia" w:cs="Arial"/>
          <w:i/>
          <w:iCs/>
        </w:rPr>
      </w:pPr>
      <w:r w:rsidRPr="00AF0F06">
        <w:rPr>
          <w:rFonts w:ascii="Georgia" w:hAnsi="Georgia" w:cs="Arial"/>
          <w:spacing w:val="-3"/>
        </w:rPr>
        <w:t>La sustentación</w:t>
      </w:r>
      <w:r w:rsidRPr="00AF0F06">
        <w:rPr>
          <w:rFonts w:ascii="Georgia" w:hAnsi="Georgia" w:cs="Arial"/>
        </w:rPr>
        <w:t>, en vigencia del CGP, est</w:t>
      </w:r>
      <w:r w:rsidR="34EB4C41" w:rsidRPr="00AF0F06">
        <w:rPr>
          <w:rFonts w:ascii="Georgia" w:hAnsi="Georgia" w:cs="Arial"/>
        </w:rPr>
        <w:t>á</w:t>
      </w:r>
      <w:r w:rsidRPr="00AF0F06">
        <w:rPr>
          <w:rFonts w:ascii="Georgia" w:hAnsi="Georgia" w:cs="Arial"/>
        </w:rPr>
        <w:t xml:space="preserve"> estatuid</w:t>
      </w:r>
      <w:r w:rsidR="00402E49" w:rsidRPr="00AF0F06">
        <w:rPr>
          <w:rFonts w:ascii="Georgia" w:hAnsi="Georgia" w:cs="Arial"/>
        </w:rPr>
        <w:t>a</w:t>
      </w:r>
      <w:r w:rsidRPr="00AF0F06">
        <w:rPr>
          <w:rFonts w:ascii="Georgia" w:hAnsi="Georgia" w:cs="Arial"/>
        </w:rPr>
        <w:t xml:space="preserve"> en el artículo 322</w:t>
      </w:r>
      <w:r w:rsidR="065BA151" w:rsidRPr="00AF0F06">
        <w:rPr>
          <w:rFonts w:ascii="Georgia" w:hAnsi="Georgia" w:cs="Arial"/>
        </w:rPr>
        <w:t>,</w:t>
      </w:r>
      <w:r w:rsidRPr="00AF0F06">
        <w:rPr>
          <w:rFonts w:ascii="Georgia" w:hAnsi="Georgia" w:cs="Arial"/>
        </w:rPr>
        <w:t xml:space="preserve"> que </w:t>
      </w:r>
      <w:r w:rsidR="3ACB4A2C" w:rsidRPr="00AF0F06">
        <w:rPr>
          <w:rFonts w:ascii="Georgia" w:hAnsi="Georgia" w:cs="Arial"/>
        </w:rPr>
        <w:t>prescribe</w:t>
      </w:r>
      <w:r w:rsidRPr="00AF0F06">
        <w:rPr>
          <w:rFonts w:ascii="Georgia" w:hAnsi="Georgia" w:cs="Arial"/>
        </w:rPr>
        <w:t>:</w:t>
      </w:r>
      <w:r w:rsidR="00CF034C" w:rsidRPr="00AF0F06">
        <w:rPr>
          <w:rFonts w:ascii="Georgia" w:hAnsi="Georgia" w:cs="Arial"/>
        </w:rPr>
        <w:t xml:space="preserve"> </w:t>
      </w:r>
      <w:r w:rsidRPr="007D45EA">
        <w:rPr>
          <w:rFonts w:ascii="Georgia" w:hAnsi="Georgia" w:cs="Arial"/>
          <w:i/>
          <w:iCs/>
          <w:sz w:val="22"/>
        </w:rPr>
        <w:t xml:space="preserve">“(…) </w:t>
      </w:r>
      <w:r w:rsidRPr="007D45EA">
        <w:rPr>
          <w:rFonts w:ascii="Georgia" w:hAnsi="Georgia" w:cs="Arial"/>
          <w:i/>
          <w:iCs/>
          <w:sz w:val="22"/>
          <w:lang w:val="es-CO"/>
        </w:rPr>
        <w:t xml:space="preserve">Cuando </w:t>
      </w:r>
      <w:r w:rsidRPr="007D45EA">
        <w:rPr>
          <w:rFonts w:ascii="Georgia" w:hAnsi="Georgia" w:cs="Arial"/>
          <w:i/>
          <w:iCs/>
          <w:sz w:val="22"/>
        </w:rPr>
        <w:t>se apele una sentencia, el apelante, al momento de interponer el recurso en la audiencia si hubiera sido proferida en ella, o dentro de los tres (3) días siguientes a su finalización o a la notificación de la que hubiere sido dictada por fuera de audiencia, deberá precisar, de manera breve, los reparos concretos que le hace a la decisión, sobre los cuales versará la sustentación que hará ante el superior</w:t>
      </w:r>
      <w:r w:rsidR="4E1920F9" w:rsidRPr="007D45EA">
        <w:rPr>
          <w:rFonts w:ascii="Georgia" w:hAnsi="Georgia" w:cs="Arial"/>
          <w:i/>
          <w:iCs/>
          <w:sz w:val="22"/>
        </w:rPr>
        <w:t xml:space="preserve"> </w:t>
      </w:r>
      <w:r w:rsidRPr="007D45EA">
        <w:rPr>
          <w:rFonts w:ascii="Georgia" w:hAnsi="Georgia" w:cs="Arial"/>
          <w:i/>
          <w:iCs/>
          <w:sz w:val="22"/>
        </w:rPr>
        <w:t>(…)</w:t>
      </w:r>
      <w:r w:rsidRPr="00AF0F06">
        <w:rPr>
          <w:rFonts w:ascii="Georgia" w:hAnsi="Georgia" w:cs="Arial"/>
          <w:i/>
          <w:iCs/>
        </w:rPr>
        <w:t>”.</w:t>
      </w:r>
      <w:r w:rsidR="00D838F9" w:rsidRPr="00AF0F06">
        <w:rPr>
          <w:rFonts w:ascii="Georgia" w:hAnsi="Georgia" w:cs="Arial"/>
          <w:b/>
          <w:iCs/>
        </w:rPr>
        <w:t xml:space="preserve"> </w:t>
      </w:r>
      <w:r w:rsidRPr="00AF0F06">
        <w:rPr>
          <w:rFonts w:ascii="Georgia" w:hAnsi="Georgia" w:cs="Arial"/>
        </w:rPr>
        <w:t xml:space="preserve">Y enseguida refiere que, ante la falta de esos reparos, el juez de primera instancia debe declarar desierto el recurso, </w:t>
      </w:r>
      <w:r w:rsidRPr="00AF0F06">
        <w:rPr>
          <w:rFonts w:ascii="Georgia" w:hAnsi="Georgia" w:cs="Arial"/>
          <w:b/>
          <w:bCs/>
          <w:u w:val="single"/>
        </w:rPr>
        <w:t>así como cuando no fuere sustentado ante el superior</w:t>
      </w:r>
      <w:r w:rsidRPr="00AF0F06">
        <w:rPr>
          <w:rFonts w:ascii="Georgia" w:hAnsi="Georgia" w:cs="Arial"/>
        </w:rPr>
        <w:t xml:space="preserve">. </w:t>
      </w:r>
      <w:r w:rsidRPr="00AF0F06">
        <w:rPr>
          <w:rFonts w:ascii="Georgia" w:hAnsi="Georgia" w:cs="Arial"/>
          <w:i/>
          <w:iCs/>
        </w:rPr>
        <w:t xml:space="preserve"> </w:t>
      </w:r>
    </w:p>
    <w:p w14:paraId="645686D3" w14:textId="77777777" w:rsidR="003D663C" w:rsidRPr="00AF0F06" w:rsidRDefault="003D663C" w:rsidP="00AF0F06">
      <w:pPr>
        <w:spacing w:line="276" w:lineRule="auto"/>
        <w:jc w:val="both"/>
        <w:rPr>
          <w:rFonts w:ascii="Georgia" w:hAnsi="Georgia"/>
          <w:i/>
          <w:sz w:val="24"/>
          <w:szCs w:val="24"/>
        </w:rPr>
      </w:pPr>
    </w:p>
    <w:p w14:paraId="49A1207E" w14:textId="2A9C9789" w:rsidR="002C7ABF" w:rsidRPr="00AF0F06" w:rsidRDefault="003D663C" w:rsidP="00AF0F06">
      <w:pPr>
        <w:spacing w:line="276" w:lineRule="auto"/>
        <w:jc w:val="both"/>
        <w:rPr>
          <w:rFonts w:ascii="Georgia" w:hAnsi="Georgia" w:cs="Arial"/>
          <w:sz w:val="24"/>
          <w:szCs w:val="24"/>
        </w:rPr>
      </w:pPr>
      <w:r w:rsidRPr="00AF0F06">
        <w:rPr>
          <w:rFonts w:ascii="Georgia" w:hAnsi="Georgia" w:cs="Arial"/>
          <w:sz w:val="24"/>
          <w:szCs w:val="24"/>
        </w:rPr>
        <w:t xml:space="preserve">Acorde con lo anterior, </w:t>
      </w:r>
      <w:r w:rsidRPr="00AF0F06">
        <w:rPr>
          <w:rFonts w:ascii="Georgia" w:hAnsi="Georgia" w:cs="Arial"/>
          <w:sz w:val="24"/>
          <w:szCs w:val="24"/>
          <w:u w:val="single"/>
        </w:rPr>
        <w:t>fácil se concluye que e</w:t>
      </w:r>
      <w:r w:rsidR="143CAF6D" w:rsidRPr="00AF0F06">
        <w:rPr>
          <w:rFonts w:ascii="Georgia" w:hAnsi="Georgia" w:cs="Arial"/>
          <w:sz w:val="24"/>
          <w:szCs w:val="24"/>
          <w:u w:val="single"/>
        </w:rPr>
        <w:t>l</w:t>
      </w:r>
      <w:r w:rsidRPr="00AF0F06">
        <w:rPr>
          <w:rFonts w:ascii="Georgia" w:hAnsi="Georgia" w:cs="Arial"/>
          <w:sz w:val="24"/>
          <w:szCs w:val="24"/>
          <w:u w:val="single"/>
        </w:rPr>
        <w:t xml:space="preserve"> estatuto procesal </w:t>
      </w:r>
      <w:r w:rsidR="224CFBBF" w:rsidRPr="00AF0F06">
        <w:rPr>
          <w:rFonts w:ascii="Georgia" w:hAnsi="Georgia" w:cs="Arial"/>
          <w:sz w:val="24"/>
          <w:szCs w:val="24"/>
          <w:u w:val="single"/>
        </w:rPr>
        <w:t xml:space="preserve">dispone </w:t>
      </w:r>
      <w:r w:rsidRPr="00AF0F06">
        <w:rPr>
          <w:rFonts w:ascii="Georgia" w:hAnsi="Georgia" w:cs="Arial"/>
          <w:sz w:val="24"/>
          <w:szCs w:val="24"/>
          <w:u w:val="single"/>
        </w:rPr>
        <w:t>una nueva forma de sustentar el recurso</w:t>
      </w:r>
      <w:r w:rsidR="218E3285" w:rsidRPr="00AF0F06">
        <w:rPr>
          <w:rFonts w:ascii="Georgia" w:hAnsi="Georgia" w:cs="Arial"/>
          <w:sz w:val="24"/>
          <w:szCs w:val="24"/>
          <w:u w:val="single"/>
        </w:rPr>
        <w:t xml:space="preserve">, en dos </w:t>
      </w:r>
      <w:r w:rsidRPr="00AF0F06">
        <w:rPr>
          <w:rFonts w:ascii="Georgia" w:hAnsi="Georgia" w:cs="Arial"/>
          <w:sz w:val="24"/>
          <w:szCs w:val="24"/>
          <w:u w:val="single"/>
        </w:rPr>
        <w:t>estadios diferenciados para ese efecto</w:t>
      </w:r>
      <w:r w:rsidRPr="00AF0F06">
        <w:rPr>
          <w:rStyle w:val="Refdenotaalpie"/>
          <w:rFonts w:ascii="Georgia" w:hAnsi="Georgia"/>
          <w:sz w:val="24"/>
          <w:szCs w:val="24"/>
        </w:rPr>
        <w:footnoteReference w:id="11"/>
      </w:r>
      <w:r w:rsidRPr="00AF0F06">
        <w:rPr>
          <w:rFonts w:ascii="Georgia" w:hAnsi="Georgia" w:cs="Arial"/>
          <w:sz w:val="24"/>
          <w:szCs w:val="24"/>
          <w:vertAlign w:val="superscript"/>
        </w:rPr>
        <w:t>-</w:t>
      </w:r>
      <w:r w:rsidRPr="00AF0F06">
        <w:rPr>
          <w:rStyle w:val="Refdenotaalpie"/>
          <w:rFonts w:ascii="Georgia" w:hAnsi="Georgia" w:cs="Arial"/>
          <w:sz w:val="24"/>
          <w:szCs w:val="24"/>
        </w:rPr>
        <w:footnoteReference w:id="12"/>
      </w:r>
      <w:r w:rsidRPr="00AF0F06">
        <w:rPr>
          <w:rFonts w:ascii="Georgia" w:hAnsi="Georgia" w:cs="Arial"/>
          <w:sz w:val="24"/>
          <w:szCs w:val="24"/>
          <w:vertAlign w:val="superscript"/>
        </w:rPr>
        <w:t>-</w:t>
      </w:r>
      <w:r w:rsidRPr="00AF0F06">
        <w:rPr>
          <w:rStyle w:val="Refdenotaalpie"/>
          <w:rFonts w:ascii="Georgia" w:hAnsi="Georgia"/>
          <w:sz w:val="24"/>
          <w:szCs w:val="24"/>
        </w:rPr>
        <w:footnoteReference w:id="13"/>
      </w:r>
      <w:r w:rsidRPr="00AF0F06">
        <w:rPr>
          <w:rFonts w:ascii="Georgia" w:hAnsi="Georgia" w:cs="Arial"/>
          <w:sz w:val="24"/>
          <w:szCs w:val="24"/>
        </w:rPr>
        <w:t>, el primero ante el juez de primer grado, pues allí comienza el ejercicio</w:t>
      </w:r>
      <w:r w:rsidR="13CA3E88" w:rsidRPr="00AF0F06">
        <w:rPr>
          <w:rFonts w:ascii="Georgia" w:hAnsi="Georgia" w:cs="Arial"/>
          <w:sz w:val="24"/>
          <w:szCs w:val="24"/>
        </w:rPr>
        <w:t>,</w:t>
      </w:r>
      <w:r w:rsidRPr="00AF0F06">
        <w:rPr>
          <w:rFonts w:ascii="Georgia" w:hAnsi="Georgia" w:cs="Arial"/>
          <w:sz w:val="24"/>
          <w:szCs w:val="24"/>
        </w:rPr>
        <w:t xml:space="preserve"> señalándo</w:t>
      </w:r>
      <w:r w:rsidR="48641494" w:rsidRPr="00AF0F06">
        <w:rPr>
          <w:rFonts w:ascii="Georgia" w:hAnsi="Georgia" w:cs="Arial"/>
          <w:sz w:val="24"/>
          <w:szCs w:val="24"/>
        </w:rPr>
        <w:t>s</w:t>
      </w:r>
      <w:r w:rsidRPr="00AF0F06">
        <w:rPr>
          <w:rFonts w:ascii="Georgia" w:hAnsi="Georgia" w:cs="Arial"/>
          <w:sz w:val="24"/>
          <w:szCs w:val="24"/>
        </w:rPr>
        <w:t>e los reparos concretos que la parte tiene contra lo resuelto; y, el segundo ante el superior, dentro de la audiencia que se programe para sustentar (Según la norma anterior, sin la modificación temporal introducida por el Decreto Presidencial No.</w:t>
      </w:r>
      <w:r w:rsidR="004339DF">
        <w:rPr>
          <w:rFonts w:ascii="Georgia" w:hAnsi="Georgia" w:cs="Arial"/>
          <w:sz w:val="24"/>
          <w:szCs w:val="24"/>
        </w:rPr>
        <w:t xml:space="preserve"> </w:t>
      </w:r>
      <w:r w:rsidRPr="00AF0F06">
        <w:rPr>
          <w:rFonts w:ascii="Georgia" w:hAnsi="Georgia" w:cs="Arial"/>
          <w:sz w:val="24"/>
          <w:szCs w:val="24"/>
        </w:rPr>
        <w:t xml:space="preserve">806 de 2020), en la que no podrá excederse o desbordar los reparos propuestos ante el inferior (Artículo 327, CGP). </w:t>
      </w:r>
    </w:p>
    <w:p w14:paraId="0BB9CC97" w14:textId="77777777" w:rsidR="002C7ABF" w:rsidRPr="00AF0F06" w:rsidRDefault="002C7ABF" w:rsidP="00AF0F06">
      <w:pPr>
        <w:spacing w:line="276" w:lineRule="auto"/>
        <w:jc w:val="both"/>
        <w:rPr>
          <w:rFonts w:ascii="Georgia" w:hAnsi="Georgia" w:cs="Arial"/>
          <w:sz w:val="24"/>
          <w:szCs w:val="24"/>
        </w:rPr>
      </w:pPr>
    </w:p>
    <w:p w14:paraId="667F2D3C" w14:textId="2E1BECE7" w:rsidR="003D663C" w:rsidRPr="00AF0F06" w:rsidRDefault="02E5963A" w:rsidP="00AF0F06">
      <w:pPr>
        <w:spacing w:line="276" w:lineRule="auto"/>
        <w:jc w:val="both"/>
        <w:rPr>
          <w:rFonts w:ascii="Georgia" w:hAnsi="Georgia" w:cs="Arial"/>
          <w:sz w:val="24"/>
          <w:szCs w:val="24"/>
        </w:rPr>
      </w:pPr>
      <w:bookmarkStart w:id="5" w:name="_Hlk73608841"/>
      <w:r w:rsidRPr="00AF0F06">
        <w:rPr>
          <w:rFonts w:ascii="Georgia" w:hAnsi="Georgia" w:cs="Arial"/>
          <w:sz w:val="24"/>
          <w:szCs w:val="24"/>
          <w:u w:val="single"/>
        </w:rPr>
        <w:t xml:space="preserve">Con absoluta claridad gramatical </w:t>
      </w:r>
      <w:r w:rsidR="002C7ABF" w:rsidRPr="00AF0F06">
        <w:rPr>
          <w:rFonts w:ascii="Georgia" w:hAnsi="Georgia" w:cs="Arial"/>
          <w:sz w:val="24"/>
          <w:szCs w:val="24"/>
          <w:u w:val="single"/>
        </w:rPr>
        <w:t xml:space="preserve">el </w:t>
      </w:r>
      <w:r w:rsidR="00D838F9" w:rsidRPr="00AF0F06">
        <w:rPr>
          <w:rFonts w:ascii="Georgia" w:hAnsi="Georgia" w:cs="Arial"/>
          <w:sz w:val="24"/>
          <w:szCs w:val="24"/>
          <w:u w:val="single"/>
        </w:rPr>
        <w:t xml:space="preserve">artículo 322-3° establece </w:t>
      </w:r>
      <w:r w:rsidR="00D45CED" w:rsidRPr="00AF0F06">
        <w:rPr>
          <w:rFonts w:ascii="Georgia" w:hAnsi="Georgia" w:cs="Arial"/>
          <w:sz w:val="24"/>
          <w:szCs w:val="24"/>
          <w:u w:val="single"/>
        </w:rPr>
        <w:t>tres (</w:t>
      </w:r>
      <w:r w:rsidR="00D838F9" w:rsidRPr="00AF0F06">
        <w:rPr>
          <w:rFonts w:ascii="Georgia" w:hAnsi="Georgia" w:cs="Arial"/>
          <w:sz w:val="24"/>
          <w:szCs w:val="24"/>
          <w:u w:val="single"/>
        </w:rPr>
        <w:t>3</w:t>
      </w:r>
      <w:r w:rsidR="00D45CED" w:rsidRPr="00AF0F06">
        <w:rPr>
          <w:rFonts w:ascii="Georgia" w:hAnsi="Georgia" w:cs="Arial"/>
          <w:sz w:val="24"/>
          <w:szCs w:val="24"/>
          <w:u w:val="single"/>
        </w:rPr>
        <w:t>)</w:t>
      </w:r>
      <w:r w:rsidR="00D838F9" w:rsidRPr="00AF0F06">
        <w:rPr>
          <w:rFonts w:ascii="Georgia" w:hAnsi="Georgia" w:cs="Arial"/>
          <w:sz w:val="24"/>
          <w:szCs w:val="24"/>
          <w:u w:val="single"/>
        </w:rPr>
        <w:t xml:space="preserve"> días para formular los reparos,</w:t>
      </w:r>
      <w:r w:rsidR="00D838F9" w:rsidRPr="00AF0F06">
        <w:rPr>
          <w:rFonts w:ascii="Georgia" w:hAnsi="Georgia" w:cs="Arial"/>
          <w:sz w:val="24"/>
          <w:szCs w:val="24"/>
        </w:rPr>
        <w:t xml:space="preserve"> </w:t>
      </w:r>
      <w:r w:rsidR="00D838F9" w:rsidRPr="00AF0F06">
        <w:rPr>
          <w:rFonts w:ascii="Georgia" w:hAnsi="Georgia" w:cs="Arial"/>
          <w:b/>
          <w:bCs/>
          <w:sz w:val="24"/>
          <w:szCs w:val="24"/>
        </w:rPr>
        <w:t>no para sustentar</w:t>
      </w:r>
      <w:r w:rsidR="00D838F9" w:rsidRPr="00AF0F06">
        <w:rPr>
          <w:rFonts w:ascii="Georgia" w:hAnsi="Georgia" w:cs="Arial"/>
          <w:sz w:val="24"/>
          <w:szCs w:val="24"/>
        </w:rPr>
        <w:t>, como malentiende el recurrente</w:t>
      </w:r>
      <w:r w:rsidR="14C5E892" w:rsidRPr="00AF0F06">
        <w:rPr>
          <w:rFonts w:ascii="Georgia" w:hAnsi="Georgia" w:cs="Arial"/>
          <w:sz w:val="24"/>
          <w:szCs w:val="24"/>
        </w:rPr>
        <w:t>;</w:t>
      </w:r>
      <w:r w:rsidR="002C7ABF" w:rsidRPr="00AF0F06">
        <w:rPr>
          <w:rFonts w:ascii="Georgia" w:hAnsi="Georgia" w:cs="Arial"/>
          <w:sz w:val="24"/>
          <w:szCs w:val="24"/>
        </w:rPr>
        <w:t xml:space="preserve"> se itera, SON DOS FASES PLENAMENTE DIFERENCIADAS</w:t>
      </w:r>
      <w:bookmarkEnd w:id="5"/>
      <w:r w:rsidR="002C7ABF" w:rsidRPr="00AF0F06">
        <w:rPr>
          <w:rFonts w:ascii="Georgia" w:hAnsi="Georgia" w:cs="Arial"/>
          <w:sz w:val="24"/>
          <w:szCs w:val="24"/>
        </w:rPr>
        <w:t>.</w:t>
      </w:r>
      <w:r w:rsidR="00D838F9" w:rsidRPr="00AF0F06">
        <w:rPr>
          <w:rFonts w:ascii="Georgia" w:hAnsi="Georgia" w:cs="Arial"/>
          <w:sz w:val="24"/>
          <w:szCs w:val="24"/>
        </w:rPr>
        <w:t xml:space="preserve"> </w:t>
      </w:r>
      <w:r w:rsidR="003D663C" w:rsidRPr="00AF0F06">
        <w:rPr>
          <w:rFonts w:ascii="Georgia" w:hAnsi="Georgia" w:cs="Arial"/>
          <w:sz w:val="24"/>
          <w:szCs w:val="24"/>
        </w:rPr>
        <w:t>Sobre el punto, útiles las palabras del profesor Rojas G.</w:t>
      </w:r>
      <w:r w:rsidR="003D663C" w:rsidRPr="00AF0F06">
        <w:rPr>
          <w:rStyle w:val="Refdenotaalpie"/>
          <w:rFonts w:ascii="Georgia" w:hAnsi="Georgia"/>
          <w:sz w:val="24"/>
          <w:szCs w:val="24"/>
        </w:rPr>
        <w:footnoteReference w:id="14"/>
      </w:r>
      <w:r w:rsidR="003D663C" w:rsidRPr="00AF0F06">
        <w:rPr>
          <w:rFonts w:ascii="Georgia" w:hAnsi="Georgia" w:cs="Arial"/>
          <w:sz w:val="24"/>
          <w:szCs w:val="24"/>
        </w:rPr>
        <w:t xml:space="preserve">: </w:t>
      </w:r>
    </w:p>
    <w:p w14:paraId="37F735CF" w14:textId="77777777" w:rsidR="003D663C" w:rsidRPr="00AF0F06" w:rsidRDefault="003D663C" w:rsidP="00AF0F06">
      <w:pPr>
        <w:pStyle w:val="Sinespaciado"/>
        <w:spacing w:line="276" w:lineRule="auto"/>
        <w:jc w:val="both"/>
        <w:rPr>
          <w:rFonts w:ascii="Georgia" w:hAnsi="Georgia" w:cs="Arial"/>
        </w:rPr>
      </w:pPr>
    </w:p>
    <w:p w14:paraId="21D805F7" w14:textId="77777777" w:rsidR="003D663C" w:rsidRPr="007D45EA" w:rsidRDefault="003D663C" w:rsidP="007D45EA">
      <w:pPr>
        <w:pStyle w:val="Sinespaciado"/>
        <w:ind w:left="426" w:right="418"/>
        <w:jc w:val="both"/>
        <w:rPr>
          <w:rFonts w:ascii="Georgia" w:hAnsi="Georgia" w:cs="Arial"/>
          <w:sz w:val="22"/>
        </w:rPr>
      </w:pPr>
      <w:r w:rsidRPr="007D45EA">
        <w:rPr>
          <w:rFonts w:ascii="Georgia" w:hAnsi="Georgia" w:cs="Arial"/>
          <w:sz w:val="22"/>
        </w:rPr>
        <w:t xml:space="preserve">Cuando se trate de </w:t>
      </w:r>
      <w:r w:rsidRPr="007D45EA">
        <w:rPr>
          <w:rFonts w:ascii="Georgia" w:hAnsi="Georgia" w:cs="Arial"/>
          <w:sz w:val="22"/>
          <w:u w:val="single"/>
        </w:rPr>
        <w:t>apelación de sentencia la sustentación</w:t>
      </w:r>
      <w:r w:rsidRPr="007D45EA">
        <w:rPr>
          <w:rFonts w:ascii="Georgia" w:hAnsi="Georgia" w:cs="Arial"/>
          <w:sz w:val="22"/>
        </w:rPr>
        <w:t xml:space="preserve"> se debe realizar mediante </w:t>
      </w:r>
      <w:r w:rsidRPr="007D45EA">
        <w:rPr>
          <w:rFonts w:ascii="Georgia" w:hAnsi="Georgia" w:cs="Arial"/>
          <w:sz w:val="22"/>
          <w:u w:val="single"/>
        </w:rPr>
        <w:t>dos actos en momentos distintos</w:t>
      </w:r>
      <w:r w:rsidRPr="007D45EA">
        <w:rPr>
          <w:rFonts w:ascii="Georgia" w:hAnsi="Georgia" w:cs="Arial"/>
          <w:sz w:val="22"/>
        </w:rPr>
        <w:t>, así:</w:t>
      </w:r>
    </w:p>
    <w:p w14:paraId="77699E4F" w14:textId="77777777" w:rsidR="003D663C" w:rsidRPr="007D45EA" w:rsidRDefault="003D663C" w:rsidP="007D45EA">
      <w:pPr>
        <w:pStyle w:val="Sinespaciado"/>
        <w:ind w:left="426" w:right="418"/>
        <w:jc w:val="both"/>
        <w:rPr>
          <w:rFonts w:ascii="Georgia" w:hAnsi="Georgia" w:cs="Arial"/>
          <w:sz w:val="22"/>
        </w:rPr>
      </w:pPr>
    </w:p>
    <w:p w14:paraId="29EB24C7" w14:textId="77777777" w:rsidR="003D663C" w:rsidRPr="007D45EA" w:rsidRDefault="003D663C" w:rsidP="007D45EA">
      <w:pPr>
        <w:pStyle w:val="Sinespaciado"/>
        <w:numPr>
          <w:ilvl w:val="0"/>
          <w:numId w:val="18"/>
        </w:numPr>
        <w:ind w:left="426" w:right="418"/>
        <w:jc w:val="both"/>
        <w:rPr>
          <w:rFonts w:ascii="Georgia" w:hAnsi="Georgia" w:cs="Arial"/>
          <w:sz w:val="22"/>
        </w:rPr>
      </w:pPr>
      <w:r w:rsidRPr="007D45EA">
        <w:rPr>
          <w:rFonts w:ascii="Georgia" w:hAnsi="Georgia" w:cs="Arial"/>
          <w:sz w:val="22"/>
        </w:rPr>
        <w:t>La exposición breve y precisa de los reparos contra el fallo. Se trata de enunciar ante el juez de primera instancia las razones por las que se cuestiona la providencia (…).</w:t>
      </w:r>
    </w:p>
    <w:p w14:paraId="3CEEA54F" w14:textId="77777777" w:rsidR="003D663C" w:rsidRPr="007D45EA" w:rsidRDefault="003D663C" w:rsidP="007D45EA">
      <w:pPr>
        <w:pStyle w:val="Sinespaciado"/>
        <w:ind w:left="426" w:right="418"/>
        <w:jc w:val="both"/>
        <w:rPr>
          <w:rFonts w:ascii="Georgia" w:hAnsi="Georgia" w:cs="Arial"/>
          <w:sz w:val="22"/>
        </w:rPr>
      </w:pPr>
    </w:p>
    <w:p w14:paraId="2A489853" w14:textId="77777777" w:rsidR="003D663C" w:rsidRPr="007D45EA" w:rsidRDefault="003D663C" w:rsidP="007D45EA">
      <w:pPr>
        <w:pStyle w:val="Sinespaciado"/>
        <w:ind w:left="426" w:right="418"/>
        <w:jc w:val="both"/>
        <w:rPr>
          <w:rFonts w:ascii="Georgia" w:hAnsi="Georgia" w:cs="Arial"/>
          <w:sz w:val="22"/>
        </w:rPr>
      </w:pPr>
      <w:r w:rsidRPr="007D45EA">
        <w:rPr>
          <w:rFonts w:ascii="Georgia" w:hAnsi="Georgia" w:cs="Arial"/>
          <w:sz w:val="22"/>
        </w:rPr>
        <w:t xml:space="preserve">2. </w:t>
      </w:r>
      <w:r w:rsidRPr="007D45EA">
        <w:rPr>
          <w:rFonts w:ascii="Georgia" w:hAnsi="Georgia" w:cs="Arial"/>
          <w:sz w:val="22"/>
          <w:u w:val="single"/>
        </w:rPr>
        <w:t>La sustentación propiamente dicha</w:t>
      </w:r>
      <w:r w:rsidRPr="007D45EA">
        <w:rPr>
          <w:rFonts w:ascii="Georgia" w:hAnsi="Georgia" w:cs="Arial"/>
          <w:sz w:val="22"/>
        </w:rPr>
        <w:t>. Consiste en el alegato que debe hacer el apelante ante el juez de segunda instancia (CGP, art.327-2), con exposición detallada y concreta de los reparos expresados ante el juez de primera, y sin la posibilidad de formular nuevos cuestionamientos (CGP, art.327-3).</w:t>
      </w:r>
    </w:p>
    <w:p w14:paraId="3E086CB6" w14:textId="77777777" w:rsidR="003D663C" w:rsidRPr="007D45EA" w:rsidRDefault="003D663C" w:rsidP="007D45EA">
      <w:pPr>
        <w:pStyle w:val="Sinespaciado"/>
        <w:ind w:left="426" w:right="418"/>
        <w:jc w:val="both"/>
        <w:rPr>
          <w:rFonts w:ascii="Georgia" w:hAnsi="Georgia" w:cs="Arial"/>
          <w:sz w:val="22"/>
        </w:rPr>
      </w:pPr>
    </w:p>
    <w:p w14:paraId="643F63AC" w14:textId="77777777" w:rsidR="003D663C" w:rsidRPr="007D45EA" w:rsidRDefault="003D663C" w:rsidP="007D45EA">
      <w:pPr>
        <w:pStyle w:val="Sinespaciado"/>
        <w:ind w:left="426" w:right="418"/>
        <w:jc w:val="both"/>
        <w:rPr>
          <w:rFonts w:ascii="Georgia" w:hAnsi="Georgia" w:cs="Arial"/>
          <w:sz w:val="22"/>
        </w:rPr>
      </w:pPr>
      <w:r w:rsidRPr="007D45EA">
        <w:rPr>
          <w:rFonts w:ascii="Georgia" w:hAnsi="Georgia" w:cs="Arial"/>
          <w:sz w:val="22"/>
        </w:rPr>
        <w:lastRenderedPageBreak/>
        <w:t xml:space="preserve">Omitir cualquiera de los dos actos que integran la sustentación de la apelación interpuesta contra la sentencia obliga al juez a declarar desierto el recurso. Si lo que se omite es el primer acto, la </w:t>
      </w:r>
      <w:r w:rsidRPr="007D45EA">
        <w:rPr>
          <w:rFonts w:ascii="Georgia" w:hAnsi="Georgia" w:cs="Arial"/>
          <w:sz w:val="22"/>
          <w:u w:val="single"/>
        </w:rPr>
        <w:t>deserción</w:t>
      </w:r>
      <w:r w:rsidRPr="007D45EA">
        <w:rPr>
          <w:rFonts w:ascii="Georgia" w:hAnsi="Georgia" w:cs="Arial"/>
          <w:sz w:val="22"/>
        </w:rPr>
        <w:t xml:space="preserve"> debe ser declarada por el juez de primera instancia; de omitirse el segundo, corresponde al superior declararla (CGP, art.322-4). </w:t>
      </w:r>
    </w:p>
    <w:p w14:paraId="322365E9" w14:textId="77777777" w:rsidR="00806789" w:rsidRPr="00AF0F06" w:rsidRDefault="00806789" w:rsidP="00AF0F06">
      <w:pPr>
        <w:pStyle w:val="Sinespaciado"/>
        <w:spacing w:line="276" w:lineRule="auto"/>
        <w:jc w:val="both"/>
        <w:rPr>
          <w:rFonts w:ascii="Georgia" w:hAnsi="Georgia" w:cs="Arial"/>
        </w:rPr>
      </w:pPr>
    </w:p>
    <w:p w14:paraId="58D1F9B4" w14:textId="0DB9CD50" w:rsidR="003D663C" w:rsidRPr="00AF0F06" w:rsidRDefault="003D663C" w:rsidP="00AF0F06">
      <w:pPr>
        <w:pStyle w:val="Sinespaciado"/>
        <w:spacing w:line="276" w:lineRule="auto"/>
        <w:jc w:val="both"/>
        <w:rPr>
          <w:rFonts w:ascii="Georgia" w:hAnsi="Georgia" w:cs="Arial"/>
        </w:rPr>
      </w:pPr>
      <w:r w:rsidRPr="00AF0F06">
        <w:rPr>
          <w:rFonts w:ascii="Georgia" w:hAnsi="Georgia" w:cs="Arial"/>
        </w:rPr>
        <w:t xml:space="preserve">Este discernimiento es compartido por la Sala Civil de la CSJ, </w:t>
      </w:r>
      <w:r w:rsidR="461CB06A" w:rsidRPr="00AF0F06">
        <w:rPr>
          <w:rFonts w:ascii="Georgia" w:hAnsi="Georgia" w:cs="Arial"/>
        </w:rPr>
        <w:t xml:space="preserve">en sede </w:t>
      </w:r>
      <w:r w:rsidR="007D45EA" w:rsidRPr="00AF0F06">
        <w:rPr>
          <w:rFonts w:ascii="Georgia" w:hAnsi="Georgia" w:cs="Arial"/>
        </w:rPr>
        <w:t>constitucional, quien</w:t>
      </w:r>
      <w:r w:rsidRPr="00AF0F06">
        <w:rPr>
          <w:rFonts w:ascii="Georgia" w:hAnsi="Georgia" w:cs="Arial"/>
        </w:rPr>
        <w:t xml:space="preserve"> en sinnúmero de sentencias de tutela</w:t>
      </w:r>
      <w:r w:rsidRPr="00AF0F06">
        <w:rPr>
          <w:rStyle w:val="Refdenotaalpie"/>
          <w:rFonts w:ascii="Georgia" w:hAnsi="Georgia"/>
        </w:rPr>
        <w:footnoteReference w:id="15"/>
      </w:r>
      <w:r w:rsidRPr="00AF0F06">
        <w:rPr>
          <w:rFonts w:ascii="Georgia" w:hAnsi="Georgia" w:cs="Arial"/>
        </w:rPr>
        <w:t xml:space="preserve"> (Criterio auxiliar), ha insistido en </w:t>
      </w:r>
      <w:r w:rsidRPr="00AF0F06">
        <w:rPr>
          <w:rFonts w:ascii="Georgia" w:hAnsi="Georgia" w:cs="Arial"/>
          <w:i/>
          <w:iCs/>
        </w:rPr>
        <w:t>la existencia de esas dos fases para la sustentación del recurso de apelación</w:t>
      </w:r>
      <w:r w:rsidRPr="00AF0F06">
        <w:rPr>
          <w:rFonts w:ascii="Georgia" w:hAnsi="Georgia" w:cs="Arial"/>
        </w:rPr>
        <w:t xml:space="preserve"> y que, </w:t>
      </w:r>
      <w:r w:rsidRPr="00AF0F06">
        <w:rPr>
          <w:rFonts w:ascii="Georgia" w:hAnsi="Georgia" w:cs="Arial"/>
          <w:u w:val="single"/>
        </w:rPr>
        <w:t xml:space="preserve">incumplida la segunda, esto es, la </w:t>
      </w:r>
      <w:r w:rsidRPr="00AF0F06">
        <w:rPr>
          <w:rFonts w:ascii="Georgia" w:hAnsi="Georgia" w:cs="Arial"/>
          <w:b/>
          <w:bCs/>
          <w:u w:val="single"/>
        </w:rPr>
        <w:t>exposición ante el superior</w:t>
      </w:r>
      <w:r w:rsidRPr="00AF0F06">
        <w:rPr>
          <w:rFonts w:ascii="Georgia" w:hAnsi="Georgia" w:cs="Arial"/>
          <w:u w:val="single"/>
        </w:rPr>
        <w:t>, se impone la declaratoria de deserción.</w:t>
      </w:r>
      <w:r w:rsidRPr="00AF0F06">
        <w:rPr>
          <w:rFonts w:ascii="Georgia" w:hAnsi="Georgia" w:cs="Arial"/>
        </w:rPr>
        <w:t xml:space="preserve"> Así recordó, recientemente (2020)</w:t>
      </w:r>
      <w:r w:rsidRPr="00AF0F06">
        <w:rPr>
          <w:rStyle w:val="Refdenotaalpie"/>
          <w:rFonts w:ascii="Georgia" w:hAnsi="Georgia"/>
        </w:rPr>
        <w:footnoteReference w:id="16"/>
      </w:r>
      <w:r w:rsidRPr="00AF0F06">
        <w:rPr>
          <w:rFonts w:ascii="Georgia" w:hAnsi="Georgia" w:cs="Arial"/>
        </w:rPr>
        <w:t>:</w:t>
      </w:r>
      <w:r w:rsidR="00386189" w:rsidRPr="00AF0F06">
        <w:rPr>
          <w:rFonts w:ascii="Georgia" w:hAnsi="Georgia" w:cs="Arial"/>
        </w:rPr>
        <w:t xml:space="preserve"> </w:t>
      </w:r>
      <w:r w:rsidR="00386189" w:rsidRPr="00AF0F06">
        <w:rPr>
          <w:rFonts w:ascii="Georgia" w:hAnsi="Georgia" w:cs="Arial"/>
          <w:i/>
          <w:iCs/>
        </w:rPr>
        <w:t>“</w:t>
      </w:r>
      <w:r w:rsidR="00386189" w:rsidRPr="007D45EA">
        <w:rPr>
          <w:rFonts w:ascii="Georgia" w:hAnsi="Georgia" w:cs="Arial"/>
          <w:i/>
          <w:iCs/>
          <w:sz w:val="22"/>
        </w:rPr>
        <w:t>(</w:t>
      </w:r>
      <w:r w:rsidRPr="007D45EA">
        <w:rPr>
          <w:rFonts w:ascii="Georgia" w:hAnsi="Georgia" w:cs="Arial"/>
          <w:i/>
          <w:iCs/>
          <w:sz w:val="22"/>
          <w:lang w:eastAsia="es-CO"/>
        </w:rPr>
        <w:t>…</w:t>
      </w:r>
      <w:r w:rsidR="00386189" w:rsidRPr="007D45EA">
        <w:rPr>
          <w:rFonts w:ascii="Georgia" w:hAnsi="Georgia" w:cs="Arial"/>
          <w:i/>
          <w:iCs/>
          <w:sz w:val="22"/>
          <w:lang w:eastAsia="es-CO"/>
        </w:rPr>
        <w:t>)</w:t>
      </w:r>
      <w:r w:rsidRPr="007D45EA">
        <w:rPr>
          <w:rFonts w:ascii="Georgia" w:hAnsi="Georgia" w:cs="Arial"/>
          <w:i/>
          <w:iCs/>
          <w:sz w:val="22"/>
          <w:lang w:eastAsia="es-CO"/>
        </w:rPr>
        <w:t xml:space="preserve"> esta Sala de Casación, (…) según la normativa pertinente, </w:t>
      </w:r>
      <w:r w:rsidRPr="007D45EA">
        <w:rPr>
          <w:rFonts w:ascii="Georgia" w:hAnsi="Georgia" w:cs="Arial"/>
          <w:i/>
          <w:iCs/>
          <w:sz w:val="22"/>
        </w:rPr>
        <w:t xml:space="preserve">quien apela una sentencia no sólo debe aducir ante el juez de primer grado los breves y concretos reparos que genera su inconformidad, </w:t>
      </w:r>
      <w:r w:rsidRPr="007D45EA">
        <w:rPr>
          <w:rFonts w:ascii="Georgia" w:hAnsi="Georgia" w:cs="Arial"/>
          <w:b/>
          <w:bCs/>
          <w:i/>
          <w:iCs/>
          <w:sz w:val="22"/>
        </w:rPr>
        <w:t>sino acudir ante el superior para sustentar el recurso apoyándose en esos puntuales cuestionamientos</w:t>
      </w:r>
      <w:r w:rsidR="00386189" w:rsidRPr="007D45EA">
        <w:rPr>
          <w:rFonts w:ascii="Georgia" w:hAnsi="Georgia" w:cs="Arial"/>
          <w:b/>
          <w:bCs/>
          <w:sz w:val="22"/>
        </w:rPr>
        <w:t xml:space="preserve"> </w:t>
      </w:r>
      <w:r w:rsidR="00386189" w:rsidRPr="007D45EA">
        <w:rPr>
          <w:rFonts w:ascii="Georgia" w:hAnsi="Georgia" w:cs="Arial"/>
          <w:sz w:val="22"/>
        </w:rPr>
        <w:t>(…)</w:t>
      </w:r>
      <w:r w:rsidR="00386189" w:rsidRPr="00AF0F06">
        <w:rPr>
          <w:rFonts w:ascii="Georgia" w:hAnsi="Georgia" w:cs="Arial"/>
        </w:rPr>
        <w:t xml:space="preserve">” </w:t>
      </w:r>
      <w:r w:rsidRPr="00AF0F06">
        <w:rPr>
          <w:rFonts w:ascii="Georgia" w:hAnsi="Georgia" w:cs="Arial"/>
        </w:rPr>
        <w:t>(Negrillas fuera de texto propias).</w:t>
      </w:r>
    </w:p>
    <w:p w14:paraId="0A6565AE" w14:textId="77777777" w:rsidR="003D663C" w:rsidRPr="00AF0F06" w:rsidRDefault="003D663C" w:rsidP="00AF0F06">
      <w:pPr>
        <w:pStyle w:val="Sinespaciado"/>
        <w:spacing w:line="276" w:lineRule="auto"/>
        <w:jc w:val="both"/>
        <w:rPr>
          <w:rFonts w:ascii="Georgia" w:hAnsi="Georgia" w:cs="Arial"/>
        </w:rPr>
      </w:pPr>
    </w:p>
    <w:p w14:paraId="6EFA7E47" w14:textId="602279D7" w:rsidR="003D663C" w:rsidRPr="00AF0F06" w:rsidRDefault="003D663C" w:rsidP="00AF0F06">
      <w:pPr>
        <w:spacing w:line="276" w:lineRule="auto"/>
        <w:jc w:val="both"/>
        <w:rPr>
          <w:rFonts w:ascii="Georgia" w:eastAsia="Georgia" w:hAnsi="Georgia" w:cs="Georgia"/>
          <w:sz w:val="24"/>
          <w:szCs w:val="24"/>
          <w:lang w:eastAsia="x-none"/>
        </w:rPr>
      </w:pPr>
      <w:r w:rsidRPr="00AF0F06">
        <w:rPr>
          <w:rFonts w:ascii="Georgia" w:hAnsi="Georgia" w:cs="Arial"/>
          <w:sz w:val="24"/>
          <w:szCs w:val="24"/>
        </w:rPr>
        <w:t>Y en otro pronunciamiento, también de</w:t>
      </w:r>
      <w:r w:rsidR="00FC71C5" w:rsidRPr="00AF0F06">
        <w:rPr>
          <w:rFonts w:ascii="Georgia" w:hAnsi="Georgia" w:cs="Arial"/>
          <w:sz w:val="24"/>
          <w:szCs w:val="24"/>
        </w:rPr>
        <w:t>l año anterior</w:t>
      </w:r>
      <w:r w:rsidRPr="00AF0F06">
        <w:rPr>
          <w:rStyle w:val="Refdenotaalpie"/>
          <w:rFonts w:ascii="Georgia" w:hAnsi="Georgia"/>
          <w:sz w:val="24"/>
          <w:szCs w:val="24"/>
        </w:rPr>
        <w:footnoteReference w:id="17"/>
      </w:r>
      <w:r w:rsidRPr="00AF0F06">
        <w:rPr>
          <w:rFonts w:ascii="Georgia" w:hAnsi="Georgia" w:cs="Arial"/>
          <w:sz w:val="24"/>
          <w:szCs w:val="24"/>
        </w:rPr>
        <w:t xml:space="preserve">, afirmó: </w:t>
      </w:r>
      <w:r w:rsidRPr="00AF0F06">
        <w:rPr>
          <w:rFonts w:ascii="Georgia" w:hAnsi="Georgia" w:cs="Arial"/>
          <w:i/>
          <w:iCs/>
          <w:sz w:val="24"/>
          <w:szCs w:val="24"/>
        </w:rPr>
        <w:t>“</w:t>
      </w:r>
      <w:r w:rsidRPr="007D45EA">
        <w:rPr>
          <w:rFonts w:ascii="Georgia" w:hAnsi="Georgia" w:cs="Arial"/>
          <w:i/>
          <w:iCs/>
          <w:sz w:val="22"/>
          <w:szCs w:val="24"/>
        </w:rPr>
        <w:t>(…) Valga reiterar que no es dable confundir la etapa de presentación de reparos con la de sustentación del recurso, ya que: «Aceptar entonces que los reparos concretos aducidos ante el a quo al formularse la alzada contra una sentencia son suficientes y que puede soslayarse la sustentación oral ante el superior, impuesta en el canon 322 del Código General del Proceso, contradice los postulados en mención y, de contera, el principio democrático representativo, según el cual es el Congreso de la República, revestido de una amplia potestad legislativa, el competente para regular los procedimientos judiciales (art. 150, C.P.)» (CSJ S</w:t>
      </w:r>
      <w:r w:rsidRPr="007D45EA">
        <w:rPr>
          <w:rFonts w:ascii="Georgia" w:eastAsia="Calibri" w:hAnsi="Georgia" w:cs="Arial"/>
          <w:i/>
          <w:iCs/>
          <w:sz w:val="22"/>
          <w:szCs w:val="24"/>
        </w:rPr>
        <w:t xml:space="preserve">TC10405-2017, 19 jul. 2017, rad. </w:t>
      </w:r>
      <w:r w:rsidRPr="007D45EA">
        <w:rPr>
          <w:rFonts w:ascii="Georgia" w:eastAsia="Calibri" w:hAnsi="Georgia" w:cs="Arial"/>
          <w:i/>
          <w:iCs/>
          <w:sz w:val="22"/>
          <w:szCs w:val="24"/>
          <w:lang w:eastAsia="x-none"/>
        </w:rPr>
        <w:t>01656-00) (…)</w:t>
      </w:r>
      <w:r w:rsidRPr="00AF0F06">
        <w:rPr>
          <w:rFonts w:ascii="Georgia" w:eastAsia="Calibri" w:hAnsi="Georgia" w:cs="Arial"/>
          <w:i/>
          <w:iCs/>
          <w:sz w:val="24"/>
          <w:szCs w:val="24"/>
          <w:lang w:eastAsia="x-none"/>
        </w:rPr>
        <w:t>”</w:t>
      </w:r>
      <w:r w:rsidRPr="00AF0F06">
        <w:rPr>
          <w:rFonts w:ascii="Georgia" w:eastAsia="Calibri" w:hAnsi="Georgia" w:cs="Arial"/>
          <w:sz w:val="24"/>
          <w:szCs w:val="24"/>
          <w:lang w:eastAsia="x-none"/>
        </w:rPr>
        <w:t>.</w:t>
      </w:r>
      <w:r w:rsidR="26F90DD6" w:rsidRPr="00AF0F06">
        <w:rPr>
          <w:rFonts w:ascii="Georgia" w:eastAsia="Calibri" w:hAnsi="Georgia" w:cs="Arial"/>
          <w:sz w:val="24"/>
          <w:szCs w:val="24"/>
          <w:lang w:eastAsia="x-none"/>
        </w:rPr>
        <w:t xml:space="preserve"> </w:t>
      </w:r>
      <w:r w:rsidR="26F90DD6" w:rsidRPr="00AF0F06">
        <w:rPr>
          <w:rFonts w:ascii="Georgia" w:eastAsia="Georgia" w:hAnsi="Georgia" w:cs="Georgia"/>
          <w:sz w:val="24"/>
          <w:szCs w:val="24"/>
          <w:lang w:eastAsia="x-none"/>
        </w:rPr>
        <w:t>Resaltado en azul de esta Sala.</w:t>
      </w:r>
    </w:p>
    <w:p w14:paraId="25A924D8" w14:textId="77777777" w:rsidR="00B0378B" w:rsidRPr="00AF0F06" w:rsidRDefault="00B0378B" w:rsidP="00AF0F06">
      <w:pPr>
        <w:spacing w:line="276" w:lineRule="auto"/>
        <w:jc w:val="both"/>
        <w:rPr>
          <w:rFonts w:ascii="Georgia" w:eastAsia="Calibri" w:hAnsi="Georgia" w:cs="Arial"/>
          <w:sz w:val="24"/>
          <w:szCs w:val="24"/>
          <w:lang w:eastAsia="x-none"/>
        </w:rPr>
      </w:pPr>
    </w:p>
    <w:p w14:paraId="19AD75F5" w14:textId="22EB0FD2" w:rsidR="005A2B7C" w:rsidRPr="00AF0F06" w:rsidRDefault="005A2B7C" w:rsidP="00AF0F06">
      <w:pPr>
        <w:spacing w:line="276" w:lineRule="auto"/>
        <w:jc w:val="both"/>
        <w:rPr>
          <w:rFonts w:ascii="Georgia" w:eastAsia="Calibri" w:hAnsi="Georgia" w:cs="Arial"/>
          <w:sz w:val="24"/>
          <w:szCs w:val="24"/>
          <w:lang w:eastAsia="x-none"/>
        </w:rPr>
      </w:pPr>
      <w:r w:rsidRPr="00AF0F06">
        <w:rPr>
          <w:rFonts w:ascii="Georgia" w:eastAsia="Calibri" w:hAnsi="Georgia" w:cs="Arial"/>
          <w:sz w:val="24"/>
          <w:szCs w:val="24"/>
          <w:lang w:eastAsia="x-none"/>
        </w:rPr>
        <w:t>De ese mismo criterio es la Corte Constitucional (2019)</w:t>
      </w:r>
      <w:r w:rsidRPr="00AF0F06">
        <w:rPr>
          <w:rStyle w:val="Refdenotaalpie"/>
          <w:rFonts w:ascii="Georgia" w:eastAsia="Calibri" w:hAnsi="Georgia"/>
          <w:sz w:val="24"/>
          <w:szCs w:val="24"/>
          <w:lang w:eastAsia="x-none"/>
        </w:rPr>
        <w:footnoteReference w:id="18"/>
      </w:r>
      <w:r w:rsidRPr="00AF0F06">
        <w:rPr>
          <w:rFonts w:ascii="Georgia" w:eastAsia="Calibri" w:hAnsi="Georgia" w:cs="Arial"/>
          <w:sz w:val="24"/>
          <w:szCs w:val="24"/>
          <w:lang w:eastAsia="x-none"/>
        </w:rPr>
        <w:t>, y la CSJ</w:t>
      </w:r>
      <w:r w:rsidR="3B55DA3B" w:rsidRPr="00AF0F06">
        <w:rPr>
          <w:rFonts w:ascii="Georgia" w:eastAsia="Calibri" w:hAnsi="Georgia" w:cs="Arial"/>
          <w:sz w:val="24"/>
          <w:szCs w:val="24"/>
          <w:lang w:eastAsia="x-none"/>
        </w:rPr>
        <w:t xml:space="preserve"> (2020)</w:t>
      </w:r>
      <w:r w:rsidRPr="00AF0F06">
        <w:rPr>
          <w:rStyle w:val="Refdenotaalpie"/>
          <w:rFonts w:ascii="Georgia" w:eastAsia="Calibri" w:hAnsi="Georgia"/>
          <w:sz w:val="24"/>
          <w:szCs w:val="24"/>
          <w:lang w:eastAsia="x-none"/>
        </w:rPr>
        <w:footnoteReference w:id="19"/>
      </w:r>
      <w:r w:rsidRPr="00AF0F06">
        <w:rPr>
          <w:rFonts w:ascii="Georgia" w:eastAsia="Calibri" w:hAnsi="Georgia" w:cs="Arial"/>
          <w:sz w:val="24"/>
          <w:szCs w:val="24"/>
          <w:lang w:eastAsia="x-none"/>
        </w:rPr>
        <w:t>, apoyada en su doctrina, explicó con claridad:</w:t>
      </w:r>
    </w:p>
    <w:p w14:paraId="36E463A0" w14:textId="77777777" w:rsidR="003D663C" w:rsidRPr="00AF0F06" w:rsidRDefault="003D663C" w:rsidP="00AF0F06">
      <w:pPr>
        <w:pStyle w:val="Sinespaciado"/>
        <w:spacing w:line="276" w:lineRule="auto"/>
        <w:jc w:val="both"/>
        <w:rPr>
          <w:rFonts w:ascii="Georgia" w:hAnsi="Georgia" w:cs="Arial"/>
        </w:rPr>
      </w:pPr>
    </w:p>
    <w:p w14:paraId="72CEB1A3" w14:textId="77777777" w:rsidR="003D663C" w:rsidRPr="005127E5" w:rsidRDefault="003D663C" w:rsidP="005127E5">
      <w:pPr>
        <w:ind w:left="426" w:right="418"/>
        <w:jc w:val="both"/>
        <w:rPr>
          <w:rFonts w:ascii="Georgia" w:hAnsi="Georgia"/>
          <w:sz w:val="22"/>
          <w:szCs w:val="24"/>
        </w:rPr>
      </w:pPr>
      <w:r w:rsidRPr="005127E5">
        <w:rPr>
          <w:rFonts w:ascii="Georgia" w:hAnsi="Georgia"/>
          <w:sz w:val="22"/>
          <w:szCs w:val="24"/>
        </w:rPr>
        <w:t>5.1. La Corte Constitucional, mediante comunicado de prensa Nº 35 de 11 de septiembre de 2019, en la sentencia SU418 de 2019 sobre la aplicación y alcance del artículo 322 del Código General del Proceso, respecto a la interpretación de las Salas de Casación Civil y Laboral de la Corte Suprema de Justicia, en torno a la sustentación del recurso de apelación, precisó:</w:t>
      </w:r>
    </w:p>
    <w:p w14:paraId="4E5B74C3" w14:textId="77777777" w:rsidR="003D663C" w:rsidRPr="005127E5" w:rsidRDefault="003D663C" w:rsidP="005127E5">
      <w:pPr>
        <w:ind w:left="426" w:right="418"/>
        <w:jc w:val="both"/>
        <w:rPr>
          <w:rFonts w:ascii="Georgia" w:hAnsi="Georgia"/>
          <w:sz w:val="22"/>
          <w:szCs w:val="24"/>
        </w:rPr>
      </w:pPr>
      <w:r w:rsidRPr="005127E5">
        <w:rPr>
          <w:rFonts w:ascii="Georgia" w:hAnsi="Georgia"/>
          <w:sz w:val="22"/>
          <w:szCs w:val="24"/>
        </w:rPr>
        <w:t xml:space="preserve">(…) </w:t>
      </w:r>
    </w:p>
    <w:p w14:paraId="259B45F7" w14:textId="77777777" w:rsidR="003D663C" w:rsidRPr="005127E5" w:rsidRDefault="003D663C" w:rsidP="005127E5">
      <w:pPr>
        <w:ind w:left="426" w:right="418"/>
        <w:jc w:val="both"/>
        <w:rPr>
          <w:rFonts w:ascii="Georgia" w:hAnsi="Georgia"/>
          <w:sz w:val="22"/>
          <w:szCs w:val="24"/>
        </w:rPr>
      </w:pPr>
    </w:p>
    <w:p w14:paraId="50D7E880" w14:textId="77777777" w:rsidR="003D663C" w:rsidRPr="005127E5" w:rsidRDefault="003D663C" w:rsidP="005127E5">
      <w:pPr>
        <w:ind w:left="426" w:right="418"/>
        <w:jc w:val="both"/>
        <w:rPr>
          <w:rFonts w:ascii="Georgia" w:hAnsi="Georgia"/>
          <w:sz w:val="22"/>
          <w:szCs w:val="24"/>
        </w:rPr>
      </w:pPr>
      <w:r w:rsidRPr="005127E5">
        <w:rPr>
          <w:rFonts w:ascii="Georgia" w:hAnsi="Georgia"/>
          <w:sz w:val="22"/>
          <w:szCs w:val="24"/>
        </w:rPr>
        <w:t xml:space="preserve">“(…) </w:t>
      </w:r>
      <w:r w:rsidRPr="005127E5">
        <w:rPr>
          <w:rFonts w:ascii="Georgia" w:hAnsi="Georgia"/>
          <w:i/>
          <w:iCs/>
          <w:sz w:val="22"/>
          <w:szCs w:val="24"/>
        </w:rPr>
        <w:t>En este orden de ideas, la Sala Plena precisó que, para garantizar el derecho a la igualdad y la respuesta uniforme del ordenamiento jurídico, el juez de tutela debía decantarse por la interpretación que directa, sistemática y acorde con su configuración legal, surge de las disposiciones aplicables, por lo que a partir de un recuento del régimen de apelación de sentencias contenido en los artículos 322 y 327 del Código General del Proceso, estableció que el recurso de apelación debe sustentarse ante el superior en la audiencia de sustentación y fallo, y la consecuencia de no hacerlo así, es la declaratoria de desierto del recurso. Por lo demás, la Corte puso de presente el deber que tenían los jueces de no desnaturalizar los trámites y procedimientos insertos en los procesos judiciales, respaldados en la garantía de materialización de los principios de oralidad e inmediación, entre otros</w:t>
      </w:r>
      <w:r w:rsidRPr="005127E5">
        <w:rPr>
          <w:rFonts w:ascii="Georgia" w:hAnsi="Georgia"/>
          <w:sz w:val="22"/>
          <w:szCs w:val="24"/>
        </w:rPr>
        <w:t xml:space="preserve"> (…)”.</w:t>
      </w:r>
    </w:p>
    <w:p w14:paraId="05FF5331" w14:textId="77777777" w:rsidR="003D663C" w:rsidRPr="00AF0F06" w:rsidRDefault="003D663C" w:rsidP="00AF0F06">
      <w:pPr>
        <w:pStyle w:val="Sinespaciado"/>
        <w:spacing w:line="276" w:lineRule="auto"/>
        <w:jc w:val="both"/>
        <w:rPr>
          <w:rFonts w:ascii="Georgia" w:hAnsi="Georgia" w:cs="Arial"/>
        </w:rPr>
      </w:pPr>
    </w:p>
    <w:p w14:paraId="17E43CFB" w14:textId="18640F2F" w:rsidR="007C7CB4" w:rsidRPr="00AF0F06" w:rsidRDefault="5D52BD99" w:rsidP="00AF0F06">
      <w:pPr>
        <w:pStyle w:val="Sinespaciado"/>
        <w:spacing w:line="276" w:lineRule="auto"/>
        <w:jc w:val="both"/>
        <w:rPr>
          <w:rFonts w:ascii="Georgia" w:hAnsi="Georgia"/>
        </w:rPr>
      </w:pPr>
      <w:r w:rsidRPr="00AF0F06">
        <w:rPr>
          <w:rFonts w:ascii="Georgia" w:hAnsi="Georgia" w:cs="Arial"/>
        </w:rPr>
        <w:t>Es preciso aclarar, por lealtad dialéctica, que la Sala Laboral de la CSJ</w:t>
      </w:r>
      <w:r w:rsidR="007C7CB4" w:rsidRPr="00AF0F06">
        <w:rPr>
          <w:rFonts w:ascii="Georgia" w:hAnsi="Georgia" w:cs="Arial"/>
        </w:rPr>
        <w:t xml:space="preserve"> </w:t>
      </w:r>
      <w:r w:rsidRPr="00AF0F06">
        <w:rPr>
          <w:rFonts w:ascii="Georgia" w:hAnsi="Georgia" w:cs="Arial"/>
        </w:rPr>
        <w:t>estima que con lo dicho en primer grado es suficiente, pero es tesis que no se comparte, pues como lo recordó hace poco la Sala Civil</w:t>
      </w:r>
      <w:r w:rsidR="003D663C" w:rsidRPr="00AF0F06">
        <w:rPr>
          <w:rStyle w:val="Refdenotaalpie"/>
          <w:rFonts w:ascii="Georgia" w:hAnsi="Georgia"/>
        </w:rPr>
        <w:footnoteReference w:id="20"/>
      </w:r>
      <w:r w:rsidRPr="00AF0F06">
        <w:rPr>
          <w:rFonts w:ascii="Georgia" w:hAnsi="Georgia" w:cs="Arial"/>
        </w:rPr>
        <w:t xml:space="preserve">: </w:t>
      </w:r>
      <w:r w:rsidRPr="00AF0F06">
        <w:rPr>
          <w:rFonts w:ascii="Georgia" w:hAnsi="Georgia" w:cs="Arial"/>
          <w:i/>
          <w:iCs/>
        </w:rPr>
        <w:t>“</w:t>
      </w:r>
      <w:r w:rsidRPr="005127E5">
        <w:rPr>
          <w:rFonts w:ascii="Georgia" w:hAnsi="Georgia" w:cs="Arial"/>
          <w:i/>
          <w:iCs/>
          <w:sz w:val="22"/>
        </w:rPr>
        <w:t xml:space="preserve">(…) </w:t>
      </w:r>
      <w:r w:rsidRPr="005127E5">
        <w:rPr>
          <w:rFonts w:ascii="Georgia" w:hAnsi="Georgia"/>
          <w:i/>
          <w:iCs/>
          <w:sz w:val="22"/>
        </w:rPr>
        <w:t xml:space="preserve">Como se aprecia, es en el área laboral donde se faculta al impugnante para fundamentar la alzada por él propuesta frente al fallo de primer grado ante el mismo a quo, </w:t>
      </w:r>
      <w:r w:rsidRPr="005127E5">
        <w:rPr>
          <w:rFonts w:ascii="Georgia" w:hAnsi="Georgia"/>
          <w:b/>
          <w:bCs/>
          <w:i/>
          <w:iCs/>
          <w:sz w:val="22"/>
        </w:rPr>
        <w:t>mas no en el campo civil, por cuanto en esta última materia el legislador en forma expresa impuso que tal acto procesal se cumpla en segunda instancia</w:t>
      </w:r>
      <w:r w:rsidRPr="005127E5">
        <w:rPr>
          <w:rFonts w:ascii="Georgia" w:hAnsi="Georgia"/>
          <w:i/>
          <w:iCs/>
          <w:sz w:val="22"/>
        </w:rPr>
        <w:t xml:space="preserve"> (…)</w:t>
      </w:r>
      <w:r w:rsidRPr="00AF0F06">
        <w:rPr>
          <w:rFonts w:ascii="Georgia" w:hAnsi="Georgia"/>
          <w:i/>
          <w:iCs/>
        </w:rPr>
        <w:t>”</w:t>
      </w:r>
      <w:r w:rsidRPr="00AF0F06">
        <w:rPr>
          <w:rFonts w:ascii="Georgia" w:hAnsi="Georgia"/>
        </w:rPr>
        <w:t>.</w:t>
      </w:r>
      <w:r w:rsidR="333AA4C6" w:rsidRPr="00AF0F06">
        <w:rPr>
          <w:rFonts w:ascii="Georgia" w:hAnsi="Georgia"/>
        </w:rPr>
        <w:t xml:space="preserve"> </w:t>
      </w:r>
      <w:r w:rsidR="578EB253" w:rsidRPr="00AF0F06">
        <w:rPr>
          <w:rFonts w:ascii="Georgia" w:hAnsi="Georgia"/>
        </w:rPr>
        <w:t>Negrilla de esta Corporación.</w:t>
      </w:r>
    </w:p>
    <w:p w14:paraId="799693A0" w14:textId="607AD073" w:rsidR="45D18FB3" w:rsidRPr="00AF0F06" w:rsidRDefault="45D18FB3" w:rsidP="00AF0F06">
      <w:pPr>
        <w:pStyle w:val="Sinespaciado"/>
        <w:spacing w:line="276" w:lineRule="auto"/>
        <w:jc w:val="both"/>
        <w:rPr>
          <w:rFonts w:ascii="Georgia" w:hAnsi="Georgia"/>
        </w:rPr>
      </w:pPr>
    </w:p>
    <w:p w14:paraId="33F6AD01" w14:textId="32AD0E2A" w:rsidR="003D663C" w:rsidRPr="00AF0F06" w:rsidRDefault="003D663C" w:rsidP="00AF0F06">
      <w:pPr>
        <w:pStyle w:val="Sinespaciado"/>
        <w:spacing w:line="276" w:lineRule="auto"/>
        <w:jc w:val="both"/>
        <w:rPr>
          <w:rFonts w:ascii="Georgia" w:hAnsi="Georgia" w:cs="Arial"/>
        </w:rPr>
      </w:pPr>
      <w:r w:rsidRPr="00AF0F06">
        <w:rPr>
          <w:rFonts w:ascii="Georgia" w:hAnsi="Georgia" w:cs="Arial"/>
        </w:rPr>
        <w:t xml:space="preserve">En suma, sin lugar a duda, tanto la doctrina nacional como la jurisprudencia mayoritaria de las Altas Cortes, son partidarias de que </w:t>
      </w:r>
      <w:r w:rsidRPr="00AF0F06">
        <w:rPr>
          <w:rFonts w:ascii="Georgia" w:hAnsi="Georgia" w:cs="Arial"/>
          <w:u w:val="single"/>
        </w:rPr>
        <w:t xml:space="preserve">formular los reparos </w:t>
      </w:r>
      <w:r w:rsidRPr="00AF0F06">
        <w:rPr>
          <w:rFonts w:ascii="Georgia" w:hAnsi="Georgia" w:cs="Arial"/>
          <w:b/>
          <w:bCs/>
          <w:u w:val="single"/>
        </w:rPr>
        <w:t>es diferente a la sustentación del recurso y</w:t>
      </w:r>
      <w:r w:rsidR="00C150CB" w:rsidRPr="00AF0F06">
        <w:rPr>
          <w:rFonts w:ascii="Georgia" w:hAnsi="Georgia" w:cs="Arial"/>
          <w:b/>
          <w:bCs/>
          <w:u w:val="single"/>
        </w:rPr>
        <w:t>,</w:t>
      </w:r>
      <w:r w:rsidRPr="00AF0F06">
        <w:rPr>
          <w:rFonts w:ascii="Georgia" w:hAnsi="Georgia" w:cs="Arial"/>
          <w:b/>
          <w:bCs/>
          <w:u w:val="single"/>
        </w:rPr>
        <w:t xml:space="preserve"> que esta última, debe realizarse ante el superior</w:t>
      </w:r>
      <w:r w:rsidR="06C17977" w:rsidRPr="00AF0F06">
        <w:rPr>
          <w:rFonts w:ascii="Georgia" w:hAnsi="Georgia" w:cs="Arial"/>
          <w:u w:val="single"/>
        </w:rPr>
        <w:t>;</w:t>
      </w:r>
      <w:r w:rsidRPr="00AF0F06">
        <w:rPr>
          <w:rFonts w:ascii="Georgia" w:hAnsi="Georgia" w:cs="Arial"/>
          <w:u w:val="single"/>
        </w:rPr>
        <w:t xml:space="preserve"> también que ante el incumplimiento de esa carga </w:t>
      </w:r>
      <w:r w:rsidR="225A6DAA" w:rsidRPr="00AF0F06">
        <w:rPr>
          <w:rFonts w:ascii="Georgia" w:hAnsi="Georgia" w:cs="Arial"/>
          <w:u w:val="single"/>
        </w:rPr>
        <w:t xml:space="preserve">se impone </w:t>
      </w:r>
      <w:r w:rsidRPr="00AF0F06">
        <w:rPr>
          <w:rFonts w:ascii="Georgia" w:hAnsi="Georgia" w:cs="Arial"/>
          <w:u w:val="single"/>
        </w:rPr>
        <w:t>la declaratoria de deserción</w:t>
      </w:r>
      <w:r w:rsidRPr="00AF0F06">
        <w:rPr>
          <w:rFonts w:ascii="Georgia" w:hAnsi="Georgia" w:cs="Arial"/>
        </w:rPr>
        <w:t>. De nuevo resultan útiles las palabras del profesor Rojas G.</w:t>
      </w:r>
      <w:r w:rsidRPr="00AF0F06">
        <w:rPr>
          <w:rStyle w:val="Refdenotaalpie"/>
          <w:rFonts w:ascii="Georgia" w:hAnsi="Georgia"/>
        </w:rPr>
        <w:t xml:space="preserve"> </w:t>
      </w:r>
      <w:r w:rsidRPr="00AF0F06">
        <w:rPr>
          <w:rStyle w:val="Refdenotaalpie"/>
          <w:rFonts w:ascii="Georgia" w:hAnsi="Georgia"/>
        </w:rPr>
        <w:footnoteReference w:id="21"/>
      </w:r>
      <w:r w:rsidRPr="00AF0F06">
        <w:rPr>
          <w:rFonts w:ascii="Georgia" w:hAnsi="Georgia" w:cs="Arial"/>
        </w:rPr>
        <w:t>:</w:t>
      </w:r>
    </w:p>
    <w:p w14:paraId="1957DEC0" w14:textId="77777777" w:rsidR="003D663C" w:rsidRPr="00AF0F06" w:rsidRDefault="003D663C" w:rsidP="00AF0F06">
      <w:pPr>
        <w:pStyle w:val="Sinespaciado"/>
        <w:spacing w:line="276" w:lineRule="auto"/>
        <w:jc w:val="both"/>
        <w:rPr>
          <w:rFonts w:ascii="Georgia" w:hAnsi="Georgia" w:cs="Arial"/>
        </w:rPr>
      </w:pPr>
    </w:p>
    <w:p w14:paraId="5B0927FE" w14:textId="5CE0C0DD" w:rsidR="003D663C" w:rsidRPr="005127E5" w:rsidRDefault="003D663C" w:rsidP="005127E5">
      <w:pPr>
        <w:pStyle w:val="Sinespaciado"/>
        <w:ind w:left="426" w:right="418"/>
        <w:jc w:val="both"/>
        <w:rPr>
          <w:rFonts w:ascii="Georgia" w:hAnsi="Georgia" w:cs="Arial"/>
          <w:sz w:val="22"/>
          <w:u w:val="single"/>
        </w:rPr>
      </w:pPr>
      <w:r w:rsidRPr="005127E5">
        <w:rPr>
          <w:rFonts w:ascii="Georgia" w:hAnsi="Georgia" w:cs="Arial"/>
          <w:sz w:val="22"/>
        </w:rPr>
        <w:t xml:space="preserve">De </w:t>
      </w:r>
      <w:r w:rsidR="005127E5" w:rsidRPr="005127E5">
        <w:rPr>
          <w:rFonts w:ascii="Georgia" w:hAnsi="Georgia" w:cs="Arial"/>
          <w:sz w:val="22"/>
        </w:rPr>
        <w:t>entrada,</w:t>
      </w:r>
      <w:r w:rsidRPr="005127E5">
        <w:rPr>
          <w:rFonts w:ascii="Georgia" w:hAnsi="Georgia" w:cs="Arial"/>
          <w:sz w:val="22"/>
        </w:rPr>
        <w:t xml:space="preserve"> puede parecer odioso exigir al apelante que haga la sustentación en dos fases, porque el intérprete puede pensar que la segunda es repetición de la primera. Sin embargo, el examen detallado de la dinámica de la apelación en el modelo procesal escogido </w:t>
      </w:r>
      <w:r w:rsidRPr="005127E5">
        <w:rPr>
          <w:rFonts w:ascii="Georgia" w:hAnsi="Georgia" w:cs="Arial"/>
          <w:sz w:val="22"/>
          <w:u w:val="single"/>
        </w:rPr>
        <w:t>obliga a aceptar que las dos etapas de la sustentación son distintas y prescindir de alguna de ellas echaría a perder los objetivos del esquema diseñado.</w:t>
      </w:r>
      <w:r w:rsidRPr="005127E5">
        <w:rPr>
          <w:rFonts w:ascii="Georgia" w:hAnsi="Georgia" w:cs="Arial"/>
          <w:sz w:val="22"/>
        </w:rPr>
        <w:t xml:space="preserve"> (…)</w:t>
      </w:r>
    </w:p>
    <w:p w14:paraId="0950169D" w14:textId="77777777" w:rsidR="003D663C" w:rsidRPr="005127E5" w:rsidRDefault="003D663C" w:rsidP="005127E5">
      <w:pPr>
        <w:pStyle w:val="Sinespaciado"/>
        <w:ind w:left="426" w:right="418"/>
        <w:jc w:val="both"/>
        <w:rPr>
          <w:rFonts w:ascii="Georgia" w:hAnsi="Georgia" w:cs="Arial"/>
          <w:sz w:val="22"/>
          <w:u w:val="single"/>
        </w:rPr>
      </w:pPr>
    </w:p>
    <w:p w14:paraId="6080489E" w14:textId="77777777" w:rsidR="003D663C" w:rsidRPr="005127E5" w:rsidRDefault="003D663C" w:rsidP="005127E5">
      <w:pPr>
        <w:pStyle w:val="Sinespaciado"/>
        <w:ind w:left="426" w:right="418"/>
        <w:jc w:val="both"/>
        <w:rPr>
          <w:rFonts w:ascii="Georgia" w:hAnsi="Georgia" w:cs="Arial"/>
          <w:sz w:val="22"/>
        </w:rPr>
      </w:pPr>
      <w:r w:rsidRPr="005127E5">
        <w:rPr>
          <w:rFonts w:ascii="Georgia" w:hAnsi="Georgia" w:cs="Arial"/>
          <w:sz w:val="22"/>
          <w:u w:val="single"/>
        </w:rPr>
        <w:t>Por consiguiente, aunque aparezcan chocantes tales ritualidades, hay que reconocer que lucen necesarias para conquistar los objetivos que persiguen el sistema escogido</w:t>
      </w:r>
      <w:r w:rsidRPr="005127E5">
        <w:rPr>
          <w:rFonts w:ascii="Georgia" w:hAnsi="Georgia" w:cs="Arial"/>
          <w:sz w:val="22"/>
        </w:rPr>
        <w:t>. (Sublínea fuera de texto).</w:t>
      </w:r>
    </w:p>
    <w:p w14:paraId="346ECF75" w14:textId="77777777" w:rsidR="003D663C" w:rsidRPr="00AF0F06" w:rsidRDefault="003D663C" w:rsidP="00AF0F06">
      <w:pPr>
        <w:pStyle w:val="Sinespaciado"/>
        <w:spacing w:line="276" w:lineRule="auto"/>
        <w:jc w:val="both"/>
        <w:rPr>
          <w:rFonts w:ascii="Georgia" w:hAnsi="Georgia" w:cs="Arial"/>
        </w:rPr>
      </w:pPr>
    </w:p>
    <w:p w14:paraId="1A199139" w14:textId="45E1B389" w:rsidR="003D663C" w:rsidRPr="00AF0F06" w:rsidRDefault="003D663C" w:rsidP="00AF0F06">
      <w:pPr>
        <w:pStyle w:val="Sinespaciado"/>
        <w:spacing w:line="276" w:lineRule="auto"/>
        <w:jc w:val="both"/>
        <w:rPr>
          <w:rFonts w:ascii="Georgia" w:hAnsi="Georgia"/>
        </w:rPr>
      </w:pPr>
      <w:r w:rsidRPr="00AF0F06">
        <w:rPr>
          <w:rFonts w:ascii="Georgia" w:hAnsi="Georgia" w:cs="Arial"/>
        </w:rPr>
        <w:t>La forma en que deben sustentarse las apelaciones</w:t>
      </w:r>
      <w:r w:rsidR="3A195F98" w:rsidRPr="00AF0F06">
        <w:rPr>
          <w:rFonts w:ascii="Georgia" w:hAnsi="Georgia" w:cs="Arial"/>
        </w:rPr>
        <w:t xml:space="preserve">, </w:t>
      </w:r>
      <w:r w:rsidR="3A195F98" w:rsidRPr="00AF0F06">
        <w:rPr>
          <w:rFonts w:ascii="Georgia" w:hAnsi="Georgia" w:cs="Arial"/>
          <w:b/>
          <w:bCs/>
        </w:rPr>
        <w:t>es escrit</w:t>
      </w:r>
      <w:r w:rsidR="34A7F113" w:rsidRPr="00AF0F06">
        <w:rPr>
          <w:rFonts w:ascii="Georgia" w:hAnsi="Georgia" w:cs="Arial"/>
          <w:b/>
          <w:bCs/>
        </w:rPr>
        <w:t>a</w:t>
      </w:r>
      <w:r w:rsidRPr="00AF0F06">
        <w:rPr>
          <w:rFonts w:ascii="Georgia" w:hAnsi="Georgia" w:cs="Arial"/>
        </w:rPr>
        <w:t xml:space="preserve">, </w:t>
      </w:r>
      <w:r w:rsidR="00CF034C" w:rsidRPr="00AF0F06">
        <w:rPr>
          <w:rFonts w:ascii="Georgia" w:hAnsi="Georgia" w:cs="Arial"/>
        </w:rPr>
        <w:t xml:space="preserve">único </w:t>
      </w:r>
      <w:r w:rsidRPr="00AF0F06">
        <w:rPr>
          <w:rFonts w:ascii="Georgia" w:hAnsi="Georgia" w:cs="Arial"/>
        </w:rPr>
        <w:t>cambi</w:t>
      </w:r>
      <w:r w:rsidR="00CF034C" w:rsidRPr="00AF0F06">
        <w:rPr>
          <w:rFonts w:ascii="Georgia" w:hAnsi="Georgia" w:cs="Arial"/>
        </w:rPr>
        <w:t xml:space="preserve">o </w:t>
      </w:r>
      <w:r w:rsidRPr="00AF0F06">
        <w:rPr>
          <w:rFonts w:ascii="Georgia" w:hAnsi="Georgia" w:cs="Arial"/>
        </w:rPr>
        <w:t xml:space="preserve">con </w:t>
      </w:r>
      <w:r w:rsidR="00C150CB" w:rsidRPr="00AF0F06">
        <w:rPr>
          <w:rFonts w:ascii="Georgia" w:hAnsi="Georgia" w:cs="Arial"/>
        </w:rPr>
        <w:t>el</w:t>
      </w:r>
      <w:r w:rsidRPr="00AF0F06">
        <w:rPr>
          <w:rFonts w:ascii="Georgia" w:hAnsi="Georgia" w:cs="Arial"/>
        </w:rPr>
        <w:t xml:space="preserve"> Decreto Presidencial No.806 de 2020, pues </w:t>
      </w:r>
      <w:r w:rsidR="5CF00481" w:rsidRPr="00AF0F06">
        <w:rPr>
          <w:rFonts w:ascii="Georgia" w:hAnsi="Georgia" w:cs="Arial"/>
        </w:rPr>
        <w:t>en concreto</w:t>
      </w:r>
      <w:r w:rsidRPr="00AF0F06">
        <w:rPr>
          <w:rFonts w:ascii="Georgia" w:hAnsi="Georgia" w:cs="Arial"/>
        </w:rPr>
        <w:t xml:space="preserve">, el inciso </w:t>
      </w:r>
      <w:r w:rsidR="77299EB5" w:rsidRPr="00AF0F06">
        <w:rPr>
          <w:rFonts w:ascii="Georgia" w:hAnsi="Georgia" w:cs="Arial"/>
        </w:rPr>
        <w:t xml:space="preserve">2o </w:t>
      </w:r>
      <w:r w:rsidRPr="00AF0F06">
        <w:rPr>
          <w:rFonts w:ascii="Georgia" w:hAnsi="Georgia" w:cs="Arial"/>
        </w:rPr>
        <w:t xml:space="preserve">del artículo 14, </w:t>
      </w:r>
      <w:r w:rsidR="55535167" w:rsidRPr="00AF0F06">
        <w:rPr>
          <w:rFonts w:ascii="Georgia" w:hAnsi="Georgia" w:cs="Arial"/>
        </w:rPr>
        <w:t>estipula</w:t>
      </w:r>
      <w:r w:rsidRPr="00AF0F06">
        <w:rPr>
          <w:rFonts w:ascii="Georgia" w:hAnsi="Georgia" w:cs="Arial"/>
        </w:rPr>
        <w:t>:</w:t>
      </w:r>
      <w:r w:rsidRPr="00AF0F06">
        <w:rPr>
          <w:rFonts w:ascii="Georgia" w:hAnsi="Georgia" w:cs="Arial"/>
          <w:i/>
          <w:iCs/>
        </w:rPr>
        <w:t xml:space="preserve"> “</w:t>
      </w:r>
      <w:r w:rsidRPr="005127E5">
        <w:rPr>
          <w:rFonts w:ascii="Georgia" w:hAnsi="Georgia" w:cs="Arial"/>
          <w:i/>
          <w:iCs/>
          <w:sz w:val="22"/>
        </w:rPr>
        <w:t xml:space="preserve">(…) </w:t>
      </w:r>
      <w:r w:rsidRPr="005127E5">
        <w:rPr>
          <w:rFonts w:ascii="Georgia" w:hAnsi="Georgia"/>
          <w:i/>
          <w:iCs/>
          <w:sz w:val="22"/>
        </w:rPr>
        <w:t xml:space="preserve">Ejecutoriado el auto que admite el recurso o el que niega la solicitud de pruebas, </w:t>
      </w:r>
      <w:r w:rsidRPr="005127E5">
        <w:rPr>
          <w:rFonts w:ascii="Georgia" w:hAnsi="Georgia"/>
          <w:i/>
          <w:iCs/>
          <w:sz w:val="22"/>
          <w:u w:val="single"/>
        </w:rPr>
        <w:t>el apelante deberá sustentar el recurso a más tardar dentro de los cinco (5) días siguientes</w:t>
      </w:r>
      <w:r w:rsidRPr="005127E5">
        <w:rPr>
          <w:rFonts w:ascii="Georgia" w:hAnsi="Georgia"/>
          <w:i/>
          <w:iCs/>
          <w:sz w:val="22"/>
        </w:rPr>
        <w:t xml:space="preserve">. De la sustentación se correrá traslado a la parte contraria por el término de cinco (5) días. Vencido el término de traslado se proferirá sentencia escrita que se notificará por estado. </w:t>
      </w:r>
      <w:r w:rsidRPr="005127E5">
        <w:rPr>
          <w:rFonts w:ascii="Georgia" w:hAnsi="Georgia"/>
          <w:i/>
          <w:iCs/>
          <w:sz w:val="22"/>
          <w:u w:val="single"/>
        </w:rPr>
        <w:t>Si no se sustenta oportunamente el recurso, se declarará desierto</w:t>
      </w:r>
      <w:r w:rsidRPr="005127E5">
        <w:rPr>
          <w:rFonts w:ascii="Georgia" w:hAnsi="Georgia"/>
          <w:i/>
          <w:iCs/>
          <w:sz w:val="22"/>
        </w:rPr>
        <w:t>. (…)</w:t>
      </w:r>
      <w:r w:rsidRPr="00AF0F06">
        <w:rPr>
          <w:rFonts w:ascii="Georgia" w:hAnsi="Georgia"/>
          <w:i/>
          <w:iCs/>
        </w:rPr>
        <w:t xml:space="preserve">” </w:t>
      </w:r>
      <w:r w:rsidRPr="00AF0F06">
        <w:rPr>
          <w:rFonts w:ascii="Georgia" w:hAnsi="Georgia"/>
        </w:rPr>
        <w:t xml:space="preserve">(Resaltado extratextual). </w:t>
      </w:r>
    </w:p>
    <w:p w14:paraId="74BA5851" w14:textId="77777777" w:rsidR="00C41DC2" w:rsidRPr="00AF0F06" w:rsidRDefault="00C41DC2" w:rsidP="00AF0F06">
      <w:pPr>
        <w:pStyle w:val="Sinespaciado"/>
        <w:spacing w:line="276" w:lineRule="auto"/>
        <w:jc w:val="both"/>
        <w:rPr>
          <w:rFonts w:ascii="Georgia" w:hAnsi="Georgia"/>
        </w:rPr>
      </w:pPr>
    </w:p>
    <w:p w14:paraId="58A372E6" w14:textId="66996B23" w:rsidR="00A4720E" w:rsidRPr="00AF0F06" w:rsidRDefault="003D663C" w:rsidP="00AF0F06">
      <w:pPr>
        <w:pStyle w:val="Sinespaciado"/>
        <w:spacing w:line="276" w:lineRule="auto"/>
        <w:jc w:val="both"/>
        <w:rPr>
          <w:rFonts w:ascii="Georgia" w:hAnsi="Georgia" w:cs="Arial"/>
        </w:rPr>
      </w:pPr>
      <w:r w:rsidRPr="00AF0F06">
        <w:rPr>
          <w:rFonts w:ascii="Georgia" w:hAnsi="Georgia" w:cs="Arial"/>
        </w:rPr>
        <w:t xml:space="preserve">Así las cosas, descorrido el traslado, sin que se cuestionara oportunamente esa decisión, quedaba impuesta la carga para que </w:t>
      </w:r>
      <w:r w:rsidR="007C7CB4" w:rsidRPr="00AF0F06">
        <w:rPr>
          <w:rFonts w:ascii="Georgia" w:hAnsi="Georgia" w:cs="Arial"/>
          <w:b/>
          <w:bCs/>
        </w:rPr>
        <w:t>el</w:t>
      </w:r>
      <w:r w:rsidRPr="00AF0F06">
        <w:rPr>
          <w:rFonts w:ascii="Georgia" w:hAnsi="Georgia" w:cs="Arial"/>
          <w:b/>
          <w:bCs/>
        </w:rPr>
        <w:t xml:space="preserve"> recurrente sustentara su recurso </w:t>
      </w:r>
      <w:r w:rsidRPr="00AF0F06">
        <w:rPr>
          <w:rFonts w:ascii="Georgia" w:hAnsi="Georgia" w:cs="Arial"/>
        </w:rPr>
        <w:t xml:space="preserve">(Artículo 118, CGP). </w:t>
      </w:r>
      <w:r w:rsidR="00A4720E" w:rsidRPr="00AF0F06">
        <w:rPr>
          <w:rFonts w:ascii="Georgia" w:hAnsi="Georgia" w:cs="Arial"/>
        </w:rPr>
        <w:t xml:space="preserve">Así </w:t>
      </w:r>
      <w:r w:rsidR="3F80EF29" w:rsidRPr="00AF0F06">
        <w:rPr>
          <w:rFonts w:ascii="Georgia" w:hAnsi="Georgia" w:cs="Arial"/>
        </w:rPr>
        <w:t xml:space="preserve">entiende </w:t>
      </w:r>
      <w:r w:rsidR="00A4720E" w:rsidRPr="00AF0F06">
        <w:rPr>
          <w:rFonts w:ascii="Georgia" w:hAnsi="Georgia" w:cs="Arial"/>
        </w:rPr>
        <w:t>la CSJ (18-01-2021)</w:t>
      </w:r>
      <w:r w:rsidR="00A4720E" w:rsidRPr="00AF0F06">
        <w:rPr>
          <w:rStyle w:val="Refdenotaalpie"/>
          <w:rFonts w:ascii="Georgia" w:hAnsi="Georgia"/>
        </w:rPr>
        <w:footnoteReference w:id="22"/>
      </w:r>
      <w:r w:rsidR="00A4720E" w:rsidRPr="00AF0F06">
        <w:rPr>
          <w:rFonts w:ascii="Georgia" w:hAnsi="Georgia" w:cs="Arial"/>
        </w:rPr>
        <w:t>, que explicó:</w:t>
      </w:r>
    </w:p>
    <w:p w14:paraId="0CE7F764" w14:textId="77777777" w:rsidR="00A4720E" w:rsidRPr="00AF0F06" w:rsidRDefault="00A4720E" w:rsidP="00AF0F06">
      <w:pPr>
        <w:spacing w:line="276" w:lineRule="auto"/>
        <w:ind w:left="567" w:right="567"/>
        <w:jc w:val="both"/>
        <w:rPr>
          <w:rFonts w:ascii="Georgia" w:hAnsi="Georgia" w:cs="Arial"/>
          <w:bCs/>
          <w:sz w:val="24"/>
          <w:szCs w:val="24"/>
          <w:lang w:val="es-CO" w:eastAsia="x-none"/>
        </w:rPr>
      </w:pPr>
    </w:p>
    <w:p w14:paraId="242D439F" w14:textId="67463EE6" w:rsidR="00A4720E" w:rsidRPr="005127E5" w:rsidRDefault="00A4720E" w:rsidP="005127E5">
      <w:pPr>
        <w:pStyle w:val="Sinespaciado"/>
        <w:ind w:left="426" w:right="418"/>
        <w:jc w:val="both"/>
        <w:rPr>
          <w:rFonts w:ascii="Georgia" w:hAnsi="Georgia" w:cs="Arial"/>
          <w:sz w:val="22"/>
        </w:rPr>
      </w:pPr>
      <w:r w:rsidRPr="005127E5">
        <w:rPr>
          <w:rFonts w:ascii="Georgia" w:hAnsi="Georgia" w:cs="Arial"/>
          <w:sz w:val="22"/>
        </w:rPr>
        <w:t xml:space="preserve">En lo atinente a la sustentación, el legislador previó, específicamente, respecto de las sentencias, que la fundamentación de la apelación debía darse ante el ad </w:t>
      </w:r>
      <w:proofErr w:type="spellStart"/>
      <w:r w:rsidRPr="005127E5">
        <w:rPr>
          <w:rFonts w:ascii="Georgia" w:hAnsi="Georgia" w:cs="Arial"/>
          <w:sz w:val="22"/>
        </w:rPr>
        <w:t>quem</w:t>
      </w:r>
      <w:proofErr w:type="spellEnd"/>
      <w:r w:rsidRPr="005127E5">
        <w:rPr>
          <w:rFonts w:ascii="Georgia" w:hAnsi="Georgia" w:cs="Arial"/>
          <w:sz w:val="22"/>
        </w:rPr>
        <w:t xml:space="preserve"> a partir de los reparos concretos aducidos frente al a quo.</w:t>
      </w:r>
    </w:p>
    <w:p w14:paraId="7787FF34" w14:textId="77777777" w:rsidR="00A4720E" w:rsidRPr="005127E5" w:rsidRDefault="00A4720E" w:rsidP="005127E5">
      <w:pPr>
        <w:pStyle w:val="Sinespaciado"/>
        <w:ind w:left="426" w:right="418"/>
        <w:jc w:val="both"/>
        <w:rPr>
          <w:rFonts w:ascii="Georgia" w:hAnsi="Georgia" w:cs="Arial"/>
          <w:sz w:val="22"/>
        </w:rPr>
      </w:pPr>
    </w:p>
    <w:p w14:paraId="375662EE" w14:textId="77777777" w:rsidR="00A4720E" w:rsidRPr="005127E5" w:rsidRDefault="00A4720E" w:rsidP="005127E5">
      <w:pPr>
        <w:pStyle w:val="Sinespaciado"/>
        <w:ind w:left="426" w:right="418"/>
        <w:jc w:val="both"/>
        <w:rPr>
          <w:rFonts w:ascii="Georgia" w:hAnsi="Georgia" w:cs="Arial"/>
          <w:sz w:val="22"/>
        </w:rPr>
      </w:pPr>
      <w:r w:rsidRPr="005127E5">
        <w:rPr>
          <w:rFonts w:ascii="Georgia" w:hAnsi="Georgia" w:cs="Arial"/>
          <w:sz w:val="22"/>
        </w:rPr>
        <w:t xml:space="preserve">(…) </w:t>
      </w:r>
    </w:p>
    <w:p w14:paraId="081E13D0" w14:textId="77777777" w:rsidR="00A4720E" w:rsidRPr="005127E5" w:rsidRDefault="00A4720E" w:rsidP="005127E5">
      <w:pPr>
        <w:pStyle w:val="Sinespaciado"/>
        <w:ind w:left="426" w:right="418"/>
        <w:jc w:val="both"/>
        <w:rPr>
          <w:rFonts w:ascii="Georgia" w:hAnsi="Georgia" w:cs="Arial"/>
          <w:sz w:val="22"/>
        </w:rPr>
      </w:pPr>
    </w:p>
    <w:p w14:paraId="04EAD3C1" w14:textId="77777777" w:rsidR="00A4720E" w:rsidRPr="005127E5" w:rsidRDefault="00A4720E" w:rsidP="005127E5">
      <w:pPr>
        <w:pStyle w:val="Sinespaciado"/>
        <w:ind w:left="426" w:right="418"/>
        <w:jc w:val="both"/>
        <w:rPr>
          <w:rFonts w:ascii="Georgia" w:hAnsi="Georgia" w:cs="Arial"/>
          <w:sz w:val="22"/>
        </w:rPr>
      </w:pPr>
      <w:r w:rsidRPr="005127E5">
        <w:rPr>
          <w:rFonts w:ascii="Georgia" w:hAnsi="Georgia" w:cs="Arial"/>
          <w:sz w:val="22"/>
        </w:rPr>
        <w:t xml:space="preserve">Para las sentencias, en primera instancia: interposición, formulación de los reparos concretos y concesión; y, en segunda: admisión o inadmisión con su ejecutoria, fijación de audiencia con la eventual fase probatoria, </w:t>
      </w:r>
      <w:r w:rsidRPr="005127E5">
        <w:rPr>
          <w:rFonts w:ascii="Georgia" w:hAnsi="Georgia" w:cs="Arial"/>
          <w:sz w:val="22"/>
          <w:u w:val="single"/>
        </w:rPr>
        <w:t>en la actualidad, concesión de traslado para sustentación por escrito (art. 14 del Decreto 806 de 2020</w:t>
      </w:r>
      <w:r w:rsidRPr="005127E5">
        <w:rPr>
          <w:rFonts w:ascii="Georgia" w:hAnsi="Georgia" w:cs="Arial"/>
          <w:sz w:val="22"/>
        </w:rPr>
        <w:t>), sustentación y sentencia.</w:t>
      </w:r>
    </w:p>
    <w:p w14:paraId="3FCA47A3" w14:textId="77777777" w:rsidR="00A4720E" w:rsidRPr="005127E5" w:rsidRDefault="00A4720E" w:rsidP="005127E5">
      <w:pPr>
        <w:pStyle w:val="Sinespaciado"/>
        <w:ind w:left="426" w:right="418"/>
        <w:jc w:val="both"/>
        <w:rPr>
          <w:rFonts w:ascii="Georgia" w:hAnsi="Georgia" w:cs="Arial"/>
          <w:sz w:val="22"/>
        </w:rPr>
      </w:pPr>
    </w:p>
    <w:p w14:paraId="5A95838D" w14:textId="1067AD2E" w:rsidR="00A4720E" w:rsidRPr="005127E5" w:rsidRDefault="00A4720E" w:rsidP="005127E5">
      <w:pPr>
        <w:pStyle w:val="Sinespaciado"/>
        <w:ind w:left="426" w:right="418"/>
        <w:jc w:val="both"/>
        <w:rPr>
          <w:rFonts w:ascii="Georgia" w:hAnsi="Georgia" w:cs="Arial"/>
          <w:sz w:val="22"/>
        </w:rPr>
      </w:pPr>
      <w:r w:rsidRPr="005127E5">
        <w:rPr>
          <w:rFonts w:ascii="Georgia" w:hAnsi="Georgia" w:cs="Arial"/>
          <w:sz w:val="22"/>
        </w:rPr>
        <w:t>Por tanto, le correspondía a la recurrente no sólo aducir sus quejas puntuales ante el a quo, sino hacer uso del traslado concedido por el superior en auto de 7 de octubre de 2020, para fundamentar allí el remedio vertical, tal y como lo prevé el reseñado canon 322. (</w:t>
      </w:r>
      <w:r w:rsidR="49FF7EA0" w:rsidRPr="005127E5">
        <w:rPr>
          <w:rFonts w:ascii="Georgia" w:hAnsi="Georgia" w:cs="Arial"/>
          <w:sz w:val="22"/>
        </w:rPr>
        <w:t xml:space="preserve">Todo el resaltado es </w:t>
      </w:r>
      <w:r w:rsidRPr="005127E5">
        <w:rPr>
          <w:rFonts w:ascii="Georgia" w:hAnsi="Georgia" w:cs="Arial"/>
          <w:sz w:val="22"/>
        </w:rPr>
        <w:t>extratextual).</w:t>
      </w:r>
    </w:p>
    <w:p w14:paraId="451B81DE" w14:textId="51D1267B" w:rsidR="00A4720E" w:rsidRPr="00AF0F06" w:rsidRDefault="00A4720E" w:rsidP="00AF0F06">
      <w:pPr>
        <w:pStyle w:val="Sinespaciado"/>
        <w:spacing w:line="276" w:lineRule="auto"/>
        <w:ind w:right="567"/>
        <w:jc w:val="both"/>
        <w:rPr>
          <w:rFonts w:ascii="Georgia" w:hAnsi="Georgia" w:cs="Arial"/>
          <w:bCs/>
          <w:lang w:val="es-ES_tradnl" w:eastAsia="x-none"/>
        </w:rPr>
      </w:pPr>
    </w:p>
    <w:p w14:paraId="4415620E" w14:textId="7B6CE42A" w:rsidR="00A4720E" w:rsidRPr="00AF0F06" w:rsidRDefault="0782FC57" w:rsidP="00AF0F06">
      <w:pPr>
        <w:pStyle w:val="Sinespaciado"/>
        <w:spacing w:line="276" w:lineRule="auto"/>
        <w:jc w:val="both"/>
        <w:rPr>
          <w:rFonts w:ascii="Georgia" w:hAnsi="Georgia" w:cs="Arial"/>
        </w:rPr>
      </w:pPr>
      <w:r w:rsidRPr="00AF0F06">
        <w:rPr>
          <w:rFonts w:ascii="Georgia" w:hAnsi="Georgia" w:cs="Arial"/>
        </w:rPr>
        <w:t xml:space="preserve">Mal </w:t>
      </w:r>
      <w:r w:rsidR="001D253E" w:rsidRPr="00AF0F06">
        <w:rPr>
          <w:rFonts w:ascii="Georgia" w:hAnsi="Georgia" w:cs="Arial"/>
        </w:rPr>
        <w:t>pued</w:t>
      </w:r>
      <w:r w:rsidR="2F2DCDB9" w:rsidRPr="00AF0F06">
        <w:rPr>
          <w:rFonts w:ascii="Georgia" w:hAnsi="Georgia" w:cs="Arial"/>
        </w:rPr>
        <w:t>e</w:t>
      </w:r>
      <w:r w:rsidR="001D253E" w:rsidRPr="00AF0F06">
        <w:rPr>
          <w:rFonts w:ascii="Georgia" w:hAnsi="Georgia" w:cs="Arial"/>
        </w:rPr>
        <w:t xml:space="preserve"> </w:t>
      </w:r>
      <w:r w:rsidR="00386189" w:rsidRPr="00AF0F06">
        <w:rPr>
          <w:rFonts w:ascii="Georgia" w:hAnsi="Georgia" w:cs="Arial"/>
        </w:rPr>
        <w:t xml:space="preserve">suplirse el requisito, como concibe el recurrente, con </w:t>
      </w:r>
      <w:r w:rsidR="00806789" w:rsidRPr="00AF0F06">
        <w:rPr>
          <w:rFonts w:ascii="Georgia" w:hAnsi="Georgia" w:cs="Arial"/>
        </w:rPr>
        <w:t xml:space="preserve">lo dicho </w:t>
      </w:r>
      <w:r w:rsidR="001D253E" w:rsidRPr="00AF0F06">
        <w:rPr>
          <w:rFonts w:ascii="Georgia" w:hAnsi="Georgia" w:cs="Arial"/>
        </w:rPr>
        <w:t xml:space="preserve">al tiempo </w:t>
      </w:r>
      <w:r w:rsidR="00D838F9" w:rsidRPr="00AF0F06">
        <w:rPr>
          <w:rFonts w:ascii="Georgia" w:hAnsi="Georgia" w:cs="Arial"/>
        </w:rPr>
        <w:t xml:space="preserve">de </w:t>
      </w:r>
      <w:r w:rsidR="001D253E" w:rsidRPr="00AF0F06">
        <w:rPr>
          <w:rFonts w:ascii="Georgia" w:hAnsi="Georgia" w:cs="Arial"/>
        </w:rPr>
        <w:t>la formulación de reparos,</w:t>
      </w:r>
      <w:r w:rsidR="00806789" w:rsidRPr="00AF0F06">
        <w:rPr>
          <w:rFonts w:ascii="Georgia" w:hAnsi="Georgia" w:cs="Arial"/>
        </w:rPr>
        <w:t xml:space="preserve"> se itera, </w:t>
      </w:r>
      <w:r w:rsidR="00806789" w:rsidRPr="00AF0F06">
        <w:rPr>
          <w:rFonts w:ascii="Georgia" w:hAnsi="Georgia" w:cs="Arial"/>
          <w:i/>
          <w:iCs/>
          <w:u w:val="single"/>
        </w:rPr>
        <w:t>de ninguna manera las normas aplicables contemplan dos momentos para sustentar</w:t>
      </w:r>
      <w:r w:rsidR="00806789" w:rsidRPr="00AF0F06">
        <w:rPr>
          <w:rFonts w:ascii="Georgia" w:hAnsi="Georgia" w:cs="Arial"/>
        </w:rPr>
        <w:t xml:space="preserve">, </w:t>
      </w:r>
      <w:r w:rsidR="4FBA6CFC" w:rsidRPr="00AF0F06">
        <w:rPr>
          <w:rFonts w:ascii="Georgia" w:hAnsi="Georgia" w:cs="Arial"/>
        </w:rPr>
        <w:t xml:space="preserve">aquella </w:t>
      </w:r>
      <w:r w:rsidR="00806789" w:rsidRPr="00AF0F06">
        <w:rPr>
          <w:rFonts w:ascii="Georgia" w:hAnsi="Georgia" w:cs="Arial"/>
        </w:rPr>
        <w:t>fase está reservada para la segunda instancia</w:t>
      </w:r>
      <w:r w:rsidR="6772A448" w:rsidRPr="00AF0F06">
        <w:rPr>
          <w:rFonts w:ascii="Georgia" w:hAnsi="Georgia" w:cs="Arial"/>
        </w:rPr>
        <w:t>;</w:t>
      </w:r>
      <w:r w:rsidR="009D524E" w:rsidRPr="00AF0F06">
        <w:rPr>
          <w:rFonts w:ascii="Georgia" w:hAnsi="Georgia" w:cs="Arial"/>
        </w:rPr>
        <w:t xml:space="preserve"> </w:t>
      </w:r>
      <w:r w:rsidR="3AF7A989" w:rsidRPr="00AF0F06">
        <w:rPr>
          <w:rFonts w:ascii="Georgia" w:hAnsi="Georgia" w:cs="Arial"/>
        </w:rPr>
        <w:t>a</w:t>
      </w:r>
      <w:r w:rsidR="009D524E" w:rsidRPr="00AF0F06">
        <w:rPr>
          <w:rFonts w:ascii="Georgia" w:hAnsi="Georgia" w:cs="Arial"/>
        </w:rPr>
        <w:t xml:space="preserve">sí </w:t>
      </w:r>
      <w:r w:rsidR="0B4BD825" w:rsidRPr="00AF0F06">
        <w:rPr>
          <w:rFonts w:ascii="Georgia" w:hAnsi="Georgia" w:cs="Arial"/>
        </w:rPr>
        <w:t>sost</w:t>
      </w:r>
      <w:r w:rsidR="17102B2C" w:rsidRPr="00AF0F06">
        <w:rPr>
          <w:rFonts w:ascii="Georgia" w:hAnsi="Georgia" w:cs="Arial"/>
        </w:rPr>
        <w:t>iene</w:t>
      </w:r>
      <w:r w:rsidR="0B4BD825" w:rsidRPr="00AF0F06">
        <w:rPr>
          <w:rFonts w:ascii="Georgia" w:hAnsi="Georgia" w:cs="Arial"/>
        </w:rPr>
        <w:t xml:space="preserve"> la citada </w:t>
      </w:r>
      <w:r w:rsidR="001D253E" w:rsidRPr="00AF0F06">
        <w:rPr>
          <w:rFonts w:ascii="Georgia" w:hAnsi="Georgia" w:cs="Arial"/>
        </w:rPr>
        <w:t xml:space="preserve">Corporación </w:t>
      </w:r>
      <w:r w:rsidR="4B2327FB" w:rsidRPr="00AF0F06">
        <w:rPr>
          <w:rFonts w:ascii="Georgia" w:hAnsi="Georgia" w:cs="Arial"/>
        </w:rPr>
        <w:t xml:space="preserve">en </w:t>
      </w:r>
      <w:r w:rsidR="00A4720E" w:rsidRPr="00AF0F06">
        <w:rPr>
          <w:rFonts w:ascii="Georgia" w:hAnsi="Georgia" w:cs="Arial"/>
        </w:rPr>
        <w:t>reciente (25-03-2021)</w:t>
      </w:r>
      <w:r w:rsidR="00A4720E" w:rsidRPr="00AF0F06">
        <w:rPr>
          <w:rStyle w:val="Refdenotaalpie"/>
          <w:rFonts w:ascii="Georgia" w:hAnsi="Georgia"/>
        </w:rPr>
        <w:footnoteReference w:id="23"/>
      </w:r>
      <w:r w:rsidR="001D253E" w:rsidRPr="00AF0F06">
        <w:rPr>
          <w:rFonts w:ascii="Georgia" w:hAnsi="Georgia" w:cs="Arial"/>
        </w:rPr>
        <w:t xml:space="preserve"> decisión</w:t>
      </w:r>
      <w:r w:rsidR="00A4720E" w:rsidRPr="00AF0F06">
        <w:rPr>
          <w:rFonts w:ascii="Georgia" w:hAnsi="Georgia" w:cs="Arial"/>
        </w:rPr>
        <w:t xml:space="preserve">: </w:t>
      </w:r>
    </w:p>
    <w:p w14:paraId="4090584D" w14:textId="7C9869AC" w:rsidR="00A4720E" w:rsidRPr="00AF0F06" w:rsidRDefault="00A4720E" w:rsidP="00AF0F06">
      <w:pPr>
        <w:pStyle w:val="Sinespaciado"/>
        <w:spacing w:line="276" w:lineRule="auto"/>
        <w:jc w:val="both"/>
        <w:rPr>
          <w:rFonts w:ascii="Georgia" w:hAnsi="Georgia" w:cs="Arial"/>
        </w:rPr>
      </w:pPr>
    </w:p>
    <w:p w14:paraId="6AC8D7CC" w14:textId="3310F626" w:rsidR="00A35FAF" w:rsidRPr="002857F7" w:rsidRDefault="00A4720E" w:rsidP="002857F7">
      <w:pPr>
        <w:ind w:left="426" w:right="418"/>
        <w:jc w:val="both"/>
        <w:rPr>
          <w:rFonts w:ascii="Georgia" w:hAnsi="Georgia" w:cs="Arial"/>
          <w:sz w:val="22"/>
          <w:szCs w:val="24"/>
          <w:lang w:val="es-ES_tradnl"/>
        </w:rPr>
      </w:pPr>
      <w:r w:rsidRPr="002857F7">
        <w:rPr>
          <w:rFonts w:ascii="Georgia" w:hAnsi="Georgia"/>
          <w:sz w:val="22"/>
          <w:szCs w:val="24"/>
        </w:rPr>
        <w:t xml:space="preserve">… </w:t>
      </w:r>
      <w:r w:rsidR="00A35FAF" w:rsidRPr="002857F7">
        <w:rPr>
          <w:rFonts w:ascii="Georgia" w:hAnsi="Georgia"/>
          <w:sz w:val="22"/>
          <w:szCs w:val="24"/>
        </w:rPr>
        <w:t xml:space="preserve">conforme al cuestionamiento del actor relativo a que ya había expuesto los argumentos de la alzada ante el </w:t>
      </w:r>
      <w:r w:rsidR="00A35FAF" w:rsidRPr="002857F7">
        <w:rPr>
          <w:rFonts w:ascii="Georgia" w:hAnsi="Georgia"/>
          <w:i/>
          <w:sz w:val="22"/>
          <w:szCs w:val="24"/>
        </w:rPr>
        <w:t>a quo</w:t>
      </w:r>
      <w:r w:rsidR="00A35FAF" w:rsidRPr="002857F7">
        <w:rPr>
          <w:rFonts w:ascii="Georgia" w:hAnsi="Georgia"/>
          <w:sz w:val="22"/>
          <w:szCs w:val="24"/>
        </w:rPr>
        <w:t xml:space="preserve">, se debe resaltar </w:t>
      </w:r>
      <w:r w:rsidR="00A35FAF" w:rsidRPr="002857F7">
        <w:rPr>
          <w:rFonts w:ascii="Georgia" w:hAnsi="Georgia"/>
          <w:sz w:val="22"/>
          <w:szCs w:val="24"/>
          <w:u w:val="single"/>
        </w:rPr>
        <w:t>que en sede de apelación, el</w:t>
      </w:r>
      <w:r w:rsidR="00A35FAF" w:rsidRPr="002857F7">
        <w:rPr>
          <w:rFonts w:ascii="Georgia" w:hAnsi="Georgia" w:cs="Arial"/>
          <w:sz w:val="22"/>
          <w:szCs w:val="24"/>
          <w:u w:val="single"/>
        </w:rPr>
        <w:t xml:space="preserve"> recurrente, posterior a la admisión del remedio vertical, igualmente, debe sustentar el recurso ante el fallador de segundo grado,</w:t>
      </w:r>
      <w:r w:rsidR="00A35FAF" w:rsidRPr="002857F7">
        <w:rPr>
          <w:rFonts w:ascii="Georgia" w:hAnsi="Georgia" w:cs="Arial"/>
          <w:sz w:val="22"/>
          <w:szCs w:val="24"/>
        </w:rPr>
        <w:t xml:space="preserve"> ya sea en audiencia, conforme a lo dictado por el Código General del Proceso, o por escrito, como lo regló el Decreto 806 de 2020, </w:t>
      </w:r>
      <w:r w:rsidR="00A35FAF" w:rsidRPr="002857F7">
        <w:rPr>
          <w:rFonts w:ascii="Georgia" w:hAnsi="Georgia" w:cs="Arial"/>
          <w:b/>
          <w:sz w:val="22"/>
          <w:szCs w:val="24"/>
        </w:rPr>
        <w:t xml:space="preserve">y no en instancias previas o en otros momentos procesales. </w:t>
      </w:r>
    </w:p>
    <w:p w14:paraId="360B8FB7" w14:textId="77777777" w:rsidR="00A35FAF" w:rsidRPr="002857F7" w:rsidRDefault="00A35FAF" w:rsidP="002857F7">
      <w:pPr>
        <w:ind w:left="426" w:right="418"/>
        <w:jc w:val="both"/>
        <w:rPr>
          <w:rFonts w:ascii="Georgia" w:hAnsi="Georgia"/>
          <w:sz w:val="22"/>
          <w:szCs w:val="24"/>
          <w:lang w:eastAsia="es-ES_tradnl"/>
        </w:rPr>
      </w:pPr>
    </w:p>
    <w:p w14:paraId="74953AD1" w14:textId="424D2EDC" w:rsidR="00A35FAF" w:rsidRPr="002857F7" w:rsidRDefault="00A35FAF" w:rsidP="002857F7">
      <w:pPr>
        <w:ind w:left="426" w:right="418"/>
        <w:jc w:val="both"/>
        <w:rPr>
          <w:rFonts w:ascii="Georgia" w:hAnsi="Georgia"/>
          <w:sz w:val="22"/>
          <w:szCs w:val="24"/>
        </w:rPr>
      </w:pPr>
      <w:r w:rsidRPr="002857F7">
        <w:rPr>
          <w:rFonts w:ascii="Georgia" w:hAnsi="Georgia"/>
          <w:sz w:val="22"/>
          <w:szCs w:val="24"/>
        </w:rPr>
        <w:t>Lo anterior, por cuanto reiteradamente la Sala ha expresado:</w:t>
      </w:r>
    </w:p>
    <w:p w14:paraId="260B8DC2" w14:textId="77777777" w:rsidR="005127E5" w:rsidRPr="002857F7" w:rsidRDefault="005127E5" w:rsidP="002857F7">
      <w:pPr>
        <w:ind w:left="426" w:right="418"/>
        <w:jc w:val="both"/>
        <w:rPr>
          <w:rFonts w:ascii="Georgia" w:hAnsi="Georgia"/>
          <w:sz w:val="22"/>
          <w:szCs w:val="24"/>
        </w:rPr>
      </w:pPr>
    </w:p>
    <w:p w14:paraId="05FE5E39" w14:textId="29BCEF34" w:rsidR="00A35FAF" w:rsidRPr="002857F7" w:rsidRDefault="00A35FAF" w:rsidP="002857F7">
      <w:pPr>
        <w:widowControl w:val="0"/>
        <w:ind w:left="851" w:right="843"/>
        <w:jc w:val="both"/>
        <w:rPr>
          <w:rFonts w:ascii="Georgia" w:hAnsi="Georgia" w:cs="Arial"/>
          <w:i/>
          <w:sz w:val="22"/>
          <w:szCs w:val="24"/>
        </w:rPr>
      </w:pPr>
      <w:r w:rsidRPr="002857F7">
        <w:rPr>
          <w:rFonts w:ascii="Georgia" w:hAnsi="Georgia" w:cs="Arial"/>
          <w:i/>
          <w:sz w:val="22"/>
          <w:szCs w:val="24"/>
        </w:rPr>
        <w:t xml:space="preserve">[…] lo cierto es que lo ocurrido en el proceso en forma visible, es que el Tribunal acogió una posición contraria a la jurisprudencia decantada de esta sala, dando por válidas las alegaciones presentadas en primera instancia, sin tener en cuenta que la intención del legislador, ratificada por la sentencia unificadora SU 418 de 2019 de la Corte Constitucional, es que la sustentación ante el juez de segunda instancia es obligatoria, sea en forma oral como lo establece el Código General del Proceso, ya por escrito como lo señala el decreto 806 de 2020, pero en todo caso ante el juez ad </w:t>
      </w:r>
      <w:proofErr w:type="spellStart"/>
      <w:r w:rsidRPr="002857F7">
        <w:rPr>
          <w:rFonts w:ascii="Georgia" w:hAnsi="Georgia" w:cs="Arial"/>
          <w:i/>
          <w:sz w:val="22"/>
          <w:szCs w:val="24"/>
        </w:rPr>
        <w:t>quem</w:t>
      </w:r>
      <w:proofErr w:type="spellEnd"/>
      <w:r w:rsidRPr="002857F7">
        <w:rPr>
          <w:rFonts w:ascii="Georgia" w:hAnsi="Georgia" w:cs="Arial"/>
          <w:i/>
          <w:sz w:val="22"/>
          <w:szCs w:val="24"/>
        </w:rPr>
        <w:t>, y que no son válidos los argumentos acogidos por el fallador acusado de dar validez y eficacia a los argumentos allegados cuando se propuso el recurso o sea los presentados ante el juez de primera instancia así sean muy completos.</w:t>
      </w:r>
    </w:p>
    <w:p w14:paraId="50316F0A" w14:textId="77777777" w:rsidR="00A4720E" w:rsidRPr="002857F7" w:rsidRDefault="00A4720E" w:rsidP="002857F7">
      <w:pPr>
        <w:widowControl w:val="0"/>
        <w:ind w:left="851" w:right="843"/>
        <w:jc w:val="both"/>
        <w:rPr>
          <w:rFonts w:ascii="Georgia" w:hAnsi="Georgia" w:cs="Arial"/>
          <w:i/>
          <w:sz w:val="22"/>
          <w:szCs w:val="24"/>
        </w:rPr>
      </w:pPr>
    </w:p>
    <w:p w14:paraId="0FA20971" w14:textId="155F61BB" w:rsidR="00A35FAF" w:rsidRPr="002857F7" w:rsidRDefault="00A35FAF" w:rsidP="002857F7">
      <w:pPr>
        <w:pStyle w:val="Sinespaciado"/>
        <w:ind w:left="851" w:right="843"/>
        <w:jc w:val="both"/>
        <w:rPr>
          <w:rFonts w:ascii="Georgia" w:hAnsi="Georgia" w:cs="Arial"/>
          <w:sz w:val="22"/>
        </w:rPr>
      </w:pPr>
      <w:r w:rsidRPr="002857F7">
        <w:rPr>
          <w:rFonts w:ascii="Georgia" w:hAnsi="Georgia" w:cs="Arial"/>
          <w:i/>
          <w:sz w:val="22"/>
        </w:rPr>
        <w:t xml:space="preserve">En esa forma, le asiste razón a la accionante en tutela cuando señala el error en que incurrió el fallador civil al dar trámite completo al recurso de apelación sin la sustentación del recurso en segunda instancia </w:t>
      </w:r>
      <w:r w:rsidRPr="002857F7">
        <w:rPr>
          <w:rFonts w:ascii="Georgia" w:hAnsi="Georgia" w:cs="Arial"/>
          <w:sz w:val="22"/>
        </w:rPr>
        <w:t>(CSJ STC705-2021. feb. 3 de 2021. rad. 2021-00101.00).</w:t>
      </w:r>
    </w:p>
    <w:p w14:paraId="0734EDF2" w14:textId="77777777" w:rsidR="009C68C7" w:rsidRPr="00AF0F06" w:rsidRDefault="009C68C7" w:rsidP="00AF0F06">
      <w:pPr>
        <w:pStyle w:val="Sinespaciado"/>
        <w:spacing w:line="276" w:lineRule="auto"/>
        <w:ind w:left="1134" w:right="567"/>
        <w:jc w:val="both"/>
        <w:rPr>
          <w:rFonts w:ascii="Georgia" w:hAnsi="Georgia" w:cs="Arial"/>
        </w:rPr>
      </w:pPr>
    </w:p>
    <w:p w14:paraId="54573E6D" w14:textId="6CCC363C" w:rsidR="007030EF" w:rsidRPr="00AF0F06" w:rsidRDefault="007030EF" w:rsidP="00AF0F06">
      <w:pPr>
        <w:pStyle w:val="Cuerpodeltexto0"/>
        <w:shd w:val="clear" w:color="auto" w:fill="auto"/>
        <w:spacing w:after="0" w:line="276" w:lineRule="auto"/>
        <w:rPr>
          <w:rFonts w:ascii="Georgia" w:hAnsi="Georgia" w:cs="Arial"/>
          <w:sz w:val="24"/>
          <w:szCs w:val="24"/>
        </w:rPr>
      </w:pPr>
      <w:r w:rsidRPr="00AF0F06">
        <w:rPr>
          <w:rFonts w:ascii="Georgia" w:hAnsi="Georgia" w:cs="Arial"/>
          <w:sz w:val="24"/>
          <w:szCs w:val="24"/>
        </w:rPr>
        <w:t xml:space="preserve">Es </w:t>
      </w:r>
      <w:r w:rsidR="002C7ABF" w:rsidRPr="00AF0F06">
        <w:rPr>
          <w:rFonts w:ascii="Georgia" w:hAnsi="Georgia" w:cs="Arial"/>
          <w:sz w:val="24"/>
          <w:szCs w:val="24"/>
        </w:rPr>
        <w:t>inadmisible estimar que con la declaratoria de deserción se ha privilegiado el derecho procedimental sobre el sustancial, pues como señaló, de tiempo atrás, la jurisprudencia del órgano de cierre de la especialidad (CSJ)</w:t>
      </w:r>
      <w:r w:rsidR="002C7ABF" w:rsidRPr="00AF0F06">
        <w:rPr>
          <w:rStyle w:val="Refdenotaalpie"/>
          <w:rFonts w:ascii="Georgia" w:hAnsi="Georgia"/>
          <w:sz w:val="24"/>
          <w:szCs w:val="24"/>
        </w:rPr>
        <w:footnoteReference w:id="24"/>
      </w:r>
      <w:r w:rsidR="002C7ABF" w:rsidRPr="00AF0F06">
        <w:rPr>
          <w:rFonts w:ascii="Georgia" w:hAnsi="Georgia" w:cs="Arial"/>
          <w:sz w:val="24"/>
          <w:szCs w:val="24"/>
        </w:rPr>
        <w:t xml:space="preserve">: </w:t>
      </w:r>
      <w:r w:rsidR="002C7ABF" w:rsidRPr="00AF0F06">
        <w:rPr>
          <w:rFonts w:ascii="Georgia" w:hAnsi="Georgia" w:cs="Arial"/>
          <w:i/>
          <w:sz w:val="24"/>
          <w:szCs w:val="24"/>
        </w:rPr>
        <w:t>“</w:t>
      </w:r>
      <w:r w:rsidR="002C7ABF" w:rsidRPr="002857F7">
        <w:rPr>
          <w:rFonts w:ascii="Georgia" w:hAnsi="Georgia" w:cs="Arial"/>
          <w:i/>
          <w:sz w:val="22"/>
          <w:szCs w:val="24"/>
        </w:rPr>
        <w:t>la prevalencia del derecho sustancial prevista en el artículo 228 de la Constitución Nacional no significa la proscripción de las formas y principios consagrados en el derecho procesal, porque es a través del proceso, entendido éste como un conjunto de actos destinados a la dación del derecho, como los órganos jurisdiccionales administran justicia</w:t>
      </w:r>
      <w:r w:rsidR="002C7ABF" w:rsidRPr="00AF0F06">
        <w:rPr>
          <w:rFonts w:ascii="Georgia" w:hAnsi="Georgia" w:cs="Arial"/>
          <w:i/>
          <w:sz w:val="24"/>
          <w:szCs w:val="24"/>
        </w:rPr>
        <w:t>”</w:t>
      </w:r>
      <w:r w:rsidR="002C7ABF" w:rsidRPr="00AF0F06">
        <w:rPr>
          <w:rFonts w:ascii="Georgia" w:hAnsi="Georgia" w:cs="Arial"/>
          <w:sz w:val="24"/>
          <w:szCs w:val="24"/>
        </w:rPr>
        <w:t xml:space="preserve">.  </w:t>
      </w:r>
    </w:p>
    <w:p w14:paraId="2DBDB270" w14:textId="77777777" w:rsidR="007030EF" w:rsidRPr="00AF0F06" w:rsidRDefault="007030EF" w:rsidP="00AF0F06">
      <w:pPr>
        <w:pStyle w:val="Cuerpodeltexto0"/>
        <w:shd w:val="clear" w:color="auto" w:fill="auto"/>
        <w:spacing w:after="0" w:line="276" w:lineRule="auto"/>
        <w:rPr>
          <w:rFonts w:ascii="Georgia" w:hAnsi="Georgia" w:cs="Arial"/>
          <w:sz w:val="24"/>
          <w:szCs w:val="24"/>
        </w:rPr>
      </w:pPr>
    </w:p>
    <w:p w14:paraId="69E9DBA3" w14:textId="472BB4F4" w:rsidR="002C7ABF" w:rsidRPr="00AF0F06" w:rsidRDefault="007030EF" w:rsidP="00AF0F06">
      <w:pPr>
        <w:pStyle w:val="Cuerpodeltexto0"/>
        <w:shd w:val="clear" w:color="auto" w:fill="auto"/>
        <w:spacing w:after="0" w:line="276" w:lineRule="auto"/>
        <w:rPr>
          <w:rFonts w:ascii="Georgia" w:hAnsi="Georgia" w:cs="Arial"/>
          <w:sz w:val="24"/>
          <w:szCs w:val="24"/>
        </w:rPr>
      </w:pPr>
      <w:r w:rsidRPr="00AF0F06">
        <w:rPr>
          <w:rFonts w:ascii="Georgia" w:hAnsi="Georgia" w:cs="Arial"/>
          <w:sz w:val="24"/>
          <w:szCs w:val="24"/>
        </w:rPr>
        <w:t xml:space="preserve">Finalmente, la </w:t>
      </w:r>
      <w:r w:rsidR="002C7ABF" w:rsidRPr="00AF0F06">
        <w:rPr>
          <w:rFonts w:ascii="Georgia" w:hAnsi="Georgia" w:cs="Arial"/>
          <w:sz w:val="24"/>
          <w:szCs w:val="24"/>
        </w:rPr>
        <w:t xml:space="preserve">interpretación normativa reclamada por el recurrente, al tenor del artículo 11, CGP, es inaplicable pues contrario a su querer, acorde </w:t>
      </w:r>
      <w:r w:rsidR="4EC77230" w:rsidRPr="00AF0F06">
        <w:rPr>
          <w:rFonts w:ascii="Georgia" w:hAnsi="Georgia" w:cs="Arial"/>
          <w:sz w:val="24"/>
          <w:szCs w:val="24"/>
        </w:rPr>
        <w:t xml:space="preserve">con </w:t>
      </w:r>
      <w:r w:rsidR="002C7ABF" w:rsidRPr="00AF0F06">
        <w:rPr>
          <w:rFonts w:ascii="Georgia" w:hAnsi="Georgia" w:cs="Arial"/>
          <w:sz w:val="24"/>
          <w:szCs w:val="24"/>
        </w:rPr>
        <w:t xml:space="preserve">los artículos 322, CGP y 14° del Decreto 806 de 2020, </w:t>
      </w:r>
      <w:r w:rsidR="764EDFED" w:rsidRPr="00AF0F06">
        <w:rPr>
          <w:rFonts w:ascii="Georgia" w:hAnsi="Georgia" w:cs="Arial"/>
          <w:sz w:val="24"/>
          <w:szCs w:val="24"/>
        </w:rPr>
        <w:t xml:space="preserve">contienen enunciados </w:t>
      </w:r>
      <w:r w:rsidR="708856DA" w:rsidRPr="00AF0F06">
        <w:rPr>
          <w:rFonts w:ascii="Georgia" w:hAnsi="Georgia" w:cs="Arial"/>
          <w:sz w:val="24"/>
          <w:szCs w:val="24"/>
        </w:rPr>
        <w:t>complementarios</w:t>
      </w:r>
      <w:r w:rsidRPr="00AF0F06">
        <w:rPr>
          <w:rFonts w:ascii="Georgia" w:hAnsi="Georgia" w:cs="Arial"/>
          <w:sz w:val="24"/>
          <w:szCs w:val="24"/>
        </w:rPr>
        <w:t xml:space="preserve">, </w:t>
      </w:r>
      <w:r w:rsidR="0DE95926" w:rsidRPr="00AF0F06">
        <w:rPr>
          <w:rFonts w:ascii="Georgia" w:hAnsi="Georgia" w:cs="Arial"/>
          <w:sz w:val="24"/>
          <w:szCs w:val="24"/>
        </w:rPr>
        <w:t xml:space="preserve">prescriptivos de </w:t>
      </w:r>
      <w:r w:rsidR="144FEF8A" w:rsidRPr="00AF0F06">
        <w:rPr>
          <w:rFonts w:ascii="Georgia" w:hAnsi="Georgia" w:cs="Arial"/>
          <w:sz w:val="24"/>
          <w:szCs w:val="24"/>
        </w:rPr>
        <w:t xml:space="preserve">que </w:t>
      </w:r>
      <w:r w:rsidRPr="00AF0F06">
        <w:rPr>
          <w:rFonts w:ascii="Georgia" w:hAnsi="Georgia" w:cs="Arial"/>
          <w:sz w:val="24"/>
          <w:szCs w:val="24"/>
        </w:rPr>
        <w:t>la sustentación de</w:t>
      </w:r>
      <w:r w:rsidR="2EC63D07" w:rsidRPr="00AF0F06">
        <w:rPr>
          <w:rFonts w:ascii="Georgia" w:hAnsi="Georgia" w:cs="Arial"/>
          <w:sz w:val="24"/>
          <w:szCs w:val="24"/>
        </w:rPr>
        <w:t xml:space="preserve"> la impugnación de </w:t>
      </w:r>
      <w:r w:rsidRPr="00AF0F06">
        <w:rPr>
          <w:rFonts w:ascii="Georgia" w:hAnsi="Georgia" w:cs="Arial"/>
          <w:sz w:val="24"/>
          <w:szCs w:val="24"/>
        </w:rPr>
        <w:t xml:space="preserve">las sentencias, </w:t>
      </w:r>
      <w:r w:rsidR="03CA600B" w:rsidRPr="00AF0F06">
        <w:rPr>
          <w:rFonts w:ascii="Georgia" w:hAnsi="Georgia" w:cs="Arial"/>
          <w:sz w:val="24"/>
          <w:szCs w:val="24"/>
        </w:rPr>
        <w:t xml:space="preserve">se cumple ante </w:t>
      </w:r>
      <w:r w:rsidRPr="00AF0F06">
        <w:rPr>
          <w:rFonts w:ascii="Georgia" w:hAnsi="Georgia" w:cs="Arial"/>
          <w:sz w:val="24"/>
          <w:szCs w:val="24"/>
        </w:rPr>
        <w:t>el superior</w:t>
      </w:r>
      <w:r w:rsidR="18AAC318" w:rsidRPr="00AF0F06">
        <w:rPr>
          <w:rFonts w:ascii="Georgia" w:hAnsi="Georgia" w:cs="Arial"/>
          <w:sz w:val="24"/>
          <w:szCs w:val="24"/>
        </w:rPr>
        <w:t>, por muy inconveniente que acaso pudiera parecer.</w:t>
      </w:r>
    </w:p>
    <w:p w14:paraId="55EB3366" w14:textId="77777777" w:rsidR="001D2330" w:rsidRPr="00AF0F06" w:rsidRDefault="001D2330" w:rsidP="00AF0F06">
      <w:pPr>
        <w:pStyle w:val="Sinespaciado"/>
        <w:spacing w:line="276" w:lineRule="auto"/>
        <w:jc w:val="both"/>
        <w:rPr>
          <w:rFonts w:ascii="Georgia" w:hAnsi="Georgia" w:cs="Arial"/>
        </w:rPr>
      </w:pPr>
    </w:p>
    <w:p w14:paraId="3AD728A7" w14:textId="6D9A2B01" w:rsidR="003D663C" w:rsidRPr="00AF0F06" w:rsidRDefault="00C41DC2" w:rsidP="00AF0F06">
      <w:pPr>
        <w:pStyle w:val="Sinespaciado"/>
        <w:spacing w:line="276" w:lineRule="auto"/>
        <w:jc w:val="both"/>
        <w:rPr>
          <w:rFonts w:ascii="Georgia" w:hAnsi="Georgia" w:cs="Arial"/>
        </w:rPr>
      </w:pPr>
      <w:r w:rsidRPr="00AF0F06">
        <w:rPr>
          <w:rFonts w:ascii="Georgia" w:hAnsi="Georgia" w:cs="Arial"/>
        </w:rPr>
        <w:t>Corolario de lo expuesto</w:t>
      </w:r>
      <w:r w:rsidR="003D663C" w:rsidRPr="00AF0F06">
        <w:rPr>
          <w:rFonts w:ascii="Georgia" w:hAnsi="Georgia" w:cs="Arial"/>
        </w:rPr>
        <w:t xml:space="preserve">, </w:t>
      </w:r>
      <w:r w:rsidR="00FC71C5" w:rsidRPr="00AF0F06">
        <w:rPr>
          <w:rFonts w:ascii="Georgia" w:hAnsi="Georgia" w:cs="Arial"/>
        </w:rPr>
        <w:t xml:space="preserve">no se repondrá el auto </w:t>
      </w:r>
      <w:r w:rsidR="642D38D7" w:rsidRPr="00AF0F06">
        <w:rPr>
          <w:rFonts w:ascii="Georgia" w:hAnsi="Georgia" w:cs="Arial"/>
        </w:rPr>
        <w:t xml:space="preserve">sobre </w:t>
      </w:r>
      <w:r w:rsidR="00FC71C5" w:rsidRPr="00AF0F06">
        <w:rPr>
          <w:rFonts w:ascii="Georgia" w:hAnsi="Georgia" w:cs="Arial"/>
        </w:rPr>
        <w:t xml:space="preserve">la deserción de </w:t>
      </w:r>
      <w:r w:rsidR="670E47AF" w:rsidRPr="00AF0F06">
        <w:rPr>
          <w:rFonts w:ascii="Georgia" w:hAnsi="Georgia" w:cs="Arial"/>
        </w:rPr>
        <w:t xml:space="preserve">la alzada </w:t>
      </w:r>
      <w:r w:rsidR="00FC71C5" w:rsidRPr="00AF0F06">
        <w:rPr>
          <w:rFonts w:ascii="Georgia" w:hAnsi="Georgia" w:cs="Arial"/>
        </w:rPr>
        <w:t xml:space="preserve">contra </w:t>
      </w:r>
      <w:r w:rsidR="00FC71C5" w:rsidRPr="00AF0F06">
        <w:rPr>
          <w:rFonts w:ascii="Georgia" w:hAnsi="Georgia" w:cs="Arial"/>
        </w:rPr>
        <w:lastRenderedPageBreak/>
        <w:t xml:space="preserve">el fallo </w:t>
      </w:r>
      <w:r w:rsidR="00B54036" w:rsidRPr="00AF0F06">
        <w:rPr>
          <w:rFonts w:ascii="Georgia" w:hAnsi="Georgia" w:cs="Arial"/>
        </w:rPr>
        <w:t>y, en esas condiciones, tampoco hay lugar a resolver sobre la suspensión del proceso.</w:t>
      </w:r>
    </w:p>
    <w:p w14:paraId="522D735E" w14:textId="77777777" w:rsidR="00003A98" w:rsidRPr="00AF0F06" w:rsidRDefault="00003A98" w:rsidP="00AF0F06">
      <w:pPr>
        <w:pStyle w:val="Sinespaciado"/>
        <w:spacing w:line="276" w:lineRule="auto"/>
        <w:jc w:val="both"/>
        <w:rPr>
          <w:rFonts w:ascii="Georgia" w:hAnsi="Georgia" w:cs="Arial"/>
        </w:rPr>
      </w:pPr>
    </w:p>
    <w:p w14:paraId="7C2AC01C" w14:textId="627B8576" w:rsidR="008C4F68" w:rsidRPr="00AF0F06" w:rsidRDefault="008C4F68" w:rsidP="00AF0F06">
      <w:pPr>
        <w:pStyle w:val="Prrafodelista"/>
        <w:numPr>
          <w:ilvl w:val="0"/>
          <w:numId w:val="15"/>
        </w:numPr>
        <w:spacing w:line="276" w:lineRule="auto"/>
        <w:jc w:val="both"/>
        <w:rPr>
          <w:rFonts w:ascii="Georgia" w:hAnsi="Georgia" w:cs="Arial"/>
          <w:b/>
          <w:smallCaps/>
          <w:sz w:val="24"/>
          <w:szCs w:val="24"/>
        </w:rPr>
      </w:pPr>
      <w:r w:rsidRPr="00AF0F06">
        <w:rPr>
          <w:rFonts w:ascii="Georgia" w:hAnsi="Georgia" w:cs="Arial"/>
          <w:b/>
          <w:smallCaps/>
          <w:sz w:val="24"/>
          <w:szCs w:val="24"/>
        </w:rPr>
        <w:t>Las decisiones finales</w:t>
      </w:r>
    </w:p>
    <w:p w14:paraId="7C2AC01D" w14:textId="0187F181" w:rsidR="008C4F68" w:rsidRPr="00AF0F06" w:rsidRDefault="008C4F68" w:rsidP="00AF0F06">
      <w:pPr>
        <w:pStyle w:val="Textopredeterminado"/>
        <w:spacing w:line="276" w:lineRule="auto"/>
        <w:jc w:val="both"/>
        <w:rPr>
          <w:rFonts w:ascii="Georgia" w:hAnsi="Georgia" w:cs="Arial"/>
          <w:color w:val="auto"/>
          <w:szCs w:val="24"/>
        </w:rPr>
      </w:pPr>
    </w:p>
    <w:p w14:paraId="7C2AC01E" w14:textId="7A8FD1B4" w:rsidR="008C4F68" w:rsidRPr="00AF0F06" w:rsidRDefault="008C4F68" w:rsidP="00AF0F06">
      <w:pPr>
        <w:pStyle w:val="Textopredeterminado"/>
        <w:spacing w:line="276" w:lineRule="auto"/>
        <w:jc w:val="both"/>
        <w:rPr>
          <w:rFonts w:ascii="Georgia" w:hAnsi="Georgia" w:cs="Arial"/>
          <w:color w:val="auto"/>
          <w:szCs w:val="24"/>
        </w:rPr>
      </w:pPr>
      <w:r w:rsidRPr="00AF0F06">
        <w:rPr>
          <w:rFonts w:ascii="Georgia" w:hAnsi="Georgia" w:cs="Arial"/>
          <w:color w:val="auto"/>
          <w:szCs w:val="24"/>
        </w:rPr>
        <w:t>Con estribo en las premisas anteriores</w:t>
      </w:r>
      <w:r w:rsidR="00B26A73" w:rsidRPr="00AF0F06">
        <w:rPr>
          <w:rFonts w:ascii="Georgia" w:hAnsi="Georgia" w:cs="Arial"/>
          <w:color w:val="auto"/>
          <w:szCs w:val="24"/>
        </w:rPr>
        <w:t>, se dispondrá</w:t>
      </w:r>
      <w:r w:rsidRPr="00AF0F06">
        <w:rPr>
          <w:rFonts w:ascii="Georgia" w:hAnsi="Georgia" w:cs="Arial"/>
          <w:color w:val="auto"/>
          <w:szCs w:val="24"/>
        </w:rPr>
        <w:t xml:space="preserve">: </w:t>
      </w:r>
      <w:r w:rsidRPr="00AF0F06">
        <w:rPr>
          <w:rFonts w:ascii="Georgia" w:hAnsi="Georgia" w:cs="Arial"/>
          <w:b/>
          <w:color w:val="auto"/>
          <w:szCs w:val="24"/>
        </w:rPr>
        <w:t>(i)</w:t>
      </w:r>
      <w:r w:rsidRPr="00AF0F06">
        <w:rPr>
          <w:rFonts w:ascii="Georgia" w:hAnsi="Georgia" w:cs="Arial"/>
          <w:color w:val="auto"/>
          <w:szCs w:val="24"/>
        </w:rPr>
        <w:t xml:space="preserve"> </w:t>
      </w:r>
      <w:r w:rsidR="00C41DC2" w:rsidRPr="00AF0F06">
        <w:rPr>
          <w:rFonts w:ascii="Georgia" w:hAnsi="Georgia" w:cs="Arial"/>
          <w:color w:val="auto"/>
          <w:szCs w:val="24"/>
        </w:rPr>
        <w:t>No reponer el proveído que declaró l</w:t>
      </w:r>
      <w:r w:rsidR="00B26A73" w:rsidRPr="00AF0F06">
        <w:rPr>
          <w:rFonts w:ascii="Georgia" w:hAnsi="Georgia" w:cs="Arial"/>
          <w:color w:val="auto"/>
          <w:szCs w:val="24"/>
        </w:rPr>
        <w:t>a deserción del recurso;</w:t>
      </w:r>
      <w:r w:rsidR="00797CB2" w:rsidRPr="00AF0F06">
        <w:rPr>
          <w:rFonts w:ascii="Georgia" w:hAnsi="Georgia" w:cs="Arial"/>
          <w:color w:val="auto"/>
          <w:szCs w:val="24"/>
        </w:rPr>
        <w:t xml:space="preserve"> y, </w:t>
      </w:r>
      <w:r w:rsidR="00B26A73" w:rsidRPr="00AF0F06">
        <w:rPr>
          <w:rFonts w:ascii="Georgia" w:hAnsi="Georgia" w:cs="Arial"/>
          <w:b/>
          <w:color w:val="auto"/>
          <w:szCs w:val="24"/>
        </w:rPr>
        <w:t>(ii)</w:t>
      </w:r>
      <w:r w:rsidR="00B26A73" w:rsidRPr="00AF0F06">
        <w:rPr>
          <w:rFonts w:ascii="Georgia" w:hAnsi="Georgia" w:cs="Arial"/>
          <w:color w:val="auto"/>
          <w:szCs w:val="24"/>
        </w:rPr>
        <w:t xml:space="preserve"> </w:t>
      </w:r>
      <w:r w:rsidRPr="00AF0F06">
        <w:rPr>
          <w:rFonts w:ascii="Georgia" w:hAnsi="Georgia" w:cs="Arial"/>
          <w:color w:val="auto"/>
          <w:szCs w:val="24"/>
        </w:rPr>
        <w:t xml:space="preserve">Se advertirá que esta decisión es irrecurrible </w:t>
      </w:r>
      <w:r w:rsidR="00797CB2" w:rsidRPr="00AF0F06">
        <w:rPr>
          <w:rFonts w:ascii="Georgia" w:hAnsi="Georgia" w:cs="Arial"/>
          <w:color w:val="auto"/>
          <w:szCs w:val="24"/>
        </w:rPr>
        <w:t>(Artículo 318, CGP)</w:t>
      </w:r>
      <w:r w:rsidRPr="00AF0F06">
        <w:rPr>
          <w:rFonts w:ascii="Georgia" w:hAnsi="Georgia" w:cs="Arial"/>
          <w:color w:val="auto"/>
          <w:szCs w:val="24"/>
        </w:rPr>
        <w:t>.</w:t>
      </w:r>
    </w:p>
    <w:p w14:paraId="02EE5987" w14:textId="77777777" w:rsidR="00173A56" w:rsidRPr="00AF0F06" w:rsidRDefault="00173A56" w:rsidP="00AF0F06">
      <w:pPr>
        <w:pStyle w:val="Textopredeterminado"/>
        <w:spacing w:line="276" w:lineRule="auto"/>
        <w:jc w:val="both"/>
        <w:rPr>
          <w:rFonts w:ascii="Georgia" w:hAnsi="Georgia" w:cs="Arial"/>
          <w:color w:val="auto"/>
          <w:szCs w:val="24"/>
        </w:rPr>
      </w:pPr>
    </w:p>
    <w:p w14:paraId="7C2AC020" w14:textId="1AC1519B" w:rsidR="008C4F68" w:rsidRPr="00AF0F06" w:rsidRDefault="008C4F68" w:rsidP="00AF0F06">
      <w:pPr>
        <w:suppressAutoHyphens/>
        <w:spacing w:line="276" w:lineRule="auto"/>
        <w:jc w:val="both"/>
        <w:rPr>
          <w:rFonts w:ascii="Georgia" w:hAnsi="Georgia" w:cs="Arial"/>
          <w:spacing w:val="-3"/>
          <w:sz w:val="24"/>
          <w:szCs w:val="24"/>
        </w:rPr>
      </w:pPr>
      <w:r w:rsidRPr="00AF0F06">
        <w:rPr>
          <w:rFonts w:ascii="Georgia" w:hAnsi="Georgia" w:cs="Arial"/>
          <w:sz w:val="24"/>
          <w:szCs w:val="24"/>
        </w:rPr>
        <w:t xml:space="preserve">En mérito de lo discurrido en los acápites precedentes, el </w:t>
      </w:r>
      <w:r w:rsidRPr="00AF0F06">
        <w:rPr>
          <w:rFonts w:ascii="Georgia" w:hAnsi="Georgia" w:cs="Arial"/>
          <w:smallCaps/>
          <w:sz w:val="24"/>
          <w:szCs w:val="24"/>
        </w:rPr>
        <w:t>Tribunal Superior del Distrito Judicial de Pereira, Sala Unitaria de Decisión</w:t>
      </w:r>
      <w:r w:rsidRPr="00AF0F06">
        <w:rPr>
          <w:rFonts w:ascii="Georgia" w:hAnsi="Georgia" w:cs="Arial"/>
          <w:sz w:val="24"/>
          <w:szCs w:val="24"/>
        </w:rPr>
        <w:t>,</w:t>
      </w:r>
    </w:p>
    <w:p w14:paraId="58F27E0B" w14:textId="77777777" w:rsidR="00207FCF" w:rsidRPr="00AF0F06" w:rsidRDefault="00207FCF" w:rsidP="00AF0F06">
      <w:pPr>
        <w:pStyle w:val="Sinespaciado"/>
        <w:spacing w:line="276" w:lineRule="auto"/>
        <w:jc w:val="center"/>
        <w:rPr>
          <w:rFonts w:ascii="Georgia" w:hAnsi="Georgia" w:cs="Arial"/>
        </w:rPr>
      </w:pPr>
    </w:p>
    <w:p w14:paraId="7C2AC022" w14:textId="47958AC1" w:rsidR="008C4F68" w:rsidRPr="0017369C" w:rsidRDefault="008C4F68" w:rsidP="00AF0F06">
      <w:pPr>
        <w:pStyle w:val="Sinespaciado"/>
        <w:spacing w:line="276" w:lineRule="auto"/>
        <w:jc w:val="center"/>
        <w:rPr>
          <w:rFonts w:ascii="Georgia" w:hAnsi="Georgia" w:cs="Arial"/>
          <w:b/>
        </w:rPr>
      </w:pPr>
      <w:r w:rsidRPr="0017369C">
        <w:rPr>
          <w:rFonts w:ascii="Georgia" w:hAnsi="Georgia" w:cs="Arial"/>
          <w:b/>
        </w:rPr>
        <w:t>R E S U E L V E,</w:t>
      </w:r>
    </w:p>
    <w:p w14:paraId="4EF8F67D" w14:textId="77777777" w:rsidR="002C7ABF" w:rsidRPr="00AF0F06" w:rsidRDefault="002C7ABF" w:rsidP="00AF0F06">
      <w:pPr>
        <w:pStyle w:val="Sinespaciado"/>
        <w:spacing w:line="276" w:lineRule="auto"/>
        <w:jc w:val="center"/>
        <w:rPr>
          <w:rFonts w:ascii="Georgia" w:hAnsi="Georgia" w:cs="Arial"/>
        </w:rPr>
      </w:pPr>
    </w:p>
    <w:p w14:paraId="2C486A4F" w14:textId="4E72BF31" w:rsidR="00B26A73" w:rsidRPr="00AF0F06" w:rsidRDefault="00B903F5" w:rsidP="00AF0F06">
      <w:pPr>
        <w:pStyle w:val="Textopredeterminado"/>
        <w:numPr>
          <w:ilvl w:val="0"/>
          <w:numId w:val="13"/>
        </w:numPr>
        <w:spacing w:line="276" w:lineRule="auto"/>
        <w:jc w:val="both"/>
        <w:rPr>
          <w:rFonts w:ascii="Georgia" w:hAnsi="Georgia" w:cs="Arial"/>
          <w:color w:val="auto"/>
          <w:szCs w:val="24"/>
        </w:rPr>
      </w:pPr>
      <w:r w:rsidRPr="00AF0F06">
        <w:rPr>
          <w:rFonts w:ascii="Georgia" w:hAnsi="Georgia" w:cs="Arial"/>
          <w:bCs/>
          <w:color w:val="auto"/>
          <w:szCs w:val="24"/>
        </w:rPr>
        <w:t xml:space="preserve">NO REPONER </w:t>
      </w:r>
      <w:r w:rsidR="00B26A73" w:rsidRPr="00AF0F06">
        <w:rPr>
          <w:rFonts w:ascii="Georgia" w:hAnsi="Georgia" w:cs="Arial"/>
          <w:color w:val="auto"/>
          <w:szCs w:val="24"/>
        </w:rPr>
        <w:t xml:space="preserve">el auto emitido el </w:t>
      </w:r>
      <w:r w:rsidR="00806789" w:rsidRPr="00AF0F06">
        <w:rPr>
          <w:rFonts w:ascii="Georgia" w:hAnsi="Georgia" w:cs="Arial"/>
          <w:color w:val="auto"/>
          <w:szCs w:val="24"/>
        </w:rPr>
        <w:t>13</w:t>
      </w:r>
      <w:r w:rsidR="00540904" w:rsidRPr="00AF0F06">
        <w:rPr>
          <w:rFonts w:ascii="Georgia" w:hAnsi="Georgia" w:cs="Arial"/>
          <w:color w:val="auto"/>
          <w:szCs w:val="24"/>
        </w:rPr>
        <w:t>-04-</w:t>
      </w:r>
      <w:r w:rsidR="00797CB2" w:rsidRPr="00AF0F06">
        <w:rPr>
          <w:rFonts w:ascii="Georgia" w:hAnsi="Georgia" w:cs="Arial"/>
          <w:color w:val="auto"/>
          <w:szCs w:val="24"/>
        </w:rPr>
        <w:t xml:space="preserve">2021 </w:t>
      </w:r>
      <w:r w:rsidR="00B26A73" w:rsidRPr="00AF0F06">
        <w:rPr>
          <w:rFonts w:ascii="Georgia" w:hAnsi="Georgia" w:cs="Arial"/>
          <w:color w:val="auto"/>
          <w:szCs w:val="24"/>
        </w:rPr>
        <w:t>que declaró desierto el recurso de apelación contra la sentencia de primer grado.</w:t>
      </w:r>
    </w:p>
    <w:p w14:paraId="7C2AC025" w14:textId="45A50D59" w:rsidR="00C12249" w:rsidRPr="00AF0F06" w:rsidRDefault="00C12249" w:rsidP="00AF0F06">
      <w:pPr>
        <w:pStyle w:val="Textopredeterminado"/>
        <w:spacing w:line="276" w:lineRule="auto"/>
        <w:ind w:left="360"/>
        <w:jc w:val="both"/>
        <w:rPr>
          <w:rFonts w:ascii="Georgia" w:hAnsi="Georgia" w:cs="Arial"/>
          <w:color w:val="auto"/>
          <w:szCs w:val="24"/>
        </w:rPr>
      </w:pPr>
    </w:p>
    <w:p w14:paraId="7C2AC026" w14:textId="0250EE6B" w:rsidR="000E1027" w:rsidRPr="00AF0F06" w:rsidRDefault="008C4F68" w:rsidP="00AF0F06">
      <w:pPr>
        <w:pStyle w:val="Textopredeterminado"/>
        <w:numPr>
          <w:ilvl w:val="0"/>
          <w:numId w:val="12"/>
        </w:numPr>
        <w:spacing w:line="276" w:lineRule="auto"/>
        <w:jc w:val="both"/>
        <w:textAlignment w:val="baseline"/>
        <w:rPr>
          <w:rFonts w:ascii="Georgia" w:hAnsi="Georgia" w:cs="Arial"/>
          <w:color w:val="auto"/>
          <w:szCs w:val="24"/>
        </w:rPr>
      </w:pPr>
      <w:r w:rsidRPr="00AF0F06">
        <w:rPr>
          <w:rFonts w:ascii="Georgia" w:hAnsi="Georgia" w:cs="Arial"/>
          <w:color w:val="auto"/>
          <w:szCs w:val="24"/>
        </w:rPr>
        <w:t>ADVERTIR que esta decisión es irrecurrible.</w:t>
      </w:r>
    </w:p>
    <w:p w14:paraId="7C2AC027" w14:textId="6BE116F7" w:rsidR="005776F2" w:rsidRPr="00AF0F06" w:rsidRDefault="005776F2" w:rsidP="00AF0F06">
      <w:pPr>
        <w:spacing w:line="276" w:lineRule="auto"/>
        <w:jc w:val="center"/>
        <w:rPr>
          <w:rFonts w:ascii="Georgia" w:hAnsi="Georgia" w:cs="Arial"/>
          <w:smallCaps/>
          <w:sz w:val="24"/>
          <w:szCs w:val="24"/>
        </w:rPr>
      </w:pPr>
    </w:p>
    <w:p w14:paraId="4E1E9199" w14:textId="77777777" w:rsidR="002857F7" w:rsidRPr="002857F7" w:rsidRDefault="002857F7" w:rsidP="002857F7">
      <w:pPr>
        <w:spacing w:line="276" w:lineRule="auto"/>
        <w:ind w:left="360"/>
        <w:contextualSpacing/>
        <w:jc w:val="center"/>
        <w:rPr>
          <w:rFonts w:ascii="Georgia" w:hAnsi="Georgia" w:cs="Arial"/>
          <w:smallCaps/>
          <w:sz w:val="24"/>
          <w:szCs w:val="24"/>
        </w:rPr>
      </w:pPr>
      <w:r w:rsidRPr="002857F7">
        <w:rPr>
          <w:rFonts w:ascii="Georgia" w:hAnsi="Georgia" w:cs="Arial"/>
          <w:smallCaps/>
          <w:sz w:val="24"/>
          <w:szCs w:val="24"/>
        </w:rPr>
        <w:t>Notifíquese,</w:t>
      </w:r>
    </w:p>
    <w:p w14:paraId="05C46CA2" w14:textId="77777777" w:rsidR="002857F7" w:rsidRPr="002857F7" w:rsidRDefault="002857F7" w:rsidP="002857F7">
      <w:pPr>
        <w:overflowPunct w:val="0"/>
        <w:autoSpaceDE w:val="0"/>
        <w:autoSpaceDN w:val="0"/>
        <w:adjustRightInd w:val="0"/>
        <w:spacing w:line="276" w:lineRule="auto"/>
        <w:ind w:left="360"/>
        <w:jc w:val="center"/>
        <w:textAlignment w:val="baseline"/>
        <w:rPr>
          <w:rFonts w:ascii="Georgia" w:hAnsi="Georgia" w:cs="Arial"/>
          <w:caps/>
          <w:spacing w:val="20"/>
          <w:w w:val="150"/>
          <w:sz w:val="24"/>
          <w:szCs w:val="24"/>
          <w:lang w:val="es-MX"/>
        </w:rPr>
      </w:pPr>
    </w:p>
    <w:p w14:paraId="5B88325B" w14:textId="77777777" w:rsidR="002857F7" w:rsidRPr="002857F7" w:rsidRDefault="002857F7" w:rsidP="002857F7">
      <w:pPr>
        <w:overflowPunct w:val="0"/>
        <w:autoSpaceDE w:val="0"/>
        <w:autoSpaceDN w:val="0"/>
        <w:adjustRightInd w:val="0"/>
        <w:spacing w:line="276" w:lineRule="auto"/>
        <w:ind w:left="360"/>
        <w:jc w:val="center"/>
        <w:textAlignment w:val="baseline"/>
        <w:rPr>
          <w:rFonts w:ascii="Georgia" w:hAnsi="Georgia" w:cs="Arial"/>
          <w:caps/>
          <w:spacing w:val="20"/>
          <w:w w:val="150"/>
          <w:sz w:val="24"/>
          <w:szCs w:val="24"/>
          <w:lang w:val="es-MX"/>
        </w:rPr>
      </w:pPr>
    </w:p>
    <w:p w14:paraId="1300AD0B" w14:textId="77777777" w:rsidR="002857F7" w:rsidRPr="002857F7" w:rsidRDefault="002857F7" w:rsidP="002857F7">
      <w:pPr>
        <w:overflowPunct w:val="0"/>
        <w:autoSpaceDE w:val="0"/>
        <w:autoSpaceDN w:val="0"/>
        <w:adjustRightInd w:val="0"/>
        <w:spacing w:line="276" w:lineRule="auto"/>
        <w:ind w:left="360"/>
        <w:jc w:val="center"/>
        <w:textAlignment w:val="baseline"/>
        <w:rPr>
          <w:rFonts w:ascii="Georgia" w:hAnsi="Georgia" w:cs="Arial"/>
          <w:caps/>
          <w:spacing w:val="20"/>
          <w:w w:val="150"/>
          <w:sz w:val="24"/>
          <w:szCs w:val="24"/>
          <w:lang w:val="es-MX"/>
        </w:rPr>
      </w:pPr>
    </w:p>
    <w:p w14:paraId="1BFB4CA0" w14:textId="77777777" w:rsidR="002857F7" w:rsidRPr="002857F7" w:rsidRDefault="002857F7" w:rsidP="002857F7">
      <w:pPr>
        <w:overflowPunct w:val="0"/>
        <w:autoSpaceDE w:val="0"/>
        <w:autoSpaceDN w:val="0"/>
        <w:adjustRightInd w:val="0"/>
        <w:spacing w:line="276" w:lineRule="auto"/>
        <w:ind w:left="360"/>
        <w:jc w:val="center"/>
        <w:textAlignment w:val="baseline"/>
        <w:rPr>
          <w:rFonts w:ascii="Georgia" w:hAnsi="Georgia" w:cs="Arial"/>
          <w:caps/>
          <w:spacing w:val="20"/>
          <w:w w:val="150"/>
          <w:sz w:val="24"/>
          <w:szCs w:val="24"/>
          <w:lang w:val="es-MX"/>
        </w:rPr>
      </w:pPr>
      <w:r w:rsidRPr="002857F7">
        <w:rPr>
          <w:rFonts w:ascii="Georgia" w:hAnsi="Georgia" w:cs="Arial"/>
          <w:caps/>
          <w:spacing w:val="20"/>
          <w:w w:val="150"/>
          <w:sz w:val="24"/>
          <w:szCs w:val="24"/>
          <w:lang w:val="es-MX"/>
        </w:rPr>
        <w:t>DUBERNEY GRISALES HERRERA</w:t>
      </w:r>
    </w:p>
    <w:p w14:paraId="3C3172A0" w14:textId="1D97DEB9" w:rsidR="005F5258" w:rsidRPr="002857F7" w:rsidRDefault="002857F7" w:rsidP="002857F7">
      <w:pPr>
        <w:spacing w:line="276" w:lineRule="auto"/>
        <w:ind w:left="360"/>
        <w:jc w:val="center"/>
        <w:rPr>
          <w:rFonts w:ascii="Georgia" w:hAnsi="Georgia"/>
          <w:i/>
          <w:w w:val="150"/>
          <w:sz w:val="24"/>
          <w:szCs w:val="24"/>
          <w:lang w:val="es-CO"/>
        </w:rPr>
      </w:pPr>
      <w:r w:rsidRPr="002857F7">
        <w:rPr>
          <w:rFonts w:ascii="Georgia" w:hAnsi="Georgia" w:cs="Arial"/>
          <w:caps/>
          <w:spacing w:val="20"/>
          <w:w w:val="150"/>
          <w:sz w:val="24"/>
          <w:szCs w:val="24"/>
        </w:rPr>
        <w:t>Magistrado</w:t>
      </w:r>
    </w:p>
    <w:sectPr w:rsidR="005F5258" w:rsidRPr="002857F7" w:rsidSect="00AF0F06">
      <w:headerReference w:type="default" r:id="rId12"/>
      <w:footerReference w:type="default" r:id="rId13"/>
      <w:pgSz w:w="12240" w:h="18720"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51FC1A" w16cex:dateUtc="2021-02-01T19:17:24.672Z"/>
  <w16cex:commentExtensible w16cex:durableId="0CD9C3B0" w16cex:dateUtc="2021-02-01T19:24:38.592Z"/>
  <w16cex:commentExtensible w16cex:durableId="29A6DC2D" w16cex:dateUtc="2021-02-01T19:29:25.539Z"/>
  <w16cex:commentExtensible w16cex:durableId="322D97C6" w16cex:dateUtc="2021-02-01T19:34:14.564Z"/>
  <w16cex:commentExtensible w16cex:durableId="0406BC2B" w16cex:dateUtc="2021-02-01T19:41:55.345Z"/>
  <w16cex:commentExtensible w16cex:durableId="54165570" w16cex:dateUtc="2021-02-01T19:46:30.015Z"/>
  <w16cex:commentExtensible w16cex:durableId="2F2882B8" w16cex:dateUtc="2021-02-01T20:15:19.532Z"/>
  <w16cex:commentExtensible w16cex:durableId="749B242B" w16cex:dateUtc="2021-02-01T20:17:43.795Z"/>
  <w16cex:commentExtensible w16cex:durableId="51A33B66" w16cex:dateUtc="2021-02-01T20:18:20.469Z"/>
  <w16cex:commentExtensible w16cex:durableId="26E9DB7A" w16cex:dateUtc="2021-02-02T11:51:38.931Z"/>
  <w16cex:commentExtensible w16cex:durableId="00D8BE5C" w16cex:dateUtc="2021-02-02T11:53:29.162Z"/>
  <w16cex:commentExtensible w16cex:durableId="0B3617F2" w16cex:dateUtc="2021-02-02T11:58:43.402Z"/>
  <w16cex:commentExtensible w16cex:durableId="218AB4D3" w16cex:dateUtc="2021-03-01T16:29:42.76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61438" w14:textId="77777777" w:rsidR="00F02B5F" w:rsidRDefault="00F02B5F" w:rsidP="009A1240">
      <w:r>
        <w:separator/>
      </w:r>
    </w:p>
  </w:endnote>
  <w:endnote w:type="continuationSeparator" w:id="0">
    <w:p w14:paraId="59C8C5E0" w14:textId="77777777" w:rsidR="00F02B5F" w:rsidRDefault="00F02B5F"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C03A" w14:textId="77777777" w:rsidR="00045CE3" w:rsidRPr="00276704" w:rsidRDefault="00045CE3" w:rsidP="00045CE3">
    <w:pPr>
      <w:pStyle w:val="Piedepgina"/>
      <w:pBdr>
        <w:bottom w:val="double" w:sz="6" w:space="1" w:color="auto"/>
      </w:pBdr>
      <w:spacing w:line="360" w:lineRule="auto"/>
      <w:jc w:val="right"/>
      <w:rPr>
        <w:rFonts w:ascii="Georgia" w:hAnsi="Georgia" w:cs="Arial"/>
        <w:spacing w:val="20"/>
        <w:w w:val="200"/>
        <w:sz w:val="14"/>
        <w:szCs w:val="10"/>
        <w:lang w:val="es-CO"/>
      </w:rPr>
    </w:pPr>
  </w:p>
  <w:p w14:paraId="7C2AC03B" w14:textId="77777777" w:rsidR="00045CE3" w:rsidRPr="00276704" w:rsidRDefault="00045CE3" w:rsidP="00045CE3">
    <w:pPr>
      <w:pStyle w:val="Piedepgina"/>
      <w:spacing w:line="360" w:lineRule="auto"/>
      <w:jc w:val="right"/>
      <w:rPr>
        <w:rFonts w:ascii="Georgia" w:hAnsi="Georgia" w:cs="Arial"/>
        <w:spacing w:val="20"/>
        <w:w w:val="200"/>
        <w:sz w:val="14"/>
        <w:szCs w:val="10"/>
        <w:lang w:val="es-CO"/>
      </w:rPr>
    </w:pPr>
  </w:p>
  <w:p w14:paraId="7C2AC03C" w14:textId="77777777" w:rsidR="003C5098" w:rsidRPr="00276704" w:rsidRDefault="003C5098" w:rsidP="003C5098">
    <w:pPr>
      <w:pStyle w:val="Piedepgina"/>
      <w:spacing w:line="360" w:lineRule="auto"/>
      <w:jc w:val="right"/>
      <w:rPr>
        <w:rFonts w:ascii="Georgia" w:hAnsi="Georgia" w:cs="Arial"/>
        <w:spacing w:val="20"/>
        <w:w w:val="200"/>
        <w:sz w:val="10"/>
        <w:szCs w:val="10"/>
      </w:rPr>
    </w:pPr>
    <w:r w:rsidRPr="00276704">
      <w:rPr>
        <w:rFonts w:ascii="Georgia" w:hAnsi="Georgia" w:cs="Arial"/>
        <w:spacing w:val="20"/>
        <w:w w:val="200"/>
        <w:sz w:val="14"/>
        <w:szCs w:val="14"/>
      </w:rPr>
      <w:t>T</w:t>
    </w:r>
    <w:r w:rsidRPr="00276704">
      <w:rPr>
        <w:rFonts w:ascii="Georgia" w:hAnsi="Georgia" w:cs="Arial"/>
        <w:spacing w:val="20"/>
        <w:w w:val="200"/>
        <w:sz w:val="10"/>
        <w:szCs w:val="10"/>
      </w:rPr>
      <w:t xml:space="preserve">RIBUNAL </w:t>
    </w:r>
    <w:r w:rsidRPr="00276704">
      <w:rPr>
        <w:rFonts w:ascii="Georgia" w:hAnsi="Georgia" w:cs="Arial"/>
        <w:spacing w:val="20"/>
        <w:w w:val="200"/>
        <w:sz w:val="14"/>
        <w:szCs w:val="14"/>
      </w:rPr>
      <w:t>S</w:t>
    </w:r>
    <w:r w:rsidRPr="00276704">
      <w:rPr>
        <w:rFonts w:ascii="Georgia" w:hAnsi="Georgia" w:cs="Arial"/>
        <w:spacing w:val="20"/>
        <w:w w:val="200"/>
        <w:sz w:val="10"/>
        <w:szCs w:val="10"/>
      </w:rPr>
      <w:t xml:space="preserve">UPERIOR DE </w:t>
    </w:r>
    <w:r w:rsidRPr="00276704">
      <w:rPr>
        <w:rFonts w:ascii="Georgia" w:hAnsi="Georgia" w:cs="Arial"/>
        <w:spacing w:val="20"/>
        <w:w w:val="200"/>
        <w:sz w:val="14"/>
        <w:szCs w:val="14"/>
      </w:rPr>
      <w:t>P</w:t>
    </w:r>
    <w:r w:rsidRPr="00276704">
      <w:rPr>
        <w:rFonts w:ascii="Georgia" w:hAnsi="Georgia" w:cs="Arial"/>
        <w:spacing w:val="20"/>
        <w:w w:val="200"/>
        <w:sz w:val="10"/>
        <w:szCs w:val="10"/>
      </w:rPr>
      <w:t>EREIRA</w:t>
    </w:r>
  </w:p>
  <w:p w14:paraId="7C2AC03D" w14:textId="77777777" w:rsidR="00045CE3" w:rsidRPr="00276704" w:rsidRDefault="00045CE3" w:rsidP="00045CE3">
    <w:pPr>
      <w:pStyle w:val="Piedepgina"/>
      <w:jc w:val="right"/>
      <w:rPr>
        <w:rFonts w:ascii="Georgia" w:hAnsi="Georgia"/>
      </w:rPr>
    </w:pPr>
    <w:r w:rsidRPr="00276704">
      <w:rPr>
        <w:rFonts w:ascii="Georgia" w:hAnsi="Georgia" w:cs="Arial"/>
        <w:spacing w:val="20"/>
        <w:w w:val="200"/>
        <w:sz w:val="10"/>
        <w:szCs w:val="10"/>
        <w:lang w:val="es-CO"/>
      </w:rPr>
      <w:t>M</w:t>
    </w:r>
    <w:r w:rsidR="00D851DA" w:rsidRPr="00276704">
      <w:rPr>
        <w:rFonts w:ascii="Georgia" w:hAnsi="Georgia" w:cs="Arial"/>
        <w:spacing w:val="20"/>
        <w:w w:val="200"/>
        <w:sz w:val="10"/>
        <w:szCs w:val="10"/>
        <w:lang w:val="es-CO"/>
      </w:rPr>
      <w:t>S</w:t>
    </w:r>
    <w:r w:rsidRPr="00276704">
      <w:rPr>
        <w:rFonts w:ascii="Georgia" w:hAnsi="Georgia" w:cs="Arial"/>
        <w:spacing w:val="20"/>
        <w:w w:val="200"/>
        <w:sz w:val="10"/>
        <w:szCs w:val="10"/>
        <w:lang w:val="es-CO"/>
      </w:rPr>
      <w:t xml:space="preserve"> </w:t>
    </w:r>
    <w:r w:rsidRPr="00276704">
      <w:rPr>
        <w:rFonts w:ascii="Georgia" w:hAnsi="Georgia" w:cs="Arial"/>
        <w:spacing w:val="20"/>
        <w:w w:val="200"/>
        <w:sz w:val="12"/>
        <w:szCs w:val="10"/>
        <w:lang w:val="es-CO"/>
      </w:rPr>
      <w:t>D</w:t>
    </w:r>
    <w:r w:rsidRPr="00276704">
      <w:rPr>
        <w:rFonts w:ascii="Georgia" w:hAnsi="Georgia" w:cs="Arial"/>
        <w:spacing w:val="20"/>
        <w:w w:val="200"/>
        <w:sz w:val="8"/>
        <w:szCs w:val="10"/>
        <w:lang w:val="es-CO"/>
      </w:rPr>
      <w:t>UBERNEY</w:t>
    </w:r>
    <w:r w:rsidRPr="00276704">
      <w:rPr>
        <w:rFonts w:ascii="Georgia" w:hAnsi="Georgia" w:cs="Arial"/>
        <w:spacing w:val="20"/>
        <w:w w:val="200"/>
        <w:sz w:val="10"/>
        <w:szCs w:val="10"/>
        <w:lang w:val="es-CO"/>
      </w:rPr>
      <w:t xml:space="preserve"> </w:t>
    </w:r>
    <w:r w:rsidRPr="00276704">
      <w:rPr>
        <w:rFonts w:ascii="Georgia" w:hAnsi="Georgia" w:cs="Arial"/>
        <w:spacing w:val="20"/>
        <w:w w:val="200"/>
        <w:sz w:val="12"/>
        <w:szCs w:val="10"/>
        <w:lang w:val="es-CO"/>
      </w:rPr>
      <w:t>G</w:t>
    </w:r>
    <w:r w:rsidRPr="00276704">
      <w:rPr>
        <w:rFonts w:ascii="Georgia" w:hAnsi="Georgia" w:cs="Arial"/>
        <w:spacing w:val="20"/>
        <w:w w:val="200"/>
        <w:sz w:val="8"/>
        <w:szCs w:val="10"/>
        <w:lang w:val="es-CO"/>
      </w:rPr>
      <w:t>RISALES</w:t>
    </w:r>
    <w:r w:rsidRPr="00276704">
      <w:rPr>
        <w:rFonts w:ascii="Georgia" w:hAnsi="Georgia" w:cs="Arial"/>
        <w:spacing w:val="20"/>
        <w:w w:val="200"/>
        <w:sz w:val="10"/>
        <w:szCs w:val="10"/>
        <w:lang w:val="es-CO"/>
      </w:rPr>
      <w:t xml:space="preserve"> </w:t>
    </w:r>
    <w:r w:rsidRPr="00276704">
      <w:rPr>
        <w:rFonts w:ascii="Georgia" w:hAnsi="Georgia" w:cs="Arial"/>
        <w:spacing w:val="20"/>
        <w:w w:val="200"/>
        <w:sz w:val="12"/>
        <w:szCs w:val="10"/>
        <w:lang w:val="es-CO"/>
      </w:rPr>
      <w:t>H</w:t>
    </w:r>
    <w:r w:rsidRPr="00276704">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9335C" w14:textId="77777777" w:rsidR="00F02B5F" w:rsidRDefault="00F02B5F" w:rsidP="009A1240">
      <w:r>
        <w:separator/>
      </w:r>
    </w:p>
  </w:footnote>
  <w:footnote w:type="continuationSeparator" w:id="0">
    <w:p w14:paraId="7C4B2735" w14:textId="77777777" w:rsidR="00F02B5F" w:rsidRDefault="00F02B5F" w:rsidP="009A1240">
      <w:r>
        <w:continuationSeparator/>
      </w:r>
    </w:p>
  </w:footnote>
  <w:footnote w:id="1">
    <w:p w14:paraId="05FD2CAA" w14:textId="77777777" w:rsidR="008C16FC" w:rsidRPr="002131E7" w:rsidRDefault="008C16FC" w:rsidP="002131E7">
      <w:pPr>
        <w:pStyle w:val="Textonotapie"/>
        <w:jc w:val="both"/>
        <w:rPr>
          <w:rFonts w:ascii="Century" w:hAnsi="Century"/>
          <w:szCs w:val="22"/>
          <w:lang w:val="es-CO"/>
        </w:rPr>
      </w:pPr>
      <w:r w:rsidRPr="002131E7">
        <w:rPr>
          <w:rStyle w:val="Refdenotaalpie"/>
          <w:rFonts w:ascii="Century" w:hAnsi="Century"/>
          <w:szCs w:val="22"/>
        </w:rPr>
        <w:footnoteRef/>
      </w:r>
      <w:r w:rsidRPr="002131E7">
        <w:rPr>
          <w:rFonts w:ascii="Century" w:hAnsi="Century"/>
          <w:szCs w:val="22"/>
        </w:rPr>
        <w:t xml:space="preserve"> </w:t>
      </w:r>
      <w:r w:rsidRPr="002131E7">
        <w:rPr>
          <w:rFonts w:ascii="Century" w:hAnsi="Century" w:cs="Calibri"/>
          <w:szCs w:val="22"/>
          <w:lang w:val="es-CO"/>
        </w:rPr>
        <w:t>FORERO S., Jorge. Actividad probatoria en la segunda instancia. Memorias del XXIX Congreso de derecho Procesal, 2018, ICDP, p.307 ss.</w:t>
      </w:r>
    </w:p>
  </w:footnote>
  <w:footnote w:id="2">
    <w:p w14:paraId="5CA71AEC" w14:textId="77777777" w:rsidR="008C16FC" w:rsidRPr="002131E7" w:rsidRDefault="008C16FC" w:rsidP="002131E7">
      <w:pPr>
        <w:pStyle w:val="Textonotapie"/>
        <w:jc w:val="both"/>
        <w:rPr>
          <w:rFonts w:ascii="Century" w:hAnsi="Century"/>
          <w:szCs w:val="22"/>
          <w:lang w:val="es-CO"/>
        </w:rPr>
      </w:pPr>
      <w:r w:rsidRPr="002131E7">
        <w:rPr>
          <w:rStyle w:val="Refdenotaalpie"/>
          <w:rFonts w:ascii="Century" w:hAnsi="Century"/>
          <w:szCs w:val="22"/>
        </w:rPr>
        <w:footnoteRef/>
      </w:r>
      <w:r w:rsidRPr="002131E7">
        <w:rPr>
          <w:rFonts w:ascii="Century" w:hAnsi="Century"/>
          <w:szCs w:val="22"/>
        </w:rPr>
        <w:t xml:space="preserve"> </w:t>
      </w:r>
      <w:r w:rsidRPr="002131E7">
        <w:rPr>
          <w:rFonts w:ascii="Century" w:hAnsi="Century"/>
          <w:szCs w:val="22"/>
          <w:lang w:val="es-CO"/>
        </w:rPr>
        <w:t>ESCOBAR V. Édgar G. Los recursos en el Código General del Proceso. Librería jurídica Sánchez R. Ltda. 2015, p.37.</w:t>
      </w:r>
    </w:p>
  </w:footnote>
  <w:footnote w:id="3">
    <w:p w14:paraId="11C0AD2C" w14:textId="77777777" w:rsidR="008C16FC" w:rsidRPr="002131E7" w:rsidRDefault="008C16FC" w:rsidP="002131E7">
      <w:pPr>
        <w:pStyle w:val="Textonotapie"/>
        <w:jc w:val="both"/>
        <w:rPr>
          <w:rFonts w:ascii="Century" w:hAnsi="Century"/>
          <w:szCs w:val="22"/>
        </w:rPr>
      </w:pPr>
      <w:r w:rsidRPr="002131E7">
        <w:rPr>
          <w:rFonts w:ascii="Century" w:hAnsi="Century"/>
          <w:szCs w:val="22"/>
          <w:vertAlign w:val="superscript"/>
        </w:rPr>
        <w:footnoteRef/>
      </w:r>
      <w:r w:rsidRPr="002131E7">
        <w:rPr>
          <w:rFonts w:ascii="Century" w:hAnsi="Century"/>
          <w:szCs w:val="22"/>
        </w:rPr>
        <w:t xml:space="preserve"> </w:t>
      </w:r>
      <w:r w:rsidRPr="002131E7">
        <w:rPr>
          <w:rFonts w:ascii="Century" w:hAnsi="Century"/>
          <w:szCs w:val="22"/>
          <w:lang w:val="es-CO"/>
        </w:rPr>
        <w:t>LÓPEZ B., Hernán F. Código General del Proceso, parte general, Bogotá DC, Dupre editores, 2016, p.769-776</w:t>
      </w:r>
      <w:r w:rsidRPr="002131E7">
        <w:rPr>
          <w:rFonts w:ascii="Century" w:hAnsi="Century"/>
          <w:szCs w:val="22"/>
        </w:rPr>
        <w:t>.</w:t>
      </w:r>
    </w:p>
  </w:footnote>
  <w:footnote w:id="4">
    <w:p w14:paraId="27C037DE" w14:textId="77777777" w:rsidR="008C16FC" w:rsidRPr="002131E7" w:rsidRDefault="008C16FC" w:rsidP="002131E7">
      <w:pPr>
        <w:pStyle w:val="Textonotapie"/>
        <w:jc w:val="both"/>
        <w:rPr>
          <w:rFonts w:ascii="Century" w:hAnsi="Century"/>
          <w:szCs w:val="22"/>
        </w:rPr>
      </w:pPr>
      <w:r w:rsidRPr="002131E7">
        <w:rPr>
          <w:rFonts w:ascii="Century" w:hAnsi="Century"/>
          <w:szCs w:val="22"/>
          <w:vertAlign w:val="superscript"/>
        </w:rPr>
        <w:footnoteRef/>
      </w:r>
      <w:r w:rsidRPr="002131E7">
        <w:rPr>
          <w:rFonts w:ascii="Century" w:hAnsi="Century"/>
          <w:szCs w:val="22"/>
        </w:rPr>
        <w:t xml:space="preserve"> PARRA Q., Jairo. Derecho procesal civil, tomo I, Santafé de Bogotá D.C., Temis, 1992, p.276.</w:t>
      </w:r>
    </w:p>
  </w:footnote>
  <w:footnote w:id="5">
    <w:p w14:paraId="142C130C" w14:textId="77777777" w:rsidR="008C16FC" w:rsidRPr="002131E7" w:rsidRDefault="008C16FC" w:rsidP="002131E7">
      <w:pPr>
        <w:pStyle w:val="Sinespaciado"/>
        <w:jc w:val="both"/>
        <w:rPr>
          <w:rFonts w:ascii="Century" w:hAnsi="Century"/>
          <w:sz w:val="20"/>
          <w:szCs w:val="22"/>
        </w:rPr>
      </w:pPr>
      <w:r w:rsidRPr="002131E7">
        <w:rPr>
          <w:rFonts w:ascii="Century" w:hAnsi="Century"/>
          <w:sz w:val="20"/>
          <w:szCs w:val="22"/>
          <w:vertAlign w:val="superscript"/>
        </w:rPr>
        <w:footnoteRef/>
      </w:r>
      <w:r w:rsidRPr="002131E7">
        <w:rPr>
          <w:rFonts w:ascii="Century" w:hAnsi="Century"/>
          <w:sz w:val="20"/>
          <w:szCs w:val="22"/>
        </w:rPr>
        <w:t xml:space="preserve"> </w:t>
      </w:r>
      <w:r w:rsidRPr="002131E7">
        <w:rPr>
          <w:rFonts w:ascii="Century" w:hAnsi="Century"/>
          <w:sz w:val="20"/>
          <w:szCs w:val="22"/>
          <w:lang w:val="es-CO"/>
        </w:rPr>
        <w:t xml:space="preserve">LÓPEZ B., Hernán F. </w:t>
      </w:r>
      <w:r w:rsidRPr="002131E7">
        <w:rPr>
          <w:rFonts w:ascii="Century" w:hAnsi="Century"/>
          <w:sz w:val="20"/>
          <w:szCs w:val="22"/>
        </w:rPr>
        <w:t>Ob. cit., p.769.</w:t>
      </w:r>
    </w:p>
  </w:footnote>
  <w:footnote w:id="6">
    <w:p w14:paraId="79E36D33" w14:textId="4922A27D" w:rsidR="008C16FC" w:rsidRPr="002131E7" w:rsidRDefault="008C16FC" w:rsidP="002131E7">
      <w:pPr>
        <w:pStyle w:val="Textonotapie"/>
        <w:jc w:val="both"/>
        <w:rPr>
          <w:rFonts w:ascii="Century" w:hAnsi="Century"/>
          <w:szCs w:val="22"/>
          <w:lang w:val="es-CO"/>
        </w:rPr>
      </w:pPr>
      <w:r w:rsidRPr="002131E7">
        <w:rPr>
          <w:rStyle w:val="Refdenotaalpie"/>
          <w:rFonts w:ascii="Century" w:hAnsi="Century"/>
          <w:szCs w:val="22"/>
        </w:rPr>
        <w:footnoteRef/>
      </w:r>
      <w:r w:rsidRPr="002131E7">
        <w:rPr>
          <w:rFonts w:ascii="Century" w:hAnsi="Century"/>
          <w:szCs w:val="22"/>
        </w:rPr>
        <w:t xml:space="preserve"> </w:t>
      </w:r>
      <w:r w:rsidRPr="002131E7">
        <w:rPr>
          <w:rFonts w:ascii="Century" w:hAnsi="Century"/>
          <w:szCs w:val="22"/>
          <w:lang w:val="es-CO"/>
        </w:rPr>
        <w:t>ROJAS G., Miguel E. Lecciones de derecho procesal, procedimiento civil, tomo II, ESAJU, 20</w:t>
      </w:r>
      <w:r w:rsidR="00164689" w:rsidRPr="002131E7">
        <w:rPr>
          <w:rFonts w:ascii="Century" w:hAnsi="Century"/>
          <w:szCs w:val="22"/>
          <w:lang w:val="es-CO"/>
        </w:rPr>
        <w:t>20</w:t>
      </w:r>
      <w:r w:rsidRPr="002131E7">
        <w:rPr>
          <w:rFonts w:ascii="Century" w:hAnsi="Century"/>
          <w:szCs w:val="22"/>
          <w:lang w:val="es-CO"/>
        </w:rPr>
        <w:t xml:space="preserve">, </w:t>
      </w:r>
      <w:r w:rsidR="00164689" w:rsidRPr="002131E7">
        <w:rPr>
          <w:rFonts w:ascii="Century" w:hAnsi="Century"/>
          <w:szCs w:val="22"/>
          <w:lang w:val="es-CO"/>
        </w:rPr>
        <w:t>7</w:t>
      </w:r>
      <w:r w:rsidRPr="002131E7">
        <w:rPr>
          <w:rFonts w:ascii="Century" w:hAnsi="Century"/>
          <w:szCs w:val="22"/>
          <w:lang w:val="es-CO"/>
        </w:rPr>
        <w:t>ª edición, Bogotá, p.4</w:t>
      </w:r>
      <w:r w:rsidR="00164689" w:rsidRPr="002131E7">
        <w:rPr>
          <w:rFonts w:ascii="Century" w:hAnsi="Century"/>
          <w:szCs w:val="22"/>
          <w:lang w:val="es-CO"/>
        </w:rPr>
        <w:t>68</w:t>
      </w:r>
      <w:r w:rsidRPr="002131E7">
        <w:rPr>
          <w:rFonts w:ascii="Century" w:hAnsi="Century"/>
          <w:szCs w:val="22"/>
          <w:lang w:val="es-CO"/>
        </w:rPr>
        <w:t>.</w:t>
      </w:r>
    </w:p>
  </w:footnote>
  <w:footnote w:id="7">
    <w:p w14:paraId="24E1466C" w14:textId="77777777" w:rsidR="008C16FC" w:rsidRPr="002131E7" w:rsidRDefault="008C16FC" w:rsidP="002131E7">
      <w:pPr>
        <w:pStyle w:val="Textonotapie"/>
        <w:jc w:val="both"/>
        <w:rPr>
          <w:rFonts w:ascii="Century" w:hAnsi="Century"/>
          <w:szCs w:val="22"/>
          <w:lang w:val="es-CO"/>
        </w:rPr>
      </w:pPr>
      <w:r w:rsidRPr="002131E7">
        <w:rPr>
          <w:rStyle w:val="Refdenotaalpie"/>
          <w:rFonts w:ascii="Century" w:hAnsi="Century"/>
          <w:szCs w:val="22"/>
        </w:rPr>
        <w:footnoteRef/>
      </w:r>
      <w:r w:rsidRPr="002131E7">
        <w:rPr>
          <w:rFonts w:ascii="Century" w:hAnsi="Century"/>
          <w:szCs w:val="22"/>
        </w:rPr>
        <w:t xml:space="preserve"> </w:t>
      </w:r>
      <w:r w:rsidRPr="002131E7">
        <w:rPr>
          <w:rFonts w:ascii="Century" w:hAnsi="Century"/>
          <w:szCs w:val="22"/>
          <w:lang w:val="es-CO"/>
        </w:rPr>
        <w:t>CSJ. Sala Civil. Sentencia del 17-09-1992; MP: Ospina B.</w:t>
      </w:r>
    </w:p>
  </w:footnote>
  <w:footnote w:id="8">
    <w:p w14:paraId="715771AD" w14:textId="77777777" w:rsidR="008C16FC" w:rsidRPr="002131E7" w:rsidRDefault="008C16FC" w:rsidP="002131E7">
      <w:pPr>
        <w:pStyle w:val="Textonotapie"/>
        <w:jc w:val="both"/>
        <w:rPr>
          <w:rFonts w:ascii="Century" w:hAnsi="Century"/>
          <w:szCs w:val="22"/>
          <w:lang w:val="es-CO"/>
        </w:rPr>
      </w:pPr>
      <w:r w:rsidRPr="002131E7">
        <w:rPr>
          <w:rStyle w:val="Refdenotaalpie"/>
          <w:rFonts w:ascii="Century" w:hAnsi="Century"/>
          <w:szCs w:val="22"/>
        </w:rPr>
        <w:footnoteRef/>
      </w:r>
      <w:r w:rsidRPr="002131E7">
        <w:rPr>
          <w:rFonts w:ascii="Century" w:hAnsi="Century"/>
          <w:szCs w:val="22"/>
        </w:rPr>
        <w:t xml:space="preserve"> </w:t>
      </w:r>
      <w:r w:rsidRPr="002131E7">
        <w:rPr>
          <w:rFonts w:ascii="Century" w:hAnsi="Century"/>
          <w:szCs w:val="22"/>
          <w:lang w:val="es-CO"/>
        </w:rPr>
        <w:t>CSJ. STC-12737-2017.</w:t>
      </w:r>
    </w:p>
  </w:footnote>
  <w:footnote w:id="9">
    <w:p w14:paraId="07A2D204" w14:textId="77777777" w:rsidR="003D663C" w:rsidRPr="002131E7" w:rsidRDefault="003D663C" w:rsidP="002131E7">
      <w:pPr>
        <w:pStyle w:val="Textonotapie"/>
        <w:jc w:val="both"/>
        <w:rPr>
          <w:rFonts w:ascii="Century" w:hAnsi="Century"/>
          <w:szCs w:val="22"/>
          <w:lang w:val="es-CO"/>
        </w:rPr>
      </w:pPr>
      <w:r w:rsidRPr="002131E7">
        <w:rPr>
          <w:rStyle w:val="Refdenotaalpie"/>
          <w:rFonts w:ascii="Century" w:hAnsi="Century"/>
          <w:szCs w:val="22"/>
        </w:rPr>
        <w:footnoteRef/>
      </w:r>
      <w:r w:rsidRPr="002131E7">
        <w:rPr>
          <w:rFonts w:ascii="Century" w:hAnsi="Century"/>
          <w:szCs w:val="22"/>
        </w:rPr>
        <w:t xml:space="preserve"> </w:t>
      </w:r>
      <w:r w:rsidRPr="002131E7">
        <w:rPr>
          <w:rFonts w:ascii="Century" w:hAnsi="Century"/>
          <w:szCs w:val="22"/>
          <w:lang w:val="es-CO"/>
        </w:rPr>
        <w:t>LÓPEZ B., Hernán F.</w:t>
      </w:r>
      <w:r w:rsidRPr="002131E7">
        <w:rPr>
          <w:rFonts w:ascii="Century" w:hAnsi="Century"/>
          <w:szCs w:val="22"/>
        </w:rPr>
        <w:t xml:space="preserve"> Ob. cit., p.776.</w:t>
      </w:r>
    </w:p>
  </w:footnote>
  <w:footnote w:id="10">
    <w:p w14:paraId="0C5F8CBE" w14:textId="77777777" w:rsidR="003D663C" w:rsidRPr="002131E7" w:rsidRDefault="003D663C" w:rsidP="002131E7">
      <w:pPr>
        <w:pStyle w:val="Textonotapie"/>
        <w:jc w:val="both"/>
        <w:rPr>
          <w:rFonts w:ascii="Century" w:hAnsi="Century"/>
          <w:szCs w:val="22"/>
          <w:lang w:val="es-CO"/>
        </w:rPr>
      </w:pPr>
      <w:r w:rsidRPr="002131E7">
        <w:rPr>
          <w:rStyle w:val="Refdenotaalpie"/>
          <w:rFonts w:ascii="Century" w:hAnsi="Century"/>
          <w:szCs w:val="22"/>
        </w:rPr>
        <w:footnoteRef/>
      </w:r>
      <w:r w:rsidRPr="002131E7">
        <w:rPr>
          <w:rFonts w:ascii="Century" w:hAnsi="Century"/>
          <w:szCs w:val="22"/>
        </w:rPr>
        <w:t xml:space="preserve"> </w:t>
      </w:r>
      <w:r w:rsidRPr="002131E7">
        <w:rPr>
          <w:rFonts w:ascii="Century" w:hAnsi="Century"/>
          <w:szCs w:val="22"/>
          <w:lang w:val="es-CO"/>
        </w:rPr>
        <w:t>ROJAS G., Miguel E. Código General del Proceso comentado, ESAJU, 2017, Bogotá DC, p.511.</w:t>
      </w:r>
    </w:p>
  </w:footnote>
  <w:footnote w:id="11">
    <w:p w14:paraId="6DD7927F" w14:textId="77777777" w:rsidR="003D663C" w:rsidRPr="002131E7" w:rsidRDefault="003D663C" w:rsidP="002131E7">
      <w:pPr>
        <w:pStyle w:val="Textonotapie"/>
        <w:jc w:val="both"/>
        <w:rPr>
          <w:rFonts w:ascii="Century" w:hAnsi="Century"/>
          <w:szCs w:val="22"/>
          <w:lang w:val="es-CO"/>
        </w:rPr>
      </w:pPr>
      <w:r w:rsidRPr="002131E7">
        <w:rPr>
          <w:rStyle w:val="Refdenotaalpie"/>
          <w:rFonts w:ascii="Century" w:hAnsi="Century"/>
          <w:szCs w:val="22"/>
        </w:rPr>
        <w:footnoteRef/>
      </w:r>
      <w:r w:rsidRPr="002131E7">
        <w:rPr>
          <w:rFonts w:ascii="Century" w:hAnsi="Century"/>
          <w:szCs w:val="22"/>
        </w:rPr>
        <w:t xml:space="preserve"> </w:t>
      </w:r>
      <w:r w:rsidRPr="002131E7">
        <w:rPr>
          <w:rFonts w:ascii="Century" w:hAnsi="Century"/>
          <w:szCs w:val="22"/>
          <w:lang w:val="es-CO"/>
        </w:rPr>
        <w:t>ESCOBAR V. Édgar G. Ob. Cit., p.75.</w:t>
      </w:r>
    </w:p>
  </w:footnote>
  <w:footnote w:id="12">
    <w:p w14:paraId="021BF499" w14:textId="2E5C9F73" w:rsidR="003D663C" w:rsidRPr="002131E7" w:rsidRDefault="003D663C" w:rsidP="002131E7">
      <w:pPr>
        <w:pStyle w:val="Textonotapie"/>
        <w:jc w:val="both"/>
        <w:rPr>
          <w:rFonts w:ascii="Century" w:hAnsi="Century"/>
          <w:szCs w:val="22"/>
        </w:rPr>
      </w:pPr>
      <w:r w:rsidRPr="002131E7">
        <w:rPr>
          <w:rStyle w:val="Refdenotaalpie"/>
          <w:rFonts w:ascii="Century" w:hAnsi="Century" w:cs="Calibri"/>
          <w:szCs w:val="22"/>
        </w:rPr>
        <w:footnoteRef/>
      </w:r>
      <w:r w:rsidRPr="002131E7">
        <w:rPr>
          <w:rFonts w:ascii="Century" w:hAnsi="Century" w:cs="Calibri"/>
          <w:szCs w:val="22"/>
        </w:rPr>
        <w:t xml:space="preserve"> ROJAS G</w:t>
      </w:r>
      <w:r w:rsidR="009D4966" w:rsidRPr="002131E7">
        <w:rPr>
          <w:rFonts w:ascii="Century" w:hAnsi="Century" w:cs="Calibri"/>
          <w:szCs w:val="22"/>
        </w:rPr>
        <w:t>.</w:t>
      </w:r>
      <w:r w:rsidRPr="002131E7">
        <w:rPr>
          <w:rFonts w:ascii="Century" w:hAnsi="Century" w:cs="Calibri"/>
          <w:szCs w:val="22"/>
        </w:rPr>
        <w:t>, Miguel E</w:t>
      </w:r>
      <w:r w:rsidR="009D4966" w:rsidRPr="002131E7">
        <w:rPr>
          <w:rFonts w:ascii="Century" w:hAnsi="Century" w:cs="Calibri"/>
          <w:szCs w:val="22"/>
        </w:rPr>
        <w:t>.</w:t>
      </w:r>
      <w:r w:rsidRPr="002131E7">
        <w:rPr>
          <w:rFonts w:ascii="Century" w:hAnsi="Century" w:cs="Calibri"/>
          <w:szCs w:val="22"/>
        </w:rPr>
        <w:t xml:space="preserve"> </w:t>
      </w:r>
      <w:r w:rsidR="00E15A72" w:rsidRPr="002131E7">
        <w:rPr>
          <w:rFonts w:ascii="Century" w:hAnsi="Century"/>
          <w:szCs w:val="22"/>
          <w:lang w:val="es-CO"/>
        </w:rPr>
        <w:t>Lecciones de derecho procesal, procedimiento civil, tomo II, ESAJU, 2020, 7ª edición, Bogotá, p.496</w:t>
      </w:r>
      <w:r w:rsidRPr="002131E7">
        <w:rPr>
          <w:rFonts w:ascii="Century" w:hAnsi="Century" w:cs="Calibri"/>
          <w:szCs w:val="22"/>
        </w:rPr>
        <w:t>.</w:t>
      </w:r>
    </w:p>
  </w:footnote>
  <w:footnote w:id="13">
    <w:p w14:paraId="058338C6" w14:textId="77777777" w:rsidR="003D663C" w:rsidRPr="002131E7" w:rsidRDefault="003D663C" w:rsidP="002131E7">
      <w:pPr>
        <w:pStyle w:val="Textonotapie"/>
        <w:jc w:val="both"/>
        <w:rPr>
          <w:rFonts w:ascii="Century" w:hAnsi="Century"/>
          <w:szCs w:val="22"/>
          <w:lang w:val="es-CO"/>
        </w:rPr>
      </w:pPr>
      <w:r w:rsidRPr="002131E7">
        <w:rPr>
          <w:rStyle w:val="Refdenotaalpie"/>
          <w:rFonts w:ascii="Century" w:hAnsi="Century"/>
          <w:szCs w:val="22"/>
        </w:rPr>
        <w:footnoteRef/>
      </w:r>
      <w:r w:rsidRPr="002131E7">
        <w:rPr>
          <w:rFonts w:ascii="Century" w:hAnsi="Century"/>
          <w:szCs w:val="22"/>
        </w:rPr>
        <w:t xml:space="preserve"> PELÁEZ H., Ramón A. La oralidad en el proceso civil, Ediciones Nueva Jurídica, 2ª edición, 2015, Bogotá DC, P.71.</w:t>
      </w:r>
    </w:p>
  </w:footnote>
  <w:footnote w:id="14">
    <w:p w14:paraId="1625B756" w14:textId="2C501201" w:rsidR="003D663C" w:rsidRPr="002131E7" w:rsidRDefault="003D663C" w:rsidP="002131E7">
      <w:pPr>
        <w:pStyle w:val="Textonotapie"/>
        <w:jc w:val="both"/>
        <w:rPr>
          <w:rFonts w:ascii="Century" w:hAnsi="Century"/>
          <w:szCs w:val="22"/>
          <w:lang w:val="es-CO"/>
        </w:rPr>
      </w:pPr>
      <w:r w:rsidRPr="002131E7">
        <w:rPr>
          <w:rStyle w:val="Refdenotaalpie"/>
          <w:rFonts w:ascii="Century" w:hAnsi="Century"/>
          <w:szCs w:val="22"/>
        </w:rPr>
        <w:footnoteRef/>
      </w:r>
      <w:r w:rsidRPr="002131E7">
        <w:rPr>
          <w:rFonts w:ascii="Century" w:hAnsi="Century"/>
          <w:szCs w:val="22"/>
        </w:rPr>
        <w:t xml:space="preserve"> </w:t>
      </w:r>
      <w:r w:rsidRPr="002131E7">
        <w:rPr>
          <w:rFonts w:ascii="Century" w:hAnsi="Century"/>
          <w:szCs w:val="22"/>
          <w:lang w:val="es-CO"/>
        </w:rPr>
        <w:t xml:space="preserve">ROJAS G., Miguel E. </w:t>
      </w:r>
      <w:r w:rsidR="00E15A72" w:rsidRPr="002131E7">
        <w:rPr>
          <w:rFonts w:ascii="Century" w:hAnsi="Century"/>
          <w:szCs w:val="22"/>
          <w:lang w:val="es-CO"/>
        </w:rPr>
        <w:t>Ob. cit.</w:t>
      </w:r>
      <w:r w:rsidRPr="002131E7">
        <w:rPr>
          <w:rFonts w:ascii="Century" w:hAnsi="Century"/>
          <w:szCs w:val="22"/>
          <w:lang w:val="es-CO"/>
        </w:rPr>
        <w:t>, p.496</w:t>
      </w:r>
      <w:r w:rsidRPr="002131E7">
        <w:rPr>
          <w:rFonts w:ascii="Century" w:hAnsi="Century" w:cs="Calibri"/>
          <w:szCs w:val="22"/>
        </w:rPr>
        <w:t>.</w:t>
      </w:r>
    </w:p>
  </w:footnote>
  <w:footnote w:id="15">
    <w:p w14:paraId="3FF71994" w14:textId="77777777" w:rsidR="003D663C" w:rsidRPr="002131E7" w:rsidRDefault="003D663C" w:rsidP="002131E7">
      <w:pPr>
        <w:pStyle w:val="Textonotapie"/>
        <w:jc w:val="both"/>
        <w:rPr>
          <w:rFonts w:ascii="Century" w:hAnsi="Century"/>
          <w:szCs w:val="22"/>
          <w:lang w:val="es-CO"/>
        </w:rPr>
      </w:pPr>
      <w:r w:rsidRPr="002131E7">
        <w:rPr>
          <w:rStyle w:val="Refdenotaalpie"/>
          <w:rFonts w:ascii="Century" w:hAnsi="Century"/>
          <w:szCs w:val="22"/>
        </w:rPr>
        <w:footnoteRef/>
      </w:r>
      <w:r w:rsidRPr="002131E7">
        <w:rPr>
          <w:rFonts w:ascii="Century" w:hAnsi="Century"/>
          <w:szCs w:val="22"/>
        </w:rPr>
        <w:t xml:space="preserve"> </w:t>
      </w:r>
      <w:r w:rsidRPr="002131E7">
        <w:rPr>
          <w:rFonts w:ascii="Century" w:hAnsi="Century" w:cs="Arial"/>
          <w:bCs/>
          <w:iCs/>
          <w:szCs w:val="22"/>
        </w:rPr>
        <w:t>CSJ</w:t>
      </w:r>
      <w:bookmarkStart w:id="6" w:name="_Hlk485099566"/>
      <w:r w:rsidRPr="002131E7">
        <w:rPr>
          <w:rFonts w:ascii="Century" w:hAnsi="Century" w:cs="Arial"/>
          <w:bCs/>
          <w:iCs/>
          <w:szCs w:val="22"/>
        </w:rPr>
        <w:t xml:space="preserve">. STC248-2020, </w:t>
      </w:r>
      <w:r w:rsidRPr="002131E7">
        <w:rPr>
          <w:rFonts w:ascii="Century" w:hAnsi="Century"/>
          <w:color w:val="000000"/>
          <w:szCs w:val="22"/>
          <w:shd w:val="clear" w:color="auto" w:fill="FFFFFF"/>
        </w:rPr>
        <w:t>STC17303-2019</w:t>
      </w:r>
      <w:r w:rsidRPr="002131E7">
        <w:rPr>
          <w:rFonts w:ascii="Century" w:hAnsi="Century" w:cs="Arial"/>
          <w:bCs/>
          <w:iCs/>
          <w:szCs w:val="22"/>
        </w:rPr>
        <w:t xml:space="preserve">, </w:t>
      </w:r>
      <w:r w:rsidRPr="002131E7">
        <w:rPr>
          <w:rFonts w:ascii="Century" w:hAnsi="Century"/>
          <w:color w:val="000000"/>
          <w:szCs w:val="22"/>
          <w:shd w:val="clear" w:color="auto" w:fill="FFFFFF"/>
        </w:rPr>
        <w:t>STC13787-2019, STC11914-2018, STC21385-2017, STC18088-2017,</w:t>
      </w:r>
      <w:r w:rsidRPr="002131E7">
        <w:rPr>
          <w:rFonts w:ascii="Century" w:hAnsi="Century" w:cs="Arial"/>
          <w:bCs/>
          <w:iCs/>
          <w:szCs w:val="22"/>
        </w:rPr>
        <w:t xml:space="preserve"> </w:t>
      </w:r>
      <w:bookmarkEnd w:id="6"/>
      <w:r w:rsidRPr="002131E7">
        <w:rPr>
          <w:rFonts w:ascii="Century" w:hAnsi="Century" w:cs="Arial"/>
          <w:bCs/>
          <w:iCs/>
          <w:szCs w:val="22"/>
        </w:rPr>
        <w:t xml:space="preserve">STC6055-2017, </w:t>
      </w:r>
      <w:r w:rsidRPr="002131E7">
        <w:rPr>
          <w:rFonts w:ascii="Century" w:hAnsi="Century" w:cs="Arial"/>
          <w:szCs w:val="22"/>
        </w:rPr>
        <w:t xml:space="preserve">STC6481-2017, </w:t>
      </w:r>
      <w:r w:rsidRPr="002131E7">
        <w:rPr>
          <w:rFonts w:ascii="Century" w:hAnsi="Century" w:cs="Arial"/>
          <w:bCs/>
          <w:iCs/>
          <w:szCs w:val="22"/>
          <w:lang w:val="es-ES_tradnl"/>
        </w:rPr>
        <w:t>CSJ S</w:t>
      </w:r>
      <w:r w:rsidRPr="002131E7">
        <w:rPr>
          <w:rFonts w:ascii="Century" w:eastAsia="Calibri" w:hAnsi="Century" w:cs="Arial"/>
          <w:szCs w:val="22"/>
        </w:rPr>
        <w:t xml:space="preserve">TC10405-2017, </w:t>
      </w:r>
      <w:r w:rsidRPr="002131E7">
        <w:rPr>
          <w:rFonts w:ascii="Century" w:hAnsi="Century" w:cs="Arial"/>
          <w:bCs/>
          <w:iCs/>
          <w:szCs w:val="22"/>
        </w:rPr>
        <w:t>STC11058-2016, entre otras</w:t>
      </w:r>
      <w:r w:rsidRPr="002131E7">
        <w:rPr>
          <w:rFonts w:ascii="Century" w:eastAsia="Calibri" w:hAnsi="Century" w:cs="Arial"/>
          <w:szCs w:val="22"/>
        </w:rPr>
        <w:t>.</w:t>
      </w:r>
    </w:p>
  </w:footnote>
  <w:footnote w:id="16">
    <w:p w14:paraId="059D07F7" w14:textId="680A7B87" w:rsidR="003D663C" w:rsidRPr="002131E7" w:rsidRDefault="003D663C" w:rsidP="002131E7">
      <w:pPr>
        <w:pStyle w:val="Textonotapie"/>
        <w:jc w:val="both"/>
        <w:rPr>
          <w:rFonts w:ascii="Century" w:hAnsi="Century"/>
          <w:szCs w:val="22"/>
          <w:lang w:val="es-CO"/>
        </w:rPr>
      </w:pPr>
      <w:r w:rsidRPr="002131E7">
        <w:rPr>
          <w:rStyle w:val="Refdenotaalpie"/>
          <w:rFonts w:ascii="Century" w:hAnsi="Century"/>
          <w:szCs w:val="22"/>
        </w:rPr>
        <w:footnoteRef/>
      </w:r>
      <w:r w:rsidR="2F83F5FA" w:rsidRPr="002131E7">
        <w:rPr>
          <w:rFonts w:ascii="Century" w:hAnsi="Century"/>
          <w:szCs w:val="22"/>
        </w:rPr>
        <w:t xml:space="preserve"> </w:t>
      </w:r>
      <w:r w:rsidR="2F83F5FA" w:rsidRPr="002131E7">
        <w:rPr>
          <w:rFonts w:ascii="Century" w:hAnsi="Century" w:cs="Arial"/>
          <w:szCs w:val="22"/>
        </w:rPr>
        <w:t>CSJ. STC-640-2020.</w:t>
      </w:r>
    </w:p>
  </w:footnote>
  <w:footnote w:id="17">
    <w:p w14:paraId="74474B92" w14:textId="17AB065C" w:rsidR="003D663C" w:rsidRPr="002131E7" w:rsidRDefault="003D663C" w:rsidP="002131E7">
      <w:pPr>
        <w:pStyle w:val="Textonotapie"/>
        <w:jc w:val="both"/>
        <w:rPr>
          <w:rFonts w:ascii="Century" w:hAnsi="Century"/>
          <w:szCs w:val="22"/>
          <w:lang w:val="es-CO"/>
        </w:rPr>
      </w:pPr>
      <w:r w:rsidRPr="002131E7">
        <w:rPr>
          <w:rStyle w:val="Refdenotaalpie"/>
          <w:rFonts w:ascii="Century" w:hAnsi="Century"/>
          <w:szCs w:val="22"/>
        </w:rPr>
        <w:footnoteRef/>
      </w:r>
      <w:r w:rsidR="1D54DD42" w:rsidRPr="002131E7">
        <w:rPr>
          <w:rFonts w:ascii="Century" w:hAnsi="Century"/>
          <w:szCs w:val="22"/>
        </w:rPr>
        <w:t xml:space="preserve"> </w:t>
      </w:r>
      <w:r w:rsidR="1D54DD42" w:rsidRPr="002131E7">
        <w:rPr>
          <w:rFonts w:ascii="Century" w:hAnsi="Century" w:cs="Arial"/>
          <w:szCs w:val="22"/>
        </w:rPr>
        <w:t>CSJ. STC-976-2020</w:t>
      </w:r>
    </w:p>
  </w:footnote>
  <w:footnote w:id="18">
    <w:p w14:paraId="2E930927" w14:textId="77777777" w:rsidR="005A2B7C" w:rsidRPr="002131E7" w:rsidRDefault="005A2B7C" w:rsidP="002131E7">
      <w:pPr>
        <w:pStyle w:val="Textonotapie"/>
        <w:jc w:val="both"/>
        <w:rPr>
          <w:sz w:val="18"/>
          <w:lang w:val="es-CO"/>
        </w:rPr>
      </w:pPr>
      <w:r w:rsidRPr="002131E7">
        <w:rPr>
          <w:rStyle w:val="Refdenotaalpie"/>
          <w:rFonts w:ascii="Century" w:hAnsi="Century"/>
          <w:szCs w:val="22"/>
        </w:rPr>
        <w:footnoteRef/>
      </w:r>
      <w:r w:rsidRPr="002131E7">
        <w:rPr>
          <w:rFonts w:ascii="Century" w:hAnsi="Century"/>
          <w:szCs w:val="22"/>
        </w:rPr>
        <w:t xml:space="preserve"> </w:t>
      </w:r>
      <w:r w:rsidRPr="002131E7">
        <w:rPr>
          <w:rFonts w:ascii="Century" w:hAnsi="Century"/>
          <w:szCs w:val="22"/>
          <w:lang w:val="es-CO"/>
        </w:rPr>
        <w:t>CC. SU-418 de 2019.</w:t>
      </w:r>
    </w:p>
  </w:footnote>
  <w:footnote w:id="19">
    <w:p w14:paraId="59D2EC24" w14:textId="076A2842" w:rsidR="005A2B7C" w:rsidRPr="002131E7" w:rsidRDefault="005A2B7C" w:rsidP="002131E7">
      <w:pPr>
        <w:pStyle w:val="Textonotapie"/>
        <w:jc w:val="both"/>
        <w:rPr>
          <w:rFonts w:ascii="Century" w:hAnsi="Century" w:cs="Arial"/>
          <w:szCs w:val="22"/>
        </w:rPr>
      </w:pPr>
      <w:r w:rsidRPr="002131E7">
        <w:rPr>
          <w:rStyle w:val="Refdenotaalpie"/>
          <w:rFonts w:ascii="Century" w:hAnsi="Century"/>
          <w:szCs w:val="22"/>
        </w:rPr>
        <w:footnoteRef/>
      </w:r>
      <w:r w:rsidR="77E84DF0" w:rsidRPr="002131E7">
        <w:rPr>
          <w:rFonts w:ascii="Century" w:hAnsi="Century"/>
          <w:szCs w:val="22"/>
        </w:rPr>
        <w:t xml:space="preserve"> </w:t>
      </w:r>
      <w:r w:rsidR="77E84DF0" w:rsidRPr="002131E7">
        <w:rPr>
          <w:rFonts w:ascii="Century" w:hAnsi="Century" w:cs="Arial"/>
          <w:szCs w:val="22"/>
        </w:rPr>
        <w:t xml:space="preserve">CSJ. Sala Civil, Sentencia del 27-05-2020, No.2020-01068-00, MP: Tolosa V.; también STC-10704-2020 y STC-14037-2019. </w:t>
      </w:r>
    </w:p>
  </w:footnote>
  <w:footnote w:id="20">
    <w:p w14:paraId="04955DE6" w14:textId="77777777" w:rsidR="003D663C" w:rsidRPr="002131E7" w:rsidRDefault="003D663C" w:rsidP="002131E7">
      <w:pPr>
        <w:pStyle w:val="Textonotapie"/>
        <w:jc w:val="both"/>
        <w:rPr>
          <w:rFonts w:ascii="Century" w:hAnsi="Century"/>
          <w:szCs w:val="22"/>
          <w:lang w:val="es-CO"/>
        </w:rPr>
      </w:pPr>
      <w:r w:rsidRPr="002131E7">
        <w:rPr>
          <w:rStyle w:val="Refdenotaalpie"/>
          <w:rFonts w:ascii="Century" w:hAnsi="Century"/>
          <w:szCs w:val="22"/>
        </w:rPr>
        <w:footnoteRef/>
      </w:r>
      <w:r w:rsidRPr="002131E7">
        <w:rPr>
          <w:rFonts w:ascii="Century" w:hAnsi="Century"/>
          <w:szCs w:val="22"/>
        </w:rPr>
        <w:t xml:space="preserve"> </w:t>
      </w:r>
      <w:r w:rsidRPr="002131E7">
        <w:rPr>
          <w:rFonts w:ascii="Century" w:hAnsi="Century"/>
          <w:szCs w:val="22"/>
          <w:lang w:val="es-CO"/>
        </w:rPr>
        <w:t>Ídem.</w:t>
      </w:r>
    </w:p>
  </w:footnote>
  <w:footnote w:id="21">
    <w:p w14:paraId="713FF7ED" w14:textId="77777777" w:rsidR="003D663C" w:rsidRPr="002131E7" w:rsidRDefault="003D663C" w:rsidP="002131E7">
      <w:pPr>
        <w:pStyle w:val="Textonotapie"/>
        <w:jc w:val="both"/>
        <w:rPr>
          <w:rFonts w:ascii="Century" w:hAnsi="Century"/>
          <w:szCs w:val="22"/>
          <w:lang w:val="es-CO"/>
        </w:rPr>
      </w:pPr>
      <w:r w:rsidRPr="002131E7">
        <w:rPr>
          <w:rStyle w:val="Refdenotaalpie"/>
          <w:rFonts w:ascii="Century" w:hAnsi="Century"/>
          <w:szCs w:val="22"/>
        </w:rPr>
        <w:footnoteRef/>
      </w:r>
      <w:r w:rsidRPr="002131E7">
        <w:rPr>
          <w:rFonts w:ascii="Century" w:hAnsi="Century"/>
          <w:szCs w:val="22"/>
        </w:rPr>
        <w:t xml:space="preserve"> </w:t>
      </w:r>
      <w:r w:rsidRPr="002131E7">
        <w:rPr>
          <w:rFonts w:ascii="Century" w:hAnsi="Century"/>
          <w:szCs w:val="22"/>
          <w:lang w:val="es-CO"/>
        </w:rPr>
        <w:t>ROJAS G., Miguel E. Ob. Cit., p.497</w:t>
      </w:r>
      <w:r w:rsidRPr="002131E7">
        <w:rPr>
          <w:rFonts w:ascii="Century" w:hAnsi="Century" w:cs="Calibri"/>
          <w:szCs w:val="22"/>
        </w:rPr>
        <w:t>.</w:t>
      </w:r>
    </w:p>
  </w:footnote>
  <w:footnote w:id="22">
    <w:p w14:paraId="117BC0CB" w14:textId="77777777" w:rsidR="00A4720E" w:rsidRPr="002131E7" w:rsidRDefault="00A4720E" w:rsidP="002131E7">
      <w:pPr>
        <w:pStyle w:val="Textonotapie"/>
        <w:jc w:val="both"/>
        <w:rPr>
          <w:rFonts w:ascii="Century" w:hAnsi="Century"/>
          <w:lang w:val="es-CO"/>
        </w:rPr>
      </w:pPr>
      <w:r w:rsidRPr="002131E7">
        <w:rPr>
          <w:rStyle w:val="Refdenotaalpie"/>
          <w:rFonts w:ascii="Century" w:hAnsi="Century"/>
        </w:rPr>
        <w:footnoteRef/>
      </w:r>
      <w:r w:rsidRPr="002131E7">
        <w:rPr>
          <w:rFonts w:ascii="Century" w:hAnsi="Century"/>
        </w:rPr>
        <w:t xml:space="preserve"> </w:t>
      </w:r>
      <w:r w:rsidRPr="002131E7">
        <w:rPr>
          <w:rFonts w:ascii="Century" w:hAnsi="Century"/>
          <w:lang w:val="es-CO"/>
        </w:rPr>
        <w:t>CSJ. STC005-2021.</w:t>
      </w:r>
    </w:p>
  </w:footnote>
  <w:footnote w:id="23">
    <w:p w14:paraId="45BE7CB9" w14:textId="24BC3B53" w:rsidR="00A4720E" w:rsidRPr="002131E7" w:rsidRDefault="00A4720E" w:rsidP="002131E7">
      <w:pPr>
        <w:pStyle w:val="Textonotapie"/>
        <w:jc w:val="both"/>
        <w:rPr>
          <w:rFonts w:ascii="Century" w:hAnsi="Century"/>
          <w:lang w:val="es-CO"/>
        </w:rPr>
      </w:pPr>
      <w:r w:rsidRPr="002131E7">
        <w:rPr>
          <w:rStyle w:val="Refdenotaalpie"/>
          <w:rFonts w:ascii="Century" w:hAnsi="Century"/>
        </w:rPr>
        <w:footnoteRef/>
      </w:r>
      <w:r w:rsidRPr="002131E7">
        <w:rPr>
          <w:rFonts w:ascii="Century" w:hAnsi="Century"/>
        </w:rPr>
        <w:t xml:space="preserve"> CSJ. STC3179-2021.</w:t>
      </w:r>
    </w:p>
  </w:footnote>
  <w:footnote w:id="24">
    <w:p w14:paraId="4B9BF4A0" w14:textId="77777777" w:rsidR="002C7ABF" w:rsidRPr="002131E7" w:rsidRDefault="002C7ABF" w:rsidP="002131E7">
      <w:pPr>
        <w:pStyle w:val="Textonotapie"/>
        <w:jc w:val="both"/>
        <w:rPr>
          <w:rFonts w:ascii="Century" w:hAnsi="Century" w:cstheme="minorHAnsi"/>
        </w:rPr>
      </w:pPr>
      <w:r w:rsidRPr="002131E7">
        <w:rPr>
          <w:rStyle w:val="Refdenotaalpie"/>
          <w:rFonts w:ascii="Century" w:hAnsi="Century" w:cstheme="minorHAnsi"/>
        </w:rPr>
        <w:footnoteRef/>
      </w:r>
      <w:r w:rsidRPr="002131E7">
        <w:rPr>
          <w:rFonts w:ascii="Century" w:hAnsi="Century" w:cstheme="minorHAnsi"/>
        </w:rPr>
        <w:t xml:space="preserve"> CSJ, Sala de Casación Civil. Providencia del 16-01-2014, MP: Salazar R., No.2005-00753-01.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C037" w14:textId="77777777" w:rsidR="00045CE3" w:rsidRPr="00AF0F06" w:rsidRDefault="00045CE3" w:rsidP="00AF0F06">
    <w:pPr>
      <w:pStyle w:val="Encabezado"/>
      <w:pBdr>
        <w:bottom w:val="single" w:sz="4" w:space="1" w:color="D9D9D9"/>
      </w:pBdr>
      <w:jc w:val="right"/>
      <w:rPr>
        <w:rFonts w:ascii="Georgia" w:hAnsi="Georgia" w:cs="Calibri"/>
        <w:bCs/>
      </w:rPr>
    </w:pPr>
    <w:r w:rsidRPr="00AF0F06">
      <w:rPr>
        <w:rFonts w:ascii="Georgia" w:hAnsi="Georgia" w:cs="Calibri"/>
        <w:spacing w:val="60"/>
      </w:rPr>
      <w:t>Página</w:t>
    </w:r>
    <w:r w:rsidRPr="00AF0F06">
      <w:rPr>
        <w:rFonts w:ascii="Georgia" w:hAnsi="Georgia" w:cs="Calibri"/>
      </w:rPr>
      <w:t xml:space="preserve"> | </w:t>
    </w:r>
    <w:r w:rsidRPr="00AF0F06">
      <w:rPr>
        <w:rFonts w:ascii="Georgia" w:hAnsi="Georgia" w:cs="Calibri"/>
      </w:rPr>
      <w:fldChar w:fldCharType="begin"/>
    </w:r>
    <w:r w:rsidRPr="00AF0F06">
      <w:rPr>
        <w:rFonts w:ascii="Georgia" w:hAnsi="Georgia" w:cs="Calibri"/>
      </w:rPr>
      <w:instrText>PAGE   \* MERGEFORMAT</w:instrText>
    </w:r>
    <w:r w:rsidRPr="00AF0F06">
      <w:rPr>
        <w:rFonts w:ascii="Georgia" w:hAnsi="Georgia" w:cs="Calibri"/>
      </w:rPr>
      <w:fldChar w:fldCharType="separate"/>
    </w:r>
    <w:r w:rsidR="005776F2" w:rsidRPr="00AF0F06">
      <w:rPr>
        <w:rFonts w:ascii="Georgia" w:hAnsi="Georgia" w:cs="Calibri"/>
        <w:bCs/>
        <w:noProof/>
      </w:rPr>
      <w:t>5</w:t>
    </w:r>
    <w:r w:rsidRPr="00AF0F06">
      <w:rPr>
        <w:rFonts w:ascii="Georgia" w:hAnsi="Georgia" w:cs="Calibri"/>
      </w:rPr>
      <w:fldChar w:fldCharType="end"/>
    </w:r>
  </w:p>
  <w:p w14:paraId="7C2AC039" w14:textId="2AC12CFA" w:rsidR="008D321B" w:rsidRPr="00AF0F06" w:rsidRDefault="00045CE3" w:rsidP="00045CE3">
    <w:pPr>
      <w:pStyle w:val="Encabezado"/>
      <w:rPr>
        <w:rFonts w:ascii="Georgia" w:hAnsi="Georgia" w:cs="Iskoola Pota"/>
        <w:i/>
        <w:sz w:val="18"/>
        <w:lang w:val="es-CO"/>
      </w:rPr>
    </w:pPr>
    <w:r w:rsidRPr="00AF0F06">
      <w:rPr>
        <w:rFonts w:ascii="Georgia" w:hAnsi="Georgia" w:cs="Iskoola Pota"/>
        <w:i/>
        <w:lang w:val="es-CO"/>
      </w:rPr>
      <w:t>E</w:t>
    </w:r>
    <w:r w:rsidRPr="00AF0F06">
      <w:rPr>
        <w:rFonts w:ascii="Georgia" w:hAnsi="Georgia" w:cs="Iskoola Pota"/>
        <w:i/>
        <w:sz w:val="16"/>
        <w:lang w:val="es-CO"/>
      </w:rPr>
      <w:t>XPEDIENTE No.</w:t>
    </w:r>
    <w:r w:rsidR="002131E7">
      <w:rPr>
        <w:rFonts w:ascii="Georgia" w:hAnsi="Georgia" w:cs="Iskoola Pota"/>
        <w:i/>
        <w:sz w:val="16"/>
        <w:lang w:val="es-CO"/>
      </w:rPr>
      <w:t xml:space="preserve"> </w:t>
    </w:r>
    <w:r w:rsidR="00B16D2A" w:rsidRPr="00AF0F06">
      <w:rPr>
        <w:rFonts w:ascii="Georgia" w:hAnsi="Georgia" w:cs="Iskoola Pota"/>
        <w:i/>
        <w:sz w:val="16"/>
        <w:lang w:val="es-CO"/>
      </w:rPr>
      <w:t>201</w:t>
    </w:r>
    <w:r w:rsidR="00096EAF" w:rsidRPr="00AF0F06">
      <w:rPr>
        <w:rFonts w:ascii="Georgia" w:hAnsi="Georgia" w:cs="Iskoola Pota"/>
        <w:i/>
        <w:sz w:val="16"/>
        <w:lang w:val="es-CO"/>
      </w:rPr>
      <w:t>8</w:t>
    </w:r>
    <w:r w:rsidR="005E24AC" w:rsidRPr="00AF0F06">
      <w:rPr>
        <w:rFonts w:ascii="Georgia" w:hAnsi="Georgia" w:cs="Iskoola Pota"/>
        <w:i/>
        <w:sz w:val="16"/>
        <w:lang w:val="es-CO"/>
      </w:rPr>
      <w:t>-</w:t>
    </w:r>
    <w:r w:rsidR="00B16D2A" w:rsidRPr="00AF0F06">
      <w:rPr>
        <w:rFonts w:ascii="Georgia" w:hAnsi="Georgia" w:cs="Iskoola Pota"/>
        <w:i/>
        <w:sz w:val="16"/>
        <w:lang w:val="es-CO"/>
      </w:rPr>
      <w:t>0</w:t>
    </w:r>
    <w:r w:rsidR="00096EAF" w:rsidRPr="00AF0F06">
      <w:rPr>
        <w:rFonts w:ascii="Georgia" w:hAnsi="Georgia" w:cs="Iskoola Pota"/>
        <w:i/>
        <w:sz w:val="16"/>
        <w:lang w:val="es-CO"/>
      </w:rPr>
      <w:t>0555</w:t>
    </w:r>
    <w:r w:rsidR="005E24AC" w:rsidRPr="00AF0F06">
      <w:rPr>
        <w:rFonts w:ascii="Georgia" w:hAnsi="Georgia" w:cs="Iskoola Pota"/>
        <w:i/>
        <w:sz w:val="16"/>
        <w:lang w:val="es-CO"/>
      </w:rPr>
      <w:t>-</w:t>
    </w:r>
    <w:r w:rsidR="0028371F" w:rsidRPr="00AF0F06">
      <w:rPr>
        <w:rFonts w:ascii="Georgia" w:hAnsi="Georgia" w:cs="Iskoola Pota"/>
        <w:i/>
        <w:sz w:val="16"/>
        <w:lang w:val="es-CO"/>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0F1"/>
    <w:multiLevelType w:val="multilevel"/>
    <w:tmpl w:val="12E4332C"/>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0"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55E6D5D"/>
    <w:multiLevelType w:val="multilevel"/>
    <w:tmpl w:val="0298C832"/>
    <w:lvl w:ilvl="0">
      <w:start w:val="4"/>
      <w:numFmt w:val="decimal"/>
      <w:lvlText w:val="%1."/>
      <w:lvlJc w:val="left"/>
      <w:pPr>
        <w:ind w:left="360" w:hanging="360"/>
      </w:pPr>
      <w:rPr>
        <w:color w:val="auto"/>
      </w:rPr>
    </w:lvl>
    <w:lvl w:ilvl="1">
      <w:start w:val="1"/>
      <w:numFmt w:val="decimal"/>
      <w:lvlText w:val="%1.%2."/>
      <w:lvlJc w:val="left"/>
      <w:pPr>
        <w:ind w:left="720" w:hanging="720"/>
      </w:pPr>
      <w:rPr>
        <w:i w:val="0"/>
        <w:iCs w:val="0"/>
        <w:color w:val="auto"/>
        <w:sz w:val="24"/>
        <w:szCs w:val="24"/>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440" w:hanging="144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800" w:hanging="180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2160" w:hanging="2160"/>
      </w:pPr>
      <w:rPr>
        <w:color w:val="auto"/>
      </w:rPr>
    </w:lvl>
  </w:abstractNum>
  <w:abstractNum w:abstractNumId="2" w15:restartNumberingAfterBreak="0">
    <w:nsid w:val="23907D87"/>
    <w:multiLevelType w:val="hybridMultilevel"/>
    <w:tmpl w:val="A4F25EC2"/>
    <w:lvl w:ilvl="0" w:tplc="E74CF6CC">
      <w:start w:val="1"/>
      <w:numFmt w:val="decimal"/>
      <w:suff w:val="nothing"/>
      <w:lvlText w:val="%1."/>
      <w:lvlJc w:val="left"/>
      <w:pPr>
        <w:ind w:left="567" w:firstLine="0"/>
      </w:pPr>
    </w:lvl>
    <w:lvl w:ilvl="1" w:tplc="0C0A0019">
      <w:start w:val="1"/>
      <w:numFmt w:val="lowerLetter"/>
      <w:lvlText w:val="%2."/>
      <w:lvlJc w:val="left"/>
      <w:pPr>
        <w:ind w:left="2781" w:hanging="360"/>
      </w:pPr>
    </w:lvl>
    <w:lvl w:ilvl="2" w:tplc="0C0A001B">
      <w:start w:val="1"/>
      <w:numFmt w:val="lowerRoman"/>
      <w:lvlText w:val="%3."/>
      <w:lvlJc w:val="right"/>
      <w:pPr>
        <w:ind w:left="3501" w:hanging="180"/>
      </w:pPr>
    </w:lvl>
    <w:lvl w:ilvl="3" w:tplc="0C0A000F">
      <w:start w:val="1"/>
      <w:numFmt w:val="decimal"/>
      <w:lvlText w:val="%4."/>
      <w:lvlJc w:val="left"/>
      <w:pPr>
        <w:ind w:left="4221" w:hanging="360"/>
      </w:pPr>
    </w:lvl>
    <w:lvl w:ilvl="4" w:tplc="0C0A0019">
      <w:start w:val="1"/>
      <w:numFmt w:val="lowerLetter"/>
      <w:lvlText w:val="%5."/>
      <w:lvlJc w:val="left"/>
      <w:pPr>
        <w:ind w:left="4941" w:hanging="360"/>
      </w:pPr>
    </w:lvl>
    <w:lvl w:ilvl="5" w:tplc="0C0A001B">
      <w:start w:val="1"/>
      <w:numFmt w:val="lowerRoman"/>
      <w:lvlText w:val="%6."/>
      <w:lvlJc w:val="right"/>
      <w:pPr>
        <w:ind w:left="5661" w:hanging="180"/>
      </w:pPr>
    </w:lvl>
    <w:lvl w:ilvl="6" w:tplc="0C0A000F">
      <w:start w:val="1"/>
      <w:numFmt w:val="decimal"/>
      <w:lvlText w:val="%7."/>
      <w:lvlJc w:val="left"/>
      <w:pPr>
        <w:ind w:left="6381" w:hanging="360"/>
      </w:pPr>
    </w:lvl>
    <w:lvl w:ilvl="7" w:tplc="0C0A0019">
      <w:start w:val="1"/>
      <w:numFmt w:val="lowerLetter"/>
      <w:lvlText w:val="%8."/>
      <w:lvlJc w:val="left"/>
      <w:pPr>
        <w:ind w:left="7101" w:hanging="360"/>
      </w:pPr>
    </w:lvl>
    <w:lvl w:ilvl="8" w:tplc="0C0A001B">
      <w:start w:val="1"/>
      <w:numFmt w:val="lowerRoman"/>
      <w:lvlText w:val="%9."/>
      <w:lvlJc w:val="right"/>
      <w:pPr>
        <w:ind w:left="7821" w:hanging="180"/>
      </w:pPr>
    </w:lvl>
  </w:abstractNum>
  <w:abstractNum w:abstractNumId="3" w15:restartNumberingAfterBreak="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15:restartNumberingAfterBreak="0">
    <w:nsid w:val="319E3479"/>
    <w:multiLevelType w:val="multilevel"/>
    <w:tmpl w:val="424811F8"/>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6" w15:restartNumberingAfterBreak="0">
    <w:nsid w:val="36D26022"/>
    <w:multiLevelType w:val="multilevel"/>
    <w:tmpl w:val="499C4BF0"/>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 w15:restartNumberingAfterBreak="0">
    <w:nsid w:val="3C8755AA"/>
    <w:multiLevelType w:val="multilevel"/>
    <w:tmpl w:val="7F66D502"/>
    <w:lvl w:ilvl="0">
      <w:start w:val="4"/>
      <w:numFmt w:val="decimal"/>
      <w:lvlText w:val="%1."/>
      <w:lvlJc w:val="left"/>
      <w:pPr>
        <w:ind w:left="480" w:hanging="480"/>
      </w:pPr>
      <w:rPr>
        <w:rFonts w:hint="default"/>
        <w:color w:val="auto"/>
      </w:rPr>
    </w:lvl>
    <w:lvl w:ilvl="1">
      <w:start w:val="2"/>
      <w:numFmt w:val="decimal"/>
      <w:lvlText w:val="%1.%2."/>
      <w:lvlJc w:val="left"/>
      <w:pPr>
        <w:ind w:left="720" w:hanging="720"/>
      </w:pPr>
      <w:rPr>
        <w:rFonts w:hint="default"/>
        <w:color w:val="0033CC"/>
      </w:rPr>
    </w:lvl>
    <w:lvl w:ilvl="2">
      <w:start w:val="1"/>
      <w:numFmt w:val="decimal"/>
      <w:lvlText w:val="%1.%2.%3."/>
      <w:lvlJc w:val="left"/>
      <w:pPr>
        <w:ind w:left="1080" w:hanging="1080"/>
      </w:pPr>
      <w:rPr>
        <w:rFonts w:hint="default"/>
        <w:color w:val="0033CC"/>
      </w:rPr>
    </w:lvl>
    <w:lvl w:ilvl="3">
      <w:start w:val="1"/>
      <w:numFmt w:val="decimal"/>
      <w:lvlText w:val="%1.%2.%3.%4."/>
      <w:lvlJc w:val="left"/>
      <w:pPr>
        <w:ind w:left="1080" w:hanging="1080"/>
      </w:pPr>
      <w:rPr>
        <w:rFonts w:hint="default"/>
        <w:color w:val="0033CC"/>
      </w:rPr>
    </w:lvl>
    <w:lvl w:ilvl="4">
      <w:start w:val="1"/>
      <w:numFmt w:val="decimal"/>
      <w:lvlText w:val="%1.%2.%3.%4.%5."/>
      <w:lvlJc w:val="left"/>
      <w:pPr>
        <w:ind w:left="1440" w:hanging="1440"/>
      </w:pPr>
      <w:rPr>
        <w:rFonts w:hint="default"/>
        <w:color w:val="0033CC"/>
      </w:rPr>
    </w:lvl>
    <w:lvl w:ilvl="5">
      <w:start w:val="1"/>
      <w:numFmt w:val="decimal"/>
      <w:lvlText w:val="%1.%2.%3.%4.%5.%6."/>
      <w:lvlJc w:val="left"/>
      <w:pPr>
        <w:ind w:left="1800" w:hanging="1800"/>
      </w:pPr>
      <w:rPr>
        <w:rFonts w:hint="default"/>
        <w:color w:val="0033CC"/>
      </w:rPr>
    </w:lvl>
    <w:lvl w:ilvl="6">
      <w:start w:val="1"/>
      <w:numFmt w:val="decimal"/>
      <w:lvlText w:val="%1.%2.%3.%4.%5.%6.%7."/>
      <w:lvlJc w:val="left"/>
      <w:pPr>
        <w:ind w:left="1800" w:hanging="1800"/>
      </w:pPr>
      <w:rPr>
        <w:rFonts w:hint="default"/>
        <w:color w:val="0033CC"/>
      </w:rPr>
    </w:lvl>
    <w:lvl w:ilvl="7">
      <w:start w:val="1"/>
      <w:numFmt w:val="decimal"/>
      <w:lvlText w:val="%1.%2.%3.%4.%5.%6.%7.%8."/>
      <w:lvlJc w:val="left"/>
      <w:pPr>
        <w:ind w:left="2160" w:hanging="2160"/>
      </w:pPr>
      <w:rPr>
        <w:rFonts w:hint="default"/>
        <w:color w:val="0033CC"/>
      </w:rPr>
    </w:lvl>
    <w:lvl w:ilvl="8">
      <w:start w:val="1"/>
      <w:numFmt w:val="decimal"/>
      <w:lvlText w:val="%1.%2.%3.%4.%5.%6.%7.%8.%9."/>
      <w:lvlJc w:val="left"/>
      <w:pPr>
        <w:ind w:left="2520" w:hanging="2520"/>
      </w:pPr>
      <w:rPr>
        <w:rFonts w:hint="default"/>
        <w:color w:val="0033CC"/>
      </w:rPr>
    </w:lvl>
  </w:abstractNum>
  <w:abstractNum w:abstractNumId="8" w15:restartNumberingAfterBreak="0">
    <w:nsid w:val="4A8175C4"/>
    <w:multiLevelType w:val="multilevel"/>
    <w:tmpl w:val="98F8E13C"/>
    <w:lvl w:ilvl="0">
      <w:start w:val="4"/>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504664BE"/>
    <w:multiLevelType w:val="multilevel"/>
    <w:tmpl w:val="657EE84E"/>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15:restartNumberingAfterBreak="0">
    <w:nsid w:val="559F0449"/>
    <w:multiLevelType w:val="multilevel"/>
    <w:tmpl w:val="4450186E"/>
    <w:lvl w:ilvl="0">
      <w:start w:val="4"/>
      <w:numFmt w:val="decimal"/>
      <w:lvlText w:val="%1."/>
      <w:lvlJc w:val="left"/>
      <w:pPr>
        <w:ind w:left="720" w:hanging="720"/>
      </w:pPr>
      <w:rPr>
        <w:rFonts w:hint="default"/>
        <w:i/>
        <w:color w:val="0033CC"/>
      </w:rPr>
    </w:lvl>
    <w:lvl w:ilvl="1">
      <w:start w:val="4"/>
      <w:numFmt w:val="decimal"/>
      <w:lvlText w:val="%1.%2."/>
      <w:lvlJc w:val="left"/>
      <w:pPr>
        <w:ind w:left="720" w:hanging="720"/>
      </w:pPr>
      <w:rPr>
        <w:rFonts w:hint="default"/>
        <w:i/>
        <w:color w:val="0033CC"/>
      </w:rPr>
    </w:lvl>
    <w:lvl w:ilvl="2">
      <w:start w:val="2"/>
      <w:numFmt w:val="decimal"/>
      <w:lvlText w:val="%1.%2.%3."/>
      <w:lvlJc w:val="left"/>
      <w:pPr>
        <w:ind w:left="1080" w:hanging="1080"/>
      </w:pPr>
      <w:rPr>
        <w:rFonts w:hint="default"/>
        <w:i/>
        <w:color w:val="auto"/>
      </w:rPr>
    </w:lvl>
    <w:lvl w:ilvl="3">
      <w:start w:val="1"/>
      <w:numFmt w:val="decimal"/>
      <w:lvlText w:val="%1.%2.%3.%4."/>
      <w:lvlJc w:val="left"/>
      <w:pPr>
        <w:ind w:left="1080" w:hanging="108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12" w15:restartNumberingAfterBreak="0">
    <w:nsid w:val="61054EBA"/>
    <w:multiLevelType w:val="multilevel"/>
    <w:tmpl w:val="A38EF1FC"/>
    <w:lvl w:ilvl="0">
      <w:start w:val="2"/>
      <w:numFmt w:val="decimal"/>
      <w:lvlText w:val="%1."/>
      <w:lvlJc w:val="left"/>
      <w:pPr>
        <w:ind w:left="675" w:hanging="675"/>
      </w:pPr>
      <w:rPr>
        <w:rFonts w:hint="default"/>
        <w:i/>
        <w:color w:val="0033CC"/>
      </w:rPr>
    </w:lvl>
    <w:lvl w:ilvl="1">
      <w:start w:val="3"/>
      <w:numFmt w:val="decimal"/>
      <w:lvlText w:val="%1.%2."/>
      <w:lvlJc w:val="left"/>
      <w:pPr>
        <w:ind w:left="720" w:hanging="720"/>
      </w:pPr>
      <w:rPr>
        <w:rFonts w:hint="default"/>
        <w:i/>
        <w:color w:val="0033CC"/>
      </w:rPr>
    </w:lvl>
    <w:lvl w:ilvl="2">
      <w:start w:val="1"/>
      <w:numFmt w:val="decimal"/>
      <w:lvlText w:val="%1.%2.%3."/>
      <w:lvlJc w:val="left"/>
      <w:pPr>
        <w:ind w:left="0" w:firstLine="0"/>
      </w:pPr>
      <w:rPr>
        <w:rFonts w:hint="default"/>
        <w:i/>
        <w:color w:val="0033CC"/>
      </w:rPr>
    </w:lvl>
    <w:lvl w:ilvl="3">
      <w:start w:val="1"/>
      <w:numFmt w:val="decimal"/>
      <w:lvlText w:val="%1.%2.%3.%4."/>
      <w:lvlJc w:val="left"/>
      <w:pPr>
        <w:ind w:left="0" w:firstLine="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13" w15:restartNumberingAfterBreak="0">
    <w:nsid w:val="67334F69"/>
    <w:multiLevelType w:val="multilevel"/>
    <w:tmpl w:val="D0923082"/>
    <w:lvl w:ilvl="0">
      <w:start w:val="2"/>
      <w:numFmt w:val="decimal"/>
      <w:lvlText w:val="%1."/>
      <w:lvlJc w:val="left"/>
      <w:pPr>
        <w:ind w:left="360" w:hanging="360"/>
      </w:pPr>
      <w:rPr>
        <w:rFonts w:cs="Times New Roman" w:hint="default"/>
        <w:sz w:val="28"/>
      </w:rPr>
    </w:lvl>
    <w:lvl w:ilvl="1">
      <w:start w:val="1"/>
      <w:numFmt w:val="decimal"/>
      <w:lvlText w:val="4.1. "/>
      <w:lvlJc w:val="left"/>
      <w:pPr>
        <w:ind w:left="720" w:hanging="720"/>
      </w:pPr>
      <w:rPr>
        <w:color w:val="0033CC"/>
        <w:sz w:val="24"/>
      </w:rPr>
    </w:lvl>
    <w:lvl w:ilvl="2">
      <w:start w:val="1"/>
      <w:numFmt w:val="decimal"/>
      <w:lvlText w:val="%1.%2.%3."/>
      <w:lvlJc w:val="left"/>
      <w:pPr>
        <w:ind w:left="720" w:hanging="720"/>
      </w:pPr>
      <w:rPr>
        <w:sz w:val="24"/>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67D94C2B"/>
    <w:multiLevelType w:val="multilevel"/>
    <w:tmpl w:val="9B60526E"/>
    <w:lvl w:ilvl="0">
      <w:start w:val="5"/>
      <w:numFmt w:val="decimal"/>
      <w:lvlText w:val="%1."/>
      <w:lvlJc w:val="left"/>
      <w:pPr>
        <w:ind w:left="465" w:hanging="46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69BE7731"/>
    <w:multiLevelType w:val="multilevel"/>
    <w:tmpl w:val="09FC5D5C"/>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6D581253"/>
    <w:multiLevelType w:val="multilevel"/>
    <w:tmpl w:val="5D3643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F667050"/>
    <w:multiLevelType w:val="multilevel"/>
    <w:tmpl w:val="105E4E6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1" w15:restartNumberingAfterBreak="0">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16"/>
  </w:num>
  <w:num w:numId="2">
    <w:abstractNumId w:val="10"/>
  </w:num>
  <w:num w:numId="3">
    <w:abstractNumId w:val="21"/>
  </w:num>
  <w:num w:numId="4">
    <w:abstractNumId w:val="19"/>
  </w:num>
  <w:num w:numId="5">
    <w:abstractNumId w:val="9"/>
  </w:num>
  <w:num w:numId="6">
    <w:abstractNumId w:val="4"/>
  </w:num>
  <w:num w:numId="7">
    <w:abstractNumId w:val="15"/>
  </w:num>
  <w:num w:numId="8">
    <w:abstractNumId w:val="5"/>
  </w:num>
  <w:num w:numId="9">
    <w:abstractNumId w:val="3"/>
  </w:num>
  <w:num w:numId="10">
    <w:abstractNumId w:val="13"/>
  </w:num>
  <w:num w:numId="11">
    <w:abstractNumId w:val="6"/>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0"/>
  </w:num>
  <w:num w:numId="1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8"/>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A2"/>
    <w:rsid w:val="0000068D"/>
    <w:rsid w:val="00003A98"/>
    <w:rsid w:val="0000519A"/>
    <w:rsid w:val="0000570F"/>
    <w:rsid w:val="00007AB4"/>
    <w:rsid w:val="000111C6"/>
    <w:rsid w:val="000124CA"/>
    <w:rsid w:val="00032991"/>
    <w:rsid w:val="00034562"/>
    <w:rsid w:val="00041C8C"/>
    <w:rsid w:val="00045CE3"/>
    <w:rsid w:val="0004745A"/>
    <w:rsid w:val="00050E52"/>
    <w:rsid w:val="000521D3"/>
    <w:rsid w:val="00055FA0"/>
    <w:rsid w:val="00056AD1"/>
    <w:rsid w:val="00057483"/>
    <w:rsid w:val="00057617"/>
    <w:rsid w:val="00057B5C"/>
    <w:rsid w:val="00060A66"/>
    <w:rsid w:val="00061786"/>
    <w:rsid w:val="00061E04"/>
    <w:rsid w:val="00063444"/>
    <w:rsid w:val="00063E12"/>
    <w:rsid w:val="00074EAB"/>
    <w:rsid w:val="00081941"/>
    <w:rsid w:val="00085933"/>
    <w:rsid w:val="000930EC"/>
    <w:rsid w:val="00095E19"/>
    <w:rsid w:val="000960ED"/>
    <w:rsid w:val="00096EAF"/>
    <w:rsid w:val="000979F2"/>
    <w:rsid w:val="000A3198"/>
    <w:rsid w:val="000B2C44"/>
    <w:rsid w:val="000B4877"/>
    <w:rsid w:val="000B6B52"/>
    <w:rsid w:val="000C09F6"/>
    <w:rsid w:val="000C4503"/>
    <w:rsid w:val="000C65EF"/>
    <w:rsid w:val="000D03C3"/>
    <w:rsid w:val="000D106C"/>
    <w:rsid w:val="000D18ED"/>
    <w:rsid w:val="000D1C67"/>
    <w:rsid w:val="000D36B8"/>
    <w:rsid w:val="000D4106"/>
    <w:rsid w:val="000D51C5"/>
    <w:rsid w:val="000D579D"/>
    <w:rsid w:val="000D70EB"/>
    <w:rsid w:val="000E1027"/>
    <w:rsid w:val="000E1102"/>
    <w:rsid w:val="000F08E0"/>
    <w:rsid w:val="000F16E3"/>
    <w:rsid w:val="000F1B66"/>
    <w:rsid w:val="000F2937"/>
    <w:rsid w:val="000F3C01"/>
    <w:rsid w:val="000F6932"/>
    <w:rsid w:val="00105EA8"/>
    <w:rsid w:val="00107E1A"/>
    <w:rsid w:val="00112D32"/>
    <w:rsid w:val="001130D4"/>
    <w:rsid w:val="001137B8"/>
    <w:rsid w:val="00114608"/>
    <w:rsid w:val="00114FEE"/>
    <w:rsid w:val="00117C9A"/>
    <w:rsid w:val="0012018F"/>
    <w:rsid w:val="00121881"/>
    <w:rsid w:val="00122065"/>
    <w:rsid w:val="00122CE4"/>
    <w:rsid w:val="001249B0"/>
    <w:rsid w:val="00125389"/>
    <w:rsid w:val="00131897"/>
    <w:rsid w:val="00132BE5"/>
    <w:rsid w:val="00135410"/>
    <w:rsid w:val="0013679C"/>
    <w:rsid w:val="00137D6A"/>
    <w:rsid w:val="001403D4"/>
    <w:rsid w:val="00141432"/>
    <w:rsid w:val="001446B1"/>
    <w:rsid w:val="001452E0"/>
    <w:rsid w:val="0015481A"/>
    <w:rsid w:val="00157865"/>
    <w:rsid w:val="0016063E"/>
    <w:rsid w:val="001638CD"/>
    <w:rsid w:val="00163A34"/>
    <w:rsid w:val="00164689"/>
    <w:rsid w:val="00164E95"/>
    <w:rsid w:val="0017369C"/>
    <w:rsid w:val="00173A56"/>
    <w:rsid w:val="00175940"/>
    <w:rsid w:val="001829D4"/>
    <w:rsid w:val="00184118"/>
    <w:rsid w:val="00184960"/>
    <w:rsid w:val="00190036"/>
    <w:rsid w:val="00192621"/>
    <w:rsid w:val="00197EA7"/>
    <w:rsid w:val="00197EF3"/>
    <w:rsid w:val="001A46C4"/>
    <w:rsid w:val="001A5399"/>
    <w:rsid w:val="001A565D"/>
    <w:rsid w:val="001A643C"/>
    <w:rsid w:val="001A688F"/>
    <w:rsid w:val="001B2496"/>
    <w:rsid w:val="001B3230"/>
    <w:rsid w:val="001B3EEA"/>
    <w:rsid w:val="001B4583"/>
    <w:rsid w:val="001B4B9B"/>
    <w:rsid w:val="001B5624"/>
    <w:rsid w:val="001C36DF"/>
    <w:rsid w:val="001C3F97"/>
    <w:rsid w:val="001C51D4"/>
    <w:rsid w:val="001C5578"/>
    <w:rsid w:val="001C5598"/>
    <w:rsid w:val="001D0AA3"/>
    <w:rsid w:val="001D2330"/>
    <w:rsid w:val="001D253E"/>
    <w:rsid w:val="001D37AB"/>
    <w:rsid w:val="001D60DE"/>
    <w:rsid w:val="001D7953"/>
    <w:rsid w:val="001D7E85"/>
    <w:rsid w:val="001E0761"/>
    <w:rsid w:val="001E18FB"/>
    <w:rsid w:val="001E57DE"/>
    <w:rsid w:val="001F430A"/>
    <w:rsid w:val="001F53B6"/>
    <w:rsid w:val="00200A45"/>
    <w:rsid w:val="00201848"/>
    <w:rsid w:val="00207C51"/>
    <w:rsid w:val="00207FCF"/>
    <w:rsid w:val="0021075B"/>
    <w:rsid w:val="00210850"/>
    <w:rsid w:val="002131E7"/>
    <w:rsid w:val="0021633C"/>
    <w:rsid w:val="00216AE8"/>
    <w:rsid w:val="0022205D"/>
    <w:rsid w:val="00227FA6"/>
    <w:rsid w:val="00230208"/>
    <w:rsid w:val="0023059E"/>
    <w:rsid w:val="00231A7F"/>
    <w:rsid w:val="00236089"/>
    <w:rsid w:val="0023681D"/>
    <w:rsid w:val="00236A9B"/>
    <w:rsid w:val="0023704F"/>
    <w:rsid w:val="00237B2C"/>
    <w:rsid w:val="00237BF5"/>
    <w:rsid w:val="002419D4"/>
    <w:rsid w:val="00243379"/>
    <w:rsid w:val="0024455A"/>
    <w:rsid w:val="00252760"/>
    <w:rsid w:val="00253E4F"/>
    <w:rsid w:val="00257943"/>
    <w:rsid w:val="002579E7"/>
    <w:rsid w:val="00257B1F"/>
    <w:rsid w:val="00260AA1"/>
    <w:rsid w:val="00265A2E"/>
    <w:rsid w:val="002711FB"/>
    <w:rsid w:val="002748B1"/>
    <w:rsid w:val="0027637D"/>
    <w:rsid w:val="00276704"/>
    <w:rsid w:val="00280570"/>
    <w:rsid w:val="00280589"/>
    <w:rsid w:val="002825A8"/>
    <w:rsid w:val="0028371F"/>
    <w:rsid w:val="002842F2"/>
    <w:rsid w:val="002857F7"/>
    <w:rsid w:val="002860D6"/>
    <w:rsid w:val="002873EC"/>
    <w:rsid w:val="002912F2"/>
    <w:rsid w:val="00297096"/>
    <w:rsid w:val="002A0A88"/>
    <w:rsid w:val="002A18D8"/>
    <w:rsid w:val="002A2749"/>
    <w:rsid w:val="002A3F11"/>
    <w:rsid w:val="002A74DD"/>
    <w:rsid w:val="002A7A4F"/>
    <w:rsid w:val="002B513B"/>
    <w:rsid w:val="002C4195"/>
    <w:rsid w:val="002C7A37"/>
    <w:rsid w:val="002C7ABF"/>
    <w:rsid w:val="002D0477"/>
    <w:rsid w:val="002D0639"/>
    <w:rsid w:val="002D4917"/>
    <w:rsid w:val="002D605B"/>
    <w:rsid w:val="002E0BA3"/>
    <w:rsid w:val="002E11C8"/>
    <w:rsid w:val="002E21FB"/>
    <w:rsid w:val="002E5263"/>
    <w:rsid w:val="002E562C"/>
    <w:rsid w:val="002E660C"/>
    <w:rsid w:val="002F4DF5"/>
    <w:rsid w:val="002F7410"/>
    <w:rsid w:val="003013A2"/>
    <w:rsid w:val="00301DDF"/>
    <w:rsid w:val="00301E59"/>
    <w:rsid w:val="00305C99"/>
    <w:rsid w:val="00310556"/>
    <w:rsid w:val="00310588"/>
    <w:rsid w:val="00310EAB"/>
    <w:rsid w:val="00312D22"/>
    <w:rsid w:val="0031682A"/>
    <w:rsid w:val="00323447"/>
    <w:rsid w:val="0033124D"/>
    <w:rsid w:val="003319C7"/>
    <w:rsid w:val="003336C3"/>
    <w:rsid w:val="00335968"/>
    <w:rsid w:val="00342E88"/>
    <w:rsid w:val="0034359F"/>
    <w:rsid w:val="003458B9"/>
    <w:rsid w:val="00346390"/>
    <w:rsid w:val="00352931"/>
    <w:rsid w:val="00360576"/>
    <w:rsid w:val="0036089E"/>
    <w:rsid w:val="0036394A"/>
    <w:rsid w:val="00363D70"/>
    <w:rsid w:val="0036517C"/>
    <w:rsid w:val="00370D1D"/>
    <w:rsid w:val="00371FB5"/>
    <w:rsid w:val="0037295F"/>
    <w:rsid w:val="00376273"/>
    <w:rsid w:val="00376B94"/>
    <w:rsid w:val="0038158A"/>
    <w:rsid w:val="00384791"/>
    <w:rsid w:val="00385E87"/>
    <w:rsid w:val="00386111"/>
    <w:rsid w:val="00386189"/>
    <w:rsid w:val="00392869"/>
    <w:rsid w:val="00392F07"/>
    <w:rsid w:val="00392FC9"/>
    <w:rsid w:val="00393DD3"/>
    <w:rsid w:val="003972DC"/>
    <w:rsid w:val="003A1A5B"/>
    <w:rsid w:val="003A5242"/>
    <w:rsid w:val="003B0EC2"/>
    <w:rsid w:val="003B19D8"/>
    <w:rsid w:val="003B445E"/>
    <w:rsid w:val="003C04BC"/>
    <w:rsid w:val="003C5098"/>
    <w:rsid w:val="003C77D5"/>
    <w:rsid w:val="003D081D"/>
    <w:rsid w:val="003D5A4E"/>
    <w:rsid w:val="003D663C"/>
    <w:rsid w:val="003D67D8"/>
    <w:rsid w:val="003D6C3D"/>
    <w:rsid w:val="003E236C"/>
    <w:rsid w:val="003E3CF7"/>
    <w:rsid w:val="003E4533"/>
    <w:rsid w:val="003E5ED3"/>
    <w:rsid w:val="003F3AD2"/>
    <w:rsid w:val="00400B90"/>
    <w:rsid w:val="00402132"/>
    <w:rsid w:val="00402319"/>
    <w:rsid w:val="00402E49"/>
    <w:rsid w:val="00403F27"/>
    <w:rsid w:val="004058A0"/>
    <w:rsid w:val="00411AC5"/>
    <w:rsid w:val="00412B72"/>
    <w:rsid w:val="00414421"/>
    <w:rsid w:val="004215F9"/>
    <w:rsid w:val="00427BE4"/>
    <w:rsid w:val="004335C7"/>
    <w:rsid w:val="004339DF"/>
    <w:rsid w:val="00435CC2"/>
    <w:rsid w:val="004361D6"/>
    <w:rsid w:val="00436669"/>
    <w:rsid w:val="00437511"/>
    <w:rsid w:val="0043753B"/>
    <w:rsid w:val="00441A10"/>
    <w:rsid w:val="00451388"/>
    <w:rsid w:val="00455DE9"/>
    <w:rsid w:val="004614E4"/>
    <w:rsid w:val="00461F2C"/>
    <w:rsid w:val="00465107"/>
    <w:rsid w:val="00471F25"/>
    <w:rsid w:val="00475125"/>
    <w:rsid w:val="00482924"/>
    <w:rsid w:val="004838C6"/>
    <w:rsid w:val="004848E7"/>
    <w:rsid w:val="0048492D"/>
    <w:rsid w:val="004874D7"/>
    <w:rsid w:val="00487703"/>
    <w:rsid w:val="0049196E"/>
    <w:rsid w:val="004A1395"/>
    <w:rsid w:val="004A3DC5"/>
    <w:rsid w:val="004A7C24"/>
    <w:rsid w:val="004B145C"/>
    <w:rsid w:val="004B6BF7"/>
    <w:rsid w:val="004C319B"/>
    <w:rsid w:val="004D5A2C"/>
    <w:rsid w:val="004E1CAC"/>
    <w:rsid w:val="004E1EF9"/>
    <w:rsid w:val="004E2173"/>
    <w:rsid w:val="004E6A80"/>
    <w:rsid w:val="004E75C5"/>
    <w:rsid w:val="004F229E"/>
    <w:rsid w:val="004F537C"/>
    <w:rsid w:val="004F7160"/>
    <w:rsid w:val="00500A43"/>
    <w:rsid w:val="00500DC5"/>
    <w:rsid w:val="005022A7"/>
    <w:rsid w:val="0050295B"/>
    <w:rsid w:val="005035D2"/>
    <w:rsid w:val="00505315"/>
    <w:rsid w:val="00506C08"/>
    <w:rsid w:val="0051191A"/>
    <w:rsid w:val="005127E5"/>
    <w:rsid w:val="00515B6B"/>
    <w:rsid w:val="00516D6E"/>
    <w:rsid w:val="0052398B"/>
    <w:rsid w:val="00524435"/>
    <w:rsid w:val="00530484"/>
    <w:rsid w:val="0053073B"/>
    <w:rsid w:val="00531547"/>
    <w:rsid w:val="00540904"/>
    <w:rsid w:val="00541D65"/>
    <w:rsid w:val="0054427C"/>
    <w:rsid w:val="0055115B"/>
    <w:rsid w:val="00552815"/>
    <w:rsid w:val="00564C16"/>
    <w:rsid w:val="0056570B"/>
    <w:rsid w:val="005668DE"/>
    <w:rsid w:val="00570A9B"/>
    <w:rsid w:val="00570C60"/>
    <w:rsid w:val="00572804"/>
    <w:rsid w:val="0057512B"/>
    <w:rsid w:val="005768FC"/>
    <w:rsid w:val="005776F2"/>
    <w:rsid w:val="00582F12"/>
    <w:rsid w:val="0058709F"/>
    <w:rsid w:val="005938D9"/>
    <w:rsid w:val="00597D74"/>
    <w:rsid w:val="005A2B7C"/>
    <w:rsid w:val="005A5BAB"/>
    <w:rsid w:val="005B5506"/>
    <w:rsid w:val="005B781D"/>
    <w:rsid w:val="005B79BE"/>
    <w:rsid w:val="005C2226"/>
    <w:rsid w:val="005C2CBC"/>
    <w:rsid w:val="005C3A39"/>
    <w:rsid w:val="005C3D57"/>
    <w:rsid w:val="005C4919"/>
    <w:rsid w:val="005C4ABE"/>
    <w:rsid w:val="005D0B8F"/>
    <w:rsid w:val="005D0C4E"/>
    <w:rsid w:val="005D39F3"/>
    <w:rsid w:val="005D49DF"/>
    <w:rsid w:val="005E03C6"/>
    <w:rsid w:val="005E24AC"/>
    <w:rsid w:val="005E4584"/>
    <w:rsid w:val="005E604E"/>
    <w:rsid w:val="005F1FB2"/>
    <w:rsid w:val="005F5258"/>
    <w:rsid w:val="005F5BA0"/>
    <w:rsid w:val="006015CF"/>
    <w:rsid w:val="0060427D"/>
    <w:rsid w:val="00607310"/>
    <w:rsid w:val="00611CB0"/>
    <w:rsid w:val="006144B3"/>
    <w:rsid w:val="006148FC"/>
    <w:rsid w:val="00615B33"/>
    <w:rsid w:val="00617D63"/>
    <w:rsid w:val="00621644"/>
    <w:rsid w:val="00623497"/>
    <w:rsid w:val="006235A9"/>
    <w:rsid w:val="00623A6D"/>
    <w:rsid w:val="00631466"/>
    <w:rsid w:val="0063289D"/>
    <w:rsid w:val="0063755D"/>
    <w:rsid w:val="00651C7E"/>
    <w:rsid w:val="006527BF"/>
    <w:rsid w:val="00656CB7"/>
    <w:rsid w:val="00660E7E"/>
    <w:rsid w:val="00663341"/>
    <w:rsid w:val="00667BB2"/>
    <w:rsid w:val="00672632"/>
    <w:rsid w:val="0067785B"/>
    <w:rsid w:val="00681A45"/>
    <w:rsid w:val="00682BBB"/>
    <w:rsid w:val="006837D2"/>
    <w:rsid w:val="00686B69"/>
    <w:rsid w:val="006950C1"/>
    <w:rsid w:val="00695536"/>
    <w:rsid w:val="006A11EF"/>
    <w:rsid w:val="006A2C31"/>
    <w:rsid w:val="006A30E2"/>
    <w:rsid w:val="006A6085"/>
    <w:rsid w:val="006B1B3F"/>
    <w:rsid w:val="006B2386"/>
    <w:rsid w:val="006B768E"/>
    <w:rsid w:val="006B7EB8"/>
    <w:rsid w:val="006C17B6"/>
    <w:rsid w:val="006C408D"/>
    <w:rsid w:val="006C4AB8"/>
    <w:rsid w:val="006C572F"/>
    <w:rsid w:val="006C6544"/>
    <w:rsid w:val="006D17EF"/>
    <w:rsid w:val="006D63F0"/>
    <w:rsid w:val="006E1121"/>
    <w:rsid w:val="006E221E"/>
    <w:rsid w:val="006F0BD4"/>
    <w:rsid w:val="006F310C"/>
    <w:rsid w:val="006F3765"/>
    <w:rsid w:val="006F58F9"/>
    <w:rsid w:val="006F61F6"/>
    <w:rsid w:val="007030EF"/>
    <w:rsid w:val="007031D1"/>
    <w:rsid w:val="00707F42"/>
    <w:rsid w:val="00712790"/>
    <w:rsid w:val="00715013"/>
    <w:rsid w:val="00725DA4"/>
    <w:rsid w:val="00726D6E"/>
    <w:rsid w:val="00727833"/>
    <w:rsid w:val="007326D4"/>
    <w:rsid w:val="007330E3"/>
    <w:rsid w:val="00734860"/>
    <w:rsid w:val="00737026"/>
    <w:rsid w:val="00740B86"/>
    <w:rsid w:val="00742351"/>
    <w:rsid w:val="00753D58"/>
    <w:rsid w:val="00760989"/>
    <w:rsid w:val="007614C0"/>
    <w:rsid w:val="0076163D"/>
    <w:rsid w:val="00764F24"/>
    <w:rsid w:val="007668A2"/>
    <w:rsid w:val="0077216A"/>
    <w:rsid w:val="00774AD2"/>
    <w:rsid w:val="00776C17"/>
    <w:rsid w:val="00777CC1"/>
    <w:rsid w:val="00780839"/>
    <w:rsid w:val="00781593"/>
    <w:rsid w:val="00781928"/>
    <w:rsid w:val="00783BDB"/>
    <w:rsid w:val="007841FC"/>
    <w:rsid w:val="007853A8"/>
    <w:rsid w:val="007860C0"/>
    <w:rsid w:val="00794CF2"/>
    <w:rsid w:val="00796803"/>
    <w:rsid w:val="00797CB2"/>
    <w:rsid w:val="00797DB7"/>
    <w:rsid w:val="007A1804"/>
    <w:rsid w:val="007A476E"/>
    <w:rsid w:val="007A5022"/>
    <w:rsid w:val="007C03DB"/>
    <w:rsid w:val="007C4F9D"/>
    <w:rsid w:val="007C66B8"/>
    <w:rsid w:val="007C795D"/>
    <w:rsid w:val="007C7C3E"/>
    <w:rsid w:val="007C7CB4"/>
    <w:rsid w:val="007D102F"/>
    <w:rsid w:val="007D3147"/>
    <w:rsid w:val="007D341B"/>
    <w:rsid w:val="007D45EA"/>
    <w:rsid w:val="007D5FA3"/>
    <w:rsid w:val="007D7466"/>
    <w:rsid w:val="007E49B1"/>
    <w:rsid w:val="007E56B3"/>
    <w:rsid w:val="007F105A"/>
    <w:rsid w:val="007F1488"/>
    <w:rsid w:val="007F2975"/>
    <w:rsid w:val="007F2A96"/>
    <w:rsid w:val="007F3A25"/>
    <w:rsid w:val="007F3F25"/>
    <w:rsid w:val="008015E1"/>
    <w:rsid w:val="00804350"/>
    <w:rsid w:val="00804C59"/>
    <w:rsid w:val="00806789"/>
    <w:rsid w:val="00810D50"/>
    <w:rsid w:val="0081363A"/>
    <w:rsid w:val="00820AB4"/>
    <w:rsid w:val="00820BF6"/>
    <w:rsid w:val="0082292F"/>
    <w:rsid w:val="00827A6D"/>
    <w:rsid w:val="0083050E"/>
    <w:rsid w:val="00832731"/>
    <w:rsid w:val="00833B9B"/>
    <w:rsid w:val="00834347"/>
    <w:rsid w:val="00834976"/>
    <w:rsid w:val="00842EC7"/>
    <w:rsid w:val="0085215F"/>
    <w:rsid w:val="008557A4"/>
    <w:rsid w:val="0086284C"/>
    <w:rsid w:val="00863948"/>
    <w:rsid w:val="00876E0A"/>
    <w:rsid w:val="00882560"/>
    <w:rsid w:val="008844FB"/>
    <w:rsid w:val="00884D74"/>
    <w:rsid w:val="008872A2"/>
    <w:rsid w:val="008920B4"/>
    <w:rsid w:val="008930E1"/>
    <w:rsid w:val="0089567B"/>
    <w:rsid w:val="00897EEA"/>
    <w:rsid w:val="008B14AB"/>
    <w:rsid w:val="008B18E2"/>
    <w:rsid w:val="008B3E9A"/>
    <w:rsid w:val="008B41DF"/>
    <w:rsid w:val="008B500B"/>
    <w:rsid w:val="008B7145"/>
    <w:rsid w:val="008B71AB"/>
    <w:rsid w:val="008B7470"/>
    <w:rsid w:val="008C16FC"/>
    <w:rsid w:val="008C4F68"/>
    <w:rsid w:val="008D0063"/>
    <w:rsid w:val="008D321B"/>
    <w:rsid w:val="008E0505"/>
    <w:rsid w:val="008E0D48"/>
    <w:rsid w:val="008E1174"/>
    <w:rsid w:val="008E4AFC"/>
    <w:rsid w:val="008E66DE"/>
    <w:rsid w:val="008F2168"/>
    <w:rsid w:val="008F3F1E"/>
    <w:rsid w:val="008F429B"/>
    <w:rsid w:val="008F4505"/>
    <w:rsid w:val="008F4BA2"/>
    <w:rsid w:val="00903782"/>
    <w:rsid w:val="00910B1E"/>
    <w:rsid w:val="00911C83"/>
    <w:rsid w:val="009132D2"/>
    <w:rsid w:val="009147CB"/>
    <w:rsid w:val="00917AC3"/>
    <w:rsid w:val="00920CA1"/>
    <w:rsid w:val="00921C1B"/>
    <w:rsid w:val="009345DA"/>
    <w:rsid w:val="00937EFA"/>
    <w:rsid w:val="00940712"/>
    <w:rsid w:val="00944538"/>
    <w:rsid w:val="0094614E"/>
    <w:rsid w:val="00947E5C"/>
    <w:rsid w:val="00952E5E"/>
    <w:rsid w:val="00953227"/>
    <w:rsid w:val="00953B22"/>
    <w:rsid w:val="00953B8B"/>
    <w:rsid w:val="00954D5D"/>
    <w:rsid w:val="00956A70"/>
    <w:rsid w:val="0095728D"/>
    <w:rsid w:val="00963ECB"/>
    <w:rsid w:val="00965E80"/>
    <w:rsid w:val="00967A53"/>
    <w:rsid w:val="00967D6F"/>
    <w:rsid w:val="009759B2"/>
    <w:rsid w:val="00980C97"/>
    <w:rsid w:val="009823F0"/>
    <w:rsid w:val="00982ED1"/>
    <w:rsid w:val="00985FD1"/>
    <w:rsid w:val="0099309B"/>
    <w:rsid w:val="009948F2"/>
    <w:rsid w:val="009969C3"/>
    <w:rsid w:val="009A1240"/>
    <w:rsid w:val="009A6C1F"/>
    <w:rsid w:val="009A6EE3"/>
    <w:rsid w:val="009A7A02"/>
    <w:rsid w:val="009C1009"/>
    <w:rsid w:val="009C1975"/>
    <w:rsid w:val="009C207D"/>
    <w:rsid w:val="009C4638"/>
    <w:rsid w:val="009C68C7"/>
    <w:rsid w:val="009C7F1C"/>
    <w:rsid w:val="009D4966"/>
    <w:rsid w:val="009D524E"/>
    <w:rsid w:val="009E1072"/>
    <w:rsid w:val="009E2607"/>
    <w:rsid w:val="009E263C"/>
    <w:rsid w:val="009E2FC8"/>
    <w:rsid w:val="009E3076"/>
    <w:rsid w:val="009E3110"/>
    <w:rsid w:val="009F0E61"/>
    <w:rsid w:val="009F1786"/>
    <w:rsid w:val="009F2506"/>
    <w:rsid w:val="00A02517"/>
    <w:rsid w:val="00A11F60"/>
    <w:rsid w:val="00A12284"/>
    <w:rsid w:val="00A15DE5"/>
    <w:rsid w:val="00A164C0"/>
    <w:rsid w:val="00A1731D"/>
    <w:rsid w:val="00A22745"/>
    <w:rsid w:val="00A22F28"/>
    <w:rsid w:val="00A230D3"/>
    <w:rsid w:val="00A2585D"/>
    <w:rsid w:val="00A3039E"/>
    <w:rsid w:val="00A35365"/>
    <w:rsid w:val="00A35FAF"/>
    <w:rsid w:val="00A40574"/>
    <w:rsid w:val="00A432C5"/>
    <w:rsid w:val="00A4720E"/>
    <w:rsid w:val="00A51E08"/>
    <w:rsid w:val="00A5572D"/>
    <w:rsid w:val="00A56277"/>
    <w:rsid w:val="00A5725A"/>
    <w:rsid w:val="00A57455"/>
    <w:rsid w:val="00A62541"/>
    <w:rsid w:val="00A62787"/>
    <w:rsid w:val="00A62B92"/>
    <w:rsid w:val="00A644D6"/>
    <w:rsid w:val="00A6591E"/>
    <w:rsid w:val="00A675A3"/>
    <w:rsid w:val="00A71D99"/>
    <w:rsid w:val="00A7420C"/>
    <w:rsid w:val="00A81263"/>
    <w:rsid w:val="00A837CE"/>
    <w:rsid w:val="00A909D6"/>
    <w:rsid w:val="00A92946"/>
    <w:rsid w:val="00A943FF"/>
    <w:rsid w:val="00A96BBB"/>
    <w:rsid w:val="00A97D97"/>
    <w:rsid w:val="00A97E41"/>
    <w:rsid w:val="00AA0D85"/>
    <w:rsid w:val="00AA4E6B"/>
    <w:rsid w:val="00AB2D84"/>
    <w:rsid w:val="00AB3B45"/>
    <w:rsid w:val="00AB3C1E"/>
    <w:rsid w:val="00AB6D90"/>
    <w:rsid w:val="00AC0533"/>
    <w:rsid w:val="00AC51E2"/>
    <w:rsid w:val="00AC71B8"/>
    <w:rsid w:val="00AC72E5"/>
    <w:rsid w:val="00AC7FEA"/>
    <w:rsid w:val="00AD1446"/>
    <w:rsid w:val="00AD1A3F"/>
    <w:rsid w:val="00AD284A"/>
    <w:rsid w:val="00AD410B"/>
    <w:rsid w:val="00AD42A0"/>
    <w:rsid w:val="00AE0641"/>
    <w:rsid w:val="00AE33C0"/>
    <w:rsid w:val="00AE38B2"/>
    <w:rsid w:val="00AF09DF"/>
    <w:rsid w:val="00AF0F06"/>
    <w:rsid w:val="00AF4B72"/>
    <w:rsid w:val="00AF5949"/>
    <w:rsid w:val="00AF7A6F"/>
    <w:rsid w:val="00B008E4"/>
    <w:rsid w:val="00B01A99"/>
    <w:rsid w:val="00B0378B"/>
    <w:rsid w:val="00B07E4B"/>
    <w:rsid w:val="00B14DB8"/>
    <w:rsid w:val="00B16D2A"/>
    <w:rsid w:val="00B21163"/>
    <w:rsid w:val="00B214D7"/>
    <w:rsid w:val="00B23D55"/>
    <w:rsid w:val="00B25249"/>
    <w:rsid w:val="00B262B1"/>
    <w:rsid w:val="00B26A73"/>
    <w:rsid w:val="00B27D74"/>
    <w:rsid w:val="00B307B1"/>
    <w:rsid w:val="00B37678"/>
    <w:rsid w:val="00B52EC6"/>
    <w:rsid w:val="00B54036"/>
    <w:rsid w:val="00B55A68"/>
    <w:rsid w:val="00B60061"/>
    <w:rsid w:val="00B61365"/>
    <w:rsid w:val="00B62758"/>
    <w:rsid w:val="00B6380C"/>
    <w:rsid w:val="00B63D21"/>
    <w:rsid w:val="00B66ADF"/>
    <w:rsid w:val="00B675CB"/>
    <w:rsid w:val="00B71EBD"/>
    <w:rsid w:val="00B724CE"/>
    <w:rsid w:val="00B74B6B"/>
    <w:rsid w:val="00B75A6A"/>
    <w:rsid w:val="00B75F84"/>
    <w:rsid w:val="00B81C8E"/>
    <w:rsid w:val="00B849B9"/>
    <w:rsid w:val="00B86552"/>
    <w:rsid w:val="00B87206"/>
    <w:rsid w:val="00B903F5"/>
    <w:rsid w:val="00B944D7"/>
    <w:rsid w:val="00B9552A"/>
    <w:rsid w:val="00B960FD"/>
    <w:rsid w:val="00BA0A2F"/>
    <w:rsid w:val="00BA2961"/>
    <w:rsid w:val="00BA2A6F"/>
    <w:rsid w:val="00BA457F"/>
    <w:rsid w:val="00BB455A"/>
    <w:rsid w:val="00BB55AE"/>
    <w:rsid w:val="00BB5A24"/>
    <w:rsid w:val="00BC17D5"/>
    <w:rsid w:val="00BC1A36"/>
    <w:rsid w:val="00BC2578"/>
    <w:rsid w:val="00BC393F"/>
    <w:rsid w:val="00BC3D53"/>
    <w:rsid w:val="00BC3EC8"/>
    <w:rsid w:val="00BC589D"/>
    <w:rsid w:val="00BC6AAD"/>
    <w:rsid w:val="00BC77B9"/>
    <w:rsid w:val="00BD1343"/>
    <w:rsid w:val="00BD744D"/>
    <w:rsid w:val="00BE0E76"/>
    <w:rsid w:val="00BE16DB"/>
    <w:rsid w:val="00BE2F2A"/>
    <w:rsid w:val="00BE49F3"/>
    <w:rsid w:val="00BF0045"/>
    <w:rsid w:val="00BF02CE"/>
    <w:rsid w:val="00BF4814"/>
    <w:rsid w:val="00BF4F8B"/>
    <w:rsid w:val="00BF5296"/>
    <w:rsid w:val="00BF69EF"/>
    <w:rsid w:val="00BF73F6"/>
    <w:rsid w:val="00C022C2"/>
    <w:rsid w:val="00C02A44"/>
    <w:rsid w:val="00C04D9E"/>
    <w:rsid w:val="00C0547C"/>
    <w:rsid w:val="00C0586F"/>
    <w:rsid w:val="00C05C86"/>
    <w:rsid w:val="00C12249"/>
    <w:rsid w:val="00C127FF"/>
    <w:rsid w:val="00C12E58"/>
    <w:rsid w:val="00C150CB"/>
    <w:rsid w:val="00C15747"/>
    <w:rsid w:val="00C15ED5"/>
    <w:rsid w:val="00C164DC"/>
    <w:rsid w:val="00C20FB2"/>
    <w:rsid w:val="00C23440"/>
    <w:rsid w:val="00C26924"/>
    <w:rsid w:val="00C31CFD"/>
    <w:rsid w:val="00C31D4B"/>
    <w:rsid w:val="00C32B52"/>
    <w:rsid w:val="00C34C39"/>
    <w:rsid w:val="00C34DDA"/>
    <w:rsid w:val="00C3595E"/>
    <w:rsid w:val="00C363C4"/>
    <w:rsid w:val="00C363D3"/>
    <w:rsid w:val="00C36400"/>
    <w:rsid w:val="00C36F80"/>
    <w:rsid w:val="00C40CD0"/>
    <w:rsid w:val="00C41DC2"/>
    <w:rsid w:val="00C42B96"/>
    <w:rsid w:val="00C44E32"/>
    <w:rsid w:val="00C523D7"/>
    <w:rsid w:val="00C54FE1"/>
    <w:rsid w:val="00C608CB"/>
    <w:rsid w:val="00C60906"/>
    <w:rsid w:val="00C6154F"/>
    <w:rsid w:val="00C6424D"/>
    <w:rsid w:val="00C647E5"/>
    <w:rsid w:val="00C65DA3"/>
    <w:rsid w:val="00C741D5"/>
    <w:rsid w:val="00C81008"/>
    <w:rsid w:val="00C820E9"/>
    <w:rsid w:val="00C82245"/>
    <w:rsid w:val="00C8590E"/>
    <w:rsid w:val="00C903AF"/>
    <w:rsid w:val="00C91199"/>
    <w:rsid w:val="00C9127E"/>
    <w:rsid w:val="00C92910"/>
    <w:rsid w:val="00C93852"/>
    <w:rsid w:val="00C9534A"/>
    <w:rsid w:val="00CA0F66"/>
    <w:rsid w:val="00CA33C5"/>
    <w:rsid w:val="00CA6C0B"/>
    <w:rsid w:val="00CA71BC"/>
    <w:rsid w:val="00CB000C"/>
    <w:rsid w:val="00CB5412"/>
    <w:rsid w:val="00CB6B9A"/>
    <w:rsid w:val="00CC1093"/>
    <w:rsid w:val="00CC15CC"/>
    <w:rsid w:val="00CC1FB6"/>
    <w:rsid w:val="00CC75F4"/>
    <w:rsid w:val="00CD2257"/>
    <w:rsid w:val="00CD584C"/>
    <w:rsid w:val="00CD7AAA"/>
    <w:rsid w:val="00CD7B96"/>
    <w:rsid w:val="00CE2176"/>
    <w:rsid w:val="00CE5C8A"/>
    <w:rsid w:val="00CF034C"/>
    <w:rsid w:val="00CF0EBE"/>
    <w:rsid w:val="00CF16F4"/>
    <w:rsid w:val="00CF3CF5"/>
    <w:rsid w:val="00CF6850"/>
    <w:rsid w:val="00CF7AA1"/>
    <w:rsid w:val="00D02CB4"/>
    <w:rsid w:val="00D06465"/>
    <w:rsid w:val="00D112E2"/>
    <w:rsid w:val="00D1698E"/>
    <w:rsid w:val="00D2108D"/>
    <w:rsid w:val="00D2440A"/>
    <w:rsid w:val="00D26844"/>
    <w:rsid w:val="00D33A4E"/>
    <w:rsid w:val="00D34F7A"/>
    <w:rsid w:val="00D4141F"/>
    <w:rsid w:val="00D45CED"/>
    <w:rsid w:val="00D46DD8"/>
    <w:rsid w:val="00D47ACB"/>
    <w:rsid w:val="00D5056C"/>
    <w:rsid w:val="00D51EAD"/>
    <w:rsid w:val="00D5369D"/>
    <w:rsid w:val="00D619AE"/>
    <w:rsid w:val="00D70FD2"/>
    <w:rsid w:val="00D71B92"/>
    <w:rsid w:val="00D73D69"/>
    <w:rsid w:val="00D757EF"/>
    <w:rsid w:val="00D764CA"/>
    <w:rsid w:val="00D812AB"/>
    <w:rsid w:val="00D838F9"/>
    <w:rsid w:val="00D83937"/>
    <w:rsid w:val="00D83E5D"/>
    <w:rsid w:val="00D84F31"/>
    <w:rsid w:val="00D851DA"/>
    <w:rsid w:val="00D9154D"/>
    <w:rsid w:val="00D915F4"/>
    <w:rsid w:val="00D916C0"/>
    <w:rsid w:val="00D93167"/>
    <w:rsid w:val="00D93DAF"/>
    <w:rsid w:val="00D94972"/>
    <w:rsid w:val="00D94D58"/>
    <w:rsid w:val="00D97527"/>
    <w:rsid w:val="00D97B75"/>
    <w:rsid w:val="00DA079E"/>
    <w:rsid w:val="00DA1E67"/>
    <w:rsid w:val="00DA5858"/>
    <w:rsid w:val="00DB0458"/>
    <w:rsid w:val="00DB222B"/>
    <w:rsid w:val="00DB2868"/>
    <w:rsid w:val="00DB4C49"/>
    <w:rsid w:val="00DB5290"/>
    <w:rsid w:val="00DC031D"/>
    <w:rsid w:val="00DC21CE"/>
    <w:rsid w:val="00DC3B05"/>
    <w:rsid w:val="00DC4E67"/>
    <w:rsid w:val="00DD00F5"/>
    <w:rsid w:val="00DD366D"/>
    <w:rsid w:val="00DE078F"/>
    <w:rsid w:val="00DE19D9"/>
    <w:rsid w:val="00DE429A"/>
    <w:rsid w:val="00DE4A0C"/>
    <w:rsid w:val="00DF5461"/>
    <w:rsid w:val="00DF6741"/>
    <w:rsid w:val="00DF73EF"/>
    <w:rsid w:val="00E018C6"/>
    <w:rsid w:val="00E036C8"/>
    <w:rsid w:val="00E04776"/>
    <w:rsid w:val="00E04CE6"/>
    <w:rsid w:val="00E05B40"/>
    <w:rsid w:val="00E10297"/>
    <w:rsid w:val="00E13879"/>
    <w:rsid w:val="00E13CE0"/>
    <w:rsid w:val="00E14DB5"/>
    <w:rsid w:val="00E15A72"/>
    <w:rsid w:val="00E16943"/>
    <w:rsid w:val="00E17508"/>
    <w:rsid w:val="00E2193F"/>
    <w:rsid w:val="00E23B32"/>
    <w:rsid w:val="00E253EE"/>
    <w:rsid w:val="00E25666"/>
    <w:rsid w:val="00E2686D"/>
    <w:rsid w:val="00E316D9"/>
    <w:rsid w:val="00E34EB6"/>
    <w:rsid w:val="00E42B6A"/>
    <w:rsid w:val="00E4399D"/>
    <w:rsid w:val="00E44741"/>
    <w:rsid w:val="00E53231"/>
    <w:rsid w:val="00E54E75"/>
    <w:rsid w:val="00E55393"/>
    <w:rsid w:val="00E5643E"/>
    <w:rsid w:val="00E5720B"/>
    <w:rsid w:val="00E620D1"/>
    <w:rsid w:val="00E642EC"/>
    <w:rsid w:val="00E64F38"/>
    <w:rsid w:val="00E7400E"/>
    <w:rsid w:val="00E7402E"/>
    <w:rsid w:val="00E76EB6"/>
    <w:rsid w:val="00E8141D"/>
    <w:rsid w:val="00E856DA"/>
    <w:rsid w:val="00E86B8D"/>
    <w:rsid w:val="00E86F07"/>
    <w:rsid w:val="00E87611"/>
    <w:rsid w:val="00E92773"/>
    <w:rsid w:val="00E9375D"/>
    <w:rsid w:val="00E9418E"/>
    <w:rsid w:val="00E94621"/>
    <w:rsid w:val="00E96913"/>
    <w:rsid w:val="00EA12F0"/>
    <w:rsid w:val="00EA40EA"/>
    <w:rsid w:val="00EB07CB"/>
    <w:rsid w:val="00EB1F06"/>
    <w:rsid w:val="00EB2A8A"/>
    <w:rsid w:val="00EB7E37"/>
    <w:rsid w:val="00EC030C"/>
    <w:rsid w:val="00EC041C"/>
    <w:rsid w:val="00EC3FF2"/>
    <w:rsid w:val="00ED0720"/>
    <w:rsid w:val="00EE0413"/>
    <w:rsid w:val="00EE0973"/>
    <w:rsid w:val="00EE3AF2"/>
    <w:rsid w:val="00EE44E5"/>
    <w:rsid w:val="00EE7051"/>
    <w:rsid w:val="00EE746B"/>
    <w:rsid w:val="00EF4827"/>
    <w:rsid w:val="00F00DDF"/>
    <w:rsid w:val="00F0240A"/>
    <w:rsid w:val="00F02B5F"/>
    <w:rsid w:val="00F03D99"/>
    <w:rsid w:val="00F121C1"/>
    <w:rsid w:val="00F1564B"/>
    <w:rsid w:val="00F20247"/>
    <w:rsid w:val="00F2467F"/>
    <w:rsid w:val="00F25594"/>
    <w:rsid w:val="00F25900"/>
    <w:rsid w:val="00F31348"/>
    <w:rsid w:val="00F32BA7"/>
    <w:rsid w:val="00F404F9"/>
    <w:rsid w:val="00F4425A"/>
    <w:rsid w:val="00F6163C"/>
    <w:rsid w:val="00F6458D"/>
    <w:rsid w:val="00F65EC8"/>
    <w:rsid w:val="00F66554"/>
    <w:rsid w:val="00F71EBD"/>
    <w:rsid w:val="00F721E8"/>
    <w:rsid w:val="00F72723"/>
    <w:rsid w:val="00F80470"/>
    <w:rsid w:val="00F82C94"/>
    <w:rsid w:val="00F91A2C"/>
    <w:rsid w:val="00F94637"/>
    <w:rsid w:val="00F96938"/>
    <w:rsid w:val="00F97534"/>
    <w:rsid w:val="00FA0BC5"/>
    <w:rsid w:val="00FA35FE"/>
    <w:rsid w:val="00FA5C15"/>
    <w:rsid w:val="00FA7ABF"/>
    <w:rsid w:val="00FB30C6"/>
    <w:rsid w:val="00FC00B2"/>
    <w:rsid w:val="00FC09FA"/>
    <w:rsid w:val="00FC0A1B"/>
    <w:rsid w:val="00FC0DD8"/>
    <w:rsid w:val="00FC31C3"/>
    <w:rsid w:val="00FC5390"/>
    <w:rsid w:val="00FC5EB6"/>
    <w:rsid w:val="00FC71C5"/>
    <w:rsid w:val="00FC7BF7"/>
    <w:rsid w:val="00FD7D84"/>
    <w:rsid w:val="00FD7EDC"/>
    <w:rsid w:val="00FE34AA"/>
    <w:rsid w:val="00FE41FD"/>
    <w:rsid w:val="00FE5DF2"/>
    <w:rsid w:val="00FE74F1"/>
    <w:rsid w:val="00FE7B0C"/>
    <w:rsid w:val="00FF132F"/>
    <w:rsid w:val="00FF43FE"/>
    <w:rsid w:val="00FF54D4"/>
    <w:rsid w:val="00FF769E"/>
    <w:rsid w:val="01B34333"/>
    <w:rsid w:val="01C9807B"/>
    <w:rsid w:val="02E5963A"/>
    <w:rsid w:val="03A11A30"/>
    <w:rsid w:val="03CA600B"/>
    <w:rsid w:val="058B6C11"/>
    <w:rsid w:val="0612A0BC"/>
    <w:rsid w:val="061A91F2"/>
    <w:rsid w:val="064C8239"/>
    <w:rsid w:val="065BA151"/>
    <w:rsid w:val="06C17977"/>
    <w:rsid w:val="06D6D279"/>
    <w:rsid w:val="06D7BDAF"/>
    <w:rsid w:val="073000D8"/>
    <w:rsid w:val="07468933"/>
    <w:rsid w:val="0782FC57"/>
    <w:rsid w:val="07A85B0C"/>
    <w:rsid w:val="07E07DC8"/>
    <w:rsid w:val="07EE7906"/>
    <w:rsid w:val="081311DF"/>
    <w:rsid w:val="08882C9B"/>
    <w:rsid w:val="08C30CD3"/>
    <w:rsid w:val="0A1DB062"/>
    <w:rsid w:val="0B4BD825"/>
    <w:rsid w:val="0BADC8A1"/>
    <w:rsid w:val="0BFAAD95"/>
    <w:rsid w:val="0C81B343"/>
    <w:rsid w:val="0D0DBD49"/>
    <w:rsid w:val="0DD277CF"/>
    <w:rsid w:val="0DE95926"/>
    <w:rsid w:val="0DF36E52"/>
    <w:rsid w:val="0E086898"/>
    <w:rsid w:val="0EE41A4E"/>
    <w:rsid w:val="0F92CA88"/>
    <w:rsid w:val="0FF5E3D5"/>
    <w:rsid w:val="10926086"/>
    <w:rsid w:val="11C1E1AB"/>
    <w:rsid w:val="12CA6B4A"/>
    <w:rsid w:val="1304D9DF"/>
    <w:rsid w:val="1341C807"/>
    <w:rsid w:val="1355DCA5"/>
    <w:rsid w:val="135AF97B"/>
    <w:rsid w:val="137BF7AE"/>
    <w:rsid w:val="13CA3E88"/>
    <w:rsid w:val="13DFE535"/>
    <w:rsid w:val="143CAF6D"/>
    <w:rsid w:val="144FEF8A"/>
    <w:rsid w:val="14708719"/>
    <w:rsid w:val="1480225F"/>
    <w:rsid w:val="1489A904"/>
    <w:rsid w:val="14C5E892"/>
    <w:rsid w:val="14FBBFC8"/>
    <w:rsid w:val="150D5A8C"/>
    <w:rsid w:val="152BD107"/>
    <w:rsid w:val="1617D5F4"/>
    <w:rsid w:val="163F6C03"/>
    <w:rsid w:val="16DFCAEA"/>
    <w:rsid w:val="17102B2C"/>
    <w:rsid w:val="172D687C"/>
    <w:rsid w:val="1817FAD2"/>
    <w:rsid w:val="18AAC318"/>
    <w:rsid w:val="18AD27DD"/>
    <w:rsid w:val="198F6AED"/>
    <w:rsid w:val="1AEF78BC"/>
    <w:rsid w:val="1C3A83E9"/>
    <w:rsid w:val="1C9D666D"/>
    <w:rsid w:val="1CDE4FBA"/>
    <w:rsid w:val="1D19518D"/>
    <w:rsid w:val="1D54DD42"/>
    <w:rsid w:val="1D7A84D2"/>
    <w:rsid w:val="1D7AADC5"/>
    <w:rsid w:val="1ED994A8"/>
    <w:rsid w:val="1EF6C918"/>
    <w:rsid w:val="1F21D587"/>
    <w:rsid w:val="1FE63FEE"/>
    <w:rsid w:val="2022AA48"/>
    <w:rsid w:val="20A4578E"/>
    <w:rsid w:val="218E3285"/>
    <w:rsid w:val="2191BAF3"/>
    <w:rsid w:val="21AC437A"/>
    <w:rsid w:val="21E0E1B1"/>
    <w:rsid w:val="2217B1EE"/>
    <w:rsid w:val="222E69DA"/>
    <w:rsid w:val="224CFBBF"/>
    <w:rsid w:val="225A6DAA"/>
    <w:rsid w:val="22CBF988"/>
    <w:rsid w:val="23F57C1F"/>
    <w:rsid w:val="241FDF53"/>
    <w:rsid w:val="245C9541"/>
    <w:rsid w:val="25061566"/>
    <w:rsid w:val="252D18C0"/>
    <w:rsid w:val="2559929A"/>
    <w:rsid w:val="26F90DD6"/>
    <w:rsid w:val="27068A45"/>
    <w:rsid w:val="27430653"/>
    <w:rsid w:val="2786424E"/>
    <w:rsid w:val="27B4D367"/>
    <w:rsid w:val="2869EF78"/>
    <w:rsid w:val="289DAB5E"/>
    <w:rsid w:val="29885D7D"/>
    <w:rsid w:val="299408D1"/>
    <w:rsid w:val="2A2A6B2E"/>
    <w:rsid w:val="2ADCFEB1"/>
    <w:rsid w:val="2B1A89DC"/>
    <w:rsid w:val="2BD54C20"/>
    <w:rsid w:val="2BD9FC20"/>
    <w:rsid w:val="2C18557F"/>
    <w:rsid w:val="2C59B371"/>
    <w:rsid w:val="2C781AB3"/>
    <w:rsid w:val="2C8E050D"/>
    <w:rsid w:val="2D8CC247"/>
    <w:rsid w:val="2EC63D07"/>
    <w:rsid w:val="2F2DCDB9"/>
    <w:rsid w:val="2F443AAA"/>
    <w:rsid w:val="2F83F5FA"/>
    <w:rsid w:val="30DEA3A1"/>
    <w:rsid w:val="320562FB"/>
    <w:rsid w:val="321B640E"/>
    <w:rsid w:val="32474754"/>
    <w:rsid w:val="32A9C5A4"/>
    <w:rsid w:val="32C10047"/>
    <w:rsid w:val="333AA4C6"/>
    <w:rsid w:val="3371F11C"/>
    <w:rsid w:val="33E6E228"/>
    <w:rsid w:val="34A7F113"/>
    <w:rsid w:val="34EB4C41"/>
    <w:rsid w:val="353D03BD"/>
    <w:rsid w:val="36795EDD"/>
    <w:rsid w:val="37E29D96"/>
    <w:rsid w:val="38122578"/>
    <w:rsid w:val="3834FEEC"/>
    <w:rsid w:val="386F6B6B"/>
    <w:rsid w:val="392B9D1C"/>
    <w:rsid w:val="3968CC8A"/>
    <w:rsid w:val="3A195F98"/>
    <w:rsid w:val="3A517562"/>
    <w:rsid w:val="3A578D0F"/>
    <w:rsid w:val="3A8C016A"/>
    <w:rsid w:val="3AB66394"/>
    <w:rsid w:val="3ACB4A2C"/>
    <w:rsid w:val="3ADD8487"/>
    <w:rsid w:val="3AF7A989"/>
    <w:rsid w:val="3B55DA3B"/>
    <w:rsid w:val="3BA945E7"/>
    <w:rsid w:val="3BE1D2B9"/>
    <w:rsid w:val="3C6B0F8C"/>
    <w:rsid w:val="3CD0224C"/>
    <w:rsid w:val="3D11FCF3"/>
    <w:rsid w:val="3D639A2E"/>
    <w:rsid w:val="3D93FCFD"/>
    <w:rsid w:val="3DF81096"/>
    <w:rsid w:val="3F1B35F8"/>
    <w:rsid w:val="3F3A4A9A"/>
    <w:rsid w:val="3F4CF1AE"/>
    <w:rsid w:val="3F80EF29"/>
    <w:rsid w:val="3F93E0F7"/>
    <w:rsid w:val="405627A2"/>
    <w:rsid w:val="4086F161"/>
    <w:rsid w:val="40B7AAE3"/>
    <w:rsid w:val="419A52B5"/>
    <w:rsid w:val="41F15998"/>
    <w:rsid w:val="420709A1"/>
    <w:rsid w:val="4248691D"/>
    <w:rsid w:val="43249B49"/>
    <w:rsid w:val="43600849"/>
    <w:rsid w:val="4469AE49"/>
    <w:rsid w:val="44FDFEC2"/>
    <w:rsid w:val="45633403"/>
    <w:rsid w:val="45D18FB3"/>
    <w:rsid w:val="461CB06A"/>
    <w:rsid w:val="461EA707"/>
    <w:rsid w:val="4736B496"/>
    <w:rsid w:val="47F3F311"/>
    <w:rsid w:val="48641494"/>
    <w:rsid w:val="48852532"/>
    <w:rsid w:val="48EC38A5"/>
    <w:rsid w:val="49FA4A12"/>
    <w:rsid w:val="49FF7EA0"/>
    <w:rsid w:val="4AD8EFCD"/>
    <w:rsid w:val="4AF08955"/>
    <w:rsid w:val="4B2327FB"/>
    <w:rsid w:val="4C3A849A"/>
    <w:rsid w:val="4CBBC78B"/>
    <w:rsid w:val="4D392166"/>
    <w:rsid w:val="4D62FFA8"/>
    <w:rsid w:val="4D8728B8"/>
    <w:rsid w:val="4DDACAFA"/>
    <w:rsid w:val="4E1920F9"/>
    <w:rsid w:val="4E73742F"/>
    <w:rsid w:val="4EBB080A"/>
    <w:rsid w:val="4EC77230"/>
    <w:rsid w:val="4F5F499C"/>
    <w:rsid w:val="4FBA6CFC"/>
    <w:rsid w:val="4FF9F02B"/>
    <w:rsid w:val="5028347E"/>
    <w:rsid w:val="51A0D507"/>
    <w:rsid w:val="523BC324"/>
    <w:rsid w:val="5268B167"/>
    <w:rsid w:val="528541E8"/>
    <w:rsid w:val="53CA61A2"/>
    <w:rsid w:val="53D7C4A5"/>
    <w:rsid w:val="542F26DA"/>
    <w:rsid w:val="54345DA7"/>
    <w:rsid w:val="5443E2C1"/>
    <w:rsid w:val="54C89C01"/>
    <w:rsid w:val="55535167"/>
    <w:rsid w:val="557903BD"/>
    <w:rsid w:val="56183952"/>
    <w:rsid w:val="56FAEE4F"/>
    <w:rsid w:val="578EB253"/>
    <w:rsid w:val="57A84CA5"/>
    <w:rsid w:val="5826CE77"/>
    <w:rsid w:val="5939E9B9"/>
    <w:rsid w:val="59A1A6F9"/>
    <w:rsid w:val="59EED339"/>
    <w:rsid w:val="5B37DE36"/>
    <w:rsid w:val="5B4F5EA8"/>
    <w:rsid w:val="5BA0E760"/>
    <w:rsid w:val="5BA89AF6"/>
    <w:rsid w:val="5C117780"/>
    <w:rsid w:val="5C133959"/>
    <w:rsid w:val="5C9ECC5B"/>
    <w:rsid w:val="5CD37EEC"/>
    <w:rsid w:val="5CE0589D"/>
    <w:rsid w:val="5CF00481"/>
    <w:rsid w:val="5D52BD99"/>
    <w:rsid w:val="5E2EA1DF"/>
    <w:rsid w:val="5E65A440"/>
    <w:rsid w:val="5E7F457E"/>
    <w:rsid w:val="5FF99F7A"/>
    <w:rsid w:val="605E43B9"/>
    <w:rsid w:val="61093D6C"/>
    <w:rsid w:val="6150E533"/>
    <w:rsid w:val="61E2162F"/>
    <w:rsid w:val="61F395CC"/>
    <w:rsid w:val="626C2F68"/>
    <w:rsid w:val="634546DA"/>
    <w:rsid w:val="63A746B3"/>
    <w:rsid w:val="63E84CCB"/>
    <w:rsid w:val="63FCF3BC"/>
    <w:rsid w:val="642D38D7"/>
    <w:rsid w:val="658987B0"/>
    <w:rsid w:val="670E47AF"/>
    <w:rsid w:val="671A384C"/>
    <w:rsid w:val="6772A448"/>
    <w:rsid w:val="67A6BE49"/>
    <w:rsid w:val="680CFF67"/>
    <w:rsid w:val="6850C76D"/>
    <w:rsid w:val="68ADC28C"/>
    <w:rsid w:val="68AEF37B"/>
    <w:rsid w:val="690B14D5"/>
    <w:rsid w:val="6957FB09"/>
    <w:rsid w:val="69619799"/>
    <w:rsid w:val="69A95697"/>
    <w:rsid w:val="69D3FFB7"/>
    <w:rsid w:val="6AB35D38"/>
    <w:rsid w:val="6AF76748"/>
    <w:rsid w:val="6B32EA3E"/>
    <w:rsid w:val="6B6D18DB"/>
    <w:rsid w:val="6C5613E2"/>
    <w:rsid w:val="6DA00273"/>
    <w:rsid w:val="6DAF6F9A"/>
    <w:rsid w:val="6EC6C780"/>
    <w:rsid w:val="6F892C3B"/>
    <w:rsid w:val="701C695B"/>
    <w:rsid w:val="708856DA"/>
    <w:rsid w:val="708D37B5"/>
    <w:rsid w:val="709F5578"/>
    <w:rsid w:val="70ADBA38"/>
    <w:rsid w:val="71889C02"/>
    <w:rsid w:val="728FC42F"/>
    <w:rsid w:val="72C4D2DB"/>
    <w:rsid w:val="73540707"/>
    <w:rsid w:val="73CB841D"/>
    <w:rsid w:val="7467A1D5"/>
    <w:rsid w:val="74CB954C"/>
    <w:rsid w:val="74D8D767"/>
    <w:rsid w:val="755A7A5D"/>
    <w:rsid w:val="75C2878E"/>
    <w:rsid w:val="75EB3F38"/>
    <w:rsid w:val="764EDFED"/>
    <w:rsid w:val="76ECD048"/>
    <w:rsid w:val="7726DC3B"/>
    <w:rsid w:val="77299EB5"/>
    <w:rsid w:val="77E84DF0"/>
    <w:rsid w:val="78D936A9"/>
    <w:rsid w:val="79359E27"/>
    <w:rsid w:val="7998BE75"/>
    <w:rsid w:val="79B217F2"/>
    <w:rsid w:val="7A450D4D"/>
    <w:rsid w:val="7A86B7EA"/>
    <w:rsid w:val="7AF778A2"/>
    <w:rsid w:val="7B0D676D"/>
    <w:rsid w:val="7BBD43F5"/>
    <w:rsid w:val="7BCB992C"/>
    <w:rsid w:val="7C4E86E6"/>
    <w:rsid w:val="7C6D3EE9"/>
    <w:rsid w:val="7CDA1704"/>
    <w:rsid w:val="7D3CAE73"/>
    <w:rsid w:val="7D7F750C"/>
    <w:rsid w:val="7D85A38F"/>
    <w:rsid w:val="7E442B23"/>
    <w:rsid w:val="7F3124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2ABFD6"/>
  <w14:defaultImageDpi w14:val="0"/>
  <w15:docId w15:val="{4C15E5FD-8688-45C4-B6FC-D161F79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2D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Ttulo">
    <w:name w:val="Title"/>
    <w:basedOn w:val="Normal"/>
    <w:link w:val="TtuloCar"/>
    <w:uiPriority w:val="99"/>
    <w:qFormat/>
    <w:rsid w:val="008872A2"/>
    <w:pPr>
      <w:jc w:val="center"/>
    </w:pPr>
    <w:rPr>
      <w:rFonts w:ascii="Arial" w:hAnsi="Arial"/>
      <w:b/>
      <w:i/>
      <w:sz w:val="24"/>
    </w:rPr>
  </w:style>
  <w:style w:type="character" w:customStyle="1" w:styleId="TtuloCar">
    <w:name w:val="Título Car"/>
    <w:basedOn w:val="Fuentedeprrafopredeter"/>
    <w:link w:val="Ttulo"/>
    <w:uiPriority w:val="99"/>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34"/>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C,Footnotes refss,Appel note de bas de page,Fago Fußnotenzeichen,Nota a pie,Ref. de nota al pie 2,Footnote symbol,Footnote,Char Car Car Car Ca,Ref. de nota al pie2,R,f"/>
    <w:basedOn w:val="Fuentedeprrafopredeter"/>
    <w:uiPriority w:val="99"/>
    <w:qFormat/>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character" w:customStyle="1" w:styleId="SinespaciadoCar1">
    <w:name w:val="Sin espaciado Car1"/>
    <w:uiPriority w:val="99"/>
    <w:locked/>
    <w:rsid w:val="00AC7FEA"/>
    <w:rPr>
      <w:rFonts w:ascii="Courier New" w:hAnsi="Courier New" w:cs="Courier New"/>
      <w:sz w:val="22"/>
      <w:szCs w:val="22"/>
      <w:lang w:val="es-ES" w:eastAsia="es-ES"/>
    </w:rPr>
  </w:style>
  <w:style w:type="character" w:customStyle="1" w:styleId="apple-converted-space">
    <w:name w:val="apple-converted-space"/>
    <w:basedOn w:val="Fuentedeprrafopredeter"/>
    <w:rsid w:val="002E660C"/>
  </w:style>
  <w:style w:type="character" w:styleId="Textoennegrita">
    <w:name w:val="Strong"/>
    <w:basedOn w:val="Fuentedeprrafopredeter"/>
    <w:uiPriority w:val="22"/>
    <w:qFormat/>
    <w:rsid w:val="002E660C"/>
    <w:rPr>
      <w:b/>
      <w:bCs/>
    </w:rPr>
  </w:style>
  <w:style w:type="paragraph" w:styleId="Textocomentario">
    <w:name w:val="annotation text"/>
    <w:basedOn w:val="Normal"/>
    <w:link w:val="TextocomentarioCar"/>
    <w:uiPriority w:val="99"/>
    <w:unhideWhenUsed/>
    <w:rsid w:val="008C16FC"/>
  </w:style>
  <w:style w:type="character" w:customStyle="1" w:styleId="TextocomentarioCar">
    <w:name w:val="Texto comentario Car"/>
    <w:basedOn w:val="Fuentedeprrafopredeter"/>
    <w:link w:val="Textocomentario"/>
    <w:uiPriority w:val="99"/>
    <w:rsid w:val="008C16FC"/>
    <w:rPr>
      <w:rFonts w:ascii="Times New Roman" w:hAnsi="Times New Roman" w:cs="Times New Roman"/>
      <w:sz w:val="20"/>
      <w:szCs w:val="20"/>
      <w:lang w:val="es-ES" w:eastAsia="es-ES"/>
    </w:rPr>
  </w:style>
  <w:style w:type="character" w:styleId="Refdecomentario">
    <w:name w:val="annotation reference"/>
    <w:basedOn w:val="Fuentedeprrafopredeter"/>
    <w:uiPriority w:val="99"/>
    <w:unhideWhenUsed/>
    <w:rsid w:val="008C16FC"/>
    <w:rPr>
      <w:sz w:val="16"/>
      <w:szCs w:val="16"/>
    </w:rPr>
  </w:style>
  <w:style w:type="character" w:customStyle="1" w:styleId="Cuerpodeltexto">
    <w:name w:val="Cuerpo del texto_"/>
    <w:basedOn w:val="Fuentedeprrafopredeter"/>
    <w:link w:val="Cuerpodeltexto0"/>
    <w:locked/>
    <w:rsid w:val="00E2193F"/>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2193F"/>
    <w:pPr>
      <w:widowControl w:val="0"/>
      <w:shd w:val="clear" w:color="auto" w:fill="FFFFFF"/>
      <w:spacing w:after="300" w:line="364" w:lineRule="exact"/>
      <w:jc w:val="both"/>
    </w:pPr>
    <w:rPr>
      <w:rFonts w:ascii="Tahoma" w:eastAsia="Tahoma" w:hAnsi="Tahoma" w:cs="Tahoma"/>
      <w:sz w:val="21"/>
      <w:szCs w:val="21"/>
      <w:lang w:val="es-CO" w:eastAsia="en-US"/>
    </w:rPr>
  </w:style>
  <w:style w:type="paragraph" w:styleId="Asuntodelcomentario">
    <w:name w:val="annotation subject"/>
    <w:basedOn w:val="Textocomentario"/>
    <w:next w:val="Textocomentario"/>
    <w:link w:val="AsuntodelcomentarioCar"/>
    <w:uiPriority w:val="99"/>
    <w:rsid w:val="00833B9B"/>
    <w:rPr>
      <w:b/>
      <w:bCs/>
    </w:rPr>
  </w:style>
  <w:style w:type="character" w:customStyle="1" w:styleId="AsuntodelcomentarioCar">
    <w:name w:val="Asunto del comentario Car"/>
    <w:basedOn w:val="TextocomentarioCar"/>
    <w:link w:val="Asuntodelcomentario"/>
    <w:uiPriority w:val="99"/>
    <w:rsid w:val="00833B9B"/>
    <w:rPr>
      <w:rFonts w:ascii="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48">
      <w:bodyDiv w:val="1"/>
      <w:marLeft w:val="0"/>
      <w:marRight w:val="0"/>
      <w:marTop w:val="0"/>
      <w:marBottom w:val="0"/>
      <w:divBdr>
        <w:top w:val="none" w:sz="0" w:space="0" w:color="auto"/>
        <w:left w:val="none" w:sz="0" w:space="0" w:color="auto"/>
        <w:bottom w:val="none" w:sz="0" w:space="0" w:color="auto"/>
        <w:right w:val="none" w:sz="0" w:space="0" w:color="auto"/>
      </w:divBdr>
    </w:div>
    <w:div w:id="301544276">
      <w:bodyDiv w:val="1"/>
      <w:marLeft w:val="0"/>
      <w:marRight w:val="0"/>
      <w:marTop w:val="0"/>
      <w:marBottom w:val="0"/>
      <w:divBdr>
        <w:top w:val="none" w:sz="0" w:space="0" w:color="auto"/>
        <w:left w:val="none" w:sz="0" w:space="0" w:color="auto"/>
        <w:bottom w:val="none" w:sz="0" w:space="0" w:color="auto"/>
        <w:right w:val="none" w:sz="0" w:space="0" w:color="auto"/>
      </w:divBdr>
    </w:div>
    <w:div w:id="462308514">
      <w:bodyDiv w:val="1"/>
      <w:marLeft w:val="0"/>
      <w:marRight w:val="0"/>
      <w:marTop w:val="0"/>
      <w:marBottom w:val="0"/>
      <w:divBdr>
        <w:top w:val="none" w:sz="0" w:space="0" w:color="auto"/>
        <w:left w:val="none" w:sz="0" w:space="0" w:color="auto"/>
        <w:bottom w:val="none" w:sz="0" w:space="0" w:color="auto"/>
        <w:right w:val="none" w:sz="0" w:space="0" w:color="auto"/>
      </w:divBdr>
    </w:div>
    <w:div w:id="544635111">
      <w:bodyDiv w:val="1"/>
      <w:marLeft w:val="0"/>
      <w:marRight w:val="0"/>
      <w:marTop w:val="0"/>
      <w:marBottom w:val="0"/>
      <w:divBdr>
        <w:top w:val="none" w:sz="0" w:space="0" w:color="auto"/>
        <w:left w:val="none" w:sz="0" w:space="0" w:color="auto"/>
        <w:bottom w:val="none" w:sz="0" w:space="0" w:color="auto"/>
        <w:right w:val="none" w:sz="0" w:space="0" w:color="auto"/>
      </w:divBdr>
    </w:div>
    <w:div w:id="564412868">
      <w:bodyDiv w:val="1"/>
      <w:marLeft w:val="0"/>
      <w:marRight w:val="0"/>
      <w:marTop w:val="0"/>
      <w:marBottom w:val="0"/>
      <w:divBdr>
        <w:top w:val="none" w:sz="0" w:space="0" w:color="auto"/>
        <w:left w:val="none" w:sz="0" w:space="0" w:color="auto"/>
        <w:bottom w:val="none" w:sz="0" w:space="0" w:color="auto"/>
        <w:right w:val="none" w:sz="0" w:space="0" w:color="auto"/>
      </w:divBdr>
    </w:div>
    <w:div w:id="797838795">
      <w:bodyDiv w:val="1"/>
      <w:marLeft w:val="0"/>
      <w:marRight w:val="0"/>
      <w:marTop w:val="0"/>
      <w:marBottom w:val="0"/>
      <w:divBdr>
        <w:top w:val="none" w:sz="0" w:space="0" w:color="auto"/>
        <w:left w:val="none" w:sz="0" w:space="0" w:color="auto"/>
        <w:bottom w:val="none" w:sz="0" w:space="0" w:color="auto"/>
        <w:right w:val="none" w:sz="0" w:space="0" w:color="auto"/>
      </w:divBdr>
    </w:div>
    <w:div w:id="844824918">
      <w:bodyDiv w:val="1"/>
      <w:marLeft w:val="0"/>
      <w:marRight w:val="0"/>
      <w:marTop w:val="0"/>
      <w:marBottom w:val="0"/>
      <w:divBdr>
        <w:top w:val="none" w:sz="0" w:space="0" w:color="auto"/>
        <w:left w:val="none" w:sz="0" w:space="0" w:color="auto"/>
        <w:bottom w:val="none" w:sz="0" w:space="0" w:color="auto"/>
        <w:right w:val="none" w:sz="0" w:space="0" w:color="auto"/>
      </w:divBdr>
    </w:div>
    <w:div w:id="990716830">
      <w:bodyDiv w:val="1"/>
      <w:marLeft w:val="0"/>
      <w:marRight w:val="0"/>
      <w:marTop w:val="0"/>
      <w:marBottom w:val="0"/>
      <w:divBdr>
        <w:top w:val="none" w:sz="0" w:space="0" w:color="auto"/>
        <w:left w:val="none" w:sz="0" w:space="0" w:color="auto"/>
        <w:bottom w:val="none" w:sz="0" w:space="0" w:color="auto"/>
        <w:right w:val="none" w:sz="0" w:space="0" w:color="auto"/>
      </w:divBdr>
    </w:div>
    <w:div w:id="1016735529">
      <w:bodyDiv w:val="1"/>
      <w:marLeft w:val="0"/>
      <w:marRight w:val="0"/>
      <w:marTop w:val="0"/>
      <w:marBottom w:val="0"/>
      <w:divBdr>
        <w:top w:val="none" w:sz="0" w:space="0" w:color="auto"/>
        <w:left w:val="none" w:sz="0" w:space="0" w:color="auto"/>
        <w:bottom w:val="none" w:sz="0" w:space="0" w:color="auto"/>
        <w:right w:val="none" w:sz="0" w:space="0" w:color="auto"/>
      </w:divBdr>
    </w:div>
    <w:div w:id="1222331867">
      <w:bodyDiv w:val="1"/>
      <w:marLeft w:val="0"/>
      <w:marRight w:val="0"/>
      <w:marTop w:val="0"/>
      <w:marBottom w:val="0"/>
      <w:divBdr>
        <w:top w:val="none" w:sz="0" w:space="0" w:color="auto"/>
        <w:left w:val="none" w:sz="0" w:space="0" w:color="auto"/>
        <w:bottom w:val="none" w:sz="0" w:space="0" w:color="auto"/>
        <w:right w:val="none" w:sz="0" w:space="0" w:color="auto"/>
      </w:divBdr>
    </w:div>
    <w:div w:id="1281768214">
      <w:bodyDiv w:val="1"/>
      <w:marLeft w:val="0"/>
      <w:marRight w:val="0"/>
      <w:marTop w:val="0"/>
      <w:marBottom w:val="0"/>
      <w:divBdr>
        <w:top w:val="none" w:sz="0" w:space="0" w:color="auto"/>
        <w:left w:val="none" w:sz="0" w:space="0" w:color="auto"/>
        <w:bottom w:val="none" w:sz="0" w:space="0" w:color="auto"/>
        <w:right w:val="none" w:sz="0" w:space="0" w:color="auto"/>
      </w:divBdr>
    </w:div>
    <w:div w:id="1370372994">
      <w:bodyDiv w:val="1"/>
      <w:marLeft w:val="0"/>
      <w:marRight w:val="0"/>
      <w:marTop w:val="0"/>
      <w:marBottom w:val="0"/>
      <w:divBdr>
        <w:top w:val="none" w:sz="0" w:space="0" w:color="auto"/>
        <w:left w:val="none" w:sz="0" w:space="0" w:color="auto"/>
        <w:bottom w:val="none" w:sz="0" w:space="0" w:color="auto"/>
        <w:right w:val="none" w:sz="0" w:space="0" w:color="auto"/>
      </w:divBdr>
    </w:div>
    <w:div w:id="1581913446">
      <w:bodyDiv w:val="1"/>
      <w:marLeft w:val="0"/>
      <w:marRight w:val="0"/>
      <w:marTop w:val="0"/>
      <w:marBottom w:val="0"/>
      <w:divBdr>
        <w:top w:val="none" w:sz="0" w:space="0" w:color="auto"/>
        <w:left w:val="none" w:sz="0" w:space="0" w:color="auto"/>
        <w:bottom w:val="none" w:sz="0" w:space="0" w:color="auto"/>
        <w:right w:val="none" w:sz="0" w:space="0" w:color="auto"/>
      </w:divBdr>
    </w:div>
    <w:div w:id="1638729184">
      <w:bodyDiv w:val="1"/>
      <w:marLeft w:val="0"/>
      <w:marRight w:val="0"/>
      <w:marTop w:val="0"/>
      <w:marBottom w:val="0"/>
      <w:divBdr>
        <w:top w:val="none" w:sz="0" w:space="0" w:color="auto"/>
        <w:left w:val="none" w:sz="0" w:space="0" w:color="auto"/>
        <w:bottom w:val="none" w:sz="0" w:space="0" w:color="auto"/>
        <w:right w:val="none" w:sz="0" w:space="0" w:color="auto"/>
      </w:divBdr>
    </w:div>
    <w:div w:id="1779983066">
      <w:bodyDiv w:val="1"/>
      <w:marLeft w:val="0"/>
      <w:marRight w:val="0"/>
      <w:marTop w:val="0"/>
      <w:marBottom w:val="0"/>
      <w:divBdr>
        <w:top w:val="none" w:sz="0" w:space="0" w:color="auto"/>
        <w:left w:val="none" w:sz="0" w:space="0" w:color="auto"/>
        <w:bottom w:val="none" w:sz="0" w:space="0" w:color="auto"/>
        <w:right w:val="none" w:sz="0" w:space="0" w:color="auto"/>
      </w:divBdr>
    </w:div>
    <w:div w:id="1974674203">
      <w:bodyDiv w:val="1"/>
      <w:marLeft w:val="0"/>
      <w:marRight w:val="0"/>
      <w:marTop w:val="0"/>
      <w:marBottom w:val="0"/>
      <w:divBdr>
        <w:top w:val="none" w:sz="0" w:space="0" w:color="auto"/>
        <w:left w:val="none" w:sz="0" w:space="0" w:color="auto"/>
        <w:bottom w:val="none" w:sz="0" w:space="0" w:color="auto"/>
        <w:right w:val="none" w:sz="0" w:space="0" w:color="auto"/>
      </w:divBdr>
    </w:div>
    <w:div w:id="206879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b651cdc89bb54976"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6BC63-F1FB-47F6-91B9-0FC3F9FF5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8D997-C703-4D15-B257-E4C4F6A94E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4B7BC1-A72B-4600-9333-C535FE6E4168}">
  <ds:schemaRefs>
    <ds:schemaRef ds:uri="http://schemas.microsoft.com/sharepoint/v3/contenttype/forms"/>
  </ds:schemaRefs>
</ds:datastoreItem>
</file>

<file path=customXml/itemProps4.xml><?xml version="1.0" encoding="utf-8"?>
<ds:datastoreItem xmlns:ds="http://schemas.openxmlformats.org/officeDocument/2006/customXml" ds:itemID="{221409E9-C8C4-423A-9153-0C77977E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3310</Words>
  <Characters>18207</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Hermides Alonso Gaviria Ocampo</cp:lastModifiedBy>
  <cp:revision>8</cp:revision>
  <cp:lastPrinted>2019-10-31T14:43:00Z</cp:lastPrinted>
  <dcterms:created xsi:type="dcterms:W3CDTF">2021-05-18T12:18:00Z</dcterms:created>
  <dcterms:modified xsi:type="dcterms:W3CDTF">2022-02-26T17:47:00Z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