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2C9AAE" w14:textId="77777777" w:rsidR="00C86119" w:rsidRPr="00C86119" w:rsidRDefault="00C86119" w:rsidP="00C8611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r w:rsidRPr="00C8611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36B731" w14:textId="77777777" w:rsidR="00C86119" w:rsidRPr="00C86119" w:rsidRDefault="00C86119" w:rsidP="00C86119">
      <w:pPr>
        <w:widowControl/>
        <w:autoSpaceDE/>
        <w:autoSpaceDN/>
        <w:adjustRightInd/>
        <w:jc w:val="both"/>
        <w:rPr>
          <w:rFonts w:ascii="Arial" w:hAnsi="Arial" w:cs="Arial"/>
          <w:sz w:val="20"/>
          <w:szCs w:val="20"/>
          <w:lang w:val="es-419"/>
        </w:rPr>
      </w:pPr>
    </w:p>
    <w:p w14:paraId="2F3B0578" w14:textId="77777777" w:rsidR="00AB0D5A" w:rsidRPr="00AB0D5A"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Asunto</w:t>
      </w:r>
      <w:r w:rsidRPr="00AB0D5A">
        <w:rPr>
          <w:rFonts w:ascii="Arial" w:hAnsi="Arial" w:cs="Arial"/>
          <w:sz w:val="20"/>
          <w:szCs w:val="20"/>
          <w:lang w:val="es-419"/>
        </w:rPr>
        <w:tab/>
      </w:r>
      <w:r w:rsidRPr="00AB0D5A">
        <w:rPr>
          <w:rFonts w:ascii="Arial" w:hAnsi="Arial" w:cs="Arial"/>
          <w:sz w:val="20"/>
          <w:szCs w:val="20"/>
          <w:lang w:val="es-419"/>
        </w:rPr>
        <w:tab/>
      </w:r>
      <w:r w:rsidRPr="00AB0D5A">
        <w:rPr>
          <w:rFonts w:ascii="Arial" w:hAnsi="Arial" w:cs="Arial"/>
          <w:sz w:val="20"/>
          <w:szCs w:val="20"/>
          <w:lang w:val="es-419"/>
        </w:rPr>
        <w:tab/>
        <w:t>: Sentencia de tutela en segunda instancia</w:t>
      </w:r>
    </w:p>
    <w:p w14:paraId="064D8F95" w14:textId="20DB0CA1" w:rsidR="00AB0D5A" w:rsidRPr="00AB0D5A"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Accionantes</w:t>
      </w:r>
      <w:r w:rsidRPr="00AB0D5A">
        <w:rPr>
          <w:rFonts w:ascii="Arial" w:hAnsi="Arial" w:cs="Arial"/>
          <w:sz w:val="20"/>
          <w:szCs w:val="20"/>
          <w:lang w:val="es-419"/>
        </w:rPr>
        <w:tab/>
      </w:r>
      <w:r w:rsidRPr="00AB0D5A">
        <w:rPr>
          <w:rFonts w:ascii="Arial" w:hAnsi="Arial" w:cs="Arial"/>
          <w:sz w:val="20"/>
          <w:szCs w:val="20"/>
          <w:lang w:val="es-419"/>
        </w:rPr>
        <w:tab/>
        <w:t xml:space="preserve">: José </w:t>
      </w:r>
      <w:proofErr w:type="spellStart"/>
      <w:r w:rsidRPr="00AB0D5A">
        <w:rPr>
          <w:rFonts w:ascii="Arial" w:hAnsi="Arial" w:cs="Arial"/>
          <w:sz w:val="20"/>
          <w:szCs w:val="20"/>
          <w:lang w:val="es-419"/>
        </w:rPr>
        <w:t>Lisbán</w:t>
      </w:r>
      <w:proofErr w:type="spellEnd"/>
      <w:r w:rsidRPr="00AB0D5A">
        <w:rPr>
          <w:rFonts w:ascii="Arial" w:hAnsi="Arial" w:cs="Arial"/>
          <w:sz w:val="20"/>
          <w:szCs w:val="20"/>
          <w:lang w:val="es-419"/>
        </w:rPr>
        <w:t xml:space="preserve"> Giraldo Murillo </w:t>
      </w:r>
    </w:p>
    <w:p w14:paraId="688A0970" w14:textId="0E804193" w:rsidR="00AB0D5A" w:rsidRPr="00AB0D5A"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Accionado</w:t>
      </w:r>
      <w:r w:rsidRPr="00AB0D5A">
        <w:rPr>
          <w:rFonts w:ascii="Arial" w:hAnsi="Arial" w:cs="Arial"/>
          <w:sz w:val="20"/>
          <w:szCs w:val="20"/>
          <w:lang w:val="es-419"/>
        </w:rPr>
        <w:tab/>
      </w:r>
      <w:r w:rsidRPr="00AB0D5A">
        <w:rPr>
          <w:rFonts w:ascii="Arial" w:hAnsi="Arial" w:cs="Arial"/>
          <w:sz w:val="20"/>
          <w:szCs w:val="20"/>
          <w:lang w:val="es-419"/>
        </w:rPr>
        <w:tab/>
        <w:t xml:space="preserve">: Nueva EPS SA </w:t>
      </w:r>
    </w:p>
    <w:p w14:paraId="12990461" w14:textId="69606A02" w:rsidR="00AB0D5A" w:rsidRPr="00AB0D5A"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Radicación</w:t>
      </w:r>
      <w:r w:rsidRPr="00AB0D5A">
        <w:rPr>
          <w:rFonts w:ascii="Arial" w:hAnsi="Arial" w:cs="Arial"/>
          <w:sz w:val="20"/>
          <w:szCs w:val="20"/>
          <w:lang w:val="es-419"/>
        </w:rPr>
        <w:tab/>
      </w:r>
      <w:r w:rsidRPr="00AB0D5A">
        <w:rPr>
          <w:rFonts w:ascii="Arial" w:hAnsi="Arial" w:cs="Arial"/>
          <w:sz w:val="20"/>
          <w:szCs w:val="20"/>
          <w:lang w:val="es-419"/>
        </w:rPr>
        <w:tab/>
        <w:t>: 66682-31-03-001-2021-00159-01</w:t>
      </w:r>
    </w:p>
    <w:p w14:paraId="0B6F40C7" w14:textId="67C9C313" w:rsidR="00AB0D5A" w:rsidRPr="00AB0D5A"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Despacho de origen</w:t>
      </w:r>
      <w:r w:rsidRPr="00AB0D5A">
        <w:rPr>
          <w:rFonts w:ascii="Arial" w:hAnsi="Arial" w:cs="Arial"/>
          <w:sz w:val="20"/>
          <w:szCs w:val="20"/>
          <w:lang w:val="es-419"/>
        </w:rPr>
        <w:tab/>
        <w:t>: Juzgado Civil del Circuito de Santa Rosa de Cabal</w:t>
      </w:r>
    </w:p>
    <w:p w14:paraId="4614D74D" w14:textId="424D8C10" w:rsidR="00AB0D5A" w:rsidRPr="00AB0D5A"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Magistrado Ponente</w:t>
      </w:r>
      <w:r w:rsidRPr="00AB0D5A">
        <w:rPr>
          <w:rFonts w:ascii="Arial" w:hAnsi="Arial" w:cs="Arial"/>
          <w:sz w:val="20"/>
          <w:szCs w:val="20"/>
          <w:lang w:val="es-419"/>
        </w:rPr>
        <w:tab/>
        <w:t>: DUBERNEY GRISALES HERRERA</w:t>
      </w:r>
    </w:p>
    <w:p w14:paraId="1D1E8C33" w14:textId="34032BB0" w:rsidR="00C86119" w:rsidRPr="00C86119" w:rsidRDefault="00AB0D5A" w:rsidP="00AB0D5A">
      <w:pPr>
        <w:widowControl/>
        <w:autoSpaceDE/>
        <w:autoSpaceDN/>
        <w:adjustRightInd/>
        <w:jc w:val="both"/>
        <w:rPr>
          <w:rFonts w:ascii="Arial" w:hAnsi="Arial" w:cs="Arial"/>
          <w:sz w:val="20"/>
          <w:szCs w:val="20"/>
          <w:lang w:val="es-419"/>
        </w:rPr>
      </w:pPr>
      <w:r w:rsidRPr="00AB0D5A">
        <w:rPr>
          <w:rFonts w:ascii="Arial" w:hAnsi="Arial" w:cs="Arial"/>
          <w:sz w:val="20"/>
          <w:szCs w:val="20"/>
          <w:lang w:val="es-419"/>
        </w:rPr>
        <w:t>Acta número</w:t>
      </w:r>
      <w:r w:rsidRPr="00AB0D5A">
        <w:rPr>
          <w:rFonts w:ascii="Arial" w:hAnsi="Arial" w:cs="Arial"/>
          <w:sz w:val="20"/>
          <w:szCs w:val="20"/>
          <w:lang w:val="es-419"/>
        </w:rPr>
        <w:tab/>
      </w:r>
      <w:r w:rsidRPr="00AB0D5A">
        <w:rPr>
          <w:rFonts w:ascii="Arial" w:hAnsi="Arial" w:cs="Arial"/>
          <w:sz w:val="20"/>
          <w:szCs w:val="20"/>
          <w:lang w:val="es-419"/>
        </w:rPr>
        <w:tab/>
        <w:t>: 340 de 22-07-2021</w:t>
      </w:r>
    </w:p>
    <w:p w14:paraId="37F53940" w14:textId="77777777" w:rsidR="00C86119" w:rsidRPr="00C86119" w:rsidRDefault="00C86119" w:rsidP="00C86119">
      <w:pPr>
        <w:widowControl/>
        <w:autoSpaceDE/>
        <w:autoSpaceDN/>
        <w:adjustRightInd/>
        <w:jc w:val="both"/>
        <w:rPr>
          <w:rFonts w:ascii="Arial" w:hAnsi="Arial" w:cs="Arial"/>
          <w:sz w:val="20"/>
          <w:szCs w:val="20"/>
          <w:lang w:val="es-419"/>
        </w:rPr>
      </w:pPr>
    </w:p>
    <w:p w14:paraId="55A212FB" w14:textId="060D59F5" w:rsidR="00C86119" w:rsidRPr="00C86119" w:rsidRDefault="00AB0D5A" w:rsidP="00C86119">
      <w:pPr>
        <w:widowControl/>
        <w:autoSpaceDE/>
        <w:autoSpaceDN/>
        <w:adjustRightInd/>
        <w:jc w:val="both"/>
        <w:rPr>
          <w:rFonts w:ascii="Arial" w:hAnsi="Arial" w:cs="Arial"/>
          <w:b/>
          <w:bCs/>
          <w:iCs/>
          <w:sz w:val="20"/>
          <w:szCs w:val="20"/>
          <w:lang w:val="es-419" w:eastAsia="fr-FR"/>
        </w:rPr>
      </w:pPr>
      <w:r w:rsidRPr="00C86119">
        <w:rPr>
          <w:rFonts w:ascii="Arial" w:hAnsi="Arial" w:cs="Arial"/>
          <w:b/>
          <w:bCs/>
          <w:iCs/>
          <w:sz w:val="20"/>
          <w:szCs w:val="20"/>
          <w:u w:val="single"/>
          <w:lang w:val="es-419" w:eastAsia="fr-FR"/>
        </w:rPr>
        <w:t>TEMAS:</w:t>
      </w:r>
      <w:r w:rsidRPr="00C86119">
        <w:rPr>
          <w:rFonts w:ascii="Arial" w:hAnsi="Arial" w:cs="Arial"/>
          <w:b/>
          <w:bCs/>
          <w:iCs/>
          <w:sz w:val="20"/>
          <w:szCs w:val="20"/>
          <w:lang w:val="es-419" w:eastAsia="fr-FR"/>
        </w:rPr>
        <w:tab/>
      </w:r>
      <w:r w:rsidR="0094586F">
        <w:rPr>
          <w:rFonts w:ascii="Arial" w:hAnsi="Arial" w:cs="Arial"/>
          <w:b/>
          <w:bCs/>
          <w:iCs/>
          <w:sz w:val="20"/>
          <w:szCs w:val="20"/>
          <w:lang w:val="es-419" w:eastAsia="fr-FR"/>
        </w:rPr>
        <w:t xml:space="preserve">DERECHO A LA </w:t>
      </w:r>
      <w:r w:rsidRPr="00AB0D5A">
        <w:rPr>
          <w:rFonts w:ascii="Arial" w:hAnsi="Arial" w:cs="Arial"/>
          <w:b/>
          <w:sz w:val="20"/>
          <w:szCs w:val="20"/>
          <w:lang w:val="es-419"/>
        </w:rPr>
        <w:t xml:space="preserve">SALUD </w:t>
      </w:r>
      <w:r w:rsidR="0094586F">
        <w:rPr>
          <w:rFonts w:ascii="Arial" w:hAnsi="Arial" w:cs="Arial"/>
          <w:b/>
          <w:sz w:val="20"/>
          <w:szCs w:val="20"/>
          <w:lang w:val="es-419"/>
        </w:rPr>
        <w:t xml:space="preserve">/ NATURALEZA FUNDAMENTAL / PERSONAS DE LA TERCERA EDAD / PROTECCIÓN ESPECIAL </w:t>
      </w:r>
      <w:r w:rsidRPr="00C86119">
        <w:rPr>
          <w:rFonts w:ascii="Arial" w:hAnsi="Arial" w:cs="Arial"/>
          <w:b/>
          <w:bCs/>
          <w:iCs/>
          <w:sz w:val="20"/>
          <w:szCs w:val="20"/>
          <w:lang w:val="es-419" w:eastAsia="fr-FR"/>
        </w:rPr>
        <w:t xml:space="preserve">/ </w:t>
      </w:r>
      <w:r w:rsidR="0094586F">
        <w:rPr>
          <w:rFonts w:ascii="Arial" w:hAnsi="Arial" w:cs="Arial"/>
          <w:b/>
          <w:bCs/>
          <w:iCs/>
          <w:sz w:val="20"/>
          <w:szCs w:val="20"/>
          <w:lang w:val="es-419" w:eastAsia="fr-FR"/>
        </w:rPr>
        <w:t xml:space="preserve">TRANSPORTE / </w:t>
      </w:r>
      <w:r w:rsidR="0028673D">
        <w:rPr>
          <w:rFonts w:ascii="Arial" w:hAnsi="Arial" w:cs="Arial"/>
          <w:b/>
          <w:bCs/>
          <w:iCs/>
          <w:sz w:val="20"/>
          <w:szCs w:val="20"/>
          <w:lang w:val="es-419" w:eastAsia="fr-FR"/>
        </w:rPr>
        <w:t xml:space="preserve">EN SUBDIDIO DE LA FAMILIA, </w:t>
      </w:r>
      <w:r w:rsidR="0094586F">
        <w:rPr>
          <w:rFonts w:ascii="Arial" w:hAnsi="Arial" w:cs="Arial"/>
          <w:b/>
          <w:bCs/>
          <w:iCs/>
          <w:sz w:val="20"/>
          <w:szCs w:val="20"/>
          <w:lang w:val="es-419" w:eastAsia="fr-FR"/>
        </w:rPr>
        <w:t xml:space="preserve">DEBE ASUMIRLO LA </w:t>
      </w:r>
      <w:r w:rsidR="0028673D">
        <w:rPr>
          <w:rFonts w:ascii="Arial" w:hAnsi="Arial" w:cs="Arial"/>
          <w:b/>
          <w:bCs/>
          <w:iCs/>
          <w:sz w:val="20"/>
          <w:szCs w:val="20"/>
          <w:lang w:val="es-419" w:eastAsia="fr-FR"/>
        </w:rPr>
        <w:t>EPS / REGLAS.</w:t>
      </w:r>
    </w:p>
    <w:p w14:paraId="45BF1301" w14:textId="77777777" w:rsidR="00C86119" w:rsidRPr="00C86119" w:rsidRDefault="00C86119" w:rsidP="00C86119">
      <w:pPr>
        <w:widowControl/>
        <w:autoSpaceDE/>
        <w:autoSpaceDN/>
        <w:adjustRightInd/>
        <w:jc w:val="both"/>
        <w:rPr>
          <w:rFonts w:ascii="Arial" w:hAnsi="Arial" w:cs="Arial"/>
          <w:sz w:val="20"/>
          <w:szCs w:val="20"/>
          <w:lang w:val="es-419"/>
        </w:rPr>
      </w:pPr>
    </w:p>
    <w:p w14:paraId="4E48F5D0" w14:textId="4717BFE4" w:rsidR="00C86119" w:rsidRPr="00C86119" w:rsidRDefault="000812BC" w:rsidP="00C86119">
      <w:pPr>
        <w:widowControl/>
        <w:autoSpaceDE/>
        <w:autoSpaceDN/>
        <w:adjustRightInd/>
        <w:jc w:val="both"/>
        <w:rPr>
          <w:rFonts w:ascii="Arial" w:hAnsi="Arial" w:cs="Arial"/>
          <w:sz w:val="20"/>
          <w:szCs w:val="20"/>
          <w:lang w:val="es-419"/>
        </w:rPr>
      </w:pPr>
      <w:r w:rsidRPr="000812BC">
        <w:rPr>
          <w:rFonts w:ascii="Arial" w:hAnsi="Arial" w:cs="Arial"/>
          <w:sz w:val="20"/>
          <w:szCs w:val="20"/>
          <w:lang w:val="es-419"/>
        </w:rPr>
        <w:t>A la luz del artículo 49 de la CP, el Estado tiene la obligación de garantizar a todas las personas “(…) el acceso a los servicios de promoción, protección y recuperación de la salud (...)”.</w:t>
      </w:r>
    </w:p>
    <w:p w14:paraId="600B0E58" w14:textId="77777777" w:rsidR="00C86119" w:rsidRPr="00C86119" w:rsidRDefault="00C86119" w:rsidP="00C86119">
      <w:pPr>
        <w:widowControl/>
        <w:autoSpaceDE/>
        <w:autoSpaceDN/>
        <w:adjustRightInd/>
        <w:jc w:val="both"/>
        <w:rPr>
          <w:rFonts w:ascii="Arial" w:hAnsi="Arial" w:cs="Arial"/>
          <w:sz w:val="20"/>
          <w:szCs w:val="20"/>
          <w:lang w:val="es-419"/>
        </w:rPr>
      </w:pPr>
    </w:p>
    <w:p w14:paraId="23322162" w14:textId="335DBC5C" w:rsidR="00C86119" w:rsidRPr="00C86119" w:rsidRDefault="00B17754" w:rsidP="00C86119">
      <w:pPr>
        <w:widowControl/>
        <w:autoSpaceDE/>
        <w:autoSpaceDN/>
        <w:adjustRightInd/>
        <w:jc w:val="both"/>
        <w:rPr>
          <w:rFonts w:ascii="Arial" w:hAnsi="Arial" w:cs="Arial"/>
          <w:sz w:val="20"/>
          <w:szCs w:val="20"/>
          <w:lang w:val="es-419"/>
        </w:rPr>
      </w:pPr>
      <w:r w:rsidRPr="00B17754">
        <w:rPr>
          <w:rFonts w:ascii="Arial" w:hAnsi="Arial" w:cs="Arial"/>
          <w:sz w:val="20"/>
          <w:szCs w:val="20"/>
          <w:lang w:val="es-419"/>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r>
        <w:rPr>
          <w:rFonts w:ascii="Arial" w:hAnsi="Arial" w:cs="Arial"/>
          <w:sz w:val="20"/>
          <w:szCs w:val="20"/>
          <w:lang w:val="es-419"/>
        </w:rPr>
        <w:t xml:space="preserve"> (…)</w:t>
      </w:r>
    </w:p>
    <w:p w14:paraId="55377727" w14:textId="77777777" w:rsidR="00C86119" w:rsidRPr="00C86119" w:rsidRDefault="00C86119" w:rsidP="00C86119">
      <w:pPr>
        <w:widowControl/>
        <w:autoSpaceDE/>
        <w:autoSpaceDN/>
        <w:adjustRightInd/>
        <w:jc w:val="both"/>
        <w:rPr>
          <w:rFonts w:ascii="Arial" w:hAnsi="Arial" w:cs="Arial"/>
          <w:sz w:val="20"/>
          <w:szCs w:val="20"/>
          <w:lang w:val="es-419"/>
        </w:rPr>
      </w:pPr>
    </w:p>
    <w:p w14:paraId="1A2CAF20" w14:textId="77777777" w:rsidR="00083AAC" w:rsidRPr="00083AAC" w:rsidRDefault="00083AAC" w:rsidP="00083AAC">
      <w:pPr>
        <w:widowControl/>
        <w:autoSpaceDE/>
        <w:autoSpaceDN/>
        <w:adjustRightInd/>
        <w:jc w:val="both"/>
        <w:rPr>
          <w:rFonts w:ascii="Arial" w:hAnsi="Arial" w:cs="Arial"/>
          <w:sz w:val="20"/>
          <w:szCs w:val="20"/>
          <w:lang w:val="es-419"/>
        </w:rPr>
      </w:pPr>
      <w:r w:rsidRPr="00083AAC">
        <w:rPr>
          <w:rFonts w:ascii="Arial" w:hAnsi="Arial" w:cs="Arial"/>
          <w:sz w:val="20"/>
          <w:szCs w:val="20"/>
          <w:lang w:val="es-419"/>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 entre otros.</w:t>
      </w:r>
    </w:p>
    <w:p w14:paraId="3F471B04" w14:textId="77777777" w:rsidR="00083AAC" w:rsidRPr="00083AAC" w:rsidRDefault="00083AAC" w:rsidP="00083AAC">
      <w:pPr>
        <w:widowControl/>
        <w:autoSpaceDE/>
        <w:autoSpaceDN/>
        <w:adjustRightInd/>
        <w:jc w:val="both"/>
        <w:rPr>
          <w:rFonts w:ascii="Arial" w:hAnsi="Arial" w:cs="Arial"/>
          <w:sz w:val="20"/>
          <w:szCs w:val="20"/>
          <w:lang w:val="es-419"/>
        </w:rPr>
      </w:pPr>
    </w:p>
    <w:p w14:paraId="4BE3091B" w14:textId="14A41164" w:rsidR="00C86119" w:rsidRPr="00C86119" w:rsidRDefault="00083AAC" w:rsidP="00083AAC">
      <w:pPr>
        <w:widowControl/>
        <w:autoSpaceDE/>
        <w:autoSpaceDN/>
        <w:adjustRightInd/>
        <w:jc w:val="both"/>
        <w:rPr>
          <w:rFonts w:ascii="Arial" w:hAnsi="Arial" w:cs="Arial"/>
          <w:sz w:val="20"/>
          <w:szCs w:val="20"/>
          <w:lang w:val="es-419"/>
        </w:rPr>
      </w:pPr>
      <w:r w:rsidRPr="00083AAC">
        <w:rPr>
          <w:rFonts w:ascii="Arial" w:hAnsi="Arial" w:cs="Arial"/>
          <w:sz w:val="20"/>
          <w:szCs w:val="20"/>
          <w:lang w:val="es-419"/>
        </w:rPr>
        <w:t>En este caso el promotor es persona de la tercera edad (78 años)</w:t>
      </w:r>
      <w:r>
        <w:rPr>
          <w:rFonts w:ascii="Arial" w:hAnsi="Arial" w:cs="Arial"/>
          <w:sz w:val="20"/>
          <w:szCs w:val="20"/>
          <w:lang w:val="es-419"/>
        </w:rPr>
        <w:t xml:space="preserve"> …</w:t>
      </w:r>
    </w:p>
    <w:p w14:paraId="5FE126E6" w14:textId="753BE8CA" w:rsidR="00C86119" w:rsidRDefault="00C86119" w:rsidP="00C86119">
      <w:pPr>
        <w:widowControl/>
        <w:autoSpaceDE/>
        <w:autoSpaceDN/>
        <w:adjustRightInd/>
        <w:jc w:val="both"/>
        <w:rPr>
          <w:rFonts w:ascii="Arial" w:hAnsi="Arial" w:cs="Arial"/>
          <w:sz w:val="20"/>
          <w:szCs w:val="20"/>
        </w:rPr>
      </w:pPr>
    </w:p>
    <w:p w14:paraId="75197B3D" w14:textId="77777777" w:rsidR="0094586F" w:rsidRPr="0094586F" w:rsidRDefault="0094586F" w:rsidP="0094586F">
      <w:pPr>
        <w:widowControl/>
        <w:autoSpaceDE/>
        <w:autoSpaceDN/>
        <w:adjustRightInd/>
        <w:jc w:val="both"/>
        <w:rPr>
          <w:rFonts w:ascii="Arial" w:hAnsi="Arial" w:cs="Arial"/>
          <w:sz w:val="20"/>
          <w:szCs w:val="20"/>
        </w:rPr>
      </w:pPr>
      <w:r w:rsidRPr="0094586F">
        <w:rPr>
          <w:rFonts w:ascii="Arial" w:hAnsi="Arial" w:cs="Arial"/>
          <w:sz w:val="20"/>
          <w:szCs w:val="20"/>
        </w:rPr>
        <w:t>De acuerdo con la aludida normativa y jurisprudencia, se confirmará la sentencia de primera instancia, pues el interesado cumple los presupuestos para ser beneficiario del servicio de trasporte y viáticos para asistir a consulta médica autorizada en una municipalidad diferente a la de su residencia.</w:t>
      </w:r>
    </w:p>
    <w:p w14:paraId="6D99D588" w14:textId="77777777" w:rsidR="0094586F" w:rsidRPr="0094586F" w:rsidRDefault="0094586F" w:rsidP="0094586F">
      <w:pPr>
        <w:widowControl/>
        <w:autoSpaceDE/>
        <w:autoSpaceDN/>
        <w:adjustRightInd/>
        <w:jc w:val="both"/>
        <w:rPr>
          <w:rFonts w:ascii="Arial" w:hAnsi="Arial" w:cs="Arial"/>
          <w:sz w:val="20"/>
          <w:szCs w:val="20"/>
        </w:rPr>
      </w:pPr>
    </w:p>
    <w:p w14:paraId="1A5B5BCF" w14:textId="3F98B165" w:rsidR="00083AAC" w:rsidRDefault="0094586F" w:rsidP="00C86119">
      <w:pPr>
        <w:widowControl/>
        <w:autoSpaceDE/>
        <w:autoSpaceDN/>
        <w:adjustRightInd/>
        <w:jc w:val="both"/>
        <w:rPr>
          <w:rFonts w:ascii="Arial" w:hAnsi="Arial" w:cs="Arial"/>
          <w:sz w:val="20"/>
          <w:szCs w:val="20"/>
        </w:rPr>
      </w:pPr>
      <w:r w:rsidRPr="0094586F">
        <w:rPr>
          <w:rFonts w:ascii="Arial" w:hAnsi="Arial" w:cs="Arial"/>
          <w:sz w:val="20"/>
          <w:szCs w:val="20"/>
        </w:rPr>
        <w:t>La CC de forma reiterada (2021</w:t>
      </w:r>
      <w:r w:rsidRPr="0094586F">
        <w:rPr>
          <w:rFonts w:ascii="Arial" w:hAnsi="Arial" w:cs="Arial"/>
          <w:sz w:val="20"/>
          <w:szCs w:val="20"/>
        </w:rPr>
        <w:t>) ha</w:t>
      </w:r>
      <w:r w:rsidRPr="0094586F">
        <w:rPr>
          <w:rFonts w:ascii="Arial" w:hAnsi="Arial" w:cs="Arial"/>
          <w:sz w:val="20"/>
          <w:szCs w:val="20"/>
        </w:rPr>
        <w:t xml:space="preserve"> expuesto que, por regla general, en aplicación del principio de solidaridad, el accionante como sus familiares están obligados a asumir los gastos necesarios para acceder a los servicios médicos autorizados en otras localidades; empero, fijó cuarto subreglas concomitantes que, de verificarse, implican a las EPS garantizar el servicio de trasporte</w:t>
      </w:r>
      <w:r>
        <w:rPr>
          <w:rFonts w:ascii="Arial" w:hAnsi="Arial" w:cs="Arial"/>
          <w:sz w:val="20"/>
          <w:szCs w:val="20"/>
        </w:rPr>
        <w:t>…</w:t>
      </w:r>
    </w:p>
    <w:p w14:paraId="04751928" w14:textId="77777777" w:rsidR="00083AAC" w:rsidRPr="00C86119" w:rsidRDefault="00083AAC" w:rsidP="00C86119">
      <w:pPr>
        <w:widowControl/>
        <w:autoSpaceDE/>
        <w:autoSpaceDN/>
        <w:adjustRightInd/>
        <w:jc w:val="both"/>
        <w:rPr>
          <w:rFonts w:ascii="Arial" w:hAnsi="Arial" w:cs="Arial"/>
          <w:sz w:val="20"/>
          <w:szCs w:val="20"/>
        </w:rPr>
      </w:pPr>
    </w:p>
    <w:p w14:paraId="5B9E3A71" w14:textId="77777777" w:rsidR="00C86119" w:rsidRPr="00C86119" w:rsidRDefault="00C86119" w:rsidP="00C86119">
      <w:pPr>
        <w:widowControl/>
        <w:autoSpaceDE/>
        <w:autoSpaceDN/>
        <w:adjustRightInd/>
        <w:jc w:val="both"/>
        <w:rPr>
          <w:rFonts w:ascii="Arial" w:hAnsi="Arial" w:cs="Arial"/>
          <w:sz w:val="20"/>
          <w:szCs w:val="20"/>
        </w:rPr>
      </w:pPr>
    </w:p>
    <w:p w14:paraId="6034E8AD" w14:textId="77777777" w:rsidR="00C86119" w:rsidRPr="00C86119" w:rsidRDefault="00C86119" w:rsidP="00C86119">
      <w:pPr>
        <w:widowControl/>
        <w:autoSpaceDE/>
        <w:autoSpaceDN/>
        <w:adjustRightInd/>
        <w:jc w:val="both"/>
        <w:rPr>
          <w:rFonts w:ascii="Arial" w:hAnsi="Arial" w:cs="Arial"/>
          <w:sz w:val="20"/>
          <w:szCs w:val="20"/>
        </w:rPr>
      </w:pPr>
    </w:p>
    <w:bookmarkEnd w:id="0"/>
    <w:p w14:paraId="08DEA8E3" w14:textId="77777777" w:rsidR="00C0365A" w:rsidRDefault="00C0365A" w:rsidP="00EF2AB1">
      <w:pPr>
        <w:pStyle w:val="Ttulo1"/>
        <w:rPr>
          <w:rFonts w:ascii="Georgia" w:hAnsi="Georgia" w:cs="Arial"/>
          <w:w w:val="140"/>
        </w:rPr>
      </w:pPr>
      <w:r>
        <w:rPr>
          <w:noProof/>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196CE666" w14:textId="77777777" w:rsidR="00C0365A" w:rsidRDefault="00C0365A" w:rsidP="00C0365A">
      <w:pPr>
        <w:pStyle w:val="Sinespaciado"/>
        <w:tabs>
          <w:tab w:val="left" w:pos="3579"/>
        </w:tabs>
        <w:spacing w:line="360" w:lineRule="auto"/>
        <w:jc w:val="center"/>
        <w:rPr>
          <w:rFonts w:ascii="Georgia" w:hAnsi="Georgia" w:cs="Arial"/>
          <w:w w:val="140"/>
          <w:sz w:val="2"/>
        </w:rPr>
      </w:pPr>
    </w:p>
    <w:p w14:paraId="1E6136F0" w14:textId="77777777" w:rsidR="00C43E3D" w:rsidRPr="00C43E3D" w:rsidRDefault="00C43E3D" w:rsidP="00C43E3D">
      <w:pPr>
        <w:widowControl/>
        <w:autoSpaceDE/>
        <w:autoSpaceDN/>
        <w:adjustRightInd/>
        <w:spacing w:line="360" w:lineRule="auto"/>
        <w:jc w:val="center"/>
        <w:rPr>
          <w:rFonts w:ascii="Georgia" w:hAnsi="Georgia" w:cs="Arial"/>
          <w:w w:val="140"/>
          <w:sz w:val="14"/>
          <w:szCs w:val="22"/>
        </w:rPr>
      </w:pPr>
    </w:p>
    <w:p w14:paraId="128557BA" w14:textId="77777777" w:rsidR="00C43E3D" w:rsidRPr="00C43E3D" w:rsidRDefault="00C43E3D" w:rsidP="00C43E3D">
      <w:pPr>
        <w:widowControl/>
        <w:tabs>
          <w:tab w:val="left" w:pos="3579"/>
        </w:tabs>
        <w:autoSpaceDE/>
        <w:autoSpaceDN/>
        <w:adjustRightInd/>
        <w:spacing w:line="360" w:lineRule="auto"/>
        <w:jc w:val="center"/>
        <w:rPr>
          <w:rFonts w:ascii="Georgia" w:hAnsi="Georgia" w:cs="Arial"/>
          <w:w w:val="140"/>
          <w:sz w:val="18"/>
          <w:szCs w:val="18"/>
          <w:lang w:val="es-CO"/>
        </w:rPr>
      </w:pPr>
      <w:r w:rsidRPr="00C43E3D">
        <w:rPr>
          <w:rFonts w:ascii="Georgia" w:hAnsi="Georgia" w:cs="Arial"/>
          <w:w w:val="140"/>
          <w:sz w:val="18"/>
          <w:szCs w:val="18"/>
          <w:lang w:val="es-CO"/>
        </w:rPr>
        <w:t>REPUBLICA DE COLOMBIA</w:t>
      </w:r>
    </w:p>
    <w:p w14:paraId="20833970" w14:textId="77777777" w:rsidR="00C43E3D" w:rsidRPr="00C43E3D" w:rsidRDefault="00C43E3D" w:rsidP="00C43E3D">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C43E3D">
        <w:rPr>
          <w:rFonts w:ascii="Georgia" w:hAnsi="Georgia" w:cs="Arial"/>
          <w:w w:val="140"/>
          <w:sz w:val="18"/>
          <w:szCs w:val="18"/>
          <w:lang w:val="es-CO"/>
        </w:rPr>
        <w:t>RAMA JUDICIAL DEL PODER PÚBLICO</w:t>
      </w:r>
    </w:p>
    <w:p w14:paraId="653F405F" w14:textId="77777777" w:rsidR="00C43E3D" w:rsidRPr="00C43E3D" w:rsidRDefault="00C43E3D" w:rsidP="00C43E3D">
      <w:pPr>
        <w:widowControl/>
        <w:autoSpaceDE/>
        <w:autoSpaceDN/>
        <w:adjustRightInd/>
        <w:spacing w:line="360" w:lineRule="auto"/>
        <w:jc w:val="center"/>
        <w:rPr>
          <w:rFonts w:ascii="Georgia" w:hAnsi="Georgia" w:cs="Arial"/>
          <w:b/>
          <w:bCs/>
          <w:w w:val="140"/>
          <w:sz w:val="18"/>
          <w:szCs w:val="18"/>
          <w:lang w:val="es-CO"/>
        </w:rPr>
      </w:pPr>
      <w:r w:rsidRPr="00C43E3D">
        <w:rPr>
          <w:rFonts w:ascii="Georgia" w:hAnsi="Georgia" w:cs="Arial"/>
          <w:b/>
          <w:bCs/>
          <w:w w:val="140"/>
          <w:sz w:val="18"/>
          <w:szCs w:val="18"/>
          <w:lang w:val="es-CO"/>
        </w:rPr>
        <w:t>TRIBUNAL SUPERIOR DEL DISTRITO JUDICIAL</w:t>
      </w:r>
    </w:p>
    <w:p w14:paraId="46956FAD" w14:textId="77777777" w:rsidR="00C43E3D" w:rsidRPr="00C43E3D" w:rsidRDefault="00C43E3D" w:rsidP="00C43E3D">
      <w:pPr>
        <w:widowControl/>
        <w:autoSpaceDE/>
        <w:autoSpaceDN/>
        <w:adjustRightInd/>
        <w:spacing w:line="360" w:lineRule="auto"/>
        <w:jc w:val="center"/>
        <w:rPr>
          <w:rFonts w:ascii="Georgia" w:hAnsi="Georgia" w:cs="Arial"/>
          <w:w w:val="140"/>
          <w:sz w:val="18"/>
          <w:szCs w:val="18"/>
          <w:lang w:val="es-CO"/>
        </w:rPr>
      </w:pPr>
      <w:r w:rsidRPr="00C43E3D">
        <w:rPr>
          <w:rFonts w:ascii="Georgia" w:hAnsi="Georgia" w:cs="Arial"/>
          <w:w w:val="140"/>
          <w:sz w:val="18"/>
          <w:szCs w:val="18"/>
          <w:lang w:val="es-CO"/>
        </w:rPr>
        <w:t>SALA DE DECISIÓN CIVIL – FAMILIA – DISTRITO DE PEREIRA</w:t>
      </w:r>
    </w:p>
    <w:p w14:paraId="6DEA20A7" w14:textId="77777777" w:rsidR="00C43E3D" w:rsidRPr="00C43E3D" w:rsidRDefault="00C43E3D" w:rsidP="00C43E3D">
      <w:pPr>
        <w:widowControl/>
        <w:autoSpaceDE/>
        <w:autoSpaceDN/>
        <w:adjustRightInd/>
        <w:spacing w:line="360" w:lineRule="auto"/>
        <w:jc w:val="center"/>
        <w:rPr>
          <w:rFonts w:ascii="Georgia" w:hAnsi="Georgia" w:cs="Arial"/>
          <w:w w:val="140"/>
          <w:sz w:val="18"/>
          <w:szCs w:val="18"/>
          <w:lang w:val="es-CO"/>
        </w:rPr>
      </w:pPr>
      <w:r w:rsidRPr="00C43E3D">
        <w:rPr>
          <w:rFonts w:ascii="Georgia" w:hAnsi="Georgia" w:cs="Arial"/>
          <w:w w:val="140"/>
          <w:sz w:val="18"/>
          <w:szCs w:val="18"/>
          <w:lang w:val="es-CO"/>
        </w:rPr>
        <w:t>DEPARTAMENTO DEL RISARALDA</w:t>
      </w:r>
    </w:p>
    <w:p w14:paraId="49F39A95" w14:textId="77777777" w:rsidR="00C43E3D" w:rsidRPr="00C43E3D" w:rsidRDefault="00C43E3D" w:rsidP="00C43E3D">
      <w:pPr>
        <w:widowControl/>
        <w:autoSpaceDE/>
        <w:autoSpaceDN/>
        <w:adjustRightInd/>
        <w:spacing w:line="360" w:lineRule="auto"/>
        <w:jc w:val="center"/>
        <w:rPr>
          <w:rFonts w:ascii="Georgia" w:hAnsi="Georgia" w:cs="Arial"/>
          <w:w w:val="140"/>
          <w:sz w:val="18"/>
          <w:szCs w:val="18"/>
          <w:lang w:val="es-CO"/>
        </w:rPr>
      </w:pPr>
    </w:p>
    <w:p w14:paraId="1B5C87BD" w14:textId="506B434D" w:rsidR="00343BA3" w:rsidRPr="00AB0D5A" w:rsidRDefault="00343BA3" w:rsidP="0028673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jc w:val="center"/>
        <w:rPr>
          <w:rFonts w:ascii="Georgia" w:hAnsi="Georgia" w:cs="Arial"/>
          <w:b/>
          <w:bCs/>
          <w:szCs w:val="24"/>
        </w:rPr>
      </w:pPr>
      <w:r w:rsidRPr="00AB0D5A">
        <w:rPr>
          <w:rFonts w:ascii="Georgia" w:hAnsi="Georgia" w:cs="Arial"/>
          <w:b/>
          <w:bCs/>
          <w:szCs w:val="24"/>
        </w:rPr>
        <w:t>ST2-</w:t>
      </w:r>
      <w:r w:rsidR="00DB404B" w:rsidRPr="00AB0D5A">
        <w:rPr>
          <w:rFonts w:ascii="Georgia" w:hAnsi="Georgia" w:cs="Arial"/>
          <w:b/>
          <w:bCs/>
          <w:szCs w:val="24"/>
        </w:rPr>
        <w:t>0232</w:t>
      </w:r>
      <w:r w:rsidRPr="00AB0D5A">
        <w:rPr>
          <w:rFonts w:ascii="Georgia" w:hAnsi="Georgia" w:cs="Arial"/>
          <w:b/>
          <w:bCs/>
          <w:szCs w:val="24"/>
        </w:rPr>
        <w:t>-2021</w:t>
      </w:r>
    </w:p>
    <w:p w14:paraId="7D6D920B" w14:textId="77777777" w:rsidR="00785FA3" w:rsidRPr="0028673D" w:rsidRDefault="00785FA3" w:rsidP="00AB0D5A">
      <w:pPr>
        <w:pBdr>
          <w:bottom w:val="double" w:sz="6" w:space="1" w:color="auto"/>
        </w:pBdr>
        <w:spacing w:line="276" w:lineRule="auto"/>
        <w:jc w:val="center"/>
        <w:rPr>
          <w:rFonts w:ascii="Georgia" w:hAnsi="Georgia"/>
          <w:b/>
          <w:bCs/>
          <w:sz w:val="20"/>
          <w:lang w:val="es-419"/>
        </w:rPr>
      </w:pPr>
    </w:p>
    <w:p w14:paraId="6F88AEEC" w14:textId="77777777" w:rsidR="00785FA3" w:rsidRPr="00AB0D5A" w:rsidRDefault="00785FA3" w:rsidP="00AB0D5A">
      <w:pPr>
        <w:spacing w:line="276" w:lineRule="auto"/>
        <w:jc w:val="center"/>
        <w:rPr>
          <w:rFonts w:ascii="Georgia" w:hAnsi="Georgia"/>
          <w:b/>
          <w:bCs/>
          <w:lang w:val="es-419"/>
        </w:rPr>
      </w:pPr>
    </w:p>
    <w:p w14:paraId="74A24397" w14:textId="00428781" w:rsidR="00CF7F14" w:rsidRPr="00AB0D5A" w:rsidRDefault="00DB404B" w:rsidP="00AB0D5A">
      <w:pPr>
        <w:spacing w:line="276" w:lineRule="auto"/>
        <w:jc w:val="center"/>
        <w:rPr>
          <w:rFonts w:ascii="Georgia" w:hAnsi="Georgia" w:cs="Arial"/>
          <w:b/>
          <w:bCs/>
          <w:i/>
          <w:iCs/>
          <w:lang w:val="es-CO"/>
        </w:rPr>
      </w:pPr>
      <w:r w:rsidRPr="00AB0D5A">
        <w:rPr>
          <w:rFonts w:ascii="Georgia" w:hAnsi="Georgia" w:cs="Arial"/>
          <w:b/>
          <w:bCs/>
          <w:i/>
          <w:iCs/>
          <w:smallCaps/>
          <w:lang w:val="es-CO"/>
        </w:rPr>
        <w:t>Veintidós</w:t>
      </w:r>
      <w:r w:rsidR="00A95745" w:rsidRPr="00AB0D5A">
        <w:rPr>
          <w:rFonts w:ascii="Georgia" w:hAnsi="Georgia" w:cs="Arial"/>
          <w:b/>
          <w:bCs/>
          <w:i/>
          <w:iCs/>
          <w:smallCaps/>
          <w:lang w:val="es-CO"/>
        </w:rPr>
        <w:t xml:space="preserve"> </w:t>
      </w:r>
      <w:r w:rsidR="00CF7F14" w:rsidRPr="00AB0D5A">
        <w:rPr>
          <w:rFonts w:ascii="Georgia" w:hAnsi="Georgia" w:cs="Arial"/>
          <w:b/>
          <w:bCs/>
          <w:i/>
          <w:iCs/>
          <w:smallCaps/>
          <w:lang w:val="es-CO"/>
        </w:rPr>
        <w:t>(</w:t>
      </w:r>
      <w:r w:rsidRPr="00AB0D5A">
        <w:rPr>
          <w:rFonts w:ascii="Georgia" w:hAnsi="Georgia" w:cs="Arial"/>
          <w:b/>
          <w:bCs/>
          <w:i/>
          <w:iCs/>
          <w:smallCaps/>
          <w:lang w:val="es-CO"/>
        </w:rPr>
        <w:t>22</w:t>
      </w:r>
      <w:r w:rsidR="00CF7F14" w:rsidRPr="00AB0D5A">
        <w:rPr>
          <w:rFonts w:ascii="Georgia" w:hAnsi="Georgia" w:cs="Arial"/>
          <w:b/>
          <w:bCs/>
          <w:i/>
          <w:iCs/>
          <w:smallCaps/>
          <w:lang w:val="es-CO"/>
        </w:rPr>
        <w:t xml:space="preserve">) de </w:t>
      </w:r>
      <w:r w:rsidR="00A95745" w:rsidRPr="00AB0D5A">
        <w:rPr>
          <w:rFonts w:ascii="Georgia" w:hAnsi="Georgia" w:cs="Arial"/>
          <w:b/>
          <w:bCs/>
          <w:i/>
          <w:iCs/>
          <w:smallCaps/>
          <w:lang w:val="es-CO"/>
        </w:rPr>
        <w:t xml:space="preserve">julio </w:t>
      </w:r>
      <w:r w:rsidR="00CF7F14" w:rsidRPr="00AB0D5A">
        <w:rPr>
          <w:rFonts w:ascii="Georgia" w:hAnsi="Georgia" w:cs="Arial"/>
          <w:b/>
          <w:bCs/>
          <w:i/>
          <w:iCs/>
          <w:smallCaps/>
          <w:lang w:val="es-CO"/>
        </w:rPr>
        <w:t xml:space="preserve">de dos mil </w:t>
      </w:r>
      <w:r w:rsidR="003A65CF" w:rsidRPr="00AB0D5A">
        <w:rPr>
          <w:rFonts w:ascii="Georgia" w:hAnsi="Georgia" w:cs="Arial"/>
          <w:b/>
          <w:bCs/>
          <w:i/>
          <w:iCs/>
          <w:smallCaps/>
          <w:lang w:val="es-CO"/>
        </w:rPr>
        <w:t xml:space="preserve">veintiuno </w:t>
      </w:r>
      <w:r w:rsidR="00CF7F14" w:rsidRPr="00AB0D5A">
        <w:rPr>
          <w:rFonts w:ascii="Georgia" w:hAnsi="Georgia" w:cs="Arial"/>
          <w:b/>
          <w:bCs/>
          <w:i/>
          <w:iCs/>
          <w:smallCaps/>
          <w:lang w:val="es-CO"/>
        </w:rPr>
        <w:t>(</w:t>
      </w:r>
      <w:r w:rsidR="003A65CF" w:rsidRPr="00AB0D5A">
        <w:rPr>
          <w:rFonts w:ascii="Georgia" w:hAnsi="Georgia" w:cs="Arial"/>
          <w:b/>
          <w:bCs/>
          <w:i/>
          <w:iCs/>
          <w:smallCaps/>
          <w:lang w:val="es-CO"/>
        </w:rPr>
        <w:t>2021</w:t>
      </w:r>
      <w:r w:rsidR="00CF7F14" w:rsidRPr="00AB0D5A">
        <w:rPr>
          <w:rFonts w:ascii="Georgia" w:hAnsi="Georgia" w:cs="Arial"/>
          <w:b/>
          <w:bCs/>
          <w:i/>
          <w:iCs/>
          <w:smallCaps/>
          <w:lang w:val="es-CO"/>
        </w:rPr>
        <w:t>)</w:t>
      </w:r>
      <w:r w:rsidR="00CF7F14" w:rsidRPr="00AB0D5A">
        <w:rPr>
          <w:rFonts w:ascii="Georgia" w:hAnsi="Georgia" w:cs="Arial"/>
          <w:b/>
          <w:bCs/>
          <w:i/>
          <w:iCs/>
          <w:lang w:val="es-CO"/>
        </w:rPr>
        <w:t>.</w:t>
      </w:r>
    </w:p>
    <w:p w14:paraId="4FF36FFC" w14:textId="77777777" w:rsidR="001F0165" w:rsidRPr="00AB0D5A" w:rsidRDefault="001F0165" w:rsidP="00AB0D5A">
      <w:pPr>
        <w:pStyle w:val="Textoindependiente"/>
        <w:spacing w:line="276" w:lineRule="auto"/>
        <w:rPr>
          <w:rFonts w:ascii="Georgia" w:hAnsi="Georgia"/>
          <w:szCs w:val="24"/>
          <w:lang w:val="es-CO"/>
        </w:rPr>
      </w:pPr>
    </w:p>
    <w:p w14:paraId="19E16A83" w14:textId="77777777" w:rsidR="00785FA3" w:rsidRPr="00AB0D5A" w:rsidRDefault="00785FA3" w:rsidP="00AB0D5A">
      <w:pPr>
        <w:pStyle w:val="Textoindependiente"/>
        <w:numPr>
          <w:ilvl w:val="0"/>
          <w:numId w:val="1"/>
        </w:numPr>
        <w:spacing w:line="276" w:lineRule="auto"/>
        <w:rPr>
          <w:rFonts w:ascii="Georgia" w:hAnsi="Georgia"/>
          <w:b/>
          <w:bCs/>
          <w:smallCaps/>
          <w:szCs w:val="24"/>
          <w:lang w:val="es-419"/>
        </w:rPr>
      </w:pPr>
      <w:r w:rsidRPr="00AB0D5A">
        <w:rPr>
          <w:rFonts w:ascii="Georgia" w:hAnsi="Georgia"/>
          <w:b/>
          <w:bCs/>
          <w:smallCaps/>
          <w:szCs w:val="24"/>
          <w:lang w:val="es-419"/>
        </w:rPr>
        <w:t>El asunto a decidir</w:t>
      </w:r>
    </w:p>
    <w:p w14:paraId="77BFD57D" w14:textId="77777777" w:rsidR="00785FA3" w:rsidRPr="00AB0D5A" w:rsidRDefault="00785FA3" w:rsidP="00AB0D5A">
      <w:pPr>
        <w:pStyle w:val="Textoindependiente"/>
        <w:spacing w:line="276" w:lineRule="auto"/>
        <w:rPr>
          <w:rFonts w:ascii="Georgia" w:hAnsi="Georgia"/>
          <w:szCs w:val="24"/>
          <w:lang w:val="es-419"/>
        </w:rPr>
      </w:pPr>
    </w:p>
    <w:p w14:paraId="156E1B91" w14:textId="77777777" w:rsidR="00785FA3" w:rsidRPr="00AB0D5A" w:rsidRDefault="00785FA3" w:rsidP="00AB0D5A">
      <w:pPr>
        <w:pStyle w:val="Textoindependiente"/>
        <w:spacing w:line="276" w:lineRule="auto"/>
        <w:rPr>
          <w:rFonts w:ascii="Georgia" w:hAnsi="Georgia"/>
          <w:szCs w:val="24"/>
          <w:lang w:val="es-419"/>
        </w:rPr>
      </w:pPr>
      <w:r w:rsidRPr="00AB0D5A">
        <w:rPr>
          <w:rFonts w:ascii="Georgia" w:hAnsi="Georgia"/>
          <w:szCs w:val="24"/>
          <w:lang w:val="es-419"/>
        </w:rPr>
        <w:t>La impugnación suscitada en el trámite constitucional ya referido, una vez se ha cumplido la actuación de primera instancia.</w:t>
      </w:r>
    </w:p>
    <w:p w14:paraId="502114CA" w14:textId="77777777" w:rsidR="001F0165" w:rsidRPr="00AB0D5A" w:rsidRDefault="001F0165" w:rsidP="00AB0D5A">
      <w:pPr>
        <w:pStyle w:val="Textoindependiente"/>
        <w:spacing w:line="276" w:lineRule="auto"/>
        <w:rPr>
          <w:rFonts w:ascii="Georgia" w:hAnsi="Georgia"/>
          <w:szCs w:val="24"/>
          <w:lang w:val="es-419"/>
        </w:rPr>
      </w:pPr>
    </w:p>
    <w:p w14:paraId="56B5028B" w14:textId="77777777" w:rsidR="00785FA3" w:rsidRPr="00AB0D5A" w:rsidRDefault="00785FA3" w:rsidP="00AB0D5A">
      <w:pPr>
        <w:pStyle w:val="Textoindependiente"/>
        <w:numPr>
          <w:ilvl w:val="0"/>
          <w:numId w:val="1"/>
        </w:numPr>
        <w:spacing w:line="276" w:lineRule="auto"/>
        <w:rPr>
          <w:rFonts w:ascii="Georgia" w:hAnsi="Georgia"/>
          <w:b/>
          <w:bCs/>
          <w:smallCaps/>
          <w:szCs w:val="24"/>
          <w:lang w:val="es-419"/>
        </w:rPr>
      </w:pPr>
      <w:r w:rsidRPr="00AB0D5A">
        <w:rPr>
          <w:rFonts w:ascii="Georgia" w:hAnsi="Georgia"/>
          <w:b/>
          <w:bCs/>
          <w:smallCaps/>
          <w:szCs w:val="24"/>
          <w:lang w:val="es-419"/>
        </w:rPr>
        <w:t xml:space="preserve">La síntesis fáctica </w:t>
      </w:r>
    </w:p>
    <w:p w14:paraId="792F79B7" w14:textId="77777777" w:rsidR="00833986" w:rsidRPr="00AB0D5A" w:rsidRDefault="00833986" w:rsidP="00AB0D5A">
      <w:pPr>
        <w:pStyle w:val="Textoindependiente"/>
        <w:spacing w:line="276" w:lineRule="auto"/>
        <w:rPr>
          <w:rFonts w:ascii="Georgia" w:hAnsi="Georgia" w:cs="Arial"/>
          <w:szCs w:val="24"/>
        </w:rPr>
      </w:pPr>
    </w:p>
    <w:p w14:paraId="2D5D5EE9" w14:textId="42F296FC" w:rsidR="00260884" w:rsidRPr="00AB0D5A" w:rsidRDefault="00B10630" w:rsidP="00AB0D5A">
      <w:pPr>
        <w:pStyle w:val="Textoindependiente"/>
        <w:spacing w:line="276" w:lineRule="auto"/>
        <w:rPr>
          <w:rFonts w:ascii="Georgia" w:hAnsi="Georgia"/>
          <w:szCs w:val="24"/>
        </w:rPr>
      </w:pPr>
      <w:r w:rsidRPr="00AB0D5A">
        <w:rPr>
          <w:rFonts w:ascii="Georgia" w:hAnsi="Georgia"/>
          <w:szCs w:val="24"/>
        </w:rPr>
        <w:t xml:space="preserve">Se </w:t>
      </w:r>
      <w:r w:rsidR="00B46774" w:rsidRPr="00AB0D5A">
        <w:rPr>
          <w:rFonts w:ascii="Georgia" w:hAnsi="Georgia"/>
          <w:szCs w:val="24"/>
        </w:rPr>
        <w:t xml:space="preserve">informó que </w:t>
      </w:r>
      <w:r w:rsidR="001F0165" w:rsidRPr="00AB0D5A">
        <w:rPr>
          <w:rFonts w:ascii="Georgia" w:hAnsi="Georgia"/>
          <w:szCs w:val="24"/>
        </w:rPr>
        <w:t xml:space="preserve">el actor </w:t>
      </w:r>
      <w:r w:rsidR="00A95745" w:rsidRPr="00AB0D5A">
        <w:rPr>
          <w:rFonts w:ascii="Georgia" w:hAnsi="Georgia"/>
          <w:szCs w:val="24"/>
        </w:rPr>
        <w:t xml:space="preserve">sufrió un accidente de tránsito y le causó </w:t>
      </w:r>
      <w:r w:rsidR="00A95745" w:rsidRPr="00AB0D5A">
        <w:rPr>
          <w:rFonts w:ascii="Georgia" w:hAnsi="Georgia"/>
          <w:i/>
          <w:iCs/>
          <w:szCs w:val="24"/>
        </w:rPr>
        <w:t>“</w:t>
      </w:r>
      <w:r w:rsidR="00A95745" w:rsidRPr="00591313">
        <w:rPr>
          <w:rFonts w:ascii="Georgia" w:hAnsi="Georgia"/>
          <w:i/>
          <w:iCs/>
          <w:sz w:val="22"/>
          <w:szCs w:val="24"/>
        </w:rPr>
        <w:t>(…) AMPUTACIÓN TRANSFEMORAL IZQUIERDA de tercio medio por causa traumática por encima de la rodilla (…)</w:t>
      </w:r>
      <w:r w:rsidR="00A95745" w:rsidRPr="00AB0D5A">
        <w:rPr>
          <w:rFonts w:ascii="Georgia" w:hAnsi="Georgia"/>
          <w:i/>
          <w:iCs/>
          <w:szCs w:val="24"/>
        </w:rPr>
        <w:t>”</w:t>
      </w:r>
      <w:r w:rsidR="00A95745" w:rsidRPr="00AB0D5A">
        <w:rPr>
          <w:rFonts w:ascii="Georgia" w:hAnsi="Georgia"/>
          <w:szCs w:val="24"/>
        </w:rPr>
        <w:t>.</w:t>
      </w:r>
      <w:r w:rsidR="00A95745" w:rsidRPr="00AB0D5A">
        <w:rPr>
          <w:rFonts w:ascii="Georgia" w:hAnsi="Georgia"/>
          <w:i/>
          <w:iCs/>
          <w:szCs w:val="24"/>
        </w:rPr>
        <w:t xml:space="preserve"> </w:t>
      </w:r>
      <w:r w:rsidR="00A95745" w:rsidRPr="00AB0D5A">
        <w:rPr>
          <w:rFonts w:ascii="Georgia" w:hAnsi="Georgia"/>
          <w:szCs w:val="24"/>
        </w:rPr>
        <w:t xml:space="preserve">El médico tratante ordenó el traslado a Bogotá </w:t>
      </w:r>
      <w:r w:rsidR="000F0E6B" w:rsidRPr="00AB0D5A">
        <w:rPr>
          <w:rFonts w:ascii="Georgia" w:hAnsi="Georgia"/>
          <w:szCs w:val="24"/>
        </w:rPr>
        <w:t xml:space="preserve">DC </w:t>
      </w:r>
      <w:r w:rsidR="00A95745" w:rsidRPr="00AB0D5A">
        <w:rPr>
          <w:rFonts w:ascii="Georgia" w:hAnsi="Georgia"/>
          <w:szCs w:val="24"/>
        </w:rPr>
        <w:t>para el cambio de prótesis</w:t>
      </w:r>
      <w:r w:rsidR="00F905C4" w:rsidRPr="00AB0D5A">
        <w:rPr>
          <w:rFonts w:ascii="Georgia" w:hAnsi="Georgia"/>
          <w:szCs w:val="24"/>
        </w:rPr>
        <w:t xml:space="preserve">, </w:t>
      </w:r>
      <w:r w:rsidR="00A95745" w:rsidRPr="00AB0D5A">
        <w:rPr>
          <w:rFonts w:ascii="Georgia" w:hAnsi="Georgia"/>
          <w:szCs w:val="24"/>
        </w:rPr>
        <w:t>se programó para el 14-05-2021</w:t>
      </w:r>
      <w:r w:rsidR="00F905C4" w:rsidRPr="00AB0D5A">
        <w:rPr>
          <w:rFonts w:ascii="Georgia" w:hAnsi="Georgia"/>
          <w:szCs w:val="24"/>
        </w:rPr>
        <w:t xml:space="preserve"> y, como carecía de </w:t>
      </w:r>
      <w:r w:rsidR="000F0E6B" w:rsidRPr="00AB0D5A">
        <w:rPr>
          <w:rFonts w:ascii="Georgia" w:hAnsi="Georgia"/>
          <w:szCs w:val="24"/>
        </w:rPr>
        <w:t xml:space="preserve">capacidad económica </w:t>
      </w:r>
      <w:r w:rsidR="00F905C4" w:rsidRPr="00AB0D5A">
        <w:rPr>
          <w:rFonts w:ascii="Georgia" w:hAnsi="Georgia"/>
          <w:szCs w:val="24"/>
        </w:rPr>
        <w:t xml:space="preserve">para costar el </w:t>
      </w:r>
      <w:r w:rsidR="000F0E6B" w:rsidRPr="00AB0D5A">
        <w:rPr>
          <w:rFonts w:ascii="Georgia" w:hAnsi="Georgia"/>
          <w:szCs w:val="24"/>
        </w:rPr>
        <w:t>transporte</w:t>
      </w:r>
      <w:r w:rsidR="00F905C4" w:rsidRPr="00AB0D5A">
        <w:rPr>
          <w:rFonts w:ascii="Georgia" w:hAnsi="Georgia"/>
          <w:szCs w:val="24"/>
        </w:rPr>
        <w:t xml:space="preserve"> y viáticos, requirió a la EPS que los suministrara</w:t>
      </w:r>
      <w:r w:rsidR="000F0E6B" w:rsidRPr="00AB0D5A">
        <w:rPr>
          <w:rFonts w:ascii="Georgia" w:hAnsi="Georgia"/>
          <w:szCs w:val="24"/>
        </w:rPr>
        <w:t xml:space="preserve">, pero le </w:t>
      </w:r>
      <w:r w:rsidR="00F905C4" w:rsidRPr="00AB0D5A">
        <w:rPr>
          <w:rFonts w:ascii="Georgia" w:hAnsi="Georgia"/>
          <w:szCs w:val="24"/>
        </w:rPr>
        <w:t xml:space="preserve">respondió </w:t>
      </w:r>
      <w:r w:rsidR="000F0E6B" w:rsidRPr="00AB0D5A">
        <w:rPr>
          <w:rFonts w:ascii="Georgia" w:hAnsi="Georgia"/>
          <w:szCs w:val="24"/>
        </w:rPr>
        <w:t>que</w:t>
      </w:r>
      <w:r w:rsidR="00F905C4" w:rsidRPr="00AB0D5A">
        <w:rPr>
          <w:rFonts w:ascii="Georgia" w:hAnsi="Georgia"/>
          <w:szCs w:val="24"/>
        </w:rPr>
        <w:t>:</w:t>
      </w:r>
      <w:r w:rsidR="000F0E6B" w:rsidRPr="00AB0D5A">
        <w:rPr>
          <w:rFonts w:ascii="Georgia" w:hAnsi="Georgia"/>
          <w:szCs w:val="24"/>
        </w:rPr>
        <w:t xml:space="preserve"> </w:t>
      </w:r>
      <w:r w:rsidR="000F0E6B" w:rsidRPr="00AB0D5A">
        <w:rPr>
          <w:rFonts w:ascii="Georgia" w:hAnsi="Georgia"/>
          <w:i/>
          <w:iCs/>
          <w:szCs w:val="24"/>
        </w:rPr>
        <w:t>“</w:t>
      </w:r>
      <w:r w:rsidR="000F0E6B" w:rsidRPr="00591313">
        <w:rPr>
          <w:rFonts w:ascii="Georgia" w:hAnsi="Georgia"/>
          <w:i/>
          <w:iCs/>
          <w:sz w:val="22"/>
          <w:szCs w:val="24"/>
        </w:rPr>
        <w:t>(…) puede sacar otra nueva Autorización para poder dirigirse al lugar de la fundación CIREC en la ciudad de Bogotá (…)</w:t>
      </w:r>
      <w:r w:rsidR="000F0E6B" w:rsidRPr="00AB0D5A">
        <w:rPr>
          <w:rFonts w:ascii="Georgia" w:hAnsi="Georgia"/>
          <w:i/>
          <w:iCs/>
          <w:szCs w:val="24"/>
        </w:rPr>
        <w:t>”</w:t>
      </w:r>
      <w:r w:rsidR="001F0165" w:rsidRPr="00AB0D5A">
        <w:rPr>
          <w:rFonts w:ascii="Georgia" w:hAnsi="Georgia"/>
          <w:szCs w:val="24"/>
        </w:rPr>
        <w:t xml:space="preserve"> </w:t>
      </w:r>
      <w:r w:rsidR="00260884" w:rsidRPr="00AB0D5A">
        <w:rPr>
          <w:rFonts w:ascii="Georgia" w:hAnsi="Georgia"/>
          <w:szCs w:val="24"/>
        </w:rPr>
        <w:t>(</w:t>
      </w:r>
      <w:r w:rsidR="00B84E4A" w:rsidRPr="00AB0D5A">
        <w:rPr>
          <w:rFonts w:ascii="Georgia" w:hAnsi="Georgia"/>
          <w:szCs w:val="24"/>
        </w:rPr>
        <w:t>Cuaderno No.1, documento No.</w:t>
      </w:r>
      <w:r w:rsidR="00B46774" w:rsidRPr="00AB0D5A">
        <w:rPr>
          <w:rFonts w:ascii="Georgia" w:hAnsi="Georgia"/>
          <w:szCs w:val="24"/>
        </w:rPr>
        <w:t>02</w:t>
      </w:r>
      <w:r w:rsidR="00260884" w:rsidRPr="00AB0D5A">
        <w:rPr>
          <w:rFonts w:ascii="Georgia" w:hAnsi="Georgia"/>
          <w:szCs w:val="24"/>
        </w:rPr>
        <w:t>).</w:t>
      </w:r>
    </w:p>
    <w:p w14:paraId="720EED2E" w14:textId="329D9084" w:rsidR="00962AE3" w:rsidRPr="00AB0D5A" w:rsidRDefault="00962AE3" w:rsidP="00AB0D5A">
      <w:pPr>
        <w:spacing w:line="276" w:lineRule="auto"/>
        <w:jc w:val="both"/>
        <w:rPr>
          <w:rFonts w:ascii="Georgia" w:hAnsi="Georgia" w:cs="Arial"/>
          <w:lang w:val="es-ES_tradnl"/>
        </w:rPr>
      </w:pPr>
    </w:p>
    <w:p w14:paraId="41ADE410" w14:textId="2B508D2B" w:rsidR="000A42F5" w:rsidRPr="00AB0D5A" w:rsidRDefault="00546181" w:rsidP="00AB0D5A">
      <w:pPr>
        <w:pStyle w:val="Textoindependiente"/>
        <w:numPr>
          <w:ilvl w:val="0"/>
          <w:numId w:val="1"/>
        </w:numPr>
        <w:spacing w:line="276" w:lineRule="auto"/>
        <w:rPr>
          <w:rFonts w:ascii="Georgia" w:hAnsi="Georgia"/>
          <w:b/>
          <w:bCs/>
          <w:smallCaps/>
          <w:szCs w:val="24"/>
          <w:lang w:val="es-419"/>
        </w:rPr>
      </w:pPr>
      <w:r w:rsidRPr="00AB0D5A">
        <w:rPr>
          <w:rFonts w:ascii="Georgia" w:hAnsi="Georgia"/>
          <w:b/>
          <w:bCs/>
          <w:smallCaps/>
          <w:szCs w:val="24"/>
          <w:lang w:val="es-CO"/>
        </w:rPr>
        <w:t>Los</w:t>
      </w:r>
      <w:r w:rsidR="000A42F5" w:rsidRPr="00AB0D5A">
        <w:rPr>
          <w:rFonts w:ascii="Georgia" w:hAnsi="Georgia"/>
          <w:b/>
          <w:bCs/>
          <w:smallCaps/>
          <w:szCs w:val="24"/>
          <w:lang w:val="es-CO"/>
        </w:rPr>
        <w:t xml:space="preserve"> </w:t>
      </w:r>
      <w:r w:rsidR="000A42F5" w:rsidRPr="00AB0D5A">
        <w:rPr>
          <w:rFonts w:ascii="Georgia" w:hAnsi="Georgia"/>
          <w:b/>
          <w:bCs/>
          <w:smallCaps/>
          <w:szCs w:val="24"/>
          <w:lang w:val="es-419"/>
        </w:rPr>
        <w:t>derecho</w:t>
      </w:r>
      <w:r w:rsidRPr="00AB0D5A">
        <w:rPr>
          <w:rFonts w:ascii="Georgia" w:hAnsi="Georgia"/>
          <w:b/>
          <w:bCs/>
          <w:smallCaps/>
          <w:szCs w:val="24"/>
          <w:lang w:val="es-419"/>
        </w:rPr>
        <w:t>s</w:t>
      </w:r>
      <w:r w:rsidR="000A42F5" w:rsidRPr="00AB0D5A">
        <w:rPr>
          <w:rFonts w:ascii="Georgia" w:hAnsi="Georgia"/>
          <w:b/>
          <w:bCs/>
          <w:smallCaps/>
          <w:szCs w:val="24"/>
          <w:lang w:val="es-419"/>
        </w:rPr>
        <w:t xml:space="preserve"> invocado</w:t>
      </w:r>
      <w:r w:rsidRPr="00AB0D5A">
        <w:rPr>
          <w:rFonts w:ascii="Georgia" w:hAnsi="Georgia"/>
          <w:b/>
          <w:bCs/>
          <w:smallCaps/>
          <w:szCs w:val="24"/>
          <w:lang w:val="es-419"/>
        </w:rPr>
        <w:t>s</w:t>
      </w:r>
      <w:r w:rsidR="000A42F5" w:rsidRPr="00AB0D5A">
        <w:rPr>
          <w:rFonts w:ascii="Georgia" w:hAnsi="Georgia"/>
          <w:b/>
          <w:bCs/>
          <w:smallCaps/>
          <w:szCs w:val="24"/>
          <w:lang w:val="es-CO"/>
        </w:rPr>
        <w:t xml:space="preserve"> y su</w:t>
      </w:r>
      <w:r w:rsidR="000A42F5" w:rsidRPr="00AB0D5A">
        <w:rPr>
          <w:rFonts w:ascii="Georgia" w:hAnsi="Georgia"/>
          <w:b/>
          <w:bCs/>
          <w:smallCaps/>
          <w:szCs w:val="24"/>
          <w:lang w:val="es-419"/>
        </w:rPr>
        <w:t xml:space="preserve"> protección</w:t>
      </w:r>
    </w:p>
    <w:p w14:paraId="7FF9A3B8" w14:textId="77777777" w:rsidR="001F0165" w:rsidRPr="00AB0D5A" w:rsidRDefault="001F0165" w:rsidP="00AB0D5A">
      <w:pPr>
        <w:pStyle w:val="Textoindependiente"/>
        <w:spacing w:line="276" w:lineRule="auto"/>
        <w:rPr>
          <w:rFonts w:ascii="Georgia" w:hAnsi="Georgia"/>
          <w:szCs w:val="24"/>
          <w:lang w:val="es-419"/>
        </w:rPr>
      </w:pPr>
    </w:p>
    <w:p w14:paraId="7A7616A7" w14:textId="5C206A47" w:rsidR="00B84E4A" w:rsidRPr="00AB0D5A" w:rsidRDefault="00546181" w:rsidP="00AB0D5A">
      <w:pPr>
        <w:pStyle w:val="Textoindependiente"/>
        <w:spacing w:line="276" w:lineRule="auto"/>
        <w:rPr>
          <w:rFonts w:ascii="Georgia" w:hAnsi="Georgia"/>
          <w:szCs w:val="24"/>
        </w:rPr>
      </w:pPr>
      <w:r w:rsidRPr="00AB0D5A">
        <w:rPr>
          <w:rFonts w:ascii="Georgia" w:hAnsi="Georgia"/>
          <w:szCs w:val="24"/>
          <w:lang w:val="es-419"/>
        </w:rPr>
        <w:t>La salud, la dignidad humana y la seguridad social</w:t>
      </w:r>
      <w:r w:rsidR="00C0365A" w:rsidRPr="00AB0D5A">
        <w:rPr>
          <w:rFonts w:ascii="Georgia" w:hAnsi="Georgia"/>
          <w:szCs w:val="24"/>
          <w:lang w:val="es-419"/>
        </w:rPr>
        <w:t xml:space="preserve">. </w:t>
      </w:r>
      <w:r w:rsidR="00953B30" w:rsidRPr="00AB0D5A">
        <w:rPr>
          <w:rFonts w:ascii="Georgia" w:hAnsi="Georgia"/>
          <w:szCs w:val="24"/>
          <w:lang w:val="es-419"/>
        </w:rPr>
        <w:t xml:space="preserve">Se solicitó </w:t>
      </w:r>
      <w:r w:rsidR="00B84E4A" w:rsidRPr="00AB0D5A">
        <w:rPr>
          <w:rFonts w:ascii="Georgia" w:hAnsi="Georgia"/>
          <w:szCs w:val="24"/>
          <w:lang w:val="es-419"/>
        </w:rPr>
        <w:t xml:space="preserve">ordenar a </w:t>
      </w:r>
      <w:r w:rsidR="00B46774" w:rsidRPr="00AB0D5A">
        <w:rPr>
          <w:rFonts w:ascii="Georgia" w:hAnsi="Georgia"/>
          <w:szCs w:val="24"/>
          <w:lang w:val="es-419"/>
        </w:rPr>
        <w:t xml:space="preserve">la accionada </w:t>
      </w:r>
      <w:r w:rsidRPr="00AB0D5A">
        <w:rPr>
          <w:rFonts w:ascii="Georgia" w:hAnsi="Georgia"/>
          <w:b/>
          <w:bCs/>
          <w:szCs w:val="24"/>
          <w:lang w:val="es-419"/>
        </w:rPr>
        <w:t>(i)</w:t>
      </w:r>
      <w:r w:rsidRPr="00AB0D5A">
        <w:rPr>
          <w:rFonts w:ascii="Georgia" w:hAnsi="Georgia"/>
          <w:szCs w:val="24"/>
          <w:lang w:val="es-419"/>
        </w:rPr>
        <w:t xml:space="preserve"> </w:t>
      </w:r>
      <w:r w:rsidR="000F0E6B" w:rsidRPr="00AB0D5A">
        <w:rPr>
          <w:rFonts w:ascii="Georgia" w:hAnsi="Georgia"/>
          <w:szCs w:val="24"/>
          <w:lang w:val="es-419"/>
        </w:rPr>
        <w:t>Practicar con urgencia el trasplante de prótesis</w:t>
      </w:r>
      <w:r w:rsidRPr="00AB0D5A">
        <w:rPr>
          <w:rFonts w:ascii="Georgia" w:hAnsi="Georgia"/>
          <w:szCs w:val="24"/>
        </w:rPr>
        <w:t xml:space="preserve">; </w:t>
      </w:r>
      <w:r w:rsidR="000F0E6B" w:rsidRPr="00AB0D5A">
        <w:rPr>
          <w:rFonts w:ascii="Georgia" w:hAnsi="Georgia"/>
          <w:szCs w:val="24"/>
        </w:rPr>
        <w:t xml:space="preserve">y, </w:t>
      </w:r>
      <w:r w:rsidRPr="00AB0D5A">
        <w:rPr>
          <w:rFonts w:ascii="Georgia" w:hAnsi="Georgia"/>
          <w:b/>
          <w:bCs/>
          <w:szCs w:val="24"/>
        </w:rPr>
        <w:t>(ii)</w:t>
      </w:r>
      <w:r w:rsidRPr="00AB0D5A">
        <w:rPr>
          <w:rFonts w:ascii="Georgia" w:hAnsi="Georgia"/>
          <w:i/>
          <w:iCs/>
          <w:szCs w:val="24"/>
        </w:rPr>
        <w:t xml:space="preserve"> </w:t>
      </w:r>
      <w:r w:rsidRPr="00AB0D5A">
        <w:rPr>
          <w:rFonts w:ascii="Georgia" w:hAnsi="Georgia"/>
          <w:szCs w:val="24"/>
          <w:lang w:val="es-419"/>
        </w:rPr>
        <w:t xml:space="preserve">Brindar el servicio de trasporte y viáticos con acompañante para asistir a la consulta en la ciudad de </w:t>
      </w:r>
      <w:r w:rsidR="000F0E6B" w:rsidRPr="00AB0D5A">
        <w:rPr>
          <w:rFonts w:ascii="Georgia" w:hAnsi="Georgia"/>
          <w:szCs w:val="24"/>
          <w:lang w:val="es-419"/>
        </w:rPr>
        <w:t xml:space="preserve">Bogotá DC </w:t>
      </w:r>
      <w:r w:rsidR="00C0365A" w:rsidRPr="00AB0D5A">
        <w:rPr>
          <w:rFonts w:ascii="Georgia" w:hAnsi="Georgia"/>
          <w:szCs w:val="24"/>
        </w:rPr>
        <w:t>(Cuaderno No.1, documento No.</w:t>
      </w:r>
      <w:r w:rsidR="00B46774" w:rsidRPr="00AB0D5A">
        <w:rPr>
          <w:rFonts w:ascii="Georgia" w:hAnsi="Georgia"/>
          <w:szCs w:val="24"/>
        </w:rPr>
        <w:t>02</w:t>
      </w:r>
      <w:r w:rsidR="00C0365A" w:rsidRPr="00AB0D5A">
        <w:rPr>
          <w:rFonts w:ascii="Georgia" w:hAnsi="Georgia"/>
          <w:szCs w:val="24"/>
        </w:rPr>
        <w:t>).</w:t>
      </w:r>
    </w:p>
    <w:p w14:paraId="35E9872E" w14:textId="635DF9E2" w:rsidR="00C0365A" w:rsidRPr="00AB0D5A" w:rsidRDefault="00C0365A" w:rsidP="00AB0D5A">
      <w:pPr>
        <w:pStyle w:val="Textoindependiente"/>
        <w:spacing w:line="276" w:lineRule="auto"/>
        <w:rPr>
          <w:rFonts w:ascii="Georgia" w:hAnsi="Georgia"/>
          <w:szCs w:val="24"/>
        </w:rPr>
      </w:pPr>
    </w:p>
    <w:p w14:paraId="7AA022D6" w14:textId="77777777" w:rsidR="00785FA3" w:rsidRPr="00AB0D5A" w:rsidRDefault="00785FA3" w:rsidP="00AB0D5A">
      <w:pPr>
        <w:pStyle w:val="Textoindependiente"/>
        <w:widowControl w:val="0"/>
        <w:numPr>
          <w:ilvl w:val="0"/>
          <w:numId w:val="1"/>
        </w:numPr>
        <w:spacing w:line="276" w:lineRule="auto"/>
        <w:rPr>
          <w:rFonts w:ascii="Georgia" w:hAnsi="Georgia"/>
          <w:b/>
          <w:bCs/>
          <w:smallCaps/>
          <w:szCs w:val="24"/>
          <w:lang w:val="es-419"/>
        </w:rPr>
      </w:pPr>
      <w:r w:rsidRPr="00AB0D5A">
        <w:rPr>
          <w:rFonts w:ascii="Georgia" w:hAnsi="Georgia"/>
          <w:b/>
          <w:bCs/>
          <w:smallCaps/>
          <w:szCs w:val="24"/>
          <w:lang w:val="es-419"/>
        </w:rPr>
        <w:t>La sinopsis de la crónica procesal</w:t>
      </w:r>
    </w:p>
    <w:p w14:paraId="68B11E2F" w14:textId="77777777" w:rsidR="00953B30" w:rsidRPr="00AB0D5A" w:rsidRDefault="00953B30" w:rsidP="00AB0D5A">
      <w:pPr>
        <w:pStyle w:val="Textoindependiente"/>
        <w:widowControl w:val="0"/>
        <w:spacing w:line="276" w:lineRule="auto"/>
        <w:rPr>
          <w:rFonts w:ascii="Georgia" w:hAnsi="Georgia"/>
          <w:szCs w:val="24"/>
          <w:lang w:val="es-CO"/>
        </w:rPr>
      </w:pPr>
    </w:p>
    <w:p w14:paraId="088684B3" w14:textId="50188AFA" w:rsidR="001F15DE" w:rsidRPr="00AB0D5A" w:rsidRDefault="00B46774" w:rsidP="00AB0D5A">
      <w:pPr>
        <w:pStyle w:val="Textoindependiente"/>
        <w:widowControl w:val="0"/>
        <w:spacing w:line="276" w:lineRule="auto"/>
        <w:rPr>
          <w:rFonts w:ascii="Georgia" w:hAnsi="Georgia"/>
          <w:szCs w:val="24"/>
          <w:lang w:val="es-CO"/>
        </w:rPr>
      </w:pPr>
      <w:r w:rsidRPr="00AB0D5A">
        <w:rPr>
          <w:rFonts w:ascii="Georgia" w:hAnsi="Georgia"/>
          <w:szCs w:val="24"/>
          <w:lang w:val="es-CO"/>
        </w:rPr>
        <w:t xml:space="preserve">La </w:t>
      </w:r>
      <w:r w:rsidR="00B84E4A" w:rsidRPr="00AB0D5A">
        <w:rPr>
          <w:rFonts w:ascii="Georgia" w:hAnsi="Georgia"/>
          <w:i/>
          <w:iCs/>
          <w:szCs w:val="24"/>
          <w:lang w:val="es-CO"/>
        </w:rPr>
        <w:t>a quo</w:t>
      </w:r>
      <w:r w:rsidR="00B84E4A" w:rsidRPr="00AB0D5A">
        <w:rPr>
          <w:rFonts w:ascii="Georgia" w:hAnsi="Georgia"/>
          <w:szCs w:val="24"/>
          <w:lang w:val="es-CO"/>
        </w:rPr>
        <w:t xml:space="preserve"> con auto del </w:t>
      </w:r>
      <w:r w:rsidR="00F905C4" w:rsidRPr="00AB0D5A">
        <w:rPr>
          <w:rFonts w:ascii="Georgia" w:hAnsi="Georgia"/>
          <w:szCs w:val="24"/>
          <w:lang w:val="es-CO"/>
        </w:rPr>
        <w:t>14</w:t>
      </w:r>
      <w:r w:rsidRPr="00AB0D5A">
        <w:rPr>
          <w:rFonts w:ascii="Georgia" w:hAnsi="Georgia"/>
          <w:szCs w:val="24"/>
          <w:lang w:val="es-CO"/>
        </w:rPr>
        <w:t>-</w:t>
      </w:r>
      <w:r w:rsidR="00F905C4" w:rsidRPr="00AB0D5A">
        <w:rPr>
          <w:rFonts w:ascii="Georgia" w:hAnsi="Georgia"/>
          <w:szCs w:val="24"/>
          <w:lang w:val="es-CO"/>
        </w:rPr>
        <w:t>05</w:t>
      </w:r>
      <w:r w:rsidRPr="00AB0D5A">
        <w:rPr>
          <w:rFonts w:ascii="Georgia" w:hAnsi="Georgia"/>
          <w:szCs w:val="24"/>
          <w:lang w:val="es-CO"/>
        </w:rPr>
        <w:t>-</w:t>
      </w:r>
      <w:r w:rsidR="00546181" w:rsidRPr="00AB0D5A">
        <w:rPr>
          <w:rFonts w:ascii="Georgia" w:hAnsi="Georgia"/>
          <w:szCs w:val="24"/>
          <w:lang w:val="es-CO"/>
        </w:rPr>
        <w:t xml:space="preserve">2021 </w:t>
      </w:r>
      <w:r w:rsidR="00785FA3" w:rsidRPr="00AB0D5A">
        <w:rPr>
          <w:rFonts w:ascii="Georgia" w:hAnsi="Georgia"/>
          <w:szCs w:val="24"/>
          <w:lang w:val="es-CO"/>
        </w:rPr>
        <w:t>admitió</w:t>
      </w:r>
      <w:r w:rsidR="00EE1567" w:rsidRPr="00AB0D5A">
        <w:rPr>
          <w:rFonts w:ascii="Georgia" w:hAnsi="Georgia"/>
          <w:szCs w:val="24"/>
          <w:lang w:val="es-CO"/>
        </w:rPr>
        <w:t xml:space="preserve"> </w:t>
      </w:r>
      <w:r w:rsidR="00B84E4A" w:rsidRPr="00AB0D5A">
        <w:rPr>
          <w:rFonts w:ascii="Georgia" w:hAnsi="Georgia"/>
          <w:szCs w:val="24"/>
          <w:lang w:val="es-CO"/>
        </w:rPr>
        <w:t xml:space="preserve">la tutela </w:t>
      </w:r>
      <w:r w:rsidR="00785FA3" w:rsidRPr="00AB0D5A">
        <w:rPr>
          <w:rFonts w:ascii="Georgia" w:hAnsi="Georgia"/>
          <w:szCs w:val="24"/>
          <w:lang w:val="es-CO"/>
        </w:rPr>
        <w:t>(</w:t>
      </w:r>
      <w:r w:rsidR="00B84E4A" w:rsidRPr="00AB0D5A">
        <w:rPr>
          <w:rFonts w:ascii="Georgia" w:hAnsi="Georgia"/>
          <w:szCs w:val="24"/>
          <w:lang w:val="es-CO"/>
        </w:rPr>
        <w:t xml:space="preserve">Cuaderno No.1, documento </w:t>
      </w:r>
      <w:r w:rsidR="00C0365A" w:rsidRPr="00AB0D5A">
        <w:rPr>
          <w:rFonts w:ascii="Georgia" w:hAnsi="Georgia"/>
          <w:szCs w:val="24"/>
          <w:lang w:val="es-CO"/>
        </w:rPr>
        <w:t>No.</w:t>
      </w:r>
      <w:r w:rsidR="00F905C4" w:rsidRPr="00AB0D5A">
        <w:rPr>
          <w:rFonts w:ascii="Georgia" w:hAnsi="Georgia"/>
          <w:szCs w:val="24"/>
          <w:lang w:val="es-CO"/>
        </w:rPr>
        <w:t>04</w:t>
      </w:r>
      <w:r w:rsidR="00795F6C" w:rsidRPr="00AB0D5A">
        <w:rPr>
          <w:rFonts w:ascii="Georgia" w:hAnsi="Georgia"/>
          <w:szCs w:val="24"/>
          <w:lang w:val="es-CO"/>
        </w:rPr>
        <w:t>)</w:t>
      </w:r>
      <w:r w:rsidR="00A55DDE" w:rsidRPr="00AB0D5A">
        <w:rPr>
          <w:rFonts w:ascii="Georgia" w:hAnsi="Georgia"/>
          <w:szCs w:val="24"/>
          <w:lang w:val="es-CO"/>
        </w:rPr>
        <w:t>;</w:t>
      </w:r>
      <w:r w:rsidR="002D033F" w:rsidRPr="00AB0D5A">
        <w:rPr>
          <w:rFonts w:ascii="Georgia" w:hAnsi="Georgia"/>
          <w:szCs w:val="24"/>
          <w:lang w:val="es-CO"/>
        </w:rPr>
        <w:t xml:space="preserve"> e</w:t>
      </w:r>
      <w:r w:rsidR="00785FA3" w:rsidRPr="00AB0D5A">
        <w:rPr>
          <w:rFonts w:ascii="Georgia" w:hAnsi="Georgia"/>
          <w:szCs w:val="24"/>
          <w:lang w:val="es-CO"/>
        </w:rPr>
        <w:t xml:space="preserve">l </w:t>
      </w:r>
      <w:r w:rsidR="00F905C4" w:rsidRPr="00AB0D5A">
        <w:rPr>
          <w:rFonts w:ascii="Georgia" w:hAnsi="Georgia"/>
          <w:szCs w:val="24"/>
          <w:lang w:val="es-CO"/>
        </w:rPr>
        <w:t>27</w:t>
      </w:r>
      <w:r w:rsidR="00EE1567" w:rsidRPr="00AB0D5A">
        <w:rPr>
          <w:rFonts w:ascii="Georgia" w:hAnsi="Georgia"/>
          <w:szCs w:val="24"/>
          <w:lang w:val="es-CO"/>
        </w:rPr>
        <w:t>-</w:t>
      </w:r>
      <w:r w:rsidR="00F905C4" w:rsidRPr="00AB0D5A">
        <w:rPr>
          <w:rFonts w:ascii="Georgia" w:hAnsi="Georgia"/>
          <w:szCs w:val="24"/>
          <w:lang w:val="es-CO"/>
        </w:rPr>
        <w:t>05</w:t>
      </w:r>
      <w:r w:rsidR="00EE1567" w:rsidRPr="00AB0D5A">
        <w:rPr>
          <w:rFonts w:ascii="Georgia" w:hAnsi="Georgia"/>
          <w:szCs w:val="24"/>
          <w:lang w:val="es-CO"/>
        </w:rPr>
        <w:t>-</w:t>
      </w:r>
      <w:r w:rsidR="00731044" w:rsidRPr="00AB0D5A">
        <w:rPr>
          <w:rFonts w:ascii="Georgia" w:hAnsi="Georgia"/>
          <w:szCs w:val="24"/>
          <w:lang w:val="es-CO"/>
        </w:rPr>
        <w:t xml:space="preserve">2021 </w:t>
      </w:r>
      <w:r w:rsidR="00785FA3" w:rsidRPr="00AB0D5A">
        <w:rPr>
          <w:rFonts w:ascii="Georgia" w:hAnsi="Georgia"/>
          <w:szCs w:val="24"/>
          <w:lang w:val="es-419"/>
        </w:rPr>
        <w:t xml:space="preserve">profirió </w:t>
      </w:r>
      <w:r w:rsidR="00EE1567" w:rsidRPr="00AB0D5A">
        <w:rPr>
          <w:rFonts w:ascii="Georgia" w:hAnsi="Georgia"/>
          <w:szCs w:val="24"/>
          <w:lang w:val="es-419"/>
        </w:rPr>
        <w:t xml:space="preserve">la </w:t>
      </w:r>
      <w:r w:rsidR="00C2660D" w:rsidRPr="00AB0D5A">
        <w:rPr>
          <w:rFonts w:ascii="Georgia" w:hAnsi="Georgia"/>
          <w:szCs w:val="24"/>
          <w:lang w:val="es-CO"/>
        </w:rPr>
        <w:t>sentencia (</w:t>
      </w:r>
      <w:r w:rsidR="002D033F" w:rsidRPr="00AB0D5A">
        <w:rPr>
          <w:rFonts w:ascii="Georgia" w:hAnsi="Georgia"/>
          <w:szCs w:val="24"/>
          <w:lang w:val="es-CO"/>
        </w:rPr>
        <w:t>Cuaderno No.1, documento No.</w:t>
      </w:r>
      <w:r w:rsidR="00F905C4" w:rsidRPr="00AB0D5A">
        <w:rPr>
          <w:rFonts w:ascii="Georgia" w:hAnsi="Georgia"/>
          <w:szCs w:val="24"/>
          <w:lang w:val="es-CO"/>
        </w:rPr>
        <w:t>07</w:t>
      </w:r>
      <w:r w:rsidR="00C2660D" w:rsidRPr="00AB0D5A">
        <w:rPr>
          <w:rFonts w:ascii="Georgia" w:hAnsi="Georgia"/>
          <w:szCs w:val="24"/>
          <w:lang w:val="es-CO"/>
        </w:rPr>
        <w:t>)</w:t>
      </w:r>
      <w:r w:rsidR="002D033F" w:rsidRPr="00AB0D5A">
        <w:rPr>
          <w:rFonts w:ascii="Georgia" w:hAnsi="Georgia"/>
          <w:szCs w:val="24"/>
          <w:lang w:val="es-CO"/>
        </w:rPr>
        <w:t>;</w:t>
      </w:r>
      <w:r w:rsidR="00A55DDE" w:rsidRPr="00AB0D5A">
        <w:rPr>
          <w:rFonts w:ascii="Georgia" w:hAnsi="Georgia"/>
          <w:szCs w:val="24"/>
          <w:lang w:val="es-CO"/>
        </w:rPr>
        <w:t xml:space="preserve"> </w:t>
      </w:r>
      <w:r w:rsidR="002D033F" w:rsidRPr="00AB0D5A">
        <w:rPr>
          <w:rFonts w:ascii="Georgia" w:hAnsi="Georgia"/>
          <w:szCs w:val="24"/>
          <w:lang w:val="es-CO"/>
        </w:rPr>
        <w:t>y</w:t>
      </w:r>
      <w:r w:rsidR="00785FA3" w:rsidRPr="00AB0D5A">
        <w:rPr>
          <w:rFonts w:ascii="Georgia" w:hAnsi="Georgia"/>
          <w:szCs w:val="24"/>
          <w:lang w:val="es-419"/>
        </w:rPr>
        <w:t xml:space="preserve">, el </w:t>
      </w:r>
      <w:r w:rsidR="00F905C4" w:rsidRPr="00AB0D5A">
        <w:rPr>
          <w:rFonts w:ascii="Georgia" w:hAnsi="Georgia"/>
          <w:szCs w:val="24"/>
          <w:lang w:val="es-CO"/>
        </w:rPr>
        <w:t xml:space="preserve">03-06-2021 </w:t>
      </w:r>
      <w:r w:rsidR="00785FA3" w:rsidRPr="00AB0D5A">
        <w:rPr>
          <w:rFonts w:ascii="Georgia" w:hAnsi="Georgia"/>
          <w:szCs w:val="24"/>
          <w:lang w:val="es-419"/>
        </w:rPr>
        <w:t xml:space="preserve">concedió la impugnación </w:t>
      </w:r>
      <w:r w:rsidR="002D033F" w:rsidRPr="00AB0D5A">
        <w:rPr>
          <w:rFonts w:ascii="Georgia" w:hAnsi="Georgia"/>
          <w:szCs w:val="24"/>
          <w:lang w:val="es-419"/>
        </w:rPr>
        <w:t>(Cuaderno No.1, documento No.</w:t>
      </w:r>
      <w:r w:rsidR="00F905C4" w:rsidRPr="00AB0D5A">
        <w:rPr>
          <w:rFonts w:ascii="Georgia" w:hAnsi="Georgia"/>
          <w:szCs w:val="24"/>
          <w:lang w:val="es-419"/>
        </w:rPr>
        <w:t>11</w:t>
      </w:r>
      <w:r w:rsidR="002D033F" w:rsidRPr="00AB0D5A">
        <w:rPr>
          <w:rFonts w:ascii="Georgia" w:hAnsi="Georgia"/>
          <w:szCs w:val="24"/>
          <w:lang w:val="es-419"/>
        </w:rPr>
        <w:t>).</w:t>
      </w:r>
      <w:r w:rsidR="00F905C4" w:rsidRPr="00AB0D5A">
        <w:rPr>
          <w:rFonts w:ascii="Georgia" w:hAnsi="Georgia"/>
          <w:szCs w:val="24"/>
          <w:lang w:val="es-419"/>
        </w:rPr>
        <w:t xml:space="preserve"> En esta sede con auto del 02-07-2021 se decretaron pruebas de oficio y el actor resolvió el cuestionario de </w:t>
      </w:r>
      <w:r w:rsidR="69492575" w:rsidRPr="00AB0D5A">
        <w:rPr>
          <w:rFonts w:ascii="Georgia" w:hAnsi="Georgia"/>
          <w:szCs w:val="24"/>
          <w:lang w:val="es-419"/>
        </w:rPr>
        <w:t>est</w:t>
      </w:r>
      <w:r w:rsidR="00F905C4" w:rsidRPr="00AB0D5A">
        <w:rPr>
          <w:rFonts w:ascii="Georgia" w:hAnsi="Georgia"/>
          <w:szCs w:val="24"/>
          <w:lang w:val="es-419"/>
        </w:rPr>
        <w:t>a Sala</w:t>
      </w:r>
      <w:r w:rsidR="002C53E4" w:rsidRPr="00AB0D5A">
        <w:rPr>
          <w:rFonts w:ascii="Georgia" w:hAnsi="Georgia"/>
          <w:szCs w:val="24"/>
          <w:lang w:val="es-419"/>
        </w:rPr>
        <w:t xml:space="preserve"> </w:t>
      </w:r>
      <w:r w:rsidR="00F905C4" w:rsidRPr="00AB0D5A">
        <w:rPr>
          <w:rFonts w:ascii="Georgia" w:hAnsi="Georgia"/>
          <w:szCs w:val="24"/>
          <w:lang w:val="es-419"/>
        </w:rPr>
        <w:t>(Cuaderno No.1, documentos Nos.06, 10 y 11).</w:t>
      </w:r>
    </w:p>
    <w:p w14:paraId="2B9D8D63" w14:textId="77777777" w:rsidR="00785FA3" w:rsidRPr="00AB0D5A" w:rsidRDefault="00785FA3" w:rsidP="00AB0D5A">
      <w:pPr>
        <w:pStyle w:val="Textoindependiente"/>
        <w:widowControl w:val="0"/>
        <w:spacing w:line="276" w:lineRule="auto"/>
        <w:rPr>
          <w:rFonts w:ascii="Georgia" w:hAnsi="Georgia"/>
          <w:szCs w:val="24"/>
          <w:lang w:val="es-419"/>
        </w:rPr>
      </w:pPr>
    </w:p>
    <w:p w14:paraId="4D73C817" w14:textId="3840500F" w:rsidR="00F12C58" w:rsidRPr="00AB0D5A" w:rsidRDefault="00785FA3" w:rsidP="00AB0D5A">
      <w:pPr>
        <w:pStyle w:val="Textoindependiente"/>
        <w:widowControl w:val="0"/>
        <w:spacing w:line="276" w:lineRule="auto"/>
        <w:rPr>
          <w:rFonts w:ascii="Georgia" w:hAnsi="Georgia"/>
          <w:szCs w:val="24"/>
          <w:lang w:val="es-CO"/>
        </w:rPr>
      </w:pPr>
      <w:r w:rsidRPr="00AB0D5A">
        <w:rPr>
          <w:rFonts w:ascii="Georgia" w:hAnsi="Georgia"/>
          <w:szCs w:val="24"/>
          <w:lang w:val="es-419"/>
        </w:rPr>
        <w:t xml:space="preserve">El fallo </w:t>
      </w:r>
      <w:r w:rsidR="01679CC4" w:rsidRPr="00AB0D5A">
        <w:rPr>
          <w:rFonts w:ascii="Georgia" w:hAnsi="Georgia"/>
          <w:szCs w:val="24"/>
          <w:lang w:val="es-419"/>
        </w:rPr>
        <w:t xml:space="preserve">tuteló </w:t>
      </w:r>
      <w:r w:rsidR="00A55DDE" w:rsidRPr="00AB0D5A">
        <w:rPr>
          <w:rFonts w:ascii="Georgia" w:hAnsi="Georgia"/>
          <w:szCs w:val="24"/>
          <w:lang w:val="es-419"/>
        </w:rPr>
        <w:t xml:space="preserve">y ordenó </w:t>
      </w:r>
      <w:r w:rsidR="00F12C58" w:rsidRPr="00AB0D5A">
        <w:rPr>
          <w:rFonts w:ascii="Georgia" w:hAnsi="Georgia"/>
          <w:szCs w:val="24"/>
          <w:lang w:val="es-419"/>
        </w:rPr>
        <w:t>suministrar el</w:t>
      </w:r>
      <w:r w:rsidR="00A55DDE" w:rsidRPr="00AB0D5A">
        <w:rPr>
          <w:rFonts w:ascii="Georgia" w:hAnsi="Georgia"/>
          <w:szCs w:val="24"/>
          <w:lang w:val="es-419"/>
        </w:rPr>
        <w:t xml:space="preserve"> transporte y viáticos con acompañante. Razonó que</w:t>
      </w:r>
      <w:r w:rsidR="00F12C58" w:rsidRPr="00AB0D5A">
        <w:rPr>
          <w:rFonts w:ascii="Georgia" w:hAnsi="Georgia"/>
          <w:szCs w:val="24"/>
          <w:lang w:val="es-419"/>
        </w:rPr>
        <w:t xml:space="preserve"> el actor requiere especial protección por tratarse de un </w:t>
      </w:r>
      <w:r w:rsidR="00F12C58" w:rsidRPr="00AB0D5A">
        <w:rPr>
          <w:rFonts w:ascii="Georgia" w:hAnsi="Georgia"/>
          <w:i/>
          <w:iCs/>
          <w:szCs w:val="24"/>
          <w:lang w:val="es-419"/>
        </w:rPr>
        <w:t>“adulto mayor”</w:t>
      </w:r>
      <w:r w:rsidR="00F12C58" w:rsidRPr="00AB0D5A">
        <w:rPr>
          <w:rFonts w:ascii="Georgia" w:hAnsi="Georgia"/>
          <w:szCs w:val="24"/>
          <w:lang w:val="es-419"/>
        </w:rPr>
        <w:t xml:space="preserve"> (Sic) (78 años) y el servicio est</w:t>
      </w:r>
      <w:r w:rsidR="510C6873" w:rsidRPr="00AB0D5A">
        <w:rPr>
          <w:rFonts w:ascii="Georgia" w:hAnsi="Georgia"/>
          <w:szCs w:val="24"/>
          <w:lang w:val="es-419"/>
        </w:rPr>
        <w:t>ar</w:t>
      </w:r>
      <w:r w:rsidR="00F12C58" w:rsidRPr="00AB0D5A">
        <w:rPr>
          <w:rFonts w:ascii="Georgia" w:hAnsi="Georgia"/>
          <w:szCs w:val="24"/>
          <w:lang w:val="es-419"/>
        </w:rPr>
        <w:t xml:space="preserve"> excluido del plan de beneficios, según la CC (T-259 de 2019 y T-446 de 2018). Entonces, como carece de capacidad económica y la EPS no probó en contrario, </w:t>
      </w:r>
      <w:r w:rsidR="2346F7D5" w:rsidRPr="00AB0D5A">
        <w:rPr>
          <w:rFonts w:ascii="Georgia" w:hAnsi="Georgia"/>
          <w:szCs w:val="24"/>
          <w:lang w:val="es-419"/>
        </w:rPr>
        <w:t xml:space="preserve">debe </w:t>
      </w:r>
      <w:r w:rsidR="00F12C58" w:rsidRPr="00AB0D5A">
        <w:rPr>
          <w:rFonts w:ascii="Georgia" w:hAnsi="Georgia"/>
          <w:szCs w:val="24"/>
          <w:lang w:val="es-419"/>
        </w:rPr>
        <w:t xml:space="preserve">proveerlo. </w:t>
      </w:r>
      <w:r w:rsidR="001B2328" w:rsidRPr="00AB0D5A">
        <w:rPr>
          <w:rFonts w:ascii="Georgia" w:hAnsi="Georgia"/>
          <w:szCs w:val="24"/>
          <w:lang w:val="es-419"/>
        </w:rPr>
        <w:t xml:space="preserve">Finalmente, negó </w:t>
      </w:r>
      <w:r w:rsidR="00F12C58" w:rsidRPr="00AB0D5A">
        <w:rPr>
          <w:rFonts w:ascii="Georgia" w:hAnsi="Georgia"/>
          <w:szCs w:val="24"/>
          <w:lang w:val="es-419"/>
        </w:rPr>
        <w:t xml:space="preserve">el recobro ante el ADRES </w:t>
      </w:r>
      <w:r w:rsidR="00A830DF" w:rsidRPr="00AB0D5A">
        <w:rPr>
          <w:rFonts w:ascii="Georgia" w:hAnsi="Georgia"/>
          <w:szCs w:val="24"/>
          <w:lang w:val="es-CO"/>
        </w:rPr>
        <w:t>(Cuaderno No.1, documento No.</w:t>
      </w:r>
      <w:r w:rsidR="00F12C58" w:rsidRPr="00AB0D5A">
        <w:rPr>
          <w:rFonts w:ascii="Georgia" w:hAnsi="Georgia"/>
          <w:szCs w:val="24"/>
          <w:lang w:val="es-CO"/>
        </w:rPr>
        <w:t>07</w:t>
      </w:r>
      <w:r w:rsidR="00A830DF" w:rsidRPr="00AB0D5A">
        <w:rPr>
          <w:rFonts w:ascii="Georgia" w:hAnsi="Georgia"/>
          <w:szCs w:val="24"/>
          <w:lang w:val="es-CO"/>
        </w:rPr>
        <w:t xml:space="preserve">). </w:t>
      </w:r>
    </w:p>
    <w:p w14:paraId="6158CB7C" w14:textId="77777777" w:rsidR="00F12C58" w:rsidRPr="00AB0D5A" w:rsidRDefault="00F12C58" w:rsidP="00AB0D5A">
      <w:pPr>
        <w:pStyle w:val="Textoindependiente"/>
        <w:widowControl w:val="0"/>
        <w:spacing w:line="276" w:lineRule="auto"/>
        <w:rPr>
          <w:rFonts w:ascii="Georgia" w:hAnsi="Georgia"/>
          <w:szCs w:val="24"/>
          <w:lang w:val="es-CO"/>
        </w:rPr>
      </w:pPr>
    </w:p>
    <w:p w14:paraId="48AA9603" w14:textId="3808C986" w:rsidR="00F44B32" w:rsidRPr="00AB0D5A" w:rsidRDefault="400C81F5" w:rsidP="00AB0D5A">
      <w:pPr>
        <w:pStyle w:val="Textoindependiente"/>
        <w:widowControl w:val="0"/>
        <w:spacing w:line="276" w:lineRule="auto"/>
        <w:rPr>
          <w:rFonts w:ascii="Georgia" w:hAnsi="Georgia"/>
          <w:szCs w:val="24"/>
          <w:lang w:val="es-CO"/>
        </w:rPr>
      </w:pPr>
      <w:r w:rsidRPr="00AB0D5A">
        <w:rPr>
          <w:rFonts w:ascii="Georgia" w:hAnsi="Georgia"/>
          <w:szCs w:val="24"/>
          <w:lang w:val="es-CO"/>
        </w:rPr>
        <w:t>La Nueva EPS</w:t>
      </w:r>
      <w:r w:rsidR="000F5F1F" w:rsidRPr="00AB0D5A">
        <w:rPr>
          <w:rFonts w:ascii="Georgia" w:hAnsi="Georgia"/>
          <w:szCs w:val="24"/>
          <w:lang w:val="es-CO"/>
        </w:rPr>
        <w:t xml:space="preserve"> SA</w:t>
      </w:r>
      <w:r w:rsidRPr="00AB0D5A">
        <w:rPr>
          <w:rFonts w:ascii="Georgia" w:hAnsi="Georgia"/>
          <w:szCs w:val="24"/>
          <w:lang w:val="es-CO"/>
        </w:rPr>
        <w:t xml:space="preserve"> </w:t>
      </w:r>
      <w:r w:rsidR="00F12C58" w:rsidRPr="00AB0D5A">
        <w:rPr>
          <w:rFonts w:ascii="Georgia" w:hAnsi="Georgia"/>
          <w:szCs w:val="24"/>
          <w:lang w:val="es-CO"/>
        </w:rPr>
        <w:t xml:space="preserve">alegó que no se trata de una movilización de urgencia ni de la remisión entre IPS, sino de un traslado de paciente ambulatorio, </w:t>
      </w:r>
      <w:r w:rsidR="000F5F1F" w:rsidRPr="00AB0D5A">
        <w:rPr>
          <w:rFonts w:ascii="Georgia" w:hAnsi="Georgia"/>
          <w:szCs w:val="24"/>
          <w:lang w:val="es-CO"/>
        </w:rPr>
        <w:t xml:space="preserve">entonces, </w:t>
      </w:r>
      <w:r w:rsidR="00F12C58" w:rsidRPr="00AB0D5A">
        <w:rPr>
          <w:rFonts w:ascii="Georgia" w:hAnsi="Georgia"/>
          <w:szCs w:val="24"/>
          <w:lang w:val="es-CO"/>
        </w:rPr>
        <w:t>el servicio de transporte está excluido del plan de beneficios y no está obligada a suministrarlo (</w:t>
      </w:r>
      <w:r w:rsidR="000F5F1F" w:rsidRPr="00AB0D5A">
        <w:rPr>
          <w:rFonts w:ascii="Georgia" w:hAnsi="Georgia"/>
          <w:szCs w:val="24"/>
          <w:lang w:val="es-CO"/>
        </w:rPr>
        <w:t xml:space="preserve">Art.2º, parágrafo, </w:t>
      </w:r>
      <w:r w:rsidR="00F12C58" w:rsidRPr="00AB0D5A">
        <w:rPr>
          <w:rFonts w:ascii="Georgia" w:hAnsi="Georgia"/>
          <w:szCs w:val="24"/>
          <w:lang w:val="es-CO"/>
        </w:rPr>
        <w:t>Resolución 5261/1994</w:t>
      </w:r>
      <w:r w:rsidR="000F5F1F" w:rsidRPr="00AB0D5A">
        <w:rPr>
          <w:rFonts w:ascii="Georgia" w:hAnsi="Georgia"/>
          <w:szCs w:val="24"/>
          <w:lang w:val="es-CO"/>
        </w:rPr>
        <w:t xml:space="preserve">). La tutela atañe a derechos económicos y es improcedente. Pidió revocar el fallo o en defecto autorizar el recobro ante el ADRES </w:t>
      </w:r>
      <w:r w:rsidRPr="00AB0D5A">
        <w:rPr>
          <w:rFonts w:ascii="Georgia" w:hAnsi="Georgia"/>
          <w:szCs w:val="24"/>
          <w:lang w:val="es-CO"/>
        </w:rPr>
        <w:t>(Cuaderno No.1, documento No.</w:t>
      </w:r>
      <w:r w:rsidR="000F5F1F" w:rsidRPr="00AB0D5A">
        <w:rPr>
          <w:rFonts w:ascii="Georgia" w:hAnsi="Georgia"/>
          <w:szCs w:val="24"/>
          <w:lang w:val="es-CO"/>
        </w:rPr>
        <w:t>10</w:t>
      </w:r>
      <w:r w:rsidRPr="00AB0D5A">
        <w:rPr>
          <w:rFonts w:ascii="Georgia" w:hAnsi="Georgia"/>
          <w:szCs w:val="24"/>
          <w:lang w:val="es-CO"/>
        </w:rPr>
        <w:t>).</w:t>
      </w:r>
    </w:p>
    <w:p w14:paraId="315B6285" w14:textId="61794ECC" w:rsidR="00A830DF" w:rsidRPr="00AB0D5A" w:rsidRDefault="00A830DF" w:rsidP="00AB0D5A">
      <w:pPr>
        <w:pStyle w:val="Textoindependiente"/>
        <w:widowControl w:val="0"/>
        <w:spacing w:line="276" w:lineRule="auto"/>
        <w:rPr>
          <w:rFonts w:ascii="Georgia" w:hAnsi="Georgia"/>
          <w:szCs w:val="24"/>
          <w:lang w:val="es-CO"/>
        </w:rPr>
      </w:pPr>
    </w:p>
    <w:p w14:paraId="2D74F6EE" w14:textId="77777777" w:rsidR="00785FA3" w:rsidRPr="00AB0D5A" w:rsidRDefault="00785FA3" w:rsidP="00AB0D5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AB0D5A">
        <w:rPr>
          <w:rFonts w:ascii="Georgia" w:hAnsi="Georgia"/>
          <w:b/>
          <w:bCs/>
          <w:smallCaps/>
          <w:szCs w:val="24"/>
          <w:lang w:val="es-419"/>
        </w:rPr>
        <w:t>La fundamentación jurídica para resolver</w:t>
      </w:r>
    </w:p>
    <w:p w14:paraId="7B31D5A2" w14:textId="77777777" w:rsidR="00785FA3" w:rsidRPr="00AB0D5A" w:rsidRDefault="00785FA3" w:rsidP="00AB0D5A">
      <w:pPr>
        <w:pStyle w:val="Textoindependiente"/>
        <w:widowControl w:val="0"/>
        <w:spacing w:line="276" w:lineRule="auto"/>
        <w:ind w:left="708"/>
        <w:rPr>
          <w:rFonts w:ascii="Georgia" w:hAnsi="Georgia"/>
          <w:smallCaps/>
          <w:szCs w:val="24"/>
          <w:lang w:val="es-419"/>
        </w:rPr>
      </w:pPr>
    </w:p>
    <w:p w14:paraId="41DDAB80" w14:textId="3BD800CF" w:rsidR="00785FA3" w:rsidRPr="00AB0D5A" w:rsidRDefault="00785FA3" w:rsidP="00AB0D5A">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AB0D5A">
        <w:rPr>
          <w:rFonts w:ascii="Georgia" w:hAnsi="Georgia"/>
          <w:i/>
          <w:iCs/>
          <w:smallCaps/>
          <w:szCs w:val="24"/>
          <w:lang w:val="es-419"/>
        </w:rPr>
        <w:t>La competencia funcional</w:t>
      </w:r>
      <w:r w:rsidRPr="00AB0D5A">
        <w:rPr>
          <w:rFonts w:ascii="Georgia" w:hAnsi="Georgia"/>
          <w:smallCaps/>
          <w:szCs w:val="24"/>
          <w:lang w:val="es-419"/>
        </w:rPr>
        <w:t xml:space="preserve">: </w:t>
      </w:r>
      <w:r w:rsidR="005C2817" w:rsidRPr="00AB0D5A">
        <w:rPr>
          <w:rFonts w:ascii="Georgia" w:hAnsi="Georgia" w:cs="Arial"/>
          <w:szCs w:val="24"/>
          <w:lang w:val="es-CO"/>
        </w:rPr>
        <w:t xml:space="preserve">La tiene esta Sala, por ser la superiora jerárquica del Despacho cognoscente </w:t>
      </w:r>
      <w:r w:rsidR="005C2817" w:rsidRPr="00AB0D5A">
        <w:rPr>
          <w:rFonts w:ascii="Georgia" w:hAnsi="Georgia"/>
          <w:szCs w:val="24"/>
        </w:rPr>
        <w:t>(Art. 32, D.2591/1991)</w:t>
      </w:r>
      <w:r w:rsidR="005C2817" w:rsidRPr="00AB0D5A">
        <w:rPr>
          <w:rFonts w:ascii="Georgia" w:hAnsi="Georgia" w:cs="Arial"/>
          <w:szCs w:val="24"/>
          <w:lang w:val="es-CO"/>
        </w:rPr>
        <w:t>.</w:t>
      </w:r>
    </w:p>
    <w:p w14:paraId="70092CE2" w14:textId="77777777" w:rsidR="00785FA3" w:rsidRPr="00AB0D5A" w:rsidRDefault="00785FA3" w:rsidP="00AB0D5A">
      <w:pPr>
        <w:pStyle w:val="Textoindependiente"/>
        <w:widowControl w:val="0"/>
        <w:spacing w:line="276" w:lineRule="auto"/>
        <w:ind w:left="720"/>
        <w:rPr>
          <w:rFonts w:ascii="Georgia" w:hAnsi="Georgia"/>
          <w:szCs w:val="24"/>
          <w:lang w:val="es-419"/>
        </w:rPr>
      </w:pPr>
    </w:p>
    <w:p w14:paraId="0E0EB417" w14:textId="74093AC1" w:rsidR="005C2817" w:rsidRPr="00AB0D5A" w:rsidRDefault="00785FA3" w:rsidP="00AB0D5A">
      <w:pPr>
        <w:pStyle w:val="Textoindependiente"/>
        <w:widowControl w:val="0"/>
        <w:numPr>
          <w:ilvl w:val="1"/>
          <w:numId w:val="9"/>
        </w:numPr>
        <w:tabs>
          <w:tab w:val="clear" w:pos="708"/>
          <w:tab w:val="left" w:pos="709"/>
        </w:tabs>
        <w:spacing w:line="276" w:lineRule="auto"/>
        <w:ind w:left="0" w:firstLine="0"/>
        <w:rPr>
          <w:rFonts w:ascii="Georgia" w:hAnsi="Georgia"/>
          <w:szCs w:val="24"/>
          <w:lang w:val="es-419"/>
        </w:rPr>
      </w:pPr>
      <w:r w:rsidRPr="00AB0D5A">
        <w:rPr>
          <w:rFonts w:ascii="Georgia" w:hAnsi="Georgia"/>
          <w:i/>
          <w:iCs/>
          <w:smallCaps/>
          <w:szCs w:val="24"/>
          <w:lang w:val="es-419"/>
        </w:rPr>
        <w:t>El problema jurídico a resolver</w:t>
      </w:r>
      <w:r w:rsidRPr="00AB0D5A">
        <w:rPr>
          <w:rFonts w:ascii="Georgia" w:hAnsi="Georgia"/>
          <w:smallCaps/>
          <w:szCs w:val="24"/>
          <w:lang w:val="es-419"/>
        </w:rPr>
        <w:t xml:space="preserve">: </w:t>
      </w:r>
      <w:r w:rsidR="005C2817" w:rsidRPr="00AB0D5A">
        <w:rPr>
          <w:rFonts w:ascii="Georgia" w:hAnsi="Georgia"/>
          <w:szCs w:val="24"/>
          <w:lang w:val="es-419"/>
        </w:rPr>
        <w:t>¿Se debe confirmar, modificar o revocar la sentencia del Juzgado</w:t>
      </w:r>
      <w:r w:rsidR="005C2817" w:rsidRPr="00AB0D5A">
        <w:rPr>
          <w:rFonts w:ascii="Georgia" w:hAnsi="Georgia"/>
          <w:szCs w:val="24"/>
          <w:lang w:val="es-CO"/>
        </w:rPr>
        <w:t xml:space="preserve"> </w:t>
      </w:r>
      <w:r w:rsidR="00A830DF" w:rsidRPr="00AB0D5A">
        <w:rPr>
          <w:rFonts w:ascii="Georgia" w:hAnsi="Georgia"/>
          <w:szCs w:val="24"/>
          <w:lang w:val="es-CO"/>
        </w:rPr>
        <w:t xml:space="preserve">Civil del Circuito de </w:t>
      </w:r>
      <w:r w:rsidR="005A28BC" w:rsidRPr="00AB0D5A">
        <w:rPr>
          <w:rFonts w:ascii="Georgia" w:hAnsi="Georgia"/>
          <w:szCs w:val="24"/>
          <w:lang w:val="es-CO"/>
        </w:rPr>
        <w:t>Santa Rosa de Cabal</w:t>
      </w:r>
      <w:r w:rsidR="005C2817" w:rsidRPr="00AB0D5A">
        <w:rPr>
          <w:rFonts w:ascii="Georgia" w:hAnsi="Georgia"/>
          <w:szCs w:val="24"/>
          <w:lang w:val="es-419"/>
        </w:rPr>
        <w:t xml:space="preserve">, según la impugnación? </w:t>
      </w:r>
    </w:p>
    <w:p w14:paraId="79633766" w14:textId="77777777" w:rsidR="00EF2AB1" w:rsidRPr="00AB0D5A" w:rsidRDefault="00EF2AB1" w:rsidP="00AB0D5A">
      <w:pPr>
        <w:pStyle w:val="Textoindependiente"/>
        <w:widowControl w:val="0"/>
        <w:tabs>
          <w:tab w:val="clear" w:pos="708"/>
        </w:tabs>
        <w:spacing w:line="276" w:lineRule="auto"/>
        <w:rPr>
          <w:rFonts w:ascii="Georgia" w:hAnsi="Georgia"/>
          <w:szCs w:val="24"/>
          <w:lang w:val="es-419"/>
        </w:rPr>
      </w:pPr>
    </w:p>
    <w:p w14:paraId="21DB274E" w14:textId="77777777" w:rsidR="00785FA3" w:rsidRPr="00AB0D5A" w:rsidRDefault="00785FA3" w:rsidP="00AB0D5A">
      <w:pPr>
        <w:pStyle w:val="Textoindependiente"/>
        <w:widowControl w:val="0"/>
        <w:numPr>
          <w:ilvl w:val="1"/>
          <w:numId w:val="9"/>
        </w:numPr>
        <w:tabs>
          <w:tab w:val="clear" w:pos="708"/>
        </w:tabs>
        <w:spacing w:line="276" w:lineRule="auto"/>
        <w:rPr>
          <w:rFonts w:ascii="Georgia" w:hAnsi="Georgia"/>
          <w:i/>
          <w:iCs/>
          <w:szCs w:val="24"/>
          <w:lang w:val="es-419"/>
        </w:rPr>
      </w:pPr>
      <w:r w:rsidRPr="00AB0D5A">
        <w:rPr>
          <w:rFonts w:ascii="Georgia" w:hAnsi="Georgia"/>
          <w:i/>
          <w:iCs/>
          <w:smallCaps/>
          <w:szCs w:val="24"/>
          <w:lang w:val="es-419"/>
        </w:rPr>
        <w:t>Los presupuestos de procedencia</w:t>
      </w:r>
    </w:p>
    <w:p w14:paraId="6F7FAF2E" w14:textId="77777777" w:rsidR="00785FA3" w:rsidRPr="00AB0D5A" w:rsidRDefault="00785FA3" w:rsidP="00AB0D5A">
      <w:pPr>
        <w:pStyle w:val="Textoindependiente"/>
        <w:widowControl w:val="0"/>
        <w:spacing w:line="276" w:lineRule="auto"/>
        <w:ind w:left="720"/>
        <w:rPr>
          <w:rFonts w:ascii="Georgia" w:hAnsi="Georgia"/>
          <w:szCs w:val="24"/>
          <w:highlight w:val="yellow"/>
          <w:lang w:val="es-419"/>
        </w:rPr>
      </w:pPr>
    </w:p>
    <w:p w14:paraId="2102A080" w14:textId="227FC72A" w:rsidR="008B6185" w:rsidRPr="00AB0D5A" w:rsidRDefault="00C1244F" w:rsidP="00AB0D5A">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zCs w:val="24"/>
        </w:rPr>
      </w:pPr>
      <w:r w:rsidRPr="00AB0D5A">
        <w:rPr>
          <w:rFonts w:ascii="Georgia" w:hAnsi="Georgia"/>
          <w:i/>
          <w:iCs/>
          <w:smallCaps/>
          <w:szCs w:val="24"/>
          <w:lang w:val="es-CO"/>
        </w:rPr>
        <w:lastRenderedPageBreak/>
        <w:t>L</w:t>
      </w:r>
      <w:r w:rsidR="00785FA3" w:rsidRPr="00AB0D5A">
        <w:rPr>
          <w:rFonts w:ascii="Georgia" w:hAnsi="Georgia"/>
          <w:i/>
          <w:iCs/>
          <w:smallCaps/>
          <w:szCs w:val="24"/>
          <w:lang w:val="es-419"/>
        </w:rPr>
        <w:t>a legitimación en la causa</w:t>
      </w:r>
      <w:r w:rsidR="00DB0CFB" w:rsidRPr="00AB0D5A">
        <w:rPr>
          <w:rFonts w:ascii="Georgia" w:hAnsi="Georgia"/>
          <w:smallCaps/>
          <w:szCs w:val="24"/>
          <w:lang w:val="es-419"/>
        </w:rPr>
        <w:t xml:space="preserve">. </w:t>
      </w:r>
      <w:r w:rsidR="005C2817" w:rsidRPr="00AB0D5A">
        <w:rPr>
          <w:rFonts w:ascii="Georgia" w:hAnsi="Georgia"/>
          <w:szCs w:val="24"/>
        </w:rPr>
        <w:t xml:space="preserve">Por activa, </w:t>
      </w:r>
      <w:r w:rsidR="005A28BC" w:rsidRPr="00AB0D5A">
        <w:rPr>
          <w:rFonts w:ascii="Georgia" w:hAnsi="Georgia"/>
          <w:szCs w:val="24"/>
        </w:rPr>
        <w:t xml:space="preserve">el actor </w:t>
      </w:r>
      <w:r w:rsidR="005C2817" w:rsidRPr="00AB0D5A">
        <w:rPr>
          <w:rFonts w:ascii="Georgia" w:hAnsi="Georgia"/>
          <w:szCs w:val="24"/>
        </w:rPr>
        <w:t xml:space="preserve">por </w:t>
      </w:r>
      <w:r w:rsidR="005A28BC" w:rsidRPr="00AB0D5A">
        <w:rPr>
          <w:rFonts w:ascii="Georgia" w:hAnsi="Georgia"/>
          <w:szCs w:val="24"/>
        </w:rPr>
        <w:t>estar afiliado a la EPS accionada</w:t>
      </w:r>
      <w:r w:rsidR="00EF2AB1" w:rsidRPr="00AB0D5A">
        <w:rPr>
          <w:rFonts w:ascii="Georgia" w:hAnsi="Georgia"/>
          <w:szCs w:val="24"/>
        </w:rPr>
        <w:t>,</w:t>
      </w:r>
      <w:r w:rsidR="005A28BC" w:rsidRPr="00AB0D5A">
        <w:rPr>
          <w:rFonts w:ascii="Georgia" w:hAnsi="Georgia"/>
          <w:szCs w:val="24"/>
        </w:rPr>
        <w:t xml:space="preserve"> </w:t>
      </w:r>
      <w:r w:rsidR="00EF2AB1" w:rsidRPr="00AB0D5A">
        <w:rPr>
          <w:rFonts w:ascii="Georgia" w:hAnsi="Georgia"/>
          <w:szCs w:val="24"/>
        </w:rPr>
        <w:t xml:space="preserve">en </w:t>
      </w:r>
      <w:r w:rsidR="005A28BC" w:rsidRPr="00AB0D5A">
        <w:rPr>
          <w:rFonts w:ascii="Georgia" w:hAnsi="Georgia"/>
          <w:szCs w:val="24"/>
        </w:rPr>
        <w:t>el régimen contributivo</w:t>
      </w:r>
      <w:r w:rsidR="00876EBE" w:rsidRPr="00AB0D5A">
        <w:rPr>
          <w:rFonts w:ascii="Georgia" w:hAnsi="Georgia"/>
          <w:szCs w:val="24"/>
        </w:rPr>
        <w:t xml:space="preserve"> </w:t>
      </w:r>
      <w:r w:rsidR="005C2817" w:rsidRPr="00AB0D5A">
        <w:rPr>
          <w:rFonts w:ascii="Georgia" w:hAnsi="Georgia"/>
          <w:szCs w:val="24"/>
        </w:rPr>
        <w:t>(</w:t>
      </w:r>
      <w:r w:rsidR="005C2817" w:rsidRPr="00AB0D5A">
        <w:rPr>
          <w:rFonts w:ascii="Georgia" w:hAnsi="Georgia"/>
          <w:szCs w:val="24"/>
          <w:lang w:val="es-419"/>
        </w:rPr>
        <w:t>Cuaderno No.1, documento No.</w:t>
      </w:r>
      <w:r w:rsidR="000F5F1F" w:rsidRPr="00AB0D5A">
        <w:rPr>
          <w:rFonts w:ascii="Georgia" w:hAnsi="Georgia"/>
          <w:szCs w:val="24"/>
          <w:lang w:val="es-419"/>
        </w:rPr>
        <w:t>04</w:t>
      </w:r>
      <w:r w:rsidR="005C2817" w:rsidRPr="00AB0D5A">
        <w:rPr>
          <w:rFonts w:ascii="Georgia" w:hAnsi="Georgia"/>
          <w:szCs w:val="24"/>
          <w:lang w:val="es-CO"/>
        </w:rPr>
        <w:t>).</w:t>
      </w:r>
      <w:r w:rsidR="005A28BC" w:rsidRPr="00AB0D5A">
        <w:rPr>
          <w:rFonts w:ascii="Georgia" w:hAnsi="Georgia"/>
          <w:szCs w:val="24"/>
          <w:lang w:val="es-CO"/>
        </w:rPr>
        <w:t xml:space="preserve"> </w:t>
      </w:r>
      <w:r w:rsidR="005C2817" w:rsidRPr="00AB0D5A">
        <w:rPr>
          <w:rFonts w:ascii="Georgia" w:hAnsi="Georgia"/>
          <w:szCs w:val="24"/>
          <w:lang w:val="es-CO"/>
        </w:rPr>
        <w:t xml:space="preserve">En el extremo </w:t>
      </w:r>
      <w:r w:rsidR="005C2817" w:rsidRPr="00AB0D5A">
        <w:rPr>
          <w:rFonts w:ascii="Georgia" w:hAnsi="Georgia"/>
          <w:szCs w:val="24"/>
          <w:lang w:val="es-419"/>
        </w:rPr>
        <w:t>pasivo</w:t>
      </w:r>
      <w:r w:rsidR="005C2817" w:rsidRPr="00AB0D5A">
        <w:rPr>
          <w:rFonts w:ascii="Georgia" w:hAnsi="Georgia"/>
          <w:szCs w:val="24"/>
          <w:lang w:val="es-CO"/>
        </w:rPr>
        <w:t xml:space="preserve">, </w:t>
      </w:r>
      <w:r w:rsidR="005A28BC" w:rsidRPr="00AB0D5A">
        <w:rPr>
          <w:rFonts w:ascii="Georgia" w:hAnsi="Georgia"/>
          <w:szCs w:val="24"/>
          <w:lang w:val="es-CO"/>
        </w:rPr>
        <w:t>la Nueva EPS SA por</w:t>
      </w:r>
      <w:r w:rsidR="00EF2AB1" w:rsidRPr="00AB0D5A">
        <w:rPr>
          <w:rFonts w:ascii="Georgia" w:hAnsi="Georgia"/>
          <w:szCs w:val="24"/>
          <w:lang w:val="es-CO"/>
        </w:rPr>
        <w:t xml:space="preserve"> ser la afiliadora que</w:t>
      </w:r>
      <w:r w:rsidR="005A28BC" w:rsidRPr="00AB0D5A">
        <w:rPr>
          <w:rFonts w:ascii="Georgia" w:hAnsi="Georgia"/>
          <w:szCs w:val="24"/>
          <w:lang w:val="es-CO"/>
        </w:rPr>
        <w:t xml:space="preserve"> le compete</w:t>
      </w:r>
      <w:r w:rsidR="003D64DF" w:rsidRPr="00AB0D5A">
        <w:rPr>
          <w:rFonts w:ascii="Georgia" w:hAnsi="Georgia"/>
          <w:szCs w:val="24"/>
          <w:lang w:val="es-CO"/>
        </w:rPr>
        <w:t xml:space="preserve"> </w:t>
      </w:r>
      <w:r w:rsidR="005A28BC" w:rsidRPr="00AB0D5A">
        <w:rPr>
          <w:rFonts w:ascii="Georgia" w:hAnsi="Georgia"/>
          <w:szCs w:val="24"/>
          <w:lang w:val="es-CO"/>
        </w:rPr>
        <w:t>garantizar el servicio de salud</w:t>
      </w:r>
      <w:r w:rsidR="003D64DF" w:rsidRPr="00AB0D5A">
        <w:rPr>
          <w:rFonts w:ascii="Georgia" w:hAnsi="Georgia"/>
          <w:szCs w:val="24"/>
          <w:lang w:val="es-CO"/>
        </w:rPr>
        <w:t xml:space="preserve"> (</w:t>
      </w:r>
      <w:r w:rsidR="003D64DF" w:rsidRPr="00AB0D5A">
        <w:rPr>
          <w:rFonts w:ascii="Georgia" w:hAnsi="Georgia" w:cs="Arial"/>
          <w:szCs w:val="24"/>
        </w:rPr>
        <w:t>Ley 1751)</w:t>
      </w:r>
      <w:r w:rsidR="008B6185" w:rsidRPr="00AB0D5A">
        <w:rPr>
          <w:rFonts w:ascii="Georgia" w:hAnsi="Georgia" w:cs="Arial"/>
          <w:szCs w:val="24"/>
        </w:rPr>
        <w:t>.</w:t>
      </w:r>
    </w:p>
    <w:p w14:paraId="01C16118" w14:textId="69D2511D" w:rsidR="001B2328" w:rsidRPr="00AB0D5A" w:rsidRDefault="001B2328" w:rsidP="00AB0D5A">
      <w:pPr>
        <w:pStyle w:val="Textoindependiente"/>
        <w:tabs>
          <w:tab w:val="clear" w:pos="708"/>
          <w:tab w:val="clear" w:pos="1416"/>
          <w:tab w:val="left" w:pos="709"/>
          <w:tab w:val="left" w:pos="1418"/>
        </w:tabs>
        <w:spacing w:line="276" w:lineRule="auto"/>
        <w:ind w:left="720"/>
        <w:rPr>
          <w:rFonts w:ascii="Georgia" w:hAnsi="Georgia" w:cs="Arial"/>
          <w:szCs w:val="24"/>
        </w:rPr>
      </w:pPr>
    </w:p>
    <w:p w14:paraId="7966B770" w14:textId="010EE5FB" w:rsidR="003C4D97" w:rsidRPr="00AB0D5A" w:rsidRDefault="003C4D97" w:rsidP="00AB0D5A">
      <w:pPr>
        <w:pStyle w:val="Textoindependiente"/>
        <w:numPr>
          <w:ilvl w:val="2"/>
          <w:numId w:val="9"/>
        </w:numPr>
        <w:tabs>
          <w:tab w:val="clear" w:pos="708"/>
          <w:tab w:val="left" w:pos="709"/>
        </w:tabs>
        <w:spacing w:line="276" w:lineRule="auto"/>
        <w:ind w:left="0" w:firstLine="0"/>
        <w:rPr>
          <w:rFonts w:ascii="Georgia" w:hAnsi="Georgia"/>
          <w:szCs w:val="24"/>
        </w:rPr>
      </w:pPr>
      <w:r w:rsidRPr="00AB0D5A">
        <w:rPr>
          <w:rFonts w:ascii="Georgia" w:hAnsi="Georgia" w:cs="Arial"/>
          <w:i/>
          <w:iCs/>
          <w:szCs w:val="24"/>
          <w:lang w:val="es-CO"/>
        </w:rPr>
        <w:t>L</w:t>
      </w:r>
      <w:r w:rsidRPr="00AB0D5A">
        <w:rPr>
          <w:rFonts w:ascii="Georgia" w:hAnsi="Georgia"/>
          <w:i/>
          <w:iCs/>
          <w:smallCaps/>
          <w:szCs w:val="24"/>
          <w:lang w:val="es-419"/>
        </w:rPr>
        <w:t>a inmediatez</w:t>
      </w:r>
      <w:r w:rsidRPr="00AB0D5A">
        <w:rPr>
          <w:rFonts w:ascii="Georgia" w:hAnsi="Georgia"/>
          <w:smallCaps/>
          <w:szCs w:val="24"/>
          <w:lang w:val="es-419"/>
        </w:rPr>
        <w:t xml:space="preserve">. </w:t>
      </w:r>
      <w:r w:rsidRPr="00AB0D5A">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AB0D5A">
        <w:rPr>
          <w:rFonts w:ascii="Georgia" w:hAnsi="Georgia" w:cs="Arial"/>
          <w:i/>
          <w:iCs/>
          <w:szCs w:val="24"/>
          <w:lang w:val="es-419"/>
        </w:rPr>
        <w:t>“</w:t>
      </w:r>
      <w:r w:rsidRPr="00C17276">
        <w:rPr>
          <w:rFonts w:ascii="Georgia" w:hAnsi="Georgia" w:cs="Arial"/>
          <w:i/>
          <w:iCs/>
          <w:sz w:val="22"/>
          <w:szCs w:val="24"/>
          <w:lang w:val="es-419"/>
        </w:rPr>
        <w:t xml:space="preserve">(…) </w:t>
      </w:r>
      <w:r w:rsidRPr="00C17276">
        <w:rPr>
          <w:rFonts w:ascii="Georgia" w:hAnsi="Georgia"/>
          <w:i/>
          <w:iCs/>
          <w:sz w:val="22"/>
          <w:szCs w:val="24"/>
          <w:shd w:val="clear" w:color="auto" w:fill="FFFFFF"/>
        </w:rPr>
        <w:t>impone la carga al demandante de presentar la acción de tutela en un término prudente y razonable (…)</w:t>
      </w:r>
      <w:r w:rsidRPr="00AB0D5A">
        <w:rPr>
          <w:rFonts w:ascii="Georgia" w:hAnsi="Georgia"/>
          <w:i/>
          <w:iCs/>
          <w:szCs w:val="24"/>
          <w:shd w:val="clear" w:color="auto" w:fill="FFFFFF"/>
        </w:rPr>
        <w:t>”</w:t>
      </w:r>
      <w:r w:rsidRPr="00AB0D5A">
        <w:rPr>
          <w:rFonts w:ascii="Georgia" w:hAnsi="Georgia"/>
          <w:szCs w:val="24"/>
          <w:shd w:val="clear" w:color="auto" w:fill="FFFFFF"/>
        </w:rPr>
        <w:t xml:space="preserve">, por lo tanto, </w:t>
      </w:r>
      <w:r w:rsidRPr="00AB0D5A">
        <w:rPr>
          <w:rFonts w:ascii="Georgia" w:hAnsi="Georgia"/>
          <w:i/>
          <w:iCs/>
          <w:szCs w:val="24"/>
          <w:shd w:val="clear" w:color="auto" w:fill="FFFFFF"/>
        </w:rPr>
        <w:t>“</w:t>
      </w:r>
      <w:r w:rsidRPr="00C17276">
        <w:rPr>
          <w:rFonts w:ascii="Georgia" w:hAnsi="Georgia"/>
          <w:i/>
          <w:iCs/>
          <w:sz w:val="22"/>
          <w:szCs w:val="24"/>
          <w:shd w:val="clear" w:color="auto" w:fill="FFFFFF"/>
        </w:rPr>
        <w:t>(…) el juez de tutela no podrá conocer de un asunto, y menos aún conceder la protección (…), cuando la solicitud se haga de manera tardía (…)</w:t>
      </w:r>
      <w:r w:rsidRPr="00AB0D5A">
        <w:rPr>
          <w:rFonts w:ascii="Georgia" w:hAnsi="Georgia"/>
          <w:i/>
          <w:iCs/>
          <w:szCs w:val="24"/>
          <w:shd w:val="clear" w:color="auto" w:fill="FFFFFF"/>
        </w:rPr>
        <w:t xml:space="preserve">” </w:t>
      </w:r>
      <w:r w:rsidRPr="00AB0D5A">
        <w:rPr>
          <w:rFonts w:ascii="Georgia" w:hAnsi="Georgia"/>
          <w:szCs w:val="24"/>
          <w:shd w:val="clear" w:color="auto" w:fill="FFFFFF"/>
        </w:rPr>
        <w:t>(</w:t>
      </w:r>
      <w:r w:rsidR="00624AB0" w:rsidRPr="00AB0D5A">
        <w:rPr>
          <w:rFonts w:ascii="Georgia" w:hAnsi="Georgia"/>
          <w:szCs w:val="24"/>
          <w:shd w:val="clear" w:color="auto" w:fill="FFFFFF"/>
        </w:rPr>
        <w:t>2021</w:t>
      </w:r>
      <w:r w:rsidRPr="00AB0D5A">
        <w:rPr>
          <w:rFonts w:ascii="Georgia" w:hAnsi="Georgia"/>
          <w:szCs w:val="24"/>
          <w:shd w:val="clear" w:color="auto" w:fill="FFFFFF"/>
        </w:rPr>
        <w:t>)</w:t>
      </w:r>
      <w:r w:rsidRPr="00AB0D5A">
        <w:rPr>
          <w:rStyle w:val="Refdenotaalpie"/>
          <w:rFonts w:ascii="Georgia" w:eastAsiaTheme="majorEastAsia" w:hAnsi="Georgia"/>
          <w:szCs w:val="24"/>
          <w:shd w:val="clear" w:color="auto" w:fill="FFFFFF"/>
        </w:rPr>
        <w:footnoteReference w:id="1"/>
      </w:r>
      <w:r w:rsidRPr="00AB0D5A">
        <w:rPr>
          <w:rFonts w:ascii="Georgia" w:hAnsi="Georgia"/>
          <w:szCs w:val="24"/>
          <w:shd w:val="clear" w:color="auto" w:fill="FFFFFF"/>
        </w:rPr>
        <w:t>.</w:t>
      </w:r>
    </w:p>
    <w:p w14:paraId="749845D6" w14:textId="77777777" w:rsidR="003C4D97" w:rsidRPr="00AB0D5A" w:rsidRDefault="003C4D97" w:rsidP="00AB0D5A">
      <w:pPr>
        <w:pStyle w:val="Textoindependiente"/>
        <w:spacing w:line="276" w:lineRule="auto"/>
        <w:ind w:left="720"/>
        <w:rPr>
          <w:rFonts w:ascii="Georgia" w:hAnsi="Georgia" w:cs="Arial"/>
          <w:noProof/>
          <w:szCs w:val="24"/>
          <w:lang w:val="es-419"/>
        </w:rPr>
      </w:pPr>
    </w:p>
    <w:p w14:paraId="10BC1037" w14:textId="7725BB1C" w:rsidR="003C4D97" w:rsidRPr="00AB0D5A" w:rsidRDefault="003C4D97" w:rsidP="00AB0D5A">
      <w:pPr>
        <w:pStyle w:val="Textoindependiente"/>
        <w:tabs>
          <w:tab w:val="clear" w:pos="708"/>
        </w:tabs>
        <w:spacing w:line="276" w:lineRule="auto"/>
        <w:rPr>
          <w:rFonts w:ascii="Georgia" w:hAnsi="Georgia" w:cs="Arial"/>
          <w:szCs w:val="24"/>
          <w:lang w:val="es-CO"/>
        </w:rPr>
      </w:pPr>
      <w:r w:rsidRPr="00AB0D5A">
        <w:rPr>
          <w:rFonts w:ascii="Georgia" w:hAnsi="Georgia" w:cs="Arial"/>
          <w:bCs/>
          <w:szCs w:val="24"/>
          <w:lang w:val="es-CO"/>
        </w:rPr>
        <w:t xml:space="preserve">Se satisface porque la acción se formuló </w:t>
      </w:r>
      <w:bookmarkStart w:id="1" w:name="_Hlk45532728"/>
      <w:r w:rsidRPr="00AB0D5A">
        <w:rPr>
          <w:rFonts w:ascii="Georgia" w:hAnsi="Georgia" w:cs="Arial"/>
          <w:bCs/>
          <w:szCs w:val="24"/>
          <w:lang w:val="es-CO"/>
        </w:rPr>
        <w:t>(</w:t>
      </w:r>
      <w:r w:rsidR="000F5F1F" w:rsidRPr="00AB0D5A">
        <w:rPr>
          <w:rFonts w:ascii="Georgia" w:hAnsi="Georgia" w:cs="Arial"/>
          <w:bCs/>
          <w:szCs w:val="24"/>
          <w:lang w:val="es-CO"/>
        </w:rPr>
        <w:t>14</w:t>
      </w:r>
      <w:r w:rsidRPr="00AB0D5A">
        <w:rPr>
          <w:rFonts w:ascii="Georgia" w:hAnsi="Georgia" w:cs="Arial"/>
          <w:bCs/>
          <w:szCs w:val="24"/>
          <w:lang w:val="es-CO"/>
        </w:rPr>
        <w:t>-</w:t>
      </w:r>
      <w:r w:rsidR="000F5F1F" w:rsidRPr="00AB0D5A">
        <w:rPr>
          <w:rFonts w:ascii="Georgia" w:hAnsi="Georgia" w:cs="Arial"/>
          <w:bCs/>
          <w:szCs w:val="24"/>
          <w:lang w:val="es-CO"/>
        </w:rPr>
        <w:t>05</w:t>
      </w:r>
      <w:r w:rsidRPr="00AB0D5A">
        <w:rPr>
          <w:rFonts w:ascii="Georgia" w:hAnsi="Georgia" w:cs="Arial"/>
          <w:bCs/>
          <w:szCs w:val="24"/>
          <w:lang w:val="es-CO"/>
        </w:rPr>
        <w:t xml:space="preserve">-2021) </w:t>
      </w:r>
      <w:bookmarkEnd w:id="1"/>
      <w:r w:rsidRPr="00AB0D5A">
        <w:rPr>
          <w:rFonts w:ascii="Georgia" w:hAnsi="Georgia" w:cs="Arial"/>
          <w:bCs/>
          <w:szCs w:val="24"/>
          <w:lang w:val="es-CO"/>
        </w:rPr>
        <w:t>(Cuaderno No.1, documento No.</w:t>
      </w:r>
      <w:r w:rsidR="000F5F1F" w:rsidRPr="00AB0D5A">
        <w:rPr>
          <w:rFonts w:ascii="Georgia" w:hAnsi="Georgia" w:cs="Arial"/>
          <w:bCs/>
          <w:szCs w:val="24"/>
          <w:lang w:val="es-CO"/>
        </w:rPr>
        <w:t>03</w:t>
      </w:r>
      <w:r w:rsidRPr="00AB0D5A">
        <w:rPr>
          <w:rFonts w:ascii="Georgia" w:hAnsi="Georgia" w:cs="Arial"/>
          <w:bCs/>
          <w:szCs w:val="24"/>
          <w:lang w:val="es-CO"/>
        </w:rPr>
        <w:t xml:space="preserve">), </w:t>
      </w:r>
      <w:r w:rsidR="000F5F1F" w:rsidRPr="00AB0D5A">
        <w:rPr>
          <w:rFonts w:ascii="Georgia" w:hAnsi="Georgia" w:cs="Arial"/>
          <w:bCs/>
          <w:szCs w:val="24"/>
          <w:lang w:val="es-CO"/>
        </w:rPr>
        <w:t xml:space="preserve">dos </w:t>
      </w:r>
      <w:r w:rsidRPr="00AB0D5A">
        <w:rPr>
          <w:rFonts w:ascii="Georgia" w:hAnsi="Georgia" w:cs="Arial"/>
          <w:bCs/>
          <w:szCs w:val="24"/>
          <w:lang w:val="es-CO"/>
        </w:rPr>
        <w:t>(</w:t>
      </w:r>
      <w:r w:rsidR="000F5F1F" w:rsidRPr="00AB0D5A">
        <w:rPr>
          <w:rFonts w:ascii="Georgia" w:hAnsi="Georgia" w:cs="Arial"/>
          <w:bCs/>
          <w:szCs w:val="24"/>
          <w:lang w:val="es-CO"/>
        </w:rPr>
        <w:t>2</w:t>
      </w:r>
      <w:r w:rsidRPr="00AB0D5A">
        <w:rPr>
          <w:rFonts w:ascii="Georgia" w:hAnsi="Georgia" w:cs="Arial"/>
          <w:bCs/>
          <w:szCs w:val="24"/>
          <w:lang w:val="es-CO"/>
        </w:rPr>
        <w:t>)</w:t>
      </w:r>
      <w:r w:rsidR="000F5F1F" w:rsidRPr="00AB0D5A">
        <w:rPr>
          <w:rFonts w:ascii="Georgia" w:hAnsi="Georgia" w:cs="Arial"/>
          <w:bCs/>
          <w:szCs w:val="24"/>
          <w:lang w:val="es-CO"/>
        </w:rPr>
        <w:t xml:space="preserve"> meses y nueve (9) días </w:t>
      </w:r>
      <w:r w:rsidRPr="00AB0D5A">
        <w:rPr>
          <w:rFonts w:ascii="Georgia" w:hAnsi="Georgia" w:cs="Arial"/>
          <w:bCs/>
          <w:szCs w:val="24"/>
          <w:lang w:val="es-CO"/>
        </w:rPr>
        <w:t xml:space="preserve">después </w:t>
      </w:r>
      <w:r w:rsidR="000F5F1F" w:rsidRPr="00AB0D5A">
        <w:rPr>
          <w:rFonts w:ascii="Georgia" w:hAnsi="Georgia" w:cs="Arial"/>
          <w:bCs/>
          <w:szCs w:val="24"/>
          <w:lang w:val="es-CO"/>
        </w:rPr>
        <w:t xml:space="preserve">de ordenada la remisión del actor para el cambio de prótesis </w:t>
      </w:r>
      <w:r w:rsidRPr="00AB0D5A">
        <w:rPr>
          <w:rFonts w:ascii="Georgia" w:hAnsi="Georgia" w:cs="Arial"/>
          <w:bCs/>
          <w:szCs w:val="24"/>
          <w:lang w:val="es-CO"/>
        </w:rPr>
        <w:t>(</w:t>
      </w:r>
      <w:r w:rsidR="000F5F1F" w:rsidRPr="00AB0D5A">
        <w:rPr>
          <w:rFonts w:ascii="Georgia" w:hAnsi="Georgia"/>
          <w:szCs w:val="24"/>
        </w:rPr>
        <w:t>03-03-2021</w:t>
      </w:r>
      <w:r w:rsidRPr="00AB0D5A">
        <w:rPr>
          <w:rFonts w:ascii="Georgia" w:hAnsi="Georgia" w:cs="Arial"/>
          <w:bCs/>
          <w:szCs w:val="24"/>
          <w:lang w:val="es-CO"/>
        </w:rPr>
        <w:t>) (Cuaderno No.1, documento No.</w:t>
      </w:r>
      <w:r w:rsidR="000F5F1F" w:rsidRPr="00AB0D5A">
        <w:rPr>
          <w:rFonts w:ascii="Georgia" w:hAnsi="Georgia" w:cs="Arial"/>
          <w:bCs/>
          <w:szCs w:val="24"/>
          <w:lang w:val="es-CO"/>
        </w:rPr>
        <w:t>02, folio 4</w:t>
      </w:r>
      <w:r w:rsidRPr="00AB0D5A">
        <w:rPr>
          <w:rFonts w:ascii="Georgia" w:hAnsi="Georgia" w:cs="Arial"/>
          <w:bCs/>
          <w:szCs w:val="24"/>
          <w:lang w:val="es-CO"/>
        </w:rPr>
        <w:t>)</w:t>
      </w:r>
      <w:r w:rsidRPr="00AB0D5A">
        <w:rPr>
          <w:rFonts w:ascii="Georgia" w:hAnsi="Georgia" w:cs="Arial"/>
          <w:bCs/>
          <w:szCs w:val="24"/>
          <w:lang w:val="es-419"/>
        </w:rPr>
        <w:t>; es decir, dentro de</w:t>
      </w:r>
      <w:r w:rsidRPr="00AB0D5A">
        <w:rPr>
          <w:rFonts w:ascii="Georgia" w:hAnsi="Georgia" w:cs="Arial"/>
          <w:bCs/>
          <w:szCs w:val="24"/>
          <w:lang w:val="es-CO"/>
        </w:rPr>
        <w:t>l</w:t>
      </w:r>
      <w:r w:rsidRPr="00AB0D5A">
        <w:rPr>
          <w:rFonts w:ascii="Georgia" w:hAnsi="Georgia" w:cs="Arial"/>
          <w:bCs/>
          <w:szCs w:val="24"/>
          <w:lang w:val="es-419"/>
        </w:rPr>
        <w:t xml:space="preserve"> plazo general, fijado por la doctrina constitucional</w:t>
      </w:r>
      <w:r w:rsidRPr="00AB0D5A">
        <w:rPr>
          <w:rStyle w:val="Refdenotaalpie"/>
          <w:rFonts w:ascii="Georgia" w:hAnsi="Georgia" w:cs="Arial"/>
          <w:noProof/>
          <w:szCs w:val="24"/>
          <w:lang w:val="es-CO"/>
        </w:rPr>
        <w:footnoteReference w:id="2"/>
      </w:r>
      <w:r w:rsidRPr="00AB0D5A">
        <w:rPr>
          <w:rFonts w:ascii="Georgia" w:hAnsi="Georgia" w:cs="Arial"/>
          <w:szCs w:val="24"/>
          <w:lang w:val="es-CO"/>
        </w:rPr>
        <w:t xml:space="preserve">. </w:t>
      </w:r>
    </w:p>
    <w:p w14:paraId="19C6CFFF" w14:textId="77777777" w:rsidR="003C4D97" w:rsidRPr="00AB0D5A" w:rsidRDefault="003C4D97" w:rsidP="00AB0D5A">
      <w:pPr>
        <w:pStyle w:val="Textoindependiente"/>
        <w:spacing w:line="276" w:lineRule="auto"/>
        <w:rPr>
          <w:rFonts w:ascii="Georgia" w:hAnsi="Georgia" w:cs="Arial"/>
          <w:szCs w:val="24"/>
          <w:lang w:val="es-CO"/>
        </w:rPr>
      </w:pPr>
    </w:p>
    <w:p w14:paraId="7B261E15" w14:textId="7BEFBEF8" w:rsidR="003C4D97" w:rsidRPr="00AB0D5A" w:rsidRDefault="003C4D97" w:rsidP="00AB0D5A">
      <w:pPr>
        <w:pStyle w:val="Prrafodelista"/>
        <w:widowControl/>
        <w:numPr>
          <w:ilvl w:val="2"/>
          <w:numId w:val="9"/>
        </w:numPr>
        <w:shd w:val="clear" w:color="auto" w:fill="FFFFFF" w:themeFill="background1"/>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0" w:firstLine="0"/>
        <w:contextualSpacing/>
        <w:jc w:val="both"/>
        <w:textAlignment w:val="baseline"/>
        <w:rPr>
          <w:rFonts w:ascii="Georgia" w:hAnsi="Georgia" w:cs="Arial"/>
          <w:lang w:val="es-419"/>
        </w:rPr>
      </w:pPr>
      <w:r w:rsidRPr="00AB0D5A">
        <w:rPr>
          <w:rFonts w:ascii="Georgia" w:hAnsi="Georgia" w:cs="Arial"/>
          <w:i/>
          <w:iCs/>
          <w:smallCaps/>
        </w:rPr>
        <w:t>L</w:t>
      </w:r>
      <w:r w:rsidRPr="00AB0D5A">
        <w:rPr>
          <w:rFonts w:ascii="Georgia" w:hAnsi="Georgia" w:cs="Arial"/>
          <w:i/>
          <w:iCs/>
          <w:smallCaps/>
          <w:lang w:val="es-419"/>
        </w:rPr>
        <w:t>a subsidiariedad</w:t>
      </w:r>
      <w:r w:rsidRPr="00AB0D5A">
        <w:rPr>
          <w:rFonts w:ascii="Georgia" w:hAnsi="Georgia" w:cs="Arial"/>
        </w:rPr>
        <w:t>. Procede la acción siempre que el afectado carezca de otro instrumento defensivo judicial (</w:t>
      </w:r>
      <w:r w:rsidR="00624AB0" w:rsidRPr="00AB0D5A">
        <w:rPr>
          <w:rFonts w:ascii="Georgia" w:hAnsi="Georgia" w:cs="Arial"/>
        </w:rPr>
        <w:t>2021</w:t>
      </w:r>
      <w:r w:rsidRPr="00AB0D5A">
        <w:rPr>
          <w:rFonts w:ascii="Georgia" w:hAnsi="Georgia" w:cs="Arial"/>
        </w:rPr>
        <w:t>)</w:t>
      </w:r>
      <w:r w:rsidRPr="00AB0D5A">
        <w:rPr>
          <w:rFonts w:ascii="Georgia" w:hAnsi="Georgia"/>
          <w:vertAlign w:val="superscript"/>
        </w:rPr>
        <w:footnoteReference w:id="3"/>
      </w:r>
      <w:r w:rsidRPr="00AB0D5A">
        <w:rPr>
          <w:rFonts w:ascii="Georgia" w:hAnsi="Georgia" w:cs="Arial"/>
        </w:rPr>
        <w:t xml:space="preserve">. Empero, hay dos </w:t>
      </w:r>
      <w:r w:rsidRPr="00AB0D5A">
        <w:rPr>
          <w:rFonts w:ascii="Georgia" w:hAnsi="Georgia"/>
        </w:rPr>
        <w:t>(</w:t>
      </w:r>
      <w:r w:rsidRPr="00AB0D5A">
        <w:rPr>
          <w:rFonts w:ascii="Georgia" w:hAnsi="Georgia" w:cs="Arial"/>
        </w:rPr>
        <w:t xml:space="preserve">2) excepciones que guardan en común la existencia del medio ordinario: </w:t>
      </w:r>
      <w:r w:rsidRPr="00AB0D5A">
        <w:rPr>
          <w:rFonts w:ascii="Georgia" w:hAnsi="Georgia" w:cs="Arial"/>
          <w:b/>
          <w:bCs/>
        </w:rPr>
        <w:t>(i)</w:t>
      </w:r>
      <w:r w:rsidRPr="00AB0D5A">
        <w:rPr>
          <w:rFonts w:ascii="Georgia" w:hAnsi="Georgia" w:cs="Arial"/>
        </w:rPr>
        <w:t xml:space="preserve"> La tutela transitoria para evitar un perjuicio irremediable; y </w:t>
      </w:r>
      <w:r w:rsidRPr="00AB0D5A">
        <w:rPr>
          <w:rFonts w:ascii="Georgia" w:hAnsi="Georgia" w:cs="Arial"/>
          <w:b/>
          <w:bCs/>
        </w:rPr>
        <w:t>(ii)</w:t>
      </w:r>
      <w:r w:rsidRPr="00AB0D5A">
        <w:rPr>
          <w:rFonts w:ascii="Georgia" w:hAnsi="Georgia" w:cs="Arial"/>
        </w:rPr>
        <w:t xml:space="preserve"> La ineficacia de la herramienta regular para salvaguardar los derechos.</w:t>
      </w:r>
    </w:p>
    <w:p w14:paraId="005D1188" w14:textId="77777777" w:rsidR="003C4D97" w:rsidRPr="00AB0D5A" w:rsidRDefault="003C4D97" w:rsidP="00AB0D5A">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720"/>
        <w:contextualSpacing/>
        <w:jc w:val="both"/>
        <w:textAlignment w:val="baseline"/>
        <w:rPr>
          <w:rFonts w:ascii="Georgia" w:hAnsi="Georgia" w:cs="Arial"/>
          <w:lang w:val="es-419"/>
        </w:rPr>
      </w:pPr>
    </w:p>
    <w:p w14:paraId="010FC256" w14:textId="77777777" w:rsidR="003C4D97" w:rsidRPr="00AB0D5A" w:rsidRDefault="003C4D97" w:rsidP="00AB0D5A">
      <w:pPr>
        <w:pStyle w:val="Prrafodelista"/>
        <w:spacing w:line="276" w:lineRule="auto"/>
        <w:ind w:left="0"/>
        <w:jc w:val="both"/>
        <w:rPr>
          <w:rFonts w:ascii="Georgia" w:hAnsi="Georgia"/>
        </w:rPr>
      </w:pPr>
      <w:r w:rsidRPr="00AB0D5A">
        <w:rPr>
          <w:rFonts w:ascii="Georgia" w:hAnsi="Georgia"/>
        </w:rPr>
        <w:t>En el sub</w:t>
      </w:r>
      <w:r w:rsidRPr="00AB0D5A">
        <w:rPr>
          <w:rFonts w:ascii="Georgia" w:hAnsi="Georgia"/>
          <w:i/>
          <w:iCs/>
        </w:rPr>
        <w:t xml:space="preserve"> examine</w:t>
      </w:r>
      <w:r w:rsidRPr="00AB0D5A">
        <w:rPr>
          <w:rFonts w:ascii="Georgia" w:hAnsi="Georgia"/>
        </w:rPr>
        <w:t xml:space="preserve">, el   accionante   no   cuenta   con   otro   mecanismo diferente a esta acción para procurar la defensa de sus derechos. Por consiguiente, como este asunto supera el test de procedencia, puede examinarse de fondo. </w:t>
      </w:r>
    </w:p>
    <w:p w14:paraId="7CC6ADF9" w14:textId="0D004116" w:rsidR="00A9506A" w:rsidRPr="00AB0D5A" w:rsidRDefault="00A9506A" w:rsidP="00AB0D5A">
      <w:pPr>
        <w:shd w:val="clear" w:color="auto" w:fill="FFFFFF" w:themeFill="background1"/>
        <w:spacing w:line="276" w:lineRule="auto"/>
        <w:jc w:val="both"/>
        <w:rPr>
          <w:rFonts w:ascii="Georgia" w:hAnsi="Georgia" w:cs="Arial"/>
        </w:rPr>
      </w:pPr>
    </w:p>
    <w:p w14:paraId="1E33D2E6" w14:textId="05178EC3" w:rsidR="003C4D97" w:rsidRPr="00AB0D5A" w:rsidRDefault="003C4D97" w:rsidP="00AB0D5A">
      <w:pPr>
        <w:pStyle w:val="Textoindependiente"/>
        <w:numPr>
          <w:ilvl w:val="1"/>
          <w:numId w:val="9"/>
        </w:numPr>
        <w:tabs>
          <w:tab w:val="clear" w:pos="708"/>
          <w:tab w:val="left" w:pos="709"/>
        </w:tabs>
        <w:spacing w:line="276" w:lineRule="auto"/>
        <w:ind w:left="0" w:firstLine="0"/>
        <w:rPr>
          <w:rFonts w:ascii="Georgia" w:hAnsi="Georgia" w:cs="Arial"/>
          <w:szCs w:val="24"/>
        </w:rPr>
      </w:pPr>
      <w:r w:rsidRPr="00AB0D5A">
        <w:rPr>
          <w:rFonts w:ascii="Georgia" w:hAnsi="Georgia" w:cs="Verdana"/>
          <w:i/>
          <w:iCs/>
          <w:smallCaps/>
          <w:spacing w:val="0"/>
          <w:szCs w:val="24"/>
          <w:lang w:val="es-ES"/>
        </w:rPr>
        <w:t xml:space="preserve">El derecho a la salud como fundamental. </w:t>
      </w:r>
      <w:r w:rsidRPr="00AB0D5A">
        <w:rPr>
          <w:rFonts w:ascii="Georgia" w:hAnsi="Georgia" w:cs="Arial"/>
          <w:szCs w:val="24"/>
          <w:lang w:val="es-CO"/>
        </w:rPr>
        <w:t xml:space="preserve">A la luz del artículo 49 de la CP, el Estado tiene la obligación de garantizar a todas las personas </w:t>
      </w:r>
      <w:r w:rsidRPr="00AB0D5A">
        <w:rPr>
          <w:rFonts w:ascii="Georgia" w:hAnsi="Georgia" w:cs="Arial"/>
          <w:i/>
          <w:iCs/>
          <w:szCs w:val="24"/>
          <w:lang w:val="es-CO"/>
        </w:rPr>
        <w:t>“</w:t>
      </w:r>
      <w:r w:rsidRPr="00C17276">
        <w:rPr>
          <w:rFonts w:ascii="Georgia" w:hAnsi="Georgia" w:cs="Arial"/>
          <w:i/>
          <w:iCs/>
          <w:sz w:val="22"/>
          <w:szCs w:val="24"/>
          <w:lang w:val="es-CO"/>
        </w:rPr>
        <w:t>(…) el acceso a los servicios de promoción, protección y recuperación de la salud (...)</w:t>
      </w:r>
      <w:r w:rsidRPr="00AB0D5A">
        <w:rPr>
          <w:rFonts w:ascii="Georgia" w:hAnsi="Georgia" w:cs="Arial"/>
          <w:i/>
          <w:iCs/>
          <w:szCs w:val="24"/>
          <w:lang w:val="es-CO"/>
        </w:rPr>
        <w:t>”.</w:t>
      </w:r>
      <w:r w:rsidRPr="00AB0D5A">
        <w:rPr>
          <w:rFonts w:ascii="Georgia" w:hAnsi="Georgia" w:cs="Arial"/>
          <w:szCs w:val="24"/>
          <w:lang w:val="es-CO"/>
        </w:rPr>
        <w:t xml:space="preserve"> </w:t>
      </w:r>
      <w:r w:rsidRPr="00AB0D5A">
        <w:rPr>
          <w:rFonts w:ascii="Georgia" w:hAnsi="Georgia" w:cs="Arial"/>
          <w:szCs w:val="24"/>
        </w:rPr>
        <w:t xml:space="preserve">La CC en su jurisprudencia reconoció el carácter fundamental del derecho a la salud, en el que señala que toda </w:t>
      </w:r>
      <w:r w:rsidRPr="00AB0D5A">
        <w:rPr>
          <w:rFonts w:ascii="Georgia" w:hAnsi="Georgia" w:cs="Arial"/>
          <w:szCs w:val="24"/>
          <w:lang w:val="es-CO"/>
        </w:rPr>
        <w:t>persona tiene el derecho constitucional a que se le garantice el acceso efectivo a los servicios que requiera; esto es, servicios indispensables para conservar su salud, cuando se encuentre</w:t>
      </w:r>
      <w:r w:rsidR="1B9BD6CC" w:rsidRPr="00AB0D5A">
        <w:rPr>
          <w:rFonts w:ascii="Georgia" w:hAnsi="Georgia" w:cs="Arial"/>
          <w:szCs w:val="24"/>
          <w:lang w:val="es-CO"/>
        </w:rPr>
        <w:t xml:space="preserve"> </w:t>
      </w:r>
      <w:r w:rsidR="6E64CD78" w:rsidRPr="00AB0D5A">
        <w:rPr>
          <w:rFonts w:ascii="Georgia" w:hAnsi="Georgia" w:cs="Arial"/>
          <w:szCs w:val="24"/>
          <w:lang w:val="es-CO"/>
        </w:rPr>
        <w:t>com</w:t>
      </w:r>
      <w:r w:rsidRPr="00AB0D5A">
        <w:rPr>
          <w:rFonts w:ascii="Georgia" w:hAnsi="Georgia" w:cs="Arial"/>
          <w:szCs w:val="24"/>
          <w:lang w:val="es-CO"/>
        </w:rPr>
        <w:t>prometida gravemente su vida, su integridad personal, o su dignidad (</w:t>
      </w:r>
      <w:r w:rsidR="00624AB0" w:rsidRPr="00AB0D5A">
        <w:rPr>
          <w:rFonts w:ascii="Georgia" w:hAnsi="Georgia" w:cs="Arial"/>
          <w:szCs w:val="24"/>
          <w:lang w:val="es-CO"/>
        </w:rPr>
        <w:t>2021</w:t>
      </w:r>
      <w:r w:rsidRPr="00AB0D5A">
        <w:rPr>
          <w:rFonts w:ascii="Georgia" w:hAnsi="Georgia" w:cs="Arial"/>
          <w:szCs w:val="24"/>
          <w:lang w:val="es-CO"/>
        </w:rPr>
        <w:t>)</w:t>
      </w:r>
      <w:r w:rsidRPr="00AB0D5A">
        <w:rPr>
          <w:rFonts w:ascii="Georgia" w:hAnsi="Georgia" w:cs="Arial"/>
          <w:szCs w:val="24"/>
          <w:vertAlign w:val="superscript"/>
          <w:lang w:val="es-CO"/>
        </w:rPr>
        <w:footnoteReference w:id="4"/>
      </w:r>
      <w:r w:rsidRPr="00AB0D5A">
        <w:rPr>
          <w:rFonts w:ascii="Georgia" w:hAnsi="Georgia" w:cs="Arial"/>
          <w:szCs w:val="24"/>
          <w:lang w:val="es-CO"/>
        </w:rPr>
        <w:t xml:space="preserve">. </w:t>
      </w:r>
    </w:p>
    <w:p w14:paraId="244C2E8F" w14:textId="77777777" w:rsidR="003C4D97" w:rsidRPr="00AB0D5A" w:rsidRDefault="003C4D97" w:rsidP="00AB0D5A">
      <w:pPr>
        <w:pStyle w:val="Textoindependiente"/>
        <w:tabs>
          <w:tab w:val="clear" w:pos="708"/>
        </w:tabs>
        <w:spacing w:line="276" w:lineRule="auto"/>
        <w:rPr>
          <w:rFonts w:ascii="Georgia" w:hAnsi="Georgia" w:cs="Arial"/>
          <w:szCs w:val="24"/>
        </w:rPr>
      </w:pPr>
    </w:p>
    <w:p w14:paraId="582703DE" w14:textId="452E825E" w:rsidR="003C4D97" w:rsidRPr="00AB0D5A" w:rsidRDefault="003C4D97" w:rsidP="00AB0D5A">
      <w:pPr>
        <w:pStyle w:val="Textoindependiente"/>
        <w:tabs>
          <w:tab w:val="clear" w:pos="708"/>
        </w:tabs>
        <w:spacing w:line="276" w:lineRule="auto"/>
        <w:rPr>
          <w:rFonts w:ascii="Georgia" w:hAnsi="Georgia" w:cs="Arial"/>
          <w:szCs w:val="24"/>
        </w:rPr>
      </w:pPr>
      <w:bookmarkStart w:id="2" w:name="_Hlk79261004"/>
      <w:r w:rsidRPr="00AB0D5A">
        <w:rPr>
          <w:rFonts w:ascii="Georgia" w:hAnsi="Georgia" w:cs="Arial"/>
          <w:szCs w:val="24"/>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bookmarkEnd w:id="2"/>
    <w:p w14:paraId="6BCC45F8" w14:textId="77777777" w:rsidR="003C4D97" w:rsidRPr="00AB0D5A" w:rsidRDefault="003C4D97" w:rsidP="00AB0D5A">
      <w:pPr>
        <w:spacing w:line="276" w:lineRule="auto"/>
        <w:jc w:val="both"/>
        <w:rPr>
          <w:rFonts w:ascii="Georgia" w:hAnsi="Georgia" w:cs="Arial"/>
        </w:rPr>
      </w:pPr>
    </w:p>
    <w:p w14:paraId="00772DB7" w14:textId="26B3F585" w:rsidR="003C4D97" w:rsidRPr="00AB0D5A" w:rsidRDefault="003C4D97" w:rsidP="00AB0D5A">
      <w:pPr>
        <w:pStyle w:val="Textoindependiente"/>
        <w:numPr>
          <w:ilvl w:val="1"/>
          <w:numId w:val="12"/>
        </w:numPr>
        <w:tabs>
          <w:tab w:val="clear" w:pos="708"/>
          <w:tab w:val="left" w:pos="709"/>
        </w:tabs>
        <w:spacing w:line="276" w:lineRule="auto"/>
        <w:ind w:left="0" w:firstLine="0"/>
        <w:rPr>
          <w:rFonts w:ascii="Georgia" w:hAnsi="Georgia"/>
          <w:smallCaps/>
          <w:szCs w:val="24"/>
        </w:rPr>
      </w:pPr>
      <w:r w:rsidRPr="00AB0D5A">
        <w:rPr>
          <w:rFonts w:ascii="Georgia" w:hAnsi="Georgia"/>
          <w:i/>
          <w:iCs/>
          <w:smallCaps/>
          <w:szCs w:val="24"/>
        </w:rPr>
        <w:t>Las exclusiones en el tratamiento al usuario</w:t>
      </w:r>
      <w:r w:rsidRPr="00AB0D5A">
        <w:rPr>
          <w:rFonts w:ascii="Georgia" w:hAnsi="Georgia" w:cs="Arial"/>
          <w:i/>
          <w:iCs/>
          <w:szCs w:val="24"/>
        </w:rPr>
        <w:t xml:space="preserve">. </w:t>
      </w:r>
      <w:r w:rsidRPr="00AB0D5A">
        <w:rPr>
          <w:rFonts w:ascii="Georgia" w:hAnsi="Georgia" w:cs="Arial"/>
          <w:szCs w:val="24"/>
        </w:rPr>
        <w:t xml:space="preserve">Debe entenderse que a la luz de la precitada ley, el derecho fundamental a la salud debe garantizarse a través de: </w:t>
      </w:r>
      <w:r w:rsidRPr="00AB0D5A">
        <w:rPr>
          <w:rFonts w:ascii="Georgia" w:hAnsi="Georgia" w:cs="Arial"/>
          <w:i/>
          <w:iCs/>
          <w:szCs w:val="24"/>
        </w:rPr>
        <w:t>"</w:t>
      </w:r>
      <w:r w:rsidRPr="00C17276">
        <w:rPr>
          <w:rFonts w:ascii="Georgia" w:hAnsi="Georgia" w:cs="Arial"/>
          <w:i/>
          <w:iCs/>
          <w:sz w:val="22"/>
          <w:szCs w:val="24"/>
        </w:rPr>
        <w:t xml:space="preserve">(...) la prestación de servicios y tecnologías, estructurados sobre una concepción integral de la salud, </w:t>
      </w:r>
      <w:r w:rsidRPr="00C17276">
        <w:rPr>
          <w:rFonts w:ascii="Georgia" w:hAnsi="Georgia" w:cs="Arial"/>
          <w:i/>
          <w:iCs/>
          <w:sz w:val="22"/>
          <w:szCs w:val="24"/>
        </w:rPr>
        <w:lastRenderedPageBreak/>
        <w:t>que incluya su promoción, la prevención, la paliación, la atención de la enfermedad y rehabilitación de sus secuelas (…)</w:t>
      </w:r>
      <w:r w:rsidRPr="00AB0D5A">
        <w:rPr>
          <w:rFonts w:ascii="Georgia" w:hAnsi="Georgia" w:cs="Arial"/>
          <w:i/>
          <w:iCs/>
          <w:szCs w:val="24"/>
        </w:rPr>
        <w:t>",</w:t>
      </w:r>
      <w:r w:rsidRPr="00AB0D5A">
        <w:rPr>
          <w:rFonts w:ascii="Georgia" w:hAnsi="Georgia" w:cs="Arial"/>
          <w:szCs w:val="24"/>
        </w:rPr>
        <w:t xml:space="preserve"> esto es, las exclusiones son solo aquellas expresamente mencionadas en el artículo 15, además el 3º de la misma Ley, </w:t>
      </w:r>
      <w:r w:rsidR="228B2333" w:rsidRPr="00AB0D5A">
        <w:rPr>
          <w:rFonts w:ascii="Georgia" w:hAnsi="Georgia" w:cs="Arial"/>
          <w:szCs w:val="24"/>
        </w:rPr>
        <w:t>que prescribe</w:t>
      </w:r>
      <w:r w:rsidRPr="00AB0D5A">
        <w:rPr>
          <w:rFonts w:ascii="Georgia" w:hAnsi="Georgia" w:cs="Arial"/>
          <w:szCs w:val="24"/>
        </w:rPr>
        <w:t>:</w:t>
      </w:r>
      <w:r w:rsidRPr="00AB0D5A">
        <w:rPr>
          <w:rFonts w:ascii="Georgia" w:hAnsi="Georgia" w:cs="Arial"/>
          <w:i/>
          <w:iCs/>
          <w:szCs w:val="24"/>
        </w:rPr>
        <w:t xml:space="preserve"> "</w:t>
      </w:r>
      <w:r w:rsidRPr="00C17276">
        <w:rPr>
          <w:rFonts w:ascii="Georgia" w:hAnsi="Georgia" w:cs="Arial"/>
          <w:i/>
          <w:iCs/>
          <w:sz w:val="22"/>
          <w:szCs w:val="24"/>
        </w:rPr>
        <w:t xml:space="preserve">(...) a todos los agentes, usuarios y demás que intervengan de manera directa o indirecta, en la garantía del derecho fundamental a la salud </w:t>
      </w:r>
      <w:r w:rsidRPr="00C17276">
        <w:rPr>
          <w:rFonts w:ascii="Georgia" w:hAnsi="Georgia"/>
          <w:smallCaps/>
          <w:sz w:val="22"/>
          <w:szCs w:val="24"/>
        </w:rPr>
        <w:t>(…)</w:t>
      </w:r>
      <w:r w:rsidRPr="00AB0D5A">
        <w:rPr>
          <w:rFonts w:ascii="Georgia" w:hAnsi="Georgia"/>
          <w:smallCaps/>
          <w:szCs w:val="24"/>
        </w:rPr>
        <w:t>”.</w:t>
      </w:r>
    </w:p>
    <w:p w14:paraId="60DEA497" w14:textId="77777777" w:rsidR="004A2DA4" w:rsidRPr="00AB0D5A" w:rsidRDefault="004A2DA4" w:rsidP="00AB0D5A">
      <w:pPr>
        <w:pStyle w:val="Textoindependiente"/>
        <w:tabs>
          <w:tab w:val="clear" w:pos="708"/>
          <w:tab w:val="left" w:pos="709"/>
        </w:tabs>
        <w:spacing w:line="276" w:lineRule="auto"/>
        <w:rPr>
          <w:rFonts w:ascii="Georgia" w:hAnsi="Georgia"/>
          <w:smallCaps/>
          <w:szCs w:val="24"/>
        </w:rPr>
      </w:pPr>
    </w:p>
    <w:p w14:paraId="7AF69817" w14:textId="6CA34817" w:rsidR="009E6902" w:rsidRPr="00AB0D5A" w:rsidRDefault="009E6902" w:rsidP="00AB0D5A">
      <w:pPr>
        <w:pStyle w:val="Textoindependiente"/>
        <w:numPr>
          <w:ilvl w:val="1"/>
          <w:numId w:val="12"/>
        </w:numPr>
        <w:spacing w:line="276" w:lineRule="auto"/>
        <w:rPr>
          <w:rFonts w:ascii="Georgia" w:hAnsi="Georgia" w:cs="Arial"/>
          <w:i/>
          <w:iCs/>
          <w:smallCaps/>
          <w:szCs w:val="24"/>
        </w:rPr>
      </w:pPr>
      <w:r w:rsidRPr="00AB0D5A">
        <w:rPr>
          <w:rFonts w:ascii="Georgia" w:hAnsi="Georgia"/>
          <w:i/>
          <w:iCs/>
          <w:smallCaps/>
          <w:szCs w:val="24"/>
        </w:rPr>
        <w:t xml:space="preserve">La protección especial (Tercera edad </w:t>
      </w:r>
      <w:r w:rsidRPr="00AB0D5A">
        <w:rPr>
          <w:rFonts w:ascii="Georgia" w:hAnsi="Georgia" w:cs="Arial"/>
          <w:i/>
          <w:iCs/>
          <w:smallCaps/>
          <w:szCs w:val="24"/>
        </w:rPr>
        <w:t>- Invalidez, etc.)</w:t>
      </w:r>
    </w:p>
    <w:p w14:paraId="6135A8D5" w14:textId="77777777" w:rsidR="009E6902" w:rsidRPr="00AB0D5A" w:rsidRDefault="009E6902" w:rsidP="00AB0D5A">
      <w:pPr>
        <w:pStyle w:val="Textoindependiente"/>
        <w:spacing w:line="276" w:lineRule="auto"/>
        <w:rPr>
          <w:rFonts w:ascii="Georgia" w:hAnsi="Georgia" w:cs="Arial"/>
          <w:szCs w:val="24"/>
        </w:rPr>
      </w:pPr>
    </w:p>
    <w:p w14:paraId="629AE498" w14:textId="691CBBA8" w:rsidR="009E6902" w:rsidRPr="00AB0D5A" w:rsidRDefault="009E6902" w:rsidP="00AB0D5A">
      <w:pPr>
        <w:pStyle w:val="Textoindependiente"/>
        <w:spacing w:line="276" w:lineRule="auto"/>
        <w:rPr>
          <w:rFonts w:ascii="Georgia" w:hAnsi="Georgia" w:cs="Arial"/>
          <w:szCs w:val="24"/>
        </w:rPr>
      </w:pPr>
      <w:r w:rsidRPr="00AB0D5A">
        <w:rPr>
          <w:rFonts w:ascii="Georgia" w:hAnsi="Georgia" w:cs="Arial"/>
          <w:szCs w:val="24"/>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w:t>
      </w:r>
      <w:r w:rsidR="7ABE82CC" w:rsidRPr="00AB0D5A">
        <w:rPr>
          <w:rFonts w:ascii="Georgia" w:hAnsi="Georgia" w:cs="Arial"/>
          <w:szCs w:val="24"/>
        </w:rPr>
        <w:t>, entre otros.</w:t>
      </w:r>
    </w:p>
    <w:p w14:paraId="6B4086AA" w14:textId="77777777" w:rsidR="009E6902" w:rsidRPr="00AB0D5A" w:rsidRDefault="009E6902" w:rsidP="00AB0D5A">
      <w:pPr>
        <w:pStyle w:val="Textoindependiente"/>
        <w:spacing w:line="276" w:lineRule="auto"/>
        <w:rPr>
          <w:rFonts w:ascii="Georgia" w:hAnsi="Georgia" w:cs="Arial"/>
          <w:szCs w:val="24"/>
        </w:rPr>
      </w:pPr>
    </w:p>
    <w:p w14:paraId="257B13BB" w14:textId="789B2228" w:rsidR="009E6902" w:rsidRPr="00AB0D5A" w:rsidRDefault="009E6902" w:rsidP="00AB0D5A">
      <w:pPr>
        <w:pStyle w:val="Textoindependiente"/>
        <w:tabs>
          <w:tab w:val="clear" w:pos="708"/>
        </w:tabs>
        <w:spacing w:line="276" w:lineRule="auto"/>
        <w:rPr>
          <w:rFonts w:ascii="Georgia" w:hAnsi="Georgia" w:cs="Arial"/>
          <w:szCs w:val="24"/>
        </w:rPr>
      </w:pPr>
      <w:r w:rsidRPr="00AB0D5A">
        <w:rPr>
          <w:rFonts w:ascii="Georgia" w:hAnsi="Georgia" w:cs="Arial"/>
          <w:szCs w:val="24"/>
        </w:rPr>
        <w:t>En este caso el promotor es persona de la tercera edad (</w:t>
      </w:r>
      <w:r w:rsidR="00624AB0" w:rsidRPr="00AB0D5A">
        <w:rPr>
          <w:rFonts w:ascii="Georgia" w:hAnsi="Georgia" w:cs="Arial"/>
          <w:szCs w:val="24"/>
        </w:rPr>
        <w:t>78</w:t>
      </w:r>
      <w:r w:rsidRPr="00AB0D5A">
        <w:rPr>
          <w:rFonts w:ascii="Georgia" w:hAnsi="Georgia" w:cs="Arial"/>
          <w:szCs w:val="24"/>
        </w:rPr>
        <w:t xml:space="preserve"> años)</w:t>
      </w:r>
      <w:r w:rsidRPr="00AB0D5A">
        <w:rPr>
          <w:rStyle w:val="Refdenotaalpie"/>
          <w:rFonts w:ascii="Georgia" w:hAnsi="Georgia"/>
          <w:szCs w:val="24"/>
          <w:shd w:val="clear" w:color="auto" w:fill="FFFFFF"/>
          <w:vertAlign w:val="baseline"/>
        </w:rPr>
        <w:t>:</w:t>
      </w:r>
      <w:r w:rsidRPr="00AB0D5A">
        <w:rPr>
          <w:rStyle w:val="Refdenotaalpie"/>
          <w:rFonts w:ascii="Georgia" w:hAnsi="Georgia"/>
          <w:szCs w:val="24"/>
          <w:shd w:val="clear" w:color="auto" w:fill="FFFFFF"/>
        </w:rPr>
        <w:t xml:space="preserve"> </w:t>
      </w:r>
      <w:r w:rsidRPr="00AB0D5A">
        <w:rPr>
          <w:rFonts w:ascii="Georgia" w:hAnsi="Georgia"/>
          <w:i/>
          <w:iCs/>
          <w:szCs w:val="24"/>
          <w:shd w:val="clear" w:color="auto" w:fill="FFFFFF"/>
          <w:lang w:val="es-CO"/>
        </w:rPr>
        <w:t>“</w:t>
      </w:r>
      <w:r w:rsidRPr="00C17276">
        <w:rPr>
          <w:rFonts w:ascii="Georgia" w:hAnsi="Georgia"/>
          <w:i/>
          <w:iCs/>
          <w:sz w:val="22"/>
          <w:szCs w:val="24"/>
          <w:shd w:val="clear" w:color="auto" w:fill="FFFFFF"/>
          <w:lang w:val="es-ES"/>
        </w:rPr>
        <w:t>(…) la esperanza de vida al nacer para la totalidad de la población en Colombia (sin distinguir entre hombres y mujeres), se encuentra estimada en los 76 años. Por lo tanto, una persona será considerada de la tercera edad solo cuando supere esa edad, o aquella que certifique el DANE para cada periodo específico (…)</w:t>
      </w:r>
      <w:r w:rsidRPr="00AB0D5A">
        <w:rPr>
          <w:rFonts w:ascii="Georgia" w:hAnsi="Georgia"/>
          <w:i/>
          <w:iCs/>
          <w:szCs w:val="24"/>
          <w:shd w:val="clear" w:color="auto" w:fill="FFFFFF"/>
          <w:lang w:val="es-ES"/>
        </w:rPr>
        <w:t>”</w:t>
      </w:r>
      <w:r w:rsidRPr="00AB0D5A">
        <w:rPr>
          <w:rStyle w:val="Refdenotaalpie"/>
          <w:rFonts w:ascii="Georgia" w:hAnsi="Georgia"/>
          <w:szCs w:val="24"/>
          <w:shd w:val="clear" w:color="auto" w:fill="FFFFFF"/>
        </w:rPr>
        <w:footnoteReference w:id="5"/>
      </w:r>
      <w:r w:rsidRPr="00AB0D5A">
        <w:rPr>
          <w:rFonts w:ascii="Georgia" w:hAnsi="Georgia"/>
          <w:szCs w:val="24"/>
          <w:shd w:val="clear" w:color="auto" w:fill="FFFFFF"/>
        </w:rPr>
        <w:t xml:space="preserve"> y, en consecuencia, amerita protección especial, según la </w:t>
      </w:r>
      <w:r w:rsidRPr="00AB0D5A">
        <w:rPr>
          <w:rFonts w:ascii="Georgia" w:hAnsi="Georgia" w:cs="Arial"/>
          <w:szCs w:val="24"/>
        </w:rPr>
        <w:t>doctrina de la CC</w:t>
      </w:r>
      <w:r w:rsidRPr="00AB0D5A">
        <w:rPr>
          <w:rFonts w:ascii="Georgia" w:hAnsi="Georgia" w:cs="Arial"/>
          <w:szCs w:val="24"/>
          <w:vertAlign w:val="superscript"/>
          <w:lang w:val="es-CO"/>
        </w:rPr>
        <w:footnoteReference w:id="6"/>
      </w:r>
      <w:r w:rsidRPr="00AB0D5A">
        <w:rPr>
          <w:rFonts w:ascii="Georgia" w:hAnsi="Georgia" w:cs="Arial"/>
          <w:szCs w:val="24"/>
        </w:rPr>
        <w:t>:</w:t>
      </w:r>
    </w:p>
    <w:p w14:paraId="7DB0BD07" w14:textId="77777777" w:rsidR="009E6902" w:rsidRPr="00AB0D5A" w:rsidRDefault="009E6902" w:rsidP="00AB0D5A">
      <w:pPr>
        <w:pStyle w:val="Textoindependiente"/>
        <w:tabs>
          <w:tab w:val="clear" w:pos="708"/>
          <w:tab w:val="left" w:pos="851"/>
        </w:tabs>
        <w:spacing w:line="276" w:lineRule="auto"/>
        <w:ind w:left="851"/>
        <w:rPr>
          <w:rFonts w:ascii="Georgia" w:hAnsi="Georgia" w:cs="Arial"/>
          <w:szCs w:val="24"/>
        </w:rPr>
      </w:pPr>
    </w:p>
    <w:p w14:paraId="0050BC6B" w14:textId="741118C1" w:rsidR="009E6902" w:rsidRPr="00591313" w:rsidRDefault="009E6902" w:rsidP="00591313">
      <w:pPr>
        <w:pStyle w:val="Textoindependiente"/>
        <w:tabs>
          <w:tab w:val="clear" w:pos="708"/>
          <w:tab w:val="clear" w:pos="7920"/>
          <w:tab w:val="left" w:pos="7938"/>
        </w:tabs>
        <w:spacing w:line="240" w:lineRule="auto"/>
        <w:ind w:left="426" w:right="420"/>
        <w:rPr>
          <w:rFonts w:ascii="Georgia" w:hAnsi="Georgia" w:cs="Arial"/>
          <w:sz w:val="22"/>
          <w:szCs w:val="24"/>
        </w:rPr>
      </w:pPr>
      <w:r w:rsidRPr="00591313">
        <w:rPr>
          <w:rFonts w:ascii="Georgia" w:hAnsi="Georgia" w:cs="Arial"/>
          <w:sz w:val="22"/>
          <w:szCs w:val="24"/>
        </w:rPr>
        <w:t>...</w:t>
      </w:r>
      <w:r w:rsidR="00591313" w:rsidRPr="00591313">
        <w:rPr>
          <w:rFonts w:ascii="Georgia" w:hAnsi="Georgia" w:cs="Arial"/>
          <w:sz w:val="22"/>
          <w:szCs w:val="24"/>
        </w:rPr>
        <w:t xml:space="preserve"> </w:t>
      </w:r>
      <w:r w:rsidRPr="00591313">
        <w:rPr>
          <w:rFonts w:ascii="Georgia" w:hAnsi="Georgia" w:cs="Arial"/>
          <w:sz w:val="22"/>
          <w:szCs w:val="24"/>
        </w:rPr>
        <w:t>el Estado deberá protegerlas en razón de que se encuentran en circunstancias de debilidad manifiesta, pues se ven obligadas a "afrontar el deterioro irreversible y progresivo de su salud por el desgaste natural del organismo y consecuente con ello al advenimiento de diversas enfermedades propias de la vejez</w:t>
      </w:r>
      <w:r w:rsidRPr="00591313">
        <w:rPr>
          <w:rFonts w:ascii="Georgia" w:hAnsi="Georgia" w:cs="Arial"/>
          <w:sz w:val="22"/>
          <w:szCs w:val="24"/>
          <w:vertAlign w:val="superscript"/>
          <w:lang w:val="es-CO"/>
        </w:rPr>
        <w:footnoteReference w:id="7"/>
      </w:r>
      <w:r w:rsidRPr="00591313">
        <w:rPr>
          <w:rFonts w:ascii="Georgia" w:hAnsi="Georgia" w:cs="Arial"/>
          <w:sz w:val="22"/>
          <w:szCs w:val="24"/>
        </w:rPr>
        <w:t>, razón por la cual se deberán garantizar todos los servicios relativos a salud que ellos requieran.</w:t>
      </w:r>
    </w:p>
    <w:p w14:paraId="3459068D" w14:textId="77777777" w:rsidR="009E6902" w:rsidRPr="00591313" w:rsidRDefault="009E6902" w:rsidP="00591313">
      <w:pPr>
        <w:pStyle w:val="Textoindependiente"/>
        <w:tabs>
          <w:tab w:val="clear" w:pos="708"/>
          <w:tab w:val="clear" w:pos="7920"/>
          <w:tab w:val="left" w:pos="7938"/>
        </w:tabs>
        <w:spacing w:line="240" w:lineRule="auto"/>
        <w:ind w:left="426" w:right="420"/>
        <w:rPr>
          <w:rFonts w:ascii="Georgia" w:hAnsi="Georgia" w:cs="Arial"/>
          <w:sz w:val="22"/>
          <w:szCs w:val="24"/>
        </w:rPr>
      </w:pPr>
    </w:p>
    <w:p w14:paraId="565D131C" w14:textId="77777777" w:rsidR="009E6902" w:rsidRPr="00591313" w:rsidRDefault="009E6902" w:rsidP="00591313">
      <w:pPr>
        <w:pStyle w:val="Textoindependiente"/>
        <w:tabs>
          <w:tab w:val="clear" w:pos="708"/>
        </w:tabs>
        <w:spacing w:line="240" w:lineRule="auto"/>
        <w:ind w:left="426" w:right="420"/>
        <w:rPr>
          <w:rFonts w:ascii="Georgia" w:hAnsi="Georgia" w:cs="Arial"/>
          <w:sz w:val="22"/>
          <w:szCs w:val="24"/>
        </w:rPr>
      </w:pPr>
      <w:r w:rsidRPr="00591313">
        <w:rPr>
          <w:rFonts w:ascii="Georgia" w:hAnsi="Georgia" w:cs="Arial"/>
          <w:sz w:val="22"/>
          <w:szCs w:val="24"/>
        </w:rPr>
        <w:t xml:space="preserve">En virtud de ello, esta Corte ha estimado que el derecho a la salud de estos sujetos, </w:t>
      </w:r>
      <w:r w:rsidRPr="00591313">
        <w:rPr>
          <w:rFonts w:ascii="Georgia" w:hAnsi="Georgia" w:cs="Arial"/>
          <w:i/>
          <w:iCs/>
          <w:sz w:val="22"/>
          <w:szCs w:val="24"/>
        </w:rPr>
        <w:t>es un derecho fundamental que reviste mayor importancia por el simple hecho de tratarse de personas de la tercera edad</w:t>
      </w:r>
      <w:r w:rsidRPr="00591313">
        <w:rPr>
          <w:rFonts w:ascii="Georgia" w:hAnsi="Georgia" w:cs="Arial"/>
          <w:sz w:val="22"/>
          <w:szCs w:val="24"/>
        </w:rPr>
        <w:t>, como consecuencia de la situación de indefensión en que se encuentran... (Cursiva extratextual).</w:t>
      </w:r>
    </w:p>
    <w:p w14:paraId="4BB2F0C3" w14:textId="77777777" w:rsidR="009E6902" w:rsidRPr="00AB0D5A" w:rsidRDefault="009E6902" w:rsidP="00AB0D5A">
      <w:pPr>
        <w:pStyle w:val="Textoindependiente"/>
        <w:spacing w:line="276" w:lineRule="auto"/>
        <w:ind w:left="567" w:right="567"/>
        <w:jc w:val="left"/>
        <w:rPr>
          <w:rFonts w:ascii="Georgia" w:hAnsi="Georgia" w:cs="Arial"/>
          <w:szCs w:val="24"/>
        </w:rPr>
      </w:pPr>
    </w:p>
    <w:p w14:paraId="2ACB4FA5" w14:textId="5997F922" w:rsidR="009E6902" w:rsidRDefault="009E6902" w:rsidP="00AB0D5A">
      <w:pPr>
        <w:pStyle w:val="Textoindependiente"/>
        <w:spacing w:line="276" w:lineRule="auto"/>
        <w:ind w:right="51"/>
        <w:rPr>
          <w:rFonts w:ascii="Georgia" w:hAnsi="Georgia" w:cs="Arial"/>
          <w:szCs w:val="24"/>
          <w:lang w:val="es-ES"/>
        </w:rPr>
      </w:pPr>
      <w:r w:rsidRPr="00AB0D5A">
        <w:rPr>
          <w:rFonts w:ascii="Georgia" w:hAnsi="Georgia" w:cs="Arial"/>
          <w:szCs w:val="24"/>
        </w:rPr>
        <w:t>Y, en decisión reciente reiteró aquel razonamiento (</w:t>
      </w:r>
      <w:r w:rsidR="00AB33F7" w:rsidRPr="00AB0D5A">
        <w:rPr>
          <w:rFonts w:ascii="Georgia" w:hAnsi="Georgia" w:cs="Arial"/>
          <w:szCs w:val="24"/>
        </w:rPr>
        <w:t>2021</w:t>
      </w:r>
      <w:r w:rsidRPr="00AB0D5A">
        <w:rPr>
          <w:rFonts w:ascii="Georgia" w:hAnsi="Georgia" w:cs="Arial"/>
          <w:szCs w:val="24"/>
        </w:rPr>
        <w:t>)</w:t>
      </w:r>
      <w:r w:rsidRPr="00AB0D5A">
        <w:rPr>
          <w:rStyle w:val="Refdenotaalpie"/>
          <w:rFonts w:ascii="Georgia" w:hAnsi="Georgia"/>
          <w:szCs w:val="24"/>
        </w:rPr>
        <w:footnoteReference w:id="8"/>
      </w:r>
      <w:r w:rsidRPr="00AB0D5A">
        <w:rPr>
          <w:rFonts w:ascii="Georgia" w:hAnsi="Georgia" w:cs="Arial"/>
          <w:szCs w:val="24"/>
        </w:rPr>
        <w:t xml:space="preserve">: </w:t>
      </w:r>
      <w:r w:rsidR="00AB33F7" w:rsidRPr="00AB0D5A">
        <w:rPr>
          <w:rFonts w:ascii="Georgia" w:hAnsi="Georgia" w:cs="Arial"/>
          <w:i/>
          <w:iCs/>
          <w:szCs w:val="24"/>
        </w:rPr>
        <w:t>“</w:t>
      </w:r>
      <w:r w:rsidR="00AB33F7" w:rsidRPr="00C17276">
        <w:rPr>
          <w:rFonts w:ascii="Georgia" w:hAnsi="Georgia" w:cs="Arial"/>
          <w:i/>
          <w:iCs/>
          <w:sz w:val="22"/>
          <w:szCs w:val="24"/>
        </w:rPr>
        <w:t>(…)</w:t>
      </w:r>
      <w:r w:rsidR="00AB33F7" w:rsidRPr="00C17276">
        <w:rPr>
          <w:rFonts w:ascii="Georgia" w:hAnsi="Georgia" w:cs="Arial"/>
          <w:i/>
          <w:iCs/>
          <w:sz w:val="22"/>
          <w:szCs w:val="24"/>
          <w:lang w:val="es-CO"/>
        </w:rPr>
        <w:t xml:space="preserve"> la garantía del derecho a la salud de sujetos de especial protección constitucional es reforzada. En los términos del Artículo 11 de la Ley 1751 de 2015: “La atención de niños, niñas y adolescentes, mujeres en estado de embarazo, desplazados, víctimas de violencia y del conflicto armado, </w:t>
      </w:r>
      <w:r w:rsidR="00AB33F7" w:rsidRPr="00C17276">
        <w:rPr>
          <w:rFonts w:ascii="Georgia" w:hAnsi="Georgia" w:cs="Arial"/>
          <w:i/>
          <w:iCs/>
          <w:sz w:val="22"/>
          <w:szCs w:val="24"/>
          <w:u w:val="single"/>
          <w:lang w:val="es-CO"/>
        </w:rPr>
        <w:t>la población adulta mayor</w:t>
      </w:r>
      <w:r w:rsidR="00AB33F7" w:rsidRPr="00C17276">
        <w:rPr>
          <w:rFonts w:ascii="Georgia" w:hAnsi="Georgia" w:cs="Arial"/>
          <w:i/>
          <w:iCs/>
          <w:sz w:val="22"/>
          <w:szCs w:val="24"/>
          <w:lang w:val="es-CO"/>
        </w:rPr>
        <w:t xml:space="preserve">, personas que sufren de enfermedades huérfanas y personas en condición de discapacidad, gozarán [sic] de especial protección por parte del Estado. </w:t>
      </w:r>
      <w:r w:rsidR="00AB33F7" w:rsidRPr="00C17276">
        <w:rPr>
          <w:rFonts w:ascii="Georgia" w:hAnsi="Georgia" w:cs="Arial"/>
          <w:i/>
          <w:iCs/>
          <w:sz w:val="22"/>
          <w:szCs w:val="24"/>
          <w:u w:val="single"/>
          <w:lang w:val="es-CO"/>
        </w:rPr>
        <w:t>Su atención en salud no estará limitada por ningún tipo de restricción administrativa o económica.”</w:t>
      </w:r>
      <w:r w:rsidR="00AB33F7" w:rsidRPr="00C17276">
        <w:rPr>
          <w:rFonts w:ascii="Georgia" w:hAnsi="Georgia" w:cs="Arial"/>
          <w:i/>
          <w:iCs/>
          <w:sz w:val="22"/>
          <w:szCs w:val="24"/>
          <w:lang w:val="es-CO"/>
        </w:rPr>
        <w:t xml:space="preserve"> (…)</w:t>
      </w:r>
      <w:r w:rsidR="00AB33F7" w:rsidRPr="00AB0D5A">
        <w:rPr>
          <w:rFonts w:ascii="Georgia" w:hAnsi="Georgia" w:cs="Arial"/>
          <w:i/>
          <w:iCs/>
          <w:szCs w:val="24"/>
          <w:lang w:val="es-CO"/>
        </w:rPr>
        <w:t>”</w:t>
      </w:r>
      <w:r w:rsidRPr="00AB0D5A">
        <w:rPr>
          <w:rFonts w:ascii="Georgia" w:hAnsi="Georgia" w:cs="Arial"/>
          <w:i/>
          <w:iCs/>
          <w:szCs w:val="24"/>
          <w:lang w:val="es-ES"/>
        </w:rPr>
        <w:t xml:space="preserve"> </w:t>
      </w:r>
      <w:r w:rsidRPr="00AB0D5A">
        <w:rPr>
          <w:rFonts w:ascii="Georgia" w:hAnsi="Georgia" w:cs="Arial"/>
          <w:szCs w:val="24"/>
          <w:lang w:val="es-ES"/>
        </w:rPr>
        <w:t>(Línea a propósito).</w:t>
      </w:r>
    </w:p>
    <w:p w14:paraId="363D6F49" w14:textId="77777777" w:rsidR="00C17276" w:rsidRPr="00AB0D5A" w:rsidRDefault="00C17276" w:rsidP="00AB0D5A">
      <w:pPr>
        <w:pStyle w:val="Textoindependiente"/>
        <w:spacing w:line="276" w:lineRule="auto"/>
        <w:ind w:right="51"/>
        <w:rPr>
          <w:rFonts w:ascii="Georgia" w:hAnsi="Georgia" w:cs="Arial"/>
          <w:szCs w:val="24"/>
          <w:lang w:val="es-ES"/>
        </w:rPr>
      </w:pPr>
    </w:p>
    <w:p w14:paraId="1ECFED6C" w14:textId="77777777" w:rsidR="003512D9" w:rsidRPr="00AB0D5A" w:rsidRDefault="000C3A25" w:rsidP="00AB0D5A">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AB0D5A">
        <w:rPr>
          <w:rFonts w:ascii="Georgia" w:hAnsi="Georgia" w:cs="Arial"/>
          <w:b/>
          <w:bCs/>
          <w:smallCaps/>
          <w:lang w:val="es-419"/>
        </w:rPr>
        <w:t>El caso concreto analizado</w:t>
      </w:r>
    </w:p>
    <w:p w14:paraId="519D3AA5" w14:textId="77777777" w:rsidR="00A52531" w:rsidRPr="00AB0D5A" w:rsidRDefault="00A52531" w:rsidP="00AB0D5A">
      <w:pPr>
        <w:spacing w:line="276" w:lineRule="auto"/>
        <w:ind w:right="51"/>
        <w:jc w:val="both"/>
        <w:rPr>
          <w:rFonts w:ascii="Georgia" w:hAnsi="Georgia"/>
        </w:rPr>
      </w:pPr>
    </w:p>
    <w:p w14:paraId="3DD3A978" w14:textId="1357F1F8" w:rsidR="009E6902" w:rsidRPr="00AB0D5A" w:rsidRDefault="009E6902" w:rsidP="00AB0D5A">
      <w:pPr>
        <w:spacing w:line="276" w:lineRule="auto"/>
        <w:jc w:val="both"/>
        <w:rPr>
          <w:rFonts w:ascii="Georgia" w:hAnsi="Georgia"/>
          <w:lang w:val="es-ES_tradnl"/>
        </w:rPr>
      </w:pPr>
      <w:bookmarkStart w:id="3" w:name="_Hlk79261241"/>
      <w:r w:rsidRPr="00AB0D5A">
        <w:rPr>
          <w:rFonts w:ascii="Georgia" w:hAnsi="Georgia"/>
          <w:lang w:val="es-ES_tradnl"/>
        </w:rPr>
        <w:t xml:space="preserve">De acuerdo con la aludida normativa y jurisprudencia, se confirmará la sentencia de primera instancia, </w:t>
      </w:r>
      <w:r w:rsidR="004A2DA4" w:rsidRPr="00AB0D5A">
        <w:rPr>
          <w:rFonts w:ascii="Georgia" w:hAnsi="Georgia"/>
          <w:lang w:val="es-ES_tradnl"/>
        </w:rPr>
        <w:t xml:space="preserve">pues </w:t>
      </w:r>
      <w:r w:rsidRPr="00AB0D5A">
        <w:rPr>
          <w:rFonts w:ascii="Georgia" w:hAnsi="Georgia"/>
          <w:lang w:val="es-ES_tradnl"/>
        </w:rPr>
        <w:t>el interesado cumple los presupuestos para ser beneficiario del servicio de trasporte y viático</w:t>
      </w:r>
      <w:r w:rsidR="004A2DA4" w:rsidRPr="00AB0D5A">
        <w:rPr>
          <w:rFonts w:ascii="Georgia" w:hAnsi="Georgia"/>
          <w:lang w:val="es-ES_tradnl"/>
        </w:rPr>
        <w:t>s</w:t>
      </w:r>
      <w:r w:rsidRPr="00AB0D5A">
        <w:rPr>
          <w:rFonts w:ascii="Georgia" w:hAnsi="Georgia"/>
          <w:lang w:val="es-ES_tradnl"/>
        </w:rPr>
        <w:t xml:space="preserve"> para asistir a consulta médica autorizada en una municipalidad diferente a la de su residencia.</w:t>
      </w:r>
    </w:p>
    <w:p w14:paraId="483C6E75" w14:textId="37D94581" w:rsidR="00B5525F" w:rsidRPr="00AB0D5A" w:rsidRDefault="00B5525F" w:rsidP="00AB0D5A">
      <w:pPr>
        <w:spacing w:line="276" w:lineRule="auto"/>
        <w:ind w:right="51"/>
        <w:jc w:val="both"/>
        <w:rPr>
          <w:rFonts w:ascii="Georgia" w:hAnsi="Georgia"/>
          <w:lang w:val="es-ES_tradnl"/>
        </w:rPr>
      </w:pPr>
    </w:p>
    <w:p w14:paraId="0776881C" w14:textId="40E2410A" w:rsidR="00D81E47" w:rsidRPr="00AB0D5A" w:rsidRDefault="00BB1C53" w:rsidP="00AB0D5A">
      <w:pPr>
        <w:spacing w:line="276" w:lineRule="auto"/>
        <w:ind w:right="51"/>
        <w:jc w:val="both"/>
        <w:rPr>
          <w:rFonts w:ascii="Georgia" w:hAnsi="Georgia"/>
        </w:rPr>
      </w:pPr>
      <w:r w:rsidRPr="00AB0D5A">
        <w:rPr>
          <w:rFonts w:ascii="Georgia" w:hAnsi="Georgia"/>
        </w:rPr>
        <w:t xml:space="preserve">La CC </w:t>
      </w:r>
      <w:r w:rsidR="004A2DA4" w:rsidRPr="00AB0D5A">
        <w:rPr>
          <w:rFonts w:ascii="Georgia" w:hAnsi="Georgia"/>
        </w:rPr>
        <w:t xml:space="preserve">de forma reiterada </w:t>
      </w:r>
      <w:r w:rsidR="00231942" w:rsidRPr="00AB0D5A">
        <w:rPr>
          <w:rFonts w:ascii="Georgia" w:hAnsi="Georgia"/>
        </w:rPr>
        <w:t>(</w:t>
      </w:r>
      <w:r w:rsidR="00624AB0" w:rsidRPr="00AB0D5A">
        <w:rPr>
          <w:rFonts w:ascii="Georgia" w:hAnsi="Georgia"/>
        </w:rPr>
        <w:t>2021</w:t>
      </w:r>
      <w:r w:rsidR="00231942" w:rsidRPr="00AB0D5A">
        <w:rPr>
          <w:rFonts w:ascii="Georgia" w:hAnsi="Georgia"/>
        </w:rPr>
        <w:t>)</w:t>
      </w:r>
      <w:r w:rsidR="00624AB0" w:rsidRPr="00AB0D5A">
        <w:rPr>
          <w:rStyle w:val="Refdenotaalpie"/>
          <w:rFonts w:ascii="Georgia" w:hAnsi="Georgia"/>
          <w:lang w:val="es-CO" w:eastAsia="es-CO"/>
        </w:rPr>
        <w:footnoteReference w:id="9"/>
      </w:r>
      <w:r w:rsidR="00231942" w:rsidRPr="00AB0D5A">
        <w:rPr>
          <w:rFonts w:ascii="Georgia" w:hAnsi="Georgia"/>
        </w:rPr>
        <w:t xml:space="preserve"> </w:t>
      </w:r>
      <w:r w:rsidRPr="00AB0D5A">
        <w:rPr>
          <w:rFonts w:ascii="Georgia" w:hAnsi="Georgia"/>
        </w:rPr>
        <w:t>ha expuesto que</w:t>
      </w:r>
      <w:r w:rsidR="00D81E47" w:rsidRPr="00AB0D5A">
        <w:rPr>
          <w:rFonts w:ascii="Georgia" w:hAnsi="Georgia"/>
        </w:rPr>
        <w:t xml:space="preserve">, por regla general, en aplicación del principio de solidaridad, el accionante como sus familiares están obligados a asumir los </w:t>
      </w:r>
      <w:r w:rsidR="00D81E47" w:rsidRPr="00AB0D5A">
        <w:rPr>
          <w:rFonts w:ascii="Georgia" w:hAnsi="Georgia"/>
        </w:rPr>
        <w:lastRenderedPageBreak/>
        <w:t xml:space="preserve">gastos necesarios para acceder a los servicios médicos autorizados en otras localidades; empero, fijó cuarto subreglas concomitantes </w:t>
      </w:r>
      <w:r w:rsidR="004A2DA4" w:rsidRPr="00AB0D5A">
        <w:rPr>
          <w:rFonts w:ascii="Georgia" w:hAnsi="Georgia"/>
        </w:rPr>
        <w:t>que,</w:t>
      </w:r>
      <w:r w:rsidR="00D81E47" w:rsidRPr="00AB0D5A">
        <w:rPr>
          <w:rFonts w:ascii="Georgia" w:hAnsi="Georgia"/>
        </w:rPr>
        <w:t xml:space="preserve"> de verificarse</w:t>
      </w:r>
      <w:r w:rsidR="00E51F50" w:rsidRPr="00AB0D5A">
        <w:rPr>
          <w:rFonts w:ascii="Georgia" w:hAnsi="Georgia"/>
        </w:rPr>
        <w:t>,</w:t>
      </w:r>
      <w:r w:rsidR="00D81E47" w:rsidRPr="00AB0D5A">
        <w:rPr>
          <w:rFonts w:ascii="Georgia" w:hAnsi="Georgia"/>
        </w:rPr>
        <w:t xml:space="preserve"> implican </w:t>
      </w:r>
      <w:r w:rsidR="00E51F50" w:rsidRPr="00AB0D5A">
        <w:rPr>
          <w:rFonts w:ascii="Georgia" w:hAnsi="Georgia"/>
        </w:rPr>
        <w:t xml:space="preserve">a </w:t>
      </w:r>
      <w:r w:rsidRPr="00AB0D5A">
        <w:rPr>
          <w:rFonts w:ascii="Georgia" w:hAnsi="Georgia"/>
        </w:rPr>
        <w:t xml:space="preserve">las EPS </w:t>
      </w:r>
      <w:r w:rsidR="00E51F50" w:rsidRPr="00AB0D5A">
        <w:rPr>
          <w:rFonts w:ascii="Georgia" w:hAnsi="Georgia"/>
        </w:rPr>
        <w:t xml:space="preserve">garantizar </w:t>
      </w:r>
      <w:r w:rsidR="00D81E47" w:rsidRPr="00AB0D5A">
        <w:rPr>
          <w:rFonts w:ascii="Georgia" w:hAnsi="Georgia"/>
        </w:rPr>
        <w:t>el servicio de trasporte</w:t>
      </w:r>
      <w:bookmarkEnd w:id="3"/>
      <w:r w:rsidR="00D81E47" w:rsidRPr="00AB0D5A">
        <w:rPr>
          <w:rFonts w:ascii="Georgia" w:hAnsi="Georgia"/>
        </w:rPr>
        <w:t xml:space="preserve">, a saber: </w:t>
      </w:r>
    </w:p>
    <w:p w14:paraId="49DC3E2C" w14:textId="77777777" w:rsidR="00D81E47" w:rsidRPr="00AB0D5A" w:rsidRDefault="00D81E47" w:rsidP="00AB0D5A">
      <w:pPr>
        <w:spacing w:line="276" w:lineRule="auto"/>
        <w:ind w:right="51"/>
        <w:jc w:val="both"/>
        <w:rPr>
          <w:rFonts w:ascii="Georgia" w:hAnsi="Georgia"/>
          <w:lang w:val="es-ES_tradnl"/>
        </w:rPr>
      </w:pPr>
    </w:p>
    <w:p w14:paraId="254C4493" w14:textId="1B80F89A" w:rsidR="00BB1C53" w:rsidRPr="00591313" w:rsidRDefault="00D81E47" w:rsidP="00591313">
      <w:pPr>
        <w:ind w:left="426" w:right="420"/>
        <w:jc w:val="both"/>
        <w:rPr>
          <w:rFonts w:ascii="Georgia" w:hAnsi="Georgia"/>
          <w:sz w:val="22"/>
          <w:lang w:val="es-ES_tradnl"/>
        </w:rPr>
      </w:pPr>
      <w:r w:rsidRPr="00591313">
        <w:rPr>
          <w:rFonts w:ascii="Georgia" w:hAnsi="Georgia"/>
          <w:sz w:val="22"/>
          <w:lang w:val="es-ES_tradnl"/>
        </w:rPr>
        <w:t xml:space="preserve">… </w:t>
      </w:r>
      <w:r w:rsidR="00BB1C53" w:rsidRPr="00591313">
        <w:rPr>
          <w:rFonts w:ascii="Georgia" w:hAnsi="Georgia"/>
          <w:sz w:val="22"/>
          <w:lang w:val="es-ES_tradnl"/>
        </w:rPr>
        <w:t xml:space="preserve">cuando los </w:t>
      </w:r>
      <w:r w:rsidRPr="00591313">
        <w:rPr>
          <w:rFonts w:ascii="Georgia" w:hAnsi="Georgia"/>
          <w:sz w:val="22"/>
          <w:lang w:val="es-ES_tradnl"/>
        </w:rPr>
        <w:t>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w:t>
      </w:r>
      <w:proofErr w:type="spellStart"/>
      <w:r w:rsidRPr="00591313">
        <w:rPr>
          <w:rFonts w:ascii="Georgia" w:hAnsi="Georgia"/>
          <w:sz w:val="22"/>
          <w:lang w:val="es-ES_tradnl"/>
        </w:rPr>
        <w:t>iii</w:t>
      </w:r>
      <w:proofErr w:type="spellEnd"/>
      <w:r w:rsidRPr="00591313">
        <w:rPr>
          <w:rFonts w:ascii="Georgia" w:hAnsi="Georgia"/>
          <w:sz w:val="22"/>
          <w:lang w:val="es-ES_tradnl"/>
        </w:rPr>
        <w:t>) que de no efectuarse la remisión se ponga en riesgo la vida, la integridad física o el estado de salud del usuario”. A lo anterior se ha añadido que: (</w:t>
      </w:r>
      <w:proofErr w:type="spellStart"/>
      <w:r w:rsidRPr="00591313">
        <w:rPr>
          <w:rFonts w:ascii="Georgia" w:hAnsi="Georgia"/>
          <w:sz w:val="22"/>
          <w:lang w:val="es-ES_tradnl"/>
        </w:rPr>
        <w:t>iv</w:t>
      </w:r>
      <w:proofErr w:type="spellEnd"/>
      <w:r w:rsidRPr="00591313">
        <w:rPr>
          <w:rFonts w:ascii="Georgia" w:hAnsi="Georgia"/>
          <w:sz w:val="22"/>
          <w:lang w:val="es-ES_tradnl"/>
        </w:rPr>
        <w:t>) si la atención médica en el lugar de remisión exigiere más de un día de duración, se cubrirán los gastos de alojamiento y manutención…</w:t>
      </w:r>
    </w:p>
    <w:p w14:paraId="78DA91F0" w14:textId="3A69B935" w:rsidR="00D81E47" w:rsidRPr="00AB0D5A" w:rsidRDefault="00D81E47" w:rsidP="00AB0D5A">
      <w:pPr>
        <w:spacing w:line="276" w:lineRule="auto"/>
        <w:ind w:right="618"/>
        <w:jc w:val="both"/>
        <w:rPr>
          <w:rFonts w:ascii="Georgia" w:hAnsi="Georgia"/>
          <w:lang w:val="es-ES_tradnl"/>
        </w:rPr>
      </w:pPr>
    </w:p>
    <w:p w14:paraId="32D73C07" w14:textId="3EF4E5FA" w:rsidR="00B91547" w:rsidRPr="00AB0D5A" w:rsidRDefault="0007277F" w:rsidP="00AB0D5A">
      <w:pPr>
        <w:spacing w:line="276" w:lineRule="auto"/>
        <w:ind w:right="51"/>
        <w:jc w:val="both"/>
        <w:rPr>
          <w:rFonts w:ascii="Georgia" w:hAnsi="Georgia"/>
          <w:lang w:val="es-ES_tradnl"/>
        </w:rPr>
      </w:pPr>
      <w:r w:rsidRPr="00AB0D5A">
        <w:rPr>
          <w:rFonts w:ascii="Georgia" w:hAnsi="Georgia"/>
          <w:lang w:val="es-ES_tradnl"/>
        </w:rPr>
        <w:t xml:space="preserve">Se </w:t>
      </w:r>
      <w:r w:rsidR="00B91547" w:rsidRPr="00AB0D5A">
        <w:rPr>
          <w:rFonts w:ascii="Georgia" w:hAnsi="Georgia"/>
          <w:lang w:val="es-ES_tradnl"/>
        </w:rPr>
        <w:t xml:space="preserve">realizará un análisis flexible </w:t>
      </w:r>
      <w:r w:rsidR="00E51F50" w:rsidRPr="00AB0D5A">
        <w:rPr>
          <w:rFonts w:ascii="Georgia" w:hAnsi="Georgia"/>
          <w:lang w:val="es-ES_tradnl"/>
        </w:rPr>
        <w:t>de los presupuestos jurisprudenciales</w:t>
      </w:r>
      <w:r w:rsidR="00B91547" w:rsidRPr="00AB0D5A">
        <w:rPr>
          <w:rFonts w:ascii="Georgia" w:hAnsi="Georgia"/>
          <w:lang w:val="es-ES_tradnl"/>
        </w:rPr>
        <w:t xml:space="preserve">, como quiera que </w:t>
      </w:r>
      <w:r w:rsidR="00E51F50" w:rsidRPr="00AB0D5A">
        <w:rPr>
          <w:rFonts w:ascii="Georgia" w:hAnsi="Georgia"/>
          <w:lang w:val="es-ES_tradnl"/>
        </w:rPr>
        <w:t xml:space="preserve">el actor </w:t>
      </w:r>
      <w:r w:rsidRPr="00AB0D5A">
        <w:rPr>
          <w:rFonts w:ascii="Georgia" w:hAnsi="Georgia"/>
          <w:lang w:val="es-ES_tradnl"/>
        </w:rPr>
        <w:t xml:space="preserve">tiene 78 años, </w:t>
      </w:r>
      <w:r w:rsidR="00B91547" w:rsidRPr="00AB0D5A">
        <w:rPr>
          <w:rFonts w:ascii="Georgia" w:hAnsi="Georgia"/>
          <w:lang w:val="es-ES_tradnl"/>
        </w:rPr>
        <w:t xml:space="preserve">es </w:t>
      </w:r>
      <w:r w:rsidR="00F4244D" w:rsidRPr="00AB0D5A">
        <w:rPr>
          <w:rFonts w:ascii="Georgia" w:hAnsi="Georgia"/>
          <w:lang w:val="es-ES_tradnl"/>
        </w:rPr>
        <w:t xml:space="preserve">un </w:t>
      </w:r>
      <w:r w:rsidR="00E51F50" w:rsidRPr="00AB0D5A">
        <w:rPr>
          <w:rFonts w:ascii="Georgia" w:hAnsi="Georgia"/>
          <w:lang w:val="es-ES_tradnl"/>
        </w:rPr>
        <w:t xml:space="preserve">adulto mayor </w:t>
      </w:r>
      <w:r w:rsidR="004A2DA4" w:rsidRPr="00AB0D5A">
        <w:rPr>
          <w:rFonts w:ascii="Georgia" w:hAnsi="Georgia"/>
          <w:lang w:val="es-ES_tradnl"/>
        </w:rPr>
        <w:t xml:space="preserve">(Cuaderno No.1, documento No.02, folios 7-8) </w:t>
      </w:r>
      <w:r w:rsidR="00B91547" w:rsidRPr="00AB0D5A">
        <w:rPr>
          <w:rFonts w:ascii="Georgia" w:hAnsi="Georgia"/>
          <w:lang w:val="es-ES_tradnl"/>
        </w:rPr>
        <w:t xml:space="preserve">y amerita un trato diferenciado; </w:t>
      </w:r>
      <w:r w:rsidR="00F4244D" w:rsidRPr="00AB0D5A">
        <w:rPr>
          <w:rFonts w:ascii="Georgia" w:hAnsi="Georgia"/>
          <w:lang w:val="es-ES_tradnl"/>
        </w:rPr>
        <w:t>por lo tanto</w:t>
      </w:r>
      <w:r w:rsidR="00B91547" w:rsidRPr="00AB0D5A">
        <w:rPr>
          <w:rFonts w:ascii="Georgia" w:hAnsi="Georgia"/>
          <w:lang w:val="es-ES_tradnl"/>
        </w:rPr>
        <w:t xml:space="preserve">, revisado el acervo probatorio, sin duda </w:t>
      </w:r>
      <w:r w:rsidR="00F4244D" w:rsidRPr="00AB0D5A">
        <w:rPr>
          <w:rFonts w:ascii="Georgia" w:hAnsi="Georgia"/>
          <w:lang w:val="es-ES_tradnl"/>
        </w:rPr>
        <w:t xml:space="preserve">se </w:t>
      </w:r>
      <w:r w:rsidR="00B91547" w:rsidRPr="00AB0D5A">
        <w:rPr>
          <w:rFonts w:ascii="Georgia" w:hAnsi="Georgia"/>
          <w:lang w:val="es-ES_tradnl"/>
        </w:rPr>
        <w:t xml:space="preserve">colige que la EPS trasgredió </w:t>
      </w:r>
      <w:r w:rsidR="00F4244D" w:rsidRPr="00AB0D5A">
        <w:rPr>
          <w:rFonts w:ascii="Georgia" w:hAnsi="Georgia"/>
          <w:lang w:val="es-ES_tradnl"/>
        </w:rPr>
        <w:t xml:space="preserve">su </w:t>
      </w:r>
      <w:r w:rsidR="00B91547" w:rsidRPr="00AB0D5A">
        <w:rPr>
          <w:rFonts w:ascii="Georgia" w:hAnsi="Georgia"/>
          <w:lang w:val="es-ES_tradnl"/>
        </w:rPr>
        <w:t>derecho a la salud, pues, pretirió suministrar</w:t>
      </w:r>
      <w:r w:rsidR="00F4244D" w:rsidRPr="00AB0D5A">
        <w:rPr>
          <w:rFonts w:ascii="Georgia" w:hAnsi="Georgia"/>
          <w:lang w:val="es-ES_tradnl"/>
        </w:rPr>
        <w:t>le</w:t>
      </w:r>
      <w:r w:rsidR="00B91547" w:rsidRPr="00AB0D5A">
        <w:rPr>
          <w:rFonts w:ascii="Georgia" w:hAnsi="Georgia"/>
          <w:lang w:val="es-ES_tradnl"/>
        </w:rPr>
        <w:t xml:space="preserve"> el servicio de trasporte</w:t>
      </w:r>
      <w:r w:rsidR="004A2DA4" w:rsidRPr="00AB0D5A">
        <w:rPr>
          <w:rFonts w:ascii="Georgia" w:hAnsi="Georgia"/>
          <w:lang w:val="es-ES_tradnl"/>
        </w:rPr>
        <w:t xml:space="preserve">, </w:t>
      </w:r>
      <w:r w:rsidR="00F4244D" w:rsidRPr="00AB0D5A">
        <w:rPr>
          <w:rFonts w:ascii="Georgia" w:hAnsi="Georgia"/>
          <w:lang w:val="es-ES_tradnl"/>
        </w:rPr>
        <w:t>pese a</w:t>
      </w:r>
      <w:r w:rsidR="00B91547" w:rsidRPr="00AB0D5A">
        <w:rPr>
          <w:rFonts w:ascii="Georgia" w:hAnsi="Georgia"/>
          <w:lang w:val="es-ES_tradnl"/>
        </w:rPr>
        <w:t xml:space="preserve"> </w:t>
      </w:r>
      <w:r w:rsidRPr="00AB0D5A">
        <w:rPr>
          <w:rFonts w:ascii="Georgia" w:hAnsi="Georgia"/>
          <w:lang w:val="es-ES_tradnl"/>
        </w:rPr>
        <w:t xml:space="preserve">reunir </w:t>
      </w:r>
      <w:r w:rsidR="00B91547" w:rsidRPr="00AB0D5A">
        <w:rPr>
          <w:rFonts w:ascii="Georgia" w:hAnsi="Georgia"/>
          <w:lang w:val="es-ES_tradnl"/>
        </w:rPr>
        <w:t>los requisitos reseñados.</w:t>
      </w:r>
    </w:p>
    <w:p w14:paraId="5F27E781" w14:textId="77777777" w:rsidR="004A2DA4" w:rsidRPr="00AB0D5A" w:rsidRDefault="004A2DA4" w:rsidP="00AB0D5A">
      <w:pPr>
        <w:spacing w:line="276" w:lineRule="auto"/>
        <w:ind w:right="51"/>
        <w:jc w:val="both"/>
        <w:rPr>
          <w:rFonts w:ascii="Georgia" w:hAnsi="Georgia"/>
          <w:lang w:val="es-ES_tradnl"/>
        </w:rPr>
      </w:pPr>
    </w:p>
    <w:p w14:paraId="4D8BCFD0" w14:textId="37A08CD1" w:rsidR="00D81E47" w:rsidRPr="00AB0D5A" w:rsidRDefault="00B91547" w:rsidP="00AB0D5A">
      <w:pPr>
        <w:spacing w:line="276" w:lineRule="auto"/>
        <w:ind w:right="51"/>
        <w:jc w:val="both"/>
        <w:rPr>
          <w:rFonts w:ascii="Georgia" w:hAnsi="Georgia"/>
          <w:lang w:val="es-ES_tradnl"/>
        </w:rPr>
      </w:pPr>
      <w:r w:rsidRPr="00AB0D5A">
        <w:rPr>
          <w:rFonts w:ascii="Georgia" w:hAnsi="Georgia"/>
          <w:lang w:val="es-ES_tradnl"/>
        </w:rPr>
        <w:t>En efecto, nótese: (</w:t>
      </w:r>
      <w:r w:rsidR="00E51F50" w:rsidRPr="00AB0D5A">
        <w:rPr>
          <w:rFonts w:ascii="Georgia" w:hAnsi="Georgia"/>
          <w:lang w:val="es-ES_tradnl"/>
        </w:rPr>
        <w:t xml:space="preserve">i) </w:t>
      </w:r>
      <w:r w:rsidRPr="00AB0D5A">
        <w:rPr>
          <w:rFonts w:ascii="Georgia" w:hAnsi="Georgia"/>
          <w:lang w:val="es-ES_tradnl"/>
        </w:rPr>
        <w:t xml:space="preserve">Que el galeno </w:t>
      </w:r>
      <w:r w:rsidR="004A2DA4" w:rsidRPr="00AB0D5A">
        <w:rPr>
          <w:rFonts w:ascii="Georgia" w:hAnsi="Georgia"/>
          <w:lang w:val="es-ES_tradnl"/>
        </w:rPr>
        <w:t xml:space="preserve">lo remitió a </w:t>
      </w:r>
      <w:r w:rsidRPr="00AB0D5A">
        <w:rPr>
          <w:rFonts w:ascii="Georgia" w:hAnsi="Georgia"/>
          <w:lang w:val="es-ES_tradnl"/>
        </w:rPr>
        <w:t xml:space="preserve">Bogotá </w:t>
      </w:r>
      <w:r w:rsidR="004A2DA4" w:rsidRPr="00AB0D5A">
        <w:rPr>
          <w:rFonts w:ascii="Georgia" w:hAnsi="Georgia"/>
          <w:lang w:val="es-ES_tradnl"/>
        </w:rPr>
        <w:t xml:space="preserve">DC </w:t>
      </w:r>
      <w:r w:rsidRPr="00AB0D5A">
        <w:rPr>
          <w:rFonts w:ascii="Georgia" w:hAnsi="Georgia"/>
          <w:lang w:val="es-ES_tradnl"/>
        </w:rPr>
        <w:t xml:space="preserve">para </w:t>
      </w:r>
      <w:r w:rsidR="00E51F50" w:rsidRPr="00AB0D5A">
        <w:rPr>
          <w:rFonts w:ascii="Georgia" w:hAnsi="Georgia"/>
          <w:lang w:val="es-ES_tradnl"/>
        </w:rPr>
        <w:t xml:space="preserve">valoración </w:t>
      </w:r>
      <w:r w:rsidR="00337021" w:rsidRPr="00AB0D5A">
        <w:rPr>
          <w:rFonts w:ascii="Georgia" w:hAnsi="Georgia"/>
          <w:lang w:val="es-ES_tradnl"/>
        </w:rPr>
        <w:t>y corrección de</w:t>
      </w:r>
      <w:r w:rsidR="00E51F50" w:rsidRPr="00AB0D5A">
        <w:rPr>
          <w:rFonts w:ascii="Georgia" w:hAnsi="Georgia"/>
          <w:lang w:val="es-ES_tradnl"/>
        </w:rPr>
        <w:t xml:space="preserve"> los problemas causados por la prótesis: </w:t>
      </w:r>
      <w:r w:rsidR="00E51F50" w:rsidRPr="00AB0D5A">
        <w:rPr>
          <w:rFonts w:ascii="Georgia" w:hAnsi="Georgia"/>
          <w:i/>
          <w:iCs/>
          <w:lang w:val="es-ES_tradnl"/>
        </w:rPr>
        <w:t>“</w:t>
      </w:r>
      <w:r w:rsidR="00E51F50" w:rsidRPr="00C17276">
        <w:rPr>
          <w:rFonts w:ascii="Georgia" w:hAnsi="Georgia"/>
          <w:i/>
          <w:iCs/>
          <w:sz w:val="22"/>
          <w:lang w:val="es-ES_tradnl"/>
        </w:rPr>
        <w:t>(…) LA PRÓTESIS NUEVA (…) LE LASCERO (SIC) EL MUÑÓN (…) REQUIERE CAMBIOS Y ADECUACIONES EN LA PRÓTESIS DE ACUERDO A LA REVISIN (SIC) TÉCNICA REALIZADA POR LA FUNDACIÓN CIREC DE BOGOTA (SIC) FECHADA EN AGOSTO 5 DE 2020 (…)</w:t>
      </w:r>
      <w:r w:rsidR="00E51F50" w:rsidRPr="00AB0D5A">
        <w:rPr>
          <w:rFonts w:ascii="Georgia" w:hAnsi="Georgia"/>
          <w:i/>
          <w:iCs/>
          <w:lang w:val="es-ES_tradnl"/>
        </w:rPr>
        <w:t>”</w:t>
      </w:r>
      <w:r w:rsidR="00E51F50" w:rsidRPr="00AB0D5A">
        <w:rPr>
          <w:rFonts w:ascii="Georgia" w:hAnsi="Georgia"/>
          <w:lang w:val="es-ES_tradnl"/>
        </w:rPr>
        <w:t xml:space="preserve"> (Cuaderno No.</w:t>
      </w:r>
      <w:r w:rsidRPr="00AB0D5A">
        <w:rPr>
          <w:rFonts w:ascii="Georgia" w:hAnsi="Georgia"/>
          <w:lang w:val="es-ES_tradnl"/>
        </w:rPr>
        <w:t>1, documento N</w:t>
      </w:r>
      <w:r w:rsidR="004A2DA4" w:rsidRPr="00AB0D5A">
        <w:rPr>
          <w:rFonts w:ascii="Georgia" w:hAnsi="Georgia"/>
          <w:lang w:val="es-ES_tradnl"/>
        </w:rPr>
        <w:t>o</w:t>
      </w:r>
      <w:r w:rsidRPr="00AB0D5A">
        <w:rPr>
          <w:rFonts w:ascii="Georgia" w:hAnsi="Georgia"/>
          <w:lang w:val="es-ES_tradnl"/>
        </w:rPr>
        <w:t>.02, folio 4).</w:t>
      </w:r>
      <w:r w:rsidR="00E51F50" w:rsidRPr="00AB0D5A">
        <w:rPr>
          <w:rFonts w:ascii="Georgia" w:hAnsi="Georgia"/>
          <w:lang w:val="es-ES_tradnl"/>
        </w:rPr>
        <w:t xml:space="preserve"> </w:t>
      </w:r>
    </w:p>
    <w:p w14:paraId="0720ADEB" w14:textId="60CECBE2" w:rsidR="00E51F50" w:rsidRPr="00AB0D5A" w:rsidRDefault="00E51F50" w:rsidP="00AB0D5A">
      <w:pPr>
        <w:spacing w:line="276" w:lineRule="auto"/>
        <w:ind w:right="51"/>
        <w:jc w:val="both"/>
        <w:rPr>
          <w:rFonts w:ascii="Georgia" w:hAnsi="Georgia"/>
          <w:lang w:val="es-ES_tradnl"/>
        </w:rPr>
      </w:pPr>
    </w:p>
    <w:p w14:paraId="4700C857" w14:textId="7372B540" w:rsidR="00F4244D" w:rsidRPr="00AB0D5A" w:rsidRDefault="00B91547" w:rsidP="00AB0D5A">
      <w:pPr>
        <w:spacing w:line="276" w:lineRule="auto"/>
        <w:ind w:right="51"/>
        <w:jc w:val="both"/>
        <w:rPr>
          <w:rFonts w:ascii="Georgia" w:hAnsi="Georgia"/>
          <w:lang w:val="es-ES_tradnl"/>
        </w:rPr>
      </w:pPr>
      <w:r w:rsidRPr="00AB0D5A">
        <w:rPr>
          <w:rFonts w:ascii="Georgia" w:hAnsi="Georgia"/>
          <w:lang w:val="es-ES_tradnl"/>
        </w:rPr>
        <w:t>También es claro</w:t>
      </w:r>
      <w:r w:rsidR="00F4244D" w:rsidRPr="00AB0D5A">
        <w:rPr>
          <w:rFonts w:ascii="Georgia" w:hAnsi="Georgia"/>
          <w:lang w:val="es-ES_tradnl"/>
        </w:rPr>
        <w:t>:</w:t>
      </w:r>
      <w:r w:rsidRPr="00AB0D5A">
        <w:rPr>
          <w:rFonts w:ascii="Georgia" w:hAnsi="Georgia"/>
          <w:lang w:val="es-ES_tradnl"/>
        </w:rPr>
        <w:t xml:space="preserve"> (ii) Que carece de recursos para costear el trasporte y estadía. Sus ingresos mensuales ascienden a $908.000 y los destina al pago de arriendo y servicios</w:t>
      </w:r>
      <w:r w:rsidR="004A2DA4" w:rsidRPr="00AB0D5A">
        <w:rPr>
          <w:rFonts w:ascii="Georgia" w:hAnsi="Georgia"/>
          <w:lang w:val="es-ES_tradnl"/>
        </w:rPr>
        <w:t>,</w:t>
      </w:r>
      <w:r w:rsidRPr="00AB0D5A">
        <w:rPr>
          <w:rFonts w:ascii="Georgia" w:hAnsi="Georgia"/>
          <w:lang w:val="es-ES_tradnl"/>
        </w:rPr>
        <w:t xml:space="preserve"> por valor de $200.000</w:t>
      </w:r>
      <w:r w:rsidR="004A2DA4" w:rsidRPr="00AB0D5A">
        <w:rPr>
          <w:rFonts w:ascii="Georgia" w:hAnsi="Georgia"/>
          <w:lang w:val="es-ES_tradnl"/>
        </w:rPr>
        <w:t>,</w:t>
      </w:r>
      <w:r w:rsidRPr="00AB0D5A">
        <w:rPr>
          <w:rFonts w:ascii="Georgia" w:hAnsi="Georgia"/>
          <w:lang w:val="es-ES_tradnl"/>
        </w:rPr>
        <w:t xml:space="preserve"> y ayuda </w:t>
      </w:r>
      <w:r w:rsidR="00F4244D" w:rsidRPr="00AB0D5A">
        <w:rPr>
          <w:rFonts w:ascii="Georgia" w:hAnsi="Georgia"/>
          <w:lang w:val="es-ES_tradnl"/>
        </w:rPr>
        <w:t xml:space="preserve">económica </w:t>
      </w:r>
      <w:r w:rsidRPr="00AB0D5A">
        <w:rPr>
          <w:rFonts w:ascii="Georgia" w:hAnsi="Georgia"/>
          <w:lang w:val="es-ES_tradnl"/>
        </w:rPr>
        <w:t xml:space="preserve">a </w:t>
      </w:r>
      <w:r w:rsidR="00F4244D" w:rsidRPr="00AB0D5A">
        <w:rPr>
          <w:rFonts w:ascii="Georgia" w:hAnsi="Georgia"/>
          <w:lang w:val="es-ES_tradnl"/>
        </w:rPr>
        <w:t xml:space="preserve">su </w:t>
      </w:r>
      <w:r w:rsidRPr="00AB0D5A">
        <w:rPr>
          <w:rFonts w:ascii="Georgia" w:hAnsi="Georgia"/>
          <w:lang w:val="es-ES_tradnl"/>
        </w:rPr>
        <w:t>excónyuge</w:t>
      </w:r>
      <w:r w:rsidR="004A2DA4" w:rsidRPr="00AB0D5A">
        <w:rPr>
          <w:rFonts w:ascii="Georgia" w:hAnsi="Georgia"/>
          <w:lang w:val="es-ES_tradnl"/>
        </w:rPr>
        <w:t>,</w:t>
      </w:r>
      <w:r w:rsidRPr="00AB0D5A">
        <w:rPr>
          <w:rFonts w:ascii="Georgia" w:hAnsi="Georgia"/>
          <w:lang w:val="es-ES_tradnl"/>
        </w:rPr>
        <w:t xml:space="preserve"> </w:t>
      </w:r>
      <w:r w:rsidR="00F4244D" w:rsidRPr="00AB0D5A">
        <w:rPr>
          <w:rFonts w:ascii="Georgia" w:hAnsi="Georgia"/>
          <w:lang w:val="es-ES_tradnl"/>
        </w:rPr>
        <w:t xml:space="preserve">por la suma de $150.000. No explicó la destinación del remanente, pero lo cierto es que $558.000 son apenas suficientes para sufragar la alimentación, vestido, salud y recreación del núcleo familiar integrado con un hermano de 74 años que no trabaja. </w:t>
      </w:r>
      <w:r w:rsidR="00337021" w:rsidRPr="00AB0D5A">
        <w:rPr>
          <w:rFonts w:ascii="Georgia" w:hAnsi="Georgia"/>
          <w:lang w:val="es-ES_tradnl"/>
        </w:rPr>
        <w:t xml:space="preserve">Tampoco </w:t>
      </w:r>
      <w:r w:rsidR="00F4244D" w:rsidRPr="00AB0D5A">
        <w:rPr>
          <w:rFonts w:ascii="Georgia" w:hAnsi="Georgia"/>
          <w:lang w:val="es-ES_tradnl"/>
        </w:rPr>
        <w:t>cuenta con el auxilio de ningún familiar cercano</w:t>
      </w:r>
      <w:r w:rsidR="004A2DA4" w:rsidRPr="00AB0D5A">
        <w:rPr>
          <w:rFonts w:ascii="Georgia" w:hAnsi="Georgia"/>
          <w:lang w:val="es-ES_tradnl"/>
        </w:rPr>
        <w:t xml:space="preserve"> (Cuaderno No.2, documentos Nos.06 y 10)</w:t>
      </w:r>
      <w:r w:rsidR="00F4244D" w:rsidRPr="00AB0D5A">
        <w:rPr>
          <w:rFonts w:ascii="Georgia" w:hAnsi="Georgia"/>
          <w:lang w:val="es-ES_tradnl"/>
        </w:rPr>
        <w:t xml:space="preserve">. </w:t>
      </w:r>
    </w:p>
    <w:p w14:paraId="47413D68" w14:textId="77777777" w:rsidR="00F4244D" w:rsidRPr="00AB0D5A" w:rsidRDefault="00F4244D" w:rsidP="00AB0D5A">
      <w:pPr>
        <w:spacing w:line="276" w:lineRule="auto"/>
        <w:ind w:right="51"/>
        <w:jc w:val="both"/>
        <w:rPr>
          <w:rFonts w:ascii="Georgia" w:hAnsi="Georgia"/>
          <w:lang w:val="es-ES_tradnl"/>
        </w:rPr>
      </w:pPr>
    </w:p>
    <w:p w14:paraId="11FCB6F6" w14:textId="2952BAF9" w:rsidR="00A9103D" w:rsidRPr="00AB0D5A" w:rsidRDefault="00F4244D" w:rsidP="00AB0D5A">
      <w:pPr>
        <w:spacing w:line="276" w:lineRule="auto"/>
        <w:ind w:right="51"/>
        <w:jc w:val="both"/>
        <w:rPr>
          <w:rFonts w:ascii="Georgia" w:hAnsi="Georgia"/>
          <w:lang w:val="es-ES_tradnl"/>
        </w:rPr>
      </w:pPr>
      <w:r w:rsidRPr="00AB0D5A">
        <w:rPr>
          <w:rFonts w:ascii="Georgia" w:hAnsi="Georgia"/>
          <w:lang w:val="es-ES_tradnl"/>
        </w:rPr>
        <w:t>Asimismo, se tiene: (</w:t>
      </w:r>
      <w:proofErr w:type="spellStart"/>
      <w:r w:rsidRPr="00AB0D5A">
        <w:rPr>
          <w:rFonts w:ascii="Georgia" w:hAnsi="Georgia"/>
          <w:lang w:val="es-ES_tradnl"/>
        </w:rPr>
        <w:t>iii</w:t>
      </w:r>
      <w:proofErr w:type="spellEnd"/>
      <w:r w:rsidRPr="00AB0D5A">
        <w:rPr>
          <w:rFonts w:ascii="Georgia" w:hAnsi="Georgia"/>
          <w:lang w:val="es-ES_tradnl"/>
        </w:rPr>
        <w:t xml:space="preserve">) Que la falta de valoración y ajuste de su prótesis </w:t>
      </w:r>
      <w:r w:rsidR="00A9103D" w:rsidRPr="00AB0D5A">
        <w:rPr>
          <w:rFonts w:ascii="Georgia" w:hAnsi="Georgia"/>
          <w:lang w:val="es-ES_tradnl"/>
        </w:rPr>
        <w:t xml:space="preserve">pone </w:t>
      </w:r>
      <w:r w:rsidRPr="00AB0D5A">
        <w:rPr>
          <w:rFonts w:ascii="Georgia" w:hAnsi="Georgia"/>
          <w:lang w:val="es-ES_tradnl"/>
        </w:rPr>
        <w:t>en riesgo su integridad física y afecta su calidad de vida</w:t>
      </w:r>
      <w:r w:rsidR="0007277F" w:rsidRPr="00AB0D5A">
        <w:rPr>
          <w:rFonts w:ascii="Georgia" w:hAnsi="Georgia"/>
          <w:lang w:val="es-ES_tradnl"/>
        </w:rPr>
        <w:t xml:space="preserve"> (Dignidad)</w:t>
      </w:r>
      <w:r w:rsidRPr="00AB0D5A">
        <w:rPr>
          <w:rFonts w:ascii="Georgia" w:hAnsi="Georgia"/>
          <w:lang w:val="es-ES_tradnl"/>
        </w:rPr>
        <w:t xml:space="preserve">. </w:t>
      </w:r>
      <w:r w:rsidR="00A9103D" w:rsidRPr="00AB0D5A">
        <w:rPr>
          <w:rFonts w:ascii="Georgia" w:hAnsi="Georgia"/>
          <w:lang w:val="es-ES_tradnl"/>
        </w:rPr>
        <w:t xml:space="preserve">Es una persona en estado de invalidez, su prótesis actual le </w:t>
      </w:r>
      <w:r w:rsidRPr="00AB0D5A">
        <w:rPr>
          <w:rFonts w:ascii="Georgia" w:hAnsi="Georgia"/>
          <w:lang w:val="es-ES_tradnl"/>
        </w:rPr>
        <w:t xml:space="preserve">causa lesiones en </w:t>
      </w:r>
      <w:r w:rsidR="00A9103D" w:rsidRPr="00AB0D5A">
        <w:rPr>
          <w:rFonts w:ascii="Georgia" w:hAnsi="Georgia"/>
          <w:lang w:val="es-ES_tradnl"/>
        </w:rPr>
        <w:t xml:space="preserve">el </w:t>
      </w:r>
      <w:r w:rsidRPr="00AB0D5A">
        <w:rPr>
          <w:rFonts w:ascii="Georgia" w:hAnsi="Georgia"/>
          <w:lang w:val="es-ES_tradnl"/>
        </w:rPr>
        <w:t xml:space="preserve">muñón </w:t>
      </w:r>
      <w:r w:rsidR="00A9103D" w:rsidRPr="00AB0D5A">
        <w:rPr>
          <w:rFonts w:ascii="Georgia" w:hAnsi="Georgia"/>
          <w:lang w:val="es-ES_tradnl"/>
        </w:rPr>
        <w:t xml:space="preserve">de su pierna izquierda </w:t>
      </w:r>
      <w:r w:rsidRPr="00AB0D5A">
        <w:rPr>
          <w:rFonts w:ascii="Georgia" w:hAnsi="Georgia"/>
          <w:lang w:val="es-ES_tradnl"/>
        </w:rPr>
        <w:t>y lleva nueve (9) meses esperando su práctica</w:t>
      </w:r>
      <w:r w:rsidR="002C0124" w:rsidRPr="00AB0D5A">
        <w:rPr>
          <w:rFonts w:ascii="Georgia" w:hAnsi="Georgia"/>
          <w:lang w:val="es-ES_tradnl"/>
        </w:rPr>
        <w:t xml:space="preserve"> “</w:t>
      </w:r>
      <w:r w:rsidR="002C0124" w:rsidRPr="00C17276">
        <w:rPr>
          <w:rFonts w:ascii="Georgia" w:hAnsi="Georgia"/>
          <w:sz w:val="22"/>
          <w:lang w:val="es-ES_tradnl"/>
        </w:rPr>
        <w:t xml:space="preserve">(…) </w:t>
      </w:r>
      <w:r w:rsidR="002C0124" w:rsidRPr="00C17276">
        <w:rPr>
          <w:rFonts w:ascii="Georgia" w:hAnsi="Georgia"/>
          <w:i/>
          <w:iCs/>
          <w:sz w:val="22"/>
          <w:lang w:val="es-ES_tradnl"/>
        </w:rPr>
        <w:t>REQUIERE CAMBIOS Y ADECUACIONES EN LA PRÓTESIS DE ACUERDO A LA REVISIN (SIC) TÉCNICA REALIZADA POR LA FUNDACIÓN CIREC DE BOGOTA (SIC) FECHADA EN AGOSTO 5 DE 2020 (…)</w:t>
      </w:r>
      <w:r w:rsidR="002C0124" w:rsidRPr="00AB0D5A">
        <w:rPr>
          <w:rFonts w:ascii="Georgia" w:hAnsi="Georgia"/>
          <w:i/>
          <w:iCs/>
          <w:lang w:val="es-ES_tradnl"/>
        </w:rPr>
        <w:t>”</w:t>
      </w:r>
      <w:r w:rsidR="002C0124" w:rsidRPr="00AB0D5A">
        <w:rPr>
          <w:rFonts w:ascii="Georgia" w:hAnsi="Georgia"/>
          <w:lang w:val="es-ES_tradnl"/>
        </w:rPr>
        <w:t xml:space="preserve">  (Cuaderno No.1, documento No.02, folio 4)</w:t>
      </w:r>
      <w:r w:rsidR="00A9103D" w:rsidRPr="00AB0D5A">
        <w:rPr>
          <w:rFonts w:ascii="Georgia" w:hAnsi="Georgia"/>
          <w:lang w:val="es-ES_tradnl"/>
        </w:rPr>
        <w:t xml:space="preserve">.  </w:t>
      </w:r>
    </w:p>
    <w:p w14:paraId="133CE1C7" w14:textId="6893D905" w:rsidR="00A9103D" w:rsidRPr="00AB0D5A" w:rsidRDefault="00A9103D" w:rsidP="00AB0D5A">
      <w:pPr>
        <w:spacing w:line="276" w:lineRule="auto"/>
        <w:ind w:right="51"/>
        <w:jc w:val="both"/>
        <w:rPr>
          <w:rFonts w:ascii="Georgia" w:hAnsi="Georgia"/>
          <w:lang w:val="es-ES_tradnl"/>
        </w:rPr>
      </w:pPr>
    </w:p>
    <w:p w14:paraId="361907AB" w14:textId="109597C0" w:rsidR="00A9103D" w:rsidRPr="00AB0D5A" w:rsidRDefault="00231942" w:rsidP="00AB0D5A">
      <w:pPr>
        <w:spacing w:line="276" w:lineRule="auto"/>
        <w:ind w:right="51"/>
        <w:jc w:val="both"/>
        <w:rPr>
          <w:rFonts w:ascii="Georgia" w:hAnsi="Georgia"/>
          <w:lang w:val="es-ES_tradnl"/>
        </w:rPr>
      </w:pPr>
      <w:r w:rsidRPr="00AB0D5A">
        <w:rPr>
          <w:rFonts w:ascii="Georgia" w:hAnsi="Georgia"/>
          <w:lang w:val="es-ES_tradnl"/>
        </w:rPr>
        <w:t>Y</w:t>
      </w:r>
      <w:r w:rsidR="00A9103D" w:rsidRPr="00AB0D5A">
        <w:rPr>
          <w:rFonts w:ascii="Georgia" w:hAnsi="Georgia"/>
          <w:lang w:val="es-ES_tradnl"/>
        </w:rPr>
        <w:t>, como: (</w:t>
      </w:r>
      <w:proofErr w:type="spellStart"/>
      <w:r w:rsidR="00A9103D" w:rsidRPr="00AB0D5A">
        <w:rPr>
          <w:rFonts w:ascii="Georgia" w:hAnsi="Georgia"/>
          <w:lang w:val="es-ES_tradnl"/>
        </w:rPr>
        <w:t>iv</w:t>
      </w:r>
      <w:proofErr w:type="spellEnd"/>
      <w:r w:rsidR="00A9103D" w:rsidRPr="00AB0D5A">
        <w:rPr>
          <w:rFonts w:ascii="Georgia" w:hAnsi="Georgia"/>
          <w:lang w:val="es-ES_tradnl"/>
        </w:rPr>
        <w:t xml:space="preserve">) </w:t>
      </w:r>
      <w:r w:rsidR="004C22CB" w:rsidRPr="00AB0D5A">
        <w:rPr>
          <w:rFonts w:ascii="Georgia" w:hAnsi="Georgia"/>
          <w:lang w:val="es-ES_tradnl"/>
        </w:rPr>
        <w:t xml:space="preserve">La cita se autorizó en </w:t>
      </w:r>
      <w:r w:rsidR="00A9103D" w:rsidRPr="00AB0D5A">
        <w:rPr>
          <w:rFonts w:ascii="Georgia" w:hAnsi="Georgia"/>
          <w:lang w:val="es-ES_tradnl"/>
        </w:rPr>
        <w:t>Bogotá DC, la EPS debe proveer los gastos de alojamiento y manutención, por dos (2) días</w:t>
      </w:r>
      <w:r w:rsidR="007F6C94" w:rsidRPr="00AB0D5A">
        <w:rPr>
          <w:rFonts w:ascii="Georgia" w:hAnsi="Georgia"/>
          <w:lang w:val="es-ES_tradnl"/>
        </w:rPr>
        <w:t xml:space="preserve"> (Ida y regreso), pues, para la Sala, corresponden al tiempo mínimo y necesario para garantizar la tempestiva asistencia del actor</w:t>
      </w:r>
      <w:r w:rsidR="00A9103D" w:rsidRPr="00AB0D5A">
        <w:rPr>
          <w:rFonts w:ascii="Georgia" w:hAnsi="Georgia"/>
          <w:lang w:val="es-ES_tradnl"/>
        </w:rPr>
        <w:t xml:space="preserve">. </w:t>
      </w:r>
    </w:p>
    <w:p w14:paraId="1465BBC3" w14:textId="0AECFED9" w:rsidR="00A9103D" w:rsidRPr="00AB0D5A" w:rsidRDefault="00A9103D" w:rsidP="00AB0D5A">
      <w:pPr>
        <w:spacing w:line="276" w:lineRule="auto"/>
        <w:ind w:right="618"/>
        <w:jc w:val="both"/>
        <w:rPr>
          <w:rFonts w:ascii="Georgia" w:hAnsi="Georgia"/>
          <w:lang w:val="es-ES_tradnl"/>
        </w:rPr>
      </w:pPr>
    </w:p>
    <w:p w14:paraId="66F161BD" w14:textId="02BD0516" w:rsidR="00B95870" w:rsidRPr="00AB0D5A" w:rsidRDefault="00B95870" w:rsidP="00AB0D5A">
      <w:pPr>
        <w:pStyle w:val="Textoindependiente"/>
        <w:spacing w:line="276" w:lineRule="auto"/>
        <w:rPr>
          <w:rFonts w:ascii="Georgia" w:hAnsi="Georgia" w:cs="Arial"/>
          <w:i/>
          <w:iCs/>
          <w:szCs w:val="24"/>
          <w:lang w:val="es-CO" w:eastAsia="es-CO"/>
        </w:rPr>
      </w:pPr>
      <w:r w:rsidRPr="00AB0D5A">
        <w:rPr>
          <w:rFonts w:ascii="Georgia" w:hAnsi="Georgia"/>
          <w:szCs w:val="24"/>
        </w:rPr>
        <w:t>De otro lado, también se advierten cumplidos los requisitos para disponer que se suministren los gastos del acompañante, conforme a la jurisprudencia constitucional</w:t>
      </w:r>
      <w:r w:rsidR="0007277F" w:rsidRPr="00AB0D5A">
        <w:rPr>
          <w:rFonts w:ascii="Georgia" w:hAnsi="Georgia"/>
          <w:szCs w:val="24"/>
        </w:rPr>
        <w:t xml:space="preserve"> (</w:t>
      </w:r>
      <w:r w:rsidR="00AB33F7" w:rsidRPr="00AB0D5A">
        <w:rPr>
          <w:rFonts w:ascii="Georgia" w:hAnsi="Georgia"/>
          <w:szCs w:val="24"/>
        </w:rPr>
        <w:t>2021</w:t>
      </w:r>
      <w:r w:rsidR="0007277F" w:rsidRPr="00AB0D5A">
        <w:rPr>
          <w:rFonts w:ascii="Georgia" w:hAnsi="Georgia"/>
          <w:szCs w:val="24"/>
        </w:rPr>
        <w:t>)</w:t>
      </w:r>
      <w:r w:rsidR="00AB33F7" w:rsidRPr="00AB0D5A">
        <w:rPr>
          <w:rStyle w:val="Refdenotaalpie"/>
          <w:rFonts w:ascii="Georgia" w:hAnsi="Georgia"/>
          <w:i/>
          <w:iCs/>
          <w:szCs w:val="24"/>
          <w:lang w:val="es-CO" w:eastAsia="es-CO"/>
        </w:rPr>
        <w:t xml:space="preserve"> </w:t>
      </w:r>
      <w:r w:rsidR="00AB33F7" w:rsidRPr="00AB0D5A">
        <w:rPr>
          <w:rStyle w:val="Refdenotaalpie"/>
          <w:rFonts w:ascii="Georgia" w:hAnsi="Georgia"/>
          <w:i/>
          <w:iCs/>
          <w:szCs w:val="24"/>
          <w:lang w:val="es-CO" w:eastAsia="es-CO"/>
        </w:rPr>
        <w:footnoteReference w:id="10"/>
      </w:r>
      <w:r w:rsidRPr="00AB0D5A">
        <w:rPr>
          <w:rFonts w:ascii="Georgia" w:hAnsi="Georgia" w:cs="Arial"/>
          <w:szCs w:val="24"/>
          <w:lang w:val="es-ES" w:eastAsia="es-CO"/>
        </w:rPr>
        <w:t>: </w:t>
      </w:r>
      <w:r w:rsidRPr="00AB0D5A">
        <w:rPr>
          <w:rFonts w:ascii="Georgia" w:hAnsi="Georgia" w:cs="Arial"/>
          <w:i/>
          <w:iCs/>
          <w:szCs w:val="24"/>
          <w:lang w:val="es-ES" w:eastAsia="es-CO"/>
        </w:rPr>
        <w:t>“</w:t>
      </w:r>
      <w:r w:rsidRPr="00C17276">
        <w:rPr>
          <w:rFonts w:ascii="Georgia" w:hAnsi="Georgia" w:cs="Arial"/>
          <w:i/>
          <w:iCs/>
          <w:sz w:val="22"/>
          <w:szCs w:val="24"/>
          <w:lang w:val="es-CO" w:eastAsia="es-CO"/>
        </w:rPr>
        <w:t xml:space="preserve">(i) dependa totalmente del tercero para su movilización, (ii) necesite de cuidado </w:t>
      </w:r>
      <w:r w:rsidRPr="00C17276">
        <w:rPr>
          <w:rFonts w:ascii="Georgia" w:hAnsi="Georgia" w:cs="Arial"/>
          <w:i/>
          <w:iCs/>
          <w:sz w:val="22"/>
          <w:szCs w:val="24"/>
          <w:lang w:val="es-CO" w:eastAsia="es-CO"/>
        </w:rPr>
        <w:lastRenderedPageBreak/>
        <w:t>permanente para garantizar su integridad física y el ejercicio adecuado de sus labores cotidianas y finalmente, (</w:t>
      </w:r>
      <w:proofErr w:type="spellStart"/>
      <w:r w:rsidRPr="00C17276">
        <w:rPr>
          <w:rFonts w:ascii="Georgia" w:hAnsi="Georgia" w:cs="Arial"/>
          <w:i/>
          <w:iCs/>
          <w:sz w:val="22"/>
          <w:szCs w:val="24"/>
          <w:lang w:val="es-CO" w:eastAsia="es-CO"/>
        </w:rPr>
        <w:t>iii</w:t>
      </w:r>
      <w:proofErr w:type="spellEnd"/>
      <w:r w:rsidRPr="00C17276">
        <w:rPr>
          <w:rFonts w:ascii="Georgia" w:hAnsi="Georgia" w:cs="Arial"/>
          <w:i/>
          <w:iCs/>
          <w:sz w:val="22"/>
          <w:szCs w:val="24"/>
          <w:lang w:val="es-CO" w:eastAsia="es-CO"/>
        </w:rPr>
        <w:t>) [que] ni el paciente ni su familia cuenten con los recursos económicos para cubrir el transporte del tercero</w:t>
      </w:r>
      <w:r w:rsidRPr="00AB0D5A">
        <w:rPr>
          <w:rFonts w:ascii="Georgia" w:hAnsi="Georgia" w:cs="Arial"/>
          <w:i/>
          <w:iCs/>
          <w:szCs w:val="24"/>
          <w:lang w:val="es-CO" w:eastAsia="es-CO"/>
        </w:rPr>
        <w:t>”.</w:t>
      </w:r>
    </w:p>
    <w:p w14:paraId="71DDB479" w14:textId="77777777" w:rsidR="004C22CB" w:rsidRPr="00AB0D5A" w:rsidRDefault="004C22CB" w:rsidP="00AB0D5A">
      <w:pPr>
        <w:pStyle w:val="Textoindependiente"/>
        <w:spacing w:line="276" w:lineRule="auto"/>
        <w:rPr>
          <w:rFonts w:ascii="Georgia" w:hAnsi="Georgia" w:cs="Arial"/>
          <w:iCs/>
          <w:szCs w:val="24"/>
          <w:lang w:val="es-CO" w:eastAsia="es-CO"/>
        </w:rPr>
      </w:pPr>
    </w:p>
    <w:p w14:paraId="35C34222" w14:textId="512F4F40" w:rsidR="00B95870" w:rsidRPr="00AB0D5A" w:rsidRDefault="00B95870" w:rsidP="00AB0D5A">
      <w:pPr>
        <w:spacing w:line="276" w:lineRule="auto"/>
        <w:ind w:right="51"/>
        <w:jc w:val="both"/>
        <w:rPr>
          <w:rFonts w:ascii="Georgia" w:hAnsi="Georgia"/>
          <w:lang w:val="es-CO"/>
        </w:rPr>
      </w:pPr>
      <w:r w:rsidRPr="00AB0D5A">
        <w:rPr>
          <w:rFonts w:ascii="Georgia" w:hAnsi="Georgia"/>
          <w:lang w:val="es-CO"/>
        </w:rPr>
        <w:t xml:space="preserve">Empero el interesado omitiera indicar si necesitaba de un tercero para ayudarlo con su movilidad y cuidado cotidiano, no puede pasar por alto la Sala que su dolencia física y edad </w:t>
      </w:r>
      <w:r w:rsidRPr="00AB0D5A">
        <w:rPr>
          <w:rFonts w:ascii="Georgia" w:hAnsi="Georgia"/>
          <w:i/>
          <w:u w:val="single"/>
          <w:lang w:val="es-CO"/>
        </w:rPr>
        <w:t xml:space="preserve">son circunstancias relevantes </w:t>
      </w:r>
      <w:r w:rsidR="004C22CB" w:rsidRPr="00AB0D5A">
        <w:rPr>
          <w:rFonts w:ascii="Georgia" w:hAnsi="Georgia"/>
          <w:i/>
          <w:u w:val="single"/>
          <w:lang w:val="es-CO"/>
        </w:rPr>
        <w:t xml:space="preserve">para considerar </w:t>
      </w:r>
      <w:r w:rsidRPr="00AB0D5A">
        <w:rPr>
          <w:rFonts w:ascii="Georgia" w:hAnsi="Georgia"/>
          <w:i/>
          <w:u w:val="single"/>
          <w:lang w:val="es-CO"/>
        </w:rPr>
        <w:t xml:space="preserve">que </w:t>
      </w:r>
      <w:r w:rsidR="004C22CB" w:rsidRPr="00AB0D5A">
        <w:rPr>
          <w:rFonts w:ascii="Georgia" w:hAnsi="Georgia"/>
          <w:i/>
          <w:u w:val="single"/>
          <w:lang w:val="es-CO"/>
        </w:rPr>
        <w:t xml:space="preserve">sí lo </w:t>
      </w:r>
      <w:r w:rsidRPr="00AB0D5A">
        <w:rPr>
          <w:rFonts w:ascii="Georgia" w:hAnsi="Georgia"/>
          <w:i/>
          <w:u w:val="single"/>
          <w:lang w:val="es-CO"/>
        </w:rPr>
        <w:t xml:space="preserve">requiere, máxime que debe dirigirse a una gran urbe como Bogotá </w:t>
      </w:r>
      <w:r w:rsidR="004C22CB" w:rsidRPr="00AB0D5A">
        <w:rPr>
          <w:rFonts w:ascii="Georgia" w:hAnsi="Georgia"/>
          <w:i/>
          <w:u w:val="single"/>
          <w:lang w:val="es-CO"/>
        </w:rPr>
        <w:t>DC</w:t>
      </w:r>
      <w:r w:rsidRPr="00AB0D5A">
        <w:rPr>
          <w:rFonts w:ascii="Georgia" w:hAnsi="Georgia"/>
          <w:i/>
          <w:u w:val="single"/>
          <w:lang w:val="es-CO"/>
        </w:rPr>
        <w:t xml:space="preserve">. </w:t>
      </w:r>
    </w:p>
    <w:p w14:paraId="537DB64A" w14:textId="77777777" w:rsidR="00B95870" w:rsidRPr="00AB0D5A" w:rsidRDefault="00B95870" w:rsidP="00AB0D5A">
      <w:pPr>
        <w:pStyle w:val="Textoindependiente"/>
        <w:spacing w:line="276" w:lineRule="auto"/>
        <w:rPr>
          <w:rFonts w:ascii="Georgia" w:hAnsi="Georgia"/>
          <w:szCs w:val="24"/>
        </w:rPr>
      </w:pPr>
    </w:p>
    <w:p w14:paraId="0B7136F2" w14:textId="1F002A03" w:rsidR="00B95870" w:rsidRPr="00AB0D5A" w:rsidRDefault="00A9103D" w:rsidP="00AB0D5A">
      <w:pPr>
        <w:pStyle w:val="Textoindependiente"/>
        <w:spacing w:line="276" w:lineRule="auto"/>
        <w:rPr>
          <w:rFonts w:ascii="Georgia" w:hAnsi="Georgia" w:cs="Arial"/>
          <w:iCs/>
          <w:szCs w:val="24"/>
          <w:lang w:val="es-CO"/>
        </w:rPr>
      </w:pPr>
      <w:r w:rsidRPr="00AB0D5A">
        <w:rPr>
          <w:rFonts w:ascii="Georgia" w:hAnsi="Georgia"/>
          <w:szCs w:val="24"/>
        </w:rPr>
        <w:t xml:space="preserve">Así las cosas, son infundados los argumentos de la impugnación, porque, aun cuando se trata de una asistencia en salud ambulatoria, </w:t>
      </w:r>
      <w:r w:rsidR="00B95870" w:rsidRPr="00AB0D5A">
        <w:rPr>
          <w:rFonts w:ascii="Georgia" w:hAnsi="Georgia"/>
          <w:i/>
          <w:szCs w:val="24"/>
        </w:rPr>
        <w:t>el interesado reunía los presupuestos jurisprudenciales para ser beneficiario</w:t>
      </w:r>
      <w:r w:rsidR="00B95870" w:rsidRPr="00AB0D5A">
        <w:rPr>
          <w:rFonts w:ascii="Georgia" w:hAnsi="Georgia"/>
          <w:szCs w:val="24"/>
        </w:rPr>
        <w:t>. C</w:t>
      </w:r>
      <w:r w:rsidRPr="00AB0D5A">
        <w:rPr>
          <w:rFonts w:ascii="Georgia" w:hAnsi="Georgia" w:cs="Arial"/>
          <w:szCs w:val="24"/>
        </w:rPr>
        <w:t xml:space="preserve">laramente </w:t>
      </w:r>
      <w:r w:rsidR="00B95870" w:rsidRPr="00AB0D5A">
        <w:rPr>
          <w:rFonts w:ascii="Georgia" w:hAnsi="Georgia" w:cs="Arial"/>
          <w:szCs w:val="24"/>
        </w:rPr>
        <w:t xml:space="preserve">desatendió su </w:t>
      </w:r>
      <w:r w:rsidRPr="00AB0D5A">
        <w:rPr>
          <w:rFonts w:ascii="Georgia" w:hAnsi="Georgia" w:cs="Arial"/>
          <w:szCs w:val="24"/>
        </w:rPr>
        <w:t xml:space="preserve">deber legal y constitucional de garantizar el acceso </w:t>
      </w:r>
      <w:r w:rsidRPr="00AB0D5A">
        <w:rPr>
          <w:rFonts w:ascii="Georgia" w:hAnsi="Georgia" w:cs="Arial"/>
          <w:iCs/>
          <w:szCs w:val="24"/>
          <w:lang w:val="es-CO"/>
        </w:rPr>
        <w:t>a los servicios de promoción, protección y recuperación de la salud</w:t>
      </w:r>
      <w:r w:rsidRPr="00AB0D5A">
        <w:rPr>
          <w:rFonts w:ascii="Georgia" w:hAnsi="Georgia" w:cs="Arial"/>
          <w:i/>
          <w:szCs w:val="24"/>
          <w:lang w:val="es-CO"/>
        </w:rPr>
        <w:t xml:space="preserve"> </w:t>
      </w:r>
      <w:r w:rsidRPr="00AB0D5A">
        <w:rPr>
          <w:rFonts w:ascii="Georgia" w:hAnsi="Georgia" w:cs="Arial"/>
          <w:iCs/>
          <w:szCs w:val="24"/>
          <w:lang w:val="es-CO"/>
        </w:rPr>
        <w:t xml:space="preserve">de sus afiliados </w:t>
      </w:r>
      <w:r w:rsidRPr="00AB0D5A">
        <w:rPr>
          <w:rFonts w:ascii="Georgia" w:hAnsi="Georgia" w:cs="Arial"/>
          <w:szCs w:val="24"/>
          <w:lang w:val="es-CO" w:eastAsia="es-CO"/>
        </w:rPr>
        <w:t>(Arts. 3º y 15, Ley 1751</w:t>
      </w:r>
      <w:r w:rsidRPr="00AB0D5A">
        <w:rPr>
          <w:rFonts w:ascii="Georgia" w:hAnsi="Georgia"/>
          <w:szCs w:val="24"/>
        </w:rPr>
        <w:t>)</w:t>
      </w:r>
      <w:r w:rsidR="004C22CB" w:rsidRPr="00AB0D5A">
        <w:rPr>
          <w:rFonts w:ascii="Georgia" w:hAnsi="Georgia" w:cs="Arial"/>
          <w:iCs/>
          <w:szCs w:val="24"/>
        </w:rPr>
        <w:t xml:space="preserve"> y, en mayor medida, </w:t>
      </w:r>
      <w:r w:rsidR="004C22CB" w:rsidRPr="00AB0D5A">
        <w:rPr>
          <w:rFonts w:ascii="Georgia" w:hAnsi="Georgia" w:cs="Arial"/>
          <w:iCs/>
          <w:szCs w:val="24"/>
          <w:lang w:val="es-CO"/>
        </w:rPr>
        <w:t xml:space="preserve">de las personas de especial protección constitucional, como el actor. </w:t>
      </w:r>
    </w:p>
    <w:p w14:paraId="78707BA8" w14:textId="6E821586" w:rsidR="00B91547" w:rsidRPr="00AB0D5A" w:rsidRDefault="00B91547" w:rsidP="00AB0D5A">
      <w:pPr>
        <w:spacing w:line="276" w:lineRule="auto"/>
        <w:ind w:right="618"/>
        <w:jc w:val="both"/>
        <w:rPr>
          <w:rFonts w:ascii="Georgia" w:hAnsi="Georgia"/>
          <w:lang w:val="es-CO"/>
        </w:rPr>
      </w:pPr>
    </w:p>
    <w:p w14:paraId="32B49A3F" w14:textId="77777777" w:rsidR="00231942" w:rsidRPr="00AB0D5A" w:rsidRDefault="00231942" w:rsidP="00AB0D5A">
      <w:pPr>
        <w:spacing w:line="276" w:lineRule="auto"/>
        <w:jc w:val="both"/>
        <w:rPr>
          <w:rFonts w:ascii="Georgia" w:hAnsi="Georgia"/>
        </w:rPr>
      </w:pPr>
      <w:r w:rsidRPr="00AB0D5A">
        <w:rPr>
          <w:rFonts w:ascii="Georgia" w:hAnsi="Georgia" w:cs="Arial"/>
        </w:rPr>
        <w:t>Finalmente, se desestima el recobro solicitado. El Juez de tutela no debe generar ni definir controversias ajenas a las relacionadas directamente con derechos fundamentales, a más de que la orden tutelar tampoco impide agotar el trámite administrativo respectivo (Resolución No.1885 de 2018); innecesario que la judicatura lo autorice. En el mismo sentido la CC</w:t>
      </w:r>
      <w:r w:rsidRPr="00AB0D5A">
        <w:rPr>
          <w:rStyle w:val="Refdenotaalpie"/>
          <w:rFonts w:ascii="Georgia" w:eastAsiaTheme="majorEastAsia" w:hAnsi="Georgia"/>
        </w:rPr>
        <w:footnoteReference w:id="11"/>
      </w:r>
      <w:r w:rsidRPr="00AB0D5A">
        <w:rPr>
          <w:rFonts w:ascii="Georgia" w:hAnsi="Georgia" w:cs="Arial"/>
        </w:rPr>
        <w:t xml:space="preserve"> y CSJ</w:t>
      </w:r>
      <w:r w:rsidRPr="00AB0D5A">
        <w:rPr>
          <w:rStyle w:val="Refdenotaalpie"/>
          <w:rFonts w:ascii="Georgia" w:eastAsiaTheme="majorEastAsia" w:hAnsi="Georgia"/>
        </w:rPr>
        <w:footnoteReference w:id="12"/>
      </w:r>
      <w:r w:rsidRPr="00AB0D5A">
        <w:rPr>
          <w:rFonts w:ascii="Georgia" w:hAnsi="Georgia" w:cs="Arial"/>
        </w:rPr>
        <w:t xml:space="preserve"> en sede de tutela. Tesis consistente y reiterada por las Salas Civil-Familia</w:t>
      </w:r>
      <w:r w:rsidRPr="00AB0D5A">
        <w:rPr>
          <w:rStyle w:val="Refdenotaalpie"/>
          <w:rFonts w:ascii="Georgia" w:eastAsiaTheme="majorEastAsia" w:hAnsi="Georgia" w:cs="Arial"/>
        </w:rPr>
        <w:footnoteReference w:id="13"/>
      </w:r>
      <w:r w:rsidRPr="00AB0D5A">
        <w:rPr>
          <w:rFonts w:ascii="Georgia" w:hAnsi="Georgia" w:cs="Arial"/>
        </w:rPr>
        <w:t xml:space="preserve"> y Penal para Adolescentes</w:t>
      </w:r>
      <w:r w:rsidRPr="00AB0D5A">
        <w:rPr>
          <w:rStyle w:val="Refdenotaalpie"/>
          <w:rFonts w:ascii="Georgia" w:eastAsiaTheme="majorEastAsia" w:hAnsi="Georgia"/>
        </w:rPr>
        <w:footnoteReference w:id="14"/>
      </w:r>
      <w:r w:rsidRPr="00AB0D5A">
        <w:rPr>
          <w:rFonts w:ascii="Georgia" w:hAnsi="Georgia" w:cs="Arial"/>
          <w:vertAlign w:val="superscript"/>
        </w:rPr>
        <w:t>-</w:t>
      </w:r>
      <w:r w:rsidRPr="00AB0D5A">
        <w:rPr>
          <w:rStyle w:val="Refdenotaalpie"/>
          <w:rFonts w:ascii="Georgia" w:eastAsiaTheme="majorEastAsia" w:hAnsi="Georgia"/>
        </w:rPr>
        <w:footnoteReference w:id="15"/>
      </w:r>
      <w:r w:rsidRPr="00AB0D5A">
        <w:rPr>
          <w:rFonts w:ascii="Georgia" w:hAnsi="Georgia" w:cs="Arial"/>
          <w:vertAlign w:val="superscript"/>
        </w:rPr>
        <w:t xml:space="preserve"> </w:t>
      </w:r>
      <w:r w:rsidRPr="00AB0D5A">
        <w:rPr>
          <w:rFonts w:ascii="Georgia" w:hAnsi="Georgia" w:cs="Arial"/>
        </w:rPr>
        <w:t>de este Tribunal.</w:t>
      </w:r>
    </w:p>
    <w:p w14:paraId="2EC3909D" w14:textId="096EAFBF" w:rsidR="00063F78" w:rsidRPr="00AB0D5A" w:rsidRDefault="00873169" w:rsidP="00AB0D5A">
      <w:pPr>
        <w:widowControl/>
        <w:spacing w:line="276" w:lineRule="auto"/>
        <w:jc w:val="both"/>
        <w:rPr>
          <w:rFonts w:ascii="Georgia" w:hAnsi="Georgia"/>
        </w:rPr>
      </w:pPr>
      <w:r w:rsidRPr="00AB0D5A">
        <w:rPr>
          <w:rFonts w:ascii="Georgia" w:hAnsi="Georgia"/>
        </w:rPr>
        <w:t xml:space="preserve">    </w:t>
      </w:r>
    </w:p>
    <w:p w14:paraId="56D00E72" w14:textId="3EDA5ECD" w:rsidR="00A45A9F" w:rsidRDefault="00A45A9F" w:rsidP="00AB0D5A">
      <w:pPr>
        <w:spacing w:line="276" w:lineRule="auto"/>
        <w:ind w:right="51"/>
        <w:jc w:val="both"/>
        <w:rPr>
          <w:rFonts w:ascii="Georgia" w:hAnsi="Georgia" w:cs="Arial"/>
        </w:rPr>
      </w:pPr>
      <w:r w:rsidRPr="00AB0D5A">
        <w:rPr>
          <w:rFonts w:ascii="Georgia" w:hAnsi="Georgia" w:cs="Arial"/>
        </w:rPr>
        <w:t xml:space="preserve">En mérito de los razonamientos jurídicos hechos, el </w:t>
      </w:r>
      <w:r w:rsidRPr="00AB0D5A">
        <w:rPr>
          <w:rFonts w:ascii="Georgia" w:hAnsi="Georgia" w:cs="Arial"/>
          <w:bCs/>
          <w:smallCaps/>
          <w:lang w:val="es-419"/>
        </w:rPr>
        <w:t>Tribunal Superior del Distrito Judicial de Pereira, Sala de Decisión Civil – Familia</w:t>
      </w:r>
      <w:r w:rsidRPr="00AB0D5A">
        <w:rPr>
          <w:rFonts w:ascii="Georgia" w:hAnsi="Georgia" w:cs="Arial"/>
        </w:rPr>
        <w:t>, administrando Justicia, en nombre de la República de Colombia y por autoridad de la Ley,</w:t>
      </w:r>
    </w:p>
    <w:p w14:paraId="5A73B28A" w14:textId="77777777" w:rsidR="00591313" w:rsidRPr="00AB0D5A" w:rsidRDefault="00591313" w:rsidP="00AB0D5A">
      <w:pPr>
        <w:spacing w:line="276" w:lineRule="auto"/>
        <w:ind w:right="51"/>
        <w:jc w:val="both"/>
        <w:rPr>
          <w:rFonts w:ascii="Georgia" w:hAnsi="Georgia" w:cs="Arial"/>
        </w:rPr>
      </w:pPr>
    </w:p>
    <w:p w14:paraId="6259C2E5" w14:textId="090003FB" w:rsidR="00F017CA" w:rsidRPr="00AB0D5A" w:rsidRDefault="001660B7" w:rsidP="00AB0D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AB0D5A">
        <w:rPr>
          <w:rFonts w:ascii="Georgia" w:hAnsi="Georgia"/>
          <w:b/>
          <w:bCs/>
          <w:smallCaps/>
        </w:rPr>
        <w:t xml:space="preserve">F a l </w:t>
      </w:r>
      <w:proofErr w:type="spellStart"/>
      <w:r w:rsidRPr="00AB0D5A">
        <w:rPr>
          <w:rFonts w:ascii="Georgia" w:hAnsi="Georgia"/>
          <w:b/>
          <w:bCs/>
          <w:smallCaps/>
        </w:rPr>
        <w:t>l</w:t>
      </w:r>
      <w:proofErr w:type="spellEnd"/>
      <w:r w:rsidRPr="00AB0D5A">
        <w:rPr>
          <w:rFonts w:ascii="Georgia" w:hAnsi="Georgia"/>
          <w:b/>
          <w:bCs/>
          <w:smallCaps/>
        </w:rPr>
        <w:t xml:space="preserve"> a,</w:t>
      </w:r>
    </w:p>
    <w:p w14:paraId="3FF97CA0" w14:textId="77777777" w:rsidR="00AB33F7" w:rsidRPr="00AB0D5A" w:rsidRDefault="00AB33F7" w:rsidP="00AB0D5A">
      <w:pPr>
        <w:widowControl/>
        <w:autoSpaceDE/>
        <w:autoSpaceDN/>
        <w:adjustRightInd/>
        <w:spacing w:line="276" w:lineRule="auto"/>
        <w:ind w:left="360"/>
        <w:jc w:val="both"/>
        <w:rPr>
          <w:rFonts w:ascii="Georgia" w:hAnsi="Georgia"/>
        </w:rPr>
      </w:pPr>
    </w:p>
    <w:p w14:paraId="3EBD0483" w14:textId="64E1A811" w:rsidR="004F1EF2" w:rsidRPr="00AB0D5A" w:rsidRDefault="004F1EF2" w:rsidP="00AB0D5A">
      <w:pPr>
        <w:widowControl/>
        <w:numPr>
          <w:ilvl w:val="0"/>
          <w:numId w:val="4"/>
        </w:numPr>
        <w:tabs>
          <w:tab w:val="clear" w:pos="360"/>
          <w:tab w:val="num" w:pos="720"/>
        </w:tabs>
        <w:autoSpaceDE/>
        <w:autoSpaceDN/>
        <w:adjustRightInd/>
        <w:spacing w:line="276" w:lineRule="auto"/>
        <w:jc w:val="both"/>
        <w:rPr>
          <w:rFonts w:ascii="Georgia" w:hAnsi="Georgia"/>
        </w:rPr>
      </w:pPr>
      <w:r w:rsidRPr="00AB0D5A">
        <w:rPr>
          <w:rFonts w:ascii="Georgia" w:hAnsi="Georgia"/>
        </w:rPr>
        <w:t xml:space="preserve">CONFIRMAR </w:t>
      </w:r>
      <w:r w:rsidR="00231942" w:rsidRPr="00AB0D5A">
        <w:rPr>
          <w:rFonts w:ascii="Georgia" w:hAnsi="Georgia"/>
        </w:rPr>
        <w:t xml:space="preserve">el fallo proferido el 27-05-2021 </w:t>
      </w:r>
      <w:r w:rsidR="000525C4" w:rsidRPr="00AB0D5A">
        <w:rPr>
          <w:rFonts w:ascii="Georgia" w:hAnsi="Georgia"/>
        </w:rPr>
        <w:t xml:space="preserve">por el Juzgado </w:t>
      </w:r>
      <w:r w:rsidR="001C40C6" w:rsidRPr="00AB0D5A">
        <w:rPr>
          <w:rFonts w:ascii="Georgia" w:hAnsi="Georgia"/>
        </w:rPr>
        <w:t xml:space="preserve">Civil del Circuito de </w:t>
      </w:r>
      <w:r w:rsidR="007752A3" w:rsidRPr="00AB0D5A">
        <w:rPr>
          <w:rFonts w:ascii="Georgia" w:hAnsi="Georgia"/>
        </w:rPr>
        <w:t xml:space="preserve">Santa Rosa de </w:t>
      </w:r>
      <w:r w:rsidR="00007F4F" w:rsidRPr="00AB0D5A">
        <w:rPr>
          <w:rFonts w:ascii="Georgia" w:hAnsi="Georgia"/>
        </w:rPr>
        <w:t>Cabal</w:t>
      </w:r>
      <w:r w:rsidRPr="00AB0D5A">
        <w:rPr>
          <w:rFonts w:ascii="Georgia" w:hAnsi="Georgia"/>
        </w:rPr>
        <w:t>.</w:t>
      </w:r>
    </w:p>
    <w:p w14:paraId="363F35A7" w14:textId="19754D42" w:rsidR="00B90ED3" w:rsidRPr="00AB0D5A" w:rsidRDefault="00B90ED3" w:rsidP="00AB0D5A">
      <w:pPr>
        <w:pStyle w:val="Prrafodelista"/>
        <w:numPr>
          <w:ilvl w:val="0"/>
          <w:numId w:val="4"/>
        </w:numPr>
        <w:spacing w:line="276" w:lineRule="auto"/>
        <w:jc w:val="both"/>
        <w:rPr>
          <w:rFonts w:ascii="Georgia" w:hAnsi="Georgia" w:cs="Arial"/>
          <w:lang w:val="es-419"/>
        </w:rPr>
      </w:pPr>
      <w:r w:rsidRPr="00AB0D5A">
        <w:rPr>
          <w:rFonts w:ascii="Georgia" w:hAnsi="Georgia" w:cs="Arial"/>
        </w:rPr>
        <w:t>REMITIR este expediente, a la CC para su eventual revisión</w:t>
      </w:r>
    </w:p>
    <w:p w14:paraId="31FA0EA0" w14:textId="77777777" w:rsidR="00785FA3" w:rsidRPr="00AB0D5A" w:rsidRDefault="00785FA3" w:rsidP="00AB0D5A">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419"/>
        </w:rPr>
      </w:pPr>
    </w:p>
    <w:p w14:paraId="610FEA7D" w14:textId="18B41862" w:rsidR="002C1BDA" w:rsidRPr="00AB0D5A" w:rsidRDefault="002C1BDA" w:rsidP="00AB0D5A">
      <w:pPr>
        <w:pStyle w:val="Textoindependiente"/>
        <w:spacing w:line="276" w:lineRule="auto"/>
        <w:jc w:val="center"/>
        <w:rPr>
          <w:rFonts w:ascii="Georgia" w:hAnsi="Georgia"/>
          <w:b/>
          <w:bCs/>
          <w:smallCaps/>
          <w:szCs w:val="24"/>
          <w:lang w:val="es-CO"/>
        </w:rPr>
      </w:pPr>
      <w:r w:rsidRPr="00AB0D5A">
        <w:rPr>
          <w:rFonts w:ascii="Georgia" w:hAnsi="Georgia"/>
          <w:b/>
          <w:bCs/>
          <w:smallCaps/>
          <w:szCs w:val="24"/>
          <w:lang w:val="es-CO"/>
        </w:rPr>
        <w:t>N o t i f í q u e s e</w:t>
      </w:r>
    </w:p>
    <w:p w14:paraId="4BA0544B" w14:textId="77777777" w:rsidR="00AB0D5A" w:rsidRPr="00AB0D5A" w:rsidRDefault="00AB0D5A" w:rsidP="00AB0D5A">
      <w:pPr>
        <w:widowControl/>
        <w:overflowPunct w:val="0"/>
        <w:spacing w:line="276" w:lineRule="auto"/>
        <w:jc w:val="center"/>
        <w:textAlignment w:val="baseline"/>
        <w:rPr>
          <w:rFonts w:ascii="Georgia" w:hAnsi="Georgia" w:cs="Arial"/>
          <w:bCs/>
          <w:caps/>
          <w:w w:val="150"/>
          <w:sz w:val="28"/>
          <w:szCs w:val="18"/>
          <w:lang w:val="es-MX"/>
        </w:rPr>
      </w:pPr>
      <w:bookmarkStart w:id="4" w:name="_Hlk76974190"/>
    </w:p>
    <w:p w14:paraId="6F855F28" w14:textId="77777777" w:rsidR="00AB0D5A" w:rsidRPr="00AB0D5A" w:rsidRDefault="00AB0D5A" w:rsidP="00AB0D5A">
      <w:pPr>
        <w:widowControl/>
        <w:overflowPunct w:val="0"/>
        <w:spacing w:line="276" w:lineRule="auto"/>
        <w:jc w:val="center"/>
        <w:textAlignment w:val="baseline"/>
        <w:rPr>
          <w:rFonts w:ascii="Georgia" w:hAnsi="Georgia" w:cs="Arial"/>
          <w:b/>
          <w:bCs/>
          <w:caps/>
          <w:spacing w:val="20"/>
          <w:w w:val="150"/>
          <w:sz w:val="22"/>
          <w:szCs w:val="18"/>
          <w:lang w:val="es-MX"/>
        </w:rPr>
      </w:pPr>
      <w:r w:rsidRPr="00AB0D5A">
        <w:rPr>
          <w:rFonts w:ascii="Georgia" w:hAnsi="Georgia" w:cs="Arial"/>
          <w:b/>
          <w:bCs/>
          <w:caps/>
          <w:spacing w:val="20"/>
          <w:w w:val="150"/>
          <w:szCs w:val="18"/>
          <w:lang w:val="es-MX"/>
        </w:rPr>
        <w:t>D</w:t>
      </w:r>
      <w:r w:rsidRPr="00AB0D5A">
        <w:rPr>
          <w:rFonts w:ascii="Georgia" w:hAnsi="Georgia" w:cs="Arial"/>
          <w:b/>
          <w:bCs/>
          <w:caps/>
          <w:spacing w:val="20"/>
          <w:w w:val="150"/>
          <w:sz w:val="16"/>
          <w:szCs w:val="18"/>
          <w:lang w:val="es-MX"/>
        </w:rPr>
        <w:t>UBERNEY</w:t>
      </w:r>
      <w:r w:rsidRPr="00AB0D5A">
        <w:rPr>
          <w:rFonts w:ascii="Georgia" w:hAnsi="Georgia" w:cs="Arial"/>
          <w:b/>
          <w:bCs/>
          <w:caps/>
          <w:spacing w:val="20"/>
          <w:w w:val="150"/>
          <w:sz w:val="20"/>
          <w:szCs w:val="18"/>
          <w:lang w:val="es-MX"/>
        </w:rPr>
        <w:t xml:space="preserve"> </w:t>
      </w:r>
      <w:r w:rsidRPr="00AB0D5A">
        <w:rPr>
          <w:rFonts w:ascii="Georgia" w:hAnsi="Georgia" w:cs="Arial"/>
          <w:b/>
          <w:bCs/>
          <w:caps/>
          <w:spacing w:val="20"/>
          <w:w w:val="150"/>
          <w:szCs w:val="18"/>
          <w:lang w:val="es-MX"/>
        </w:rPr>
        <w:t>G</w:t>
      </w:r>
      <w:r w:rsidRPr="00AB0D5A">
        <w:rPr>
          <w:rFonts w:ascii="Georgia" w:hAnsi="Georgia" w:cs="Arial"/>
          <w:b/>
          <w:bCs/>
          <w:caps/>
          <w:spacing w:val="20"/>
          <w:w w:val="150"/>
          <w:sz w:val="16"/>
          <w:szCs w:val="18"/>
          <w:lang w:val="es-MX"/>
        </w:rPr>
        <w:t>RISALES</w:t>
      </w:r>
      <w:r w:rsidRPr="00AB0D5A">
        <w:rPr>
          <w:rFonts w:ascii="Georgia" w:hAnsi="Georgia" w:cs="Arial"/>
          <w:b/>
          <w:bCs/>
          <w:caps/>
          <w:spacing w:val="20"/>
          <w:w w:val="150"/>
          <w:sz w:val="20"/>
          <w:szCs w:val="18"/>
          <w:lang w:val="es-MX"/>
        </w:rPr>
        <w:t xml:space="preserve"> </w:t>
      </w:r>
      <w:r w:rsidRPr="00AB0D5A">
        <w:rPr>
          <w:rFonts w:ascii="Georgia" w:hAnsi="Georgia" w:cs="Arial"/>
          <w:b/>
          <w:bCs/>
          <w:caps/>
          <w:spacing w:val="20"/>
          <w:w w:val="150"/>
          <w:szCs w:val="18"/>
          <w:lang w:val="es-MX"/>
        </w:rPr>
        <w:t>H</w:t>
      </w:r>
      <w:r w:rsidRPr="00AB0D5A">
        <w:rPr>
          <w:rFonts w:ascii="Georgia" w:hAnsi="Georgia" w:cs="Arial"/>
          <w:b/>
          <w:bCs/>
          <w:caps/>
          <w:spacing w:val="20"/>
          <w:w w:val="150"/>
          <w:sz w:val="16"/>
          <w:szCs w:val="18"/>
          <w:lang w:val="es-MX"/>
        </w:rPr>
        <w:t>ERRERA</w:t>
      </w:r>
    </w:p>
    <w:p w14:paraId="6AA068C8" w14:textId="77777777" w:rsidR="00AB0D5A" w:rsidRPr="00AB0D5A" w:rsidRDefault="00AB0D5A" w:rsidP="00AB0D5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AB0D5A">
        <w:rPr>
          <w:rFonts w:ascii="Georgia" w:hAnsi="Georgia" w:cs="Arial"/>
          <w:bCs/>
          <w:caps/>
          <w:spacing w:val="20"/>
          <w:w w:val="150"/>
          <w:kern w:val="28"/>
          <w:sz w:val="28"/>
          <w:szCs w:val="22"/>
        </w:rPr>
        <w:t>M</w:t>
      </w:r>
      <w:r w:rsidRPr="00AB0D5A">
        <w:rPr>
          <w:rFonts w:ascii="Georgia" w:hAnsi="Georgia" w:cs="Arial"/>
          <w:bCs/>
          <w:caps/>
          <w:spacing w:val="20"/>
          <w:w w:val="150"/>
          <w:kern w:val="28"/>
          <w:sz w:val="18"/>
          <w:szCs w:val="18"/>
        </w:rPr>
        <w:t>agistrado</w:t>
      </w:r>
    </w:p>
    <w:p w14:paraId="135437A3" w14:textId="77777777" w:rsidR="00AB0D5A" w:rsidRPr="00AB0D5A" w:rsidRDefault="00AB0D5A" w:rsidP="00AB0D5A">
      <w:pPr>
        <w:widowControl/>
        <w:overflowPunct w:val="0"/>
        <w:spacing w:line="276" w:lineRule="auto"/>
        <w:textAlignment w:val="baseline"/>
        <w:rPr>
          <w:rFonts w:ascii="Georgia" w:hAnsi="Georgia" w:cs="Arial"/>
          <w:caps/>
          <w:spacing w:val="20"/>
          <w:w w:val="150"/>
          <w:sz w:val="28"/>
          <w:szCs w:val="28"/>
          <w:lang w:val="es-MX"/>
        </w:rPr>
      </w:pPr>
      <w:bookmarkStart w:id="5" w:name="_GoBack"/>
      <w:bookmarkEnd w:id="5"/>
    </w:p>
    <w:p w14:paraId="20E72489" w14:textId="77777777" w:rsidR="00AB0D5A" w:rsidRPr="00AB0D5A" w:rsidRDefault="00AB0D5A" w:rsidP="00AB0D5A">
      <w:pPr>
        <w:widowControl/>
        <w:overflowPunct w:val="0"/>
        <w:spacing w:line="276" w:lineRule="auto"/>
        <w:textAlignment w:val="baseline"/>
        <w:rPr>
          <w:rFonts w:ascii="Georgia" w:hAnsi="Georgia" w:cs="Arial"/>
          <w:b/>
          <w:caps/>
          <w:spacing w:val="20"/>
          <w:w w:val="150"/>
          <w:sz w:val="16"/>
          <w:szCs w:val="18"/>
          <w:lang w:val="es-MX"/>
        </w:rPr>
      </w:pPr>
      <w:r w:rsidRPr="00AB0D5A">
        <w:rPr>
          <w:rFonts w:ascii="Georgia" w:hAnsi="Georgia" w:cs="Arial"/>
          <w:b/>
          <w:caps/>
          <w:spacing w:val="20"/>
          <w:w w:val="150"/>
          <w:szCs w:val="28"/>
          <w:lang w:val="es-MX"/>
        </w:rPr>
        <w:t>E</w:t>
      </w:r>
      <w:r w:rsidRPr="00AB0D5A">
        <w:rPr>
          <w:rFonts w:ascii="Georgia" w:hAnsi="Georgia" w:cs="Arial"/>
          <w:b/>
          <w:caps/>
          <w:spacing w:val="20"/>
          <w:w w:val="150"/>
          <w:sz w:val="16"/>
          <w:szCs w:val="18"/>
          <w:lang w:val="es-MX"/>
        </w:rPr>
        <w:t xml:space="preserve">DDER </w:t>
      </w:r>
      <w:r w:rsidRPr="00AB0D5A">
        <w:rPr>
          <w:rFonts w:ascii="Georgia" w:hAnsi="Georgia" w:cs="Arial"/>
          <w:b/>
          <w:caps/>
          <w:spacing w:val="20"/>
          <w:w w:val="150"/>
          <w:szCs w:val="28"/>
          <w:lang w:val="es-MX"/>
        </w:rPr>
        <w:t>J</w:t>
      </w:r>
      <w:r w:rsidRPr="00AB0D5A">
        <w:rPr>
          <w:rFonts w:ascii="Georgia" w:hAnsi="Georgia" w:cs="Arial"/>
          <w:b/>
          <w:caps/>
          <w:spacing w:val="20"/>
          <w:w w:val="150"/>
          <w:sz w:val="16"/>
          <w:szCs w:val="18"/>
          <w:lang w:val="es-MX"/>
        </w:rPr>
        <w:t xml:space="preserve">. </w:t>
      </w:r>
      <w:r w:rsidRPr="00AB0D5A">
        <w:rPr>
          <w:rFonts w:ascii="Georgia" w:hAnsi="Georgia" w:cs="Arial"/>
          <w:b/>
          <w:caps/>
          <w:spacing w:val="20"/>
          <w:w w:val="150"/>
          <w:szCs w:val="28"/>
          <w:lang w:val="es-MX"/>
        </w:rPr>
        <w:t>S</w:t>
      </w:r>
      <w:r w:rsidRPr="00AB0D5A">
        <w:rPr>
          <w:rFonts w:ascii="Georgia" w:hAnsi="Georgia" w:cs="Arial"/>
          <w:b/>
          <w:caps/>
          <w:spacing w:val="20"/>
          <w:w w:val="150"/>
          <w:sz w:val="16"/>
          <w:szCs w:val="18"/>
          <w:lang w:val="es-MX"/>
        </w:rPr>
        <w:t xml:space="preserve">ÁNCHEZ </w:t>
      </w:r>
      <w:r w:rsidRPr="00AB0D5A">
        <w:rPr>
          <w:rFonts w:ascii="Georgia" w:hAnsi="Georgia" w:cs="Arial"/>
          <w:b/>
          <w:caps/>
          <w:spacing w:val="20"/>
          <w:w w:val="150"/>
          <w:szCs w:val="28"/>
          <w:lang w:val="es-MX"/>
        </w:rPr>
        <w:t>C</w:t>
      </w:r>
      <w:r w:rsidRPr="00AB0D5A">
        <w:rPr>
          <w:rFonts w:ascii="Georgia" w:hAnsi="Georgia" w:cs="Arial"/>
          <w:b/>
          <w:caps/>
          <w:spacing w:val="20"/>
          <w:w w:val="150"/>
          <w:sz w:val="16"/>
          <w:szCs w:val="18"/>
          <w:lang w:val="es-MX"/>
        </w:rPr>
        <w:t>.</w:t>
      </w:r>
      <w:r w:rsidRPr="00AB0D5A">
        <w:rPr>
          <w:rFonts w:ascii="Georgia" w:hAnsi="Georgia" w:cs="Arial"/>
          <w:b/>
          <w:bCs/>
          <w:caps/>
          <w:spacing w:val="20"/>
          <w:w w:val="150"/>
          <w:sz w:val="16"/>
          <w:szCs w:val="10"/>
          <w:lang w:val="es-MX"/>
        </w:rPr>
        <w:tab/>
      </w:r>
      <w:r w:rsidRPr="00AB0D5A">
        <w:rPr>
          <w:rFonts w:ascii="Georgia" w:hAnsi="Georgia" w:cs="Arial"/>
          <w:b/>
          <w:caps/>
          <w:spacing w:val="20"/>
          <w:w w:val="150"/>
          <w:szCs w:val="28"/>
          <w:lang w:val="es-MX"/>
        </w:rPr>
        <w:t>J</w:t>
      </w:r>
      <w:r w:rsidRPr="00AB0D5A">
        <w:rPr>
          <w:rFonts w:ascii="Georgia" w:hAnsi="Georgia" w:cs="Arial"/>
          <w:b/>
          <w:caps/>
          <w:spacing w:val="20"/>
          <w:w w:val="150"/>
          <w:sz w:val="16"/>
          <w:szCs w:val="18"/>
          <w:lang w:val="es-MX"/>
        </w:rPr>
        <w:t xml:space="preserve">AIME </w:t>
      </w:r>
      <w:r w:rsidRPr="00AB0D5A">
        <w:rPr>
          <w:rFonts w:ascii="Georgia" w:hAnsi="Georgia" w:cs="Arial"/>
          <w:b/>
          <w:caps/>
          <w:spacing w:val="20"/>
          <w:w w:val="150"/>
          <w:szCs w:val="28"/>
          <w:lang w:val="es-MX"/>
        </w:rPr>
        <w:t>A</w:t>
      </w:r>
      <w:r w:rsidRPr="00AB0D5A">
        <w:rPr>
          <w:rFonts w:ascii="Georgia" w:hAnsi="Georgia" w:cs="Arial"/>
          <w:b/>
          <w:caps/>
          <w:spacing w:val="20"/>
          <w:w w:val="150"/>
          <w:sz w:val="16"/>
          <w:szCs w:val="18"/>
          <w:lang w:val="es-MX"/>
        </w:rPr>
        <w:t xml:space="preserve">. </w:t>
      </w:r>
      <w:r w:rsidRPr="00AB0D5A">
        <w:rPr>
          <w:rFonts w:ascii="Georgia" w:hAnsi="Georgia" w:cs="Arial"/>
          <w:b/>
          <w:caps/>
          <w:spacing w:val="20"/>
          <w:w w:val="150"/>
          <w:szCs w:val="28"/>
          <w:lang w:val="es-MX"/>
        </w:rPr>
        <w:t>S</w:t>
      </w:r>
      <w:r w:rsidRPr="00AB0D5A">
        <w:rPr>
          <w:rFonts w:ascii="Georgia" w:hAnsi="Georgia" w:cs="Arial"/>
          <w:b/>
          <w:caps/>
          <w:spacing w:val="20"/>
          <w:w w:val="150"/>
          <w:sz w:val="16"/>
          <w:szCs w:val="18"/>
          <w:lang w:val="es-MX"/>
        </w:rPr>
        <w:t xml:space="preserve">ARAZA </w:t>
      </w:r>
      <w:r w:rsidRPr="00AB0D5A">
        <w:rPr>
          <w:rFonts w:ascii="Georgia" w:hAnsi="Georgia" w:cs="Arial"/>
          <w:b/>
          <w:caps/>
          <w:spacing w:val="20"/>
          <w:w w:val="150"/>
          <w:szCs w:val="28"/>
          <w:lang w:val="es-MX"/>
        </w:rPr>
        <w:t>N</w:t>
      </w:r>
      <w:r w:rsidRPr="00AB0D5A">
        <w:rPr>
          <w:rFonts w:ascii="Georgia" w:hAnsi="Georgia" w:cs="Arial"/>
          <w:b/>
          <w:caps/>
          <w:spacing w:val="20"/>
          <w:w w:val="150"/>
          <w:sz w:val="16"/>
          <w:szCs w:val="18"/>
          <w:lang w:val="es-MX"/>
        </w:rPr>
        <w:t>aranjo</w:t>
      </w:r>
    </w:p>
    <w:p w14:paraId="427A7924" w14:textId="5E7157B6" w:rsidR="000B19DE" w:rsidRPr="00AB0D5A" w:rsidRDefault="00AB0D5A" w:rsidP="00AB0D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Times New Roman"/>
          <w:smallCaps/>
          <w:spacing w:val="-3"/>
          <w:lang w:val="en-US"/>
        </w:rPr>
      </w:pPr>
      <w:r w:rsidRPr="00AB0D5A">
        <w:rPr>
          <w:rFonts w:ascii="Georgia" w:hAnsi="Georgia" w:cs="Arial"/>
          <w:bCs/>
          <w:caps/>
          <w:spacing w:val="20"/>
          <w:w w:val="150"/>
          <w:sz w:val="18"/>
          <w:szCs w:val="10"/>
          <w:lang w:val="en-US"/>
        </w:rPr>
        <w:t xml:space="preserve">M A G I S T R A D O </w:t>
      </w:r>
      <w:r w:rsidRPr="00AB0D5A">
        <w:rPr>
          <w:rFonts w:ascii="Georgia" w:hAnsi="Georgia" w:cs="Arial"/>
          <w:bCs/>
          <w:caps/>
          <w:spacing w:val="20"/>
          <w:w w:val="150"/>
          <w:sz w:val="18"/>
          <w:szCs w:val="10"/>
          <w:lang w:val="en-US"/>
        </w:rPr>
        <w:tab/>
      </w:r>
      <w:r w:rsidRPr="00AB0D5A">
        <w:rPr>
          <w:rFonts w:ascii="Georgia" w:hAnsi="Georgia" w:cs="Arial"/>
          <w:bCs/>
          <w:caps/>
          <w:spacing w:val="20"/>
          <w:w w:val="150"/>
          <w:sz w:val="18"/>
          <w:szCs w:val="10"/>
          <w:lang w:val="en-US"/>
        </w:rPr>
        <w:tab/>
        <w:t>M A G I S T R A D O</w:t>
      </w:r>
      <w:bookmarkEnd w:id="4"/>
    </w:p>
    <w:sectPr w:rsidR="000B19DE" w:rsidRPr="00AB0D5A" w:rsidSect="0028673D">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38A4" w14:textId="77777777" w:rsidR="009E4BDB" w:rsidRDefault="009E4BDB" w:rsidP="0099045D">
      <w:r>
        <w:separator/>
      </w:r>
    </w:p>
  </w:endnote>
  <w:endnote w:type="continuationSeparator" w:id="0">
    <w:p w14:paraId="228B8FF2" w14:textId="77777777" w:rsidR="009E4BDB" w:rsidRDefault="009E4BD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E17488" w:rsidRPr="007C23E2" w:rsidRDefault="00E17488"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E17488" w:rsidRPr="007C23E2" w:rsidRDefault="00E17488" w:rsidP="0013771A">
    <w:pPr>
      <w:pStyle w:val="Piedepgina"/>
      <w:spacing w:line="360" w:lineRule="auto"/>
      <w:jc w:val="right"/>
      <w:rPr>
        <w:rFonts w:ascii="Georgia" w:hAnsi="Georgia" w:cs="Arial"/>
        <w:spacing w:val="20"/>
        <w:w w:val="200"/>
        <w:sz w:val="14"/>
        <w:szCs w:val="10"/>
        <w:lang w:val="es-CO"/>
      </w:rPr>
    </w:pPr>
  </w:p>
  <w:p w14:paraId="68156F21" w14:textId="77777777" w:rsidR="00E17488" w:rsidRPr="00591313" w:rsidRDefault="00E17488" w:rsidP="0013771A">
    <w:pPr>
      <w:pStyle w:val="Piedepgina"/>
      <w:spacing w:line="360" w:lineRule="auto"/>
      <w:jc w:val="right"/>
      <w:rPr>
        <w:rFonts w:ascii="Georgia" w:hAnsi="Georgia" w:cs="Arial"/>
        <w:spacing w:val="20"/>
        <w:w w:val="200"/>
        <w:sz w:val="10"/>
        <w:szCs w:val="10"/>
        <w:lang w:val="es-CO"/>
      </w:rPr>
    </w:pPr>
    <w:r w:rsidRPr="00591313">
      <w:rPr>
        <w:rFonts w:ascii="Georgia" w:hAnsi="Georgia" w:cs="Arial"/>
        <w:spacing w:val="20"/>
        <w:w w:val="200"/>
        <w:sz w:val="14"/>
        <w:szCs w:val="10"/>
        <w:lang w:val="es-CO"/>
      </w:rPr>
      <w:t>T</w:t>
    </w:r>
    <w:r w:rsidRPr="00591313">
      <w:rPr>
        <w:rFonts w:ascii="Georgia" w:hAnsi="Georgia" w:cs="Arial"/>
        <w:spacing w:val="20"/>
        <w:w w:val="200"/>
        <w:sz w:val="10"/>
        <w:szCs w:val="10"/>
        <w:lang w:val="es-CO"/>
      </w:rPr>
      <w:t xml:space="preserve">RIBUNAL </w:t>
    </w:r>
    <w:r w:rsidRPr="00591313">
      <w:rPr>
        <w:rFonts w:ascii="Georgia" w:hAnsi="Georgia" w:cs="Arial"/>
        <w:spacing w:val="20"/>
        <w:w w:val="200"/>
        <w:sz w:val="14"/>
        <w:szCs w:val="10"/>
        <w:lang w:val="es-CO"/>
      </w:rPr>
      <w:t>S</w:t>
    </w:r>
    <w:r w:rsidRPr="00591313">
      <w:rPr>
        <w:rFonts w:ascii="Georgia" w:hAnsi="Georgia" w:cs="Arial"/>
        <w:spacing w:val="20"/>
        <w:w w:val="200"/>
        <w:sz w:val="10"/>
        <w:szCs w:val="10"/>
        <w:lang w:val="es-CO"/>
      </w:rPr>
      <w:t xml:space="preserve">UPERIOR DE </w:t>
    </w:r>
    <w:r w:rsidRPr="00591313">
      <w:rPr>
        <w:rFonts w:ascii="Georgia" w:hAnsi="Georgia" w:cs="Arial"/>
        <w:spacing w:val="20"/>
        <w:w w:val="200"/>
        <w:sz w:val="14"/>
        <w:szCs w:val="10"/>
        <w:lang w:val="es-CO"/>
      </w:rPr>
      <w:t>P</w:t>
    </w:r>
    <w:r w:rsidRPr="00591313">
      <w:rPr>
        <w:rFonts w:ascii="Georgia" w:hAnsi="Georgia" w:cs="Arial"/>
        <w:spacing w:val="20"/>
        <w:w w:val="200"/>
        <w:sz w:val="10"/>
        <w:szCs w:val="10"/>
        <w:lang w:val="es-CO"/>
      </w:rPr>
      <w:t>EREIRA</w:t>
    </w:r>
  </w:p>
  <w:p w14:paraId="1955232D" w14:textId="77777777" w:rsidR="00E17488" w:rsidRPr="00591313" w:rsidRDefault="00E17488" w:rsidP="0013771A">
    <w:pPr>
      <w:pStyle w:val="Piedepgina"/>
      <w:jc w:val="right"/>
      <w:rPr>
        <w:rFonts w:ascii="Georgia" w:hAnsi="Georgia"/>
        <w:lang w:val="es-CO"/>
      </w:rPr>
    </w:pPr>
    <w:r w:rsidRPr="00591313">
      <w:rPr>
        <w:rFonts w:ascii="Georgia" w:hAnsi="Georgia" w:cs="Arial"/>
        <w:spacing w:val="20"/>
        <w:w w:val="200"/>
        <w:sz w:val="10"/>
        <w:szCs w:val="10"/>
        <w:lang w:val="es-CO"/>
      </w:rPr>
      <w:t xml:space="preserve">MP </w:t>
    </w:r>
    <w:r w:rsidRPr="00591313">
      <w:rPr>
        <w:rFonts w:ascii="Georgia" w:hAnsi="Georgia" w:cs="Arial"/>
        <w:spacing w:val="20"/>
        <w:w w:val="200"/>
        <w:sz w:val="12"/>
        <w:szCs w:val="10"/>
        <w:lang w:val="es-CO"/>
      </w:rPr>
      <w:t>D</w:t>
    </w:r>
    <w:r w:rsidRPr="00591313">
      <w:rPr>
        <w:rFonts w:ascii="Georgia" w:hAnsi="Georgia" w:cs="Arial"/>
        <w:spacing w:val="20"/>
        <w:w w:val="200"/>
        <w:sz w:val="8"/>
        <w:szCs w:val="10"/>
        <w:lang w:val="es-CO"/>
      </w:rPr>
      <w:t>UBERNEY</w:t>
    </w:r>
    <w:r w:rsidRPr="00591313">
      <w:rPr>
        <w:rFonts w:ascii="Georgia" w:hAnsi="Georgia" w:cs="Arial"/>
        <w:spacing w:val="20"/>
        <w:w w:val="200"/>
        <w:sz w:val="10"/>
        <w:szCs w:val="10"/>
        <w:lang w:val="es-CO"/>
      </w:rPr>
      <w:t xml:space="preserve"> </w:t>
    </w:r>
    <w:r w:rsidRPr="00591313">
      <w:rPr>
        <w:rFonts w:ascii="Georgia" w:hAnsi="Georgia" w:cs="Arial"/>
        <w:spacing w:val="20"/>
        <w:w w:val="200"/>
        <w:sz w:val="12"/>
        <w:szCs w:val="10"/>
        <w:lang w:val="es-CO"/>
      </w:rPr>
      <w:t>G</w:t>
    </w:r>
    <w:r w:rsidRPr="00591313">
      <w:rPr>
        <w:rFonts w:ascii="Georgia" w:hAnsi="Georgia" w:cs="Arial"/>
        <w:spacing w:val="20"/>
        <w:w w:val="200"/>
        <w:sz w:val="8"/>
        <w:szCs w:val="10"/>
        <w:lang w:val="es-CO"/>
      </w:rPr>
      <w:t>RISALES</w:t>
    </w:r>
    <w:r w:rsidRPr="00591313">
      <w:rPr>
        <w:rFonts w:ascii="Georgia" w:hAnsi="Georgia" w:cs="Arial"/>
        <w:spacing w:val="20"/>
        <w:w w:val="200"/>
        <w:sz w:val="10"/>
        <w:szCs w:val="10"/>
        <w:lang w:val="es-CO"/>
      </w:rPr>
      <w:t xml:space="preserve"> </w:t>
    </w:r>
    <w:r w:rsidRPr="00591313">
      <w:rPr>
        <w:rFonts w:ascii="Georgia" w:hAnsi="Georgia" w:cs="Arial"/>
        <w:spacing w:val="20"/>
        <w:w w:val="200"/>
        <w:sz w:val="12"/>
        <w:szCs w:val="10"/>
        <w:lang w:val="es-CO"/>
      </w:rPr>
      <w:t>H</w:t>
    </w:r>
    <w:r w:rsidRPr="00591313">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1DE6" w14:textId="77777777" w:rsidR="009E4BDB" w:rsidRDefault="009E4BDB" w:rsidP="0099045D">
      <w:r>
        <w:separator/>
      </w:r>
    </w:p>
  </w:footnote>
  <w:footnote w:type="continuationSeparator" w:id="0">
    <w:p w14:paraId="3F90C711" w14:textId="77777777" w:rsidR="009E4BDB" w:rsidRDefault="009E4BDB" w:rsidP="0099045D">
      <w:r>
        <w:continuationSeparator/>
      </w:r>
    </w:p>
  </w:footnote>
  <w:footnote w:id="1">
    <w:p w14:paraId="0A7467AE" w14:textId="1044845A" w:rsidR="00E17488" w:rsidRPr="00686CDB" w:rsidRDefault="00E17488" w:rsidP="00AB0D5A">
      <w:pPr>
        <w:pStyle w:val="Textonotapie"/>
        <w:jc w:val="both"/>
        <w:rPr>
          <w:rFonts w:ascii="Century" w:hAnsi="Century"/>
        </w:rPr>
      </w:pPr>
      <w:r w:rsidRPr="00686CDB">
        <w:rPr>
          <w:rStyle w:val="Refdenotaalpie"/>
          <w:rFonts w:ascii="Century" w:eastAsiaTheme="majorEastAsia" w:hAnsi="Century"/>
        </w:rPr>
        <w:footnoteRef/>
      </w:r>
      <w:r w:rsidRPr="00686CDB">
        <w:rPr>
          <w:rFonts w:ascii="Century" w:hAnsi="Century"/>
        </w:rPr>
        <w:t xml:space="preserve"> CC. T-075 de 2020</w:t>
      </w:r>
      <w:r w:rsidR="00624AB0">
        <w:rPr>
          <w:rFonts w:ascii="Century" w:hAnsi="Century"/>
        </w:rPr>
        <w:t xml:space="preserve"> y T-131-2021.</w:t>
      </w:r>
    </w:p>
  </w:footnote>
  <w:footnote w:id="2">
    <w:p w14:paraId="2EBA266E" w14:textId="77777777" w:rsidR="00E17488" w:rsidRPr="00686CDB" w:rsidRDefault="00E17488" w:rsidP="00AB0D5A">
      <w:pPr>
        <w:pStyle w:val="Textonotapie"/>
        <w:jc w:val="both"/>
        <w:rPr>
          <w:rFonts w:ascii="Century" w:hAnsi="Century"/>
        </w:rPr>
      </w:pPr>
      <w:r w:rsidRPr="00686CDB">
        <w:rPr>
          <w:rStyle w:val="Refdenotaalpie"/>
          <w:rFonts w:ascii="Century" w:hAnsi="Century" w:cs="Calibri Light"/>
        </w:rPr>
        <w:footnoteRef/>
      </w:r>
      <w:r w:rsidRPr="00686CDB">
        <w:rPr>
          <w:rFonts w:ascii="Century" w:hAnsi="Century" w:cs="Calibri Light"/>
        </w:rPr>
        <w:t xml:space="preserve"> CC. SU-037 de 2019 y </w:t>
      </w:r>
      <w:hyperlink r:id="rId1" w:history="1">
        <w:r w:rsidRPr="00686CDB">
          <w:rPr>
            <w:rStyle w:val="Hipervnculo"/>
            <w:rFonts w:ascii="Century" w:hAnsi="Century" w:cs="Calibri Light"/>
            <w:color w:val="auto"/>
            <w:u w:val="none"/>
          </w:rPr>
          <w:t>SU-499 de 2016</w:t>
        </w:r>
      </w:hyperlink>
      <w:r w:rsidRPr="00686CDB">
        <w:rPr>
          <w:rFonts w:ascii="Century" w:hAnsi="Century" w:cs="Calibri Light"/>
        </w:rPr>
        <w:t>.</w:t>
      </w:r>
    </w:p>
  </w:footnote>
  <w:footnote w:id="3">
    <w:p w14:paraId="36611A0B" w14:textId="736F1BD7" w:rsidR="00E17488" w:rsidRPr="00686CDB" w:rsidRDefault="00E17488" w:rsidP="00AB0D5A">
      <w:pPr>
        <w:pStyle w:val="Textonotapie"/>
        <w:jc w:val="both"/>
        <w:rPr>
          <w:rFonts w:ascii="Century" w:hAnsi="Century"/>
        </w:rPr>
      </w:pPr>
      <w:r w:rsidRPr="00686CDB">
        <w:rPr>
          <w:rStyle w:val="Refdenotaalpie"/>
          <w:rFonts w:ascii="Century" w:hAnsi="Century" w:cs="Calibri Light"/>
        </w:rPr>
        <w:footnoteRef/>
      </w:r>
      <w:r w:rsidRPr="00686CDB">
        <w:rPr>
          <w:rFonts w:ascii="Century" w:hAnsi="Century" w:cs="Calibri Light"/>
        </w:rPr>
        <w:t xml:space="preserve"> CC. </w:t>
      </w:r>
      <w:r w:rsidR="00624AB0">
        <w:rPr>
          <w:rFonts w:ascii="Century" w:hAnsi="Century" w:cs="Calibri Light"/>
        </w:rPr>
        <w:t xml:space="preserve">T-104-2021, </w:t>
      </w:r>
      <w:hyperlink r:id="rId2" w:history="1">
        <w:r w:rsidRPr="00686CDB">
          <w:rPr>
            <w:rStyle w:val="Hipervnculo"/>
            <w:rFonts w:ascii="Century" w:hAnsi="Century" w:cs="Calibri Light"/>
            <w:color w:val="auto"/>
            <w:u w:val="none"/>
          </w:rPr>
          <w:t>T-053 de 2020</w:t>
        </w:r>
      </w:hyperlink>
      <w:r w:rsidRPr="00686CDB">
        <w:rPr>
          <w:rFonts w:ascii="Century" w:hAnsi="Century" w:cs="Calibri Light"/>
        </w:rPr>
        <w:t xml:space="preserve">, T-422 de 2019, T-359 de 2019, </w:t>
      </w:r>
      <w:r w:rsidRPr="00686CDB">
        <w:rPr>
          <w:rFonts w:ascii="Century" w:hAnsi="Century"/>
        </w:rPr>
        <w:t xml:space="preserve">C-132 de 2018, </w:t>
      </w:r>
      <w:r w:rsidRPr="00686CDB">
        <w:rPr>
          <w:rFonts w:ascii="Century" w:hAnsi="Century" w:cs="Calibri Light"/>
        </w:rPr>
        <w:t>T-015 de 2016, T-162 de 2010 y T-099 de 2008.</w:t>
      </w:r>
    </w:p>
  </w:footnote>
  <w:footnote w:id="4">
    <w:p w14:paraId="109703AA" w14:textId="16AD0BDF" w:rsidR="00E17488" w:rsidRPr="00686CDB" w:rsidRDefault="00E17488" w:rsidP="00AB0D5A">
      <w:pPr>
        <w:pStyle w:val="Textonotapie"/>
        <w:ind w:left="142" w:hanging="142"/>
        <w:jc w:val="both"/>
        <w:rPr>
          <w:rFonts w:ascii="Century" w:hAnsi="Century"/>
        </w:rPr>
      </w:pPr>
      <w:r w:rsidRPr="00686CDB">
        <w:rPr>
          <w:rStyle w:val="Refdenotaalpie"/>
          <w:rFonts w:ascii="Century" w:hAnsi="Century"/>
        </w:rPr>
        <w:footnoteRef/>
      </w:r>
      <w:r w:rsidRPr="00686CDB">
        <w:rPr>
          <w:rFonts w:ascii="Century" w:hAnsi="Century"/>
        </w:rPr>
        <w:t xml:space="preserve"> CC. T-405 de 2017, T-081 de 2019</w:t>
      </w:r>
      <w:r w:rsidR="00624AB0">
        <w:rPr>
          <w:rFonts w:ascii="Century" w:hAnsi="Century"/>
        </w:rPr>
        <w:t xml:space="preserve">, </w:t>
      </w:r>
      <w:r w:rsidRPr="00686CDB">
        <w:rPr>
          <w:rFonts w:ascii="Century" w:hAnsi="Century"/>
        </w:rPr>
        <w:t>T-207 de 2020</w:t>
      </w:r>
      <w:r w:rsidR="00624AB0">
        <w:rPr>
          <w:rFonts w:ascii="Century" w:hAnsi="Century"/>
        </w:rPr>
        <w:t>, T-001 de 2021 y T-017 de 2021.</w:t>
      </w:r>
    </w:p>
  </w:footnote>
  <w:footnote w:id="5">
    <w:p w14:paraId="54BB2882" w14:textId="77777777" w:rsidR="009E6902" w:rsidRPr="00366E49" w:rsidRDefault="009E6902" w:rsidP="00AB0D5A">
      <w:pPr>
        <w:pStyle w:val="Textonotapie"/>
        <w:jc w:val="both"/>
        <w:rPr>
          <w:rFonts w:ascii="Century" w:hAnsi="Century"/>
          <w:i/>
          <w:iCs/>
        </w:rPr>
      </w:pPr>
      <w:r w:rsidRPr="00366E49">
        <w:rPr>
          <w:rStyle w:val="Refdenotaalpie"/>
          <w:rFonts w:ascii="Century" w:hAnsi="Century"/>
        </w:rPr>
        <w:footnoteRef/>
      </w:r>
      <w:r w:rsidRPr="00366E49">
        <w:rPr>
          <w:rFonts w:ascii="Century" w:hAnsi="Century"/>
        </w:rPr>
        <w:t xml:space="preserve"> CC. T-015 de 2019 y T-004 de 2015.</w:t>
      </w:r>
    </w:p>
  </w:footnote>
  <w:footnote w:id="6">
    <w:p w14:paraId="2B0DEC94" w14:textId="77777777" w:rsidR="009E6902" w:rsidRPr="00366E49" w:rsidRDefault="009E6902" w:rsidP="00AB0D5A">
      <w:pPr>
        <w:pStyle w:val="Textonotapie"/>
        <w:ind w:left="142" w:hanging="142"/>
        <w:jc w:val="both"/>
        <w:rPr>
          <w:rFonts w:ascii="Century" w:hAnsi="Century"/>
        </w:rPr>
      </w:pPr>
      <w:r w:rsidRPr="00366E49">
        <w:rPr>
          <w:rStyle w:val="Refdenotaalpie"/>
          <w:rFonts w:ascii="Century" w:hAnsi="Century"/>
        </w:rPr>
        <w:footnoteRef/>
      </w:r>
      <w:r w:rsidRPr="00366E49">
        <w:rPr>
          <w:rFonts w:ascii="Century" w:hAnsi="Century"/>
        </w:rPr>
        <w:t xml:space="preserve"> CC. T-014 de 2017 y T-004 de 2014. </w:t>
      </w:r>
    </w:p>
  </w:footnote>
  <w:footnote w:id="7">
    <w:p w14:paraId="5039AC14" w14:textId="77777777" w:rsidR="009E6902" w:rsidRPr="00366E49" w:rsidRDefault="009E6902" w:rsidP="00AB0D5A">
      <w:pPr>
        <w:pStyle w:val="Textonotapie"/>
        <w:ind w:left="142" w:hanging="142"/>
        <w:jc w:val="both"/>
        <w:rPr>
          <w:rFonts w:ascii="Century" w:hAnsi="Century"/>
        </w:rPr>
      </w:pPr>
      <w:r w:rsidRPr="00366E49">
        <w:rPr>
          <w:rStyle w:val="Refdenotaalpie"/>
          <w:rFonts w:ascii="Century" w:hAnsi="Century"/>
        </w:rPr>
        <w:footnoteRef/>
      </w:r>
      <w:r w:rsidRPr="00366E49">
        <w:rPr>
          <w:rFonts w:ascii="Century" w:hAnsi="Century"/>
        </w:rPr>
        <w:t xml:space="preserve"> CC. T-634 de 2008. </w:t>
      </w:r>
    </w:p>
  </w:footnote>
  <w:footnote w:id="8">
    <w:p w14:paraId="4F8B4B97" w14:textId="357754A3" w:rsidR="009E6902" w:rsidRPr="00366E49" w:rsidRDefault="009E6902" w:rsidP="00AB0D5A">
      <w:pPr>
        <w:pStyle w:val="Textonotapie"/>
        <w:jc w:val="both"/>
        <w:rPr>
          <w:rFonts w:ascii="Century" w:hAnsi="Century"/>
        </w:rPr>
      </w:pPr>
      <w:r w:rsidRPr="00366E49">
        <w:rPr>
          <w:rStyle w:val="Refdenotaalpie"/>
          <w:rFonts w:ascii="Century" w:hAnsi="Century"/>
        </w:rPr>
        <w:footnoteRef/>
      </w:r>
      <w:r w:rsidRPr="00366E49">
        <w:rPr>
          <w:rFonts w:ascii="Century" w:hAnsi="Century"/>
        </w:rPr>
        <w:t xml:space="preserve"> CC. </w:t>
      </w:r>
      <w:r w:rsidR="00AB33F7">
        <w:rPr>
          <w:rFonts w:ascii="Century" w:hAnsi="Century"/>
        </w:rPr>
        <w:t xml:space="preserve">T-122 de 2021, también puede consultarse la </w:t>
      </w:r>
      <w:r w:rsidRPr="00366E49">
        <w:rPr>
          <w:rFonts w:ascii="Century" w:hAnsi="Century"/>
        </w:rPr>
        <w:t>T-224 de 2020</w:t>
      </w:r>
      <w:r w:rsidR="00AB33F7">
        <w:rPr>
          <w:rFonts w:ascii="Century" w:hAnsi="Century"/>
        </w:rPr>
        <w:t>, entre otras.</w:t>
      </w:r>
    </w:p>
  </w:footnote>
  <w:footnote w:id="9">
    <w:p w14:paraId="35143235" w14:textId="160C3B13" w:rsidR="00624AB0" w:rsidRPr="00231942" w:rsidRDefault="00624AB0" w:rsidP="00AB0D5A">
      <w:pPr>
        <w:pStyle w:val="Textonotapie"/>
        <w:jc w:val="both"/>
        <w:rPr>
          <w:rFonts w:ascii="Century" w:hAnsi="Century"/>
          <w:color w:val="000000" w:themeColor="text1"/>
          <w:lang w:val="es-CO"/>
        </w:rPr>
      </w:pPr>
      <w:r w:rsidRPr="00231942">
        <w:rPr>
          <w:rStyle w:val="Refdenotaalpie"/>
          <w:rFonts w:ascii="Century" w:hAnsi="Century"/>
          <w:color w:val="000000" w:themeColor="text1"/>
        </w:rPr>
        <w:footnoteRef/>
      </w:r>
      <w:r w:rsidRPr="00231942">
        <w:rPr>
          <w:rFonts w:ascii="Century" w:hAnsi="Century"/>
          <w:color w:val="000000" w:themeColor="text1"/>
        </w:rPr>
        <w:t xml:space="preserve"> </w:t>
      </w:r>
      <w:r w:rsidRPr="00231942">
        <w:rPr>
          <w:rFonts w:ascii="Century" w:hAnsi="Century" w:cs="Arial"/>
          <w:color w:val="000000" w:themeColor="text1"/>
          <w:lang w:val="es-CO"/>
        </w:rPr>
        <w:t xml:space="preserve">CC. </w:t>
      </w:r>
      <w:r w:rsidRPr="00231942">
        <w:rPr>
          <w:rFonts w:ascii="Century" w:hAnsi="Century"/>
          <w:color w:val="000000"/>
          <w:shd w:val="clear" w:color="auto" w:fill="FFFFFF"/>
        </w:rPr>
        <w:t xml:space="preserve">T-346 de 2009, </w:t>
      </w:r>
      <w:r w:rsidRPr="00231942">
        <w:rPr>
          <w:rFonts w:ascii="Century" w:hAnsi="Century" w:cs="Arial"/>
          <w:color w:val="000000" w:themeColor="text1"/>
          <w:shd w:val="clear" w:color="auto" w:fill="FFFFFF"/>
        </w:rPr>
        <w:t xml:space="preserve">T-433 de 2014, </w:t>
      </w:r>
      <w:r w:rsidRPr="00231942">
        <w:rPr>
          <w:rFonts w:ascii="Century" w:hAnsi="Century" w:cs="Arial"/>
          <w:bCs/>
          <w:color w:val="000000" w:themeColor="text1"/>
        </w:rPr>
        <w:t>T-148 de 2016, T-178 de 2017</w:t>
      </w:r>
      <w:r>
        <w:rPr>
          <w:rFonts w:ascii="Century" w:hAnsi="Century" w:cs="Arial"/>
          <w:color w:val="000000" w:themeColor="text1"/>
          <w:shd w:val="clear" w:color="auto" w:fill="FFFFFF"/>
        </w:rPr>
        <w:t>,</w:t>
      </w:r>
      <w:r w:rsidRPr="00231942">
        <w:rPr>
          <w:rFonts w:ascii="Century" w:hAnsi="Century" w:cs="Arial"/>
          <w:color w:val="000000" w:themeColor="text1"/>
          <w:shd w:val="clear" w:color="auto" w:fill="FFFFFF"/>
        </w:rPr>
        <w:t xml:space="preserve"> T-228 de 202</w:t>
      </w:r>
      <w:r>
        <w:rPr>
          <w:rFonts w:ascii="Century" w:hAnsi="Century" w:cs="Arial"/>
          <w:color w:val="000000" w:themeColor="text1"/>
          <w:shd w:val="clear" w:color="auto" w:fill="FFFFFF"/>
        </w:rPr>
        <w:t>0, T-017 de 2021 y T-101 de 2021.</w:t>
      </w:r>
    </w:p>
  </w:footnote>
  <w:footnote w:id="10">
    <w:p w14:paraId="234AAC34" w14:textId="1D6BF1FE" w:rsidR="00AB33F7" w:rsidRPr="00231942" w:rsidRDefault="00AB33F7" w:rsidP="00AB0D5A">
      <w:pPr>
        <w:pStyle w:val="Textonotapie"/>
        <w:jc w:val="both"/>
        <w:rPr>
          <w:rFonts w:ascii="Century" w:hAnsi="Century"/>
          <w:color w:val="000000" w:themeColor="text1"/>
          <w:lang w:val="es-CO"/>
        </w:rPr>
      </w:pPr>
      <w:r w:rsidRPr="00231942">
        <w:rPr>
          <w:rStyle w:val="Refdenotaalpie"/>
          <w:rFonts w:ascii="Century" w:hAnsi="Century"/>
          <w:color w:val="000000" w:themeColor="text1"/>
        </w:rPr>
        <w:footnoteRef/>
      </w:r>
      <w:r w:rsidRPr="00231942">
        <w:rPr>
          <w:rFonts w:ascii="Century" w:hAnsi="Century"/>
          <w:color w:val="000000" w:themeColor="text1"/>
        </w:rPr>
        <w:t xml:space="preserve"> </w:t>
      </w:r>
      <w:r w:rsidRPr="00231942">
        <w:rPr>
          <w:rFonts w:ascii="Century" w:hAnsi="Century" w:cs="Arial"/>
          <w:color w:val="000000" w:themeColor="text1"/>
          <w:lang w:val="es-CO"/>
        </w:rPr>
        <w:t xml:space="preserve">CC. </w:t>
      </w:r>
      <w:r w:rsidRPr="00231942">
        <w:rPr>
          <w:rFonts w:ascii="Century" w:hAnsi="Century"/>
          <w:color w:val="000000"/>
          <w:shd w:val="clear" w:color="auto" w:fill="FFFFFF"/>
        </w:rPr>
        <w:t xml:space="preserve">T-346 de 2009, </w:t>
      </w:r>
      <w:r w:rsidRPr="00231942">
        <w:rPr>
          <w:rFonts w:ascii="Century" w:hAnsi="Century" w:cs="Arial"/>
          <w:color w:val="000000" w:themeColor="text1"/>
          <w:shd w:val="clear" w:color="auto" w:fill="FFFFFF"/>
        </w:rPr>
        <w:t xml:space="preserve">T-433 de 2014, </w:t>
      </w:r>
      <w:r w:rsidRPr="00231942">
        <w:rPr>
          <w:rFonts w:ascii="Century" w:hAnsi="Century" w:cs="Arial"/>
          <w:bCs/>
          <w:color w:val="000000" w:themeColor="text1"/>
        </w:rPr>
        <w:t>T-148 de 2016, T-178 de 2017</w:t>
      </w:r>
      <w:r>
        <w:rPr>
          <w:rFonts w:ascii="Century" w:hAnsi="Century" w:cs="Arial"/>
          <w:color w:val="000000" w:themeColor="text1"/>
          <w:shd w:val="clear" w:color="auto" w:fill="FFFFFF"/>
        </w:rPr>
        <w:t>,</w:t>
      </w:r>
      <w:r w:rsidRPr="00231942">
        <w:rPr>
          <w:rFonts w:ascii="Century" w:hAnsi="Century" w:cs="Arial"/>
          <w:color w:val="000000" w:themeColor="text1"/>
          <w:shd w:val="clear" w:color="auto" w:fill="FFFFFF"/>
        </w:rPr>
        <w:t xml:space="preserve"> T-228 de 2020</w:t>
      </w:r>
      <w:r>
        <w:rPr>
          <w:rFonts w:ascii="Century" w:hAnsi="Century" w:cs="Arial"/>
          <w:color w:val="000000" w:themeColor="text1"/>
          <w:shd w:val="clear" w:color="auto" w:fill="FFFFFF"/>
        </w:rPr>
        <w:t xml:space="preserve"> y T-122 de 2021.</w:t>
      </w:r>
    </w:p>
  </w:footnote>
  <w:footnote w:id="11">
    <w:p w14:paraId="558E2233" w14:textId="77777777" w:rsidR="00231942" w:rsidRPr="00231942" w:rsidRDefault="00231942" w:rsidP="00AB0D5A">
      <w:pPr>
        <w:pStyle w:val="Textonotapie"/>
        <w:jc w:val="both"/>
        <w:rPr>
          <w:rFonts w:ascii="Century" w:hAnsi="Century"/>
          <w:lang w:val="es-CO"/>
        </w:rPr>
      </w:pPr>
      <w:r w:rsidRPr="00231942">
        <w:rPr>
          <w:rStyle w:val="Refdenotaalpie"/>
          <w:rFonts w:ascii="Century" w:eastAsiaTheme="majorEastAsia" w:hAnsi="Century"/>
        </w:rPr>
        <w:footnoteRef/>
      </w:r>
      <w:r w:rsidRPr="00231942">
        <w:rPr>
          <w:rFonts w:ascii="Century" w:hAnsi="Century"/>
          <w:lang w:val="es-CO"/>
        </w:rPr>
        <w:t xml:space="preserve"> CC. T-727 de 2011, T-464 de 2018 y T-239 de 2019.</w:t>
      </w:r>
    </w:p>
  </w:footnote>
  <w:footnote w:id="12">
    <w:p w14:paraId="48C2EB06" w14:textId="77777777" w:rsidR="00231942" w:rsidRPr="00231942" w:rsidRDefault="00231942" w:rsidP="00AB0D5A">
      <w:pPr>
        <w:pStyle w:val="Textonotapie"/>
        <w:jc w:val="both"/>
        <w:rPr>
          <w:rFonts w:ascii="Century" w:hAnsi="Century"/>
          <w:lang w:val="es-CO"/>
        </w:rPr>
      </w:pPr>
      <w:r w:rsidRPr="00231942">
        <w:rPr>
          <w:rStyle w:val="Refdenotaalpie"/>
          <w:rFonts w:ascii="Century" w:eastAsiaTheme="majorEastAsia" w:hAnsi="Century"/>
        </w:rPr>
        <w:footnoteRef/>
      </w:r>
      <w:r w:rsidRPr="00231942">
        <w:rPr>
          <w:rFonts w:ascii="Century" w:hAnsi="Century"/>
          <w:lang w:val="es-CO"/>
        </w:rPr>
        <w:t xml:space="preserve"> CSJ. Civil. STC3914 2016.</w:t>
      </w:r>
    </w:p>
  </w:footnote>
  <w:footnote w:id="13">
    <w:p w14:paraId="78BF1F9D" w14:textId="77777777" w:rsidR="00231942" w:rsidRPr="00231942" w:rsidRDefault="00231942" w:rsidP="00AB0D5A">
      <w:pPr>
        <w:pStyle w:val="Textonotapie"/>
        <w:jc w:val="both"/>
        <w:rPr>
          <w:rFonts w:ascii="Century" w:hAnsi="Century"/>
          <w:lang w:val="es-CO"/>
        </w:rPr>
      </w:pPr>
      <w:r w:rsidRPr="00231942">
        <w:rPr>
          <w:rStyle w:val="Refdenotaalpie"/>
          <w:rFonts w:ascii="Century" w:eastAsiaTheme="majorEastAsia" w:hAnsi="Century"/>
        </w:rPr>
        <w:footnoteRef/>
      </w:r>
      <w:r w:rsidRPr="00231942">
        <w:rPr>
          <w:rFonts w:ascii="Century" w:hAnsi="Century"/>
          <w:lang w:val="es-CO"/>
        </w:rPr>
        <w:t xml:space="preserve"> TSP, Sala Civil – Familia. Sentencias del (i) 19-08-2015; MP: Grisales H., No.2015-00072-01; (ii) 30-09-2015; MP: Grisales H., No.2015-00091-01; y, (</w:t>
      </w:r>
      <w:proofErr w:type="spellStart"/>
      <w:r w:rsidRPr="00231942">
        <w:rPr>
          <w:rFonts w:ascii="Century" w:hAnsi="Century"/>
          <w:lang w:val="es-CO"/>
        </w:rPr>
        <w:t>iii</w:t>
      </w:r>
      <w:proofErr w:type="spellEnd"/>
      <w:r w:rsidRPr="00231942">
        <w:rPr>
          <w:rFonts w:ascii="Century" w:hAnsi="Century"/>
          <w:lang w:val="es-CO"/>
        </w:rPr>
        <w:t>) 22-08-2019; MP: Grisales H., No.2019-00312-01, entre muchas.</w:t>
      </w:r>
    </w:p>
  </w:footnote>
  <w:footnote w:id="14">
    <w:p w14:paraId="572CD374" w14:textId="77777777" w:rsidR="00231942" w:rsidRPr="00231942" w:rsidRDefault="00231942" w:rsidP="00AB0D5A">
      <w:pPr>
        <w:pStyle w:val="Textonotapie"/>
        <w:jc w:val="both"/>
        <w:rPr>
          <w:rFonts w:ascii="Century" w:hAnsi="Century"/>
          <w:lang w:val="es-CO"/>
        </w:rPr>
      </w:pPr>
      <w:r w:rsidRPr="00231942">
        <w:rPr>
          <w:rStyle w:val="Refdenotaalpie"/>
          <w:rFonts w:ascii="Century" w:eastAsiaTheme="majorEastAsia" w:hAnsi="Century"/>
        </w:rPr>
        <w:footnoteRef/>
      </w:r>
      <w:r w:rsidRPr="00231942">
        <w:rPr>
          <w:rFonts w:ascii="Century" w:hAnsi="Century"/>
          <w:lang w:val="es-CO"/>
        </w:rPr>
        <w:t xml:space="preserve"> TSP, Sala No.7 Asuntos Penales para adolescentes. Fallo del 28-05-2014; MP: Arcila R., No.2014-00043-01.</w:t>
      </w:r>
    </w:p>
  </w:footnote>
  <w:footnote w:id="15">
    <w:p w14:paraId="6DB8E813" w14:textId="77777777" w:rsidR="00231942" w:rsidRPr="002A0E92" w:rsidRDefault="00231942" w:rsidP="00AB0D5A">
      <w:pPr>
        <w:pStyle w:val="Textonotapie"/>
        <w:jc w:val="both"/>
        <w:rPr>
          <w:lang w:val="es-CO"/>
        </w:rPr>
      </w:pPr>
      <w:r w:rsidRPr="00231942">
        <w:rPr>
          <w:rStyle w:val="Refdenotaalpie"/>
          <w:rFonts w:ascii="Century" w:eastAsiaTheme="majorEastAsia" w:hAnsi="Century"/>
        </w:rPr>
        <w:footnoteRef/>
      </w:r>
      <w:r w:rsidRPr="00231942">
        <w:rPr>
          <w:rFonts w:ascii="Century" w:hAnsi="Century"/>
          <w:lang w:val="es-CO"/>
        </w:rPr>
        <w:t xml:space="preserve"> TSP, Sala No.4 Asuntos Penales para adolescentes. Fallo del 17-02-2015; MP: Grisales H., No.2014-00477-01.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E17488" w:rsidRPr="00591313" w:rsidRDefault="00E17488">
    <w:pPr>
      <w:pStyle w:val="Encabezado"/>
      <w:pBdr>
        <w:bottom w:val="single" w:sz="4" w:space="1" w:color="D9D9D9"/>
      </w:pBdr>
      <w:jc w:val="right"/>
      <w:rPr>
        <w:rFonts w:ascii="Georgia" w:hAnsi="Georgia" w:cs="Calibri"/>
        <w:i/>
        <w:sz w:val="20"/>
      </w:rPr>
    </w:pPr>
    <w:r w:rsidRPr="00591313">
      <w:rPr>
        <w:rFonts w:ascii="Georgia" w:hAnsi="Georgia" w:cs="Calibri"/>
        <w:i/>
        <w:spacing w:val="60"/>
        <w:sz w:val="20"/>
      </w:rPr>
      <w:t>Página</w:t>
    </w:r>
    <w:r w:rsidRPr="00591313">
      <w:rPr>
        <w:rFonts w:ascii="Georgia" w:hAnsi="Georgia" w:cs="Calibri"/>
        <w:i/>
        <w:sz w:val="20"/>
      </w:rPr>
      <w:t xml:space="preserve"> | </w:t>
    </w:r>
    <w:r w:rsidRPr="00591313">
      <w:rPr>
        <w:rFonts w:ascii="Georgia" w:hAnsi="Georgia" w:cs="Calibri"/>
        <w:i/>
        <w:sz w:val="20"/>
      </w:rPr>
      <w:fldChar w:fldCharType="begin"/>
    </w:r>
    <w:r w:rsidRPr="00591313">
      <w:rPr>
        <w:rFonts w:ascii="Georgia" w:hAnsi="Georgia" w:cs="Calibri"/>
        <w:i/>
        <w:sz w:val="20"/>
      </w:rPr>
      <w:instrText xml:space="preserve"> PAGE   \* MERGEFORMAT </w:instrText>
    </w:r>
    <w:r w:rsidRPr="00591313">
      <w:rPr>
        <w:rFonts w:ascii="Georgia" w:hAnsi="Georgia" w:cs="Calibri"/>
        <w:i/>
        <w:sz w:val="20"/>
      </w:rPr>
      <w:fldChar w:fldCharType="separate"/>
    </w:r>
    <w:r w:rsidRPr="00591313">
      <w:rPr>
        <w:rFonts w:ascii="Georgia" w:hAnsi="Georgia" w:cs="Calibri"/>
        <w:i/>
        <w:noProof/>
        <w:sz w:val="20"/>
      </w:rPr>
      <w:t>6</w:t>
    </w:r>
    <w:r w:rsidRPr="00591313">
      <w:rPr>
        <w:rFonts w:ascii="Georgia" w:hAnsi="Georgia" w:cs="Calibri"/>
        <w:i/>
        <w:sz w:val="20"/>
      </w:rPr>
      <w:fldChar w:fldCharType="end"/>
    </w:r>
  </w:p>
  <w:p w14:paraId="247F1617" w14:textId="5F9C51AF" w:rsidR="00E17488" w:rsidRPr="00591313" w:rsidRDefault="00E17488" w:rsidP="009C568C">
    <w:pPr>
      <w:pStyle w:val="Encabezado"/>
      <w:ind w:right="360"/>
      <w:jc w:val="both"/>
      <w:rPr>
        <w:rFonts w:ascii="Georgia" w:hAnsi="Georgia" w:cs="Calibri"/>
        <w:i/>
        <w:sz w:val="18"/>
        <w:szCs w:val="22"/>
      </w:rPr>
    </w:pPr>
    <w:r w:rsidRPr="00591313">
      <w:rPr>
        <w:rFonts w:ascii="Georgia" w:hAnsi="Georgia" w:cs="Calibri"/>
        <w:i/>
        <w:sz w:val="18"/>
        <w:szCs w:val="22"/>
      </w:rPr>
      <w:t>EXPEDIENTE No.2021-</w:t>
    </w:r>
    <w:r w:rsidR="00A95745" w:rsidRPr="00591313">
      <w:rPr>
        <w:rFonts w:ascii="Georgia" w:hAnsi="Georgia" w:cs="Calibri"/>
        <w:i/>
        <w:sz w:val="18"/>
        <w:szCs w:val="22"/>
      </w:rPr>
      <w:t>00159</w:t>
    </w:r>
    <w:r w:rsidRPr="00591313">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3OrpIB+g3mvFV7" id="DHFc7N6p"/>
  </int:Manifest>
  <int:Observations>
    <int:Content id="DHFc7N6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757EC89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iCs/>
        <w:color w:val="auto"/>
        <w:sz w:val="28"/>
        <w:szCs w:val="28"/>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2232208"/>
    <w:multiLevelType w:val="multilevel"/>
    <w:tmpl w:val="7974F054"/>
    <w:lvl w:ilvl="0">
      <w:start w:val="6"/>
      <w:numFmt w:val="decimal"/>
      <w:lvlText w:val="%1."/>
      <w:lvlJc w:val="left"/>
      <w:pPr>
        <w:ind w:left="435" w:hanging="435"/>
      </w:pPr>
      <w:rPr>
        <w:rFonts w:cs="Arial" w:hint="default"/>
        <w:color w:val="0000FF"/>
      </w:rPr>
    </w:lvl>
    <w:lvl w:ilvl="1">
      <w:start w:val="1"/>
      <w:numFmt w:val="decimal"/>
      <w:lvlText w:val="%1.%2."/>
      <w:lvlJc w:val="left"/>
      <w:pPr>
        <w:ind w:left="720" w:hanging="720"/>
      </w:pPr>
      <w:rPr>
        <w:rFonts w:cs="Arial" w:hint="default"/>
        <w:color w:val="0000FF"/>
      </w:rPr>
    </w:lvl>
    <w:lvl w:ilvl="2">
      <w:start w:val="1"/>
      <w:numFmt w:val="decimal"/>
      <w:lvlText w:val="%1.%2.%3."/>
      <w:lvlJc w:val="left"/>
      <w:pPr>
        <w:ind w:left="1080" w:hanging="1080"/>
      </w:pPr>
      <w:rPr>
        <w:rFonts w:cs="Arial" w:hint="default"/>
        <w:color w:val="0000FF"/>
      </w:rPr>
    </w:lvl>
    <w:lvl w:ilvl="3">
      <w:start w:val="1"/>
      <w:numFmt w:val="decimal"/>
      <w:lvlText w:val="%1.%2.%3.%4."/>
      <w:lvlJc w:val="left"/>
      <w:pPr>
        <w:ind w:left="1080" w:hanging="1080"/>
      </w:pPr>
      <w:rPr>
        <w:rFonts w:cs="Arial" w:hint="default"/>
        <w:color w:val="0000FF"/>
      </w:rPr>
    </w:lvl>
    <w:lvl w:ilvl="4">
      <w:start w:val="1"/>
      <w:numFmt w:val="decimal"/>
      <w:lvlText w:val="%1.%2.%3.%4.%5."/>
      <w:lvlJc w:val="left"/>
      <w:pPr>
        <w:ind w:left="1440" w:hanging="1440"/>
      </w:pPr>
      <w:rPr>
        <w:rFonts w:cs="Arial" w:hint="default"/>
        <w:color w:val="0000FF"/>
      </w:rPr>
    </w:lvl>
    <w:lvl w:ilvl="5">
      <w:start w:val="1"/>
      <w:numFmt w:val="decimal"/>
      <w:lvlText w:val="%1.%2.%3.%4.%5.%6."/>
      <w:lvlJc w:val="left"/>
      <w:pPr>
        <w:ind w:left="1800" w:hanging="1800"/>
      </w:pPr>
      <w:rPr>
        <w:rFonts w:cs="Arial" w:hint="default"/>
        <w:color w:val="0000FF"/>
      </w:rPr>
    </w:lvl>
    <w:lvl w:ilvl="6">
      <w:start w:val="1"/>
      <w:numFmt w:val="decimal"/>
      <w:lvlText w:val="%1.%2.%3.%4.%5.%6.%7."/>
      <w:lvlJc w:val="left"/>
      <w:pPr>
        <w:ind w:left="1800" w:hanging="1800"/>
      </w:pPr>
      <w:rPr>
        <w:rFonts w:cs="Arial" w:hint="default"/>
        <w:color w:val="0000FF"/>
      </w:rPr>
    </w:lvl>
    <w:lvl w:ilvl="7">
      <w:start w:val="1"/>
      <w:numFmt w:val="decimal"/>
      <w:lvlText w:val="%1.%2.%3.%4.%5.%6.%7.%8."/>
      <w:lvlJc w:val="left"/>
      <w:pPr>
        <w:ind w:left="2160" w:hanging="2160"/>
      </w:pPr>
      <w:rPr>
        <w:rFonts w:cs="Arial" w:hint="default"/>
        <w:color w:val="0000FF"/>
      </w:rPr>
    </w:lvl>
    <w:lvl w:ilvl="8">
      <w:start w:val="1"/>
      <w:numFmt w:val="decimal"/>
      <w:lvlText w:val="%1.%2.%3.%4.%5.%6.%7.%8.%9."/>
      <w:lvlJc w:val="left"/>
      <w:pPr>
        <w:ind w:left="2520" w:hanging="2520"/>
      </w:pPr>
      <w:rPr>
        <w:rFonts w:cs="Arial" w:hint="default"/>
        <w:color w:val="0000FF"/>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0"/>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BF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7F"/>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2BC"/>
    <w:rsid w:val="000814F1"/>
    <w:rsid w:val="00081D86"/>
    <w:rsid w:val="00081F32"/>
    <w:rsid w:val="00081FDD"/>
    <w:rsid w:val="000824BB"/>
    <w:rsid w:val="00082813"/>
    <w:rsid w:val="000833E9"/>
    <w:rsid w:val="00083AAC"/>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0E6B"/>
    <w:rsid w:val="000F116A"/>
    <w:rsid w:val="000F195F"/>
    <w:rsid w:val="000F1AD0"/>
    <w:rsid w:val="000F1D48"/>
    <w:rsid w:val="000F1FDE"/>
    <w:rsid w:val="000F286F"/>
    <w:rsid w:val="000F2939"/>
    <w:rsid w:val="000F33DC"/>
    <w:rsid w:val="000F3883"/>
    <w:rsid w:val="000F3C5A"/>
    <w:rsid w:val="000F3CF5"/>
    <w:rsid w:val="000F4326"/>
    <w:rsid w:val="000F4709"/>
    <w:rsid w:val="000F5F1F"/>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789"/>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32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942"/>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165"/>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1942"/>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73D"/>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124"/>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021"/>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D97"/>
    <w:rsid w:val="003C4EE6"/>
    <w:rsid w:val="003C5484"/>
    <w:rsid w:val="003C55A8"/>
    <w:rsid w:val="003C5640"/>
    <w:rsid w:val="003C5876"/>
    <w:rsid w:val="003C59EF"/>
    <w:rsid w:val="003C5B35"/>
    <w:rsid w:val="003C61F1"/>
    <w:rsid w:val="003C6555"/>
    <w:rsid w:val="003C6930"/>
    <w:rsid w:val="003C6DF0"/>
    <w:rsid w:val="003C6E39"/>
    <w:rsid w:val="003C702B"/>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2F25"/>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1BF"/>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2DA4"/>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2CB"/>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1EF2"/>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181"/>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313"/>
    <w:rsid w:val="00591A2D"/>
    <w:rsid w:val="00591A34"/>
    <w:rsid w:val="00592D23"/>
    <w:rsid w:val="00594584"/>
    <w:rsid w:val="00594F7E"/>
    <w:rsid w:val="00594FDC"/>
    <w:rsid w:val="0059514B"/>
    <w:rsid w:val="005951B2"/>
    <w:rsid w:val="00595412"/>
    <w:rsid w:val="00595487"/>
    <w:rsid w:val="005955FF"/>
    <w:rsid w:val="005958B5"/>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B0"/>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5CB"/>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6CDB"/>
    <w:rsid w:val="006875A2"/>
    <w:rsid w:val="00687E4B"/>
    <w:rsid w:val="0068EFFC"/>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044"/>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2D71"/>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5B06"/>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C94"/>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6A35"/>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169"/>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6CB2"/>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86F"/>
    <w:rsid w:val="009459CE"/>
    <w:rsid w:val="00945BDD"/>
    <w:rsid w:val="00946525"/>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DB"/>
    <w:rsid w:val="009E4BE7"/>
    <w:rsid w:val="009E5315"/>
    <w:rsid w:val="009E531A"/>
    <w:rsid w:val="009E54F4"/>
    <w:rsid w:val="009E5931"/>
    <w:rsid w:val="009E5F9D"/>
    <w:rsid w:val="009E6023"/>
    <w:rsid w:val="009E6254"/>
    <w:rsid w:val="009E6598"/>
    <w:rsid w:val="009E6840"/>
    <w:rsid w:val="009E6902"/>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531"/>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5DDE"/>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03D"/>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745"/>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D5A"/>
    <w:rsid w:val="00AB0F54"/>
    <w:rsid w:val="00AB0FFE"/>
    <w:rsid w:val="00AB1280"/>
    <w:rsid w:val="00AB1614"/>
    <w:rsid w:val="00AB1642"/>
    <w:rsid w:val="00AB1E94"/>
    <w:rsid w:val="00AB2105"/>
    <w:rsid w:val="00AB2175"/>
    <w:rsid w:val="00AB22EB"/>
    <w:rsid w:val="00AB2841"/>
    <w:rsid w:val="00AB33F7"/>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40A"/>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754"/>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42B"/>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547"/>
    <w:rsid w:val="00B91A8C"/>
    <w:rsid w:val="00B91A94"/>
    <w:rsid w:val="00B9240C"/>
    <w:rsid w:val="00B92701"/>
    <w:rsid w:val="00B927A1"/>
    <w:rsid w:val="00B936B3"/>
    <w:rsid w:val="00B9372D"/>
    <w:rsid w:val="00B940F0"/>
    <w:rsid w:val="00B94229"/>
    <w:rsid w:val="00B944AC"/>
    <w:rsid w:val="00B951B9"/>
    <w:rsid w:val="00B95252"/>
    <w:rsid w:val="00B957C6"/>
    <w:rsid w:val="00B95870"/>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1C53"/>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764"/>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033"/>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276"/>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3E3D"/>
    <w:rsid w:val="00C44194"/>
    <w:rsid w:val="00C449AF"/>
    <w:rsid w:val="00C45A37"/>
    <w:rsid w:val="00C45D1C"/>
    <w:rsid w:val="00C45F3C"/>
    <w:rsid w:val="00C460E0"/>
    <w:rsid w:val="00C46122"/>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119"/>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BF6"/>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06F"/>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1E47"/>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04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488"/>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0EF"/>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1F50"/>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078"/>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492"/>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C58"/>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44D"/>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5C4"/>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679CC4"/>
    <w:rsid w:val="01A7D001"/>
    <w:rsid w:val="0204C05D"/>
    <w:rsid w:val="03F207BF"/>
    <w:rsid w:val="04389B31"/>
    <w:rsid w:val="04E689AB"/>
    <w:rsid w:val="056CD8DC"/>
    <w:rsid w:val="06EA1F63"/>
    <w:rsid w:val="07C13A11"/>
    <w:rsid w:val="0AC4F0BF"/>
    <w:rsid w:val="0B23D96C"/>
    <w:rsid w:val="0BAD7A75"/>
    <w:rsid w:val="0D2ABED2"/>
    <w:rsid w:val="0F08B903"/>
    <w:rsid w:val="0F15856C"/>
    <w:rsid w:val="0F6D28AD"/>
    <w:rsid w:val="0FC2B454"/>
    <w:rsid w:val="13A579B1"/>
    <w:rsid w:val="13F6F0B2"/>
    <w:rsid w:val="14DAF96B"/>
    <w:rsid w:val="16437B00"/>
    <w:rsid w:val="1800EAD9"/>
    <w:rsid w:val="191D6C6D"/>
    <w:rsid w:val="19662BB2"/>
    <w:rsid w:val="197B1BC2"/>
    <w:rsid w:val="19BFA351"/>
    <w:rsid w:val="1AED0A95"/>
    <w:rsid w:val="1B29DA56"/>
    <w:rsid w:val="1B39218F"/>
    <w:rsid w:val="1B9BD6CC"/>
    <w:rsid w:val="1CFD9A42"/>
    <w:rsid w:val="1D9DD2F8"/>
    <w:rsid w:val="1E5E3425"/>
    <w:rsid w:val="1FB291FD"/>
    <w:rsid w:val="2163E053"/>
    <w:rsid w:val="228B2333"/>
    <w:rsid w:val="2308D5AB"/>
    <w:rsid w:val="233DB3C2"/>
    <w:rsid w:val="2346F7D5"/>
    <w:rsid w:val="240559C7"/>
    <w:rsid w:val="24BDCE69"/>
    <w:rsid w:val="253298E4"/>
    <w:rsid w:val="258FBC80"/>
    <w:rsid w:val="2627AD07"/>
    <w:rsid w:val="2640766D"/>
    <w:rsid w:val="2663969C"/>
    <w:rsid w:val="26EA495E"/>
    <w:rsid w:val="2726EF05"/>
    <w:rsid w:val="272B8CE1"/>
    <w:rsid w:val="2744B53E"/>
    <w:rsid w:val="2859017C"/>
    <w:rsid w:val="29813D47"/>
    <w:rsid w:val="2A1F65A4"/>
    <w:rsid w:val="2BD4F847"/>
    <w:rsid w:val="2CBA7253"/>
    <w:rsid w:val="2E9A0AB3"/>
    <w:rsid w:val="2F3759E6"/>
    <w:rsid w:val="3088E5AC"/>
    <w:rsid w:val="31330F63"/>
    <w:rsid w:val="318B169A"/>
    <w:rsid w:val="323388AF"/>
    <w:rsid w:val="334E1BEA"/>
    <w:rsid w:val="340A0FE9"/>
    <w:rsid w:val="34408913"/>
    <w:rsid w:val="34613EC9"/>
    <w:rsid w:val="3516D154"/>
    <w:rsid w:val="35243FEC"/>
    <w:rsid w:val="357420D5"/>
    <w:rsid w:val="35801892"/>
    <w:rsid w:val="358E51AC"/>
    <w:rsid w:val="360CB8F4"/>
    <w:rsid w:val="372F8D35"/>
    <w:rsid w:val="3827C49C"/>
    <w:rsid w:val="3879FA96"/>
    <w:rsid w:val="3A1BE499"/>
    <w:rsid w:val="3B0EA151"/>
    <w:rsid w:val="3B79242E"/>
    <w:rsid w:val="3BE6AEF6"/>
    <w:rsid w:val="3C0C0D79"/>
    <w:rsid w:val="3D5BEF59"/>
    <w:rsid w:val="3DD908E5"/>
    <w:rsid w:val="3FE1936F"/>
    <w:rsid w:val="400C81F5"/>
    <w:rsid w:val="40D7581A"/>
    <w:rsid w:val="41C8E7D6"/>
    <w:rsid w:val="41CF3577"/>
    <w:rsid w:val="42BFAAD4"/>
    <w:rsid w:val="4325F39F"/>
    <w:rsid w:val="433D6F6C"/>
    <w:rsid w:val="43BAACB0"/>
    <w:rsid w:val="442AC755"/>
    <w:rsid w:val="46753940"/>
    <w:rsid w:val="46F3D2D3"/>
    <w:rsid w:val="4738EA9C"/>
    <w:rsid w:val="47475897"/>
    <w:rsid w:val="47BAFCEB"/>
    <w:rsid w:val="487A5625"/>
    <w:rsid w:val="48EB167E"/>
    <w:rsid w:val="4ACBBE3E"/>
    <w:rsid w:val="4CB1884A"/>
    <w:rsid w:val="4CB8B8A8"/>
    <w:rsid w:val="4D86AB5E"/>
    <w:rsid w:val="4DC4CA10"/>
    <w:rsid w:val="4F4D19B0"/>
    <w:rsid w:val="4FD548AF"/>
    <w:rsid w:val="50998629"/>
    <w:rsid w:val="50C0B3EF"/>
    <w:rsid w:val="510C6873"/>
    <w:rsid w:val="514AA180"/>
    <w:rsid w:val="51A791DC"/>
    <w:rsid w:val="51A8F033"/>
    <w:rsid w:val="527A5288"/>
    <w:rsid w:val="540AE72A"/>
    <w:rsid w:val="5468E4A5"/>
    <w:rsid w:val="55FD7FBF"/>
    <w:rsid w:val="56F877F9"/>
    <w:rsid w:val="574C418A"/>
    <w:rsid w:val="5777638A"/>
    <w:rsid w:val="58EC49D6"/>
    <w:rsid w:val="5910E188"/>
    <w:rsid w:val="595E2D96"/>
    <w:rsid w:val="5B7A721B"/>
    <w:rsid w:val="5CC70122"/>
    <w:rsid w:val="5D4158BC"/>
    <w:rsid w:val="5DE7CD8C"/>
    <w:rsid w:val="5E53D2B7"/>
    <w:rsid w:val="5E6ABF09"/>
    <w:rsid w:val="5FB93AA4"/>
    <w:rsid w:val="60B55B6E"/>
    <w:rsid w:val="61759D0B"/>
    <w:rsid w:val="61F99EDB"/>
    <w:rsid w:val="62D1FD37"/>
    <w:rsid w:val="6309134E"/>
    <w:rsid w:val="66020DA1"/>
    <w:rsid w:val="6617BA2D"/>
    <w:rsid w:val="6722A3B9"/>
    <w:rsid w:val="68EFC7BA"/>
    <w:rsid w:val="691BD5AA"/>
    <w:rsid w:val="69492575"/>
    <w:rsid w:val="69E0424E"/>
    <w:rsid w:val="6C35177E"/>
    <w:rsid w:val="6C3F3282"/>
    <w:rsid w:val="6E64CD78"/>
    <w:rsid w:val="6F0B515C"/>
    <w:rsid w:val="710B769A"/>
    <w:rsid w:val="72359ECF"/>
    <w:rsid w:val="72661DB7"/>
    <w:rsid w:val="72FB5575"/>
    <w:rsid w:val="738657B0"/>
    <w:rsid w:val="7398DAEE"/>
    <w:rsid w:val="73993F95"/>
    <w:rsid w:val="73A8822E"/>
    <w:rsid w:val="76D9D7BB"/>
    <w:rsid w:val="76F09CD8"/>
    <w:rsid w:val="77BCDB1C"/>
    <w:rsid w:val="7ABE82CC"/>
    <w:rsid w:val="7AC6038E"/>
    <w:rsid w:val="7B6B4B28"/>
    <w:rsid w:val="7C66DC1E"/>
    <w:rsid w:val="7DB73BFC"/>
    <w:rsid w:val="7E3B6E1E"/>
    <w:rsid w:val="7FB62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7277F"/>
    <w:rPr>
      <w:b/>
      <w:bCs/>
    </w:rPr>
  </w:style>
  <w:style w:type="character" w:customStyle="1" w:styleId="AsuntodelcomentarioCar">
    <w:name w:val="Asunto del comentario Car"/>
    <w:basedOn w:val="TextocomentarioCar"/>
    <w:link w:val="Asuntodelcomentario"/>
    <w:uiPriority w:val="99"/>
    <w:semiHidden/>
    <w:rsid w:val="0007277F"/>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4314">
      <w:bodyDiv w:val="1"/>
      <w:marLeft w:val="0"/>
      <w:marRight w:val="0"/>
      <w:marTop w:val="0"/>
      <w:marBottom w:val="0"/>
      <w:divBdr>
        <w:top w:val="none" w:sz="0" w:space="0" w:color="auto"/>
        <w:left w:val="none" w:sz="0" w:space="0" w:color="auto"/>
        <w:bottom w:val="none" w:sz="0" w:space="0" w:color="auto"/>
        <w:right w:val="none" w:sz="0" w:space="0" w:color="auto"/>
      </w:divBdr>
    </w:div>
    <w:div w:id="619343157">
      <w:bodyDiv w:val="1"/>
      <w:marLeft w:val="0"/>
      <w:marRight w:val="0"/>
      <w:marTop w:val="0"/>
      <w:marBottom w:val="0"/>
      <w:divBdr>
        <w:top w:val="none" w:sz="0" w:space="0" w:color="auto"/>
        <w:left w:val="none" w:sz="0" w:space="0" w:color="auto"/>
        <w:bottom w:val="none" w:sz="0" w:space="0" w:color="auto"/>
        <w:right w:val="none" w:sz="0" w:space="0" w:color="auto"/>
      </w:divBdr>
    </w:div>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8dfe5eceb201403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DCE126-5689-4918-A938-C6957748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2594</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13</cp:revision>
  <cp:lastPrinted>2020-12-09T12:54:00Z</cp:lastPrinted>
  <dcterms:created xsi:type="dcterms:W3CDTF">2021-07-21T12:31:00Z</dcterms:created>
  <dcterms:modified xsi:type="dcterms:W3CDTF">2021-08-08T01:44:00Z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