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F608" w14:textId="77777777" w:rsidR="00FB024E" w:rsidRPr="00FB024E" w:rsidRDefault="00FB024E" w:rsidP="00FB024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FB024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856772" w14:textId="77777777" w:rsidR="00FB024E" w:rsidRPr="00FB024E" w:rsidRDefault="00FB024E" w:rsidP="00FB024E">
      <w:pPr>
        <w:jc w:val="both"/>
        <w:rPr>
          <w:rFonts w:ascii="Arial" w:hAnsi="Arial" w:cs="Arial"/>
          <w:sz w:val="20"/>
          <w:szCs w:val="20"/>
          <w:lang w:val="es-419"/>
        </w:rPr>
      </w:pPr>
    </w:p>
    <w:p w14:paraId="74563411" w14:textId="5E252E9A" w:rsidR="00FB024E" w:rsidRPr="00FB024E" w:rsidRDefault="00FB024E" w:rsidP="00FB024E">
      <w:pPr>
        <w:jc w:val="both"/>
        <w:rPr>
          <w:rFonts w:ascii="Arial" w:hAnsi="Arial" w:cs="Arial"/>
          <w:sz w:val="20"/>
          <w:szCs w:val="20"/>
          <w:lang w:val="es-419"/>
        </w:rPr>
      </w:pPr>
      <w:r w:rsidRPr="00FB024E">
        <w:rPr>
          <w:rFonts w:ascii="Arial" w:hAnsi="Arial" w:cs="Arial"/>
          <w:sz w:val="20"/>
          <w:szCs w:val="20"/>
          <w:lang w:val="es-419"/>
        </w:rPr>
        <w:t>Asunto</w:t>
      </w:r>
      <w:r w:rsidRPr="00FB024E">
        <w:rPr>
          <w:rFonts w:ascii="Arial" w:hAnsi="Arial" w:cs="Arial"/>
          <w:sz w:val="20"/>
          <w:szCs w:val="20"/>
          <w:lang w:val="es-419"/>
        </w:rPr>
        <w:tab/>
      </w:r>
      <w:r>
        <w:rPr>
          <w:rFonts w:ascii="Arial" w:hAnsi="Arial" w:cs="Arial"/>
          <w:sz w:val="20"/>
          <w:szCs w:val="20"/>
          <w:lang w:val="es-419"/>
        </w:rPr>
        <w:tab/>
      </w:r>
      <w:r w:rsidRPr="00FB024E">
        <w:rPr>
          <w:rFonts w:ascii="Arial" w:hAnsi="Arial" w:cs="Arial"/>
          <w:sz w:val="20"/>
          <w:szCs w:val="20"/>
          <w:lang w:val="es-419"/>
        </w:rPr>
        <w:tab/>
        <w:t>: Apelación de auto interlocutorio</w:t>
      </w:r>
    </w:p>
    <w:p w14:paraId="2A185854" w14:textId="5F308EAB" w:rsidR="00FB024E" w:rsidRPr="00FB024E" w:rsidRDefault="00FB024E" w:rsidP="00FB024E">
      <w:pPr>
        <w:jc w:val="both"/>
        <w:rPr>
          <w:rFonts w:ascii="Arial" w:hAnsi="Arial" w:cs="Arial"/>
          <w:sz w:val="20"/>
          <w:szCs w:val="20"/>
          <w:lang w:val="es-419"/>
        </w:rPr>
      </w:pPr>
      <w:r w:rsidRPr="00FB024E">
        <w:rPr>
          <w:rFonts w:ascii="Arial" w:hAnsi="Arial" w:cs="Arial"/>
          <w:sz w:val="20"/>
          <w:szCs w:val="20"/>
          <w:lang w:val="es-419"/>
        </w:rPr>
        <w:t>Proceso</w:t>
      </w:r>
      <w:r w:rsidR="00315D8B">
        <w:rPr>
          <w:rFonts w:ascii="Arial" w:hAnsi="Arial" w:cs="Arial"/>
          <w:sz w:val="20"/>
          <w:szCs w:val="20"/>
          <w:lang w:val="es-419"/>
        </w:rPr>
        <w:tab/>
      </w:r>
      <w:r w:rsidRPr="00FB024E">
        <w:rPr>
          <w:rFonts w:ascii="Arial" w:hAnsi="Arial" w:cs="Arial"/>
          <w:sz w:val="20"/>
          <w:szCs w:val="20"/>
          <w:lang w:val="es-419"/>
        </w:rPr>
        <w:tab/>
        <w:t>: Divisorio</w:t>
      </w:r>
    </w:p>
    <w:p w14:paraId="03015494" w14:textId="64DE1AF9" w:rsidR="00FB024E" w:rsidRPr="00FB024E" w:rsidRDefault="00FB024E" w:rsidP="00FB024E">
      <w:pPr>
        <w:jc w:val="both"/>
        <w:rPr>
          <w:rFonts w:ascii="Arial" w:hAnsi="Arial" w:cs="Arial"/>
          <w:sz w:val="20"/>
          <w:szCs w:val="20"/>
          <w:lang w:val="es-419"/>
        </w:rPr>
      </w:pPr>
      <w:r w:rsidRPr="00FB024E">
        <w:rPr>
          <w:rFonts w:ascii="Arial" w:hAnsi="Arial" w:cs="Arial"/>
          <w:sz w:val="20"/>
          <w:szCs w:val="20"/>
          <w:lang w:val="es-419"/>
        </w:rPr>
        <w:t>Demandantes</w:t>
      </w:r>
      <w:r w:rsidRPr="00FB024E">
        <w:rPr>
          <w:rFonts w:ascii="Arial" w:hAnsi="Arial" w:cs="Arial"/>
          <w:sz w:val="20"/>
          <w:szCs w:val="20"/>
          <w:lang w:val="es-419"/>
        </w:rPr>
        <w:tab/>
      </w:r>
      <w:r w:rsidR="00315D8B">
        <w:rPr>
          <w:rFonts w:ascii="Arial" w:hAnsi="Arial" w:cs="Arial"/>
          <w:sz w:val="20"/>
          <w:szCs w:val="20"/>
          <w:lang w:val="es-419"/>
        </w:rPr>
        <w:tab/>
      </w:r>
      <w:r w:rsidRPr="00FB024E">
        <w:rPr>
          <w:rFonts w:ascii="Arial" w:hAnsi="Arial" w:cs="Arial"/>
          <w:sz w:val="20"/>
          <w:szCs w:val="20"/>
          <w:lang w:val="es-419"/>
        </w:rPr>
        <w:t>: William Franco Castañeda y otra</w:t>
      </w:r>
    </w:p>
    <w:p w14:paraId="65165EDF" w14:textId="5F8FC936" w:rsidR="00FB024E" w:rsidRPr="00FB024E" w:rsidRDefault="00FB024E" w:rsidP="00FB024E">
      <w:pPr>
        <w:jc w:val="both"/>
        <w:rPr>
          <w:rFonts w:ascii="Arial" w:hAnsi="Arial" w:cs="Arial"/>
          <w:sz w:val="20"/>
          <w:szCs w:val="20"/>
          <w:lang w:val="es-419"/>
        </w:rPr>
      </w:pPr>
      <w:r w:rsidRPr="00FB024E">
        <w:rPr>
          <w:rFonts w:ascii="Arial" w:hAnsi="Arial" w:cs="Arial"/>
          <w:sz w:val="20"/>
          <w:szCs w:val="20"/>
          <w:lang w:val="es-419"/>
        </w:rPr>
        <w:t>Demandados</w:t>
      </w:r>
      <w:r w:rsidR="00315D8B">
        <w:rPr>
          <w:rFonts w:ascii="Arial" w:hAnsi="Arial" w:cs="Arial"/>
          <w:sz w:val="20"/>
          <w:szCs w:val="20"/>
          <w:lang w:val="es-419"/>
        </w:rPr>
        <w:tab/>
      </w:r>
      <w:r w:rsidRPr="00FB024E">
        <w:rPr>
          <w:rFonts w:ascii="Arial" w:hAnsi="Arial" w:cs="Arial"/>
          <w:sz w:val="20"/>
          <w:szCs w:val="20"/>
          <w:lang w:val="es-419"/>
        </w:rPr>
        <w:tab/>
        <w:t>: Administradora de Fondos de Pensiones y Cesantías Protección SA y otros</w:t>
      </w:r>
    </w:p>
    <w:p w14:paraId="26427831" w14:textId="2A26FBC8" w:rsidR="00FB024E" w:rsidRPr="00FB024E" w:rsidRDefault="00FB024E" w:rsidP="00FB024E">
      <w:pPr>
        <w:jc w:val="both"/>
        <w:rPr>
          <w:rFonts w:ascii="Arial" w:hAnsi="Arial" w:cs="Arial"/>
          <w:sz w:val="20"/>
          <w:szCs w:val="20"/>
          <w:lang w:val="es-419"/>
        </w:rPr>
      </w:pPr>
      <w:r w:rsidRPr="00FB024E">
        <w:rPr>
          <w:rFonts w:ascii="Arial" w:hAnsi="Arial" w:cs="Arial"/>
          <w:sz w:val="20"/>
          <w:szCs w:val="20"/>
          <w:lang w:val="es-419"/>
        </w:rPr>
        <w:t>Procedencia</w:t>
      </w:r>
      <w:r w:rsidRPr="00FB024E">
        <w:rPr>
          <w:rFonts w:ascii="Arial" w:hAnsi="Arial" w:cs="Arial"/>
          <w:sz w:val="20"/>
          <w:szCs w:val="20"/>
          <w:lang w:val="es-419"/>
        </w:rPr>
        <w:tab/>
      </w:r>
      <w:r w:rsidR="00315D8B">
        <w:rPr>
          <w:rFonts w:ascii="Arial" w:hAnsi="Arial" w:cs="Arial"/>
          <w:sz w:val="20"/>
          <w:szCs w:val="20"/>
          <w:lang w:val="es-419"/>
        </w:rPr>
        <w:tab/>
      </w:r>
      <w:r w:rsidRPr="00FB024E">
        <w:rPr>
          <w:rFonts w:ascii="Arial" w:hAnsi="Arial" w:cs="Arial"/>
          <w:sz w:val="20"/>
          <w:szCs w:val="20"/>
          <w:lang w:val="es-419"/>
        </w:rPr>
        <w:t>: Juzgado Primero Civil del Circuito de Pereira, R.</w:t>
      </w:r>
    </w:p>
    <w:p w14:paraId="5F09BED9" w14:textId="3495E5FF" w:rsidR="00FB024E" w:rsidRPr="00FB024E" w:rsidRDefault="00FB024E" w:rsidP="00FB024E">
      <w:pPr>
        <w:jc w:val="both"/>
        <w:rPr>
          <w:rFonts w:ascii="Arial" w:hAnsi="Arial" w:cs="Arial"/>
          <w:sz w:val="20"/>
          <w:szCs w:val="20"/>
          <w:lang w:val="es-419"/>
        </w:rPr>
      </w:pPr>
      <w:r w:rsidRPr="00FB024E">
        <w:rPr>
          <w:rFonts w:ascii="Arial" w:hAnsi="Arial" w:cs="Arial"/>
          <w:sz w:val="20"/>
          <w:szCs w:val="20"/>
          <w:lang w:val="es-419"/>
        </w:rPr>
        <w:t>Radicación</w:t>
      </w:r>
      <w:r w:rsidR="00315D8B">
        <w:rPr>
          <w:rFonts w:ascii="Arial" w:hAnsi="Arial" w:cs="Arial"/>
          <w:sz w:val="20"/>
          <w:szCs w:val="20"/>
          <w:lang w:val="es-419"/>
        </w:rPr>
        <w:tab/>
      </w:r>
      <w:r w:rsidRPr="00FB024E">
        <w:rPr>
          <w:rFonts w:ascii="Arial" w:hAnsi="Arial" w:cs="Arial"/>
          <w:sz w:val="20"/>
          <w:szCs w:val="20"/>
          <w:lang w:val="es-419"/>
        </w:rPr>
        <w:tab/>
        <w:t>: 66001-31-03-003-2014-00035-01</w:t>
      </w:r>
    </w:p>
    <w:p w14:paraId="13EB7CE0" w14:textId="77777777" w:rsidR="00FB024E" w:rsidRPr="00FB024E" w:rsidRDefault="00FB024E" w:rsidP="00FB024E">
      <w:pPr>
        <w:jc w:val="both"/>
        <w:rPr>
          <w:rFonts w:ascii="Arial" w:hAnsi="Arial" w:cs="Arial"/>
          <w:sz w:val="20"/>
          <w:szCs w:val="20"/>
          <w:lang w:val="es-419"/>
        </w:rPr>
      </w:pPr>
      <w:r w:rsidRPr="00FB024E">
        <w:rPr>
          <w:rFonts w:ascii="Arial" w:hAnsi="Arial" w:cs="Arial"/>
          <w:sz w:val="20"/>
          <w:szCs w:val="20"/>
          <w:lang w:val="es-419"/>
        </w:rPr>
        <w:t>Temas</w:t>
      </w:r>
      <w:r w:rsidRPr="00FB024E">
        <w:rPr>
          <w:rFonts w:ascii="Arial" w:hAnsi="Arial" w:cs="Arial"/>
          <w:sz w:val="20"/>
          <w:szCs w:val="20"/>
          <w:lang w:val="es-419"/>
        </w:rPr>
        <w:tab/>
      </w:r>
      <w:r w:rsidRPr="00FB024E">
        <w:rPr>
          <w:rFonts w:ascii="Arial" w:hAnsi="Arial" w:cs="Arial"/>
          <w:sz w:val="20"/>
          <w:szCs w:val="20"/>
          <w:lang w:val="es-419"/>
        </w:rPr>
        <w:tab/>
      </w:r>
      <w:r w:rsidRPr="00FB024E">
        <w:rPr>
          <w:rFonts w:ascii="Arial" w:hAnsi="Arial" w:cs="Arial"/>
          <w:sz w:val="20"/>
          <w:szCs w:val="20"/>
          <w:lang w:val="es-419"/>
        </w:rPr>
        <w:tab/>
        <w:t xml:space="preserve">: Desistimiento tácito – Inaplicabilidad </w:t>
      </w:r>
    </w:p>
    <w:p w14:paraId="3EDE78C0" w14:textId="4C226262" w:rsidR="00FB024E" w:rsidRPr="00FB024E" w:rsidRDefault="00FB024E" w:rsidP="00FB024E">
      <w:pPr>
        <w:jc w:val="both"/>
        <w:rPr>
          <w:rFonts w:ascii="Arial" w:hAnsi="Arial" w:cs="Arial"/>
          <w:sz w:val="20"/>
          <w:szCs w:val="20"/>
          <w:lang w:val="es-419"/>
        </w:rPr>
      </w:pPr>
      <w:proofErr w:type="spellStart"/>
      <w:r w:rsidRPr="00FB024E">
        <w:rPr>
          <w:rFonts w:ascii="Arial" w:hAnsi="Arial" w:cs="Arial"/>
          <w:sz w:val="20"/>
          <w:szCs w:val="20"/>
          <w:lang w:val="es-419"/>
        </w:rPr>
        <w:t>Mag</w:t>
      </w:r>
      <w:proofErr w:type="spellEnd"/>
      <w:r w:rsidRPr="00FB024E">
        <w:rPr>
          <w:rFonts w:ascii="Arial" w:hAnsi="Arial" w:cs="Arial"/>
          <w:sz w:val="20"/>
          <w:szCs w:val="20"/>
          <w:lang w:val="es-419"/>
        </w:rPr>
        <w:t>. Sustanciador</w:t>
      </w:r>
      <w:r w:rsidRPr="00FB024E">
        <w:rPr>
          <w:rFonts w:ascii="Arial" w:hAnsi="Arial" w:cs="Arial"/>
          <w:sz w:val="20"/>
          <w:szCs w:val="20"/>
          <w:lang w:val="es-419"/>
        </w:rPr>
        <w:tab/>
        <w:t>: DUBERNEY GRISALES HERRERA</w:t>
      </w:r>
    </w:p>
    <w:p w14:paraId="77CB2CA5" w14:textId="77777777" w:rsidR="00FB024E" w:rsidRPr="00FB024E" w:rsidRDefault="00FB024E" w:rsidP="00FB024E">
      <w:pPr>
        <w:jc w:val="both"/>
        <w:rPr>
          <w:rFonts w:ascii="Arial" w:hAnsi="Arial" w:cs="Arial"/>
          <w:sz w:val="20"/>
          <w:szCs w:val="20"/>
          <w:lang w:val="es-419"/>
        </w:rPr>
      </w:pPr>
    </w:p>
    <w:p w14:paraId="74EE4965" w14:textId="403AF33F" w:rsidR="00FB024E" w:rsidRPr="00FB024E" w:rsidRDefault="003C37FE" w:rsidP="00FB024E">
      <w:pPr>
        <w:jc w:val="both"/>
        <w:rPr>
          <w:rFonts w:ascii="Arial" w:hAnsi="Arial" w:cs="Arial"/>
          <w:sz w:val="20"/>
          <w:szCs w:val="20"/>
          <w:lang w:val="es-419"/>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DESISTIMIENTO TÁCITO / DEFINICIÓN / EVOLUCIÓN DE LA FIGURA / FINALIDADES / INTERRUPCIÓN DE LA INACTIVIDAD PROCESAL / DEBE SER MEDIANTE ACTUACIÓN QUE IMPLIQUE IMPULSO DEL PROCESO / NO ES APLICABLE EN PROCESOS DE LIQUIDACIÓN / LA COMUNIDAD DE BIENES NO PUEDE VOLVERSE PERENNE.</w:t>
      </w:r>
    </w:p>
    <w:p w14:paraId="45717D5C" w14:textId="77777777" w:rsidR="008644F0" w:rsidRDefault="008644F0" w:rsidP="005F6B4D">
      <w:pPr>
        <w:jc w:val="both"/>
        <w:rPr>
          <w:rFonts w:ascii="Arial" w:hAnsi="Arial" w:cs="Arial"/>
          <w:sz w:val="20"/>
          <w:szCs w:val="20"/>
          <w:lang w:val="es-419"/>
        </w:rPr>
      </w:pPr>
    </w:p>
    <w:p w14:paraId="3FBFBE12" w14:textId="4084E5D2" w:rsidR="005F6B4D" w:rsidRPr="005F6B4D" w:rsidRDefault="005F6B4D" w:rsidP="005F6B4D">
      <w:pPr>
        <w:jc w:val="both"/>
        <w:rPr>
          <w:rFonts w:ascii="Arial" w:hAnsi="Arial" w:cs="Arial"/>
          <w:sz w:val="20"/>
          <w:szCs w:val="20"/>
          <w:lang w:val="es-419"/>
        </w:rPr>
      </w:pPr>
      <w:r w:rsidRPr="005F6B4D">
        <w:rPr>
          <w:rFonts w:ascii="Arial" w:hAnsi="Arial" w:cs="Arial"/>
          <w:sz w:val="20"/>
          <w:szCs w:val="20"/>
          <w:lang w:val="es-419"/>
        </w:rPr>
        <w:t>EL DESISTIMIENTO TÁCITO EN EL CGP.  La figura se incorporó a nuestro sistema procesal a partir de la Ley 1194, como una forma más, de terminación anormal de los procesos, opera de oficio o a petición de parte. (…)</w:t>
      </w:r>
    </w:p>
    <w:p w14:paraId="39EB8AD0" w14:textId="77777777" w:rsidR="005F6B4D" w:rsidRPr="005F6B4D" w:rsidRDefault="005F6B4D" w:rsidP="005F6B4D">
      <w:pPr>
        <w:jc w:val="both"/>
        <w:rPr>
          <w:rFonts w:ascii="Arial" w:hAnsi="Arial" w:cs="Arial"/>
          <w:sz w:val="20"/>
          <w:szCs w:val="20"/>
          <w:lang w:val="es-419"/>
        </w:rPr>
      </w:pPr>
    </w:p>
    <w:p w14:paraId="1C3911F9" w14:textId="77777777" w:rsidR="005F6B4D" w:rsidRPr="005F6B4D" w:rsidRDefault="005F6B4D" w:rsidP="005F6B4D">
      <w:pPr>
        <w:jc w:val="both"/>
        <w:rPr>
          <w:rFonts w:ascii="Arial" w:hAnsi="Arial" w:cs="Arial"/>
          <w:sz w:val="20"/>
          <w:szCs w:val="20"/>
          <w:lang w:val="es-419"/>
        </w:rPr>
      </w:pPr>
      <w:r w:rsidRPr="005F6B4D">
        <w:rPr>
          <w:rFonts w:ascii="Arial" w:hAnsi="Arial" w:cs="Arial"/>
          <w:sz w:val="20"/>
          <w:szCs w:val="20"/>
          <w:lang w:val="es-419"/>
        </w:rPr>
        <w:t>… es razonable aplicar las legítimas finalidades adjudicadas a la figura en el pasado, se itera pues, el análisis se hizo sobre supuestos semejantes; se explicaron en los términos siguientes: (i) Evita la paralización del aparato jurisdiccional; (ii) Permite la efectividad de los derechos de quienes participan en la administración de justicia; y (iii) Promueve la certeza jurídica de quienes actúan como partes en los procesos…</w:t>
      </w:r>
    </w:p>
    <w:p w14:paraId="54735113" w14:textId="77777777" w:rsidR="005F6B4D" w:rsidRPr="005F6B4D" w:rsidRDefault="005F6B4D" w:rsidP="005F6B4D">
      <w:pPr>
        <w:jc w:val="both"/>
        <w:rPr>
          <w:rFonts w:ascii="Arial" w:hAnsi="Arial" w:cs="Arial"/>
          <w:sz w:val="20"/>
          <w:szCs w:val="20"/>
          <w:lang w:val="es-419"/>
        </w:rPr>
      </w:pPr>
    </w:p>
    <w:p w14:paraId="66FA3B03" w14:textId="77777777" w:rsidR="005F6B4D" w:rsidRPr="005F6B4D" w:rsidRDefault="005F6B4D" w:rsidP="005F6B4D">
      <w:pPr>
        <w:jc w:val="both"/>
        <w:rPr>
          <w:rFonts w:ascii="Arial" w:hAnsi="Arial" w:cs="Arial"/>
          <w:sz w:val="20"/>
          <w:szCs w:val="20"/>
          <w:lang w:val="es-419"/>
        </w:rPr>
      </w:pPr>
      <w:r w:rsidRPr="005F6B4D">
        <w:rPr>
          <w:rFonts w:ascii="Arial" w:hAnsi="Arial" w:cs="Arial"/>
          <w:sz w:val="20"/>
          <w:szCs w:val="20"/>
          <w:lang w:val="es-419"/>
        </w:rPr>
        <w:t>… muy importante en el condigno ejercicio hermenéutico, es considerar que como se está en presencia de sanciones, su aplicación es restrictiva, tal como dispone de antaño la Ley 153 de 1887… Así, para que la afectación generada con el desistimiento no sea inesperada, previamente la parte debe ser advertida por el juez, quien con claridad determinará la actuación encomendada y otorgará el término legal para ejecutarla…</w:t>
      </w:r>
    </w:p>
    <w:p w14:paraId="28B6DE9F" w14:textId="77777777" w:rsidR="005F6B4D" w:rsidRPr="005F6B4D" w:rsidRDefault="005F6B4D" w:rsidP="005F6B4D">
      <w:pPr>
        <w:jc w:val="both"/>
        <w:rPr>
          <w:rFonts w:ascii="Arial" w:hAnsi="Arial" w:cs="Arial"/>
          <w:sz w:val="20"/>
          <w:szCs w:val="20"/>
          <w:lang w:val="es-419"/>
        </w:rPr>
      </w:pPr>
    </w:p>
    <w:p w14:paraId="0A874F42" w14:textId="77777777" w:rsidR="005F6B4D" w:rsidRPr="005F6B4D" w:rsidRDefault="005F6B4D" w:rsidP="005F6B4D">
      <w:pPr>
        <w:jc w:val="both"/>
        <w:rPr>
          <w:rFonts w:ascii="Arial" w:hAnsi="Arial" w:cs="Arial"/>
          <w:sz w:val="20"/>
          <w:szCs w:val="20"/>
          <w:lang w:val="es-419"/>
        </w:rPr>
      </w:pPr>
      <w:r w:rsidRPr="005F6B4D">
        <w:rPr>
          <w:rFonts w:ascii="Arial" w:hAnsi="Arial" w:cs="Arial"/>
          <w:sz w:val="20"/>
          <w:szCs w:val="20"/>
          <w:lang w:val="es-419"/>
        </w:rPr>
        <w:t>Sobre la inactividad, dispone el artículo 317-2º que: “(…) Cuando un proceso (…), permanezca inactivo en la secretaría del despacho, porque no se solicita o realiza ninguna actuación (…), a petición de parte o de oficio, se decretará la terminación por desistimiento tácito sin necesidad de requerimiento previo (…)”</w:t>
      </w:r>
    </w:p>
    <w:p w14:paraId="03F8541F" w14:textId="77777777" w:rsidR="005F6B4D" w:rsidRPr="005F6B4D" w:rsidRDefault="005F6B4D" w:rsidP="005F6B4D">
      <w:pPr>
        <w:jc w:val="both"/>
        <w:rPr>
          <w:rFonts w:ascii="Arial" w:hAnsi="Arial" w:cs="Arial"/>
          <w:sz w:val="20"/>
          <w:szCs w:val="20"/>
          <w:lang w:val="es-419"/>
        </w:rPr>
      </w:pPr>
    </w:p>
    <w:p w14:paraId="68BFE521" w14:textId="77777777" w:rsidR="005F6B4D" w:rsidRPr="005F6B4D" w:rsidRDefault="005F6B4D" w:rsidP="005F6B4D">
      <w:pPr>
        <w:jc w:val="both"/>
        <w:rPr>
          <w:rFonts w:ascii="Arial" w:hAnsi="Arial" w:cs="Arial"/>
          <w:sz w:val="20"/>
          <w:szCs w:val="20"/>
          <w:lang w:val="es-419"/>
        </w:rPr>
      </w:pPr>
      <w:r w:rsidRPr="005F6B4D">
        <w:rPr>
          <w:rFonts w:ascii="Arial" w:hAnsi="Arial" w:cs="Arial"/>
          <w:sz w:val="20"/>
          <w:szCs w:val="20"/>
          <w:lang w:val="es-419"/>
        </w:rPr>
        <w:t>Asimismo, respecto de la interrupción, refiere el literal c) que: “Cualquier actuación, de oficio o a petición de parte, de cualquier naturaleza, interrumpirá los términos previstos en este artículo”; ahora, aun cuando se emplee la expresión “actuación”, debe tenerse en cuenta que no se está significando que deba mediar una providencia, sino que es idónea cualquier solicitud…</w:t>
      </w:r>
    </w:p>
    <w:p w14:paraId="24C601D9" w14:textId="77777777" w:rsidR="005F6B4D" w:rsidRPr="005F6B4D" w:rsidRDefault="005F6B4D" w:rsidP="005F6B4D">
      <w:pPr>
        <w:jc w:val="both"/>
        <w:rPr>
          <w:rFonts w:ascii="Arial" w:hAnsi="Arial" w:cs="Arial"/>
          <w:sz w:val="20"/>
          <w:szCs w:val="20"/>
          <w:lang w:val="es-419"/>
        </w:rPr>
      </w:pPr>
    </w:p>
    <w:p w14:paraId="03D212DA" w14:textId="5B41BA05" w:rsidR="00FB024E" w:rsidRPr="00FB024E" w:rsidRDefault="005F6B4D" w:rsidP="005F6B4D">
      <w:pPr>
        <w:jc w:val="both"/>
        <w:rPr>
          <w:rFonts w:ascii="Arial" w:hAnsi="Arial" w:cs="Arial"/>
          <w:sz w:val="20"/>
          <w:szCs w:val="20"/>
        </w:rPr>
      </w:pPr>
      <w:r w:rsidRPr="005F6B4D">
        <w:rPr>
          <w:rFonts w:ascii="Arial" w:hAnsi="Arial" w:cs="Arial"/>
          <w:sz w:val="20"/>
          <w:szCs w:val="20"/>
          <w:lang w:val="es-419"/>
        </w:rPr>
        <w:t>Sin embargo, la CSJ en reciente decisión constitucional (2020), iteró postura de una Sala Unitaria de esa Colegiatura, que discrepa de aquel razonamiento; a su juicio, la norma realmente exige a la parte impulsar el trámite mediante actuaciones idóneas, en síntesis, que ayuden a la superación de estadios procesales y resolución pronta del problema jurídico…</w:t>
      </w:r>
    </w:p>
    <w:p w14:paraId="2D29E12E" w14:textId="77777777" w:rsidR="00FB024E" w:rsidRPr="00FB024E" w:rsidRDefault="00FB024E" w:rsidP="00FB024E">
      <w:pPr>
        <w:jc w:val="both"/>
        <w:rPr>
          <w:rFonts w:ascii="Arial" w:hAnsi="Arial" w:cs="Arial"/>
          <w:sz w:val="20"/>
          <w:szCs w:val="20"/>
        </w:rPr>
      </w:pPr>
    </w:p>
    <w:p w14:paraId="2FFB13C8" w14:textId="275AA0EE" w:rsidR="007659EF" w:rsidRPr="007659EF" w:rsidRDefault="007659EF" w:rsidP="007659EF">
      <w:pPr>
        <w:jc w:val="both"/>
        <w:rPr>
          <w:rFonts w:ascii="Arial" w:hAnsi="Arial" w:cs="Arial"/>
          <w:sz w:val="20"/>
          <w:szCs w:val="20"/>
        </w:rPr>
      </w:pPr>
      <w:r w:rsidRPr="007659EF">
        <w:rPr>
          <w:rFonts w:ascii="Arial" w:hAnsi="Arial" w:cs="Arial"/>
          <w:sz w:val="20"/>
          <w:szCs w:val="20"/>
        </w:rPr>
        <w:t xml:space="preserve">Se revocará la decisión venida en alzada, pues acorde con pacífica doctrina judicial de la Sala Civil de la CSJ, la figura en comento es inaplicable a los procesos </w:t>
      </w:r>
      <w:proofErr w:type="spellStart"/>
      <w:r w:rsidRPr="007659EF">
        <w:rPr>
          <w:rFonts w:ascii="Arial" w:hAnsi="Arial" w:cs="Arial"/>
          <w:sz w:val="20"/>
          <w:szCs w:val="20"/>
        </w:rPr>
        <w:t>liquidatorios</w:t>
      </w:r>
      <w:proofErr w:type="spellEnd"/>
      <w:r w:rsidRPr="007659EF">
        <w:rPr>
          <w:rFonts w:ascii="Arial" w:hAnsi="Arial" w:cs="Arial"/>
          <w:sz w:val="20"/>
          <w:szCs w:val="20"/>
        </w:rPr>
        <w:t xml:space="preserve"> como el divisorio</w:t>
      </w:r>
      <w:r>
        <w:rPr>
          <w:rFonts w:ascii="Arial" w:hAnsi="Arial" w:cs="Arial"/>
          <w:sz w:val="20"/>
          <w:szCs w:val="20"/>
        </w:rPr>
        <w:t>…</w:t>
      </w:r>
      <w:r w:rsidRPr="007659EF">
        <w:rPr>
          <w:rFonts w:ascii="Arial" w:hAnsi="Arial" w:cs="Arial"/>
          <w:sz w:val="20"/>
          <w:szCs w:val="20"/>
        </w:rPr>
        <w:t>, dados los efectos nocivos que causaría. Precisó de tiempo atrás (2013) esa Corporación:</w:t>
      </w:r>
    </w:p>
    <w:p w14:paraId="4E32A99C" w14:textId="77777777" w:rsidR="007659EF" w:rsidRPr="007659EF" w:rsidRDefault="007659EF" w:rsidP="007659EF">
      <w:pPr>
        <w:jc w:val="both"/>
        <w:rPr>
          <w:rFonts w:ascii="Arial" w:hAnsi="Arial" w:cs="Arial"/>
          <w:sz w:val="20"/>
          <w:szCs w:val="20"/>
        </w:rPr>
      </w:pPr>
    </w:p>
    <w:p w14:paraId="3AB06D17" w14:textId="13317ECC" w:rsidR="00FB024E" w:rsidRPr="00FB024E" w:rsidRDefault="00D436F3" w:rsidP="007659EF">
      <w:pPr>
        <w:jc w:val="both"/>
        <w:rPr>
          <w:rFonts w:ascii="Arial" w:hAnsi="Arial" w:cs="Arial"/>
          <w:sz w:val="20"/>
          <w:szCs w:val="20"/>
        </w:rPr>
      </w:pPr>
      <w:r>
        <w:rPr>
          <w:rFonts w:ascii="Arial" w:hAnsi="Arial" w:cs="Arial"/>
          <w:sz w:val="20"/>
          <w:szCs w:val="20"/>
        </w:rPr>
        <w:t>“</w:t>
      </w:r>
      <w:r w:rsidR="007659EF" w:rsidRPr="007659EF">
        <w:rPr>
          <w:rFonts w:ascii="Arial" w:hAnsi="Arial" w:cs="Arial"/>
          <w:sz w:val="20"/>
          <w:szCs w:val="20"/>
        </w:rPr>
        <w:t xml:space="preserve">… aquella no ha de aplicarse a asuntos de naturaleza </w:t>
      </w:r>
      <w:proofErr w:type="spellStart"/>
      <w:r w:rsidR="007659EF" w:rsidRPr="007659EF">
        <w:rPr>
          <w:rFonts w:ascii="Arial" w:hAnsi="Arial" w:cs="Arial"/>
          <w:sz w:val="20"/>
          <w:szCs w:val="20"/>
        </w:rPr>
        <w:t>liquidatoria</w:t>
      </w:r>
      <w:proofErr w:type="spellEnd"/>
      <w:r w:rsidR="007659EF" w:rsidRPr="007659EF">
        <w:rPr>
          <w:rFonts w:ascii="Arial" w:hAnsi="Arial" w:cs="Arial"/>
          <w:sz w:val="20"/>
          <w:szCs w:val="20"/>
        </w:rPr>
        <w:t xml:space="preserve">, como quiera que por esa vía se llegaría a la inaceptable conclusión de que, operado el desistimiento tácito por segunda vez, una masa </w:t>
      </w:r>
      <w:proofErr w:type="spellStart"/>
      <w:r w:rsidR="007659EF" w:rsidRPr="007659EF">
        <w:rPr>
          <w:rFonts w:ascii="Arial" w:hAnsi="Arial" w:cs="Arial"/>
          <w:sz w:val="20"/>
          <w:szCs w:val="20"/>
        </w:rPr>
        <w:t>sucesoral</w:t>
      </w:r>
      <w:proofErr w:type="spellEnd"/>
      <w:r w:rsidR="007659EF" w:rsidRPr="007659EF">
        <w:rPr>
          <w:rFonts w:ascii="Arial" w:hAnsi="Arial" w:cs="Arial"/>
          <w:sz w:val="20"/>
          <w:szCs w:val="20"/>
        </w:rPr>
        <w:t xml:space="preserve"> jamás podría llegar a ser materia de repartición, dejando a los herederos perennemente desprovistos de su legítima asignación que por virtud de ley les pueda corresponder, lo que acarrearía, por ende, quedar los bienes relictos indefinidamente en indivisión y los interesados en continua comunidad</w:t>
      </w:r>
      <w:r>
        <w:rPr>
          <w:rFonts w:ascii="Arial" w:hAnsi="Arial" w:cs="Arial"/>
          <w:sz w:val="20"/>
          <w:szCs w:val="20"/>
        </w:rPr>
        <w:t>.”</w:t>
      </w:r>
      <w:bookmarkStart w:id="1" w:name="_GoBack"/>
      <w:bookmarkEnd w:id="1"/>
    </w:p>
    <w:bookmarkEnd w:id="0"/>
    <w:p w14:paraId="1D55DADB" w14:textId="77C66FC5" w:rsidR="00FB024E" w:rsidRDefault="00FB024E" w:rsidP="00FB024E">
      <w:pPr>
        <w:jc w:val="both"/>
        <w:rPr>
          <w:rFonts w:ascii="Arial" w:hAnsi="Arial" w:cs="Arial"/>
          <w:sz w:val="20"/>
          <w:szCs w:val="20"/>
        </w:rPr>
      </w:pPr>
    </w:p>
    <w:p w14:paraId="6F9C79ED" w14:textId="77777777" w:rsidR="008644F0" w:rsidRPr="00FB024E" w:rsidRDefault="008644F0" w:rsidP="00FB024E">
      <w:pPr>
        <w:jc w:val="both"/>
        <w:rPr>
          <w:rFonts w:ascii="Arial" w:hAnsi="Arial" w:cs="Arial"/>
          <w:sz w:val="20"/>
          <w:szCs w:val="20"/>
        </w:rPr>
      </w:pPr>
    </w:p>
    <w:p w14:paraId="32E504F4" w14:textId="77777777" w:rsidR="00987558" w:rsidRPr="00987558" w:rsidRDefault="00987558" w:rsidP="00987558">
      <w:pPr>
        <w:widowControl w:val="0"/>
        <w:tabs>
          <w:tab w:val="center" w:pos="4252"/>
          <w:tab w:val="right" w:pos="8504"/>
        </w:tabs>
        <w:autoSpaceDE w:val="0"/>
        <w:autoSpaceDN w:val="0"/>
        <w:adjustRightInd w:val="0"/>
        <w:ind w:right="360"/>
        <w:jc w:val="center"/>
        <w:rPr>
          <w:rFonts w:ascii="Georgia" w:hAnsi="Georgia" w:cs="Calibri"/>
          <w:i/>
          <w:lang w:val="es-CO"/>
        </w:rPr>
      </w:pPr>
      <w:r w:rsidRPr="00987558">
        <w:rPr>
          <w:noProof/>
        </w:rPr>
        <w:drawing>
          <wp:inline distT="0" distB="0" distL="0" distR="0" wp14:anchorId="5E8D5889" wp14:editId="6F8A7435">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16FBD1F8" w14:textId="77777777" w:rsidR="00987558" w:rsidRPr="00987558" w:rsidRDefault="00987558" w:rsidP="00987558">
      <w:pPr>
        <w:spacing w:line="360" w:lineRule="auto"/>
        <w:jc w:val="center"/>
        <w:rPr>
          <w:rFonts w:ascii="Georgia" w:hAnsi="Georgia" w:cs="Arial"/>
          <w:w w:val="140"/>
          <w:sz w:val="14"/>
          <w:szCs w:val="14"/>
        </w:rPr>
      </w:pPr>
      <w:r w:rsidRPr="00987558">
        <w:rPr>
          <w:rFonts w:ascii="Georgia" w:hAnsi="Georgia" w:cs="Arial"/>
          <w:w w:val="140"/>
          <w:sz w:val="14"/>
          <w:szCs w:val="14"/>
        </w:rPr>
        <w:t>REPUBLICA DE COLOMBIA</w:t>
      </w:r>
    </w:p>
    <w:p w14:paraId="55B2DBF4" w14:textId="77777777" w:rsidR="00987558" w:rsidRPr="00987558" w:rsidRDefault="00987558" w:rsidP="00987558">
      <w:pPr>
        <w:tabs>
          <w:tab w:val="center" w:pos="4987"/>
          <w:tab w:val="left" w:pos="8449"/>
        </w:tabs>
        <w:spacing w:line="360" w:lineRule="auto"/>
        <w:jc w:val="center"/>
        <w:rPr>
          <w:rFonts w:ascii="Georgia" w:hAnsi="Georgia" w:cs="Arial"/>
          <w:w w:val="140"/>
          <w:sz w:val="22"/>
          <w:szCs w:val="22"/>
        </w:rPr>
      </w:pPr>
      <w:r w:rsidRPr="00987558">
        <w:rPr>
          <w:rFonts w:ascii="Georgia" w:hAnsi="Georgia" w:cs="Arial"/>
          <w:w w:val="140"/>
          <w:sz w:val="14"/>
          <w:szCs w:val="14"/>
        </w:rPr>
        <w:t>RAMA JUDICIAL DEL PODER PÚBLICO</w:t>
      </w:r>
    </w:p>
    <w:p w14:paraId="49ACF6B5" w14:textId="77777777" w:rsidR="00987558" w:rsidRPr="00987558" w:rsidRDefault="00987558" w:rsidP="00987558">
      <w:pPr>
        <w:spacing w:line="360" w:lineRule="auto"/>
        <w:jc w:val="center"/>
        <w:rPr>
          <w:rFonts w:ascii="Georgia" w:hAnsi="Georgia" w:cs="Arial"/>
          <w:b/>
          <w:bCs/>
          <w:w w:val="140"/>
          <w:sz w:val="16"/>
          <w:szCs w:val="16"/>
        </w:rPr>
      </w:pPr>
      <w:r w:rsidRPr="00987558">
        <w:rPr>
          <w:rFonts w:ascii="Georgia" w:hAnsi="Georgia" w:cs="Arial"/>
          <w:b/>
          <w:bCs/>
          <w:w w:val="140"/>
          <w:sz w:val="18"/>
          <w:szCs w:val="18"/>
        </w:rPr>
        <w:t>T</w:t>
      </w:r>
      <w:r w:rsidRPr="00987558">
        <w:rPr>
          <w:rFonts w:ascii="Georgia" w:hAnsi="Georgia" w:cs="Arial"/>
          <w:b/>
          <w:bCs/>
          <w:w w:val="140"/>
          <w:sz w:val="16"/>
          <w:szCs w:val="16"/>
        </w:rPr>
        <w:t>RIBUNAL</w:t>
      </w:r>
      <w:r w:rsidRPr="00987558">
        <w:rPr>
          <w:rFonts w:ascii="Georgia" w:hAnsi="Georgia" w:cs="Arial"/>
          <w:b/>
          <w:bCs/>
          <w:w w:val="140"/>
          <w:sz w:val="18"/>
          <w:szCs w:val="18"/>
        </w:rPr>
        <w:t xml:space="preserve"> S</w:t>
      </w:r>
      <w:r w:rsidRPr="00987558">
        <w:rPr>
          <w:rFonts w:ascii="Georgia" w:hAnsi="Georgia" w:cs="Arial"/>
          <w:b/>
          <w:bCs/>
          <w:w w:val="140"/>
          <w:sz w:val="16"/>
          <w:szCs w:val="16"/>
        </w:rPr>
        <w:t xml:space="preserve">UPERIOR DEL </w:t>
      </w:r>
      <w:r w:rsidRPr="00987558">
        <w:rPr>
          <w:rFonts w:ascii="Georgia" w:hAnsi="Georgia" w:cs="Arial"/>
          <w:b/>
          <w:bCs/>
          <w:w w:val="140"/>
          <w:sz w:val="18"/>
          <w:szCs w:val="18"/>
        </w:rPr>
        <w:t>D</w:t>
      </w:r>
      <w:r w:rsidRPr="00987558">
        <w:rPr>
          <w:rFonts w:ascii="Georgia" w:hAnsi="Georgia" w:cs="Arial"/>
          <w:b/>
          <w:bCs/>
          <w:w w:val="140"/>
          <w:sz w:val="16"/>
          <w:szCs w:val="16"/>
        </w:rPr>
        <w:t>ISTRITO</w:t>
      </w:r>
      <w:r w:rsidRPr="00987558">
        <w:rPr>
          <w:rFonts w:ascii="Georgia" w:hAnsi="Georgia" w:cs="Arial"/>
          <w:b/>
          <w:bCs/>
          <w:w w:val="140"/>
          <w:sz w:val="18"/>
          <w:szCs w:val="18"/>
        </w:rPr>
        <w:t xml:space="preserve"> J</w:t>
      </w:r>
      <w:r w:rsidRPr="00987558">
        <w:rPr>
          <w:rFonts w:ascii="Georgia" w:hAnsi="Georgia" w:cs="Arial"/>
          <w:b/>
          <w:bCs/>
          <w:w w:val="140"/>
          <w:sz w:val="16"/>
          <w:szCs w:val="16"/>
        </w:rPr>
        <w:t xml:space="preserve">UDICIAL </w:t>
      </w:r>
    </w:p>
    <w:p w14:paraId="0B815A25" w14:textId="77777777" w:rsidR="00987558" w:rsidRPr="00987558" w:rsidRDefault="00987558" w:rsidP="00987558">
      <w:pPr>
        <w:spacing w:line="360" w:lineRule="auto"/>
        <w:jc w:val="center"/>
        <w:rPr>
          <w:rFonts w:ascii="Georgia" w:hAnsi="Georgia" w:cs="Arial"/>
          <w:w w:val="140"/>
          <w:sz w:val="16"/>
          <w:szCs w:val="16"/>
        </w:rPr>
      </w:pPr>
      <w:r w:rsidRPr="00987558">
        <w:rPr>
          <w:rFonts w:ascii="Georgia" w:hAnsi="Georgia" w:cs="Arial"/>
          <w:w w:val="140"/>
          <w:sz w:val="18"/>
          <w:szCs w:val="16"/>
        </w:rPr>
        <w:t>S</w:t>
      </w:r>
      <w:r w:rsidRPr="00987558">
        <w:rPr>
          <w:rFonts w:ascii="Georgia" w:hAnsi="Georgia" w:cs="Arial"/>
          <w:w w:val="140"/>
          <w:sz w:val="16"/>
          <w:szCs w:val="14"/>
        </w:rPr>
        <w:t xml:space="preserve">ALA </w:t>
      </w:r>
      <w:r w:rsidRPr="00987558">
        <w:rPr>
          <w:rFonts w:ascii="Georgia" w:hAnsi="Georgia" w:cs="Arial"/>
          <w:w w:val="140"/>
          <w:sz w:val="18"/>
          <w:szCs w:val="16"/>
        </w:rPr>
        <w:t>U</w:t>
      </w:r>
      <w:r w:rsidRPr="00987558">
        <w:rPr>
          <w:rFonts w:ascii="Georgia" w:hAnsi="Georgia" w:cs="Arial"/>
          <w:w w:val="140"/>
          <w:sz w:val="16"/>
          <w:szCs w:val="16"/>
        </w:rPr>
        <w:t xml:space="preserve">NITARIA </w:t>
      </w:r>
      <w:r w:rsidRPr="00987558">
        <w:rPr>
          <w:rFonts w:ascii="Georgia" w:hAnsi="Georgia" w:cs="Arial"/>
          <w:w w:val="140"/>
          <w:sz w:val="18"/>
          <w:szCs w:val="16"/>
        </w:rPr>
        <w:t>C</w:t>
      </w:r>
      <w:r w:rsidRPr="00987558">
        <w:rPr>
          <w:rFonts w:ascii="Georgia" w:hAnsi="Georgia" w:cs="Arial"/>
          <w:w w:val="140"/>
          <w:sz w:val="16"/>
          <w:szCs w:val="16"/>
        </w:rPr>
        <w:t xml:space="preserve">IVIL </w:t>
      </w:r>
      <w:r w:rsidRPr="00987558">
        <w:rPr>
          <w:rFonts w:ascii="Georgia" w:hAnsi="Georgia" w:cs="Arial"/>
          <w:w w:val="140"/>
          <w:sz w:val="14"/>
          <w:szCs w:val="14"/>
        </w:rPr>
        <w:t xml:space="preserve">– </w:t>
      </w:r>
      <w:r w:rsidRPr="00987558">
        <w:rPr>
          <w:rFonts w:ascii="Georgia" w:hAnsi="Georgia" w:cs="Arial"/>
          <w:w w:val="140"/>
          <w:sz w:val="18"/>
          <w:szCs w:val="16"/>
        </w:rPr>
        <w:t>F</w:t>
      </w:r>
      <w:r w:rsidRPr="00987558">
        <w:rPr>
          <w:rFonts w:ascii="Georgia" w:hAnsi="Georgia" w:cs="Arial"/>
          <w:w w:val="140"/>
          <w:sz w:val="16"/>
          <w:szCs w:val="16"/>
        </w:rPr>
        <w:t xml:space="preserve">AMILIA – </w:t>
      </w:r>
      <w:r w:rsidRPr="00987558">
        <w:rPr>
          <w:rFonts w:ascii="Georgia" w:hAnsi="Georgia" w:cs="Arial"/>
          <w:w w:val="140"/>
          <w:sz w:val="18"/>
          <w:szCs w:val="16"/>
        </w:rPr>
        <w:t>D</w:t>
      </w:r>
      <w:r w:rsidRPr="00987558">
        <w:rPr>
          <w:rFonts w:ascii="Georgia" w:hAnsi="Georgia" w:cs="Arial"/>
          <w:w w:val="140"/>
          <w:sz w:val="16"/>
          <w:szCs w:val="16"/>
        </w:rPr>
        <w:t xml:space="preserve">ISTRITO DE </w:t>
      </w:r>
      <w:r w:rsidRPr="00987558">
        <w:rPr>
          <w:rFonts w:ascii="Georgia" w:hAnsi="Georgia" w:cs="Arial"/>
          <w:w w:val="140"/>
          <w:sz w:val="18"/>
          <w:szCs w:val="16"/>
        </w:rPr>
        <w:t>P</w:t>
      </w:r>
      <w:r w:rsidRPr="00987558">
        <w:rPr>
          <w:rFonts w:ascii="Georgia" w:hAnsi="Georgia" w:cs="Arial"/>
          <w:w w:val="140"/>
          <w:sz w:val="16"/>
          <w:szCs w:val="16"/>
        </w:rPr>
        <w:t>EREIRA</w:t>
      </w:r>
    </w:p>
    <w:p w14:paraId="7C6BEF7D" w14:textId="77777777" w:rsidR="00987558" w:rsidRPr="00987558" w:rsidRDefault="00987558" w:rsidP="00987558">
      <w:pPr>
        <w:spacing w:line="360" w:lineRule="auto"/>
        <w:jc w:val="center"/>
        <w:rPr>
          <w:rFonts w:ascii="Georgia" w:hAnsi="Georgia" w:cs="Arial"/>
          <w:w w:val="140"/>
          <w:sz w:val="16"/>
          <w:szCs w:val="16"/>
        </w:rPr>
      </w:pPr>
      <w:r w:rsidRPr="00987558">
        <w:rPr>
          <w:rFonts w:ascii="Georgia" w:hAnsi="Georgia" w:cs="Arial"/>
          <w:w w:val="140"/>
          <w:sz w:val="18"/>
          <w:szCs w:val="18"/>
        </w:rPr>
        <w:t>D</w:t>
      </w:r>
      <w:r w:rsidRPr="00987558">
        <w:rPr>
          <w:rFonts w:ascii="Georgia" w:hAnsi="Georgia" w:cs="Arial"/>
          <w:w w:val="140"/>
          <w:sz w:val="16"/>
          <w:szCs w:val="16"/>
        </w:rPr>
        <w:t xml:space="preserve">EPARTAMENTO </w:t>
      </w:r>
      <w:r w:rsidRPr="00987558">
        <w:rPr>
          <w:rFonts w:ascii="Georgia" w:hAnsi="Georgia" w:cs="Arial"/>
          <w:w w:val="140"/>
          <w:sz w:val="18"/>
          <w:szCs w:val="18"/>
        </w:rPr>
        <w:t>D</w:t>
      </w:r>
      <w:r w:rsidRPr="00987558">
        <w:rPr>
          <w:rFonts w:ascii="Georgia" w:hAnsi="Georgia" w:cs="Arial"/>
          <w:w w:val="140"/>
          <w:sz w:val="16"/>
          <w:szCs w:val="16"/>
        </w:rPr>
        <w:t xml:space="preserve">EL </w:t>
      </w:r>
      <w:r w:rsidRPr="00987558">
        <w:rPr>
          <w:rFonts w:ascii="Georgia" w:hAnsi="Georgia" w:cs="Arial"/>
          <w:w w:val="140"/>
          <w:sz w:val="18"/>
          <w:szCs w:val="18"/>
        </w:rPr>
        <w:t>R</w:t>
      </w:r>
      <w:r w:rsidRPr="00987558">
        <w:rPr>
          <w:rFonts w:ascii="Georgia" w:hAnsi="Georgia" w:cs="Arial"/>
          <w:w w:val="140"/>
          <w:sz w:val="16"/>
          <w:szCs w:val="16"/>
        </w:rPr>
        <w:t>ISARALDA</w:t>
      </w:r>
    </w:p>
    <w:p w14:paraId="53CF9B80" w14:textId="77777777" w:rsidR="00987558" w:rsidRPr="00987558" w:rsidRDefault="00987558" w:rsidP="00987558">
      <w:pPr>
        <w:spacing w:line="276" w:lineRule="auto"/>
        <w:jc w:val="center"/>
        <w:rPr>
          <w:rFonts w:ascii="Georgia" w:hAnsi="Georgia" w:cs="Arial"/>
          <w:b/>
          <w:bCs/>
          <w:sz w:val="22"/>
          <w:szCs w:val="22"/>
        </w:rPr>
      </w:pPr>
    </w:p>
    <w:p w14:paraId="7391C84F" w14:textId="363CB0B6" w:rsidR="00AC5058" w:rsidRPr="00315D8B" w:rsidRDefault="00046468" w:rsidP="00315D8B">
      <w:pPr>
        <w:spacing w:line="276" w:lineRule="auto"/>
        <w:jc w:val="center"/>
        <w:rPr>
          <w:rFonts w:ascii="Georgia" w:hAnsi="Georgia" w:cs="Arial"/>
          <w:b/>
          <w:bCs/>
        </w:rPr>
      </w:pPr>
      <w:r w:rsidRPr="00315D8B">
        <w:rPr>
          <w:rFonts w:ascii="Georgia" w:hAnsi="Georgia" w:cs="Arial"/>
          <w:b/>
          <w:bCs/>
        </w:rPr>
        <w:t>AC-</w:t>
      </w:r>
      <w:r w:rsidR="00D77DD4" w:rsidRPr="00315D8B">
        <w:rPr>
          <w:rFonts w:ascii="Georgia" w:hAnsi="Georgia" w:cs="Arial"/>
          <w:b/>
          <w:bCs/>
        </w:rPr>
        <w:t>0</w:t>
      </w:r>
      <w:r w:rsidR="0090215E" w:rsidRPr="00315D8B">
        <w:rPr>
          <w:rFonts w:ascii="Georgia" w:hAnsi="Georgia" w:cs="Arial"/>
          <w:b/>
          <w:bCs/>
        </w:rPr>
        <w:t>160</w:t>
      </w:r>
      <w:r w:rsidRPr="00315D8B">
        <w:rPr>
          <w:rFonts w:ascii="Georgia" w:hAnsi="Georgia" w:cs="Arial"/>
          <w:b/>
          <w:bCs/>
        </w:rPr>
        <w:t>-2021</w:t>
      </w:r>
    </w:p>
    <w:p w14:paraId="3ABE6EF1" w14:textId="77777777" w:rsidR="00046468" w:rsidRPr="00046468" w:rsidRDefault="00046468" w:rsidP="00315D8B">
      <w:pPr>
        <w:spacing w:line="276" w:lineRule="auto"/>
        <w:jc w:val="center"/>
        <w:rPr>
          <w:rFonts w:ascii="Georgia" w:hAnsi="Georgia" w:cs="Arial"/>
          <w:b/>
          <w:bCs/>
          <w:color w:val="3333FF"/>
          <w:sz w:val="12"/>
          <w:szCs w:val="12"/>
        </w:rPr>
      </w:pPr>
    </w:p>
    <w:p w14:paraId="63811DCD" w14:textId="77777777" w:rsidR="00AC5058" w:rsidRPr="0072378B" w:rsidRDefault="00AC5058" w:rsidP="00315D8B">
      <w:pPr>
        <w:pStyle w:val="Ttulo"/>
        <w:pBdr>
          <w:bottom w:val="double" w:sz="6" w:space="1" w:color="auto"/>
        </w:pBdr>
        <w:spacing w:line="276" w:lineRule="auto"/>
        <w:rPr>
          <w:rFonts w:ascii="Georgia" w:hAnsi="Georgia"/>
          <w:b w:val="0"/>
          <w:bCs w:val="0"/>
          <w:i w:val="0"/>
          <w:iCs w:val="0"/>
          <w:spacing w:val="-3"/>
          <w:sz w:val="4"/>
          <w:szCs w:val="28"/>
        </w:rPr>
      </w:pPr>
    </w:p>
    <w:p w14:paraId="6B61273A" w14:textId="77777777" w:rsidR="00DA52A9" w:rsidRPr="00046468" w:rsidRDefault="00DA52A9" w:rsidP="00315D8B">
      <w:pPr>
        <w:pStyle w:val="Ttulo"/>
        <w:spacing w:line="276" w:lineRule="auto"/>
        <w:rPr>
          <w:rFonts w:ascii="Georgia" w:hAnsi="Georgia"/>
          <w:b w:val="0"/>
          <w:bCs w:val="0"/>
          <w:i w:val="0"/>
          <w:iCs w:val="0"/>
          <w:spacing w:val="-3"/>
          <w:sz w:val="28"/>
          <w:szCs w:val="28"/>
        </w:rPr>
      </w:pPr>
    </w:p>
    <w:p w14:paraId="092AC02E" w14:textId="2B56BE1B" w:rsidR="00AC5058" w:rsidRPr="009A6A51" w:rsidRDefault="0090215E" w:rsidP="00315D8B">
      <w:pPr>
        <w:pStyle w:val="Ttulo"/>
        <w:spacing w:line="276" w:lineRule="auto"/>
        <w:rPr>
          <w:rFonts w:ascii="Georgia" w:hAnsi="Georgia"/>
          <w:iCs w:val="0"/>
          <w:spacing w:val="-3"/>
        </w:rPr>
      </w:pPr>
      <w:r w:rsidRPr="009A6A51">
        <w:rPr>
          <w:rFonts w:ascii="Georgia" w:hAnsi="Georgia"/>
          <w:iCs w:val="0"/>
          <w:smallCaps/>
          <w:spacing w:val="-3"/>
        </w:rPr>
        <w:t xml:space="preserve">Veinticuatro </w:t>
      </w:r>
      <w:r w:rsidR="003F5211" w:rsidRPr="009A6A51">
        <w:rPr>
          <w:rFonts w:ascii="Georgia" w:hAnsi="Georgia"/>
          <w:iCs w:val="0"/>
          <w:smallCaps/>
          <w:spacing w:val="-3"/>
        </w:rPr>
        <w:t>(</w:t>
      </w:r>
      <w:r w:rsidRPr="009A6A51">
        <w:rPr>
          <w:rFonts w:ascii="Georgia" w:hAnsi="Georgia"/>
          <w:iCs w:val="0"/>
          <w:smallCaps/>
          <w:spacing w:val="-3"/>
        </w:rPr>
        <w:t>24</w:t>
      </w:r>
      <w:r w:rsidR="005C5B79" w:rsidRPr="009A6A51">
        <w:rPr>
          <w:rFonts w:ascii="Georgia" w:hAnsi="Georgia"/>
          <w:iCs w:val="0"/>
          <w:smallCaps/>
          <w:spacing w:val="-3"/>
        </w:rPr>
        <w:t>)</w:t>
      </w:r>
      <w:r w:rsidR="00AC5058" w:rsidRPr="009A6A51">
        <w:rPr>
          <w:rFonts w:ascii="Georgia" w:hAnsi="Georgia"/>
          <w:iCs w:val="0"/>
          <w:smallCaps/>
          <w:spacing w:val="-3"/>
        </w:rPr>
        <w:t xml:space="preserve"> de </w:t>
      </w:r>
      <w:r w:rsidR="003F5211" w:rsidRPr="009A6A51">
        <w:rPr>
          <w:rFonts w:ascii="Georgia" w:hAnsi="Georgia"/>
          <w:iCs w:val="0"/>
          <w:smallCaps/>
          <w:spacing w:val="-3"/>
        </w:rPr>
        <w:t>noviembre</w:t>
      </w:r>
      <w:r w:rsidR="00510764" w:rsidRPr="009A6A51">
        <w:rPr>
          <w:rFonts w:ascii="Georgia" w:hAnsi="Georgia"/>
          <w:iCs w:val="0"/>
          <w:smallCaps/>
          <w:spacing w:val="-3"/>
        </w:rPr>
        <w:t xml:space="preserve"> </w:t>
      </w:r>
      <w:r w:rsidR="00AC5058" w:rsidRPr="009A6A51">
        <w:rPr>
          <w:rFonts w:ascii="Georgia" w:hAnsi="Georgia"/>
          <w:iCs w:val="0"/>
          <w:smallCaps/>
          <w:spacing w:val="-3"/>
        </w:rPr>
        <w:t xml:space="preserve">de dos mil </w:t>
      </w:r>
      <w:r w:rsidR="0072378B" w:rsidRPr="009A6A51">
        <w:rPr>
          <w:rFonts w:ascii="Georgia" w:hAnsi="Georgia"/>
          <w:iCs w:val="0"/>
          <w:smallCaps/>
          <w:spacing w:val="-3"/>
        </w:rPr>
        <w:t xml:space="preserve">veintiuno </w:t>
      </w:r>
      <w:r w:rsidR="00DA56B3" w:rsidRPr="009A6A51">
        <w:rPr>
          <w:rFonts w:ascii="Georgia" w:hAnsi="Georgia"/>
          <w:iCs w:val="0"/>
          <w:smallCaps/>
          <w:spacing w:val="-3"/>
        </w:rPr>
        <w:t>(</w:t>
      </w:r>
      <w:r w:rsidR="0072378B" w:rsidRPr="009A6A51">
        <w:rPr>
          <w:rFonts w:ascii="Georgia" w:hAnsi="Georgia"/>
          <w:iCs w:val="0"/>
          <w:smallCaps/>
          <w:spacing w:val="-3"/>
        </w:rPr>
        <w:t>2021</w:t>
      </w:r>
      <w:r w:rsidR="00AC5058" w:rsidRPr="009A6A51">
        <w:rPr>
          <w:rFonts w:ascii="Georgia" w:hAnsi="Georgia"/>
          <w:iCs w:val="0"/>
          <w:smallCaps/>
          <w:spacing w:val="-3"/>
        </w:rPr>
        <w:t>)</w:t>
      </w:r>
      <w:r w:rsidR="00AC5058" w:rsidRPr="009A6A51">
        <w:rPr>
          <w:rFonts w:ascii="Georgia" w:hAnsi="Georgia"/>
          <w:iCs w:val="0"/>
          <w:spacing w:val="-3"/>
        </w:rPr>
        <w:t>.</w:t>
      </w:r>
    </w:p>
    <w:p w14:paraId="481B4B99" w14:textId="77777777" w:rsidR="00046468" w:rsidRPr="009A6A51" w:rsidRDefault="00046468" w:rsidP="00315D8B">
      <w:pPr>
        <w:pStyle w:val="Sinespaciado"/>
        <w:spacing w:line="276" w:lineRule="auto"/>
        <w:rPr>
          <w:rFonts w:ascii="Georgia" w:hAnsi="Georgia" w:cs="Arial"/>
          <w:sz w:val="24"/>
          <w:szCs w:val="24"/>
        </w:rPr>
      </w:pPr>
    </w:p>
    <w:p w14:paraId="5A3010D6" w14:textId="77777777" w:rsidR="00356104" w:rsidRPr="009A6A51" w:rsidRDefault="00046468" w:rsidP="00315D8B">
      <w:pPr>
        <w:pStyle w:val="Sinespaciado"/>
        <w:numPr>
          <w:ilvl w:val="0"/>
          <w:numId w:val="6"/>
        </w:numPr>
        <w:spacing w:line="276" w:lineRule="auto"/>
        <w:jc w:val="both"/>
        <w:rPr>
          <w:rFonts w:ascii="Georgia" w:hAnsi="Georgia" w:cs="Arial"/>
          <w:b/>
          <w:bCs/>
          <w:sz w:val="24"/>
          <w:szCs w:val="24"/>
        </w:rPr>
      </w:pPr>
      <w:r w:rsidRPr="009A6A51">
        <w:rPr>
          <w:rFonts w:ascii="Georgia" w:hAnsi="Georgia" w:cs="Arial"/>
          <w:b/>
          <w:bCs/>
          <w:sz w:val="24"/>
          <w:szCs w:val="24"/>
        </w:rPr>
        <w:t>EL ASUNTO POR DECIDIR</w:t>
      </w:r>
    </w:p>
    <w:p w14:paraId="0102BCEF" w14:textId="77777777" w:rsidR="00356104" w:rsidRPr="009A6A51" w:rsidRDefault="00356104" w:rsidP="00315D8B">
      <w:pPr>
        <w:pStyle w:val="Sinespaciado"/>
        <w:spacing w:line="276" w:lineRule="auto"/>
        <w:jc w:val="both"/>
        <w:rPr>
          <w:rFonts w:ascii="Georgia" w:hAnsi="Georgia" w:cs="Arial"/>
          <w:sz w:val="24"/>
          <w:szCs w:val="24"/>
        </w:rPr>
      </w:pPr>
    </w:p>
    <w:p w14:paraId="6116D279" w14:textId="6671FE32" w:rsidR="00356104" w:rsidRPr="009A6A51" w:rsidRDefault="00BF496F" w:rsidP="00315D8B">
      <w:pPr>
        <w:pStyle w:val="Sinespaciado"/>
        <w:spacing w:line="276" w:lineRule="auto"/>
        <w:jc w:val="both"/>
        <w:rPr>
          <w:rFonts w:ascii="Georgia" w:hAnsi="Georgia" w:cs="Arial"/>
          <w:sz w:val="24"/>
          <w:szCs w:val="24"/>
        </w:rPr>
      </w:pPr>
      <w:r w:rsidRPr="009A6A51">
        <w:rPr>
          <w:rFonts w:ascii="Georgia" w:hAnsi="Georgia" w:cs="Arial"/>
          <w:sz w:val="24"/>
          <w:szCs w:val="24"/>
        </w:rPr>
        <w:t>La</w:t>
      </w:r>
      <w:r w:rsidR="00DB76F9" w:rsidRPr="009A6A51">
        <w:rPr>
          <w:rFonts w:ascii="Georgia" w:hAnsi="Georgia" w:cs="Arial"/>
          <w:sz w:val="24"/>
          <w:szCs w:val="24"/>
        </w:rPr>
        <w:t>s</w:t>
      </w:r>
      <w:r w:rsidRPr="009A6A51">
        <w:rPr>
          <w:rFonts w:ascii="Georgia" w:hAnsi="Georgia" w:cs="Arial"/>
          <w:sz w:val="24"/>
          <w:szCs w:val="24"/>
        </w:rPr>
        <w:t xml:space="preserve"> </w:t>
      </w:r>
      <w:r w:rsidR="00E713BA" w:rsidRPr="009A6A51">
        <w:rPr>
          <w:rFonts w:ascii="Georgia" w:hAnsi="Georgia" w:cs="Arial"/>
          <w:sz w:val="24"/>
          <w:szCs w:val="24"/>
        </w:rPr>
        <w:t>alzada</w:t>
      </w:r>
      <w:r w:rsidR="00DB76F9" w:rsidRPr="009A6A51">
        <w:rPr>
          <w:rFonts w:ascii="Georgia" w:hAnsi="Georgia" w:cs="Arial"/>
          <w:sz w:val="24"/>
          <w:szCs w:val="24"/>
        </w:rPr>
        <w:t>s</w:t>
      </w:r>
      <w:r w:rsidR="00E713BA" w:rsidRPr="009A6A51">
        <w:rPr>
          <w:rFonts w:ascii="Georgia" w:hAnsi="Georgia" w:cs="Arial"/>
          <w:sz w:val="24"/>
          <w:szCs w:val="24"/>
        </w:rPr>
        <w:t xml:space="preserve"> formulada</w:t>
      </w:r>
      <w:r w:rsidR="00DB76F9" w:rsidRPr="009A6A51">
        <w:rPr>
          <w:rFonts w:ascii="Georgia" w:hAnsi="Georgia" w:cs="Arial"/>
          <w:sz w:val="24"/>
          <w:szCs w:val="24"/>
        </w:rPr>
        <w:t>s</w:t>
      </w:r>
      <w:r w:rsidR="00E713BA" w:rsidRPr="009A6A51">
        <w:rPr>
          <w:rFonts w:ascii="Georgia" w:hAnsi="Georgia" w:cs="Arial"/>
          <w:sz w:val="24"/>
          <w:szCs w:val="24"/>
        </w:rPr>
        <w:t xml:space="preserve"> por </w:t>
      </w:r>
      <w:r w:rsidRPr="009A6A51">
        <w:rPr>
          <w:rFonts w:ascii="Georgia" w:hAnsi="Georgia" w:cs="Arial"/>
          <w:sz w:val="24"/>
          <w:szCs w:val="24"/>
        </w:rPr>
        <w:t>l</w:t>
      </w:r>
      <w:r w:rsidR="00DB76F9" w:rsidRPr="009A6A51">
        <w:rPr>
          <w:rFonts w:ascii="Georgia" w:hAnsi="Georgia" w:cs="Arial"/>
          <w:sz w:val="24"/>
          <w:szCs w:val="24"/>
        </w:rPr>
        <w:t xml:space="preserve">os </w:t>
      </w:r>
      <w:r w:rsidR="00E713BA" w:rsidRPr="009A6A51">
        <w:rPr>
          <w:rFonts w:ascii="Georgia" w:hAnsi="Georgia" w:cs="Arial"/>
          <w:sz w:val="24"/>
          <w:szCs w:val="24"/>
        </w:rPr>
        <w:t>vocero</w:t>
      </w:r>
      <w:r w:rsidR="00DB76F9" w:rsidRPr="009A6A51">
        <w:rPr>
          <w:rFonts w:ascii="Georgia" w:hAnsi="Georgia" w:cs="Arial"/>
          <w:sz w:val="24"/>
          <w:szCs w:val="24"/>
        </w:rPr>
        <w:t>s</w:t>
      </w:r>
      <w:r w:rsidR="00E713BA" w:rsidRPr="009A6A51">
        <w:rPr>
          <w:rFonts w:ascii="Georgia" w:hAnsi="Georgia" w:cs="Arial"/>
          <w:sz w:val="24"/>
          <w:szCs w:val="24"/>
        </w:rPr>
        <w:t xml:space="preserve"> </w:t>
      </w:r>
      <w:r w:rsidRPr="009A6A51">
        <w:rPr>
          <w:rFonts w:ascii="Georgia" w:hAnsi="Georgia" w:cs="Arial"/>
          <w:sz w:val="24"/>
          <w:szCs w:val="24"/>
        </w:rPr>
        <w:t>judicial</w:t>
      </w:r>
      <w:r w:rsidR="00DB76F9" w:rsidRPr="009A6A51">
        <w:rPr>
          <w:rFonts w:ascii="Georgia" w:hAnsi="Georgia" w:cs="Arial"/>
          <w:sz w:val="24"/>
          <w:szCs w:val="24"/>
        </w:rPr>
        <w:t>es</w:t>
      </w:r>
      <w:r w:rsidRPr="009A6A51">
        <w:rPr>
          <w:rFonts w:ascii="Georgia" w:hAnsi="Georgia" w:cs="Arial"/>
          <w:sz w:val="24"/>
          <w:szCs w:val="24"/>
        </w:rPr>
        <w:t xml:space="preserve"> de</w:t>
      </w:r>
      <w:r w:rsidR="00FB14B3" w:rsidRPr="009A6A51">
        <w:rPr>
          <w:rFonts w:ascii="Georgia" w:hAnsi="Georgia" w:cs="Arial"/>
          <w:sz w:val="24"/>
          <w:szCs w:val="24"/>
        </w:rPr>
        <w:t xml:space="preserve"> </w:t>
      </w:r>
      <w:r w:rsidR="002612D5" w:rsidRPr="009A6A51">
        <w:rPr>
          <w:rFonts w:ascii="Georgia" w:hAnsi="Georgia" w:cs="Arial"/>
          <w:sz w:val="24"/>
          <w:szCs w:val="24"/>
        </w:rPr>
        <w:t>Central de Inversiones SA</w:t>
      </w:r>
      <w:r w:rsidR="0036420C" w:rsidRPr="009A6A51">
        <w:rPr>
          <w:rFonts w:ascii="Georgia" w:hAnsi="Georgia" w:cs="Arial"/>
          <w:sz w:val="24"/>
          <w:szCs w:val="24"/>
        </w:rPr>
        <w:t xml:space="preserve"> – CISA-</w:t>
      </w:r>
      <w:r w:rsidR="00867FBD" w:rsidRPr="009A6A51">
        <w:rPr>
          <w:rFonts w:ascii="Georgia" w:hAnsi="Georgia" w:cs="Arial"/>
          <w:sz w:val="24"/>
          <w:szCs w:val="24"/>
        </w:rPr>
        <w:t xml:space="preserve"> y </w:t>
      </w:r>
      <w:r w:rsidR="00D90A2F" w:rsidRPr="009A6A51">
        <w:rPr>
          <w:rFonts w:ascii="Georgia" w:hAnsi="Georgia" w:cs="Arial"/>
          <w:sz w:val="24"/>
          <w:szCs w:val="24"/>
        </w:rPr>
        <w:t xml:space="preserve">UNE EPM </w:t>
      </w:r>
      <w:r w:rsidR="00D31B52" w:rsidRPr="009A6A51">
        <w:rPr>
          <w:rFonts w:ascii="Georgia" w:hAnsi="Georgia" w:cs="Arial"/>
          <w:sz w:val="24"/>
          <w:szCs w:val="24"/>
        </w:rPr>
        <w:t>Telecomunicaciones</w:t>
      </w:r>
      <w:r w:rsidR="00B21B22" w:rsidRPr="009A6A51">
        <w:rPr>
          <w:rFonts w:ascii="Georgia" w:hAnsi="Georgia" w:cs="Arial"/>
          <w:sz w:val="24"/>
          <w:szCs w:val="24"/>
        </w:rPr>
        <w:t>,</w:t>
      </w:r>
      <w:r w:rsidR="008B706D" w:rsidRPr="009A6A51">
        <w:rPr>
          <w:rFonts w:ascii="Georgia" w:hAnsi="Georgia" w:cs="Arial"/>
          <w:sz w:val="24"/>
          <w:szCs w:val="24"/>
        </w:rPr>
        <w:t xml:space="preserve"> </w:t>
      </w:r>
      <w:r w:rsidR="00356104" w:rsidRPr="009A6A51">
        <w:rPr>
          <w:rFonts w:ascii="Georgia" w:hAnsi="Georgia" w:cs="Arial"/>
          <w:sz w:val="24"/>
          <w:szCs w:val="24"/>
        </w:rPr>
        <w:t xml:space="preserve">contra </w:t>
      </w:r>
      <w:r w:rsidR="00B21B22" w:rsidRPr="009A6A51">
        <w:rPr>
          <w:rFonts w:ascii="Georgia" w:hAnsi="Georgia" w:cs="Arial"/>
          <w:sz w:val="24"/>
          <w:szCs w:val="24"/>
        </w:rPr>
        <w:t xml:space="preserve">el auto </w:t>
      </w:r>
      <w:r w:rsidR="002F5A53" w:rsidRPr="009A6A51">
        <w:rPr>
          <w:rFonts w:ascii="Georgia" w:hAnsi="Georgia" w:cs="Arial"/>
          <w:sz w:val="24"/>
          <w:szCs w:val="24"/>
        </w:rPr>
        <w:t>que</w:t>
      </w:r>
      <w:r w:rsidR="007B4C24" w:rsidRPr="009A6A51">
        <w:rPr>
          <w:rFonts w:ascii="Georgia" w:hAnsi="Georgia" w:cs="Arial"/>
          <w:sz w:val="24"/>
          <w:szCs w:val="24"/>
        </w:rPr>
        <w:t xml:space="preserve"> </w:t>
      </w:r>
      <w:r w:rsidR="39CB8A5D" w:rsidRPr="009A6A51">
        <w:rPr>
          <w:rFonts w:ascii="Georgia" w:hAnsi="Georgia" w:cs="Arial"/>
          <w:sz w:val="24"/>
          <w:szCs w:val="24"/>
        </w:rPr>
        <w:t xml:space="preserve">aplicó el </w:t>
      </w:r>
      <w:r w:rsidR="00D91E99" w:rsidRPr="009A6A51">
        <w:rPr>
          <w:rFonts w:ascii="Georgia" w:hAnsi="Georgia" w:cs="Arial"/>
          <w:sz w:val="24"/>
          <w:szCs w:val="24"/>
        </w:rPr>
        <w:t xml:space="preserve">desistimiento tácito </w:t>
      </w:r>
      <w:r w:rsidR="0036420C" w:rsidRPr="009A6A51">
        <w:rPr>
          <w:rFonts w:ascii="Georgia" w:hAnsi="Georgia" w:cs="Arial"/>
          <w:sz w:val="24"/>
          <w:szCs w:val="24"/>
        </w:rPr>
        <w:t xml:space="preserve">y </w:t>
      </w:r>
      <w:r w:rsidR="771AA44A" w:rsidRPr="009A6A51">
        <w:rPr>
          <w:rFonts w:ascii="Georgia" w:hAnsi="Georgia" w:cs="Arial"/>
          <w:sz w:val="24"/>
          <w:szCs w:val="24"/>
        </w:rPr>
        <w:t xml:space="preserve">aquel </w:t>
      </w:r>
      <w:r w:rsidR="0036420C" w:rsidRPr="009A6A51">
        <w:rPr>
          <w:rFonts w:ascii="Georgia" w:hAnsi="Georgia" w:cs="Arial"/>
          <w:sz w:val="24"/>
          <w:szCs w:val="24"/>
        </w:rPr>
        <w:t xml:space="preserve">que </w:t>
      </w:r>
      <w:r w:rsidR="33E9261B" w:rsidRPr="009A6A51">
        <w:rPr>
          <w:rFonts w:ascii="Georgia" w:hAnsi="Georgia" w:cs="Arial"/>
          <w:sz w:val="24"/>
          <w:szCs w:val="24"/>
        </w:rPr>
        <w:t xml:space="preserve">lo </w:t>
      </w:r>
      <w:r w:rsidR="00E929CB" w:rsidRPr="009A6A51">
        <w:rPr>
          <w:rFonts w:ascii="Georgia" w:hAnsi="Georgia" w:cs="Arial"/>
          <w:sz w:val="24"/>
          <w:szCs w:val="24"/>
        </w:rPr>
        <w:t xml:space="preserve">modificó </w:t>
      </w:r>
      <w:r w:rsidR="00143CA9" w:rsidRPr="009A6A51">
        <w:rPr>
          <w:rFonts w:ascii="Georgia" w:hAnsi="Georgia" w:cs="Arial"/>
          <w:sz w:val="24"/>
          <w:szCs w:val="24"/>
        </w:rPr>
        <w:t xml:space="preserve">(Recibido de reparto el </w:t>
      </w:r>
      <w:r w:rsidR="0036420C" w:rsidRPr="009A6A51">
        <w:rPr>
          <w:rFonts w:ascii="Georgia" w:hAnsi="Georgia" w:cs="Arial"/>
          <w:sz w:val="24"/>
          <w:szCs w:val="24"/>
        </w:rPr>
        <w:t>29-09</w:t>
      </w:r>
      <w:r w:rsidR="00143CA9" w:rsidRPr="009A6A51">
        <w:rPr>
          <w:rFonts w:ascii="Georgia" w:hAnsi="Georgia" w:cs="Arial"/>
          <w:sz w:val="24"/>
          <w:szCs w:val="24"/>
        </w:rPr>
        <w:t>-202</w:t>
      </w:r>
      <w:r w:rsidR="00A53910" w:rsidRPr="009A6A51">
        <w:rPr>
          <w:rFonts w:ascii="Georgia" w:hAnsi="Georgia" w:cs="Arial"/>
          <w:sz w:val="24"/>
          <w:szCs w:val="24"/>
        </w:rPr>
        <w:t>1</w:t>
      </w:r>
      <w:r w:rsidR="00143CA9" w:rsidRPr="009A6A51">
        <w:rPr>
          <w:rFonts w:ascii="Georgia" w:hAnsi="Georgia" w:cs="Arial"/>
          <w:sz w:val="24"/>
          <w:szCs w:val="24"/>
        </w:rPr>
        <w:t>)</w:t>
      </w:r>
      <w:r w:rsidR="007751D3" w:rsidRPr="009A6A51">
        <w:rPr>
          <w:rFonts w:ascii="Georgia" w:hAnsi="Georgia" w:cs="Arial"/>
          <w:sz w:val="24"/>
          <w:szCs w:val="24"/>
        </w:rPr>
        <w:t>.</w:t>
      </w:r>
    </w:p>
    <w:p w14:paraId="094F65B9" w14:textId="36238A45" w:rsidR="11721A1B" w:rsidRPr="009A6A51" w:rsidRDefault="11721A1B" w:rsidP="00315D8B">
      <w:pPr>
        <w:pStyle w:val="Sinespaciado"/>
        <w:spacing w:line="276" w:lineRule="auto"/>
        <w:jc w:val="both"/>
        <w:rPr>
          <w:rFonts w:ascii="Georgia" w:hAnsi="Georgia" w:cs="Arial"/>
          <w:sz w:val="24"/>
          <w:szCs w:val="24"/>
        </w:rPr>
      </w:pPr>
    </w:p>
    <w:p w14:paraId="3B2F5733" w14:textId="292C0EC7" w:rsidR="00046468" w:rsidRPr="009A6A51" w:rsidRDefault="63CBA0CA" w:rsidP="00315D8B">
      <w:pPr>
        <w:pStyle w:val="Textoindependiente"/>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rPr>
          <w:rFonts w:ascii="Georgia" w:hAnsi="Georgia"/>
          <w:b/>
          <w:bCs/>
          <w:smallCaps/>
          <w:sz w:val="24"/>
          <w:szCs w:val="24"/>
        </w:rPr>
      </w:pPr>
      <w:r w:rsidRPr="009A6A51">
        <w:rPr>
          <w:rFonts w:ascii="Georgia" w:hAnsi="Georgia"/>
          <w:b/>
          <w:bCs/>
          <w:smallCaps/>
          <w:sz w:val="24"/>
          <w:szCs w:val="24"/>
        </w:rPr>
        <w:t>La</w:t>
      </w:r>
      <w:r w:rsidR="0036420C" w:rsidRPr="009A6A51">
        <w:rPr>
          <w:rFonts w:ascii="Georgia" w:hAnsi="Georgia"/>
          <w:b/>
          <w:bCs/>
          <w:smallCaps/>
          <w:sz w:val="24"/>
          <w:szCs w:val="24"/>
        </w:rPr>
        <w:t>s</w:t>
      </w:r>
      <w:r w:rsidRPr="009A6A51">
        <w:rPr>
          <w:rFonts w:ascii="Georgia" w:hAnsi="Georgia"/>
          <w:b/>
          <w:bCs/>
          <w:smallCaps/>
          <w:sz w:val="24"/>
          <w:szCs w:val="24"/>
        </w:rPr>
        <w:t xml:space="preserve"> providencia</w:t>
      </w:r>
      <w:r w:rsidR="0036420C" w:rsidRPr="009A6A51">
        <w:rPr>
          <w:rFonts w:ascii="Georgia" w:hAnsi="Georgia"/>
          <w:b/>
          <w:bCs/>
          <w:smallCaps/>
          <w:sz w:val="24"/>
          <w:szCs w:val="24"/>
        </w:rPr>
        <w:t>s</w:t>
      </w:r>
      <w:r w:rsidRPr="009A6A51">
        <w:rPr>
          <w:rFonts w:ascii="Georgia" w:hAnsi="Georgia"/>
          <w:b/>
          <w:bCs/>
          <w:smallCaps/>
          <w:sz w:val="24"/>
          <w:szCs w:val="24"/>
        </w:rPr>
        <w:t xml:space="preserve"> recurrida</w:t>
      </w:r>
      <w:r w:rsidR="0036420C" w:rsidRPr="009A6A51">
        <w:rPr>
          <w:rFonts w:ascii="Georgia" w:hAnsi="Georgia"/>
          <w:b/>
          <w:bCs/>
          <w:smallCaps/>
          <w:sz w:val="24"/>
          <w:szCs w:val="24"/>
        </w:rPr>
        <w:t>s</w:t>
      </w:r>
    </w:p>
    <w:p w14:paraId="4DFADB99" w14:textId="77777777" w:rsidR="00356104" w:rsidRPr="009A6A51" w:rsidRDefault="00356104" w:rsidP="00315D8B">
      <w:pPr>
        <w:pStyle w:val="Sinespaciado"/>
        <w:spacing w:line="276" w:lineRule="auto"/>
        <w:jc w:val="both"/>
        <w:rPr>
          <w:rFonts w:ascii="Georgia" w:hAnsi="Georgia" w:cs="Arial"/>
          <w:sz w:val="24"/>
          <w:szCs w:val="24"/>
        </w:rPr>
      </w:pPr>
    </w:p>
    <w:p w14:paraId="2BC76BB4" w14:textId="588AFEE0" w:rsidR="003232DA" w:rsidRPr="009A6A51" w:rsidRDefault="0072378B" w:rsidP="00315D8B">
      <w:pPr>
        <w:spacing w:line="276" w:lineRule="auto"/>
        <w:jc w:val="both"/>
        <w:rPr>
          <w:rFonts w:ascii="Georgia" w:hAnsi="Georgia" w:cs="Arial"/>
        </w:rPr>
      </w:pPr>
      <w:r w:rsidRPr="009A6A51">
        <w:rPr>
          <w:rFonts w:ascii="Georgia" w:hAnsi="Georgia" w:cs="Arial"/>
        </w:rPr>
        <w:t>Con auto del</w:t>
      </w:r>
      <w:r w:rsidR="007B4C24" w:rsidRPr="009A6A51">
        <w:rPr>
          <w:rFonts w:ascii="Georgia" w:hAnsi="Georgia" w:cs="Arial"/>
        </w:rPr>
        <w:t xml:space="preserve"> </w:t>
      </w:r>
      <w:r w:rsidRPr="009A6A51">
        <w:rPr>
          <w:rFonts w:ascii="Georgia" w:hAnsi="Georgia" w:cs="Arial"/>
        </w:rPr>
        <w:t>1</w:t>
      </w:r>
      <w:r w:rsidR="0036420C" w:rsidRPr="009A6A51">
        <w:rPr>
          <w:rFonts w:ascii="Georgia" w:hAnsi="Georgia" w:cs="Arial"/>
        </w:rPr>
        <w:t>5</w:t>
      </w:r>
      <w:r w:rsidRPr="009A6A51">
        <w:rPr>
          <w:rFonts w:ascii="Georgia" w:hAnsi="Georgia" w:cs="Arial"/>
        </w:rPr>
        <w:t>-0</w:t>
      </w:r>
      <w:r w:rsidR="0036420C" w:rsidRPr="009A6A51">
        <w:rPr>
          <w:rFonts w:ascii="Georgia" w:hAnsi="Georgia" w:cs="Arial"/>
        </w:rPr>
        <w:t>1</w:t>
      </w:r>
      <w:r w:rsidRPr="009A6A51">
        <w:rPr>
          <w:rFonts w:ascii="Georgia" w:hAnsi="Georgia" w:cs="Arial"/>
        </w:rPr>
        <w:t>-202</w:t>
      </w:r>
      <w:r w:rsidR="0036420C" w:rsidRPr="009A6A51">
        <w:rPr>
          <w:rFonts w:ascii="Georgia" w:hAnsi="Georgia" w:cs="Arial"/>
        </w:rPr>
        <w:t>1</w:t>
      </w:r>
      <w:r w:rsidRPr="009A6A51">
        <w:rPr>
          <w:rFonts w:ascii="Georgia" w:hAnsi="Georgia" w:cs="Arial"/>
        </w:rPr>
        <w:t xml:space="preserve"> se </w:t>
      </w:r>
      <w:r w:rsidR="005139B5" w:rsidRPr="009A6A51">
        <w:rPr>
          <w:rFonts w:ascii="Georgia" w:hAnsi="Georgia" w:cs="Arial"/>
        </w:rPr>
        <w:t>declaró</w:t>
      </w:r>
      <w:r w:rsidR="00140A97" w:rsidRPr="009A6A51">
        <w:rPr>
          <w:rFonts w:ascii="Georgia" w:hAnsi="Georgia" w:cs="Arial"/>
        </w:rPr>
        <w:t xml:space="preserve"> desistida tácitamente la actuación</w:t>
      </w:r>
      <w:r w:rsidR="005139B5" w:rsidRPr="009A6A51">
        <w:rPr>
          <w:rFonts w:ascii="Georgia" w:hAnsi="Georgia" w:cs="Arial"/>
        </w:rPr>
        <w:t xml:space="preserve">, pues </w:t>
      </w:r>
      <w:r w:rsidR="001E24AD" w:rsidRPr="009A6A51">
        <w:rPr>
          <w:rFonts w:ascii="Georgia" w:hAnsi="Georgia" w:cs="Arial"/>
        </w:rPr>
        <w:t xml:space="preserve">la parte actora omitió gestionar un nuevo avalúo para rematar </w:t>
      </w:r>
      <w:r w:rsidR="00F27938" w:rsidRPr="009A6A51">
        <w:rPr>
          <w:rFonts w:ascii="Georgia" w:hAnsi="Georgia" w:cs="Arial"/>
        </w:rPr>
        <w:t>un</w:t>
      </w:r>
      <w:r w:rsidR="001E24AD" w:rsidRPr="009A6A51">
        <w:rPr>
          <w:rFonts w:ascii="Georgia" w:hAnsi="Georgia" w:cs="Arial"/>
        </w:rPr>
        <w:t>os bienes</w:t>
      </w:r>
      <w:r w:rsidR="1288256A" w:rsidRPr="009A6A51">
        <w:rPr>
          <w:rFonts w:ascii="Georgia" w:hAnsi="Georgia" w:cs="Arial"/>
        </w:rPr>
        <w:t xml:space="preserve"> </w:t>
      </w:r>
      <w:r w:rsidR="003232DA" w:rsidRPr="009A6A51">
        <w:rPr>
          <w:rFonts w:ascii="Georgia" w:hAnsi="Georgia" w:cs="Arial"/>
        </w:rPr>
        <w:t>(</w:t>
      </w:r>
      <w:r w:rsidRPr="009A6A51">
        <w:rPr>
          <w:rFonts w:ascii="Georgia" w:hAnsi="Georgia" w:cs="Arial"/>
        </w:rPr>
        <w:t>C</w:t>
      </w:r>
      <w:r w:rsidR="002D4562" w:rsidRPr="009A6A51">
        <w:rPr>
          <w:rFonts w:ascii="Georgia" w:hAnsi="Georgia" w:cs="Arial"/>
        </w:rPr>
        <w:t xml:space="preserve">arpeta </w:t>
      </w:r>
      <w:r w:rsidR="001E24AD" w:rsidRPr="009A6A51">
        <w:rPr>
          <w:rFonts w:ascii="Georgia" w:hAnsi="Georgia" w:cs="Arial"/>
        </w:rPr>
        <w:t>0</w:t>
      </w:r>
      <w:r w:rsidRPr="009A6A51">
        <w:rPr>
          <w:rFonts w:ascii="Georgia" w:hAnsi="Georgia" w:cs="Arial"/>
        </w:rPr>
        <w:t>1</w:t>
      </w:r>
      <w:r w:rsidR="002D4562" w:rsidRPr="009A6A51">
        <w:rPr>
          <w:rFonts w:ascii="Georgia" w:hAnsi="Georgia" w:cs="Arial"/>
        </w:rPr>
        <w:t>PrimeraInstancia</w:t>
      </w:r>
      <w:r w:rsidRPr="009A6A51">
        <w:rPr>
          <w:rFonts w:ascii="Georgia" w:hAnsi="Georgia" w:cs="Arial"/>
        </w:rPr>
        <w:t xml:space="preserve">, </w:t>
      </w:r>
      <w:r w:rsidR="002D4562" w:rsidRPr="009A6A51">
        <w:rPr>
          <w:rFonts w:ascii="Georgia" w:hAnsi="Georgia" w:cs="Arial"/>
        </w:rPr>
        <w:t xml:space="preserve">carpeta 01Cdno1, carpeta 14Tomo14, </w:t>
      </w:r>
      <w:proofErr w:type="spellStart"/>
      <w:r w:rsidR="002D4562" w:rsidRPr="009A6A51">
        <w:rPr>
          <w:rFonts w:ascii="Georgia" w:hAnsi="Georgia" w:cs="Arial"/>
        </w:rPr>
        <w:t>pdf</w:t>
      </w:r>
      <w:proofErr w:type="spellEnd"/>
      <w:r w:rsidR="002D4562" w:rsidRPr="009A6A51">
        <w:rPr>
          <w:rFonts w:ascii="Georgia" w:hAnsi="Georgia" w:cs="Arial"/>
        </w:rPr>
        <w:t xml:space="preserve"> No.23</w:t>
      </w:r>
      <w:r w:rsidR="00691512" w:rsidRPr="009A6A51">
        <w:rPr>
          <w:rFonts w:ascii="Georgia" w:hAnsi="Georgia" w:cs="Arial"/>
        </w:rPr>
        <w:t>).</w:t>
      </w:r>
      <w:r w:rsidR="00B7712C" w:rsidRPr="009A6A51">
        <w:rPr>
          <w:rFonts w:ascii="Georgia" w:hAnsi="Georgia" w:cs="Arial"/>
        </w:rPr>
        <w:t xml:space="preserve"> </w:t>
      </w:r>
      <w:r w:rsidR="005A4AB4" w:rsidRPr="009A6A51">
        <w:rPr>
          <w:rFonts w:ascii="Georgia" w:hAnsi="Georgia" w:cs="Arial"/>
        </w:rPr>
        <w:t>Recurrid</w:t>
      </w:r>
      <w:r w:rsidR="00483D7C" w:rsidRPr="009A6A51">
        <w:rPr>
          <w:rFonts w:ascii="Georgia" w:hAnsi="Georgia" w:cs="Arial"/>
        </w:rPr>
        <w:t>o es</w:t>
      </w:r>
      <w:r w:rsidR="00153389" w:rsidRPr="009A6A51">
        <w:rPr>
          <w:rFonts w:ascii="Georgia" w:hAnsi="Georgia" w:cs="Arial"/>
        </w:rPr>
        <w:t>e</w:t>
      </w:r>
      <w:r w:rsidR="00483D7C" w:rsidRPr="009A6A51">
        <w:rPr>
          <w:rFonts w:ascii="Georgia" w:hAnsi="Georgia" w:cs="Arial"/>
        </w:rPr>
        <w:t xml:space="preserve"> proveído por CISA</w:t>
      </w:r>
      <w:r w:rsidR="008C65CD" w:rsidRPr="009A6A51">
        <w:rPr>
          <w:rFonts w:ascii="Georgia" w:hAnsi="Georgia" w:cs="Arial"/>
        </w:rPr>
        <w:t xml:space="preserve"> (Carpeta 01PrimeraInstancia, carpeta 01Cdno1, carpeta 14Tomo14, </w:t>
      </w:r>
      <w:proofErr w:type="spellStart"/>
      <w:r w:rsidR="008C65CD" w:rsidRPr="009A6A51">
        <w:rPr>
          <w:rFonts w:ascii="Georgia" w:hAnsi="Georgia" w:cs="Arial"/>
        </w:rPr>
        <w:t>pdf</w:t>
      </w:r>
      <w:proofErr w:type="spellEnd"/>
      <w:r w:rsidR="008C65CD" w:rsidRPr="009A6A51">
        <w:rPr>
          <w:rFonts w:ascii="Georgia" w:hAnsi="Georgia" w:cs="Arial"/>
        </w:rPr>
        <w:t xml:space="preserve"> No.24)</w:t>
      </w:r>
      <w:r w:rsidR="00026ADC" w:rsidRPr="009A6A51">
        <w:rPr>
          <w:rFonts w:ascii="Georgia" w:hAnsi="Georgia" w:cs="Arial"/>
        </w:rPr>
        <w:t xml:space="preserve">, </w:t>
      </w:r>
      <w:r w:rsidR="00982B88" w:rsidRPr="009A6A51">
        <w:rPr>
          <w:rFonts w:ascii="Georgia" w:hAnsi="Georgia" w:cs="Arial"/>
        </w:rPr>
        <w:t xml:space="preserve">con auto del 12-03-2021, </w:t>
      </w:r>
      <w:r w:rsidRPr="009A6A51">
        <w:rPr>
          <w:rFonts w:ascii="Georgia" w:hAnsi="Georgia" w:cs="Arial"/>
        </w:rPr>
        <w:t xml:space="preserve">se </w:t>
      </w:r>
      <w:r w:rsidR="00A642BA" w:rsidRPr="009A6A51">
        <w:rPr>
          <w:rFonts w:ascii="Georgia" w:hAnsi="Georgia" w:cs="Arial"/>
        </w:rPr>
        <w:t xml:space="preserve">mantuvo </w:t>
      </w:r>
      <w:r w:rsidR="00483D7C" w:rsidRPr="009A6A51">
        <w:rPr>
          <w:rFonts w:ascii="Georgia" w:hAnsi="Georgia" w:cs="Arial"/>
        </w:rPr>
        <w:t xml:space="preserve">la </w:t>
      </w:r>
      <w:r w:rsidR="00982B88" w:rsidRPr="009A6A51">
        <w:rPr>
          <w:rFonts w:ascii="Georgia" w:hAnsi="Georgia" w:cs="Arial"/>
        </w:rPr>
        <w:t>decisión</w:t>
      </w:r>
      <w:r w:rsidR="00BD14C6" w:rsidRPr="009A6A51">
        <w:rPr>
          <w:rFonts w:ascii="Georgia" w:hAnsi="Georgia" w:cs="Arial"/>
        </w:rPr>
        <w:t xml:space="preserve">, </w:t>
      </w:r>
      <w:r w:rsidR="00E929CB" w:rsidRPr="009A6A51">
        <w:rPr>
          <w:rFonts w:ascii="Georgia" w:hAnsi="Georgia" w:cs="Arial"/>
        </w:rPr>
        <w:t xml:space="preserve">pues </w:t>
      </w:r>
      <w:r w:rsidR="00095980" w:rsidRPr="009A6A51">
        <w:rPr>
          <w:rFonts w:ascii="Georgia" w:hAnsi="Georgia" w:cs="Arial"/>
        </w:rPr>
        <w:t xml:space="preserve">argumentó que </w:t>
      </w:r>
      <w:r w:rsidR="00BD14C6" w:rsidRPr="009A6A51">
        <w:rPr>
          <w:rFonts w:ascii="Georgia" w:hAnsi="Georgia" w:cs="Arial"/>
        </w:rPr>
        <w:t xml:space="preserve">el interés del recurrente para atender la carga impuesta, debió exteriorizarse antes del requerimiento o durante el plazo conferido, mas lo omitió </w:t>
      </w:r>
      <w:r w:rsidR="00E75A0F" w:rsidRPr="009A6A51">
        <w:rPr>
          <w:rFonts w:ascii="Georgia" w:hAnsi="Georgia" w:cs="Arial"/>
        </w:rPr>
        <w:t>(Carpeta 01PrimeraInstancia, carpeta 01Cdno1, carpeta 14Tomo14, pdf No.46)</w:t>
      </w:r>
      <w:r w:rsidR="00DB4C1B" w:rsidRPr="009A6A51">
        <w:rPr>
          <w:rFonts w:ascii="Georgia" w:hAnsi="Georgia" w:cs="Arial"/>
        </w:rPr>
        <w:t>.</w:t>
      </w:r>
      <w:r w:rsidR="00E929CB" w:rsidRPr="009A6A51">
        <w:rPr>
          <w:rFonts w:ascii="Georgia" w:hAnsi="Georgia" w:cs="Arial"/>
        </w:rPr>
        <w:t xml:space="preserve"> </w:t>
      </w:r>
    </w:p>
    <w:p w14:paraId="63F8BE5F" w14:textId="58AC3BF8" w:rsidR="00140267" w:rsidRPr="009A6A51" w:rsidRDefault="00140267" w:rsidP="00315D8B">
      <w:pPr>
        <w:spacing w:line="276" w:lineRule="auto"/>
        <w:jc w:val="both"/>
        <w:rPr>
          <w:rFonts w:ascii="Georgia" w:hAnsi="Georgia" w:cs="Arial"/>
        </w:rPr>
      </w:pPr>
    </w:p>
    <w:p w14:paraId="628583CA" w14:textId="3BF66DA7" w:rsidR="00140267" w:rsidRPr="009A6A51" w:rsidRDefault="00E929CB" w:rsidP="00315D8B">
      <w:pPr>
        <w:spacing w:line="276" w:lineRule="auto"/>
        <w:jc w:val="both"/>
        <w:rPr>
          <w:rFonts w:ascii="Georgia" w:hAnsi="Georgia" w:cs="Arial"/>
        </w:rPr>
      </w:pPr>
      <w:r w:rsidRPr="009A6A51">
        <w:rPr>
          <w:rFonts w:ascii="Georgia" w:hAnsi="Georgia" w:cs="Arial"/>
        </w:rPr>
        <w:t xml:space="preserve">No obstante, </w:t>
      </w:r>
      <w:r w:rsidR="00B233CD" w:rsidRPr="009A6A51">
        <w:rPr>
          <w:rFonts w:ascii="Georgia" w:hAnsi="Georgia" w:cs="Arial"/>
        </w:rPr>
        <w:t xml:space="preserve">se </w:t>
      </w:r>
      <w:r w:rsidRPr="009A6A51">
        <w:rPr>
          <w:rFonts w:ascii="Georgia" w:hAnsi="Georgia" w:cs="Arial"/>
        </w:rPr>
        <w:t>modific</w:t>
      </w:r>
      <w:r w:rsidR="00B233CD" w:rsidRPr="009A6A51">
        <w:rPr>
          <w:rFonts w:ascii="Georgia" w:hAnsi="Georgia" w:cs="Arial"/>
        </w:rPr>
        <w:t xml:space="preserve">ó </w:t>
      </w:r>
      <w:r w:rsidRPr="009A6A51">
        <w:rPr>
          <w:rFonts w:ascii="Georgia" w:hAnsi="Georgia" w:cs="Arial"/>
        </w:rPr>
        <w:t xml:space="preserve">la terminación para precisar que solo era </w:t>
      </w:r>
      <w:r w:rsidR="4C80E990" w:rsidRPr="009A6A51">
        <w:rPr>
          <w:rFonts w:ascii="Georgia" w:hAnsi="Georgia" w:cs="Arial"/>
        </w:rPr>
        <w:t xml:space="preserve">sobre </w:t>
      </w:r>
      <w:r w:rsidRPr="009A6A51">
        <w:rPr>
          <w:rFonts w:ascii="Georgia" w:hAnsi="Georgia" w:cs="Arial"/>
        </w:rPr>
        <w:t xml:space="preserve">los inmuebles </w:t>
      </w:r>
      <w:r w:rsidR="78706F8E" w:rsidRPr="009A6A51">
        <w:rPr>
          <w:rFonts w:ascii="Georgia" w:hAnsi="Georgia" w:cs="Arial"/>
        </w:rPr>
        <w:t xml:space="preserve">sin </w:t>
      </w:r>
      <w:r w:rsidRPr="009A6A51">
        <w:rPr>
          <w:rFonts w:ascii="Georgia" w:hAnsi="Georgia" w:cs="Arial"/>
        </w:rPr>
        <w:t>subasta</w:t>
      </w:r>
      <w:r w:rsidR="7C206639" w:rsidRPr="009A6A51">
        <w:rPr>
          <w:rFonts w:ascii="Georgia" w:hAnsi="Georgia" w:cs="Arial"/>
        </w:rPr>
        <w:t>r</w:t>
      </w:r>
      <w:r w:rsidR="00B233CD" w:rsidRPr="009A6A51">
        <w:rPr>
          <w:rFonts w:ascii="Georgia" w:hAnsi="Georgia" w:cs="Arial"/>
        </w:rPr>
        <w:t>. Enseguida, como ese auto r</w:t>
      </w:r>
      <w:r w:rsidR="00D90A2F" w:rsidRPr="009A6A51">
        <w:rPr>
          <w:rFonts w:ascii="Georgia" w:hAnsi="Georgia" w:cs="Arial"/>
        </w:rPr>
        <w:t>esolutorio de la reposición, también</w:t>
      </w:r>
      <w:r w:rsidR="00B233CD" w:rsidRPr="009A6A51">
        <w:rPr>
          <w:rFonts w:ascii="Georgia" w:hAnsi="Georgia" w:cs="Arial"/>
        </w:rPr>
        <w:t>,</w:t>
      </w:r>
      <w:r w:rsidR="00D90A2F" w:rsidRPr="009A6A51">
        <w:rPr>
          <w:rFonts w:ascii="Georgia" w:hAnsi="Georgia" w:cs="Arial"/>
        </w:rPr>
        <w:t xml:space="preserve"> </w:t>
      </w:r>
      <w:r w:rsidR="00B233CD" w:rsidRPr="009A6A51">
        <w:rPr>
          <w:rFonts w:ascii="Georgia" w:hAnsi="Georgia" w:cs="Arial"/>
        </w:rPr>
        <w:t xml:space="preserve">decidió </w:t>
      </w:r>
      <w:r w:rsidR="00D90A2F" w:rsidRPr="009A6A51">
        <w:rPr>
          <w:rFonts w:ascii="Georgia" w:hAnsi="Georgia" w:cs="Arial"/>
        </w:rPr>
        <w:t xml:space="preserve">una aclaración </w:t>
      </w:r>
      <w:r w:rsidR="00B233CD" w:rsidRPr="009A6A51">
        <w:rPr>
          <w:rFonts w:ascii="Georgia" w:hAnsi="Georgia" w:cs="Arial"/>
        </w:rPr>
        <w:t xml:space="preserve">de </w:t>
      </w:r>
      <w:r w:rsidR="00D90A2F" w:rsidRPr="009A6A51">
        <w:rPr>
          <w:rFonts w:ascii="Georgia" w:hAnsi="Georgia" w:cs="Arial"/>
        </w:rPr>
        <w:t xml:space="preserve">UNE EPM Telecomunicaciones </w:t>
      </w:r>
      <w:r w:rsidR="00140A97" w:rsidRPr="009A6A51">
        <w:rPr>
          <w:rFonts w:ascii="Georgia" w:hAnsi="Georgia" w:cs="Arial"/>
        </w:rPr>
        <w:t xml:space="preserve">contra la declaración del desistimiento, esa entidad </w:t>
      </w:r>
      <w:r w:rsidR="35B6585C" w:rsidRPr="009A6A51">
        <w:rPr>
          <w:rFonts w:ascii="Georgia" w:hAnsi="Georgia" w:cs="Arial"/>
        </w:rPr>
        <w:t xml:space="preserve">según </w:t>
      </w:r>
      <w:r w:rsidR="00B233CD" w:rsidRPr="009A6A51">
        <w:rPr>
          <w:rFonts w:ascii="Georgia" w:hAnsi="Georgia" w:cs="Arial"/>
        </w:rPr>
        <w:t xml:space="preserve">el artículo 285, CGP, </w:t>
      </w:r>
      <w:r w:rsidR="00140A97" w:rsidRPr="009A6A51">
        <w:rPr>
          <w:rFonts w:ascii="Georgia" w:hAnsi="Georgia" w:cs="Arial"/>
        </w:rPr>
        <w:t>recurrió en reposición y subsidio apelación</w:t>
      </w:r>
      <w:r w:rsidR="00A11852" w:rsidRPr="009A6A51">
        <w:rPr>
          <w:rFonts w:ascii="Georgia" w:hAnsi="Georgia" w:cs="Arial"/>
        </w:rPr>
        <w:t xml:space="preserve"> </w:t>
      </w:r>
      <w:r w:rsidR="008C65CD" w:rsidRPr="009A6A51">
        <w:rPr>
          <w:rFonts w:ascii="Georgia" w:hAnsi="Georgia" w:cs="Arial"/>
        </w:rPr>
        <w:t xml:space="preserve">(Ibidem, pdf No.47), </w:t>
      </w:r>
      <w:r w:rsidR="00B233CD" w:rsidRPr="009A6A51">
        <w:rPr>
          <w:rFonts w:ascii="Georgia" w:hAnsi="Georgia" w:cs="Arial"/>
        </w:rPr>
        <w:t xml:space="preserve">impugnaciones </w:t>
      </w:r>
      <w:r w:rsidR="00A11852" w:rsidRPr="009A6A51">
        <w:rPr>
          <w:rFonts w:ascii="Georgia" w:hAnsi="Georgia" w:cs="Arial"/>
        </w:rPr>
        <w:t>res</w:t>
      </w:r>
      <w:r w:rsidR="00A642BA" w:rsidRPr="009A6A51">
        <w:rPr>
          <w:rFonts w:ascii="Georgia" w:hAnsi="Georgia" w:cs="Arial"/>
        </w:rPr>
        <w:t>uelt</w:t>
      </w:r>
      <w:r w:rsidR="00B233CD" w:rsidRPr="009A6A51">
        <w:rPr>
          <w:rFonts w:ascii="Georgia" w:hAnsi="Georgia" w:cs="Arial"/>
        </w:rPr>
        <w:t>a</w:t>
      </w:r>
      <w:r w:rsidR="00A642BA" w:rsidRPr="009A6A51">
        <w:rPr>
          <w:rFonts w:ascii="Georgia" w:hAnsi="Georgia" w:cs="Arial"/>
        </w:rPr>
        <w:t xml:space="preserve">s en </w:t>
      </w:r>
      <w:r w:rsidR="00140A97" w:rsidRPr="009A6A51">
        <w:rPr>
          <w:rFonts w:ascii="Georgia" w:hAnsi="Georgia" w:cs="Arial"/>
        </w:rPr>
        <w:t>proveído de 19-0</w:t>
      </w:r>
      <w:r w:rsidR="008C65CD" w:rsidRPr="009A6A51">
        <w:rPr>
          <w:rFonts w:ascii="Georgia" w:hAnsi="Georgia" w:cs="Arial"/>
        </w:rPr>
        <w:t>5</w:t>
      </w:r>
      <w:r w:rsidR="00140A97" w:rsidRPr="009A6A51">
        <w:rPr>
          <w:rFonts w:ascii="Georgia" w:hAnsi="Georgia" w:cs="Arial"/>
        </w:rPr>
        <w:t>-2021</w:t>
      </w:r>
      <w:r w:rsidR="00A642BA" w:rsidRPr="009A6A51">
        <w:rPr>
          <w:rFonts w:ascii="Georgia" w:hAnsi="Georgia" w:cs="Arial"/>
        </w:rPr>
        <w:t xml:space="preserve"> y </w:t>
      </w:r>
      <w:r w:rsidR="00B233CD" w:rsidRPr="009A6A51">
        <w:rPr>
          <w:rFonts w:ascii="Georgia" w:hAnsi="Georgia" w:cs="Arial"/>
        </w:rPr>
        <w:t xml:space="preserve">que </w:t>
      </w:r>
      <w:r w:rsidR="00140A97" w:rsidRPr="009A6A51">
        <w:rPr>
          <w:rFonts w:ascii="Georgia" w:hAnsi="Georgia" w:cs="Arial"/>
        </w:rPr>
        <w:t>dej</w:t>
      </w:r>
      <w:r w:rsidR="7054D773" w:rsidRPr="009A6A51">
        <w:rPr>
          <w:rFonts w:ascii="Georgia" w:hAnsi="Georgia" w:cs="Arial"/>
        </w:rPr>
        <w:t>aron</w:t>
      </w:r>
      <w:r w:rsidR="00140A97" w:rsidRPr="009A6A51">
        <w:rPr>
          <w:rFonts w:ascii="Georgia" w:hAnsi="Georgia" w:cs="Arial"/>
        </w:rPr>
        <w:t xml:space="preserve"> incólume </w:t>
      </w:r>
      <w:r w:rsidR="00B233CD" w:rsidRPr="009A6A51">
        <w:rPr>
          <w:rFonts w:ascii="Georgia" w:hAnsi="Georgia" w:cs="Arial"/>
        </w:rPr>
        <w:t xml:space="preserve">la aplicación de la aludida figura </w:t>
      </w:r>
      <w:r w:rsidR="00140A97" w:rsidRPr="009A6A51">
        <w:rPr>
          <w:rFonts w:ascii="Georgia" w:hAnsi="Georgia" w:cs="Arial"/>
        </w:rPr>
        <w:t>(</w:t>
      </w:r>
      <w:r w:rsidR="008C65CD" w:rsidRPr="009A6A51">
        <w:rPr>
          <w:rFonts w:ascii="Georgia" w:hAnsi="Georgia" w:cs="Arial"/>
        </w:rPr>
        <w:t>Ibidem,</w:t>
      </w:r>
      <w:r w:rsidR="00140A97" w:rsidRPr="009A6A51">
        <w:rPr>
          <w:rFonts w:ascii="Georgia" w:hAnsi="Georgia" w:cs="Arial"/>
        </w:rPr>
        <w:t xml:space="preserve"> pdf No.58). </w:t>
      </w:r>
    </w:p>
    <w:p w14:paraId="6EA757AB" w14:textId="77777777" w:rsidR="00E75A0F" w:rsidRPr="009A6A51" w:rsidRDefault="00E75A0F" w:rsidP="00315D8B">
      <w:pPr>
        <w:spacing w:line="276" w:lineRule="auto"/>
        <w:jc w:val="both"/>
        <w:rPr>
          <w:rFonts w:ascii="Georgia" w:hAnsi="Georgia" w:cs="Arial"/>
        </w:rPr>
      </w:pPr>
    </w:p>
    <w:p w14:paraId="6043454B" w14:textId="779651D6" w:rsidR="00046468" w:rsidRPr="009A6A51" w:rsidRDefault="1C09EF98" w:rsidP="00315D8B">
      <w:pPr>
        <w:pStyle w:val="Sinespaciado"/>
        <w:numPr>
          <w:ilvl w:val="0"/>
          <w:numId w:val="6"/>
        </w:numPr>
        <w:spacing w:line="276" w:lineRule="auto"/>
        <w:jc w:val="both"/>
        <w:rPr>
          <w:rFonts w:ascii="Georgia" w:eastAsia="Georgia" w:hAnsi="Georgia" w:cs="Georgia"/>
          <w:b/>
          <w:bCs/>
          <w:smallCaps/>
          <w:sz w:val="24"/>
          <w:szCs w:val="24"/>
        </w:rPr>
      </w:pPr>
      <w:r w:rsidRPr="009A6A51">
        <w:rPr>
          <w:rFonts w:ascii="Georgia" w:hAnsi="Georgia"/>
          <w:b/>
          <w:bCs/>
          <w:smallCaps/>
          <w:sz w:val="24"/>
          <w:szCs w:val="24"/>
        </w:rPr>
        <w:t>La síntesis de la</w:t>
      </w:r>
      <w:r w:rsidR="005336D2" w:rsidRPr="009A6A51">
        <w:rPr>
          <w:rFonts w:ascii="Georgia" w:hAnsi="Georgia"/>
          <w:b/>
          <w:bCs/>
          <w:smallCaps/>
          <w:sz w:val="24"/>
          <w:szCs w:val="24"/>
        </w:rPr>
        <w:t>s</w:t>
      </w:r>
      <w:r w:rsidRPr="009A6A51">
        <w:rPr>
          <w:rFonts w:ascii="Georgia" w:hAnsi="Georgia"/>
          <w:b/>
          <w:bCs/>
          <w:smallCaps/>
          <w:sz w:val="24"/>
          <w:szCs w:val="24"/>
        </w:rPr>
        <w:t xml:space="preserve"> apelaci</w:t>
      </w:r>
      <w:r w:rsidR="005336D2" w:rsidRPr="009A6A51">
        <w:rPr>
          <w:rFonts w:ascii="Georgia" w:hAnsi="Georgia"/>
          <w:b/>
          <w:bCs/>
          <w:smallCaps/>
          <w:sz w:val="24"/>
          <w:szCs w:val="24"/>
        </w:rPr>
        <w:t>ones</w:t>
      </w:r>
    </w:p>
    <w:p w14:paraId="783681A3" w14:textId="11C48CA1" w:rsidR="6D8AFD21" w:rsidRPr="009A6A51" w:rsidRDefault="6D8AFD21" w:rsidP="00315D8B">
      <w:pPr>
        <w:pStyle w:val="Sinespaciado"/>
        <w:spacing w:line="276" w:lineRule="auto"/>
        <w:jc w:val="both"/>
        <w:rPr>
          <w:rFonts w:ascii="Georgia" w:hAnsi="Georgia"/>
          <w:b/>
          <w:bCs/>
          <w:smallCaps/>
          <w:sz w:val="24"/>
          <w:szCs w:val="24"/>
        </w:rPr>
      </w:pPr>
    </w:p>
    <w:p w14:paraId="2120D98F" w14:textId="1C6F7CF1" w:rsidR="00D73DD5" w:rsidRPr="009A6A51" w:rsidRDefault="0072378B" w:rsidP="00315D8B">
      <w:pPr>
        <w:pStyle w:val="Sinespaciado"/>
        <w:spacing w:line="276" w:lineRule="auto"/>
        <w:jc w:val="both"/>
        <w:rPr>
          <w:rFonts w:ascii="Georgia" w:hAnsi="Georgia" w:cs="Arial"/>
          <w:sz w:val="24"/>
          <w:szCs w:val="24"/>
        </w:rPr>
      </w:pPr>
      <w:r w:rsidRPr="009A6A51">
        <w:rPr>
          <w:rFonts w:ascii="Georgia" w:hAnsi="Georgia" w:cs="Arial"/>
          <w:sz w:val="24"/>
          <w:szCs w:val="24"/>
        </w:rPr>
        <w:t>El mandatario</w:t>
      </w:r>
      <w:r w:rsidR="005336D2" w:rsidRPr="009A6A51">
        <w:rPr>
          <w:rFonts w:ascii="Georgia" w:hAnsi="Georgia" w:cs="Arial"/>
          <w:sz w:val="24"/>
          <w:szCs w:val="24"/>
        </w:rPr>
        <w:t xml:space="preserve"> judicial de CISA </w:t>
      </w:r>
      <w:r w:rsidRPr="009A6A51">
        <w:rPr>
          <w:rFonts w:ascii="Georgia" w:hAnsi="Georgia" w:cs="Arial"/>
          <w:sz w:val="24"/>
          <w:szCs w:val="24"/>
        </w:rPr>
        <w:t>pid</w:t>
      </w:r>
      <w:r w:rsidR="7B9C9E33" w:rsidRPr="009A6A51">
        <w:rPr>
          <w:rFonts w:ascii="Georgia" w:hAnsi="Georgia" w:cs="Arial"/>
          <w:sz w:val="24"/>
          <w:szCs w:val="24"/>
        </w:rPr>
        <w:t>ió</w:t>
      </w:r>
      <w:r w:rsidRPr="009A6A51">
        <w:rPr>
          <w:rFonts w:ascii="Georgia" w:hAnsi="Georgia" w:cs="Arial"/>
          <w:sz w:val="24"/>
          <w:szCs w:val="24"/>
        </w:rPr>
        <w:t xml:space="preserve"> revocar la </w:t>
      </w:r>
      <w:r w:rsidR="001F23EE" w:rsidRPr="009A6A51">
        <w:rPr>
          <w:rFonts w:ascii="Georgia" w:hAnsi="Georgia" w:cs="Arial"/>
          <w:sz w:val="24"/>
          <w:szCs w:val="24"/>
        </w:rPr>
        <w:t>providencia</w:t>
      </w:r>
      <w:r w:rsidR="008D4BC0" w:rsidRPr="009A6A51">
        <w:rPr>
          <w:rFonts w:ascii="Georgia" w:hAnsi="Georgia" w:cs="Arial"/>
          <w:sz w:val="24"/>
          <w:szCs w:val="24"/>
        </w:rPr>
        <w:t>,</w:t>
      </w:r>
      <w:r w:rsidR="001F23EE" w:rsidRPr="009A6A51">
        <w:rPr>
          <w:rFonts w:ascii="Georgia" w:hAnsi="Georgia" w:cs="Arial"/>
          <w:sz w:val="24"/>
          <w:szCs w:val="24"/>
        </w:rPr>
        <w:t xml:space="preserve"> porque</w:t>
      </w:r>
      <w:r w:rsidR="008D4BC0" w:rsidRPr="009A6A51">
        <w:rPr>
          <w:rFonts w:ascii="Georgia" w:hAnsi="Georgia" w:cs="Arial"/>
          <w:sz w:val="24"/>
          <w:szCs w:val="24"/>
        </w:rPr>
        <w:t xml:space="preserve"> </w:t>
      </w:r>
      <w:r w:rsidR="00E24683" w:rsidRPr="009A6A51">
        <w:rPr>
          <w:rFonts w:ascii="Georgia" w:hAnsi="Georgia" w:cs="Arial"/>
          <w:sz w:val="24"/>
          <w:szCs w:val="24"/>
        </w:rPr>
        <w:t xml:space="preserve">el requerimiento </w:t>
      </w:r>
      <w:r w:rsidR="00050984" w:rsidRPr="009A6A51">
        <w:rPr>
          <w:rFonts w:ascii="Georgia" w:hAnsi="Georgia" w:cs="Arial"/>
          <w:sz w:val="24"/>
          <w:szCs w:val="24"/>
        </w:rPr>
        <w:t xml:space="preserve">incumplido por </w:t>
      </w:r>
      <w:r w:rsidR="00E24683" w:rsidRPr="009A6A51">
        <w:rPr>
          <w:rFonts w:ascii="Georgia" w:hAnsi="Georgia" w:cs="Arial"/>
          <w:sz w:val="24"/>
          <w:szCs w:val="24"/>
        </w:rPr>
        <w:t>la actora</w:t>
      </w:r>
      <w:r w:rsidR="00D73DD5" w:rsidRPr="009A6A51">
        <w:rPr>
          <w:rFonts w:ascii="Georgia" w:hAnsi="Georgia" w:cs="Arial"/>
          <w:sz w:val="24"/>
          <w:szCs w:val="24"/>
        </w:rPr>
        <w:t xml:space="preserve"> </w:t>
      </w:r>
      <w:r w:rsidR="00990E59" w:rsidRPr="009A6A51">
        <w:rPr>
          <w:rFonts w:ascii="Georgia" w:hAnsi="Georgia" w:cs="Arial"/>
          <w:sz w:val="24"/>
          <w:szCs w:val="24"/>
        </w:rPr>
        <w:t>fue desatendido por problemas de ubicación de los demandantes para que pagaran las respectivas expensas, obran escritos en tal sentido en el proceso, pero no fueron publicad</w:t>
      </w:r>
      <w:r w:rsidR="00747E3C" w:rsidRPr="009A6A51">
        <w:rPr>
          <w:rFonts w:ascii="Georgia" w:hAnsi="Georgia" w:cs="Arial"/>
          <w:sz w:val="24"/>
          <w:szCs w:val="24"/>
        </w:rPr>
        <w:t>o</w:t>
      </w:r>
      <w:r w:rsidR="00990E59" w:rsidRPr="009A6A51">
        <w:rPr>
          <w:rFonts w:ascii="Georgia" w:hAnsi="Georgia" w:cs="Arial"/>
          <w:sz w:val="24"/>
          <w:szCs w:val="24"/>
        </w:rPr>
        <w:t xml:space="preserve">s; </w:t>
      </w:r>
      <w:r w:rsidR="00B233CD" w:rsidRPr="009A6A51">
        <w:rPr>
          <w:rFonts w:ascii="Georgia" w:hAnsi="Georgia" w:cs="Arial"/>
          <w:sz w:val="24"/>
          <w:szCs w:val="24"/>
        </w:rPr>
        <w:t>l</w:t>
      </w:r>
      <w:r w:rsidR="00D73DD5" w:rsidRPr="009A6A51">
        <w:rPr>
          <w:rFonts w:ascii="Georgia" w:hAnsi="Georgia" w:cs="Arial"/>
          <w:sz w:val="24"/>
          <w:szCs w:val="24"/>
        </w:rPr>
        <w:t xml:space="preserve">a decisión </w:t>
      </w:r>
      <w:r w:rsidR="29175863" w:rsidRPr="009A6A51">
        <w:rPr>
          <w:rFonts w:ascii="Georgia" w:hAnsi="Georgia" w:cs="Arial"/>
          <w:sz w:val="24"/>
          <w:szCs w:val="24"/>
        </w:rPr>
        <w:t xml:space="preserve">lesiona </w:t>
      </w:r>
      <w:r w:rsidR="00747E3C" w:rsidRPr="009A6A51">
        <w:rPr>
          <w:rFonts w:ascii="Georgia" w:hAnsi="Georgia" w:cs="Arial"/>
          <w:sz w:val="24"/>
          <w:szCs w:val="24"/>
        </w:rPr>
        <w:t xml:space="preserve">los </w:t>
      </w:r>
      <w:r w:rsidR="00D73DD5" w:rsidRPr="009A6A51">
        <w:rPr>
          <w:rFonts w:ascii="Georgia" w:hAnsi="Georgia" w:cs="Arial"/>
          <w:sz w:val="24"/>
          <w:szCs w:val="24"/>
        </w:rPr>
        <w:t xml:space="preserve">intereses </w:t>
      </w:r>
      <w:r w:rsidR="00747E3C" w:rsidRPr="009A6A51">
        <w:rPr>
          <w:rFonts w:ascii="Georgia" w:hAnsi="Georgia" w:cs="Arial"/>
          <w:sz w:val="24"/>
          <w:szCs w:val="24"/>
        </w:rPr>
        <w:t>de los demandados</w:t>
      </w:r>
      <w:r w:rsidR="00B233CD" w:rsidRPr="009A6A51">
        <w:rPr>
          <w:rFonts w:ascii="Georgia" w:hAnsi="Georgia" w:cs="Arial"/>
          <w:sz w:val="24"/>
          <w:szCs w:val="24"/>
        </w:rPr>
        <w:t xml:space="preserve">. El recurrente indica que </w:t>
      </w:r>
      <w:r w:rsidR="00D73DD5" w:rsidRPr="009A6A51">
        <w:rPr>
          <w:rFonts w:ascii="Georgia" w:hAnsi="Georgia" w:cs="Arial"/>
          <w:sz w:val="24"/>
          <w:szCs w:val="24"/>
        </w:rPr>
        <w:t>asumir</w:t>
      </w:r>
      <w:r w:rsidR="1F765A40" w:rsidRPr="009A6A51">
        <w:rPr>
          <w:rFonts w:ascii="Georgia" w:hAnsi="Georgia" w:cs="Arial"/>
          <w:sz w:val="24"/>
          <w:szCs w:val="24"/>
        </w:rPr>
        <w:t>á</w:t>
      </w:r>
      <w:r w:rsidR="00D73DD5" w:rsidRPr="009A6A51">
        <w:rPr>
          <w:rFonts w:ascii="Georgia" w:hAnsi="Georgia" w:cs="Arial"/>
          <w:sz w:val="24"/>
          <w:szCs w:val="24"/>
        </w:rPr>
        <w:t xml:space="preserve"> las cargas pendientes: avalúo, publicación de avisos, actualización de certificados (Ibidem, pdf No.24).</w:t>
      </w:r>
    </w:p>
    <w:p w14:paraId="317F843C" w14:textId="77777777" w:rsidR="00D73DD5" w:rsidRPr="009A6A51" w:rsidRDefault="00D73DD5" w:rsidP="00315D8B">
      <w:pPr>
        <w:pStyle w:val="Sinespaciado"/>
        <w:spacing w:line="276" w:lineRule="auto"/>
        <w:jc w:val="both"/>
        <w:rPr>
          <w:rFonts w:ascii="Georgia" w:hAnsi="Georgia" w:cs="Arial"/>
          <w:sz w:val="24"/>
          <w:szCs w:val="24"/>
        </w:rPr>
      </w:pPr>
    </w:p>
    <w:p w14:paraId="0FC63DAB" w14:textId="4BCE9541" w:rsidR="00E84523" w:rsidRPr="009A6A51" w:rsidRDefault="00D73DD5" w:rsidP="00315D8B">
      <w:pPr>
        <w:pStyle w:val="Sinespaciado"/>
        <w:spacing w:line="276" w:lineRule="auto"/>
        <w:jc w:val="both"/>
        <w:rPr>
          <w:rFonts w:ascii="Georgia" w:hAnsi="Georgia" w:cs="Arial"/>
          <w:sz w:val="24"/>
          <w:szCs w:val="24"/>
        </w:rPr>
      </w:pPr>
      <w:r w:rsidRPr="009A6A51">
        <w:rPr>
          <w:rFonts w:ascii="Georgia" w:hAnsi="Georgia" w:cs="Arial"/>
          <w:sz w:val="24"/>
          <w:szCs w:val="24"/>
        </w:rPr>
        <w:t>Por su parte, la apoderada de UNE EPM Telecomunicaciones</w:t>
      </w:r>
      <w:r w:rsidR="00635879" w:rsidRPr="009A6A51">
        <w:rPr>
          <w:rFonts w:ascii="Georgia" w:hAnsi="Georgia" w:cs="Arial"/>
          <w:sz w:val="24"/>
          <w:szCs w:val="24"/>
        </w:rPr>
        <w:t xml:space="preserve"> expuso que la vigencia del avalúo en el CGP está sujeta al fracaso de dos licitaciones y es potestativo, conforme al vocablo “podrá” (Artículo 533)</w:t>
      </w:r>
      <w:r w:rsidR="00F46503" w:rsidRPr="009A6A51">
        <w:rPr>
          <w:rFonts w:ascii="Georgia" w:hAnsi="Georgia" w:cs="Arial"/>
          <w:sz w:val="24"/>
          <w:szCs w:val="24"/>
        </w:rPr>
        <w:t>,</w:t>
      </w:r>
      <w:r w:rsidR="00635879" w:rsidRPr="009A6A51">
        <w:rPr>
          <w:rFonts w:ascii="Georgia" w:hAnsi="Georgia" w:cs="Arial"/>
          <w:sz w:val="24"/>
          <w:szCs w:val="24"/>
        </w:rPr>
        <w:t xml:space="preserve"> la aportación de uno nuevo; tampoco puede decirse que la tasación presentada</w:t>
      </w:r>
      <w:r w:rsidR="00E972D6" w:rsidRPr="009A6A51">
        <w:rPr>
          <w:rFonts w:ascii="Georgia" w:hAnsi="Georgia" w:cs="Arial"/>
          <w:sz w:val="24"/>
          <w:szCs w:val="24"/>
        </w:rPr>
        <w:t xml:space="preserve"> carezca de</w:t>
      </w:r>
      <w:r w:rsidR="00635879" w:rsidRPr="009A6A51">
        <w:rPr>
          <w:rFonts w:ascii="Georgia" w:hAnsi="Georgia" w:cs="Arial"/>
          <w:sz w:val="24"/>
          <w:szCs w:val="24"/>
        </w:rPr>
        <w:t xml:space="preserve"> vigencia y por ello deba acudirse </w:t>
      </w:r>
      <w:r w:rsidR="00B233CD" w:rsidRPr="009A6A51">
        <w:rPr>
          <w:rFonts w:ascii="Georgia" w:hAnsi="Georgia" w:cs="Arial"/>
          <w:sz w:val="24"/>
          <w:szCs w:val="24"/>
        </w:rPr>
        <w:t xml:space="preserve">al </w:t>
      </w:r>
      <w:r w:rsidR="00635879" w:rsidRPr="009A6A51">
        <w:rPr>
          <w:rFonts w:ascii="Georgia" w:hAnsi="Georgia" w:cs="Arial"/>
          <w:sz w:val="24"/>
          <w:szCs w:val="24"/>
        </w:rPr>
        <w:t xml:space="preserve">artículo 19 de la Ley 1420 (Sic). </w:t>
      </w:r>
      <w:r w:rsidR="00D01344" w:rsidRPr="009A6A51">
        <w:rPr>
          <w:rFonts w:ascii="Georgia" w:hAnsi="Georgia" w:cs="Arial"/>
          <w:sz w:val="24"/>
          <w:szCs w:val="24"/>
        </w:rPr>
        <w:t xml:space="preserve">Además, </w:t>
      </w:r>
      <w:r w:rsidR="00635879" w:rsidRPr="009A6A51">
        <w:rPr>
          <w:rFonts w:ascii="Georgia" w:hAnsi="Georgia" w:cs="Arial"/>
          <w:sz w:val="24"/>
          <w:szCs w:val="24"/>
        </w:rPr>
        <w:t xml:space="preserve">el avalúo descorrido con auto del 22-02-2019 </w:t>
      </w:r>
      <w:r w:rsidR="00A642BA" w:rsidRPr="009A6A51">
        <w:rPr>
          <w:rFonts w:ascii="Georgia" w:hAnsi="Georgia" w:cs="Arial"/>
          <w:sz w:val="24"/>
          <w:szCs w:val="24"/>
        </w:rPr>
        <w:t xml:space="preserve">regía por lo menos </w:t>
      </w:r>
      <w:r w:rsidR="00635879" w:rsidRPr="009A6A51">
        <w:rPr>
          <w:rFonts w:ascii="Georgia" w:hAnsi="Georgia" w:cs="Arial"/>
          <w:sz w:val="24"/>
          <w:szCs w:val="24"/>
        </w:rPr>
        <w:t xml:space="preserve">hasta </w:t>
      </w:r>
      <w:r w:rsidR="00D01344" w:rsidRPr="009A6A51">
        <w:rPr>
          <w:rFonts w:ascii="Georgia" w:hAnsi="Georgia" w:cs="Arial"/>
          <w:sz w:val="24"/>
          <w:szCs w:val="24"/>
        </w:rPr>
        <w:t>el 28-03-2020 y</w:t>
      </w:r>
      <w:r w:rsidR="00A642BA" w:rsidRPr="009A6A51">
        <w:rPr>
          <w:rFonts w:ascii="Georgia" w:hAnsi="Georgia" w:cs="Arial"/>
          <w:sz w:val="24"/>
          <w:szCs w:val="24"/>
        </w:rPr>
        <w:t xml:space="preserve">, por ende, </w:t>
      </w:r>
      <w:r w:rsidR="00D01344" w:rsidRPr="009A6A51">
        <w:rPr>
          <w:rFonts w:ascii="Georgia" w:hAnsi="Georgia" w:cs="Arial"/>
          <w:sz w:val="24"/>
          <w:szCs w:val="24"/>
        </w:rPr>
        <w:t>incluso</w:t>
      </w:r>
      <w:r w:rsidR="000D4243" w:rsidRPr="009A6A51">
        <w:rPr>
          <w:rFonts w:ascii="Georgia" w:hAnsi="Georgia" w:cs="Arial"/>
          <w:sz w:val="24"/>
          <w:szCs w:val="24"/>
        </w:rPr>
        <w:t>,</w:t>
      </w:r>
      <w:r w:rsidR="00D01344" w:rsidRPr="009A6A51">
        <w:rPr>
          <w:rFonts w:ascii="Georgia" w:hAnsi="Georgia" w:cs="Arial"/>
          <w:sz w:val="24"/>
          <w:szCs w:val="24"/>
        </w:rPr>
        <w:t xml:space="preserve"> oficiosamente (Artículo 533)</w:t>
      </w:r>
      <w:r w:rsidR="000D4243" w:rsidRPr="009A6A51">
        <w:rPr>
          <w:rFonts w:ascii="Georgia" w:hAnsi="Georgia" w:cs="Arial"/>
          <w:sz w:val="24"/>
          <w:szCs w:val="24"/>
        </w:rPr>
        <w:t>,</w:t>
      </w:r>
      <w:r w:rsidR="00D01344" w:rsidRPr="009A6A51">
        <w:rPr>
          <w:rFonts w:ascii="Georgia" w:hAnsi="Georgia" w:cs="Arial"/>
          <w:sz w:val="24"/>
          <w:szCs w:val="24"/>
        </w:rPr>
        <w:t xml:space="preserve"> </w:t>
      </w:r>
      <w:r w:rsidR="00A642BA" w:rsidRPr="009A6A51">
        <w:rPr>
          <w:rFonts w:ascii="Georgia" w:hAnsi="Georgia" w:cs="Arial"/>
          <w:sz w:val="24"/>
          <w:szCs w:val="24"/>
        </w:rPr>
        <w:t xml:space="preserve">podría </w:t>
      </w:r>
      <w:r w:rsidR="00D01344" w:rsidRPr="009A6A51">
        <w:rPr>
          <w:rFonts w:ascii="Georgia" w:hAnsi="Georgia" w:cs="Arial"/>
          <w:sz w:val="24"/>
          <w:szCs w:val="24"/>
        </w:rPr>
        <w:t>fijar</w:t>
      </w:r>
      <w:r w:rsidR="00A642BA" w:rsidRPr="009A6A51">
        <w:rPr>
          <w:rFonts w:ascii="Georgia" w:hAnsi="Georgia" w:cs="Arial"/>
          <w:sz w:val="24"/>
          <w:szCs w:val="24"/>
        </w:rPr>
        <w:t>se</w:t>
      </w:r>
      <w:r w:rsidR="00D01344" w:rsidRPr="009A6A51">
        <w:rPr>
          <w:rFonts w:ascii="Georgia" w:hAnsi="Georgia" w:cs="Arial"/>
          <w:sz w:val="24"/>
          <w:szCs w:val="24"/>
        </w:rPr>
        <w:t xml:space="preserve"> fecha para </w:t>
      </w:r>
      <w:r w:rsidR="00635879" w:rsidRPr="009A6A51">
        <w:rPr>
          <w:rFonts w:ascii="Georgia" w:hAnsi="Georgia" w:cs="Arial"/>
          <w:sz w:val="24"/>
          <w:szCs w:val="24"/>
        </w:rPr>
        <w:t>el remate</w:t>
      </w:r>
      <w:r w:rsidR="00A642BA" w:rsidRPr="009A6A51">
        <w:rPr>
          <w:rFonts w:ascii="Georgia" w:hAnsi="Georgia" w:cs="Arial"/>
          <w:sz w:val="24"/>
          <w:szCs w:val="24"/>
        </w:rPr>
        <w:t xml:space="preserve">, entonces, </w:t>
      </w:r>
      <w:r w:rsidR="00D01344" w:rsidRPr="009A6A51">
        <w:rPr>
          <w:rFonts w:ascii="Georgia" w:hAnsi="Georgia" w:cs="Arial"/>
          <w:sz w:val="24"/>
          <w:szCs w:val="24"/>
        </w:rPr>
        <w:t>era improcedente aplicar el desistimiento tácito del artículo 317-1°, CGP (Ibidem, pdf No.47).</w:t>
      </w:r>
    </w:p>
    <w:p w14:paraId="4338806B" w14:textId="59198D9F" w:rsidR="00E84523" w:rsidRPr="009A6A51" w:rsidRDefault="00E84523" w:rsidP="00315D8B">
      <w:pPr>
        <w:pStyle w:val="Sinespaciado"/>
        <w:spacing w:line="276" w:lineRule="auto"/>
        <w:jc w:val="both"/>
        <w:rPr>
          <w:rFonts w:ascii="Georgia" w:hAnsi="Georgia" w:cs="Arial"/>
          <w:sz w:val="24"/>
          <w:szCs w:val="24"/>
        </w:rPr>
      </w:pPr>
    </w:p>
    <w:p w14:paraId="092BDBF9" w14:textId="375E14E4" w:rsidR="00F6743C" w:rsidRPr="009A6A51" w:rsidRDefault="00F6743C" w:rsidP="00315D8B">
      <w:pPr>
        <w:pStyle w:val="Sinespaciado"/>
        <w:numPr>
          <w:ilvl w:val="0"/>
          <w:numId w:val="6"/>
        </w:numPr>
        <w:autoSpaceDN w:val="0"/>
        <w:spacing w:line="276" w:lineRule="auto"/>
        <w:jc w:val="both"/>
        <w:rPr>
          <w:rFonts w:ascii="Georgia" w:hAnsi="Georgia" w:cs="Arial"/>
          <w:b/>
          <w:bCs/>
          <w:smallCaps/>
          <w:sz w:val="24"/>
          <w:szCs w:val="24"/>
        </w:rPr>
      </w:pPr>
      <w:r w:rsidRPr="009A6A51">
        <w:rPr>
          <w:rFonts w:ascii="Georgia" w:hAnsi="Georgia" w:cs="Arial"/>
          <w:b/>
          <w:bCs/>
          <w:smallCaps/>
          <w:sz w:val="24"/>
          <w:szCs w:val="24"/>
        </w:rPr>
        <w:t>La sinopsis de las réplicas</w:t>
      </w:r>
    </w:p>
    <w:p w14:paraId="16D2A60B" w14:textId="4B55A941" w:rsidR="00F6743C" w:rsidRPr="009A6A51" w:rsidRDefault="00F6743C" w:rsidP="00315D8B">
      <w:pPr>
        <w:pStyle w:val="Sinespaciado"/>
        <w:spacing w:line="276" w:lineRule="auto"/>
        <w:jc w:val="both"/>
        <w:rPr>
          <w:rFonts w:ascii="Georgia" w:hAnsi="Georgia" w:cs="Arial"/>
          <w:sz w:val="24"/>
          <w:szCs w:val="24"/>
        </w:rPr>
      </w:pPr>
    </w:p>
    <w:p w14:paraId="304B0C43" w14:textId="39FECC54" w:rsidR="00F6743C" w:rsidRPr="009A6A51" w:rsidRDefault="00F6743C" w:rsidP="00315D8B">
      <w:pPr>
        <w:pStyle w:val="Sinespaciado"/>
        <w:spacing w:line="276" w:lineRule="auto"/>
        <w:jc w:val="both"/>
        <w:rPr>
          <w:rFonts w:ascii="Georgia" w:hAnsi="Georgia" w:cs="Arial"/>
          <w:sz w:val="24"/>
          <w:szCs w:val="24"/>
        </w:rPr>
      </w:pPr>
      <w:r w:rsidRPr="009A6A51">
        <w:rPr>
          <w:rFonts w:ascii="Georgia" w:hAnsi="Georgia" w:cs="Arial"/>
          <w:sz w:val="24"/>
          <w:szCs w:val="24"/>
        </w:rPr>
        <w:t>Los apoderados judiciales de Porvenir SA y Protección SA (Ibidem, pdf No.43), así como, el Instituto Colombiano de Bienestar Familiar – ICBF- (Ibidem, pdf No.56), coadyu</w:t>
      </w:r>
      <w:r w:rsidR="00B233CD" w:rsidRPr="009A6A51">
        <w:rPr>
          <w:rFonts w:ascii="Georgia" w:hAnsi="Georgia" w:cs="Arial"/>
          <w:sz w:val="24"/>
          <w:szCs w:val="24"/>
        </w:rPr>
        <w:t>v</w:t>
      </w:r>
      <w:r w:rsidRPr="009A6A51">
        <w:rPr>
          <w:rFonts w:ascii="Georgia" w:hAnsi="Georgia" w:cs="Arial"/>
          <w:sz w:val="24"/>
          <w:szCs w:val="24"/>
        </w:rPr>
        <w:t xml:space="preserve">aron, los primeros la reposición </w:t>
      </w:r>
      <w:r w:rsidR="00990E59" w:rsidRPr="009A6A51">
        <w:rPr>
          <w:rFonts w:ascii="Georgia" w:hAnsi="Georgia" w:cs="Arial"/>
          <w:sz w:val="24"/>
          <w:szCs w:val="24"/>
        </w:rPr>
        <w:t xml:space="preserve">de </w:t>
      </w:r>
      <w:r w:rsidRPr="009A6A51">
        <w:rPr>
          <w:rFonts w:ascii="Georgia" w:hAnsi="Georgia" w:cs="Arial"/>
          <w:sz w:val="24"/>
          <w:szCs w:val="24"/>
        </w:rPr>
        <w:t>CISA y el último</w:t>
      </w:r>
      <w:r w:rsidR="00990E59" w:rsidRPr="009A6A51">
        <w:rPr>
          <w:rFonts w:ascii="Georgia" w:hAnsi="Georgia" w:cs="Arial"/>
          <w:sz w:val="24"/>
          <w:szCs w:val="24"/>
        </w:rPr>
        <w:t>,</w:t>
      </w:r>
      <w:r w:rsidRPr="009A6A51">
        <w:rPr>
          <w:rFonts w:ascii="Georgia" w:hAnsi="Georgia" w:cs="Arial"/>
          <w:sz w:val="24"/>
          <w:szCs w:val="24"/>
        </w:rPr>
        <w:t xml:space="preserve"> la presentada por UNE EPM Telecomunicaciones.</w:t>
      </w:r>
    </w:p>
    <w:p w14:paraId="5CC8FF9B" w14:textId="77777777" w:rsidR="00F6743C" w:rsidRPr="009A6A51" w:rsidRDefault="00F6743C" w:rsidP="00315D8B">
      <w:pPr>
        <w:pStyle w:val="Sinespaciado"/>
        <w:spacing w:line="276" w:lineRule="auto"/>
        <w:jc w:val="both"/>
        <w:rPr>
          <w:rFonts w:ascii="Georgia" w:hAnsi="Georgia" w:cs="Arial"/>
          <w:sz w:val="24"/>
          <w:szCs w:val="24"/>
        </w:rPr>
      </w:pPr>
    </w:p>
    <w:p w14:paraId="10FA70A1" w14:textId="56CA68D2" w:rsidR="4984A9C7" w:rsidRPr="009A6A51" w:rsidRDefault="4984A9C7" w:rsidP="00315D8B">
      <w:pPr>
        <w:pStyle w:val="Sinespaciado"/>
        <w:numPr>
          <w:ilvl w:val="0"/>
          <w:numId w:val="6"/>
        </w:numPr>
        <w:spacing w:line="276" w:lineRule="auto"/>
        <w:jc w:val="both"/>
        <w:rPr>
          <w:rFonts w:ascii="Georgia" w:eastAsia="Georgia" w:hAnsi="Georgia" w:cs="Georgia"/>
          <w:b/>
          <w:bCs/>
          <w:smallCaps/>
          <w:sz w:val="24"/>
          <w:szCs w:val="24"/>
        </w:rPr>
      </w:pPr>
      <w:r w:rsidRPr="009A6A51">
        <w:rPr>
          <w:rFonts w:ascii="Georgia" w:hAnsi="Georgia"/>
          <w:b/>
          <w:bCs/>
          <w:smallCaps/>
          <w:sz w:val="24"/>
          <w:szCs w:val="24"/>
        </w:rPr>
        <w:t>Las estimaciones jurídicas para decidir</w:t>
      </w:r>
    </w:p>
    <w:p w14:paraId="3C596E6D" w14:textId="77777777" w:rsidR="00A640EB" w:rsidRPr="009A6A51" w:rsidRDefault="00A640EB" w:rsidP="00315D8B">
      <w:pPr>
        <w:pStyle w:val="Sinespaciado"/>
        <w:spacing w:line="276" w:lineRule="auto"/>
        <w:jc w:val="both"/>
        <w:rPr>
          <w:rFonts w:ascii="Georgia" w:hAnsi="Georgia"/>
          <w:sz w:val="24"/>
          <w:szCs w:val="24"/>
        </w:rPr>
      </w:pPr>
    </w:p>
    <w:p w14:paraId="4DEE2CEE" w14:textId="24B600FE" w:rsidR="009F7B8B" w:rsidRPr="009A6A51" w:rsidRDefault="009F7B8B" w:rsidP="00315D8B">
      <w:pPr>
        <w:pStyle w:val="Textopredeterminado"/>
        <w:numPr>
          <w:ilvl w:val="1"/>
          <w:numId w:val="6"/>
        </w:numPr>
        <w:spacing w:line="276" w:lineRule="auto"/>
        <w:jc w:val="both"/>
        <w:rPr>
          <w:rFonts w:ascii="Georgia" w:hAnsi="Georgia" w:cs="Arial"/>
          <w:color w:val="auto"/>
          <w:szCs w:val="24"/>
          <w:lang w:val="es-MX"/>
        </w:rPr>
      </w:pPr>
      <w:r w:rsidRPr="009A6A51">
        <w:rPr>
          <w:rFonts w:ascii="Georgia" w:hAnsi="Georgia" w:cs="Arial"/>
          <w:i/>
          <w:iCs/>
          <w:smallCaps/>
          <w:color w:val="auto"/>
          <w:szCs w:val="24"/>
        </w:rPr>
        <w:t>La competencia funcional</w:t>
      </w:r>
      <w:r w:rsidR="008742DA" w:rsidRPr="009A6A51">
        <w:rPr>
          <w:rFonts w:ascii="Georgia" w:hAnsi="Georgia" w:cs="Arial"/>
          <w:b/>
          <w:bCs/>
          <w:i/>
          <w:iCs/>
          <w:smallCaps/>
          <w:color w:val="auto"/>
          <w:szCs w:val="24"/>
        </w:rPr>
        <w:t xml:space="preserve">. </w:t>
      </w:r>
      <w:r w:rsidR="008742DA" w:rsidRPr="009A6A51">
        <w:rPr>
          <w:rFonts w:ascii="Georgia" w:hAnsi="Georgia" w:cs="Arial"/>
          <w:color w:val="auto"/>
          <w:szCs w:val="24"/>
        </w:rPr>
        <w:t>La tiene esta Sala, por ser la superiora jerárquica del Despacho cognoscente</w:t>
      </w:r>
      <w:r w:rsidRPr="009A6A51">
        <w:rPr>
          <w:rFonts w:ascii="Georgia" w:hAnsi="Georgia" w:cs="Arial"/>
          <w:color w:val="auto"/>
          <w:szCs w:val="24"/>
        </w:rPr>
        <w:t xml:space="preserve"> (Art</w:t>
      </w:r>
      <w:r w:rsidR="008742DA" w:rsidRPr="009A6A51">
        <w:rPr>
          <w:rFonts w:ascii="Georgia" w:hAnsi="Georgia" w:cs="Arial"/>
          <w:color w:val="auto"/>
          <w:szCs w:val="24"/>
        </w:rPr>
        <w:t>s.</w:t>
      </w:r>
      <w:r w:rsidRPr="009A6A51">
        <w:rPr>
          <w:rFonts w:ascii="Georgia" w:hAnsi="Georgia" w:cs="Arial"/>
          <w:color w:val="auto"/>
          <w:szCs w:val="24"/>
        </w:rPr>
        <w:t>31-1º y 35, CGP)</w:t>
      </w:r>
      <w:r w:rsidRPr="009A6A51">
        <w:rPr>
          <w:rFonts w:ascii="Georgia" w:hAnsi="Georgia" w:cs="Arial"/>
          <w:color w:val="auto"/>
          <w:szCs w:val="24"/>
          <w:lang w:val="es-MX"/>
        </w:rPr>
        <w:t>.</w:t>
      </w:r>
    </w:p>
    <w:p w14:paraId="453E7E6D" w14:textId="77777777" w:rsidR="00A640EB" w:rsidRPr="009A6A51" w:rsidRDefault="00A640EB" w:rsidP="00315D8B">
      <w:pPr>
        <w:pStyle w:val="Textopredeterminado"/>
        <w:spacing w:line="276" w:lineRule="auto"/>
        <w:jc w:val="both"/>
        <w:textAlignment w:val="auto"/>
        <w:rPr>
          <w:rFonts w:ascii="Georgia" w:hAnsi="Georgia" w:cs="Arial"/>
          <w:color w:val="auto"/>
          <w:szCs w:val="24"/>
        </w:rPr>
      </w:pPr>
    </w:p>
    <w:p w14:paraId="0984FEE2" w14:textId="3E1B2602" w:rsidR="00026ADC" w:rsidRPr="009A6A51" w:rsidRDefault="00046468" w:rsidP="00315D8B">
      <w:pPr>
        <w:pStyle w:val="Textopredeterminado"/>
        <w:numPr>
          <w:ilvl w:val="1"/>
          <w:numId w:val="6"/>
        </w:numPr>
        <w:spacing w:line="276" w:lineRule="auto"/>
        <w:jc w:val="both"/>
        <w:textAlignment w:val="auto"/>
        <w:rPr>
          <w:rFonts w:ascii="Georgia" w:hAnsi="Georgia" w:cs="Arial"/>
          <w:color w:val="auto"/>
          <w:szCs w:val="24"/>
        </w:rPr>
      </w:pPr>
      <w:r w:rsidRPr="009A6A51">
        <w:rPr>
          <w:rFonts w:ascii="Georgia" w:hAnsi="Georgia" w:cs="Arial"/>
          <w:i/>
          <w:iCs/>
          <w:smallCaps/>
          <w:color w:val="auto"/>
          <w:szCs w:val="24"/>
        </w:rPr>
        <w:t>Los requisitos de viabilidad de un recurso</w:t>
      </w:r>
      <w:r w:rsidRPr="009A6A51">
        <w:rPr>
          <w:rFonts w:ascii="Georgia" w:hAnsi="Georgia" w:cs="Arial"/>
          <w:smallCaps/>
          <w:color w:val="auto"/>
          <w:szCs w:val="24"/>
        </w:rPr>
        <w:t xml:space="preserve">. </w:t>
      </w:r>
      <w:r w:rsidR="00026ADC" w:rsidRPr="009A6A51">
        <w:rPr>
          <w:rFonts w:ascii="Georgia" w:hAnsi="Georgia" w:cs="Arial"/>
          <w:color w:val="auto"/>
          <w:spacing w:val="-3"/>
          <w:szCs w:val="24"/>
        </w:rPr>
        <w:t>D</w:t>
      </w:r>
      <w:r w:rsidR="00026ADC" w:rsidRPr="009A6A51">
        <w:rPr>
          <w:rFonts w:ascii="Georgia" w:hAnsi="Georgia" w:cs="Arial"/>
          <w:color w:val="auto"/>
          <w:szCs w:val="24"/>
        </w:rPr>
        <w:t>esde la óptica procesal, en presencia de los recursos, deben siempre concurrir los llamados presupuestos de viabilidad, trámite</w:t>
      </w:r>
      <w:r w:rsidR="00026ADC" w:rsidRPr="009A6A51">
        <w:rPr>
          <w:rStyle w:val="Refdenotaalpie"/>
          <w:rFonts w:ascii="Georgia" w:hAnsi="Georgia"/>
          <w:color w:val="auto"/>
          <w:szCs w:val="24"/>
        </w:rPr>
        <w:footnoteReference w:id="1"/>
      </w:r>
      <w:r w:rsidR="00026ADC" w:rsidRPr="009A6A51">
        <w:rPr>
          <w:rFonts w:ascii="Georgia" w:hAnsi="Georgia" w:cs="Arial"/>
          <w:color w:val="auto"/>
          <w:szCs w:val="24"/>
        </w:rPr>
        <w:t xml:space="preserve">, o </w:t>
      </w:r>
      <w:r w:rsidR="00026ADC" w:rsidRPr="009A6A51">
        <w:rPr>
          <w:rFonts w:ascii="Georgia" w:hAnsi="Georgia" w:cs="Arial"/>
          <w:i/>
          <w:iCs/>
          <w:color w:val="auto"/>
          <w:szCs w:val="24"/>
        </w:rPr>
        <w:t>condiciones para tener la posibilidad de recurrir</w:t>
      </w:r>
      <w:r w:rsidR="00026ADC" w:rsidRPr="009A6A51">
        <w:rPr>
          <w:rStyle w:val="Refdenotaalpie"/>
          <w:rFonts w:ascii="Georgia" w:hAnsi="Georgia"/>
          <w:i/>
          <w:iCs/>
          <w:color w:val="auto"/>
          <w:szCs w:val="24"/>
        </w:rPr>
        <w:footnoteReference w:id="2"/>
      </w:r>
      <w:r w:rsidR="00026ADC" w:rsidRPr="009A6A51">
        <w:rPr>
          <w:rFonts w:ascii="Georgia" w:hAnsi="Georgia" w:cs="Arial"/>
          <w:color w:val="auto"/>
          <w:szCs w:val="24"/>
        </w:rPr>
        <w:t>, al decir de la doctrina procesal nacional</w:t>
      </w:r>
      <w:r w:rsidR="00026ADC" w:rsidRPr="009A6A51">
        <w:rPr>
          <w:rFonts w:ascii="Georgia" w:hAnsi="Georgia" w:cs="Arial"/>
          <w:color w:val="auto"/>
          <w:szCs w:val="24"/>
          <w:vertAlign w:val="superscript"/>
        </w:rPr>
        <w:footnoteReference w:id="3"/>
      </w:r>
      <w:r w:rsidR="00026ADC" w:rsidRPr="009A6A51">
        <w:rPr>
          <w:rFonts w:ascii="Georgia" w:hAnsi="Georgia" w:cs="Arial"/>
          <w:color w:val="auto"/>
          <w:szCs w:val="24"/>
          <w:vertAlign w:val="superscript"/>
        </w:rPr>
        <w:t>-</w:t>
      </w:r>
      <w:r w:rsidR="00026ADC" w:rsidRPr="009A6A51">
        <w:rPr>
          <w:rFonts w:ascii="Georgia" w:hAnsi="Georgia" w:cs="Arial"/>
          <w:color w:val="auto"/>
          <w:szCs w:val="24"/>
          <w:vertAlign w:val="superscript"/>
        </w:rPr>
        <w:footnoteReference w:id="4"/>
      </w:r>
      <w:r w:rsidR="00026ADC" w:rsidRPr="009A6A51">
        <w:rPr>
          <w:rFonts w:ascii="Georgia" w:hAnsi="Georgia" w:cs="Arial"/>
          <w:color w:val="auto"/>
          <w:szCs w:val="24"/>
        </w:rPr>
        <w:t>, a efectos de examinar el tema de apelación.</w:t>
      </w:r>
    </w:p>
    <w:p w14:paraId="4E32CB10" w14:textId="77777777" w:rsidR="00026ADC" w:rsidRPr="009A6A51" w:rsidRDefault="00026ADC" w:rsidP="00315D8B">
      <w:pPr>
        <w:pStyle w:val="Prrafodelista"/>
        <w:spacing w:line="276" w:lineRule="auto"/>
        <w:rPr>
          <w:rFonts w:ascii="Georgia" w:hAnsi="Georgia" w:cs="Arial"/>
        </w:rPr>
      </w:pPr>
    </w:p>
    <w:p w14:paraId="60F72602" w14:textId="5546FECF" w:rsidR="00D01344" w:rsidRPr="009A6A51" w:rsidRDefault="00D01344" w:rsidP="00315D8B">
      <w:pPr>
        <w:pStyle w:val="Textopredeterminado"/>
        <w:spacing w:line="276" w:lineRule="auto"/>
        <w:ind w:left="708"/>
        <w:jc w:val="both"/>
        <w:rPr>
          <w:rFonts w:ascii="Georgia" w:hAnsi="Georgia" w:cs="Arial"/>
          <w:color w:val="auto"/>
          <w:szCs w:val="24"/>
        </w:rPr>
      </w:pPr>
      <w:r w:rsidRPr="009A6A51">
        <w:rPr>
          <w:rFonts w:ascii="Georgia" w:hAnsi="Georgia" w:cs="Arial"/>
          <w:color w:val="auto"/>
          <w:szCs w:val="24"/>
        </w:rPr>
        <w:t>Son una serie de exigencias normativas formales que permiten su trámite y aseguran su decisión.  Anota el maestro López B.: “</w:t>
      </w:r>
      <w:r w:rsidRPr="009A6A51">
        <w:rPr>
          <w:rFonts w:ascii="Georgia" w:hAnsi="Georgia" w:cs="Arial"/>
          <w:i/>
          <w:iCs/>
          <w:color w:val="auto"/>
          <w:szCs w:val="24"/>
        </w:rPr>
        <w:t>En todo caso sin estar reunidos los requisitos de viabilidad del recurso jamás se podrá tener éxito en el mismo por constituir un precedente necesario para decidirlo.</w:t>
      </w:r>
      <w:r w:rsidRPr="009A6A51">
        <w:rPr>
          <w:rFonts w:ascii="Georgia" w:hAnsi="Georgia" w:cs="Arial"/>
          <w:color w:val="auto"/>
          <w:szCs w:val="24"/>
        </w:rPr>
        <w:t>”</w:t>
      </w:r>
      <w:r w:rsidRPr="009A6A51">
        <w:rPr>
          <w:rFonts w:ascii="Georgia" w:hAnsi="Georgia" w:cs="Arial"/>
          <w:color w:val="auto"/>
          <w:szCs w:val="24"/>
          <w:vertAlign w:val="superscript"/>
        </w:rPr>
        <w:footnoteReference w:id="5"/>
      </w:r>
      <w:r w:rsidRPr="009A6A51">
        <w:rPr>
          <w:rFonts w:ascii="Georgia" w:hAnsi="Georgia" w:cs="Arial"/>
          <w:color w:val="auto"/>
          <w:szCs w:val="24"/>
        </w:rPr>
        <w:t>.  Y explica el profesor Rojas G. en su obra: “</w:t>
      </w:r>
      <w:r w:rsidRPr="009A6A51">
        <w:rPr>
          <w:rFonts w:ascii="Georgia" w:hAnsi="Georgia" w:cs="Arial"/>
          <w:i/>
          <w:iCs/>
          <w:color w:val="auto"/>
          <w:szCs w:val="24"/>
        </w:rPr>
        <w:t>(…) para que la impugnación pueda ser tramitada hasta establecer si debe prosperar han de cumplirse unos precisos requisitos.  En ausencia de ellos no debe dársele curso a la impugnación, o el trámite queda trunco, si ya se inició.</w:t>
      </w:r>
      <w:r w:rsidRPr="009A6A51">
        <w:rPr>
          <w:rFonts w:ascii="Georgia" w:hAnsi="Georgia" w:cs="Arial"/>
          <w:color w:val="auto"/>
          <w:szCs w:val="24"/>
        </w:rPr>
        <w:t>”</w:t>
      </w:r>
      <w:r w:rsidRPr="009A6A51">
        <w:rPr>
          <w:rStyle w:val="Refdenotaalpie"/>
          <w:rFonts w:ascii="Georgia" w:hAnsi="Georgia" w:cs="Arial"/>
          <w:color w:val="auto"/>
          <w:szCs w:val="24"/>
        </w:rPr>
        <w:t xml:space="preserve"> </w:t>
      </w:r>
      <w:r w:rsidRPr="009A6A51">
        <w:rPr>
          <w:rStyle w:val="Refdenotaalpie"/>
          <w:rFonts w:ascii="Georgia" w:hAnsi="Georgia" w:cs="Arial"/>
          <w:color w:val="auto"/>
          <w:szCs w:val="24"/>
        </w:rPr>
        <w:footnoteReference w:id="6"/>
      </w:r>
      <w:r w:rsidRPr="009A6A51">
        <w:rPr>
          <w:rFonts w:ascii="Georgia" w:hAnsi="Georgia" w:cs="Arial"/>
          <w:color w:val="auto"/>
          <w:szCs w:val="24"/>
        </w:rPr>
        <w:t>. En el mismo sentido los profesores Sanabria Santos (2021)</w:t>
      </w:r>
      <w:r w:rsidRPr="009A6A51">
        <w:rPr>
          <w:rStyle w:val="Refdenotaalpie"/>
          <w:rFonts w:ascii="Georgia" w:hAnsi="Georgia"/>
          <w:color w:val="auto"/>
          <w:szCs w:val="24"/>
        </w:rPr>
        <w:footnoteReference w:id="7"/>
      </w:r>
      <w:r w:rsidRPr="009A6A51">
        <w:rPr>
          <w:rFonts w:ascii="Georgia" w:hAnsi="Georgia" w:cs="Arial"/>
          <w:color w:val="auto"/>
          <w:szCs w:val="24"/>
        </w:rPr>
        <w:t xml:space="preserve"> y Parra Benítez (2021)</w:t>
      </w:r>
      <w:r w:rsidRPr="009A6A51">
        <w:rPr>
          <w:rStyle w:val="Refdenotaalpie"/>
          <w:rFonts w:ascii="Georgia" w:hAnsi="Georgia"/>
          <w:color w:val="auto"/>
          <w:szCs w:val="24"/>
        </w:rPr>
        <w:footnoteReference w:id="8"/>
      </w:r>
      <w:r w:rsidRPr="009A6A51">
        <w:rPr>
          <w:rFonts w:ascii="Georgia" w:hAnsi="Georgia" w:cs="Arial"/>
          <w:color w:val="auto"/>
          <w:szCs w:val="24"/>
        </w:rPr>
        <w:t>.</w:t>
      </w:r>
    </w:p>
    <w:p w14:paraId="1FAA3021" w14:textId="77777777" w:rsidR="00990E59" w:rsidRPr="009A6A51" w:rsidRDefault="00990E59" w:rsidP="00315D8B">
      <w:pPr>
        <w:pStyle w:val="Textopredeterminado"/>
        <w:spacing w:line="276" w:lineRule="auto"/>
        <w:ind w:left="708"/>
        <w:jc w:val="both"/>
        <w:rPr>
          <w:rFonts w:ascii="Georgia" w:hAnsi="Georgia" w:cs="Arial"/>
          <w:color w:val="auto"/>
          <w:szCs w:val="24"/>
        </w:rPr>
      </w:pPr>
    </w:p>
    <w:p w14:paraId="574BDD77" w14:textId="77777777" w:rsidR="00D01344" w:rsidRPr="009A6A51" w:rsidRDefault="00D01344" w:rsidP="00315D8B">
      <w:pPr>
        <w:pStyle w:val="Sinespaciado"/>
        <w:spacing w:line="276" w:lineRule="auto"/>
        <w:ind w:left="708"/>
        <w:jc w:val="both"/>
        <w:rPr>
          <w:rFonts w:ascii="Georgia" w:hAnsi="Georgia" w:cs="Arial"/>
          <w:sz w:val="24"/>
          <w:szCs w:val="24"/>
          <w:shd w:val="clear" w:color="auto" w:fill="FFFFFF"/>
          <w:lang w:val="es-CO"/>
        </w:rPr>
      </w:pPr>
      <w:r w:rsidRPr="009A6A51">
        <w:rPr>
          <w:rFonts w:ascii="Georgia" w:hAnsi="Georgia" w:cs="Arial"/>
          <w:sz w:val="24"/>
          <w:szCs w:val="24"/>
          <w:lang w:val="es-CO"/>
        </w:rPr>
        <w:t>Tales presupuestos son concurrentes y necesarios, ausente uno se malogra el estudio de la impugnación. La misma CSJ así lo ha enseñado: “</w:t>
      </w:r>
      <w:r w:rsidRPr="009A6A51">
        <w:rPr>
          <w:rFonts w:ascii="Georgia" w:hAnsi="Georgia" w:cs="Arial"/>
          <w:i/>
          <w:sz w:val="24"/>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9A6A51">
        <w:rPr>
          <w:rFonts w:ascii="Georgia" w:hAnsi="Georgia" w:cs="Arial"/>
          <w:sz w:val="24"/>
          <w:szCs w:val="24"/>
          <w:lang w:val="es-CO"/>
        </w:rPr>
        <w:t>”</w:t>
      </w:r>
      <w:r w:rsidRPr="009A6A51">
        <w:rPr>
          <w:rStyle w:val="Refdenotaalpie"/>
          <w:rFonts w:ascii="Georgia" w:hAnsi="Georgia"/>
          <w:sz w:val="24"/>
          <w:szCs w:val="24"/>
          <w:lang w:val="es-CO"/>
        </w:rPr>
        <w:footnoteReference w:id="9"/>
      </w:r>
      <w:r w:rsidRPr="009A6A51">
        <w:rPr>
          <w:rFonts w:ascii="Georgia" w:hAnsi="Georgia" w:cs="Arial"/>
          <w:sz w:val="24"/>
          <w:szCs w:val="24"/>
          <w:lang w:val="es-CO"/>
        </w:rPr>
        <w:t>. Y en decisión más próxima (2017)</w:t>
      </w:r>
      <w:r w:rsidRPr="009A6A51">
        <w:rPr>
          <w:rStyle w:val="Refdenotaalpie"/>
          <w:rFonts w:ascii="Georgia" w:hAnsi="Georgia"/>
          <w:sz w:val="24"/>
          <w:szCs w:val="24"/>
          <w:lang w:val="es-CO"/>
        </w:rPr>
        <w:footnoteReference w:id="10"/>
      </w:r>
      <w:r w:rsidRPr="009A6A51">
        <w:rPr>
          <w:rFonts w:ascii="Georgia" w:hAnsi="Georgia" w:cs="Arial"/>
          <w:sz w:val="24"/>
          <w:szCs w:val="24"/>
          <w:lang w:val="es-CO"/>
        </w:rPr>
        <w:t xml:space="preserve"> recordó: “(…) </w:t>
      </w:r>
      <w:r w:rsidRPr="009A6A51">
        <w:rPr>
          <w:rFonts w:ascii="Georgia" w:hAnsi="Georgia" w:cs="Arial"/>
          <w:i/>
          <w:spacing w:val="-4"/>
          <w:sz w:val="24"/>
          <w:szCs w:val="24"/>
          <w:lang w:val="es-CO"/>
        </w:rPr>
        <w:t>Por supuesto que, era facultad del superior realizar el análisis preliminar para la «admisión» de la alzada, y conforme a la regla cuarta del canon 325 del C.G.P.</w:t>
      </w:r>
      <w:r w:rsidRPr="009A6A51">
        <w:rPr>
          <w:rFonts w:ascii="Georgia" w:hAnsi="Georgia" w:cs="Arial"/>
          <w:spacing w:val="-4"/>
          <w:sz w:val="24"/>
          <w:szCs w:val="24"/>
          <w:lang w:val="es-CO"/>
        </w:rPr>
        <w:t xml:space="preserve"> </w:t>
      </w:r>
      <w:r w:rsidRPr="009A6A51">
        <w:rPr>
          <w:rFonts w:ascii="Georgia" w:hAnsi="Georgia" w:cs="Arial"/>
          <w:i/>
          <w:sz w:val="24"/>
          <w:szCs w:val="24"/>
          <w:shd w:val="clear" w:color="auto" w:fill="FFFFFF"/>
          <w:lang w:val="es-CO"/>
        </w:rPr>
        <w:t xml:space="preserve"> (…)”.</w:t>
      </w:r>
    </w:p>
    <w:p w14:paraId="147C03C3" w14:textId="77777777" w:rsidR="00D01344" w:rsidRPr="009A6A51" w:rsidRDefault="00D01344" w:rsidP="00315D8B">
      <w:pPr>
        <w:pStyle w:val="Sinespaciado"/>
        <w:spacing w:line="276" w:lineRule="auto"/>
        <w:jc w:val="both"/>
        <w:rPr>
          <w:rFonts w:ascii="Georgia" w:hAnsi="Georgia"/>
          <w:sz w:val="24"/>
          <w:szCs w:val="24"/>
          <w:shd w:val="clear" w:color="auto" w:fill="FFFFFF"/>
          <w:lang w:val="es-CO"/>
        </w:rPr>
      </w:pPr>
    </w:p>
    <w:p w14:paraId="74A90808" w14:textId="77777777" w:rsidR="00D01344" w:rsidRPr="009A6A51" w:rsidRDefault="00D01344" w:rsidP="00315D8B">
      <w:pPr>
        <w:pStyle w:val="Textopredeterminado"/>
        <w:spacing w:line="276" w:lineRule="auto"/>
        <w:ind w:left="708"/>
        <w:jc w:val="both"/>
        <w:rPr>
          <w:rFonts w:ascii="Georgia" w:hAnsi="Georgia" w:cs="Arial"/>
          <w:color w:val="auto"/>
          <w:szCs w:val="24"/>
        </w:rPr>
      </w:pPr>
      <w:r w:rsidRPr="009A6A51">
        <w:rPr>
          <w:rFonts w:ascii="Georgia" w:hAnsi="Georgia" w:cs="Arial"/>
          <w:color w:val="auto"/>
          <w:szCs w:val="24"/>
        </w:rPr>
        <w:lastRenderedPageBreak/>
        <w:t>Esos supuestos son (i) legitimación, (ii) oportunidad, (iii) procedencia y (iv) cargas procesales (Sustentación, expedición de copias, etc.); los tres primeros implican la inadmisibilidad del recurso mientras que, el cuarto, provoca su deserción, así entiende la literatura procesal nacional</w:t>
      </w:r>
      <w:r w:rsidRPr="009A6A51">
        <w:rPr>
          <w:rStyle w:val="Refdenotaalpie"/>
          <w:rFonts w:ascii="Georgia" w:hAnsi="Georgia"/>
          <w:color w:val="auto"/>
          <w:szCs w:val="24"/>
        </w:rPr>
        <w:footnoteReference w:id="11"/>
      </w:r>
      <w:r w:rsidRPr="009A6A51">
        <w:rPr>
          <w:rFonts w:ascii="Georgia" w:hAnsi="Georgia" w:cs="Arial"/>
          <w:color w:val="auto"/>
          <w:szCs w:val="24"/>
          <w:vertAlign w:val="superscript"/>
        </w:rPr>
        <w:t>-</w:t>
      </w:r>
      <w:r w:rsidRPr="009A6A51">
        <w:rPr>
          <w:rStyle w:val="Refdenotaalpie"/>
          <w:rFonts w:ascii="Georgia" w:hAnsi="Georgia"/>
          <w:color w:val="auto"/>
          <w:szCs w:val="24"/>
        </w:rPr>
        <w:footnoteReference w:id="12"/>
      </w:r>
      <w:r w:rsidRPr="009A6A51">
        <w:rPr>
          <w:rFonts w:ascii="Georgia" w:hAnsi="Georgia" w:cs="Arial"/>
          <w:color w:val="auto"/>
          <w:szCs w:val="24"/>
        </w:rPr>
        <w:t>.</w:t>
      </w:r>
    </w:p>
    <w:p w14:paraId="13A623F4" w14:textId="77777777" w:rsidR="00D01344" w:rsidRPr="009A6A51" w:rsidRDefault="00D01344" w:rsidP="00315D8B">
      <w:pPr>
        <w:pStyle w:val="Sinespaciado"/>
        <w:spacing w:line="276" w:lineRule="auto"/>
        <w:jc w:val="both"/>
        <w:rPr>
          <w:rFonts w:ascii="Georgia" w:hAnsi="Georgia"/>
          <w:sz w:val="24"/>
          <w:szCs w:val="24"/>
          <w:shd w:val="clear" w:color="auto" w:fill="FFFFFF"/>
          <w:lang w:val="es-CO"/>
        </w:rPr>
      </w:pPr>
    </w:p>
    <w:p w14:paraId="67BE03A8" w14:textId="0B401710" w:rsidR="00D01344" w:rsidRPr="009A6A51" w:rsidRDefault="00D01344" w:rsidP="00315D8B">
      <w:pPr>
        <w:pStyle w:val="Textopredeterminado"/>
        <w:spacing w:line="276" w:lineRule="auto"/>
        <w:ind w:left="708"/>
        <w:jc w:val="both"/>
        <w:rPr>
          <w:rFonts w:ascii="Georgia" w:hAnsi="Georgia" w:cs="Arial"/>
          <w:color w:val="auto"/>
          <w:szCs w:val="24"/>
        </w:rPr>
      </w:pPr>
      <w:r w:rsidRPr="009A6A51">
        <w:rPr>
          <w:rFonts w:ascii="Georgia" w:hAnsi="Georgia" w:cs="Arial"/>
          <w:color w:val="auto"/>
          <w:szCs w:val="24"/>
        </w:rPr>
        <w:t xml:space="preserve">En este caso están cumplidos, ya que: (i) </w:t>
      </w:r>
      <w:r w:rsidRPr="009A6A51">
        <w:rPr>
          <w:rFonts w:ascii="Georgia" w:hAnsi="Georgia" w:cs="Arial"/>
          <w:color w:val="auto"/>
          <w:szCs w:val="24"/>
          <w:lang w:val="es-ES"/>
        </w:rPr>
        <w:t xml:space="preserve">La providencia atacada afecta los intereses de los impugnantes; </w:t>
      </w:r>
      <w:r w:rsidRPr="009A6A51">
        <w:rPr>
          <w:rFonts w:ascii="Georgia" w:hAnsi="Georgia" w:cs="Arial"/>
          <w:color w:val="auto"/>
          <w:szCs w:val="24"/>
        </w:rPr>
        <w:t xml:space="preserve">(ii) Fueron interpuestos a tiempo, según el artículo 322-1º, CGP (Carpeta 01PrimeraInstancia, carpeta 01Cdno1, carpeta 14Tomo14, pdf Nos.23-24 y 47-48); (iii) Es procedente </w:t>
      </w:r>
      <w:r w:rsidR="00990E59" w:rsidRPr="009A6A51">
        <w:rPr>
          <w:rFonts w:ascii="Georgia" w:hAnsi="Georgia" w:cs="Arial"/>
          <w:color w:val="auto"/>
          <w:szCs w:val="24"/>
        </w:rPr>
        <w:t xml:space="preserve">por su expresa previsión normativa </w:t>
      </w:r>
      <w:r w:rsidRPr="009A6A51">
        <w:rPr>
          <w:rFonts w:ascii="Georgia" w:hAnsi="Georgia" w:cs="Arial"/>
          <w:color w:val="auto"/>
          <w:szCs w:val="24"/>
        </w:rPr>
        <w:t>(Arts.321-7º y 317-2°, ordinal e), ídem); y, (iv) Se atendió la carga de la sustentación, según el artículo 322-3º, íd. (Carpeta 01PrimeraInstancia, carpeta 01Cdno1, carpeta 14Tomo14, pdf Nos.24 y 48).</w:t>
      </w:r>
    </w:p>
    <w:p w14:paraId="7BC91001" w14:textId="77777777" w:rsidR="00026ADC" w:rsidRPr="009A6A51" w:rsidRDefault="00026ADC" w:rsidP="00315D8B">
      <w:pPr>
        <w:pStyle w:val="Textopredeterminado"/>
        <w:spacing w:line="276" w:lineRule="auto"/>
        <w:ind w:left="720"/>
        <w:jc w:val="both"/>
        <w:textAlignment w:val="auto"/>
        <w:rPr>
          <w:rFonts w:ascii="Georgia" w:hAnsi="Georgia" w:cs="Arial"/>
          <w:color w:val="auto"/>
          <w:szCs w:val="24"/>
        </w:rPr>
      </w:pPr>
    </w:p>
    <w:p w14:paraId="178A4E3A" w14:textId="6A7126D3" w:rsidR="0053086A" w:rsidRPr="009A6A51" w:rsidRDefault="00154732" w:rsidP="00315D8B">
      <w:pPr>
        <w:pStyle w:val="Sinespaciado"/>
        <w:numPr>
          <w:ilvl w:val="1"/>
          <w:numId w:val="6"/>
        </w:numPr>
        <w:spacing w:line="276" w:lineRule="auto"/>
        <w:jc w:val="both"/>
        <w:rPr>
          <w:rFonts w:ascii="Georgia" w:hAnsi="Georgia"/>
          <w:sz w:val="24"/>
          <w:szCs w:val="24"/>
        </w:rPr>
      </w:pPr>
      <w:r w:rsidRPr="009A6A51">
        <w:rPr>
          <w:rFonts w:ascii="Georgia" w:hAnsi="Georgia" w:cs="Arial"/>
          <w:i/>
          <w:iCs/>
          <w:smallCaps/>
          <w:sz w:val="24"/>
          <w:szCs w:val="24"/>
        </w:rPr>
        <w:t xml:space="preserve">El problema jurídico por resolver. </w:t>
      </w:r>
      <w:r w:rsidR="00BF3114" w:rsidRPr="009A6A51">
        <w:rPr>
          <w:rFonts w:ascii="Georgia" w:hAnsi="Georgia"/>
          <w:sz w:val="24"/>
          <w:szCs w:val="24"/>
        </w:rPr>
        <w:t>¿</w:t>
      </w:r>
      <w:r w:rsidR="006A7F66" w:rsidRPr="009A6A51">
        <w:rPr>
          <w:rFonts w:ascii="Georgia" w:hAnsi="Georgia"/>
          <w:sz w:val="24"/>
          <w:szCs w:val="24"/>
        </w:rPr>
        <w:t>Debe</w:t>
      </w:r>
      <w:r w:rsidR="00BF3114" w:rsidRPr="009A6A51">
        <w:rPr>
          <w:rFonts w:ascii="Georgia" w:hAnsi="Georgia"/>
          <w:sz w:val="24"/>
          <w:szCs w:val="24"/>
        </w:rPr>
        <w:t xml:space="preserve"> confirmar</w:t>
      </w:r>
      <w:r w:rsidR="006A7F66" w:rsidRPr="009A6A51">
        <w:rPr>
          <w:rFonts w:ascii="Georgia" w:hAnsi="Georgia"/>
          <w:sz w:val="24"/>
          <w:szCs w:val="24"/>
        </w:rPr>
        <w:t>se</w:t>
      </w:r>
      <w:r w:rsidR="00394B16" w:rsidRPr="009A6A51">
        <w:rPr>
          <w:rFonts w:ascii="Georgia" w:hAnsi="Georgia"/>
          <w:sz w:val="24"/>
          <w:szCs w:val="24"/>
        </w:rPr>
        <w:t>, modificarse</w:t>
      </w:r>
      <w:r w:rsidR="00BF3114" w:rsidRPr="009A6A51">
        <w:rPr>
          <w:rFonts w:ascii="Georgia" w:hAnsi="Georgia"/>
          <w:sz w:val="24"/>
          <w:szCs w:val="24"/>
        </w:rPr>
        <w:t xml:space="preserve"> o revocar</w:t>
      </w:r>
      <w:r w:rsidR="006A7F66" w:rsidRPr="009A6A51">
        <w:rPr>
          <w:rFonts w:ascii="Georgia" w:hAnsi="Georgia"/>
          <w:sz w:val="24"/>
          <w:szCs w:val="24"/>
        </w:rPr>
        <w:t>se</w:t>
      </w:r>
      <w:r w:rsidR="00BF3114" w:rsidRPr="009A6A51">
        <w:rPr>
          <w:rFonts w:ascii="Georgia" w:hAnsi="Georgia"/>
          <w:sz w:val="24"/>
          <w:szCs w:val="24"/>
        </w:rPr>
        <w:t xml:space="preserve"> </w:t>
      </w:r>
      <w:r w:rsidRPr="009A6A51">
        <w:rPr>
          <w:rFonts w:ascii="Georgia" w:hAnsi="Georgia"/>
          <w:sz w:val="24"/>
          <w:szCs w:val="24"/>
        </w:rPr>
        <w:t xml:space="preserve">el </w:t>
      </w:r>
      <w:r w:rsidR="006A7F66" w:rsidRPr="009A6A51">
        <w:rPr>
          <w:rFonts w:ascii="Georgia" w:hAnsi="Georgia"/>
          <w:sz w:val="24"/>
          <w:szCs w:val="24"/>
        </w:rPr>
        <w:t>auto</w:t>
      </w:r>
      <w:r w:rsidR="00BF3114" w:rsidRPr="009A6A51">
        <w:rPr>
          <w:rFonts w:ascii="Georgia" w:hAnsi="Georgia"/>
          <w:sz w:val="24"/>
          <w:szCs w:val="24"/>
        </w:rPr>
        <w:t xml:space="preserve"> </w:t>
      </w:r>
      <w:r w:rsidRPr="009A6A51">
        <w:rPr>
          <w:rFonts w:ascii="Georgia" w:hAnsi="Georgia"/>
          <w:sz w:val="24"/>
          <w:szCs w:val="24"/>
        </w:rPr>
        <w:t>recurrido</w:t>
      </w:r>
      <w:r w:rsidR="004C0530" w:rsidRPr="009A6A51">
        <w:rPr>
          <w:rFonts w:ascii="Georgia" w:hAnsi="Georgia"/>
          <w:sz w:val="24"/>
          <w:szCs w:val="24"/>
        </w:rPr>
        <w:t xml:space="preserve"> y su modificación</w:t>
      </w:r>
      <w:r w:rsidR="00394B16" w:rsidRPr="009A6A51">
        <w:rPr>
          <w:rFonts w:ascii="Georgia" w:hAnsi="Georgia"/>
          <w:sz w:val="24"/>
          <w:szCs w:val="24"/>
        </w:rPr>
        <w:t xml:space="preserve">, a </w:t>
      </w:r>
      <w:r w:rsidR="00506DB0" w:rsidRPr="009A6A51">
        <w:rPr>
          <w:rFonts w:ascii="Georgia" w:hAnsi="Georgia"/>
          <w:sz w:val="24"/>
          <w:szCs w:val="24"/>
        </w:rPr>
        <w:t xml:space="preserve">la </w:t>
      </w:r>
      <w:r w:rsidR="00394B16" w:rsidRPr="009A6A51">
        <w:rPr>
          <w:rFonts w:ascii="Georgia" w:hAnsi="Georgia"/>
          <w:sz w:val="24"/>
          <w:szCs w:val="24"/>
        </w:rPr>
        <w:t>luz de lo argüido por l</w:t>
      </w:r>
      <w:r w:rsidR="004C0530" w:rsidRPr="009A6A51">
        <w:rPr>
          <w:rFonts w:ascii="Georgia" w:hAnsi="Georgia"/>
          <w:sz w:val="24"/>
          <w:szCs w:val="24"/>
        </w:rPr>
        <w:t>os</w:t>
      </w:r>
      <w:r w:rsidR="00394B16" w:rsidRPr="009A6A51">
        <w:rPr>
          <w:rFonts w:ascii="Georgia" w:hAnsi="Georgia"/>
          <w:sz w:val="24"/>
          <w:szCs w:val="24"/>
        </w:rPr>
        <w:t xml:space="preserve"> recurrente</w:t>
      </w:r>
      <w:r w:rsidR="004C0530" w:rsidRPr="009A6A51">
        <w:rPr>
          <w:rFonts w:ascii="Georgia" w:hAnsi="Georgia"/>
          <w:sz w:val="24"/>
          <w:szCs w:val="24"/>
        </w:rPr>
        <w:t>s</w:t>
      </w:r>
      <w:r w:rsidR="0053086A" w:rsidRPr="009A6A51">
        <w:rPr>
          <w:rFonts w:ascii="Georgia" w:hAnsi="Georgia"/>
          <w:sz w:val="24"/>
          <w:szCs w:val="24"/>
        </w:rPr>
        <w:t>?</w:t>
      </w:r>
    </w:p>
    <w:p w14:paraId="5614D9AF" w14:textId="77777777" w:rsidR="0090215E" w:rsidRPr="009A6A51" w:rsidRDefault="0090215E" w:rsidP="00315D8B">
      <w:pPr>
        <w:pStyle w:val="Sinespaciado"/>
        <w:spacing w:line="276" w:lineRule="auto"/>
        <w:jc w:val="both"/>
        <w:rPr>
          <w:rFonts w:ascii="Georgia" w:hAnsi="Georgia"/>
          <w:sz w:val="24"/>
          <w:szCs w:val="24"/>
        </w:rPr>
      </w:pPr>
    </w:p>
    <w:p w14:paraId="679062AB" w14:textId="35FCEAD2" w:rsidR="00154732" w:rsidRPr="009A6A51" w:rsidRDefault="00154732" w:rsidP="00315D8B">
      <w:pPr>
        <w:pStyle w:val="Textopredeterminado"/>
        <w:numPr>
          <w:ilvl w:val="0"/>
          <w:numId w:val="6"/>
        </w:numPr>
        <w:spacing w:line="276" w:lineRule="auto"/>
        <w:jc w:val="both"/>
        <w:rPr>
          <w:rFonts w:ascii="Georgia" w:hAnsi="Georgia" w:cs="Arial"/>
          <w:b/>
          <w:bCs/>
          <w:smallCaps/>
          <w:color w:val="auto"/>
          <w:szCs w:val="24"/>
        </w:rPr>
      </w:pPr>
      <w:r w:rsidRPr="009A6A51">
        <w:rPr>
          <w:rFonts w:ascii="Georgia" w:hAnsi="Georgia" w:cs="Arial"/>
          <w:b/>
          <w:bCs/>
          <w:smallCaps/>
          <w:color w:val="auto"/>
          <w:szCs w:val="24"/>
        </w:rPr>
        <w:t>La resolución del problema jurídico</w:t>
      </w:r>
    </w:p>
    <w:p w14:paraId="2926244C" w14:textId="77777777" w:rsidR="00154732" w:rsidRPr="009A6A51" w:rsidRDefault="00154732" w:rsidP="00315D8B">
      <w:pPr>
        <w:pStyle w:val="Textopredeterminado"/>
        <w:spacing w:line="276" w:lineRule="auto"/>
        <w:jc w:val="both"/>
        <w:rPr>
          <w:rFonts w:ascii="Georgia" w:hAnsi="Georgia" w:cs="Arial"/>
          <w:iCs/>
          <w:smallCaps/>
          <w:color w:val="auto"/>
          <w:szCs w:val="24"/>
        </w:rPr>
      </w:pPr>
    </w:p>
    <w:p w14:paraId="1D33A7E5" w14:textId="13E9F1E3" w:rsidR="00C56D0B" w:rsidRPr="009A6A51" w:rsidRDefault="00154732" w:rsidP="00315D8B">
      <w:pPr>
        <w:pStyle w:val="Prrafodelista"/>
        <w:numPr>
          <w:ilvl w:val="1"/>
          <w:numId w:val="6"/>
        </w:numPr>
        <w:spacing w:line="276" w:lineRule="auto"/>
        <w:jc w:val="both"/>
        <w:rPr>
          <w:rFonts w:ascii="Georgia" w:hAnsi="Georgia" w:cs="Arial"/>
        </w:rPr>
      </w:pPr>
      <w:r w:rsidRPr="009A6A51">
        <w:rPr>
          <w:rFonts w:ascii="Georgia" w:hAnsi="Georgia" w:cs="Arial"/>
          <w:smallCaps/>
        </w:rPr>
        <w:t>Los límites en el ámbito decisional de la alzada</w:t>
      </w:r>
    </w:p>
    <w:p w14:paraId="173BF119" w14:textId="77777777" w:rsidR="00990E59" w:rsidRPr="009A6A51" w:rsidRDefault="00990E59" w:rsidP="00315D8B">
      <w:pPr>
        <w:spacing w:line="276" w:lineRule="auto"/>
        <w:jc w:val="both"/>
        <w:rPr>
          <w:rFonts w:ascii="Georgia" w:hAnsi="Georgia" w:cs="Arial"/>
        </w:rPr>
      </w:pPr>
    </w:p>
    <w:p w14:paraId="7B11DBD1" w14:textId="22F09DEF" w:rsidR="00143CA9" w:rsidRPr="009A6A51" w:rsidRDefault="00143CA9" w:rsidP="00315D8B">
      <w:pPr>
        <w:spacing w:line="276" w:lineRule="auto"/>
        <w:jc w:val="both"/>
        <w:rPr>
          <w:rFonts w:ascii="Georgia" w:hAnsi="Georgia" w:cs="Arial"/>
        </w:rPr>
      </w:pPr>
      <w:r w:rsidRPr="009A6A51">
        <w:rPr>
          <w:rFonts w:ascii="Georgia" w:hAnsi="Georgia" w:cs="Arial"/>
        </w:rPr>
        <w:t xml:space="preserve">En esta sede están definidos por los temas objeto del recurso, es patente aplicación del modelo dispositivo </w:t>
      </w:r>
      <w:r w:rsidR="008E7167" w:rsidRPr="009A6A51">
        <w:rPr>
          <w:rFonts w:ascii="Georgia" w:hAnsi="Georgia" w:cs="Arial"/>
        </w:rPr>
        <w:t>d</w:t>
      </w:r>
      <w:r w:rsidRPr="009A6A51">
        <w:rPr>
          <w:rFonts w:ascii="Georgia" w:hAnsi="Georgia" w:cs="Arial"/>
        </w:rPr>
        <w:t>el proceso civil nacional (Arts.  320 y 328, CGP)</w:t>
      </w:r>
      <w:r w:rsidR="008E7167" w:rsidRPr="009A6A51">
        <w:rPr>
          <w:rFonts w:ascii="Georgia" w:hAnsi="Georgia" w:cs="Arial"/>
        </w:rPr>
        <w:t>;</w:t>
      </w:r>
      <w:r w:rsidRPr="009A6A51">
        <w:rPr>
          <w:rFonts w:ascii="Georgia" w:hAnsi="Georgia" w:cs="Arial"/>
        </w:rPr>
        <w:t xml:space="preserve"> se conoce </w:t>
      </w:r>
      <w:r w:rsidR="008E7167" w:rsidRPr="009A6A51">
        <w:rPr>
          <w:rFonts w:ascii="Georgia" w:hAnsi="Georgia" w:cs="Arial"/>
        </w:rPr>
        <w:t xml:space="preserve">hoy </w:t>
      </w:r>
      <w:r w:rsidRPr="009A6A51">
        <w:rPr>
          <w:rFonts w:ascii="Georgia" w:hAnsi="Georgia" w:cs="Arial"/>
        </w:rPr>
        <w:t xml:space="preserve">como la </w:t>
      </w:r>
      <w:r w:rsidRPr="009A6A51">
        <w:rPr>
          <w:rFonts w:ascii="Georgia" w:hAnsi="Georgia" w:cs="Arial"/>
          <w:i/>
          <w:iCs/>
        </w:rPr>
        <w:t>pretensión impugnaticia</w:t>
      </w:r>
      <w:r w:rsidRPr="009A6A51">
        <w:rPr>
          <w:rStyle w:val="Refdenotaalpie"/>
          <w:rFonts w:ascii="Georgia" w:hAnsi="Georgia"/>
          <w:i/>
          <w:iCs/>
        </w:rPr>
        <w:footnoteReference w:id="13"/>
      </w:r>
      <w:r w:rsidRPr="009A6A51">
        <w:rPr>
          <w:rFonts w:ascii="Georgia" w:hAnsi="Georgia" w:cs="Arial"/>
        </w:rPr>
        <w:t>, novedad de la nueva regulación procedimental del CGP, según la literatura especializada, entre ellos el doctor Forero S.</w:t>
      </w:r>
      <w:r w:rsidRPr="009A6A51">
        <w:rPr>
          <w:rStyle w:val="Refdenotaalpie"/>
          <w:rFonts w:ascii="Georgia" w:hAnsi="Georgia"/>
        </w:rPr>
        <w:footnoteReference w:id="14"/>
      </w:r>
      <w:r w:rsidRPr="009A6A51">
        <w:rPr>
          <w:rFonts w:ascii="Georgia" w:hAnsi="Georgia" w:cs="Arial"/>
        </w:rPr>
        <w:t>. Discrepa el profesor Bejarano G.</w:t>
      </w:r>
      <w:r w:rsidRPr="009A6A51">
        <w:rPr>
          <w:rStyle w:val="Refdenotaalpie"/>
          <w:rFonts w:ascii="Georgia" w:hAnsi="Georgia"/>
        </w:rPr>
        <w:footnoteReference w:id="15"/>
      </w:r>
      <w:r w:rsidRPr="009A6A51">
        <w:rPr>
          <w:rFonts w:ascii="Georgia" w:hAnsi="Georgia" w:cs="Arial"/>
        </w:rPr>
        <w:t>, al entender que contraviene la tutela judicial efectiva, de igual parecer Quintero G.</w:t>
      </w:r>
      <w:r w:rsidRPr="009A6A51">
        <w:rPr>
          <w:rStyle w:val="Refdenotaalpie"/>
          <w:rFonts w:ascii="Georgia" w:hAnsi="Georgia"/>
        </w:rPr>
        <w:footnoteReference w:id="16"/>
      </w:r>
      <w:r w:rsidRPr="009A6A51">
        <w:rPr>
          <w:rFonts w:ascii="Georgia" w:hAnsi="Georgia" w:cs="Arial"/>
        </w:rPr>
        <w:t>, mas esta Magistratura disiente de esas opiniones divergentes, en todo caso minoritarias.</w:t>
      </w:r>
    </w:p>
    <w:p w14:paraId="772AC7CD" w14:textId="77777777" w:rsidR="00143CA9" w:rsidRPr="009A6A51" w:rsidRDefault="00143CA9" w:rsidP="00315D8B">
      <w:pPr>
        <w:spacing w:line="276" w:lineRule="auto"/>
        <w:jc w:val="both"/>
        <w:rPr>
          <w:rFonts w:ascii="Georgia" w:hAnsi="Georgia" w:cs="Arial"/>
          <w:bCs/>
        </w:rPr>
      </w:pPr>
    </w:p>
    <w:p w14:paraId="6039ED9A" w14:textId="77777777" w:rsidR="008C65CD" w:rsidRPr="009A6A51" w:rsidRDefault="008C65CD" w:rsidP="00315D8B">
      <w:pPr>
        <w:pStyle w:val="Textopredeterminado"/>
        <w:spacing w:line="276" w:lineRule="auto"/>
        <w:jc w:val="both"/>
        <w:rPr>
          <w:rFonts w:ascii="Georgia" w:hAnsi="Georgia" w:cs="Arial"/>
          <w:color w:val="auto"/>
          <w:szCs w:val="24"/>
        </w:rPr>
      </w:pPr>
      <w:r w:rsidRPr="009A6A51">
        <w:rPr>
          <w:rFonts w:ascii="Georgia" w:hAnsi="Georgia" w:cs="Arial"/>
          <w:color w:val="auto"/>
          <w:szCs w:val="24"/>
        </w:rPr>
        <w:t>Entiende, de manera pacífica y consistente, esta Colegiatura en múltiples decisiones, por ejemplo, las más recientes: de esta misma Sala y de otra</w:t>
      </w:r>
      <w:r w:rsidRPr="009A6A51">
        <w:rPr>
          <w:rStyle w:val="Refdenotaalpie"/>
          <w:rFonts w:ascii="Georgia" w:hAnsi="Georgia"/>
          <w:color w:val="auto"/>
          <w:szCs w:val="24"/>
        </w:rPr>
        <w:footnoteReference w:id="17"/>
      </w:r>
      <w:r w:rsidRPr="009A6A51">
        <w:rPr>
          <w:rFonts w:ascii="Georgia" w:hAnsi="Georgia" w:cs="Arial"/>
          <w:color w:val="auto"/>
          <w:szCs w:val="24"/>
        </w:rPr>
        <w:t>, la aludida restricción. En la última sentencia mencionada, se prohijó lo argüido por la CSJ en 2017</w:t>
      </w:r>
      <w:r w:rsidRPr="009A6A51">
        <w:rPr>
          <w:rStyle w:val="Refdenotaalpie"/>
          <w:rFonts w:ascii="Georgia" w:hAnsi="Georgia"/>
          <w:color w:val="auto"/>
          <w:szCs w:val="24"/>
        </w:rPr>
        <w:footnoteReference w:id="18"/>
      </w:r>
      <w:r w:rsidRPr="009A6A51">
        <w:rPr>
          <w:rFonts w:ascii="Georgia" w:hAnsi="Georgia" w:cs="Arial"/>
          <w:color w:val="auto"/>
          <w:szCs w:val="24"/>
        </w:rPr>
        <w:t>, eso sí como criterio auxiliar; ya en decisión posterior y más reciente, la CSJ</w:t>
      </w:r>
      <w:r w:rsidRPr="009A6A51">
        <w:rPr>
          <w:rStyle w:val="Refdenotaalpie"/>
          <w:rFonts w:ascii="Georgia" w:hAnsi="Georgia"/>
          <w:color w:val="auto"/>
          <w:szCs w:val="24"/>
        </w:rPr>
        <w:footnoteReference w:id="19"/>
      </w:r>
      <w:r w:rsidRPr="009A6A51">
        <w:rPr>
          <w:rFonts w:ascii="Georgia" w:hAnsi="Georgia" w:cs="Arial"/>
          <w:color w:val="auto"/>
          <w:szCs w:val="24"/>
        </w:rPr>
        <w:t xml:space="preserve"> (2019), reiteró la citada tesis. </w:t>
      </w:r>
      <w:bookmarkStart w:id="4" w:name="_Hlk74124785"/>
      <w:r w:rsidRPr="009A6A51">
        <w:rPr>
          <w:rFonts w:ascii="Georgia" w:hAnsi="Georgia" w:cs="Arial"/>
          <w:color w:val="auto"/>
          <w:szCs w:val="24"/>
        </w:rPr>
        <w:t>Arguye en su obra reciente (2021), el profesor Parra B.</w:t>
      </w:r>
      <w:r w:rsidRPr="009A6A51">
        <w:rPr>
          <w:rStyle w:val="Refdenotaalpie"/>
          <w:rFonts w:ascii="Georgia" w:hAnsi="Georgia"/>
          <w:color w:val="auto"/>
          <w:szCs w:val="24"/>
        </w:rPr>
        <w:footnoteReference w:id="20"/>
      </w:r>
      <w:r w:rsidRPr="009A6A51">
        <w:rPr>
          <w:rFonts w:ascii="Georgia" w:hAnsi="Georgia" w:cs="Arial"/>
          <w:color w:val="auto"/>
          <w:szCs w:val="24"/>
        </w:rPr>
        <w:t xml:space="preserve">:” </w:t>
      </w:r>
      <w:r w:rsidRPr="009A6A51">
        <w:rPr>
          <w:rFonts w:ascii="Georgia" w:hAnsi="Georgia" w:cs="Arial"/>
          <w:i/>
          <w:color w:val="auto"/>
          <w:szCs w:val="24"/>
        </w:rPr>
        <w:t xml:space="preserve">Tiene como propósito </w:t>
      </w:r>
      <w:r w:rsidRPr="009A6A51">
        <w:rPr>
          <w:rFonts w:ascii="Georgia" w:hAnsi="Georgia" w:cs="Arial"/>
          <w:i/>
          <w:color w:val="auto"/>
          <w:szCs w:val="24"/>
        </w:rPr>
        <w:lastRenderedPageBreak/>
        <w:t>esta barrera conjurar que la segunda instancia sea una reedición de la primera y se repita esta innecesariamente. Además, respeta los derechos de la contraparte, pues esta se atiene a la queja concreta.</w:t>
      </w:r>
      <w:r w:rsidRPr="009A6A51">
        <w:rPr>
          <w:rFonts w:ascii="Georgia" w:hAnsi="Georgia" w:cs="Arial"/>
          <w:color w:val="auto"/>
          <w:szCs w:val="24"/>
        </w:rPr>
        <w:t>”.</w:t>
      </w:r>
      <w:bookmarkEnd w:id="4"/>
    </w:p>
    <w:p w14:paraId="295D1120" w14:textId="77777777" w:rsidR="008C65CD" w:rsidRPr="009A6A51" w:rsidRDefault="008C65CD" w:rsidP="00315D8B">
      <w:pPr>
        <w:pStyle w:val="Textopredeterminado"/>
        <w:spacing w:line="276" w:lineRule="auto"/>
        <w:jc w:val="both"/>
        <w:rPr>
          <w:rFonts w:ascii="Georgia" w:hAnsi="Georgia" w:cs="Arial"/>
          <w:color w:val="auto"/>
          <w:szCs w:val="24"/>
        </w:rPr>
      </w:pPr>
    </w:p>
    <w:p w14:paraId="7266CCD7" w14:textId="77777777" w:rsidR="008C65CD" w:rsidRPr="009A6A51" w:rsidRDefault="008C65CD" w:rsidP="00315D8B">
      <w:pPr>
        <w:pStyle w:val="Textopredeterminado"/>
        <w:spacing w:line="276" w:lineRule="auto"/>
        <w:jc w:val="both"/>
        <w:rPr>
          <w:rFonts w:ascii="Georgia" w:hAnsi="Georgia" w:cs="Arial"/>
          <w:color w:val="auto"/>
          <w:szCs w:val="24"/>
        </w:rPr>
      </w:pPr>
      <w:r w:rsidRPr="009A6A51">
        <w:rPr>
          <w:rFonts w:ascii="Georgia" w:hAnsi="Georgia" w:cs="Arial"/>
          <w:bCs/>
          <w:color w:val="auto"/>
          <w:szCs w:val="24"/>
        </w:rPr>
        <w:t xml:space="preserve">Ahora, también son límites para la resolución del caso, el principio de congruencia como regla general </w:t>
      </w:r>
      <w:r w:rsidRPr="009A6A51">
        <w:rPr>
          <w:rFonts w:ascii="Georgia" w:hAnsi="Georgia" w:cs="Arial"/>
          <w:color w:val="auto"/>
          <w:szCs w:val="24"/>
        </w:rPr>
        <w:t>(Art. 281, ibidem)</w:t>
      </w:r>
      <w:r w:rsidRPr="009A6A51">
        <w:rPr>
          <w:rFonts w:ascii="Georgia" w:hAnsi="Georgia" w:cs="Arial"/>
          <w:bCs/>
          <w:color w:val="auto"/>
          <w:szCs w:val="24"/>
        </w:rPr>
        <w:t xml:space="preserve">. Las excepciones, es decir, aquellos temas que son revisables de oficio son los </w:t>
      </w:r>
      <w:r w:rsidRPr="009A6A51">
        <w:rPr>
          <w:rFonts w:ascii="Georgia" w:hAnsi="Georgia" w:cs="Arial"/>
          <w:color w:val="auto"/>
          <w:szCs w:val="24"/>
        </w:rPr>
        <w:t>asuntos de familia y agrarios (Art. 281, parágrafos 1º y 2º, ibidem), las excepciones declarables de oficio (Art. 282, ibidem), los presupuestos procesales</w:t>
      </w:r>
      <w:r w:rsidRPr="009A6A51">
        <w:rPr>
          <w:rStyle w:val="Refdenotaalpie"/>
          <w:rFonts w:ascii="Georgia" w:hAnsi="Georgia"/>
          <w:color w:val="auto"/>
          <w:szCs w:val="24"/>
        </w:rPr>
        <w:footnoteReference w:id="21"/>
      </w:r>
      <w:r w:rsidRPr="009A6A51">
        <w:rPr>
          <w:rFonts w:ascii="Georgia" w:hAnsi="Georgia" w:cs="Arial"/>
          <w:color w:val="auto"/>
          <w:szCs w:val="24"/>
        </w:rPr>
        <w:t xml:space="preserve"> y sustanciales</w:t>
      </w:r>
      <w:r w:rsidRPr="009A6A51">
        <w:rPr>
          <w:rStyle w:val="Refdenotaalpie"/>
          <w:rFonts w:ascii="Georgia" w:hAnsi="Georgia"/>
          <w:color w:val="auto"/>
          <w:szCs w:val="24"/>
        </w:rPr>
        <w:footnoteReference w:id="22"/>
      </w:r>
      <w:r w:rsidRPr="009A6A51">
        <w:rPr>
          <w:rFonts w:ascii="Georgia" w:hAnsi="Georgia" w:cs="Arial"/>
          <w:color w:val="auto"/>
          <w:szCs w:val="24"/>
        </w:rPr>
        <w:t>, las nulidades absolutas (Art. 2º, Ley 50 de 1936), las prestaciones mutuas</w:t>
      </w:r>
      <w:r w:rsidRPr="009A6A51">
        <w:rPr>
          <w:rStyle w:val="Refdenotaalpie"/>
          <w:rFonts w:ascii="Georgia" w:hAnsi="Georgia"/>
          <w:color w:val="auto"/>
          <w:szCs w:val="24"/>
        </w:rPr>
        <w:footnoteReference w:id="23"/>
      </w:r>
      <w:r w:rsidRPr="009A6A51">
        <w:rPr>
          <w:rFonts w:ascii="Georgia" w:hAnsi="Georgia" w:cs="Arial"/>
          <w:color w:val="auto"/>
          <w:szCs w:val="24"/>
        </w:rPr>
        <w:t xml:space="preserve"> y las costas procesales</w:t>
      </w:r>
      <w:r w:rsidRPr="009A6A51">
        <w:rPr>
          <w:rStyle w:val="Refdenotaalpie"/>
          <w:rFonts w:ascii="Georgia" w:hAnsi="Georgia"/>
          <w:color w:val="auto"/>
          <w:szCs w:val="24"/>
        </w:rPr>
        <w:footnoteReference w:id="24"/>
      </w:r>
      <w:r w:rsidRPr="009A6A51">
        <w:rPr>
          <w:rFonts w:ascii="Georgia" w:hAnsi="Georgia" w:cs="Arial"/>
          <w:color w:val="auto"/>
          <w:szCs w:val="24"/>
        </w:rPr>
        <w:t>, entre otros</w:t>
      </w:r>
      <w:r w:rsidRPr="009A6A51">
        <w:rPr>
          <w:rFonts w:ascii="Georgia" w:hAnsi="Georgia" w:cs="Arial"/>
          <w:bCs/>
          <w:color w:val="auto"/>
          <w:szCs w:val="24"/>
        </w:rPr>
        <w:t>. Por último, debe considerarse que es panorámica la competencia cuando ambas partes recurren en lo que les fue desfavorable (Art.328, inciso 2º, CGP).</w:t>
      </w:r>
    </w:p>
    <w:p w14:paraId="5BF7032F" w14:textId="77777777" w:rsidR="00B91725" w:rsidRPr="009A6A51" w:rsidRDefault="00B91725" w:rsidP="00315D8B">
      <w:pPr>
        <w:pStyle w:val="Textopredeterminado"/>
        <w:spacing w:line="276" w:lineRule="auto"/>
        <w:jc w:val="both"/>
        <w:rPr>
          <w:rFonts w:ascii="Georgia" w:hAnsi="Georgia" w:cs="Arial"/>
          <w:color w:val="auto"/>
          <w:szCs w:val="24"/>
        </w:rPr>
      </w:pPr>
    </w:p>
    <w:p w14:paraId="2E421B9C" w14:textId="25FF8929" w:rsidR="00E206BE" w:rsidRPr="009A6A51" w:rsidRDefault="00E206BE" w:rsidP="00315D8B">
      <w:pPr>
        <w:pStyle w:val="Prrafodelista"/>
        <w:numPr>
          <w:ilvl w:val="1"/>
          <w:numId w:val="6"/>
        </w:numPr>
        <w:overflowPunct w:val="0"/>
        <w:autoSpaceDE w:val="0"/>
        <w:autoSpaceDN w:val="0"/>
        <w:adjustRightInd w:val="0"/>
        <w:spacing w:line="276" w:lineRule="auto"/>
        <w:jc w:val="both"/>
        <w:textAlignment w:val="baseline"/>
        <w:rPr>
          <w:rFonts w:ascii="Georgia" w:hAnsi="Georgia" w:cs="Arial"/>
          <w:smallCaps/>
        </w:rPr>
      </w:pPr>
      <w:r w:rsidRPr="009A6A51">
        <w:rPr>
          <w:rFonts w:ascii="Georgia" w:hAnsi="Georgia" w:cs="Arial"/>
          <w:smallCaps/>
        </w:rPr>
        <w:t>El desistimiento tácito en el CGP</w:t>
      </w:r>
    </w:p>
    <w:p w14:paraId="3929FAFA" w14:textId="77777777" w:rsidR="00E206BE" w:rsidRPr="009A6A51" w:rsidRDefault="00E206BE" w:rsidP="00315D8B">
      <w:pPr>
        <w:pStyle w:val="Sinespaciado"/>
        <w:spacing w:line="276" w:lineRule="auto"/>
        <w:jc w:val="both"/>
        <w:rPr>
          <w:rFonts w:ascii="Georgia" w:hAnsi="Georgia" w:cs="Arial"/>
          <w:sz w:val="24"/>
          <w:szCs w:val="24"/>
        </w:rPr>
      </w:pPr>
    </w:p>
    <w:p w14:paraId="77FDC812" w14:textId="7AD48B17" w:rsidR="00E206BE" w:rsidRPr="009A6A51" w:rsidRDefault="00E206BE" w:rsidP="00315D8B">
      <w:pPr>
        <w:pStyle w:val="Sinespaciado"/>
        <w:spacing w:line="276" w:lineRule="auto"/>
        <w:jc w:val="both"/>
        <w:rPr>
          <w:rFonts w:ascii="Georgia" w:hAnsi="Georgia" w:cs="Arial"/>
          <w:sz w:val="24"/>
          <w:szCs w:val="24"/>
        </w:rPr>
      </w:pPr>
      <w:r w:rsidRPr="009A6A51">
        <w:rPr>
          <w:rFonts w:ascii="Georgia" w:hAnsi="Georgia" w:cs="Arial"/>
          <w:sz w:val="24"/>
          <w:szCs w:val="24"/>
        </w:rPr>
        <w:t>La figura se incorporó a nuestro sistema procesal a partir de la Ley 1194, como una forma más,</w:t>
      </w:r>
      <w:r w:rsidR="00154732" w:rsidRPr="009A6A51">
        <w:rPr>
          <w:rFonts w:ascii="Georgia" w:hAnsi="Georgia" w:cs="Arial"/>
          <w:sz w:val="24"/>
          <w:szCs w:val="24"/>
        </w:rPr>
        <w:t xml:space="preserve"> </w:t>
      </w:r>
      <w:r w:rsidRPr="009A6A51">
        <w:rPr>
          <w:rFonts w:ascii="Georgia" w:hAnsi="Georgia" w:cs="Arial"/>
          <w:sz w:val="24"/>
          <w:szCs w:val="24"/>
        </w:rPr>
        <w:t>de terminación anormal de los procesos,</w:t>
      </w:r>
      <w:r w:rsidR="00154732" w:rsidRPr="009A6A51">
        <w:rPr>
          <w:rFonts w:ascii="Georgia" w:hAnsi="Georgia" w:cs="Arial"/>
          <w:sz w:val="24"/>
          <w:szCs w:val="24"/>
        </w:rPr>
        <w:t xml:space="preserve"> opera</w:t>
      </w:r>
      <w:r w:rsidRPr="009A6A51">
        <w:rPr>
          <w:rFonts w:ascii="Georgia" w:hAnsi="Georgia" w:cs="Arial"/>
          <w:sz w:val="24"/>
          <w:szCs w:val="24"/>
        </w:rPr>
        <w:t xml:space="preserve"> de oficio o a petición de parte.</w:t>
      </w:r>
      <w:r w:rsidR="009A1AD9" w:rsidRPr="009A6A51">
        <w:rPr>
          <w:rFonts w:ascii="Georgia" w:hAnsi="Georgia" w:cs="Arial"/>
          <w:sz w:val="24"/>
          <w:szCs w:val="24"/>
        </w:rPr>
        <w:t xml:space="preserve"> </w:t>
      </w:r>
    </w:p>
    <w:p w14:paraId="46E8E1F9" w14:textId="77777777" w:rsidR="009A1AD9" w:rsidRPr="009A6A51" w:rsidRDefault="009A1AD9" w:rsidP="00315D8B">
      <w:pPr>
        <w:pStyle w:val="Sinespaciado"/>
        <w:spacing w:line="276" w:lineRule="auto"/>
        <w:jc w:val="both"/>
        <w:rPr>
          <w:rFonts w:ascii="Georgia" w:hAnsi="Georgia" w:cs="Arial"/>
          <w:sz w:val="24"/>
          <w:szCs w:val="24"/>
        </w:rPr>
      </w:pPr>
    </w:p>
    <w:p w14:paraId="5DF15712" w14:textId="4553FFEE" w:rsidR="00E206BE" w:rsidRPr="009A6A51" w:rsidRDefault="00E206BE" w:rsidP="00315D8B">
      <w:pPr>
        <w:pStyle w:val="Sinespaciado"/>
        <w:spacing w:line="276" w:lineRule="auto"/>
        <w:jc w:val="both"/>
        <w:rPr>
          <w:rFonts w:ascii="Georgia" w:hAnsi="Georgia" w:cs="Arial"/>
          <w:sz w:val="24"/>
          <w:szCs w:val="24"/>
        </w:rPr>
      </w:pPr>
      <w:r w:rsidRPr="009A6A51">
        <w:rPr>
          <w:rFonts w:ascii="Georgia" w:hAnsi="Georgia" w:cs="Arial"/>
          <w:sz w:val="24"/>
          <w:szCs w:val="24"/>
        </w:rPr>
        <w:t xml:space="preserve">Luego advino la Ley 1564, CGP, y en su artículo 317, consagró de nuevo la institución en comento, pero ahora con otras hipótesis normativas, </w:t>
      </w:r>
      <w:r w:rsidR="48E7C657" w:rsidRPr="009A6A51">
        <w:rPr>
          <w:rFonts w:ascii="Georgia" w:hAnsi="Georgia" w:cs="Arial"/>
          <w:sz w:val="24"/>
          <w:szCs w:val="24"/>
        </w:rPr>
        <w:t xml:space="preserve">se </w:t>
      </w:r>
      <w:r w:rsidRPr="009A6A51">
        <w:rPr>
          <w:rFonts w:ascii="Georgia" w:hAnsi="Georgia" w:cs="Arial"/>
          <w:sz w:val="24"/>
          <w:szCs w:val="24"/>
        </w:rPr>
        <w:t>ampli</w:t>
      </w:r>
      <w:r w:rsidR="1465B1FA" w:rsidRPr="009A6A51">
        <w:rPr>
          <w:rFonts w:ascii="Georgia" w:hAnsi="Georgia" w:cs="Arial"/>
          <w:sz w:val="24"/>
          <w:szCs w:val="24"/>
        </w:rPr>
        <w:t>ó</w:t>
      </w:r>
      <w:r w:rsidRPr="009A6A51">
        <w:rPr>
          <w:rFonts w:ascii="Georgia" w:hAnsi="Georgia" w:cs="Arial"/>
          <w:sz w:val="24"/>
          <w:szCs w:val="24"/>
        </w:rPr>
        <w:t xml:space="preserve"> su espectro de aplicación.</w:t>
      </w:r>
    </w:p>
    <w:p w14:paraId="6E0E5B69" w14:textId="449CB35C" w:rsidR="11721A1B" w:rsidRPr="009A6A51" w:rsidRDefault="11721A1B" w:rsidP="00315D8B">
      <w:pPr>
        <w:pStyle w:val="Sinespaciado"/>
        <w:spacing w:line="276" w:lineRule="auto"/>
        <w:jc w:val="both"/>
        <w:rPr>
          <w:rFonts w:ascii="Georgia" w:hAnsi="Georgia" w:cs="Arial"/>
          <w:sz w:val="24"/>
          <w:szCs w:val="24"/>
        </w:rPr>
      </w:pPr>
    </w:p>
    <w:p w14:paraId="31435F3A" w14:textId="447CF660" w:rsidR="004D6D81" w:rsidRPr="009A6A51" w:rsidRDefault="00E206BE" w:rsidP="00315D8B">
      <w:pPr>
        <w:spacing w:line="276" w:lineRule="auto"/>
        <w:jc w:val="both"/>
        <w:rPr>
          <w:rFonts w:ascii="Georgia" w:hAnsi="Georgia" w:cs="Arial"/>
          <w:i/>
        </w:rPr>
      </w:pPr>
      <w:r w:rsidRPr="009A6A51">
        <w:rPr>
          <w:rFonts w:ascii="Georgia" w:hAnsi="Georgia" w:cs="Arial"/>
        </w:rPr>
        <w:t>Algún sector de la doctrina especializada ha dicho que se trata de la misma perención</w:t>
      </w:r>
      <w:r w:rsidRPr="009A6A51">
        <w:rPr>
          <w:rStyle w:val="Refdenotaalpie"/>
          <w:rFonts w:ascii="Georgia" w:hAnsi="Georgia"/>
        </w:rPr>
        <w:footnoteReference w:id="25"/>
      </w:r>
      <w:r w:rsidRPr="009A6A51">
        <w:rPr>
          <w:rFonts w:ascii="Georgia" w:hAnsi="Georgia" w:cs="Arial"/>
        </w:rPr>
        <w:t xml:space="preserve">, la otrora </w:t>
      </w:r>
      <w:r w:rsidR="00152E12" w:rsidRPr="009A6A51">
        <w:rPr>
          <w:rFonts w:ascii="Georgia" w:hAnsi="Georgia" w:cs="Arial"/>
        </w:rPr>
        <w:t>“</w:t>
      </w:r>
      <w:r w:rsidRPr="009A6A51">
        <w:rPr>
          <w:rFonts w:ascii="Georgia" w:hAnsi="Georgia" w:cs="Arial"/>
          <w:i/>
          <w:iCs/>
        </w:rPr>
        <w:t>caducidad de la instancia</w:t>
      </w:r>
      <w:r w:rsidR="00152E12" w:rsidRPr="009A6A51">
        <w:rPr>
          <w:rFonts w:ascii="Georgia" w:hAnsi="Georgia" w:cs="Arial"/>
        </w:rPr>
        <w:t>”</w:t>
      </w:r>
      <w:r w:rsidRPr="009A6A51">
        <w:rPr>
          <w:rFonts w:ascii="Georgia" w:hAnsi="Georgia" w:cs="Arial"/>
        </w:rPr>
        <w:t xml:space="preserve">, </w:t>
      </w:r>
      <w:r w:rsidR="27741F0A" w:rsidRPr="009A6A51">
        <w:rPr>
          <w:rFonts w:ascii="Georgia" w:hAnsi="Georgia" w:cs="Arial"/>
        </w:rPr>
        <w:t xml:space="preserve">que </w:t>
      </w:r>
      <w:r w:rsidRPr="009A6A51">
        <w:rPr>
          <w:rFonts w:ascii="Georgia" w:hAnsi="Georgia" w:cs="Arial"/>
        </w:rPr>
        <w:t>prev</w:t>
      </w:r>
      <w:r w:rsidR="5680DDE8" w:rsidRPr="009A6A51">
        <w:rPr>
          <w:rFonts w:ascii="Georgia" w:hAnsi="Georgia" w:cs="Arial"/>
        </w:rPr>
        <w:t>eía</w:t>
      </w:r>
      <w:r w:rsidRPr="009A6A51">
        <w:rPr>
          <w:rFonts w:ascii="Georgia" w:hAnsi="Georgia" w:cs="Arial"/>
        </w:rPr>
        <w:t xml:space="preserve"> el artículo 364, Ley 105 de 1931</w:t>
      </w:r>
      <w:r w:rsidR="00C55C73" w:rsidRPr="009A6A51">
        <w:rPr>
          <w:rFonts w:ascii="Georgia" w:hAnsi="Georgia" w:cs="Arial"/>
        </w:rPr>
        <w:t xml:space="preserve"> (Código Judicial)</w:t>
      </w:r>
      <w:r w:rsidRPr="009A6A51">
        <w:rPr>
          <w:rFonts w:ascii="Georgia" w:hAnsi="Georgia" w:cs="Arial"/>
        </w:rPr>
        <w:t xml:space="preserve">, con el siguiente tenor literal: </w:t>
      </w:r>
      <w:r w:rsidRPr="009A6A51">
        <w:rPr>
          <w:rFonts w:ascii="Georgia" w:hAnsi="Georgia" w:cs="Arial"/>
          <w:i/>
          <w:iCs/>
        </w:rPr>
        <w:t xml:space="preserve">“Cuando </w:t>
      </w:r>
      <w:r w:rsidR="008E7167" w:rsidRPr="009A6A51">
        <w:rPr>
          <w:rFonts w:ascii="Georgia" w:hAnsi="Georgia" w:cs="Arial"/>
          <w:i/>
          <w:iCs/>
        </w:rPr>
        <w:t>e</w:t>
      </w:r>
      <w:r w:rsidRPr="009A6A51">
        <w:rPr>
          <w:rFonts w:ascii="Georgia" w:hAnsi="Georgia" w:cs="Arial"/>
          <w:i/>
          <w:iCs/>
        </w:rPr>
        <w:t>l demandante abandone el juicio en la primera instancia, el Juez, si el demandado lo pide, decreta la caducidad de ésta, previo informe del Secretario. Se entiende que ha habido abandono cuando el demandante no ha hecho gestión alguna por escrito en el juicio durante un año, que se cuenta desde la notificación del último auto, o desde el día de la práctica de la última diligencia.  (…)”.</w:t>
      </w:r>
      <w:r w:rsidRPr="009A6A51">
        <w:rPr>
          <w:rFonts w:ascii="Georgia" w:hAnsi="Georgia" w:cs="Arial"/>
        </w:rPr>
        <w:t xml:space="preserve">  Las semejanzas </w:t>
      </w:r>
      <w:r w:rsidR="00C55C73" w:rsidRPr="009A6A51">
        <w:rPr>
          <w:rFonts w:ascii="Georgia" w:hAnsi="Georgia" w:cs="Arial"/>
        </w:rPr>
        <w:t xml:space="preserve">se evidencian con una simple </w:t>
      </w:r>
      <w:r w:rsidRPr="009A6A51">
        <w:rPr>
          <w:rFonts w:ascii="Georgia" w:hAnsi="Georgia" w:cs="Arial"/>
        </w:rPr>
        <w:t>lectura del enunciado.</w:t>
      </w:r>
      <w:r w:rsidR="003E74B8" w:rsidRPr="009A6A51">
        <w:rPr>
          <w:rFonts w:ascii="Georgia" w:hAnsi="Georgia" w:cs="Arial"/>
        </w:rPr>
        <w:t xml:space="preserve"> </w:t>
      </w:r>
      <w:r w:rsidR="009A1AD9" w:rsidRPr="009A6A51">
        <w:rPr>
          <w:rFonts w:ascii="Georgia" w:hAnsi="Georgia" w:cs="Arial"/>
        </w:rPr>
        <w:t xml:space="preserve">En similar sentido expuso </w:t>
      </w:r>
      <w:r w:rsidRPr="009A6A51">
        <w:rPr>
          <w:rFonts w:ascii="Georgia" w:hAnsi="Georgia"/>
        </w:rPr>
        <w:t>la misma CC</w:t>
      </w:r>
      <w:r w:rsidR="004D6D81" w:rsidRPr="009A6A51">
        <w:rPr>
          <w:rStyle w:val="Refdenotaalpie"/>
          <w:rFonts w:ascii="Georgia" w:hAnsi="Georgia"/>
        </w:rPr>
        <w:footnoteReference w:id="26"/>
      </w:r>
      <w:r w:rsidR="009A1AD9" w:rsidRPr="009A6A51">
        <w:rPr>
          <w:rFonts w:ascii="Georgia" w:hAnsi="Georgia"/>
          <w:vertAlign w:val="superscript"/>
        </w:rPr>
        <w:t>-</w:t>
      </w:r>
      <w:r w:rsidR="004D6D81" w:rsidRPr="009A6A51">
        <w:rPr>
          <w:rStyle w:val="Refdenotaalpie"/>
          <w:rFonts w:ascii="Georgia" w:hAnsi="Georgia"/>
          <w:lang w:val="es-CO"/>
        </w:rPr>
        <w:footnoteReference w:id="27"/>
      </w:r>
      <w:r w:rsidRPr="009A6A51">
        <w:rPr>
          <w:rFonts w:ascii="Georgia" w:hAnsi="Georgia" w:cs="Arial"/>
          <w:i/>
        </w:rPr>
        <w:t>.</w:t>
      </w:r>
    </w:p>
    <w:p w14:paraId="00A9030D" w14:textId="77777777" w:rsidR="004D6D81" w:rsidRPr="009A6A51" w:rsidRDefault="004D6D81" w:rsidP="00315D8B">
      <w:pPr>
        <w:spacing w:line="276" w:lineRule="auto"/>
        <w:jc w:val="both"/>
        <w:rPr>
          <w:rFonts w:ascii="Georgia" w:hAnsi="Georgia" w:cs="Arial"/>
        </w:rPr>
      </w:pPr>
    </w:p>
    <w:p w14:paraId="6EE6A811" w14:textId="77777777" w:rsidR="003F7D17" w:rsidRPr="009A6A51" w:rsidRDefault="00E206BE" w:rsidP="00315D8B">
      <w:pPr>
        <w:spacing w:line="276" w:lineRule="auto"/>
        <w:jc w:val="both"/>
        <w:rPr>
          <w:rFonts w:ascii="Georgia" w:hAnsi="Georgia" w:cs="Arial"/>
          <w:lang w:val="es-CO"/>
        </w:rPr>
      </w:pPr>
      <w:r w:rsidRPr="009A6A51">
        <w:rPr>
          <w:rFonts w:ascii="Georgia" w:hAnsi="Georgia" w:cs="Arial"/>
          <w:lang w:val="es-CO"/>
        </w:rPr>
        <w:t>Al revisar la nueva estructura de la regla del CGP, se advierte que son tres (3) las hipótesis normativas que pueden darse para su aplicación, a saber: (i) En el ordinal primero (317-1º</w:t>
      </w:r>
      <w:r w:rsidR="00152E12" w:rsidRPr="009A6A51">
        <w:rPr>
          <w:rFonts w:ascii="Georgia" w:hAnsi="Georgia" w:cs="Arial"/>
          <w:lang w:val="es-CO"/>
        </w:rPr>
        <w:t>)</w:t>
      </w:r>
      <w:r w:rsidRPr="009A6A51">
        <w:rPr>
          <w:rFonts w:ascii="Georgia" w:hAnsi="Georgia" w:cs="Arial"/>
          <w:lang w:val="es-CO"/>
        </w:rPr>
        <w:t xml:space="preserve">; (ii) </w:t>
      </w:r>
      <w:r w:rsidR="00152E12" w:rsidRPr="009A6A51">
        <w:rPr>
          <w:rFonts w:ascii="Georgia" w:hAnsi="Georgia" w:cs="Arial"/>
          <w:lang w:val="es-CO"/>
        </w:rPr>
        <w:t>E</w:t>
      </w:r>
      <w:r w:rsidRPr="009A6A51">
        <w:rPr>
          <w:rFonts w:ascii="Georgia" w:hAnsi="Georgia" w:cs="Arial"/>
          <w:lang w:val="es-CO"/>
        </w:rPr>
        <w:t xml:space="preserve">n el numeral segundo (317-2º); y, (iii) En el literal b) del numeral 2º (317-2º-b).  </w:t>
      </w:r>
    </w:p>
    <w:p w14:paraId="21CA83AC" w14:textId="77777777" w:rsidR="003F7D17" w:rsidRPr="009A6A51" w:rsidRDefault="003F7D17" w:rsidP="00315D8B">
      <w:pPr>
        <w:spacing w:line="276" w:lineRule="auto"/>
        <w:jc w:val="both"/>
        <w:rPr>
          <w:rFonts w:ascii="Georgia" w:hAnsi="Georgia" w:cs="Arial"/>
          <w:lang w:val="es-CO"/>
        </w:rPr>
      </w:pPr>
    </w:p>
    <w:p w14:paraId="712A2749" w14:textId="04267D2E" w:rsidR="00E206BE" w:rsidRPr="009A6A51" w:rsidRDefault="00E206BE" w:rsidP="00315D8B">
      <w:pPr>
        <w:spacing w:line="276" w:lineRule="auto"/>
        <w:jc w:val="both"/>
        <w:rPr>
          <w:rFonts w:ascii="Georgia" w:hAnsi="Georgia" w:cs="Arial"/>
          <w:lang w:val="es-CO"/>
        </w:rPr>
      </w:pPr>
      <w:r w:rsidRPr="009A6A51">
        <w:rPr>
          <w:rFonts w:ascii="Georgia" w:hAnsi="Georgia" w:cs="Arial"/>
          <w:lang w:val="es-CO"/>
        </w:rPr>
        <w:t xml:space="preserve">La primera posibilidad contempla su versión primigenia (Ley 1194), mientras que las otras corresponden a la antigua perención, pero ahora, por virtud del legislador </w:t>
      </w:r>
      <w:r w:rsidRPr="009A6A51">
        <w:rPr>
          <w:rFonts w:ascii="Georgia" w:hAnsi="Georgia" w:cs="Arial"/>
          <w:lang w:val="es-CO"/>
        </w:rPr>
        <w:lastRenderedPageBreak/>
        <w:t>procesal, quedan refundidas todas en el instituto del “</w:t>
      </w:r>
      <w:r w:rsidRPr="009A6A51">
        <w:rPr>
          <w:rFonts w:ascii="Georgia" w:hAnsi="Georgia" w:cs="Arial"/>
          <w:i/>
          <w:iCs/>
          <w:lang w:val="es-CO"/>
        </w:rPr>
        <w:t>desistimiento tácito</w:t>
      </w:r>
      <w:r w:rsidRPr="009A6A51">
        <w:rPr>
          <w:rFonts w:ascii="Georgia" w:hAnsi="Georgia" w:cs="Arial"/>
          <w:lang w:val="es-CO"/>
        </w:rPr>
        <w:t>”; subyace entonces, que esa “integración” de las dos figuras, no es extraña, atendidas las similitudes ya resaltadas.</w:t>
      </w:r>
    </w:p>
    <w:p w14:paraId="7932187F" w14:textId="77777777" w:rsidR="00E206BE" w:rsidRPr="009A6A51" w:rsidRDefault="00E206BE" w:rsidP="00315D8B">
      <w:pPr>
        <w:spacing w:line="276" w:lineRule="auto"/>
        <w:jc w:val="both"/>
        <w:rPr>
          <w:rFonts w:ascii="Georgia" w:hAnsi="Georgia" w:cs="Arial"/>
          <w:lang w:val="es-CO"/>
        </w:rPr>
      </w:pPr>
    </w:p>
    <w:p w14:paraId="11E2BF71" w14:textId="4B84B3E0" w:rsidR="005C0C89" w:rsidRPr="009A6A51" w:rsidRDefault="00E206BE" w:rsidP="00315D8B">
      <w:pPr>
        <w:spacing w:line="276" w:lineRule="auto"/>
        <w:jc w:val="both"/>
        <w:rPr>
          <w:rFonts w:ascii="Georgia" w:hAnsi="Georgia" w:cs="Arial"/>
        </w:rPr>
      </w:pPr>
      <w:r w:rsidRPr="009A6A51">
        <w:rPr>
          <w:rFonts w:ascii="Georgia" w:hAnsi="Georgia" w:cs="Arial"/>
        </w:rPr>
        <w:t>Por esos elementos comunes, también es razonable aplicar las legítimas finalidades adjudicadas a la figura en el pasado</w:t>
      </w:r>
      <w:r w:rsidR="50AB8C66" w:rsidRPr="009A6A51">
        <w:rPr>
          <w:rFonts w:ascii="Georgia" w:hAnsi="Georgia" w:cs="Arial"/>
        </w:rPr>
        <w:t>,</w:t>
      </w:r>
      <w:r w:rsidR="004D6D81" w:rsidRPr="009A6A51">
        <w:rPr>
          <w:rFonts w:ascii="Georgia" w:hAnsi="Georgia" w:cs="Arial"/>
        </w:rPr>
        <w:t xml:space="preserve"> </w:t>
      </w:r>
      <w:r w:rsidR="09C36DF5" w:rsidRPr="009A6A51">
        <w:rPr>
          <w:rFonts w:ascii="Georgia" w:hAnsi="Georgia" w:cs="Arial"/>
        </w:rPr>
        <w:t>s</w:t>
      </w:r>
      <w:r w:rsidR="004D6D81" w:rsidRPr="009A6A51">
        <w:rPr>
          <w:rFonts w:ascii="Georgia" w:hAnsi="Georgia" w:cs="Arial"/>
        </w:rPr>
        <w:t>e itera</w:t>
      </w:r>
      <w:r w:rsidRPr="009A6A51">
        <w:rPr>
          <w:rFonts w:ascii="Georgia" w:hAnsi="Georgia" w:cs="Arial"/>
        </w:rPr>
        <w:t xml:space="preserve"> pues</w:t>
      </w:r>
      <w:r w:rsidR="6D6E29D1" w:rsidRPr="009A6A51">
        <w:rPr>
          <w:rFonts w:ascii="Georgia" w:hAnsi="Georgia" w:cs="Arial"/>
        </w:rPr>
        <w:t>,</w:t>
      </w:r>
      <w:r w:rsidRPr="009A6A51">
        <w:rPr>
          <w:rFonts w:ascii="Georgia" w:hAnsi="Georgia" w:cs="Arial"/>
        </w:rPr>
        <w:t xml:space="preserve"> el análisis se hizo sobre supuestos semejantes; se explicaron en los términos siguientes: (i) Evita la paralización del aparato jurisdiccional; (ii)</w:t>
      </w:r>
      <w:r w:rsidRPr="009A6A51">
        <w:rPr>
          <w:rFonts w:ascii="Georgia" w:hAnsi="Georgia" w:cs="Arial"/>
          <w:b/>
          <w:bCs/>
        </w:rPr>
        <w:t xml:space="preserve"> </w:t>
      </w:r>
      <w:r w:rsidRPr="009A6A51">
        <w:rPr>
          <w:rFonts w:ascii="Georgia" w:hAnsi="Georgia" w:cs="Arial"/>
        </w:rPr>
        <w:t>Permite la efectividad de los derechos de quienes participan en la administración de justicia; y (iii) Promueve la certeza jurídica de quienes actúan como partes en los procesos, entre otros efectos constitucionalmente valiosos</w:t>
      </w:r>
      <w:r w:rsidRPr="009A6A51">
        <w:rPr>
          <w:rFonts w:ascii="Georgia" w:hAnsi="Georgia" w:cs="Arial"/>
          <w:vertAlign w:val="superscript"/>
        </w:rPr>
        <w:footnoteReference w:id="28"/>
      </w:r>
      <w:r w:rsidRPr="009A6A51">
        <w:rPr>
          <w:rFonts w:ascii="Georgia" w:hAnsi="Georgia" w:cs="Arial"/>
        </w:rPr>
        <w:t>, por eso las limitaciones de los derechos fundamentales que resultan de la regulación acusada, no son desproporcionadas.</w:t>
      </w:r>
      <w:r w:rsidR="004D1311" w:rsidRPr="009A6A51">
        <w:rPr>
          <w:rFonts w:ascii="Georgia" w:hAnsi="Georgia" w:cs="Arial"/>
        </w:rPr>
        <w:t xml:space="preserve"> </w:t>
      </w:r>
    </w:p>
    <w:p w14:paraId="42D71CE8" w14:textId="77777777" w:rsidR="005C0C89" w:rsidRPr="009A6A51" w:rsidRDefault="005C0C89" w:rsidP="00315D8B">
      <w:pPr>
        <w:spacing w:line="276" w:lineRule="auto"/>
        <w:jc w:val="both"/>
        <w:rPr>
          <w:rFonts w:ascii="Georgia" w:hAnsi="Georgia" w:cs="Arial"/>
        </w:rPr>
      </w:pPr>
    </w:p>
    <w:p w14:paraId="517CB55D" w14:textId="4F27BFD9" w:rsidR="00E206BE" w:rsidRPr="009A6A51" w:rsidRDefault="004D1311" w:rsidP="00315D8B">
      <w:pPr>
        <w:spacing w:line="276" w:lineRule="auto"/>
        <w:jc w:val="both"/>
        <w:rPr>
          <w:rFonts w:ascii="Georgia" w:hAnsi="Georgia" w:cs="Arial"/>
          <w:lang w:val="es-CO"/>
        </w:rPr>
      </w:pPr>
      <w:r w:rsidRPr="009A6A51">
        <w:rPr>
          <w:rFonts w:ascii="Georgia" w:hAnsi="Georgia" w:cs="Arial"/>
        </w:rPr>
        <w:t xml:space="preserve">Y </w:t>
      </w:r>
      <w:r w:rsidR="3C46F9A5" w:rsidRPr="009A6A51">
        <w:rPr>
          <w:rFonts w:ascii="Georgia" w:hAnsi="Georgia" w:cs="Arial"/>
        </w:rPr>
        <w:t xml:space="preserve">fue </w:t>
      </w:r>
      <w:r w:rsidRPr="009A6A51">
        <w:rPr>
          <w:rFonts w:ascii="Georgia" w:hAnsi="Georgia" w:cs="Arial"/>
        </w:rPr>
        <w:t>re</w:t>
      </w:r>
      <w:r w:rsidR="00CE2317" w:rsidRPr="009A6A51">
        <w:rPr>
          <w:rFonts w:ascii="Georgia" w:hAnsi="Georgia" w:cs="Arial"/>
        </w:rPr>
        <w:t>iter</w:t>
      </w:r>
      <w:r w:rsidR="21DBE6A9" w:rsidRPr="009A6A51">
        <w:rPr>
          <w:rFonts w:ascii="Georgia" w:hAnsi="Georgia" w:cs="Arial"/>
        </w:rPr>
        <w:t>ado</w:t>
      </w:r>
      <w:r w:rsidRPr="009A6A51">
        <w:rPr>
          <w:rFonts w:ascii="Georgia" w:hAnsi="Georgia" w:cs="Arial"/>
        </w:rPr>
        <w:t xml:space="preserve"> </w:t>
      </w:r>
      <w:r w:rsidR="182D2D3F" w:rsidRPr="009A6A51">
        <w:rPr>
          <w:rFonts w:ascii="Georgia" w:hAnsi="Georgia" w:cs="Arial"/>
        </w:rPr>
        <w:t xml:space="preserve">por </w:t>
      </w:r>
      <w:r w:rsidR="00E53F5B" w:rsidRPr="009A6A51">
        <w:rPr>
          <w:rFonts w:ascii="Georgia" w:hAnsi="Georgia" w:cs="Arial"/>
        </w:rPr>
        <w:t xml:space="preserve">la </w:t>
      </w:r>
      <w:r w:rsidR="00CE2317" w:rsidRPr="009A6A51">
        <w:rPr>
          <w:rFonts w:ascii="Georgia" w:hAnsi="Georgia" w:cs="Arial"/>
        </w:rPr>
        <w:t>Alta Colegiatura</w:t>
      </w:r>
      <w:r w:rsidR="00E53F5B" w:rsidRPr="009A6A51">
        <w:rPr>
          <w:rStyle w:val="Refdenotaalpie"/>
          <w:rFonts w:ascii="Georgia" w:hAnsi="Georgia"/>
        </w:rPr>
        <w:footnoteReference w:id="29"/>
      </w:r>
      <w:r w:rsidR="00E53F5B" w:rsidRPr="009A6A51">
        <w:rPr>
          <w:rFonts w:ascii="Georgia" w:hAnsi="Georgia" w:cs="Arial"/>
        </w:rPr>
        <w:t xml:space="preserve"> </w:t>
      </w:r>
      <w:r w:rsidRPr="009A6A51">
        <w:rPr>
          <w:rFonts w:ascii="Georgia" w:hAnsi="Georgia" w:cs="Arial"/>
        </w:rPr>
        <w:t>en reciente sentencia (2019), al revisar los efectos sancionatorios de extinción del derecho, cuando se imponga</w:t>
      </w:r>
      <w:r w:rsidR="0FFC0EC3" w:rsidRPr="009A6A51">
        <w:rPr>
          <w:rFonts w:ascii="Georgia" w:hAnsi="Georgia" w:cs="Arial"/>
        </w:rPr>
        <w:t>,</w:t>
      </w:r>
      <w:r w:rsidRPr="009A6A51">
        <w:rPr>
          <w:rFonts w:ascii="Georgia" w:hAnsi="Georgia" w:cs="Arial"/>
        </w:rPr>
        <w:t xml:space="preserve"> por segunda ocasión</w:t>
      </w:r>
      <w:r w:rsidR="004A7B36" w:rsidRPr="009A6A51">
        <w:rPr>
          <w:rFonts w:ascii="Georgia" w:hAnsi="Georgia" w:cs="Arial"/>
        </w:rPr>
        <w:t>.</w:t>
      </w:r>
    </w:p>
    <w:p w14:paraId="38469CC2" w14:textId="77777777" w:rsidR="00E206BE" w:rsidRPr="009A6A51" w:rsidRDefault="00E206BE" w:rsidP="00315D8B">
      <w:pPr>
        <w:spacing w:line="276" w:lineRule="auto"/>
        <w:jc w:val="both"/>
        <w:rPr>
          <w:rFonts w:ascii="Georgia" w:hAnsi="Georgia" w:cs="Arial"/>
          <w:lang w:val="es-CO"/>
        </w:rPr>
      </w:pPr>
    </w:p>
    <w:p w14:paraId="07F88E81" w14:textId="72651A69" w:rsidR="00E206BE" w:rsidRPr="009A6A51" w:rsidRDefault="00E206BE" w:rsidP="00315D8B">
      <w:pPr>
        <w:spacing w:line="276" w:lineRule="auto"/>
        <w:jc w:val="both"/>
        <w:rPr>
          <w:rFonts w:ascii="Georgia" w:hAnsi="Georgia" w:cs="Arial"/>
          <w:lang w:val="es-CO"/>
        </w:rPr>
      </w:pPr>
      <w:r w:rsidRPr="009A6A51">
        <w:rPr>
          <w:rFonts w:ascii="Georgia" w:hAnsi="Georgia" w:cs="Arial"/>
          <w:lang w:val="es-CO"/>
        </w:rPr>
        <w:t>A ninguna duda se remite que las últimas reformas procesales</w:t>
      </w:r>
      <w:r w:rsidR="1DD2A017" w:rsidRPr="009A6A51">
        <w:rPr>
          <w:rFonts w:ascii="Georgia" w:hAnsi="Georgia" w:cs="Arial"/>
          <w:lang w:val="es-CO"/>
        </w:rPr>
        <w:t>,</w:t>
      </w:r>
      <w:r w:rsidRPr="009A6A51">
        <w:rPr>
          <w:rFonts w:ascii="Georgia" w:hAnsi="Georgia" w:cs="Arial"/>
          <w:lang w:val="es-CO"/>
        </w:rPr>
        <w:t xml:space="preserve"> y en especial el CGP</w:t>
      </w:r>
      <w:r w:rsidR="4C16FC7B" w:rsidRPr="009A6A51">
        <w:rPr>
          <w:rFonts w:ascii="Georgia" w:hAnsi="Georgia" w:cs="Arial"/>
          <w:lang w:val="es-CO"/>
        </w:rPr>
        <w:t>,</w:t>
      </w:r>
      <w:r w:rsidRPr="009A6A51">
        <w:rPr>
          <w:rFonts w:ascii="Georgia" w:hAnsi="Georgia" w:cs="Arial"/>
          <w:lang w:val="es-CO"/>
        </w:rPr>
        <w:t xml:space="preserve"> anhelan que los litigios tengan un plazo razonable para su resolución (Art</w:t>
      </w:r>
      <w:r w:rsidR="003F7D17" w:rsidRPr="009A6A51">
        <w:rPr>
          <w:rFonts w:ascii="Georgia" w:hAnsi="Georgia" w:cs="Arial"/>
          <w:lang w:val="es-CO"/>
        </w:rPr>
        <w:t>.</w:t>
      </w:r>
      <w:r w:rsidRPr="009A6A51">
        <w:rPr>
          <w:rFonts w:ascii="Georgia" w:hAnsi="Georgia" w:cs="Arial"/>
          <w:lang w:val="es-CO"/>
        </w:rPr>
        <w:t>121</w:t>
      </w:r>
      <w:r w:rsidR="00E53F5B" w:rsidRPr="009A6A51">
        <w:rPr>
          <w:rFonts w:ascii="Georgia" w:hAnsi="Georgia" w:cs="Arial"/>
          <w:lang w:val="es-CO"/>
        </w:rPr>
        <w:t>, CGP</w:t>
      </w:r>
      <w:r w:rsidRPr="009A6A51">
        <w:rPr>
          <w:rFonts w:ascii="Georgia" w:hAnsi="Georgia" w:cs="Arial"/>
          <w:lang w:val="es-CO"/>
        </w:rPr>
        <w:t>) en el marco del principio de celeridad, prescrito por el artículo 4º de la Ley Estatutaria de la Administración de Justicia, al que debe sumarse el derecho a la tutela judicial efectiva (Art</w:t>
      </w:r>
      <w:r w:rsidR="003F7D17" w:rsidRPr="009A6A51">
        <w:rPr>
          <w:rFonts w:ascii="Georgia" w:hAnsi="Georgia" w:cs="Arial"/>
          <w:lang w:val="es-CO"/>
        </w:rPr>
        <w:t>.</w:t>
      </w:r>
      <w:r w:rsidRPr="009A6A51">
        <w:rPr>
          <w:rFonts w:ascii="Georgia" w:hAnsi="Georgia" w:cs="Arial"/>
          <w:lang w:val="es-CO"/>
        </w:rPr>
        <w:t>2º, CGP).</w:t>
      </w:r>
    </w:p>
    <w:p w14:paraId="657F9E0A" w14:textId="77777777" w:rsidR="00E206BE" w:rsidRPr="009A6A51" w:rsidRDefault="00E206BE" w:rsidP="00315D8B">
      <w:pPr>
        <w:spacing w:line="276" w:lineRule="auto"/>
        <w:jc w:val="both"/>
        <w:rPr>
          <w:rFonts w:ascii="Georgia" w:hAnsi="Georgia" w:cs="Arial"/>
          <w:lang w:val="es-CO"/>
        </w:rPr>
      </w:pPr>
    </w:p>
    <w:p w14:paraId="741C7E53" w14:textId="1B6DBCCE" w:rsidR="00E206BE" w:rsidRPr="009A6A51" w:rsidRDefault="00E206BE" w:rsidP="00315D8B">
      <w:pPr>
        <w:spacing w:line="276" w:lineRule="auto"/>
        <w:jc w:val="both"/>
        <w:rPr>
          <w:rFonts w:ascii="Georgia" w:hAnsi="Georgia" w:cs="Arial"/>
        </w:rPr>
      </w:pPr>
      <w:r w:rsidRPr="009A6A51">
        <w:rPr>
          <w:rFonts w:ascii="Georgia" w:hAnsi="Georgia" w:cs="Arial"/>
          <w:lang w:val="es-CO"/>
        </w:rPr>
        <w:t xml:space="preserve">Ahora, muy importante en el condigno ejercicio hermenéutico, es considerar que como se está en presencia de sanciones, su aplicación </w:t>
      </w:r>
      <w:r w:rsidR="008E7167" w:rsidRPr="009A6A51">
        <w:rPr>
          <w:rFonts w:ascii="Georgia" w:hAnsi="Georgia" w:cs="Arial"/>
          <w:lang w:val="es-CO"/>
        </w:rPr>
        <w:t xml:space="preserve">es </w:t>
      </w:r>
      <w:r w:rsidRPr="009A6A51">
        <w:rPr>
          <w:rFonts w:ascii="Georgia" w:hAnsi="Georgia" w:cs="Arial"/>
          <w:lang w:val="es-CO"/>
        </w:rPr>
        <w:t>restri</w:t>
      </w:r>
      <w:r w:rsidR="008E7167" w:rsidRPr="009A6A51">
        <w:rPr>
          <w:rFonts w:ascii="Georgia" w:hAnsi="Georgia" w:cs="Arial"/>
          <w:lang w:val="es-CO"/>
        </w:rPr>
        <w:t>ctiva</w:t>
      </w:r>
      <w:r w:rsidRPr="009A6A51">
        <w:rPr>
          <w:rFonts w:ascii="Georgia" w:hAnsi="Georgia" w:cs="Arial"/>
          <w:lang w:val="es-CO"/>
        </w:rPr>
        <w:t xml:space="preserve">, tal como dispone de antaño </w:t>
      </w:r>
      <w:r w:rsidRPr="009A6A51">
        <w:rPr>
          <w:rFonts w:ascii="Georgia" w:hAnsi="Georgia" w:cs="Arial"/>
        </w:rPr>
        <w:t>la Ley 153 de 1887,</w:t>
      </w:r>
      <w:r w:rsidR="00C56D0B" w:rsidRPr="009A6A51">
        <w:rPr>
          <w:rFonts w:ascii="Georgia" w:hAnsi="Georgia" w:cs="Arial"/>
        </w:rPr>
        <w:t xml:space="preserve"> </w:t>
      </w:r>
      <w:r w:rsidRPr="009A6A51">
        <w:rPr>
          <w:rFonts w:ascii="Georgia" w:hAnsi="Georgia" w:cs="Arial"/>
        </w:rPr>
        <w:t xml:space="preserve">con </w:t>
      </w:r>
      <w:r w:rsidR="0078538E" w:rsidRPr="009A6A51">
        <w:rPr>
          <w:rFonts w:ascii="Georgia" w:hAnsi="Georgia" w:cs="Arial"/>
        </w:rPr>
        <w:t>reconocimiento de la justicia ordinaria</w:t>
      </w:r>
      <w:r w:rsidRPr="009A6A51">
        <w:rPr>
          <w:rStyle w:val="Refdenotaalpie"/>
          <w:rFonts w:ascii="Georgia" w:hAnsi="Georgia"/>
        </w:rPr>
        <w:footnoteReference w:id="30"/>
      </w:r>
      <w:r w:rsidRPr="009A6A51">
        <w:rPr>
          <w:rFonts w:ascii="Georgia" w:hAnsi="Georgia" w:cs="Arial"/>
        </w:rPr>
        <w:t xml:space="preserve"> y </w:t>
      </w:r>
      <w:r w:rsidR="0078538E" w:rsidRPr="009A6A51">
        <w:rPr>
          <w:rFonts w:ascii="Georgia" w:hAnsi="Georgia" w:cs="Arial"/>
        </w:rPr>
        <w:t>la constitucional</w:t>
      </w:r>
      <w:r w:rsidRPr="009A6A51">
        <w:rPr>
          <w:rFonts w:ascii="Georgia" w:hAnsi="Georgia" w:cs="Arial"/>
        </w:rPr>
        <w:t xml:space="preserve"> </w:t>
      </w:r>
      <w:r w:rsidR="0078538E" w:rsidRPr="009A6A51">
        <w:rPr>
          <w:rFonts w:ascii="Georgia" w:hAnsi="Georgia" w:cs="Arial"/>
        </w:rPr>
        <w:t>del órgano de</w:t>
      </w:r>
      <w:r w:rsidRPr="009A6A51">
        <w:rPr>
          <w:rFonts w:ascii="Georgia" w:hAnsi="Georgia" w:cs="Arial"/>
        </w:rPr>
        <w:t xml:space="preserve"> cierre</w:t>
      </w:r>
      <w:r w:rsidRPr="009A6A51">
        <w:rPr>
          <w:rStyle w:val="Refdenotaalpie"/>
          <w:rFonts w:ascii="Georgia" w:hAnsi="Georgia"/>
        </w:rPr>
        <w:footnoteReference w:id="31"/>
      </w:r>
      <w:r w:rsidR="0079643E" w:rsidRPr="009A6A51">
        <w:rPr>
          <w:rFonts w:ascii="Georgia" w:hAnsi="Georgia" w:cs="Arial"/>
        </w:rPr>
        <w:t xml:space="preserve">. </w:t>
      </w:r>
      <w:r w:rsidRPr="009A6A51">
        <w:rPr>
          <w:rFonts w:ascii="Georgia" w:hAnsi="Georgia" w:cs="Arial"/>
        </w:rPr>
        <w:t xml:space="preserve">Así, para que la afectación generada con el desistimiento no sea inesperada, previamente la parte debe ser advertida por el juez, quien con </w:t>
      </w:r>
      <w:r w:rsidRPr="009A6A51">
        <w:rPr>
          <w:rFonts w:ascii="Georgia" w:hAnsi="Georgia" w:cs="Arial"/>
          <w:u w:val="single"/>
        </w:rPr>
        <w:t>claridad determinará la actuación encomendada</w:t>
      </w:r>
      <w:r w:rsidRPr="009A6A51">
        <w:rPr>
          <w:rFonts w:ascii="Georgia" w:hAnsi="Georgia" w:cs="Arial"/>
        </w:rPr>
        <w:t xml:space="preserve"> y otorgará el término legal para ejecutarla (Art</w:t>
      </w:r>
      <w:r w:rsidR="003F7D17" w:rsidRPr="009A6A51">
        <w:rPr>
          <w:rFonts w:ascii="Georgia" w:hAnsi="Georgia" w:cs="Arial"/>
        </w:rPr>
        <w:t>.</w:t>
      </w:r>
      <w:r w:rsidRPr="009A6A51">
        <w:rPr>
          <w:rFonts w:ascii="Georgia" w:hAnsi="Georgia" w:cs="Arial"/>
        </w:rPr>
        <w:t>317-1º, CGP). De tiempo atrás tiene dicho el alto Tribunal Constitucional</w:t>
      </w:r>
      <w:r w:rsidRPr="009A6A51">
        <w:rPr>
          <w:rFonts w:ascii="Georgia" w:hAnsi="Georgia"/>
          <w:vertAlign w:val="superscript"/>
        </w:rPr>
        <w:footnoteReference w:id="32"/>
      </w:r>
      <w:r w:rsidRPr="009A6A51">
        <w:rPr>
          <w:rFonts w:ascii="Georgia" w:hAnsi="Georgia" w:cs="Arial"/>
        </w:rPr>
        <w:t>:</w:t>
      </w:r>
    </w:p>
    <w:p w14:paraId="04272739" w14:textId="77777777" w:rsidR="00E206BE" w:rsidRPr="009A6A51" w:rsidRDefault="00E206BE" w:rsidP="00315D8B">
      <w:pPr>
        <w:pStyle w:val="Textoindependiente"/>
        <w:spacing w:line="276" w:lineRule="auto"/>
        <w:ind w:right="51"/>
        <w:rPr>
          <w:rFonts w:ascii="Georgia" w:hAnsi="Georgia" w:cs="Arial"/>
          <w:sz w:val="24"/>
          <w:szCs w:val="24"/>
        </w:rPr>
      </w:pPr>
    </w:p>
    <w:p w14:paraId="6D186CED" w14:textId="05A8470B" w:rsidR="00E206BE" w:rsidRPr="00F934A3" w:rsidRDefault="00E206BE" w:rsidP="00F934A3">
      <w:pPr>
        <w:pStyle w:val="Textoindependiente"/>
        <w:ind w:left="426" w:right="420"/>
        <w:rPr>
          <w:rFonts w:ascii="Georgia" w:hAnsi="Georgia" w:cs="Arial"/>
          <w:szCs w:val="24"/>
        </w:rPr>
      </w:pPr>
      <w:r w:rsidRPr="00F934A3">
        <w:rPr>
          <w:rFonts w:ascii="Georgia" w:hAnsi="Georgia" w:cs="Arial"/>
          <w:szCs w:val="24"/>
        </w:rPr>
        <w:t xml:space="preserve">… la afectación que se produce con el desistimiento tácito no es súbita, ni sorpresiva para el futuro afectado. Este es advertido previamente por el juez de su deber de colaborar con el buen funcionamiento de la administración de justicia. </w:t>
      </w:r>
      <w:r w:rsidRPr="00F934A3">
        <w:rPr>
          <w:rFonts w:ascii="Georgia" w:hAnsi="Georgia" w:cs="Arial"/>
          <w:szCs w:val="24"/>
          <w:u w:val="single"/>
        </w:rPr>
        <w:t>Además recibe de parte del juez una orden específica sobre lo que le incumbe hacer procesalmente dentro de un plazo claro previamente determinado.</w:t>
      </w:r>
      <w:r w:rsidRPr="00F934A3">
        <w:rPr>
          <w:rFonts w:ascii="Georgia" w:hAnsi="Georgia" w:cs="Arial"/>
          <w:szCs w:val="24"/>
        </w:rPr>
        <w:t xml:space="preserve"> De </w:t>
      </w:r>
      <w:r w:rsidR="00F934A3" w:rsidRPr="00F934A3">
        <w:rPr>
          <w:rFonts w:ascii="Georgia" w:hAnsi="Georgia" w:cs="Arial"/>
          <w:szCs w:val="24"/>
        </w:rPr>
        <w:t>esta</w:t>
      </w:r>
      <w:r w:rsidRPr="00F934A3">
        <w:rPr>
          <w:rFonts w:ascii="Georgia" w:hAnsi="Georgia" w:cs="Arial"/>
          <w:szCs w:val="24"/>
        </w:rPr>
        <w:t xml:space="preserve"> forma, la carga procesal </w:t>
      </w:r>
      <w:r w:rsidRPr="00F934A3">
        <w:rPr>
          <w:rFonts w:ascii="Georgia" w:hAnsi="Georgia" w:cs="Arial"/>
          <w:b/>
          <w:szCs w:val="24"/>
        </w:rPr>
        <w:t xml:space="preserve">(i) </w:t>
      </w:r>
      <w:r w:rsidRPr="00F934A3">
        <w:rPr>
          <w:rFonts w:ascii="Georgia" w:hAnsi="Georgia" w:cs="Arial"/>
          <w:szCs w:val="24"/>
        </w:rPr>
        <w:t>recae sobre el presunto interesado en seguir adelante con la actuación;</w:t>
      </w:r>
      <w:r w:rsidRPr="00F934A3">
        <w:rPr>
          <w:rFonts w:ascii="Georgia" w:hAnsi="Georgia" w:cs="Arial"/>
          <w:szCs w:val="24"/>
          <w:vertAlign w:val="superscript"/>
        </w:rPr>
        <w:footnoteReference w:id="33"/>
      </w:r>
      <w:r w:rsidRPr="00F934A3">
        <w:rPr>
          <w:rFonts w:ascii="Georgia" w:hAnsi="Georgia" w:cs="Arial"/>
          <w:szCs w:val="24"/>
        </w:rPr>
        <w:t xml:space="preserve"> </w:t>
      </w:r>
      <w:r w:rsidRPr="00F934A3">
        <w:rPr>
          <w:rFonts w:ascii="Georgia" w:hAnsi="Georgia" w:cs="Arial"/>
          <w:b/>
          <w:szCs w:val="24"/>
        </w:rPr>
        <w:t xml:space="preserve">(ii) </w:t>
      </w:r>
      <w:r w:rsidRPr="00F934A3">
        <w:rPr>
          <w:rFonts w:ascii="Georgia" w:hAnsi="Georgia" w:cs="Arial"/>
          <w:szCs w:val="24"/>
        </w:rPr>
        <w:t xml:space="preserve">se advierte cuando hay omisiones o conductas que impidan garantizar la diligente observancia de los términos; </w:t>
      </w:r>
      <w:r w:rsidRPr="00F934A3">
        <w:rPr>
          <w:rFonts w:ascii="Georgia" w:hAnsi="Georgia" w:cs="Arial"/>
          <w:b/>
          <w:szCs w:val="24"/>
        </w:rPr>
        <w:t xml:space="preserve">(iii) </w:t>
      </w:r>
      <w:r w:rsidR="004F1D47" w:rsidRPr="00F934A3">
        <w:rPr>
          <w:rFonts w:ascii="Georgia" w:hAnsi="Georgia" w:cs="Arial"/>
          <w:szCs w:val="24"/>
        </w:rPr>
        <w:t>se debe cumplir dentro de un término de treinta (30) días hábiles, tiempo amplio y suficiente para desplegar una actividad en la cual la parte se encuentra interesada</w:t>
      </w:r>
      <w:r w:rsidRPr="00F934A3">
        <w:rPr>
          <w:rFonts w:ascii="Georgia" w:hAnsi="Georgia" w:cs="Arial"/>
          <w:szCs w:val="24"/>
        </w:rPr>
        <w:t xml:space="preserve">. Además, </w:t>
      </w:r>
      <w:r w:rsidRPr="00F934A3">
        <w:rPr>
          <w:rFonts w:ascii="Georgia" w:hAnsi="Georgia" w:cs="Arial"/>
          <w:b/>
          <w:szCs w:val="24"/>
        </w:rPr>
        <w:t xml:space="preserve">(iv) </w:t>
      </w:r>
      <w:r w:rsidRPr="00F934A3">
        <w:rPr>
          <w:rFonts w:ascii="Georgia" w:hAnsi="Georgia" w:cs="Arial"/>
          <w:szCs w:val="24"/>
        </w:rPr>
        <w:t>la persona a la que se le impone la carga es advertida de la imposición de la misma y de las consecuencias de su incumplimiento...</w:t>
      </w:r>
    </w:p>
    <w:p w14:paraId="5D17BB47" w14:textId="77777777" w:rsidR="00E206BE" w:rsidRPr="009A6A51" w:rsidRDefault="00E206BE" w:rsidP="00315D8B">
      <w:pPr>
        <w:pStyle w:val="Sinespaciado"/>
        <w:spacing w:line="276" w:lineRule="auto"/>
        <w:jc w:val="both"/>
        <w:rPr>
          <w:rFonts w:ascii="Georgia" w:hAnsi="Georgia" w:cs="Arial"/>
          <w:sz w:val="24"/>
          <w:szCs w:val="24"/>
        </w:rPr>
      </w:pPr>
    </w:p>
    <w:p w14:paraId="7C28E0AE" w14:textId="131992AC" w:rsidR="00E206BE" w:rsidRPr="009A6A51" w:rsidRDefault="00E206BE" w:rsidP="00315D8B">
      <w:pPr>
        <w:pStyle w:val="Sinespaciado"/>
        <w:spacing w:line="276" w:lineRule="auto"/>
        <w:jc w:val="both"/>
        <w:rPr>
          <w:rFonts w:ascii="Georgia" w:hAnsi="Georgia" w:cs="Arial"/>
          <w:sz w:val="24"/>
          <w:szCs w:val="24"/>
        </w:rPr>
      </w:pPr>
      <w:r w:rsidRPr="009A6A51">
        <w:rPr>
          <w:rFonts w:ascii="Georgia" w:hAnsi="Georgia" w:cs="Arial"/>
          <w:sz w:val="24"/>
          <w:szCs w:val="24"/>
        </w:rPr>
        <w:lastRenderedPageBreak/>
        <w:t>De otro lado, en forma expresa, se estipula en las subreglas para la aplicación de esta forma de terminación anormal (</w:t>
      </w:r>
      <w:r w:rsidR="003F7D17" w:rsidRPr="009A6A51">
        <w:rPr>
          <w:rFonts w:ascii="Georgia" w:hAnsi="Georgia" w:cs="Arial"/>
          <w:sz w:val="24"/>
          <w:szCs w:val="24"/>
        </w:rPr>
        <w:t>Art.317, l</w:t>
      </w:r>
      <w:r w:rsidRPr="009A6A51">
        <w:rPr>
          <w:rFonts w:ascii="Georgia" w:hAnsi="Georgia" w:cs="Arial"/>
          <w:sz w:val="24"/>
          <w:szCs w:val="24"/>
        </w:rPr>
        <w:t xml:space="preserve">iterales a) </w:t>
      </w:r>
      <w:r w:rsidR="003F7D17" w:rsidRPr="009A6A51">
        <w:rPr>
          <w:rFonts w:ascii="Georgia" w:hAnsi="Georgia" w:cs="Arial"/>
          <w:sz w:val="24"/>
          <w:szCs w:val="24"/>
        </w:rPr>
        <w:t xml:space="preserve">al </w:t>
      </w:r>
      <w:r w:rsidRPr="009A6A51">
        <w:rPr>
          <w:rFonts w:ascii="Georgia" w:hAnsi="Georgia" w:cs="Arial"/>
          <w:sz w:val="24"/>
          <w:szCs w:val="24"/>
        </w:rPr>
        <w:t xml:space="preserve">h), </w:t>
      </w:r>
      <w:r w:rsidR="003F7D17" w:rsidRPr="009A6A51">
        <w:rPr>
          <w:rFonts w:ascii="Georgia" w:hAnsi="Georgia" w:cs="Arial"/>
          <w:sz w:val="24"/>
          <w:szCs w:val="24"/>
        </w:rPr>
        <w:t>CGP</w:t>
      </w:r>
      <w:r w:rsidRPr="009A6A51">
        <w:rPr>
          <w:rFonts w:ascii="Georgia" w:hAnsi="Georgia" w:cs="Arial"/>
          <w:sz w:val="24"/>
          <w:szCs w:val="24"/>
        </w:rPr>
        <w:t>), que cuando se trate de incapaces sin apoderado judicial, es improcedente</w:t>
      </w:r>
      <w:r w:rsidRPr="009A6A51">
        <w:rPr>
          <w:rStyle w:val="Refdenotaalpie"/>
          <w:rFonts w:ascii="Georgia" w:hAnsi="Georgia"/>
          <w:sz w:val="24"/>
          <w:szCs w:val="24"/>
        </w:rPr>
        <w:footnoteReference w:id="34"/>
      </w:r>
      <w:r w:rsidRPr="009A6A51">
        <w:rPr>
          <w:rFonts w:ascii="Georgia" w:hAnsi="Georgia" w:cs="Arial"/>
          <w:sz w:val="24"/>
          <w:szCs w:val="24"/>
        </w:rPr>
        <w:t>; y en parecer de este Despacho, deben añadirse aquellas situaciones de fuerza mayor, debidamente alegadas y probadas, ante el operador judicial, ya prohijadas por la Alta Magistratura Constitucional, al revisar la norma anterior</w:t>
      </w:r>
      <w:r w:rsidRPr="009A6A51">
        <w:rPr>
          <w:rStyle w:val="Refdenotaalpie"/>
          <w:rFonts w:ascii="Georgia" w:hAnsi="Georgia"/>
          <w:sz w:val="24"/>
          <w:szCs w:val="24"/>
        </w:rPr>
        <w:footnoteReference w:id="35"/>
      </w:r>
      <w:r w:rsidRPr="009A6A51">
        <w:rPr>
          <w:rFonts w:ascii="Georgia" w:hAnsi="Georgia" w:cs="Arial"/>
          <w:sz w:val="24"/>
          <w:szCs w:val="24"/>
        </w:rPr>
        <w:t>;</w:t>
      </w:r>
      <w:r w:rsidR="78E115F2" w:rsidRPr="009A6A51">
        <w:rPr>
          <w:rFonts w:ascii="Georgia" w:hAnsi="Georgia" w:cs="Arial"/>
          <w:sz w:val="24"/>
          <w:szCs w:val="24"/>
        </w:rPr>
        <w:t xml:space="preserve"> así mismo</w:t>
      </w:r>
      <w:r w:rsidR="72C6049B" w:rsidRPr="009A6A51">
        <w:rPr>
          <w:rFonts w:ascii="Georgia" w:hAnsi="Georgia" w:cs="Arial"/>
          <w:sz w:val="24"/>
          <w:szCs w:val="24"/>
        </w:rPr>
        <w:t xml:space="preserve">, </w:t>
      </w:r>
      <w:r w:rsidR="24A5BE1B" w:rsidRPr="009A6A51">
        <w:rPr>
          <w:rFonts w:ascii="Georgia" w:hAnsi="Georgia" w:cs="Arial"/>
          <w:sz w:val="24"/>
          <w:szCs w:val="24"/>
        </w:rPr>
        <w:t xml:space="preserve">son casos exceptivos </w:t>
      </w:r>
      <w:r w:rsidR="72C6049B" w:rsidRPr="009A6A51">
        <w:rPr>
          <w:rFonts w:ascii="Georgia" w:hAnsi="Georgia" w:cs="Arial"/>
          <w:sz w:val="24"/>
          <w:szCs w:val="24"/>
        </w:rPr>
        <w:t>aquellos eventos que comprometen el estado civil</w:t>
      </w:r>
      <w:r w:rsidR="00C56D0B" w:rsidRPr="009A6A51">
        <w:rPr>
          <w:rStyle w:val="Refdenotaalpie"/>
          <w:rFonts w:ascii="Georgia" w:hAnsi="Georgia"/>
          <w:sz w:val="24"/>
          <w:szCs w:val="24"/>
        </w:rPr>
        <w:footnoteReference w:id="36"/>
      </w:r>
      <w:r w:rsidR="72C6049B" w:rsidRPr="009A6A51">
        <w:rPr>
          <w:rFonts w:ascii="Georgia" w:hAnsi="Georgia" w:cs="Arial"/>
          <w:sz w:val="24"/>
          <w:szCs w:val="24"/>
        </w:rPr>
        <w:t xml:space="preserve"> (2020)</w:t>
      </w:r>
      <w:r w:rsidR="5A720B3D" w:rsidRPr="009A6A51">
        <w:rPr>
          <w:rFonts w:ascii="Georgia" w:hAnsi="Georgia" w:cs="Arial"/>
          <w:sz w:val="24"/>
          <w:szCs w:val="24"/>
        </w:rPr>
        <w:t xml:space="preserve">, </w:t>
      </w:r>
      <w:r w:rsidR="00100BA7" w:rsidRPr="009A6A51">
        <w:rPr>
          <w:rFonts w:ascii="Georgia" w:hAnsi="Georgia" w:cs="Arial"/>
          <w:sz w:val="24"/>
          <w:szCs w:val="24"/>
        </w:rPr>
        <w:t xml:space="preserve">así como los procesos liquidatorios (Según se anotará en el caso concreto), </w:t>
      </w:r>
      <w:r w:rsidR="008E7167" w:rsidRPr="009A6A51">
        <w:rPr>
          <w:rFonts w:ascii="Georgia" w:hAnsi="Georgia" w:cs="Arial"/>
          <w:sz w:val="24"/>
          <w:szCs w:val="24"/>
        </w:rPr>
        <w:t xml:space="preserve">según </w:t>
      </w:r>
      <w:r w:rsidR="5A720B3D" w:rsidRPr="009A6A51">
        <w:rPr>
          <w:rFonts w:ascii="Georgia" w:hAnsi="Georgia" w:cs="Arial"/>
          <w:sz w:val="24"/>
          <w:szCs w:val="24"/>
        </w:rPr>
        <w:t>prohíja la doctrina de tutela.</w:t>
      </w:r>
      <w:r w:rsidR="00100BA7" w:rsidRPr="009A6A51">
        <w:rPr>
          <w:rFonts w:ascii="Georgia" w:hAnsi="Georgia" w:cs="Arial"/>
          <w:sz w:val="24"/>
          <w:szCs w:val="24"/>
        </w:rPr>
        <w:t xml:space="preserve"> </w:t>
      </w:r>
    </w:p>
    <w:p w14:paraId="1DB1824C" w14:textId="77777777" w:rsidR="00E206BE" w:rsidRPr="009A6A51" w:rsidRDefault="00E206BE" w:rsidP="00315D8B">
      <w:pPr>
        <w:pStyle w:val="Sinespaciado"/>
        <w:spacing w:line="276" w:lineRule="auto"/>
        <w:ind w:right="567"/>
        <w:jc w:val="both"/>
        <w:rPr>
          <w:rFonts w:ascii="Georgia" w:hAnsi="Georgia" w:cs="Arial"/>
          <w:sz w:val="24"/>
          <w:szCs w:val="24"/>
        </w:rPr>
      </w:pPr>
    </w:p>
    <w:p w14:paraId="3DE0543C" w14:textId="77777777" w:rsidR="00E206BE" w:rsidRPr="009A6A51" w:rsidRDefault="00E206BE" w:rsidP="00315D8B">
      <w:pPr>
        <w:pStyle w:val="Sinespaciado"/>
        <w:spacing w:line="276" w:lineRule="auto"/>
        <w:jc w:val="both"/>
        <w:rPr>
          <w:rFonts w:ascii="Georgia" w:hAnsi="Georgia" w:cs="Arial"/>
          <w:sz w:val="24"/>
          <w:szCs w:val="24"/>
          <w:lang w:val="es-CO"/>
        </w:rPr>
      </w:pPr>
      <w:r w:rsidRPr="009A6A51">
        <w:rPr>
          <w:rFonts w:ascii="Georgia" w:hAnsi="Georgia" w:cs="Arial"/>
          <w:sz w:val="24"/>
          <w:szCs w:val="24"/>
          <w:lang w:val="es-CO"/>
        </w:rPr>
        <w:t xml:space="preserve">Sobre la inactividad, dispone el artículo 317-2º que: </w:t>
      </w:r>
      <w:r w:rsidRPr="009A6A51">
        <w:rPr>
          <w:rFonts w:ascii="Georgia" w:hAnsi="Georgia" w:cs="Arial"/>
          <w:i/>
          <w:sz w:val="24"/>
          <w:szCs w:val="24"/>
          <w:lang w:val="es-CO"/>
        </w:rPr>
        <w:t>“</w:t>
      </w:r>
      <w:r w:rsidRPr="00F934A3">
        <w:rPr>
          <w:rFonts w:ascii="Georgia" w:hAnsi="Georgia" w:cs="Arial"/>
          <w:i/>
          <w:szCs w:val="24"/>
          <w:lang w:val="es-CO"/>
        </w:rPr>
        <w:t>(…) Cuando un proceso (…), permanezca inactivo en la secretaría del despacho, porque no se solicita o realiza ninguna actuación (…), a petición de parte o de oficio, se decretará la terminación por desistimiento tácito sin necesidad de requerimiento previo (…)</w:t>
      </w:r>
      <w:r w:rsidRPr="009A6A51">
        <w:rPr>
          <w:rFonts w:ascii="Georgia" w:hAnsi="Georgia" w:cs="Arial"/>
          <w:i/>
          <w:sz w:val="24"/>
          <w:szCs w:val="24"/>
          <w:lang w:val="es-CO"/>
        </w:rPr>
        <w:t>”</w:t>
      </w:r>
      <w:r w:rsidRPr="009A6A51">
        <w:rPr>
          <w:rFonts w:ascii="Georgia" w:hAnsi="Georgia" w:cs="Arial"/>
          <w:sz w:val="24"/>
          <w:szCs w:val="24"/>
          <w:lang w:val="es-CO"/>
        </w:rPr>
        <w:t>; y, de conformidad con su literal b), el plazo será de dos (2) años en procesos que cuenten con sentencia judicial o auto de segu</w:t>
      </w:r>
      <w:r w:rsidR="004F1D47" w:rsidRPr="009A6A51">
        <w:rPr>
          <w:rFonts w:ascii="Georgia" w:hAnsi="Georgia" w:cs="Arial"/>
          <w:sz w:val="24"/>
          <w:szCs w:val="24"/>
          <w:lang w:val="es-CO"/>
        </w:rPr>
        <w:t>ir adelante con la ejecución.</w:t>
      </w:r>
    </w:p>
    <w:p w14:paraId="620C453B" w14:textId="77777777" w:rsidR="004F1D47" w:rsidRPr="009A6A51" w:rsidRDefault="004F1D47" w:rsidP="00315D8B">
      <w:pPr>
        <w:pStyle w:val="Sinespaciado"/>
        <w:spacing w:line="276" w:lineRule="auto"/>
        <w:jc w:val="both"/>
        <w:rPr>
          <w:rFonts w:ascii="Georgia" w:hAnsi="Georgia" w:cs="Arial"/>
          <w:sz w:val="24"/>
          <w:szCs w:val="24"/>
          <w:lang w:val="es-CO"/>
        </w:rPr>
      </w:pPr>
    </w:p>
    <w:p w14:paraId="0BC8D48F" w14:textId="6BA88009" w:rsidR="004F1D47" w:rsidRPr="009A6A51" w:rsidRDefault="539F0492" w:rsidP="00315D8B">
      <w:pPr>
        <w:pStyle w:val="Sinespaciado"/>
        <w:spacing w:line="276" w:lineRule="auto"/>
        <w:jc w:val="both"/>
        <w:rPr>
          <w:rFonts w:ascii="Georgia" w:hAnsi="Georgia" w:cs="Arial"/>
          <w:sz w:val="24"/>
          <w:szCs w:val="24"/>
          <w:lang w:val="es-CO"/>
        </w:rPr>
      </w:pPr>
      <w:r w:rsidRPr="009A6A51">
        <w:rPr>
          <w:rFonts w:ascii="Georgia" w:hAnsi="Georgia" w:cs="Arial"/>
          <w:sz w:val="24"/>
          <w:szCs w:val="24"/>
          <w:lang w:val="es-CO"/>
        </w:rPr>
        <w:t xml:space="preserve">Respecto a </w:t>
      </w:r>
      <w:r w:rsidR="004F1D47" w:rsidRPr="009A6A51">
        <w:rPr>
          <w:rFonts w:ascii="Georgia" w:hAnsi="Georgia" w:cs="Arial"/>
          <w:sz w:val="24"/>
          <w:szCs w:val="24"/>
          <w:lang w:val="es-CO"/>
        </w:rPr>
        <w:t>la aplicación de esta forma de terminación anormal del proceso, cuando exista sentencia</w:t>
      </w:r>
      <w:r w:rsidR="00B244C0" w:rsidRPr="009A6A51">
        <w:rPr>
          <w:rFonts w:ascii="Georgia" w:hAnsi="Georgia" w:cs="Arial"/>
          <w:sz w:val="24"/>
          <w:szCs w:val="24"/>
          <w:lang w:val="es-CO"/>
        </w:rPr>
        <w:t xml:space="preserve"> en el proceso</w:t>
      </w:r>
      <w:r w:rsidR="004F1D47" w:rsidRPr="009A6A51">
        <w:rPr>
          <w:rFonts w:ascii="Georgia" w:hAnsi="Georgia" w:cs="Arial"/>
          <w:sz w:val="24"/>
          <w:szCs w:val="24"/>
          <w:lang w:val="es-CO"/>
        </w:rPr>
        <w:t>, un sector de la doctrina procesalista repele la aniquilación del fallo, abogan para que se reduzca a la actuación posterior inconclusa</w:t>
      </w:r>
      <w:r w:rsidR="004F1D47" w:rsidRPr="009A6A51">
        <w:rPr>
          <w:rStyle w:val="Refdenotaalpie"/>
          <w:rFonts w:ascii="Georgia" w:hAnsi="Georgia"/>
          <w:sz w:val="24"/>
          <w:szCs w:val="24"/>
          <w:lang w:val="es-CO"/>
        </w:rPr>
        <w:footnoteReference w:id="37"/>
      </w:r>
      <w:r w:rsidR="004F1D47" w:rsidRPr="009A6A51">
        <w:rPr>
          <w:rFonts w:ascii="Georgia" w:hAnsi="Georgia" w:cs="Arial"/>
          <w:sz w:val="24"/>
          <w:szCs w:val="24"/>
          <w:lang w:val="es-CO"/>
        </w:rPr>
        <w:t>; incluso el maestro López Blanco</w:t>
      </w:r>
      <w:r w:rsidR="004F1D47" w:rsidRPr="009A6A51">
        <w:rPr>
          <w:rStyle w:val="Refdenotaalpie"/>
          <w:rFonts w:ascii="Georgia" w:hAnsi="Georgia"/>
          <w:sz w:val="24"/>
          <w:szCs w:val="24"/>
          <w:lang w:val="es-CO"/>
        </w:rPr>
        <w:footnoteReference w:id="38"/>
      </w:r>
      <w:r w:rsidR="004F1D47" w:rsidRPr="009A6A51">
        <w:rPr>
          <w:rFonts w:ascii="Georgia" w:hAnsi="Georgia" w:cs="Arial"/>
          <w:sz w:val="24"/>
          <w:szCs w:val="24"/>
          <w:lang w:val="es-CO"/>
        </w:rPr>
        <w:t xml:space="preserve"> </w:t>
      </w:r>
      <w:r w:rsidR="6E7742E2" w:rsidRPr="009A6A51">
        <w:rPr>
          <w:rFonts w:ascii="Georgia" w:hAnsi="Georgia" w:cs="Arial"/>
          <w:sz w:val="24"/>
          <w:szCs w:val="24"/>
          <w:lang w:val="es-CO"/>
        </w:rPr>
        <w:t xml:space="preserve">califica </w:t>
      </w:r>
      <w:r w:rsidR="004F1D47" w:rsidRPr="009A6A51">
        <w:rPr>
          <w:rFonts w:ascii="Georgia" w:hAnsi="Georgia" w:cs="Arial"/>
          <w:sz w:val="24"/>
          <w:szCs w:val="24"/>
          <w:lang w:val="es-CO"/>
        </w:rPr>
        <w:t>de inconstitucional semejante consecuencia</w:t>
      </w:r>
      <w:r w:rsidR="00B244C0" w:rsidRPr="009A6A51">
        <w:rPr>
          <w:rFonts w:ascii="Georgia" w:hAnsi="Georgia" w:cs="Arial"/>
          <w:sz w:val="24"/>
          <w:szCs w:val="24"/>
          <w:lang w:val="es-CO"/>
        </w:rPr>
        <w:t>; sin embargo, ya la CC</w:t>
      </w:r>
      <w:r w:rsidR="00B244C0" w:rsidRPr="009A6A51">
        <w:rPr>
          <w:rStyle w:val="Refdenotaalpie"/>
          <w:rFonts w:ascii="Georgia" w:hAnsi="Georgia"/>
          <w:sz w:val="24"/>
          <w:szCs w:val="24"/>
          <w:lang w:val="es-CO"/>
        </w:rPr>
        <w:footnoteReference w:id="39"/>
      </w:r>
      <w:r w:rsidR="00B244C0" w:rsidRPr="009A6A51">
        <w:rPr>
          <w:rFonts w:ascii="Georgia" w:hAnsi="Georgia" w:cs="Arial"/>
          <w:sz w:val="24"/>
          <w:szCs w:val="24"/>
          <w:lang w:val="es-CO"/>
        </w:rPr>
        <w:t xml:space="preserve"> se había mostrado partidaria de su aplicación, eso sí en sede de tutela (2011), así documentó una Sala de esta Corporación en 2015</w:t>
      </w:r>
      <w:r w:rsidR="00B244C0" w:rsidRPr="009A6A51">
        <w:rPr>
          <w:rStyle w:val="Refdenotaalpie"/>
          <w:rFonts w:ascii="Georgia" w:hAnsi="Georgia"/>
          <w:sz w:val="24"/>
          <w:szCs w:val="24"/>
          <w:lang w:val="es-CO"/>
        </w:rPr>
        <w:footnoteReference w:id="40"/>
      </w:r>
      <w:r w:rsidR="00B244C0" w:rsidRPr="009A6A51">
        <w:rPr>
          <w:rFonts w:ascii="Georgia" w:hAnsi="Georgia" w:cs="Arial"/>
          <w:sz w:val="24"/>
          <w:szCs w:val="24"/>
          <w:lang w:val="es-CO"/>
        </w:rPr>
        <w:t>, que al final no empleó para desatar el tema que le competía.</w:t>
      </w:r>
    </w:p>
    <w:p w14:paraId="328F298C" w14:textId="77777777" w:rsidR="00B244C0" w:rsidRPr="009A6A51" w:rsidRDefault="00B244C0" w:rsidP="00315D8B">
      <w:pPr>
        <w:pStyle w:val="Sinespaciado"/>
        <w:spacing w:line="276" w:lineRule="auto"/>
        <w:jc w:val="both"/>
        <w:rPr>
          <w:rFonts w:ascii="Georgia" w:hAnsi="Georgia" w:cs="Arial"/>
          <w:sz w:val="24"/>
          <w:szCs w:val="24"/>
          <w:lang w:val="es-CO"/>
        </w:rPr>
      </w:pPr>
    </w:p>
    <w:p w14:paraId="3939B128" w14:textId="0B9C3550" w:rsidR="00E206BE" w:rsidRPr="009A6A51" w:rsidRDefault="0078538E" w:rsidP="00315D8B">
      <w:pPr>
        <w:pStyle w:val="Sinespaciado"/>
        <w:spacing w:line="276" w:lineRule="auto"/>
        <w:jc w:val="both"/>
        <w:rPr>
          <w:rFonts w:ascii="Georgia" w:hAnsi="Georgia" w:cs="Arial"/>
          <w:sz w:val="24"/>
          <w:szCs w:val="24"/>
          <w:lang w:val="es-CO"/>
        </w:rPr>
      </w:pPr>
      <w:r w:rsidRPr="009A6A51">
        <w:rPr>
          <w:rFonts w:ascii="Georgia" w:hAnsi="Georgia" w:cs="Arial"/>
          <w:sz w:val="24"/>
          <w:szCs w:val="24"/>
          <w:lang w:val="es-CO"/>
        </w:rPr>
        <w:t>Asimismo, respecto de</w:t>
      </w:r>
      <w:r w:rsidR="00E206BE" w:rsidRPr="009A6A51">
        <w:rPr>
          <w:rFonts w:ascii="Georgia" w:hAnsi="Georgia" w:cs="Arial"/>
          <w:sz w:val="24"/>
          <w:szCs w:val="24"/>
          <w:lang w:val="es-CO"/>
        </w:rPr>
        <w:t xml:space="preserve"> la interrupción, refiere el literal</w:t>
      </w:r>
      <w:r w:rsidR="004E3F48" w:rsidRPr="009A6A51">
        <w:rPr>
          <w:rFonts w:ascii="Georgia" w:hAnsi="Georgia" w:cs="Arial"/>
          <w:sz w:val="24"/>
          <w:szCs w:val="24"/>
          <w:lang w:val="es-CO"/>
        </w:rPr>
        <w:t xml:space="preserve"> </w:t>
      </w:r>
      <w:r w:rsidR="00E206BE" w:rsidRPr="009A6A51">
        <w:rPr>
          <w:rFonts w:ascii="Georgia" w:hAnsi="Georgia" w:cs="Arial"/>
          <w:sz w:val="24"/>
          <w:szCs w:val="24"/>
          <w:lang w:val="es-CO"/>
        </w:rPr>
        <w:t xml:space="preserve">c) que: </w:t>
      </w:r>
      <w:r w:rsidR="00E206BE" w:rsidRPr="009A6A51">
        <w:rPr>
          <w:rFonts w:ascii="Georgia" w:hAnsi="Georgia" w:cs="Arial"/>
          <w:i/>
          <w:iCs/>
          <w:sz w:val="24"/>
          <w:szCs w:val="24"/>
          <w:lang w:val="es-CO"/>
        </w:rPr>
        <w:t>“</w:t>
      </w:r>
      <w:r w:rsidR="00E206BE" w:rsidRPr="00F934A3">
        <w:rPr>
          <w:rFonts w:ascii="Georgia" w:hAnsi="Georgia" w:cs="Arial"/>
          <w:i/>
          <w:iCs/>
          <w:szCs w:val="24"/>
          <w:lang w:val="es-CO"/>
        </w:rPr>
        <w:t>Cualquier actuación, de oficio o a petición de parte, de cualquier naturaleza, interrumpirá los términos previstos en este artículo</w:t>
      </w:r>
      <w:r w:rsidR="00E206BE" w:rsidRPr="009A6A51">
        <w:rPr>
          <w:rFonts w:ascii="Georgia" w:hAnsi="Georgia" w:cs="Arial"/>
          <w:sz w:val="24"/>
          <w:szCs w:val="24"/>
          <w:lang w:val="es-CO"/>
        </w:rPr>
        <w:t xml:space="preserve">”; ahora, aun cuando se emplee la expresión “actuación”, debe tenerse en cuenta que no se está significando que deba mediar una providencia, sino que es idónea </w:t>
      </w:r>
      <w:r w:rsidR="00E206BE" w:rsidRPr="009A6A51">
        <w:rPr>
          <w:rFonts w:ascii="Georgia" w:hAnsi="Georgia" w:cs="Arial"/>
          <w:i/>
          <w:iCs/>
          <w:sz w:val="24"/>
          <w:szCs w:val="24"/>
          <w:lang w:val="es-CO"/>
        </w:rPr>
        <w:t xml:space="preserve">cualquier solicitud, </w:t>
      </w:r>
      <w:r w:rsidR="00E206BE" w:rsidRPr="009A6A51">
        <w:rPr>
          <w:rFonts w:ascii="Georgia" w:hAnsi="Georgia" w:cs="Arial"/>
          <w:sz w:val="24"/>
          <w:szCs w:val="24"/>
          <w:lang w:val="es-CO"/>
        </w:rPr>
        <w:t>por lo tanto,</w:t>
      </w:r>
      <w:r w:rsidR="00E206BE" w:rsidRPr="009A6A51">
        <w:rPr>
          <w:rFonts w:ascii="Georgia" w:hAnsi="Georgia" w:cs="Arial"/>
          <w:i/>
          <w:iCs/>
          <w:sz w:val="24"/>
          <w:szCs w:val="24"/>
          <w:lang w:val="es-CO"/>
        </w:rPr>
        <w:t xml:space="preserve"> </w:t>
      </w:r>
      <w:r w:rsidR="00E206BE" w:rsidRPr="009A6A51">
        <w:rPr>
          <w:rFonts w:ascii="Georgia" w:hAnsi="Georgia" w:cs="Arial"/>
          <w:sz w:val="24"/>
          <w:szCs w:val="24"/>
          <w:lang w:val="es-CO"/>
        </w:rPr>
        <w:t xml:space="preserve">deviene inútil calificarla de apta para impulsar o no el proceso, pues así sean peticiones de copias u otra especie, en especial aquellas que no connotan avance procesal, el legislador ha sido claro y reconoce que esos escritos demuestran un interés de la parte en el asunto, y ello basta para interrumpir el término. Criterio sostenido </w:t>
      </w:r>
      <w:r w:rsidR="004E3F48" w:rsidRPr="009A6A51">
        <w:rPr>
          <w:rFonts w:ascii="Georgia" w:hAnsi="Georgia" w:cs="Arial"/>
          <w:sz w:val="24"/>
          <w:szCs w:val="24"/>
          <w:lang w:val="es-CO"/>
        </w:rPr>
        <w:t xml:space="preserve">de tiempo atrás </w:t>
      </w:r>
      <w:r w:rsidR="00E206BE" w:rsidRPr="009A6A51">
        <w:rPr>
          <w:rFonts w:ascii="Georgia" w:hAnsi="Georgia" w:cs="Arial"/>
          <w:sz w:val="24"/>
          <w:szCs w:val="24"/>
          <w:lang w:val="es-CO"/>
        </w:rPr>
        <w:t>por esta Sala de la Corporación</w:t>
      </w:r>
      <w:r w:rsidR="00E206BE" w:rsidRPr="009A6A51">
        <w:rPr>
          <w:rStyle w:val="Refdenotaalpie"/>
          <w:rFonts w:ascii="Georgia" w:hAnsi="Georgia"/>
          <w:sz w:val="24"/>
          <w:szCs w:val="24"/>
          <w:lang w:val="es-CO"/>
        </w:rPr>
        <w:footnoteReference w:id="41"/>
      </w:r>
      <w:r w:rsidR="00E206BE" w:rsidRPr="009A6A51">
        <w:rPr>
          <w:rFonts w:ascii="Georgia" w:hAnsi="Georgia" w:cs="Arial"/>
          <w:sz w:val="24"/>
          <w:szCs w:val="24"/>
          <w:lang w:val="es-CO"/>
        </w:rPr>
        <w:t>.</w:t>
      </w:r>
    </w:p>
    <w:p w14:paraId="754E2870" w14:textId="77777777" w:rsidR="00E206BE" w:rsidRPr="009A6A51" w:rsidRDefault="00E206BE" w:rsidP="00315D8B">
      <w:pPr>
        <w:pStyle w:val="Sinespaciado"/>
        <w:spacing w:line="276" w:lineRule="auto"/>
        <w:jc w:val="both"/>
        <w:rPr>
          <w:rFonts w:ascii="Georgia" w:hAnsi="Georgia" w:cs="Arial"/>
          <w:sz w:val="24"/>
          <w:szCs w:val="24"/>
          <w:lang w:val="es-CO"/>
        </w:rPr>
      </w:pPr>
    </w:p>
    <w:p w14:paraId="1BEBA1BC" w14:textId="0AC61070" w:rsidR="18264E06" w:rsidRPr="009A6A51" w:rsidRDefault="18264E06" w:rsidP="00315D8B">
      <w:pPr>
        <w:pStyle w:val="Sinespaciado"/>
        <w:spacing w:line="276" w:lineRule="auto"/>
        <w:jc w:val="both"/>
        <w:rPr>
          <w:rFonts w:ascii="Georgia" w:hAnsi="Georgia" w:cs="Arial"/>
          <w:sz w:val="24"/>
          <w:szCs w:val="24"/>
          <w:lang w:val="es-CO"/>
        </w:rPr>
      </w:pPr>
      <w:r w:rsidRPr="009A6A51">
        <w:rPr>
          <w:rFonts w:ascii="Georgia" w:hAnsi="Georgia" w:cs="Arial"/>
          <w:sz w:val="24"/>
          <w:szCs w:val="24"/>
          <w:lang w:val="es-CO"/>
        </w:rPr>
        <w:t>Sin embargo</w:t>
      </w:r>
      <w:r w:rsidR="534BEDF3" w:rsidRPr="009A6A51">
        <w:rPr>
          <w:rFonts w:ascii="Georgia" w:hAnsi="Georgia" w:cs="Arial"/>
          <w:sz w:val="24"/>
          <w:szCs w:val="24"/>
          <w:lang w:val="es-CO"/>
        </w:rPr>
        <w:t xml:space="preserve">, </w:t>
      </w:r>
      <w:r w:rsidRPr="009A6A51">
        <w:rPr>
          <w:rFonts w:ascii="Georgia" w:hAnsi="Georgia" w:cs="Arial"/>
          <w:sz w:val="24"/>
          <w:szCs w:val="24"/>
          <w:lang w:val="es-CO"/>
        </w:rPr>
        <w:t>la CSJ</w:t>
      </w:r>
      <w:r w:rsidR="004E3F48" w:rsidRPr="009A6A51">
        <w:rPr>
          <w:rStyle w:val="Refdenotaalpie"/>
          <w:rFonts w:ascii="Georgia" w:hAnsi="Georgia"/>
          <w:sz w:val="24"/>
          <w:szCs w:val="24"/>
          <w:lang w:val="es-CO"/>
        </w:rPr>
        <w:footnoteReference w:id="42"/>
      </w:r>
      <w:r w:rsidRPr="009A6A51">
        <w:rPr>
          <w:rFonts w:ascii="Georgia" w:hAnsi="Georgia" w:cs="Arial"/>
          <w:sz w:val="24"/>
          <w:szCs w:val="24"/>
          <w:lang w:val="es-CO"/>
        </w:rPr>
        <w:t xml:space="preserve"> en reciente decisión </w:t>
      </w:r>
      <w:r w:rsidR="008E7167" w:rsidRPr="009A6A51">
        <w:rPr>
          <w:rFonts w:ascii="Georgia" w:hAnsi="Georgia" w:cs="Arial"/>
          <w:sz w:val="24"/>
          <w:szCs w:val="24"/>
          <w:lang w:val="es-CO"/>
        </w:rPr>
        <w:t xml:space="preserve">constitucional </w:t>
      </w:r>
      <w:r w:rsidR="004E3F48" w:rsidRPr="009A6A51">
        <w:rPr>
          <w:rFonts w:ascii="Georgia" w:hAnsi="Georgia" w:cs="Arial"/>
          <w:sz w:val="24"/>
          <w:szCs w:val="24"/>
          <w:lang w:val="es-CO"/>
        </w:rPr>
        <w:t>(2020)</w:t>
      </w:r>
      <w:r w:rsidR="33D638DD" w:rsidRPr="009A6A51">
        <w:rPr>
          <w:rFonts w:ascii="Georgia" w:hAnsi="Georgia" w:cs="Arial"/>
          <w:sz w:val="24"/>
          <w:szCs w:val="24"/>
          <w:lang w:val="es-CO"/>
        </w:rPr>
        <w:t xml:space="preserve">, iteró postura de </w:t>
      </w:r>
      <w:r w:rsidR="4493A58D" w:rsidRPr="009A6A51">
        <w:rPr>
          <w:rFonts w:ascii="Georgia" w:hAnsi="Georgia" w:cs="Arial"/>
          <w:sz w:val="24"/>
          <w:szCs w:val="24"/>
          <w:lang w:val="es-CO"/>
        </w:rPr>
        <w:t xml:space="preserve">una </w:t>
      </w:r>
      <w:r w:rsidR="33D638DD" w:rsidRPr="009A6A51">
        <w:rPr>
          <w:rFonts w:ascii="Georgia" w:hAnsi="Georgia" w:cs="Arial"/>
          <w:sz w:val="24"/>
          <w:szCs w:val="24"/>
          <w:lang w:val="es-CO"/>
        </w:rPr>
        <w:t>Sala Unitaria</w:t>
      </w:r>
      <w:r w:rsidR="004E3F48" w:rsidRPr="009A6A51">
        <w:rPr>
          <w:rStyle w:val="Refdenotaalpie"/>
          <w:rFonts w:ascii="Georgia" w:hAnsi="Georgia"/>
          <w:sz w:val="24"/>
          <w:szCs w:val="24"/>
          <w:lang w:val="es-CO"/>
        </w:rPr>
        <w:footnoteReference w:id="43"/>
      </w:r>
      <w:r w:rsidR="290B9B83" w:rsidRPr="009A6A51">
        <w:rPr>
          <w:rFonts w:ascii="Georgia" w:hAnsi="Georgia" w:cs="Arial"/>
          <w:sz w:val="24"/>
          <w:szCs w:val="24"/>
          <w:lang w:val="es-CO"/>
        </w:rPr>
        <w:t xml:space="preserve"> </w:t>
      </w:r>
      <w:r w:rsidR="7F8996AA" w:rsidRPr="009A6A51">
        <w:rPr>
          <w:rFonts w:ascii="Georgia" w:hAnsi="Georgia" w:cs="Arial"/>
          <w:sz w:val="24"/>
          <w:szCs w:val="24"/>
          <w:lang w:val="es-CO"/>
        </w:rPr>
        <w:t xml:space="preserve">de esa Colegiatura, </w:t>
      </w:r>
      <w:r w:rsidR="33D638DD" w:rsidRPr="009A6A51">
        <w:rPr>
          <w:rFonts w:ascii="Georgia" w:hAnsi="Georgia" w:cs="Arial"/>
          <w:sz w:val="24"/>
          <w:szCs w:val="24"/>
          <w:lang w:val="es-CO"/>
        </w:rPr>
        <w:t>que discrepa de aquel razonamiento</w:t>
      </w:r>
      <w:r w:rsidR="40BD05C4" w:rsidRPr="009A6A51">
        <w:rPr>
          <w:rFonts w:ascii="Georgia" w:hAnsi="Georgia" w:cs="Arial"/>
          <w:sz w:val="24"/>
          <w:szCs w:val="24"/>
          <w:lang w:val="es-CO"/>
        </w:rPr>
        <w:t>;</w:t>
      </w:r>
      <w:r w:rsidR="33D638DD" w:rsidRPr="009A6A51">
        <w:rPr>
          <w:rFonts w:ascii="Georgia" w:hAnsi="Georgia" w:cs="Arial"/>
          <w:sz w:val="24"/>
          <w:szCs w:val="24"/>
          <w:lang w:val="es-CO"/>
        </w:rPr>
        <w:t xml:space="preserve"> a su juicio, </w:t>
      </w:r>
      <w:r w:rsidR="5A7463A0" w:rsidRPr="009A6A51">
        <w:rPr>
          <w:rFonts w:ascii="Georgia" w:hAnsi="Georgia" w:cs="Arial"/>
          <w:sz w:val="24"/>
          <w:szCs w:val="24"/>
          <w:lang w:val="es-CO"/>
        </w:rPr>
        <w:t xml:space="preserve">la norma realmente </w:t>
      </w:r>
      <w:r w:rsidR="52C7BBD1" w:rsidRPr="009A6A51">
        <w:rPr>
          <w:rFonts w:ascii="Georgia" w:hAnsi="Georgia" w:cs="Arial"/>
          <w:sz w:val="24"/>
          <w:szCs w:val="24"/>
          <w:lang w:val="es-CO"/>
        </w:rPr>
        <w:t xml:space="preserve">exige a la parte impulsar </w:t>
      </w:r>
      <w:r w:rsidR="5A7463A0" w:rsidRPr="009A6A51">
        <w:rPr>
          <w:rFonts w:ascii="Georgia" w:hAnsi="Georgia" w:cs="Arial"/>
          <w:sz w:val="24"/>
          <w:szCs w:val="24"/>
          <w:lang w:val="es-CO"/>
        </w:rPr>
        <w:t>el trámite</w:t>
      </w:r>
      <w:r w:rsidR="5D791E25" w:rsidRPr="009A6A51">
        <w:rPr>
          <w:rFonts w:ascii="Georgia" w:hAnsi="Georgia" w:cs="Arial"/>
          <w:sz w:val="24"/>
          <w:szCs w:val="24"/>
          <w:lang w:val="es-CO"/>
        </w:rPr>
        <w:t xml:space="preserve"> mediante actuaciones idóneas</w:t>
      </w:r>
      <w:r w:rsidR="13ACDD98" w:rsidRPr="009A6A51">
        <w:rPr>
          <w:rFonts w:ascii="Georgia" w:hAnsi="Georgia" w:cs="Arial"/>
          <w:sz w:val="24"/>
          <w:szCs w:val="24"/>
          <w:lang w:val="es-CO"/>
        </w:rPr>
        <w:t>, en síntesis, que ayude</w:t>
      </w:r>
      <w:r w:rsidR="12324FC4" w:rsidRPr="009A6A51">
        <w:rPr>
          <w:rFonts w:ascii="Georgia" w:hAnsi="Georgia" w:cs="Arial"/>
          <w:sz w:val="24"/>
          <w:szCs w:val="24"/>
          <w:lang w:val="es-CO"/>
        </w:rPr>
        <w:t>n</w:t>
      </w:r>
      <w:r w:rsidR="13ACDD98" w:rsidRPr="009A6A51">
        <w:rPr>
          <w:rFonts w:ascii="Georgia" w:hAnsi="Georgia" w:cs="Arial"/>
          <w:sz w:val="24"/>
          <w:szCs w:val="24"/>
          <w:lang w:val="es-CO"/>
        </w:rPr>
        <w:t xml:space="preserve"> a la superación de estadios procesales</w:t>
      </w:r>
      <w:r w:rsidR="004E3F48" w:rsidRPr="009A6A51">
        <w:rPr>
          <w:rFonts w:ascii="Georgia" w:hAnsi="Georgia" w:cs="Arial"/>
          <w:sz w:val="24"/>
          <w:szCs w:val="24"/>
          <w:lang w:val="es-CO"/>
        </w:rPr>
        <w:t xml:space="preserve"> y resolución pronta del problema jurídico</w:t>
      </w:r>
      <w:r w:rsidR="55DCC2E3" w:rsidRPr="009A6A51">
        <w:rPr>
          <w:rFonts w:ascii="Georgia" w:hAnsi="Georgia" w:cs="Arial"/>
          <w:sz w:val="24"/>
          <w:szCs w:val="24"/>
          <w:lang w:val="es-CO"/>
        </w:rPr>
        <w:t xml:space="preserve">; </w:t>
      </w:r>
      <w:r w:rsidR="2BC1D120" w:rsidRPr="009A6A51">
        <w:rPr>
          <w:rFonts w:ascii="Georgia" w:hAnsi="Georgia" w:cs="Arial"/>
          <w:sz w:val="24"/>
          <w:szCs w:val="24"/>
          <w:lang w:val="es-CO"/>
        </w:rPr>
        <w:t>así</w:t>
      </w:r>
      <w:r w:rsidR="55DCC2E3" w:rsidRPr="009A6A51">
        <w:rPr>
          <w:rFonts w:ascii="Georgia" w:hAnsi="Georgia" w:cs="Arial"/>
          <w:sz w:val="24"/>
          <w:szCs w:val="24"/>
          <w:lang w:val="es-CO"/>
        </w:rPr>
        <w:t xml:space="preserve">, </w:t>
      </w:r>
      <w:r w:rsidR="36B181E6" w:rsidRPr="009A6A51">
        <w:rPr>
          <w:rFonts w:ascii="Georgia" w:hAnsi="Georgia" w:cs="Arial"/>
          <w:sz w:val="24"/>
          <w:szCs w:val="24"/>
          <w:lang w:val="es-CO"/>
        </w:rPr>
        <w:t>l</w:t>
      </w:r>
      <w:r w:rsidR="55DCC2E3" w:rsidRPr="009A6A51">
        <w:rPr>
          <w:rFonts w:ascii="Georgia" w:hAnsi="Georgia" w:cs="Arial"/>
          <w:sz w:val="24"/>
          <w:szCs w:val="24"/>
          <w:lang w:val="es-CO"/>
        </w:rPr>
        <w:t xml:space="preserve">a petición de copias o la designación </w:t>
      </w:r>
      <w:r w:rsidR="3F073835" w:rsidRPr="009A6A51">
        <w:rPr>
          <w:rFonts w:ascii="Georgia" w:hAnsi="Georgia" w:cs="Arial"/>
          <w:sz w:val="24"/>
          <w:szCs w:val="24"/>
          <w:lang w:val="es-CO"/>
        </w:rPr>
        <w:t>de</w:t>
      </w:r>
      <w:r w:rsidR="55DCC2E3" w:rsidRPr="009A6A51">
        <w:rPr>
          <w:rFonts w:ascii="Georgia" w:hAnsi="Georgia" w:cs="Arial"/>
          <w:sz w:val="24"/>
          <w:szCs w:val="24"/>
          <w:lang w:val="es-CO"/>
        </w:rPr>
        <w:t xml:space="preserve"> apoderado, entre otras</w:t>
      </w:r>
      <w:r w:rsidR="17E2AE5B" w:rsidRPr="009A6A51">
        <w:rPr>
          <w:rFonts w:ascii="Georgia" w:hAnsi="Georgia" w:cs="Arial"/>
          <w:sz w:val="24"/>
          <w:szCs w:val="24"/>
          <w:lang w:val="es-CO"/>
        </w:rPr>
        <w:t xml:space="preserve"> semejantes</w:t>
      </w:r>
      <w:r w:rsidR="55DCC2E3" w:rsidRPr="009A6A51">
        <w:rPr>
          <w:rFonts w:ascii="Georgia" w:hAnsi="Georgia" w:cs="Arial"/>
          <w:sz w:val="24"/>
          <w:szCs w:val="24"/>
          <w:lang w:val="es-CO"/>
        </w:rPr>
        <w:t xml:space="preserve">, </w:t>
      </w:r>
      <w:r w:rsidR="175D3E5F" w:rsidRPr="009A6A51">
        <w:rPr>
          <w:rFonts w:ascii="Georgia" w:hAnsi="Georgia" w:cs="Arial"/>
          <w:sz w:val="24"/>
          <w:szCs w:val="24"/>
          <w:lang w:val="es-CO"/>
        </w:rPr>
        <w:t>s</w:t>
      </w:r>
      <w:r w:rsidR="25D133C4" w:rsidRPr="009A6A51">
        <w:rPr>
          <w:rFonts w:ascii="Georgia" w:hAnsi="Georgia" w:cs="Arial"/>
          <w:sz w:val="24"/>
          <w:szCs w:val="24"/>
          <w:lang w:val="es-CO"/>
        </w:rPr>
        <w:t>e</w:t>
      </w:r>
      <w:r w:rsidR="175D3E5F" w:rsidRPr="009A6A51">
        <w:rPr>
          <w:rFonts w:ascii="Georgia" w:hAnsi="Georgia" w:cs="Arial"/>
          <w:sz w:val="24"/>
          <w:szCs w:val="24"/>
          <w:lang w:val="es-CO"/>
        </w:rPr>
        <w:t xml:space="preserve"> </w:t>
      </w:r>
      <w:r w:rsidR="25D133C4" w:rsidRPr="009A6A51">
        <w:rPr>
          <w:rFonts w:ascii="Georgia" w:hAnsi="Georgia" w:cs="Arial"/>
          <w:sz w:val="24"/>
          <w:szCs w:val="24"/>
          <w:lang w:val="es-CO"/>
        </w:rPr>
        <w:t xml:space="preserve">revelan </w:t>
      </w:r>
      <w:r w:rsidR="175D3E5F" w:rsidRPr="009A6A51">
        <w:rPr>
          <w:rFonts w:ascii="Georgia" w:hAnsi="Georgia" w:cs="Arial"/>
          <w:sz w:val="24"/>
          <w:szCs w:val="24"/>
          <w:lang w:val="es-CO"/>
        </w:rPr>
        <w:t xml:space="preserve">inútiles </w:t>
      </w:r>
      <w:r w:rsidR="5DDB4067" w:rsidRPr="009A6A51">
        <w:rPr>
          <w:rFonts w:ascii="Georgia" w:hAnsi="Georgia" w:cs="Arial"/>
          <w:sz w:val="24"/>
          <w:szCs w:val="24"/>
          <w:lang w:val="es-CO"/>
        </w:rPr>
        <w:t xml:space="preserve">porque </w:t>
      </w:r>
      <w:r w:rsidR="697B7A02" w:rsidRPr="009A6A51">
        <w:rPr>
          <w:rFonts w:ascii="Georgia" w:hAnsi="Georgia" w:cs="Arial"/>
          <w:sz w:val="24"/>
          <w:szCs w:val="24"/>
          <w:lang w:val="es-CO"/>
        </w:rPr>
        <w:t>no repercuten en el trámite</w:t>
      </w:r>
      <w:r w:rsidR="004E3F48" w:rsidRPr="009A6A51">
        <w:rPr>
          <w:rFonts w:ascii="Georgia" w:hAnsi="Georgia" w:cs="Arial"/>
          <w:sz w:val="24"/>
          <w:szCs w:val="24"/>
          <w:lang w:val="es-CO"/>
        </w:rPr>
        <w:t xml:space="preserve"> ni comportan el acato </w:t>
      </w:r>
      <w:r w:rsidR="004E3F48" w:rsidRPr="009A6A51">
        <w:rPr>
          <w:rFonts w:ascii="Georgia" w:hAnsi="Georgia" w:cs="Arial"/>
          <w:sz w:val="24"/>
          <w:szCs w:val="24"/>
          <w:lang w:val="es-CO"/>
        </w:rPr>
        <w:lastRenderedPageBreak/>
        <w:t>de carga procesal alguna</w:t>
      </w:r>
      <w:r w:rsidR="78DA8414" w:rsidRPr="009A6A51">
        <w:rPr>
          <w:rFonts w:ascii="Georgia" w:hAnsi="Georgia" w:cs="Arial"/>
          <w:sz w:val="24"/>
          <w:szCs w:val="24"/>
          <w:lang w:val="es-CO"/>
        </w:rPr>
        <w:t>.</w:t>
      </w:r>
      <w:r w:rsidR="00946D86" w:rsidRPr="009A6A51">
        <w:rPr>
          <w:rFonts w:ascii="Georgia" w:hAnsi="Georgia" w:cs="Arial"/>
          <w:sz w:val="24"/>
          <w:szCs w:val="24"/>
          <w:lang w:val="es-CO"/>
        </w:rPr>
        <w:t xml:space="preserve"> Esta es una tesis sin reiteración posterior</w:t>
      </w:r>
      <w:r w:rsidR="0AA45720" w:rsidRPr="009A6A51">
        <w:rPr>
          <w:rFonts w:ascii="Georgia" w:hAnsi="Georgia" w:cs="Arial"/>
          <w:sz w:val="24"/>
          <w:szCs w:val="24"/>
          <w:lang w:val="es-CO"/>
        </w:rPr>
        <w:t xml:space="preserve">, que cuando el caso amerite su aplicación, será examinada </w:t>
      </w:r>
      <w:r w:rsidR="1B166FCA" w:rsidRPr="009A6A51">
        <w:rPr>
          <w:rFonts w:ascii="Georgia" w:hAnsi="Georgia" w:cs="Arial"/>
          <w:sz w:val="24"/>
          <w:szCs w:val="24"/>
          <w:lang w:val="es-CO"/>
        </w:rPr>
        <w:t xml:space="preserve">por esta Sala, </w:t>
      </w:r>
      <w:r w:rsidR="0AA45720" w:rsidRPr="009A6A51">
        <w:rPr>
          <w:rFonts w:ascii="Georgia" w:hAnsi="Georgia" w:cs="Arial"/>
          <w:sz w:val="24"/>
          <w:szCs w:val="24"/>
          <w:lang w:val="es-CO"/>
        </w:rPr>
        <w:t>para adoptar una postura concreta.</w:t>
      </w:r>
    </w:p>
    <w:p w14:paraId="5CC37DC3" w14:textId="6C3CA8AB" w:rsidR="70EC85A6" w:rsidRPr="009A6A51" w:rsidRDefault="70EC85A6" w:rsidP="00315D8B">
      <w:pPr>
        <w:pStyle w:val="Sinespaciado"/>
        <w:spacing w:line="276" w:lineRule="auto"/>
        <w:jc w:val="both"/>
        <w:rPr>
          <w:rFonts w:ascii="Georgia" w:hAnsi="Georgia" w:cs="Arial"/>
          <w:sz w:val="24"/>
          <w:szCs w:val="24"/>
          <w:lang w:val="es-CO"/>
        </w:rPr>
      </w:pPr>
    </w:p>
    <w:p w14:paraId="527259E1" w14:textId="77777777" w:rsidR="00E206BE" w:rsidRPr="009A6A51" w:rsidRDefault="00E206BE" w:rsidP="00315D8B">
      <w:pPr>
        <w:pStyle w:val="Sinespaciado"/>
        <w:spacing w:line="276" w:lineRule="auto"/>
        <w:jc w:val="both"/>
        <w:rPr>
          <w:rFonts w:ascii="Georgia" w:hAnsi="Georgia" w:cs="Arial"/>
          <w:sz w:val="24"/>
          <w:szCs w:val="24"/>
          <w:lang w:val="es-CO"/>
        </w:rPr>
      </w:pPr>
      <w:r w:rsidRPr="009A6A51">
        <w:rPr>
          <w:rFonts w:ascii="Georgia" w:hAnsi="Georgia" w:cs="Arial"/>
          <w:sz w:val="24"/>
          <w:szCs w:val="24"/>
          <w:lang w:val="es-CO"/>
        </w:rPr>
        <w:t>La</w:t>
      </w:r>
      <w:r w:rsidR="00984117" w:rsidRPr="009A6A51">
        <w:rPr>
          <w:rFonts w:ascii="Georgia" w:hAnsi="Georgia" w:cs="Arial"/>
          <w:sz w:val="24"/>
          <w:szCs w:val="24"/>
          <w:lang w:val="es-CO"/>
        </w:rPr>
        <w:t>s</w:t>
      </w:r>
      <w:r w:rsidRPr="009A6A51">
        <w:rPr>
          <w:rFonts w:ascii="Georgia" w:hAnsi="Georgia" w:cs="Arial"/>
          <w:sz w:val="24"/>
          <w:szCs w:val="24"/>
          <w:lang w:val="es-CO"/>
        </w:rPr>
        <w:t xml:space="preserve"> subreglas en comento, aplican para las tres (3) modalidades estatuidas, tal y como manda la misma preceptiva; la primera hipótesis amerita requerimiento previo, mientras que para las dos (2) restantes (317-2º y 317-2º-b), </w:t>
      </w:r>
      <w:r w:rsidRPr="009A6A51">
        <w:rPr>
          <w:rFonts w:ascii="Georgia" w:hAnsi="Georgia" w:cs="Arial"/>
          <w:sz w:val="24"/>
          <w:szCs w:val="24"/>
          <w:u w:val="single"/>
          <w:lang w:val="es-CO"/>
        </w:rPr>
        <w:t>solo basta el paso del tiempo</w:t>
      </w:r>
      <w:r w:rsidRPr="009A6A51">
        <w:rPr>
          <w:rFonts w:ascii="Georgia" w:hAnsi="Georgia" w:cs="Arial"/>
          <w:sz w:val="24"/>
          <w:szCs w:val="24"/>
          <w:lang w:val="es-CO"/>
        </w:rPr>
        <w:t>, un (1) año cuando no haya sentencia y dos (2) años, cuando la hubiere.  Dicho más llanamente: el plazo es objetivo.</w:t>
      </w:r>
    </w:p>
    <w:p w14:paraId="07EEFD0F" w14:textId="77777777" w:rsidR="00E206BE" w:rsidRPr="009A6A51" w:rsidRDefault="00E206BE" w:rsidP="00315D8B">
      <w:pPr>
        <w:pStyle w:val="Sinespaciado"/>
        <w:spacing w:line="276" w:lineRule="auto"/>
        <w:jc w:val="both"/>
        <w:rPr>
          <w:rFonts w:ascii="Georgia" w:hAnsi="Georgia" w:cs="Arial"/>
          <w:sz w:val="24"/>
          <w:szCs w:val="24"/>
          <w:lang w:val="es-CO"/>
        </w:rPr>
      </w:pPr>
    </w:p>
    <w:p w14:paraId="766EE6A3" w14:textId="408A07B3" w:rsidR="00045F25" w:rsidRPr="009A6A51" w:rsidRDefault="00E206BE" w:rsidP="00315D8B">
      <w:pPr>
        <w:pStyle w:val="Textopredeterminado"/>
        <w:spacing w:line="276" w:lineRule="auto"/>
        <w:jc w:val="both"/>
        <w:rPr>
          <w:rFonts w:ascii="Georgia" w:hAnsi="Georgia" w:cs="Arial"/>
          <w:color w:val="auto"/>
          <w:szCs w:val="24"/>
        </w:rPr>
      </w:pPr>
      <w:r w:rsidRPr="009A6A51">
        <w:rPr>
          <w:rFonts w:ascii="Georgia" w:hAnsi="Georgia" w:cs="Arial"/>
          <w:color w:val="auto"/>
          <w:szCs w:val="24"/>
        </w:rPr>
        <w:t xml:space="preserve">El </w:t>
      </w:r>
      <w:r w:rsidR="00984117" w:rsidRPr="009A6A51">
        <w:rPr>
          <w:rFonts w:ascii="Georgia" w:hAnsi="Georgia" w:cs="Arial"/>
          <w:color w:val="auto"/>
          <w:szCs w:val="24"/>
        </w:rPr>
        <w:t>conteo de la inactividad procesal se inicia</w:t>
      </w:r>
      <w:r w:rsidRPr="009A6A51">
        <w:rPr>
          <w:rFonts w:ascii="Georgia" w:hAnsi="Georgia" w:cs="Arial"/>
          <w:color w:val="auto"/>
          <w:szCs w:val="24"/>
        </w:rPr>
        <w:t xml:space="preserve"> desde la última diligencia o audiencia y se descontará el tiempo que estuviese el expediente suspendido por acuerdo de las partes (Literal a)).</w:t>
      </w:r>
    </w:p>
    <w:p w14:paraId="0A564129" w14:textId="77777777" w:rsidR="004E3F48" w:rsidRPr="009A6A51" w:rsidRDefault="004E3F48" w:rsidP="00315D8B">
      <w:pPr>
        <w:pStyle w:val="Textopredeterminado"/>
        <w:spacing w:line="276" w:lineRule="auto"/>
        <w:jc w:val="both"/>
        <w:rPr>
          <w:rFonts w:ascii="Georgia" w:hAnsi="Georgia" w:cs="Arial"/>
          <w:color w:val="auto"/>
          <w:szCs w:val="24"/>
        </w:rPr>
      </w:pPr>
    </w:p>
    <w:p w14:paraId="7B655964" w14:textId="5A1B8902" w:rsidR="00984117" w:rsidRPr="009A6A51" w:rsidRDefault="00984117" w:rsidP="00315D8B">
      <w:pPr>
        <w:pStyle w:val="Prrafodelista"/>
        <w:numPr>
          <w:ilvl w:val="0"/>
          <w:numId w:val="6"/>
        </w:numPr>
        <w:spacing w:line="276" w:lineRule="auto"/>
        <w:jc w:val="both"/>
        <w:rPr>
          <w:rFonts w:ascii="Georgia" w:hAnsi="Georgia" w:cs="Arial"/>
          <w:b/>
          <w:bCs/>
        </w:rPr>
      </w:pPr>
      <w:r w:rsidRPr="009A6A51">
        <w:rPr>
          <w:rFonts w:ascii="Georgia" w:hAnsi="Georgia" w:cs="Arial"/>
          <w:b/>
          <w:bCs/>
          <w:smallCaps/>
        </w:rPr>
        <w:t>Análisis del caso concreto</w:t>
      </w:r>
    </w:p>
    <w:p w14:paraId="6521507A" w14:textId="480457E6" w:rsidR="00381C10" w:rsidRPr="009A6A51" w:rsidRDefault="00381C10" w:rsidP="00315D8B">
      <w:pPr>
        <w:pStyle w:val="Textopredeterminado"/>
        <w:spacing w:line="276" w:lineRule="auto"/>
        <w:jc w:val="both"/>
        <w:rPr>
          <w:rFonts w:ascii="Georgia" w:hAnsi="Georgia" w:cs="Arial"/>
          <w:color w:val="auto"/>
          <w:szCs w:val="24"/>
        </w:rPr>
      </w:pPr>
    </w:p>
    <w:p w14:paraId="34B31FB8" w14:textId="424C1468" w:rsidR="00381C10" w:rsidRPr="009A6A51" w:rsidRDefault="2326D570" w:rsidP="00315D8B">
      <w:pPr>
        <w:pStyle w:val="Textopredeterminado"/>
        <w:spacing w:line="276" w:lineRule="auto"/>
        <w:jc w:val="both"/>
        <w:rPr>
          <w:rFonts w:ascii="Georgia" w:hAnsi="Georgia" w:cs="Arial"/>
          <w:color w:val="auto"/>
          <w:szCs w:val="24"/>
        </w:rPr>
      </w:pPr>
      <w:bookmarkStart w:id="5" w:name="_Hlk89939099"/>
      <w:r w:rsidRPr="009A6A51">
        <w:rPr>
          <w:rFonts w:ascii="Georgia" w:hAnsi="Georgia" w:cs="Arial"/>
          <w:color w:val="auto"/>
          <w:szCs w:val="24"/>
        </w:rPr>
        <w:t xml:space="preserve">Se </w:t>
      </w:r>
      <w:r w:rsidR="00956CC6" w:rsidRPr="009A6A51">
        <w:rPr>
          <w:rFonts w:ascii="Georgia" w:hAnsi="Georgia" w:cs="Arial"/>
          <w:color w:val="auto"/>
          <w:szCs w:val="24"/>
        </w:rPr>
        <w:t xml:space="preserve">revocará </w:t>
      </w:r>
      <w:r w:rsidRPr="009A6A51">
        <w:rPr>
          <w:rFonts w:ascii="Georgia" w:hAnsi="Georgia" w:cs="Arial"/>
          <w:color w:val="auto"/>
          <w:szCs w:val="24"/>
        </w:rPr>
        <w:t xml:space="preserve">la decisión venida en alzada, pues </w:t>
      </w:r>
      <w:r w:rsidR="006E2543" w:rsidRPr="009A6A51">
        <w:rPr>
          <w:rFonts w:ascii="Georgia" w:hAnsi="Georgia" w:cs="Arial"/>
          <w:color w:val="auto"/>
          <w:szCs w:val="24"/>
        </w:rPr>
        <w:t xml:space="preserve">acorde con pacífica doctrina judicial de la Sala Civil de la CSJ, la figura en comento es inaplicable </w:t>
      </w:r>
      <w:r w:rsidR="00F020DA" w:rsidRPr="009A6A51">
        <w:rPr>
          <w:rFonts w:ascii="Georgia" w:hAnsi="Georgia" w:cs="Arial"/>
          <w:color w:val="auto"/>
          <w:szCs w:val="24"/>
        </w:rPr>
        <w:t>a los procesos liquidatorios</w:t>
      </w:r>
      <w:r w:rsidR="48E44DD1" w:rsidRPr="009A6A51">
        <w:rPr>
          <w:rFonts w:ascii="Georgia" w:hAnsi="Georgia" w:cs="Arial"/>
          <w:color w:val="auto"/>
          <w:szCs w:val="24"/>
        </w:rPr>
        <w:t xml:space="preserve"> como el divisorio (No es proceso declarativo</w:t>
      </w:r>
      <w:r w:rsidR="00F46503" w:rsidRPr="009A6A51">
        <w:rPr>
          <w:rStyle w:val="Refdenotaalpie"/>
          <w:rFonts w:ascii="Georgia" w:hAnsi="Georgia"/>
          <w:color w:val="auto"/>
          <w:szCs w:val="24"/>
        </w:rPr>
        <w:footnoteReference w:id="44"/>
      </w:r>
      <w:r w:rsidR="48E44DD1" w:rsidRPr="009A6A51">
        <w:rPr>
          <w:rFonts w:ascii="Georgia" w:hAnsi="Georgia" w:cs="Arial"/>
          <w:color w:val="auto"/>
          <w:szCs w:val="24"/>
        </w:rPr>
        <w:t>)</w:t>
      </w:r>
      <w:r w:rsidR="008E7167" w:rsidRPr="009A6A51">
        <w:rPr>
          <w:rFonts w:ascii="Georgia" w:hAnsi="Georgia" w:cs="Arial"/>
          <w:color w:val="auto"/>
          <w:szCs w:val="24"/>
        </w:rPr>
        <w:t xml:space="preserve">, dados los </w:t>
      </w:r>
      <w:r w:rsidR="00F020DA" w:rsidRPr="009A6A51">
        <w:rPr>
          <w:rFonts w:ascii="Georgia" w:hAnsi="Georgia" w:cs="Arial"/>
          <w:color w:val="auto"/>
          <w:szCs w:val="24"/>
        </w:rPr>
        <w:t>efectos nocivos que causar</w:t>
      </w:r>
      <w:r w:rsidR="003B1C0E" w:rsidRPr="009A6A51">
        <w:rPr>
          <w:rFonts w:ascii="Georgia" w:hAnsi="Georgia" w:cs="Arial"/>
          <w:color w:val="auto"/>
          <w:szCs w:val="24"/>
        </w:rPr>
        <w:t>ía</w:t>
      </w:r>
      <w:r w:rsidR="6E14B547" w:rsidRPr="009A6A51">
        <w:rPr>
          <w:rFonts w:ascii="Georgia" w:hAnsi="Georgia" w:cs="Arial"/>
          <w:color w:val="auto"/>
          <w:szCs w:val="24"/>
        </w:rPr>
        <w:t>.</w:t>
      </w:r>
      <w:r w:rsidR="006E2543" w:rsidRPr="009A6A51">
        <w:rPr>
          <w:rFonts w:ascii="Georgia" w:hAnsi="Georgia" w:cs="Arial"/>
          <w:color w:val="auto"/>
          <w:szCs w:val="24"/>
        </w:rPr>
        <w:t xml:space="preserve"> Precisó de tiempo atrás </w:t>
      </w:r>
      <w:r w:rsidR="008E7167" w:rsidRPr="009A6A51">
        <w:rPr>
          <w:rFonts w:ascii="Georgia" w:hAnsi="Georgia" w:cs="Arial"/>
          <w:color w:val="auto"/>
          <w:szCs w:val="24"/>
        </w:rPr>
        <w:t xml:space="preserve">(2013) </w:t>
      </w:r>
      <w:r w:rsidR="00F020DA" w:rsidRPr="009A6A51">
        <w:rPr>
          <w:rFonts w:ascii="Georgia" w:hAnsi="Georgia" w:cs="Arial"/>
          <w:color w:val="auto"/>
          <w:szCs w:val="24"/>
        </w:rPr>
        <w:t>esa Corporación</w:t>
      </w:r>
      <w:r w:rsidR="00C3453B" w:rsidRPr="009A6A51">
        <w:rPr>
          <w:rStyle w:val="Refdenotaalpie"/>
          <w:rFonts w:ascii="Georgia" w:hAnsi="Georgia"/>
          <w:color w:val="auto"/>
          <w:szCs w:val="24"/>
        </w:rPr>
        <w:footnoteReference w:id="45"/>
      </w:r>
      <w:r w:rsidR="00F020DA" w:rsidRPr="009A6A51">
        <w:rPr>
          <w:rFonts w:ascii="Georgia" w:hAnsi="Georgia" w:cs="Arial"/>
          <w:color w:val="auto"/>
          <w:szCs w:val="24"/>
        </w:rPr>
        <w:t>:</w:t>
      </w:r>
    </w:p>
    <w:p w14:paraId="63CA6BF8" w14:textId="36D94E9D" w:rsidR="00F020DA" w:rsidRPr="009A6A51" w:rsidRDefault="00F020DA" w:rsidP="00315D8B">
      <w:pPr>
        <w:pStyle w:val="Textopredeterminado"/>
        <w:spacing w:line="276" w:lineRule="auto"/>
        <w:jc w:val="both"/>
        <w:rPr>
          <w:rFonts w:ascii="Georgia" w:hAnsi="Georgia" w:cs="Arial"/>
          <w:color w:val="auto"/>
          <w:szCs w:val="24"/>
        </w:rPr>
      </w:pPr>
    </w:p>
    <w:p w14:paraId="49A9A856" w14:textId="11EB4D76" w:rsidR="00F020DA" w:rsidRPr="00EB2CAA" w:rsidRDefault="00F020DA" w:rsidP="00EB2CAA">
      <w:pPr>
        <w:pStyle w:val="Textopredeterminado"/>
        <w:ind w:left="426" w:right="420"/>
        <w:jc w:val="both"/>
        <w:rPr>
          <w:rFonts w:ascii="Georgia" w:hAnsi="Georgia"/>
          <w:color w:val="auto"/>
          <w:sz w:val="22"/>
          <w:szCs w:val="24"/>
        </w:rPr>
      </w:pPr>
      <w:r w:rsidRPr="00EB2CAA">
        <w:rPr>
          <w:rFonts w:ascii="Georgia" w:hAnsi="Georgia"/>
          <w:color w:val="auto"/>
          <w:sz w:val="22"/>
          <w:szCs w:val="24"/>
        </w:rPr>
        <w:t>… la inteligencia que se le ha de dar a la aplicación de la figura del "desistimiento tácito", como mecanismo de terminación de juicios que es, mal puede encuadrarse en la que entendió como procedente el funcionario acusado.</w:t>
      </w:r>
    </w:p>
    <w:p w14:paraId="235B57E8" w14:textId="77777777" w:rsidR="00F020DA" w:rsidRPr="00EB2CAA" w:rsidRDefault="00F020DA" w:rsidP="00EB2CAA">
      <w:pPr>
        <w:pStyle w:val="Textopredeterminado"/>
        <w:ind w:left="426" w:right="420"/>
        <w:jc w:val="both"/>
        <w:rPr>
          <w:rFonts w:ascii="Georgia" w:hAnsi="Georgia" w:cs="Arial"/>
          <w:color w:val="auto"/>
          <w:sz w:val="22"/>
          <w:szCs w:val="24"/>
        </w:rPr>
      </w:pPr>
    </w:p>
    <w:p w14:paraId="156F30DA" w14:textId="3331013E" w:rsidR="00F020DA" w:rsidRPr="00EB2CAA" w:rsidRDefault="00A1284D" w:rsidP="00EB2CAA">
      <w:pPr>
        <w:pStyle w:val="Textopredeterminado"/>
        <w:ind w:left="426" w:right="420"/>
        <w:jc w:val="both"/>
        <w:rPr>
          <w:rFonts w:ascii="Georgia" w:hAnsi="Georgia" w:cs="Arial"/>
          <w:color w:val="auto"/>
          <w:sz w:val="22"/>
          <w:szCs w:val="24"/>
        </w:rPr>
      </w:pPr>
      <w:r w:rsidRPr="00EB2CAA">
        <w:rPr>
          <w:rFonts w:ascii="Georgia" w:hAnsi="Georgia"/>
          <w:color w:val="auto"/>
          <w:sz w:val="22"/>
          <w:szCs w:val="24"/>
        </w:rPr>
        <w:t xml:space="preserve">Por el contrario, </w:t>
      </w:r>
      <w:r w:rsidRPr="00EB2CAA">
        <w:rPr>
          <w:rFonts w:ascii="Georgia" w:hAnsi="Georgia"/>
          <w:i/>
          <w:iCs/>
          <w:color w:val="auto"/>
          <w:sz w:val="22"/>
          <w:szCs w:val="24"/>
          <w:u w:val="single"/>
        </w:rPr>
        <w:t>a</w:t>
      </w:r>
      <w:r w:rsidR="00F020DA" w:rsidRPr="00EB2CAA">
        <w:rPr>
          <w:rFonts w:ascii="Georgia" w:hAnsi="Georgia"/>
          <w:i/>
          <w:iCs/>
          <w:color w:val="auto"/>
          <w:sz w:val="22"/>
          <w:szCs w:val="24"/>
          <w:u w:val="single"/>
        </w:rPr>
        <w:t>quella no ha de aplicarse a asuntos de naturaleza liquidatoria</w:t>
      </w:r>
      <w:r w:rsidR="00F020DA" w:rsidRPr="00EB2CAA">
        <w:rPr>
          <w:rFonts w:ascii="Georgia" w:hAnsi="Georgia"/>
          <w:i/>
          <w:iCs/>
          <w:color w:val="auto"/>
          <w:sz w:val="22"/>
          <w:szCs w:val="24"/>
        </w:rPr>
        <w:t>,</w:t>
      </w:r>
      <w:r w:rsidR="00F020DA" w:rsidRPr="00EB2CAA">
        <w:rPr>
          <w:rFonts w:ascii="Georgia" w:hAnsi="Georgia"/>
          <w:color w:val="auto"/>
          <w:sz w:val="22"/>
          <w:szCs w:val="24"/>
        </w:rPr>
        <w:t xml:space="preserve"> como quiera que por esa vía se llegaría a la inaceptable conclusión de que, operado el desistimiento tácito por segunda vez, una masa sucesoral jamás podría llegar a ser materia de repartición, dejando a los herederos perennemente desprovistos de su legítima asignación que por virtud de ley les pueda corresponder, lo que acarrearía, por ende, quedar los bienes relictos indefinidamente en indivisión y los interesados en continua comunidad</w:t>
      </w:r>
      <w:r w:rsidR="004C0530" w:rsidRPr="00EB2CAA">
        <w:rPr>
          <w:rFonts w:ascii="Georgia" w:hAnsi="Georgia"/>
          <w:color w:val="auto"/>
          <w:sz w:val="22"/>
          <w:szCs w:val="24"/>
        </w:rPr>
        <w:t xml:space="preserve"> </w:t>
      </w:r>
      <w:bookmarkEnd w:id="5"/>
      <w:r w:rsidR="004C0530" w:rsidRPr="00EB2CAA">
        <w:rPr>
          <w:rFonts w:ascii="Georgia" w:hAnsi="Georgia"/>
          <w:color w:val="auto"/>
          <w:sz w:val="22"/>
          <w:szCs w:val="24"/>
        </w:rPr>
        <w:t xml:space="preserve">(Sublínea </w:t>
      </w:r>
      <w:r w:rsidR="45495682" w:rsidRPr="00EB2CAA">
        <w:rPr>
          <w:rFonts w:ascii="Georgia" w:hAnsi="Georgia"/>
          <w:color w:val="auto"/>
          <w:sz w:val="22"/>
          <w:szCs w:val="24"/>
        </w:rPr>
        <w:t xml:space="preserve">y cursiva </w:t>
      </w:r>
      <w:r w:rsidR="004C0530" w:rsidRPr="00EB2CAA">
        <w:rPr>
          <w:rFonts w:ascii="Georgia" w:hAnsi="Georgia"/>
          <w:color w:val="auto"/>
          <w:sz w:val="22"/>
          <w:szCs w:val="24"/>
        </w:rPr>
        <w:t>propias de este proveído)</w:t>
      </w:r>
      <w:r w:rsidR="00F020DA" w:rsidRPr="00EB2CAA">
        <w:rPr>
          <w:rFonts w:ascii="Georgia" w:hAnsi="Georgia"/>
          <w:color w:val="auto"/>
          <w:sz w:val="22"/>
          <w:szCs w:val="24"/>
        </w:rPr>
        <w:t>.</w:t>
      </w:r>
    </w:p>
    <w:p w14:paraId="08A69D68" w14:textId="77777777" w:rsidR="00F020DA" w:rsidRPr="009A6A51" w:rsidRDefault="00F020DA" w:rsidP="00315D8B">
      <w:pPr>
        <w:pStyle w:val="Textopredeterminado"/>
        <w:spacing w:line="276" w:lineRule="auto"/>
        <w:jc w:val="both"/>
        <w:rPr>
          <w:rFonts w:ascii="Georgia" w:hAnsi="Georgia" w:cs="Arial"/>
          <w:color w:val="auto"/>
          <w:szCs w:val="24"/>
        </w:rPr>
      </w:pPr>
    </w:p>
    <w:p w14:paraId="710756A0" w14:textId="55433030" w:rsidR="008D15CE" w:rsidRPr="009A6A51" w:rsidRDefault="3DC4D7E8" w:rsidP="00315D8B">
      <w:pPr>
        <w:pStyle w:val="Textopredeterminado"/>
        <w:spacing w:line="276" w:lineRule="auto"/>
        <w:jc w:val="both"/>
        <w:rPr>
          <w:rFonts w:ascii="Georgia" w:hAnsi="Georgia" w:cs="Arial"/>
          <w:color w:val="auto"/>
          <w:szCs w:val="24"/>
        </w:rPr>
      </w:pPr>
      <w:r w:rsidRPr="009A6A51">
        <w:rPr>
          <w:rFonts w:ascii="Georgia" w:hAnsi="Georgia" w:cs="Arial"/>
          <w:color w:val="auto"/>
          <w:szCs w:val="24"/>
        </w:rPr>
        <w:t xml:space="preserve">El </w:t>
      </w:r>
      <w:r w:rsidR="141B0EBD" w:rsidRPr="009A6A51">
        <w:rPr>
          <w:rFonts w:ascii="Georgia" w:hAnsi="Georgia" w:cs="Arial"/>
          <w:color w:val="auto"/>
          <w:szCs w:val="24"/>
        </w:rPr>
        <w:t xml:space="preserve">trasliterado </w:t>
      </w:r>
      <w:r w:rsidRPr="009A6A51">
        <w:rPr>
          <w:rFonts w:ascii="Georgia" w:hAnsi="Georgia" w:cs="Arial"/>
          <w:color w:val="auto"/>
          <w:szCs w:val="24"/>
        </w:rPr>
        <w:t xml:space="preserve">criterio </w:t>
      </w:r>
      <w:r w:rsidR="00C3453B" w:rsidRPr="009A6A51">
        <w:rPr>
          <w:rFonts w:ascii="Georgia" w:hAnsi="Georgia" w:cs="Arial"/>
          <w:color w:val="auto"/>
          <w:szCs w:val="24"/>
        </w:rPr>
        <w:t>jurisprudencia</w:t>
      </w:r>
      <w:r w:rsidR="23BB32ED" w:rsidRPr="009A6A51">
        <w:rPr>
          <w:rFonts w:ascii="Georgia" w:hAnsi="Georgia" w:cs="Arial"/>
          <w:color w:val="auto"/>
          <w:szCs w:val="24"/>
        </w:rPr>
        <w:t>l</w:t>
      </w:r>
      <w:r w:rsidR="7C7F15D0" w:rsidRPr="009A6A51">
        <w:rPr>
          <w:rFonts w:ascii="Georgia" w:hAnsi="Georgia" w:cs="Arial"/>
          <w:color w:val="auto"/>
          <w:szCs w:val="24"/>
        </w:rPr>
        <w:t>,</w:t>
      </w:r>
      <w:r w:rsidR="23BB32ED" w:rsidRPr="009A6A51">
        <w:rPr>
          <w:rFonts w:ascii="Georgia" w:hAnsi="Georgia" w:cs="Arial"/>
          <w:color w:val="auto"/>
          <w:szCs w:val="24"/>
        </w:rPr>
        <w:t xml:space="preserve"> se conserva en vigencia del CPG, como se aprecia en algunas </w:t>
      </w:r>
      <w:r w:rsidR="009C673F" w:rsidRPr="009A6A51">
        <w:rPr>
          <w:rFonts w:ascii="Georgia" w:hAnsi="Georgia" w:cs="Arial"/>
          <w:color w:val="auto"/>
          <w:szCs w:val="24"/>
        </w:rPr>
        <w:t>decisiones</w:t>
      </w:r>
      <w:r w:rsidR="00FA29C5" w:rsidRPr="009A6A51">
        <w:rPr>
          <w:rFonts w:ascii="Georgia" w:hAnsi="Georgia" w:cs="Arial"/>
          <w:color w:val="auto"/>
          <w:szCs w:val="24"/>
        </w:rPr>
        <w:t xml:space="preserve"> </w:t>
      </w:r>
      <w:r w:rsidR="6368FF23" w:rsidRPr="009A6A51">
        <w:rPr>
          <w:rFonts w:ascii="Georgia" w:hAnsi="Georgia" w:cs="Arial"/>
          <w:color w:val="auto"/>
          <w:szCs w:val="24"/>
        </w:rPr>
        <w:t xml:space="preserve">posteriores </w:t>
      </w:r>
      <w:r w:rsidR="00FA29C5" w:rsidRPr="009A6A51">
        <w:rPr>
          <w:rFonts w:ascii="Georgia" w:hAnsi="Georgia" w:cs="Arial"/>
          <w:color w:val="auto"/>
          <w:szCs w:val="24"/>
        </w:rPr>
        <w:t>(2020</w:t>
      </w:r>
      <w:r w:rsidR="00162015" w:rsidRPr="009A6A51">
        <w:rPr>
          <w:rStyle w:val="Refdenotaalpie"/>
          <w:rFonts w:ascii="Georgia" w:hAnsi="Georgia"/>
          <w:color w:val="auto"/>
          <w:szCs w:val="24"/>
        </w:rPr>
        <w:footnoteReference w:id="46"/>
      </w:r>
      <w:r w:rsidR="00162015" w:rsidRPr="009A6A51">
        <w:rPr>
          <w:rFonts w:ascii="Georgia" w:hAnsi="Georgia" w:cs="Arial"/>
          <w:color w:val="auto"/>
          <w:szCs w:val="24"/>
        </w:rPr>
        <w:t xml:space="preserve"> - 2021</w:t>
      </w:r>
      <w:r w:rsidR="00162015" w:rsidRPr="009A6A51">
        <w:rPr>
          <w:rStyle w:val="Refdenotaalpie"/>
          <w:rFonts w:ascii="Georgia" w:hAnsi="Georgia"/>
          <w:color w:val="auto"/>
          <w:szCs w:val="24"/>
        </w:rPr>
        <w:footnoteReference w:id="47"/>
      </w:r>
      <w:r w:rsidR="00FA29C5" w:rsidRPr="009A6A51">
        <w:rPr>
          <w:rFonts w:ascii="Georgia" w:hAnsi="Georgia" w:cs="Arial"/>
          <w:color w:val="auto"/>
          <w:szCs w:val="24"/>
        </w:rPr>
        <w:t>)</w:t>
      </w:r>
      <w:r w:rsidR="00DB79FD" w:rsidRPr="009A6A51">
        <w:rPr>
          <w:rFonts w:ascii="Georgia" w:hAnsi="Georgia" w:cs="Arial"/>
          <w:color w:val="auto"/>
          <w:szCs w:val="24"/>
        </w:rPr>
        <w:t xml:space="preserve"> </w:t>
      </w:r>
      <w:r w:rsidR="0028203E" w:rsidRPr="009A6A51">
        <w:rPr>
          <w:rFonts w:ascii="Georgia" w:hAnsi="Georgia" w:cs="Arial"/>
          <w:color w:val="auto"/>
          <w:szCs w:val="24"/>
        </w:rPr>
        <w:t xml:space="preserve">e incluso, </w:t>
      </w:r>
      <w:r w:rsidR="00DB79FD" w:rsidRPr="009A6A51">
        <w:rPr>
          <w:rFonts w:ascii="Georgia" w:hAnsi="Georgia" w:cs="Arial"/>
          <w:color w:val="auto"/>
          <w:szCs w:val="24"/>
        </w:rPr>
        <w:t>en</w:t>
      </w:r>
      <w:r w:rsidR="0028203E" w:rsidRPr="009A6A51">
        <w:rPr>
          <w:rFonts w:ascii="Georgia" w:hAnsi="Georgia" w:cs="Arial"/>
          <w:color w:val="auto"/>
          <w:szCs w:val="24"/>
        </w:rPr>
        <w:t>list</w:t>
      </w:r>
      <w:r w:rsidR="00F6743C" w:rsidRPr="009A6A51">
        <w:rPr>
          <w:rFonts w:ascii="Georgia" w:hAnsi="Georgia" w:cs="Arial"/>
          <w:color w:val="auto"/>
          <w:szCs w:val="24"/>
        </w:rPr>
        <w:t>ó</w:t>
      </w:r>
      <w:r w:rsidR="0028203E" w:rsidRPr="009A6A51">
        <w:rPr>
          <w:rFonts w:ascii="Georgia" w:hAnsi="Georgia" w:cs="Arial"/>
          <w:color w:val="auto"/>
          <w:szCs w:val="24"/>
        </w:rPr>
        <w:t xml:space="preserve">, </w:t>
      </w:r>
      <w:r w:rsidR="00FA29C5" w:rsidRPr="009A6A51">
        <w:rPr>
          <w:rFonts w:ascii="Georgia" w:hAnsi="Georgia" w:cs="Arial"/>
          <w:color w:val="auto"/>
          <w:szCs w:val="24"/>
        </w:rPr>
        <w:t>en concreto</w:t>
      </w:r>
      <w:r w:rsidR="0028203E" w:rsidRPr="009A6A51">
        <w:rPr>
          <w:rFonts w:ascii="Georgia" w:hAnsi="Georgia" w:cs="Arial"/>
          <w:color w:val="auto"/>
          <w:szCs w:val="24"/>
        </w:rPr>
        <w:t xml:space="preserve">, los </w:t>
      </w:r>
      <w:r w:rsidR="00DB79FD" w:rsidRPr="009A6A51">
        <w:rPr>
          <w:rFonts w:ascii="Georgia" w:hAnsi="Georgia" w:cs="Arial"/>
          <w:color w:val="auto"/>
          <w:szCs w:val="24"/>
        </w:rPr>
        <w:t>procesos divisorios</w:t>
      </w:r>
      <w:r w:rsidR="0028203E" w:rsidRPr="009A6A51">
        <w:rPr>
          <w:rFonts w:ascii="Georgia" w:hAnsi="Georgia" w:cs="Arial"/>
          <w:color w:val="auto"/>
          <w:szCs w:val="24"/>
        </w:rPr>
        <w:t xml:space="preserve"> como </w:t>
      </w:r>
      <w:r w:rsidR="00DB79FD" w:rsidRPr="009A6A51">
        <w:rPr>
          <w:rFonts w:ascii="Georgia" w:hAnsi="Georgia" w:cs="Arial"/>
          <w:color w:val="auto"/>
          <w:szCs w:val="24"/>
        </w:rPr>
        <w:t>aquellos asuntos en los que era inaplicable el desistimiento tácito</w:t>
      </w:r>
      <w:r w:rsidR="00162015" w:rsidRPr="009A6A51">
        <w:rPr>
          <w:rStyle w:val="Refdenotaalpie"/>
          <w:rFonts w:ascii="Georgia" w:hAnsi="Georgia"/>
          <w:color w:val="auto"/>
          <w:szCs w:val="24"/>
        </w:rPr>
        <w:footnoteReference w:id="48"/>
      </w:r>
      <w:r w:rsidR="009C673F" w:rsidRPr="009A6A51">
        <w:rPr>
          <w:rFonts w:ascii="Georgia" w:hAnsi="Georgia" w:cs="Arial"/>
          <w:color w:val="auto"/>
          <w:szCs w:val="24"/>
        </w:rPr>
        <w:t>:</w:t>
      </w:r>
    </w:p>
    <w:p w14:paraId="24894A78" w14:textId="41FA981D" w:rsidR="009C673F" w:rsidRPr="009A6A51" w:rsidRDefault="009C673F" w:rsidP="00315D8B">
      <w:pPr>
        <w:pStyle w:val="Textopredeterminado"/>
        <w:spacing w:line="276" w:lineRule="auto"/>
        <w:jc w:val="both"/>
        <w:rPr>
          <w:rFonts w:ascii="Georgia" w:hAnsi="Georgia" w:cs="Arial"/>
          <w:color w:val="auto"/>
          <w:szCs w:val="24"/>
        </w:rPr>
      </w:pPr>
    </w:p>
    <w:p w14:paraId="45AA650E" w14:textId="35FD661D" w:rsidR="009C673F" w:rsidRPr="00F934A3" w:rsidRDefault="009C673F" w:rsidP="00F934A3">
      <w:pPr>
        <w:pStyle w:val="Textopredeterminado"/>
        <w:ind w:left="426" w:right="420"/>
        <w:jc w:val="both"/>
        <w:rPr>
          <w:rFonts w:ascii="Georgia" w:hAnsi="Georgia"/>
          <w:color w:val="auto"/>
          <w:sz w:val="22"/>
          <w:szCs w:val="24"/>
        </w:rPr>
      </w:pPr>
      <w:r w:rsidRPr="00F934A3">
        <w:rPr>
          <w:rFonts w:ascii="Georgia" w:hAnsi="Georgia"/>
          <w:color w:val="auto"/>
          <w:sz w:val="22"/>
          <w:szCs w:val="24"/>
        </w:rPr>
        <w:t xml:space="preserve">Bajo ese criterio, además de los procesos en los que se involucran prerrogativas fundamentales de niños y adolescentes, </w:t>
      </w:r>
      <w:r w:rsidRPr="00F934A3">
        <w:rPr>
          <w:rFonts w:ascii="Georgia" w:hAnsi="Georgia"/>
          <w:b/>
          <w:color w:val="auto"/>
          <w:sz w:val="22"/>
          <w:szCs w:val="24"/>
        </w:rPr>
        <w:t>la Corte ha exceptuado la terminación por desistimiento tácito</w:t>
      </w:r>
      <w:r w:rsidRPr="00F934A3">
        <w:rPr>
          <w:rFonts w:ascii="Georgia" w:hAnsi="Georgia"/>
          <w:color w:val="auto"/>
          <w:sz w:val="22"/>
          <w:szCs w:val="24"/>
        </w:rPr>
        <w:t xml:space="preserve"> en asuntos en los que, independientemente de la calidad o condición del demandante, impliquen la definición o variación del estado civil de una persona, así como en los pleitos de naturaleza liquidatoria, en particular sucesiones, liquidaciones de sociedad conyugal y patrimonial, y </w:t>
      </w:r>
      <w:r w:rsidRPr="00F934A3">
        <w:rPr>
          <w:rFonts w:ascii="Georgia" w:hAnsi="Georgia"/>
          <w:b/>
          <w:color w:val="auto"/>
          <w:sz w:val="22"/>
          <w:szCs w:val="24"/>
        </w:rPr>
        <w:t>divisorios</w:t>
      </w:r>
      <w:r w:rsidRPr="00F934A3">
        <w:rPr>
          <w:rFonts w:ascii="Georgia" w:hAnsi="Georgia"/>
          <w:color w:val="auto"/>
          <w:sz w:val="22"/>
          <w:szCs w:val="24"/>
        </w:rPr>
        <w:t>, advirtiendo respecto de éstos, que de aplicarse, provocaría que los bienes queden «indefinidamente en indivisión y los interesados en continua comunidad» (CSJ STC, 5 ago. 2013, rad. 00241-01).</w:t>
      </w:r>
      <w:r w:rsidR="0028203E" w:rsidRPr="00F934A3">
        <w:rPr>
          <w:rFonts w:ascii="Georgia" w:hAnsi="Georgia"/>
          <w:color w:val="auto"/>
          <w:sz w:val="22"/>
          <w:szCs w:val="24"/>
        </w:rPr>
        <w:t xml:space="preserve"> (Negrillas extratextuales). </w:t>
      </w:r>
    </w:p>
    <w:p w14:paraId="41931C9B" w14:textId="77777777" w:rsidR="00527A65" w:rsidRPr="009A6A51" w:rsidRDefault="00527A65" w:rsidP="00315D8B">
      <w:pPr>
        <w:pStyle w:val="Textopredeterminado"/>
        <w:spacing w:line="276" w:lineRule="auto"/>
        <w:ind w:left="567" w:right="567"/>
        <w:jc w:val="both"/>
        <w:rPr>
          <w:rFonts w:ascii="Georgia" w:hAnsi="Georgia"/>
          <w:color w:val="auto"/>
          <w:szCs w:val="24"/>
        </w:rPr>
      </w:pPr>
    </w:p>
    <w:p w14:paraId="72DF4EF8" w14:textId="5046422D" w:rsidR="00FF42C0" w:rsidRPr="009A6A51" w:rsidRDefault="00954748" w:rsidP="00315D8B">
      <w:pPr>
        <w:pStyle w:val="Textopredeterminado"/>
        <w:spacing w:line="276" w:lineRule="auto"/>
        <w:jc w:val="both"/>
        <w:rPr>
          <w:rFonts w:ascii="Georgia" w:hAnsi="Georgia" w:cs="Arial"/>
          <w:color w:val="auto"/>
          <w:szCs w:val="24"/>
        </w:rPr>
      </w:pPr>
      <w:r w:rsidRPr="009A6A51">
        <w:rPr>
          <w:rFonts w:ascii="Georgia" w:hAnsi="Georgia" w:cs="Arial"/>
          <w:color w:val="auto"/>
          <w:szCs w:val="24"/>
        </w:rPr>
        <w:lastRenderedPageBreak/>
        <w:t xml:space="preserve">Así las cosas, y no obstante que las sentencias de tutela de la CSJ carecen de fuerza vinculante, pues lo son aquellas emitidas por la autoridad vértice de la especialidad constitucional, </w:t>
      </w:r>
      <w:r w:rsidR="58D678E0" w:rsidRPr="009A6A51">
        <w:rPr>
          <w:rFonts w:ascii="Georgia" w:hAnsi="Georgia" w:cs="Arial"/>
          <w:color w:val="auto"/>
          <w:szCs w:val="24"/>
        </w:rPr>
        <w:t xml:space="preserve">esta Sala </w:t>
      </w:r>
      <w:r w:rsidR="000F25D6" w:rsidRPr="009A6A51">
        <w:rPr>
          <w:rFonts w:ascii="Georgia" w:hAnsi="Georgia" w:cs="Arial"/>
          <w:color w:val="auto"/>
          <w:szCs w:val="24"/>
        </w:rPr>
        <w:t xml:space="preserve">patrocina </w:t>
      </w:r>
      <w:r w:rsidRPr="009A6A51">
        <w:rPr>
          <w:rFonts w:ascii="Georgia" w:hAnsi="Georgia" w:cs="Arial"/>
          <w:color w:val="auto"/>
          <w:szCs w:val="24"/>
        </w:rPr>
        <w:t xml:space="preserve">la tesis de la Alta Magistratura </w:t>
      </w:r>
      <w:r w:rsidR="1852CE75" w:rsidRPr="009A6A51">
        <w:rPr>
          <w:rFonts w:ascii="Georgia" w:hAnsi="Georgia" w:cs="Arial"/>
          <w:color w:val="auto"/>
          <w:szCs w:val="24"/>
        </w:rPr>
        <w:t xml:space="preserve">para </w:t>
      </w:r>
      <w:r w:rsidR="0028203E" w:rsidRPr="009A6A51">
        <w:rPr>
          <w:rFonts w:ascii="Georgia" w:hAnsi="Georgia" w:cs="Arial"/>
          <w:color w:val="auto"/>
          <w:szCs w:val="24"/>
        </w:rPr>
        <w:t xml:space="preserve">excluir </w:t>
      </w:r>
      <w:r w:rsidR="01085804" w:rsidRPr="009A6A51">
        <w:rPr>
          <w:rFonts w:ascii="Georgia" w:hAnsi="Georgia" w:cs="Arial"/>
          <w:color w:val="auto"/>
          <w:szCs w:val="24"/>
        </w:rPr>
        <w:t>estos procesos de la terminación atípica reseñada. En efecto,</w:t>
      </w:r>
      <w:r w:rsidR="00E86B63" w:rsidRPr="009A6A51">
        <w:rPr>
          <w:rFonts w:ascii="Georgia" w:hAnsi="Georgia" w:cs="Arial"/>
          <w:color w:val="auto"/>
          <w:szCs w:val="24"/>
        </w:rPr>
        <w:t xml:space="preserve"> </w:t>
      </w:r>
      <w:r w:rsidR="50911D42" w:rsidRPr="009A6A51">
        <w:rPr>
          <w:rFonts w:ascii="Georgia" w:hAnsi="Georgia" w:cs="Arial"/>
          <w:color w:val="auto"/>
          <w:szCs w:val="24"/>
        </w:rPr>
        <w:t>se cont</w:t>
      </w:r>
      <w:r w:rsidR="2DC25261" w:rsidRPr="009A6A51">
        <w:rPr>
          <w:rFonts w:ascii="Georgia" w:hAnsi="Georgia" w:cs="Arial"/>
          <w:color w:val="auto"/>
          <w:szCs w:val="24"/>
        </w:rPr>
        <w:t>r</w:t>
      </w:r>
      <w:r w:rsidR="50911D42" w:rsidRPr="009A6A51">
        <w:rPr>
          <w:rFonts w:ascii="Georgia" w:hAnsi="Georgia" w:cs="Arial"/>
          <w:color w:val="auto"/>
          <w:szCs w:val="24"/>
        </w:rPr>
        <w:t xml:space="preserve">avendría </w:t>
      </w:r>
      <w:r w:rsidR="682F631D" w:rsidRPr="009A6A51">
        <w:rPr>
          <w:rFonts w:ascii="Georgia" w:hAnsi="Georgia" w:cs="Arial"/>
          <w:color w:val="auto"/>
          <w:szCs w:val="24"/>
        </w:rPr>
        <w:t xml:space="preserve">sin justificación </w:t>
      </w:r>
      <w:r w:rsidR="00E86B63" w:rsidRPr="009A6A51">
        <w:rPr>
          <w:rFonts w:ascii="Georgia" w:hAnsi="Georgia" w:cs="Arial"/>
          <w:color w:val="auto"/>
          <w:szCs w:val="24"/>
        </w:rPr>
        <w:t xml:space="preserve">la regla general </w:t>
      </w:r>
      <w:r w:rsidR="5B123CF0" w:rsidRPr="009A6A51">
        <w:rPr>
          <w:rFonts w:ascii="Georgia" w:hAnsi="Georgia" w:cs="Arial"/>
          <w:color w:val="auto"/>
          <w:szCs w:val="24"/>
        </w:rPr>
        <w:t xml:space="preserve">de </w:t>
      </w:r>
      <w:r w:rsidR="000F25D6" w:rsidRPr="009A6A51">
        <w:rPr>
          <w:rFonts w:ascii="Georgia" w:hAnsi="Georgia" w:cs="Arial"/>
          <w:color w:val="auto"/>
          <w:szCs w:val="24"/>
        </w:rPr>
        <w:t xml:space="preserve">derecho privado </w:t>
      </w:r>
      <w:r w:rsidR="798F23E5" w:rsidRPr="009A6A51">
        <w:rPr>
          <w:rFonts w:ascii="Georgia" w:hAnsi="Georgia" w:cs="Arial"/>
          <w:color w:val="auto"/>
          <w:szCs w:val="24"/>
        </w:rPr>
        <w:t xml:space="preserve">de que </w:t>
      </w:r>
      <w:r w:rsidR="000F25D6" w:rsidRPr="009A6A51">
        <w:rPr>
          <w:rFonts w:ascii="Georgia" w:hAnsi="Georgia" w:cs="Arial"/>
          <w:color w:val="auto"/>
          <w:szCs w:val="24"/>
        </w:rPr>
        <w:t>ninguno está obligado a permanecer en indivisión</w:t>
      </w:r>
      <w:r w:rsidR="000F25D6" w:rsidRPr="009A6A51">
        <w:rPr>
          <w:rStyle w:val="Refdenotaalpie"/>
          <w:rFonts w:ascii="Georgia" w:hAnsi="Georgia"/>
          <w:color w:val="auto"/>
          <w:szCs w:val="24"/>
        </w:rPr>
        <w:footnoteReference w:id="49"/>
      </w:r>
      <w:r w:rsidR="00D72D06" w:rsidRPr="009A6A51">
        <w:rPr>
          <w:rFonts w:ascii="Georgia" w:hAnsi="Georgia" w:cs="Arial"/>
          <w:color w:val="auto"/>
          <w:szCs w:val="24"/>
        </w:rPr>
        <w:t xml:space="preserve">, </w:t>
      </w:r>
      <w:r w:rsidR="604D7933" w:rsidRPr="009A6A51">
        <w:rPr>
          <w:rFonts w:ascii="Georgia" w:hAnsi="Georgia" w:cs="Arial"/>
          <w:color w:val="auto"/>
          <w:szCs w:val="24"/>
        </w:rPr>
        <w:t xml:space="preserve">como </w:t>
      </w:r>
      <w:r w:rsidR="000F25D6" w:rsidRPr="009A6A51">
        <w:rPr>
          <w:rFonts w:ascii="Georgia" w:hAnsi="Georgia" w:cs="Arial"/>
          <w:color w:val="auto"/>
          <w:szCs w:val="24"/>
        </w:rPr>
        <w:t xml:space="preserve">prescribe perentoriamente nuestro Código Civil </w:t>
      </w:r>
      <w:r w:rsidR="00FF42C0" w:rsidRPr="009A6A51">
        <w:rPr>
          <w:rFonts w:ascii="Georgia" w:hAnsi="Georgia" w:cs="Arial"/>
          <w:color w:val="auto"/>
          <w:szCs w:val="24"/>
        </w:rPr>
        <w:t>(Art</w:t>
      </w:r>
      <w:r w:rsidR="000F25D6" w:rsidRPr="009A6A51">
        <w:rPr>
          <w:rFonts w:ascii="Georgia" w:hAnsi="Georgia" w:cs="Arial"/>
          <w:color w:val="auto"/>
          <w:szCs w:val="24"/>
        </w:rPr>
        <w:t>.</w:t>
      </w:r>
      <w:r w:rsidR="00FF42C0" w:rsidRPr="009A6A51">
        <w:rPr>
          <w:rFonts w:ascii="Georgia" w:hAnsi="Georgia" w:cs="Arial"/>
          <w:color w:val="auto"/>
          <w:szCs w:val="24"/>
        </w:rPr>
        <w:t xml:space="preserve"> 1374-1°).</w:t>
      </w:r>
    </w:p>
    <w:p w14:paraId="2A5BA4B1" w14:textId="77777777" w:rsidR="00FF42C0" w:rsidRPr="009A6A51" w:rsidRDefault="00FF42C0" w:rsidP="00315D8B">
      <w:pPr>
        <w:pStyle w:val="Textopredeterminado"/>
        <w:spacing w:line="276" w:lineRule="auto"/>
        <w:jc w:val="both"/>
        <w:rPr>
          <w:rFonts w:ascii="Georgia" w:hAnsi="Georgia" w:cs="Arial"/>
          <w:color w:val="auto"/>
          <w:szCs w:val="24"/>
        </w:rPr>
      </w:pPr>
    </w:p>
    <w:p w14:paraId="4BEB9F27" w14:textId="15170C56" w:rsidR="004C6A39" w:rsidRPr="009A6A51" w:rsidRDefault="004C0530" w:rsidP="00315D8B">
      <w:pPr>
        <w:pStyle w:val="Textopredeterminado"/>
        <w:spacing w:line="276" w:lineRule="auto"/>
        <w:jc w:val="both"/>
        <w:rPr>
          <w:rFonts w:ascii="Georgia" w:hAnsi="Georgia" w:cs="Arial"/>
          <w:color w:val="auto"/>
          <w:szCs w:val="24"/>
        </w:rPr>
      </w:pPr>
      <w:r w:rsidRPr="009A6A51">
        <w:rPr>
          <w:rFonts w:ascii="Georgia" w:hAnsi="Georgia" w:cs="Arial"/>
          <w:color w:val="auto"/>
          <w:szCs w:val="24"/>
        </w:rPr>
        <w:t xml:space="preserve">Además </w:t>
      </w:r>
      <w:r w:rsidR="00FF42C0" w:rsidRPr="009A6A51">
        <w:rPr>
          <w:rFonts w:ascii="Georgia" w:hAnsi="Georgia" w:cs="Arial"/>
          <w:color w:val="auto"/>
          <w:szCs w:val="24"/>
        </w:rPr>
        <w:t xml:space="preserve">tenerse en cuenta que </w:t>
      </w:r>
      <w:r w:rsidR="00FA29C5" w:rsidRPr="009A6A51">
        <w:rPr>
          <w:rFonts w:ascii="Georgia" w:hAnsi="Georgia" w:cs="Arial"/>
          <w:color w:val="auto"/>
          <w:szCs w:val="24"/>
        </w:rPr>
        <w:t xml:space="preserve">el interés de </w:t>
      </w:r>
      <w:r w:rsidR="00FF42C0" w:rsidRPr="009A6A51">
        <w:rPr>
          <w:rFonts w:ascii="Georgia" w:hAnsi="Georgia" w:cs="Arial"/>
          <w:color w:val="auto"/>
          <w:szCs w:val="24"/>
        </w:rPr>
        <w:t xml:space="preserve">la administración de justicia </w:t>
      </w:r>
      <w:r w:rsidR="00FF42C0" w:rsidRPr="009A6A51">
        <w:rPr>
          <w:rFonts w:ascii="Georgia" w:hAnsi="Georgia" w:cs="Arial"/>
          <w:b/>
          <w:color w:val="auto"/>
          <w:szCs w:val="24"/>
        </w:rPr>
        <w:t xml:space="preserve">es que el </w:t>
      </w:r>
      <w:r w:rsidR="00FA29C5" w:rsidRPr="009A6A51">
        <w:rPr>
          <w:rFonts w:ascii="Georgia" w:hAnsi="Georgia" w:cs="Arial"/>
          <w:b/>
          <w:color w:val="auto"/>
          <w:szCs w:val="24"/>
        </w:rPr>
        <w:t xml:space="preserve">litigio </w:t>
      </w:r>
      <w:r w:rsidR="00FF42C0" w:rsidRPr="009A6A51">
        <w:rPr>
          <w:rFonts w:ascii="Georgia" w:hAnsi="Georgia" w:cs="Arial"/>
          <w:b/>
          <w:color w:val="auto"/>
          <w:szCs w:val="24"/>
        </w:rPr>
        <w:t>se resuelva</w:t>
      </w:r>
      <w:r w:rsidR="00FF42C0" w:rsidRPr="009A6A51">
        <w:rPr>
          <w:rFonts w:ascii="Georgia" w:hAnsi="Georgia" w:cs="Arial"/>
          <w:color w:val="auto"/>
          <w:szCs w:val="24"/>
        </w:rPr>
        <w:t xml:space="preserve"> y, entonces, en aras de </w:t>
      </w:r>
      <w:r w:rsidR="00320AD0" w:rsidRPr="009A6A51">
        <w:rPr>
          <w:rFonts w:ascii="Georgia" w:hAnsi="Georgia" w:cs="Arial"/>
          <w:color w:val="auto"/>
          <w:szCs w:val="24"/>
        </w:rPr>
        <w:t>ese propósito</w:t>
      </w:r>
      <w:r w:rsidR="00A642BA" w:rsidRPr="009A6A51">
        <w:rPr>
          <w:rFonts w:ascii="Georgia" w:hAnsi="Georgia" w:cs="Arial"/>
          <w:color w:val="auto"/>
          <w:szCs w:val="24"/>
        </w:rPr>
        <w:t>,</w:t>
      </w:r>
      <w:r w:rsidR="00320AD0" w:rsidRPr="009A6A51">
        <w:rPr>
          <w:rFonts w:ascii="Georgia" w:hAnsi="Georgia" w:cs="Arial"/>
          <w:color w:val="auto"/>
          <w:szCs w:val="24"/>
        </w:rPr>
        <w:t xml:space="preserve"> a</w:t>
      </w:r>
      <w:r w:rsidR="00A642BA" w:rsidRPr="009A6A51">
        <w:rPr>
          <w:rFonts w:ascii="Georgia" w:hAnsi="Georgia" w:cs="Arial"/>
          <w:color w:val="auto"/>
          <w:szCs w:val="24"/>
        </w:rPr>
        <w:t xml:space="preserve">sumir </w:t>
      </w:r>
      <w:r w:rsidR="00FF42C0" w:rsidRPr="009A6A51">
        <w:rPr>
          <w:rFonts w:ascii="Georgia" w:hAnsi="Georgia" w:cs="Arial"/>
          <w:color w:val="auto"/>
          <w:szCs w:val="24"/>
        </w:rPr>
        <w:t xml:space="preserve">la carga de avaluar los bienes y </w:t>
      </w:r>
      <w:r w:rsidR="00320AD0" w:rsidRPr="009A6A51">
        <w:rPr>
          <w:rFonts w:ascii="Georgia" w:hAnsi="Georgia" w:cs="Arial"/>
          <w:color w:val="auto"/>
          <w:szCs w:val="24"/>
        </w:rPr>
        <w:t xml:space="preserve">realizar </w:t>
      </w:r>
      <w:r w:rsidR="00FF42C0" w:rsidRPr="009A6A51">
        <w:rPr>
          <w:rFonts w:ascii="Georgia" w:hAnsi="Georgia" w:cs="Arial"/>
          <w:color w:val="auto"/>
          <w:szCs w:val="24"/>
        </w:rPr>
        <w:t xml:space="preserve">los trámites para el remate, </w:t>
      </w:r>
      <w:r w:rsidR="00320AD0" w:rsidRPr="009A6A51">
        <w:rPr>
          <w:rFonts w:ascii="Georgia" w:hAnsi="Georgia" w:cs="Arial"/>
          <w:color w:val="auto"/>
          <w:szCs w:val="24"/>
        </w:rPr>
        <w:t>no solamente podr</w:t>
      </w:r>
      <w:r w:rsidR="000F25D6" w:rsidRPr="009A6A51">
        <w:rPr>
          <w:rFonts w:ascii="Georgia" w:hAnsi="Georgia" w:cs="Arial"/>
          <w:color w:val="auto"/>
          <w:szCs w:val="24"/>
        </w:rPr>
        <w:t>á</w:t>
      </w:r>
      <w:r w:rsidR="00320AD0" w:rsidRPr="009A6A51">
        <w:rPr>
          <w:rFonts w:ascii="Georgia" w:hAnsi="Georgia" w:cs="Arial"/>
          <w:color w:val="auto"/>
          <w:szCs w:val="24"/>
        </w:rPr>
        <w:t xml:space="preserve"> </w:t>
      </w:r>
      <w:r w:rsidR="00FA29C5" w:rsidRPr="009A6A51">
        <w:rPr>
          <w:rFonts w:ascii="Georgia" w:hAnsi="Georgia" w:cs="Arial"/>
          <w:color w:val="auto"/>
          <w:szCs w:val="24"/>
        </w:rPr>
        <w:t xml:space="preserve">asignarse </w:t>
      </w:r>
      <w:r w:rsidR="00FF42C0" w:rsidRPr="009A6A51">
        <w:rPr>
          <w:rFonts w:ascii="Georgia" w:hAnsi="Georgia" w:cs="Arial"/>
          <w:color w:val="auto"/>
          <w:szCs w:val="24"/>
        </w:rPr>
        <w:t xml:space="preserve">a la parte actora </w:t>
      </w:r>
      <w:r w:rsidR="00320AD0" w:rsidRPr="009A6A51">
        <w:rPr>
          <w:rFonts w:ascii="Georgia" w:hAnsi="Georgia" w:cs="Arial"/>
          <w:color w:val="auto"/>
          <w:szCs w:val="24"/>
        </w:rPr>
        <w:t>sino a cualquiera de los interesados en terminar la indivisión material de los predio</w:t>
      </w:r>
      <w:r w:rsidRPr="009A6A51">
        <w:rPr>
          <w:rFonts w:ascii="Georgia" w:hAnsi="Georgia" w:cs="Arial"/>
          <w:color w:val="auto"/>
          <w:szCs w:val="24"/>
        </w:rPr>
        <w:t>s</w:t>
      </w:r>
      <w:r w:rsidR="00FA29C5" w:rsidRPr="009A6A51">
        <w:rPr>
          <w:rFonts w:ascii="Georgia" w:hAnsi="Georgia" w:cs="Arial"/>
          <w:color w:val="auto"/>
          <w:szCs w:val="24"/>
        </w:rPr>
        <w:t>, es decir, la carga impuesta debió atender aquella finalidad.</w:t>
      </w:r>
      <w:r w:rsidR="00320AD0" w:rsidRPr="009A6A51">
        <w:rPr>
          <w:rFonts w:ascii="Georgia" w:hAnsi="Georgia" w:cs="Arial"/>
          <w:color w:val="auto"/>
          <w:szCs w:val="24"/>
        </w:rPr>
        <w:t xml:space="preserve"> Aquí </w:t>
      </w:r>
      <w:r w:rsidR="00FF42C0" w:rsidRPr="009A6A51">
        <w:rPr>
          <w:rFonts w:ascii="Georgia" w:hAnsi="Georgia" w:cs="Arial"/>
          <w:color w:val="auto"/>
          <w:szCs w:val="24"/>
        </w:rPr>
        <w:t xml:space="preserve">CISA manifestó su intención de </w:t>
      </w:r>
      <w:r w:rsidR="00A642BA" w:rsidRPr="009A6A51">
        <w:rPr>
          <w:rFonts w:ascii="Georgia" w:hAnsi="Georgia" w:cs="Arial"/>
          <w:color w:val="auto"/>
          <w:szCs w:val="24"/>
        </w:rPr>
        <w:t xml:space="preserve">encargarse de esas gestiones </w:t>
      </w:r>
      <w:r w:rsidR="00320AD0" w:rsidRPr="009A6A51">
        <w:rPr>
          <w:rFonts w:ascii="Georgia" w:hAnsi="Georgia" w:cs="Arial"/>
          <w:color w:val="auto"/>
          <w:szCs w:val="24"/>
        </w:rPr>
        <w:t xml:space="preserve">y al no tratarse de un impulso que irrestrictamente </w:t>
      </w:r>
      <w:r w:rsidR="00FA29C5" w:rsidRPr="009A6A51">
        <w:rPr>
          <w:rFonts w:ascii="Georgia" w:hAnsi="Georgia" w:cs="Arial"/>
          <w:color w:val="auto"/>
          <w:szCs w:val="24"/>
        </w:rPr>
        <w:t xml:space="preserve">corresponda al </w:t>
      </w:r>
      <w:r w:rsidR="00320AD0" w:rsidRPr="009A6A51">
        <w:rPr>
          <w:rFonts w:ascii="Georgia" w:hAnsi="Georgia" w:cs="Arial"/>
          <w:color w:val="auto"/>
          <w:szCs w:val="24"/>
        </w:rPr>
        <w:t xml:space="preserve">demandante, bien </w:t>
      </w:r>
      <w:r w:rsidR="00FA29C5" w:rsidRPr="009A6A51">
        <w:rPr>
          <w:rFonts w:ascii="Georgia" w:hAnsi="Georgia" w:cs="Arial"/>
          <w:color w:val="auto"/>
          <w:szCs w:val="24"/>
        </w:rPr>
        <w:t>puede cumplirlas otro sujeto procesal</w:t>
      </w:r>
      <w:r w:rsidR="00320AD0" w:rsidRPr="009A6A51">
        <w:rPr>
          <w:rFonts w:ascii="Georgia" w:hAnsi="Georgia" w:cs="Arial"/>
          <w:color w:val="auto"/>
          <w:szCs w:val="24"/>
        </w:rPr>
        <w:t>.</w:t>
      </w:r>
    </w:p>
    <w:p w14:paraId="388CB6EF" w14:textId="13A0F010" w:rsidR="11721A1B" w:rsidRPr="009A6A51" w:rsidRDefault="11721A1B" w:rsidP="00315D8B">
      <w:pPr>
        <w:pStyle w:val="Textopredeterminado"/>
        <w:tabs>
          <w:tab w:val="left" w:pos="3900"/>
        </w:tabs>
        <w:spacing w:line="276" w:lineRule="auto"/>
        <w:jc w:val="both"/>
        <w:rPr>
          <w:rFonts w:ascii="Georgia" w:hAnsi="Georgia" w:cs="Arial"/>
          <w:color w:val="auto"/>
          <w:szCs w:val="24"/>
        </w:rPr>
      </w:pPr>
    </w:p>
    <w:p w14:paraId="45D28AE7" w14:textId="77777777" w:rsidR="00B35825" w:rsidRPr="009A6A51" w:rsidRDefault="00144B3B" w:rsidP="00315D8B">
      <w:pPr>
        <w:pStyle w:val="Prrafodelista"/>
        <w:numPr>
          <w:ilvl w:val="0"/>
          <w:numId w:val="6"/>
        </w:numPr>
        <w:spacing w:line="276" w:lineRule="auto"/>
        <w:jc w:val="both"/>
        <w:rPr>
          <w:rFonts w:ascii="Georgia" w:hAnsi="Georgia" w:cs="Arial"/>
          <w:b/>
          <w:bCs/>
          <w:smallCaps/>
        </w:rPr>
      </w:pPr>
      <w:r w:rsidRPr="009A6A51">
        <w:rPr>
          <w:rFonts w:ascii="Georgia" w:hAnsi="Georgia" w:cs="Arial"/>
          <w:b/>
          <w:bCs/>
          <w:smallCaps/>
        </w:rPr>
        <w:t>Las decisiones finales</w:t>
      </w:r>
    </w:p>
    <w:p w14:paraId="39279CFB" w14:textId="77777777" w:rsidR="00773A8F" w:rsidRPr="009A6A51" w:rsidRDefault="00773A8F" w:rsidP="00315D8B">
      <w:pPr>
        <w:spacing w:line="276" w:lineRule="auto"/>
        <w:jc w:val="both"/>
        <w:rPr>
          <w:rFonts w:ascii="Georgia" w:hAnsi="Georgia" w:cs="Arial"/>
        </w:rPr>
      </w:pPr>
    </w:p>
    <w:p w14:paraId="3FBE1396" w14:textId="71D6882E" w:rsidR="00B35825" w:rsidRPr="009A6A51" w:rsidRDefault="00B35825" w:rsidP="00315D8B">
      <w:pPr>
        <w:spacing w:line="276" w:lineRule="auto"/>
        <w:jc w:val="both"/>
        <w:rPr>
          <w:rFonts w:ascii="Georgia" w:hAnsi="Georgia" w:cs="Arial"/>
        </w:rPr>
      </w:pPr>
      <w:r w:rsidRPr="009A6A51">
        <w:rPr>
          <w:rFonts w:ascii="Georgia" w:hAnsi="Georgia" w:cs="Arial"/>
        </w:rPr>
        <w:t xml:space="preserve">Con estribo en las premisas anteriores: </w:t>
      </w:r>
      <w:r w:rsidRPr="009A6A51">
        <w:rPr>
          <w:rFonts w:ascii="Georgia" w:hAnsi="Georgia" w:cs="Arial"/>
          <w:b/>
        </w:rPr>
        <w:t>(i)</w:t>
      </w:r>
      <w:r w:rsidRPr="009A6A51">
        <w:rPr>
          <w:rFonts w:ascii="Georgia" w:hAnsi="Georgia" w:cs="Arial"/>
        </w:rPr>
        <w:t xml:space="preserve"> Se </w:t>
      </w:r>
      <w:r w:rsidR="002C61D4" w:rsidRPr="009A6A51">
        <w:rPr>
          <w:rFonts w:ascii="Georgia" w:hAnsi="Georgia" w:cs="Arial"/>
        </w:rPr>
        <w:t>revocar</w:t>
      </w:r>
      <w:r w:rsidRPr="009A6A51">
        <w:rPr>
          <w:rFonts w:ascii="Georgia" w:hAnsi="Georgia" w:cs="Arial"/>
        </w:rPr>
        <w:t xml:space="preserve">á el auto </w:t>
      </w:r>
      <w:r w:rsidR="001B10CD" w:rsidRPr="009A6A51">
        <w:rPr>
          <w:rFonts w:ascii="Georgia" w:hAnsi="Georgia" w:cs="Arial"/>
        </w:rPr>
        <w:t xml:space="preserve">que </w:t>
      </w:r>
      <w:r w:rsidR="00B204D6" w:rsidRPr="009A6A51">
        <w:rPr>
          <w:rFonts w:ascii="Georgia" w:hAnsi="Georgia" w:cs="Arial"/>
        </w:rPr>
        <w:t xml:space="preserve">decretó </w:t>
      </w:r>
      <w:r w:rsidR="001B10CD" w:rsidRPr="009A6A51">
        <w:rPr>
          <w:rFonts w:ascii="Georgia" w:hAnsi="Georgia" w:cs="Arial"/>
        </w:rPr>
        <w:t xml:space="preserve">el desistimiento tácito </w:t>
      </w:r>
      <w:r w:rsidR="004C0530" w:rsidRPr="009A6A51">
        <w:rPr>
          <w:rFonts w:ascii="Georgia" w:hAnsi="Georgia" w:cs="Arial"/>
        </w:rPr>
        <w:t xml:space="preserve">y el </w:t>
      </w:r>
      <w:r w:rsidR="001B10CD" w:rsidRPr="009A6A51">
        <w:rPr>
          <w:rFonts w:ascii="Georgia" w:hAnsi="Georgia" w:cs="Arial"/>
        </w:rPr>
        <w:t xml:space="preserve">proveído que lo </w:t>
      </w:r>
      <w:r w:rsidR="004C0530" w:rsidRPr="009A6A51">
        <w:rPr>
          <w:rFonts w:ascii="Georgia" w:hAnsi="Georgia" w:cs="Arial"/>
        </w:rPr>
        <w:t>modificó</w:t>
      </w:r>
      <w:r w:rsidRPr="009A6A51">
        <w:rPr>
          <w:rFonts w:ascii="Georgia" w:hAnsi="Georgia" w:cs="Arial"/>
        </w:rPr>
        <w:t xml:space="preserve">; </w:t>
      </w:r>
      <w:r w:rsidRPr="009A6A51">
        <w:rPr>
          <w:rFonts w:ascii="Georgia" w:hAnsi="Georgia" w:cs="Arial"/>
          <w:b/>
        </w:rPr>
        <w:t>(ii)</w:t>
      </w:r>
      <w:r w:rsidRPr="009A6A51">
        <w:rPr>
          <w:rFonts w:ascii="Georgia" w:hAnsi="Georgia" w:cs="Arial"/>
        </w:rPr>
        <w:t xml:space="preserve"> </w:t>
      </w:r>
      <w:r w:rsidR="004C0530" w:rsidRPr="009A6A51">
        <w:rPr>
          <w:rFonts w:ascii="Georgia" w:hAnsi="Georgia" w:cs="Arial"/>
        </w:rPr>
        <w:t xml:space="preserve">Se abstendrá de </w:t>
      </w:r>
      <w:r w:rsidR="002C61D4" w:rsidRPr="009A6A51">
        <w:rPr>
          <w:rFonts w:ascii="Georgia" w:hAnsi="Georgia" w:cs="Arial"/>
        </w:rPr>
        <w:t>condena</w:t>
      </w:r>
      <w:r w:rsidR="004C0530" w:rsidRPr="009A6A51">
        <w:rPr>
          <w:rFonts w:ascii="Georgia" w:hAnsi="Georgia" w:cs="Arial"/>
        </w:rPr>
        <w:t>r</w:t>
      </w:r>
      <w:r w:rsidR="002C61D4" w:rsidRPr="009A6A51">
        <w:rPr>
          <w:rFonts w:ascii="Georgia" w:hAnsi="Georgia" w:cs="Arial"/>
        </w:rPr>
        <w:t xml:space="preserve"> en costas porque </w:t>
      </w:r>
      <w:r w:rsidR="001B10CD" w:rsidRPr="009A6A51">
        <w:rPr>
          <w:rFonts w:ascii="Georgia" w:hAnsi="Georgia" w:cs="Arial"/>
        </w:rPr>
        <w:t xml:space="preserve">hubo </w:t>
      </w:r>
      <w:r w:rsidR="002C61D4" w:rsidRPr="009A6A51">
        <w:rPr>
          <w:rFonts w:ascii="Georgia" w:hAnsi="Georgia" w:cs="Arial"/>
        </w:rPr>
        <w:t xml:space="preserve">éxito </w:t>
      </w:r>
      <w:r w:rsidR="001B10CD" w:rsidRPr="009A6A51">
        <w:rPr>
          <w:rFonts w:ascii="Georgia" w:hAnsi="Georgia" w:cs="Arial"/>
        </w:rPr>
        <w:t xml:space="preserve">en </w:t>
      </w:r>
      <w:r w:rsidR="002C61D4" w:rsidRPr="009A6A51">
        <w:rPr>
          <w:rFonts w:ascii="Georgia" w:hAnsi="Georgia" w:cs="Arial"/>
        </w:rPr>
        <w:t>el recurso (Artículo 365, CGP)</w:t>
      </w:r>
      <w:r w:rsidRPr="009A6A51">
        <w:rPr>
          <w:rFonts w:ascii="Georgia" w:hAnsi="Georgia" w:cs="Arial"/>
        </w:rPr>
        <w:t>;</w:t>
      </w:r>
      <w:r w:rsidRPr="009A6A51">
        <w:rPr>
          <w:rFonts w:ascii="Georgia" w:hAnsi="Georgia" w:cs="Arial"/>
          <w:b/>
        </w:rPr>
        <w:t xml:space="preserve"> (iii)</w:t>
      </w:r>
      <w:r w:rsidRPr="009A6A51">
        <w:rPr>
          <w:rFonts w:ascii="Georgia" w:hAnsi="Georgia" w:cs="Arial"/>
        </w:rPr>
        <w:t xml:space="preserve"> Se advertirá que esta decisión es irrecurrible (Art.35, CGP)</w:t>
      </w:r>
      <w:r w:rsidRPr="009A6A51">
        <w:rPr>
          <w:rFonts w:ascii="Georgia" w:hAnsi="Georgia" w:cs="Arial"/>
          <w:lang w:val="es-CO"/>
        </w:rPr>
        <w:t xml:space="preserve">; </w:t>
      </w:r>
      <w:r w:rsidRPr="009A6A51">
        <w:rPr>
          <w:rFonts w:ascii="Georgia" w:hAnsi="Georgia" w:cs="Arial"/>
        </w:rPr>
        <w:t xml:space="preserve">y, </w:t>
      </w:r>
      <w:r w:rsidRPr="009A6A51">
        <w:rPr>
          <w:rFonts w:ascii="Georgia" w:hAnsi="Georgia" w:cs="Arial"/>
          <w:b/>
        </w:rPr>
        <w:t>(iv)</w:t>
      </w:r>
      <w:r w:rsidRPr="009A6A51">
        <w:rPr>
          <w:rFonts w:ascii="Georgia" w:hAnsi="Georgia" w:cs="Arial"/>
        </w:rPr>
        <w:t xml:space="preserve"> Se devolver</w:t>
      </w:r>
      <w:r w:rsidR="004C0530" w:rsidRPr="009A6A51">
        <w:rPr>
          <w:rFonts w:ascii="Georgia" w:hAnsi="Georgia" w:cs="Arial"/>
        </w:rPr>
        <w:t xml:space="preserve">á </w:t>
      </w:r>
      <w:r w:rsidRPr="009A6A51">
        <w:rPr>
          <w:rFonts w:ascii="Georgia" w:hAnsi="Georgia" w:cs="Arial"/>
        </w:rPr>
        <w:t>el expediente al juzgado de origen.</w:t>
      </w:r>
    </w:p>
    <w:p w14:paraId="7A02497D" w14:textId="77777777" w:rsidR="002020F7" w:rsidRPr="009A6A51" w:rsidRDefault="002020F7" w:rsidP="00315D8B">
      <w:pPr>
        <w:spacing w:line="276" w:lineRule="auto"/>
        <w:jc w:val="both"/>
        <w:rPr>
          <w:rFonts w:ascii="Georgia" w:hAnsi="Georgia" w:cs="Arial"/>
        </w:rPr>
      </w:pPr>
    </w:p>
    <w:p w14:paraId="48FBE274" w14:textId="77777777" w:rsidR="003B3275" w:rsidRPr="009A6A51" w:rsidRDefault="003B3275" w:rsidP="00315D8B">
      <w:pPr>
        <w:tabs>
          <w:tab w:val="left" w:pos="-720"/>
        </w:tabs>
        <w:suppressAutoHyphens/>
        <w:spacing w:line="276" w:lineRule="auto"/>
        <w:jc w:val="both"/>
        <w:rPr>
          <w:rFonts w:ascii="Georgia" w:hAnsi="Georgia" w:cs="Arial"/>
          <w:spacing w:val="-3"/>
        </w:rPr>
      </w:pPr>
      <w:r w:rsidRPr="009A6A51">
        <w:rPr>
          <w:rFonts w:ascii="Georgia" w:hAnsi="Georgia" w:cs="Arial"/>
        </w:rPr>
        <w:t xml:space="preserve">En mérito de lo discurrido en los acápites precedentes, el </w:t>
      </w:r>
      <w:r w:rsidRPr="009A6A51">
        <w:rPr>
          <w:rFonts w:ascii="Georgia" w:hAnsi="Georgia" w:cs="Arial"/>
          <w:smallCaps/>
        </w:rPr>
        <w:t>Tribunal Superior del Distrito Judicial de Pereira, Sala Unitaria de Decisión</w:t>
      </w:r>
      <w:r w:rsidRPr="009A6A51">
        <w:rPr>
          <w:rFonts w:ascii="Georgia" w:hAnsi="Georgia" w:cs="Arial"/>
        </w:rPr>
        <w:t>,</w:t>
      </w:r>
    </w:p>
    <w:p w14:paraId="1C52552F" w14:textId="2AB22CD3" w:rsidR="11721A1B" w:rsidRPr="009A6A51" w:rsidRDefault="11721A1B" w:rsidP="00315D8B">
      <w:pPr>
        <w:pStyle w:val="Sinespaciado"/>
        <w:spacing w:line="276" w:lineRule="auto"/>
        <w:jc w:val="center"/>
        <w:rPr>
          <w:rFonts w:ascii="Georgia" w:hAnsi="Georgia" w:cs="Arial"/>
          <w:b/>
          <w:bCs/>
          <w:sz w:val="24"/>
          <w:szCs w:val="24"/>
        </w:rPr>
      </w:pPr>
    </w:p>
    <w:p w14:paraId="54910437" w14:textId="77777777" w:rsidR="003B3275" w:rsidRPr="009A6A51" w:rsidRDefault="003B3275" w:rsidP="00315D8B">
      <w:pPr>
        <w:pStyle w:val="Sinespaciado"/>
        <w:spacing w:line="276" w:lineRule="auto"/>
        <w:jc w:val="center"/>
        <w:rPr>
          <w:rFonts w:ascii="Georgia" w:hAnsi="Georgia" w:cs="Arial"/>
          <w:sz w:val="24"/>
          <w:szCs w:val="24"/>
        </w:rPr>
      </w:pPr>
      <w:r w:rsidRPr="009A6A51">
        <w:rPr>
          <w:rFonts w:ascii="Georgia" w:hAnsi="Georgia" w:cs="Arial"/>
          <w:sz w:val="24"/>
          <w:szCs w:val="24"/>
        </w:rPr>
        <w:t>R E S U E L V E,</w:t>
      </w:r>
    </w:p>
    <w:p w14:paraId="5A5B981C" w14:textId="77777777" w:rsidR="003B3275" w:rsidRPr="009A6A51" w:rsidRDefault="003B3275" w:rsidP="00315D8B">
      <w:pPr>
        <w:pStyle w:val="Sinespaciado"/>
        <w:spacing w:line="276" w:lineRule="auto"/>
        <w:jc w:val="center"/>
        <w:rPr>
          <w:rFonts w:ascii="Georgia" w:hAnsi="Georgia" w:cs="Arial"/>
          <w:sz w:val="24"/>
          <w:szCs w:val="24"/>
        </w:rPr>
      </w:pPr>
    </w:p>
    <w:p w14:paraId="06E74AC2" w14:textId="110DE037" w:rsidR="003B3275" w:rsidRPr="009A6A51" w:rsidRDefault="002C61D4" w:rsidP="00315D8B">
      <w:pPr>
        <w:pStyle w:val="Textopredeterminado"/>
        <w:numPr>
          <w:ilvl w:val="0"/>
          <w:numId w:val="23"/>
        </w:numPr>
        <w:tabs>
          <w:tab w:val="left" w:pos="544"/>
        </w:tabs>
        <w:spacing w:line="276" w:lineRule="auto"/>
        <w:jc w:val="both"/>
        <w:textAlignment w:val="auto"/>
        <w:rPr>
          <w:rFonts w:ascii="Georgia" w:hAnsi="Georgia"/>
          <w:color w:val="auto"/>
          <w:szCs w:val="24"/>
        </w:rPr>
      </w:pPr>
      <w:r w:rsidRPr="009A6A51">
        <w:rPr>
          <w:rFonts w:ascii="Georgia" w:hAnsi="Georgia" w:cs="Arial"/>
          <w:color w:val="auto"/>
          <w:szCs w:val="24"/>
        </w:rPr>
        <w:t xml:space="preserve">REVOCAR </w:t>
      </w:r>
      <w:r w:rsidR="00095EF1" w:rsidRPr="009A6A51">
        <w:rPr>
          <w:rFonts w:ascii="Georgia" w:hAnsi="Georgia" w:cs="Arial"/>
          <w:color w:val="auto"/>
          <w:szCs w:val="24"/>
        </w:rPr>
        <w:t xml:space="preserve">los </w:t>
      </w:r>
      <w:r w:rsidR="00EA41B6" w:rsidRPr="009A6A51">
        <w:rPr>
          <w:rFonts w:ascii="Georgia" w:hAnsi="Georgia" w:cs="Arial"/>
          <w:color w:val="auto"/>
          <w:szCs w:val="24"/>
        </w:rPr>
        <w:t>pro</w:t>
      </w:r>
      <w:r w:rsidR="0007518B" w:rsidRPr="009A6A51">
        <w:rPr>
          <w:rFonts w:ascii="Georgia" w:hAnsi="Georgia" w:cs="Arial"/>
          <w:color w:val="auto"/>
          <w:szCs w:val="24"/>
        </w:rPr>
        <w:t>veído</w:t>
      </w:r>
      <w:r w:rsidR="00095EF1" w:rsidRPr="009A6A51">
        <w:rPr>
          <w:rFonts w:ascii="Georgia" w:hAnsi="Georgia" w:cs="Arial"/>
          <w:color w:val="auto"/>
          <w:szCs w:val="24"/>
        </w:rPr>
        <w:t>s</w:t>
      </w:r>
      <w:r w:rsidR="0007518B" w:rsidRPr="009A6A51">
        <w:rPr>
          <w:rFonts w:ascii="Georgia" w:hAnsi="Georgia" w:cs="Arial"/>
          <w:color w:val="auto"/>
          <w:szCs w:val="24"/>
        </w:rPr>
        <w:t xml:space="preserve"> </w:t>
      </w:r>
      <w:r w:rsidR="00095EF1" w:rsidRPr="009A6A51">
        <w:rPr>
          <w:rFonts w:ascii="Georgia" w:hAnsi="Georgia" w:cs="Arial"/>
          <w:color w:val="auto"/>
          <w:szCs w:val="24"/>
        </w:rPr>
        <w:t xml:space="preserve">fechados </w:t>
      </w:r>
      <w:r w:rsidR="00144B3B" w:rsidRPr="009A6A51">
        <w:rPr>
          <w:rFonts w:ascii="Georgia" w:hAnsi="Georgia" w:cs="Arial"/>
          <w:color w:val="auto"/>
          <w:szCs w:val="24"/>
        </w:rPr>
        <w:t>el</w:t>
      </w:r>
      <w:r w:rsidR="008F0855" w:rsidRPr="009A6A51">
        <w:rPr>
          <w:rFonts w:ascii="Georgia" w:hAnsi="Georgia" w:cs="Arial"/>
          <w:color w:val="auto"/>
          <w:szCs w:val="24"/>
        </w:rPr>
        <w:t xml:space="preserve"> </w:t>
      </w:r>
      <w:r w:rsidR="00144B3B" w:rsidRPr="009A6A51">
        <w:rPr>
          <w:rFonts w:ascii="Georgia" w:hAnsi="Georgia" w:cs="Arial"/>
          <w:color w:val="auto"/>
          <w:szCs w:val="24"/>
        </w:rPr>
        <w:t>1</w:t>
      </w:r>
      <w:r w:rsidR="0077639D" w:rsidRPr="009A6A51">
        <w:rPr>
          <w:rFonts w:ascii="Georgia" w:hAnsi="Georgia" w:cs="Arial"/>
          <w:color w:val="auto"/>
          <w:szCs w:val="24"/>
        </w:rPr>
        <w:t>5</w:t>
      </w:r>
      <w:r w:rsidR="00144B3B" w:rsidRPr="009A6A51">
        <w:rPr>
          <w:rFonts w:ascii="Georgia" w:hAnsi="Georgia" w:cs="Arial"/>
          <w:color w:val="auto"/>
          <w:szCs w:val="24"/>
        </w:rPr>
        <w:t>-0</w:t>
      </w:r>
      <w:r w:rsidR="0077639D" w:rsidRPr="009A6A51">
        <w:rPr>
          <w:rFonts w:ascii="Georgia" w:hAnsi="Georgia" w:cs="Arial"/>
          <w:color w:val="auto"/>
          <w:szCs w:val="24"/>
        </w:rPr>
        <w:t>1</w:t>
      </w:r>
      <w:r w:rsidR="00144B3B" w:rsidRPr="009A6A51">
        <w:rPr>
          <w:rFonts w:ascii="Georgia" w:hAnsi="Georgia" w:cs="Arial"/>
          <w:color w:val="auto"/>
          <w:szCs w:val="24"/>
        </w:rPr>
        <w:t>-202</w:t>
      </w:r>
      <w:r w:rsidR="0077639D" w:rsidRPr="009A6A51">
        <w:rPr>
          <w:rFonts w:ascii="Georgia" w:hAnsi="Georgia" w:cs="Arial"/>
          <w:color w:val="auto"/>
          <w:szCs w:val="24"/>
        </w:rPr>
        <w:t>1</w:t>
      </w:r>
      <w:r w:rsidR="00095EF1" w:rsidRPr="009A6A51">
        <w:rPr>
          <w:rFonts w:ascii="Georgia" w:hAnsi="Georgia" w:cs="Arial"/>
          <w:color w:val="auto"/>
          <w:szCs w:val="24"/>
        </w:rPr>
        <w:t xml:space="preserve"> y el 12-02-2021</w:t>
      </w:r>
      <w:r w:rsidR="008F0855" w:rsidRPr="009A6A51">
        <w:rPr>
          <w:rFonts w:ascii="Georgia" w:hAnsi="Georgia" w:cs="Arial"/>
          <w:color w:val="auto"/>
          <w:szCs w:val="24"/>
        </w:rPr>
        <w:t xml:space="preserve">, que </w:t>
      </w:r>
      <w:r w:rsidR="00326039" w:rsidRPr="009A6A51">
        <w:rPr>
          <w:rFonts w:ascii="Georgia" w:hAnsi="Georgia" w:cs="Arial"/>
          <w:color w:val="auto"/>
          <w:szCs w:val="24"/>
        </w:rPr>
        <w:t>decretaron el desistimiento tácito en este proceso</w:t>
      </w:r>
      <w:r w:rsidR="004C0530" w:rsidRPr="009A6A51">
        <w:rPr>
          <w:rFonts w:ascii="Georgia" w:hAnsi="Georgia" w:cs="Arial"/>
          <w:strike/>
          <w:color w:val="auto"/>
          <w:szCs w:val="24"/>
        </w:rPr>
        <w:t>.</w:t>
      </w:r>
      <w:r w:rsidR="0077639D" w:rsidRPr="009A6A51">
        <w:rPr>
          <w:rFonts w:ascii="Georgia" w:hAnsi="Georgia" w:cs="Arial"/>
          <w:strike/>
          <w:color w:val="auto"/>
          <w:szCs w:val="24"/>
        </w:rPr>
        <w:t xml:space="preserve"> </w:t>
      </w:r>
    </w:p>
    <w:p w14:paraId="722BAD1F" w14:textId="77777777" w:rsidR="003B3275" w:rsidRPr="009A6A51" w:rsidRDefault="003B3275" w:rsidP="00315D8B">
      <w:pPr>
        <w:spacing w:line="276" w:lineRule="auto"/>
        <w:ind w:left="360"/>
        <w:rPr>
          <w:rFonts w:ascii="Georgia" w:hAnsi="Georgia" w:cs="Arial"/>
        </w:rPr>
      </w:pPr>
    </w:p>
    <w:p w14:paraId="49DAD7BC" w14:textId="7E42679F" w:rsidR="0077639D" w:rsidRPr="009A6A51" w:rsidRDefault="0077639D" w:rsidP="00315D8B">
      <w:pPr>
        <w:pStyle w:val="Textopredeterminado"/>
        <w:numPr>
          <w:ilvl w:val="0"/>
          <w:numId w:val="23"/>
        </w:numPr>
        <w:tabs>
          <w:tab w:val="left" w:pos="544"/>
        </w:tabs>
        <w:spacing w:line="276" w:lineRule="auto"/>
        <w:jc w:val="both"/>
        <w:textAlignment w:val="auto"/>
        <w:rPr>
          <w:rFonts w:ascii="Georgia" w:hAnsi="Georgia" w:cs="Arial"/>
          <w:color w:val="auto"/>
          <w:szCs w:val="24"/>
        </w:rPr>
      </w:pPr>
      <w:r w:rsidRPr="009A6A51">
        <w:rPr>
          <w:rFonts w:ascii="Georgia" w:hAnsi="Georgia" w:cs="Arial"/>
          <w:color w:val="auto"/>
          <w:szCs w:val="24"/>
        </w:rPr>
        <w:t>ADVERTIR que esta decisión es irrecurrible y ABSTENERSE de condenar en costas</w:t>
      </w:r>
      <w:r w:rsidRPr="009A6A51">
        <w:rPr>
          <w:rFonts w:ascii="Georgia" w:hAnsi="Georgia"/>
          <w:color w:val="auto"/>
          <w:szCs w:val="24"/>
        </w:rPr>
        <w:t>.</w:t>
      </w:r>
    </w:p>
    <w:p w14:paraId="6D047EA7" w14:textId="77777777" w:rsidR="00316F70" w:rsidRPr="009A6A51" w:rsidRDefault="00316F70" w:rsidP="00315D8B">
      <w:pPr>
        <w:pStyle w:val="Prrafodelista"/>
        <w:spacing w:line="276" w:lineRule="auto"/>
        <w:rPr>
          <w:rFonts w:ascii="Georgia" w:hAnsi="Georgia" w:cs="Arial"/>
        </w:rPr>
      </w:pPr>
    </w:p>
    <w:p w14:paraId="76AC0F40" w14:textId="77777777" w:rsidR="003964CD" w:rsidRPr="009A6A51" w:rsidRDefault="003B3275" w:rsidP="00315D8B">
      <w:pPr>
        <w:pStyle w:val="Textopredeterminado"/>
        <w:numPr>
          <w:ilvl w:val="0"/>
          <w:numId w:val="23"/>
        </w:numPr>
        <w:tabs>
          <w:tab w:val="left" w:pos="544"/>
        </w:tabs>
        <w:spacing w:line="276" w:lineRule="auto"/>
        <w:jc w:val="both"/>
        <w:textAlignment w:val="auto"/>
        <w:rPr>
          <w:rFonts w:ascii="Georgia" w:hAnsi="Georgia" w:cs="Arial"/>
          <w:color w:val="auto"/>
          <w:szCs w:val="24"/>
        </w:rPr>
      </w:pPr>
      <w:r w:rsidRPr="009A6A51">
        <w:rPr>
          <w:rFonts w:ascii="Georgia" w:hAnsi="Georgia" w:cs="Arial"/>
          <w:color w:val="auto"/>
          <w:szCs w:val="24"/>
        </w:rPr>
        <w:t xml:space="preserve">DEVOLVER el expediente al Despacho de origen, por conducto de la Secretaría </w:t>
      </w:r>
      <w:r w:rsidR="00F17EA4" w:rsidRPr="009A6A51">
        <w:rPr>
          <w:rFonts w:ascii="Georgia" w:hAnsi="Georgia" w:cs="Arial"/>
          <w:color w:val="auto"/>
          <w:szCs w:val="24"/>
        </w:rPr>
        <w:t>de la Sala</w:t>
      </w:r>
      <w:r w:rsidRPr="009A6A51">
        <w:rPr>
          <w:rFonts w:ascii="Georgia" w:hAnsi="Georgia" w:cs="Arial"/>
          <w:color w:val="auto"/>
          <w:szCs w:val="24"/>
        </w:rPr>
        <w:t>.</w:t>
      </w:r>
      <w:r w:rsidR="00B55798" w:rsidRPr="009A6A51">
        <w:rPr>
          <w:rFonts w:ascii="Georgia" w:hAnsi="Georgia" w:cs="Arial"/>
          <w:color w:val="auto"/>
          <w:szCs w:val="24"/>
        </w:rPr>
        <w:t xml:space="preserve"> </w:t>
      </w:r>
    </w:p>
    <w:p w14:paraId="41D20642" w14:textId="77777777" w:rsidR="00144B3B" w:rsidRPr="009A6A51" w:rsidRDefault="00144B3B" w:rsidP="00315D8B">
      <w:pPr>
        <w:pStyle w:val="Textopredeterminado"/>
        <w:tabs>
          <w:tab w:val="left" w:pos="544"/>
        </w:tabs>
        <w:spacing w:line="276" w:lineRule="auto"/>
        <w:jc w:val="both"/>
        <w:textAlignment w:val="auto"/>
        <w:rPr>
          <w:rFonts w:ascii="Georgia" w:hAnsi="Georgia" w:cs="Arial"/>
          <w:color w:val="auto"/>
          <w:szCs w:val="24"/>
        </w:rPr>
      </w:pPr>
    </w:p>
    <w:p w14:paraId="20415432" w14:textId="77777777" w:rsidR="00315D8B" w:rsidRPr="009A6A51" w:rsidRDefault="00315D8B" w:rsidP="00315D8B">
      <w:pPr>
        <w:pStyle w:val="Prrafodelista"/>
        <w:spacing w:line="276" w:lineRule="auto"/>
        <w:ind w:left="360"/>
        <w:jc w:val="center"/>
        <w:rPr>
          <w:rFonts w:ascii="Georgia" w:hAnsi="Georgia" w:cs="Arial"/>
          <w:smallCaps/>
        </w:rPr>
      </w:pPr>
      <w:r w:rsidRPr="009A6A51">
        <w:rPr>
          <w:rFonts w:ascii="Georgia" w:hAnsi="Georgia" w:cs="Arial"/>
          <w:smallCaps/>
        </w:rPr>
        <w:t>Notifíquese,</w:t>
      </w:r>
    </w:p>
    <w:p w14:paraId="0547B4BF" w14:textId="77777777" w:rsidR="00315D8B" w:rsidRPr="009A6A51" w:rsidRDefault="00315D8B" w:rsidP="00315D8B">
      <w:pPr>
        <w:pStyle w:val="Textopredeterminado"/>
        <w:spacing w:line="288" w:lineRule="auto"/>
        <w:jc w:val="center"/>
        <w:rPr>
          <w:rFonts w:ascii="Georgia" w:hAnsi="Georgia" w:cs="Arial"/>
          <w:caps/>
          <w:color w:val="auto"/>
          <w:spacing w:val="20"/>
          <w:w w:val="150"/>
          <w:szCs w:val="24"/>
          <w:lang w:val="es-MX"/>
        </w:rPr>
      </w:pPr>
    </w:p>
    <w:p w14:paraId="2AEDA7CE" w14:textId="77777777" w:rsidR="00315D8B" w:rsidRPr="009A6A51" w:rsidRDefault="00315D8B" w:rsidP="00315D8B">
      <w:pPr>
        <w:pStyle w:val="Textopredeterminado"/>
        <w:spacing w:line="288" w:lineRule="auto"/>
        <w:jc w:val="center"/>
        <w:rPr>
          <w:rFonts w:ascii="Georgia" w:hAnsi="Georgia" w:cs="Arial"/>
          <w:caps/>
          <w:color w:val="auto"/>
          <w:spacing w:val="20"/>
          <w:w w:val="150"/>
          <w:szCs w:val="24"/>
          <w:lang w:val="es-MX"/>
        </w:rPr>
      </w:pPr>
    </w:p>
    <w:p w14:paraId="7A4B47F3" w14:textId="77777777" w:rsidR="00315D8B" w:rsidRPr="009A6A51" w:rsidRDefault="00315D8B" w:rsidP="00315D8B">
      <w:pPr>
        <w:pStyle w:val="Textopredeterminado"/>
        <w:spacing w:line="288" w:lineRule="auto"/>
        <w:jc w:val="center"/>
        <w:rPr>
          <w:rFonts w:ascii="Georgia" w:hAnsi="Georgia" w:cs="Arial"/>
          <w:caps/>
          <w:color w:val="auto"/>
          <w:spacing w:val="20"/>
          <w:w w:val="150"/>
          <w:szCs w:val="24"/>
          <w:lang w:val="es-MX"/>
        </w:rPr>
      </w:pPr>
    </w:p>
    <w:p w14:paraId="3514255F" w14:textId="77777777" w:rsidR="00315D8B" w:rsidRPr="009A6A51" w:rsidRDefault="00315D8B" w:rsidP="00315D8B">
      <w:pPr>
        <w:pStyle w:val="Textopredeterminado"/>
        <w:spacing w:line="288" w:lineRule="auto"/>
        <w:jc w:val="center"/>
        <w:rPr>
          <w:rFonts w:ascii="Georgia" w:hAnsi="Georgia" w:cs="Arial"/>
          <w:caps/>
          <w:color w:val="auto"/>
          <w:spacing w:val="20"/>
          <w:w w:val="150"/>
          <w:szCs w:val="24"/>
          <w:lang w:val="es-MX"/>
        </w:rPr>
      </w:pPr>
      <w:r w:rsidRPr="009A6A51">
        <w:rPr>
          <w:rFonts w:ascii="Georgia" w:hAnsi="Georgia" w:cs="Arial"/>
          <w:caps/>
          <w:color w:val="auto"/>
          <w:spacing w:val="20"/>
          <w:w w:val="150"/>
          <w:szCs w:val="24"/>
          <w:lang w:val="es-MX"/>
        </w:rPr>
        <w:t>DUBERNEY GRISALES HERRERA</w:t>
      </w:r>
    </w:p>
    <w:p w14:paraId="327F7726" w14:textId="1ED06AF5" w:rsidR="00A33DB9" w:rsidRPr="009A6A51" w:rsidRDefault="00315D8B" w:rsidP="00315D8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i/>
          <w:spacing w:val="20"/>
          <w:w w:val="150"/>
          <w:lang w:val="en-US"/>
        </w:rPr>
      </w:pPr>
      <w:r w:rsidRPr="009A6A51">
        <w:rPr>
          <w:rFonts w:ascii="Georgia" w:hAnsi="Georgia" w:cs="Arial"/>
          <w:spacing w:val="20"/>
          <w:w w:val="150"/>
        </w:rPr>
        <w:t>Magistrado</w:t>
      </w:r>
    </w:p>
    <w:sectPr w:rsidR="00A33DB9" w:rsidRPr="009A6A51" w:rsidSect="003C37FE">
      <w:headerReference w:type="even" r:id="rId12"/>
      <w:headerReference w:type="default" r:id="rId13"/>
      <w:footerReference w:type="default" r:id="rId14"/>
      <w:pgSz w:w="12242" w:h="18722" w:code="258"/>
      <w:pgMar w:top="1814" w:right="1247" w:bottom="1247" w:left="181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117D" w14:textId="77777777" w:rsidR="00370651" w:rsidRDefault="00370651" w:rsidP="004D2025">
      <w:r>
        <w:separator/>
      </w:r>
    </w:p>
  </w:endnote>
  <w:endnote w:type="continuationSeparator" w:id="0">
    <w:p w14:paraId="46D3D388" w14:textId="77777777" w:rsidR="00370651" w:rsidRDefault="00370651"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D66A" w14:textId="77777777" w:rsidR="00F013A2" w:rsidRPr="00EF2F25" w:rsidRDefault="00F013A2" w:rsidP="00EF2F25">
    <w:pPr>
      <w:pStyle w:val="Piedepgina"/>
      <w:pBdr>
        <w:bottom w:val="double" w:sz="6" w:space="1" w:color="auto"/>
      </w:pBdr>
      <w:spacing w:line="360" w:lineRule="auto"/>
      <w:rPr>
        <w:rFonts w:ascii="Georgia" w:hAnsi="Georgia" w:cs="Arial"/>
        <w:spacing w:val="20"/>
        <w:w w:val="200"/>
        <w:sz w:val="2"/>
        <w:szCs w:val="10"/>
      </w:rPr>
    </w:pPr>
  </w:p>
  <w:p w14:paraId="500C6092" w14:textId="77777777" w:rsidR="00F013A2" w:rsidRPr="00EF2F25" w:rsidRDefault="00F013A2" w:rsidP="00F013A2">
    <w:pPr>
      <w:pStyle w:val="Piedepgina"/>
      <w:spacing w:line="360" w:lineRule="auto"/>
      <w:jc w:val="right"/>
      <w:rPr>
        <w:rFonts w:ascii="Georgia" w:hAnsi="Georgia" w:cs="Arial"/>
        <w:i/>
        <w:spacing w:val="20"/>
        <w:w w:val="200"/>
        <w:sz w:val="14"/>
        <w:szCs w:val="10"/>
      </w:rPr>
    </w:pPr>
  </w:p>
  <w:p w14:paraId="05E1A67F" w14:textId="77777777" w:rsidR="00F013A2" w:rsidRPr="00EF2F25" w:rsidRDefault="00F013A2"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14:paraId="3CBD075D" w14:textId="77777777" w:rsidR="00441A24" w:rsidRPr="00EF2F25" w:rsidRDefault="00F013A2" w:rsidP="00F013A2">
    <w:pPr>
      <w:pStyle w:val="Piedepgina"/>
      <w:jc w:val="right"/>
      <w:rPr>
        <w:rFonts w:ascii="Georgia" w:hAnsi="Georgia"/>
      </w:rPr>
    </w:pPr>
    <w:r w:rsidRPr="00EF2F25">
      <w:rPr>
        <w:rFonts w:ascii="Georgia" w:hAnsi="Georgia" w:cs="Arial"/>
        <w:i/>
        <w:spacing w:val="20"/>
        <w:w w:val="200"/>
        <w:sz w:val="10"/>
        <w:szCs w:val="10"/>
      </w:rPr>
      <w:t>MP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9D1B" w14:textId="77777777" w:rsidR="00370651" w:rsidRDefault="00370651" w:rsidP="004D2025">
      <w:r>
        <w:separator/>
      </w:r>
    </w:p>
  </w:footnote>
  <w:footnote w:type="continuationSeparator" w:id="0">
    <w:p w14:paraId="28C0A759" w14:textId="77777777" w:rsidR="00370651" w:rsidRDefault="00370651" w:rsidP="004D2025">
      <w:r>
        <w:continuationSeparator/>
      </w:r>
    </w:p>
  </w:footnote>
  <w:footnote w:id="1">
    <w:p w14:paraId="1AD6AD96" w14:textId="77777777" w:rsidR="00646F7B" w:rsidRPr="009A6A51" w:rsidRDefault="00026ADC"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w:t>
      </w:r>
      <w:r w:rsidRPr="009A6A51">
        <w:rPr>
          <w:rFonts w:ascii="Century" w:hAnsi="Century" w:cs="Calibri"/>
          <w:lang w:val="es-CO"/>
        </w:rPr>
        <w:t>FORERO S., Jorge. Actividad probatoria en la segunda instancia. Memorias del XXIX Congreso de derecho Procesal, 2018, ICDP, p.307 ss.</w:t>
      </w:r>
    </w:p>
  </w:footnote>
  <w:footnote w:id="2">
    <w:p w14:paraId="38CE15CE" w14:textId="77777777" w:rsidR="00646F7B" w:rsidRPr="009A6A51" w:rsidRDefault="00026ADC"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ESCOBAR V. Édgar G. Los recursos en el Código General del Proceso. Librería jurídica Sánchez R. Ltda. 2015, p.37.</w:t>
      </w:r>
    </w:p>
  </w:footnote>
  <w:footnote w:id="3">
    <w:p w14:paraId="55275028" w14:textId="77777777" w:rsidR="00646F7B" w:rsidRPr="009A6A51" w:rsidRDefault="00026ADC" w:rsidP="009A6A51">
      <w:pPr>
        <w:pStyle w:val="Textonotapie"/>
        <w:jc w:val="both"/>
        <w:rPr>
          <w:rFonts w:ascii="Century" w:hAnsi="Century"/>
        </w:rPr>
      </w:pPr>
      <w:r w:rsidRPr="009A6A51">
        <w:rPr>
          <w:rFonts w:ascii="Century" w:hAnsi="Century"/>
          <w:vertAlign w:val="superscript"/>
        </w:rPr>
        <w:footnoteRef/>
      </w:r>
      <w:r w:rsidRPr="009A6A51">
        <w:rPr>
          <w:rFonts w:ascii="Century" w:hAnsi="Century"/>
        </w:rPr>
        <w:t xml:space="preserve"> </w:t>
      </w:r>
      <w:r w:rsidRPr="009A6A51">
        <w:rPr>
          <w:rFonts w:ascii="Century" w:hAnsi="Century"/>
          <w:lang w:val="es-CO"/>
        </w:rPr>
        <w:t>LÓPEZ B., Hernán F. Código General del Proceso, parte general, Bogotá DC, Dupre editores, 2016, p.769-776</w:t>
      </w:r>
      <w:r w:rsidRPr="009A6A51">
        <w:rPr>
          <w:rFonts w:ascii="Century" w:hAnsi="Century"/>
        </w:rPr>
        <w:t>.</w:t>
      </w:r>
    </w:p>
  </w:footnote>
  <w:footnote w:id="4">
    <w:p w14:paraId="603B03F1" w14:textId="77777777" w:rsidR="00646F7B" w:rsidRPr="009A6A51" w:rsidRDefault="00026ADC" w:rsidP="009A6A51">
      <w:pPr>
        <w:pStyle w:val="Textonotapie"/>
        <w:jc w:val="both"/>
        <w:rPr>
          <w:rFonts w:ascii="Century" w:hAnsi="Century"/>
        </w:rPr>
      </w:pPr>
      <w:r w:rsidRPr="009A6A51">
        <w:rPr>
          <w:rFonts w:ascii="Century" w:hAnsi="Century"/>
          <w:vertAlign w:val="superscript"/>
        </w:rPr>
        <w:footnoteRef/>
      </w:r>
      <w:r w:rsidRPr="009A6A51">
        <w:rPr>
          <w:rFonts w:ascii="Century" w:hAnsi="Century"/>
        </w:rPr>
        <w:t xml:space="preserve"> PARRA Q., Jairo. Derecho procesal civil, tomo I, Santafé de Bogotá D.C., Temis, 1992, p.276.</w:t>
      </w:r>
    </w:p>
  </w:footnote>
  <w:footnote w:id="5">
    <w:p w14:paraId="7F9F30D3" w14:textId="77777777" w:rsidR="00D01344" w:rsidRPr="009A6A51" w:rsidRDefault="00D01344" w:rsidP="009A6A51">
      <w:pPr>
        <w:pStyle w:val="Sinespaciado"/>
        <w:jc w:val="both"/>
        <w:rPr>
          <w:rFonts w:ascii="Century" w:hAnsi="Century"/>
          <w:sz w:val="20"/>
          <w:szCs w:val="20"/>
        </w:rPr>
      </w:pPr>
      <w:r w:rsidRPr="009A6A51">
        <w:rPr>
          <w:rFonts w:ascii="Century" w:hAnsi="Century"/>
          <w:sz w:val="20"/>
          <w:szCs w:val="20"/>
          <w:vertAlign w:val="superscript"/>
        </w:rPr>
        <w:footnoteRef/>
      </w:r>
      <w:r w:rsidRPr="009A6A51">
        <w:rPr>
          <w:rFonts w:ascii="Century" w:hAnsi="Century"/>
          <w:sz w:val="20"/>
          <w:szCs w:val="20"/>
        </w:rPr>
        <w:t xml:space="preserve"> </w:t>
      </w:r>
      <w:r w:rsidRPr="009A6A51">
        <w:rPr>
          <w:rFonts w:ascii="Century" w:hAnsi="Century"/>
          <w:sz w:val="20"/>
          <w:szCs w:val="20"/>
          <w:lang w:val="es-CO"/>
        </w:rPr>
        <w:t xml:space="preserve">LÓPEZ B., Hernán F. </w:t>
      </w:r>
      <w:r w:rsidRPr="009A6A51">
        <w:rPr>
          <w:rFonts w:ascii="Century" w:hAnsi="Century"/>
          <w:sz w:val="20"/>
          <w:szCs w:val="20"/>
        </w:rPr>
        <w:t>Ob. cit., p.781.</w:t>
      </w:r>
    </w:p>
  </w:footnote>
  <w:footnote w:id="6">
    <w:p w14:paraId="192104F8" w14:textId="77777777" w:rsidR="00D01344" w:rsidRPr="009A6A51" w:rsidRDefault="00D01344"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ROJAS G., Miguel E. Lecciones de derecho procesal, procedimiento civil, tomo II, ESAJU, 2020, 7ª edición, Bogotá, p.468.</w:t>
      </w:r>
    </w:p>
  </w:footnote>
  <w:footnote w:id="7">
    <w:p w14:paraId="22C84A61" w14:textId="77777777" w:rsidR="00D01344" w:rsidRPr="009A6A51" w:rsidRDefault="00D01344"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SANABRIA S., Henry. Derecho procesal civil general, Universidad Externado de Colombia, Bogotá DC, 2021, p.664.</w:t>
      </w:r>
    </w:p>
  </w:footnote>
  <w:footnote w:id="8">
    <w:p w14:paraId="78DA2C1F" w14:textId="77777777" w:rsidR="00D01344" w:rsidRPr="009A6A51" w:rsidRDefault="00D01344"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w:t>
      </w:r>
      <w:bookmarkStart w:id="2" w:name="_Hlk82073434"/>
      <w:r w:rsidRPr="009A6A51">
        <w:rPr>
          <w:rFonts w:ascii="Century" w:hAnsi="Century"/>
          <w:lang w:val="es-CO"/>
        </w:rPr>
        <w:t>PARRA B., Jorge. Derecho procesal civil, 2ª edición puesta al día, Bogotá DC, Temis, 2021, p.395.</w:t>
      </w:r>
      <w:bookmarkEnd w:id="2"/>
    </w:p>
  </w:footnote>
  <w:footnote w:id="9">
    <w:p w14:paraId="64DBAD00" w14:textId="77777777" w:rsidR="00D01344" w:rsidRPr="009A6A51" w:rsidRDefault="00D01344"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CSJ. Sala Civil. Sentencia del 17-09-1992; MP: Ospina B.</w:t>
      </w:r>
    </w:p>
  </w:footnote>
  <w:footnote w:id="10">
    <w:p w14:paraId="5A88D00F" w14:textId="77777777" w:rsidR="00D01344" w:rsidRPr="009A6A51" w:rsidRDefault="00D01344"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CSJ. STC-12737-2017.</w:t>
      </w:r>
    </w:p>
  </w:footnote>
  <w:footnote w:id="11">
    <w:p w14:paraId="4DA2C157" w14:textId="77777777" w:rsidR="00D01344" w:rsidRPr="009A6A51" w:rsidRDefault="00D01344"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LÓPEZ B., Hernán F.</w:t>
      </w:r>
      <w:r w:rsidRPr="009A6A51">
        <w:rPr>
          <w:rFonts w:ascii="Century" w:hAnsi="Century"/>
        </w:rPr>
        <w:t xml:space="preserve"> Ob. cit., p.776.</w:t>
      </w:r>
    </w:p>
  </w:footnote>
  <w:footnote w:id="12">
    <w:p w14:paraId="77E0040A" w14:textId="77777777" w:rsidR="00D01344" w:rsidRPr="009A6A51" w:rsidRDefault="00D01344"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ROJAS G., Miguel E. Código General del Proceso comentado, ESAJU, 2017, Bogotá DC, p.511.</w:t>
      </w:r>
    </w:p>
  </w:footnote>
  <w:footnote w:id="13">
    <w:p w14:paraId="05B96DC1" w14:textId="77777777" w:rsidR="00143CA9" w:rsidRPr="009A6A51" w:rsidRDefault="00143CA9"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ÁLVAREZ G., Marco A. Variaciones sobre el recurso de apelación en el CGP, </w:t>
      </w:r>
      <w:r w:rsidRPr="009A6A51">
        <w:rPr>
          <w:rFonts w:ascii="Century" w:hAnsi="Century"/>
          <w:u w:val="single"/>
        </w:rPr>
        <w:t>En:</w:t>
      </w:r>
      <w:r w:rsidRPr="009A6A51">
        <w:rPr>
          <w:rFonts w:ascii="Century" w:hAnsi="Century"/>
        </w:rPr>
        <w:t xml:space="preserve"> INSTITUTO COLOMBIANO DE DERECHO PROCESAL. Código General del Proceso, Bogotá DC, editorial, Panamericana Formas e impresos, 2018, p.438-449.</w:t>
      </w:r>
    </w:p>
  </w:footnote>
  <w:footnote w:id="14">
    <w:p w14:paraId="35B43A8A" w14:textId="77777777" w:rsidR="00143CA9" w:rsidRPr="009A6A51" w:rsidRDefault="00143CA9"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FORERO S., Jorge. Actividad probatoria en segunda instancia, </w:t>
      </w:r>
      <w:r w:rsidRPr="009A6A51">
        <w:rPr>
          <w:rFonts w:ascii="Century" w:hAnsi="Century"/>
          <w:u w:val="single"/>
        </w:rPr>
        <w:t>En:</w:t>
      </w:r>
      <w:r w:rsidRPr="009A6A51">
        <w:rPr>
          <w:rFonts w:ascii="Century" w:hAnsi="Century"/>
        </w:rPr>
        <w:t xml:space="preserve"> INSTITUTO COLOMBIANO DE DERECHO PROCESAL. Memorias del XXXIX Congreso de derecho procesal en Cali, </w:t>
      </w:r>
      <w:bookmarkStart w:id="3" w:name="_Hlk53652533"/>
      <w:r w:rsidRPr="009A6A51">
        <w:rPr>
          <w:rFonts w:ascii="Century" w:hAnsi="Century"/>
        </w:rPr>
        <w:t>Bogotá DC, editorial Universidad Libre</w:t>
      </w:r>
      <w:bookmarkEnd w:id="3"/>
      <w:r w:rsidRPr="009A6A51">
        <w:rPr>
          <w:rFonts w:ascii="Century" w:hAnsi="Century"/>
        </w:rPr>
        <w:t>, 2018, p.307-324.</w:t>
      </w:r>
    </w:p>
  </w:footnote>
  <w:footnote w:id="15">
    <w:p w14:paraId="5E36872A" w14:textId="77777777" w:rsidR="00143CA9" w:rsidRPr="009A6A51" w:rsidRDefault="00143CA9"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BEJARANO G., Ramiro. Falencias dialécticas del CGP, </w:t>
      </w:r>
      <w:r w:rsidRPr="009A6A51">
        <w:rPr>
          <w:rFonts w:ascii="Century" w:hAnsi="Century"/>
          <w:u w:val="single"/>
        </w:rPr>
        <w:t>En:</w:t>
      </w:r>
      <w:r w:rsidRPr="009A6A51">
        <w:rPr>
          <w:rFonts w:ascii="Century" w:hAnsi="Century"/>
        </w:rPr>
        <w:t xml:space="preserve"> INSTITUTO COLOMBIANO DE DERECHO PROCESAL. Memorial del Congreso XXXVIII en Cartagena, editorial Universidad Libre, Bogotá DC, 2017, p.639-663.</w:t>
      </w:r>
    </w:p>
  </w:footnote>
  <w:footnote w:id="16">
    <w:p w14:paraId="6CEC3796" w14:textId="77777777" w:rsidR="00143CA9" w:rsidRPr="009A6A51" w:rsidRDefault="00143CA9" w:rsidP="009A6A51">
      <w:pPr>
        <w:shd w:val="clear" w:color="auto" w:fill="FFFFFF"/>
        <w:jc w:val="both"/>
        <w:rPr>
          <w:rFonts w:ascii="Century" w:hAnsi="Century"/>
          <w:sz w:val="20"/>
          <w:szCs w:val="20"/>
        </w:rPr>
      </w:pPr>
      <w:r w:rsidRPr="009A6A51">
        <w:rPr>
          <w:rStyle w:val="Refdenotaalpie"/>
          <w:rFonts w:ascii="Century" w:hAnsi="Century"/>
          <w:sz w:val="20"/>
          <w:szCs w:val="20"/>
        </w:rPr>
        <w:footnoteRef/>
      </w:r>
      <w:r w:rsidRPr="009A6A51">
        <w:rPr>
          <w:rFonts w:ascii="Century" w:hAnsi="Century"/>
          <w:sz w:val="20"/>
          <w:szCs w:val="20"/>
        </w:rPr>
        <w:t xml:space="preserve"> QUINTERO G., Armando A. El recurso de apelación en el nuevo CGP: un desatino para la justicia colombiana [En línea]. Universidad Santo Tomás, revista virtual: </w:t>
      </w:r>
      <w:r w:rsidRPr="009A6A51">
        <w:rPr>
          <w:rFonts w:ascii="Century" w:hAnsi="Century"/>
          <w:i/>
          <w:sz w:val="20"/>
          <w:szCs w:val="20"/>
        </w:rPr>
        <w:t>via inveniendi et iudicandi</w:t>
      </w:r>
      <w:r w:rsidRPr="009A6A51">
        <w:rPr>
          <w:rFonts w:ascii="Century" w:hAnsi="Century"/>
          <w:sz w:val="20"/>
          <w:szCs w:val="20"/>
        </w:rPr>
        <w:t xml:space="preserve">, julio-diciembre 2015 [Visitado el 2020-08-10]. Disponible en internet: </w:t>
      </w:r>
      <w:r w:rsidRPr="009A6A51">
        <w:rPr>
          <w:rFonts w:ascii="Century" w:hAnsi="Century" w:cs="Arial"/>
          <w:sz w:val="20"/>
          <w:szCs w:val="20"/>
        </w:rPr>
        <w:t>https://dialnet.unirioja.es/descarga/articulo/6132861.pdf</w:t>
      </w:r>
    </w:p>
  </w:footnote>
  <w:footnote w:id="17">
    <w:p w14:paraId="6CCD5A99" w14:textId="77777777" w:rsidR="008C65CD" w:rsidRPr="009A6A51" w:rsidRDefault="008C65CD"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TS, Pereira. Civil-Familia. </w:t>
      </w:r>
      <w:r w:rsidRPr="009A6A51">
        <w:rPr>
          <w:rFonts w:ascii="Century" w:hAnsi="Century"/>
          <w:lang w:val="es-CO"/>
        </w:rPr>
        <w:t>Sentencias del</w:t>
      </w:r>
      <w:r w:rsidRPr="009A6A51">
        <w:rPr>
          <w:rFonts w:ascii="Century" w:hAnsi="Century"/>
        </w:rPr>
        <w:t xml:space="preserve"> </w:t>
      </w:r>
      <w:r w:rsidRPr="009A6A51">
        <w:rPr>
          <w:rFonts w:ascii="Century" w:hAnsi="Century"/>
          <w:b/>
        </w:rPr>
        <w:t>(i)</w:t>
      </w:r>
      <w:r w:rsidRPr="009A6A51">
        <w:rPr>
          <w:rFonts w:ascii="Century" w:hAnsi="Century"/>
        </w:rPr>
        <w:t xml:space="preserve"> 19-06-2020; MP: Grisales H., No.2019-00046-01</w:t>
      </w:r>
      <w:r w:rsidRPr="009A6A51">
        <w:rPr>
          <w:rFonts w:ascii="Century" w:eastAsia="DotumChe" w:hAnsi="Century"/>
          <w:spacing w:val="-4"/>
        </w:rPr>
        <w:t xml:space="preserve"> y </w:t>
      </w:r>
      <w:r w:rsidRPr="009A6A51">
        <w:rPr>
          <w:rFonts w:ascii="Century" w:eastAsia="DotumChe" w:hAnsi="Century"/>
          <w:b/>
          <w:spacing w:val="-4"/>
        </w:rPr>
        <w:t>(ii)</w:t>
      </w:r>
      <w:r w:rsidRPr="009A6A51">
        <w:rPr>
          <w:rFonts w:ascii="Century" w:eastAsia="DotumChe" w:hAnsi="Century"/>
          <w:spacing w:val="-4"/>
        </w:rPr>
        <w:t xml:space="preserve"> 04</w:t>
      </w:r>
      <w:r w:rsidRPr="009A6A51">
        <w:rPr>
          <w:rFonts w:ascii="Century" w:hAnsi="Century"/>
          <w:lang w:val="es-CO"/>
        </w:rPr>
        <w:t>-07-2018; MP: Saraza N., No.</w:t>
      </w:r>
      <w:r w:rsidRPr="009A6A51">
        <w:rPr>
          <w:rFonts w:ascii="Century" w:hAnsi="Century"/>
        </w:rPr>
        <w:t>2011-00193-01, entre muchas.</w:t>
      </w:r>
    </w:p>
  </w:footnote>
  <w:footnote w:id="18">
    <w:p w14:paraId="1D19A196" w14:textId="77777777" w:rsidR="008C65CD" w:rsidRPr="009A6A51" w:rsidRDefault="008C65CD"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CSJ. STC-9587-2017.</w:t>
      </w:r>
    </w:p>
  </w:footnote>
  <w:footnote w:id="19">
    <w:p w14:paraId="7B58B0A9" w14:textId="77777777" w:rsidR="008C65CD" w:rsidRPr="009A6A51" w:rsidRDefault="008C65CD"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CSJ. SC-2351-2019.</w:t>
      </w:r>
    </w:p>
  </w:footnote>
  <w:footnote w:id="20">
    <w:p w14:paraId="147E33F1" w14:textId="77777777" w:rsidR="008C65CD" w:rsidRPr="009A6A51" w:rsidRDefault="008C65CD"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PARRA B., Jorge. Derecho procesal civil, 2ª edición puesta al día, Bogotá DC, Temis, 2021, p.403.</w:t>
      </w:r>
    </w:p>
  </w:footnote>
  <w:footnote w:id="21">
    <w:p w14:paraId="489B516F" w14:textId="77777777" w:rsidR="008C65CD" w:rsidRPr="009A6A51" w:rsidRDefault="008C65CD"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w:t>
      </w:r>
      <w:r w:rsidRPr="009A6A51">
        <w:rPr>
          <w:rFonts w:ascii="Century" w:hAnsi="Century" w:cs="Arial"/>
        </w:rPr>
        <w:t xml:space="preserve">CSJ, SC-6795-2017. También sentencias: (i) </w:t>
      </w:r>
      <w:r w:rsidRPr="009A6A51">
        <w:rPr>
          <w:rFonts w:ascii="Century" w:hAnsi="Century"/>
        </w:rPr>
        <w:t>24-11-1993, MP: Romero S</w:t>
      </w:r>
      <w:r w:rsidRPr="009A6A51">
        <w:rPr>
          <w:rFonts w:ascii="Century" w:hAnsi="Century"/>
          <w:b/>
        </w:rPr>
        <w:t>.; (</w:t>
      </w:r>
      <w:r w:rsidRPr="009A6A51">
        <w:rPr>
          <w:rFonts w:ascii="Century" w:hAnsi="Century"/>
        </w:rPr>
        <w:t>ii)</w:t>
      </w:r>
      <w:r w:rsidRPr="009A6A51">
        <w:rPr>
          <w:rFonts w:ascii="Century" w:hAnsi="Century"/>
          <w:b/>
        </w:rPr>
        <w:t xml:space="preserve"> </w:t>
      </w:r>
      <w:r w:rsidRPr="009A6A51">
        <w:rPr>
          <w:rFonts w:ascii="Century" w:hAnsi="Century" w:cs="Arial"/>
        </w:rPr>
        <w:t>06-06-2013, No.2008-01381-00, MP: Díaz R.</w:t>
      </w:r>
    </w:p>
  </w:footnote>
  <w:footnote w:id="22">
    <w:p w14:paraId="098FE199" w14:textId="77777777" w:rsidR="008C65CD" w:rsidRPr="009A6A51" w:rsidRDefault="008C65CD"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CSJ. SC-1182-2016, reiterada en la SC-16669-2016.</w:t>
      </w:r>
    </w:p>
  </w:footnote>
  <w:footnote w:id="23">
    <w:p w14:paraId="6FCE6EFD" w14:textId="77777777" w:rsidR="008C65CD" w:rsidRPr="009A6A51" w:rsidRDefault="008C65CD"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CSJ, Civil. Sentencia del 15-06-1995; MP: Romero S., No.4398.</w:t>
      </w:r>
    </w:p>
  </w:footnote>
  <w:footnote w:id="24">
    <w:p w14:paraId="5D84D9E4" w14:textId="77777777" w:rsidR="008C65CD" w:rsidRPr="009A6A51" w:rsidRDefault="008C65CD"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w:t>
      </w:r>
      <w:r w:rsidRPr="009A6A51">
        <w:rPr>
          <w:rFonts w:ascii="Century" w:hAnsi="Century" w:cs="Calibri"/>
        </w:rPr>
        <w:t>LÓPEZ B., Hernán F.</w:t>
      </w:r>
      <w:r w:rsidRPr="009A6A51">
        <w:rPr>
          <w:rFonts w:ascii="Century" w:hAnsi="Century"/>
        </w:rPr>
        <w:t xml:space="preserve"> Procedimiento civil colombiano, parte general, 10ª edición, Dupré Editores, 2016, p.</w:t>
      </w:r>
      <w:r w:rsidRPr="009A6A51">
        <w:rPr>
          <w:rFonts w:ascii="Century" w:hAnsi="Century" w:cs="Calibri"/>
        </w:rPr>
        <w:t>1055.</w:t>
      </w:r>
    </w:p>
  </w:footnote>
  <w:footnote w:id="25">
    <w:p w14:paraId="21C5F962" w14:textId="77777777" w:rsidR="00646F7B" w:rsidRPr="009A6A51" w:rsidRDefault="00E206BE"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INSTITUTO COLOMBIANO DE DERECHO PROCESAL. </w:t>
      </w:r>
      <w:r w:rsidRPr="009A6A51">
        <w:rPr>
          <w:rFonts w:ascii="Century" w:hAnsi="Century"/>
          <w:lang w:val="es-CO"/>
        </w:rPr>
        <w:t>Código General del Proceso, Carlos A. Colmenares U., XI. Formas anormales de terminación del proceso, impresor Panamericana Formas e Impresos SAS,</w:t>
      </w:r>
      <w:r w:rsidRPr="009A6A51">
        <w:rPr>
          <w:rFonts w:ascii="Century" w:hAnsi="Century"/>
        </w:rPr>
        <w:t xml:space="preserve"> Bogotá DC, 2014, p.329.</w:t>
      </w:r>
    </w:p>
  </w:footnote>
  <w:footnote w:id="26">
    <w:p w14:paraId="42FCFC0B" w14:textId="77777777" w:rsidR="00646F7B" w:rsidRPr="009A6A51" w:rsidRDefault="004D6D81"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CC. C-868 de 2010.</w:t>
      </w:r>
    </w:p>
  </w:footnote>
  <w:footnote w:id="27">
    <w:p w14:paraId="7E5E0ADC" w14:textId="77777777" w:rsidR="00646F7B" w:rsidRPr="009A6A51" w:rsidRDefault="004D6D81"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CC. C-1186 de 2008.</w:t>
      </w:r>
    </w:p>
  </w:footnote>
  <w:footnote w:id="28">
    <w:p w14:paraId="78D38418" w14:textId="77777777" w:rsidR="00646F7B" w:rsidRPr="009A6A51" w:rsidRDefault="00E206BE" w:rsidP="009A6A51">
      <w:pPr>
        <w:pStyle w:val="Sinespaciado"/>
        <w:jc w:val="both"/>
        <w:rPr>
          <w:rFonts w:ascii="Century" w:hAnsi="Century"/>
          <w:sz w:val="20"/>
          <w:szCs w:val="20"/>
        </w:rPr>
      </w:pPr>
      <w:r w:rsidRPr="009A6A51">
        <w:rPr>
          <w:rFonts w:ascii="Century" w:hAnsi="Century"/>
          <w:sz w:val="20"/>
          <w:szCs w:val="20"/>
          <w:vertAlign w:val="superscript"/>
        </w:rPr>
        <w:footnoteRef/>
      </w:r>
      <w:r w:rsidRPr="009A6A51">
        <w:rPr>
          <w:rFonts w:ascii="Century" w:hAnsi="Century"/>
          <w:sz w:val="20"/>
          <w:szCs w:val="20"/>
        </w:rPr>
        <w:t xml:space="preserve"> CC. </w:t>
      </w:r>
      <w:r w:rsidRPr="009A6A51">
        <w:rPr>
          <w:rFonts w:ascii="Century" w:hAnsi="Century"/>
          <w:sz w:val="20"/>
          <w:szCs w:val="20"/>
          <w:lang w:val="es-CO"/>
        </w:rPr>
        <w:t>C-1186 de 2008.</w:t>
      </w:r>
    </w:p>
  </w:footnote>
  <w:footnote w:id="29">
    <w:p w14:paraId="657F7564" w14:textId="77777777" w:rsidR="00646F7B" w:rsidRPr="009A6A51" w:rsidRDefault="00E53F5B"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CC. </w:t>
      </w:r>
      <w:r w:rsidRPr="009A6A51">
        <w:rPr>
          <w:rFonts w:ascii="Century" w:hAnsi="Century"/>
          <w:lang w:val="es-CO"/>
        </w:rPr>
        <w:t>C-173 de 2019.</w:t>
      </w:r>
    </w:p>
  </w:footnote>
  <w:footnote w:id="30">
    <w:p w14:paraId="65C77416" w14:textId="77777777" w:rsidR="00646F7B" w:rsidRPr="009A6A51" w:rsidRDefault="00E206BE"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CSJ, Sala Civil y Agraria. </w:t>
      </w:r>
      <w:r w:rsidRPr="009A6A51">
        <w:rPr>
          <w:rFonts w:ascii="Century" w:hAnsi="Century"/>
          <w:lang w:val="es-CO"/>
        </w:rPr>
        <w:t xml:space="preserve">Sentencia del 28-06-1963; MP: López de la Pava. </w:t>
      </w:r>
      <w:r w:rsidRPr="009A6A51">
        <w:rPr>
          <w:rFonts w:ascii="Century" w:hAnsi="Century"/>
        </w:rPr>
        <w:t>Publicada en Gaceta Judicial: Tomo CII No.2267, p. 175-184.</w:t>
      </w:r>
    </w:p>
  </w:footnote>
  <w:footnote w:id="31">
    <w:p w14:paraId="2FBD6C60" w14:textId="77777777" w:rsidR="00646F7B" w:rsidRPr="009A6A51" w:rsidRDefault="00E206BE"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CC. </w:t>
      </w:r>
      <w:r w:rsidRPr="009A6A51">
        <w:rPr>
          <w:rFonts w:ascii="Century" w:hAnsi="Century"/>
          <w:lang w:val="es-CO"/>
        </w:rPr>
        <w:t>C-273 de 1999.</w:t>
      </w:r>
    </w:p>
  </w:footnote>
  <w:footnote w:id="32">
    <w:p w14:paraId="10F3666F" w14:textId="77777777" w:rsidR="00646F7B" w:rsidRPr="009A6A51" w:rsidRDefault="00E206BE" w:rsidP="009A6A51">
      <w:pPr>
        <w:pStyle w:val="Textonotapie"/>
        <w:jc w:val="both"/>
        <w:rPr>
          <w:rFonts w:ascii="Century" w:hAnsi="Century"/>
        </w:rPr>
      </w:pPr>
      <w:r w:rsidRPr="009A6A51">
        <w:rPr>
          <w:rFonts w:ascii="Century" w:hAnsi="Century"/>
          <w:vertAlign w:val="superscript"/>
        </w:rPr>
        <w:footnoteRef/>
      </w:r>
      <w:r w:rsidRPr="009A6A51">
        <w:rPr>
          <w:rFonts w:ascii="Century" w:hAnsi="Century"/>
        </w:rPr>
        <w:t xml:space="preserve"> CC. C-1186 de 2008.</w:t>
      </w:r>
    </w:p>
  </w:footnote>
  <w:footnote w:id="33">
    <w:p w14:paraId="64AD75B5" w14:textId="77777777" w:rsidR="00646F7B" w:rsidRPr="009A6A51" w:rsidRDefault="00E206BE" w:rsidP="009A6A51">
      <w:pPr>
        <w:pStyle w:val="Textonotapie"/>
        <w:jc w:val="both"/>
        <w:rPr>
          <w:rFonts w:ascii="Century" w:hAnsi="Century"/>
        </w:rPr>
      </w:pPr>
      <w:r w:rsidRPr="009A6A51">
        <w:rPr>
          <w:rFonts w:ascii="Century" w:hAnsi="Century"/>
          <w:vertAlign w:val="superscript"/>
        </w:rPr>
        <w:footnoteRef/>
      </w:r>
      <w:r w:rsidRPr="009A6A51">
        <w:rPr>
          <w:rFonts w:ascii="Century" w:hAnsi="Century"/>
        </w:rPr>
        <w:t xml:space="preserve"> CC. C-874 de 2003.</w:t>
      </w:r>
    </w:p>
  </w:footnote>
  <w:footnote w:id="34">
    <w:p w14:paraId="6D89823C" w14:textId="77777777" w:rsidR="00646F7B" w:rsidRPr="009A6A51" w:rsidRDefault="00E206BE"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 xml:space="preserve">CSJ. </w:t>
      </w:r>
      <w:r w:rsidRPr="009A6A51">
        <w:rPr>
          <w:rFonts w:ascii="Century" w:hAnsi="Century"/>
        </w:rPr>
        <w:t>STC</w:t>
      </w:r>
      <w:r w:rsidR="00527A65" w:rsidRPr="009A6A51">
        <w:rPr>
          <w:rFonts w:ascii="Century" w:hAnsi="Century"/>
        </w:rPr>
        <w:t>-</w:t>
      </w:r>
      <w:r w:rsidRPr="009A6A51">
        <w:rPr>
          <w:rFonts w:ascii="Century" w:hAnsi="Century"/>
        </w:rPr>
        <w:t>8850-2016.</w:t>
      </w:r>
    </w:p>
  </w:footnote>
  <w:footnote w:id="35">
    <w:p w14:paraId="4F561DB3" w14:textId="77777777" w:rsidR="00646F7B" w:rsidRPr="009A6A51" w:rsidRDefault="00E206BE"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CC. </w:t>
      </w:r>
      <w:r w:rsidRPr="009A6A51">
        <w:rPr>
          <w:rFonts w:ascii="Century" w:hAnsi="Century"/>
          <w:lang w:val="es-CO"/>
        </w:rPr>
        <w:t>C-1186 de 2008.</w:t>
      </w:r>
    </w:p>
  </w:footnote>
  <w:footnote w:id="36">
    <w:p w14:paraId="3DE804C0" w14:textId="65A53912" w:rsidR="00C56D0B" w:rsidRPr="009A6A51" w:rsidRDefault="00C56D0B"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CSJ. STC-6078-2018 y STC-4021-2020.</w:t>
      </w:r>
    </w:p>
  </w:footnote>
  <w:footnote w:id="37">
    <w:p w14:paraId="7FB8BC2D" w14:textId="77777777" w:rsidR="00646F7B" w:rsidRPr="009A6A51" w:rsidRDefault="004F1D47"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ROJAS G., Miguel E. Ob. cit., p.551.</w:t>
      </w:r>
    </w:p>
  </w:footnote>
  <w:footnote w:id="38">
    <w:p w14:paraId="6D1810D7" w14:textId="77777777" w:rsidR="00646F7B" w:rsidRPr="009A6A51" w:rsidRDefault="004F1D47"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 xml:space="preserve">LÓPEZ B., Hernán F. </w:t>
      </w:r>
      <w:r w:rsidRPr="009A6A51">
        <w:rPr>
          <w:rFonts w:ascii="Century" w:hAnsi="Century"/>
        </w:rPr>
        <w:t>Ob. cit., p.1039.</w:t>
      </w:r>
    </w:p>
  </w:footnote>
  <w:footnote w:id="39">
    <w:p w14:paraId="4F4B0A1B" w14:textId="77777777" w:rsidR="00646F7B" w:rsidRPr="009A6A51" w:rsidRDefault="00B244C0"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CC. T</w:t>
      </w:r>
      <w:r w:rsidRPr="009A6A51">
        <w:rPr>
          <w:rFonts w:ascii="Century" w:hAnsi="Century"/>
          <w:lang w:val="es-CO"/>
        </w:rPr>
        <w:t>-511 de 2011.</w:t>
      </w:r>
    </w:p>
  </w:footnote>
  <w:footnote w:id="40">
    <w:p w14:paraId="0CCF8D58" w14:textId="77777777" w:rsidR="00646F7B" w:rsidRPr="009A6A51" w:rsidRDefault="00B244C0"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TSP, Sala Unitaria Civil-Familia. Auto</w:t>
      </w:r>
      <w:r w:rsidR="003F7D17" w:rsidRPr="009A6A51">
        <w:rPr>
          <w:rFonts w:ascii="Century" w:hAnsi="Century"/>
        </w:rPr>
        <w:t xml:space="preserve">s </w:t>
      </w:r>
      <w:r w:rsidRPr="009A6A51">
        <w:rPr>
          <w:rFonts w:ascii="Century" w:hAnsi="Century"/>
        </w:rPr>
        <w:t>04-06-2015, MP: Saraza N., No.2002-00189-01</w:t>
      </w:r>
      <w:r w:rsidR="00984117" w:rsidRPr="009A6A51">
        <w:rPr>
          <w:rFonts w:ascii="Century" w:hAnsi="Century"/>
        </w:rPr>
        <w:t>.</w:t>
      </w:r>
    </w:p>
  </w:footnote>
  <w:footnote w:id="41">
    <w:p w14:paraId="116E3327" w14:textId="77777777" w:rsidR="00646F7B" w:rsidRPr="009A6A51" w:rsidRDefault="00E206BE"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TSP, </w:t>
      </w:r>
      <w:r w:rsidR="004F1D47" w:rsidRPr="009A6A51">
        <w:rPr>
          <w:rFonts w:ascii="Century" w:hAnsi="Century"/>
        </w:rPr>
        <w:t xml:space="preserve">Sala </w:t>
      </w:r>
      <w:r w:rsidRPr="009A6A51">
        <w:rPr>
          <w:rFonts w:ascii="Century" w:hAnsi="Century"/>
        </w:rPr>
        <w:t>Unitaria Civil-F</w:t>
      </w:r>
      <w:r w:rsidR="00B244C0" w:rsidRPr="009A6A51">
        <w:rPr>
          <w:rFonts w:ascii="Century" w:hAnsi="Century"/>
        </w:rPr>
        <w:t>amilia. Auto</w:t>
      </w:r>
      <w:r w:rsidR="00984117" w:rsidRPr="009A6A51">
        <w:rPr>
          <w:rFonts w:ascii="Century" w:hAnsi="Century"/>
        </w:rPr>
        <w:t>s</w:t>
      </w:r>
      <w:r w:rsidR="00B244C0" w:rsidRPr="009A6A51">
        <w:rPr>
          <w:rFonts w:ascii="Century" w:hAnsi="Century"/>
        </w:rPr>
        <w:t xml:space="preserve"> del </w:t>
      </w:r>
      <w:r w:rsidR="00984117" w:rsidRPr="009A6A51">
        <w:rPr>
          <w:rFonts w:ascii="Century" w:hAnsi="Century"/>
        </w:rPr>
        <w:t>(i) 28-03-2017, MP: Grisales H., No.2014-00299-02; (i) 27-03-2015, MP: Grisales H., No.2008-00069-01; y, (iii) 30-09-2019, MP: Grisales H., No.2009-00419-01.</w:t>
      </w:r>
    </w:p>
  </w:footnote>
  <w:footnote w:id="42">
    <w:p w14:paraId="2B60A05D" w14:textId="6B32F806" w:rsidR="004E3F48" w:rsidRPr="009A6A51" w:rsidRDefault="004E3F48"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CSJ. STC</w:t>
      </w:r>
      <w:r w:rsidR="003B1C0E" w:rsidRPr="009A6A51">
        <w:rPr>
          <w:rFonts w:ascii="Century" w:hAnsi="Century"/>
        </w:rPr>
        <w:t>-</w:t>
      </w:r>
      <w:r w:rsidRPr="009A6A51">
        <w:rPr>
          <w:rFonts w:ascii="Century" w:hAnsi="Century"/>
        </w:rPr>
        <w:t>4021-2020</w:t>
      </w:r>
      <w:r w:rsidR="003B1C0E" w:rsidRPr="009A6A51">
        <w:rPr>
          <w:rFonts w:ascii="Century" w:hAnsi="Century"/>
        </w:rPr>
        <w:t xml:space="preserve"> y STC-11191-2020.</w:t>
      </w:r>
    </w:p>
  </w:footnote>
  <w:footnote w:id="43">
    <w:p w14:paraId="291A7D20" w14:textId="27ECCE9E" w:rsidR="004E3F48" w:rsidRPr="009A6A51" w:rsidRDefault="004E3F48" w:rsidP="009A6A51">
      <w:pPr>
        <w:pStyle w:val="Textonotapie"/>
        <w:jc w:val="both"/>
        <w:rPr>
          <w:rFonts w:ascii="Century" w:hAnsi="Century"/>
        </w:rPr>
      </w:pPr>
      <w:r w:rsidRPr="009A6A51">
        <w:rPr>
          <w:rStyle w:val="Refdenotaalpie"/>
          <w:rFonts w:ascii="Century" w:hAnsi="Century"/>
        </w:rPr>
        <w:footnoteRef/>
      </w:r>
      <w:r w:rsidRPr="009A6A51">
        <w:rPr>
          <w:rFonts w:ascii="Century" w:hAnsi="Century"/>
        </w:rPr>
        <w:t xml:space="preserve"> CSJ. AC8174-2017.</w:t>
      </w:r>
    </w:p>
  </w:footnote>
  <w:footnote w:id="44">
    <w:p w14:paraId="413B9A17" w14:textId="413C2263" w:rsidR="00F46503" w:rsidRPr="009A6A51" w:rsidRDefault="00F46503"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ROJAS G., Miguel E. Lecciones de derecho procesal, procedimiento civil, tomo 4, ESAJU, 2021, 3ª edición, Bogotá, p.660.</w:t>
      </w:r>
    </w:p>
  </w:footnote>
  <w:footnote w:id="45">
    <w:p w14:paraId="32AB9A62" w14:textId="47323CC8" w:rsidR="00C3453B" w:rsidRPr="009A6A51" w:rsidRDefault="00C3453B"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CSJ. S</w:t>
      </w:r>
      <w:r w:rsidR="0028203E" w:rsidRPr="009A6A51">
        <w:rPr>
          <w:rFonts w:ascii="Century" w:hAnsi="Century"/>
        </w:rPr>
        <w:t>entencia de 05-08-2013, No 2013-00241-01. MP: Cabello B.</w:t>
      </w:r>
    </w:p>
  </w:footnote>
  <w:footnote w:id="46">
    <w:p w14:paraId="1BA58289" w14:textId="77777777" w:rsidR="00162015" w:rsidRPr="009A6A51" w:rsidRDefault="00162015"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CSJ. STC-1636-2020, STC-8911-2020 y STC-11421-2020.</w:t>
      </w:r>
    </w:p>
  </w:footnote>
  <w:footnote w:id="47">
    <w:p w14:paraId="7F4B232E" w14:textId="5CC596F9" w:rsidR="00162015" w:rsidRPr="009A6A51" w:rsidRDefault="00162015"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CSJ. STC-13676-2021.</w:t>
      </w:r>
    </w:p>
  </w:footnote>
  <w:footnote w:id="48">
    <w:p w14:paraId="0D9C907C" w14:textId="77777777" w:rsidR="00162015" w:rsidRPr="009A6A51" w:rsidRDefault="00162015"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CSJ. STC-11421-2020.</w:t>
      </w:r>
    </w:p>
  </w:footnote>
  <w:footnote w:id="49">
    <w:p w14:paraId="20CC6633" w14:textId="00862EB0" w:rsidR="000F25D6" w:rsidRPr="0090215E" w:rsidRDefault="000F25D6" w:rsidP="009A6A51">
      <w:pPr>
        <w:pStyle w:val="Textonotapie"/>
        <w:jc w:val="both"/>
        <w:rPr>
          <w:rFonts w:ascii="Century" w:hAnsi="Century"/>
          <w:lang w:val="es-CO"/>
        </w:rPr>
      </w:pPr>
      <w:r w:rsidRPr="009A6A51">
        <w:rPr>
          <w:rStyle w:val="Refdenotaalpie"/>
          <w:rFonts w:ascii="Century" w:hAnsi="Century"/>
        </w:rPr>
        <w:footnoteRef/>
      </w:r>
      <w:r w:rsidRPr="009A6A51">
        <w:rPr>
          <w:rFonts w:ascii="Century" w:hAnsi="Century"/>
        </w:rPr>
        <w:t xml:space="preserve"> </w:t>
      </w:r>
      <w:r w:rsidRPr="009A6A51">
        <w:rPr>
          <w:rFonts w:ascii="Century" w:hAnsi="Century"/>
          <w:lang w:val="es-CO"/>
        </w:rPr>
        <w:t xml:space="preserve">ROJAS G., Miguel E. </w:t>
      </w:r>
      <w:r w:rsidR="00EB369F" w:rsidRPr="009A6A51">
        <w:rPr>
          <w:rFonts w:ascii="Century" w:hAnsi="Century"/>
          <w:lang w:val="es-CO"/>
        </w:rPr>
        <w:t xml:space="preserve">Ob. cit. </w:t>
      </w:r>
      <w:r w:rsidRPr="009A6A51">
        <w:rPr>
          <w:rFonts w:ascii="Century" w:hAnsi="Century"/>
          <w:lang w:val="es-CO"/>
        </w:rPr>
        <w:t>Lecciones de derecho procesal, procedimiento civil, tomo 4, ESAJU, 2021, 3ª edición, Bogotá, p.659.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03FE" w14:textId="77777777"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F92E00" w14:textId="77777777" w:rsidR="00713068" w:rsidRDefault="00713068"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59E5" w14:textId="77777777" w:rsidR="006D2A7F" w:rsidRPr="00315D8B" w:rsidRDefault="006D2A7F" w:rsidP="00FB024E">
    <w:pPr>
      <w:pStyle w:val="Encabezado"/>
      <w:pBdr>
        <w:bottom w:val="single" w:sz="4" w:space="1" w:color="D9D9D9"/>
      </w:pBdr>
      <w:jc w:val="right"/>
      <w:rPr>
        <w:rFonts w:ascii="Georgia" w:hAnsi="Georgia" w:cs="Kalinga"/>
        <w:bCs/>
        <w:i/>
        <w:sz w:val="20"/>
        <w:szCs w:val="20"/>
      </w:rPr>
    </w:pPr>
    <w:r w:rsidRPr="00315D8B">
      <w:rPr>
        <w:rFonts w:ascii="Georgia" w:hAnsi="Georgia" w:cs="Kalinga"/>
        <w:i/>
        <w:spacing w:val="60"/>
        <w:sz w:val="20"/>
        <w:szCs w:val="20"/>
      </w:rPr>
      <w:t>Página</w:t>
    </w:r>
    <w:r w:rsidRPr="00315D8B">
      <w:rPr>
        <w:rFonts w:ascii="Georgia" w:hAnsi="Georgia" w:cs="Kalinga"/>
        <w:i/>
        <w:sz w:val="20"/>
        <w:szCs w:val="20"/>
      </w:rPr>
      <w:t xml:space="preserve"> | </w:t>
    </w:r>
    <w:r w:rsidRPr="00315D8B">
      <w:rPr>
        <w:rFonts w:ascii="Georgia" w:hAnsi="Georgia" w:cs="Kalinga"/>
        <w:i/>
        <w:sz w:val="20"/>
        <w:szCs w:val="20"/>
      </w:rPr>
      <w:fldChar w:fldCharType="begin"/>
    </w:r>
    <w:r w:rsidRPr="00315D8B">
      <w:rPr>
        <w:rFonts w:ascii="Georgia" w:hAnsi="Georgia" w:cs="Kalinga"/>
        <w:i/>
        <w:sz w:val="20"/>
        <w:szCs w:val="20"/>
      </w:rPr>
      <w:instrText>PAGE   \* MERGEFORMAT</w:instrText>
    </w:r>
    <w:r w:rsidRPr="00315D8B">
      <w:rPr>
        <w:rFonts w:ascii="Georgia" w:hAnsi="Georgia" w:cs="Kalinga"/>
        <w:i/>
        <w:sz w:val="20"/>
        <w:szCs w:val="20"/>
      </w:rPr>
      <w:fldChar w:fldCharType="separate"/>
    </w:r>
    <w:r w:rsidR="00313701" w:rsidRPr="00315D8B">
      <w:rPr>
        <w:rFonts w:ascii="Georgia" w:hAnsi="Georgia" w:cs="Kalinga"/>
        <w:bCs/>
        <w:i/>
        <w:noProof/>
        <w:sz w:val="20"/>
        <w:szCs w:val="20"/>
      </w:rPr>
      <w:t>10</w:t>
    </w:r>
    <w:r w:rsidRPr="00315D8B">
      <w:rPr>
        <w:rFonts w:ascii="Georgia" w:hAnsi="Georgia" w:cs="Kalinga"/>
        <w:i/>
        <w:sz w:val="20"/>
        <w:szCs w:val="20"/>
      </w:rPr>
      <w:fldChar w:fldCharType="end"/>
    </w:r>
  </w:p>
  <w:p w14:paraId="012170D0" w14:textId="1673E6B4" w:rsidR="00257B1F" w:rsidRPr="00315D8B" w:rsidRDefault="006D2A7F" w:rsidP="00315D8B">
    <w:pPr>
      <w:pStyle w:val="Encabezado"/>
      <w:widowControl w:val="0"/>
      <w:autoSpaceDE w:val="0"/>
      <w:autoSpaceDN w:val="0"/>
      <w:adjustRightInd w:val="0"/>
      <w:ind w:right="360"/>
      <w:jc w:val="both"/>
      <w:rPr>
        <w:rFonts w:ascii="Georgia" w:hAnsi="Georgia" w:cs="Kalinga"/>
        <w:i/>
        <w:sz w:val="20"/>
        <w:szCs w:val="20"/>
        <w:lang w:val="es-CO"/>
      </w:rPr>
    </w:pPr>
    <w:r w:rsidRPr="00315D8B">
      <w:rPr>
        <w:rFonts w:ascii="Georgia" w:hAnsi="Georgia" w:cs="Kalinga"/>
        <w:i/>
        <w:sz w:val="20"/>
        <w:szCs w:val="20"/>
        <w:lang w:val="es-CO"/>
      </w:rPr>
      <w:t>EXPEDIENTE N</w:t>
    </w:r>
    <w:r w:rsidR="00510CEA" w:rsidRPr="00315D8B">
      <w:rPr>
        <w:rFonts w:ascii="Georgia" w:hAnsi="Georgia" w:cs="Kalinga"/>
        <w:i/>
        <w:sz w:val="20"/>
        <w:szCs w:val="20"/>
        <w:lang w:val="es-CO"/>
      </w:rPr>
      <w:t>o</w:t>
    </w:r>
    <w:r w:rsidRPr="00315D8B">
      <w:rPr>
        <w:rFonts w:ascii="Georgia" w:hAnsi="Georgia" w:cs="Kalinga"/>
        <w:i/>
        <w:sz w:val="20"/>
        <w:szCs w:val="20"/>
        <w:lang w:val="es-CO"/>
      </w:rPr>
      <w:t>.</w:t>
    </w:r>
    <w:r w:rsidR="00315D8B">
      <w:rPr>
        <w:rFonts w:ascii="Georgia" w:hAnsi="Georgia" w:cs="Kalinga"/>
        <w:i/>
        <w:sz w:val="20"/>
        <w:szCs w:val="20"/>
        <w:lang w:val="es-CO"/>
      </w:rPr>
      <w:t xml:space="preserve"> </w:t>
    </w:r>
    <w:r w:rsidR="00046468" w:rsidRPr="00315D8B">
      <w:rPr>
        <w:rFonts w:ascii="Georgia" w:hAnsi="Georgia" w:cs="Kalinga"/>
        <w:i/>
        <w:sz w:val="20"/>
        <w:szCs w:val="20"/>
        <w:lang w:val="es-CO"/>
      </w:rPr>
      <w:t>201</w:t>
    </w:r>
    <w:r w:rsidR="003F5211" w:rsidRPr="00315D8B">
      <w:rPr>
        <w:rFonts w:ascii="Georgia" w:hAnsi="Georgia" w:cs="Kalinga"/>
        <w:i/>
        <w:sz w:val="20"/>
        <w:szCs w:val="20"/>
        <w:lang w:val="es-CO"/>
      </w:rPr>
      <w:t>4</w:t>
    </w:r>
    <w:r w:rsidR="00046468" w:rsidRPr="00315D8B">
      <w:rPr>
        <w:rFonts w:ascii="Georgia" w:hAnsi="Georgia" w:cs="Kalinga"/>
        <w:i/>
        <w:sz w:val="20"/>
        <w:szCs w:val="20"/>
        <w:lang w:val="es-CO"/>
      </w:rPr>
      <w:t>-00</w:t>
    </w:r>
    <w:r w:rsidR="003F5211" w:rsidRPr="00315D8B">
      <w:rPr>
        <w:rFonts w:ascii="Georgia" w:hAnsi="Georgia" w:cs="Kalinga"/>
        <w:i/>
        <w:sz w:val="20"/>
        <w:szCs w:val="20"/>
        <w:lang w:val="es-CO"/>
      </w:rPr>
      <w:t>035</w:t>
    </w:r>
    <w:r w:rsidR="00046468" w:rsidRPr="00315D8B">
      <w:rPr>
        <w:rFonts w:ascii="Georgia" w:hAnsi="Georgia" w:cs="Kalinga"/>
        <w:i/>
        <w:sz w:val="20"/>
        <w:szCs w:val="20"/>
        <w:lang w:val="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6DC"/>
    <w:multiLevelType w:val="hybridMultilevel"/>
    <w:tmpl w:val="DC847000"/>
    <w:lvl w:ilvl="0" w:tplc="32043A12">
      <w:start w:val="1"/>
      <w:numFmt w:val="bullet"/>
      <w:lvlText w:val=""/>
      <w:lvlJc w:val="left"/>
      <w:pPr>
        <w:ind w:left="720" w:hanging="360"/>
      </w:pPr>
      <w:rPr>
        <w:rFonts w:ascii="Symbol" w:hAnsi="Symbol" w:hint="default"/>
      </w:rPr>
    </w:lvl>
    <w:lvl w:ilvl="1" w:tplc="2DA8FB1A">
      <w:start w:val="1"/>
      <w:numFmt w:val="bullet"/>
      <w:lvlText w:val="o"/>
      <w:lvlJc w:val="left"/>
      <w:pPr>
        <w:ind w:left="1440" w:hanging="360"/>
      </w:pPr>
      <w:rPr>
        <w:rFonts w:ascii="Courier New" w:hAnsi="Courier New" w:hint="default"/>
      </w:rPr>
    </w:lvl>
    <w:lvl w:ilvl="2" w:tplc="A65CB8F0">
      <w:start w:val="1"/>
      <w:numFmt w:val="bullet"/>
      <w:lvlText w:val=""/>
      <w:lvlJc w:val="left"/>
      <w:pPr>
        <w:ind w:left="2160" w:hanging="360"/>
      </w:pPr>
      <w:rPr>
        <w:rFonts w:ascii="Wingdings" w:hAnsi="Wingdings" w:hint="default"/>
      </w:rPr>
    </w:lvl>
    <w:lvl w:ilvl="3" w:tplc="42A63886">
      <w:start w:val="1"/>
      <w:numFmt w:val="bullet"/>
      <w:lvlText w:val=""/>
      <w:lvlJc w:val="left"/>
      <w:pPr>
        <w:ind w:left="2880" w:hanging="360"/>
      </w:pPr>
      <w:rPr>
        <w:rFonts w:ascii="Symbol" w:hAnsi="Symbol" w:hint="default"/>
      </w:rPr>
    </w:lvl>
    <w:lvl w:ilvl="4" w:tplc="BF04B82A">
      <w:start w:val="1"/>
      <w:numFmt w:val="bullet"/>
      <w:lvlText w:val="o"/>
      <w:lvlJc w:val="left"/>
      <w:pPr>
        <w:ind w:left="3600" w:hanging="360"/>
      </w:pPr>
      <w:rPr>
        <w:rFonts w:ascii="Courier New" w:hAnsi="Courier New" w:hint="default"/>
      </w:rPr>
    </w:lvl>
    <w:lvl w:ilvl="5" w:tplc="B81C8DB6">
      <w:start w:val="1"/>
      <w:numFmt w:val="bullet"/>
      <w:lvlText w:val=""/>
      <w:lvlJc w:val="left"/>
      <w:pPr>
        <w:ind w:left="4320" w:hanging="360"/>
      </w:pPr>
      <w:rPr>
        <w:rFonts w:ascii="Wingdings" w:hAnsi="Wingdings" w:hint="default"/>
      </w:rPr>
    </w:lvl>
    <w:lvl w:ilvl="6" w:tplc="0B7E5894">
      <w:start w:val="1"/>
      <w:numFmt w:val="bullet"/>
      <w:lvlText w:val=""/>
      <w:lvlJc w:val="left"/>
      <w:pPr>
        <w:ind w:left="5040" w:hanging="360"/>
      </w:pPr>
      <w:rPr>
        <w:rFonts w:ascii="Symbol" w:hAnsi="Symbol" w:hint="default"/>
      </w:rPr>
    </w:lvl>
    <w:lvl w:ilvl="7" w:tplc="9C923906">
      <w:start w:val="1"/>
      <w:numFmt w:val="bullet"/>
      <w:lvlText w:val="o"/>
      <w:lvlJc w:val="left"/>
      <w:pPr>
        <w:ind w:left="5760" w:hanging="360"/>
      </w:pPr>
      <w:rPr>
        <w:rFonts w:ascii="Courier New" w:hAnsi="Courier New" w:hint="default"/>
      </w:rPr>
    </w:lvl>
    <w:lvl w:ilvl="8" w:tplc="15C6986A">
      <w:start w:val="1"/>
      <w:numFmt w:val="bullet"/>
      <w:lvlText w:val=""/>
      <w:lvlJc w:val="left"/>
      <w:pPr>
        <w:ind w:left="6480" w:hanging="360"/>
      </w:pPr>
      <w:rPr>
        <w:rFonts w:ascii="Wingdings" w:hAnsi="Wingdings" w:hint="default"/>
      </w:rPr>
    </w:lvl>
  </w:abstractNum>
  <w:abstractNum w:abstractNumId="1" w15:restartNumberingAfterBreak="0">
    <w:nsid w:val="0DAB12EC"/>
    <w:multiLevelType w:val="multilevel"/>
    <w:tmpl w:val="47BC6588"/>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 w15:restartNumberingAfterBreak="0">
    <w:nsid w:val="106D4BC1"/>
    <w:multiLevelType w:val="multilevel"/>
    <w:tmpl w:val="85B88052"/>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2527AB2"/>
    <w:multiLevelType w:val="multilevel"/>
    <w:tmpl w:val="FA2C1624"/>
    <w:lvl w:ilvl="0">
      <w:start w:val="2"/>
      <w:numFmt w:val="decimal"/>
      <w:lvlText w:val="%1."/>
      <w:lvlJc w:val="left"/>
      <w:pPr>
        <w:ind w:left="915" w:hanging="915"/>
      </w:pPr>
      <w:rPr>
        <w:rFonts w:cs="Times New Roman" w:hint="default"/>
      </w:rPr>
    </w:lvl>
    <w:lvl w:ilvl="1">
      <w:start w:val="3"/>
      <w:numFmt w:val="decimal"/>
      <w:lvlText w:val="%1.%2."/>
      <w:lvlJc w:val="left"/>
      <w:pPr>
        <w:ind w:left="915" w:hanging="915"/>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15:restartNumberingAfterBreak="0">
    <w:nsid w:val="155E6D5D"/>
    <w:multiLevelType w:val="multilevel"/>
    <w:tmpl w:val="30BA94C0"/>
    <w:lvl w:ilvl="0">
      <w:start w:val="4"/>
      <w:numFmt w:val="decimal"/>
      <w:lvlText w:val="%1."/>
      <w:lvlJc w:val="left"/>
      <w:pPr>
        <w:ind w:left="360" w:hanging="360"/>
      </w:pPr>
      <w:rPr>
        <w:rFonts w:cs="Times New Roman" w:hint="default"/>
        <w:color w:val="auto"/>
        <w:sz w:val="28"/>
        <w:szCs w:val="28"/>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15:restartNumberingAfterBreak="0">
    <w:nsid w:val="1E1F54B3"/>
    <w:multiLevelType w:val="multilevel"/>
    <w:tmpl w:val="C1A8DB3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3474B2"/>
    <w:multiLevelType w:val="multilevel"/>
    <w:tmpl w:val="25A48978"/>
    <w:lvl w:ilvl="0">
      <w:start w:val="6"/>
      <w:numFmt w:val="decimal"/>
      <w:lvlText w:val="%1."/>
      <w:lvlJc w:val="left"/>
      <w:pPr>
        <w:ind w:left="435" w:hanging="435"/>
      </w:pPr>
      <w:rPr>
        <w:rFonts w:hint="default"/>
        <w:i/>
        <w:color w:val="0033CC"/>
      </w:rPr>
    </w:lvl>
    <w:lvl w:ilvl="1">
      <w:start w:val="1"/>
      <w:numFmt w:val="decimal"/>
      <w:lvlText w:val="%1.%2."/>
      <w:lvlJc w:val="left"/>
      <w:pPr>
        <w:ind w:left="720" w:hanging="720"/>
      </w:pPr>
      <w:rPr>
        <w:rFonts w:hint="default"/>
        <w:i/>
        <w:color w:val="0033CC"/>
      </w:rPr>
    </w:lvl>
    <w:lvl w:ilvl="2">
      <w:start w:val="1"/>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0"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43611BB9"/>
    <w:multiLevelType w:val="multilevel"/>
    <w:tmpl w:val="37B47FD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46AA2CAA"/>
    <w:multiLevelType w:val="multilevel"/>
    <w:tmpl w:val="25B63AC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52D329C7"/>
    <w:multiLevelType w:val="multilevel"/>
    <w:tmpl w:val="3CD87E2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54EBA"/>
    <w:multiLevelType w:val="multilevel"/>
    <w:tmpl w:val="D4C4E5A8"/>
    <w:lvl w:ilvl="0">
      <w:start w:val="2"/>
      <w:numFmt w:val="decimal"/>
      <w:lvlText w:val="%1."/>
      <w:lvlJc w:val="left"/>
      <w:pPr>
        <w:ind w:left="675" w:hanging="675"/>
      </w:pPr>
      <w:rPr>
        <w:rFonts w:cs="Times New Roman" w:hint="default"/>
        <w:i/>
        <w:color w:val="0033CC"/>
      </w:rPr>
    </w:lvl>
    <w:lvl w:ilvl="1">
      <w:start w:val="3"/>
      <w:numFmt w:val="decimal"/>
      <w:lvlText w:val="%1.%2."/>
      <w:lvlJc w:val="left"/>
      <w:pPr>
        <w:ind w:left="720" w:hanging="720"/>
      </w:pPr>
      <w:rPr>
        <w:rFonts w:cs="Times New Roman" w:hint="default"/>
        <w:i/>
        <w:color w:val="0033CC"/>
      </w:rPr>
    </w:lvl>
    <w:lvl w:ilvl="2">
      <w:start w:val="1"/>
      <w:numFmt w:val="decimal"/>
      <w:lvlText w:val="%1.%2.%3."/>
      <w:lvlJc w:val="left"/>
      <w:rPr>
        <w:rFonts w:cs="Times New Roman" w:hint="default"/>
        <w:i/>
        <w:color w:val="0033CC"/>
      </w:rPr>
    </w:lvl>
    <w:lvl w:ilvl="3">
      <w:start w:val="1"/>
      <w:numFmt w:val="decimal"/>
      <w:lvlText w:val="%1.%2.%3.%4."/>
      <w:lvlJc w:val="left"/>
      <w:rPr>
        <w:rFonts w:cs="Times New Roman" w:hint="default"/>
        <w:i/>
        <w:color w:val="0033CC"/>
      </w:rPr>
    </w:lvl>
    <w:lvl w:ilvl="4">
      <w:start w:val="1"/>
      <w:numFmt w:val="decimal"/>
      <w:lvlText w:val="%1.%2.%3.%4.%5."/>
      <w:lvlJc w:val="left"/>
      <w:pPr>
        <w:ind w:left="1440" w:hanging="1440"/>
      </w:pPr>
      <w:rPr>
        <w:rFonts w:cs="Times New Roman" w:hint="default"/>
        <w:i/>
        <w:color w:val="0033CC"/>
      </w:rPr>
    </w:lvl>
    <w:lvl w:ilvl="5">
      <w:start w:val="1"/>
      <w:numFmt w:val="decimal"/>
      <w:lvlText w:val="%1.%2.%3.%4.%5.%6."/>
      <w:lvlJc w:val="left"/>
      <w:pPr>
        <w:ind w:left="1800" w:hanging="1800"/>
      </w:pPr>
      <w:rPr>
        <w:rFonts w:cs="Times New Roman" w:hint="default"/>
        <w:i/>
        <w:color w:val="0033CC"/>
      </w:rPr>
    </w:lvl>
    <w:lvl w:ilvl="6">
      <w:start w:val="1"/>
      <w:numFmt w:val="decimal"/>
      <w:lvlText w:val="%1.%2.%3.%4.%5.%6.%7."/>
      <w:lvlJc w:val="left"/>
      <w:pPr>
        <w:ind w:left="1800" w:hanging="1800"/>
      </w:pPr>
      <w:rPr>
        <w:rFonts w:cs="Times New Roman" w:hint="default"/>
        <w:i/>
        <w:color w:val="0033CC"/>
      </w:rPr>
    </w:lvl>
    <w:lvl w:ilvl="7">
      <w:start w:val="1"/>
      <w:numFmt w:val="decimal"/>
      <w:lvlText w:val="%1.%2.%3.%4.%5.%6.%7.%8."/>
      <w:lvlJc w:val="left"/>
      <w:pPr>
        <w:ind w:left="2160" w:hanging="2160"/>
      </w:pPr>
      <w:rPr>
        <w:rFonts w:cs="Times New Roman" w:hint="default"/>
        <w:i/>
        <w:color w:val="0033CC"/>
      </w:rPr>
    </w:lvl>
    <w:lvl w:ilvl="8">
      <w:start w:val="1"/>
      <w:numFmt w:val="decimal"/>
      <w:lvlText w:val="%1.%2.%3.%4.%5.%6.%7.%8.%9."/>
      <w:lvlJc w:val="left"/>
      <w:pPr>
        <w:ind w:left="2520" w:hanging="2520"/>
      </w:pPr>
      <w:rPr>
        <w:rFonts w:cs="Times New Roman" w:hint="default"/>
        <w:i/>
        <w:color w:val="0033CC"/>
      </w:rPr>
    </w:lvl>
  </w:abstractNum>
  <w:abstractNum w:abstractNumId="18" w15:restartNumberingAfterBreak="0">
    <w:nsid w:val="6199068C"/>
    <w:multiLevelType w:val="hybridMultilevel"/>
    <w:tmpl w:val="7C9AAAF8"/>
    <w:lvl w:ilvl="0" w:tplc="7206D352">
      <w:start w:val="1"/>
      <w:numFmt w:val="decimal"/>
      <w:lvlText w:val="%1."/>
      <w:lvlJc w:val="left"/>
      <w:pPr>
        <w:tabs>
          <w:tab w:val="num" w:pos="360"/>
        </w:tabs>
        <w:ind w:left="360" w:hanging="360"/>
      </w:pPr>
      <w:rPr>
        <w:rFonts w:cs="Times New Roman"/>
        <w:i w:val="0"/>
      </w:rPr>
    </w:lvl>
    <w:lvl w:ilvl="1" w:tplc="6BD89B9A">
      <w:numFmt w:val="decimal"/>
      <w:lvlText w:val=""/>
      <w:lvlJc w:val="left"/>
    </w:lvl>
    <w:lvl w:ilvl="2" w:tplc="F54C23D8">
      <w:numFmt w:val="decimal"/>
      <w:lvlText w:val=""/>
      <w:lvlJc w:val="left"/>
    </w:lvl>
    <w:lvl w:ilvl="3" w:tplc="8CCCDDBE">
      <w:numFmt w:val="decimal"/>
      <w:lvlText w:val=""/>
      <w:lvlJc w:val="left"/>
    </w:lvl>
    <w:lvl w:ilvl="4" w:tplc="69F2E7BA">
      <w:numFmt w:val="decimal"/>
      <w:lvlText w:val=""/>
      <w:lvlJc w:val="left"/>
    </w:lvl>
    <w:lvl w:ilvl="5" w:tplc="5CDCBC96">
      <w:numFmt w:val="decimal"/>
      <w:lvlText w:val=""/>
      <w:lvlJc w:val="left"/>
    </w:lvl>
    <w:lvl w:ilvl="6" w:tplc="6D06F124">
      <w:numFmt w:val="decimal"/>
      <w:lvlText w:val=""/>
      <w:lvlJc w:val="left"/>
    </w:lvl>
    <w:lvl w:ilvl="7" w:tplc="A25A02D0">
      <w:numFmt w:val="decimal"/>
      <w:lvlText w:val=""/>
      <w:lvlJc w:val="left"/>
    </w:lvl>
    <w:lvl w:ilvl="8" w:tplc="52C484BE">
      <w:numFmt w:val="decimal"/>
      <w:lvlText w:val=""/>
      <w:lvlJc w:val="left"/>
    </w:lvl>
  </w:abstractNum>
  <w:abstractNum w:abstractNumId="19" w15:restartNumberingAfterBreak="0">
    <w:nsid w:val="67334F69"/>
    <w:multiLevelType w:val="multilevel"/>
    <w:tmpl w:val="FE906194"/>
    <w:lvl w:ilvl="0">
      <w:start w:val="1"/>
      <w:numFmt w:val="decimal"/>
      <w:lvlText w:val="%1."/>
      <w:lvlJc w:val="left"/>
      <w:pPr>
        <w:ind w:left="360" w:hanging="360"/>
      </w:pPr>
      <w:rPr>
        <w:rFonts w:cs="Times New Roman"/>
        <w:sz w:val="32"/>
        <w:szCs w:val="32"/>
      </w:rPr>
    </w:lvl>
    <w:lvl w:ilvl="1">
      <w:start w:val="1"/>
      <w:numFmt w:val="decimal"/>
      <w:isLgl/>
      <w:lvlText w:val="%1.%2."/>
      <w:lvlJc w:val="left"/>
      <w:pPr>
        <w:ind w:left="720" w:hanging="720"/>
      </w:pPr>
      <w:rPr>
        <w:rFonts w:cs="Times New Roman" w:hint="default"/>
        <w:i w:val="0"/>
        <w:iCs/>
        <w:color w:val="auto"/>
        <w:sz w:val="28"/>
        <w:szCs w:val="28"/>
      </w:rPr>
    </w:lvl>
    <w:lvl w:ilvl="2">
      <w:start w:val="1"/>
      <w:numFmt w:val="decimal"/>
      <w:isLgl/>
      <w:lvlText w:val="%1.%2.%3."/>
      <w:lvlJc w:val="left"/>
      <w:pPr>
        <w:ind w:left="720" w:hanging="720"/>
      </w:pPr>
      <w:rPr>
        <w:rFonts w:cs="Times New Roman" w:hint="default"/>
        <w:i/>
        <w:iCs/>
        <w:color w:val="3333FF"/>
        <w:sz w:val="28"/>
        <w:szCs w:val="28"/>
      </w:rPr>
    </w:lvl>
    <w:lvl w:ilvl="3">
      <w:start w:val="1"/>
      <w:numFmt w:val="decimal"/>
      <w:isLgl/>
      <w:lvlText w:val="%1.%2.%3.%4."/>
      <w:lvlJc w:val="left"/>
      <w:pPr>
        <w:ind w:left="1080" w:hanging="1080"/>
      </w:pPr>
      <w:rPr>
        <w:rFonts w:cs="Times New Roman" w:hint="default"/>
        <w:i/>
        <w:iCs/>
        <w:color w:val="3333FF"/>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667050"/>
    <w:multiLevelType w:val="multilevel"/>
    <w:tmpl w:val="1DCC9D1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8506D98"/>
    <w:multiLevelType w:val="hybridMultilevel"/>
    <w:tmpl w:val="79F895C0"/>
    <w:lvl w:ilvl="0" w:tplc="398E7D80">
      <w:start w:val="1"/>
      <w:numFmt w:val="bullet"/>
      <w:lvlText w:val=""/>
      <w:lvlJc w:val="left"/>
      <w:pPr>
        <w:tabs>
          <w:tab w:val="num" w:pos="720"/>
        </w:tabs>
        <w:ind w:left="720" w:hanging="360"/>
      </w:pPr>
      <w:rPr>
        <w:rFonts w:ascii="Symbol" w:hAnsi="Symbol" w:hint="default"/>
        <w:sz w:val="20"/>
      </w:rPr>
    </w:lvl>
    <w:lvl w:ilvl="1" w:tplc="200E0C1A" w:tentative="1">
      <w:start w:val="1"/>
      <w:numFmt w:val="bullet"/>
      <w:lvlText w:val="o"/>
      <w:lvlJc w:val="left"/>
      <w:pPr>
        <w:tabs>
          <w:tab w:val="num" w:pos="1440"/>
        </w:tabs>
        <w:ind w:left="1440" w:hanging="360"/>
      </w:pPr>
      <w:rPr>
        <w:rFonts w:ascii="Courier New" w:hAnsi="Courier New" w:hint="default"/>
        <w:sz w:val="20"/>
      </w:rPr>
    </w:lvl>
    <w:lvl w:ilvl="2" w:tplc="8592AC50" w:tentative="1">
      <w:start w:val="1"/>
      <w:numFmt w:val="bullet"/>
      <w:lvlText w:val=""/>
      <w:lvlJc w:val="left"/>
      <w:pPr>
        <w:tabs>
          <w:tab w:val="num" w:pos="2160"/>
        </w:tabs>
        <w:ind w:left="2160" w:hanging="360"/>
      </w:pPr>
      <w:rPr>
        <w:rFonts w:ascii="Wingdings" w:hAnsi="Wingdings" w:hint="default"/>
        <w:sz w:val="20"/>
      </w:rPr>
    </w:lvl>
    <w:lvl w:ilvl="3" w:tplc="FF26D9CC" w:tentative="1">
      <w:start w:val="1"/>
      <w:numFmt w:val="bullet"/>
      <w:lvlText w:val=""/>
      <w:lvlJc w:val="left"/>
      <w:pPr>
        <w:tabs>
          <w:tab w:val="num" w:pos="2880"/>
        </w:tabs>
        <w:ind w:left="2880" w:hanging="360"/>
      </w:pPr>
      <w:rPr>
        <w:rFonts w:ascii="Wingdings" w:hAnsi="Wingdings" w:hint="default"/>
        <w:sz w:val="20"/>
      </w:rPr>
    </w:lvl>
    <w:lvl w:ilvl="4" w:tplc="E7DA58F0" w:tentative="1">
      <w:start w:val="1"/>
      <w:numFmt w:val="bullet"/>
      <w:lvlText w:val=""/>
      <w:lvlJc w:val="left"/>
      <w:pPr>
        <w:tabs>
          <w:tab w:val="num" w:pos="3600"/>
        </w:tabs>
        <w:ind w:left="3600" w:hanging="360"/>
      </w:pPr>
      <w:rPr>
        <w:rFonts w:ascii="Wingdings" w:hAnsi="Wingdings" w:hint="default"/>
        <w:sz w:val="20"/>
      </w:rPr>
    </w:lvl>
    <w:lvl w:ilvl="5" w:tplc="61E62E52" w:tentative="1">
      <w:start w:val="1"/>
      <w:numFmt w:val="bullet"/>
      <w:lvlText w:val=""/>
      <w:lvlJc w:val="left"/>
      <w:pPr>
        <w:tabs>
          <w:tab w:val="num" w:pos="4320"/>
        </w:tabs>
        <w:ind w:left="4320" w:hanging="360"/>
      </w:pPr>
      <w:rPr>
        <w:rFonts w:ascii="Wingdings" w:hAnsi="Wingdings" w:hint="default"/>
        <w:sz w:val="20"/>
      </w:rPr>
    </w:lvl>
    <w:lvl w:ilvl="6" w:tplc="4E5EBC76" w:tentative="1">
      <w:start w:val="1"/>
      <w:numFmt w:val="bullet"/>
      <w:lvlText w:val=""/>
      <w:lvlJc w:val="left"/>
      <w:pPr>
        <w:tabs>
          <w:tab w:val="num" w:pos="5040"/>
        </w:tabs>
        <w:ind w:left="5040" w:hanging="360"/>
      </w:pPr>
      <w:rPr>
        <w:rFonts w:ascii="Wingdings" w:hAnsi="Wingdings" w:hint="default"/>
        <w:sz w:val="20"/>
      </w:rPr>
    </w:lvl>
    <w:lvl w:ilvl="7" w:tplc="B5ACFA0E" w:tentative="1">
      <w:start w:val="1"/>
      <w:numFmt w:val="bullet"/>
      <w:lvlText w:val=""/>
      <w:lvlJc w:val="left"/>
      <w:pPr>
        <w:tabs>
          <w:tab w:val="num" w:pos="5760"/>
        </w:tabs>
        <w:ind w:left="5760" w:hanging="360"/>
      </w:pPr>
      <w:rPr>
        <w:rFonts w:ascii="Wingdings" w:hAnsi="Wingdings" w:hint="default"/>
        <w:sz w:val="20"/>
      </w:rPr>
    </w:lvl>
    <w:lvl w:ilvl="8" w:tplc="93F49D2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5" w15:restartNumberingAfterBreak="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0"/>
  </w:num>
  <w:num w:numId="2">
    <w:abstractNumId w:val="11"/>
  </w:num>
  <w:num w:numId="3">
    <w:abstractNumId w:val="22"/>
  </w:num>
  <w:num w:numId="4">
    <w:abstractNumId w:val="15"/>
  </w:num>
  <w:num w:numId="5">
    <w:abstractNumId w:val="12"/>
  </w:num>
  <w:num w:numId="6">
    <w:abstractNumId w:val="19"/>
  </w:num>
  <w:num w:numId="7">
    <w:abstractNumId w:val="13"/>
  </w:num>
  <w:num w:numId="8">
    <w:abstractNumId w:val="3"/>
  </w:num>
  <w:num w:numId="9">
    <w:abstractNumId w:val="14"/>
  </w:num>
  <w:num w:numId="10">
    <w:abstractNumId w:val="8"/>
  </w:num>
  <w:num w:numId="11">
    <w:abstractNumId w:val="10"/>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16"/>
  </w:num>
  <w:num w:numId="17">
    <w:abstractNumId w:val="20"/>
  </w:num>
  <w:num w:numId="18">
    <w:abstractNumId w:val="25"/>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7"/>
  </w:num>
  <w:num w:numId="27">
    <w:abstractNumId w:val="4"/>
  </w:num>
  <w:num w:numId="28">
    <w:abstractNumId w:val="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5"/>
    <w:rsid w:val="00001EB9"/>
    <w:rsid w:val="000020BB"/>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192D6"/>
    <w:rsid w:val="000203CF"/>
    <w:rsid w:val="0002089B"/>
    <w:rsid w:val="000209BD"/>
    <w:rsid w:val="000218F7"/>
    <w:rsid w:val="00021FFF"/>
    <w:rsid w:val="00022115"/>
    <w:rsid w:val="00023336"/>
    <w:rsid w:val="00023A42"/>
    <w:rsid w:val="000243B0"/>
    <w:rsid w:val="0002461B"/>
    <w:rsid w:val="000256E1"/>
    <w:rsid w:val="00025A17"/>
    <w:rsid w:val="00025B1B"/>
    <w:rsid w:val="00026618"/>
    <w:rsid w:val="00026ADC"/>
    <w:rsid w:val="00026F61"/>
    <w:rsid w:val="000278F9"/>
    <w:rsid w:val="00027A37"/>
    <w:rsid w:val="00027D1A"/>
    <w:rsid w:val="0003030D"/>
    <w:rsid w:val="000317B0"/>
    <w:rsid w:val="000317B5"/>
    <w:rsid w:val="00031A51"/>
    <w:rsid w:val="00031AD8"/>
    <w:rsid w:val="00032507"/>
    <w:rsid w:val="0003263B"/>
    <w:rsid w:val="00032945"/>
    <w:rsid w:val="00032C87"/>
    <w:rsid w:val="0003326C"/>
    <w:rsid w:val="00033451"/>
    <w:rsid w:val="000337D1"/>
    <w:rsid w:val="000338AF"/>
    <w:rsid w:val="00033D60"/>
    <w:rsid w:val="00033F10"/>
    <w:rsid w:val="0003411A"/>
    <w:rsid w:val="000341E2"/>
    <w:rsid w:val="00034EC6"/>
    <w:rsid w:val="0003518B"/>
    <w:rsid w:val="000352FB"/>
    <w:rsid w:val="00035741"/>
    <w:rsid w:val="00035BB3"/>
    <w:rsid w:val="0003615A"/>
    <w:rsid w:val="0003646F"/>
    <w:rsid w:val="00036718"/>
    <w:rsid w:val="00036B41"/>
    <w:rsid w:val="000373B1"/>
    <w:rsid w:val="000376BC"/>
    <w:rsid w:val="00037A79"/>
    <w:rsid w:val="00037C33"/>
    <w:rsid w:val="00037EE0"/>
    <w:rsid w:val="000400B7"/>
    <w:rsid w:val="000401FE"/>
    <w:rsid w:val="000409B8"/>
    <w:rsid w:val="00041D2A"/>
    <w:rsid w:val="00041DCD"/>
    <w:rsid w:val="00042FA4"/>
    <w:rsid w:val="000430A7"/>
    <w:rsid w:val="000432DB"/>
    <w:rsid w:val="000439BE"/>
    <w:rsid w:val="00043B5F"/>
    <w:rsid w:val="00045D6D"/>
    <w:rsid w:val="00045F25"/>
    <w:rsid w:val="0004642E"/>
    <w:rsid w:val="00046468"/>
    <w:rsid w:val="00046997"/>
    <w:rsid w:val="00046C64"/>
    <w:rsid w:val="00046D53"/>
    <w:rsid w:val="000474C6"/>
    <w:rsid w:val="00047CA7"/>
    <w:rsid w:val="00050500"/>
    <w:rsid w:val="00050878"/>
    <w:rsid w:val="00050984"/>
    <w:rsid w:val="00051719"/>
    <w:rsid w:val="00052A42"/>
    <w:rsid w:val="00052E61"/>
    <w:rsid w:val="0005301C"/>
    <w:rsid w:val="0005325A"/>
    <w:rsid w:val="00053727"/>
    <w:rsid w:val="0005388D"/>
    <w:rsid w:val="00054633"/>
    <w:rsid w:val="00054882"/>
    <w:rsid w:val="00054CD3"/>
    <w:rsid w:val="00054EF7"/>
    <w:rsid w:val="00055004"/>
    <w:rsid w:val="00055297"/>
    <w:rsid w:val="00055628"/>
    <w:rsid w:val="00056099"/>
    <w:rsid w:val="00056843"/>
    <w:rsid w:val="00056A75"/>
    <w:rsid w:val="00056EF7"/>
    <w:rsid w:val="00057BF9"/>
    <w:rsid w:val="00057D0E"/>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C99"/>
    <w:rsid w:val="00075EFF"/>
    <w:rsid w:val="000778B5"/>
    <w:rsid w:val="000809DA"/>
    <w:rsid w:val="00080BF4"/>
    <w:rsid w:val="00080DDE"/>
    <w:rsid w:val="00080E2C"/>
    <w:rsid w:val="0008118C"/>
    <w:rsid w:val="000812B0"/>
    <w:rsid w:val="0008205C"/>
    <w:rsid w:val="00082340"/>
    <w:rsid w:val="000826EC"/>
    <w:rsid w:val="00082E07"/>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3ED"/>
    <w:rsid w:val="0008799C"/>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980"/>
    <w:rsid w:val="00095C48"/>
    <w:rsid w:val="00095EF1"/>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243"/>
    <w:rsid w:val="000D454A"/>
    <w:rsid w:val="000D46C4"/>
    <w:rsid w:val="000D4780"/>
    <w:rsid w:val="000D50E9"/>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5D6"/>
    <w:rsid w:val="000F2875"/>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0BA7"/>
    <w:rsid w:val="001010D9"/>
    <w:rsid w:val="001011EB"/>
    <w:rsid w:val="0010159C"/>
    <w:rsid w:val="00101CD3"/>
    <w:rsid w:val="001020C2"/>
    <w:rsid w:val="001025C2"/>
    <w:rsid w:val="00102AB2"/>
    <w:rsid w:val="0010310B"/>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1A9F"/>
    <w:rsid w:val="00132326"/>
    <w:rsid w:val="001327CE"/>
    <w:rsid w:val="00132DED"/>
    <w:rsid w:val="001331CC"/>
    <w:rsid w:val="00134CCE"/>
    <w:rsid w:val="00134CDD"/>
    <w:rsid w:val="001360C3"/>
    <w:rsid w:val="00136585"/>
    <w:rsid w:val="001370F4"/>
    <w:rsid w:val="0013791C"/>
    <w:rsid w:val="00140267"/>
    <w:rsid w:val="00140A97"/>
    <w:rsid w:val="00140ADA"/>
    <w:rsid w:val="0014154C"/>
    <w:rsid w:val="00141E6A"/>
    <w:rsid w:val="00142439"/>
    <w:rsid w:val="00142560"/>
    <w:rsid w:val="00142AF0"/>
    <w:rsid w:val="00142C62"/>
    <w:rsid w:val="00142DFC"/>
    <w:rsid w:val="001434F1"/>
    <w:rsid w:val="00143778"/>
    <w:rsid w:val="00143C7D"/>
    <w:rsid w:val="00143CA9"/>
    <w:rsid w:val="00144264"/>
    <w:rsid w:val="00144453"/>
    <w:rsid w:val="00144596"/>
    <w:rsid w:val="001445F4"/>
    <w:rsid w:val="00144B3B"/>
    <w:rsid w:val="00144E8E"/>
    <w:rsid w:val="00145291"/>
    <w:rsid w:val="00145823"/>
    <w:rsid w:val="00145EA4"/>
    <w:rsid w:val="00145F21"/>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E12"/>
    <w:rsid w:val="00152FE7"/>
    <w:rsid w:val="00153389"/>
    <w:rsid w:val="00153450"/>
    <w:rsid w:val="001534D3"/>
    <w:rsid w:val="00153733"/>
    <w:rsid w:val="00153B59"/>
    <w:rsid w:val="001540EB"/>
    <w:rsid w:val="00154502"/>
    <w:rsid w:val="001545C0"/>
    <w:rsid w:val="00154732"/>
    <w:rsid w:val="001550CD"/>
    <w:rsid w:val="00155C05"/>
    <w:rsid w:val="0015621A"/>
    <w:rsid w:val="001563D8"/>
    <w:rsid w:val="0015653D"/>
    <w:rsid w:val="0015683A"/>
    <w:rsid w:val="00157C29"/>
    <w:rsid w:val="00160282"/>
    <w:rsid w:val="0016165A"/>
    <w:rsid w:val="00162015"/>
    <w:rsid w:val="001625C6"/>
    <w:rsid w:val="001629BC"/>
    <w:rsid w:val="00162D36"/>
    <w:rsid w:val="00162D56"/>
    <w:rsid w:val="001633A1"/>
    <w:rsid w:val="00163DDD"/>
    <w:rsid w:val="00164065"/>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0CD"/>
    <w:rsid w:val="001B1BD1"/>
    <w:rsid w:val="001B1DA8"/>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455D"/>
    <w:rsid w:val="001C527C"/>
    <w:rsid w:val="001C55EF"/>
    <w:rsid w:val="001C6330"/>
    <w:rsid w:val="001C6B35"/>
    <w:rsid w:val="001C6E55"/>
    <w:rsid w:val="001D046E"/>
    <w:rsid w:val="001D04CA"/>
    <w:rsid w:val="001D0ABB"/>
    <w:rsid w:val="001D0CB2"/>
    <w:rsid w:val="001D0D37"/>
    <w:rsid w:val="001D109C"/>
    <w:rsid w:val="001D1B5E"/>
    <w:rsid w:val="001D2638"/>
    <w:rsid w:val="001D28CE"/>
    <w:rsid w:val="001D3297"/>
    <w:rsid w:val="001D36DF"/>
    <w:rsid w:val="001D3DB3"/>
    <w:rsid w:val="001D42E3"/>
    <w:rsid w:val="001D43CC"/>
    <w:rsid w:val="001D47CF"/>
    <w:rsid w:val="001D4854"/>
    <w:rsid w:val="001D4D4A"/>
    <w:rsid w:val="001D51A9"/>
    <w:rsid w:val="001D61AF"/>
    <w:rsid w:val="001D62B8"/>
    <w:rsid w:val="001D68EA"/>
    <w:rsid w:val="001D6CB6"/>
    <w:rsid w:val="001D72A6"/>
    <w:rsid w:val="001D7FD0"/>
    <w:rsid w:val="001E0330"/>
    <w:rsid w:val="001E040F"/>
    <w:rsid w:val="001E06A0"/>
    <w:rsid w:val="001E0A69"/>
    <w:rsid w:val="001E0C2D"/>
    <w:rsid w:val="001E143E"/>
    <w:rsid w:val="001E1FD4"/>
    <w:rsid w:val="001E24AD"/>
    <w:rsid w:val="001E2720"/>
    <w:rsid w:val="001E2798"/>
    <w:rsid w:val="001E2810"/>
    <w:rsid w:val="001E2D69"/>
    <w:rsid w:val="001E307C"/>
    <w:rsid w:val="001E3324"/>
    <w:rsid w:val="001E337C"/>
    <w:rsid w:val="001E3A13"/>
    <w:rsid w:val="001E3DAF"/>
    <w:rsid w:val="001E42B0"/>
    <w:rsid w:val="001E4449"/>
    <w:rsid w:val="001E477A"/>
    <w:rsid w:val="001E4918"/>
    <w:rsid w:val="001E4B89"/>
    <w:rsid w:val="001E53D7"/>
    <w:rsid w:val="001E6124"/>
    <w:rsid w:val="001E62EA"/>
    <w:rsid w:val="001E639B"/>
    <w:rsid w:val="001E65FE"/>
    <w:rsid w:val="001E6880"/>
    <w:rsid w:val="001E754C"/>
    <w:rsid w:val="001F0456"/>
    <w:rsid w:val="001F10F5"/>
    <w:rsid w:val="001F1A88"/>
    <w:rsid w:val="001F233E"/>
    <w:rsid w:val="001F23E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20F7"/>
    <w:rsid w:val="0020320C"/>
    <w:rsid w:val="00203237"/>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F3"/>
    <w:rsid w:val="00212D93"/>
    <w:rsid w:val="0021304C"/>
    <w:rsid w:val="002147E8"/>
    <w:rsid w:val="00215693"/>
    <w:rsid w:val="0021578A"/>
    <w:rsid w:val="00215930"/>
    <w:rsid w:val="00216337"/>
    <w:rsid w:val="0022046A"/>
    <w:rsid w:val="00221314"/>
    <w:rsid w:val="0022173F"/>
    <w:rsid w:val="00221D60"/>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865"/>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424"/>
    <w:rsid w:val="00256A78"/>
    <w:rsid w:val="00257050"/>
    <w:rsid w:val="00257B1F"/>
    <w:rsid w:val="0026069E"/>
    <w:rsid w:val="0026092C"/>
    <w:rsid w:val="00260BC5"/>
    <w:rsid w:val="00260C92"/>
    <w:rsid w:val="002611B8"/>
    <w:rsid w:val="002612D5"/>
    <w:rsid w:val="00261BCC"/>
    <w:rsid w:val="00261C7E"/>
    <w:rsid w:val="00261D8A"/>
    <w:rsid w:val="002620C8"/>
    <w:rsid w:val="002623AF"/>
    <w:rsid w:val="00262477"/>
    <w:rsid w:val="002624BA"/>
    <w:rsid w:val="00262E53"/>
    <w:rsid w:val="00263537"/>
    <w:rsid w:val="00263BD3"/>
    <w:rsid w:val="00263C5C"/>
    <w:rsid w:val="00263E1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04"/>
    <w:rsid w:val="002767AA"/>
    <w:rsid w:val="002768ED"/>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03E"/>
    <w:rsid w:val="002824F6"/>
    <w:rsid w:val="00282C0C"/>
    <w:rsid w:val="00282FAD"/>
    <w:rsid w:val="0028329B"/>
    <w:rsid w:val="002833E0"/>
    <w:rsid w:val="00283439"/>
    <w:rsid w:val="002834F7"/>
    <w:rsid w:val="00283886"/>
    <w:rsid w:val="00283ABC"/>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04"/>
    <w:rsid w:val="00295A42"/>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1D4"/>
    <w:rsid w:val="002C6A54"/>
    <w:rsid w:val="002C7125"/>
    <w:rsid w:val="002C7785"/>
    <w:rsid w:val="002D00FC"/>
    <w:rsid w:val="002D01DB"/>
    <w:rsid w:val="002D1C39"/>
    <w:rsid w:val="002D2160"/>
    <w:rsid w:val="002D21F5"/>
    <w:rsid w:val="002D2DD4"/>
    <w:rsid w:val="002D324B"/>
    <w:rsid w:val="002D3A58"/>
    <w:rsid w:val="002D3B40"/>
    <w:rsid w:val="002D3BB9"/>
    <w:rsid w:val="002D3DF2"/>
    <w:rsid w:val="002D456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390D"/>
    <w:rsid w:val="002F4529"/>
    <w:rsid w:val="002F4A86"/>
    <w:rsid w:val="002F4E06"/>
    <w:rsid w:val="002F4EFD"/>
    <w:rsid w:val="002F4FC6"/>
    <w:rsid w:val="002F5301"/>
    <w:rsid w:val="002F5A53"/>
    <w:rsid w:val="002F5A74"/>
    <w:rsid w:val="002F5D3B"/>
    <w:rsid w:val="002F5E0A"/>
    <w:rsid w:val="002F661A"/>
    <w:rsid w:val="002F6A82"/>
    <w:rsid w:val="002F71AD"/>
    <w:rsid w:val="002F78E1"/>
    <w:rsid w:val="002F7D43"/>
    <w:rsid w:val="003008EA"/>
    <w:rsid w:val="00300E2C"/>
    <w:rsid w:val="00301B37"/>
    <w:rsid w:val="0030280E"/>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87F"/>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701"/>
    <w:rsid w:val="00313B91"/>
    <w:rsid w:val="00314F5B"/>
    <w:rsid w:val="0031552B"/>
    <w:rsid w:val="0031561E"/>
    <w:rsid w:val="00315759"/>
    <w:rsid w:val="00315D8B"/>
    <w:rsid w:val="00315E8D"/>
    <w:rsid w:val="0031617F"/>
    <w:rsid w:val="00316F70"/>
    <w:rsid w:val="003176BE"/>
    <w:rsid w:val="00317875"/>
    <w:rsid w:val="003200B4"/>
    <w:rsid w:val="003200C5"/>
    <w:rsid w:val="003200E7"/>
    <w:rsid w:val="003201EE"/>
    <w:rsid w:val="003202E9"/>
    <w:rsid w:val="0032091F"/>
    <w:rsid w:val="00320AD0"/>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039"/>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4F74"/>
    <w:rsid w:val="00345E71"/>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3EE6"/>
    <w:rsid w:val="00354452"/>
    <w:rsid w:val="00354BDD"/>
    <w:rsid w:val="003552B2"/>
    <w:rsid w:val="003554CE"/>
    <w:rsid w:val="003555B8"/>
    <w:rsid w:val="00355634"/>
    <w:rsid w:val="00355665"/>
    <w:rsid w:val="00356104"/>
    <w:rsid w:val="003562DD"/>
    <w:rsid w:val="003572D1"/>
    <w:rsid w:val="00360A14"/>
    <w:rsid w:val="00360E44"/>
    <w:rsid w:val="0036168E"/>
    <w:rsid w:val="00361E94"/>
    <w:rsid w:val="00361FC8"/>
    <w:rsid w:val="0036253A"/>
    <w:rsid w:val="00362BF5"/>
    <w:rsid w:val="003634F7"/>
    <w:rsid w:val="0036386C"/>
    <w:rsid w:val="00363ED2"/>
    <w:rsid w:val="0036420C"/>
    <w:rsid w:val="00364366"/>
    <w:rsid w:val="00365059"/>
    <w:rsid w:val="0036517C"/>
    <w:rsid w:val="003666A9"/>
    <w:rsid w:val="003666BF"/>
    <w:rsid w:val="0036714A"/>
    <w:rsid w:val="00367EC2"/>
    <w:rsid w:val="0037007E"/>
    <w:rsid w:val="00370651"/>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1C10"/>
    <w:rsid w:val="003823F6"/>
    <w:rsid w:val="00382E48"/>
    <w:rsid w:val="003830E8"/>
    <w:rsid w:val="0038367F"/>
    <w:rsid w:val="0038389F"/>
    <w:rsid w:val="00383F3B"/>
    <w:rsid w:val="00383F8A"/>
    <w:rsid w:val="00386016"/>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B16"/>
    <w:rsid w:val="00394C90"/>
    <w:rsid w:val="0039508D"/>
    <w:rsid w:val="00395350"/>
    <w:rsid w:val="00395A55"/>
    <w:rsid w:val="00395B3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0E"/>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4A"/>
    <w:rsid w:val="003C06A1"/>
    <w:rsid w:val="003C0D75"/>
    <w:rsid w:val="003C1247"/>
    <w:rsid w:val="003C18FB"/>
    <w:rsid w:val="003C1917"/>
    <w:rsid w:val="003C1BEB"/>
    <w:rsid w:val="003C1FE5"/>
    <w:rsid w:val="003C2901"/>
    <w:rsid w:val="003C301C"/>
    <w:rsid w:val="003C3258"/>
    <w:rsid w:val="003C37FE"/>
    <w:rsid w:val="003C395E"/>
    <w:rsid w:val="003C3A3A"/>
    <w:rsid w:val="003C3EFA"/>
    <w:rsid w:val="003C4B41"/>
    <w:rsid w:val="003C4E05"/>
    <w:rsid w:val="003C4F84"/>
    <w:rsid w:val="003C5E61"/>
    <w:rsid w:val="003C6A61"/>
    <w:rsid w:val="003C6B64"/>
    <w:rsid w:val="003C6D34"/>
    <w:rsid w:val="003C6F40"/>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372"/>
    <w:rsid w:val="003D5ECE"/>
    <w:rsid w:val="003D6613"/>
    <w:rsid w:val="003D663C"/>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4B8"/>
    <w:rsid w:val="003E76A6"/>
    <w:rsid w:val="003E770E"/>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211"/>
    <w:rsid w:val="003F54C5"/>
    <w:rsid w:val="003F58BB"/>
    <w:rsid w:val="003F5ED2"/>
    <w:rsid w:val="003F5F65"/>
    <w:rsid w:val="003F609B"/>
    <w:rsid w:val="003F641A"/>
    <w:rsid w:val="003F6F92"/>
    <w:rsid w:val="003F715C"/>
    <w:rsid w:val="003F73BF"/>
    <w:rsid w:val="003F7AAA"/>
    <w:rsid w:val="003F7D17"/>
    <w:rsid w:val="003F7F98"/>
    <w:rsid w:val="00400255"/>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23E"/>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334"/>
    <w:rsid w:val="004314C5"/>
    <w:rsid w:val="00431F3D"/>
    <w:rsid w:val="0043251B"/>
    <w:rsid w:val="00432660"/>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1066"/>
    <w:rsid w:val="00461FB3"/>
    <w:rsid w:val="00462A42"/>
    <w:rsid w:val="00462BC8"/>
    <w:rsid w:val="00462C5C"/>
    <w:rsid w:val="00462E74"/>
    <w:rsid w:val="00463B6A"/>
    <w:rsid w:val="00463E07"/>
    <w:rsid w:val="004643FA"/>
    <w:rsid w:val="00464D36"/>
    <w:rsid w:val="00464F65"/>
    <w:rsid w:val="004650FC"/>
    <w:rsid w:val="00465253"/>
    <w:rsid w:val="00465CFC"/>
    <w:rsid w:val="00466060"/>
    <w:rsid w:val="00466A80"/>
    <w:rsid w:val="00466AD4"/>
    <w:rsid w:val="004676C1"/>
    <w:rsid w:val="0046776E"/>
    <w:rsid w:val="004677E1"/>
    <w:rsid w:val="00467ABD"/>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708"/>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D7C"/>
    <w:rsid w:val="00483F0D"/>
    <w:rsid w:val="00484874"/>
    <w:rsid w:val="00485AF1"/>
    <w:rsid w:val="00485C59"/>
    <w:rsid w:val="00485EC2"/>
    <w:rsid w:val="00486010"/>
    <w:rsid w:val="00486A19"/>
    <w:rsid w:val="00486DB4"/>
    <w:rsid w:val="00487341"/>
    <w:rsid w:val="004901F4"/>
    <w:rsid w:val="00490443"/>
    <w:rsid w:val="00490AAC"/>
    <w:rsid w:val="00490AE3"/>
    <w:rsid w:val="00490D4C"/>
    <w:rsid w:val="00490E5D"/>
    <w:rsid w:val="0049134D"/>
    <w:rsid w:val="004917E6"/>
    <w:rsid w:val="0049191A"/>
    <w:rsid w:val="00491931"/>
    <w:rsid w:val="00492C46"/>
    <w:rsid w:val="00492D78"/>
    <w:rsid w:val="00493822"/>
    <w:rsid w:val="00494340"/>
    <w:rsid w:val="00494662"/>
    <w:rsid w:val="0049502A"/>
    <w:rsid w:val="00495527"/>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48FF"/>
    <w:rsid w:val="004A508A"/>
    <w:rsid w:val="004A6A66"/>
    <w:rsid w:val="004A6ADA"/>
    <w:rsid w:val="004A6D27"/>
    <w:rsid w:val="004A7356"/>
    <w:rsid w:val="004A7911"/>
    <w:rsid w:val="004A795F"/>
    <w:rsid w:val="004A7B36"/>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530"/>
    <w:rsid w:val="004C0B1C"/>
    <w:rsid w:val="004C0CDE"/>
    <w:rsid w:val="004C0D44"/>
    <w:rsid w:val="004C1B78"/>
    <w:rsid w:val="004C1BF5"/>
    <w:rsid w:val="004C1C7B"/>
    <w:rsid w:val="004C202A"/>
    <w:rsid w:val="004C2415"/>
    <w:rsid w:val="004C25C8"/>
    <w:rsid w:val="004C2FE3"/>
    <w:rsid w:val="004C3825"/>
    <w:rsid w:val="004C4CD2"/>
    <w:rsid w:val="004C50B5"/>
    <w:rsid w:val="004C541D"/>
    <w:rsid w:val="004C5C99"/>
    <w:rsid w:val="004C6293"/>
    <w:rsid w:val="004C6617"/>
    <w:rsid w:val="004C6A39"/>
    <w:rsid w:val="004C6F31"/>
    <w:rsid w:val="004C6F83"/>
    <w:rsid w:val="004C79BF"/>
    <w:rsid w:val="004D09FA"/>
    <w:rsid w:val="004D0ED2"/>
    <w:rsid w:val="004D113A"/>
    <w:rsid w:val="004D1311"/>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6D81"/>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3F48"/>
    <w:rsid w:val="004E4227"/>
    <w:rsid w:val="004E4346"/>
    <w:rsid w:val="004E437D"/>
    <w:rsid w:val="004E454B"/>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1D47"/>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6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39B5"/>
    <w:rsid w:val="005148E9"/>
    <w:rsid w:val="00514F40"/>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79F"/>
    <w:rsid w:val="00524B7C"/>
    <w:rsid w:val="005253CD"/>
    <w:rsid w:val="005259DB"/>
    <w:rsid w:val="00525C3F"/>
    <w:rsid w:val="00526A27"/>
    <w:rsid w:val="00526A33"/>
    <w:rsid w:val="00527007"/>
    <w:rsid w:val="005275FC"/>
    <w:rsid w:val="00527A65"/>
    <w:rsid w:val="0053063D"/>
    <w:rsid w:val="0053086A"/>
    <w:rsid w:val="00532280"/>
    <w:rsid w:val="00532A8F"/>
    <w:rsid w:val="005334F0"/>
    <w:rsid w:val="005336D2"/>
    <w:rsid w:val="005343E7"/>
    <w:rsid w:val="00534DF8"/>
    <w:rsid w:val="005355CE"/>
    <w:rsid w:val="00535C2F"/>
    <w:rsid w:val="00535DB2"/>
    <w:rsid w:val="0053614E"/>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3D0"/>
    <w:rsid w:val="005644F1"/>
    <w:rsid w:val="00564879"/>
    <w:rsid w:val="00564EE1"/>
    <w:rsid w:val="005650F1"/>
    <w:rsid w:val="0056513B"/>
    <w:rsid w:val="00565A50"/>
    <w:rsid w:val="00565E05"/>
    <w:rsid w:val="00567270"/>
    <w:rsid w:val="005674EB"/>
    <w:rsid w:val="00567511"/>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6E4A"/>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6F56"/>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551"/>
    <w:rsid w:val="005A39EC"/>
    <w:rsid w:val="005A42F1"/>
    <w:rsid w:val="005A4349"/>
    <w:rsid w:val="005A4606"/>
    <w:rsid w:val="005A4AB4"/>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C89"/>
    <w:rsid w:val="005C0F1E"/>
    <w:rsid w:val="005C1337"/>
    <w:rsid w:val="005C13F9"/>
    <w:rsid w:val="005C1986"/>
    <w:rsid w:val="005C1B5F"/>
    <w:rsid w:val="005C2199"/>
    <w:rsid w:val="005C221B"/>
    <w:rsid w:val="005C223F"/>
    <w:rsid w:val="005C224F"/>
    <w:rsid w:val="005C2266"/>
    <w:rsid w:val="005C2C93"/>
    <w:rsid w:val="005C3FA2"/>
    <w:rsid w:val="005C43D0"/>
    <w:rsid w:val="005C4766"/>
    <w:rsid w:val="005C4AD2"/>
    <w:rsid w:val="005C4BFC"/>
    <w:rsid w:val="005C4D8D"/>
    <w:rsid w:val="005C52DC"/>
    <w:rsid w:val="005C5B79"/>
    <w:rsid w:val="005C63F1"/>
    <w:rsid w:val="005C66AF"/>
    <w:rsid w:val="005C6808"/>
    <w:rsid w:val="005C6AFA"/>
    <w:rsid w:val="005C7986"/>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8F1"/>
    <w:rsid w:val="005D6B1F"/>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6B4D"/>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07E54"/>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20B97"/>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CA"/>
    <w:rsid w:val="006326D2"/>
    <w:rsid w:val="00633E59"/>
    <w:rsid w:val="00633FB2"/>
    <w:rsid w:val="00634843"/>
    <w:rsid w:val="00634B3C"/>
    <w:rsid w:val="006352A4"/>
    <w:rsid w:val="0063533C"/>
    <w:rsid w:val="00635400"/>
    <w:rsid w:val="00635879"/>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D21"/>
    <w:rsid w:val="00646F7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2DE4"/>
    <w:rsid w:val="0066366E"/>
    <w:rsid w:val="00663F87"/>
    <w:rsid w:val="00664141"/>
    <w:rsid w:val="006641DB"/>
    <w:rsid w:val="00664FC2"/>
    <w:rsid w:val="00665E63"/>
    <w:rsid w:val="00666761"/>
    <w:rsid w:val="0066680D"/>
    <w:rsid w:val="006673D8"/>
    <w:rsid w:val="0066761F"/>
    <w:rsid w:val="00667BD3"/>
    <w:rsid w:val="00667E67"/>
    <w:rsid w:val="00670318"/>
    <w:rsid w:val="006705BD"/>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823"/>
    <w:rsid w:val="00681EF4"/>
    <w:rsid w:val="00681FC2"/>
    <w:rsid w:val="006826CF"/>
    <w:rsid w:val="00682894"/>
    <w:rsid w:val="00682DE8"/>
    <w:rsid w:val="00684A9F"/>
    <w:rsid w:val="00684D86"/>
    <w:rsid w:val="00684EF0"/>
    <w:rsid w:val="00685316"/>
    <w:rsid w:val="00685B74"/>
    <w:rsid w:val="0068699A"/>
    <w:rsid w:val="00687351"/>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586"/>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424"/>
    <w:rsid w:val="006C0548"/>
    <w:rsid w:val="006C06FC"/>
    <w:rsid w:val="006C11FC"/>
    <w:rsid w:val="006C120D"/>
    <w:rsid w:val="006C1FCB"/>
    <w:rsid w:val="006C2800"/>
    <w:rsid w:val="006C2ABE"/>
    <w:rsid w:val="006C2B60"/>
    <w:rsid w:val="006C2C88"/>
    <w:rsid w:val="006C2D1A"/>
    <w:rsid w:val="006C2E0C"/>
    <w:rsid w:val="006C2F54"/>
    <w:rsid w:val="006C2F9B"/>
    <w:rsid w:val="006C32AE"/>
    <w:rsid w:val="006C3BB0"/>
    <w:rsid w:val="006C3BC6"/>
    <w:rsid w:val="006C3D91"/>
    <w:rsid w:val="006C425F"/>
    <w:rsid w:val="006C43CF"/>
    <w:rsid w:val="006C4F90"/>
    <w:rsid w:val="006C51F7"/>
    <w:rsid w:val="006C584C"/>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543"/>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CCD"/>
    <w:rsid w:val="006F6D8D"/>
    <w:rsid w:val="006F6ECA"/>
    <w:rsid w:val="006F7128"/>
    <w:rsid w:val="006F7139"/>
    <w:rsid w:val="006F7467"/>
    <w:rsid w:val="006F75C7"/>
    <w:rsid w:val="007039F4"/>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6BE2"/>
    <w:rsid w:val="00716F9B"/>
    <w:rsid w:val="007170D6"/>
    <w:rsid w:val="00717B8B"/>
    <w:rsid w:val="00717EF5"/>
    <w:rsid w:val="00720051"/>
    <w:rsid w:val="00720686"/>
    <w:rsid w:val="00720728"/>
    <w:rsid w:val="00721094"/>
    <w:rsid w:val="0072156F"/>
    <w:rsid w:val="00722004"/>
    <w:rsid w:val="00722EE8"/>
    <w:rsid w:val="0072378B"/>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99B"/>
    <w:rsid w:val="00736BB9"/>
    <w:rsid w:val="00740224"/>
    <w:rsid w:val="007408F0"/>
    <w:rsid w:val="00740B99"/>
    <w:rsid w:val="00741048"/>
    <w:rsid w:val="00741BCD"/>
    <w:rsid w:val="0074301C"/>
    <w:rsid w:val="0074332E"/>
    <w:rsid w:val="00743570"/>
    <w:rsid w:val="00743665"/>
    <w:rsid w:val="00743A37"/>
    <w:rsid w:val="00743D77"/>
    <w:rsid w:val="00743F40"/>
    <w:rsid w:val="00744810"/>
    <w:rsid w:val="00744939"/>
    <w:rsid w:val="00745171"/>
    <w:rsid w:val="007453D3"/>
    <w:rsid w:val="00745DC5"/>
    <w:rsid w:val="00746852"/>
    <w:rsid w:val="00746D7C"/>
    <w:rsid w:val="0074745B"/>
    <w:rsid w:val="00747C74"/>
    <w:rsid w:val="00747E3C"/>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0"/>
    <w:rsid w:val="00763B26"/>
    <w:rsid w:val="00763CE7"/>
    <w:rsid w:val="00764253"/>
    <w:rsid w:val="0076472B"/>
    <w:rsid w:val="007649C0"/>
    <w:rsid w:val="00764D13"/>
    <w:rsid w:val="00764F71"/>
    <w:rsid w:val="007651DE"/>
    <w:rsid w:val="007654A4"/>
    <w:rsid w:val="00765561"/>
    <w:rsid w:val="007659EF"/>
    <w:rsid w:val="007662AC"/>
    <w:rsid w:val="0076689D"/>
    <w:rsid w:val="00766A9B"/>
    <w:rsid w:val="00766AAA"/>
    <w:rsid w:val="00766F7C"/>
    <w:rsid w:val="007671BA"/>
    <w:rsid w:val="00767458"/>
    <w:rsid w:val="00767676"/>
    <w:rsid w:val="00770342"/>
    <w:rsid w:val="00770819"/>
    <w:rsid w:val="007709DB"/>
    <w:rsid w:val="00771A04"/>
    <w:rsid w:val="007726C3"/>
    <w:rsid w:val="00772AAB"/>
    <w:rsid w:val="00773A8F"/>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39D"/>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538E"/>
    <w:rsid w:val="007860A5"/>
    <w:rsid w:val="007867B0"/>
    <w:rsid w:val="007870DF"/>
    <w:rsid w:val="0079114A"/>
    <w:rsid w:val="00791193"/>
    <w:rsid w:val="0079124F"/>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43E"/>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2E7B"/>
    <w:rsid w:val="007D3015"/>
    <w:rsid w:val="007D301E"/>
    <w:rsid w:val="007D4E7F"/>
    <w:rsid w:val="007D6402"/>
    <w:rsid w:val="007D6632"/>
    <w:rsid w:val="007D6F56"/>
    <w:rsid w:val="007D7A35"/>
    <w:rsid w:val="007E0935"/>
    <w:rsid w:val="007E0CAF"/>
    <w:rsid w:val="007E1499"/>
    <w:rsid w:val="007E18C3"/>
    <w:rsid w:val="007E1A8F"/>
    <w:rsid w:val="007E25D4"/>
    <w:rsid w:val="007E25FC"/>
    <w:rsid w:val="007E2996"/>
    <w:rsid w:val="007E344C"/>
    <w:rsid w:val="007E3DD0"/>
    <w:rsid w:val="007E4208"/>
    <w:rsid w:val="007E42BA"/>
    <w:rsid w:val="007E437C"/>
    <w:rsid w:val="007E4A92"/>
    <w:rsid w:val="007E52DE"/>
    <w:rsid w:val="007E6128"/>
    <w:rsid w:val="007E671D"/>
    <w:rsid w:val="007E6F5F"/>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6D24"/>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309A"/>
    <w:rsid w:val="00843508"/>
    <w:rsid w:val="00843A0F"/>
    <w:rsid w:val="008440DD"/>
    <w:rsid w:val="00844423"/>
    <w:rsid w:val="00844B1C"/>
    <w:rsid w:val="008451B6"/>
    <w:rsid w:val="008459E6"/>
    <w:rsid w:val="00845C31"/>
    <w:rsid w:val="0084708C"/>
    <w:rsid w:val="00847767"/>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193"/>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0AA"/>
    <w:rsid w:val="0086132E"/>
    <w:rsid w:val="00862474"/>
    <w:rsid w:val="00862D16"/>
    <w:rsid w:val="008631BE"/>
    <w:rsid w:val="008632AF"/>
    <w:rsid w:val="0086405D"/>
    <w:rsid w:val="00864361"/>
    <w:rsid w:val="008644F0"/>
    <w:rsid w:val="008647CD"/>
    <w:rsid w:val="00864A3C"/>
    <w:rsid w:val="00864FF6"/>
    <w:rsid w:val="00865F4D"/>
    <w:rsid w:val="008664A8"/>
    <w:rsid w:val="008672BE"/>
    <w:rsid w:val="00867531"/>
    <w:rsid w:val="00867FBD"/>
    <w:rsid w:val="0087070F"/>
    <w:rsid w:val="0087082D"/>
    <w:rsid w:val="00871125"/>
    <w:rsid w:val="008713FF"/>
    <w:rsid w:val="0087166E"/>
    <w:rsid w:val="00871CD2"/>
    <w:rsid w:val="00871DB7"/>
    <w:rsid w:val="00873872"/>
    <w:rsid w:val="00873B92"/>
    <w:rsid w:val="008741CE"/>
    <w:rsid w:val="008742DA"/>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593"/>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C90"/>
    <w:rsid w:val="008A0DCF"/>
    <w:rsid w:val="008A0E16"/>
    <w:rsid w:val="008A16A7"/>
    <w:rsid w:val="008A1764"/>
    <w:rsid w:val="008A186C"/>
    <w:rsid w:val="008A19C8"/>
    <w:rsid w:val="008A21EF"/>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3625"/>
    <w:rsid w:val="008B3826"/>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5CD"/>
    <w:rsid w:val="008C67CE"/>
    <w:rsid w:val="008C68CB"/>
    <w:rsid w:val="008C6CE0"/>
    <w:rsid w:val="008C7916"/>
    <w:rsid w:val="008C7D37"/>
    <w:rsid w:val="008D0493"/>
    <w:rsid w:val="008D1018"/>
    <w:rsid w:val="008D15CE"/>
    <w:rsid w:val="008D16AE"/>
    <w:rsid w:val="008D1920"/>
    <w:rsid w:val="008D1EF7"/>
    <w:rsid w:val="008D1F1D"/>
    <w:rsid w:val="008D20D3"/>
    <w:rsid w:val="008D2DCA"/>
    <w:rsid w:val="008D345B"/>
    <w:rsid w:val="008D38EB"/>
    <w:rsid w:val="008D4017"/>
    <w:rsid w:val="008D406F"/>
    <w:rsid w:val="008D4424"/>
    <w:rsid w:val="008D46DD"/>
    <w:rsid w:val="008D4BC0"/>
    <w:rsid w:val="008D5232"/>
    <w:rsid w:val="008D5553"/>
    <w:rsid w:val="008D5AC0"/>
    <w:rsid w:val="008D5C28"/>
    <w:rsid w:val="008D6312"/>
    <w:rsid w:val="008D681D"/>
    <w:rsid w:val="008D7021"/>
    <w:rsid w:val="008D7B9E"/>
    <w:rsid w:val="008D7D37"/>
    <w:rsid w:val="008E006B"/>
    <w:rsid w:val="008E0E03"/>
    <w:rsid w:val="008E10F5"/>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167"/>
    <w:rsid w:val="008E7237"/>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15E"/>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029"/>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3A9"/>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3F"/>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6D86"/>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748"/>
    <w:rsid w:val="0095480E"/>
    <w:rsid w:val="00954DFD"/>
    <w:rsid w:val="00954F3A"/>
    <w:rsid w:val="009550E9"/>
    <w:rsid w:val="0095514B"/>
    <w:rsid w:val="0095561D"/>
    <w:rsid w:val="00955BB8"/>
    <w:rsid w:val="00955F3B"/>
    <w:rsid w:val="00956795"/>
    <w:rsid w:val="009567DE"/>
    <w:rsid w:val="00956CC6"/>
    <w:rsid w:val="0095764E"/>
    <w:rsid w:val="00957AE4"/>
    <w:rsid w:val="00957DBB"/>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67D47"/>
    <w:rsid w:val="0097011E"/>
    <w:rsid w:val="00970551"/>
    <w:rsid w:val="00970A09"/>
    <w:rsid w:val="00970D01"/>
    <w:rsid w:val="00971349"/>
    <w:rsid w:val="00972097"/>
    <w:rsid w:val="00972B7D"/>
    <w:rsid w:val="00972F3E"/>
    <w:rsid w:val="00973497"/>
    <w:rsid w:val="009734B3"/>
    <w:rsid w:val="009737AB"/>
    <w:rsid w:val="009739AA"/>
    <w:rsid w:val="00973A65"/>
    <w:rsid w:val="00973A94"/>
    <w:rsid w:val="00973AC4"/>
    <w:rsid w:val="0097430A"/>
    <w:rsid w:val="00975044"/>
    <w:rsid w:val="00975244"/>
    <w:rsid w:val="00975779"/>
    <w:rsid w:val="0097659D"/>
    <w:rsid w:val="00976B12"/>
    <w:rsid w:val="00976DB4"/>
    <w:rsid w:val="0097729B"/>
    <w:rsid w:val="009779DE"/>
    <w:rsid w:val="00977CBE"/>
    <w:rsid w:val="00980091"/>
    <w:rsid w:val="00980C55"/>
    <w:rsid w:val="00980F7C"/>
    <w:rsid w:val="0098115C"/>
    <w:rsid w:val="009819A9"/>
    <w:rsid w:val="00981C28"/>
    <w:rsid w:val="009821C0"/>
    <w:rsid w:val="00982B88"/>
    <w:rsid w:val="00982C82"/>
    <w:rsid w:val="00982DCC"/>
    <w:rsid w:val="0098315A"/>
    <w:rsid w:val="0098341B"/>
    <w:rsid w:val="0098350B"/>
    <w:rsid w:val="00983FFE"/>
    <w:rsid w:val="00984117"/>
    <w:rsid w:val="00984300"/>
    <w:rsid w:val="009844B1"/>
    <w:rsid w:val="009844F8"/>
    <w:rsid w:val="0098468E"/>
    <w:rsid w:val="009849FB"/>
    <w:rsid w:val="00984B3E"/>
    <w:rsid w:val="00985145"/>
    <w:rsid w:val="0098562F"/>
    <w:rsid w:val="009859D6"/>
    <w:rsid w:val="00985B2B"/>
    <w:rsid w:val="00985F80"/>
    <w:rsid w:val="009865A8"/>
    <w:rsid w:val="00986FF6"/>
    <w:rsid w:val="0098704E"/>
    <w:rsid w:val="0098715D"/>
    <w:rsid w:val="00987190"/>
    <w:rsid w:val="0098732A"/>
    <w:rsid w:val="00987558"/>
    <w:rsid w:val="009875F6"/>
    <w:rsid w:val="00987954"/>
    <w:rsid w:val="00987C54"/>
    <w:rsid w:val="00987EC1"/>
    <w:rsid w:val="00990203"/>
    <w:rsid w:val="00990E59"/>
    <w:rsid w:val="00990EB6"/>
    <w:rsid w:val="009912BC"/>
    <w:rsid w:val="00992307"/>
    <w:rsid w:val="00992942"/>
    <w:rsid w:val="00992FD6"/>
    <w:rsid w:val="009933E7"/>
    <w:rsid w:val="0099431D"/>
    <w:rsid w:val="00994370"/>
    <w:rsid w:val="009947E9"/>
    <w:rsid w:val="00994B74"/>
    <w:rsid w:val="00994D1A"/>
    <w:rsid w:val="0099516A"/>
    <w:rsid w:val="009951D9"/>
    <w:rsid w:val="00995254"/>
    <w:rsid w:val="0099535E"/>
    <w:rsid w:val="009959A6"/>
    <w:rsid w:val="009959E3"/>
    <w:rsid w:val="009966F9"/>
    <w:rsid w:val="00997C6F"/>
    <w:rsid w:val="009A0056"/>
    <w:rsid w:val="009A0494"/>
    <w:rsid w:val="009A0818"/>
    <w:rsid w:val="009A0AA7"/>
    <w:rsid w:val="009A0C8A"/>
    <w:rsid w:val="009A1224"/>
    <w:rsid w:val="009A1300"/>
    <w:rsid w:val="009A1AD9"/>
    <w:rsid w:val="009A1CDA"/>
    <w:rsid w:val="009A1D59"/>
    <w:rsid w:val="009A2178"/>
    <w:rsid w:val="009A2532"/>
    <w:rsid w:val="009A2F20"/>
    <w:rsid w:val="009A3A67"/>
    <w:rsid w:val="009A4E88"/>
    <w:rsid w:val="009A5319"/>
    <w:rsid w:val="009A6A51"/>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73F"/>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3BE3"/>
    <w:rsid w:val="009D4135"/>
    <w:rsid w:val="009D463A"/>
    <w:rsid w:val="009D47BD"/>
    <w:rsid w:val="009D48F7"/>
    <w:rsid w:val="009D4ED3"/>
    <w:rsid w:val="009D532D"/>
    <w:rsid w:val="009D5ECE"/>
    <w:rsid w:val="009D6031"/>
    <w:rsid w:val="009D64A7"/>
    <w:rsid w:val="009D71C4"/>
    <w:rsid w:val="009D750B"/>
    <w:rsid w:val="009E04F6"/>
    <w:rsid w:val="009E0CC8"/>
    <w:rsid w:val="009E283E"/>
    <w:rsid w:val="009E285B"/>
    <w:rsid w:val="009E2883"/>
    <w:rsid w:val="009E3076"/>
    <w:rsid w:val="009E30C6"/>
    <w:rsid w:val="009E33E6"/>
    <w:rsid w:val="009E35DD"/>
    <w:rsid w:val="009E384D"/>
    <w:rsid w:val="009E3D85"/>
    <w:rsid w:val="009E400C"/>
    <w:rsid w:val="009E4545"/>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6E1"/>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194"/>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1852"/>
    <w:rsid w:val="00A1263E"/>
    <w:rsid w:val="00A12830"/>
    <w:rsid w:val="00A1284D"/>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A7E"/>
    <w:rsid w:val="00A32D74"/>
    <w:rsid w:val="00A33258"/>
    <w:rsid w:val="00A33953"/>
    <w:rsid w:val="00A33DB9"/>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B11"/>
    <w:rsid w:val="00A40F1F"/>
    <w:rsid w:val="00A411A0"/>
    <w:rsid w:val="00A4214D"/>
    <w:rsid w:val="00A42CF5"/>
    <w:rsid w:val="00A42EB9"/>
    <w:rsid w:val="00A43205"/>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10"/>
    <w:rsid w:val="00A539B0"/>
    <w:rsid w:val="00A53C91"/>
    <w:rsid w:val="00A54B5B"/>
    <w:rsid w:val="00A554BF"/>
    <w:rsid w:val="00A55703"/>
    <w:rsid w:val="00A55800"/>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A41"/>
    <w:rsid w:val="00A62A9E"/>
    <w:rsid w:val="00A62E32"/>
    <w:rsid w:val="00A62FA2"/>
    <w:rsid w:val="00A633A7"/>
    <w:rsid w:val="00A640EB"/>
    <w:rsid w:val="00A6419F"/>
    <w:rsid w:val="00A642BA"/>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56B"/>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3BF7"/>
    <w:rsid w:val="00A9527E"/>
    <w:rsid w:val="00A95CB8"/>
    <w:rsid w:val="00A95DFC"/>
    <w:rsid w:val="00A96538"/>
    <w:rsid w:val="00A967F1"/>
    <w:rsid w:val="00A96B48"/>
    <w:rsid w:val="00A96E62"/>
    <w:rsid w:val="00A97E28"/>
    <w:rsid w:val="00AA019D"/>
    <w:rsid w:val="00AA0879"/>
    <w:rsid w:val="00AA14DC"/>
    <w:rsid w:val="00AA1DE7"/>
    <w:rsid w:val="00AA22CD"/>
    <w:rsid w:val="00AA3FF4"/>
    <w:rsid w:val="00AA44E5"/>
    <w:rsid w:val="00AA487E"/>
    <w:rsid w:val="00AA4E6B"/>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27"/>
    <w:rsid w:val="00B0258C"/>
    <w:rsid w:val="00B028DF"/>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3A7"/>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8"/>
    <w:rsid w:val="00B200ED"/>
    <w:rsid w:val="00B202E1"/>
    <w:rsid w:val="00B202E2"/>
    <w:rsid w:val="00B204D6"/>
    <w:rsid w:val="00B2186B"/>
    <w:rsid w:val="00B21B22"/>
    <w:rsid w:val="00B21DAC"/>
    <w:rsid w:val="00B22F8E"/>
    <w:rsid w:val="00B23334"/>
    <w:rsid w:val="00B233CB"/>
    <w:rsid w:val="00B233CD"/>
    <w:rsid w:val="00B2345A"/>
    <w:rsid w:val="00B23922"/>
    <w:rsid w:val="00B23E37"/>
    <w:rsid w:val="00B240BB"/>
    <w:rsid w:val="00B24214"/>
    <w:rsid w:val="00B244C0"/>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825"/>
    <w:rsid w:val="00B35C25"/>
    <w:rsid w:val="00B35E7E"/>
    <w:rsid w:val="00B36072"/>
    <w:rsid w:val="00B361C9"/>
    <w:rsid w:val="00B364A5"/>
    <w:rsid w:val="00B36673"/>
    <w:rsid w:val="00B3715F"/>
    <w:rsid w:val="00B37763"/>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7FB"/>
    <w:rsid w:val="00B679C4"/>
    <w:rsid w:val="00B67D66"/>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12C"/>
    <w:rsid w:val="00B77C88"/>
    <w:rsid w:val="00B80009"/>
    <w:rsid w:val="00B8064C"/>
    <w:rsid w:val="00B809D1"/>
    <w:rsid w:val="00B80AC1"/>
    <w:rsid w:val="00B80CC1"/>
    <w:rsid w:val="00B80D95"/>
    <w:rsid w:val="00B80F3F"/>
    <w:rsid w:val="00B81072"/>
    <w:rsid w:val="00B81086"/>
    <w:rsid w:val="00B81256"/>
    <w:rsid w:val="00B81293"/>
    <w:rsid w:val="00B81567"/>
    <w:rsid w:val="00B816A5"/>
    <w:rsid w:val="00B816B1"/>
    <w:rsid w:val="00B816DC"/>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709"/>
    <w:rsid w:val="00B91498"/>
    <w:rsid w:val="00B91725"/>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C4B"/>
    <w:rsid w:val="00BA0E72"/>
    <w:rsid w:val="00BA0F02"/>
    <w:rsid w:val="00BA131D"/>
    <w:rsid w:val="00BA17D6"/>
    <w:rsid w:val="00BA208B"/>
    <w:rsid w:val="00BA2AD8"/>
    <w:rsid w:val="00BA3681"/>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5D7F"/>
    <w:rsid w:val="00BC69C0"/>
    <w:rsid w:val="00BC6DD6"/>
    <w:rsid w:val="00BC6F92"/>
    <w:rsid w:val="00BC6FC3"/>
    <w:rsid w:val="00BC763A"/>
    <w:rsid w:val="00BC79CB"/>
    <w:rsid w:val="00BC7C86"/>
    <w:rsid w:val="00BD0392"/>
    <w:rsid w:val="00BD0877"/>
    <w:rsid w:val="00BD09E3"/>
    <w:rsid w:val="00BD14C6"/>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53B"/>
    <w:rsid w:val="00C34D09"/>
    <w:rsid w:val="00C34F32"/>
    <w:rsid w:val="00C352DA"/>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1E4"/>
    <w:rsid w:val="00C518D9"/>
    <w:rsid w:val="00C51A0C"/>
    <w:rsid w:val="00C51FF8"/>
    <w:rsid w:val="00C527B6"/>
    <w:rsid w:val="00C52D19"/>
    <w:rsid w:val="00C53317"/>
    <w:rsid w:val="00C5370B"/>
    <w:rsid w:val="00C53BB8"/>
    <w:rsid w:val="00C53DB5"/>
    <w:rsid w:val="00C54B85"/>
    <w:rsid w:val="00C54FA4"/>
    <w:rsid w:val="00C55311"/>
    <w:rsid w:val="00C55B9B"/>
    <w:rsid w:val="00C55C73"/>
    <w:rsid w:val="00C5631C"/>
    <w:rsid w:val="00C563DB"/>
    <w:rsid w:val="00C56A5E"/>
    <w:rsid w:val="00C56C64"/>
    <w:rsid w:val="00C56D0B"/>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DD0"/>
    <w:rsid w:val="00C96F06"/>
    <w:rsid w:val="00C970CC"/>
    <w:rsid w:val="00C976C4"/>
    <w:rsid w:val="00C97996"/>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3DCD"/>
    <w:rsid w:val="00CA409D"/>
    <w:rsid w:val="00CA4ED4"/>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183"/>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1E3"/>
    <w:rsid w:val="00CD02C8"/>
    <w:rsid w:val="00CD077D"/>
    <w:rsid w:val="00CD138A"/>
    <w:rsid w:val="00CD1450"/>
    <w:rsid w:val="00CD15D4"/>
    <w:rsid w:val="00CD1702"/>
    <w:rsid w:val="00CD1AF6"/>
    <w:rsid w:val="00CD22A4"/>
    <w:rsid w:val="00CD284E"/>
    <w:rsid w:val="00CD2A0E"/>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14C"/>
    <w:rsid w:val="00CE2317"/>
    <w:rsid w:val="00CE26E6"/>
    <w:rsid w:val="00CE28CF"/>
    <w:rsid w:val="00CE2DF4"/>
    <w:rsid w:val="00CE3B4C"/>
    <w:rsid w:val="00CE4463"/>
    <w:rsid w:val="00CE448A"/>
    <w:rsid w:val="00CE44A3"/>
    <w:rsid w:val="00CE5236"/>
    <w:rsid w:val="00CE556C"/>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1344"/>
    <w:rsid w:val="00D02339"/>
    <w:rsid w:val="00D02CA8"/>
    <w:rsid w:val="00D02EA1"/>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20774"/>
    <w:rsid w:val="00D20F20"/>
    <w:rsid w:val="00D21820"/>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F37"/>
    <w:rsid w:val="00D316AA"/>
    <w:rsid w:val="00D319A1"/>
    <w:rsid w:val="00D31B52"/>
    <w:rsid w:val="00D31C86"/>
    <w:rsid w:val="00D324CA"/>
    <w:rsid w:val="00D329C8"/>
    <w:rsid w:val="00D32F09"/>
    <w:rsid w:val="00D335B2"/>
    <w:rsid w:val="00D3378D"/>
    <w:rsid w:val="00D3382A"/>
    <w:rsid w:val="00D3397C"/>
    <w:rsid w:val="00D33C70"/>
    <w:rsid w:val="00D34245"/>
    <w:rsid w:val="00D34262"/>
    <w:rsid w:val="00D342F1"/>
    <w:rsid w:val="00D34346"/>
    <w:rsid w:val="00D34782"/>
    <w:rsid w:val="00D347D6"/>
    <w:rsid w:val="00D35316"/>
    <w:rsid w:val="00D35A6F"/>
    <w:rsid w:val="00D35C14"/>
    <w:rsid w:val="00D37245"/>
    <w:rsid w:val="00D37324"/>
    <w:rsid w:val="00D37701"/>
    <w:rsid w:val="00D3774A"/>
    <w:rsid w:val="00D37AAF"/>
    <w:rsid w:val="00D37D04"/>
    <w:rsid w:val="00D40854"/>
    <w:rsid w:val="00D40D1F"/>
    <w:rsid w:val="00D41855"/>
    <w:rsid w:val="00D41D0F"/>
    <w:rsid w:val="00D42607"/>
    <w:rsid w:val="00D42B47"/>
    <w:rsid w:val="00D432AA"/>
    <w:rsid w:val="00D436F3"/>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1AB6"/>
    <w:rsid w:val="00D722B7"/>
    <w:rsid w:val="00D72D06"/>
    <w:rsid w:val="00D72DC4"/>
    <w:rsid w:val="00D73331"/>
    <w:rsid w:val="00D736E1"/>
    <w:rsid w:val="00D737CD"/>
    <w:rsid w:val="00D73D8A"/>
    <w:rsid w:val="00D73DD5"/>
    <w:rsid w:val="00D73E21"/>
    <w:rsid w:val="00D73E27"/>
    <w:rsid w:val="00D74431"/>
    <w:rsid w:val="00D74453"/>
    <w:rsid w:val="00D746D2"/>
    <w:rsid w:val="00D74790"/>
    <w:rsid w:val="00D74B75"/>
    <w:rsid w:val="00D74FD9"/>
    <w:rsid w:val="00D75D30"/>
    <w:rsid w:val="00D75E74"/>
    <w:rsid w:val="00D75F83"/>
    <w:rsid w:val="00D75FD0"/>
    <w:rsid w:val="00D76A49"/>
    <w:rsid w:val="00D76CDC"/>
    <w:rsid w:val="00D76F50"/>
    <w:rsid w:val="00D77213"/>
    <w:rsid w:val="00D7734E"/>
    <w:rsid w:val="00D77796"/>
    <w:rsid w:val="00D77A76"/>
    <w:rsid w:val="00D77C6E"/>
    <w:rsid w:val="00D77C85"/>
    <w:rsid w:val="00D77DD4"/>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C60"/>
    <w:rsid w:val="00D87690"/>
    <w:rsid w:val="00D87707"/>
    <w:rsid w:val="00D87A9C"/>
    <w:rsid w:val="00D87BF4"/>
    <w:rsid w:val="00D9069A"/>
    <w:rsid w:val="00D90A2F"/>
    <w:rsid w:val="00D90D20"/>
    <w:rsid w:val="00D91C61"/>
    <w:rsid w:val="00D91E99"/>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1B"/>
    <w:rsid w:val="00DB4C35"/>
    <w:rsid w:val="00DB4DAA"/>
    <w:rsid w:val="00DB5165"/>
    <w:rsid w:val="00DB566B"/>
    <w:rsid w:val="00DB667F"/>
    <w:rsid w:val="00DB66DA"/>
    <w:rsid w:val="00DB6D43"/>
    <w:rsid w:val="00DB6E8A"/>
    <w:rsid w:val="00DB6FFE"/>
    <w:rsid w:val="00DB7697"/>
    <w:rsid w:val="00DB76F9"/>
    <w:rsid w:val="00DB79FD"/>
    <w:rsid w:val="00DC002C"/>
    <w:rsid w:val="00DC0114"/>
    <w:rsid w:val="00DC0BA5"/>
    <w:rsid w:val="00DC1947"/>
    <w:rsid w:val="00DC1D3A"/>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3F3"/>
    <w:rsid w:val="00DF4D1F"/>
    <w:rsid w:val="00DF5B23"/>
    <w:rsid w:val="00DF6464"/>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6BE"/>
    <w:rsid w:val="00E20739"/>
    <w:rsid w:val="00E209B7"/>
    <w:rsid w:val="00E20B6B"/>
    <w:rsid w:val="00E20E76"/>
    <w:rsid w:val="00E21035"/>
    <w:rsid w:val="00E21662"/>
    <w:rsid w:val="00E2193F"/>
    <w:rsid w:val="00E2214D"/>
    <w:rsid w:val="00E226D7"/>
    <w:rsid w:val="00E227C8"/>
    <w:rsid w:val="00E230DD"/>
    <w:rsid w:val="00E240D2"/>
    <w:rsid w:val="00E2431E"/>
    <w:rsid w:val="00E24683"/>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47B28"/>
    <w:rsid w:val="00E510CC"/>
    <w:rsid w:val="00E511FE"/>
    <w:rsid w:val="00E51305"/>
    <w:rsid w:val="00E513CD"/>
    <w:rsid w:val="00E515FE"/>
    <w:rsid w:val="00E5291B"/>
    <w:rsid w:val="00E53F5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A0F"/>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523"/>
    <w:rsid w:val="00E849C0"/>
    <w:rsid w:val="00E849DA"/>
    <w:rsid w:val="00E84A8E"/>
    <w:rsid w:val="00E8505E"/>
    <w:rsid w:val="00E8511C"/>
    <w:rsid w:val="00E8556E"/>
    <w:rsid w:val="00E86120"/>
    <w:rsid w:val="00E868C7"/>
    <w:rsid w:val="00E86B63"/>
    <w:rsid w:val="00E877F4"/>
    <w:rsid w:val="00E878F9"/>
    <w:rsid w:val="00E87AAA"/>
    <w:rsid w:val="00E902B5"/>
    <w:rsid w:val="00E902E0"/>
    <w:rsid w:val="00E903AA"/>
    <w:rsid w:val="00E910D3"/>
    <w:rsid w:val="00E91654"/>
    <w:rsid w:val="00E9193C"/>
    <w:rsid w:val="00E91F62"/>
    <w:rsid w:val="00E928B7"/>
    <w:rsid w:val="00E9298C"/>
    <w:rsid w:val="00E929CB"/>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2D6"/>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5BA5"/>
    <w:rsid w:val="00EA6329"/>
    <w:rsid w:val="00EA6812"/>
    <w:rsid w:val="00EA6A2C"/>
    <w:rsid w:val="00EA6DBB"/>
    <w:rsid w:val="00EA77EF"/>
    <w:rsid w:val="00EA7D45"/>
    <w:rsid w:val="00EB0895"/>
    <w:rsid w:val="00EB1A75"/>
    <w:rsid w:val="00EB1E75"/>
    <w:rsid w:val="00EB2CAA"/>
    <w:rsid w:val="00EB2D8F"/>
    <w:rsid w:val="00EB369F"/>
    <w:rsid w:val="00EB50E6"/>
    <w:rsid w:val="00EB5CB5"/>
    <w:rsid w:val="00EB5F11"/>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1D7C"/>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9DB"/>
    <w:rsid w:val="00F01A72"/>
    <w:rsid w:val="00F01C25"/>
    <w:rsid w:val="00F02018"/>
    <w:rsid w:val="00F020DA"/>
    <w:rsid w:val="00F02393"/>
    <w:rsid w:val="00F0259C"/>
    <w:rsid w:val="00F0262A"/>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27938"/>
    <w:rsid w:val="00F30001"/>
    <w:rsid w:val="00F30750"/>
    <w:rsid w:val="00F308B7"/>
    <w:rsid w:val="00F31B9F"/>
    <w:rsid w:val="00F3218F"/>
    <w:rsid w:val="00F322A7"/>
    <w:rsid w:val="00F324B2"/>
    <w:rsid w:val="00F339F6"/>
    <w:rsid w:val="00F3443E"/>
    <w:rsid w:val="00F347AF"/>
    <w:rsid w:val="00F34806"/>
    <w:rsid w:val="00F34C4E"/>
    <w:rsid w:val="00F35AFA"/>
    <w:rsid w:val="00F3610E"/>
    <w:rsid w:val="00F366D2"/>
    <w:rsid w:val="00F3673B"/>
    <w:rsid w:val="00F36741"/>
    <w:rsid w:val="00F3747F"/>
    <w:rsid w:val="00F37521"/>
    <w:rsid w:val="00F41234"/>
    <w:rsid w:val="00F4126B"/>
    <w:rsid w:val="00F41C10"/>
    <w:rsid w:val="00F41E38"/>
    <w:rsid w:val="00F425A7"/>
    <w:rsid w:val="00F426DE"/>
    <w:rsid w:val="00F42960"/>
    <w:rsid w:val="00F43B0F"/>
    <w:rsid w:val="00F43DD3"/>
    <w:rsid w:val="00F44F0C"/>
    <w:rsid w:val="00F45970"/>
    <w:rsid w:val="00F46435"/>
    <w:rsid w:val="00F464F9"/>
    <w:rsid w:val="00F46503"/>
    <w:rsid w:val="00F46BE2"/>
    <w:rsid w:val="00F471EF"/>
    <w:rsid w:val="00F47263"/>
    <w:rsid w:val="00F4730A"/>
    <w:rsid w:val="00F47325"/>
    <w:rsid w:val="00F474D4"/>
    <w:rsid w:val="00F47B29"/>
    <w:rsid w:val="00F47B9F"/>
    <w:rsid w:val="00F50B30"/>
    <w:rsid w:val="00F50FF0"/>
    <w:rsid w:val="00F527A3"/>
    <w:rsid w:val="00F533A5"/>
    <w:rsid w:val="00F5367F"/>
    <w:rsid w:val="00F53750"/>
    <w:rsid w:val="00F53BBC"/>
    <w:rsid w:val="00F5420D"/>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43C"/>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378"/>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34A3"/>
    <w:rsid w:val="00F94B54"/>
    <w:rsid w:val="00F94BD7"/>
    <w:rsid w:val="00F95678"/>
    <w:rsid w:val="00F966EB"/>
    <w:rsid w:val="00F967B7"/>
    <w:rsid w:val="00F96936"/>
    <w:rsid w:val="00F96C17"/>
    <w:rsid w:val="00F978D5"/>
    <w:rsid w:val="00F97AE8"/>
    <w:rsid w:val="00F97FB8"/>
    <w:rsid w:val="00FA0136"/>
    <w:rsid w:val="00FA0E61"/>
    <w:rsid w:val="00FA116F"/>
    <w:rsid w:val="00FA155A"/>
    <w:rsid w:val="00FA21E0"/>
    <w:rsid w:val="00FA29C5"/>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24E"/>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42C0"/>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 w:val="01085804"/>
    <w:rsid w:val="01C2F895"/>
    <w:rsid w:val="02DD1421"/>
    <w:rsid w:val="04973874"/>
    <w:rsid w:val="04A767D8"/>
    <w:rsid w:val="057F6C80"/>
    <w:rsid w:val="05AC6A02"/>
    <w:rsid w:val="07C9A43E"/>
    <w:rsid w:val="08C13B07"/>
    <w:rsid w:val="0961121E"/>
    <w:rsid w:val="097AD8FB"/>
    <w:rsid w:val="09C36DF5"/>
    <w:rsid w:val="0A1A188F"/>
    <w:rsid w:val="0AA45720"/>
    <w:rsid w:val="0AB375DB"/>
    <w:rsid w:val="0AD97182"/>
    <w:rsid w:val="0B87DAF0"/>
    <w:rsid w:val="0BB5A4EA"/>
    <w:rsid w:val="0C2F5D44"/>
    <w:rsid w:val="0D1B6617"/>
    <w:rsid w:val="0D231C60"/>
    <w:rsid w:val="0D27E434"/>
    <w:rsid w:val="0DDC6501"/>
    <w:rsid w:val="0DDDA89F"/>
    <w:rsid w:val="0EC3B495"/>
    <w:rsid w:val="0FA58D92"/>
    <w:rsid w:val="0FFC0EC3"/>
    <w:rsid w:val="104794BC"/>
    <w:rsid w:val="11721A1B"/>
    <w:rsid w:val="11EE7154"/>
    <w:rsid w:val="11F382D8"/>
    <w:rsid w:val="12324FC4"/>
    <w:rsid w:val="1288256A"/>
    <w:rsid w:val="13ACDD98"/>
    <w:rsid w:val="141B0EBD"/>
    <w:rsid w:val="1465B1FA"/>
    <w:rsid w:val="14A69EB6"/>
    <w:rsid w:val="15194F3E"/>
    <w:rsid w:val="15F494ED"/>
    <w:rsid w:val="16383218"/>
    <w:rsid w:val="17560E01"/>
    <w:rsid w:val="175D3E5F"/>
    <w:rsid w:val="177EC16E"/>
    <w:rsid w:val="17E2AE5B"/>
    <w:rsid w:val="18264E06"/>
    <w:rsid w:val="182D2D3F"/>
    <w:rsid w:val="1852CE75"/>
    <w:rsid w:val="185ACF4F"/>
    <w:rsid w:val="186A96DB"/>
    <w:rsid w:val="1933477B"/>
    <w:rsid w:val="196E3168"/>
    <w:rsid w:val="1A30CED0"/>
    <w:rsid w:val="1A3501CD"/>
    <w:rsid w:val="1AE101D2"/>
    <w:rsid w:val="1B03B16E"/>
    <w:rsid w:val="1B166FCA"/>
    <w:rsid w:val="1B408644"/>
    <w:rsid w:val="1BD979D5"/>
    <w:rsid w:val="1C09EF98"/>
    <w:rsid w:val="1C39BCD6"/>
    <w:rsid w:val="1C9EC87C"/>
    <w:rsid w:val="1DBC64DA"/>
    <w:rsid w:val="1DD2A017"/>
    <w:rsid w:val="1E257A9A"/>
    <w:rsid w:val="1E91988E"/>
    <w:rsid w:val="1EE3B075"/>
    <w:rsid w:val="1F2821FA"/>
    <w:rsid w:val="1F405375"/>
    <w:rsid w:val="1F765A40"/>
    <w:rsid w:val="1FFBC54D"/>
    <w:rsid w:val="20102ECC"/>
    <w:rsid w:val="216B4842"/>
    <w:rsid w:val="21DBE6A9"/>
    <w:rsid w:val="2326D570"/>
    <w:rsid w:val="23BB32ED"/>
    <w:rsid w:val="23CAF857"/>
    <w:rsid w:val="24A5BE1B"/>
    <w:rsid w:val="24BEEC81"/>
    <w:rsid w:val="255B3ABC"/>
    <w:rsid w:val="25D133C4"/>
    <w:rsid w:val="25F31E6F"/>
    <w:rsid w:val="27741F0A"/>
    <w:rsid w:val="277E239E"/>
    <w:rsid w:val="28B1B170"/>
    <w:rsid w:val="290B9B83"/>
    <w:rsid w:val="29175863"/>
    <w:rsid w:val="295D40C6"/>
    <w:rsid w:val="29D5F371"/>
    <w:rsid w:val="2A45E0AC"/>
    <w:rsid w:val="2BC1D120"/>
    <w:rsid w:val="2D30C278"/>
    <w:rsid w:val="2DC25261"/>
    <w:rsid w:val="30DEA3A1"/>
    <w:rsid w:val="3190CEB4"/>
    <w:rsid w:val="31FDEC59"/>
    <w:rsid w:val="321EFCF7"/>
    <w:rsid w:val="3369A979"/>
    <w:rsid w:val="33898F71"/>
    <w:rsid w:val="33D638DD"/>
    <w:rsid w:val="33E9261B"/>
    <w:rsid w:val="34308AF1"/>
    <w:rsid w:val="34A1F6E2"/>
    <w:rsid w:val="353B8168"/>
    <w:rsid w:val="356B7172"/>
    <w:rsid w:val="35AD30E9"/>
    <w:rsid w:val="35B6585C"/>
    <w:rsid w:val="36B181E6"/>
    <w:rsid w:val="38215E29"/>
    <w:rsid w:val="39CB8A5D"/>
    <w:rsid w:val="3A0B450A"/>
    <w:rsid w:val="3A938E2C"/>
    <w:rsid w:val="3AD6A6FE"/>
    <w:rsid w:val="3BAC0983"/>
    <w:rsid w:val="3BD5FA06"/>
    <w:rsid w:val="3C46F9A5"/>
    <w:rsid w:val="3D6EEB96"/>
    <w:rsid w:val="3DC4D7E8"/>
    <w:rsid w:val="3E7BD6E6"/>
    <w:rsid w:val="3E844F56"/>
    <w:rsid w:val="3F073835"/>
    <w:rsid w:val="408ABF15"/>
    <w:rsid w:val="40BD05C4"/>
    <w:rsid w:val="413039F6"/>
    <w:rsid w:val="42547E23"/>
    <w:rsid w:val="4266A076"/>
    <w:rsid w:val="42832E59"/>
    <w:rsid w:val="42F8E2C0"/>
    <w:rsid w:val="4493A58D"/>
    <w:rsid w:val="45495682"/>
    <w:rsid w:val="455460E5"/>
    <w:rsid w:val="471B5505"/>
    <w:rsid w:val="473F5C2F"/>
    <w:rsid w:val="48E44DD1"/>
    <w:rsid w:val="48E7C657"/>
    <w:rsid w:val="49565F2B"/>
    <w:rsid w:val="4984A9C7"/>
    <w:rsid w:val="49B9F1E9"/>
    <w:rsid w:val="4A666760"/>
    <w:rsid w:val="4B2B5AB6"/>
    <w:rsid w:val="4B55FA58"/>
    <w:rsid w:val="4C16FC7B"/>
    <w:rsid w:val="4C80E990"/>
    <w:rsid w:val="4CAE02BA"/>
    <w:rsid w:val="4DD7639E"/>
    <w:rsid w:val="4E5E5531"/>
    <w:rsid w:val="4EC9FA94"/>
    <w:rsid w:val="4EE15854"/>
    <w:rsid w:val="4F749E77"/>
    <w:rsid w:val="4FB346AE"/>
    <w:rsid w:val="507D28B5"/>
    <w:rsid w:val="50911D42"/>
    <w:rsid w:val="50AB8C66"/>
    <w:rsid w:val="524ACD64"/>
    <w:rsid w:val="52C7BBD1"/>
    <w:rsid w:val="531D443E"/>
    <w:rsid w:val="534BEDF3"/>
    <w:rsid w:val="539F0492"/>
    <w:rsid w:val="548AF6A2"/>
    <w:rsid w:val="54CC7087"/>
    <w:rsid w:val="55A80FBE"/>
    <w:rsid w:val="55DCC2E3"/>
    <w:rsid w:val="55F333A7"/>
    <w:rsid w:val="5658D400"/>
    <w:rsid w:val="5680DDE8"/>
    <w:rsid w:val="572F7F96"/>
    <w:rsid w:val="57CBEB33"/>
    <w:rsid w:val="58D678E0"/>
    <w:rsid w:val="5908E1FA"/>
    <w:rsid w:val="592AD469"/>
    <w:rsid w:val="597B4AEB"/>
    <w:rsid w:val="59F1B5E1"/>
    <w:rsid w:val="5A720B3D"/>
    <w:rsid w:val="5A7463A0"/>
    <w:rsid w:val="5AF82871"/>
    <w:rsid w:val="5B123CF0"/>
    <w:rsid w:val="5C02F0B9"/>
    <w:rsid w:val="5CDC512B"/>
    <w:rsid w:val="5D791E25"/>
    <w:rsid w:val="5DDB4067"/>
    <w:rsid w:val="5DEBAA30"/>
    <w:rsid w:val="5E24C467"/>
    <w:rsid w:val="5F512B02"/>
    <w:rsid w:val="604D7933"/>
    <w:rsid w:val="61056114"/>
    <w:rsid w:val="61BB160F"/>
    <w:rsid w:val="61D6FCD5"/>
    <w:rsid w:val="62388483"/>
    <w:rsid w:val="62413997"/>
    <w:rsid w:val="628B5A9A"/>
    <w:rsid w:val="630170DC"/>
    <w:rsid w:val="63540B3A"/>
    <w:rsid w:val="6368FF23"/>
    <w:rsid w:val="63CBA0CA"/>
    <w:rsid w:val="643C54D2"/>
    <w:rsid w:val="64757496"/>
    <w:rsid w:val="66409982"/>
    <w:rsid w:val="6745A360"/>
    <w:rsid w:val="67893351"/>
    <w:rsid w:val="67AD1558"/>
    <w:rsid w:val="681B2E67"/>
    <w:rsid w:val="682F631D"/>
    <w:rsid w:val="68D066FD"/>
    <w:rsid w:val="68E173C1"/>
    <w:rsid w:val="694C1CD7"/>
    <w:rsid w:val="697B7A02"/>
    <w:rsid w:val="69C63BA2"/>
    <w:rsid w:val="6A0C3F1D"/>
    <w:rsid w:val="6A9209AE"/>
    <w:rsid w:val="6C0F1813"/>
    <w:rsid w:val="6C95E95B"/>
    <w:rsid w:val="6D4EA0FF"/>
    <w:rsid w:val="6D5FCAC3"/>
    <w:rsid w:val="6D6E29D1"/>
    <w:rsid w:val="6D8AFD21"/>
    <w:rsid w:val="6DBCD26A"/>
    <w:rsid w:val="6E14B547"/>
    <w:rsid w:val="6E7742E2"/>
    <w:rsid w:val="6F46B8D5"/>
    <w:rsid w:val="7054D773"/>
    <w:rsid w:val="706B3CCA"/>
    <w:rsid w:val="70EC85A6"/>
    <w:rsid w:val="716AE282"/>
    <w:rsid w:val="71E880EE"/>
    <w:rsid w:val="721AD916"/>
    <w:rsid w:val="72C6049B"/>
    <w:rsid w:val="72FF5030"/>
    <w:rsid w:val="73271624"/>
    <w:rsid w:val="737A17C5"/>
    <w:rsid w:val="73840680"/>
    <w:rsid w:val="7442CB92"/>
    <w:rsid w:val="75226AF7"/>
    <w:rsid w:val="771AA44A"/>
    <w:rsid w:val="77768DB6"/>
    <w:rsid w:val="777975FF"/>
    <w:rsid w:val="78706F8E"/>
    <w:rsid w:val="78DA8414"/>
    <w:rsid w:val="78E115F2"/>
    <w:rsid w:val="78FF8511"/>
    <w:rsid w:val="7948F6E5"/>
    <w:rsid w:val="798F23E5"/>
    <w:rsid w:val="7A25256E"/>
    <w:rsid w:val="7AE4C746"/>
    <w:rsid w:val="7B9C9E33"/>
    <w:rsid w:val="7C1C1C31"/>
    <w:rsid w:val="7C206639"/>
    <w:rsid w:val="7C7F15D0"/>
    <w:rsid w:val="7CDD7007"/>
    <w:rsid w:val="7CFFD673"/>
    <w:rsid w:val="7D11C069"/>
    <w:rsid w:val="7D21F031"/>
    <w:rsid w:val="7D2AE8C6"/>
    <w:rsid w:val="7D8A6D38"/>
    <w:rsid w:val="7E9BA6D4"/>
    <w:rsid w:val="7F230D6F"/>
    <w:rsid w:val="7F877C41"/>
    <w:rsid w:val="7F899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EB649"/>
  <w14:defaultImageDpi w14:val="0"/>
  <w15:docId w15:val="{EF89D5AA-FB29-4978-A03A-E281F42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lang w:val="es-ES" w:eastAsia="es-ES"/>
    </w:rPr>
  </w:style>
  <w:style w:type="paragraph" w:styleId="Prrafodelista">
    <w:name w:val="List Paragraph"/>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lang w:val="es-ES" w:eastAsia="es-ES"/>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10"/>
    <w:qFormat/>
    <w:rsid w:val="00AC5058"/>
    <w:pPr>
      <w:jc w:val="center"/>
    </w:pPr>
    <w:rPr>
      <w:rFonts w:ascii="Arial" w:hAnsi="Arial" w:cs="Arial"/>
      <w:b/>
      <w:bCs/>
      <w:i/>
      <w:iCs/>
    </w:rPr>
  </w:style>
  <w:style w:type="character" w:customStyle="1" w:styleId="TtuloCar">
    <w:name w:val="Título Car"/>
    <w:basedOn w:val="Fuentedeprrafopredeter"/>
    <w:link w:val="Ttulo"/>
    <w:uiPriority w:val="10"/>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 w:type="character" w:customStyle="1" w:styleId="normaltextrun">
    <w:name w:val="normaltextrun"/>
    <w:basedOn w:val="Fuentedeprrafopredeter"/>
    <w:rsid w:val="00B35825"/>
    <w:rPr>
      <w:rFonts w:cs="Times New Roman"/>
    </w:rPr>
  </w:style>
  <w:style w:type="character" w:customStyle="1" w:styleId="superscript">
    <w:name w:val="superscript"/>
    <w:basedOn w:val="Fuentedeprrafopredeter"/>
    <w:rsid w:val="00B35825"/>
    <w:rPr>
      <w:rFonts w:cs="Times New Roman"/>
    </w:rPr>
  </w:style>
  <w:style w:type="character" w:styleId="Refdecomentario">
    <w:name w:val="annotation reference"/>
    <w:basedOn w:val="Fuentedeprrafopredeter"/>
    <w:uiPriority w:val="99"/>
    <w:rsid w:val="00B816DC"/>
    <w:rPr>
      <w:sz w:val="16"/>
      <w:szCs w:val="16"/>
    </w:rPr>
  </w:style>
  <w:style w:type="paragraph" w:styleId="Textocomentario">
    <w:name w:val="annotation text"/>
    <w:basedOn w:val="Normal"/>
    <w:link w:val="TextocomentarioCar"/>
    <w:uiPriority w:val="99"/>
    <w:rsid w:val="00B816DC"/>
    <w:rPr>
      <w:sz w:val="20"/>
      <w:szCs w:val="20"/>
    </w:rPr>
  </w:style>
  <w:style w:type="character" w:customStyle="1" w:styleId="TextocomentarioCar">
    <w:name w:val="Texto comentario Car"/>
    <w:basedOn w:val="Fuentedeprrafopredeter"/>
    <w:link w:val="Textocomentario"/>
    <w:uiPriority w:val="99"/>
    <w:rsid w:val="00B816DC"/>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rsid w:val="00B816DC"/>
    <w:rPr>
      <w:b/>
      <w:bCs/>
    </w:rPr>
  </w:style>
  <w:style w:type="character" w:customStyle="1" w:styleId="AsuntodelcomentarioCar">
    <w:name w:val="Asunto del comentario Car"/>
    <w:basedOn w:val="TextocomentarioCar"/>
    <w:link w:val="Asuntodelcomentario"/>
    <w:uiPriority w:val="99"/>
    <w:rsid w:val="00B816DC"/>
    <w:rPr>
      <w:rFonts w:ascii="Times New Roman" w:hAnsi="Times New Roman" w:cs="Times New Roman"/>
      <w:b/>
      <w:bCs/>
      <w:lang w:val="es-ES" w:eastAsia="es-ES"/>
    </w:rPr>
  </w:style>
  <w:style w:type="paragraph" w:customStyle="1" w:styleId="Notadepie">
    <w:name w:val="Nota de pie"/>
    <w:aliases w:val="Pie de pagina"/>
    <w:basedOn w:val="Normal"/>
    <w:link w:val="Refdenotaalpie"/>
    <w:uiPriority w:val="99"/>
    <w:rsid w:val="00143CA9"/>
    <w:pPr>
      <w:spacing w:after="160" w:line="240" w:lineRule="exact"/>
    </w:pPr>
    <w:rPr>
      <w:rFonts w:ascii="Calibri" w:hAnsi="Calibri"/>
      <w:sz w:val="20"/>
      <w:szCs w:val="20"/>
      <w:vertAlign w:val="superscript"/>
      <w:lang w:val="es-CO" w:eastAsia="es-CO"/>
    </w:rPr>
  </w:style>
  <w:style w:type="character" w:customStyle="1" w:styleId="PrrafodelistaCar">
    <w:name w:val="Párrafo de lista Car"/>
    <w:link w:val="Prrafodelista"/>
    <w:uiPriority w:val="34"/>
    <w:locked/>
    <w:rsid w:val="00315D8B"/>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782">
      <w:marLeft w:val="0"/>
      <w:marRight w:val="0"/>
      <w:marTop w:val="0"/>
      <w:marBottom w:val="0"/>
      <w:divBdr>
        <w:top w:val="none" w:sz="0" w:space="0" w:color="auto"/>
        <w:left w:val="none" w:sz="0" w:space="0" w:color="auto"/>
        <w:bottom w:val="none" w:sz="0" w:space="0" w:color="auto"/>
        <w:right w:val="none" w:sz="0" w:space="0" w:color="auto"/>
      </w:divBdr>
      <w:divsChild>
        <w:div w:id="9844783">
          <w:marLeft w:val="45"/>
          <w:marRight w:val="45"/>
          <w:marTop w:val="0"/>
          <w:marBottom w:val="0"/>
          <w:divBdr>
            <w:top w:val="none" w:sz="0" w:space="0" w:color="auto"/>
            <w:left w:val="none" w:sz="0" w:space="0" w:color="auto"/>
            <w:bottom w:val="none" w:sz="0" w:space="0" w:color="auto"/>
            <w:right w:val="none" w:sz="0" w:space="0" w:color="auto"/>
          </w:divBdr>
          <w:divsChild>
            <w:div w:id="9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4">
      <w:marLeft w:val="0"/>
      <w:marRight w:val="0"/>
      <w:marTop w:val="0"/>
      <w:marBottom w:val="0"/>
      <w:divBdr>
        <w:top w:val="none" w:sz="0" w:space="0" w:color="auto"/>
        <w:left w:val="none" w:sz="0" w:space="0" w:color="auto"/>
        <w:bottom w:val="none" w:sz="0" w:space="0" w:color="auto"/>
        <w:right w:val="none" w:sz="0" w:space="0" w:color="auto"/>
      </w:divBdr>
    </w:div>
    <w:div w:id="9844785">
      <w:marLeft w:val="0"/>
      <w:marRight w:val="0"/>
      <w:marTop w:val="0"/>
      <w:marBottom w:val="0"/>
      <w:divBdr>
        <w:top w:val="none" w:sz="0" w:space="0" w:color="auto"/>
        <w:left w:val="none" w:sz="0" w:space="0" w:color="auto"/>
        <w:bottom w:val="none" w:sz="0" w:space="0" w:color="auto"/>
        <w:right w:val="none" w:sz="0" w:space="0" w:color="auto"/>
      </w:divBdr>
    </w:div>
    <w:div w:id="9844786">
      <w:marLeft w:val="0"/>
      <w:marRight w:val="0"/>
      <w:marTop w:val="0"/>
      <w:marBottom w:val="0"/>
      <w:divBdr>
        <w:top w:val="none" w:sz="0" w:space="0" w:color="auto"/>
        <w:left w:val="none" w:sz="0" w:space="0" w:color="auto"/>
        <w:bottom w:val="none" w:sz="0" w:space="0" w:color="auto"/>
        <w:right w:val="none" w:sz="0" w:space="0" w:color="auto"/>
      </w:divBdr>
      <w:divsChild>
        <w:div w:id="9844789">
          <w:marLeft w:val="45"/>
          <w:marRight w:val="45"/>
          <w:marTop w:val="0"/>
          <w:marBottom w:val="0"/>
          <w:divBdr>
            <w:top w:val="none" w:sz="0" w:space="0" w:color="auto"/>
            <w:left w:val="none" w:sz="0" w:space="0" w:color="auto"/>
            <w:bottom w:val="none" w:sz="0" w:space="0" w:color="auto"/>
            <w:right w:val="none" w:sz="0" w:space="0" w:color="auto"/>
          </w:divBdr>
          <w:divsChild>
            <w:div w:id="9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7">
      <w:marLeft w:val="0"/>
      <w:marRight w:val="0"/>
      <w:marTop w:val="0"/>
      <w:marBottom w:val="0"/>
      <w:divBdr>
        <w:top w:val="none" w:sz="0" w:space="0" w:color="auto"/>
        <w:left w:val="none" w:sz="0" w:space="0" w:color="auto"/>
        <w:bottom w:val="none" w:sz="0" w:space="0" w:color="auto"/>
        <w:right w:val="none" w:sz="0" w:space="0" w:color="auto"/>
      </w:divBdr>
    </w:div>
    <w:div w:id="9844791">
      <w:marLeft w:val="0"/>
      <w:marRight w:val="0"/>
      <w:marTop w:val="0"/>
      <w:marBottom w:val="0"/>
      <w:divBdr>
        <w:top w:val="none" w:sz="0" w:space="0" w:color="auto"/>
        <w:left w:val="none" w:sz="0" w:space="0" w:color="auto"/>
        <w:bottom w:val="none" w:sz="0" w:space="0" w:color="auto"/>
        <w:right w:val="none" w:sz="0" w:space="0" w:color="auto"/>
      </w:divBdr>
    </w:div>
    <w:div w:id="9844792">
      <w:marLeft w:val="0"/>
      <w:marRight w:val="0"/>
      <w:marTop w:val="0"/>
      <w:marBottom w:val="0"/>
      <w:divBdr>
        <w:top w:val="none" w:sz="0" w:space="0" w:color="auto"/>
        <w:left w:val="none" w:sz="0" w:space="0" w:color="auto"/>
        <w:bottom w:val="none" w:sz="0" w:space="0" w:color="auto"/>
        <w:right w:val="none" w:sz="0" w:space="0" w:color="auto"/>
      </w:divBdr>
    </w:div>
    <w:div w:id="9844793">
      <w:marLeft w:val="0"/>
      <w:marRight w:val="0"/>
      <w:marTop w:val="0"/>
      <w:marBottom w:val="0"/>
      <w:divBdr>
        <w:top w:val="none" w:sz="0" w:space="0" w:color="auto"/>
        <w:left w:val="none" w:sz="0" w:space="0" w:color="auto"/>
        <w:bottom w:val="none" w:sz="0" w:space="0" w:color="auto"/>
        <w:right w:val="none" w:sz="0" w:space="0" w:color="auto"/>
      </w:divBdr>
    </w:div>
    <w:div w:id="9844794">
      <w:marLeft w:val="0"/>
      <w:marRight w:val="0"/>
      <w:marTop w:val="0"/>
      <w:marBottom w:val="0"/>
      <w:divBdr>
        <w:top w:val="none" w:sz="0" w:space="0" w:color="auto"/>
        <w:left w:val="none" w:sz="0" w:space="0" w:color="auto"/>
        <w:bottom w:val="none" w:sz="0" w:space="0" w:color="auto"/>
        <w:right w:val="none" w:sz="0" w:space="0" w:color="auto"/>
      </w:divBdr>
    </w:div>
    <w:div w:id="9844795">
      <w:marLeft w:val="0"/>
      <w:marRight w:val="0"/>
      <w:marTop w:val="0"/>
      <w:marBottom w:val="0"/>
      <w:divBdr>
        <w:top w:val="none" w:sz="0" w:space="0" w:color="auto"/>
        <w:left w:val="none" w:sz="0" w:space="0" w:color="auto"/>
        <w:bottom w:val="none" w:sz="0" w:space="0" w:color="auto"/>
        <w:right w:val="none" w:sz="0" w:space="0" w:color="auto"/>
      </w:divBdr>
    </w:div>
    <w:div w:id="9844796">
      <w:marLeft w:val="0"/>
      <w:marRight w:val="0"/>
      <w:marTop w:val="0"/>
      <w:marBottom w:val="0"/>
      <w:divBdr>
        <w:top w:val="none" w:sz="0" w:space="0" w:color="auto"/>
        <w:left w:val="none" w:sz="0" w:space="0" w:color="auto"/>
        <w:bottom w:val="none" w:sz="0" w:space="0" w:color="auto"/>
        <w:right w:val="none" w:sz="0" w:space="0" w:color="auto"/>
      </w:divBdr>
    </w:div>
    <w:div w:id="9844798">
      <w:marLeft w:val="0"/>
      <w:marRight w:val="0"/>
      <w:marTop w:val="0"/>
      <w:marBottom w:val="0"/>
      <w:divBdr>
        <w:top w:val="none" w:sz="0" w:space="0" w:color="auto"/>
        <w:left w:val="none" w:sz="0" w:space="0" w:color="auto"/>
        <w:bottom w:val="none" w:sz="0" w:space="0" w:color="auto"/>
        <w:right w:val="none" w:sz="0" w:space="0" w:color="auto"/>
      </w:divBdr>
      <w:divsChild>
        <w:div w:id="9844799">
          <w:marLeft w:val="0"/>
          <w:marRight w:val="0"/>
          <w:marTop w:val="0"/>
          <w:marBottom w:val="0"/>
          <w:divBdr>
            <w:top w:val="none" w:sz="0" w:space="0" w:color="auto"/>
            <w:left w:val="none" w:sz="0" w:space="0" w:color="auto"/>
            <w:bottom w:val="none" w:sz="0" w:space="0" w:color="auto"/>
            <w:right w:val="none" w:sz="0" w:space="0" w:color="auto"/>
          </w:divBdr>
        </w:div>
        <w:div w:id="9844802">
          <w:marLeft w:val="0"/>
          <w:marRight w:val="0"/>
          <w:marTop w:val="0"/>
          <w:marBottom w:val="0"/>
          <w:divBdr>
            <w:top w:val="none" w:sz="0" w:space="0" w:color="auto"/>
            <w:left w:val="none" w:sz="0" w:space="0" w:color="auto"/>
            <w:bottom w:val="none" w:sz="0" w:space="0" w:color="auto"/>
            <w:right w:val="none" w:sz="0" w:space="0" w:color="auto"/>
          </w:divBdr>
        </w:div>
      </w:divsChild>
    </w:div>
    <w:div w:id="9844801">
      <w:marLeft w:val="0"/>
      <w:marRight w:val="0"/>
      <w:marTop w:val="0"/>
      <w:marBottom w:val="0"/>
      <w:divBdr>
        <w:top w:val="none" w:sz="0" w:space="0" w:color="auto"/>
        <w:left w:val="none" w:sz="0" w:space="0" w:color="auto"/>
        <w:bottom w:val="none" w:sz="0" w:space="0" w:color="auto"/>
        <w:right w:val="none" w:sz="0" w:space="0" w:color="auto"/>
      </w:divBdr>
      <w:divsChild>
        <w:div w:id="9844797">
          <w:marLeft w:val="0"/>
          <w:marRight w:val="0"/>
          <w:marTop w:val="0"/>
          <w:marBottom w:val="0"/>
          <w:divBdr>
            <w:top w:val="none" w:sz="0" w:space="0" w:color="auto"/>
            <w:left w:val="none" w:sz="0" w:space="0" w:color="auto"/>
            <w:bottom w:val="none" w:sz="0" w:space="0" w:color="auto"/>
            <w:right w:val="none" w:sz="0" w:space="0" w:color="auto"/>
          </w:divBdr>
        </w:div>
        <w:div w:id="9844800">
          <w:marLeft w:val="0"/>
          <w:marRight w:val="0"/>
          <w:marTop w:val="0"/>
          <w:marBottom w:val="0"/>
          <w:divBdr>
            <w:top w:val="none" w:sz="0" w:space="0" w:color="auto"/>
            <w:left w:val="none" w:sz="0" w:space="0" w:color="auto"/>
            <w:bottom w:val="none" w:sz="0" w:space="0" w:color="auto"/>
            <w:right w:val="none" w:sz="0" w:space="0" w:color="auto"/>
          </w:divBdr>
        </w:div>
      </w:divsChild>
    </w:div>
    <w:div w:id="488787381">
      <w:bodyDiv w:val="1"/>
      <w:marLeft w:val="0"/>
      <w:marRight w:val="0"/>
      <w:marTop w:val="0"/>
      <w:marBottom w:val="0"/>
      <w:divBdr>
        <w:top w:val="none" w:sz="0" w:space="0" w:color="auto"/>
        <w:left w:val="none" w:sz="0" w:space="0" w:color="auto"/>
        <w:bottom w:val="none" w:sz="0" w:space="0" w:color="auto"/>
        <w:right w:val="none" w:sz="0" w:space="0" w:color="auto"/>
      </w:divBdr>
    </w:div>
    <w:div w:id="603540645">
      <w:bodyDiv w:val="1"/>
      <w:marLeft w:val="0"/>
      <w:marRight w:val="0"/>
      <w:marTop w:val="0"/>
      <w:marBottom w:val="0"/>
      <w:divBdr>
        <w:top w:val="none" w:sz="0" w:space="0" w:color="auto"/>
        <w:left w:val="none" w:sz="0" w:space="0" w:color="auto"/>
        <w:bottom w:val="none" w:sz="0" w:space="0" w:color="auto"/>
        <w:right w:val="none" w:sz="0" w:space="0" w:color="auto"/>
      </w:divBdr>
    </w:div>
    <w:div w:id="1722249215">
      <w:bodyDiv w:val="1"/>
      <w:marLeft w:val="0"/>
      <w:marRight w:val="0"/>
      <w:marTop w:val="0"/>
      <w:marBottom w:val="0"/>
      <w:divBdr>
        <w:top w:val="none" w:sz="0" w:space="0" w:color="auto"/>
        <w:left w:val="none" w:sz="0" w:space="0" w:color="auto"/>
        <w:bottom w:val="none" w:sz="0" w:space="0" w:color="auto"/>
        <w:right w:val="none" w:sz="0" w:space="0" w:color="auto"/>
      </w:divBdr>
      <w:divsChild>
        <w:div w:id="823933729">
          <w:marLeft w:val="0"/>
          <w:marRight w:val="0"/>
          <w:marTop w:val="0"/>
          <w:marBottom w:val="0"/>
          <w:divBdr>
            <w:top w:val="none" w:sz="0" w:space="0" w:color="auto"/>
            <w:left w:val="none" w:sz="0" w:space="0" w:color="auto"/>
            <w:bottom w:val="none" w:sz="0" w:space="0" w:color="auto"/>
            <w:right w:val="none" w:sz="0" w:space="0" w:color="auto"/>
          </w:divBdr>
        </w:div>
        <w:div w:id="34038746">
          <w:marLeft w:val="0"/>
          <w:marRight w:val="0"/>
          <w:marTop w:val="0"/>
          <w:marBottom w:val="0"/>
          <w:divBdr>
            <w:top w:val="none" w:sz="0" w:space="0" w:color="auto"/>
            <w:left w:val="none" w:sz="0" w:space="0" w:color="auto"/>
            <w:bottom w:val="none" w:sz="0" w:space="0" w:color="auto"/>
            <w:right w:val="none" w:sz="0" w:space="0" w:color="auto"/>
          </w:divBdr>
        </w:div>
        <w:div w:id="1468622408">
          <w:marLeft w:val="0"/>
          <w:marRight w:val="0"/>
          <w:marTop w:val="0"/>
          <w:marBottom w:val="0"/>
          <w:divBdr>
            <w:top w:val="none" w:sz="0" w:space="0" w:color="auto"/>
            <w:left w:val="none" w:sz="0" w:space="0" w:color="auto"/>
            <w:bottom w:val="none" w:sz="0" w:space="0" w:color="auto"/>
            <w:right w:val="none" w:sz="0" w:space="0" w:color="auto"/>
          </w:divBdr>
        </w:div>
        <w:div w:id="1809786520">
          <w:marLeft w:val="0"/>
          <w:marRight w:val="0"/>
          <w:marTop w:val="0"/>
          <w:marBottom w:val="0"/>
          <w:divBdr>
            <w:top w:val="none" w:sz="0" w:space="0" w:color="auto"/>
            <w:left w:val="none" w:sz="0" w:space="0" w:color="auto"/>
            <w:bottom w:val="none" w:sz="0" w:space="0" w:color="auto"/>
            <w:right w:val="none" w:sz="0" w:space="0" w:color="auto"/>
          </w:divBdr>
        </w:div>
        <w:div w:id="702828639">
          <w:marLeft w:val="0"/>
          <w:marRight w:val="0"/>
          <w:marTop w:val="0"/>
          <w:marBottom w:val="0"/>
          <w:divBdr>
            <w:top w:val="none" w:sz="0" w:space="0" w:color="auto"/>
            <w:left w:val="none" w:sz="0" w:space="0" w:color="auto"/>
            <w:bottom w:val="none" w:sz="0" w:space="0" w:color="auto"/>
            <w:right w:val="none" w:sz="0" w:space="0" w:color="auto"/>
          </w:divBdr>
        </w:div>
      </w:divsChild>
    </w:div>
    <w:div w:id="1933852896">
      <w:bodyDiv w:val="1"/>
      <w:marLeft w:val="0"/>
      <w:marRight w:val="0"/>
      <w:marTop w:val="0"/>
      <w:marBottom w:val="0"/>
      <w:divBdr>
        <w:top w:val="none" w:sz="0" w:space="0" w:color="auto"/>
        <w:left w:val="none" w:sz="0" w:space="0" w:color="auto"/>
        <w:bottom w:val="none" w:sz="0" w:space="0" w:color="auto"/>
        <w:right w:val="none" w:sz="0" w:space="0" w:color="auto"/>
      </w:divBdr>
    </w:div>
    <w:div w:id="19886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A7EF-2A6E-4A34-BC19-D500F5568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F3DCE-C9F0-4B4D-A5FC-1B6A1AE964D8}">
  <ds:schemaRefs>
    <ds:schemaRef ds:uri="http://schemas.microsoft.com/sharepoint/v3/contenttype/forms"/>
  </ds:schemaRefs>
</ds:datastoreItem>
</file>

<file path=customXml/itemProps3.xml><?xml version="1.0" encoding="utf-8"?>
<ds:datastoreItem xmlns:ds="http://schemas.openxmlformats.org/officeDocument/2006/customXml" ds:itemID="{BF40841F-1659-4707-8426-0412C25C6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020D2-8258-470D-8177-8402B01C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3706</Words>
  <Characters>20387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2019-09-30T20:42:00Z</cp:lastPrinted>
  <dcterms:created xsi:type="dcterms:W3CDTF">2021-11-23T20:29:00Z</dcterms:created>
  <dcterms:modified xsi:type="dcterms:W3CDTF">2021-12-09T16:05:00Z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