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A263" w14:textId="77777777" w:rsidR="00B222BD" w:rsidRPr="00B222BD" w:rsidRDefault="00B222BD" w:rsidP="00B222B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B222B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D16DC8" w14:textId="77777777" w:rsidR="00B222BD" w:rsidRPr="00B222BD" w:rsidRDefault="00B222BD" w:rsidP="00B222BD">
      <w:pPr>
        <w:spacing w:after="0" w:line="240" w:lineRule="auto"/>
        <w:jc w:val="both"/>
        <w:rPr>
          <w:rFonts w:ascii="Arial" w:eastAsia="Times New Roman" w:hAnsi="Arial" w:cs="Arial"/>
          <w:sz w:val="20"/>
          <w:szCs w:val="20"/>
          <w:lang w:val="es-419" w:eastAsia="es-ES"/>
        </w:rPr>
      </w:pPr>
    </w:p>
    <w:p w14:paraId="03BEC9DF" w14:textId="77777777" w:rsidR="00B222BD" w:rsidRPr="00B222BD" w:rsidRDefault="00B222BD" w:rsidP="00B222BD">
      <w:pPr>
        <w:spacing w:after="0" w:line="240" w:lineRule="auto"/>
        <w:jc w:val="both"/>
        <w:rPr>
          <w:rFonts w:ascii="Arial" w:eastAsia="Times New Roman" w:hAnsi="Arial" w:cs="Arial"/>
          <w:sz w:val="20"/>
          <w:szCs w:val="20"/>
          <w:lang w:val="es-419" w:eastAsia="es-ES"/>
        </w:rPr>
      </w:pPr>
      <w:r w:rsidRPr="00B222BD">
        <w:rPr>
          <w:rFonts w:ascii="Arial" w:eastAsia="Times New Roman" w:hAnsi="Arial" w:cs="Arial"/>
          <w:sz w:val="20"/>
          <w:szCs w:val="20"/>
          <w:lang w:val="es-419" w:eastAsia="es-ES"/>
        </w:rPr>
        <w:t>Expediente:</w:t>
      </w:r>
      <w:r w:rsidRPr="00B222BD">
        <w:rPr>
          <w:rFonts w:ascii="Arial" w:eastAsia="Times New Roman" w:hAnsi="Arial" w:cs="Arial"/>
          <w:sz w:val="20"/>
          <w:szCs w:val="20"/>
          <w:lang w:val="es-419" w:eastAsia="es-ES"/>
        </w:rPr>
        <w:tab/>
        <w:t>66001310300520170016502</w:t>
      </w:r>
    </w:p>
    <w:p w14:paraId="4953298E" w14:textId="77777777" w:rsidR="00B222BD" w:rsidRPr="00B222BD" w:rsidRDefault="00B222BD" w:rsidP="00B222BD">
      <w:pPr>
        <w:spacing w:after="0" w:line="240" w:lineRule="auto"/>
        <w:jc w:val="both"/>
        <w:rPr>
          <w:rFonts w:ascii="Arial" w:eastAsia="Times New Roman" w:hAnsi="Arial" w:cs="Arial"/>
          <w:sz w:val="20"/>
          <w:szCs w:val="20"/>
          <w:lang w:val="es-419" w:eastAsia="es-ES"/>
        </w:rPr>
      </w:pPr>
      <w:r w:rsidRPr="00B222BD">
        <w:rPr>
          <w:rFonts w:ascii="Arial" w:eastAsia="Times New Roman" w:hAnsi="Arial" w:cs="Arial"/>
          <w:sz w:val="20"/>
          <w:szCs w:val="20"/>
          <w:lang w:val="es-419" w:eastAsia="es-ES"/>
        </w:rPr>
        <w:t xml:space="preserve">Demandante: </w:t>
      </w:r>
      <w:r w:rsidRPr="00B222BD">
        <w:rPr>
          <w:rFonts w:ascii="Arial" w:eastAsia="Times New Roman" w:hAnsi="Arial" w:cs="Arial"/>
          <w:sz w:val="20"/>
          <w:szCs w:val="20"/>
          <w:lang w:val="es-419" w:eastAsia="es-ES"/>
        </w:rPr>
        <w:tab/>
        <w:t>Juan Diego Cifuentes Arbeláez</w:t>
      </w:r>
    </w:p>
    <w:p w14:paraId="166E199C" w14:textId="77777777" w:rsidR="00B222BD" w:rsidRPr="00B222BD" w:rsidRDefault="00B222BD" w:rsidP="00B222BD">
      <w:pPr>
        <w:spacing w:after="0" w:line="240" w:lineRule="auto"/>
        <w:jc w:val="both"/>
        <w:rPr>
          <w:rFonts w:ascii="Arial" w:eastAsia="Times New Roman" w:hAnsi="Arial" w:cs="Arial"/>
          <w:sz w:val="20"/>
          <w:szCs w:val="20"/>
          <w:lang w:val="es-419" w:eastAsia="es-ES"/>
        </w:rPr>
      </w:pPr>
      <w:r w:rsidRPr="00B222BD">
        <w:rPr>
          <w:rFonts w:ascii="Arial" w:eastAsia="Times New Roman" w:hAnsi="Arial" w:cs="Arial"/>
          <w:sz w:val="20"/>
          <w:szCs w:val="20"/>
          <w:lang w:val="es-419" w:eastAsia="es-ES"/>
        </w:rPr>
        <w:t>Demandado:</w:t>
      </w:r>
      <w:r w:rsidRPr="00B222BD">
        <w:rPr>
          <w:rFonts w:ascii="Arial" w:eastAsia="Times New Roman" w:hAnsi="Arial" w:cs="Arial"/>
          <w:sz w:val="20"/>
          <w:szCs w:val="20"/>
          <w:lang w:val="es-419" w:eastAsia="es-ES"/>
        </w:rPr>
        <w:tab/>
        <w:t>Adriana María Ossa Ortiz</w:t>
      </w:r>
    </w:p>
    <w:p w14:paraId="18D9342A" w14:textId="45E11F3D" w:rsidR="00B222BD" w:rsidRPr="00B222BD" w:rsidRDefault="00B222BD" w:rsidP="00B222BD">
      <w:pPr>
        <w:spacing w:after="0" w:line="240" w:lineRule="auto"/>
        <w:jc w:val="both"/>
        <w:rPr>
          <w:rFonts w:ascii="Arial" w:eastAsia="Times New Roman" w:hAnsi="Arial" w:cs="Arial"/>
          <w:sz w:val="20"/>
          <w:szCs w:val="20"/>
          <w:lang w:val="es-419" w:eastAsia="es-ES"/>
        </w:rPr>
      </w:pPr>
      <w:r w:rsidRPr="00B222BD">
        <w:rPr>
          <w:rFonts w:ascii="Arial" w:eastAsia="Times New Roman" w:hAnsi="Arial" w:cs="Arial"/>
          <w:sz w:val="20"/>
          <w:szCs w:val="20"/>
          <w:lang w:val="es-419" w:eastAsia="es-ES"/>
        </w:rPr>
        <w:t>Opositor:</w:t>
      </w:r>
      <w:r w:rsidRPr="00B222BD">
        <w:rPr>
          <w:rFonts w:ascii="Arial" w:eastAsia="Times New Roman" w:hAnsi="Arial" w:cs="Arial"/>
          <w:sz w:val="20"/>
          <w:szCs w:val="20"/>
          <w:lang w:val="es-419" w:eastAsia="es-ES"/>
        </w:rPr>
        <w:tab/>
        <w:t>Renacer Ortiz de la Pava S.A.S</w:t>
      </w:r>
      <w:r w:rsidR="00BA4881">
        <w:rPr>
          <w:rFonts w:ascii="Arial" w:eastAsia="Times New Roman" w:hAnsi="Arial" w:cs="Arial"/>
          <w:sz w:val="20"/>
          <w:szCs w:val="20"/>
          <w:lang w:val="es-419" w:eastAsia="es-ES"/>
        </w:rPr>
        <w:t>.</w:t>
      </w:r>
      <w:bookmarkStart w:id="0" w:name="_GoBack"/>
      <w:bookmarkEnd w:id="0"/>
    </w:p>
    <w:p w14:paraId="17EA2283" w14:textId="77777777" w:rsidR="00B222BD" w:rsidRPr="00B222BD" w:rsidRDefault="00B222BD" w:rsidP="00B222BD">
      <w:pPr>
        <w:spacing w:after="0" w:line="240" w:lineRule="auto"/>
        <w:jc w:val="both"/>
        <w:rPr>
          <w:rFonts w:ascii="Arial" w:eastAsia="Times New Roman" w:hAnsi="Arial" w:cs="Arial"/>
          <w:sz w:val="20"/>
          <w:szCs w:val="20"/>
          <w:lang w:val="es-419" w:eastAsia="es-ES"/>
        </w:rPr>
      </w:pPr>
    </w:p>
    <w:p w14:paraId="0C3AB0DE" w14:textId="196CA364" w:rsidR="00B222BD" w:rsidRPr="00B222BD" w:rsidRDefault="00B222BD" w:rsidP="00B222BD">
      <w:pPr>
        <w:spacing w:after="0" w:line="240" w:lineRule="auto"/>
        <w:jc w:val="both"/>
        <w:rPr>
          <w:rFonts w:ascii="Arial" w:eastAsia="Times New Roman" w:hAnsi="Arial" w:cs="Arial"/>
          <w:b/>
          <w:bCs/>
          <w:iCs/>
          <w:sz w:val="20"/>
          <w:szCs w:val="20"/>
          <w:lang w:val="es-419" w:eastAsia="fr-FR"/>
        </w:rPr>
      </w:pPr>
      <w:r w:rsidRPr="00B222BD">
        <w:rPr>
          <w:rFonts w:ascii="Arial" w:eastAsia="Times New Roman" w:hAnsi="Arial" w:cs="Arial"/>
          <w:b/>
          <w:bCs/>
          <w:iCs/>
          <w:sz w:val="20"/>
          <w:szCs w:val="20"/>
          <w:u w:val="single"/>
          <w:lang w:val="es-419" w:eastAsia="fr-FR"/>
        </w:rPr>
        <w:t>TEMAS:</w:t>
      </w:r>
      <w:r w:rsidRPr="00B222BD">
        <w:rPr>
          <w:rFonts w:ascii="Arial" w:eastAsia="Times New Roman" w:hAnsi="Arial" w:cs="Arial"/>
          <w:b/>
          <w:bCs/>
          <w:iCs/>
          <w:sz w:val="20"/>
          <w:szCs w:val="20"/>
          <w:lang w:val="es-419" w:eastAsia="fr-FR"/>
        </w:rPr>
        <w:tab/>
      </w:r>
      <w:r w:rsidR="00B7354B">
        <w:rPr>
          <w:rFonts w:ascii="Arial" w:eastAsia="Times New Roman" w:hAnsi="Arial" w:cs="Arial"/>
          <w:b/>
          <w:bCs/>
          <w:iCs/>
          <w:sz w:val="20"/>
          <w:szCs w:val="20"/>
          <w:lang w:val="es-419" w:eastAsia="fr-FR"/>
        </w:rPr>
        <w:t>PROCESO</w:t>
      </w:r>
      <w:r w:rsidR="00B7354B">
        <w:rPr>
          <w:rFonts w:ascii="Arial" w:eastAsia="Times New Roman" w:hAnsi="Arial" w:cs="Arial"/>
          <w:b/>
          <w:bCs/>
          <w:iCs/>
          <w:sz w:val="20"/>
          <w:szCs w:val="20"/>
          <w:lang w:val="es-419" w:eastAsia="fr-FR"/>
        </w:rPr>
        <w:t xml:space="preserve"> EJECUTIVO / </w:t>
      </w:r>
      <w:r w:rsidR="00B7354B" w:rsidRPr="00CE5BEA">
        <w:rPr>
          <w:rFonts w:ascii="Arial" w:eastAsia="Times New Roman" w:hAnsi="Arial" w:cs="Arial"/>
          <w:b/>
          <w:sz w:val="20"/>
          <w:szCs w:val="20"/>
          <w:lang w:val="es-419" w:eastAsia="es-ES"/>
        </w:rPr>
        <w:t xml:space="preserve">OPOSICIÓN A </w:t>
      </w:r>
      <w:r w:rsidR="00B7354B">
        <w:rPr>
          <w:rFonts w:ascii="Arial" w:eastAsia="Times New Roman" w:hAnsi="Arial" w:cs="Arial"/>
          <w:b/>
          <w:sz w:val="20"/>
          <w:szCs w:val="20"/>
          <w:lang w:val="es-419" w:eastAsia="es-ES"/>
        </w:rPr>
        <w:t xml:space="preserve">DILIGENCIA DE </w:t>
      </w:r>
      <w:r w:rsidR="00B7354B" w:rsidRPr="00CE5BEA">
        <w:rPr>
          <w:rFonts w:ascii="Arial" w:eastAsia="Times New Roman" w:hAnsi="Arial" w:cs="Arial"/>
          <w:b/>
          <w:sz w:val="20"/>
          <w:szCs w:val="20"/>
          <w:lang w:val="es-419" w:eastAsia="es-ES"/>
        </w:rPr>
        <w:t xml:space="preserve">SECUESTRO </w:t>
      </w:r>
      <w:r w:rsidR="00B7354B">
        <w:rPr>
          <w:rFonts w:ascii="Arial" w:eastAsia="Times New Roman" w:hAnsi="Arial" w:cs="Arial"/>
          <w:b/>
          <w:sz w:val="20"/>
          <w:szCs w:val="20"/>
          <w:lang w:val="es-419" w:eastAsia="es-ES"/>
        </w:rPr>
        <w:t>/</w:t>
      </w:r>
      <w:r w:rsidR="00CE5BEA" w:rsidRPr="00CE5BEA">
        <w:rPr>
          <w:rFonts w:ascii="Arial" w:eastAsia="Times New Roman" w:hAnsi="Arial" w:cs="Arial"/>
          <w:b/>
          <w:sz w:val="20"/>
          <w:szCs w:val="20"/>
          <w:lang w:val="es-419" w:eastAsia="es-ES"/>
        </w:rPr>
        <w:t xml:space="preserve"> </w:t>
      </w:r>
      <w:r w:rsidR="00B7354B" w:rsidRPr="00CE5BEA">
        <w:rPr>
          <w:rFonts w:ascii="Arial" w:eastAsia="Times New Roman" w:hAnsi="Arial" w:cs="Arial"/>
          <w:b/>
          <w:sz w:val="20"/>
          <w:szCs w:val="20"/>
          <w:lang w:val="es-419" w:eastAsia="es-ES"/>
        </w:rPr>
        <w:t>LEGITIMACIÓN</w:t>
      </w:r>
      <w:r w:rsidR="00B7354B" w:rsidRPr="00B222BD">
        <w:rPr>
          <w:rFonts w:ascii="Arial" w:eastAsia="Times New Roman" w:hAnsi="Arial" w:cs="Arial"/>
          <w:b/>
          <w:bCs/>
          <w:iCs/>
          <w:sz w:val="20"/>
          <w:szCs w:val="20"/>
          <w:lang w:val="es-419" w:eastAsia="fr-FR"/>
        </w:rPr>
        <w:t xml:space="preserve"> </w:t>
      </w:r>
      <w:r w:rsidR="00B7354B">
        <w:rPr>
          <w:rFonts w:ascii="Arial" w:eastAsia="Times New Roman" w:hAnsi="Arial" w:cs="Arial"/>
          <w:b/>
          <w:bCs/>
          <w:iCs/>
          <w:sz w:val="20"/>
          <w:szCs w:val="20"/>
          <w:lang w:val="es-419" w:eastAsia="fr-FR"/>
        </w:rPr>
        <w:t xml:space="preserve">EN LA CAUSA DEL OPOSITOR / REPRESENTANTE LEGAL SI ES PERSONA JURÍDICA </w:t>
      </w:r>
      <w:r w:rsidRPr="00B222BD">
        <w:rPr>
          <w:rFonts w:ascii="Arial" w:eastAsia="Times New Roman" w:hAnsi="Arial" w:cs="Arial"/>
          <w:b/>
          <w:bCs/>
          <w:iCs/>
          <w:sz w:val="20"/>
          <w:szCs w:val="20"/>
          <w:lang w:val="es-419" w:eastAsia="fr-FR"/>
        </w:rPr>
        <w:t xml:space="preserve">/ </w:t>
      </w:r>
      <w:r w:rsidR="00492DF7">
        <w:rPr>
          <w:rFonts w:ascii="Arial" w:eastAsia="Times New Roman" w:hAnsi="Arial" w:cs="Arial"/>
          <w:b/>
          <w:bCs/>
          <w:iCs/>
          <w:sz w:val="20"/>
          <w:szCs w:val="20"/>
          <w:lang w:val="es-419" w:eastAsia="fr-FR"/>
        </w:rPr>
        <w:t>ABOGADO PARA ACTUAR EN NOMBRE DE UN TERCERO.</w:t>
      </w:r>
    </w:p>
    <w:p w14:paraId="429FEDBE" w14:textId="77777777" w:rsidR="00B222BD" w:rsidRPr="00B222BD" w:rsidRDefault="00B222BD" w:rsidP="00B222BD">
      <w:pPr>
        <w:spacing w:after="0" w:line="240" w:lineRule="auto"/>
        <w:jc w:val="both"/>
        <w:rPr>
          <w:rFonts w:ascii="Arial" w:eastAsia="Times New Roman" w:hAnsi="Arial" w:cs="Arial"/>
          <w:sz w:val="20"/>
          <w:szCs w:val="20"/>
          <w:lang w:val="es-419" w:eastAsia="es-ES"/>
        </w:rPr>
      </w:pPr>
    </w:p>
    <w:p w14:paraId="63D9CBFF" w14:textId="2F062A19" w:rsidR="00E941CF" w:rsidRPr="00E941CF" w:rsidRDefault="00E941CF" w:rsidP="00E941CF">
      <w:pPr>
        <w:spacing w:after="0" w:line="240" w:lineRule="auto"/>
        <w:jc w:val="both"/>
        <w:rPr>
          <w:rFonts w:ascii="Arial" w:eastAsia="Times New Roman" w:hAnsi="Arial" w:cs="Arial"/>
          <w:sz w:val="20"/>
          <w:szCs w:val="20"/>
          <w:lang w:val="es-419" w:eastAsia="es-ES"/>
        </w:rPr>
      </w:pPr>
      <w:r w:rsidRPr="00E941CF">
        <w:rPr>
          <w:rFonts w:ascii="Arial" w:eastAsia="Times New Roman" w:hAnsi="Arial" w:cs="Arial"/>
          <w:sz w:val="20"/>
          <w:szCs w:val="20"/>
          <w:lang w:val="es-419" w:eastAsia="es-ES"/>
        </w:rPr>
        <w:t xml:space="preserve">Lo primero por resaltar es que, de acuerdo con el artículo 309 del CGP, norma que aplica a la diligencia de secuestro por la remisión que hace el artículo 596 ibídem, puede oponerse a la diligencia de secuestro aquel contra quien no produzca efectos la sentencia, siempre que alegue hechos constitutivos de posesión y presente prueba sumaria que lo demuestre. También puede formular oposición un tenedor que derive sus derechos de un tercero poseedor. </w:t>
      </w:r>
    </w:p>
    <w:p w14:paraId="3573D2B3" w14:textId="77777777" w:rsidR="00E941CF" w:rsidRPr="00E941CF" w:rsidRDefault="00E941CF" w:rsidP="00E941CF">
      <w:pPr>
        <w:spacing w:after="0" w:line="240" w:lineRule="auto"/>
        <w:jc w:val="both"/>
        <w:rPr>
          <w:rFonts w:ascii="Arial" w:eastAsia="Times New Roman" w:hAnsi="Arial" w:cs="Arial"/>
          <w:sz w:val="20"/>
          <w:szCs w:val="20"/>
          <w:lang w:val="es-419" w:eastAsia="es-ES"/>
        </w:rPr>
      </w:pPr>
    </w:p>
    <w:p w14:paraId="0C707B9A" w14:textId="142B309A" w:rsidR="00B222BD" w:rsidRPr="00B222BD" w:rsidRDefault="00E941CF" w:rsidP="00E941CF">
      <w:pPr>
        <w:spacing w:after="0" w:line="240" w:lineRule="auto"/>
        <w:jc w:val="both"/>
        <w:rPr>
          <w:rFonts w:ascii="Arial" w:eastAsia="Times New Roman" w:hAnsi="Arial" w:cs="Arial"/>
          <w:sz w:val="20"/>
          <w:szCs w:val="20"/>
          <w:lang w:val="es-419" w:eastAsia="es-ES"/>
        </w:rPr>
      </w:pPr>
      <w:r w:rsidRPr="00E941CF">
        <w:rPr>
          <w:rFonts w:ascii="Arial" w:eastAsia="Times New Roman" w:hAnsi="Arial" w:cs="Arial"/>
          <w:sz w:val="20"/>
          <w:szCs w:val="20"/>
          <w:lang w:val="es-419" w:eastAsia="es-ES"/>
        </w:rPr>
        <w:t>Igualmente se recuerda que el artículo 73 del CGP señala que las personas que hayan de comparecer al proceso deberán hacerlo por conducto de abogado legalmente autorizado, excepto en los casos previstos en la ley; mientras que el artículo 54 del mismo estatuto prevé que las personas jurídicas deben comparecer por medio de sus representantes legales.</w:t>
      </w:r>
      <w:r>
        <w:rPr>
          <w:rFonts w:ascii="Arial" w:eastAsia="Times New Roman" w:hAnsi="Arial" w:cs="Arial"/>
          <w:sz w:val="20"/>
          <w:szCs w:val="20"/>
          <w:lang w:val="es-419" w:eastAsia="es-ES"/>
        </w:rPr>
        <w:t xml:space="preserve"> (…)</w:t>
      </w:r>
    </w:p>
    <w:p w14:paraId="524273CC" w14:textId="77777777" w:rsidR="00B222BD" w:rsidRPr="00B222BD" w:rsidRDefault="00B222BD" w:rsidP="00B222BD">
      <w:pPr>
        <w:spacing w:after="0" w:line="240" w:lineRule="auto"/>
        <w:jc w:val="both"/>
        <w:rPr>
          <w:rFonts w:ascii="Arial" w:eastAsia="Times New Roman" w:hAnsi="Arial" w:cs="Arial"/>
          <w:sz w:val="20"/>
          <w:szCs w:val="20"/>
          <w:lang w:val="es-419" w:eastAsia="es-ES"/>
        </w:rPr>
      </w:pPr>
    </w:p>
    <w:p w14:paraId="5A61436E" w14:textId="6E10C103" w:rsidR="00B222BD" w:rsidRDefault="00641859" w:rsidP="00B222B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41859">
        <w:rPr>
          <w:rFonts w:ascii="Arial" w:eastAsia="Times New Roman" w:hAnsi="Arial" w:cs="Arial"/>
          <w:sz w:val="20"/>
          <w:szCs w:val="20"/>
          <w:lang w:val="es-419" w:eastAsia="es-ES"/>
        </w:rPr>
        <w:t>surge una contradicción entre lo que resolvió el comisionado y lo que luego concluyó el comitente, en la medida en que aquel nunca hizo mención a que la oposición proviniera de un tercero poseedor, menos de un tenedor a nombre de aquel</w:t>
      </w:r>
      <w:r w:rsidR="00754737">
        <w:rPr>
          <w:rFonts w:ascii="Arial" w:eastAsia="Times New Roman" w:hAnsi="Arial" w:cs="Arial"/>
          <w:sz w:val="20"/>
          <w:szCs w:val="20"/>
          <w:lang w:val="es-419" w:eastAsia="es-ES"/>
        </w:rPr>
        <w:t>…</w:t>
      </w:r>
      <w:r w:rsidRPr="00641859">
        <w:rPr>
          <w:rFonts w:ascii="Arial" w:eastAsia="Times New Roman" w:hAnsi="Arial" w:cs="Arial"/>
          <w:sz w:val="20"/>
          <w:szCs w:val="20"/>
          <w:lang w:val="es-419" w:eastAsia="es-ES"/>
        </w:rPr>
        <w:t xml:space="preserve"> Por el contrario, la comitente partió de una premisa: que la propiedad no interesaba y que solo había que establecer quién era el poseedor de los bienes, así que, bajo ese entendido, le puso fin a la discusión.</w:t>
      </w:r>
      <w:r w:rsidR="00754737">
        <w:rPr>
          <w:rFonts w:ascii="Arial" w:eastAsia="Times New Roman" w:hAnsi="Arial" w:cs="Arial"/>
          <w:sz w:val="20"/>
          <w:szCs w:val="20"/>
          <w:lang w:val="es-419" w:eastAsia="es-ES"/>
        </w:rPr>
        <w:t xml:space="preserve"> (…)</w:t>
      </w:r>
    </w:p>
    <w:p w14:paraId="76911475" w14:textId="36CACBA8" w:rsidR="00754737" w:rsidRDefault="00754737" w:rsidP="00B222BD">
      <w:pPr>
        <w:spacing w:after="0" w:line="240" w:lineRule="auto"/>
        <w:jc w:val="both"/>
        <w:rPr>
          <w:rFonts w:ascii="Arial" w:eastAsia="Times New Roman" w:hAnsi="Arial" w:cs="Arial"/>
          <w:sz w:val="20"/>
          <w:szCs w:val="20"/>
          <w:lang w:val="es-419" w:eastAsia="es-ES"/>
        </w:rPr>
      </w:pPr>
    </w:p>
    <w:p w14:paraId="1CF3CF50" w14:textId="31EC685B" w:rsidR="00754737" w:rsidRPr="00B222BD" w:rsidRDefault="00754737" w:rsidP="00B222BD">
      <w:pPr>
        <w:spacing w:after="0" w:line="240" w:lineRule="auto"/>
        <w:jc w:val="both"/>
        <w:rPr>
          <w:rFonts w:ascii="Arial" w:eastAsia="Times New Roman" w:hAnsi="Arial" w:cs="Arial"/>
          <w:sz w:val="20"/>
          <w:szCs w:val="20"/>
          <w:lang w:val="es-419" w:eastAsia="es-ES"/>
        </w:rPr>
      </w:pPr>
      <w:r w:rsidRPr="00754737">
        <w:rPr>
          <w:rFonts w:ascii="Arial" w:eastAsia="Times New Roman" w:hAnsi="Arial" w:cs="Arial"/>
          <w:sz w:val="20"/>
          <w:szCs w:val="20"/>
          <w:lang w:val="es-419" w:eastAsia="es-ES"/>
        </w:rPr>
        <w:t>En todo caso, como ambos funcionarios admitieron que se trataba de una oposición, pasaron por alto que quien podía formularla era un poseedor o un tenedor a nombre de un tercero poseedor, por supuesto legitimados para hacerlo directamente o, al menos, acreditando el derecho de postulación.</w:t>
      </w:r>
    </w:p>
    <w:p w14:paraId="6064C97F" w14:textId="77777777" w:rsidR="00B222BD" w:rsidRPr="00B222BD" w:rsidRDefault="00B222BD" w:rsidP="00B222BD">
      <w:pPr>
        <w:spacing w:after="0" w:line="240" w:lineRule="auto"/>
        <w:jc w:val="both"/>
        <w:rPr>
          <w:rFonts w:ascii="Arial" w:eastAsia="Times New Roman" w:hAnsi="Arial" w:cs="Arial"/>
          <w:sz w:val="20"/>
          <w:szCs w:val="20"/>
          <w:lang w:val="es-419" w:eastAsia="es-ES"/>
        </w:rPr>
      </w:pPr>
    </w:p>
    <w:p w14:paraId="1592F49E" w14:textId="381B07EE" w:rsidR="00B222BD" w:rsidRPr="00B222BD" w:rsidRDefault="00307B92" w:rsidP="00B222BD">
      <w:pPr>
        <w:spacing w:after="0" w:line="240" w:lineRule="auto"/>
        <w:jc w:val="both"/>
        <w:rPr>
          <w:rFonts w:ascii="Arial" w:eastAsia="Times New Roman" w:hAnsi="Arial" w:cs="Arial"/>
          <w:sz w:val="20"/>
          <w:szCs w:val="20"/>
          <w:lang w:val="es-419" w:eastAsia="es-ES"/>
        </w:rPr>
      </w:pPr>
      <w:r w:rsidRPr="00307B92">
        <w:rPr>
          <w:rFonts w:ascii="Arial" w:eastAsia="Times New Roman" w:hAnsi="Arial" w:cs="Arial"/>
          <w:sz w:val="20"/>
          <w:szCs w:val="20"/>
          <w:lang w:val="es-419" w:eastAsia="es-ES"/>
        </w:rPr>
        <w:t xml:space="preserve">Y en este caso, como aduce el recurrente, nada de ello ocurrió, si se tiene en cuenta que </w:t>
      </w:r>
      <w:proofErr w:type="spellStart"/>
      <w:r w:rsidRPr="00307B92">
        <w:rPr>
          <w:rFonts w:ascii="Arial" w:eastAsia="Times New Roman" w:hAnsi="Arial" w:cs="Arial"/>
          <w:sz w:val="20"/>
          <w:szCs w:val="20"/>
          <w:lang w:val="es-419" w:eastAsia="es-ES"/>
        </w:rPr>
        <w:t>Yénnifer</w:t>
      </w:r>
      <w:proofErr w:type="spellEnd"/>
      <w:r w:rsidRPr="00307B92">
        <w:rPr>
          <w:rFonts w:ascii="Arial" w:eastAsia="Times New Roman" w:hAnsi="Arial" w:cs="Arial"/>
          <w:sz w:val="20"/>
          <w:szCs w:val="20"/>
          <w:lang w:val="es-419" w:eastAsia="es-ES"/>
        </w:rPr>
        <w:t xml:space="preserve"> Alejandra Bedoya intervino en la diligencia en una calidad que no le permitía la ley. Por una parte, nunca demostró que fuera jefe de personal o administradora del establecimiento, si bien el certificado de existencia y representación que se aportó no daba cuenta de ello. Por la otra, aun si lo fuera, tal circunstancia no probaba su calidad de representante legal de la entidad, que lo es una persona muy distinta, según se vio; </w:t>
      </w:r>
      <w:proofErr w:type="gramStart"/>
      <w:r w:rsidRPr="00307B92">
        <w:rPr>
          <w:rFonts w:ascii="Arial" w:eastAsia="Times New Roman" w:hAnsi="Arial" w:cs="Arial"/>
          <w:sz w:val="20"/>
          <w:szCs w:val="20"/>
          <w:lang w:val="es-419" w:eastAsia="es-ES"/>
        </w:rPr>
        <w:t>y</w:t>
      </w:r>
      <w:proofErr w:type="gramEnd"/>
      <w:r w:rsidRPr="00307B92">
        <w:rPr>
          <w:rFonts w:ascii="Arial" w:eastAsia="Times New Roman" w:hAnsi="Arial" w:cs="Arial"/>
          <w:sz w:val="20"/>
          <w:szCs w:val="20"/>
          <w:lang w:val="es-419" w:eastAsia="es-ES"/>
        </w:rPr>
        <w:t xml:space="preserve"> en tercer lugar, tampoco exhibió una tarjeta profesional que la acreditara como abogada en ejercicio, ni un poder que la facultara para representar en juicio a otro</w:t>
      </w:r>
      <w:r w:rsidR="00B7354B">
        <w:rPr>
          <w:rFonts w:ascii="Arial" w:eastAsia="Times New Roman" w:hAnsi="Arial" w:cs="Arial"/>
          <w:sz w:val="20"/>
          <w:szCs w:val="20"/>
          <w:lang w:val="es-419" w:eastAsia="es-ES"/>
        </w:rPr>
        <w:t>…</w:t>
      </w:r>
    </w:p>
    <w:p w14:paraId="41BEFEF4" w14:textId="77777777" w:rsidR="00B222BD" w:rsidRPr="00B222BD" w:rsidRDefault="00B222BD" w:rsidP="00B222BD">
      <w:pPr>
        <w:spacing w:after="0" w:line="240" w:lineRule="auto"/>
        <w:jc w:val="both"/>
        <w:rPr>
          <w:rFonts w:ascii="Arial" w:eastAsia="Times New Roman" w:hAnsi="Arial" w:cs="Arial"/>
          <w:sz w:val="20"/>
          <w:szCs w:val="20"/>
          <w:lang w:eastAsia="es-ES"/>
        </w:rPr>
      </w:pPr>
    </w:p>
    <w:p w14:paraId="5747C143" w14:textId="77777777" w:rsidR="00B222BD" w:rsidRPr="00B222BD" w:rsidRDefault="00B222BD" w:rsidP="00B222BD">
      <w:pPr>
        <w:spacing w:after="0" w:line="240" w:lineRule="auto"/>
        <w:jc w:val="both"/>
        <w:rPr>
          <w:rFonts w:ascii="Arial" w:eastAsia="Times New Roman" w:hAnsi="Arial" w:cs="Arial"/>
          <w:sz w:val="20"/>
          <w:szCs w:val="20"/>
          <w:lang w:eastAsia="es-ES"/>
        </w:rPr>
      </w:pPr>
    </w:p>
    <w:p w14:paraId="76CE1362" w14:textId="77777777" w:rsidR="00B222BD" w:rsidRPr="00B222BD" w:rsidRDefault="00B222BD" w:rsidP="00B222BD">
      <w:pPr>
        <w:spacing w:after="0" w:line="240" w:lineRule="auto"/>
        <w:jc w:val="both"/>
        <w:rPr>
          <w:rFonts w:ascii="Arial" w:eastAsia="Times New Roman" w:hAnsi="Arial" w:cs="Arial"/>
          <w:sz w:val="20"/>
          <w:szCs w:val="20"/>
          <w:lang w:eastAsia="es-ES"/>
        </w:rPr>
      </w:pPr>
    </w:p>
    <w:p w14:paraId="04144E19" w14:textId="77777777" w:rsidR="00923857" w:rsidRPr="00B222BD" w:rsidRDefault="00923857" w:rsidP="00B222BD">
      <w:pPr>
        <w:spacing w:after="0" w:line="276" w:lineRule="auto"/>
        <w:jc w:val="both"/>
        <w:rPr>
          <w:rFonts w:ascii="Gadugi" w:eastAsia="Times New Roman" w:hAnsi="Gadugi"/>
          <w:b/>
          <w:sz w:val="24"/>
          <w:szCs w:val="24"/>
          <w:lang w:val="es-MX" w:eastAsia="es-ES"/>
        </w:rPr>
      </w:pPr>
      <w:r w:rsidRPr="00B222BD">
        <w:rPr>
          <w:rFonts w:ascii="Gadugi" w:eastAsia="Times New Roman" w:hAnsi="Gadugi"/>
          <w:b/>
          <w:sz w:val="24"/>
          <w:szCs w:val="24"/>
          <w:lang w:val="es-MX" w:eastAsia="es-ES"/>
        </w:rPr>
        <w:t xml:space="preserve">  </w:t>
      </w:r>
      <w:r w:rsidRPr="00B222BD">
        <w:rPr>
          <w:rFonts w:ascii="Gadugi" w:eastAsia="Times New Roman" w:hAnsi="Gadugi"/>
          <w:b/>
          <w:sz w:val="24"/>
          <w:szCs w:val="24"/>
          <w:lang w:val="es-MX" w:eastAsia="es-ES"/>
        </w:rPr>
        <w:tab/>
      </w:r>
      <w:r w:rsidRPr="00B222BD">
        <w:rPr>
          <w:rFonts w:ascii="Gadugi" w:eastAsia="Times New Roman" w:hAnsi="Gadugi"/>
          <w:b/>
          <w:sz w:val="24"/>
          <w:szCs w:val="24"/>
          <w:lang w:val="es-MX" w:eastAsia="es-ES"/>
        </w:rPr>
        <w:tab/>
      </w:r>
      <w:r w:rsidRPr="00B222BD">
        <w:rPr>
          <w:rFonts w:ascii="Gadugi" w:eastAsia="Times New Roman" w:hAnsi="Gadugi"/>
          <w:b/>
          <w:sz w:val="24"/>
          <w:szCs w:val="24"/>
          <w:lang w:val="es-MX" w:eastAsia="es-ES"/>
        </w:rPr>
        <w:tab/>
      </w:r>
      <w:r w:rsidRPr="00B222BD">
        <w:rPr>
          <w:rFonts w:ascii="Gadugi" w:eastAsia="Times New Roman" w:hAnsi="Gadugi"/>
          <w:b/>
          <w:sz w:val="24"/>
          <w:szCs w:val="24"/>
          <w:lang w:val="es-MX" w:eastAsia="es-ES"/>
        </w:rPr>
        <w:tab/>
        <w:t>TRIBUNAL SUPERIOR DEL DISTRITO JUDICIAL</w:t>
      </w:r>
    </w:p>
    <w:p w14:paraId="1A04B767" w14:textId="269E6071" w:rsidR="00923857" w:rsidRPr="00B222BD" w:rsidRDefault="00923857" w:rsidP="00B222BD">
      <w:pPr>
        <w:spacing w:after="0" w:line="276" w:lineRule="auto"/>
        <w:jc w:val="both"/>
        <w:rPr>
          <w:rFonts w:ascii="Gadugi" w:eastAsia="Times New Roman" w:hAnsi="Gadugi"/>
          <w:b/>
          <w:sz w:val="24"/>
          <w:szCs w:val="24"/>
          <w:lang w:val="es-MX" w:eastAsia="es-ES"/>
        </w:rPr>
      </w:pPr>
      <w:r w:rsidRPr="00B222BD">
        <w:rPr>
          <w:rFonts w:ascii="Gadugi" w:eastAsia="Times New Roman" w:hAnsi="Gadugi"/>
          <w:b/>
          <w:sz w:val="24"/>
          <w:szCs w:val="24"/>
          <w:lang w:val="es-MX" w:eastAsia="es-ES"/>
        </w:rPr>
        <w:tab/>
      </w:r>
      <w:r w:rsidRPr="00B222BD">
        <w:rPr>
          <w:rFonts w:ascii="Gadugi" w:eastAsia="Times New Roman" w:hAnsi="Gadugi"/>
          <w:b/>
          <w:sz w:val="24"/>
          <w:szCs w:val="24"/>
          <w:lang w:val="es-MX" w:eastAsia="es-ES"/>
        </w:rPr>
        <w:tab/>
      </w:r>
      <w:r w:rsidRPr="00B222BD">
        <w:rPr>
          <w:rFonts w:ascii="Gadugi" w:eastAsia="Times New Roman" w:hAnsi="Gadugi"/>
          <w:b/>
          <w:sz w:val="24"/>
          <w:szCs w:val="24"/>
          <w:lang w:val="es-MX" w:eastAsia="es-ES"/>
        </w:rPr>
        <w:tab/>
      </w:r>
      <w:r w:rsidRPr="00B222BD">
        <w:rPr>
          <w:rFonts w:ascii="Gadugi" w:eastAsia="Times New Roman" w:hAnsi="Gadugi"/>
          <w:b/>
          <w:sz w:val="24"/>
          <w:szCs w:val="24"/>
          <w:lang w:val="es-MX" w:eastAsia="es-ES"/>
        </w:rPr>
        <w:tab/>
        <w:t xml:space="preserve"> </w:t>
      </w:r>
      <w:r w:rsidRPr="00B222BD">
        <w:rPr>
          <w:rFonts w:ascii="Gadugi" w:eastAsia="Times New Roman" w:hAnsi="Gadugi"/>
          <w:b/>
          <w:sz w:val="24"/>
          <w:szCs w:val="24"/>
          <w:lang w:val="es-MX" w:eastAsia="es-ES"/>
        </w:rPr>
        <w:tab/>
        <w:t>SALA UNITARIA CIVIL - FAMILIA</w:t>
      </w:r>
    </w:p>
    <w:p w14:paraId="41FCA53D" w14:textId="77777777" w:rsidR="00923857" w:rsidRPr="00B222BD" w:rsidRDefault="00923857" w:rsidP="00B222BD">
      <w:pPr>
        <w:spacing w:after="0" w:line="276" w:lineRule="auto"/>
        <w:jc w:val="both"/>
        <w:rPr>
          <w:rFonts w:ascii="Gadugi" w:eastAsia="Times New Roman" w:hAnsi="Gadugi"/>
          <w:b/>
          <w:sz w:val="24"/>
          <w:szCs w:val="24"/>
          <w:lang w:val="es-MX" w:eastAsia="es-ES"/>
        </w:rPr>
      </w:pPr>
    </w:p>
    <w:p w14:paraId="238E1FF6" w14:textId="77777777" w:rsidR="00923857" w:rsidRPr="00B222BD" w:rsidRDefault="00923857" w:rsidP="00B222BD">
      <w:pPr>
        <w:tabs>
          <w:tab w:val="left" w:pos="4536"/>
        </w:tabs>
        <w:spacing w:after="0" w:line="276" w:lineRule="auto"/>
        <w:ind w:firstLine="2835"/>
        <w:jc w:val="both"/>
        <w:rPr>
          <w:rFonts w:ascii="Gadugi" w:eastAsia="Times New Roman" w:hAnsi="Gadugi"/>
          <w:b/>
          <w:sz w:val="24"/>
          <w:szCs w:val="24"/>
          <w:lang w:val="es-MX" w:eastAsia="es-ES"/>
        </w:rPr>
      </w:pPr>
      <w:r w:rsidRPr="00B222BD">
        <w:rPr>
          <w:rFonts w:ascii="Gadugi" w:eastAsia="Times New Roman" w:hAnsi="Gadugi"/>
          <w:b/>
          <w:sz w:val="24"/>
          <w:szCs w:val="24"/>
          <w:lang w:val="es-MX" w:eastAsia="es-ES"/>
        </w:rPr>
        <w:t xml:space="preserve">Magistrado: </w:t>
      </w:r>
      <w:r w:rsidR="001542B5" w:rsidRPr="00B222BD">
        <w:rPr>
          <w:rFonts w:ascii="Gadugi" w:eastAsia="Times New Roman" w:hAnsi="Gadugi"/>
          <w:b/>
          <w:sz w:val="24"/>
          <w:szCs w:val="24"/>
          <w:lang w:val="es-MX" w:eastAsia="es-ES"/>
        </w:rPr>
        <w:tab/>
      </w:r>
      <w:r w:rsidRPr="00B222BD">
        <w:rPr>
          <w:rFonts w:ascii="Gadugi" w:eastAsia="Times New Roman" w:hAnsi="Gadugi"/>
          <w:b/>
          <w:sz w:val="24"/>
          <w:szCs w:val="24"/>
          <w:lang w:val="es-MX" w:eastAsia="es-ES"/>
        </w:rPr>
        <w:t>Jaime Alberto Saraza Naranjo</w:t>
      </w:r>
    </w:p>
    <w:p w14:paraId="5981A13F" w14:textId="77777777" w:rsidR="00B222BD" w:rsidRDefault="00B222BD" w:rsidP="00B222BD">
      <w:pPr>
        <w:tabs>
          <w:tab w:val="left" w:pos="4536"/>
        </w:tabs>
        <w:spacing w:after="0" w:line="276" w:lineRule="auto"/>
        <w:ind w:left="4530" w:hanging="1695"/>
        <w:jc w:val="both"/>
        <w:rPr>
          <w:rFonts w:ascii="Gadugi" w:eastAsia="Times New Roman" w:hAnsi="Gadugi"/>
          <w:sz w:val="24"/>
          <w:szCs w:val="24"/>
          <w:lang w:val="es-MX" w:eastAsia="es-ES"/>
        </w:rPr>
      </w:pPr>
    </w:p>
    <w:p w14:paraId="1E6CECF2" w14:textId="16F635BE" w:rsidR="001542B5" w:rsidRPr="00B222BD" w:rsidRDefault="00923857" w:rsidP="00B222BD">
      <w:pPr>
        <w:tabs>
          <w:tab w:val="left" w:pos="4536"/>
        </w:tabs>
        <w:spacing w:after="0" w:line="276" w:lineRule="auto"/>
        <w:ind w:left="4530" w:hanging="1695"/>
        <w:jc w:val="both"/>
        <w:rPr>
          <w:rFonts w:ascii="Gadugi" w:eastAsia="Times New Roman" w:hAnsi="Gadugi"/>
          <w:sz w:val="24"/>
          <w:szCs w:val="24"/>
          <w:lang w:val="es-419" w:eastAsia="es-ES"/>
        </w:rPr>
      </w:pPr>
      <w:r w:rsidRPr="00B222BD">
        <w:rPr>
          <w:rFonts w:ascii="Gadugi" w:eastAsia="Times New Roman" w:hAnsi="Gadugi"/>
          <w:sz w:val="24"/>
          <w:szCs w:val="24"/>
          <w:lang w:val="es-MX" w:eastAsia="es-ES"/>
        </w:rPr>
        <w:t>Pereira,</w:t>
      </w:r>
      <w:r w:rsidR="00B222BD" w:rsidRPr="00B222BD">
        <w:rPr>
          <w:rFonts w:ascii="Gadugi" w:eastAsia="Times New Roman" w:hAnsi="Gadugi"/>
          <w:sz w:val="24"/>
          <w:szCs w:val="24"/>
          <w:lang w:val="es-419" w:eastAsia="es-ES"/>
        </w:rPr>
        <w:t xml:space="preserve"> </w:t>
      </w:r>
      <w:r w:rsidR="00C4604C" w:rsidRPr="00B222BD">
        <w:rPr>
          <w:rFonts w:ascii="Gadugi" w:eastAsia="Times New Roman" w:hAnsi="Gadugi"/>
          <w:sz w:val="24"/>
          <w:szCs w:val="24"/>
          <w:lang w:val="es-419" w:eastAsia="es-ES"/>
        </w:rPr>
        <w:t>Febrero dieciocho de dos mil veintiuno</w:t>
      </w:r>
    </w:p>
    <w:p w14:paraId="4FF86BD3" w14:textId="5FBB1195" w:rsidR="003765FA" w:rsidRPr="00B222BD" w:rsidRDefault="003E7E01" w:rsidP="00B222BD">
      <w:pPr>
        <w:spacing w:after="0" w:line="276" w:lineRule="auto"/>
        <w:ind w:firstLine="2835"/>
        <w:jc w:val="both"/>
        <w:rPr>
          <w:rFonts w:ascii="Gadugi" w:eastAsia="Times New Roman" w:hAnsi="Gadugi"/>
          <w:sz w:val="24"/>
          <w:szCs w:val="24"/>
          <w:lang w:val="es-MX" w:eastAsia="es-ES"/>
        </w:rPr>
      </w:pPr>
      <w:r w:rsidRPr="00B222BD">
        <w:rPr>
          <w:rFonts w:ascii="Gadugi" w:eastAsia="Times New Roman" w:hAnsi="Gadugi"/>
          <w:sz w:val="24"/>
          <w:szCs w:val="24"/>
          <w:lang w:val="es-MX" w:eastAsia="es-ES"/>
        </w:rPr>
        <w:t>Auto No</w:t>
      </w:r>
      <w:r w:rsidR="00D931A0" w:rsidRPr="00B222BD">
        <w:rPr>
          <w:rFonts w:ascii="Gadugi" w:eastAsia="Times New Roman" w:hAnsi="Gadugi"/>
          <w:sz w:val="24"/>
          <w:szCs w:val="24"/>
          <w:lang w:val="es-MX" w:eastAsia="es-ES"/>
        </w:rPr>
        <w:t>.</w:t>
      </w:r>
      <w:r w:rsidR="00B222BD">
        <w:rPr>
          <w:rFonts w:ascii="Gadugi" w:eastAsia="Times New Roman" w:hAnsi="Gadugi"/>
          <w:sz w:val="24"/>
          <w:szCs w:val="24"/>
          <w:lang w:val="es-MX" w:eastAsia="es-ES"/>
        </w:rPr>
        <w:t xml:space="preserve"> </w:t>
      </w:r>
      <w:r w:rsidR="00D931A0" w:rsidRPr="00B222BD">
        <w:rPr>
          <w:rFonts w:ascii="Gadugi" w:eastAsia="Times New Roman" w:hAnsi="Gadugi"/>
          <w:sz w:val="24"/>
          <w:szCs w:val="24"/>
          <w:lang w:val="es-MX" w:eastAsia="es-ES"/>
        </w:rPr>
        <w:t>TSP. AC-0011-2021</w:t>
      </w:r>
    </w:p>
    <w:p w14:paraId="084D5326" w14:textId="77777777" w:rsidR="003E7E01" w:rsidRPr="00B222BD" w:rsidRDefault="003E7E01" w:rsidP="00B222BD">
      <w:pPr>
        <w:spacing w:after="0" w:line="276" w:lineRule="auto"/>
        <w:jc w:val="both"/>
        <w:rPr>
          <w:rFonts w:ascii="Gadugi" w:eastAsia="Times New Roman" w:hAnsi="Gadugi"/>
          <w:sz w:val="24"/>
          <w:szCs w:val="24"/>
          <w:lang w:val="es-MX" w:eastAsia="es-ES"/>
        </w:rPr>
      </w:pPr>
    </w:p>
    <w:p w14:paraId="197B95F3" w14:textId="77777777" w:rsidR="003E7E01" w:rsidRPr="00B222BD" w:rsidRDefault="003E7E01" w:rsidP="00B222BD">
      <w:pPr>
        <w:spacing w:after="0" w:line="276" w:lineRule="auto"/>
        <w:jc w:val="both"/>
        <w:rPr>
          <w:rFonts w:ascii="Gadugi" w:eastAsia="Times New Roman" w:hAnsi="Gadugi"/>
          <w:sz w:val="24"/>
          <w:szCs w:val="24"/>
          <w:lang w:val="es-MX" w:eastAsia="es-ES"/>
        </w:rPr>
      </w:pPr>
    </w:p>
    <w:p w14:paraId="35344725" w14:textId="77777777" w:rsidR="003765FA" w:rsidRPr="00B222BD" w:rsidRDefault="00923857" w:rsidP="00B222BD">
      <w:pPr>
        <w:spacing w:after="0" w:line="276" w:lineRule="auto"/>
        <w:jc w:val="both"/>
        <w:rPr>
          <w:rFonts w:ascii="Gadugi" w:eastAsia="Times New Roman" w:hAnsi="Gadugi"/>
          <w:sz w:val="24"/>
          <w:szCs w:val="24"/>
          <w:lang w:val="es-MX" w:eastAsia="es-ES"/>
        </w:rPr>
      </w:pPr>
      <w:r w:rsidRPr="00B222BD">
        <w:rPr>
          <w:rFonts w:ascii="Gadugi" w:eastAsia="Times New Roman" w:hAnsi="Gadugi"/>
          <w:b/>
          <w:bCs/>
          <w:sz w:val="24"/>
          <w:szCs w:val="24"/>
          <w:lang w:val="es-MX" w:eastAsia="es-ES"/>
        </w:rPr>
        <w:t xml:space="preserve">  </w:t>
      </w:r>
      <w:r w:rsidRPr="00B222BD">
        <w:rPr>
          <w:rFonts w:ascii="Gadugi" w:eastAsia="Times New Roman" w:hAnsi="Gadugi"/>
          <w:b/>
          <w:bCs/>
          <w:sz w:val="24"/>
          <w:szCs w:val="24"/>
          <w:lang w:val="es-MX" w:eastAsia="es-ES"/>
        </w:rPr>
        <w:tab/>
      </w:r>
      <w:r w:rsidRPr="00B222BD">
        <w:rPr>
          <w:rFonts w:ascii="Gadugi" w:eastAsia="Times New Roman" w:hAnsi="Gadugi"/>
          <w:b/>
          <w:bCs/>
          <w:sz w:val="24"/>
          <w:szCs w:val="24"/>
          <w:lang w:val="es-MX" w:eastAsia="es-ES"/>
        </w:rPr>
        <w:tab/>
      </w:r>
      <w:r w:rsidRPr="00B222BD">
        <w:rPr>
          <w:rFonts w:ascii="Gadugi" w:eastAsia="Times New Roman" w:hAnsi="Gadugi"/>
          <w:b/>
          <w:bCs/>
          <w:sz w:val="24"/>
          <w:szCs w:val="24"/>
          <w:lang w:val="es-MX" w:eastAsia="es-ES"/>
        </w:rPr>
        <w:tab/>
      </w:r>
      <w:r w:rsidRPr="00B222BD">
        <w:rPr>
          <w:rFonts w:ascii="Gadugi" w:eastAsia="Times New Roman" w:hAnsi="Gadugi"/>
          <w:b/>
          <w:bCs/>
          <w:sz w:val="24"/>
          <w:szCs w:val="24"/>
          <w:lang w:val="es-MX" w:eastAsia="es-ES"/>
        </w:rPr>
        <w:tab/>
      </w:r>
      <w:r w:rsidR="00AF6F6E" w:rsidRPr="00B222BD">
        <w:rPr>
          <w:rFonts w:ascii="Gadugi" w:eastAsia="Times New Roman" w:hAnsi="Gadugi"/>
          <w:bCs/>
          <w:sz w:val="24"/>
          <w:szCs w:val="24"/>
          <w:lang w:val="es-MX" w:eastAsia="es-ES"/>
        </w:rPr>
        <w:t xml:space="preserve">Decide esta </w:t>
      </w:r>
      <w:r w:rsidRPr="00B222BD">
        <w:rPr>
          <w:rFonts w:ascii="Gadugi" w:eastAsia="Times New Roman" w:hAnsi="Gadugi"/>
          <w:bCs/>
          <w:sz w:val="24"/>
          <w:szCs w:val="24"/>
          <w:lang w:val="es-MX" w:eastAsia="es-ES"/>
        </w:rPr>
        <w:t xml:space="preserve">Sala </w:t>
      </w:r>
      <w:r w:rsidR="00AF6F6E" w:rsidRPr="00B222BD">
        <w:rPr>
          <w:rFonts w:ascii="Gadugi" w:eastAsia="Times New Roman" w:hAnsi="Gadugi"/>
          <w:bCs/>
          <w:sz w:val="24"/>
          <w:szCs w:val="24"/>
          <w:lang w:val="es-MX" w:eastAsia="es-ES"/>
        </w:rPr>
        <w:t xml:space="preserve">Unitaria </w:t>
      </w:r>
      <w:r w:rsidRPr="00B222BD">
        <w:rPr>
          <w:rFonts w:ascii="Gadugi" w:eastAsia="Times New Roman" w:hAnsi="Gadugi"/>
          <w:bCs/>
          <w:sz w:val="24"/>
          <w:szCs w:val="24"/>
          <w:lang w:val="es-MX" w:eastAsia="es-ES"/>
        </w:rPr>
        <w:t xml:space="preserve">el </w:t>
      </w:r>
      <w:r w:rsidRPr="00B222BD">
        <w:rPr>
          <w:rFonts w:ascii="Gadugi" w:eastAsia="Times New Roman" w:hAnsi="Gadugi"/>
          <w:sz w:val="24"/>
          <w:szCs w:val="24"/>
          <w:lang w:val="es-MX" w:eastAsia="es-ES"/>
        </w:rPr>
        <w:t>recurso de apelación interpuesto por la parte</w:t>
      </w:r>
      <w:r w:rsidR="00231647" w:rsidRPr="00B222BD">
        <w:rPr>
          <w:rFonts w:ascii="Gadugi" w:eastAsia="Times New Roman" w:hAnsi="Gadugi"/>
          <w:sz w:val="24"/>
          <w:szCs w:val="24"/>
          <w:lang w:val="es-MX" w:eastAsia="es-ES"/>
        </w:rPr>
        <w:t xml:space="preserve"> </w:t>
      </w:r>
      <w:r w:rsidR="004B5820" w:rsidRPr="00B222BD">
        <w:rPr>
          <w:rFonts w:ascii="Gadugi" w:eastAsia="Times New Roman" w:hAnsi="Gadugi"/>
          <w:sz w:val="24"/>
          <w:szCs w:val="24"/>
          <w:lang w:val="es-MX" w:eastAsia="es-ES"/>
        </w:rPr>
        <w:t>demandante</w:t>
      </w:r>
      <w:r w:rsidR="00231647" w:rsidRPr="00B222BD">
        <w:rPr>
          <w:rFonts w:ascii="Gadugi" w:eastAsia="Times New Roman" w:hAnsi="Gadugi"/>
          <w:sz w:val="24"/>
          <w:szCs w:val="24"/>
          <w:lang w:val="es-MX" w:eastAsia="es-ES"/>
        </w:rPr>
        <w:t xml:space="preserve"> contra el auto del </w:t>
      </w:r>
      <w:r w:rsidR="000A308D" w:rsidRPr="00B222BD">
        <w:rPr>
          <w:rFonts w:ascii="Gadugi" w:eastAsia="Times New Roman" w:hAnsi="Gadugi"/>
          <w:sz w:val="24"/>
          <w:szCs w:val="24"/>
          <w:lang w:val="es-MX" w:eastAsia="es-ES"/>
        </w:rPr>
        <w:t>2 de marzo de 2020</w:t>
      </w:r>
      <w:r w:rsidR="0016017C" w:rsidRPr="00B222BD">
        <w:rPr>
          <w:rFonts w:ascii="Gadugi" w:eastAsia="Times New Roman" w:hAnsi="Gadugi"/>
          <w:sz w:val="24"/>
          <w:szCs w:val="24"/>
          <w:lang w:val="es-MX" w:eastAsia="es-ES"/>
        </w:rPr>
        <w:t xml:space="preserve">, </w:t>
      </w:r>
      <w:r w:rsidRPr="00B222BD">
        <w:rPr>
          <w:rFonts w:ascii="Gadugi" w:eastAsia="Times New Roman" w:hAnsi="Gadugi"/>
          <w:sz w:val="24"/>
          <w:szCs w:val="24"/>
          <w:lang w:val="es-MX" w:eastAsia="es-ES"/>
        </w:rPr>
        <w:t xml:space="preserve">proferido por el Juzgado </w:t>
      </w:r>
      <w:r w:rsidR="000A308D" w:rsidRPr="00B222BD">
        <w:rPr>
          <w:rFonts w:ascii="Gadugi" w:eastAsia="Times New Roman" w:hAnsi="Gadugi"/>
          <w:sz w:val="24"/>
          <w:szCs w:val="24"/>
          <w:lang w:val="es-MX" w:eastAsia="es-ES"/>
        </w:rPr>
        <w:t xml:space="preserve">Quinto </w:t>
      </w:r>
      <w:r w:rsidRPr="00B222BD">
        <w:rPr>
          <w:rFonts w:ascii="Gadugi" w:eastAsia="Times New Roman" w:hAnsi="Gadugi"/>
          <w:sz w:val="24"/>
          <w:szCs w:val="24"/>
          <w:lang w:val="es-MX" w:eastAsia="es-ES"/>
        </w:rPr>
        <w:t xml:space="preserve">Civil del Circuito local, en este proceso </w:t>
      </w:r>
      <w:r w:rsidR="00231647" w:rsidRPr="00B222BD">
        <w:rPr>
          <w:rFonts w:ascii="Gadugi" w:eastAsia="Times New Roman" w:hAnsi="Gadugi"/>
          <w:sz w:val="24"/>
          <w:szCs w:val="24"/>
          <w:lang w:val="es-MX" w:eastAsia="es-ES"/>
        </w:rPr>
        <w:t>ejecutivo</w:t>
      </w:r>
      <w:r w:rsidRPr="00B222BD">
        <w:rPr>
          <w:rFonts w:ascii="Gadugi" w:eastAsia="Times New Roman" w:hAnsi="Gadugi"/>
          <w:sz w:val="24"/>
          <w:szCs w:val="24"/>
          <w:lang w:val="es-MX" w:eastAsia="es-ES"/>
        </w:rPr>
        <w:t xml:space="preserve"> instaurado por </w:t>
      </w:r>
      <w:r w:rsidR="000A308D" w:rsidRPr="00B222BD">
        <w:rPr>
          <w:rFonts w:ascii="Gadugi" w:eastAsia="Times New Roman" w:hAnsi="Gadugi"/>
          <w:sz w:val="24"/>
          <w:szCs w:val="24"/>
          <w:lang w:val="es-MX" w:eastAsia="es-ES"/>
        </w:rPr>
        <w:t xml:space="preserve">Juan Diego Cifuentes Arbeláez frente a Adriana María Ossa </w:t>
      </w:r>
      <w:r w:rsidR="00231647" w:rsidRPr="00B222BD">
        <w:rPr>
          <w:rFonts w:ascii="Gadugi" w:eastAsia="Times New Roman" w:hAnsi="Gadugi"/>
          <w:b/>
          <w:sz w:val="24"/>
          <w:szCs w:val="24"/>
          <w:lang w:val="es-MX" w:eastAsia="es-ES"/>
        </w:rPr>
        <w:t>Carlos Alberto Ruiz Vallejo</w:t>
      </w:r>
      <w:r w:rsidRPr="00B222BD">
        <w:rPr>
          <w:rFonts w:ascii="Gadugi" w:eastAsia="Times New Roman" w:hAnsi="Gadugi"/>
          <w:b/>
          <w:sz w:val="24"/>
          <w:szCs w:val="24"/>
          <w:lang w:val="es-MX" w:eastAsia="es-ES"/>
        </w:rPr>
        <w:t xml:space="preserve"> </w:t>
      </w:r>
      <w:r w:rsidRPr="00B222BD">
        <w:rPr>
          <w:rFonts w:ascii="Gadugi" w:eastAsia="Times New Roman" w:hAnsi="Gadugi"/>
          <w:sz w:val="24"/>
          <w:szCs w:val="24"/>
          <w:lang w:val="es-MX" w:eastAsia="es-ES"/>
        </w:rPr>
        <w:t xml:space="preserve">frente a </w:t>
      </w:r>
      <w:r w:rsidR="000A308D" w:rsidRPr="00B222BD">
        <w:rPr>
          <w:rFonts w:ascii="Gadugi" w:eastAsia="Times New Roman" w:hAnsi="Gadugi"/>
          <w:b/>
          <w:sz w:val="24"/>
          <w:szCs w:val="24"/>
          <w:lang w:val="es-MX" w:eastAsia="es-ES"/>
        </w:rPr>
        <w:t xml:space="preserve">Adriana </w:t>
      </w:r>
      <w:r w:rsidR="00C05AF7" w:rsidRPr="00B222BD">
        <w:rPr>
          <w:rFonts w:ascii="Gadugi" w:eastAsia="Times New Roman" w:hAnsi="Gadugi"/>
          <w:b/>
          <w:sz w:val="24"/>
          <w:szCs w:val="24"/>
          <w:lang w:val="es-MX" w:eastAsia="es-ES"/>
        </w:rPr>
        <w:t>M</w:t>
      </w:r>
      <w:r w:rsidR="000A308D" w:rsidRPr="00B222BD">
        <w:rPr>
          <w:rFonts w:ascii="Gadugi" w:eastAsia="Times New Roman" w:hAnsi="Gadugi"/>
          <w:b/>
          <w:sz w:val="24"/>
          <w:szCs w:val="24"/>
          <w:lang w:val="es-MX" w:eastAsia="es-ES"/>
        </w:rPr>
        <w:t>aría Ossa Ortiz</w:t>
      </w:r>
      <w:r w:rsidR="000A308D" w:rsidRPr="00B222BD">
        <w:rPr>
          <w:rFonts w:ascii="Gadugi" w:eastAsia="Times New Roman" w:hAnsi="Gadugi"/>
          <w:sz w:val="24"/>
          <w:szCs w:val="24"/>
          <w:lang w:val="es-MX" w:eastAsia="es-ES"/>
        </w:rPr>
        <w:t xml:space="preserve">, en el que interviene como opositora </w:t>
      </w:r>
      <w:r w:rsidR="000A308D" w:rsidRPr="00B222BD">
        <w:rPr>
          <w:rFonts w:ascii="Gadugi" w:eastAsia="Times New Roman" w:hAnsi="Gadugi"/>
          <w:b/>
          <w:sz w:val="24"/>
          <w:szCs w:val="24"/>
          <w:lang w:val="es-MX" w:eastAsia="es-ES"/>
        </w:rPr>
        <w:t>Renacer Ortiz de la Pava S.A.S</w:t>
      </w:r>
      <w:r w:rsidR="000A308D" w:rsidRPr="00B222BD">
        <w:rPr>
          <w:rFonts w:ascii="Gadugi" w:eastAsia="Times New Roman" w:hAnsi="Gadugi"/>
          <w:sz w:val="24"/>
          <w:szCs w:val="24"/>
          <w:lang w:val="es-MX" w:eastAsia="es-ES"/>
        </w:rPr>
        <w:t>.</w:t>
      </w:r>
    </w:p>
    <w:p w14:paraId="319A354D" w14:textId="77777777" w:rsidR="003765FA" w:rsidRPr="00B222BD" w:rsidRDefault="003765FA" w:rsidP="00B222BD">
      <w:pPr>
        <w:spacing w:after="0" w:line="276" w:lineRule="auto"/>
        <w:jc w:val="both"/>
        <w:rPr>
          <w:rFonts w:ascii="Gadugi" w:eastAsia="Times New Roman" w:hAnsi="Gadugi"/>
          <w:sz w:val="24"/>
          <w:szCs w:val="24"/>
          <w:lang w:val="es-MX" w:eastAsia="es-ES"/>
        </w:rPr>
      </w:pPr>
    </w:p>
    <w:p w14:paraId="67AF5414" w14:textId="77777777" w:rsidR="000A308D" w:rsidRPr="00B222BD" w:rsidRDefault="003765FA" w:rsidP="00B222BD">
      <w:pPr>
        <w:pStyle w:val="Prrafodelista"/>
        <w:numPr>
          <w:ilvl w:val="0"/>
          <w:numId w:val="4"/>
        </w:numPr>
        <w:spacing w:after="0" w:line="276" w:lineRule="auto"/>
        <w:jc w:val="both"/>
        <w:rPr>
          <w:rFonts w:ascii="Gadugi" w:eastAsia="Times New Roman" w:hAnsi="Gadugi"/>
          <w:b/>
          <w:sz w:val="24"/>
          <w:szCs w:val="24"/>
          <w:lang w:val="es-MX" w:eastAsia="es-ES"/>
        </w:rPr>
      </w:pPr>
      <w:r w:rsidRPr="00B222BD">
        <w:rPr>
          <w:rFonts w:ascii="Gadugi" w:eastAsia="Times New Roman" w:hAnsi="Gadugi"/>
          <w:b/>
          <w:sz w:val="24"/>
          <w:szCs w:val="24"/>
          <w:lang w:val="es-MX" w:eastAsia="es-ES"/>
        </w:rPr>
        <w:t>ANTECEDENTES.</w:t>
      </w:r>
    </w:p>
    <w:p w14:paraId="51BB0F33" w14:textId="77777777" w:rsidR="003765FA" w:rsidRPr="00B222BD" w:rsidRDefault="003765FA" w:rsidP="00B222BD">
      <w:pPr>
        <w:spacing w:after="0" w:line="276" w:lineRule="auto"/>
        <w:ind w:left="2832"/>
        <w:jc w:val="both"/>
        <w:rPr>
          <w:rFonts w:ascii="Gadugi" w:eastAsia="Times New Roman" w:hAnsi="Gadugi"/>
          <w:b/>
          <w:sz w:val="24"/>
          <w:szCs w:val="24"/>
          <w:lang w:val="es-MX" w:eastAsia="es-ES"/>
        </w:rPr>
      </w:pPr>
    </w:p>
    <w:p w14:paraId="10430A65" w14:textId="77777777" w:rsidR="003765FA" w:rsidRPr="00B222BD" w:rsidRDefault="00C30E85" w:rsidP="00B222BD">
      <w:pPr>
        <w:tabs>
          <w:tab w:val="left" w:pos="3119"/>
        </w:tabs>
        <w:spacing w:after="0" w:line="276" w:lineRule="auto"/>
        <w:ind w:firstLine="2832"/>
        <w:jc w:val="both"/>
        <w:rPr>
          <w:rFonts w:ascii="Gadugi" w:eastAsia="Times New Roman" w:hAnsi="Gadugi"/>
          <w:sz w:val="24"/>
          <w:szCs w:val="24"/>
          <w:lang w:val="es-MX" w:eastAsia="es-ES"/>
        </w:rPr>
      </w:pPr>
      <w:r w:rsidRPr="00B222BD">
        <w:rPr>
          <w:rFonts w:ascii="Gadugi" w:eastAsia="Times New Roman" w:hAnsi="Gadugi"/>
          <w:sz w:val="24"/>
          <w:szCs w:val="24"/>
          <w:lang w:val="es-MX" w:eastAsia="es-ES"/>
        </w:rPr>
        <w:t xml:space="preserve">En el proceso referido, la parte demandantes solicitó el embargo y secuestro de unos bienes muebles que denunció como de propiedad de la demandada Adriana Ortiz de La Pava, y luego de una serie de vicisitudes, comisionó a una juez civil municipal para que procediera a realizar la diligencia. </w:t>
      </w:r>
    </w:p>
    <w:p w14:paraId="76F2899F" w14:textId="77777777" w:rsidR="00C30E85" w:rsidRPr="00B222BD" w:rsidRDefault="00C30E85" w:rsidP="00B222BD">
      <w:pPr>
        <w:tabs>
          <w:tab w:val="left" w:pos="3119"/>
        </w:tabs>
        <w:spacing w:after="0" w:line="276" w:lineRule="auto"/>
        <w:ind w:firstLine="2832"/>
        <w:jc w:val="both"/>
        <w:rPr>
          <w:rFonts w:ascii="Gadugi" w:eastAsia="Times New Roman" w:hAnsi="Gadugi"/>
          <w:sz w:val="24"/>
          <w:szCs w:val="24"/>
          <w:lang w:val="es-MX" w:eastAsia="es-ES"/>
        </w:rPr>
      </w:pPr>
    </w:p>
    <w:p w14:paraId="51969D29" w14:textId="77777777" w:rsidR="00946548" w:rsidRPr="00B222BD" w:rsidRDefault="00B94946" w:rsidP="00B222BD">
      <w:pPr>
        <w:tabs>
          <w:tab w:val="left" w:pos="3119"/>
        </w:tabs>
        <w:spacing w:after="0" w:line="276" w:lineRule="auto"/>
        <w:ind w:firstLine="2832"/>
        <w:jc w:val="both"/>
        <w:rPr>
          <w:rFonts w:ascii="Gadugi" w:eastAsia="Times New Roman" w:hAnsi="Gadugi"/>
          <w:sz w:val="24"/>
          <w:szCs w:val="24"/>
          <w:lang w:val="es-MX" w:eastAsia="es-ES"/>
        </w:rPr>
      </w:pPr>
      <w:r w:rsidRPr="00B222BD">
        <w:rPr>
          <w:rFonts w:ascii="Gadugi" w:eastAsia="Times New Roman" w:hAnsi="Gadugi"/>
          <w:sz w:val="24"/>
          <w:szCs w:val="24"/>
          <w:lang w:val="es-MX" w:eastAsia="es-ES"/>
        </w:rPr>
        <w:t xml:space="preserve">En esa tarea, el Juzgado Sexto Civil Municipal de Pereira, el 5 de julio de 2019, se desplazó al establecimiento de comercio </w:t>
      </w:r>
      <w:r w:rsidR="00946548" w:rsidRPr="00B222BD">
        <w:rPr>
          <w:rFonts w:ascii="Gadugi" w:eastAsia="Times New Roman" w:hAnsi="Gadugi"/>
          <w:sz w:val="24"/>
          <w:szCs w:val="24"/>
          <w:lang w:val="es-MX" w:eastAsia="es-ES"/>
        </w:rPr>
        <w:t xml:space="preserve">identificado como Adriana Ossa, donde, luego de tener por identificados los bienes muebles a secuestrar, según la relación que se hizo en un acta anterior, escuchó lo que, en su criterio, constituyó una oposición en nombre de Renacer Ortiz de la Pava SAS, por parte de </w:t>
      </w:r>
      <w:proofErr w:type="spellStart"/>
      <w:r w:rsidR="00946548" w:rsidRPr="00B222BD">
        <w:rPr>
          <w:rFonts w:ascii="Gadugi" w:eastAsia="Times New Roman" w:hAnsi="Gadugi"/>
          <w:sz w:val="24"/>
          <w:szCs w:val="24"/>
          <w:lang w:val="es-MX" w:eastAsia="es-ES"/>
        </w:rPr>
        <w:t>Yénnifer</w:t>
      </w:r>
      <w:proofErr w:type="spellEnd"/>
      <w:r w:rsidR="00946548" w:rsidRPr="00B222BD">
        <w:rPr>
          <w:rFonts w:ascii="Gadugi" w:eastAsia="Times New Roman" w:hAnsi="Gadugi"/>
          <w:sz w:val="24"/>
          <w:szCs w:val="24"/>
          <w:lang w:val="es-MX" w:eastAsia="es-ES"/>
        </w:rPr>
        <w:t xml:space="preserve"> Alejandra Bedoya Guarín, quien dijo ser jefe de personal. Recaudó unos documentos y la escuchó en </w:t>
      </w:r>
      <w:r w:rsidR="00946548" w:rsidRPr="00B222BD">
        <w:rPr>
          <w:rFonts w:ascii="Gadugi" w:eastAsia="Times New Roman" w:hAnsi="Gadugi"/>
          <w:i/>
          <w:sz w:val="24"/>
          <w:szCs w:val="24"/>
          <w:lang w:val="es-MX" w:eastAsia="es-ES"/>
        </w:rPr>
        <w:t>“testimonio”</w:t>
      </w:r>
      <w:r w:rsidR="00946548" w:rsidRPr="00B222BD">
        <w:rPr>
          <w:rFonts w:ascii="Gadugi" w:eastAsia="Times New Roman" w:hAnsi="Gadugi"/>
          <w:sz w:val="24"/>
          <w:szCs w:val="24"/>
          <w:lang w:val="es-MX" w:eastAsia="es-ES"/>
        </w:rPr>
        <w:t xml:space="preserve"> y dio por sentado que se acreditó la posesión alegada. </w:t>
      </w:r>
    </w:p>
    <w:p w14:paraId="1A18063D" w14:textId="77777777" w:rsidR="00946548" w:rsidRPr="00B222BD" w:rsidRDefault="00946548" w:rsidP="00B222BD">
      <w:pPr>
        <w:tabs>
          <w:tab w:val="left" w:pos="3119"/>
        </w:tabs>
        <w:spacing w:after="0" w:line="276" w:lineRule="auto"/>
        <w:ind w:firstLine="2832"/>
        <w:jc w:val="both"/>
        <w:rPr>
          <w:rFonts w:ascii="Gadugi" w:eastAsia="Times New Roman" w:hAnsi="Gadugi"/>
          <w:sz w:val="24"/>
          <w:szCs w:val="24"/>
          <w:lang w:val="es-MX" w:eastAsia="es-ES"/>
        </w:rPr>
      </w:pPr>
    </w:p>
    <w:p w14:paraId="26B40B8F" w14:textId="77777777" w:rsidR="00C30E85" w:rsidRPr="00B222BD" w:rsidRDefault="00946548" w:rsidP="00B222BD">
      <w:pPr>
        <w:tabs>
          <w:tab w:val="left" w:pos="3119"/>
        </w:tabs>
        <w:spacing w:after="0" w:line="276" w:lineRule="auto"/>
        <w:ind w:firstLine="2832"/>
        <w:jc w:val="both"/>
        <w:rPr>
          <w:rFonts w:ascii="Gadugi" w:eastAsia="Times New Roman" w:hAnsi="Gadugi"/>
          <w:sz w:val="24"/>
          <w:szCs w:val="24"/>
          <w:lang w:val="es-MX" w:eastAsia="es-ES"/>
        </w:rPr>
      </w:pPr>
      <w:r w:rsidRPr="00B222BD">
        <w:rPr>
          <w:rFonts w:ascii="Gadugi" w:eastAsia="Times New Roman" w:hAnsi="Gadugi"/>
          <w:sz w:val="24"/>
          <w:szCs w:val="24"/>
          <w:lang w:val="es-MX" w:eastAsia="es-ES"/>
        </w:rPr>
        <w:t>La parte demandante insistió en la diligencia y así se procedió; se dejó a la opositora en calidad de secuestre y se remitieron las diligencias al comitente. Una vez allí, surtido el traslado para que se allegaran pruebas, que pasó en silencio, el Juzgado, con a</w:t>
      </w:r>
      <w:r w:rsidR="00C30E85" w:rsidRPr="00B222BD">
        <w:rPr>
          <w:rFonts w:ascii="Gadugi" w:eastAsia="Times New Roman" w:hAnsi="Gadugi"/>
          <w:sz w:val="24"/>
          <w:szCs w:val="24"/>
          <w:lang w:val="es-MX" w:eastAsia="es-ES"/>
        </w:rPr>
        <w:t xml:space="preserve">uto del 2 de marzo de 2020 declaró fundada la oposición formulada por Renacer Ortiz de la Pava SAS, dispuso el levantamiento de la medida de secuestro y condenó en costas al ejecutante (p. 222, c. </w:t>
      </w:r>
      <w:r w:rsidR="00C05AF7" w:rsidRPr="00B222BD">
        <w:rPr>
          <w:rFonts w:ascii="Gadugi" w:eastAsia="Times New Roman" w:hAnsi="Gadugi"/>
          <w:sz w:val="24"/>
          <w:szCs w:val="24"/>
          <w:lang w:val="es-MX" w:eastAsia="es-ES"/>
        </w:rPr>
        <w:t>2, medidas cautelares</w:t>
      </w:r>
      <w:r w:rsidR="00B94946" w:rsidRPr="00B222BD">
        <w:rPr>
          <w:rFonts w:ascii="Gadugi" w:eastAsia="Times New Roman" w:hAnsi="Gadugi"/>
          <w:sz w:val="24"/>
          <w:szCs w:val="24"/>
          <w:lang w:val="es-MX" w:eastAsia="es-ES"/>
        </w:rPr>
        <w:t>, CD audiencia oposición)</w:t>
      </w:r>
      <w:r w:rsidR="00C05AF7" w:rsidRPr="00B222BD">
        <w:rPr>
          <w:rFonts w:ascii="Gadugi" w:eastAsia="Times New Roman" w:hAnsi="Gadugi"/>
          <w:sz w:val="24"/>
          <w:szCs w:val="24"/>
          <w:lang w:val="es-MX" w:eastAsia="es-ES"/>
        </w:rPr>
        <w:t>.</w:t>
      </w:r>
      <w:r w:rsidR="00C30E85" w:rsidRPr="00B222BD">
        <w:rPr>
          <w:rFonts w:ascii="Gadugi" w:eastAsia="Times New Roman" w:hAnsi="Gadugi"/>
          <w:sz w:val="24"/>
          <w:szCs w:val="24"/>
          <w:lang w:val="es-MX" w:eastAsia="es-ES"/>
        </w:rPr>
        <w:t xml:space="preserve"> </w:t>
      </w:r>
      <w:r w:rsidR="00C05AF7" w:rsidRPr="00B222BD">
        <w:rPr>
          <w:rFonts w:ascii="Gadugi" w:eastAsia="Times New Roman" w:hAnsi="Gadugi"/>
          <w:sz w:val="24"/>
          <w:szCs w:val="24"/>
          <w:lang w:val="es-MX" w:eastAsia="es-ES"/>
        </w:rPr>
        <w:t xml:space="preserve">Para ello, tuvo en cuenta los documentos y el testimonio de </w:t>
      </w:r>
      <w:proofErr w:type="spellStart"/>
      <w:r w:rsidR="00A71E4C" w:rsidRPr="00B222BD">
        <w:rPr>
          <w:rFonts w:ascii="Gadugi" w:eastAsia="Times New Roman" w:hAnsi="Gadugi"/>
          <w:sz w:val="24"/>
          <w:szCs w:val="24"/>
          <w:lang w:val="es-MX" w:eastAsia="es-ES"/>
        </w:rPr>
        <w:t>Y</w:t>
      </w:r>
      <w:r w:rsidR="00C05AF7" w:rsidRPr="00B222BD">
        <w:rPr>
          <w:rFonts w:ascii="Gadugi" w:eastAsia="Times New Roman" w:hAnsi="Gadugi"/>
          <w:sz w:val="24"/>
          <w:szCs w:val="24"/>
          <w:lang w:val="es-MX" w:eastAsia="es-ES"/>
        </w:rPr>
        <w:t>énnifer</w:t>
      </w:r>
      <w:proofErr w:type="spellEnd"/>
      <w:r w:rsidR="00C05AF7" w:rsidRPr="00B222BD">
        <w:rPr>
          <w:rFonts w:ascii="Gadugi" w:eastAsia="Times New Roman" w:hAnsi="Gadugi"/>
          <w:sz w:val="24"/>
          <w:szCs w:val="24"/>
          <w:lang w:val="es-MX" w:eastAsia="es-ES"/>
        </w:rPr>
        <w:t xml:space="preserve"> Bedoya, con los que se probó la posesión en cabeza de la sociedad. </w:t>
      </w:r>
    </w:p>
    <w:p w14:paraId="642C25AB" w14:textId="77777777" w:rsidR="00923857" w:rsidRPr="00B222BD" w:rsidRDefault="00231647" w:rsidP="00B222BD">
      <w:pPr>
        <w:spacing w:after="0" w:line="276" w:lineRule="auto"/>
        <w:ind w:firstLine="2268"/>
        <w:jc w:val="both"/>
        <w:rPr>
          <w:rFonts w:ascii="Gadugi" w:eastAsia="Times New Roman" w:hAnsi="Gadugi"/>
          <w:b/>
          <w:sz w:val="24"/>
          <w:szCs w:val="24"/>
          <w:lang w:eastAsia="es-ES"/>
        </w:rPr>
      </w:pPr>
      <w:r w:rsidRPr="00B222BD">
        <w:rPr>
          <w:rFonts w:ascii="Gadugi" w:eastAsia="Times New Roman" w:hAnsi="Gadugi"/>
          <w:b/>
          <w:sz w:val="24"/>
          <w:szCs w:val="24"/>
          <w:lang w:eastAsia="es-ES"/>
        </w:rPr>
        <w:tab/>
      </w:r>
    </w:p>
    <w:p w14:paraId="0CADFE38" w14:textId="77777777" w:rsidR="000A308D" w:rsidRPr="00B222BD" w:rsidRDefault="008B272D" w:rsidP="00B222BD">
      <w:pPr>
        <w:spacing w:after="0" w:line="276" w:lineRule="auto"/>
        <w:ind w:firstLine="2268"/>
        <w:jc w:val="both"/>
        <w:rPr>
          <w:rFonts w:ascii="Gadugi" w:eastAsia="Times New Roman" w:hAnsi="Gadugi"/>
          <w:sz w:val="24"/>
          <w:szCs w:val="24"/>
          <w:lang w:eastAsia="es-ES"/>
        </w:rPr>
      </w:pPr>
      <w:r w:rsidRPr="00B222BD">
        <w:rPr>
          <w:rFonts w:ascii="Gadugi" w:eastAsia="Times New Roman" w:hAnsi="Gadugi"/>
          <w:b/>
          <w:sz w:val="24"/>
          <w:szCs w:val="24"/>
          <w:lang w:eastAsia="es-ES"/>
        </w:rPr>
        <w:t xml:space="preserve">  </w:t>
      </w:r>
      <w:r w:rsidRPr="00B222BD">
        <w:rPr>
          <w:rFonts w:ascii="Gadugi" w:eastAsia="Times New Roman" w:hAnsi="Gadugi"/>
          <w:b/>
          <w:sz w:val="24"/>
          <w:szCs w:val="24"/>
          <w:lang w:eastAsia="es-ES"/>
        </w:rPr>
        <w:tab/>
      </w:r>
      <w:r w:rsidR="00C30E85" w:rsidRPr="00B222BD">
        <w:rPr>
          <w:rFonts w:ascii="Gadugi" w:eastAsia="Times New Roman" w:hAnsi="Gadugi"/>
          <w:sz w:val="24"/>
          <w:szCs w:val="24"/>
          <w:lang w:eastAsia="es-ES"/>
        </w:rPr>
        <w:t>Apeló el demandante quien redujo su alegación a que, quien se opuso, esto es, Jennifer bedoya, no acreditó ser administradora del establecimiento de comercio donde se realizó la diligencia, ni abogada en ejercicio en representación de la opositora, por lo que no está legitimada en la causa</w:t>
      </w:r>
      <w:r w:rsidR="00C05AF7" w:rsidRPr="00B222BD">
        <w:rPr>
          <w:rFonts w:ascii="Gadugi" w:eastAsia="Times New Roman" w:hAnsi="Gadugi"/>
          <w:sz w:val="24"/>
          <w:szCs w:val="24"/>
          <w:lang w:eastAsia="es-ES"/>
        </w:rPr>
        <w:t xml:space="preserve"> (p. 223, </w:t>
      </w:r>
      <w:proofErr w:type="spellStart"/>
      <w:r w:rsidR="00C05AF7" w:rsidRPr="00B222BD">
        <w:rPr>
          <w:rFonts w:ascii="Gadugi" w:eastAsia="Times New Roman" w:hAnsi="Gadugi"/>
          <w:sz w:val="24"/>
          <w:szCs w:val="24"/>
          <w:lang w:eastAsia="es-ES"/>
        </w:rPr>
        <w:t>ib</w:t>
      </w:r>
      <w:proofErr w:type="spellEnd"/>
      <w:r w:rsidR="00C05AF7" w:rsidRPr="00B222BD">
        <w:rPr>
          <w:rFonts w:ascii="Gadugi" w:eastAsia="Times New Roman" w:hAnsi="Gadugi"/>
          <w:sz w:val="24"/>
          <w:szCs w:val="24"/>
          <w:lang w:eastAsia="es-ES"/>
        </w:rPr>
        <w:t xml:space="preserve">).  </w:t>
      </w:r>
    </w:p>
    <w:p w14:paraId="09FE6FCE" w14:textId="77777777" w:rsidR="000A308D" w:rsidRPr="00B222BD" w:rsidRDefault="000A308D" w:rsidP="00B222BD">
      <w:pPr>
        <w:spacing w:after="0" w:line="276" w:lineRule="auto"/>
        <w:ind w:firstLine="2268"/>
        <w:jc w:val="both"/>
        <w:rPr>
          <w:rFonts w:ascii="Gadugi" w:eastAsia="Times New Roman" w:hAnsi="Gadugi"/>
          <w:b/>
          <w:sz w:val="24"/>
          <w:szCs w:val="24"/>
          <w:lang w:eastAsia="es-ES"/>
        </w:rPr>
      </w:pPr>
    </w:p>
    <w:p w14:paraId="0113F3ED" w14:textId="77777777" w:rsidR="00CF6959" w:rsidRPr="00B222BD" w:rsidRDefault="00CF6959" w:rsidP="00B222BD">
      <w:pPr>
        <w:spacing w:after="0" w:line="276" w:lineRule="auto"/>
        <w:ind w:firstLine="2268"/>
        <w:jc w:val="both"/>
        <w:rPr>
          <w:rFonts w:ascii="Gadugi" w:eastAsia="Times New Roman" w:hAnsi="Gadugi"/>
          <w:sz w:val="24"/>
          <w:szCs w:val="24"/>
          <w:lang w:eastAsia="es-ES"/>
        </w:rPr>
      </w:pPr>
      <w:r w:rsidRPr="00B222BD">
        <w:rPr>
          <w:rFonts w:ascii="Gadugi" w:eastAsia="Times New Roman" w:hAnsi="Gadugi"/>
          <w:b/>
          <w:sz w:val="24"/>
          <w:szCs w:val="24"/>
          <w:lang w:eastAsia="es-ES"/>
        </w:rPr>
        <w:t xml:space="preserve">       </w:t>
      </w:r>
      <w:r w:rsidRPr="00B222BD">
        <w:rPr>
          <w:rFonts w:ascii="Gadugi" w:eastAsia="Times New Roman" w:hAnsi="Gadugi"/>
          <w:sz w:val="24"/>
          <w:szCs w:val="24"/>
          <w:lang w:eastAsia="es-ES"/>
        </w:rPr>
        <w:t xml:space="preserve">Surtidos los traslados respectivos, subió la actuación a esta sede. </w:t>
      </w:r>
    </w:p>
    <w:p w14:paraId="0512515F" w14:textId="77777777" w:rsidR="00CF6959" w:rsidRPr="00B222BD" w:rsidRDefault="00CF6959" w:rsidP="00B222BD">
      <w:pPr>
        <w:spacing w:after="0" w:line="276" w:lineRule="auto"/>
        <w:ind w:firstLine="2268"/>
        <w:jc w:val="both"/>
        <w:rPr>
          <w:rFonts w:ascii="Gadugi" w:eastAsia="Times New Roman" w:hAnsi="Gadugi"/>
          <w:sz w:val="24"/>
          <w:szCs w:val="24"/>
          <w:lang w:eastAsia="es-ES"/>
        </w:rPr>
      </w:pPr>
    </w:p>
    <w:p w14:paraId="2AC8593E" w14:textId="77777777" w:rsidR="00923857" w:rsidRPr="00B222BD" w:rsidRDefault="00923857" w:rsidP="00B222BD">
      <w:pPr>
        <w:pStyle w:val="Prrafodelista"/>
        <w:keepNext/>
        <w:numPr>
          <w:ilvl w:val="0"/>
          <w:numId w:val="5"/>
        </w:numPr>
        <w:tabs>
          <w:tab w:val="left" w:pos="3261"/>
        </w:tabs>
        <w:spacing w:after="0" w:line="276" w:lineRule="auto"/>
        <w:ind w:left="0" w:firstLine="2835"/>
        <w:jc w:val="both"/>
        <w:outlineLvl w:val="0"/>
        <w:rPr>
          <w:rFonts w:ascii="Gadugi" w:eastAsia="Times New Roman" w:hAnsi="Gadugi"/>
          <w:b/>
          <w:bCs/>
          <w:color w:val="000000"/>
          <w:sz w:val="24"/>
          <w:szCs w:val="24"/>
          <w:lang w:val="x-none" w:eastAsia="es-ES"/>
        </w:rPr>
      </w:pPr>
      <w:r w:rsidRPr="00B222BD">
        <w:rPr>
          <w:rFonts w:ascii="Gadugi" w:eastAsia="Times New Roman" w:hAnsi="Gadugi"/>
          <w:b/>
          <w:bCs/>
          <w:color w:val="000000"/>
          <w:sz w:val="24"/>
          <w:szCs w:val="24"/>
          <w:lang w:val="x-none" w:eastAsia="es-ES"/>
        </w:rPr>
        <w:t>CONSIDERACIONES</w:t>
      </w:r>
      <w:r w:rsidR="00254FA1" w:rsidRPr="00B222BD">
        <w:rPr>
          <w:rFonts w:ascii="Gadugi" w:eastAsia="Times New Roman" w:hAnsi="Gadugi"/>
          <w:b/>
          <w:bCs/>
          <w:color w:val="000000"/>
          <w:sz w:val="24"/>
          <w:szCs w:val="24"/>
          <w:lang w:val="es-419" w:eastAsia="es-ES"/>
        </w:rPr>
        <w:t>.</w:t>
      </w:r>
    </w:p>
    <w:p w14:paraId="21CEA9FD" w14:textId="7E787B22" w:rsidR="004D7F65" w:rsidRPr="00B222BD" w:rsidRDefault="00971A47" w:rsidP="00B222BD">
      <w:pPr>
        <w:spacing w:after="0" w:line="276" w:lineRule="auto"/>
        <w:rPr>
          <w:rFonts w:ascii="Gadugi" w:eastAsia="Times New Roman" w:hAnsi="Gadugi"/>
          <w:sz w:val="24"/>
          <w:szCs w:val="24"/>
          <w:lang w:val="es-419" w:eastAsia="es-ES"/>
        </w:rPr>
      </w:pPr>
      <w:r w:rsidRPr="00B222BD">
        <w:rPr>
          <w:rFonts w:ascii="Gadugi" w:eastAsia="Times New Roman" w:hAnsi="Gadugi"/>
          <w:sz w:val="24"/>
          <w:szCs w:val="24"/>
          <w:lang w:val="x-none" w:eastAsia="es-ES"/>
        </w:rPr>
        <w:tab/>
      </w:r>
      <w:r w:rsidRPr="00B222BD">
        <w:rPr>
          <w:rFonts w:ascii="Gadugi" w:eastAsia="Times New Roman" w:hAnsi="Gadugi"/>
          <w:sz w:val="24"/>
          <w:szCs w:val="24"/>
          <w:lang w:val="x-none" w:eastAsia="es-ES"/>
        </w:rPr>
        <w:tab/>
      </w:r>
      <w:r w:rsidRPr="00B222BD">
        <w:rPr>
          <w:rFonts w:ascii="Gadugi" w:eastAsia="Times New Roman" w:hAnsi="Gadugi"/>
          <w:sz w:val="24"/>
          <w:szCs w:val="24"/>
          <w:lang w:val="x-none" w:eastAsia="es-ES"/>
        </w:rPr>
        <w:tab/>
      </w:r>
      <w:r w:rsidRPr="00B222BD">
        <w:rPr>
          <w:rFonts w:ascii="Gadugi" w:eastAsia="Times New Roman" w:hAnsi="Gadugi"/>
          <w:sz w:val="24"/>
          <w:szCs w:val="24"/>
          <w:lang w:val="x-none" w:eastAsia="es-ES"/>
        </w:rPr>
        <w:tab/>
      </w:r>
    </w:p>
    <w:p w14:paraId="105C0A68" w14:textId="77777777" w:rsidR="00FD5425" w:rsidRPr="00B222BD" w:rsidRDefault="00FD5425" w:rsidP="00B222BD">
      <w:pPr>
        <w:pStyle w:val="Prrafodelista"/>
        <w:numPr>
          <w:ilvl w:val="1"/>
          <w:numId w:val="5"/>
        </w:numPr>
        <w:spacing w:after="0" w:line="276" w:lineRule="auto"/>
        <w:ind w:left="0" w:firstLine="2835"/>
        <w:contextualSpacing/>
        <w:jc w:val="both"/>
        <w:rPr>
          <w:rFonts w:ascii="Gadugi" w:hAnsi="Gadugi"/>
          <w:color w:val="000000"/>
          <w:sz w:val="24"/>
          <w:szCs w:val="24"/>
          <w:lang w:val="es-MX"/>
        </w:rPr>
      </w:pPr>
      <w:r w:rsidRPr="00B222BD">
        <w:rPr>
          <w:rFonts w:ascii="Gadugi" w:eastAsia="Times New Roman" w:hAnsi="Gadugi"/>
          <w:sz w:val="24"/>
          <w:szCs w:val="24"/>
          <w:lang w:val="es-419" w:eastAsia="es-ES"/>
        </w:rPr>
        <w:t xml:space="preserve">Es competente esta Sala Unitaria para resolver sobre el recurso de apelación propuesto (arts. 31 y 35 CGP), que, además, es procedente, en los términos del artículo 321-8 del mismo estatuto. </w:t>
      </w:r>
    </w:p>
    <w:p w14:paraId="3607F3CD" w14:textId="34848A0C" w:rsidR="00FD5425" w:rsidRPr="00B222BD" w:rsidRDefault="00FD5425" w:rsidP="00B222BD">
      <w:pPr>
        <w:spacing w:after="0" w:line="276" w:lineRule="auto"/>
        <w:contextualSpacing/>
        <w:jc w:val="both"/>
        <w:rPr>
          <w:rFonts w:ascii="Gadugi" w:hAnsi="Gadugi"/>
          <w:color w:val="000000"/>
          <w:sz w:val="24"/>
          <w:szCs w:val="24"/>
          <w:lang w:val="es-MX"/>
        </w:rPr>
      </w:pPr>
    </w:p>
    <w:p w14:paraId="6A20C5E7" w14:textId="77777777" w:rsidR="00E06E16" w:rsidRPr="00B222BD" w:rsidRDefault="00257D5D" w:rsidP="00B222BD">
      <w:pPr>
        <w:pStyle w:val="Prrafodelista"/>
        <w:numPr>
          <w:ilvl w:val="1"/>
          <w:numId w:val="5"/>
        </w:numPr>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t>Corresponde a la Sala resolver si confirma la decisión de</w:t>
      </w:r>
      <w:r w:rsidR="00E06E16" w:rsidRPr="00B222BD">
        <w:rPr>
          <w:rFonts w:ascii="Gadugi" w:hAnsi="Gadugi"/>
          <w:color w:val="000000"/>
          <w:sz w:val="24"/>
          <w:szCs w:val="24"/>
          <w:lang w:val="es-MX"/>
        </w:rPr>
        <w:t xml:space="preserve"> </w:t>
      </w:r>
      <w:r w:rsidRPr="00B222BD">
        <w:rPr>
          <w:rFonts w:ascii="Gadugi" w:hAnsi="Gadugi"/>
          <w:color w:val="000000"/>
          <w:sz w:val="24"/>
          <w:szCs w:val="24"/>
          <w:lang w:val="es-MX"/>
        </w:rPr>
        <w:t xml:space="preserve">primer grado que dio por sentada la posesión en cabeza de </w:t>
      </w:r>
      <w:r w:rsidR="00E06E16" w:rsidRPr="00B222BD">
        <w:rPr>
          <w:rFonts w:ascii="Gadugi" w:hAnsi="Gadugi"/>
          <w:color w:val="000000"/>
          <w:sz w:val="24"/>
          <w:szCs w:val="24"/>
          <w:lang w:val="es-MX"/>
        </w:rPr>
        <w:t xml:space="preserve">Renacer Ortiz y de la </w:t>
      </w:r>
      <w:r w:rsidR="00E06E16" w:rsidRPr="00B222BD">
        <w:rPr>
          <w:rFonts w:ascii="Gadugi" w:hAnsi="Gadugi"/>
          <w:color w:val="000000"/>
          <w:sz w:val="24"/>
          <w:szCs w:val="24"/>
          <w:lang w:val="es-MX"/>
        </w:rPr>
        <w:lastRenderedPageBreak/>
        <w:t xml:space="preserve">Pava SAS, o si, como afirma el recurrente, quien se opuso no estaba legitimada y, por tanto, debe revocarse. </w:t>
      </w:r>
    </w:p>
    <w:p w14:paraId="0655253C" w14:textId="77777777" w:rsidR="00E06E16" w:rsidRPr="00B222BD" w:rsidRDefault="00E06E16" w:rsidP="00B222BD">
      <w:pPr>
        <w:spacing w:after="0" w:line="276" w:lineRule="auto"/>
        <w:contextualSpacing/>
        <w:jc w:val="both"/>
        <w:rPr>
          <w:rFonts w:ascii="Gadugi" w:hAnsi="Gadugi"/>
          <w:color w:val="000000"/>
          <w:sz w:val="24"/>
          <w:szCs w:val="24"/>
          <w:lang w:val="es-MX"/>
        </w:rPr>
      </w:pPr>
    </w:p>
    <w:p w14:paraId="0B821B02" w14:textId="77777777" w:rsidR="00E06E16" w:rsidRPr="00B222BD" w:rsidRDefault="00E06E16" w:rsidP="00B222BD">
      <w:pPr>
        <w:pStyle w:val="Prrafodelista"/>
        <w:numPr>
          <w:ilvl w:val="1"/>
          <w:numId w:val="5"/>
        </w:numPr>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t xml:space="preserve">Lo primero por resaltar es que, de acuerdo con el artículo 309 del CGP, norma que aplica a la diligencia de secuestro por la remisión que hace el artículo 596 ibídem, puede oponerse a la diligencia de secuestro </w:t>
      </w:r>
      <w:r w:rsidR="0070165A" w:rsidRPr="00B222BD">
        <w:rPr>
          <w:rFonts w:ascii="Gadugi" w:hAnsi="Gadugi"/>
          <w:color w:val="000000"/>
          <w:sz w:val="24"/>
          <w:szCs w:val="24"/>
          <w:lang w:val="es-MX"/>
        </w:rPr>
        <w:t xml:space="preserve">aquel contra quien no </w:t>
      </w:r>
      <w:r w:rsidR="00EC0B49" w:rsidRPr="00B222BD">
        <w:rPr>
          <w:rFonts w:ascii="Gadugi" w:hAnsi="Gadugi"/>
          <w:color w:val="000000"/>
          <w:sz w:val="24"/>
          <w:szCs w:val="24"/>
          <w:lang w:val="es-MX"/>
        </w:rPr>
        <w:t xml:space="preserve">produzca efectos la sentencia, siempre que alegue hechos constitutivos de posesión y presente prueba sumaria que lo demuestre. También puede formular oposición un tenedor que derive sus derechos de un tercero poseedor. </w:t>
      </w:r>
    </w:p>
    <w:p w14:paraId="1952D5A6" w14:textId="77777777" w:rsidR="00EC0B49" w:rsidRPr="00B222BD" w:rsidRDefault="00EC0B49" w:rsidP="00B222BD">
      <w:pPr>
        <w:pStyle w:val="Prrafodelista"/>
        <w:spacing w:line="276" w:lineRule="auto"/>
        <w:rPr>
          <w:rFonts w:ascii="Gadugi" w:hAnsi="Gadugi"/>
          <w:color w:val="000000"/>
          <w:sz w:val="24"/>
          <w:szCs w:val="24"/>
          <w:lang w:val="es-MX"/>
        </w:rPr>
      </w:pPr>
    </w:p>
    <w:p w14:paraId="19DB0471" w14:textId="77777777" w:rsidR="00AA345C" w:rsidRPr="00B222BD" w:rsidRDefault="00EC0B49" w:rsidP="00B222BD">
      <w:pPr>
        <w:pStyle w:val="Prrafodelista"/>
        <w:numPr>
          <w:ilvl w:val="1"/>
          <w:numId w:val="5"/>
        </w:numPr>
        <w:tabs>
          <w:tab w:val="left" w:pos="3402"/>
        </w:tabs>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t xml:space="preserve">Igualmente se recuerda que el artículo 73 del CGP señala que las personas que hayan de comparecer al proceso deberán hacerlo por conducto de abogado legalmente autorizado, excepto en los casos previstos en la ley; mientras que el artículo 54 del mismo estatuto prevé que las personas jurídicas deben comparecer por medio de </w:t>
      </w:r>
      <w:r w:rsidR="00AA345C" w:rsidRPr="00B222BD">
        <w:rPr>
          <w:rFonts w:ascii="Gadugi" w:hAnsi="Gadugi"/>
          <w:color w:val="000000"/>
          <w:sz w:val="24"/>
          <w:szCs w:val="24"/>
          <w:lang w:val="es-MX"/>
        </w:rPr>
        <w:t xml:space="preserve">sus representantes legales. </w:t>
      </w:r>
    </w:p>
    <w:p w14:paraId="0246334E" w14:textId="77777777" w:rsidR="00AA345C" w:rsidRPr="00B222BD" w:rsidRDefault="00AA345C" w:rsidP="00B222BD">
      <w:pPr>
        <w:pStyle w:val="Prrafodelista"/>
        <w:spacing w:line="276" w:lineRule="auto"/>
        <w:rPr>
          <w:rFonts w:ascii="Gadugi" w:hAnsi="Gadugi"/>
          <w:color w:val="000000"/>
          <w:sz w:val="24"/>
          <w:szCs w:val="24"/>
          <w:lang w:val="es-MX"/>
        </w:rPr>
      </w:pPr>
    </w:p>
    <w:p w14:paraId="5A2AD90D" w14:textId="63D8652A" w:rsidR="001A3914" w:rsidRPr="00B222BD" w:rsidRDefault="00AA345C" w:rsidP="00B222BD">
      <w:pPr>
        <w:pStyle w:val="Prrafodelista"/>
        <w:tabs>
          <w:tab w:val="left" w:pos="3402"/>
        </w:tabs>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t xml:space="preserve">Ahora bien, el </w:t>
      </w:r>
      <w:r w:rsidR="00EC0B49" w:rsidRPr="00B222BD">
        <w:rPr>
          <w:rFonts w:ascii="Gadugi" w:hAnsi="Gadugi"/>
          <w:color w:val="000000"/>
          <w:sz w:val="24"/>
          <w:szCs w:val="24"/>
          <w:lang w:val="es-MX"/>
        </w:rPr>
        <w:t>Decreto</w:t>
      </w:r>
      <w:r w:rsidRPr="00B222BD">
        <w:rPr>
          <w:rFonts w:ascii="Gadugi" w:hAnsi="Gadugi"/>
          <w:color w:val="000000"/>
          <w:sz w:val="24"/>
          <w:szCs w:val="24"/>
          <w:lang w:val="es-MX"/>
        </w:rPr>
        <w:t xml:space="preserve"> 196 de 1971, estatuto del ejercicio de la abogacía, enseña en el artículo 25 que nadie puede litigar en causa propia o ajena sin ser abogado inscrito.</w:t>
      </w:r>
      <w:r w:rsidR="001A3914" w:rsidRPr="00B222BD">
        <w:rPr>
          <w:rFonts w:ascii="Gadugi" w:hAnsi="Gadugi"/>
          <w:color w:val="000000"/>
          <w:sz w:val="24"/>
          <w:szCs w:val="24"/>
          <w:lang w:val="es-MX"/>
        </w:rPr>
        <w:t xml:space="preserve"> Pero, trae la normativa unas salvedades en el artículo 28, entre las cuales se permite hacerlo en causa propia, en los actos de oposición </w:t>
      </w:r>
      <w:r w:rsidR="00F65E3D" w:rsidRPr="00B222BD">
        <w:rPr>
          <w:rFonts w:ascii="Gadugi" w:hAnsi="Gadugi"/>
          <w:color w:val="000000"/>
          <w:sz w:val="24"/>
          <w:szCs w:val="24"/>
          <w:lang w:val="es-MX"/>
        </w:rPr>
        <w:t xml:space="preserve">en diligencias judiciales o administrativas, tales como secuestros y entregas. Esto es desarrollo del derecho de postulación que rige en materia procesal. </w:t>
      </w:r>
    </w:p>
    <w:p w14:paraId="38D5BDE3" w14:textId="77777777" w:rsidR="00F65E3D" w:rsidRPr="00B222BD" w:rsidRDefault="00F65E3D" w:rsidP="00B222BD">
      <w:pPr>
        <w:pStyle w:val="Prrafodelista"/>
        <w:tabs>
          <w:tab w:val="left" w:pos="3402"/>
        </w:tabs>
        <w:spacing w:after="0" w:line="276" w:lineRule="auto"/>
        <w:ind w:left="0" w:firstLine="2835"/>
        <w:contextualSpacing/>
        <w:jc w:val="both"/>
        <w:rPr>
          <w:rFonts w:ascii="Gadugi" w:hAnsi="Gadugi"/>
          <w:color w:val="000000"/>
          <w:sz w:val="24"/>
          <w:szCs w:val="24"/>
          <w:lang w:val="es-MX"/>
        </w:rPr>
      </w:pPr>
    </w:p>
    <w:p w14:paraId="7AE28919" w14:textId="77777777" w:rsidR="00F65E3D" w:rsidRPr="00B222BD" w:rsidRDefault="00F65E3D" w:rsidP="00B222BD">
      <w:pPr>
        <w:pStyle w:val="Prrafodelista"/>
        <w:numPr>
          <w:ilvl w:val="1"/>
          <w:numId w:val="5"/>
        </w:numPr>
        <w:tabs>
          <w:tab w:val="left" w:pos="3402"/>
        </w:tabs>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t>Todo esto,</w:t>
      </w:r>
      <w:r w:rsidR="00A61F9F" w:rsidRPr="00B222BD">
        <w:rPr>
          <w:rFonts w:ascii="Gadugi" w:hAnsi="Gadugi"/>
          <w:color w:val="000000"/>
          <w:sz w:val="24"/>
          <w:szCs w:val="24"/>
          <w:lang w:val="es-MX"/>
        </w:rPr>
        <w:t xml:space="preserve"> </w:t>
      </w:r>
      <w:r w:rsidRPr="00B222BD">
        <w:rPr>
          <w:rFonts w:ascii="Gadugi" w:hAnsi="Gadugi"/>
          <w:color w:val="000000"/>
          <w:sz w:val="24"/>
          <w:szCs w:val="24"/>
          <w:lang w:val="es-MX"/>
        </w:rPr>
        <w:t>para descender al caso concreto, en el que se observa lo siguiente:</w:t>
      </w:r>
    </w:p>
    <w:p w14:paraId="5FB289E7" w14:textId="77777777" w:rsidR="00F65E3D" w:rsidRPr="00B222BD" w:rsidRDefault="00F65E3D" w:rsidP="00B222BD">
      <w:pPr>
        <w:pStyle w:val="Prrafodelista"/>
        <w:tabs>
          <w:tab w:val="left" w:pos="3402"/>
        </w:tabs>
        <w:spacing w:after="0" w:line="276" w:lineRule="auto"/>
        <w:ind w:left="3915"/>
        <w:contextualSpacing/>
        <w:jc w:val="both"/>
        <w:rPr>
          <w:rFonts w:ascii="Gadugi" w:hAnsi="Gadugi"/>
          <w:color w:val="000000"/>
          <w:sz w:val="24"/>
          <w:szCs w:val="24"/>
          <w:lang w:val="es-MX"/>
        </w:rPr>
      </w:pPr>
    </w:p>
    <w:p w14:paraId="5F614CA4" w14:textId="77777777" w:rsidR="00F65E3D" w:rsidRPr="00B222BD" w:rsidRDefault="00F65E3D" w:rsidP="00B222BD">
      <w:pPr>
        <w:pStyle w:val="Prrafodelista"/>
        <w:numPr>
          <w:ilvl w:val="0"/>
          <w:numId w:val="7"/>
        </w:numPr>
        <w:tabs>
          <w:tab w:val="left" w:pos="3119"/>
        </w:tabs>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t xml:space="preserve">El Juzgado Sexto Civil Municipal de Pereira, llevó a cabo la diligencia de secuestro que le fue delegada por el Quinto Civil del Circuito, el 5 de julio de 2019 (p. 188, archivo despacho comisorio). </w:t>
      </w:r>
    </w:p>
    <w:p w14:paraId="32C614BC" w14:textId="77777777" w:rsidR="00F65E3D" w:rsidRPr="00B222BD" w:rsidRDefault="00F65E3D" w:rsidP="00B222BD">
      <w:pPr>
        <w:tabs>
          <w:tab w:val="left" w:pos="3119"/>
        </w:tabs>
        <w:spacing w:after="0" w:line="276" w:lineRule="auto"/>
        <w:ind w:firstLine="2835"/>
        <w:contextualSpacing/>
        <w:jc w:val="both"/>
        <w:rPr>
          <w:rFonts w:ascii="Gadugi" w:hAnsi="Gadugi"/>
          <w:color w:val="000000"/>
          <w:sz w:val="24"/>
          <w:szCs w:val="24"/>
          <w:lang w:val="es-MX"/>
        </w:rPr>
      </w:pPr>
    </w:p>
    <w:p w14:paraId="74162C03" w14:textId="77777777" w:rsidR="00A61F9F" w:rsidRPr="00B222BD" w:rsidRDefault="00F65E3D" w:rsidP="00B222BD">
      <w:pPr>
        <w:pStyle w:val="Prrafodelista"/>
        <w:numPr>
          <w:ilvl w:val="0"/>
          <w:numId w:val="7"/>
        </w:numPr>
        <w:tabs>
          <w:tab w:val="left" w:pos="3119"/>
        </w:tabs>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t xml:space="preserve">Allí estuvo presente </w:t>
      </w:r>
      <w:proofErr w:type="spellStart"/>
      <w:r w:rsidRPr="00B222BD">
        <w:rPr>
          <w:rFonts w:ascii="Gadugi" w:hAnsi="Gadugi"/>
          <w:color w:val="000000"/>
          <w:sz w:val="24"/>
          <w:szCs w:val="24"/>
          <w:lang w:val="es-MX"/>
        </w:rPr>
        <w:t>Yénnifer</w:t>
      </w:r>
      <w:proofErr w:type="spellEnd"/>
      <w:r w:rsidRPr="00B222BD">
        <w:rPr>
          <w:rFonts w:ascii="Gadugi" w:hAnsi="Gadugi"/>
          <w:color w:val="000000"/>
          <w:sz w:val="24"/>
          <w:szCs w:val="24"/>
          <w:lang w:val="es-MX"/>
        </w:rPr>
        <w:t xml:space="preserve"> Alejandra Bedoya Guarín, quien dijo ser la administradora </w:t>
      </w:r>
      <w:r w:rsidR="00A61F9F" w:rsidRPr="00B222BD">
        <w:rPr>
          <w:rFonts w:ascii="Gadugi" w:hAnsi="Gadugi"/>
          <w:color w:val="000000"/>
          <w:sz w:val="24"/>
          <w:szCs w:val="24"/>
          <w:lang w:val="es-MX"/>
        </w:rPr>
        <w:t xml:space="preserve">o jefe de personal </w:t>
      </w:r>
      <w:r w:rsidRPr="00B222BD">
        <w:rPr>
          <w:rFonts w:ascii="Gadugi" w:hAnsi="Gadugi"/>
          <w:color w:val="000000"/>
          <w:sz w:val="24"/>
          <w:szCs w:val="24"/>
          <w:lang w:val="es-MX"/>
        </w:rPr>
        <w:t xml:space="preserve">del establecimiento de comercio Adriana Ossa y, según el acta, tras aportar un certificado de existencia y representación de la sociedad Renacer Ortiz y de la Pava SAS, afirmó que cuanto había allí </w:t>
      </w:r>
      <w:r w:rsidR="00A61F9F" w:rsidRPr="00B222BD">
        <w:rPr>
          <w:rFonts w:ascii="Gadugi" w:hAnsi="Gadugi"/>
          <w:color w:val="000000"/>
          <w:sz w:val="24"/>
          <w:szCs w:val="24"/>
          <w:lang w:val="es-MX"/>
        </w:rPr>
        <w:t>era de Teresa Ortiz Ospina, quien tiene sociedad con Sandra de la Pava, no de la demandada.</w:t>
      </w:r>
    </w:p>
    <w:p w14:paraId="11A36661" w14:textId="77777777" w:rsidR="00A61F9F" w:rsidRPr="00B222BD" w:rsidRDefault="00A61F9F" w:rsidP="00B222BD">
      <w:pPr>
        <w:pStyle w:val="Prrafodelista"/>
        <w:spacing w:line="276" w:lineRule="auto"/>
        <w:rPr>
          <w:rFonts w:ascii="Gadugi" w:hAnsi="Gadugi"/>
          <w:color w:val="000000"/>
          <w:sz w:val="24"/>
          <w:szCs w:val="24"/>
          <w:lang w:val="es-MX"/>
        </w:rPr>
      </w:pPr>
    </w:p>
    <w:p w14:paraId="449B514F" w14:textId="77777777" w:rsidR="00A61F9F" w:rsidRPr="00B222BD" w:rsidRDefault="00A61F9F" w:rsidP="00B222BD">
      <w:pPr>
        <w:pStyle w:val="Prrafodelista"/>
        <w:numPr>
          <w:ilvl w:val="0"/>
          <w:numId w:val="7"/>
        </w:numPr>
        <w:tabs>
          <w:tab w:val="left" w:pos="3119"/>
        </w:tabs>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t xml:space="preserve">Entendió el comisionado que se trataba de una oposición y, en consecuencia, tuvo como pruebas los documentos que le aportaron y el </w:t>
      </w:r>
      <w:r w:rsidRPr="00B222BD">
        <w:rPr>
          <w:rFonts w:ascii="Gadugi" w:hAnsi="Gadugi"/>
          <w:i/>
          <w:color w:val="000000"/>
          <w:sz w:val="24"/>
          <w:szCs w:val="24"/>
          <w:lang w:val="es-MX"/>
        </w:rPr>
        <w:t xml:space="preserve">“testimonio” </w:t>
      </w:r>
      <w:r w:rsidRPr="00B222BD">
        <w:rPr>
          <w:rFonts w:ascii="Gadugi" w:hAnsi="Gadugi"/>
          <w:color w:val="000000"/>
          <w:sz w:val="24"/>
          <w:szCs w:val="24"/>
          <w:lang w:val="es-MX"/>
        </w:rPr>
        <w:t xml:space="preserve">que recaudó de la misma, al final de lo cual concluyó que los bienes sobre los que habría de recaer el secuestro hacen parte integral del aludido establecimiento </w:t>
      </w:r>
      <w:r w:rsidRPr="00B222BD">
        <w:rPr>
          <w:rFonts w:ascii="Gadugi" w:hAnsi="Gadugi"/>
          <w:color w:val="000000"/>
          <w:sz w:val="24"/>
          <w:szCs w:val="24"/>
          <w:lang w:val="es-MX"/>
        </w:rPr>
        <w:lastRenderedPageBreak/>
        <w:t xml:space="preserve">y no hay ninguna prueba que dé cuenta de su propiedad en cabeza de Adriana María Ossa Ortiz; así que aceptó la oposición. </w:t>
      </w:r>
    </w:p>
    <w:p w14:paraId="158B14C6" w14:textId="77777777" w:rsidR="00A61F9F" w:rsidRPr="00B222BD" w:rsidRDefault="00A61F9F" w:rsidP="00B222BD">
      <w:pPr>
        <w:pStyle w:val="Prrafodelista"/>
        <w:spacing w:line="276" w:lineRule="auto"/>
        <w:rPr>
          <w:rFonts w:ascii="Gadugi" w:hAnsi="Gadugi"/>
          <w:color w:val="000000"/>
          <w:sz w:val="24"/>
          <w:szCs w:val="24"/>
          <w:lang w:val="es-MX"/>
        </w:rPr>
      </w:pPr>
    </w:p>
    <w:p w14:paraId="13A8B7F0" w14:textId="77777777" w:rsidR="00103B79" w:rsidRPr="00B222BD" w:rsidRDefault="00A61F9F" w:rsidP="00B222BD">
      <w:pPr>
        <w:pStyle w:val="Prrafodelista"/>
        <w:numPr>
          <w:ilvl w:val="0"/>
          <w:numId w:val="7"/>
        </w:numPr>
        <w:tabs>
          <w:tab w:val="left" w:pos="3119"/>
        </w:tabs>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t xml:space="preserve">Ante la insistencia del ejecutante, remitió las diligencias al comitente, donde se surtió el traslado </w:t>
      </w:r>
      <w:r w:rsidR="00103B79" w:rsidRPr="00B222BD">
        <w:rPr>
          <w:rFonts w:ascii="Gadugi" w:hAnsi="Gadugi"/>
          <w:color w:val="000000"/>
          <w:sz w:val="24"/>
          <w:szCs w:val="24"/>
          <w:lang w:val="es-MX"/>
        </w:rPr>
        <w:t xml:space="preserve">para que se aportaran pruebas, según consta en la página 220 del cuaderno de medidas cautelares; se convocó a audiencia para resolver definitivamente la oposición y el 2 de marzo de 2020 se declaró fundada y se levantó la medida de secuestro, decisión apelada por el </w:t>
      </w:r>
      <w:r w:rsidR="005D7E5F" w:rsidRPr="00B222BD">
        <w:rPr>
          <w:rFonts w:ascii="Gadugi" w:hAnsi="Gadugi"/>
          <w:color w:val="000000"/>
          <w:sz w:val="24"/>
          <w:szCs w:val="24"/>
          <w:lang w:val="es-MX"/>
        </w:rPr>
        <w:t xml:space="preserve">demandante </w:t>
      </w:r>
      <w:r w:rsidR="00103B79" w:rsidRPr="00B222BD">
        <w:rPr>
          <w:rFonts w:ascii="Gadugi" w:hAnsi="Gadugi"/>
          <w:color w:val="000000"/>
          <w:sz w:val="24"/>
          <w:szCs w:val="24"/>
          <w:lang w:val="es-MX"/>
        </w:rPr>
        <w:t>que, como viene de decirse, aduce falta de legitimación en la causa en la opositora.</w:t>
      </w:r>
    </w:p>
    <w:p w14:paraId="4AA53B04" w14:textId="77777777" w:rsidR="00103B79" w:rsidRPr="00B222BD" w:rsidRDefault="00103B79" w:rsidP="00B222BD">
      <w:pPr>
        <w:pStyle w:val="Prrafodelista"/>
        <w:spacing w:line="276" w:lineRule="auto"/>
        <w:rPr>
          <w:rFonts w:ascii="Gadugi" w:hAnsi="Gadugi"/>
          <w:color w:val="000000"/>
          <w:sz w:val="24"/>
          <w:szCs w:val="24"/>
          <w:lang w:val="es-MX"/>
        </w:rPr>
      </w:pPr>
    </w:p>
    <w:p w14:paraId="3FD5F792" w14:textId="77777777" w:rsidR="00F65E3D" w:rsidRPr="00B222BD" w:rsidRDefault="00103B79" w:rsidP="00B222BD">
      <w:pPr>
        <w:pStyle w:val="Prrafodelista"/>
        <w:numPr>
          <w:ilvl w:val="0"/>
          <w:numId w:val="7"/>
        </w:numPr>
        <w:tabs>
          <w:tab w:val="left" w:pos="3119"/>
        </w:tabs>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t xml:space="preserve">La funcionaria </w:t>
      </w:r>
      <w:r w:rsidR="00FC185A" w:rsidRPr="00B222BD">
        <w:rPr>
          <w:rFonts w:ascii="Gadugi" w:hAnsi="Gadugi"/>
          <w:color w:val="000000"/>
          <w:sz w:val="24"/>
          <w:szCs w:val="24"/>
          <w:lang w:val="es-MX"/>
        </w:rPr>
        <w:t xml:space="preserve">hizo énfasis en que la propiedad en casos como estos pasa a un segundo plano, por cuanto lo que debe definirse es si el opositor es o no poseedor; y </w:t>
      </w:r>
      <w:r w:rsidRPr="00B222BD">
        <w:rPr>
          <w:rFonts w:ascii="Gadugi" w:hAnsi="Gadugi"/>
          <w:color w:val="000000"/>
          <w:sz w:val="24"/>
          <w:szCs w:val="24"/>
          <w:lang w:val="es-MX"/>
        </w:rPr>
        <w:t>con sustento en los documentos y el testimonio que se recogieron durante la diligencia, dio por sentada la posesión que ejercía sobre los bienes la sociedad opositora Renacer Ortiz de la Pava SAS</w:t>
      </w:r>
      <w:r w:rsidR="00FC185A" w:rsidRPr="00B222BD">
        <w:rPr>
          <w:rFonts w:ascii="Gadugi" w:hAnsi="Gadugi"/>
          <w:color w:val="000000"/>
          <w:sz w:val="24"/>
          <w:szCs w:val="24"/>
          <w:lang w:val="es-MX"/>
        </w:rPr>
        <w:t>.</w:t>
      </w:r>
    </w:p>
    <w:p w14:paraId="0E878431" w14:textId="77777777" w:rsidR="00FC185A" w:rsidRPr="00B222BD" w:rsidRDefault="00FC185A" w:rsidP="00B222BD">
      <w:pPr>
        <w:pStyle w:val="Prrafodelista"/>
        <w:spacing w:line="276" w:lineRule="auto"/>
        <w:rPr>
          <w:rFonts w:ascii="Gadugi" w:hAnsi="Gadugi"/>
          <w:color w:val="000000"/>
          <w:sz w:val="24"/>
          <w:szCs w:val="24"/>
          <w:lang w:val="es-MX"/>
        </w:rPr>
      </w:pPr>
    </w:p>
    <w:p w14:paraId="7FE711B5" w14:textId="77777777" w:rsidR="00110A28" w:rsidRPr="00B222BD" w:rsidRDefault="00FC185A" w:rsidP="00B222BD">
      <w:pPr>
        <w:pStyle w:val="Prrafodelista"/>
        <w:numPr>
          <w:ilvl w:val="0"/>
          <w:numId w:val="7"/>
        </w:numPr>
        <w:tabs>
          <w:tab w:val="left" w:pos="3119"/>
        </w:tabs>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t>Quien dijo ser opositora aportó, durante la diligencia, un certificado de existencia y representación de Renacer Ortiz &amp; de la Pava SAS, cuyo representante legal principal es Sandra de la Pava Botero</w:t>
      </w:r>
      <w:r w:rsidR="00110A28" w:rsidRPr="00B222BD">
        <w:rPr>
          <w:rFonts w:ascii="Gadugi" w:hAnsi="Gadugi"/>
          <w:color w:val="000000"/>
          <w:sz w:val="24"/>
          <w:szCs w:val="24"/>
          <w:lang w:val="es-MX"/>
        </w:rPr>
        <w:t>, y su suplente es Teresa Ortiz Ospina. Reza ese documento, además, que la sociedad es propietaria del establecimiento de comercio denominado Adriana Ossa.</w:t>
      </w:r>
    </w:p>
    <w:p w14:paraId="5E9F38A6" w14:textId="77777777" w:rsidR="00110A28" w:rsidRPr="00B222BD" w:rsidRDefault="00110A28" w:rsidP="00B222BD">
      <w:pPr>
        <w:pStyle w:val="Prrafodelista"/>
        <w:spacing w:line="276" w:lineRule="auto"/>
        <w:rPr>
          <w:rFonts w:ascii="Gadugi" w:hAnsi="Gadugi"/>
          <w:color w:val="000000"/>
          <w:sz w:val="24"/>
          <w:szCs w:val="24"/>
          <w:lang w:val="es-MX"/>
        </w:rPr>
      </w:pPr>
    </w:p>
    <w:p w14:paraId="1D4D27BA" w14:textId="77777777" w:rsidR="00926538" w:rsidRPr="00B222BD" w:rsidRDefault="00110A28" w:rsidP="00B222BD">
      <w:pPr>
        <w:pStyle w:val="Prrafodelista"/>
        <w:tabs>
          <w:tab w:val="left" w:pos="3119"/>
        </w:tabs>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t>Puestas las cosas así, surge una contradicción entre lo que resolvió el comisionado y lo que luego concluyó el comitente</w:t>
      </w:r>
      <w:r w:rsidR="00926538" w:rsidRPr="00B222BD">
        <w:rPr>
          <w:rFonts w:ascii="Gadugi" w:hAnsi="Gadugi"/>
          <w:color w:val="000000"/>
          <w:sz w:val="24"/>
          <w:szCs w:val="24"/>
          <w:lang w:val="es-MX"/>
        </w:rPr>
        <w:t>, en la medida en que aquel nunca hizo mención a que la oposición proviniera de un tercero poseedor, menos de un tenedor a nombre de aquel; simplemente señaló que no tenía ninguna prueba de que los bienes que iba a aprisionar fueran de propiedad de la demandada</w:t>
      </w:r>
      <w:r w:rsidR="005D7E5F" w:rsidRPr="00B222BD">
        <w:rPr>
          <w:rFonts w:ascii="Gadugi" w:hAnsi="Gadugi"/>
          <w:color w:val="000000"/>
          <w:sz w:val="24"/>
          <w:szCs w:val="24"/>
          <w:lang w:val="es-MX"/>
        </w:rPr>
        <w:t xml:space="preserve"> y</w:t>
      </w:r>
      <w:r w:rsidR="00926538" w:rsidRPr="00B222BD">
        <w:rPr>
          <w:rFonts w:ascii="Gadugi" w:hAnsi="Gadugi"/>
          <w:color w:val="000000"/>
          <w:sz w:val="24"/>
          <w:szCs w:val="24"/>
          <w:lang w:val="es-MX"/>
        </w:rPr>
        <w:t xml:space="preserve"> que todo apuntaba a que lo eran de la sociedad Renacer Ortiz &amp; de la Pava SAS. Por el contrario, la comitente partió de una premisa: que la propiedad no interesaba y que solo había que establecer quién era el poseedor de los bienes, así que</w:t>
      </w:r>
      <w:r w:rsidR="00C4604C" w:rsidRPr="00B222BD">
        <w:rPr>
          <w:rFonts w:ascii="Gadugi" w:hAnsi="Gadugi"/>
          <w:color w:val="000000"/>
          <w:sz w:val="24"/>
          <w:szCs w:val="24"/>
          <w:lang w:val="es-MX"/>
        </w:rPr>
        <w:t>,</w:t>
      </w:r>
      <w:r w:rsidR="00926538" w:rsidRPr="00B222BD">
        <w:rPr>
          <w:rFonts w:ascii="Gadugi" w:hAnsi="Gadugi"/>
          <w:color w:val="000000"/>
          <w:sz w:val="24"/>
          <w:szCs w:val="24"/>
          <w:lang w:val="es-MX"/>
        </w:rPr>
        <w:t xml:space="preserve"> bajo ese entendido</w:t>
      </w:r>
      <w:r w:rsidR="00C4604C" w:rsidRPr="00B222BD">
        <w:rPr>
          <w:rFonts w:ascii="Gadugi" w:hAnsi="Gadugi"/>
          <w:color w:val="000000"/>
          <w:sz w:val="24"/>
          <w:szCs w:val="24"/>
          <w:lang w:val="es-MX"/>
        </w:rPr>
        <w:t>,</w:t>
      </w:r>
      <w:r w:rsidR="00926538" w:rsidRPr="00B222BD">
        <w:rPr>
          <w:rFonts w:ascii="Gadugi" w:hAnsi="Gadugi"/>
          <w:color w:val="000000"/>
          <w:sz w:val="24"/>
          <w:szCs w:val="24"/>
          <w:lang w:val="es-MX"/>
        </w:rPr>
        <w:t xml:space="preserve"> le puso fin a la discusión. </w:t>
      </w:r>
    </w:p>
    <w:p w14:paraId="33F9C1DE" w14:textId="77777777" w:rsidR="00926538" w:rsidRPr="00B222BD" w:rsidRDefault="00926538" w:rsidP="00B222BD">
      <w:pPr>
        <w:pStyle w:val="Prrafodelista"/>
        <w:tabs>
          <w:tab w:val="left" w:pos="3119"/>
        </w:tabs>
        <w:spacing w:after="0" w:line="276" w:lineRule="auto"/>
        <w:ind w:left="0" w:firstLine="2835"/>
        <w:contextualSpacing/>
        <w:jc w:val="both"/>
        <w:rPr>
          <w:rFonts w:ascii="Gadugi" w:hAnsi="Gadugi"/>
          <w:color w:val="000000"/>
          <w:sz w:val="24"/>
          <w:szCs w:val="24"/>
          <w:lang w:val="es-MX"/>
        </w:rPr>
      </w:pPr>
    </w:p>
    <w:p w14:paraId="0F8F3D70" w14:textId="6C6051A5" w:rsidR="00926538" w:rsidRPr="00B222BD" w:rsidRDefault="00926538" w:rsidP="00B222BD">
      <w:pPr>
        <w:pStyle w:val="Prrafodelista"/>
        <w:tabs>
          <w:tab w:val="left" w:pos="3119"/>
        </w:tabs>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t>Desde esta doble perspectiva, la Sala se aparta de la apreciación que tuvieron ambos funcionarios. El comisionado, porque, en realidad no hubo una verdadera oposición de un poseedor o de un tenedor por cuenta de un poseedor; lo que se</w:t>
      </w:r>
      <w:r w:rsidR="005D7E5F" w:rsidRPr="00B222BD">
        <w:rPr>
          <w:rFonts w:ascii="Gadugi" w:hAnsi="Gadugi"/>
          <w:color w:val="000000"/>
          <w:sz w:val="24"/>
          <w:szCs w:val="24"/>
          <w:lang w:val="es-MX"/>
        </w:rPr>
        <w:t xml:space="preserve"> </w:t>
      </w:r>
      <w:r w:rsidRPr="00B222BD">
        <w:rPr>
          <w:rFonts w:ascii="Gadugi" w:hAnsi="Gadugi"/>
          <w:color w:val="000000"/>
          <w:sz w:val="24"/>
          <w:szCs w:val="24"/>
          <w:lang w:val="es-MX"/>
        </w:rPr>
        <w:t>le estaba poniendo de presente era que los bienes no eran de propiedad de la demand</w:t>
      </w:r>
      <w:r w:rsidR="00641859">
        <w:rPr>
          <w:rFonts w:ascii="Gadugi" w:hAnsi="Gadugi"/>
          <w:color w:val="000000"/>
          <w:sz w:val="24"/>
          <w:szCs w:val="24"/>
          <w:lang w:val="es-MX"/>
        </w:rPr>
        <w:t>ad</w:t>
      </w:r>
      <w:r w:rsidRPr="00B222BD">
        <w:rPr>
          <w:rFonts w:ascii="Gadugi" w:hAnsi="Gadugi"/>
          <w:color w:val="000000"/>
          <w:sz w:val="24"/>
          <w:szCs w:val="24"/>
          <w:lang w:val="es-MX"/>
        </w:rPr>
        <w:t>a y fue lo que a la postre aceptó</w:t>
      </w:r>
      <w:r w:rsidR="005D7E5F" w:rsidRPr="00B222BD">
        <w:rPr>
          <w:rFonts w:ascii="Gadugi" w:hAnsi="Gadugi"/>
          <w:color w:val="000000"/>
          <w:sz w:val="24"/>
          <w:szCs w:val="24"/>
          <w:lang w:val="es-MX"/>
        </w:rPr>
        <w:t>; y, si</w:t>
      </w:r>
      <w:r w:rsidR="00CB040A" w:rsidRPr="00B222BD">
        <w:rPr>
          <w:rFonts w:ascii="Gadugi" w:hAnsi="Gadugi"/>
          <w:color w:val="000000"/>
          <w:sz w:val="24"/>
          <w:szCs w:val="24"/>
          <w:lang w:val="es-MX"/>
        </w:rPr>
        <w:t>n</w:t>
      </w:r>
      <w:r w:rsidR="005D7E5F" w:rsidRPr="00B222BD">
        <w:rPr>
          <w:rFonts w:ascii="Gadugi" w:hAnsi="Gadugi"/>
          <w:color w:val="000000"/>
          <w:sz w:val="24"/>
          <w:szCs w:val="24"/>
          <w:lang w:val="es-MX"/>
        </w:rPr>
        <w:t xml:space="preserve"> embargo</w:t>
      </w:r>
      <w:r w:rsidR="00CB040A" w:rsidRPr="00B222BD">
        <w:rPr>
          <w:rFonts w:ascii="Gadugi" w:hAnsi="Gadugi"/>
          <w:color w:val="000000"/>
          <w:sz w:val="24"/>
          <w:szCs w:val="24"/>
          <w:lang w:val="es-MX"/>
        </w:rPr>
        <w:t>,</w:t>
      </w:r>
      <w:r w:rsidR="005D7E5F" w:rsidRPr="00B222BD">
        <w:rPr>
          <w:rFonts w:ascii="Gadugi" w:hAnsi="Gadugi"/>
          <w:color w:val="000000"/>
          <w:sz w:val="24"/>
          <w:szCs w:val="24"/>
          <w:lang w:val="es-MX"/>
        </w:rPr>
        <w:t xml:space="preserve"> acabó dándole el tratamiento de una oposición</w:t>
      </w:r>
      <w:r w:rsidRPr="00B222BD">
        <w:rPr>
          <w:rFonts w:ascii="Gadugi" w:hAnsi="Gadugi"/>
          <w:color w:val="000000"/>
          <w:sz w:val="24"/>
          <w:szCs w:val="24"/>
          <w:lang w:val="es-MX"/>
        </w:rPr>
        <w:t xml:space="preserve">. </w:t>
      </w:r>
    </w:p>
    <w:p w14:paraId="0534B8B9" w14:textId="77777777" w:rsidR="00926538" w:rsidRPr="00B222BD" w:rsidRDefault="00926538" w:rsidP="00B222BD">
      <w:pPr>
        <w:pStyle w:val="Prrafodelista"/>
        <w:tabs>
          <w:tab w:val="left" w:pos="3119"/>
        </w:tabs>
        <w:spacing w:after="0" w:line="276" w:lineRule="auto"/>
        <w:ind w:left="0" w:firstLine="2835"/>
        <w:contextualSpacing/>
        <w:jc w:val="both"/>
        <w:rPr>
          <w:rFonts w:ascii="Gadugi" w:hAnsi="Gadugi"/>
          <w:color w:val="000000"/>
          <w:sz w:val="24"/>
          <w:szCs w:val="24"/>
          <w:lang w:val="es-MX"/>
        </w:rPr>
      </w:pPr>
    </w:p>
    <w:p w14:paraId="529F4C2D" w14:textId="77777777" w:rsidR="00650C5E" w:rsidRPr="00B222BD" w:rsidRDefault="00926538" w:rsidP="00B222BD">
      <w:pPr>
        <w:pStyle w:val="Prrafodelista"/>
        <w:tabs>
          <w:tab w:val="left" w:pos="3119"/>
        </w:tabs>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lastRenderedPageBreak/>
        <w:t xml:space="preserve">Y la comitente, por cuanto, sin parar mientes en eso, le dio al trámite adicional previsto en los numerales 6 y 7 del artículo 309 del CGP un alcance diverso, en </w:t>
      </w:r>
      <w:r w:rsidR="00C4604C" w:rsidRPr="00B222BD">
        <w:rPr>
          <w:rFonts w:ascii="Gadugi" w:hAnsi="Gadugi"/>
          <w:color w:val="000000"/>
          <w:sz w:val="24"/>
          <w:szCs w:val="24"/>
          <w:lang w:val="es-MX"/>
        </w:rPr>
        <w:t>cuanto</w:t>
      </w:r>
      <w:r w:rsidRPr="00B222BD">
        <w:rPr>
          <w:rFonts w:ascii="Gadugi" w:hAnsi="Gadugi"/>
          <w:color w:val="000000"/>
          <w:sz w:val="24"/>
          <w:szCs w:val="24"/>
          <w:lang w:val="es-MX"/>
        </w:rPr>
        <w:t>, se insiste, en la diligencia no se reconoció la posesión de la sociedad</w:t>
      </w:r>
      <w:r w:rsidR="00650C5E" w:rsidRPr="00B222BD">
        <w:rPr>
          <w:rFonts w:ascii="Gadugi" w:hAnsi="Gadugi"/>
          <w:color w:val="000000"/>
          <w:sz w:val="24"/>
          <w:szCs w:val="24"/>
          <w:lang w:val="es-MX"/>
        </w:rPr>
        <w:t xml:space="preserve"> mencionada, sino que no había prueba de la propiedad de los bienes en cabeza de Adriana Ossa, por lo que ese trámite se advertía inadecuado, si bien su propósito es decantar </w:t>
      </w:r>
      <w:r w:rsidR="00DA7668" w:rsidRPr="00B222BD">
        <w:rPr>
          <w:rFonts w:ascii="Gadugi" w:hAnsi="Gadugi"/>
          <w:color w:val="000000"/>
          <w:sz w:val="24"/>
          <w:szCs w:val="24"/>
          <w:lang w:val="es-MX"/>
        </w:rPr>
        <w:t>la posesión del opositor</w:t>
      </w:r>
      <w:r w:rsidR="00650C5E" w:rsidRPr="00B222BD">
        <w:rPr>
          <w:rFonts w:ascii="Gadugi" w:hAnsi="Gadugi"/>
          <w:color w:val="000000"/>
          <w:sz w:val="24"/>
          <w:szCs w:val="24"/>
          <w:lang w:val="es-MX"/>
        </w:rPr>
        <w:t xml:space="preserve">, como se </w:t>
      </w:r>
      <w:r w:rsidR="00DA7668" w:rsidRPr="00B222BD">
        <w:rPr>
          <w:rFonts w:ascii="Gadugi" w:hAnsi="Gadugi"/>
          <w:color w:val="000000"/>
          <w:sz w:val="24"/>
          <w:szCs w:val="24"/>
          <w:lang w:val="es-MX"/>
        </w:rPr>
        <w:t xml:space="preserve">insinuó </w:t>
      </w:r>
      <w:r w:rsidR="00650C5E" w:rsidRPr="00B222BD">
        <w:rPr>
          <w:rFonts w:ascii="Gadugi" w:hAnsi="Gadugi"/>
          <w:color w:val="000000"/>
          <w:sz w:val="24"/>
          <w:szCs w:val="24"/>
          <w:lang w:val="es-MX"/>
        </w:rPr>
        <w:t xml:space="preserve">durante la audiencia. </w:t>
      </w:r>
    </w:p>
    <w:p w14:paraId="443A3250" w14:textId="77777777" w:rsidR="00650C5E" w:rsidRPr="00B222BD" w:rsidRDefault="00650C5E" w:rsidP="00B222BD">
      <w:pPr>
        <w:pStyle w:val="Prrafodelista"/>
        <w:tabs>
          <w:tab w:val="left" w:pos="3119"/>
        </w:tabs>
        <w:spacing w:after="0" w:line="276" w:lineRule="auto"/>
        <w:ind w:left="0" w:firstLine="2835"/>
        <w:contextualSpacing/>
        <w:jc w:val="both"/>
        <w:rPr>
          <w:rFonts w:ascii="Gadugi" w:hAnsi="Gadugi"/>
          <w:color w:val="000000"/>
          <w:sz w:val="24"/>
          <w:szCs w:val="24"/>
          <w:lang w:val="es-MX"/>
        </w:rPr>
      </w:pPr>
    </w:p>
    <w:p w14:paraId="07A90A59" w14:textId="77777777" w:rsidR="00650C5E" w:rsidRPr="00B222BD" w:rsidRDefault="00650C5E" w:rsidP="00B222BD">
      <w:pPr>
        <w:pStyle w:val="Prrafodelista"/>
        <w:tabs>
          <w:tab w:val="left" w:pos="3119"/>
        </w:tabs>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t xml:space="preserve">En todo caso, como ambos funcionarios admitieron que se trataba de una oposición, pasaron por alto que quien podía formularla era un poseedor o un tenedor a nombre de un tercero poseedor, por supuesto legitimados para hacerlo directamente o, al menos, acreditando el derecho de postulación. </w:t>
      </w:r>
    </w:p>
    <w:p w14:paraId="7AFE9F4B" w14:textId="77777777" w:rsidR="00650C5E" w:rsidRPr="00B222BD" w:rsidRDefault="00650C5E" w:rsidP="00B222BD">
      <w:pPr>
        <w:pStyle w:val="Prrafodelista"/>
        <w:tabs>
          <w:tab w:val="left" w:pos="3119"/>
        </w:tabs>
        <w:spacing w:after="0" w:line="276" w:lineRule="auto"/>
        <w:ind w:left="0" w:firstLine="2835"/>
        <w:contextualSpacing/>
        <w:jc w:val="both"/>
        <w:rPr>
          <w:rFonts w:ascii="Gadugi" w:hAnsi="Gadugi"/>
          <w:color w:val="000000"/>
          <w:sz w:val="24"/>
          <w:szCs w:val="24"/>
          <w:lang w:val="es-MX"/>
        </w:rPr>
      </w:pPr>
    </w:p>
    <w:p w14:paraId="1531EB79" w14:textId="77777777" w:rsidR="00650C5E" w:rsidRPr="00B222BD" w:rsidRDefault="00650C5E" w:rsidP="00B222BD">
      <w:pPr>
        <w:pStyle w:val="Prrafodelista"/>
        <w:tabs>
          <w:tab w:val="left" w:pos="3119"/>
        </w:tabs>
        <w:spacing w:after="0" w:line="276" w:lineRule="auto"/>
        <w:ind w:left="0" w:firstLine="2835"/>
        <w:contextualSpacing/>
        <w:jc w:val="both"/>
        <w:rPr>
          <w:rFonts w:ascii="Gadugi" w:hAnsi="Gadugi"/>
          <w:color w:val="000000"/>
          <w:sz w:val="24"/>
          <w:szCs w:val="24"/>
          <w:lang w:val="es-MX"/>
        </w:rPr>
      </w:pPr>
      <w:bookmarkStart w:id="1" w:name="_Hlk70496494"/>
      <w:r w:rsidRPr="00B222BD">
        <w:rPr>
          <w:rFonts w:ascii="Gadugi" w:hAnsi="Gadugi"/>
          <w:color w:val="000000"/>
          <w:sz w:val="24"/>
          <w:szCs w:val="24"/>
          <w:lang w:val="es-MX"/>
        </w:rPr>
        <w:t xml:space="preserve">Y en este caso, como aduce el recurrente, nada de ello ocurrió, si se tiene en cuenta que </w:t>
      </w:r>
      <w:proofErr w:type="spellStart"/>
      <w:r w:rsidRPr="00B222BD">
        <w:rPr>
          <w:rFonts w:ascii="Gadugi" w:hAnsi="Gadugi"/>
          <w:color w:val="000000"/>
          <w:sz w:val="24"/>
          <w:szCs w:val="24"/>
          <w:lang w:val="es-MX"/>
        </w:rPr>
        <w:t>Yénnifer</w:t>
      </w:r>
      <w:proofErr w:type="spellEnd"/>
      <w:r w:rsidRPr="00B222BD">
        <w:rPr>
          <w:rFonts w:ascii="Gadugi" w:hAnsi="Gadugi"/>
          <w:color w:val="000000"/>
          <w:sz w:val="24"/>
          <w:szCs w:val="24"/>
          <w:lang w:val="es-MX"/>
        </w:rPr>
        <w:t xml:space="preserve"> Alejandra Bedoya intervino en la diligencia en una calidad que no le permitía la ley. Por una parte, nunca demostró que fuera jefe de personal o administradora del establecimiento, si bien el certificado de existencia y representación que se aportó no daba cuenta de ello. Por la otra, aun si lo fuera, tal circunstancia no probaba su calidad de representante legal de la entidad, que lo es una persona muy distinta, según se vio; </w:t>
      </w:r>
      <w:proofErr w:type="gramStart"/>
      <w:r w:rsidRPr="00B222BD">
        <w:rPr>
          <w:rFonts w:ascii="Gadugi" w:hAnsi="Gadugi"/>
          <w:color w:val="000000"/>
          <w:sz w:val="24"/>
          <w:szCs w:val="24"/>
          <w:lang w:val="es-MX"/>
        </w:rPr>
        <w:t>y</w:t>
      </w:r>
      <w:proofErr w:type="gramEnd"/>
      <w:r w:rsidRPr="00B222BD">
        <w:rPr>
          <w:rFonts w:ascii="Gadugi" w:hAnsi="Gadugi"/>
          <w:color w:val="000000"/>
          <w:sz w:val="24"/>
          <w:szCs w:val="24"/>
          <w:lang w:val="es-MX"/>
        </w:rPr>
        <w:t xml:space="preserve"> en tercer lugar, tampoco exhibió una tarjeta profesional que la acreditara como abogada </w:t>
      </w:r>
      <w:r w:rsidR="00DA7668" w:rsidRPr="00B222BD">
        <w:rPr>
          <w:rFonts w:ascii="Gadugi" w:hAnsi="Gadugi"/>
          <w:color w:val="000000"/>
          <w:sz w:val="24"/>
          <w:szCs w:val="24"/>
          <w:lang w:val="es-MX"/>
        </w:rPr>
        <w:t>en ejercicio</w:t>
      </w:r>
      <w:r w:rsidRPr="00B222BD">
        <w:rPr>
          <w:rFonts w:ascii="Gadugi" w:hAnsi="Gadugi"/>
          <w:color w:val="000000"/>
          <w:sz w:val="24"/>
          <w:szCs w:val="24"/>
          <w:lang w:val="es-MX"/>
        </w:rPr>
        <w:t>, ni un poder que la facultara para representar en juicio a otro</w:t>
      </w:r>
      <w:bookmarkEnd w:id="1"/>
      <w:r w:rsidR="00C4604C" w:rsidRPr="00B222BD">
        <w:rPr>
          <w:rFonts w:ascii="Gadugi" w:hAnsi="Gadugi"/>
          <w:color w:val="000000"/>
          <w:sz w:val="24"/>
          <w:szCs w:val="24"/>
          <w:lang w:val="es-MX"/>
        </w:rPr>
        <w:t>. F</w:t>
      </w:r>
      <w:r w:rsidRPr="00B222BD">
        <w:rPr>
          <w:rFonts w:ascii="Gadugi" w:hAnsi="Gadugi"/>
          <w:color w:val="000000"/>
          <w:sz w:val="24"/>
          <w:szCs w:val="24"/>
          <w:lang w:val="es-MX"/>
        </w:rPr>
        <w:t xml:space="preserve">inalmente, es elemental ver que la presunta oposición que planteó no era </w:t>
      </w:r>
      <w:r w:rsidR="005D7E5F" w:rsidRPr="00B222BD">
        <w:rPr>
          <w:rFonts w:ascii="Gadugi" w:hAnsi="Gadugi"/>
          <w:color w:val="000000"/>
          <w:sz w:val="24"/>
          <w:szCs w:val="24"/>
          <w:lang w:val="es-MX"/>
        </w:rPr>
        <w:t xml:space="preserve">como poseedora </w:t>
      </w:r>
      <w:r w:rsidRPr="00B222BD">
        <w:rPr>
          <w:rFonts w:ascii="Gadugi" w:hAnsi="Gadugi"/>
          <w:color w:val="000000"/>
          <w:sz w:val="24"/>
          <w:szCs w:val="24"/>
          <w:lang w:val="es-MX"/>
        </w:rPr>
        <w:t xml:space="preserve">a nombre propio, </w:t>
      </w:r>
      <w:r w:rsidR="005D7E5F" w:rsidRPr="00B222BD">
        <w:rPr>
          <w:rFonts w:ascii="Gadugi" w:hAnsi="Gadugi"/>
          <w:color w:val="000000"/>
          <w:sz w:val="24"/>
          <w:szCs w:val="24"/>
          <w:lang w:val="es-MX"/>
        </w:rPr>
        <w:t>ni adujo que ella fuera tenedora por cuenta de la sociedad como poseedora</w:t>
      </w:r>
      <w:r w:rsidR="00BA7210" w:rsidRPr="00B222BD">
        <w:rPr>
          <w:rFonts w:ascii="Gadugi" w:hAnsi="Gadugi"/>
          <w:color w:val="000000"/>
          <w:sz w:val="24"/>
          <w:szCs w:val="24"/>
          <w:lang w:val="es-MX"/>
        </w:rPr>
        <w:t xml:space="preserve">, </w:t>
      </w:r>
      <w:r w:rsidR="00C4604C" w:rsidRPr="00B222BD">
        <w:rPr>
          <w:rFonts w:ascii="Gadugi" w:hAnsi="Gadugi"/>
          <w:color w:val="000000"/>
          <w:sz w:val="24"/>
          <w:szCs w:val="24"/>
          <w:lang w:val="es-MX"/>
        </w:rPr>
        <w:t>caso último en el cual</w:t>
      </w:r>
      <w:r w:rsidR="00BA7210" w:rsidRPr="00B222BD">
        <w:rPr>
          <w:rFonts w:ascii="Gadugi" w:hAnsi="Gadugi"/>
          <w:color w:val="000000"/>
          <w:sz w:val="24"/>
          <w:szCs w:val="24"/>
          <w:lang w:val="es-MX"/>
        </w:rPr>
        <w:t xml:space="preserve"> el trámite tendría que haber sido diferente. </w:t>
      </w:r>
    </w:p>
    <w:p w14:paraId="372331BC" w14:textId="77777777" w:rsidR="00650C5E" w:rsidRPr="00B222BD" w:rsidRDefault="00650C5E" w:rsidP="00B222BD">
      <w:pPr>
        <w:pStyle w:val="Prrafodelista"/>
        <w:tabs>
          <w:tab w:val="left" w:pos="3119"/>
        </w:tabs>
        <w:spacing w:after="0" w:line="276" w:lineRule="auto"/>
        <w:ind w:left="0" w:firstLine="2835"/>
        <w:contextualSpacing/>
        <w:jc w:val="both"/>
        <w:rPr>
          <w:rFonts w:ascii="Gadugi" w:hAnsi="Gadugi"/>
          <w:color w:val="000000"/>
          <w:sz w:val="24"/>
          <w:szCs w:val="24"/>
          <w:lang w:val="es-MX"/>
        </w:rPr>
      </w:pPr>
    </w:p>
    <w:p w14:paraId="5C37DCA7" w14:textId="77777777" w:rsidR="00110A28" w:rsidRPr="00B222BD" w:rsidRDefault="00BA7210" w:rsidP="00B222BD">
      <w:pPr>
        <w:pStyle w:val="Prrafodelista"/>
        <w:tabs>
          <w:tab w:val="left" w:pos="3119"/>
        </w:tabs>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t xml:space="preserve">De manera que le asiste razón al recurrente, en cuanto discute que </w:t>
      </w:r>
      <w:proofErr w:type="spellStart"/>
      <w:r w:rsidRPr="00B222BD">
        <w:rPr>
          <w:rFonts w:ascii="Gadugi" w:hAnsi="Gadugi"/>
          <w:color w:val="000000"/>
          <w:sz w:val="24"/>
          <w:szCs w:val="24"/>
          <w:lang w:val="es-MX"/>
        </w:rPr>
        <w:t>Yénnifer</w:t>
      </w:r>
      <w:proofErr w:type="spellEnd"/>
      <w:r w:rsidRPr="00B222BD">
        <w:rPr>
          <w:rFonts w:ascii="Gadugi" w:hAnsi="Gadugi"/>
          <w:color w:val="000000"/>
          <w:sz w:val="24"/>
          <w:szCs w:val="24"/>
          <w:lang w:val="es-MX"/>
        </w:rPr>
        <w:t xml:space="preserve"> Alejandra carecía de legitimación para oponerse, por lo que el auto protestado será revocado. </w:t>
      </w:r>
    </w:p>
    <w:p w14:paraId="6618C6F6" w14:textId="77777777" w:rsidR="00BA7210" w:rsidRPr="00B222BD" w:rsidRDefault="00BA7210" w:rsidP="00B222BD">
      <w:pPr>
        <w:pStyle w:val="Prrafodelista"/>
        <w:tabs>
          <w:tab w:val="left" w:pos="3119"/>
        </w:tabs>
        <w:spacing w:after="0" w:line="276" w:lineRule="auto"/>
        <w:ind w:left="0" w:firstLine="2835"/>
        <w:contextualSpacing/>
        <w:jc w:val="both"/>
        <w:rPr>
          <w:rFonts w:ascii="Gadugi" w:hAnsi="Gadugi"/>
          <w:color w:val="000000"/>
          <w:sz w:val="24"/>
          <w:szCs w:val="24"/>
          <w:lang w:val="es-MX"/>
        </w:rPr>
      </w:pPr>
    </w:p>
    <w:p w14:paraId="5F95B278" w14:textId="77777777" w:rsidR="00E34BAB" w:rsidRPr="00B222BD" w:rsidRDefault="00BA7210" w:rsidP="00B222BD">
      <w:pPr>
        <w:pStyle w:val="Prrafodelista"/>
        <w:tabs>
          <w:tab w:val="left" w:pos="3119"/>
        </w:tabs>
        <w:spacing w:after="0" w:line="276" w:lineRule="auto"/>
        <w:ind w:left="0" w:firstLine="2835"/>
        <w:contextualSpacing/>
        <w:jc w:val="both"/>
        <w:rPr>
          <w:rFonts w:ascii="Gadugi" w:hAnsi="Gadugi"/>
          <w:color w:val="000000"/>
          <w:sz w:val="24"/>
          <w:szCs w:val="24"/>
          <w:lang w:val="es-MX"/>
        </w:rPr>
      </w:pPr>
      <w:r w:rsidRPr="00B222BD">
        <w:rPr>
          <w:rFonts w:ascii="Gadugi" w:hAnsi="Gadugi"/>
          <w:color w:val="000000"/>
          <w:sz w:val="24"/>
          <w:szCs w:val="24"/>
          <w:lang w:val="es-MX"/>
        </w:rPr>
        <w:t xml:space="preserve">No se erige en obstáculo lo anterior para que el juzgado analice la situación desde una arista diferente, en la medida en que debe continuar con la diligencia de secuestro, efecto para el cual </w:t>
      </w:r>
      <w:r w:rsidR="00F80105" w:rsidRPr="00B222BD">
        <w:rPr>
          <w:rFonts w:ascii="Gadugi" w:hAnsi="Gadugi"/>
          <w:color w:val="000000"/>
          <w:sz w:val="24"/>
          <w:szCs w:val="24"/>
          <w:lang w:val="es-MX"/>
        </w:rPr>
        <w:t xml:space="preserve">ha de verificar que, en realidad, los bienes denunciados sean de propiedad de la demandada, </w:t>
      </w:r>
      <w:r w:rsidR="00E34BAB" w:rsidRPr="00B222BD">
        <w:rPr>
          <w:rFonts w:ascii="Gadugi" w:hAnsi="Gadugi"/>
          <w:color w:val="000000"/>
          <w:sz w:val="24"/>
          <w:szCs w:val="24"/>
          <w:lang w:val="es-MX"/>
        </w:rPr>
        <w:t>pues en los términos del artículo 599 del CGP, en un proceso ejecutivo, desde la presentación de la demanda, el ejecutante puede solicitar el embargo y secuestro de bienes del ejecutado</w:t>
      </w:r>
      <w:r w:rsidR="00515154" w:rsidRPr="00B222BD">
        <w:rPr>
          <w:rFonts w:ascii="Gadugi" w:hAnsi="Gadugi"/>
          <w:color w:val="000000"/>
          <w:sz w:val="24"/>
          <w:szCs w:val="24"/>
          <w:lang w:val="es-MX"/>
        </w:rPr>
        <w:t xml:space="preserve">; teniendo en cuenta, adicionalmente, que </w:t>
      </w:r>
      <w:r w:rsidR="004F0615" w:rsidRPr="00B222BD">
        <w:rPr>
          <w:rFonts w:ascii="Gadugi" w:hAnsi="Gadugi"/>
          <w:color w:val="000000"/>
          <w:sz w:val="24"/>
          <w:szCs w:val="24"/>
          <w:lang w:val="es-MX"/>
        </w:rPr>
        <w:t>t</w:t>
      </w:r>
      <w:r w:rsidR="00E34BAB" w:rsidRPr="00B222BD">
        <w:rPr>
          <w:rFonts w:ascii="Gadugi" w:hAnsi="Gadugi"/>
          <w:color w:val="000000"/>
          <w:sz w:val="24"/>
          <w:szCs w:val="24"/>
          <w:lang w:val="es-MX"/>
        </w:rPr>
        <w:t>ampoco se ha solicitado el embargo de la posesión de los mismos</w:t>
      </w:r>
      <w:r w:rsidR="00CB040A" w:rsidRPr="00B222BD">
        <w:rPr>
          <w:rFonts w:ascii="Gadugi" w:hAnsi="Gadugi"/>
          <w:color w:val="000000"/>
          <w:sz w:val="24"/>
          <w:szCs w:val="24"/>
          <w:lang w:val="es-MX"/>
        </w:rPr>
        <w:t xml:space="preserve"> en cabeza de la ejecutada, </w:t>
      </w:r>
      <w:r w:rsidR="00E34BAB" w:rsidRPr="00B222BD">
        <w:rPr>
          <w:rFonts w:ascii="Gadugi" w:hAnsi="Gadugi"/>
          <w:color w:val="000000"/>
          <w:sz w:val="24"/>
          <w:szCs w:val="24"/>
          <w:lang w:val="es-MX"/>
        </w:rPr>
        <w:t>como permite el artículo 593 ibídem.</w:t>
      </w:r>
    </w:p>
    <w:p w14:paraId="0CEC7D0A" w14:textId="77777777" w:rsidR="00E34BAB" w:rsidRPr="00B222BD" w:rsidRDefault="00E34BAB" w:rsidP="00B222BD">
      <w:pPr>
        <w:pStyle w:val="Prrafodelista"/>
        <w:tabs>
          <w:tab w:val="left" w:pos="3119"/>
        </w:tabs>
        <w:spacing w:after="0" w:line="276" w:lineRule="auto"/>
        <w:ind w:left="0" w:firstLine="2835"/>
        <w:contextualSpacing/>
        <w:jc w:val="both"/>
        <w:rPr>
          <w:rFonts w:ascii="Gadugi" w:hAnsi="Gadugi"/>
          <w:color w:val="000000"/>
          <w:sz w:val="24"/>
          <w:szCs w:val="24"/>
          <w:lang w:val="es-MX"/>
        </w:rPr>
      </w:pPr>
    </w:p>
    <w:p w14:paraId="67859B22" w14:textId="77777777" w:rsidR="004F0615" w:rsidRPr="00B222BD" w:rsidRDefault="00CB040A" w:rsidP="00B222BD">
      <w:pPr>
        <w:spacing w:after="0" w:line="276" w:lineRule="auto"/>
        <w:contextualSpacing/>
        <w:jc w:val="both"/>
        <w:rPr>
          <w:rFonts w:ascii="Gadugi" w:hAnsi="Gadugi"/>
          <w:color w:val="000000"/>
          <w:sz w:val="24"/>
          <w:szCs w:val="24"/>
          <w:lang w:val="es-MX"/>
        </w:rPr>
      </w:pPr>
      <w:r w:rsidRPr="00B222BD">
        <w:rPr>
          <w:rFonts w:ascii="Gadugi" w:hAnsi="Gadugi"/>
          <w:color w:val="000000"/>
          <w:sz w:val="24"/>
          <w:szCs w:val="24"/>
          <w:lang w:val="es-MX"/>
        </w:rPr>
        <w:t xml:space="preserve">  </w:t>
      </w:r>
      <w:r w:rsidRPr="00B222BD">
        <w:rPr>
          <w:rFonts w:ascii="Gadugi" w:hAnsi="Gadugi"/>
          <w:color w:val="000000"/>
          <w:sz w:val="24"/>
          <w:szCs w:val="24"/>
          <w:lang w:val="es-MX"/>
        </w:rPr>
        <w:tab/>
      </w:r>
      <w:r w:rsidRPr="00B222BD">
        <w:rPr>
          <w:rFonts w:ascii="Gadugi" w:hAnsi="Gadugi"/>
          <w:color w:val="000000"/>
          <w:sz w:val="24"/>
          <w:szCs w:val="24"/>
          <w:lang w:val="es-MX"/>
        </w:rPr>
        <w:tab/>
      </w:r>
      <w:r w:rsidRPr="00B222BD">
        <w:rPr>
          <w:rFonts w:ascii="Gadugi" w:hAnsi="Gadugi"/>
          <w:color w:val="000000"/>
          <w:sz w:val="24"/>
          <w:szCs w:val="24"/>
          <w:lang w:val="es-MX"/>
        </w:rPr>
        <w:tab/>
      </w:r>
      <w:r w:rsidRPr="00B222BD">
        <w:rPr>
          <w:rFonts w:ascii="Gadugi" w:hAnsi="Gadugi"/>
          <w:color w:val="000000"/>
          <w:sz w:val="24"/>
          <w:szCs w:val="24"/>
          <w:lang w:val="es-MX"/>
        </w:rPr>
        <w:tab/>
        <w:t>Eso de que en la diligencia se discute posesión y no propiedad es cierto, pero miradas las cosas desde el ángulo del opositor</w:t>
      </w:r>
      <w:r w:rsidR="004F0615" w:rsidRPr="00B222BD">
        <w:rPr>
          <w:rFonts w:ascii="Gadugi" w:hAnsi="Gadugi"/>
          <w:color w:val="000000"/>
          <w:sz w:val="24"/>
          <w:szCs w:val="24"/>
          <w:lang w:val="es-MX"/>
        </w:rPr>
        <w:t>;</w:t>
      </w:r>
      <w:r w:rsidRPr="00B222BD">
        <w:rPr>
          <w:rFonts w:ascii="Gadugi" w:hAnsi="Gadugi"/>
          <w:color w:val="000000"/>
          <w:sz w:val="24"/>
          <w:szCs w:val="24"/>
          <w:lang w:val="es-MX"/>
        </w:rPr>
        <w:t xml:space="preserve"> es decir, a él le incumbe </w:t>
      </w:r>
      <w:r w:rsidR="004F0615" w:rsidRPr="00B222BD">
        <w:rPr>
          <w:rFonts w:ascii="Gadugi" w:hAnsi="Gadugi"/>
          <w:color w:val="000000"/>
          <w:sz w:val="24"/>
          <w:szCs w:val="24"/>
          <w:lang w:val="es-MX"/>
        </w:rPr>
        <w:t xml:space="preserve">probar que es poseedor, con independencia de quien sea el propietario, para triunfar en su aspiración; pero, para que ello ocurra, lo primero que debe </w:t>
      </w:r>
      <w:r w:rsidR="004F0615" w:rsidRPr="00B222BD">
        <w:rPr>
          <w:rFonts w:ascii="Gadugi" w:hAnsi="Gadugi"/>
          <w:color w:val="000000"/>
          <w:sz w:val="24"/>
          <w:szCs w:val="24"/>
          <w:lang w:val="es-MX"/>
        </w:rPr>
        <w:lastRenderedPageBreak/>
        <w:t xml:space="preserve">establecerse es si los bienes son o no de propiedad del ejecutado, tal cual ocurre, con los que están sujetos a registro, pues se sabe que si no lo son, el registrador respectivo debe abstenerse de inscribir la medida (art. 593 CGP). Ahora, tratándose de bienes no sujetos a registro, </w:t>
      </w:r>
      <w:r w:rsidR="00DA7668" w:rsidRPr="00B222BD">
        <w:rPr>
          <w:rFonts w:ascii="Gadugi" w:hAnsi="Gadugi"/>
          <w:color w:val="000000"/>
          <w:sz w:val="24"/>
          <w:szCs w:val="24"/>
          <w:lang w:val="es-MX"/>
        </w:rPr>
        <w:t>esa</w:t>
      </w:r>
      <w:r w:rsidR="004F0615" w:rsidRPr="00B222BD">
        <w:rPr>
          <w:rFonts w:ascii="Gadugi" w:hAnsi="Gadugi"/>
          <w:color w:val="000000"/>
          <w:sz w:val="24"/>
          <w:szCs w:val="24"/>
          <w:lang w:val="es-MX"/>
        </w:rPr>
        <w:t xml:space="preserve"> situación sería </w:t>
      </w:r>
      <w:r w:rsidR="00C4604C" w:rsidRPr="00B222BD">
        <w:rPr>
          <w:rFonts w:ascii="Gadugi" w:hAnsi="Gadugi"/>
          <w:color w:val="000000"/>
          <w:sz w:val="24"/>
          <w:szCs w:val="24"/>
          <w:lang w:val="es-MX"/>
        </w:rPr>
        <w:t>difícil de prever</w:t>
      </w:r>
      <w:r w:rsidR="004F0615" w:rsidRPr="00B222BD">
        <w:rPr>
          <w:rFonts w:ascii="Gadugi" w:hAnsi="Gadugi"/>
          <w:color w:val="000000"/>
          <w:sz w:val="24"/>
          <w:szCs w:val="24"/>
          <w:lang w:val="es-MX"/>
        </w:rPr>
        <w:t>, porque el embargo se perfecciona con el secuestro, pero, entonces, en ese momento de</w:t>
      </w:r>
      <w:r w:rsidR="00C4604C" w:rsidRPr="00B222BD">
        <w:rPr>
          <w:rFonts w:ascii="Gadugi" w:hAnsi="Gadugi"/>
          <w:color w:val="000000"/>
          <w:sz w:val="24"/>
          <w:szCs w:val="24"/>
          <w:lang w:val="es-MX"/>
        </w:rPr>
        <w:t xml:space="preserve"> la diligencia de</w:t>
      </w:r>
      <w:r w:rsidR="004F0615" w:rsidRPr="00B222BD">
        <w:rPr>
          <w:rFonts w:ascii="Gadugi" w:hAnsi="Gadugi"/>
          <w:color w:val="000000"/>
          <w:sz w:val="24"/>
          <w:szCs w:val="24"/>
          <w:lang w:val="es-MX"/>
        </w:rPr>
        <w:t xml:space="preserve">be haber certeza de que los mismos sean de propiedad del ejecutado. </w:t>
      </w:r>
    </w:p>
    <w:p w14:paraId="0B9D5187" w14:textId="77777777" w:rsidR="00515154" w:rsidRPr="00B222BD" w:rsidRDefault="004F0615" w:rsidP="00B222BD">
      <w:pPr>
        <w:spacing w:after="0" w:line="276" w:lineRule="auto"/>
        <w:contextualSpacing/>
        <w:jc w:val="both"/>
        <w:rPr>
          <w:rFonts w:ascii="Gadugi" w:hAnsi="Gadugi"/>
          <w:color w:val="000000"/>
          <w:sz w:val="24"/>
          <w:szCs w:val="24"/>
          <w:lang w:val="es-MX"/>
        </w:rPr>
      </w:pPr>
      <w:r w:rsidRPr="00B222BD">
        <w:rPr>
          <w:rFonts w:ascii="Gadugi" w:hAnsi="Gadugi"/>
          <w:color w:val="000000"/>
          <w:sz w:val="24"/>
          <w:szCs w:val="24"/>
          <w:lang w:val="es-MX"/>
        </w:rPr>
        <w:t xml:space="preserve"> </w:t>
      </w:r>
      <w:r w:rsidR="00C6419F" w:rsidRPr="00B222BD">
        <w:rPr>
          <w:rFonts w:ascii="Gadugi" w:hAnsi="Gadugi"/>
          <w:color w:val="000000"/>
          <w:sz w:val="24"/>
          <w:szCs w:val="24"/>
          <w:lang w:val="es-MX"/>
        </w:rPr>
        <w:t xml:space="preserve">   </w:t>
      </w:r>
      <w:r w:rsidR="00C6419F" w:rsidRPr="00B222BD">
        <w:rPr>
          <w:rFonts w:ascii="Gadugi" w:hAnsi="Gadugi"/>
          <w:color w:val="000000"/>
          <w:sz w:val="24"/>
          <w:szCs w:val="24"/>
          <w:lang w:val="es-MX"/>
        </w:rPr>
        <w:tab/>
      </w:r>
      <w:r w:rsidR="00C6419F" w:rsidRPr="00B222BD">
        <w:rPr>
          <w:rFonts w:ascii="Gadugi" w:hAnsi="Gadugi"/>
          <w:color w:val="000000"/>
          <w:sz w:val="24"/>
          <w:szCs w:val="24"/>
          <w:lang w:val="es-MX"/>
        </w:rPr>
        <w:tab/>
      </w:r>
      <w:r w:rsidR="00C6419F" w:rsidRPr="00B222BD">
        <w:rPr>
          <w:rFonts w:ascii="Gadugi" w:hAnsi="Gadugi"/>
          <w:color w:val="000000"/>
          <w:sz w:val="24"/>
          <w:szCs w:val="24"/>
          <w:lang w:val="es-MX"/>
        </w:rPr>
        <w:tab/>
      </w:r>
      <w:r w:rsidR="00C6419F" w:rsidRPr="00B222BD">
        <w:rPr>
          <w:rFonts w:ascii="Gadugi" w:hAnsi="Gadugi"/>
          <w:color w:val="000000"/>
          <w:sz w:val="24"/>
          <w:szCs w:val="24"/>
          <w:lang w:val="es-MX"/>
        </w:rPr>
        <w:tab/>
      </w:r>
    </w:p>
    <w:p w14:paraId="2D4D6A48" w14:textId="77777777" w:rsidR="00515154" w:rsidRPr="00B222BD" w:rsidRDefault="00515154" w:rsidP="00B222BD">
      <w:pPr>
        <w:spacing w:after="0" w:line="276" w:lineRule="auto"/>
        <w:contextualSpacing/>
        <w:jc w:val="both"/>
        <w:rPr>
          <w:rFonts w:ascii="Gadugi" w:hAnsi="Gadugi"/>
          <w:color w:val="000000"/>
          <w:sz w:val="24"/>
          <w:szCs w:val="24"/>
          <w:lang w:val="es-MX"/>
        </w:rPr>
      </w:pPr>
      <w:r w:rsidRPr="00B222BD">
        <w:rPr>
          <w:rFonts w:ascii="Gadugi" w:hAnsi="Gadugi"/>
          <w:color w:val="000000"/>
          <w:sz w:val="24"/>
          <w:szCs w:val="24"/>
          <w:lang w:val="es-MX"/>
        </w:rPr>
        <w:t xml:space="preserve">  </w:t>
      </w:r>
      <w:r w:rsidRPr="00B222BD">
        <w:rPr>
          <w:rFonts w:ascii="Gadugi" w:hAnsi="Gadugi"/>
          <w:color w:val="000000"/>
          <w:sz w:val="24"/>
          <w:szCs w:val="24"/>
          <w:lang w:val="es-MX"/>
        </w:rPr>
        <w:tab/>
      </w:r>
      <w:r w:rsidRPr="00B222BD">
        <w:rPr>
          <w:rFonts w:ascii="Gadugi" w:hAnsi="Gadugi"/>
          <w:color w:val="000000"/>
          <w:sz w:val="24"/>
          <w:szCs w:val="24"/>
          <w:lang w:val="es-MX"/>
        </w:rPr>
        <w:tab/>
      </w:r>
      <w:r w:rsidRPr="00B222BD">
        <w:rPr>
          <w:rFonts w:ascii="Gadugi" w:hAnsi="Gadugi"/>
          <w:color w:val="000000"/>
          <w:sz w:val="24"/>
          <w:szCs w:val="24"/>
          <w:lang w:val="es-MX"/>
        </w:rPr>
        <w:tab/>
      </w:r>
      <w:r w:rsidRPr="00B222BD">
        <w:rPr>
          <w:rFonts w:ascii="Gadugi" w:hAnsi="Gadugi"/>
          <w:color w:val="000000"/>
          <w:sz w:val="24"/>
          <w:szCs w:val="24"/>
          <w:lang w:val="es-MX"/>
        </w:rPr>
        <w:tab/>
        <w:t xml:space="preserve">Sin embargo, ese no es el tema en discusión y la competencia de la Sala, en los términos del artículo 328 del CGP es restringida. </w:t>
      </w:r>
    </w:p>
    <w:p w14:paraId="0DF31584" w14:textId="77777777" w:rsidR="00DA7668" w:rsidRPr="00B222BD" w:rsidRDefault="00DA7668" w:rsidP="00B222BD">
      <w:pPr>
        <w:spacing w:after="0" w:line="276" w:lineRule="auto"/>
        <w:contextualSpacing/>
        <w:jc w:val="both"/>
        <w:rPr>
          <w:rFonts w:ascii="Gadugi" w:hAnsi="Gadugi"/>
          <w:color w:val="000000"/>
          <w:sz w:val="24"/>
          <w:szCs w:val="24"/>
          <w:lang w:val="es-MX"/>
        </w:rPr>
      </w:pPr>
    </w:p>
    <w:p w14:paraId="418D15C3" w14:textId="77777777" w:rsidR="00E06E16" w:rsidRPr="00B222BD" w:rsidRDefault="00515154" w:rsidP="00B222BD">
      <w:pPr>
        <w:spacing w:after="0" w:line="276" w:lineRule="auto"/>
        <w:contextualSpacing/>
        <w:jc w:val="both"/>
        <w:rPr>
          <w:rFonts w:ascii="Gadugi" w:hAnsi="Gadugi"/>
          <w:color w:val="000000"/>
          <w:sz w:val="24"/>
          <w:szCs w:val="24"/>
          <w:lang w:val="es-MX"/>
        </w:rPr>
      </w:pPr>
      <w:r w:rsidRPr="00B222BD">
        <w:rPr>
          <w:rFonts w:ascii="Gadugi" w:hAnsi="Gadugi"/>
          <w:color w:val="000000"/>
          <w:sz w:val="24"/>
          <w:szCs w:val="24"/>
          <w:lang w:val="es-MX"/>
        </w:rPr>
        <w:t xml:space="preserve">  </w:t>
      </w:r>
      <w:r w:rsidRPr="00B222BD">
        <w:rPr>
          <w:rFonts w:ascii="Gadugi" w:hAnsi="Gadugi"/>
          <w:color w:val="000000"/>
          <w:sz w:val="24"/>
          <w:szCs w:val="24"/>
          <w:lang w:val="es-MX"/>
        </w:rPr>
        <w:tab/>
      </w:r>
      <w:r w:rsidRPr="00B222BD">
        <w:rPr>
          <w:rFonts w:ascii="Gadugi" w:hAnsi="Gadugi"/>
          <w:color w:val="000000"/>
          <w:sz w:val="24"/>
          <w:szCs w:val="24"/>
          <w:lang w:val="es-MX"/>
        </w:rPr>
        <w:tab/>
      </w:r>
      <w:r w:rsidRPr="00B222BD">
        <w:rPr>
          <w:rFonts w:ascii="Gadugi" w:hAnsi="Gadugi"/>
          <w:color w:val="000000"/>
          <w:sz w:val="24"/>
          <w:szCs w:val="24"/>
          <w:lang w:val="es-MX"/>
        </w:rPr>
        <w:tab/>
      </w:r>
      <w:r w:rsidRPr="00B222BD">
        <w:rPr>
          <w:rFonts w:ascii="Gadugi" w:hAnsi="Gadugi"/>
          <w:color w:val="000000"/>
          <w:sz w:val="24"/>
          <w:szCs w:val="24"/>
          <w:lang w:val="es-MX"/>
        </w:rPr>
        <w:tab/>
      </w:r>
      <w:r w:rsidR="00C6419F" w:rsidRPr="00B222BD">
        <w:rPr>
          <w:rFonts w:ascii="Gadugi" w:hAnsi="Gadugi"/>
          <w:color w:val="000000"/>
          <w:sz w:val="24"/>
          <w:szCs w:val="24"/>
          <w:lang w:val="es-MX"/>
        </w:rPr>
        <w:t xml:space="preserve">Como el recurso sale avante, no habrá condena en costas (art. 365-1 CGP). </w:t>
      </w:r>
    </w:p>
    <w:p w14:paraId="013444FA" w14:textId="77777777" w:rsidR="00C6419F" w:rsidRPr="00B222BD" w:rsidRDefault="00C6419F" w:rsidP="00B222BD">
      <w:pPr>
        <w:spacing w:after="0" w:line="276" w:lineRule="auto"/>
        <w:ind w:left="2124" w:firstLine="708"/>
        <w:jc w:val="both"/>
        <w:rPr>
          <w:rFonts w:ascii="Gadugi" w:hAnsi="Gadugi"/>
          <w:b/>
          <w:sz w:val="24"/>
          <w:szCs w:val="24"/>
          <w:lang w:val="es-419"/>
        </w:rPr>
      </w:pPr>
    </w:p>
    <w:p w14:paraId="4D46D7B4" w14:textId="77777777" w:rsidR="00681F2C" w:rsidRPr="00B222BD" w:rsidRDefault="00681F2C" w:rsidP="00B222BD">
      <w:pPr>
        <w:pStyle w:val="Prrafodelista"/>
        <w:numPr>
          <w:ilvl w:val="0"/>
          <w:numId w:val="5"/>
        </w:numPr>
        <w:tabs>
          <w:tab w:val="left" w:pos="3261"/>
        </w:tabs>
        <w:spacing w:after="0" w:line="276" w:lineRule="auto"/>
        <w:ind w:left="0" w:firstLine="2835"/>
        <w:jc w:val="both"/>
        <w:rPr>
          <w:rFonts w:ascii="Gadugi" w:hAnsi="Gadugi"/>
          <w:b/>
          <w:sz w:val="24"/>
          <w:szCs w:val="24"/>
          <w:lang w:val="es-419"/>
        </w:rPr>
      </w:pPr>
      <w:r w:rsidRPr="00B222BD">
        <w:rPr>
          <w:rFonts w:ascii="Gadugi" w:hAnsi="Gadugi"/>
          <w:b/>
          <w:sz w:val="24"/>
          <w:szCs w:val="24"/>
          <w:lang w:val="es-419"/>
        </w:rPr>
        <w:t>DECISIÓN</w:t>
      </w:r>
    </w:p>
    <w:p w14:paraId="4316D7A2" w14:textId="77777777" w:rsidR="00E5363F" w:rsidRPr="00B222BD" w:rsidRDefault="00E5363F" w:rsidP="00B222BD">
      <w:pPr>
        <w:spacing w:after="0" w:line="276" w:lineRule="auto"/>
        <w:ind w:left="2124" w:firstLine="708"/>
        <w:jc w:val="both"/>
        <w:rPr>
          <w:rFonts w:ascii="Gadugi" w:hAnsi="Gadugi"/>
          <w:b/>
          <w:sz w:val="24"/>
          <w:szCs w:val="24"/>
        </w:rPr>
      </w:pPr>
    </w:p>
    <w:p w14:paraId="5E5B2D74" w14:textId="77777777" w:rsidR="00DA7668" w:rsidRPr="00B222BD" w:rsidRDefault="00436B81" w:rsidP="00B222BD">
      <w:pPr>
        <w:spacing w:after="0" w:line="276" w:lineRule="auto"/>
        <w:jc w:val="both"/>
        <w:rPr>
          <w:rFonts w:ascii="Gadugi" w:eastAsia="Times New Roman" w:hAnsi="Gadugi"/>
          <w:sz w:val="24"/>
          <w:szCs w:val="24"/>
          <w:lang w:val="es-MX" w:eastAsia="es-ES"/>
        </w:rPr>
      </w:pPr>
      <w:r w:rsidRPr="00B222BD">
        <w:rPr>
          <w:rFonts w:ascii="Gadugi" w:hAnsi="Gadugi"/>
          <w:sz w:val="24"/>
          <w:szCs w:val="24"/>
          <w:lang w:val="es-419"/>
        </w:rPr>
        <w:t xml:space="preserve">  </w:t>
      </w:r>
      <w:r w:rsidRPr="00B222BD">
        <w:rPr>
          <w:rFonts w:ascii="Gadugi" w:hAnsi="Gadugi"/>
          <w:sz w:val="24"/>
          <w:szCs w:val="24"/>
          <w:lang w:val="es-419"/>
        </w:rPr>
        <w:tab/>
      </w:r>
      <w:r w:rsidRPr="00B222BD">
        <w:rPr>
          <w:rFonts w:ascii="Gadugi" w:hAnsi="Gadugi"/>
          <w:sz w:val="24"/>
          <w:szCs w:val="24"/>
          <w:lang w:val="es-419"/>
        </w:rPr>
        <w:tab/>
      </w:r>
      <w:r w:rsidRPr="00B222BD">
        <w:rPr>
          <w:rFonts w:ascii="Gadugi" w:hAnsi="Gadugi"/>
          <w:sz w:val="24"/>
          <w:szCs w:val="24"/>
          <w:lang w:val="es-419"/>
        </w:rPr>
        <w:tab/>
      </w:r>
      <w:r w:rsidRPr="00B222BD">
        <w:rPr>
          <w:rFonts w:ascii="Gadugi" w:hAnsi="Gadugi"/>
          <w:sz w:val="24"/>
          <w:szCs w:val="24"/>
          <w:lang w:val="es-419"/>
        </w:rPr>
        <w:tab/>
      </w:r>
      <w:r w:rsidR="00681F2C" w:rsidRPr="00B222BD">
        <w:rPr>
          <w:rFonts w:ascii="Gadugi" w:hAnsi="Gadugi"/>
          <w:sz w:val="24"/>
          <w:szCs w:val="24"/>
          <w:lang w:val="es-419"/>
        </w:rPr>
        <w:t xml:space="preserve">En armonía con lo discurrido esta Sala Unitario Civil Familia del Tribunal Superior de Pereira, </w:t>
      </w:r>
      <w:r w:rsidR="00C6419F" w:rsidRPr="00B222BD">
        <w:rPr>
          <w:rFonts w:ascii="Gadugi" w:hAnsi="Gadugi"/>
          <w:b/>
          <w:sz w:val="24"/>
          <w:szCs w:val="24"/>
          <w:lang w:val="es-419"/>
        </w:rPr>
        <w:t>REVOCA</w:t>
      </w:r>
      <w:r w:rsidR="00681F2C" w:rsidRPr="00B222BD">
        <w:rPr>
          <w:rFonts w:ascii="Gadugi" w:hAnsi="Gadugi"/>
          <w:b/>
          <w:sz w:val="24"/>
          <w:szCs w:val="24"/>
          <w:lang w:val="es-419"/>
        </w:rPr>
        <w:t xml:space="preserve"> </w:t>
      </w:r>
      <w:r w:rsidR="00DA7668" w:rsidRPr="00B222BD">
        <w:rPr>
          <w:rFonts w:ascii="Gadugi" w:eastAsia="Times New Roman" w:hAnsi="Gadugi"/>
          <w:sz w:val="24"/>
          <w:szCs w:val="24"/>
          <w:lang w:val="es-MX" w:eastAsia="es-ES"/>
        </w:rPr>
        <w:t xml:space="preserve">auto del 2 de marzo de 2020, proferido por el Juzgado Quinto Civil del Circuito local, en este proceso ejecutivo instaurado por Juan Diego Cifuentes Arbeláez frente a Adriana María Ossa </w:t>
      </w:r>
      <w:r w:rsidR="00DA7668" w:rsidRPr="00B222BD">
        <w:rPr>
          <w:rFonts w:ascii="Gadugi" w:eastAsia="Times New Roman" w:hAnsi="Gadugi"/>
          <w:b/>
          <w:sz w:val="24"/>
          <w:szCs w:val="24"/>
          <w:lang w:val="es-MX" w:eastAsia="es-ES"/>
        </w:rPr>
        <w:t xml:space="preserve">Carlos Alberto Ruiz Vallejo </w:t>
      </w:r>
      <w:r w:rsidR="00DA7668" w:rsidRPr="00B222BD">
        <w:rPr>
          <w:rFonts w:ascii="Gadugi" w:eastAsia="Times New Roman" w:hAnsi="Gadugi"/>
          <w:sz w:val="24"/>
          <w:szCs w:val="24"/>
          <w:lang w:val="es-MX" w:eastAsia="es-ES"/>
        </w:rPr>
        <w:t xml:space="preserve">frente a </w:t>
      </w:r>
      <w:r w:rsidR="00DA7668" w:rsidRPr="00B222BD">
        <w:rPr>
          <w:rFonts w:ascii="Gadugi" w:eastAsia="Times New Roman" w:hAnsi="Gadugi"/>
          <w:b/>
          <w:sz w:val="24"/>
          <w:szCs w:val="24"/>
          <w:lang w:val="es-MX" w:eastAsia="es-ES"/>
        </w:rPr>
        <w:t>Adriana María Ossa Ortiz</w:t>
      </w:r>
      <w:r w:rsidR="00DA7668" w:rsidRPr="00B222BD">
        <w:rPr>
          <w:rFonts w:ascii="Gadugi" w:eastAsia="Times New Roman" w:hAnsi="Gadugi"/>
          <w:sz w:val="24"/>
          <w:szCs w:val="24"/>
          <w:lang w:val="es-MX" w:eastAsia="es-ES"/>
        </w:rPr>
        <w:t xml:space="preserve">, en el que interviene como opositora </w:t>
      </w:r>
      <w:r w:rsidR="00DA7668" w:rsidRPr="00B222BD">
        <w:rPr>
          <w:rFonts w:ascii="Gadugi" w:eastAsia="Times New Roman" w:hAnsi="Gadugi"/>
          <w:b/>
          <w:sz w:val="24"/>
          <w:szCs w:val="24"/>
          <w:lang w:val="es-MX" w:eastAsia="es-ES"/>
        </w:rPr>
        <w:t>Renacer Ortiz de la Pava S.A.S</w:t>
      </w:r>
      <w:r w:rsidR="00DA7668" w:rsidRPr="00B222BD">
        <w:rPr>
          <w:rFonts w:ascii="Gadugi" w:eastAsia="Times New Roman" w:hAnsi="Gadugi"/>
          <w:sz w:val="24"/>
          <w:szCs w:val="24"/>
          <w:lang w:val="es-MX" w:eastAsia="es-ES"/>
        </w:rPr>
        <w:t>.</w:t>
      </w:r>
    </w:p>
    <w:p w14:paraId="6AEB9F8B" w14:textId="77777777" w:rsidR="00681F2C" w:rsidRPr="00B222BD" w:rsidRDefault="00681F2C" w:rsidP="00B222BD">
      <w:pPr>
        <w:spacing w:after="0" w:line="276" w:lineRule="auto"/>
        <w:jc w:val="both"/>
        <w:rPr>
          <w:rFonts w:ascii="Gadugi" w:hAnsi="Gadugi"/>
          <w:sz w:val="24"/>
          <w:szCs w:val="24"/>
          <w:lang w:val="es-419"/>
        </w:rPr>
      </w:pPr>
    </w:p>
    <w:p w14:paraId="6C54809E" w14:textId="77777777" w:rsidR="00DA7668" w:rsidRPr="00B222BD" w:rsidRDefault="00DA7668" w:rsidP="00B222BD">
      <w:pPr>
        <w:spacing w:after="0" w:line="276" w:lineRule="auto"/>
        <w:jc w:val="both"/>
        <w:rPr>
          <w:rFonts w:ascii="Gadugi" w:hAnsi="Gadugi"/>
          <w:sz w:val="24"/>
          <w:szCs w:val="24"/>
          <w:lang w:val="es-419"/>
        </w:rPr>
      </w:pPr>
      <w:r w:rsidRPr="00B222BD">
        <w:rPr>
          <w:rFonts w:ascii="Gadugi" w:hAnsi="Gadugi"/>
          <w:sz w:val="24"/>
          <w:szCs w:val="24"/>
          <w:lang w:val="es-419"/>
        </w:rPr>
        <w:t xml:space="preserve"> </w:t>
      </w:r>
      <w:r w:rsidRPr="00B222BD">
        <w:rPr>
          <w:rFonts w:ascii="Gadugi" w:hAnsi="Gadugi"/>
          <w:sz w:val="24"/>
          <w:szCs w:val="24"/>
          <w:lang w:val="es-419"/>
        </w:rPr>
        <w:tab/>
      </w:r>
      <w:r w:rsidRPr="00B222BD">
        <w:rPr>
          <w:rFonts w:ascii="Gadugi" w:hAnsi="Gadugi"/>
          <w:sz w:val="24"/>
          <w:szCs w:val="24"/>
          <w:lang w:val="es-419"/>
        </w:rPr>
        <w:tab/>
      </w:r>
      <w:r w:rsidRPr="00B222BD">
        <w:rPr>
          <w:rFonts w:ascii="Gadugi" w:hAnsi="Gadugi"/>
          <w:sz w:val="24"/>
          <w:szCs w:val="24"/>
          <w:lang w:val="es-419"/>
        </w:rPr>
        <w:tab/>
      </w:r>
      <w:r w:rsidRPr="00B222BD">
        <w:rPr>
          <w:rFonts w:ascii="Gadugi" w:hAnsi="Gadugi"/>
          <w:sz w:val="24"/>
          <w:szCs w:val="24"/>
          <w:lang w:val="es-419"/>
        </w:rPr>
        <w:tab/>
        <w:t>En su lugar, se niega la oposición planteada. Continúese con el trámite de la diligencia de secuestro</w:t>
      </w:r>
      <w:r w:rsidR="00254FA1" w:rsidRPr="00B222BD">
        <w:rPr>
          <w:rFonts w:ascii="Gadugi" w:hAnsi="Gadugi"/>
          <w:sz w:val="24"/>
          <w:szCs w:val="24"/>
          <w:lang w:val="es-419"/>
        </w:rPr>
        <w:t xml:space="preserve">, atendiendo lo dicho en la parte motiva. </w:t>
      </w:r>
    </w:p>
    <w:p w14:paraId="00D7279C" w14:textId="77777777" w:rsidR="00DA7668" w:rsidRPr="00B222BD" w:rsidRDefault="00DA7668" w:rsidP="00B222BD">
      <w:pPr>
        <w:spacing w:after="0" w:line="276" w:lineRule="auto"/>
        <w:jc w:val="both"/>
        <w:rPr>
          <w:rFonts w:ascii="Gadugi" w:hAnsi="Gadugi"/>
          <w:sz w:val="24"/>
          <w:szCs w:val="24"/>
          <w:lang w:val="es-419"/>
        </w:rPr>
      </w:pPr>
    </w:p>
    <w:p w14:paraId="59174909" w14:textId="77777777" w:rsidR="00DA7668" w:rsidRPr="00B222BD" w:rsidRDefault="00DA7668" w:rsidP="00B222BD">
      <w:pPr>
        <w:spacing w:after="0" w:line="276" w:lineRule="auto"/>
        <w:jc w:val="both"/>
        <w:rPr>
          <w:rFonts w:ascii="Gadugi" w:hAnsi="Gadugi"/>
          <w:sz w:val="24"/>
          <w:szCs w:val="24"/>
          <w:lang w:val="es-419"/>
        </w:rPr>
      </w:pPr>
      <w:r w:rsidRPr="00B222BD">
        <w:rPr>
          <w:rFonts w:ascii="Gadugi" w:hAnsi="Gadugi"/>
          <w:sz w:val="24"/>
          <w:szCs w:val="24"/>
          <w:lang w:val="es-419"/>
        </w:rPr>
        <w:t xml:space="preserve"> </w:t>
      </w:r>
      <w:r w:rsidRPr="00B222BD">
        <w:rPr>
          <w:rFonts w:ascii="Gadugi" w:hAnsi="Gadugi"/>
          <w:sz w:val="24"/>
          <w:szCs w:val="24"/>
          <w:lang w:val="es-419"/>
        </w:rPr>
        <w:tab/>
      </w:r>
      <w:r w:rsidRPr="00B222BD">
        <w:rPr>
          <w:rFonts w:ascii="Gadugi" w:hAnsi="Gadugi"/>
          <w:sz w:val="24"/>
          <w:szCs w:val="24"/>
          <w:lang w:val="es-419"/>
        </w:rPr>
        <w:tab/>
      </w:r>
      <w:r w:rsidRPr="00B222BD">
        <w:rPr>
          <w:rFonts w:ascii="Gadugi" w:hAnsi="Gadugi"/>
          <w:sz w:val="24"/>
          <w:szCs w:val="24"/>
          <w:lang w:val="es-419"/>
        </w:rPr>
        <w:tab/>
      </w:r>
      <w:r w:rsidRPr="00B222BD">
        <w:rPr>
          <w:rFonts w:ascii="Gadugi" w:hAnsi="Gadugi"/>
          <w:sz w:val="24"/>
          <w:szCs w:val="24"/>
          <w:lang w:val="es-419"/>
        </w:rPr>
        <w:tab/>
        <w:t xml:space="preserve">Sin costas. </w:t>
      </w:r>
    </w:p>
    <w:p w14:paraId="6D59D567" w14:textId="77777777" w:rsidR="00DA7668" w:rsidRPr="00B222BD" w:rsidRDefault="00DA7668" w:rsidP="00B222BD">
      <w:pPr>
        <w:spacing w:after="0" w:line="276" w:lineRule="auto"/>
        <w:jc w:val="both"/>
        <w:rPr>
          <w:rFonts w:ascii="Gadugi" w:hAnsi="Gadugi"/>
          <w:sz w:val="24"/>
          <w:szCs w:val="24"/>
          <w:lang w:val="es-419"/>
        </w:rPr>
      </w:pPr>
    </w:p>
    <w:p w14:paraId="2A5CD4BE" w14:textId="77777777" w:rsidR="00681F2C" w:rsidRPr="00B222BD" w:rsidRDefault="00681F2C" w:rsidP="00B222BD">
      <w:pPr>
        <w:spacing w:after="0" w:line="276" w:lineRule="auto"/>
        <w:ind w:left="2124" w:firstLine="708"/>
        <w:jc w:val="both"/>
        <w:rPr>
          <w:rFonts w:ascii="Gadugi" w:hAnsi="Gadugi"/>
          <w:sz w:val="24"/>
          <w:szCs w:val="24"/>
        </w:rPr>
      </w:pPr>
      <w:r w:rsidRPr="00B222BD">
        <w:rPr>
          <w:rFonts w:ascii="Gadugi" w:hAnsi="Gadugi"/>
          <w:sz w:val="24"/>
          <w:szCs w:val="24"/>
        </w:rPr>
        <w:t>Notifíquese</w:t>
      </w:r>
    </w:p>
    <w:p w14:paraId="25F895A4" w14:textId="77777777" w:rsidR="00681F2C" w:rsidRPr="00B222BD" w:rsidRDefault="00681F2C" w:rsidP="00B222BD">
      <w:pPr>
        <w:spacing w:after="0" w:line="276" w:lineRule="auto"/>
        <w:ind w:left="2124" w:firstLine="708"/>
        <w:jc w:val="both"/>
        <w:rPr>
          <w:rFonts w:ascii="Gadugi" w:hAnsi="Gadugi"/>
          <w:sz w:val="24"/>
          <w:szCs w:val="24"/>
        </w:rPr>
      </w:pPr>
    </w:p>
    <w:p w14:paraId="4C917F35" w14:textId="23C94E7A" w:rsidR="00DA7668" w:rsidRPr="00B222BD" w:rsidRDefault="00DA7668" w:rsidP="00B222BD">
      <w:pPr>
        <w:spacing w:after="0" w:line="276" w:lineRule="auto"/>
        <w:ind w:left="2124" w:firstLine="708"/>
        <w:jc w:val="both"/>
        <w:rPr>
          <w:rFonts w:ascii="Gadugi" w:hAnsi="Gadugi"/>
          <w:noProof/>
          <w:sz w:val="24"/>
          <w:szCs w:val="24"/>
          <w:lang w:val="es-CO" w:eastAsia="es-CO"/>
        </w:rPr>
      </w:pPr>
    </w:p>
    <w:p w14:paraId="7CD46413" w14:textId="77777777" w:rsidR="00B222BD" w:rsidRPr="00B222BD" w:rsidRDefault="00B222BD" w:rsidP="00B222BD">
      <w:pPr>
        <w:spacing w:after="0" w:line="276" w:lineRule="auto"/>
        <w:ind w:left="2124" w:firstLine="708"/>
        <w:jc w:val="both"/>
        <w:rPr>
          <w:rFonts w:ascii="Gadugi" w:hAnsi="Gadugi"/>
          <w:sz w:val="24"/>
          <w:szCs w:val="24"/>
        </w:rPr>
      </w:pPr>
    </w:p>
    <w:p w14:paraId="04C9EACD" w14:textId="77777777" w:rsidR="00681F2C" w:rsidRPr="00B222BD" w:rsidRDefault="00681F2C" w:rsidP="00B222BD">
      <w:pPr>
        <w:spacing w:after="0" w:line="276" w:lineRule="auto"/>
        <w:ind w:left="2124" w:firstLine="708"/>
        <w:jc w:val="both"/>
        <w:rPr>
          <w:rFonts w:ascii="Gadugi" w:hAnsi="Gadugi"/>
          <w:b/>
          <w:sz w:val="24"/>
          <w:szCs w:val="24"/>
        </w:rPr>
      </w:pPr>
      <w:r w:rsidRPr="00B222BD">
        <w:rPr>
          <w:rFonts w:ascii="Gadugi" w:hAnsi="Gadugi"/>
          <w:b/>
          <w:sz w:val="24"/>
          <w:szCs w:val="24"/>
        </w:rPr>
        <w:t>JAIME ALBERTO SARAZA NARANJO</w:t>
      </w:r>
    </w:p>
    <w:p w14:paraId="51416615" w14:textId="77777777" w:rsidR="00923857" w:rsidRPr="00B222BD" w:rsidRDefault="00681F2C" w:rsidP="00B222BD">
      <w:pPr>
        <w:spacing w:after="0" w:line="276" w:lineRule="auto"/>
        <w:ind w:left="2124" w:firstLine="708"/>
        <w:jc w:val="both"/>
        <w:rPr>
          <w:rFonts w:ascii="Gadugi" w:eastAsia="Times New Roman" w:hAnsi="Gadugi"/>
          <w:b/>
          <w:bCs/>
          <w:sz w:val="24"/>
          <w:szCs w:val="24"/>
          <w:lang w:val="es-MX" w:eastAsia="es-ES"/>
        </w:rPr>
      </w:pPr>
      <w:r w:rsidRPr="00B222BD">
        <w:rPr>
          <w:rFonts w:ascii="Gadugi" w:hAnsi="Gadugi"/>
          <w:sz w:val="24"/>
          <w:szCs w:val="24"/>
        </w:rPr>
        <w:t>Magistrado</w:t>
      </w:r>
    </w:p>
    <w:sectPr w:rsidR="00923857" w:rsidRPr="00B222BD" w:rsidSect="00B222BD">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243CF" w14:textId="77777777" w:rsidR="005A4AF3" w:rsidRDefault="005A4AF3" w:rsidP="00923857">
      <w:pPr>
        <w:spacing w:after="0" w:line="240" w:lineRule="auto"/>
      </w:pPr>
      <w:r>
        <w:separator/>
      </w:r>
    </w:p>
  </w:endnote>
  <w:endnote w:type="continuationSeparator" w:id="0">
    <w:p w14:paraId="33334CD5" w14:textId="77777777" w:rsidR="005A4AF3" w:rsidRDefault="005A4AF3" w:rsidP="0092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C49F0" w14:textId="77777777" w:rsidR="005A4AF3" w:rsidRDefault="005A4AF3" w:rsidP="00923857">
      <w:pPr>
        <w:spacing w:after="0" w:line="240" w:lineRule="auto"/>
      </w:pPr>
      <w:r>
        <w:separator/>
      </w:r>
    </w:p>
  </w:footnote>
  <w:footnote w:type="continuationSeparator" w:id="0">
    <w:p w14:paraId="4B15028A" w14:textId="77777777" w:rsidR="005A4AF3" w:rsidRDefault="005A4AF3" w:rsidP="00923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4F4"/>
    <w:multiLevelType w:val="hybridMultilevel"/>
    <w:tmpl w:val="4B9AD898"/>
    <w:lvl w:ilvl="0" w:tplc="5E7A01C6">
      <w:start w:val="1"/>
      <w:numFmt w:val="lowerLetter"/>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15:restartNumberingAfterBreak="0">
    <w:nsid w:val="0335258A"/>
    <w:multiLevelType w:val="hybridMultilevel"/>
    <w:tmpl w:val="8B6E7C62"/>
    <w:lvl w:ilvl="0" w:tplc="24066C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477470"/>
    <w:multiLevelType w:val="hybridMultilevel"/>
    <w:tmpl w:val="FE7446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9E0986"/>
    <w:multiLevelType w:val="multilevel"/>
    <w:tmpl w:val="37C62F58"/>
    <w:lvl w:ilvl="0">
      <w:start w:val="2"/>
      <w:numFmt w:val="decimal"/>
      <w:lvlText w:val="%1."/>
      <w:lvlJc w:val="left"/>
      <w:pPr>
        <w:ind w:left="3555" w:hanging="360"/>
      </w:pPr>
      <w:rPr>
        <w:rFonts w:hint="default"/>
      </w:rPr>
    </w:lvl>
    <w:lvl w:ilvl="1">
      <w:start w:val="1"/>
      <w:numFmt w:val="decimal"/>
      <w:isLgl/>
      <w:lvlText w:val="%1.%2."/>
      <w:lvlJc w:val="left"/>
      <w:pPr>
        <w:ind w:left="3915" w:hanging="720"/>
      </w:pPr>
      <w:rPr>
        <w:rFonts w:eastAsia="Times New Roman" w:hint="default"/>
        <w:color w:val="auto"/>
      </w:rPr>
    </w:lvl>
    <w:lvl w:ilvl="2">
      <w:start w:val="1"/>
      <w:numFmt w:val="decimal"/>
      <w:isLgl/>
      <w:lvlText w:val="%1.%2.%3."/>
      <w:lvlJc w:val="left"/>
      <w:pPr>
        <w:ind w:left="3915" w:hanging="720"/>
      </w:pPr>
      <w:rPr>
        <w:rFonts w:eastAsia="Times New Roman" w:hint="default"/>
        <w:color w:val="auto"/>
      </w:rPr>
    </w:lvl>
    <w:lvl w:ilvl="3">
      <w:start w:val="1"/>
      <w:numFmt w:val="decimal"/>
      <w:isLgl/>
      <w:lvlText w:val="%1.%2.%3.%4."/>
      <w:lvlJc w:val="left"/>
      <w:pPr>
        <w:ind w:left="4275" w:hanging="1080"/>
      </w:pPr>
      <w:rPr>
        <w:rFonts w:eastAsia="Times New Roman" w:hint="default"/>
        <w:color w:val="auto"/>
      </w:rPr>
    </w:lvl>
    <w:lvl w:ilvl="4">
      <w:start w:val="1"/>
      <w:numFmt w:val="decimal"/>
      <w:isLgl/>
      <w:lvlText w:val="%1.%2.%3.%4.%5."/>
      <w:lvlJc w:val="left"/>
      <w:pPr>
        <w:ind w:left="4275" w:hanging="1080"/>
      </w:pPr>
      <w:rPr>
        <w:rFonts w:eastAsia="Times New Roman" w:hint="default"/>
        <w:color w:val="auto"/>
      </w:rPr>
    </w:lvl>
    <w:lvl w:ilvl="5">
      <w:start w:val="1"/>
      <w:numFmt w:val="decimal"/>
      <w:isLgl/>
      <w:lvlText w:val="%1.%2.%3.%4.%5.%6."/>
      <w:lvlJc w:val="left"/>
      <w:pPr>
        <w:ind w:left="4635" w:hanging="1440"/>
      </w:pPr>
      <w:rPr>
        <w:rFonts w:eastAsia="Times New Roman" w:hint="default"/>
        <w:color w:val="auto"/>
      </w:rPr>
    </w:lvl>
    <w:lvl w:ilvl="6">
      <w:start w:val="1"/>
      <w:numFmt w:val="decimal"/>
      <w:isLgl/>
      <w:lvlText w:val="%1.%2.%3.%4.%5.%6.%7."/>
      <w:lvlJc w:val="left"/>
      <w:pPr>
        <w:ind w:left="4995" w:hanging="1800"/>
      </w:pPr>
      <w:rPr>
        <w:rFonts w:eastAsia="Times New Roman" w:hint="default"/>
        <w:color w:val="auto"/>
      </w:rPr>
    </w:lvl>
    <w:lvl w:ilvl="7">
      <w:start w:val="1"/>
      <w:numFmt w:val="decimal"/>
      <w:isLgl/>
      <w:lvlText w:val="%1.%2.%3.%4.%5.%6.%7.%8."/>
      <w:lvlJc w:val="left"/>
      <w:pPr>
        <w:ind w:left="4995" w:hanging="1800"/>
      </w:pPr>
      <w:rPr>
        <w:rFonts w:eastAsia="Times New Roman" w:hint="default"/>
        <w:color w:val="auto"/>
      </w:rPr>
    </w:lvl>
    <w:lvl w:ilvl="8">
      <w:start w:val="1"/>
      <w:numFmt w:val="decimal"/>
      <w:isLgl/>
      <w:lvlText w:val="%1.%2.%3.%4.%5.%6.%7.%8.%9."/>
      <w:lvlJc w:val="left"/>
      <w:pPr>
        <w:ind w:left="5355" w:hanging="2160"/>
      </w:pPr>
      <w:rPr>
        <w:rFonts w:eastAsia="Times New Roman" w:hint="default"/>
        <w:color w:val="auto"/>
      </w:rPr>
    </w:lvl>
  </w:abstractNum>
  <w:abstractNum w:abstractNumId="4" w15:restartNumberingAfterBreak="0">
    <w:nsid w:val="41FA64F4"/>
    <w:multiLevelType w:val="hybridMultilevel"/>
    <w:tmpl w:val="EDF45742"/>
    <w:lvl w:ilvl="0" w:tplc="ADD0B56E">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5" w15:restartNumberingAfterBreak="0">
    <w:nsid w:val="765E3E07"/>
    <w:multiLevelType w:val="hybridMultilevel"/>
    <w:tmpl w:val="7DC4281A"/>
    <w:lvl w:ilvl="0" w:tplc="D42E67D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75C5B08"/>
    <w:multiLevelType w:val="hybridMultilevel"/>
    <w:tmpl w:val="12663748"/>
    <w:lvl w:ilvl="0" w:tplc="42FC2B1C">
      <w:start w:val="1"/>
      <w:numFmt w:val="decimal"/>
      <w:lvlText w:val="%1."/>
      <w:lvlJc w:val="left"/>
      <w:pPr>
        <w:ind w:left="3195" w:hanging="360"/>
      </w:pPr>
      <w:rPr>
        <w:rFonts w:hint="default"/>
        <w:b/>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57"/>
    <w:rsid w:val="00012458"/>
    <w:rsid w:val="00012CE8"/>
    <w:rsid w:val="00015C10"/>
    <w:rsid w:val="000261F5"/>
    <w:rsid w:val="00035128"/>
    <w:rsid w:val="00045420"/>
    <w:rsid w:val="000603A1"/>
    <w:rsid w:val="00085E50"/>
    <w:rsid w:val="00097E94"/>
    <w:rsid w:val="000A308D"/>
    <w:rsid w:val="000B5D19"/>
    <w:rsid w:val="000C3DFB"/>
    <w:rsid w:val="000D069D"/>
    <w:rsid w:val="000D5F85"/>
    <w:rsid w:val="000E2CB4"/>
    <w:rsid w:val="000E4883"/>
    <w:rsid w:val="000F16B1"/>
    <w:rsid w:val="000F1A63"/>
    <w:rsid w:val="00103B79"/>
    <w:rsid w:val="00110A28"/>
    <w:rsid w:val="00113250"/>
    <w:rsid w:val="00114E62"/>
    <w:rsid w:val="001230E7"/>
    <w:rsid w:val="00124686"/>
    <w:rsid w:val="00143933"/>
    <w:rsid w:val="00145843"/>
    <w:rsid w:val="00147E62"/>
    <w:rsid w:val="001542B5"/>
    <w:rsid w:val="0016017C"/>
    <w:rsid w:val="001605EB"/>
    <w:rsid w:val="00167EB3"/>
    <w:rsid w:val="00194AFA"/>
    <w:rsid w:val="001A3914"/>
    <w:rsid w:val="001C61F6"/>
    <w:rsid w:val="001D53FF"/>
    <w:rsid w:val="001E1E1D"/>
    <w:rsid w:val="001E5854"/>
    <w:rsid w:val="001E5E1F"/>
    <w:rsid w:val="001F3BCB"/>
    <w:rsid w:val="001F473A"/>
    <w:rsid w:val="00213B91"/>
    <w:rsid w:val="00217F64"/>
    <w:rsid w:val="00223D24"/>
    <w:rsid w:val="002311B0"/>
    <w:rsid w:val="00231647"/>
    <w:rsid w:val="002340BD"/>
    <w:rsid w:val="002400A0"/>
    <w:rsid w:val="0025219D"/>
    <w:rsid w:val="002533A6"/>
    <w:rsid w:val="00254FA1"/>
    <w:rsid w:val="00257D5D"/>
    <w:rsid w:val="00271416"/>
    <w:rsid w:val="002932CB"/>
    <w:rsid w:val="002A4EC9"/>
    <w:rsid w:val="002B1E83"/>
    <w:rsid w:val="002E6109"/>
    <w:rsid w:val="002E7FB9"/>
    <w:rsid w:val="002F3D87"/>
    <w:rsid w:val="002F5250"/>
    <w:rsid w:val="00307B92"/>
    <w:rsid w:val="00307E25"/>
    <w:rsid w:val="0031734E"/>
    <w:rsid w:val="00317687"/>
    <w:rsid w:val="00327456"/>
    <w:rsid w:val="00361B1B"/>
    <w:rsid w:val="0037194F"/>
    <w:rsid w:val="003765FA"/>
    <w:rsid w:val="003773D0"/>
    <w:rsid w:val="0038142A"/>
    <w:rsid w:val="0039010E"/>
    <w:rsid w:val="00396C4A"/>
    <w:rsid w:val="003A0E4D"/>
    <w:rsid w:val="003A3F76"/>
    <w:rsid w:val="003B169F"/>
    <w:rsid w:val="003C0AB8"/>
    <w:rsid w:val="003D500D"/>
    <w:rsid w:val="003D7CF8"/>
    <w:rsid w:val="003E7E01"/>
    <w:rsid w:val="003F0315"/>
    <w:rsid w:val="004058AA"/>
    <w:rsid w:val="004148E9"/>
    <w:rsid w:val="004230C0"/>
    <w:rsid w:val="00423150"/>
    <w:rsid w:val="004255CA"/>
    <w:rsid w:val="00436B81"/>
    <w:rsid w:val="004459F1"/>
    <w:rsid w:val="00486C3A"/>
    <w:rsid w:val="00492DF7"/>
    <w:rsid w:val="00494CED"/>
    <w:rsid w:val="004A3F61"/>
    <w:rsid w:val="004A7D06"/>
    <w:rsid w:val="004B199D"/>
    <w:rsid w:val="004B39FF"/>
    <w:rsid w:val="004B5820"/>
    <w:rsid w:val="004C3F6D"/>
    <w:rsid w:val="004D4A20"/>
    <w:rsid w:val="004D7F65"/>
    <w:rsid w:val="004F0615"/>
    <w:rsid w:val="005063B2"/>
    <w:rsid w:val="00513B91"/>
    <w:rsid w:val="00515154"/>
    <w:rsid w:val="0053493D"/>
    <w:rsid w:val="0056572E"/>
    <w:rsid w:val="005746E4"/>
    <w:rsid w:val="005916CA"/>
    <w:rsid w:val="005A4AF3"/>
    <w:rsid w:val="005B407A"/>
    <w:rsid w:val="005C0AEA"/>
    <w:rsid w:val="005C19B7"/>
    <w:rsid w:val="005C6634"/>
    <w:rsid w:val="005D7E5F"/>
    <w:rsid w:val="005E1192"/>
    <w:rsid w:val="005E1C15"/>
    <w:rsid w:val="005E3A80"/>
    <w:rsid w:val="005F2AED"/>
    <w:rsid w:val="00606002"/>
    <w:rsid w:val="006139E3"/>
    <w:rsid w:val="006263AD"/>
    <w:rsid w:val="006300EE"/>
    <w:rsid w:val="00641859"/>
    <w:rsid w:val="00650C5E"/>
    <w:rsid w:val="0065550A"/>
    <w:rsid w:val="006558AC"/>
    <w:rsid w:val="00671C26"/>
    <w:rsid w:val="006772D0"/>
    <w:rsid w:val="00680EA6"/>
    <w:rsid w:val="00681F2C"/>
    <w:rsid w:val="0068515D"/>
    <w:rsid w:val="006901B2"/>
    <w:rsid w:val="00696D3B"/>
    <w:rsid w:val="006B22B9"/>
    <w:rsid w:val="006B2C19"/>
    <w:rsid w:val="006C201D"/>
    <w:rsid w:val="006E74A8"/>
    <w:rsid w:val="006F08CB"/>
    <w:rsid w:val="006F3647"/>
    <w:rsid w:val="0070165A"/>
    <w:rsid w:val="00703138"/>
    <w:rsid w:val="00721549"/>
    <w:rsid w:val="00726A0A"/>
    <w:rsid w:val="00733223"/>
    <w:rsid w:val="0075270E"/>
    <w:rsid w:val="00754737"/>
    <w:rsid w:val="007604FF"/>
    <w:rsid w:val="00766DD1"/>
    <w:rsid w:val="007864FF"/>
    <w:rsid w:val="00790101"/>
    <w:rsid w:val="007A773A"/>
    <w:rsid w:val="007C5A0D"/>
    <w:rsid w:val="007D19BE"/>
    <w:rsid w:val="007D4BAE"/>
    <w:rsid w:val="007D502A"/>
    <w:rsid w:val="007F58C8"/>
    <w:rsid w:val="00816C1A"/>
    <w:rsid w:val="00826413"/>
    <w:rsid w:val="00827318"/>
    <w:rsid w:val="00836F5D"/>
    <w:rsid w:val="008435AA"/>
    <w:rsid w:val="0084441E"/>
    <w:rsid w:val="008461CE"/>
    <w:rsid w:val="00870AB6"/>
    <w:rsid w:val="00872990"/>
    <w:rsid w:val="00877B2A"/>
    <w:rsid w:val="008874FB"/>
    <w:rsid w:val="008936AB"/>
    <w:rsid w:val="00893D31"/>
    <w:rsid w:val="008B0257"/>
    <w:rsid w:val="008B272D"/>
    <w:rsid w:val="008B2C63"/>
    <w:rsid w:val="008C175B"/>
    <w:rsid w:val="008D349B"/>
    <w:rsid w:val="008D699B"/>
    <w:rsid w:val="008E0845"/>
    <w:rsid w:val="008E0C42"/>
    <w:rsid w:val="008E1100"/>
    <w:rsid w:val="008E28F6"/>
    <w:rsid w:val="008E38D2"/>
    <w:rsid w:val="008F006F"/>
    <w:rsid w:val="009009E3"/>
    <w:rsid w:val="0090725E"/>
    <w:rsid w:val="00923857"/>
    <w:rsid w:val="00926538"/>
    <w:rsid w:val="00931E32"/>
    <w:rsid w:val="00946548"/>
    <w:rsid w:val="0095677F"/>
    <w:rsid w:val="00971A47"/>
    <w:rsid w:val="00986DA2"/>
    <w:rsid w:val="009948DF"/>
    <w:rsid w:val="00995D50"/>
    <w:rsid w:val="009A15AF"/>
    <w:rsid w:val="009A5A76"/>
    <w:rsid w:val="009C7A42"/>
    <w:rsid w:val="009D0487"/>
    <w:rsid w:val="009D4C3C"/>
    <w:rsid w:val="00A20CCF"/>
    <w:rsid w:val="00A213F2"/>
    <w:rsid w:val="00A27E22"/>
    <w:rsid w:val="00A34A39"/>
    <w:rsid w:val="00A41553"/>
    <w:rsid w:val="00A53F2F"/>
    <w:rsid w:val="00A61F9F"/>
    <w:rsid w:val="00A71E4C"/>
    <w:rsid w:val="00A84E12"/>
    <w:rsid w:val="00A87F5E"/>
    <w:rsid w:val="00AA345C"/>
    <w:rsid w:val="00AB6BFF"/>
    <w:rsid w:val="00AC21EB"/>
    <w:rsid w:val="00AC2FF3"/>
    <w:rsid w:val="00AC42D0"/>
    <w:rsid w:val="00AE2D58"/>
    <w:rsid w:val="00AF6F6E"/>
    <w:rsid w:val="00B07E35"/>
    <w:rsid w:val="00B222BD"/>
    <w:rsid w:val="00B3089D"/>
    <w:rsid w:val="00B615B7"/>
    <w:rsid w:val="00B7354B"/>
    <w:rsid w:val="00B8043B"/>
    <w:rsid w:val="00B817B1"/>
    <w:rsid w:val="00B94946"/>
    <w:rsid w:val="00B95C84"/>
    <w:rsid w:val="00B96C97"/>
    <w:rsid w:val="00BA08BD"/>
    <w:rsid w:val="00BA4881"/>
    <w:rsid w:val="00BA67A5"/>
    <w:rsid w:val="00BA7210"/>
    <w:rsid w:val="00BA7499"/>
    <w:rsid w:val="00BB2B3A"/>
    <w:rsid w:val="00BC33D2"/>
    <w:rsid w:val="00BD0CE7"/>
    <w:rsid w:val="00BD65F8"/>
    <w:rsid w:val="00BE3362"/>
    <w:rsid w:val="00C0185F"/>
    <w:rsid w:val="00C05AF7"/>
    <w:rsid w:val="00C1000A"/>
    <w:rsid w:val="00C21A1B"/>
    <w:rsid w:val="00C21FEE"/>
    <w:rsid w:val="00C221A8"/>
    <w:rsid w:val="00C234AA"/>
    <w:rsid w:val="00C30E85"/>
    <w:rsid w:val="00C33107"/>
    <w:rsid w:val="00C4446D"/>
    <w:rsid w:val="00C4604C"/>
    <w:rsid w:val="00C465A5"/>
    <w:rsid w:val="00C61CCE"/>
    <w:rsid w:val="00C6419F"/>
    <w:rsid w:val="00C709A6"/>
    <w:rsid w:val="00C97F45"/>
    <w:rsid w:val="00CB040A"/>
    <w:rsid w:val="00CB07D5"/>
    <w:rsid w:val="00CB168B"/>
    <w:rsid w:val="00CE5BEA"/>
    <w:rsid w:val="00CF1D38"/>
    <w:rsid w:val="00CF6959"/>
    <w:rsid w:val="00CF766D"/>
    <w:rsid w:val="00D06664"/>
    <w:rsid w:val="00D31AB6"/>
    <w:rsid w:val="00D340C0"/>
    <w:rsid w:val="00D429C0"/>
    <w:rsid w:val="00D42C88"/>
    <w:rsid w:val="00D45E40"/>
    <w:rsid w:val="00D517E4"/>
    <w:rsid w:val="00D72A3D"/>
    <w:rsid w:val="00D84DA5"/>
    <w:rsid w:val="00D931A0"/>
    <w:rsid w:val="00DA1117"/>
    <w:rsid w:val="00DA7668"/>
    <w:rsid w:val="00DB67AF"/>
    <w:rsid w:val="00DC1206"/>
    <w:rsid w:val="00DC2377"/>
    <w:rsid w:val="00DE2F28"/>
    <w:rsid w:val="00E00C73"/>
    <w:rsid w:val="00E06E16"/>
    <w:rsid w:val="00E16406"/>
    <w:rsid w:val="00E17669"/>
    <w:rsid w:val="00E349F8"/>
    <w:rsid w:val="00E34BAB"/>
    <w:rsid w:val="00E4003E"/>
    <w:rsid w:val="00E41631"/>
    <w:rsid w:val="00E5363F"/>
    <w:rsid w:val="00E80742"/>
    <w:rsid w:val="00E84741"/>
    <w:rsid w:val="00E941CF"/>
    <w:rsid w:val="00EA0502"/>
    <w:rsid w:val="00EB584D"/>
    <w:rsid w:val="00EC0B49"/>
    <w:rsid w:val="00EC61B2"/>
    <w:rsid w:val="00EE1BB0"/>
    <w:rsid w:val="00EF072D"/>
    <w:rsid w:val="00F01069"/>
    <w:rsid w:val="00F166CB"/>
    <w:rsid w:val="00F303BC"/>
    <w:rsid w:val="00F37D65"/>
    <w:rsid w:val="00F473AE"/>
    <w:rsid w:val="00F50AE2"/>
    <w:rsid w:val="00F62CAA"/>
    <w:rsid w:val="00F62F9C"/>
    <w:rsid w:val="00F65E3D"/>
    <w:rsid w:val="00F76ACC"/>
    <w:rsid w:val="00F80105"/>
    <w:rsid w:val="00F80A76"/>
    <w:rsid w:val="00F82AFA"/>
    <w:rsid w:val="00F90613"/>
    <w:rsid w:val="00F9095B"/>
    <w:rsid w:val="00F92997"/>
    <w:rsid w:val="00FA0057"/>
    <w:rsid w:val="00FA6043"/>
    <w:rsid w:val="00FC185A"/>
    <w:rsid w:val="00FC48E8"/>
    <w:rsid w:val="00FD2EB4"/>
    <w:rsid w:val="00FD5425"/>
    <w:rsid w:val="00FE5CB7"/>
    <w:rsid w:val="00FF65B5"/>
    <w:rsid w:val="00FF7D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9EFB"/>
  <w15:chartTrackingRefBased/>
  <w15:docId w15:val="{3027A79C-60A0-4AC7-BE26-62217DFF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paragraph" w:styleId="Ttulo1">
    <w:name w:val="heading 1"/>
    <w:basedOn w:val="Normal"/>
    <w:next w:val="Normal"/>
    <w:link w:val="Ttulo1Car"/>
    <w:uiPriority w:val="9"/>
    <w:qFormat/>
    <w:rsid w:val="000A30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923857"/>
    <w:pPr>
      <w:spacing w:after="0" w:line="240" w:lineRule="auto"/>
    </w:pPr>
    <w:rPr>
      <w:rFonts w:ascii="Times New Roman" w:eastAsia="Times New Roman" w:hAnsi="Times New Roman"/>
      <w:sz w:val="20"/>
      <w:szCs w:val="20"/>
      <w:lang w:eastAsia="es-ES"/>
    </w:rPr>
  </w:style>
  <w:style w:type="character" w:customStyle="1" w:styleId="TextonotapieCar">
    <w:name w:val="Texto nota pie Car"/>
    <w:link w:val="Textonotapie"/>
    <w:semiHidden/>
    <w:rsid w:val="00923857"/>
    <w:rPr>
      <w:rFonts w:ascii="Times New Roman" w:eastAsia="Times New Roman" w:hAnsi="Times New Roman" w:cs="Times New Roman"/>
      <w:sz w:val="20"/>
      <w:szCs w:val="20"/>
      <w:lang w:eastAsia="es-ES"/>
    </w:rPr>
  </w:style>
  <w:style w:type="character" w:styleId="Refdenotaalpie">
    <w:name w:val="footnote reference"/>
    <w:semiHidden/>
    <w:unhideWhenUsed/>
    <w:rsid w:val="00923857"/>
    <w:rPr>
      <w:vertAlign w:val="superscript"/>
    </w:rPr>
  </w:style>
  <w:style w:type="paragraph" w:styleId="Prrafodelista">
    <w:name w:val="List Paragraph"/>
    <w:basedOn w:val="Normal"/>
    <w:uiPriority w:val="34"/>
    <w:qFormat/>
    <w:rsid w:val="00FD5425"/>
    <w:pPr>
      <w:ind w:left="708"/>
    </w:pPr>
  </w:style>
  <w:style w:type="paragraph" w:styleId="Textodeglobo">
    <w:name w:val="Balloon Text"/>
    <w:basedOn w:val="Normal"/>
    <w:link w:val="TextodegloboCar"/>
    <w:uiPriority w:val="99"/>
    <w:semiHidden/>
    <w:unhideWhenUsed/>
    <w:rsid w:val="00726A0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26A0A"/>
    <w:rPr>
      <w:rFonts w:ascii="Segoe UI" w:hAnsi="Segoe UI" w:cs="Segoe UI"/>
      <w:sz w:val="18"/>
      <w:szCs w:val="18"/>
      <w:lang w:val="es-ES" w:eastAsia="en-US"/>
    </w:rPr>
  </w:style>
  <w:style w:type="paragraph" w:styleId="Encabezado">
    <w:name w:val="header"/>
    <w:basedOn w:val="Normal"/>
    <w:link w:val="EncabezadoCar"/>
    <w:uiPriority w:val="99"/>
    <w:unhideWhenUsed/>
    <w:rsid w:val="001605EB"/>
    <w:pPr>
      <w:tabs>
        <w:tab w:val="center" w:pos="4419"/>
        <w:tab w:val="right" w:pos="8838"/>
      </w:tabs>
    </w:pPr>
  </w:style>
  <w:style w:type="character" w:customStyle="1" w:styleId="EncabezadoCar">
    <w:name w:val="Encabezado Car"/>
    <w:link w:val="Encabezado"/>
    <w:uiPriority w:val="99"/>
    <w:rsid w:val="001605EB"/>
    <w:rPr>
      <w:sz w:val="22"/>
      <w:szCs w:val="22"/>
      <w:lang w:val="es-ES" w:eastAsia="en-US"/>
    </w:rPr>
  </w:style>
  <w:style w:type="paragraph" w:styleId="Piedepgina">
    <w:name w:val="footer"/>
    <w:basedOn w:val="Normal"/>
    <w:link w:val="PiedepginaCar"/>
    <w:uiPriority w:val="99"/>
    <w:unhideWhenUsed/>
    <w:rsid w:val="001605EB"/>
    <w:pPr>
      <w:tabs>
        <w:tab w:val="center" w:pos="4419"/>
        <w:tab w:val="right" w:pos="8838"/>
      </w:tabs>
    </w:pPr>
  </w:style>
  <w:style w:type="character" w:customStyle="1" w:styleId="PiedepginaCar">
    <w:name w:val="Pie de página Car"/>
    <w:link w:val="Piedepgina"/>
    <w:uiPriority w:val="99"/>
    <w:rsid w:val="001605EB"/>
    <w:rPr>
      <w:sz w:val="22"/>
      <w:szCs w:val="22"/>
      <w:lang w:val="es-ES" w:eastAsia="en-US"/>
    </w:rPr>
  </w:style>
  <w:style w:type="character" w:customStyle="1" w:styleId="Ttulo1Car">
    <w:name w:val="Título 1 Car"/>
    <w:basedOn w:val="Fuentedeprrafopredeter"/>
    <w:link w:val="Ttulo1"/>
    <w:uiPriority w:val="9"/>
    <w:rsid w:val="000A308D"/>
    <w:rPr>
      <w:rFonts w:asciiTheme="majorHAnsi" w:eastAsiaTheme="majorEastAsia" w:hAnsiTheme="majorHAnsi" w:cstheme="majorBidi"/>
      <w:color w:val="2F5496" w:themeColor="accent1" w:themeShade="BF"/>
      <w:sz w:val="32"/>
      <w:szCs w:val="32"/>
      <w:lang w:val="es-ES" w:eastAsia="en-US"/>
    </w:rPr>
  </w:style>
  <w:style w:type="paragraph" w:styleId="Lista2">
    <w:name w:val="List 2"/>
    <w:basedOn w:val="Normal"/>
    <w:uiPriority w:val="99"/>
    <w:unhideWhenUsed/>
    <w:rsid w:val="000A308D"/>
    <w:pPr>
      <w:ind w:left="566" w:hanging="283"/>
      <w:contextualSpacing/>
    </w:pPr>
  </w:style>
  <w:style w:type="paragraph" w:styleId="Encabezadodemensaje">
    <w:name w:val="Message Header"/>
    <w:basedOn w:val="Normal"/>
    <w:link w:val="EncabezadodemensajeCar"/>
    <w:uiPriority w:val="99"/>
    <w:unhideWhenUsed/>
    <w:rsid w:val="000A30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0A308D"/>
    <w:rPr>
      <w:rFonts w:asciiTheme="majorHAnsi" w:eastAsiaTheme="majorEastAsia" w:hAnsiTheme="majorHAnsi" w:cstheme="majorBidi"/>
      <w:sz w:val="24"/>
      <w:szCs w:val="24"/>
      <w:shd w:val="pct20" w:color="auto" w:fill="auto"/>
      <w:lang w:val="es-ES" w:eastAsia="en-US"/>
    </w:rPr>
  </w:style>
  <w:style w:type="paragraph" w:styleId="Ttulo">
    <w:name w:val="Title"/>
    <w:basedOn w:val="Normal"/>
    <w:next w:val="Normal"/>
    <w:link w:val="TtuloCar"/>
    <w:uiPriority w:val="10"/>
    <w:qFormat/>
    <w:rsid w:val="000A30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A308D"/>
    <w:rPr>
      <w:rFonts w:asciiTheme="majorHAnsi" w:eastAsiaTheme="majorEastAsia" w:hAnsiTheme="majorHAnsi" w:cstheme="majorBidi"/>
      <w:spacing w:val="-10"/>
      <w:kern w:val="28"/>
      <w:sz w:val="56"/>
      <w:szCs w:val="56"/>
      <w:lang w:val="es-ES" w:eastAsia="en-US"/>
    </w:rPr>
  </w:style>
  <w:style w:type="paragraph" w:styleId="Textoindependiente">
    <w:name w:val="Body Text"/>
    <w:basedOn w:val="Normal"/>
    <w:link w:val="TextoindependienteCar"/>
    <w:uiPriority w:val="99"/>
    <w:unhideWhenUsed/>
    <w:rsid w:val="000A308D"/>
    <w:pPr>
      <w:spacing w:after="120"/>
    </w:pPr>
  </w:style>
  <w:style w:type="character" w:customStyle="1" w:styleId="TextoindependienteCar">
    <w:name w:val="Texto independiente Car"/>
    <w:basedOn w:val="Fuentedeprrafopredeter"/>
    <w:link w:val="Textoindependiente"/>
    <w:uiPriority w:val="99"/>
    <w:rsid w:val="000A308D"/>
    <w:rPr>
      <w:sz w:val="22"/>
      <w:szCs w:val="22"/>
      <w:lang w:val="es-ES" w:eastAsia="en-US"/>
    </w:rPr>
  </w:style>
  <w:style w:type="paragraph" w:styleId="Subttulo">
    <w:name w:val="Subtitle"/>
    <w:basedOn w:val="Normal"/>
    <w:next w:val="Normal"/>
    <w:link w:val="SubttuloCar"/>
    <w:uiPriority w:val="11"/>
    <w:qFormat/>
    <w:rsid w:val="000A308D"/>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0A308D"/>
    <w:rPr>
      <w:rFonts w:asciiTheme="minorHAnsi" w:eastAsiaTheme="minorEastAsia" w:hAnsiTheme="minorHAnsi" w:cstheme="minorBidi"/>
      <w:color w:val="5A5A5A" w:themeColor="text1" w:themeTint="A5"/>
      <w:spacing w:val="15"/>
      <w:sz w:val="22"/>
      <w:szCs w:val="22"/>
      <w:lang w:val="es-ES" w:eastAsia="en-US"/>
    </w:rPr>
  </w:style>
  <w:style w:type="paragraph" w:styleId="Textoindependienteprimerasangra">
    <w:name w:val="Body Text First Indent"/>
    <w:basedOn w:val="Textoindependiente"/>
    <w:link w:val="TextoindependienteprimerasangraCar"/>
    <w:uiPriority w:val="99"/>
    <w:unhideWhenUsed/>
    <w:rsid w:val="000A308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A308D"/>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7149">
      <w:bodyDiv w:val="1"/>
      <w:marLeft w:val="0"/>
      <w:marRight w:val="0"/>
      <w:marTop w:val="0"/>
      <w:marBottom w:val="0"/>
      <w:divBdr>
        <w:top w:val="none" w:sz="0" w:space="0" w:color="auto"/>
        <w:left w:val="none" w:sz="0" w:space="0" w:color="auto"/>
        <w:bottom w:val="none" w:sz="0" w:space="0" w:color="auto"/>
        <w:right w:val="none" w:sz="0" w:space="0" w:color="auto"/>
      </w:divBdr>
    </w:div>
    <w:div w:id="783965227">
      <w:bodyDiv w:val="1"/>
      <w:marLeft w:val="0"/>
      <w:marRight w:val="0"/>
      <w:marTop w:val="0"/>
      <w:marBottom w:val="0"/>
      <w:divBdr>
        <w:top w:val="none" w:sz="0" w:space="0" w:color="auto"/>
        <w:left w:val="none" w:sz="0" w:space="0" w:color="auto"/>
        <w:bottom w:val="none" w:sz="0" w:space="0" w:color="auto"/>
        <w:right w:val="none" w:sz="0" w:space="0" w:color="auto"/>
      </w:divBdr>
    </w:div>
    <w:div w:id="19684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1" ma:contentTypeDescription="Crear nuevo documento." ma:contentTypeScope="" ma:versionID="c721996b405742483327067c3656c707">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17b575e4ce7bab19662f5dbb26cace48"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64ED-01CD-4EA0-BD18-67A5FB9C2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93B13-A629-426A-8D26-B8329310A4CF}">
  <ds:schemaRefs>
    <ds:schemaRef ds:uri="http://schemas.microsoft.com/sharepoint/v3/contenttype/forms"/>
  </ds:schemaRefs>
</ds:datastoreItem>
</file>

<file path=customXml/itemProps3.xml><?xml version="1.0" encoding="utf-8"?>
<ds:datastoreItem xmlns:ds="http://schemas.openxmlformats.org/officeDocument/2006/customXml" ds:itemID="{6507A2B3-E3E1-4E2C-8B66-CF6807E6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2268</Words>
  <Characters>12480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Civil Familia 1</dc:creator>
  <cp:keywords/>
  <dc:description/>
  <cp:lastModifiedBy>Hermides Alonso Gaviria Ocampo</cp:lastModifiedBy>
  <cp:revision>6</cp:revision>
  <cp:lastPrinted>2018-07-17T14:18:00Z</cp:lastPrinted>
  <dcterms:created xsi:type="dcterms:W3CDTF">2021-02-17T15:34:00Z</dcterms:created>
  <dcterms:modified xsi:type="dcterms:W3CDTF">2021-04-28T15:08:00Z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ies>
</file>