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D813" w14:textId="77777777" w:rsidR="00D43BAD" w:rsidRPr="00D43BAD" w:rsidRDefault="00D43BAD" w:rsidP="00D43BA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D43BA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F016A8" w14:textId="77777777" w:rsidR="00D43BAD" w:rsidRPr="00D43BAD" w:rsidRDefault="00D43BAD" w:rsidP="00D43BAD">
      <w:pPr>
        <w:overflowPunct/>
        <w:autoSpaceDE/>
        <w:autoSpaceDN/>
        <w:adjustRightInd/>
        <w:jc w:val="both"/>
        <w:textAlignment w:val="auto"/>
        <w:rPr>
          <w:rFonts w:ascii="Arial" w:hAnsi="Arial" w:cs="Arial"/>
          <w:lang w:val="es-419"/>
        </w:rPr>
      </w:pPr>
    </w:p>
    <w:p w14:paraId="5AFDCC1E" w14:textId="77777777" w:rsidR="00D43BAD" w:rsidRPr="00D43BAD" w:rsidRDefault="00D43BAD" w:rsidP="00D43BAD">
      <w:pPr>
        <w:overflowPunct/>
        <w:autoSpaceDE/>
        <w:autoSpaceDN/>
        <w:adjustRightInd/>
        <w:jc w:val="both"/>
        <w:textAlignment w:val="auto"/>
        <w:rPr>
          <w:rFonts w:ascii="Arial" w:hAnsi="Arial" w:cs="Arial"/>
          <w:lang w:val="es-419"/>
        </w:rPr>
      </w:pPr>
      <w:r w:rsidRPr="00D43BAD">
        <w:rPr>
          <w:rFonts w:ascii="Arial" w:hAnsi="Arial" w:cs="Arial"/>
          <w:lang w:val="es-419"/>
        </w:rPr>
        <w:t>Expediente:</w:t>
      </w:r>
      <w:r w:rsidRPr="00D43BAD">
        <w:rPr>
          <w:rFonts w:ascii="Arial" w:hAnsi="Arial" w:cs="Arial"/>
          <w:lang w:val="es-419"/>
        </w:rPr>
        <w:tab/>
        <w:t>05001310301520060034802</w:t>
      </w:r>
    </w:p>
    <w:p w14:paraId="558C8BBD" w14:textId="77777777" w:rsidR="00D43BAD" w:rsidRPr="00D43BAD" w:rsidRDefault="00D43BAD" w:rsidP="00D43BAD">
      <w:pPr>
        <w:overflowPunct/>
        <w:autoSpaceDE/>
        <w:autoSpaceDN/>
        <w:adjustRightInd/>
        <w:jc w:val="both"/>
        <w:textAlignment w:val="auto"/>
        <w:rPr>
          <w:rFonts w:ascii="Arial" w:hAnsi="Arial" w:cs="Arial"/>
          <w:lang w:val="es-419"/>
        </w:rPr>
      </w:pPr>
      <w:r w:rsidRPr="00D43BAD">
        <w:rPr>
          <w:rFonts w:ascii="Arial" w:hAnsi="Arial" w:cs="Arial"/>
          <w:lang w:val="es-419"/>
        </w:rPr>
        <w:t xml:space="preserve">Demandante: </w:t>
      </w:r>
      <w:r w:rsidRPr="00D43BAD">
        <w:rPr>
          <w:rFonts w:ascii="Arial" w:hAnsi="Arial" w:cs="Arial"/>
          <w:lang w:val="es-419"/>
        </w:rPr>
        <w:tab/>
        <w:t>José Raúl Jaramillo Zuloaga y otra</w:t>
      </w:r>
    </w:p>
    <w:p w14:paraId="0BD9C0A2" w14:textId="77777777" w:rsidR="00D43BAD" w:rsidRPr="00D43BAD" w:rsidRDefault="00D43BAD" w:rsidP="00D43BAD">
      <w:pPr>
        <w:overflowPunct/>
        <w:autoSpaceDE/>
        <w:autoSpaceDN/>
        <w:adjustRightInd/>
        <w:jc w:val="both"/>
        <w:textAlignment w:val="auto"/>
        <w:rPr>
          <w:rFonts w:ascii="Arial" w:hAnsi="Arial" w:cs="Arial"/>
          <w:lang w:val="es-419"/>
        </w:rPr>
      </w:pPr>
      <w:r w:rsidRPr="00D43BAD">
        <w:rPr>
          <w:rFonts w:ascii="Arial" w:hAnsi="Arial" w:cs="Arial"/>
          <w:lang w:val="es-419"/>
        </w:rPr>
        <w:t xml:space="preserve">Demandado: </w:t>
      </w:r>
      <w:r w:rsidRPr="00D43BAD">
        <w:rPr>
          <w:rFonts w:ascii="Arial" w:hAnsi="Arial" w:cs="Arial"/>
          <w:lang w:val="es-419"/>
        </w:rPr>
        <w:tab/>
        <w:t xml:space="preserve">Alianza Fiduciaria S.A. </w:t>
      </w:r>
    </w:p>
    <w:p w14:paraId="2EA22F5B" w14:textId="456A598A" w:rsidR="00D43BAD" w:rsidRPr="00D43BAD" w:rsidRDefault="00D43BAD" w:rsidP="00D43BAD">
      <w:pPr>
        <w:overflowPunct/>
        <w:autoSpaceDE/>
        <w:autoSpaceDN/>
        <w:adjustRightInd/>
        <w:jc w:val="both"/>
        <w:textAlignment w:val="auto"/>
        <w:rPr>
          <w:rFonts w:ascii="Arial" w:hAnsi="Arial" w:cs="Arial"/>
          <w:lang w:val="es-419"/>
        </w:rPr>
      </w:pPr>
      <w:r w:rsidRPr="00D43BAD">
        <w:rPr>
          <w:rFonts w:ascii="Arial" w:hAnsi="Arial" w:cs="Arial"/>
          <w:lang w:val="es-419"/>
        </w:rPr>
        <w:t xml:space="preserve">Proceso: </w:t>
      </w:r>
      <w:r w:rsidRPr="00D43BAD">
        <w:rPr>
          <w:rFonts w:ascii="Arial" w:hAnsi="Arial" w:cs="Arial"/>
          <w:lang w:val="es-419"/>
        </w:rPr>
        <w:tab/>
        <w:t>Ordinario (Existencia de contrato)</w:t>
      </w:r>
    </w:p>
    <w:p w14:paraId="1EFF8782" w14:textId="77777777" w:rsidR="00D43BAD" w:rsidRPr="00D43BAD" w:rsidRDefault="00D43BAD" w:rsidP="00D43BAD">
      <w:pPr>
        <w:overflowPunct/>
        <w:autoSpaceDE/>
        <w:autoSpaceDN/>
        <w:adjustRightInd/>
        <w:jc w:val="both"/>
        <w:textAlignment w:val="auto"/>
        <w:rPr>
          <w:rFonts w:ascii="Arial" w:hAnsi="Arial" w:cs="Arial"/>
          <w:lang w:val="es-419"/>
        </w:rPr>
      </w:pPr>
    </w:p>
    <w:p w14:paraId="4BFE4AB6" w14:textId="47BBF759" w:rsidR="00D43BAD" w:rsidRPr="00D43BAD" w:rsidRDefault="00D43BAD" w:rsidP="00D43BAD">
      <w:pPr>
        <w:overflowPunct/>
        <w:autoSpaceDE/>
        <w:autoSpaceDN/>
        <w:adjustRightInd/>
        <w:jc w:val="both"/>
        <w:textAlignment w:val="auto"/>
        <w:rPr>
          <w:rFonts w:ascii="Arial" w:hAnsi="Arial" w:cs="Arial"/>
          <w:b/>
          <w:bCs/>
          <w:iCs/>
          <w:lang w:val="es-419" w:eastAsia="fr-FR"/>
        </w:rPr>
      </w:pPr>
      <w:r w:rsidRPr="00D43BAD">
        <w:rPr>
          <w:rFonts w:ascii="Arial" w:hAnsi="Arial" w:cs="Arial"/>
          <w:b/>
          <w:bCs/>
          <w:iCs/>
          <w:u w:val="single"/>
          <w:lang w:val="es-419" w:eastAsia="fr-FR"/>
        </w:rPr>
        <w:t>TEMAS:</w:t>
      </w:r>
      <w:r w:rsidRPr="00D43BAD">
        <w:rPr>
          <w:rFonts w:ascii="Arial" w:hAnsi="Arial" w:cs="Arial"/>
          <w:b/>
          <w:bCs/>
          <w:iCs/>
          <w:lang w:val="es-419" w:eastAsia="fr-FR"/>
        </w:rPr>
        <w:tab/>
      </w:r>
      <w:r w:rsidR="009E3410">
        <w:rPr>
          <w:rFonts w:ascii="Arial" w:hAnsi="Arial" w:cs="Arial"/>
          <w:b/>
          <w:bCs/>
          <w:iCs/>
          <w:lang w:val="es-419" w:eastAsia="fr-FR"/>
        </w:rPr>
        <w:t xml:space="preserve">CONTRATO DE FIDUCIA </w:t>
      </w:r>
      <w:r w:rsidR="0014153F">
        <w:rPr>
          <w:rFonts w:ascii="Arial" w:hAnsi="Arial" w:cs="Arial"/>
          <w:b/>
          <w:bCs/>
          <w:iCs/>
          <w:lang w:val="es-419" w:eastAsia="fr-FR"/>
        </w:rPr>
        <w:t xml:space="preserve">MERCANTIL </w:t>
      </w:r>
      <w:r w:rsidRPr="00D43BAD">
        <w:rPr>
          <w:rFonts w:ascii="Arial" w:hAnsi="Arial" w:cs="Arial"/>
          <w:b/>
          <w:bCs/>
          <w:iCs/>
          <w:lang w:val="es-419" w:eastAsia="fr-FR"/>
        </w:rPr>
        <w:t xml:space="preserve">/ </w:t>
      </w:r>
      <w:r w:rsidR="0014153F">
        <w:rPr>
          <w:rFonts w:ascii="Arial" w:hAnsi="Arial" w:cs="Arial"/>
          <w:b/>
          <w:bCs/>
          <w:iCs/>
          <w:lang w:val="es-419" w:eastAsia="fr-FR"/>
        </w:rPr>
        <w:t xml:space="preserve">REQUISITOS GENERALES / CAPACIDAD, CONSENTIMIENTO, OBJETO Y CAUSA LÍCITA / </w:t>
      </w:r>
      <w:r w:rsidR="00E479AC">
        <w:rPr>
          <w:rFonts w:ascii="Arial" w:hAnsi="Arial" w:cs="Arial"/>
          <w:b/>
          <w:bCs/>
          <w:iCs/>
          <w:lang w:val="es-419" w:eastAsia="fr-FR"/>
        </w:rPr>
        <w:t xml:space="preserve">REQUISITOS ESPECIALES O </w:t>
      </w:r>
      <w:r w:rsidR="0014153F">
        <w:rPr>
          <w:rFonts w:ascii="Arial" w:hAnsi="Arial" w:cs="Arial"/>
          <w:b/>
          <w:bCs/>
          <w:iCs/>
          <w:lang w:val="es-419" w:eastAsia="fr-FR"/>
        </w:rPr>
        <w:t xml:space="preserve">SOLEMNIDADES / </w:t>
      </w:r>
      <w:r w:rsidR="00E479AC">
        <w:rPr>
          <w:rFonts w:ascii="Arial" w:hAnsi="Arial" w:cs="Arial"/>
          <w:b/>
          <w:bCs/>
          <w:iCs/>
          <w:lang w:val="es-419" w:eastAsia="fr-FR"/>
        </w:rPr>
        <w:t xml:space="preserve">TRANSFERENCIA DE DOMINIO DE LOS BIENES, SOCIEDAD FIDUCIARIA AUTORIZADA Y EXIGENCIAS EN CASO DE BIENES SOMETIDOS A REGISTRO / </w:t>
      </w:r>
      <w:r w:rsidR="0014153F">
        <w:rPr>
          <w:rFonts w:ascii="Arial" w:hAnsi="Arial" w:cs="Arial"/>
          <w:b/>
          <w:bCs/>
          <w:iCs/>
          <w:lang w:val="es-419" w:eastAsia="fr-FR"/>
        </w:rPr>
        <w:t xml:space="preserve">INEXISTENCIA DEL CONTRATO </w:t>
      </w:r>
      <w:r w:rsidR="00201B2D">
        <w:rPr>
          <w:rFonts w:ascii="Arial" w:hAnsi="Arial" w:cs="Arial"/>
          <w:b/>
          <w:bCs/>
          <w:iCs/>
          <w:lang w:val="es-419" w:eastAsia="fr-FR"/>
        </w:rPr>
        <w:t>SI NO SE CUMPLEN / ACCIONES NOMINATIVAS / NO SON BIENES SUJETOS A REGISTRO.</w:t>
      </w:r>
    </w:p>
    <w:p w14:paraId="758502B4" w14:textId="77777777" w:rsidR="00D43BAD" w:rsidRPr="00D43BAD" w:rsidRDefault="00D43BAD" w:rsidP="00D43BAD">
      <w:pPr>
        <w:overflowPunct/>
        <w:autoSpaceDE/>
        <w:autoSpaceDN/>
        <w:adjustRightInd/>
        <w:jc w:val="both"/>
        <w:textAlignment w:val="auto"/>
        <w:rPr>
          <w:rFonts w:ascii="Arial" w:hAnsi="Arial" w:cs="Arial"/>
          <w:lang w:val="es-419"/>
        </w:rPr>
      </w:pPr>
    </w:p>
    <w:p w14:paraId="5BF9B2F2" w14:textId="77777777" w:rsidR="0014153F" w:rsidRPr="0014153F" w:rsidRDefault="0014153F" w:rsidP="0014153F">
      <w:pPr>
        <w:overflowPunct/>
        <w:autoSpaceDE/>
        <w:autoSpaceDN/>
        <w:adjustRightInd/>
        <w:jc w:val="both"/>
        <w:textAlignment w:val="auto"/>
        <w:rPr>
          <w:rFonts w:ascii="Arial" w:hAnsi="Arial" w:cs="Arial"/>
          <w:lang w:val="es-419"/>
        </w:rPr>
      </w:pPr>
      <w:r w:rsidRPr="0014153F">
        <w:rPr>
          <w:rFonts w:ascii="Arial" w:hAnsi="Arial" w:cs="Arial"/>
          <w:lang w:val="es-419"/>
        </w:rPr>
        <w:t>A la capacidad, el consentimiento, el objeto lícito y la causa lícita, venidos del Código Civil, el estatuto comercial, en su artículo 898, añade otro elemento esencial al convenio mercantil, en el sentido de que “Será inexistente el negocio jurídico cuando se haya celebrado sin las solemnidades sustanciales que la ley exija para su formación, en razón del acto o contrato y cuando falte alguno de sus elementos esenciales.”</w:t>
      </w:r>
    </w:p>
    <w:p w14:paraId="1552E713" w14:textId="77777777" w:rsidR="0014153F" w:rsidRPr="0014153F" w:rsidRDefault="0014153F" w:rsidP="0014153F">
      <w:pPr>
        <w:overflowPunct/>
        <w:autoSpaceDE/>
        <w:autoSpaceDN/>
        <w:adjustRightInd/>
        <w:jc w:val="both"/>
        <w:textAlignment w:val="auto"/>
        <w:rPr>
          <w:rFonts w:ascii="Arial" w:hAnsi="Arial" w:cs="Arial"/>
          <w:lang w:val="es-419"/>
        </w:rPr>
      </w:pPr>
    </w:p>
    <w:p w14:paraId="0AC5A463" w14:textId="4BB9C47F" w:rsidR="00D43BAD" w:rsidRPr="00D43BAD" w:rsidRDefault="0014153F" w:rsidP="0014153F">
      <w:pPr>
        <w:overflowPunct/>
        <w:autoSpaceDE/>
        <w:autoSpaceDN/>
        <w:adjustRightInd/>
        <w:jc w:val="both"/>
        <w:textAlignment w:val="auto"/>
        <w:rPr>
          <w:rFonts w:ascii="Arial" w:hAnsi="Arial" w:cs="Arial"/>
          <w:lang w:val="es-419"/>
        </w:rPr>
      </w:pPr>
      <w:r w:rsidRPr="0014153F">
        <w:rPr>
          <w:rFonts w:ascii="Arial" w:hAnsi="Arial" w:cs="Arial"/>
          <w:lang w:val="es-419"/>
        </w:rPr>
        <w:t>La fiducia mercantil es un negocio jurídico en virtud del cual una persona, llamada fiduciante, transfiere uno o más bienes especificados a otra, llamada fiduciario, quien se obliga a administrarlos o enajenarlos para cumplir una finalidad determinada por el constituyente, en provecho de éste o de un tercero llamado beneficiario o fideicomisario (Art. 1226 del C. Co.)</w:t>
      </w:r>
      <w:r>
        <w:rPr>
          <w:rFonts w:ascii="Arial" w:hAnsi="Arial" w:cs="Arial"/>
          <w:lang w:val="es-419"/>
        </w:rPr>
        <w:t xml:space="preserve"> …</w:t>
      </w:r>
    </w:p>
    <w:p w14:paraId="5B401A24" w14:textId="77777777" w:rsidR="00D43BAD" w:rsidRPr="00D43BAD" w:rsidRDefault="00D43BAD" w:rsidP="00D43BAD">
      <w:pPr>
        <w:overflowPunct/>
        <w:autoSpaceDE/>
        <w:autoSpaceDN/>
        <w:adjustRightInd/>
        <w:jc w:val="both"/>
        <w:textAlignment w:val="auto"/>
        <w:rPr>
          <w:rFonts w:ascii="Arial" w:hAnsi="Arial" w:cs="Arial"/>
          <w:lang w:val="es-419"/>
        </w:rPr>
      </w:pPr>
    </w:p>
    <w:p w14:paraId="4537CF6A" w14:textId="0264B294" w:rsidR="00D43BAD" w:rsidRPr="00D43BAD" w:rsidRDefault="00E479AC" w:rsidP="00D43BAD">
      <w:pPr>
        <w:overflowPunct/>
        <w:autoSpaceDE/>
        <w:autoSpaceDN/>
        <w:adjustRightInd/>
        <w:jc w:val="both"/>
        <w:textAlignment w:val="auto"/>
        <w:rPr>
          <w:rFonts w:ascii="Arial" w:hAnsi="Arial" w:cs="Arial"/>
          <w:lang w:val="es-419"/>
        </w:rPr>
      </w:pPr>
      <w:r w:rsidRPr="00E479AC">
        <w:rPr>
          <w:rFonts w:ascii="Arial" w:hAnsi="Arial" w:cs="Arial"/>
          <w:lang w:val="es-419"/>
        </w:rPr>
        <w:t>Se destacan</w:t>
      </w:r>
      <w:r>
        <w:rPr>
          <w:rFonts w:ascii="Arial" w:hAnsi="Arial" w:cs="Arial"/>
          <w:lang w:val="es-419"/>
        </w:rPr>
        <w:t>…</w:t>
      </w:r>
      <w:r w:rsidRPr="00E479AC">
        <w:rPr>
          <w:rFonts w:ascii="Arial" w:hAnsi="Arial" w:cs="Arial"/>
          <w:lang w:val="es-419"/>
        </w:rPr>
        <w:t xml:space="preserve"> tres elementos adicionales, sin los cuales no puede crearse una fiducia mercantil, (i) La transferencia del dominio de los bienes fideicomitidos, y la consecuente constitución de un patrimonio autónomo; (ii) La necesidad de que el fiduciario sea una sociedad autorizada por la autoridad competente, y (iii) Las solemnidades que se deben cumplir cuando el negocio verse sobre bienes sometidos a registro.</w:t>
      </w:r>
      <w:r>
        <w:rPr>
          <w:rFonts w:ascii="Arial" w:hAnsi="Arial" w:cs="Arial"/>
          <w:lang w:val="es-419"/>
        </w:rPr>
        <w:t xml:space="preserve"> (…)</w:t>
      </w:r>
    </w:p>
    <w:p w14:paraId="091CE469" w14:textId="6A5B4E77" w:rsidR="00D43BAD" w:rsidRDefault="00D43BAD" w:rsidP="00D43BAD">
      <w:pPr>
        <w:overflowPunct/>
        <w:autoSpaceDE/>
        <w:autoSpaceDN/>
        <w:adjustRightInd/>
        <w:jc w:val="both"/>
        <w:textAlignment w:val="auto"/>
        <w:rPr>
          <w:rFonts w:ascii="Arial" w:hAnsi="Arial" w:cs="Arial"/>
          <w:lang w:val="es-419"/>
        </w:rPr>
      </w:pPr>
    </w:p>
    <w:p w14:paraId="4BDE182D" w14:textId="1A791B77" w:rsidR="00E479AC" w:rsidRPr="00D43BAD" w:rsidRDefault="00E479AC" w:rsidP="00D43BAD">
      <w:pPr>
        <w:overflowPunct/>
        <w:autoSpaceDE/>
        <w:autoSpaceDN/>
        <w:adjustRightInd/>
        <w:jc w:val="both"/>
        <w:textAlignment w:val="auto"/>
        <w:rPr>
          <w:rFonts w:ascii="Arial" w:hAnsi="Arial" w:cs="Arial"/>
          <w:lang w:val="es-419"/>
        </w:rPr>
      </w:pPr>
      <w:r w:rsidRPr="00E479AC">
        <w:rPr>
          <w:rFonts w:ascii="Arial" w:hAnsi="Arial" w:cs="Arial"/>
          <w:lang w:val="es-419"/>
        </w:rPr>
        <w:t xml:space="preserve">Finalmente, no hay mucho que andar en lo que se refiere al último requisito, relacionado con las solemnidades que se deben cumplir para la configuración de la fiducia, habida cuenta de que, contrario a lo que se planteó en el fallo de primer grado, esta Colegiatura estima que las acciones nominativas no son bienes sujetos a registro y, por lo tanto, la existencia del negocio jurídico que aquí se estudia, no depende de la inscripción de su cesión en la cámara de comercio del domicilio del fiduciante. </w:t>
      </w:r>
      <w:r>
        <w:rPr>
          <w:rFonts w:ascii="Arial" w:hAnsi="Arial" w:cs="Arial"/>
          <w:lang w:val="es-419"/>
        </w:rPr>
        <w:t>(…)</w:t>
      </w:r>
    </w:p>
    <w:p w14:paraId="34734DE3" w14:textId="331F6066" w:rsidR="00D43BAD" w:rsidRDefault="00D43BAD" w:rsidP="00D43BAD">
      <w:pPr>
        <w:overflowPunct/>
        <w:autoSpaceDE/>
        <w:autoSpaceDN/>
        <w:adjustRightInd/>
        <w:jc w:val="both"/>
        <w:textAlignment w:val="auto"/>
        <w:rPr>
          <w:rFonts w:ascii="Arial" w:hAnsi="Arial" w:cs="Arial"/>
          <w:lang w:val="es-419"/>
        </w:rPr>
      </w:pPr>
    </w:p>
    <w:p w14:paraId="5200ED3D" w14:textId="62672768" w:rsidR="00E479AC" w:rsidRPr="00E479AC" w:rsidRDefault="00E479AC" w:rsidP="00E479AC">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E479AC">
        <w:rPr>
          <w:rFonts w:ascii="Arial" w:hAnsi="Arial" w:cs="Arial"/>
          <w:lang w:val="es-419"/>
        </w:rPr>
        <w:t>cuya enajenación está autorizada de la siguiente manera en el artículo 406 del Código de Comercio que a su tenor reza:</w:t>
      </w:r>
    </w:p>
    <w:p w14:paraId="089A24DD" w14:textId="77777777" w:rsidR="00E479AC" w:rsidRPr="00E479AC" w:rsidRDefault="00E479AC" w:rsidP="00E479AC">
      <w:pPr>
        <w:overflowPunct/>
        <w:autoSpaceDE/>
        <w:autoSpaceDN/>
        <w:adjustRightInd/>
        <w:jc w:val="both"/>
        <w:textAlignment w:val="auto"/>
        <w:rPr>
          <w:rFonts w:ascii="Arial" w:hAnsi="Arial" w:cs="Arial"/>
          <w:lang w:val="es-419"/>
        </w:rPr>
      </w:pPr>
    </w:p>
    <w:p w14:paraId="55C1FD6C" w14:textId="72AFF688" w:rsidR="00E479AC" w:rsidRPr="00D43BAD" w:rsidRDefault="00E479AC" w:rsidP="00E479AC">
      <w:pPr>
        <w:overflowPunct/>
        <w:autoSpaceDE/>
        <w:autoSpaceDN/>
        <w:adjustRightInd/>
        <w:jc w:val="both"/>
        <w:textAlignment w:val="auto"/>
        <w:rPr>
          <w:rFonts w:ascii="Arial" w:hAnsi="Arial" w:cs="Arial"/>
          <w:lang w:val="es-419"/>
        </w:rPr>
      </w:pPr>
      <w:r>
        <w:rPr>
          <w:rFonts w:ascii="Arial" w:hAnsi="Arial" w:cs="Arial"/>
          <w:lang w:val="es-419"/>
        </w:rPr>
        <w:t>“</w:t>
      </w:r>
      <w:r w:rsidRPr="00E479AC">
        <w:rPr>
          <w:rFonts w:ascii="Arial" w:hAnsi="Arial" w:cs="Arial"/>
          <w:lang w:val="es-419"/>
        </w:rPr>
        <w:t xml:space="preserve">La enajenación de las acciones nominativas podrá hacerse por el simple acuerdo de las partes; </w:t>
      </w:r>
      <w:proofErr w:type="spellStart"/>
      <w:r w:rsidRPr="00E479AC">
        <w:rPr>
          <w:rFonts w:ascii="Arial" w:hAnsi="Arial" w:cs="Arial"/>
          <w:lang w:val="es-419"/>
        </w:rPr>
        <w:t>mas</w:t>
      </w:r>
      <w:proofErr w:type="spellEnd"/>
      <w:r w:rsidRPr="00E479AC">
        <w:rPr>
          <w:rFonts w:ascii="Arial" w:hAnsi="Arial" w:cs="Arial"/>
          <w:lang w:val="es-419"/>
        </w:rPr>
        <w:t xml:space="preserve"> para que produzca efecto respecto de la sociedad y de terceros, será necesaria su inscripción en el libro de registro de acciones, mediante orden escrita del enajenante. Esta orden podrá darse en forma de endoso hecho sobre el título respectivo</w:t>
      </w:r>
      <w:r>
        <w:rPr>
          <w:rFonts w:ascii="Arial" w:hAnsi="Arial" w:cs="Arial"/>
          <w:lang w:val="es-419"/>
        </w:rPr>
        <w:t>”</w:t>
      </w:r>
      <w:r w:rsidRPr="00E479AC">
        <w:rPr>
          <w:rFonts w:ascii="Arial" w:hAnsi="Arial" w:cs="Arial"/>
          <w:lang w:val="es-419"/>
        </w:rPr>
        <w:t>.</w:t>
      </w:r>
    </w:p>
    <w:p w14:paraId="467FCAB7" w14:textId="77777777" w:rsidR="00D43BAD" w:rsidRPr="00D43BAD" w:rsidRDefault="00D43BAD" w:rsidP="00D43BAD">
      <w:pPr>
        <w:overflowPunct/>
        <w:autoSpaceDE/>
        <w:autoSpaceDN/>
        <w:adjustRightInd/>
        <w:jc w:val="both"/>
        <w:textAlignment w:val="auto"/>
        <w:rPr>
          <w:rFonts w:ascii="Arial" w:hAnsi="Arial" w:cs="Arial"/>
          <w:lang w:val="es-ES"/>
        </w:rPr>
      </w:pPr>
    </w:p>
    <w:p w14:paraId="2F90B2BC" w14:textId="77777777" w:rsidR="00D43BAD" w:rsidRPr="00D43BAD" w:rsidRDefault="00D43BAD" w:rsidP="00D43BAD">
      <w:pPr>
        <w:overflowPunct/>
        <w:autoSpaceDE/>
        <w:autoSpaceDN/>
        <w:adjustRightInd/>
        <w:jc w:val="both"/>
        <w:textAlignment w:val="auto"/>
        <w:rPr>
          <w:rFonts w:ascii="Arial" w:hAnsi="Arial" w:cs="Arial"/>
          <w:lang w:val="es-ES"/>
        </w:rPr>
      </w:pPr>
    </w:p>
    <w:p w14:paraId="5D25B17C" w14:textId="77777777" w:rsidR="00D43BAD" w:rsidRPr="00D43BAD" w:rsidRDefault="00D43BAD" w:rsidP="00D43BAD">
      <w:pPr>
        <w:overflowPunct/>
        <w:autoSpaceDE/>
        <w:autoSpaceDN/>
        <w:adjustRightInd/>
        <w:jc w:val="both"/>
        <w:textAlignment w:val="auto"/>
        <w:rPr>
          <w:rFonts w:ascii="Arial" w:hAnsi="Arial" w:cs="Arial"/>
          <w:lang w:val="es-ES"/>
        </w:rPr>
      </w:pPr>
    </w:p>
    <w:p w14:paraId="302F616B" w14:textId="10834CE7" w:rsidR="003E40EB" w:rsidRPr="00D43BAD" w:rsidRDefault="003E40EB" w:rsidP="00D43BAD">
      <w:pPr>
        <w:spacing w:line="276" w:lineRule="auto"/>
        <w:ind w:left="2124"/>
        <w:jc w:val="both"/>
        <w:rPr>
          <w:rFonts w:ascii="Gadugi" w:hAnsi="Gadugi"/>
          <w:b/>
          <w:bCs/>
          <w:sz w:val="24"/>
          <w:szCs w:val="24"/>
          <w:lang w:val="es-MX"/>
        </w:rPr>
      </w:pPr>
      <w:r w:rsidRPr="00D43BAD">
        <w:rPr>
          <w:rFonts w:ascii="Gadugi" w:hAnsi="Gadugi"/>
          <w:sz w:val="24"/>
          <w:szCs w:val="24"/>
        </w:rPr>
        <w:tab/>
      </w:r>
      <w:r w:rsidRPr="00D43BAD">
        <w:rPr>
          <w:rFonts w:ascii="Gadugi" w:hAnsi="Gadugi"/>
          <w:b/>
          <w:bCs/>
          <w:sz w:val="24"/>
          <w:szCs w:val="24"/>
          <w:lang w:val="es-MX"/>
        </w:rPr>
        <w:t>TRIBUNAL SUPERIOR DEL DISTRITO JUDICIAL</w:t>
      </w:r>
    </w:p>
    <w:p w14:paraId="29921E18" w14:textId="1829F869" w:rsidR="003E40EB" w:rsidRPr="00D43BAD" w:rsidRDefault="003E40EB" w:rsidP="00D43BAD">
      <w:pPr>
        <w:overflowPunct/>
        <w:autoSpaceDE/>
        <w:adjustRightInd/>
        <w:spacing w:line="276" w:lineRule="auto"/>
        <w:ind w:right="284"/>
        <w:jc w:val="both"/>
        <w:rPr>
          <w:rFonts w:ascii="Gadugi" w:hAnsi="Gadugi"/>
          <w:b/>
          <w:sz w:val="24"/>
          <w:szCs w:val="24"/>
          <w:lang w:val="es-MX"/>
        </w:rPr>
      </w:pPr>
      <w:r w:rsidRPr="00D43BAD">
        <w:rPr>
          <w:rFonts w:ascii="Gadugi" w:hAnsi="Gadugi"/>
          <w:b/>
          <w:sz w:val="24"/>
          <w:szCs w:val="24"/>
          <w:lang w:val="es-MX"/>
        </w:rPr>
        <w:tab/>
      </w:r>
      <w:r w:rsidRPr="00D43BAD">
        <w:rPr>
          <w:rFonts w:ascii="Gadugi" w:hAnsi="Gadugi"/>
          <w:b/>
          <w:sz w:val="24"/>
          <w:szCs w:val="24"/>
          <w:lang w:val="es-MX"/>
        </w:rPr>
        <w:tab/>
      </w:r>
      <w:r w:rsidRPr="00D43BAD">
        <w:rPr>
          <w:rFonts w:ascii="Gadugi" w:hAnsi="Gadugi"/>
          <w:b/>
          <w:sz w:val="24"/>
          <w:szCs w:val="24"/>
          <w:lang w:val="es-MX"/>
        </w:rPr>
        <w:tab/>
      </w:r>
      <w:r w:rsidRPr="00D43BAD">
        <w:rPr>
          <w:rFonts w:ascii="Gadugi" w:hAnsi="Gadugi"/>
          <w:b/>
          <w:sz w:val="24"/>
          <w:szCs w:val="24"/>
          <w:lang w:val="es-MX"/>
        </w:rPr>
        <w:tab/>
        <w:t xml:space="preserve">SALA </w:t>
      </w:r>
      <w:r w:rsidR="00922BBA" w:rsidRPr="00D43BAD">
        <w:rPr>
          <w:rFonts w:ascii="Gadugi" w:hAnsi="Gadugi"/>
          <w:b/>
          <w:sz w:val="24"/>
          <w:szCs w:val="24"/>
          <w:lang w:val="es-MX"/>
        </w:rPr>
        <w:t xml:space="preserve">DE DECISIÓN </w:t>
      </w:r>
      <w:r w:rsidRPr="00D43BAD">
        <w:rPr>
          <w:rFonts w:ascii="Gadugi" w:hAnsi="Gadugi"/>
          <w:b/>
          <w:sz w:val="24"/>
          <w:szCs w:val="24"/>
          <w:lang w:val="es-MX"/>
        </w:rPr>
        <w:t>CIVIL - FAMILIA</w:t>
      </w:r>
    </w:p>
    <w:p w14:paraId="672A6659" w14:textId="77777777" w:rsidR="003E40EB" w:rsidRPr="00D43BAD" w:rsidRDefault="003E40EB" w:rsidP="00D43BAD">
      <w:pPr>
        <w:overflowPunct/>
        <w:autoSpaceDE/>
        <w:adjustRightInd/>
        <w:spacing w:line="276" w:lineRule="auto"/>
        <w:ind w:right="533"/>
        <w:jc w:val="both"/>
        <w:rPr>
          <w:rFonts w:ascii="Gadugi" w:hAnsi="Gadugi"/>
          <w:b/>
          <w:sz w:val="24"/>
          <w:szCs w:val="24"/>
          <w:lang w:val="es-MX"/>
        </w:rPr>
      </w:pPr>
    </w:p>
    <w:p w14:paraId="0A37501D" w14:textId="77777777" w:rsidR="00922BBA" w:rsidRPr="00D43BAD" w:rsidRDefault="00922BBA" w:rsidP="00D43BAD">
      <w:pPr>
        <w:overflowPunct/>
        <w:autoSpaceDE/>
        <w:adjustRightInd/>
        <w:spacing w:line="276" w:lineRule="auto"/>
        <w:ind w:right="533"/>
        <w:jc w:val="both"/>
        <w:rPr>
          <w:rFonts w:ascii="Gadugi" w:hAnsi="Gadugi"/>
          <w:b/>
          <w:sz w:val="24"/>
          <w:szCs w:val="24"/>
          <w:lang w:val="es-MX"/>
        </w:rPr>
      </w:pPr>
    </w:p>
    <w:p w14:paraId="79A18CBD" w14:textId="77777777" w:rsidR="00922BBA" w:rsidRPr="00D43BAD" w:rsidRDefault="003E40EB" w:rsidP="00D43BAD">
      <w:pPr>
        <w:tabs>
          <w:tab w:val="left" w:pos="4536"/>
        </w:tabs>
        <w:overflowPunct/>
        <w:autoSpaceDE/>
        <w:adjustRightInd/>
        <w:spacing w:line="276" w:lineRule="auto"/>
        <w:ind w:right="-142" w:firstLine="2835"/>
        <w:jc w:val="both"/>
        <w:rPr>
          <w:rFonts w:ascii="Gadugi" w:hAnsi="Gadugi"/>
          <w:sz w:val="24"/>
          <w:szCs w:val="24"/>
          <w:lang w:val="es-MX"/>
        </w:rPr>
      </w:pPr>
      <w:r w:rsidRPr="00D43BAD">
        <w:rPr>
          <w:rFonts w:ascii="Gadugi" w:hAnsi="Gadugi"/>
          <w:sz w:val="24"/>
          <w:szCs w:val="24"/>
          <w:lang w:val="es-MX"/>
        </w:rPr>
        <w:t xml:space="preserve">Magistrado: </w:t>
      </w:r>
      <w:r w:rsidR="00922BBA" w:rsidRPr="00D43BAD">
        <w:rPr>
          <w:rFonts w:ascii="Gadugi" w:hAnsi="Gadugi"/>
          <w:sz w:val="24"/>
          <w:szCs w:val="24"/>
          <w:lang w:val="es-MX"/>
        </w:rPr>
        <w:tab/>
      </w:r>
      <w:r w:rsidRPr="00D43BAD">
        <w:rPr>
          <w:rFonts w:ascii="Gadugi" w:hAnsi="Gadugi"/>
          <w:sz w:val="24"/>
          <w:szCs w:val="24"/>
          <w:lang w:val="es-MX"/>
        </w:rPr>
        <w:t>Jaime Alberto Saraza Naranjo</w:t>
      </w:r>
    </w:p>
    <w:p w14:paraId="54B8210F" w14:textId="7A9A44C0" w:rsidR="00922BBA" w:rsidRPr="00D43BAD" w:rsidRDefault="003E40EB" w:rsidP="00D43BAD">
      <w:pPr>
        <w:tabs>
          <w:tab w:val="left" w:pos="4536"/>
        </w:tabs>
        <w:overflowPunct/>
        <w:autoSpaceDE/>
        <w:adjustRightInd/>
        <w:spacing w:line="276" w:lineRule="auto"/>
        <w:ind w:right="-142" w:firstLine="2835"/>
        <w:jc w:val="both"/>
        <w:rPr>
          <w:rFonts w:ascii="Gadugi" w:hAnsi="Gadugi"/>
          <w:sz w:val="24"/>
          <w:szCs w:val="24"/>
          <w:lang w:val="es-MX"/>
        </w:rPr>
      </w:pPr>
      <w:r w:rsidRPr="00D43BAD">
        <w:rPr>
          <w:rFonts w:ascii="Gadugi" w:hAnsi="Gadugi"/>
          <w:sz w:val="24"/>
          <w:szCs w:val="24"/>
          <w:lang w:val="es-MX"/>
        </w:rPr>
        <w:t xml:space="preserve">Pereira, </w:t>
      </w:r>
      <w:r w:rsidR="00922BBA" w:rsidRPr="00D43BAD">
        <w:rPr>
          <w:rFonts w:ascii="Gadugi" w:hAnsi="Gadugi"/>
          <w:sz w:val="24"/>
          <w:szCs w:val="24"/>
          <w:lang w:val="es-MX"/>
        </w:rPr>
        <w:tab/>
      </w:r>
      <w:r w:rsidR="00B359F6" w:rsidRPr="00D43BAD">
        <w:rPr>
          <w:rFonts w:ascii="Gadugi" w:hAnsi="Gadugi"/>
          <w:sz w:val="24"/>
          <w:szCs w:val="24"/>
          <w:lang w:val="es-MX"/>
        </w:rPr>
        <w:t>marzo veinticinco de dos mil veintiuno</w:t>
      </w:r>
    </w:p>
    <w:p w14:paraId="13466995" w14:textId="71422E71" w:rsidR="003E40EB" w:rsidRPr="00D43BAD" w:rsidRDefault="00922BBA" w:rsidP="00D43BAD">
      <w:pPr>
        <w:tabs>
          <w:tab w:val="left" w:pos="4536"/>
        </w:tabs>
        <w:overflowPunct/>
        <w:autoSpaceDE/>
        <w:adjustRightInd/>
        <w:spacing w:line="276" w:lineRule="auto"/>
        <w:ind w:left="2835" w:right="-142" w:hanging="2835"/>
        <w:jc w:val="both"/>
        <w:rPr>
          <w:rFonts w:ascii="Gadugi" w:hAnsi="Gadugi"/>
          <w:sz w:val="24"/>
          <w:szCs w:val="24"/>
          <w:lang w:val="es-MX"/>
        </w:rPr>
      </w:pPr>
      <w:r w:rsidRPr="00D43BAD">
        <w:rPr>
          <w:rFonts w:ascii="Gadugi" w:hAnsi="Gadugi"/>
          <w:sz w:val="24"/>
          <w:szCs w:val="24"/>
          <w:lang w:val="es-MX"/>
        </w:rPr>
        <w:tab/>
      </w:r>
      <w:r w:rsidR="003E40EB" w:rsidRPr="00D43BAD">
        <w:rPr>
          <w:rFonts w:ascii="Gadugi" w:hAnsi="Gadugi"/>
          <w:sz w:val="24"/>
          <w:szCs w:val="24"/>
          <w:lang w:val="es-MX"/>
        </w:rPr>
        <w:t xml:space="preserve">Acta </w:t>
      </w:r>
      <w:r w:rsidR="00B359F6" w:rsidRPr="00D43BAD">
        <w:rPr>
          <w:rFonts w:ascii="Gadugi" w:hAnsi="Gadugi"/>
          <w:sz w:val="24"/>
          <w:szCs w:val="24"/>
          <w:lang w:val="es-MX"/>
        </w:rPr>
        <w:tab/>
        <w:t>130</w:t>
      </w:r>
      <w:r w:rsidR="008D21B3" w:rsidRPr="00D43BAD">
        <w:rPr>
          <w:rFonts w:ascii="Gadugi" w:hAnsi="Gadugi"/>
          <w:sz w:val="24"/>
          <w:szCs w:val="24"/>
          <w:lang w:val="es-MX"/>
        </w:rPr>
        <w:t xml:space="preserve"> del 25 de marzo de 2021</w:t>
      </w:r>
    </w:p>
    <w:p w14:paraId="5DAB6C7B" w14:textId="5321196C" w:rsidR="005B56A3" w:rsidRPr="00D43BAD" w:rsidRDefault="00953CBA" w:rsidP="00D43BAD">
      <w:pPr>
        <w:spacing w:line="276" w:lineRule="auto"/>
        <w:jc w:val="both"/>
        <w:rPr>
          <w:rFonts w:ascii="Gadugi" w:hAnsi="Gadugi" w:cs="Shruti"/>
          <w:sz w:val="24"/>
          <w:szCs w:val="24"/>
        </w:rPr>
      </w:pPr>
      <w:r w:rsidRPr="00D43BAD">
        <w:rPr>
          <w:rFonts w:ascii="Gadugi" w:hAnsi="Gadugi" w:cs="Shruti"/>
          <w:sz w:val="24"/>
          <w:szCs w:val="24"/>
        </w:rPr>
        <w:tab/>
      </w:r>
      <w:r w:rsidRPr="00D43BAD">
        <w:rPr>
          <w:rFonts w:ascii="Gadugi" w:hAnsi="Gadugi" w:cs="Shruti"/>
          <w:sz w:val="24"/>
          <w:szCs w:val="24"/>
        </w:rPr>
        <w:tab/>
      </w:r>
      <w:r w:rsidRPr="00D43BAD">
        <w:rPr>
          <w:rFonts w:ascii="Gadugi" w:hAnsi="Gadugi" w:cs="Shruti"/>
          <w:sz w:val="24"/>
          <w:szCs w:val="24"/>
        </w:rPr>
        <w:tab/>
      </w:r>
      <w:r w:rsidRPr="00D43BAD">
        <w:rPr>
          <w:rFonts w:ascii="Gadugi" w:hAnsi="Gadugi" w:cs="Shruti"/>
          <w:sz w:val="24"/>
          <w:szCs w:val="24"/>
        </w:rPr>
        <w:tab/>
      </w:r>
      <w:r w:rsidRPr="00D43BAD">
        <w:rPr>
          <w:rFonts w:ascii="Gadugi" w:hAnsi="Gadugi"/>
          <w:sz w:val="24"/>
          <w:szCs w:val="24"/>
          <w:lang w:val="es-MX"/>
        </w:rPr>
        <w:t>Sentencia:</w:t>
      </w:r>
      <w:r w:rsidR="00B359F6" w:rsidRPr="00D43BAD">
        <w:rPr>
          <w:rFonts w:ascii="Gadugi" w:hAnsi="Gadugi"/>
          <w:sz w:val="24"/>
          <w:szCs w:val="24"/>
          <w:lang w:val="es-MX"/>
        </w:rPr>
        <w:tab/>
        <w:t xml:space="preserve">    TSP.</w:t>
      </w:r>
      <w:r w:rsidR="00CE42F3">
        <w:rPr>
          <w:rFonts w:ascii="Gadugi" w:hAnsi="Gadugi"/>
          <w:sz w:val="24"/>
          <w:szCs w:val="24"/>
          <w:lang w:val="es-MX"/>
        </w:rPr>
        <w:t xml:space="preserve"> </w:t>
      </w:r>
      <w:bookmarkStart w:id="0" w:name="_GoBack"/>
      <w:bookmarkEnd w:id="0"/>
      <w:r w:rsidR="00B359F6" w:rsidRPr="00D43BAD">
        <w:rPr>
          <w:rFonts w:ascii="Gadugi" w:hAnsi="Gadugi"/>
          <w:sz w:val="24"/>
          <w:szCs w:val="24"/>
          <w:lang w:val="es-MX"/>
        </w:rPr>
        <w:t>SC-0026-2021</w:t>
      </w:r>
    </w:p>
    <w:p w14:paraId="02EB378F" w14:textId="0BB9977C" w:rsidR="00FE0BE0" w:rsidRPr="00D43BAD" w:rsidRDefault="00FE0BE0" w:rsidP="00D43BAD">
      <w:pPr>
        <w:spacing w:line="276" w:lineRule="auto"/>
        <w:jc w:val="both"/>
        <w:rPr>
          <w:rFonts w:ascii="Gadugi" w:hAnsi="Gadugi" w:cs="Shruti"/>
          <w:sz w:val="24"/>
          <w:szCs w:val="24"/>
        </w:rPr>
      </w:pPr>
    </w:p>
    <w:p w14:paraId="69F51522" w14:textId="77777777" w:rsidR="00953CBA" w:rsidRPr="00D43BAD" w:rsidRDefault="00953CBA" w:rsidP="00D43BAD">
      <w:pPr>
        <w:spacing w:line="276" w:lineRule="auto"/>
        <w:jc w:val="both"/>
        <w:rPr>
          <w:rFonts w:ascii="Gadugi" w:hAnsi="Gadugi" w:cs="Shruti"/>
          <w:sz w:val="24"/>
          <w:szCs w:val="24"/>
        </w:rPr>
      </w:pPr>
    </w:p>
    <w:p w14:paraId="07142796" w14:textId="2C50D8FE" w:rsidR="00F05FE1" w:rsidRPr="00D43BAD" w:rsidRDefault="00A04477" w:rsidP="00D43BAD">
      <w:pPr>
        <w:spacing w:line="276" w:lineRule="auto"/>
        <w:ind w:firstLine="2835"/>
        <w:jc w:val="both"/>
        <w:rPr>
          <w:rFonts w:ascii="Gadugi" w:hAnsi="Gadugi" w:cs="Shruti"/>
          <w:b/>
          <w:sz w:val="24"/>
          <w:szCs w:val="24"/>
        </w:rPr>
      </w:pPr>
      <w:r w:rsidRPr="00D43BAD">
        <w:rPr>
          <w:rFonts w:ascii="Gadugi" w:hAnsi="Gadugi" w:cs="Shruti"/>
          <w:sz w:val="24"/>
          <w:szCs w:val="24"/>
          <w:lang w:val="es-419"/>
        </w:rPr>
        <w:t xml:space="preserve">En cumplimiento del Acuerdo PCSJA19-11327 del Consejo Superior de la Judicatura, </w:t>
      </w:r>
      <w:r w:rsidR="0041482D" w:rsidRPr="00D43BAD">
        <w:rPr>
          <w:rFonts w:ascii="Gadugi" w:hAnsi="Gadugi" w:cs="Shruti"/>
          <w:sz w:val="24"/>
          <w:szCs w:val="24"/>
          <w:lang w:val="es-419"/>
        </w:rPr>
        <w:t xml:space="preserve">que se ha venido prorrogando, en la última ocasión con el Acuerdo </w:t>
      </w:r>
      <w:r w:rsidR="006117F6" w:rsidRPr="00D43BAD">
        <w:rPr>
          <w:rFonts w:ascii="Gadugi" w:hAnsi="Gadugi" w:cs="Shruti"/>
          <w:sz w:val="24"/>
          <w:szCs w:val="24"/>
          <w:lang w:val="es-419"/>
        </w:rPr>
        <w:t xml:space="preserve">PCSJA20-11673, </w:t>
      </w:r>
      <w:r w:rsidRPr="00D43BAD">
        <w:rPr>
          <w:rFonts w:ascii="Gadugi" w:hAnsi="Gadugi" w:cs="Shruti"/>
          <w:sz w:val="24"/>
          <w:szCs w:val="24"/>
        </w:rPr>
        <w:t xml:space="preserve">procede la Sala a resolver el recurso </w:t>
      </w:r>
      <w:r w:rsidR="005B56A3" w:rsidRPr="00D43BAD">
        <w:rPr>
          <w:rFonts w:ascii="Gadugi" w:hAnsi="Gadugi" w:cs="Shruti"/>
          <w:sz w:val="24"/>
          <w:szCs w:val="24"/>
        </w:rPr>
        <w:t xml:space="preserve">de apelación </w:t>
      </w:r>
      <w:r w:rsidR="00C93DED" w:rsidRPr="00D43BAD">
        <w:rPr>
          <w:rFonts w:ascii="Gadugi" w:hAnsi="Gadugi" w:cs="Shruti"/>
          <w:sz w:val="24"/>
          <w:szCs w:val="24"/>
        </w:rPr>
        <w:t xml:space="preserve">interpuesto </w:t>
      </w:r>
      <w:r w:rsidR="00C93DED" w:rsidRPr="00D43BAD">
        <w:rPr>
          <w:rFonts w:ascii="Gadugi" w:hAnsi="Gadugi" w:cs="Shruti"/>
          <w:sz w:val="24"/>
          <w:szCs w:val="24"/>
        </w:rPr>
        <w:lastRenderedPageBreak/>
        <w:t xml:space="preserve">por </w:t>
      </w:r>
      <w:r w:rsidR="00D26B37" w:rsidRPr="00D43BAD">
        <w:rPr>
          <w:rFonts w:ascii="Gadugi" w:hAnsi="Gadugi" w:cs="Shruti"/>
          <w:sz w:val="24"/>
          <w:szCs w:val="24"/>
        </w:rPr>
        <w:t>la parte</w:t>
      </w:r>
      <w:r w:rsidR="000F654C" w:rsidRPr="00D43BAD">
        <w:rPr>
          <w:rFonts w:ascii="Gadugi" w:hAnsi="Gadugi" w:cs="Shruti"/>
          <w:sz w:val="24"/>
          <w:szCs w:val="24"/>
        </w:rPr>
        <w:t xml:space="preserve"> demandante contra la sentencia del </w:t>
      </w:r>
      <w:r w:rsidR="00F05FE1" w:rsidRPr="00D43BAD">
        <w:rPr>
          <w:rFonts w:ascii="Gadugi" w:hAnsi="Gadugi" w:cs="Shruti"/>
          <w:sz w:val="24"/>
          <w:szCs w:val="24"/>
        </w:rPr>
        <w:t>11</w:t>
      </w:r>
      <w:r w:rsidR="00EE23B5" w:rsidRPr="00D43BAD">
        <w:rPr>
          <w:rFonts w:ascii="Gadugi" w:hAnsi="Gadugi" w:cs="Shruti"/>
          <w:sz w:val="24"/>
          <w:szCs w:val="24"/>
        </w:rPr>
        <w:t xml:space="preserve"> de </w:t>
      </w:r>
      <w:r w:rsidR="00F05FE1" w:rsidRPr="00D43BAD">
        <w:rPr>
          <w:rFonts w:ascii="Gadugi" w:hAnsi="Gadugi" w:cs="Shruti"/>
          <w:sz w:val="24"/>
          <w:szCs w:val="24"/>
        </w:rPr>
        <w:t>febrero</w:t>
      </w:r>
      <w:r w:rsidR="00EE23B5" w:rsidRPr="00D43BAD">
        <w:rPr>
          <w:rFonts w:ascii="Gadugi" w:hAnsi="Gadugi" w:cs="Shruti"/>
          <w:sz w:val="24"/>
          <w:szCs w:val="24"/>
        </w:rPr>
        <w:t xml:space="preserve"> del 201</w:t>
      </w:r>
      <w:r w:rsidR="00F05FE1" w:rsidRPr="00D43BAD">
        <w:rPr>
          <w:rFonts w:ascii="Gadugi" w:hAnsi="Gadugi" w:cs="Shruti"/>
          <w:sz w:val="24"/>
          <w:szCs w:val="24"/>
        </w:rPr>
        <w:t>5</w:t>
      </w:r>
      <w:r w:rsidR="000F654C" w:rsidRPr="00D43BAD">
        <w:rPr>
          <w:rFonts w:ascii="Gadugi" w:hAnsi="Gadugi" w:cs="Shruti"/>
          <w:sz w:val="24"/>
          <w:szCs w:val="24"/>
        </w:rPr>
        <w:t xml:space="preserve">, </w:t>
      </w:r>
      <w:r w:rsidR="00884E0B" w:rsidRPr="00D43BAD">
        <w:rPr>
          <w:rFonts w:ascii="Gadugi" w:hAnsi="Gadugi" w:cs="Shruti"/>
          <w:sz w:val="24"/>
          <w:szCs w:val="24"/>
        </w:rPr>
        <w:t>proferid</w:t>
      </w:r>
      <w:r w:rsidR="006117F6" w:rsidRPr="00D43BAD">
        <w:rPr>
          <w:rFonts w:ascii="Gadugi" w:hAnsi="Gadugi" w:cs="Shruti"/>
          <w:sz w:val="24"/>
          <w:szCs w:val="24"/>
        </w:rPr>
        <w:t>a</w:t>
      </w:r>
      <w:r w:rsidR="00884E0B" w:rsidRPr="00D43BAD">
        <w:rPr>
          <w:rFonts w:ascii="Gadugi" w:hAnsi="Gadugi" w:cs="Shruti"/>
          <w:sz w:val="24"/>
          <w:szCs w:val="24"/>
        </w:rPr>
        <w:t xml:space="preserve"> por el </w:t>
      </w:r>
      <w:r w:rsidR="00F05FE1" w:rsidRPr="00D43BAD">
        <w:rPr>
          <w:rFonts w:ascii="Gadugi" w:hAnsi="Gadugi" w:cs="Shruti"/>
          <w:sz w:val="24"/>
          <w:szCs w:val="24"/>
        </w:rPr>
        <w:t>J</w:t>
      </w:r>
      <w:r w:rsidR="00884E0B" w:rsidRPr="00D43BAD">
        <w:rPr>
          <w:rFonts w:ascii="Gadugi" w:hAnsi="Gadugi" w:cs="Shruti"/>
          <w:sz w:val="24"/>
          <w:szCs w:val="24"/>
        </w:rPr>
        <w:t xml:space="preserve">uzgado </w:t>
      </w:r>
      <w:r w:rsidR="00D26B37" w:rsidRPr="00D43BAD">
        <w:rPr>
          <w:rFonts w:ascii="Gadugi" w:hAnsi="Gadugi" w:cs="Shruti"/>
          <w:sz w:val="24"/>
          <w:szCs w:val="24"/>
        </w:rPr>
        <w:t>S</w:t>
      </w:r>
      <w:r w:rsidR="00EE23B5" w:rsidRPr="00D43BAD">
        <w:rPr>
          <w:rFonts w:ascii="Gadugi" w:hAnsi="Gadugi" w:cs="Shruti"/>
          <w:sz w:val="24"/>
          <w:szCs w:val="24"/>
        </w:rPr>
        <w:t>éptimo</w:t>
      </w:r>
      <w:r w:rsidR="00D26B37" w:rsidRPr="00D43BAD">
        <w:rPr>
          <w:rFonts w:ascii="Gadugi" w:hAnsi="Gadugi" w:cs="Shruti"/>
          <w:sz w:val="24"/>
          <w:szCs w:val="24"/>
        </w:rPr>
        <w:t xml:space="preserve"> Civil del C</w:t>
      </w:r>
      <w:r w:rsidR="000F654C" w:rsidRPr="00D43BAD">
        <w:rPr>
          <w:rFonts w:ascii="Gadugi" w:hAnsi="Gadugi" w:cs="Shruti"/>
          <w:sz w:val="24"/>
          <w:szCs w:val="24"/>
        </w:rPr>
        <w:t>ircuito</w:t>
      </w:r>
      <w:r w:rsidR="00D26B37" w:rsidRPr="00D43BAD">
        <w:rPr>
          <w:rFonts w:ascii="Gadugi" w:hAnsi="Gadugi" w:cs="Shruti"/>
          <w:sz w:val="24"/>
          <w:szCs w:val="24"/>
        </w:rPr>
        <w:t xml:space="preserve"> de D</w:t>
      </w:r>
      <w:r w:rsidR="00EE23B5" w:rsidRPr="00D43BAD">
        <w:rPr>
          <w:rFonts w:ascii="Gadugi" w:hAnsi="Gadugi" w:cs="Shruti"/>
          <w:sz w:val="24"/>
          <w:szCs w:val="24"/>
        </w:rPr>
        <w:t>escongestión</w:t>
      </w:r>
      <w:r w:rsidR="000F654C" w:rsidRPr="00D43BAD">
        <w:rPr>
          <w:rFonts w:ascii="Gadugi" w:hAnsi="Gadugi" w:cs="Shruti"/>
          <w:sz w:val="24"/>
          <w:szCs w:val="24"/>
        </w:rPr>
        <w:t xml:space="preserve"> de </w:t>
      </w:r>
      <w:r w:rsidR="00884E0B" w:rsidRPr="00D43BAD">
        <w:rPr>
          <w:rFonts w:ascii="Gadugi" w:hAnsi="Gadugi" w:cs="Shruti"/>
          <w:sz w:val="24"/>
          <w:szCs w:val="24"/>
        </w:rPr>
        <w:t>Medellín</w:t>
      </w:r>
      <w:r w:rsidR="000F654C" w:rsidRPr="00D43BAD">
        <w:rPr>
          <w:rFonts w:ascii="Gadugi" w:hAnsi="Gadugi" w:cs="Shruti"/>
          <w:sz w:val="24"/>
          <w:szCs w:val="24"/>
        </w:rPr>
        <w:t xml:space="preserve"> </w:t>
      </w:r>
      <w:r w:rsidR="00884E0B" w:rsidRPr="00D43BAD">
        <w:rPr>
          <w:rFonts w:ascii="Gadugi" w:hAnsi="Gadugi" w:cs="Shruti"/>
          <w:sz w:val="24"/>
          <w:szCs w:val="24"/>
        </w:rPr>
        <w:t xml:space="preserve">en el proceso </w:t>
      </w:r>
      <w:r w:rsidR="00BC5BDC" w:rsidRPr="00D43BAD">
        <w:rPr>
          <w:rFonts w:ascii="Gadugi" w:hAnsi="Gadugi" w:cs="Shruti"/>
          <w:sz w:val="24"/>
          <w:szCs w:val="24"/>
        </w:rPr>
        <w:t>ordinario</w:t>
      </w:r>
      <w:r w:rsidR="00F272BF" w:rsidRPr="00D43BAD">
        <w:rPr>
          <w:rFonts w:ascii="Gadugi" w:hAnsi="Gadugi" w:cs="Shruti"/>
          <w:sz w:val="24"/>
          <w:szCs w:val="24"/>
        </w:rPr>
        <w:t xml:space="preserve"> que</w:t>
      </w:r>
      <w:r w:rsidR="00BC5BDC" w:rsidRPr="00D43BAD">
        <w:rPr>
          <w:rFonts w:ascii="Gadugi" w:hAnsi="Gadugi" w:cs="Shruti"/>
          <w:sz w:val="24"/>
          <w:szCs w:val="24"/>
        </w:rPr>
        <w:t xml:space="preserve"> </w:t>
      </w:r>
      <w:r w:rsidR="005B56A3" w:rsidRPr="00D43BAD">
        <w:rPr>
          <w:rFonts w:ascii="Gadugi" w:hAnsi="Gadugi" w:cs="Shruti"/>
          <w:sz w:val="24"/>
          <w:szCs w:val="24"/>
        </w:rPr>
        <w:t>adelanta</w:t>
      </w:r>
      <w:r w:rsidR="006117F6" w:rsidRPr="00D43BAD">
        <w:rPr>
          <w:rFonts w:ascii="Gadugi" w:hAnsi="Gadugi" w:cs="Shruti"/>
          <w:sz w:val="24"/>
          <w:szCs w:val="24"/>
        </w:rPr>
        <w:t>n</w:t>
      </w:r>
      <w:r w:rsidR="005B56A3" w:rsidRPr="00D43BAD">
        <w:rPr>
          <w:rFonts w:ascii="Gadugi" w:hAnsi="Gadugi" w:cs="Shruti"/>
          <w:b/>
          <w:sz w:val="24"/>
          <w:szCs w:val="24"/>
        </w:rPr>
        <w:t xml:space="preserve"> </w:t>
      </w:r>
      <w:r w:rsidR="00F05FE1" w:rsidRPr="00D43BAD">
        <w:rPr>
          <w:rFonts w:ascii="Gadugi" w:hAnsi="Gadugi" w:cs="Shruti"/>
          <w:b/>
          <w:sz w:val="24"/>
          <w:szCs w:val="24"/>
        </w:rPr>
        <w:t>José Raúl Jaramillo Zuloaga</w:t>
      </w:r>
      <w:r w:rsidR="00F05FE1" w:rsidRPr="00D43BAD">
        <w:rPr>
          <w:rFonts w:ascii="Gadugi" w:hAnsi="Gadugi" w:cs="Shruti"/>
          <w:sz w:val="24"/>
          <w:szCs w:val="24"/>
        </w:rPr>
        <w:t xml:space="preserve"> y </w:t>
      </w:r>
      <w:r w:rsidR="00F05FE1" w:rsidRPr="00D43BAD">
        <w:rPr>
          <w:rFonts w:ascii="Gadugi" w:hAnsi="Gadugi" w:cs="Shruti"/>
          <w:b/>
          <w:sz w:val="24"/>
          <w:szCs w:val="24"/>
        </w:rPr>
        <w:t>Ana Isabel Morales Vélez</w:t>
      </w:r>
      <w:r w:rsidR="00F05FE1" w:rsidRPr="00D43BAD">
        <w:rPr>
          <w:rFonts w:ascii="Gadugi" w:hAnsi="Gadugi" w:cs="Shruti"/>
          <w:sz w:val="24"/>
          <w:szCs w:val="24"/>
        </w:rPr>
        <w:t xml:space="preserve"> contra </w:t>
      </w:r>
      <w:r w:rsidR="00F05FE1" w:rsidRPr="00D43BAD">
        <w:rPr>
          <w:rFonts w:ascii="Gadugi" w:hAnsi="Gadugi" w:cs="Shruti"/>
          <w:b/>
          <w:sz w:val="24"/>
          <w:szCs w:val="24"/>
        </w:rPr>
        <w:t>Alianza Fiduciaria S.A.</w:t>
      </w:r>
    </w:p>
    <w:p w14:paraId="5A39BBE3" w14:textId="34A1548D" w:rsidR="005B56A3" w:rsidRPr="00D43BAD" w:rsidRDefault="005B56A3" w:rsidP="00D43BAD">
      <w:pPr>
        <w:spacing w:line="276" w:lineRule="auto"/>
        <w:ind w:firstLine="2835"/>
        <w:jc w:val="both"/>
        <w:rPr>
          <w:rFonts w:ascii="Gadugi" w:hAnsi="Gadugi" w:cs="Shruti"/>
          <w:sz w:val="24"/>
          <w:szCs w:val="24"/>
        </w:rPr>
      </w:pPr>
    </w:p>
    <w:p w14:paraId="7F1A1792" w14:textId="77777777" w:rsidR="00A04477" w:rsidRPr="00D43BAD" w:rsidRDefault="00A04477" w:rsidP="00D43BAD">
      <w:pPr>
        <w:tabs>
          <w:tab w:val="left" w:pos="3402"/>
        </w:tabs>
        <w:spacing w:line="276" w:lineRule="auto"/>
        <w:ind w:firstLine="2835"/>
        <w:jc w:val="both"/>
        <w:rPr>
          <w:rFonts w:ascii="Gadugi" w:hAnsi="Gadugi" w:cs="Shruti"/>
          <w:b/>
          <w:sz w:val="24"/>
          <w:szCs w:val="24"/>
        </w:rPr>
      </w:pPr>
      <w:r w:rsidRPr="00D43BAD">
        <w:rPr>
          <w:rFonts w:ascii="Gadugi" w:hAnsi="Gadugi" w:cs="Shruti"/>
          <w:b/>
          <w:sz w:val="24"/>
          <w:szCs w:val="24"/>
          <w:lang w:val="es-419"/>
        </w:rPr>
        <w:t>1.</w:t>
      </w:r>
      <w:r w:rsidRPr="00D43BAD">
        <w:rPr>
          <w:rFonts w:ascii="Gadugi" w:hAnsi="Gadugi" w:cs="Shruti"/>
          <w:b/>
          <w:sz w:val="24"/>
          <w:szCs w:val="24"/>
          <w:lang w:val="es-419"/>
        </w:rPr>
        <w:tab/>
      </w:r>
      <w:r w:rsidRPr="00D43BAD">
        <w:rPr>
          <w:rFonts w:ascii="Gadugi" w:hAnsi="Gadugi" w:cs="Shruti"/>
          <w:b/>
          <w:sz w:val="24"/>
          <w:szCs w:val="24"/>
        </w:rPr>
        <w:t>ANTECEDENTES</w:t>
      </w:r>
    </w:p>
    <w:p w14:paraId="41C8F396" w14:textId="77777777" w:rsidR="00A04477" w:rsidRPr="00D43BAD" w:rsidRDefault="00A04477" w:rsidP="00D43BAD">
      <w:pPr>
        <w:tabs>
          <w:tab w:val="left" w:pos="3402"/>
        </w:tabs>
        <w:spacing w:line="276" w:lineRule="auto"/>
        <w:ind w:firstLine="2835"/>
        <w:jc w:val="both"/>
        <w:rPr>
          <w:rFonts w:ascii="Gadugi" w:hAnsi="Gadugi" w:cs="Shruti"/>
          <w:sz w:val="24"/>
          <w:szCs w:val="24"/>
        </w:rPr>
      </w:pPr>
    </w:p>
    <w:p w14:paraId="71634318" w14:textId="77777777" w:rsidR="00A04477" w:rsidRPr="00D43BAD" w:rsidRDefault="00A04477" w:rsidP="00D43BAD">
      <w:pPr>
        <w:tabs>
          <w:tab w:val="left" w:pos="3402"/>
        </w:tabs>
        <w:spacing w:line="276" w:lineRule="auto"/>
        <w:ind w:firstLine="2835"/>
        <w:jc w:val="both"/>
        <w:rPr>
          <w:rFonts w:ascii="Gadugi" w:hAnsi="Gadugi" w:cs="Shruti"/>
          <w:sz w:val="24"/>
          <w:szCs w:val="24"/>
          <w:lang w:val="es-419"/>
        </w:rPr>
      </w:pPr>
      <w:r w:rsidRPr="00D43BAD">
        <w:rPr>
          <w:rFonts w:ascii="Gadugi" w:hAnsi="Gadugi" w:cs="Shruti"/>
          <w:b/>
          <w:sz w:val="24"/>
          <w:szCs w:val="24"/>
          <w:lang w:val="es-419"/>
        </w:rPr>
        <w:t>1.1.</w:t>
      </w:r>
      <w:r w:rsidRPr="00D43BAD">
        <w:rPr>
          <w:rFonts w:ascii="Gadugi" w:hAnsi="Gadugi" w:cs="Shruti"/>
          <w:sz w:val="24"/>
          <w:szCs w:val="24"/>
          <w:lang w:val="es-419"/>
        </w:rPr>
        <w:tab/>
      </w:r>
      <w:r w:rsidRPr="00D43BAD">
        <w:rPr>
          <w:rFonts w:ascii="Gadugi" w:hAnsi="Gadugi" w:cs="Shruti"/>
          <w:b/>
          <w:sz w:val="24"/>
          <w:szCs w:val="24"/>
          <w:lang w:val="es-419"/>
        </w:rPr>
        <w:t>Hechos</w:t>
      </w:r>
      <w:r w:rsidRPr="00D43BAD">
        <w:rPr>
          <w:rFonts w:ascii="Gadugi" w:hAnsi="Gadugi" w:cs="Shruti"/>
          <w:sz w:val="24"/>
          <w:szCs w:val="24"/>
          <w:lang w:val="es-419"/>
        </w:rPr>
        <w:t>.</w:t>
      </w:r>
    </w:p>
    <w:p w14:paraId="21B2D6AF" w14:textId="5D91020F" w:rsidR="00F05FE1" w:rsidRPr="00D43BAD" w:rsidRDefault="00F05FE1" w:rsidP="00D43BAD">
      <w:pPr>
        <w:spacing w:line="276" w:lineRule="auto"/>
        <w:ind w:firstLine="2835"/>
        <w:jc w:val="both"/>
        <w:rPr>
          <w:rFonts w:ascii="Gadugi" w:hAnsi="Gadugi" w:cs="Shruti"/>
          <w:sz w:val="24"/>
          <w:szCs w:val="24"/>
        </w:rPr>
      </w:pPr>
    </w:p>
    <w:p w14:paraId="1F08D1DE" w14:textId="654F3001" w:rsidR="00C163EB" w:rsidRPr="00D43BAD" w:rsidRDefault="00C163EB"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Narra la demanda, en síntesis, que el 21 de abril de 1995, los demandantes suscribieron un contrato de fiducia con la sociedad Alianza Fiduciaria S.A., con el propósito de garantizar </w:t>
      </w:r>
      <w:r w:rsidR="006B1C0D" w:rsidRPr="00D43BAD">
        <w:rPr>
          <w:rFonts w:ascii="Gadugi" w:hAnsi="Gadugi" w:cs="Shruti"/>
          <w:sz w:val="24"/>
          <w:szCs w:val="24"/>
        </w:rPr>
        <w:t>créditos</w:t>
      </w:r>
      <w:r w:rsidRPr="00D43BAD">
        <w:rPr>
          <w:rFonts w:ascii="Gadugi" w:hAnsi="Gadugi" w:cs="Shruti"/>
          <w:sz w:val="24"/>
          <w:szCs w:val="24"/>
        </w:rPr>
        <w:t xml:space="preserve"> que le solicitaron a Coomeva S.A., </w:t>
      </w:r>
      <w:r w:rsidR="009B2D02" w:rsidRPr="00D43BAD">
        <w:rPr>
          <w:rFonts w:ascii="Gadugi" w:hAnsi="Gadugi" w:cs="Shruti"/>
          <w:sz w:val="24"/>
          <w:szCs w:val="24"/>
        </w:rPr>
        <w:t xml:space="preserve">para </w:t>
      </w:r>
      <w:r w:rsidRPr="00D43BAD">
        <w:rPr>
          <w:rFonts w:ascii="Gadugi" w:hAnsi="Gadugi" w:cs="Shruti"/>
          <w:sz w:val="24"/>
          <w:szCs w:val="24"/>
        </w:rPr>
        <w:t xml:space="preserve">cuyo perfeccionamiento, </w:t>
      </w:r>
      <w:r w:rsidR="009B2D02" w:rsidRPr="00D43BAD">
        <w:rPr>
          <w:rFonts w:ascii="Gadugi" w:hAnsi="Gadugi" w:cs="Shruti"/>
          <w:sz w:val="24"/>
          <w:szCs w:val="24"/>
        </w:rPr>
        <w:t>era necesario</w:t>
      </w:r>
      <w:r w:rsidRPr="00D43BAD">
        <w:rPr>
          <w:rFonts w:ascii="Gadugi" w:hAnsi="Gadugi" w:cs="Shruti"/>
          <w:sz w:val="24"/>
          <w:szCs w:val="24"/>
        </w:rPr>
        <w:t xml:space="preserve"> dar como garantía 280 acciones que el señor </w:t>
      </w:r>
      <w:r w:rsidR="006B1C0D" w:rsidRPr="00D43BAD">
        <w:rPr>
          <w:rFonts w:ascii="Gadugi" w:hAnsi="Gadugi"/>
          <w:sz w:val="24"/>
          <w:szCs w:val="24"/>
          <w:lang w:val="es-MX"/>
        </w:rPr>
        <w:t xml:space="preserve">Jaramillo Zuloaga </w:t>
      </w:r>
      <w:r w:rsidRPr="00D43BAD">
        <w:rPr>
          <w:rFonts w:ascii="Gadugi" w:hAnsi="Gadugi" w:cs="Shruti"/>
          <w:sz w:val="24"/>
          <w:szCs w:val="24"/>
        </w:rPr>
        <w:t>tenía</w:t>
      </w:r>
      <w:r w:rsidR="00187FEA" w:rsidRPr="00D43BAD">
        <w:rPr>
          <w:rFonts w:ascii="Gadugi" w:hAnsi="Gadugi" w:cs="Shruti"/>
          <w:sz w:val="24"/>
          <w:szCs w:val="24"/>
        </w:rPr>
        <w:t xml:space="preserve"> en ese momento</w:t>
      </w:r>
      <w:r w:rsidRPr="00D43BAD">
        <w:rPr>
          <w:rFonts w:ascii="Gadugi" w:hAnsi="Gadugi" w:cs="Shruti"/>
          <w:sz w:val="24"/>
          <w:szCs w:val="24"/>
        </w:rPr>
        <w:t xml:space="preserve"> </w:t>
      </w:r>
      <w:r w:rsidR="009B2D02" w:rsidRPr="00D43BAD">
        <w:rPr>
          <w:rFonts w:ascii="Gadugi" w:hAnsi="Gadugi" w:cs="Shruti"/>
          <w:sz w:val="24"/>
          <w:szCs w:val="24"/>
        </w:rPr>
        <w:t>de la sociedad Inversiones Médicas de Antioquia S.A.</w:t>
      </w:r>
    </w:p>
    <w:p w14:paraId="08241AB3" w14:textId="29F1803D" w:rsidR="009B2D02" w:rsidRPr="00D43BAD" w:rsidRDefault="006B1C0D"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 </w:t>
      </w:r>
    </w:p>
    <w:p w14:paraId="57B251E7" w14:textId="7038694E" w:rsidR="00A9704B" w:rsidRPr="00D43BAD" w:rsidRDefault="009B2D02" w:rsidP="00D43BAD">
      <w:pPr>
        <w:spacing w:line="276" w:lineRule="auto"/>
        <w:ind w:firstLine="2835"/>
        <w:jc w:val="both"/>
        <w:rPr>
          <w:rFonts w:ascii="Gadugi" w:hAnsi="Gadugi" w:cs="Shruti"/>
          <w:sz w:val="24"/>
          <w:szCs w:val="24"/>
        </w:rPr>
      </w:pPr>
      <w:r w:rsidRPr="00D43BAD">
        <w:rPr>
          <w:rFonts w:ascii="Gadugi" w:hAnsi="Gadugi" w:cs="Shruti"/>
          <w:sz w:val="24"/>
          <w:szCs w:val="24"/>
        </w:rPr>
        <w:t>Así las cosas</w:t>
      </w:r>
      <w:r w:rsidR="00A9704B" w:rsidRPr="00D43BAD">
        <w:rPr>
          <w:rFonts w:ascii="Gadugi" w:hAnsi="Gadugi" w:cs="Shruti"/>
          <w:sz w:val="24"/>
          <w:szCs w:val="24"/>
        </w:rPr>
        <w:t>,</w:t>
      </w:r>
      <w:r w:rsidR="00500B1A" w:rsidRPr="00D43BAD">
        <w:rPr>
          <w:rFonts w:ascii="Gadugi" w:hAnsi="Gadugi" w:cs="Shruti"/>
          <w:sz w:val="24"/>
          <w:szCs w:val="24"/>
        </w:rPr>
        <w:t xml:space="preserve"> </w:t>
      </w:r>
      <w:r w:rsidRPr="00D43BAD">
        <w:rPr>
          <w:rFonts w:ascii="Gadugi" w:hAnsi="Gadugi" w:cs="Shruti"/>
          <w:sz w:val="24"/>
          <w:szCs w:val="24"/>
        </w:rPr>
        <w:t>en la negociación quedó pactado que</w:t>
      </w:r>
      <w:r w:rsidR="00A9704B" w:rsidRPr="00D43BAD">
        <w:rPr>
          <w:rFonts w:ascii="Gadugi" w:hAnsi="Gadugi" w:cs="Shruti"/>
          <w:sz w:val="24"/>
          <w:szCs w:val="24"/>
        </w:rPr>
        <w:t xml:space="preserve"> los demandantes </w:t>
      </w:r>
      <w:r w:rsidR="00187FEA" w:rsidRPr="00D43BAD">
        <w:rPr>
          <w:rFonts w:ascii="Gadugi" w:hAnsi="Gadugi" w:cs="Shruti"/>
          <w:sz w:val="24"/>
          <w:szCs w:val="24"/>
        </w:rPr>
        <w:t>serían</w:t>
      </w:r>
      <w:r w:rsidR="00A9704B" w:rsidRPr="00D43BAD">
        <w:rPr>
          <w:rFonts w:ascii="Gadugi" w:hAnsi="Gadugi" w:cs="Shruti"/>
          <w:sz w:val="24"/>
          <w:szCs w:val="24"/>
        </w:rPr>
        <w:t xml:space="preserve"> los fideicomitentes, Coomeva</w:t>
      </w:r>
      <w:r w:rsidR="00187FEA" w:rsidRPr="00D43BAD">
        <w:rPr>
          <w:rFonts w:ascii="Gadugi" w:hAnsi="Gadugi" w:cs="Shruti"/>
          <w:sz w:val="24"/>
          <w:szCs w:val="24"/>
        </w:rPr>
        <w:t xml:space="preserve"> S.A.</w:t>
      </w:r>
      <w:r w:rsidR="00A9704B" w:rsidRPr="00D43BAD">
        <w:rPr>
          <w:rFonts w:ascii="Gadugi" w:hAnsi="Gadugi" w:cs="Shruti"/>
          <w:sz w:val="24"/>
          <w:szCs w:val="24"/>
        </w:rPr>
        <w:t xml:space="preserve"> </w:t>
      </w:r>
      <w:r w:rsidR="00187FEA" w:rsidRPr="00D43BAD">
        <w:rPr>
          <w:rFonts w:ascii="Gadugi" w:hAnsi="Gadugi" w:cs="Shruti"/>
          <w:sz w:val="24"/>
          <w:szCs w:val="24"/>
        </w:rPr>
        <w:t>la</w:t>
      </w:r>
      <w:r w:rsidR="00A9704B" w:rsidRPr="00D43BAD">
        <w:rPr>
          <w:rFonts w:ascii="Gadugi" w:hAnsi="Gadugi" w:cs="Shruti"/>
          <w:sz w:val="24"/>
          <w:szCs w:val="24"/>
        </w:rPr>
        <w:t xml:space="preserve"> beneficiari</w:t>
      </w:r>
      <w:r w:rsidR="00187FEA" w:rsidRPr="00D43BAD">
        <w:rPr>
          <w:rFonts w:ascii="Gadugi" w:hAnsi="Gadugi" w:cs="Shruti"/>
          <w:sz w:val="24"/>
          <w:szCs w:val="24"/>
        </w:rPr>
        <w:t>a</w:t>
      </w:r>
      <w:r w:rsidR="00500B1A" w:rsidRPr="00D43BAD">
        <w:rPr>
          <w:rFonts w:ascii="Gadugi" w:hAnsi="Gadugi" w:cs="Shruti"/>
          <w:sz w:val="24"/>
          <w:szCs w:val="24"/>
        </w:rPr>
        <w:t>,</w:t>
      </w:r>
      <w:r w:rsidR="00A9704B" w:rsidRPr="00D43BAD">
        <w:rPr>
          <w:rFonts w:ascii="Gadugi" w:hAnsi="Gadugi" w:cs="Shruti"/>
          <w:sz w:val="24"/>
          <w:szCs w:val="24"/>
        </w:rPr>
        <w:t xml:space="preserve"> </w:t>
      </w:r>
      <w:r w:rsidR="001A64B4" w:rsidRPr="00D43BAD">
        <w:rPr>
          <w:rFonts w:ascii="Gadugi" w:hAnsi="Gadugi" w:cs="Shruti"/>
          <w:sz w:val="24"/>
          <w:szCs w:val="24"/>
        </w:rPr>
        <w:t xml:space="preserve">Alianza Fiduciaria S.A., la entidad fiduciaria, y como garantía, </w:t>
      </w:r>
      <w:r w:rsidR="00A9704B" w:rsidRPr="00D43BAD">
        <w:rPr>
          <w:rFonts w:ascii="Gadugi" w:hAnsi="Gadugi" w:cs="Shruti"/>
          <w:sz w:val="24"/>
          <w:szCs w:val="24"/>
        </w:rPr>
        <w:t>las</w:t>
      </w:r>
      <w:r w:rsidR="001A64B4" w:rsidRPr="00D43BAD">
        <w:rPr>
          <w:rFonts w:ascii="Gadugi" w:hAnsi="Gadugi" w:cs="Shruti"/>
          <w:sz w:val="24"/>
          <w:szCs w:val="24"/>
        </w:rPr>
        <w:t xml:space="preserve"> citadas</w:t>
      </w:r>
      <w:r w:rsidR="00A9704B" w:rsidRPr="00D43BAD">
        <w:rPr>
          <w:rFonts w:ascii="Gadugi" w:hAnsi="Gadugi" w:cs="Shruti"/>
          <w:sz w:val="24"/>
          <w:szCs w:val="24"/>
        </w:rPr>
        <w:t xml:space="preserve"> acciones</w:t>
      </w:r>
      <w:r w:rsidR="00500B1A" w:rsidRPr="00D43BAD">
        <w:rPr>
          <w:rFonts w:ascii="Gadugi" w:hAnsi="Gadugi" w:cs="Shruti"/>
          <w:sz w:val="24"/>
          <w:szCs w:val="24"/>
        </w:rPr>
        <w:t xml:space="preserve">; </w:t>
      </w:r>
      <w:r w:rsidR="00BB2DB7" w:rsidRPr="00D43BAD">
        <w:rPr>
          <w:rFonts w:ascii="Gadugi" w:hAnsi="Gadugi" w:cs="Shruti"/>
          <w:sz w:val="24"/>
          <w:szCs w:val="24"/>
        </w:rPr>
        <w:t>dándosele</w:t>
      </w:r>
      <w:r w:rsidR="00A9704B" w:rsidRPr="00D43BAD">
        <w:rPr>
          <w:rFonts w:ascii="Gadugi" w:hAnsi="Gadugi" w:cs="Shruti"/>
          <w:sz w:val="24"/>
          <w:szCs w:val="24"/>
        </w:rPr>
        <w:t xml:space="preserve"> </w:t>
      </w:r>
      <w:r w:rsidR="00BB2DB7" w:rsidRPr="00D43BAD">
        <w:rPr>
          <w:rFonts w:ascii="Gadugi" w:hAnsi="Gadugi" w:cs="Shruti"/>
          <w:sz w:val="24"/>
          <w:szCs w:val="24"/>
        </w:rPr>
        <w:t>a</w:t>
      </w:r>
      <w:r w:rsidR="00500B1A" w:rsidRPr="00D43BAD">
        <w:rPr>
          <w:rFonts w:ascii="Gadugi" w:hAnsi="Gadugi" w:cs="Shruti"/>
          <w:sz w:val="24"/>
          <w:szCs w:val="24"/>
        </w:rPr>
        <w:t>l patrimonio autónomo que resultó del contrato fiduciario</w:t>
      </w:r>
      <w:r w:rsidR="006B1C0D" w:rsidRPr="00D43BAD">
        <w:rPr>
          <w:rFonts w:ascii="Gadugi" w:hAnsi="Gadugi" w:cs="Shruti"/>
          <w:sz w:val="24"/>
          <w:szCs w:val="24"/>
        </w:rPr>
        <w:t>,</w:t>
      </w:r>
      <w:r w:rsidR="00500B1A" w:rsidRPr="00D43BAD">
        <w:rPr>
          <w:rFonts w:ascii="Gadugi" w:hAnsi="Gadugi" w:cs="Shruti"/>
          <w:sz w:val="24"/>
          <w:szCs w:val="24"/>
        </w:rPr>
        <w:t xml:space="preserve"> </w:t>
      </w:r>
      <w:r w:rsidR="00BB2DB7" w:rsidRPr="00D43BAD">
        <w:rPr>
          <w:rFonts w:ascii="Gadugi" w:hAnsi="Gadugi" w:cs="Shruti"/>
          <w:sz w:val="24"/>
          <w:szCs w:val="24"/>
        </w:rPr>
        <w:t>la denominación de</w:t>
      </w:r>
      <w:r w:rsidR="00500B1A" w:rsidRPr="00D43BAD">
        <w:rPr>
          <w:rFonts w:ascii="Gadugi" w:hAnsi="Gadugi" w:cs="Shruti"/>
          <w:sz w:val="24"/>
          <w:szCs w:val="24"/>
        </w:rPr>
        <w:t xml:space="preserve"> </w:t>
      </w:r>
      <w:r w:rsidR="00BB2DB7" w:rsidRPr="00D43BAD">
        <w:rPr>
          <w:rFonts w:ascii="Gadugi" w:hAnsi="Gadugi" w:cs="Shruti"/>
          <w:sz w:val="24"/>
          <w:szCs w:val="24"/>
        </w:rPr>
        <w:t>“</w:t>
      </w:r>
      <w:r w:rsidR="00500B1A" w:rsidRPr="00D43BAD">
        <w:rPr>
          <w:rFonts w:ascii="Gadugi" w:hAnsi="Gadugi" w:cs="Shruti"/>
          <w:sz w:val="24"/>
          <w:szCs w:val="24"/>
        </w:rPr>
        <w:t>Patrimonio Las Vegas Jaramillo</w:t>
      </w:r>
      <w:r w:rsidR="00BB2DB7" w:rsidRPr="00D43BAD">
        <w:rPr>
          <w:rFonts w:ascii="Gadugi" w:hAnsi="Gadugi" w:cs="Shruti"/>
          <w:sz w:val="24"/>
          <w:szCs w:val="24"/>
        </w:rPr>
        <w:t>”</w:t>
      </w:r>
      <w:r w:rsidR="00500B1A" w:rsidRPr="00D43BAD">
        <w:rPr>
          <w:rFonts w:ascii="Gadugi" w:hAnsi="Gadugi" w:cs="Shruti"/>
          <w:sz w:val="24"/>
          <w:szCs w:val="24"/>
        </w:rPr>
        <w:t>.</w:t>
      </w:r>
    </w:p>
    <w:p w14:paraId="3B52AE66" w14:textId="0307FC11" w:rsidR="00500B1A" w:rsidRPr="00D43BAD" w:rsidRDefault="00500B1A" w:rsidP="00D43BAD">
      <w:pPr>
        <w:spacing w:line="276" w:lineRule="auto"/>
        <w:ind w:firstLine="2835"/>
        <w:jc w:val="both"/>
        <w:rPr>
          <w:rFonts w:ascii="Gadugi" w:hAnsi="Gadugi" w:cs="Shruti"/>
          <w:sz w:val="24"/>
          <w:szCs w:val="24"/>
        </w:rPr>
      </w:pPr>
    </w:p>
    <w:p w14:paraId="1CA2D89B" w14:textId="101BD8D6" w:rsidR="00500B1A" w:rsidRPr="00D43BAD" w:rsidRDefault="00500B1A"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En octubre de 1998, las partes suscribieron una modificación en el contrato de fiducia </w:t>
      </w:r>
      <w:r w:rsidR="001C1473" w:rsidRPr="00D43BAD">
        <w:rPr>
          <w:rFonts w:ascii="Gadugi" w:hAnsi="Gadugi" w:cs="Shruti"/>
          <w:sz w:val="24"/>
          <w:szCs w:val="24"/>
        </w:rPr>
        <w:t>en el sentido de</w:t>
      </w:r>
      <w:r w:rsidRPr="00D43BAD">
        <w:rPr>
          <w:rFonts w:ascii="Gadugi" w:hAnsi="Gadugi" w:cs="Shruti"/>
          <w:sz w:val="24"/>
          <w:szCs w:val="24"/>
        </w:rPr>
        <w:t xml:space="preserve"> que </w:t>
      </w:r>
      <w:r w:rsidR="001C1473" w:rsidRPr="00D43BAD">
        <w:rPr>
          <w:rFonts w:ascii="Gadugi" w:hAnsi="Gadugi" w:cs="Shruti"/>
          <w:sz w:val="24"/>
          <w:szCs w:val="24"/>
        </w:rPr>
        <w:t>el procedimiento para la venta de los bienes fideicomitidos consist</w:t>
      </w:r>
      <w:r w:rsidR="00684E59" w:rsidRPr="00D43BAD">
        <w:rPr>
          <w:rFonts w:ascii="Gadugi" w:hAnsi="Gadugi" w:cs="Shruti"/>
          <w:sz w:val="24"/>
          <w:szCs w:val="24"/>
        </w:rPr>
        <w:t>ir</w:t>
      </w:r>
      <w:r w:rsidR="001C1473" w:rsidRPr="00D43BAD">
        <w:rPr>
          <w:rFonts w:ascii="Gadugi" w:hAnsi="Gadugi" w:cs="Shruti"/>
          <w:sz w:val="24"/>
          <w:szCs w:val="24"/>
        </w:rPr>
        <w:t>ía en que una vez el beneficiario (Coomeva</w:t>
      </w:r>
      <w:r w:rsidR="009B2D02" w:rsidRPr="00D43BAD">
        <w:rPr>
          <w:rFonts w:ascii="Gadugi" w:hAnsi="Gadugi" w:cs="Shruti"/>
          <w:sz w:val="24"/>
          <w:szCs w:val="24"/>
        </w:rPr>
        <w:t xml:space="preserve"> S.A.</w:t>
      </w:r>
      <w:r w:rsidR="001C1473" w:rsidRPr="00D43BAD">
        <w:rPr>
          <w:rFonts w:ascii="Gadugi" w:hAnsi="Gadugi" w:cs="Shruti"/>
          <w:sz w:val="24"/>
          <w:szCs w:val="24"/>
        </w:rPr>
        <w:t xml:space="preserve">), le notificara </w:t>
      </w:r>
      <w:r w:rsidR="00DE36E7" w:rsidRPr="00D43BAD">
        <w:rPr>
          <w:rFonts w:ascii="Gadugi" w:hAnsi="Gadugi" w:cs="Shruti"/>
          <w:sz w:val="24"/>
          <w:szCs w:val="24"/>
        </w:rPr>
        <w:t xml:space="preserve">por escrito </w:t>
      </w:r>
      <w:r w:rsidR="001C1473" w:rsidRPr="00D43BAD">
        <w:rPr>
          <w:rFonts w:ascii="Gadugi" w:hAnsi="Gadugi" w:cs="Shruti"/>
          <w:sz w:val="24"/>
          <w:szCs w:val="24"/>
        </w:rPr>
        <w:t xml:space="preserve">a la fiduciaria (Alianza </w:t>
      </w:r>
      <w:r w:rsidR="00DE36E7" w:rsidRPr="00D43BAD">
        <w:rPr>
          <w:rFonts w:ascii="Gadugi" w:hAnsi="Gadugi" w:cs="Shruti"/>
          <w:sz w:val="24"/>
          <w:szCs w:val="24"/>
        </w:rPr>
        <w:t>Fiduciaria S.A.) el incumpli</w:t>
      </w:r>
      <w:r w:rsidR="00684E59" w:rsidRPr="00D43BAD">
        <w:rPr>
          <w:rFonts w:ascii="Gadugi" w:hAnsi="Gadugi" w:cs="Shruti"/>
          <w:sz w:val="24"/>
          <w:szCs w:val="24"/>
        </w:rPr>
        <w:t xml:space="preserve">miento </w:t>
      </w:r>
      <w:r w:rsidR="00DE36E7" w:rsidRPr="00D43BAD">
        <w:rPr>
          <w:rFonts w:ascii="Gadugi" w:hAnsi="Gadugi" w:cs="Shruti"/>
          <w:sz w:val="24"/>
          <w:szCs w:val="24"/>
        </w:rPr>
        <w:t>en el pago de las cuotas</w:t>
      </w:r>
      <w:r w:rsidR="003D4D27" w:rsidRPr="00D43BAD">
        <w:rPr>
          <w:rFonts w:ascii="Gadugi" w:hAnsi="Gadugi" w:cs="Shruti"/>
          <w:sz w:val="24"/>
          <w:szCs w:val="24"/>
        </w:rPr>
        <w:t xml:space="preserve"> de amortización del crédito</w:t>
      </w:r>
      <w:r w:rsidR="00DE36E7" w:rsidRPr="00D43BAD">
        <w:rPr>
          <w:rFonts w:ascii="Gadugi" w:hAnsi="Gadugi" w:cs="Shruti"/>
          <w:sz w:val="24"/>
          <w:szCs w:val="24"/>
        </w:rPr>
        <w:t xml:space="preserve">, y los fideicomitentes no lo acreditaran en el término de 30 días, </w:t>
      </w:r>
      <w:r w:rsidR="003D4D27" w:rsidRPr="00D43BAD">
        <w:rPr>
          <w:rFonts w:ascii="Gadugi" w:hAnsi="Gadugi" w:cs="Shruti"/>
          <w:sz w:val="24"/>
          <w:szCs w:val="24"/>
        </w:rPr>
        <w:t xml:space="preserve">podía esta última encargarle a una firma comisionista de bolsa la venta de las acciones. </w:t>
      </w:r>
    </w:p>
    <w:p w14:paraId="5FFEFD29" w14:textId="4B4F449A" w:rsidR="003D4D27" w:rsidRPr="00D43BAD" w:rsidRDefault="003D4D27" w:rsidP="00D43BAD">
      <w:pPr>
        <w:spacing w:line="276" w:lineRule="auto"/>
        <w:ind w:firstLine="2835"/>
        <w:jc w:val="both"/>
        <w:rPr>
          <w:rFonts w:ascii="Gadugi" w:hAnsi="Gadugi" w:cs="Shruti"/>
          <w:sz w:val="24"/>
          <w:szCs w:val="24"/>
        </w:rPr>
      </w:pPr>
    </w:p>
    <w:p w14:paraId="3B07B33E" w14:textId="4CE8500B" w:rsidR="003D4D27" w:rsidRPr="00D43BAD" w:rsidRDefault="00BB2DB7"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Bajo ese </w:t>
      </w:r>
      <w:r w:rsidR="00684E59" w:rsidRPr="00D43BAD">
        <w:rPr>
          <w:rFonts w:ascii="Gadugi" w:hAnsi="Gadugi" w:cs="Shruti"/>
          <w:sz w:val="24"/>
          <w:szCs w:val="24"/>
        </w:rPr>
        <w:t>entendido</w:t>
      </w:r>
      <w:r w:rsidRPr="00D43BAD">
        <w:rPr>
          <w:rFonts w:ascii="Gadugi" w:hAnsi="Gadugi" w:cs="Shruti"/>
          <w:sz w:val="24"/>
          <w:szCs w:val="24"/>
        </w:rPr>
        <w:t>, e</w:t>
      </w:r>
      <w:r w:rsidR="003D4D27" w:rsidRPr="00D43BAD">
        <w:rPr>
          <w:rFonts w:ascii="Gadugi" w:hAnsi="Gadugi" w:cs="Shruti"/>
          <w:sz w:val="24"/>
          <w:szCs w:val="24"/>
        </w:rPr>
        <w:t xml:space="preserve">l 14 de agosto de 1998, Coomeva le notificó a Alianza Fiduciaria S.A. </w:t>
      </w:r>
      <w:r w:rsidRPr="00D43BAD">
        <w:rPr>
          <w:rFonts w:ascii="Gadugi" w:hAnsi="Gadugi" w:cs="Shruti"/>
          <w:sz w:val="24"/>
          <w:szCs w:val="24"/>
        </w:rPr>
        <w:t>e</w:t>
      </w:r>
      <w:r w:rsidR="003D4D27" w:rsidRPr="00D43BAD">
        <w:rPr>
          <w:rFonts w:ascii="Gadugi" w:hAnsi="Gadugi" w:cs="Shruti"/>
          <w:sz w:val="24"/>
          <w:szCs w:val="24"/>
        </w:rPr>
        <w:t>l supuesto incumplimiento de los demandantes en el pago de las cuotas de amortización</w:t>
      </w:r>
      <w:r w:rsidRPr="00D43BAD">
        <w:rPr>
          <w:rFonts w:ascii="Gadugi" w:hAnsi="Gadugi" w:cs="Shruti"/>
          <w:sz w:val="24"/>
          <w:szCs w:val="24"/>
        </w:rPr>
        <w:t xml:space="preserve"> y</w:t>
      </w:r>
      <w:r w:rsidR="00684E59" w:rsidRPr="00D43BAD">
        <w:rPr>
          <w:rFonts w:ascii="Gadugi" w:hAnsi="Gadugi" w:cs="Shruti"/>
          <w:sz w:val="24"/>
          <w:szCs w:val="24"/>
        </w:rPr>
        <w:t>,</w:t>
      </w:r>
      <w:r w:rsidR="001E3899" w:rsidRPr="00D43BAD">
        <w:rPr>
          <w:rFonts w:ascii="Gadugi" w:hAnsi="Gadugi" w:cs="Shruti"/>
          <w:sz w:val="24"/>
          <w:szCs w:val="24"/>
        </w:rPr>
        <w:t xml:space="preserve"> como consecuencia de ello, la fiduciaria </w:t>
      </w:r>
      <w:r w:rsidRPr="00D43BAD">
        <w:rPr>
          <w:rFonts w:ascii="Gadugi" w:hAnsi="Gadugi" w:cs="Shruti"/>
          <w:sz w:val="24"/>
          <w:szCs w:val="24"/>
        </w:rPr>
        <w:t xml:space="preserve">empezó </w:t>
      </w:r>
      <w:r w:rsidR="001E3899" w:rsidRPr="00D43BAD">
        <w:rPr>
          <w:rFonts w:ascii="Gadugi" w:hAnsi="Gadugi" w:cs="Shruti"/>
          <w:sz w:val="24"/>
          <w:szCs w:val="24"/>
        </w:rPr>
        <w:t>el trámite para la venta de las acciones</w:t>
      </w:r>
      <w:r w:rsidRPr="00D43BAD">
        <w:rPr>
          <w:rFonts w:ascii="Gadugi" w:hAnsi="Gadugi" w:cs="Shruti"/>
          <w:sz w:val="24"/>
          <w:szCs w:val="24"/>
        </w:rPr>
        <w:t>,</w:t>
      </w:r>
      <w:r w:rsidR="001E3899" w:rsidRPr="00D43BAD">
        <w:rPr>
          <w:rFonts w:ascii="Gadugi" w:hAnsi="Gadugi" w:cs="Shruti"/>
          <w:sz w:val="24"/>
          <w:szCs w:val="24"/>
        </w:rPr>
        <w:t xml:space="preserve"> </w:t>
      </w:r>
      <w:r w:rsidRPr="00D43BAD">
        <w:rPr>
          <w:rFonts w:ascii="Gadugi" w:hAnsi="Gadugi" w:cs="Shruti"/>
          <w:sz w:val="24"/>
          <w:szCs w:val="24"/>
        </w:rPr>
        <w:t>comunicándole</w:t>
      </w:r>
      <w:r w:rsidR="001E3899" w:rsidRPr="00D43BAD">
        <w:rPr>
          <w:rFonts w:ascii="Gadugi" w:hAnsi="Gadugi" w:cs="Shruti"/>
          <w:sz w:val="24"/>
          <w:szCs w:val="24"/>
        </w:rPr>
        <w:t xml:space="preserve"> a Inversiones Médicas de Antioquia S.A. algunas ofertas, que terminaron en la materialización de la venta de las</w:t>
      </w:r>
      <w:r w:rsidR="00E91EE1" w:rsidRPr="00D43BAD">
        <w:rPr>
          <w:rFonts w:ascii="Gadugi" w:hAnsi="Gadugi" w:cs="Shruti"/>
          <w:sz w:val="24"/>
          <w:szCs w:val="24"/>
        </w:rPr>
        <w:t xml:space="preserve"> 280</w:t>
      </w:r>
      <w:r w:rsidR="001E3899" w:rsidRPr="00D43BAD">
        <w:rPr>
          <w:rFonts w:ascii="Gadugi" w:hAnsi="Gadugi" w:cs="Shruti"/>
          <w:sz w:val="24"/>
          <w:szCs w:val="24"/>
        </w:rPr>
        <w:t xml:space="preserve"> acciones el día 25 de febrero de 1999</w:t>
      </w:r>
      <w:r w:rsidR="00E91EE1" w:rsidRPr="00D43BAD">
        <w:rPr>
          <w:rFonts w:ascii="Gadugi" w:hAnsi="Gadugi" w:cs="Shruti"/>
          <w:sz w:val="24"/>
          <w:szCs w:val="24"/>
        </w:rPr>
        <w:t>.</w:t>
      </w:r>
    </w:p>
    <w:p w14:paraId="011CDC50" w14:textId="2EE94694" w:rsidR="001E3899" w:rsidRPr="00D43BAD" w:rsidRDefault="001E3899" w:rsidP="00D43BAD">
      <w:pPr>
        <w:spacing w:line="276" w:lineRule="auto"/>
        <w:ind w:firstLine="2835"/>
        <w:jc w:val="both"/>
        <w:rPr>
          <w:rFonts w:ascii="Gadugi" w:hAnsi="Gadugi" w:cs="Shruti"/>
          <w:sz w:val="24"/>
          <w:szCs w:val="24"/>
        </w:rPr>
      </w:pPr>
    </w:p>
    <w:p w14:paraId="14FEB18C" w14:textId="79A6B072" w:rsidR="0068561E" w:rsidRPr="00D43BAD" w:rsidRDefault="00E91EE1" w:rsidP="00D43BAD">
      <w:pPr>
        <w:spacing w:line="276" w:lineRule="auto"/>
        <w:ind w:firstLine="2835"/>
        <w:jc w:val="both"/>
        <w:rPr>
          <w:rFonts w:ascii="Gadugi" w:hAnsi="Gadugi" w:cs="Shruti"/>
          <w:sz w:val="24"/>
          <w:szCs w:val="24"/>
        </w:rPr>
      </w:pPr>
      <w:r w:rsidRPr="00D43BAD">
        <w:rPr>
          <w:rFonts w:ascii="Gadugi" w:hAnsi="Gadugi" w:cs="Shruti"/>
          <w:sz w:val="24"/>
          <w:szCs w:val="24"/>
        </w:rPr>
        <w:t>Sobre esa venta, que califican de ilegal, reprocharon que</w:t>
      </w:r>
      <w:r w:rsidR="009B2D02" w:rsidRPr="00D43BAD">
        <w:rPr>
          <w:rFonts w:ascii="Gadugi" w:hAnsi="Gadugi" w:cs="Shruti"/>
          <w:sz w:val="24"/>
          <w:szCs w:val="24"/>
        </w:rPr>
        <w:t xml:space="preserve">, </w:t>
      </w:r>
      <w:r w:rsidRPr="00D43BAD">
        <w:rPr>
          <w:rFonts w:ascii="Gadugi" w:hAnsi="Gadugi" w:cs="Shruti"/>
          <w:sz w:val="24"/>
          <w:szCs w:val="24"/>
        </w:rPr>
        <w:t xml:space="preserve">(i) </w:t>
      </w:r>
      <w:r w:rsidR="00684E59" w:rsidRPr="00D43BAD">
        <w:rPr>
          <w:rFonts w:ascii="Gadugi" w:hAnsi="Gadugi" w:cs="Shruti"/>
          <w:sz w:val="24"/>
          <w:szCs w:val="24"/>
        </w:rPr>
        <w:t>l</w:t>
      </w:r>
      <w:r w:rsidRPr="00D43BAD">
        <w:rPr>
          <w:rFonts w:ascii="Gadugi" w:hAnsi="Gadugi" w:cs="Shruti"/>
          <w:sz w:val="24"/>
          <w:szCs w:val="24"/>
        </w:rPr>
        <w:t xml:space="preserve">as acciones se vendieron por un valor </w:t>
      </w:r>
      <w:r w:rsidR="009B2D02" w:rsidRPr="00D43BAD">
        <w:rPr>
          <w:rFonts w:ascii="Gadugi" w:hAnsi="Gadugi" w:cs="Shruti"/>
          <w:sz w:val="24"/>
          <w:szCs w:val="24"/>
        </w:rPr>
        <w:t xml:space="preserve">inferior </w:t>
      </w:r>
      <w:r w:rsidRPr="00D43BAD">
        <w:rPr>
          <w:rFonts w:ascii="Gadugi" w:hAnsi="Gadugi" w:cs="Shruti"/>
          <w:sz w:val="24"/>
          <w:szCs w:val="24"/>
        </w:rPr>
        <w:t>establecido en el contrato de fiducia</w:t>
      </w:r>
      <w:r w:rsidR="001114FC" w:rsidRPr="00D43BAD">
        <w:rPr>
          <w:rFonts w:ascii="Gadugi" w:hAnsi="Gadugi" w:cs="Shruti"/>
          <w:sz w:val="24"/>
          <w:szCs w:val="24"/>
        </w:rPr>
        <w:t>.</w:t>
      </w:r>
      <w:r w:rsidR="00A030D8" w:rsidRPr="00D43BAD">
        <w:rPr>
          <w:rFonts w:ascii="Gadugi" w:hAnsi="Gadugi" w:cs="Shruti"/>
          <w:sz w:val="24"/>
          <w:szCs w:val="24"/>
        </w:rPr>
        <w:t xml:space="preserve"> </w:t>
      </w:r>
      <w:r w:rsidRPr="00D43BAD">
        <w:rPr>
          <w:rFonts w:ascii="Gadugi" w:hAnsi="Gadugi" w:cs="Shruti"/>
          <w:sz w:val="24"/>
          <w:szCs w:val="24"/>
        </w:rPr>
        <w:t xml:space="preserve">(ii) </w:t>
      </w:r>
      <w:r w:rsidR="00684E59" w:rsidRPr="00D43BAD">
        <w:rPr>
          <w:rFonts w:ascii="Gadugi" w:hAnsi="Gadugi" w:cs="Shruti"/>
          <w:sz w:val="24"/>
          <w:szCs w:val="24"/>
        </w:rPr>
        <w:t>l</w:t>
      </w:r>
      <w:r w:rsidRPr="00D43BAD">
        <w:rPr>
          <w:rFonts w:ascii="Gadugi" w:hAnsi="Gadugi" w:cs="Shruti"/>
          <w:sz w:val="24"/>
          <w:szCs w:val="24"/>
        </w:rPr>
        <w:t xml:space="preserve">a fiduciaria no podía realizar el negocio, pues estaba condicionado al contrato fiduciario regulado por el artículo 1226 del </w:t>
      </w:r>
      <w:r w:rsidR="00A030D8" w:rsidRPr="00D43BAD">
        <w:rPr>
          <w:rFonts w:ascii="Gadugi" w:hAnsi="Gadugi" w:cs="Shruti"/>
          <w:sz w:val="24"/>
          <w:szCs w:val="24"/>
        </w:rPr>
        <w:t>C</w:t>
      </w:r>
      <w:r w:rsidRPr="00D43BAD">
        <w:rPr>
          <w:rFonts w:ascii="Gadugi" w:hAnsi="Gadugi" w:cs="Shruti"/>
          <w:sz w:val="24"/>
          <w:szCs w:val="24"/>
        </w:rPr>
        <w:t xml:space="preserve">ódigo de </w:t>
      </w:r>
      <w:r w:rsidR="00A030D8" w:rsidRPr="00D43BAD">
        <w:rPr>
          <w:rFonts w:ascii="Gadugi" w:hAnsi="Gadugi" w:cs="Shruti"/>
          <w:sz w:val="24"/>
          <w:szCs w:val="24"/>
        </w:rPr>
        <w:t>C</w:t>
      </w:r>
      <w:r w:rsidRPr="00D43BAD">
        <w:rPr>
          <w:rFonts w:ascii="Gadugi" w:hAnsi="Gadugi" w:cs="Shruti"/>
          <w:sz w:val="24"/>
          <w:szCs w:val="24"/>
        </w:rPr>
        <w:t xml:space="preserve">omercio, en el que se establece que para que sea posible la enajenación de los bienes fideicomitidos en favor del </w:t>
      </w:r>
      <w:r w:rsidRPr="00D43BAD">
        <w:rPr>
          <w:rFonts w:ascii="Gadugi" w:hAnsi="Gadugi" w:cs="Shruti"/>
          <w:sz w:val="24"/>
          <w:szCs w:val="24"/>
        </w:rPr>
        <w:lastRenderedPageBreak/>
        <w:t>beneficiario, es necesario que el fideicomitente le transfiera los bienes a la fiduciaria, lo cual no ocurrió</w:t>
      </w:r>
      <w:r w:rsidR="00C65FC0" w:rsidRPr="00D43BAD">
        <w:rPr>
          <w:rFonts w:ascii="Gadugi" w:hAnsi="Gadugi" w:cs="Shruti"/>
          <w:sz w:val="24"/>
          <w:szCs w:val="24"/>
        </w:rPr>
        <w:t xml:space="preserve">, porque si bien en el contrato de fiducia </w:t>
      </w:r>
      <w:r w:rsidR="00410F74" w:rsidRPr="00D43BAD">
        <w:rPr>
          <w:rFonts w:ascii="Gadugi" w:hAnsi="Gadugi" w:cs="Shruti"/>
          <w:sz w:val="24"/>
          <w:szCs w:val="24"/>
        </w:rPr>
        <w:t>se dijo</w:t>
      </w:r>
      <w:r w:rsidR="00C65FC0" w:rsidRPr="00D43BAD">
        <w:rPr>
          <w:rFonts w:ascii="Gadugi" w:hAnsi="Gadugi" w:cs="Shruti"/>
          <w:sz w:val="24"/>
          <w:szCs w:val="24"/>
        </w:rPr>
        <w:t xml:space="preserve"> </w:t>
      </w:r>
      <w:r w:rsidR="00410F74" w:rsidRPr="00D43BAD">
        <w:rPr>
          <w:rFonts w:ascii="Gadugi" w:hAnsi="Gadugi" w:cs="Shruti"/>
          <w:sz w:val="24"/>
          <w:szCs w:val="24"/>
        </w:rPr>
        <w:t>que transferían las acciones, eso quedó en una mera manifestación</w:t>
      </w:r>
      <w:r w:rsidR="00684E59" w:rsidRPr="00D43BAD">
        <w:rPr>
          <w:rFonts w:ascii="Gadugi" w:hAnsi="Gadugi" w:cs="Shruti"/>
          <w:sz w:val="24"/>
          <w:szCs w:val="24"/>
        </w:rPr>
        <w:t>; y (</w:t>
      </w:r>
      <w:r w:rsidRPr="00D43BAD">
        <w:rPr>
          <w:rFonts w:ascii="Gadugi" w:hAnsi="Gadugi" w:cs="Shruti"/>
          <w:sz w:val="24"/>
          <w:szCs w:val="24"/>
        </w:rPr>
        <w:t>iii)</w:t>
      </w:r>
      <w:r w:rsidR="0068561E" w:rsidRPr="00D43BAD">
        <w:rPr>
          <w:rFonts w:ascii="Gadugi" w:hAnsi="Gadugi" w:cs="Shruti"/>
          <w:sz w:val="24"/>
          <w:szCs w:val="24"/>
        </w:rPr>
        <w:t xml:space="preserve"> </w:t>
      </w:r>
      <w:r w:rsidR="00A030D8" w:rsidRPr="00D43BAD">
        <w:rPr>
          <w:rFonts w:ascii="Gadugi" w:hAnsi="Gadugi" w:cs="Shruti"/>
          <w:sz w:val="24"/>
          <w:szCs w:val="24"/>
        </w:rPr>
        <w:t>p</w:t>
      </w:r>
      <w:r w:rsidR="001114FC" w:rsidRPr="00D43BAD">
        <w:rPr>
          <w:rFonts w:ascii="Gadugi" w:hAnsi="Gadugi" w:cs="Shruti"/>
          <w:sz w:val="24"/>
          <w:szCs w:val="24"/>
        </w:rPr>
        <w:t xml:space="preserve">or el tipo de bienes (acciones) la transferencia no podía ocurrir de cualquier forma, sino al tenor de lo reglado en el artículo 406 del </w:t>
      </w:r>
      <w:r w:rsidR="009B2D02" w:rsidRPr="00D43BAD">
        <w:rPr>
          <w:rFonts w:ascii="Gadugi" w:hAnsi="Gadugi" w:cs="Shruti"/>
          <w:sz w:val="24"/>
          <w:szCs w:val="24"/>
        </w:rPr>
        <w:t>C</w:t>
      </w:r>
      <w:r w:rsidR="001114FC" w:rsidRPr="00D43BAD">
        <w:rPr>
          <w:rFonts w:ascii="Gadugi" w:hAnsi="Gadugi" w:cs="Shruti"/>
          <w:sz w:val="24"/>
          <w:szCs w:val="24"/>
        </w:rPr>
        <w:t xml:space="preserve">ódigo de </w:t>
      </w:r>
      <w:r w:rsidR="009B2D02" w:rsidRPr="00D43BAD">
        <w:rPr>
          <w:rFonts w:ascii="Gadugi" w:hAnsi="Gadugi" w:cs="Shruti"/>
          <w:sz w:val="24"/>
          <w:szCs w:val="24"/>
        </w:rPr>
        <w:t>C</w:t>
      </w:r>
      <w:r w:rsidR="001114FC" w:rsidRPr="00D43BAD">
        <w:rPr>
          <w:rFonts w:ascii="Gadugi" w:hAnsi="Gadugi" w:cs="Shruti"/>
          <w:sz w:val="24"/>
          <w:szCs w:val="24"/>
        </w:rPr>
        <w:t>omercio, sin embargo, en este caso,</w:t>
      </w:r>
      <w:r w:rsidR="00684E59" w:rsidRPr="00D43BAD">
        <w:rPr>
          <w:rFonts w:ascii="Gadugi" w:hAnsi="Gadugi" w:cs="Shruti"/>
          <w:sz w:val="24"/>
          <w:szCs w:val="24"/>
        </w:rPr>
        <w:t xml:space="preserve"> nunca</w:t>
      </w:r>
      <w:r w:rsidR="001114FC" w:rsidRPr="00D43BAD">
        <w:rPr>
          <w:rFonts w:ascii="Gadugi" w:hAnsi="Gadugi" w:cs="Shruti"/>
          <w:sz w:val="24"/>
          <w:szCs w:val="24"/>
        </w:rPr>
        <w:t xml:space="preserve"> se hizo la respectiva inscripción en el libro de registro de acciones</w:t>
      </w:r>
      <w:r w:rsidR="00684E59" w:rsidRPr="00D43BAD">
        <w:rPr>
          <w:rFonts w:ascii="Gadugi" w:hAnsi="Gadugi" w:cs="Shruti"/>
          <w:sz w:val="24"/>
          <w:szCs w:val="24"/>
        </w:rPr>
        <w:t>, e</w:t>
      </w:r>
      <w:r w:rsidR="001114FC" w:rsidRPr="00D43BAD">
        <w:rPr>
          <w:rFonts w:ascii="Gadugi" w:hAnsi="Gadugi" w:cs="Shruti"/>
          <w:sz w:val="24"/>
          <w:szCs w:val="24"/>
        </w:rPr>
        <w:t xml:space="preserve">l enajenante, es decir Raúl Jaramillo, </w:t>
      </w:r>
      <w:r w:rsidR="00684E59" w:rsidRPr="00D43BAD">
        <w:rPr>
          <w:rFonts w:ascii="Gadugi" w:hAnsi="Gadugi" w:cs="Shruti"/>
          <w:sz w:val="24"/>
          <w:szCs w:val="24"/>
        </w:rPr>
        <w:t>tampoco</w:t>
      </w:r>
      <w:r w:rsidR="001114FC" w:rsidRPr="00D43BAD">
        <w:rPr>
          <w:rFonts w:ascii="Gadugi" w:hAnsi="Gadugi" w:cs="Shruti"/>
          <w:sz w:val="24"/>
          <w:szCs w:val="24"/>
        </w:rPr>
        <w:t xml:space="preserve"> realizó ninguna orden de inscripción, ni hizo el endoso de los títulos, y c) </w:t>
      </w:r>
      <w:r w:rsidR="00684E59" w:rsidRPr="00D43BAD">
        <w:rPr>
          <w:rFonts w:ascii="Gadugi" w:hAnsi="Gadugi" w:cs="Shruti"/>
          <w:sz w:val="24"/>
          <w:szCs w:val="24"/>
        </w:rPr>
        <w:t>se omitió</w:t>
      </w:r>
      <w:r w:rsidR="001114FC" w:rsidRPr="00D43BAD">
        <w:rPr>
          <w:rFonts w:ascii="Gadugi" w:hAnsi="Gadugi" w:cs="Shruti"/>
          <w:sz w:val="24"/>
          <w:szCs w:val="24"/>
        </w:rPr>
        <w:t xml:space="preserve"> la cancelación de los títulos que estaban a su nombre. </w:t>
      </w:r>
    </w:p>
    <w:p w14:paraId="0DE914B7" w14:textId="77777777" w:rsidR="0068561E" w:rsidRPr="00D43BAD" w:rsidRDefault="0068561E" w:rsidP="00D43BAD">
      <w:pPr>
        <w:spacing w:line="276" w:lineRule="auto"/>
        <w:ind w:firstLine="2835"/>
        <w:jc w:val="both"/>
        <w:rPr>
          <w:rFonts w:ascii="Gadugi" w:hAnsi="Gadugi" w:cs="Shruti"/>
          <w:sz w:val="24"/>
          <w:szCs w:val="24"/>
        </w:rPr>
      </w:pPr>
    </w:p>
    <w:p w14:paraId="07AA7BE5" w14:textId="5B635D36" w:rsidR="00B120C8" w:rsidRDefault="003932D8" w:rsidP="00D43BAD">
      <w:pPr>
        <w:spacing w:line="276" w:lineRule="auto"/>
        <w:ind w:firstLine="2835"/>
        <w:jc w:val="both"/>
        <w:rPr>
          <w:rFonts w:ascii="Gadugi" w:hAnsi="Gadugi" w:cs="Shruti"/>
          <w:sz w:val="24"/>
          <w:szCs w:val="24"/>
        </w:rPr>
      </w:pPr>
      <w:r w:rsidRPr="00D43BAD">
        <w:rPr>
          <w:rFonts w:ascii="Gadugi" w:hAnsi="Gadugi" w:cs="Shruti"/>
          <w:sz w:val="24"/>
          <w:szCs w:val="24"/>
        </w:rPr>
        <w:t>Como consecuencia de esa venta</w:t>
      </w:r>
      <w:r w:rsidR="004C0D99" w:rsidRPr="00D43BAD">
        <w:rPr>
          <w:rFonts w:ascii="Gadugi" w:hAnsi="Gadugi" w:cs="Shruti"/>
          <w:sz w:val="24"/>
          <w:szCs w:val="24"/>
        </w:rPr>
        <w:t>,</w:t>
      </w:r>
      <w:r w:rsidR="00B120C8" w:rsidRPr="00D43BAD">
        <w:rPr>
          <w:rFonts w:ascii="Gadugi" w:hAnsi="Gadugi" w:cs="Shruti"/>
          <w:sz w:val="24"/>
          <w:szCs w:val="24"/>
        </w:rPr>
        <w:t xml:space="preserve"> al señor José Raúl </w:t>
      </w:r>
      <w:r w:rsidR="002D3214" w:rsidRPr="00D43BAD">
        <w:rPr>
          <w:rFonts w:ascii="Gadugi" w:hAnsi="Gadugi" w:cs="Shruti"/>
          <w:sz w:val="24"/>
          <w:szCs w:val="24"/>
        </w:rPr>
        <w:t xml:space="preserve">Jaramillo </w:t>
      </w:r>
      <w:r w:rsidR="004C0D99" w:rsidRPr="00D43BAD">
        <w:rPr>
          <w:rFonts w:ascii="Gadugi" w:hAnsi="Gadugi" w:cs="Shruti"/>
          <w:sz w:val="24"/>
          <w:szCs w:val="24"/>
        </w:rPr>
        <w:t xml:space="preserve">Zuloaga se le </w:t>
      </w:r>
      <w:r w:rsidR="00553C7B" w:rsidRPr="00D43BAD">
        <w:rPr>
          <w:rFonts w:ascii="Gadugi" w:hAnsi="Gadugi" w:cs="Shruti"/>
          <w:sz w:val="24"/>
          <w:szCs w:val="24"/>
        </w:rPr>
        <w:t xml:space="preserve">causó un </w:t>
      </w:r>
      <w:r w:rsidR="004C0D99" w:rsidRPr="00D43BAD">
        <w:rPr>
          <w:rFonts w:ascii="Gadugi" w:hAnsi="Gadugi" w:cs="Shruti"/>
          <w:sz w:val="24"/>
          <w:szCs w:val="24"/>
        </w:rPr>
        <w:t>perjuici</w:t>
      </w:r>
      <w:r w:rsidR="00553C7B" w:rsidRPr="00D43BAD">
        <w:rPr>
          <w:rFonts w:ascii="Gadugi" w:hAnsi="Gadugi" w:cs="Shruti"/>
          <w:sz w:val="24"/>
          <w:szCs w:val="24"/>
        </w:rPr>
        <w:t>o</w:t>
      </w:r>
      <w:r w:rsidR="004C0D99" w:rsidRPr="00D43BAD">
        <w:rPr>
          <w:rFonts w:ascii="Gadugi" w:hAnsi="Gadugi" w:cs="Shruti"/>
          <w:sz w:val="24"/>
          <w:szCs w:val="24"/>
        </w:rPr>
        <w:t xml:space="preserve"> moral</w:t>
      </w:r>
      <w:r w:rsidR="00553C7B" w:rsidRPr="00D43BAD">
        <w:rPr>
          <w:rFonts w:ascii="Gadugi" w:hAnsi="Gadugi" w:cs="Shruti"/>
          <w:sz w:val="24"/>
          <w:szCs w:val="24"/>
        </w:rPr>
        <w:t xml:space="preserve"> y</w:t>
      </w:r>
      <w:r w:rsidR="004C0D99" w:rsidRPr="00D43BAD">
        <w:rPr>
          <w:rFonts w:ascii="Gadugi" w:hAnsi="Gadugi" w:cs="Shruti"/>
          <w:sz w:val="24"/>
          <w:szCs w:val="24"/>
        </w:rPr>
        <w:t xml:space="preserve"> un daño emergente</w:t>
      </w:r>
      <w:r w:rsidR="00553C7B" w:rsidRPr="00D43BAD">
        <w:rPr>
          <w:rFonts w:ascii="Gadugi" w:hAnsi="Gadugi" w:cs="Shruti"/>
          <w:sz w:val="24"/>
          <w:szCs w:val="24"/>
        </w:rPr>
        <w:t>, además</w:t>
      </w:r>
      <w:r w:rsidR="004C0D99" w:rsidRPr="00D43BAD">
        <w:rPr>
          <w:rFonts w:ascii="Gadugi" w:hAnsi="Gadugi" w:cs="Shruti"/>
          <w:sz w:val="24"/>
          <w:szCs w:val="24"/>
        </w:rPr>
        <w:t xml:space="preserve"> </w:t>
      </w:r>
      <w:r w:rsidR="00A030D8" w:rsidRPr="00D43BAD">
        <w:rPr>
          <w:rFonts w:ascii="Gadugi" w:hAnsi="Gadugi" w:cs="Shruti"/>
          <w:sz w:val="24"/>
          <w:szCs w:val="24"/>
        </w:rPr>
        <w:t>sobrelleva</w:t>
      </w:r>
      <w:r w:rsidR="004C0D99" w:rsidRPr="00D43BAD">
        <w:rPr>
          <w:rFonts w:ascii="Gadugi" w:hAnsi="Gadugi" w:cs="Shruti"/>
          <w:sz w:val="24"/>
          <w:szCs w:val="24"/>
        </w:rPr>
        <w:t xml:space="preserve"> un lucro cesante</w:t>
      </w:r>
      <w:r w:rsidR="0020494C" w:rsidRPr="00D43BAD">
        <w:rPr>
          <w:rFonts w:ascii="Gadugi" w:hAnsi="Gadugi" w:cs="Shruti"/>
          <w:sz w:val="24"/>
          <w:szCs w:val="24"/>
        </w:rPr>
        <w:t>, todo lo cual discriminó con detalle</w:t>
      </w:r>
      <w:r w:rsidR="00B63C57" w:rsidRPr="00D43BAD">
        <w:rPr>
          <w:rFonts w:ascii="Gadugi" w:hAnsi="Gadugi" w:cs="Shruti"/>
          <w:sz w:val="24"/>
          <w:szCs w:val="24"/>
        </w:rPr>
        <w:t xml:space="preserve"> en las pretensiones</w:t>
      </w:r>
      <w:r w:rsidR="009B2D02" w:rsidRPr="00D43BAD">
        <w:rPr>
          <w:rFonts w:ascii="Gadugi" w:hAnsi="Gadugi" w:cs="Shruti"/>
          <w:sz w:val="24"/>
          <w:szCs w:val="24"/>
        </w:rPr>
        <w:t xml:space="preserve"> que líneas siguientes se relacionarán.</w:t>
      </w:r>
    </w:p>
    <w:p w14:paraId="0DFBBE81" w14:textId="77777777" w:rsidR="009E3410" w:rsidRPr="00D43BAD" w:rsidRDefault="009E3410" w:rsidP="00D43BAD">
      <w:pPr>
        <w:spacing w:line="276" w:lineRule="auto"/>
        <w:ind w:firstLine="2835"/>
        <w:jc w:val="both"/>
        <w:rPr>
          <w:rFonts w:ascii="Gadugi" w:hAnsi="Gadugi" w:cs="Shruti"/>
          <w:sz w:val="24"/>
          <w:szCs w:val="24"/>
        </w:rPr>
      </w:pPr>
    </w:p>
    <w:p w14:paraId="1CB16C76" w14:textId="359953BC" w:rsidR="0020494C" w:rsidRPr="00D43BAD" w:rsidRDefault="0020494C" w:rsidP="00D43BAD">
      <w:pPr>
        <w:spacing w:line="276" w:lineRule="auto"/>
        <w:ind w:firstLine="2835"/>
        <w:jc w:val="both"/>
        <w:rPr>
          <w:rFonts w:ascii="Gadugi" w:hAnsi="Gadugi" w:cs="Shruti"/>
          <w:sz w:val="24"/>
          <w:szCs w:val="24"/>
        </w:rPr>
      </w:pPr>
      <w:r w:rsidRPr="00D43BAD">
        <w:rPr>
          <w:rFonts w:ascii="Gadugi" w:hAnsi="Gadugi" w:cs="Shruti"/>
          <w:sz w:val="24"/>
          <w:szCs w:val="24"/>
        </w:rPr>
        <w:t>Agregó que el contrato fiduciario contiene una cláusula compromisoria que ya se encuentra agotada, según lo deja ver el auto del 28 de marzo del 2006 emitido por un Tribunal de Arbitramento; además se cumplió con el requisito de procedibilidad</w:t>
      </w:r>
      <w:r w:rsidR="00684E59" w:rsidRPr="00D43BAD">
        <w:rPr>
          <w:rFonts w:ascii="Gadugi" w:hAnsi="Gadugi" w:cs="Shruti"/>
          <w:sz w:val="24"/>
          <w:szCs w:val="24"/>
        </w:rPr>
        <w:t>.</w:t>
      </w:r>
      <w:r w:rsidRPr="00D43BAD">
        <w:rPr>
          <w:rFonts w:ascii="Gadugi" w:hAnsi="Gadugi" w:cs="Shruti"/>
          <w:sz w:val="24"/>
          <w:szCs w:val="24"/>
        </w:rPr>
        <w:t xml:space="preserve"> </w:t>
      </w:r>
    </w:p>
    <w:p w14:paraId="3656B9AB" w14:textId="77777777" w:rsidR="00A04477" w:rsidRPr="00D43BAD" w:rsidRDefault="00A04477" w:rsidP="00D43BAD">
      <w:pPr>
        <w:spacing w:line="276" w:lineRule="auto"/>
        <w:jc w:val="both"/>
        <w:rPr>
          <w:rFonts w:ascii="Gadugi" w:hAnsi="Gadugi" w:cs="Shruti"/>
          <w:sz w:val="24"/>
          <w:szCs w:val="24"/>
        </w:rPr>
      </w:pPr>
    </w:p>
    <w:p w14:paraId="1B7127C4" w14:textId="77777777" w:rsidR="00A04477" w:rsidRPr="00D43BAD" w:rsidRDefault="00A04477" w:rsidP="00D43BAD">
      <w:pPr>
        <w:tabs>
          <w:tab w:val="left" w:pos="3402"/>
        </w:tabs>
        <w:spacing w:line="276" w:lineRule="auto"/>
        <w:ind w:firstLine="2835"/>
        <w:jc w:val="both"/>
        <w:rPr>
          <w:rFonts w:ascii="Gadugi" w:hAnsi="Gadugi" w:cs="Shruti"/>
          <w:b/>
          <w:sz w:val="24"/>
          <w:szCs w:val="24"/>
          <w:lang w:val="es-419"/>
        </w:rPr>
      </w:pPr>
      <w:r w:rsidRPr="00D43BAD">
        <w:rPr>
          <w:rFonts w:ascii="Gadugi" w:hAnsi="Gadugi" w:cs="Shruti"/>
          <w:b/>
          <w:sz w:val="24"/>
          <w:szCs w:val="24"/>
          <w:lang w:val="es-419"/>
        </w:rPr>
        <w:t>1.2.</w:t>
      </w:r>
      <w:r w:rsidRPr="00D43BAD">
        <w:rPr>
          <w:rFonts w:ascii="Gadugi" w:hAnsi="Gadugi" w:cs="Shruti"/>
          <w:b/>
          <w:sz w:val="24"/>
          <w:szCs w:val="24"/>
          <w:lang w:val="es-419"/>
        </w:rPr>
        <w:tab/>
        <w:t>Pretensiones.</w:t>
      </w:r>
    </w:p>
    <w:p w14:paraId="45FB0818" w14:textId="28E795CF" w:rsidR="00A04477" w:rsidRPr="00D43BAD" w:rsidRDefault="00A04477" w:rsidP="00D43BAD">
      <w:pPr>
        <w:spacing w:line="276" w:lineRule="auto"/>
        <w:ind w:firstLine="2835"/>
        <w:jc w:val="both"/>
        <w:rPr>
          <w:rFonts w:ascii="Gadugi" w:hAnsi="Gadugi" w:cs="Shruti"/>
          <w:sz w:val="24"/>
          <w:szCs w:val="24"/>
        </w:rPr>
      </w:pPr>
    </w:p>
    <w:p w14:paraId="45CB872A" w14:textId="41CDFFDC" w:rsidR="0020494C" w:rsidRPr="00D43BAD" w:rsidRDefault="00D812A5" w:rsidP="00D43BAD">
      <w:pPr>
        <w:spacing w:line="276" w:lineRule="auto"/>
        <w:ind w:firstLine="2835"/>
        <w:jc w:val="both"/>
        <w:rPr>
          <w:rFonts w:ascii="Gadugi" w:hAnsi="Gadugi" w:cs="Shruti"/>
          <w:sz w:val="24"/>
          <w:szCs w:val="24"/>
        </w:rPr>
      </w:pPr>
      <w:r w:rsidRPr="00D43BAD">
        <w:rPr>
          <w:rFonts w:ascii="Gadugi" w:hAnsi="Gadugi" w:cs="Shruti"/>
          <w:sz w:val="24"/>
          <w:szCs w:val="24"/>
        </w:rPr>
        <w:t>Con fundamento en lo anterior</w:t>
      </w:r>
      <w:r w:rsidR="005812D8" w:rsidRPr="00D43BAD">
        <w:rPr>
          <w:rFonts w:ascii="Gadugi" w:hAnsi="Gadugi" w:cs="Shruti"/>
          <w:sz w:val="24"/>
          <w:szCs w:val="24"/>
        </w:rPr>
        <w:t>, pidi</w:t>
      </w:r>
      <w:r w:rsidR="00684E59" w:rsidRPr="00D43BAD">
        <w:rPr>
          <w:rFonts w:ascii="Gadugi" w:hAnsi="Gadugi" w:cs="Shruti"/>
          <w:sz w:val="24"/>
          <w:szCs w:val="24"/>
        </w:rPr>
        <w:t>ó</w:t>
      </w:r>
      <w:r w:rsidR="005812D8" w:rsidRPr="00D43BAD">
        <w:rPr>
          <w:rFonts w:ascii="Gadugi" w:hAnsi="Gadugi" w:cs="Shruti"/>
          <w:sz w:val="24"/>
          <w:szCs w:val="24"/>
        </w:rPr>
        <w:t xml:space="preserve"> </w:t>
      </w:r>
      <w:r w:rsidR="00684E59" w:rsidRPr="00D43BAD">
        <w:rPr>
          <w:rFonts w:ascii="Gadugi" w:hAnsi="Gadugi" w:cs="Shruti"/>
          <w:sz w:val="24"/>
          <w:szCs w:val="24"/>
        </w:rPr>
        <w:t>que se declare (i)</w:t>
      </w:r>
      <w:r w:rsidR="001564B1" w:rsidRPr="00D43BAD">
        <w:rPr>
          <w:rFonts w:ascii="Gadugi" w:hAnsi="Gadugi" w:cs="Shruti"/>
          <w:sz w:val="24"/>
          <w:szCs w:val="24"/>
        </w:rPr>
        <w:t xml:space="preserve"> la inexistencia del contrato de fiducia mercantil celebrado entre Alianza Fiduciaria S.A. y los señores José Raúl Jaramillo Zuloaga y Ana Isabel Morales Vélez</w:t>
      </w:r>
      <w:r w:rsidR="00684E59" w:rsidRPr="00D43BAD">
        <w:rPr>
          <w:rFonts w:ascii="Gadugi" w:hAnsi="Gadugi" w:cs="Shruti"/>
          <w:sz w:val="24"/>
          <w:szCs w:val="24"/>
        </w:rPr>
        <w:t>; (ii)</w:t>
      </w:r>
      <w:r w:rsidR="001564B1" w:rsidRPr="00D43BAD">
        <w:rPr>
          <w:rFonts w:ascii="Gadugi" w:hAnsi="Gadugi" w:cs="Shruti"/>
          <w:sz w:val="24"/>
          <w:szCs w:val="24"/>
        </w:rPr>
        <w:t xml:space="preserve"> la inexistencia del patrimonio autónomo denominado “Patrimonio Las Vegas Jaramillo”; </w:t>
      </w:r>
      <w:r w:rsidR="00684E59" w:rsidRPr="00D43BAD">
        <w:rPr>
          <w:rFonts w:ascii="Gadugi" w:hAnsi="Gadugi" w:cs="Shruti"/>
          <w:sz w:val="24"/>
          <w:szCs w:val="24"/>
        </w:rPr>
        <w:t>(iii)</w:t>
      </w:r>
      <w:r w:rsidR="001564B1" w:rsidRPr="00D43BAD">
        <w:rPr>
          <w:rFonts w:ascii="Gadugi" w:hAnsi="Gadugi" w:cs="Shruti"/>
          <w:sz w:val="24"/>
          <w:szCs w:val="24"/>
        </w:rPr>
        <w:t xml:space="preserve"> que Alianza Fiduciaria S.A. carecía de capacidad legal para enajenar las 280 acciones objeto del contrato de fiducia; </w:t>
      </w:r>
      <w:r w:rsidR="00684E59" w:rsidRPr="00D43BAD">
        <w:rPr>
          <w:rFonts w:ascii="Gadugi" w:hAnsi="Gadugi" w:cs="Shruti"/>
          <w:sz w:val="24"/>
          <w:szCs w:val="24"/>
        </w:rPr>
        <w:t xml:space="preserve">y (iv) </w:t>
      </w:r>
      <w:r w:rsidR="001564B1" w:rsidRPr="00D43BAD">
        <w:rPr>
          <w:rFonts w:ascii="Gadugi" w:hAnsi="Gadugi" w:cs="Shruti"/>
          <w:sz w:val="24"/>
          <w:szCs w:val="24"/>
        </w:rPr>
        <w:t xml:space="preserve">que la entidad fiduciaria accionada es civilmente responsable por la venta ilegal de las acciones de propiedad del señor Jaramillo Zuloaga. </w:t>
      </w:r>
    </w:p>
    <w:p w14:paraId="2110F66A" w14:textId="77777777" w:rsidR="001564B1" w:rsidRPr="00D43BAD" w:rsidRDefault="001564B1" w:rsidP="00D43BAD">
      <w:pPr>
        <w:pStyle w:val="Prrafodelista"/>
        <w:tabs>
          <w:tab w:val="left" w:pos="3261"/>
        </w:tabs>
        <w:spacing w:line="276" w:lineRule="auto"/>
        <w:ind w:left="2835"/>
        <w:jc w:val="both"/>
        <w:rPr>
          <w:rFonts w:ascii="Gadugi" w:hAnsi="Gadugi" w:cs="Shruti"/>
          <w:sz w:val="24"/>
          <w:szCs w:val="24"/>
        </w:rPr>
      </w:pPr>
    </w:p>
    <w:p w14:paraId="1ADCE37B" w14:textId="4638610E" w:rsidR="001564B1" w:rsidRPr="00D43BAD" w:rsidRDefault="00684E59" w:rsidP="00D43BAD">
      <w:pPr>
        <w:tabs>
          <w:tab w:val="left" w:pos="3261"/>
        </w:tabs>
        <w:spacing w:line="276" w:lineRule="auto"/>
        <w:ind w:firstLine="2835"/>
        <w:jc w:val="both"/>
        <w:rPr>
          <w:rFonts w:ascii="Gadugi" w:hAnsi="Gadugi" w:cs="Shruti"/>
          <w:sz w:val="24"/>
          <w:szCs w:val="24"/>
        </w:rPr>
      </w:pPr>
      <w:r w:rsidRPr="00D43BAD">
        <w:rPr>
          <w:rFonts w:ascii="Gadugi" w:hAnsi="Gadugi" w:cs="Shruti"/>
          <w:sz w:val="24"/>
          <w:szCs w:val="24"/>
        </w:rPr>
        <w:t>C</w:t>
      </w:r>
      <w:r w:rsidR="00344021" w:rsidRPr="00D43BAD">
        <w:rPr>
          <w:rFonts w:ascii="Gadugi" w:hAnsi="Gadugi" w:cs="Shruti"/>
          <w:sz w:val="24"/>
          <w:szCs w:val="24"/>
        </w:rPr>
        <w:t xml:space="preserve">omo consecuencia de </w:t>
      </w:r>
      <w:r w:rsidRPr="00D43BAD">
        <w:rPr>
          <w:rFonts w:ascii="Gadugi" w:hAnsi="Gadugi" w:cs="Shruti"/>
          <w:sz w:val="24"/>
          <w:szCs w:val="24"/>
        </w:rPr>
        <w:t xml:space="preserve">ello, también solicitó que se </w:t>
      </w:r>
      <w:r w:rsidR="00344021" w:rsidRPr="00D43BAD">
        <w:rPr>
          <w:rFonts w:ascii="Gadugi" w:hAnsi="Gadugi" w:cs="Shruti"/>
          <w:sz w:val="24"/>
          <w:szCs w:val="24"/>
        </w:rPr>
        <w:t>condenar</w:t>
      </w:r>
      <w:r w:rsidRPr="00D43BAD">
        <w:rPr>
          <w:rFonts w:ascii="Gadugi" w:hAnsi="Gadugi" w:cs="Shruti"/>
          <w:sz w:val="24"/>
          <w:szCs w:val="24"/>
        </w:rPr>
        <w:t>a</w:t>
      </w:r>
      <w:r w:rsidR="00344021" w:rsidRPr="00D43BAD">
        <w:rPr>
          <w:rFonts w:ascii="Gadugi" w:hAnsi="Gadugi" w:cs="Shruti"/>
          <w:sz w:val="24"/>
          <w:szCs w:val="24"/>
        </w:rPr>
        <w:t xml:space="preserve"> a la demandada a pagar los perjuicios que fueron discriminados</w:t>
      </w:r>
      <w:r w:rsidRPr="00D43BAD">
        <w:rPr>
          <w:rFonts w:ascii="Gadugi" w:hAnsi="Gadugi" w:cs="Shruti"/>
          <w:sz w:val="24"/>
          <w:szCs w:val="24"/>
        </w:rPr>
        <w:t xml:space="preserve"> así: </w:t>
      </w:r>
    </w:p>
    <w:p w14:paraId="57CAAB1F" w14:textId="77777777" w:rsidR="00344021" w:rsidRPr="00D43BAD" w:rsidRDefault="00344021" w:rsidP="00D43BAD">
      <w:pPr>
        <w:pStyle w:val="Prrafodelista"/>
        <w:spacing w:line="276" w:lineRule="auto"/>
        <w:rPr>
          <w:rFonts w:ascii="Gadugi" w:hAnsi="Gadugi" w:cs="Shruti"/>
          <w:sz w:val="24"/>
          <w:szCs w:val="24"/>
        </w:rPr>
      </w:pPr>
    </w:p>
    <w:p w14:paraId="6D8F7FE1" w14:textId="224B32D6" w:rsidR="00344021" w:rsidRPr="00D43BAD" w:rsidRDefault="00344021" w:rsidP="00D43BAD">
      <w:pPr>
        <w:pStyle w:val="Prrafodelista"/>
        <w:spacing w:line="276" w:lineRule="auto"/>
        <w:ind w:left="0" w:firstLine="2835"/>
        <w:jc w:val="both"/>
        <w:rPr>
          <w:rFonts w:ascii="Gadugi" w:hAnsi="Gadugi" w:cs="Shruti"/>
          <w:sz w:val="24"/>
          <w:szCs w:val="24"/>
        </w:rPr>
      </w:pPr>
      <w:r w:rsidRPr="00D43BAD">
        <w:rPr>
          <w:rFonts w:ascii="Gadugi" w:hAnsi="Gadugi" w:cs="Shruti"/>
          <w:sz w:val="24"/>
          <w:szCs w:val="24"/>
        </w:rPr>
        <w:t>DAÑO EMERGENTE:</w:t>
      </w:r>
      <w:r w:rsidR="00684E59" w:rsidRPr="00D43BAD">
        <w:rPr>
          <w:rFonts w:ascii="Gadugi" w:hAnsi="Gadugi" w:cs="Shruti"/>
          <w:sz w:val="24"/>
          <w:szCs w:val="24"/>
        </w:rPr>
        <w:t xml:space="preserve"> </w:t>
      </w:r>
      <w:r w:rsidRPr="00D43BAD">
        <w:rPr>
          <w:rFonts w:ascii="Gadugi" w:hAnsi="Gadugi" w:cs="Shruti"/>
          <w:sz w:val="24"/>
          <w:szCs w:val="24"/>
        </w:rPr>
        <w:t>Por la suma de $171.837.722</w:t>
      </w:r>
      <w:r w:rsidR="00D43BAD">
        <w:rPr>
          <w:rFonts w:ascii="Gadugi" w:hAnsi="Gadugi" w:cs="Shruti"/>
          <w:sz w:val="24"/>
          <w:szCs w:val="24"/>
        </w:rPr>
        <w:t>,00</w:t>
      </w:r>
      <w:r w:rsidRPr="00D43BAD">
        <w:rPr>
          <w:rFonts w:ascii="Gadugi" w:hAnsi="Gadugi" w:cs="Shruti"/>
          <w:sz w:val="24"/>
          <w:szCs w:val="24"/>
        </w:rPr>
        <w:t xml:space="preserve">, </w:t>
      </w:r>
      <w:r w:rsidR="00684E59" w:rsidRPr="00D43BAD">
        <w:rPr>
          <w:rFonts w:ascii="Gadugi" w:hAnsi="Gadugi" w:cs="Shruti"/>
          <w:sz w:val="24"/>
          <w:szCs w:val="24"/>
        </w:rPr>
        <w:t>como</w:t>
      </w:r>
      <w:r w:rsidRPr="00D43BAD">
        <w:rPr>
          <w:rFonts w:ascii="Gadugi" w:hAnsi="Gadugi" w:cs="Shruti"/>
          <w:sz w:val="24"/>
          <w:szCs w:val="24"/>
        </w:rPr>
        <w:t xml:space="preserve"> resultado de multiplicar $57.202,97, que es el valor de cada una de las acciones, por 3004, que era la cantidad que de ellas tenía el señor Jaramillo Zuloaga, luego de la revalorización ocurrida el 31 de diciembre de 1999.</w:t>
      </w:r>
    </w:p>
    <w:p w14:paraId="50EC0A56" w14:textId="0A556454" w:rsidR="00344021" w:rsidRPr="00D43BAD" w:rsidRDefault="00344021" w:rsidP="00D43BAD">
      <w:pPr>
        <w:pStyle w:val="Prrafodelista"/>
        <w:spacing w:line="276" w:lineRule="auto"/>
        <w:ind w:left="0" w:firstLine="2835"/>
        <w:jc w:val="both"/>
        <w:rPr>
          <w:rFonts w:ascii="Gadugi" w:hAnsi="Gadugi" w:cs="Shruti"/>
          <w:sz w:val="24"/>
          <w:szCs w:val="24"/>
        </w:rPr>
      </w:pPr>
    </w:p>
    <w:p w14:paraId="486B995F" w14:textId="5679B6FC" w:rsidR="00344021" w:rsidRPr="00D43BAD" w:rsidRDefault="00344021" w:rsidP="00D43BAD">
      <w:pPr>
        <w:pStyle w:val="Prrafodelista"/>
        <w:spacing w:line="276" w:lineRule="auto"/>
        <w:ind w:left="0" w:firstLine="2835"/>
        <w:jc w:val="both"/>
        <w:rPr>
          <w:rFonts w:ascii="Gadugi" w:hAnsi="Gadugi" w:cs="Shruti"/>
          <w:sz w:val="24"/>
          <w:szCs w:val="24"/>
        </w:rPr>
      </w:pPr>
      <w:r w:rsidRPr="00D43BAD">
        <w:rPr>
          <w:rFonts w:ascii="Gadugi" w:hAnsi="Gadugi" w:cs="Shruti"/>
          <w:sz w:val="24"/>
          <w:szCs w:val="24"/>
        </w:rPr>
        <w:t>LUCRO CESANTE:</w:t>
      </w:r>
      <w:r w:rsidR="00684E59" w:rsidRPr="00D43BAD">
        <w:rPr>
          <w:rFonts w:ascii="Gadugi" w:hAnsi="Gadugi" w:cs="Shruti"/>
          <w:sz w:val="24"/>
          <w:szCs w:val="24"/>
        </w:rPr>
        <w:t xml:space="preserve"> </w:t>
      </w:r>
      <w:r w:rsidRPr="00D43BAD">
        <w:rPr>
          <w:rFonts w:ascii="Gadugi" w:hAnsi="Gadugi" w:cs="Shruti"/>
          <w:sz w:val="24"/>
          <w:szCs w:val="24"/>
        </w:rPr>
        <w:t xml:space="preserve">Por concepto de honorarios, </w:t>
      </w:r>
      <w:r w:rsidR="00C41A82" w:rsidRPr="00D43BAD">
        <w:rPr>
          <w:rFonts w:ascii="Gadugi" w:hAnsi="Gadugi" w:cs="Shruti"/>
          <w:sz w:val="24"/>
          <w:szCs w:val="24"/>
        </w:rPr>
        <w:t xml:space="preserve">la demandada debe pagarle </w:t>
      </w:r>
      <w:r w:rsidRPr="00D43BAD">
        <w:rPr>
          <w:rFonts w:ascii="Gadugi" w:hAnsi="Gadugi" w:cs="Shruti"/>
          <w:sz w:val="24"/>
          <w:szCs w:val="24"/>
        </w:rPr>
        <w:t>$1.773</w:t>
      </w:r>
      <w:r w:rsidR="00C41A82" w:rsidRPr="00D43BAD">
        <w:rPr>
          <w:rFonts w:ascii="Gadugi" w:hAnsi="Gadugi" w:cs="Shruti"/>
          <w:sz w:val="24"/>
          <w:szCs w:val="24"/>
        </w:rPr>
        <w:t>’</w:t>
      </w:r>
      <w:r w:rsidR="00D43BAD" w:rsidRPr="00D43BAD">
        <w:rPr>
          <w:rFonts w:ascii="Gadugi" w:hAnsi="Gadugi" w:cs="Shruti"/>
          <w:sz w:val="24"/>
          <w:szCs w:val="24"/>
        </w:rPr>
        <w:t>008,627,</w:t>
      </w:r>
      <w:r w:rsidR="00D43BAD">
        <w:rPr>
          <w:rFonts w:ascii="Gadugi" w:hAnsi="Gadugi" w:cs="Shruti"/>
          <w:sz w:val="24"/>
          <w:szCs w:val="24"/>
        </w:rPr>
        <w:t>00</w:t>
      </w:r>
      <w:r w:rsidR="009B0158" w:rsidRPr="00D43BAD">
        <w:rPr>
          <w:rFonts w:ascii="Gadugi" w:hAnsi="Gadugi" w:cs="Shruti"/>
          <w:sz w:val="24"/>
          <w:szCs w:val="24"/>
        </w:rPr>
        <w:t xml:space="preserve"> que equivalen a los valores dejados de percibir por cada mes transcurrido desde el 25 de febrero de 1999 hasta que se instauró el proceso. Y por concepto de rendimientos la suma de $11.645.487</w:t>
      </w:r>
      <w:r w:rsidR="00D43BAD">
        <w:rPr>
          <w:rFonts w:ascii="Gadugi" w:hAnsi="Gadugi" w:cs="Shruti"/>
          <w:sz w:val="24"/>
          <w:szCs w:val="24"/>
        </w:rPr>
        <w:t>,00</w:t>
      </w:r>
      <w:r w:rsidR="009B0158" w:rsidRPr="00D43BAD">
        <w:rPr>
          <w:rFonts w:ascii="Gadugi" w:hAnsi="Gadugi" w:cs="Shruti"/>
          <w:sz w:val="24"/>
          <w:szCs w:val="24"/>
        </w:rPr>
        <w:t xml:space="preserve">, </w:t>
      </w:r>
      <w:r w:rsidR="009B0158" w:rsidRPr="00D43BAD">
        <w:rPr>
          <w:rFonts w:ascii="Gadugi" w:hAnsi="Gadugi" w:cs="Shruti"/>
          <w:sz w:val="24"/>
          <w:szCs w:val="24"/>
        </w:rPr>
        <w:lastRenderedPageBreak/>
        <w:t xml:space="preserve">correspondientes a los únicos rendimientos que han causado las acciones, para la fecha de presentación de la demanda. </w:t>
      </w:r>
    </w:p>
    <w:p w14:paraId="52556DB6" w14:textId="325EB596" w:rsidR="002F4A2D" w:rsidRPr="00D43BAD" w:rsidRDefault="002F4A2D" w:rsidP="00D43BAD">
      <w:pPr>
        <w:pStyle w:val="Prrafodelista"/>
        <w:spacing w:line="276" w:lineRule="auto"/>
        <w:ind w:left="0" w:firstLine="2835"/>
        <w:jc w:val="both"/>
        <w:rPr>
          <w:rFonts w:ascii="Gadugi" w:hAnsi="Gadugi" w:cs="Shruti"/>
          <w:sz w:val="24"/>
          <w:szCs w:val="24"/>
        </w:rPr>
      </w:pPr>
    </w:p>
    <w:p w14:paraId="6A0B34B5" w14:textId="43944A4A" w:rsidR="002F4A2D" w:rsidRPr="00D43BAD" w:rsidRDefault="002F4A2D" w:rsidP="00D43BAD">
      <w:pPr>
        <w:pStyle w:val="Prrafodelista"/>
        <w:spacing w:line="276" w:lineRule="auto"/>
        <w:ind w:left="0" w:firstLine="2835"/>
        <w:jc w:val="both"/>
        <w:rPr>
          <w:rFonts w:ascii="Gadugi" w:hAnsi="Gadugi" w:cs="Shruti"/>
          <w:sz w:val="24"/>
          <w:szCs w:val="24"/>
        </w:rPr>
      </w:pPr>
      <w:r w:rsidRPr="00D43BAD">
        <w:rPr>
          <w:rFonts w:ascii="Gadugi" w:hAnsi="Gadugi" w:cs="Shruti"/>
          <w:sz w:val="24"/>
          <w:szCs w:val="24"/>
        </w:rPr>
        <w:t>LUCRO CESANTE FUTURO:</w:t>
      </w:r>
      <w:r w:rsidR="00C41A82" w:rsidRPr="00D43BAD">
        <w:rPr>
          <w:rFonts w:ascii="Gadugi" w:hAnsi="Gadugi" w:cs="Shruti"/>
          <w:sz w:val="24"/>
          <w:szCs w:val="24"/>
        </w:rPr>
        <w:t xml:space="preserve"> </w:t>
      </w:r>
      <w:r w:rsidRPr="00D43BAD">
        <w:rPr>
          <w:rFonts w:ascii="Gadugi" w:hAnsi="Gadugi" w:cs="Shruti"/>
          <w:sz w:val="24"/>
          <w:szCs w:val="24"/>
        </w:rPr>
        <w:t>Por la suma de $3.612.866,665</w:t>
      </w:r>
      <w:r w:rsidR="00C3675E" w:rsidRPr="00D43BAD">
        <w:rPr>
          <w:rFonts w:ascii="Gadugi" w:hAnsi="Gadugi" w:cs="Shruti"/>
          <w:sz w:val="24"/>
          <w:szCs w:val="24"/>
        </w:rPr>
        <w:t>, con ocasión de los dineros que dejará de percibir el demandante, en el entendido de que, debido a la reducción de sus acciones, solo se le permite trabajar la cuarta parte de un tiempo completo, de lo cual factura $9’477.470</w:t>
      </w:r>
      <w:r w:rsidR="00D43BAD">
        <w:rPr>
          <w:rFonts w:ascii="Gadugi" w:hAnsi="Gadugi" w:cs="Shruti"/>
          <w:sz w:val="24"/>
          <w:szCs w:val="24"/>
        </w:rPr>
        <w:t>,00</w:t>
      </w:r>
      <w:r w:rsidR="00C3675E" w:rsidRPr="00D43BAD">
        <w:rPr>
          <w:rFonts w:ascii="Gadugi" w:hAnsi="Gadugi" w:cs="Shruti"/>
          <w:sz w:val="24"/>
          <w:szCs w:val="24"/>
        </w:rPr>
        <w:t>, de ahí que, si hubiera conservado sus acciones y pudiera trabajar tiempo completo, podría facturar $37.909.880</w:t>
      </w:r>
      <w:r w:rsidR="00D43BAD">
        <w:rPr>
          <w:rFonts w:ascii="Gadugi" w:hAnsi="Gadugi" w:cs="Shruti"/>
          <w:sz w:val="24"/>
          <w:szCs w:val="24"/>
        </w:rPr>
        <w:t>,00</w:t>
      </w:r>
      <w:r w:rsidR="00C3675E" w:rsidRPr="00D43BAD">
        <w:rPr>
          <w:rFonts w:ascii="Gadugi" w:hAnsi="Gadugi" w:cs="Shruti"/>
          <w:sz w:val="24"/>
          <w:szCs w:val="24"/>
        </w:rPr>
        <w:t>.</w:t>
      </w:r>
    </w:p>
    <w:p w14:paraId="443A7512" w14:textId="6C19AE85" w:rsidR="002F4A2D" w:rsidRPr="00D43BAD" w:rsidRDefault="002F4A2D" w:rsidP="00D43BAD">
      <w:pPr>
        <w:pStyle w:val="Prrafodelista"/>
        <w:spacing w:line="276" w:lineRule="auto"/>
        <w:ind w:left="0" w:firstLine="2835"/>
        <w:jc w:val="both"/>
        <w:rPr>
          <w:rFonts w:ascii="Gadugi" w:hAnsi="Gadugi" w:cs="Shruti"/>
          <w:sz w:val="24"/>
          <w:szCs w:val="24"/>
        </w:rPr>
      </w:pPr>
      <w:r w:rsidRPr="00D43BAD">
        <w:rPr>
          <w:rFonts w:ascii="Gadugi" w:hAnsi="Gadugi" w:cs="Shruti"/>
          <w:sz w:val="24"/>
          <w:szCs w:val="24"/>
        </w:rPr>
        <w:t>PERJUICIOS MORALES:</w:t>
      </w:r>
      <w:r w:rsidR="00C41A82" w:rsidRPr="00D43BAD">
        <w:rPr>
          <w:rFonts w:ascii="Gadugi" w:hAnsi="Gadugi" w:cs="Shruti"/>
          <w:sz w:val="24"/>
          <w:szCs w:val="24"/>
        </w:rPr>
        <w:t xml:space="preserve"> </w:t>
      </w:r>
      <w:r w:rsidRPr="00D43BAD">
        <w:rPr>
          <w:rFonts w:ascii="Gadugi" w:hAnsi="Gadugi" w:cs="Shruti"/>
          <w:sz w:val="24"/>
          <w:szCs w:val="24"/>
        </w:rPr>
        <w:t>Mil salarios mínimos legales mensuales.</w:t>
      </w:r>
    </w:p>
    <w:p w14:paraId="3B653945" w14:textId="3552DC9E" w:rsidR="002F4A2D" w:rsidRPr="00D43BAD" w:rsidRDefault="002F4A2D" w:rsidP="00D43BAD">
      <w:pPr>
        <w:pStyle w:val="Prrafodelista"/>
        <w:spacing w:line="276" w:lineRule="auto"/>
        <w:ind w:left="0" w:firstLine="2835"/>
        <w:jc w:val="both"/>
        <w:rPr>
          <w:rFonts w:ascii="Gadugi" w:hAnsi="Gadugi" w:cs="Shruti"/>
          <w:sz w:val="24"/>
          <w:szCs w:val="24"/>
        </w:rPr>
      </w:pPr>
    </w:p>
    <w:p w14:paraId="46E656FD" w14:textId="428D01D3" w:rsidR="002F4A2D" w:rsidRPr="00D43BAD" w:rsidRDefault="00C41A82"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También solicitó que se condenara </w:t>
      </w:r>
      <w:r w:rsidR="002F4A2D" w:rsidRPr="00D43BAD">
        <w:rPr>
          <w:rFonts w:ascii="Gadugi" w:hAnsi="Gadugi" w:cs="Shruti"/>
          <w:sz w:val="24"/>
          <w:szCs w:val="24"/>
        </w:rPr>
        <w:t>en costas a la demandada.</w:t>
      </w:r>
      <w:r w:rsidR="001A64B4" w:rsidRPr="00D43BAD">
        <w:rPr>
          <w:rStyle w:val="Refdenotaalpie"/>
          <w:rFonts w:ascii="Gadugi" w:hAnsi="Gadugi" w:cs="Shruti"/>
          <w:sz w:val="24"/>
          <w:szCs w:val="24"/>
        </w:rPr>
        <w:footnoteReference w:id="1"/>
      </w:r>
    </w:p>
    <w:p w14:paraId="227BE124" w14:textId="0578F0D5" w:rsidR="002F4A2D" w:rsidRPr="00D43BAD" w:rsidRDefault="002F4A2D" w:rsidP="00D43BAD">
      <w:pPr>
        <w:pStyle w:val="Prrafodelista"/>
        <w:spacing w:line="276" w:lineRule="auto"/>
        <w:ind w:left="0" w:firstLine="2835"/>
        <w:jc w:val="both"/>
        <w:rPr>
          <w:rFonts w:ascii="Gadugi" w:hAnsi="Gadugi" w:cs="Shruti"/>
          <w:sz w:val="24"/>
          <w:szCs w:val="24"/>
        </w:rPr>
      </w:pPr>
    </w:p>
    <w:p w14:paraId="4070B7C5" w14:textId="77777777" w:rsidR="00A04477" w:rsidRPr="00D43BAD" w:rsidRDefault="00A04477" w:rsidP="00D43BAD">
      <w:pPr>
        <w:tabs>
          <w:tab w:val="left" w:pos="3402"/>
        </w:tabs>
        <w:spacing w:line="276" w:lineRule="auto"/>
        <w:ind w:firstLine="2835"/>
        <w:jc w:val="both"/>
        <w:rPr>
          <w:rFonts w:ascii="Gadugi" w:hAnsi="Gadugi" w:cs="Shruti"/>
          <w:b/>
          <w:sz w:val="24"/>
          <w:szCs w:val="24"/>
          <w:lang w:val="es-419"/>
        </w:rPr>
      </w:pPr>
      <w:r w:rsidRPr="00D43BAD">
        <w:rPr>
          <w:rFonts w:ascii="Gadugi" w:hAnsi="Gadugi" w:cs="Shruti"/>
          <w:b/>
          <w:sz w:val="24"/>
          <w:szCs w:val="24"/>
          <w:lang w:val="es-419"/>
        </w:rPr>
        <w:t>1.3.</w:t>
      </w:r>
      <w:r w:rsidRPr="00D43BAD">
        <w:rPr>
          <w:rFonts w:ascii="Gadugi" w:hAnsi="Gadugi" w:cs="Shruti"/>
          <w:b/>
          <w:sz w:val="24"/>
          <w:szCs w:val="24"/>
          <w:lang w:val="es-419"/>
        </w:rPr>
        <w:tab/>
        <w:t xml:space="preserve">Admisión y traslado. </w:t>
      </w:r>
    </w:p>
    <w:p w14:paraId="2DEC7941" w14:textId="77777777" w:rsidR="00A030D8" w:rsidRPr="00D43BAD" w:rsidRDefault="00A030D8" w:rsidP="00D43BAD">
      <w:pPr>
        <w:spacing w:line="276" w:lineRule="auto"/>
        <w:jc w:val="both"/>
        <w:rPr>
          <w:rFonts w:ascii="Gadugi" w:hAnsi="Gadugi" w:cs="Shruti"/>
          <w:sz w:val="24"/>
          <w:szCs w:val="24"/>
        </w:rPr>
      </w:pPr>
    </w:p>
    <w:p w14:paraId="5A7A1764" w14:textId="01F212B2" w:rsidR="000C4542" w:rsidRPr="00D43BAD" w:rsidRDefault="009A0643" w:rsidP="00D43BAD">
      <w:pPr>
        <w:spacing w:line="276" w:lineRule="auto"/>
        <w:ind w:firstLine="2835"/>
        <w:jc w:val="both"/>
        <w:rPr>
          <w:rFonts w:ascii="Gadugi" w:hAnsi="Gadugi" w:cs="Shruti"/>
          <w:sz w:val="24"/>
          <w:szCs w:val="24"/>
        </w:rPr>
      </w:pPr>
      <w:r w:rsidRPr="00D43BAD">
        <w:rPr>
          <w:rFonts w:ascii="Gadugi" w:hAnsi="Gadugi" w:cs="Shruti"/>
          <w:sz w:val="24"/>
          <w:szCs w:val="24"/>
        </w:rPr>
        <w:t>Inadmitida</w:t>
      </w:r>
      <w:r w:rsidR="001A64B4" w:rsidRPr="00D43BAD">
        <w:rPr>
          <w:rStyle w:val="Refdenotaalpie"/>
          <w:rFonts w:ascii="Gadugi" w:hAnsi="Gadugi" w:cs="Shruti"/>
          <w:sz w:val="24"/>
          <w:szCs w:val="24"/>
        </w:rPr>
        <w:footnoteReference w:id="2"/>
      </w:r>
      <w:r w:rsidRPr="00D43BAD">
        <w:rPr>
          <w:rFonts w:ascii="Gadugi" w:hAnsi="Gadugi" w:cs="Shruti"/>
          <w:sz w:val="24"/>
          <w:szCs w:val="24"/>
        </w:rPr>
        <w:t xml:space="preserve"> y luego</w:t>
      </w:r>
      <w:r w:rsidR="00A030D8" w:rsidRPr="00D43BAD">
        <w:rPr>
          <w:rFonts w:ascii="Gadugi" w:hAnsi="Gadugi" w:cs="Shruti"/>
          <w:sz w:val="24"/>
          <w:szCs w:val="24"/>
        </w:rPr>
        <w:t xml:space="preserve"> </w:t>
      </w:r>
      <w:r w:rsidRPr="00D43BAD">
        <w:rPr>
          <w:rFonts w:ascii="Gadugi" w:hAnsi="Gadugi" w:cs="Shruti"/>
          <w:sz w:val="24"/>
          <w:szCs w:val="24"/>
        </w:rPr>
        <w:t>corregida</w:t>
      </w:r>
      <w:r w:rsidR="001A64B4" w:rsidRPr="00D43BAD">
        <w:rPr>
          <w:rStyle w:val="Refdenotaalpie"/>
          <w:rFonts w:ascii="Gadugi" w:hAnsi="Gadugi" w:cs="Shruti"/>
          <w:sz w:val="24"/>
          <w:szCs w:val="24"/>
        </w:rPr>
        <w:footnoteReference w:id="3"/>
      </w:r>
      <w:r w:rsidR="00A030D8" w:rsidRPr="00D43BAD">
        <w:rPr>
          <w:rFonts w:ascii="Gadugi" w:hAnsi="Gadugi" w:cs="Shruti"/>
          <w:sz w:val="24"/>
          <w:szCs w:val="24"/>
        </w:rPr>
        <w:t>,</w:t>
      </w:r>
      <w:r w:rsidR="00D011A0" w:rsidRPr="00D43BAD">
        <w:rPr>
          <w:rFonts w:ascii="Gadugi" w:hAnsi="Gadugi" w:cs="Shruti"/>
          <w:sz w:val="24"/>
          <w:szCs w:val="24"/>
        </w:rPr>
        <w:t xml:space="preserve"> s</w:t>
      </w:r>
      <w:r w:rsidR="002853BA" w:rsidRPr="00D43BAD">
        <w:rPr>
          <w:rFonts w:ascii="Gadugi" w:hAnsi="Gadugi" w:cs="Shruti"/>
          <w:sz w:val="24"/>
          <w:szCs w:val="24"/>
        </w:rPr>
        <w:t xml:space="preserve">e </w:t>
      </w:r>
      <w:r w:rsidR="0084186C" w:rsidRPr="00D43BAD">
        <w:rPr>
          <w:rFonts w:ascii="Gadugi" w:hAnsi="Gadugi" w:cs="Shruti"/>
          <w:sz w:val="24"/>
          <w:szCs w:val="24"/>
        </w:rPr>
        <w:t xml:space="preserve">admitió </w:t>
      </w:r>
      <w:r w:rsidR="00A030D8" w:rsidRPr="00D43BAD">
        <w:rPr>
          <w:rFonts w:ascii="Gadugi" w:hAnsi="Gadugi" w:cs="Shruti"/>
          <w:sz w:val="24"/>
          <w:szCs w:val="24"/>
        </w:rPr>
        <w:t xml:space="preserve">la demanda </w:t>
      </w:r>
      <w:r w:rsidR="002853BA" w:rsidRPr="00D43BAD">
        <w:rPr>
          <w:rFonts w:ascii="Gadugi" w:hAnsi="Gadugi" w:cs="Shruti"/>
          <w:sz w:val="24"/>
          <w:szCs w:val="24"/>
        </w:rPr>
        <w:t>con</w:t>
      </w:r>
      <w:r w:rsidR="0084186C" w:rsidRPr="00D43BAD">
        <w:rPr>
          <w:rFonts w:ascii="Gadugi" w:hAnsi="Gadugi" w:cs="Shruti"/>
          <w:sz w:val="24"/>
          <w:szCs w:val="24"/>
        </w:rPr>
        <w:t xml:space="preserve"> auto del </w:t>
      </w:r>
      <w:r w:rsidR="00D011A0" w:rsidRPr="00D43BAD">
        <w:rPr>
          <w:rFonts w:ascii="Gadugi" w:hAnsi="Gadugi" w:cs="Shruti"/>
          <w:sz w:val="24"/>
          <w:szCs w:val="24"/>
        </w:rPr>
        <w:t>9</w:t>
      </w:r>
      <w:r w:rsidR="0084186C" w:rsidRPr="00D43BAD">
        <w:rPr>
          <w:rFonts w:ascii="Gadugi" w:hAnsi="Gadugi" w:cs="Shruti"/>
          <w:sz w:val="24"/>
          <w:szCs w:val="24"/>
        </w:rPr>
        <w:t xml:space="preserve"> de </w:t>
      </w:r>
      <w:r w:rsidR="00D011A0" w:rsidRPr="00D43BAD">
        <w:rPr>
          <w:rFonts w:ascii="Gadugi" w:hAnsi="Gadugi" w:cs="Shruti"/>
          <w:sz w:val="24"/>
          <w:szCs w:val="24"/>
        </w:rPr>
        <w:t>octubre</w:t>
      </w:r>
      <w:r w:rsidR="0084186C" w:rsidRPr="00D43BAD">
        <w:rPr>
          <w:rFonts w:ascii="Gadugi" w:hAnsi="Gadugi" w:cs="Shruti"/>
          <w:sz w:val="24"/>
          <w:szCs w:val="24"/>
        </w:rPr>
        <w:t xml:space="preserve"> de 20</w:t>
      </w:r>
      <w:r w:rsidR="00D011A0" w:rsidRPr="00D43BAD">
        <w:rPr>
          <w:rFonts w:ascii="Gadugi" w:hAnsi="Gadugi" w:cs="Shruti"/>
          <w:sz w:val="24"/>
          <w:szCs w:val="24"/>
        </w:rPr>
        <w:t>06</w:t>
      </w:r>
      <w:r w:rsidR="001A64B4" w:rsidRPr="00D43BAD">
        <w:rPr>
          <w:rStyle w:val="Refdenotaalpie"/>
          <w:rFonts w:ascii="Gadugi" w:hAnsi="Gadugi" w:cs="Shruti"/>
          <w:sz w:val="24"/>
          <w:szCs w:val="24"/>
        </w:rPr>
        <w:footnoteReference w:id="4"/>
      </w:r>
      <w:r w:rsidR="002853BA" w:rsidRPr="00D43BAD">
        <w:rPr>
          <w:rFonts w:ascii="Gadugi" w:hAnsi="Gadugi" w:cs="Shruti"/>
          <w:sz w:val="24"/>
          <w:szCs w:val="24"/>
        </w:rPr>
        <w:t xml:space="preserve">. En tiempo, la </w:t>
      </w:r>
      <w:r w:rsidR="00D011A0" w:rsidRPr="00D43BAD">
        <w:rPr>
          <w:rFonts w:ascii="Gadugi" w:hAnsi="Gadugi" w:cs="Shruti"/>
          <w:sz w:val="24"/>
          <w:szCs w:val="24"/>
        </w:rPr>
        <w:t>entidad fiduciaria promovió un recurso de reposición contra el auto admisorio</w:t>
      </w:r>
      <w:r w:rsidR="001A64B4" w:rsidRPr="00D43BAD">
        <w:rPr>
          <w:rStyle w:val="Refdenotaalpie"/>
          <w:rFonts w:ascii="Gadugi" w:hAnsi="Gadugi" w:cs="Shruti"/>
          <w:sz w:val="24"/>
          <w:szCs w:val="24"/>
        </w:rPr>
        <w:footnoteReference w:id="5"/>
      </w:r>
      <w:r w:rsidR="00D011A0" w:rsidRPr="00D43BAD">
        <w:rPr>
          <w:rFonts w:ascii="Gadugi" w:hAnsi="Gadugi" w:cs="Shruti"/>
          <w:sz w:val="24"/>
          <w:szCs w:val="24"/>
        </w:rPr>
        <w:t>, que fue resuelto desfavorablemente</w:t>
      </w:r>
      <w:r w:rsidR="001A64B4" w:rsidRPr="00D43BAD">
        <w:rPr>
          <w:rStyle w:val="Refdenotaalpie"/>
          <w:rFonts w:ascii="Gadugi" w:hAnsi="Gadugi" w:cs="Shruti"/>
          <w:sz w:val="24"/>
          <w:szCs w:val="24"/>
        </w:rPr>
        <w:footnoteReference w:id="6"/>
      </w:r>
      <w:r w:rsidR="00D011A0" w:rsidRPr="00D43BAD">
        <w:rPr>
          <w:rFonts w:ascii="Gadugi" w:hAnsi="Gadugi" w:cs="Shruti"/>
          <w:sz w:val="24"/>
          <w:szCs w:val="24"/>
        </w:rPr>
        <w:t>, entonces</w:t>
      </w:r>
      <w:r w:rsidR="00A030D8" w:rsidRPr="00D43BAD">
        <w:rPr>
          <w:rFonts w:ascii="Gadugi" w:hAnsi="Gadugi" w:cs="Shruti"/>
          <w:sz w:val="24"/>
          <w:szCs w:val="24"/>
        </w:rPr>
        <w:t>,</w:t>
      </w:r>
      <w:r w:rsidR="00D011A0" w:rsidRPr="00D43BAD">
        <w:rPr>
          <w:rFonts w:ascii="Gadugi" w:hAnsi="Gadugi" w:cs="Shruti"/>
          <w:sz w:val="24"/>
          <w:szCs w:val="24"/>
        </w:rPr>
        <w:t xml:space="preserve"> contestó la demanda</w:t>
      </w:r>
      <w:r w:rsidR="00C41A82" w:rsidRPr="00D43BAD">
        <w:rPr>
          <w:rFonts w:ascii="Gadugi" w:hAnsi="Gadugi" w:cs="Shruti"/>
          <w:sz w:val="24"/>
          <w:szCs w:val="24"/>
        </w:rPr>
        <w:t xml:space="preserve">. Se refirió a los </w:t>
      </w:r>
      <w:r w:rsidR="00D011A0" w:rsidRPr="00D43BAD">
        <w:rPr>
          <w:rFonts w:ascii="Gadugi" w:hAnsi="Gadugi" w:cs="Shruti"/>
          <w:sz w:val="24"/>
          <w:szCs w:val="24"/>
        </w:rPr>
        <w:t>hechos</w:t>
      </w:r>
      <w:r w:rsidR="00C41A82" w:rsidRPr="00D43BAD">
        <w:rPr>
          <w:rFonts w:ascii="Gadugi" w:hAnsi="Gadugi" w:cs="Shruti"/>
          <w:sz w:val="24"/>
          <w:szCs w:val="24"/>
        </w:rPr>
        <w:t xml:space="preserve">, se opuso a lo reclamado y </w:t>
      </w:r>
      <w:r w:rsidR="00D011A0" w:rsidRPr="00D43BAD">
        <w:rPr>
          <w:rFonts w:ascii="Gadugi" w:hAnsi="Gadugi" w:cs="Shruti"/>
          <w:sz w:val="24"/>
          <w:szCs w:val="24"/>
        </w:rPr>
        <w:t>formul</w:t>
      </w:r>
      <w:r w:rsidR="00C41A82" w:rsidRPr="00D43BAD">
        <w:rPr>
          <w:rFonts w:ascii="Gadugi" w:hAnsi="Gadugi" w:cs="Shruti"/>
          <w:sz w:val="24"/>
          <w:szCs w:val="24"/>
        </w:rPr>
        <w:t>ó</w:t>
      </w:r>
      <w:r w:rsidR="00D011A0" w:rsidRPr="00D43BAD">
        <w:rPr>
          <w:rFonts w:ascii="Gadugi" w:hAnsi="Gadugi" w:cs="Shruti"/>
          <w:sz w:val="24"/>
          <w:szCs w:val="24"/>
        </w:rPr>
        <w:t xml:space="preserve"> como excep</w:t>
      </w:r>
      <w:r w:rsidR="000C4542" w:rsidRPr="00D43BAD">
        <w:rPr>
          <w:rFonts w:ascii="Gadugi" w:hAnsi="Gadugi" w:cs="Shruti"/>
          <w:sz w:val="24"/>
          <w:szCs w:val="24"/>
        </w:rPr>
        <w:t xml:space="preserve">ciones de mérito </w:t>
      </w:r>
      <w:r w:rsidR="00D011A0" w:rsidRPr="00D43BAD">
        <w:rPr>
          <w:rFonts w:ascii="Gadugi" w:hAnsi="Gadugi" w:cs="Shruti"/>
          <w:sz w:val="24"/>
          <w:szCs w:val="24"/>
        </w:rPr>
        <w:t>(i) Prescripción, (ii) Cumplimiento del contrato de fiducia mercantil irrevocable por</w:t>
      </w:r>
      <w:r w:rsidR="00A030D8" w:rsidRPr="00D43BAD">
        <w:rPr>
          <w:rFonts w:ascii="Gadugi" w:hAnsi="Gadugi" w:cs="Shruti"/>
          <w:sz w:val="24"/>
          <w:szCs w:val="24"/>
        </w:rPr>
        <w:t xml:space="preserve"> </w:t>
      </w:r>
      <w:r w:rsidR="00D011A0" w:rsidRPr="00D43BAD">
        <w:rPr>
          <w:rFonts w:ascii="Gadugi" w:hAnsi="Gadugi" w:cs="Shruti"/>
          <w:sz w:val="24"/>
          <w:szCs w:val="24"/>
        </w:rPr>
        <w:t xml:space="preserve">parte de Alianza Fiduciaria S.A., (iii) Imposibilidad del </w:t>
      </w:r>
      <w:r w:rsidR="00C41A82" w:rsidRPr="00D43BAD">
        <w:rPr>
          <w:rFonts w:ascii="Gadugi" w:hAnsi="Gadugi" w:cs="Shruti"/>
          <w:sz w:val="24"/>
          <w:szCs w:val="24"/>
        </w:rPr>
        <w:t>f</w:t>
      </w:r>
      <w:r w:rsidR="00D011A0" w:rsidRPr="00D43BAD">
        <w:rPr>
          <w:rFonts w:ascii="Gadugi" w:hAnsi="Gadugi" w:cs="Shruti"/>
          <w:sz w:val="24"/>
          <w:szCs w:val="24"/>
        </w:rPr>
        <w:t xml:space="preserve">iduciante de pagar la deuda, (iv) Incumplimiento por parte del fiduciante, (v) </w:t>
      </w:r>
      <w:r w:rsidR="000C4542" w:rsidRPr="00D43BAD">
        <w:rPr>
          <w:rFonts w:ascii="Gadugi" w:hAnsi="Gadugi" w:cs="Shruti"/>
          <w:sz w:val="24"/>
          <w:szCs w:val="24"/>
        </w:rPr>
        <w:t xml:space="preserve">El hecho generador que llevó a la venta de las acciones provino exclusivamente del fiduciante – culpa exclusiva de la víctima, (vi) Inexistencia de los elementos estructurales de la responsabilidad civil, (vii) Limitación de </w:t>
      </w:r>
      <w:r w:rsidR="00A030D8" w:rsidRPr="00D43BAD">
        <w:rPr>
          <w:rFonts w:ascii="Gadugi" w:hAnsi="Gadugi" w:cs="Shruti"/>
          <w:sz w:val="24"/>
          <w:szCs w:val="24"/>
        </w:rPr>
        <w:t>responsabilidad</w:t>
      </w:r>
      <w:r w:rsidR="000C4542" w:rsidRPr="00D43BAD">
        <w:rPr>
          <w:rFonts w:ascii="Gadugi" w:hAnsi="Gadugi" w:cs="Shruti"/>
          <w:sz w:val="24"/>
          <w:szCs w:val="24"/>
        </w:rPr>
        <w:t>, (</w:t>
      </w:r>
      <w:proofErr w:type="spellStart"/>
      <w:r w:rsidR="000C4542" w:rsidRPr="00D43BAD">
        <w:rPr>
          <w:rFonts w:ascii="Gadugi" w:hAnsi="Gadugi" w:cs="Shruti"/>
          <w:sz w:val="24"/>
          <w:szCs w:val="24"/>
        </w:rPr>
        <w:t>viii</w:t>
      </w:r>
      <w:proofErr w:type="spellEnd"/>
      <w:r w:rsidR="000C4542" w:rsidRPr="00D43BAD">
        <w:rPr>
          <w:rFonts w:ascii="Gadugi" w:hAnsi="Gadugi" w:cs="Shruti"/>
          <w:sz w:val="24"/>
          <w:szCs w:val="24"/>
        </w:rPr>
        <w:t>) Compensación.</w:t>
      </w:r>
      <w:r w:rsidR="001A64B4" w:rsidRPr="00D43BAD">
        <w:rPr>
          <w:rStyle w:val="Refdenotaalpie"/>
          <w:rFonts w:ascii="Gadugi" w:hAnsi="Gadugi" w:cs="Shruti"/>
          <w:sz w:val="24"/>
          <w:szCs w:val="24"/>
        </w:rPr>
        <w:footnoteReference w:id="7"/>
      </w:r>
      <w:r w:rsidR="000C4542" w:rsidRPr="00D43BAD">
        <w:rPr>
          <w:rFonts w:ascii="Gadugi" w:hAnsi="Gadugi" w:cs="Shruti"/>
          <w:sz w:val="24"/>
          <w:szCs w:val="24"/>
        </w:rPr>
        <w:t xml:space="preserve"> Así mismo, como excepción previa y en escrito aparte, formul</w:t>
      </w:r>
      <w:r w:rsidR="00655821" w:rsidRPr="00D43BAD">
        <w:rPr>
          <w:rFonts w:ascii="Gadugi" w:hAnsi="Gadugi" w:cs="Shruti"/>
          <w:sz w:val="24"/>
          <w:szCs w:val="24"/>
        </w:rPr>
        <w:t>ó</w:t>
      </w:r>
      <w:r w:rsidR="000C4542" w:rsidRPr="00D43BAD">
        <w:rPr>
          <w:rFonts w:ascii="Gadugi" w:hAnsi="Gadugi" w:cs="Shruti"/>
          <w:sz w:val="24"/>
          <w:szCs w:val="24"/>
        </w:rPr>
        <w:t xml:space="preserve"> la de </w:t>
      </w:r>
      <w:r w:rsidRPr="00D43BAD">
        <w:rPr>
          <w:rFonts w:ascii="Gadugi" w:hAnsi="Gadugi" w:cs="Shruti"/>
          <w:sz w:val="24"/>
          <w:szCs w:val="24"/>
        </w:rPr>
        <w:t>c</w:t>
      </w:r>
      <w:r w:rsidR="000C4542" w:rsidRPr="00D43BAD">
        <w:rPr>
          <w:rFonts w:ascii="Gadugi" w:hAnsi="Gadugi" w:cs="Shruti"/>
          <w:sz w:val="24"/>
          <w:szCs w:val="24"/>
        </w:rPr>
        <w:t xml:space="preserve">osa </w:t>
      </w:r>
      <w:r w:rsidRPr="00D43BAD">
        <w:rPr>
          <w:rFonts w:ascii="Gadugi" w:hAnsi="Gadugi" w:cs="Shruti"/>
          <w:sz w:val="24"/>
          <w:szCs w:val="24"/>
        </w:rPr>
        <w:t>j</w:t>
      </w:r>
      <w:r w:rsidR="000C4542" w:rsidRPr="00D43BAD">
        <w:rPr>
          <w:rFonts w:ascii="Gadugi" w:hAnsi="Gadugi" w:cs="Shruti"/>
          <w:sz w:val="24"/>
          <w:szCs w:val="24"/>
        </w:rPr>
        <w:t>uzgada</w:t>
      </w:r>
      <w:r w:rsidR="001A64B4" w:rsidRPr="00D43BAD">
        <w:rPr>
          <w:rStyle w:val="Refdenotaalpie"/>
          <w:rFonts w:ascii="Gadugi" w:hAnsi="Gadugi" w:cs="Shruti"/>
          <w:sz w:val="24"/>
          <w:szCs w:val="24"/>
        </w:rPr>
        <w:footnoteReference w:id="8"/>
      </w:r>
      <w:r w:rsidR="00655821" w:rsidRPr="00D43BAD">
        <w:rPr>
          <w:rFonts w:ascii="Gadugi" w:hAnsi="Gadugi" w:cs="Shruti"/>
          <w:sz w:val="24"/>
          <w:szCs w:val="24"/>
        </w:rPr>
        <w:t>; adicionalmente, llamó en garantía a la sociedad Inversiones Médicas de Antioquia S.A.</w:t>
      </w:r>
      <w:r w:rsidR="001A64B4" w:rsidRPr="00D43BAD">
        <w:rPr>
          <w:rStyle w:val="Refdenotaalpie"/>
          <w:rFonts w:ascii="Gadugi" w:hAnsi="Gadugi" w:cs="Shruti"/>
          <w:sz w:val="24"/>
          <w:szCs w:val="24"/>
        </w:rPr>
        <w:footnoteReference w:id="9"/>
      </w:r>
    </w:p>
    <w:p w14:paraId="34D2CDC1" w14:textId="162C2C13" w:rsidR="00A030D8" w:rsidRPr="00D43BAD" w:rsidRDefault="00A030D8" w:rsidP="00D43BAD">
      <w:pPr>
        <w:spacing w:line="276" w:lineRule="auto"/>
        <w:ind w:firstLine="2835"/>
        <w:jc w:val="both"/>
        <w:rPr>
          <w:rFonts w:ascii="Gadugi" w:hAnsi="Gadugi" w:cs="Shruti"/>
          <w:sz w:val="24"/>
          <w:szCs w:val="24"/>
        </w:rPr>
      </w:pPr>
    </w:p>
    <w:p w14:paraId="37A388E7" w14:textId="3EC3D8C2" w:rsidR="00A030D8" w:rsidRPr="00D43BAD" w:rsidRDefault="00A030D8"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En lo que se refiere a la cosa juzgada, fue </w:t>
      </w:r>
      <w:r w:rsidR="00655821" w:rsidRPr="00D43BAD">
        <w:rPr>
          <w:rFonts w:ascii="Gadugi" w:hAnsi="Gadugi" w:cs="Shruti"/>
          <w:sz w:val="24"/>
          <w:szCs w:val="24"/>
        </w:rPr>
        <w:t>despachada desfavorablemente en primera</w:t>
      </w:r>
      <w:r w:rsidR="001A64B4" w:rsidRPr="00D43BAD">
        <w:rPr>
          <w:rStyle w:val="Refdenotaalpie"/>
          <w:rFonts w:ascii="Gadugi" w:hAnsi="Gadugi" w:cs="Shruti"/>
          <w:sz w:val="24"/>
          <w:szCs w:val="24"/>
        </w:rPr>
        <w:footnoteReference w:id="10"/>
      </w:r>
      <w:r w:rsidR="00655821" w:rsidRPr="00D43BAD">
        <w:rPr>
          <w:rFonts w:ascii="Gadugi" w:hAnsi="Gadugi" w:cs="Shruti"/>
          <w:sz w:val="24"/>
          <w:szCs w:val="24"/>
        </w:rPr>
        <w:t xml:space="preserve"> y segunda instancia</w:t>
      </w:r>
      <w:r w:rsidR="00156BD4" w:rsidRPr="00D43BAD">
        <w:rPr>
          <w:rStyle w:val="Refdenotaalpie"/>
          <w:rFonts w:ascii="Gadugi" w:hAnsi="Gadugi" w:cs="Shruti"/>
          <w:sz w:val="24"/>
          <w:szCs w:val="24"/>
        </w:rPr>
        <w:footnoteReference w:id="11"/>
      </w:r>
      <w:r w:rsidR="00655821" w:rsidRPr="00D43BAD">
        <w:rPr>
          <w:rFonts w:ascii="Gadugi" w:hAnsi="Gadugi" w:cs="Shruti"/>
          <w:sz w:val="24"/>
          <w:szCs w:val="24"/>
        </w:rPr>
        <w:t xml:space="preserve">, en esencia, porque el objeto de la presente demanda, distinto al de la que se tramitó ante el Tribunal de Arbitramento </w:t>
      </w:r>
      <w:r w:rsidR="00655821" w:rsidRPr="00D43BAD">
        <w:rPr>
          <w:rFonts w:ascii="Gadugi" w:hAnsi="Gadugi" w:cs="Shruti"/>
          <w:sz w:val="24"/>
          <w:szCs w:val="24"/>
        </w:rPr>
        <w:lastRenderedPageBreak/>
        <w:t xml:space="preserve">de la Cámara de Comercio de Medellín, y en el que se funda la defensa, persigue la declaración de inexistencia del contrato fiduciario, no como en aquel, que buscaba demostrar el incumplimiento por parte la fiduciaria. </w:t>
      </w:r>
    </w:p>
    <w:p w14:paraId="4362AD52" w14:textId="3BA0089E" w:rsidR="00655821" w:rsidRPr="00D43BAD" w:rsidRDefault="00655821" w:rsidP="00D43BAD">
      <w:pPr>
        <w:spacing w:line="276" w:lineRule="auto"/>
        <w:ind w:firstLine="2835"/>
        <w:jc w:val="both"/>
        <w:rPr>
          <w:rFonts w:ascii="Gadugi" w:hAnsi="Gadugi" w:cs="Shruti"/>
          <w:sz w:val="24"/>
          <w:szCs w:val="24"/>
        </w:rPr>
      </w:pPr>
    </w:p>
    <w:p w14:paraId="6EA6F043" w14:textId="45868051" w:rsidR="00F3600E" w:rsidRPr="00D43BAD" w:rsidRDefault="00655821"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El llamamiento en garantía tampoco prosperó, comoquiera que, </w:t>
      </w:r>
      <w:r w:rsidR="00F3600E" w:rsidRPr="00D43BAD">
        <w:rPr>
          <w:rFonts w:ascii="Gadugi" w:hAnsi="Gadugi" w:cs="Shruti"/>
          <w:sz w:val="24"/>
          <w:szCs w:val="24"/>
        </w:rPr>
        <w:t>la relación entre el convocante y la convocada, no estaba regida por un vínculo contractual, sino por circunstancias propias de una fiducia comercial.</w:t>
      </w:r>
      <w:r w:rsidR="001A64B4" w:rsidRPr="00D43BAD">
        <w:rPr>
          <w:rStyle w:val="Refdenotaalpie"/>
          <w:rFonts w:ascii="Gadugi" w:hAnsi="Gadugi" w:cs="Shruti"/>
          <w:sz w:val="24"/>
          <w:szCs w:val="24"/>
        </w:rPr>
        <w:footnoteReference w:id="12"/>
      </w:r>
    </w:p>
    <w:p w14:paraId="0C2AF03F" w14:textId="77777777" w:rsidR="00F3600E" w:rsidRPr="00D43BAD" w:rsidRDefault="00F3600E" w:rsidP="00D43BAD">
      <w:pPr>
        <w:spacing w:line="276" w:lineRule="auto"/>
        <w:ind w:firstLine="2835"/>
        <w:jc w:val="both"/>
        <w:rPr>
          <w:rFonts w:ascii="Gadugi" w:hAnsi="Gadugi" w:cs="Shruti"/>
          <w:sz w:val="24"/>
          <w:szCs w:val="24"/>
        </w:rPr>
      </w:pPr>
    </w:p>
    <w:p w14:paraId="3A07B453" w14:textId="5B4C93B3" w:rsidR="002853BA" w:rsidRPr="00D43BAD" w:rsidRDefault="00FF39B9" w:rsidP="00D43BAD">
      <w:pPr>
        <w:spacing w:line="276" w:lineRule="auto"/>
        <w:ind w:firstLine="2835"/>
        <w:jc w:val="both"/>
        <w:rPr>
          <w:rFonts w:ascii="Gadugi" w:hAnsi="Gadugi" w:cs="Shruti"/>
          <w:sz w:val="24"/>
          <w:szCs w:val="24"/>
        </w:rPr>
      </w:pPr>
      <w:r w:rsidRPr="00D43BAD">
        <w:rPr>
          <w:rFonts w:ascii="Gadugi" w:hAnsi="Gadugi" w:cs="Shruti"/>
          <w:sz w:val="24"/>
          <w:szCs w:val="24"/>
        </w:rPr>
        <w:t xml:space="preserve">Sobre </w:t>
      </w:r>
      <w:r w:rsidR="00F3600E" w:rsidRPr="00D43BAD">
        <w:rPr>
          <w:rFonts w:ascii="Gadugi" w:hAnsi="Gadugi" w:cs="Shruti"/>
          <w:sz w:val="24"/>
          <w:szCs w:val="24"/>
        </w:rPr>
        <w:t>las excepciones de mérito</w:t>
      </w:r>
      <w:r w:rsidRPr="00D43BAD">
        <w:rPr>
          <w:rFonts w:ascii="Gadugi" w:hAnsi="Gadugi" w:cs="Shruti"/>
          <w:sz w:val="24"/>
          <w:szCs w:val="24"/>
        </w:rPr>
        <w:t xml:space="preserve"> </w:t>
      </w:r>
      <w:r w:rsidR="004F04DF" w:rsidRPr="00D43BAD">
        <w:rPr>
          <w:rFonts w:ascii="Gadugi" w:hAnsi="Gadugi" w:cs="Shruti"/>
          <w:sz w:val="24"/>
          <w:szCs w:val="24"/>
        </w:rPr>
        <w:t>se</w:t>
      </w:r>
      <w:r w:rsidR="00761001" w:rsidRPr="00D43BAD">
        <w:rPr>
          <w:rFonts w:ascii="Gadugi" w:hAnsi="Gadugi" w:cs="Shruti"/>
          <w:sz w:val="24"/>
          <w:szCs w:val="24"/>
        </w:rPr>
        <w:t xml:space="preserve"> pronunció</w:t>
      </w:r>
      <w:r w:rsidR="0084186C" w:rsidRPr="00D43BAD">
        <w:rPr>
          <w:rFonts w:ascii="Gadugi" w:hAnsi="Gadugi" w:cs="Shruti"/>
          <w:sz w:val="24"/>
          <w:szCs w:val="24"/>
        </w:rPr>
        <w:t xml:space="preserve"> </w:t>
      </w:r>
      <w:r w:rsidR="002853BA" w:rsidRPr="00D43BAD">
        <w:rPr>
          <w:rFonts w:ascii="Gadugi" w:hAnsi="Gadugi" w:cs="Shruti"/>
          <w:sz w:val="24"/>
          <w:szCs w:val="24"/>
        </w:rPr>
        <w:t>la parte accionante</w:t>
      </w:r>
      <w:r w:rsidR="00E7521E" w:rsidRPr="00D43BAD">
        <w:rPr>
          <w:rFonts w:ascii="Gadugi" w:hAnsi="Gadugi" w:cs="Shruti"/>
          <w:sz w:val="24"/>
          <w:szCs w:val="24"/>
        </w:rPr>
        <w:t>;</w:t>
      </w:r>
      <w:r w:rsidR="004F04DF" w:rsidRPr="00D43BAD">
        <w:rPr>
          <w:rFonts w:ascii="Gadugi" w:hAnsi="Gadugi" w:cs="Shruti"/>
          <w:sz w:val="24"/>
          <w:szCs w:val="24"/>
        </w:rPr>
        <w:t xml:space="preserve"> </w:t>
      </w:r>
      <w:r w:rsidR="0084186C" w:rsidRPr="00D43BAD">
        <w:rPr>
          <w:rFonts w:ascii="Gadugi" w:hAnsi="Gadugi" w:cs="Shruti"/>
          <w:sz w:val="24"/>
          <w:szCs w:val="24"/>
        </w:rPr>
        <w:t>se programó</w:t>
      </w:r>
      <w:r w:rsidR="00156BD4" w:rsidRPr="00D43BAD">
        <w:rPr>
          <w:rFonts w:ascii="Gadugi" w:hAnsi="Gadugi" w:cs="Shruti"/>
          <w:sz w:val="24"/>
          <w:szCs w:val="24"/>
        </w:rPr>
        <w:t xml:space="preserve"> y realizó</w:t>
      </w:r>
      <w:r w:rsidR="0084186C" w:rsidRPr="00D43BAD">
        <w:rPr>
          <w:rFonts w:ascii="Gadugi" w:hAnsi="Gadugi" w:cs="Shruti"/>
          <w:sz w:val="24"/>
          <w:szCs w:val="24"/>
        </w:rPr>
        <w:t xml:space="preserve"> la audiencia del art</w:t>
      </w:r>
      <w:r w:rsidR="002853BA" w:rsidRPr="00D43BAD">
        <w:rPr>
          <w:rFonts w:ascii="Gadugi" w:hAnsi="Gadugi" w:cs="Shruti"/>
          <w:sz w:val="24"/>
          <w:szCs w:val="24"/>
        </w:rPr>
        <w:t>ículo</w:t>
      </w:r>
      <w:r w:rsidR="0084186C" w:rsidRPr="00D43BAD">
        <w:rPr>
          <w:rFonts w:ascii="Gadugi" w:hAnsi="Gadugi" w:cs="Shruti"/>
          <w:sz w:val="24"/>
          <w:szCs w:val="24"/>
        </w:rPr>
        <w:t xml:space="preserve"> 101 del CPC</w:t>
      </w:r>
      <w:r w:rsidR="00156BD4" w:rsidRPr="00D43BAD">
        <w:rPr>
          <w:rStyle w:val="Refdenotaalpie"/>
          <w:rFonts w:ascii="Gadugi" w:hAnsi="Gadugi" w:cs="Shruti"/>
          <w:sz w:val="24"/>
          <w:szCs w:val="24"/>
        </w:rPr>
        <w:footnoteReference w:id="13"/>
      </w:r>
      <w:r w:rsidR="0084186C" w:rsidRPr="00D43BAD">
        <w:rPr>
          <w:rFonts w:ascii="Gadugi" w:hAnsi="Gadugi" w:cs="Shruti"/>
          <w:sz w:val="24"/>
          <w:szCs w:val="24"/>
        </w:rPr>
        <w:t xml:space="preserve">, </w:t>
      </w:r>
      <w:r w:rsidR="004F04DF" w:rsidRPr="00D43BAD">
        <w:rPr>
          <w:rFonts w:ascii="Gadugi" w:hAnsi="Gadugi" w:cs="Shruti"/>
          <w:sz w:val="24"/>
          <w:szCs w:val="24"/>
        </w:rPr>
        <w:t xml:space="preserve">se </w:t>
      </w:r>
      <w:r w:rsidR="00E7521E" w:rsidRPr="00D43BAD">
        <w:rPr>
          <w:rFonts w:ascii="Gadugi" w:hAnsi="Gadugi" w:cs="Shruti"/>
          <w:sz w:val="24"/>
          <w:szCs w:val="24"/>
        </w:rPr>
        <w:t>de</w:t>
      </w:r>
      <w:r w:rsidR="00777D5E" w:rsidRPr="00D43BAD">
        <w:rPr>
          <w:rFonts w:ascii="Gadugi" w:hAnsi="Gadugi" w:cs="Shruti"/>
          <w:sz w:val="24"/>
          <w:szCs w:val="24"/>
        </w:rPr>
        <w:t>cretaron</w:t>
      </w:r>
      <w:r w:rsidR="00156BD4" w:rsidRPr="00D43BAD">
        <w:rPr>
          <w:rStyle w:val="Refdenotaalpie"/>
          <w:rFonts w:ascii="Gadugi" w:hAnsi="Gadugi" w:cs="Shruti"/>
          <w:sz w:val="24"/>
          <w:szCs w:val="24"/>
        </w:rPr>
        <w:footnoteReference w:id="14"/>
      </w:r>
      <w:r w:rsidR="00777D5E" w:rsidRPr="00D43BAD">
        <w:rPr>
          <w:rFonts w:ascii="Gadugi" w:hAnsi="Gadugi" w:cs="Shruti"/>
          <w:sz w:val="24"/>
          <w:szCs w:val="24"/>
        </w:rPr>
        <w:t xml:space="preserve"> y practicaron pruebas</w:t>
      </w:r>
      <w:r w:rsidR="002B3788" w:rsidRPr="00D43BAD">
        <w:rPr>
          <w:rStyle w:val="Refdenotaalpie"/>
          <w:rFonts w:ascii="Gadugi" w:hAnsi="Gadugi" w:cs="Shruti"/>
          <w:sz w:val="24"/>
          <w:szCs w:val="24"/>
        </w:rPr>
        <w:footnoteReference w:id="15"/>
      </w:r>
      <w:r w:rsidR="0084186C" w:rsidRPr="00D43BAD">
        <w:rPr>
          <w:rFonts w:ascii="Gadugi" w:hAnsi="Gadugi" w:cs="Shruti"/>
          <w:sz w:val="24"/>
          <w:szCs w:val="24"/>
        </w:rPr>
        <w:t xml:space="preserve"> </w:t>
      </w:r>
      <w:r w:rsidR="0051655D" w:rsidRPr="00D43BAD">
        <w:rPr>
          <w:rFonts w:ascii="Gadugi" w:hAnsi="Gadugi" w:cs="Shruti"/>
          <w:sz w:val="24"/>
          <w:szCs w:val="24"/>
        </w:rPr>
        <w:t xml:space="preserve">y </w:t>
      </w:r>
      <w:r w:rsidR="00777D5E" w:rsidRPr="00D43BAD">
        <w:rPr>
          <w:rFonts w:ascii="Gadugi" w:hAnsi="Gadugi" w:cs="Shruti"/>
          <w:sz w:val="24"/>
          <w:szCs w:val="24"/>
        </w:rPr>
        <w:t xml:space="preserve">se </w:t>
      </w:r>
      <w:r w:rsidR="002853BA" w:rsidRPr="00D43BAD">
        <w:rPr>
          <w:rFonts w:ascii="Gadugi" w:hAnsi="Gadugi" w:cs="Shruti"/>
          <w:sz w:val="24"/>
          <w:szCs w:val="24"/>
        </w:rPr>
        <w:t xml:space="preserve">presentaron los alegatos de </w:t>
      </w:r>
      <w:r w:rsidR="00F73F3D" w:rsidRPr="00D43BAD">
        <w:rPr>
          <w:rFonts w:ascii="Gadugi" w:hAnsi="Gadugi" w:cs="Shruti"/>
          <w:sz w:val="24"/>
          <w:szCs w:val="24"/>
        </w:rPr>
        <w:t>conclusión</w:t>
      </w:r>
      <w:r w:rsidR="00777D5E" w:rsidRPr="00D43BAD">
        <w:rPr>
          <w:rFonts w:ascii="Gadugi" w:hAnsi="Gadugi" w:cs="Shruti"/>
          <w:sz w:val="24"/>
          <w:szCs w:val="24"/>
        </w:rPr>
        <w:t>,</w:t>
      </w:r>
      <w:r w:rsidR="00F73F3D" w:rsidRPr="00D43BAD">
        <w:rPr>
          <w:rFonts w:ascii="Gadugi" w:hAnsi="Gadugi" w:cs="Shruti"/>
          <w:sz w:val="24"/>
          <w:szCs w:val="24"/>
        </w:rPr>
        <w:t xml:space="preserve"> </w:t>
      </w:r>
      <w:r w:rsidR="002853BA" w:rsidRPr="00D43BAD">
        <w:rPr>
          <w:rFonts w:ascii="Gadugi" w:hAnsi="Gadugi" w:cs="Shruti"/>
          <w:sz w:val="24"/>
          <w:szCs w:val="24"/>
        </w:rPr>
        <w:t xml:space="preserve">en los que </w:t>
      </w:r>
      <w:r w:rsidR="00F73F3D" w:rsidRPr="00D43BAD">
        <w:rPr>
          <w:rFonts w:ascii="Gadugi" w:hAnsi="Gadugi" w:cs="Shruti"/>
          <w:sz w:val="24"/>
          <w:szCs w:val="24"/>
        </w:rPr>
        <w:t>las partes ratificaron sus posiciones con argumentos similares a los expuestos en sus actuaciones previas</w:t>
      </w:r>
      <w:r w:rsidR="002B3788" w:rsidRPr="00D43BAD">
        <w:rPr>
          <w:rStyle w:val="Refdenotaalpie"/>
          <w:rFonts w:ascii="Gadugi" w:hAnsi="Gadugi" w:cs="Shruti"/>
          <w:sz w:val="24"/>
          <w:szCs w:val="24"/>
        </w:rPr>
        <w:footnoteReference w:id="16"/>
      </w:r>
      <w:r w:rsidR="002853BA" w:rsidRPr="00D43BAD">
        <w:rPr>
          <w:rFonts w:ascii="Gadugi" w:hAnsi="Gadugi" w:cs="Shruti"/>
          <w:sz w:val="24"/>
          <w:szCs w:val="24"/>
        </w:rPr>
        <w:t xml:space="preserve">. </w:t>
      </w:r>
    </w:p>
    <w:p w14:paraId="7ED1568B" w14:textId="77777777" w:rsidR="00F3600E" w:rsidRPr="00D43BAD" w:rsidRDefault="00F3600E" w:rsidP="00D43BAD">
      <w:pPr>
        <w:spacing w:line="276" w:lineRule="auto"/>
        <w:ind w:firstLine="2835"/>
        <w:jc w:val="both"/>
        <w:rPr>
          <w:rFonts w:ascii="Gadugi" w:hAnsi="Gadugi" w:cs="Shruti"/>
          <w:sz w:val="24"/>
          <w:szCs w:val="24"/>
        </w:rPr>
      </w:pPr>
    </w:p>
    <w:p w14:paraId="3DC7ACAE" w14:textId="77777777" w:rsidR="00A04477" w:rsidRPr="00D43BAD" w:rsidRDefault="00A04477" w:rsidP="00D43BAD">
      <w:pPr>
        <w:tabs>
          <w:tab w:val="left" w:pos="3402"/>
        </w:tabs>
        <w:spacing w:line="276" w:lineRule="auto"/>
        <w:ind w:firstLine="2835"/>
        <w:jc w:val="both"/>
        <w:rPr>
          <w:rFonts w:ascii="Gadugi" w:hAnsi="Gadugi" w:cs="Shruti"/>
          <w:sz w:val="24"/>
          <w:szCs w:val="24"/>
        </w:rPr>
      </w:pPr>
      <w:r w:rsidRPr="00D43BAD">
        <w:rPr>
          <w:rFonts w:ascii="Gadugi" w:hAnsi="Gadugi" w:cs="Shruti"/>
          <w:b/>
          <w:sz w:val="24"/>
          <w:szCs w:val="24"/>
          <w:lang w:val="es-419"/>
        </w:rPr>
        <w:t>1.4.</w:t>
      </w:r>
      <w:r w:rsidRPr="00D43BAD">
        <w:rPr>
          <w:rFonts w:ascii="Gadugi" w:hAnsi="Gadugi" w:cs="Shruti"/>
          <w:sz w:val="24"/>
          <w:szCs w:val="24"/>
          <w:lang w:val="es-419"/>
        </w:rPr>
        <w:tab/>
      </w:r>
      <w:r w:rsidRPr="00D43BAD">
        <w:rPr>
          <w:rFonts w:ascii="Gadugi" w:hAnsi="Gadugi" w:cs="Shruti"/>
          <w:b/>
          <w:sz w:val="24"/>
          <w:szCs w:val="24"/>
          <w:lang w:val="es-419"/>
        </w:rPr>
        <w:t>Sentencia</w:t>
      </w:r>
      <w:r w:rsidRPr="00D43BAD">
        <w:rPr>
          <w:rFonts w:ascii="Gadugi" w:hAnsi="Gadugi" w:cs="Shruti"/>
          <w:sz w:val="24"/>
          <w:szCs w:val="24"/>
          <w:lang w:val="es-419"/>
        </w:rPr>
        <w:t xml:space="preserve"> </w:t>
      </w:r>
      <w:r w:rsidRPr="00D43BAD">
        <w:rPr>
          <w:rFonts w:ascii="Gadugi" w:hAnsi="Gadugi" w:cs="Shruti"/>
          <w:b/>
          <w:sz w:val="24"/>
          <w:szCs w:val="24"/>
          <w:lang w:val="es-419"/>
        </w:rPr>
        <w:t>de primera instancia y apelación.</w:t>
      </w:r>
      <w:r w:rsidRPr="00D43BAD">
        <w:rPr>
          <w:rFonts w:ascii="Gadugi" w:hAnsi="Gadugi" w:cs="Shruti"/>
          <w:sz w:val="24"/>
          <w:szCs w:val="24"/>
          <w:lang w:val="es-419"/>
        </w:rPr>
        <w:t xml:space="preserve"> </w:t>
      </w:r>
    </w:p>
    <w:p w14:paraId="1299C43A" w14:textId="3FF21519" w:rsidR="00A04477" w:rsidRPr="00D43BAD" w:rsidRDefault="00A04477" w:rsidP="00D43BAD">
      <w:pPr>
        <w:spacing w:line="276" w:lineRule="auto"/>
        <w:ind w:firstLine="2835"/>
        <w:jc w:val="both"/>
        <w:rPr>
          <w:rFonts w:ascii="Gadugi" w:hAnsi="Gadugi" w:cs="Shruti"/>
          <w:sz w:val="24"/>
          <w:szCs w:val="24"/>
        </w:rPr>
      </w:pPr>
    </w:p>
    <w:p w14:paraId="45202AA3" w14:textId="77777777" w:rsidR="00F3600E" w:rsidRPr="00D43BAD" w:rsidRDefault="00F3600E" w:rsidP="00D43BAD">
      <w:pPr>
        <w:spacing w:line="276" w:lineRule="auto"/>
        <w:ind w:firstLine="2835"/>
        <w:jc w:val="both"/>
        <w:rPr>
          <w:rFonts w:ascii="Gadugi" w:hAnsi="Gadugi" w:cs="Shruti"/>
          <w:sz w:val="24"/>
          <w:szCs w:val="24"/>
        </w:rPr>
      </w:pPr>
    </w:p>
    <w:p w14:paraId="2C4FEB65" w14:textId="22921CC9" w:rsidR="00937CF7" w:rsidRPr="00D43BAD" w:rsidRDefault="002B3788" w:rsidP="00D43BAD">
      <w:pPr>
        <w:spacing w:line="276" w:lineRule="auto"/>
        <w:ind w:firstLine="2835"/>
        <w:jc w:val="both"/>
        <w:rPr>
          <w:rFonts w:ascii="Gadugi" w:hAnsi="Gadugi" w:cs="Shruti"/>
          <w:sz w:val="24"/>
          <w:szCs w:val="24"/>
        </w:rPr>
      </w:pPr>
      <w:r w:rsidRPr="00D43BAD">
        <w:rPr>
          <w:rFonts w:ascii="Gadugi" w:hAnsi="Gadugi" w:cs="Shruti"/>
          <w:sz w:val="24"/>
          <w:szCs w:val="24"/>
        </w:rPr>
        <w:t>La d</w:t>
      </w:r>
      <w:r w:rsidR="002853BA" w:rsidRPr="00D43BAD">
        <w:rPr>
          <w:rFonts w:ascii="Gadugi" w:hAnsi="Gadugi" w:cs="Shruti"/>
          <w:sz w:val="24"/>
          <w:szCs w:val="24"/>
        </w:rPr>
        <w:t xml:space="preserve">ictó el juzgado </w:t>
      </w:r>
      <w:r w:rsidR="00F73F3D" w:rsidRPr="00D43BAD">
        <w:rPr>
          <w:rFonts w:ascii="Gadugi" w:hAnsi="Gadugi" w:cs="Shruti"/>
          <w:sz w:val="24"/>
          <w:szCs w:val="24"/>
        </w:rPr>
        <w:t xml:space="preserve">el </w:t>
      </w:r>
      <w:r w:rsidR="00937CF7" w:rsidRPr="00D43BAD">
        <w:rPr>
          <w:rFonts w:ascii="Gadugi" w:hAnsi="Gadugi" w:cs="Shruti"/>
          <w:sz w:val="24"/>
          <w:szCs w:val="24"/>
        </w:rPr>
        <w:t>11</w:t>
      </w:r>
      <w:r w:rsidR="00D80ED0" w:rsidRPr="00D43BAD">
        <w:rPr>
          <w:rFonts w:ascii="Gadugi" w:hAnsi="Gadugi" w:cs="Shruti"/>
          <w:sz w:val="24"/>
          <w:szCs w:val="24"/>
        </w:rPr>
        <w:t xml:space="preserve"> de </w:t>
      </w:r>
      <w:r w:rsidR="00937CF7" w:rsidRPr="00D43BAD">
        <w:rPr>
          <w:rFonts w:ascii="Gadugi" w:hAnsi="Gadugi" w:cs="Shruti"/>
          <w:sz w:val="24"/>
          <w:szCs w:val="24"/>
        </w:rPr>
        <w:t>febrero</w:t>
      </w:r>
      <w:r w:rsidR="00D80ED0" w:rsidRPr="00D43BAD">
        <w:rPr>
          <w:rFonts w:ascii="Gadugi" w:hAnsi="Gadugi" w:cs="Shruti"/>
          <w:sz w:val="24"/>
          <w:szCs w:val="24"/>
        </w:rPr>
        <w:t xml:space="preserve"> de 201</w:t>
      </w:r>
      <w:r w:rsidR="00937CF7" w:rsidRPr="00D43BAD">
        <w:rPr>
          <w:rFonts w:ascii="Gadugi" w:hAnsi="Gadugi" w:cs="Shruti"/>
          <w:sz w:val="24"/>
          <w:szCs w:val="24"/>
        </w:rPr>
        <w:t>5</w:t>
      </w:r>
      <w:r w:rsidR="00F73F3D" w:rsidRPr="00D43BAD">
        <w:rPr>
          <w:rFonts w:ascii="Gadugi" w:hAnsi="Gadugi" w:cs="Shruti"/>
          <w:sz w:val="24"/>
          <w:szCs w:val="24"/>
        </w:rPr>
        <w:t xml:space="preserve">, </w:t>
      </w:r>
      <w:r w:rsidR="00937CF7" w:rsidRPr="00D43BAD">
        <w:rPr>
          <w:rFonts w:ascii="Gadugi" w:hAnsi="Gadugi" w:cs="Shruti"/>
          <w:sz w:val="24"/>
          <w:szCs w:val="24"/>
        </w:rPr>
        <w:t xml:space="preserve">en la que declaró la inexistencia del contrato de fiducia y condenó a la sociedad </w:t>
      </w:r>
      <w:r w:rsidR="003029B2" w:rsidRPr="00D43BAD">
        <w:rPr>
          <w:rFonts w:ascii="Gadugi" w:hAnsi="Gadugi" w:cs="Shruti"/>
          <w:sz w:val="24"/>
          <w:szCs w:val="24"/>
        </w:rPr>
        <w:t>accionada</w:t>
      </w:r>
      <w:r w:rsidR="00937CF7" w:rsidRPr="00D43BAD">
        <w:rPr>
          <w:rFonts w:ascii="Gadugi" w:hAnsi="Gadugi" w:cs="Shruti"/>
          <w:sz w:val="24"/>
          <w:szCs w:val="24"/>
        </w:rPr>
        <w:t xml:space="preserve"> a pagarle a los demandantes los perjuicios causados por daños morales y lucro cesante consolidado; para así decidir, se adujo que </w:t>
      </w:r>
      <w:r w:rsidR="003029B2" w:rsidRPr="00D43BAD">
        <w:rPr>
          <w:rFonts w:ascii="Gadugi" w:hAnsi="Gadugi" w:cs="Shruti"/>
          <w:sz w:val="24"/>
          <w:szCs w:val="24"/>
        </w:rPr>
        <w:t>la entidad fiduciaria no cumplió con la solemnidad de inscribir el contrato de fiducia en el registro mercantil del domicilio del fiduciante, contrariando la Ley 35 de 1993</w:t>
      </w:r>
      <w:r w:rsidR="008C5811" w:rsidRPr="00D43BAD">
        <w:rPr>
          <w:rFonts w:ascii="Gadugi" w:hAnsi="Gadugi" w:cs="Shruti"/>
          <w:sz w:val="24"/>
          <w:szCs w:val="24"/>
        </w:rPr>
        <w:t>,</w:t>
      </w:r>
      <w:r w:rsidR="003029B2" w:rsidRPr="00D43BAD">
        <w:rPr>
          <w:rFonts w:ascii="Gadugi" w:hAnsi="Gadugi" w:cs="Shruti"/>
          <w:sz w:val="24"/>
          <w:szCs w:val="24"/>
        </w:rPr>
        <w:t xml:space="preserve"> vigente para la época de su celebración.</w:t>
      </w:r>
      <w:r w:rsidRPr="00D43BAD">
        <w:rPr>
          <w:rStyle w:val="Refdenotaalpie"/>
          <w:rFonts w:ascii="Gadugi" w:hAnsi="Gadugi" w:cs="Shruti"/>
          <w:sz w:val="24"/>
          <w:szCs w:val="24"/>
        </w:rPr>
        <w:footnoteReference w:id="17"/>
      </w:r>
    </w:p>
    <w:p w14:paraId="7F6BE826" w14:textId="77777777" w:rsidR="003029B2" w:rsidRPr="00D43BAD" w:rsidRDefault="003029B2" w:rsidP="00D43BAD">
      <w:pPr>
        <w:spacing w:line="276" w:lineRule="auto"/>
        <w:ind w:firstLine="2835"/>
        <w:jc w:val="both"/>
        <w:rPr>
          <w:rFonts w:ascii="Gadugi" w:hAnsi="Gadugi" w:cs="Shruti"/>
          <w:sz w:val="24"/>
          <w:szCs w:val="24"/>
        </w:rPr>
      </w:pPr>
    </w:p>
    <w:p w14:paraId="055ECF3D" w14:textId="703C92CD" w:rsidR="003029B2" w:rsidRPr="00D43BAD" w:rsidRDefault="00A61A13" w:rsidP="00D43BAD">
      <w:pPr>
        <w:spacing w:line="276" w:lineRule="auto"/>
        <w:ind w:firstLine="2835"/>
        <w:jc w:val="both"/>
        <w:rPr>
          <w:rFonts w:ascii="Gadugi" w:hAnsi="Gadugi" w:cs="Shruti"/>
          <w:sz w:val="24"/>
          <w:szCs w:val="24"/>
        </w:rPr>
      </w:pPr>
      <w:r w:rsidRPr="00D43BAD">
        <w:rPr>
          <w:rFonts w:ascii="Gadugi" w:hAnsi="Gadugi" w:cs="Shruti"/>
          <w:sz w:val="24"/>
          <w:szCs w:val="24"/>
        </w:rPr>
        <w:t>Apel</w:t>
      </w:r>
      <w:r w:rsidR="002853BA" w:rsidRPr="00D43BAD">
        <w:rPr>
          <w:rFonts w:ascii="Gadugi" w:hAnsi="Gadugi" w:cs="Shruti"/>
          <w:sz w:val="24"/>
          <w:szCs w:val="24"/>
        </w:rPr>
        <w:t>aron</w:t>
      </w:r>
      <w:r w:rsidR="003029B2" w:rsidRPr="00D43BAD">
        <w:rPr>
          <w:rFonts w:ascii="Gadugi" w:hAnsi="Gadugi" w:cs="Shruti"/>
          <w:sz w:val="24"/>
          <w:szCs w:val="24"/>
        </w:rPr>
        <w:t xml:space="preserve"> los demandantes y la demandada</w:t>
      </w:r>
      <w:r w:rsidR="002B3788" w:rsidRPr="00D43BAD">
        <w:rPr>
          <w:rStyle w:val="Refdenotaalpie"/>
          <w:rFonts w:ascii="Gadugi" w:hAnsi="Gadugi" w:cs="Shruti"/>
          <w:sz w:val="24"/>
          <w:szCs w:val="24"/>
        </w:rPr>
        <w:footnoteReference w:id="18"/>
      </w:r>
      <w:r w:rsidR="003029B2" w:rsidRPr="00D43BAD">
        <w:rPr>
          <w:rFonts w:ascii="Gadugi" w:hAnsi="Gadugi" w:cs="Shruti"/>
          <w:sz w:val="24"/>
          <w:szCs w:val="24"/>
        </w:rPr>
        <w:t xml:space="preserve">; los primeros para </w:t>
      </w:r>
      <w:r w:rsidR="008C5811" w:rsidRPr="00D43BAD">
        <w:rPr>
          <w:rFonts w:ascii="Gadugi" w:hAnsi="Gadugi" w:cs="Shruti"/>
          <w:sz w:val="24"/>
          <w:szCs w:val="24"/>
        </w:rPr>
        <w:t>exigir</w:t>
      </w:r>
      <w:r w:rsidR="003029B2" w:rsidRPr="00D43BAD">
        <w:rPr>
          <w:rFonts w:ascii="Gadugi" w:hAnsi="Gadugi" w:cs="Shruti"/>
          <w:sz w:val="24"/>
          <w:szCs w:val="24"/>
        </w:rPr>
        <w:t xml:space="preserve"> un incremento de las condenas, y la segunda, para controvertir la declarada inexistencia del contrato; sobre sus argumentaciones se ahondará en lo sucesivo. </w:t>
      </w:r>
    </w:p>
    <w:p w14:paraId="4D121E19" w14:textId="77777777" w:rsidR="003029B2" w:rsidRPr="00D43BAD" w:rsidRDefault="003029B2" w:rsidP="00D43BAD">
      <w:pPr>
        <w:spacing w:line="276" w:lineRule="auto"/>
        <w:ind w:firstLine="2835"/>
        <w:jc w:val="both"/>
        <w:rPr>
          <w:rFonts w:ascii="Gadugi" w:hAnsi="Gadugi" w:cs="Shruti"/>
          <w:sz w:val="24"/>
          <w:szCs w:val="24"/>
        </w:rPr>
      </w:pPr>
    </w:p>
    <w:p w14:paraId="77C26031" w14:textId="4B1987E9" w:rsidR="00777D5E" w:rsidRPr="00D43BAD" w:rsidRDefault="00E7521E" w:rsidP="00D43BAD">
      <w:pPr>
        <w:spacing w:line="276" w:lineRule="auto"/>
        <w:ind w:firstLine="2835"/>
        <w:jc w:val="both"/>
        <w:rPr>
          <w:rFonts w:ascii="Gadugi" w:hAnsi="Gadugi" w:cs="Shruti"/>
          <w:sz w:val="24"/>
          <w:szCs w:val="24"/>
        </w:rPr>
      </w:pPr>
      <w:r w:rsidRPr="00D43BAD">
        <w:rPr>
          <w:rFonts w:ascii="Gadugi" w:hAnsi="Gadugi" w:cs="Shruti"/>
          <w:sz w:val="24"/>
          <w:szCs w:val="24"/>
        </w:rPr>
        <w:t>S</w:t>
      </w:r>
      <w:r w:rsidR="005B56A3" w:rsidRPr="00D43BAD">
        <w:rPr>
          <w:rFonts w:ascii="Gadugi" w:hAnsi="Gadugi" w:cs="Shruti"/>
          <w:sz w:val="24"/>
          <w:szCs w:val="24"/>
        </w:rPr>
        <w:t xml:space="preserve">e concedió la alzada y en </w:t>
      </w:r>
      <w:r w:rsidR="00DA2FBD" w:rsidRPr="00D43BAD">
        <w:rPr>
          <w:rFonts w:ascii="Gadugi" w:hAnsi="Gadugi" w:cs="Shruti"/>
          <w:sz w:val="24"/>
          <w:szCs w:val="24"/>
        </w:rPr>
        <w:t xml:space="preserve">sede del Tribunal Superior de Medellín </w:t>
      </w:r>
      <w:r w:rsidR="009C78DE" w:rsidRPr="00D43BAD">
        <w:rPr>
          <w:rFonts w:ascii="Gadugi" w:hAnsi="Gadugi" w:cs="Shruti"/>
          <w:sz w:val="24"/>
          <w:szCs w:val="24"/>
        </w:rPr>
        <w:t>se reiteraron tales argumentos</w:t>
      </w:r>
      <w:r w:rsidR="005B56A3" w:rsidRPr="00D43BAD">
        <w:rPr>
          <w:rFonts w:ascii="Gadugi" w:hAnsi="Gadugi" w:cs="Shruti"/>
          <w:sz w:val="24"/>
          <w:szCs w:val="24"/>
        </w:rPr>
        <w:t xml:space="preserve">. </w:t>
      </w:r>
    </w:p>
    <w:p w14:paraId="1FC39945" w14:textId="77777777" w:rsidR="00C959D1" w:rsidRPr="00D43BAD" w:rsidRDefault="00C959D1" w:rsidP="00D43BAD">
      <w:pPr>
        <w:spacing w:line="276" w:lineRule="auto"/>
        <w:ind w:firstLine="2835"/>
        <w:jc w:val="both"/>
        <w:rPr>
          <w:rFonts w:ascii="Gadugi" w:hAnsi="Gadugi" w:cs="Shruti"/>
          <w:sz w:val="24"/>
          <w:szCs w:val="24"/>
        </w:rPr>
      </w:pPr>
    </w:p>
    <w:p w14:paraId="0283A4B3" w14:textId="77777777" w:rsidR="00A04477" w:rsidRPr="00D43BAD" w:rsidRDefault="00A04477" w:rsidP="00D43BAD">
      <w:pPr>
        <w:pStyle w:val="Ttulo1"/>
        <w:tabs>
          <w:tab w:val="left" w:pos="3402"/>
        </w:tabs>
        <w:spacing w:line="276" w:lineRule="auto"/>
        <w:rPr>
          <w:rFonts w:ascii="Gadugi" w:hAnsi="Gadugi" w:cs="Shruti"/>
          <w:szCs w:val="24"/>
        </w:rPr>
      </w:pPr>
      <w:r w:rsidRPr="00D43BAD">
        <w:rPr>
          <w:rFonts w:ascii="Gadugi" w:hAnsi="Gadugi" w:cs="Shruti"/>
          <w:szCs w:val="24"/>
          <w:lang w:val="es-419"/>
        </w:rPr>
        <w:t>2.</w:t>
      </w:r>
      <w:r w:rsidRPr="00D43BAD">
        <w:rPr>
          <w:rFonts w:ascii="Gadugi" w:hAnsi="Gadugi" w:cs="Shruti"/>
          <w:szCs w:val="24"/>
          <w:lang w:val="es-419"/>
        </w:rPr>
        <w:tab/>
      </w:r>
      <w:r w:rsidRPr="00D43BAD">
        <w:rPr>
          <w:rFonts w:ascii="Gadugi" w:hAnsi="Gadugi" w:cs="Shruti"/>
          <w:szCs w:val="24"/>
        </w:rPr>
        <w:t>CONSIDERACIONES</w:t>
      </w:r>
    </w:p>
    <w:p w14:paraId="62EBF3C5" w14:textId="27314C1B" w:rsidR="00A04477" w:rsidRPr="00D43BAD" w:rsidRDefault="00136155" w:rsidP="00D43BAD">
      <w:pPr>
        <w:spacing w:line="276" w:lineRule="auto"/>
        <w:rPr>
          <w:rFonts w:ascii="Gadugi" w:hAnsi="Gadugi"/>
          <w:sz w:val="24"/>
          <w:szCs w:val="24"/>
        </w:rPr>
      </w:pPr>
      <w:r w:rsidRPr="00D43BAD">
        <w:rPr>
          <w:rFonts w:ascii="Gadugi" w:hAnsi="Gadugi"/>
          <w:sz w:val="24"/>
          <w:szCs w:val="24"/>
        </w:rPr>
        <w:tab/>
      </w:r>
      <w:r w:rsidRPr="00D43BAD">
        <w:rPr>
          <w:rFonts w:ascii="Gadugi" w:hAnsi="Gadugi"/>
          <w:sz w:val="24"/>
          <w:szCs w:val="24"/>
        </w:rPr>
        <w:tab/>
      </w:r>
      <w:r w:rsidRPr="00D43BAD">
        <w:rPr>
          <w:rFonts w:ascii="Gadugi" w:hAnsi="Gadugi"/>
          <w:sz w:val="24"/>
          <w:szCs w:val="24"/>
        </w:rPr>
        <w:tab/>
      </w:r>
      <w:r w:rsidRPr="00D43BAD">
        <w:rPr>
          <w:rFonts w:ascii="Gadugi" w:hAnsi="Gadugi"/>
          <w:sz w:val="24"/>
          <w:szCs w:val="24"/>
        </w:rPr>
        <w:tab/>
      </w:r>
    </w:p>
    <w:p w14:paraId="0222CB05" w14:textId="77777777" w:rsidR="00A04477" w:rsidRPr="00D43BAD" w:rsidRDefault="00A0447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lang w:val="es-419"/>
        </w:rPr>
        <w:t xml:space="preserve">  </w:t>
      </w:r>
      <w:r w:rsidRPr="00D43BAD">
        <w:rPr>
          <w:rFonts w:ascii="Gadugi" w:hAnsi="Gadugi" w:cs="Shruti"/>
          <w:sz w:val="24"/>
          <w:szCs w:val="24"/>
          <w:lang w:val="es-419"/>
        </w:rPr>
        <w:tab/>
        <w:t>2.1</w:t>
      </w:r>
      <w:r w:rsidR="009C78DE" w:rsidRPr="00D43BAD">
        <w:rPr>
          <w:rFonts w:ascii="Gadugi" w:hAnsi="Gadugi" w:cs="Shruti"/>
          <w:sz w:val="24"/>
          <w:szCs w:val="24"/>
          <w:lang w:val="es-419"/>
        </w:rPr>
        <w:t>.</w:t>
      </w:r>
      <w:r w:rsidR="00774AD5" w:rsidRPr="00D43BAD">
        <w:rPr>
          <w:rFonts w:ascii="Gadugi" w:hAnsi="Gadugi" w:cs="Shruti"/>
          <w:sz w:val="24"/>
          <w:szCs w:val="24"/>
          <w:lang w:val="es-419"/>
        </w:rPr>
        <w:tab/>
      </w:r>
      <w:r w:rsidR="00F9155A" w:rsidRPr="00D43BAD">
        <w:rPr>
          <w:rFonts w:ascii="Gadugi" w:hAnsi="Gadugi" w:cs="Shruti"/>
          <w:sz w:val="24"/>
          <w:szCs w:val="24"/>
        </w:rPr>
        <w:t xml:space="preserve">Los presupuestos procesales se encuentran cabalmente cumplidos y en </w:t>
      </w:r>
      <w:r w:rsidR="009C78DE" w:rsidRPr="00D43BAD">
        <w:rPr>
          <w:rFonts w:ascii="Gadugi" w:hAnsi="Gadugi" w:cs="Shruti"/>
          <w:sz w:val="24"/>
          <w:szCs w:val="24"/>
        </w:rPr>
        <w:t xml:space="preserve">el </w:t>
      </w:r>
      <w:r w:rsidR="00F9155A" w:rsidRPr="00D43BAD">
        <w:rPr>
          <w:rFonts w:ascii="Gadugi" w:hAnsi="Gadugi" w:cs="Shruti"/>
          <w:sz w:val="24"/>
          <w:szCs w:val="24"/>
        </w:rPr>
        <w:t xml:space="preserve">trámite se respetaron </w:t>
      </w:r>
      <w:r w:rsidR="009C78DE" w:rsidRPr="00D43BAD">
        <w:rPr>
          <w:rFonts w:ascii="Gadugi" w:hAnsi="Gadugi" w:cs="Shruti"/>
          <w:sz w:val="24"/>
          <w:szCs w:val="24"/>
        </w:rPr>
        <w:t xml:space="preserve">las formas propias del proceso, </w:t>
      </w:r>
      <w:r w:rsidR="00F9155A" w:rsidRPr="00D43BAD">
        <w:rPr>
          <w:rFonts w:ascii="Gadugi" w:hAnsi="Gadugi" w:cs="Shruti"/>
          <w:sz w:val="24"/>
          <w:szCs w:val="24"/>
        </w:rPr>
        <w:t xml:space="preserve">por lo que no se observa nulidad alguna que impida desatar de fondo el litigio. </w:t>
      </w:r>
    </w:p>
    <w:p w14:paraId="6D98A12B" w14:textId="77777777" w:rsidR="00F9155A" w:rsidRPr="00D43BAD" w:rsidRDefault="00F9155A" w:rsidP="00D43BAD">
      <w:pPr>
        <w:tabs>
          <w:tab w:val="left" w:pos="2835"/>
        </w:tabs>
        <w:suppressAutoHyphens/>
        <w:spacing w:line="276" w:lineRule="auto"/>
        <w:jc w:val="both"/>
        <w:rPr>
          <w:rFonts w:ascii="Gadugi" w:hAnsi="Gadugi" w:cs="Shruti"/>
          <w:sz w:val="24"/>
          <w:szCs w:val="24"/>
        </w:rPr>
      </w:pPr>
    </w:p>
    <w:p w14:paraId="5B3EE2BE" w14:textId="55D3E9E1" w:rsidR="003029B2" w:rsidRPr="00D43BAD" w:rsidRDefault="00F9155A"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lastRenderedPageBreak/>
        <w:tab/>
        <w:t>2.2</w:t>
      </w:r>
      <w:r w:rsidR="009C78DE" w:rsidRPr="00D43BAD">
        <w:rPr>
          <w:rFonts w:ascii="Gadugi" w:hAnsi="Gadugi" w:cs="Shruti"/>
          <w:sz w:val="24"/>
          <w:szCs w:val="24"/>
        </w:rPr>
        <w:t>.</w:t>
      </w:r>
      <w:r w:rsidRPr="00D43BAD">
        <w:rPr>
          <w:rFonts w:ascii="Gadugi" w:hAnsi="Gadugi" w:cs="Shruti"/>
          <w:sz w:val="24"/>
          <w:szCs w:val="24"/>
        </w:rPr>
        <w:t xml:space="preserve"> </w:t>
      </w:r>
      <w:r w:rsidR="00774AD5" w:rsidRPr="00D43BAD">
        <w:rPr>
          <w:rFonts w:ascii="Gadugi" w:hAnsi="Gadugi" w:cs="Shruti"/>
          <w:sz w:val="24"/>
          <w:szCs w:val="24"/>
        </w:rPr>
        <w:tab/>
      </w:r>
      <w:r w:rsidR="009C78DE" w:rsidRPr="00D43BAD">
        <w:rPr>
          <w:rFonts w:ascii="Gadugi" w:hAnsi="Gadugi" w:cs="Shruti"/>
          <w:sz w:val="24"/>
          <w:szCs w:val="24"/>
        </w:rPr>
        <w:t>L</w:t>
      </w:r>
      <w:r w:rsidR="00EE0664" w:rsidRPr="00D43BAD">
        <w:rPr>
          <w:rFonts w:ascii="Gadugi" w:hAnsi="Gadugi" w:cs="Shruti"/>
          <w:sz w:val="24"/>
          <w:szCs w:val="24"/>
        </w:rPr>
        <w:t>a legitimación de las parte</w:t>
      </w:r>
      <w:r w:rsidR="00CE42A1" w:rsidRPr="00D43BAD">
        <w:rPr>
          <w:rFonts w:ascii="Gadugi" w:hAnsi="Gadugi" w:cs="Shruti"/>
          <w:sz w:val="24"/>
          <w:szCs w:val="24"/>
        </w:rPr>
        <w:t>s</w:t>
      </w:r>
      <w:r w:rsidR="00EE0664" w:rsidRPr="00D43BAD">
        <w:rPr>
          <w:rFonts w:ascii="Gadugi" w:hAnsi="Gadugi" w:cs="Shruti"/>
          <w:sz w:val="24"/>
          <w:szCs w:val="24"/>
        </w:rPr>
        <w:t xml:space="preserve"> no ofrece ningún reparo</w:t>
      </w:r>
      <w:r w:rsidR="00C959D1" w:rsidRPr="00D43BAD">
        <w:rPr>
          <w:rFonts w:ascii="Gadugi" w:hAnsi="Gadugi" w:cs="Shruti"/>
          <w:sz w:val="24"/>
          <w:szCs w:val="24"/>
        </w:rPr>
        <w:t>,</w:t>
      </w:r>
      <w:r w:rsidR="00EE0664" w:rsidRPr="00D43BAD">
        <w:rPr>
          <w:rFonts w:ascii="Gadugi" w:hAnsi="Gadugi" w:cs="Shruti"/>
          <w:sz w:val="24"/>
          <w:szCs w:val="24"/>
        </w:rPr>
        <w:t xml:space="preserve"> dado que por activa comparecen</w:t>
      </w:r>
      <w:r w:rsidR="003029B2" w:rsidRPr="00D43BAD">
        <w:rPr>
          <w:rFonts w:ascii="Gadugi" w:hAnsi="Gadugi" w:cs="Shruti"/>
          <w:sz w:val="24"/>
          <w:szCs w:val="24"/>
        </w:rPr>
        <w:t xml:space="preserve"> José Raúl Jaramillo Zuloaga y Ana Isabel Morales Vélez en calidad de fiduciantes en el contrato de “FIDEICOMISO FUENTE DE PAGO”</w:t>
      </w:r>
      <w:r w:rsidR="002B3788" w:rsidRPr="00D43BAD">
        <w:rPr>
          <w:rStyle w:val="Refdenotaalpie"/>
          <w:rFonts w:ascii="Gadugi" w:hAnsi="Gadugi" w:cs="Shruti"/>
          <w:sz w:val="24"/>
          <w:szCs w:val="24"/>
        </w:rPr>
        <w:footnoteReference w:id="19"/>
      </w:r>
      <w:r w:rsidR="003029B2" w:rsidRPr="00D43BAD">
        <w:rPr>
          <w:rFonts w:ascii="Gadugi" w:hAnsi="Gadugi" w:cs="Shruti"/>
          <w:sz w:val="24"/>
          <w:szCs w:val="24"/>
        </w:rPr>
        <w:t xml:space="preserve">; y por pasiva Alianza Fiduciaria S.A., sociedad </w:t>
      </w:r>
      <w:r w:rsidR="00136155" w:rsidRPr="00D43BAD">
        <w:rPr>
          <w:rFonts w:ascii="Gadugi" w:hAnsi="Gadugi" w:cs="Shruti"/>
          <w:sz w:val="24"/>
          <w:szCs w:val="24"/>
        </w:rPr>
        <w:t xml:space="preserve">que, por conducto de su representante legal, suscribió ese convenio, hoy causante de la controversia, en calidad de fiduciaria. </w:t>
      </w:r>
    </w:p>
    <w:p w14:paraId="2946DB82" w14:textId="77777777" w:rsidR="004366B0" w:rsidRPr="00D43BAD" w:rsidRDefault="004366B0" w:rsidP="00D43BAD">
      <w:pPr>
        <w:tabs>
          <w:tab w:val="left" w:pos="2835"/>
        </w:tabs>
        <w:suppressAutoHyphens/>
        <w:spacing w:line="276" w:lineRule="auto"/>
        <w:jc w:val="both"/>
        <w:rPr>
          <w:rFonts w:ascii="Gadugi" w:hAnsi="Gadugi" w:cs="Shruti"/>
          <w:sz w:val="24"/>
          <w:szCs w:val="24"/>
        </w:rPr>
      </w:pPr>
    </w:p>
    <w:p w14:paraId="3D4FFE5D" w14:textId="662955D8" w:rsidR="00136155" w:rsidRPr="00D43BAD" w:rsidRDefault="004366B0"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2.3</w:t>
      </w:r>
      <w:r w:rsidR="00774AD5" w:rsidRPr="00D43BAD">
        <w:rPr>
          <w:rFonts w:ascii="Gadugi" w:hAnsi="Gadugi" w:cs="Shruti"/>
          <w:sz w:val="24"/>
          <w:szCs w:val="24"/>
        </w:rPr>
        <w:t>.</w:t>
      </w:r>
      <w:r w:rsidRPr="00D43BAD">
        <w:rPr>
          <w:rFonts w:ascii="Gadugi" w:hAnsi="Gadugi" w:cs="Shruti"/>
          <w:sz w:val="24"/>
          <w:szCs w:val="24"/>
        </w:rPr>
        <w:t xml:space="preserve"> </w:t>
      </w:r>
      <w:r w:rsidR="00774AD5" w:rsidRPr="00D43BAD">
        <w:rPr>
          <w:rFonts w:ascii="Gadugi" w:hAnsi="Gadugi" w:cs="Shruti"/>
          <w:sz w:val="24"/>
          <w:szCs w:val="24"/>
        </w:rPr>
        <w:tab/>
        <w:t xml:space="preserve">Corresponde a la Sala definir si confirma la providencia apelada que </w:t>
      </w:r>
      <w:r w:rsidR="00136155" w:rsidRPr="00D43BAD">
        <w:rPr>
          <w:rFonts w:ascii="Gadugi" w:hAnsi="Gadugi" w:cs="Shruti"/>
          <w:sz w:val="24"/>
          <w:szCs w:val="24"/>
        </w:rPr>
        <w:t xml:space="preserve">accedió parcialmente a las pretensiones </w:t>
      </w:r>
      <w:r w:rsidR="00C41A82" w:rsidRPr="00D43BAD">
        <w:rPr>
          <w:rFonts w:ascii="Gadugi" w:hAnsi="Gadugi" w:cs="Shruti"/>
          <w:sz w:val="24"/>
          <w:szCs w:val="24"/>
        </w:rPr>
        <w:t xml:space="preserve">con estribo </w:t>
      </w:r>
      <w:r w:rsidR="00136155" w:rsidRPr="00D43BAD">
        <w:rPr>
          <w:rFonts w:ascii="Gadugi" w:hAnsi="Gadugi" w:cs="Shruti"/>
          <w:sz w:val="24"/>
          <w:szCs w:val="24"/>
        </w:rPr>
        <w:t xml:space="preserve">en la inexistencia del contrato fiduciario; si la modifica para incrementar las condenas, como exigen los demandantes; o si la revoca, como pretende la accionada, en el entendido de que el contrato si existió y, por demás, se cumplió. </w:t>
      </w:r>
    </w:p>
    <w:p w14:paraId="5997CC1D" w14:textId="77777777" w:rsidR="00774AD5" w:rsidRPr="00D43BAD" w:rsidRDefault="00774AD5" w:rsidP="00D43BAD">
      <w:pPr>
        <w:tabs>
          <w:tab w:val="left" w:pos="2835"/>
        </w:tabs>
        <w:suppressAutoHyphens/>
        <w:spacing w:line="276" w:lineRule="auto"/>
        <w:jc w:val="both"/>
        <w:rPr>
          <w:rFonts w:ascii="Gadugi" w:hAnsi="Gadugi" w:cs="Shruti"/>
          <w:sz w:val="24"/>
          <w:szCs w:val="24"/>
        </w:rPr>
      </w:pPr>
    </w:p>
    <w:p w14:paraId="707E3D61" w14:textId="1A46495E" w:rsidR="00136155" w:rsidRPr="00D43BAD" w:rsidRDefault="00774AD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 xml:space="preserve">  </w:t>
      </w:r>
      <w:r w:rsidRPr="00D43BAD">
        <w:rPr>
          <w:rFonts w:ascii="Gadugi" w:hAnsi="Gadugi" w:cs="Shruti"/>
          <w:sz w:val="24"/>
          <w:szCs w:val="24"/>
        </w:rPr>
        <w:tab/>
        <w:t xml:space="preserve">2.4. </w:t>
      </w:r>
      <w:r w:rsidRPr="00D43BAD">
        <w:rPr>
          <w:rFonts w:ascii="Gadugi" w:hAnsi="Gadugi" w:cs="Shruti"/>
          <w:sz w:val="24"/>
          <w:szCs w:val="24"/>
        </w:rPr>
        <w:tab/>
        <w:t xml:space="preserve"> </w:t>
      </w:r>
      <w:r w:rsidR="00136155" w:rsidRPr="00D43BAD">
        <w:rPr>
          <w:rFonts w:ascii="Gadugi" w:hAnsi="Gadugi" w:cs="Shruti"/>
          <w:sz w:val="24"/>
          <w:szCs w:val="24"/>
        </w:rPr>
        <w:t>L</w:t>
      </w:r>
      <w:r w:rsidRPr="00D43BAD">
        <w:rPr>
          <w:rFonts w:ascii="Gadugi" w:hAnsi="Gadugi" w:cs="Shruti"/>
          <w:sz w:val="24"/>
          <w:szCs w:val="24"/>
        </w:rPr>
        <w:t>o primero</w:t>
      </w:r>
      <w:r w:rsidR="00136155" w:rsidRPr="00D43BAD">
        <w:rPr>
          <w:rFonts w:ascii="Gadugi" w:hAnsi="Gadugi" w:cs="Shruti"/>
          <w:sz w:val="24"/>
          <w:szCs w:val="24"/>
        </w:rPr>
        <w:t xml:space="preserve"> a definir es la existencia o no del contrato, primero, porque </w:t>
      </w:r>
      <w:r w:rsidR="007B6D05" w:rsidRPr="00D43BAD">
        <w:rPr>
          <w:rFonts w:ascii="Gadugi" w:hAnsi="Gadugi" w:cs="Shruti"/>
          <w:sz w:val="24"/>
          <w:szCs w:val="24"/>
        </w:rPr>
        <w:t>es la pretensión en la que se funda la demanda y sobre la cual se ha desarrollado el juicio</w:t>
      </w:r>
      <w:r w:rsidR="00621C1A" w:rsidRPr="00D43BAD">
        <w:rPr>
          <w:rFonts w:ascii="Gadugi" w:hAnsi="Gadugi" w:cs="Shruti"/>
          <w:sz w:val="24"/>
          <w:szCs w:val="24"/>
        </w:rPr>
        <w:t>, y segundo, porque de lo que sobre ello se decida</w:t>
      </w:r>
      <w:r w:rsidR="00E04DD5" w:rsidRPr="00D43BAD">
        <w:rPr>
          <w:rFonts w:ascii="Gadugi" w:hAnsi="Gadugi" w:cs="Shruti"/>
          <w:sz w:val="24"/>
          <w:szCs w:val="24"/>
        </w:rPr>
        <w:t>,</w:t>
      </w:r>
      <w:r w:rsidR="00621C1A" w:rsidRPr="00D43BAD">
        <w:rPr>
          <w:rFonts w:ascii="Gadugi" w:hAnsi="Gadugi" w:cs="Shruti"/>
          <w:sz w:val="24"/>
          <w:szCs w:val="24"/>
        </w:rPr>
        <w:t xml:space="preserve"> dependerá el estudio o no de las demás solicitudes. </w:t>
      </w:r>
    </w:p>
    <w:p w14:paraId="39D0160F" w14:textId="7EEB00BB" w:rsidR="007B6D05" w:rsidRPr="00D43BAD" w:rsidRDefault="007B6D05" w:rsidP="00D43BAD">
      <w:pPr>
        <w:tabs>
          <w:tab w:val="left" w:pos="2835"/>
          <w:tab w:val="left" w:pos="3402"/>
        </w:tabs>
        <w:suppressAutoHyphens/>
        <w:spacing w:line="276" w:lineRule="auto"/>
        <w:jc w:val="both"/>
        <w:rPr>
          <w:rFonts w:ascii="Gadugi" w:hAnsi="Gadugi" w:cs="Shruti"/>
          <w:sz w:val="24"/>
          <w:szCs w:val="24"/>
        </w:rPr>
      </w:pPr>
    </w:p>
    <w:p w14:paraId="18880A7C" w14:textId="0588927A" w:rsidR="007B6D05" w:rsidRPr="00D43BAD" w:rsidRDefault="007B6D0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Para ello</w:t>
      </w:r>
      <w:r w:rsidR="00F91C95" w:rsidRPr="00D43BAD">
        <w:rPr>
          <w:rFonts w:ascii="Gadugi" w:hAnsi="Gadugi" w:cs="Shruti"/>
          <w:sz w:val="24"/>
          <w:szCs w:val="24"/>
        </w:rPr>
        <w:t xml:space="preserve">, conviene presentar una síntesis de la tesis planteada en demanda, que </w:t>
      </w:r>
      <w:r w:rsidRPr="00D43BAD">
        <w:rPr>
          <w:rFonts w:ascii="Gadugi" w:hAnsi="Gadugi" w:cs="Shruti"/>
          <w:sz w:val="24"/>
          <w:szCs w:val="24"/>
        </w:rPr>
        <w:t xml:space="preserve">defiende </w:t>
      </w:r>
      <w:r w:rsidR="00F91C95" w:rsidRPr="00D43BAD">
        <w:rPr>
          <w:rFonts w:ascii="Gadugi" w:hAnsi="Gadugi" w:cs="Shruti"/>
          <w:sz w:val="24"/>
          <w:szCs w:val="24"/>
        </w:rPr>
        <w:t xml:space="preserve">la existencia </w:t>
      </w:r>
      <w:r w:rsidRPr="00D43BAD">
        <w:rPr>
          <w:rFonts w:ascii="Gadugi" w:hAnsi="Gadugi" w:cs="Shruti"/>
          <w:sz w:val="24"/>
          <w:szCs w:val="24"/>
        </w:rPr>
        <w:t>y la que hace lo contrario</w:t>
      </w:r>
      <w:r w:rsidR="00E04DD5" w:rsidRPr="00D43BAD">
        <w:rPr>
          <w:rFonts w:ascii="Gadugi" w:hAnsi="Gadugi" w:cs="Shruti"/>
          <w:sz w:val="24"/>
          <w:szCs w:val="24"/>
        </w:rPr>
        <w:t xml:space="preserve">, planteada por la acusada. </w:t>
      </w:r>
    </w:p>
    <w:p w14:paraId="6E794AF7" w14:textId="584F0284" w:rsidR="00721022" w:rsidRPr="00D43BAD" w:rsidRDefault="009A5B70"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2CB8FABB" w14:textId="6367F469" w:rsidR="00BB2B6D" w:rsidRPr="00D43BAD" w:rsidRDefault="00E04DD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663239" w:rsidRPr="00D43BAD">
        <w:rPr>
          <w:rFonts w:ascii="Gadugi" w:hAnsi="Gadugi" w:cs="Shruti"/>
          <w:sz w:val="24"/>
          <w:szCs w:val="24"/>
        </w:rPr>
        <w:t xml:space="preserve">2.4.1. </w:t>
      </w:r>
      <w:r w:rsidRPr="00D43BAD">
        <w:rPr>
          <w:rFonts w:ascii="Gadugi" w:hAnsi="Gadugi" w:cs="Shruti"/>
          <w:sz w:val="24"/>
          <w:szCs w:val="24"/>
        </w:rPr>
        <w:t xml:space="preserve">En la demanda, en los alegatos finales y en la apelación, </w:t>
      </w:r>
      <w:r w:rsidR="00180193" w:rsidRPr="00D43BAD">
        <w:rPr>
          <w:rFonts w:ascii="Gadugi" w:hAnsi="Gadugi" w:cs="Shruti"/>
          <w:sz w:val="24"/>
          <w:szCs w:val="24"/>
        </w:rPr>
        <w:t xml:space="preserve">la parte actora explica </w:t>
      </w:r>
      <w:r w:rsidR="006A0346" w:rsidRPr="00D43BAD">
        <w:rPr>
          <w:rFonts w:ascii="Gadugi" w:hAnsi="Gadugi" w:cs="Shruti"/>
          <w:sz w:val="24"/>
          <w:szCs w:val="24"/>
        </w:rPr>
        <w:t xml:space="preserve">que la venta de las acciones realizada por parte de Alianza Fiduciaria S.A., no podía suceder ni producir efectos, </w:t>
      </w:r>
      <w:r w:rsidR="00222325" w:rsidRPr="00D43BAD">
        <w:rPr>
          <w:rFonts w:ascii="Gadugi" w:hAnsi="Gadugi" w:cs="Shruti"/>
          <w:sz w:val="24"/>
          <w:szCs w:val="24"/>
        </w:rPr>
        <w:t xml:space="preserve">teniendo </w:t>
      </w:r>
      <w:r w:rsidR="006A0346" w:rsidRPr="00D43BAD">
        <w:rPr>
          <w:rFonts w:ascii="Gadugi" w:hAnsi="Gadugi" w:cs="Shruti"/>
          <w:sz w:val="24"/>
          <w:szCs w:val="24"/>
        </w:rPr>
        <w:t>en cuenta que el contrato de fiducia que la propició, incumple</w:t>
      </w:r>
      <w:r w:rsidR="00364A00" w:rsidRPr="00D43BAD">
        <w:rPr>
          <w:rFonts w:ascii="Gadugi" w:hAnsi="Gadugi" w:cs="Shruti"/>
          <w:sz w:val="24"/>
          <w:szCs w:val="24"/>
        </w:rPr>
        <w:t xml:space="preserve"> con</w:t>
      </w:r>
      <w:r w:rsidR="006A0346" w:rsidRPr="00D43BAD">
        <w:rPr>
          <w:rFonts w:ascii="Gadugi" w:hAnsi="Gadugi" w:cs="Shruti"/>
          <w:sz w:val="24"/>
          <w:szCs w:val="24"/>
        </w:rPr>
        <w:t xml:space="preserve"> </w:t>
      </w:r>
      <w:r w:rsidR="008C3492" w:rsidRPr="00D43BAD">
        <w:rPr>
          <w:rFonts w:ascii="Gadugi" w:hAnsi="Gadugi" w:cs="Shruti"/>
          <w:sz w:val="24"/>
          <w:szCs w:val="24"/>
        </w:rPr>
        <w:t xml:space="preserve">solemnidades </w:t>
      </w:r>
      <w:r w:rsidR="006A0346" w:rsidRPr="00D43BAD">
        <w:rPr>
          <w:rFonts w:ascii="Gadugi" w:hAnsi="Gadugi" w:cs="Shruti"/>
          <w:sz w:val="24"/>
          <w:szCs w:val="24"/>
        </w:rPr>
        <w:t>que lo hacen inexistente</w:t>
      </w:r>
      <w:r w:rsidR="008C3492" w:rsidRPr="00D43BAD">
        <w:rPr>
          <w:rFonts w:ascii="Gadugi" w:hAnsi="Gadugi" w:cs="Shruti"/>
          <w:sz w:val="24"/>
          <w:szCs w:val="24"/>
        </w:rPr>
        <w:t>;</w:t>
      </w:r>
      <w:r w:rsidR="006A0346" w:rsidRPr="00D43BAD">
        <w:rPr>
          <w:rFonts w:ascii="Gadugi" w:hAnsi="Gadugi" w:cs="Shruti"/>
          <w:sz w:val="24"/>
          <w:szCs w:val="24"/>
        </w:rPr>
        <w:t xml:space="preserve"> </w:t>
      </w:r>
      <w:r w:rsidR="00364A00" w:rsidRPr="00D43BAD">
        <w:rPr>
          <w:rFonts w:ascii="Gadugi" w:hAnsi="Gadugi" w:cs="Shruti"/>
          <w:sz w:val="24"/>
          <w:szCs w:val="24"/>
        </w:rPr>
        <w:t>e</w:t>
      </w:r>
      <w:r w:rsidR="006A0346" w:rsidRPr="00D43BAD">
        <w:rPr>
          <w:rFonts w:ascii="Gadugi" w:hAnsi="Gadugi" w:cs="Shruti"/>
          <w:sz w:val="24"/>
          <w:szCs w:val="24"/>
        </w:rPr>
        <w:t>n esencia</w:t>
      </w:r>
      <w:r w:rsidR="000103F2" w:rsidRPr="00D43BAD">
        <w:rPr>
          <w:rFonts w:ascii="Gadugi" w:hAnsi="Gadugi" w:cs="Shruti"/>
          <w:sz w:val="24"/>
          <w:szCs w:val="24"/>
        </w:rPr>
        <w:t>, se plantea que la tradición de las acciones se hizo de manera equivocada, si bien, se omitió inscribir correctamente la enajenación en el libro de registro de acciones</w:t>
      </w:r>
      <w:r w:rsidR="00BB2B6D" w:rsidRPr="00D43BAD">
        <w:rPr>
          <w:rFonts w:ascii="Gadugi" w:hAnsi="Gadugi" w:cs="Shruti"/>
          <w:sz w:val="24"/>
          <w:szCs w:val="24"/>
        </w:rPr>
        <w:t xml:space="preserve">, contrariando así los preceptos del artículo 406 </w:t>
      </w:r>
      <w:r w:rsidR="00222325" w:rsidRPr="00D43BAD">
        <w:rPr>
          <w:rFonts w:ascii="Gadugi" w:hAnsi="Gadugi" w:cs="Shruti"/>
          <w:sz w:val="24"/>
          <w:szCs w:val="24"/>
        </w:rPr>
        <w:t xml:space="preserve">citado. </w:t>
      </w:r>
    </w:p>
    <w:p w14:paraId="78A50318" w14:textId="3813955B" w:rsidR="00DB09DC" w:rsidRPr="00D43BAD" w:rsidRDefault="00DB09DC" w:rsidP="00D43BAD">
      <w:pPr>
        <w:tabs>
          <w:tab w:val="left" w:pos="2835"/>
          <w:tab w:val="left" w:pos="3402"/>
        </w:tabs>
        <w:suppressAutoHyphens/>
        <w:spacing w:line="276" w:lineRule="auto"/>
        <w:jc w:val="both"/>
        <w:rPr>
          <w:rFonts w:ascii="Gadugi" w:hAnsi="Gadugi" w:cs="Shruti"/>
          <w:sz w:val="24"/>
          <w:szCs w:val="24"/>
        </w:rPr>
      </w:pPr>
    </w:p>
    <w:p w14:paraId="62558B9D" w14:textId="261852C9" w:rsidR="007E2738" w:rsidRPr="00D43BAD" w:rsidRDefault="007E2738"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Con fundamento en ello, y en que</w:t>
      </w:r>
      <w:r w:rsidR="005D3079" w:rsidRPr="00D43BAD">
        <w:rPr>
          <w:rFonts w:ascii="Gadugi" w:hAnsi="Gadugi" w:cs="Shruti"/>
          <w:sz w:val="24"/>
          <w:szCs w:val="24"/>
        </w:rPr>
        <w:t>, supuestamente,</w:t>
      </w:r>
      <w:r w:rsidRPr="00D43BAD">
        <w:rPr>
          <w:rFonts w:ascii="Gadugi" w:hAnsi="Gadugi" w:cs="Shruti"/>
          <w:sz w:val="24"/>
          <w:szCs w:val="24"/>
        </w:rPr>
        <w:t xml:space="preserve"> no aparece registro sobre la transferencia de dominio en el libro de registro de acciones, se afincan para sostener que la transferencia</w:t>
      </w:r>
      <w:r w:rsidR="00441EC7" w:rsidRPr="00D43BAD">
        <w:rPr>
          <w:rFonts w:ascii="Gadugi" w:hAnsi="Gadugi" w:cs="Shruti"/>
          <w:sz w:val="24"/>
          <w:szCs w:val="24"/>
        </w:rPr>
        <w:t>, si bien se mencionó en el contrato fiduciario,</w:t>
      </w:r>
      <w:r w:rsidRPr="00D43BAD">
        <w:rPr>
          <w:rFonts w:ascii="Gadugi" w:hAnsi="Gadugi" w:cs="Shruti"/>
          <w:sz w:val="24"/>
          <w:szCs w:val="24"/>
        </w:rPr>
        <w:t xml:space="preserve"> </w:t>
      </w:r>
      <w:r w:rsidR="00441EC7" w:rsidRPr="00D43BAD">
        <w:rPr>
          <w:rFonts w:ascii="Gadugi" w:hAnsi="Gadugi" w:cs="Shruti"/>
          <w:sz w:val="24"/>
          <w:szCs w:val="24"/>
        </w:rPr>
        <w:t xml:space="preserve">por su falta de protocolización, </w:t>
      </w:r>
      <w:r w:rsidRPr="00D43BAD">
        <w:rPr>
          <w:rFonts w:ascii="Gadugi" w:hAnsi="Gadugi" w:cs="Shruti"/>
          <w:sz w:val="24"/>
          <w:szCs w:val="24"/>
        </w:rPr>
        <w:t>nunca</w:t>
      </w:r>
      <w:r w:rsidR="00441EC7" w:rsidRPr="00D43BAD">
        <w:rPr>
          <w:rFonts w:ascii="Gadugi" w:hAnsi="Gadugi" w:cs="Shruti"/>
          <w:sz w:val="24"/>
          <w:szCs w:val="24"/>
        </w:rPr>
        <w:t xml:space="preserve"> se </w:t>
      </w:r>
      <w:r w:rsidR="00940012" w:rsidRPr="00D43BAD">
        <w:rPr>
          <w:rFonts w:ascii="Gadugi" w:hAnsi="Gadugi" w:cs="Shruti"/>
          <w:sz w:val="24"/>
          <w:szCs w:val="24"/>
        </w:rPr>
        <w:t>consolidó</w:t>
      </w:r>
      <w:r w:rsidRPr="00D43BAD">
        <w:rPr>
          <w:rFonts w:ascii="Gadugi" w:hAnsi="Gadugi" w:cs="Shruti"/>
          <w:sz w:val="24"/>
          <w:szCs w:val="24"/>
        </w:rPr>
        <w:t>.</w:t>
      </w:r>
    </w:p>
    <w:p w14:paraId="2C469D03" w14:textId="2C023A35" w:rsidR="007E2738" w:rsidRPr="00D43BAD" w:rsidRDefault="007E2738" w:rsidP="00D43BAD">
      <w:pPr>
        <w:tabs>
          <w:tab w:val="left" w:pos="2835"/>
          <w:tab w:val="left" w:pos="3402"/>
        </w:tabs>
        <w:suppressAutoHyphens/>
        <w:spacing w:line="276" w:lineRule="auto"/>
        <w:jc w:val="both"/>
        <w:rPr>
          <w:rFonts w:ascii="Gadugi" w:hAnsi="Gadugi" w:cs="Shruti"/>
          <w:sz w:val="24"/>
          <w:szCs w:val="24"/>
        </w:rPr>
      </w:pPr>
    </w:p>
    <w:p w14:paraId="7501ECEE" w14:textId="2F9F3D3C" w:rsidR="00441EC7" w:rsidRPr="00D43BAD" w:rsidRDefault="007E2738"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EA3E06" w:rsidRPr="00D43BAD">
        <w:rPr>
          <w:rFonts w:ascii="Gadugi" w:hAnsi="Gadugi" w:cs="Shruti"/>
          <w:sz w:val="24"/>
          <w:szCs w:val="24"/>
        </w:rPr>
        <w:t>E</w:t>
      </w:r>
      <w:r w:rsidRPr="00D43BAD">
        <w:rPr>
          <w:rFonts w:ascii="Gadugi" w:hAnsi="Gadugi" w:cs="Shruti"/>
          <w:sz w:val="24"/>
          <w:szCs w:val="24"/>
        </w:rPr>
        <w:t xml:space="preserve">sa </w:t>
      </w:r>
      <w:r w:rsidR="00ED2976" w:rsidRPr="00D43BAD">
        <w:rPr>
          <w:rFonts w:ascii="Gadugi" w:hAnsi="Gadugi" w:cs="Shruti"/>
          <w:sz w:val="24"/>
          <w:szCs w:val="24"/>
        </w:rPr>
        <w:t>posición</w:t>
      </w:r>
      <w:r w:rsidRPr="00D43BAD">
        <w:rPr>
          <w:rFonts w:ascii="Gadugi" w:hAnsi="Gadugi" w:cs="Shruti"/>
          <w:sz w:val="24"/>
          <w:szCs w:val="24"/>
        </w:rPr>
        <w:t xml:space="preserve"> la avala la sentencia de primer grado en la que, por demás, se agrega que</w:t>
      </w:r>
      <w:r w:rsidR="00721022" w:rsidRPr="00D43BAD">
        <w:rPr>
          <w:rFonts w:ascii="Gadugi" w:hAnsi="Gadugi" w:cs="Shruti"/>
          <w:sz w:val="24"/>
          <w:szCs w:val="24"/>
        </w:rPr>
        <w:t xml:space="preserve"> el contrato de fiducia </w:t>
      </w:r>
      <w:r w:rsidR="00441EC7" w:rsidRPr="00D43BAD">
        <w:rPr>
          <w:rFonts w:ascii="Gadugi" w:hAnsi="Gadugi" w:cs="Shruti"/>
          <w:sz w:val="24"/>
          <w:szCs w:val="24"/>
        </w:rPr>
        <w:t>es inexistente</w:t>
      </w:r>
      <w:r w:rsidR="00721022" w:rsidRPr="00D43BAD">
        <w:rPr>
          <w:rFonts w:ascii="Gadugi" w:hAnsi="Gadugi" w:cs="Shruti"/>
          <w:sz w:val="24"/>
          <w:szCs w:val="24"/>
        </w:rPr>
        <w:t xml:space="preserve">, comoquiera que no </w:t>
      </w:r>
      <w:r w:rsidR="00441EC7" w:rsidRPr="00D43BAD">
        <w:rPr>
          <w:rFonts w:ascii="Gadugi" w:hAnsi="Gadugi" w:cs="Shruti"/>
          <w:sz w:val="24"/>
          <w:szCs w:val="24"/>
        </w:rPr>
        <w:t xml:space="preserve">se ve </w:t>
      </w:r>
      <w:r w:rsidR="00ED7982" w:rsidRPr="00D43BAD">
        <w:rPr>
          <w:rFonts w:ascii="Gadugi" w:hAnsi="Gadugi" w:cs="Shruti"/>
          <w:sz w:val="24"/>
          <w:szCs w:val="24"/>
        </w:rPr>
        <w:t xml:space="preserve">en el expediente la inscripción del contrato de fiducia en el </w:t>
      </w:r>
      <w:r w:rsidR="00EA3E06" w:rsidRPr="00D43BAD">
        <w:rPr>
          <w:rFonts w:ascii="Gadugi" w:hAnsi="Gadugi" w:cs="Shruti"/>
          <w:sz w:val="24"/>
          <w:szCs w:val="24"/>
        </w:rPr>
        <w:t xml:space="preserve">registro mercantil </w:t>
      </w:r>
      <w:r w:rsidR="000F2080" w:rsidRPr="00D43BAD">
        <w:rPr>
          <w:rFonts w:ascii="Gadugi" w:hAnsi="Gadugi" w:cs="Shruti"/>
          <w:sz w:val="24"/>
          <w:szCs w:val="24"/>
        </w:rPr>
        <w:t xml:space="preserve">de la Cámara de Comercio con jurisdicción en el domicilio del fiduciante, </w:t>
      </w:r>
      <w:r w:rsidR="00441EC7" w:rsidRPr="00D43BAD">
        <w:rPr>
          <w:rFonts w:ascii="Gadugi" w:hAnsi="Gadugi" w:cs="Shruti"/>
          <w:sz w:val="24"/>
          <w:szCs w:val="24"/>
        </w:rPr>
        <w:t xml:space="preserve">desconociendo lo reglado en el artículo 16 de la Ley 35 de 1993, vigente para la época en que se realizó. </w:t>
      </w:r>
    </w:p>
    <w:p w14:paraId="178FD299" w14:textId="038EF9BF" w:rsidR="008C3492" w:rsidRPr="00D43BAD" w:rsidRDefault="008C3492" w:rsidP="00D43BAD">
      <w:pPr>
        <w:tabs>
          <w:tab w:val="left" w:pos="2835"/>
          <w:tab w:val="left" w:pos="3402"/>
        </w:tabs>
        <w:suppressAutoHyphens/>
        <w:spacing w:line="276" w:lineRule="auto"/>
        <w:jc w:val="both"/>
        <w:rPr>
          <w:rFonts w:ascii="Gadugi" w:hAnsi="Gadugi" w:cs="Shruti"/>
          <w:sz w:val="24"/>
          <w:szCs w:val="24"/>
        </w:rPr>
      </w:pPr>
    </w:p>
    <w:p w14:paraId="1F0FD6C7" w14:textId="0AFCE3CB" w:rsidR="008C3492" w:rsidRPr="00D43BAD" w:rsidRDefault="008C3492"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lastRenderedPageBreak/>
        <w:tab/>
        <w:t>Y</w:t>
      </w:r>
      <w:r w:rsidR="00441EC7" w:rsidRPr="00D43BAD">
        <w:rPr>
          <w:rFonts w:ascii="Gadugi" w:hAnsi="Gadugi" w:cs="Shruti"/>
          <w:sz w:val="24"/>
          <w:szCs w:val="24"/>
        </w:rPr>
        <w:t>, finalmente, esa idea, la de la inexistencia,</w:t>
      </w:r>
      <w:r w:rsidRPr="00D43BAD">
        <w:rPr>
          <w:rFonts w:ascii="Gadugi" w:hAnsi="Gadugi" w:cs="Shruti"/>
          <w:sz w:val="24"/>
          <w:szCs w:val="24"/>
        </w:rPr>
        <w:t xml:space="preserve"> también halla respaldo en el laudo arbitral</w:t>
      </w:r>
      <w:r w:rsidR="005D3079" w:rsidRPr="00D43BAD">
        <w:rPr>
          <w:rStyle w:val="Refdenotaalpie"/>
          <w:rFonts w:ascii="Gadugi" w:hAnsi="Gadugi" w:cs="Shruti"/>
          <w:sz w:val="24"/>
          <w:szCs w:val="24"/>
        </w:rPr>
        <w:footnoteReference w:id="20"/>
      </w:r>
      <w:r w:rsidRPr="00D43BAD">
        <w:rPr>
          <w:rFonts w:ascii="Gadugi" w:hAnsi="Gadugi" w:cs="Shruti"/>
          <w:sz w:val="24"/>
          <w:szCs w:val="24"/>
        </w:rPr>
        <w:t xml:space="preserve"> que fue traído como prueba trasladada a este juicio</w:t>
      </w:r>
      <w:r w:rsidR="00441EC7" w:rsidRPr="00D43BAD">
        <w:rPr>
          <w:rFonts w:ascii="Gadugi" w:hAnsi="Gadugi" w:cs="Shruti"/>
          <w:sz w:val="24"/>
          <w:szCs w:val="24"/>
        </w:rPr>
        <w:t xml:space="preserve">, </w:t>
      </w:r>
      <w:r w:rsidR="00940012" w:rsidRPr="00D43BAD">
        <w:rPr>
          <w:rFonts w:ascii="Gadugi" w:hAnsi="Gadugi" w:cs="Shruti"/>
          <w:sz w:val="24"/>
          <w:szCs w:val="24"/>
        </w:rPr>
        <w:t>donde</w:t>
      </w:r>
      <w:r w:rsidR="00441EC7" w:rsidRPr="00D43BAD">
        <w:rPr>
          <w:rFonts w:ascii="Gadugi" w:hAnsi="Gadugi" w:cs="Shruti"/>
          <w:sz w:val="24"/>
          <w:szCs w:val="24"/>
        </w:rPr>
        <w:t xml:space="preserve"> </w:t>
      </w:r>
      <w:r w:rsidR="00F31EF6" w:rsidRPr="00D43BAD">
        <w:rPr>
          <w:rFonts w:ascii="Gadugi" w:hAnsi="Gadugi" w:cs="Shruti"/>
          <w:sz w:val="24"/>
          <w:szCs w:val="24"/>
        </w:rPr>
        <w:t>se sostiene que</w:t>
      </w:r>
      <w:r w:rsidR="00940012" w:rsidRPr="00D43BAD">
        <w:rPr>
          <w:rFonts w:ascii="Gadugi" w:hAnsi="Gadugi" w:cs="Shruti"/>
          <w:sz w:val="24"/>
          <w:szCs w:val="24"/>
        </w:rPr>
        <w:t>,</w:t>
      </w:r>
      <w:r w:rsidR="00F31EF6" w:rsidRPr="00D43BAD">
        <w:rPr>
          <w:rFonts w:ascii="Gadugi" w:hAnsi="Gadugi" w:cs="Shruti"/>
          <w:sz w:val="24"/>
          <w:szCs w:val="24"/>
        </w:rPr>
        <w:t xml:space="preserve"> la mera</w:t>
      </w:r>
      <w:r w:rsidR="00940012" w:rsidRPr="00D43BAD">
        <w:rPr>
          <w:rFonts w:ascii="Gadugi" w:hAnsi="Gadugi" w:cs="Shruti"/>
          <w:sz w:val="24"/>
          <w:szCs w:val="24"/>
        </w:rPr>
        <w:t xml:space="preserve"> inscripción, </w:t>
      </w:r>
      <w:r w:rsidR="00F31EF6" w:rsidRPr="00D43BAD">
        <w:rPr>
          <w:rFonts w:ascii="Gadugi" w:hAnsi="Gadugi" w:cs="Shruti"/>
          <w:sz w:val="24"/>
          <w:szCs w:val="24"/>
        </w:rPr>
        <w:t xml:space="preserve">mal hecha como </w:t>
      </w:r>
      <w:r w:rsidR="005D3079" w:rsidRPr="00D43BAD">
        <w:rPr>
          <w:rFonts w:ascii="Gadugi" w:hAnsi="Gadugi" w:cs="Shruti"/>
          <w:sz w:val="24"/>
          <w:szCs w:val="24"/>
        </w:rPr>
        <w:t xml:space="preserve">se dijo que </w:t>
      </w:r>
      <w:r w:rsidR="00F31EF6" w:rsidRPr="00D43BAD">
        <w:rPr>
          <w:rFonts w:ascii="Gadugi" w:hAnsi="Gadugi" w:cs="Shruti"/>
          <w:sz w:val="24"/>
          <w:szCs w:val="24"/>
        </w:rPr>
        <w:t>quedó, en el libro de registro de acciones de Inversiones Médicas</w:t>
      </w:r>
      <w:r w:rsidR="00940012" w:rsidRPr="00D43BAD">
        <w:rPr>
          <w:rFonts w:ascii="Gadugi" w:hAnsi="Gadugi" w:cs="Shruti"/>
          <w:sz w:val="24"/>
          <w:szCs w:val="24"/>
        </w:rPr>
        <w:t xml:space="preserve"> S.A.</w:t>
      </w:r>
      <w:r w:rsidR="00F31EF6" w:rsidRPr="00D43BAD">
        <w:rPr>
          <w:rFonts w:ascii="Gadugi" w:hAnsi="Gadugi" w:cs="Shruti"/>
          <w:sz w:val="24"/>
          <w:szCs w:val="24"/>
        </w:rPr>
        <w:t xml:space="preserve">, es insuficiente para considerar protocolizada la transferencia del </w:t>
      </w:r>
      <w:r w:rsidR="00940012" w:rsidRPr="00D43BAD">
        <w:rPr>
          <w:rFonts w:ascii="Gadugi" w:hAnsi="Gadugi" w:cs="Shruti"/>
          <w:sz w:val="24"/>
          <w:szCs w:val="24"/>
        </w:rPr>
        <w:t>dominio</w:t>
      </w:r>
      <w:r w:rsidR="00F31EF6" w:rsidRPr="00D43BAD">
        <w:rPr>
          <w:rFonts w:ascii="Gadugi" w:hAnsi="Gadugi" w:cs="Shruti"/>
          <w:sz w:val="24"/>
          <w:szCs w:val="24"/>
        </w:rPr>
        <w:t xml:space="preserve"> de las acciones </w:t>
      </w:r>
      <w:r w:rsidR="00940012" w:rsidRPr="00D43BAD">
        <w:rPr>
          <w:rFonts w:ascii="Gadugi" w:hAnsi="Gadugi" w:cs="Shruti"/>
          <w:sz w:val="24"/>
          <w:szCs w:val="24"/>
        </w:rPr>
        <w:t xml:space="preserve">en favor de la sociedad fiduciaria, quien por negligencia, permitió irregularidades en la </w:t>
      </w:r>
      <w:r w:rsidR="00364FC5" w:rsidRPr="00D43BAD">
        <w:rPr>
          <w:rFonts w:ascii="Gadugi" w:hAnsi="Gadugi" w:cs="Shruti"/>
          <w:sz w:val="24"/>
          <w:szCs w:val="24"/>
        </w:rPr>
        <w:t>formalización</w:t>
      </w:r>
      <w:r w:rsidR="00940012" w:rsidRPr="00D43BAD">
        <w:rPr>
          <w:rFonts w:ascii="Gadugi" w:hAnsi="Gadugi" w:cs="Shruti"/>
          <w:sz w:val="24"/>
          <w:szCs w:val="24"/>
        </w:rPr>
        <w:t xml:space="preserve"> del contrato, que lo hacen inexistente.</w:t>
      </w:r>
    </w:p>
    <w:p w14:paraId="12C44FA9" w14:textId="1030C51D" w:rsidR="00940012" w:rsidRPr="00D43BAD" w:rsidRDefault="00940012" w:rsidP="00D43BAD">
      <w:pPr>
        <w:tabs>
          <w:tab w:val="left" w:pos="2835"/>
          <w:tab w:val="left" w:pos="3402"/>
        </w:tabs>
        <w:suppressAutoHyphens/>
        <w:spacing w:line="276" w:lineRule="auto"/>
        <w:jc w:val="both"/>
        <w:rPr>
          <w:rFonts w:ascii="Gadugi" w:hAnsi="Gadugi" w:cs="Shruti"/>
          <w:sz w:val="24"/>
          <w:szCs w:val="24"/>
        </w:rPr>
      </w:pPr>
    </w:p>
    <w:p w14:paraId="3A069E49" w14:textId="6E1FA47E" w:rsidR="00940012" w:rsidRPr="00D43BAD" w:rsidRDefault="00940012"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2.4.2. </w:t>
      </w:r>
      <w:r w:rsidR="00EA3E06" w:rsidRPr="00D43BAD">
        <w:rPr>
          <w:rFonts w:ascii="Gadugi" w:hAnsi="Gadugi" w:cs="Shruti"/>
          <w:sz w:val="24"/>
          <w:szCs w:val="24"/>
        </w:rPr>
        <w:t>P</w:t>
      </w:r>
      <w:r w:rsidRPr="00D43BAD">
        <w:rPr>
          <w:rFonts w:ascii="Gadugi" w:hAnsi="Gadugi" w:cs="Shruti"/>
          <w:sz w:val="24"/>
          <w:szCs w:val="24"/>
        </w:rPr>
        <w:t>or su parte, Alianza Fiduciaria S.A., en la apelación, aseguró que el contrato s</w:t>
      </w:r>
      <w:r w:rsidR="00EA3E06" w:rsidRPr="00D43BAD">
        <w:rPr>
          <w:rFonts w:ascii="Gadugi" w:hAnsi="Gadugi" w:cs="Shruti"/>
          <w:sz w:val="24"/>
          <w:szCs w:val="24"/>
        </w:rPr>
        <w:t>í</w:t>
      </w:r>
      <w:r w:rsidRPr="00D43BAD">
        <w:rPr>
          <w:rFonts w:ascii="Gadugi" w:hAnsi="Gadugi" w:cs="Shruti"/>
          <w:sz w:val="24"/>
          <w:szCs w:val="24"/>
        </w:rPr>
        <w:t xml:space="preserve"> existe y se cumplió, por las razones que a continuación</w:t>
      </w:r>
      <w:r w:rsidR="00EA3E06" w:rsidRPr="00D43BAD">
        <w:rPr>
          <w:rFonts w:ascii="Gadugi" w:hAnsi="Gadugi" w:cs="Shruti"/>
          <w:sz w:val="24"/>
          <w:szCs w:val="24"/>
        </w:rPr>
        <w:t xml:space="preserve"> se resumen:</w:t>
      </w:r>
    </w:p>
    <w:p w14:paraId="15553E54" w14:textId="0244D2C5" w:rsidR="00D91B36" w:rsidRPr="00D43BAD" w:rsidRDefault="00D91B36" w:rsidP="00D43BAD">
      <w:pPr>
        <w:tabs>
          <w:tab w:val="left" w:pos="2835"/>
          <w:tab w:val="left" w:pos="3402"/>
        </w:tabs>
        <w:suppressAutoHyphens/>
        <w:spacing w:line="276" w:lineRule="auto"/>
        <w:jc w:val="both"/>
        <w:rPr>
          <w:rFonts w:ascii="Gadugi" w:hAnsi="Gadugi" w:cs="Shruti"/>
          <w:sz w:val="24"/>
          <w:szCs w:val="24"/>
        </w:rPr>
      </w:pPr>
    </w:p>
    <w:p w14:paraId="2556702A" w14:textId="1BA805CD" w:rsidR="00D91B36" w:rsidRPr="00D43BAD" w:rsidRDefault="00D91B36"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D962BC" w:rsidRPr="00D43BAD">
        <w:rPr>
          <w:rFonts w:ascii="Gadugi" w:hAnsi="Gadugi" w:cs="Shruti"/>
          <w:sz w:val="24"/>
          <w:szCs w:val="24"/>
        </w:rPr>
        <w:t xml:space="preserve">(i) Si bien el contrato de fiducia no se inscribió en el registro mercantil del domicilio del fiduciante, ello no deviene en la inexistencia, en el entendido de que el pacto se celebró por escrito, en documento privado y contó con los elementos esenciales de todo contrato, esto es, capacidad, consentimiento, objeto y causa lícita. </w:t>
      </w:r>
    </w:p>
    <w:p w14:paraId="4735BDD2" w14:textId="75FC011E" w:rsidR="00D962BC" w:rsidRPr="00D43BAD" w:rsidRDefault="00D962BC" w:rsidP="00D43BAD">
      <w:pPr>
        <w:tabs>
          <w:tab w:val="left" w:pos="2835"/>
          <w:tab w:val="left" w:pos="3402"/>
        </w:tabs>
        <w:suppressAutoHyphens/>
        <w:spacing w:line="276" w:lineRule="auto"/>
        <w:jc w:val="both"/>
        <w:rPr>
          <w:rFonts w:ascii="Gadugi" w:hAnsi="Gadugi" w:cs="Shruti"/>
          <w:sz w:val="24"/>
          <w:szCs w:val="24"/>
        </w:rPr>
      </w:pPr>
    </w:p>
    <w:p w14:paraId="5FC3D1AF" w14:textId="52BBE09A" w:rsidR="00D962BC" w:rsidRPr="00D43BAD" w:rsidRDefault="00D962BC"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(ii) </w:t>
      </w:r>
      <w:r w:rsidR="00C133B7" w:rsidRPr="00D43BAD">
        <w:rPr>
          <w:rFonts w:ascii="Gadugi" w:hAnsi="Gadugi" w:cs="Shruti"/>
          <w:sz w:val="24"/>
          <w:szCs w:val="24"/>
        </w:rPr>
        <w:t>Si en la más generosa de las hipótesis se aceptara que el contrato debía inscribirse en el registro mercantil, la única consecuencia que podría derivarse de ello, sería la inoponibilidad respecto de los terceros afectados por el desconocimiento de</w:t>
      </w:r>
      <w:r w:rsidR="00077DF2" w:rsidRPr="00D43BAD">
        <w:rPr>
          <w:rFonts w:ascii="Gadugi" w:hAnsi="Gadugi" w:cs="Shruti"/>
          <w:sz w:val="24"/>
          <w:szCs w:val="24"/>
        </w:rPr>
        <w:t xml:space="preserve"> un</w:t>
      </w:r>
      <w:r w:rsidR="00C133B7" w:rsidRPr="00D43BAD">
        <w:rPr>
          <w:rFonts w:ascii="Gadugi" w:hAnsi="Gadugi" w:cs="Shruti"/>
          <w:sz w:val="24"/>
          <w:szCs w:val="24"/>
        </w:rPr>
        <w:t xml:space="preserve"> negocio del que debieron ser informados, quienes, entonces, serían los únicos legitimados para plantear la discusión, no como aquí, que lo hacen las partes que suscribieron el convenio. </w:t>
      </w:r>
    </w:p>
    <w:p w14:paraId="2BA06008" w14:textId="4290E939" w:rsidR="00953CBA" w:rsidRPr="00D43BAD" w:rsidRDefault="00953CBA" w:rsidP="00D43BAD">
      <w:pPr>
        <w:tabs>
          <w:tab w:val="left" w:pos="2835"/>
          <w:tab w:val="left" w:pos="3402"/>
        </w:tabs>
        <w:suppressAutoHyphens/>
        <w:spacing w:line="276" w:lineRule="auto"/>
        <w:jc w:val="both"/>
        <w:rPr>
          <w:rFonts w:ascii="Gadugi" w:hAnsi="Gadugi" w:cs="Shruti"/>
          <w:sz w:val="24"/>
          <w:szCs w:val="24"/>
        </w:rPr>
      </w:pPr>
    </w:p>
    <w:p w14:paraId="4C501323" w14:textId="057E2478" w:rsidR="00953CBA" w:rsidRPr="00D43BAD" w:rsidRDefault="00953CBA"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(iii) El artículo</w:t>
      </w:r>
      <w:r w:rsidR="00FB2173" w:rsidRPr="00D43BAD">
        <w:rPr>
          <w:rFonts w:ascii="Gadugi" w:hAnsi="Gadugi" w:cs="Shruti"/>
          <w:sz w:val="24"/>
          <w:szCs w:val="24"/>
        </w:rPr>
        <w:t xml:space="preserve"> 1760 del Código Civil, que le sirvió de pábulo al juez de primer grado para reprochar la falta de registro del contrato de fiducia en el registro mercantil de la cámara de comercio, y derivar de ahí su inexistencia, es aplicable solo para los contratos solemnes, como la hipoteca y la compraventa, no para la fiducia mercantil</w:t>
      </w:r>
      <w:r w:rsidR="00364FC5" w:rsidRPr="00D43BAD">
        <w:rPr>
          <w:rFonts w:ascii="Gadugi" w:hAnsi="Gadugi" w:cs="Shruti"/>
          <w:sz w:val="24"/>
          <w:szCs w:val="24"/>
        </w:rPr>
        <w:t>,</w:t>
      </w:r>
      <w:r w:rsidR="00FB2173" w:rsidRPr="00D43BAD">
        <w:rPr>
          <w:rFonts w:ascii="Gadugi" w:hAnsi="Gadugi" w:cs="Shruti"/>
          <w:sz w:val="24"/>
          <w:szCs w:val="24"/>
        </w:rPr>
        <w:t xml:space="preserve"> cuya existencia no está condicionada a que se eleve a escritura pública. </w:t>
      </w:r>
    </w:p>
    <w:p w14:paraId="59F25E5B" w14:textId="1CCA986C" w:rsidR="00487DEB" w:rsidRPr="00D43BAD" w:rsidRDefault="00487DEB" w:rsidP="00D43BAD">
      <w:pPr>
        <w:tabs>
          <w:tab w:val="left" w:pos="2835"/>
          <w:tab w:val="left" w:pos="3402"/>
        </w:tabs>
        <w:suppressAutoHyphens/>
        <w:spacing w:line="276" w:lineRule="auto"/>
        <w:jc w:val="both"/>
        <w:rPr>
          <w:rFonts w:ascii="Gadugi" w:hAnsi="Gadugi" w:cs="Shruti"/>
          <w:sz w:val="24"/>
          <w:szCs w:val="24"/>
        </w:rPr>
      </w:pPr>
    </w:p>
    <w:p w14:paraId="23462FD8" w14:textId="2748ECEE" w:rsidR="00487DEB" w:rsidRPr="00D43BAD" w:rsidRDefault="00487DE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(iv) El patrimonio autónomo “La Vegas Jaramillo”, se constituyó en debida forma pues, al tenor de lo reglado en el artículo 406 del Código de Comercio, a) existió un acuerdo de voluntades cuyo objeto consistía en la transferencia de acciones</w:t>
      </w:r>
      <w:r w:rsidR="007F3B80" w:rsidRPr="00D43BAD">
        <w:rPr>
          <w:rFonts w:ascii="Gadugi" w:hAnsi="Gadugi" w:cs="Shruti"/>
          <w:sz w:val="24"/>
          <w:szCs w:val="24"/>
        </w:rPr>
        <w:t>, que quedó inscrito en el contrato de fiducia</w:t>
      </w:r>
      <w:r w:rsidRPr="00D43BAD">
        <w:rPr>
          <w:rFonts w:ascii="Gadugi" w:hAnsi="Gadugi" w:cs="Shruti"/>
          <w:sz w:val="24"/>
          <w:szCs w:val="24"/>
        </w:rPr>
        <w:t xml:space="preserve">; b) la enajenación se inscribió en el libro de acciones de </w:t>
      </w:r>
      <w:proofErr w:type="spellStart"/>
      <w:r w:rsidRPr="00D43BAD">
        <w:rPr>
          <w:rFonts w:ascii="Gadugi" w:hAnsi="Gadugi" w:cs="Shruti"/>
          <w:sz w:val="24"/>
          <w:szCs w:val="24"/>
        </w:rPr>
        <w:t>Invermédicas</w:t>
      </w:r>
      <w:proofErr w:type="spellEnd"/>
      <w:r w:rsidRPr="00D43BAD">
        <w:rPr>
          <w:rFonts w:ascii="Gadugi" w:hAnsi="Gadugi" w:cs="Shruti"/>
          <w:sz w:val="24"/>
          <w:szCs w:val="24"/>
        </w:rPr>
        <w:t xml:space="preserve"> S.A.,</w:t>
      </w:r>
      <w:r w:rsidR="007F3B80" w:rsidRPr="00D43BAD">
        <w:rPr>
          <w:rFonts w:ascii="Gadugi" w:hAnsi="Gadugi" w:cs="Shruti"/>
          <w:sz w:val="24"/>
          <w:szCs w:val="24"/>
        </w:rPr>
        <w:t xml:space="preserve"> tal como consta en la inscripción realizada el 10 de abril de 1995,</w:t>
      </w:r>
      <w:r w:rsidRPr="00D43BAD">
        <w:rPr>
          <w:rFonts w:ascii="Gadugi" w:hAnsi="Gadugi" w:cs="Shruti"/>
          <w:sz w:val="24"/>
          <w:szCs w:val="24"/>
        </w:rPr>
        <w:t xml:space="preserve"> c) </w:t>
      </w:r>
      <w:r w:rsidR="007F3B80" w:rsidRPr="00D43BAD">
        <w:rPr>
          <w:rFonts w:ascii="Gadugi" w:hAnsi="Gadugi" w:cs="Shruti"/>
          <w:sz w:val="24"/>
          <w:szCs w:val="24"/>
        </w:rPr>
        <w:t xml:space="preserve">el 21 de abril el señor Jaramillo Zuloaga emitió una orden dirigida a  </w:t>
      </w:r>
      <w:proofErr w:type="spellStart"/>
      <w:r w:rsidR="007F3B80" w:rsidRPr="00D43BAD">
        <w:rPr>
          <w:rFonts w:ascii="Gadugi" w:hAnsi="Gadugi" w:cs="Shruti"/>
          <w:sz w:val="24"/>
          <w:szCs w:val="24"/>
        </w:rPr>
        <w:t>Invermédicas</w:t>
      </w:r>
      <w:proofErr w:type="spellEnd"/>
      <w:r w:rsidR="007F3B80" w:rsidRPr="00D43BAD">
        <w:rPr>
          <w:rFonts w:ascii="Gadugi" w:hAnsi="Gadugi" w:cs="Shruti"/>
          <w:sz w:val="24"/>
          <w:szCs w:val="24"/>
        </w:rPr>
        <w:t xml:space="preserve"> S.A., para que registrara la enajenación de las acciones en favor de Alianza Fiduciaria S.A.</w:t>
      </w:r>
    </w:p>
    <w:p w14:paraId="094548B1" w14:textId="4721134C" w:rsidR="007F3B80" w:rsidRPr="00D43BAD" w:rsidRDefault="007F3B80" w:rsidP="00D43BAD">
      <w:pPr>
        <w:tabs>
          <w:tab w:val="left" w:pos="2835"/>
          <w:tab w:val="left" w:pos="3402"/>
        </w:tabs>
        <w:suppressAutoHyphens/>
        <w:spacing w:line="276" w:lineRule="auto"/>
        <w:jc w:val="both"/>
        <w:rPr>
          <w:rFonts w:ascii="Gadugi" w:hAnsi="Gadugi" w:cs="Shruti"/>
          <w:sz w:val="24"/>
          <w:szCs w:val="24"/>
        </w:rPr>
      </w:pPr>
    </w:p>
    <w:p w14:paraId="5AEE26FF" w14:textId="63BDA2AA" w:rsidR="007F3B80" w:rsidRPr="00D43BAD" w:rsidRDefault="007F3B80"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lastRenderedPageBreak/>
        <w:tab/>
        <w:t>(v) En todo caso, agregó</w:t>
      </w:r>
      <w:r w:rsidR="00EA3E06" w:rsidRPr="00D43BAD">
        <w:rPr>
          <w:rFonts w:ascii="Gadugi" w:hAnsi="Gadugi" w:cs="Shruti"/>
          <w:sz w:val="24"/>
          <w:szCs w:val="24"/>
        </w:rPr>
        <w:t>,</w:t>
      </w:r>
      <w:r w:rsidRPr="00D43BAD">
        <w:rPr>
          <w:rFonts w:ascii="Gadugi" w:hAnsi="Gadugi" w:cs="Shruti"/>
          <w:sz w:val="24"/>
          <w:szCs w:val="24"/>
        </w:rPr>
        <w:t xml:space="preserve"> la consecuencia de la inexistencia que, equivocadamente hubo de declararse, </w:t>
      </w:r>
      <w:r w:rsidR="008B7908" w:rsidRPr="00D43BAD">
        <w:rPr>
          <w:rFonts w:ascii="Gadugi" w:hAnsi="Gadugi" w:cs="Shruti"/>
          <w:sz w:val="24"/>
          <w:szCs w:val="24"/>
        </w:rPr>
        <w:t>no pudo haber sido</w:t>
      </w:r>
      <w:r w:rsidRPr="00D43BAD">
        <w:rPr>
          <w:rFonts w:ascii="Gadugi" w:hAnsi="Gadugi" w:cs="Shruti"/>
          <w:sz w:val="24"/>
          <w:szCs w:val="24"/>
        </w:rPr>
        <w:t xml:space="preserve"> una condena por los supuestos perjuicios sufridos, </w:t>
      </w:r>
      <w:r w:rsidR="008B7908" w:rsidRPr="00D43BAD">
        <w:rPr>
          <w:rFonts w:ascii="Gadugi" w:hAnsi="Gadugi" w:cs="Shruti"/>
          <w:sz w:val="24"/>
          <w:szCs w:val="24"/>
        </w:rPr>
        <w:t xml:space="preserve">en el entendido de que no se está debatiendo la responsabilidad derivada de un daño producido por el incumplimiento de un contrato, sino que se discute su inexistencia, cuyo efecto sería la devolución de lo entregado. </w:t>
      </w:r>
    </w:p>
    <w:p w14:paraId="6EBF768C" w14:textId="2F699887" w:rsidR="00D12C84" w:rsidRPr="00D43BAD" w:rsidRDefault="00D12C84" w:rsidP="00D43BAD">
      <w:pPr>
        <w:tabs>
          <w:tab w:val="left" w:pos="2835"/>
          <w:tab w:val="left" w:pos="3402"/>
        </w:tabs>
        <w:suppressAutoHyphens/>
        <w:spacing w:line="276" w:lineRule="auto"/>
        <w:jc w:val="both"/>
        <w:rPr>
          <w:rFonts w:ascii="Gadugi" w:hAnsi="Gadugi" w:cs="Shruti"/>
          <w:sz w:val="24"/>
          <w:szCs w:val="24"/>
        </w:rPr>
      </w:pPr>
    </w:p>
    <w:p w14:paraId="010D5102" w14:textId="562563F1" w:rsidR="00364FC5" w:rsidRPr="00D43BAD" w:rsidRDefault="00364FC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D81835" w:rsidRPr="00D43BAD">
        <w:rPr>
          <w:rFonts w:ascii="Gadugi" w:hAnsi="Gadugi" w:cs="Shruti"/>
          <w:sz w:val="24"/>
          <w:szCs w:val="24"/>
        </w:rPr>
        <w:t>2.</w:t>
      </w:r>
      <w:r w:rsidR="009346DD" w:rsidRPr="00D43BAD">
        <w:rPr>
          <w:rFonts w:ascii="Gadugi" w:hAnsi="Gadugi" w:cs="Shruti"/>
          <w:sz w:val="24"/>
          <w:szCs w:val="24"/>
        </w:rPr>
        <w:t>5.</w:t>
      </w:r>
      <w:r w:rsidR="00D81835" w:rsidRPr="00D43BAD">
        <w:rPr>
          <w:rFonts w:ascii="Gadugi" w:hAnsi="Gadugi" w:cs="Shruti"/>
          <w:sz w:val="24"/>
          <w:szCs w:val="24"/>
        </w:rPr>
        <w:t xml:space="preserve"> </w:t>
      </w:r>
      <w:r w:rsidR="004224BD" w:rsidRPr="00D43BAD">
        <w:rPr>
          <w:rFonts w:ascii="Gadugi" w:hAnsi="Gadugi" w:cs="Shruti"/>
          <w:sz w:val="24"/>
          <w:szCs w:val="24"/>
        </w:rPr>
        <w:t>Lo explicado hasta este punto, sumado a las razones que a continuación se apuntarán, le permite a la Sala anunciar</w:t>
      </w:r>
      <w:r w:rsidR="0022120B" w:rsidRPr="00D43BAD">
        <w:rPr>
          <w:rFonts w:ascii="Gadugi" w:hAnsi="Gadugi" w:cs="Shruti"/>
          <w:sz w:val="24"/>
          <w:szCs w:val="24"/>
        </w:rPr>
        <w:t>, desde ya,</w:t>
      </w:r>
      <w:r w:rsidR="004224BD" w:rsidRPr="00D43BAD">
        <w:rPr>
          <w:rFonts w:ascii="Gadugi" w:hAnsi="Gadugi" w:cs="Shruti"/>
          <w:sz w:val="24"/>
          <w:szCs w:val="24"/>
        </w:rPr>
        <w:t xml:space="preserve"> la revocatoria de la resolución de primer grado, porque contrario a lo que allí se concluyó, este Tribunal </w:t>
      </w:r>
      <w:r w:rsidR="00EA3E06" w:rsidRPr="00D43BAD">
        <w:rPr>
          <w:rFonts w:ascii="Gadugi" w:hAnsi="Gadugi" w:cs="Shruti"/>
          <w:sz w:val="24"/>
          <w:szCs w:val="24"/>
        </w:rPr>
        <w:t xml:space="preserve">sí advierte </w:t>
      </w:r>
      <w:r w:rsidR="004224BD" w:rsidRPr="00D43BAD">
        <w:rPr>
          <w:rFonts w:ascii="Gadugi" w:hAnsi="Gadugi" w:cs="Shruti"/>
          <w:sz w:val="24"/>
          <w:szCs w:val="24"/>
        </w:rPr>
        <w:t>la existencia del contrato.</w:t>
      </w:r>
    </w:p>
    <w:p w14:paraId="7F771855" w14:textId="16ED7E73" w:rsidR="004224BD" w:rsidRPr="00D43BAD" w:rsidRDefault="004224BD" w:rsidP="00D43BAD">
      <w:pPr>
        <w:tabs>
          <w:tab w:val="left" w:pos="2835"/>
          <w:tab w:val="left" w:pos="3402"/>
        </w:tabs>
        <w:suppressAutoHyphens/>
        <w:spacing w:line="276" w:lineRule="auto"/>
        <w:jc w:val="both"/>
        <w:rPr>
          <w:rFonts w:ascii="Gadugi" w:hAnsi="Gadugi" w:cs="Shruti"/>
          <w:sz w:val="24"/>
          <w:szCs w:val="24"/>
        </w:rPr>
      </w:pPr>
    </w:p>
    <w:p w14:paraId="3018C823" w14:textId="3339C02E" w:rsidR="004224BD" w:rsidRPr="00D43BAD" w:rsidRDefault="004224BD" w:rsidP="00D43BAD">
      <w:pPr>
        <w:tabs>
          <w:tab w:val="left" w:pos="2835"/>
          <w:tab w:val="left" w:pos="3402"/>
        </w:tabs>
        <w:suppressAutoHyphens/>
        <w:spacing w:line="276" w:lineRule="auto"/>
        <w:jc w:val="both"/>
        <w:rPr>
          <w:rFonts w:ascii="Gadugi" w:hAnsi="Gadugi" w:cs="Shruti"/>
          <w:i/>
          <w:sz w:val="24"/>
          <w:szCs w:val="24"/>
        </w:rPr>
      </w:pPr>
      <w:r w:rsidRPr="00D43BAD">
        <w:rPr>
          <w:rFonts w:ascii="Gadugi" w:hAnsi="Gadugi" w:cs="Shruti"/>
          <w:sz w:val="24"/>
          <w:szCs w:val="24"/>
        </w:rPr>
        <w:tab/>
        <w:t>Hay que empezar diciendo</w:t>
      </w:r>
      <w:r w:rsidR="00663239" w:rsidRPr="00D43BAD">
        <w:rPr>
          <w:rFonts w:ascii="Gadugi" w:hAnsi="Gadugi" w:cs="Shruti"/>
          <w:sz w:val="24"/>
          <w:szCs w:val="24"/>
        </w:rPr>
        <w:t>, como ya antes lo ha hecho esta Corporación, que</w:t>
      </w:r>
      <w:r w:rsidRPr="00D43BAD">
        <w:rPr>
          <w:rFonts w:ascii="Gadugi" w:hAnsi="Gadugi" w:cs="Shruti"/>
          <w:sz w:val="24"/>
          <w:szCs w:val="24"/>
        </w:rPr>
        <w:t xml:space="preserve"> </w:t>
      </w:r>
      <w:r w:rsidR="00663239" w:rsidRPr="00D43BAD">
        <w:rPr>
          <w:rFonts w:ascii="Gadugi" w:hAnsi="Gadugi" w:cs="Shruti"/>
          <w:i/>
          <w:sz w:val="24"/>
          <w:szCs w:val="24"/>
        </w:rPr>
        <w:t>“</w:t>
      </w:r>
      <w:r w:rsidR="00663239" w:rsidRPr="00D43BAD">
        <w:rPr>
          <w:rFonts w:ascii="Gadugi" w:hAnsi="Gadugi" w:cs="Shruti"/>
          <w:i/>
          <w:sz w:val="22"/>
          <w:szCs w:val="24"/>
        </w:rPr>
        <w:t xml:space="preserve">(…) </w:t>
      </w:r>
      <w:r w:rsidR="00A214AC" w:rsidRPr="00D43BAD">
        <w:rPr>
          <w:rFonts w:ascii="Gadugi" w:hAnsi="Gadugi" w:cs="Shruti"/>
          <w:i/>
          <w:sz w:val="22"/>
          <w:szCs w:val="24"/>
        </w:rPr>
        <w:t xml:space="preserve">tratándose de un contrato mercantil, debe allanarse a las características esenciales, en cuanto los contratantes deben tener </w:t>
      </w:r>
      <w:r w:rsidR="00A214AC" w:rsidRPr="00D43BAD">
        <w:rPr>
          <w:rFonts w:ascii="Gadugi" w:hAnsi="Gadugi" w:cs="Shruti"/>
          <w:i/>
          <w:sz w:val="22"/>
          <w:szCs w:val="24"/>
          <w:u w:val="single"/>
        </w:rPr>
        <w:t>capacidad negocial o dispositiva</w:t>
      </w:r>
      <w:r w:rsidR="00A214AC" w:rsidRPr="00D43BAD">
        <w:rPr>
          <w:rFonts w:ascii="Gadugi" w:hAnsi="Gadugi" w:cs="Shruti"/>
          <w:i/>
          <w:sz w:val="22"/>
          <w:szCs w:val="24"/>
        </w:rPr>
        <w:t xml:space="preserve">, </w:t>
      </w:r>
      <w:r w:rsidR="00A214AC" w:rsidRPr="00D43BAD">
        <w:rPr>
          <w:rFonts w:ascii="Gadugi" w:hAnsi="Gadugi" w:cs="Shruti"/>
          <w:i/>
          <w:sz w:val="22"/>
          <w:szCs w:val="24"/>
          <w:u w:val="single"/>
        </w:rPr>
        <w:t>consentimiento</w:t>
      </w:r>
      <w:r w:rsidR="00A214AC" w:rsidRPr="00D43BAD">
        <w:rPr>
          <w:rFonts w:ascii="Gadugi" w:hAnsi="Gadugi" w:cs="Shruti"/>
          <w:i/>
          <w:sz w:val="22"/>
          <w:szCs w:val="24"/>
        </w:rPr>
        <w:t xml:space="preserve"> exento de vicios, licitud en el </w:t>
      </w:r>
      <w:r w:rsidR="00A214AC" w:rsidRPr="00D43BAD">
        <w:rPr>
          <w:rFonts w:ascii="Gadugi" w:hAnsi="Gadugi" w:cs="Shruti"/>
          <w:i/>
          <w:sz w:val="22"/>
          <w:szCs w:val="24"/>
          <w:u w:val="single"/>
        </w:rPr>
        <w:t>objeto</w:t>
      </w:r>
      <w:r w:rsidR="00A214AC" w:rsidRPr="00D43BAD">
        <w:rPr>
          <w:rFonts w:ascii="Gadugi" w:hAnsi="Gadugi" w:cs="Shruti"/>
          <w:i/>
          <w:sz w:val="22"/>
          <w:szCs w:val="24"/>
        </w:rPr>
        <w:t xml:space="preserve">, así como en la </w:t>
      </w:r>
      <w:r w:rsidR="00A214AC" w:rsidRPr="00D43BAD">
        <w:rPr>
          <w:rFonts w:ascii="Gadugi" w:hAnsi="Gadugi" w:cs="Shruti"/>
          <w:i/>
          <w:sz w:val="22"/>
          <w:szCs w:val="24"/>
          <w:u w:val="single"/>
        </w:rPr>
        <w:t>causa</w:t>
      </w:r>
      <w:r w:rsidR="00A214AC" w:rsidRPr="00D43BAD">
        <w:rPr>
          <w:rFonts w:ascii="Gadugi" w:hAnsi="Gadugi" w:cs="Shruti"/>
          <w:i/>
          <w:sz w:val="22"/>
          <w:szCs w:val="24"/>
        </w:rPr>
        <w:t xml:space="preserve"> (Artículo 1502, del CC, por remisión del artículo 822, del CCo)</w:t>
      </w:r>
      <w:r w:rsidR="00A214AC" w:rsidRPr="00D43BAD">
        <w:rPr>
          <w:rFonts w:ascii="Gadugi" w:hAnsi="Gadugi" w:cs="Shruti"/>
          <w:i/>
          <w:sz w:val="24"/>
          <w:szCs w:val="24"/>
        </w:rPr>
        <w:t>.</w:t>
      </w:r>
      <w:r w:rsidR="00663239" w:rsidRPr="00D43BAD">
        <w:rPr>
          <w:rFonts w:ascii="Gadugi" w:hAnsi="Gadugi" w:cs="Shruti"/>
          <w:i/>
          <w:sz w:val="24"/>
          <w:szCs w:val="24"/>
        </w:rPr>
        <w:t>”</w:t>
      </w:r>
      <w:r w:rsidR="005D3079" w:rsidRPr="00D43BAD">
        <w:rPr>
          <w:rStyle w:val="Refdenotaalpie"/>
          <w:rFonts w:ascii="Gadugi" w:hAnsi="Gadugi" w:cs="Shruti"/>
          <w:i/>
          <w:sz w:val="24"/>
          <w:szCs w:val="24"/>
        </w:rPr>
        <w:footnoteReference w:id="21"/>
      </w:r>
    </w:p>
    <w:p w14:paraId="3E37CFA6" w14:textId="77777777" w:rsid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2F0974C9" w14:textId="2AF2C337"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bookmarkStart w:id="1" w:name="_Hlk70063935"/>
      <w:r w:rsidRPr="00D43BAD">
        <w:rPr>
          <w:rFonts w:ascii="Gadugi" w:hAnsi="Gadugi" w:cs="Shruti"/>
          <w:sz w:val="24"/>
          <w:szCs w:val="24"/>
        </w:rPr>
        <w:t xml:space="preserve">A la capacidad, el consentimiento, </w:t>
      </w:r>
      <w:r w:rsidR="000D7846" w:rsidRPr="00D43BAD">
        <w:rPr>
          <w:rFonts w:ascii="Gadugi" w:hAnsi="Gadugi" w:cs="Shruti"/>
          <w:sz w:val="24"/>
          <w:szCs w:val="24"/>
        </w:rPr>
        <w:t xml:space="preserve">el objeto lícito y la causa lícita, venidos del Código Civil, el estatuto comercial, en su artículo 898, añade otro elemento esencial al convenio mercantil, en el sentido de que </w:t>
      </w:r>
      <w:r w:rsidR="000D7846" w:rsidRPr="00D43BAD">
        <w:rPr>
          <w:rFonts w:ascii="Gadugi" w:hAnsi="Gadugi" w:cs="Shruti"/>
          <w:i/>
          <w:sz w:val="24"/>
          <w:szCs w:val="24"/>
        </w:rPr>
        <w:t xml:space="preserve">“Será inexistente el negocio jurídico cuando se haya celebrado </w:t>
      </w:r>
      <w:r w:rsidR="000D7846" w:rsidRPr="00D43BAD">
        <w:rPr>
          <w:rFonts w:ascii="Gadugi" w:hAnsi="Gadugi" w:cs="Shruti"/>
          <w:i/>
          <w:sz w:val="24"/>
          <w:szCs w:val="24"/>
          <w:u w:val="single"/>
        </w:rPr>
        <w:t>sin las solemnidades sustanciales que la ley exija para su formación</w:t>
      </w:r>
      <w:r w:rsidR="000D7846" w:rsidRPr="00D43BAD">
        <w:rPr>
          <w:rFonts w:ascii="Gadugi" w:hAnsi="Gadugi" w:cs="Shruti"/>
          <w:i/>
          <w:sz w:val="24"/>
          <w:szCs w:val="24"/>
        </w:rPr>
        <w:t>, en razón del acto o contrato y cuando falte alguno de sus elementos esenciales.”</w:t>
      </w:r>
    </w:p>
    <w:p w14:paraId="36CFFCBE" w14:textId="77A34630" w:rsidR="00C133B7" w:rsidRPr="00D43BAD" w:rsidRDefault="00C133B7" w:rsidP="00D43BAD">
      <w:pPr>
        <w:tabs>
          <w:tab w:val="left" w:pos="2835"/>
          <w:tab w:val="left" w:pos="3402"/>
        </w:tabs>
        <w:suppressAutoHyphens/>
        <w:spacing w:line="276" w:lineRule="auto"/>
        <w:jc w:val="both"/>
        <w:rPr>
          <w:rFonts w:ascii="Gadugi" w:hAnsi="Gadugi" w:cs="Shruti"/>
          <w:sz w:val="24"/>
          <w:szCs w:val="24"/>
        </w:rPr>
      </w:pPr>
    </w:p>
    <w:p w14:paraId="0AC32BB9" w14:textId="34E72151" w:rsidR="00663239" w:rsidRPr="00D43BAD" w:rsidRDefault="000D7846"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L</w:t>
      </w:r>
      <w:r w:rsidR="00663239" w:rsidRPr="00D43BAD">
        <w:rPr>
          <w:rFonts w:ascii="Gadugi" w:hAnsi="Gadugi" w:cs="Shruti"/>
          <w:sz w:val="24"/>
          <w:szCs w:val="24"/>
        </w:rPr>
        <w:t>a fiducia mercantil es un negocio jurídico en virtud del cual una persona, llamada fiduciante, transfiere uno o más bienes especificados a otra, llamada fiduciario, quien se obliga a administrarlos o enajenarlos para cumplir una finalidad determinada por el constituyente, en provecho de éste o de un tercero llamado beneficiario o fideicomisario (Art. 1226 del C. Co.)</w:t>
      </w:r>
      <w:bookmarkEnd w:id="1"/>
      <w:r w:rsidR="00663239" w:rsidRPr="00D43BAD">
        <w:rPr>
          <w:rFonts w:ascii="Gadugi" w:hAnsi="Gadugi" w:cs="Shruti"/>
          <w:sz w:val="24"/>
          <w:szCs w:val="24"/>
        </w:rPr>
        <w:t>; y sobre su naturaleza</w:t>
      </w:r>
      <w:r w:rsidRPr="00D43BAD">
        <w:rPr>
          <w:rFonts w:ascii="Gadugi" w:hAnsi="Gadugi" w:cs="Shruti"/>
          <w:sz w:val="24"/>
          <w:szCs w:val="24"/>
        </w:rPr>
        <w:t xml:space="preserve"> y particularidades</w:t>
      </w:r>
      <w:r w:rsidR="00663239" w:rsidRPr="00D43BAD">
        <w:rPr>
          <w:rFonts w:ascii="Gadugi" w:hAnsi="Gadugi" w:cs="Shruti"/>
          <w:sz w:val="24"/>
          <w:szCs w:val="24"/>
        </w:rPr>
        <w:t xml:space="preserve"> la Corte Constitucional explica</w:t>
      </w:r>
      <w:r w:rsidR="00663239" w:rsidRPr="00D43BAD">
        <w:rPr>
          <w:rStyle w:val="Refdenotaalpie"/>
          <w:rFonts w:ascii="Gadugi" w:hAnsi="Gadugi" w:cs="Shruti"/>
          <w:sz w:val="24"/>
          <w:szCs w:val="24"/>
        </w:rPr>
        <w:footnoteReference w:id="22"/>
      </w:r>
      <w:r w:rsidR="00663239" w:rsidRPr="00D43BAD">
        <w:rPr>
          <w:rFonts w:ascii="Gadugi" w:hAnsi="Gadugi" w:cs="Shruti"/>
          <w:sz w:val="24"/>
          <w:szCs w:val="24"/>
        </w:rPr>
        <w:t xml:space="preserve">: </w:t>
      </w:r>
    </w:p>
    <w:p w14:paraId="7C711545" w14:textId="77777777"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1949F9B2"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4"/>
          <w:szCs w:val="24"/>
        </w:rPr>
        <w:tab/>
      </w:r>
      <w:r w:rsidRPr="00D43BAD">
        <w:rPr>
          <w:rFonts w:ascii="Gadugi" w:hAnsi="Gadugi" w:cs="Shruti"/>
          <w:sz w:val="22"/>
          <w:szCs w:val="24"/>
        </w:rPr>
        <w:t>Sin entrar a estudiar detenidamente todos los aspectos característicos de la fiducia mercantil -por escapar a los propósitos de este pronunciamiento-, puede decirse que de la norma transcrita se colige que de este negocio jurídico se derivan dos partes necesarias, fiduciante y fiduciario, y una eventual: el beneficiario o fideicomisario. De igual forma, puede señalarse que los elementos característicos de este tipo de contratos son los siguientes:</w:t>
      </w:r>
    </w:p>
    <w:p w14:paraId="45FCDE6E"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10EE07B7"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r w:rsidRPr="00D43BAD">
        <w:rPr>
          <w:rFonts w:ascii="Gadugi" w:hAnsi="Gadugi" w:cs="Shruti"/>
          <w:b/>
          <w:sz w:val="22"/>
          <w:szCs w:val="24"/>
        </w:rPr>
        <w:t>El primero puede definirse como un elemento real, según el cual en la fiducia mercantil se presenta una verdadera transferencia de dominio sobre los bienes fideicomitidos</w:t>
      </w:r>
      <w:r w:rsidRPr="00D43BAD">
        <w:rPr>
          <w:rFonts w:ascii="Gadugi" w:hAnsi="Gadugi" w:cs="Shruti"/>
          <w:sz w:val="22"/>
          <w:szCs w:val="24"/>
        </w:rPr>
        <w:t xml:space="preserve">. Al respecto, conviene agregar que, para algunos, el negocio fiduciario en el que no se efectúa necesariamente la transferencia del dominio sino la mera entrega de bienes, ni se constituye un patrimonio autónomo, corresponde a un encargo fiduciario; mientras que en aquellos casos en que se </w:t>
      </w:r>
      <w:r w:rsidRPr="00D43BAD">
        <w:rPr>
          <w:rFonts w:ascii="Gadugi" w:hAnsi="Gadugi" w:cs="Shruti"/>
          <w:sz w:val="22"/>
          <w:szCs w:val="24"/>
        </w:rPr>
        <w:lastRenderedPageBreak/>
        <w:t>transfiera la propiedad y se constituya un patrimonio autónomo, se estaría ante una verdadera fiducia mercantil</w:t>
      </w:r>
      <w:r w:rsidRPr="00D43BAD">
        <w:rPr>
          <w:rStyle w:val="Refdenotaalpie"/>
          <w:rFonts w:ascii="Gadugi" w:hAnsi="Gadugi" w:cs="Shruti"/>
          <w:sz w:val="22"/>
          <w:szCs w:val="24"/>
        </w:rPr>
        <w:footnoteReference w:id="23"/>
      </w:r>
      <w:r w:rsidRPr="00D43BAD">
        <w:rPr>
          <w:rFonts w:ascii="Gadugi" w:hAnsi="Gadugi" w:cs="Shruti"/>
          <w:sz w:val="22"/>
          <w:szCs w:val="24"/>
        </w:rPr>
        <w:t>.</w:t>
      </w:r>
    </w:p>
    <w:p w14:paraId="16AAC496"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30445E73"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t>Retomando la característica esencial del primer elemento, cual es la transferencia del dominio, se tiene que de acuerdo con los artículos 1227, 1234, 1236 y 1238 del Código de Comercio, los bienes afectados por el fideicomiso no pueden ser perseguidos por los acreedores del fiduciario, razón por la cual deben figurar contablemente en forma separada y, además, el beneficiario deja de ser "dueño" de sus bienes, aunque sí lo es de los beneficios que ellos reporten.</w:t>
      </w:r>
    </w:p>
    <w:p w14:paraId="49E81ED8"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68F41FBB"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t xml:space="preserve">Debe igualmente señalarse que, según las voces del artículo 1233 de la normatividad citada, "los bienes fideicomitidos deberán mantenerse separados del resto del activo fiduciario y de los que correspondan a otros negocios fiduciarios, y forman un patrimonio autónomo afecto a la finalidad contemplada en el acto constitutivo". Si bien escapa a la finalidad de esta providencia analizar el concepto de "patrimonio autónomo", debe decirse que ella responde a la necesidad de que los bienes afectados mediante el negocio fiduciario, se encuentren a salvo respecto de los demás negocios o gestiones que adelante el fiduciario como fruto del giro ordinario de sus asuntos.       </w:t>
      </w:r>
    </w:p>
    <w:p w14:paraId="78722BE9"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4F0B87D3" w14:textId="77777777" w:rsidR="00663239" w:rsidRPr="00D43BAD" w:rsidRDefault="00663239" w:rsidP="00D43BAD">
      <w:pPr>
        <w:tabs>
          <w:tab w:val="left" w:pos="2835"/>
          <w:tab w:val="left" w:pos="3402"/>
        </w:tabs>
        <w:suppressAutoHyphens/>
        <w:ind w:left="426" w:right="420"/>
        <w:jc w:val="both"/>
        <w:rPr>
          <w:rFonts w:ascii="Gadugi" w:hAnsi="Gadugi" w:cs="Shruti"/>
          <w:b/>
          <w:sz w:val="22"/>
          <w:szCs w:val="24"/>
        </w:rPr>
      </w:pPr>
      <w:r w:rsidRPr="00D43BAD">
        <w:rPr>
          <w:rFonts w:ascii="Gadugi" w:hAnsi="Gadugi" w:cs="Shruti"/>
          <w:sz w:val="22"/>
          <w:szCs w:val="24"/>
        </w:rPr>
        <w:tab/>
      </w:r>
      <w:r w:rsidRPr="00D43BAD">
        <w:rPr>
          <w:rFonts w:ascii="Gadugi" w:hAnsi="Gadugi" w:cs="Shruti"/>
          <w:b/>
          <w:sz w:val="22"/>
          <w:szCs w:val="24"/>
        </w:rPr>
        <w:t>De lo anterior, se debe concluir que tanto la transferencia de dominio como la constitución de un patrimonio autónomo, son dos de los elementos sin los cuales no podría existir el contrato de fiducia mercantil.</w:t>
      </w:r>
    </w:p>
    <w:p w14:paraId="08667F00"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5F22D234"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r w:rsidRPr="00D43BAD">
        <w:rPr>
          <w:rFonts w:ascii="Gadugi" w:hAnsi="Gadugi" w:cs="Shruti"/>
          <w:b/>
          <w:sz w:val="22"/>
          <w:szCs w:val="24"/>
        </w:rPr>
        <w:t>Un segundo elemento de este tipo de negocios jurídicos es el que puede calificarse como personal</w:t>
      </w:r>
      <w:r w:rsidRPr="00D43BAD">
        <w:rPr>
          <w:rFonts w:ascii="Gadugi" w:hAnsi="Gadugi" w:cs="Shruti"/>
          <w:sz w:val="22"/>
          <w:szCs w:val="24"/>
        </w:rPr>
        <w:t xml:space="preserve">, en el cual los fines establecidos por el fiduciante para la administración de los bienes por parte del fiduciario, se enmarcan dentro de la figura del "trust" o de la confianza que el primero deposita en el segundo -es decir, </w:t>
      </w:r>
      <w:r w:rsidRPr="00D43BAD">
        <w:rPr>
          <w:rFonts w:ascii="Gadugi" w:hAnsi="Gadugi" w:cs="Shruti"/>
          <w:b/>
          <w:sz w:val="22"/>
          <w:szCs w:val="24"/>
        </w:rPr>
        <w:t>en sociedades fiduciarias autorizadas por la Superintendencia Bancaria</w:t>
      </w:r>
      <w:r w:rsidRPr="00D43BAD">
        <w:rPr>
          <w:rFonts w:ascii="Gadugi" w:hAnsi="Gadugi" w:cs="Shruti"/>
          <w:sz w:val="22"/>
          <w:szCs w:val="24"/>
        </w:rPr>
        <w:t xml:space="preserve">-, habida cuenta de sus capacidades, su experiencia o su </w:t>
      </w:r>
      <w:proofErr w:type="spellStart"/>
      <w:r w:rsidRPr="00D43BAD">
        <w:rPr>
          <w:rFonts w:ascii="Gadugi" w:hAnsi="Gadugi" w:cs="Shruti"/>
          <w:sz w:val="22"/>
          <w:szCs w:val="24"/>
        </w:rPr>
        <w:t>good</w:t>
      </w:r>
      <w:proofErr w:type="spellEnd"/>
      <w:r w:rsidRPr="00D43BAD">
        <w:rPr>
          <w:rFonts w:ascii="Gadugi" w:hAnsi="Gadugi" w:cs="Shruti"/>
          <w:sz w:val="22"/>
          <w:szCs w:val="24"/>
        </w:rPr>
        <w:t xml:space="preserve"> </w:t>
      </w:r>
      <w:proofErr w:type="spellStart"/>
      <w:r w:rsidRPr="00D43BAD">
        <w:rPr>
          <w:rFonts w:ascii="Gadugi" w:hAnsi="Gadugi" w:cs="Shruti"/>
          <w:sz w:val="22"/>
          <w:szCs w:val="24"/>
        </w:rPr>
        <w:t>will</w:t>
      </w:r>
      <w:proofErr w:type="spellEnd"/>
      <w:r w:rsidRPr="00D43BAD">
        <w:rPr>
          <w:rFonts w:ascii="Gadugi" w:hAnsi="Gadugi" w:cs="Shruti"/>
          <w:sz w:val="22"/>
          <w:szCs w:val="24"/>
        </w:rPr>
        <w:t>, con una destinación o una finalidad determinada, de cuyos frutos se beneficiará el mismo constituyente o un tercero.</w:t>
      </w:r>
    </w:p>
    <w:p w14:paraId="55E6FF5D" w14:textId="77777777"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p>
    <w:p w14:paraId="19DF70E6" w14:textId="69C1572C" w:rsidR="00663239" w:rsidRPr="00D43BAD" w:rsidRDefault="00663239" w:rsidP="00D43BAD">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2"/>
          <w:szCs w:val="24"/>
        </w:rPr>
        <w:tab/>
      </w:r>
      <w:r w:rsidRPr="00D43BAD">
        <w:rPr>
          <w:rFonts w:ascii="Gadugi" w:hAnsi="Gadugi" w:cs="Shruti"/>
          <w:b/>
          <w:sz w:val="22"/>
          <w:szCs w:val="24"/>
        </w:rPr>
        <w:t>El tercer elemento hace referencia a los aspectos formales de este tipo de contratos. Se trata de cumplir con los requerimientos mínimos establecidos por la ley tanto en lo que se refiere a la formación del contrato como a su ejecución y extinción</w:t>
      </w:r>
      <w:r w:rsidRPr="00D43BAD">
        <w:rPr>
          <w:rFonts w:ascii="Gadugi" w:hAnsi="Gadugi" w:cs="Shruti"/>
          <w:sz w:val="22"/>
          <w:szCs w:val="24"/>
        </w:rPr>
        <w:t>. En cuanto a lo primero, el artículo 1228 del Código de Comercio, establece que la fiducia deberá constar en "escritura pública registrada según la naturaleza de los bienes". Sin embargo, los Decretos 663 y 847 de 1993, principalmente, han modificado en parte la citada disposición y han permitido la constitución de fiducias sobre bienes muebles por el simple consentimiento de las partes, mientras que aquellas que versen sobre bienes objeto de registro o sobre bienes inmuebles deberán cumplir con las obligaciones correspondientes a cada uno de estos eventos. Respecto de otras formalidades, no podrán celebrarse los negocios fiduciarios prohibidos (Art. 1230) y deberán acatarse las causales de extinción de este tipo de contratos (Art. 12340).</w:t>
      </w:r>
      <w:r w:rsidR="003E2FAF" w:rsidRPr="00D43BAD">
        <w:rPr>
          <w:rFonts w:ascii="Gadugi" w:hAnsi="Gadugi" w:cs="Shruti"/>
          <w:sz w:val="22"/>
          <w:szCs w:val="24"/>
        </w:rPr>
        <w:t xml:space="preserve"> (Destaca la sala)</w:t>
      </w:r>
    </w:p>
    <w:p w14:paraId="28453649" w14:textId="2C8EF1FF"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Pr="00D43BAD">
        <w:rPr>
          <w:rFonts w:ascii="Gadugi" w:hAnsi="Gadugi" w:cs="Shruti"/>
          <w:sz w:val="24"/>
          <w:szCs w:val="24"/>
        </w:rPr>
        <w:tab/>
      </w:r>
    </w:p>
    <w:p w14:paraId="0240515C" w14:textId="5053D206"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Se destacan, </w:t>
      </w:r>
      <w:r w:rsidR="003E2FAF" w:rsidRPr="00D43BAD">
        <w:rPr>
          <w:rFonts w:ascii="Gadugi" w:hAnsi="Gadugi" w:cs="Shruti"/>
          <w:sz w:val="24"/>
          <w:szCs w:val="24"/>
        </w:rPr>
        <w:t>entonces</w:t>
      </w:r>
      <w:r w:rsidRPr="00D43BAD">
        <w:rPr>
          <w:rFonts w:ascii="Gadugi" w:hAnsi="Gadugi" w:cs="Shruti"/>
          <w:sz w:val="24"/>
          <w:szCs w:val="24"/>
        </w:rPr>
        <w:t>, tres elementos</w:t>
      </w:r>
      <w:r w:rsidR="003E2FAF" w:rsidRPr="00D43BAD">
        <w:rPr>
          <w:rFonts w:ascii="Gadugi" w:hAnsi="Gadugi" w:cs="Shruti"/>
          <w:sz w:val="24"/>
          <w:szCs w:val="24"/>
        </w:rPr>
        <w:t xml:space="preserve"> adicionales,</w:t>
      </w:r>
      <w:r w:rsidRPr="00D43BAD">
        <w:rPr>
          <w:rFonts w:ascii="Gadugi" w:hAnsi="Gadugi" w:cs="Shruti"/>
          <w:sz w:val="24"/>
          <w:szCs w:val="24"/>
        </w:rPr>
        <w:t xml:space="preserve"> sin los cuales no puede </w:t>
      </w:r>
      <w:r w:rsidR="00980C8D" w:rsidRPr="00D43BAD">
        <w:rPr>
          <w:rFonts w:ascii="Gadugi" w:hAnsi="Gadugi" w:cs="Shruti"/>
          <w:sz w:val="24"/>
          <w:szCs w:val="24"/>
        </w:rPr>
        <w:t>crearse una</w:t>
      </w:r>
      <w:r w:rsidRPr="00D43BAD">
        <w:rPr>
          <w:rFonts w:ascii="Gadugi" w:hAnsi="Gadugi" w:cs="Shruti"/>
          <w:sz w:val="24"/>
          <w:szCs w:val="24"/>
        </w:rPr>
        <w:t xml:space="preserve"> fiducia mercantil, (i) La transferencia del dominio de los bienes fideicomitidos, y la consecuente constitución de un patrimonio autónomo; (ii) </w:t>
      </w:r>
      <w:r w:rsidRPr="00D43BAD">
        <w:rPr>
          <w:rFonts w:ascii="Gadugi" w:hAnsi="Gadugi" w:cs="Shruti"/>
          <w:sz w:val="24"/>
          <w:szCs w:val="24"/>
        </w:rPr>
        <w:lastRenderedPageBreak/>
        <w:t>La necesidad de que el fiduciario sea una sociedad autorizada por la autoridad competente, y (iii) Las solemnidades que se deben cumplir cuando el negocio verse sobre bienes sometidos a registro</w:t>
      </w:r>
      <w:r w:rsidR="00980C8D" w:rsidRPr="00D43BAD">
        <w:rPr>
          <w:rFonts w:ascii="Gadugi" w:hAnsi="Gadugi" w:cs="Shruti"/>
          <w:sz w:val="24"/>
          <w:szCs w:val="24"/>
        </w:rPr>
        <w:t>.</w:t>
      </w:r>
    </w:p>
    <w:p w14:paraId="787DEACB" w14:textId="454E7E28"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p>
    <w:p w14:paraId="02A9D951" w14:textId="5A67192B" w:rsidR="005F55B7" w:rsidRPr="00D43BAD" w:rsidRDefault="003E2FAF"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0D49EA" w:rsidRPr="00D43BAD">
        <w:rPr>
          <w:rFonts w:ascii="Gadugi" w:hAnsi="Gadugi" w:cs="Shruti"/>
          <w:sz w:val="24"/>
          <w:szCs w:val="24"/>
        </w:rPr>
        <w:t xml:space="preserve">En el caso concreto, </w:t>
      </w:r>
      <w:r w:rsidR="00B37344" w:rsidRPr="00D43BAD">
        <w:rPr>
          <w:rFonts w:ascii="Gadugi" w:hAnsi="Gadugi" w:cs="Shruti"/>
          <w:sz w:val="24"/>
          <w:szCs w:val="24"/>
        </w:rPr>
        <w:t xml:space="preserve">incumbe a </w:t>
      </w:r>
      <w:r w:rsidR="004D4643" w:rsidRPr="00D43BAD">
        <w:rPr>
          <w:rFonts w:ascii="Gadugi" w:hAnsi="Gadugi" w:cs="Shruti"/>
          <w:sz w:val="24"/>
          <w:szCs w:val="24"/>
        </w:rPr>
        <w:t>la Sala, examinar si el contrato que se trajo a barandas, está dotado de los requisitos anotados.</w:t>
      </w:r>
      <w:r w:rsidR="00980C8D" w:rsidRPr="00D43BAD">
        <w:rPr>
          <w:rFonts w:ascii="Gadugi" w:hAnsi="Gadugi" w:cs="Shruti"/>
          <w:sz w:val="24"/>
          <w:szCs w:val="24"/>
        </w:rPr>
        <w:t xml:space="preserve"> </w:t>
      </w:r>
      <w:r w:rsidR="004D4643" w:rsidRPr="00D43BAD">
        <w:rPr>
          <w:rFonts w:ascii="Gadugi" w:hAnsi="Gadugi" w:cs="Shruti"/>
          <w:sz w:val="24"/>
          <w:szCs w:val="24"/>
        </w:rPr>
        <w:t xml:space="preserve">Eso sí, solo </w:t>
      </w:r>
      <w:r w:rsidR="000D49EA" w:rsidRPr="00D43BAD">
        <w:rPr>
          <w:rFonts w:ascii="Gadugi" w:hAnsi="Gadugi" w:cs="Shruti"/>
          <w:sz w:val="24"/>
          <w:szCs w:val="24"/>
        </w:rPr>
        <w:t>lo hará</w:t>
      </w:r>
      <w:r w:rsidR="004D4643" w:rsidRPr="00D43BAD">
        <w:rPr>
          <w:rFonts w:ascii="Gadugi" w:hAnsi="Gadugi" w:cs="Shruti"/>
          <w:sz w:val="24"/>
          <w:szCs w:val="24"/>
        </w:rPr>
        <w:t xml:space="preserve"> </w:t>
      </w:r>
      <w:r w:rsidR="00980C8D" w:rsidRPr="00D43BAD">
        <w:rPr>
          <w:rFonts w:ascii="Gadugi" w:hAnsi="Gadugi" w:cs="Shruti"/>
          <w:sz w:val="24"/>
          <w:szCs w:val="24"/>
        </w:rPr>
        <w:t>respecto de</w:t>
      </w:r>
      <w:r w:rsidR="004D4643" w:rsidRPr="00D43BAD">
        <w:rPr>
          <w:rFonts w:ascii="Gadugi" w:hAnsi="Gadugi" w:cs="Shruti"/>
          <w:sz w:val="24"/>
          <w:szCs w:val="24"/>
        </w:rPr>
        <w:t xml:space="preserve"> </w:t>
      </w:r>
      <w:r w:rsidR="00B37344" w:rsidRPr="00D43BAD">
        <w:rPr>
          <w:rFonts w:ascii="Gadugi" w:hAnsi="Gadugi" w:cs="Shruti"/>
          <w:sz w:val="24"/>
          <w:szCs w:val="24"/>
        </w:rPr>
        <w:t xml:space="preserve">aquellos sobre </w:t>
      </w:r>
      <w:r w:rsidR="004D4643" w:rsidRPr="00D43BAD">
        <w:rPr>
          <w:rFonts w:ascii="Gadugi" w:hAnsi="Gadugi" w:cs="Shruti"/>
          <w:sz w:val="24"/>
          <w:szCs w:val="24"/>
        </w:rPr>
        <w:t xml:space="preserve">los que hay controversia; y así será, porque en el de marras, </w:t>
      </w:r>
      <w:r w:rsidR="00077DF2" w:rsidRPr="00D43BAD">
        <w:rPr>
          <w:rFonts w:ascii="Gadugi" w:hAnsi="Gadugi" w:cs="Shruti"/>
          <w:sz w:val="24"/>
          <w:szCs w:val="24"/>
        </w:rPr>
        <w:t xml:space="preserve">en lo que se refiere a los requisitos esenciales del contrato, </w:t>
      </w:r>
      <w:r w:rsidR="004D4643" w:rsidRPr="00D43BAD">
        <w:rPr>
          <w:rFonts w:ascii="Gadugi" w:hAnsi="Gadugi" w:cs="Shruti"/>
          <w:sz w:val="24"/>
          <w:szCs w:val="24"/>
        </w:rPr>
        <w:t>nadie puso en duda la capacidad de los contratantes</w:t>
      </w:r>
      <w:r w:rsidR="00077DF2" w:rsidRPr="00D43BAD">
        <w:rPr>
          <w:rFonts w:ascii="Gadugi" w:hAnsi="Gadugi" w:cs="Shruti"/>
          <w:sz w:val="24"/>
          <w:szCs w:val="24"/>
        </w:rPr>
        <w:t>;</w:t>
      </w:r>
      <w:r w:rsidR="004D4643" w:rsidRPr="00D43BAD">
        <w:rPr>
          <w:rFonts w:ascii="Gadugi" w:hAnsi="Gadugi" w:cs="Shruti"/>
          <w:sz w:val="24"/>
          <w:szCs w:val="24"/>
        </w:rPr>
        <w:t xml:space="preserve"> su consentimiento, o</w:t>
      </w:r>
      <w:r w:rsidR="005F55B7" w:rsidRPr="00D43BAD">
        <w:rPr>
          <w:rFonts w:ascii="Gadugi" w:hAnsi="Gadugi" w:cs="Shruti"/>
          <w:sz w:val="24"/>
          <w:szCs w:val="24"/>
        </w:rPr>
        <w:t xml:space="preserve"> se quejó de</w:t>
      </w:r>
      <w:r w:rsidR="004D4643" w:rsidRPr="00D43BAD">
        <w:rPr>
          <w:rFonts w:ascii="Gadugi" w:hAnsi="Gadugi" w:cs="Shruti"/>
          <w:sz w:val="24"/>
          <w:szCs w:val="24"/>
        </w:rPr>
        <w:t xml:space="preserve"> algún vicio en él,</w:t>
      </w:r>
      <w:r w:rsidR="00077DF2" w:rsidRPr="00D43BAD">
        <w:rPr>
          <w:rFonts w:ascii="Gadugi" w:hAnsi="Gadugi" w:cs="Shruti"/>
          <w:sz w:val="24"/>
          <w:szCs w:val="24"/>
        </w:rPr>
        <w:t xml:space="preserve"> ni tampoco se</w:t>
      </w:r>
      <w:r w:rsidR="004D4643" w:rsidRPr="00D43BAD">
        <w:rPr>
          <w:rFonts w:ascii="Gadugi" w:hAnsi="Gadugi" w:cs="Shruti"/>
          <w:sz w:val="24"/>
          <w:szCs w:val="24"/>
        </w:rPr>
        <w:t xml:space="preserve"> cuestionó la licitud de la causa o </w:t>
      </w:r>
      <w:r w:rsidR="00B359F6" w:rsidRPr="00D43BAD">
        <w:rPr>
          <w:rFonts w:ascii="Gadugi" w:hAnsi="Gadugi" w:cs="Shruti"/>
          <w:sz w:val="24"/>
          <w:szCs w:val="24"/>
        </w:rPr>
        <w:t>d</w:t>
      </w:r>
      <w:r w:rsidR="004D4643" w:rsidRPr="00D43BAD">
        <w:rPr>
          <w:rFonts w:ascii="Gadugi" w:hAnsi="Gadugi" w:cs="Shruti"/>
          <w:sz w:val="24"/>
          <w:szCs w:val="24"/>
        </w:rPr>
        <w:t xml:space="preserve">el objeto. </w:t>
      </w:r>
    </w:p>
    <w:p w14:paraId="0877F85A" w14:textId="7D7F4C70" w:rsidR="005F55B7" w:rsidRPr="00D43BAD" w:rsidRDefault="005F55B7" w:rsidP="00D43BAD">
      <w:pPr>
        <w:tabs>
          <w:tab w:val="left" w:pos="2835"/>
          <w:tab w:val="left" w:pos="3402"/>
        </w:tabs>
        <w:suppressAutoHyphens/>
        <w:spacing w:line="276" w:lineRule="auto"/>
        <w:jc w:val="both"/>
        <w:rPr>
          <w:rFonts w:ascii="Gadugi" w:hAnsi="Gadugi" w:cs="Shruti"/>
          <w:sz w:val="24"/>
          <w:szCs w:val="24"/>
        </w:rPr>
      </w:pPr>
    </w:p>
    <w:p w14:paraId="6D011384" w14:textId="1D3A5063" w:rsidR="004D4643" w:rsidRPr="00D43BAD" w:rsidRDefault="005F55B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4D4643" w:rsidRPr="00D43BAD">
        <w:rPr>
          <w:rFonts w:ascii="Gadugi" w:hAnsi="Gadugi" w:cs="Shruti"/>
          <w:sz w:val="24"/>
          <w:szCs w:val="24"/>
        </w:rPr>
        <w:t xml:space="preserve">Además, en lo que se refiere a los especiales requisitos de fiducia mercantil, ninguno de los contendientes halló reparo </w:t>
      </w:r>
      <w:r w:rsidRPr="00D43BAD">
        <w:rPr>
          <w:rFonts w:ascii="Gadugi" w:hAnsi="Gadugi" w:cs="Shruti"/>
          <w:sz w:val="24"/>
          <w:szCs w:val="24"/>
        </w:rPr>
        <w:t xml:space="preserve">en </w:t>
      </w:r>
      <w:r w:rsidR="004D4643" w:rsidRPr="00D43BAD">
        <w:rPr>
          <w:rFonts w:ascii="Gadugi" w:hAnsi="Gadugi" w:cs="Shruti"/>
          <w:sz w:val="24"/>
          <w:szCs w:val="24"/>
        </w:rPr>
        <w:t xml:space="preserve">la calidad de la entidad fiduciaria, avalada por la </w:t>
      </w:r>
      <w:r w:rsidR="00B37344" w:rsidRPr="00D43BAD">
        <w:rPr>
          <w:rFonts w:ascii="Gadugi" w:hAnsi="Gadugi" w:cs="Shruti"/>
          <w:sz w:val="24"/>
          <w:szCs w:val="24"/>
        </w:rPr>
        <w:t>S</w:t>
      </w:r>
      <w:r w:rsidR="004D4643" w:rsidRPr="00D43BAD">
        <w:rPr>
          <w:rFonts w:ascii="Gadugi" w:hAnsi="Gadugi" w:cs="Shruti"/>
          <w:sz w:val="24"/>
          <w:szCs w:val="24"/>
        </w:rPr>
        <w:t xml:space="preserve">uperintendencia </w:t>
      </w:r>
      <w:r w:rsidR="00B37344" w:rsidRPr="00D43BAD">
        <w:rPr>
          <w:rFonts w:ascii="Gadugi" w:hAnsi="Gadugi" w:cs="Shruti"/>
          <w:sz w:val="24"/>
          <w:szCs w:val="24"/>
        </w:rPr>
        <w:t>F</w:t>
      </w:r>
      <w:r w:rsidR="004D4643" w:rsidRPr="00D43BAD">
        <w:rPr>
          <w:rFonts w:ascii="Gadugi" w:hAnsi="Gadugi" w:cs="Shruti"/>
          <w:sz w:val="24"/>
          <w:szCs w:val="24"/>
        </w:rPr>
        <w:t>inanciera, para asumir la calidad con la que suscribió el contrato y con la que comparece a este litigio</w:t>
      </w:r>
      <w:r w:rsidR="0090565D" w:rsidRPr="00D43BAD">
        <w:rPr>
          <w:rFonts w:ascii="Gadugi" w:hAnsi="Gadugi" w:cs="Shruti"/>
          <w:sz w:val="24"/>
          <w:szCs w:val="24"/>
        </w:rPr>
        <w:t>, por demás, acreditada en el plenario</w:t>
      </w:r>
      <w:r w:rsidR="0090565D" w:rsidRPr="00D43BAD">
        <w:rPr>
          <w:rStyle w:val="Refdenotaalpie"/>
          <w:rFonts w:ascii="Gadugi" w:hAnsi="Gadugi" w:cs="Shruti"/>
          <w:sz w:val="24"/>
          <w:szCs w:val="24"/>
        </w:rPr>
        <w:footnoteReference w:id="24"/>
      </w:r>
      <w:r w:rsidR="0090565D" w:rsidRPr="00D43BAD">
        <w:rPr>
          <w:rFonts w:ascii="Gadugi" w:hAnsi="Gadugi" w:cs="Shruti"/>
          <w:sz w:val="24"/>
          <w:szCs w:val="24"/>
        </w:rPr>
        <w:t xml:space="preserve">. </w:t>
      </w:r>
      <w:r w:rsidR="00FD5E56" w:rsidRPr="00D43BAD">
        <w:rPr>
          <w:rFonts w:ascii="Gadugi" w:hAnsi="Gadugi" w:cs="Shruti"/>
          <w:sz w:val="24"/>
          <w:szCs w:val="24"/>
        </w:rPr>
        <w:t xml:space="preserve"> </w:t>
      </w:r>
    </w:p>
    <w:p w14:paraId="60625086" w14:textId="139B9817" w:rsidR="004D4643" w:rsidRPr="00D43BAD" w:rsidRDefault="004D4643" w:rsidP="00D43BAD">
      <w:pPr>
        <w:tabs>
          <w:tab w:val="left" w:pos="2835"/>
          <w:tab w:val="left" w:pos="3402"/>
        </w:tabs>
        <w:suppressAutoHyphens/>
        <w:spacing w:line="276" w:lineRule="auto"/>
        <w:jc w:val="both"/>
        <w:rPr>
          <w:rFonts w:ascii="Gadugi" w:hAnsi="Gadugi" w:cs="Shruti"/>
          <w:sz w:val="24"/>
          <w:szCs w:val="24"/>
        </w:rPr>
      </w:pPr>
    </w:p>
    <w:p w14:paraId="11A56CAE" w14:textId="3C54491D" w:rsidR="00663239" w:rsidRPr="00D43BAD" w:rsidRDefault="004D4643"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5B143A" w:rsidRPr="00D43BAD">
        <w:rPr>
          <w:rFonts w:ascii="Gadugi" w:hAnsi="Gadugi" w:cs="Shruti"/>
          <w:sz w:val="24"/>
          <w:szCs w:val="24"/>
        </w:rPr>
        <w:t>2.</w:t>
      </w:r>
      <w:r w:rsidR="00536487" w:rsidRPr="00D43BAD">
        <w:rPr>
          <w:rFonts w:ascii="Gadugi" w:hAnsi="Gadugi" w:cs="Shruti"/>
          <w:sz w:val="24"/>
          <w:szCs w:val="24"/>
        </w:rPr>
        <w:t xml:space="preserve">5.1 </w:t>
      </w:r>
      <w:r w:rsidR="000D49EA" w:rsidRPr="00D43BAD">
        <w:rPr>
          <w:rFonts w:ascii="Gadugi" w:hAnsi="Gadugi" w:cs="Shruti"/>
          <w:sz w:val="24"/>
          <w:szCs w:val="24"/>
        </w:rPr>
        <w:t>Perfilado así el asunto, y</w:t>
      </w:r>
      <w:r w:rsidRPr="00D43BAD">
        <w:rPr>
          <w:rFonts w:ascii="Gadugi" w:hAnsi="Gadugi" w:cs="Shruti"/>
          <w:sz w:val="24"/>
          <w:szCs w:val="24"/>
        </w:rPr>
        <w:t xml:space="preserve"> e</w:t>
      </w:r>
      <w:r w:rsidR="00663239" w:rsidRPr="00D43BAD">
        <w:rPr>
          <w:rFonts w:ascii="Gadugi" w:hAnsi="Gadugi" w:cs="Shruti"/>
          <w:sz w:val="24"/>
          <w:szCs w:val="24"/>
        </w:rPr>
        <w:t xml:space="preserve">n lo que atañe con el primer elemento </w:t>
      </w:r>
      <w:r w:rsidR="000D49EA" w:rsidRPr="00D43BAD">
        <w:rPr>
          <w:rFonts w:ascii="Gadugi" w:hAnsi="Gadugi" w:cs="Shruti"/>
          <w:sz w:val="24"/>
          <w:szCs w:val="24"/>
        </w:rPr>
        <w:t xml:space="preserve">especial </w:t>
      </w:r>
      <w:r w:rsidR="00663239" w:rsidRPr="00D43BAD">
        <w:rPr>
          <w:rFonts w:ascii="Gadugi" w:hAnsi="Gadugi" w:cs="Shruti"/>
          <w:sz w:val="24"/>
          <w:szCs w:val="24"/>
        </w:rPr>
        <w:t>de la fiducia mercantil, esto es, la transferencia del dominio de los bienes</w:t>
      </w:r>
      <w:r w:rsidR="00E56DA0" w:rsidRPr="00D43BAD">
        <w:rPr>
          <w:rFonts w:ascii="Gadugi" w:hAnsi="Gadugi" w:cs="Shruti"/>
          <w:sz w:val="24"/>
          <w:szCs w:val="24"/>
        </w:rPr>
        <w:t xml:space="preserve"> y la constitución del patrimonio autónomo</w:t>
      </w:r>
      <w:r w:rsidR="00663239" w:rsidRPr="00D43BAD">
        <w:rPr>
          <w:rFonts w:ascii="Gadugi" w:hAnsi="Gadugi" w:cs="Shruti"/>
          <w:sz w:val="24"/>
          <w:szCs w:val="24"/>
        </w:rPr>
        <w:t xml:space="preserve">, y como aquí se trata de acciones </w:t>
      </w:r>
      <w:r w:rsidR="0090565D" w:rsidRPr="00D43BAD">
        <w:rPr>
          <w:rFonts w:ascii="Gadugi" w:hAnsi="Gadugi" w:cs="Shruti"/>
          <w:sz w:val="24"/>
          <w:szCs w:val="24"/>
        </w:rPr>
        <w:t>nominativas</w:t>
      </w:r>
      <w:r w:rsidR="00663239" w:rsidRPr="00D43BAD">
        <w:rPr>
          <w:rFonts w:ascii="Gadugi" w:hAnsi="Gadugi" w:cs="Shruti"/>
          <w:sz w:val="24"/>
          <w:szCs w:val="24"/>
        </w:rPr>
        <w:t xml:space="preserve">, debe recordarse </w:t>
      </w:r>
      <w:bookmarkStart w:id="2" w:name="_Hlk64965323"/>
      <w:r w:rsidR="00663239" w:rsidRPr="00D43BAD">
        <w:rPr>
          <w:rFonts w:ascii="Gadugi" w:hAnsi="Gadugi" w:cs="Shruti"/>
          <w:sz w:val="24"/>
          <w:szCs w:val="24"/>
        </w:rPr>
        <w:t xml:space="preserve">que el artículo 406 del Código de Comercio establece que: </w:t>
      </w:r>
      <w:r w:rsidR="00663239" w:rsidRPr="00D43BAD">
        <w:rPr>
          <w:rFonts w:ascii="Gadugi" w:hAnsi="Gadugi" w:cs="Shruti"/>
          <w:i/>
          <w:sz w:val="24"/>
          <w:szCs w:val="24"/>
        </w:rPr>
        <w:t>“</w:t>
      </w:r>
      <w:r w:rsidR="00663239" w:rsidRPr="00D43BAD">
        <w:rPr>
          <w:rFonts w:ascii="Gadugi" w:hAnsi="Gadugi" w:cs="Shruti"/>
          <w:i/>
          <w:sz w:val="22"/>
          <w:szCs w:val="24"/>
        </w:rPr>
        <w:t xml:space="preserve">La enajenación de las acciones nominativas </w:t>
      </w:r>
      <w:r w:rsidR="00663239" w:rsidRPr="00D43BAD">
        <w:rPr>
          <w:rFonts w:ascii="Gadugi" w:hAnsi="Gadugi" w:cs="Shruti"/>
          <w:b/>
          <w:i/>
          <w:sz w:val="22"/>
          <w:szCs w:val="24"/>
        </w:rPr>
        <w:t>podrá hacerse por el simple acuerdo de las partes</w:t>
      </w:r>
      <w:r w:rsidR="00663239" w:rsidRPr="00D43BAD">
        <w:rPr>
          <w:rFonts w:ascii="Gadugi" w:hAnsi="Gadugi" w:cs="Shruti"/>
          <w:i/>
          <w:sz w:val="22"/>
          <w:szCs w:val="24"/>
        </w:rPr>
        <w:t xml:space="preserve">; </w:t>
      </w:r>
      <w:proofErr w:type="spellStart"/>
      <w:r w:rsidR="00663239" w:rsidRPr="00D43BAD">
        <w:rPr>
          <w:rFonts w:ascii="Gadugi" w:hAnsi="Gadugi" w:cs="Shruti"/>
          <w:i/>
          <w:sz w:val="22"/>
          <w:szCs w:val="24"/>
        </w:rPr>
        <w:t>mas</w:t>
      </w:r>
      <w:proofErr w:type="spellEnd"/>
      <w:r w:rsidR="00663239" w:rsidRPr="00D43BAD">
        <w:rPr>
          <w:rFonts w:ascii="Gadugi" w:hAnsi="Gadugi" w:cs="Shruti"/>
          <w:i/>
          <w:sz w:val="22"/>
          <w:szCs w:val="24"/>
        </w:rPr>
        <w:t xml:space="preserve"> </w:t>
      </w:r>
      <w:r w:rsidR="00663239" w:rsidRPr="00D43BAD">
        <w:rPr>
          <w:rFonts w:ascii="Gadugi" w:hAnsi="Gadugi" w:cs="Shruti"/>
          <w:b/>
          <w:i/>
          <w:sz w:val="22"/>
          <w:szCs w:val="24"/>
        </w:rPr>
        <w:t>para que produzca efecto</w:t>
      </w:r>
      <w:r w:rsidR="00663239" w:rsidRPr="00D43BAD">
        <w:rPr>
          <w:rFonts w:ascii="Gadugi" w:hAnsi="Gadugi" w:cs="Shruti"/>
          <w:i/>
          <w:sz w:val="22"/>
          <w:szCs w:val="24"/>
        </w:rPr>
        <w:t xml:space="preserve"> respecto de la sociedad y de terceros, </w:t>
      </w:r>
      <w:r w:rsidR="00663239" w:rsidRPr="00D43BAD">
        <w:rPr>
          <w:rFonts w:ascii="Gadugi" w:hAnsi="Gadugi" w:cs="Shruti"/>
          <w:b/>
          <w:i/>
          <w:sz w:val="22"/>
          <w:szCs w:val="24"/>
        </w:rPr>
        <w:t>será necesaria su inscripción en el libro de registro de acciones</w:t>
      </w:r>
      <w:r w:rsidR="00663239" w:rsidRPr="00D43BAD">
        <w:rPr>
          <w:rFonts w:ascii="Gadugi" w:hAnsi="Gadugi" w:cs="Shruti"/>
          <w:i/>
          <w:sz w:val="22"/>
          <w:szCs w:val="24"/>
        </w:rPr>
        <w:t xml:space="preserve">, </w:t>
      </w:r>
      <w:r w:rsidR="00663239" w:rsidRPr="00D43BAD">
        <w:rPr>
          <w:rFonts w:ascii="Gadugi" w:hAnsi="Gadugi" w:cs="Shruti"/>
          <w:b/>
          <w:i/>
          <w:sz w:val="22"/>
          <w:szCs w:val="24"/>
        </w:rPr>
        <w:t>mediante orden escrita del enajenante</w:t>
      </w:r>
      <w:r w:rsidR="00663239" w:rsidRPr="00D43BAD">
        <w:rPr>
          <w:rFonts w:ascii="Gadugi" w:hAnsi="Gadugi" w:cs="Shruti"/>
          <w:i/>
          <w:sz w:val="22"/>
          <w:szCs w:val="24"/>
        </w:rPr>
        <w:t xml:space="preserve">. Esta orden podrá darse en forma de endoso hecho sobre el título respectivo. Para hacer la nueva inscripción y expedir el título al adquirente, será menester la previa cancelación de los títulos expedidos al </w:t>
      </w:r>
      <w:proofErr w:type="spellStart"/>
      <w:r w:rsidR="00663239" w:rsidRPr="00D43BAD">
        <w:rPr>
          <w:rFonts w:ascii="Gadugi" w:hAnsi="Gadugi" w:cs="Shruti"/>
          <w:i/>
          <w:sz w:val="22"/>
          <w:szCs w:val="24"/>
        </w:rPr>
        <w:t>tradente</w:t>
      </w:r>
      <w:proofErr w:type="spellEnd"/>
      <w:r w:rsidR="00663239" w:rsidRPr="00D43BAD">
        <w:rPr>
          <w:rFonts w:ascii="Gadugi" w:hAnsi="Gadugi" w:cs="Shruti"/>
          <w:i/>
          <w:sz w:val="22"/>
          <w:szCs w:val="24"/>
        </w:rPr>
        <w:t>. (…)</w:t>
      </w:r>
      <w:r w:rsidR="00663239" w:rsidRPr="00D43BAD">
        <w:rPr>
          <w:rFonts w:ascii="Gadugi" w:hAnsi="Gadugi" w:cs="Shruti"/>
          <w:i/>
          <w:sz w:val="24"/>
          <w:szCs w:val="24"/>
        </w:rPr>
        <w:t>”</w:t>
      </w:r>
      <w:bookmarkEnd w:id="2"/>
      <w:r w:rsidR="0022120B" w:rsidRPr="00D43BAD">
        <w:rPr>
          <w:rFonts w:ascii="Gadugi" w:hAnsi="Gadugi" w:cs="Shruti"/>
          <w:i/>
          <w:sz w:val="24"/>
          <w:szCs w:val="24"/>
        </w:rPr>
        <w:t xml:space="preserve"> </w:t>
      </w:r>
      <w:r w:rsidR="0022120B" w:rsidRPr="00D43BAD">
        <w:rPr>
          <w:rFonts w:ascii="Gadugi" w:hAnsi="Gadugi" w:cs="Shruti"/>
          <w:sz w:val="24"/>
          <w:szCs w:val="24"/>
        </w:rPr>
        <w:t>(Destaca la Sala).</w:t>
      </w:r>
    </w:p>
    <w:p w14:paraId="12470E3B" w14:textId="77777777"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4AF997B1" w14:textId="0596AB00" w:rsidR="00663239" w:rsidRPr="00D43BAD" w:rsidRDefault="0066323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De lo que refulge que, para que se consolide la transferencia del dominio, es necesario</w:t>
      </w:r>
      <w:r w:rsidR="0022120B" w:rsidRPr="00D43BAD">
        <w:rPr>
          <w:rFonts w:ascii="Gadugi" w:hAnsi="Gadugi" w:cs="Shruti"/>
          <w:sz w:val="24"/>
          <w:szCs w:val="24"/>
        </w:rPr>
        <w:t>, cuando menos,</w:t>
      </w:r>
      <w:r w:rsidRPr="00D43BAD">
        <w:rPr>
          <w:rFonts w:ascii="Gadugi" w:hAnsi="Gadugi" w:cs="Shruti"/>
          <w:sz w:val="24"/>
          <w:szCs w:val="24"/>
        </w:rPr>
        <w:t xml:space="preserve"> lo siguiente: (i) La orden escrita del enajenante de las acciones (en este caso el fiduciante</w:t>
      </w:r>
      <w:r w:rsidR="009346DD" w:rsidRPr="00D43BAD">
        <w:rPr>
          <w:rFonts w:ascii="Gadugi" w:hAnsi="Gadugi" w:cs="Shruti"/>
          <w:sz w:val="24"/>
          <w:szCs w:val="24"/>
        </w:rPr>
        <w:t>),</w:t>
      </w:r>
      <w:r w:rsidRPr="00D43BAD">
        <w:rPr>
          <w:rFonts w:ascii="Gadugi" w:hAnsi="Gadugi" w:cs="Shruti"/>
          <w:sz w:val="24"/>
          <w:szCs w:val="24"/>
        </w:rPr>
        <w:t xml:space="preserve"> y (</w:t>
      </w:r>
      <w:r w:rsidR="009346DD" w:rsidRPr="00D43BAD">
        <w:rPr>
          <w:rFonts w:ascii="Gadugi" w:hAnsi="Gadugi" w:cs="Shruti"/>
          <w:sz w:val="24"/>
          <w:szCs w:val="24"/>
        </w:rPr>
        <w:t>ii</w:t>
      </w:r>
      <w:r w:rsidRPr="00D43BAD">
        <w:rPr>
          <w:rFonts w:ascii="Gadugi" w:hAnsi="Gadugi" w:cs="Shruti"/>
          <w:sz w:val="24"/>
          <w:szCs w:val="24"/>
        </w:rPr>
        <w:t xml:space="preserve">) El registro de la transferencia en el </w:t>
      </w:r>
      <w:r w:rsidR="00615ADB" w:rsidRPr="00D43BAD">
        <w:rPr>
          <w:rFonts w:ascii="Gadugi" w:hAnsi="Gadugi" w:cs="Shruti"/>
          <w:sz w:val="24"/>
          <w:szCs w:val="24"/>
        </w:rPr>
        <w:t>libro de registro de acciones.</w:t>
      </w:r>
    </w:p>
    <w:p w14:paraId="7F6CC4B4" w14:textId="68225576" w:rsidR="00663239" w:rsidRPr="00D43BAD" w:rsidRDefault="00615AD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3E18BC29" w14:textId="7B59E1DB" w:rsidR="000D49EA" w:rsidRPr="00D43BAD" w:rsidRDefault="000D49EA"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De la abundante documental que obra en el expediente, </w:t>
      </w:r>
      <w:r w:rsidR="00E56DA0" w:rsidRPr="00D43BAD">
        <w:rPr>
          <w:rFonts w:ascii="Gadugi" w:hAnsi="Gadugi" w:cs="Shruti"/>
          <w:sz w:val="24"/>
          <w:szCs w:val="24"/>
        </w:rPr>
        <w:t>específicamente, en los documentos que fueron exhibidos por la parte demandante, en la audiencia del 17 de mayo del 2012, encuentra la Sala los siguientes:</w:t>
      </w:r>
    </w:p>
    <w:p w14:paraId="17FB9765" w14:textId="423A8C37" w:rsidR="00E56DA0" w:rsidRPr="00D43BAD" w:rsidRDefault="00E56DA0" w:rsidP="00D43BAD">
      <w:pPr>
        <w:tabs>
          <w:tab w:val="left" w:pos="2835"/>
          <w:tab w:val="left" w:pos="3402"/>
        </w:tabs>
        <w:suppressAutoHyphens/>
        <w:spacing w:line="276" w:lineRule="auto"/>
        <w:jc w:val="both"/>
        <w:rPr>
          <w:rFonts w:ascii="Gadugi" w:hAnsi="Gadugi" w:cs="Shruti"/>
          <w:sz w:val="24"/>
          <w:szCs w:val="24"/>
        </w:rPr>
      </w:pPr>
    </w:p>
    <w:p w14:paraId="438C0BF9" w14:textId="504E9DA2" w:rsidR="008643D7" w:rsidRPr="00D43BAD" w:rsidRDefault="00E56DA0"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(i) Copia del documento </w:t>
      </w:r>
      <w:r w:rsidRPr="00D43BAD">
        <w:rPr>
          <w:rFonts w:ascii="Gadugi" w:hAnsi="Gadugi" w:cs="Shruti"/>
          <w:i/>
          <w:sz w:val="24"/>
          <w:szCs w:val="24"/>
        </w:rPr>
        <w:t>“</w:t>
      </w:r>
      <w:r w:rsidRPr="00D43BAD">
        <w:rPr>
          <w:rFonts w:ascii="Gadugi" w:hAnsi="Gadugi" w:cs="Shruti"/>
          <w:i/>
          <w:sz w:val="22"/>
          <w:szCs w:val="24"/>
        </w:rPr>
        <w:t>FIDEICOMISO FUENTE DE PAGO</w:t>
      </w:r>
      <w:r w:rsidRPr="00D43BAD">
        <w:rPr>
          <w:rFonts w:ascii="Gadugi" w:hAnsi="Gadugi" w:cs="Shruti"/>
          <w:i/>
          <w:sz w:val="24"/>
          <w:szCs w:val="24"/>
        </w:rPr>
        <w:t xml:space="preserve">”, </w:t>
      </w:r>
      <w:r w:rsidR="008643D7" w:rsidRPr="00D43BAD">
        <w:rPr>
          <w:rFonts w:ascii="Gadugi" w:hAnsi="Gadugi" w:cs="Shruti"/>
          <w:sz w:val="24"/>
          <w:szCs w:val="24"/>
        </w:rPr>
        <w:t>suscrito por los aquí litigantes el 21 de abril de 1995</w:t>
      </w:r>
      <w:r w:rsidR="008643D7" w:rsidRPr="00D43BAD">
        <w:rPr>
          <w:rFonts w:ascii="Gadugi" w:hAnsi="Gadugi" w:cs="Shruti"/>
          <w:i/>
          <w:sz w:val="24"/>
          <w:szCs w:val="24"/>
        </w:rPr>
        <w:t xml:space="preserve">, </w:t>
      </w:r>
      <w:r w:rsidRPr="00D43BAD">
        <w:rPr>
          <w:rFonts w:ascii="Gadugi" w:hAnsi="Gadugi" w:cs="Shruti"/>
          <w:sz w:val="24"/>
          <w:szCs w:val="24"/>
        </w:rPr>
        <w:t xml:space="preserve">cuya cláusula primera, establece </w:t>
      </w:r>
      <w:r w:rsidRPr="00D43BAD">
        <w:rPr>
          <w:rFonts w:ascii="Gadugi" w:hAnsi="Gadugi" w:cs="Shruti"/>
          <w:i/>
          <w:sz w:val="24"/>
          <w:szCs w:val="24"/>
        </w:rPr>
        <w:t>“</w:t>
      </w:r>
      <w:r w:rsidRPr="00D43BAD">
        <w:rPr>
          <w:rFonts w:ascii="Gadugi" w:hAnsi="Gadugi" w:cs="Shruti"/>
          <w:i/>
          <w:sz w:val="22"/>
          <w:szCs w:val="24"/>
        </w:rPr>
        <w:t xml:space="preserve">TRANSFERENCIA: El (LA) (LOS FIDEICOMITENTE (S) transfiere (n) al Fiduciario, a título de FIDUCIA MERCANTIL IRREVOCABLE, la totalidad de los derechos reales, el dominio y la </w:t>
      </w:r>
      <w:r w:rsidRPr="00D43BAD">
        <w:rPr>
          <w:rFonts w:ascii="Gadugi" w:hAnsi="Gadugi" w:cs="Shruti"/>
          <w:i/>
          <w:sz w:val="22"/>
          <w:szCs w:val="24"/>
        </w:rPr>
        <w:lastRenderedPageBreak/>
        <w:t xml:space="preserve">posesión que tiene (n) y ejerce (n) sobre DOSCIENTAS </w:t>
      </w:r>
      <w:r w:rsidR="008643D7" w:rsidRPr="00D43BAD">
        <w:rPr>
          <w:rFonts w:ascii="Gadugi" w:hAnsi="Gadugi" w:cs="Shruti"/>
          <w:i/>
          <w:sz w:val="22"/>
          <w:szCs w:val="24"/>
        </w:rPr>
        <w:t>OCHENTA ACCIONES de la sociedad INVERSIONES MÉDICAS DE ANTIOQUIA “INVERMÉDICAS S.A.”, por un valor intrínseco (…) A estos bienes y los que adquiera el FIDUCIARIO en desarrollo de ese Contrato, se aplicarán los artículos 1227, 1233, 1238, del Código de Comercio, constituyendo un Patrimonio Autónomo que se identificará con la siguiente mención: PATRIMONIO LAS VEGAS JARAMILLO</w:t>
      </w:r>
      <w:r w:rsidR="008643D7" w:rsidRPr="00D43BAD">
        <w:rPr>
          <w:rFonts w:ascii="Gadugi" w:hAnsi="Gadugi" w:cs="Shruti"/>
          <w:i/>
          <w:sz w:val="24"/>
          <w:szCs w:val="24"/>
        </w:rPr>
        <w:t>”</w:t>
      </w:r>
      <w:r w:rsidR="00D43BAD">
        <w:rPr>
          <w:rFonts w:ascii="Gadugi" w:hAnsi="Gadugi" w:cs="Shruti"/>
          <w:i/>
          <w:sz w:val="24"/>
          <w:szCs w:val="24"/>
        </w:rPr>
        <w:t xml:space="preserve"> </w:t>
      </w:r>
      <w:r w:rsidR="00F57B61" w:rsidRPr="00D43BAD">
        <w:rPr>
          <w:rStyle w:val="Refdenotaalpie"/>
          <w:rFonts w:ascii="Gadugi" w:hAnsi="Gadugi" w:cs="Shruti"/>
          <w:i/>
          <w:sz w:val="24"/>
          <w:szCs w:val="24"/>
        </w:rPr>
        <w:footnoteReference w:id="25"/>
      </w:r>
    </w:p>
    <w:p w14:paraId="5B21E4FB" w14:textId="78B3608D" w:rsidR="00E56DA0" w:rsidRPr="00D43BAD" w:rsidRDefault="008643D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 xml:space="preserve"> </w:t>
      </w:r>
    </w:p>
    <w:p w14:paraId="148BE867" w14:textId="3B30DB55" w:rsidR="008643D7" w:rsidRPr="00D43BAD" w:rsidRDefault="008643D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(ii) Un oficio</w:t>
      </w:r>
      <w:r w:rsidR="00FD1EA5" w:rsidRPr="00D43BAD">
        <w:rPr>
          <w:rFonts w:ascii="Gadugi" w:hAnsi="Gadugi" w:cs="Shruti"/>
          <w:sz w:val="24"/>
          <w:szCs w:val="24"/>
        </w:rPr>
        <w:t xml:space="preserve"> de esa misma fecha,</w:t>
      </w:r>
      <w:r w:rsidRPr="00D43BAD">
        <w:rPr>
          <w:rFonts w:ascii="Gadugi" w:hAnsi="Gadugi" w:cs="Shruti"/>
          <w:sz w:val="24"/>
          <w:szCs w:val="24"/>
        </w:rPr>
        <w:t xml:space="preserve"> suscrito por José Raúl Jaramillo Zuloaga, dirigido a Inversiones Médicas e Antioquia S.A., informando que</w:t>
      </w:r>
      <w:r w:rsidR="00B704BB" w:rsidRPr="00D43BAD">
        <w:rPr>
          <w:rFonts w:ascii="Gadugi" w:hAnsi="Gadugi" w:cs="Shruti"/>
          <w:sz w:val="24"/>
          <w:szCs w:val="24"/>
        </w:rPr>
        <w:t xml:space="preserve"> </w:t>
      </w:r>
      <w:r w:rsidR="00B704BB" w:rsidRPr="00D43BAD">
        <w:rPr>
          <w:rFonts w:ascii="Gadugi" w:hAnsi="Gadugi" w:cs="Shruti"/>
          <w:i/>
          <w:sz w:val="24"/>
          <w:szCs w:val="24"/>
        </w:rPr>
        <w:t>“(</w:t>
      </w:r>
      <w:r w:rsidR="00B704BB" w:rsidRPr="00D43BAD">
        <w:rPr>
          <w:rFonts w:ascii="Gadugi" w:hAnsi="Gadugi" w:cs="Shruti"/>
          <w:i/>
          <w:sz w:val="22"/>
          <w:szCs w:val="24"/>
        </w:rPr>
        <w:t xml:space="preserve">…) en la fecha he cedido a favor de FIDUCIA ALIANZA S.A. </w:t>
      </w:r>
      <w:proofErr w:type="spellStart"/>
      <w:r w:rsidR="00B704BB" w:rsidRPr="00D43BAD">
        <w:rPr>
          <w:rFonts w:ascii="Gadugi" w:hAnsi="Gadugi" w:cs="Shruti"/>
          <w:i/>
          <w:sz w:val="22"/>
          <w:szCs w:val="24"/>
        </w:rPr>
        <w:t>Nit</w:t>
      </w:r>
      <w:proofErr w:type="spellEnd"/>
      <w:r w:rsidR="00B704BB" w:rsidRPr="00D43BAD">
        <w:rPr>
          <w:rFonts w:ascii="Gadugi" w:hAnsi="Gadugi" w:cs="Shruti"/>
          <w:i/>
          <w:sz w:val="22"/>
          <w:szCs w:val="24"/>
        </w:rPr>
        <w:t xml:space="preserve"> No. 860.351.315-3, la cantidad de DOSCIENTAS OCHENTA (280) acciones de esa compañía, las cuales están representadas en los títulos números: 074, 130 y 0213 (…) Les solicito registrar esta transferencia en el libro de Accionistas respectivo y expedir un nuevo título</w:t>
      </w:r>
      <w:r w:rsidR="00B704BB" w:rsidRPr="00D43BAD">
        <w:rPr>
          <w:rFonts w:ascii="Gadugi" w:hAnsi="Gadugi" w:cs="Shruti"/>
          <w:i/>
          <w:sz w:val="24"/>
          <w:szCs w:val="24"/>
        </w:rPr>
        <w:t>.”</w:t>
      </w:r>
      <w:r w:rsidR="00F57B61" w:rsidRPr="00D43BAD">
        <w:rPr>
          <w:rStyle w:val="Refdenotaalpie"/>
          <w:rFonts w:ascii="Gadugi" w:hAnsi="Gadugi" w:cs="Shruti"/>
          <w:i/>
          <w:sz w:val="24"/>
          <w:szCs w:val="24"/>
        </w:rPr>
        <w:footnoteReference w:id="26"/>
      </w:r>
      <w:r w:rsidR="00B704BB" w:rsidRPr="00D43BAD">
        <w:rPr>
          <w:rFonts w:ascii="Gadugi" w:hAnsi="Gadugi" w:cs="Shruti"/>
          <w:i/>
          <w:sz w:val="24"/>
          <w:szCs w:val="24"/>
        </w:rPr>
        <w:t xml:space="preserve"> </w:t>
      </w:r>
      <w:r w:rsidRPr="00D43BAD">
        <w:rPr>
          <w:rFonts w:ascii="Gadugi" w:hAnsi="Gadugi" w:cs="Shruti"/>
          <w:i/>
          <w:sz w:val="24"/>
          <w:szCs w:val="24"/>
        </w:rPr>
        <w:t xml:space="preserve"> </w:t>
      </w:r>
      <w:r w:rsidR="00B62D5C" w:rsidRPr="00D43BAD">
        <w:rPr>
          <w:rFonts w:ascii="Gadugi" w:hAnsi="Gadugi" w:cs="Shruti"/>
          <w:sz w:val="24"/>
          <w:szCs w:val="24"/>
        </w:rPr>
        <w:t xml:space="preserve"> </w:t>
      </w:r>
    </w:p>
    <w:p w14:paraId="1001940A" w14:textId="27990FB0" w:rsidR="00B704BB" w:rsidRPr="00D43BAD" w:rsidRDefault="00B704BB" w:rsidP="00D43BAD">
      <w:pPr>
        <w:tabs>
          <w:tab w:val="left" w:pos="2835"/>
          <w:tab w:val="left" w:pos="3402"/>
        </w:tabs>
        <w:suppressAutoHyphens/>
        <w:spacing w:line="276" w:lineRule="auto"/>
        <w:jc w:val="both"/>
        <w:rPr>
          <w:rFonts w:ascii="Gadugi" w:hAnsi="Gadugi" w:cs="Shruti"/>
          <w:sz w:val="24"/>
          <w:szCs w:val="24"/>
        </w:rPr>
      </w:pPr>
    </w:p>
    <w:p w14:paraId="35FB946D" w14:textId="5DD9C3D6" w:rsidR="00B704BB" w:rsidRPr="00D43BAD" w:rsidRDefault="00B704B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(iii) Copia del libro de registro de accionistas de la sociedad Inversiones Médicas de Antioquia S.A., en el que aparece la anotación </w:t>
      </w:r>
      <w:r w:rsidRPr="00D43BAD">
        <w:rPr>
          <w:rFonts w:ascii="Gadugi" w:hAnsi="Gadugi" w:cs="Shruti"/>
          <w:i/>
          <w:sz w:val="24"/>
          <w:szCs w:val="24"/>
        </w:rPr>
        <w:t>“</w:t>
      </w:r>
      <w:r w:rsidRPr="00D43BAD">
        <w:rPr>
          <w:rFonts w:ascii="Gadugi" w:hAnsi="Gadugi" w:cs="Shruti"/>
          <w:i/>
          <w:sz w:val="22"/>
          <w:szCs w:val="24"/>
        </w:rPr>
        <w:t>2. Constitución Fideicomiso fuente de pago a favor de Fiduciaria Alianza – 10 de abril de 1995 por 280 acciones</w:t>
      </w:r>
      <w:r w:rsidRPr="00D43BAD">
        <w:rPr>
          <w:rFonts w:ascii="Gadugi" w:hAnsi="Gadugi" w:cs="Shruti"/>
          <w:i/>
          <w:sz w:val="24"/>
          <w:szCs w:val="24"/>
        </w:rPr>
        <w:t>.”</w:t>
      </w:r>
      <w:r w:rsidR="00F57B61" w:rsidRPr="00D43BAD">
        <w:rPr>
          <w:rStyle w:val="Refdenotaalpie"/>
          <w:rFonts w:ascii="Gadugi" w:hAnsi="Gadugi" w:cs="Shruti"/>
          <w:i/>
          <w:sz w:val="24"/>
          <w:szCs w:val="24"/>
        </w:rPr>
        <w:footnoteReference w:id="27"/>
      </w:r>
    </w:p>
    <w:p w14:paraId="06CC558E" w14:textId="3D24F520" w:rsidR="00B704BB" w:rsidRPr="00D43BAD" w:rsidRDefault="00B704BB" w:rsidP="00D43BAD">
      <w:pPr>
        <w:tabs>
          <w:tab w:val="left" w:pos="2835"/>
          <w:tab w:val="left" w:pos="3402"/>
        </w:tabs>
        <w:suppressAutoHyphens/>
        <w:spacing w:line="276" w:lineRule="auto"/>
        <w:jc w:val="both"/>
        <w:rPr>
          <w:rFonts w:ascii="Gadugi" w:hAnsi="Gadugi" w:cs="Shruti"/>
          <w:sz w:val="24"/>
          <w:szCs w:val="24"/>
        </w:rPr>
      </w:pPr>
    </w:p>
    <w:p w14:paraId="7D6CABCE" w14:textId="1183AB1B" w:rsidR="008C4FD9" w:rsidRPr="00D43BAD" w:rsidRDefault="00FD1EA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Ahora, es cierto que </w:t>
      </w:r>
      <w:r w:rsidR="00797814" w:rsidRPr="00D43BAD">
        <w:rPr>
          <w:rFonts w:ascii="Gadugi" w:hAnsi="Gadugi" w:cs="Shruti"/>
          <w:sz w:val="24"/>
          <w:szCs w:val="24"/>
        </w:rPr>
        <w:t xml:space="preserve">en el libro aparece que el registro de la constitución del fideicomiso sucedió el 10 de abril de 1995, es decir, antes de la celebración del contrato, sin embargo, eso tiene una explicación visible en las consideraciones del salvamento del laudo arbitral que se ha venido comentando, en el que se aclara que </w:t>
      </w:r>
      <w:r w:rsidR="00797814" w:rsidRPr="00D43BAD">
        <w:rPr>
          <w:rFonts w:ascii="Gadugi" w:hAnsi="Gadugi" w:cs="Shruti"/>
          <w:i/>
          <w:sz w:val="24"/>
          <w:szCs w:val="24"/>
        </w:rPr>
        <w:t>“(</w:t>
      </w:r>
      <w:r w:rsidR="00797814" w:rsidRPr="00D43BAD">
        <w:rPr>
          <w:rFonts w:ascii="Gadugi" w:hAnsi="Gadugi" w:cs="Shruti"/>
          <w:i/>
          <w:sz w:val="22"/>
          <w:szCs w:val="24"/>
        </w:rPr>
        <w:t xml:space="preserve">…) el fiduciante y propietario pleno de las acciones, doctor José Raúl Jaramillo, pidió a </w:t>
      </w:r>
      <w:proofErr w:type="spellStart"/>
      <w:r w:rsidR="00797814" w:rsidRPr="00D43BAD">
        <w:rPr>
          <w:rFonts w:ascii="Gadugi" w:hAnsi="Gadugi" w:cs="Shruti"/>
          <w:i/>
          <w:sz w:val="22"/>
          <w:szCs w:val="24"/>
        </w:rPr>
        <w:t>Invermédicas</w:t>
      </w:r>
      <w:proofErr w:type="spellEnd"/>
      <w:r w:rsidR="00797814" w:rsidRPr="00D43BAD">
        <w:rPr>
          <w:rFonts w:ascii="Gadugi" w:hAnsi="Gadugi" w:cs="Shruti"/>
          <w:i/>
          <w:sz w:val="22"/>
          <w:szCs w:val="24"/>
        </w:rPr>
        <w:t xml:space="preserve">, primero en carta el 5 de abril de 1995 que registrara la “pignoración” de las acciones a nombre de Fiducia Alianza S.A. de las 280 acciones que tenía en </w:t>
      </w:r>
      <w:proofErr w:type="spellStart"/>
      <w:r w:rsidR="00797814" w:rsidRPr="00D43BAD">
        <w:rPr>
          <w:rFonts w:ascii="Gadugi" w:hAnsi="Gadugi" w:cs="Shruti"/>
          <w:i/>
          <w:sz w:val="22"/>
          <w:szCs w:val="24"/>
        </w:rPr>
        <w:t>Invermédicas</w:t>
      </w:r>
      <w:proofErr w:type="spellEnd"/>
      <w:r w:rsidR="00797814" w:rsidRPr="00D43BAD">
        <w:rPr>
          <w:rFonts w:ascii="Gadugi" w:hAnsi="Gadugi" w:cs="Shruti"/>
          <w:i/>
          <w:sz w:val="24"/>
          <w:szCs w:val="24"/>
        </w:rPr>
        <w:t>.”</w:t>
      </w:r>
      <w:r w:rsidR="00F57B61" w:rsidRPr="00D43BAD">
        <w:rPr>
          <w:rStyle w:val="Refdenotaalpie"/>
          <w:rFonts w:ascii="Gadugi" w:hAnsi="Gadugi" w:cs="Shruti"/>
          <w:i/>
          <w:sz w:val="24"/>
          <w:szCs w:val="24"/>
        </w:rPr>
        <w:footnoteReference w:id="28"/>
      </w:r>
      <w:r w:rsidR="00F02BE9" w:rsidRPr="00D43BAD">
        <w:rPr>
          <w:rFonts w:ascii="Gadugi" w:hAnsi="Gadugi" w:cs="Shruti"/>
          <w:sz w:val="24"/>
          <w:szCs w:val="24"/>
        </w:rPr>
        <w:t xml:space="preserve"> </w:t>
      </w:r>
      <w:r w:rsidR="00797814" w:rsidRPr="00D43BAD">
        <w:rPr>
          <w:rFonts w:ascii="Gadugi" w:hAnsi="Gadugi" w:cs="Shruti"/>
          <w:sz w:val="24"/>
          <w:szCs w:val="24"/>
        </w:rPr>
        <w:t xml:space="preserve">; de ahí que con oficio del 10 de abril el </w:t>
      </w:r>
      <w:r w:rsidR="008C4FD9" w:rsidRPr="00D43BAD">
        <w:rPr>
          <w:rFonts w:ascii="Gadugi" w:hAnsi="Gadugi" w:cs="Shruti"/>
          <w:sz w:val="24"/>
          <w:szCs w:val="24"/>
        </w:rPr>
        <w:t xml:space="preserve">Gerente de </w:t>
      </w:r>
      <w:proofErr w:type="spellStart"/>
      <w:r w:rsidR="008C4FD9" w:rsidRPr="00D43BAD">
        <w:rPr>
          <w:rFonts w:ascii="Gadugi" w:hAnsi="Gadugi" w:cs="Shruti"/>
          <w:sz w:val="24"/>
          <w:szCs w:val="24"/>
        </w:rPr>
        <w:t>Invermédicas</w:t>
      </w:r>
      <w:proofErr w:type="spellEnd"/>
      <w:r w:rsidR="008C4FD9" w:rsidRPr="00D43BAD">
        <w:rPr>
          <w:rFonts w:ascii="Gadugi" w:hAnsi="Gadugi" w:cs="Shruti"/>
          <w:sz w:val="24"/>
          <w:szCs w:val="24"/>
        </w:rPr>
        <w:t>, le certificara a Fiducia Alianza S.A., que había quedado registrada la pignoración de las acciones.</w:t>
      </w:r>
      <w:r w:rsidR="00F57B61" w:rsidRPr="00D43BAD">
        <w:rPr>
          <w:rStyle w:val="Refdenotaalpie"/>
          <w:rFonts w:ascii="Gadugi" w:hAnsi="Gadugi" w:cs="Shruti"/>
          <w:sz w:val="24"/>
          <w:szCs w:val="24"/>
        </w:rPr>
        <w:footnoteReference w:id="29"/>
      </w:r>
      <w:r w:rsidR="008C4FD9" w:rsidRPr="00D43BAD">
        <w:rPr>
          <w:rFonts w:ascii="Gadugi" w:hAnsi="Gadugi" w:cs="Shruti"/>
          <w:sz w:val="24"/>
          <w:szCs w:val="24"/>
        </w:rPr>
        <w:t xml:space="preserve"> </w:t>
      </w:r>
    </w:p>
    <w:p w14:paraId="48336596" w14:textId="77777777" w:rsidR="008C4FD9" w:rsidRPr="00D43BAD" w:rsidRDefault="008C4FD9" w:rsidP="00D43BAD">
      <w:pPr>
        <w:tabs>
          <w:tab w:val="left" w:pos="2835"/>
          <w:tab w:val="left" w:pos="3402"/>
        </w:tabs>
        <w:suppressAutoHyphens/>
        <w:spacing w:line="276" w:lineRule="auto"/>
        <w:jc w:val="both"/>
        <w:rPr>
          <w:rFonts w:ascii="Gadugi" w:hAnsi="Gadugi" w:cs="Shruti"/>
          <w:sz w:val="24"/>
          <w:szCs w:val="24"/>
        </w:rPr>
      </w:pPr>
    </w:p>
    <w:p w14:paraId="4DDCA171" w14:textId="6D31D23E" w:rsidR="00FD1EA5" w:rsidRPr="00D43BAD" w:rsidRDefault="008C4FD9"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Y en todo caso, </w:t>
      </w:r>
      <w:r w:rsidR="000F0664" w:rsidRPr="00D43BAD">
        <w:rPr>
          <w:rFonts w:ascii="Gadugi" w:hAnsi="Gadugi" w:cs="Shruti"/>
          <w:sz w:val="24"/>
          <w:szCs w:val="24"/>
        </w:rPr>
        <w:t>si bien</w:t>
      </w:r>
      <w:r w:rsidRPr="00D43BAD">
        <w:rPr>
          <w:rFonts w:ascii="Gadugi" w:hAnsi="Gadugi" w:cs="Shruti"/>
          <w:sz w:val="24"/>
          <w:szCs w:val="24"/>
        </w:rPr>
        <w:t xml:space="preserve"> la autenticación del contrato de fiducia </w:t>
      </w:r>
      <w:r w:rsidR="000F0664" w:rsidRPr="00D43BAD">
        <w:rPr>
          <w:rFonts w:ascii="Gadugi" w:hAnsi="Gadugi" w:cs="Shruti"/>
          <w:sz w:val="24"/>
          <w:szCs w:val="24"/>
        </w:rPr>
        <w:t>se hizo</w:t>
      </w:r>
      <w:r w:rsidRPr="00D43BAD">
        <w:rPr>
          <w:rFonts w:ascii="Gadugi" w:hAnsi="Gadugi" w:cs="Shruti"/>
          <w:sz w:val="24"/>
          <w:szCs w:val="24"/>
        </w:rPr>
        <w:t xml:space="preserve"> el 21 de abril de 1995, </w:t>
      </w:r>
      <w:r w:rsidR="000F0664" w:rsidRPr="00D43BAD">
        <w:rPr>
          <w:rFonts w:ascii="Gadugi" w:hAnsi="Gadugi" w:cs="Shruti"/>
          <w:sz w:val="24"/>
          <w:szCs w:val="24"/>
        </w:rPr>
        <w:t>ello no implica, por sí solo, que se hubiera suscrito en esa calenda</w:t>
      </w:r>
      <w:r w:rsidRPr="00D43BAD">
        <w:rPr>
          <w:rFonts w:ascii="Gadugi" w:hAnsi="Gadugi" w:cs="Shruti"/>
          <w:sz w:val="24"/>
          <w:szCs w:val="24"/>
        </w:rPr>
        <w:t xml:space="preserve">, como en efecto, y tal como lo deja ver la evidencia, sucedió. </w:t>
      </w:r>
    </w:p>
    <w:p w14:paraId="5BAAA912" w14:textId="77777777" w:rsidR="00FD1EA5" w:rsidRPr="00D43BAD" w:rsidRDefault="00FD1EA5" w:rsidP="00D43BAD">
      <w:pPr>
        <w:tabs>
          <w:tab w:val="left" w:pos="2835"/>
          <w:tab w:val="left" w:pos="3402"/>
        </w:tabs>
        <w:suppressAutoHyphens/>
        <w:spacing w:line="276" w:lineRule="auto"/>
        <w:jc w:val="both"/>
        <w:rPr>
          <w:rFonts w:ascii="Gadugi" w:hAnsi="Gadugi" w:cs="Shruti"/>
          <w:sz w:val="24"/>
          <w:szCs w:val="24"/>
        </w:rPr>
      </w:pPr>
    </w:p>
    <w:p w14:paraId="236A01D8" w14:textId="2B5B910E" w:rsidR="00B704BB" w:rsidRPr="00D43BAD" w:rsidRDefault="00B704B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 xml:space="preserve">(iv) </w:t>
      </w:r>
      <w:r w:rsidR="008C4FD9" w:rsidRPr="00D43BAD">
        <w:rPr>
          <w:rFonts w:ascii="Gadugi" w:hAnsi="Gadugi" w:cs="Shruti"/>
          <w:sz w:val="24"/>
          <w:szCs w:val="24"/>
        </w:rPr>
        <w:t>También hay u</w:t>
      </w:r>
      <w:r w:rsidRPr="00D43BAD">
        <w:rPr>
          <w:rFonts w:ascii="Gadugi" w:hAnsi="Gadugi" w:cs="Shruti"/>
          <w:sz w:val="24"/>
          <w:szCs w:val="24"/>
        </w:rPr>
        <w:t>n oficio</w:t>
      </w:r>
      <w:r w:rsidR="00F31B33" w:rsidRPr="00D43BAD">
        <w:rPr>
          <w:rFonts w:ascii="Gadugi" w:hAnsi="Gadugi" w:cs="Shruti"/>
          <w:sz w:val="24"/>
          <w:szCs w:val="24"/>
        </w:rPr>
        <w:t xml:space="preserve"> del 21 de febrero del 2003,</w:t>
      </w:r>
      <w:r w:rsidRPr="00D43BAD">
        <w:rPr>
          <w:rFonts w:ascii="Gadugi" w:hAnsi="Gadugi" w:cs="Shruti"/>
          <w:sz w:val="24"/>
          <w:szCs w:val="24"/>
        </w:rPr>
        <w:t xml:space="preserve"> emitido por el representante legal de Inversiones Médicas de Antioquia S.A.</w:t>
      </w:r>
      <w:r w:rsidR="00F31B33" w:rsidRPr="00D43BAD">
        <w:rPr>
          <w:rFonts w:ascii="Gadugi" w:hAnsi="Gadugi" w:cs="Shruti"/>
          <w:sz w:val="24"/>
          <w:szCs w:val="24"/>
        </w:rPr>
        <w:t>, en el que certifica que en el libro de registro de accionistas de la compañía</w:t>
      </w:r>
      <w:r w:rsidR="00FD5E56" w:rsidRPr="00D43BAD">
        <w:rPr>
          <w:rFonts w:ascii="Gadugi" w:hAnsi="Gadugi" w:cs="Shruti"/>
          <w:sz w:val="24"/>
          <w:szCs w:val="24"/>
        </w:rPr>
        <w:t xml:space="preserve"> que</w:t>
      </w:r>
      <w:r w:rsidR="00F31B33" w:rsidRPr="00D43BAD">
        <w:rPr>
          <w:rFonts w:ascii="Gadugi" w:hAnsi="Gadugi" w:cs="Shruti"/>
          <w:sz w:val="24"/>
          <w:szCs w:val="24"/>
        </w:rPr>
        <w:t xml:space="preserve">, </w:t>
      </w:r>
      <w:r w:rsidR="00F31B33" w:rsidRPr="00D43BAD">
        <w:rPr>
          <w:rFonts w:ascii="Gadugi" w:hAnsi="Gadugi" w:cs="Shruti"/>
          <w:i/>
          <w:sz w:val="24"/>
          <w:szCs w:val="24"/>
        </w:rPr>
        <w:t>“</w:t>
      </w:r>
      <w:r w:rsidR="00F31B33" w:rsidRPr="00D43BAD">
        <w:rPr>
          <w:rFonts w:ascii="Gadugi" w:hAnsi="Gadugi" w:cs="Shruti"/>
          <w:i/>
          <w:sz w:val="22"/>
          <w:szCs w:val="24"/>
        </w:rPr>
        <w:t xml:space="preserve">(…) con fecha de 10 de abril de 1995, se inscribió en el folio correspondiente al </w:t>
      </w:r>
      <w:r w:rsidR="00FD5E56" w:rsidRPr="00D43BAD">
        <w:rPr>
          <w:rFonts w:ascii="Gadugi" w:hAnsi="Gadugi" w:cs="Shruti"/>
          <w:i/>
          <w:sz w:val="22"/>
          <w:szCs w:val="24"/>
        </w:rPr>
        <w:t>accionista</w:t>
      </w:r>
      <w:r w:rsidR="00F31B33" w:rsidRPr="00D43BAD">
        <w:rPr>
          <w:rFonts w:ascii="Gadugi" w:hAnsi="Gadugi" w:cs="Shruti"/>
          <w:i/>
          <w:sz w:val="22"/>
          <w:szCs w:val="24"/>
        </w:rPr>
        <w:t xml:space="preserve"> </w:t>
      </w:r>
      <w:r w:rsidR="00FD5E56" w:rsidRPr="00D43BAD">
        <w:rPr>
          <w:rFonts w:ascii="Gadugi" w:hAnsi="Gadugi" w:cs="Shruti"/>
          <w:i/>
          <w:sz w:val="22"/>
          <w:szCs w:val="24"/>
        </w:rPr>
        <w:t xml:space="preserve">JOSÉ RAÚL JARAMILLO ZULOAGA, (…) la constitución del patrimonio autónomo denominado PATRIMONIO LAS VEGAS JARAMILLO, conformado por doscientos ochenta (280) acciones de sociedad </w:t>
      </w:r>
      <w:r w:rsidR="00FD5E56" w:rsidRPr="00D43BAD">
        <w:rPr>
          <w:rFonts w:ascii="Gadugi" w:hAnsi="Gadugi" w:cs="Shruti"/>
          <w:i/>
          <w:sz w:val="22"/>
          <w:szCs w:val="24"/>
        </w:rPr>
        <w:lastRenderedPageBreak/>
        <w:t>Inversiones Médicas de Antioquia S.A. “INVERMÉDICAS S.A.” que fueron transferidas por los fideicomitentes a Alianza a título de fiducia mercantil para la conformación del patrimonio autónomo</w:t>
      </w:r>
      <w:r w:rsidR="00FD5E56" w:rsidRPr="00D43BAD">
        <w:rPr>
          <w:rFonts w:ascii="Gadugi" w:hAnsi="Gadugi" w:cs="Shruti"/>
          <w:i/>
          <w:sz w:val="24"/>
          <w:szCs w:val="24"/>
        </w:rPr>
        <w:t>.”</w:t>
      </w:r>
      <w:r w:rsidR="000F0664" w:rsidRPr="00D43BAD">
        <w:rPr>
          <w:rStyle w:val="Refdenotaalpie"/>
          <w:rFonts w:ascii="Gadugi" w:hAnsi="Gadugi" w:cs="Shruti"/>
          <w:i/>
          <w:sz w:val="24"/>
          <w:szCs w:val="24"/>
        </w:rPr>
        <w:footnoteReference w:id="30"/>
      </w:r>
      <w:r w:rsidR="00FD5E56" w:rsidRPr="00D43BAD">
        <w:rPr>
          <w:rFonts w:ascii="Gadugi" w:hAnsi="Gadugi" w:cs="Shruti"/>
          <w:sz w:val="24"/>
          <w:szCs w:val="24"/>
        </w:rPr>
        <w:t xml:space="preserve"> </w:t>
      </w:r>
      <w:r w:rsidR="00B62D5C" w:rsidRPr="00D43BAD">
        <w:rPr>
          <w:rFonts w:ascii="Gadugi" w:hAnsi="Gadugi" w:cs="Shruti"/>
          <w:sz w:val="24"/>
          <w:szCs w:val="24"/>
        </w:rPr>
        <w:t xml:space="preserve"> (f. 61, c. pruebas demandante) </w:t>
      </w:r>
    </w:p>
    <w:p w14:paraId="380F15DD" w14:textId="1FE4672D" w:rsidR="00596A4C" w:rsidRPr="00D43BAD" w:rsidRDefault="00E56DA0"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1856F999" w14:textId="4DD7441C" w:rsidR="00596A4C" w:rsidRPr="00D43BAD" w:rsidRDefault="00797814" w:rsidP="00D43BAD">
      <w:pPr>
        <w:pStyle w:val="Prrafodelista"/>
        <w:numPr>
          <w:ilvl w:val="0"/>
          <w:numId w:val="9"/>
        </w:numPr>
        <w:tabs>
          <w:tab w:val="left" w:pos="2835"/>
          <w:tab w:val="left" w:pos="3402"/>
        </w:tabs>
        <w:suppressAutoHyphens/>
        <w:spacing w:line="276" w:lineRule="auto"/>
        <w:ind w:left="0" w:firstLine="2835"/>
        <w:jc w:val="both"/>
        <w:rPr>
          <w:rFonts w:ascii="Gadugi" w:hAnsi="Gadugi" w:cs="Shruti"/>
          <w:i/>
          <w:sz w:val="24"/>
          <w:szCs w:val="24"/>
        </w:rPr>
      </w:pPr>
      <w:r w:rsidRPr="00D43BAD">
        <w:rPr>
          <w:rFonts w:ascii="Gadugi" w:hAnsi="Gadugi" w:cs="Shruti"/>
          <w:sz w:val="24"/>
          <w:szCs w:val="24"/>
        </w:rPr>
        <w:t>Y o</w:t>
      </w:r>
      <w:r w:rsidR="000D65E3" w:rsidRPr="00D43BAD">
        <w:rPr>
          <w:rFonts w:ascii="Gadugi" w:hAnsi="Gadugi" w:cs="Shruti"/>
          <w:sz w:val="24"/>
          <w:szCs w:val="24"/>
        </w:rPr>
        <w:t xml:space="preserve">tro oficio del 19 de octubre de 1999, en el que aparece </w:t>
      </w:r>
      <w:r w:rsidR="006D64B5" w:rsidRPr="00D43BAD">
        <w:rPr>
          <w:rFonts w:ascii="Gadugi" w:hAnsi="Gadugi" w:cs="Shruti"/>
          <w:i/>
          <w:sz w:val="24"/>
          <w:szCs w:val="24"/>
        </w:rPr>
        <w:t>“</w:t>
      </w:r>
      <w:r w:rsidR="006D64B5" w:rsidRPr="006919A9">
        <w:rPr>
          <w:rFonts w:ascii="Gadugi" w:hAnsi="Gadugi" w:cs="Shruti"/>
          <w:i/>
          <w:sz w:val="22"/>
          <w:szCs w:val="24"/>
        </w:rPr>
        <w:t>Referencia: Instrucción de liquidación de Fideicomiso ADM 4642-0631 VEGAS JARAMILLO (…) Las acciones de INVERMÉDICAS, patrimonio del Fideicomiso, se vendieron y se cancelaron los créditos avalados por Coomeva. (…) Este se encuentra a paz y salvo por todo concepto. (…) En virtud de lo anterior se instruye al Departamento de Contabilidad, para darle de baja a dicho Fideicomiso</w:t>
      </w:r>
      <w:r w:rsidR="006D64B5" w:rsidRPr="00D43BAD">
        <w:rPr>
          <w:rFonts w:ascii="Gadugi" w:hAnsi="Gadugi" w:cs="Shruti"/>
          <w:i/>
          <w:sz w:val="24"/>
          <w:szCs w:val="24"/>
        </w:rPr>
        <w:t>”.</w:t>
      </w:r>
      <w:r w:rsidR="000F0664" w:rsidRPr="00D43BAD">
        <w:rPr>
          <w:rStyle w:val="Refdenotaalpie"/>
          <w:rFonts w:ascii="Gadugi" w:hAnsi="Gadugi" w:cs="Shruti"/>
          <w:i/>
          <w:sz w:val="24"/>
          <w:szCs w:val="24"/>
        </w:rPr>
        <w:footnoteReference w:id="31"/>
      </w:r>
    </w:p>
    <w:p w14:paraId="73C32BD2" w14:textId="21750AAE" w:rsidR="005128F5" w:rsidRPr="00D43BAD" w:rsidRDefault="005128F5" w:rsidP="00D43BAD">
      <w:pPr>
        <w:pStyle w:val="Prrafodelista"/>
        <w:tabs>
          <w:tab w:val="left" w:pos="3402"/>
        </w:tabs>
        <w:suppressAutoHyphens/>
        <w:spacing w:line="276" w:lineRule="auto"/>
        <w:ind w:left="0" w:firstLine="2835"/>
        <w:jc w:val="both"/>
        <w:rPr>
          <w:rFonts w:ascii="Gadugi" w:hAnsi="Gadugi" w:cs="Shruti"/>
          <w:sz w:val="24"/>
          <w:szCs w:val="24"/>
        </w:rPr>
      </w:pPr>
    </w:p>
    <w:p w14:paraId="5E8F2F76" w14:textId="5CEA8D7E" w:rsidR="002A0420" w:rsidRPr="00D43BAD" w:rsidRDefault="00CA5B0E" w:rsidP="00D43BAD">
      <w:pPr>
        <w:pStyle w:val="Prrafodelista"/>
        <w:tabs>
          <w:tab w:val="left" w:pos="3402"/>
        </w:tabs>
        <w:suppressAutoHyphens/>
        <w:spacing w:line="276" w:lineRule="auto"/>
        <w:ind w:left="0" w:firstLine="2835"/>
        <w:jc w:val="both"/>
        <w:rPr>
          <w:rFonts w:ascii="Gadugi" w:hAnsi="Gadugi" w:cs="Shruti"/>
          <w:sz w:val="24"/>
          <w:szCs w:val="24"/>
        </w:rPr>
      </w:pPr>
      <w:r w:rsidRPr="00D43BAD">
        <w:rPr>
          <w:rFonts w:ascii="Gadugi" w:hAnsi="Gadugi" w:cs="Shruti"/>
          <w:sz w:val="24"/>
          <w:szCs w:val="24"/>
        </w:rPr>
        <w:t>Las intervenciones que acaban de citarse, emitidas por cada uno de los actores del negocio,</w:t>
      </w:r>
      <w:r w:rsidR="002A0420" w:rsidRPr="00D43BAD">
        <w:rPr>
          <w:rFonts w:ascii="Gadugi" w:hAnsi="Gadugi" w:cs="Shruti"/>
          <w:sz w:val="24"/>
          <w:szCs w:val="24"/>
        </w:rPr>
        <w:t xml:space="preserve"> </w:t>
      </w:r>
      <w:r w:rsidR="00112235" w:rsidRPr="00D43BAD">
        <w:rPr>
          <w:rFonts w:ascii="Gadugi" w:hAnsi="Gadugi" w:cs="Shruti"/>
          <w:sz w:val="24"/>
          <w:szCs w:val="24"/>
        </w:rPr>
        <w:t>ponen en evidencia</w:t>
      </w:r>
      <w:r w:rsidR="002A0420" w:rsidRPr="00D43BAD">
        <w:rPr>
          <w:rFonts w:ascii="Gadugi" w:hAnsi="Gadugi" w:cs="Shruti"/>
          <w:sz w:val="24"/>
          <w:szCs w:val="24"/>
        </w:rPr>
        <w:t xml:space="preserve"> dos cosas, la primera</w:t>
      </w:r>
      <w:r w:rsidR="00112235" w:rsidRPr="00D43BAD">
        <w:rPr>
          <w:rFonts w:ascii="Gadugi" w:hAnsi="Gadugi" w:cs="Shruti"/>
          <w:sz w:val="24"/>
          <w:szCs w:val="24"/>
        </w:rPr>
        <w:t>, la inequívoca voluntad del señor Jaramillo Zuloaga de crear, con el capital que representaban las acciones, la garantía en favor de Coomeva S.A.,</w:t>
      </w:r>
      <w:r w:rsidR="00F57B61" w:rsidRPr="00D43BAD">
        <w:rPr>
          <w:rFonts w:ascii="Gadugi" w:hAnsi="Gadugi" w:cs="Shruti"/>
          <w:sz w:val="24"/>
          <w:szCs w:val="24"/>
        </w:rPr>
        <w:t xml:space="preserve"> expresada en las órdenes que emitió en tal sentido</w:t>
      </w:r>
      <w:r w:rsidR="000F0664" w:rsidRPr="00D43BAD">
        <w:rPr>
          <w:rFonts w:ascii="Gadugi" w:hAnsi="Gadugi" w:cs="Shruti"/>
          <w:sz w:val="24"/>
          <w:szCs w:val="24"/>
        </w:rPr>
        <w:t xml:space="preserve"> hacia la sociedad de accionistas</w:t>
      </w:r>
      <w:r w:rsidR="00F57B61" w:rsidRPr="00D43BAD">
        <w:rPr>
          <w:rFonts w:ascii="Gadugi" w:hAnsi="Gadugi" w:cs="Shruti"/>
          <w:sz w:val="24"/>
          <w:szCs w:val="24"/>
        </w:rPr>
        <w:t>;</w:t>
      </w:r>
      <w:r w:rsidR="00112235" w:rsidRPr="00D43BAD">
        <w:rPr>
          <w:rFonts w:ascii="Gadugi" w:hAnsi="Gadugi" w:cs="Shruti"/>
          <w:sz w:val="24"/>
          <w:szCs w:val="24"/>
        </w:rPr>
        <w:t xml:space="preserve"> y la segunda, la transferencia del </w:t>
      </w:r>
      <w:r w:rsidR="00801A2C" w:rsidRPr="00D43BAD">
        <w:rPr>
          <w:rFonts w:ascii="Gadugi" w:hAnsi="Gadugi" w:cs="Shruti"/>
          <w:sz w:val="24"/>
          <w:szCs w:val="24"/>
        </w:rPr>
        <w:t>dominio</w:t>
      </w:r>
      <w:r w:rsidR="00112235" w:rsidRPr="00D43BAD">
        <w:rPr>
          <w:rFonts w:ascii="Gadugi" w:hAnsi="Gadugi" w:cs="Shruti"/>
          <w:sz w:val="24"/>
          <w:szCs w:val="24"/>
        </w:rPr>
        <w:t xml:space="preserve"> de los bienes fideicomitidos, en favor de la Fiduciaria S.A., y la consecuente creación del patrimonio autónomo “Las Vegas Jaramillo”.</w:t>
      </w:r>
    </w:p>
    <w:p w14:paraId="1DE55F5E" w14:textId="03885EE9" w:rsidR="00112235" w:rsidRPr="00D43BAD" w:rsidRDefault="00112235" w:rsidP="00D43BAD">
      <w:pPr>
        <w:pStyle w:val="Prrafodelista"/>
        <w:tabs>
          <w:tab w:val="left" w:pos="3402"/>
        </w:tabs>
        <w:suppressAutoHyphens/>
        <w:spacing w:line="276" w:lineRule="auto"/>
        <w:ind w:left="0" w:firstLine="2835"/>
        <w:jc w:val="both"/>
        <w:rPr>
          <w:rFonts w:ascii="Gadugi" w:hAnsi="Gadugi" w:cs="Shruti"/>
          <w:sz w:val="24"/>
          <w:szCs w:val="24"/>
        </w:rPr>
      </w:pPr>
    </w:p>
    <w:p w14:paraId="21ADC83E" w14:textId="566161CA" w:rsidR="00112235" w:rsidRPr="00D43BAD" w:rsidRDefault="00112235" w:rsidP="00D43BAD">
      <w:pPr>
        <w:pStyle w:val="Prrafodelista"/>
        <w:tabs>
          <w:tab w:val="left" w:pos="3402"/>
        </w:tabs>
        <w:suppressAutoHyphens/>
        <w:spacing w:line="276" w:lineRule="auto"/>
        <w:ind w:left="0" w:firstLine="2835"/>
        <w:jc w:val="both"/>
        <w:rPr>
          <w:rFonts w:ascii="Gadugi" w:hAnsi="Gadugi" w:cs="Shruti"/>
          <w:sz w:val="24"/>
          <w:szCs w:val="24"/>
        </w:rPr>
      </w:pPr>
      <w:r w:rsidRPr="00D43BAD">
        <w:rPr>
          <w:rFonts w:ascii="Gadugi" w:hAnsi="Gadugi" w:cs="Shruti"/>
          <w:sz w:val="24"/>
          <w:szCs w:val="24"/>
        </w:rPr>
        <w:t>Y se afirma esto último, a pesar de que no aparezca en el expediente la cancelación y posterior emisión de los títulos en favor de la entidad fiduciaria</w:t>
      </w:r>
      <w:r w:rsidR="00B37344" w:rsidRPr="00D43BAD">
        <w:rPr>
          <w:rFonts w:ascii="Gadugi" w:hAnsi="Gadugi" w:cs="Shruti"/>
          <w:sz w:val="24"/>
          <w:szCs w:val="24"/>
        </w:rPr>
        <w:t>,</w:t>
      </w:r>
      <w:r w:rsidR="00727A56" w:rsidRPr="00D43BAD">
        <w:rPr>
          <w:rFonts w:ascii="Gadugi" w:hAnsi="Gadugi" w:cs="Shruti"/>
          <w:sz w:val="24"/>
          <w:szCs w:val="24"/>
        </w:rPr>
        <w:t xml:space="preserve"> porque, por una parte, el registro del contrato de fiducia quedó estampado en el libro de registro de accionistas, y por otra, </w:t>
      </w:r>
      <w:r w:rsidRPr="00D43BAD">
        <w:rPr>
          <w:rFonts w:ascii="Gadugi" w:hAnsi="Gadugi" w:cs="Shruti"/>
          <w:sz w:val="24"/>
          <w:szCs w:val="24"/>
        </w:rPr>
        <w:t xml:space="preserve">los títulos, en todo caso, </w:t>
      </w:r>
      <w:r w:rsidR="00801A2C" w:rsidRPr="00D43BAD">
        <w:rPr>
          <w:rFonts w:ascii="Gadugi" w:hAnsi="Gadugi" w:cs="Shruti"/>
          <w:sz w:val="24"/>
          <w:szCs w:val="24"/>
        </w:rPr>
        <w:t>no</w:t>
      </w:r>
      <w:r w:rsidRPr="00D43BAD">
        <w:rPr>
          <w:rFonts w:ascii="Gadugi" w:hAnsi="Gadugi" w:cs="Shruti"/>
          <w:sz w:val="24"/>
          <w:szCs w:val="24"/>
        </w:rPr>
        <w:t xml:space="preserve"> son más que un documento que representa un derecho, no el derecho en sí mismo, tan es así, que las acciones pudieron enajenarse, y con el producto de su venta ejecutar la garantía, sin necesidad de que se hubieran emitido los títulos a nombre de la entidad fiduciaria.  </w:t>
      </w:r>
    </w:p>
    <w:p w14:paraId="5A28462D" w14:textId="5F3DD17A" w:rsidR="00774A01" w:rsidRPr="00D43BAD" w:rsidRDefault="00727A56" w:rsidP="00D43BAD">
      <w:pPr>
        <w:tabs>
          <w:tab w:val="left" w:pos="2835"/>
        </w:tabs>
        <w:suppressAutoHyphens/>
        <w:spacing w:line="276" w:lineRule="auto"/>
        <w:jc w:val="both"/>
        <w:rPr>
          <w:rFonts w:ascii="Gadugi" w:hAnsi="Gadugi" w:cs="Shruti"/>
          <w:sz w:val="24"/>
          <w:szCs w:val="24"/>
        </w:rPr>
      </w:pPr>
      <w:r w:rsidRPr="00D43BAD">
        <w:rPr>
          <w:rFonts w:ascii="Gadugi" w:hAnsi="Gadugi" w:cs="Shruti"/>
          <w:sz w:val="24"/>
          <w:szCs w:val="24"/>
        </w:rPr>
        <w:tab/>
      </w:r>
    </w:p>
    <w:p w14:paraId="729D9E41" w14:textId="3D7B5A2B" w:rsidR="00C84ABD" w:rsidRPr="00D43BAD" w:rsidRDefault="00774A01" w:rsidP="00D43BAD">
      <w:pPr>
        <w:tabs>
          <w:tab w:val="left" w:pos="2835"/>
        </w:tabs>
        <w:suppressAutoHyphens/>
        <w:spacing w:line="276" w:lineRule="auto"/>
        <w:jc w:val="both"/>
        <w:rPr>
          <w:rFonts w:ascii="Gadugi" w:hAnsi="Gadugi" w:cs="Shruti"/>
          <w:sz w:val="24"/>
          <w:szCs w:val="24"/>
        </w:rPr>
      </w:pPr>
      <w:r w:rsidRPr="00D43BAD">
        <w:rPr>
          <w:rFonts w:ascii="Gadugi" w:hAnsi="Gadugi" w:cs="Shruti"/>
          <w:sz w:val="24"/>
          <w:szCs w:val="24"/>
        </w:rPr>
        <w:tab/>
      </w:r>
      <w:r w:rsidR="00727A56" w:rsidRPr="00D43BAD">
        <w:rPr>
          <w:rFonts w:ascii="Gadugi" w:hAnsi="Gadugi" w:cs="Shruti"/>
          <w:sz w:val="24"/>
          <w:szCs w:val="24"/>
        </w:rPr>
        <w:t xml:space="preserve">Sobre las </w:t>
      </w:r>
      <w:r w:rsidR="00C84ABD" w:rsidRPr="00D43BAD">
        <w:rPr>
          <w:rFonts w:ascii="Gadugi" w:hAnsi="Gadugi" w:cs="Shruti"/>
          <w:sz w:val="24"/>
          <w:szCs w:val="24"/>
        </w:rPr>
        <w:t xml:space="preserve">dos </w:t>
      </w:r>
      <w:r w:rsidR="00727A56" w:rsidRPr="00D43BAD">
        <w:rPr>
          <w:rFonts w:ascii="Gadugi" w:hAnsi="Gadugi" w:cs="Shruti"/>
          <w:sz w:val="24"/>
          <w:szCs w:val="24"/>
        </w:rPr>
        <w:t xml:space="preserve">razones que acaban de plantearse, </w:t>
      </w:r>
      <w:r w:rsidR="00112235" w:rsidRPr="00D43BAD">
        <w:rPr>
          <w:rFonts w:ascii="Gadugi" w:hAnsi="Gadugi" w:cs="Shruti"/>
          <w:sz w:val="24"/>
          <w:szCs w:val="24"/>
        </w:rPr>
        <w:t xml:space="preserve">la </w:t>
      </w:r>
      <w:r w:rsidR="00C84ABD" w:rsidRPr="00D43BAD">
        <w:rPr>
          <w:rFonts w:ascii="Gadugi" w:hAnsi="Gadugi" w:cs="Shruti"/>
          <w:sz w:val="24"/>
          <w:szCs w:val="24"/>
        </w:rPr>
        <w:t>Sala de Casación Civil de la Corte Suprema de Justicia expone lo siguiente, que es útil para lo que</w:t>
      </w:r>
      <w:r w:rsidR="00D83F27" w:rsidRPr="00D43BAD">
        <w:rPr>
          <w:rFonts w:ascii="Gadugi" w:hAnsi="Gadugi" w:cs="Shruti"/>
          <w:sz w:val="24"/>
          <w:szCs w:val="24"/>
        </w:rPr>
        <w:t xml:space="preserve"> se</w:t>
      </w:r>
      <w:r w:rsidR="00C84ABD" w:rsidRPr="00D43BAD">
        <w:rPr>
          <w:rFonts w:ascii="Gadugi" w:hAnsi="Gadugi" w:cs="Shruti"/>
          <w:sz w:val="24"/>
          <w:szCs w:val="24"/>
        </w:rPr>
        <w:t xml:space="preserve"> pretende</w:t>
      </w:r>
      <w:r w:rsidR="00D83F27" w:rsidRPr="00D43BAD">
        <w:rPr>
          <w:rFonts w:ascii="Gadugi" w:hAnsi="Gadugi" w:cs="Shruti"/>
          <w:sz w:val="24"/>
          <w:szCs w:val="24"/>
        </w:rPr>
        <w:t xml:space="preserve"> explicar</w:t>
      </w:r>
      <w:r w:rsidR="00C84ABD" w:rsidRPr="00D43BAD">
        <w:rPr>
          <w:rFonts w:ascii="Gadugi" w:hAnsi="Gadugi" w:cs="Shruti"/>
          <w:sz w:val="24"/>
          <w:szCs w:val="24"/>
        </w:rPr>
        <w:t>:</w:t>
      </w:r>
      <w:r w:rsidR="00C84ABD" w:rsidRPr="00D43BAD">
        <w:rPr>
          <w:rStyle w:val="Refdenotaalpie"/>
          <w:rFonts w:ascii="Gadugi" w:hAnsi="Gadugi" w:cs="Shruti"/>
          <w:sz w:val="24"/>
          <w:szCs w:val="24"/>
        </w:rPr>
        <w:t xml:space="preserve"> </w:t>
      </w:r>
      <w:r w:rsidR="00C84ABD" w:rsidRPr="00D43BAD">
        <w:rPr>
          <w:rStyle w:val="Refdenotaalpie"/>
          <w:rFonts w:ascii="Gadugi" w:hAnsi="Gadugi" w:cs="Shruti"/>
          <w:sz w:val="24"/>
          <w:szCs w:val="24"/>
        </w:rPr>
        <w:footnoteReference w:id="32"/>
      </w:r>
    </w:p>
    <w:p w14:paraId="32CEF5A4" w14:textId="77777777" w:rsidR="00C84ABD" w:rsidRPr="00D43BAD" w:rsidRDefault="00C84ABD" w:rsidP="00D43BAD">
      <w:pPr>
        <w:pStyle w:val="Prrafodelista"/>
        <w:tabs>
          <w:tab w:val="left" w:pos="3402"/>
        </w:tabs>
        <w:suppressAutoHyphens/>
        <w:spacing w:line="276" w:lineRule="auto"/>
        <w:ind w:left="0" w:firstLine="2835"/>
        <w:jc w:val="both"/>
        <w:rPr>
          <w:rFonts w:ascii="Gadugi" w:hAnsi="Gadugi" w:cs="Shruti"/>
          <w:sz w:val="24"/>
          <w:szCs w:val="24"/>
        </w:rPr>
      </w:pPr>
    </w:p>
    <w:p w14:paraId="3EED6B62" w14:textId="5FDDE169" w:rsidR="00C84ABD" w:rsidRPr="006919A9" w:rsidRDefault="00C84ABD" w:rsidP="006919A9">
      <w:pPr>
        <w:pStyle w:val="Prrafodelista"/>
        <w:tabs>
          <w:tab w:val="left" w:pos="3402"/>
        </w:tabs>
        <w:suppressAutoHyphens/>
        <w:ind w:left="426" w:right="420" w:firstLine="2268"/>
        <w:jc w:val="both"/>
        <w:rPr>
          <w:rFonts w:ascii="Gadugi" w:hAnsi="Gadugi" w:cs="Shruti"/>
          <w:sz w:val="22"/>
          <w:szCs w:val="24"/>
        </w:rPr>
      </w:pPr>
      <w:r w:rsidRPr="006919A9">
        <w:rPr>
          <w:rFonts w:ascii="Gadugi" w:hAnsi="Gadugi" w:cs="Shruti"/>
          <w:sz w:val="22"/>
          <w:szCs w:val="24"/>
        </w:rPr>
        <w:t xml:space="preserve">De igual manera hay que distinguir el título (entendido como causa), del modo; pues es bien sabido que en nuestro ordenamiento jurídico la enajenación implica ambos actos. Tratándose de una compraventa de acciones, específicamente, el título se materializa en el contrato, cuyo perfeccionamiento se da por el simple acuerdo de las partes (artículos 406 y 864 ibidem); mientras que el modo se concreta a la tradición de las acciones, que se realiza normalmente por endoso. </w:t>
      </w:r>
      <w:r w:rsidRPr="006919A9">
        <w:rPr>
          <w:rFonts w:ascii="Gadugi" w:hAnsi="Gadugi" w:cs="Shruti"/>
          <w:b/>
          <w:sz w:val="22"/>
          <w:szCs w:val="24"/>
        </w:rPr>
        <w:t>La inscripción del adquirente en el libro de registro de accionistas, por orden escrita del enajenante, no afecta el modo porque el objeto de esta formalidad es que la cesión produzca efectos frente a la sociedad y a terceros (artículo 406 ejusdem).</w:t>
      </w:r>
      <w:r w:rsidRPr="006919A9">
        <w:rPr>
          <w:rFonts w:ascii="Gadugi" w:hAnsi="Gadugi" w:cs="Shruti"/>
          <w:sz w:val="22"/>
          <w:szCs w:val="24"/>
        </w:rPr>
        <w:t xml:space="preserve"> </w:t>
      </w:r>
      <w:r w:rsidR="00774A01" w:rsidRPr="006919A9">
        <w:rPr>
          <w:rFonts w:ascii="Gadugi" w:hAnsi="Gadugi" w:cs="Shruti"/>
          <w:sz w:val="22"/>
          <w:szCs w:val="24"/>
        </w:rPr>
        <w:t>(Destaca la sala)</w:t>
      </w:r>
    </w:p>
    <w:p w14:paraId="216908AA" w14:textId="77777777" w:rsidR="00C84ABD" w:rsidRPr="00D43BAD" w:rsidRDefault="00C84ABD" w:rsidP="00D43BAD">
      <w:pPr>
        <w:pStyle w:val="Prrafodelista"/>
        <w:tabs>
          <w:tab w:val="left" w:pos="3402"/>
        </w:tabs>
        <w:suppressAutoHyphens/>
        <w:spacing w:line="276" w:lineRule="auto"/>
        <w:ind w:left="0" w:firstLine="2835"/>
        <w:jc w:val="both"/>
        <w:rPr>
          <w:rFonts w:ascii="Gadugi" w:hAnsi="Gadugi" w:cs="Shruti"/>
          <w:sz w:val="24"/>
          <w:szCs w:val="24"/>
        </w:rPr>
      </w:pPr>
    </w:p>
    <w:p w14:paraId="4E9A6A15" w14:textId="1C5E8983" w:rsidR="002A0420" w:rsidRPr="00D43BAD" w:rsidRDefault="00C84ABD" w:rsidP="00D43BAD">
      <w:pPr>
        <w:pStyle w:val="Prrafodelista"/>
        <w:tabs>
          <w:tab w:val="left" w:pos="3402"/>
        </w:tabs>
        <w:suppressAutoHyphens/>
        <w:spacing w:line="276" w:lineRule="auto"/>
        <w:ind w:left="0" w:firstLine="2835"/>
        <w:jc w:val="both"/>
        <w:rPr>
          <w:rFonts w:ascii="Gadugi" w:hAnsi="Gadugi" w:cs="Shruti"/>
          <w:sz w:val="24"/>
          <w:szCs w:val="24"/>
        </w:rPr>
      </w:pPr>
      <w:r w:rsidRPr="00D43BAD">
        <w:rPr>
          <w:rFonts w:ascii="Gadugi" w:hAnsi="Gadugi" w:cs="Shruti"/>
          <w:sz w:val="24"/>
          <w:szCs w:val="24"/>
        </w:rPr>
        <w:t>Y la Superintendencia de sociedades también aclara</w:t>
      </w:r>
      <w:r w:rsidR="00112235" w:rsidRPr="00D43BAD">
        <w:rPr>
          <w:rFonts w:ascii="Gadugi" w:hAnsi="Gadugi" w:cs="Shruti"/>
          <w:sz w:val="24"/>
          <w:szCs w:val="24"/>
        </w:rPr>
        <w:t>:</w:t>
      </w:r>
      <w:r w:rsidRPr="00D43BAD">
        <w:rPr>
          <w:rStyle w:val="Refdenotaalpie"/>
          <w:rFonts w:ascii="Gadugi" w:hAnsi="Gadugi" w:cs="Shruti"/>
          <w:sz w:val="24"/>
          <w:szCs w:val="24"/>
        </w:rPr>
        <w:footnoteReference w:id="33"/>
      </w:r>
    </w:p>
    <w:p w14:paraId="58A2D6C4" w14:textId="52ACE72F" w:rsidR="00112235" w:rsidRPr="00D43BAD" w:rsidRDefault="00727A56" w:rsidP="00D43BAD">
      <w:pPr>
        <w:tabs>
          <w:tab w:val="left" w:pos="2835"/>
        </w:tabs>
        <w:suppressAutoHyphens/>
        <w:spacing w:line="276" w:lineRule="auto"/>
        <w:ind w:left="567" w:right="618"/>
        <w:jc w:val="both"/>
        <w:rPr>
          <w:rFonts w:ascii="Gadugi" w:hAnsi="Gadugi" w:cs="Shruti"/>
          <w:sz w:val="24"/>
          <w:szCs w:val="24"/>
        </w:rPr>
      </w:pPr>
      <w:r w:rsidRPr="00D43BAD">
        <w:rPr>
          <w:rFonts w:ascii="Gadugi" w:hAnsi="Gadugi" w:cs="Shruti"/>
          <w:sz w:val="24"/>
          <w:szCs w:val="24"/>
        </w:rPr>
        <w:tab/>
      </w:r>
    </w:p>
    <w:p w14:paraId="0BECA104" w14:textId="07BB1961" w:rsidR="00112235" w:rsidRPr="006919A9" w:rsidRDefault="00112235" w:rsidP="006919A9">
      <w:pPr>
        <w:tabs>
          <w:tab w:val="left" w:pos="2835"/>
        </w:tabs>
        <w:suppressAutoHyphens/>
        <w:ind w:left="426" w:right="420"/>
        <w:jc w:val="both"/>
        <w:rPr>
          <w:rFonts w:ascii="Gadugi" w:hAnsi="Gadugi" w:cs="Shruti"/>
          <w:sz w:val="22"/>
          <w:szCs w:val="24"/>
        </w:rPr>
      </w:pPr>
      <w:r w:rsidRPr="006919A9">
        <w:rPr>
          <w:rFonts w:ascii="Gadugi" w:hAnsi="Gadugi" w:cs="Shruti"/>
          <w:sz w:val="22"/>
          <w:szCs w:val="24"/>
        </w:rPr>
        <w:tab/>
        <w:t xml:space="preserve">“(…) En virtud del carácter nominal de las acciones, la sociedad le reconocerá el carácter de accionista únicamente a la persona que </w:t>
      </w:r>
      <w:r w:rsidRPr="006919A9">
        <w:rPr>
          <w:rFonts w:ascii="Gadugi" w:hAnsi="Gadugi" w:cs="Shruti"/>
          <w:b/>
          <w:sz w:val="22"/>
          <w:szCs w:val="24"/>
        </w:rPr>
        <w:t>aparezca inscrita como tal en el libro de acciones</w:t>
      </w:r>
      <w:r w:rsidRPr="006919A9">
        <w:rPr>
          <w:rFonts w:ascii="Gadugi" w:hAnsi="Gadugi" w:cs="Shruti"/>
          <w:sz w:val="22"/>
          <w:szCs w:val="24"/>
        </w:rPr>
        <w:t xml:space="preserve"> (…). </w:t>
      </w:r>
      <w:r w:rsidRPr="006919A9">
        <w:rPr>
          <w:rFonts w:ascii="Gadugi" w:hAnsi="Gadugi" w:cs="Shruti"/>
          <w:b/>
          <w:sz w:val="22"/>
          <w:szCs w:val="24"/>
        </w:rPr>
        <w:t>La calidad de accionista de ninguna manera se subordina a la expedición del título correspondiente, resultando ser un medio probatorio, pero no necesario para el ejercicio de los derechos correspondientes; el título no los incorpora, sino que se tienen en virtud de la misma ley (C. Co., art. 379).</w:t>
      </w:r>
      <w:r w:rsidRPr="006919A9">
        <w:rPr>
          <w:rFonts w:ascii="Gadugi" w:hAnsi="Gadugi" w:cs="Shruti"/>
          <w:sz w:val="22"/>
          <w:szCs w:val="24"/>
        </w:rPr>
        <w:t xml:space="preserve"> De hecho, si un título representativo de unos derechos sociales se extraviare, si bien su propietario tiene que proceder conforme a lo establecido en el artículo 402 del Código de Comercio, no por ello se inhabilita para el ejercicio de sus derechos, pues es su registro como accionista en el libro correspondiente el que brinda la garantía y seguridad en cuanto a su calidad de accionista y participación porcentual en el capital social. </w:t>
      </w:r>
      <w:r w:rsidRPr="006919A9">
        <w:rPr>
          <w:rFonts w:ascii="Gadugi" w:hAnsi="Gadugi" w:cs="Shruti"/>
          <w:b/>
          <w:sz w:val="22"/>
          <w:szCs w:val="24"/>
        </w:rPr>
        <w:t>Es cierto que el legislación mercantil prevé que para hacer la nueva inscripción y expedir el título al nuevo adquirente se requiere la cancelación de los títulos expedidos al trayente; sin embargo, el hecho mismo de no haberse procedido de conformidad, no representa peligro inminente para su propietario, pues el título en sí tiene una importancia secundaria, pues es la inscripción en el libro de registro correspondiente la que cuenta para establecer la calidad de accionista y la que hace oponibles a la sociedad y a terceros los derechos del accionista</w:t>
      </w:r>
      <w:r w:rsidRPr="006919A9">
        <w:rPr>
          <w:rFonts w:ascii="Gadugi" w:hAnsi="Gadugi" w:cs="Shruti"/>
          <w:sz w:val="22"/>
          <w:szCs w:val="24"/>
        </w:rPr>
        <w:t>. Además, el acto de cancelación de los títulos es obligación de la sociedad con base en la carta de traspaso correspondiente, y no de las partes involucradas en el negocio, quienes no pueden resultar afectadas ni perjudicadas por la negligencia de los directivos de la sociedad en la cual tienen su inversión. (…)”. (Superintendencia de Sociedades, Oficio 220-1082, del 17 de enero de 2001. El resaltado es fuera del texto).</w:t>
      </w:r>
      <w:r w:rsidR="004E6612" w:rsidRPr="006919A9">
        <w:rPr>
          <w:rFonts w:ascii="Gadugi" w:hAnsi="Gadugi" w:cs="Shruti"/>
          <w:sz w:val="22"/>
          <w:szCs w:val="24"/>
        </w:rPr>
        <w:t xml:space="preserve"> (Destaca la sala)</w:t>
      </w:r>
    </w:p>
    <w:p w14:paraId="58B57222" w14:textId="77777777" w:rsidR="004E6612" w:rsidRPr="00D43BAD" w:rsidRDefault="004E6612" w:rsidP="00D43BAD">
      <w:pPr>
        <w:tabs>
          <w:tab w:val="left" w:pos="2835"/>
        </w:tabs>
        <w:suppressAutoHyphens/>
        <w:spacing w:line="276" w:lineRule="auto"/>
        <w:ind w:right="618"/>
        <w:jc w:val="both"/>
        <w:rPr>
          <w:rFonts w:ascii="Gadugi" w:hAnsi="Gadugi" w:cs="Shruti"/>
          <w:sz w:val="24"/>
          <w:szCs w:val="24"/>
        </w:rPr>
      </w:pPr>
    </w:p>
    <w:p w14:paraId="4F33CBEF" w14:textId="0D315634" w:rsidR="00C00A84" w:rsidRPr="00D43BAD" w:rsidRDefault="00C00A84" w:rsidP="00D43BAD">
      <w:pPr>
        <w:pStyle w:val="Prrafodelista"/>
        <w:tabs>
          <w:tab w:val="left" w:pos="3402"/>
        </w:tabs>
        <w:suppressAutoHyphens/>
        <w:spacing w:line="276" w:lineRule="auto"/>
        <w:ind w:left="0" w:firstLine="2835"/>
        <w:jc w:val="both"/>
        <w:rPr>
          <w:rFonts w:ascii="Gadugi" w:hAnsi="Gadugi" w:cs="Shruti"/>
          <w:sz w:val="24"/>
          <w:szCs w:val="24"/>
        </w:rPr>
      </w:pPr>
      <w:r w:rsidRPr="00D43BAD">
        <w:rPr>
          <w:rFonts w:ascii="Gadugi" w:hAnsi="Gadugi" w:cs="Shruti"/>
          <w:sz w:val="24"/>
          <w:szCs w:val="24"/>
        </w:rPr>
        <w:t>Lo que acaba de resaltarse hace ver enrevesada la idea de</w:t>
      </w:r>
      <w:r w:rsidR="00490F75" w:rsidRPr="00D43BAD">
        <w:rPr>
          <w:rFonts w:ascii="Gadugi" w:hAnsi="Gadugi" w:cs="Shruti"/>
          <w:sz w:val="24"/>
          <w:szCs w:val="24"/>
        </w:rPr>
        <w:t xml:space="preserve"> desconocer el acuerdo,</w:t>
      </w:r>
      <w:r w:rsidRPr="00D43BAD">
        <w:rPr>
          <w:rFonts w:ascii="Gadugi" w:hAnsi="Gadugi" w:cs="Shruti"/>
          <w:sz w:val="24"/>
          <w:szCs w:val="24"/>
        </w:rPr>
        <w:t xml:space="preserve"> </w:t>
      </w:r>
      <w:r w:rsidR="00490F75" w:rsidRPr="00D43BAD">
        <w:rPr>
          <w:rFonts w:ascii="Gadugi" w:hAnsi="Gadugi" w:cs="Shruti"/>
          <w:sz w:val="24"/>
          <w:szCs w:val="24"/>
        </w:rPr>
        <w:t>aferrándose</w:t>
      </w:r>
      <w:r w:rsidR="002A0420" w:rsidRPr="00D43BAD">
        <w:rPr>
          <w:rFonts w:ascii="Gadugi" w:hAnsi="Gadugi" w:cs="Shruti"/>
          <w:sz w:val="24"/>
          <w:szCs w:val="24"/>
        </w:rPr>
        <w:t xml:space="preserve"> a</w:t>
      </w:r>
      <w:r w:rsidR="00CA5B0E" w:rsidRPr="00D43BAD">
        <w:rPr>
          <w:rFonts w:ascii="Gadugi" w:hAnsi="Gadugi" w:cs="Shruti"/>
          <w:sz w:val="24"/>
          <w:szCs w:val="24"/>
        </w:rPr>
        <w:t xml:space="preserve"> </w:t>
      </w:r>
      <w:r w:rsidR="002A0420" w:rsidRPr="00D43BAD">
        <w:rPr>
          <w:rFonts w:ascii="Gadugi" w:hAnsi="Gadugi" w:cs="Shruti"/>
          <w:sz w:val="24"/>
          <w:szCs w:val="24"/>
        </w:rPr>
        <w:t xml:space="preserve">circunstancias accidentales, que no tocan con </w:t>
      </w:r>
      <w:r w:rsidR="00490F75" w:rsidRPr="00D43BAD">
        <w:rPr>
          <w:rFonts w:ascii="Gadugi" w:hAnsi="Gadugi" w:cs="Shruti"/>
          <w:sz w:val="24"/>
          <w:szCs w:val="24"/>
        </w:rPr>
        <w:t>su</w:t>
      </w:r>
      <w:r w:rsidR="002A0420" w:rsidRPr="00D43BAD">
        <w:rPr>
          <w:rFonts w:ascii="Gadugi" w:hAnsi="Gadugi" w:cs="Shruti"/>
          <w:sz w:val="24"/>
          <w:szCs w:val="24"/>
        </w:rPr>
        <w:t xml:space="preserve"> esencia</w:t>
      </w:r>
      <w:r w:rsidRPr="00D43BAD">
        <w:rPr>
          <w:rFonts w:ascii="Gadugi" w:hAnsi="Gadugi" w:cs="Shruti"/>
          <w:sz w:val="24"/>
          <w:szCs w:val="24"/>
        </w:rPr>
        <w:t xml:space="preserve">, cuando todo está precedido de </w:t>
      </w:r>
      <w:r w:rsidR="00713670" w:rsidRPr="00D43BAD">
        <w:rPr>
          <w:rFonts w:ascii="Gadugi" w:hAnsi="Gadugi" w:cs="Shruti"/>
          <w:sz w:val="24"/>
          <w:szCs w:val="24"/>
        </w:rPr>
        <w:t>p</w:t>
      </w:r>
      <w:r w:rsidRPr="00D43BAD">
        <w:rPr>
          <w:rFonts w:ascii="Gadugi" w:hAnsi="Gadugi" w:cs="Shruti"/>
          <w:sz w:val="24"/>
          <w:szCs w:val="24"/>
        </w:rPr>
        <w:t xml:space="preserve">lurales manifestaciones que evidencian la voluntad de enajenar en favor de la fiducia las acciones en disputa y </w:t>
      </w:r>
      <w:r w:rsidR="00713670" w:rsidRPr="00D43BAD">
        <w:rPr>
          <w:rFonts w:ascii="Gadugi" w:hAnsi="Gadugi" w:cs="Shruti"/>
          <w:sz w:val="24"/>
          <w:szCs w:val="24"/>
        </w:rPr>
        <w:t>l</w:t>
      </w:r>
      <w:r w:rsidRPr="00D43BAD">
        <w:rPr>
          <w:rFonts w:ascii="Gadugi" w:hAnsi="Gadugi" w:cs="Shruti"/>
          <w:sz w:val="24"/>
          <w:szCs w:val="24"/>
        </w:rPr>
        <w:t xml:space="preserve">a cardinal inscripción en el registro de accionistas sobre la constitución del fideicomiso. </w:t>
      </w:r>
    </w:p>
    <w:p w14:paraId="2430B81B" w14:textId="0BB295C6" w:rsidR="00C00A84" w:rsidRPr="00D43BAD" w:rsidRDefault="00DA1C2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18E0CBB3" w14:textId="313F4F8B" w:rsidR="000A675A" w:rsidRPr="00D43BAD" w:rsidRDefault="005128F5"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536487" w:rsidRPr="00D43BAD">
        <w:rPr>
          <w:rFonts w:ascii="Gadugi" w:hAnsi="Gadugi" w:cs="Shruti"/>
          <w:sz w:val="24"/>
          <w:szCs w:val="24"/>
        </w:rPr>
        <w:t>2.5.2</w:t>
      </w:r>
      <w:r w:rsidR="004A1184" w:rsidRPr="00D43BAD">
        <w:rPr>
          <w:rFonts w:ascii="Gadugi" w:hAnsi="Gadugi" w:cs="Shruti"/>
          <w:sz w:val="24"/>
          <w:szCs w:val="24"/>
        </w:rPr>
        <w:t>.</w:t>
      </w:r>
      <w:r w:rsidR="00536487" w:rsidRPr="00D43BAD">
        <w:rPr>
          <w:rFonts w:ascii="Gadugi" w:hAnsi="Gadugi" w:cs="Shruti"/>
          <w:sz w:val="24"/>
          <w:szCs w:val="24"/>
        </w:rPr>
        <w:t xml:space="preserve"> </w:t>
      </w:r>
      <w:r w:rsidR="00C00A84" w:rsidRPr="00D43BAD">
        <w:rPr>
          <w:rFonts w:ascii="Gadugi" w:hAnsi="Gadugi" w:cs="Shruti"/>
          <w:sz w:val="24"/>
          <w:szCs w:val="24"/>
        </w:rPr>
        <w:t>Finalmente</w:t>
      </w:r>
      <w:r w:rsidR="001A72F7" w:rsidRPr="00D43BAD">
        <w:rPr>
          <w:rFonts w:ascii="Gadugi" w:hAnsi="Gadugi" w:cs="Shruti"/>
          <w:sz w:val="24"/>
          <w:szCs w:val="24"/>
        </w:rPr>
        <w:t>,</w:t>
      </w:r>
      <w:r w:rsidR="00980C8D" w:rsidRPr="00D43BAD">
        <w:rPr>
          <w:rFonts w:ascii="Gadugi" w:hAnsi="Gadugi" w:cs="Shruti"/>
          <w:sz w:val="24"/>
          <w:szCs w:val="24"/>
        </w:rPr>
        <w:t xml:space="preserve"> no hay mucho que andar</w:t>
      </w:r>
      <w:r w:rsidR="001A72F7" w:rsidRPr="00D43BAD">
        <w:rPr>
          <w:rFonts w:ascii="Gadugi" w:hAnsi="Gadugi" w:cs="Shruti"/>
          <w:sz w:val="24"/>
          <w:szCs w:val="24"/>
        </w:rPr>
        <w:t xml:space="preserve"> en lo que se refiere a</w:t>
      </w:r>
      <w:r w:rsidR="00C00A84" w:rsidRPr="00D43BAD">
        <w:rPr>
          <w:rFonts w:ascii="Gadugi" w:hAnsi="Gadugi" w:cs="Shruti"/>
          <w:sz w:val="24"/>
          <w:szCs w:val="24"/>
        </w:rPr>
        <w:t xml:space="preserve">l último requisito, relacionado con las solemnidades que se deben cumplir </w:t>
      </w:r>
      <w:r w:rsidR="000F0664" w:rsidRPr="00D43BAD">
        <w:rPr>
          <w:rFonts w:ascii="Gadugi" w:hAnsi="Gadugi" w:cs="Shruti"/>
          <w:sz w:val="24"/>
          <w:szCs w:val="24"/>
        </w:rPr>
        <w:t>para la configuración de la fiducia</w:t>
      </w:r>
      <w:r w:rsidR="001D7CB7" w:rsidRPr="00D43BAD">
        <w:rPr>
          <w:rFonts w:ascii="Gadugi" w:hAnsi="Gadugi" w:cs="Shruti"/>
          <w:sz w:val="24"/>
          <w:szCs w:val="24"/>
        </w:rPr>
        <w:t xml:space="preserve">, </w:t>
      </w:r>
      <w:r w:rsidR="00980C8D" w:rsidRPr="00D43BAD">
        <w:rPr>
          <w:rFonts w:ascii="Gadugi" w:hAnsi="Gadugi" w:cs="Shruti"/>
          <w:sz w:val="24"/>
          <w:szCs w:val="24"/>
        </w:rPr>
        <w:t xml:space="preserve">habida cuenta de que, contrario a lo que se planteó en el fallo de primer grado, esta </w:t>
      </w:r>
      <w:r w:rsidR="00187FEA" w:rsidRPr="00D43BAD">
        <w:rPr>
          <w:rFonts w:ascii="Gadugi" w:hAnsi="Gadugi" w:cs="Shruti"/>
          <w:sz w:val="24"/>
          <w:szCs w:val="24"/>
        </w:rPr>
        <w:t>C</w:t>
      </w:r>
      <w:r w:rsidR="00980C8D" w:rsidRPr="00D43BAD">
        <w:rPr>
          <w:rFonts w:ascii="Gadugi" w:hAnsi="Gadugi" w:cs="Shruti"/>
          <w:sz w:val="24"/>
          <w:szCs w:val="24"/>
        </w:rPr>
        <w:t xml:space="preserve">olegiatura </w:t>
      </w:r>
      <w:r w:rsidR="00187FEA" w:rsidRPr="00D43BAD">
        <w:rPr>
          <w:rFonts w:ascii="Gadugi" w:hAnsi="Gadugi" w:cs="Shruti"/>
          <w:sz w:val="24"/>
          <w:szCs w:val="24"/>
        </w:rPr>
        <w:t xml:space="preserve">estima que las acciones </w:t>
      </w:r>
      <w:r w:rsidR="000F0664" w:rsidRPr="00D43BAD">
        <w:rPr>
          <w:rFonts w:ascii="Gadugi" w:hAnsi="Gadugi" w:cs="Shruti"/>
          <w:sz w:val="24"/>
          <w:szCs w:val="24"/>
        </w:rPr>
        <w:t>nominativas</w:t>
      </w:r>
      <w:r w:rsidR="00187FEA" w:rsidRPr="00D43BAD">
        <w:rPr>
          <w:rFonts w:ascii="Gadugi" w:hAnsi="Gadugi" w:cs="Shruti"/>
          <w:sz w:val="24"/>
          <w:szCs w:val="24"/>
        </w:rPr>
        <w:t xml:space="preserve"> no son </w:t>
      </w:r>
      <w:r w:rsidR="000F0664" w:rsidRPr="00D43BAD">
        <w:rPr>
          <w:rFonts w:ascii="Gadugi" w:hAnsi="Gadugi" w:cs="Shruti"/>
          <w:sz w:val="24"/>
          <w:szCs w:val="24"/>
        </w:rPr>
        <w:t>bienes sujetos a registro y</w:t>
      </w:r>
      <w:r w:rsidR="00D346A4" w:rsidRPr="00D43BAD">
        <w:rPr>
          <w:rFonts w:ascii="Gadugi" w:hAnsi="Gadugi" w:cs="Shruti"/>
          <w:sz w:val="24"/>
          <w:szCs w:val="24"/>
        </w:rPr>
        <w:t>,</w:t>
      </w:r>
      <w:r w:rsidR="000F0664" w:rsidRPr="00D43BAD">
        <w:rPr>
          <w:rFonts w:ascii="Gadugi" w:hAnsi="Gadugi" w:cs="Shruti"/>
          <w:sz w:val="24"/>
          <w:szCs w:val="24"/>
        </w:rPr>
        <w:t xml:space="preserve"> por lo tanto, </w:t>
      </w:r>
      <w:r w:rsidR="00D346A4" w:rsidRPr="00D43BAD">
        <w:rPr>
          <w:rFonts w:ascii="Gadugi" w:hAnsi="Gadugi" w:cs="Shruti"/>
          <w:sz w:val="24"/>
          <w:szCs w:val="24"/>
        </w:rPr>
        <w:t>la existencia de</w:t>
      </w:r>
      <w:r w:rsidR="000A675A" w:rsidRPr="00D43BAD">
        <w:rPr>
          <w:rFonts w:ascii="Gadugi" w:hAnsi="Gadugi" w:cs="Shruti"/>
          <w:sz w:val="24"/>
          <w:szCs w:val="24"/>
        </w:rPr>
        <w:t xml:space="preserve">l negocio jurídico que aquí se estudia, </w:t>
      </w:r>
      <w:r w:rsidR="00490F75" w:rsidRPr="00D43BAD">
        <w:rPr>
          <w:rFonts w:ascii="Gadugi" w:hAnsi="Gadugi" w:cs="Shruti"/>
          <w:sz w:val="24"/>
          <w:szCs w:val="24"/>
        </w:rPr>
        <w:t>no depende</w:t>
      </w:r>
      <w:r w:rsidR="00DA1C2B" w:rsidRPr="00D43BAD">
        <w:rPr>
          <w:rFonts w:ascii="Gadugi" w:hAnsi="Gadugi" w:cs="Shruti"/>
          <w:sz w:val="24"/>
          <w:szCs w:val="24"/>
        </w:rPr>
        <w:t xml:space="preserve"> </w:t>
      </w:r>
      <w:r w:rsidR="00490F75" w:rsidRPr="00D43BAD">
        <w:rPr>
          <w:rFonts w:ascii="Gadugi" w:hAnsi="Gadugi" w:cs="Shruti"/>
          <w:sz w:val="24"/>
          <w:szCs w:val="24"/>
        </w:rPr>
        <w:t xml:space="preserve">de la inscripción de su cesión en la cámara de comercio del domicilio del fiduciante.  </w:t>
      </w:r>
    </w:p>
    <w:p w14:paraId="54B76633" w14:textId="64AAFF12" w:rsidR="00D346A4" w:rsidRPr="00D43BAD" w:rsidRDefault="00DA1C2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p>
    <w:p w14:paraId="31032BD3" w14:textId="484C58F5" w:rsidR="005B143A" w:rsidRPr="00D43BAD" w:rsidRDefault="00DA1C2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904F4F" w:rsidRPr="00D43BAD">
        <w:rPr>
          <w:rFonts w:ascii="Gadugi" w:hAnsi="Gadugi" w:cs="Shruti"/>
          <w:sz w:val="24"/>
          <w:szCs w:val="24"/>
        </w:rPr>
        <w:t xml:space="preserve">En efecto, son bienes sujetos a registro, aquellos como los inmuebles, </w:t>
      </w:r>
      <w:r w:rsidR="00274F70" w:rsidRPr="00D43BAD">
        <w:rPr>
          <w:rFonts w:ascii="Gadugi" w:hAnsi="Gadugi" w:cs="Shruti"/>
          <w:sz w:val="24"/>
          <w:szCs w:val="24"/>
        </w:rPr>
        <w:t xml:space="preserve">cuya tradición se efectúa </w:t>
      </w:r>
      <w:r w:rsidR="00274F70" w:rsidRPr="00D43BAD">
        <w:rPr>
          <w:rFonts w:ascii="Gadugi" w:hAnsi="Gadugi" w:cs="Shruti"/>
          <w:i/>
          <w:sz w:val="24"/>
          <w:szCs w:val="24"/>
        </w:rPr>
        <w:t>“(…) por la inscripción del título en la oficina de registro de instrumentos públicos.”</w:t>
      </w:r>
      <w:r w:rsidR="005B143A" w:rsidRPr="00D43BAD">
        <w:rPr>
          <w:rFonts w:ascii="Gadugi" w:hAnsi="Gadugi" w:cs="Shruti"/>
          <w:i/>
          <w:sz w:val="24"/>
          <w:szCs w:val="24"/>
        </w:rPr>
        <w:t xml:space="preserve"> </w:t>
      </w:r>
      <w:r w:rsidR="005B143A" w:rsidRPr="00D43BAD">
        <w:rPr>
          <w:rFonts w:ascii="Gadugi" w:hAnsi="Gadugi" w:cs="Shruti"/>
          <w:sz w:val="24"/>
          <w:szCs w:val="24"/>
        </w:rPr>
        <w:t>(Art. 756 Código Civil)</w:t>
      </w:r>
      <w:r w:rsidR="00274F70" w:rsidRPr="00D43BAD">
        <w:rPr>
          <w:rFonts w:ascii="Gadugi" w:hAnsi="Gadugi" w:cs="Shruti"/>
          <w:sz w:val="24"/>
          <w:szCs w:val="24"/>
        </w:rPr>
        <w:t xml:space="preserve"> </w:t>
      </w:r>
      <w:r w:rsidR="005B143A" w:rsidRPr="00D43BAD">
        <w:rPr>
          <w:rFonts w:ascii="Gadugi" w:hAnsi="Gadugi" w:cs="Shruti"/>
          <w:sz w:val="24"/>
          <w:szCs w:val="24"/>
        </w:rPr>
        <w:t xml:space="preserve">y, por lo tanto, los </w:t>
      </w:r>
      <w:r w:rsidR="00274F70" w:rsidRPr="00D43BAD">
        <w:rPr>
          <w:rFonts w:ascii="Gadugi" w:hAnsi="Gadugi" w:cs="Shruti"/>
          <w:sz w:val="24"/>
          <w:szCs w:val="24"/>
        </w:rPr>
        <w:t xml:space="preserve">negocios </w:t>
      </w:r>
      <w:r w:rsidR="005B143A" w:rsidRPr="00D43BAD">
        <w:rPr>
          <w:rFonts w:ascii="Gadugi" w:hAnsi="Gadugi" w:cs="Shruti"/>
          <w:sz w:val="24"/>
          <w:szCs w:val="24"/>
        </w:rPr>
        <w:lastRenderedPageBreak/>
        <w:t>relacionados con ellos, deben cumplir ciertas solemnidades como sucede con la hipoteca que, para su existencia, debe ser elevada a escritura pública y registrarse (Artículos 2434 y 2435 Código Civil); no como en este caso, que se trata de acciones nominativas, cuya enajenación está autorizada de la siguiente manera en el artículo 406 del Código de Comercio que a su tenor reza:</w:t>
      </w:r>
    </w:p>
    <w:p w14:paraId="39EAAAC9" w14:textId="33FD7F07" w:rsidR="003D7AF7" w:rsidRPr="00D43BAD" w:rsidRDefault="003D7AF7" w:rsidP="00D43BAD">
      <w:pPr>
        <w:tabs>
          <w:tab w:val="left" w:pos="2835"/>
          <w:tab w:val="left" w:pos="3402"/>
        </w:tabs>
        <w:suppressAutoHyphens/>
        <w:spacing w:line="276" w:lineRule="auto"/>
        <w:jc w:val="both"/>
        <w:rPr>
          <w:rFonts w:ascii="Gadugi" w:hAnsi="Gadugi" w:cs="Shruti"/>
          <w:sz w:val="24"/>
          <w:szCs w:val="24"/>
        </w:rPr>
      </w:pPr>
    </w:p>
    <w:p w14:paraId="7035761B" w14:textId="354214CF" w:rsidR="003D7AF7" w:rsidRPr="006919A9" w:rsidRDefault="003D7AF7" w:rsidP="006919A9">
      <w:pPr>
        <w:tabs>
          <w:tab w:val="left" w:pos="2835"/>
        </w:tabs>
        <w:suppressAutoHyphens/>
        <w:ind w:left="426" w:right="420"/>
        <w:jc w:val="both"/>
        <w:rPr>
          <w:rFonts w:ascii="Gadugi" w:hAnsi="Gadugi" w:cs="Shruti"/>
          <w:sz w:val="22"/>
          <w:szCs w:val="24"/>
        </w:rPr>
      </w:pPr>
      <w:r w:rsidRPr="006919A9">
        <w:rPr>
          <w:rFonts w:ascii="Gadugi" w:hAnsi="Gadugi" w:cs="Shruti"/>
          <w:sz w:val="22"/>
          <w:szCs w:val="24"/>
        </w:rPr>
        <w:tab/>
        <w:t xml:space="preserve">La enajenación de las acciones nominativas podrá hacerse por el simple acuerdo de las partes; </w:t>
      </w:r>
      <w:proofErr w:type="spellStart"/>
      <w:r w:rsidRPr="006919A9">
        <w:rPr>
          <w:rFonts w:ascii="Gadugi" w:hAnsi="Gadugi" w:cs="Shruti"/>
          <w:sz w:val="22"/>
          <w:szCs w:val="24"/>
        </w:rPr>
        <w:t>mas</w:t>
      </w:r>
      <w:proofErr w:type="spellEnd"/>
      <w:r w:rsidRPr="006919A9">
        <w:rPr>
          <w:rFonts w:ascii="Gadugi" w:hAnsi="Gadugi" w:cs="Shruti"/>
          <w:sz w:val="22"/>
          <w:szCs w:val="24"/>
        </w:rPr>
        <w:t xml:space="preserve"> para que produzca efecto respecto de la sociedad y de terceros, será necesaria su inscripción en el libro de registro de acciones, mediante orden escrita del enajenante. Esta orden podrá darse en forma de endoso hecho sobre el título respectivo.</w:t>
      </w:r>
    </w:p>
    <w:p w14:paraId="432520A4" w14:textId="65D64E6F" w:rsidR="003D7AF7" w:rsidRPr="00D43BAD" w:rsidRDefault="003D7AF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Pr="00D43BAD">
        <w:rPr>
          <w:rFonts w:ascii="Gadugi" w:hAnsi="Gadugi" w:cs="Shruti"/>
          <w:sz w:val="24"/>
          <w:szCs w:val="24"/>
        </w:rPr>
        <w:tab/>
      </w:r>
    </w:p>
    <w:p w14:paraId="653E96D2" w14:textId="6C1A27DA" w:rsidR="00DA1C2B" w:rsidRPr="00D43BAD" w:rsidRDefault="003D7AF7"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Con la primera frase queda claro que la enajenación solo requiere del simple acuerdo entre las partes, después viene la conjunción “</w:t>
      </w:r>
      <w:r w:rsidRPr="00D43BAD">
        <w:rPr>
          <w:rFonts w:ascii="Gadugi" w:hAnsi="Gadugi" w:cs="Shruti"/>
          <w:i/>
          <w:iCs/>
          <w:sz w:val="24"/>
          <w:szCs w:val="24"/>
        </w:rPr>
        <w:t>mas</w:t>
      </w:r>
      <w:r w:rsidRPr="00D43BAD">
        <w:rPr>
          <w:rFonts w:ascii="Gadugi" w:hAnsi="Gadugi" w:cs="Shruti"/>
          <w:sz w:val="24"/>
          <w:szCs w:val="24"/>
        </w:rPr>
        <w:t>”</w:t>
      </w:r>
      <w:r w:rsidR="00DA1C2B" w:rsidRPr="00D43BAD">
        <w:rPr>
          <w:rFonts w:ascii="Gadugi" w:hAnsi="Gadugi" w:cs="Shruti"/>
          <w:sz w:val="24"/>
          <w:szCs w:val="24"/>
        </w:rPr>
        <w:t>,</w:t>
      </w:r>
      <w:r w:rsidRPr="00D43BAD">
        <w:rPr>
          <w:rFonts w:ascii="Gadugi" w:hAnsi="Gadugi" w:cs="Shruti"/>
          <w:sz w:val="24"/>
          <w:szCs w:val="24"/>
        </w:rPr>
        <w:t xml:space="preserve"> cuyo sinónimo más utilizado es “</w:t>
      </w:r>
      <w:r w:rsidRPr="00D43BAD">
        <w:rPr>
          <w:rFonts w:ascii="Gadugi" w:hAnsi="Gadugi" w:cs="Shruti"/>
          <w:i/>
          <w:iCs/>
          <w:sz w:val="24"/>
          <w:szCs w:val="24"/>
        </w:rPr>
        <w:t>pero</w:t>
      </w:r>
      <w:r w:rsidRPr="00D43BAD">
        <w:rPr>
          <w:rFonts w:ascii="Gadugi" w:hAnsi="Gadugi" w:cs="Shruti"/>
          <w:sz w:val="24"/>
          <w:szCs w:val="24"/>
        </w:rPr>
        <w:t>”</w:t>
      </w:r>
      <w:r w:rsidR="00DA1C2B" w:rsidRPr="00D43BAD">
        <w:rPr>
          <w:rFonts w:ascii="Gadugi" w:hAnsi="Gadugi" w:cs="Shruti"/>
          <w:sz w:val="24"/>
          <w:szCs w:val="24"/>
        </w:rPr>
        <w:t>, para continuar declarando que, con independencia de</w:t>
      </w:r>
      <w:r w:rsidR="00801A2C" w:rsidRPr="00D43BAD">
        <w:rPr>
          <w:rFonts w:ascii="Gadugi" w:hAnsi="Gadugi" w:cs="Shruti"/>
          <w:sz w:val="24"/>
          <w:szCs w:val="24"/>
        </w:rPr>
        <w:t xml:space="preserve"> lo</w:t>
      </w:r>
      <w:r w:rsidR="00DA1C2B" w:rsidRPr="00D43BAD">
        <w:rPr>
          <w:rFonts w:ascii="Gadugi" w:hAnsi="Gadugi" w:cs="Shruti"/>
          <w:sz w:val="24"/>
          <w:szCs w:val="24"/>
        </w:rPr>
        <w:t xml:space="preserve"> anterior, sus efectos frente a la sociedad y terceros, solo se producirán</w:t>
      </w:r>
      <w:r w:rsidR="00536487" w:rsidRPr="00D43BAD">
        <w:rPr>
          <w:rFonts w:ascii="Gadugi" w:hAnsi="Gadugi" w:cs="Shruti"/>
          <w:sz w:val="24"/>
          <w:szCs w:val="24"/>
        </w:rPr>
        <w:t>,</w:t>
      </w:r>
      <w:r w:rsidR="00DA1C2B" w:rsidRPr="00D43BAD">
        <w:rPr>
          <w:rFonts w:ascii="Gadugi" w:hAnsi="Gadugi" w:cs="Shruti"/>
          <w:sz w:val="24"/>
          <w:szCs w:val="24"/>
        </w:rPr>
        <w:t xml:space="preserve"> </w:t>
      </w:r>
      <w:r w:rsidR="00536487" w:rsidRPr="00D43BAD">
        <w:rPr>
          <w:rFonts w:ascii="Gadugi" w:hAnsi="Gadugi" w:cs="Shruti"/>
          <w:sz w:val="24"/>
          <w:szCs w:val="24"/>
        </w:rPr>
        <w:t xml:space="preserve">siempre y </w:t>
      </w:r>
      <w:r w:rsidR="00DA1C2B" w:rsidRPr="00D43BAD">
        <w:rPr>
          <w:rFonts w:ascii="Gadugi" w:hAnsi="Gadugi" w:cs="Shruti"/>
          <w:sz w:val="24"/>
          <w:szCs w:val="24"/>
        </w:rPr>
        <w:t>cuando se efectúe la inscripción en el libro de registro de accionistas, lo cual, en todo caso, y en el de marras, s</w:t>
      </w:r>
      <w:r w:rsidR="004B16D7" w:rsidRPr="00D43BAD">
        <w:rPr>
          <w:rFonts w:ascii="Gadugi" w:hAnsi="Gadugi" w:cs="Shruti"/>
          <w:sz w:val="24"/>
          <w:szCs w:val="24"/>
        </w:rPr>
        <w:t>í</w:t>
      </w:r>
      <w:r w:rsidR="00DA1C2B" w:rsidRPr="00D43BAD">
        <w:rPr>
          <w:rFonts w:ascii="Gadugi" w:hAnsi="Gadugi" w:cs="Shruti"/>
          <w:sz w:val="24"/>
          <w:szCs w:val="24"/>
        </w:rPr>
        <w:t xml:space="preserve"> sucedió como hubo de explicarse.</w:t>
      </w:r>
    </w:p>
    <w:p w14:paraId="40112C28" w14:textId="1EFF0916" w:rsidR="00DA1C2B" w:rsidRPr="00D43BAD" w:rsidRDefault="00DA1C2B" w:rsidP="00D43BAD">
      <w:pPr>
        <w:tabs>
          <w:tab w:val="left" w:pos="2835"/>
          <w:tab w:val="left" w:pos="3402"/>
        </w:tabs>
        <w:suppressAutoHyphens/>
        <w:spacing w:line="276" w:lineRule="auto"/>
        <w:jc w:val="both"/>
        <w:rPr>
          <w:rFonts w:ascii="Gadugi" w:hAnsi="Gadugi" w:cs="Shruti"/>
          <w:sz w:val="24"/>
          <w:szCs w:val="24"/>
        </w:rPr>
      </w:pPr>
    </w:p>
    <w:p w14:paraId="390C46CB" w14:textId="4C824C5A" w:rsidR="005B143A" w:rsidRPr="00D43BAD" w:rsidRDefault="005B143A"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Y hacia lo mismo apunta la norma de la que se echó mano en primera instancia</w:t>
      </w:r>
      <w:r w:rsidR="00536487" w:rsidRPr="00D43BAD">
        <w:rPr>
          <w:rFonts w:ascii="Gadugi" w:hAnsi="Gadugi" w:cs="Shruti"/>
          <w:sz w:val="24"/>
          <w:szCs w:val="24"/>
        </w:rPr>
        <w:t>:</w:t>
      </w:r>
    </w:p>
    <w:p w14:paraId="3DB80558" w14:textId="57B1C2FB" w:rsidR="00536487" w:rsidRPr="00D43BAD" w:rsidRDefault="00536487" w:rsidP="00D43BAD">
      <w:pPr>
        <w:tabs>
          <w:tab w:val="left" w:pos="2835"/>
          <w:tab w:val="left" w:pos="3402"/>
        </w:tabs>
        <w:suppressAutoHyphens/>
        <w:spacing w:line="276" w:lineRule="auto"/>
        <w:jc w:val="both"/>
        <w:rPr>
          <w:rFonts w:ascii="Gadugi" w:hAnsi="Gadugi" w:cs="Shruti"/>
          <w:sz w:val="24"/>
          <w:szCs w:val="24"/>
        </w:rPr>
      </w:pPr>
    </w:p>
    <w:p w14:paraId="47C720FD" w14:textId="07F5D1C3" w:rsidR="00536487" w:rsidRPr="006919A9" w:rsidRDefault="00536487" w:rsidP="006919A9">
      <w:pPr>
        <w:tabs>
          <w:tab w:val="left" w:pos="2835"/>
        </w:tabs>
        <w:suppressAutoHyphens/>
        <w:ind w:left="426" w:right="420"/>
        <w:jc w:val="both"/>
        <w:rPr>
          <w:rFonts w:ascii="Gadugi" w:hAnsi="Gadugi" w:cs="Shruti"/>
          <w:sz w:val="22"/>
          <w:szCs w:val="24"/>
        </w:rPr>
      </w:pPr>
      <w:r w:rsidRPr="006919A9">
        <w:rPr>
          <w:rFonts w:ascii="Gadugi" w:hAnsi="Gadugi" w:cs="Shruti"/>
          <w:sz w:val="22"/>
          <w:szCs w:val="24"/>
        </w:rPr>
        <w:tab/>
        <w:t xml:space="preserve">ARTÍCULO 16. CONTRATOS DE FIDUCIA MERCANTIL. &lt;Incorporado en el Decreto 663 de 1993, EOSF, bajo el artículo 146, </w:t>
      </w:r>
      <w:proofErr w:type="spellStart"/>
      <w:r w:rsidRPr="006919A9">
        <w:rPr>
          <w:rFonts w:ascii="Gadugi" w:hAnsi="Gadugi" w:cs="Shruti"/>
          <w:sz w:val="22"/>
          <w:szCs w:val="24"/>
        </w:rPr>
        <w:t>Num</w:t>
      </w:r>
      <w:proofErr w:type="spellEnd"/>
      <w:r w:rsidRPr="006919A9">
        <w:rPr>
          <w:rFonts w:ascii="Gadugi" w:hAnsi="Gadugi" w:cs="Shruti"/>
          <w:sz w:val="22"/>
          <w:szCs w:val="24"/>
        </w:rPr>
        <w:t>. 2&gt; Las sociedades fiduciarias podrán celebrar contratos de fiducia mercantil sin que para tal efecto se requiera la solemnidad de la escritura pública, en todos aquellos casos en que así lo autorice mediante norma de carácter general el Gobierno Nacional.</w:t>
      </w:r>
    </w:p>
    <w:p w14:paraId="7C7CE3E1" w14:textId="5E3F17DC" w:rsidR="00536487" w:rsidRPr="006919A9" w:rsidRDefault="00536487" w:rsidP="006919A9">
      <w:pPr>
        <w:tabs>
          <w:tab w:val="left" w:pos="2835"/>
        </w:tabs>
        <w:suppressAutoHyphens/>
        <w:ind w:left="426" w:right="420"/>
        <w:jc w:val="both"/>
        <w:rPr>
          <w:rFonts w:ascii="Gadugi" w:hAnsi="Gadugi" w:cs="Shruti"/>
          <w:sz w:val="22"/>
          <w:szCs w:val="24"/>
        </w:rPr>
      </w:pPr>
    </w:p>
    <w:p w14:paraId="5991F1FF" w14:textId="5256F9E2" w:rsidR="00536487" w:rsidRPr="006919A9" w:rsidRDefault="00536487" w:rsidP="006919A9">
      <w:pPr>
        <w:tabs>
          <w:tab w:val="left" w:pos="2835"/>
        </w:tabs>
        <w:suppressAutoHyphens/>
        <w:ind w:left="426" w:right="420"/>
        <w:jc w:val="both"/>
        <w:rPr>
          <w:rFonts w:ascii="Gadugi" w:hAnsi="Gadugi" w:cs="Shruti"/>
          <w:sz w:val="22"/>
          <w:szCs w:val="24"/>
        </w:rPr>
      </w:pPr>
      <w:r w:rsidRPr="006919A9">
        <w:rPr>
          <w:rFonts w:ascii="Gadugi" w:hAnsi="Gadugi" w:cs="Shruti"/>
          <w:sz w:val="22"/>
          <w:szCs w:val="24"/>
        </w:rPr>
        <w:tab/>
        <w:t xml:space="preserve">&lt;Incorporado en el Decreto 663 de 1993, EOSF, bajo el artículo 146, </w:t>
      </w:r>
      <w:proofErr w:type="spellStart"/>
      <w:r w:rsidRPr="006919A9">
        <w:rPr>
          <w:rFonts w:ascii="Gadugi" w:hAnsi="Gadugi" w:cs="Shruti"/>
          <w:sz w:val="22"/>
          <w:szCs w:val="24"/>
        </w:rPr>
        <w:t>Num</w:t>
      </w:r>
      <w:proofErr w:type="spellEnd"/>
      <w:r w:rsidRPr="006919A9">
        <w:rPr>
          <w:rFonts w:ascii="Gadugi" w:hAnsi="Gadugi" w:cs="Shruti"/>
          <w:sz w:val="22"/>
          <w:szCs w:val="24"/>
        </w:rPr>
        <w:t>. 3&gt;Los contratos que consten en documento privado y que correspondan a bienes cuya transferencia esté sujeta a registro deberán inscribirse en el Registro Mercantil de la Cámara de Comercio con jurisdicción en el domicilio del fiduciante, sin perjuicio de la inscripción o registro que, de acuerdo con la clase de acto o con la naturaleza de los bienes, deba hacerse conforme a la ley.</w:t>
      </w:r>
    </w:p>
    <w:p w14:paraId="6DBD3F12" w14:textId="10298BEE" w:rsidR="00536487" w:rsidRPr="006919A9" w:rsidRDefault="00536487" w:rsidP="006919A9">
      <w:pPr>
        <w:tabs>
          <w:tab w:val="left" w:pos="2835"/>
        </w:tabs>
        <w:suppressAutoHyphens/>
        <w:ind w:left="426" w:right="420"/>
        <w:jc w:val="both"/>
        <w:rPr>
          <w:rFonts w:ascii="Gadugi" w:hAnsi="Gadugi" w:cs="Shruti"/>
          <w:sz w:val="22"/>
          <w:szCs w:val="24"/>
        </w:rPr>
      </w:pPr>
    </w:p>
    <w:p w14:paraId="24E9DCA4" w14:textId="1EF95567" w:rsidR="00536487" w:rsidRPr="006919A9" w:rsidRDefault="00536487" w:rsidP="006919A9">
      <w:pPr>
        <w:tabs>
          <w:tab w:val="left" w:pos="2835"/>
        </w:tabs>
        <w:suppressAutoHyphens/>
        <w:ind w:left="426" w:right="420"/>
        <w:jc w:val="both"/>
        <w:rPr>
          <w:rFonts w:ascii="Gadugi" w:hAnsi="Gadugi" w:cs="Shruti"/>
          <w:sz w:val="22"/>
          <w:szCs w:val="24"/>
        </w:rPr>
      </w:pPr>
      <w:r w:rsidRPr="006919A9">
        <w:rPr>
          <w:rFonts w:ascii="Gadugi" w:hAnsi="Gadugi" w:cs="Shruti"/>
          <w:sz w:val="22"/>
          <w:szCs w:val="24"/>
        </w:rPr>
        <w:tab/>
        <w:t>(…)</w:t>
      </w:r>
    </w:p>
    <w:p w14:paraId="33B6D3E5" w14:textId="07EBC718" w:rsidR="005B143A" w:rsidRPr="00D43BAD" w:rsidRDefault="005B143A" w:rsidP="00D43BAD">
      <w:pPr>
        <w:tabs>
          <w:tab w:val="left" w:pos="2835"/>
          <w:tab w:val="left" w:pos="3402"/>
        </w:tabs>
        <w:suppressAutoHyphens/>
        <w:spacing w:line="276" w:lineRule="auto"/>
        <w:jc w:val="both"/>
        <w:rPr>
          <w:rFonts w:ascii="Gadugi" w:hAnsi="Gadugi" w:cs="Shruti"/>
          <w:sz w:val="24"/>
          <w:szCs w:val="24"/>
        </w:rPr>
      </w:pPr>
    </w:p>
    <w:p w14:paraId="1DC677F8" w14:textId="4D066EF6" w:rsidR="00DA1C2B" w:rsidRPr="00D43BAD" w:rsidRDefault="005B143A"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Como se ve, esas normas no condicionan la existencia del contrato de fiducia a algún registro</w:t>
      </w:r>
      <w:r w:rsidR="004B16D7" w:rsidRPr="00D43BAD">
        <w:rPr>
          <w:rFonts w:ascii="Gadugi" w:hAnsi="Gadugi" w:cs="Shruti"/>
          <w:sz w:val="24"/>
          <w:szCs w:val="24"/>
        </w:rPr>
        <w:t>;</w:t>
      </w:r>
      <w:r w:rsidRPr="00D43BAD">
        <w:rPr>
          <w:rFonts w:ascii="Gadugi" w:hAnsi="Gadugi" w:cs="Shruti"/>
          <w:sz w:val="24"/>
          <w:szCs w:val="24"/>
        </w:rPr>
        <w:t xml:space="preserve"> </w:t>
      </w:r>
      <w:r w:rsidR="00536487" w:rsidRPr="00D43BAD">
        <w:rPr>
          <w:rFonts w:ascii="Gadugi" w:hAnsi="Gadugi" w:cs="Shruti"/>
          <w:sz w:val="24"/>
          <w:szCs w:val="24"/>
        </w:rPr>
        <w:t>distinto a eso</w:t>
      </w:r>
      <w:r w:rsidRPr="00D43BAD">
        <w:rPr>
          <w:rFonts w:ascii="Gadugi" w:hAnsi="Gadugi" w:cs="Shruti"/>
          <w:sz w:val="24"/>
          <w:szCs w:val="24"/>
        </w:rPr>
        <w:t>, ambas están orientadas a la protección de los bienes</w:t>
      </w:r>
      <w:r w:rsidR="00536487" w:rsidRPr="00D43BAD">
        <w:rPr>
          <w:rFonts w:ascii="Gadugi" w:hAnsi="Gadugi" w:cs="Shruti"/>
          <w:sz w:val="24"/>
          <w:szCs w:val="24"/>
        </w:rPr>
        <w:t xml:space="preserve"> de los contratantes que sean</w:t>
      </w:r>
      <w:r w:rsidRPr="00D43BAD">
        <w:rPr>
          <w:rFonts w:ascii="Gadugi" w:hAnsi="Gadugi" w:cs="Shruti"/>
          <w:sz w:val="24"/>
          <w:szCs w:val="24"/>
        </w:rPr>
        <w:t xml:space="preserve"> sujetos a registro</w:t>
      </w:r>
      <w:r w:rsidR="004A1184" w:rsidRPr="00D43BAD">
        <w:rPr>
          <w:rFonts w:ascii="Gadugi" w:hAnsi="Gadugi" w:cs="Shruti"/>
          <w:sz w:val="24"/>
          <w:szCs w:val="24"/>
        </w:rPr>
        <w:t xml:space="preserve">, </w:t>
      </w:r>
      <w:r w:rsidR="00E24B13" w:rsidRPr="00D43BAD">
        <w:rPr>
          <w:rFonts w:ascii="Gadugi" w:hAnsi="Gadugi" w:cs="Shruti"/>
          <w:sz w:val="24"/>
          <w:szCs w:val="24"/>
        </w:rPr>
        <w:t xml:space="preserve">como los inmuebles, </w:t>
      </w:r>
      <w:r w:rsidR="004A1184" w:rsidRPr="00D43BAD">
        <w:rPr>
          <w:rFonts w:ascii="Gadugi" w:hAnsi="Gadugi" w:cs="Shruti"/>
          <w:sz w:val="24"/>
          <w:szCs w:val="24"/>
        </w:rPr>
        <w:t xml:space="preserve">y a la inoponibilidad del negocio frente a la sociedad y a terceros. </w:t>
      </w:r>
    </w:p>
    <w:p w14:paraId="2907B9DC" w14:textId="7C60557B" w:rsidR="004A1184" w:rsidRPr="00D43BAD" w:rsidRDefault="004A1184" w:rsidP="00D43BAD">
      <w:pPr>
        <w:tabs>
          <w:tab w:val="left" w:pos="2835"/>
          <w:tab w:val="left" w:pos="3402"/>
        </w:tabs>
        <w:suppressAutoHyphens/>
        <w:spacing w:line="276" w:lineRule="auto"/>
        <w:jc w:val="both"/>
        <w:rPr>
          <w:rFonts w:ascii="Gadugi" w:hAnsi="Gadugi" w:cs="Shruti"/>
          <w:sz w:val="24"/>
          <w:szCs w:val="24"/>
        </w:rPr>
      </w:pPr>
    </w:p>
    <w:p w14:paraId="16BC40FA" w14:textId="6CDA949C" w:rsidR="00982B1B" w:rsidRPr="00D43BAD" w:rsidRDefault="00982B1B"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t>Así lo aclara la Superintendencia Financiera</w:t>
      </w:r>
      <w:r w:rsidRPr="00D43BAD">
        <w:rPr>
          <w:rStyle w:val="Refdenotaalpie"/>
          <w:rFonts w:ascii="Gadugi" w:hAnsi="Gadugi" w:cs="Shruti"/>
          <w:sz w:val="24"/>
          <w:szCs w:val="24"/>
        </w:rPr>
        <w:footnoteReference w:id="34"/>
      </w:r>
      <w:r w:rsidRPr="00D43BAD">
        <w:rPr>
          <w:rFonts w:ascii="Gadugi" w:hAnsi="Gadugi" w:cs="Shruti"/>
          <w:sz w:val="24"/>
          <w:szCs w:val="24"/>
        </w:rPr>
        <w:t>:</w:t>
      </w:r>
    </w:p>
    <w:p w14:paraId="74F916A2" w14:textId="12E642F5" w:rsidR="00982B1B" w:rsidRPr="00D43BAD" w:rsidRDefault="00982B1B" w:rsidP="00D43BAD">
      <w:pPr>
        <w:tabs>
          <w:tab w:val="left" w:pos="2835"/>
          <w:tab w:val="left" w:pos="3402"/>
        </w:tabs>
        <w:suppressAutoHyphens/>
        <w:spacing w:line="276" w:lineRule="auto"/>
        <w:jc w:val="both"/>
        <w:rPr>
          <w:rFonts w:ascii="Gadugi" w:hAnsi="Gadugi" w:cs="Shruti"/>
          <w:sz w:val="24"/>
          <w:szCs w:val="24"/>
        </w:rPr>
      </w:pPr>
    </w:p>
    <w:p w14:paraId="316A815E" w14:textId="247FB020" w:rsidR="00982B1B" w:rsidRPr="00D43BAD" w:rsidRDefault="00982B1B" w:rsidP="006919A9">
      <w:pPr>
        <w:tabs>
          <w:tab w:val="left" w:pos="2835"/>
        </w:tabs>
        <w:suppressAutoHyphens/>
        <w:ind w:left="426" w:right="420"/>
        <w:jc w:val="both"/>
        <w:rPr>
          <w:rFonts w:ascii="Gadugi" w:hAnsi="Gadugi" w:cs="Shruti"/>
          <w:sz w:val="24"/>
          <w:szCs w:val="24"/>
        </w:rPr>
      </w:pPr>
      <w:r w:rsidRPr="00D43BAD">
        <w:rPr>
          <w:rFonts w:ascii="Gadugi" w:hAnsi="Gadugi" w:cs="Shruti"/>
          <w:sz w:val="24"/>
          <w:szCs w:val="24"/>
        </w:rPr>
        <w:tab/>
      </w:r>
      <w:r w:rsidRPr="006919A9">
        <w:rPr>
          <w:rFonts w:ascii="Gadugi" w:hAnsi="Gadugi" w:cs="Shruti"/>
          <w:sz w:val="22"/>
          <w:szCs w:val="24"/>
        </w:rPr>
        <w:t xml:space="preserve">Por su parte, la Ley 35 de 1993 en su artículo 16 (incorporado en el Estatuto Orgánico del Sistema Financiero, artículo 146, </w:t>
      </w:r>
      <w:proofErr w:type="spellStart"/>
      <w:r w:rsidRPr="006919A9">
        <w:rPr>
          <w:rFonts w:ascii="Gadugi" w:hAnsi="Gadugi" w:cs="Shruti"/>
          <w:sz w:val="22"/>
          <w:szCs w:val="24"/>
        </w:rPr>
        <w:t>num</w:t>
      </w:r>
      <w:proofErr w:type="spellEnd"/>
      <w:r w:rsidRPr="006919A9">
        <w:rPr>
          <w:rFonts w:ascii="Gadugi" w:hAnsi="Gadugi" w:cs="Shruti"/>
          <w:sz w:val="22"/>
          <w:szCs w:val="24"/>
        </w:rPr>
        <w:t>. 3, citado en su comunicación) estableció que las Fiduciarias podrían celebrar esta clase de contratos “sin que para tal efecto se requiera la solemnidad de escritura pública, en todos aquellos casos en que así lo autorice mediante norma de carácter general el Gobierno Nacional”, precisando que (…) “los contratos que consten en documento privado y que correspondan a bienes cuya transferencia esté sujeta a registro deberán inscribirse en el registro mercantil de la cámara de comercio con jurisdicción en el domicilio del fiduciante, sin perjuicio de la inscripción o registro que, de acuerdo con la clase de acto o con la naturaleza de los bienes, deba hacerse conforme a la ley.”</w:t>
      </w:r>
      <w:r w:rsidRPr="00D43BAD">
        <w:rPr>
          <w:rFonts w:ascii="Gadugi" w:hAnsi="Gadugi" w:cs="Shruti"/>
          <w:sz w:val="24"/>
          <w:szCs w:val="24"/>
        </w:rPr>
        <w:t xml:space="preserve">  </w:t>
      </w:r>
    </w:p>
    <w:p w14:paraId="519473E5" w14:textId="472F01D7" w:rsidR="00982B1B" w:rsidRPr="006919A9" w:rsidRDefault="00982B1B" w:rsidP="006919A9">
      <w:pPr>
        <w:tabs>
          <w:tab w:val="left" w:pos="2835"/>
          <w:tab w:val="left" w:pos="3402"/>
        </w:tabs>
        <w:suppressAutoHyphens/>
        <w:ind w:left="426" w:right="420"/>
        <w:jc w:val="both"/>
        <w:rPr>
          <w:rFonts w:ascii="Gadugi" w:hAnsi="Gadugi" w:cs="Shruti"/>
          <w:sz w:val="22"/>
          <w:szCs w:val="24"/>
        </w:rPr>
      </w:pPr>
    </w:p>
    <w:p w14:paraId="26A37F75" w14:textId="0FF60997" w:rsidR="00982B1B" w:rsidRPr="006919A9" w:rsidRDefault="00982B1B" w:rsidP="006919A9">
      <w:pPr>
        <w:tabs>
          <w:tab w:val="left" w:pos="2835"/>
          <w:tab w:val="left" w:pos="3402"/>
        </w:tabs>
        <w:suppressAutoHyphens/>
        <w:ind w:left="426" w:right="420"/>
        <w:jc w:val="both"/>
        <w:rPr>
          <w:rFonts w:ascii="Gadugi" w:hAnsi="Gadugi" w:cs="Shruti"/>
          <w:sz w:val="22"/>
          <w:szCs w:val="24"/>
        </w:rPr>
      </w:pPr>
      <w:r w:rsidRPr="006919A9">
        <w:rPr>
          <w:rFonts w:ascii="Gadugi" w:hAnsi="Gadugi" w:cs="Shruti"/>
          <w:sz w:val="22"/>
          <w:szCs w:val="24"/>
        </w:rPr>
        <w:tab/>
      </w:r>
      <w:r w:rsidRPr="006919A9">
        <w:rPr>
          <w:rFonts w:ascii="Gadugi" w:hAnsi="Gadugi" w:cs="Shruti"/>
          <w:b/>
          <w:sz w:val="22"/>
          <w:szCs w:val="24"/>
        </w:rPr>
        <w:t>Por consiguiente, por regla general no será exigible elevar a escritura pública ni inscribir en el registro mercantil el contrato de fiducia, en caso de que conste en documento privado, excepto si el negocio fiduciario implica la transferencia de un bien que requiera el cumplimiento de dicha solemnidad.</w:t>
      </w:r>
      <w:r w:rsidRPr="006919A9">
        <w:rPr>
          <w:rFonts w:ascii="Gadugi" w:hAnsi="Gadugi" w:cs="Shruti"/>
          <w:sz w:val="22"/>
          <w:szCs w:val="24"/>
        </w:rPr>
        <w:t xml:space="preserve"> En estos mismos términos, la Superintendencia Financiera se pronunció señalando que </w:t>
      </w:r>
      <w:r w:rsidRPr="006919A9">
        <w:rPr>
          <w:rFonts w:ascii="Gadugi" w:hAnsi="Gadugi" w:cs="Shruti"/>
          <w:i/>
          <w:sz w:val="22"/>
          <w:szCs w:val="24"/>
        </w:rPr>
        <w:t>“ni en el Código de Comercio ni tampoco el Estatuto Orgánico del Sistema Financiero -</w:t>
      </w:r>
      <w:proofErr w:type="gramStart"/>
      <w:r w:rsidRPr="006919A9">
        <w:rPr>
          <w:rFonts w:ascii="Gadugi" w:hAnsi="Gadugi" w:cs="Shruti"/>
          <w:i/>
          <w:sz w:val="22"/>
          <w:szCs w:val="24"/>
        </w:rPr>
        <w:t>EOSF  -</w:t>
      </w:r>
      <w:proofErr w:type="gramEnd"/>
      <w:r w:rsidRPr="006919A9">
        <w:rPr>
          <w:rFonts w:ascii="Gadugi" w:hAnsi="Gadugi" w:cs="Shruti"/>
          <w:i/>
          <w:sz w:val="22"/>
          <w:szCs w:val="24"/>
        </w:rPr>
        <w:t xml:space="preserve">exigen el cumplimiento del requisito de solemnidad para su perfeccionamiento, salvo que en tratándose de la transferencia de bienes sometidos a registro ellos deban sujetarse a tal formalidad sin que sea necesario documentarla por escritura pública”. </w:t>
      </w:r>
      <w:r w:rsidRPr="006919A9">
        <w:rPr>
          <w:rFonts w:ascii="Gadugi" w:hAnsi="Gadugi" w:cs="Shruti"/>
          <w:sz w:val="22"/>
          <w:szCs w:val="24"/>
        </w:rPr>
        <w:t>(Destaca la Sala).</w:t>
      </w:r>
    </w:p>
    <w:p w14:paraId="04E911E6" w14:textId="77777777" w:rsidR="00982B1B" w:rsidRPr="00D43BAD" w:rsidRDefault="00982B1B" w:rsidP="00D43BAD">
      <w:pPr>
        <w:tabs>
          <w:tab w:val="left" w:pos="2835"/>
          <w:tab w:val="left" w:pos="3402"/>
        </w:tabs>
        <w:suppressAutoHyphens/>
        <w:spacing w:line="276" w:lineRule="auto"/>
        <w:jc w:val="both"/>
        <w:rPr>
          <w:rFonts w:ascii="Gadugi" w:hAnsi="Gadugi" w:cs="Shruti"/>
          <w:sz w:val="24"/>
          <w:szCs w:val="24"/>
        </w:rPr>
      </w:pPr>
    </w:p>
    <w:p w14:paraId="387A6406" w14:textId="533F7063" w:rsidR="004A1184" w:rsidRPr="00D43BAD" w:rsidRDefault="004A1184"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E24B13" w:rsidRPr="00D43BAD">
        <w:rPr>
          <w:rFonts w:ascii="Gadugi" w:hAnsi="Gadugi" w:cs="Shruti"/>
          <w:sz w:val="24"/>
          <w:szCs w:val="24"/>
        </w:rPr>
        <w:t>A</w:t>
      </w:r>
      <w:r w:rsidRPr="00D43BAD">
        <w:rPr>
          <w:rFonts w:ascii="Gadugi" w:hAnsi="Gadugi" w:cs="Shruti"/>
          <w:sz w:val="24"/>
          <w:szCs w:val="24"/>
        </w:rPr>
        <w:t>cierta</w:t>
      </w:r>
      <w:r w:rsidR="00E24B13" w:rsidRPr="00D43BAD">
        <w:rPr>
          <w:rFonts w:ascii="Gadugi" w:hAnsi="Gadugi" w:cs="Shruti"/>
          <w:sz w:val="24"/>
          <w:szCs w:val="24"/>
        </w:rPr>
        <w:t xml:space="preserve">, entonces </w:t>
      </w:r>
      <w:r w:rsidRPr="00D43BAD">
        <w:rPr>
          <w:rFonts w:ascii="Gadugi" w:hAnsi="Gadugi" w:cs="Shruti"/>
          <w:sz w:val="24"/>
          <w:szCs w:val="24"/>
        </w:rPr>
        <w:t>la sociedad Alianza Fiduciaria S.A., cuando en su apelación, plantea que los únicos legitimados para incoar una acción, con ocasión de los perjuicios ocasionados por la falta de registro, serían los terceros afectados por tal omisión, porque si bien</w:t>
      </w:r>
      <w:r w:rsidR="00982B1B" w:rsidRPr="00D43BAD">
        <w:rPr>
          <w:rFonts w:ascii="Gadugi" w:hAnsi="Gadugi" w:cs="Shruti"/>
          <w:sz w:val="24"/>
          <w:szCs w:val="24"/>
        </w:rPr>
        <w:t xml:space="preserve"> </w:t>
      </w:r>
      <w:r w:rsidR="00024D93" w:rsidRPr="00D43BAD">
        <w:rPr>
          <w:rFonts w:ascii="Gadugi" w:hAnsi="Gadugi" w:cs="Shruti"/>
          <w:sz w:val="24"/>
          <w:szCs w:val="24"/>
        </w:rPr>
        <w:t xml:space="preserve">el aludido presupuesto </w:t>
      </w:r>
      <w:r w:rsidRPr="00D43BAD">
        <w:rPr>
          <w:rFonts w:ascii="Gadugi" w:hAnsi="Gadugi" w:cs="Shruti"/>
          <w:sz w:val="24"/>
          <w:szCs w:val="24"/>
        </w:rPr>
        <w:t xml:space="preserve">apunta a la publicidad del acuerdo, no desvirtúa su existencia. </w:t>
      </w:r>
      <w:r w:rsidR="00982B1B" w:rsidRPr="00D43BAD">
        <w:rPr>
          <w:rFonts w:ascii="Gadugi" w:hAnsi="Gadugi" w:cs="Shruti"/>
          <w:sz w:val="24"/>
          <w:szCs w:val="24"/>
        </w:rPr>
        <w:t xml:space="preserve"> </w:t>
      </w:r>
    </w:p>
    <w:p w14:paraId="43C759BD" w14:textId="7D397847" w:rsidR="00024D93" w:rsidRPr="00D43BAD" w:rsidRDefault="00024D93" w:rsidP="00D43BAD">
      <w:pPr>
        <w:tabs>
          <w:tab w:val="left" w:pos="2835"/>
          <w:tab w:val="left" w:pos="3402"/>
        </w:tabs>
        <w:suppressAutoHyphens/>
        <w:spacing w:line="276" w:lineRule="auto"/>
        <w:jc w:val="both"/>
        <w:rPr>
          <w:rFonts w:ascii="Gadugi" w:hAnsi="Gadugi" w:cs="Shruti"/>
          <w:sz w:val="24"/>
          <w:szCs w:val="24"/>
        </w:rPr>
      </w:pPr>
    </w:p>
    <w:p w14:paraId="20C838ED" w14:textId="5A008821" w:rsidR="004734EF" w:rsidRPr="006919A9" w:rsidRDefault="004734EF" w:rsidP="006919A9">
      <w:pPr>
        <w:tabs>
          <w:tab w:val="left" w:pos="2835"/>
          <w:tab w:val="left" w:pos="3402"/>
        </w:tabs>
        <w:suppressAutoHyphens/>
        <w:ind w:left="426" w:right="420"/>
        <w:jc w:val="both"/>
        <w:rPr>
          <w:rFonts w:ascii="Gadugi" w:hAnsi="Gadugi" w:cs="Shruti"/>
          <w:sz w:val="22"/>
          <w:szCs w:val="24"/>
        </w:rPr>
      </w:pPr>
      <w:r w:rsidRPr="00D43BAD">
        <w:rPr>
          <w:rFonts w:ascii="Gadugi" w:hAnsi="Gadugi" w:cs="Shruti"/>
          <w:sz w:val="24"/>
          <w:szCs w:val="24"/>
        </w:rPr>
        <w:tab/>
      </w:r>
      <w:r w:rsidR="006C0A4E" w:rsidRPr="006919A9">
        <w:rPr>
          <w:rFonts w:ascii="Gadugi" w:hAnsi="Gadugi" w:cs="Shruti"/>
          <w:i/>
          <w:sz w:val="22"/>
          <w:szCs w:val="24"/>
        </w:rPr>
        <w:t>“</w:t>
      </w:r>
      <w:r w:rsidRPr="006919A9">
        <w:rPr>
          <w:rFonts w:ascii="Gadugi" w:hAnsi="Gadugi" w:cs="Shruti"/>
          <w:i/>
          <w:sz w:val="22"/>
          <w:szCs w:val="24"/>
        </w:rPr>
        <w:t>Un negocio jurídico puede existir por reunir los requisitos esenciales de le</w:t>
      </w:r>
      <w:r w:rsidR="006C0A4E" w:rsidRPr="006919A9">
        <w:rPr>
          <w:rFonts w:ascii="Gadugi" w:hAnsi="Gadugi" w:cs="Shruti"/>
          <w:i/>
          <w:sz w:val="22"/>
          <w:szCs w:val="24"/>
        </w:rPr>
        <w:t>y y, al mismo tiempo, ser válido por haberse celebrado en forma regular y, sin embargo, carecer de eficacia frente a un tercero que puede ser el verdadero titular del derecho patrimonial que es objeto del negocio jurídico o un tercero que, no siendo titular del derecho patrimonial negociado, sea lesionado o perjudicado con el acto</w:t>
      </w:r>
      <w:r w:rsidR="004B16D7" w:rsidRPr="006919A9">
        <w:rPr>
          <w:rFonts w:ascii="Gadugi" w:hAnsi="Gadugi" w:cs="Shruti"/>
          <w:i/>
          <w:sz w:val="22"/>
          <w:szCs w:val="24"/>
        </w:rPr>
        <w:t>”</w:t>
      </w:r>
      <w:r w:rsidR="004B16D7" w:rsidRPr="006919A9">
        <w:rPr>
          <w:rFonts w:ascii="Gadugi" w:hAnsi="Gadugi" w:cs="Shruti"/>
          <w:sz w:val="22"/>
          <w:szCs w:val="24"/>
        </w:rPr>
        <w:t xml:space="preserve"> dice la doctrina</w:t>
      </w:r>
      <w:r w:rsidR="006C0A4E" w:rsidRPr="006919A9">
        <w:rPr>
          <w:rStyle w:val="Refdenotaalpie"/>
          <w:rFonts w:ascii="Gadugi" w:hAnsi="Gadugi" w:cs="Shruti"/>
          <w:sz w:val="22"/>
          <w:szCs w:val="24"/>
        </w:rPr>
        <w:footnoteReference w:id="35"/>
      </w:r>
      <w:r w:rsidR="004B16D7" w:rsidRPr="006919A9">
        <w:rPr>
          <w:rFonts w:ascii="Gadugi" w:hAnsi="Gadugi" w:cs="Shruti"/>
          <w:sz w:val="22"/>
          <w:szCs w:val="24"/>
        </w:rPr>
        <w:t>.</w:t>
      </w:r>
      <w:r w:rsidR="006C0A4E" w:rsidRPr="006919A9">
        <w:rPr>
          <w:rFonts w:ascii="Gadugi" w:hAnsi="Gadugi" w:cs="Shruti"/>
          <w:sz w:val="22"/>
          <w:szCs w:val="24"/>
        </w:rPr>
        <w:t xml:space="preserve"> </w:t>
      </w:r>
      <w:r w:rsidRPr="006919A9">
        <w:rPr>
          <w:rFonts w:ascii="Gadugi" w:hAnsi="Gadugi" w:cs="Shruti"/>
          <w:sz w:val="22"/>
          <w:szCs w:val="24"/>
        </w:rPr>
        <w:t>Cuestión decantada por la Sala de Casación Civil de la Corte Suprema de Justicia desde antaño</w:t>
      </w:r>
      <w:r w:rsidRPr="006919A9">
        <w:rPr>
          <w:rStyle w:val="Refdenotaalpie"/>
          <w:rFonts w:ascii="Gadugi" w:hAnsi="Gadugi" w:cs="Shruti"/>
          <w:sz w:val="22"/>
          <w:szCs w:val="24"/>
        </w:rPr>
        <w:footnoteReference w:id="36"/>
      </w:r>
      <w:r w:rsidRPr="006919A9">
        <w:rPr>
          <w:rFonts w:ascii="Gadugi" w:hAnsi="Gadugi" w:cs="Shruti"/>
          <w:sz w:val="22"/>
          <w:szCs w:val="24"/>
        </w:rPr>
        <w:t>:</w:t>
      </w:r>
    </w:p>
    <w:p w14:paraId="1186F97A" w14:textId="021D7359" w:rsidR="004734EF" w:rsidRPr="006919A9" w:rsidRDefault="004734EF" w:rsidP="006919A9">
      <w:pPr>
        <w:tabs>
          <w:tab w:val="left" w:pos="2835"/>
          <w:tab w:val="left" w:pos="3402"/>
        </w:tabs>
        <w:suppressAutoHyphens/>
        <w:ind w:left="426" w:right="420"/>
        <w:jc w:val="both"/>
        <w:rPr>
          <w:rFonts w:ascii="Gadugi" w:hAnsi="Gadugi" w:cs="Shruti"/>
          <w:sz w:val="22"/>
          <w:szCs w:val="24"/>
        </w:rPr>
      </w:pPr>
    </w:p>
    <w:p w14:paraId="5C1B26DC" w14:textId="53DAA8F2" w:rsidR="004734EF" w:rsidRPr="006919A9" w:rsidRDefault="004734EF" w:rsidP="006919A9">
      <w:pPr>
        <w:tabs>
          <w:tab w:val="left" w:pos="2835"/>
          <w:tab w:val="left" w:pos="3402"/>
        </w:tabs>
        <w:suppressAutoHyphens/>
        <w:ind w:left="709" w:right="703"/>
        <w:jc w:val="both"/>
        <w:rPr>
          <w:rFonts w:ascii="Gadugi" w:hAnsi="Gadugi" w:cs="Shruti"/>
          <w:sz w:val="22"/>
          <w:szCs w:val="24"/>
        </w:rPr>
      </w:pPr>
      <w:r w:rsidRPr="006919A9">
        <w:rPr>
          <w:rFonts w:ascii="Gadugi" w:hAnsi="Gadugi" w:cs="Shruti"/>
          <w:sz w:val="22"/>
          <w:szCs w:val="24"/>
        </w:rPr>
        <w:tab/>
        <w:t xml:space="preserve">“[L]a inoponibilidad del negocio jurídico se traduce en la ausencia de sus efectos respecto de o en contra de alguien, generalmente, por inobservancia de las cargas de conocimiento, previsión, sagacidad, probidad, corrección, tutela de la buena fe o por las circunstancias disciplinadas por la ley, a cuyo tenor, ‘será inoponible el negocio jurídico celebrado sin cumplir con los requisitos de publicidad que la ley exija’ (art. 901 C. de Co.; Cas. 24 de agosto de 1938, LKVII, 852; Cas. 18 de febrero de 1994, Cas. 30 de noviembre de 1994, </w:t>
      </w:r>
      <w:proofErr w:type="spellStart"/>
      <w:r w:rsidRPr="006919A9">
        <w:rPr>
          <w:rFonts w:ascii="Gadugi" w:hAnsi="Gadugi" w:cs="Shruti"/>
          <w:sz w:val="22"/>
          <w:szCs w:val="24"/>
        </w:rPr>
        <w:t>exp</w:t>
      </w:r>
      <w:proofErr w:type="spellEnd"/>
      <w:r w:rsidRPr="006919A9">
        <w:rPr>
          <w:rFonts w:ascii="Gadugi" w:hAnsi="Gadugi" w:cs="Shruti"/>
          <w:sz w:val="22"/>
          <w:szCs w:val="24"/>
        </w:rPr>
        <w:t xml:space="preserve">. 4025; Cas. 26 de abril de 1995, </w:t>
      </w:r>
      <w:proofErr w:type="spellStart"/>
      <w:r w:rsidRPr="006919A9">
        <w:rPr>
          <w:rFonts w:ascii="Gadugi" w:hAnsi="Gadugi" w:cs="Shruti"/>
          <w:sz w:val="22"/>
          <w:szCs w:val="24"/>
        </w:rPr>
        <w:t>exp</w:t>
      </w:r>
      <w:proofErr w:type="spellEnd"/>
      <w:r w:rsidRPr="006919A9">
        <w:rPr>
          <w:rFonts w:ascii="Gadugi" w:hAnsi="Gadugi" w:cs="Shruti"/>
          <w:sz w:val="22"/>
          <w:szCs w:val="24"/>
        </w:rPr>
        <w:t xml:space="preserve">. 4193; Cas. 24 de mayo de 2000, </w:t>
      </w:r>
      <w:proofErr w:type="spellStart"/>
      <w:r w:rsidRPr="006919A9">
        <w:rPr>
          <w:rFonts w:ascii="Gadugi" w:hAnsi="Gadugi" w:cs="Shruti"/>
          <w:sz w:val="22"/>
          <w:szCs w:val="24"/>
        </w:rPr>
        <w:t>exp</w:t>
      </w:r>
      <w:proofErr w:type="spellEnd"/>
      <w:r w:rsidRPr="006919A9">
        <w:rPr>
          <w:rFonts w:ascii="Gadugi" w:hAnsi="Gadugi" w:cs="Shruti"/>
          <w:sz w:val="22"/>
          <w:szCs w:val="24"/>
        </w:rPr>
        <w:t xml:space="preserve">. 5267 y Cas. 15 de agosto de 2006, </w:t>
      </w:r>
      <w:proofErr w:type="spellStart"/>
      <w:r w:rsidRPr="006919A9">
        <w:rPr>
          <w:rFonts w:ascii="Gadugi" w:hAnsi="Gadugi" w:cs="Shruti"/>
          <w:sz w:val="22"/>
          <w:szCs w:val="24"/>
        </w:rPr>
        <w:t>exp</w:t>
      </w:r>
      <w:proofErr w:type="spellEnd"/>
      <w:r w:rsidRPr="006919A9">
        <w:rPr>
          <w:rFonts w:ascii="Gadugi" w:hAnsi="Gadugi" w:cs="Shruti"/>
          <w:sz w:val="22"/>
          <w:szCs w:val="24"/>
        </w:rPr>
        <w:t xml:space="preserve">. 1995-9375-01). </w:t>
      </w:r>
    </w:p>
    <w:p w14:paraId="18AEB737" w14:textId="15CDFF12" w:rsidR="004734EF" w:rsidRPr="006919A9" w:rsidRDefault="004734EF" w:rsidP="006919A9">
      <w:pPr>
        <w:tabs>
          <w:tab w:val="left" w:pos="2835"/>
          <w:tab w:val="left" w:pos="3402"/>
        </w:tabs>
        <w:suppressAutoHyphens/>
        <w:ind w:left="709" w:right="703"/>
        <w:jc w:val="both"/>
        <w:rPr>
          <w:rFonts w:ascii="Gadugi" w:hAnsi="Gadugi" w:cs="Shruti"/>
          <w:sz w:val="22"/>
          <w:szCs w:val="24"/>
        </w:rPr>
      </w:pPr>
    </w:p>
    <w:p w14:paraId="01B78509" w14:textId="72E03F3B" w:rsidR="004734EF" w:rsidRPr="006919A9" w:rsidRDefault="004734EF" w:rsidP="006919A9">
      <w:pPr>
        <w:tabs>
          <w:tab w:val="left" w:pos="2835"/>
          <w:tab w:val="left" w:pos="3402"/>
        </w:tabs>
        <w:suppressAutoHyphens/>
        <w:ind w:left="709" w:right="703"/>
        <w:jc w:val="both"/>
        <w:rPr>
          <w:rFonts w:ascii="Gadugi" w:hAnsi="Gadugi" w:cs="Shruti"/>
          <w:sz w:val="22"/>
          <w:szCs w:val="24"/>
        </w:rPr>
      </w:pPr>
      <w:r w:rsidRPr="006919A9">
        <w:rPr>
          <w:rFonts w:ascii="Gadugi" w:hAnsi="Gadugi" w:cs="Shruti"/>
          <w:sz w:val="22"/>
          <w:szCs w:val="24"/>
        </w:rPr>
        <w:lastRenderedPageBreak/>
        <w:tab/>
        <w:t xml:space="preserve">De donde, las causas de inoponibilidad, son variadas, no se limitan a la falta de publicidad y presuponen la existencia y validez del negocio jurídico, a las cuales no se asimila y, </w:t>
      </w:r>
      <w:r w:rsidRPr="006919A9">
        <w:rPr>
          <w:rFonts w:ascii="Gadugi" w:hAnsi="Gadugi" w:cs="Shruti"/>
          <w:b/>
          <w:sz w:val="22"/>
          <w:szCs w:val="24"/>
        </w:rPr>
        <w:t>no puede ser invocada más que por terceros afectados en quienes concurra</w:t>
      </w:r>
      <w:r w:rsidRPr="006919A9">
        <w:rPr>
          <w:rFonts w:ascii="Gadugi" w:hAnsi="Gadugi" w:cs="Shruti"/>
          <w:sz w:val="22"/>
          <w:szCs w:val="24"/>
        </w:rPr>
        <w:t xml:space="preserve">: así, de ordinario, los efectos del negocio jurídico son plenos entre las partes y no respecto de terceros, cuyos intereses escapan a la esfera dispositiva de las partes, careciendo de eficacia, en sentido negativo o positivo, salvo en las precisas situaciones fácticas disciplinadas por el ordenamiento (estipulación por otro, contrato a favor de terceros, etc.); la cesión de créditos y de contrato de prestaciones correlativas, es inoponible al deudor y a la contraparte por ausencia de notificación y, en su caso, de aceptación (arts. 1698 y ss. C.C.); el pacto de reserva de dominio al tercero de buena fe adquirente del bien mueble (arts. 1931 y 1933 C.C.); </w:t>
      </w:r>
      <w:r w:rsidRPr="006919A9">
        <w:rPr>
          <w:rFonts w:ascii="Gadugi" w:hAnsi="Gadugi" w:cs="Shruti"/>
          <w:b/>
          <w:sz w:val="22"/>
          <w:szCs w:val="24"/>
        </w:rPr>
        <w:t xml:space="preserve">el pacto fiduciario a terceros </w:t>
      </w:r>
      <w:r w:rsidRPr="006919A9">
        <w:rPr>
          <w:rFonts w:ascii="Gadugi" w:hAnsi="Gadugi" w:cs="Shruti"/>
          <w:sz w:val="22"/>
          <w:szCs w:val="24"/>
        </w:rPr>
        <w:t xml:space="preserve">(art. 1759 C.C.); el ‘pacto secreto, privado, reservado, simulado’ a terceros adquirentes del titular aparente (art. 1766 C.C.); las decisiones adoptadas por la asamblea o junta general de socios que no tengan carácter general, son inoponibles a los socios ausentes o disidentes (arts. 188 y 190 C. de Co.), y en general, el negocio no conocible por terceros, usualmente, por omisión de la publicidad exigible (arts. 901, arts. 29, 112, 121, 158, 190, 188, 196, 300, 313, 366, 499, 510, 528, 843, 894, 953, 1186, 1208, 1320, 1333 y 1573 del C. de Co.; 2 y 44 del Decreto 1250 de 1970). </w:t>
      </w:r>
    </w:p>
    <w:p w14:paraId="78776BC1" w14:textId="5DF5D797" w:rsidR="004734EF" w:rsidRPr="006919A9" w:rsidRDefault="004734EF" w:rsidP="006919A9">
      <w:pPr>
        <w:tabs>
          <w:tab w:val="left" w:pos="2835"/>
          <w:tab w:val="left" w:pos="3402"/>
        </w:tabs>
        <w:suppressAutoHyphens/>
        <w:ind w:left="709" w:right="703"/>
        <w:jc w:val="both"/>
        <w:rPr>
          <w:rFonts w:ascii="Gadugi" w:hAnsi="Gadugi" w:cs="Shruti"/>
          <w:sz w:val="22"/>
          <w:szCs w:val="24"/>
        </w:rPr>
      </w:pPr>
    </w:p>
    <w:p w14:paraId="186DC1E1" w14:textId="657E700B" w:rsidR="004734EF" w:rsidRPr="006919A9" w:rsidRDefault="004734EF" w:rsidP="006919A9">
      <w:pPr>
        <w:tabs>
          <w:tab w:val="left" w:pos="2835"/>
          <w:tab w:val="left" w:pos="3402"/>
        </w:tabs>
        <w:suppressAutoHyphens/>
        <w:ind w:left="709" w:right="703"/>
        <w:jc w:val="both"/>
        <w:rPr>
          <w:rFonts w:ascii="Gadugi" w:hAnsi="Gadugi" w:cs="Shruti"/>
          <w:b/>
          <w:sz w:val="22"/>
          <w:szCs w:val="24"/>
        </w:rPr>
      </w:pPr>
      <w:r w:rsidRPr="006919A9">
        <w:rPr>
          <w:rFonts w:ascii="Gadugi" w:hAnsi="Gadugi" w:cs="Shruti"/>
          <w:sz w:val="22"/>
          <w:szCs w:val="24"/>
        </w:rPr>
        <w:tab/>
        <w:t xml:space="preserve">La publicidad, de igual manera, es una carga, trámite o procedimiento para alcanzar determinados fines o efectos prácticos, no es una forma para la constitución (ad </w:t>
      </w:r>
      <w:proofErr w:type="spellStart"/>
      <w:r w:rsidRPr="006919A9">
        <w:rPr>
          <w:rFonts w:ascii="Gadugi" w:hAnsi="Gadugi" w:cs="Shruti"/>
          <w:sz w:val="22"/>
          <w:szCs w:val="24"/>
        </w:rPr>
        <w:t>substantiam</w:t>
      </w:r>
      <w:proofErr w:type="spellEnd"/>
      <w:r w:rsidRPr="006919A9">
        <w:rPr>
          <w:rFonts w:ascii="Gadugi" w:hAnsi="Gadugi" w:cs="Shruti"/>
          <w:sz w:val="22"/>
          <w:szCs w:val="24"/>
        </w:rPr>
        <w:t xml:space="preserve"> </w:t>
      </w:r>
      <w:proofErr w:type="spellStart"/>
      <w:r w:rsidRPr="006919A9">
        <w:rPr>
          <w:rFonts w:ascii="Gadugi" w:hAnsi="Gadugi" w:cs="Shruti"/>
          <w:sz w:val="22"/>
          <w:szCs w:val="24"/>
        </w:rPr>
        <w:t>actus</w:t>
      </w:r>
      <w:proofErr w:type="spellEnd"/>
      <w:r w:rsidRPr="006919A9">
        <w:rPr>
          <w:rFonts w:ascii="Gadugi" w:hAnsi="Gadugi" w:cs="Shruti"/>
          <w:sz w:val="22"/>
          <w:szCs w:val="24"/>
        </w:rPr>
        <w:t xml:space="preserve">), validez o prueba (ad </w:t>
      </w:r>
      <w:proofErr w:type="spellStart"/>
      <w:r w:rsidRPr="006919A9">
        <w:rPr>
          <w:rFonts w:ascii="Gadugi" w:hAnsi="Gadugi" w:cs="Shruti"/>
          <w:sz w:val="22"/>
          <w:szCs w:val="24"/>
        </w:rPr>
        <w:t>probationem</w:t>
      </w:r>
      <w:proofErr w:type="spellEnd"/>
      <w:r w:rsidRPr="006919A9">
        <w:rPr>
          <w:rFonts w:ascii="Gadugi" w:hAnsi="Gadugi" w:cs="Shruti"/>
          <w:sz w:val="22"/>
          <w:szCs w:val="24"/>
        </w:rPr>
        <w:t xml:space="preserve">) del negocio jurídico, tiene por función básica, primaria y genuina, darlo a conocer a terceros, extraños e interesados, desempeña además funciones de tutela o protección de la situación hecha pública, probatoria de su inscripción, trascripción, anotación. </w:t>
      </w:r>
      <w:r w:rsidRPr="006919A9">
        <w:rPr>
          <w:rFonts w:ascii="Gadugi" w:hAnsi="Gadugi" w:cs="Shruti"/>
          <w:b/>
          <w:sz w:val="22"/>
          <w:szCs w:val="24"/>
        </w:rPr>
        <w:t>Sólo en las hipótesis exceptivas cumple función constitutiva esencial (verbi gratia, tradición de bienes raíces, derechos reales sobre éstos, hipoteca, arts. 756 y 2435 C.C.).</w:t>
      </w:r>
    </w:p>
    <w:p w14:paraId="45B39B65" w14:textId="3E9D3D2C" w:rsidR="004734EF" w:rsidRPr="006919A9" w:rsidRDefault="004734EF" w:rsidP="006919A9">
      <w:pPr>
        <w:tabs>
          <w:tab w:val="left" w:pos="2835"/>
          <w:tab w:val="left" w:pos="3402"/>
        </w:tabs>
        <w:suppressAutoHyphens/>
        <w:ind w:left="709" w:right="703"/>
        <w:jc w:val="both"/>
        <w:rPr>
          <w:rFonts w:ascii="Gadugi" w:hAnsi="Gadugi" w:cs="Shruti"/>
          <w:sz w:val="22"/>
          <w:szCs w:val="24"/>
        </w:rPr>
      </w:pPr>
    </w:p>
    <w:p w14:paraId="3EDECF62" w14:textId="646923E6" w:rsidR="004734EF" w:rsidRPr="006919A9" w:rsidRDefault="004734EF" w:rsidP="006919A9">
      <w:pPr>
        <w:tabs>
          <w:tab w:val="left" w:pos="2835"/>
          <w:tab w:val="left" w:pos="3402"/>
        </w:tabs>
        <w:suppressAutoHyphens/>
        <w:ind w:left="709" w:right="703"/>
        <w:jc w:val="both"/>
        <w:rPr>
          <w:rFonts w:ascii="Gadugi" w:hAnsi="Gadugi" w:cs="Shruti"/>
          <w:sz w:val="22"/>
          <w:szCs w:val="24"/>
        </w:rPr>
      </w:pPr>
      <w:r w:rsidRPr="006919A9">
        <w:rPr>
          <w:rFonts w:ascii="Gadugi" w:hAnsi="Gadugi" w:cs="Shruti"/>
          <w:sz w:val="22"/>
          <w:szCs w:val="24"/>
        </w:rPr>
        <w:tab/>
        <w:t>En suma, la función protectora de la situación hecha pública, se especifica con su ‘oponibilidad’, en cuanto a los datos o hechos dados a conocer, los cuales, se suponen conocidos por su publicidad y a contrario sensu, la omisión de la publicidad exigida, determina la ‘inoponibilidad’ del acto, y en tratándose del dominio, “‘nuestro sistema de registro de la propiedad inmueble cumple, entre otras, una misión trascendental de publicidad’ (XLIII, 53), pues, ‘la ley toma en consideración la buena fe libre de toda culpa con el exclusivo propósito de proteger la honestidad en la circulación de los bienes, (…) (art. 83 de la C.N.), y es por eso, precisamente, por lo que los genuinos terceros que llevan a cabo negocios adquisitivos o traslaticios de derechos reales(…) confiando por ende en aquello que sobre el particular el registro inmobiliario hace público y exige en consecuencia consultar, adquiere por principio una posición inatacable, no obstante la ineficacia sobreviniente, o la eficacia claudicante por motivos ocultos’ (CCXLIII, 75)”.”</w:t>
      </w:r>
    </w:p>
    <w:p w14:paraId="3F394961" w14:textId="43A6B19B" w:rsidR="004A1184" w:rsidRPr="00D43BAD" w:rsidRDefault="00024D93" w:rsidP="00D43BAD">
      <w:pPr>
        <w:tabs>
          <w:tab w:val="left" w:pos="2835"/>
          <w:tab w:val="left" w:pos="3402"/>
        </w:tabs>
        <w:suppressAutoHyphens/>
        <w:spacing w:line="276" w:lineRule="auto"/>
        <w:ind w:left="567" w:right="618"/>
        <w:jc w:val="both"/>
        <w:rPr>
          <w:rFonts w:ascii="Gadugi" w:hAnsi="Gadugi" w:cs="Shruti"/>
          <w:sz w:val="24"/>
          <w:szCs w:val="24"/>
        </w:rPr>
      </w:pPr>
      <w:r w:rsidRPr="00D43BAD">
        <w:rPr>
          <w:rFonts w:ascii="Gadugi" w:hAnsi="Gadugi" w:cs="Shruti"/>
          <w:sz w:val="24"/>
          <w:szCs w:val="24"/>
        </w:rPr>
        <w:tab/>
      </w:r>
    </w:p>
    <w:p w14:paraId="04CDA24C" w14:textId="6011B1D1" w:rsidR="00A474FF" w:rsidRPr="00D43BAD" w:rsidRDefault="004A1184" w:rsidP="00D43BAD">
      <w:pPr>
        <w:tabs>
          <w:tab w:val="left" w:pos="2835"/>
          <w:tab w:val="left" w:pos="3402"/>
        </w:tabs>
        <w:suppressAutoHyphens/>
        <w:spacing w:line="276" w:lineRule="auto"/>
        <w:jc w:val="both"/>
        <w:rPr>
          <w:rFonts w:ascii="Gadugi" w:hAnsi="Gadugi" w:cs="Shruti"/>
          <w:sz w:val="24"/>
          <w:szCs w:val="24"/>
        </w:rPr>
      </w:pPr>
      <w:r w:rsidRPr="00D43BAD">
        <w:rPr>
          <w:rFonts w:ascii="Gadugi" w:hAnsi="Gadugi" w:cs="Shruti"/>
          <w:sz w:val="24"/>
          <w:szCs w:val="24"/>
        </w:rPr>
        <w:tab/>
      </w:r>
      <w:r w:rsidR="006C0A4E" w:rsidRPr="00D43BAD">
        <w:rPr>
          <w:rFonts w:ascii="Gadugi" w:hAnsi="Gadugi" w:cs="Shruti"/>
          <w:sz w:val="24"/>
          <w:szCs w:val="24"/>
        </w:rPr>
        <w:t xml:space="preserve">2.6. </w:t>
      </w:r>
      <w:r w:rsidRPr="00D43BAD">
        <w:rPr>
          <w:rFonts w:ascii="Gadugi" w:hAnsi="Gadugi" w:cs="Shruti"/>
          <w:sz w:val="24"/>
          <w:szCs w:val="24"/>
        </w:rPr>
        <w:t xml:space="preserve">En suma, como la conclusión es que la fiducia mercantil de garantía si existió, </w:t>
      </w:r>
      <w:r w:rsidR="00A474FF" w:rsidRPr="00D43BAD">
        <w:rPr>
          <w:rFonts w:ascii="Gadugi" w:hAnsi="Gadugi" w:cs="Shruti"/>
          <w:sz w:val="24"/>
          <w:szCs w:val="24"/>
        </w:rPr>
        <w:t>como se anticipó, no habrá lugar a analizar las demás pretensiones, y entonces, será revocada la sentencia de primer grado que avaló la inexistencia que pregonaban los accionantes, y en su lugar, se negarán las pretensiones de la demanda.</w:t>
      </w:r>
    </w:p>
    <w:p w14:paraId="1D195427" w14:textId="77777777" w:rsidR="00A474FF" w:rsidRPr="00D43BAD" w:rsidRDefault="00A474FF" w:rsidP="00D43BAD">
      <w:pPr>
        <w:tabs>
          <w:tab w:val="left" w:pos="426"/>
        </w:tabs>
        <w:spacing w:line="276" w:lineRule="auto"/>
        <w:ind w:firstLine="2835"/>
        <w:jc w:val="both"/>
        <w:rPr>
          <w:rFonts w:ascii="Gadugi" w:hAnsi="Gadugi" w:cs="Shruti"/>
          <w:sz w:val="24"/>
          <w:szCs w:val="24"/>
        </w:rPr>
      </w:pPr>
    </w:p>
    <w:p w14:paraId="10090618" w14:textId="50BAD939" w:rsidR="00A474FF" w:rsidRDefault="00A474FF" w:rsidP="00D43BAD">
      <w:pPr>
        <w:tabs>
          <w:tab w:val="left" w:pos="426"/>
        </w:tabs>
        <w:spacing w:line="276" w:lineRule="auto"/>
        <w:ind w:firstLine="2835"/>
        <w:jc w:val="both"/>
        <w:rPr>
          <w:rFonts w:ascii="Gadugi" w:hAnsi="Gadugi"/>
          <w:sz w:val="24"/>
          <w:szCs w:val="24"/>
        </w:rPr>
      </w:pPr>
      <w:r w:rsidRPr="00D43BAD">
        <w:rPr>
          <w:rFonts w:ascii="Gadugi" w:hAnsi="Gadugi" w:cs="Shruti"/>
          <w:sz w:val="24"/>
          <w:szCs w:val="24"/>
        </w:rPr>
        <w:t xml:space="preserve">Las costas en ambas instancias correrán </w:t>
      </w:r>
      <w:r w:rsidRPr="00D43BAD">
        <w:rPr>
          <w:rFonts w:ascii="Gadugi" w:hAnsi="Gadugi"/>
          <w:sz w:val="24"/>
          <w:szCs w:val="24"/>
        </w:rPr>
        <w:t xml:space="preserve">a cargo </w:t>
      </w:r>
      <w:r w:rsidR="00D83F27" w:rsidRPr="00D43BAD">
        <w:rPr>
          <w:rFonts w:ascii="Gadugi" w:hAnsi="Gadugi"/>
          <w:sz w:val="24"/>
          <w:szCs w:val="24"/>
        </w:rPr>
        <w:t xml:space="preserve">los demandantes </w:t>
      </w:r>
      <w:r w:rsidRPr="00D43BAD">
        <w:rPr>
          <w:rFonts w:ascii="Gadugi" w:hAnsi="Gadugi"/>
          <w:sz w:val="24"/>
          <w:szCs w:val="24"/>
        </w:rPr>
        <w:t xml:space="preserve">y en favor de </w:t>
      </w:r>
      <w:r w:rsidR="00D83F27" w:rsidRPr="00D43BAD">
        <w:rPr>
          <w:rFonts w:ascii="Gadugi" w:hAnsi="Gadugi"/>
          <w:sz w:val="24"/>
          <w:szCs w:val="24"/>
        </w:rPr>
        <w:t>la demandada</w:t>
      </w:r>
      <w:r w:rsidRPr="00D43BAD">
        <w:rPr>
          <w:rFonts w:ascii="Gadugi" w:hAnsi="Gadugi"/>
          <w:sz w:val="24"/>
          <w:szCs w:val="24"/>
        </w:rPr>
        <w:t xml:space="preserve"> (art. 36</w:t>
      </w:r>
      <w:r w:rsidR="0003461C" w:rsidRPr="00D43BAD">
        <w:rPr>
          <w:rFonts w:ascii="Gadugi" w:hAnsi="Gadugi"/>
          <w:sz w:val="24"/>
          <w:szCs w:val="24"/>
        </w:rPr>
        <w:t>5</w:t>
      </w:r>
      <w:r w:rsidRPr="00D43BAD">
        <w:rPr>
          <w:rFonts w:ascii="Gadugi" w:hAnsi="Gadugi"/>
          <w:sz w:val="24"/>
          <w:szCs w:val="24"/>
        </w:rPr>
        <w:t xml:space="preserve"> No. 4 CGP). Se liquidarán ante el juzgado de primera instancia, siguiendo las pautas del artículo 366 del CGP, dado que, a partir de la ejecutoria de este fallo el proceso hará tránsito al CGP. Para tal fin, en auto separado se fijarán las agencias en derecho. </w:t>
      </w:r>
    </w:p>
    <w:p w14:paraId="2B2C483C" w14:textId="77777777" w:rsidR="006919A9" w:rsidRPr="00D43BAD" w:rsidRDefault="006919A9" w:rsidP="00D43BAD">
      <w:pPr>
        <w:tabs>
          <w:tab w:val="left" w:pos="426"/>
        </w:tabs>
        <w:spacing w:line="276" w:lineRule="auto"/>
        <w:ind w:firstLine="2835"/>
        <w:jc w:val="both"/>
        <w:rPr>
          <w:rFonts w:ascii="Gadugi" w:hAnsi="Gadugi"/>
          <w:sz w:val="24"/>
          <w:szCs w:val="24"/>
        </w:rPr>
      </w:pPr>
    </w:p>
    <w:p w14:paraId="668FDDDF" w14:textId="77777777" w:rsidR="00A04477" w:rsidRPr="00D43BAD" w:rsidRDefault="00A04477" w:rsidP="00D43BAD">
      <w:pPr>
        <w:tabs>
          <w:tab w:val="left" w:pos="3402"/>
        </w:tabs>
        <w:suppressAutoHyphens/>
        <w:spacing w:line="276" w:lineRule="auto"/>
        <w:ind w:firstLine="2835"/>
        <w:jc w:val="both"/>
        <w:rPr>
          <w:rFonts w:ascii="Gadugi" w:hAnsi="Gadugi" w:cs="Shruti"/>
          <w:b/>
          <w:sz w:val="24"/>
          <w:szCs w:val="24"/>
        </w:rPr>
      </w:pPr>
      <w:r w:rsidRPr="00D43BAD">
        <w:rPr>
          <w:rFonts w:ascii="Gadugi" w:hAnsi="Gadugi" w:cs="Shruti"/>
          <w:b/>
          <w:sz w:val="24"/>
          <w:szCs w:val="24"/>
          <w:lang w:val="es-419"/>
        </w:rPr>
        <w:t>3.</w:t>
      </w:r>
      <w:r w:rsidRPr="00D43BAD">
        <w:rPr>
          <w:rFonts w:ascii="Gadugi" w:hAnsi="Gadugi" w:cs="Shruti"/>
          <w:b/>
          <w:sz w:val="24"/>
          <w:szCs w:val="24"/>
          <w:lang w:val="es-419"/>
        </w:rPr>
        <w:tab/>
      </w:r>
      <w:r w:rsidRPr="00D43BAD">
        <w:rPr>
          <w:rFonts w:ascii="Gadugi" w:hAnsi="Gadugi" w:cs="Shruti"/>
          <w:b/>
          <w:sz w:val="24"/>
          <w:szCs w:val="24"/>
        </w:rPr>
        <w:t>DECISIÓN</w:t>
      </w:r>
    </w:p>
    <w:p w14:paraId="664355AD" w14:textId="77777777" w:rsidR="00152418" w:rsidRPr="00D43BAD" w:rsidRDefault="00152418" w:rsidP="00D43BAD">
      <w:pPr>
        <w:tabs>
          <w:tab w:val="left" w:pos="3402"/>
        </w:tabs>
        <w:suppressAutoHyphens/>
        <w:spacing w:line="276" w:lineRule="auto"/>
        <w:ind w:firstLine="2835"/>
        <w:jc w:val="both"/>
        <w:rPr>
          <w:rFonts w:ascii="Gadugi" w:hAnsi="Gadugi" w:cs="Shruti"/>
          <w:sz w:val="24"/>
          <w:szCs w:val="24"/>
        </w:rPr>
      </w:pPr>
    </w:p>
    <w:p w14:paraId="417088FF" w14:textId="77777777" w:rsidR="006E2703" w:rsidRPr="00D43BAD" w:rsidRDefault="006E2703" w:rsidP="00D43BAD">
      <w:pPr>
        <w:overflowPunct/>
        <w:autoSpaceDE/>
        <w:autoSpaceDN/>
        <w:adjustRightInd/>
        <w:spacing w:line="276" w:lineRule="auto"/>
        <w:ind w:firstLine="2835"/>
        <w:jc w:val="both"/>
        <w:textAlignment w:val="auto"/>
        <w:rPr>
          <w:rFonts w:ascii="Gadugi" w:hAnsi="Gadugi"/>
          <w:sz w:val="24"/>
          <w:szCs w:val="24"/>
        </w:rPr>
      </w:pPr>
      <w:r w:rsidRPr="00D43BAD">
        <w:rPr>
          <w:rFonts w:ascii="Gadugi" w:hAnsi="Gadugi"/>
          <w:sz w:val="24"/>
          <w:szCs w:val="24"/>
        </w:rPr>
        <w:t xml:space="preserve">En mérito de lo expuesto, </w:t>
      </w:r>
      <w:r w:rsidRPr="00D43BAD">
        <w:rPr>
          <w:rFonts w:ascii="Gadugi" w:hAnsi="Gadugi"/>
          <w:sz w:val="24"/>
          <w:szCs w:val="24"/>
          <w:lang w:val="es-419"/>
        </w:rPr>
        <w:t xml:space="preserve">esta Sala </w:t>
      </w:r>
      <w:r w:rsidR="00152418" w:rsidRPr="00D43BAD">
        <w:rPr>
          <w:rFonts w:ascii="Gadugi" w:hAnsi="Gadugi"/>
          <w:sz w:val="24"/>
          <w:szCs w:val="24"/>
          <w:lang w:val="es-419"/>
        </w:rPr>
        <w:t>de Decisión</w:t>
      </w:r>
      <w:r w:rsidRPr="00D43BAD">
        <w:rPr>
          <w:rFonts w:ascii="Gadugi" w:hAnsi="Gadugi"/>
          <w:sz w:val="24"/>
          <w:szCs w:val="24"/>
          <w:lang w:val="es-419"/>
        </w:rPr>
        <w:t xml:space="preserve"> </w:t>
      </w:r>
      <w:r w:rsidRPr="00D43BAD">
        <w:rPr>
          <w:rFonts w:ascii="Gadugi" w:hAnsi="Gadugi"/>
          <w:sz w:val="24"/>
          <w:szCs w:val="24"/>
        </w:rPr>
        <w:t>Civil-Familia del Tribunal Superior del Distrito Judicial de Pereira,</w:t>
      </w:r>
      <w:r w:rsidR="00152418" w:rsidRPr="00D43BAD">
        <w:rPr>
          <w:rFonts w:ascii="Gadugi" w:hAnsi="Gadugi"/>
          <w:sz w:val="24"/>
          <w:szCs w:val="24"/>
        </w:rPr>
        <w:t xml:space="preserve"> en descongestión,</w:t>
      </w:r>
      <w:r w:rsidRPr="00D43BAD">
        <w:rPr>
          <w:rFonts w:ascii="Gadugi" w:hAnsi="Gadugi"/>
          <w:sz w:val="24"/>
          <w:szCs w:val="24"/>
        </w:rPr>
        <w:t xml:space="preserve"> administrando justicia en nombre de la </w:t>
      </w:r>
      <w:r w:rsidR="00152418" w:rsidRPr="00D43BAD">
        <w:rPr>
          <w:rFonts w:ascii="Gadugi" w:hAnsi="Gadugi"/>
          <w:sz w:val="24"/>
          <w:szCs w:val="24"/>
        </w:rPr>
        <w:t>R</w:t>
      </w:r>
      <w:r w:rsidRPr="00D43BAD">
        <w:rPr>
          <w:rFonts w:ascii="Gadugi" w:hAnsi="Gadugi"/>
          <w:sz w:val="24"/>
          <w:szCs w:val="24"/>
        </w:rPr>
        <w:t>epública y por autoridad de la ley,</w:t>
      </w:r>
    </w:p>
    <w:p w14:paraId="1F6DA140" w14:textId="77777777" w:rsidR="004B16D7" w:rsidRPr="00D43BAD" w:rsidRDefault="004B16D7" w:rsidP="00D43BAD">
      <w:pPr>
        <w:overflowPunct/>
        <w:autoSpaceDE/>
        <w:autoSpaceDN/>
        <w:adjustRightInd/>
        <w:spacing w:line="276" w:lineRule="auto"/>
        <w:ind w:firstLine="2835"/>
        <w:jc w:val="both"/>
        <w:textAlignment w:val="auto"/>
        <w:rPr>
          <w:rFonts w:ascii="Gadugi" w:hAnsi="Gadugi"/>
          <w:sz w:val="24"/>
          <w:szCs w:val="24"/>
        </w:rPr>
      </w:pPr>
    </w:p>
    <w:p w14:paraId="23A75B80" w14:textId="77777777" w:rsidR="00152418" w:rsidRPr="00D43BAD" w:rsidRDefault="00152418" w:rsidP="00D43BAD">
      <w:pPr>
        <w:overflowPunct/>
        <w:autoSpaceDE/>
        <w:autoSpaceDN/>
        <w:adjustRightInd/>
        <w:spacing w:line="276" w:lineRule="auto"/>
        <w:ind w:firstLine="2835"/>
        <w:jc w:val="both"/>
        <w:textAlignment w:val="auto"/>
        <w:rPr>
          <w:rFonts w:ascii="Gadugi" w:hAnsi="Gadugi"/>
          <w:b/>
          <w:sz w:val="24"/>
          <w:szCs w:val="24"/>
        </w:rPr>
      </w:pPr>
      <w:r w:rsidRPr="00D43BAD">
        <w:rPr>
          <w:rFonts w:ascii="Gadugi" w:hAnsi="Gadugi"/>
          <w:b/>
          <w:sz w:val="24"/>
          <w:szCs w:val="24"/>
        </w:rPr>
        <w:t>RESUELVE:</w:t>
      </w:r>
    </w:p>
    <w:p w14:paraId="44FB30F8" w14:textId="77777777" w:rsidR="00152418" w:rsidRPr="00D43BAD" w:rsidRDefault="00152418" w:rsidP="00D43BAD">
      <w:pPr>
        <w:overflowPunct/>
        <w:autoSpaceDE/>
        <w:autoSpaceDN/>
        <w:adjustRightInd/>
        <w:spacing w:line="276" w:lineRule="auto"/>
        <w:ind w:firstLine="2835"/>
        <w:jc w:val="both"/>
        <w:textAlignment w:val="auto"/>
        <w:rPr>
          <w:rFonts w:ascii="Gadugi" w:hAnsi="Gadugi"/>
          <w:sz w:val="24"/>
          <w:szCs w:val="24"/>
        </w:rPr>
      </w:pPr>
    </w:p>
    <w:p w14:paraId="5C4DCB78" w14:textId="0A5DD33E" w:rsidR="00A474FF" w:rsidRPr="00D43BAD" w:rsidRDefault="006E2703" w:rsidP="00D43BAD">
      <w:pPr>
        <w:spacing w:line="276" w:lineRule="auto"/>
        <w:ind w:firstLine="2835"/>
        <w:jc w:val="both"/>
        <w:rPr>
          <w:rFonts w:ascii="Gadugi" w:hAnsi="Gadugi" w:cs="Shruti"/>
          <w:b/>
          <w:sz w:val="24"/>
          <w:szCs w:val="24"/>
        </w:rPr>
      </w:pPr>
      <w:r w:rsidRPr="00D43BAD">
        <w:rPr>
          <w:rFonts w:ascii="Gadugi" w:hAnsi="Gadugi"/>
          <w:sz w:val="24"/>
          <w:szCs w:val="24"/>
          <w:lang w:val="es-419"/>
        </w:rPr>
        <w:t>1°.</w:t>
      </w:r>
      <w:r w:rsidRPr="00D43BAD">
        <w:rPr>
          <w:rFonts w:ascii="Gadugi" w:hAnsi="Gadugi"/>
          <w:sz w:val="24"/>
          <w:szCs w:val="24"/>
          <w:lang w:val="es-419"/>
        </w:rPr>
        <w:tab/>
      </w:r>
      <w:r w:rsidRPr="00D43BAD">
        <w:rPr>
          <w:rFonts w:ascii="Gadugi" w:hAnsi="Gadugi"/>
          <w:b/>
          <w:bCs/>
          <w:sz w:val="24"/>
          <w:szCs w:val="24"/>
        </w:rPr>
        <w:t>REVOCA</w:t>
      </w:r>
      <w:r w:rsidR="00152418" w:rsidRPr="00D43BAD">
        <w:rPr>
          <w:rFonts w:ascii="Gadugi" w:hAnsi="Gadugi"/>
          <w:b/>
          <w:bCs/>
          <w:sz w:val="24"/>
          <w:szCs w:val="24"/>
        </w:rPr>
        <w:t>R</w:t>
      </w:r>
      <w:r w:rsidRPr="00D43BAD">
        <w:rPr>
          <w:rFonts w:ascii="Gadugi" w:hAnsi="Gadugi"/>
          <w:b/>
          <w:bCs/>
          <w:sz w:val="24"/>
          <w:szCs w:val="24"/>
        </w:rPr>
        <w:t xml:space="preserve"> </w:t>
      </w:r>
      <w:r w:rsidRPr="00D43BAD">
        <w:rPr>
          <w:rFonts w:ascii="Gadugi" w:hAnsi="Gadugi"/>
          <w:sz w:val="24"/>
          <w:szCs w:val="24"/>
        </w:rPr>
        <w:t>la sentencia</w:t>
      </w:r>
      <w:r w:rsidR="00A474FF" w:rsidRPr="00D43BAD">
        <w:rPr>
          <w:rFonts w:ascii="Gadugi" w:hAnsi="Gadugi"/>
          <w:sz w:val="24"/>
          <w:szCs w:val="24"/>
        </w:rPr>
        <w:t xml:space="preserve"> </w:t>
      </w:r>
      <w:r w:rsidR="00A474FF" w:rsidRPr="00D43BAD">
        <w:rPr>
          <w:rFonts w:ascii="Gadugi" w:hAnsi="Gadugi" w:cs="Shruti"/>
          <w:sz w:val="24"/>
          <w:szCs w:val="24"/>
        </w:rPr>
        <w:t>del 11 de febrero del 2015, proferida por el Juzgado Séptimo Civil del Circuito de Descongestión de Medellín en el proceso ordinario propuesto por</w:t>
      </w:r>
      <w:r w:rsidR="00A474FF" w:rsidRPr="00D43BAD">
        <w:rPr>
          <w:rFonts w:ascii="Gadugi" w:hAnsi="Gadugi" w:cs="Shruti"/>
          <w:b/>
          <w:sz w:val="24"/>
          <w:szCs w:val="24"/>
        </w:rPr>
        <w:t xml:space="preserve"> José Raúl Jaramillo Zuloaga</w:t>
      </w:r>
      <w:r w:rsidR="00A474FF" w:rsidRPr="00D43BAD">
        <w:rPr>
          <w:rFonts w:ascii="Gadugi" w:hAnsi="Gadugi" w:cs="Shruti"/>
          <w:sz w:val="24"/>
          <w:szCs w:val="24"/>
        </w:rPr>
        <w:t xml:space="preserve"> y </w:t>
      </w:r>
      <w:r w:rsidR="00A474FF" w:rsidRPr="00D43BAD">
        <w:rPr>
          <w:rFonts w:ascii="Gadugi" w:hAnsi="Gadugi" w:cs="Shruti"/>
          <w:b/>
          <w:sz w:val="24"/>
          <w:szCs w:val="24"/>
        </w:rPr>
        <w:t>Ana Isabel Morales Vélez</w:t>
      </w:r>
      <w:r w:rsidR="00A474FF" w:rsidRPr="00D43BAD">
        <w:rPr>
          <w:rFonts w:ascii="Gadugi" w:hAnsi="Gadugi" w:cs="Shruti"/>
          <w:sz w:val="24"/>
          <w:szCs w:val="24"/>
        </w:rPr>
        <w:t xml:space="preserve"> contra </w:t>
      </w:r>
      <w:r w:rsidR="00A474FF" w:rsidRPr="00D43BAD">
        <w:rPr>
          <w:rFonts w:ascii="Gadugi" w:hAnsi="Gadugi" w:cs="Shruti"/>
          <w:b/>
          <w:sz w:val="24"/>
          <w:szCs w:val="24"/>
        </w:rPr>
        <w:t>Alianza Fiduciaria S.A.</w:t>
      </w:r>
    </w:p>
    <w:p w14:paraId="1DA6542E" w14:textId="77777777" w:rsidR="006E2703" w:rsidRPr="00D43BAD" w:rsidRDefault="006E2703" w:rsidP="00D43BAD">
      <w:pPr>
        <w:overflowPunct/>
        <w:autoSpaceDE/>
        <w:autoSpaceDN/>
        <w:adjustRightInd/>
        <w:spacing w:line="276" w:lineRule="auto"/>
        <w:ind w:firstLine="2835"/>
        <w:jc w:val="both"/>
        <w:textAlignment w:val="auto"/>
        <w:rPr>
          <w:rFonts w:ascii="Gadugi" w:hAnsi="Gadugi" w:cs="Century Gothic"/>
          <w:b/>
          <w:sz w:val="24"/>
          <w:szCs w:val="24"/>
        </w:rPr>
      </w:pPr>
    </w:p>
    <w:p w14:paraId="2E3AAEB6" w14:textId="3ED58F42" w:rsidR="006E2703" w:rsidRPr="00D43BAD" w:rsidRDefault="006E2703" w:rsidP="00D43BAD">
      <w:pPr>
        <w:tabs>
          <w:tab w:val="left" w:pos="3402"/>
        </w:tabs>
        <w:overflowPunct/>
        <w:autoSpaceDE/>
        <w:autoSpaceDN/>
        <w:adjustRightInd/>
        <w:spacing w:line="276" w:lineRule="auto"/>
        <w:ind w:firstLine="2835"/>
        <w:jc w:val="both"/>
        <w:textAlignment w:val="auto"/>
        <w:rPr>
          <w:rFonts w:ascii="Gadugi" w:hAnsi="Gadugi" w:cs="Century Gothic"/>
          <w:sz w:val="24"/>
          <w:szCs w:val="24"/>
        </w:rPr>
      </w:pPr>
      <w:r w:rsidRPr="00D43BAD">
        <w:rPr>
          <w:rFonts w:ascii="Gadugi" w:hAnsi="Gadugi" w:cs="Century Gothic"/>
          <w:sz w:val="24"/>
          <w:szCs w:val="24"/>
          <w:lang w:val="es-419"/>
        </w:rPr>
        <w:t>2°.</w:t>
      </w:r>
      <w:r w:rsidRPr="00D43BAD">
        <w:rPr>
          <w:rFonts w:ascii="Gadugi" w:hAnsi="Gadugi" w:cs="Century Gothic"/>
          <w:sz w:val="24"/>
          <w:szCs w:val="24"/>
          <w:lang w:val="es-419"/>
        </w:rPr>
        <w:tab/>
        <w:t xml:space="preserve">En su lugar, </w:t>
      </w:r>
      <w:r w:rsidR="00A474FF" w:rsidRPr="00D43BAD">
        <w:rPr>
          <w:rFonts w:ascii="Gadugi" w:hAnsi="Gadugi" w:cs="Century Gothic"/>
          <w:sz w:val="24"/>
          <w:szCs w:val="24"/>
        </w:rPr>
        <w:t xml:space="preserve">se </w:t>
      </w:r>
      <w:r w:rsidR="00A474FF" w:rsidRPr="00D43BAD">
        <w:rPr>
          <w:rFonts w:ascii="Gadugi" w:hAnsi="Gadugi" w:cs="Century Gothic"/>
          <w:b/>
          <w:sz w:val="24"/>
          <w:szCs w:val="24"/>
        </w:rPr>
        <w:t>NIEGAN</w:t>
      </w:r>
      <w:r w:rsidR="00A474FF" w:rsidRPr="00D43BAD">
        <w:rPr>
          <w:rFonts w:ascii="Gadugi" w:hAnsi="Gadugi" w:cs="Century Gothic"/>
          <w:sz w:val="24"/>
          <w:szCs w:val="24"/>
        </w:rPr>
        <w:t xml:space="preserve"> las pretensiones.</w:t>
      </w:r>
      <w:r w:rsidR="00A474FF" w:rsidRPr="00D43BAD">
        <w:rPr>
          <w:rFonts w:ascii="Gadugi" w:hAnsi="Gadugi" w:cs="Century Gothic"/>
          <w:b/>
          <w:sz w:val="24"/>
          <w:szCs w:val="24"/>
        </w:rPr>
        <w:t xml:space="preserve"> </w:t>
      </w:r>
    </w:p>
    <w:p w14:paraId="42C6D796" w14:textId="77777777" w:rsidR="006E2703" w:rsidRPr="00D43BAD" w:rsidRDefault="006E2703" w:rsidP="00D43BAD">
      <w:pPr>
        <w:overflowPunct/>
        <w:autoSpaceDE/>
        <w:autoSpaceDN/>
        <w:adjustRightInd/>
        <w:spacing w:line="276" w:lineRule="auto"/>
        <w:ind w:firstLine="2835"/>
        <w:jc w:val="both"/>
        <w:textAlignment w:val="auto"/>
        <w:rPr>
          <w:rFonts w:ascii="Gadugi" w:hAnsi="Gadugi"/>
          <w:sz w:val="24"/>
          <w:szCs w:val="24"/>
        </w:rPr>
      </w:pPr>
    </w:p>
    <w:p w14:paraId="320739A3" w14:textId="33A88918" w:rsidR="006E2703" w:rsidRPr="00D43BAD" w:rsidRDefault="00A474FF" w:rsidP="00D43BAD">
      <w:pPr>
        <w:tabs>
          <w:tab w:val="left" w:pos="3402"/>
        </w:tabs>
        <w:overflowPunct/>
        <w:autoSpaceDE/>
        <w:autoSpaceDN/>
        <w:adjustRightInd/>
        <w:spacing w:line="276" w:lineRule="auto"/>
        <w:ind w:firstLine="2835"/>
        <w:jc w:val="both"/>
        <w:textAlignment w:val="auto"/>
        <w:rPr>
          <w:rFonts w:ascii="Gadugi" w:hAnsi="Gadugi" w:cs="Century Gothic"/>
          <w:bCs/>
          <w:sz w:val="24"/>
          <w:szCs w:val="24"/>
          <w:lang w:val="es-419"/>
        </w:rPr>
      </w:pPr>
      <w:r w:rsidRPr="00D43BAD">
        <w:rPr>
          <w:rFonts w:ascii="Gadugi" w:hAnsi="Gadugi" w:cs="Century Gothic"/>
          <w:bCs/>
          <w:sz w:val="24"/>
          <w:szCs w:val="24"/>
          <w:lang w:val="es-419"/>
        </w:rPr>
        <w:t>3</w:t>
      </w:r>
      <w:r w:rsidR="006E2703" w:rsidRPr="00D43BAD">
        <w:rPr>
          <w:rFonts w:ascii="Gadugi" w:hAnsi="Gadugi" w:cs="Century Gothic"/>
          <w:bCs/>
          <w:sz w:val="24"/>
          <w:szCs w:val="24"/>
          <w:lang w:val="es-419"/>
        </w:rPr>
        <w:t>°.</w:t>
      </w:r>
      <w:r w:rsidR="006E2703" w:rsidRPr="00D43BAD">
        <w:rPr>
          <w:rFonts w:ascii="Gadugi" w:hAnsi="Gadugi" w:cs="Century Gothic"/>
          <w:bCs/>
          <w:sz w:val="24"/>
          <w:szCs w:val="24"/>
          <w:lang w:val="es-419"/>
        </w:rPr>
        <w:tab/>
      </w:r>
      <w:r w:rsidR="00152418" w:rsidRPr="00D43BAD">
        <w:rPr>
          <w:rFonts w:ascii="Gadugi" w:hAnsi="Gadugi" w:cs="Century Gothic"/>
          <w:bCs/>
          <w:sz w:val="24"/>
          <w:szCs w:val="24"/>
          <w:lang w:val="es-419"/>
        </w:rPr>
        <w:t>Las cos</w:t>
      </w:r>
      <w:r w:rsidR="006E2703" w:rsidRPr="00D43BAD">
        <w:rPr>
          <w:rFonts w:ascii="Gadugi" w:hAnsi="Gadugi" w:cs="Century Gothic"/>
          <w:bCs/>
          <w:sz w:val="24"/>
          <w:szCs w:val="24"/>
          <w:lang w:val="es-MX"/>
        </w:rPr>
        <w:t xml:space="preserve">tas </w:t>
      </w:r>
      <w:r w:rsidR="00FE0BE0" w:rsidRPr="00D43BAD">
        <w:rPr>
          <w:rFonts w:ascii="Gadugi" w:hAnsi="Gadugi" w:cs="Century Gothic"/>
          <w:bCs/>
          <w:sz w:val="24"/>
          <w:szCs w:val="24"/>
          <w:lang w:val="es-MX"/>
        </w:rPr>
        <w:t xml:space="preserve">en ambas instancias </w:t>
      </w:r>
      <w:r w:rsidR="00152418" w:rsidRPr="00D43BAD">
        <w:rPr>
          <w:rFonts w:ascii="Gadugi" w:hAnsi="Gadugi" w:cs="Century Gothic"/>
          <w:bCs/>
          <w:sz w:val="24"/>
          <w:szCs w:val="24"/>
          <w:lang w:val="es-MX"/>
        </w:rPr>
        <w:t xml:space="preserve">serán </w:t>
      </w:r>
      <w:r w:rsidR="00FE0BE0" w:rsidRPr="00D43BAD">
        <w:rPr>
          <w:rFonts w:ascii="Gadugi" w:hAnsi="Gadugi" w:cs="Century Gothic"/>
          <w:bCs/>
          <w:sz w:val="24"/>
          <w:szCs w:val="24"/>
          <w:lang w:val="es-MX"/>
        </w:rPr>
        <w:t xml:space="preserve">a cargo de </w:t>
      </w:r>
      <w:r w:rsidR="00D83F27" w:rsidRPr="00D43BAD">
        <w:rPr>
          <w:rFonts w:ascii="Gadugi" w:hAnsi="Gadugi" w:cs="Century Gothic"/>
          <w:bCs/>
          <w:sz w:val="24"/>
          <w:szCs w:val="24"/>
          <w:lang w:val="es-MX"/>
        </w:rPr>
        <w:t>los demandantes</w:t>
      </w:r>
      <w:r w:rsidR="00FE0BE0" w:rsidRPr="00D43BAD">
        <w:rPr>
          <w:rFonts w:ascii="Gadugi" w:hAnsi="Gadugi" w:cs="Century Gothic"/>
          <w:bCs/>
          <w:sz w:val="24"/>
          <w:szCs w:val="24"/>
          <w:lang w:val="es-MX"/>
        </w:rPr>
        <w:t xml:space="preserve"> y en favor de </w:t>
      </w:r>
      <w:r w:rsidR="00D83F27" w:rsidRPr="00D43BAD">
        <w:rPr>
          <w:rFonts w:ascii="Gadugi" w:hAnsi="Gadugi" w:cs="Century Gothic"/>
          <w:bCs/>
          <w:sz w:val="24"/>
          <w:szCs w:val="24"/>
          <w:lang w:val="es-MX"/>
        </w:rPr>
        <w:t>la demandada</w:t>
      </w:r>
      <w:r w:rsidR="00FE0BE0" w:rsidRPr="00D43BAD">
        <w:rPr>
          <w:rFonts w:ascii="Gadugi" w:hAnsi="Gadugi" w:cs="Century Gothic"/>
          <w:bCs/>
          <w:sz w:val="24"/>
          <w:szCs w:val="24"/>
          <w:lang w:val="es-MX"/>
        </w:rPr>
        <w:t xml:space="preserve">. Se liquidarán ante el juzgado de primera instancia, siguiendo las pautas del artículo 366 del CGP. En auto separado se fijarán las agencias en derecho.  </w:t>
      </w:r>
    </w:p>
    <w:p w14:paraId="6E1831B3" w14:textId="77777777" w:rsidR="00A04477" w:rsidRPr="00D43BAD" w:rsidRDefault="00A04477" w:rsidP="00D43BAD">
      <w:pPr>
        <w:tabs>
          <w:tab w:val="left" w:pos="3402"/>
        </w:tabs>
        <w:spacing w:line="276" w:lineRule="auto"/>
        <w:jc w:val="both"/>
        <w:rPr>
          <w:rFonts w:ascii="Gadugi" w:hAnsi="Gadugi" w:cs="Shruti"/>
          <w:sz w:val="24"/>
          <w:szCs w:val="24"/>
        </w:rPr>
      </w:pPr>
    </w:p>
    <w:p w14:paraId="65570C15" w14:textId="77777777" w:rsidR="00A04477" w:rsidRPr="00D43BAD" w:rsidRDefault="00A04477" w:rsidP="00D43BAD">
      <w:pPr>
        <w:tabs>
          <w:tab w:val="left" w:pos="3402"/>
        </w:tabs>
        <w:spacing w:line="276" w:lineRule="auto"/>
        <w:ind w:firstLine="2835"/>
        <w:jc w:val="both"/>
        <w:rPr>
          <w:rFonts w:ascii="Gadugi" w:hAnsi="Gadugi" w:cs="Shruti"/>
          <w:sz w:val="24"/>
          <w:szCs w:val="24"/>
        </w:rPr>
      </w:pPr>
      <w:r w:rsidRPr="00D43BAD">
        <w:rPr>
          <w:rFonts w:ascii="Gadugi" w:hAnsi="Gadugi" w:cs="Shruti"/>
          <w:sz w:val="24"/>
          <w:szCs w:val="24"/>
        </w:rPr>
        <w:t>Notifíquese</w:t>
      </w:r>
    </w:p>
    <w:p w14:paraId="54E11D2A" w14:textId="77777777" w:rsidR="00A04477" w:rsidRPr="00D43BAD" w:rsidRDefault="00A04477" w:rsidP="00D43BAD">
      <w:pPr>
        <w:tabs>
          <w:tab w:val="left" w:pos="3402"/>
        </w:tabs>
        <w:spacing w:line="276" w:lineRule="auto"/>
        <w:ind w:firstLine="2835"/>
        <w:jc w:val="both"/>
        <w:rPr>
          <w:rFonts w:ascii="Gadugi" w:hAnsi="Gadugi" w:cs="Shruti"/>
          <w:sz w:val="24"/>
          <w:szCs w:val="24"/>
        </w:rPr>
      </w:pPr>
    </w:p>
    <w:p w14:paraId="4FC54A9D" w14:textId="77777777" w:rsidR="00D43BAD" w:rsidRPr="008F6716" w:rsidRDefault="00D43BAD" w:rsidP="00D43BAD">
      <w:pPr>
        <w:spacing w:line="300" w:lineRule="auto"/>
        <w:ind w:firstLine="2835"/>
        <w:jc w:val="both"/>
        <w:rPr>
          <w:rFonts w:ascii="Gadugi" w:hAnsi="Gadugi" w:cs="Adobe Devanagari"/>
          <w:bCs/>
          <w:sz w:val="24"/>
          <w:szCs w:val="24"/>
          <w:lang w:val="es-419"/>
        </w:rPr>
      </w:pPr>
      <w:r w:rsidRPr="008F6716">
        <w:rPr>
          <w:rFonts w:ascii="Gadugi" w:hAnsi="Gadugi" w:cs="Adobe Devanagari"/>
          <w:bCs/>
          <w:sz w:val="24"/>
          <w:szCs w:val="24"/>
          <w:lang w:val="es-419"/>
        </w:rPr>
        <w:t>Los Magistrados,</w:t>
      </w:r>
    </w:p>
    <w:p w14:paraId="5ECC590D" w14:textId="77777777" w:rsidR="00D43BAD" w:rsidRPr="008F6716" w:rsidRDefault="00D43BAD" w:rsidP="00D43BAD">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608136C4" w14:textId="77777777" w:rsidR="00D43BAD" w:rsidRPr="008F6716" w:rsidRDefault="00D43BAD" w:rsidP="00D43BAD">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581EDE62" w14:textId="77777777" w:rsidR="00D43BAD" w:rsidRPr="008F6716" w:rsidRDefault="00D43BAD" w:rsidP="00D43BAD">
      <w:pPr>
        <w:spacing w:line="300" w:lineRule="auto"/>
        <w:ind w:firstLine="2835"/>
        <w:jc w:val="both"/>
        <w:rPr>
          <w:rFonts w:ascii="Gadugi" w:hAnsi="Gadugi" w:cs="Adobe Devanagari"/>
          <w:b/>
          <w:bCs/>
          <w:sz w:val="24"/>
          <w:szCs w:val="24"/>
          <w:lang w:val="es-419"/>
        </w:rPr>
      </w:pPr>
      <w:r w:rsidRPr="008F6716">
        <w:rPr>
          <w:rFonts w:ascii="Gadugi" w:hAnsi="Gadugi" w:cs="Adobe Devanagari"/>
          <w:b/>
          <w:bCs/>
          <w:sz w:val="24"/>
          <w:szCs w:val="24"/>
          <w:lang w:val="es-419"/>
        </w:rPr>
        <w:t>JAIME ALBERTO SARAZA NARANJO</w:t>
      </w:r>
    </w:p>
    <w:p w14:paraId="334645FF" w14:textId="77777777" w:rsidR="00D43BAD" w:rsidRPr="008F6716" w:rsidRDefault="00D43BAD" w:rsidP="00D43BAD">
      <w:pPr>
        <w:spacing w:line="300" w:lineRule="auto"/>
        <w:ind w:firstLine="2835"/>
        <w:jc w:val="both"/>
        <w:rPr>
          <w:rFonts w:ascii="Gadugi" w:hAnsi="Gadugi" w:cs="Adobe Devanagari"/>
          <w:bCs/>
          <w:sz w:val="24"/>
          <w:szCs w:val="24"/>
          <w:lang w:val="es-419"/>
        </w:rPr>
      </w:pPr>
    </w:p>
    <w:p w14:paraId="29F80CCC" w14:textId="77777777" w:rsidR="00D43BAD" w:rsidRPr="008F6716" w:rsidRDefault="00D43BAD" w:rsidP="00D43BAD">
      <w:pPr>
        <w:spacing w:line="300" w:lineRule="auto"/>
        <w:ind w:firstLine="2835"/>
        <w:jc w:val="both"/>
        <w:rPr>
          <w:rFonts w:ascii="Gadugi" w:hAnsi="Gadugi" w:cs="Adobe Devanagari"/>
          <w:bCs/>
          <w:sz w:val="24"/>
          <w:szCs w:val="24"/>
          <w:lang w:val="es-419"/>
        </w:rPr>
      </w:pPr>
    </w:p>
    <w:p w14:paraId="2C0FBAB0" w14:textId="5B589C97" w:rsidR="00D43BAD" w:rsidRPr="008F6716" w:rsidRDefault="00D43BAD" w:rsidP="00D43BAD">
      <w:pPr>
        <w:spacing w:line="300" w:lineRule="auto"/>
        <w:ind w:firstLine="2835"/>
        <w:jc w:val="both"/>
        <w:rPr>
          <w:rFonts w:ascii="Gadugi" w:hAnsi="Gadugi" w:cs="Adobe Devanagari"/>
          <w:b/>
          <w:bCs/>
          <w:sz w:val="24"/>
          <w:szCs w:val="24"/>
          <w:lang w:val="es-419"/>
        </w:rPr>
      </w:pPr>
      <w:r>
        <w:rPr>
          <w:rFonts w:ascii="Gadugi" w:hAnsi="Gadugi" w:cs="Adobe Devanagari"/>
          <w:b/>
          <w:bCs/>
          <w:sz w:val="24"/>
          <w:szCs w:val="24"/>
          <w:lang w:val="es-419"/>
        </w:rPr>
        <w:t>ADRIANA PATRICIA DÍAZ RAMÍREZ</w:t>
      </w:r>
    </w:p>
    <w:p w14:paraId="4374BB05" w14:textId="77777777" w:rsidR="00D43BAD" w:rsidRPr="008F6716" w:rsidRDefault="00D43BAD" w:rsidP="00D43BAD">
      <w:pPr>
        <w:spacing w:line="300" w:lineRule="auto"/>
        <w:ind w:firstLine="2835"/>
        <w:jc w:val="both"/>
        <w:rPr>
          <w:rFonts w:ascii="Gadugi" w:hAnsi="Gadugi" w:cs="Adobe Devanagari"/>
          <w:bCs/>
          <w:sz w:val="24"/>
          <w:szCs w:val="24"/>
          <w:lang w:val="es-419"/>
        </w:rPr>
      </w:pPr>
    </w:p>
    <w:p w14:paraId="70378774" w14:textId="77777777" w:rsidR="00D43BAD" w:rsidRPr="008F6716" w:rsidRDefault="00D43BAD" w:rsidP="00D43BAD">
      <w:pPr>
        <w:spacing w:line="300" w:lineRule="auto"/>
        <w:ind w:firstLine="2835"/>
        <w:jc w:val="both"/>
        <w:rPr>
          <w:rFonts w:ascii="Gadugi" w:hAnsi="Gadugi" w:cs="Adobe Devanagari"/>
          <w:bCs/>
          <w:sz w:val="24"/>
          <w:szCs w:val="24"/>
          <w:lang w:val="es-419"/>
        </w:rPr>
      </w:pPr>
    </w:p>
    <w:p w14:paraId="3DC87F71" w14:textId="4A4442AE" w:rsidR="00364FC5" w:rsidRPr="00D43BAD" w:rsidRDefault="00D43BAD" w:rsidP="00D43BAD">
      <w:pPr>
        <w:spacing w:line="300" w:lineRule="auto"/>
        <w:ind w:firstLine="2835"/>
        <w:jc w:val="both"/>
        <w:rPr>
          <w:rFonts w:ascii="Gadugi" w:hAnsi="Gadugi" w:cs="Adobe Devanagari"/>
          <w:b/>
          <w:bCs/>
          <w:sz w:val="24"/>
          <w:szCs w:val="24"/>
          <w:lang w:val="es-419"/>
        </w:rPr>
      </w:pPr>
      <w:r w:rsidRPr="008F6716">
        <w:rPr>
          <w:rFonts w:ascii="Gadugi" w:hAnsi="Gadugi" w:cs="Adobe Devanagari"/>
          <w:b/>
          <w:bCs/>
          <w:sz w:val="24"/>
          <w:szCs w:val="24"/>
          <w:lang w:val="es-419"/>
        </w:rPr>
        <w:t>DUBERNEY GRISALES HERRERA</w:t>
      </w:r>
    </w:p>
    <w:sectPr w:rsidR="00364FC5" w:rsidRPr="00D43BAD" w:rsidSect="00D43BAD">
      <w:headerReference w:type="default" r:id="rId11"/>
      <w:footerReference w:type="default" r:id="rId12"/>
      <w:pgSz w:w="12242" w:h="18722" w:code="258"/>
      <w:pgMar w:top="1871" w:right="1304" w:bottom="1304" w:left="187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7741" w14:textId="77777777" w:rsidR="00C77F3D" w:rsidRDefault="00C77F3D">
      <w:r>
        <w:separator/>
      </w:r>
    </w:p>
  </w:endnote>
  <w:endnote w:type="continuationSeparator" w:id="0">
    <w:p w14:paraId="55BA5290" w14:textId="77777777" w:rsidR="00C77F3D" w:rsidRDefault="00C7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hruti">
    <w:panose1 w:val="02000500000000000000"/>
    <w:charset w:val="00"/>
    <w:family w:val="swiss"/>
    <w:pitch w:val="variable"/>
    <w:sig w:usb0="0004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5901DF6E" w:rsidR="001A64B4" w:rsidRPr="006919A9" w:rsidRDefault="001A64B4">
    <w:pPr>
      <w:pStyle w:val="Piedepgina"/>
      <w:framePr w:wrap="auto" w:vAnchor="text" w:hAnchor="margin" w:xAlign="right" w:y="1"/>
      <w:rPr>
        <w:rStyle w:val="Nmerodepgina"/>
        <w:rFonts w:ascii="Arial" w:hAnsi="Arial" w:cs="Arial"/>
        <w:sz w:val="18"/>
      </w:rPr>
    </w:pPr>
    <w:r w:rsidRPr="006919A9">
      <w:rPr>
        <w:rStyle w:val="Nmerodepgina"/>
        <w:rFonts w:ascii="Arial" w:hAnsi="Arial" w:cs="Arial"/>
        <w:sz w:val="18"/>
      </w:rPr>
      <w:fldChar w:fldCharType="begin"/>
    </w:r>
    <w:r w:rsidRPr="006919A9">
      <w:rPr>
        <w:rStyle w:val="Nmerodepgina"/>
        <w:rFonts w:ascii="Arial" w:hAnsi="Arial" w:cs="Arial"/>
        <w:sz w:val="18"/>
      </w:rPr>
      <w:instrText xml:space="preserve">PAGE  </w:instrText>
    </w:r>
    <w:r w:rsidRPr="006919A9">
      <w:rPr>
        <w:rStyle w:val="Nmerodepgina"/>
        <w:rFonts w:ascii="Arial" w:hAnsi="Arial" w:cs="Arial"/>
        <w:sz w:val="18"/>
      </w:rPr>
      <w:fldChar w:fldCharType="separate"/>
    </w:r>
    <w:r w:rsidR="0003461C" w:rsidRPr="006919A9">
      <w:rPr>
        <w:rStyle w:val="Nmerodepgina"/>
        <w:rFonts w:ascii="Arial" w:hAnsi="Arial" w:cs="Arial"/>
        <w:noProof/>
        <w:sz w:val="18"/>
      </w:rPr>
      <w:t>19</w:t>
    </w:r>
    <w:r w:rsidRPr="006919A9">
      <w:rPr>
        <w:rStyle w:val="Nmerodepgina"/>
        <w:rFonts w:ascii="Arial" w:hAnsi="Arial" w:cs="Arial"/>
        <w:sz w:val="18"/>
      </w:rPr>
      <w:fldChar w:fldCharType="end"/>
    </w:r>
  </w:p>
  <w:p w14:paraId="384BA73E" w14:textId="77777777" w:rsidR="001A64B4" w:rsidRDefault="001A64B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8A16" w14:textId="77777777" w:rsidR="00C77F3D" w:rsidRDefault="00C77F3D">
      <w:r>
        <w:separator/>
      </w:r>
    </w:p>
  </w:footnote>
  <w:footnote w:type="continuationSeparator" w:id="0">
    <w:p w14:paraId="706A11C4" w14:textId="77777777" w:rsidR="00C77F3D" w:rsidRDefault="00C77F3D">
      <w:r>
        <w:continuationSeparator/>
      </w:r>
    </w:p>
  </w:footnote>
  <w:footnote w:id="1">
    <w:p w14:paraId="4B5A603F" w14:textId="624A998A"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Págs. 134 a 149, C. Ppal.</w:t>
      </w:r>
    </w:p>
  </w:footnote>
  <w:footnote w:id="2">
    <w:p w14:paraId="5B430714" w14:textId="26DE3AA9"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151, C. Ppal. </w:t>
      </w:r>
    </w:p>
  </w:footnote>
  <w:footnote w:id="3">
    <w:p w14:paraId="5A25DB0E" w14:textId="532B5EAA"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152, C. Ppal.</w:t>
      </w:r>
    </w:p>
  </w:footnote>
  <w:footnote w:id="4">
    <w:p w14:paraId="1BDD53DE" w14:textId="76C978A6"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154, C. Ppal.</w:t>
      </w:r>
    </w:p>
  </w:footnote>
  <w:footnote w:id="5">
    <w:p w14:paraId="1DF3071E" w14:textId="3464B039"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168, C. Ppal.</w:t>
      </w:r>
    </w:p>
  </w:footnote>
  <w:footnote w:id="6">
    <w:p w14:paraId="637EC16A" w14:textId="63CC1118"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173, C. Ppal.</w:t>
      </w:r>
    </w:p>
  </w:footnote>
  <w:footnote w:id="7">
    <w:p w14:paraId="152CB2D9" w14:textId="0205F76F"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176, C. Ppal.</w:t>
      </w:r>
    </w:p>
  </w:footnote>
  <w:footnote w:id="8">
    <w:p w14:paraId="185E446C" w14:textId="57C58309"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282, C. Ppal.</w:t>
      </w:r>
    </w:p>
  </w:footnote>
  <w:footnote w:id="9">
    <w:p w14:paraId="0819F1DC" w14:textId="749CD8FD"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392, C. Ppal.</w:t>
      </w:r>
    </w:p>
  </w:footnote>
  <w:footnote w:id="10">
    <w:p w14:paraId="0E8ABD0B" w14:textId="151161DD"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w:t>
      </w:r>
      <w:r w:rsidR="00156BD4" w:rsidRPr="00D43BAD">
        <w:rPr>
          <w:rFonts w:ascii="Agency FB" w:hAnsi="Agency FB"/>
          <w:szCs w:val="26"/>
        </w:rPr>
        <w:t>Pág. 321, C. Ppal.</w:t>
      </w:r>
    </w:p>
  </w:footnote>
  <w:footnote w:id="11">
    <w:p w14:paraId="0916A97D" w14:textId="007C2315" w:rsidR="00156BD4" w:rsidRPr="00D43BAD" w:rsidRDefault="00156BD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249, C. N. 04</w:t>
      </w:r>
    </w:p>
  </w:footnote>
  <w:footnote w:id="12">
    <w:p w14:paraId="53F56FED" w14:textId="67BB1C25"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455, C. Ppal.</w:t>
      </w:r>
    </w:p>
  </w:footnote>
  <w:footnote w:id="13">
    <w:p w14:paraId="359B130F" w14:textId="68AD625E" w:rsidR="00156BD4" w:rsidRPr="00D43BAD" w:rsidRDefault="00156BD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211, C. Ppal.</w:t>
      </w:r>
    </w:p>
  </w:footnote>
  <w:footnote w:id="14">
    <w:p w14:paraId="45A3618B" w14:textId="64A3160B" w:rsidR="00156BD4" w:rsidRPr="00D43BAD" w:rsidRDefault="00156BD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213, C. Ppal.</w:t>
      </w:r>
    </w:p>
  </w:footnote>
  <w:footnote w:id="15">
    <w:p w14:paraId="5D372605" w14:textId="420BD73A" w:rsidR="002B3788" w:rsidRPr="00D43BAD" w:rsidRDefault="002B3788"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Cuadernos pruebas partes demandante y demandada. </w:t>
      </w:r>
    </w:p>
  </w:footnote>
  <w:footnote w:id="16">
    <w:p w14:paraId="23CB2CBF" w14:textId="40C4C1D8" w:rsidR="002B3788" w:rsidRPr="00D43BAD" w:rsidRDefault="002B3788"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226, C. Ppal.</w:t>
      </w:r>
    </w:p>
  </w:footnote>
  <w:footnote w:id="17">
    <w:p w14:paraId="365021E6" w14:textId="526AC54E" w:rsidR="002B3788" w:rsidRPr="00D43BAD" w:rsidRDefault="002B3788"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236, C. Ppal.</w:t>
      </w:r>
    </w:p>
  </w:footnote>
  <w:footnote w:id="18">
    <w:p w14:paraId="5ED8C49F" w14:textId="6799EDBE" w:rsidR="002B3788" w:rsidRPr="00D43BAD" w:rsidRDefault="002B3788"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Págs. 274 y 275, C. Ppal.</w:t>
      </w:r>
    </w:p>
  </w:footnote>
  <w:footnote w:id="19">
    <w:p w14:paraId="3DC03395" w14:textId="0D00B7C4" w:rsidR="002B3788" w:rsidRPr="00D43BAD" w:rsidRDefault="002B3788" w:rsidP="00D43BAD">
      <w:pPr>
        <w:pStyle w:val="Textonotapie"/>
        <w:jc w:val="both"/>
        <w:rPr>
          <w:rFonts w:ascii="Agency FB" w:hAnsi="Agency FB"/>
          <w:szCs w:val="26"/>
          <w:lang w:val="en-US"/>
        </w:rPr>
      </w:pPr>
      <w:r w:rsidRPr="00D43BAD">
        <w:rPr>
          <w:rStyle w:val="Refdenotaalpie"/>
          <w:rFonts w:ascii="Agency FB" w:hAnsi="Agency FB"/>
          <w:szCs w:val="26"/>
        </w:rPr>
        <w:footnoteRef/>
      </w:r>
      <w:r w:rsidRPr="00D43BAD">
        <w:rPr>
          <w:rFonts w:ascii="Agency FB" w:hAnsi="Agency FB"/>
          <w:szCs w:val="26"/>
          <w:lang w:val="en-US"/>
        </w:rPr>
        <w:t xml:space="preserve"> Pág. 1, C. Ppal.</w:t>
      </w:r>
    </w:p>
  </w:footnote>
  <w:footnote w:id="20">
    <w:p w14:paraId="5842D61D" w14:textId="17956103" w:rsidR="005D3079" w:rsidRPr="00D43BAD" w:rsidRDefault="005D3079" w:rsidP="00D43BAD">
      <w:pPr>
        <w:pStyle w:val="Textonotapie"/>
        <w:jc w:val="both"/>
        <w:rPr>
          <w:rFonts w:ascii="Agency FB" w:hAnsi="Agency FB"/>
          <w:szCs w:val="26"/>
          <w:lang w:val="en-US"/>
        </w:rPr>
      </w:pPr>
      <w:r w:rsidRPr="00D43BAD">
        <w:rPr>
          <w:rStyle w:val="Refdenotaalpie"/>
          <w:rFonts w:ascii="Agency FB" w:hAnsi="Agency FB"/>
          <w:szCs w:val="26"/>
        </w:rPr>
        <w:footnoteRef/>
      </w:r>
      <w:r w:rsidRPr="00D43BAD">
        <w:rPr>
          <w:rFonts w:ascii="Agency FB" w:hAnsi="Agency FB"/>
          <w:szCs w:val="26"/>
          <w:lang w:val="en-US"/>
        </w:rPr>
        <w:t xml:space="preserve"> Págs. </w:t>
      </w:r>
      <w:r w:rsidR="0090565D" w:rsidRPr="00D43BAD">
        <w:rPr>
          <w:rFonts w:ascii="Agency FB" w:hAnsi="Agency FB"/>
          <w:szCs w:val="26"/>
          <w:lang w:val="en-US"/>
        </w:rPr>
        <w:t>25 a 56</w:t>
      </w:r>
      <w:r w:rsidRPr="00D43BAD">
        <w:rPr>
          <w:rFonts w:ascii="Agency FB" w:hAnsi="Agency FB"/>
          <w:szCs w:val="26"/>
          <w:lang w:val="en-US"/>
        </w:rPr>
        <w:t>, C. Ppal.</w:t>
      </w:r>
    </w:p>
  </w:footnote>
  <w:footnote w:id="21">
    <w:p w14:paraId="498E7A34" w14:textId="12A5A49D" w:rsidR="005D3079" w:rsidRPr="00D43BAD" w:rsidRDefault="005D3079"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lang w:val="en-US"/>
        </w:rPr>
        <w:t xml:space="preserve"> TSP. SCF. </w:t>
      </w:r>
      <w:r w:rsidRPr="00D43BAD">
        <w:rPr>
          <w:rFonts w:ascii="Agency FB" w:hAnsi="Agency FB"/>
          <w:szCs w:val="26"/>
        </w:rPr>
        <w:t xml:space="preserve">Sentencia del 13 de junio del 2017, Rad 2012-00118-01, M.P. Duberney Grisales Herrera. </w:t>
      </w:r>
    </w:p>
  </w:footnote>
  <w:footnote w:id="22">
    <w:p w14:paraId="643D4C39" w14:textId="77777777"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C-086/95</w:t>
      </w:r>
    </w:p>
  </w:footnote>
  <w:footnote w:id="23">
    <w:p w14:paraId="1EA20844" w14:textId="77777777" w:rsidR="001A64B4" w:rsidRPr="00D43BAD" w:rsidRDefault="001A64B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Cfr. Superintendencia Bancaria. Circular Externa No. 007 de 1991.</w:t>
      </w:r>
    </w:p>
  </w:footnote>
  <w:footnote w:id="24">
    <w:p w14:paraId="0EBCD314" w14:textId="50B5600A" w:rsidR="0090565D" w:rsidRPr="00D43BAD" w:rsidRDefault="0090565D"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w:t>
      </w:r>
      <w:r w:rsidR="00F57B61" w:rsidRPr="00D43BAD">
        <w:rPr>
          <w:rFonts w:ascii="Agency FB" w:hAnsi="Agency FB"/>
          <w:szCs w:val="26"/>
        </w:rPr>
        <w:t xml:space="preserve">Pág. 389, C. Pruebas parte demandante. </w:t>
      </w:r>
    </w:p>
  </w:footnote>
  <w:footnote w:id="25">
    <w:p w14:paraId="4AAB7F90" w14:textId="4BD5E6D1" w:rsidR="00F57B61" w:rsidRPr="00D43BAD" w:rsidRDefault="00F57B61"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1, C. Ppal. </w:t>
      </w:r>
    </w:p>
  </w:footnote>
  <w:footnote w:id="26">
    <w:p w14:paraId="1834E76E" w14:textId="2CFCD576" w:rsidR="00F57B61" w:rsidRPr="00D43BAD" w:rsidRDefault="00F57B61"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26, C. Pruebas demandante.</w:t>
      </w:r>
    </w:p>
  </w:footnote>
  <w:footnote w:id="27">
    <w:p w14:paraId="6173561C" w14:textId="2194B0F2" w:rsidR="00F57B61" w:rsidRPr="00D43BAD" w:rsidRDefault="00F57B61"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58, C. Pruebas demandante.</w:t>
      </w:r>
    </w:p>
  </w:footnote>
  <w:footnote w:id="28">
    <w:p w14:paraId="1BC84BF2" w14:textId="25C51D02" w:rsidR="00F57B61" w:rsidRPr="00D43BAD" w:rsidRDefault="00F57B61"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58, C. Ppal.</w:t>
      </w:r>
    </w:p>
  </w:footnote>
  <w:footnote w:id="29">
    <w:p w14:paraId="2ED1F7DD" w14:textId="6778F9E8" w:rsidR="00F57B61" w:rsidRPr="00D43BAD" w:rsidRDefault="00F57B61"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25, C. Pruebas demandante.</w:t>
      </w:r>
    </w:p>
  </w:footnote>
  <w:footnote w:id="30">
    <w:p w14:paraId="72D89BBA" w14:textId="368EF856" w:rsidR="000F0664" w:rsidRPr="00D43BAD" w:rsidRDefault="000F066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65, C. Pruebas demandante.</w:t>
      </w:r>
    </w:p>
  </w:footnote>
  <w:footnote w:id="31">
    <w:p w14:paraId="565CBCCA" w14:textId="6FAACEF5" w:rsidR="000F0664" w:rsidRPr="00D43BAD" w:rsidRDefault="000F0664"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Pág. 62, C. Pruebas demandante.</w:t>
      </w:r>
    </w:p>
  </w:footnote>
  <w:footnote w:id="32">
    <w:p w14:paraId="54BB86D9" w14:textId="77777777" w:rsidR="00C84ABD" w:rsidRPr="00D43BAD" w:rsidRDefault="00C84ABD"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CSJ, SCC. Sentencia del 16/12/13, Rad. 11001-3103-023-1997-04959-01, M.P. Ariel Salazar Ramírez.</w:t>
      </w:r>
    </w:p>
  </w:footnote>
  <w:footnote w:id="33">
    <w:p w14:paraId="0A58A7A1" w14:textId="6BDC2908" w:rsidR="00C84ABD" w:rsidRPr="00D43BAD" w:rsidRDefault="00C84ABD"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Oficio 220-034448 del 24 de abril de 2019</w:t>
      </w:r>
      <w:r w:rsidR="000C2C93" w:rsidRPr="00D43BAD">
        <w:rPr>
          <w:rFonts w:ascii="Agency FB" w:hAnsi="Agency FB"/>
          <w:szCs w:val="26"/>
        </w:rPr>
        <w:t xml:space="preserve"> – Extraído de la página web de la Superintendencia de sociedades URL: https://www.supersociedades.gov.co/nuestra_entidad/normatividad/normatividad_conceptos_juridicos/OFICIO_220-034448_DE_2019.pdf</w:t>
      </w:r>
    </w:p>
  </w:footnote>
  <w:footnote w:id="34">
    <w:p w14:paraId="18840BB3" w14:textId="443DE07C" w:rsidR="00982B1B" w:rsidRPr="00D43BAD" w:rsidRDefault="00982B1B" w:rsidP="00D43BAD">
      <w:pPr>
        <w:pStyle w:val="Textonotapie"/>
        <w:jc w:val="both"/>
        <w:rPr>
          <w:rFonts w:ascii="Agency FB" w:hAnsi="Agency FB"/>
          <w:i/>
          <w:szCs w:val="26"/>
        </w:rPr>
      </w:pPr>
      <w:r w:rsidRPr="00D43BAD">
        <w:rPr>
          <w:rStyle w:val="Refdenotaalpie"/>
          <w:rFonts w:ascii="Agency FB" w:hAnsi="Agency FB"/>
          <w:szCs w:val="26"/>
        </w:rPr>
        <w:footnoteRef/>
      </w:r>
      <w:r w:rsidRPr="00D43BAD">
        <w:rPr>
          <w:rFonts w:ascii="Agency FB" w:hAnsi="Agency FB"/>
          <w:szCs w:val="26"/>
        </w:rPr>
        <w:t xml:space="preserve"> </w:t>
      </w:r>
      <w:r w:rsidR="00E24B13" w:rsidRPr="00D43BAD">
        <w:rPr>
          <w:rFonts w:ascii="Agency FB" w:hAnsi="Agency FB"/>
          <w:szCs w:val="26"/>
        </w:rPr>
        <w:t>FIDUCIA, DEBER DE REGISTRO DEL CONTRATO, Concepto 2010051611-0</w:t>
      </w:r>
      <w:r w:rsidR="000C2C93" w:rsidRPr="00D43BAD">
        <w:rPr>
          <w:rFonts w:ascii="Agency FB" w:hAnsi="Agency FB"/>
          <w:szCs w:val="26"/>
        </w:rPr>
        <w:t xml:space="preserve">01 del 27 de septiembre de 2010; Extraído de la página web de la Superintendencia de sociedades URL: </w:t>
      </w:r>
      <w:hyperlink r:id="rId1" w:history="1">
        <w:r w:rsidR="00774A01" w:rsidRPr="00D43BAD">
          <w:rPr>
            <w:rStyle w:val="Hipervnculo"/>
            <w:rFonts w:ascii="Agency FB" w:hAnsi="Agency FB"/>
            <w:color w:val="auto"/>
            <w:szCs w:val="26"/>
          </w:rPr>
          <w:t>https://www.superfinanciera.gov.co/ABCD/superfinanciera/php/index.php</w:t>
        </w:r>
      </w:hyperlink>
      <w:r w:rsidR="00774A01" w:rsidRPr="00D43BAD">
        <w:rPr>
          <w:rFonts w:ascii="Agency FB" w:hAnsi="Agency FB"/>
          <w:szCs w:val="26"/>
        </w:rPr>
        <w:t xml:space="preserve"> (Buscador: </w:t>
      </w:r>
      <w:r w:rsidR="00774A01" w:rsidRPr="00D43BAD">
        <w:rPr>
          <w:rFonts w:ascii="Agency FB" w:hAnsi="Agency FB"/>
          <w:i/>
          <w:szCs w:val="26"/>
        </w:rPr>
        <w:t xml:space="preserve">DEBER DE REGISTRO DE CONTRATO). </w:t>
      </w:r>
    </w:p>
  </w:footnote>
  <w:footnote w:id="35">
    <w:p w14:paraId="1179B421" w14:textId="306AEE87" w:rsidR="006C0A4E" w:rsidRPr="00D43BAD" w:rsidRDefault="006C0A4E"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Canosa Fernando Torrado. La Resolución de los Contreatos Pág. 20, Tercera Edición. Ediciones Doctrina y Ley, Santa Fe de Bogotá D.C., 2003.</w:t>
      </w:r>
    </w:p>
  </w:footnote>
  <w:footnote w:id="36">
    <w:p w14:paraId="376ED977" w14:textId="5501B7E1" w:rsidR="004734EF" w:rsidRPr="00D43BAD" w:rsidRDefault="004734EF" w:rsidP="00D43BAD">
      <w:pPr>
        <w:pStyle w:val="Textonotapie"/>
        <w:jc w:val="both"/>
        <w:rPr>
          <w:rFonts w:ascii="Agency FB" w:hAnsi="Agency FB"/>
          <w:szCs w:val="26"/>
        </w:rPr>
      </w:pPr>
      <w:r w:rsidRPr="00D43BAD">
        <w:rPr>
          <w:rStyle w:val="Refdenotaalpie"/>
          <w:rFonts w:ascii="Agency FB" w:hAnsi="Agency FB"/>
          <w:szCs w:val="26"/>
        </w:rPr>
        <w:footnoteRef/>
      </w:r>
      <w:r w:rsidRPr="00D43BAD">
        <w:rPr>
          <w:rFonts w:ascii="Agency FB" w:hAnsi="Agency FB"/>
          <w:szCs w:val="26"/>
        </w:rPr>
        <w:t xml:space="preserve"> CSJ.SCC, Sentencia del 1° julio de 2008, rad. 2001-00803-01. Reiterada en la Sentencia SC3254 del 7 de septiembre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F2EB" w14:textId="77777777" w:rsidR="001A64B4" w:rsidRDefault="001A64B4">
    <w:pPr>
      <w:pStyle w:val="Encabezado"/>
      <w:framePr w:wrap="auto" w:vAnchor="text" w:hAnchor="margin" w:xAlign="right" w:y="1"/>
      <w:rPr>
        <w:rStyle w:val="Nmerodepgina"/>
      </w:rPr>
    </w:pPr>
  </w:p>
  <w:p w14:paraId="7A30C566" w14:textId="77777777" w:rsidR="001A64B4" w:rsidRDefault="001A64B4">
    <w:pPr>
      <w:pStyle w:val="Encabezado"/>
      <w:ind w:right="360"/>
      <w:jc w:val="right"/>
      <w:rPr>
        <w:sz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4A5D"/>
    <w:multiLevelType w:val="hybridMultilevel"/>
    <w:tmpl w:val="DA7085C0"/>
    <w:lvl w:ilvl="0" w:tplc="7B6653EA">
      <w:start w:val="1"/>
      <w:numFmt w:val="lowerRoman"/>
      <w:lvlText w:val="(%1)"/>
      <w:lvlJc w:val="left"/>
      <w:pPr>
        <w:ind w:left="3555" w:hanging="720"/>
      </w:pPr>
      <w:rPr>
        <w:rFonts w:hint="default"/>
        <w:i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1F51E5D"/>
    <w:multiLevelType w:val="hybridMultilevel"/>
    <w:tmpl w:val="64741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671CC"/>
    <w:multiLevelType w:val="hybridMultilevel"/>
    <w:tmpl w:val="8C22773E"/>
    <w:lvl w:ilvl="0" w:tplc="B3AC74C8">
      <w:start w:val="1"/>
      <w:numFmt w:val="decimal"/>
      <w:lvlText w:val="%1."/>
      <w:lvlJc w:val="left"/>
      <w:pPr>
        <w:ind w:left="3195" w:hanging="360"/>
      </w:pPr>
      <w:rPr>
        <w:rFonts w:hint="default"/>
      </w:rPr>
    </w:lvl>
    <w:lvl w:ilvl="1" w:tplc="04090019">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3F5856F2"/>
    <w:multiLevelType w:val="hybridMultilevel"/>
    <w:tmpl w:val="87FA163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4" w15:restartNumberingAfterBreak="0">
    <w:nsid w:val="40275774"/>
    <w:multiLevelType w:val="hybridMultilevel"/>
    <w:tmpl w:val="A7642AAE"/>
    <w:lvl w:ilvl="0" w:tplc="B74A08A2">
      <w:start w:val="5"/>
      <w:numFmt w:val="lowerRoman"/>
      <w:lvlText w:val="(%1)"/>
      <w:lvlJc w:val="left"/>
      <w:pPr>
        <w:ind w:left="3555" w:hanging="720"/>
      </w:pPr>
      <w:rPr>
        <w:rFonts w:hint="default"/>
        <w:i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5" w15:restartNumberingAfterBreak="0">
    <w:nsid w:val="409F50C7"/>
    <w:multiLevelType w:val="hybridMultilevel"/>
    <w:tmpl w:val="4D7E64F0"/>
    <w:lvl w:ilvl="0" w:tplc="0C0A0003">
      <w:start w:val="1"/>
      <w:numFmt w:val="bullet"/>
      <w:lvlText w:val="o"/>
      <w:lvlJc w:val="left"/>
      <w:pPr>
        <w:ind w:left="3555" w:hanging="360"/>
      </w:pPr>
      <w:rPr>
        <w:rFonts w:ascii="Courier New" w:hAnsi="Courier New" w:hint="default"/>
      </w:rPr>
    </w:lvl>
    <w:lvl w:ilvl="1" w:tplc="0C0A0003" w:tentative="1">
      <w:start w:val="1"/>
      <w:numFmt w:val="bullet"/>
      <w:lvlText w:val="o"/>
      <w:lvlJc w:val="left"/>
      <w:pPr>
        <w:ind w:left="4275" w:hanging="360"/>
      </w:pPr>
      <w:rPr>
        <w:rFonts w:ascii="Courier New" w:hAnsi="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6" w15:restartNumberingAfterBreak="0">
    <w:nsid w:val="4E40381F"/>
    <w:multiLevelType w:val="hybridMultilevel"/>
    <w:tmpl w:val="3D2C4B2A"/>
    <w:lvl w:ilvl="0" w:tplc="2C563A0C">
      <w:start w:val="5"/>
      <w:numFmt w:val="bullet"/>
      <w:lvlText w:val="-"/>
      <w:lvlJc w:val="left"/>
      <w:pPr>
        <w:tabs>
          <w:tab w:val="num" w:pos="3192"/>
        </w:tabs>
        <w:ind w:left="3192" w:hanging="360"/>
      </w:pPr>
      <w:rPr>
        <w:rFonts w:ascii="Century Gothic" w:eastAsia="Times New Roman" w:hAnsi="Century Gothic" w:cs="Times New Roman"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7" w15:restartNumberingAfterBreak="0">
    <w:nsid w:val="5BDB3D05"/>
    <w:multiLevelType w:val="hybridMultilevel"/>
    <w:tmpl w:val="612C3F94"/>
    <w:lvl w:ilvl="0" w:tplc="0C0A0003">
      <w:start w:val="1"/>
      <w:numFmt w:val="bullet"/>
      <w:lvlText w:val="o"/>
      <w:lvlJc w:val="left"/>
      <w:pPr>
        <w:tabs>
          <w:tab w:val="num" w:pos="3615"/>
        </w:tabs>
        <w:ind w:left="3615" w:hanging="360"/>
      </w:pPr>
      <w:rPr>
        <w:rFonts w:ascii="Courier New" w:hAnsi="Courier New" w:hint="default"/>
      </w:rPr>
    </w:lvl>
    <w:lvl w:ilvl="1" w:tplc="0C0A0003" w:tentative="1">
      <w:start w:val="1"/>
      <w:numFmt w:val="bullet"/>
      <w:lvlText w:val="o"/>
      <w:lvlJc w:val="left"/>
      <w:pPr>
        <w:tabs>
          <w:tab w:val="num" w:pos="4335"/>
        </w:tabs>
        <w:ind w:left="4335" w:hanging="360"/>
      </w:pPr>
      <w:rPr>
        <w:rFonts w:ascii="Courier New" w:hAnsi="Courier New" w:hint="default"/>
      </w:rPr>
    </w:lvl>
    <w:lvl w:ilvl="2" w:tplc="0C0A0005" w:tentative="1">
      <w:start w:val="1"/>
      <w:numFmt w:val="bullet"/>
      <w:lvlText w:val=""/>
      <w:lvlJc w:val="left"/>
      <w:pPr>
        <w:tabs>
          <w:tab w:val="num" w:pos="5055"/>
        </w:tabs>
        <w:ind w:left="5055" w:hanging="360"/>
      </w:pPr>
      <w:rPr>
        <w:rFonts w:ascii="Wingdings" w:hAnsi="Wingdings" w:hint="default"/>
      </w:rPr>
    </w:lvl>
    <w:lvl w:ilvl="3" w:tplc="0C0A0001" w:tentative="1">
      <w:start w:val="1"/>
      <w:numFmt w:val="bullet"/>
      <w:lvlText w:val=""/>
      <w:lvlJc w:val="left"/>
      <w:pPr>
        <w:tabs>
          <w:tab w:val="num" w:pos="5775"/>
        </w:tabs>
        <w:ind w:left="5775" w:hanging="360"/>
      </w:pPr>
      <w:rPr>
        <w:rFonts w:ascii="Symbol" w:hAnsi="Symbol" w:hint="default"/>
      </w:rPr>
    </w:lvl>
    <w:lvl w:ilvl="4" w:tplc="0C0A0003" w:tentative="1">
      <w:start w:val="1"/>
      <w:numFmt w:val="bullet"/>
      <w:lvlText w:val="o"/>
      <w:lvlJc w:val="left"/>
      <w:pPr>
        <w:tabs>
          <w:tab w:val="num" w:pos="6495"/>
        </w:tabs>
        <w:ind w:left="6495" w:hanging="360"/>
      </w:pPr>
      <w:rPr>
        <w:rFonts w:ascii="Courier New" w:hAnsi="Courier New" w:hint="default"/>
      </w:rPr>
    </w:lvl>
    <w:lvl w:ilvl="5" w:tplc="0C0A0005" w:tentative="1">
      <w:start w:val="1"/>
      <w:numFmt w:val="bullet"/>
      <w:lvlText w:val=""/>
      <w:lvlJc w:val="left"/>
      <w:pPr>
        <w:tabs>
          <w:tab w:val="num" w:pos="7215"/>
        </w:tabs>
        <w:ind w:left="7215" w:hanging="360"/>
      </w:pPr>
      <w:rPr>
        <w:rFonts w:ascii="Wingdings" w:hAnsi="Wingdings" w:hint="default"/>
      </w:rPr>
    </w:lvl>
    <w:lvl w:ilvl="6" w:tplc="0C0A0001" w:tentative="1">
      <w:start w:val="1"/>
      <w:numFmt w:val="bullet"/>
      <w:lvlText w:val=""/>
      <w:lvlJc w:val="left"/>
      <w:pPr>
        <w:tabs>
          <w:tab w:val="num" w:pos="7935"/>
        </w:tabs>
        <w:ind w:left="7935" w:hanging="360"/>
      </w:pPr>
      <w:rPr>
        <w:rFonts w:ascii="Symbol" w:hAnsi="Symbol" w:hint="default"/>
      </w:rPr>
    </w:lvl>
    <w:lvl w:ilvl="7" w:tplc="0C0A0003" w:tentative="1">
      <w:start w:val="1"/>
      <w:numFmt w:val="bullet"/>
      <w:lvlText w:val="o"/>
      <w:lvlJc w:val="left"/>
      <w:pPr>
        <w:tabs>
          <w:tab w:val="num" w:pos="8655"/>
        </w:tabs>
        <w:ind w:left="8655" w:hanging="360"/>
      </w:pPr>
      <w:rPr>
        <w:rFonts w:ascii="Courier New" w:hAnsi="Courier New" w:hint="default"/>
      </w:rPr>
    </w:lvl>
    <w:lvl w:ilvl="8" w:tplc="0C0A0005" w:tentative="1">
      <w:start w:val="1"/>
      <w:numFmt w:val="bullet"/>
      <w:lvlText w:val=""/>
      <w:lvlJc w:val="left"/>
      <w:pPr>
        <w:tabs>
          <w:tab w:val="num" w:pos="9375"/>
        </w:tabs>
        <w:ind w:left="9375" w:hanging="360"/>
      </w:pPr>
      <w:rPr>
        <w:rFonts w:ascii="Wingdings" w:hAnsi="Wingdings" w:hint="default"/>
      </w:rPr>
    </w:lvl>
  </w:abstractNum>
  <w:abstractNum w:abstractNumId="8" w15:restartNumberingAfterBreak="0">
    <w:nsid w:val="6015470F"/>
    <w:multiLevelType w:val="hybridMultilevel"/>
    <w:tmpl w:val="F502F84A"/>
    <w:lvl w:ilvl="0" w:tplc="05587EEE">
      <w:start w:val="4"/>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num w:numId="1">
    <w:abstractNumId w:val="7"/>
  </w:num>
  <w:num w:numId="2">
    <w:abstractNumId w:val="3"/>
  </w:num>
  <w:num w:numId="3">
    <w:abstractNumId w:val="5"/>
  </w:num>
  <w:num w:numId="4">
    <w:abstractNumId w:val="8"/>
  </w:num>
  <w:num w:numId="5">
    <w:abstractNumId w:val="6"/>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7A"/>
    <w:rsid w:val="00001486"/>
    <w:rsid w:val="00001F21"/>
    <w:rsid w:val="00005A26"/>
    <w:rsid w:val="000103F2"/>
    <w:rsid w:val="0001144C"/>
    <w:rsid w:val="00013C7C"/>
    <w:rsid w:val="00023820"/>
    <w:rsid w:val="00024D93"/>
    <w:rsid w:val="00030918"/>
    <w:rsid w:val="00033460"/>
    <w:rsid w:val="0003461C"/>
    <w:rsid w:val="0003470F"/>
    <w:rsid w:val="00050452"/>
    <w:rsid w:val="000521F6"/>
    <w:rsid w:val="00052648"/>
    <w:rsid w:val="00055EC1"/>
    <w:rsid w:val="000568A1"/>
    <w:rsid w:val="00057578"/>
    <w:rsid w:val="000633E9"/>
    <w:rsid w:val="00065B67"/>
    <w:rsid w:val="00067DC7"/>
    <w:rsid w:val="00077DF2"/>
    <w:rsid w:val="000867EA"/>
    <w:rsid w:val="000954E1"/>
    <w:rsid w:val="000A511D"/>
    <w:rsid w:val="000A675A"/>
    <w:rsid w:val="000B5B1B"/>
    <w:rsid w:val="000B7EA8"/>
    <w:rsid w:val="000C0FCD"/>
    <w:rsid w:val="000C2C93"/>
    <w:rsid w:val="000C4542"/>
    <w:rsid w:val="000C5EF8"/>
    <w:rsid w:val="000C7943"/>
    <w:rsid w:val="000D3A03"/>
    <w:rsid w:val="000D49EA"/>
    <w:rsid w:val="000D4A3B"/>
    <w:rsid w:val="000D65E3"/>
    <w:rsid w:val="000D7846"/>
    <w:rsid w:val="000E07BC"/>
    <w:rsid w:val="000F0664"/>
    <w:rsid w:val="000F2080"/>
    <w:rsid w:val="000F2F3F"/>
    <w:rsid w:val="000F654C"/>
    <w:rsid w:val="000F7146"/>
    <w:rsid w:val="000F7D2E"/>
    <w:rsid w:val="00101EFA"/>
    <w:rsid w:val="001066E7"/>
    <w:rsid w:val="00110C85"/>
    <w:rsid w:val="001114FC"/>
    <w:rsid w:val="00112235"/>
    <w:rsid w:val="0011565B"/>
    <w:rsid w:val="0011723E"/>
    <w:rsid w:val="0012482C"/>
    <w:rsid w:val="0012592E"/>
    <w:rsid w:val="00130E93"/>
    <w:rsid w:val="00134E19"/>
    <w:rsid w:val="00136155"/>
    <w:rsid w:val="0014153F"/>
    <w:rsid w:val="00143315"/>
    <w:rsid w:val="00146752"/>
    <w:rsid w:val="00147194"/>
    <w:rsid w:val="00147AAD"/>
    <w:rsid w:val="0015221F"/>
    <w:rsid w:val="00152418"/>
    <w:rsid w:val="001547BC"/>
    <w:rsid w:val="001564B1"/>
    <w:rsid w:val="00156BD4"/>
    <w:rsid w:val="0016286C"/>
    <w:rsid w:val="00167793"/>
    <w:rsid w:val="00174A02"/>
    <w:rsid w:val="00180193"/>
    <w:rsid w:val="00182FAD"/>
    <w:rsid w:val="00187EAD"/>
    <w:rsid w:val="00187FEA"/>
    <w:rsid w:val="001915A3"/>
    <w:rsid w:val="00196A47"/>
    <w:rsid w:val="001A19BD"/>
    <w:rsid w:val="001A28E8"/>
    <w:rsid w:val="001A64B4"/>
    <w:rsid w:val="001A72F7"/>
    <w:rsid w:val="001B10B6"/>
    <w:rsid w:val="001C0D32"/>
    <w:rsid w:val="001C1473"/>
    <w:rsid w:val="001C40BC"/>
    <w:rsid w:val="001C4752"/>
    <w:rsid w:val="001C6338"/>
    <w:rsid w:val="001C7F1E"/>
    <w:rsid w:val="001D3041"/>
    <w:rsid w:val="001D56B7"/>
    <w:rsid w:val="001D79ED"/>
    <w:rsid w:val="001D7CB7"/>
    <w:rsid w:val="001E3732"/>
    <w:rsid w:val="001E3899"/>
    <w:rsid w:val="001E76EA"/>
    <w:rsid w:val="00201B2D"/>
    <w:rsid w:val="0020494C"/>
    <w:rsid w:val="00204ADB"/>
    <w:rsid w:val="00211D03"/>
    <w:rsid w:val="00215879"/>
    <w:rsid w:val="0022120B"/>
    <w:rsid w:val="00221FDA"/>
    <w:rsid w:val="00222325"/>
    <w:rsid w:val="00226984"/>
    <w:rsid w:val="00226E16"/>
    <w:rsid w:val="00231A79"/>
    <w:rsid w:val="00233C70"/>
    <w:rsid w:val="00234F71"/>
    <w:rsid w:val="002436FC"/>
    <w:rsid w:val="00265AB2"/>
    <w:rsid w:val="00273B0A"/>
    <w:rsid w:val="00274F70"/>
    <w:rsid w:val="00282531"/>
    <w:rsid w:val="002853BA"/>
    <w:rsid w:val="0028656C"/>
    <w:rsid w:val="00290786"/>
    <w:rsid w:val="00291D4F"/>
    <w:rsid w:val="002920B9"/>
    <w:rsid w:val="0029247E"/>
    <w:rsid w:val="00296225"/>
    <w:rsid w:val="002A0420"/>
    <w:rsid w:val="002B3788"/>
    <w:rsid w:val="002C0D48"/>
    <w:rsid w:val="002D3214"/>
    <w:rsid w:val="002E3F45"/>
    <w:rsid w:val="002E558F"/>
    <w:rsid w:val="002F26A4"/>
    <w:rsid w:val="002F4A2D"/>
    <w:rsid w:val="00301770"/>
    <w:rsid w:val="003029B2"/>
    <w:rsid w:val="0031283D"/>
    <w:rsid w:val="0031432B"/>
    <w:rsid w:val="00320A9D"/>
    <w:rsid w:val="00332240"/>
    <w:rsid w:val="00332AF5"/>
    <w:rsid w:val="00335BDF"/>
    <w:rsid w:val="00344021"/>
    <w:rsid w:val="00344EF2"/>
    <w:rsid w:val="0035695E"/>
    <w:rsid w:val="00356E61"/>
    <w:rsid w:val="00357261"/>
    <w:rsid w:val="00364A00"/>
    <w:rsid w:val="00364FC5"/>
    <w:rsid w:val="00365DAB"/>
    <w:rsid w:val="00367C1E"/>
    <w:rsid w:val="00381884"/>
    <w:rsid w:val="00381FA8"/>
    <w:rsid w:val="00384FE3"/>
    <w:rsid w:val="00386276"/>
    <w:rsid w:val="003900FF"/>
    <w:rsid w:val="00392BE9"/>
    <w:rsid w:val="003932D8"/>
    <w:rsid w:val="00393F70"/>
    <w:rsid w:val="0039484C"/>
    <w:rsid w:val="003A5FF2"/>
    <w:rsid w:val="003A7761"/>
    <w:rsid w:val="003B4446"/>
    <w:rsid w:val="003B5D16"/>
    <w:rsid w:val="003B6A0B"/>
    <w:rsid w:val="003C082C"/>
    <w:rsid w:val="003C08AE"/>
    <w:rsid w:val="003C1F4F"/>
    <w:rsid w:val="003D4D27"/>
    <w:rsid w:val="003D7AF7"/>
    <w:rsid w:val="003E24EC"/>
    <w:rsid w:val="003E2FAF"/>
    <w:rsid w:val="003E3448"/>
    <w:rsid w:val="003E40EB"/>
    <w:rsid w:val="003F527F"/>
    <w:rsid w:val="003F5BB3"/>
    <w:rsid w:val="004011E7"/>
    <w:rsid w:val="00410F74"/>
    <w:rsid w:val="00412038"/>
    <w:rsid w:val="0041482D"/>
    <w:rsid w:val="00415E42"/>
    <w:rsid w:val="00421170"/>
    <w:rsid w:val="004224BD"/>
    <w:rsid w:val="0042339F"/>
    <w:rsid w:val="0042347D"/>
    <w:rsid w:val="004366B0"/>
    <w:rsid w:val="00441EC7"/>
    <w:rsid w:val="00447697"/>
    <w:rsid w:val="004548E3"/>
    <w:rsid w:val="0046128F"/>
    <w:rsid w:val="00461BF7"/>
    <w:rsid w:val="00465310"/>
    <w:rsid w:val="004734EF"/>
    <w:rsid w:val="00477726"/>
    <w:rsid w:val="00482CDA"/>
    <w:rsid w:val="004863C2"/>
    <w:rsid w:val="00487DEB"/>
    <w:rsid w:val="00490F75"/>
    <w:rsid w:val="004919DD"/>
    <w:rsid w:val="00494C40"/>
    <w:rsid w:val="004A1184"/>
    <w:rsid w:val="004A7C06"/>
    <w:rsid w:val="004B16D7"/>
    <w:rsid w:val="004B39AF"/>
    <w:rsid w:val="004C0D99"/>
    <w:rsid w:val="004D4643"/>
    <w:rsid w:val="004E6612"/>
    <w:rsid w:val="004F04DF"/>
    <w:rsid w:val="004F2412"/>
    <w:rsid w:val="00500B1A"/>
    <w:rsid w:val="00510A38"/>
    <w:rsid w:val="005128F5"/>
    <w:rsid w:val="00514582"/>
    <w:rsid w:val="0051655D"/>
    <w:rsid w:val="00517675"/>
    <w:rsid w:val="005264EF"/>
    <w:rsid w:val="00526825"/>
    <w:rsid w:val="00526979"/>
    <w:rsid w:val="00527570"/>
    <w:rsid w:val="00536487"/>
    <w:rsid w:val="00543250"/>
    <w:rsid w:val="00551D3D"/>
    <w:rsid w:val="005532AC"/>
    <w:rsid w:val="00553C7B"/>
    <w:rsid w:val="00556B92"/>
    <w:rsid w:val="0057205C"/>
    <w:rsid w:val="005750AC"/>
    <w:rsid w:val="005812D8"/>
    <w:rsid w:val="005823E1"/>
    <w:rsid w:val="00595744"/>
    <w:rsid w:val="00596A4C"/>
    <w:rsid w:val="005A1A6D"/>
    <w:rsid w:val="005A351E"/>
    <w:rsid w:val="005B09FE"/>
    <w:rsid w:val="005B143A"/>
    <w:rsid w:val="005B56A3"/>
    <w:rsid w:val="005C093C"/>
    <w:rsid w:val="005C0FF7"/>
    <w:rsid w:val="005C4C62"/>
    <w:rsid w:val="005C50EE"/>
    <w:rsid w:val="005D3079"/>
    <w:rsid w:val="005D38F3"/>
    <w:rsid w:val="005E6049"/>
    <w:rsid w:val="005F23DF"/>
    <w:rsid w:val="005F3D53"/>
    <w:rsid w:val="005F479C"/>
    <w:rsid w:val="005F55B7"/>
    <w:rsid w:val="005F6C5D"/>
    <w:rsid w:val="00601B0B"/>
    <w:rsid w:val="00603573"/>
    <w:rsid w:val="006117F6"/>
    <w:rsid w:val="00613E9C"/>
    <w:rsid w:val="00615ADB"/>
    <w:rsid w:val="00621C1A"/>
    <w:rsid w:val="00624047"/>
    <w:rsid w:val="00626C73"/>
    <w:rsid w:val="00626CB2"/>
    <w:rsid w:val="00631305"/>
    <w:rsid w:val="00633CE9"/>
    <w:rsid w:val="006346B7"/>
    <w:rsid w:val="00642EB7"/>
    <w:rsid w:val="006475D4"/>
    <w:rsid w:val="00647E9C"/>
    <w:rsid w:val="0065547F"/>
    <w:rsid w:val="00655821"/>
    <w:rsid w:val="00663239"/>
    <w:rsid w:val="006670E7"/>
    <w:rsid w:val="006721F3"/>
    <w:rsid w:val="00673C48"/>
    <w:rsid w:val="006765A1"/>
    <w:rsid w:val="00684E59"/>
    <w:rsid w:val="0068561E"/>
    <w:rsid w:val="006919A9"/>
    <w:rsid w:val="00694B68"/>
    <w:rsid w:val="006A0346"/>
    <w:rsid w:val="006A311D"/>
    <w:rsid w:val="006B17B4"/>
    <w:rsid w:val="006B1C0D"/>
    <w:rsid w:val="006B65E6"/>
    <w:rsid w:val="006C0A4E"/>
    <w:rsid w:val="006C4753"/>
    <w:rsid w:val="006C48B3"/>
    <w:rsid w:val="006D04FD"/>
    <w:rsid w:val="006D5400"/>
    <w:rsid w:val="006D6173"/>
    <w:rsid w:val="006D64B5"/>
    <w:rsid w:val="006E1509"/>
    <w:rsid w:val="006E224D"/>
    <w:rsid w:val="006E2703"/>
    <w:rsid w:val="006E421F"/>
    <w:rsid w:val="006E4858"/>
    <w:rsid w:val="006F5DA7"/>
    <w:rsid w:val="006F6BBB"/>
    <w:rsid w:val="006F714A"/>
    <w:rsid w:val="006F773A"/>
    <w:rsid w:val="006F7ADB"/>
    <w:rsid w:val="00700449"/>
    <w:rsid w:val="00702744"/>
    <w:rsid w:val="007123D1"/>
    <w:rsid w:val="00713670"/>
    <w:rsid w:val="007179A7"/>
    <w:rsid w:val="00720AC5"/>
    <w:rsid w:val="00721022"/>
    <w:rsid w:val="00722156"/>
    <w:rsid w:val="00727A56"/>
    <w:rsid w:val="0073732C"/>
    <w:rsid w:val="00740BBA"/>
    <w:rsid w:val="0075288C"/>
    <w:rsid w:val="0075340C"/>
    <w:rsid w:val="00755412"/>
    <w:rsid w:val="00761001"/>
    <w:rsid w:val="00764E7A"/>
    <w:rsid w:val="00767D82"/>
    <w:rsid w:val="00770866"/>
    <w:rsid w:val="0077477C"/>
    <w:rsid w:val="00774A01"/>
    <w:rsid w:val="00774AD5"/>
    <w:rsid w:val="00776209"/>
    <w:rsid w:val="00777D5E"/>
    <w:rsid w:val="00783EF2"/>
    <w:rsid w:val="00790572"/>
    <w:rsid w:val="007905D6"/>
    <w:rsid w:val="00794D1E"/>
    <w:rsid w:val="00796FE6"/>
    <w:rsid w:val="00797814"/>
    <w:rsid w:val="007A6DD9"/>
    <w:rsid w:val="007B05C6"/>
    <w:rsid w:val="007B0794"/>
    <w:rsid w:val="007B4C9F"/>
    <w:rsid w:val="007B61C3"/>
    <w:rsid w:val="007B6D05"/>
    <w:rsid w:val="007D7842"/>
    <w:rsid w:val="007E2738"/>
    <w:rsid w:val="007F3B80"/>
    <w:rsid w:val="007F5BF0"/>
    <w:rsid w:val="00801830"/>
    <w:rsid w:val="00801A2C"/>
    <w:rsid w:val="00810954"/>
    <w:rsid w:val="0081381C"/>
    <w:rsid w:val="00813BAB"/>
    <w:rsid w:val="008219CF"/>
    <w:rsid w:val="00823652"/>
    <w:rsid w:val="0082461F"/>
    <w:rsid w:val="00825A9A"/>
    <w:rsid w:val="00834782"/>
    <w:rsid w:val="0084186C"/>
    <w:rsid w:val="0084244A"/>
    <w:rsid w:val="00852049"/>
    <w:rsid w:val="00853833"/>
    <w:rsid w:val="00854535"/>
    <w:rsid w:val="00857394"/>
    <w:rsid w:val="0086022C"/>
    <w:rsid w:val="00860D4C"/>
    <w:rsid w:val="008643D7"/>
    <w:rsid w:val="0087076E"/>
    <w:rsid w:val="00872D75"/>
    <w:rsid w:val="00876D27"/>
    <w:rsid w:val="00884CFB"/>
    <w:rsid w:val="00884E0B"/>
    <w:rsid w:val="00890BEB"/>
    <w:rsid w:val="00892D0A"/>
    <w:rsid w:val="008A0077"/>
    <w:rsid w:val="008A6D24"/>
    <w:rsid w:val="008B3DEE"/>
    <w:rsid w:val="008B5DF3"/>
    <w:rsid w:val="008B7908"/>
    <w:rsid w:val="008C3492"/>
    <w:rsid w:val="008C4FD9"/>
    <w:rsid w:val="008C5811"/>
    <w:rsid w:val="008D029C"/>
    <w:rsid w:val="008D21B3"/>
    <w:rsid w:val="008E0269"/>
    <w:rsid w:val="008E3A31"/>
    <w:rsid w:val="008E64B0"/>
    <w:rsid w:val="008F1A38"/>
    <w:rsid w:val="008F52C6"/>
    <w:rsid w:val="008F69F2"/>
    <w:rsid w:val="00902E1E"/>
    <w:rsid w:val="0090456D"/>
    <w:rsid w:val="00904F4F"/>
    <w:rsid w:val="0090565D"/>
    <w:rsid w:val="00912429"/>
    <w:rsid w:val="00922BBA"/>
    <w:rsid w:val="00925CC6"/>
    <w:rsid w:val="00931456"/>
    <w:rsid w:val="00932FFF"/>
    <w:rsid w:val="009346DD"/>
    <w:rsid w:val="00937CF7"/>
    <w:rsid w:val="00940012"/>
    <w:rsid w:val="00947E6B"/>
    <w:rsid w:val="00950E6B"/>
    <w:rsid w:val="00953CBA"/>
    <w:rsid w:val="00966B15"/>
    <w:rsid w:val="00980C8D"/>
    <w:rsid w:val="00982B1B"/>
    <w:rsid w:val="00985173"/>
    <w:rsid w:val="00993A23"/>
    <w:rsid w:val="009A056C"/>
    <w:rsid w:val="009A0643"/>
    <w:rsid w:val="009A5B70"/>
    <w:rsid w:val="009B0158"/>
    <w:rsid w:val="009B12CE"/>
    <w:rsid w:val="009B2D02"/>
    <w:rsid w:val="009C3307"/>
    <w:rsid w:val="009C41BA"/>
    <w:rsid w:val="009C78DE"/>
    <w:rsid w:val="009D0D07"/>
    <w:rsid w:val="009D4457"/>
    <w:rsid w:val="009D5298"/>
    <w:rsid w:val="009D56C2"/>
    <w:rsid w:val="009E3410"/>
    <w:rsid w:val="00A00B2B"/>
    <w:rsid w:val="00A030D8"/>
    <w:rsid w:val="00A03231"/>
    <w:rsid w:val="00A04477"/>
    <w:rsid w:val="00A10FB3"/>
    <w:rsid w:val="00A142AD"/>
    <w:rsid w:val="00A214AC"/>
    <w:rsid w:val="00A21539"/>
    <w:rsid w:val="00A2578A"/>
    <w:rsid w:val="00A30484"/>
    <w:rsid w:val="00A30FB2"/>
    <w:rsid w:val="00A325DD"/>
    <w:rsid w:val="00A3500A"/>
    <w:rsid w:val="00A40DFF"/>
    <w:rsid w:val="00A42265"/>
    <w:rsid w:val="00A4315C"/>
    <w:rsid w:val="00A435D0"/>
    <w:rsid w:val="00A44E8A"/>
    <w:rsid w:val="00A474FF"/>
    <w:rsid w:val="00A52C77"/>
    <w:rsid w:val="00A61A13"/>
    <w:rsid w:val="00A705EB"/>
    <w:rsid w:val="00A74D4B"/>
    <w:rsid w:val="00A905BD"/>
    <w:rsid w:val="00A91950"/>
    <w:rsid w:val="00A9704B"/>
    <w:rsid w:val="00AA00B5"/>
    <w:rsid w:val="00AA0B55"/>
    <w:rsid w:val="00AA5D50"/>
    <w:rsid w:val="00AB4E92"/>
    <w:rsid w:val="00AB5ADE"/>
    <w:rsid w:val="00AC58E3"/>
    <w:rsid w:val="00AC5C4E"/>
    <w:rsid w:val="00AC63E3"/>
    <w:rsid w:val="00AC6B44"/>
    <w:rsid w:val="00AD55C1"/>
    <w:rsid w:val="00AD5D7A"/>
    <w:rsid w:val="00AE15D0"/>
    <w:rsid w:val="00AE38B5"/>
    <w:rsid w:val="00AE65A9"/>
    <w:rsid w:val="00AF24CB"/>
    <w:rsid w:val="00AF29BB"/>
    <w:rsid w:val="00B06055"/>
    <w:rsid w:val="00B120C8"/>
    <w:rsid w:val="00B12873"/>
    <w:rsid w:val="00B13B03"/>
    <w:rsid w:val="00B1690A"/>
    <w:rsid w:val="00B17401"/>
    <w:rsid w:val="00B20A45"/>
    <w:rsid w:val="00B359F6"/>
    <w:rsid w:val="00B37344"/>
    <w:rsid w:val="00B4555A"/>
    <w:rsid w:val="00B50D60"/>
    <w:rsid w:val="00B52D42"/>
    <w:rsid w:val="00B619DB"/>
    <w:rsid w:val="00B62D5C"/>
    <w:rsid w:val="00B63C57"/>
    <w:rsid w:val="00B66080"/>
    <w:rsid w:val="00B704BB"/>
    <w:rsid w:val="00B70B58"/>
    <w:rsid w:val="00B7485F"/>
    <w:rsid w:val="00B80B3F"/>
    <w:rsid w:val="00B83015"/>
    <w:rsid w:val="00B93F4C"/>
    <w:rsid w:val="00B94AE9"/>
    <w:rsid w:val="00B96B38"/>
    <w:rsid w:val="00BA0EF0"/>
    <w:rsid w:val="00BB04ED"/>
    <w:rsid w:val="00BB2B6D"/>
    <w:rsid w:val="00BB2DB7"/>
    <w:rsid w:val="00BB3066"/>
    <w:rsid w:val="00BB5C94"/>
    <w:rsid w:val="00BB5F57"/>
    <w:rsid w:val="00BB645F"/>
    <w:rsid w:val="00BC1918"/>
    <w:rsid w:val="00BC3521"/>
    <w:rsid w:val="00BC5BDC"/>
    <w:rsid w:val="00BE721F"/>
    <w:rsid w:val="00BF1DC4"/>
    <w:rsid w:val="00BF28D2"/>
    <w:rsid w:val="00BF56E1"/>
    <w:rsid w:val="00C00A84"/>
    <w:rsid w:val="00C133B7"/>
    <w:rsid w:val="00C13AD6"/>
    <w:rsid w:val="00C163EB"/>
    <w:rsid w:val="00C16DF1"/>
    <w:rsid w:val="00C22C08"/>
    <w:rsid w:val="00C23305"/>
    <w:rsid w:val="00C247AD"/>
    <w:rsid w:val="00C32E2F"/>
    <w:rsid w:val="00C34CD3"/>
    <w:rsid w:val="00C3675E"/>
    <w:rsid w:val="00C41A82"/>
    <w:rsid w:val="00C42CDE"/>
    <w:rsid w:val="00C435FE"/>
    <w:rsid w:val="00C50091"/>
    <w:rsid w:val="00C51E57"/>
    <w:rsid w:val="00C52521"/>
    <w:rsid w:val="00C52A75"/>
    <w:rsid w:val="00C53241"/>
    <w:rsid w:val="00C6383D"/>
    <w:rsid w:val="00C65FC0"/>
    <w:rsid w:val="00C675C0"/>
    <w:rsid w:val="00C67C9C"/>
    <w:rsid w:val="00C77F3D"/>
    <w:rsid w:val="00C82BEB"/>
    <w:rsid w:val="00C84ABD"/>
    <w:rsid w:val="00C84D28"/>
    <w:rsid w:val="00C92E9A"/>
    <w:rsid w:val="00C93DED"/>
    <w:rsid w:val="00C959D1"/>
    <w:rsid w:val="00CA59A6"/>
    <w:rsid w:val="00CA5B0E"/>
    <w:rsid w:val="00CB16CB"/>
    <w:rsid w:val="00CB6434"/>
    <w:rsid w:val="00CC4F2C"/>
    <w:rsid w:val="00CE42A1"/>
    <w:rsid w:val="00CE42F3"/>
    <w:rsid w:val="00CF6FB1"/>
    <w:rsid w:val="00D011A0"/>
    <w:rsid w:val="00D04244"/>
    <w:rsid w:val="00D12C84"/>
    <w:rsid w:val="00D17FB8"/>
    <w:rsid w:val="00D217DD"/>
    <w:rsid w:val="00D233DE"/>
    <w:rsid w:val="00D26B37"/>
    <w:rsid w:val="00D26EA4"/>
    <w:rsid w:val="00D27031"/>
    <w:rsid w:val="00D3196A"/>
    <w:rsid w:val="00D346A4"/>
    <w:rsid w:val="00D43BAD"/>
    <w:rsid w:val="00D515F5"/>
    <w:rsid w:val="00D6384D"/>
    <w:rsid w:val="00D77A3C"/>
    <w:rsid w:val="00D80ED0"/>
    <w:rsid w:val="00D812A5"/>
    <w:rsid w:val="00D81835"/>
    <w:rsid w:val="00D83E45"/>
    <w:rsid w:val="00D83F27"/>
    <w:rsid w:val="00D90483"/>
    <w:rsid w:val="00D91B36"/>
    <w:rsid w:val="00D962BC"/>
    <w:rsid w:val="00DA0D43"/>
    <w:rsid w:val="00DA11A8"/>
    <w:rsid w:val="00DA1C2B"/>
    <w:rsid w:val="00DA2FBD"/>
    <w:rsid w:val="00DA6565"/>
    <w:rsid w:val="00DB09DC"/>
    <w:rsid w:val="00DB4BD9"/>
    <w:rsid w:val="00DB6089"/>
    <w:rsid w:val="00DB639B"/>
    <w:rsid w:val="00DC3F8E"/>
    <w:rsid w:val="00DD585E"/>
    <w:rsid w:val="00DE36E7"/>
    <w:rsid w:val="00E00606"/>
    <w:rsid w:val="00E01CDF"/>
    <w:rsid w:val="00E04DD5"/>
    <w:rsid w:val="00E04EC8"/>
    <w:rsid w:val="00E23B5A"/>
    <w:rsid w:val="00E24B13"/>
    <w:rsid w:val="00E26ADA"/>
    <w:rsid w:val="00E347A6"/>
    <w:rsid w:val="00E3725D"/>
    <w:rsid w:val="00E37DAE"/>
    <w:rsid w:val="00E43B63"/>
    <w:rsid w:val="00E44491"/>
    <w:rsid w:val="00E463F7"/>
    <w:rsid w:val="00E479AC"/>
    <w:rsid w:val="00E51085"/>
    <w:rsid w:val="00E55287"/>
    <w:rsid w:val="00E56242"/>
    <w:rsid w:val="00E56DA0"/>
    <w:rsid w:val="00E5710E"/>
    <w:rsid w:val="00E7521E"/>
    <w:rsid w:val="00E76223"/>
    <w:rsid w:val="00E86F76"/>
    <w:rsid w:val="00E91EE1"/>
    <w:rsid w:val="00E91F9C"/>
    <w:rsid w:val="00E95173"/>
    <w:rsid w:val="00EA3DC7"/>
    <w:rsid w:val="00EA3E06"/>
    <w:rsid w:val="00EB0DC9"/>
    <w:rsid w:val="00EC19F6"/>
    <w:rsid w:val="00ED2976"/>
    <w:rsid w:val="00ED51C1"/>
    <w:rsid w:val="00ED7982"/>
    <w:rsid w:val="00EE0664"/>
    <w:rsid w:val="00EE23B5"/>
    <w:rsid w:val="00EF4E46"/>
    <w:rsid w:val="00F02BE9"/>
    <w:rsid w:val="00F0463C"/>
    <w:rsid w:val="00F04F32"/>
    <w:rsid w:val="00F05FE1"/>
    <w:rsid w:val="00F16449"/>
    <w:rsid w:val="00F219F6"/>
    <w:rsid w:val="00F2402B"/>
    <w:rsid w:val="00F272BF"/>
    <w:rsid w:val="00F31B33"/>
    <w:rsid w:val="00F31EF6"/>
    <w:rsid w:val="00F3600E"/>
    <w:rsid w:val="00F36AA4"/>
    <w:rsid w:val="00F47C1A"/>
    <w:rsid w:val="00F55E63"/>
    <w:rsid w:val="00F56C7D"/>
    <w:rsid w:val="00F57B61"/>
    <w:rsid w:val="00F61B4F"/>
    <w:rsid w:val="00F71A03"/>
    <w:rsid w:val="00F72F6E"/>
    <w:rsid w:val="00F7367A"/>
    <w:rsid w:val="00F73F3D"/>
    <w:rsid w:val="00F82EBC"/>
    <w:rsid w:val="00F84F44"/>
    <w:rsid w:val="00F9155A"/>
    <w:rsid w:val="00F91C95"/>
    <w:rsid w:val="00F96288"/>
    <w:rsid w:val="00FA155C"/>
    <w:rsid w:val="00FA18D6"/>
    <w:rsid w:val="00FA1E2D"/>
    <w:rsid w:val="00FA5D55"/>
    <w:rsid w:val="00FA79CF"/>
    <w:rsid w:val="00FB2173"/>
    <w:rsid w:val="00FB2F63"/>
    <w:rsid w:val="00FB491A"/>
    <w:rsid w:val="00FB6A1E"/>
    <w:rsid w:val="00FC1EB9"/>
    <w:rsid w:val="00FC2127"/>
    <w:rsid w:val="00FC6271"/>
    <w:rsid w:val="00FD1EA5"/>
    <w:rsid w:val="00FD5E56"/>
    <w:rsid w:val="00FD7981"/>
    <w:rsid w:val="00FE0BE0"/>
    <w:rsid w:val="00FE74CD"/>
    <w:rsid w:val="00FF39B9"/>
    <w:rsid w:val="0D423EBC"/>
    <w:rsid w:val="1279FBE2"/>
    <w:rsid w:val="35C4EEAC"/>
    <w:rsid w:val="3C235F85"/>
    <w:rsid w:val="43E2B75B"/>
    <w:rsid w:val="5F6D99F3"/>
    <w:rsid w:val="60A45673"/>
    <w:rsid w:val="6A32C0C0"/>
    <w:rsid w:val="71A0E087"/>
    <w:rsid w:val="75399F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9703C"/>
  <w15:chartTrackingRefBased/>
  <w15:docId w15:val="{D342D6F3-76B6-4EFE-8A8B-A75D35C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footnote reference" w:uiPriority="99" w:qFormat="1"/>
    <w:lsdException w:name="Title" w:locked="1" w:qFormat="1"/>
    <w:lsdException w:name="Subtitle" w:locked="1" w:qFormat="1"/>
    <w:lsdException w:name="Body Text Indent 2" w:uiPriority="99"/>
    <w:lsdException w:name="Hyperlink" w:locked="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F6E"/>
    <w:pPr>
      <w:overflowPunct w:val="0"/>
      <w:autoSpaceDE w:val="0"/>
      <w:autoSpaceDN w:val="0"/>
      <w:adjustRightInd w:val="0"/>
      <w:textAlignment w:val="baseline"/>
    </w:pPr>
    <w:rPr>
      <w:lang w:eastAsia="es-ES"/>
    </w:rPr>
  </w:style>
  <w:style w:type="paragraph" w:styleId="Ttulo1">
    <w:name w:val="heading 1"/>
    <w:basedOn w:val="Normal"/>
    <w:next w:val="Normal"/>
    <w:qFormat/>
    <w:rsid w:val="00F72F6E"/>
    <w:pPr>
      <w:keepNext/>
      <w:spacing w:line="360" w:lineRule="auto"/>
      <w:ind w:firstLine="2835"/>
      <w:jc w:val="both"/>
      <w:outlineLvl w:val="0"/>
    </w:pPr>
    <w:rPr>
      <w:rFonts w:ascii="Arial Narrow" w:hAnsi="Arial Narrow"/>
      <w:b/>
      <w:sz w:val="24"/>
    </w:rPr>
  </w:style>
  <w:style w:type="paragraph" w:styleId="Ttulo2">
    <w:name w:val="heading 2"/>
    <w:basedOn w:val="Normal"/>
    <w:next w:val="Normal"/>
    <w:qFormat/>
    <w:rsid w:val="00F72F6E"/>
    <w:pPr>
      <w:keepNext/>
      <w:spacing w:line="360" w:lineRule="auto"/>
      <w:jc w:val="both"/>
      <w:outlineLvl w:val="1"/>
    </w:pPr>
    <w:rPr>
      <w:rFonts w:ascii="Arial Narrow" w:hAnsi="Arial Narrow"/>
      <w:b/>
      <w:sz w:val="24"/>
    </w:rPr>
  </w:style>
  <w:style w:type="paragraph" w:styleId="Ttulo3">
    <w:name w:val="heading 3"/>
    <w:basedOn w:val="Normal"/>
    <w:next w:val="Normal"/>
    <w:qFormat/>
    <w:rsid w:val="00F72F6E"/>
    <w:pPr>
      <w:keepNext/>
      <w:ind w:firstLine="2835"/>
      <w:outlineLvl w:val="2"/>
    </w:pPr>
    <w:rPr>
      <w:rFonts w:ascii="Century Gothic" w:hAnsi="Century Gothic"/>
      <w:b/>
      <w:spacing w:val="-20"/>
      <w:sz w:val="22"/>
    </w:rPr>
  </w:style>
  <w:style w:type="paragraph" w:styleId="Ttulo4">
    <w:name w:val="heading 4"/>
    <w:basedOn w:val="Normal"/>
    <w:next w:val="Normal"/>
    <w:link w:val="Ttulo4Car"/>
    <w:semiHidden/>
    <w:unhideWhenUsed/>
    <w:qFormat/>
    <w:locked/>
    <w:rsid w:val="003900F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2F6E"/>
    <w:pPr>
      <w:tabs>
        <w:tab w:val="center" w:pos="4419"/>
        <w:tab w:val="right" w:pos="8838"/>
      </w:tabs>
    </w:pPr>
  </w:style>
  <w:style w:type="character" w:styleId="Nmerodepgina">
    <w:name w:val="page number"/>
    <w:rsid w:val="00F72F6E"/>
    <w:rPr>
      <w:rFonts w:cs="Times New Roman"/>
    </w:rPr>
  </w:style>
  <w:style w:type="paragraph" w:styleId="Piedepgina">
    <w:name w:val="footer"/>
    <w:basedOn w:val="Normal"/>
    <w:rsid w:val="00F72F6E"/>
    <w:pPr>
      <w:tabs>
        <w:tab w:val="center" w:pos="4419"/>
        <w:tab w:val="right" w:pos="8838"/>
      </w:tabs>
    </w:pPr>
  </w:style>
  <w:style w:type="paragraph" w:customStyle="1" w:styleId="BodyText21">
    <w:name w:val="Body Text 21"/>
    <w:basedOn w:val="Normal"/>
    <w:rsid w:val="00F72F6E"/>
    <w:pPr>
      <w:spacing w:line="360" w:lineRule="auto"/>
      <w:ind w:firstLine="2835"/>
      <w:jc w:val="both"/>
    </w:pPr>
    <w:rPr>
      <w:rFonts w:ascii="Arial Narrow" w:hAnsi="Arial Narrow"/>
      <w:sz w:val="24"/>
    </w:rPr>
  </w:style>
  <w:style w:type="paragraph" w:customStyle="1" w:styleId="BodyText22">
    <w:name w:val="Body Text 22"/>
    <w:basedOn w:val="Normal"/>
    <w:rsid w:val="00F72F6E"/>
    <w:pPr>
      <w:ind w:firstLine="2835"/>
      <w:jc w:val="both"/>
    </w:pPr>
    <w:rPr>
      <w:i/>
      <w:sz w:val="24"/>
      <w:lang w:val="es-MX"/>
    </w:rPr>
  </w:style>
  <w:style w:type="character" w:customStyle="1" w:styleId="textonavy">
    <w:name w:val="texto_navy"/>
    <w:rsid w:val="00FE74CD"/>
    <w:rPr>
      <w:rFonts w:cs="Times New Roman"/>
    </w:rPr>
  </w:style>
  <w:style w:type="character" w:customStyle="1" w:styleId="apple-converted-space">
    <w:name w:val="apple-converted-space"/>
    <w:rsid w:val="00FE74CD"/>
    <w:rPr>
      <w:rFonts w:cs="Times New Roman"/>
    </w:rPr>
  </w:style>
  <w:style w:type="character" w:styleId="Hipervnculo">
    <w:name w:val="Hyperlink"/>
    <w:rsid w:val="00FE74CD"/>
    <w:rPr>
      <w:rFonts w:cs="Times New Roman"/>
      <w:color w:val="0000FF"/>
      <w:u w:val="single"/>
    </w:rPr>
  </w:style>
  <w:style w:type="character" w:customStyle="1" w:styleId="textored">
    <w:name w:val="texto_red"/>
    <w:rsid w:val="00FE74CD"/>
    <w:rPr>
      <w:rFonts w:cs="Times New Roman"/>
    </w:rPr>
  </w:style>
  <w:style w:type="character" w:customStyle="1" w:styleId="apple-style-span">
    <w:name w:val="apple-style-span"/>
    <w:rsid w:val="00EA3DC7"/>
    <w:rPr>
      <w:rFonts w:cs="Times New Roman"/>
    </w:rPr>
  </w:style>
  <w:style w:type="paragraph" w:customStyle="1" w:styleId="Prrafodelista1">
    <w:name w:val="Párrafo de lista1"/>
    <w:basedOn w:val="Normal"/>
    <w:rsid w:val="00633CE9"/>
    <w:pPr>
      <w:ind w:left="720"/>
      <w:contextualSpacing/>
    </w:p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texto de nota al pi"/>
    <w:basedOn w:val="Normal"/>
    <w:link w:val="TextonotapieCar1"/>
    <w:qFormat/>
    <w:rsid w:val="00461BF7"/>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link w:val="4GChar"/>
    <w:uiPriority w:val="99"/>
    <w:qFormat/>
    <w:rsid w:val="00461BF7"/>
    <w:rPr>
      <w:vertAlign w:val="superscript"/>
    </w:rPr>
  </w:style>
  <w:style w:type="paragraph" w:customStyle="1" w:styleId="bodytext210">
    <w:name w:val="bodytext21"/>
    <w:basedOn w:val="Normal"/>
    <w:rsid w:val="00A52C77"/>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texto de nota al pi Car"/>
    <w:link w:val="Textonotapie"/>
    <w:locked/>
    <w:rsid w:val="00F2402B"/>
    <w:rPr>
      <w:lang w:val="es-CO" w:eastAsia="es-ES" w:bidi="ar-SA"/>
    </w:rPr>
  </w:style>
  <w:style w:type="character" w:customStyle="1" w:styleId="fontstyle01">
    <w:name w:val="fontstyle01"/>
    <w:rsid w:val="00BC3521"/>
    <w:rPr>
      <w:rFonts w:ascii="TimesNewRomanPSMT" w:hAnsi="TimesNewRomanPSMT" w:hint="default"/>
      <w:b w:val="0"/>
      <w:bCs w:val="0"/>
      <w:i w:val="0"/>
      <w:iCs w:val="0"/>
      <w:color w:val="242021"/>
      <w:sz w:val="24"/>
      <w:szCs w:val="24"/>
    </w:rPr>
  </w:style>
  <w:style w:type="character" w:customStyle="1" w:styleId="fontstyle21">
    <w:name w:val="fontstyle21"/>
    <w:rsid w:val="0031283D"/>
    <w:rPr>
      <w:rFonts w:ascii="TimesNewRomanPS-BoldItalicMT" w:hAnsi="TimesNewRomanPS-BoldItalicMT" w:hint="default"/>
      <w:b/>
      <w:bCs/>
      <w:i/>
      <w:iCs/>
      <w:color w:val="242021"/>
      <w:sz w:val="16"/>
      <w:szCs w:val="16"/>
    </w:rPr>
  </w:style>
  <w:style w:type="character" w:customStyle="1" w:styleId="fontstyle31">
    <w:name w:val="fontstyle31"/>
    <w:rsid w:val="0031283D"/>
    <w:rPr>
      <w:rFonts w:ascii="ArialMT" w:hAnsi="ArialMT" w:hint="default"/>
      <w:b w:val="0"/>
      <w:bCs w:val="0"/>
      <w:i w:val="0"/>
      <w:iCs w:val="0"/>
      <w:color w:val="242021"/>
      <w:sz w:val="18"/>
      <w:szCs w:val="18"/>
    </w:rPr>
  </w:style>
  <w:style w:type="paragraph" w:styleId="NormalWeb">
    <w:name w:val="Normal (Web)"/>
    <w:basedOn w:val="Normal"/>
    <w:uiPriority w:val="99"/>
    <w:unhideWhenUsed/>
    <w:rsid w:val="007905D6"/>
    <w:pPr>
      <w:overflowPunct/>
      <w:autoSpaceDE/>
      <w:autoSpaceDN/>
      <w:adjustRightInd/>
      <w:spacing w:before="100" w:beforeAutospacing="1" w:after="100" w:afterAutospacing="1"/>
      <w:textAlignment w:val="auto"/>
    </w:pPr>
    <w:rPr>
      <w:sz w:val="24"/>
      <w:szCs w:val="24"/>
      <w:lang w:val="en-US" w:eastAsia="en-US"/>
    </w:rPr>
  </w:style>
  <w:style w:type="character" w:styleId="Textoennegrita">
    <w:name w:val="Strong"/>
    <w:uiPriority w:val="22"/>
    <w:qFormat/>
    <w:locked/>
    <w:rsid w:val="007905D6"/>
    <w:rPr>
      <w:b/>
      <w:bCs/>
    </w:rPr>
  </w:style>
  <w:style w:type="paragraph" w:customStyle="1" w:styleId="ListParagraph0">
    <w:name w:val="List Paragraph0"/>
    <w:basedOn w:val="Normal"/>
    <w:uiPriority w:val="34"/>
    <w:qFormat/>
    <w:rsid w:val="003E40EB"/>
    <w:pPr>
      <w:ind w:left="708"/>
      <w:textAlignment w:val="auto"/>
    </w:pPr>
    <w:rPr>
      <w:rFonts w:ascii="Comic Sans MS" w:hAnsi="Comic Sans MS"/>
      <w:sz w:val="24"/>
      <w:lang w:val="es-ES_tradnl"/>
    </w:rPr>
  </w:style>
  <w:style w:type="character" w:customStyle="1" w:styleId="Ttulo4Car">
    <w:name w:val="Título 4 Car"/>
    <w:link w:val="Ttulo4"/>
    <w:semiHidden/>
    <w:rsid w:val="003900FF"/>
    <w:rPr>
      <w:rFonts w:ascii="Calibri" w:eastAsia="Times New Roman" w:hAnsi="Calibri" w:cs="Times New Roman"/>
      <w:b/>
      <w:bCs/>
      <w:sz w:val="28"/>
      <w:szCs w:val="28"/>
      <w:lang w:eastAsia="es-ES"/>
    </w:rPr>
  </w:style>
  <w:style w:type="paragraph" w:styleId="Textoindependiente">
    <w:name w:val="Body Text"/>
    <w:basedOn w:val="Normal"/>
    <w:link w:val="TextoindependienteCar"/>
    <w:rsid w:val="003900FF"/>
    <w:pPr>
      <w:overflowPunct/>
      <w:autoSpaceDE/>
      <w:autoSpaceDN/>
      <w:adjustRightInd/>
      <w:spacing w:line="360" w:lineRule="auto"/>
      <w:jc w:val="both"/>
      <w:textAlignment w:val="auto"/>
    </w:pPr>
    <w:rPr>
      <w:rFonts w:ascii="Century Gothic" w:hAnsi="Century Gothic"/>
      <w:sz w:val="28"/>
      <w:lang w:val="es-ES" w:eastAsia="x-none"/>
    </w:rPr>
  </w:style>
  <w:style w:type="character" w:customStyle="1" w:styleId="TextoindependienteCar">
    <w:name w:val="Texto independiente Car"/>
    <w:link w:val="Textoindependiente"/>
    <w:rsid w:val="003900FF"/>
    <w:rPr>
      <w:rFonts w:ascii="Century Gothic" w:hAnsi="Century Gothic"/>
      <w:sz w:val="28"/>
      <w:lang w:val="es-ES" w:eastAsia="x-none"/>
    </w:rPr>
  </w:style>
  <w:style w:type="paragraph" w:customStyle="1" w:styleId="Sinespaciado1">
    <w:name w:val="Sin espaciado1"/>
    <w:rsid w:val="003900FF"/>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4919DD"/>
    <w:pPr>
      <w:overflowPunct/>
      <w:autoSpaceDE/>
      <w:autoSpaceDN/>
      <w:adjustRightInd/>
      <w:spacing w:after="120" w:line="480" w:lineRule="auto"/>
      <w:ind w:left="283"/>
      <w:textAlignment w:val="auto"/>
    </w:pPr>
    <w:rPr>
      <w:rFonts w:ascii="Calibri" w:hAnsi="Calibri"/>
      <w:sz w:val="22"/>
      <w:szCs w:val="22"/>
      <w:lang w:val="x-none" w:eastAsia="x-none"/>
    </w:rPr>
  </w:style>
  <w:style w:type="character" w:customStyle="1" w:styleId="Sangra2detindependienteCar">
    <w:name w:val="Sangría 2 de t. independiente Car"/>
    <w:link w:val="Sangra2detindependiente"/>
    <w:uiPriority w:val="99"/>
    <w:rsid w:val="004919DD"/>
    <w:rPr>
      <w:rFonts w:ascii="Calibri" w:hAnsi="Calibri"/>
      <w:sz w:val="22"/>
      <w:szCs w:val="22"/>
      <w:lang w:val="x-none"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919DD"/>
    <w:pPr>
      <w:overflowPunct/>
      <w:autoSpaceDE/>
      <w:autoSpaceDN/>
      <w:adjustRightInd/>
      <w:textAlignment w:val="auto"/>
    </w:pPr>
    <w:rPr>
      <w:vertAlign w:val="superscript"/>
      <w:lang w:eastAsia="es-CO"/>
    </w:rPr>
  </w:style>
  <w:style w:type="paragraph" w:customStyle="1" w:styleId="Style1">
    <w:name w:val="Style 1"/>
    <w:basedOn w:val="Normal"/>
    <w:uiPriority w:val="99"/>
    <w:rsid w:val="004919DD"/>
    <w:pPr>
      <w:widowControl w:val="0"/>
      <w:overflowPunct/>
      <w:textAlignment w:val="auto"/>
    </w:pPr>
    <w:rPr>
      <w:lang w:val="en-US" w:eastAsia="es-CO"/>
    </w:rPr>
  </w:style>
  <w:style w:type="character" w:customStyle="1" w:styleId="CharacterStyle1">
    <w:name w:val="Character Style 1"/>
    <w:uiPriority w:val="99"/>
    <w:rsid w:val="004919DD"/>
    <w:rPr>
      <w:sz w:val="20"/>
    </w:rPr>
  </w:style>
  <w:style w:type="paragraph" w:styleId="Prrafodelista">
    <w:name w:val="List Paragraph"/>
    <w:basedOn w:val="Normal"/>
    <w:uiPriority w:val="34"/>
    <w:qFormat/>
    <w:rsid w:val="001114FC"/>
    <w:pPr>
      <w:ind w:left="720"/>
      <w:contextualSpacing/>
    </w:pPr>
  </w:style>
  <w:style w:type="character" w:customStyle="1" w:styleId="Mencinsinresolver1">
    <w:name w:val="Mención sin resolver1"/>
    <w:basedOn w:val="Fuentedeprrafopredeter"/>
    <w:uiPriority w:val="99"/>
    <w:semiHidden/>
    <w:unhideWhenUsed/>
    <w:rsid w:val="00834782"/>
    <w:rPr>
      <w:color w:val="605E5C"/>
      <w:shd w:val="clear" w:color="auto" w:fill="E1DFDD"/>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341010257">
      <w:bodyDiv w:val="1"/>
      <w:marLeft w:val="0"/>
      <w:marRight w:val="0"/>
      <w:marTop w:val="0"/>
      <w:marBottom w:val="0"/>
      <w:divBdr>
        <w:top w:val="none" w:sz="0" w:space="0" w:color="auto"/>
        <w:left w:val="none" w:sz="0" w:space="0" w:color="auto"/>
        <w:bottom w:val="none" w:sz="0" w:space="0" w:color="auto"/>
        <w:right w:val="none" w:sz="0" w:space="0" w:color="auto"/>
      </w:divBdr>
    </w:div>
    <w:div w:id="785080473">
      <w:bodyDiv w:val="1"/>
      <w:marLeft w:val="0"/>
      <w:marRight w:val="0"/>
      <w:marTop w:val="0"/>
      <w:marBottom w:val="0"/>
      <w:divBdr>
        <w:top w:val="none" w:sz="0" w:space="0" w:color="auto"/>
        <w:left w:val="none" w:sz="0" w:space="0" w:color="auto"/>
        <w:bottom w:val="none" w:sz="0" w:space="0" w:color="auto"/>
        <w:right w:val="none" w:sz="0" w:space="0" w:color="auto"/>
      </w:divBdr>
    </w:div>
    <w:div w:id="976303459">
      <w:bodyDiv w:val="1"/>
      <w:marLeft w:val="0"/>
      <w:marRight w:val="0"/>
      <w:marTop w:val="0"/>
      <w:marBottom w:val="0"/>
      <w:divBdr>
        <w:top w:val="none" w:sz="0" w:space="0" w:color="auto"/>
        <w:left w:val="none" w:sz="0" w:space="0" w:color="auto"/>
        <w:bottom w:val="none" w:sz="0" w:space="0" w:color="auto"/>
        <w:right w:val="none" w:sz="0" w:space="0" w:color="auto"/>
      </w:divBdr>
    </w:div>
    <w:div w:id="1181428516">
      <w:bodyDiv w:val="1"/>
      <w:marLeft w:val="0"/>
      <w:marRight w:val="0"/>
      <w:marTop w:val="0"/>
      <w:marBottom w:val="0"/>
      <w:divBdr>
        <w:top w:val="none" w:sz="0" w:space="0" w:color="auto"/>
        <w:left w:val="none" w:sz="0" w:space="0" w:color="auto"/>
        <w:bottom w:val="none" w:sz="0" w:space="0" w:color="auto"/>
        <w:right w:val="none" w:sz="0" w:space="0" w:color="auto"/>
      </w:divBdr>
    </w:div>
    <w:div w:id="1496192110">
      <w:bodyDiv w:val="1"/>
      <w:marLeft w:val="0"/>
      <w:marRight w:val="0"/>
      <w:marTop w:val="0"/>
      <w:marBottom w:val="0"/>
      <w:divBdr>
        <w:top w:val="none" w:sz="0" w:space="0" w:color="auto"/>
        <w:left w:val="none" w:sz="0" w:space="0" w:color="auto"/>
        <w:bottom w:val="none" w:sz="0" w:space="0" w:color="auto"/>
        <w:right w:val="none" w:sz="0" w:space="0" w:color="auto"/>
      </w:divBdr>
    </w:div>
    <w:div w:id="16265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financiera.gov.co/ABCD/superfinanciera/php/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7847-325F-4A1A-8602-CE8301B139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DDE85E-DAAE-454C-90E2-9689B17F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E5986-700E-48AA-8EA0-F18CB5615989}">
  <ds:schemaRefs>
    <ds:schemaRef ds:uri="http://schemas.microsoft.com/sharepoint/v3/contenttype/forms"/>
  </ds:schemaRefs>
</ds:datastoreItem>
</file>

<file path=customXml/itemProps4.xml><?xml version="1.0" encoding="utf-8"?>
<ds:datastoreItem xmlns:ds="http://schemas.openxmlformats.org/officeDocument/2006/customXml" ds:itemID="{CF9F3DFA-C705-46CE-9D36-0FCECEDE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6906</Words>
  <Characters>37983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Prescripción: interrupción; alcance frente a deudores cambiarios solidarios</dc:subject>
  <dc:creator>.</dc:creator>
  <cp:keywords>Prescripción</cp:keywords>
  <dc:description>Interrupción de la prescripción.Alcance de la prescripción respecto de deudores cambiarios solidarios</dc:description>
  <cp:lastModifiedBy>Hermides Alonso Gaviria Ocampo</cp:lastModifiedBy>
  <cp:revision>6</cp:revision>
  <cp:lastPrinted>2012-07-23T14:41:00Z</cp:lastPrinted>
  <dcterms:created xsi:type="dcterms:W3CDTF">2021-03-25T13:39:00Z</dcterms:created>
  <dcterms:modified xsi:type="dcterms:W3CDTF">2022-03-02T14:57:00Z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