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9B5AE" w14:textId="77777777" w:rsidR="00412B75" w:rsidRPr="00412B75" w:rsidRDefault="00412B75" w:rsidP="00412B7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CO" w:eastAsia="fr-FR"/>
        </w:rPr>
      </w:pPr>
      <w:bookmarkStart w:id="0" w:name="_Hlk69670443"/>
      <w:r w:rsidRPr="00412B75">
        <w:rPr>
          <w:rFonts w:ascii="Arial" w:eastAsia="Times New Roman" w:hAnsi="Arial" w:cs="Arial"/>
          <w:color w:val="FF0000"/>
          <w:spacing w:val="-2"/>
          <w:sz w:val="18"/>
          <w:szCs w:val="18"/>
          <w:lang w:val="es-CO" w:eastAsia="fr-FR"/>
        </w:rPr>
        <w:t>El siguiente es el documento presentado por el Magistrado Ponente que sirvió de base para proferir la providencia dentro del presente proceso.  El contenido total y fiel de la decisión debe ser verificado en la respectiva Secretaría.</w:t>
      </w:r>
    </w:p>
    <w:p w14:paraId="72BBBF95" w14:textId="77777777" w:rsidR="00412B75" w:rsidRPr="00412B75" w:rsidRDefault="00412B75" w:rsidP="00412B75">
      <w:pPr>
        <w:spacing w:after="0" w:line="240" w:lineRule="auto"/>
        <w:jc w:val="both"/>
        <w:rPr>
          <w:rFonts w:ascii="Arial" w:eastAsia="Times New Roman" w:hAnsi="Arial" w:cs="Arial"/>
          <w:sz w:val="20"/>
          <w:szCs w:val="20"/>
          <w:lang w:val="es-CO" w:eastAsia="es-ES"/>
        </w:rPr>
      </w:pPr>
    </w:p>
    <w:p w14:paraId="27B19C22" w14:textId="44AC2BBF" w:rsidR="00412B75" w:rsidRPr="00412B75" w:rsidRDefault="00412B75" w:rsidP="00412B75">
      <w:pPr>
        <w:spacing w:after="0" w:line="240" w:lineRule="auto"/>
        <w:jc w:val="both"/>
        <w:rPr>
          <w:rFonts w:ascii="Arial" w:eastAsia="Times New Roman" w:hAnsi="Arial" w:cs="Arial"/>
          <w:b/>
          <w:bCs/>
          <w:iCs/>
          <w:sz w:val="20"/>
          <w:szCs w:val="20"/>
          <w:lang w:val="es-CO" w:eastAsia="fr-FR"/>
        </w:rPr>
      </w:pPr>
      <w:r w:rsidRPr="00412B75">
        <w:rPr>
          <w:rFonts w:ascii="Arial" w:eastAsia="Times New Roman" w:hAnsi="Arial" w:cs="Arial"/>
          <w:b/>
          <w:bCs/>
          <w:iCs/>
          <w:sz w:val="20"/>
          <w:szCs w:val="20"/>
          <w:u w:val="single"/>
          <w:lang w:val="es-CO" w:eastAsia="fr-FR"/>
        </w:rPr>
        <w:t>TEMAS:</w:t>
      </w:r>
      <w:r w:rsidRPr="00412B75">
        <w:rPr>
          <w:rFonts w:ascii="Arial" w:eastAsia="Times New Roman" w:hAnsi="Arial" w:cs="Arial"/>
          <w:b/>
          <w:bCs/>
          <w:iCs/>
          <w:sz w:val="20"/>
          <w:szCs w:val="20"/>
          <w:lang w:val="es-CO" w:eastAsia="fr-FR"/>
        </w:rPr>
        <w:tab/>
      </w:r>
      <w:r w:rsidR="00E941B0">
        <w:rPr>
          <w:rFonts w:ascii="Arial" w:eastAsia="Times New Roman" w:hAnsi="Arial" w:cs="Arial"/>
          <w:b/>
          <w:bCs/>
          <w:iCs/>
          <w:sz w:val="20"/>
          <w:szCs w:val="20"/>
          <w:lang w:val="es-CO" w:eastAsia="fr-FR"/>
        </w:rPr>
        <w:t xml:space="preserve">RECURSO DE SÚPLICA / CASOS EN QUE PROCEDE / </w:t>
      </w:r>
      <w:r w:rsidR="00C43FAA">
        <w:rPr>
          <w:rFonts w:ascii="Arial" w:eastAsia="Times New Roman" w:hAnsi="Arial" w:cs="Arial"/>
          <w:b/>
          <w:bCs/>
          <w:iCs/>
          <w:sz w:val="20"/>
          <w:szCs w:val="20"/>
          <w:lang w:val="es-CO" w:eastAsia="fr-FR"/>
        </w:rPr>
        <w:t>NO INCLUYE EL AUTO QUE DA POR SUSTENTAD</w:t>
      </w:r>
      <w:r w:rsidR="00AB25DB">
        <w:rPr>
          <w:rFonts w:ascii="Arial" w:eastAsia="Times New Roman" w:hAnsi="Arial" w:cs="Arial"/>
          <w:b/>
          <w:bCs/>
          <w:iCs/>
          <w:sz w:val="20"/>
          <w:szCs w:val="20"/>
          <w:lang w:val="es-CO" w:eastAsia="fr-FR"/>
        </w:rPr>
        <w:t>A LA APELACIÓN</w:t>
      </w:r>
      <w:r w:rsidR="00C43FAA">
        <w:rPr>
          <w:rFonts w:ascii="Arial" w:eastAsia="Times New Roman" w:hAnsi="Arial" w:cs="Arial"/>
          <w:b/>
          <w:bCs/>
          <w:iCs/>
          <w:sz w:val="20"/>
          <w:szCs w:val="20"/>
          <w:lang w:val="es-CO" w:eastAsia="fr-FR"/>
        </w:rPr>
        <w:t xml:space="preserve"> / CORRESPONDE DECIDIRLO COMO RECURSO DE REPOSICIÓN.</w:t>
      </w:r>
    </w:p>
    <w:p w14:paraId="63BF987F" w14:textId="77777777" w:rsidR="00412B75" w:rsidRPr="00412B75" w:rsidRDefault="00412B75" w:rsidP="00412B75">
      <w:pPr>
        <w:spacing w:after="0" w:line="240" w:lineRule="auto"/>
        <w:jc w:val="both"/>
        <w:rPr>
          <w:rFonts w:ascii="Arial" w:eastAsia="Times New Roman" w:hAnsi="Arial" w:cs="Arial"/>
          <w:sz w:val="20"/>
          <w:szCs w:val="20"/>
          <w:lang w:val="es-CO" w:eastAsia="es-ES"/>
        </w:rPr>
      </w:pPr>
    </w:p>
    <w:p w14:paraId="38CDEC70" w14:textId="07F3A59B" w:rsidR="009869E1" w:rsidRPr="009869E1" w:rsidRDefault="009869E1" w:rsidP="009869E1">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9869E1">
        <w:rPr>
          <w:rFonts w:ascii="Arial" w:eastAsia="Times New Roman" w:hAnsi="Arial" w:cs="Arial"/>
          <w:sz w:val="20"/>
          <w:szCs w:val="20"/>
          <w:lang w:val="es-CO" w:eastAsia="es-ES"/>
        </w:rPr>
        <w:t xml:space="preserve">la norma parte de unas premisas claras: (i) que se trate de una decisión de magistrado sustanciador, no de la sala en conjunto; (ii) que se dé en el curso de la segunda instancia (un recurso de apelación) o en única instancia, o durante el trámite de un recurso extraordinario (casación o revisión, por ejemplo); (iii)  que el auto por su naturaleza sea apelable, porque si no lo es, el recurso que procede es el de reposición. Todas estas condiciones deben ser concurrentes. </w:t>
      </w:r>
    </w:p>
    <w:p w14:paraId="4EF44C3E" w14:textId="77777777" w:rsidR="009869E1" w:rsidRPr="009869E1" w:rsidRDefault="009869E1" w:rsidP="009869E1">
      <w:pPr>
        <w:spacing w:after="0" w:line="240" w:lineRule="auto"/>
        <w:jc w:val="both"/>
        <w:rPr>
          <w:rFonts w:ascii="Arial" w:eastAsia="Times New Roman" w:hAnsi="Arial" w:cs="Arial"/>
          <w:sz w:val="20"/>
          <w:szCs w:val="20"/>
          <w:lang w:val="es-CO" w:eastAsia="es-ES"/>
        </w:rPr>
      </w:pPr>
    </w:p>
    <w:p w14:paraId="484A194D" w14:textId="4ED9CDBE" w:rsidR="00412B75" w:rsidRPr="00412B75" w:rsidRDefault="009869E1" w:rsidP="009869E1">
      <w:pPr>
        <w:spacing w:after="0" w:line="240" w:lineRule="auto"/>
        <w:jc w:val="both"/>
        <w:rPr>
          <w:rFonts w:ascii="Arial" w:eastAsia="Times New Roman" w:hAnsi="Arial" w:cs="Arial"/>
          <w:sz w:val="20"/>
          <w:szCs w:val="20"/>
          <w:lang w:val="es-CO" w:eastAsia="es-ES"/>
        </w:rPr>
      </w:pPr>
      <w:r w:rsidRPr="009869E1">
        <w:rPr>
          <w:rFonts w:ascii="Arial" w:eastAsia="Times New Roman" w:hAnsi="Arial" w:cs="Arial"/>
          <w:sz w:val="20"/>
          <w:szCs w:val="20"/>
          <w:lang w:val="es-CO" w:eastAsia="es-ES"/>
        </w:rPr>
        <w:t>Pero, además, la norma señala que es también pasible de súplica el auto con el que se decida sobre la admisión del recurso de apelación</w:t>
      </w:r>
      <w:r>
        <w:rPr>
          <w:rFonts w:ascii="Arial" w:eastAsia="Times New Roman" w:hAnsi="Arial" w:cs="Arial"/>
          <w:sz w:val="20"/>
          <w:szCs w:val="20"/>
          <w:lang w:val="es-CO" w:eastAsia="es-ES"/>
        </w:rPr>
        <w:t>…</w:t>
      </w:r>
    </w:p>
    <w:p w14:paraId="5DB97EA8" w14:textId="77777777" w:rsidR="00412B75" w:rsidRPr="00412B75" w:rsidRDefault="00412B75" w:rsidP="00412B75">
      <w:pPr>
        <w:spacing w:after="0" w:line="240" w:lineRule="auto"/>
        <w:jc w:val="both"/>
        <w:rPr>
          <w:rFonts w:ascii="Arial" w:eastAsia="Times New Roman" w:hAnsi="Arial" w:cs="Arial"/>
          <w:sz w:val="20"/>
          <w:szCs w:val="20"/>
          <w:lang w:val="es-CO" w:eastAsia="es-ES"/>
        </w:rPr>
      </w:pPr>
    </w:p>
    <w:p w14:paraId="303CCB26" w14:textId="58E35507" w:rsidR="00412B75" w:rsidRPr="00412B75" w:rsidRDefault="00E941B0" w:rsidP="00412B75">
      <w:pPr>
        <w:spacing w:after="0" w:line="240" w:lineRule="auto"/>
        <w:jc w:val="both"/>
        <w:rPr>
          <w:rFonts w:ascii="Arial" w:eastAsia="Times New Roman" w:hAnsi="Arial" w:cs="Arial"/>
          <w:sz w:val="20"/>
          <w:szCs w:val="20"/>
          <w:lang w:val="es-CO" w:eastAsia="es-ES"/>
        </w:rPr>
      </w:pPr>
      <w:r w:rsidRPr="00E941B0">
        <w:rPr>
          <w:rFonts w:ascii="Arial" w:eastAsia="Times New Roman" w:hAnsi="Arial" w:cs="Arial"/>
          <w:sz w:val="20"/>
          <w:szCs w:val="20"/>
          <w:lang w:val="es-CO" w:eastAsia="es-ES"/>
        </w:rPr>
        <w:t>Puestos en esa dirección, el auto que decide tener por sustentado oportunamente el recurso de apelación, no es de aquellos que por su naturaleza sean apelables, en los términos del artículo 321 del CGP o de otra norma especial</w:t>
      </w:r>
      <w:r>
        <w:rPr>
          <w:rFonts w:ascii="Arial" w:eastAsia="Times New Roman" w:hAnsi="Arial" w:cs="Arial"/>
          <w:sz w:val="20"/>
          <w:szCs w:val="20"/>
          <w:lang w:val="es-CO" w:eastAsia="es-ES"/>
        </w:rPr>
        <w:t>…</w:t>
      </w:r>
    </w:p>
    <w:p w14:paraId="274A3BA9" w14:textId="77777777" w:rsidR="00412B75" w:rsidRPr="00412B75" w:rsidRDefault="00412B75" w:rsidP="00412B75">
      <w:pPr>
        <w:spacing w:after="0" w:line="240" w:lineRule="auto"/>
        <w:jc w:val="both"/>
        <w:rPr>
          <w:rFonts w:ascii="Arial" w:eastAsia="Times New Roman" w:hAnsi="Arial" w:cs="Arial"/>
          <w:sz w:val="20"/>
          <w:szCs w:val="20"/>
          <w:lang w:val="es-CO" w:eastAsia="es-ES"/>
        </w:rPr>
      </w:pPr>
    </w:p>
    <w:p w14:paraId="65DF877A" w14:textId="2ED3BC17" w:rsidR="00412B75" w:rsidRPr="00412B75" w:rsidRDefault="00E941B0" w:rsidP="00412B75">
      <w:pPr>
        <w:spacing w:after="0" w:line="240" w:lineRule="auto"/>
        <w:jc w:val="both"/>
        <w:rPr>
          <w:rFonts w:ascii="Arial" w:eastAsia="Times New Roman" w:hAnsi="Arial" w:cs="Arial"/>
          <w:sz w:val="20"/>
          <w:szCs w:val="20"/>
          <w:lang w:val="es-CO" w:eastAsia="es-ES"/>
        </w:rPr>
      </w:pPr>
      <w:r w:rsidRPr="00E941B0">
        <w:rPr>
          <w:rFonts w:ascii="Arial" w:eastAsia="Times New Roman" w:hAnsi="Arial" w:cs="Arial"/>
          <w:sz w:val="20"/>
          <w:szCs w:val="20"/>
          <w:lang w:val="es-CO" w:eastAsia="es-ES"/>
        </w:rPr>
        <w:t>Como se puede ver, entonces, cuando el magistrado estima que el recurso -que ya ha sido admitido- cumplió la carga de la sustentación, es evidente que no se está pronunciando, valga insistir en ello, sobre la admisión misma, con lo cual, tampoco en este evento tiene cabida el recurso de súplica.</w:t>
      </w:r>
    </w:p>
    <w:p w14:paraId="4B5D3F4B" w14:textId="77777777" w:rsidR="00412B75" w:rsidRPr="00412B75" w:rsidRDefault="00412B75" w:rsidP="00412B75">
      <w:pPr>
        <w:spacing w:after="0" w:line="240" w:lineRule="auto"/>
        <w:jc w:val="both"/>
        <w:rPr>
          <w:rFonts w:ascii="Arial" w:eastAsia="Times New Roman" w:hAnsi="Arial" w:cs="Arial"/>
          <w:sz w:val="20"/>
          <w:szCs w:val="20"/>
          <w:lang w:val="es-CO" w:eastAsia="es-ES"/>
        </w:rPr>
      </w:pPr>
    </w:p>
    <w:p w14:paraId="5351F045" w14:textId="1D1E2598" w:rsidR="00412B75" w:rsidRDefault="00C43FAA" w:rsidP="00412B75">
      <w:pPr>
        <w:spacing w:after="0" w:line="240" w:lineRule="auto"/>
        <w:jc w:val="both"/>
        <w:rPr>
          <w:rFonts w:ascii="Arial" w:eastAsia="Times New Roman" w:hAnsi="Arial" w:cs="Arial"/>
          <w:sz w:val="20"/>
          <w:szCs w:val="20"/>
          <w:lang w:val="es-CO" w:eastAsia="es-ES"/>
        </w:rPr>
      </w:pPr>
      <w:r w:rsidRPr="00C43FAA">
        <w:rPr>
          <w:rFonts w:ascii="Arial" w:eastAsia="Times New Roman" w:hAnsi="Arial" w:cs="Arial"/>
          <w:sz w:val="20"/>
          <w:szCs w:val="20"/>
          <w:lang w:val="es-CO" w:eastAsia="es-ES"/>
        </w:rPr>
        <w:t>Consecuencialmente, lo que queda es darle aplicación a lo que se ha dado en denominar el recurso paralelo, señalado en el parágrafo del artículo 318 del CGP, norma en virtud de la cual, si el recurrente impugna una providencia mediante un recurso improcedente, el juez debe darle el trámite que le corresponda</w:t>
      </w:r>
      <w:r>
        <w:rPr>
          <w:rFonts w:ascii="Arial" w:eastAsia="Times New Roman" w:hAnsi="Arial" w:cs="Arial"/>
          <w:sz w:val="20"/>
          <w:szCs w:val="20"/>
          <w:lang w:val="es-CO" w:eastAsia="es-ES"/>
        </w:rPr>
        <w:t>…</w:t>
      </w:r>
    </w:p>
    <w:p w14:paraId="5DC5EE4F" w14:textId="0D54438A" w:rsidR="00C43FAA" w:rsidRDefault="00C43FAA" w:rsidP="00412B75">
      <w:pPr>
        <w:spacing w:after="0" w:line="240" w:lineRule="auto"/>
        <w:jc w:val="both"/>
        <w:rPr>
          <w:rFonts w:ascii="Arial" w:eastAsia="Times New Roman" w:hAnsi="Arial" w:cs="Arial"/>
          <w:sz w:val="20"/>
          <w:szCs w:val="20"/>
          <w:lang w:val="es-CO" w:eastAsia="es-ES"/>
        </w:rPr>
      </w:pPr>
    </w:p>
    <w:p w14:paraId="74AFBBC1" w14:textId="77777777" w:rsidR="00C43FAA" w:rsidRPr="00412B75" w:rsidRDefault="00C43FAA" w:rsidP="00412B75">
      <w:pPr>
        <w:spacing w:after="0" w:line="240" w:lineRule="auto"/>
        <w:jc w:val="both"/>
        <w:rPr>
          <w:rFonts w:ascii="Arial" w:eastAsia="Times New Roman" w:hAnsi="Arial" w:cs="Arial"/>
          <w:sz w:val="20"/>
          <w:szCs w:val="20"/>
          <w:lang w:val="es-CO" w:eastAsia="es-ES"/>
        </w:rPr>
      </w:pPr>
    </w:p>
    <w:p w14:paraId="097B609C" w14:textId="77777777" w:rsidR="00412B75" w:rsidRPr="00412B75" w:rsidRDefault="00412B75" w:rsidP="00412B75">
      <w:pPr>
        <w:spacing w:after="0" w:line="240" w:lineRule="auto"/>
        <w:jc w:val="both"/>
        <w:rPr>
          <w:rFonts w:ascii="Arial" w:eastAsia="Times New Roman" w:hAnsi="Arial" w:cs="Arial"/>
          <w:sz w:val="20"/>
          <w:szCs w:val="20"/>
          <w:lang w:val="es-CO" w:eastAsia="es-ES"/>
        </w:rPr>
      </w:pPr>
    </w:p>
    <w:bookmarkEnd w:id="0"/>
    <w:p w14:paraId="64EA0D23" w14:textId="77777777" w:rsidR="008F1731" w:rsidRPr="00412B75" w:rsidRDefault="008F1731" w:rsidP="004734F2">
      <w:pPr>
        <w:tabs>
          <w:tab w:val="left" w:pos="2835"/>
        </w:tabs>
        <w:overflowPunct w:val="0"/>
        <w:autoSpaceDE w:val="0"/>
        <w:autoSpaceDN w:val="0"/>
        <w:adjustRightInd w:val="0"/>
        <w:spacing w:after="0" w:line="276" w:lineRule="auto"/>
        <w:ind w:firstLine="1701"/>
        <w:contextualSpacing/>
        <w:jc w:val="both"/>
        <w:rPr>
          <w:rFonts w:ascii="Gadugi" w:eastAsia="Times New Roman" w:hAnsi="Gadugi"/>
          <w:b/>
          <w:sz w:val="24"/>
          <w:szCs w:val="24"/>
          <w:lang w:val="es-CO" w:eastAsia="es-ES"/>
        </w:rPr>
      </w:pPr>
      <w:r w:rsidRPr="00412B75">
        <w:rPr>
          <w:rFonts w:ascii="Gadugi" w:eastAsia="Times New Roman" w:hAnsi="Gadugi"/>
          <w:b/>
          <w:sz w:val="24"/>
          <w:szCs w:val="24"/>
          <w:lang w:val="es-CO" w:eastAsia="es-ES"/>
        </w:rPr>
        <w:t>TRIBUNAL SUPERIOR DEL DISTRITO JUDICIAL</w:t>
      </w:r>
    </w:p>
    <w:p w14:paraId="0206E4AA" w14:textId="079B3DA8" w:rsidR="008F1731" w:rsidRPr="00412B75" w:rsidRDefault="008F1731" w:rsidP="004734F2">
      <w:pPr>
        <w:autoSpaceDN w:val="0"/>
        <w:spacing w:after="0" w:line="276" w:lineRule="auto"/>
        <w:ind w:right="284" w:firstLine="1701"/>
        <w:contextualSpacing/>
        <w:jc w:val="both"/>
        <w:rPr>
          <w:rFonts w:ascii="Gadugi" w:eastAsia="Times New Roman" w:hAnsi="Gadugi"/>
          <w:b/>
          <w:sz w:val="24"/>
          <w:szCs w:val="24"/>
          <w:lang w:val="es-CO" w:eastAsia="es-ES"/>
        </w:rPr>
      </w:pPr>
      <w:r w:rsidRPr="00412B75">
        <w:rPr>
          <w:rFonts w:ascii="Gadugi" w:eastAsia="Times New Roman" w:hAnsi="Gadugi"/>
          <w:b/>
          <w:sz w:val="24"/>
          <w:szCs w:val="24"/>
          <w:lang w:val="es-CO" w:eastAsia="es-ES"/>
        </w:rPr>
        <w:tab/>
        <w:t xml:space="preserve">   SALA DE </w:t>
      </w:r>
      <w:r w:rsidR="004734F2" w:rsidRPr="00412B75">
        <w:rPr>
          <w:rFonts w:ascii="Gadugi" w:eastAsia="Times New Roman" w:hAnsi="Gadugi"/>
          <w:b/>
          <w:sz w:val="24"/>
          <w:szCs w:val="24"/>
          <w:lang w:val="es-CO" w:eastAsia="es-ES"/>
        </w:rPr>
        <w:t>DECISIÓN CIVIL</w:t>
      </w:r>
      <w:r w:rsidRPr="00412B75">
        <w:rPr>
          <w:rFonts w:ascii="Gadugi" w:eastAsia="Times New Roman" w:hAnsi="Gadugi"/>
          <w:b/>
          <w:sz w:val="24"/>
          <w:szCs w:val="24"/>
          <w:lang w:val="es-CO" w:eastAsia="es-ES"/>
        </w:rPr>
        <w:t xml:space="preserve"> - FAMILIA</w:t>
      </w:r>
    </w:p>
    <w:p w14:paraId="5D7F0547" w14:textId="77777777" w:rsidR="008F1731" w:rsidRPr="00412B75" w:rsidRDefault="008F1731" w:rsidP="004734F2">
      <w:pPr>
        <w:autoSpaceDN w:val="0"/>
        <w:spacing w:after="0" w:line="276" w:lineRule="auto"/>
        <w:ind w:right="533" w:firstLine="1701"/>
        <w:contextualSpacing/>
        <w:jc w:val="both"/>
        <w:rPr>
          <w:rFonts w:ascii="Gadugi" w:eastAsia="Times New Roman" w:hAnsi="Gadugi"/>
          <w:b/>
          <w:sz w:val="24"/>
          <w:szCs w:val="24"/>
          <w:lang w:val="es-CO" w:eastAsia="es-ES"/>
        </w:rPr>
      </w:pPr>
    </w:p>
    <w:p w14:paraId="6CFA657C" w14:textId="77777777" w:rsidR="008F1731" w:rsidRPr="00412B75" w:rsidRDefault="008F1731" w:rsidP="004734F2">
      <w:pPr>
        <w:autoSpaceDN w:val="0"/>
        <w:spacing w:after="0" w:line="276" w:lineRule="auto"/>
        <w:ind w:right="533" w:firstLine="1701"/>
        <w:contextualSpacing/>
        <w:jc w:val="both"/>
        <w:rPr>
          <w:rFonts w:ascii="Gadugi" w:eastAsia="Times New Roman" w:hAnsi="Gadugi"/>
          <w:b/>
          <w:sz w:val="24"/>
          <w:szCs w:val="24"/>
          <w:lang w:val="es-CO" w:eastAsia="es-ES"/>
        </w:rPr>
      </w:pPr>
    </w:p>
    <w:p w14:paraId="5D143E15" w14:textId="77777777" w:rsidR="008F1731" w:rsidRPr="00412B75" w:rsidRDefault="008F1731" w:rsidP="004734F2">
      <w:pPr>
        <w:tabs>
          <w:tab w:val="left" w:pos="3969"/>
        </w:tabs>
        <w:autoSpaceDN w:val="0"/>
        <w:spacing w:after="0" w:line="276" w:lineRule="auto"/>
        <w:ind w:right="-142" w:firstLine="1701"/>
        <w:contextualSpacing/>
        <w:jc w:val="both"/>
        <w:rPr>
          <w:rFonts w:ascii="Gadugi" w:eastAsia="Times New Roman" w:hAnsi="Gadugi"/>
          <w:sz w:val="24"/>
          <w:szCs w:val="24"/>
          <w:lang w:val="es-CO" w:eastAsia="es-ES"/>
        </w:rPr>
      </w:pPr>
      <w:r w:rsidRPr="00412B75">
        <w:rPr>
          <w:rFonts w:ascii="Gadugi" w:eastAsia="Times New Roman" w:hAnsi="Gadugi"/>
          <w:sz w:val="24"/>
          <w:szCs w:val="24"/>
          <w:lang w:val="es-CO" w:eastAsia="es-ES"/>
        </w:rPr>
        <w:t xml:space="preserve">Magistrado: </w:t>
      </w:r>
      <w:r w:rsidRPr="00412B75">
        <w:rPr>
          <w:rFonts w:ascii="Gadugi" w:eastAsia="Times New Roman" w:hAnsi="Gadugi"/>
          <w:sz w:val="24"/>
          <w:szCs w:val="24"/>
          <w:lang w:val="es-CO" w:eastAsia="es-ES"/>
        </w:rPr>
        <w:tab/>
        <w:t>Jaime Alberto Saraza Naranjo</w:t>
      </w:r>
    </w:p>
    <w:p w14:paraId="6C9E852A" w14:textId="26B258E7" w:rsidR="008F1731" w:rsidRPr="00412B75" w:rsidRDefault="008F1731" w:rsidP="004734F2">
      <w:pPr>
        <w:tabs>
          <w:tab w:val="left" w:pos="3969"/>
        </w:tabs>
        <w:autoSpaceDN w:val="0"/>
        <w:spacing w:after="0" w:line="276" w:lineRule="auto"/>
        <w:ind w:right="-142" w:firstLine="1701"/>
        <w:contextualSpacing/>
        <w:jc w:val="both"/>
        <w:rPr>
          <w:rFonts w:ascii="Gadugi" w:eastAsia="Times New Roman" w:hAnsi="Gadugi"/>
          <w:sz w:val="24"/>
          <w:szCs w:val="24"/>
          <w:lang w:val="es-CO" w:eastAsia="es-ES"/>
        </w:rPr>
      </w:pPr>
      <w:r w:rsidRPr="00412B75">
        <w:rPr>
          <w:rFonts w:ascii="Gadugi" w:eastAsia="Times New Roman" w:hAnsi="Gadugi"/>
          <w:sz w:val="24"/>
          <w:szCs w:val="24"/>
          <w:lang w:val="es-CO" w:eastAsia="es-ES"/>
        </w:rPr>
        <w:t xml:space="preserve">Pereira, </w:t>
      </w:r>
      <w:r w:rsidRPr="00412B75">
        <w:rPr>
          <w:rFonts w:ascii="Gadugi" w:eastAsia="Times New Roman" w:hAnsi="Gadugi"/>
          <w:sz w:val="24"/>
          <w:szCs w:val="24"/>
          <w:lang w:val="es-CO" w:eastAsia="es-ES"/>
        </w:rPr>
        <w:tab/>
        <w:t xml:space="preserve">Agosto </w:t>
      </w:r>
      <w:r w:rsidR="00DD7656" w:rsidRPr="00412B75">
        <w:rPr>
          <w:rFonts w:ascii="Gadugi" w:eastAsia="Times New Roman" w:hAnsi="Gadugi"/>
          <w:sz w:val="24"/>
          <w:szCs w:val="24"/>
          <w:lang w:val="es-CO" w:eastAsia="es-ES"/>
        </w:rPr>
        <w:t xml:space="preserve">veinticinco </w:t>
      </w:r>
      <w:r w:rsidRPr="00412B75">
        <w:rPr>
          <w:rFonts w:ascii="Gadugi" w:eastAsia="Times New Roman" w:hAnsi="Gadugi"/>
          <w:sz w:val="24"/>
          <w:szCs w:val="24"/>
          <w:lang w:val="es-CO" w:eastAsia="es-ES"/>
        </w:rPr>
        <w:t>de dos mil veintiuno</w:t>
      </w:r>
    </w:p>
    <w:p w14:paraId="1CBDCEBE" w14:textId="77777777" w:rsidR="00376D40" w:rsidRPr="00412B75" w:rsidRDefault="00376D40" w:rsidP="004734F2">
      <w:pPr>
        <w:tabs>
          <w:tab w:val="left" w:pos="3969"/>
        </w:tabs>
        <w:autoSpaceDN w:val="0"/>
        <w:spacing w:after="0" w:line="276" w:lineRule="auto"/>
        <w:ind w:right="-142" w:firstLine="1701"/>
        <w:contextualSpacing/>
        <w:jc w:val="both"/>
        <w:rPr>
          <w:rFonts w:ascii="Gadugi" w:eastAsia="Times New Roman" w:hAnsi="Gadugi"/>
          <w:sz w:val="24"/>
          <w:szCs w:val="24"/>
          <w:lang w:val="es-CO" w:eastAsia="es-ES"/>
        </w:rPr>
      </w:pPr>
    </w:p>
    <w:p w14:paraId="18679EC9" w14:textId="0B9636B7" w:rsidR="008F1731" w:rsidRPr="00412B75" w:rsidRDefault="008F1731" w:rsidP="00A77CA9">
      <w:pPr>
        <w:tabs>
          <w:tab w:val="left" w:pos="3969"/>
        </w:tabs>
        <w:autoSpaceDN w:val="0"/>
        <w:spacing w:after="0" w:line="240" w:lineRule="auto"/>
        <w:ind w:right="-142" w:firstLine="1701"/>
        <w:contextualSpacing/>
        <w:jc w:val="both"/>
        <w:rPr>
          <w:rFonts w:ascii="Gadugi" w:eastAsia="Times New Roman" w:hAnsi="Gadugi"/>
          <w:szCs w:val="24"/>
          <w:lang w:val="es-CO" w:eastAsia="es-ES"/>
        </w:rPr>
      </w:pPr>
      <w:r w:rsidRPr="00412B75">
        <w:rPr>
          <w:rFonts w:ascii="Gadugi" w:eastAsia="Times New Roman" w:hAnsi="Gadugi"/>
          <w:szCs w:val="24"/>
          <w:lang w:val="es-CO" w:eastAsia="es-ES"/>
        </w:rPr>
        <w:t>R</w:t>
      </w:r>
      <w:r w:rsidR="008574D8" w:rsidRPr="00412B75">
        <w:rPr>
          <w:rFonts w:ascii="Gadugi" w:eastAsia="Times New Roman" w:hAnsi="Gadugi"/>
          <w:szCs w:val="24"/>
          <w:lang w:val="es-CO" w:eastAsia="es-ES"/>
        </w:rPr>
        <w:t>adicado:</w:t>
      </w:r>
      <w:r w:rsidR="008574D8" w:rsidRPr="00412B75">
        <w:rPr>
          <w:rFonts w:ascii="Gadugi" w:eastAsia="Times New Roman" w:hAnsi="Gadugi"/>
          <w:szCs w:val="24"/>
          <w:lang w:val="es-CO" w:eastAsia="es-ES"/>
        </w:rPr>
        <w:tab/>
        <w:t>66001310300520140017802</w:t>
      </w:r>
    </w:p>
    <w:p w14:paraId="5A4348AE" w14:textId="77777777" w:rsidR="008F1731" w:rsidRPr="00412B75" w:rsidRDefault="008574D8" w:rsidP="00A77CA9">
      <w:pPr>
        <w:tabs>
          <w:tab w:val="left" w:pos="3969"/>
        </w:tabs>
        <w:autoSpaceDN w:val="0"/>
        <w:spacing w:after="0" w:line="240" w:lineRule="auto"/>
        <w:ind w:right="-142" w:firstLine="1701"/>
        <w:contextualSpacing/>
        <w:jc w:val="both"/>
        <w:rPr>
          <w:rFonts w:ascii="Gadugi" w:eastAsia="Times New Roman" w:hAnsi="Gadugi"/>
          <w:szCs w:val="24"/>
          <w:lang w:val="es-CO" w:eastAsia="es-ES"/>
        </w:rPr>
      </w:pPr>
      <w:r w:rsidRPr="00412B75">
        <w:rPr>
          <w:rFonts w:ascii="Gadugi" w:eastAsia="Times New Roman" w:hAnsi="Gadugi"/>
          <w:szCs w:val="24"/>
          <w:lang w:val="es-CO" w:eastAsia="es-ES"/>
        </w:rPr>
        <w:t xml:space="preserve">Asunto: </w:t>
      </w:r>
      <w:r w:rsidRPr="00412B75">
        <w:rPr>
          <w:rFonts w:ascii="Gadugi" w:eastAsia="Times New Roman" w:hAnsi="Gadugi"/>
          <w:szCs w:val="24"/>
          <w:lang w:val="es-CO" w:eastAsia="es-ES"/>
        </w:rPr>
        <w:tab/>
        <w:t>Recurso de súplica</w:t>
      </w:r>
    </w:p>
    <w:p w14:paraId="624815DF" w14:textId="77777777" w:rsidR="008F1731" w:rsidRPr="00412B75" w:rsidRDefault="008574D8" w:rsidP="00A77CA9">
      <w:pPr>
        <w:tabs>
          <w:tab w:val="left" w:pos="3969"/>
        </w:tabs>
        <w:autoSpaceDN w:val="0"/>
        <w:spacing w:after="0" w:line="240" w:lineRule="auto"/>
        <w:ind w:right="-142" w:firstLine="1701"/>
        <w:contextualSpacing/>
        <w:jc w:val="both"/>
        <w:rPr>
          <w:rFonts w:ascii="Gadugi" w:eastAsia="Times New Roman" w:hAnsi="Gadugi"/>
          <w:szCs w:val="24"/>
          <w:lang w:val="es-CO" w:eastAsia="es-ES"/>
        </w:rPr>
      </w:pPr>
      <w:r w:rsidRPr="00412B75">
        <w:rPr>
          <w:rFonts w:ascii="Gadugi" w:eastAsia="Times New Roman" w:hAnsi="Gadugi"/>
          <w:szCs w:val="24"/>
          <w:lang w:val="es-CO" w:eastAsia="es-ES"/>
        </w:rPr>
        <w:t xml:space="preserve">Demandante: </w:t>
      </w:r>
      <w:r w:rsidRPr="00412B75">
        <w:rPr>
          <w:rFonts w:ascii="Gadugi" w:eastAsia="Times New Roman" w:hAnsi="Gadugi"/>
          <w:szCs w:val="24"/>
          <w:lang w:val="es-CO" w:eastAsia="es-ES"/>
        </w:rPr>
        <w:tab/>
        <w:t xml:space="preserve">Secundino Torres y otros </w:t>
      </w:r>
    </w:p>
    <w:p w14:paraId="027C03FA" w14:textId="77777777" w:rsidR="008F1731" w:rsidRPr="00412B75" w:rsidRDefault="008F1731" w:rsidP="00A77CA9">
      <w:pPr>
        <w:tabs>
          <w:tab w:val="left" w:pos="3969"/>
        </w:tabs>
        <w:autoSpaceDN w:val="0"/>
        <w:spacing w:after="0" w:line="240" w:lineRule="auto"/>
        <w:ind w:left="3969" w:right="-142" w:hanging="2268"/>
        <w:contextualSpacing/>
        <w:jc w:val="both"/>
        <w:rPr>
          <w:rFonts w:ascii="Gadugi" w:eastAsia="Times New Roman" w:hAnsi="Gadugi"/>
          <w:szCs w:val="24"/>
          <w:lang w:val="es-CO" w:eastAsia="es-ES"/>
        </w:rPr>
      </w:pPr>
      <w:r w:rsidRPr="00412B75">
        <w:rPr>
          <w:rFonts w:ascii="Gadugi" w:eastAsia="Times New Roman" w:hAnsi="Gadugi"/>
          <w:szCs w:val="24"/>
          <w:lang w:val="es-CO" w:eastAsia="es-ES"/>
        </w:rPr>
        <w:t xml:space="preserve">Demandado: </w:t>
      </w:r>
      <w:r w:rsidRPr="00412B75">
        <w:rPr>
          <w:rFonts w:ascii="Gadugi" w:eastAsia="Times New Roman" w:hAnsi="Gadugi"/>
          <w:szCs w:val="24"/>
          <w:lang w:val="es-CO" w:eastAsia="es-ES"/>
        </w:rPr>
        <w:tab/>
      </w:r>
      <w:r w:rsidR="008574D8" w:rsidRPr="00412B75">
        <w:rPr>
          <w:rFonts w:ascii="Gadugi" w:eastAsia="Times New Roman" w:hAnsi="Gadugi"/>
          <w:szCs w:val="24"/>
          <w:lang w:val="es-CO" w:eastAsia="es-ES"/>
        </w:rPr>
        <w:t xml:space="preserve">COOMEVA EPS y otros </w:t>
      </w:r>
    </w:p>
    <w:p w14:paraId="6AB139E0" w14:textId="77777777" w:rsidR="008F1731" w:rsidRPr="00412B75" w:rsidRDefault="008F1731" w:rsidP="00A77CA9">
      <w:pPr>
        <w:tabs>
          <w:tab w:val="left" w:pos="3969"/>
        </w:tabs>
        <w:autoSpaceDN w:val="0"/>
        <w:spacing w:after="0" w:line="240" w:lineRule="auto"/>
        <w:ind w:right="-142" w:firstLine="1701"/>
        <w:contextualSpacing/>
        <w:jc w:val="both"/>
        <w:rPr>
          <w:rFonts w:ascii="Gadugi" w:eastAsia="Times New Roman" w:hAnsi="Gadugi"/>
          <w:szCs w:val="24"/>
          <w:lang w:val="es-CO" w:eastAsia="es-ES"/>
        </w:rPr>
      </w:pPr>
      <w:r w:rsidRPr="00412B75">
        <w:rPr>
          <w:rFonts w:ascii="Gadugi" w:eastAsia="Times New Roman" w:hAnsi="Gadugi"/>
          <w:szCs w:val="24"/>
          <w:lang w:val="es-CO" w:eastAsia="es-ES"/>
        </w:rPr>
        <w:t>Pr</w:t>
      </w:r>
      <w:r w:rsidR="008574D8" w:rsidRPr="00412B75">
        <w:rPr>
          <w:rFonts w:ascii="Gadugi" w:eastAsia="Times New Roman" w:hAnsi="Gadugi"/>
          <w:szCs w:val="24"/>
          <w:lang w:val="es-CO" w:eastAsia="es-ES"/>
        </w:rPr>
        <w:t xml:space="preserve">oceso: </w:t>
      </w:r>
      <w:r w:rsidR="008574D8" w:rsidRPr="00412B75">
        <w:rPr>
          <w:rFonts w:ascii="Gadugi" w:eastAsia="Times New Roman" w:hAnsi="Gadugi"/>
          <w:szCs w:val="24"/>
          <w:lang w:val="es-CO" w:eastAsia="es-ES"/>
        </w:rPr>
        <w:tab/>
        <w:t>Verbal (responsabilidad médica)</w:t>
      </w:r>
    </w:p>
    <w:p w14:paraId="2C063F17" w14:textId="10564645" w:rsidR="008F1731" w:rsidRPr="00412B75" w:rsidRDefault="008F1731" w:rsidP="00A77CA9">
      <w:pPr>
        <w:tabs>
          <w:tab w:val="left" w:pos="3969"/>
        </w:tabs>
        <w:autoSpaceDN w:val="0"/>
        <w:spacing w:after="0" w:line="240" w:lineRule="auto"/>
        <w:ind w:right="-142" w:firstLine="1701"/>
        <w:contextualSpacing/>
        <w:jc w:val="both"/>
        <w:rPr>
          <w:rFonts w:ascii="Gadugi" w:eastAsia="Malgun Gothic" w:hAnsi="Gadugi" w:cs="Estrangelo Edessa"/>
          <w:szCs w:val="24"/>
          <w:lang w:val="es-CO"/>
        </w:rPr>
      </w:pPr>
      <w:r w:rsidRPr="00412B75">
        <w:rPr>
          <w:rFonts w:ascii="Gadugi" w:eastAsia="Malgun Gothic" w:hAnsi="Gadugi" w:cs="Estrangelo Edessa"/>
          <w:szCs w:val="24"/>
          <w:lang w:val="es-CO"/>
        </w:rPr>
        <w:t xml:space="preserve">Acta No. </w:t>
      </w:r>
      <w:r w:rsidR="00DD7656" w:rsidRPr="00412B75">
        <w:rPr>
          <w:rFonts w:ascii="Gadugi" w:eastAsia="Malgun Gothic" w:hAnsi="Gadugi" w:cs="Estrangelo Edessa"/>
          <w:szCs w:val="24"/>
          <w:lang w:val="es-CO"/>
        </w:rPr>
        <w:tab/>
        <w:t>398 del 25 de agosto de 2021</w:t>
      </w:r>
    </w:p>
    <w:p w14:paraId="06AF1160" w14:textId="543B166A" w:rsidR="00A87A2A" w:rsidRPr="00412B75" w:rsidRDefault="007509DE" w:rsidP="00A77CA9">
      <w:pPr>
        <w:tabs>
          <w:tab w:val="left" w:pos="3969"/>
        </w:tabs>
        <w:autoSpaceDN w:val="0"/>
        <w:spacing w:after="0" w:line="240" w:lineRule="auto"/>
        <w:ind w:right="-142" w:firstLine="1701"/>
        <w:contextualSpacing/>
        <w:jc w:val="both"/>
        <w:rPr>
          <w:rFonts w:ascii="Gadugi" w:eastAsia="Times New Roman" w:hAnsi="Gadugi"/>
          <w:szCs w:val="24"/>
          <w:lang w:val="es-CO" w:eastAsia="es-ES"/>
        </w:rPr>
      </w:pPr>
      <w:r w:rsidRPr="00412B75">
        <w:rPr>
          <w:rFonts w:ascii="Gadugi" w:eastAsia="Times New Roman" w:hAnsi="Gadugi"/>
          <w:szCs w:val="24"/>
          <w:lang w:val="es-CO" w:eastAsia="es-ES"/>
        </w:rPr>
        <w:t>Auto No.</w:t>
      </w:r>
      <w:r w:rsidR="004734F2" w:rsidRPr="00412B75">
        <w:rPr>
          <w:rFonts w:ascii="Gadugi" w:eastAsia="Times New Roman" w:hAnsi="Gadugi"/>
          <w:szCs w:val="24"/>
          <w:lang w:val="es-CO" w:eastAsia="es-ES"/>
        </w:rPr>
        <w:tab/>
      </w:r>
      <w:r w:rsidR="00673110" w:rsidRPr="00412B75">
        <w:rPr>
          <w:rFonts w:ascii="Gadugi" w:eastAsia="Times New Roman" w:hAnsi="Gadugi"/>
          <w:szCs w:val="24"/>
          <w:lang w:val="es-CO" w:eastAsia="es-ES"/>
        </w:rPr>
        <w:t>TSP.</w:t>
      </w:r>
      <w:r w:rsidR="009E5183">
        <w:rPr>
          <w:rFonts w:ascii="Gadugi" w:eastAsia="Times New Roman" w:hAnsi="Gadugi"/>
          <w:szCs w:val="24"/>
          <w:lang w:val="es-CO" w:eastAsia="es-ES"/>
        </w:rPr>
        <w:t xml:space="preserve"> </w:t>
      </w:r>
      <w:bookmarkStart w:id="1" w:name="_GoBack"/>
      <w:bookmarkEnd w:id="1"/>
      <w:r w:rsidR="00673110" w:rsidRPr="00412B75">
        <w:rPr>
          <w:rFonts w:ascii="Gadugi" w:eastAsia="Times New Roman" w:hAnsi="Gadugi"/>
          <w:szCs w:val="24"/>
          <w:lang w:val="es-CO" w:eastAsia="es-ES"/>
        </w:rPr>
        <w:t>AC-0110-2021</w:t>
      </w:r>
    </w:p>
    <w:p w14:paraId="053A5650" w14:textId="77777777" w:rsidR="00A87A2A" w:rsidRPr="00412B75" w:rsidRDefault="00A87A2A" w:rsidP="004734F2">
      <w:pPr>
        <w:spacing w:after="0" w:line="276" w:lineRule="auto"/>
        <w:ind w:firstLine="2835"/>
        <w:contextualSpacing/>
        <w:jc w:val="both"/>
        <w:rPr>
          <w:rFonts w:ascii="Gadugi" w:eastAsia="Times New Roman" w:hAnsi="Gadugi"/>
          <w:sz w:val="24"/>
          <w:szCs w:val="24"/>
          <w:lang w:val="es-CO"/>
        </w:rPr>
      </w:pPr>
    </w:p>
    <w:p w14:paraId="2A0DE4A6" w14:textId="77777777" w:rsidR="00A87A2A" w:rsidRPr="00412B75" w:rsidRDefault="00A87A2A" w:rsidP="004734F2">
      <w:pPr>
        <w:spacing w:after="0" w:line="276" w:lineRule="auto"/>
        <w:ind w:firstLine="2835"/>
        <w:contextualSpacing/>
        <w:jc w:val="both"/>
        <w:rPr>
          <w:rFonts w:ascii="Gadugi" w:eastAsia="Times New Roman" w:hAnsi="Gadugi"/>
          <w:sz w:val="24"/>
          <w:szCs w:val="24"/>
          <w:lang w:val="es-CO" w:eastAsia="es-ES"/>
        </w:rPr>
      </w:pPr>
    </w:p>
    <w:p w14:paraId="720986DF" w14:textId="3682B1BF" w:rsidR="00A87A2A" w:rsidRPr="00412B75" w:rsidRDefault="00A87A2A" w:rsidP="004734F2">
      <w:pPr>
        <w:spacing w:after="0" w:line="276" w:lineRule="auto"/>
        <w:ind w:firstLine="1701"/>
        <w:contextualSpacing/>
        <w:jc w:val="both"/>
        <w:rPr>
          <w:rFonts w:ascii="Gadugi" w:eastAsia="Times New Roman" w:hAnsi="Gadugi"/>
          <w:sz w:val="24"/>
          <w:szCs w:val="24"/>
          <w:lang w:val="es-CO" w:eastAsia="es-ES"/>
        </w:rPr>
      </w:pPr>
      <w:r w:rsidRPr="00412B75">
        <w:rPr>
          <w:rFonts w:ascii="Gadugi" w:eastAsia="Times New Roman" w:hAnsi="Gadugi"/>
          <w:sz w:val="24"/>
          <w:szCs w:val="24"/>
          <w:lang w:val="es-CO" w:eastAsia="es-ES"/>
        </w:rPr>
        <w:t xml:space="preserve">Procedente de la secretaría de la Sala llegó a este despacho el expediente que contiene </w:t>
      </w:r>
      <w:r w:rsidR="008574D8" w:rsidRPr="00412B75">
        <w:rPr>
          <w:rFonts w:ascii="Gadugi" w:eastAsia="Times New Roman" w:hAnsi="Gadugi"/>
          <w:sz w:val="24"/>
          <w:szCs w:val="24"/>
          <w:lang w:val="es-CO" w:eastAsia="es-ES"/>
        </w:rPr>
        <w:t xml:space="preserve">el proceso verbal de responsabilidad médica </w:t>
      </w:r>
      <w:r w:rsidRPr="00412B75">
        <w:rPr>
          <w:rFonts w:ascii="Gadugi" w:eastAsia="Times New Roman" w:hAnsi="Gadugi"/>
          <w:sz w:val="24"/>
          <w:szCs w:val="24"/>
          <w:lang w:val="es-CO" w:eastAsia="es-ES"/>
        </w:rPr>
        <w:t xml:space="preserve">que </w:t>
      </w:r>
      <w:r w:rsidR="008574D8" w:rsidRPr="00412B75">
        <w:rPr>
          <w:rFonts w:ascii="Gadugi" w:eastAsia="Times New Roman" w:hAnsi="Gadugi"/>
          <w:b/>
          <w:sz w:val="24"/>
          <w:szCs w:val="24"/>
          <w:lang w:val="es-CO" w:eastAsia="es-ES"/>
        </w:rPr>
        <w:t xml:space="preserve">Secundino Torres </w:t>
      </w:r>
      <w:r w:rsidR="008574D8" w:rsidRPr="00412B75">
        <w:rPr>
          <w:rFonts w:ascii="Gadugi" w:eastAsia="Times New Roman" w:hAnsi="Gadugi"/>
          <w:sz w:val="24"/>
          <w:szCs w:val="24"/>
          <w:lang w:val="es-CO" w:eastAsia="es-ES"/>
        </w:rPr>
        <w:t>y otros</w:t>
      </w:r>
      <w:r w:rsidR="008574D8" w:rsidRPr="00412B75">
        <w:rPr>
          <w:rFonts w:ascii="Gadugi" w:eastAsia="Times New Roman" w:hAnsi="Gadugi"/>
          <w:b/>
          <w:sz w:val="24"/>
          <w:szCs w:val="24"/>
          <w:lang w:val="es-CO" w:eastAsia="es-ES"/>
        </w:rPr>
        <w:t xml:space="preserve"> </w:t>
      </w:r>
      <w:r w:rsidRPr="00412B75">
        <w:rPr>
          <w:rFonts w:ascii="Gadugi" w:eastAsia="Times New Roman" w:hAnsi="Gadugi"/>
          <w:sz w:val="24"/>
          <w:szCs w:val="24"/>
          <w:lang w:val="es-CO" w:eastAsia="es-ES"/>
        </w:rPr>
        <w:t>adelanta</w:t>
      </w:r>
      <w:r w:rsidR="008574D8" w:rsidRPr="00412B75">
        <w:rPr>
          <w:rFonts w:ascii="Gadugi" w:eastAsia="Times New Roman" w:hAnsi="Gadugi"/>
          <w:sz w:val="24"/>
          <w:szCs w:val="24"/>
          <w:lang w:val="es-CO" w:eastAsia="es-ES"/>
        </w:rPr>
        <w:t>n</w:t>
      </w:r>
      <w:r w:rsidRPr="00412B75">
        <w:rPr>
          <w:rFonts w:ascii="Gadugi" w:eastAsia="Times New Roman" w:hAnsi="Gadugi"/>
          <w:sz w:val="24"/>
          <w:szCs w:val="24"/>
          <w:lang w:val="es-CO" w:eastAsia="es-ES"/>
        </w:rPr>
        <w:t xml:space="preserve"> contra </w:t>
      </w:r>
      <w:r w:rsidR="008574D8" w:rsidRPr="00412B75">
        <w:rPr>
          <w:rFonts w:ascii="Gadugi" w:eastAsia="Times New Roman" w:hAnsi="Gadugi"/>
          <w:b/>
          <w:sz w:val="24"/>
          <w:szCs w:val="24"/>
          <w:lang w:val="es-CO" w:eastAsia="es-ES"/>
        </w:rPr>
        <w:t xml:space="preserve">COOMEVA EPS </w:t>
      </w:r>
      <w:r w:rsidR="008574D8" w:rsidRPr="00412B75">
        <w:rPr>
          <w:rFonts w:ascii="Gadugi" w:eastAsia="Times New Roman" w:hAnsi="Gadugi"/>
          <w:sz w:val="24"/>
          <w:szCs w:val="24"/>
          <w:lang w:val="es-CO" w:eastAsia="es-ES"/>
        </w:rPr>
        <w:t>y otros</w:t>
      </w:r>
      <w:r w:rsidRPr="00412B75">
        <w:rPr>
          <w:rFonts w:ascii="Gadugi" w:eastAsia="Times New Roman" w:hAnsi="Gadugi"/>
          <w:b/>
          <w:sz w:val="24"/>
          <w:szCs w:val="24"/>
          <w:lang w:val="es-CO" w:eastAsia="es-ES"/>
        </w:rPr>
        <w:t xml:space="preserve">, </w:t>
      </w:r>
      <w:r w:rsidRPr="00412B75">
        <w:rPr>
          <w:rFonts w:ascii="Gadugi" w:eastAsia="Times New Roman" w:hAnsi="Gadugi"/>
          <w:sz w:val="24"/>
          <w:szCs w:val="24"/>
          <w:lang w:val="es-CO" w:eastAsia="es-ES"/>
        </w:rPr>
        <w:t xml:space="preserve">con el fin de que se resuelva lo pertinente frente al recurso de súplica que plantea </w:t>
      </w:r>
      <w:r w:rsidR="00F5297D" w:rsidRPr="00412B75">
        <w:rPr>
          <w:rFonts w:ascii="Gadugi" w:eastAsia="Times New Roman" w:hAnsi="Gadugi"/>
          <w:sz w:val="24"/>
          <w:szCs w:val="24"/>
          <w:lang w:val="es-CO" w:eastAsia="es-ES"/>
        </w:rPr>
        <w:t xml:space="preserve">la llamada en garantía </w:t>
      </w:r>
      <w:r w:rsidR="00E73435" w:rsidRPr="00412B75">
        <w:rPr>
          <w:rFonts w:ascii="Gadugi" w:eastAsia="Times New Roman" w:hAnsi="Gadugi"/>
          <w:sz w:val="24"/>
          <w:szCs w:val="24"/>
          <w:lang w:val="es-CO" w:eastAsia="es-ES"/>
        </w:rPr>
        <w:t xml:space="preserve">Liberty Seguros S.A. </w:t>
      </w:r>
      <w:r w:rsidRPr="00412B75">
        <w:rPr>
          <w:rFonts w:ascii="Gadugi" w:eastAsia="Times New Roman" w:hAnsi="Gadugi"/>
          <w:sz w:val="24"/>
          <w:szCs w:val="24"/>
          <w:lang w:val="es-CO" w:eastAsia="es-ES"/>
        </w:rPr>
        <w:t xml:space="preserve">contra el auto del </w:t>
      </w:r>
      <w:r w:rsidR="00F5297D" w:rsidRPr="00412B75">
        <w:rPr>
          <w:rFonts w:ascii="Gadugi" w:eastAsia="Times New Roman" w:hAnsi="Gadugi"/>
          <w:sz w:val="24"/>
          <w:szCs w:val="24"/>
          <w:lang w:val="es-CO" w:eastAsia="es-ES"/>
        </w:rPr>
        <w:t xml:space="preserve">27 de julio </w:t>
      </w:r>
      <w:r w:rsidRPr="00412B75">
        <w:rPr>
          <w:rFonts w:ascii="Gadugi" w:eastAsia="Times New Roman" w:hAnsi="Gadugi"/>
          <w:sz w:val="24"/>
          <w:szCs w:val="24"/>
          <w:lang w:val="es-CO" w:eastAsia="es-ES"/>
        </w:rPr>
        <w:t xml:space="preserve">último, dictado por el Magistrado Ponente, por medio del cual </w:t>
      </w:r>
      <w:r w:rsidR="00976F70" w:rsidRPr="00412B75">
        <w:rPr>
          <w:rFonts w:ascii="Gadugi" w:eastAsia="Times New Roman" w:hAnsi="Gadugi"/>
          <w:sz w:val="24"/>
          <w:szCs w:val="24"/>
          <w:lang w:val="es-CO" w:eastAsia="es-ES"/>
        </w:rPr>
        <w:t>se tuvo por sustentada la alzada con los argumentos expuestos en el recurso presentado en primera instancia (17TienePorSustentadaApelacion)</w:t>
      </w:r>
    </w:p>
    <w:p w14:paraId="72881FA8" w14:textId="77777777" w:rsidR="00A87A2A" w:rsidRPr="00412B75" w:rsidRDefault="00A87A2A" w:rsidP="004734F2">
      <w:pPr>
        <w:spacing w:after="0" w:line="276" w:lineRule="auto"/>
        <w:ind w:firstLine="2835"/>
        <w:contextualSpacing/>
        <w:jc w:val="both"/>
        <w:rPr>
          <w:rFonts w:ascii="Gadugi" w:eastAsia="Times New Roman" w:hAnsi="Gadugi"/>
          <w:sz w:val="24"/>
          <w:szCs w:val="24"/>
          <w:lang w:val="es-CO" w:eastAsia="es-ES"/>
        </w:rPr>
      </w:pPr>
    </w:p>
    <w:p w14:paraId="6B33599A" w14:textId="0E911F07" w:rsidR="00CB23D2" w:rsidRPr="00412B75" w:rsidRDefault="00A87A2A" w:rsidP="004734F2">
      <w:pPr>
        <w:spacing w:after="0" w:line="276" w:lineRule="auto"/>
        <w:ind w:firstLine="1701"/>
        <w:contextualSpacing/>
        <w:jc w:val="both"/>
        <w:rPr>
          <w:rFonts w:ascii="Gadugi" w:eastAsia="Times New Roman" w:hAnsi="Gadugi"/>
          <w:sz w:val="24"/>
          <w:szCs w:val="24"/>
          <w:lang w:val="es-CO" w:eastAsia="es-ES"/>
        </w:rPr>
      </w:pPr>
      <w:r w:rsidRPr="00412B75">
        <w:rPr>
          <w:rFonts w:ascii="Gadugi" w:eastAsia="Times New Roman" w:hAnsi="Gadugi"/>
          <w:sz w:val="24"/>
          <w:szCs w:val="24"/>
          <w:lang w:val="es-CO" w:eastAsia="es-ES"/>
        </w:rPr>
        <w:lastRenderedPageBreak/>
        <w:t xml:space="preserve">No obstante, para decirlo de entrada, tal mecanismo de defensa será inadmitido, pues resulta improcedente </w:t>
      </w:r>
      <w:r w:rsidR="00976F70" w:rsidRPr="00412B75">
        <w:rPr>
          <w:rFonts w:ascii="Gadugi" w:eastAsia="Times New Roman" w:hAnsi="Gadugi"/>
          <w:sz w:val="24"/>
          <w:szCs w:val="24"/>
          <w:lang w:val="es-CO" w:eastAsia="es-ES"/>
        </w:rPr>
        <w:t xml:space="preserve">para esta clase de decisiones, </w:t>
      </w:r>
      <w:r w:rsidR="00906757" w:rsidRPr="00412B75">
        <w:rPr>
          <w:rFonts w:ascii="Gadugi" w:eastAsia="Times New Roman" w:hAnsi="Gadugi"/>
          <w:sz w:val="24"/>
          <w:szCs w:val="24"/>
          <w:lang w:val="es-CO" w:eastAsia="es-ES"/>
        </w:rPr>
        <w:t>según</w:t>
      </w:r>
      <w:r w:rsidR="00CB23D2" w:rsidRPr="00412B75">
        <w:rPr>
          <w:rFonts w:ascii="Gadugi" w:eastAsia="Times New Roman" w:hAnsi="Gadugi"/>
          <w:sz w:val="24"/>
          <w:szCs w:val="24"/>
          <w:lang w:val="es-CO" w:eastAsia="es-ES"/>
        </w:rPr>
        <w:t xml:space="preserve"> pasa a explicarse</w:t>
      </w:r>
      <w:r w:rsidR="00914524" w:rsidRPr="00412B75">
        <w:rPr>
          <w:rFonts w:ascii="Gadugi" w:eastAsia="Times New Roman" w:hAnsi="Gadugi"/>
          <w:sz w:val="24"/>
          <w:szCs w:val="24"/>
          <w:lang w:val="es-CO" w:eastAsia="es-ES"/>
        </w:rPr>
        <w:t>.</w:t>
      </w:r>
    </w:p>
    <w:p w14:paraId="2C01669A" w14:textId="77777777" w:rsidR="00CB23D2" w:rsidRPr="00412B75" w:rsidRDefault="00CB23D2" w:rsidP="004734F2">
      <w:pPr>
        <w:spacing w:after="0" w:line="276" w:lineRule="auto"/>
        <w:ind w:firstLine="2835"/>
        <w:contextualSpacing/>
        <w:jc w:val="both"/>
        <w:rPr>
          <w:rFonts w:ascii="Gadugi" w:eastAsia="Times New Roman" w:hAnsi="Gadugi"/>
          <w:sz w:val="24"/>
          <w:szCs w:val="24"/>
          <w:lang w:val="es-CO" w:eastAsia="es-ES"/>
        </w:rPr>
      </w:pPr>
    </w:p>
    <w:p w14:paraId="4CC9ECF3" w14:textId="11192BF0" w:rsidR="00CB23D2" w:rsidRPr="00412B75" w:rsidRDefault="00CB23D2" w:rsidP="004734F2">
      <w:pPr>
        <w:spacing w:after="0" w:line="276" w:lineRule="auto"/>
        <w:ind w:firstLine="1701"/>
        <w:contextualSpacing/>
        <w:jc w:val="both"/>
        <w:rPr>
          <w:rFonts w:ascii="Gadugi" w:eastAsia="Times New Roman" w:hAnsi="Gadugi"/>
          <w:sz w:val="24"/>
          <w:szCs w:val="24"/>
          <w:lang w:val="es-CO" w:eastAsia="es-ES"/>
        </w:rPr>
      </w:pPr>
      <w:r w:rsidRPr="00412B75">
        <w:rPr>
          <w:rFonts w:ascii="Gadugi" w:eastAsia="Times New Roman" w:hAnsi="Gadugi"/>
          <w:sz w:val="24"/>
          <w:szCs w:val="24"/>
          <w:lang w:val="es-CO" w:eastAsia="es-ES"/>
        </w:rPr>
        <w:t>E</w:t>
      </w:r>
      <w:r w:rsidR="0039389B" w:rsidRPr="00412B75">
        <w:rPr>
          <w:rFonts w:ascii="Gadugi" w:eastAsia="Times New Roman" w:hAnsi="Gadugi"/>
          <w:sz w:val="24"/>
          <w:szCs w:val="24"/>
          <w:lang w:val="es-CO" w:eastAsia="es-ES"/>
        </w:rPr>
        <w:t>l artículo 331</w:t>
      </w:r>
      <w:r w:rsidRPr="00412B75">
        <w:rPr>
          <w:rFonts w:ascii="Gadugi" w:eastAsia="Times New Roman" w:hAnsi="Gadugi"/>
          <w:sz w:val="24"/>
          <w:szCs w:val="24"/>
          <w:lang w:val="es-CO" w:eastAsia="es-ES"/>
        </w:rPr>
        <w:t xml:space="preserve"> del CGP establece que el recurso de súplica </w:t>
      </w:r>
      <w:r w:rsidRPr="00412B75">
        <w:rPr>
          <w:rFonts w:ascii="Gadugi" w:eastAsia="Times New Roman" w:hAnsi="Gadugi"/>
          <w:i/>
          <w:sz w:val="24"/>
          <w:szCs w:val="24"/>
          <w:lang w:val="es-CO" w:eastAsia="es-ES"/>
        </w:rPr>
        <w:t>“</w:t>
      </w:r>
      <w:r w:rsidRPr="009869E1">
        <w:rPr>
          <w:rFonts w:ascii="Gadugi" w:eastAsia="Times New Roman" w:hAnsi="Gadugi"/>
          <w:i/>
          <w:szCs w:val="24"/>
          <w:lang w:val="es-CO" w:eastAsia="es-ES"/>
        </w:rPr>
        <w:t>…</w:t>
      </w:r>
      <w:r w:rsidR="00F412C6" w:rsidRPr="009869E1">
        <w:rPr>
          <w:rFonts w:ascii="Gadugi" w:eastAsia="Times New Roman" w:hAnsi="Gadugi"/>
          <w:i/>
          <w:szCs w:val="24"/>
          <w:lang w:val="es-CO" w:eastAsia="es-ES"/>
        </w:rPr>
        <w:t xml:space="preserve"> </w:t>
      </w:r>
      <w:r w:rsidRPr="009869E1">
        <w:rPr>
          <w:rFonts w:ascii="Gadugi" w:eastAsia="Times New Roman" w:hAnsi="Gadugi"/>
          <w:i/>
          <w:szCs w:val="24"/>
          <w:lang w:val="es-CO" w:eastAsia="es-ES"/>
        </w:rPr>
        <w:t xml:space="preserve">procede contra los autos que por su naturaleza serían apelables, dictados por el magistrado sustanciador en el curso de la segunda o única instancia, o durante el trámite de la apelación de un auto. </w:t>
      </w:r>
      <w:r w:rsidRPr="009869E1">
        <w:rPr>
          <w:rFonts w:ascii="Gadugi" w:eastAsia="Times New Roman" w:hAnsi="Gadugi"/>
          <w:b/>
          <w:i/>
          <w:szCs w:val="24"/>
          <w:lang w:val="es-CO" w:eastAsia="es-ES"/>
        </w:rPr>
        <w:t>También procede contra el auto que resuelve sobre la admisión del recurso de apelación</w:t>
      </w:r>
      <w:r w:rsidRPr="009869E1">
        <w:rPr>
          <w:rFonts w:ascii="Gadugi" w:eastAsia="Times New Roman" w:hAnsi="Gadugi"/>
          <w:i/>
          <w:szCs w:val="24"/>
          <w:lang w:val="es-CO" w:eastAsia="es-ES"/>
        </w:rPr>
        <w:t xml:space="preserve"> o casación</w:t>
      </w:r>
      <w:r w:rsidR="0039389B" w:rsidRPr="009869E1">
        <w:rPr>
          <w:rFonts w:ascii="Gadugi" w:eastAsia="Times New Roman" w:hAnsi="Gadugi"/>
          <w:i/>
          <w:szCs w:val="24"/>
          <w:lang w:val="es-CO" w:eastAsia="es-ES"/>
        </w:rPr>
        <w:t xml:space="preserve"> y contra los autos que en el trámite de los recursos extraordinarios de casación o revisión profiera el magistrado sustanciador y que por su naturaleza hubieran sido susceptibles de apelación</w:t>
      </w:r>
      <w:r w:rsidR="0039389B" w:rsidRPr="00412B75">
        <w:rPr>
          <w:rFonts w:ascii="Gadugi" w:eastAsia="Times New Roman" w:hAnsi="Gadugi"/>
          <w:i/>
          <w:sz w:val="24"/>
          <w:szCs w:val="24"/>
          <w:lang w:val="es-CO" w:eastAsia="es-ES"/>
        </w:rPr>
        <w:t>”</w:t>
      </w:r>
      <w:r w:rsidRPr="00412B75">
        <w:rPr>
          <w:rFonts w:ascii="Gadugi" w:eastAsia="Times New Roman" w:hAnsi="Gadugi"/>
          <w:i/>
          <w:sz w:val="24"/>
          <w:szCs w:val="24"/>
          <w:lang w:val="es-CO" w:eastAsia="es-ES"/>
        </w:rPr>
        <w:t xml:space="preserve">. </w:t>
      </w:r>
      <w:r w:rsidR="001844BE" w:rsidRPr="00412B75">
        <w:rPr>
          <w:rFonts w:ascii="Gadugi" w:eastAsia="Times New Roman" w:hAnsi="Gadugi"/>
          <w:sz w:val="24"/>
          <w:szCs w:val="24"/>
          <w:lang w:val="es-CO" w:eastAsia="es-ES"/>
        </w:rPr>
        <w:t>(negrillas fuera de texto).</w:t>
      </w:r>
    </w:p>
    <w:p w14:paraId="7993F94B" w14:textId="77777777" w:rsidR="00CB23D2" w:rsidRPr="00412B75" w:rsidRDefault="00CB23D2" w:rsidP="004734F2">
      <w:pPr>
        <w:spacing w:after="0" w:line="276" w:lineRule="auto"/>
        <w:ind w:firstLine="2835"/>
        <w:contextualSpacing/>
        <w:jc w:val="both"/>
        <w:rPr>
          <w:rFonts w:ascii="Gadugi" w:eastAsia="Times New Roman" w:hAnsi="Gadugi"/>
          <w:sz w:val="24"/>
          <w:szCs w:val="24"/>
          <w:lang w:val="es-CO" w:eastAsia="es-ES"/>
        </w:rPr>
      </w:pPr>
    </w:p>
    <w:p w14:paraId="2385573F" w14:textId="5153DF3B" w:rsidR="001844BE" w:rsidRPr="00412B75" w:rsidRDefault="00CB23D2" w:rsidP="004734F2">
      <w:pPr>
        <w:spacing w:after="0" w:line="276" w:lineRule="auto"/>
        <w:ind w:firstLine="1701"/>
        <w:contextualSpacing/>
        <w:jc w:val="both"/>
        <w:rPr>
          <w:rFonts w:ascii="Gadugi" w:eastAsia="Times New Roman" w:hAnsi="Gadugi"/>
          <w:sz w:val="24"/>
          <w:szCs w:val="24"/>
          <w:lang w:val="es-CO" w:eastAsia="es-ES"/>
        </w:rPr>
      </w:pPr>
      <w:r w:rsidRPr="00412B75">
        <w:rPr>
          <w:rFonts w:ascii="Gadugi" w:eastAsia="Times New Roman" w:hAnsi="Gadugi"/>
          <w:sz w:val="24"/>
          <w:szCs w:val="24"/>
          <w:lang w:val="es-CO" w:eastAsia="es-ES"/>
        </w:rPr>
        <w:t xml:space="preserve">Así que, </w:t>
      </w:r>
      <w:r w:rsidR="00E23C8C" w:rsidRPr="00412B75">
        <w:rPr>
          <w:rFonts w:ascii="Gadugi" w:eastAsia="Times New Roman" w:hAnsi="Gadugi"/>
          <w:sz w:val="24"/>
          <w:szCs w:val="24"/>
          <w:lang w:val="es-CO" w:eastAsia="es-ES"/>
        </w:rPr>
        <w:t xml:space="preserve">la norma </w:t>
      </w:r>
      <w:r w:rsidR="001844BE" w:rsidRPr="00412B75">
        <w:rPr>
          <w:rFonts w:ascii="Gadugi" w:eastAsia="Times New Roman" w:hAnsi="Gadugi"/>
          <w:sz w:val="24"/>
          <w:szCs w:val="24"/>
          <w:lang w:val="es-CO" w:eastAsia="es-ES"/>
        </w:rPr>
        <w:t>parte de unas premisas claras: (</w:t>
      </w:r>
      <w:r w:rsidR="00E23C8C" w:rsidRPr="00412B75">
        <w:rPr>
          <w:rFonts w:ascii="Gadugi" w:eastAsia="Times New Roman" w:hAnsi="Gadugi"/>
          <w:sz w:val="24"/>
          <w:szCs w:val="24"/>
          <w:lang w:val="es-CO" w:eastAsia="es-ES"/>
        </w:rPr>
        <w:t xml:space="preserve">i) </w:t>
      </w:r>
      <w:r w:rsidR="001844BE" w:rsidRPr="00412B75">
        <w:rPr>
          <w:rFonts w:ascii="Gadugi" w:eastAsia="Times New Roman" w:hAnsi="Gadugi"/>
          <w:sz w:val="24"/>
          <w:szCs w:val="24"/>
          <w:lang w:val="es-CO" w:eastAsia="es-ES"/>
        </w:rPr>
        <w:t xml:space="preserve">que se </w:t>
      </w:r>
      <w:r w:rsidR="00976F70" w:rsidRPr="00412B75">
        <w:rPr>
          <w:rFonts w:ascii="Gadugi" w:eastAsia="Times New Roman" w:hAnsi="Gadugi"/>
          <w:sz w:val="24"/>
          <w:szCs w:val="24"/>
          <w:lang w:val="es-CO" w:eastAsia="es-ES"/>
        </w:rPr>
        <w:t xml:space="preserve">trate de una decisión de </w:t>
      </w:r>
      <w:r w:rsidR="001844BE" w:rsidRPr="00412B75">
        <w:rPr>
          <w:rFonts w:ascii="Gadugi" w:eastAsia="Times New Roman" w:hAnsi="Gadugi"/>
          <w:sz w:val="24"/>
          <w:szCs w:val="24"/>
          <w:lang w:val="es-CO" w:eastAsia="es-ES"/>
        </w:rPr>
        <w:t xml:space="preserve">magistrado sustanciador, no de la sala en conjunto; (ii) que se dé en el curso de la segunda instancia (un recurso de apelación) o en </w:t>
      </w:r>
      <w:r w:rsidRPr="00412B75">
        <w:rPr>
          <w:rFonts w:ascii="Gadugi" w:eastAsia="Times New Roman" w:hAnsi="Gadugi"/>
          <w:sz w:val="24"/>
          <w:szCs w:val="24"/>
          <w:lang w:val="es-CO" w:eastAsia="es-ES"/>
        </w:rPr>
        <w:t>única instancia</w:t>
      </w:r>
      <w:r w:rsidR="001844BE" w:rsidRPr="00412B75">
        <w:rPr>
          <w:rFonts w:ascii="Gadugi" w:eastAsia="Times New Roman" w:hAnsi="Gadugi"/>
          <w:sz w:val="24"/>
          <w:szCs w:val="24"/>
          <w:lang w:val="es-CO" w:eastAsia="es-ES"/>
        </w:rPr>
        <w:t xml:space="preserve">, o durante el trámite de un recurso extraordinario (casación o revisión, por ejemplo); (iii)  que el auto por su naturaleza sea apelable, porque si no lo es, el recurso que procede es el de reposición. Todas estas condiciones deben ser concurrentes. </w:t>
      </w:r>
    </w:p>
    <w:p w14:paraId="7CBA1E4D" w14:textId="77777777" w:rsidR="001844BE" w:rsidRPr="00412B75" w:rsidRDefault="001844BE" w:rsidP="004734F2">
      <w:pPr>
        <w:spacing w:after="0" w:line="276" w:lineRule="auto"/>
        <w:ind w:firstLine="1701"/>
        <w:contextualSpacing/>
        <w:jc w:val="both"/>
        <w:rPr>
          <w:rFonts w:ascii="Gadugi" w:eastAsia="Times New Roman" w:hAnsi="Gadugi"/>
          <w:sz w:val="24"/>
          <w:szCs w:val="24"/>
          <w:lang w:val="es-CO" w:eastAsia="es-ES"/>
        </w:rPr>
      </w:pPr>
    </w:p>
    <w:p w14:paraId="4541BF1A" w14:textId="77777777" w:rsidR="00906CE3" w:rsidRPr="00412B75" w:rsidRDefault="001844BE" w:rsidP="004734F2">
      <w:pPr>
        <w:spacing w:after="0" w:line="276" w:lineRule="auto"/>
        <w:ind w:firstLine="1701"/>
        <w:contextualSpacing/>
        <w:jc w:val="both"/>
        <w:rPr>
          <w:rFonts w:ascii="Gadugi" w:eastAsia="Times New Roman" w:hAnsi="Gadugi"/>
          <w:sz w:val="24"/>
          <w:szCs w:val="24"/>
          <w:lang w:val="es-CO" w:eastAsia="es-ES"/>
        </w:rPr>
      </w:pPr>
      <w:r w:rsidRPr="00412B75">
        <w:rPr>
          <w:rFonts w:ascii="Gadugi" w:eastAsia="Times New Roman" w:hAnsi="Gadugi"/>
          <w:sz w:val="24"/>
          <w:szCs w:val="24"/>
          <w:lang w:val="es-CO" w:eastAsia="es-ES"/>
        </w:rPr>
        <w:t>Pero, además, la norma señala que es también pasible de súplica el auto con el que se decida sobre la admisión del recurso de apelación. Y aunque incluye también el auto que decide sobre la admisión del recurso de casación, esta regla entra en contradicción con una posterior y especial sobre el recurso extraordinario que es el artículo 342-3, en virtud del cual</w:t>
      </w:r>
      <w:r w:rsidR="0009566F" w:rsidRPr="00412B75">
        <w:rPr>
          <w:rFonts w:ascii="Gadugi" w:eastAsia="Times New Roman" w:hAnsi="Gadugi"/>
          <w:sz w:val="24"/>
          <w:szCs w:val="24"/>
          <w:lang w:val="es-CO" w:eastAsia="es-ES"/>
        </w:rPr>
        <w:t>,</w:t>
      </w:r>
      <w:r w:rsidRPr="00412B75">
        <w:rPr>
          <w:rFonts w:ascii="Gadugi" w:eastAsia="Times New Roman" w:hAnsi="Gadugi"/>
          <w:sz w:val="24"/>
          <w:szCs w:val="24"/>
          <w:lang w:val="es-CO" w:eastAsia="es-ES"/>
        </w:rPr>
        <w:t xml:space="preserve"> </w:t>
      </w:r>
      <w:r w:rsidR="00906CE3" w:rsidRPr="00412B75">
        <w:rPr>
          <w:rFonts w:ascii="Gadugi" w:eastAsia="Times New Roman" w:hAnsi="Gadugi"/>
          <w:sz w:val="24"/>
          <w:szCs w:val="24"/>
          <w:lang w:val="es-CO" w:eastAsia="es-ES"/>
        </w:rPr>
        <w:t>procede la reposición, que es el tratamiento que le ha dado la Sala de Casación Civil de la Corte</w:t>
      </w:r>
      <w:r w:rsidR="00906CE3" w:rsidRPr="00412B75">
        <w:rPr>
          <w:rStyle w:val="Refdenotaalpie"/>
          <w:rFonts w:ascii="Gadugi" w:eastAsia="Times New Roman" w:hAnsi="Gadugi"/>
          <w:sz w:val="24"/>
          <w:szCs w:val="24"/>
          <w:lang w:val="es-CO" w:eastAsia="es-ES"/>
        </w:rPr>
        <w:footnoteReference w:id="1"/>
      </w:r>
      <w:r w:rsidR="00906CE3" w:rsidRPr="00412B75">
        <w:rPr>
          <w:rFonts w:ascii="Gadugi" w:eastAsia="Times New Roman" w:hAnsi="Gadugi"/>
          <w:sz w:val="24"/>
          <w:szCs w:val="24"/>
          <w:lang w:val="es-CO" w:eastAsia="es-ES"/>
        </w:rPr>
        <w:t xml:space="preserve">. </w:t>
      </w:r>
    </w:p>
    <w:p w14:paraId="55E7562F" w14:textId="77777777" w:rsidR="00906CE3" w:rsidRPr="00412B75" w:rsidRDefault="00906CE3" w:rsidP="004734F2">
      <w:pPr>
        <w:spacing w:after="0" w:line="276" w:lineRule="auto"/>
        <w:ind w:firstLine="1701"/>
        <w:contextualSpacing/>
        <w:jc w:val="both"/>
        <w:rPr>
          <w:rFonts w:ascii="Gadugi" w:eastAsia="Times New Roman" w:hAnsi="Gadugi"/>
          <w:sz w:val="24"/>
          <w:szCs w:val="24"/>
          <w:lang w:val="es-CO" w:eastAsia="es-ES"/>
        </w:rPr>
      </w:pPr>
    </w:p>
    <w:p w14:paraId="0CF58CF5" w14:textId="77777777" w:rsidR="00906CE3" w:rsidRPr="00412B75" w:rsidRDefault="00906CE3" w:rsidP="004734F2">
      <w:pPr>
        <w:spacing w:after="0" w:line="276" w:lineRule="auto"/>
        <w:ind w:firstLine="1701"/>
        <w:contextualSpacing/>
        <w:jc w:val="both"/>
        <w:rPr>
          <w:rFonts w:ascii="Gadugi" w:eastAsia="Times New Roman" w:hAnsi="Gadugi"/>
          <w:sz w:val="24"/>
          <w:szCs w:val="24"/>
          <w:lang w:val="es-CO" w:eastAsia="es-ES"/>
        </w:rPr>
      </w:pPr>
      <w:bookmarkStart w:id="2" w:name="_Hlk83284228"/>
      <w:r w:rsidRPr="00412B75">
        <w:rPr>
          <w:rFonts w:ascii="Gadugi" w:eastAsia="Times New Roman" w:hAnsi="Gadugi"/>
          <w:sz w:val="24"/>
          <w:szCs w:val="24"/>
          <w:lang w:val="es-CO" w:eastAsia="es-ES"/>
        </w:rPr>
        <w:t>Puestos en esa dirección, el auto que decide tener por sustentado oportunamente el recurso de apelación, no es de aquellos que por su naturaleza sean apelables, en los términos del artículo 321 del CGP o de otra norma especial</w:t>
      </w:r>
      <w:bookmarkEnd w:id="2"/>
      <w:r w:rsidRPr="00412B75">
        <w:rPr>
          <w:rFonts w:ascii="Gadugi" w:eastAsia="Times New Roman" w:hAnsi="Gadugi"/>
          <w:sz w:val="24"/>
          <w:szCs w:val="24"/>
          <w:lang w:val="es-CO" w:eastAsia="es-ES"/>
        </w:rPr>
        <w:t xml:space="preserve">, con lo cual, la primera hipótesis decae, es decir, que por este aspecto la súplica sería improcedente. </w:t>
      </w:r>
    </w:p>
    <w:p w14:paraId="3CFDF6F3" w14:textId="77777777" w:rsidR="00906CE3" w:rsidRPr="00412B75" w:rsidRDefault="00906CE3" w:rsidP="004734F2">
      <w:pPr>
        <w:spacing w:after="0" w:line="276" w:lineRule="auto"/>
        <w:ind w:firstLine="1701"/>
        <w:contextualSpacing/>
        <w:jc w:val="both"/>
        <w:rPr>
          <w:rFonts w:ascii="Gadugi" w:eastAsia="Times New Roman" w:hAnsi="Gadugi"/>
          <w:sz w:val="24"/>
          <w:szCs w:val="24"/>
          <w:lang w:val="es-CO" w:eastAsia="es-ES"/>
        </w:rPr>
      </w:pPr>
    </w:p>
    <w:p w14:paraId="550C041A" w14:textId="77777777" w:rsidR="00906CE3" w:rsidRPr="00412B75" w:rsidRDefault="00906CE3" w:rsidP="004734F2">
      <w:pPr>
        <w:spacing w:after="0" w:line="276" w:lineRule="auto"/>
        <w:ind w:firstLine="1701"/>
        <w:contextualSpacing/>
        <w:jc w:val="both"/>
        <w:rPr>
          <w:rFonts w:ascii="Gadugi" w:eastAsia="Times New Roman" w:hAnsi="Gadugi"/>
          <w:sz w:val="24"/>
          <w:szCs w:val="24"/>
          <w:lang w:val="es-CO" w:eastAsia="es-ES"/>
        </w:rPr>
      </w:pPr>
      <w:r w:rsidRPr="00412B75">
        <w:rPr>
          <w:rFonts w:ascii="Gadugi" w:eastAsia="Times New Roman" w:hAnsi="Gadugi"/>
          <w:sz w:val="24"/>
          <w:szCs w:val="24"/>
          <w:lang w:val="es-CO" w:eastAsia="es-ES"/>
        </w:rPr>
        <w:t xml:space="preserve">Y tampoco se trata del auto que admite el recurso. En efecto, un recurso debe regirse por unos requisitos de procedibilidad: la legitimación, la procedencia y la oportunidad, que son los que el juez, o el magistrado, en su caso, analizan, tanto para conceder, como para admitir la alzada. Y hay uno más, que es el cumplimiento de cargas procesales, una vez ha sido concedido, que, para el caso de las sentencias se concretan fundamentalmente, en los reparos concretos y en la sustentación, pues su ausencia no conlleva la inadmisión, sino la deserción del recurso. </w:t>
      </w:r>
    </w:p>
    <w:p w14:paraId="10B3291F" w14:textId="77777777" w:rsidR="00906CE3" w:rsidRPr="00412B75" w:rsidRDefault="00906CE3" w:rsidP="004734F2">
      <w:pPr>
        <w:spacing w:after="0" w:line="276" w:lineRule="auto"/>
        <w:ind w:firstLine="1701"/>
        <w:contextualSpacing/>
        <w:jc w:val="both"/>
        <w:rPr>
          <w:rFonts w:ascii="Gadugi" w:eastAsia="Times New Roman" w:hAnsi="Gadugi"/>
          <w:sz w:val="24"/>
          <w:szCs w:val="24"/>
          <w:lang w:val="es-CO" w:eastAsia="es-ES"/>
        </w:rPr>
      </w:pPr>
    </w:p>
    <w:p w14:paraId="1B22792E" w14:textId="77777777" w:rsidR="00906CE3" w:rsidRPr="00412B75" w:rsidRDefault="00906CE3" w:rsidP="004734F2">
      <w:pPr>
        <w:spacing w:after="0" w:line="276" w:lineRule="auto"/>
        <w:ind w:firstLine="1701"/>
        <w:contextualSpacing/>
        <w:jc w:val="both"/>
        <w:rPr>
          <w:rFonts w:ascii="Gadugi" w:eastAsia="Times New Roman" w:hAnsi="Gadugi"/>
          <w:sz w:val="24"/>
          <w:szCs w:val="24"/>
          <w:lang w:val="es-CO" w:eastAsia="es-ES"/>
        </w:rPr>
      </w:pPr>
      <w:r w:rsidRPr="00412B75">
        <w:rPr>
          <w:rFonts w:ascii="Gadugi" w:eastAsia="Times New Roman" w:hAnsi="Gadugi"/>
          <w:sz w:val="24"/>
          <w:szCs w:val="24"/>
          <w:lang w:val="es-CO" w:eastAsia="es-ES"/>
        </w:rPr>
        <w:lastRenderedPageBreak/>
        <w:t xml:space="preserve">Como se puede ver, entonces, cuando el magistrado estima que el recurso -que ya ha sido admitido- cumplió la carga de la sustentación, es evidente que no se está pronunciando, valga insistir en ello, sobre la admisión misma, con lo cual, tampoco en este evento tiene cabida el recurso de súplica. </w:t>
      </w:r>
    </w:p>
    <w:p w14:paraId="66A048A3" w14:textId="77777777" w:rsidR="00906CE3" w:rsidRPr="00412B75" w:rsidRDefault="00906CE3" w:rsidP="004734F2">
      <w:pPr>
        <w:spacing w:after="0" w:line="276" w:lineRule="auto"/>
        <w:ind w:firstLine="1701"/>
        <w:contextualSpacing/>
        <w:jc w:val="both"/>
        <w:rPr>
          <w:rFonts w:ascii="Gadugi" w:eastAsia="Times New Roman" w:hAnsi="Gadugi"/>
          <w:sz w:val="24"/>
          <w:szCs w:val="24"/>
          <w:lang w:val="es-CO" w:eastAsia="es-ES"/>
        </w:rPr>
      </w:pPr>
    </w:p>
    <w:p w14:paraId="2A2AB48B" w14:textId="7A0571BB" w:rsidR="00906CE3" w:rsidRPr="00412B75" w:rsidRDefault="00906CE3" w:rsidP="004734F2">
      <w:pPr>
        <w:spacing w:after="0" w:line="276" w:lineRule="auto"/>
        <w:ind w:firstLine="1701"/>
        <w:contextualSpacing/>
        <w:jc w:val="both"/>
        <w:rPr>
          <w:rFonts w:ascii="Gadugi" w:eastAsia="Times New Roman" w:hAnsi="Gadugi"/>
          <w:sz w:val="24"/>
          <w:szCs w:val="24"/>
          <w:lang w:val="es-CO" w:eastAsia="es-ES"/>
        </w:rPr>
      </w:pPr>
      <w:r w:rsidRPr="00412B75">
        <w:rPr>
          <w:rFonts w:ascii="Gadugi" w:eastAsia="Times New Roman" w:hAnsi="Gadugi"/>
          <w:sz w:val="24"/>
          <w:szCs w:val="24"/>
          <w:lang w:val="es-CO" w:eastAsia="es-ES"/>
        </w:rPr>
        <w:t xml:space="preserve">Consecuencialmente, lo que queda es darle aplicación a lo que se ha dado en denominar el recurso paralelo, señalado en el parágrafo del artículo 318 del CGP, norma en virtud de la cual, si el recurrente impugna una providencia mediante un recurso improcedente, el juez debe darle el trámite que le corresponda, previsión que, si se quiere, fue pensada y traída al código por la </w:t>
      </w:r>
      <w:r w:rsidR="00914524" w:rsidRPr="00412B75">
        <w:rPr>
          <w:rFonts w:ascii="Gadugi" w:eastAsia="Times New Roman" w:hAnsi="Gadugi"/>
          <w:sz w:val="24"/>
          <w:szCs w:val="24"/>
          <w:lang w:val="es-CO" w:eastAsia="es-ES"/>
        </w:rPr>
        <w:t xml:space="preserve">frecuente equivocación que se daba, y se sigue presentando, </w:t>
      </w:r>
      <w:r w:rsidRPr="00412B75">
        <w:rPr>
          <w:rFonts w:ascii="Gadugi" w:eastAsia="Times New Roman" w:hAnsi="Gadugi"/>
          <w:sz w:val="24"/>
          <w:szCs w:val="24"/>
          <w:lang w:val="es-CO" w:eastAsia="es-ES"/>
        </w:rPr>
        <w:t>entre los recursos de reposición y súplica en segunda instancia o ante la Corte, y como una garantía adicional para los sujetos procesales</w:t>
      </w:r>
      <w:r w:rsidR="00914524" w:rsidRPr="00412B75">
        <w:rPr>
          <w:rFonts w:ascii="Gadugi" w:eastAsia="Times New Roman" w:hAnsi="Gadugi"/>
          <w:sz w:val="24"/>
          <w:szCs w:val="24"/>
          <w:lang w:val="es-CO" w:eastAsia="es-ES"/>
        </w:rPr>
        <w:t xml:space="preserve">, mucho más amplia ahora, en cuanto no se limita solo a estos dos medios de impugnación. </w:t>
      </w:r>
    </w:p>
    <w:p w14:paraId="62DD72B3" w14:textId="77777777" w:rsidR="00906CE3" w:rsidRPr="00412B75" w:rsidRDefault="00906CE3" w:rsidP="004734F2">
      <w:pPr>
        <w:spacing w:after="0" w:line="276" w:lineRule="auto"/>
        <w:ind w:firstLine="1701"/>
        <w:contextualSpacing/>
        <w:jc w:val="both"/>
        <w:rPr>
          <w:rFonts w:ascii="Gadugi" w:eastAsia="Times New Roman" w:hAnsi="Gadugi"/>
          <w:sz w:val="24"/>
          <w:szCs w:val="24"/>
          <w:lang w:val="es-CO" w:eastAsia="es-ES"/>
        </w:rPr>
      </w:pPr>
    </w:p>
    <w:p w14:paraId="5C82834B" w14:textId="77777777" w:rsidR="00914524" w:rsidRPr="00412B75" w:rsidRDefault="00906CE3" w:rsidP="004734F2">
      <w:pPr>
        <w:spacing w:after="0" w:line="276" w:lineRule="auto"/>
        <w:ind w:firstLine="1701"/>
        <w:contextualSpacing/>
        <w:jc w:val="both"/>
        <w:rPr>
          <w:rFonts w:ascii="Gadugi" w:eastAsia="Times New Roman" w:hAnsi="Gadugi"/>
          <w:sz w:val="24"/>
          <w:szCs w:val="24"/>
          <w:lang w:val="es-CO" w:eastAsia="es-ES"/>
        </w:rPr>
      </w:pPr>
      <w:r w:rsidRPr="00412B75">
        <w:rPr>
          <w:rFonts w:ascii="Gadugi" w:eastAsia="Times New Roman" w:hAnsi="Gadugi"/>
          <w:sz w:val="24"/>
          <w:szCs w:val="24"/>
          <w:lang w:val="es-CO" w:eastAsia="es-ES"/>
        </w:rPr>
        <w:t xml:space="preserve">Por supuesto, el recurso de reposición, en los términos del mismo artículo 318, debe ser resuelto por el mismo funcionario que emitió la providencia, por lo cual se </w:t>
      </w:r>
      <w:r w:rsidR="00914524" w:rsidRPr="00412B75">
        <w:rPr>
          <w:rFonts w:ascii="Gadugi" w:eastAsia="Times New Roman" w:hAnsi="Gadugi"/>
          <w:sz w:val="24"/>
          <w:szCs w:val="24"/>
          <w:lang w:val="es-CO" w:eastAsia="es-ES"/>
        </w:rPr>
        <w:t xml:space="preserve">declarará improcedente la súplica, pero se remitirá la actuación al magistrado sustanciador para que le imprima el trámite correspondiente. </w:t>
      </w:r>
    </w:p>
    <w:p w14:paraId="4224FFBF" w14:textId="5F9E05AB" w:rsidR="00914524" w:rsidRPr="00412B75" w:rsidRDefault="00914524" w:rsidP="004734F2">
      <w:pPr>
        <w:spacing w:after="0" w:line="276" w:lineRule="auto"/>
        <w:ind w:firstLine="1701"/>
        <w:contextualSpacing/>
        <w:jc w:val="both"/>
        <w:rPr>
          <w:rFonts w:ascii="Gadugi" w:eastAsia="Times New Roman" w:hAnsi="Gadugi"/>
          <w:sz w:val="24"/>
          <w:szCs w:val="24"/>
          <w:lang w:val="es-CO" w:eastAsia="es-ES"/>
        </w:rPr>
      </w:pPr>
    </w:p>
    <w:p w14:paraId="4C4C5560" w14:textId="77777777" w:rsidR="00906757" w:rsidRPr="00412B75" w:rsidRDefault="00906757" w:rsidP="004734F2">
      <w:pPr>
        <w:spacing w:after="0" w:line="276" w:lineRule="auto"/>
        <w:ind w:firstLine="1701"/>
        <w:contextualSpacing/>
        <w:jc w:val="both"/>
        <w:rPr>
          <w:rFonts w:ascii="Gadugi" w:eastAsia="Times New Roman" w:hAnsi="Gadugi"/>
          <w:sz w:val="24"/>
          <w:szCs w:val="24"/>
          <w:lang w:val="es-CO" w:eastAsia="es-ES"/>
        </w:rPr>
      </w:pPr>
    </w:p>
    <w:p w14:paraId="7E410211" w14:textId="77777777" w:rsidR="00914524" w:rsidRPr="00412B75" w:rsidRDefault="00914524" w:rsidP="004734F2">
      <w:pPr>
        <w:spacing w:after="0" w:line="276" w:lineRule="auto"/>
        <w:ind w:firstLine="1701"/>
        <w:contextualSpacing/>
        <w:jc w:val="both"/>
        <w:rPr>
          <w:rFonts w:ascii="Gadugi" w:eastAsia="Times New Roman" w:hAnsi="Gadugi"/>
          <w:sz w:val="24"/>
          <w:szCs w:val="24"/>
          <w:lang w:val="es-CO" w:eastAsia="es-ES"/>
        </w:rPr>
      </w:pPr>
      <w:r w:rsidRPr="00412B75">
        <w:rPr>
          <w:rFonts w:ascii="Gadugi" w:eastAsia="Times New Roman" w:hAnsi="Gadugi"/>
          <w:b/>
          <w:sz w:val="24"/>
          <w:szCs w:val="24"/>
          <w:lang w:val="es-CO" w:eastAsia="es-ES"/>
        </w:rPr>
        <w:t>DECISIÓN</w:t>
      </w:r>
    </w:p>
    <w:p w14:paraId="5C97C2C7" w14:textId="77777777" w:rsidR="00914524" w:rsidRPr="00412B75" w:rsidRDefault="00914524" w:rsidP="004734F2">
      <w:pPr>
        <w:spacing w:after="0" w:line="276" w:lineRule="auto"/>
        <w:ind w:firstLine="1701"/>
        <w:contextualSpacing/>
        <w:jc w:val="both"/>
        <w:rPr>
          <w:rFonts w:ascii="Gadugi" w:eastAsia="Times New Roman" w:hAnsi="Gadugi"/>
          <w:sz w:val="24"/>
          <w:szCs w:val="24"/>
          <w:lang w:val="es-CO" w:eastAsia="es-ES"/>
        </w:rPr>
      </w:pPr>
    </w:p>
    <w:p w14:paraId="307D253C" w14:textId="77777777" w:rsidR="00A87A2A" w:rsidRPr="00412B75" w:rsidRDefault="00A87A2A" w:rsidP="004734F2">
      <w:pPr>
        <w:spacing w:after="0" w:line="276" w:lineRule="auto"/>
        <w:contextualSpacing/>
        <w:jc w:val="both"/>
        <w:rPr>
          <w:rFonts w:ascii="Gadugi" w:eastAsia="Times New Roman" w:hAnsi="Gadugi" w:cs="Arial"/>
          <w:sz w:val="24"/>
          <w:szCs w:val="24"/>
          <w:lang w:val="es-CO" w:eastAsia="es-ES"/>
        </w:rPr>
      </w:pPr>
    </w:p>
    <w:p w14:paraId="7B8140F2" w14:textId="65C98A63" w:rsidR="00A87A2A" w:rsidRPr="00412B75" w:rsidRDefault="00A87A2A" w:rsidP="004734F2">
      <w:pPr>
        <w:spacing w:after="0" w:line="276" w:lineRule="auto"/>
        <w:ind w:firstLine="1701"/>
        <w:contextualSpacing/>
        <w:jc w:val="both"/>
        <w:rPr>
          <w:rFonts w:ascii="Gadugi" w:eastAsia="Times New Roman" w:hAnsi="Gadugi"/>
          <w:sz w:val="24"/>
          <w:szCs w:val="24"/>
          <w:lang w:val="es-CO" w:eastAsia="es-ES"/>
        </w:rPr>
      </w:pPr>
      <w:r w:rsidRPr="00412B75">
        <w:rPr>
          <w:rFonts w:ascii="Gadugi" w:eastAsia="Times New Roman" w:hAnsi="Gadugi"/>
          <w:sz w:val="24"/>
          <w:szCs w:val="24"/>
          <w:lang w:val="es-CO" w:eastAsia="es-ES"/>
        </w:rPr>
        <w:t>En armonía con lo dicho, esta Sala Dual Civil-Familia del Tribunal Superior de Pereira</w:t>
      </w:r>
      <w:r w:rsidRPr="00412B75">
        <w:rPr>
          <w:rFonts w:ascii="Gadugi" w:eastAsia="Times New Roman" w:hAnsi="Gadugi"/>
          <w:b/>
          <w:sz w:val="24"/>
          <w:szCs w:val="24"/>
          <w:lang w:val="es-CO" w:eastAsia="es-ES"/>
        </w:rPr>
        <w:t xml:space="preserve">, </w:t>
      </w:r>
      <w:r w:rsidR="00914524" w:rsidRPr="00412B75">
        <w:rPr>
          <w:rFonts w:ascii="Gadugi" w:eastAsia="Times New Roman" w:hAnsi="Gadugi"/>
          <w:sz w:val="24"/>
          <w:szCs w:val="24"/>
          <w:lang w:val="es-CO" w:eastAsia="es-ES"/>
        </w:rPr>
        <w:t xml:space="preserve">declara improcedente el recurso de súplica y ordena </w:t>
      </w:r>
      <w:r w:rsidRPr="00412B75">
        <w:rPr>
          <w:rFonts w:ascii="Gadugi" w:eastAsia="Times New Roman" w:hAnsi="Gadugi"/>
          <w:sz w:val="24"/>
          <w:szCs w:val="24"/>
          <w:lang w:val="es-CO" w:eastAsia="es-ES"/>
        </w:rPr>
        <w:t xml:space="preserve">devolver el presente asunto al </w:t>
      </w:r>
      <w:r w:rsidR="00914524" w:rsidRPr="00412B75">
        <w:rPr>
          <w:rFonts w:ascii="Gadugi" w:eastAsia="Times New Roman" w:hAnsi="Gadugi"/>
          <w:sz w:val="24"/>
          <w:szCs w:val="24"/>
          <w:lang w:val="es-CO" w:eastAsia="es-ES"/>
        </w:rPr>
        <w:t>d</w:t>
      </w:r>
      <w:r w:rsidRPr="00412B75">
        <w:rPr>
          <w:rFonts w:ascii="Gadugi" w:eastAsia="Times New Roman" w:hAnsi="Gadugi"/>
          <w:sz w:val="24"/>
          <w:szCs w:val="24"/>
          <w:lang w:val="es-CO" w:eastAsia="es-ES"/>
        </w:rPr>
        <w:t xml:space="preserve">espacho del Magistrado Edder Jimmy Sánchez </w:t>
      </w:r>
      <w:proofErr w:type="spellStart"/>
      <w:r w:rsidRPr="00412B75">
        <w:rPr>
          <w:rFonts w:ascii="Gadugi" w:eastAsia="Times New Roman" w:hAnsi="Gadugi"/>
          <w:sz w:val="24"/>
          <w:szCs w:val="24"/>
          <w:lang w:val="es-CO" w:eastAsia="es-ES"/>
        </w:rPr>
        <w:t>Cal</w:t>
      </w:r>
      <w:r w:rsidR="00914524" w:rsidRPr="00412B75">
        <w:rPr>
          <w:rFonts w:ascii="Gadugi" w:eastAsia="Times New Roman" w:hAnsi="Gadugi"/>
          <w:sz w:val="24"/>
          <w:szCs w:val="24"/>
          <w:lang w:val="es-CO" w:eastAsia="es-ES"/>
        </w:rPr>
        <w:t>a</w:t>
      </w:r>
      <w:r w:rsidRPr="00412B75">
        <w:rPr>
          <w:rFonts w:ascii="Gadugi" w:eastAsia="Times New Roman" w:hAnsi="Gadugi"/>
          <w:sz w:val="24"/>
          <w:szCs w:val="24"/>
          <w:lang w:val="es-CO" w:eastAsia="es-ES"/>
        </w:rPr>
        <w:t>mbás</w:t>
      </w:r>
      <w:proofErr w:type="spellEnd"/>
      <w:r w:rsidRPr="00412B75">
        <w:rPr>
          <w:rFonts w:ascii="Gadugi" w:eastAsia="Times New Roman" w:hAnsi="Gadugi"/>
          <w:sz w:val="24"/>
          <w:szCs w:val="24"/>
          <w:lang w:val="es-CO" w:eastAsia="es-ES"/>
        </w:rPr>
        <w:t xml:space="preserve">, con el fin de que provea </w:t>
      </w:r>
      <w:r w:rsidR="00914524" w:rsidRPr="00412B75">
        <w:rPr>
          <w:rFonts w:ascii="Gadugi" w:eastAsia="Times New Roman" w:hAnsi="Gadugi"/>
          <w:sz w:val="24"/>
          <w:szCs w:val="24"/>
          <w:lang w:val="es-CO" w:eastAsia="es-ES"/>
        </w:rPr>
        <w:t xml:space="preserve">en </w:t>
      </w:r>
      <w:r w:rsidRPr="00412B75">
        <w:rPr>
          <w:rFonts w:ascii="Gadugi" w:eastAsia="Times New Roman" w:hAnsi="Gadugi"/>
          <w:sz w:val="24"/>
          <w:szCs w:val="24"/>
          <w:lang w:val="es-CO" w:eastAsia="es-ES"/>
        </w:rPr>
        <w:t>relación</w:t>
      </w:r>
      <w:r w:rsidR="00E8302D" w:rsidRPr="00412B75">
        <w:rPr>
          <w:rFonts w:ascii="Gadugi" w:eastAsia="Times New Roman" w:hAnsi="Gadugi"/>
          <w:sz w:val="24"/>
          <w:szCs w:val="24"/>
          <w:lang w:val="es-CO" w:eastAsia="es-ES"/>
        </w:rPr>
        <w:t xml:space="preserve"> con el recurso de reposición</w:t>
      </w:r>
      <w:r w:rsidRPr="00412B75">
        <w:rPr>
          <w:rFonts w:ascii="Gadugi" w:eastAsia="Times New Roman" w:hAnsi="Gadugi"/>
          <w:sz w:val="24"/>
          <w:szCs w:val="24"/>
          <w:lang w:val="es-CO" w:eastAsia="es-ES"/>
        </w:rPr>
        <w:t xml:space="preserve">. </w:t>
      </w:r>
    </w:p>
    <w:p w14:paraId="28A57043" w14:textId="77777777" w:rsidR="00A87A2A" w:rsidRPr="00412B75" w:rsidRDefault="00A87A2A" w:rsidP="004734F2">
      <w:pPr>
        <w:spacing w:after="0" w:line="276" w:lineRule="auto"/>
        <w:ind w:firstLine="2835"/>
        <w:contextualSpacing/>
        <w:jc w:val="both"/>
        <w:rPr>
          <w:rFonts w:ascii="Gadugi" w:eastAsia="Times New Roman" w:hAnsi="Gadugi"/>
          <w:sz w:val="24"/>
          <w:szCs w:val="24"/>
          <w:lang w:val="es-CO"/>
        </w:rPr>
      </w:pPr>
    </w:p>
    <w:p w14:paraId="6DD086FD" w14:textId="77777777" w:rsidR="00A87A2A" w:rsidRPr="00412B75" w:rsidRDefault="00A87A2A" w:rsidP="004734F2">
      <w:pPr>
        <w:spacing w:after="0" w:line="276" w:lineRule="auto"/>
        <w:ind w:firstLine="1701"/>
        <w:contextualSpacing/>
        <w:jc w:val="both"/>
        <w:rPr>
          <w:rFonts w:ascii="Gadugi" w:eastAsia="Times New Roman" w:hAnsi="Gadugi"/>
          <w:sz w:val="24"/>
          <w:szCs w:val="24"/>
          <w:lang w:val="es-CO"/>
        </w:rPr>
      </w:pPr>
      <w:r w:rsidRPr="00412B75">
        <w:rPr>
          <w:rFonts w:ascii="Gadugi" w:eastAsia="Times New Roman" w:hAnsi="Gadugi"/>
          <w:sz w:val="24"/>
          <w:szCs w:val="24"/>
          <w:lang w:val="es-CO"/>
        </w:rPr>
        <w:t>Notifíquese</w:t>
      </w:r>
    </w:p>
    <w:p w14:paraId="73D79124" w14:textId="77777777" w:rsidR="00A87A2A" w:rsidRPr="00412B75" w:rsidRDefault="00A87A2A" w:rsidP="004734F2">
      <w:pPr>
        <w:spacing w:after="0" w:line="276" w:lineRule="auto"/>
        <w:ind w:firstLine="2835"/>
        <w:contextualSpacing/>
        <w:jc w:val="both"/>
        <w:rPr>
          <w:rFonts w:ascii="Gadugi" w:eastAsia="Times New Roman" w:hAnsi="Gadugi"/>
          <w:sz w:val="24"/>
          <w:szCs w:val="24"/>
          <w:lang w:val="es-CO"/>
        </w:rPr>
      </w:pPr>
    </w:p>
    <w:p w14:paraId="2FE80E63" w14:textId="77777777" w:rsidR="00A87A2A" w:rsidRPr="00412B75" w:rsidRDefault="00A87A2A" w:rsidP="004734F2">
      <w:pPr>
        <w:spacing w:after="0" w:line="276" w:lineRule="auto"/>
        <w:ind w:firstLine="1701"/>
        <w:contextualSpacing/>
        <w:jc w:val="both"/>
        <w:rPr>
          <w:rFonts w:ascii="Gadugi" w:eastAsia="Times New Roman" w:hAnsi="Gadugi"/>
          <w:sz w:val="24"/>
          <w:szCs w:val="24"/>
          <w:lang w:val="es-CO"/>
        </w:rPr>
      </w:pPr>
      <w:r w:rsidRPr="00412B75">
        <w:rPr>
          <w:rFonts w:ascii="Gadugi" w:eastAsia="Times New Roman" w:hAnsi="Gadugi"/>
          <w:sz w:val="24"/>
          <w:szCs w:val="24"/>
          <w:lang w:val="es-CO"/>
        </w:rPr>
        <w:t xml:space="preserve">Los Magistrados, </w:t>
      </w:r>
    </w:p>
    <w:p w14:paraId="747CACA0" w14:textId="77777777" w:rsidR="00A87A2A" w:rsidRPr="00412B75" w:rsidRDefault="00A87A2A" w:rsidP="004734F2">
      <w:pPr>
        <w:spacing w:after="0" w:line="276" w:lineRule="auto"/>
        <w:ind w:firstLine="2835"/>
        <w:contextualSpacing/>
        <w:jc w:val="both"/>
        <w:rPr>
          <w:rFonts w:ascii="Gadugi" w:eastAsia="Times New Roman" w:hAnsi="Gadugi"/>
          <w:b/>
          <w:sz w:val="24"/>
          <w:szCs w:val="24"/>
          <w:lang w:val="es-CO"/>
        </w:rPr>
      </w:pPr>
    </w:p>
    <w:p w14:paraId="6DF76CF5" w14:textId="77777777" w:rsidR="00A87A2A" w:rsidRPr="00412B75" w:rsidRDefault="00A87A2A" w:rsidP="004734F2">
      <w:pPr>
        <w:spacing w:after="0" w:line="276" w:lineRule="auto"/>
        <w:ind w:firstLine="2835"/>
        <w:contextualSpacing/>
        <w:jc w:val="both"/>
        <w:rPr>
          <w:rFonts w:ascii="Gadugi" w:eastAsia="Times New Roman" w:hAnsi="Gadugi"/>
          <w:b/>
          <w:sz w:val="24"/>
          <w:szCs w:val="24"/>
          <w:lang w:val="es-CO"/>
        </w:rPr>
      </w:pPr>
    </w:p>
    <w:p w14:paraId="481BF681" w14:textId="77777777" w:rsidR="00A87A2A" w:rsidRPr="00412B75" w:rsidRDefault="00A87A2A" w:rsidP="004734F2">
      <w:pPr>
        <w:spacing w:after="0" w:line="276" w:lineRule="auto"/>
        <w:ind w:firstLine="2835"/>
        <w:contextualSpacing/>
        <w:jc w:val="both"/>
        <w:rPr>
          <w:rFonts w:ascii="Gadugi" w:eastAsia="Times New Roman" w:hAnsi="Gadugi"/>
          <w:b/>
          <w:sz w:val="24"/>
          <w:szCs w:val="24"/>
          <w:lang w:val="es-CO"/>
        </w:rPr>
      </w:pPr>
    </w:p>
    <w:p w14:paraId="73CC844F" w14:textId="5CD3D565" w:rsidR="00A87A2A" w:rsidRPr="00412B75" w:rsidRDefault="00A87A2A" w:rsidP="004734F2">
      <w:pPr>
        <w:spacing w:after="0" w:line="276" w:lineRule="auto"/>
        <w:ind w:firstLine="1701"/>
        <w:contextualSpacing/>
        <w:jc w:val="both"/>
        <w:rPr>
          <w:rFonts w:ascii="Gadugi" w:eastAsia="Times New Roman" w:hAnsi="Gadugi"/>
          <w:b/>
          <w:sz w:val="24"/>
          <w:szCs w:val="24"/>
          <w:lang w:val="es-CO"/>
        </w:rPr>
      </w:pPr>
      <w:r w:rsidRPr="00412B75">
        <w:rPr>
          <w:rFonts w:ascii="Gadugi" w:eastAsia="Times New Roman" w:hAnsi="Gadugi"/>
          <w:b/>
          <w:sz w:val="24"/>
          <w:szCs w:val="24"/>
          <w:lang w:val="es-CO"/>
        </w:rPr>
        <w:t>JAIME ALBERTO SARAZA NARANJO</w:t>
      </w:r>
    </w:p>
    <w:p w14:paraId="07FCB58D" w14:textId="77777777" w:rsidR="00A87A2A" w:rsidRPr="00412B75" w:rsidRDefault="00A87A2A" w:rsidP="004734F2">
      <w:pPr>
        <w:spacing w:after="0" w:line="276" w:lineRule="auto"/>
        <w:ind w:firstLine="2835"/>
        <w:contextualSpacing/>
        <w:jc w:val="both"/>
        <w:rPr>
          <w:rFonts w:ascii="Gadugi" w:eastAsia="Times New Roman" w:hAnsi="Gadugi"/>
          <w:b/>
          <w:sz w:val="24"/>
          <w:szCs w:val="24"/>
          <w:lang w:val="es-CO"/>
        </w:rPr>
      </w:pPr>
    </w:p>
    <w:p w14:paraId="04CD969A" w14:textId="77777777" w:rsidR="00A87A2A" w:rsidRPr="00412B75" w:rsidRDefault="00A87A2A" w:rsidP="004734F2">
      <w:pPr>
        <w:spacing w:after="0" w:line="276" w:lineRule="auto"/>
        <w:ind w:firstLine="2835"/>
        <w:contextualSpacing/>
        <w:jc w:val="both"/>
        <w:rPr>
          <w:rFonts w:ascii="Gadugi" w:eastAsia="Times New Roman" w:hAnsi="Gadugi"/>
          <w:b/>
          <w:sz w:val="24"/>
          <w:szCs w:val="24"/>
          <w:lang w:val="es-CO"/>
        </w:rPr>
      </w:pPr>
    </w:p>
    <w:p w14:paraId="5E174425" w14:textId="77777777" w:rsidR="00A87A2A" w:rsidRPr="00412B75" w:rsidRDefault="00A87A2A" w:rsidP="004734F2">
      <w:pPr>
        <w:spacing w:after="0" w:line="276" w:lineRule="auto"/>
        <w:ind w:firstLine="2835"/>
        <w:contextualSpacing/>
        <w:jc w:val="both"/>
        <w:rPr>
          <w:rFonts w:ascii="Gadugi" w:eastAsia="Times New Roman" w:hAnsi="Gadugi"/>
          <w:b/>
          <w:sz w:val="24"/>
          <w:szCs w:val="24"/>
          <w:lang w:val="es-CO"/>
        </w:rPr>
      </w:pPr>
    </w:p>
    <w:p w14:paraId="6AD0A343" w14:textId="28950B2B" w:rsidR="003C363C" w:rsidRPr="00C43FAA" w:rsidRDefault="00E8302D" w:rsidP="00C43FAA">
      <w:pPr>
        <w:spacing w:after="0" w:line="276" w:lineRule="auto"/>
        <w:ind w:firstLine="1701"/>
        <w:contextualSpacing/>
        <w:jc w:val="both"/>
        <w:rPr>
          <w:rFonts w:ascii="Gadugi" w:eastAsia="Times New Roman" w:hAnsi="Gadugi"/>
          <w:b/>
          <w:bCs/>
          <w:sz w:val="24"/>
          <w:szCs w:val="24"/>
          <w:lang w:val="es-CO"/>
        </w:rPr>
      </w:pPr>
      <w:r w:rsidRPr="00412B75">
        <w:rPr>
          <w:rFonts w:ascii="Gadugi" w:eastAsia="Times New Roman" w:hAnsi="Gadugi"/>
          <w:b/>
          <w:bCs/>
          <w:sz w:val="24"/>
          <w:szCs w:val="24"/>
          <w:lang w:val="es-CO"/>
        </w:rPr>
        <w:t>CARLOS MAURICIO GARCÍA BARAJAS</w:t>
      </w:r>
    </w:p>
    <w:sectPr w:rsidR="003C363C" w:rsidRPr="00C43FAA" w:rsidSect="00376D40">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44C767" w16cex:dateUtc="2021-08-24T19:17:44.2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B5352" w14:textId="77777777" w:rsidR="00367ABE" w:rsidRDefault="00367ABE" w:rsidP="00A87A2A">
      <w:pPr>
        <w:spacing w:after="0" w:line="240" w:lineRule="auto"/>
      </w:pPr>
      <w:r>
        <w:separator/>
      </w:r>
    </w:p>
  </w:endnote>
  <w:endnote w:type="continuationSeparator" w:id="0">
    <w:p w14:paraId="45358B83" w14:textId="77777777" w:rsidR="00367ABE" w:rsidRDefault="00367ABE" w:rsidP="00A8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00000003" w:usb1="00000000" w:usb2="00000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01E66" w14:textId="77777777" w:rsidR="00367ABE" w:rsidRDefault="00367ABE" w:rsidP="00A87A2A">
      <w:pPr>
        <w:spacing w:after="0" w:line="240" w:lineRule="auto"/>
      </w:pPr>
      <w:r>
        <w:separator/>
      </w:r>
    </w:p>
  </w:footnote>
  <w:footnote w:type="continuationSeparator" w:id="0">
    <w:p w14:paraId="219F08CC" w14:textId="77777777" w:rsidR="00367ABE" w:rsidRDefault="00367ABE" w:rsidP="00A87A2A">
      <w:pPr>
        <w:spacing w:after="0" w:line="240" w:lineRule="auto"/>
      </w:pPr>
      <w:r>
        <w:continuationSeparator/>
      </w:r>
    </w:p>
  </w:footnote>
  <w:footnote w:id="1">
    <w:p w14:paraId="05A5DAD8" w14:textId="7F060F3D" w:rsidR="00906CE3" w:rsidRPr="004734F2" w:rsidRDefault="00906CE3" w:rsidP="004734F2">
      <w:pPr>
        <w:pStyle w:val="Textonotapie"/>
        <w:rPr>
          <w:rFonts w:ascii="Arial" w:hAnsi="Arial" w:cs="Arial"/>
          <w:sz w:val="18"/>
          <w:lang w:val="es-419"/>
        </w:rPr>
      </w:pPr>
      <w:r w:rsidRPr="004734F2">
        <w:rPr>
          <w:rStyle w:val="Refdenotaalpie"/>
          <w:rFonts w:ascii="Arial" w:hAnsi="Arial" w:cs="Arial"/>
          <w:sz w:val="18"/>
        </w:rPr>
        <w:footnoteRef/>
      </w:r>
      <w:r w:rsidRPr="004734F2">
        <w:rPr>
          <w:rFonts w:ascii="Arial" w:hAnsi="Arial" w:cs="Arial"/>
          <w:sz w:val="18"/>
        </w:rPr>
        <w:t xml:space="preserve"> </w:t>
      </w:r>
      <w:r w:rsidRPr="004734F2">
        <w:rPr>
          <w:rFonts w:ascii="Arial" w:hAnsi="Arial" w:cs="Arial"/>
          <w:sz w:val="18"/>
          <w:lang w:val="es-419"/>
        </w:rPr>
        <w:t>AC-7747-16; AC-2032-17; AC-530-2018.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2A"/>
    <w:rsid w:val="0004639E"/>
    <w:rsid w:val="0009566F"/>
    <w:rsid w:val="000F2FC0"/>
    <w:rsid w:val="001844BE"/>
    <w:rsid w:val="001B5CF3"/>
    <w:rsid w:val="00367ABE"/>
    <w:rsid w:val="00376D40"/>
    <w:rsid w:val="0039389B"/>
    <w:rsid w:val="003C363C"/>
    <w:rsid w:val="00412B75"/>
    <w:rsid w:val="004734F2"/>
    <w:rsid w:val="00660B55"/>
    <w:rsid w:val="00673110"/>
    <w:rsid w:val="00677164"/>
    <w:rsid w:val="006F13D0"/>
    <w:rsid w:val="007509DE"/>
    <w:rsid w:val="00830748"/>
    <w:rsid w:val="008574D8"/>
    <w:rsid w:val="008D6413"/>
    <w:rsid w:val="008F1731"/>
    <w:rsid w:val="00906757"/>
    <w:rsid w:val="00906CE3"/>
    <w:rsid w:val="00914524"/>
    <w:rsid w:val="00976F70"/>
    <w:rsid w:val="009869E1"/>
    <w:rsid w:val="009E5183"/>
    <w:rsid w:val="00A50413"/>
    <w:rsid w:val="00A70BB9"/>
    <w:rsid w:val="00A77CA9"/>
    <w:rsid w:val="00A87A2A"/>
    <w:rsid w:val="00AB25DB"/>
    <w:rsid w:val="00B326B2"/>
    <w:rsid w:val="00B506E0"/>
    <w:rsid w:val="00BE163F"/>
    <w:rsid w:val="00C115C7"/>
    <w:rsid w:val="00C43FAA"/>
    <w:rsid w:val="00CB23D2"/>
    <w:rsid w:val="00D63D4C"/>
    <w:rsid w:val="00DD7656"/>
    <w:rsid w:val="00E23C8C"/>
    <w:rsid w:val="00E73435"/>
    <w:rsid w:val="00E8302D"/>
    <w:rsid w:val="00E941B0"/>
    <w:rsid w:val="00EB546D"/>
    <w:rsid w:val="00F412C6"/>
    <w:rsid w:val="00F5297D"/>
    <w:rsid w:val="00F854D2"/>
    <w:rsid w:val="00F85D8F"/>
    <w:rsid w:val="00FB2BE3"/>
    <w:rsid w:val="0C739513"/>
    <w:rsid w:val="29CF7040"/>
    <w:rsid w:val="3F3FA1BD"/>
    <w:rsid w:val="5FD8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2D2C"/>
  <w15:chartTrackingRefBased/>
  <w15:docId w15:val="{EFE7E082-3DC6-426C-9024-E5B3E4DB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A2A"/>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87A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7A2A"/>
    <w:rPr>
      <w:rFonts w:ascii="Calibri" w:eastAsia="Calibri" w:hAnsi="Calibri" w:cs="Times New Roman"/>
      <w:sz w:val="20"/>
      <w:szCs w:val="20"/>
      <w:lang w:val="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unhideWhenUsed/>
    <w:rsid w:val="00A87A2A"/>
    <w:rPr>
      <w:vertAlign w:val="superscript"/>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067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6757"/>
    <w:rPr>
      <w:rFonts w:ascii="Segoe UI" w:eastAsia="Calibri" w:hAnsi="Segoe UI" w:cs="Segoe UI"/>
      <w:sz w:val="18"/>
      <w:szCs w:val="18"/>
      <w:lang w:val="es-ES"/>
    </w:rPr>
  </w:style>
  <w:style w:type="paragraph" w:styleId="Sinespaciado">
    <w:name w:val="No Spacing"/>
    <w:link w:val="SinespaciadoCar"/>
    <w:uiPriority w:val="1"/>
    <w:qFormat/>
    <w:rsid w:val="00376D40"/>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376D40"/>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5c9dd5428dee4df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5B34-E7D2-4AE8-AB0B-BF2C0823B6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9EBECA-EA61-4EBC-933C-6A1B0A1BB360}">
  <ds:schemaRefs>
    <ds:schemaRef ds:uri="http://schemas.microsoft.com/sharepoint/v3/contenttype/forms"/>
  </ds:schemaRefs>
</ds:datastoreItem>
</file>

<file path=customXml/itemProps3.xml><?xml version="1.0" encoding="utf-8"?>
<ds:datastoreItem xmlns:ds="http://schemas.openxmlformats.org/officeDocument/2006/customXml" ds:itemID="{5DD97652-3BDA-4B9A-95E3-74D846C76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256AD-4243-4E93-BEA7-C44EB3FE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1093</Words>
  <Characters>6013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Grisales</dc:creator>
  <cp:keywords/>
  <dc:description/>
  <cp:lastModifiedBy>Hermides Alonso Gaviria Ocampo</cp:lastModifiedBy>
  <cp:revision>6</cp:revision>
  <dcterms:created xsi:type="dcterms:W3CDTF">2021-08-25T16:01:00Z</dcterms:created>
  <dcterms:modified xsi:type="dcterms:W3CDTF">2022-03-02T15:05:00Z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