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3AC9" w14:textId="77777777" w:rsidR="001844F0" w:rsidRDefault="001844F0" w:rsidP="001844F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EEE41E" w14:textId="77777777" w:rsidR="001844F0" w:rsidRDefault="001844F0" w:rsidP="001844F0">
      <w:pPr>
        <w:jc w:val="both"/>
        <w:rPr>
          <w:rFonts w:ascii="Arial" w:hAnsi="Arial" w:cs="Arial"/>
          <w:lang w:val="es-419"/>
        </w:rPr>
      </w:pPr>
    </w:p>
    <w:p w14:paraId="52B24E74" w14:textId="3FF569DE" w:rsidR="001844F0" w:rsidRDefault="00E55A20" w:rsidP="001844F0">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DERECHO DE PETICIÓN / REQUISITOS DE LA RESPUESTA / DEBE SER CLARA, CONGRUENTE, DE FONDO Y OPORTUNA / EN ESTE CASO NO LO FUE / REMISIÓN AL COMPETENTE PARA RESPONDER EN CASO DE NO SERLO EL DESTINATARIO / CASO: PLATAFORMA SARLAFT.</w:t>
      </w:r>
    </w:p>
    <w:p w14:paraId="1D78A623" w14:textId="77777777" w:rsidR="001844F0" w:rsidRDefault="001844F0" w:rsidP="001844F0">
      <w:pPr>
        <w:jc w:val="both"/>
        <w:rPr>
          <w:rFonts w:ascii="Arial" w:hAnsi="Arial" w:cs="Arial"/>
          <w:lang w:val="es-419"/>
        </w:rPr>
      </w:pPr>
    </w:p>
    <w:p w14:paraId="388A5911" w14:textId="0F0E4007" w:rsidR="001844F0" w:rsidRDefault="00A557BF" w:rsidP="001844F0">
      <w:pPr>
        <w:jc w:val="both"/>
        <w:rPr>
          <w:rFonts w:ascii="Arial" w:hAnsi="Arial" w:cs="Arial"/>
          <w:lang w:val="es-419"/>
        </w:rPr>
      </w:pPr>
      <w:r w:rsidRPr="00A557BF">
        <w:rPr>
          <w:rFonts w:ascii="Arial" w:hAnsi="Arial" w:cs="Arial"/>
          <w:lang w:val="es-419"/>
        </w:rPr>
        <w:t>Acude en esta oportunidad Liliana Valencia López, en procura de la protección de las prerrogativas fundamentales que invocó, para que se le ordene a la SFC, contestar de fondo un derecho de petición que elevó el 29 de abril de 2021.</w:t>
      </w:r>
      <w:r>
        <w:rPr>
          <w:rFonts w:ascii="Arial" w:hAnsi="Arial" w:cs="Arial"/>
          <w:lang w:val="es-419"/>
        </w:rPr>
        <w:t xml:space="preserve"> (…)</w:t>
      </w:r>
    </w:p>
    <w:p w14:paraId="2E87BE8A" w14:textId="77777777" w:rsidR="001844F0" w:rsidRDefault="001844F0" w:rsidP="001844F0">
      <w:pPr>
        <w:jc w:val="both"/>
        <w:rPr>
          <w:rFonts w:ascii="Arial" w:hAnsi="Arial" w:cs="Arial"/>
          <w:lang w:val="es-419"/>
        </w:rPr>
      </w:pPr>
    </w:p>
    <w:p w14:paraId="28A5740C" w14:textId="28E05E15" w:rsidR="001844F0" w:rsidRDefault="0045466C" w:rsidP="001844F0">
      <w:pPr>
        <w:jc w:val="both"/>
        <w:rPr>
          <w:rFonts w:ascii="Arial" w:hAnsi="Arial" w:cs="Arial"/>
          <w:lang w:val="es-419"/>
        </w:rPr>
      </w:pPr>
      <w:r>
        <w:rPr>
          <w:rFonts w:ascii="Arial" w:hAnsi="Arial" w:cs="Arial"/>
          <w:lang w:val="es-419"/>
        </w:rPr>
        <w:t xml:space="preserve">… </w:t>
      </w:r>
      <w:r w:rsidRPr="0045466C">
        <w:rPr>
          <w:rFonts w:ascii="Arial" w:hAnsi="Arial" w:cs="Arial"/>
          <w:lang w:val="es-419"/>
        </w:rPr>
        <w:t>se sabe que la salvaguarda de tal prerrogativa se garantiza con la implementación de normas que desarrollen el contenido constitucional, pero, además, con la posibilidad de presentar solicitudes escritas o verbales para los fines que cada persona estime pertinentes, con la obligación correlativa del requerido de ofrecer una respuesta clara, congruente, de fondo y oportuna</w:t>
      </w:r>
      <w:r w:rsidR="009C5AB5">
        <w:rPr>
          <w:rFonts w:ascii="Arial" w:hAnsi="Arial" w:cs="Arial"/>
          <w:lang w:val="es-419"/>
        </w:rPr>
        <w:t>…</w:t>
      </w:r>
      <w:r w:rsidRPr="0045466C">
        <w:rPr>
          <w:rFonts w:ascii="Arial" w:hAnsi="Arial" w:cs="Arial"/>
          <w:lang w:val="es-419"/>
        </w:rPr>
        <w:t>, que respete los límites temporales que la ley ha fijado para emitir un pronunciamiento y, por último, que se le ponga en conocimiento al solicitante</w:t>
      </w:r>
      <w:r w:rsidR="009C5AB5">
        <w:rPr>
          <w:rFonts w:ascii="Arial" w:hAnsi="Arial" w:cs="Arial"/>
          <w:lang w:val="es-419"/>
        </w:rPr>
        <w:t>…</w:t>
      </w:r>
    </w:p>
    <w:p w14:paraId="6E61C7E0" w14:textId="77777777" w:rsidR="001844F0" w:rsidRDefault="001844F0" w:rsidP="001844F0">
      <w:pPr>
        <w:jc w:val="both"/>
        <w:rPr>
          <w:rFonts w:ascii="Arial" w:hAnsi="Arial" w:cs="Arial"/>
          <w:lang w:val="es-419"/>
        </w:rPr>
      </w:pPr>
    </w:p>
    <w:p w14:paraId="161C8430" w14:textId="7D2D1C25" w:rsidR="005F6104" w:rsidRPr="005F6104" w:rsidRDefault="005F6104" w:rsidP="005F6104">
      <w:pPr>
        <w:jc w:val="both"/>
        <w:rPr>
          <w:rFonts w:ascii="Arial" w:hAnsi="Arial" w:cs="Arial"/>
          <w:lang w:val="es-419"/>
        </w:rPr>
      </w:pPr>
      <w:r>
        <w:rPr>
          <w:rFonts w:ascii="Arial" w:hAnsi="Arial" w:cs="Arial"/>
          <w:lang w:val="es-419"/>
        </w:rPr>
        <w:t xml:space="preserve">… </w:t>
      </w:r>
      <w:r w:rsidRPr="005F6104">
        <w:rPr>
          <w:rFonts w:ascii="Arial" w:hAnsi="Arial" w:cs="Arial"/>
          <w:lang w:val="es-419"/>
        </w:rPr>
        <w:t>se advierte que la SFC le hizo saber a la demandante, sin ambages, que no es la competente para retirarla de los listados restrictivos, y que está imposibilitada para emitir las certificaciones que exige. Sin embargo, considera la Colegiatura que la SFC no actuó conforme lo estipula el artículo 21 del CPACA, que establece:</w:t>
      </w:r>
    </w:p>
    <w:p w14:paraId="5F07F4A3" w14:textId="77777777" w:rsidR="005F6104" w:rsidRPr="005F6104" w:rsidRDefault="005F6104" w:rsidP="005F6104">
      <w:pPr>
        <w:jc w:val="both"/>
        <w:rPr>
          <w:rFonts w:ascii="Arial" w:hAnsi="Arial" w:cs="Arial"/>
          <w:lang w:val="es-419"/>
        </w:rPr>
      </w:pPr>
    </w:p>
    <w:p w14:paraId="383DBC36" w14:textId="38C9EF33" w:rsidR="001844F0" w:rsidRDefault="005F6104" w:rsidP="005F6104">
      <w:pPr>
        <w:jc w:val="both"/>
        <w:rPr>
          <w:rFonts w:ascii="Arial" w:hAnsi="Arial" w:cs="Arial"/>
          <w:lang w:val="es-419"/>
        </w:rPr>
      </w:pPr>
      <w:r w:rsidRPr="005F6104">
        <w:rPr>
          <w:rFonts w:ascii="Arial" w:hAnsi="Arial" w:cs="Arial"/>
          <w:lang w:val="es-419"/>
        </w:rPr>
        <w:t>“ARTÍCULO 21. FUNCIONARIO SIN COMPETENCIA</w:t>
      </w:r>
      <w:r>
        <w:rPr>
          <w:rFonts w:ascii="Arial" w:hAnsi="Arial" w:cs="Arial"/>
          <w:lang w:val="es-419"/>
        </w:rPr>
        <w:t>…</w:t>
      </w:r>
      <w:r w:rsidRPr="005F6104">
        <w:rPr>
          <w:rFonts w:ascii="Arial" w:hAnsi="Arial" w:cs="Arial"/>
          <w:lang w:val="es-419"/>
        </w:rPr>
        <w:t xml:space="preserve">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w:t>
      </w:r>
      <w:r>
        <w:rPr>
          <w:rFonts w:ascii="Arial" w:hAnsi="Arial" w:cs="Arial"/>
          <w:lang w:val="es-419"/>
        </w:rPr>
        <w:t>…”</w:t>
      </w:r>
    </w:p>
    <w:p w14:paraId="20B4E5F0" w14:textId="56E5E733" w:rsidR="005F6104" w:rsidRDefault="005F6104" w:rsidP="005F6104">
      <w:pPr>
        <w:jc w:val="both"/>
        <w:rPr>
          <w:rFonts w:ascii="Arial" w:hAnsi="Arial" w:cs="Arial"/>
          <w:lang w:val="es-419"/>
        </w:rPr>
      </w:pPr>
    </w:p>
    <w:p w14:paraId="2F90DE36" w14:textId="77777777" w:rsidR="00BE770B" w:rsidRPr="00BE770B" w:rsidRDefault="00BE770B" w:rsidP="00BE770B">
      <w:pPr>
        <w:jc w:val="both"/>
        <w:rPr>
          <w:rFonts w:ascii="Arial" w:hAnsi="Arial" w:cs="Arial"/>
          <w:lang w:val="es-419"/>
        </w:rPr>
      </w:pPr>
      <w:r w:rsidRPr="00BE770B">
        <w:rPr>
          <w:rFonts w:ascii="Arial" w:hAnsi="Arial" w:cs="Arial"/>
          <w:lang w:val="es-419"/>
        </w:rPr>
        <w:t>De la respuesta al derecho de petición, se echa de menos (i) una explicación concreta sobre la “plataforma SARLAFT” y las “plataformas financieras”, a las que se refiere la accionante, (ii) una respuesta contundente sobre si existe o no alguna autoridad que le pueda dar solución a sus súplicas, (iii) y una exposición de los motivos, si es que existen, del porqué no es posible remitir la solicitud a otra autoridad que la pueda resolver.</w:t>
      </w:r>
    </w:p>
    <w:p w14:paraId="63A997FB" w14:textId="77777777" w:rsidR="00BE770B" w:rsidRPr="00BE770B" w:rsidRDefault="00BE770B" w:rsidP="00BE770B">
      <w:pPr>
        <w:jc w:val="both"/>
        <w:rPr>
          <w:rFonts w:ascii="Arial" w:hAnsi="Arial" w:cs="Arial"/>
          <w:lang w:val="es-419"/>
        </w:rPr>
      </w:pPr>
    </w:p>
    <w:p w14:paraId="1D4D9526" w14:textId="1805BDF9" w:rsidR="005F6104" w:rsidRDefault="00BE770B" w:rsidP="005F6104">
      <w:pPr>
        <w:jc w:val="both"/>
        <w:rPr>
          <w:rFonts w:ascii="Arial" w:hAnsi="Arial" w:cs="Arial"/>
          <w:lang w:val="es-419"/>
        </w:rPr>
      </w:pPr>
      <w:r w:rsidRPr="00BE770B">
        <w:rPr>
          <w:rFonts w:ascii="Arial" w:hAnsi="Arial" w:cs="Arial"/>
          <w:lang w:val="es-419"/>
        </w:rPr>
        <w:t>Es que, la claridad de las explicaciones que se ofrecieron en la contestación a esta acción de tutela, contrasta con la vaguedad de la información que se suministró en la respuesta al derecho de petición.</w:t>
      </w:r>
    </w:p>
    <w:p w14:paraId="336A2362" w14:textId="77777777" w:rsidR="001844F0" w:rsidRDefault="001844F0" w:rsidP="001844F0">
      <w:pPr>
        <w:jc w:val="both"/>
        <w:rPr>
          <w:rFonts w:ascii="Arial" w:hAnsi="Arial" w:cs="Arial"/>
        </w:rPr>
      </w:pPr>
    </w:p>
    <w:p w14:paraId="09DC302F" w14:textId="77777777" w:rsidR="001844F0" w:rsidRDefault="001844F0" w:rsidP="001844F0">
      <w:pPr>
        <w:jc w:val="both"/>
        <w:rPr>
          <w:rFonts w:ascii="Arial" w:hAnsi="Arial" w:cs="Arial"/>
        </w:rPr>
      </w:pPr>
    </w:p>
    <w:bookmarkEnd w:id="0"/>
    <w:p w14:paraId="5F313CC9" w14:textId="77777777" w:rsidR="001844F0" w:rsidRDefault="001844F0" w:rsidP="001844F0">
      <w:pPr>
        <w:jc w:val="both"/>
        <w:rPr>
          <w:rFonts w:ascii="Arial" w:hAnsi="Arial" w:cs="Arial"/>
        </w:rPr>
      </w:pPr>
    </w:p>
    <w:p w14:paraId="09B512D6" w14:textId="77777777" w:rsidR="0088736F" w:rsidRPr="001844F0" w:rsidRDefault="0088736F" w:rsidP="001844F0">
      <w:pPr>
        <w:spacing w:line="276" w:lineRule="auto"/>
        <w:ind w:firstLine="2835"/>
        <w:jc w:val="both"/>
        <w:rPr>
          <w:rFonts w:ascii="Gadugi" w:hAnsi="Gadugi"/>
          <w:b/>
          <w:sz w:val="24"/>
          <w:szCs w:val="24"/>
        </w:rPr>
      </w:pPr>
      <w:r w:rsidRPr="001844F0">
        <w:rPr>
          <w:rFonts w:ascii="Gadugi" w:hAnsi="Gadugi"/>
          <w:b/>
          <w:sz w:val="24"/>
          <w:szCs w:val="24"/>
        </w:rPr>
        <w:t xml:space="preserve">TRIBUNAL SUPERIOR DEL DISTRITO JUDICIAL </w:t>
      </w:r>
    </w:p>
    <w:p w14:paraId="09B512D7" w14:textId="5ECE2F47" w:rsidR="0088736F" w:rsidRPr="001844F0" w:rsidRDefault="00BE3634" w:rsidP="001844F0">
      <w:pPr>
        <w:spacing w:line="276" w:lineRule="auto"/>
        <w:ind w:firstLine="2835"/>
        <w:jc w:val="both"/>
        <w:rPr>
          <w:rFonts w:ascii="Gadugi" w:hAnsi="Gadugi"/>
          <w:b/>
          <w:sz w:val="24"/>
          <w:szCs w:val="24"/>
        </w:rPr>
      </w:pPr>
      <w:r w:rsidRPr="001844F0">
        <w:rPr>
          <w:rFonts w:ascii="Gadugi" w:hAnsi="Gadugi"/>
          <w:b/>
          <w:sz w:val="24"/>
          <w:szCs w:val="24"/>
        </w:rPr>
        <w:t xml:space="preserve">    </w:t>
      </w:r>
      <w:r w:rsidR="0088736F" w:rsidRPr="001844F0">
        <w:rPr>
          <w:rFonts w:ascii="Gadugi" w:hAnsi="Gadugi"/>
          <w:b/>
          <w:sz w:val="24"/>
          <w:szCs w:val="24"/>
        </w:rPr>
        <w:t xml:space="preserve">    SALA DE DECISIÓN CIVIL FAMILIA </w:t>
      </w:r>
    </w:p>
    <w:p w14:paraId="09B512D8" w14:textId="77777777" w:rsidR="0088736F" w:rsidRPr="001844F0" w:rsidRDefault="0088736F" w:rsidP="001844F0">
      <w:pPr>
        <w:spacing w:line="276" w:lineRule="auto"/>
        <w:ind w:firstLine="2835"/>
        <w:jc w:val="both"/>
        <w:rPr>
          <w:rFonts w:ascii="Gadugi" w:hAnsi="Gadugi"/>
          <w:sz w:val="24"/>
          <w:szCs w:val="24"/>
        </w:rPr>
      </w:pPr>
    </w:p>
    <w:p w14:paraId="09B512D9" w14:textId="77777777" w:rsidR="00F43B04" w:rsidRPr="001844F0" w:rsidRDefault="00F43B04" w:rsidP="001844F0">
      <w:pPr>
        <w:spacing w:line="276" w:lineRule="auto"/>
        <w:ind w:firstLine="2835"/>
        <w:jc w:val="both"/>
        <w:rPr>
          <w:rFonts w:ascii="Gadugi" w:hAnsi="Gadugi"/>
          <w:sz w:val="24"/>
          <w:szCs w:val="24"/>
        </w:rPr>
      </w:pPr>
    </w:p>
    <w:p w14:paraId="09B512DA" w14:textId="77777777" w:rsidR="0088736F" w:rsidRPr="001844F0" w:rsidRDefault="0088736F" w:rsidP="001844F0">
      <w:pPr>
        <w:spacing w:line="276" w:lineRule="auto"/>
        <w:ind w:firstLine="2835"/>
        <w:jc w:val="both"/>
        <w:rPr>
          <w:rFonts w:ascii="Gadugi" w:hAnsi="Gadugi"/>
          <w:sz w:val="24"/>
          <w:szCs w:val="24"/>
        </w:rPr>
      </w:pPr>
      <w:r w:rsidRPr="001844F0">
        <w:rPr>
          <w:rFonts w:ascii="Gadugi" w:hAnsi="Gadugi"/>
          <w:sz w:val="24"/>
          <w:szCs w:val="24"/>
        </w:rPr>
        <w:t>Magistrado: Jaime Alberto Saraza Naranjo</w:t>
      </w:r>
    </w:p>
    <w:p w14:paraId="09B512DB" w14:textId="686A21C8" w:rsidR="00BA094B" w:rsidRPr="001844F0" w:rsidRDefault="00D755B8" w:rsidP="001844F0">
      <w:pPr>
        <w:spacing w:line="276" w:lineRule="auto"/>
        <w:ind w:firstLine="2835"/>
        <w:jc w:val="both"/>
        <w:rPr>
          <w:rFonts w:ascii="Gadugi" w:hAnsi="Gadugi"/>
          <w:sz w:val="24"/>
          <w:szCs w:val="24"/>
        </w:rPr>
      </w:pPr>
      <w:r w:rsidRPr="001844F0">
        <w:rPr>
          <w:rFonts w:ascii="Gadugi" w:hAnsi="Gadugi"/>
          <w:sz w:val="24"/>
          <w:szCs w:val="24"/>
        </w:rPr>
        <w:t>Pereira</w:t>
      </w:r>
      <w:r w:rsidR="00BE3634" w:rsidRPr="001844F0">
        <w:rPr>
          <w:rFonts w:ascii="Gadugi" w:hAnsi="Gadugi"/>
          <w:sz w:val="24"/>
          <w:szCs w:val="24"/>
        </w:rPr>
        <w:t>,</w:t>
      </w:r>
      <w:r w:rsidR="003F6405" w:rsidRPr="001844F0">
        <w:rPr>
          <w:rFonts w:ascii="Gadugi" w:hAnsi="Gadugi"/>
          <w:sz w:val="24"/>
          <w:szCs w:val="24"/>
        </w:rPr>
        <w:t xml:space="preserve"> </w:t>
      </w:r>
      <w:r w:rsidR="00754501" w:rsidRPr="001844F0">
        <w:rPr>
          <w:rFonts w:ascii="Gadugi" w:hAnsi="Gadugi"/>
          <w:sz w:val="24"/>
          <w:szCs w:val="24"/>
        </w:rPr>
        <w:t xml:space="preserve">agosto dieciocho de dos mil veintiuno </w:t>
      </w:r>
      <w:r w:rsidR="00290521" w:rsidRPr="001844F0">
        <w:rPr>
          <w:rFonts w:ascii="Gadugi" w:hAnsi="Gadugi"/>
          <w:sz w:val="24"/>
          <w:szCs w:val="24"/>
        </w:rPr>
        <w:t xml:space="preserve"> </w:t>
      </w:r>
      <w:r w:rsidR="003F6405" w:rsidRPr="001844F0">
        <w:rPr>
          <w:rFonts w:ascii="Gadugi" w:hAnsi="Gadugi"/>
          <w:sz w:val="24"/>
          <w:szCs w:val="24"/>
        </w:rPr>
        <w:t xml:space="preserve"> </w:t>
      </w:r>
      <w:r w:rsidR="00183A6C" w:rsidRPr="001844F0">
        <w:rPr>
          <w:rFonts w:ascii="Gadugi" w:hAnsi="Gadugi"/>
          <w:sz w:val="24"/>
          <w:szCs w:val="24"/>
        </w:rPr>
        <w:t xml:space="preserve"> </w:t>
      </w:r>
      <w:r w:rsidR="00F82704" w:rsidRPr="001844F0">
        <w:rPr>
          <w:rFonts w:ascii="Gadugi" w:hAnsi="Gadugi"/>
          <w:sz w:val="24"/>
          <w:szCs w:val="24"/>
        </w:rPr>
        <w:t xml:space="preserve"> </w:t>
      </w:r>
      <w:r w:rsidR="002F25E8" w:rsidRPr="001844F0">
        <w:rPr>
          <w:rFonts w:ascii="Gadugi" w:hAnsi="Gadugi"/>
          <w:sz w:val="24"/>
          <w:szCs w:val="24"/>
        </w:rPr>
        <w:t xml:space="preserve"> </w:t>
      </w:r>
      <w:r w:rsidR="005D21AD" w:rsidRPr="001844F0">
        <w:rPr>
          <w:rFonts w:ascii="Gadugi" w:hAnsi="Gadugi"/>
          <w:sz w:val="24"/>
          <w:szCs w:val="24"/>
        </w:rPr>
        <w:t xml:space="preserve"> </w:t>
      </w:r>
      <w:r w:rsidR="00767D7D" w:rsidRPr="001844F0">
        <w:rPr>
          <w:rFonts w:ascii="Gadugi" w:hAnsi="Gadugi"/>
          <w:sz w:val="24"/>
          <w:szCs w:val="24"/>
        </w:rPr>
        <w:t xml:space="preserve"> </w:t>
      </w:r>
      <w:r w:rsidR="00C727A1" w:rsidRPr="001844F0">
        <w:rPr>
          <w:rFonts w:ascii="Gadugi" w:hAnsi="Gadugi"/>
          <w:sz w:val="24"/>
          <w:szCs w:val="24"/>
        </w:rPr>
        <w:t xml:space="preserve"> </w:t>
      </w:r>
      <w:r w:rsidR="006408D6" w:rsidRPr="001844F0">
        <w:rPr>
          <w:rFonts w:ascii="Gadugi" w:hAnsi="Gadugi"/>
          <w:sz w:val="24"/>
          <w:szCs w:val="24"/>
        </w:rPr>
        <w:t xml:space="preserve"> </w:t>
      </w:r>
      <w:r w:rsidR="002F25E8" w:rsidRPr="001844F0">
        <w:rPr>
          <w:rFonts w:ascii="Gadugi" w:hAnsi="Gadugi"/>
          <w:sz w:val="24"/>
          <w:szCs w:val="24"/>
        </w:rPr>
        <w:t xml:space="preserve"> </w:t>
      </w:r>
      <w:r w:rsidR="00E454BA" w:rsidRPr="001844F0">
        <w:rPr>
          <w:rFonts w:ascii="Gadugi" w:hAnsi="Gadugi"/>
          <w:sz w:val="24"/>
          <w:szCs w:val="24"/>
        </w:rPr>
        <w:t xml:space="preserve"> </w:t>
      </w:r>
      <w:r w:rsidR="00EB4BB0" w:rsidRPr="001844F0">
        <w:rPr>
          <w:rFonts w:ascii="Gadugi" w:hAnsi="Gadugi"/>
          <w:sz w:val="24"/>
          <w:szCs w:val="24"/>
        </w:rPr>
        <w:t xml:space="preserve"> </w:t>
      </w:r>
      <w:r w:rsidR="00BE3634" w:rsidRPr="001844F0">
        <w:rPr>
          <w:rFonts w:ascii="Gadugi" w:hAnsi="Gadugi"/>
          <w:sz w:val="24"/>
          <w:szCs w:val="24"/>
        </w:rPr>
        <w:t xml:space="preserve"> </w:t>
      </w:r>
      <w:r w:rsidR="0052119C" w:rsidRPr="001844F0">
        <w:rPr>
          <w:rFonts w:ascii="Gadugi" w:hAnsi="Gadugi"/>
          <w:sz w:val="24"/>
          <w:szCs w:val="24"/>
        </w:rPr>
        <w:t xml:space="preserve"> </w:t>
      </w:r>
      <w:r w:rsidR="002B1F1B" w:rsidRPr="001844F0">
        <w:rPr>
          <w:rFonts w:ascii="Gadugi" w:hAnsi="Gadugi"/>
          <w:sz w:val="24"/>
          <w:szCs w:val="24"/>
        </w:rPr>
        <w:t xml:space="preserve"> </w:t>
      </w:r>
      <w:r w:rsidR="0064517D" w:rsidRPr="001844F0">
        <w:rPr>
          <w:rFonts w:ascii="Gadugi" w:hAnsi="Gadugi"/>
          <w:sz w:val="24"/>
          <w:szCs w:val="24"/>
        </w:rPr>
        <w:t xml:space="preserve"> </w:t>
      </w:r>
      <w:r w:rsidR="00D85356" w:rsidRPr="001844F0">
        <w:rPr>
          <w:rFonts w:ascii="Gadugi" w:hAnsi="Gadugi"/>
          <w:sz w:val="24"/>
          <w:szCs w:val="24"/>
        </w:rPr>
        <w:t xml:space="preserve"> </w:t>
      </w:r>
      <w:r w:rsidR="00487591" w:rsidRPr="001844F0">
        <w:rPr>
          <w:rFonts w:ascii="Gadugi" w:hAnsi="Gadugi"/>
          <w:sz w:val="24"/>
          <w:szCs w:val="24"/>
        </w:rPr>
        <w:t xml:space="preserve"> </w:t>
      </w:r>
      <w:r w:rsidR="006A19B7" w:rsidRPr="001844F0">
        <w:rPr>
          <w:rFonts w:ascii="Gadugi" w:hAnsi="Gadugi"/>
          <w:sz w:val="24"/>
          <w:szCs w:val="24"/>
        </w:rPr>
        <w:t xml:space="preserve"> </w:t>
      </w:r>
      <w:r w:rsidR="00C45F04" w:rsidRPr="001844F0">
        <w:rPr>
          <w:rFonts w:ascii="Gadugi" w:hAnsi="Gadugi"/>
          <w:sz w:val="24"/>
          <w:szCs w:val="24"/>
        </w:rPr>
        <w:t xml:space="preserve"> </w:t>
      </w:r>
    </w:p>
    <w:p w14:paraId="09B512DC" w14:textId="21F260BE" w:rsidR="0088736F" w:rsidRPr="001844F0" w:rsidRDefault="00EC372B" w:rsidP="001844F0">
      <w:pPr>
        <w:spacing w:line="276" w:lineRule="auto"/>
        <w:ind w:firstLine="2835"/>
        <w:jc w:val="both"/>
        <w:rPr>
          <w:rFonts w:ascii="Gadugi" w:hAnsi="Gadugi"/>
          <w:sz w:val="24"/>
          <w:szCs w:val="24"/>
        </w:rPr>
      </w:pPr>
      <w:r w:rsidRPr="001844F0">
        <w:rPr>
          <w:rFonts w:ascii="Gadugi" w:hAnsi="Gadugi"/>
          <w:sz w:val="24"/>
          <w:szCs w:val="24"/>
        </w:rPr>
        <w:t>Expediente</w:t>
      </w:r>
      <w:r w:rsidR="006408D6" w:rsidRPr="001844F0">
        <w:rPr>
          <w:rFonts w:ascii="Gadugi" w:hAnsi="Gadugi"/>
          <w:sz w:val="24"/>
          <w:szCs w:val="24"/>
        </w:rPr>
        <w:t>:</w:t>
      </w:r>
      <w:r w:rsidRPr="001844F0">
        <w:rPr>
          <w:rFonts w:ascii="Gadugi" w:hAnsi="Gadugi"/>
          <w:sz w:val="24"/>
          <w:szCs w:val="24"/>
        </w:rPr>
        <w:t xml:space="preserve"> </w:t>
      </w:r>
      <w:r w:rsidR="00290521" w:rsidRPr="001844F0">
        <w:rPr>
          <w:rFonts w:ascii="Gadugi" w:hAnsi="Gadugi"/>
          <w:sz w:val="24"/>
          <w:szCs w:val="24"/>
        </w:rPr>
        <w:t>66001312100120211004401</w:t>
      </w:r>
    </w:p>
    <w:p w14:paraId="09B512DD" w14:textId="7234B24F" w:rsidR="00E01D52" w:rsidRPr="001844F0" w:rsidRDefault="006408D6" w:rsidP="001844F0">
      <w:pPr>
        <w:spacing w:line="276" w:lineRule="auto"/>
        <w:ind w:firstLine="2835"/>
        <w:jc w:val="both"/>
        <w:rPr>
          <w:rFonts w:ascii="Gadugi" w:hAnsi="Gadugi"/>
          <w:sz w:val="24"/>
          <w:szCs w:val="24"/>
        </w:rPr>
      </w:pPr>
      <w:r w:rsidRPr="001844F0">
        <w:rPr>
          <w:rFonts w:ascii="Gadugi" w:hAnsi="Gadugi"/>
          <w:sz w:val="24"/>
          <w:szCs w:val="24"/>
        </w:rPr>
        <w:t>Acta:</w:t>
      </w:r>
      <w:r w:rsidR="003F6405" w:rsidRPr="001844F0">
        <w:rPr>
          <w:rFonts w:ascii="Gadugi" w:hAnsi="Gadugi"/>
          <w:sz w:val="24"/>
          <w:szCs w:val="24"/>
        </w:rPr>
        <w:t xml:space="preserve"> </w:t>
      </w:r>
      <w:r w:rsidR="00754501" w:rsidRPr="001844F0">
        <w:rPr>
          <w:rFonts w:ascii="Gadugi" w:hAnsi="Gadugi"/>
          <w:sz w:val="24"/>
          <w:szCs w:val="24"/>
        </w:rPr>
        <w:t>379</w:t>
      </w:r>
      <w:r w:rsidR="00290521" w:rsidRPr="001844F0">
        <w:rPr>
          <w:rFonts w:ascii="Gadugi" w:hAnsi="Gadugi"/>
          <w:sz w:val="24"/>
          <w:szCs w:val="24"/>
        </w:rPr>
        <w:t xml:space="preserve"> </w:t>
      </w:r>
      <w:r w:rsidR="00754501" w:rsidRPr="001844F0">
        <w:rPr>
          <w:rFonts w:ascii="Gadugi" w:hAnsi="Gadugi"/>
          <w:sz w:val="24"/>
          <w:szCs w:val="24"/>
        </w:rPr>
        <w:t>del 18 de agosto de 2021</w:t>
      </w:r>
      <w:r w:rsidR="00F82704" w:rsidRPr="001844F0">
        <w:rPr>
          <w:rFonts w:ascii="Gadugi" w:hAnsi="Gadugi"/>
          <w:sz w:val="24"/>
          <w:szCs w:val="24"/>
        </w:rPr>
        <w:t xml:space="preserve"> </w:t>
      </w:r>
      <w:r w:rsidR="005D21AD" w:rsidRPr="001844F0">
        <w:rPr>
          <w:rFonts w:ascii="Gadugi" w:hAnsi="Gadugi"/>
          <w:sz w:val="24"/>
          <w:szCs w:val="24"/>
        </w:rPr>
        <w:t xml:space="preserve"> </w:t>
      </w:r>
      <w:r w:rsidR="00C727A1" w:rsidRPr="001844F0">
        <w:rPr>
          <w:rFonts w:ascii="Gadugi" w:hAnsi="Gadugi"/>
          <w:sz w:val="24"/>
          <w:szCs w:val="24"/>
        </w:rPr>
        <w:t xml:space="preserve"> </w:t>
      </w:r>
    </w:p>
    <w:p w14:paraId="68844C05" w14:textId="1C1D605A" w:rsidR="006408D6" w:rsidRPr="001844F0" w:rsidRDefault="006408D6" w:rsidP="001844F0">
      <w:pPr>
        <w:spacing w:line="276" w:lineRule="auto"/>
        <w:ind w:firstLine="2835"/>
        <w:jc w:val="both"/>
        <w:rPr>
          <w:rFonts w:ascii="Gadugi" w:hAnsi="Gadugi"/>
          <w:sz w:val="24"/>
          <w:szCs w:val="24"/>
        </w:rPr>
      </w:pPr>
      <w:r w:rsidRPr="001844F0">
        <w:rPr>
          <w:rFonts w:ascii="Gadugi" w:hAnsi="Gadugi"/>
          <w:sz w:val="24"/>
          <w:szCs w:val="24"/>
        </w:rPr>
        <w:t>Sentencia:</w:t>
      </w:r>
      <w:r w:rsidR="00754501" w:rsidRPr="001844F0">
        <w:rPr>
          <w:rFonts w:ascii="Gadugi" w:hAnsi="Gadugi"/>
          <w:sz w:val="24"/>
          <w:szCs w:val="24"/>
        </w:rPr>
        <w:t xml:space="preserve"> TSP.</w:t>
      </w:r>
      <w:r w:rsidR="00270829">
        <w:rPr>
          <w:rFonts w:ascii="Gadugi" w:hAnsi="Gadugi"/>
          <w:sz w:val="24"/>
          <w:szCs w:val="24"/>
        </w:rPr>
        <w:t xml:space="preserve"> </w:t>
      </w:r>
      <w:bookmarkStart w:id="1" w:name="_GoBack"/>
      <w:bookmarkEnd w:id="1"/>
      <w:r w:rsidR="00754501" w:rsidRPr="001844F0">
        <w:rPr>
          <w:rFonts w:ascii="Gadugi" w:hAnsi="Gadugi"/>
          <w:sz w:val="24"/>
          <w:szCs w:val="24"/>
        </w:rPr>
        <w:t>ST2-0256-2021</w:t>
      </w:r>
      <w:r w:rsidR="00BA23A8" w:rsidRPr="001844F0">
        <w:rPr>
          <w:rFonts w:ascii="Gadugi" w:hAnsi="Gadugi"/>
          <w:sz w:val="24"/>
          <w:szCs w:val="24"/>
        </w:rPr>
        <w:t xml:space="preserve"> </w:t>
      </w:r>
      <w:r w:rsidR="00290521" w:rsidRPr="001844F0">
        <w:rPr>
          <w:rFonts w:ascii="Gadugi" w:hAnsi="Gadugi"/>
          <w:sz w:val="24"/>
          <w:szCs w:val="24"/>
        </w:rPr>
        <w:t xml:space="preserve"> </w:t>
      </w:r>
      <w:r w:rsidR="00F82704" w:rsidRPr="001844F0">
        <w:rPr>
          <w:rFonts w:ascii="Gadugi" w:hAnsi="Gadugi"/>
          <w:sz w:val="24"/>
          <w:szCs w:val="24"/>
        </w:rPr>
        <w:t xml:space="preserve"> </w:t>
      </w:r>
    </w:p>
    <w:p w14:paraId="09B512DE" w14:textId="77777777" w:rsidR="00F50DE4" w:rsidRPr="001844F0" w:rsidRDefault="00F50DE4" w:rsidP="001844F0">
      <w:pPr>
        <w:spacing w:line="276" w:lineRule="auto"/>
        <w:ind w:firstLine="2835"/>
        <w:jc w:val="both"/>
        <w:rPr>
          <w:rFonts w:ascii="Gadugi" w:hAnsi="Gadugi"/>
          <w:sz w:val="24"/>
          <w:szCs w:val="24"/>
        </w:rPr>
      </w:pPr>
    </w:p>
    <w:p w14:paraId="09B512DF" w14:textId="77777777" w:rsidR="00F43B04" w:rsidRPr="001844F0" w:rsidRDefault="00F43B04" w:rsidP="001844F0">
      <w:pPr>
        <w:spacing w:line="276" w:lineRule="auto"/>
        <w:ind w:firstLine="2835"/>
        <w:jc w:val="both"/>
        <w:rPr>
          <w:rFonts w:ascii="Gadugi" w:hAnsi="Gadugi"/>
          <w:sz w:val="24"/>
          <w:szCs w:val="24"/>
        </w:rPr>
      </w:pPr>
    </w:p>
    <w:p w14:paraId="09B512E0" w14:textId="4FD72412" w:rsidR="00DC24E4" w:rsidRPr="001844F0" w:rsidRDefault="0088736F" w:rsidP="001844F0">
      <w:pPr>
        <w:spacing w:line="276" w:lineRule="auto"/>
        <w:ind w:firstLine="2835"/>
        <w:jc w:val="both"/>
        <w:rPr>
          <w:rFonts w:ascii="Gadugi" w:hAnsi="Gadugi" w:cs="Arial"/>
          <w:b/>
          <w:bCs/>
          <w:sz w:val="24"/>
          <w:szCs w:val="24"/>
        </w:rPr>
      </w:pPr>
      <w:r w:rsidRPr="001844F0">
        <w:rPr>
          <w:rFonts w:ascii="Gadugi" w:hAnsi="Gadugi"/>
          <w:sz w:val="24"/>
          <w:szCs w:val="24"/>
        </w:rPr>
        <w:t>Procede la Sala a decidir la impugnación</w:t>
      </w:r>
      <w:r w:rsidR="003317A5" w:rsidRPr="001844F0">
        <w:rPr>
          <w:rFonts w:ascii="Gadugi" w:hAnsi="Gadugi"/>
          <w:sz w:val="24"/>
          <w:szCs w:val="24"/>
        </w:rPr>
        <w:t xml:space="preserve"> formulada </w:t>
      </w:r>
      <w:r w:rsidR="004E4C4D" w:rsidRPr="001844F0">
        <w:rPr>
          <w:rFonts w:ascii="Gadugi" w:hAnsi="Gadugi"/>
          <w:sz w:val="24"/>
          <w:szCs w:val="24"/>
        </w:rPr>
        <w:t>contra</w:t>
      </w:r>
      <w:r w:rsidRPr="001844F0">
        <w:rPr>
          <w:rFonts w:ascii="Gadugi" w:hAnsi="Gadugi"/>
          <w:sz w:val="24"/>
          <w:szCs w:val="24"/>
        </w:rPr>
        <w:t xml:space="preserve"> </w:t>
      </w:r>
      <w:r w:rsidRPr="001844F0">
        <w:rPr>
          <w:rFonts w:ascii="Gadugi" w:hAnsi="Gadugi" w:cs="Arial"/>
          <w:sz w:val="24"/>
          <w:szCs w:val="24"/>
        </w:rPr>
        <w:t xml:space="preserve">la sentencia </w:t>
      </w:r>
      <w:r w:rsidR="00E059CA" w:rsidRPr="001844F0">
        <w:rPr>
          <w:rFonts w:ascii="Gadugi" w:hAnsi="Gadugi" w:cs="Arial"/>
          <w:sz w:val="24"/>
          <w:szCs w:val="24"/>
        </w:rPr>
        <w:t>d</w:t>
      </w:r>
      <w:r w:rsidRPr="001844F0">
        <w:rPr>
          <w:rFonts w:ascii="Gadugi" w:hAnsi="Gadugi" w:cs="Arial"/>
          <w:sz w:val="24"/>
          <w:szCs w:val="24"/>
        </w:rPr>
        <w:t>el</w:t>
      </w:r>
      <w:r w:rsidR="001C5EE7" w:rsidRPr="001844F0">
        <w:rPr>
          <w:rFonts w:ascii="Gadugi" w:hAnsi="Gadugi" w:cs="Arial"/>
          <w:sz w:val="24"/>
          <w:szCs w:val="24"/>
        </w:rPr>
        <w:t xml:space="preserve"> </w:t>
      </w:r>
      <w:r w:rsidR="006C34FD" w:rsidRPr="001844F0">
        <w:rPr>
          <w:rFonts w:ascii="Gadugi" w:hAnsi="Gadugi" w:cs="Arial"/>
          <w:sz w:val="24"/>
          <w:szCs w:val="24"/>
        </w:rPr>
        <w:t>21</w:t>
      </w:r>
      <w:r w:rsidR="00F50DE4" w:rsidRPr="001844F0">
        <w:rPr>
          <w:rFonts w:ascii="Gadugi" w:hAnsi="Gadugi" w:cs="Arial"/>
          <w:sz w:val="24"/>
          <w:szCs w:val="24"/>
        </w:rPr>
        <w:t xml:space="preserve"> de </w:t>
      </w:r>
      <w:r w:rsidR="00290521" w:rsidRPr="001844F0">
        <w:rPr>
          <w:rFonts w:ascii="Gadugi" w:hAnsi="Gadugi" w:cs="Arial"/>
          <w:sz w:val="24"/>
          <w:szCs w:val="24"/>
        </w:rPr>
        <w:t>junio</w:t>
      </w:r>
      <w:r w:rsidR="00F50DE4" w:rsidRPr="001844F0">
        <w:rPr>
          <w:rFonts w:ascii="Gadugi" w:hAnsi="Gadugi" w:cs="Arial"/>
          <w:sz w:val="24"/>
          <w:szCs w:val="24"/>
        </w:rPr>
        <w:t xml:space="preserve"> </w:t>
      </w:r>
      <w:r w:rsidR="006408D6" w:rsidRPr="001844F0">
        <w:rPr>
          <w:rFonts w:ascii="Gadugi" w:hAnsi="Gadugi" w:cs="Arial"/>
          <w:sz w:val="24"/>
          <w:szCs w:val="24"/>
        </w:rPr>
        <w:t>de 2021</w:t>
      </w:r>
      <w:r w:rsidR="00863E78" w:rsidRPr="001844F0">
        <w:rPr>
          <w:rFonts w:ascii="Gadugi" w:hAnsi="Gadugi" w:cs="Arial"/>
          <w:sz w:val="24"/>
          <w:szCs w:val="24"/>
        </w:rPr>
        <w:t xml:space="preserve">, proferida </w:t>
      </w:r>
      <w:r w:rsidRPr="001844F0">
        <w:rPr>
          <w:rFonts w:ascii="Gadugi" w:hAnsi="Gadugi"/>
          <w:sz w:val="24"/>
          <w:szCs w:val="24"/>
        </w:rPr>
        <w:t>por el</w:t>
      </w:r>
      <w:r w:rsidR="00312CC7" w:rsidRPr="001844F0">
        <w:rPr>
          <w:rFonts w:ascii="Gadugi" w:hAnsi="Gadugi"/>
          <w:sz w:val="24"/>
          <w:szCs w:val="24"/>
        </w:rPr>
        <w:t xml:space="preserve"> </w:t>
      </w:r>
      <w:r w:rsidR="00D85356" w:rsidRPr="001844F0">
        <w:rPr>
          <w:rFonts w:ascii="Gadugi" w:hAnsi="Gadugi"/>
          <w:sz w:val="24"/>
          <w:szCs w:val="24"/>
        </w:rPr>
        <w:t xml:space="preserve">Juzgado </w:t>
      </w:r>
      <w:r w:rsidR="006C34FD" w:rsidRPr="001844F0">
        <w:rPr>
          <w:rFonts w:ascii="Gadugi" w:hAnsi="Gadugi"/>
          <w:sz w:val="24"/>
          <w:szCs w:val="24"/>
        </w:rPr>
        <w:t xml:space="preserve">Primero </w:t>
      </w:r>
      <w:r w:rsidR="00290521" w:rsidRPr="001844F0">
        <w:rPr>
          <w:rFonts w:ascii="Gadugi" w:hAnsi="Gadugi"/>
          <w:sz w:val="24"/>
          <w:szCs w:val="24"/>
        </w:rPr>
        <w:t xml:space="preserve">Civil del Circuito Especializado en Restitución de Tierras de </w:t>
      </w:r>
      <w:r w:rsidR="00754501" w:rsidRPr="001844F0">
        <w:rPr>
          <w:rFonts w:ascii="Gadugi" w:hAnsi="Gadugi"/>
          <w:sz w:val="24"/>
          <w:szCs w:val="24"/>
        </w:rPr>
        <w:t>Pereira</w:t>
      </w:r>
      <w:r w:rsidR="00F50DE4" w:rsidRPr="001844F0">
        <w:rPr>
          <w:rFonts w:ascii="Gadugi" w:hAnsi="Gadugi"/>
          <w:sz w:val="24"/>
          <w:szCs w:val="24"/>
        </w:rPr>
        <w:t>,</w:t>
      </w:r>
      <w:r w:rsidR="00312CC7" w:rsidRPr="001844F0">
        <w:rPr>
          <w:rFonts w:ascii="Gadugi" w:hAnsi="Gadugi"/>
          <w:sz w:val="24"/>
          <w:szCs w:val="24"/>
        </w:rPr>
        <w:t xml:space="preserve"> </w:t>
      </w:r>
      <w:r w:rsidR="00A206B2" w:rsidRPr="001844F0">
        <w:rPr>
          <w:rFonts w:ascii="Gadugi" w:hAnsi="Gadugi" w:cs="Arial"/>
          <w:sz w:val="24"/>
          <w:szCs w:val="24"/>
        </w:rPr>
        <w:t>en la presente acción de tutela promovida</w:t>
      </w:r>
      <w:r w:rsidR="00290521" w:rsidRPr="001844F0">
        <w:rPr>
          <w:rFonts w:ascii="Gadugi" w:hAnsi="Gadugi" w:cs="Arial"/>
          <w:sz w:val="24"/>
          <w:szCs w:val="24"/>
        </w:rPr>
        <w:t>, mediante apoderado judicial,</w:t>
      </w:r>
      <w:r w:rsidR="00A206B2" w:rsidRPr="001844F0">
        <w:rPr>
          <w:rFonts w:ascii="Gadugi" w:hAnsi="Gadugi" w:cs="Arial"/>
          <w:sz w:val="24"/>
          <w:szCs w:val="24"/>
        </w:rPr>
        <w:t xml:space="preserve"> por</w:t>
      </w:r>
      <w:r w:rsidR="00286409" w:rsidRPr="001844F0">
        <w:rPr>
          <w:rFonts w:ascii="Gadugi" w:hAnsi="Gadugi" w:cs="Arial"/>
          <w:sz w:val="24"/>
          <w:szCs w:val="24"/>
        </w:rPr>
        <w:t xml:space="preserve"> </w:t>
      </w:r>
      <w:r w:rsidR="00290521" w:rsidRPr="001844F0">
        <w:rPr>
          <w:rFonts w:ascii="Gadugi" w:hAnsi="Gadugi" w:cs="Arial"/>
          <w:b/>
          <w:bCs/>
          <w:sz w:val="24"/>
          <w:szCs w:val="24"/>
        </w:rPr>
        <w:t>Liliana Valencia López</w:t>
      </w:r>
      <w:r w:rsidR="00CC6358" w:rsidRPr="001844F0">
        <w:rPr>
          <w:rFonts w:ascii="Gadugi" w:hAnsi="Gadugi" w:cs="Arial"/>
          <w:b/>
          <w:bCs/>
          <w:sz w:val="24"/>
          <w:szCs w:val="24"/>
        </w:rPr>
        <w:t xml:space="preserve"> </w:t>
      </w:r>
      <w:r w:rsidR="008E7058" w:rsidRPr="001844F0">
        <w:rPr>
          <w:rFonts w:ascii="Gadugi" w:hAnsi="Gadugi" w:cs="Arial"/>
          <w:sz w:val="24"/>
          <w:szCs w:val="24"/>
        </w:rPr>
        <w:t>contra</w:t>
      </w:r>
      <w:r w:rsidR="006408D6" w:rsidRPr="001844F0">
        <w:rPr>
          <w:rFonts w:ascii="Gadugi" w:hAnsi="Gadugi" w:cs="Arial"/>
          <w:sz w:val="24"/>
          <w:szCs w:val="24"/>
        </w:rPr>
        <w:t xml:space="preserve"> </w:t>
      </w:r>
      <w:r w:rsidR="00290521" w:rsidRPr="001844F0">
        <w:rPr>
          <w:rFonts w:ascii="Gadugi" w:hAnsi="Gadugi" w:cs="Arial"/>
          <w:sz w:val="24"/>
          <w:szCs w:val="24"/>
        </w:rPr>
        <w:t xml:space="preserve">la </w:t>
      </w:r>
      <w:r w:rsidR="00290521" w:rsidRPr="001844F0">
        <w:rPr>
          <w:rFonts w:ascii="Gadugi" w:hAnsi="Gadugi" w:cs="Arial"/>
          <w:b/>
          <w:bCs/>
          <w:sz w:val="24"/>
          <w:szCs w:val="24"/>
        </w:rPr>
        <w:t>Superintendencia Financiera de Colombia</w:t>
      </w:r>
      <w:r w:rsidR="00713E7C" w:rsidRPr="001844F0">
        <w:rPr>
          <w:rFonts w:ascii="Gadugi" w:hAnsi="Gadugi" w:cs="Arial"/>
          <w:b/>
          <w:bCs/>
          <w:sz w:val="24"/>
          <w:szCs w:val="24"/>
        </w:rPr>
        <w:t xml:space="preserve"> -SFC-.</w:t>
      </w:r>
    </w:p>
    <w:p w14:paraId="09B512E1" w14:textId="77777777" w:rsidR="00DC24E4" w:rsidRPr="001844F0" w:rsidRDefault="00DC24E4" w:rsidP="001844F0">
      <w:pPr>
        <w:spacing w:line="276" w:lineRule="auto"/>
        <w:ind w:firstLine="2835"/>
        <w:jc w:val="both"/>
        <w:rPr>
          <w:rFonts w:ascii="Gadugi" w:hAnsi="Gadugi" w:cs="Arial"/>
          <w:sz w:val="24"/>
          <w:szCs w:val="24"/>
        </w:rPr>
      </w:pPr>
    </w:p>
    <w:p w14:paraId="09B512E2" w14:textId="77777777" w:rsidR="00F43B04" w:rsidRPr="001844F0" w:rsidRDefault="00E31422" w:rsidP="001844F0">
      <w:pPr>
        <w:spacing w:line="276" w:lineRule="auto"/>
        <w:ind w:firstLine="2835"/>
        <w:jc w:val="both"/>
        <w:rPr>
          <w:rFonts w:ascii="Gadugi" w:hAnsi="Gadugi"/>
          <w:b/>
          <w:sz w:val="24"/>
          <w:szCs w:val="24"/>
        </w:rPr>
      </w:pPr>
      <w:r w:rsidRPr="001844F0">
        <w:rPr>
          <w:rFonts w:ascii="Gadugi" w:hAnsi="Gadugi"/>
          <w:sz w:val="24"/>
          <w:szCs w:val="24"/>
        </w:rPr>
        <w:t xml:space="preserve">  </w:t>
      </w:r>
    </w:p>
    <w:p w14:paraId="09B512E3" w14:textId="77777777" w:rsidR="00322607" w:rsidRPr="001844F0" w:rsidRDefault="00322607" w:rsidP="001844F0">
      <w:pPr>
        <w:pStyle w:val="Ttulo4"/>
        <w:spacing w:line="276" w:lineRule="auto"/>
        <w:rPr>
          <w:rFonts w:ascii="Gadugi" w:hAnsi="Gadugi" w:cs="Arial"/>
          <w:b/>
          <w:sz w:val="24"/>
          <w:szCs w:val="24"/>
        </w:rPr>
      </w:pPr>
      <w:r w:rsidRPr="001844F0">
        <w:rPr>
          <w:rFonts w:ascii="Gadugi" w:hAnsi="Gadugi" w:cs="Arial"/>
          <w:b/>
          <w:sz w:val="24"/>
          <w:szCs w:val="24"/>
        </w:rPr>
        <w:t>ANTECEDENTES</w:t>
      </w:r>
    </w:p>
    <w:p w14:paraId="09B512E4" w14:textId="10926B38" w:rsidR="00322607" w:rsidRPr="001844F0" w:rsidRDefault="0086576D" w:rsidP="001844F0">
      <w:pPr>
        <w:spacing w:line="276" w:lineRule="auto"/>
        <w:jc w:val="both"/>
        <w:rPr>
          <w:rFonts w:ascii="Gadugi" w:hAnsi="Gadugi" w:cs="Arial"/>
          <w:b/>
          <w:bCs/>
          <w:sz w:val="24"/>
          <w:szCs w:val="24"/>
        </w:rPr>
      </w:pPr>
      <w:r w:rsidRPr="001844F0">
        <w:rPr>
          <w:rFonts w:ascii="Gadugi" w:hAnsi="Gadugi" w:cs="Arial"/>
          <w:b/>
          <w:bCs/>
          <w:sz w:val="24"/>
          <w:szCs w:val="24"/>
        </w:rPr>
        <w:tab/>
      </w:r>
      <w:r w:rsidRPr="001844F0">
        <w:rPr>
          <w:rFonts w:ascii="Gadugi" w:hAnsi="Gadugi" w:cs="Arial"/>
          <w:b/>
          <w:bCs/>
          <w:sz w:val="24"/>
          <w:szCs w:val="24"/>
        </w:rPr>
        <w:tab/>
      </w:r>
      <w:r w:rsidRPr="001844F0">
        <w:rPr>
          <w:rFonts w:ascii="Gadugi" w:hAnsi="Gadugi" w:cs="Arial"/>
          <w:b/>
          <w:bCs/>
          <w:sz w:val="24"/>
          <w:szCs w:val="24"/>
        </w:rPr>
        <w:tab/>
      </w:r>
      <w:r w:rsidRPr="001844F0">
        <w:rPr>
          <w:rFonts w:ascii="Gadugi" w:hAnsi="Gadugi" w:cs="Arial"/>
          <w:b/>
          <w:bCs/>
          <w:sz w:val="24"/>
          <w:szCs w:val="24"/>
        </w:rPr>
        <w:tab/>
      </w:r>
    </w:p>
    <w:p w14:paraId="09B512E5" w14:textId="70842522" w:rsidR="00D85356" w:rsidRPr="001844F0" w:rsidRDefault="00D85356"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 xml:space="preserve"> </w:t>
      </w:r>
      <w:r w:rsidR="002B1F1B" w:rsidRPr="001844F0">
        <w:rPr>
          <w:rFonts w:ascii="Gadugi" w:hAnsi="Gadugi"/>
          <w:sz w:val="24"/>
          <w:szCs w:val="24"/>
        </w:rPr>
        <w:tab/>
      </w:r>
      <w:r w:rsidR="002B1F1B" w:rsidRPr="001844F0">
        <w:rPr>
          <w:rFonts w:ascii="Gadugi" w:hAnsi="Gadugi"/>
          <w:sz w:val="24"/>
          <w:szCs w:val="24"/>
        </w:rPr>
        <w:tab/>
      </w:r>
      <w:r w:rsidR="002B1F1B" w:rsidRPr="001844F0">
        <w:rPr>
          <w:rFonts w:ascii="Gadugi" w:hAnsi="Gadugi"/>
          <w:sz w:val="24"/>
          <w:szCs w:val="24"/>
        </w:rPr>
        <w:tab/>
      </w:r>
      <w:r w:rsidR="002B1F1B" w:rsidRPr="001844F0">
        <w:rPr>
          <w:rFonts w:ascii="Gadugi" w:hAnsi="Gadugi"/>
          <w:sz w:val="24"/>
          <w:szCs w:val="24"/>
        </w:rPr>
        <w:tab/>
      </w:r>
    </w:p>
    <w:p w14:paraId="7DC2FA3A" w14:textId="042F1612" w:rsidR="00290521" w:rsidRPr="001844F0" w:rsidRDefault="00D85356"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 xml:space="preserve">En síntesis, </w:t>
      </w:r>
      <w:r w:rsidR="002B1F1B" w:rsidRPr="001844F0">
        <w:rPr>
          <w:rFonts w:ascii="Gadugi" w:hAnsi="Gadugi"/>
          <w:sz w:val="24"/>
          <w:szCs w:val="24"/>
        </w:rPr>
        <w:t>contó</w:t>
      </w:r>
      <w:r w:rsidR="00BC0D46" w:rsidRPr="001844F0">
        <w:rPr>
          <w:rFonts w:ascii="Gadugi" w:hAnsi="Gadugi"/>
          <w:sz w:val="24"/>
          <w:szCs w:val="24"/>
        </w:rPr>
        <w:t xml:space="preserve"> </w:t>
      </w:r>
      <w:r w:rsidR="005D21AD" w:rsidRPr="001844F0">
        <w:rPr>
          <w:rFonts w:ascii="Gadugi" w:hAnsi="Gadugi"/>
          <w:sz w:val="24"/>
          <w:szCs w:val="24"/>
        </w:rPr>
        <w:t>la</w:t>
      </w:r>
      <w:r w:rsidR="0090451F" w:rsidRPr="001844F0">
        <w:rPr>
          <w:rFonts w:ascii="Gadugi" w:hAnsi="Gadugi"/>
          <w:sz w:val="24"/>
          <w:szCs w:val="24"/>
        </w:rPr>
        <w:t xml:space="preserve"> </w:t>
      </w:r>
      <w:r w:rsidR="00C727A1" w:rsidRPr="001844F0">
        <w:rPr>
          <w:rFonts w:ascii="Gadugi" w:hAnsi="Gadugi"/>
          <w:sz w:val="24"/>
          <w:szCs w:val="24"/>
        </w:rPr>
        <w:t xml:space="preserve">demandante que, </w:t>
      </w:r>
      <w:r w:rsidR="00290521" w:rsidRPr="001844F0">
        <w:rPr>
          <w:rFonts w:ascii="Gadugi" w:hAnsi="Gadugi"/>
          <w:sz w:val="24"/>
          <w:szCs w:val="24"/>
        </w:rPr>
        <w:t xml:space="preserve">el 29 de abril de 2021, presentó un derecho de petición ante la </w:t>
      </w:r>
      <w:r w:rsidR="00713E7C" w:rsidRPr="001844F0">
        <w:rPr>
          <w:rFonts w:ascii="Gadugi" w:hAnsi="Gadugi"/>
          <w:sz w:val="24"/>
          <w:szCs w:val="24"/>
        </w:rPr>
        <w:t>SFC</w:t>
      </w:r>
      <w:r w:rsidR="00290521" w:rsidRPr="001844F0">
        <w:rPr>
          <w:rFonts w:ascii="Gadugi" w:hAnsi="Gadugi"/>
          <w:sz w:val="24"/>
          <w:szCs w:val="24"/>
        </w:rPr>
        <w:t>, cuy</w:t>
      </w:r>
      <w:r w:rsidR="00E455E5" w:rsidRPr="001844F0">
        <w:rPr>
          <w:rFonts w:ascii="Gadugi" w:hAnsi="Gadugi"/>
          <w:sz w:val="24"/>
          <w:szCs w:val="24"/>
        </w:rPr>
        <w:t>as solicitudes eran:</w:t>
      </w:r>
      <w:r w:rsidR="00290521" w:rsidRPr="001844F0">
        <w:rPr>
          <w:rFonts w:ascii="Gadugi" w:hAnsi="Gadugi"/>
          <w:sz w:val="24"/>
          <w:szCs w:val="24"/>
        </w:rPr>
        <w:t xml:space="preserve"> </w:t>
      </w:r>
    </w:p>
    <w:p w14:paraId="6EBA5461" w14:textId="7D43F769" w:rsidR="00E455E5" w:rsidRPr="001844F0" w:rsidRDefault="00E455E5" w:rsidP="001844F0">
      <w:pPr>
        <w:pStyle w:val="Sangra2detindependiente"/>
        <w:spacing w:after="0" w:line="276" w:lineRule="auto"/>
        <w:ind w:left="0"/>
        <w:jc w:val="both"/>
        <w:rPr>
          <w:rFonts w:ascii="Gadugi" w:hAnsi="Gadugi"/>
          <w:sz w:val="24"/>
          <w:szCs w:val="24"/>
        </w:rPr>
      </w:pPr>
    </w:p>
    <w:p w14:paraId="33775FD2" w14:textId="1CBBC408" w:rsidR="00E455E5" w:rsidRPr="001844F0" w:rsidRDefault="00E455E5" w:rsidP="001844F0">
      <w:pPr>
        <w:pStyle w:val="Sangra2detindependiente"/>
        <w:spacing w:after="0" w:line="240" w:lineRule="auto"/>
        <w:ind w:left="426" w:right="420"/>
        <w:jc w:val="both"/>
        <w:rPr>
          <w:rFonts w:ascii="Gadugi" w:hAnsi="Gadugi"/>
          <w:sz w:val="22"/>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2"/>
          <w:szCs w:val="24"/>
        </w:rPr>
        <w:t>“1. RETIRAR de manera inmediata a la Dra. Liliana Valencia López, identificada con C.C. N°42.072.885, de la plataforma SARLAFT.”</w:t>
      </w:r>
    </w:p>
    <w:p w14:paraId="6A5C2146" w14:textId="6B756760" w:rsidR="00E455E5" w:rsidRPr="001844F0" w:rsidRDefault="00E455E5" w:rsidP="001844F0">
      <w:pPr>
        <w:pStyle w:val="Sangra2detindependiente"/>
        <w:spacing w:after="0" w:line="240" w:lineRule="auto"/>
        <w:ind w:left="426" w:right="420"/>
        <w:jc w:val="both"/>
        <w:rPr>
          <w:rFonts w:ascii="Gadugi" w:hAnsi="Gadugi"/>
          <w:sz w:val="22"/>
          <w:szCs w:val="24"/>
        </w:rPr>
      </w:pPr>
    </w:p>
    <w:p w14:paraId="120BABC3" w14:textId="7C8199CD" w:rsidR="00E455E5" w:rsidRPr="001844F0" w:rsidRDefault="00E455E5" w:rsidP="001844F0">
      <w:pPr>
        <w:pStyle w:val="Sangra2detindependiente"/>
        <w:spacing w:after="0" w:line="240" w:lineRule="auto"/>
        <w:ind w:left="426" w:right="420"/>
        <w:jc w:val="both"/>
        <w:rPr>
          <w:rFonts w:ascii="Gadugi" w:hAnsi="Gadugi"/>
          <w:sz w:val="22"/>
          <w:szCs w:val="24"/>
        </w:rPr>
      </w:pPr>
      <w:r w:rsidRPr="001844F0">
        <w:rPr>
          <w:rFonts w:ascii="Gadugi" w:hAnsi="Gadugi"/>
          <w:sz w:val="22"/>
          <w:szCs w:val="24"/>
        </w:rPr>
        <w:tab/>
      </w:r>
      <w:r w:rsidRPr="001844F0">
        <w:rPr>
          <w:rFonts w:ascii="Gadugi" w:hAnsi="Gadugi"/>
          <w:sz w:val="22"/>
          <w:szCs w:val="24"/>
        </w:rPr>
        <w:tab/>
      </w:r>
      <w:r w:rsidRPr="001844F0">
        <w:rPr>
          <w:rFonts w:ascii="Gadugi" w:hAnsi="Gadugi"/>
          <w:sz w:val="22"/>
          <w:szCs w:val="24"/>
        </w:rPr>
        <w:tab/>
      </w:r>
      <w:r w:rsidRPr="001844F0">
        <w:rPr>
          <w:rFonts w:ascii="Gadugi" w:hAnsi="Gadugi"/>
          <w:sz w:val="22"/>
          <w:szCs w:val="24"/>
        </w:rPr>
        <w:tab/>
        <w:t>“2. RETIRAR de manera inmediata a la Dra. Liliana Valencia López, identificada con C.C. N°42.072.885, de todas las plataformas financieras.”</w:t>
      </w:r>
    </w:p>
    <w:p w14:paraId="12F64596" w14:textId="0CD84591" w:rsidR="00E455E5" w:rsidRPr="001844F0" w:rsidRDefault="00E455E5" w:rsidP="001844F0">
      <w:pPr>
        <w:pStyle w:val="Sangra2detindependiente"/>
        <w:spacing w:after="0" w:line="240" w:lineRule="auto"/>
        <w:ind w:left="426" w:right="420"/>
        <w:jc w:val="both"/>
        <w:rPr>
          <w:rFonts w:ascii="Gadugi" w:hAnsi="Gadugi"/>
          <w:sz w:val="22"/>
          <w:szCs w:val="24"/>
        </w:rPr>
      </w:pPr>
    </w:p>
    <w:p w14:paraId="616B203A" w14:textId="74369926" w:rsidR="00290521" w:rsidRPr="001844F0" w:rsidRDefault="00E455E5" w:rsidP="001844F0">
      <w:pPr>
        <w:pStyle w:val="Sangra2detindependiente"/>
        <w:spacing w:after="0" w:line="240" w:lineRule="auto"/>
        <w:ind w:left="426" w:right="420"/>
        <w:jc w:val="both"/>
        <w:rPr>
          <w:rFonts w:ascii="Gadugi" w:hAnsi="Gadugi"/>
          <w:sz w:val="22"/>
          <w:szCs w:val="24"/>
        </w:rPr>
      </w:pPr>
      <w:r w:rsidRPr="001844F0">
        <w:rPr>
          <w:rFonts w:ascii="Gadugi" w:hAnsi="Gadugi"/>
          <w:sz w:val="22"/>
          <w:szCs w:val="24"/>
        </w:rPr>
        <w:tab/>
      </w:r>
      <w:r w:rsidRPr="001844F0">
        <w:rPr>
          <w:rFonts w:ascii="Gadugi" w:hAnsi="Gadugi"/>
          <w:sz w:val="22"/>
          <w:szCs w:val="24"/>
        </w:rPr>
        <w:tab/>
      </w:r>
      <w:r w:rsidRPr="001844F0">
        <w:rPr>
          <w:rFonts w:ascii="Gadugi" w:hAnsi="Gadugi"/>
          <w:sz w:val="22"/>
          <w:szCs w:val="24"/>
        </w:rPr>
        <w:tab/>
      </w:r>
      <w:r w:rsidRPr="001844F0">
        <w:rPr>
          <w:rFonts w:ascii="Gadugi" w:hAnsi="Gadugi"/>
          <w:sz w:val="22"/>
          <w:szCs w:val="24"/>
        </w:rPr>
        <w:tab/>
        <w:t>“3. CERTIFICAR que la Dra. Liliana Valencia López, identificada con C.C. N°42.072.885, no se encuentre reportada en la plataforma SARLAFT por INHABILIDAD generada por parte de la CONTRALORÍA, COLOMBIA</w:t>
      </w:r>
      <w:r w:rsidR="00E55A20">
        <w:rPr>
          <w:rFonts w:ascii="Gadugi" w:hAnsi="Gadugi"/>
          <w:sz w:val="22"/>
          <w:szCs w:val="24"/>
        </w:rPr>
        <w:t xml:space="preserve"> I</w:t>
      </w:r>
      <w:r w:rsidRPr="001844F0">
        <w:rPr>
          <w:rFonts w:ascii="Gadugi" w:hAnsi="Gadugi"/>
          <w:sz w:val="22"/>
          <w:szCs w:val="24"/>
        </w:rPr>
        <w:t>NVESTIGACIONES O FALLOS DE RESPONSABILIDAD FISCAL, situación que ya ha sido superada.”</w:t>
      </w:r>
    </w:p>
    <w:p w14:paraId="42894AF8" w14:textId="304F2B76" w:rsidR="00E455E5" w:rsidRPr="001844F0" w:rsidRDefault="00E455E5" w:rsidP="001844F0">
      <w:pPr>
        <w:pStyle w:val="Sangra2detindependiente"/>
        <w:spacing w:line="240" w:lineRule="auto"/>
        <w:ind w:left="426" w:right="420"/>
        <w:jc w:val="both"/>
        <w:rPr>
          <w:rFonts w:ascii="Gadugi" w:hAnsi="Gadugi"/>
          <w:sz w:val="22"/>
          <w:szCs w:val="24"/>
        </w:rPr>
      </w:pPr>
    </w:p>
    <w:p w14:paraId="68431CFD" w14:textId="53232043" w:rsidR="00E455E5" w:rsidRPr="001844F0" w:rsidRDefault="00E455E5" w:rsidP="001844F0">
      <w:pPr>
        <w:pStyle w:val="Sangra2detindependiente"/>
        <w:spacing w:after="0" w:line="240" w:lineRule="auto"/>
        <w:ind w:left="426" w:right="420"/>
        <w:jc w:val="both"/>
        <w:rPr>
          <w:rFonts w:ascii="Gadugi" w:hAnsi="Gadugi"/>
          <w:sz w:val="22"/>
          <w:szCs w:val="24"/>
        </w:rPr>
      </w:pPr>
      <w:r w:rsidRPr="001844F0">
        <w:rPr>
          <w:rFonts w:ascii="Gadugi" w:hAnsi="Gadugi"/>
          <w:sz w:val="22"/>
          <w:szCs w:val="24"/>
        </w:rPr>
        <w:tab/>
      </w:r>
      <w:r w:rsidRPr="001844F0">
        <w:rPr>
          <w:rFonts w:ascii="Gadugi" w:hAnsi="Gadugi"/>
          <w:sz w:val="22"/>
          <w:szCs w:val="24"/>
        </w:rPr>
        <w:tab/>
      </w:r>
      <w:r w:rsidRPr="001844F0">
        <w:rPr>
          <w:rFonts w:ascii="Gadugi" w:hAnsi="Gadugi"/>
          <w:sz w:val="22"/>
          <w:szCs w:val="24"/>
        </w:rPr>
        <w:tab/>
      </w:r>
      <w:r w:rsidRPr="001844F0">
        <w:rPr>
          <w:rFonts w:ascii="Gadugi" w:hAnsi="Gadugi"/>
          <w:sz w:val="22"/>
          <w:szCs w:val="24"/>
        </w:rPr>
        <w:tab/>
        <w:t>“4. CERTIFICAR que la Dra. Liliana Valencia López, identificada con C.C. N°42.072.885, no se encuentre reportada en otras plataformas financieras en razón a la INHABILIDAD que ya ha sido superada.”</w:t>
      </w:r>
    </w:p>
    <w:p w14:paraId="371B606E" w14:textId="77777777" w:rsidR="00E455E5" w:rsidRPr="001844F0" w:rsidRDefault="00E455E5" w:rsidP="001844F0">
      <w:pPr>
        <w:pStyle w:val="Sangra2detindependiente"/>
        <w:spacing w:after="0" w:line="276" w:lineRule="auto"/>
        <w:ind w:left="0"/>
        <w:jc w:val="both"/>
        <w:rPr>
          <w:rFonts w:ascii="Gadugi" w:hAnsi="Gadugi"/>
          <w:sz w:val="24"/>
          <w:szCs w:val="24"/>
        </w:rPr>
      </w:pPr>
    </w:p>
    <w:p w14:paraId="198B4F30" w14:textId="1A03F1E0" w:rsidR="00290521" w:rsidRPr="001844F0" w:rsidRDefault="00366DB5" w:rsidP="001844F0">
      <w:pPr>
        <w:pStyle w:val="Sangra2detindependiente"/>
        <w:spacing w:after="0" w:line="276" w:lineRule="auto"/>
        <w:ind w:left="0"/>
        <w:jc w:val="both"/>
        <w:rPr>
          <w:rFonts w:ascii="Gadugi" w:hAnsi="Gadugi"/>
          <w: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00E536EE" w:rsidRPr="001844F0">
        <w:rPr>
          <w:rFonts w:ascii="Gadugi" w:hAnsi="Gadugi"/>
          <w:sz w:val="24"/>
          <w:szCs w:val="24"/>
        </w:rPr>
        <w:t xml:space="preserve">El 5 de mayo de 2021, se emitió una respuesta, en la que la Superintendencia expuso que no era la competente para emitir los certificados solicitados, sin embargo, según explica la accionante, </w:t>
      </w:r>
      <w:r w:rsidR="00A65CC5" w:rsidRPr="001844F0">
        <w:rPr>
          <w:rFonts w:ascii="Gadugi" w:hAnsi="Gadugi"/>
          <w:i/>
          <w:sz w:val="24"/>
          <w:szCs w:val="24"/>
        </w:rPr>
        <w:t>“</w:t>
      </w:r>
      <w:r w:rsidR="00A65CC5" w:rsidRPr="001844F0">
        <w:rPr>
          <w:rFonts w:ascii="Gadugi" w:hAnsi="Gadugi"/>
          <w:i/>
          <w:sz w:val="22"/>
          <w:szCs w:val="24"/>
        </w:rPr>
        <w:t xml:space="preserve">(…) </w:t>
      </w:r>
      <w:r w:rsidR="00E536EE" w:rsidRPr="001844F0">
        <w:rPr>
          <w:rFonts w:ascii="Gadugi" w:hAnsi="Gadugi"/>
          <w:i/>
          <w:sz w:val="22"/>
          <w:szCs w:val="24"/>
        </w:rPr>
        <w:t xml:space="preserve">la </w:t>
      </w:r>
      <w:r w:rsidR="00A65CC5" w:rsidRPr="001844F0">
        <w:rPr>
          <w:rFonts w:ascii="Gadugi" w:hAnsi="Gadugi"/>
          <w:i/>
          <w:sz w:val="22"/>
          <w:szCs w:val="24"/>
        </w:rPr>
        <w:t>competencia</w:t>
      </w:r>
      <w:r w:rsidR="00E536EE" w:rsidRPr="001844F0">
        <w:rPr>
          <w:rFonts w:ascii="Gadugi" w:hAnsi="Gadugi"/>
          <w:i/>
          <w:sz w:val="22"/>
          <w:szCs w:val="24"/>
        </w:rPr>
        <w:t xml:space="preserve"> para dicha </w:t>
      </w:r>
      <w:r w:rsidR="00A65CC5" w:rsidRPr="001844F0">
        <w:rPr>
          <w:rFonts w:ascii="Gadugi" w:hAnsi="Gadugi"/>
          <w:i/>
          <w:sz w:val="22"/>
          <w:szCs w:val="24"/>
        </w:rPr>
        <w:t>solicitud</w:t>
      </w:r>
      <w:r w:rsidR="00E536EE" w:rsidRPr="001844F0">
        <w:rPr>
          <w:rFonts w:ascii="Gadugi" w:hAnsi="Gadugi"/>
          <w:i/>
          <w:sz w:val="22"/>
          <w:szCs w:val="24"/>
        </w:rPr>
        <w:t xml:space="preserve"> si </w:t>
      </w:r>
      <w:r w:rsidR="00A65CC5" w:rsidRPr="001844F0">
        <w:rPr>
          <w:rFonts w:ascii="Gadugi" w:hAnsi="Gadugi"/>
          <w:i/>
          <w:sz w:val="22"/>
          <w:szCs w:val="24"/>
        </w:rPr>
        <w:t>corresponde</w:t>
      </w:r>
      <w:r w:rsidR="00E536EE" w:rsidRPr="001844F0">
        <w:rPr>
          <w:rFonts w:ascii="Gadugi" w:hAnsi="Gadugi"/>
          <w:i/>
          <w:sz w:val="22"/>
          <w:szCs w:val="24"/>
        </w:rPr>
        <w:t xml:space="preserve"> a la superintendencia financiera, </w:t>
      </w:r>
      <w:r w:rsidR="00A65CC5" w:rsidRPr="001844F0">
        <w:rPr>
          <w:rFonts w:ascii="Gadugi" w:hAnsi="Gadugi"/>
          <w:i/>
          <w:sz w:val="22"/>
          <w:szCs w:val="24"/>
        </w:rPr>
        <w:t>esto</w:t>
      </w:r>
      <w:r w:rsidR="00E536EE" w:rsidRPr="001844F0">
        <w:rPr>
          <w:rFonts w:ascii="Gadugi" w:hAnsi="Gadugi"/>
          <w:i/>
          <w:sz w:val="22"/>
          <w:szCs w:val="24"/>
        </w:rPr>
        <w:t xml:space="preserve">, </w:t>
      </w:r>
      <w:r w:rsidR="00A65CC5" w:rsidRPr="001844F0">
        <w:rPr>
          <w:rFonts w:ascii="Gadugi" w:hAnsi="Gadugi"/>
          <w:i/>
          <w:sz w:val="22"/>
          <w:szCs w:val="24"/>
        </w:rPr>
        <w:t>basados</w:t>
      </w:r>
      <w:r w:rsidR="00E536EE" w:rsidRPr="001844F0">
        <w:rPr>
          <w:rFonts w:ascii="Gadugi" w:hAnsi="Gadugi"/>
          <w:i/>
          <w:sz w:val="22"/>
          <w:szCs w:val="24"/>
        </w:rPr>
        <w:t xml:space="preserve"> en que, </w:t>
      </w:r>
      <w:r w:rsidR="00A65CC5" w:rsidRPr="001844F0">
        <w:rPr>
          <w:rFonts w:ascii="Gadugi" w:hAnsi="Gadugi"/>
          <w:i/>
          <w:sz w:val="22"/>
          <w:szCs w:val="24"/>
        </w:rPr>
        <w:t>cuando</w:t>
      </w:r>
      <w:r w:rsidR="00E536EE" w:rsidRPr="001844F0">
        <w:rPr>
          <w:rFonts w:ascii="Gadugi" w:hAnsi="Gadugi"/>
          <w:i/>
          <w:sz w:val="22"/>
          <w:szCs w:val="24"/>
        </w:rPr>
        <w:t xml:space="preserve"> </w:t>
      </w:r>
      <w:r w:rsidR="00A65CC5" w:rsidRPr="001844F0">
        <w:rPr>
          <w:rFonts w:ascii="Gadugi" w:hAnsi="Gadugi"/>
          <w:i/>
          <w:sz w:val="22"/>
          <w:szCs w:val="24"/>
        </w:rPr>
        <w:t>nos</w:t>
      </w:r>
      <w:r w:rsidR="00E536EE" w:rsidRPr="001844F0">
        <w:rPr>
          <w:rFonts w:ascii="Gadugi" w:hAnsi="Gadugi"/>
          <w:i/>
          <w:sz w:val="22"/>
          <w:szCs w:val="24"/>
        </w:rPr>
        <w:t xml:space="preserve"> </w:t>
      </w:r>
      <w:r w:rsidR="00A65CC5" w:rsidRPr="001844F0">
        <w:rPr>
          <w:rFonts w:ascii="Gadugi" w:hAnsi="Gadugi"/>
          <w:i/>
          <w:sz w:val="22"/>
          <w:szCs w:val="24"/>
        </w:rPr>
        <w:t>referimos</w:t>
      </w:r>
      <w:r w:rsidR="00E536EE" w:rsidRPr="001844F0">
        <w:rPr>
          <w:rFonts w:ascii="Gadugi" w:hAnsi="Gadugi"/>
          <w:i/>
          <w:sz w:val="22"/>
          <w:szCs w:val="24"/>
        </w:rPr>
        <w:t xml:space="preserve"> a la </w:t>
      </w:r>
      <w:r w:rsidR="00A65CC5" w:rsidRPr="001844F0">
        <w:rPr>
          <w:rFonts w:ascii="Gadugi" w:hAnsi="Gadugi"/>
          <w:i/>
          <w:sz w:val="22"/>
          <w:szCs w:val="24"/>
        </w:rPr>
        <w:t>Plataforma</w:t>
      </w:r>
      <w:r w:rsidR="00E536EE" w:rsidRPr="001844F0">
        <w:rPr>
          <w:rFonts w:ascii="Gadugi" w:hAnsi="Gadugi"/>
          <w:i/>
          <w:sz w:val="22"/>
          <w:szCs w:val="24"/>
        </w:rPr>
        <w:t xml:space="preserve"> SARLAFT es aquella administrada </w:t>
      </w:r>
      <w:r w:rsidR="00A65CC5" w:rsidRPr="001844F0">
        <w:rPr>
          <w:rFonts w:ascii="Gadugi" w:hAnsi="Gadugi"/>
          <w:i/>
          <w:sz w:val="22"/>
          <w:szCs w:val="24"/>
        </w:rPr>
        <w:t>por</w:t>
      </w:r>
      <w:r w:rsidR="00E536EE" w:rsidRPr="001844F0">
        <w:rPr>
          <w:rFonts w:ascii="Gadugi" w:hAnsi="Gadugi"/>
          <w:i/>
          <w:sz w:val="22"/>
          <w:szCs w:val="24"/>
        </w:rPr>
        <w:t xml:space="preserve"> el ente de </w:t>
      </w:r>
      <w:r w:rsidR="00A65CC5" w:rsidRPr="001844F0">
        <w:rPr>
          <w:rFonts w:ascii="Gadugi" w:hAnsi="Gadugi"/>
          <w:i/>
          <w:sz w:val="22"/>
          <w:szCs w:val="24"/>
        </w:rPr>
        <w:t>control</w:t>
      </w:r>
      <w:r w:rsidR="00E536EE" w:rsidRPr="001844F0">
        <w:rPr>
          <w:rFonts w:ascii="Gadugi" w:hAnsi="Gadugi"/>
          <w:i/>
          <w:sz w:val="22"/>
          <w:szCs w:val="24"/>
        </w:rPr>
        <w:t xml:space="preserve"> en materia financiera</w:t>
      </w:r>
      <w:r w:rsidR="00A65CC5" w:rsidRPr="001844F0">
        <w:rPr>
          <w:rFonts w:ascii="Gadugi" w:hAnsi="Gadugi"/>
          <w:i/>
          <w:sz w:val="24"/>
          <w:szCs w:val="24"/>
        </w:rPr>
        <w:t>.”</w:t>
      </w:r>
    </w:p>
    <w:p w14:paraId="2462D2FA" w14:textId="7E4487EC" w:rsidR="00A65CC5" w:rsidRPr="001844F0" w:rsidRDefault="00A65CC5" w:rsidP="001844F0">
      <w:pPr>
        <w:pStyle w:val="Sangra2detindependiente"/>
        <w:spacing w:after="0" w:line="276" w:lineRule="auto"/>
        <w:ind w:left="0"/>
        <w:jc w:val="both"/>
        <w:rPr>
          <w:rFonts w:ascii="Gadugi" w:hAnsi="Gadugi"/>
          <w:sz w:val="24"/>
          <w:szCs w:val="24"/>
        </w:rPr>
      </w:pPr>
    </w:p>
    <w:p w14:paraId="261F7766" w14:textId="2202A122" w:rsidR="00A65CC5" w:rsidRPr="001844F0" w:rsidRDefault="00A65CC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Y de igual modo, si careciera de competencia, lo que tenía que hacer la entidad accionada, era remitir a la petición a quien pudiera darle solución, de conformidad con el artículo 21 de la Ley 1755 de 2015.</w:t>
      </w:r>
    </w:p>
    <w:p w14:paraId="663E43FE" w14:textId="59EC6885" w:rsidR="00E536EE" w:rsidRPr="001844F0" w:rsidRDefault="00E536EE" w:rsidP="001844F0">
      <w:pPr>
        <w:pStyle w:val="Sangra2detindependiente"/>
        <w:spacing w:after="0" w:line="276" w:lineRule="auto"/>
        <w:ind w:left="0"/>
        <w:jc w:val="both"/>
        <w:rPr>
          <w:rFonts w:ascii="Gadugi" w:hAnsi="Gadugi"/>
          <w:sz w:val="24"/>
          <w:szCs w:val="24"/>
        </w:rPr>
      </w:pPr>
    </w:p>
    <w:p w14:paraId="5D72A7FB" w14:textId="1C2B17A1" w:rsidR="00A65CC5" w:rsidRPr="001844F0" w:rsidRDefault="00A65CC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Pidió, entonces, ordenarle a la autoridad acusada dar respuesta completa y de fondo a la petición presentada.</w:t>
      </w:r>
      <w:r w:rsidR="0042187B" w:rsidRPr="001844F0">
        <w:rPr>
          <w:rStyle w:val="Refdenotaalpie"/>
          <w:rFonts w:ascii="Gadugi" w:hAnsi="Gadugi"/>
          <w:sz w:val="24"/>
          <w:szCs w:val="24"/>
        </w:rPr>
        <w:footnoteReference w:id="1"/>
      </w:r>
      <w:r w:rsidRPr="001844F0">
        <w:rPr>
          <w:rFonts w:ascii="Gadugi" w:hAnsi="Gadugi"/>
          <w:sz w:val="24"/>
          <w:szCs w:val="24"/>
        </w:rPr>
        <w:cr/>
      </w:r>
    </w:p>
    <w:p w14:paraId="1A2E955A" w14:textId="6D178C32" w:rsidR="00761409" w:rsidRPr="001844F0" w:rsidRDefault="00A65CC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 xml:space="preserve">Con auto del 9 de junio se dio impulso a la acción, con la citación por pasiva del Director Legal de Prevención y Control de Lavado de Activos y Financiación del Terrorismo de la </w:t>
      </w:r>
      <w:r w:rsidR="00713E7C" w:rsidRPr="001844F0">
        <w:rPr>
          <w:rFonts w:ascii="Gadugi" w:hAnsi="Gadugi"/>
          <w:sz w:val="24"/>
          <w:szCs w:val="24"/>
        </w:rPr>
        <w:t>SFC</w:t>
      </w:r>
      <w:r w:rsidRPr="001844F0">
        <w:rPr>
          <w:rFonts w:ascii="Gadugi" w:hAnsi="Gadugi"/>
          <w:sz w:val="24"/>
          <w:szCs w:val="24"/>
        </w:rPr>
        <w:t>, quien fue el funcionario que dio contestación a la petición de la accionante.</w:t>
      </w:r>
      <w:r w:rsidR="0042187B" w:rsidRPr="001844F0">
        <w:rPr>
          <w:rStyle w:val="Refdenotaalpie"/>
          <w:rFonts w:ascii="Gadugi" w:hAnsi="Gadugi"/>
          <w:sz w:val="24"/>
          <w:szCs w:val="24"/>
        </w:rPr>
        <w:footnoteReference w:id="2"/>
      </w:r>
      <w:r w:rsidRPr="001844F0">
        <w:rPr>
          <w:rFonts w:ascii="Gadugi" w:hAnsi="Gadugi"/>
          <w:sz w:val="24"/>
          <w:szCs w:val="24"/>
        </w:rPr>
        <w:t xml:space="preserve"> </w:t>
      </w:r>
      <w:r w:rsidRPr="001844F0">
        <w:rPr>
          <w:rFonts w:ascii="Gadugi" w:hAnsi="Gadugi"/>
          <w:sz w:val="24"/>
          <w:szCs w:val="24"/>
        </w:rPr>
        <w:tab/>
      </w:r>
    </w:p>
    <w:p w14:paraId="0DBC3F1F" w14:textId="2C537EA7" w:rsidR="009A5C57" w:rsidRPr="001844F0" w:rsidRDefault="00A65CC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p>
    <w:p w14:paraId="0F4285DC" w14:textId="07D14837" w:rsidR="00A65CC5" w:rsidRPr="001844F0" w:rsidRDefault="00A65CC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lastRenderedPageBreak/>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004967F8" w:rsidRPr="001844F0">
        <w:rPr>
          <w:rFonts w:ascii="Gadugi" w:hAnsi="Gadugi"/>
          <w:sz w:val="24"/>
          <w:szCs w:val="24"/>
        </w:rPr>
        <w:t xml:space="preserve">Compareció la </w:t>
      </w:r>
      <w:r w:rsidR="00713E7C" w:rsidRPr="001844F0">
        <w:rPr>
          <w:rFonts w:ascii="Gadugi" w:hAnsi="Gadugi"/>
          <w:sz w:val="24"/>
          <w:szCs w:val="24"/>
        </w:rPr>
        <w:t>encartada</w:t>
      </w:r>
      <w:r w:rsidR="004967F8" w:rsidRPr="001844F0">
        <w:rPr>
          <w:rFonts w:ascii="Gadugi" w:hAnsi="Gadugi"/>
          <w:sz w:val="24"/>
          <w:szCs w:val="24"/>
        </w:rPr>
        <w:t xml:space="preserve">, afirmando que, con la respuesta que se le ofreció a la actora, se solucionó de fondo su petición, y aseguró que </w:t>
      </w:r>
      <w:r w:rsidR="004967F8" w:rsidRPr="001844F0">
        <w:rPr>
          <w:rFonts w:ascii="Gadugi" w:hAnsi="Gadugi"/>
          <w:i/>
          <w:sz w:val="24"/>
          <w:szCs w:val="24"/>
        </w:rPr>
        <w:t>“(</w:t>
      </w:r>
      <w:r w:rsidR="004967F8" w:rsidRPr="001844F0">
        <w:rPr>
          <w:rFonts w:ascii="Gadugi" w:hAnsi="Gadugi"/>
          <w:i/>
          <w:sz w:val="22"/>
          <w:szCs w:val="24"/>
        </w:rPr>
        <w:t>…) no resultaba posible efectuar el traslado de su solicitud algún tercero</w:t>
      </w:r>
      <w:r w:rsidR="004967F8" w:rsidRPr="001844F0">
        <w:rPr>
          <w:rFonts w:ascii="Gadugi" w:hAnsi="Gadugi"/>
          <w:i/>
          <w:sz w:val="24"/>
          <w:szCs w:val="24"/>
        </w:rPr>
        <w:t>”.</w:t>
      </w:r>
    </w:p>
    <w:p w14:paraId="7DEC771F" w14:textId="2100660E" w:rsidR="004967F8" w:rsidRPr="001844F0" w:rsidRDefault="004967F8" w:rsidP="001844F0">
      <w:pPr>
        <w:pStyle w:val="Sangra2detindependiente"/>
        <w:spacing w:after="0" w:line="276" w:lineRule="auto"/>
        <w:ind w:left="0"/>
        <w:jc w:val="both"/>
        <w:rPr>
          <w:rFonts w:ascii="Gadugi" w:hAnsi="Gadugi"/>
          <w:sz w:val="24"/>
          <w:szCs w:val="24"/>
        </w:rPr>
      </w:pPr>
    </w:p>
    <w:p w14:paraId="2757DBFD" w14:textId="735C0FB7" w:rsidR="004967F8" w:rsidRPr="001844F0" w:rsidRDefault="004967F8"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00E455E5" w:rsidRPr="001844F0">
        <w:rPr>
          <w:rFonts w:ascii="Gadugi" w:hAnsi="Gadugi"/>
          <w:sz w:val="24"/>
          <w:szCs w:val="24"/>
        </w:rPr>
        <w:t>Frente al primer punto de la solicitud e</w:t>
      </w:r>
      <w:r w:rsidRPr="001844F0">
        <w:rPr>
          <w:rFonts w:ascii="Gadugi" w:hAnsi="Gadugi"/>
          <w:sz w:val="24"/>
          <w:szCs w:val="24"/>
        </w:rPr>
        <w:t xml:space="preserve">xplicó que </w:t>
      </w:r>
      <w:r w:rsidR="00E455E5" w:rsidRPr="001844F0">
        <w:rPr>
          <w:rFonts w:ascii="Gadugi" w:hAnsi="Gadugi"/>
          <w:sz w:val="24"/>
          <w:szCs w:val="24"/>
        </w:rPr>
        <w:t xml:space="preserve">el SARLAFT, es un </w:t>
      </w:r>
      <w:r w:rsidR="00E455E5" w:rsidRPr="001844F0">
        <w:rPr>
          <w:rFonts w:ascii="Gadugi" w:hAnsi="Gadugi"/>
          <w:i/>
          <w:sz w:val="24"/>
          <w:szCs w:val="24"/>
        </w:rPr>
        <w:t>“</w:t>
      </w:r>
      <w:r w:rsidR="00E455E5" w:rsidRPr="00C07C45">
        <w:rPr>
          <w:rFonts w:ascii="Gadugi" w:hAnsi="Gadugi"/>
          <w:i/>
          <w:sz w:val="22"/>
          <w:szCs w:val="24"/>
        </w:rPr>
        <w:t>(…) Sistema de Administración del Riesgo de Lavado de Activos y de la Financiación del Terrorismo, que esta Superintendencia, entre otras, exige implementar a sus entidades vigiladas, con el fin de prevenir que sean utilizadas para dar apariencia de legalidad a activos provenientes de actividades delictivas y la canalización de recursos hacia la realización de actividades terroristas (…)</w:t>
      </w:r>
      <w:r w:rsidR="00E455E5" w:rsidRPr="001844F0">
        <w:rPr>
          <w:rFonts w:ascii="Gadugi" w:hAnsi="Gadugi"/>
          <w:i/>
          <w:sz w:val="24"/>
          <w:szCs w:val="24"/>
        </w:rPr>
        <w:t xml:space="preserve">”.:; </w:t>
      </w:r>
      <w:r w:rsidR="00E455E5" w:rsidRPr="001844F0">
        <w:rPr>
          <w:rFonts w:ascii="Gadugi" w:hAnsi="Gadugi"/>
          <w:sz w:val="24"/>
          <w:szCs w:val="24"/>
        </w:rPr>
        <w:t xml:space="preserve">es decir, no es que exista una “plataforma SARLAFT”, y entonces, es imposible que </w:t>
      </w:r>
      <w:r w:rsidR="00E455E5" w:rsidRPr="001844F0">
        <w:rPr>
          <w:rFonts w:ascii="Gadugi" w:hAnsi="Gadugi"/>
          <w:i/>
          <w:sz w:val="24"/>
          <w:szCs w:val="24"/>
        </w:rPr>
        <w:t>“</w:t>
      </w:r>
      <w:r w:rsidR="00E455E5" w:rsidRPr="001844F0">
        <w:rPr>
          <w:rFonts w:ascii="Gadugi" w:hAnsi="Gadugi"/>
          <w:i/>
          <w:sz w:val="22"/>
          <w:szCs w:val="24"/>
        </w:rPr>
        <w:t>(…) esta Superintendencia, imparta alguna orden o efectúe algún traslado a alguna Autoridad, sobre la solicitud del caso, pues es claro que no existe entidad u organización que administre la supuesta plataforma SARLAFT, aludida por la accionante</w:t>
      </w:r>
      <w:r w:rsidR="00E455E5" w:rsidRPr="001844F0">
        <w:rPr>
          <w:rFonts w:ascii="Gadugi" w:hAnsi="Gadugi"/>
          <w:i/>
          <w:sz w:val="24"/>
          <w:szCs w:val="24"/>
        </w:rPr>
        <w:t>.”</w:t>
      </w:r>
    </w:p>
    <w:p w14:paraId="05B8A148" w14:textId="170FEECC" w:rsidR="00E455E5" w:rsidRPr="001844F0" w:rsidRDefault="00E455E5" w:rsidP="001844F0">
      <w:pPr>
        <w:pStyle w:val="Sangra2detindependiente"/>
        <w:spacing w:line="276" w:lineRule="auto"/>
        <w:ind w:left="0"/>
        <w:jc w:val="both"/>
        <w:rPr>
          <w:rFonts w:ascii="Gadugi" w:hAnsi="Gadugi"/>
          <w:sz w:val="24"/>
          <w:szCs w:val="24"/>
        </w:rPr>
      </w:pPr>
    </w:p>
    <w:p w14:paraId="5948BEF5" w14:textId="661A4D61" w:rsidR="00E455E5" w:rsidRPr="001844F0" w:rsidRDefault="00E455E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 xml:space="preserve">Frente al segundo punto, indicó que </w:t>
      </w:r>
      <w:r w:rsidRPr="001844F0">
        <w:rPr>
          <w:rFonts w:ascii="Gadugi" w:hAnsi="Gadugi"/>
          <w:i/>
          <w:sz w:val="24"/>
          <w:szCs w:val="24"/>
        </w:rPr>
        <w:t>“(</w:t>
      </w:r>
      <w:r w:rsidRPr="00C07C45">
        <w:rPr>
          <w:rFonts w:ascii="Gadugi" w:hAnsi="Gadugi"/>
          <w:i/>
          <w:sz w:val="22"/>
          <w:szCs w:val="24"/>
        </w:rPr>
        <w:t>…) no existen las denominadas plataformas financieras, pues, cada entidad vigilada administra sus propios riesgos, de acuerdo con las singularidades determinadas de manera autónoma por cada uno de estos establecimientos. Por lo anterior, no le es posible a esta Superintendencia, retirar, como lo pretende la accionante, a una persona de estas supuestas plataformas financieras y menos aún, haber trasladado el caso a alguna Autoridad, pues como se mencionó, ninguna tiene la administración de la supuesta plataforma</w:t>
      </w:r>
      <w:r w:rsidRPr="001844F0">
        <w:rPr>
          <w:rFonts w:ascii="Gadugi" w:hAnsi="Gadugi"/>
          <w:i/>
          <w:sz w:val="24"/>
          <w:szCs w:val="24"/>
        </w:rPr>
        <w:t>.”</w:t>
      </w:r>
    </w:p>
    <w:p w14:paraId="474B4C6D" w14:textId="3BC41CDC" w:rsidR="004967F8" w:rsidRPr="001844F0" w:rsidRDefault="004967F8" w:rsidP="001844F0">
      <w:pPr>
        <w:pStyle w:val="Sangra2detindependiente"/>
        <w:spacing w:after="0" w:line="276" w:lineRule="auto"/>
        <w:ind w:left="0"/>
        <w:jc w:val="both"/>
        <w:rPr>
          <w:rFonts w:ascii="Gadugi" w:hAnsi="Gadugi"/>
          <w:sz w:val="24"/>
          <w:szCs w:val="24"/>
        </w:rPr>
      </w:pPr>
    </w:p>
    <w:p w14:paraId="6D93ED80" w14:textId="3A13C452" w:rsidR="00E455E5" w:rsidRPr="001844F0" w:rsidRDefault="00E455E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Respecto al tercero aludió que</w:t>
      </w:r>
      <w:r w:rsidR="003A6CEA" w:rsidRPr="001844F0">
        <w:rPr>
          <w:rFonts w:ascii="Gadugi" w:hAnsi="Gadugi"/>
          <w:sz w:val="24"/>
          <w:szCs w:val="24"/>
        </w:rPr>
        <w:t xml:space="preserve"> esa cartera no cuenta con </w:t>
      </w:r>
      <w:r w:rsidR="00713E7C" w:rsidRPr="001844F0">
        <w:rPr>
          <w:rFonts w:ascii="Gadugi" w:hAnsi="Gadugi"/>
          <w:sz w:val="24"/>
          <w:szCs w:val="24"/>
        </w:rPr>
        <w:t xml:space="preserve">la facultad para emitir una certificación como la solicitada. Explicó que </w:t>
      </w:r>
      <w:r w:rsidR="00713E7C" w:rsidRPr="001844F0">
        <w:rPr>
          <w:rFonts w:ascii="Gadugi" w:hAnsi="Gadugi"/>
          <w:i/>
          <w:sz w:val="24"/>
          <w:szCs w:val="24"/>
        </w:rPr>
        <w:t>“</w:t>
      </w:r>
      <w:r w:rsidR="00713E7C" w:rsidRPr="00C07C45">
        <w:rPr>
          <w:rFonts w:ascii="Gadugi" w:hAnsi="Gadugi"/>
          <w:i/>
          <w:sz w:val="22"/>
          <w:szCs w:val="24"/>
        </w:rPr>
        <w:t>(…) las entidades vigiladas por la SFC, están en libertad de consultar listados restrictivos, sin que esta Superintendencia tenga dentro de sus competencias, la posibilidad de solicitar la inclusión o retiro de una persona mencionada en estos listados, como tampoco, puede exigir su observancia por parte de las entidades vigiladas, por cuanto, es opcional de cada entidad, conforme a la administración de su propio riesgo</w:t>
      </w:r>
      <w:r w:rsidR="00713E7C" w:rsidRPr="001844F0">
        <w:rPr>
          <w:rFonts w:ascii="Gadugi" w:hAnsi="Gadugi"/>
          <w:i/>
          <w:sz w:val="24"/>
          <w:szCs w:val="24"/>
        </w:rPr>
        <w:t>.”</w:t>
      </w:r>
    </w:p>
    <w:p w14:paraId="239E4F1C" w14:textId="235F46B2" w:rsidR="00E455E5" w:rsidRPr="001844F0" w:rsidRDefault="00E455E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p>
    <w:p w14:paraId="1927EA64" w14:textId="0D7A0D48" w:rsidR="00713E7C" w:rsidRPr="001844F0" w:rsidRDefault="00713E7C"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 xml:space="preserve">Y en lo que se refiere al cuarto punto, insistió en que </w:t>
      </w:r>
      <w:r w:rsidRPr="001844F0">
        <w:rPr>
          <w:rFonts w:ascii="Gadugi" w:hAnsi="Gadugi"/>
          <w:i/>
          <w:sz w:val="24"/>
          <w:szCs w:val="24"/>
        </w:rPr>
        <w:t>“</w:t>
      </w:r>
      <w:r w:rsidRPr="00C07C45">
        <w:rPr>
          <w:rFonts w:ascii="Gadugi" w:hAnsi="Gadugi"/>
          <w:i/>
          <w:sz w:val="22"/>
          <w:szCs w:val="24"/>
        </w:rPr>
        <w:t>(…) no tiene la facultad de emitir una certificación de acuerdo con el contexto solicitado por la peticionaria e igualmente, no le es posible manifestarse sobre las ya referidas plataformas financieras, por las razones mencionadas a folios 4 y 5 de la respuesta con radicado número 2021098927-001 del 5 de mayo de 2021, como tampoco, de proceder con el traslado al que alude la accionante, por las razones tantas veces mencionadas</w:t>
      </w:r>
      <w:r w:rsidRPr="001844F0">
        <w:rPr>
          <w:rFonts w:ascii="Gadugi" w:hAnsi="Gadugi"/>
          <w:i/>
          <w:sz w:val="24"/>
          <w:szCs w:val="24"/>
        </w:rPr>
        <w:t>.”</w:t>
      </w:r>
    </w:p>
    <w:p w14:paraId="1136BEFB" w14:textId="64436408" w:rsidR="004967F8" w:rsidRPr="001844F0" w:rsidRDefault="004967F8" w:rsidP="001844F0">
      <w:pPr>
        <w:pStyle w:val="Sangra2detindependiente"/>
        <w:spacing w:after="0" w:line="276" w:lineRule="auto"/>
        <w:ind w:left="0"/>
        <w:jc w:val="both"/>
        <w:rPr>
          <w:rFonts w:ascii="Gadugi" w:hAnsi="Gadugi"/>
          <w:sz w:val="24"/>
          <w:szCs w:val="24"/>
        </w:rPr>
      </w:pPr>
    </w:p>
    <w:p w14:paraId="08617641" w14:textId="588AC04C" w:rsidR="00713E7C" w:rsidRDefault="00713E7C"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 xml:space="preserve">Por lo expuesto, </w:t>
      </w:r>
      <w:r w:rsidR="00E405F0" w:rsidRPr="001844F0">
        <w:rPr>
          <w:rFonts w:ascii="Gadugi" w:hAnsi="Gadugi"/>
          <w:sz w:val="24"/>
          <w:szCs w:val="24"/>
        </w:rPr>
        <w:t>pidió negar la protección.</w:t>
      </w:r>
      <w:r w:rsidR="0042187B" w:rsidRPr="001844F0">
        <w:rPr>
          <w:rStyle w:val="Refdenotaalpie"/>
          <w:rFonts w:ascii="Gadugi" w:hAnsi="Gadugi"/>
          <w:sz w:val="24"/>
          <w:szCs w:val="24"/>
        </w:rPr>
        <w:footnoteReference w:id="3"/>
      </w:r>
    </w:p>
    <w:p w14:paraId="5DFFF92D" w14:textId="77777777" w:rsidR="00C07C45" w:rsidRPr="001844F0" w:rsidRDefault="00C07C45" w:rsidP="001844F0">
      <w:pPr>
        <w:pStyle w:val="Sangra2detindependiente"/>
        <w:spacing w:after="0" w:line="276" w:lineRule="auto"/>
        <w:ind w:left="0"/>
        <w:jc w:val="both"/>
        <w:rPr>
          <w:rFonts w:ascii="Gadugi" w:hAnsi="Gadugi"/>
          <w:sz w:val="24"/>
          <w:szCs w:val="24"/>
        </w:rPr>
      </w:pPr>
    </w:p>
    <w:p w14:paraId="5DEB63BC" w14:textId="300038CD" w:rsidR="00E60CBC" w:rsidRPr="001844F0" w:rsidRDefault="00C007CD"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lastRenderedPageBreak/>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 xml:space="preserve">Sobrevino la sentencia de primer grado que declaró </w:t>
      </w:r>
      <w:r w:rsidR="00E60CBC" w:rsidRPr="001844F0">
        <w:rPr>
          <w:rFonts w:ascii="Gadugi" w:hAnsi="Gadugi"/>
          <w:sz w:val="24"/>
          <w:szCs w:val="24"/>
        </w:rPr>
        <w:t>improcedente</w:t>
      </w:r>
      <w:r w:rsidRPr="001844F0">
        <w:rPr>
          <w:rFonts w:ascii="Gadugi" w:hAnsi="Gadugi"/>
          <w:sz w:val="24"/>
          <w:szCs w:val="24"/>
        </w:rPr>
        <w:t xml:space="preserve"> la </w:t>
      </w:r>
      <w:r w:rsidR="00E60CBC" w:rsidRPr="001844F0">
        <w:rPr>
          <w:rFonts w:ascii="Gadugi" w:hAnsi="Gadugi"/>
          <w:sz w:val="24"/>
          <w:szCs w:val="24"/>
        </w:rPr>
        <w:t>protección, al estimar que la contestación de la SFC, en relación con la petición de la actora, se encuentra enmarcada dentro del debido proceso.</w:t>
      </w:r>
    </w:p>
    <w:p w14:paraId="138FDE7A" w14:textId="1156A52C" w:rsidR="00E60CBC" w:rsidRPr="001844F0" w:rsidRDefault="00E60CBC" w:rsidP="001844F0">
      <w:pPr>
        <w:pStyle w:val="Sangra2detindependiente"/>
        <w:spacing w:after="0" w:line="276" w:lineRule="auto"/>
        <w:ind w:left="0"/>
        <w:jc w:val="both"/>
        <w:rPr>
          <w:rFonts w:ascii="Gadugi" w:hAnsi="Gadugi"/>
          <w:sz w:val="24"/>
          <w:szCs w:val="24"/>
        </w:rPr>
      </w:pPr>
    </w:p>
    <w:p w14:paraId="440B3AF6" w14:textId="40071DD2" w:rsidR="00E60CBC" w:rsidRPr="001844F0" w:rsidRDefault="00E60CBC" w:rsidP="001844F0">
      <w:pPr>
        <w:pStyle w:val="Sangra2detindependiente"/>
        <w:spacing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 xml:space="preserve">Agregó que </w:t>
      </w:r>
      <w:r w:rsidRPr="001844F0">
        <w:rPr>
          <w:rFonts w:ascii="Gadugi" w:hAnsi="Gadugi"/>
          <w:i/>
          <w:sz w:val="24"/>
          <w:szCs w:val="24"/>
        </w:rPr>
        <w:t>“</w:t>
      </w:r>
      <w:r w:rsidRPr="00C07C45">
        <w:rPr>
          <w:rFonts w:ascii="Gadugi" w:hAnsi="Gadugi"/>
          <w:i/>
          <w:sz w:val="22"/>
          <w:szCs w:val="24"/>
        </w:rPr>
        <w:t>El SARLAFT es un sistema aplicado por diferentes entidades financieras, cuya finalidad es gestionar el riesgo de ser utilizadas con activos provenientes de actividades ilícitas. Se busca que cada entidad financiera cree su propio SARLAFT a partir de actos administrativos y requerimientos normativos de la Superintendencia Financiera de Colombia</w:t>
      </w:r>
      <w:r w:rsidRPr="001844F0">
        <w:rPr>
          <w:rFonts w:ascii="Gadugi" w:hAnsi="Gadugi"/>
          <w:i/>
          <w:sz w:val="24"/>
          <w:szCs w:val="24"/>
        </w:rPr>
        <w:t>.”</w:t>
      </w:r>
      <w:r w:rsidR="00C07C45">
        <w:rPr>
          <w:rFonts w:ascii="Gadugi" w:hAnsi="Gadugi"/>
          <w:i/>
          <w:sz w:val="24"/>
          <w:szCs w:val="24"/>
        </w:rPr>
        <w:t xml:space="preserve"> </w:t>
      </w:r>
      <w:r w:rsidR="0042187B" w:rsidRPr="001844F0">
        <w:rPr>
          <w:rStyle w:val="Refdenotaalpie"/>
          <w:rFonts w:ascii="Gadugi" w:hAnsi="Gadugi"/>
          <w:i/>
          <w:sz w:val="24"/>
          <w:szCs w:val="24"/>
        </w:rPr>
        <w:footnoteReference w:id="4"/>
      </w:r>
    </w:p>
    <w:p w14:paraId="27F585DD" w14:textId="784B24E5" w:rsidR="00E60CBC" w:rsidRPr="001844F0" w:rsidRDefault="00E60CBC" w:rsidP="001844F0">
      <w:pPr>
        <w:pStyle w:val="Sangra2detindependiente"/>
        <w:spacing w:after="0" w:line="276" w:lineRule="auto"/>
        <w:ind w:left="0"/>
        <w:jc w:val="both"/>
        <w:rPr>
          <w:rFonts w:ascii="Gadugi" w:hAnsi="Gadugi"/>
          <w:sz w:val="24"/>
          <w:szCs w:val="24"/>
        </w:rPr>
      </w:pPr>
    </w:p>
    <w:p w14:paraId="75D34FBD" w14:textId="6C0FDF66" w:rsidR="00E60CBC" w:rsidRPr="001844F0" w:rsidRDefault="00E60CBC" w:rsidP="001844F0">
      <w:pPr>
        <w:pStyle w:val="Sangra2detindependiente"/>
        <w:spacing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Im</w:t>
      </w:r>
      <w:r w:rsidR="00EB411B" w:rsidRPr="001844F0">
        <w:rPr>
          <w:rFonts w:ascii="Gadugi" w:hAnsi="Gadugi"/>
          <w:sz w:val="24"/>
          <w:szCs w:val="24"/>
        </w:rPr>
        <w:t>pugnó la señora Valencia López</w:t>
      </w:r>
      <w:r w:rsidR="00796E76" w:rsidRPr="001844F0">
        <w:rPr>
          <w:rFonts w:ascii="Gadugi" w:hAnsi="Gadugi"/>
          <w:sz w:val="24"/>
          <w:szCs w:val="24"/>
        </w:rPr>
        <w:t xml:space="preserve">, insistiendo en que la SFC si es competente para dar solución a sus requerimientos, adujo que </w:t>
      </w:r>
      <w:r w:rsidR="00796E76" w:rsidRPr="001844F0">
        <w:rPr>
          <w:rFonts w:ascii="Gadugi" w:hAnsi="Gadugi"/>
          <w:i/>
          <w:sz w:val="24"/>
          <w:szCs w:val="24"/>
        </w:rPr>
        <w:t>“</w:t>
      </w:r>
      <w:r w:rsidR="00796E76" w:rsidRPr="00C07C45">
        <w:rPr>
          <w:rFonts w:ascii="Gadugi" w:hAnsi="Gadugi"/>
          <w:i/>
          <w:sz w:val="22"/>
          <w:szCs w:val="24"/>
        </w:rPr>
        <w:t>(…) la obligación de las entidades adoptar las políticas de la plataforma SARLAFT, es en razón a que existe un deber de rendir cuentas ante la entidad principal administradora de la plataforma con sus respectivos lineamientos y parámetros. En este, se deben dar reportes donde quedarán a disposición de la entidad administradora (SUPERINTENDENCIA), dentro de la base de la plataforma SARLAFT, de conformidad con las políticas e instrucciones dadas</w:t>
      </w:r>
      <w:r w:rsidR="00796E76" w:rsidRPr="001844F0">
        <w:rPr>
          <w:rFonts w:ascii="Gadugi" w:hAnsi="Gadugi"/>
          <w:i/>
          <w:sz w:val="24"/>
          <w:szCs w:val="24"/>
        </w:rPr>
        <w:t xml:space="preserve">”; </w:t>
      </w:r>
      <w:r w:rsidR="00796E76" w:rsidRPr="001844F0">
        <w:rPr>
          <w:rFonts w:ascii="Gadugi" w:hAnsi="Gadugi"/>
          <w:sz w:val="24"/>
          <w:szCs w:val="24"/>
        </w:rPr>
        <w:t xml:space="preserve">Advirtió que debió ser vinculada la Contraloría </w:t>
      </w:r>
      <w:r w:rsidR="001E0EC7" w:rsidRPr="001844F0">
        <w:rPr>
          <w:rFonts w:ascii="Gadugi" w:hAnsi="Gadugi"/>
          <w:sz w:val="24"/>
          <w:szCs w:val="24"/>
        </w:rPr>
        <w:t>Municipal de Pereira, por haber sido el ente ante el cual ya se dio por superada la situación por la cual fue reportada.</w:t>
      </w:r>
      <w:r w:rsidR="0042187B" w:rsidRPr="001844F0">
        <w:rPr>
          <w:rStyle w:val="Refdenotaalpie"/>
          <w:rFonts w:ascii="Gadugi" w:hAnsi="Gadugi"/>
          <w:sz w:val="24"/>
          <w:szCs w:val="24"/>
        </w:rPr>
        <w:footnoteReference w:id="5"/>
      </w:r>
      <w:r w:rsidR="001E0EC7" w:rsidRPr="001844F0">
        <w:rPr>
          <w:rFonts w:ascii="Gadugi" w:hAnsi="Gadugi"/>
          <w:sz w:val="24"/>
          <w:szCs w:val="24"/>
        </w:rPr>
        <w:t xml:space="preserve"> </w:t>
      </w:r>
    </w:p>
    <w:p w14:paraId="276D4DCB" w14:textId="279763D3" w:rsidR="00C007CD" w:rsidRPr="001844F0" w:rsidRDefault="00E60CBC"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00E405F0" w:rsidRPr="001844F0">
        <w:rPr>
          <w:rFonts w:ascii="Gadugi" w:hAnsi="Gadugi"/>
          <w:sz w:val="24"/>
          <w:szCs w:val="24"/>
        </w:rPr>
        <w:tab/>
      </w:r>
      <w:r w:rsidR="00E405F0" w:rsidRPr="001844F0">
        <w:rPr>
          <w:rFonts w:ascii="Gadugi" w:hAnsi="Gadugi"/>
          <w:sz w:val="24"/>
          <w:szCs w:val="24"/>
        </w:rPr>
        <w:tab/>
      </w:r>
      <w:r w:rsidR="00E405F0" w:rsidRPr="001844F0">
        <w:rPr>
          <w:rFonts w:ascii="Gadugi" w:hAnsi="Gadugi"/>
          <w:sz w:val="24"/>
          <w:szCs w:val="24"/>
        </w:rPr>
        <w:tab/>
      </w:r>
    </w:p>
    <w:p w14:paraId="0D02F2A3" w14:textId="1DC08C2F" w:rsidR="00E405F0" w:rsidRPr="001844F0" w:rsidRDefault="00E405F0"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p>
    <w:p w14:paraId="09B512FB" w14:textId="51D73B44" w:rsidR="00322607" w:rsidRPr="001844F0" w:rsidRDefault="00322607" w:rsidP="001844F0">
      <w:pPr>
        <w:spacing w:line="276" w:lineRule="auto"/>
        <w:ind w:firstLine="2835"/>
        <w:jc w:val="both"/>
        <w:rPr>
          <w:rFonts w:ascii="Gadugi" w:hAnsi="Gadugi" w:cs="Arial"/>
          <w:b/>
          <w:sz w:val="24"/>
          <w:szCs w:val="24"/>
        </w:rPr>
      </w:pPr>
      <w:r w:rsidRPr="001844F0">
        <w:rPr>
          <w:rFonts w:ascii="Gadugi" w:hAnsi="Gadugi" w:cs="Arial"/>
          <w:b/>
          <w:sz w:val="24"/>
          <w:szCs w:val="24"/>
        </w:rPr>
        <w:t>CONSIDERACIONES</w:t>
      </w:r>
    </w:p>
    <w:p w14:paraId="0767D992" w14:textId="4DD68FEB" w:rsidR="00346F15" w:rsidRPr="001844F0" w:rsidRDefault="008754EA" w:rsidP="001844F0">
      <w:pPr>
        <w:spacing w:line="276" w:lineRule="auto"/>
        <w:jc w:val="both"/>
        <w:rPr>
          <w:rFonts w:ascii="Gadugi" w:hAnsi="Gadugi" w:cs="Arial"/>
          <w:sz w:val="24"/>
          <w:szCs w:val="24"/>
        </w:rPr>
      </w:pPr>
      <w:r w:rsidRPr="001844F0">
        <w:rPr>
          <w:rFonts w:ascii="Gadugi" w:hAnsi="Gadugi" w:cs="Arial"/>
          <w:sz w:val="24"/>
          <w:szCs w:val="24"/>
        </w:rPr>
        <w:tab/>
      </w:r>
      <w:r w:rsidRPr="001844F0">
        <w:rPr>
          <w:rFonts w:ascii="Gadugi" w:hAnsi="Gadugi" w:cs="Arial"/>
          <w:sz w:val="24"/>
          <w:szCs w:val="24"/>
        </w:rPr>
        <w:tab/>
      </w:r>
      <w:r w:rsidRPr="001844F0">
        <w:rPr>
          <w:rFonts w:ascii="Gadugi" w:hAnsi="Gadugi" w:cs="Arial"/>
          <w:sz w:val="24"/>
          <w:szCs w:val="24"/>
        </w:rPr>
        <w:tab/>
      </w:r>
      <w:r w:rsidRPr="001844F0">
        <w:rPr>
          <w:rFonts w:ascii="Gadugi" w:hAnsi="Gadugi" w:cs="Arial"/>
          <w:sz w:val="24"/>
          <w:szCs w:val="24"/>
        </w:rPr>
        <w:tab/>
      </w:r>
    </w:p>
    <w:p w14:paraId="3B5C0423" w14:textId="3713E0D2" w:rsidR="00346F15" w:rsidRPr="001844F0" w:rsidRDefault="00E405F0" w:rsidP="001844F0">
      <w:pPr>
        <w:spacing w:line="276" w:lineRule="auto"/>
        <w:jc w:val="both"/>
        <w:rPr>
          <w:rFonts w:ascii="Gadugi" w:hAnsi="Gadugi" w:cs="Arial"/>
          <w:sz w:val="24"/>
          <w:szCs w:val="24"/>
        </w:rPr>
      </w:pPr>
      <w:r w:rsidRPr="001844F0">
        <w:rPr>
          <w:rFonts w:ascii="Gadugi" w:hAnsi="Gadugi" w:cs="Arial"/>
          <w:sz w:val="24"/>
          <w:szCs w:val="24"/>
        </w:rPr>
        <w:tab/>
      </w:r>
      <w:r w:rsidRPr="001844F0">
        <w:rPr>
          <w:rFonts w:ascii="Gadugi" w:hAnsi="Gadugi" w:cs="Arial"/>
          <w:sz w:val="24"/>
          <w:szCs w:val="24"/>
        </w:rPr>
        <w:tab/>
      </w:r>
      <w:r w:rsidRPr="001844F0">
        <w:rPr>
          <w:rFonts w:ascii="Gadugi" w:hAnsi="Gadugi" w:cs="Arial"/>
          <w:sz w:val="24"/>
          <w:szCs w:val="24"/>
        </w:rPr>
        <w:tab/>
      </w:r>
      <w:r w:rsidRPr="001844F0">
        <w:rPr>
          <w:rFonts w:ascii="Gadugi" w:hAnsi="Gadugi" w:cs="Arial"/>
          <w:sz w:val="24"/>
          <w:szCs w:val="24"/>
        </w:rPr>
        <w:tab/>
      </w:r>
    </w:p>
    <w:p w14:paraId="361271D5" w14:textId="77777777" w:rsidR="00346F15" w:rsidRPr="001844F0" w:rsidRDefault="00346F15" w:rsidP="001844F0">
      <w:pPr>
        <w:spacing w:line="276" w:lineRule="auto"/>
        <w:ind w:firstLine="2835"/>
        <w:jc w:val="both"/>
        <w:rPr>
          <w:rFonts w:ascii="Gadugi" w:hAnsi="Gadugi" w:cs="Arial"/>
          <w:sz w:val="24"/>
          <w:szCs w:val="24"/>
        </w:rPr>
      </w:pPr>
      <w:r w:rsidRPr="001844F0">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7CA5D044" w14:textId="77777777" w:rsidR="00346F15" w:rsidRPr="001844F0" w:rsidRDefault="00346F15" w:rsidP="001844F0">
      <w:pPr>
        <w:spacing w:line="276" w:lineRule="auto"/>
        <w:ind w:firstLine="2835"/>
        <w:jc w:val="both"/>
        <w:rPr>
          <w:rFonts w:ascii="Gadugi" w:hAnsi="Gadugi"/>
          <w:sz w:val="24"/>
          <w:szCs w:val="24"/>
        </w:rPr>
      </w:pPr>
      <w:r w:rsidRPr="001844F0">
        <w:rPr>
          <w:rFonts w:ascii="Gadugi" w:hAnsi="Gadugi"/>
          <w:sz w:val="24"/>
          <w:szCs w:val="24"/>
        </w:rPr>
        <w:t xml:space="preserve">  </w:t>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p>
    <w:p w14:paraId="710695DD" w14:textId="2A43BA2D" w:rsidR="00E405F0" w:rsidRPr="001844F0" w:rsidRDefault="00346F1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 xml:space="preserve">  </w:t>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 xml:space="preserve">Acude en esta oportunidad </w:t>
      </w:r>
      <w:r w:rsidR="00E405F0" w:rsidRPr="001844F0">
        <w:rPr>
          <w:rFonts w:ascii="Gadugi" w:hAnsi="Gadugi"/>
          <w:sz w:val="24"/>
          <w:szCs w:val="24"/>
        </w:rPr>
        <w:t>Liliana Valencia López</w:t>
      </w:r>
      <w:r w:rsidRPr="001844F0">
        <w:rPr>
          <w:rFonts w:ascii="Gadugi" w:hAnsi="Gadugi"/>
          <w:sz w:val="24"/>
          <w:szCs w:val="24"/>
        </w:rPr>
        <w:t>, en procura de la protección de las prerrogativas fundamentales que invocó, para que se le</w:t>
      </w:r>
      <w:r w:rsidR="00E405F0" w:rsidRPr="001844F0">
        <w:rPr>
          <w:rFonts w:ascii="Gadugi" w:hAnsi="Gadugi"/>
          <w:sz w:val="24"/>
          <w:szCs w:val="24"/>
        </w:rPr>
        <w:t xml:space="preserve"> ordene a la SFC, contestar de fondo un derecho de petición que elevó el 29 de abril de 2021. </w:t>
      </w:r>
    </w:p>
    <w:p w14:paraId="5CDB31AF" w14:textId="77777777" w:rsidR="00346F15" w:rsidRPr="001844F0" w:rsidRDefault="00346F15" w:rsidP="001844F0">
      <w:pPr>
        <w:pStyle w:val="Sangra2detindependiente"/>
        <w:spacing w:after="0" w:line="276" w:lineRule="auto"/>
        <w:ind w:left="0"/>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p>
    <w:p w14:paraId="66088500" w14:textId="12F17C5B" w:rsidR="005F2F2E" w:rsidRPr="001844F0" w:rsidRDefault="00346F15" w:rsidP="001844F0">
      <w:pPr>
        <w:pStyle w:val="Sangra2detindependiente"/>
        <w:spacing w:after="0" w:line="276" w:lineRule="auto"/>
        <w:ind w:left="0" w:firstLine="1"/>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t>En cuanto a la legitimación es clara por activa, en la medida que fue</w:t>
      </w:r>
      <w:r w:rsidR="00E405F0" w:rsidRPr="001844F0">
        <w:rPr>
          <w:rFonts w:ascii="Gadugi" w:hAnsi="Gadugi"/>
          <w:sz w:val="24"/>
          <w:szCs w:val="24"/>
        </w:rPr>
        <w:t xml:space="preserve"> en favor de</w:t>
      </w:r>
      <w:r w:rsidRPr="001844F0">
        <w:rPr>
          <w:rFonts w:ascii="Gadugi" w:hAnsi="Gadugi"/>
          <w:sz w:val="24"/>
          <w:szCs w:val="24"/>
        </w:rPr>
        <w:t xml:space="preserve"> la accionante</w:t>
      </w:r>
      <w:r w:rsidR="00E405F0" w:rsidRPr="001844F0">
        <w:rPr>
          <w:rFonts w:ascii="Gadugi" w:hAnsi="Gadugi"/>
          <w:sz w:val="24"/>
          <w:szCs w:val="24"/>
        </w:rPr>
        <w:t xml:space="preserve">, quien actúa </w:t>
      </w:r>
      <w:r w:rsidR="005F2F2E" w:rsidRPr="001844F0">
        <w:rPr>
          <w:rFonts w:ascii="Gadugi" w:hAnsi="Gadugi"/>
          <w:sz w:val="24"/>
          <w:szCs w:val="24"/>
        </w:rPr>
        <w:t>mediante</w:t>
      </w:r>
      <w:r w:rsidR="00E405F0" w:rsidRPr="001844F0">
        <w:rPr>
          <w:rFonts w:ascii="Gadugi" w:hAnsi="Gadugi"/>
          <w:sz w:val="24"/>
          <w:szCs w:val="24"/>
        </w:rPr>
        <w:t xml:space="preserve"> apoderado judicial</w:t>
      </w:r>
      <w:r w:rsidR="005F2F2E" w:rsidRPr="001844F0">
        <w:rPr>
          <w:rFonts w:ascii="Gadugi" w:hAnsi="Gadugi"/>
          <w:sz w:val="24"/>
          <w:szCs w:val="24"/>
        </w:rPr>
        <w:t xml:space="preserve"> debidamente facultado</w:t>
      </w:r>
      <w:r w:rsidR="005F2F2E" w:rsidRPr="001844F0">
        <w:rPr>
          <w:rStyle w:val="Refdenotaalpie"/>
          <w:rFonts w:ascii="Gadugi" w:hAnsi="Gadugi"/>
          <w:sz w:val="24"/>
          <w:szCs w:val="24"/>
        </w:rPr>
        <w:footnoteReference w:id="6"/>
      </w:r>
      <w:r w:rsidR="005F2F2E" w:rsidRPr="001844F0">
        <w:rPr>
          <w:rFonts w:ascii="Gadugi" w:hAnsi="Gadugi"/>
          <w:sz w:val="24"/>
          <w:szCs w:val="24"/>
        </w:rPr>
        <w:t>,</w:t>
      </w:r>
      <w:r w:rsidRPr="001844F0">
        <w:rPr>
          <w:rFonts w:ascii="Gadugi" w:hAnsi="Gadugi"/>
          <w:sz w:val="24"/>
          <w:szCs w:val="24"/>
        </w:rPr>
        <w:t xml:space="preserve"> </w:t>
      </w:r>
      <w:r w:rsidR="005F2F2E" w:rsidRPr="001844F0">
        <w:rPr>
          <w:rFonts w:ascii="Gadugi" w:hAnsi="Gadugi"/>
          <w:sz w:val="24"/>
          <w:szCs w:val="24"/>
        </w:rPr>
        <w:t>que</w:t>
      </w:r>
      <w:r w:rsidRPr="001844F0">
        <w:rPr>
          <w:rFonts w:ascii="Gadugi" w:hAnsi="Gadugi"/>
          <w:sz w:val="24"/>
          <w:szCs w:val="24"/>
        </w:rPr>
        <w:t xml:space="preserve"> se </w:t>
      </w:r>
      <w:r w:rsidR="00E405F0" w:rsidRPr="001844F0">
        <w:rPr>
          <w:rFonts w:ascii="Gadugi" w:hAnsi="Gadugi"/>
          <w:sz w:val="24"/>
          <w:szCs w:val="24"/>
        </w:rPr>
        <w:t>radicó el derecho de</w:t>
      </w:r>
      <w:r w:rsidR="00E32AFB" w:rsidRPr="001844F0">
        <w:rPr>
          <w:rFonts w:ascii="Gadugi" w:hAnsi="Gadugi"/>
          <w:sz w:val="24"/>
          <w:szCs w:val="24"/>
        </w:rPr>
        <w:t xml:space="preserve"> petición,</w:t>
      </w:r>
      <w:r w:rsidRPr="001844F0">
        <w:rPr>
          <w:rFonts w:ascii="Gadugi" w:hAnsi="Gadugi"/>
          <w:sz w:val="24"/>
          <w:szCs w:val="24"/>
        </w:rPr>
        <w:t xml:space="preserve"> cuya respuesta </w:t>
      </w:r>
      <w:r w:rsidR="00E405F0" w:rsidRPr="001844F0">
        <w:rPr>
          <w:rFonts w:ascii="Gadugi" w:hAnsi="Gadugi"/>
          <w:sz w:val="24"/>
          <w:szCs w:val="24"/>
        </w:rPr>
        <w:t xml:space="preserve">de fondo </w:t>
      </w:r>
      <w:r w:rsidRPr="001844F0">
        <w:rPr>
          <w:rFonts w:ascii="Gadugi" w:hAnsi="Gadugi"/>
          <w:sz w:val="24"/>
          <w:szCs w:val="24"/>
        </w:rPr>
        <w:lastRenderedPageBreak/>
        <w:t xml:space="preserve">se ruega con esta demanda. </w:t>
      </w:r>
      <w:r w:rsidR="00E32AFB" w:rsidRPr="001844F0">
        <w:rPr>
          <w:rFonts w:ascii="Gadugi" w:hAnsi="Gadugi"/>
          <w:sz w:val="24"/>
          <w:szCs w:val="24"/>
        </w:rPr>
        <w:t>Lo mismo sucede p</w:t>
      </w:r>
      <w:r w:rsidRPr="001844F0">
        <w:rPr>
          <w:rFonts w:ascii="Gadugi" w:hAnsi="Gadugi"/>
          <w:sz w:val="24"/>
          <w:szCs w:val="24"/>
        </w:rPr>
        <w:t>or pasiva</w:t>
      </w:r>
      <w:r w:rsidR="00E32AFB" w:rsidRPr="001844F0">
        <w:rPr>
          <w:rFonts w:ascii="Gadugi" w:hAnsi="Gadugi"/>
          <w:sz w:val="24"/>
          <w:szCs w:val="24"/>
        </w:rPr>
        <w:t>,</w:t>
      </w:r>
      <w:r w:rsidRPr="001844F0">
        <w:rPr>
          <w:rFonts w:ascii="Gadugi" w:hAnsi="Gadugi"/>
          <w:sz w:val="24"/>
          <w:szCs w:val="24"/>
        </w:rPr>
        <w:t xml:space="preserve"> respecto </w:t>
      </w:r>
      <w:r w:rsidR="005F2F2E" w:rsidRPr="001844F0">
        <w:rPr>
          <w:rFonts w:ascii="Gadugi" w:hAnsi="Gadugi"/>
          <w:sz w:val="24"/>
          <w:szCs w:val="24"/>
        </w:rPr>
        <w:t xml:space="preserve">del Director Legal de Prevención y Control de Lavado de Activos y Financiación del Terrorismo de la SFC, comoquiera que fue quien respondió la petición de la </w:t>
      </w:r>
      <w:r w:rsidR="004428F2" w:rsidRPr="001844F0">
        <w:rPr>
          <w:rFonts w:ascii="Gadugi" w:hAnsi="Gadugi"/>
          <w:sz w:val="24"/>
          <w:szCs w:val="24"/>
        </w:rPr>
        <w:t>demandante</w:t>
      </w:r>
      <w:r w:rsidR="005F2F2E" w:rsidRPr="001844F0">
        <w:rPr>
          <w:rFonts w:ascii="Gadugi" w:hAnsi="Gadugi"/>
          <w:sz w:val="24"/>
          <w:szCs w:val="24"/>
        </w:rPr>
        <w:t>.</w:t>
      </w:r>
    </w:p>
    <w:p w14:paraId="795F66BB" w14:textId="77777777" w:rsidR="005F2F2E" w:rsidRPr="001844F0" w:rsidRDefault="005F2F2E" w:rsidP="001844F0">
      <w:pPr>
        <w:pStyle w:val="Sangra2detindependiente"/>
        <w:spacing w:after="0" w:line="276" w:lineRule="auto"/>
        <w:ind w:left="0" w:firstLine="1"/>
        <w:jc w:val="both"/>
        <w:rPr>
          <w:rFonts w:ascii="Gadugi" w:hAnsi="Gadugi"/>
          <w:sz w:val="24"/>
          <w:szCs w:val="24"/>
        </w:rPr>
      </w:pPr>
    </w:p>
    <w:p w14:paraId="22C243DA" w14:textId="37FA2B4A" w:rsidR="005F2F2E" w:rsidRPr="001844F0" w:rsidRDefault="00346F15" w:rsidP="001844F0">
      <w:pPr>
        <w:spacing w:line="276" w:lineRule="auto"/>
        <w:ind w:firstLine="2835"/>
        <w:jc w:val="both"/>
        <w:rPr>
          <w:rFonts w:ascii="Gadugi" w:hAnsi="Gadugi"/>
          <w:sz w:val="24"/>
          <w:szCs w:val="24"/>
        </w:rPr>
      </w:pPr>
      <w:r w:rsidRPr="001844F0">
        <w:rPr>
          <w:rFonts w:ascii="Gadugi" w:hAnsi="Gadugi"/>
          <w:sz w:val="24"/>
          <w:szCs w:val="24"/>
        </w:rPr>
        <w:t>La inmediatez se cumple</w:t>
      </w:r>
      <w:r w:rsidR="00E32AFB" w:rsidRPr="001844F0">
        <w:rPr>
          <w:rFonts w:ascii="Gadugi" w:hAnsi="Gadugi"/>
          <w:sz w:val="24"/>
          <w:szCs w:val="24"/>
        </w:rPr>
        <w:t>,</w:t>
      </w:r>
      <w:r w:rsidRPr="001844F0">
        <w:rPr>
          <w:rFonts w:ascii="Gadugi" w:hAnsi="Gadugi"/>
          <w:sz w:val="24"/>
          <w:szCs w:val="24"/>
        </w:rPr>
        <w:t xml:space="preserve"> porque </w:t>
      </w:r>
      <w:r w:rsidR="005F2F2E" w:rsidRPr="001844F0">
        <w:rPr>
          <w:rFonts w:ascii="Gadugi" w:hAnsi="Gadugi"/>
          <w:sz w:val="24"/>
          <w:szCs w:val="24"/>
        </w:rPr>
        <w:t xml:space="preserve">la respuesta que la actora considera insatisfactoria, se </w:t>
      </w:r>
      <w:r w:rsidR="004428F2" w:rsidRPr="001844F0">
        <w:rPr>
          <w:rFonts w:ascii="Gadugi" w:hAnsi="Gadugi"/>
          <w:sz w:val="24"/>
          <w:szCs w:val="24"/>
        </w:rPr>
        <w:t>notificó</w:t>
      </w:r>
      <w:r w:rsidR="005F2F2E" w:rsidRPr="001844F0">
        <w:rPr>
          <w:rFonts w:ascii="Gadugi" w:hAnsi="Gadugi"/>
          <w:sz w:val="24"/>
          <w:szCs w:val="24"/>
        </w:rPr>
        <w:t xml:space="preserve"> el 5 de mayo de 2021</w:t>
      </w:r>
      <w:r w:rsidR="004428F2" w:rsidRPr="001844F0">
        <w:rPr>
          <w:rStyle w:val="Refdenotaalpie"/>
          <w:rFonts w:ascii="Gadugi" w:hAnsi="Gadugi"/>
          <w:sz w:val="24"/>
          <w:szCs w:val="24"/>
        </w:rPr>
        <w:footnoteReference w:id="7"/>
      </w:r>
      <w:r w:rsidR="005F2F2E" w:rsidRPr="001844F0">
        <w:rPr>
          <w:rFonts w:ascii="Gadugi" w:hAnsi="Gadugi"/>
          <w:sz w:val="24"/>
          <w:szCs w:val="24"/>
        </w:rPr>
        <w:t xml:space="preserve">, y esta acción de tutela se radicó el </w:t>
      </w:r>
      <w:r w:rsidR="004428F2" w:rsidRPr="001844F0">
        <w:rPr>
          <w:rFonts w:ascii="Gadugi" w:hAnsi="Gadugi"/>
          <w:sz w:val="24"/>
          <w:szCs w:val="24"/>
        </w:rPr>
        <w:t>8</w:t>
      </w:r>
      <w:r w:rsidR="005F2F2E" w:rsidRPr="001844F0">
        <w:rPr>
          <w:rFonts w:ascii="Gadugi" w:hAnsi="Gadugi"/>
          <w:sz w:val="24"/>
          <w:szCs w:val="24"/>
        </w:rPr>
        <w:t xml:space="preserve"> de </w:t>
      </w:r>
      <w:r w:rsidR="004428F2" w:rsidRPr="001844F0">
        <w:rPr>
          <w:rFonts w:ascii="Gadugi" w:hAnsi="Gadugi"/>
          <w:sz w:val="24"/>
          <w:szCs w:val="24"/>
        </w:rPr>
        <w:t>junio</w:t>
      </w:r>
      <w:r w:rsidR="005F2F2E" w:rsidRPr="001844F0">
        <w:rPr>
          <w:rFonts w:ascii="Gadugi" w:hAnsi="Gadugi"/>
          <w:sz w:val="24"/>
          <w:szCs w:val="24"/>
        </w:rPr>
        <w:t xml:space="preserve"> siguiente. Como se ve, entre una y otra fecha no han transcurrido más de 6 meses. </w:t>
      </w:r>
    </w:p>
    <w:p w14:paraId="3D0E3847" w14:textId="77777777" w:rsidR="005F2F2E" w:rsidRPr="001844F0" w:rsidRDefault="005F2F2E" w:rsidP="001844F0">
      <w:pPr>
        <w:spacing w:line="276" w:lineRule="auto"/>
        <w:ind w:firstLine="2835"/>
        <w:jc w:val="both"/>
        <w:rPr>
          <w:rFonts w:ascii="Gadugi" w:hAnsi="Gadugi"/>
          <w:sz w:val="24"/>
          <w:szCs w:val="24"/>
        </w:rPr>
      </w:pPr>
    </w:p>
    <w:p w14:paraId="2D0E4AEE" w14:textId="07FA0DD7" w:rsidR="00346F15" w:rsidRPr="001844F0" w:rsidRDefault="004428F2" w:rsidP="001844F0">
      <w:pPr>
        <w:spacing w:line="276" w:lineRule="auto"/>
        <w:ind w:firstLine="2835"/>
        <w:jc w:val="both"/>
        <w:rPr>
          <w:rFonts w:ascii="Gadugi" w:hAnsi="Gadugi"/>
          <w:sz w:val="24"/>
          <w:szCs w:val="24"/>
        </w:rPr>
      </w:pPr>
      <w:r w:rsidRPr="001844F0">
        <w:rPr>
          <w:rFonts w:ascii="Gadugi" w:hAnsi="Gadugi"/>
          <w:sz w:val="24"/>
          <w:szCs w:val="24"/>
        </w:rPr>
        <w:t>Se</w:t>
      </w:r>
      <w:r w:rsidR="00346F15" w:rsidRPr="001844F0">
        <w:rPr>
          <w:rFonts w:ascii="Gadugi" w:hAnsi="Gadugi"/>
          <w:sz w:val="24"/>
          <w:szCs w:val="24"/>
        </w:rPr>
        <w:t xml:space="preserve"> supera la subsidiaridad porque para la protección del derecho fundamental de petición, es inexistente otro medio judicial distinto a la acción de tutela.  </w:t>
      </w:r>
    </w:p>
    <w:p w14:paraId="185D69C0" w14:textId="4EBC58C2" w:rsidR="00346F15" w:rsidRPr="001844F0" w:rsidRDefault="00E405F0" w:rsidP="001844F0">
      <w:pPr>
        <w:spacing w:line="276" w:lineRule="auto"/>
        <w:jc w:val="both"/>
        <w:rPr>
          <w:rFonts w:ascii="Gadugi" w:hAnsi="Gadugi"/>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p>
    <w:p w14:paraId="1DA3985D" w14:textId="77777777" w:rsidR="005F2F2E" w:rsidRPr="001844F0" w:rsidRDefault="00346F15" w:rsidP="001844F0">
      <w:pPr>
        <w:spacing w:line="276" w:lineRule="auto"/>
        <w:jc w:val="both"/>
        <w:rPr>
          <w:rFonts w:ascii="Gadugi" w:hAnsi="Gadugi" w:cs="Courier New"/>
          <w:sz w:val="24"/>
          <w:szCs w:val="24"/>
        </w:rPr>
      </w:pP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Pr="001844F0">
        <w:rPr>
          <w:rFonts w:ascii="Gadugi" w:hAnsi="Gadugi"/>
          <w:sz w:val="24"/>
          <w:szCs w:val="24"/>
        </w:rPr>
        <w:tab/>
      </w:r>
      <w:r w:rsidR="005F2F2E" w:rsidRPr="001844F0">
        <w:rPr>
          <w:rFonts w:ascii="Gadugi" w:hAnsi="Gadugi" w:cs="Arial"/>
          <w:sz w:val="24"/>
          <w:szCs w:val="24"/>
        </w:rPr>
        <w:t xml:space="preserve">Ahora, </w:t>
      </w:r>
      <w:bookmarkStart w:id="2" w:name="_Hlk83306331"/>
      <w:r w:rsidR="005F2F2E" w:rsidRPr="001844F0">
        <w:rPr>
          <w:rFonts w:ascii="Gadugi" w:hAnsi="Gadugi" w:cs="Arial"/>
          <w:sz w:val="24"/>
          <w:szCs w:val="24"/>
        </w:rPr>
        <w:t>se sabe que l</w:t>
      </w:r>
      <w:r w:rsidR="005F2F2E" w:rsidRPr="001844F0">
        <w:rPr>
          <w:rFonts w:ascii="Gadugi" w:hAnsi="Gadugi" w:cs="Courier New"/>
          <w:sz w:val="24"/>
          <w:szCs w:val="24"/>
          <w:lang w:val="es-419"/>
        </w:rPr>
        <w:t>a salvaguarda de tal prerrogativa se</w:t>
      </w:r>
      <w:r w:rsidR="005F2F2E" w:rsidRPr="001844F0">
        <w:rPr>
          <w:rFonts w:ascii="Gadugi" w:hAnsi="Gadugi" w:cs="Courier New"/>
          <w:sz w:val="24"/>
          <w:szCs w:val="24"/>
        </w:rPr>
        <w:t xml:space="preserve"> garantiza con la implementación de normas que desarrollen el contenido constitucional, pero, además, con la posibilidad </w:t>
      </w:r>
      <w:r w:rsidR="005F2F2E" w:rsidRPr="001844F0">
        <w:rPr>
          <w:rFonts w:ascii="Gadugi" w:hAnsi="Gadugi"/>
          <w:iCs/>
          <w:sz w:val="24"/>
          <w:szCs w:val="24"/>
          <w:shd w:val="clear" w:color="auto" w:fill="FFFFFF"/>
        </w:rPr>
        <w:t xml:space="preserve">de presentar solicitudes escritas o verbales para los fines que cada persona estime pertinentes, </w:t>
      </w:r>
      <w:r w:rsidR="005F2F2E" w:rsidRPr="001844F0">
        <w:rPr>
          <w:rFonts w:ascii="Gadugi" w:hAnsi="Gadugi"/>
          <w:iCs/>
          <w:sz w:val="24"/>
          <w:szCs w:val="24"/>
          <w:shd w:val="clear" w:color="auto" w:fill="FFFFFF"/>
          <w:lang w:val="es-419"/>
        </w:rPr>
        <w:t xml:space="preserve">con la </w:t>
      </w:r>
      <w:r w:rsidR="005F2F2E" w:rsidRPr="001844F0">
        <w:rPr>
          <w:rFonts w:ascii="Gadugi" w:hAnsi="Gadugi"/>
          <w:iCs/>
          <w:sz w:val="24"/>
          <w:szCs w:val="24"/>
          <w:shd w:val="clear" w:color="auto" w:fill="FFFFFF"/>
        </w:rPr>
        <w:t>obligación correlativa del requerido de ofrecer una respuesta clara, congruente, de fondo y oportuna; esto es, una respuesta que carezca de contenido abstracto o evasivo, que solucione dentro de los límites de lo posible la situación o inquietud del peticionario</w:t>
      </w:r>
      <w:r w:rsidR="005F2F2E" w:rsidRPr="001844F0">
        <w:rPr>
          <w:rFonts w:ascii="Gadugi" w:hAnsi="Gadugi"/>
          <w:iCs/>
          <w:sz w:val="24"/>
          <w:szCs w:val="24"/>
          <w:shd w:val="clear" w:color="auto" w:fill="FFFFFF"/>
          <w:lang w:val="es-419"/>
        </w:rPr>
        <w:t xml:space="preserve">, que respete </w:t>
      </w:r>
      <w:r w:rsidR="005F2F2E" w:rsidRPr="001844F0">
        <w:rPr>
          <w:rFonts w:ascii="Gadugi" w:hAnsi="Gadugi"/>
          <w:iCs/>
          <w:sz w:val="24"/>
          <w:szCs w:val="24"/>
          <w:shd w:val="clear" w:color="auto" w:fill="FFFFFF"/>
        </w:rPr>
        <w:t xml:space="preserve">los límites temporales que </w:t>
      </w:r>
      <w:r w:rsidR="005F2F2E" w:rsidRPr="001844F0">
        <w:rPr>
          <w:rFonts w:ascii="Gadugi" w:hAnsi="Gadugi"/>
          <w:iCs/>
          <w:sz w:val="24"/>
          <w:szCs w:val="24"/>
          <w:shd w:val="clear" w:color="auto" w:fill="FFFFFF"/>
          <w:lang w:val="es-419"/>
        </w:rPr>
        <w:t xml:space="preserve">la ley ha </w:t>
      </w:r>
      <w:r w:rsidR="005F2F2E" w:rsidRPr="001844F0">
        <w:rPr>
          <w:rFonts w:ascii="Gadugi" w:hAnsi="Gadugi"/>
          <w:iCs/>
          <w:sz w:val="24"/>
          <w:szCs w:val="24"/>
          <w:shd w:val="clear" w:color="auto" w:fill="FFFFFF"/>
        </w:rPr>
        <w:t xml:space="preserve">fijado para </w:t>
      </w:r>
      <w:r w:rsidR="005F2F2E" w:rsidRPr="001844F0">
        <w:rPr>
          <w:rFonts w:ascii="Gadugi" w:hAnsi="Gadugi"/>
          <w:iCs/>
          <w:sz w:val="24"/>
          <w:szCs w:val="24"/>
          <w:shd w:val="clear" w:color="auto" w:fill="FFFFFF"/>
          <w:lang w:val="es-419"/>
        </w:rPr>
        <w:t xml:space="preserve">emitir un pronunciamiento y, por </w:t>
      </w:r>
      <w:r w:rsidR="005F2F2E" w:rsidRPr="001844F0">
        <w:rPr>
          <w:rFonts w:ascii="Gadugi" w:hAnsi="Gadugi"/>
          <w:iCs/>
          <w:sz w:val="24"/>
          <w:szCs w:val="24"/>
          <w:shd w:val="clear" w:color="auto" w:fill="FFFFFF"/>
          <w:lang w:val="es-CO"/>
        </w:rPr>
        <w:t xml:space="preserve">último, </w:t>
      </w:r>
      <w:r w:rsidR="005F2F2E" w:rsidRPr="001844F0">
        <w:rPr>
          <w:rFonts w:ascii="Gadugi" w:hAnsi="Gadugi" w:cs="Arial"/>
          <w:sz w:val="24"/>
          <w:szCs w:val="24"/>
        </w:rPr>
        <w:t xml:space="preserve">que </w:t>
      </w:r>
      <w:r w:rsidR="005F2F2E" w:rsidRPr="001844F0">
        <w:rPr>
          <w:rFonts w:ascii="Gadugi" w:hAnsi="Gadugi" w:cs="Arial"/>
          <w:sz w:val="24"/>
          <w:szCs w:val="24"/>
          <w:lang w:val="es-419"/>
        </w:rPr>
        <w:t xml:space="preserve">se le ponga en conocimiento al </w:t>
      </w:r>
      <w:r w:rsidR="005F2F2E" w:rsidRPr="001844F0">
        <w:rPr>
          <w:rFonts w:ascii="Gadugi" w:hAnsi="Gadugi" w:cs="Arial"/>
          <w:sz w:val="24"/>
          <w:szCs w:val="24"/>
        </w:rPr>
        <w:t>solicitante</w:t>
      </w:r>
      <w:bookmarkEnd w:id="2"/>
      <w:r w:rsidR="005F2F2E" w:rsidRPr="001844F0">
        <w:rPr>
          <w:rFonts w:ascii="Gadugi" w:hAnsi="Gadugi" w:cs="Arial"/>
          <w:sz w:val="24"/>
          <w:szCs w:val="24"/>
          <w:lang w:val="es-419"/>
        </w:rPr>
        <w:t xml:space="preserve">, </w:t>
      </w:r>
      <w:r w:rsidR="005F2F2E" w:rsidRPr="001844F0">
        <w:rPr>
          <w:rFonts w:ascii="Gadugi" w:hAnsi="Gadugi" w:cs="Arial"/>
          <w:sz w:val="24"/>
          <w:szCs w:val="24"/>
        </w:rPr>
        <w:t>pues de lo contrario ningún efecto produciría</w:t>
      </w:r>
      <w:r w:rsidR="005F2F2E" w:rsidRPr="001844F0">
        <w:rPr>
          <w:rFonts w:ascii="Gadugi" w:hAnsi="Gadugi" w:cs="Arial"/>
          <w:sz w:val="24"/>
          <w:szCs w:val="24"/>
          <w:lang w:val="es-CO"/>
        </w:rPr>
        <w:t>,</w:t>
      </w:r>
      <w:r w:rsidR="005F2F2E" w:rsidRPr="001844F0">
        <w:rPr>
          <w:rFonts w:ascii="Gadugi" w:hAnsi="Gadugi" w:cs="Arial"/>
          <w:sz w:val="24"/>
          <w:szCs w:val="24"/>
          <w:lang w:val="es-419"/>
        </w:rPr>
        <w:t xml:space="preserve"> al </w:t>
      </w:r>
      <w:r w:rsidR="005F2F2E" w:rsidRPr="001844F0">
        <w:rPr>
          <w:rFonts w:ascii="Gadugi" w:hAnsi="Gadugi" w:cs="Arial"/>
          <w:sz w:val="24"/>
          <w:szCs w:val="24"/>
        </w:rPr>
        <w:t>margen del sentido de la respuesta,</w:t>
      </w:r>
      <w:r w:rsidR="005F2F2E" w:rsidRPr="001844F0">
        <w:rPr>
          <w:rFonts w:ascii="Gadugi" w:hAnsi="Gadugi" w:cs="Arial"/>
          <w:sz w:val="24"/>
          <w:szCs w:val="24"/>
          <w:lang w:val="es-419"/>
        </w:rPr>
        <w:t xml:space="preserve"> esto es, que sea favorable o desfavorable</w:t>
      </w:r>
      <w:r w:rsidR="005F2F2E" w:rsidRPr="001844F0">
        <w:rPr>
          <w:rStyle w:val="Refdenotaalpie"/>
          <w:rFonts w:ascii="Gadugi" w:hAnsi="Gadugi"/>
          <w:sz w:val="24"/>
          <w:szCs w:val="24"/>
          <w:lang w:val="es-419"/>
        </w:rPr>
        <w:footnoteReference w:id="8"/>
      </w:r>
      <w:r w:rsidR="005F2F2E" w:rsidRPr="001844F0">
        <w:rPr>
          <w:rFonts w:ascii="Gadugi" w:hAnsi="Gadugi" w:cs="Arial"/>
          <w:sz w:val="24"/>
          <w:szCs w:val="24"/>
          <w:lang w:val="es-419"/>
        </w:rPr>
        <w:t>.</w:t>
      </w:r>
    </w:p>
    <w:p w14:paraId="52AEA3B2" w14:textId="2E0A4A26" w:rsidR="00346F15" w:rsidRPr="001844F0" w:rsidRDefault="00346F15" w:rsidP="001844F0">
      <w:pPr>
        <w:spacing w:line="276" w:lineRule="auto"/>
        <w:jc w:val="both"/>
        <w:rPr>
          <w:rFonts w:ascii="Gadugi" w:hAnsi="Gadugi" w:cs="Courier New"/>
          <w:sz w:val="24"/>
          <w:szCs w:val="24"/>
        </w:rPr>
      </w:pPr>
    </w:p>
    <w:p w14:paraId="5BCB62A1" w14:textId="585CD55D" w:rsidR="007C47D6" w:rsidRPr="001844F0" w:rsidRDefault="007C47D6" w:rsidP="001844F0">
      <w:pPr>
        <w:spacing w:line="276" w:lineRule="auto"/>
        <w:jc w:val="both"/>
        <w:rPr>
          <w:rFonts w:ascii="Gadugi" w:hAnsi="Gadugi" w:cs="Courier New"/>
          <w:sz w:val="24"/>
          <w:szCs w:val="24"/>
        </w:rPr>
      </w:pPr>
      <w:r w:rsidRPr="001844F0">
        <w:rPr>
          <w:rFonts w:ascii="Gadugi" w:hAnsi="Gadugi" w:cs="Courier New"/>
          <w:sz w:val="24"/>
          <w:szCs w:val="24"/>
        </w:rPr>
        <w:tab/>
      </w:r>
      <w:r w:rsidRPr="001844F0">
        <w:rPr>
          <w:rFonts w:ascii="Gadugi" w:hAnsi="Gadugi" w:cs="Courier New"/>
          <w:sz w:val="24"/>
          <w:szCs w:val="24"/>
        </w:rPr>
        <w:tab/>
      </w:r>
      <w:r w:rsidRPr="001844F0">
        <w:rPr>
          <w:rFonts w:ascii="Gadugi" w:hAnsi="Gadugi" w:cs="Courier New"/>
          <w:sz w:val="24"/>
          <w:szCs w:val="24"/>
        </w:rPr>
        <w:tab/>
      </w:r>
      <w:r w:rsidRPr="001844F0">
        <w:rPr>
          <w:rFonts w:ascii="Gadugi" w:hAnsi="Gadugi" w:cs="Courier New"/>
          <w:sz w:val="24"/>
          <w:szCs w:val="24"/>
        </w:rPr>
        <w:tab/>
      </w:r>
      <w:r w:rsidR="00AD4AAA" w:rsidRPr="001844F0">
        <w:rPr>
          <w:rFonts w:ascii="Gadugi" w:hAnsi="Gadugi" w:cs="Courier New"/>
          <w:sz w:val="24"/>
          <w:szCs w:val="24"/>
        </w:rPr>
        <w:t xml:space="preserve">En el caso concreto, se tiene que, las dos primeras solicitudes que la accionante planteó en el derecho de petición, de cuya respuesta se duele, estaban encaminadas a que la SFC, la retirara de la </w:t>
      </w:r>
      <w:r w:rsidR="00AD4AAA" w:rsidRPr="001844F0">
        <w:rPr>
          <w:rFonts w:ascii="Gadugi" w:hAnsi="Gadugi" w:cs="Courier New"/>
          <w:i/>
          <w:sz w:val="24"/>
          <w:szCs w:val="24"/>
        </w:rPr>
        <w:t>“</w:t>
      </w:r>
      <w:r w:rsidR="00AD4AAA" w:rsidRPr="00C07C45">
        <w:rPr>
          <w:rFonts w:ascii="Gadugi" w:hAnsi="Gadugi" w:cs="Courier New"/>
          <w:i/>
          <w:sz w:val="22"/>
          <w:szCs w:val="24"/>
        </w:rPr>
        <w:t>plataforma SARLAFT</w:t>
      </w:r>
      <w:r w:rsidR="00AD4AAA" w:rsidRPr="001844F0">
        <w:rPr>
          <w:rFonts w:ascii="Gadugi" w:hAnsi="Gadugi" w:cs="Courier New"/>
          <w:i/>
          <w:sz w:val="24"/>
          <w:szCs w:val="24"/>
        </w:rPr>
        <w:t>”</w:t>
      </w:r>
      <w:r w:rsidR="00AD4AAA" w:rsidRPr="001844F0">
        <w:rPr>
          <w:rFonts w:ascii="Gadugi" w:hAnsi="Gadugi" w:cs="Courier New"/>
          <w:sz w:val="24"/>
          <w:szCs w:val="24"/>
        </w:rPr>
        <w:t xml:space="preserve"> y de </w:t>
      </w:r>
      <w:r w:rsidR="00AD4AAA" w:rsidRPr="001844F0">
        <w:rPr>
          <w:rFonts w:ascii="Gadugi" w:hAnsi="Gadugi" w:cs="Courier New"/>
          <w:i/>
          <w:sz w:val="24"/>
          <w:szCs w:val="24"/>
        </w:rPr>
        <w:t>“</w:t>
      </w:r>
      <w:r w:rsidR="00AD4AAA" w:rsidRPr="00C07C45">
        <w:rPr>
          <w:rFonts w:ascii="Gadugi" w:hAnsi="Gadugi" w:cs="Courier New"/>
          <w:i/>
          <w:sz w:val="22"/>
          <w:szCs w:val="24"/>
        </w:rPr>
        <w:t>todas las plataformas financieras</w:t>
      </w:r>
      <w:r w:rsidR="00AD4AAA" w:rsidRPr="001844F0">
        <w:rPr>
          <w:rFonts w:ascii="Gadugi" w:hAnsi="Gadugi" w:cs="Courier New"/>
          <w:i/>
          <w:sz w:val="24"/>
          <w:szCs w:val="24"/>
        </w:rPr>
        <w:t>”.</w:t>
      </w:r>
      <w:r w:rsidR="00B04442" w:rsidRPr="001844F0">
        <w:rPr>
          <w:rStyle w:val="Refdenotaalpie"/>
          <w:rFonts w:ascii="Gadugi" w:hAnsi="Gadugi"/>
          <w:i/>
          <w:sz w:val="24"/>
          <w:szCs w:val="24"/>
        </w:rPr>
        <w:footnoteReference w:id="9"/>
      </w:r>
    </w:p>
    <w:p w14:paraId="584C0E5D" w14:textId="78CFE6AA" w:rsidR="00AD4AAA" w:rsidRPr="001844F0" w:rsidRDefault="00AD4AAA" w:rsidP="001844F0">
      <w:pPr>
        <w:spacing w:line="276" w:lineRule="auto"/>
        <w:jc w:val="both"/>
        <w:rPr>
          <w:rFonts w:ascii="Gadugi" w:hAnsi="Gadugi" w:cs="Courier New"/>
          <w:sz w:val="24"/>
          <w:szCs w:val="24"/>
        </w:rPr>
      </w:pPr>
    </w:p>
    <w:p w14:paraId="33D5B392" w14:textId="06EB6330" w:rsidR="00AD4AAA" w:rsidRPr="001844F0" w:rsidRDefault="00AD4AAA" w:rsidP="001844F0">
      <w:pPr>
        <w:spacing w:line="276" w:lineRule="auto"/>
        <w:jc w:val="both"/>
        <w:rPr>
          <w:rFonts w:ascii="Gadugi" w:hAnsi="Gadugi" w:cs="Courier New"/>
          <w:sz w:val="24"/>
          <w:szCs w:val="24"/>
        </w:rPr>
      </w:pPr>
      <w:r w:rsidRPr="001844F0">
        <w:rPr>
          <w:rFonts w:ascii="Gadugi" w:hAnsi="Gadugi" w:cs="Courier New"/>
          <w:sz w:val="24"/>
          <w:szCs w:val="24"/>
        </w:rPr>
        <w:tab/>
      </w:r>
      <w:r w:rsidRPr="001844F0">
        <w:rPr>
          <w:rFonts w:ascii="Gadugi" w:hAnsi="Gadugi" w:cs="Courier New"/>
          <w:sz w:val="24"/>
          <w:szCs w:val="24"/>
        </w:rPr>
        <w:tab/>
      </w:r>
      <w:r w:rsidRPr="001844F0">
        <w:rPr>
          <w:rFonts w:ascii="Gadugi" w:hAnsi="Gadugi" w:cs="Courier New"/>
          <w:sz w:val="24"/>
          <w:szCs w:val="24"/>
        </w:rPr>
        <w:tab/>
      </w:r>
      <w:r w:rsidRPr="001844F0">
        <w:rPr>
          <w:rFonts w:ascii="Gadugi" w:hAnsi="Gadugi" w:cs="Courier New"/>
          <w:sz w:val="24"/>
          <w:szCs w:val="24"/>
        </w:rPr>
        <w:tab/>
        <w:t>En la respuesta que frente a ello se ofreció se explicó que</w:t>
      </w:r>
      <w:r w:rsidR="00B04442" w:rsidRPr="001844F0">
        <w:rPr>
          <w:rStyle w:val="Refdenotaalpie"/>
          <w:rFonts w:ascii="Gadugi" w:hAnsi="Gadugi"/>
          <w:sz w:val="24"/>
          <w:szCs w:val="24"/>
        </w:rPr>
        <w:footnoteReference w:id="10"/>
      </w:r>
      <w:r w:rsidRPr="001844F0">
        <w:rPr>
          <w:rFonts w:ascii="Gadugi" w:hAnsi="Gadugi" w:cs="Courier New"/>
          <w:sz w:val="24"/>
          <w:szCs w:val="24"/>
        </w:rPr>
        <w:t>:</w:t>
      </w:r>
    </w:p>
    <w:p w14:paraId="1F98919B" w14:textId="77777777" w:rsidR="00AD4AAA" w:rsidRPr="001844F0" w:rsidRDefault="00AD4AAA" w:rsidP="001844F0">
      <w:pPr>
        <w:spacing w:line="276" w:lineRule="auto"/>
        <w:jc w:val="both"/>
        <w:rPr>
          <w:rFonts w:ascii="Gadugi" w:hAnsi="Gadugi" w:cs="Courier New"/>
          <w:sz w:val="24"/>
          <w:szCs w:val="24"/>
        </w:rPr>
      </w:pPr>
    </w:p>
    <w:p w14:paraId="4FA32C77" w14:textId="456B950C" w:rsidR="00AD4AAA" w:rsidRPr="00C07C45" w:rsidRDefault="00AD4AAA" w:rsidP="00C07C45">
      <w:pPr>
        <w:ind w:left="426" w:right="420"/>
        <w:jc w:val="both"/>
        <w:rPr>
          <w:rFonts w:ascii="Gadugi" w:hAnsi="Gadugi" w:cs="Courier New"/>
          <w:sz w:val="22"/>
          <w:szCs w:val="24"/>
        </w:rPr>
      </w:pPr>
      <w:r w:rsidRPr="00C07C45">
        <w:rPr>
          <w:rFonts w:ascii="Gadugi" w:hAnsi="Gadugi" w:cs="Courier New"/>
          <w:sz w:val="22"/>
          <w:szCs w:val="24"/>
        </w:rPr>
        <w:tab/>
      </w:r>
      <w:r w:rsidRPr="00C07C45">
        <w:rPr>
          <w:rFonts w:ascii="Gadugi" w:hAnsi="Gadugi" w:cs="Courier New"/>
          <w:sz w:val="22"/>
          <w:szCs w:val="24"/>
        </w:rPr>
        <w:tab/>
      </w:r>
      <w:r w:rsidRPr="00C07C45">
        <w:rPr>
          <w:rFonts w:ascii="Gadugi" w:hAnsi="Gadugi" w:cs="Courier New"/>
          <w:sz w:val="22"/>
          <w:szCs w:val="24"/>
        </w:rPr>
        <w:tab/>
      </w:r>
      <w:r w:rsidRPr="00C07C45">
        <w:rPr>
          <w:rFonts w:ascii="Gadugi" w:hAnsi="Gadugi" w:cs="Courier New"/>
          <w:sz w:val="22"/>
          <w:szCs w:val="24"/>
        </w:rPr>
        <w:tab/>
        <w:t xml:space="preserve">Existe otra clase de listados que se enmarcan dentro de los no vinculantes o restrictivos, correspondiendo con los emitidos por distintas organizaciones privadas o públicas, dentro de las que se incluyen a las personas relacionadas con actividades delictivas, como por ejemplo en Colombia, la de Responsables Fiscales, Antecedentes Disciplinarios, Judiciales, contadores sancionados, proveedores ficticios, entre otras y a las cuales pueden acudir de manera libre las entidades vigiladas para su consulta, esto, con el fin de desplegar una debida diligencia y un mejor conocimiento de las personas con las que pretende iniciar o </w:t>
      </w:r>
      <w:r w:rsidRPr="00C07C45">
        <w:rPr>
          <w:rFonts w:ascii="Gadugi" w:hAnsi="Gadugi" w:cs="Courier New"/>
          <w:sz w:val="22"/>
          <w:szCs w:val="24"/>
        </w:rPr>
        <w:lastRenderedPageBreak/>
        <w:t>sostener relaciones jurídicas y comerciales y de las cuales, advertimos, esta Superintendencia tampoco cuenta con las competencias para pronunciarse sobre los efectos concedidos por las entidades vigiladas, en cuanto la prevención de sus riesgos.</w:t>
      </w:r>
    </w:p>
    <w:p w14:paraId="4B41D62F" w14:textId="37C2A756" w:rsidR="00AD4AAA" w:rsidRPr="00C07C45" w:rsidRDefault="00AD4AAA" w:rsidP="00C07C45">
      <w:pPr>
        <w:ind w:left="426" w:right="420"/>
        <w:jc w:val="both"/>
        <w:rPr>
          <w:rFonts w:ascii="Gadugi" w:hAnsi="Gadugi" w:cs="Courier New"/>
          <w:sz w:val="22"/>
          <w:szCs w:val="24"/>
        </w:rPr>
      </w:pPr>
    </w:p>
    <w:p w14:paraId="5AD102A4" w14:textId="1C2E57D9" w:rsidR="00AD4AAA" w:rsidRPr="00C07C45" w:rsidRDefault="00AD4AAA" w:rsidP="00C07C45">
      <w:pPr>
        <w:ind w:left="426" w:right="420"/>
        <w:jc w:val="both"/>
        <w:rPr>
          <w:rFonts w:ascii="Gadugi" w:hAnsi="Gadugi" w:cs="Courier New"/>
          <w:sz w:val="22"/>
          <w:szCs w:val="24"/>
        </w:rPr>
      </w:pPr>
      <w:r w:rsidRPr="00C07C45">
        <w:rPr>
          <w:rFonts w:ascii="Gadugi" w:hAnsi="Gadugi" w:cs="Courier New"/>
          <w:sz w:val="22"/>
          <w:szCs w:val="24"/>
        </w:rPr>
        <w:tab/>
      </w:r>
      <w:r w:rsidRPr="00C07C45">
        <w:rPr>
          <w:rFonts w:ascii="Gadugi" w:hAnsi="Gadugi" w:cs="Courier New"/>
          <w:sz w:val="22"/>
          <w:szCs w:val="24"/>
        </w:rPr>
        <w:tab/>
      </w:r>
      <w:r w:rsidRPr="00C07C45">
        <w:rPr>
          <w:rFonts w:ascii="Gadugi" w:hAnsi="Gadugi" w:cs="Courier New"/>
          <w:sz w:val="22"/>
          <w:szCs w:val="24"/>
        </w:rPr>
        <w:tab/>
      </w:r>
      <w:r w:rsidRPr="00C07C45">
        <w:rPr>
          <w:rFonts w:ascii="Gadugi" w:hAnsi="Gadugi" w:cs="Courier New"/>
          <w:sz w:val="22"/>
          <w:szCs w:val="24"/>
        </w:rPr>
        <w:tab/>
        <w:t xml:space="preserve">Respecto a éstos listados, es decir, los considerados como restrictivos o no vinculantes para el Estado, la </w:t>
      </w:r>
      <w:r w:rsidRPr="00C07C45">
        <w:rPr>
          <w:rFonts w:ascii="Gadugi" w:hAnsi="Gadugi" w:cs="Courier New"/>
          <w:b/>
          <w:sz w:val="22"/>
          <w:szCs w:val="24"/>
        </w:rPr>
        <w:t xml:space="preserve">SFC carece de las facultades para exigir su observancia y cumplimiento por parte de las entidades vigiladas, razón por la cual, no es posible requerir a ninguna institución, respecto de los criterios y efectos que le hayan otorgado de manera autónoma a aquellas personas que incurran en alguna causal objetiva, que afecte su calidad de cliente actual y potencial, o bien, el acceso a los servicios y productos ofrecidos por estas industrias, </w:t>
      </w:r>
      <w:r w:rsidRPr="00C07C45">
        <w:rPr>
          <w:rFonts w:ascii="Gadugi" w:hAnsi="Gadugi" w:cs="Courier New"/>
          <w:b/>
          <w:sz w:val="22"/>
          <w:szCs w:val="24"/>
          <w:u w:val="single"/>
        </w:rPr>
        <w:t>razón por la cual, no es posible atender en estos puntos la solicitud que nos ocupa.</w:t>
      </w:r>
    </w:p>
    <w:p w14:paraId="3091772E" w14:textId="38ECDD46" w:rsidR="00AD4AAA" w:rsidRPr="001844F0" w:rsidRDefault="00AD4AAA" w:rsidP="001844F0">
      <w:pPr>
        <w:spacing w:line="276" w:lineRule="auto"/>
        <w:jc w:val="both"/>
        <w:rPr>
          <w:rFonts w:ascii="Gadugi" w:hAnsi="Gadugi" w:cs="Courier New"/>
          <w:sz w:val="24"/>
          <w:szCs w:val="24"/>
        </w:rPr>
      </w:pPr>
    </w:p>
    <w:p w14:paraId="71F19E2B" w14:textId="5363B665" w:rsidR="00AD4AAA" w:rsidRPr="001844F0" w:rsidRDefault="00AD4AAA" w:rsidP="001844F0">
      <w:pPr>
        <w:spacing w:line="276" w:lineRule="auto"/>
        <w:jc w:val="both"/>
        <w:rPr>
          <w:rFonts w:ascii="Gadugi" w:hAnsi="Gadugi" w:cs="Courier New"/>
          <w:sz w:val="24"/>
          <w:szCs w:val="24"/>
        </w:rPr>
      </w:pPr>
      <w:r w:rsidRPr="001844F0">
        <w:rPr>
          <w:rFonts w:ascii="Gadugi" w:hAnsi="Gadugi" w:cs="Courier New"/>
          <w:sz w:val="24"/>
          <w:szCs w:val="24"/>
        </w:rPr>
        <w:tab/>
      </w:r>
      <w:r w:rsidRPr="001844F0">
        <w:rPr>
          <w:rFonts w:ascii="Gadugi" w:hAnsi="Gadugi" w:cs="Courier New"/>
          <w:sz w:val="24"/>
          <w:szCs w:val="24"/>
        </w:rPr>
        <w:tab/>
      </w:r>
      <w:r w:rsidRPr="001844F0">
        <w:rPr>
          <w:rFonts w:ascii="Gadugi" w:hAnsi="Gadugi" w:cs="Courier New"/>
          <w:sz w:val="24"/>
          <w:szCs w:val="24"/>
        </w:rPr>
        <w:tab/>
      </w:r>
      <w:r w:rsidRPr="001844F0">
        <w:rPr>
          <w:rFonts w:ascii="Gadugi" w:hAnsi="Gadugi" w:cs="Courier New"/>
          <w:sz w:val="24"/>
          <w:szCs w:val="24"/>
        </w:rPr>
        <w:tab/>
        <w:t xml:space="preserve">Los otros dos puntos estaban orientados a que la SFC certificara </w:t>
      </w:r>
      <w:r w:rsidR="00CB531A" w:rsidRPr="001844F0">
        <w:rPr>
          <w:rFonts w:ascii="Gadugi" w:hAnsi="Gadugi" w:cs="Courier New"/>
          <w:sz w:val="24"/>
          <w:szCs w:val="24"/>
        </w:rPr>
        <w:t xml:space="preserve">que ella no estaba reportada en la “plataforma SARLAFT”, con ocasión de la inhabilidad generada por parte de la CONTRALORÍA, COLOMBIA-INVESTIGACIONES O FALLOS DE RESPONSABILIDAD FISCAL” y que no estaba reportada en “otras plataformas financieras” en razón a la inhabilidad que ya superó. </w:t>
      </w:r>
    </w:p>
    <w:p w14:paraId="0CA5BF44" w14:textId="77777777" w:rsidR="00AD4AAA" w:rsidRPr="001844F0" w:rsidRDefault="00AD4AAA" w:rsidP="001844F0">
      <w:pPr>
        <w:spacing w:line="276" w:lineRule="auto"/>
        <w:jc w:val="both"/>
        <w:rPr>
          <w:rFonts w:ascii="Gadugi" w:hAnsi="Gadugi" w:cs="Courier New"/>
          <w:sz w:val="24"/>
          <w:szCs w:val="24"/>
        </w:rPr>
      </w:pPr>
    </w:p>
    <w:p w14:paraId="2429E6C8" w14:textId="77777777" w:rsidR="00CB531A" w:rsidRPr="001844F0" w:rsidRDefault="00AD4AAA" w:rsidP="001844F0">
      <w:pPr>
        <w:spacing w:line="276" w:lineRule="auto"/>
        <w:jc w:val="both"/>
        <w:rPr>
          <w:rFonts w:ascii="Gadugi" w:hAnsi="Gadugi" w:cs="Courier New"/>
          <w:sz w:val="24"/>
          <w:szCs w:val="24"/>
        </w:rPr>
      </w:pPr>
      <w:r w:rsidRPr="001844F0">
        <w:rPr>
          <w:rFonts w:ascii="Gadugi" w:hAnsi="Gadugi" w:cs="Courier New"/>
          <w:sz w:val="24"/>
          <w:szCs w:val="24"/>
        </w:rPr>
        <w:tab/>
      </w:r>
      <w:r w:rsidRPr="001844F0">
        <w:rPr>
          <w:rFonts w:ascii="Gadugi" w:hAnsi="Gadugi" w:cs="Courier New"/>
          <w:sz w:val="24"/>
          <w:szCs w:val="24"/>
        </w:rPr>
        <w:tab/>
      </w:r>
      <w:r w:rsidRPr="001844F0">
        <w:rPr>
          <w:rFonts w:ascii="Gadugi" w:hAnsi="Gadugi" w:cs="Courier New"/>
          <w:sz w:val="24"/>
          <w:szCs w:val="24"/>
        </w:rPr>
        <w:tab/>
      </w:r>
      <w:r w:rsidRPr="001844F0">
        <w:rPr>
          <w:rFonts w:ascii="Gadugi" w:hAnsi="Gadugi" w:cs="Courier New"/>
          <w:sz w:val="24"/>
          <w:szCs w:val="24"/>
        </w:rPr>
        <w:tab/>
      </w:r>
      <w:r w:rsidR="00CB531A" w:rsidRPr="001844F0">
        <w:rPr>
          <w:rFonts w:ascii="Gadugi" w:hAnsi="Gadugi" w:cs="Courier New"/>
          <w:sz w:val="24"/>
          <w:szCs w:val="24"/>
        </w:rPr>
        <w:t xml:space="preserve">Frente ello, la acusada informó que, de conformidad con lo dispuesto en el numeral 9° de las </w:t>
      </w:r>
      <w:r w:rsidR="00CB531A" w:rsidRPr="001844F0">
        <w:rPr>
          <w:rFonts w:ascii="Gadugi" w:hAnsi="Gadugi" w:cs="Courier New"/>
          <w:i/>
          <w:sz w:val="24"/>
          <w:szCs w:val="24"/>
        </w:rPr>
        <w:t>“REGLAS RELATIVAS A LA EXPEDICIÓN DE CERTIFICACIONES POR PARTE DE LA SFC, del Capítulo II, Titulo IV de la Parte I de la Circular Básica Jurídica expedida la SFC”</w:t>
      </w:r>
      <w:r w:rsidR="00CB531A" w:rsidRPr="001844F0">
        <w:rPr>
          <w:rFonts w:ascii="Gadugi" w:hAnsi="Gadugi" w:cs="Courier New"/>
          <w:sz w:val="24"/>
          <w:szCs w:val="24"/>
        </w:rPr>
        <w:t xml:space="preserve">, </w:t>
      </w:r>
    </w:p>
    <w:p w14:paraId="3F1E2162" w14:textId="01F3810D" w:rsidR="00CB531A" w:rsidRPr="001844F0" w:rsidRDefault="00CB531A" w:rsidP="001844F0">
      <w:pPr>
        <w:spacing w:line="276" w:lineRule="auto"/>
        <w:jc w:val="both"/>
        <w:rPr>
          <w:rFonts w:ascii="Gadugi" w:hAnsi="Gadugi" w:cs="Courier New"/>
          <w:i/>
          <w:sz w:val="24"/>
          <w:szCs w:val="24"/>
        </w:rPr>
      </w:pPr>
    </w:p>
    <w:p w14:paraId="2B1E523E" w14:textId="71B5CF5A" w:rsidR="00AD4AAA" w:rsidRPr="00E82B03" w:rsidRDefault="00CB531A" w:rsidP="00E82B03">
      <w:pPr>
        <w:ind w:left="426" w:right="420"/>
        <w:jc w:val="both"/>
        <w:rPr>
          <w:rFonts w:ascii="Gadugi" w:hAnsi="Gadugi" w:cs="Courier New"/>
          <w:sz w:val="22"/>
          <w:szCs w:val="24"/>
        </w:rPr>
      </w:pPr>
      <w:r w:rsidRPr="00E82B03">
        <w:rPr>
          <w:rFonts w:ascii="Gadugi" w:hAnsi="Gadugi" w:cs="Courier New"/>
          <w:sz w:val="22"/>
          <w:szCs w:val="24"/>
        </w:rPr>
        <w:tab/>
      </w:r>
      <w:r w:rsidRPr="00E82B03">
        <w:rPr>
          <w:rFonts w:ascii="Gadugi" w:hAnsi="Gadugi" w:cs="Courier New"/>
          <w:sz w:val="22"/>
          <w:szCs w:val="24"/>
        </w:rPr>
        <w:tab/>
      </w:r>
      <w:r w:rsidRPr="00E82B03">
        <w:rPr>
          <w:rFonts w:ascii="Gadugi" w:hAnsi="Gadugi" w:cs="Courier New"/>
          <w:sz w:val="22"/>
          <w:szCs w:val="24"/>
        </w:rPr>
        <w:tab/>
      </w:r>
      <w:r w:rsidRPr="00E82B03">
        <w:rPr>
          <w:rFonts w:ascii="Gadugi" w:hAnsi="Gadugi" w:cs="Courier New"/>
          <w:sz w:val="22"/>
          <w:szCs w:val="24"/>
        </w:rPr>
        <w:tab/>
        <w:t>(…) no le corresponde certificar acerca de los asuntos referidos en su comunicación, toda vez que tal información, no concuerda con ninguna de las premisas legales descritas, por lo tanto, no es posible atender el asunto, de acuerdo con los términos de su escrito.</w:t>
      </w:r>
    </w:p>
    <w:p w14:paraId="10B5EB23" w14:textId="77777777" w:rsidR="007C47D6" w:rsidRPr="001844F0" w:rsidRDefault="007C47D6" w:rsidP="001844F0">
      <w:pPr>
        <w:spacing w:line="276" w:lineRule="auto"/>
        <w:jc w:val="both"/>
        <w:rPr>
          <w:rFonts w:ascii="Gadugi" w:hAnsi="Gadugi" w:cs="Courier New"/>
          <w:sz w:val="24"/>
          <w:szCs w:val="24"/>
        </w:rPr>
      </w:pPr>
    </w:p>
    <w:p w14:paraId="27D33C85" w14:textId="606F1015" w:rsidR="003802BE" w:rsidRPr="001844F0" w:rsidRDefault="00FE4A5A" w:rsidP="001844F0">
      <w:pPr>
        <w:spacing w:line="276" w:lineRule="auto"/>
        <w:ind w:firstLine="2835"/>
        <w:jc w:val="both"/>
        <w:rPr>
          <w:rFonts w:ascii="Gadugi" w:hAnsi="Gadugi"/>
          <w:bCs/>
          <w:sz w:val="24"/>
          <w:szCs w:val="24"/>
        </w:rPr>
      </w:pPr>
      <w:r w:rsidRPr="001844F0">
        <w:rPr>
          <w:rFonts w:ascii="Gadugi" w:hAnsi="Gadugi"/>
          <w:bCs/>
          <w:sz w:val="24"/>
          <w:szCs w:val="24"/>
        </w:rPr>
        <w:t>Con lo expuesto hasta este punto,</w:t>
      </w:r>
      <w:r w:rsidR="001E0EC7" w:rsidRPr="001844F0">
        <w:rPr>
          <w:rFonts w:ascii="Gadugi" w:hAnsi="Gadugi"/>
          <w:bCs/>
          <w:sz w:val="24"/>
          <w:szCs w:val="24"/>
        </w:rPr>
        <w:t xml:space="preserve"> se advierte que la SFC le </w:t>
      </w:r>
      <w:r w:rsidRPr="001844F0">
        <w:rPr>
          <w:rFonts w:ascii="Gadugi" w:hAnsi="Gadugi"/>
          <w:bCs/>
          <w:sz w:val="24"/>
          <w:szCs w:val="24"/>
        </w:rPr>
        <w:t>hizo saber</w:t>
      </w:r>
      <w:r w:rsidR="001E0EC7" w:rsidRPr="001844F0">
        <w:rPr>
          <w:rFonts w:ascii="Gadugi" w:hAnsi="Gadugi"/>
          <w:bCs/>
          <w:sz w:val="24"/>
          <w:szCs w:val="24"/>
        </w:rPr>
        <w:t xml:space="preserve"> a la demandante</w:t>
      </w:r>
      <w:r w:rsidR="00B04442" w:rsidRPr="001844F0">
        <w:rPr>
          <w:rFonts w:ascii="Gadugi" w:hAnsi="Gadugi"/>
          <w:bCs/>
          <w:sz w:val="24"/>
          <w:szCs w:val="24"/>
        </w:rPr>
        <w:t>, sin ambages,</w:t>
      </w:r>
      <w:r w:rsidR="001E0EC7" w:rsidRPr="001844F0">
        <w:rPr>
          <w:rFonts w:ascii="Gadugi" w:hAnsi="Gadugi"/>
          <w:bCs/>
          <w:sz w:val="24"/>
          <w:szCs w:val="24"/>
        </w:rPr>
        <w:t xml:space="preserve"> </w:t>
      </w:r>
      <w:r w:rsidR="004428F2" w:rsidRPr="001844F0">
        <w:rPr>
          <w:rFonts w:ascii="Gadugi" w:hAnsi="Gadugi"/>
          <w:bCs/>
          <w:sz w:val="24"/>
          <w:szCs w:val="24"/>
        </w:rPr>
        <w:t>que</w:t>
      </w:r>
      <w:r w:rsidR="001E0EC7" w:rsidRPr="001844F0">
        <w:rPr>
          <w:rFonts w:ascii="Gadugi" w:hAnsi="Gadugi"/>
          <w:bCs/>
          <w:sz w:val="24"/>
          <w:szCs w:val="24"/>
        </w:rPr>
        <w:t xml:space="preserve"> no es la competente para retirarla de los listados restrictivos, y qu</w:t>
      </w:r>
      <w:r w:rsidR="00B04442" w:rsidRPr="001844F0">
        <w:rPr>
          <w:rFonts w:ascii="Gadugi" w:hAnsi="Gadugi"/>
          <w:bCs/>
          <w:sz w:val="24"/>
          <w:szCs w:val="24"/>
        </w:rPr>
        <w:t>e</w:t>
      </w:r>
      <w:r w:rsidR="001E0EC7" w:rsidRPr="001844F0">
        <w:rPr>
          <w:rFonts w:ascii="Gadugi" w:hAnsi="Gadugi"/>
          <w:bCs/>
          <w:sz w:val="24"/>
          <w:szCs w:val="24"/>
        </w:rPr>
        <w:t xml:space="preserve"> está </w:t>
      </w:r>
      <w:r w:rsidR="004428F2" w:rsidRPr="001844F0">
        <w:rPr>
          <w:rFonts w:ascii="Gadugi" w:hAnsi="Gadugi"/>
          <w:bCs/>
          <w:sz w:val="24"/>
          <w:szCs w:val="24"/>
        </w:rPr>
        <w:t>imposibilitada para</w:t>
      </w:r>
      <w:r w:rsidR="001E0EC7" w:rsidRPr="001844F0">
        <w:rPr>
          <w:rFonts w:ascii="Gadugi" w:hAnsi="Gadugi"/>
          <w:bCs/>
          <w:sz w:val="24"/>
          <w:szCs w:val="24"/>
        </w:rPr>
        <w:t xml:space="preserve"> emitir las certificaciones que exige. Sin embargo, considera la Colegiatura que la SFC</w:t>
      </w:r>
      <w:r w:rsidR="003802BE" w:rsidRPr="001844F0">
        <w:rPr>
          <w:rFonts w:ascii="Gadugi" w:hAnsi="Gadugi"/>
          <w:bCs/>
          <w:sz w:val="24"/>
          <w:szCs w:val="24"/>
        </w:rPr>
        <w:t xml:space="preserve"> no actuó conforme lo estipula el artículo 21 del CPACA</w:t>
      </w:r>
      <w:r w:rsidR="008B32EA" w:rsidRPr="001844F0">
        <w:rPr>
          <w:rFonts w:ascii="Gadugi" w:hAnsi="Gadugi"/>
          <w:bCs/>
          <w:sz w:val="24"/>
          <w:szCs w:val="24"/>
        </w:rPr>
        <w:t>,</w:t>
      </w:r>
      <w:r w:rsidR="003802BE" w:rsidRPr="001844F0">
        <w:rPr>
          <w:rFonts w:ascii="Gadugi" w:hAnsi="Gadugi"/>
          <w:bCs/>
          <w:sz w:val="24"/>
          <w:szCs w:val="24"/>
        </w:rPr>
        <w:t xml:space="preserve"> que establece:</w:t>
      </w:r>
    </w:p>
    <w:p w14:paraId="642D23E4" w14:textId="32C6C52F" w:rsidR="003802BE" w:rsidRPr="001844F0" w:rsidRDefault="003802BE" w:rsidP="001844F0">
      <w:pPr>
        <w:spacing w:line="276" w:lineRule="auto"/>
        <w:ind w:firstLine="2835"/>
        <w:jc w:val="both"/>
        <w:rPr>
          <w:rFonts w:ascii="Gadugi" w:hAnsi="Gadugi"/>
          <w:bCs/>
          <w:sz w:val="24"/>
          <w:szCs w:val="24"/>
        </w:rPr>
      </w:pPr>
    </w:p>
    <w:p w14:paraId="0E87705F" w14:textId="2917459E" w:rsidR="003802BE" w:rsidRPr="00E82B03" w:rsidRDefault="003802BE" w:rsidP="00E82B03">
      <w:pPr>
        <w:ind w:left="426" w:right="420" w:firstLine="2268"/>
        <w:jc w:val="both"/>
        <w:rPr>
          <w:rFonts w:ascii="Gadugi" w:hAnsi="Gadugi"/>
          <w:bCs/>
          <w:sz w:val="22"/>
          <w:szCs w:val="24"/>
        </w:rPr>
      </w:pPr>
      <w:r w:rsidRPr="00E82B03">
        <w:rPr>
          <w:rFonts w:ascii="Gadugi" w:hAnsi="Gadugi"/>
          <w:bCs/>
          <w:sz w:val="22"/>
          <w:szCs w:val="24"/>
        </w:rPr>
        <w:t xml:space="preserve">“ARTÍCULO 21. FUNCIONARIO SIN COMPETENCIA. &lt;Artículo modificado por el artículo 1 de la Ley 1755 de 2015. El nuevo texto es el siguiente:&gt; Si la autoridad a quien se dirige la petición no es la competente, se informará de inmediato al interesado si este actúa verbalmente, o dentro de los cinco (5) días siguientes al de la recepción, si obró por escrito. </w:t>
      </w:r>
      <w:r w:rsidRPr="00E82B03">
        <w:rPr>
          <w:rFonts w:ascii="Gadugi" w:hAnsi="Gadugi"/>
          <w:b/>
          <w:bCs/>
          <w:sz w:val="22"/>
          <w:szCs w:val="24"/>
        </w:rPr>
        <w:t>Dentro del término señalado remitirá la petición al competente y enviará copia del oficio remisorio al peticionario o en caso de no existir funcionario competente así se lo comunicará</w:t>
      </w:r>
      <w:r w:rsidRPr="00E82B03">
        <w:rPr>
          <w:rFonts w:ascii="Gadugi" w:hAnsi="Gadugi"/>
          <w:bCs/>
          <w:sz w:val="22"/>
          <w:szCs w:val="24"/>
        </w:rPr>
        <w:t>. Los términos para decidir o responder se contarán a partir del día siguiente a la recepción de la Petición por la autoridad competente.”</w:t>
      </w:r>
    </w:p>
    <w:p w14:paraId="4A84D13F" w14:textId="77777777" w:rsidR="003802BE" w:rsidRPr="001844F0" w:rsidRDefault="003802BE" w:rsidP="001844F0">
      <w:pPr>
        <w:spacing w:line="276" w:lineRule="auto"/>
        <w:ind w:firstLine="2835"/>
        <w:jc w:val="both"/>
        <w:rPr>
          <w:rFonts w:ascii="Gadugi" w:hAnsi="Gadugi"/>
          <w:bCs/>
          <w:sz w:val="24"/>
          <w:szCs w:val="24"/>
        </w:rPr>
      </w:pPr>
    </w:p>
    <w:p w14:paraId="5C2BC36E" w14:textId="1F36A5FB" w:rsidR="0022149F" w:rsidRPr="001844F0" w:rsidRDefault="001E0EC7" w:rsidP="001844F0">
      <w:pPr>
        <w:spacing w:line="276" w:lineRule="auto"/>
        <w:ind w:firstLine="2835"/>
        <w:jc w:val="both"/>
        <w:rPr>
          <w:rFonts w:ascii="Gadugi" w:hAnsi="Gadugi"/>
          <w:bCs/>
          <w:sz w:val="24"/>
          <w:szCs w:val="24"/>
        </w:rPr>
      </w:pPr>
      <w:r w:rsidRPr="001844F0">
        <w:rPr>
          <w:rFonts w:ascii="Gadugi" w:hAnsi="Gadugi"/>
          <w:bCs/>
          <w:sz w:val="24"/>
          <w:szCs w:val="24"/>
        </w:rPr>
        <w:lastRenderedPageBreak/>
        <w:t xml:space="preserve">En efecto, </w:t>
      </w:r>
      <w:r w:rsidR="00FA28E3" w:rsidRPr="001844F0">
        <w:rPr>
          <w:rFonts w:ascii="Gadugi" w:hAnsi="Gadugi"/>
          <w:bCs/>
          <w:sz w:val="24"/>
          <w:szCs w:val="24"/>
        </w:rPr>
        <w:t>la SFC es la entidad</w:t>
      </w:r>
      <w:r w:rsidR="004428F2" w:rsidRPr="001844F0">
        <w:rPr>
          <w:rFonts w:ascii="Gadugi" w:hAnsi="Gadugi"/>
          <w:bCs/>
          <w:sz w:val="24"/>
          <w:szCs w:val="24"/>
        </w:rPr>
        <w:t xml:space="preserve"> del Estado</w:t>
      </w:r>
      <w:r w:rsidR="00FA28E3" w:rsidRPr="001844F0">
        <w:rPr>
          <w:rFonts w:ascii="Gadugi" w:hAnsi="Gadugi"/>
          <w:bCs/>
          <w:sz w:val="24"/>
          <w:szCs w:val="24"/>
        </w:rPr>
        <w:t xml:space="preserve"> especializada </w:t>
      </w:r>
      <w:r w:rsidR="004428F2" w:rsidRPr="001844F0">
        <w:rPr>
          <w:rFonts w:ascii="Gadugi" w:hAnsi="Gadugi"/>
          <w:bCs/>
          <w:sz w:val="24"/>
          <w:szCs w:val="24"/>
        </w:rPr>
        <w:t>en las</w:t>
      </w:r>
      <w:r w:rsidR="00FA28E3" w:rsidRPr="001844F0">
        <w:rPr>
          <w:rFonts w:ascii="Gadugi" w:hAnsi="Gadugi"/>
          <w:bCs/>
          <w:sz w:val="24"/>
          <w:szCs w:val="24"/>
        </w:rPr>
        <w:t xml:space="preserve"> </w:t>
      </w:r>
      <w:r w:rsidR="0067488B" w:rsidRPr="001844F0">
        <w:rPr>
          <w:rFonts w:ascii="Gadugi" w:hAnsi="Gadugi"/>
          <w:bCs/>
          <w:sz w:val="24"/>
          <w:szCs w:val="24"/>
        </w:rPr>
        <w:t>“</w:t>
      </w:r>
      <w:r w:rsidR="0067488B" w:rsidRPr="00E82B03">
        <w:rPr>
          <w:rFonts w:ascii="Gadugi" w:hAnsi="Gadugi"/>
          <w:bCs/>
          <w:sz w:val="22"/>
          <w:szCs w:val="24"/>
        </w:rPr>
        <w:t>Instrucciones relativas a la administración del riesgo de lavado de activos y de financiación del terrorismo</w:t>
      </w:r>
      <w:r w:rsidR="0067488B" w:rsidRPr="001844F0">
        <w:rPr>
          <w:rFonts w:ascii="Gadugi" w:hAnsi="Gadugi"/>
          <w:bCs/>
          <w:sz w:val="24"/>
          <w:szCs w:val="24"/>
        </w:rPr>
        <w:t>” (CIRCULAR EXTERNA 027 DE 2020 -Superintendente Financiero de Colombia)</w:t>
      </w:r>
      <w:r w:rsidR="004428F2" w:rsidRPr="001844F0">
        <w:rPr>
          <w:rStyle w:val="Refdenotaalpie"/>
          <w:rFonts w:ascii="Gadugi" w:hAnsi="Gadugi"/>
          <w:bCs/>
          <w:sz w:val="24"/>
          <w:szCs w:val="24"/>
        </w:rPr>
        <w:footnoteReference w:id="11"/>
      </w:r>
      <w:r w:rsidR="0067488B" w:rsidRPr="001844F0">
        <w:rPr>
          <w:rFonts w:ascii="Gadugi" w:hAnsi="Gadugi"/>
          <w:bCs/>
          <w:sz w:val="24"/>
          <w:szCs w:val="24"/>
        </w:rPr>
        <w:t xml:space="preserve">; </w:t>
      </w:r>
      <w:r w:rsidR="0022149F" w:rsidRPr="001844F0">
        <w:rPr>
          <w:rFonts w:ascii="Gadugi" w:hAnsi="Gadugi"/>
          <w:bCs/>
          <w:sz w:val="24"/>
          <w:szCs w:val="24"/>
        </w:rPr>
        <w:t>de ahí que, es incongruente e insuficiente la respuesta que se ofreció, al contrastarla con toda la información y documentación que se anexó al derecho de petición, en el que, por ejemplo, es visible lo siguiente:</w:t>
      </w:r>
    </w:p>
    <w:p w14:paraId="48475DF1" w14:textId="74EBD25F" w:rsidR="0022149F" w:rsidRPr="001844F0" w:rsidRDefault="0022149F" w:rsidP="001844F0">
      <w:pPr>
        <w:spacing w:line="276" w:lineRule="auto"/>
        <w:ind w:firstLine="2835"/>
        <w:jc w:val="both"/>
        <w:rPr>
          <w:rFonts w:ascii="Gadugi" w:hAnsi="Gadugi"/>
          <w:bCs/>
          <w:sz w:val="24"/>
          <w:szCs w:val="24"/>
        </w:rPr>
      </w:pPr>
    </w:p>
    <w:p w14:paraId="15F26EF7" w14:textId="04B61439" w:rsidR="0022149F" w:rsidRPr="001844F0" w:rsidRDefault="00B04442" w:rsidP="001844F0">
      <w:pPr>
        <w:pStyle w:val="Prrafodelista"/>
        <w:numPr>
          <w:ilvl w:val="0"/>
          <w:numId w:val="10"/>
        </w:numPr>
        <w:tabs>
          <w:tab w:val="left" w:pos="3261"/>
        </w:tabs>
        <w:spacing w:line="276" w:lineRule="auto"/>
        <w:ind w:left="0" w:firstLine="2835"/>
        <w:jc w:val="both"/>
        <w:rPr>
          <w:rFonts w:ascii="Gadugi" w:hAnsi="Gadugi"/>
          <w:bCs/>
          <w:i/>
          <w:sz w:val="24"/>
          <w:szCs w:val="24"/>
        </w:rPr>
      </w:pPr>
      <w:r w:rsidRPr="001844F0">
        <w:rPr>
          <w:rFonts w:ascii="Gadugi" w:hAnsi="Gadugi"/>
          <w:bCs/>
          <w:sz w:val="24"/>
          <w:szCs w:val="24"/>
        </w:rPr>
        <w:t>L</w:t>
      </w:r>
      <w:r w:rsidR="0022149F" w:rsidRPr="001844F0">
        <w:rPr>
          <w:rFonts w:ascii="Gadugi" w:hAnsi="Gadugi"/>
          <w:bCs/>
          <w:sz w:val="24"/>
          <w:szCs w:val="24"/>
        </w:rPr>
        <w:t>a señora Vale</w:t>
      </w:r>
      <w:r w:rsidR="008E2B67" w:rsidRPr="001844F0">
        <w:rPr>
          <w:rFonts w:ascii="Gadugi" w:hAnsi="Gadugi"/>
          <w:bCs/>
          <w:sz w:val="24"/>
          <w:szCs w:val="24"/>
        </w:rPr>
        <w:t>n</w:t>
      </w:r>
      <w:r w:rsidR="0022149F" w:rsidRPr="001844F0">
        <w:rPr>
          <w:rFonts w:ascii="Gadugi" w:hAnsi="Gadugi"/>
          <w:bCs/>
          <w:sz w:val="24"/>
          <w:szCs w:val="24"/>
        </w:rPr>
        <w:t>cia López fue sancionada el 24 de noviembre de 2012, por la Dirección de Responsabilidad Fiscal y Jurisdicción Coactiva de la Contraloría Municipal de Pereira; y en ese acto administrativo se dispuso</w:t>
      </w:r>
      <w:r w:rsidR="00626617" w:rsidRPr="001844F0">
        <w:rPr>
          <w:rFonts w:ascii="Gadugi" w:hAnsi="Gadugi"/>
          <w:bCs/>
          <w:sz w:val="24"/>
          <w:szCs w:val="24"/>
        </w:rPr>
        <w:t xml:space="preserve"> </w:t>
      </w:r>
      <w:r w:rsidR="00626617" w:rsidRPr="001844F0">
        <w:rPr>
          <w:rFonts w:ascii="Gadugi" w:hAnsi="Gadugi"/>
          <w:bCs/>
          <w:i/>
          <w:sz w:val="24"/>
          <w:szCs w:val="24"/>
        </w:rPr>
        <w:t>“</w:t>
      </w:r>
      <w:r w:rsidR="00626617" w:rsidRPr="00E82B03">
        <w:rPr>
          <w:rFonts w:ascii="Gadugi" w:hAnsi="Gadugi"/>
          <w:bCs/>
          <w:i/>
          <w:sz w:val="22"/>
          <w:szCs w:val="24"/>
        </w:rPr>
        <w:t xml:space="preserve">En firme y debidamente ejecutoriado el presente Fallo, infórmesele la decisión contenida en él, a la Contraloría General de la República, a efecto de  que se incluya el nombre de los responsables fiscales referida en el Artículo Primero, en el Boletín de Responsables Fiscales, tal como lo señala el Artículo 50 de la Ley 610 de 2000; al igual </w:t>
      </w:r>
      <w:r w:rsidR="00121E68" w:rsidRPr="00E82B03">
        <w:rPr>
          <w:rFonts w:ascii="Gadugi" w:hAnsi="Gadugi"/>
          <w:bCs/>
          <w:i/>
          <w:sz w:val="22"/>
          <w:szCs w:val="24"/>
        </w:rPr>
        <w:t xml:space="preserve">que al Sistema de Información de Registro de </w:t>
      </w:r>
      <w:r w:rsidR="005A0AA3" w:rsidRPr="00E82B03">
        <w:rPr>
          <w:rFonts w:ascii="Gadugi" w:hAnsi="Gadugi"/>
          <w:bCs/>
          <w:i/>
          <w:sz w:val="22"/>
          <w:szCs w:val="24"/>
        </w:rPr>
        <w:t>Actuaciones y Causas de Inhabilidad “SIRI” de la Procuraduría General de la Nación, en cumplimiento del Artículo 38, numeral 4°, de la Ley 734 de 2002</w:t>
      </w:r>
      <w:r w:rsidR="005A0AA3" w:rsidRPr="001844F0">
        <w:rPr>
          <w:rFonts w:ascii="Gadugi" w:hAnsi="Gadugi"/>
          <w:bCs/>
          <w:i/>
          <w:sz w:val="24"/>
          <w:szCs w:val="24"/>
        </w:rPr>
        <w:t>.”</w:t>
      </w:r>
      <w:r w:rsidRPr="001844F0">
        <w:rPr>
          <w:rStyle w:val="Refdenotaalpie"/>
          <w:rFonts w:ascii="Gadugi" w:hAnsi="Gadugi"/>
          <w:bCs/>
          <w:i/>
          <w:sz w:val="24"/>
          <w:szCs w:val="24"/>
        </w:rPr>
        <w:footnoteReference w:id="12"/>
      </w:r>
    </w:p>
    <w:p w14:paraId="1E6E1940" w14:textId="77777777" w:rsidR="005A0AA3" w:rsidRPr="001844F0" w:rsidRDefault="005A0AA3" w:rsidP="001844F0">
      <w:pPr>
        <w:pStyle w:val="Prrafodelista"/>
        <w:spacing w:line="276" w:lineRule="auto"/>
        <w:ind w:left="2835"/>
        <w:jc w:val="both"/>
        <w:rPr>
          <w:rFonts w:ascii="Gadugi" w:hAnsi="Gadugi"/>
          <w:bCs/>
          <w:sz w:val="24"/>
          <w:szCs w:val="24"/>
        </w:rPr>
      </w:pPr>
    </w:p>
    <w:p w14:paraId="5EE2E6EB" w14:textId="06899CD3" w:rsidR="005A0AA3" w:rsidRPr="001844F0" w:rsidRDefault="00B04442" w:rsidP="001844F0">
      <w:pPr>
        <w:pStyle w:val="Prrafodelista"/>
        <w:numPr>
          <w:ilvl w:val="0"/>
          <w:numId w:val="10"/>
        </w:numPr>
        <w:tabs>
          <w:tab w:val="left" w:pos="3261"/>
        </w:tabs>
        <w:spacing w:line="276" w:lineRule="auto"/>
        <w:ind w:left="0" w:firstLine="2835"/>
        <w:jc w:val="both"/>
        <w:rPr>
          <w:rFonts w:ascii="Gadugi" w:hAnsi="Gadugi"/>
          <w:bCs/>
          <w:sz w:val="24"/>
          <w:szCs w:val="24"/>
        </w:rPr>
      </w:pPr>
      <w:r w:rsidRPr="001844F0">
        <w:rPr>
          <w:rFonts w:ascii="Gadugi" w:hAnsi="Gadugi"/>
          <w:bCs/>
          <w:sz w:val="24"/>
          <w:szCs w:val="24"/>
        </w:rPr>
        <w:t>L</w:t>
      </w:r>
      <w:r w:rsidR="005A0AA3" w:rsidRPr="001844F0">
        <w:rPr>
          <w:rFonts w:ascii="Gadugi" w:hAnsi="Gadugi"/>
          <w:bCs/>
          <w:sz w:val="24"/>
          <w:szCs w:val="24"/>
        </w:rPr>
        <w:t xml:space="preserve">a Dirección Técnica de Responsabilidad Fiscal y Jurisdicción Coactiva envió a la Contraloría General de la República un comunicado en el sentido de que </w:t>
      </w:r>
      <w:r w:rsidR="005A0AA3" w:rsidRPr="001844F0">
        <w:rPr>
          <w:rFonts w:ascii="Gadugi" w:hAnsi="Gadugi"/>
          <w:bCs/>
          <w:i/>
          <w:sz w:val="24"/>
          <w:szCs w:val="24"/>
        </w:rPr>
        <w:t>“</w:t>
      </w:r>
      <w:r w:rsidR="005A0AA3" w:rsidRPr="00E82B03">
        <w:rPr>
          <w:rFonts w:ascii="Gadugi" w:hAnsi="Gadugi"/>
          <w:bCs/>
          <w:i/>
          <w:sz w:val="22"/>
          <w:szCs w:val="24"/>
        </w:rPr>
        <w:t xml:space="preserve">Comedidamente me permito anexarle formulario diligenciado para ser incluidos en el BOLETÍN DE RESPONSABLES FISCALES, de acuerdo al fallo N° 001 de fecha noviembre 24 de 2012 a favor de MULTISERVICIOS S.A., providencias que se encuentran debidamente ejecutoriadas y en firme, por encontrarse </w:t>
      </w:r>
      <w:r w:rsidR="00B10E8C" w:rsidRPr="00E82B03">
        <w:rPr>
          <w:rFonts w:ascii="Gadugi" w:hAnsi="Gadugi"/>
          <w:bCs/>
          <w:i/>
          <w:sz w:val="22"/>
          <w:szCs w:val="24"/>
        </w:rPr>
        <w:t>como responsable fiscal a la señora LILIANA VALENCIA LÓPEZ (…)”</w:t>
      </w:r>
      <w:r w:rsidRPr="001844F0">
        <w:rPr>
          <w:rStyle w:val="Refdenotaalpie"/>
          <w:rFonts w:ascii="Gadugi" w:hAnsi="Gadugi"/>
          <w:bCs/>
          <w:i/>
          <w:sz w:val="24"/>
          <w:szCs w:val="24"/>
        </w:rPr>
        <w:footnoteReference w:id="13"/>
      </w:r>
    </w:p>
    <w:p w14:paraId="45B49B08" w14:textId="52EB3C51" w:rsidR="0022149F" w:rsidRPr="001844F0" w:rsidRDefault="0022149F" w:rsidP="001844F0">
      <w:pPr>
        <w:spacing w:line="276" w:lineRule="auto"/>
        <w:ind w:firstLine="2835"/>
        <w:jc w:val="both"/>
        <w:rPr>
          <w:rFonts w:ascii="Gadugi" w:hAnsi="Gadugi"/>
          <w:bCs/>
          <w:sz w:val="24"/>
          <w:szCs w:val="24"/>
        </w:rPr>
      </w:pPr>
    </w:p>
    <w:p w14:paraId="2575C2D3" w14:textId="4727A99A" w:rsidR="0022149F" w:rsidRPr="001844F0" w:rsidRDefault="00B04442" w:rsidP="001844F0">
      <w:pPr>
        <w:pStyle w:val="Prrafodelista"/>
        <w:numPr>
          <w:ilvl w:val="0"/>
          <w:numId w:val="10"/>
        </w:numPr>
        <w:tabs>
          <w:tab w:val="left" w:pos="3261"/>
        </w:tabs>
        <w:spacing w:line="276" w:lineRule="auto"/>
        <w:ind w:left="0" w:firstLine="2835"/>
        <w:jc w:val="both"/>
        <w:rPr>
          <w:rFonts w:ascii="Gadugi" w:hAnsi="Gadugi"/>
          <w:bCs/>
          <w:sz w:val="24"/>
          <w:szCs w:val="24"/>
        </w:rPr>
      </w:pPr>
      <w:r w:rsidRPr="001844F0">
        <w:rPr>
          <w:rFonts w:ascii="Gadugi" w:hAnsi="Gadugi"/>
          <w:bCs/>
          <w:sz w:val="24"/>
          <w:szCs w:val="24"/>
        </w:rPr>
        <w:t>E</w:t>
      </w:r>
      <w:r w:rsidR="00B10E8C" w:rsidRPr="001844F0">
        <w:rPr>
          <w:rFonts w:ascii="Gadugi" w:hAnsi="Gadugi"/>
          <w:bCs/>
          <w:sz w:val="24"/>
          <w:szCs w:val="24"/>
        </w:rPr>
        <w:t>sa misma dependencia, con ocasión del mismo fallo de responsabilidad fiscal, envió comunicación similar a la Procuraduría General de la Nación, para que la señora Valencia López fuera incluida en el Registro de Inhabilidades.</w:t>
      </w:r>
      <w:r w:rsidRPr="001844F0">
        <w:rPr>
          <w:rStyle w:val="Refdenotaalpie"/>
          <w:rFonts w:ascii="Gadugi" w:hAnsi="Gadugi"/>
          <w:bCs/>
          <w:sz w:val="24"/>
          <w:szCs w:val="24"/>
        </w:rPr>
        <w:footnoteReference w:id="14"/>
      </w:r>
    </w:p>
    <w:p w14:paraId="3CB2AFC4" w14:textId="77777777" w:rsidR="0022149F" w:rsidRPr="001844F0" w:rsidRDefault="0022149F" w:rsidP="001844F0">
      <w:pPr>
        <w:spacing w:line="276" w:lineRule="auto"/>
        <w:ind w:firstLine="2835"/>
        <w:jc w:val="both"/>
        <w:rPr>
          <w:rFonts w:ascii="Gadugi" w:hAnsi="Gadugi"/>
          <w:bCs/>
          <w:sz w:val="24"/>
          <w:szCs w:val="24"/>
        </w:rPr>
      </w:pPr>
    </w:p>
    <w:p w14:paraId="78FB4F32" w14:textId="57A25841" w:rsidR="0022149F" w:rsidRPr="001844F0" w:rsidRDefault="00717BAB" w:rsidP="001844F0">
      <w:pPr>
        <w:pStyle w:val="Prrafodelista"/>
        <w:numPr>
          <w:ilvl w:val="0"/>
          <w:numId w:val="10"/>
        </w:numPr>
        <w:tabs>
          <w:tab w:val="left" w:pos="3261"/>
        </w:tabs>
        <w:spacing w:line="276" w:lineRule="auto"/>
        <w:ind w:left="0" w:firstLine="2835"/>
        <w:jc w:val="both"/>
        <w:rPr>
          <w:rFonts w:ascii="Gadugi" w:hAnsi="Gadugi"/>
          <w:bCs/>
          <w:sz w:val="24"/>
          <w:szCs w:val="24"/>
        </w:rPr>
      </w:pPr>
      <w:r w:rsidRPr="001844F0">
        <w:rPr>
          <w:rFonts w:ascii="Gadugi" w:hAnsi="Gadugi"/>
          <w:bCs/>
          <w:sz w:val="24"/>
          <w:szCs w:val="24"/>
        </w:rPr>
        <w:t>Con</w:t>
      </w:r>
      <w:r w:rsidR="00B10E8C" w:rsidRPr="001844F0">
        <w:rPr>
          <w:rFonts w:ascii="Gadugi" w:hAnsi="Gadugi"/>
          <w:bCs/>
          <w:sz w:val="24"/>
          <w:szCs w:val="24"/>
        </w:rPr>
        <w:t xml:space="preserve"> Resolución N° 272 del 16 de octubre de 2020, la Dirección de Responsabilidad Fiscal y Jurisdicción Coactiva, declaró la pérdida de ejecutoriedad y el decaimiento del acto administrativo que había sancionado a la accionante.</w:t>
      </w:r>
      <w:r w:rsidR="00B04442" w:rsidRPr="001844F0">
        <w:rPr>
          <w:rStyle w:val="Refdenotaalpie"/>
          <w:rFonts w:ascii="Gadugi" w:hAnsi="Gadugi"/>
          <w:bCs/>
          <w:sz w:val="24"/>
          <w:szCs w:val="24"/>
        </w:rPr>
        <w:footnoteReference w:id="15"/>
      </w:r>
    </w:p>
    <w:p w14:paraId="386D90A2" w14:textId="77777777" w:rsidR="00B10E8C" w:rsidRPr="001844F0" w:rsidRDefault="00B10E8C" w:rsidP="001844F0">
      <w:pPr>
        <w:pStyle w:val="Prrafodelista"/>
        <w:spacing w:line="276" w:lineRule="auto"/>
        <w:rPr>
          <w:rFonts w:ascii="Gadugi" w:hAnsi="Gadugi"/>
          <w:bCs/>
          <w:sz w:val="24"/>
          <w:szCs w:val="24"/>
        </w:rPr>
      </w:pPr>
    </w:p>
    <w:p w14:paraId="58365BD3" w14:textId="001DD6EB" w:rsidR="00B10E8C" w:rsidRPr="001844F0" w:rsidRDefault="00B04442" w:rsidP="001844F0">
      <w:pPr>
        <w:pStyle w:val="Prrafodelista"/>
        <w:numPr>
          <w:ilvl w:val="0"/>
          <w:numId w:val="10"/>
        </w:numPr>
        <w:tabs>
          <w:tab w:val="left" w:pos="3261"/>
        </w:tabs>
        <w:spacing w:line="276" w:lineRule="auto"/>
        <w:ind w:left="0" w:firstLine="2835"/>
        <w:jc w:val="both"/>
        <w:rPr>
          <w:rFonts w:ascii="Gadugi" w:hAnsi="Gadugi"/>
          <w:bCs/>
          <w:sz w:val="24"/>
          <w:szCs w:val="24"/>
        </w:rPr>
      </w:pPr>
      <w:r w:rsidRPr="001844F0">
        <w:rPr>
          <w:rFonts w:ascii="Gadugi" w:hAnsi="Gadugi"/>
          <w:bCs/>
          <w:sz w:val="24"/>
          <w:szCs w:val="24"/>
        </w:rPr>
        <w:t>L</w:t>
      </w:r>
      <w:r w:rsidR="00717BAB" w:rsidRPr="001844F0">
        <w:rPr>
          <w:rFonts w:ascii="Gadugi" w:hAnsi="Gadugi"/>
          <w:bCs/>
          <w:sz w:val="24"/>
          <w:szCs w:val="24"/>
        </w:rPr>
        <w:t xml:space="preserve">a Dirección Técnica de Responsabilidad Fiscal y Jurisdicción Coactiva de la Contraloría Municipal de Pereira, mediante sendas </w:t>
      </w:r>
      <w:r w:rsidR="00717BAB" w:rsidRPr="001844F0">
        <w:rPr>
          <w:rFonts w:ascii="Gadugi" w:hAnsi="Gadugi"/>
          <w:bCs/>
          <w:sz w:val="24"/>
          <w:szCs w:val="24"/>
        </w:rPr>
        <w:lastRenderedPageBreak/>
        <w:t>comunicaciones emitidas en octubre de 2020, remitió a la CGR y a la PGN, las respectivas solicitudes para que la demandante fuera excluida del Boletín de Responsables Fiscales y Registro de Inhabilidades, respectivamente.</w:t>
      </w:r>
      <w:r w:rsidRPr="001844F0">
        <w:rPr>
          <w:rStyle w:val="Refdenotaalpie"/>
          <w:rFonts w:ascii="Gadugi" w:hAnsi="Gadugi"/>
          <w:bCs/>
          <w:sz w:val="24"/>
          <w:szCs w:val="24"/>
        </w:rPr>
        <w:footnoteReference w:id="16"/>
      </w:r>
      <w:r w:rsidR="00717BAB" w:rsidRPr="001844F0">
        <w:rPr>
          <w:rFonts w:ascii="Gadugi" w:hAnsi="Gadugi"/>
          <w:bCs/>
          <w:sz w:val="24"/>
          <w:szCs w:val="24"/>
        </w:rPr>
        <w:t xml:space="preserve"> </w:t>
      </w:r>
    </w:p>
    <w:p w14:paraId="0B5D8635" w14:textId="7CE4B7BA" w:rsidR="00717BAB" w:rsidRPr="001844F0" w:rsidRDefault="00717BAB" w:rsidP="001844F0">
      <w:pPr>
        <w:pStyle w:val="Prrafodelista"/>
        <w:spacing w:line="276" w:lineRule="auto"/>
        <w:ind w:left="0" w:firstLine="2835"/>
        <w:rPr>
          <w:rFonts w:ascii="Gadugi" w:hAnsi="Gadugi"/>
          <w:bCs/>
          <w:sz w:val="24"/>
          <w:szCs w:val="24"/>
        </w:rPr>
      </w:pPr>
    </w:p>
    <w:p w14:paraId="0B886A2A" w14:textId="60B3D461" w:rsidR="00717BAB" w:rsidRPr="001844F0" w:rsidRDefault="00717BAB" w:rsidP="001844F0">
      <w:pPr>
        <w:pStyle w:val="Prrafodelista"/>
        <w:numPr>
          <w:ilvl w:val="0"/>
          <w:numId w:val="10"/>
        </w:numPr>
        <w:tabs>
          <w:tab w:val="left" w:pos="3261"/>
        </w:tabs>
        <w:spacing w:line="276" w:lineRule="auto"/>
        <w:ind w:left="0" w:firstLine="2835"/>
        <w:jc w:val="both"/>
        <w:rPr>
          <w:rFonts w:ascii="Gadugi" w:hAnsi="Gadugi"/>
          <w:bCs/>
          <w:sz w:val="24"/>
          <w:szCs w:val="24"/>
        </w:rPr>
      </w:pPr>
      <w:r w:rsidRPr="001844F0">
        <w:rPr>
          <w:rFonts w:ascii="Gadugi" w:hAnsi="Gadugi"/>
          <w:bCs/>
          <w:sz w:val="24"/>
          <w:szCs w:val="24"/>
        </w:rPr>
        <w:t xml:space="preserve">Y con la Resolución N° 181 del 10 de noviembre de 2020, la Contraloría Delegada para la Responsabilidad Fiscal, Intervención Judicial y Cobro Coactivo, se dispuso la </w:t>
      </w:r>
      <w:r w:rsidR="001A47C2" w:rsidRPr="001844F0">
        <w:rPr>
          <w:rFonts w:ascii="Gadugi" w:hAnsi="Gadugi"/>
          <w:bCs/>
          <w:sz w:val="24"/>
          <w:szCs w:val="24"/>
        </w:rPr>
        <w:t>exclusión</w:t>
      </w:r>
      <w:r w:rsidRPr="001844F0">
        <w:rPr>
          <w:rFonts w:ascii="Gadugi" w:hAnsi="Gadugi"/>
          <w:bCs/>
          <w:sz w:val="24"/>
          <w:szCs w:val="24"/>
        </w:rPr>
        <w:t xml:space="preserve"> de la señora López Valencia del </w:t>
      </w:r>
      <w:r w:rsidR="001A47C2" w:rsidRPr="001844F0">
        <w:rPr>
          <w:rFonts w:ascii="Gadugi" w:hAnsi="Gadugi"/>
          <w:bCs/>
          <w:sz w:val="24"/>
          <w:szCs w:val="24"/>
        </w:rPr>
        <w:t>Boletín de Responsables Fiscales.</w:t>
      </w:r>
      <w:r w:rsidR="00B04442" w:rsidRPr="001844F0">
        <w:rPr>
          <w:rStyle w:val="Refdenotaalpie"/>
          <w:rFonts w:ascii="Gadugi" w:hAnsi="Gadugi"/>
          <w:bCs/>
          <w:sz w:val="24"/>
          <w:szCs w:val="24"/>
        </w:rPr>
        <w:footnoteReference w:id="17"/>
      </w:r>
      <w:r w:rsidR="001A47C2" w:rsidRPr="001844F0">
        <w:rPr>
          <w:rFonts w:ascii="Gadugi" w:hAnsi="Gadugi"/>
          <w:bCs/>
          <w:sz w:val="24"/>
          <w:szCs w:val="24"/>
        </w:rPr>
        <w:t xml:space="preserve"> </w:t>
      </w:r>
    </w:p>
    <w:p w14:paraId="7110557C" w14:textId="0D97F1BA" w:rsidR="0022149F" w:rsidRPr="001844F0" w:rsidRDefault="0022149F" w:rsidP="001844F0">
      <w:pPr>
        <w:spacing w:line="276" w:lineRule="auto"/>
        <w:ind w:firstLine="2835"/>
        <w:jc w:val="both"/>
        <w:rPr>
          <w:rFonts w:ascii="Gadugi" w:hAnsi="Gadugi"/>
          <w:bCs/>
          <w:sz w:val="24"/>
          <w:szCs w:val="24"/>
        </w:rPr>
      </w:pPr>
    </w:p>
    <w:p w14:paraId="59BFBC05" w14:textId="09841B86" w:rsidR="008B32EA" w:rsidRPr="001844F0" w:rsidRDefault="00E00B66" w:rsidP="001844F0">
      <w:pPr>
        <w:spacing w:line="276" w:lineRule="auto"/>
        <w:ind w:firstLine="2835"/>
        <w:jc w:val="both"/>
        <w:rPr>
          <w:rFonts w:ascii="Gadugi" w:hAnsi="Gadugi"/>
          <w:bCs/>
          <w:sz w:val="24"/>
          <w:szCs w:val="24"/>
        </w:rPr>
      </w:pPr>
      <w:r w:rsidRPr="001844F0">
        <w:rPr>
          <w:rFonts w:ascii="Gadugi" w:hAnsi="Gadugi"/>
          <w:bCs/>
          <w:sz w:val="24"/>
          <w:szCs w:val="24"/>
        </w:rPr>
        <w:t xml:space="preserve">Como se ve, la accionante </w:t>
      </w:r>
      <w:r w:rsidR="00B04442" w:rsidRPr="001844F0">
        <w:rPr>
          <w:rFonts w:ascii="Gadugi" w:hAnsi="Gadugi"/>
          <w:bCs/>
          <w:sz w:val="24"/>
          <w:szCs w:val="24"/>
        </w:rPr>
        <w:t>allegó</w:t>
      </w:r>
      <w:r w:rsidRPr="001844F0">
        <w:rPr>
          <w:rFonts w:ascii="Gadugi" w:hAnsi="Gadugi"/>
          <w:bCs/>
          <w:sz w:val="24"/>
          <w:szCs w:val="24"/>
        </w:rPr>
        <w:t xml:space="preserve"> abundante información sobre las causas de los reportes de los que se duele, pese a lo cual, la SFC</w:t>
      </w:r>
      <w:r w:rsidR="003802BE" w:rsidRPr="001844F0">
        <w:rPr>
          <w:rFonts w:ascii="Gadugi" w:hAnsi="Gadugi"/>
          <w:bCs/>
          <w:sz w:val="24"/>
          <w:szCs w:val="24"/>
        </w:rPr>
        <w:t xml:space="preserve">, sin tener en cuenta las particularidades de la petición, refirió de manera genérica su incompetencia, </w:t>
      </w:r>
      <w:r w:rsidR="008B32EA" w:rsidRPr="001844F0">
        <w:rPr>
          <w:rFonts w:ascii="Gadugi" w:hAnsi="Gadugi"/>
          <w:bCs/>
          <w:sz w:val="24"/>
          <w:szCs w:val="24"/>
        </w:rPr>
        <w:t>aun cuando</w:t>
      </w:r>
      <w:r w:rsidR="003802BE" w:rsidRPr="001844F0">
        <w:rPr>
          <w:rFonts w:ascii="Gadugi" w:hAnsi="Gadugi"/>
          <w:bCs/>
          <w:sz w:val="24"/>
          <w:szCs w:val="24"/>
        </w:rPr>
        <w:t xml:space="preserve"> el artículo 21 del CPACA</w:t>
      </w:r>
      <w:r w:rsidR="008B32EA" w:rsidRPr="001844F0">
        <w:rPr>
          <w:rFonts w:ascii="Gadugi" w:hAnsi="Gadugi"/>
          <w:bCs/>
          <w:sz w:val="24"/>
          <w:szCs w:val="24"/>
        </w:rPr>
        <w:t xml:space="preserve">, le imponía remitir la petición a la autoridad que pudiera resolver de fondo la solicitud orientada a la exclusión de las listas restrictivas, o en su defecto, a indicarle a la accionante si existe o no, alguna autoridad </w:t>
      </w:r>
      <w:r w:rsidR="00B04442" w:rsidRPr="001844F0">
        <w:rPr>
          <w:rFonts w:ascii="Gadugi" w:hAnsi="Gadugi"/>
          <w:bCs/>
          <w:sz w:val="24"/>
          <w:szCs w:val="24"/>
        </w:rPr>
        <w:t xml:space="preserve">que pueda solucionarlas. </w:t>
      </w:r>
    </w:p>
    <w:p w14:paraId="6ECA62E4" w14:textId="6DD23EB7" w:rsidR="008B32EA" w:rsidRPr="001844F0" w:rsidRDefault="008B32EA" w:rsidP="001844F0">
      <w:pPr>
        <w:spacing w:line="276" w:lineRule="auto"/>
        <w:ind w:firstLine="2835"/>
        <w:jc w:val="both"/>
        <w:rPr>
          <w:rFonts w:ascii="Gadugi" w:hAnsi="Gadugi"/>
          <w:bCs/>
          <w:sz w:val="24"/>
          <w:szCs w:val="24"/>
        </w:rPr>
      </w:pPr>
    </w:p>
    <w:p w14:paraId="199B44B0" w14:textId="0B8FB343" w:rsidR="003620C7" w:rsidRPr="001844F0" w:rsidRDefault="004428F2" w:rsidP="001844F0">
      <w:pPr>
        <w:spacing w:line="276" w:lineRule="auto"/>
        <w:ind w:firstLine="2835"/>
        <w:jc w:val="both"/>
        <w:rPr>
          <w:rFonts w:ascii="Gadugi" w:hAnsi="Gadugi"/>
          <w:sz w:val="24"/>
          <w:szCs w:val="24"/>
        </w:rPr>
      </w:pPr>
      <w:r w:rsidRPr="001844F0">
        <w:rPr>
          <w:rFonts w:ascii="Gadugi" w:hAnsi="Gadugi"/>
          <w:sz w:val="24"/>
          <w:szCs w:val="24"/>
        </w:rPr>
        <w:t xml:space="preserve">De la respuesta al derecho de petición, se echa de menos </w:t>
      </w:r>
      <w:r w:rsidR="00B32AB2" w:rsidRPr="001844F0">
        <w:rPr>
          <w:rFonts w:ascii="Gadugi" w:hAnsi="Gadugi"/>
          <w:sz w:val="24"/>
          <w:szCs w:val="24"/>
        </w:rPr>
        <w:t xml:space="preserve">(i) </w:t>
      </w:r>
      <w:r w:rsidRPr="001844F0">
        <w:rPr>
          <w:rFonts w:ascii="Gadugi" w:hAnsi="Gadugi"/>
          <w:sz w:val="24"/>
          <w:szCs w:val="24"/>
        </w:rPr>
        <w:t xml:space="preserve">una explicación concreta sobre </w:t>
      </w:r>
      <w:r w:rsidR="00B32AB2" w:rsidRPr="001844F0">
        <w:rPr>
          <w:rFonts w:ascii="Gadugi" w:hAnsi="Gadugi"/>
          <w:sz w:val="24"/>
          <w:szCs w:val="24"/>
        </w:rPr>
        <w:t>la</w:t>
      </w:r>
      <w:r w:rsidRPr="001844F0">
        <w:rPr>
          <w:rFonts w:ascii="Gadugi" w:hAnsi="Gadugi"/>
          <w:sz w:val="24"/>
          <w:szCs w:val="24"/>
        </w:rPr>
        <w:t xml:space="preserve"> </w:t>
      </w:r>
      <w:r w:rsidR="00B32AB2" w:rsidRPr="001844F0">
        <w:rPr>
          <w:rFonts w:ascii="Gadugi" w:hAnsi="Gadugi"/>
          <w:sz w:val="24"/>
          <w:szCs w:val="24"/>
        </w:rPr>
        <w:t xml:space="preserve">“plataforma </w:t>
      </w:r>
      <w:r w:rsidRPr="001844F0">
        <w:rPr>
          <w:rFonts w:ascii="Gadugi" w:hAnsi="Gadugi"/>
          <w:sz w:val="24"/>
          <w:szCs w:val="24"/>
        </w:rPr>
        <w:t>SARLAFT</w:t>
      </w:r>
      <w:r w:rsidR="00B32AB2" w:rsidRPr="001844F0">
        <w:rPr>
          <w:rFonts w:ascii="Gadugi" w:hAnsi="Gadugi"/>
          <w:sz w:val="24"/>
          <w:szCs w:val="24"/>
        </w:rPr>
        <w:t>” y las “plataformas financieras”, a las que se refiere la accionante</w:t>
      </w:r>
      <w:r w:rsidRPr="001844F0">
        <w:rPr>
          <w:rFonts w:ascii="Gadugi" w:hAnsi="Gadugi"/>
          <w:sz w:val="24"/>
          <w:szCs w:val="24"/>
        </w:rPr>
        <w:t xml:space="preserve">, </w:t>
      </w:r>
      <w:r w:rsidR="00B32AB2" w:rsidRPr="001844F0">
        <w:rPr>
          <w:rFonts w:ascii="Gadugi" w:hAnsi="Gadugi"/>
          <w:sz w:val="24"/>
          <w:szCs w:val="24"/>
        </w:rPr>
        <w:t xml:space="preserve">(ii) </w:t>
      </w:r>
      <w:r w:rsidR="00B04442" w:rsidRPr="001844F0">
        <w:rPr>
          <w:rFonts w:ascii="Gadugi" w:hAnsi="Gadugi"/>
          <w:sz w:val="24"/>
          <w:szCs w:val="24"/>
        </w:rPr>
        <w:t xml:space="preserve">una respuesta contundente sobre si existe o no alguna autoridad que le pueda dar solución a </w:t>
      </w:r>
      <w:r w:rsidR="00B32AB2" w:rsidRPr="001844F0">
        <w:rPr>
          <w:rFonts w:ascii="Gadugi" w:hAnsi="Gadugi"/>
          <w:sz w:val="24"/>
          <w:szCs w:val="24"/>
        </w:rPr>
        <w:t>su</w:t>
      </w:r>
      <w:r w:rsidR="00754501" w:rsidRPr="001844F0">
        <w:rPr>
          <w:rFonts w:ascii="Gadugi" w:hAnsi="Gadugi"/>
          <w:sz w:val="24"/>
          <w:szCs w:val="24"/>
        </w:rPr>
        <w:t>s</w:t>
      </w:r>
      <w:r w:rsidR="00B04442" w:rsidRPr="001844F0">
        <w:rPr>
          <w:rFonts w:ascii="Gadugi" w:hAnsi="Gadugi"/>
          <w:sz w:val="24"/>
          <w:szCs w:val="24"/>
        </w:rPr>
        <w:t xml:space="preserve"> súplicas, </w:t>
      </w:r>
      <w:r w:rsidR="00B32AB2" w:rsidRPr="001844F0">
        <w:rPr>
          <w:rFonts w:ascii="Gadugi" w:hAnsi="Gadugi"/>
          <w:sz w:val="24"/>
          <w:szCs w:val="24"/>
        </w:rPr>
        <w:t xml:space="preserve">(iii) </w:t>
      </w:r>
      <w:r w:rsidR="00B04442" w:rsidRPr="001844F0">
        <w:rPr>
          <w:rFonts w:ascii="Gadugi" w:hAnsi="Gadugi"/>
          <w:sz w:val="24"/>
          <w:szCs w:val="24"/>
        </w:rPr>
        <w:t>y una exposición de los motivos, si es que existen</w:t>
      </w:r>
      <w:r w:rsidR="00B32AB2" w:rsidRPr="001844F0">
        <w:rPr>
          <w:rFonts w:ascii="Gadugi" w:hAnsi="Gadugi"/>
          <w:sz w:val="24"/>
          <w:szCs w:val="24"/>
        </w:rPr>
        <w:t>,</w:t>
      </w:r>
      <w:r w:rsidR="00B04442" w:rsidRPr="001844F0">
        <w:rPr>
          <w:rFonts w:ascii="Gadugi" w:hAnsi="Gadugi"/>
          <w:sz w:val="24"/>
          <w:szCs w:val="24"/>
        </w:rPr>
        <w:t xml:space="preserve"> del porq</w:t>
      </w:r>
      <w:r w:rsidR="00B32AB2" w:rsidRPr="001844F0">
        <w:rPr>
          <w:rFonts w:ascii="Gadugi" w:hAnsi="Gadugi"/>
          <w:sz w:val="24"/>
          <w:szCs w:val="24"/>
        </w:rPr>
        <w:t>ué no es posible remitir la solicitud a otra autoridad que la pueda resolver.</w:t>
      </w:r>
    </w:p>
    <w:p w14:paraId="26A67AA5" w14:textId="77777777" w:rsidR="003620C7" w:rsidRPr="001844F0" w:rsidRDefault="003620C7" w:rsidP="001844F0">
      <w:pPr>
        <w:spacing w:line="276" w:lineRule="auto"/>
        <w:ind w:firstLine="2835"/>
        <w:jc w:val="both"/>
        <w:rPr>
          <w:rFonts w:ascii="Gadugi" w:hAnsi="Gadugi"/>
          <w:bCs/>
          <w:sz w:val="24"/>
          <w:szCs w:val="24"/>
        </w:rPr>
      </w:pPr>
    </w:p>
    <w:p w14:paraId="7F2FE888" w14:textId="4EFFC91D" w:rsidR="008B32EA" w:rsidRPr="001844F0" w:rsidRDefault="008B32EA" w:rsidP="001844F0">
      <w:pPr>
        <w:spacing w:line="276" w:lineRule="auto"/>
        <w:ind w:firstLine="2835"/>
        <w:jc w:val="both"/>
        <w:rPr>
          <w:rFonts w:ascii="Gadugi" w:hAnsi="Gadugi"/>
          <w:bCs/>
          <w:sz w:val="24"/>
          <w:szCs w:val="24"/>
        </w:rPr>
      </w:pPr>
      <w:r w:rsidRPr="001844F0">
        <w:rPr>
          <w:rFonts w:ascii="Gadugi" w:hAnsi="Gadugi"/>
          <w:bCs/>
          <w:sz w:val="24"/>
          <w:szCs w:val="24"/>
        </w:rPr>
        <w:t>Es que</w:t>
      </w:r>
      <w:r w:rsidR="003620C7" w:rsidRPr="001844F0">
        <w:rPr>
          <w:rFonts w:ascii="Gadugi" w:hAnsi="Gadugi"/>
          <w:bCs/>
          <w:sz w:val="24"/>
          <w:szCs w:val="24"/>
        </w:rPr>
        <w:t>,</w:t>
      </w:r>
      <w:r w:rsidRPr="001844F0">
        <w:rPr>
          <w:rFonts w:ascii="Gadugi" w:hAnsi="Gadugi"/>
          <w:bCs/>
          <w:sz w:val="24"/>
          <w:szCs w:val="24"/>
        </w:rPr>
        <w:t xml:space="preserve"> la claridad de las explicaciones que se ofrecieron en la contestación a esta acción de tutela</w:t>
      </w:r>
      <w:r w:rsidR="00B32AB2" w:rsidRPr="001844F0">
        <w:rPr>
          <w:rFonts w:ascii="Gadugi" w:hAnsi="Gadugi"/>
          <w:bCs/>
          <w:sz w:val="24"/>
          <w:szCs w:val="24"/>
        </w:rPr>
        <w:t>,</w:t>
      </w:r>
      <w:r w:rsidRPr="001844F0">
        <w:rPr>
          <w:rFonts w:ascii="Gadugi" w:hAnsi="Gadugi"/>
          <w:bCs/>
          <w:sz w:val="24"/>
          <w:szCs w:val="24"/>
        </w:rPr>
        <w:t xml:space="preserve"> </w:t>
      </w:r>
      <w:r w:rsidR="005D069E" w:rsidRPr="001844F0">
        <w:rPr>
          <w:rFonts w:ascii="Gadugi" w:hAnsi="Gadugi"/>
          <w:bCs/>
          <w:sz w:val="24"/>
          <w:szCs w:val="24"/>
        </w:rPr>
        <w:t>contrasta</w:t>
      </w:r>
      <w:r w:rsidRPr="001844F0">
        <w:rPr>
          <w:rFonts w:ascii="Gadugi" w:hAnsi="Gadugi"/>
          <w:bCs/>
          <w:sz w:val="24"/>
          <w:szCs w:val="24"/>
        </w:rPr>
        <w:t xml:space="preserve"> con la vaguedad de la información que se suministró en la respuesta al derecho de petición.</w:t>
      </w:r>
    </w:p>
    <w:p w14:paraId="3ED0113B" w14:textId="4F31CB64" w:rsidR="008B32EA" w:rsidRPr="001844F0" w:rsidRDefault="008B32EA" w:rsidP="001844F0">
      <w:pPr>
        <w:spacing w:line="276" w:lineRule="auto"/>
        <w:ind w:firstLine="2835"/>
        <w:jc w:val="both"/>
        <w:rPr>
          <w:rFonts w:ascii="Gadugi" w:hAnsi="Gadugi"/>
          <w:bCs/>
          <w:sz w:val="24"/>
          <w:szCs w:val="24"/>
        </w:rPr>
      </w:pPr>
    </w:p>
    <w:p w14:paraId="445495B1" w14:textId="0C7E23A1" w:rsidR="008B32EA" w:rsidRPr="001844F0" w:rsidRDefault="008B32EA" w:rsidP="001844F0">
      <w:pPr>
        <w:spacing w:line="276" w:lineRule="auto"/>
        <w:ind w:firstLine="2835"/>
        <w:jc w:val="both"/>
        <w:rPr>
          <w:rFonts w:ascii="Gadugi" w:hAnsi="Gadugi"/>
          <w:bCs/>
          <w:sz w:val="24"/>
          <w:szCs w:val="24"/>
        </w:rPr>
      </w:pPr>
      <w:r w:rsidRPr="001844F0">
        <w:rPr>
          <w:rFonts w:ascii="Gadugi" w:hAnsi="Gadugi"/>
          <w:bCs/>
          <w:sz w:val="24"/>
          <w:szCs w:val="24"/>
        </w:rPr>
        <w:t xml:space="preserve">En esos términos, y toda vez que la respuesta al derecho de petición se estima insuficiente, se revocará el fallo de primer grado, para conceder la protección invocada, ordenándole a la demandada, contestar la solicitud de la accionante siguiendo las directrices trazadas en esta providencia, esto es, al tenor de lo reglado en el artículo 21 del CPACA. </w:t>
      </w:r>
    </w:p>
    <w:p w14:paraId="238E7F5B" w14:textId="2CB88453" w:rsidR="00D12213" w:rsidRPr="001844F0" w:rsidRDefault="00D12213" w:rsidP="001844F0">
      <w:pPr>
        <w:spacing w:line="276" w:lineRule="auto"/>
        <w:ind w:firstLine="2835"/>
        <w:jc w:val="both"/>
        <w:rPr>
          <w:rFonts w:ascii="Gadugi" w:hAnsi="Gadugi"/>
          <w:b/>
          <w:bCs/>
          <w:sz w:val="24"/>
          <w:szCs w:val="24"/>
        </w:rPr>
      </w:pPr>
    </w:p>
    <w:p w14:paraId="3DB93BD2" w14:textId="77777777" w:rsidR="00D12213" w:rsidRPr="001844F0" w:rsidRDefault="00D12213" w:rsidP="001844F0">
      <w:pPr>
        <w:spacing w:line="276" w:lineRule="auto"/>
        <w:ind w:firstLine="2835"/>
        <w:jc w:val="both"/>
        <w:rPr>
          <w:rFonts w:ascii="Gadugi" w:hAnsi="Gadugi"/>
          <w:b/>
          <w:bCs/>
          <w:sz w:val="24"/>
          <w:szCs w:val="24"/>
        </w:rPr>
      </w:pPr>
    </w:p>
    <w:p w14:paraId="386D2DEF" w14:textId="77777777" w:rsidR="00346F15" w:rsidRPr="001844F0" w:rsidRDefault="00346F15" w:rsidP="001844F0">
      <w:pPr>
        <w:spacing w:line="276" w:lineRule="auto"/>
        <w:ind w:firstLine="2835"/>
        <w:jc w:val="both"/>
        <w:rPr>
          <w:rFonts w:ascii="Gadugi" w:hAnsi="Gadugi"/>
          <w:b/>
          <w:bCs/>
          <w:sz w:val="24"/>
          <w:szCs w:val="24"/>
        </w:rPr>
      </w:pPr>
      <w:r w:rsidRPr="001844F0">
        <w:rPr>
          <w:rFonts w:ascii="Gadugi" w:hAnsi="Gadugi"/>
          <w:b/>
          <w:bCs/>
          <w:sz w:val="24"/>
          <w:szCs w:val="24"/>
        </w:rPr>
        <w:t>DECISIÓN</w:t>
      </w:r>
    </w:p>
    <w:p w14:paraId="4F880D2E" w14:textId="77777777" w:rsidR="00346F15" w:rsidRPr="001844F0" w:rsidRDefault="00346F15" w:rsidP="001844F0">
      <w:pPr>
        <w:spacing w:line="276" w:lineRule="auto"/>
        <w:ind w:firstLine="2835"/>
        <w:jc w:val="both"/>
        <w:rPr>
          <w:rFonts w:ascii="Gadugi" w:hAnsi="Gadugi"/>
          <w:sz w:val="24"/>
          <w:szCs w:val="24"/>
        </w:rPr>
      </w:pPr>
    </w:p>
    <w:p w14:paraId="316E7202" w14:textId="77777777" w:rsidR="00346F15" w:rsidRPr="001844F0" w:rsidRDefault="00346F15" w:rsidP="001844F0">
      <w:pPr>
        <w:spacing w:line="276" w:lineRule="auto"/>
        <w:ind w:firstLine="2835"/>
        <w:jc w:val="both"/>
        <w:rPr>
          <w:rFonts w:ascii="Gadugi" w:hAnsi="Gadugi"/>
          <w:sz w:val="24"/>
          <w:szCs w:val="24"/>
        </w:rPr>
      </w:pPr>
    </w:p>
    <w:p w14:paraId="10F1AB17" w14:textId="23CFE586" w:rsidR="00DD631D" w:rsidRPr="001844F0" w:rsidRDefault="00346F15" w:rsidP="001844F0">
      <w:pPr>
        <w:spacing w:line="276" w:lineRule="auto"/>
        <w:ind w:firstLine="2835"/>
        <w:jc w:val="both"/>
        <w:rPr>
          <w:rFonts w:ascii="Gadugi" w:hAnsi="Gadugi"/>
          <w:sz w:val="24"/>
          <w:szCs w:val="24"/>
        </w:rPr>
      </w:pPr>
      <w:r w:rsidRPr="001844F0">
        <w:rPr>
          <w:rFonts w:ascii="Gadugi" w:hAnsi="Gadugi"/>
          <w:sz w:val="24"/>
          <w:szCs w:val="24"/>
        </w:rPr>
        <w:lastRenderedPageBreak/>
        <w:t xml:space="preserve">Por lo expuesto, el </w:t>
      </w:r>
      <w:r w:rsidRPr="001844F0">
        <w:rPr>
          <w:rFonts w:ascii="Gadugi" w:hAnsi="Gadugi"/>
          <w:b/>
          <w:bCs/>
          <w:sz w:val="24"/>
          <w:szCs w:val="24"/>
        </w:rPr>
        <w:t>Tribunal Superior del Distrito Judicial de Pereira</w:t>
      </w:r>
      <w:r w:rsidRPr="001844F0">
        <w:rPr>
          <w:rFonts w:ascii="Gadugi" w:hAnsi="Gadugi"/>
          <w:sz w:val="24"/>
          <w:szCs w:val="24"/>
        </w:rPr>
        <w:t xml:space="preserve">, </w:t>
      </w:r>
      <w:r w:rsidRPr="001844F0">
        <w:rPr>
          <w:rFonts w:ascii="Gadugi" w:hAnsi="Gadugi"/>
          <w:b/>
          <w:bCs/>
          <w:sz w:val="24"/>
          <w:szCs w:val="24"/>
        </w:rPr>
        <w:t>Sala de Decisión Civil Familia</w:t>
      </w:r>
      <w:r w:rsidRPr="001844F0">
        <w:rPr>
          <w:rFonts w:ascii="Gadugi" w:hAnsi="Gadugi"/>
          <w:sz w:val="24"/>
          <w:szCs w:val="24"/>
        </w:rPr>
        <w:t>, administrando justicia en nombre de la República y por autoridad de la ley</w:t>
      </w:r>
      <w:r w:rsidR="0011413F" w:rsidRPr="001844F0">
        <w:rPr>
          <w:rFonts w:ascii="Gadugi" w:hAnsi="Gadugi"/>
          <w:sz w:val="24"/>
          <w:szCs w:val="24"/>
        </w:rPr>
        <w:t xml:space="preserve"> </w:t>
      </w:r>
      <w:r w:rsidR="008B32EA" w:rsidRPr="001844F0">
        <w:rPr>
          <w:rFonts w:ascii="Gadugi" w:hAnsi="Gadugi"/>
          <w:b/>
          <w:bCs/>
          <w:sz w:val="24"/>
          <w:szCs w:val="24"/>
        </w:rPr>
        <w:t>RE</w:t>
      </w:r>
      <w:r w:rsidR="00754501" w:rsidRPr="001844F0">
        <w:rPr>
          <w:rFonts w:ascii="Gadugi" w:hAnsi="Gadugi"/>
          <w:b/>
          <w:bCs/>
          <w:sz w:val="24"/>
          <w:szCs w:val="24"/>
        </w:rPr>
        <w:t>VOCA</w:t>
      </w:r>
      <w:r w:rsidR="00DD631D" w:rsidRPr="001844F0">
        <w:rPr>
          <w:rFonts w:ascii="Gadugi" w:hAnsi="Gadugi"/>
          <w:b/>
          <w:bCs/>
          <w:sz w:val="24"/>
          <w:szCs w:val="24"/>
        </w:rPr>
        <w:t xml:space="preserve"> </w:t>
      </w:r>
      <w:r w:rsidR="0011413F" w:rsidRPr="001844F0">
        <w:rPr>
          <w:rFonts w:ascii="Gadugi" w:hAnsi="Gadugi"/>
          <w:sz w:val="24"/>
          <w:szCs w:val="24"/>
        </w:rPr>
        <w:t>el fallo impugnado</w:t>
      </w:r>
      <w:r w:rsidR="0042187B" w:rsidRPr="001844F0">
        <w:rPr>
          <w:rFonts w:ascii="Gadugi" w:hAnsi="Gadugi"/>
          <w:sz w:val="24"/>
          <w:szCs w:val="24"/>
        </w:rPr>
        <w:t>.</w:t>
      </w:r>
    </w:p>
    <w:p w14:paraId="79A201D4" w14:textId="572D25F7" w:rsidR="0042187B" w:rsidRPr="001844F0" w:rsidRDefault="0042187B" w:rsidP="001844F0">
      <w:pPr>
        <w:spacing w:line="276" w:lineRule="auto"/>
        <w:ind w:firstLine="2835"/>
        <w:jc w:val="both"/>
        <w:rPr>
          <w:rFonts w:ascii="Gadugi" w:hAnsi="Gadugi"/>
          <w:sz w:val="24"/>
          <w:szCs w:val="24"/>
        </w:rPr>
      </w:pPr>
    </w:p>
    <w:p w14:paraId="7A16499F" w14:textId="5935D02B" w:rsidR="0042187B" w:rsidRPr="001844F0" w:rsidRDefault="0042187B" w:rsidP="001844F0">
      <w:pPr>
        <w:spacing w:line="276" w:lineRule="auto"/>
        <w:ind w:firstLine="2835"/>
        <w:jc w:val="both"/>
        <w:rPr>
          <w:rFonts w:ascii="Gadugi" w:hAnsi="Gadugi"/>
          <w:sz w:val="24"/>
          <w:szCs w:val="24"/>
        </w:rPr>
      </w:pPr>
      <w:r w:rsidRPr="001844F0">
        <w:rPr>
          <w:rFonts w:ascii="Gadugi" w:hAnsi="Gadugi"/>
          <w:sz w:val="24"/>
          <w:szCs w:val="24"/>
        </w:rPr>
        <w:t>En su lugar:</w:t>
      </w:r>
    </w:p>
    <w:p w14:paraId="007FF2C4" w14:textId="47910752" w:rsidR="0042187B" w:rsidRPr="001844F0" w:rsidRDefault="0042187B" w:rsidP="001844F0">
      <w:pPr>
        <w:spacing w:line="276" w:lineRule="auto"/>
        <w:ind w:firstLine="2835"/>
        <w:jc w:val="both"/>
        <w:rPr>
          <w:rFonts w:ascii="Gadugi" w:hAnsi="Gadugi"/>
          <w:sz w:val="24"/>
          <w:szCs w:val="24"/>
        </w:rPr>
      </w:pPr>
    </w:p>
    <w:p w14:paraId="21D29E86" w14:textId="4A34665D" w:rsidR="0042187B" w:rsidRPr="001844F0" w:rsidRDefault="0042187B" w:rsidP="001844F0">
      <w:pPr>
        <w:spacing w:line="276" w:lineRule="auto"/>
        <w:ind w:firstLine="2835"/>
        <w:jc w:val="both"/>
        <w:rPr>
          <w:rFonts w:ascii="Gadugi" w:hAnsi="Gadugi"/>
          <w:sz w:val="24"/>
          <w:szCs w:val="24"/>
        </w:rPr>
      </w:pPr>
      <w:r w:rsidRPr="001844F0">
        <w:rPr>
          <w:rFonts w:ascii="Gadugi" w:hAnsi="Gadugi"/>
          <w:sz w:val="24"/>
          <w:szCs w:val="24"/>
        </w:rPr>
        <w:t xml:space="preserve">Se </w:t>
      </w:r>
      <w:r w:rsidRPr="001844F0">
        <w:rPr>
          <w:rFonts w:ascii="Gadugi" w:hAnsi="Gadugi"/>
          <w:b/>
          <w:sz w:val="24"/>
          <w:szCs w:val="24"/>
        </w:rPr>
        <w:t>CONCEDE</w:t>
      </w:r>
      <w:r w:rsidRPr="001844F0">
        <w:rPr>
          <w:rFonts w:ascii="Gadugi" w:hAnsi="Gadugi"/>
          <w:sz w:val="24"/>
          <w:szCs w:val="24"/>
        </w:rPr>
        <w:t xml:space="preserve"> la protección al derecho fundamental de petición del que es titular la accionante.</w:t>
      </w:r>
    </w:p>
    <w:p w14:paraId="5581AB86" w14:textId="5747D30D" w:rsidR="0042187B" w:rsidRPr="001844F0" w:rsidRDefault="0042187B" w:rsidP="001844F0">
      <w:pPr>
        <w:spacing w:line="276" w:lineRule="auto"/>
        <w:ind w:firstLine="2835"/>
        <w:jc w:val="both"/>
        <w:rPr>
          <w:rFonts w:ascii="Gadugi" w:hAnsi="Gadugi"/>
          <w:sz w:val="24"/>
          <w:szCs w:val="24"/>
        </w:rPr>
      </w:pPr>
    </w:p>
    <w:p w14:paraId="79788EAF" w14:textId="79A4FF72" w:rsidR="0042187B" w:rsidRPr="001844F0" w:rsidRDefault="0042187B" w:rsidP="001844F0">
      <w:pPr>
        <w:spacing w:line="276" w:lineRule="auto"/>
        <w:ind w:firstLine="2835"/>
        <w:jc w:val="both"/>
        <w:rPr>
          <w:rFonts w:ascii="Gadugi" w:hAnsi="Gadugi"/>
          <w:sz w:val="24"/>
          <w:szCs w:val="24"/>
        </w:rPr>
      </w:pPr>
      <w:r w:rsidRPr="001844F0">
        <w:rPr>
          <w:rFonts w:ascii="Gadugi" w:hAnsi="Gadugi"/>
          <w:sz w:val="24"/>
          <w:szCs w:val="24"/>
        </w:rPr>
        <w:t xml:space="preserve">Se le </w:t>
      </w:r>
      <w:r w:rsidRPr="001844F0">
        <w:rPr>
          <w:rFonts w:ascii="Gadugi" w:hAnsi="Gadugi"/>
          <w:b/>
          <w:bCs/>
          <w:sz w:val="24"/>
          <w:szCs w:val="24"/>
        </w:rPr>
        <w:t>ORDENA</w:t>
      </w:r>
      <w:r w:rsidRPr="001844F0">
        <w:rPr>
          <w:rFonts w:ascii="Gadugi" w:hAnsi="Gadugi"/>
          <w:sz w:val="24"/>
          <w:szCs w:val="24"/>
        </w:rPr>
        <w:t xml:space="preserve"> al </w:t>
      </w:r>
      <w:r w:rsidRPr="001844F0">
        <w:rPr>
          <w:rFonts w:ascii="Gadugi" w:hAnsi="Gadugi"/>
          <w:b/>
          <w:bCs/>
          <w:sz w:val="24"/>
          <w:szCs w:val="24"/>
        </w:rPr>
        <w:t>Director Legal de Prevención y Control de Lavado de Activos y Financiación del Terrorismo de la SFC</w:t>
      </w:r>
      <w:r w:rsidRPr="001844F0">
        <w:rPr>
          <w:rFonts w:ascii="Gadugi" w:hAnsi="Gadugi"/>
          <w:sz w:val="24"/>
          <w:szCs w:val="24"/>
        </w:rPr>
        <w:t xml:space="preserve"> que, en el término de 48 horas contados a partir de la notificación de esta providencia, conteste el derecho de petición elevado por la accionante el 29 de abril de 2021, siguiendo las directrices trazadas en esta providencia, esto es, al tenor de lo reglado en el artículo 21 del CPACA.</w:t>
      </w:r>
    </w:p>
    <w:p w14:paraId="41FDF482" w14:textId="77777777" w:rsidR="00346F15" w:rsidRPr="001844F0" w:rsidRDefault="00346F15" w:rsidP="001844F0">
      <w:pPr>
        <w:shd w:val="clear" w:color="auto" w:fill="FFFFFF"/>
        <w:spacing w:line="276" w:lineRule="auto"/>
        <w:jc w:val="both"/>
        <w:rPr>
          <w:rFonts w:ascii="Gadugi" w:hAnsi="Gadugi"/>
          <w:sz w:val="24"/>
          <w:szCs w:val="24"/>
          <w:bdr w:val="none" w:sz="0" w:space="0" w:color="auto" w:frame="1"/>
          <w:lang w:val="es-ES_tradnl"/>
        </w:rPr>
      </w:pPr>
    </w:p>
    <w:p w14:paraId="4699E8F5" w14:textId="1F4E2A19" w:rsidR="00346F15" w:rsidRPr="001844F0" w:rsidRDefault="00346F15" w:rsidP="001844F0">
      <w:pPr>
        <w:shd w:val="clear" w:color="auto" w:fill="FFFFFF" w:themeFill="background1"/>
        <w:spacing w:line="276" w:lineRule="auto"/>
        <w:jc w:val="both"/>
        <w:rPr>
          <w:rFonts w:ascii="Gadugi" w:hAnsi="Gadugi"/>
          <w:sz w:val="24"/>
          <w:szCs w:val="24"/>
        </w:rPr>
      </w:pPr>
      <w:r w:rsidRPr="001844F0">
        <w:rPr>
          <w:rFonts w:ascii="Gadugi" w:hAnsi="Gadugi"/>
          <w:sz w:val="24"/>
          <w:szCs w:val="24"/>
          <w:bdr w:val="none" w:sz="0" w:space="0" w:color="auto" w:frame="1"/>
        </w:rPr>
        <w:t xml:space="preserve">  </w:t>
      </w:r>
      <w:r w:rsidRPr="001844F0">
        <w:rPr>
          <w:rStyle w:val="apple-converted-space"/>
          <w:rFonts w:ascii="Gadugi" w:hAnsi="Gadugi"/>
          <w:sz w:val="24"/>
          <w:szCs w:val="24"/>
          <w:bdr w:val="none" w:sz="0" w:space="0" w:color="auto" w:frame="1"/>
          <w:lang w:val="es-419"/>
        </w:rPr>
        <w:t xml:space="preserve">   </w:t>
      </w:r>
      <w:r w:rsidRPr="001844F0">
        <w:rPr>
          <w:rStyle w:val="apple-converted-space"/>
          <w:rFonts w:ascii="Gadugi" w:hAnsi="Gadugi"/>
          <w:sz w:val="24"/>
          <w:szCs w:val="24"/>
          <w:bdr w:val="none" w:sz="0" w:space="0" w:color="auto" w:frame="1"/>
          <w:lang w:val="es-419"/>
        </w:rPr>
        <w:tab/>
      </w:r>
      <w:r w:rsidRPr="001844F0">
        <w:rPr>
          <w:rStyle w:val="apple-converted-space"/>
          <w:rFonts w:ascii="Gadugi" w:hAnsi="Gadugi"/>
          <w:sz w:val="24"/>
          <w:szCs w:val="24"/>
          <w:bdr w:val="none" w:sz="0" w:space="0" w:color="auto" w:frame="1"/>
          <w:lang w:val="es-419"/>
        </w:rPr>
        <w:tab/>
      </w:r>
      <w:r w:rsidRPr="001844F0">
        <w:rPr>
          <w:rStyle w:val="apple-converted-space"/>
          <w:rFonts w:ascii="Gadugi" w:hAnsi="Gadugi"/>
          <w:sz w:val="24"/>
          <w:szCs w:val="24"/>
          <w:bdr w:val="none" w:sz="0" w:space="0" w:color="auto" w:frame="1"/>
          <w:lang w:val="es-419"/>
        </w:rPr>
        <w:tab/>
      </w:r>
      <w:r w:rsidRPr="001844F0">
        <w:rPr>
          <w:rFonts w:ascii="Gadugi" w:hAnsi="Gadugi"/>
          <w:sz w:val="24"/>
          <w:szCs w:val="24"/>
        </w:rPr>
        <w:tab/>
        <w:t xml:space="preserve">Notifíquese esta decisión a las partes y demás interesados, en la forma prevista en el artículo 5º del Decreto 306 de 1992; oportunamente remítase el expediente a la Corte Constitucional para su eventual revisión. </w:t>
      </w:r>
    </w:p>
    <w:p w14:paraId="198ACEA8" w14:textId="77777777" w:rsidR="00346F15" w:rsidRPr="001844F0" w:rsidRDefault="00346F15" w:rsidP="001844F0">
      <w:pPr>
        <w:spacing w:line="276" w:lineRule="auto"/>
        <w:ind w:firstLine="2835"/>
        <w:jc w:val="both"/>
        <w:rPr>
          <w:rFonts w:ascii="Gadugi" w:hAnsi="Gadugi"/>
          <w:sz w:val="24"/>
          <w:szCs w:val="24"/>
        </w:rPr>
      </w:pPr>
    </w:p>
    <w:p w14:paraId="51B00556" w14:textId="77777777" w:rsidR="00346F15" w:rsidRPr="001844F0" w:rsidRDefault="00346F15" w:rsidP="001844F0">
      <w:pPr>
        <w:spacing w:line="276" w:lineRule="auto"/>
        <w:ind w:firstLine="2835"/>
        <w:jc w:val="both"/>
        <w:rPr>
          <w:rFonts w:ascii="Gadugi" w:hAnsi="Gadugi"/>
          <w:sz w:val="24"/>
          <w:szCs w:val="24"/>
        </w:rPr>
      </w:pPr>
      <w:r w:rsidRPr="001844F0">
        <w:rPr>
          <w:rFonts w:ascii="Gadugi" w:hAnsi="Gadugi"/>
          <w:bCs/>
          <w:sz w:val="24"/>
          <w:szCs w:val="24"/>
        </w:rPr>
        <w:t>Los Magistrados,</w:t>
      </w:r>
    </w:p>
    <w:p w14:paraId="197EB4BB" w14:textId="5C34438C" w:rsidR="00346F15" w:rsidRPr="001844F0" w:rsidRDefault="00346F15" w:rsidP="001844F0">
      <w:pPr>
        <w:spacing w:line="276" w:lineRule="auto"/>
        <w:ind w:firstLine="2835"/>
        <w:jc w:val="both"/>
        <w:rPr>
          <w:rFonts w:ascii="Gadugi" w:hAnsi="Gadugi"/>
          <w:sz w:val="24"/>
          <w:szCs w:val="24"/>
        </w:rPr>
      </w:pPr>
    </w:p>
    <w:p w14:paraId="5C103B22" w14:textId="77777777" w:rsidR="0011413F" w:rsidRPr="001844F0" w:rsidRDefault="0011413F" w:rsidP="001844F0">
      <w:pPr>
        <w:spacing w:line="276" w:lineRule="auto"/>
        <w:ind w:firstLine="2835"/>
        <w:jc w:val="both"/>
        <w:rPr>
          <w:rFonts w:ascii="Gadugi" w:hAnsi="Gadugi"/>
          <w:sz w:val="24"/>
          <w:szCs w:val="24"/>
        </w:rPr>
      </w:pPr>
    </w:p>
    <w:p w14:paraId="2CE83397" w14:textId="77777777" w:rsidR="00346F15" w:rsidRPr="001844F0" w:rsidRDefault="00346F15" w:rsidP="001844F0">
      <w:pPr>
        <w:spacing w:line="276" w:lineRule="auto"/>
        <w:ind w:firstLine="2835"/>
        <w:jc w:val="both"/>
        <w:rPr>
          <w:rFonts w:ascii="Gadugi" w:hAnsi="Gadugi"/>
          <w:b/>
          <w:sz w:val="24"/>
          <w:szCs w:val="24"/>
        </w:rPr>
      </w:pPr>
      <w:r w:rsidRPr="001844F0">
        <w:rPr>
          <w:rFonts w:ascii="Gadugi" w:hAnsi="Gadugi"/>
          <w:b/>
          <w:sz w:val="24"/>
          <w:szCs w:val="24"/>
        </w:rPr>
        <w:t>JAIME ALBERTO SARAZA NARANJO</w:t>
      </w:r>
    </w:p>
    <w:p w14:paraId="630FF089" w14:textId="648CAC22" w:rsidR="00346F15" w:rsidRPr="001844F0" w:rsidRDefault="00346F15" w:rsidP="001844F0">
      <w:pPr>
        <w:spacing w:line="276" w:lineRule="auto"/>
        <w:jc w:val="both"/>
        <w:rPr>
          <w:rFonts w:ascii="Gadugi" w:hAnsi="Gadugi"/>
          <w:bCs/>
          <w:sz w:val="24"/>
          <w:szCs w:val="24"/>
        </w:rPr>
      </w:pPr>
    </w:p>
    <w:p w14:paraId="03B4771C" w14:textId="77777777" w:rsidR="001844F0" w:rsidRPr="001844F0" w:rsidRDefault="001844F0" w:rsidP="001844F0">
      <w:pPr>
        <w:spacing w:line="276" w:lineRule="auto"/>
        <w:jc w:val="both"/>
        <w:rPr>
          <w:rFonts w:ascii="Gadugi" w:hAnsi="Gadugi"/>
          <w:bCs/>
          <w:sz w:val="24"/>
          <w:szCs w:val="24"/>
        </w:rPr>
      </w:pPr>
    </w:p>
    <w:p w14:paraId="7BDE355F" w14:textId="1DDF6EBA" w:rsidR="003F6405" w:rsidRPr="001844F0" w:rsidRDefault="003F6405" w:rsidP="001844F0">
      <w:pPr>
        <w:spacing w:line="276" w:lineRule="auto"/>
        <w:jc w:val="both"/>
        <w:rPr>
          <w:rFonts w:ascii="Gadugi" w:hAnsi="Gadugi"/>
          <w:b/>
          <w:bCs/>
          <w:sz w:val="24"/>
          <w:szCs w:val="24"/>
        </w:rPr>
      </w:pPr>
      <w:r w:rsidRPr="001844F0">
        <w:rPr>
          <w:rFonts w:ascii="Gadugi" w:hAnsi="Gadugi"/>
          <w:b/>
          <w:bCs/>
          <w:sz w:val="24"/>
          <w:szCs w:val="24"/>
        </w:rPr>
        <w:tab/>
      </w:r>
      <w:r w:rsidRPr="001844F0">
        <w:rPr>
          <w:rFonts w:ascii="Gadugi" w:hAnsi="Gadugi"/>
          <w:b/>
          <w:bCs/>
          <w:sz w:val="24"/>
          <w:szCs w:val="24"/>
        </w:rPr>
        <w:tab/>
      </w:r>
      <w:r w:rsidRPr="001844F0">
        <w:rPr>
          <w:rFonts w:ascii="Gadugi" w:hAnsi="Gadugi"/>
          <w:b/>
          <w:bCs/>
          <w:sz w:val="24"/>
          <w:szCs w:val="24"/>
        </w:rPr>
        <w:tab/>
      </w:r>
      <w:r w:rsidRPr="001844F0">
        <w:rPr>
          <w:rFonts w:ascii="Gadugi" w:hAnsi="Gadugi"/>
          <w:b/>
          <w:bCs/>
          <w:sz w:val="24"/>
          <w:szCs w:val="24"/>
        </w:rPr>
        <w:tab/>
      </w:r>
      <w:r w:rsidR="00346F15" w:rsidRPr="001844F0">
        <w:rPr>
          <w:rFonts w:ascii="Gadugi" w:hAnsi="Gadugi"/>
          <w:b/>
          <w:bCs/>
          <w:sz w:val="24"/>
          <w:szCs w:val="24"/>
        </w:rPr>
        <w:t>CARLOS MAURICIO GARCÍA BARAJAS</w:t>
      </w:r>
      <w:r w:rsidRPr="001844F0">
        <w:rPr>
          <w:rFonts w:ascii="Gadugi" w:hAnsi="Gadugi"/>
          <w:b/>
          <w:bCs/>
          <w:sz w:val="24"/>
          <w:szCs w:val="24"/>
        </w:rPr>
        <w:t xml:space="preserve"> </w:t>
      </w:r>
    </w:p>
    <w:p w14:paraId="1FA79004" w14:textId="3D4A3015" w:rsidR="003F6405" w:rsidRPr="001844F0" w:rsidRDefault="003F6405" w:rsidP="001844F0">
      <w:pPr>
        <w:spacing w:line="276" w:lineRule="auto"/>
        <w:jc w:val="both"/>
        <w:rPr>
          <w:rFonts w:ascii="Gadugi" w:hAnsi="Gadugi"/>
          <w:bCs/>
          <w:sz w:val="24"/>
          <w:szCs w:val="24"/>
        </w:rPr>
      </w:pPr>
    </w:p>
    <w:p w14:paraId="62237755" w14:textId="77777777" w:rsidR="001844F0" w:rsidRPr="001844F0" w:rsidRDefault="001844F0" w:rsidP="001844F0">
      <w:pPr>
        <w:spacing w:line="276" w:lineRule="auto"/>
        <w:jc w:val="both"/>
        <w:rPr>
          <w:rFonts w:ascii="Gadugi" w:hAnsi="Gadugi"/>
          <w:bCs/>
          <w:sz w:val="24"/>
          <w:szCs w:val="24"/>
        </w:rPr>
      </w:pPr>
    </w:p>
    <w:p w14:paraId="314DF810" w14:textId="4ABD4E31" w:rsidR="00C76837" w:rsidRPr="001844F0" w:rsidRDefault="003F6405" w:rsidP="001844F0">
      <w:pPr>
        <w:spacing w:line="276" w:lineRule="auto"/>
        <w:jc w:val="both"/>
        <w:rPr>
          <w:rFonts w:ascii="Gadugi" w:hAnsi="Gadugi"/>
          <w:b/>
          <w:bCs/>
          <w:sz w:val="24"/>
          <w:szCs w:val="24"/>
        </w:rPr>
      </w:pPr>
      <w:r w:rsidRPr="001844F0">
        <w:rPr>
          <w:rFonts w:ascii="Gadugi" w:hAnsi="Gadugi"/>
          <w:b/>
          <w:bCs/>
          <w:sz w:val="24"/>
          <w:szCs w:val="24"/>
        </w:rPr>
        <w:tab/>
      </w:r>
      <w:r w:rsidRPr="001844F0">
        <w:rPr>
          <w:rFonts w:ascii="Gadugi" w:hAnsi="Gadugi"/>
          <w:b/>
          <w:bCs/>
          <w:sz w:val="24"/>
          <w:szCs w:val="24"/>
        </w:rPr>
        <w:tab/>
      </w:r>
      <w:r w:rsidRPr="001844F0">
        <w:rPr>
          <w:rFonts w:ascii="Gadugi" w:hAnsi="Gadugi"/>
          <w:b/>
          <w:bCs/>
          <w:sz w:val="24"/>
          <w:szCs w:val="24"/>
        </w:rPr>
        <w:tab/>
      </w:r>
      <w:r w:rsidRPr="001844F0">
        <w:rPr>
          <w:rFonts w:ascii="Gadugi" w:hAnsi="Gadugi"/>
          <w:b/>
          <w:bCs/>
          <w:sz w:val="24"/>
          <w:szCs w:val="24"/>
        </w:rPr>
        <w:tab/>
        <w:t>D</w:t>
      </w:r>
      <w:r w:rsidR="00346F15" w:rsidRPr="001844F0">
        <w:rPr>
          <w:rFonts w:ascii="Gadugi" w:hAnsi="Gadugi"/>
          <w:b/>
          <w:bCs/>
          <w:sz w:val="24"/>
          <w:szCs w:val="24"/>
        </w:rPr>
        <w:t>UBERNEY GRISALES HERRERA</w:t>
      </w:r>
    </w:p>
    <w:sectPr w:rsidR="00C76837" w:rsidRPr="001844F0" w:rsidSect="001844F0">
      <w:headerReference w:type="even" r:id="rId11"/>
      <w:headerReference w:type="default" r:id="rId12"/>
      <w:footerReference w:type="even" r:id="rId13"/>
      <w:footerReference w:type="default" r:id="rId14"/>
      <w:headerReference w:type="first" r:id="rId15"/>
      <w:footerReference w:type="first" r:id="rId16"/>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88819B" w16cex:dateUtc="2021-07-06T15:54:34.382Z"/>
  <w16cex:commentExtensible w16cex:durableId="2A77A314" w16cex:dateUtc="2021-07-06T19:15:53.087Z"/>
  <w16cex:commentExtensible w16cex:durableId="2AE211D0" w16cex:dateUtc="2021-08-18T13:50:06.851Z"/>
  <w16cex:commentExtensible w16cex:durableId="49D0D6D8" w16cex:dateUtc="2021-08-18T13:50:46.908Z"/>
  <w16cex:commentExtensible w16cex:durableId="624BD5CA" w16cex:dateUtc="2021-08-18T13:51:01.384Z"/>
  <w16cex:commentExtensible w16cex:durableId="46B391FA" w16cex:dateUtc="2021-08-18T19:17:42.401Z"/>
  <w16cex:commentExtensible w16cex:durableId="017F5B15" w16cex:dateUtc="2021-08-18T19:19:33.862Z"/>
  <w16cex:commentExtensible w16cex:durableId="60D2D932" w16cex:dateUtc="2021-08-18T19:20:35.7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6D12" w14:textId="77777777" w:rsidR="008E5506" w:rsidRDefault="008E5506">
      <w:r>
        <w:separator/>
      </w:r>
    </w:p>
  </w:endnote>
  <w:endnote w:type="continuationSeparator" w:id="0">
    <w:p w14:paraId="1B94431E" w14:textId="77777777" w:rsidR="008E5506" w:rsidRDefault="008E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56B4" w14:textId="77777777" w:rsidR="00CD5802" w:rsidRDefault="00CD58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DB9FACE" w:rsidR="008574F2" w:rsidRPr="00CD5802" w:rsidRDefault="008574F2">
    <w:pPr>
      <w:pStyle w:val="Piedepgina"/>
      <w:framePr w:wrap="auto" w:vAnchor="text" w:hAnchor="margin" w:xAlign="right" w:y="1"/>
      <w:rPr>
        <w:rStyle w:val="Nmerodepgina"/>
        <w:rFonts w:ascii="Arial" w:hAnsi="Arial" w:cs="Arial"/>
        <w:noProof/>
        <w:sz w:val="18"/>
      </w:rPr>
    </w:pPr>
    <w:r w:rsidRPr="00CD5802">
      <w:rPr>
        <w:rStyle w:val="Nmerodepgina"/>
        <w:rFonts w:ascii="Arial" w:hAnsi="Arial" w:cs="Arial"/>
        <w:noProof/>
        <w:sz w:val="18"/>
      </w:rPr>
      <w:fldChar w:fldCharType="begin"/>
    </w:r>
    <w:r w:rsidRPr="00CD5802">
      <w:rPr>
        <w:rStyle w:val="Nmerodepgina"/>
        <w:rFonts w:ascii="Arial" w:hAnsi="Arial" w:cs="Arial"/>
        <w:noProof/>
        <w:sz w:val="18"/>
      </w:rPr>
      <w:instrText xml:space="preserve">PAGE  </w:instrText>
    </w:r>
    <w:r w:rsidRPr="00CD5802">
      <w:rPr>
        <w:rStyle w:val="Nmerodepgina"/>
        <w:rFonts w:ascii="Arial" w:hAnsi="Arial" w:cs="Arial"/>
        <w:noProof/>
        <w:sz w:val="18"/>
      </w:rPr>
      <w:fldChar w:fldCharType="separate"/>
    </w:r>
    <w:r w:rsidRPr="00CD5802">
      <w:rPr>
        <w:rStyle w:val="Nmerodepgina"/>
        <w:rFonts w:ascii="Arial" w:hAnsi="Arial" w:cs="Arial"/>
        <w:noProof/>
        <w:sz w:val="18"/>
      </w:rPr>
      <w:t>2</w:t>
    </w:r>
    <w:r w:rsidRPr="00CD5802">
      <w:rPr>
        <w:rStyle w:val="Nmerodepgina"/>
        <w:rFonts w:ascii="Arial" w:hAnsi="Arial" w:cs="Arial"/>
        <w:noProof/>
        <w:sz w:val="18"/>
      </w:rPr>
      <w:fldChar w:fldCharType="end"/>
    </w:r>
  </w:p>
  <w:p w14:paraId="09B51385" w14:textId="77777777" w:rsidR="008574F2" w:rsidRDefault="008574F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7CF6" w14:textId="77777777" w:rsidR="00CD5802" w:rsidRDefault="00CD58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B8126" w14:textId="77777777" w:rsidR="008E5506" w:rsidRDefault="008E5506">
      <w:r>
        <w:separator/>
      </w:r>
    </w:p>
  </w:footnote>
  <w:footnote w:type="continuationSeparator" w:id="0">
    <w:p w14:paraId="42FCBC2A" w14:textId="77777777" w:rsidR="008E5506" w:rsidRDefault="008E5506">
      <w:r>
        <w:continuationSeparator/>
      </w:r>
    </w:p>
  </w:footnote>
  <w:footnote w:id="1">
    <w:p w14:paraId="3C3631BD" w14:textId="6DABA64B" w:rsidR="0042187B" w:rsidRPr="0094701B" w:rsidRDefault="0042187B">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w:t>
      </w:r>
      <w:r w:rsidRPr="0094701B">
        <w:rPr>
          <w:rFonts w:ascii="Agency FB" w:hAnsi="Agency FB" w:cstheme="majorHAnsi"/>
          <w:sz w:val="24"/>
          <w:szCs w:val="24"/>
          <w:lang w:val="es-CO"/>
        </w:rPr>
        <w:t xml:space="preserve">Documento 01., C. 1. </w:t>
      </w:r>
    </w:p>
  </w:footnote>
  <w:footnote w:id="2">
    <w:p w14:paraId="3B6A4B3B" w14:textId="677EDF34" w:rsidR="0042187B" w:rsidRPr="0094701B" w:rsidRDefault="0042187B">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w:t>
      </w:r>
      <w:r w:rsidRPr="0094701B">
        <w:rPr>
          <w:rFonts w:ascii="Agency FB" w:hAnsi="Agency FB" w:cstheme="majorHAnsi"/>
          <w:sz w:val="24"/>
          <w:szCs w:val="24"/>
          <w:lang w:val="es-CO"/>
        </w:rPr>
        <w:t>Documento 04., C. 1.</w:t>
      </w:r>
    </w:p>
  </w:footnote>
  <w:footnote w:id="3">
    <w:p w14:paraId="54E3AD31" w14:textId="6489594C" w:rsidR="0042187B" w:rsidRPr="0094701B" w:rsidRDefault="0042187B">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w:t>
      </w:r>
      <w:r w:rsidRPr="0094701B">
        <w:rPr>
          <w:rFonts w:ascii="Agency FB" w:hAnsi="Agency FB" w:cstheme="majorHAnsi"/>
          <w:sz w:val="24"/>
          <w:szCs w:val="24"/>
          <w:lang w:val="es-CO"/>
        </w:rPr>
        <w:t>Documento 09., C. 1.</w:t>
      </w:r>
    </w:p>
  </w:footnote>
  <w:footnote w:id="4">
    <w:p w14:paraId="4B40C388" w14:textId="4B456027" w:rsidR="0042187B" w:rsidRPr="0094701B" w:rsidRDefault="0042187B">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w:t>
      </w:r>
      <w:r w:rsidRPr="0094701B">
        <w:rPr>
          <w:rFonts w:ascii="Agency FB" w:hAnsi="Agency FB" w:cstheme="majorHAnsi"/>
          <w:sz w:val="24"/>
          <w:szCs w:val="24"/>
          <w:lang w:val="es-CO"/>
        </w:rPr>
        <w:t>Documento 23., C. 1.</w:t>
      </w:r>
    </w:p>
  </w:footnote>
  <w:footnote w:id="5">
    <w:p w14:paraId="29B01BFC" w14:textId="10667447" w:rsidR="0042187B" w:rsidRPr="0094701B" w:rsidRDefault="0042187B">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w:t>
      </w:r>
      <w:r w:rsidRPr="0094701B">
        <w:rPr>
          <w:rFonts w:ascii="Agency FB" w:hAnsi="Agency FB" w:cstheme="majorHAnsi"/>
          <w:sz w:val="24"/>
          <w:szCs w:val="24"/>
          <w:lang w:val="es-CO"/>
        </w:rPr>
        <w:t>Documento 27., C. 1.</w:t>
      </w:r>
    </w:p>
  </w:footnote>
  <w:footnote w:id="6">
    <w:p w14:paraId="44A2AED7" w14:textId="45877D4B" w:rsidR="005F2F2E" w:rsidRPr="0094701B" w:rsidRDefault="005F2F2E">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w:t>
      </w:r>
      <w:r w:rsidRPr="0094701B">
        <w:rPr>
          <w:rFonts w:ascii="Agency FB" w:hAnsi="Agency FB" w:cstheme="majorHAnsi"/>
          <w:sz w:val="24"/>
          <w:szCs w:val="24"/>
          <w:lang w:val="es-CO"/>
        </w:rPr>
        <w:t>Pág. 108, Documento 01. C. 1.</w:t>
      </w:r>
    </w:p>
  </w:footnote>
  <w:footnote w:id="7">
    <w:p w14:paraId="52EEBB0F" w14:textId="0E5180E3" w:rsidR="004428F2" w:rsidRPr="0094701B" w:rsidRDefault="004428F2">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w:t>
      </w:r>
      <w:r w:rsidRPr="0094701B">
        <w:rPr>
          <w:rFonts w:ascii="Agency FB" w:hAnsi="Agency FB" w:cstheme="majorHAnsi"/>
          <w:sz w:val="24"/>
          <w:szCs w:val="24"/>
          <w:lang w:val="es-CO"/>
        </w:rPr>
        <w:t>Pág. 34, Documento 01. C. 1.</w:t>
      </w:r>
    </w:p>
  </w:footnote>
  <w:footnote w:id="8">
    <w:p w14:paraId="2818D711" w14:textId="77777777" w:rsidR="005F2F2E" w:rsidRPr="0094701B" w:rsidRDefault="005F2F2E" w:rsidP="005F2F2E">
      <w:pPr>
        <w:pStyle w:val="Textonotapie"/>
        <w:jc w:val="both"/>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Sentencias T-192 de 2007, T-</w:t>
      </w:r>
      <w:r w:rsidRPr="0094701B">
        <w:rPr>
          <w:rFonts w:ascii="Agency FB" w:hAnsi="Agency FB" w:cstheme="majorHAnsi"/>
          <w:sz w:val="24"/>
          <w:szCs w:val="24"/>
          <w:lang w:val="es-419"/>
        </w:rPr>
        <w:t xml:space="preserve">481 de 2016, T-274 de 2020, entre otras. </w:t>
      </w:r>
    </w:p>
  </w:footnote>
  <w:footnote w:id="9">
    <w:p w14:paraId="7C7225E6" w14:textId="43B80D84" w:rsidR="00B04442" w:rsidRPr="0094701B" w:rsidRDefault="00B04442">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w:t>
      </w:r>
      <w:r w:rsidRPr="0094701B">
        <w:rPr>
          <w:rFonts w:ascii="Agency FB" w:hAnsi="Agency FB" w:cstheme="majorHAnsi"/>
          <w:sz w:val="24"/>
          <w:szCs w:val="24"/>
          <w:lang w:val="es-CO"/>
        </w:rPr>
        <w:t>Pág. 5, Documento 01, C. 1.</w:t>
      </w:r>
    </w:p>
  </w:footnote>
  <w:footnote w:id="10">
    <w:p w14:paraId="0F48E0F0" w14:textId="465929C9" w:rsidR="00B04442" w:rsidRPr="0094701B" w:rsidRDefault="00B04442">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w:t>
      </w:r>
      <w:r w:rsidRPr="0094701B">
        <w:rPr>
          <w:rFonts w:ascii="Agency FB" w:hAnsi="Agency FB" w:cstheme="majorHAnsi"/>
          <w:sz w:val="24"/>
          <w:szCs w:val="24"/>
          <w:lang w:val="es-CO"/>
        </w:rPr>
        <w:t>Documento 10, C. 1.</w:t>
      </w:r>
    </w:p>
  </w:footnote>
  <w:footnote w:id="11">
    <w:p w14:paraId="0E8A5B83" w14:textId="4BF6C87D" w:rsidR="004428F2" w:rsidRPr="0094701B" w:rsidRDefault="004428F2">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https://www.superfinanciera.gov.co/inicio/normativa/sistema-de-administracion-de-riesgo-de-lavado-de-activos-y-financiacion-del-terrorismo-10086577</w:t>
      </w:r>
    </w:p>
  </w:footnote>
  <w:footnote w:id="12">
    <w:p w14:paraId="79865554" w14:textId="7D2894A3" w:rsidR="00B04442" w:rsidRPr="0094701B" w:rsidRDefault="00B04442">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Pág. 8, Documento 01, C. 1.</w:t>
      </w:r>
    </w:p>
  </w:footnote>
  <w:footnote w:id="13">
    <w:p w14:paraId="08ADFA30" w14:textId="3A6FBAAC" w:rsidR="00B04442" w:rsidRPr="0094701B" w:rsidRDefault="00B04442">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Pág. 10, Documento 01, C. 1.</w:t>
      </w:r>
    </w:p>
  </w:footnote>
  <w:footnote w:id="14">
    <w:p w14:paraId="585F66A6" w14:textId="70404229" w:rsidR="00B04442" w:rsidRPr="0094701B" w:rsidRDefault="00B04442">
      <w:pPr>
        <w:pStyle w:val="Textonotapie"/>
        <w:rPr>
          <w:rFonts w:ascii="Agency FB" w:hAnsi="Agency FB" w:cstheme="majorHAnsi"/>
          <w:sz w:val="24"/>
          <w:szCs w:val="24"/>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Pág. 11, Documento 01, C. 1.</w:t>
      </w:r>
    </w:p>
  </w:footnote>
  <w:footnote w:id="15">
    <w:p w14:paraId="0A209141" w14:textId="1EC82E27" w:rsidR="00B04442" w:rsidRPr="00B32AB2" w:rsidRDefault="00B04442">
      <w:pPr>
        <w:pStyle w:val="Textonotapie"/>
        <w:rPr>
          <w:rFonts w:asciiTheme="majorHAnsi" w:hAnsiTheme="majorHAnsi" w:cstheme="majorHAnsi"/>
          <w:sz w:val="26"/>
          <w:szCs w:val="26"/>
          <w:lang w:val="es-CO"/>
        </w:rPr>
      </w:pPr>
      <w:r w:rsidRPr="0094701B">
        <w:rPr>
          <w:rStyle w:val="Refdenotaalpie"/>
          <w:rFonts w:ascii="Agency FB" w:hAnsi="Agency FB" w:cstheme="majorHAnsi"/>
          <w:sz w:val="24"/>
          <w:szCs w:val="24"/>
        </w:rPr>
        <w:footnoteRef/>
      </w:r>
      <w:r w:rsidRPr="0094701B">
        <w:rPr>
          <w:rFonts w:ascii="Agency FB" w:hAnsi="Agency FB" w:cstheme="majorHAnsi"/>
          <w:sz w:val="24"/>
          <w:szCs w:val="24"/>
        </w:rPr>
        <w:t xml:space="preserve"> Pág. 17, Documento 01, C. 1.</w:t>
      </w:r>
    </w:p>
  </w:footnote>
  <w:footnote w:id="16">
    <w:p w14:paraId="13CAAE65" w14:textId="5B6C5EBC" w:rsidR="00B04442" w:rsidRPr="003620C7" w:rsidRDefault="00B04442">
      <w:pPr>
        <w:pStyle w:val="Textonotapie"/>
        <w:rPr>
          <w:rFonts w:ascii="Agency FB" w:hAnsi="Agency FB" w:cstheme="majorHAnsi"/>
          <w:sz w:val="24"/>
          <w:szCs w:val="24"/>
          <w:lang w:val="es-CO"/>
        </w:rPr>
      </w:pPr>
      <w:r w:rsidRPr="003620C7">
        <w:rPr>
          <w:rStyle w:val="Refdenotaalpie"/>
          <w:rFonts w:ascii="Agency FB" w:hAnsi="Agency FB" w:cstheme="majorHAnsi"/>
          <w:sz w:val="24"/>
          <w:szCs w:val="24"/>
        </w:rPr>
        <w:footnoteRef/>
      </w:r>
      <w:r w:rsidRPr="003620C7">
        <w:rPr>
          <w:rFonts w:ascii="Agency FB" w:hAnsi="Agency FB" w:cstheme="majorHAnsi"/>
          <w:sz w:val="24"/>
          <w:szCs w:val="24"/>
        </w:rPr>
        <w:t xml:space="preserve"> Págs. 20 y 23, Documento 01, C. 1.</w:t>
      </w:r>
    </w:p>
  </w:footnote>
  <w:footnote w:id="17">
    <w:p w14:paraId="7A8A15B2" w14:textId="28612843" w:rsidR="00B04442" w:rsidRPr="00B32AB2" w:rsidRDefault="00B04442">
      <w:pPr>
        <w:pStyle w:val="Textonotapie"/>
        <w:rPr>
          <w:rFonts w:asciiTheme="majorHAnsi" w:hAnsiTheme="majorHAnsi" w:cstheme="majorHAnsi"/>
          <w:sz w:val="26"/>
          <w:szCs w:val="26"/>
          <w:lang w:val="es-CO"/>
        </w:rPr>
      </w:pPr>
      <w:r w:rsidRPr="003620C7">
        <w:rPr>
          <w:rStyle w:val="Refdenotaalpie"/>
          <w:rFonts w:ascii="Agency FB" w:hAnsi="Agency FB" w:cstheme="majorHAnsi"/>
          <w:sz w:val="24"/>
          <w:szCs w:val="24"/>
        </w:rPr>
        <w:footnoteRef/>
      </w:r>
      <w:r w:rsidRPr="003620C7">
        <w:rPr>
          <w:rFonts w:ascii="Agency FB" w:hAnsi="Agency FB" w:cstheme="majorHAnsi"/>
          <w:sz w:val="24"/>
          <w:szCs w:val="24"/>
        </w:rPr>
        <w:t xml:space="preserve"> Pág. 27 Documento 01,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EA2F" w14:textId="77777777" w:rsidR="00CD5802" w:rsidRDefault="00CD58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8574F2" w:rsidRDefault="008574F2" w:rsidP="00DB0C4F">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728E" w14:textId="77777777" w:rsidR="00CD5802" w:rsidRDefault="00CD58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7232CA7"/>
    <w:multiLevelType w:val="hybridMultilevel"/>
    <w:tmpl w:val="27D8EB4E"/>
    <w:lvl w:ilvl="0" w:tplc="B268F596">
      <w:start w:val="1"/>
      <w:numFmt w:val="lowerRoman"/>
      <w:lvlText w:val="(%1)"/>
      <w:lvlJc w:val="left"/>
      <w:pPr>
        <w:ind w:left="3555" w:hanging="720"/>
      </w:pPr>
      <w:rPr>
        <w:rFonts w:hint="default"/>
        <w:i w:val="0"/>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7"/>
  </w:num>
  <w:num w:numId="3">
    <w:abstractNumId w:val="0"/>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D3C"/>
    <w:rsid w:val="00006EAE"/>
    <w:rsid w:val="00010988"/>
    <w:rsid w:val="00014140"/>
    <w:rsid w:val="00014711"/>
    <w:rsid w:val="0001518C"/>
    <w:rsid w:val="00015363"/>
    <w:rsid w:val="000156AF"/>
    <w:rsid w:val="00015F39"/>
    <w:rsid w:val="00020D2E"/>
    <w:rsid w:val="00022471"/>
    <w:rsid w:val="00022A9B"/>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0F7C"/>
    <w:rsid w:val="000615A6"/>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1CDE"/>
    <w:rsid w:val="0008423E"/>
    <w:rsid w:val="00084A58"/>
    <w:rsid w:val="000856F2"/>
    <w:rsid w:val="00085DA6"/>
    <w:rsid w:val="00086455"/>
    <w:rsid w:val="00090288"/>
    <w:rsid w:val="000909D5"/>
    <w:rsid w:val="000924F6"/>
    <w:rsid w:val="00093BF3"/>
    <w:rsid w:val="00096636"/>
    <w:rsid w:val="000973B0"/>
    <w:rsid w:val="000A0F16"/>
    <w:rsid w:val="000A1168"/>
    <w:rsid w:val="000A190D"/>
    <w:rsid w:val="000A6483"/>
    <w:rsid w:val="000A680B"/>
    <w:rsid w:val="000A7668"/>
    <w:rsid w:val="000A782C"/>
    <w:rsid w:val="000B3C99"/>
    <w:rsid w:val="000B3F99"/>
    <w:rsid w:val="000B4A83"/>
    <w:rsid w:val="000B6008"/>
    <w:rsid w:val="000B6144"/>
    <w:rsid w:val="000B7D30"/>
    <w:rsid w:val="000B7F20"/>
    <w:rsid w:val="000C09D0"/>
    <w:rsid w:val="000C23FB"/>
    <w:rsid w:val="000C281C"/>
    <w:rsid w:val="000C29C6"/>
    <w:rsid w:val="000C2D03"/>
    <w:rsid w:val="000C3319"/>
    <w:rsid w:val="000C38A3"/>
    <w:rsid w:val="000C3A66"/>
    <w:rsid w:val="000C4260"/>
    <w:rsid w:val="000C7410"/>
    <w:rsid w:val="000D0260"/>
    <w:rsid w:val="000D03E9"/>
    <w:rsid w:val="000D171E"/>
    <w:rsid w:val="000D2010"/>
    <w:rsid w:val="000D410B"/>
    <w:rsid w:val="000D5E46"/>
    <w:rsid w:val="000D7AAB"/>
    <w:rsid w:val="000E029D"/>
    <w:rsid w:val="000E0732"/>
    <w:rsid w:val="000E282A"/>
    <w:rsid w:val="000F1000"/>
    <w:rsid w:val="000F25A4"/>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413F"/>
    <w:rsid w:val="001175C9"/>
    <w:rsid w:val="00117685"/>
    <w:rsid w:val="00117F57"/>
    <w:rsid w:val="0012009B"/>
    <w:rsid w:val="001214BB"/>
    <w:rsid w:val="00121940"/>
    <w:rsid w:val="001219F0"/>
    <w:rsid w:val="00121E68"/>
    <w:rsid w:val="001242A2"/>
    <w:rsid w:val="00125981"/>
    <w:rsid w:val="00125B49"/>
    <w:rsid w:val="00126D1D"/>
    <w:rsid w:val="001305E5"/>
    <w:rsid w:val="001316AB"/>
    <w:rsid w:val="0013219C"/>
    <w:rsid w:val="001340F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31C4"/>
    <w:rsid w:val="00162CBA"/>
    <w:rsid w:val="0016343F"/>
    <w:rsid w:val="00163A18"/>
    <w:rsid w:val="00164491"/>
    <w:rsid w:val="00166CD7"/>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3A6C"/>
    <w:rsid w:val="001844F0"/>
    <w:rsid w:val="00186FD9"/>
    <w:rsid w:val="00191F37"/>
    <w:rsid w:val="00193218"/>
    <w:rsid w:val="0019321D"/>
    <w:rsid w:val="0019385F"/>
    <w:rsid w:val="00194089"/>
    <w:rsid w:val="001942CB"/>
    <w:rsid w:val="001950B5"/>
    <w:rsid w:val="0019664C"/>
    <w:rsid w:val="001A27B4"/>
    <w:rsid w:val="001A28ED"/>
    <w:rsid w:val="001A2A3F"/>
    <w:rsid w:val="001A47C2"/>
    <w:rsid w:val="001A4D30"/>
    <w:rsid w:val="001A6E16"/>
    <w:rsid w:val="001B010C"/>
    <w:rsid w:val="001B0338"/>
    <w:rsid w:val="001B21F1"/>
    <w:rsid w:val="001B31D1"/>
    <w:rsid w:val="001B3E1A"/>
    <w:rsid w:val="001B5E4E"/>
    <w:rsid w:val="001B755F"/>
    <w:rsid w:val="001B7570"/>
    <w:rsid w:val="001C15D0"/>
    <w:rsid w:val="001C1805"/>
    <w:rsid w:val="001C2427"/>
    <w:rsid w:val="001C5B8A"/>
    <w:rsid w:val="001C5E31"/>
    <w:rsid w:val="001C5EE7"/>
    <w:rsid w:val="001C6B76"/>
    <w:rsid w:val="001C7197"/>
    <w:rsid w:val="001D0067"/>
    <w:rsid w:val="001D0492"/>
    <w:rsid w:val="001D2512"/>
    <w:rsid w:val="001D7B5A"/>
    <w:rsid w:val="001D7E6B"/>
    <w:rsid w:val="001E0EC7"/>
    <w:rsid w:val="001E3830"/>
    <w:rsid w:val="001E44E4"/>
    <w:rsid w:val="001E4AAE"/>
    <w:rsid w:val="001E6059"/>
    <w:rsid w:val="001F2F25"/>
    <w:rsid w:val="001F3AD8"/>
    <w:rsid w:val="001F3CFE"/>
    <w:rsid w:val="001F5193"/>
    <w:rsid w:val="001F6C51"/>
    <w:rsid w:val="00204893"/>
    <w:rsid w:val="00204F67"/>
    <w:rsid w:val="00205F93"/>
    <w:rsid w:val="002106A9"/>
    <w:rsid w:val="00213386"/>
    <w:rsid w:val="00213A64"/>
    <w:rsid w:val="00213E12"/>
    <w:rsid w:val="002142C8"/>
    <w:rsid w:val="002160F0"/>
    <w:rsid w:val="0022149F"/>
    <w:rsid w:val="002228CF"/>
    <w:rsid w:val="00226DE8"/>
    <w:rsid w:val="002278A0"/>
    <w:rsid w:val="00227A22"/>
    <w:rsid w:val="002320D3"/>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747C"/>
    <w:rsid w:val="002474E7"/>
    <w:rsid w:val="0025116F"/>
    <w:rsid w:val="0025296C"/>
    <w:rsid w:val="00252980"/>
    <w:rsid w:val="00252CF1"/>
    <w:rsid w:val="002533CA"/>
    <w:rsid w:val="00253809"/>
    <w:rsid w:val="0025442B"/>
    <w:rsid w:val="00254A77"/>
    <w:rsid w:val="00255041"/>
    <w:rsid w:val="0026000E"/>
    <w:rsid w:val="00261859"/>
    <w:rsid w:val="0026315C"/>
    <w:rsid w:val="0026358E"/>
    <w:rsid w:val="00265715"/>
    <w:rsid w:val="00265CFE"/>
    <w:rsid w:val="00270829"/>
    <w:rsid w:val="0027143F"/>
    <w:rsid w:val="00273228"/>
    <w:rsid w:val="00276FE2"/>
    <w:rsid w:val="00277762"/>
    <w:rsid w:val="002779A5"/>
    <w:rsid w:val="002831FB"/>
    <w:rsid w:val="00283368"/>
    <w:rsid w:val="00284153"/>
    <w:rsid w:val="00286409"/>
    <w:rsid w:val="00287F32"/>
    <w:rsid w:val="0029014D"/>
    <w:rsid w:val="00290521"/>
    <w:rsid w:val="00290DF2"/>
    <w:rsid w:val="002918AC"/>
    <w:rsid w:val="00291DB4"/>
    <w:rsid w:val="00292BDA"/>
    <w:rsid w:val="00293428"/>
    <w:rsid w:val="002954D5"/>
    <w:rsid w:val="0029626D"/>
    <w:rsid w:val="00296375"/>
    <w:rsid w:val="002965FA"/>
    <w:rsid w:val="002A06D1"/>
    <w:rsid w:val="002A1C97"/>
    <w:rsid w:val="002A21CF"/>
    <w:rsid w:val="002A2911"/>
    <w:rsid w:val="002A3471"/>
    <w:rsid w:val="002A4096"/>
    <w:rsid w:val="002A48F1"/>
    <w:rsid w:val="002A6CC7"/>
    <w:rsid w:val="002B1090"/>
    <w:rsid w:val="002B1F1B"/>
    <w:rsid w:val="002B3895"/>
    <w:rsid w:val="002B5F22"/>
    <w:rsid w:val="002B7C3F"/>
    <w:rsid w:val="002B7D13"/>
    <w:rsid w:val="002C052B"/>
    <w:rsid w:val="002C1C47"/>
    <w:rsid w:val="002C2E95"/>
    <w:rsid w:val="002C473B"/>
    <w:rsid w:val="002C4E1A"/>
    <w:rsid w:val="002C547A"/>
    <w:rsid w:val="002C64BD"/>
    <w:rsid w:val="002C6F56"/>
    <w:rsid w:val="002D106B"/>
    <w:rsid w:val="002D14FD"/>
    <w:rsid w:val="002D2156"/>
    <w:rsid w:val="002D3FC2"/>
    <w:rsid w:val="002D6B9A"/>
    <w:rsid w:val="002D6C19"/>
    <w:rsid w:val="002D6FC6"/>
    <w:rsid w:val="002D7081"/>
    <w:rsid w:val="002E01DE"/>
    <w:rsid w:val="002E0318"/>
    <w:rsid w:val="002E0C1A"/>
    <w:rsid w:val="002E19BE"/>
    <w:rsid w:val="002E4626"/>
    <w:rsid w:val="002E5393"/>
    <w:rsid w:val="002E5683"/>
    <w:rsid w:val="002E574B"/>
    <w:rsid w:val="002E5C0C"/>
    <w:rsid w:val="002E65B6"/>
    <w:rsid w:val="002E7BD8"/>
    <w:rsid w:val="002E7EFF"/>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35D"/>
    <w:rsid w:val="00300768"/>
    <w:rsid w:val="00300BBC"/>
    <w:rsid w:val="0030210D"/>
    <w:rsid w:val="003027AA"/>
    <w:rsid w:val="003032A7"/>
    <w:rsid w:val="003032AB"/>
    <w:rsid w:val="0030652D"/>
    <w:rsid w:val="0030734F"/>
    <w:rsid w:val="0030787B"/>
    <w:rsid w:val="00310190"/>
    <w:rsid w:val="00310300"/>
    <w:rsid w:val="003118F7"/>
    <w:rsid w:val="00311BD4"/>
    <w:rsid w:val="003128A1"/>
    <w:rsid w:val="00312CC7"/>
    <w:rsid w:val="00312D68"/>
    <w:rsid w:val="003144BE"/>
    <w:rsid w:val="003156C7"/>
    <w:rsid w:val="00315809"/>
    <w:rsid w:val="003170AA"/>
    <w:rsid w:val="00317778"/>
    <w:rsid w:val="003201DD"/>
    <w:rsid w:val="003204A6"/>
    <w:rsid w:val="00320DB1"/>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6F15"/>
    <w:rsid w:val="00347BA0"/>
    <w:rsid w:val="00351CFD"/>
    <w:rsid w:val="003532E0"/>
    <w:rsid w:val="0035445E"/>
    <w:rsid w:val="00354FEE"/>
    <w:rsid w:val="00355DDC"/>
    <w:rsid w:val="003577BB"/>
    <w:rsid w:val="00360589"/>
    <w:rsid w:val="0036146A"/>
    <w:rsid w:val="00361561"/>
    <w:rsid w:val="003620C7"/>
    <w:rsid w:val="00362363"/>
    <w:rsid w:val="0036267B"/>
    <w:rsid w:val="00362E54"/>
    <w:rsid w:val="00363F1B"/>
    <w:rsid w:val="00365598"/>
    <w:rsid w:val="00365794"/>
    <w:rsid w:val="0036608C"/>
    <w:rsid w:val="003665DE"/>
    <w:rsid w:val="00366D2C"/>
    <w:rsid w:val="00366DB5"/>
    <w:rsid w:val="003677EB"/>
    <w:rsid w:val="0037021E"/>
    <w:rsid w:val="0037065F"/>
    <w:rsid w:val="00370C15"/>
    <w:rsid w:val="00371156"/>
    <w:rsid w:val="00371414"/>
    <w:rsid w:val="00372746"/>
    <w:rsid w:val="003737BD"/>
    <w:rsid w:val="00373C35"/>
    <w:rsid w:val="00375088"/>
    <w:rsid w:val="0037630B"/>
    <w:rsid w:val="00377E1D"/>
    <w:rsid w:val="00380296"/>
    <w:rsid w:val="003802BE"/>
    <w:rsid w:val="00380CC3"/>
    <w:rsid w:val="00383496"/>
    <w:rsid w:val="00384D07"/>
    <w:rsid w:val="00385BA0"/>
    <w:rsid w:val="00386780"/>
    <w:rsid w:val="00387AC2"/>
    <w:rsid w:val="003905F4"/>
    <w:rsid w:val="00390B99"/>
    <w:rsid w:val="00393A05"/>
    <w:rsid w:val="00393F7D"/>
    <w:rsid w:val="003944B4"/>
    <w:rsid w:val="003950A3"/>
    <w:rsid w:val="003974EA"/>
    <w:rsid w:val="003A10D9"/>
    <w:rsid w:val="003A4534"/>
    <w:rsid w:val="003A496D"/>
    <w:rsid w:val="003A5258"/>
    <w:rsid w:val="003A5D1E"/>
    <w:rsid w:val="003A5DA0"/>
    <w:rsid w:val="003A6CEA"/>
    <w:rsid w:val="003B0160"/>
    <w:rsid w:val="003B08B3"/>
    <w:rsid w:val="003B1549"/>
    <w:rsid w:val="003B1A8B"/>
    <w:rsid w:val="003B2264"/>
    <w:rsid w:val="003B2ED8"/>
    <w:rsid w:val="003B59F8"/>
    <w:rsid w:val="003B7CF0"/>
    <w:rsid w:val="003C0BCC"/>
    <w:rsid w:val="003C0EA1"/>
    <w:rsid w:val="003C0F65"/>
    <w:rsid w:val="003C1AEB"/>
    <w:rsid w:val="003C344A"/>
    <w:rsid w:val="003C34A3"/>
    <w:rsid w:val="003C37BE"/>
    <w:rsid w:val="003C560A"/>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6405"/>
    <w:rsid w:val="003F72C1"/>
    <w:rsid w:val="003F7A61"/>
    <w:rsid w:val="00400437"/>
    <w:rsid w:val="00400681"/>
    <w:rsid w:val="00400D68"/>
    <w:rsid w:val="00403743"/>
    <w:rsid w:val="00403966"/>
    <w:rsid w:val="00404609"/>
    <w:rsid w:val="00404764"/>
    <w:rsid w:val="00406A59"/>
    <w:rsid w:val="00407009"/>
    <w:rsid w:val="0041277C"/>
    <w:rsid w:val="00413226"/>
    <w:rsid w:val="004134EC"/>
    <w:rsid w:val="0041390A"/>
    <w:rsid w:val="00414894"/>
    <w:rsid w:val="00415291"/>
    <w:rsid w:val="0042069A"/>
    <w:rsid w:val="00420F8E"/>
    <w:rsid w:val="004213FF"/>
    <w:rsid w:val="0042162C"/>
    <w:rsid w:val="0042187B"/>
    <w:rsid w:val="004223FE"/>
    <w:rsid w:val="00422657"/>
    <w:rsid w:val="00422CCD"/>
    <w:rsid w:val="0042335D"/>
    <w:rsid w:val="00423A7D"/>
    <w:rsid w:val="004247EB"/>
    <w:rsid w:val="00424CC5"/>
    <w:rsid w:val="00426125"/>
    <w:rsid w:val="00426514"/>
    <w:rsid w:val="0043080E"/>
    <w:rsid w:val="00431C6F"/>
    <w:rsid w:val="004327FE"/>
    <w:rsid w:val="004328DC"/>
    <w:rsid w:val="00434223"/>
    <w:rsid w:val="00435904"/>
    <w:rsid w:val="0043781A"/>
    <w:rsid w:val="0044200B"/>
    <w:rsid w:val="004428F2"/>
    <w:rsid w:val="00442BDD"/>
    <w:rsid w:val="00442F1C"/>
    <w:rsid w:val="004431FF"/>
    <w:rsid w:val="0044375A"/>
    <w:rsid w:val="00443EAB"/>
    <w:rsid w:val="00444454"/>
    <w:rsid w:val="00444809"/>
    <w:rsid w:val="00444D67"/>
    <w:rsid w:val="004473FF"/>
    <w:rsid w:val="00447EDE"/>
    <w:rsid w:val="00452FAE"/>
    <w:rsid w:val="00453CE4"/>
    <w:rsid w:val="00453FAA"/>
    <w:rsid w:val="0045466C"/>
    <w:rsid w:val="00455F04"/>
    <w:rsid w:val="004572D9"/>
    <w:rsid w:val="00457FCC"/>
    <w:rsid w:val="00460BD0"/>
    <w:rsid w:val="00464DAE"/>
    <w:rsid w:val="00465F35"/>
    <w:rsid w:val="00467338"/>
    <w:rsid w:val="00471D7A"/>
    <w:rsid w:val="0047549F"/>
    <w:rsid w:val="00475681"/>
    <w:rsid w:val="004769D5"/>
    <w:rsid w:val="0048013D"/>
    <w:rsid w:val="00480FA3"/>
    <w:rsid w:val="0048249F"/>
    <w:rsid w:val="00482B01"/>
    <w:rsid w:val="00482C1F"/>
    <w:rsid w:val="00487591"/>
    <w:rsid w:val="00487831"/>
    <w:rsid w:val="00490EBB"/>
    <w:rsid w:val="00491435"/>
    <w:rsid w:val="00492307"/>
    <w:rsid w:val="00493239"/>
    <w:rsid w:val="00494898"/>
    <w:rsid w:val="00494AFB"/>
    <w:rsid w:val="004961F8"/>
    <w:rsid w:val="004967F8"/>
    <w:rsid w:val="00496FFD"/>
    <w:rsid w:val="004976B0"/>
    <w:rsid w:val="00497B0A"/>
    <w:rsid w:val="004A07AC"/>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5997"/>
    <w:rsid w:val="004B6A63"/>
    <w:rsid w:val="004B76F3"/>
    <w:rsid w:val="004C0F22"/>
    <w:rsid w:val="004C13D9"/>
    <w:rsid w:val="004C15E1"/>
    <w:rsid w:val="004C217A"/>
    <w:rsid w:val="004C421A"/>
    <w:rsid w:val="004C559A"/>
    <w:rsid w:val="004C74FE"/>
    <w:rsid w:val="004D047F"/>
    <w:rsid w:val="004D0F8E"/>
    <w:rsid w:val="004D1039"/>
    <w:rsid w:val="004D133A"/>
    <w:rsid w:val="004D1A8C"/>
    <w:rsid w:val="004D49B9"/>
    <w:rsid w:val="004D67D5"/>
    <w:rsid w:val="004D6A4F"/>
    <w:rsid w:val="004D7771"/>
    <w:rsid w:val="004D7D51"/>
    <w:rsid w:val="004E0015"/>
    <w:rsid w:val="004E0029"/>
    <w:rsid w:val="004E00B4"/>
    <w:rsid w:val="004E1383"/>
    <w:rsid w:val="004E291F"/>
    <w:rsid w:val="004E4C4D"/>
    <w:rsid w:val="004E5E0E"/>
    <w:rsid w:val="004E6A24"/>
    <w:rsid w:val="004E6DEB"/>
    <w:rsid w:val="004E6DFF"/>
    <w:rsid w:val="004F0AFF"/>
    <w:rsid w:val="004F1362"/>
    <w:rsid w:val="004F18B3"/>
    <w:rsid w:val="004F2C52"/>
    <w:rsid w:val="004F3735"/>
    <w:rsid w:val="004F3BDA"/>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152B5"/>
    <w:rsid w:val="00520A67"/>
    <w:rsid w:val="0052119C"/>
    <w:rsid w:val="00521408"/>
    <w:rsid w:val="005220FD"/>
    <w:rsid w:val="00522804"/>
    <w:rsid w:val="005256EC"/>
    <w:rsid w:val="00525FCA"/>
    <w:rsid w:val="00526058"/>
    <w:rsid w:val="0052623B"/>
    <w:rsid w:val="00527FB8"/>
    <w:rsid w:val="005306A0"/>
    <w:rsid w:val="00530D8D"/>
    <w:rsid w:val="005318E0"/>
    <w:rsid w:val="00533B32"/>
    <w:rsid w:val="00534F67"/>
    <w:rsid w:val="005355D5"/>
    <w:rsid w:val="00535C28"/>
    <w:rsid w:val="005369B6"/>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0AA3"/>
    <w:rsid w:val="005A1596"/>
    <w:rsid w:val="005A280C"/>
    <w:rsid w:val="005A2DA2"/>
    <w:rsid w:val="005A3337"/>
    <w:rsid w:val="005A40C9"/>
    <w:rsid w:val="005A4BAC"/>
    <w:rsid w:val="005A74D9"/>
    <w:rsid w:val="005A7D1F"/>
    <w:rsid w:val="005B06C0"/>
    <w:rsid w:val="005B18BC"/>
    <w:rsid w:val="005B3B6C"/>
    <w:rsid w:val="005B41CD"/>
    <w:rsid w:val="005B588F"/>
    <w:rsid w:val="005B6A20"/>
    <w:rsid w:val="005C03BA"/>
    <w:rsid w:val="005C134D"/>
    <w:rsid w:val="005C25C2"/>
    <w:rsid w:val="005C2EF4"/>
    <w:rsid w:val="005C374A"/>
    <w:rsid w:val="005C469F"/>
    <w:rsid w:val="005C49E2"/>
    <w:rsid w:val="005C5CE1"/>
    <w:rsid w:val="005C5D11"/>
    <w:rsid w:val="005C5E52"/>
    <w:rsid w:val="005C6C2B"/>
    <w:rsid w:val="005C6CEB"/>
    <w:rsid w:val="005C71F3"/>
    <w:rsid w:val="005C73B2"/>
    <w:rsid w:val="005C7931"/>
    <w:rsid w:val="005C79A7"/>
    <w:rsid w:val="005D069E"/>
    <w:rsid w:val="005D0AB1"/>
    <w:rsid w:val="005D21AD"/>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2E"/>
    <w:rsid w:val="005F2F56"/>
    <w:rsid w:val="005F3F44"/>
    <w:rsid w:val="005F4179"/>
    <w:rsid w:val="005F43CC"/>
    <w:rsid w:val="005F53ED"/>
    <w:rsid w:val="005F6104"/>
    <w:rsid w:val="005F63DC"/>
    <w:rsid w:val="005F660A"/>
    <w:rsid w:val="005F7A5D"/>
    <w:rsid w:val="005F7F4A"/>
    <w:rsid w:val="0060222C"/>
    <w:rsid w:val="006041DD"/>
    <w:rsid w:val="00606B06"/>
    <w:rsid w:val="00606BDF"/>
    <w:rsid w:val="00606DB7"/>
    <w:rsid w:val="006108D1"/>
    <w:rsid w:val="0061098A"/>
    <w:rsid w:val="00612A13"/>
    <w:rsid w:val="00612E99"/>
    <w:rsid w:val="006147A9"/>
    <w:rsid w:val="00615DD4"/>
    <w:rsid w:val="0061680A"/>
    <w:rsid w:val="00617C5D"/>
    <w:rsid w:val="00617D0D"/>
    <w:rsid w:val="00617E29"/>
    <w:rsid w:val="006207D8"/>
    <w:rsid w:val="00620F44"/>
    <w:rsid w:val="00621548"/>
    <w:rsid w:val="00622027"/>
    <w:rsid w:val="006231A2"/>
    <w:rsid w:val="00623BD7"/>
    <w:rsid w:val="00624B0E"/>
    <w:rsid w:val="00625A2C"/>
    <w:rsid w:val="00626617"/>
    <w:rsid w:val="00626B47"/>
    <w:rsid w:val="00626F64"/>
    <w:rsid w:val="00632766"/>
    <w:rsid w:val="00633A00"/>
    <w:rsid w:val="006343A6"/>
    <w:rsid w:val="00635673"/>
    <w:rsid w:val="00635B06"/>
    <w:rsid w:val="00635BC4"/>
    <w:rsid w:val="0063613A"/>
    <w:rsid w:val="0063671B"/>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10F"/>
    <w:rsid w:val="006533EA"/>
    <w:rsid w:val="00654D42"/>
    <w:rsid w:val="006565D0"/>
    <w:rsid w:val="00656CB9"/>
    <w:rsid w:val="00657167"/>
    <w:rsid w:val="00657E8B"/>
    <w:rsid w:val="006616FA"/>
    <w:rsid w:val="00661E79"/>
    <w:rsid w:val="0066220F"/>
    <w:rsid w:val="00662359"/>
    <w:rsid w:val="006631DB"/>
    <w:rsid w:val="0066417E"/>
    <w:rsid w:val="00667856"/>
    <w:rsid w:val="0067056A"/>
    <w:rsid w:val="006705C0"/>
    <w:rsid w:val="00671872"/>
    <w:rsid w:val="006725E9"/>
    <w:rsid w:val="006727E9"/>
    <w:rsid w:val="00673223"/>
    <w:rsid w:val="006747C8"/>
    <w:rsid w:val="00674881"/>
    <w:rsid w:val="0067488B"/>
    <w:rsid w:val="00674F0D"/>
    <w:rsid w:val="006756B4"/>
    <w:rsid w:val="00677403"/>
    <w:rsid w:val="0067755C"/>
    <w:rsid w:val="00677DCC"/>
    <w:rsid w:val="00680CA4"/>
    <w:rsid w:val="00681450"/>
    <w:rsid w:val="00682C33"/>
    <w:rsid w:val="00684A3F"/>
    <w:rsid w:val="00684D25"/>
    <w:rsid w:val="0068605D"/>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33E6"/>
    <w:rsid w:val="006A590B"/>
    <w:rsid w:val="006A6C45"/>
    <w:rsid w:val="006B0C96"/>
    <w:rsid w:val="006B11E8"/>
    <w:rsid w:val="006B1439"/>
    <w:rsid w:val="006B5CC0"/>
    <w:rsid w:val="006B6D22"/>
    <w:rsid w:val="006B7F26"/>
    <w:rsid w:val="006C0894"/>
    <w:rsid w:val="006C2F11"/>
    <w:rsid w:val="006C34FD"/>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E73"/>
    <w:rsid w:val="006F5F9F"/>
    <w:rsid w:val="006F67CD"/>
    <w:rsid w:val="006F7976"/>
    <w:rsid w:val="0070029C"/>
    <w:rsid w:val="007010F5"/>
    <w:rsid w:val="00701652"/>
    <w:rsid w:val="007020E6"/>
    <w:rsid w:val="007026BC"/>
    <w:rsid w:val="00702F02"/>
    <w:rsid w:val="00703912"/>
    <w:rsid w:val="0071131C"/>
    <w:rsid w:val="00711586"/>
    <w:rsid w:val="0071290A"/>
    <w:rsid w:val="00712F32"/>
    <w:rsid w:val="00713E7C"/>
    <w:rsid w:val="0071487A"/>
    <w:rsid w:val="00714E08"/>
    <w:rsid w:val="007152A5"/>
    <w:rsid w:val="007155EC"/>
    <w:rsid w:val="00717070"/>
    <w:rsid w:val="0071759D"/>
    <w:rsid w:val="00717BAB"/>
    <w:rsid w:val="00722FF3"/>
    <w:rsid w:val="0072344A"/>
    <w:rsid w:val="0072376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2F3D"/>
    <w:rsid w:val="00754501"/>
    <w:rsid w:val="00754FE6"/>
    <w:rsid w:val="00755F91"/>
    <w:rsid w:val="00757225"/>
    <w:rsid w:val="00761409"/>
    <w:rsid w:val="00761AC2"/>
    <w:rsid w:val="00762C53"/>
    <w:rsid w:val="00762D06"/>
    <w:rsid w:val="00764C48"/>
    <w:rsid w:val="00766228"/>
    <w:rsid w:val="00767D7D"/>
    <w:rsid w:val="00770044"/>
    <w:rsid w:val="00770A6E"/>
    <w:rsid w:val="007711E8"/>
    <w:rsid w:val="007712EC"/>
    <w:rsid w:val="00773970"/>
    <w:rsid w:val="00774245"/>
    <w:rsid w:val="007759AC"/>
    <w:rsid w:val="00776462"/>
    <w:rsid w:val="00776726"/>
    <w:rsid w:val="00776F5D"/>
    <w:rsid w:val="00777750"/>
    <w:rsid w:val="00780AEB"/>
    <w:rsid w:val="00781962"/>
    <w:rsid w:val="00781D66"/>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6E76"/>
    <w:rsid w:val="00797675"/>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D6"/>
    <w:rsid w:val="007C47FF"/>
    <w:rsid w:val="007C4FBF"/>
    <w:rsid w:val="007C6C46"/>
    <w:rsid w:val="007C7F28"/>
    <w:rsid w:val="007D227D"/>
    <w:rsid w:val="007D2910"/>
    <w:rsid w:val="007D532F"/>
    <w:rsid w:val="007D539D"/>
    <w:rsid w:val="007D5E15"/>
    <w:rsid w:val="007E0BF9"/>
    <w:rsid w:val="007E0D84"/>
    <w:rsid w:val="007E0DEA"/>
    <w:rsid w:val="007E3657"/>
    <w:rsid w:val="007E433B"/>
    <w:rsid w:val="007E4BD4"/>
    <w:rsid w:val="007E57FE"/>
    <w:rsid w:val="007F0B02"/>
    <w:rsid w:val="007F0B46"/>
    <w:rsid w:val="007F18E7"/>
    <w:rsid w:val="007F1C3D"/>
    <w:rsid w:val="007F1ED1"/>
    <w:rsid w:val="007F2C80"/>
    <w:rsid w:val="007F328F"/>
    <w:rsid w:val="007F45C2"/>
    <w:rsid w:val="007F4CD1"/>
    <w:rsid w:val="00802A9B"/>
    <w:rsid w:val="00803432"/>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2206"/>
    <w:rsid w:val="008336CD"/>
    <w:rsid w:val="0084134B"/>
    <w:rsid w:val="00843B2F"/>
    <w:rsid w:val="00846693"/>
    <w:rsid w:val="008506AF"/>
    <w:rsid w:val="0085160C"/>
    <w:rsid w:val="00851FCD"/>
    <w:rsid w:val="008525FD"/>
    <w:rsid w:val="00853159"/>
    <w:rsid w:val="00853437"/>
    <w:rsid w:val="00853985"/>
    <w:rsid w:val="00855B44"/>
    <w:rsid w:val="00856F25"/>
    <w:rsid w:val="008574F2"/>
    <w:rsid w:val="008577C9"/>
    <w:rsid w:val="00857E6D"/>
    <w:rsid w:val="008602FB"/>
    <w:rsid w:val="00863E78"/>
    <w:rsid w:val="008641B0"/>
    <w:rsid w:val="008644FB"/>
    <w:rsid w:val="00864D5E"/>
    <w:rsid w:val="00864F34"/>
    <w:rsid w:val="00864F8C"/>
    <w:rsid w:val="0086576D"/>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61F5"/>
    <w:rsid w:val="008A638D"/>
    <w:rsid w:val="008A69D5"/>
    <w:rsid w:val="008B094D"/>
    <w:rsid w:val="008B32EA"/>
    <w:rsid w:val="008B389F"/>
    <w:rsid w:val="008B4EBF"/>
    <w:rsid w:val="008B5A5A"/>
    <w:rsid w:val="008C134C"/>
    <w:rsid w:val="008C189C"/>
    <w:rsid w:val="008C333F"/>
    <w:rsid w:val="008C3861"/>
    <w:rsid w:val="008C61E9"/>
    <w:rsid w:val="008C7D85"/>
    <w:rsid w:val="008D0003"/>
    <w:rsid w:val="008D0E22"/>
    <w:rsid w:val="008D3699"/>
    <w:rsid w:val="008D37B9"/>
    <w:rsid w:val="008D48DD"/>
    <w:rsid w:val="008D62F8"/>
    <w:rsid w:val="008D74B3"/>
    <w:rsid w:val="008E0021"/>
    <w:rsid w:val="008E0C9C"/>
    <w:rsid w:val="008E2B67"/>
    <w:rsid w:val="008E2C9E"/>
    <w:rsid w:val="008E2F92"/>
    <w:rsid w:val="008E4318"/>
    <w:rsid w:val="008E5506"/>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6C8"/>
    <w:rsid w:val="00906820"/>
    <w:rsid w:val="0090710C"/>
    <w:rsid w:val="009100EF"/>
    <w:rsid w:val="009118C9"/>
    <w:rsid w:val="0091384D"/>
    <w:rsid w:val="00914C1C"/>
    <w:rsid w:val="0091503F"/>
    <w:rsid w:val="00916150"/>
    <w:rsid w:val="00916A28"/>
    <w:rsid w:val="00916E69"/>
    <w:rsid w:val="00917A0F"/>
    <w:rsid w:val="0092137B"/>
    <w:rsid w:val="009213B4"/>
    <w:rsid w:val="009213FB"/>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2D51"/>
    <w:rsid w:val="00943471"/>
    <w:rsid w:val="00943EAC"/>
    <w:rsid w:val="00946143"/>
    <w:rsid w:val="0094624B"/>
    <w:rsid w:val="0094663F"/>
    <w:rsid w:val="00946E07"/>
    <w:rsid w:val="0094701B"/>
    <w:rsid w:val="00952125"/>
    <w:rsid w:val="00952188"/>
    <w:rsid w:val="00952191"/>
    <w:rsid w:val="00956146"/>
    <w:rsid w:val="00956676"/>
    <w:rsid w:val="009568AD"/>
    <w:rsid w:val="009570D5"/>
    <w:rsid w:val="00957860"/>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C83"/>
    <w:rsid w:val="00982D70"/>
    <w:rsid w:val="009845D2"/>
    <w:rsid w:val="009855A9"/>
    <w:rsid w:val="00985764"/>
    <w:rsid w:val="00985DAC"/>
    <w:rsid w:val="00986BCC"/>
    <w:rsid w:val="009916FD"/>
    <w:rsid w:val="00991FDC"/>
    <w:rsid w:val="00993C94"/>
    <w:rsid w:val="00993F11"/>
    <w:rsid w:val="00994010"/>
    <w:rsid w:val="009944D7"/>
    <w:rsid w:val="009949CC"/>
    <w:rsid w:val="00994CD7"/>
    <w:rsid w:val="00995DA9"/>
    <w:rsid w:val="009975D1"/>
    <w:rsid w:val="00997AAC"/>
    <w:rsid w:val="009A3B15"/>
    <w:rsid w:val="009A53F4"/>
    <w:rsid w:val="009A579A"/>
    <w:rsid w:val="009A5C57"/>
    <w:rsid w:val="009A635A"/>
    <w:rsid w:val="009A6443"/>
    <w:rsid w:val="009A70BE"/>
    <w:rsid w:val="009B06DC"/>
    <w:rsid w:val="009B1DDA"/>
    <w:rsid w:val="009B301E"/>
    <w:rsid w:val="009B33E2"/>
    <w:rsid w:val="009B44EE"/>
    <w:rsid w:val="009B6714"/>
    <w:rsid w:val="009C08A9"/>
    <w:rsid w:val="009C0FE9"/>
    <w:rsid w:val="009C2E17"/>
    <w:rsid w:val="009C3192"/>
    <w:rsid w:val="009C3DB0"/>
    <w:rsid w:val="009C5AB5"/>
    <w:rsid w:val="009C5FE1"/>
    <w:rsid w:val="009C7413"/>
    <w:rsid w:val="009D0616"/>
    <w:rsid w:val="009D081D"/>
    <w:rsid w:val="009D0BF6"/>
    <w:rsid w:val="009D0E47"/>
    <w:rsid w:val="009D148F"/>
    <w:rsid w:val="009D2183"/>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2A1"/>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6C91"/>
    <w:rsid w:val="00A4734B"/>
    <w:rsid w:val="00A47DE6"/>
    <w:rsid w:val="00A505C4"/>
    <w:rsid w:val="00A52E4B"/>
    <w:rsid w:val="00A55568"/>
    <w:rsid w:val="00A557BF"/>
    <w:rsid w:val="00A56C82"/>
    <w:rsid w:val="00A57A72"/>
    <w:rsid w:val="00A61925"/>
    <w:rsid w:val="00A624A4"/>
    <w:rsid w:val="00A6340A"/>
    <w:rsid w:val="00A65CC5"/>
    <w:rsid w:val="00A65D69"/>
    <w:rsid w:val="00A66652"/>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4077"/>
    <w:rsid w:val="00A9583E"/>
    <w:rsid w:val="00A96AEC"/>
    <w:rsid w:val="00A97A3D"/>
    <w:rsid w:val="00AA0912"/>
    <w:rsid w:val="00AA109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70D0"/>
    <w:rsid w:val="00AC7E02"/>
    <w:rsid w:val="00AC7E7D"/>
    <w:rsid w:val="00AD05B4"/>
    <w:rsid w:val="00AD1C96"/>
    <w:rsid w:val="00AD1F58"/>
    <w:rsid w:val="00AD2488"/>
    <w:rsid w:val="00AD2914"/>
    <w:rsid w:val="00AD4AAA"/>
    <w:rsid w:val="00AD6AFA"/>
    <w:rsid w:val="00AD7A25"/>
    <w:rsid w:val="00AE3811"/>
    <w:rsid w:val="00AE4D48"/>
    <w:rsid w:val="00AE5BF9"/>
    <w:rsid w:val="00AE6624"/>
    <w:rsid w:val="00AE7475"/>
    <w:rsid w:val="00AF051A"/>
    <w:rsid w:val="00AF074F"/>
    <w:rsid w:val="00AF0CA1"/>
    <w:rsid w:val="00AF0DEC"/>
    <w:rsid w:val="00AF0F8C"/>
    <w:rsid w:val="00AF13D6"/>
    <w:rsid w:val="00AF1847"/>
    <w:rsid w:val="00AF746A"/>
    <w:rsid w:val="00AF7876"/>
    <w:rsid w:val="00B00DA1"/>
    <w:rsid w:val="00B0110F"/>
    <w:rsid w:val="00B01720"/>
    <w:rsid w:val="00B02D35"/>
    <w:rsid w:val="00B04442"/>
    <w:rsid w:val="00B047E8"/>
    <w:rsid w:val="00B059C9"/>
    <w:rsid w:val="00B06393"/>
    <w:rsid w:val="00B06586"/>
    <w:rsid w:val="00B06FDA"/>
    <w:rsid w:val="00B07816"/>
    <w:rsid w:val="00B1035E"/>
    <w:rsid w:val="00B1045B"/>
    <w:rsid w:val="00B10E8C"/>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2"/>
    <w:rsid w:val="00B32ABC"/>
    <w:rsid w:val="00B3305E"/>
    <w:rsid w:val="00B334FF"/>
    <w:rsid w:val="00B3531C"/>
    <w:rsid w:val="00B35B24"/>
    <w:rsid w:val="00B35C57"/>
    <w:rsid w:val="00B37312"/>
    <w:rsid w:val="00B40FD2"/>
    <w:rsid w:val="00B4200B"/>
    <w:rsid w:val="00B43585"/>
    <w:rsid w:val="00B4449C"/>
    <w:rsid w:val="00B4513D"/>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31F2"/>
    <w:rsid w:val="00B8418D"/>
    <w:rsid w:val="00B8455A"/>
    <w:rsid w:val="00B8463C"/>
    <w:rsid w:val="00B84BC0"/>
    <w:rsid w:val="00B85108"/>
    <w:rsid w:val="00B878D5"/>
    <w:rsid w:val="00B90270"/>
    <w:rsid w:val="00B90836"/>
    <w:rsid w:val="00B909B9"/>
    <w:rsid w:val="00B93FD9"/>
    <w:rsid w:val="00B95203"/>
    <w:rsid w:val="00B95896"/>
    <w:rsid w:val="00BA0658"/>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341"/>
    <w:rsid w:val="00BE4BAC"/>
    <w:rsid w:val="00BE74FC"/>
    <w:rsid w:val="00BE770B"/>
    <w:rsid w:val="00BF0003"/>
    <w:rsid w:val="00BF01F3"/>
    <w:rsid w:val="00BF0C32"/>
    <w:rsid w:val="00BF139C"/>
    <w:rsid w:val="00BF203C"/>
    <w:rsid w:val="00BF2D86"/>
    <w:rsid w:val="00BF39AA"/>
    <w:rsid w:val="00BF6F8A"/>
    <w:rsid w:val="00BF7468"/>
    <w:rsid w:val="00BF7BB0"/>
    <w:rsid w:val="00C007CD"/>
    <w:rsid w:val="00C016CB"/>
    <w:rsid w:val="00C0176A"/>
    <w:rsid w:val="00C03F8E"/>
    <w:rsid w:val="00C045A7"/>
    <w:rsid w:val="00C048B4"/>
    <w:rsid w:val="00C051BD"/>
    <w:rsid w:val="00C07C45"/>
    <w:rsid w:val="00C11AE3"/>
    <w:rsid w:val="00C1231E"/>
    <w:rsid w:val="00C1352D"/>
    <w:rsid w:val="00C13DD6"/>
    <w:rsid w:val="00C1420C"/>
    <w:rsid w:val="00C156A2"/>
    <w:rsid w:val="00C1701F"/>
    <w:rsid w:val="00C21B99"/>
    <w:rsid w:val="00C220C5"/>
    <w:rsid w:val="00C22601"/>
    <w:rsid w:val="00C23082"/>
    <w:rsid w:val="00C236C8"/>
    <w:rsid w:val="00C24A56"/>
    <w:rsid w:val="00C262BC"/>
    <w:rsid w:val="00C3088A"/>
    <w:rsid w:val="00C3176E"/>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27A1"/>
    <w:rsid w:val="00C733CB"/>
    <w:rsid w:val="00C74430"/>
    <w:rsid w:val="00C747C6"/>
    <w:rsid w:val="00C74DD4"/>
    <w:rsid w:val="00C74E01"/>
    <w:rsid w:val="00C7615A"/>
    <w:rsid w:val="00C76837"/>
    <w:rsid w:val="00C803FD"/>
    <w:rsid w:val="00C82AC3"/>
    <w:rsid w:val="00C83940"/>
    <w:rsid w:val="00C843E8"/>
    <w:rsid w:val="00C9087B"/>
    <w:rsid w:val="00C909C8"/>
    <w:rsid w:val="00C91D85"/>
    <w:rsid w:val="00C922AB"/>
    <w:rsid w:val="00C94936"/>
    <w:rsid w:val="00CA1334"/>
    <w:rsid w:val="00CA13F8"/>
    <w:rsid w:val="00CA3BF5"/>
    <w:rsid w:val="00CA4252"/>
    <w:rsid w:val="00CA5320"/>
    <w:rsid w:val="00CA7564"/>
    <w:rsid w:val="00CA7BCF"/>
    <w:rsid w:val="00CB129C"/>
    <w:rsid w:val="00CB40EC"/>
    <w:rsid w:val="00CB47B5"/>
    <w:rsid w:val="00CB510A"/>
    <w:rsid w:val="00CB531A"/>
    <w:rsid w:val="00CB7522"/>
    <w:rsid w:val="00CC312A"/>
    <w:rsid w:val="00CC4909"/>
    <w:rsid w:val="00CC55F4"/>
    <w:rsid w:val="00CC6313"/>
    <w:rsid w:val="00CC6358"/>
    <w:rsid w:val="00CD1099"/>
    <w:rsid w:val="00CD12A4"/>
    <w:rsid w:val="00CD135B"/>
    <w:rsid w:val="00CD2295"/>
    <w:rsid w:val="00CD30A2"/>
    <w:rsid w:val="00CD35E5"/>
    <w:rsid w:val="00CD3B6C"/>
    <w:rsid w:val="00CD45F6"/>
    <w:rsid w:val="00CD47BA"/>
    <w:rsid w:val="00CD4BED"/>
    <w:rsid w:val="00CD5802"/>
    <w:rsid w:val="00CD7AB0"/>
    <w:rsid w:val="00CE0CE3"/>
    <w:rsid w:val="00CE1BF3"/>
    <w:rsid w:val="00CE24F7"/>
    <w:rsid w:val="00CE26E9"/>
    <w:rsid w:val="00CE3D20"/>
    <w:rsid w:val="00CE3E8B"/>
    <w:rsid w:val="00CE614C"/>
    <w:rsid w:val="00CE68E2"/>
    <w:rsid w:val="00CE77A2"/>
    <w:rsid w:val="00CF4A62"/>
    <w:rsid w:val="00CF607C"/>
    <w:rsid w:val="00CF6F94"/>
    <w:rsid w:val="00D0053C"/>
    <w:rsid w:val="00D020D9"/>
    <w:rsid w:val="00D05451"/>
    <w:rsid w:val="00D06300"/>
    <w:rsid w:val="00D07193"/>
    <w:rsid w:val="00D077F4"/>
    <w:rsid w:val="00D1002C"/>
    <w:rsid w:val="00D10316"/>
    <w:rsid w:val="00D11727"/>
    <w:rsid w:val="00D118F2"/>
    <w:rsid w:val="00D12213"/>
    <w:rsid w:val="00D12F09"/>
    <w:rsid w:val="00D14163"/>
    <w:rsid w:val="00D14583"/>
    <w:rsid w:val="00D16F92"/>
    <w:rsid w:val="00D17DC8"/>
    <w:rsid w:val="00D20D5E"/>
    <w:rsid w:val="00D21854"/>
    <w:rsid w:val="00D21FEE"/>
    <w:rsid w:val="00D2284F"/>
    <w:rsid w:val="00D25DEB"/>
    <w:rsid w:val="00D26D3D"/>
    <w:rsid w:val="00D26D42"/>
    <w:rsid w:val="00D27814"/>
    <w:rsid w:val="00D27B08"/>
    <w:rsid w:val="00D31394"/>
    <w:rsid w:val="00D327F3"/>
    <w:rsid w:val="00D344E6"/>
    <w:rsid w:val="00D34B1C"/>
    <w:rsid w:val="00D361EC"/>
    <w:rsid w:val="00D3699B"/>
    <w:rsid w:val="00D37913"/>
    <w:rsid w:val="00D379F4"/>
    <w:rsid w:val="00D37DAB"/>
    <w:rsid w:val="00D37E84"/>
    <w:rsid w:val="00D425C3"/>
    <w:rsid w:val="00D43B0A"/>
    <w:rsid w:val="00D442D4"/>
    <w:rsid w:val="00D444B8"/>
    <w:rsid w:val="00D451D9"/>
    <w:rsid w:val="00D4621C"/>
    <w:rsid w:val="00D46B2D"/>
    <w:rsid w:val="00D46B38"/>
    <w:rsid w:val="00D50B23"/>
    <w:rsid w:val="00D50CB9"/>
    <w:rsid w:val="00D57785"/>
    <w:rsid w:val="00D605E0"/>
    <w:rsid w:val="00D6255C"/>
    <w:rsid w:val="00D629B1"/>
    <w:rsid w:val="00D6325F"/>
    <w:rsid w:val="00D63364"/>
    <w:rsid w:val="00D63CD9"/>
    <w:rsid w:val="00D63CDD"/>
    <w:rsid w:val="00D64F69"/>
    <w:rsid w:val="00D65EBB"/>
    <w:rsid w:val="00D67069"/>
    <w:rsid w:val="00D7057E"/>
    <w:rsid w:val="00D710A0"/>
    <w:rsid w:val="00D71735"/>
    <w:rsid w:val="00D73BB8"/>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87782"/>
    <w:rsid w:val="00D9091A"/>
    <w:rsid w:val="00D935A9"/>
    <w:rsid w:val="00D94BC3"/>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C0D38"/>
    <w:rsid w:val="00DC1F9C"/>
    <w:rsid w:val="00DC24E4"/>
    <w:rsid w:val="00DC4919"/>
    <w:rsid w:val="00DC4D94"/>
    <w:rsid w:val="00DC5570"/>
    <w:rsid w:val="00DC5606"/>
    <w:rsid w:val="00DC5ACA"/>
    <w:rsid w:val="00DC67A3"/>
    <w:rsid w:val="00DC77C4"/>
    <w:rsid w:val="00DD2F16"/>
    <w:rsid w:val="00DD3711"/>
    <w:rsid w:val="00DD58B6"/>
    <w:rsid w:val="00DD631D"/>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0B66"/>
    <w:rsid w:val="00E01D52"/>
    <w:rsid w:val="00E033FF"/>
    <w:rsid w:val="00E03569"/>
    <w:rsid w:val="00E0463F"/>
    <w:rsid w:val="00E059CA"/>
    <w:rsid w:val="00E05CFB"/>
    <w:rsid w:val="00E068DB"/>
    <w:rsid w:val="00E0738B"/>
    <w:rsid w:val="00E104C4"/>
    <w:rsid w:val="00E121F2"/>
    <w:rsid w:val="00E14BE5"/>
    <w:rsid w:val="00E1533A"/>
    <w:rsid w:val="00E16292"/>
    <w:rsid w:val="00E163CC"/>
    <w:rsid w:val="00E17759"/>
    <w:rsid w:val="00E24396"/>
    <w:rsid w:val="00E24AC9"/>
    <w:rsid w:val="00E2538C"/>
    <w:rsid w:val="00E26099"/>
    <w:rsid w:val="00E265FB"/>
    <w:rsid w:val="00E26E1B"/>
    <w:rsid w:val="00E26E65"/>
    <w:rsid w:val="00E26FDA"/>
    <w:rsid w:val="00E27564"/>
    <w:rsid w:val="00E27823"/>
    <w:rsid w:val="00E27A8F"/>
    <w:rsid w:val="00E27B3A"/>
    <w:rsid w:val="00E304F1"/>
    <w:rsid w:val="00E30D50"/>
    <w:rsid w:val="00E31422"/>
    <w:rsid w:val="00E31922"/>
    <w:rsid w:val="00E31C41"/>
    <w:rsid w:val="00E322AC"/>
    <w:rsid w:val="00E32AFB"/>
    <w:rsid w:val="00E32EB2"/>
    <w:rsid w:val="00E33186"/>
    <w:rsid w:val="00E33D2B"/>
    <w:rsid w:val="00E340D3"/>
    <w:rsid w:val="00E34C16"/>
    <w:rsid w:val="00E36218"/>
    <w:rsid w:val="00E37E60"/>
    <w:rsid w:val="00E37EC1"/>
    <w:rsid w:val="00E405F0"/>
    <w:rsid w:val="00E41950"/>
    <w:rsid w:val="00E44661"/>
    <w:rsid w:val="00E454BA"/>
    <w:rsid w:val="00E455E5"/>
    <w:rsid w:val="00E46FAC"/>
    <w:rsid w:val="00E47283"/>
    <w:rsid w:val="00E47656"/>
    <w:rsid w:val="00E536EE"/>
    <w:rsid w:val="00E539C9"/>
    <w:rsid w:val="00E55A20"/>
    <w:rsid w:val="00E572A2"/>
    <w:rsid w:val="00E60189"/>
    <w:rsid w:val="00E60CBC"/>
    <w:rsid w:val="00E61E68"/>
    <w:rsid w:val="00E623BB"/>
    <w:rsid w:val="00E633FE"/>
    <w:rsid w:val="00E6343C"/>
    <w:rsid w:val="00E63D38"/>
    <w:rsid w:val="00E64446"/>
    <w:rsid w:val="00E64737"/>
    <w:rsid w:val="00E665CE"/>
    <w:rsid w:val="00E66B52"/>
    <w:rsid w:val="00E66BD1"/>
    <w:rsid w:val="00E67182"/>
    <w:rsid w:val="00E67414"/>
    <w:rsid w:val="00E67522"/>
    <w:rsid w:val="00E67626"/>
    <w:rsid w:val="00E6794C"/>
    <w:rsid w:val="00E67A52"/>
    <w:rsid w:val="00E722C9"/>
    <w:rsid w:val="00E72D62"/>
    <w:rsid w:val="00E74592"/>
    <w:rsid w:val="00E75218"/>
    <w:rsid w:val="00E81354"/>
    <w:rsid w:val="00E823EF"/>
    <w:rsid w:val="00E82B03"/>
    <w:rsid w:val="00E842C5"/>
    <w:rsid w:val="00E84B02"/>
    <w:rsid w:val="00E92F3C"/>
    <w:rsid w:val="00E93C62"/>
    <w:rsid w:val="00E94FBB"/>
    <w:rsid w:val="00E966FC"/>
    <w:rsid w:val="00EA22A9"/>
    <w:rsid w:val="00EA40F6"/>
    <w:rsid w:val="00EA46C2"/>
    <w:rsid w:val="00EA71DD"/>
    <w:rsid w:val="00EB23AC"/>
    <w:rsid w:val="00EB27D8"/>
    <w:rsid w:val="00EB3FB3"/>
    <w:rsid w:val="00EB411B"/>
    <w:rsid w:val="00EB4BB0"/>
    <w:rsid w:val="00EB630C"/>
    <w:rsid w:val="00EB67A8"/>
    <w:rsid w:val="00EB744C"/>
    <w:rsid w:val="00EC372B"/>
    <w:rsid w:val="00EC4CE7"/>
    <w:rsid w:val="00EC7BFA"/>
    <w:rsid w:val="00ED01BF"/>
    <w:rsid w:val="00ED0D68"/>
    <w:rsid w:val="00ED18B0"/>
    <w:rsid w:val="00ED37F5"/>
    <w:rsid w:val="00ED3BA2"/>
    <w:rsid w:val="00ED419F"/>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EF5C42"/>
    <w:rsid w:val="00F01D28"/>
    <w:rsid w:val="00F0221E"/>
    <w:rsid w:val="00F0537A"/>
    <w:rsid w:val="00F05DA7"/>
    <w:rsid w:val="00F06F65"/>
    <w:rsid w:val="00F0746A"/>
    <w:rsid w:val="00F07EB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1A4C"/>
    <w:rsid w:val="00F728C7"/>
    <w:rsid w:val="00F769EC"/>
    <w:rsid w:val="00F77634"/>
    <w:rsid w:val="00F77B01"/>
    <w:rsid w:val="00F77BC2"/>
    <w:rsid w:val="00F80479"/>
    <w:rsid w:val="00F825EE"/>
    <w:rsid w:val="00F826B4"/>
    <w:rsid w:val="00F82704"/>
    <w:rsid w:val="00F83E2F"/>
    <w:rsid w:val="00F84D25"/>
    <w:rsid w:val="00F84E0B"/>
    <w:rsid w:val="00F85407"/>
    <w:rsid w:val="00F857DF"/>
    <w:rsid w:val="00F8598C"/>
    <w:rsid w:val="00F863C7"/>
    <w:rsid w:val="00F87D7C"/>
    <w:rsid w:val="00F90495"/>
    <w:rsid w:val="00F90E62"/>
    <w:rsid w:val="00F90F63"/>
    <w:rsid w:val="00F92782"/>
    <w:rsid w:val="00F92A51"/>
    <w:rsid w:val="00F938D2"/>
    <w:rsid w:val="00F93B8F"/>
    <w:rsid w:val="00F948CC"/>
    <w:rsid w:val="00F948D3"/>
    <w:rsid w:val="00F94B0B"/>
    <w:rsid w:val="00F95056"/>
    <w:rsid w:val="00F96215"/>
    <w:rsid w:val="00F9756F"/>
    <w:rsid w:val="00FA0A78"/>
    <w:rsid w:val="00FA28E3"/>
    <w:rsid w:val="00FA3E87"/>
    <w:rsid w:val="00FA53DB"/>
    <w:rsid w:val="00FA5D62"/>
    <w:rsid w:val="00FB3BAB"/>
    <w:rsid w:val="00FB6B7A"/>
    <w:rsid w:val="00FC03CE"/>
    <w:rsid w:val="00FC1829"/>
    <w:rsid w:val="00FC2237"/>
    <w:rsid w:val="00FC4134"/>
    <w:rsid w:val="00FC75A6"/>
    <w:rsid w:val="00FC7923"/>
    <w:rsid w:val="00FC7CFA"/>
    <w:rsid w:val="00FD0126"/>
    <w:rsid w:val="00FD038E"/>
    <w:rsid w:val="00FD0DE4"/>
    <w:rsid w:val="00FD1BE7"/>
    <w:rsid w:val="00FD2891"/>
    <w:rsid w:val="00FD28B5"/>
    <w:rsid w:val="00FD55D3"/>
    <w:rsid w:val="00FD75CB"/>
    <w:rsid w:val="00FD7B3A"/>
    <w:rsid w:val="00FD7CC0"/>
    <w:rsid w:val="00FE2FA8"/>
    <w:rsid w:val="00FE2FB9"/>
    <w:rsid w:val="00FE3162"/>
    <w:rsid w:val="00FE40A0"/>
    <w:rsid w:val="00FE4A5A"/>
    <w:rsid w:val="00FF1EF9"/>
    <w:rsid w:val="00FF4419"/>
    <w:rsid w:val="00FF5F3F"/>
    <w:rsid w:val="00FF693D"/>
    <w:rsid w:val="00FF6B3F"/>
    <w:rsid w:val="00FF790B"/>
    <w:rsid w:val="00FF7BB4"/>
    <w:rsid w:val="0114B11C"/>
    <w:rsid w:val="02B8FE0F"/>
    <w:rsid w:val="03CD78AE"/>
    <w:rsid w:val="0456D419"/>
    <w:rsid w:val="04B5A302"/>
    <w:rsid w:val="0B4FEEB3"/>
    <w:rsid w:val="101891C2"/>
    <w:rsid w:val="11DF6103"/>
    <w:rsid w:val="11ED06A0"/>
    <w:rsid w:val="12A6CA00"/>
    <w:rsid w:val="13B45B34"/>
    <w:rsid w:val="1490EED7"/>
    <w:rsid w:val="15CD302E"/>
    <w:rsid w:val="15D6FD66"/>
    <w:rsid w:val="1987ADC9"/>
    <w:rsid w:val="1EB2614B"/>
    <w:rsid w:val="21799751"/>
    <w:rsid w:val="21D502E4"/>
    <w:rsid w:val="2696C90F"/>
    <w:rsid w:val="2828B37F"/>
    <w:rsid w:val="282A8373"/>
    <w:rsid w:val="28A3C3D8"/>
    <w:rsid w:val="29A0EA63"/>
    <w:rsid w:val="29EDFA1A"/>
    <w:rsid w:val="2A10CA49"/>
    <w:rsid w:val="2D14321D"/>
    <w:rsid w:val="2DCB4461"/>
    <w:rsid w:val="2E32862C"/>
    <w:rsid w:val="2EE44F36"/>
    <w:rsid w:val="31DDE32A"/>
    <w:rsid w:val="32F1D26D"/>
    <w:rsid w:val="343D2981"/>
    <w:rsid w:val="34D77906"/>
    <w:rsid w:val="34E9B7FB"/>
    <w:rsid w:val="35844471"/>
    <w:rsid w:val="37FEDE10"/>
    <w:rsid w:val="3D30EE8E"/>
    <w:rsid w:val="3F62D749"/>
    <w:rsid w:val="4311FA1A"/>
    <w:rsid w:val="43A922FD"/>
    <w:rsid w:val="44356894"/>
    <w:rsid w:val="474BE77B"/>
    <w:rsid w:val="479E6387"/>
    <w:rsid w:val="48621C29"/>
    <w:rsid w:val="5183EE77"/>
    <w:rsid w:val="53437AED"/>
    <w:rsid w:val="55AC6B75"/>
    <w:rsid w:val="5701E530"/>
    <w:rsid w:val="5996B5AA"/>
    <w:rsid w:val="5A4B0509"/>
    <w:rsid w:val="5D84EA9C"/>
    <w:rsid w:val="60345ED0"/>
    <w:rsid w:val="61B398E0"/>
    <w:rsid w:val="641C95E2"/>
    <w:rsid w:val="6429365E"/>
    <w:rsid w:val="648AB73C"/>
    <w:rsid w:val="64CD0C0B"/>
    <w:rsid w:val="670610E6"/>
    <w:rsid w:val="69288C1C"/>
    <w:rsid w:val="6BB64988"/>
    <w:rsid w:val="7141197D"/>
    <w:rsid w:val="74A9C9A2"/>
    <w:rsid w:val="74BE3148"/>
    <w:rsid w:val="7A6F77F8"/>
    <w:rsid w:val="7C009EF7"/>
    <w:rsid w:val="7DA9DFB7"/>
    <w:rsid w:val="7E83DA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D73BB8"/>
    <w:rPr>
      <w:color w:val="605E5C"/>
      <w:shd w:val="clear" w:color="auto" w:fill="E1DFDD"/>
    </w:rPr>
  </w:style>
  <w:style w:type="character" w:customStyle="1" w:styleId="SinespaciadoCar">
    <w:name w:val="Sin espaciado Car"/>
    <w:link w:val="Sinespaciado"/>
    <w:uiPriority w:val="1"/>
    <w:locked/>
    <w:rsid w:val="001844F0"/>
    <w:rPr>
      <w:sz w:val="22"/>
      <w:szCs w:val="22"/>
    </w:rPr>
  </w:style>
  <w:style w:type="paragraph" w:styleId="Sinespaciado">
    <w:name w:val="No Spacing"/>
    <w:link w:val="SinespaciadoCar"/>
    <w:uiPriority w:val="1"/>
    <w:qFormat/>
    <w:rsid w:val="001844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 w:id="16066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3e00bffa700a469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22DD4-1689-4ADF-BD3C-2E93CEA30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4.xml><?xml version="1.0" encoding="utf-8"?>
<ds:datastoreItem xmlns:ds="http://schemas.openxmlformats.org/officeDocument/2006/customXml" ds:itemID="{A189AB64-5CE9-4C3C-9E2D-309FBD25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3217</Words>
  <Characters>17697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8</cp:revision>
  <cp:lastPrinted>2019-12-12T13:16:00Z</cp:lastPrinted>
  <dcterms:created xsi:type="dcterms:W3CDTF">2021-08-18T20:42:00Z</dcterms:created>
  <dcterms:modified xsi:type="dcterms:W3CDTF">2022-03-02T15:32:00Z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