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679F" w14:textId="77777777" w:rsidR="00456FE4" w:rsidRPr="00EB5A74" w:rsidRDefault="00456FE4" w:rsidP="00456FE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ES_tradnl" w:eastAsia="fr-FR"/>
        </w:rPr>
      </w:pPr>
      <w:bookmarkStart w:id="0" w:name="_Hlk69670443"/>
      <w:r w:rsidRPr="00EB5A74">
        <w:rPr>
          <w:rFonts w:ascii="Arial" w:eastAsia="Times New Roman" w:hAnsi="Arial" w:cs="Arial"/>
          <w:color w:val="FF0000"/>
          <w:spacing w:val="-2"/>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08831036" w14:textId="77777777" w:rsidR="00456FE4" w:rsidRPr="00EB5A74" w:rsidRDefault="00456FE4" w:rsidP="00456FE4">
      <w:pPr>
        <w:spacing w:after="0" w:line="240" w:lineRule="auto"/>
        <w:jc w:val="both"/>
        <w:rPr>
          <w:rFonts w:ascii="Arial" w:eastAsia="Times New Roman" w:hAnsi="Arial" w:cs="Arial"/>
          <w:sz w:val="20"/>
          <w:szCs w:val="20"/>
          <w:lang w:val="es-ES_tradnl" w:eastAsia="es-ES"/>
        </w:rPr>
      </w:pPr>
    </w:p>
    <w:p w14:paraId="2711AC1A" w14:textId="484C14AF" w:rsidR="00456FE4" w:rsidRPr="00EB5A74" w:rsidRDefault="00456FE4" w:rsidP="00456FE4">
      <w:pPr>
        <w:spacing w:after="0" w:line="240" w:lineRule="auto"/>
        <w:jc w:val="both"/>
        <w:rPr>
          <w:rFonts w:ascii="Arial" w:eastAsia="Times New Roman" w:hAnsi="Arial" w:cs="Arial"/>
          <w:b/>
          <w:bCs/>
          <w:iCs/>
          <w:sz w:val="20"/>
          <w:szCs w:val="20"/>
          <w:lang w:val="es-ES_tradnl" w:eastAsia="fr-FR"/>
        </w:rPr>
      </w:pPr>
      <w:r w:rsidRPr="00EB5A74">
        <w:rPr>
          <w:rFonts w:ascii="Arial" w:eastAsia="Times New Roman" w:hAnsi="Arial" w:cs="Arial"/>
          <w:b/>
          <w:bCs/>
          <w:iCs/>
          <w:sz w:val="20"/>
          <w:szCs w:val="20"/>
          <w:u w:val="single"/>
          <w:lang w:val="es-ES_tradnl" w:eastAsia="fr-FR"/>
        </w:rPr>
        <w:t>TEMAS:</w:t>
      </w:r>
      <w:r w:rsidRPr="00EB5A74">
        <w:rPr>
          <w:rFonts w:ascii="Arial" w:eastAsia="Times New Roman" w:hAnsi="Arial" w:cs="Arial"/>
          <w:b/>
          <w:bCs/>
          <w:iCs/>
          <w:sz w:val="20"/>
          <w:szCs w:val="20"/>
          <w:lang w:val="es-ES_tradnl" w:eastAsia="fr-FR"/>
        </w:rPr>
        <w:tab/>
      </w:r>
      <w:r w:rsidR="003D6B70">
        <w:rPr>
          <w:rFonts w:ascii="Arial" w:eastAsia="Times New Roman" w:hAnsi="Arial" w:cs="Arial"/>
          <w:b/>
          <w:bCs/>
          <w:iCs/>
          <w:sz w:val="20"/>
          <w:szCs w:val="20"/>
          <w:lang w:val="es-ES_tradnl" w:eastAsia="fr-FR"/>
        </w:rPr>
        <w:t xml:space="preserve">INOPONIBILIDAD ESCRITURA PÚBLICA / DIFERENCIAS CON LA NULIDAD Y LA SIMULACIÓN / </w:t>
      </w:r>
      <w:r w:rsidR="00AE6407">
        <w:rPr>
          <w:rFonts w:ascii="Arial" w:eastAsia="Times New Roman" w:hAnsi="Arial" w:cs="Arial"/>
          <w:b/>
          <w:bCs/>
          <w:iCs/>
          <w:sz w:val="20"/>
          <w:szCs w:val="20"/>
          <w:lang w:val="es-ES_tradnl" w:eastAsia="fr-FR"/>
        </w:rPr>
        <w:t xml:space="preserve">NATURALEZA DE SU REGULACIÓN LEGAL / </w:t>
      </w:r>
      <w:r w:rsidR="003D6B70">
        <w:rPr>
          <w:rFonts w:ascii="Arial" w:eastAsia="Times New Roman" w:hAnsi="Arial" w:cs="Arial"/>
          <w:b/>
          <w:bCs/>
          <w:iCs/>
          <w:sz w:val="20"/>
          <w:szCs w:val="20"/>
          <w:lang w:val="es-ES_tradnl" w:eastAsia="fr-FR"/>
        </w:rPr>
        <w:t xml:space="preserve">LIQUIDACIÓN SOCIEDAD CONYUGAL / </w:t>
      </w:r>
      <w:r w:rsidR="00AE6407">
        <w:rPr>
          <w:rFonts w:ascii="Arial" w:eastAsia="Times New Roman" w:hAnsi="Arial" w:cs="Arial"/>
          <w:b/>
          <w:bCs/>
          <w:iCs/>
          <w:sz w:val="20"/>
          <w:szCs w:val="20"/>
          <w:lang w:val="es-ES_tradnl" w:eastAsia="fr-FR"/>
        </w:rPr>
        <w:t xml:space="preserve">RENUNCIA DE GANANCIALES / NO LA HUBO EN ESTE CASO / </w:t>
      </w:r>
      <w:r w:rsidR="005B5968">
        <w:rPr>
          <w:rFonts w:ascii="Arial" w:eastAsia="Times New Roman" w:hAnsi="Arial" w:cs="Arial"/>
          <w:b/>
          <w:bCs/>
          <w:iCs/>
          <w:sz w:val="20"/>
          <w:szCs w:val="20"/>
          <w:lang w:val="es-ES_tradnl" w:eastAsia="fr-FR"/>
        </w:rPr>
        <w:t>COSA JUZGADA / ELEMENTOS.</w:t>
      </w:r>
    </w:p>
    <w:p w14:paraId="6C043C08" w14:textId="77777777" w:rsidR="00456FE4" w:rsidRPr="00EB5A74" w:rsidRDefault="00456FE4" w:rsidP="00456FE4">
      <w:pPr>
        <w:spacing w:after="0" w:line="240" w:lineRule="auto"/>
        <w:jc w:val="both"/>
        <w:rPr>
          <w:rFonts w:ascii="Arial" w:eastAsia="Times New Roman" w:hAnsi="Arial" w:cs="Arial"/>
          <w:sz w:val="20"/>
          <w:szCs w:val="20"/>
          <w:lang w:val="es-ES_tradnl" w:eastAsia="es-ES"/>
        </w:rPr>
      </w:pPr>
    </w:p>
    <w:p w14:paraId="7B3E1578" w14:textId="77777777" w:rsidR="00507D6F" w:rsidRDefault="001E095D" w:rsidP="00456FE4">
      <w:pPr>
        <w:spacing w:after="0" w:line="240" w:lineRule="auto"/>
        <w:jc w:val="both"/>
        <w:rPr>
          <w:rFonts w:ascii="Arial" w:eastAsia="Times New Roman" w:hAnsi="Arial" w:cs="Arial"/>
          <w:sz w:val="20"/>
          <w:szCs w:val="20"/>
          <w:lang w:val="es-ES_tradnl" w:eastAsia="es-ES"/>
        </w:rPr>
      </w:pPr>
      <w:r w:rsidRPr="001E095D">
        <w:rPr>
          <w:rFonts w:ascii="Arial" w:eastAsia="Times New Roman" w:hAnsi="Arial" w:cs="Arial"/>
          <w:sz w:val="20"/>
          <w:szCs w:val="20"/>
          <w:lang w:val="es-ES_tradnl" w:eastAsia="es-ES"/>
        </w:rPr>
        <w:t>Como es fácil percibirlo, el libelo introductorio viene estructurado sobre una confusión de nociones que hacía difícil el camino hacia una resolución acorde con las peticiones en ella contenidas. Ciertamente, se conjugan, en tan poco espacio, la nulidad, la simulación y la inoponibilidad, cada una de las cuales tiene sus propias características, como a espacio lo ha señalado la jurisprudencia. La primera responde a la idea de la ausencia de ciertos requisitos en la conformación del negocio que lo pueden invalidar, absoluta o relativamente; la segunda guarda relación con la ocultación, total o parcial, de lo que los contratantes realmente quisieron convenir; y la tercera, comulga con la extensión de los efectos a quienes fueron parte en el acto o contrato y, excepcionalmente, a terceros.</w:t>
      </w:r>
    </w:p>
    <w:p w14:paraId="4FEE9250" w14:textId="77777777" w:rsidR="00507D6F" w:rsidRDefault="00507D6F" w:rsidP="00456FE4">
      <w:pPr>
        <w:spacing w:after="0" w:line="240" w:lineRule="auto"/>
        <w:jc w:val="both"/>
        <w:rPr>
          <w:rFonts w:ascii="Arial" w:eastAsia="Times New Roman" w:hAnsi="Arial" w:cs="Arial"/>
          <w:sz w:val="20"/>
          <w:szCs w:val="20"/>
          <w:lang w:val="es-ES_tradnl" w:eastAsia="es-ES"/>
        </w:rPr>
      </w:pPr>
    </w:p>
    <w:p w14:paraId="797FEFE5" w14:textId="79B6061D" w:rsidR="00456FE4" w:rsidRPr="00EB5A74" w:rsidRDefault="00507D6F" w:rsidP="00456FE4">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507D6F">
        <w:rPr>
          <w:rFonts w:ascii="Arial" w:eastAsia="Times New Roman" w:hAnsi="Arial" w:cs="Arial"/>
          <w:sz w:val="20"/>
          <w:szCs w:val="20"/>
          <w:lang w:val="es-ES_tradnl" w:eastAsia="es-ES"/>
        </w:rPr>
        <w:t>dijo nuestro órgano de cierre en reciente providencia, del 25-08-2021, que:</w:t>
      </w:r>
    </w:p>
    <w:p w14:paraId="3C232119" w14:textId="77777777" w:rsidR="00456FE4" w:rsidRPr="00EB5A74" w:rsidRDefault="00456FE4" w:rsidP="00456FE4">
      <w:pPr>
        <w:spacing w:after="0" w:line="240" w:lineRule="auto"/>
        <w:jc w:val="both"/>
        <w:rPr>
          <w:rFonts w:ascii="Arial" w:eastAsia="Times New Roman" w:hAnsi="Arial" w:cs="Arial"/>
          <w:sz w:val="20"/>
          <w:szCs w:val="20"/>
          <w:lang w:val="es-ES_tradnl" w:eastAsia="es-ES"/>
        </w:rPr>
      </w:pPr>
    </w:p>
    <w:p w14:paraId="2B8E5DDC" w14:textId="4A394042" w:rsidR="00456FE4" w:rsidRDefault="00F722DB" w:rsidP="00456FE4">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w:t>
      </w:r>
      <w:r w:rsidRPr="00F722DB">
        <w:rPr>
          <w:rFonts w:ascii="Arial" w:eastAsia="Times New Roman" w:hAnsi="Arial" w:cs="Arial"/>
          <w:sz w:val="20"/>
          <w:szCs w:val="20"/>
          <w:lang w:val="es-ES_tradnl" w:eastAsia="es-ES"/>
        </w:rPr>
        <w:t>(…) la inoponibilidad no se encuentra debidamente sistematizada en el derecho positivo patrio, como sí lo está, por ejemplo, la nulidad de los negocios jurídicos, respecto de la cual el Código Civil en particular dedica toda una estructura normativa a regularla en su doble faceta, no lo es menos que ninguna duda existe acerca de su consagración legal, pues, así sea de manera diseminada, existen en el concierto jurídico colombiano diversas disposiciones a través de las cuales emerge su regulación legal, como lo son, verbi gratia, los artículos 640, 1505, 1871, 2105 del Código Civil y 833 del Código de Comercio, entre otros, en los cuales se prevén algunos de los eventos en que el acto o contrato deviene inoponible haciendo que el mismo se torne ineficaz frente a quien en un momento dado ostentare la condición de tercero</w:t>
      </w:r>
      <w:r>
        <w:rPr>
          <w:rFonts w:ascii="Arial" w:eastAsia="Times New Roman" w:hAnsi="Arial" w:cs="Arial"/>
          <w:sz w:val="20"/>
          <w:szCs w:val="20"/>
          <w:lang w:val="es-ES_tradnl" w:eastAsia="es-ES"/>
        </w:rPr>
        <w:t>…”</w:t>
      </w:r>
    </w:p>
    <w:p w14:paraId="1162EFF5" w14:textId="77777777" w:rsidR="00F722DB" w:rsidRPr="00EB5A74" w:rsidRDefault="00F722DB" w:rsidP="00456FE4">
      <w:pPr>
        <w:spacing w:after="0" w:line="240" w:lineRule="auto"/>
        <w:jc w:val="both"/>
        <w:rPr>
          <w:rFonts w:ascii="Arial" w:eastAsia="Times New Roman" w:hAnsi="Arial" w:cs="Arial"/>
          <w:sz w:val="20"/>
          <w:szCs w:val="20"/>
          <w:lang w:val="es-ES_tradnl" w:eastAsia="es-ES"/>
        </w:rPr>
      </w:pPr>
    </w:p>
    <w:p w14:paraId="0FB37A8C" w14:textId="3090AAAF" w:rsidR="00456FE4" w:rsidRDefault="00F722DB" w:rsidP="00456FE4">
      <w:pPr>
        <w:spacing w:after="0" w:line="240" w:lineRule="auto"/>
        <w:jc w:val="both"/>
        <w:rPr>
          <w:rFonts w:ascii="Arial" w:eastAsia="Times New Roman" w:hAnsi="Arial" w:cs="Arial"/>
          <w:sz w:val="20"/>
          <w:szCs w:val="20"/>
          <w:lang w:val="es-ES_tradnl" w:eastAsia="es-ES"/>
        </w:rPr>
      </w:pPr>
      <w:r w:rsidRPr="00F722DB">
        <w:rPr>
          <w:rFonts w:ascii="Arial" w:eastAsia="Times New Roman" w:hAnsi="Arial" w:cs="Arial"/>
          <w:sz w:val="20"/>
          <w:szCs w:val="20"/>
          <w:lang w:val="es-ES_tradnl" w:eastAsia="es-ES"/>
        </w:rPr>
        <w:t>En la sentencia de primer grado, concluyó el juzgado que el tema era de inoponibilidad, por cuanto se trató de una renuncia de gananciales, según lo prevenido en el artículo 1775 del C. Civil, la que, como allí se establece, es permitida a cualquiera de los cónyuges sin perjuicio de terceros. De esta última mención se ha desprendido, de acuerdo también con la jurisprudencia, que tal norma en realidad contiene una forma de inoponibilidad del acto de renuncia, siempre que se lleve a su paso derechos de terceros, incluidos entre ellos los legitimarios</w:t>
      </w:r>
      <w:r>
        <w:rPr>
          <w:rFonts w:ascii="Arial" w:eastAsia="Times New Roman" w:hAnsi="Arial" w:cs="Arial"/>
          <w:sz w:val="20"/>
          <w:szCs w:val="20"/>
          <w:lang w:val="es-ES_tradnl" w:eastAsia="es-ES"/>
        </w:rPr>
        <w:t>…</w:t>
      </w:r>
    </w:p>
    <w:p w14:paraId="38F0B9EA" w14:textId="061924A5" w:rsidR="00F722DB" w:rsidRDefault="00F722DB" w:rsidP="00456FE4">
      <w:pPr>
        <w:spacing w:after="0" w:line="240" w:lineRule="auto"/>
        <w:jc w:val="both"/>
        <w:rPr>
          <w:rFonts w:ascii="Arial" w:eastAsia="Times New Roman" w:hAnsi="Arial" w:cs="Arial"/>
          <w:sz w:val="20"/>
          <w:szCs w:val="20"/>
          <w:lang w:val="es-ES_tradnl" w:eastAsia="es-ES"/>
        </w:rPr>
      </w:pPr>
    </w:p>
    <w:p w14:paraId="0D9F913B" w14:textId="7E97EE01" w:rsidR="00F722DB" w:rsidRPr="00EB5A74" w:rsidRDefault="00AB3BCA" w:rsidP="00456FE4">
      <w:pPr>
        <w:spacing w:after="0" w:line="240" w:lineRule="auto"/>
        <w:jc w:val="both"/>
        <w:rPr>
          <w:rFonts w:ascii="Arial" w:eastAsia="Times New Roman" w:hAnsi="Arial" w:cs="Arial"/>
          <w:sz w:val="20"/>
          <w:szCs w:val="20"/>
          <w:lang w:val="es-ES_tradnl" w:eastAsia="es-ES"/>
        </w:rPr>
      </w:pPr>
      <w:r w:rsidRPr="00AB3BCA">
        <w:rPr>
          <w:rFonts w:ascii="Arial" w:eastAsia="Times New Roman" w:hAnsi="Arial" w:cs="Arial"/>
          <w:sz w:val="20"/>
          <w:szCs w:val="20"/>
          <w:lang w:val="es-ES_tradnl" w:eastAsia="es-ES"/>
        </w:rPr>
        <w:t>Mas, cualquier disertación sobre este aspecto resultaría inane, por cuanto las primeras réplicas de los recurrentes aciertan al decir que surge palmaria la equivocación del juzgado al darle ese matiz al asunto, pues ya esta Sala, en el mentado auto del 2018, había anticipado que aquí no hubo, por donde quiera que se le mire, renuncia de gananciales.</w:t>
      </w:r>
    </w:p>
    <w:p w14:paraId="7370F41E" w14:textId="28032A9D" w:rsidR="00456FE4" w:rsidRDefault="00456FE4" w:rsidP="00456FE4">
      <w:pPr>
        <w:spacing w:after="0" w:line="240" w:lineRule="auto"/>
        <w:jc w:val="both"/>
        <w:rPr>
          <w:rFonts w:ascii="Arial" w:eastAsia="Times New Roman" w:hAnsi="Arial" w:cs="Arial"/>
          <w:sz w:val="20"/>
          <w:szCs w:val="20"/>
          <w:lang w:val="es-ES_tradnl" w:eastAsia="es-ES"/>
        </w:rPr>
      </w:pPr>
    </w:p>
    <w:p w14:paraId="21A4A37F" w14:textId="29ADBADB" w:rsidR="00AF1D3A" w:rsidRPr="00AF1D3A" w:rsidRDefault="00AF1D3A" w:rsidP="00AF1D3A">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003D6B70">
        <w:rPr>
          <w:rFonts w:ascii="Arial" w:eastAsia="Times New Roman" w:hAnsi="Arial" w:cs="Arial"/>
          <w:sz w:val="20"/>
          <w:szCs w:val="20"/>
          <w:lang w:val="es-ES_tradnl" w:eastAsia="es-ES"/>
        </w:rPr>
        <w:t>acie</w:t>
      </w:r>
      <w:r w:rsidRPr="00AF1D3A">
        <w:rPr>
          <w:rFonts w:ascii="Arial" w:eastAsia="Times New Roman" w:hAnsi="Arial" w:cs="Arial"/>
          <w:sz w:val="20"/>
          <w:szCs w:val="20"/>
          <w:lang w:val="es-ES_tradnl" w:eastAsia="es-ES"/>
        </w:rPr>
        <w:t xml:space="preserve">rtan los recurrentes al señalar que en el caso de ahora y respecto de la deprecada nulidad, se reúnen los tres pilares de la cosa juzgada, en cuanto hay identidad jurídica de partes, de causa y de objeto. En la causa y en el objeto no existe la más mínima discusión, por cuanto se trata de descubrir en el acto elevado a escritura pública una nulidad absoluta por la falta de insinuación en una donación y que, producto de ello, algunos bienes deben retornar a la masa herencial del causante para tomar parte en los mismos.  </w:t>
      </w:r>
    </w:p>
    <w:p w14:paraId="4420FB14" w14:textId="77777777" w:rsidR="00AF1D3A" w:rsidRPr="00AF1D3A" w:rsidRDefault="00AF1D3A" w:rsidP="00AF1D3A">
      <w:pPr>
        <w:spacing w:after="0" w:line="240" w:lineRule="auto"/>
        <w:jc w:val="both"/>
        <w:rPr>
          <w:rFonts w:ascii="Arial" w:eastAsia="Times New Roman" w:hAnsi="Arial" w:cs="Arial"/>
          <w:sz w:val="20"/>
          <w:szCs w:val="20"/>
          <w:lang w:val="es-ES_tradnl" w:eastAsia="es-ES"/>
        </w:rPr>
      </w:pPr>
    </w:p>
    <w:p w14:paraId="1C869DDC" w14:textId="13E41B09" w:rsidR="00AF1D3A" w:rsidRDefault="00AF1D3A" w:rsidP="00AF1D3A">
      <w:pPr>
        <w:spacing w:after="0" w:line="240" w:lineRule="auto"/>
        <w:jc w:val="both"/>
        <w:rPr>
          <w:rFonts w:ascii="Arial" w:eastAsia="Times New Roman" w:hAnsi="Arial" w:cs="Arial"/>
          <w:sz w:val="20"/>
          <w:szCs w:val="20"/>
          <w:lang w:val="es-ES_tradnl" w:eastAsia="es-ES"/>
        </w:rPr>
      </w:pPr>
      <w:r w:rsidRPr="00AF1D3A">
        <w:rPr>
          <w:rFonts w:ascii="Arial" w:eastAsia="Times New Roman" w:hAnsi="Arial" w:cs="Arial"/>
          <w:sz w:val="20"/>
          <w:szCs w:val="20"/>
          <w:lang w:val="es-ES_tradnl" w:eastAsia="es-ES"/>
        </w:rPr>
        <w:t>Y en cuanto a la identidad jurídica de partes, la cuestión también es clara, porque en el proceso inicial, el que fue resuelto en el año 2006, fueron convocados los herederos determinados e indeterminados de los causantes González Naranjo, calidad que tiene la aquí demandante inicial, lo mismo que quienes fueron tenidos como litisconsortes por activa</w:t>
      </w:r>
      <w:r>
        <w:rPr>
          <w:rFonts w:ascii="Arial" w:eastAsia="Times New Roman" w:hAnsi="Arial" w:cs="Arial"/>
          <w:sz w:val="20"/>
          <w:szCs w:val="20"/>
          <w:lang w:val="es-ES_tradnl" w:eastAsia="es-ES"/>
        </w:rPr>
        <w:t>…</w:t>
      </w:r>
    </w:p>
    <w:p w14:paraId="2CA3FF3F" w14:textId="77777777" w:rsidR="00AF1D3A" w:rsidRPr="00EB5A74" w:rsidRDefault="00AF1D3A" w:rsidP="00456FE4">
      <w:pPr>
        <w:spacing w:after="0" w:line="240" w:lineRule="auto"/>
        <w:jc w:val="both"/>
        <w:rPr>
          <w:rFonts w:ascii="Arial" w:eastAsia="Times New Roman" w:hAnsi="Arial" w:cs="Arial"/>
          <w:sz w:val="20"/>
          <w:szCs w:val="20"/>
          <w:lang w:val="es-ES_tradnl" w:eastAsia="es-ES"/>
        </w:rPr>
      </w:pPr>
    </w:p>
    <w:p w14:paraId="4F5229FE" w14:textId="77777777" w:rsidR="00456FE4" w:rsidRPr="00EB5A74" w:rsidRDefault="00456FE4" w:rsidP="00456FE4">
      <w:pPr>
        <w:spacing w:after="0" w:line="240" w:lineRule="auto"/>
        <w:jc w:val="both"/>
        <w:rPr>
          <w:rFonts w:ascii="Arial" w:eastAsia="Times New Roman" w:hAnsi="Arial" w:cs="Arial"/>
          <w:sz w:val="20"/>
          <w:szCs w:val="20"/>
          <w:lang w:val="es-ES_tradnl" w:eastAsia="es-ES"/>
        </w:rPr>
      </w:pPr>
    </w:p>
    <w:p w14:paraId="1E21E24C" w14:textId="77777777" w:rsidR="00456FE4" w:rsidRPr="00EB5A74" w:rsidRDefault="00456FE4" w:rsidP="00456FE4">
      <w:pPr>
        <w:spacing w:after="0" w:line="240" w:lineRule="auto"/>
        <w:jc w:val="both"/>
        <w:rPr>
          <w:rFonts w:ascii="Arial" w:eastAsia="Times New Roman" w:hAnsi="Arial" w:cs="Arial"/>
          <w:sz w:val="20"/>
          <w:szCs w:val="20"/>
          <w:lang w:val="es-ES_tradnl" w:eastAsia="es-ES"/>
        </w:rPr>
      </w:pPr>
    </w:p>
    <w:bookmarkEnd w:id="0"/>
    <w:p w14:paraId="31E72ACB" w14:textId="77777777" w:rsidR="00803DB0" w:rsidRPr="00EB5A74" w:rsidRDefault="00803DB0" w:rsidP="00456FE4">
      <w:pPr>
        <w:keepNext/>
        <w:overflowPunct w:val="0"/>
        <w:autoSpaceDE w:val="0"/>
        <w:autoSpaceDN w:val="0"/>
        <w:adjustRightInd w:val="0"/>
        <w:spacing w:after="0" w:line="276" w:lineRule="auto"/>
        <w:ind w:firstLine="1701"/>
        <w:jc w:val="both"/>
        <w:outlineLvl w:val="0"/>
        <w:rPr>
          <w:rFonts w:ascii="Gadugi" w:eastAsia="Malgun Gothic" w:hAnsi="Gadugi" w:cs="Arial Narrow"/>
          <w:b/>
          <w:bCs/>
          <w:sz w:val="24"/>
          <w:szCs w:val="24"/>
          <w:lang w:val="es-ES_tradnl" w:eastAsia="es-ES"/>
        </w:rPr>
      </w:pPr>
      <w:r w:rsidRPr="00EB5A74">
        <w:rPr>
          <w:rFonts w:ascii="Gadugi" w:eastAsia="Malgun Gothic" w:hAnsi="Gadugi" w:cs="Arial Narrow"/>
          <w:b/>
          <w:bCs/>
          <w:sz w:val="24"/>
          <w:szCs w:val="24"/>
          <w:lang w:val="es-ES_tradnl" w:eastAsia="es-ES"/>
        </w:rPr>
        <w:t>TRIBUNAL SUPERIOR DEL DISTRITO JUDICIAL</w:t>
      </w:r>
    </w:p>
    <w:p w14:paraId="0C61699E" w14:textId="150FD14C" w:rsidR="00803DB0" w:rsidRPr="00EB5A74" w:rsidRDefault="00803DB0" w:rsidP="00456FE4">
      <w:pPr>
        <w:spacing w:after="0" w:line="276" w:lineRule="auto"/>
        <w:ind w:firstLine="1701"/>
        <w:jc w:val="both"/>
        <w:rPr>
          <w:rFonts w:ascii="Gadugi" w:eastAsia="Malgun Gothic" w:hAnsi="Gadugi" w:cs="Estrangelo Edessa"/>
          <w:b/>
          <w:bCs/>
          <w:sz w:val="24"/>
          <w:szCs w:val="24"/>
          <w:lang w:val="es-ES_tradnl"/>
        </w:rPr>
      </w:pPr>
      <w:r w:rsidRPr="00EB5A74">
        <w:rPr>
          <w:rFonts w:ascii="Gadugi" w:eastAsia="Malgun Gothic" w:hAnsi="Gadugi" w:cs="Estrangelo Edessa"/>
          <w:b/>
          <w:bCs/>
          <w:sz w:val="24"/>
          <w:szCs w:val="24"/>
          <w:lang w:val="es-ES_tradnl"/>
        </w:rPr>
        <w:t>SALA DE DECISIÓN CIVIL-FAMILIA</w:t>
      </w:r>
    </w:p>
    <w:p w14:paraId="101D8AE6" w14:textId="77777777" w:rsidR="00803DB0" w:rsidRPr="00EB5A74" w:rsidRDefault="00803DB0" w:rsidP="00E02042">
      <w:pPr>
        <w:spacing w:after="0" w:line="276" w:lineRule="auto"/>
        <w:ind w:firstLine="1701"/>
        <w:jc w:val="both"/>
        <w:rPr>
          <w:rFonts w:ascii="Gadugi" w:eastAsia="Malgun Gothic" w:hAnsi="Gadugi" w:cs="Estrangelo Edessa"/>
          <w:sz w:val="24"/>
          <w:szCs w:val="24"/>
          <w:lang w:val="es-ES_tradnl"/>
        </w:rPr>
      </w:pPr>
    </w:p>
    <w:p w14:paraId="58664B61" w14:textId="77777777" w:rsidR="00803DB0" w:rsidRPr="00EB5A74" w:rsidRDefault="00803DB0" w:rsidP="00E02042">
      <w:pPr>
        <w:tabs>
          <w:tab w:val="left" w:pos="3969"/>
        </w:tabs>
        <w:spacing w:after="0" w:line="276" w:lineRule="auto"/>
        <w:ind w:firstLine="1701"/>
        <w:jc w:val="both"/>
        <w:rPr>
          <w:rFonts w:ascii="Gadugi" w:eastAsia="Malgun Gothic" w:hAnsi="Gadugi" w:cs="Estrangelo Edessa"/>
          <w:sz w:val="24"/>
          <w:szCs w:val="24"/>
          <w:lang w:val="es-ES_tradnl"/>
        </w:rPr>
      </w:pPr>
    </w:p>
    <w:p w14:paraId="6766C06C" w14:textId="1ADD1792" w:rsidR="00803DB0" w:rsidRPr="00EB5A74" w:rsidRDefault="00803DB0" w:rsidP="00E02042">
      <w:pPr>
        <w:spacing w:after="0" w:line="276" w:lineRule="auto"/>
        <w:ind w:firstLine="1701"/>
        <w:jc w:val="both"/>
        <w:rPr>
          <w:rFonts w:ascii="Gadugi" w:eastAsia="Malgun Gothic" w:hAnsi="Gadugi" w:cs="Estrangelo Edessa"/>
          <w:sz w:val="24"/>
          <w:szCs w:val="24"/>
          <w:lang w:val="es-ES_tradnl"/>
        </w:rPr>
      </w:pPr>
      <w:r w:rsidRPr="00EB5A74">
        <w:rPr>
          <w:rFonts w:ascii="Gadugi" w:eastAsia="Malgun Gothic" w:hAnsi="Gadugi" w:cs="Estrangelo Edessa"/>
          <w:sz w:val="24"/>
          <w:szCs w:val="24"/>
          <w:lang w:val="es-ES_tradnl"/>
        </w:rPr>
        <w:t>Magistrado: Jaime Alberto Saraza Naranjo</w:t>
      </w:r>
    </w:p>
    <w:p w14:paraId="6BF0D68F" w14:textId="1CDE3E7C" w:rsidR="00803DB0" w:rsidRPr="00EB5A74" w:rsidRDefault="00803DB0" w:rsidP="00E02042">
      <w:pPr>
        <w:spacing w:after="0" w:line="276" w:lineRule="auto"/>
        <w:ind w:firstLine="1701"/>
        <w:jc w:val="both"/>
        <w:rPr>
          <w:rFonts w:ascii="Gadugi" w:eastAsia="Malgun Gothic" w:hAnsi="Gadugi" w:cs="Estrangelo Edessa"/>
          <w:sz w:val="24"/>
          <w:szCs w:val="24"/>
          <w:lang w:val="es-ES_tradnl"/>
        </w:rPr>
      </w:pPr>
      <w:r w:rsidRPr="00EB5A74">
        <w:rPr>
          <w:rFonts w:ascii="Gadugi" w:eastAsia="Malgun Gothic" w:hAnsi="Gadugi" w:cs="Estrangelo Edessa"/>
          <w:sz w:val="24"/>
          <w:szCs w:val="24"/>
          <w:lang w:val="es-ES_tradnl"/>
        </w:rPr>
        <w:t>Pereira,</w:t>
      </w:r>
      <w:r w:rsidR="00103534" w:rsidRPr="00EB5A74">
        <w:rPr>
          <w:rFonts w:ascii="Gadugi" w:eastAsia="Malgun Gothic" w:hAnsi="Gadugi" w:cs="Estrangelo Edessa"/>
          <w:sz w:val="24"/>
          <w:szCs w:val="24"/>
          <w:lang w:val="es-ES_tradnl"/>
        </w:rPr>
        <w:t xml:space="preserve"> </w:t>
      </w:r>
      <w:r w:rsidR="00747A14" w:rsidRPr="00EB5A74">
        <w:rPr>
          <w:rFonts w:ascii="Gadugi" w:eastAsia="Malgun Gothic" w:hAnsi="Gadugi" w:cs="Estrangelo Edessa"/>
          <w:sz w:val="24"/>
          <w:szCs w:val="24"/>
          <w:lang w:val="es-ES_tradnl"/>
        </w:rPr>
        <w:t>N</w:t>
      </w:r>
      <w:r w:rsidR="00EA0310" w:rsidRPr="00EB5A74">
        <w:rPr>
          <w:rFonts w:ascii="Gadugi" w:eastAsia="Malgun Gothic" w:hAnsi="Gadugi" w:cs="Estrangelo Edessa"/>
          <w:sz w:val="24"/>
          <w:szCs w:val="24"/>
          <w:lang w:val="es-ES_tradnl"/>
        </w:rPr>
        <w:t>oviembre</w:t>
      </w:r>
      <w:r w:rsidR="00B273F8" w:rsidRPr="00EB5A74">
        <w:rPr>
          <w:rFonts w:ascii="Gadugi" w:eastAsia="Malgun Gothic" w:hAnsi="Gadugi" w:cs="Estrangelo Edessa"/>
          <w:sz w:val="24"/>
          <w:szCs w:val="24"/>
          <w:lang w:val="es-ES_tradnl"/>
        </w:rPr>
        <w:t xml:space="preserve"> veintiséis</w:t>
      </w:r>
      <w:r w:rsidR="00EA0310" w:rsidRPr="00EB5A74">
        <w:rPr>
          <w:rFonts w:ascii="Gadugi" w:eastAsia="Malgun Gothic" w:hAnsi="Gadugi" w:cs="Estrangelo Edessa"/>
          <w:sz w:val="24"/>
          <w:szCs w:val="24"/>
          <w:lang w:val="es-ES_tradnl"/>
        </w:rPr>
        <w:t xml:space="preserve">   de dos mil v</w:t>
      </w:r>
      <w:r w:rsidR="00086071" w:rsidRPr="00EB5A74">
        <w:rPr>
          <w:rFonts w:ascii="Gadugi" w:eastAsia="Malgun Gothic" w:hAnsi="Gadugi" w:cs="Estrangelo Edessa"/>
          <w:sz w:val="24"/>
          <w:szCs w:val="24"/>
          <w:lang w:val="es-ES_tradnl"/>
        </w:rPr>
        <w:t>ein</w:t>
      </w:r>
      <w:r w:rsidR="00EA0310" w:rsidRPr="00EB5A74">
        <w:rPr>
          <w:rFonts w:ascii="Gadugi" w:eastAsia="Malgun Gothic" w:hAnsi="Gadugi" w:cs="Estrangelo Edessa"/>
          <w:sz w:val="24"/>
          <w:szCs w:val="24"/>
          <w:lang w:val="es-ES_tradnl"/>
        </w:rPr>
        <w:t>tiuno</w:t>
      </w:r>
    </w:p>
    <w:p w14:paraId="1164184C" w14:textId="4752F4C0" w:rsidR="00803DB0" w:rsidRPr="00EB5A74" w:rsidRDefault="00803DB0" w:rsidP="00E02042">
      <w:pPr>
        <w:spacing w:after="0" w:line="276" w:lineRule="auto"/>
        <w:ind w:firstLine="1701"/>
        <w:jc w:val="both"/>
        <w:rPr>
          <w:rFonts w:ascii="Gadugi" w:eastAsia="Malgun Gothic" w:hAnsi="Gadugi" w:cs="Estrangelo Edessa"/>
          <w:sz w:val="24"/>
          <w:szCs w:val="24"/>
          <w:lang w:val="es-ES_tradnl"/>
        </w:rPr>
      </w:pPr>
      <w:r w:rsidRPr="00EB5A74">
        <w:rPr>
          <w:rFonts w:ascii="Gadugi" w:eastAsia="Malgun Gothic" w:hAnsi="Gadugi" w:cs="Estrangelo Edessa"/>
          <w:sz w:val="24"/>
          <w:szCs w:val="24"/>
          <w:lang w:val="es-ES_tradnl"/>
        </w:rPr>
        <w:t>Expediente:</w:t>
      </w:r>
      <w:r w:rsidR="00103534" w:rsidRPr="00EB5A74">
        <w:rPr>
          <w:rFonts w:ascii="Gadugi" w:eastAsia="Malgun Gothic" w:hAnsi="Gadugi" w:cs="Estrangelo Edessa"/>
          <w:sz w:val="24"/>
          <w:szCs w:val="24"/>
          <w:lang w:val="es-ES_tradnl"/>
        </w:rPr>
        <w:t xml:space="preserve"> </w:t>
      </w:r>
      <w:r w:rsidR="00EA0310" w:rsidRPr="00EB5A74">
        <w:rPr>
          <w:rFonts w:ascii="Gadugi" w:eastAsia="Malgun Gothic" w:hAnsi="Gadugi" w:cs="Estrangelo Edessa"/>
          <w:sz w:val="24"/>
          <w:szCs w:val="24"/>
          <w:lang w:val="es-ES_tradnl"/>
        </w:rPr>
        <w:t>660013110003201100758</w:t>
      </w:r>
      <w:r w:rsidR="00455AAE" w:rsidRPr="00EB5A74">
        <w:rPr>
          <w:rFonts w:ascii="Gadugi" w:eastAsia="Malgun Gothic" w:hAnsi="Gadugi" w:cs="Estrangelo Edessa"/>
          <w:sz w:val="24"/>
          <w:szCs w:val="24"/>
          <w:lang w:val="es-ES_tradnl"/>
        </w:rPr>
        <w:t>02</w:t>
      </w:r>
    </w:p>
    <w:p w14:paraId="32C5703D" w14:textId="0C3AD5EA" w:rsidR="00803DB0" w:rsidRPr="00EB5A74" w:rsidRDefault="00803DB0" w:rsidP="00E02042">
      <w:pPr>
        <w:tabs>
          <w:tab w:val="left" w:pos="3969"/>
          <w:tab w:val="left" w:pos="4678"/>
        </w:tabs>
        <w:spacing w:after="0" w:line="276" w:lineRule="auto"/>
        <w:ind w:firstLine="1701"/>
        <w:jc w:val="both"/>
        <w:rPr>
          <w:rFonts w:ascii="Gadugi" w:eastAsia="Malgun Gothic" w:hAnsi="Gadugi" w:cs="Estrangelo Edessa"/>
          <w:sz w:val="24"/>
          <w:szCs w:val="24"/>
          <w:lang w:val="es-ES_tradnl"/>
        </w:rPr>
      </w:pPr>
      <w:r w:rsidRPr="00EB5A74">
        <w:rPr>
          <w:rFonts w:ascii="Gadugi" w:eastAsia="Malgun Gothic" w:hAnsi="Gadugi" w:cs="Estrangelo Edessa"/>
          <w:sz w:val="24"/>
          <w:szCs w:val="24"/>
          <w:lang w:val="es-ES_tradnl"/>
        </w:rPr>
        <w:lastRenderedPageBreak/>
        <w:t xml:space="preserve">Acta No. </w:t>
      </w:r>
      <w:r w:rsidR="00B273F8" w:rsidRPr="00EB5A74">
        <w:rPr>
          <w:rFonts w:ascii="Gadugi" w:eastAsia="Malgun Gothic" w:hAnsi="Gadugi" w:cs="Estrangelo Edessa"/>
          <w:sz w:val="24"/>
          <w:szCs w:val="24"/>
          <w:lang w:val="es-ES_tradnl"/>
        </w:rPr>
        <w:t>577</w:t>
      </w:r>
      <w:r w:rsidR="004F1826">
        <w:rPr>
          <w:rFonts w:ascii="Gadugi" w:eastAsia="Malgun Gothic" w:hAnsi="Gadugi" w:cs="Estrangelo Edessa"/>
          <w:sz w:val="24"/>
          <w:szCs w:val="24"/>
          <w:lang w:val="es-ES_tradnl"/>
        </w:rPr>
        <w:t xml:space="preserve"> </w:t>
      </w:r>
      <w:r w:rsidR="00B273F8" w:rsidRPr="00EB5A74">
        <w:rPr>
          <w:rFonts w:ascii="Gadugi" w:eastAsia="Malgun Gothic" w:hAnsi="Gadugi" w:cs="Estrangelo Edessa"/>
          <w:sz w:val="24"/>
          <w:szCs w:val="24"/>
          <w:lang w:val="es-ES_tradnl"/>
        </w:rPr>
        <w:t>del 25 de noviembre de 2021</w:t>
      </w:r>
      <w:r w:rsidRPr="00EB5A74">
        <w:rPr>
          <w:rFonts w:ascii="Gadugi" w:eastAsia="Malgun Gothic" w:hAnsi="Gadugi" w:cs="Estrangelo Edessa"/>
          <w:sz w:val="24"/>
          <w:szCs w:val="24"/>
          <w:lang w:val="es-ES_tradnl"/>
        </w:rPr>
        <w:t xml:space="preserve"> </w:t>
      </w:r>
    </w:p>
    <w:p w14:paraId="5B6FA24F" w14:textId="646C50DA" w:rsidR="00803DB0" w:rsidRPr="00EB5A74" w:rsidRDefault="00DD5678" w:rsidP="00E02042">
      <w:pPr>
        <w:spacing w:after="0" w:line="276" w:lineRule="auto"/>
        <w:ind w:firstLine="1701"/>
        <w:jc w:val="both"/>
        <w:rPr>
          <w:rFonts w:ascii="Gadugi" w:eastAsia="Malgun Gothic" w:hAnsi="Gadugi" w:cs="Estrangelo Edessa"/>
          <w:sz w:val="24"/>
          <w:szCs w:val="24"/>
          <w:lang w:val="es-ES_tradnl"/>
        </w:rPr>
      </w:pPr>
      <w:r w:rsidRPr="00EB5A74">
        <w:rPr>
          <w:rFonts w:ascii="Gadugi" w:eastAsia="Malgun Gothic" w:hAnsi="Gadugi" w:cs="Estrangelo Edessa"/>
          <w:sz w:val="24"/>
          <w:szCs w:val="24"/>
          <w:lang w:val="es-ES_tradnl"/>
        </w:rPr>
        <w:t>Sentencia No.</w:t>
      </w:r>
      <w:r w:rsidR="00103534" w:rsidRPr="00EB5A74">
        <w:rPr>
          <w:rFonts w:ascii="Gadugi" w:eastAsia="Malgun Gothic" w:hAnsi="Gadugi" w:cs="Estrangelo Edessa"/>
          <w:sz w:val="24"/>
          <w:szCs w:val="24"/>
          <w:lang w:val="es-ES_tradnl"/>
        </w:rPr>
        <w:t>:</w:t>
      </w:r>
      <w:r w:rsidR="00E02042" w:rsidRPr="00EB5A74">
        <w:rPr>
          <w:rFonts w:ascii="Gadugi" w:eastAsia="Malgun Gothic" w:hAnsi="Gadugi" w:cs="Estrangelo Edessa"/>
          <w:sz w:val="24"/>
          <w:szCs w:val="24"/>
          <w:lang w:val="es-ES_tradnl"/>
        </w:rPr>
        <w:t xml:space="preserve"> </w:t>
      </w:r>
      <w:r w:rsidR="00B273F8" w:rsidRPr="00EB5A74">
        <w:rPr>
          <w:rFonts w:ascii="Gadugi" w:eastAsia="Malgun Gothic" w:hAnsi="Gadugi" w:cs="Estrangelo Edessa"/>
          <w:sz w:val="24"/>
          <w:szCs w:val="24"/>
          <w:lang w:val="es-ES_tradnl"/>
        </w:rPr>
        <w:t>TSP.</w:t>
      </w:r>
      <w:r w:rsidR="00D420AC">
        <w:rPr>
          <w:rFonts w:ascii="Gadugi" w:eastAsia="Malgun Gothic" w:hAnsi="Gadugi" w:cs="Estrangelo Edessa"/>
          <w:sz w:val="24"/>
          <w:szCs w:val="24"/>
          <w:lang w:val="es-ES_tradnl"/>
        </w:rPr>
        <w:t xml:space="preserve"> </w:t>
      </w:r>
      <w:bookmarkStart w:id="1" w:name="_GoBack"/>
      <w:bookmarkEnd w:id="1"/>
      <w:r w:rsidR="00B273F8" w:rsidRPr="00EB5A74">
        <w:rPr>
          <w:rFonts w:ascii="Gadugi" w:eastAsia="Malgun Gothic" w:hAnsi="Gadugi" w:cs="Estrangelo Edessa"/>
          <w:sz w:val="24"/>
          <w:szCs w:val="24"/>
          <w:lang w:val="es-ES_tradnl"/>
        </w:rPr>
        <w:t>SC-0082-2021</w:t>
      </w:r>
    </w:p>
    <w:p w14:paraId="64B29BD8" w14:textId="77777777" w:rsidR="00803DB0" w:rsidRPr="00EB5A74" w:rsidRDefault="00803DB0" w:rsidP="00E02042">
      <w:pPr>
        <w:tabs>
          <w:tab w:val="left" w:pos="4536"/>
        </w:tabs>
        <w:spacing w:after="0" w:line="276" w:lineRule="auto"/>
        <w:ind w:firstLine="1701"/>
        <w:jc w:val="both"/>
        <w:rPr>
          <w:rFonts w:ascii="Gadugi" w:eastAsia="Malgun Gothic" w:hAnsi="Gadugi" w:cs="Estrangelo Edessa"/>
          <w:sz w:val="28"/>
          <w:szCs w:val="24"/>
          <w:lang w:val="es-ES_tradnl"/>
        </w:rPr>
      </w:pPr>
    </w:p>
    <w:p w14:paraId="3311A3EE" w14:textId="77777777" w:rsidR="00DD5678" w:rsidRPr="00EB5A74" w:rsidRDefault="00DD5678" w:rsidP="00E02042">
      <w:pPr>
        <w:tabs>
          <w:tab w:val="left" w:pos="4536"/>
        </w:tabs>
        <w:spacing w:after="0" w:line="276" w:lineRule="auto"/>
        <w:ind w:firstLine="1701"/>
        <w:jc w:val="both"/>
        <w:rPr>
          <w:rFonts w:ascii="Gadugi" w:eastAsia="Malgun Gothic" w:hAnsi="Gadugi" w:cs="Estrangelo Edessa"/>
          <w:sz w:val="28"/>
          <w:szCs w:val="24"/>
          <w:lang w:val="es-ES_tradnl"/>
        </w:rPr>
      </w:pPr>
    </w:p>
    <w:p w14:paraId="3DEBF6A0" w14:textId="6CD24C7D" w:rsidR="00F214D8" w:rsidRPr="00EB5A74" w:rsidRDefault="00803DB0" w:rsidP="00456FE4">
      <w:pPr>
        <w:tabs>
          <w:tab w:val="left" w:pos="4536"/>
        </w:tabs>
        <w:spacing w:after="0" w:line="276" w:lineRule="auto"/>
        <w:ind w:firstLine="1701"/>
        <w:jc w:val="both"/>
        <w:rPr>
          <w:rFonts w:ascii="Gadugi" w:hAnsi="Gadugi"/>
          <w:sz w:val="24"/>
          <w:szCs w:val="24"/>
          <w:lang w:val="es-ES_tradnl"/>
        </w:rPr>
      </w:pPr>
      <w:r w:rsidRPr="00EB5A74">
        <w:rPr>
          <w:rFonts w:ascii="Gadugi" w:eastAsia="Malgun Gothic" w:hAnsi="Gadugi" w:cs="Estrangelo Edessa"/>
          <w:sz w:val="24"/>
          <w:szCs w:val="24"/>
          <w:lang w:val="es-ES_tradnl"/>
        </w:rPr>
        <w:t xml:space="preserve">Resuelve la Sala el recurso de apelación interpuesto por la parte demandada contra la sentencia del </w:t>
      </w:r>
      <w:r w:rsidR="0016543A" w:rsidRPr="00EB5A74">
        <w:rPr>
          <w:rFonts w:ascii="Gadugi" w:eastAsia="Malgun Gothic" w:hAnsi="Gadugi" w:cs="Estrangelo Edessa"/>
          <w:sz w:val="24"/>
          <w:szCs w:val="24"/>
          <w:lang w:val="es-ES_tradnl"/>
        </w:rPr>
        <w:t>1 de Julio de 2020</w:t>
      </w:r>
      <w:r w:rsidRPr="00EB5A74">
        <w:rPr>
          <w:rFonts w:ascii="Gadugi" w:eastAsia="Malgun Gothic" w:hAnsi="Gadugi" w:cs="Estrangelo Edessa"/>
          <w:sz w:val="24"/>
          <w:szCs w:val="24"/>
          <w:lang w:val="es-ES_tradnl"/>
        </w:rPr>
        <w:t xml:space="preserve">, proferida por el Juzgado </w:t>
      </w:r>
      <w:r w:rsidR="00D24E4A" w:rsidRPr="00EB5A74">
        <w:rPr>
          <w:rFonts w:ascii="Gadugi" w:eastAsia="Calibri" w:hAnsi="Gadugi" w:cs="Times New Roman"/>
          <w:sz w:val="24"/>
          <w:szCs w:val="24"/>
          <w:lang w:val="es-ES_tradnl"/>
        </w:rPr>
        <w:t>Tercero de Familia de Pereira</w:t>
      </w:r>
      <w:r w:rsidRPr="00EB5A74">
        <w:rPr>
          <w:rFonts w:ascii="Gadugi" w:eastAsia="Malgun Gothic" w:hAnsi="Gadugi" w:cs="Estrangelo Edessa"/>
          <w:sz w:val="24"/>
          <w:szCs w:val="24"/>
          <w:lang w:val="es-ES_tradnl"/>
        </w:rPr>
        <w:t xml:space="preserve">, en este proceso </w:t>
      </w:r>
      <w:r w:rsidRPr="00EB5A74">
        <w:rPr>
          <w:rFonts w:ascii="Gadugi" w:eastAsia="Malgun Gothic" w:hAnsi="Gadugi" w:cs="Estrangelo Edessa"/>
          <w:b/>
          <w:sz w:val="24"/>
          <w:szCs w:val="24"/>
          <w:lang w:val="es-ES_tradnl"/>
        </w:rPr>
        <w:t>verbal</w:t>
      </w:r>
      <w:r w:rsidRPr="00EB5A74">
        <w:rPr>
          <w:rFonts w:ascii="Gadugi" w:eastAsia="Malgun Gothic" w:hAnsi="Gadugi" w:cs="Estrangelo Edessa"/>
          <w:sz w:val="24"/>
          <w:szCs w:val="24"/>
          <w:lang w:val="es-ES_tradnl"/>
        </w:rPr>
        <w:t xml:space="preserve"> de </w:t>
      </w:r>
      <w:r w:rsidR="00D24E4A" w:rsidRPr="00EB5A74">
        <w:rPr>
          <w:rFonts w:ascii="Gadugi" w:eastAsia="Malgun Gothic" w:hAnsi="Gadugi" w:cs="Estrangelo Edessa"/>
          <w:b/>
          <w:sz w:val="24"/>
          <w:szCs w:val="24"/>
          <w:lang w:val="es-ES_tradnl"/>
        </w:rPr>
        <w:t>inoponibilidad de escritura pública</w:t>
      </w:r>
      <w:r w:rsidRPr="00EB5A74">
        <w:rPr>
          <w:rFonts w:ascii="Gadugi" w:eastAsia="Malgun Gothic" w:hAnsi="Gadugi" w:cs="Estrangelo Edessa"/>
          <w:sz w:val="24"/>
          <w:szCs w:val="24"/>
          <w:lang w:val="es-ES_tradnl"/>
        </w:rPr>
        <w:t xml:space="preserve"> que </w:t>
      </w:r>
      <w:r w:rsidR="00D24E4A" w:rsidRPr="00EB5A74">
        <w:rPr>
          <w:rFonts w:ascii="Gadugi" w:eastAsia="Malgun Gothic" w:hAnsi="Gadugi" w:cs="Estrangelo Edessa"/>
          <w:b/>
          <w:sz w:val="24"/>
          <w:szCs w:val="24"/>
          <w:lang w:val="es-ES_tradnl"/>
        </w:rPr>
        <w:t>Luz Amparo González Lizcano</w:t>
      </w:r>
      <w:r w:rsidRPr="00EB5A74">
        <w:rPr>
          <w:rFonts w:ascii="Gadugi" w:eastAsia="Malgun Gothic" w:hAnsi="Gadugi" w:cs="Estrangelo Edessa"/>
          <w:sz w:val="24"/>
          <w:szCs w:val="24"/>
          <w:lang w:val="es-ES_tradnl"/>
        </w:rPr>
        <w:t xml:space="preserve"> inició frente a </w:t>
      </w:r>
      <w:r w:rsidR="00D24E4A" w:rsidRPr="00EB5A74">
        <w:rPr>
          <w:rFonts w:ascii="Gadugi" w:eastAsia="Malgun Gothic" w:hAnsi="Gadugi" w:cs="Estrangelo Edessa"/>
          <w:b/>
          <w:sz w:val="24"/>
          <w:szCs w:val="24"/>
          <w:lang w:val="es-ES_tradnl"/>
        </w:rPr>
        <w:t>Patricia del Socorro González Naranjo</w:t>
      </w:r>
      <w:r w:rsidR="00AD6497" w:rsidRPr="00EB5A74">
        <w:rPr>
          <w:rFonts w:ascii="Gadugi" w:eastAsia="Malgun Gothic" w:hAnsi="Gadugi" w:cs="Estrangelo Edessa"/>
          <w:b/>
          <w:sz w:val="24"/>
          <w:szCs w:val="24"/>
          <w:lang w:val="es-ES_tradnl"/>
        </w:rPr>
        <w:t xml:space="preserve">, Javier, </w:t>
      </w:r>
      <w:r w:rsidR="002861A1" w:rsidRPr="00EB5A74">
        <w:rPr>
          <w:rFonts w:ascii="Gadugi" w:hAnsi="Gadugi"/>
          <w:b/>
          <w:color w:val="000000"/>
          <w:sz w:val="24"/>
          <w:szCs w:val="24"/>
          <w:lang w:val="es-ES_tradnl"/>
        </w:rPr>
        <w:t>Gloria Mar</w:t>
      </w:r>
      <w:r w:rsidR="00AD6497" w:rsidRPr="00EB5A74">
        <w:rPr>
          <w:rFonts w:ascii="Gadugi" w:hAnsi="Gadugi"/>
          <w:b/>
          <w:color w:val="000000"/>
          <w:sz w:val="24"/>
          <w:szCs w:val="24"/>
          <w:lang w:val="es-ES_tradnl"/>
        </w:rPr>
        <w:t xml:space="preserve">ía, </w:t>
      </w:r>
      <w:r w:rsidR="002861A1" w:rsidRPr="00EB5A74">
        <w:rPr>
          <w:rFonts w:ascii="Gadugi" w:hAnsi="Gadugi"/>
          <w:b/>
          <w:color w:val="000000"/>
          <w:sz w:val="24"/>
          <w:szCs w:val="24"/>
          <w:lang w:val="es-ES_tradnl"/>
        </w:rPr>
        <w:t>M</w:t>
      </w:r>
      <w:r w:rsidR="00AD6497" w:rsidRPr="00EB5A74">
        <w:rPr>
          <w:rFonts w:ascii="Gadugi" w:hAnsi="Gadugi"/>
          <w:b/>
          <w:color w:val="000000"/>
          <w:sz w:val="24"/>
          <w:szCs w:val="24"/>
          <w:lang w:val="es-ES_tradnl"/>
        </w:rPr>
        <w:t>ó</w:t>
      </w:r>
      <w:r w:rsidR="002861A1" w:rsidRPr="00EB5A74">
        <w:rPr>
          <w:rFonts w:ascii="Gadugi" w:hAnsi="Gadugi"/>
          <w:b/>
          <w:color w:val="000000"/>
          <w:sz w:val="24"/>
          <w:szCs w:val="24"/>
          <w:lang w:val="es-ES_tradnl"/>
        </w:rPr>
        <w:t>nica Gonz</w:t>
      </w:r>
      <w:r w:rsidR="00AD6497" w:rsidRPr="00EB5A74">
        <w:rPr>
          <w:rFonts w:ascii="Gadugi" w:hAnsi="Gadugi"/>
          <w:b/>
          <w:color w:val="000000"/>
          <w:sz w:val="24"/>
          <w:szCs w:val="24"/>
          <w:lang w:val="es-ES_tradnl"/>
        </w:rPr>
        <w:t>á</w:t>
      </w:r>
      <w:r w:rsidR="002861A1" w:rsidRPr="00EB5A74">
        <w:rPr>
          <w:rFonts w:ascii="Gadugi" w:hAnsi="Gadugi"/>
          <w:b/>
          <w:color w:val="000000"/>
          <w:sz w:val="24"/>
          <w:szCs w:val="24"/>
          <w:lang w:val="es-ES_tradnl"/>
        </w:rPr>
        <w:t>lez Naranjo</w:t>
      </w:r>
      <w:r w:rsidR="00AD6497" w:rsidRPr="00EB5A74">
        <w:rPr>
          <w:rFonts w:ascii="Gadugi" w:hAnsi="Gadugi"/>
          <w:b/>
          <w:color w:val="000000"/>
          <w:sz w:val="24"/>
          <w:szCs w:val="24"/>
          <w:lang w:val="es-ES_tradnl"/>
        </w:rPr>
        <w:t xml:space="preserve"> </w:t>
      </w:r>
      <w:r w:rsidR="00AD6497" w:rsidRPr="00EB5A74">
        <w:rPr>
          <w:rFonts w:ascii="Gadugi" w:hAnsi="Gadugi"/>
          <w:color w:val="000000"/>
          <w:sz w:val="24"/>
          <w:szCs w:val="24"/>
          <w:lang w:val="es-ES_tradnl"/>
        </w:rPr>
        <w:t xml:space="preserve">y </w:t>
      </w:r>
      <w:r w:rsidR="002861A1" w:rsidRPr="00EB5A74">
        <w:rPr>
          <w:rFonts w:ascii="Gadugi" w:hAnsi="Gadugi"/>
          <w:color w:val="000000"/>
          <w:sz w:val="24"/>
          <w:szCs w:val="24"/>
          <w:lang w:val="es-ES_tradnl"/>
        </w:rPr>
        <w:t xml:space="preserve">los </w:t>
      </w:r>
      <w:r w:rsidR="002861A1" w:rsidRPr="00EB5A74">
        <w:rPr>
          <w:rFonts w:ascii="Gadugi" w:hAnsi="Gadugi"/>
          <w:b/>
          <w:color w:val="000000"/>
          <w:sz w:val="24"/>
          <w:szCs w:val="24"/>
          <w:lang w:val="es-ES_tradnl"/>
        </w:rPr>
        <w:t>herederos indeterminados de Julio C</w:t>
      </w:r>
      <w:r w:rsidR="00AD6497" w:rsidRPr="00EB5A74">
        <w:rPr>
          <w:rFonts w:ascii="Gadugi" w:hAnsi="Gadugi"/>
          <w:b/>
          <w:color w:val="000000"/>
          <w:sz w:val="24"/>
          <w:szCs w:val="24"/>
          <w:lang w:val="es-ES_tradnl"/>
        </w:rPr>
        <w:t>é</w:t>
      </w:r>
      <w:r w:rsidR="002861A1" w:rsidRPr="00EB5A74">
        <w:rPr>
          <w:rFonts w:ascii="Gadugi" w:hAnsi="Gadugi"/>
          <w:b/>
          <w:color w:val="000000"/>
          <w:sz w:val="24"/>
          <w:szCs w:val="24"/>
          <w:lang w:val="es-ES_tradnl"/>
        </w:rPr>
        <w:t>sar Gonz</w:t>
      </w:r>
      <w:r w:rsidR="00AD6497" w:rsidRPr="00EB5A74">
        <w:rPr>
          <w:rFonts w:ascii="Gadugi" w:hAnsi="Gadugi"/>
          <w:b/>
          <w:color w:val="000000"/>
          <w:sz w:val="24"/>
          <w:szCs w:val="24"/>
          <w:lang w:val="es-ES_tradnl"/>
        </w:rPr>
        <w:t>á</w:t>
      </w:r>
      <w:r w:rsidR="002861A1" w:rsidRPr="00EB5A74">
        <w:rPr>
          <w:rFonts w:ascii="Gadugi" w:hAnsi="Gadugi"/>
          <w:b/>
          <w:color w:val="000000"/>
          <w:sz w:val="24"/>
          <w:szCs w:val="24"/>
          <w:lang w:val="es-ES_tradnl"/>
        </w:rPr>
        <w:t>lez</w:t>
      </w:r>
      <w:r w:rsidR="00F214D8" w:rsidRPr="00EB5A74">
        <w:rPr>
          <w:rFonts w:ascii="Gadugi" w:hAnsi="Gadugi"/>
          <w:b/>
          <w:color w:val="000000"/>
          <w:sz w:val="24"/>
          <w:szCs w:val="24"/>
          <w:lang w:val="es-ES_tradnl"/>
        </w:rPr>
        <w:t xml:space="preserve"> y Soledad Naranjo</w:t>
      </w:r>
      <w:r w:rsidR="00F214D8" w:rsidRPr="00EB5A74">
        <w:rPr>
          <w:rFonts w:ascii="Gadugi" w:hAnsi="Gadugi"/>
          <w:color w:val="000000"/>
          <w:sz w:val="24"/>
          <w:szCs w:val="24"/>
          <w:lang w:val="es-ES_tradnl"/>
        </w:rPr>
        <w:t xml:space="preserve">, en el que se tuvo como litisconsortes por activa a </w:t>
      </w:r>
      <w:r w:rsidR="00F214D8" w:rsidRPr="00EB5A74">
        <w:rPr>
          <w:rFonts w:ascii="Gadugi" w:hAnsi="Gadugi"/>
          <w:b/>
          <w:sz w:val="24"/>
          <w:szCs w:val="24"/>
          <w:lang w:val="es-ES_tradnl"/>
        </w:rPr>
        <w:t xml:space="preserve">Julio César Lizcano o González Lizcano, Letty Lizcano o González Lizcano, </w:t>
      </w:r>
      <w:proofErr w:type="spellStart"/>
      <w:r w:rsidR="00F214D8" w:rsidRPr="00EB5A74">
        <w:rPr>
          <w:rFonts w:ascii="Gadugi" w:hAnsi="Gadugi"/>
          <w:b/>
          <w:sz w:val="24"/>
          <w:szCs w:val="24"/>
          <w:lang w:val="es-ES_tradnl"/>
        </w:rPr>
        <w:t>Sol</w:t>
      </w:r>
      <w:r w:rsidR="005B5968">
        <w:rPr>
          <w:rFonts w:ascii="Gadugi" w:hAnsi="Gadugi"/>
          <w:b/>
          <w:sz w:val="24"/>
          <w:szCs w:val="24"/>
          <w:lang w:val="es-ES_tradnl"/>
        </w:rPr>
        <w:t>á</w:t>
      </w:r>
      <w:r w:rsidR="00F214D8" w:rsidRPr="00EB5A74">
        <w:rPr>
          <w:rFonts w:ascii="Gadugi" w:hAnsi="Gadugi"/>
          <w:b/>
          <w:sz w:val="24"/>
          <w:szCs w:val="24"/>
          <w:lang w:val="es-ES_tradnl"/>
        </w:rPr>
        <w:t>ngel</w:t>
      </w:r>
      <w:proofErr w:type="spellEnd"/>
      <w:r w:rsidR="00F214D8" w:rsidRPr="00EB5A74">
        <w:rPr>
          <w:rFonts w:ascii="Gadugi" w:hAnsi="Gadugi"/>
          <w:b/>
          <w:sz w:val="24"/>
          <w:szCs w:val="24"/>
          <w:lang w:val="es-ES_tradnl"/>
        </w:rPr>
        <w:t xml:space="preserve"> Lizcano, Yanet González Lizcano y María Liliana González Lizcano</w:t>
      </w:r>
      <w:r w:rsidR="00C94836" w:rsidRPr="00EB5A74">
        <w:rPr>
          <w:rFonts w:ascii="Gadugi" w:hAnsi="Gadugi"/>
          <w:sz w:val="24"/>
          <w:szCs w:val="24"/>
          <w:lang w:val="es-ES_tradnl"/>
        </w:rPr>
        <w:t>.</w:t>
      </w:r>
    </w:p>
    <w:p w14:paraId="20612168" w14:textId="77777777" w:rsidR="00F214D8" w:rsidRPr="00EB5A74" w:rsidRDefault="00F214D8" w:rsidP="00E02042">
      <w:pPr>
        <w:tabs>
          <w:tab w:val="left" w:pos="4536"/>
        </w:tabs>
        <w:spacing w:after="0" w:line="276" w:lineRule="auto"/>
        <w:ind w:firstLine="1701"/>
        <w:jc w:val="both"/>
        <w:rPr>
          <w:rFonts w:ascii="Gadugi" w:eastAsia="Malgun Gothic" w:hAnsi="Gadugi" w:cs="Estrangelo Edessa"/>
          <w:sz w:val="24"/>
          <w:szCs w:val="24"/>
          <w:lang w:val="es-ES_tradnl"/>
        </w:rPr>
      </w:pPr>
    </w:p>
    <w:p w14:paraId="51B03832" w14:textId="77777777" w:rsidR="00F214D8" w:rsidRPr="00EB5A74" w:rsidRDefault="00F214D8" w:rsidP="00456FE4">
      <w:pPr>
        <w:tabs>
          <w:tab w:val="left" w:pos="4536"/>
        </w:tabs>
        <w:spacing w:after="0" w:line="276" w:lineRule="auto"/>
        <w:ind w:firstLine="1701"/>
        <w:jc w:val="both"/>
        <w:rPr>
          <w:rFonts w:ascii="Gadugi" w:eastAsia="Malgun Gothic" w:hAnsi="Gadugi" w:cs="Estrangelo Edessa"/>
          <w:sz w:val="24"/>
          <w:szCs w:val="24"/>
          <w:lang w:val="es-ES_tradnl"/>
        </w:rPr>
      </w:pPr>
    </w:p>
    <w:p w14:paraId="3C75EE4D" w14:textId="77777777" w:rsidR="00803DB0" w:rsidRPr="00EB5A74" w:rsidRDefault="00803DB0" w:rsidP="00456FE4">
      <w:pPr>
        <w:numPr>
          <w:ilvl w:val="0"/>
          <w:numId w:val="1"/>
        </w:numPr>
        <w:spacing w:after="0" w:line="276" w:lineRule="auto"/>
        <w:ind w:left="0" w:firstLine="1701"/>
        <w:jc w:val="both"/>
        <w:rPr>
          <w:rFonts w:ascii="Gadugi" w:eastAsia="Malgun Gothic" w:hAnsi="Gadugi" w:cs="Estrangelo Edessa"/>
          <w:b/>
          <w:sz w:val="24"/>
          <w:szCs w:val="24"/>
          <w:lang w:val="es-ES_tradnl"/>
        </w:rPr>
      </w:pPr>
      <w:r w:rsidRPr="00EB5A74">
        <w:rPr>
          <w:rFonts w:ascii="Gadugi" w:eastAsia="Malgun Gothic" w:hAnsi="Gadugi" w:cs="Estrangelo Edessa"/>
          <w:b/>
          <w:sz w:val="24"/>
          <w:szCs w:val="24"/>
          <w:lang w:val="es-ES_tradnl"/>
        </w:rPr>
        <w:t>ANTECEDENTES</w:t>
      </w:r>
    </w:p>
    <w:p w14:paraId="1343D325" w14:textId="77777777" w:rsidR="00803DB0" w:rsidRPr="00EB5A74" w:rsidRDefault="00803DB0" w:rsidP="00456FE4">
      <w:pPr>
        <w:tabs>
          <w:tab w:val="left" w:pos="4536"/>
        </w:tabs>
        <w:spacing w:after="0" w:line="276" w:lineRule="auto"/>
        <w:ind w:firstLine="1701"/>
        <w:jc w:val="both"/>
        <w:rPr>
          <w:rFonts w:ascii="Gadugi" w:eastAsia="Malgun Gothic" w:hAnsi="Gadugi" w:cs="Estrangelo Edessa"/>
          <w:sz w:val="24"/>
          <w:szCs w:val="24"/>
          <w:lang w:val="es-ES_tradnl"/>
        </w:rPr>
      </w:pPr>
    </w:p>
    <w:p w14:paraId="2C07FDBF" w14:textId="77777777" w:rsidR="00803DB0" w:rsidRPr="00EB5A74" w:rsidRDefault="00803DB0" w:rsidP="00456FE4">
      <w:pPr>
        <w:numPr>
          <w:ilvl w:val="1"/>
          <w:numId w:val="1"/>
        </w:numPr>
        <w:tabs>
          <w:tab w:val="left" w:pos="2268"/>
        </w:tabs>
        <w:spacing w:after="0" w:line="276" w:lineRule="auto"/>
        <w:ind w:left="0" w:firstLine="1701"/>
        <w:jc w:val="both"/>
        <w:rPr>
          <w:rFonts w:ascii="Gadugi" w:hAnsi="Gadugi"/>
          <w:sz w:val="24"/>
          <w:szCs w:val="24"/>
          <w:lang w:val="es-ES_tradnl"/>
        </w:rPr>
      </w:pPr>
      <w:r w:rsidRPr="00EB5A74">
        <w:rPr>
          <w:rFonts w:ascii="Gadugi" w:eastAsia="Malgun Gothic" w:hAnsi="Gadugi" w:cs="Estrangelo Edessa"/>
          <w:b/>
          <w:sz w:val="24"/>
          <w:szCs w:val="24"/>
          <w:lang w:val="es-ES_tradnl"/>
        </w:rPr>
        <w:t>Hechos</w:t>
      </w:r>
      <w:r w:rsidR="002861A1" w:rsidRPr="00EB5A74">
        <w:rPr>
          <w:rStyle w:val="Ttulo5Car"/>
          <w:rFonts w:ascii="Gadugi" w:eastAsia="Malgun Gothic" w:hAnsi="Gadugi" w:cs="Estrangelo Edessa"/>
          <w:b w:val="0"/>
          <w:bCs w:val="0"/>
          <w:sz w:val="24"/>
          <w:szCs w:val="24"/>
          <w:vertAlign w:val="superscript"/>
          <w:lang w:val="es-ES_tradnl"/>
        </w:rPr>
        <w:footnoteReference w:id="1"/>
      </w:r>
      <w:r w:rsidRPr="00EB5A74">
        <w:rPr>
          <w:rFonts w:ascii="Gadugi" w:eastAsia="Malgun Gothic" w:hAnsi="Gadugi" w:cs="Estrangelo Edessa"/>
          <w:b/>
          <w:bCs/>
          <w:sz w:val="24"/>
          <w:szCs w:val="24"/>
          <w:vertAlign w:val="superscript"/>
          <w:lang w:val="es-ES_tradnl"/>
        </w:rPr>
        <w:t xml:space="preserve"> </w:t>
      </w:r>
    </w:p>
    <w:p w14:paraId="499E50EB" w14:textId="77777777" w:rsidR="00AD6497" w:rsidRPr="00EB5A74" w:rsidRDefault="00AD6497" w:rsidP="00456FE4">
      <w:pPr>
        <w:spacing w:after="0" w:line="276" w:lineRule="auto"/>
        <w:rPr>
          <w:rFonts w:ascii="Gadugi" w:hAnsi="Gadugi"/>
          <w:color w:val="000000"/>
          <w:sz w:val="24"/>
          <w:szCs w:val="24"/>
          <w:lang w:val="es-ES_tradnl"/>
        </w:rPr>
      </w:pPr>
    </w:p>
    <w:p w14:paraId="59931A9D" w14:textId="3DBAF7F3" w:rsidR="00E24BF7"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Señala la demanda que Julio César González y Soledad Naranjo de González contrajeron matrimonio el 15 de febrero de 1958 y tuvieron como hijos a los demandados; disolvieron y liquidaron la sociedad conyugal mediante la escritura p</w:t>
      </w:r>
      <w:r w:rsidR="00E24BF7" w:rsidRPr="00EB5A74">
        <w:rPr>
          <w:rFonts w:ascii="Gadugi" w:hAnsi="Gadugi"/>
          <w:color w:val="000000"/>
          <w:sz w:val="24"/>
          <w:szCs w:val="24"/>
          <w:lang w:val="es-ES_tradnl"/>
        </w:rPr>
        <w:t>ú</w:t>
      </w:r>
      <w:r w:rsidRPr="00EB5A74">
        <w:rPr>
          <w:rFonts w:ascii="Gadugi" w:hAnsi="Gadugi"/>
          <w:color w:val="000000"/>
          <w:sz w:val="24"/>
          <w:szCs w:val="24"/>
          <w:lang w:val="es-ES_tradnl"/>
        </w:rPr>
        <w:t>blica No. 2360 del 12 de diciembre de 1979,</w:t>
      </w:r>
      <w:r w:rsidR="00747A14" w:rsidRPr="00EB5A74">
        <w:rPr>
          <w:rFonts w:ascii="Gadugi" w:hAnsi="Gadugi"/>
          <w:color w:val="000000"/>
          <w:sz w:val="24"/>
          <w:szCs w:val="24"/>
          <w:lang w:val="es-ES_tradnl"/>
        </w:rPr>
        <w:t xml:space="preserve"> </w:t>
      </w:r>
      <w:r w:rsidRPr="00EB5A74">
        <w:rPr>
          <w:rFonts w:ascii="Gadugi" w:hAnsi="Gadugi"/>
          <w:color w:val="000000"/>
          <w:sz w:val="24"/>
          <w:szCs w:val="24"/>
          <w:lang w:val="es-ES_tradnl"/>
        </w:rPr>
        <w:t xml:space="preserve">en la que se expresó que los bienes fueron adquiridos a título oneroso durante la vigencia de la sociedad, afirmación contraria a lo que reflejan los documentos, pues el consorte era, para la fecha de ese acto, propietario de varios inmuebles, </w:t>
      </w:r>
      <w:r w:rsidR="00E24BF7" w:rsidRPr="00EB5A74">
        <w:rPr>
          <w:rFonts w:ascii="Gadugi" w:hAnsi="Gadugi"/>
          <w:color w:val="000000"/>
          <w:sz w:val="24"/>
          <w:szCs w:val="24"/>
          <w:lang w:val="es-ES_tradnl"/>
        </w:rPr>
        <w:t xml:space="preserve">incluidos uno rural denominado Chapinero, adquirido en 1956; otro ubicado en la carrera 6 No. 15-10 de Pereira, comprado en 1957; y otro consistente en la finca denominada La Hoya, que obtuvo en 1953. </w:t>
      </w:r>
    </w:p>
    <w:p w14:paraId="7B70F1AB" w14:textId="77777777" w:rsidR="00AD6497" w:rsidRPr="00EB5A74" w:rsidRDefault="00AD6497" w:rsidP="00456FE4">
      <w:pPr>
        <w:spacing w:after="0" w:line="276" w:lineRule="auto"/>
        <w:ind w:firstLine="1701"/>
        <w:jc w:val="both"/>
        <w:rPr>
          <w:rFonts w:ascii="Gadugi" w:hAnsi="Gadugi"/>
          <w:color w:val="000000"/>
          <w:sz w:val="24"/>
          <w:szCs w:val="24"/>
          <w:lang w:val="es-ES_tradnl"/>
        </w:rPr>
      </w:pPr>
    </w:p>
    <w:p w14:paraId="36F417E5" w14:textId="7880B749" w:rsidR="00AD6497"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En la misma escritura hubo una aclaración acerca de que el esposo había adquirido uno de los lotes que componen la finca Chapinero, pero la mayor parte del precio se pagó cuando ya estaba casado, es decir, con dineros de la sociedad conyugal; igualmente el solar en que se construyó el edificio de la carrera 6</w:t>
      </w:r>
      <w:r w:rsidR="00747A14" w:rsidRPr="00EB5A74">
        <w:rPr>
          <w:rFonts w:ascii="Gadugi" w:hAnsi="Gadugi"/>
          <w:color w:val="000000"/>
          <w:sz w:val="24"/>
          <w:szCs w:val="24"/>
          <w:lang w:val="es-ES_tradnl"/>
        </w:rPr>
        <w:t xml:space="preserve">ª </w:t>
      </w:r>
      <w:r w:rsidRPr="00EB5A74">
        <w:rPr>
          <w:rFonts w:ascii="Gadugi" w:hAnsi="Gadugi"/>
          <w:color w:val="000000"/>
          <w:sz w:val="24"/>
          <w:szCs w:val="24"/>
          <w:lang w:val="es-ES_tradnl"/>
        </w:rPr>
        <w:t xml:space="preserve">esquina con calle 15 de Pereira, que fue </w:t>
      </w:r>
      <w:r w:rsidR="00E24BF7" w:rsidRPr="00EB5A74">
        <w:rPr>
          <w:rFonts w:ascii="Gadugi" w:hAnsi="Gadugi"/>
          <w:color w:val="000000"/>
          <w:sz w:val="24"/>
          <w:szCs w:val="24"/>
          <w:lang w:val="es-ES_tradnl"/>
        </w:rPr>
        <w:t xml:space="preserve">obtenido </w:t>
      </w:r>
      <w:r w:rsidRPr="00EB5A74">
        <w:rPr>
          <w:rFonts w:ascii="Gadugi" w:hAnsi="Gadugi"/>
          <w:color w:val="000000"/>
          <w:sz w:val="24"/>
          <w:szCs w:val="24"/>
          <w:lang w:val="es-ES_tradnl"/>
        </w:rPr>
        <w:t>p</w:t>
      </w:r>
      <w:r w:rsidR="00E24BF7" w:rsidRPr="00EB5A74">
        <w:rPr>
          <w:rFonts w:ascii="Gadugi" w:hAnsi="Gadugi"/>
          <w:color w:val="000000"/>
          <w:sz w:val="24"/>
          <w:szCs w:val="24"/>
          <w:lang w:val="es-ES_tradnl"/>
        </w:rPr>
        <w:t>arte de contado y parte a plazo por él</w:t>
      </w:r>
      <w:r w:rsidRPr="00EB5A74">
        <w:rPr>
          <w:rFonts w:ascii="Gadugi" w:hAnsi="Gadugi"/>
          <w:color w:val="000000"/>
          <w:sz w:val="24"/>
          <w:szCs w:val="24"/>
          <w:lang w:val="es-ES_tradnl"/>
        </w:rPr>
        <w:t>. Y se consignó que renunciaba a favor de su consorte a cualquier mayor valor que pudiera corresponderle por concepto de los bienes propios que tenía antes de casarse, ratificaba la partición, a la vez que renunciaba a cualquier acción de rescisión o de resolución del contrato.</w:t>
      </w:r>
    </w:p>
    <w:p w14:paraId="4D457FE3" w14:textId="77777777" w:rsidR="00AD6497" w:rsidRPr="00EB5A74" w:rsidRDefault="00AD6497" w:rsidP="00456FE4">
      <w:pPr>
        <w:spacing w:after="0" w:line="276" w:lineRule="auto"/>
        <w:ind w:firstLine="1701"/>
        <w:jc w:val="both"/>
        <w:rPr>
          <w:rFonts w:ascii="Gadugi" w:hAnsi="Gadugi"/>
          <w:color w:val="000000"/>
          <w:sz w:val="24"/>
          <w:szCs w:val="24"/>
          <w:lang w:val="es-ES_tradnl"/>
        </w:rPr>
      </w:pPr>
    </w:p>
    <w:p w14:paraId="7E47FD2E" w14:textId="7CF3CBC0" w:rsidR="00AD6497"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lastRenderedPageBreak/>
        <w:t xml:space="preserve">A </w:t>
      </w:r>
      <w:r w:rsidR="00285E8B" w:rsidRPr="00EB5A74">
        <w:rPr>
          <w:rFonts w:ascii="Gadugi" w:hAnsi="Gadugi"/>
          <w:color w:val="000000"/>
          <w:sz w:val="24"/>
          <w:szCs w:val="24"/>
          <w:lang w:val="es-ES_tradnl"/>
        </w:rPr>
        <w:t xml:space="preserve">los dos primeros </w:t>
      </w:r>
      <w:r w:rsidRPr="00EB5A74">
        <w:rPr>
          <w:rFonts w:ascii="Gadugi" w:hAnsi="Gadugi"/>
          <w:color w:val="000000"/>
          <w:sz w:val="24"/>
          <w:szCs w:val="24"/>
          <w:lang w:val="es-ES_tradnl"/>
        </w:rPr>
        <w:t xml:space="preserve">bienes propios </w:t>
      </w:r>
      <w:r w:rsidR="00285E8B" w:rsidRPr="00EB5A74">
        <w:rPr>
          <w:rFonts w:ascii="Gadugi" w:hAnsi="Gadugi"/>
          <w:color w:val="000000"/>
          <w:sz w:val="24"/>
          <w:szCs w:val="24"/>
          <w:lang w:val="es-ES_tradnl"/>
        </w:rPr>
        <w:t xml:space="preserve">señalados, </w:t>
      </w:r>
      <w:r w:rsidRPr="00EB5A74">
        <w:rPr>
          <w:rFonts w:ascii="Gadugi" w:hAnsi="Gadugi"/>
          <w:color w:val="000000"/>
          <w:sz w:val="24"/>
          <w:szCs w:val="24"/>
          <w:lang w:val="es-ES_tradnl"/>
        </w:rPr>
        <w:t>se les dieron los valores de $876.000,</w:t>
      </w:r>
      <w:r w:rsidR="00641296" w:rsidRPr="00EB5A74">
        <w:rPr>
          <w:rFonts w:ascii="Gadugi" w:hAnsi="Gadugi"/>
          <w:color w:val="000000"/>
          <w:sz w:val="24"/>
          <w:szCs w:val="24"/>
          <w:lang w:val="es-ES_tradnl"/>
        </w:rPr>
        <w:t>00</w:t>
      </w:r>
      <w:r w:rsidRPr="00EB5A74">
        <w:rPr>
          <w:rFonts w:ascii="Gadugi" w:hAnsi="Gadugi"/>
          <w:color w:val="000000"/>
          <w:sz w:val="24"/>
          <w:szCs w:val="24"/>
          <w:lang w:val="es-ES_tradnl"/>
        </w:rPr>
        <w:t xml:space="preserve"> y $943.715,</w:t>
      </w:r>
      <w:r w:rsidR="00641296" w:rsidRPr="00EB5A74">
        <w:rPr>
          <w:rFonts w:ascii="Gadugi" w:hAnsi="Gadugi"/>
          <w:color w:val="000000"/>
          <w:sz w:val="24"/>
          <w:szCs w:val="24"/>
          <w:lang w:val="es-ES_tradnl"/>
        </w:rPr>
        <w:t>00</w:t>
      </w:r>
      <w:r w:rsidRPr="00EB5A74">
        <w:rPr>
          <w:rFonts w:ascii="Gadugi" w:hAnsi="Gadugi"/>
          <w:color w:val="000000"/>
          <w:sz w:val="24"/>
          <w:szCs w:val="24"/>
          <w:lang w:val="es-ES_tradnl"/>
        </w:rPr>
        <w:t>, en su orden</w:t>
      </w:r>
      <w:r w:rsidR="00285E8B" w:rsidRPr="00EB5A74">
        <w:rPr>
          <w:rFonts w:ascii="Gadugi" w:hAnsi="Gadugi"/>
          <w:color w:val="000000"/>
          <w:sz w:val="24"/>
          <w:szCs w:val="24"/>
          <w:lang w:val="es-ES_tradnl"/>
        </w:rPr>
        <w:t>,</w:t>
      </w:r>
      <w:r w:rsidR="00E24BF7" w:rsidRPr="00EB5A74">
        <w:rPr>
          <w:rFonts w:ascii="Gadugi" w:hAnsi="Gadugi"/>
          <w:color w:val="000000"/>
          <w:sz w:val="24"/>
          <w:szCs w:val="24"/>
          <w:lang w:val="es-ES_tradnl"/>
        </w:rPr>
        <w:t xml:space="preserve"> y </w:t>
      </w:r>
      <w:r w:rsidRPr="00EB5A74">
        <w:rPr>
          <w:rFonts w:ascii="Gadugi" w:hAnsi="Gadugi"/>
          <w:color w:val="000000"/>
          <w:sz w:val="24"/>
          <w:szCs w:val="24"/>
          <w:lang w:val="es-ES_tradnl"/>
        </w:rPr>
        <w:t>se puede percibir en la escritura p</w:t>
      </w:r>
      <w:r w:rsidR="00E24BF7" w:rsidRPr="00EB5A74">
        <w:rPr>
          <w:rFonts w:ascii="Gadugi" w:hAnsi="Gadugi"/>
          <w:color w:val="000000"/>
          <w:sz w:val="24"/>
          <w:szCs w:val="24"/>
          <w:lang w:val="es-ES_tradnl"/>
        </w:rPr>
        <w:t>ú</w:t>
      </w:r>
      <w:r w:rsidRPr="00EB5A74">
        <w:rPr>
          <w:rFonts w:ascii="Gadugi" w:hAnsi="Gadugi"/>
          <w:color w:val="000000"/>
          <w:sz w:val="24"/>
          <w:szCs w:val="24"/>
          <w:lang w:val="es-ES_tradnl"/>
        </w:rPr>
        <w:t>blica</w:t>
      </w:r>
      <w:r w:rsidR="00E24BF7" w:rsidRPr="00EB5A74">
        <w:rPr>
          <w:rFonts w:ascii="Gadugi" w:hAnsi="Gadugi"/>
          <w:color w:val="000000"/>
          <w:sz w:val="24"/>
          <w:szCs w:val="24"/>
          <w:lang w:val="es-ES_tradnl"/>
        </w:rPr>
        <w:t>,</w:t>
      </w:r>
      <w:r w:rsidRPr="00EB5A74">
        <w:rPr>
          <w:rFonts w:ascii="Gadugi" w:hAnsi="Gadugi"/>
          <w:color w:val="000000"/>
          <w:sz w:val="24"/>
          <w:szCs w:val="24"/>
          <w:lang w:val="es-ES_tradnl"/>
        </w:rPr>
        <w:t xml:space="preserve"> que ellos fueron donados a la sociedad conyugal. </w:t>
      </w:r>
      <w:r w:rsidR="001F28D6" w:rsidRPr="00EB5A74">
        <w:rPr>
          <w:rFonts w:ascii="Gadugi" w:hAnsi="Gadugi"/>
          <w:color w:val="000000"/>
          <w:sz w:val="24"/>
          <w:szCs w:val="24"/>
          <w:lang w:val="es-ES_tradnl"/>
        </w:rPr>
        <w:t>El o</w:t>
      </w:r>
      <w:r w:rsidRPr="00EB5A74">
        <w:rPr>
          <w:rFonts w:ascii="Gadugi" w:hAnsi="Gadugi"/>
          <w:color w:val="000000"/>
          <w:sz w:val="24"/>
          <w:szCs w:val="24"/>
          <w:lang w:val="es-ES_tradnl"/>
        </w:rPr>
        <w:t>tro inmueble, que tambi</w:t>
      </w:r>
      <w:r w:rsidR="00E24BF7" w:rsidRPr="00EB5A74">
        <w:rPr>
          <w:rFonts w:ascii="Gadugi" w:hAnsi="Gadugi"/>
          <w:color w:val="000000"/>
          <w:sz w:val="24"/>
          <w:szCs w:val="24"/>
          <w:lang w:val="es-ES_tradnl"/>
        </w:rPr>
        <w:t xml:space="preserve">én </w:t>
      </w:r>
      <w:r w:rsidRPr="00EB5A74">
        <w:rPr>
          <w:rFonts w:ascii="Gadugi" w:hAnsi="Gadugi"/>
          <w:color w:val="000000"/>
          <w:sz w:val="24"/>
          <w:szCs w:val="24"/>
          <w:lang w:val="es-ES_tradnl"/>
        </w:rPr>
        <w:t>era de propiedad del c</w:t>
      </w:r>
      <w:r w:rsidR="00E24BF7" w:rsidRPr="00EB5A74">
        <w:rPr>
          <w:rFonts w:ascii="Gadugi" w:hAnsi="Gadugi"/>
          <w:color w:val="000000"/>
          <w:sz w:val="24"/>
          <w:szCs w:val="24"/>
          <w:lang w:val="es-ES_tradnl"/>
        </w:rPr>
        <w:t>ó</w:t>
      </w:r>
      <w:r w:rsidRPr="00EB5A74">
        <w:rPr>
          <w:rFonts w:ascii="Gadugi" w:hAnsi="Gadugi"/>
          <w:color w:val="000000"/>
          <w:sz w:val="24"/>
          <w:szCs w:val="24"/>
          <w:lang w:val="es-ES_tradnl"/>
        </w:rPr>
        <w:t>nyuge, fue donado en 1967 a sus hijos menores, seg</w:t>
      </w:r>
      <w:r w:rsidR="00E24BF7" w:rsidRPr="00EB5A74">
        <w:rPr>
          <w:rFonts w:ascii="Gadugi" w:hAnsi="Gadugi"/>
          <w:color w:val="000000"/>
          <w:sz w:val="24"/>
          <w:szCs w:val="24"/>
          <w:lang w:val="es-ES_tradnl"/>
        </w:rPr>
        <w:t>ún</w:t>
      </w:r>
      <w:r w:rsidRPr="00EB5A74">
        <w:rPr>
          <w:rFonts w:ascii="Gadugi" w:hAnsi="Gadugi"/>
          <w:color w:val="000000"/>
          <w:sz w:val="24"/>
          <w:szCs w:val="24"/>
          <w:lang w:val="es-ES_tradnl"/>
        </w:rPr>
        <w:t xml:space="preserve"> escritura p</w:t>
      </w:r>
      <w:r w:rsidR="00E24BF7" w:rsidRPr="00EB5A74">
        <w:rPr>
          <w:rFonts w:ascii="Gadugi" w:hAnsi="Gadugi"/>
          <w:color w:val="000000"/>
          <w:sz w:val="24"/>
          <w:szCs w:val="24"/>
          <w:lang w:val="es-ES_tradnl"/>
        </w:rPr>
        <w:t>ú</w:t>
      </w:r>
      <w:r w:rsidRPr="00EB5A74">
        <w:rPr>
          <w:rFonts w:ascii="Gadugi" w:hAnsi="Gadugi"/>
          <w:color w:val="000000"/>
          <w:sz w:val="24"/>
          <w:szCs w:val="24"/>
          <w:lang w:val="es-ES_tradnl"/>
        </w:rPr>
        <w:t>blica 3069, corrida en la Notar</w:t>
      </w:r>
      <w:r w:rsidR="00E24BF7" w:rsidRPr="00EB5A74">
        <w:rPr>
          <w:rFonts w:ascii="Gadugi" w:hAnsi="Gadugi"/>
          <w:color w:val="000000"/>
          <w:sz w:val="24"/>
          <w:szCs w:val="24"/>
          <w:lang w:val="es-ES_tradnl"/>
        </w:rPr>
        <w:t>ía</w:t>
      </w:r>
      <w:r w:rsidRPr="00EB5A74">
        <w:rPr>
          <w:rFonts w:ascii="Gadugi" w:hAnsi="Gadugi"/>
          <w:color w:val="000000"/>
          <w:sz w:val="24"/>
          <w:szCs w:val="24"/>
          <w:lang w:val="es-ES_tradnl"/>
        </w:rPr>
        <w:t xml:space="preserve"> Tercera de este</w:t>
      </w:r>
      <w:r w:rsidR="00E24BF7" w:rsidRPr="00EB5A74">
        <w:rPr>
          <w:rFonts w:ascii="Gadugi" w:hAnsi="Gadugi"/>
          <w:color w:val="000000"/>
          <w:sz w:val="24"/>
          <w:szCs w:val="24"/>
          <w:lang w:val="es-ES_tradnl"/>
        </w:rPr>
        <w:t xml:space="preserve"> </w:t>
      </w:r>
      <w:r w:rsidRPr="00EB5A74">
        <w:rPr>
          <w:rFonts w:ascii="Gadugi" w:hAnsi="Gadugi"/>
          <w:color w:val="000000"/>
          <w:sz w:val="24"/>
          <w:szCs w:val="24"/>
          <w:lang w:val="es-ES_tradnl"/>
        </w:rPr>
        <w:t>C</w:t>
      </w:r>
      <w:r w:rsidR="00E24BF7" w:rsidRPr="00EB5A74">
        <w:rPr>
          <w:rFonts w:ascii="Gadugi" w:hAnsi="Gadugi"/>
          <w:color w:val="000000"/>
          <w:sz w:val="24"/>
          <w:szCs w:val="24"/>
          <w:lang w:val="es-ES_tradnl"/>
        </w:rPr>
        <w:t>í</w:t>
      </w:r>
      <w:r w:rsidRPr="00EB5A74">
        <w:rPr>
          <w:rFonts w:ascii="Gadugi" w:hAnsi="Gadugi"/>
          <w:color w:val="000000"/>
          <w:sz w:val="24"/>
          <w:szCs w:val="24"/>
          <w:lang w:val="es-ES_tradnl"/>
        </w:rPr>
        <w:t>rculo.</w:t>
      </w:r>
    </w:p>
    <w:p w14:paraId="2AC8C61F" w14:textId="77777777" w:rsidR="00E24BF7" w:rsidRPr="00EB5A74" w:rsidRDefault="00E24BF7" w:rsidP="00456FE4">
      <w:pPr>
        <w:spacing w:after="0" w:line="276" w:lineRule="auto"/>
        <w:ind w:firstLine="1701"/>
        <w:jc w:val="both"/>
        <w:rPr>
          <w:rFonts w:ascii="Gadugi" w:hAnsi="Gadugi"/>
          <w:color w:val="000000"/>
          <w:sz w:val="24"/>
          <w:szCs w:val="24"/>
          <w:lang w:val="es-ES_tradnl"/>
        </w:rPr>
      </w:pPr>
    </w:p>
    <w:p w14:paraId="73656934" w14:textId="77777777" w:rsidR="001F28D6"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La donaci</w:t>
      </w:r>
      <w:r w:rsidR="00E24BF7" w:rsidRPr="00EB5A74">
        <w:rPr>
          <w:rFonts w:ascii="Gadugi" w:hAnsi="Gadugi"/>
          <w:color w:val="000000"/>
          <w:sz w:val="24"/>
          <w:szCs w:val="24"/>
          <w:lang w:val="es-ES_tradnl"/>
        </w:rPr>
        <w:t>ón</w:t>
      </w:r>
      <w:r w:rsidRPr="00EB5A74">
        <w:rPr>
          <w:rFonts w:ascii="Gadugi" w:hAnsi="Gadugi"/>
          <w:color w:val="000000"/>
          <w:sz w:val="24"/>
          <w:szCs w:val="24"/>
          <w:lang w:val="es-ES_tradnl"/>
        </w:rPr>
        <w:t xml:space="preserve"> que se hizo a la c</w:t>
      </w:r>
      <w:r w:rsidR="00E24BF7" w:rsidRPr="00EB5A74">
        <w:rPr>
          <w:rFonts w:ascii="Gadugi" w:hAnsi="Gadugi"/>
          <w:color w:val="000000"/>
          <w:sz w:val="24"/>
          <w:szCs w:val="24"/>
          <w:lang w:val="es-ES_tradnl"/>
        </w:rPr>
        <w:t>ó</w:t>
      </w:r>
      <w:r w:rsidRPr="00EB5A74">
        <w:rPr>
          <w:rFonts w:ascii="Gadugi" w:hAnsi="Gadugi"/>
          <w:color w:val="000000"/>
          <w:sz w:val="24"/>
          <w:szCs w:val="24"/>
          <w:lang w:val="es-ES_tradnl"/>
        </w:rPr>
        <w:t>nyu</w:t>
      </w:r>
      <w:r w:rsidR="00E24BF7" w:rsidRPr="00EB5A74">
        <w:rPr>
          <w:rFonts w:ascii="Gadugi" w:hAnsi="Gadugi"/>
          <w:color w:val="000000"/>
          <w:sz w:val="24"/>
          <w:szCs w:val="24"/>
          <w:lang w:val="es-ES_tradnl"/>
        </w:rPr>
        <w:t>ge</w:t>
      </w:r>
      <w:r w:rsidRPr="00EB5A74">
        <w:rPr>
          <w:rFonts w:ascii="Gadugi" w:hAnsi="Gadugi"/>
          <w:color w:val="000000"/>
          <w:sz w:val="24"/>
          <w:szCs w:val="24"/>
          <w:lang w:val="es-ES_tradnl"/>
        </w:rPr>
        <w:t xml:space="preserve"> es inoponible</w:t>
      </w:r>
      <w:r w:rsidR="00E24BF7" w:rsidRPr="00EB5A74">
        <w:rPr>
          <w:rFonts w:ascii="Gadugi" w:hAnsi="Gadugi"/>
          <w:color w:val="000000"/>
          <w:sz w:val="24"/>
          <w:szCs w:val="24"/>
          <w:lang w:val="es-ES_tradnl"/>
        </w:rPr>
        <w:t xml:space="preserve"> a </w:t>
      </w:r>
      <w:r w:rsidRPr="00EB5A74">
        <w:rPr>
          <w:rFonts w:ascii="Gadugi" w:hAnsi="Gadugi"/>
          <w:color w:val="000000"/>
          <w:sz w:val="24"/>
          <w:szCs w:val="24"/>
          <w:lang w:val="es-ES_tradnl"/>
        </w:rPr>
        <w:t>la demandante y est</w:t>
      </w:r>
      <w:r w:rsidR="00E24BF7" w:rsidRPr="00EB5A74">
        <w:rPr>
          <w:rFonts w:ascii="Gadugi" w:hAnsi="Gadugi"/>
          <w:color w:val="000000"/>
          <w:sz w:val="24"/>
          <w:szCs w:val="24"/>
          <w:lang w:val="es-ES_tradnl"/>
        </w:rPr>
        <w:t>á</w:t>
      </w:r>
      <w:r w:rsidRPr="00EB5A74">
        <w:rPr>
          <w:rFonts w:ascii="Gadugi" w:hAnsi="Gadugi"/>
          <w:color w:val="000000"/>
          <w:sz w:val="24"/>
          <w:szCs w:val="24"/>
          <w:lang w:val="es-ES_tradnl"/>
        </w:rPr>
        <w:t xml:space="preserve"> afectada de nulidad absoluta, por</w:t>
      </w:r>
      <w:r w:rsidR="00E24BF7" w:rsidRPr="00EB5A74">
        <w:rPr>
          <w:rFonts w:ascii="Gadugi" w:hAnsi="Gadugi"/>
          <w:color w:val="000000"/>
          <w:sz w:val="24"/>
          <w:szCs w:val="24"/>
          <w:lang w:val="es-ES_tradnl"/>
        </w:rPr>
        <w:t>que</w:t>
      </w:r>
      <w:r w:rsidRPr="00EB5A74">
        <w:rPr>
          <w:rFonts w:ascii="Gadugi" w:hAnsi="Gadugi"/>
          <w:color w:val="000000"/>
          <w:sz w:val="24"/>
          <w:szCs w:val="24"/>
          <w:lang w:val="es-ES_tradnl"/>
        </w:rPr>
        <w:t xml:space="preserve"> se omiti</w:t>
      </w:r>
      <w:r w:rsidR="00E24BF7"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la insinuaci</w:t>
      </w:r>
      <w:r w:rsidR="00E24BF7" w:rsidRPr="00EB5A74">
        <w:rPr>
          <w:rFonts w:ascii="Gadugi" w:hAnsi="Gadugi"/>
          <w:color w:val="000000"/>
          <w:sz w:val="24"/>
          <w:szCs w:val="24"/>
          <w:lang w:val="es-ES_tradnl"/>
        </w:rPr>
        <w:t>ón</w:t>
      </w:r>
      <w:r w:rsidRPr="00EB5A74">
        <w:rPr>
          <w:rFonts w:ascii="Gadugi" w:hAnsi="Gadugi"/>
          <w:color w:val="000000"/>
          <w:sz w:val="24"/>
          <w:szCs w:val="24"/>
          <w:lang w:val="es-ES_tradnl"/>
        </w:rPr>
        <w:t xml:space="preserve"> de que trata el art</w:t>
      </w:r>
      <w:r w:rsidR="00E24BF7" w:rsidRPr="00EB5A74">
        <w:rPr>
          <w:rFonts w:ascii="Gadugi" w:hAnsi="Gadugi"/>
          <w:color w:val="000000"/>
          <w:sz w:val="24"/>
          <w:szCs w:val="24"/>
          <w:lang w:val="es-ES_tradnl"/>
        </w:rPr>
        <w:t xml:space="preserve">ículo </w:t>
      </w:r>
      <w:r w:rsidRPr="00EB5A74">
        <w:rPr>
          <w:rFonts w:ascii="Gadugi" w:hAnsi="Gadugi"/>
          <w:color w:val="000000"/>
          <w:sz w:val="24"/>
          <w:szCs w:val="24"/>
          <w:lang w:val="es-ES_tradnl"/>
        </w:rPr>
        <w:t xml:space="preserve">1458 del C. Civil y se </w:t>
      </w:r>
      <w:r w:rsidR="00E24BF7" w:rsidRPr="00EB5A74">
        <w:rPr>
          <w:rFonts w:ascii="Gadugi" w:hAnsi="Gadugi"/>
          <w:color w:val="000000"/>
          <w:sz w:val="24"/>
          <w:szCs w:val="24"/>
          <w:lang w:val="es-ES_tradnl"/>
        </w:rPr>
        <w:t xml:space="preserve">contrarió </w:t>
      </w:r>
      <w:r w:rsidRPr="00EB5A74">
        <w:rPr>
          <w:rFonts w:ascii="Gadugi" w:hAnsi="Gadugi"/>
          <w:color w:val="000000"/>
          <w:sz w:val="24"/>
          <w:szCs w:val="24"/>
          <w:lang w:val="es-ES_tradnl"/>
        </w:rPr>
        <w:t>lo que</w:t>
      </w:r>
      <w:r w:rsidR="00E24BF7" w:rsidRPr="00EB5A74">
        <w:rPr>
          <w:rFonts w:ascii="Gadugi" w:hAnsi="Gadugi"/>
          <w:color w:val="000000"/>
          <w:sz w:val="24"/>
          <w:szCs w:val="24"/>
          <w:lang w:val="es-ES_tradnl"/>
        </w:rPr>
        <w:t xml:space="preserve"> </w:t>
      </w:r>
      <w:r w:rsidRPr="00EB5A74">
        <w:rPr>
          <w:rFonts w:ascii="Gadugi" w:hAnsi="Gadugi"/>
          <w:color w:val="000000"/>
          <w:sz w:val="24"/>
          <w:szCs w:val="24"/>
          <w:lang w:val="es-ES_tradnl"/>
        </w:rPr>
        <w:t>establece el art</w:t>
      </w:r>
      <w:r w:rsidR="00E24BF7" w:rsidRPr="00EB5A74">
        <w:rPr>
          <w:rFonts w:ascii="Gadugi" w:hAnsi="Gadugi"/>
          <w:color w:val="000000"/>
          <w:sz w:val="24"/>
          <w:szCs w:val="24"/>
          <w:lang w:val="es-ES_tradnl"/>
        </w:rPr>
        <w:t>íc</w:t>
      </w:r>
      <w:r w:rsidRPr="00EB5A74">
        <w:rPr>
          <w:rFonts w:ascii="Gadugi" w:hAnsi="Gadugi"/>
          <w:color w:val="000000"/>
          <w:sz w:val="24"/>
          <w:szCs w:val="24"/>
          <w:lang w:val="es-ES_tradnl"/>
        </w:rPr>
        <w:t>ulo 3° de la Ley 28 de 1932, as</w:t>
      </w:r>
      <w:r w:rsidR="00E24BF7" w:rsidRPr="00EB5A74">
        <w:rPr>
          <w:rFonts w:ascii="Gadugi" w:hAnsi="Gadugi"/>
          <w:color w:val="000000"/>
          <w:sz w:val="24"/>
          <w:szCs w:val="24"/>
          <w:lang w:val="es-ES_tradnl"/>
        </w:rPr>
        <w:t>í</w:t>
      </w:r>
      <w:r w:rsidRPr="00EB5A74">
        <w:rPr>
          <w:rFonts w:ascii="Gadugi" w:hAnsi="Gadugi"/>
          <w:color w:val="000000"/>
          <w:sz w:val="24"/>
          <w:szCs w:val="24"/>
          <w:lang w:val="es-ES_tradnl"/>
        </w:rPr>
        <w:t xml:space="preserve"> que la cues</w:t>
      </w:r>
      <w:r w:rsidR="00E24BF7" w:rsidRPr="00EB5A74">
        <w:rPr>
          <w:rFonts w:ascii="Gadugi" w:hAnsi="Gadugi"/>
          <w:color w:val="000000"/>
          <w:sz w:val="24"/>
          <w:szCs w:val="24"/>
          <w:lang w:val="es-ES_tradnl"/>
        </w:rPr>
        <w:t>t</w:t>
      </w:r>
      <w:r w:rsidRPr="00EB5A74">
        <w:rPr>
          <w:rFonts w:ascii="Gadugi" w:hAnsi="Gadugi"/>
          <w:color w:val="000000"/>
          <w:sz w:val="24"/>
          <w:szCs w:val="24"/>
          <w:lang w:val="es-ES_tradnl"/>
        </w:rPr>
        <w:t>i</w:t>
      </w:r>
      <w:r w:rsidR="00E24BF7" w:rsidRPr="00EB5A74">
        <w:rPr>
          <w:rFonts w:ascii="Gadugi" w:hAnsi="Gadugi"/>
          <w:color w:val="000000"/>
          <w:sz w:val="24"/>
          <w:szCs w:val="24"/>
          <w:lang w:val="es-ES_tradnl"/>
        </w:rPr>
        <w:t>ón</w:t>
      </w:r>
      <w:r w:rsidRPr="00EB5A74">
        <w:rPr>
          <w:rFonts w:ascii="Gadugi" w:hAnsi="Gadugi"/>
          <w:color w:val="000000"/>
          <w:sz w:val="24"/>
          <w:szCs w:val="24"/>
          <w:lang w:val="es-ES_tradnl"/>
        </w:rPr>
        <w:t xml:space="preserve"> debe ajustarse a lo que </w:t>
      </w:r>
      <w:r w:rsidR="00E24BF7" w:rsidRPr="00EB5A74">
        <w:rPr>
          <w:rFonts w:ascii="Gadugi" w:hAnsi="Gadugi"/>
          <w:color w:val="000000"/>
          <w:sz w:val="24"/>
          <w:szCs w:val="24"/>
          <w:lang w:val="es-ES_tradnl"/>
        </w:rPr>
        <w:t xml:space="preserve">enseñan </w:t>
      </w:r>
      <w:r w:rsidRPr="00EB5A74">
        <w:rPr>
          <w:rFonts w:ascii="Gadugi" w:hAnsi="Gadugi"/>
          <w:color w:val="000000"/>
          <w:sz w:val="24"/>
          <w:szCs w:val="24"/>
          <w:lang w:val="es-ES_tradnl"/>
        </w:rPr>
        <w:t>los art</w:t>
      </w:r>
      <w:r w:rsidR="00E24BF7" w:rsidRPr="00EB5A74">
        <w:rPr>
          <w:rFonts w:ascii="Gadugi" w:hAnsi="Gadugi"/>
          <w:color w:val="000000"/>
          <w:sz w:val="24"/>
          <w:szCs w:val="24"/>
          <w:lang w:val="es-ES_tradnl"/>
        </w:rPr>
        <w:t>í</w:t>
      </w:r>
      <w:r w:rsidRPr="00EB5A74">
        <w:rPr>
          <w:rFonts w:ascii="Gadugi" w:hAnsi="Gadugi"/>
          <w:color w:val="000000"/>
          <w:sz w:val="24"/>
          <w:szCs w:val="24"/>
          <w:lang w:val="es-ES_tradnl"/>
        </w:rPr>
        <w:t xml:space="preserve">culos 6-2 y 1526 del C. Civil. </w:t>
      </w:r>
    </w:p>
    <w:p w14:paraId="541BE61F" w14:textId="77777777" w:rsidR="00AD6497" w:rsidRPr="00EB5A74" w:rsidRDefault="001F28D6"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Agregó que la</w:t>
      </w:r>
      <w:r w:rsidR="00AD6497" w:rsidRPr="00EB5A74">
        <w:rPr>
          <w:rFonts w:ascii="Gadugi" w:hAnsi="Gadugi"/>
          <w:color w:val="000000"/>
          <w:sz w:val="24"/>
          <w:szCs w:val="24"/>
          <w:lang w:val="es-ES_tradnl"/>
        </w:rPr>
        <w:t xml:space="preserve"> inop</w:t>
      </w:r>
      <w:r w:rsidRPr="00EB5A74">
        <w:rPr>
          <w:rFonts w:ascii="Gadugi" w:hAnsi="Gadugi"/>
          <w:color w:val="000000"/>
          <w:sz w:val="24"/>
          <w:szCs w:val="24"/>
          <w:lang w:val="es-ES_tradnl"/>
        </w:rPr>
        <w:t>oni</w:t>
      </w:r>
      <w:r w:rsidR="00AD6497" w:rsidRPr="00EB5A74">
        <w:rPr>
          <w:rFonts w:ascii="Gadugi" w:hAnsi="Gadugi"/>
          <w:color w:val="000000"/>
          <w:sz w:val="24"/>
          <w:szCs w:val="24"/>
          <w:lang w:val="es-ES_tradnl"/>
        </w:rPr>
        <w:t>bilidad</w:t>
      </w:r>
      <w:r w:rsidRPr="00EB5A74">
        <w:rPr>
          <w:rFonts w:ascii="Gadugi" w:hAnsi="Gadugi"/>
          <w:color w:val="000000"/>
          <w:sz w:val="24"/>
          <w:szCs w:val="24"/>
          <w:lang w:val="es-ES_tradnl"/>
        </w:rPr>
        <w:t xml:space="preserve"> surge del</w:t>
      </w:r>
      <w:r w:rsidR="00AD6497" w:rsidRPr="00EB5A74">
        <w:rPr>
          <w:rFonts w:ascii="Gadugi" w:hAnsi="Gadugi"/>
          <w:color w:val="000000"/>
          <w:sz w:val="24"/>
          <w:szCs w:val="24"/>
          <w:lang w:val="es-ES_tradnl"/>
        </w:rPr>
        <w:t xml:space="preserve"> hecho de que ella es un tercero frente al acto ju</w:t>
      </w:r>
      <w:r w:rsidRPr="00EB5A74">
        <w:rPr>
          <w:rFonts w:ascii="Gadugi" w:hAnsi="Gadugi"/>
          <w:color w:val="000000"/>
          <w:sz w:val="24"/>
          <w:szCs w:val="24"/>
          <w:lang w:val="es-ES_tradnl"/>
        </w:rPr>
        <w:t xml:space="preserve">rídico, </w:t>
      </w:r>
      <w:r w:rsidR="00AD6497" w:rsidRPr="00EB5A74">
        <w:rPr>
          <w:rFonts w:ascii="Gadugi" w:hAnsi="Gadugi"/>
          <w:color w:val="000000"/>
          <w:sz w:val="24"/>
          <w:szCs w:val="24"/>
          <w:lang w:val="es-ES_tradnl"/>
        </w:rPr>
        <w:t>efecto para</w:t>
      </w:r>
      <w:r w:rsidRPr="00EB5A74">
        <w:rPr>
          <w:rFonts w:ascii="Gadugi" w:hAnsi="Gadugi"/>
          <w:color w:val="000000"/>
          <w:sz w:val="24"/>
          <w:szCs w:val="24"/>
          <w:lang w:val="es-ES_tradnl"/>
        </w:rPr>
        <w:t xml:space="preserve"> </w:t>
      </w:r>
      <w:r w:rsidR="00AD6497" w:rsidRPr="00EB5A74">
        <w:rPr>
          <w:rFonts w:ascii="Gadugi" w:hAnsi="Gadugi"/>
          <w:color w:val="000000"/>
          <w:sz w:val="24"/>
          <w:szCs w:val="24"/>
          <w:lang w:val="es-ES_tradnl"/>
        </w:rPr>
        <w:t>el cual cita algunas doctrinas y jurisprudencia.</w:t>
      </w:r>
    </w:p>
    <w:p w14:paraId="4D58224E" w14:textId="77777777" w:rsidR="001F28D6" w:rsidRPr="00EB5A74" w:rsidRDefault="001F28D6" w:rsidP="00456FE4">
      <w:pPr>
        <w:spacing w:after="0" w:line="276" w:lineRule="auto"/>
        <w:ind w:firstLine="1701"/>
        <w:jc w:val="both"/>
        <w:rPr>
          <w:rFonts w:ascii="Gadugi" w:hAnsi="Gadugi"/>
          <w:color w:val="000000"/>
          <w:sz w:val="24"/>
          <w:szCs w:val="24"/>
          <w:lang w:val="es-ES_tradnl"/>
        </w:rPr>
      </w:pPr>
    </w:p>
    <w:p w14:paraId="4928EB85" w14:textId="77777777" w:rsidR="00AD6497"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Continu</w:t>
      </w:r>
      <w:r w:rsidR="001F28D6"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w:t>
      </w:r>
      <w:r w:rsidR="001F28D6" w:rsidRPr="00EB5A74">
        <w:rPr>
          <w:rFonts w:ascii="Gadugi" w:hAnsi="Gadugi"/>
          <w:color w:val="000000"/>
          <w:sz w:val="24"/>
          <w:szCs w:val="24"/>
          <w:lang w:val="es-ES_tradnl"/>
        </w:rPr>
        <w:t xml:space="preserve">su relato con la relación de los </w:t>
      </w:r>
      <w:r w:rsidRPr="00EB5A74">
        <w:rPr>
          <w:rFonts w:ascii="Gadugi" w:hAnsi="Gadugi"/>
          <w:color w:val="000000"/>
          <w:sz w:val="24"/>
          <w:szCs w:val="24"/>
          <w:lang w:val="es-ES_tradnl"/>
        </w:rPr>
        <w:t xml:space="preserve">bienes </w:t>
      </w:r>
      <w:r w:rsidR="001F28D6" w:rsidRPr="00EB5A74">
        <w:rPr>
          <w:rFonts w:ascii="Gadugi" w:hAnsi="Gadugi"/>
          <w:color w:val="000000"/>
          <w:sz w:val="24"/>
          <w:szCs w:val="24"/>
          <w:lang w:val="es-ES_tradnl"/>
        </w:rPr>
        <w:t xml:space="preserve">que fueron </w:t>
      </w:r>
      <w:r w:rsidRPr="00EB5A74">
        <w:rPr>
          <w:rFonts w:ascii="Gadugi" w:hAnsi="Gadugi"/>
          <w:color w:val="000000"/>
          <w:sz w:val="24"/>
          <w:szCs w:val="24"/>
          <w:lang w:val="es-ES_tradnl"/>
        </w:rPr>
        <w:t>incluidos en la liquidaci</w:t>
      </w:r>
      <w:r w:rsidR="001F28D6" w:rsidRPr="00EB5A74">
        <w:rPr>
          <w:rFonts w:ascii="Gadugi" w:hAnsi="Gadugi"/>
          <w:color w:val="000000"/>
          <w:sz w:val="24"/>
          <w:szCs w:val="24"/>
          <w:lang w:val="es-ES_tradnl"/>
        </w:rPr>
        <w:t>ón</w:t>
      </w:r>
      <w:r w:rsidRPr="00EB5A74">
        <w:rPr>
          <w:rFonts w:ascii="Gadugi" w:hAnsi="Gadugi"/>
          <w:color w:val="000000"/>
          <w:sz w:val="24"/>
          <w:szCs w:val="24"/>
          <w:lang w:val="es-ES_tradnl"/>
        </w:rPr>
        <w:t xml:space="preserve"> y c</w:t>
      </w:r>
      <w:r w:rsidR="001F28D6" w:rsidRPr="00EB5A74">
        <w:rPr>
          <w:rFonts w:ascii="Gadugi" w:hAnsi="Gadugi"/>
          <w:color w:val="000000"/>
          <w:sz w:val="24"/>
          <w:szCs w:val="24"/>
          <w:lang w:val="es-ES_tradnl"/>
        </w:rPr>
        <w:t>ó</w:t>
      </w:r>
      <w:r w:rsidRPr="00EB5A74">
        <w:rPr>
          <w:rFonts w:ascii="Gadugi" w:hAnsi="Gadugi"/>
          <w:color w:val="000000"/>
          <w:sz w:val="24"/>
          <w:szCs w:val="24"/>
          <w:lang w:val="es-ES_tradnl"/>
        </w:rPr>
        <w:t>mo se conformaron las hijuelas; adem</w:t>
      </w:r>
      <w:r w:rsidR="001F28D6" w:rsidRPr="00EB5A74">
        <w:rPr>
          <w:rFonts w:ascii="Gadugi" w:hAnsi="Gadugi"/>
          <w:color w:val="000000"/>
          <w:sz w:val="24"/>
          <w:szCs w:val="24"/>
          <w:lang w:val="es-ES_tradnl"/>
        </w:rPr>
        <w:t>ás, adujo que s</w:t>
      </w:r>
      <w:r w:rsidRPr="00EB5A74">
        <w:rPr>
          <w:rFonts w:ascii="Gadugi" w:hAnsi="Gadugi"/>
          <w:color w:val="000000"/>
          <w:sz w:val="24"/>
          <w:szCs w:val="24"/>
          <w:lang w:val="es-ES_tradnl"/>
        </w:rPr>
        <w:t>e puede extraer del contenido de la escritura p</w:t>
      </w:r>
      <w:r w:rsidR="001F28D6" w:rsidRPr="00EB5A74">
        <w:rPr>
          <w:rFonts w:ascii="Gadugi" w:hAnsi="Gadugi"/>
          <w:color w:val="000000"/>
          <w:sz w:val="24"/>
          <w:szCs w:val="24"/>
          <w:lang w:val="es-ES_tradnl"/>
        </w:rPr>
        <w:t>ública 2360 que se</w:t>
      </w:r>
      <w:r w:rsidRPr="00EB5A74">
        <w:rPr>
          <w:rFonts w:ascii="Gadugi" w:hAnsi="Gadugi"/>
          <w:color w:val="000000"/>
          <w:sz w:val="24"/>
          <w:szCs w:val="24"/>
          <w:lang w:val="es-ES_tradnl"/>
        </w:rPr>
        <w:t xml:space="preserve"> vi</w:t>
      </w:r>
      <w:r w:rsidR="001F28D6" w:rsidRPr="00EB5A74">
        <w:rPr>
          <w:rFonts w:ascii="Gadugi" w:hAnsi="Gadugi"/>
          <w:color w:val="000000"/>
          <w:sz w:val="24"/>
          <w:szCs w:val="24"/>
          <w:lang w:val="es-ES_tradnl"/>
        </w:rPr>
        <w:t xml:space="preserve">oló </w:t>
      </w:r>
      <w:r w:rsidRPr="00EB5A74">
        <w:rPr>
          <w:rFonts w:ascii="Gadugi" w:hAnsi="Gadugi"/>
          <w:color w:val="000000"/>
          <w:sz w:val="24"/>
          <w:szCs w:val="24"/>
          <w:lang w:val="es-ES_tradnl"/>
        </w:rPr>
        <w:t xml:space="preserve">la ley y los intervinientes </w:t>
      </w:r>
      <w:r w:rsidRPr="00EB5A74">
        <w:rPr>
          <w:rFonts w:ascii="Gadugi" w:hAnsi="Gadugi"/>
          <w:i/>
          <w:color w:val="000000"/>
          <w:sz w:val="24"/>
          <w:szCs w:val="24"/>
          <w:lang w:val="es-ES_tradnl"/>
        </w:rPr>
        <w:t>"</w:t>
      </w:r>
      <w:r w:rsidRPr="00EB5A74">
        <w:rPr>
          <w:rFonts w:ascii="Gadugi" w:hAnsi="Gadugi"/>
          <w:i/>
          <w:color w:val="000000"/>
          <w:szCs w:val="24"/>
          <w:lang w:val="es-ES_tradnl"/>
        </w:rPr>
        <w:t>incurrieron en OBJETO IL</w:t>
      </w:r>
      <w:r w:rsidR="00197B73" w:rsidRPr="00EB5A74">
        <w:rPr>
          <w:rFonts w:ascii="Gadugi" w:hAnsi="Gadugi"/>
          <w:i/>
          <w:color w:val="000000"/>
          <w:szCs w:val="24"/>
          <w:lang w:val="es-ES_tradnl"/>
        </w:rPr>
        <w:t>Í</w:t>
      </w:r>
      <w:r w:rsidRPr="00EB5A74">
        <w:rPr>
          <w:rFonts w:ascii="Gadugi" w:hAnsi="Gadugi"/>
          <w:i/>
          <w:color w:val="000000"/>
          <w:szCs w:val="24"/>
          <w:lang w:val="es-ES_tradnl"/>
        </w:rPr>
        <w:t xml:space="preserve">CITO, puesto </w:t>
      </w:r>
      <w:r w:rsidR="001F28D6" w:rsidRPr="00EB5A74">
        <w:rPr>
          <w:rFonts w:ascii="Gadugi" w:hAnsi="Gadugi"/>
          <w:i/>
          <w:color w:val="000000"/>
          <w:szCs w:val="24"/>
          <w:lang w:val="es-ES_tradnl"/>
        </w:rPr>
        <w:t>que contravinieron</w:t>
      </w:r>
      <w:r w:rsidRPr="00EB5A74">
        <w:rPr>
          <w:rFonts w:ascii="Gadugi" w:hAnsi="Gadugi"/>
          <w:i/>
          <w:color w:val="000000"/>
          <w:szCs w:val="24"/>
          <w:lang w:val="es-ES_tradnl"/>
        </w:rPr>
        <w:t xml:space="preserve"> normas legales que expresamente estipulan lo contrario</w:t>
      </w:r>
      <w:r w:rsidR="001F28D6" w:rsidRPr="00EB5A74">
        <w:rPr>
          <w:rFonts w:ascii="Gadugi" w:hAnsi="Gadugi"/>
          <w:i/>
          <w:color w:val="000000"/>
          <w:sz w:val="24"/>
          <w:szCs w:val="24"/>
          <w:lang w:val="es-ES_tradnl"/>
        </w:rPr>
        <w:t>”.</w:t>
      </w:r>
      <w:r w:rsidR="001F28D6" w:rsidRPr="00EB5A74">
        <w:rPr>
          <w:rFonts w:ascii="Gadugi" w:hAnsi="Gadugi"/>
          <w:color w:val="000000"/>
          <w:sz w:val="24"/>
          <w:szCs w:val="24"/>
          <w:lang w:val="es-ES_tradnl"/>
        </w:rPr>
        <w:t xml:space="preserve"> </w:t>
      </w:r>
    </w:p>
    <w:p w14:paraId="41E01759" w14:textId="77777777" w:rsidR="00AD6497" w:rsidRPr="00EB5A74" w:rsidRDefault="00AD6497" w:rsidP="00456FE4">
      <w:pPr>
        <w:tabs>
          <w:tab w:val="left" w:pos="2268"/>
        </w:tabs>
        <w:spacing w:after="0" w:line="276" w:lineRule="auto"/>
        <w:ind w:left="1701"/>
        <w:jc w:val="both"/>
        <w:rPr>
          <w:rFonts w:ascii="Gadugi" w:hAnsi="Gadugi"/>
          <w:sz w:val="24"/>
          <w:szCs w:val="24"/>
          <w:lang w:val="es-ES_tradnl"/>
        </w:rPr>
      </w:pPr>
    </w:p>
    <w:p w14:paraId="4CEC767E" w14:textId="5E4211FD" w:rsidR="00252133" w:rsidRPr="00EB5A74" w:rsidRDefault="00252133" w:rsidP="00456FE4">
      <w:pPr>
        <w:tabs>
          <w:tab w:val="left" w:pos="2268"/>
        </w:tabs>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 xml:space="preserve">Y concluye con la manifestación de que fue reconocida, mediante sentencia del 8 de </w:t>
      </w:r>
      <w:r w:rsidR="00BF7EB9" w:rsidRPr="00EB5A74">
        <w:rPr>
          <w:rFonts w:ascii="Gadugi" w:hAnsi="Gadugi"/>
          <w:sz w:val="24"/>
          <w:szCs w:val="24"/>
          <w:lang w:val="es-ES_tradnl"/>
        </w:rPr>
        <w:t>marzo</w:t>
      </w:r>
      <w:r w:rsidRPr="00EB5A74">
        <w:rPr>
          <w:rFonts w:ascii="Gadugi" w:hAnsi="Gadugi"/>
          <w:sz w:val="24"/>
          <w:szCs w:val="24"/>
          <w:lang w:val="es-ES_tradnl"/>
        </w:rPr>
        <w:t xml:space="preserve"> de 2001, como hija del señor Julio César González, por el Juzgado Tercero de Familia de Pereira, confirmada por el Tribunal el 1 de agosto de 2001, decisión que no fue casada por la Corte Suprema de Justicia según sentencia del 22 de septiembre de 2004. </w:t>
      </w:r>
    </w:p>
    <w:p w14:paraId="268A8C5A" w14:textId="77777777" w:rsidR="00252133" w:rsidRPr="00EB5A74" w:rsidRDefault="00252133" w:rsidP="00456FE4">
      <w:pPr>
        <w:spacing w:after="0" w:line="276" w:lineRule="auto"/>
        <w:ind w:firstLine="1701"/>
        <w:jc w:val="both"/>
        <w:rPr>
          <w:rFonts w:ascii="Gadugi" w:hAnsi="Gadugi"/>
          <w:sz w:val="24"/>
          <w:szCs w:val="24"/>
          <w:lang w:val="es-ES_tradnl"/>
        </w:rPr>
      </w:pPr>
    </w:p>
    <w:p w14:paraId="5A83DB7F" w14:textId="77777777" w:rsidR="00803DB0" w:rsidRPr="00EB5A74" w:rsidRDefault="00803DB0" w:rsidP="00456FE4">
      <w:pPr>
        <w:numPr>
          <w:ilvl w:val="1"/>
          <w:numId w:val="1"/>
        </w:numPr>
        <w:tabs>
          <w:tab w:val="left" w:pos="2268"/>
          <w:tab w:val="left" w:pos="3402"/>
        </w:tabs>
        <w:spacing w:after="0" w:line="276" w:lineRule="auto"/>
        <w:ind w:left="0" w:firstLine="1701"/>
        <w:jc w:val="both"/>
        <w:rPr>
          <w:rFonts w:ascii="Gadugi" w:eastAsia="Calibri" w:hAnsi="Gadugi" w:cs="Times New Roman"/>
          <w:b/>
          <w:sz w:val="24"/>
          <w:szCs w:val="24"/>
          <w:lang w:val="es-ES_tradnl"/>
        </w:rPr>
      </w:pPr>
      <w:r w:rsidRPr="00EB5A74">
        <w:rPr>
          <w:rFonts w:ascii="Gadugi" w:eastAsia="Calibri" w:hAnsi="Gadugi" w:cs="Times New Roman"/>
          <w:b/>
          <w:sz w:val="24"/>
          <w:szCs w:val="24"/>
          <w:lang w:val="es-ES_tradnl"/>
        </w:rPr>
        <w:t>Pretensiones</w:t>
      </w:r>
      <w:r w:rsidR="002861A1" w:rsidRPr="00EB5A74">
        <w:rPr>
          <w:rStyle w:val="Ttulo5Car"/>
          <w:rFonts w:ascii="Gadugi" w:eastAsia="Calibri" w:hAnsi="Gadugi"/>
          <w:b w:val="0"/>
          <w:bCs w:val="0"/>
          <w:sz w:val="24"/>
          <w:szCs w:val="24"/>
          <w:vertAlign w:val="superscript"/>
          <w:lang w:val="es-ES_tradnl"/>
        </w:rPr>
        <w:footnoteReference w:id="2"/>
      </w:r>
      <w:r w:rsidRPr="00EB5A74">
        <w:rPr>
          <w:rFonts w:ascii="Gadugi" w:eastAsia="Calibri" w:hAnsi="Gadugi" w:cs="Times New Roman"/>
          <w:b/>
          <w:sz w:val="24"/>
          <w:szCs w:val="24"/>
          <w:lang w:val="es-ES_tradnl"/>
        </w:rPr>
        <w:t>.</w:t>
      </w:r>
    </w:p>
    <w:p w14:paraId="0F886FC8" w14:textId="77777777" w:rsidR="00AD6497" w:rsidRPr="00EB5A74" w:rsidRDefault="00803DB0" w:rsidP="00456FE4">
      <w:pPr>
        <w:spacing w:after="0" w:line="276" w:lineRule="auto"/>
        <w:ind w:firstLine="1701"/>
        <w:jc w:val="both"/>
        <w:rPr>
          <w:rFonts w:ascii="Gadugi" w:eastAsia="Calibri" w:hAnsi="Gadugi" w:cs="Times New Roman"/>
          <w:sz w:val="24"/>
          <w:szCs w:val="24"/>
          <w:lang w:val="es-ES_tradnl"/>
        </w:rPr>
      </w:pPr>
      <w:r w:rsidRPr="00EB5A74">
        <w:rPr>
          <w:rFonts w:ascii="Gadugi" w:eastAsia="Calibri" w:hAnsi="Gadugi" w:cs="Times New Roman"/>
          <w:sz w:val="24"/>
          <w:szCs w:val="24"/>
          <w:lang w:val="es-ES_tradnl"/>
        </w:rPr>
        <w:t xml:space="preserve">  </w:t>
      </w:r>
      <w:r w:rsidRPr="00EB5A74">
        <w:rPr>
          <w:rFonts w:ascii="Gadugi" w:eastAsia="Calibri" w:hAnsi="Gadugi" w:cs="Times New Roman"/>
          <w:sz w:val="24"/>
          <w:szCs w:val="24"/>
          <w:lang w:val="es-ES_tradnl"/>
        </w:rPr>
        <w:tab/>
      </w:r>
      <w:r w:rsidRPr="00EB5A74">
        <w:rPr>
          <w:rFonts w:ascii="Gadugi" w:eastAsia="Calibri" w:hAnsi="Gadugi" w:cs="Times New Roman"/>
          <w:sz w:val="24"/>
          <w:szCs w:val="24"/>
          <w:lang w:val="es-ES_tradnl"/>
        </w:rPr>
        <w:tab/>
      </w:r>
      <w:r w:rsidRPr="00EB5A74">
        <w:rPr>
          <w:rFonts w:ascii="Gadugi" w:eastAsia="Calibri" w:hAnsi="Gadugi" w:cs="Times New Roman"/>
          <w:sz w:val="24"/>
          <w:szCs w:val="24"/>
          <w:lang w:val="es-ES_tradnl"/>
        </w:rPr>
        <w:tab/>
      </w:r>
      <w:r w:rsidRPr="00EB5A74">
        <w:rPr>
          <w:rFonts w:ascii="Gadugi" w:eastAsia="Calibri" w:hAnsi="Gadugi" w:cs="Times New Roman"/>
          <w:sz w:val="24"/>
          <w:szCs w:val="24"/>
          <w:lang w:val="es-ES_tradnl"/>
        </w:rPr>
        <w:tab/>
      </w:r>
    </w:p>
    <w:p w14:paraId="0B7D34EA" w14:textId="77777777" w:rsidR="00075297"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Pidi</w:t>
      </w:r>
      <w:r w:rsidR="00252133"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la demandante, de manera </w:t>
      </w:r>
      <w:r w:rsidR="00252133" w:rsidRPr="00EB5A74">
        <w:rPr>
          <w:rFonts w:ascii="Gadugi" w:hAnsi="Gadugi"/>
          <w:color w:val="000000"/>
          <w:sz w:val="24"/>
          <w:szCs w:val="24"/>
          <w:lang w:val="es-ES_tradnl"/>
        </w:rPr>
        <w:t>p</w:t>
      </w:r>
      <w:r w:rsidRPr="00EB5A74">
        <w:rPr>
          <w:rFonts w:ascii="Gadugi" w:hAnsi="Gadugi"/>
          <w:color w:val="000000"/>
          <w:sz w:val="24"/>
          <w:szCs w:val="24"/>
          <w:lang w:val="es-ES_tradnl"/>
        </w:rPr>
        <w:t>rincipal, que se declarara la inoponibilidad frente a ella de la</w:t>
      </w:r>
      <w:r w:rsidR="00252133" w:rsidRPr="00EB5A74">
        <w:rPr>
          <w:rFonts w:ascii="Gadugi" w:hAnsi="Gadugi"/>
          <w:color w:val="000000"/>
          <w:sz w:val="24"/>
          <w:szCs w:val="24"/>
          <w:lang w:val="es-ES_tradnl"/>
        </w:rPr>
        <w:t xml:space="preserve"> </w:t>
      </w:r>
      <w:r w:rsidRPr="00EB5A74">
        <w:rPr>
          <w:rFonts w:ascii="Gadugi" w:hAnsi="Gadugi"/>
          <w:color w:val="000000"/>
          <w:sz w:val="24"/>
          <w:szCs w:val="24"/>
          <w:lang w:val="es-ES_tradnl"/>
        </w:rPr>
        <w:t>escritura p</w:t>
      </w:r>
      <w:r w:rsidR="00252133" w:rsidRPr="00EB5A74">
        <w:rPr>
          <w:rFonts w:ascii="Gadugi" w:hAnsi="Gadugi"/>
          <w:color w:val="000000"/>
          <w:sz w:val="24"/>
          <w:szCs w:val="24"/>
          <w:lang w:val="es-ES_tradnl"/>
        </w:rPr>
        <w:t>ú</w:t>
      </w:r>
      <w:r w:rsidRPr="00EB5A74">
        <w:rPr>
          <w:rFonts w:ascii="Gadugi" w:hAnsi="Gadugi"/>
          <w:color w:val="000000"/>
          <w:sz w:val="24"/>
          <w:szCs w:val="24"/>
          <w:lang w:val="es-ES_tradnl"/>
        </w:rPr>
        <w:t>blic</w:t>
      </w:r>
      <w:r w:rsidR="00252133" w:rsidRPr="00EB5A74">
        <w:rPr>
          <w:rFonts w:ascii="Gadugi" w:hAnsi="Gadugi"/>
          <w:color w:val="000000"/>
          <w:sz w:val="24"/>
          <w:szCs w:val="24"/>
          <w:lang w:val="es-ES_tradnl"/>
        </w:rPr>
        <w:t>a</w:t>
      </w:r>
      <w:r w:rsidRPr="00EB5A74">
        <w:rPr>
          <w:rFonts w:ascii="Gadugi" w:hAnsi="Gadugi"/>
          <w:color w:val="000000"/>
          <w:sz w:val="24"/>
          <w:szCs w:val="24"/>
          <w:lang w:val="es-ES_tradnl"/>
        </w:rPr>
        <w:t xml:space="preserve"> 2360, otorgada en la Notar</w:t>
      </w:r>
      <w:r w:rsidR="000318CF" w:rsidRPr="00EB5A74">
        <w:rPr>
          <w:rFonts w:ascii="Gadugi" w:hAnsi="Gadugi"/>
          <w:color w:val="000000"/>
          <w:sz w:val="24"/>
          <w:szCs w:val="24"/>
          <w:lang w:val="es-ES_tradnl"/>
        </w:rPr>
        <w:t>í</w:t>
      </w:r>
      <w:r w:rsidRPr="00EB5A74">
        <w:rPr>
          <w:rFonts w:ascii="Gadugi" w:hAnsi="Gadugi"/>
          <w:color w:val="000000"/>
          <w:sz w:val="24"/>
          <w:szCs w:val="24"/>
          <w:lang w:val="es-ES_tradnl"/>
        </w:rPr>
        <w:t>a Primera del C</w:t>
      </w:r>
      <w:r w:rsidR="000318CF" w:rsidRPr="00EB5A74">
        <w:rPr>
          <w:rFonts w:ascii="Gadugi" w:hAnsi="Gadugi"/>
          <w:color w:val="000000"/>
          <w:sz w:val="24"/>
          <w:szCs w:val="24"/>
          <w:lang w:val="es-ES_tradnl"/>
        </w:rPr>
        <w:t>í</w:t>
      </w:r>
      <w:r w:rsidRPr="00EB5A74">
        <w:rPr>
          <w:rFonts w:ascii="Gadugi" w:hAnsi="Gadugi"/>
          <w:color w:val="000000"/>
          <w:sz w:val="24"/>
          <w:szCs w:val="24"/>
          <w:lang w:val="es-ES_tradnl"/>
        </w:rPr>
        <w:t>rculo de Pereira el 12 de diciem</w:t>
      </w:r>
      <w:r w:rsidR="000318CF" w:rsidRPr="00EB5A74">
        <w:rPr>
          <w:rFonts w:ascii="Gadugi" w:hAnsi="Gadugi"/>
          <w:color w:val="000000"/>
          <w:sz w:val="24"/>
          <w:szCs w:val="24"/>
          <w:lang w:val="es-ES_tradnl"/>
        </w:rPr>
        <w:t>b</w:t>
      </w:r>
      <w:r w:rsidRPr="00EB5A74">
        <w:rPr>
          <w:rFonts w:ascii="Gadugi" w:hAnsi="Gadugi"/>
          <w:color w:val="000000"/>
          <w:sz w:val="24"/>
          <w:szCs w:val="24"/>
          <w:lang w:val="es-ES_tradnl"/>
        </w:rPr>
        <w:t>re de 1979, por haberse ejecutado actos contra expresa prohibici</w:t>
      </w:r>
      <w:r w:rsidR="00075297" w:rsidRPr="00EB5A74">
        <w:rPr>
          <w:rFonts w:ascii="Gadugi" w:hAnsi="Gadugi"/>
          <w:color w:val="000000"/>
          <w:sz w:val="24"/>
          <w:szCs w:val="24"/>
          <w:lang w:val="es-ES_tradnl"/>
        </w:rPr>
        <w:t>ón</w:t>
      </w:r>
      <w:r w:rsidRPr="00EB5A74">
        <w:rPr>
          <w:rFonts w:ascii="Gadugi" w:hAnsi="Gadugi"/>
          <w:color w:val="000000"/>
          <w:sz w:val="24"/>
          <w:szCs w:val="24"/>
          <w:lang w:val="es-ES_tradnl"/>
        </w:rPr>
        <w:t xml:space="preserve"> legal; p</w:t>
      </w:r>
      <w:r w:rsidR="00075297" w:rsidRPr="00EB5A74">
        <w:rPr>
          <w:rFonts w:ascii="Gadugi" w:hAnsi="Gadugi"/>
          <w:color w:val="000000"/>
          <w:sz w:val="24"/>
          <w:szCs w:val="24"/>
          <w:lang w:val="es-ES_tradnl"/>
        </w:rPr>
        <w:t>o</w:t>
      </w:r>
      <w:r w:rsidRPr="00EB5A74">
        <w:rPr>
          <w:rFonts w:ascii="Gadugi" w:hAnsi="Gadugi"/>
          <w:color w:val="000000"/>
          <w:sz w:val="24"/>
          <w:szCs w:val="24"/>
          <w:lang w:val="es-ES_tradnl"/>
        </w:rPr>
        <w:t>r tanto, ella tiene derecho a heredar al se</w:t>
      </w:r>
      <w:r w:rsidR="00075297" w:rsidRPr="00EB5A74">
        <w:rPr>
          <w:rFonts w:ascii="Gadugi" w:hAnsi="Gadugi"/>
          <w:color w:val="000000"/>
          <w:sz w:val="24"/>
          <w:szCs w:val="24"/>
          <w:lang w:val="es-ES_tradnl"/>
        </w:rPr>
        <w:t>ñ</w:t>
      </w:r>
      <w:r w:rsidRPr="00EB5A74">
        <w:rPr>
          <w:rFonts w:ascii="Gadugi" w:hAnsi="Gadugi"/>
          <w:color w:val="000000"/>
          <w:sz w:val="24"/>
          <w:szCs w:val="24"/>
          <w:lang w:val="es-ES_tradnl"/>
        </w:rPr>
        <w:t xml:space="preserve">or Julio </w:t>
      </w:r>
      <w:r w:rsidR="00075297" w:rsidRPr="00EB5A74">
        <w:rPr>
          <w:rFonts w:ascii="Gadugi" w:hAnsi="Gadugi"/>
          <w:color w:val="000000"/>
          <w:sz w:val="24"/>
          <w:szCs w:val="24"/>
          <w:lang w:val="es-ES_tradnl"/>
        </w:rPr>
        <w:t>César González</w:t>
      </w:r>
      <w:r w:rsidRPr="00EB5A74">
        <w:rPr>
          <w:rFonts w:ascii="Gadugi" w:hAnsi="Gadugi"/>
          <w:color w:val="000000"/>
          <w:sz w:val="24"/>
          <w:szCs w:val="24"/>
          <w:lang w:val="es-ES_tradnl"/>
        </w:rPr>
        <w:t xml:space="preserve">, a partir del 22 </w:t>
      </w:r>
      <w:r w:rsidR="00075297" w:rsidRPr="00EB5A74">
        <w:rPr>
          <w:rFonts w:ascii="Gadugi" w:hAnsi="Gadugi"/>
          <w:color w:val="000000"/>
          <w:sz w:val="24"/>
          <w:szCs w:val="24"/>
          <w:lang w:val="es-ES_tradnl"/>
        </w:rPr>
        <w:t>d</w:t>
      </w:r>
      <w:r w:rsidRPr="00EB5A74">
        <w:rPr>
          <w:rFonts w:ascii="Gadugi" w:hAnsi="Gadugi"/>
          <w:color w:val="000000"/>
          <w:sz w:val="24"/>
          <w:szCs w:val="24"/>
          <w:lang w:val="es-ES_tradnl"/>
        </w:rPr>
        <w:t>e septiembre de 2004, cuando qued</w:t>
      </w:r>
      <w:r w:rsidR="00075297"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en firme la sentencia de la Corte Supre</w:t>
      </w:r>
      <w:r w:rsidR="00075297" w:rsidRPr="00EB5A74">
        <w:rPr>
          <w:rFonts w:ascii="Gadugi" w:hAnsi="Gadugi"/>
          <w:color w:val="000000"/>
          <w:sz w:val="24"/>
          <w:szCs w:val="24"/>
          <w:lang w:val="es-ES_tradnl"/>
        </w:rPr>
        <w:t>m</w:t>
      </w:r>
      <w:r w:rsidRPr="00EB5A74">
        <w:rPr>
          <w:rFonts w:ascii="Gadugi" w:hAnsi="Gadugi"/>
          <w:color w:val="000000"/>
          <w:sz w:val="24"/>
          <w:szCs w:val="24"/>
          <w:lang w:val="es-ES_tradnl"/>
        </w:rPr>
        <w:t>a de Justicia</w:t>
      </w:r>
      <w:r w:rsidR="00075297" w:rsidRPr="00EB5A74">
        <w:rPr>
          <w:rFonts w:ascii="Gadugi" w:hAnsi="Gadugi"/>
          <w:color w:val="000000"/>
          <w:sz w:val="24"/>
          <w:szCs w:val="24"/>
          <w:lang w:val="es-ES_tradnl"/>
        </w:rPr>
        <w:t>.</w:t>
      </w:r>
    </w:p>
    <w:p w14:paraId="5D63BD3D" w14:textId="77777777" w:rsidR="00E42762" w:rsidRPr="00EB5A74" w:rsidRDefault="00E42762" w:rsidP="00456FE4">
      <w:pPr>
        <w:spacing w:after="0" w:line="276" w:lineRule="auto"/>
        <w:ind w:firstLine="1701"/>
        <w:jc w:val="both"/>
        <w:rPr>
          <w:rFonts w:ascii="Gadugi" w:hAnsi="Gadugi"/>
          <w:color w:val="000000"/>
          <w:sz w:val="24"/>
          <w:szCs w:val="24"/>
          <w:lang w:val="es-ES_tradnl"/>
        </w:rPr>
      </w:pPr>
    </w:p>
    <w:p w14:paraId="565FB945" w14:textId="52543B8D" w:rsidR="00AD6497"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Subsidiariamente, reclam</w:t>
      </w:r>
      <w:r w:rsidR="00075297"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(i) que tal escritura adolece de nulidad relativa y debe rescindirse el acto q</w:t>
      </w:r>
      <w:r w:rsidR="00075297" w:rsidRPr="00EB5A74">
        <w:rPr>
          <w:rFonts w:ascii="Gadugi" w:hAnsi="Gadugi"/>
          <w:color w:val="000000"/>
          <w:sz w:val="24"/>
          <w:szCs w:val="24"/>
          <w:lang w:val="es-ES_tradnl"/>
        </w:rPr>
        <w:t xml:space="preserve">ue la </w:t>
      </w:r>
      <w:r w:rsidRPr="00EB5A74">
        <w:rPr>
          <w:rFonts w:ascii="Gadugi" w:hAnsi="Gadugi"/>
          <w:color w:val="000000"/>
          <w:sz w:val="24"/>
          <w:szCs w:val="24"/>
          <w:lang w:val="es-ES_tradnl"/>
        </w:rPr>
        <w:t>conti</w:t>
      </w:r>
      <w:r w:rsidR="00075297" w:rsidRPr="00EB5A74">
        <w:rPr>
          <w:rFonts w:ascii="Gadugi" w:hAnsi="Gadugi"/>
          <w:color w:val="000000"/>
          <w:sz w:val="24"/>
          <w:szCs w:val="24"/>
          <w:lang w:val="es-ES_tradnl"/>
        </w:rPr>
        <w:t>ene</w:t>
      </w:r>
      <w:r w:rsidRPr="00EB5A74">
        <w:rPr>
          <w:rFonts w:ascii="Gadugi" w:hAnsi="Gadugi"/>
          <w:color w:val="000000"/>
          <w:sz w:val="24"/>
          <w:szCs w:val="24"/>
          <w:lang w:val="es-ES_tradnl"/>
        </w:rPr>
        <w:t xml:space="preserve">; (ii) </w:t>
      </w:r>
      <w:r w:rsidR="00075297" w:rsidRPr="00EB5A74">
        <w:rPr>
          <w:rFonts w:ascii="Gadugi" w:hAnsi="Gadugi"/>
          <w:color w:val="000000"/>
          <w:sz w:val="24"/>
          <w:szCs w:val="24"/>
          <w:lang w:val="es-ES_tradnl"/>
        </w:rPr>
        <w:t xml:space="preserve">que la escritura pública adolece de </w:t>
      </w:r>
      <w:r w:rsidRPr="00EB5A74">
        <w:rPr>
          <w:rFonts w:ascii="Gadugi" w:hAnsi="Gadugi"/>
          <w:color w:val="000000"/>
          <w:sz w:val="24"/>
          <w:szCs w:val="24"/>
          <w:lang w:val="es-ES_tradnl"/>
        </w:rPr>
        <w:t xml:space="preserve">nulidad absoluta e igual debe rescindirse el acto; (iii) </w:t>
      </w:r>
      <w:r w:rsidR="00075297" w:rsidRPr="00EB5A74">
        <w:rPr>
          <w:rFonts w:ascii="Gadugi" w:hAnsi="Gadugi"/>
          <w:color w:val="000000"/>
          <w:sz w:val="24"/>
          <w:szCs w:val="24"/>
          <w:lang w:val="es-ES_tradnl"/>
        </w:rPr>
        <w:t xml:space="preserve">que la escritura es </w:t>
      </w:r>
      <w:r w:rsidRPr="00EB5A74">
        <w:rPr>
          <w:rFonts w:ascii="Gadugi" w:hAnsi="Gadugi"/>
          <w:color w:val="000000"/>
          <w:sz w:val="24"/>
          <w:szCs w:val="24"/>
          <w:lang w:val="es-ES_tradnl"/>
        </w:rPr>
        <w:t>inexis</w:t>
      </w:r>
      <w:r w:rsidR="00075297" w:rsidRPr="00EB5A74">
        <w:rPr>
          <w:rFonts w:ascii="Gadugi" w:hAnsi="Gadugi"/>
          <w:color w:val="000000"/>
          <w:sz w:val="24"/>
          <w:szCs w:val="24"/>
          <w:lang w:val="es-ES_tradnl"/>
        </w:rPr>
        <w:t>t</w:t>
      </w:r>
      <w:r w:rsidRPr="00EB5A74">
        <w:rPr>
          <w:rFonts w:ascii="Gadugi" w:hAnsi="Gadugi"/>
          <w:color w:val="000000"/>
          <w:sz w:val="24"/>
          <w:szCs w:val="24"/>
          <w:lang w:val="es-ES_tradnl"/>
        </w:rPr>
        <w:t xml:space="preserve">ente, </w:t>
      </w:r>
      <w:r w:rsidR="00075297" w:rsidRPr="00EB5A74">
        <w:rPr>
          <w:rFonts w:ascii="Gadugi" w:hAnsi="Gadugi"/>
          <w:color w:val="000000"/>
          <w:sz w:val="24"/>
          <w:szCs w:val="24"/>
          <w:lang w:val="es-ES_tradnl"/>
        </w:rPr>
        <w:t>p</w:t>
      </w:r>
      <w:r w:rsidRPr="00EB5A74">
        <w:rPr>
          <w:rFonts w:ascii="Gadugi" w:hAnsi="Gadugi"/>
          <w:color w:val="000000"/>
          <w:sz w:val="24"/>
          <w:szCs w:val="24"/>
          <w:lang w:val="es-ES_tradnl"/>
        </w:rPr>
        <w:t>or cuanto el se</w:t>
      </w:r>
      <w:r w:rsidR="00075297" w:rsidRPr="00EB5A74">
        <w:rPr>
          <w:rFonts w:ascii="Gadugi" w:hAnsi="Gadugi"/>
          <w:color w:val="000000"/>
          <w:sz w:val="24"/>
          <w:szCs w:val="24"/>
          <w:lang w:val="es-ES_tradnl"/>
        </w:rPr>
        <w:t>ñ</w:t>
      </w:r>
      <w:r w:rsidRPr="00EB5A74">
        <w:rPr>
          <w:rFonts w:ascii="Gadugi" w:hAnsi="Gadugi"/>
          <w:color w:val="000000"/>
          <w:sz w:val="24"/>
          <w:szCs w:val="24"/>
          <w:lang w:val="es-ES_tradnl"/>
        </w:rPr>
        <w:t>or Julio C</w:t>
      </w:r>
      <w:r w:rsidR="00075297" w:rsidRPr="00EB5A74">
        <w:rPr>
          <w:rFonts w:ascii="Gadugi" w:hAnsi="Gadugi"/>
          <w:color w:val="000000"/>
          <w:sz w:val="24"/>
          <w:szCs w:val="24"/>
          <w:lang w:val="es-ES_tradnl"/>
        </w:rPr>
        <w:t>é</w:t>
      </w:r>
      <w:r w:rsidRPr="00EB5A74">
        <w:rPr>
          <w:rFonts w:ascii="Gadugi" w:hAnsi="Gadugi"/>
          <w:color w:val="000000"/>
          <w:sz w:val="24"/>
          <w:szCs w:val="24"/>
          <w:lang w:val="es-ES_tradnl"/>
        </w:rPr>
        <w:t>sar Gonz</w:t>
      </w:r>
      <w:r w:rsidR="00075297" w:rsidRPr="00EB5A74">
        <w:rPr>
          <w:rFonts w:ascii="Gadugi" w:hAnsi="Gadugi"/>
          <w:color w:val="000000"/>
          <w:sz w:val="24"/>
          <w:szCs w:val="24"/>
          <w:lang w:val="es-ES_tradnl"/>
        </w:rPr>
        <w:t>á</w:t>
      </w:r>
      <w:r w:rsidRPr="00EB5A74">
        <w:rPr>
          <w:rFonts w:ascii="Gadugi" w:hAnsi="Gadugi"/>
          <w:color w:val="000000"/>
          <w:sz w:val="24"/>
          <w:szCs w:val="24"/>
          <w:lang w:val="es-ES_tradnl"/>
        </w:rPr>
        <w:t>lez no pod</w:t>
      </w:r>
      <w:r w:rsidR="00075297" w:rsidRPr="00EB5A74">
        <w:rPr>
          <w:rFonts w:ascii="Gadugi" w:hAnsi="Gadugi"/>
          <w:color w:val="000000"/>
          <w:sz w:val="24"/>
          <w:szCs w:val="24"/>
          <w:lang w:val="es-ES_tradnl"/>
        </w:rPr>
        <w:t>ía</w:t>
      </w:r>
      <w:r w:rsidRPr="00EB5A74">
        <w:rPr>
          <w:rFonts w:ascii="Gadugi" w:hAnsi="Gadugi"/>
          <w:color w:val="000000"/>
          <w:sz w:val="24"/>
          <w:szCs w:val="24"/>
          <w:lang w:val="es-ES_tradnl"/>
        </w:rPr>
        <w:t xml:space="preserve"> realizar el acto all</w:t>
      </w:r>
      <w:r w:rsidR="00075297" w:rsidRPr="00EB5A74">
        <w:rPr>
          <w:rFonts w:ascii="Gadugi" w:hAnsi="Gadugi"/>
          <w:color w:val="000000"/>
          <w:sz w:val="24"/>
          <w:szCs w:val="24"/>
          <w:lang w:val="es-ES_tradnl"/>
        </w:rPr>
        <w:t xml:space="preserve">í </w:t>
      </w:r>
      <w:r w:rsidRPr="00EB5A74">
        <w:rPr>
          <w:rFonts w:ascii="Gadugi" w:hAnsi="Gadugi"/>
          <w:color w:val="000000"/>
          <w:sz w:val="24"/>
          <w:szCs w:val="24"/>
          <w:lang w:val="es-ES_tradnl"/>
        </w:rPr>
        <w:t xml:space="preserve">plasmado; y (iv) </w:t>
      </w:r>
      <w:r w:rsidR="00075297" w:rsidRPr="00EB5A74">
        <w:rPr>
          <w:rFonts w:ascii="Gadugi" w:hAnsi="Gadugi"/>
          <w:color w:val="000000"/>
          <w:sz w:val="24"/>
          <w:szCs w:val="24"/>
          <w:lang w:val="es-ES_tradnl"/>
        </w:rPr>
        <w:lastRenderedPageBreak/>
        <w:t xml:space="preserve">que </w:t>
      </w:r>
      <w:r w:rsidRPr="00EB5A74">
        <w:rPr>
          <w:rFonts w:ascii="Gadugi" w:hAnsi="Gadugi"/>
          <w:color w:val="000000"/>
          <w:sz w:val="24"/>
          <w:szCs w:val="24"/>
          <w:lang w:val="es-ES_tradnl"/>
        </w:rPr>
        <w:t>existi</w:t>
      </w:r>
      <w:r w:rsidR="00075297"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una simulaci</w:t>
      </w:r>
      <w:r w:rsidR="00075297" w:rsidRPr="00EB5A74">
        <w:rPr>
          <w:rFonts w:ascii="Gadugi" w:hAnsi="Gadugi"/>
          <w:color w:val="000000"/>
          <w:sz w:val="24"/>
          <w:szCs w:val="24"/>
          <w:lang w:val="es-ES_tradnl"/>
        </w:rPr>
        <w:t>ón</w:t>
      </w:r>
      <w:r w:rsidRPr="00EB5A74">
        <w:rPr>
          <w:rFonts w:ascii="Gadugi" w:hAnsi="Gadugi"/>
          <w:color w:val="000000"/>
          <w:sz w:val="24"/>
          <w:szCs w:val="24"/>
          <w:lang w:val="es-ES_tradnl"/>
        </w:rPr>
        <w:t xml:space="preserve"> al moment</w:t>
      </w:r>
      <w:r w:rsidR="00075297" w:rsidRPr="00EB5A74">
        <w:rPr>
          <w:rFonts w:ascii="Gadugi" w:hAnsi="Gadugi"/>
          <w:color w:val="000000"/>
          <w:sz w:val="24"/>
          <w:szCs w:val="24"/>
          <w:lang w:val="es-ES_tradnl"/>
        </w:rPr>
        <w:t>o</w:t>
      </w:r>
      <w:r w:rsidRPr="00EB5A74">
        <w:rPr>
          <w:rFonts w:ascii="Gadugi" w:hAnsi="Gadugi"/>
          <w:color w:val="000000"/>
          <w:sz w:val="24"/>
          <w:szCs w:val="24"/>
          <w:lang w:val="es-ES_tradnl"/>
        </w:rPr>
        <w:t xml:space="preserve"> de suscribir la escritur</w:t>
      </w:r>
      <w:r w:rsidR="00075297" w:rsidRPr="00EB5A74">
        <w:rPr>
          <w:rFonts w:ascii="Gadugi" w:hAnsi="Gadugi"/>
          <w:color w:val="000000"/>
          <w:sz w:val="24"/>
          <w:szCs w:val="24"/>
          <w:lang w:val="es-ES_tradnl"/>
        </w:rPr>
        <w:t xml:space="preserve">a </w:t>
      </w:r>
      <w:r w:rsidRPr="00EB5A74">
        <w:rPr>
          <w:rFonts w:ascii="Gadugi" w:hAnsi="Gadugi"/>
          <w:color w:val="000000"/>
          <w:sz w:val="24"/>
          <w:szCs w:val="24"/>
          <w:lang w:val="es-ES_tradnl"/>
        </w:rPr>
        <w:t>que afect</w:t>
      </w:r>
      <w:r w:rsidR="00075297"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a la demandante.</w:t>
      </w:r>
    </w:p>
    <w:p w14:paraId="3153811B" w14:textId="77777777" w:rsidR="00E42762" w:rsidRPr="00EB5A74" w:rsidRDefault="00E42762" w:rsidP="00456FE4">
      <w:pPr>
        <w:spacing w:after="0" w:line="276" w:lineRule="auto"/>
        <w:ind w:firstLine="1701"/>
        <w:jc w:val="both"/>
        <w:rPr>
          <w:rFonts w:ascii="Gadugi" w:hAnsi="Gadugi"/>
          <w:color w:val="000000"/>
          <w:sz w:val="24"/>
          <w:szCs w:val="24"/>
          <w:lang w:val="es-ES_tradnl"/>
        </w:rPr>
      </w:pPr>
    </w:p>
    <w:p w14:paraId="6B8CB801" w14:textId="61738BBD" w:rsidR="00AD6497"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Como consecuencia de estas pretensiones</w:t>
      </w:r>
      <w:r w:rsidR="00075297" w:rsidRPr="00EB5A74">
        <w:rPr>
          <w:rFonts w:ascii="Gadugi" w:hAnsi="Gadugi"/>
          <w:color w:val="000000"/>
          <w:sz w:val="24"/>
          <w:szCs w:val="24"/>
          <w:lang w:val="es-ES_tradnl"/>
        </w:rPr>
        <w:t xml:space="preserve"> subsidiarias</w:t>
      </w:r>
      <w:r w:rsidRPr="00EB5A74">
        <w:rPr>
          <w:rFonts w:ascii="Gadugi" w:hAnsi="Gadugi"/>
          <w:color w:val="000000"/>
          <w:sz w:val="24"/>
          <w:szCs w:val="24"/>
          <w:lang w:val="es-ES_tradnl"/>
        </w:rPr>
        <w:t>, solicit</w:t>
      </w:r>
      <w:r w:rsidR="00075297"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que se declarara que el acto jur</w:t>
      </w:r>
      <w:r w:rsidR="00075297" w:rsidRPr="00EB5A74">
        <w:rPr>
          <w:rFonts w:ascii="Gadugi" w:hAnsi="Gadugi"/>
          <w:color w:val="000000"/>
          <w:sz w:val="24"/>
          <w:szCs w:val="24"/>
          <w:lang w:val="es-ES_tradnl"/>
        </w:rPr>
        <w:t>í</w:t>
      </w:r>
      <w:r w:rsidRPr="00EB5A74">
        <w:rPr>
          <w:rFonts w:ascii="Gadugi" w:hAnsi="Gadugi"/>
          <w:color w:val="000000"/>
          <w:sz w:val="24"/>
          <w:szCs w:val="24"/>
          <w:lang w:val="es-ES_tradnl"/>
        </w:rPr>
        <w:t>dico no la afecta y tiene derecho a heredar a Julio C</w:t>
      </w:r>
      <w:r w:rsidR="00075297" w:rsidRPr="00EB5A74">
        <w:rPr>
          <w:rFonts w:ascii="Gadugi" w:hAnsi="Gadugi"/>
          <w:color w:val="000000"/>
          <w:sz w:val="24"/>
          <w:szCs w:val="24"/>
          <w:lang w:val="es-ES_tradnl"/>
        </w:rPr>
        <w:t>é</w:t>
      </w:r>
      <w:r w:rsidRPr="00EB5A74">
        <w:rPr>
          <w:rFonts w:ascii="Gadugi" w:hAnsi="Gadugi"/>
          <w:color w:val="000000"/>
          <w:sz w:val="24"/>
          <w:szCs w:val="24"/>
          <w:lang w:val="es-ES_tradnl"/>
        </w:rPr>
        <w:t>sar Gonz</w:t>
      </w:r>
      <w:r w:rsidR="00075297" w:rsidRPr="00EB5A74">
        <w:rPr>
          <w:rFonts w:ascii="Gadugi" w:hAnsi="Gadugi"/>
          <w:color w:val="000000"/>
          <w:sz w:val="24"/>
          <w:szCs w:val="24"/>
          <w:lang w:val="es-ES_tradnl"/>
        </w:rPr>
        <w:t>á</w:t>
      </w:r>
      <w:r w:rsidRPr="00EB5A74">
        <w:rPr>
          <w:rFonts w:ascii="Gadugi" w:hAnsi="Gadugi"/>
          <w:color w:val="000000"/>
          <w:sz w:val="24"/>
          <w:szCs w:val="24"/>
          <w:lang w:val="es-ES_tradnl"/>
        </w:rPr>
        <w:t>lez; la cancelaci</w:t>
      </w:r>
      <w:r w:rsidR="00075297" w:rsidRPr="00EB5A74">
        <w:rPr>
          <w:rFonts w:ascii="Gadugi" w:hAnsi="Gadugi"/>
          <w:color w:val="000000"/>
          <w:sz w:val="24"/>
          <w:szCs w:val="24"/>
          <w:lang w:val="es-ES_tradnl"/>
        </w:rPr>
        <w:t>ón</w:t>
      </w:r>
      <w:r w:rsidRPr="00EB5A74">
        <w:rPr>
          <w:rFonts w:ascii="Gadugi" w:hAnsi="Gadugi"/>
          <w:color w:val="000000"/>
          <w:sz w:val="24"/>
          <w:szCs w:val="24"/>
          <w:lang w:val="es-ES_tradnl"/>
        </w:rPr>
        <w:t xml:space="preserve"> de la escritura y el registro, as</w:t>
      </w:r>
      <w:r w:rsidR="00075297" w:rsidRPr="00EB5A74">
        <w:rPr>
          <w:rFonts w:ascii="Gadugi" w:hAnsi="Gadugi"/>
          <w:color w:val="000000"/>
          <w:sz w:val="24"/>
          <w:szCs w:val="24"/>
          <w:lang w:val="es-ES_tradnl"/>
        </w:rPr>
        <w:t>í</w:t>
      </w:r>
      <w:r w:rsidRPr="00EB5A74">
        <w:rPr>
          <w:rFonts w:ascii="Gadugi" w:hAnsi="Gadugi"/>
          <w:color w:val="000000"/>
          <w:sz w:val="24"/>
          <w:szCs w:val="24"/>
          <w:lang w:val="es-ES_tradnl"/>
        </w:rPr>
        <w:t xml:space="preserve"> como de las elevadas con posterioridad, que afectasen los inmuebles a que ese acto escritural se refiere; y se </w:t>
      </w:r>
      <w:r w:rsidR="00075297" w:rsidRPr="00EB5A74">
        <w:rPr>
          <w:rFonts w:ascii="Gadugi" w:hAnsi="Gadugi"/>
          <w:color w:val="000000"/>
          <w:sz w:val="24"/>
          <w:szCs w:val="24"/>
          <w:lang w:val="es-ES_tradnl"/>
        </w:rPr>
        <w:t>d</w:t>
      </w:r>
      <w:r w:rsidRPr="00EB5A74">
        <w:rPr>
          <w:rFonts w:ascii="Gadugi" w:hAnsi="Gadugi"/>
          <w:color w:val="000000"/>
          <w:sz w:val="24"/>
          <w:szCs w:val="24"/>
          <w:lang w:val="es-ES_tradnl"/>
        </w:rPr>
        <w:t>ispusiera la restituci</w:t>
      </w:r>
      <w:r w:rsidR="00075297" w:rsidRPr="00EB5A74">
        <w:rPr>
          <w:rFonts w:ascii="Gadugi" w:hAnsi="Gadugi"/>
          <w:color w:val="000000"/>
          <w:sz w:val="24"/>
          <w:szCs w:val="24"/>
          <w:lang w:val="es-ES_tradnl"/>
        </w:rPr>
        <w:t>ón</w:t>
      </w:r>
      <w:r w:rsidRPr="00EB5A74">
        <w:rPr>
          <w:rFonts w:ascii="Gadugi" w:hAnsi="Gadugi"/>
          <w:color w:val="000000"/>
          <w:sz w:val="24"/>
          <w:szCs w:val="24"/>
          <w:lang w:val="es-ES_tradnl"/>
        </w:rPr>
        <w:t xml:space="preserve"> de los bienes.</w:t>
      </w:r>
    </w:p>
    <w:p w14:paraId="107BFE58" w14:textId="77777777" w:rsidR="00803DB0" w:rsidRPr="00EB5A74" w:rsidRDefault="00803DB0" w:rsidP="00456FE4">
      <w:pPr>
        <w:spacing w:after="0" w:line="276" w:lineRule="auto"/>
        <w:ind w:firstLine="1701"/>
        <w:jc w:val="both"/>
        <w:rPr>
          <w:rFonts w:ascii="Gadugi" w:eastAsia="Calibri" w:hAnsi="Gadugi" w:cs="Times New Roman"/>
          <w:sz w:val="24"/>
          <w:szCs w:val="24"/>
          <w:lang w:val="es-ES_tradnl"/>
        </w:rPr>
      </w:pPr>
    </w:p>
    <w:p w14:paraId="7FD932BB" w14:textId="77777777" w:rsidR="00803DB0" w:rsidRPr="00EB5A74" w:rsidRDefault="00803DB0" w:rsidP="00456FE4">
      <w:pPr>
        <w:numPr>
          <w:ilvl w:val="1"/>
          <w:numId w:val="1"/>
        </w:numPr>
        <w:tabs>
          <w:tab w:val="left" w:pos="2268"/>
        </w:tabs>
        <w:spacing w:after="0" w:line="276" w:lineRule="auto"/>
        <w:ind w:left="2552" w:hanging="851"/>
        <w:jc w:val="both"/>
        <w:rPr>
          <w:rFonts w:ascii="Gadugi" w:eastAsia="Calibri" w:hAnsi="Gadugi" w:cs="Times New Roman"/>
          <w:b/>
          <w:sz w:val="24"/>
          <w:szCs w:val="24"/>
          <w:lang w:val="es-ES_tradnl"/>
        </w:rPr>
      </w:pPr>
      <w:r w:rsidRPr="00EB5A74">
        <w:rPr>
          <w:rFonts w:ascii="Gadugi" w:eastAsia="Calibri" w:hAnsi="Gadugi" w:cs="Times New Roman"/>
          <w:b/>
          <w:sz w:val="24"/>
          <w:szCs w:val="24"/>
          <w:lang w:val="es-ES_tradnl"/>
        </w:rPr>
        <w:t>Trámite.</w:t>
      </w:r>
    </w:p>
    <w:p w14:paraId="4A7C3C0D" w14:textId="77777777" w:rsidR="00803DB0" w:rsidRPr="00EB5A74" w:rsidRDefault="00803DB0" w:rsidP="00456FE4">
      <w:pPr>
        <w:spacing w:after="0" w:line="276" w:lineRule="auto"/>
        <w:ind w:firstLine="1701"/>
        <w:jc w:val="both"/>
        <w:rPr>
          <w:rFonts w:ascii="Gadugi" w:eastAsia="Calibri" w:hAnsi="Gadugi" w:cs="Times New Roman"/>
          <w:sz w:val="24"/>
          <w:szCs w:val="24"/>
          <w:lang w:val="es-ES_tradnl"/>
        </w:rPr>
      </w:pPr>
    </w:p>
    <w:p w14:paraId="1B188BFA" w14:textId="0C183433" w:rsidR="00AD6497"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La demanda fue inadmitida</w:t>
      </w:r>
      <w:r w:rsidR="00E42762" w:rsidRPr="00EB5A74">
        <w:rPr>
          <w:rStyle w:val="Ttulo5Car"/>
          <w:rFonts w:ascii="Gadugi" w:eastAsiaTheme="minorHAnsi" w:hAnsi="Gadugi"/>
          <w:b w:val="0"/>
          <w:bCs w:val="0"/>
          <w:color w:val="000000"/>
          <w:sz w:val="24"/>
          <w:szCs w:val="24"/>
          <w:vertAlign w:val="superscript"/>
          <w:lang w:val="es-ES_tradnl"/>
        </w:rPr>
        <w:footnoteReference w:id="3"/>
      </w:r>
      <w:r w:rsidRPr="00EB5A74">
        <w:rPr>
          <w:rFonts w:ascii="Gadugi" w:hAnsi="Gadugi"/>
          <w:color w:val="000000"/>
          <w:sz w:val="24"/>
          <w:szCs w:val="24"/>
          <w:lang w:val="es-ES_tradnl"/>
        </w:rPr>
        <w:t xml:space="preserve"> y en su correcci</w:t>
      </w:r>
      <w:r w:rsidR="00075297" w:rsidRPr="00EB5A74">
        <w:rPr>
          <w:rFonts w:ascii="Gadugi" w:hAnsi="Gadugi"/>
          <w:color w:val="000000"/>
          <w:sz w:val="24"/>
          <w:szCs w:val="24"/>
          <w:lang w:val="es-ES_tradnl"/>
        </w:rPr>
        <w:t>ón</w:t>
      </w:r>
      <w:r w:rsidRPr="00EB5A74">
        <w:rPr>
          <w:rFonts w:ascii="Gadugi" w:hAnsi="Gadugi"/>
          <w:color w:val="000000"/>
          <w:sz w:val="24"/>
          <w:szCs w:val="24"/>
          <w:lang w:val="es-ES_tradnl"/>
        </w:rPr>
        <w:t xml:space="preserve"> dijo la demandante que exclu</w:t>
      </w:r>
      <w:r w:rsidR="00075297" w:rsidRPr="00EB5A74">
        <w:rPr>
          <w:rFonts w:ascii="Gadugi" w:hAnsi="Gadugi"/>
          <w:color w:val="000000"/>
          <w:sz w:val="24"/>
          <w:szCs w:val="24"/>
          <w:lang w:val="es-ES_tradnl"/>
        </w:rPr>
        <w:t>ía</w:t>
      </w:r>
      <w:r w:rsidRPr="00EB5A74">
        <w:rPr>
          <w:rFonts w:ascii="Gadugi" w:hAnsi="Gadugi"/>
          <w:color w:val="000000"/>
          <w:sz w:val="24"/>
          <w:szCs w:val="24"/>
          <w:lang w:val="es-ES_tradnl"/>
        </w:rPr>
        <w:t xml:space="preserve"> las pretensiones d</w:t>
      </w:r>
      <w:r w:rsidR="00075297" w:rsidRPr="00EB5A74">
        <w:rPr>
          <w:rFonts w:ascii="Gadugi" w:hAnsi="Gadugi"/>
          <w:color w:val="000000"/>
          <w:sz w:val="24"/>
          <w:szCs w:val="24"/>
          <w:lang w:val="es-ES_tradnl"/>
        </w:rPr>
        <w:t>e</w:t>
      </w:r>
      <w:r w:rsidRPr="00EB5A74">
        <w:rPr>
          <w:rFonts w:ascii="Gadugi" w:hAnsi="Gadugi"/>
          <w:color w:val="000000"/>
          <w:sz w:val="24"/>
          <w:szCs w:val="24"/>
          <w:lang w:val="es-ES_tradnl"/>
        </w:rPr>
        <w:t xml:space="preserve"> nulidad relativa y simulaci</w:t>
      </w:r>
      <w:r w:rsidR="00075297" w:rsidRPr="00EB5A74">
        <w:rPr>
          <w:rFonts w:ascii="Gadugi" w:hAnsi="Gadugi"/>
          <w:color w:val="000000"/>
          <w:sz w:val="24"/>
          <w:szCs w:val="24"/>
          <w:lang w:val="es-ES_tradnl"/>
        </w:rPr>
        <w:t>ón</w:t>
      </w:r>
      <w:r w:rsidRPr="00EB5A74">
        <w:rPr>
          <w:rFonts w:ascii="Gadugi" w:hAnsi="Gadugi"/>
          <w:color w:val="000000"/>
          <w:sz w:val="24"/>
          <w:szCs w:val="24"/>
          <w:lang w:val="es-ES_tradnl"/>
        </w:rPr>
        <w:t>, as</w:t>
      </w:r>
      <w:r w:rsidR="00075297" w:rsidRPr="00EB5A74">
        <w:rPr>
          <w:rFonts w:ascii="Gadugi" w:hAnsi="Gadugi"/>
          <w:color w:val="000000"/>
          <w:sz w:val="24"/>
          <w:szCs w:val="24"/>
          <w:lang w:val="es-ES_tradnl"/>
        </w:rPr>
        <w:t>í</w:t>
      </w:r>
      <w:r w:rsidRPr="00EB5A74">
        <w:rPr>
          <w:rFonts w:ascii="Gadugi" w:hAnsi="Gadugi"/>
          <w:color w:val="000000"/>
          <w:sz w:val="24"/>
          <w:szCs w:val="24"/>
          <w:lang w:val="es-ES_tradnl"/>
        </w:rPr>
        <w:t xml:space="preserve"> com</w:t>
      </w:r>
      <w:r w:rsidR="00075297" w:rsidRPr="00EB5A74">
        <w:rPr>
          <w:rFonts w:ascii="Gadugi" w:hAnsi="Gadugi"/>
          <w:color w:val="000000"/>
          <w:sz w:val="24"/>
          <w:szCs w:val="24"/>
          <w:lang w:val="es-ES_tradnl"/>
        </w:rPr>
        <w:t xml:space="preserve">o </w:t>
      </w:r>
      <w:r w:rsidRPr="00EB5A74">
        <w:rPr>
          <w:rFonts w:ascii="Gadugi" w:hAnsi="Gadugi"/>
          <w:color w:val="000000"/>
          <w:sz w:val="24"/>
          <w:szCs w:val="24"/>
          <w:lang w:val="es-ES_tradnl"/>
        </w:rPr>
        <w:t xml:space="preserve">a la empresa </w:t>
      </w:r>
      <w:proofErr w:type="spellStart"/>
      <w:r w:rsidRPr="00EB5A74">
        <w:rPr>
          <w:rFonts w:ascii="Gadugi" w:hAnsi="Gadugi"/>
          <w:color w:val="000000"/>
          <w:sz w:val="24"/>
          <w:szCs w:val="24"/>
          <w:lang w:val="es-ES_tradnl"/>
        </w:rPr>
        <w:t>Agrol</w:t>
      </w:r>
      <w:r w:rsidR="00075297" w:rsidRPr="00EB5A74">
        <w:rPr>
          <w:rFonts w:ascii="Gadugi" w:hAnsi="Gadugi"/>
          <w:color w:val="000000"/>
          <w:sz w:val="24"/>
          <w:szCs w:val="24"/>
          <w:lang w:val="es-ES_tradnl"/>
        </w:rPr>
        <w:t>ác</w:t>
      </w:r>
      <w:r w:rsidRPr="00EB5A74">
        <w:rPr>
          <w:rFonts w:ascii="Gadugi" w:hAnsi="Gadugi"/>
          <w:color w:val="000000"/>
          <w:sz w:val="24"/>
          <w:szCs w:val="24"/>
          <w:lang w:val="es-ES_tradnl"/>
        </w:rPr>
        <w:t>teos</w:t>
      </w:r>
      <w:proofErr w:type="spellEnd"/>
      <w:r w:rsidRPr="00EB5A74">
        <w:rPr>
          <w:rFonts w:ascii="Gadugi" w:hAnsi="Gadugi"/>
          <w:color w:val="000000"/>
          <w:sz w:val="24"/>
          <w:szCs w:val="24"/>
          <w:lang w:val="es-ES_tradnl"/>
        </w:rPr>
        <w:t xml:space="preserve"> S.A. com</w:t>
      </w:r>
      <w:r w:rsidR="00075297" w:rsidRPr="00EB5A74">
        <w:rPr>
          <w:rFonts w:ascii="Gadugi" w:hAnsi="Gadugi"/>
          <w:color w:val="000000"/>
          <w:sz w:val="24"/>
          <w:szCs w:val="24"/>
          <w:lang w:val="es-ES_tradnl"/>
        </w:rPr>
        <w:t>o demandada</w:t>
      </w:r>
      <w:r w:rsidR="00E42762" w:rsidRPr="00EB5A74">
        <w:rPr>
          <w:rStyle w:val="Ttulo5Car"/>
          <w:rFonts w:ascii="Gadugi" w:eastAsiaTheme="minorHAnsi" w:hAnsi="Gadugi"/>
          <w:b w:val="0"/>
          <w:bCs w:val="0"/>
          <w:color w:val="000000"/>
          <w:sz w:val="24"/>
          <w:szCs w:val="24"/>
          <w:vertAlign w:val="superscript"/>
          <w:lang w:val="es-ES_tradnl"/>
        </w:rPr>
        <w:footnoteReference w:id="4"/>
      </w:r>
      <w:r w:rsidR="00E42762" w:rsidRPr="00EB5A74">
        <w:rPr>
          <w:rFonts w:ascii="Gadugi" w:hAnsi="Gadugi"/>
          <w:b/>
          <w:bCs/>
          <w:color w:val="000000"/>
          <w:sz w:val="24"/>
          <w:szCs w:val="24"/>
          <w:vertAlign w:val="superscript"/>
          <w:lang w:val="es-ES_tradnl"/>
        </w:rPr>
        <w:t>.</w:t>
      </w:r>
      <w:r w:rsidR="00E42762" w:rsidRPr="00EB5A74">
        <w:rPr>
          <w:rFonts w:ascii="Gadugi" w:hAnsi="Gadugi"/>
          <w:color w:val="000000"/>
          <w:sz w:val="24"/>
          <w:szCs w:val="24"/>
          <w:lang w:val="es-ES_tradnl"/>
        </w:rPr>
        <w:t xml:space="preserve"> </w:t>
      </w:r>
    </w:p>
    <w:p w14:paraId="17BEB3B7" w14:textId="77777777" w:rsidR="00E42762" w:rsidRPr="00EB5A74" w:rsidRDefault="00E42762" w:rsidP="00456FE4">
      <w:pPr>
        <w:spacing w:after="0" w:line="276" w:lineRule="auto"/>
        <w:ind w:firstLine="1701"/>
        <w:jc w:val="both"/>
        <w:rPr>
          <w:rFonts w:ascii="Gadugi" w:hAnsi="Gadugi"/>
          <w:color w:val="000000"/>
          <w:sz w:val="24"/>
          <w:szCs w:val="24"/>
          <w:lang w:val="es-ES_tradnl"/>
        </w:rPr>
      </w:pPr>
    </w:p>
    <w:p w14:paraId="0A01284F" w14:textId="1C36AF8F" w:rsidR="00285E8B"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Admitida, concurrieron M</w:t>
      </w:r>
      <w:r w:rsidR="00E42762" w:rsidRPr="00EB5A74">
        <w:rPr>
          <w:rFonts w:ascii="Gadugi" w:hAnsi="Gadugi"/>
          <w:color w:val="000000"/>
          <w:sz w:val="24"/>
          <w:szCs w:val="24"/>
          <w:lang w:val="es-ES_tradnl"/>
        </w:rPr>
        <w:t>ó</w:t>
      </w:r>
      <w:r w:rsidRPr="00EB5A74">
        <w:rPr>
          <w:rFonts w:ascii="Gadugi" w:hAnsi="Gadugi"/>
          <w:color w:val="000000"/>
          <w:sz w:val="24"/>
          <w:szCs w:val="24"/>
          <w:lang w:val="es-ES_tradnl"/>
        </w:rPr>
        <w:t>nica</w:t>
      </w:r>
      <w:r w:rsidR="0046460B" w:rsidRPr="00EB5A74">
        <w:rPr>
          <w:rFonts w:ascii="Gadugi" w:hAnsi="Gadugi"/>
          <w:color w:val="000000"/>
          <w:sz w:val="24"/>
          <w:szCs w:val="24"/>
          <w:lang w:val="es-ES_tradnl"/>
        </w:rPr>
        <w:t xml:space="preserve">, </w:t>
      </w:r>
      <w:r w:rsidRPr="00EB5A74">
        <w:rPr>
          <w:rFonts w:ascii="Gadugi" w:hAnsi="Gadugi"/>
          <w:color w:val="000000"/>
          <w:sz w:val="24"/>
          <w:szCs w:val="24"/>
          <w:lang w:val="es-ES_tradnl"/>
        </w:rPr>
        <w:t>Pat</w:t>
      </w:r>
      <w:r w:rsidR="00E42762" w:rsidRPr="00EB5A74">
        <w:rPr>
          <w:rFonts w:ascii="Gadugi" w:hAnsi="Gadugi"/>
          <w:color w:val="000000"/>
          <w:sz w:val="24"/>
          <w:szCs w:val="24"/>
          <w:lang w:val="es-ES_tradnl"/>
        </w:rPr>
        <w:t>ri</w:t>
      </w:r>
      <w:r w:rsidRPr="00EB5A74">
        <w:rPr>
          <w:rFonts w:ascii="Gadugi" w:hAnsi="Gadugi"/>
          <w:color w:val="000000"/>
          <w:sz w:val="24"/>
          <w:szCs w:val="24"/>
          <w:lang w:val="es-ES_tradnl"/>
        </w:rPr>
        <w:t xml:space="preserve">cia del </w:t>
      </w:r>
      <w:r w:rsidR="00E42762" w:rsidRPr="00EB5A74">
        <w:rPr>
          <w:rFonts w:ascii="Gadugi" w:hAnsi="Gadugi"/>
          <w:color w:val="000000"/>
          <w:sz w:val="24"/>
          <w:szCs w:val="24"/>
          <w:lang w:val="es-ES_tradnl"/>
        </w:rPr>
        <w:t>Socorro</w:t>
      </w:r>
      <w:r w:rsidR="00717E66" w:rsidRPr="00EB5A74">
        <w:rPr>
          <w:rStyle w:val="Ttulo5Car"/>
          <w:rFonts w:ascii="Gadugi" w:eastAsiaTheme="minorHAnsi" w:hAnsi="Gadugi"/>
          <w:b w:val="0"/>
          <w:bCs w:val="0"/>
          <w:color w:val="000000"/>
          <w:sz w:val="24"/>
          <w:szCs w:val="24"/>
          <w:vertAlign w:val="superscript"/>
          <w:lang w:val="es-ES_tradnl"/>
        </w:rPr>
        <w:footnoteReference w:id="5"/>
      </w:r>
      <w:r w:rsidR="0046460B" w:rsidRPr="00EB5A74">
        <w:rPr>
          <w:rFonts w:ascii="Gadugi" w:hAnsi="Gadugi"/>
          <w:color w:val="000000"/>
          <w:sz w:val="24"/>
          <w:szCs w:val="24"/>
          <w:lang w:val="es-ES_tradnl"/>
        </w:rPr>
        <w:t>,</w:t>
      </w:r>
      <w:r w:rsidR="00E42762" w:rsidRPr="00EB5A74">
        <w:rPr>
          <w:rFonts w:ascii="Gadugi" w:hAnsi="Gadugi"/>
          <w:color w:val="000000"/>
          <w:sz w:val="24"/>
          <w:szCs w:val="24"/>
          <w:lang w:val="es-ES_tradnl"/>
        </w:rPr>
        <w:t xml:space="preserve"> </w:t>
      </w:r>
      <w:r w:rsidRPr="00EB5A74">
        <w:rPr>
          <w:rFonts w:ascii="Gadugi" w:hAnsi="Gadugi"/>
          <w:color w:val="000000"/>
          <w:sz w:val="24"/>
          <w:szCs w:val="24"/>
          <w:lang w:val="es-ES_tradnl"/>
        </w:rPr>
        <w:t>Gl</w:t>
      </w:r>
      <w:r w:rsidR="0046460B" w:rsidRPr="00EB5A74">
        <w:rPr>
          <w:rFonts w:ascii="Gadugi" w:hAnsi="Gadugi"/>
          <w:color w:val="000000"/>
          <w:sz w:val="24"/>
          <w:szCs w:val="24"/>
          <w:lang w:val="es-ES_tradnl"/>
        </w:rPr>
        <w:t>o</w:t>
      </w:r>
      <w:r w:rsidRPr="00EB5A74">
        <w:rPr>
          <w:rFonts w:ascii="Gadugi" w:hAnsi="Gadugi"/>
          <w:color w:val="000000"/>
          <w:sz w:val="24"/>
          <w:szCs w:val="24"/>
          <w:lang w:val="es-ES_tradnl"/>
        </w:rPr>
        <w:t>ria Mar</w:t>
      </w:r>
      <w:r w:rsidR="0046460B" w:rsidRPr="00EB5A74">
        <w:rPr>
          <w:rFonts w:ascii="Gadugi" w:hAnsi="Gadugi"/>
          <w:color w:val="000000"/>
          <w:sz w:val="24"/>
          <w:szCs w:val="24"/>
          <w:lang w:val="es-ES_tradnl"/>
        </w:rPr>
        <w:t>ía</w:t>
      </w:r>
      <w:r w:rsidR="00717E66" w:rsidRPr="00EB5A74">
        <w:rPr>
          <w:rStyle w:val="Ttulo5Car"/>
          <w:rFonts w:ascii="Gadugi" w:eastAsiaTheme="minorHAnsi" w:hAnsi="Gadugi"/>
          <w:b w:val="0"/>
          <w:bCs w:val="0"/>
          <w:color w:val="000000"/>
          <w:sz w:val="24"/>
          <w:szCs w:val="24"/>
          <w:vertAlign w:val="superscript"/>
          <w:lang w:val="es-ES_tradnl"/>
        </w:rPr>
        <w:footnoteReference w:id="6"/>
      </w:r>
      <w:r w:rsidRPr="00EB5A74">
        <w:rPr>
          <w:rFonts w:ascii="Gadugi" w:hAnsi="Gadugi"/>
          <w:color w:val="000000"/>
          <w:sz w:val="24"/>
          <w:szCs w:val="24"/>
          <w:lang w:val="es-ES_tradnl"/>
        </w:rPr>
        <w:t>, Julio Alberto</w:t>
      </w:r>
      <w:r w:rsidR="0046460B" w:rsidRPr="00EB5A74">
        <w:rPr>
          <w:rStyle w:val="Ttulo5Car"/>
          <w:rFonts w:ascii="Gadugi" w:eastAsiaTheme="minorHAnsi" w:hAnsi="Gadugi"/>
          <w:b w:val="0"/>
          <w:bCs w:val="0"/>
          <w:color w:val="000000"/>
          <w:sz w:val="24"/>
          <w:szCs w:val="24"/>
          <w:vertAlign w:val="superscript"/>
          <w:lang w:val="es-ES_tradnl"/>
        </w:rPr>
        <w:footnoteReference w:id="7"/>
      </w:r>
      <w:r w:rsidRPr="00EB5A74">
        <w:rPr>
          <w:rFonts w:ascii="Gadugi" w:hAnsi="Gadugi"/>
          <w:color w:val="000000"/>
          <w:sz w:val="24"/>
          <w:szCs w:val="24"/>
          <w:lang w:val="es-ES_tradnl"/>
        </w:rPr>
        <w:t xml:space="preserve"> y Javier Gonz</w:t>
      </w:r>
      <w:r w:rsidR="0046460B" w:rsidRPr="00EB5A74">
        <w:rPr>
          <w:rFonts w:ascii="Gadugi" w:hAnsi="Gadugi"/>
          <w:color w:val="000000"/>
          <w:sz w:val="24"/>
          <w:szCs w:val="24"/>
          <w:lang w:val="es-ES_tradnl"/>
        </w:rPr>
        <w:t>á</w:t>
      </w:r>
      <w:r w:rsidRPr="00EB5A74">
        <w:rPr>
          <w:rFonts w:ascii="Gadugi" w:hAnsi="Gadugi"/>
          <w:color w:val="000000"/>
          <w:sz w:val="24"/>
          <w:szCs w:val="24"/>
          <w:lang w:val="es-ES_tradnl"/>
        </w:rPr>
        <w:t>lez Naranjo</w:t>
      </w:r>
      <w:r w:rsidR="0046460B" w:rsidRPr="00EB5A74">
        <w:rPr>
          <w:rStyle w:val="Ttulo5Car"/>
          <w:rFonts w:ascii="Gadugi" w:eastAsiaTheme="minorHAnsi" w:hAnsi="Gadugi"/>
          <w:b w:val="0"/>
          <w:bCs w:val="0"/>
          <w:color w:val="000000"/>
          <w:sz w:val="24"/>
          <w:szCs w:val="24"/>
          <w:vertAlign w:val="superscript"/>
          <w:lang w:val="es-ES_tradnl"/>
        </w:rPr>
        <w:footnoteReference w:id="8"/>
      </w:r>
      <w:r w:rsidR="0046460B" w:rsidRPr="00EB5A74">
        <w:rPr>
          <w:rFonts w:ascii="Gadugi" w:hAnsi="Gadugi"/>
          <w:color w:val="000000"/>
          <w:sz w:val="24"/>
          <w:szCs w:val="24"/>
          <w:lang w:val="es-ES_tradnl"/>
        </w:rPr>
        <w:t>,</w:t>
      </w:r>
      <w:r w:rsidRPr="00EB5A74">
        <w:rPr>
          <w:rFonts w:ascii="Gadugi" w:hAnsi="Gadugi"/>
          <w:color w:val="000000"/>
          <w:sz w:val="24"/>
          <w:szCs w:val="24"/>
          <w:lang w:val="es-ES_tradnl"/>
        </w:rPr>
        <w:t xml:space="preserve"> quienes, adem</w:t>
      </w:r>
      <w:r w:rsidR="0046460B" w:rsidRPr="00EB5A74">
        <w:rPr>
          <w:rFonts w:ascii="Gadugi" w:hAnsi="Gadugi"/>
          <w:color w:val="000000"/>
          <w:sz w:val="24"/>
          <w:szCs w:val="24"/>
          <w:lang w:val="es-ES_tradnl"/>
        </w:rPr>
        <w:t>ás</w:t>
      </w:r>
      <w:r w:rsidRPr="00EB5A74">
        <w:rPr>
          <w:rFonts w:ascii="Gadugi" w:hAnsi="Gadugi"/>
          <w:color w:val="000000"/>
          <w:sz w:val="24"/>
          <w:szCs w:val="24"/>
          <w:lang w:val="es-ES_tradnl"/>
        </w:rPr>
        <w:t xml:space="preserve"> de contestar, propusieron </w:t>
      </w:r>
      <w:r w:rsidR="0046460B" w:rsidRPr="00EB5A74">
        <w:rPr>
          <w:rFonts w:ascii="Gadugi" w:hAnsi="Gadugi"/>
          <w:color w:val="000000"/>
          <w:sz w:val="24"/>
          <w:szCs w:val="24"/>
          <w:lang w:val="es-ES_tradnl"/>
        </w:rPr>
        <w:t xml:space="preserve">excepciones de mérito </w:t>
      </w:r>
      <w:r w:rsidR="00C352E5" w:rsidRPr="00EB5A74">
        <w:rPr>
          <w:rFonts w:ascii="Gadugi" w:hAnsi="Gadugi"/>
          <w:color w:val="000000"/>
          <w:sz w:val="24"/>
          <w:szCs w:val="24"/>
          <w:lang w:val="es-ES_tradnl"/>
        </w:rPr>
        <w:t xml:space="preserve">que nominaron: (i) cosa juzgada de las pretensiones; (ii) incongruencia de las pretensiones de inoponibilidad, nulidad absoluta e inexistencia; (iii) la inclusión de bienes propios en el haber social no trae ninguna sanción legal; (iv) </w:t>
      </w:r>
      <w:r w:rsidR="00E927AF" w:rsidRPr="00EB5A74">
        <w:rPr>
          <w:rFonts w:ascii="Gadugi" w:hAnsi="Gadugi"/>
          <w:color w:val="000000"/>
          <w:sz w:val="24"/>
          <w:szCs w:val="24"/>
          <w:lang w:val="es-ES_tradnl"/>
        </w:rPr>
        <w:t xml:space="preserve">es otra y no las de inoponibilidad, inexistencia y nulidad absoluta, la acción que consagra la ley frente a la inclusión de bienes propios en la partición; (v) falta de interés serio y actual para solicitar las pretensiones de inoponibilidad y de nulidad absoluta e inexistencia; (vi) renuncia a un mayor valor con el lleno de </w:t>
      </w:r>
      <w:r w:rsidR="00801ADF" w:rsidRPr="00EB5A74">
        <w:rPr>
          <w:rFonts w:ascii="Gadugi" w:hAnsi="Gadugi"/>
          <w:color w:val="000000"/>
          <w:sz w:val="24"/>
          <w:szCs w:val="24"/>
          <w:lang w:val="es-ES_tradnl"/>
        </w:rPr>
        <w:t>los requisitos legales; (vii) transacción; (</w:t>
      </w:r>
      <w:proofErr w:type="spellStart"/>
      <w:r w:rsidR="00801ADF" w:rsidRPr="00EB5A74">
        <w:rPr>
          <w:rFonts w:ascii="Gadugi" w:hAnsi="Gadugi"/>
          <w:color w:val="000000"/>
          <w:sz w:val="24"/>
          <w:szCs w:val="24"/>
          <w:lang w:val="es-ES_tradnl"/>
        </w:rPr>
        <w:t>viii</w:t>
      </w:r>
      <w:proofErr w:type="spellEnd"/>
      <w:r w:rsidR="00801ADF" w:rsidRPr="00EB5A74">
        <w:rPr>
          <w:rFonts w:ascii="Gadugi" w:hAnsi="Gadugi"/>
          <w:color w:val="000000"/>
          <w:sz w:val="24"/>
          <w:szCs w:val="24"/>
          <w:lang w:val="es-ES_tradnl"/>
        </w:rPr>
        <w:t>) oponibilidad del acto o negocio jurídico a la demandante; (</w:t>
      </w:r>
      <w:proofErr w:type="spellStart"/>
      <w:r w:rsidR="00801ADF" w:rsidRPr="00EB5A74">
        <w:rPr>
          <w:rFonts w:ascii="Gadugi" w:hAnsi="Gadugi"/>
          <w:color w:val="000000"/>
          <w:sz w:val="24"/>
          <w:szCs w:val="24"/>
          <w:lang w:val="es-ES_tradnl"/>
        </w:rPr>
        <w:t>ix</w:t>
      </w:r>
      <w:proofErr w:type="spellEnd"/>
      <w:r w:rsidR="00801ADF" w:rsidRPr="00EB5A74">
        <w:rPr>
          <w:rFonts w:ascii="Gadugi" w:hAnsi="Gadugi"/>
          <w:color w:val="000000"/>
          <w:sz w:val="24"/>
          <w:szCs w:val="24"/>
          <w:lang w:val="es-ES_tradnl"/>
        </w:rPr>
        <w:t xml:space="preserve">) existencia y licitud del acto o negocio jurídico sustancial; (x) prescripción extintiva de las acciones ejercidas por la demandante; (xi) improcedencia de las pretensiones consecuenciales. </w:t>
      </w:r>
    </w:p>
    <w:p w14:paraId="69741458" w14:textId="77777777" w:rsidR="00E927AF" w:rsidRPr="00EB5A74" w:rsidRDefault="00E927AF" w:rsidP="00456FE4">
      <w:pPr>
        <w:spacing w:after="0" w:line="276" w:lineRule="auto"/>
        <w:ind w:firstLine="1701"/>
        <w:jc w:val="both"/>
        <w:rPr>
          <w:rFonts w:ascii="Gadugi" w:hAnsi="Gadugi"/>
          <w:color w:val="000000"/>
          <w:sz w:val="24"/>
          <w:szCs w:val="24"/>
          <w:lang w:val="es-ES_tradnl"/>
        </w:rPr>
      </w:pPr>
    </w:p>
    <w:p w14:paraId="253D7645" w14:textId="77777777" w:rsidR="00AD6497"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Igualmente se pronunci</w:t>
      </w:r>
      <w:r w:rsidR="0046460B"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el curado</w:t>
      </w:r>
      <w:r w:rsidR="0046460B" w:rsidRPr="00EB5A74">
        <w:rPr>
          <w:rFonts w:ascii="Gadugi" w:hAnsi="Gadugi"/>
          <w:color w:val="000000"/>
          <w:sz w:val="24"/>
          <w:szCs w:val="24"/>
          <w:lang w:val="es-ES_tradnl"/>
        </w:rPr>
        <w:t xml:space="preserve">r de los </w:t>
      </w:r>
      <w:r w:rsidRPr="00EB5A74">
        <w:rPr>
          <w:rFonts w:ascii="Gadugi" w:hAnsi="Gadugi"/>
          <w:color w:val="000000"/>
          <w:sz w:val="24"/>
          <w:szCs w:val="24"/>
          <w:lang w:val="es-ES_tradnl"/>
        </w:rPr>
        <w:t>herederos indeterminados</w:t>
      </w:r>
      <w:r w:rsidR="0046460B" w:rsidRPr="00EB5A74">
        <w:rPr>
          <w:rStyle w:val="Ttulo5Car"/>
          <w:rFonts w:ascii="Gadugi" w:eastAsiaTheme="minorHAnsi" w:hAnsi="Gadugi"/>
          <w:b w:val="0"/>
          <w:bCs w:val="0"/>
          <w:color w:val="000000"/>
          <w:sz w:val="24"/>
          <w:szCs w:val="24"/>
          <w:vertAlign w:val="superscript"/>
          <w:lang w:val="es-ES_tradnl"/>
        </w:rPr>
        <w:footnoteReference w:id="9"/>
      </w:r>
      <w:r w:rsidR="00801ADF" w:rsidRPr="00EB5A74">
        <w:rPr>
          <w:rFonts w:ascii="Gadugi" w:hAnsi="Gadugi"/>
          <w:color w:val="000000"/>
          <w:sz w:val="24"/>
          <w:szCs w:val="24"/>
          <w:lang w:val="es-ES_tradnl"/>
        </w:rPr>
        <w:t>, quien propuso las excepciones denominadas (i) prescripción de la acción; (ii) falta de claridad en el libelo; (iii) cosa juzgada y (iv) buena fe.</w:t>
      </w:r>
    </w:p>
    <w:p w14:paraId="41EF0A09" w14:textId="77777777" w:rsidR="00801ADF" w:rsidRPr="00EB5A74" w:rsidRDefault="00801ADF" w:rsidP="00456FE4">
      <w:pPr>
        <w:spacing w:after="0" w:line="276" w:lineRule="auto"/>
        <w:ind w:firstLine="1701"/>
        <w:jc w:val="both"/>
        <w:rPr>
          <w:rFonts w:ascii="Gadugi" w:hAnsi="Gadugi"/>
          <w:color w:val="000000"/>
          <w:sz w:val="24"/>
          <w:szCs w:val="24"/>
          <w:lang w:val="es-ES_tradnl"/>
        </w:rPr>
      </w:pPr>
    </w:p>
    <w:p w14:paraId="0A60D45D" w14:textId="77777777" w:rsidR="00801ADF" w:rsidRPr="00EB5A74" w:rsidRDefault="006C737B"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La parte demandante se pronunció sobre las excepciones formuladas</w:t>
      </w:r>
      <w:r w:rsidRPr="00EB5A74">
        <w:rPr>
          <w:rStyle w:val="Ttulo5Car"/>
          <w:rFonts w:ascii="Gadugi" w:eastAsiaTheme="minorHAnsi" w:hAnsi="Gadugi"/>
          <w:b w:val="0"/>
          <w:bCs w:val="0"/>
          <w:color w:val="000000"/>
          <w:sz w:val="24"/>
          <w:szCs w:val="24"/>
          <w:vertAlign w:val="superscript"/>
          <w:lang w:val="es-ES_tradnl"/>
        </w:rPr>
        <w:footnoteReference w:id="10"/>
      </w:r>
      <w:r w:rsidR="002B642B" w:rsidRPr="00EB5A74">
        <w:rPr>
          <w:rFonts w:ascii="Gadugi" w:hAnsi="Gadugi"/>
          <w:color w:val="000000"/>
          <w:sz w:val="24"/>
          <w:szCs w:val="24"/>
          <w:lang w:val="es-ES_tradnl"/>
        </w:rPr>
        <w:t>.</w:t>
      </w:r>
    </w:p>
    <w:p w14:paraId="3FBFA623" w14:textId="77777777" w:rsidR="0046460B" w:rsidRPr="00EB5A74" w:rsidRDefault="0046460B" w:rsidP="00456FE4">
      <w:pPr>
        <w:spacing w:after="0" w:line="276" w:lineRule="auto"/>
        <w:ind w:firstLine="1701"/>
        <w:jc w:val="both"/>
        <w:rPr>
          <w:rFonts w:ascii="Gadugi" w:hAnsi="Gadugi"/>
          <w:sz w:val="24"/>
          <w:szCs w:val="24"/>
          <w:lang w:val="es-ES_tradnl"/>
        </w:rPr>
      </w:pPr>
    </w:p>
    <w:p w14:paraId="365568F4" w14:textId="26B23EBD" w:rsidR="002B642B" w:rsidRPr="00EB5A74" w:rsidRDefault="00AD6497" w:rsidP="00456FE4">
      <w:pPr>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lastRenderedPageBreak/>
        <w:t xml:space="preserve">Con auto del 9 de septiembre de </w:t>
      </w:r>
      <w:r w:rsidR="006C737B" w:rsidRPr="00EB5A74">
        <w:rPr>
          <w:rFonts w:ascii="Gadugi" w:hAnsi="Gadugi"/>
          <w:sz w:val="24"/>
          <w:szCs w:val="24"/>
          <w:lang w:val="es-ES_tradnl"/>
        </w:rPr>
        <w:t>2</w:t>
      </w:r>
      <w:r w:rsidRPr="00EB5A74">
        <w:rPr>
          <w:rFonts w:ascii="Gadugi" w:hAnsi="Gadugi"/>
          <w:sz w:val="24"/>
          <w:szCs w:val="24"/>
          <w:lang w:val="es-ES_tradnl"/>
        </w:rPr>
        <w:t>013, dispuso el Juzgado integrar el contradictorio con los se</w:t>
      </w:r>
      <w:r w:rsidR="006C737B" w:rsidRPr="00EB5A74">
        <w:rPr>
          <w:rFonts w:ascii="Gadugi" w:hAnsi="Gadugi"/>
          <w:sz w:val="24"/>
          <w:szCs w:val="24"/>
          <w:lang w:val="es-ES_tradnl"/>
        </w:rPr>
        <w:t>ñ</w:t>
      </w:r>
      <w:r w:rsidRPr="00EB5A74">
        <w:rPr>
          <w:rFonts w:ascii="Gadugi" w:hAnsi="Gadugi"/>
          <w:sz w:val="24"/>
          <w:szCs w:val="24"/>
          <w:lang w:val="es-ES_tradnl"/>
        </w:rPr>
        <w:t>ores Julio C</w:t>
      </w:r>
      <w:r w:rsidR="006C737B" w:rsidRPr="00EB5A74">
        <w:rPr>
          <w:rFonts w:ascii="Gadugi" w:hAnsi="Gadugi"/>
          <w:sz w:val="24"/>
          <w:szCs w:val="24"/>
          <w:lang w:val="es-ES_tradnl"/>
        </w:rPr>
        <w:t xml:space="preserve">ésar </w:t>
      </w:r>
      <w:r w:rsidR="002B642B" w:rsidRPr="00EB5A74">
        <w:rPr>
          <w:rFonts w:ascii="Gadugi" w:hAnsi="Gadugi"/>
          <w:sz w:val="24"/>
          <w:szCs w:val="24"/>
          <w:lang w:val="es-ES_tradnl"/>
        </w:rPr>
        <w:t>Lizcano</w:t>
      </w:r>
      <w:r w:rsidR="006C737B" w:rsidRPr="00EB5A74">
        <w:rPr>
          <w:rFonts w:ascii="Gadugi" w:hAnsi="Gadugi"/>
          <w:sz w:val="24"/>
          <w:szCs w:val="24"/>
          <w:lang w:val="es-ES_tradnl"/>
        </w:rPr>
        <w:t xml:space="preserve"> o González </w:t>
      </w:r>
      <w:r w:rsidR="002B642B" w:rsidRPr="00EB5A74">
        <w:rPr>
          <w:rFonts w:ascii="Gadugi" w:hAnsi="Gadugi"/>
          <w:sz w:val="24"/>
          <w:szCs w:val="24"/>
          <w:lang w:val="es-ES_tradnl"/>
        </w:rPr>
        <w:t>Lizcano</w:t>
      </w:r>
      <w:r w:rsidR="006C737B" w:rsidRPr="00EB5A74">
        <w:rPr>
          <w:rFonts w:ascii="Gadugi" w:hAnsi="Gadugi"/>
          <w:sz w:val="24"/>
          <w:szCs w:val="24"/>
          <w:lang w:val="es-ES_tradnl"/>
        </w:rPr>
        <w:t xml:space="preserve">, Letty </w:t>
      </w:r>
      <w:r w:rsidR="002B642B" w:rsidRPr="00EB5A74">
        <w:rPr>
          <w:rFonts w:ascii="Gadugi" w:hAnsi="Gadugi"/>
          <w:sz w:val="24"/>
          <w:szCs w:val="24"/>
          <w:lang w:val="es-ES_tradnl"/>
        </w:rPr>
        <w:t>Lizcano</w:t>
      </w:r>
      <w:r w:rsidR="006C737B" w:rsidRPr="00EB5A74">
        <w:rPr>
          <w:rFonts w:ascii="Gadugi" w:hAnsi="Gadugi"/>
          <w:sz w:val="24"/>
          <w:szCs w:val="24"/>
          <w:lang w:val="es-ES_tradnl"/>
        </w:rPr>
        <w:t xml:space="preserve"> o González </w:t>
      </w:r>
      <w:r w:rsidR="002B642B" w:rsidRPr="00EB5A74">
        <w:rPr>
          <w:rFonts w:ascii="Gadugi" w:hAnsi="Gadugi"/>
          <w:sz w:val="24"/>
          <w:szCs w:val="24"/>
          <w:lang w:val="es-ES_tradnl"/>
        </w:rPr>
        <w:t>Lizcano</w:t>
      </w:r>
      <w:r w:rsidR="006C737B" w:rsidRPr="00EB5A74">
        <w:rPr>
          <w:rFonts w:ascii="Gadugi" w:hAnsi="Gadugi"/>
          <w:sz w:val="24"/>
          <w:szCs w:val="24"/>
          <w:lang w:val="es-ES_tradnl"/>
        </w:rPr>
        <w:t xml:space="preserve">, </w:t>
      </w:r>
      <w:r w:rsidR="002B642B" w:rsidRPr="00EB5A74">
        <w:rPr>
          <w:rFonts w:ascii="Gadugi" w:hAnsi="Gadugi"/>
          <w:sz w:val="24"/>
          <w:szCs w:val="24"/>
          <w:lang w:val="es-ES_tradnl"/>
        </w:rPr>
        <w:t xml:space="preserve">Oscar Tulio Lizcano González, </w:t>
      </w:r>
      <w:proofErr w:type="spellStart"/>
      <w:r w:rsidR="002B642B" w:rsidRPr="00EB5A74">
        <w:rPr>
          <w:rFonts w:ascii="Gadugi" w:hAnsi="Gadugi"/>
          <w:sz w:val="24"/>
          <w:szCs w:val="24"/>
          <w:lang w:val="es-ES_tradnl"/>
        </w:rPr>
        <w:t>Sol</w:t>
      </w:r>
      <w:r w:rsidR="002049B7" w:rsidRPr="00EB5A74">
        <w:rPr>
          <w:rFonts w:ascii="Gadugi" w:hAnsi="Gadugi"/>
          <w:sz w:val="24"/>
          <w:szCs w:val="24"/>
          <w:lang w:val="es-ES_tradnl"/>
        </w:rPr>
        <w:t>angel</w:t>
      </w:r>
      <w:proofErr w:type="spellEnd"/>
      <w:r w:rsidR="002B642B" w:rsidRPr="00EB5A74">
        <w:rPr>
          <w:rFonts w:ascii="Gadugi" w:hAnsi="Gadugi"/>
          <w:sz w:val="24"/>
          <w:szCs w:val="24"/>
          <w:lang w:val="es-ES_tradnl"/>
        </w:rPr>
        <w:t xml:space="preserve"> Lizcano, Yanet González Lizcano y María Liliana González Lizcano</w:t>
      </w:r>
      <w:r w:rsidR="002B642B" w:rsidRPr="00EB5A74">
        <w:rPr>
          <w:rStyle w:val="Ttulo5Car"/>
          <w:rFonts w:ascii="Gadugi" w:eastAsiaTheme="minorHAnsi" w:hAnsi="Gadugi"/>
          <w:b w:val="0"/>
          <w:bCs w:val="0"/>
          <w:sz w:val="24"/>
          <w:szCs w:val="24"/>
          <w:vertAlign w:val="superscript"/>
          <w:lang w:val="es-ES_tradnl"/>
        </w:rPr>
        <w:footnoteReference w:id="11"/>
      </w:r>
      <w:r w:rsidR="00EB5564" w:rsidRPr="00EB5A74">
        <w:rPr>
          <w:rFonts w:ascii="Gadugi" w:hAnsi="Gadugi"/>
          <w:sz w:val="24"/>
          <w:szCs w:val="24"/>
          <w:lang w:val="es-ES_tradnl"/>
        </w:rPr>
        <w:t>.</w:t>
      </w:r>
    </w:p>
    <w:p w14:paraId="05A82320" w14:textId="77777777" w:rsidR="002B642B" w:rsidRPr="00EB5A74" w:rsidRDefault="002B642B" w:rsidP="00456FE4">
      <w:pPr>
        <w:spacing w:after="0" w:line="276" w:lineRule="auto"/>
        <w:ind w:firstLine="1701"/>
        <w:jc w:val="both"/>
        <w:rPr>
          <w:rFonts w:ascii="Gadugi" w:hAnsi="Gadugi"/>
          <w:color w:val="FF0000"/>
          <w:sz w:val="24"/>
          <w:szCs w:val="24"/>
          <w:lang w:val="es-ES_tradnl"/>
        </w:rPr>
      </w:pPr>
    </w:p>
    <w:p w14:paraId="418BA8EF" w14:textId="77777777" w:rsidR="00EB5564" w:rsidRPr="00EB5A74" w:rsidRDefault="00AD6497" w:rsidP="00456FE4">
      <w:pPr>
        <w:spacing w:after="0" w:line="276" w:lineRule="auto"/>
        <w:ind w:firstLine="1701"/>
        <w:jc w:val="both"/>
        <w:rPr>
          <w:rFonts w:ascii="Gadugi" w:hAnsi="Gadugi"/>
          <w:color w:val="000000"/>
          <w:sz w:val="24"/>
          <w:szCs w:val="24"/>
          <w:lang w:val="es-ES_tradnl"/>
        </w:rPr>
      </w:pPr>
      <w:r w:rsidRPr="00EB5A74">
        <w:rPr>
          <w:rFonts w:ascii="Gadugi" w:hAnsi="Gadugi"/>
          <w:sz w:val="24"/>
          <w:szCs w:val="24"/>
          <w:lang w:val="es-ES_tradnl"/>
        </w:rPr>
        <w:t xml:space="preserve">Comparecieron, </w:t>
      </w:r>
      <w:r w:rsidRPr="00EB5A74">
        <w:rPr>
          <w:rFonts w:ascii="Gadugi" w:hAnsi="Gadugi"/>
          <w:color w:val="000000"/>
          <w:sz w:val="24"/>
          <w:szCs w:val="24"/>
          <w:lang w:val="es-ES_tradnl"/>
        </w:rPr>
        <w:t>primero, Mar</w:t>
      </w:r>
      <w:r w:rsidR="002B642B" w:rsidRPr="00EB5A74">
        <w:rPr>
          <w:rFonts w:ascii="Gadugi" w:hAnsi="Gadugi"/>
          <w:color w:val="000000"/>
          <w:sz w:val="24"/>
          <w:szCs w:val="24"/>
          <w:lang w:val="es-ES_tradnl"/>
        </w:rPr>
        <w:t>ía</w:t>
      </w:r>
      <w:r w:rsidRPr="00EB5A74">
        <w:rPr>
          <w:rFonts w:ascii="Gadugi" w:hAnsi="Gadugi"/>
          <w:color w:val="000000"/>
          <w:sz w:val="24"/>
          <w:szCs w:val="24"/>
          <w:lang w:val="es-ES_tradnl"/>
        </w:rPr>
        <w:t xml:space="preserve"> Lili</w:t>
      </w:r>
      <w:r w:rsidR="002B642B" w:rsidRPr="00EB5A74">
        <w:rPr>
          <w:rFonts w:ascii="Gadugi" w:hAnsi="Gadugi"/>
          <w:color w:val="000000"/>
          <w:sz w:val="24"/>
          <w:szCs w:val="24"/>
          <w:lang w:val="es-ES_tradnl"/>
        </w:rPr>
        <w:t>a</w:t>
      </w:r>
      <w:r w:rsidRPr="00EB5A74">
        <w:rPr>
          <w:rFonts w:ascii="Gadugi" w:hAnsi="Gadugi"/>
          <w:color w:val="000000"/>
          <w:sz w:val="24"/>
          <w:szCs w:val="24"/>
          <w:lang w:val="es-ES_tradnl"/>
        </w:rPr>
        <w:t>na, Let</w:t>
      </w:r>
      <w:r w:rsidR="002B642B" w:rsidRPr="00EB5A74">
        <w:rPr>
          <w:rFonts w:ascii="Gadugi" w:hAnsi="Gadugi"/>
          <w:color w:val="000000"/>
          <w:sz w:val="24"/>
          <w:szCs w:val="24"/>
          <w:lang w:val="es-ES_tradnl"/>
        </w:rPr>
        <w:t>t</w:t>
      </w:r>
      <w:r w:rsidRPr="00EB5A74">
        <w:rPr>
          <w:rFonts w:ascii="Gadugi" w:hAnsi="Gadugi"/>
          <w:color w:val="000000"/>
          <w:sz w:val="24"/>
          <w:szCs w:val="24"/>
          <w:lang w:val="es-ES_tradnl"/>
        </w:rPr>
        <w:t>y y Julio C</w:t>
      </w:r>
      <w:r w:rsidR="002B642B" w:rsidRPr="00EB5A74">
        <w:rPr>
          <w:rFonts w:ascii="Gadugi" w:hAnsi="Gadugi"/>
          <w:color w:val="000000"/>
          <w:sz w:val="24"/>
          <w:szCs w:val="24"/>
          <w:lang w:val="es-ES_tradnl"/>
        </w:rPr>
        <w:t>é</w:t>
      </w:r>
      <w:r w:rsidRPr="00EB5A74">
        <w:rPr>
          <w:rFonts w:ascii="Gadugi" w:hAnsi="Gadugi"/>
          <w:color w:val="000000"/>
          <w:sz w:val="24"/>
          <w:szCs w:val="24"/>
          <w:lang w:val="es-ES_tradnl"/>
        </w:rPr>
        <w:t>sar</w:t>
      </w:r>
      <w:r w:rsidR="002B642B" w:rsidRPr="00EB5A74">
        <w:rPr>
          <w:rStyle w:val="Ttulo5Car"/>
          <w:rFonts w:ascii="Gadugi" w:eastAsiaTheme="minorHAnsi" w:hAnsi="Gadugi"/>
          <w:b w:val="0"/>
          <w:bCs w:val="0"/>
          <w:color w:val="000000"/>
          <w:sz w:val="24"/>
          <w:szCs w:val="24"/>
          <w:vertAlign w:val="superscript"/>
          <w:lang w:val="es-ES_tradnl"/>
        </w:rPr>
        <w:footnoteReference w:id="12"/>
      </w:r>
      <w:r w:rsidRPr="00EB5A74">
        <w:rPr>
          <w:rFonts w:ascii="Gadugi" w:hAnsi="Gadugi"/>
          <w:color w:val="000000"/>
          <w:sz w:val="24"/>
          <w:szCs w:val="24"/>
          <w:lang w:val="es-ES_tradnl"/>
        </w:rPr>
        <w:t>;</w:t>
      </w:r>
      <w:r w:rsidR="002B642B" w:rsidRPr="00EB5A74">
        <w:rPr>
          <w:rFonts w:ascii="Gadugi" w:hAnsi="Gadugi"/>
          <w:color w:val="000000"/>
          <w:sz w:val="24"/>
          <w:szCs w:val="24"/>
          <w:lang w:val="es-ES_tradnl"/>
        </w:rPr>
        <w:t xml:space="preserve"> y luego, </w:t>
      </w:r>
      <w:r w:rsidRPr="00EB5A74">
        <w:rPr>
          <w:rFonts w:ascii="Gadugi" w:hAnsi="Gadugi"/>
          <w:color w:val="000000"/>
          <w:sz w:val="24"/>
          <w:szCs w:val="24"/>
          <w:lang w:val="es-ES_tradnl"/>
        </w:rPr>
        <w:t>Yanet</w:t>
      </w:r>
      <w:r w:rsidR="00974293" w:rsidRPr="00EB5A74">
        <w:rPr>
          <w:rStyle w:val="Ttulo5Car"/>
          <w:rFonts w:ascii="Gadugi" w:eastAsiaTheme="minorHAnsi" w:hAnsi="Gadugi"/>
          <w:b w:val="0"/>
          <w:bCs w:val="0"/>
          <w:color w:val="000000"/>
          <w:sz w:val="24"/>
          <w:szCs w:val="24"/>
          <w:vertAlign w:val="superscript"/>
          <w:lang w:val="es-ES_tradnl"/>
        </w:rPr>
        <w:footnoteReference w:id="13"/>
      </w:r>
      <w:r w:rsidRPr="00EB5A74">
        <w:rPr>
          <w:rFonts w:ascii="Gadugi" w:hAnsi="Gadugi"/>
          <w:b/>
          <w:bCs/>
          <w:color w:val="000000"/>
          <w:sz w:val="24"/>
          <w:szCs w:val="24"/>
          <w:vertAlign w:val="superscript"/>
          <w:lang w:val="es-ES_tradnl"/>
        </w:rPr>
        <w:t xml:space="preserve"> </w:t>
      </w:r>
      <w:r w:rsidRPr="00EB5A74">
        <w:rPr>
          <w:rFonts w:ascii="Gadugi" w:hAnsi="Gadugi"/>
          <w:color w:val="000000"/>
          <w:sz w:val="24"/>
          <w:szCs w:val="24"/>
          <w:lang w:val="es-ES_tradnl"/>
        </w:rPr>
        <w:t xml:space="preserve">y </w:t>
      </w:r>
      <w:proofErr w:type="spellStart"/>
      <w:r w:rsidR="00974293" w:rsidRPr="00EB5A74">
        <w:rPr>
          <w:rFonts w:ascii="Gadugi" w:hAnsi="Gadugi"/>
          <w:color w:val="000000"/>
          <w:sz w:val="24"/>
          <w:szCs w:val="24"/>
          <w:lang w:val="es-ES_tradnl"/>
        </w:rPr>
        <w:t>Solangel</w:t>
      </w:r>
      <w:proofErr w:type="spellEnd"/>
      <w:r w:rsidR="00974293" w:rsidRPr="00EB5A74">
        <w:rPr>
          <w:rStyle w:val="Ttulo5Car"/>
          <w:rFonts w:ascii="Gadugi" w:eastAsiaTheme="minorHAnsi" w:hAnsi="Gadugi"/>
          <w:b w:val="0"/>
          <w:bCs w:val="0"/>
          <w:color w:val="000000"/>
          <w:sz w:val="24"/>
          <w:szCs w:val="24"/>
          <w:vertAlign w:val="superscript"/>
          <w:lang w:val="es-ES_tradnl"/>
        </w:rPr>
        <w:footnoteReference w:id="14"/>
      </w:r>
      <w:r w:rsidRPr="00EB5A74">
        <w:rPr>
          <w:rFonts w:ascii="Gadugi" w:hAnsi="Gadugi"/>
          <w:color w:val="000000"/>
          <w:sz w:val="24"/>
          <w:szCs w:val="24"/>
          <w:lang w:val="es-ES_tradnl"/>
        </w:rPr>
        <w:t>, quienes dijeron intervenir com</w:t>
      </w:r>
      <w:r w:rsidR="00974293" w:rsidRPr="00EB5A74">
        <w:rPr>
          <w:rFonts w:ascii="Gadugi" w:hAnsi="Gadugi"/>
          <w:color w:val="000000"/>
          <w:sz w:val="24"/>
          <w:szCs w:val="24"/>
          <w:lang w:val="es-ES_tradnl"/>
        </w:rPr>
        <w:t>o</w:t>
      </w:r>
      <w:r w:rsidRPr="00EB5A74">
        <w:rPr>
          <w:rFonts w:ascii="Gadugi" w:hAnsi="Gadugi"/>
          <w:color w:val="000000"/>
          <w:sz w:val="24"/>
          <w:szCs w:val="24"/>
          <w:lang w:val="es-ES_tradnl"/>
        </w:rPr>
        <w:t xml:space="preserve"> litisconsortes de la de</w:t>
      </w:r>
      <w:r w:rsidR="00974293" w:rsidRPr="00EB5A74">
        <w:rPr>
          <w:rFonts w:ascii="Gadugi" w:hAnsi="Gadugi"/>
          <w:color w:val="000000"/>
          <w:sz w:val="24"/>
          <w:szCs w:val="24"/>
          <w:lang w:val="es-ES_tradnl"/>
        </w:rPr>
        <w:t>mandante</w:t>
      </w:r>
      <w:r w:rsidR="00E96EFE" w:rsidRPr="00EB5A74">
        <w:rPr>
          <w:rFonts w:ascii="Gadugi" w:hAnsi="Gadugi"/>
          <w:color w:val="000000"/>
          <w:sz w:val="24"/>
          <w:szCs w:val="24"/>
          <w:lang w:val="es-ES_tradnl"/>
        </w:rPr>
        <w:t xml:space="preserve">. </w:t>
      </w:r>
      <w:r w:rsidRPr="00EB5A74">
        <w:rPr>
          <w:rFonts w:ascii="Gadugi" w:hAnsi="Gadugi"/>
          <w:color w:val="000000"/>
          <w:sz w:val="24"/>
          <w:szCs w:val="24"/>
          <w:lang w:val="es-ES_tradnl"/>
        </w:rPr>
        <w:t>En sus escritos adujer</w:t>
      </w:r>
      <w:r w:rsidR="00E96EFE" w:rsidRPr="00EB5A74">
        <w:rPr>
          <w:rFonts w:ascii="Gadugi" w:hAnsi="Gadugi"/>
          <w:color w:val="000000"/>
          <w:sz w:val="24"/>
          <w:szCs w:val="24"/>
          <w:lang w:val="es-ES_tradnl"/>
        </w:rPr>
        <w:t xml:space="preserve">on, </w:t>
      </w:r>
      <w:r w:rsidRPr="00EB5A74">
        <w:rPr>
          <w:rFonts w:ascii="Gadugi" w:hAnsi="Gadugi"/>
          <w:color w:val="000000"/>
          <w:sz w:val="24"/>
          <w:szCs w:val="24"/>
          <w:lang w:val="es-ES_tradnl"/>
        </w:rPr>
        <w:t>adicio</w:t>
      </w:r>
      <w:r w:rsidR="00E96EFE" w:rsidRPr="00EB5A74">
        <w:rPr>
          <w:rFonts w:ascii="Gadugi" w:hAnsi="Gadugi"/>
          <w:color w:val="000000"/>
          <w:sz w:val="24"/>
          <w:szCs w:val="24"/>
          <w:lang w:val="es-ES_tradnl"/>
        </w:rPr>
        <w:t>n</w:t>
      </w:r>
      <w:r w:rsidRPr="00EB5A74">
        <w:rPr>
          <w:rFonts w:ascii="Gadugi" w:hAnsi="Gadugi"/>
          <w:color w:val="000000"/>
          <w:sz w:val="24"/>
          <w:szCs w:val="24"/>
          <w:lang w:val="es-ES_tradnl"/>
        </w:rPr>
        <w:t>almente, que coadyuvaban los hechos y las pretensiones de la deman</w:t>
      </w:r>
      <w:r w:rsidR="00E96EFE" w:rsidRPr="00EB5A74">
        <w:rPr>
          <w:rFonts w:ascii="Gadugi" w:hAnsi="Gadugi"/>
          <w:color w:val="000000"/>
          <w:sz w:val="24"/>
          <w:szCs w:val="24"/>
          <w:lang w:val="es-ES_tradnl"/>
        </w:rPr>
        <w:t>da</w:t>
      </w:r>
      <w:r w:rsidRPr="00EB5A74">
        <w:rPr>
          <w:rFonts w:ascii="Gadugi" w:hAnsi="Gadugi"/>
          <w:color w:val="000000"/>
          <w:sz w:val="24"/>
          <w:szCs w:val="24"/>
          <w:lang w:val="es-ES_tradnl"/>
        </w:rPr>
        <w:t xml:space="preserve"> principal.</w:t>
      </w:r>
    </w:p>
    <w:p w14:paraId="2F887455" w14:textId="77777777" w:rsidR="00737B6D" w:rsidRPr="00EB5A74" w:rsidRDefault="00737B6D" w:rsidP="00456FE4">
      <w:pPr>
        <w:spacing w:after="0" w:line="276" w:lineRule="auto"/>
        <w:ind w:firstLine="1701"/>
        <w:jc w:val="both"/>
        <w:rPr>
          <w:rFonts w:ascii="Gadugi" w:hAnsi="Gadugi"/>
          <w:color w:val="000000"/>
          <w:sz w:val="24"/>
          <w:szCs w:val="24"/>
          <w:lang w:val="es-ES_tradnl"/>
        </w:rPr>
      </w:pPr>
    </w:p>
    <w:p w14:paraId="368B32DD" w14:textId="22DA6604" w:rsidR="00C044F1" w:rsidRPr="00EB5A74" w:rsidRDefault="00974293" w:rsidP="00456FE4">
      <w:pPr>
        <w:spacing w:after="0" w:line="276" w:lineRule="auto"/>
        <w:ind w:firstLine="1701"/>
        <w:jc w:val="both"/>
        <w:rPr>
          <w:rFonts w:ascii="Gadugi" w:hAnsi="Gadugi"/>
          <w:color w:val="000000"/>
          <w:sz w:val="24"/>
          <w:szCs w:val="24"/>
          <w:lang w:val="es-ES_tradnl"/>
        </w:rPr>
      </w:pPr>
      <w:r w:rsidRPr="00EB5A74">
        <w:rPr>
          <w:rFonts w:ascii="Gadugi" w:hAnsi="Gadugi"/>
          <w:color w:val="000000"/>
          <w:sz w:val="24"/>
          <w:szCs w:val="24"/>
          <w:lang w:val="es-ES_tradnl"/>
        </w:rPr>
        <w:t>Óscar Tulio Lizcano</w:t>
      </w:r>
      <w:r w:rsidR="00E96EFE" w:rsidRPr="00EB5A74">
        <w:rPr>
          <w:rStyle w:val="Ttulo5Car"/>
          <w:rFonts w:ascii="Gadugi" w:eastAsiaTheme="minorHAnsi" w:hAnsi="Gadugi"/>
          <w:b w:val="0"/>
          <w:bCs w:val="0"/>
          <w:color w:val="000000"/>
          <w:sz w:val="24"/>
          <w:szCs w:val="24"/>
          <w:vertAlign w:val="superscript"/>
          <w:lang w:val="es-ES_tradnl"/>
        </w:rPr>
        <w:footnoteReference w:id="15"/>
      </w:r>
      <w:r w:rsidR="00E96EFE" w:rsidRPr="00EB5A74">
        <w:rPr>
          <w:rFonts w:ascii="Gadugi" w:hAnsi="Gadugi"/>
          <w:color w:val="000000"/>
          <w:sz w:val="24"/>
          <w:szCs w:val="24"/>
          <w:lang w:val="es-ES_tradnl"/>
        </w:rPr>
        <w:t xml:space="preserve">, </w:t>
      </w:r>
      <w:r w:rsidRPr="00EB5A74">
        <w:rPr>
          <w:rFonts w:ascii="Gadugi" w:hAnsi="Gadugi"/>
          <w:color w:val="000000"/>
          <w:sz w:val="24"/>
          <w:szCs w:val="24"/>
          <w:lang w:val="es-ES_tradnl"/>
        </w:rPr>
        <w:t xml:space="preserve">hizo manifiesta su </w:t>
      </w:r>
      <w:r w:rsidR="00E96EFE" w:rsidRPr="00EB5A74">
        <w:rPr>
          <w:rFonts w:ascii="Gadugi" w:hAnsi="Gadugi"/>
          <w:color w:val="000000"/>
          <w:sz w:val="24"/>
          <w:szCs w:val="24"/>
          <w:lang w:val="es-ES_tradnl"/>
        </w:rPr>
        <w:t xml:space="preserve">decisión de </w:t>
      </w:r>
      <w:r w:rsidRPr="00EB5A74">
        <w:rPr>
          <w:rFonts w:ascii="Gadugi" w:hAnsi="Gadugi"/>
          <w:color w:val="000000"/>
          <w:sz w:val="24"/>
          <w:szCs w:val="24"/>
          <w:lang w:val="es-ES_tradnl"/>
        </w:rPr>
        <w:t>no intervenir en el proceso</w:t>
      </w:r>
      <w:r w:rsidR="00E96EFE" w:rsidRPr="00EB5A74">
        <w:rPr>
          <w:rFonts w:ascii="Gadugi" w:hAnsi="Gadugi"/>
          <w:color w:val="000000"/>
          <w:sz w:val="24"/>
          <w:szCs w:val="24"/>
          <w:lang w:val="es-ES_tradnl"/>
        </w:rPr>
        <w:t xml:space="preserve">. </w:t>
      </w:r>
    </w:p>
    <w:p w14:paraId="152B1670" w14:textId="77777777" w:rsidR="00E96EFE" w:rsidRPr="00EB5A74" w:rsidRDefault="00E96EFE" w:rsidP="00456FE4">
      <w:pPr>
        <w:spacing w:after="0" w:line="276" w:lineRule="auto"/>
        <w:ind w:firstLine="1701"/>
        <w:jc w:val="both"/>
        <w:rPr>
          <w:rFonts w:ascii="Gadugi" w:hAnsi="Gadugi"/>
          <w:color w:val="000000"/>
          <w:sz w:val="24"/>
          <w:szCs w:val="24"/>
          <w:lang w:val="es-ES_tradnl"/>
        </w:rPr>
      </w:pPr>
    </w:p>
    <w:p w14:paraId="31088B79" w14:textId="77777777" w:rsidR="003C78A8" w:rsidRPr="00EB5A74" w:rsidRDefault="00AD6497" w:rsidP="00456FE4">
      <w:pPr>
        <w:spacing w:after="0" w:line="276" w:lineRule="auto"/>
        <w:ind w:firstLine="1701"/>
        <w:jc w:val="both"/>
        <w:rPr>
          <w:rFonts w:ascii="Gadugi" w:eastAsia="Calibri" w:hAnsi="Gadugi"/>
          <w:sz w:val="24"/>
          <w:szCs w:val="24"/>
          <w:lang w:val="es-ES_tradnl"/>
        </w:rPr>
      </w:pPr>
      <w:r w:rsidRPr="00EB5A74">
        <w:rPr>
          <w:rFonts w:ascii="Gadugi" w:hAnsi="Gadugi"/>
          <w:color w:val="000000"/>
          <w:sz w:val="24"/>
          <w:szCs w:val="24"/>
          <w:lang w:val="es-ES_tradnl"/>
        </w:rPr>
        <w:t>Se program</w:t>
      </w:r>
      <w:r w:rsidR="00E96EFE" w:rsidRPr="00EB5A74">
        <w:rPr>
          <w:rFonts w:ascii="Gadugi" w:hAnsi="Gadugi"/>
          <w:color w:val="000000"/>
          <w:sz w:val="24"/>
          <w:szCs w:val="24"/>
          <w:lang w:val="es-ES_tradnl"/>
        </w:rPr>
        <w:t>ó</w:t>
      </w:r>
      <w:r w:rsidRPr="00EB5A74">
        <w:rPr>
          <w:rFonts w:ascii="Gadugi" w:hAnsi="Gadugi"/>
          <w:color w:val="000000"/>
          <w:sz w:val="24"/>
          <w:szCs w:val="24"/>
          <w:lang w:val="es-ES_tradnl"/>
        </w:rPr>
        <w:t xml:space="preserve"> la audiencia </w:t>
      </w:r>
      <w:r w:rsidR="00E96EFE" w:rsidRPr="00EB5A74">
        <w:rPr>
          <w:rFonts w:ascii="Gadugi" w:hAnsi="Gadugi"/>
          <w:color w:val="000000"/>
          <w:sz w:val="24"/>
          <w:szCs w:val="24"/>
          <w:lang w:val="es-ES_tradnl"/>
        </w:rPr>
        <w:t xml:space="preserve">prevista en el </w:t>
      </w:r>
      <w:r w:rsidRPr="00EB5A74">
        <w:rPr>
          <w:rFonts w:ascii="Gadugi" w:hAnsi="Gadugi"/>
          <w:color w:val="000000"/>
          <w:sz w:val="24"/>
          <w:szCs w:val="24"/>
          <w:lang w:val="es-ES_tradnl"/>
        </w:rPr>
        <w:t>art</w:t>
      </w:r>
      <w:r w:rsidR="00E96EFE" w:rsidRPr="00EB5A74">
        <w:rPr>
          <w:rFonts w:ascii="Gadugi" w:hAnsi="Gadugi"/>
          <w:color w:val="000000"/>
          <w:sz w:val="24"/>
          <w:szCs w:val="24"/>
          <w:lang w:val="es-ES_tradnl"/>
        </w:rPr>
        <w:t>í</w:t>
      </w:r>
      <w:r w:rsidRPr="00EB5A74">
        <w:rPr>
          <w:rFonts w:ascii="Gadugi" w:hAnsi="Gadugi"/>
          <w:color w:val="000000"/>
          <w:sz w:val="24"/>
          <w:szCs w:val="24"/>
          <w:lang w:val="es-ES_tradnl"/>
        </w:rPr>
        <w:t>culo 101 del C</w:t>
      </w:r>
      <w:r w:rsidR="00E96EFE" w:rsidRPr="00EB5A74">
        <w:rPr>
          <w:rFonts w:ascii="Gadugi" w:hAnsi="Gadugi"/>
          <w:color w:val="000000"/>
          <w:sz w:val="24"/>
          <w:szCs w:val="24"/>
          <w:lang w:val="es-ES_tradnl"/>
        </w:rPr>
        <w:t>ó</w:t>
      </w:r>
      <w:r w:rsidRPr="00EB5A74">
        <w:rPr>
          <w:rFonts w:ascii="Gadugi" w:hAnsi="Gadugi"/>
          <w:color w:val="000000"/>
          <w:sz w:val="24"/>
          <w:szCs w:val="24"/>
          <w:lang w:val="es-ES_tradnl"/>
        </w:rPr>
        <w:t>digo de Procedimiento</w:t>
      </w:r>
      <w:r w:rsidR="00E96EFE" w:rsidRPr="00EB5A74">
        <w:rPr>
          <w:rFonts w:ascii="Gadugi" w:hAnsi="Gadugi"/>
          <w:color w:val="000000"/>
          <w:sz w:val="24"/>
          <w:szCs w:val="24"/>
          <w:lang w:val="es-ES_tradnl"/>
        </w:rPr>
        <w:t xml:space="preserve"> Civil</w:t>
      </w:r>
      <w:r w:rsidR="00E96EFE" w:rsidRPr="00EB5A74">
        <w:rPr>
          <w:rStyle w:val="Ttulo5Car"/>
          <w:rFonts w:ascii="Gadugi" w:eastAsiaTheme="minorHAnsi" w:hAnsi="Gadugi"/>
          <w:b w:val="0"/>
          <w:bCs w:val="0"/>
          <w:color w:val="000000"/>
          <w:sz w:val="24"/>
          <w:szCs w:val="24"/>
          <w:vertAlign w:val="superscript"/>
          <w:lang w:val="es-ES_tradnl"/>
        </w:rPr>
        <w:footnoteReference w:id="16"/>
      </w:r>
      <w:r w:rsidR="001440F9" w:rsidRPr="00EB5A74">
        <w:rPr>
          <w:rFonts w:ascii="Gadugi" w:hAnsi="Gadugi"/>
          <w:color w:val="000000"/>
          <w:sz w:val="24"/>
          <w:szCs w:val="24"/>
          <w:lang w:val="es-ES_tradnl"/>
        </w:rPr>
        <w:t xml:space="preserve">, allí se declaró probada la excepción de cosa juzgada, pero tal determinación fue revocada por esta Sala, con providencia del </w:t>
      </w:r>
      <w:r w:rsidR="001C069B" w:rsidRPr="00EB5A74">
        <w:rPr>
          <w:rFonts w:ascii="Gadugi" w:hAnsi="Gadugi"/>
          <w:color w:val="000000"/>
          <w:sz w:val="24"/>
          <w:szCs w:val="24"/>
          <w:lang w:val="es-ES_tradnl"/>
        </w:rPr>
        <w:t>15 de noviembre de 2018</w:t>
      </w:r>
      <w:r w:rsidR="001C069B" w:rsidRPr="00EB5A74">
        <w:rPr>
          <w:rStyle w:val="Ttulo5Car"/>
          <w:rFonts w:ascii="Gadugi" w:eastAsiaTheme="minorHAnsi" w:hAnsi="Gadugi"/>
          <w:b w:val="0"/>
          <w:bCs w:val="0"/>
          <w:color w:val="000000"/>
          <w:sz w:val="24"/>
          <w:szCs w:val="24"/>
          <w:vertAlign w:val="superscript"/>
          <w:lang w:val="es-ES_tradnl"/>
        </w:rPr>
        <w:footnoteReference w:id="17"/>
      </w:r>
      <w:r w:rsidR="001C069B" w:rsidRPr="00EB5A74">
        <w:rPr>
          <w:rFonts w:ascii="Gadugi" w:hAnsi="Gadugi"/>
          <w:color w:val="000000"/>
          <w:sz w:val="24"/>
          <w:szCs w:val="24"/>
          <w:lang w:val="es-ES_tradnl"/>
        </w:rPr>
        <w:t xml:space="preserve">. </w:t>
      </w:r>
      <w:r w:rsidR="00803DB0" w:rsidRPr="00EB5A74">
        <w:rPr>
          <w:rFonts w:ascii="Gadugi" w:eastAsia="Calibri" w:hAnsi="Gadugi"/>
          <w:sz w:val="24"/>
          <w:szCs w:val="24"/>
          <w:lang w:val="es-ES_tradnl"/>
        </w:rPr>
        <w:t xml:space="preserve">  </w:t>
      </w:r>
      <w:r w:rsidR="00803DB0" w:rsidRPr="00EB5A74">
        <w:rPr>
          <w:rFonts w:ascii="Gadugi" w:eastAsia="Calibri" w:hAnsi="Gadugi"/>
          <w:sz w:val="24"/>
          <w:szCs w:val="24"/>
          <w:lang w:val="es-ES_tradnl"/>
        </w:rPr>
        <w:tab/>
      </w:r>
      <w:r w:rsidR="00803DB0" w:rsidRPr="00EB5A74">
        <w:rPr>
          <w:rFonts w:ascii="Gadugi" w:eastAsia="Calibri" w:hAnsi="Gadugi"/>
          <w:sz w:val="24"/>
          <w:szCs w:val="24"/>
          <w:lang w:val="es-ES_tradnl"/>
        </w:rPr>
        <w:tab/>
      </w:r>
      <w:r w:rsidR="00803DB0" w:rsidRPr="00EB5A74">
        <w:rPr>
          <w:rFonts w:ascii="Gadugi" w:eastAsia="Calibri" w:hAnsi="Gadugi"/>
          <w:sz w:val="24"/>
          <w:szCs w:val="24"/>
          <w:lang w:val="es-ES_tradnl"/>
        </w:rPr>
        <w:tab/>
      </w:r>
      <w:r w:rsidR="00803DB0" w:rsidRPr="00EB5A74">
        <w:rPr>
          <w:rFonts w:ascii="Gadugi" w:eastAsia="Calibri" w:hAnsi="Gadugi"/>
          <w:sz w:val="24"/>
          <w:szCs w:val="24"/>
          <w:lang w:val="es-ES_tradnl"/>
        </w:rPr>
        <w:tab/>
      </w:r>
    </w:p>
    <w:p w14:paraId="2FDB710F" w14:textId="77777777" w:rsidR="0016543A" w:rsidRPr="00EB5A74" w:rsidRDefault="0016543A" w:rsidP="00456FE4">
      <w:pPr>
        <w:spacing w:after="0" w:line="276" w:lineRule="auto"/>
        <w:ind w:firstLine="1701"/>
        <w:jc w:val="both"/>
        <w:rPr>
          <w:rFonts w:ascii="Gadugi" w:eastAsia="Calibri" w:hAnsi="Gadugi" w:cs="Times New Roman"/>
          <w:sz w:val="24"/>
          <w:szCs w:val="24"/>
          <w:lang w:val="es-ES_tradnl"/>
        </w:rPr>
      </w:pPr>
      <w:r w:rsidRPr="00EB5A74">
        <w:rPr>
          <w:rFonts w:ascii="Gadugi" w:eastAsia="Calibri" w:hAnsi="Gadugi" w:cs="Times New Roman"/>
          <w:sz w:val="24"/>
          <w:szCs w:val="24"/>
          <w:lang w:val="es-ES_tradnl"/>
        </w:rPr>
        <w:tab/>
      </w:r>
    </w:p>
    <w:p w14:paraId="108D0699" w14:textId="65635777" w:rsidR="002049B7" w:rsidRPr="00EB5A74" w:rsidRDefault="001C069B" w:rsidP="00456FE4">
      <w:pPr>
        <w:spacing w:after="0" w:line="276" w:lineRule="auto"/>
        <w:ind w:firstLine="1701"/>
        <w:jc w:val="both"/>
        <w:rPr>
          <w:rFonts w:ascii="Gadugi" w:hAnsi="Gadugi"/>
          <w:sz w:val="24"/>
          <w:szCs w:val="24"/>
          <w:lang w:val="es-ES_tradnl"/>
        </w:rPr>
      </w:pPr>
      <w:r w:rsidRPr="00EB5A74">
        <w:rPr>
          <w:rFonts w:ascii="Gadugi" w:eastAsia="Calibri" w:hAnsi="Gadugi" w:cs="Times New Roman"/>
          <w:sz w:val="24"/>
          <w:szCs w:val="24"/>
          <w:lang w:val="es-ES_tradnl"/>
        </w:rPr>
        <w:t xml:space="preserve">Con auto del </w:t>
      </w:r>
      <w:r w:rsidR="00E47E53" w:rsidRPr="00EB5A74">
        <w:rPr>
          <w:rFonts w:ascii="Gadugi" w:eastAsia="Calibri" w:hAnsi="Gadugi" w:cs="Times New Roman"/>
          <w:sz w:val="24"/>
          <w:szCs w:val="24"/>
          <w:lang w:val="es-ES_tradnl"/>
        </w:rPr>
        <w:t>22 de mayo de 2019</w:t>
      </w:r>
      <w:r w:rsidRPr="00EB5A74">
        <w:rPr>
          <w:rStyle w:val="Ttulo5Car"/>
          <w:rFonts w:ascii="Gadugi" w:eastAsia="Calibri" w:hAnsi="Gadugi"/>
          <w:b w:val="0"/>
          <w:bCs w:val="0"/>
          <w:sz w:val="24"/>
          <w:szCs w:val="24"/>
          <w:vertAlign w:val="superscript"/>
          <w:lang w:val="es-ES_tradnl"/>
        </w:rPr>
        <w:footnoteReference w:id="18"/>
      </w:r>
      <w:r w:rsidR="00EB5564" w:rsidRPr="00EB5A74">
        <w:rPr>
          <w:rFonts w:ascii="Gadugi" w:eastAsia="Calibri" w:hAnsi="Gadugi" w:cs="Times New Roman"/>
          <w:sz w:val="24"/>
          <w:szCs w:val="24"/>
          <w:lang w:val="es-ES_tradnl"/>
        </w:rPr>
        <w:t>,</w:t>
      </w:r>
      <w:r w:rsidR="00E47E53" w:rsidRPr="00EB5A74">
        <w:rPr>
          <w:rFonts w:ascii="Gadugi" w:eastAsia="Calibri" w:hAnsi="Gadugi" w:cs="Times New Roman"/>
          <w:sz w:val="24"/>
          <w:szCs w:val="24"/>
          <w:lang w:val="es-ES_tradnl"/>
        </w:rPr>
        <w:t xml:space="preserve">el Juzgado Tercero de Familia </w:t>
      </w:r>
      <w:r w:rsidRPr="00EB5A74">
        <w:rPr>
          <w:rFonts w:ascii="Gadugi" w:eastAsia="Calibri" w:hAnsi="Gadugi" w:cs="Times New Roman"/>
          <w:sz w:val="24"/>
          <w:szCs w:val="24"/>
          <w:lang w:val="es-ES_tradnl"/>
        </w:rPr>
        <w:t xml:space="preserve">asumió </w:t>
      </w:r>
      <w:r w:rsidR="00E47E53" w:rsidRPr="00EB5A74">
        <w:rPr>
          <w:rFonts w:ascii="Gadugi" w:eastAsia="Calibri" w:hAnsi="Gadugi" w:cs="Times New Roman"/>
          <w:sz w:val="24"/>
          <w:szCs w:val="24"/>
          <w:lang w:val="es-ES_tradnl"/>
        </w:rPr>
        <w:t xml:space="preserve">el conocimiento </w:t>
      </w:r>
      <w:r w:rsidRPr="00EB5A74">
        <w:rPr>
          <w:rFonts w:ascii="Gadugi" w:eastAsia="Calibri" w:hAnsi="Gadugi" w:cs="Times New Roman"/>
          <w:sz w:val="24"/>
          <w:szCs w:val="24"/>
          <w:lang w:val="es-ES_tradnl"/>
        </w:rPr>
        <w:t xml:space="preserve">del asunto, en cumplimiento del </w:t>
      </w:r>
      <w:r w:rsidR="00B87AFE" w:rsidRPr="00EB5A74">
        <w:rPr>
          <w:rFonts w:ascii="Gadugi" w:eastAsia="Calibri" w:hAnsi="Gadugi" w:cs="Times New Roman"/>
          <w:sz w:val="24"/>
          <w:szCs w:val="24"/>
          <w:lang w:val="es-ES_tradnl"/>
        </w:rPr>
        <w:t>Acuerdo No</w:t>
      </w:r>
      <w:r w:rsidR="00E47E53" w:rsidRPr="00EB5A74">
        <w:rPr>
          <w:rFonts w:ascii="Gadugi" w:eastAsia="Calibri" w:hAnsi="Gadugi" w:cs="Times New Roman"/>
          <w:sz w:val="24"/>
          <w:szCs w:val="24"/>
          <w:lang w:val="es-ES_tradnl"/>
        </w:rPr>
        <w:t>. CSJRIA18-144 del 19 de diciembre de 2018 del Consejo Superior de la Judicatura</w:t>
      </w:r>
      <w:r w:rsidRPr="00EB5A74">
        <w:rPr>
          <w:rFonts w:ascii="Gadugi" w:eastAsia="Calibri" w:hAnsi="Gadugi" w:cs="Times New Roman"/>
          <w:sz w:val="24"/>
          <w:szCs w:val="24"/>
          <w:lang w:val="es-ES_tradnl"/>
        </w:rPr>
        <w:t xml:space="preserve">; allí mismo, se aclaró que los señores </w:t>
      </w:r>
      <w:r w:rsidRPr="00EB5A74">
        <w:rPr>
          <w:rFonts w:ascii="Gadugi" w:hAnsi="Gadugi"/>
          <w:sz w:val="24"/>
          <w:szCs w:val="24"/>
          <w:lang w:val="es-ES_tradnl"/>
        </w:rPr>
        <w:t xml:space="preserve">María Liliana, Letty, Julio César, Yanet y </w:t>
      </w:r>
      <w:proofErr w:type="spellStart"/>
      <w:r w:rsidRPr="00EB5A74">
        <w:rPr>
          <w:rFonts w:ascii="Gadugi" w:hAnsi="Gadugi"/>
          <w:sz w:val="24"/>
          <w:szCs w:val="24"/>
          <w:lang w:val="es-ES_tradnl"/>
        </w:rPr>
        <w:t>Sol</w:t>
      </w:r>
      <w:r w:rsidR="00A30BD1" w:rsidRPr="00EB5A74">
        <w:rPr>
          <w:rFonts w:ascii="Gadugi" w:hAnsi="Gadugi"/>
          <w:sz w:val="24"/>
          <w:szCs w:val="24"/>
          <w:lang w:val="es-ES_tradnl"/>
        </w:rPr>
        <w:t>á</w:t>
      </w:r>
      <w:r w:rsidRPr="00EB5A74">
        <w:rPr>
          <w:rFonts w:ascii="Gadugi" w:hAnsi="Gadugi"/>
          <w:sz w:val="24"/>
          <w:szCs w:val="24"/>
          <w:lang w:val="es-ES_tradnl"/>
        </w:rPr>
        <w:t>ngel</w:t>
      </w:r>
      <w:proofErr w:type="spellEnd"/>
      <w:r w:rsidR="00A30BD1" w:rsidRPr="00EB5A74">
        <w:rPr>
          <w:rFonts w:ascii="Gadugi" w:hAnsi="Gadugi"/>
          <w:sz w:val="24"/>
          <w:szCs w:val="24"/>
          <w:lang w:val="es-ES_tradnl"/>
        </w:rPr>
        <w:t xml:space="preserve"> </w:t>
      </w:r>
      <w:r w:rsidR="002049B7" w:rsidRPr="00EB5A74">
        <w:rPr>
          <w:rFonts w:ascii="Gadugi" w:hAnsi="Gadugi"/>
          <w:sz w:val="24"/>
          <w:szCs w:val="24"/>
          <w:lang w:val="es-ES_tradnl"/>
        </w:rPr>
        <w:t xml:space="preserve">González Lizcano, </w:t>
      </w:r>
      <w:r w:rsidR="00A30BD1" w:rsidRPr="00EB5A74">
        <w:rPr>
          <w:rFonts w:ascii="Gadugi" w:hAnsi="Gadugi"/>
          <w:sz w:val="24"/>
          <w:szCs w:val="24"/>
          <w:lang w:val="es-ES_tradnl"/>
        </w:rPr>
        <w:t xml:space="preserve">se tienen </w:t>
      </w:r>
      <w:r w:rsidR="002049B7" w:rsidRPr="00EB5A74">
        <w:rPr>
          <w:rFonts w:ascii="Gadugi" w:hAnsi="Gadugi"/>
          <w:sz w:val="24"/>
          <w:szCs w:val="24"/>
          <w:lang w:val="es-ES_tradnl"/>
        </w:rPr>
        <w:t xml:space="preserve">como litisconsortes necesarios por activa. </w:t>
      </w:r>
    </w:p>
    <w:p w14:paraId="0D42CD43" w14:textId="77777777" w:rsidR="002049B7" w:rsidRPr="00EB5A74" w:rsidRDefault="002049B7" w:rsidP="00456FE4">
      <w:pPr>
        <w:spacing w:after="0" w:line="276" w:lineRule="auto"/>
        <w:ind w:firstLine="1701"/>
        <w:jc w:val="both"/>
        <w:rPr>
          <w:rFonts w:ascii="Gadugi" w:hAnsi="Gadugi"/>
          <w:sz w:val="24"/>
          <w:szCs w:val="24"/>
          <w:lang w:val="es-ES_tradnl"/>
        </w:rPr>
      </w:pPr>
    </w:p>
    <w:p w14:paraId="56C94739" w14:textId="7B8A699D" w:rsidR="001C069B" w:rsidRPr="00EB5A74" w:rsidRDefault="002049B7" w:rsidP="00456FE4">
      <w:pPr>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Nuevamente se dio traslado de las excepciones</w:t>
      </w:r>
      <w:r w:rsidRPr="00EB5A74">
        <w:rPr>
          <w:rStyle w:val="Ttulo5Car"/>
          <w:rFonts w:ascii="Gadugi" w:eastAsiaTheme="minorHAnsi" w:hAnsi="Gadugi"/>
          <w:b w:val="0"/>
          <w:bCs w:val="0"/>
          <w:sz w:val="24"/>
          <w:szCs w:val="24"/>
          <w:vertAlign w:val="superscript"/>
          <w:lang w:val="es-ES_tradnl"/>
        </w:rPr>
        <w:footnoteReference w:id="19"/>
      </w:r>
      <w:r w:rsidRPr="00EB5A74">
        <w:rPr>
          <w:rFonts w:ascii="Gadugi" w:hAnsi="Gadugi"/>
          <w:sz w:val="24"/>
          <w:szCs w:val="24"/>
          <w:lang w:val="es-ES_tradnl"/>
        </w:rPr>
        <w:t xml:space="preserve"> y se pronunciaron los demandantes</w:t>
      </w:r>
      <w:r w:rsidR="001C069B" w:rsidRPr="00EB5A74">
        <w:rPr>
          <w:rStyle w:val="Ttulo5Car"/>
          <w:rFonts w:ascii="Gadugi" w:eastAsiaTheme="minorHAnsi" w:hAnsi="Gadugi"/>
          <w:b w:val="0"/>
          <w:bCs w:val="0"/>
          <w:sz w:val="24"/>
          <w:szCs w:val="24"/>
          <w:vertAlign w:val="superscript"/>
          <w:lang w:val="es-ES_tradnl"/>
        </w:rPr>
        <w:footnoteReference w:id="20"/>
      </w:r>
      <w:r w:rsidR="00BD434D" w:rsidRPr="00EB5A74">
        <w:rPr>
          <w:rFonts w:ascii="Gadugi" w:hAnsi="Gadugi"/>
          <w:sz w:val="24"/>
          <w:szCs w:val="24"/>
          <w:lang w:val="es-ES_tradnl"/>
        </w:rPr>
        <w:t>.</w:t>
      </w:r>
    </w:p>
    <w:p w14:paraId="02BE4548" w14:textId="77777777" w:rsidR="001C069B" w:rsidRPr="00EB5A74" w:rsidRDefault="001C069B" w:rsidP="00456FE4">
      <w:pPr>
        <w:spacing w:after="0" w:line="276" w:lineRule="auto"/>
        <w:ind w:firstLine="1701"/>
        <w:jc w:val="both"/>
        <w:rPr>
          <w:rFonts w:ascii="Gadugi" w:eastAsia="Calibri" w:hAnsi="Gadugi" w:cs="Times New Roman"/>
          <w:sz w:val="24"/>
          <w:szCs w:val="24"/>
          <w:lang w:val="es-ES_tradnl"/>
        </w:rPr>
      </w:pPr>
    </w:p>
    <w:p w14:paraId="58747A07" w14:textId="4F39759B" w:rsidR="00803DB0" w:rsidRPr="00EB5A74" w:rsidRDefault="00803DB0" w:rsidP="00456FE4">
      <w:pPr>
        <w:spacing w:after="0" w:line="276" w:lineRule="auto"/>
        <w:ind w:firstLine="1701"/>
        <w:jc w:val="both"/>
        <w:rPr>
          <w:rFonts w:ascii="Gadugi" w:eastAsia="Calibri" w:hAnsi="Gadugi" w:cs="Times New Roman"/>
          <w:sz w:val="24"/>
          <w:szCs w:val="24"/>
          <w:lang w:val="es-ES_tradnl"/>
        </w:rPr>
      </w:pPr>
      <w:r w:rsidRPr="00EB5A74">
        <w:rPr>
          <w:rFonts w:ascii="Gadugi" w:eastAsia="Calibri" w:hAnsi="Gadugi" w:cs="Times New Roman"/>
          <w:sz w:val="24"/>
          <w:szCs w:val="24"/>
          <w:lang w:val="es-ES_tradnl"/>
        </w:rPr>
        <w:t>Surtido el traslado de las excepciones, se produjo el fallo de primer grado</w:t>
      </w:r>
      <w:r w:rsidR="008D2CE7" w:rsidRPr="00EB5A74">
        <w:rPr>
          <w:rFonts w:ascii="Gadugi" w:eastAsia="Calibri" w:hAnsi="Gadugi" w:cs="Times New Roman"/>
          <w:sz w:val="24"/>
          <w:szCs w:val="24"/>
          <w:lang w:val="es-ES_tradnl"/>
        </w:rPr>
        <w:t>, anticipadamente y por escrito, dado que no hubo pruebas por practicar</w:t>
      </w:r>
      <w:r w:rsidR="007B2787" w:rsidRPr="00EB5A74">
        <w:rPr>
          <w:rFonts w:ascii="Gadugi" w:eastAsia="Calibri" w:hAnsi="Gadugi" w:cs="Times New Roman"/>
          <w:sz w:val="24"/>
          <w:szCs w:val="24"/>
          <w:lang w:val="es-ES_tradnl"/>
        </w:rPr>
        <w:t xml:space="preserve"> distintas a las documentales</w:t>
      </w:r>
      <w:r w:rsidR="008D2CE7" w:rsidRPr="00EB5A74">
        <w:rPr>
          <w:rStyle w:val="Ttulo5Car"/>
          <w:rFonts w:ascii="Gadugi" w:eastAsia="Calibri" w:hAnsi="Gadugi"/>
          <w:b w:val="0"/>
          <w:bCs w:val="0"/>
          <w:sz w:val="24"/>
          <w:szCs w:val="24"/>
          <w:vertAlign w:val="superscript"/>
          <w:lang w:val="es-ES_tradnl"/>
        </w:rPr>
        <w:footnoteReference w:id="21"/>
      </w:r>
      <w:r w:rsidR="008D2CE7" w:rsidRPr="00EB5A74">
        <w:rPr>
          <w:rFonts w:ascii="Gadugi" w:eastAsia="Calibri" w:hAnsi="Gadugi" w:cs="Times New Roman"/>
          <w:sz w:val="24"/>
          <w:szCs w:val="24"/>
          <w:lang w:val="es-ES_tradnl"/>
        </w:rPr>
        <w:t xml:space="preserve">. </w:t>
      </w:r>
      <w:r w:rsidRPr="00EB5A74">
        <w:rPr>
          <w:rFonts w:ascii="Gadugi" w:eastAsia="Calibri" w:hAnsi="Gadugi" w:cs="Times New Roman"/>
          <w:sz w:val="24"/>
          <w:szCs w:val="24"/>
          <w:lang w:val="es-ES_tradnl"/>
        </w:rPr>
        <w:t xml:space="preserve"> </w:t>
      </w:r>
    </w:p>
    <w:p w14:paraId="077A3218" w14:textId="77777777" w:rsidR="00803DB0" w:rsidRPr="00EB5A74" w:rsidRDefault="00803DB0" w:rsidP="00456FE4">
      <w:pPr>
        <w:spacing w:after="0" w:line="276" w:lineRule="auto"/>
        <w:ind w:firstLine="1701"/>
        <w:jc w:val="both"/>
        <w:rPr>
          <w:rFonts w:ascii="Gadugi" w:eastAsia="Calibri" w:hAnsi="Gadugi" w:cs="Times New Roman"/>
          <w:b/>
          <w:sz w:val="24"/>
          <w:szCs w:val="24"/>
          <w:lang w:val="es-ES_tradnl"/>
        </w:rPr>
      </w:pPr>
    </w:p>
    <w:p w14:paraId="75E07B23" w14:textId="77777777" w:rsidR="00803DB0" w:rsidRPr="00EB5A74" w:rsidRDefault="00803DB0" w:rsidP="00456FE4">
      <w:pPr>
        <w:numPr>
          <w:ilvl w:val="1"/>
          <w:numId w:val="1"/>
        </w:numPr>
        <w:tabs>
          <w:tab w:val="left" w:pos="1985"/>
          <w:tab w:val="left" w:pos="2268"/>
        </w:tabs>
        <w:spacing w:after="0" w:line="276" w:lineRule="auto"/>
        <w:ind w:left="0" w:firstLine="1701"/>
        <w:jc w:val="both"/>
        <w:rPr>
          <w:rFonts w:ascii="Gadugi" w:eastAsia="Calibri" w:hAnsi="Gadugi" w:cs="Times New Roman"/>
          <w:sz w:val="24"/>
          <w:szCs w:val="24"/>
          <w:lang w:val="es-ES_tradnl"/>
        </w:rPr>
      </w:pPr>
      <w:r w:rsidRPr="00EB5A74">
        <w:rPr>
          <w:rFonts w:ascii="Gadugi" w:eastAsia="Calibri" w:hAnsi="Gadugi" w:cs="Times New Roman"/>
          <w:b/>
          <w:sz w:val="24"/>
          <w:szCs w:val="24"/>
          <w:lang w:val="es-ES_tradnl"/>
        </w:rPr>
        <w:t>La sentencia de primera instancia</w:t>
      </w:r>
    </w:p>
    <w:p w14:paraId="3FE0E54D" w14:textId="2DD8C6FD" w:rsidR="00844520" w:rsidRPr="00EB5A74" w:rsidRDefault="00844520" w:rsidP="00456FE4">
      <w:pPr>
        <w:spacing w:after="0" w:line="276" w:lineRule="auto"/>
        <w:ind w:firstLine="1701"/>
        <w:jc w:val="both"/>
        <w:rPr>
          <w:rFonts w:ascii="Gadugi" w:eastAsia="Calibri" w:hAnsi="Gadugi" w:cs="Times New Roman"/>
          <w:sz w:val="24"/>
          <w:szCs w:val="24"/>
          <w:lang w:val="es-ES_tradnl"/>
        </w:rPr>
      </w:pPr>
    </w:p>
    <w:p w14:paraId="7056A78E" w14:textId="2D2AE4BC" w:rsidR="00E10297" w:rsidRPr="00EB5A74" w:rsidRDefault="00E10297" w:rsidP="00456FE4">
      <w:pPr>
        <w:spacing w:after="0" w:line="276" w:lineRule="auto"/>
        <w:ind w:firstLine="1701"/>
        <w:jc w:val="both"/>
        <w:rPr>
          <w:rFonts w:ascii="Gadugi" w:eastAsia="Calibri" w:hAnsi="Gadugi" w:cs="Times New Roman"/>
          <w:i/>
          <w:sz w:val="24"/>
          <w:szCs w:val="24"/>
          <w:lang w:val="es-ES_tradnl"/>
        </w:rPr>
      </w:pPr>
      <w:r w:rsidRPr="00EB5A74">
        <w:rPr>
          <w:rFonts w:ascii="Gadugi" w:eastAsia="Calibri" w:hAnsi="Gadugi" w:cs="Times New Roman"/>
          <w:sz w:val="24"/>
          <w:szCs w:val="24"/>
          <w:lang w:val="es-ES_tradnl"/>
        </w:rPr>
        <w:lastRenderedPageBreak/>
        <w:t xml:space="preserve">Comenzó el Juzgado por plantear como problema jurídico si </w:t>
      </w:r>
      <w:r w:rsidRPr="00EB5A74">
        <w:rPr>
          <w:rFonts w:ascii="Gadugi" w:eastAsia="Calibri" w:hAnsi="Gadugi" w:cs="Times New Roman"/>
          <w:i/>
          <w:sz w:val="24"/>
          <w:szCs w:val="24"/>
          <w:lang w:val="es-ES_tradnl"/>
        </w:rPr>
        <w:t>“</w:t>
      </w:r>
      <w:r w:rsidRPr="00EB5A74">
        <w:rPr>
          <w:rFonts w:ascii="Gadugi" w:eastAsia="Calibri" w:hAnsi="Gadugi" w:cs="Times New Roman"/>
          <w:i/>
          <w:szCs w:val="24"/>
          <w:lang w:val="es-ES_tradnl"/>
        </w:rPr>
        <w:t>la renuncia a gananciales</w:t>
      </w:r>
      <w:r w:rsidR="00BD434D" w:rsidRPr="00EB5A74">
        <w:rPr>
          <w:rFonts w:ascii="Gadugi" w:eastAsia="Calibri" w:hAnsi="Gadugi" w:cs="Times New Roman"/>
          <w:i/>
          <w:szCs w:val="24"/>
          <w:lang w:val="es-ES_tradnl"/>
        </w:rPr>
        <w:t xml:space="preserve"> </w:t>
      </w:r>
      <w:r w:rsidRPr="00EB5A74">
        <w:rPr>
          <w:rFonts w:ascii="Gadugi" w:eastAsia="Calibri" w:hAnsi="Gadugi" w:cs="Times New Roman"/>
          <w:i/>
          <w:szCs w:val="24"/>
          <w:lang w:val="es-ES_tradnl"/>
        </w:rPr>
        <w:t>y Liquidación de Sociedad Conyugal y adjudicación recogida en la Escritura No. 2360 del 12/12/79, otorgada en la Notaría Primera del Círculo de la Ciudad, es inoponible a la señora Luz Amparo González Lizcano</w:t>
      </w:r>
      <w:r w:rsidR="00C94FA7" w:rsidRPr="00EB5A74">
        <w:rPr>
          <w:rFonts w:ascii="Gadugi" w:eastAsia="Calibri" w:hAnsi="Gadugi" w:cs="Times New Roman"/>
          <w:i/>
          <w:szCs w:val="24"/>
          <w:lang w:val="es-ES_tradnl"/>
        </w:rPr>
        <w:t>…</w:t>
      </w:r>
      <w:r w:rsidR="00C94FA7" w:rsidRPr="00EB5A74">
        <w:rPr>
          <w:rFonts w:ascii="Gadugi" w:eastAsia="Calibri" w:hAnsi="Gadugi" w:cs="Times New Roman"/>
          <w:i/>
          <w:sz w:val="24"/>
          <w:szCs w:val="24"/>
          <w:lang w:val="es-ES_tradnl"/>
        </w:rPr>
        <w:t>”</w:t>
      </w:r>
    </w:p>
    <w:p w14:paraId="46852F16" w14:textId="7E6C2AAB" w:rsidR="00E10297" w:rsidRPr="00EB5A74" w:rsidRDefault="00E10297" w:rsidP="00456FE4">
      <w:pPr>
        <w:spacing w:after="0" w:line="276" w:lineRule="auto"/>
        <w:ind w:firstLine="1701"/>
        <w:jc w:val="both"/>
        <w:rPr>
          <w:rFonts w:ascii="Gadugi" w:eastAsia="Calibri" w:hAnsi="Gadugi" w:cs="Times New Roman"/>
          <w:sz w:val="24"/>
          <w:szCs w:val="24"/>
          <w:lang w:val="es-ES_tradnl"/>
        </w:rPr>
      </w:pPr>
    </w:p>
    <w:p w14:paraId="30A76455" w14:textId="77777777" w:rsidR="00043C90" w:rsidRPr="00EB5A74" w:rsidRDefault="00E10297" w:rsidP="00456FE4">
      <w:pPr>
        <w:spacing w:after="0" w:line="276" w:lineRule="auto"/>
        <w:ind w:firstLine="1701"/>
        <w:jc w:val="both"/>
        <w:rPr>
          <w:rFonts w:ascii="Gadugi" w:eastAsia="Calibri" w:hAnsi="Gadugi" w:cs="Times New Roman"/>
          <w:sz w:val="24"/>
          <w:szCs w:val="24"/>
          <w:lang w:val="es-ES_tradnl"/>
        </w:rPr>
      </w:pPr>
      <w:r w:rsidRPr="00EB5A74">
        <w:rPr>
          <w:rFonts w:ascii="Gadugi" w:eastAsia="Calibri" w:hAnsi="Gadugi" w:cs="Times New Roman"/>
          <w:sz w:val="24"/>
          <w:szCs w:val="24"/>
          <w:lang w:val="es-ES_tradnl"/>
        </w:rPr>
        <w:t>Enseguida, tras relacionar la prueba recaudada y algunos hechos probados, emprendió el estudio de las excepciones propuestas</w:t>
      </w:r>
      <w:r w:rsidR="00043C90" w:rsidRPr="00EB5A74">
        <w:rPr>
          <w:rFonts w:ascii="Gadugi" w:eastAsia="Calibri" w:hAnsi="Gadugi" w:cs="Times New Roman"/>
          <w:sz w:val="24"/>
          <w:szCs w:val="24"/>
          <w:lang w:val="es-ES_tradnl"/>
        </w:rPr>
        <w:t xml:space="preserve">; una vez desechadas, acometió el análisis de la renuncia de gananciales y concluyó que, aunque ella es viable desde el punto de vista legal, no puede afectar derechos de terceros. </w:t>
      </w:r>
    </w:p>
    <w:p w14:paraId="246C6158" w14:textId="77777777" w:rsidR="00043C90" w:rsidRPr="00EB5A74" w:rsidRDefault="00043C90" w:rsidP="00456FE4">
      <w:pPr>
        <w:spacing w:after="0" w:line="276" w:lineRule="auto"/>
        <w:ind w:firstLine="1701"/>
        <w:jc w:val="both"/>
        <w:rPr>
          <w:rFonts w:ascii="Gadugi" w:eastAsia="Calibri" w:hAnsi="Gadugi" w:cs="Times New Roman"/>
          <w:sz w:val="24"/>
          <w:szCs w:val="24"/>
          <w:lang w:val="es-ES_tradnl"/>
        </w:rPr>
      </w:pPr>
    </w:p>
    <w:p w14:paraId="31C990EB" w14:textId="4743F679" w:rsidR="008D2CE7" w:rsidRPr="00EB5A74" w:rsidRDefault="00043C90" w:rsidP="00456FE4">
      <w:pPr>
        <w:spacing w:after="0" w:line="276" w:lineRule="auto"/>
        <w:ind w:firstLine="1701"/>
        <w:jc w:val="both"/>
        <w:rPr>
          <w:rFonts w:ascii="Gadugi" w:eastAsia="Calibri" w:hAnsi="Gadugi" w:cs="Times New Roman"/>
          <w:sz w:val="24"/>
          <w:szCs w:val="24"/>
          <w:lang w:val="es-ES_tradnl"/>
        </w:rPr>
      </w:pPr>
      <w:r w:rsidRPr="00EB5A74">
        <w:rPr>
          <w:rFonts w:ascii="Gadugi" w:eastAsia="Calibri" w:hAnsi="Gadugi" w:cs="Times New Roman"/>
          <w:sz w:val="24"/>
          <w:szCs w:val="24"/>
          <w:lang w:val="es-ES_tradnl"/>
        </w:rPr>
        <w:t>En consecuencia, d</w:t>
      </w:r>
      <w:r w:rsidR="008D2CE7" w:rsidRPr="00EB5A74">
        <w:rPr>
          <w:rFonts w:ascii="Gadugi" w:eastAsia="Calibri" w:hAnsi="Gadugi" w:cs="Times New Roman"/>
          <w:sz w:val="24"/>
          <w:szCs w:val="24"/>
          <w:lang w:val="es-ES_tradnl"/>
        </w:rPr>
        <w:t xml:space="preserve">eclaró </w:t>
      </w:r>
      <w:r w:rsidR="008D2CE7" w:rsidRPr="00EB5A74">
        <w:rPr>
          <w:rFonts w:ascii="Gadugi" w:eastAsia="Calibri" w:hAnsi="Gadugi" w:cs="Times New Roman"/>
          <w:i/>
          <w:sz w:val="24"/>
          <w:szCs w:val="24"/>
          <w:lang w:val="es-ES_tradnl"/>
        </w:rPr>
        <w:t>“</w:t>
      </w:r>
      <w:r w:rsidR="008D2CE7" w:rsidRPr="00EB5A74">
        <w:rPr>
          <w:rFonts w:ascii="Gadugi" w:eastAsia="Calibri" w:hAnsi="Gadugi" w:cs="Times New Roman"/>
          <w:i/>
          <w:szCs w:val="24"/>
          <w:lang w:val="es-ES_tradnl"/>
        </w:rPr>
        <w:t>no prósperas</w:t>
      </w:r>
      <w:r w:rsidR="008D2CE7" w:rsidRPr="00EB5A74">
        <w:rPr>
          <w:rFonts w:ascii="Gadugi" w:eastAsia="Calibri" w:hAnsi="Gadugi" w:cs="Times New Roman"/>
          <w:i/>
          <w:sz w:val="24"/>
          <w:szCs w:val="24"/>
          <w:lang w:val="es-ES_tradnl"/>
        </w:rPr>
        <w:t>”</w:t>
      </w:r>
      <w:r w:rsidR="008D2CE7" w:rsidRPr="00EB5A74">
        <w:rPr>
          <w:rFonts w:ascii="Gadugi" w:eastAsia="Calibri" w:hAnsi="Gadugi" w:cs="Times New Roman"/>
          <w:sz w:val="24"/>
          <w:szCs w:val="24"/>
          <w:lang w:val="es-ES_tradnl"/>
        </w:rPr>
        <w:t xml:space="preserve"> las excepciones propuestas y que la escritura pública 2360 del 12 de diciembre de 1979, le es inoponible a la </w:t>
      </w:r>
      <w:r w:rsidR="007B2787" w:rsidRPr="00EB5A74">
        <w:rPr>
          <w:rFonts w:ascii="Gadugi" w:eastAsia="Calibri" w:hAnsi="Gadugi" w:cs="Times New Roman"/>
          <w:sz w:val="24"/>
          <w:szCs w:val="24"/>
          <w:lang w:val="es-ES_tradnl"/>
        </w:rPr>
        <w:t>demandante</w:t>
      </w:r>
      <w:r w:rsidR="008D2CE7" w:rsidRPr="00EB5A74">
        <w:rPr>
          <w:rFonts w:ascii="Gadugi" w:eastAsia="Calibri" w:hAnsi="Gadugi" w:cs="Times New Roman"/>
          <w:sz w:val="24"/>
          <w:szCs w:val="24"/>
          <w:lang w:val="es-ES_tradnl"/>
        </w:rPr>
        <w:t xml:space="preserve"> Luz Amparo González Lizcano</w:t>
      </w:r>
      <w:r w:rsidRPr="00EB5A74">
        <w:rPr>
          <w:rFonts w:ascii="Gadugi" w:eastAsia="Calibri" w:hAnsi="Gadugi" w:cs="Times New Roman"/>
          <w:sz w:val="24"/>
          <w:szCs w:val="24"/>
          <w:lang w:val="es-ES_tradnl"/>
        </w:rPr>
        <w:t>; o</w:t>
      </w:r>
      <w:r w:rsidR="008D2CE7" w:rsidRPr="00EB5A74">
        <w:rPr>
          <w:rFonts w:ascii="Gadugi" w:eastAsia="Calibri" w:hAnsi="Gadugi" w:cs="Times New Roman"/>
          <w:sz w:val="24"/>
          <w:szCs w:val="24"/>
          <w:lang w:val="es-ES_tradnl"/>
        </w:rPr>
        <w:t xml:space="preserve">rdenó cancelar el registro de dicha escritura y el de las transferencias, gravámenes y limitaciones del dominio posteriores a esa fecha; por último, condenó en costas a la parte demandada. </w:t>
      </w:r>
    </w:p>
    <w:p w14:paraId="1CC947F6" w14:textId="77777777" w:rsidR="008D2CE7" w:rsidRPr="00EB5A74" w:rsidRDefault="008D2CE7" w:rsidP="00456FE4">
      <w:pPr>
        <w:spacing w:after="0" w:line="276" w:lineRule="auto"/>
        <w:ind w:firstLine="1701"/>
        <w:jc w:val="both"/>
        <w:rPr>
          <w:rFonts w:ascii="Gadugi" w:eastAsia="Calibri" w:hAnsi="Gadugi" w:cs="Times New Roman"/>
          <w:sz w:val="24"/>
          <w:szCs w:val="24"/>
          <w:lang w:val="es-ES_tradnl"/>
        </w:rPr>
      </w:pPr>
    </w:p>
    <w:p w14:paraId="70DA71DF" w14:textId="5E9E8442" w:rsidR="008D2CE7" w:rsidRPr="00EB5A74" w:rsidRDefault="008D2CE7" w:rsidP="00456FE4">
      <w:pPr>
        <w:spacing w:after="0" w:line="276" w:lineRule="auto"/>
        <w:ind w:firstLine="1701"/>
        <w:jc w:val="both"/>
        <w:rPr>
          <w:rFonts w:ascii="Gadugi" w:hAnsi="Gadugi"/>
          <w:bCs/>
          <w:sz w:val="24"/>
          <w:szCs w:val="24"/>
          <w:lang w:val="es-ES_tradnl"/>
        </w:rPr>
      </w:pPr>
      <w:r w:rsidRPr="00EB5A74">
        <w:rPr>
          <w:rFonts w:ascii="Gadugi" w:hAnsi="Gadugi"/>
          <w:bCs/>
          <w:sz w:val="24"/>
          <w:szCs w:val="24"/>
          <w:lang w:val="es-ES_tradnl"/>
        </w:rPr>
        <w:t>En providencia del 24 de julio de 2020</w:t>
      </w:r>
      <w:r w:rsidRPr="00EB5A74">
        <w:rPr>
          <w:rStyle w:val="Ttulo5Car"/>
          <w:rFonts w:ascii="Gadugi" w:eastAsiaTheme="minorHAnsi" w:hAnsi="Gadugi"/>
          <w:b w:val="0"/>
          <w:bCs w:val="0"/>
          <w:sz w:val="24"/>
          <w:szCs w:val="24"/>
          <w:vertAlign w:val="superscript"/>
          <w:lang w:val="es-ES_tradnl"/>
        </w:rPr>
        <w:footnoteReference w:id="22"/>
      </w:r>
      <w:r w:rsidRPr="00EB5A74">
        <w:rPr>
          <w:rFonts w:ascii="Gadugi" w:hAnsi="Gadugi"/>
          <w:bCs/>
          <w:sz w:val="24"/>
          <w:szCs w:val="24"/>
          <w:lang w:val="es-ES_tradnl"/>
        </w:rPr>
        <w:t>, se negó la adición de la sentencia, pero se aclaró la resolutiva en el sentido de que se declaraban no probadas las excepciones de cosa juzgada y prescripción</w:t>
      </w:r>
      <w:r w:rsidR="007B2787" w:rsidRPr="00EB5A74">
        <w:rPr>
          <w:rFonts w:ascii="Gadugi" w:hAnsi="Gadugi"/>
          <w:bCs/>
          <w:sz w:val="24"/>
          <w:szCs w:val="24"/>
          <w:lang w:val="es-ES_tradnl"/>
        </w:rPr>
        <w:t>, acogiéndose a lo que ya había resuelto esta Sala en ese sentido</w:t>
      </w:r>
      <w:r w:rsidRPr="00EB5A74">
        <w:rPr>
          <w:rFonts w:ascii="Gadugi" w:hAnsi="Gadugi"/>
          <w:bCs/>
          <w:sz w:val="24"/>
          <w:szCs w:val="24"/>
          <w:lang w:val="es-ES_tradnl"/>
        </w:rPr>
        <w:t xml:space="preserve">. </w:t>
      </w:r>
    </w:p>
    <w:p w14:paraId="074F591F" w14:textId="77777777" w:rsidR="008D2CE7" w:rsidRPr="00EB5A74" w:rsidRDefault="008D2CE7" w:rsidP="00456FE4">
      <w:pPr>
        <w:spacing w:after="0" w:line="276" w:lineRule="auto"/>
        <w:ind w:firstLine="1701"/>
        <w:jc w:val="both"/>
        <w:rPr>
          <w:rFonts w:ascii="Gadugi" w:hAnsi="Gadugi"/>
          <w:bCs/>
          <w:sz w:val="24"/>
          <w:szCs w:val="24"/>
          <w:lang w:val="es-ES_tradnl"/>
        </w:rPr>
      </w:pPr>
    </w:p>
    <w:p w14:paraId="3B46E02C" w14:textId="1D4ACB4D" w:rsidR="00172867" w:rsidRPr="00EB5A74" w:rsidRDefault="00043C90" w:rsidP="00456FE4">
      <w:pPr>
        <w:numPr>
          <w:ilvl w:val="1"/>
          <w:numId w:val="1"/>
        </w:numPr>
        <w:spacing w:after="0" w:line="276" w:lineRule="auto"/>
        <w:ind w:left="0" w:firstLine="1701"/>
        <w:jc w:val="both"/>
        <w:rPr>
          <w:rFonts w:ascii="Gadugi" w:hAnsi="Gadugi"/>
          <w:bCs/>
          <w:sz w:val="24"/>
          <w:szCs w:val="24"/>
          <w:lang w:val="es-ES_tradnl"/>
        </w:rPr>
      </w:pPr>
      <w:r w:rsidRPr="00EB5A74">
        <w:rPr>
          <w:rFonts w:ascii="Gadugi" w:hAnsi="Gadugi"/>
          <w:b/>
          <w:sz w:val="24"/>
          <w:szCs w:val="24"/>
          <w:lang w:val="es-ES_tradnl"/>
        </w:rPr>
        <w:t xml:space="preserve"> </w:t>
      </w:r>
      <w:r w:rsidR="00172867" w:rsidRPr="00EB5A74">
        <w:rPr>
          <w:rFonts w:ascii="Gadugi" w:hAnsi="Gadugi"/>
          <w:b/>
          <w:sz w:val="24"/>
          <w:szCs w:val="24"/>
          <w:lang w:val="es-ES_tradnl"/>
        </w:rPr>
        <w:t>La apelación</w:t>
      </w:r>
    </w:p>
    <w:p w14:paraId="2FFC4A46" w14:textId="77777777" w:rsidR="000920B1" w:rsidRPr="00EB5A74" w:rsidRDefault="000920B1" w:rsidP="00456FE4">
      <w:pPr>
        <w:spacing w:after="0" w:line="276" w:lineRule="auto"/>
        <w:ind w:left="1843" w:hanging="142"/>
        <w:jc w:val="both"/>
        <w:rPr>
          <w:rFonts w:ascii="Gadugi" w:hAnsi="Gadugi"/>
          <w:b/>
          <w:sz w:val="24"/>
          <w:szCs w:val="24"/>
          <w:lang w:val="es-ES_tradnl"/>
        </w:rPr>
      </w:pPr>
    </w:p>
    <w:p w14:paraId="2E6AA6BD" w14:textId="7E4C89B1" w:rsidR="00043C90" w:rsidRPr="00EB5A74" w:rsidRDefault="000920B1" w:rsidP="00456FE4">
      <w:pPr>
        <w:spacing w:after="0" w:line="276" w:lineRule="auto"/>
        <w:ind w:firstLine="1701"/>
        <w:jc w:val="both"/>
        <w:rPr>
          <w:rStyle w:val="Ttulo2Car"/>
          <w:rFonts w:ascii="Gadugi" w:eastAsiaTheme="minorHAnsi" w:hAnsi="Gadugi" w:cs="Segoe UI"/>
          <w:sz w:val="24"/>
          <w:szCs w:val="24"/>
          <w:lang w:val="es-ES_tradnl"/>
        </w:rPr>
      </w:pPr>
      <w:r w:rsidRPr="00EB5A74">
        <w:rPr>
          <w:rStyle w:val="Ttulo2Car"/>
          <w:rFonts w:ascii="Gadugi" w:eastAsiaTheme="minorHAnsi" w:hAnsi="Gadugi" w:cs="Segoe UI"/>
          <w:sz w:val="24"/>
          <w:szCs w:val="24"/>
          <w:lang w:val="es-ES_tradnl"/>
        </w:rPr>
        <w:t>S</w:t>
      </w:r>
      <w:r w:rsidR="00803DB0" w:rsidRPr="00EB5A74">
        <w:rPr>
          <w:rStyle w:val="Ttulo2Car"/>
          <w:rFonts w:ascii="Gadugi" w:eastAsiaTheme="minorHAnsi" w:hAnsi="Gadugi" w:cs="Segoe UI"/>
          <w:sz w:val="24"/>
          <w:szCs w:val="24"/>
          <w:lang w:val="es-ES_tradnl"/>
        </w:rPr>
        <w:t>e alz</w:t>
      </w:r>
      <w:r w:rsidR="004D277E" w:rsidRPr="00EB5A74">
        <w:rPr>
          <w:rStyle w:val="Ttulo2Car"/>
          <w:rFonts w:ascii="Gadugi" w:eastAsiaTheme="minorHAnsi" w:hAnsi="Gadugi" w:cs="Segoe UI"/>
          <w:sz w:val="24"/>
          <w:szCs w:val="24"/>
          <w:lang w:val="es-ES_tradnl"/>
        </w:rPr>
        <w:t xml:space="preserve">aron </w:t>
      </w:r>
      <w:r w:rsidR="00803DB0" w:rsidRPr="00EB5A74">
        <w:rPr>
          <w:rStyle w:val="Ttulo2Car"/>
          <w:rFonts w:ascii="Gadugi" w:eastAsiaTheme="minorHAnsi" w:hAnsi="Gadugi" w:cs="Segoe UI"/>
          <w:sz w:val="24"/>
          <w:szCs w:val="24"/>
          <w:lang w:val="es-ES_tradnl"/>
        </w:rPr>
        <w:t>contra el fallo</w:t>
      </w:r>
      <w:r w:rsidR="00D161E0" w:rsidRPr="00EB5A74">
        <w:rPr>
          <w:rStyle w:val="Ttulo2Car"/>
          <w:rFonts w:ascii="Gadugi" w:eastAsiaTheme="minorHAnsi" w:hAnsi="Gadugi" w:cs="Segoe UI"/>
          <w:sz w:val="24"/>
          <w:szCs w:val="24"/>
          <w:lang w:val="es-ES_tradnl"/>
        </w:rPr>
        <w:t xml:space="preserve"> de </w:t>
      </w:r>
      <w:r w:rsidR="00043C90" w:rsidRPr="00EB5A74">
        <w:rPr>
          <w:rStyle w:val="Ttulo2Car"/>
          <w:rFonts w:ascii="Gadugi" w:eastAsiaTheme="minorHAnsi" w:hAnsi="Gadugi" w:cs="Segoe UI"/>
          <w:sz w:val="24"/>
          <w:szCs w:val="24"/>
          <w:lang w:val="es-ES_tradnl"/>
        </w:rPr>
        <w:t xml:space="preserve">los demandados, así: </w:t>
      </w:r>
    </w:p>
    <w:p w14:paraId="1A273D5F" w14:textId="7B20407D" w:rsidR="00043C90" w:rsidRPr="00EB5A74" w:rsidRDefault="00043C90" w:rsidP="00456FE4">
      <w:pPr>
        <w:spacing w:after="0" w:line="276" w:lineRule="auto"/>
        <w:ind w:firstLine="1701"/>
        <w:jc w:val="both"/>
        <w:rPr>
          <w:rStyle w:val="Ttulo2Car"/>
          <w:rFonts w:ascii="Gadugi" w:eastAsiaTheme="minorHAnsi" w:hAnsi="Gadugi" w:cs="Segoe UI"/>
          <w:sz w:val="24"/>
          <w:szCs w:val="24"/>
          <w:lang w:val="es-ES_tradnl"/>
        </w:rPr>
      </w:pPr>
    </w:p>
    <w:p w14:paraId="28FA3F31" w14:textId="31139BD6" w:rsidR="003E0F56" w:rsidRPr="00EB5A74" w:rsidRDefault="00B60AE5" w:rsidP="00456FE4">
      <w:pPr>
        <w:spacing w:after="0" w:line="276" w:lineRule="auto"/>
        <w:ind w:firstLine="1701"/>
        <w:jc w:val="both"/>
        <w:rPr>
          <w:rFonts w:ascii="Gadugi" w:eastAsia="Calibri" w:hAnsi="Gadugi" w:cs="Times New Roman"/>
          <w:sz w:val="24"/>
          <w:szCs w:val="24"/>
          <w:lang w:val="es-ES_tradnl"/>
        </w:rPr>
      </w:pPr>
      <w:r w:rsidRPr="00EB5A74">
        <w:rPr>
          <w:rFonts w:ascii="Gadugi" w:eastAsia="Calibri" w:hAnsi="Gadugi" w:cs="Times New Roman"/>
          <w:sz w:val="24"/>
          <w:szCs w:val="24"/>
          <w:lang w:val="es-ES_tradnl"/>
        </w:rPr>
        <w:t>Patricia del Socorro y Gloria María González Naranjo y Julio César González</w:t>
      </w:r>
      <w:r w:rsidRPr="00EB5A74">
        <w:rPr>
          <w:rStyle w:val="Ttulo5Car"/>
          <w:rFonts w:ascii="Gadugi" w:eastAsia="Calibri" w:hAnsi="Gadugi"/>
          <w:b w:val="0"/>
          <w:bCs w:val="0"/>
          <w:sz w:val="24"/>
          <w:szCs w:val="24"/>
          <w:vertAlign w:val="superscript"/>
          <w:lang w:val="es-ES_tradnl"/>
        </w:rPr>
        <w:footnoteReference w:id="23"/>
      </w:r>
      <w:r w:rsidRPr="00EB5A74">
        <w:rPr>
          <w:rFonts w:ascii="Gadugi" w:eastAsia="Calibri" w:hAnsi="Gadugi" w:cs="Times New Roman"/>
          <w:sz w:val="24"/>
          <w:szCs w:val="24"/>
          <w:lang w:val="es-ES_tradnl"/>
        </w:rPr>
        <w:t>, por conducto de su apoderada judicial, quien presentó recurso adicional contra la decisión tomada en auto de aclaración</w:t>
      </w:r>
      <w:r w:rsidRPr="00EB5A74">
        <w:rPr>
          <w:rStyle w:val="Ttulo5Car"/>
          <w:rFonts w:ascii="Gadugi" w:eastAsia="Calibri" w:hAnsi="Gadugi"/>
          <w:b w:val="0"/>
          <w:bCs w:val="0"/>
          <w:sz w:val="24"/>
          <w:szCs w:val="24"/>
          <w:vertAlign w:val="superscript"/>
          <w:lang w:val="es-ES_tradnl"/>
        </w:rPr>
        <w:footnoteReference w:id="24"/>
      </w:r>
      <w:r w:rsidRPr="00EB5A74">
        <w:rPr>
          <w:rFonts w:ascii="Gadugi" w:eastAsia="Calibri" w:hAnsi="Gadugi" w:cs="Times New Roman"/>
          <w:sz w:val="24"/>
          <w:szCs w:val="24"/>
          <w:lang w:val="es-ES_tradnl"/>
        </w:rPr>
        <w:t xml:space="preserve">, expusieron que: (i) el juzgado faltó a la técnica propia de la sentencia, pues primero ha debido determinar si a la demandante le asistía el derecho, para luego ocuparse de las excepciones, y es claro que en el caso la inoponibilidad estaba llamada al fracaso; (ii) </w:t>
      </w:r>
      <w:r w:rsidR="003E0F56" w:rsidRPr="00EB5A74">
        <w:rPr>
          <w:rFonts w:ascii="Gadugi" w:eastAsia="Calibri" w:hAnsi="Gadugi" w:cs="Times New Roman"/>
          <w:sz w:val="24"/>
          <w:szCs w:val="24"/>
          <w:lang w:val="es-ES_tradnl"/>
        </w:rPr>
        <w:t>los ordinales tercero y cuarto se erigen en decisiones extra petita, porque no fueron invocadas; además, el cuarto lesion</w:t>
      </w:r>
      <w:r w:rsidR="006E6A85" w:rsidRPr="00EB5A74">
        <w:rPr>
          <w:rFonts w:ascii="Gadugi" w:eastAsia="Calibri" w:hAnsi="Gadugi" w:cs="Times New Roman"/>
          <w:sz w:val="24"/>
          <w:szCs w:val="24"/>
          <w:lang w:val="es-ES_tradnl"/>
        </w:rPr>
        <w:t>a</w:t>
      </w:r>
      <w:r w:rsidR="003E0F56" w:rsidRPr="00EB5A74">
        <w:rPr>
          <w:rFonts w:ascii="Gadugi" w:eastAsia="Calibri" w:hAnsi="Gadugi" w:cs="Times New Roman"/>
          <w:sz w:val="24"/>
          <w:szCs w:val="24"/>
          <w:lang w:val="es-ES_tradnl"/>
        </w:rPr>
        <w:t xml:space="preserve"> derechos de terceros que no intervinieron en el proceso; (iii) la nulidad absoluta invocada es inexistente; y (iv) la prescripción y la caducidad, están acreditadas. </w:t>
      </w:r>
    </w:p>
    <w:p w14:paraId="598CC520" w14:textId="77777777" w:rsidR="003E0F56" w:rsidRPr="00EB5A74" w:rsidRDefault="003E0F56" w:rsidP="00456FE4">
      <w:pPr>
        <w:spacing w:after="0" w:line="276" w:lineRule="auto"/>
        <w:ind w:firstLine="1701"/>
        <w:jc w:val="both"/>
        <w:rPr>
          <w:rFonts w:ascii="Gadugi" w:eastAsia="Calibri" w:hAnsi="Gadugi" w:cs="Times New Roman"/>
          <w:sz w:val="24"/>
          <w:szCs w:val="24"/>
          <w:lang w:val="es-ES_tradnl"/>
        </w:rPr>
      </w:pPr>
    </w:p>
    <w:p w14:paraId="6CE92E47" w14:textId="7D321D1D" w:rsidR="00B60AE5" w:rsidRPr="00EB5A74" w:rsidRDefault="003E0F56" w:rsidP="00456FE4">
      <w:pPr>
        <w:spacing w:after="0" w:line="276" w:lineRule="auto"/>
        <w:ind w:firstLine="1701"/>
        <w:jc w:val="both"/>
        <w:rPr>
          <w:rFonts w:ascii="Gadugi" w:hAnsi="Gadugi"/>
          <w:bCs/>
          <w:sz w:val="24"/>
          <w:szCs w:val="24"/>
          <w:lang w:val="es-ES_tradnl"/>
        </w:rPr>
      </w:pPr>
      <w:r w:rsidRPr="00EB5A74">
        <w:rPr>
          <w:rFonts w:ascii="Gadugi" w:eastAsia="Calibri" w:hAnsi="Gadugi" w:cs="Times New Roman"/>
          <w:sz w:val="24"/>
          <w:szCs w:val="24"/>
          <w:lang w:val="es-ES_tradnl"/>
        </w:rPr>
        <w:t xml:space="preserve">Luego, cuando se adicionó el fallo, agregó que tanto la prescripción como la cosa juzgada han debido prosperar. </w:t>
      </w:r>
    </w:p>
    <w:p w14:paraId="1F56E656" w14:textId="6B773DF8" w:rsidR="00B60AE5" w:rsidRPr="00EB5A74" w:rsidRDefault="00B60AE5" w:rsidP="00456FE4">
      <w:pPr>
        <w:spacing w:after="0" w:line="276" w:lineRule="auto"/>
        <w:ind w:firstLine="1701"/>
        <w:jc w:val="both"/>
        <w:rPr>
          <w:rStyle w:val="Ttulo2Car"/>
          <w:rFonts w:ascii="Gadugi" w:eastAsiaTheme="minorHAnsi" w:hAnsi="Gadugi" w:cs="Segoe UI"/>
          <w:sz w:val="24"/>
          <w:szCs w:val="24"/>
          <w:lang w:val="es-ES_tradnl"/>
        </w:rPr>
      </w:pPr>
    </w:p>
    <w:p w14:paraId="0211B11F" w14:textId="0A88D640" w:rsidR="00043C90" w:rsidRPr="00EB5A74" w:rsidRDefault="0044330A" w:rsidP="00456FE4">
      <w:pPr>
        <w:spacing w:after="0" w:line="276" w:lineRule="auto"/>
        <w:ind w:firstLine="1701"/>
        <w:jc w:val="both"/>
        <w:rPr>
          <w:rFonts w:ascii="Gadugi" w:eastAsia="Calibri" w:hAnsi="Gadugi" w:cs="Times New Roman"/>
          <w:sz w:val="24"/>
          <w:szCs w:val="24"/>
          <w:lang w:val="es-ES_tradnl"/>
        </w:rPr>
      </w:pPr>
      <w:r w:rsidRPr="00EB5A74">
        <w:rPr>
          <w:rStyle w:val="Ttulo2Car"/>
          <w:rFonts w:ascii="Gadugi" w:eastAsiaTheme="minorEastAsia" w:hAnsi="Gadugi" w:cs="Segoe UI"/>
          <w:sz w:val="24"/>
          <w:szCs w:val="24"/>
          <w:lang w:val="es-ES_tradnl"/>
        </w:rPr>
        <w:lastRenderedPageBreak/>
        <w:t>Javier González Naranjo</w:t>
      </w:r>
      <w:r w:rsidR="00544118" w:rsidRPr="00EB5A74">
        <w:rPr>
          <w:rStyle w:val="Ttulo5Car"/>
          <w:rFonts w:ascii="Gadugi" w:eastAsiaTheme="minorEastAsia" w:hAnsi="Gadugi" w:cs="Segoe UI"/>
          <w:b w:val="0"/>
          <w:bCs w:val="0"/>
          <w:sz w:val="24"/>
          <w:szCs w:val="24"/>
          <w:vertAlign w:val="superscript"/>
          <w:lang w:val="es-ES_tradnl"/>
        </w:rPr>
        <w:footnoteReference w:id="25"/>
      </w:r>
      <w:r w:rsidR="00043C90" w:rsidRPr="00EB5A74">
        <w:rPr>
          <w:rStyle w:val="Ttulo2Car"/>
          <w:rFonts w:ascii="Gadugi" w:eastAsiaTheme="minorEastAsia" w:hAnsi="Gadugi" w:cs="Segoe UI"/>
          <w:sz w:val="24"/>
          <w:szCs w:val="24"/>
          <w:lang w:val="es-ES_tradnl"/>
        </w:rPr>
        <w:t xml:space="preserve">, aduce que (i) mientras el demandante supone que detrás de la liquidación dela sociedad conyugal hubo una donación, la funcionaria asumió que era una renuncia de gananciales, por tanto, la pretensión debió estar encaminada a la simulación relativa, pero tal petición fue </w:t>
      </w:r>
      <w:r w:rsidR="00A616A6" w:rsidRPr="00EB5A74">
        <w:rPr>
          <w:rStyle w:val="Ttulo2Car"/>
          <w:rFonts w:ascii="Gadugi" w:eastAsiaTheme="minorEastAsia" w:hAnsi="Gadugi" w:cs="Segoe UI"/>
          <w:sz w:val="24"/>
          <w:szCs w:val="24"/>
          <w:lang w:val="es-ES_tradnl"/>
        </w:rPr>
        <w:t>descartada por la demandante</w:t>
      </w:r>
      <w:r w:rsidR="00043C90" w:rsidRPr="00EB5A74">
        <w:rPr>
          <w:rStyle w:val="Ttulo2Car"/>
          <w:rFonts w:ascii="Gadugi" w:eastAsiaTheme="minorEastAsia" w:hAnsi="Gadugi" w:cs="Segoe UI"/>
          <w:sz w:val="24"/>
          <w:szCs w:val="24"/>
          <w:lang w:val="es-ES_tradnl"/>
        </w:rPr>
        <w:t xml:space="preserve">; (ii) </w:t>
      </w:r>
      <w:r w:rsidR="00A616A6" w:rsidRPr="00EB5A74">
        <w:rPr>
          <w:rStyle w:val="Ttulo2Car"/>
          <w:rFonts w:ascii="Gadugi" w:eastAsiaTheme="minorEastAsia" w:hAnsi="Gadugi" w:cs="Segoe UI"/>
          <w:sz w:val="24"/>
          <w:szCs w:val="24"/>
          <w:lang w:val="es-ES_tradnl"/>
        </w:rPr>
        <w:t xml:space="preserve">en todo caso, no hubo en el acto un objeto ilícito como </w:t>
      </w:r>
      <w:r w:rsidR="00737B6D" w:rsidRPr="00EB5A74">
        <w:rPr>
          <w:rStyle w:val="Ttulo2Car"/>
          <w:rFonts w:ascii="Gadugi" w:eastAsiaTheme="minorEastAsia" w:hAnsi="Gadugi" w:cs="Segoe UI"/>
          <w:sz w:val="24"/>
          <w:szCs w:val="24"/>
          <w:lang w:val="es-ES_tradnl"/>
        </w:rPr>
        <w:t xml:space="preserve">aquella </w:t>
      </w:r>
      <w:r w:rsidR="00A616A6" w:rsidRPr="00EB5A74">
        <w:rPr>
          <w:rStyle w:val="Ttulo2Car"/>
          <w:rFonts w:ascii="Gadugi" w:eastAsiaTheme="minorEastAsia" w:hAnsi="Gadugi" w:cs="Segoe UI"/>
          <w:sz w:val="24"/>
          <w:szCs w:val="24"/>
          <w:lang w:val="es-ES_tradnl"/>
        </w:rPr>
        <w:t xml:space="preserve">pretende, ni </w:t>
      </w:r>
      <w:r w:rsidR="00737B6D" w:rsidRPr="00EB5A74">
        <w:rPr>
          <w:rStyle w:val="Ttulo2Car"/>
          <w:rFonts w:ascii="Gadugi" w:eastAsiaTheme="minorEastAsia" w:hAnsi="Gadugi" w:cs="Segoe UI"/>
          <w:sz w:val="24"/>
          <w:szCs w:val="24"/>
          <w:lang w:val="es-ES_tradnl"/>
        </w:rPr>
        <w:t xml:space="preserve">la </w:t>
      </w:r>
      <w:r w:rsidR="00A616A6" w:rsidRPr="00EB5A74">
        <w:rPr>
          <w:rStyle w:val="Ttulo2Car"/>
          <w:rFonts w:ascii="Gadugi" w:eastAsiaTheme="minorEastAsia" w:hAnsi="Gadugi" w:cs="Segoe UI"/>
          <w:sz w:val="24"/>
          <w:szCs w:val="24"/>
          <w:lang w:val="es-ES_tradnl"/>
        </w:rPr>
        <w:t xml:space="preserve">renuncia de gananciales </w:t>
      </w:r>
      <w:r w:rsidR="00737B6D" w:rsidRPr="00EB5A74">
        <w:rPr>
          <w:rStyle w:val="Ttulo2Car"/>
          <w:rFonts w:ascii="Gadugi" w:eastAsiaTheme="minorEastAsia" w:hAnsi="Gadugi" w:cs="Segoe UI"/>
          <w:sz w:val="24"/>
          <w:szCs w:val="24"/>
          <w:lang w:val="es-ES_tradnl"/>
        </w:rPr>
        <w:t>que</w:t>
      </w:r>
      <w:r w:rsidR="00A616A6" w:rsidRPr="00EB5A74">
        <w:rPr>
          <w:rStyle w:val="Ttulo2Car"/>
          <w:rFonts w:ascii="Gadugi" w:eastAsiaTheme="minorEastAsia" w:hAnsi="Gadugi" w:cs="Segoe UI"/>
          <w:sz w:val="24"/>
          <w:szCs w:val="24"/>
          <w:lang w:val="es-ES_tradnl"/>
        </w:rPr>
        <w:t xml:space="preserve"> señala la funcionaria; (iii) </w:t>
      </w:r>
      <w:r w:rsidR="00A616A6" w:rsidRPr="00EB5A74">
        <w:rPr>
          <w:rFonts w:ascii="Gadugi" w:eastAsia="Calibri" w:hAnsi="Gadugi" w:cs="Times New Roman"/>
          <w:sz w:val="24"/>
          <w:szCs w:val="24"/>
          <w:lang w:val="es-ES_tradnl"/>
        </w:rPr>
        <w:t>la demandante no es un tercero, sino la causahabiente y continuadora de la personalidad del causante</w:t>
      </w:r>
      <w:r w:rsidR="006C7B6D" w:rsidRPr="00EB5A74">
        <w:rPr>
          <w:rFonts w:ascii="Gadugi" w:eastAsia="Calibri" w:hAnsi="Gadugi" w:cs="Times New Roman"/>
          <w:sz w:val="24"/>
          <w:szCs w:val="24"/>
          <w:lang w:val="es-ES_tradnl"/>
        </w:rPr>
        <w:t xml:space="preserve">, por lo que los actos que este celebró le son oponibles. Y aun si se aceptara que reclamar su legítima lo es, los actos y negocios de su causante no son, por sí mismos, inoponibles, pues le incumbe demostrar que ellos le causaron un detrimento económico para su asignación; (iv) la funcionaria omitió pronunciarse sobre algunas excepciones, denominadas </w:t>
      </w:r>
      <w:r w:rsidR="006C7B6D" w:rsidRPr="00EB5A74">
        <w:rPr>
          <w:rFonts w:ascii="Gadugi" w:eastAsia="Calibri" w:hAnsi="Gadugi" w:cs="Times New Roman"/>
          <w:i/>
          <w:iCs/>
          <w:sz w:val="24"/>
          <w:szCs w:val="24"/>
          <w:lang w:val="es-ES_tradnl"/>
        </w:rPr>
        <w:t>“</w:t>
      </w:r>
      <w:r w:rsidR="006C7B6D" w:rsidRPr="00EB5A74">
        <w:rPr>
          <w:rFonts w:ascii="Gadugi" w:eastAsia="Calibri" w:hAnsi="Gadugi" w:cs="Times New Roman"/>
          <w:i/>
          <w:iCs/>
          <w:szCs w:val="24"/>
          <w:lang w:val="es-ES_tradnl"/>
        </w:rPr>
        <w:t>la inclusión de bienes propios en el haber social no trae ninguna sanción legal</w:t>
      </w:r>
      <w:r w:rsidR="006C7B6D" w:rsidRPr="00EB5A74">
        <w:rPr>
          <w:rFonts w:ascii="Gadugi" w:eastAsia="Calibri" w:hAnsi="Gadugi" w:cs="Times New Roman"/>
          <w:i/>
          <w:iCs/>
          <w:sz w:val="24"/>
          <w:szCs w:val="24"/>
          <w:lang w:val="es-ES_tradnl"/>
        </w:rPr>
        <w:t>” y “</w:t>
      </w:r>
      <w:r w:rsidR="006C7B6D" w:rsidRPr="00EB5A74">
        <w:rPr>
          <w:rFonts w:ascii="Gadugi" w:eastAsia="Calibri" w:hAnsi="Gadugi" w:cs="Times New Roman"/>
          <w:i/>
          <w:iCs/>
          <w:szCs w:val="24"/>
          <w:lang w:val="es-ES_tradnl"/>
        </w:rPr>
        <w:t>es otra y no las acciones de inexistencia, nulidad absoluta e inoponibilidad, la acción que consagra la ley frente a la inclusión de bienes propios en el inventario del haber social</w:t>
      </w:r>
      <w:r w:rsidR="006C7B6D" w:rsidRPr="00EB5A74">
        <w:rPr>
          <w:rFonts w:ascii="Gadugi" w:eastAsia="Calibri" w:hAnsi="Gadugi" w:cs="Times New Roman"/>
          <w:i/>
          <w:iCs/>
          <w:sz w:val="24"/>
          <w:szCs w:val="24"/>
          <w:lang w:val="es-ES_tradnl"/>
        </w:rPr>
        <w:t>”</w:t>
      </w:r>
      <w:r w:rsidR="006C7B6D" w:rsidRPr="00EB5A74">
        <w:rPr>
          <w:rFonts w:ascii="Gadugi" w:eastAsia="Calibri" w:hAnsi="Gadugi" w:cs="Times New Roman"/>
          <w:sz w:val="24"/>
          <w:szCs w:val="24"/>
          <w:lang w:val="es-ES_tradnl"/>
        </w:rPr>
        <w:t>; (v) el fallo declaró no probadas unas excepciones, como la de “</w:t>
      </w:r>
      <w:r w:rsidR="006C7B6D" w:rsidRPr="00EB5A74">
        <w:rPr>
          <w:rFonts w:ascii="Gadugi" w:eastAsia="Calibri" w:hAnsi="Gadugi" w:cs="Times New Roman"/>
          <w:i/>
          <w:iCs/>
          <w:szCs w:val="24"/>
          <w:lang w:val="es-ES_tradnl"/>
        </w:rPr>
        <w:t>renuncia a un mayor valor con el lleno de los requisitos legales</w:t>
      </w:r>
      <w:r w:rsidR="006C7B6D" w:rsidRPr="00EB5A74">
        <w:rPr>
          <w:rFonts w:ascii="Gadugi" w:eastAsia="Calibri" w:hAnsi="Gadugi" w:cs="Times New Roman"/>
          <w:i/>
          <w:iCs/>
          <w:sz w:val="24"/>
          <w:szCs w:val="24"/>
          <w:lang w:val="es-ES_tradnl"/>
        </w:rPr>
        <w:t>”</w:t>
      </w:r>
      <w:r w:rsidR="006C7B6D" w:rsidRPr="00EB5A74">
        <w:rPr>
          <w:rFonts w:ascii="Gadugi" w:eastAsia="Calibri" w:hAnsi="Gadugi" w:cs="Times New Roman"/>
          <w:sz w:val="24"/>
          <w:szCs w:val="24"/>
          <w:lang w:val="es-ES_tradnl"/>
        </w:rPr>
        <w:t xml:space="preserve">, porque la tomó como una renuncia de gananciales, sin serlo; la de </w:t>
      </w:r>
      <w:r w:rsidR="006C7B6D" w:rsidRPr="00EB5A74">
        <w:rPr>
          <w:rFonts w:ascii="Gadugi" w:eastAsia="Calibri" w:hAnsi="Gadugi" w:cs="Times New Roman"/>
          <w:i/>
          <w:iCs/>
          <w:sz w:val="24"/>
          <w:szCs w:val="24"/>
          <w:lang w:val="es-ES_tradnl"/>
        </w:rPr>
        <w:t>“</w:t>
      </w:r>
      <w:r w:rsidR="006C7B6D" w:rsidRPr="00EB5A74">
        <w:rPr>
          <w:rFonts w:ascii="Gadugi" w:eastAsia="Calibri" w:hAnsi="Gadugi" w:cs="Times New Roman"/>
          <w:i/>
          <w:iCs/>
          <w:szCs w:val="24"/>
          <w:lang w:val="es-ES_tradnl"/>
        </w:rPr>
        <w:t>falta de interés serio y actual para solicitar las pretensiones de inoponibilidad y nulidad relativa</w:t>
      </w:r>
      <w:r w:rsidR="006C7B6D" w:rsidRPr="00EB5A74">
        <w:rPr>
          <w:rFonts w:ascii="Gadugi" w:eastAsia="Calibri" w:hAnsi="Gadugi" w:cs="Times New Roman"/>
          <w:i/>
          <w:iCs/>
          <w:sz w:val="24"/>
          <w:szCs w:val="24"/>
          <w:lang w:val="es-ES_tradnl"/>
        </w:rPr>
        <w:t xml:space="preserve">” </w:t>
      </w:r>
      <w:r w:rsidR="006C7B6D" w:rsidRPr="00EB5A74">
        <w:rPr>
          <w:rFonts w:ascii="Gadugi" w:eastAsia="Calibri" w:hAnsi="Gadugi" w:cs="Times New Roman"/>
          <w:sz w:val="24"/>
          <w:szCs w:val="24"/>
          <w:lang w:val="es-ES_tradnl"/>
        </w:rPr>
        <w:t>con el solo argumento de que ella es heredera, pero pasó por alto que al causante le fue adjudi</w:t>
      </w:r>
      <w:r w:rsidR="00237BBC" w:rsidRPr="00EB5A74">
        <w:rPr>
          <w:rFonts w:ascii="Gadugi" w:eastAsia="Calibri" w:hAnsi="Gadugi" w:cs="Times New Roman"/>
          <w:sz w:val="24"/>
          <w:szCs w:val="24"/>
          <w:lang w:val="es-ES_tradnl"/>
        </w:rPr>
        <w:t xml:space="preserve">cado el 50% de los gananciales al momento de liquidarse la sociedad conyugal y que en el acto escritural se renunció a un mayor valor; la de </w:t>
      </w:r>
      <w:r w:rsidR="00237BBC" w:rsidRPr="00EB5A74">
        <w:rPr>
          <w:rFonts w:ascii="Gadugi" w:eastAsia="Calibri" w:hAnsi="Gadugi" w:cs="Times New Roman"/>
          <w:i/>
          <w:iCs/>
          <w:sz w:val="24"/>
          <w:szCs w:val="24"/>
          <w:lang w:val="es-ES_tradnl"/>
        </w:rPr>
        <w:t>“</w:t>
      </w:r>
      <w:r w:rsidR="00237BBC" w:rsidRPr="00EB5A74">
        <w:rPr>
          <w:rFonts w:ascii="Gadugi" w:eastAsia="Calibri" w:hAnsi="Gadugi" w:cs="Times New Roman"/>
          <w:i/>
          <w:iCs/>
          <w:szCs w:val="24"/>
          <w:lang w:val="es-ES_tradnl"/>
        </w:rPr>
        <w:t>licitud del acto o negocio jurídico sustancial</w:t>
      </w:r>
      <w:r w:rsidR="00237BBC" w:rsidRPr="00EB5A74">
        <w:rPr>
          <w:rFonts w:ascii="Gadugi" w:eastAsia="Calibri" w:hAnsi="Gadugi" w:cs="Times New Roman"/>
          <w:i/>
          <w:iCs/>
          <w:sz w:val="24"/>
          <w:szCs w:val="24"/>
          <w:lang w:val="es-ES_tradnl"/>
        </w:rPr>
        <w:t xml:space="preserve">”, </w:t>
      </w:r>
      <w:r w:rsidR="00237BBC" w:rsidRPr="00EB5A74">
        <w:rPr>
          <w:rFonts w:ascii="Gadugi" w:eastAsia="Calibri" w:hAnsi="Gadugi" w:cs="Times New Roman"/>
          <w:sz w:val="24"/>
          <w:szCs w:val="24"/>
          <w:lang w:val="es-ES_tradnl"/>
        </w:rPr>
        <w:t xml:space="preserve">pues la misma funcionaria dio cuenta de la existencia y validez del acto contenido en la escritura 2360 del 12 de diciembre de 1979; la de </w:t>
      </w:r>
      <w:r w:rsidR="00237BBC" w:rsidRPr="00EB5A74">
        <w:rPr>
          <w:rFonts w:ascii="Gadugi" w:eastAsia="Calibri" w:hAnsi="Gadugi" w:cs="Times New Roman"/>
          <w:i/>
          <w:iCs/>
          <w:sz w:val="24"/>
          <w:szCs w:val="24"/>
          <w:lang w:val="es-ES_tradnl"/>
        </w:rPr>
        <w:t>“</w:t>
      </w:r>
      <w:r w:rsidR="00237BBC" w:rsidRPr="00EB5A74">
        <w:rPr>
          <w:rFonts w:ascii="Gadugi" w:eastAsia="Calibri" w:hAnsi="Gadugi" w:cs="Times New Roman"/>
          <w:i/>
          <w:iCs/>
          <w:szCs w:val="24"/>
          <w:lang w:val="es-ES_tradnl"/>
        </w:rPr>
        <w:t>oponibilidad del acto o negocio jurídico a la demandante</w:t>
      </w:r>
      <w:r w:rsidR="00237BBC" w:rsidRPr="00EB5A74">
        <w:rPr>
          <w:rFonts w:ascii="Gadugi" w:eastAsia="Calibri" w:hAnsi="Gadugi" w:cs="Times New Roman"/>
          <w:i/>
          <w:iCs/>
          <w:sz w:val="24"/>
          <w:szCs w:val="24"/>
          <w:lang w:val="es-ES_tradnl"/>
        </w:rPr>
        <w:t xml:space="preserve">”, </w:t>
      </w:r>
      <w:r w:rsidR="00237BBC" w:rsidRPr="00EB5A74">
        <w:rPr>
          <w:rFonts w:ascii="Gadugi" w:eastAsia="Calibri" w:hAnsi="Gadugi" w:cs="Times New Roman"/>
          <w:sz w:val="24"/>
          <w:szCs w:val="24"/>
          <w:lang w:val="es-ES_tradnl"/>
        </w:rPr>
        <w:t>ya que en este caso no hubo renuncia de gananciales, además, reitera lo dicho en los otros reparos; la de “</w:t>
      </w:r>
      <w:r w:rsidR="00237BBC" w:rsidRPr="00EB5A74">
        <w:rPr>
          <w:rFonts w:ascii="Gadugi" w:eastAsia="Calibri" w:hAnsi="Gadugi" w:cs="Times New Roman"/>
          <w:i/>
          <w:iCs/>
          <w:szCs w:val="24"/>
          <w:lang w:val="es-ES_tradnl"/>
        </w:rPr>
        <w:t>improcedencia de las pretensiones consecuenciales</w:t>
      </w:r>
      <w:r w:rsidR="00237BBC" w:rsidRPr="00EB5A74">
        <w:rPr>
          <w:rFonts w:ascii="Gadugi" w:eastAsia="Calibri" w:hAnsi="Gadugi" w:cs="Times New Roman"/>
          <w:i/>
          <w:iCs/>
          <w:sz w:val="24"/>
          <w:szCs w:val="24"/>
          <w:lang w:val="es-ES_tradnl"/>
        </w:rPr>
        <w:t>”</w:t>
      </w:r>
      <w:r w:rsidR="00237BBC" w:rsidRPr="00EB5A74">
        <w:rPr>
          <w:rFonts w:ascii="Gadugi" w:eastAsia="Calibri" w:hAnsi="Gadugi" w:cs="Times New Roman"/>
          <w:sz w:val="24"/>
          <w:szCs w:val="24"/>
          <w:lang w:val="es-ES_tradnl"/>
        </w:rPr>
        <w:t>, pues se equivocó el juzgado al ordenar la cancelación de los registros posteriores a la liquidación dela sociedad conyugal, dado que hay de por medio terceros.  (vi) al replicar el ordinal segundo del fallo, reitera sus argumentos</w:t>
      </w:r>
      <w:r w:rsidR="001A5FA7" w:rsidRPr="00EB5A74">
        <w:rPr>
          <w:rFonts w:ascii="Gadugi" w:eastAsia="Calibri" w:hAnsi="Gadugi" w:cs="Times New Roman"/>
          <w:sz w:val="24"/>
          <w:szCs w:val="24"/>
          <w:lang w:val="es-ES_tradnl"/>
        </w:rPr>
        <w:t>; (vii) no procedía la cancelación del registro de la escritura , pues ese no es un efecto propio de la declaración de inoponibilidad, ni fue solicitado, e insiste en que tampoco los posteriores; (</w:t>
      </w:r>
      <w:proofErr w:type="spellStart"/>
      <w:r w:rsidR="001A5FA7" w:rsidRPr="00EB5A74">
        <w:rPr>
          <w:rFonts w:ascii="Gadugi" w:eastAsia="Calibri" w:hAnsi="Gadugi" w:cs="Times New Roman"/>
          <w:sz w:val="24"/>
          <w:szCs w:val="24"/>
          <w:lang w:val="es-ES_tradnl"/>
        </w:rPr>
        <w:t>viii</w:t>
      </w:r>
      <w:proofErr w:type="spellEnd"/>
      <w:r w:rsidR="001A5FA7" w:rsidRPr="00EB5A74">
        <w:rPr>
          <w:rFonts w:ascii="Gadugi" w:eastAsia="Calibri" w:hAnsi="Gadugi" w:cs="Times New Roman"/>
          <w:sz w:val="24"/>
          <w:szCs w:val="24"/>
          <w:lang w:val="es-ES_tradnl"/>
        </w:rPr>
        <w:t>) a pesar de que</w:t>
      </w:r>
      <w:r w:rsidR="005004FB" w:rsidRPr="00EB5A74">
        <w:rPr>
          <w:rFonts w:ascii="Gadugi" w:eastAsia="Calibri" w:hAnsi="Gadugi" w:cs="Times New Roman"/>
          <w:sz w:val="24"/>
          <w:szCs w:val="24"/>
          <w:lang w:val="es-ES_tradnl"/>
        </w:rPr>
        <w:t>,</w:t>
      </w:r>
      <w:r w:rsidR="001A5FA7" w:rsidRPr="00EB5A74">
        <w:rPr>
          <w:rFonts w:ascii="Gadugi" w:eastAsia="Calibri" w:hAnsi="Gadugi" w:cs="Times New Roman"/>
          <w:sz w:val="24"/>
          <w:szCs w:val="24"/>
          <w:lang w:val="es-ES_tradnl"/>
        </w:rPr>
        <w:t xml:space="preserve"> como previa</w:t>
      </w:r>
      <w:r w:rsidR="005004FB" w:rsidRPr="00EB5A74">
        <w:rPr>
          <w:rFonts w:ascii="Gadugi" w:eastAsia="Calibri" w:hAnsi="Gadugi" w:cs="Times New Roman"/>
          <w:sz w:val="24"/>
          <w:szCs w:val="24"/>
          <w:lang w:val="es-ES_tradnl"/>
        </w:rPr>
        <w:t>,</w:t>
      </w:r>
      <w:r w:rsidR="001A5FA7" w:rsidRPr="00EB5A74">
        <w:rPr>
          <w:rFonts w:ascii="Gadugi" w:eastAsia="Calibri" w:hAnsi="Gadugi" w:cs="Times New Roman"/>
          <w:sz w:val="24"/>
          <w:szCs w:val="24"/>
          <w:lang w:val="es-ES_tradnl"/>
        </w:rPr>
        <w:t xml:space="preserve"> se despachó desfavorablemente la cosa juzgada, ha debido analizarse de fondo, pues están dadas todas las con</w:t>
      </w:r>
      <w:r w:rsidR="00611917" w:rsidRPr="00EB5A74">
        <w:rPr>
          <w:rFonts w:ascii="Gadugi" w:eastAsia="Calibri" w:hAnsi="Gadugi" w:cs="Times New Roman"/>
          <w:sz w:val="24"/>
          <w:szCs w:val="24"/>
          <w:lang w:val="es-ES_tradnl"/>
        </w:rPr>
        <w:t>d</w:t>
      </w:r>
      <w:r w:rsidR="001A5FA7" w:rsidRPr="00EB5A74">
        <w:rPr>
          <w:rFonts w:ascii="Gadugi" w:eastAsia="Calibri" w:hAnsi="Gadugi" w:cs="Times New Roman"/>
          <w:sz w:val="24"/>
          <w:szCs w:val="24"/>
          <w:lang w:val="es-ES_tradnl"/>
        </w:rPr>
        <w:t>iciones para ello</w:t>
      </w:r>
      <w:r w:rsidR="005004FB" w:rsidRPr="00EB5A74">
        <w:rPr>
          <w:rFonts w:ascii="Gadugi" w:eastAsia="Calibri" w:hAnsi="Gadugi" w:cs="Times New Roman"/>
          <w:sz w:val="24"/>
          <w:szCs w:val="24"/>
          <w:lang w:val="es-ES_tradnl"/>
        </w:rPr>
        <w:t xml:space="preserve">, pues en ese aspecto se equivocó esta Sala al revocar la sentencia anticipada; como también erró al despachar la excepción de prescripción, que aquí es clara. </w:t>
      </w:r>
    </w:p>
    <w:p w14:paraId="72D79AF0" w14:textId="545FE1AC" w:rsidR="003E0F56" w:rsidRPr="00EB5A74" w:rsidRDefault="003E0F56" w:rsidP="00456FE4">
      <w:pPr>
        <w:spacing w:after="0" w:line="276" w:lineRule="auto"/>
        <w:ind w:firstLine="1701"/>
        <w:jc w:val="both"/>
        <w:rPr>
          <w:rFonts w:ascii="Gadugi" w:eastAsia="Calibri" w:hAnsi="Gadugi" w:cs="Times New Roman"/>
          <w:color w:val="FF0000"/>
          <w:sz w:val="24"/>
          <w:szCs w:val="24"/>
          <w:lang w:val="es-ES_tradnl"/>
        </w:rPr>
      </w:pPr>
    </w:p>
    <w:p w14:paraId="7D616051" w14:textId="317C9ABA" w:rsidR="003E0F56" w:rsidRPr="00EB5A74" w:rsidRDefault="003E0F56" w:rsidP="00456FE4">
      <w:pPr>
        <w:spacing w:after="0" w:line="276" w:lineRule="auto"/>
        <w:ind w:firstLine="1701"/>
        <w:jc w:val="both"/>
        <w:rPr>
          <w:rFonts w:ascii="Gadugi" w:eastAsia="Calibri" w:hAnsi="Gadugi" w:cs="Times New Roman"/>
          <w:sz w:val="24"/>
          <w:szCs w:val="24"/>
          <w:lang w:val="es-ES_tradnl"/>
        </w:rPr>
      </w:pPr>
      <w:r w:rsidRPr="00EB5A74">
        <w:rPr>
          <w:rFonts w:ascii="Gadugi" w:eastAsia="Calibri" w:hAnsi="Gadugi" w:cs="Times New Roman"/>
          <w:sz w:val="24"/>
          <w:szCs w:val="24"/>
          <w:lang w:val="es-ES_tradnl"/>
        </w:rPr>
        <w:t xml:space="preserve">Al conocer la decisión sobre la adición del fallo, </w:t>
      </w:r>
      <w:r w:rsidR="00402DD7" w:rsidRPr="00EB5A74">
        <w:rPr>
          <w:rFonts w:ascii="Gadugi" w:eastAsia="Calibri" w:hAnsi="Gadugi" w:cs="Times New Roman"/>
          <w:sz w:val="24"/>
          <w:szCs w:val="24"/>
          <w:lang w:val="es-ES_tradnl"/>
        </w:rPr>
        <w:t xml:space="preserve">reiteró los reparos iniciales, incluidos los esbozados sobre la prescripción y la cosa juzgada. </w:t>
      </w:r>
    </w:p>
    <w:p w14:paraId="79AE52F7" w14:textId="2FB1CA0A" w:rsidR="006C7B6D" w:rsidRPr="00EB5A74" w:rsidRDefault="006C7B6D" w:rsidP="00456FE4">
      <w:pPr>
        <w:spacing w:after="0" w:line="276" w:lineRule="auto"/>
        <w:ind w:firstLine="1701"/>
        <w:jc w:val="both"/>
        <w:rPr>
          <w:rFonts w:ascii="Gadugi" w:eastAsia="Calibri" w:hAnsi="Gadugi" w:cs="Times New Roman"/>
          <w:sz w:val="24"/>
          <w:szCs w:val="24"/>
          <w:lang w:val="es-ES_tradnl"/>
        </w:rPr>
      </w:pPr>
    </w:p>
    <w:p w14:paraId="3B9D71C8" w14:textId="3E900F52" w:rsidR="00B60AE5" w:rsidRPr="00EB5A74" w:rsidRDefault="005004FB" w:rsidP="00456FE4">
      <w:pPr>
        <w:spacing w:after="0" w:line="276" w:lineRule="auto"/>
        <w:ind w:firstLine="1701"/>
        <w:jc w:val="both"/>
        <w:rPr>
          <w:rFonts w:ascii="Gadugi" w:eastAsia="Calibri" w:hAnsi="Gadugi" w:cs="Times New Roman"/>
          <w:sz w:val="24"/>
          <w:szCs w:val="24"/>
          <w:lang w:val="es-ES_tradnl"/>
        </w:rPr>
      </w:pPr>
      <w:r w:rsidRPr="00EB5A74">
        <w:rPr>
          <w:rFonts w:ascii="Gadugi" w:eastAsia="Calibri" w:hAnsi="Gadugi" w:cs="Times New Roman"/>
          <w:sz w:val="24"/>
          <w:szCs w:val="24"/>
          <w:lang w:val="es-ES_tradnl"/>
        </w:rPr>
        <w:lastRenderedPageBreak/>
        <w:t>Mónica González Naranjo</w:t>
      </w:r>
      <w:r w:rsidR="006661F5" w:rsidRPr="00EB5A74">
        <w:rPr>
          <w:rStyle w:val="Ttulo5Car"/>
          <w:rFonts w:ascii="Gadugi" w:eastAsia="Calibri" w:hAnsi="Gadugi"/>
          <w:b w:val="0"/>
          <w:bCs w:val="0"/>
          <w:sz w:val="24"/>
          <w:szCs w:val="24"/>
          <w:vertAlign w:val="superscript"/>
          <w:lang w:val="es-ES_tradnl"/>
        </w:rPr>
        <w:footnoteReference w:id="26"/>
      </w:r>
      <w:r w:rsidRPr="00EB5A74">
        <w:rPr>
          <w:rFonts w:ascii="Gadugi" w:eastAsia="Calibri" w:hAnsi="Gadugi" w:cs="Times New Roman"/>
          <w:sz w:val="24"/>
          <w:szCs w:val="24"/>
          <w:lang w:val="es-ES_tradnl"/>
        </w:rPr>
        <w:t xml:space="preserve">, </w:t>
      </w:r>
      <w:r w:rsidR="006661F5" w:rsidRPr="00EB5A74">
        <w:rPr>
          <w:rFonts w:ascii="Gadugi" w:eastAsia="Calibri" w:hAnsi="Gadugi" w:cs="Times New Roman"/>
          <w:sz w:val="24"/>
          <w:szCs w:val="24"/>
          <w:lang w:val="es-ES_tradnl"/>
        </w:rPr>
        <w:t xml:space="preserve">hizo consistir su disenso en que: (i) la inoponibilidad se presenta cuando el acta no ha cumplido los requisitos de publicidad exigidos y, por ello, como sanción negativa del acto jurídico es inexistente, si bien se requiere de una norma clara, expresa y previa que la consagre, como se lee en el salvamento de voto de la sentencia del 15 de agosto de 2006 de la Sala de Casación Civil de la Corte. Por lo demás, la inoponibilidad es una sanción aplicable al negocio jurídico únicamente en los términos señalados en el artículo 901 del C. de Comercio, no en el caso de ahora, en el que el negocio contenido en la escritura pública 2360, cumplió los requisitos de publicidad. </w:t>
      </w:r>
      <w:r w:rsidR="00E7772D" w:rsidRPr="00EB5A74">
        <w:rPr>
          <w:rFonts w:ascii="Gadugi" w:eastAsia="Calibri" w:hAnsi="Gadugi" w:cs="Times New Roman"/>
          <w:sz w:val="24"/>
          <w:szCs w:val="24"/>
          <w:lang w:val="es-ES_tradnl"/>
        </w:rPr>
        <w:t xml:space="preserve">De manera que la forma de aniquilar el acto era mediante las acciones de simulación o nulidad, pero esta última ya fue intentada; (ii) el artículo 1775 no consagra la inoponibilidad, más bien, cuando la norma se refiere a terceros, los legitima para impugnar el acto en ejercicio de otras acciones, como la simulación, o la pauliana; (iii) los terceros a que se refiere la norma, además, no son aquellas personas que potencialmente pudieran llegara a considerar sus intereses afectados en el evento incierto y futuro de la muerte de ambos o alguno de los cónyuges; (iv) el negocio jurídico contenido en la escritura 2360 no pudo lesionar los derechos de la demandante, porque, en vida del causante solo tenía una mera expectativa y ni siquiera ello, porque fue reconocida como hija años después de la muerte del causante. Tampoco pudo afectarse su legítima rigurosa, porque ella surge respecto de los bienes que tenga el causante al momento de su muerte; (v) </w:t>
      </w:r>
      <w:r w:rsidR="008D0750" w:rsidRPr="00EB5A74">
        <w:rPr>
          <w:rFonts w:ascii="Gadugi" w:eastAsia="Calibri" w:hAnsi="Gadugi" w:cs="Times New Roman"/>
          <w:sz w:val="24"/>
          <w:szCs w:val="24"/>
          <w:lang w:val="es-ES_tradnl"/>
        </w:rPr>
        <w:t>a la muerte del causante, los herederos pueden impugnar los actos simulados o fraudulentos, no cualquier acto real, válido y sin la intención de defraudar asignaciones forzosas de sus herederos; (vi) la excepción denominada transacción ha debido prosperar, ya que el causante renunció al mayor valor que pudiera corresponderle por concepto de bienes propios; (vii) como los herederos del señor González carecen de legitimación para impugnar indistintamente todos los negocios jurídicos del causante, y el que se debate es real y válido, también ha debido prosperar la prescripción invocada; (</w:t>
      </w:r>
      <w:proofErr w:type="spellStart"/>
      <w:r w:rsidR="008D0750" w:rsidRPr="00EB5A74">
        <w:rPr>
          <w:rFonts w:ascii="Gadugi" w:eastAsia="Calibri" w:hAnsi="Gadugi" w:cs="Times New Roman"/>
          <w:sz w:val="24"/>
          <w:szCs w:val="24"/>
          <w:lang w:val="es-ES_tradnl"/>
        </w:rPr>
        <w:t>viii</w:t>
      </w:r>
      <w:proofErr w:type="spellEnd"/>
      <w:r w:rsidR="008D0750" w:rsidRPr="00EB5A74">
        <w:rPr>
          <w:rFonts w:ascii="Gadugi" w:eastAsia="Calibri" w:hAnsi="Gadugi" w:cs="Times New Roman"/>
          <w:sz w:val="24"/>
          <w:szCs w:val="24"/>
          <w:lang w:val="es-ES_tradnl"/>
        </w:rPr>
        <w:t xml:space="preserve">) respecto de la nulidad absoluta, </w:t>
      </w:r>
      <w:r w:rsidR="00527FAF" w:rsidRPr="00EB5A74">
        <w:rPr>
          <w:rFonts w:ascii="Gadugi" w:eastAsia="Calibri" w:hAnsi="Gadugi" w:cs="Times New Roman"/>
          <w:sz w:val="24"/>
          <w:szCs w:val="24"/>
          <w:lang w:val="es-ES_tradnl"/>
        </w:rPr>
        <w:t xml:space="preserve">no solo existe cosa juzgada, sino que también se configuró la prescripción. </w:t>
      </w:r>
      <w:r w:rsidR="008D0750" w:rsidRPr="00EB5A74">
        <w:rPr>
          <w:rFonts w:ascii="Gadugi" w:eastAsia="Calibri" w:hAnsi="Gadugi" w:cs="Times New Roman"/>
          <w:sz w:val="24"/>
          <w:szCs w:val="24"/>
          <w:lang w:val="es-ES_tradnl"/>
        </w:rPr>
        <w:t>, y su consorte aceptó expresamente esa</w:t>
      </w:r>
      <w:r w:rsidR="00527FAF" w:rsidRPr="00EB5A74">
        <w:rPr>
          <w:rFonts w:ascii="Gadugi" w:eastAsia="Calibri" w:hAnsi="Gadugi" w:cs="Times New Roman"/>
          <w:sz w:val="24"/>
          <w:szCs w:val="24"/>
          <w:lang w:val="es-ES_tradnl"/>
        </w:rPr>
        <w:t>; (</w:t>
      </w:r>
      <w:proofErr w:type="spellStart"/>
      <w:r w:rsidR="00527FAF" w:rsidRPr="00EB5A74">
        <w:rPr>
          <w:rFonts w:ascii="Gadugi" w:eastAsia="Calibri" w:hAnsi="Gadugi" w:cs="Times New Roman"/>
          <w:sz w:val="24"/>
          <w:szCs w:val="24"/>
          <w:lang w:val="es-ES_tradnl"/>
        </w:rPr>
        <w:t>ix</w:t>
      </w:r>
      <w:proofErr w:type="spellEnd"/>
      <w:r w:rsidR="00527FAF" w:rsidRPr="00EB5A74">
        <w:rPr>
          <w:rFonts w:ascii="Gadugi" w:eastAsia="Calibri" w:hAnsi="Gadugi" w:cs="Times New Roman"/>
          <w:sz w:val="24"/>
          <w:szCs w:val="24"/>
          <w:lang w:val="es-ES_tradnl"/>
        </w:rPr>
        <w:t xml:space="preserve">) la nulidad alegada por la demandante (donación sin insinuación) es </w:t>
      </w:r>
      <w:proofErr w:type="spellStart"/>
      <w:r w:rsidR="00527FAF" w:rsidRPr="00EB5A74">
        <w:rPr>
          <w:rFonts w:ascii="Gadugi" w:eastAsia="Calibri" w:hAnsi="Gadugi" w:cs="Times New Roman"/>
          <w:sz w:val="24"/>
          <w:szCs w:val="24"/>
          <w:lang w:val="es-ES_tradnl"/>
        </w:rPr>
        <w:t>saneable</w:t>
      </w:r>
      <w:proofErr w:type="spellEnd"/>
      <w:r w:rsidR="00527FAF" w:rsidRPr="00EB5A74">
        <w:rPr>
          <w:rFonts w:ascii="Gadugi" w:eastAsia="Calibri" w:hAnsi="Gadugi" w:cs="Times New Roman"/>
          <w:sz w:val="24"/>
          <w:szCs w:val="24"/>
          <w:lang w:val="es-ES_tradnl"/>
        </w:rPr>
        <w:t>, de acuerdo con los artículos 1741, 1742, 1752 y 1754 del C. Civil.; (x) es un error ordenar la cancelación de las anotaciones relacionadas con la escritura pública 2360 de 1970 y los actos posteriores, por cuanto se desconocen derechos de terceros adquirentes de buena fe y las consecuencias de la denominada inoponibilidad, pues el negocio no se aniquila, sino que sus efectos no se irradian a determinados terceros, el efecto es, entonces, entre las partes; (xi) como la parte demandante insiste en que el negocio jurídico contenido en la escritura es una donación, las pretensiones de la demanda debieron ser diferentes a la inoponibilidad o a la nulidad. Los artículo</w:t>
      </w:r>
      <w:r w:rsidR="00737B6D" w:rsidRPr="00EB5A74">
        <w:rPr>
          <w:rFonts w:ascii="Gadugi" w:eastAsia="Calibri" w:hAnsi="Gadugi" w:cs="Times New Roman"/>
          <w:sz w:val="24"/>
          <w:szCs w:val="24"/>
          <w:lang w:val="es-ES_tradnl"/>
        </w:rPr>
        <w:t>s</w:t>
      </w:r>
      <w:r w:rsidR="00527FAF" w:rsidRPr="00EB5A74">
        <w:rPr>
          <w:rFonts w:ascii="Gadugi" w:eastAsia="Calibri" w:hAnsi="Gadugi" w:cs="Times New Roman"/>
          <w:sz w:val="24"/>
          <w:szCs w:val="24"/>
          <w:lang w:val="es-ES_tradnl"/>
        </w:rPr>
        <w:t xml:space="preserve"> 1244 y 1245 </w:t>
      </w:r>
      <w:r w:rsidR="00B60AE5" w:rsidRPr="00EB5A74">
        <w:rPr>
          <w:rFonts w:ascii="Gadugi" w:eastAsia="Calibri" w:hAnsi="Gadugi" w:cs="Times New Roman"/>
          <w:sz w:val="24"/>
          <w:szCs w:val="24"/>
          <w:lang w:val="es-ES_tradnl"/>
        </w:rPr>
        <w:t xml:space="preserve">prevé lo que debe hacerse en el caso de donaciones hechas por el causante y que afecten a los legitimarios. </w:t>
      </w:r>
    </w:p>
    <w:p w14:paraId="2E8BC0D2" w14:textId="77777777" w:rsidR="00B60AE5" w:rsidRPr="00EB5A74" w:rsidRDefault="00B60AE5" w:rsidP="00456FE4">
      <w:pPr>
        <w:spacing w:after="0" w:line="276" w:lineRule="auto"/>
        <w:ind w:firstLine="1701"/>
        <w:jc w:val="both"/>
        <w:rPr>
          <w:rFonts w:ascii="Gadugi" w:eastAsia="Calibri" w:hAnsi="Gadugi" w:cs="Times New Roman"/>
          <w:color w:val="FF0000"/>
          <w:sz w:val="24"/>
          <w:szCs w:val="24"/>
          <w:lang w:val="es-ES_tradnl"/>
        </w:rPr>
      </w:pPr>
    </w:p>
    <w:p w14:paraId="1890E0E1" w14:textId="74FBE351" w:rsidR="00B33CF0" w:rsidRPr="00EB5A74" w:rsidRDefault="008D0750" w:rsidP="00456FE4">
      <w:pPr>
        <w:spacing w:after="0" w:line="276" w:lineRule="auto"/>
        <w:ind w:firstLine="1701"/>
        <w:jc w:val="both"/>
        <w:rPr>
          <w:rFonts w:ascii="Gadugi" w:eastAsia="Calibri" w:hAnsi="Gadugi" w:cs="Times New Roman"/>
          <w:sz w:val="24"/>
          <w:szCs w:val="24"/>
          <w:lang w:val="es-ES_tradnl"/>
        </w:rPr>
      </w:pPr>
      <w:r w:rsidRPr="00EB5A74">
        <w:rPr>
          <w:rFonts w:ascii="Gadugi" w:eastAsia="Calibri" w:hAnsi="Gadugi" w:cs="Times New Roman"/>
          <w:color w:val="FF0000"/>
          <w:sz w:val="24"/>
          <w:szCs w:val="24"/>
          <w:lang w:val="es-ES_tradnl"/>
        </w:rPr>
        <w:t xml:space="preserve"> </w:t>
      </w:r>
      <w:r w:rsidR="00803DB0" w:rsidRPr="00EB5A74">
        <w:rPr>
          <w:rFonts w:ascii="Gadugi" w:eastAsia="Calibri" w:hAnsi="Gadugi" w:cs="Times New Roman"/>
          <w:sz w:val="24"/>
          <w:szCs w:val="24"/>
          <w:lang w:val="es-ES_tradnl"/>
        </w:rPr>
        <w:t xml:space="preserve">Tales reparos fueron reproducidos en </w:t>
      </w:r>
      <w:r w:rsidR="00DA6ECA" w:rsidRPr="00EB5A74">
        <w:rPr>
          <w:rFonts w:ascii="Gadugi" w:eastAsia="Calibri" w:hAnsi="Gadugi" w:cs="Times New Roman"/>
          <w:sz w:val="24"/>
          <w:szCs w:val="24"/>
          <w:lang w:val="es-ES_tradnl"/>
        </w:rPr>
        <w:t>los</w:t>
      </w:r>
      <w:r w:rsidR="00803DB0" w:rsidRPr="00EB5A74">
        <w:rPr>
          <w:rFonts w:ascii="Gadugi" w:eastAsia="Calibri" w:hAnsi="Gadugi" w:cs="Times New Roman"/>
          <w:sz w:val="24"/>
          <w:szCs w:val="24"/>
          <w:lang w:val="es-ES_tradnl"/>
        </w:rPr>
        <w:t xml:space="preserve"> escrito</w:t>
      </w:r>
      <w:r w:rsidR="00DA6ECA" w:rsidRPr="00EB5A74">
        <w:rPr>
          <w:rFonts w:ascii="Gadugi" w:eastAsia="Calibri" w:hAnsi="Gadugi" w:cs="Times New Roman"/>
          <w:sz w:val="24"/>
          <w:szCs w:val="24"/>
          <w:lang w:val="es-ES_tradnl"/>
        </w:rPr>
        <w:t>s</w:t>
      </w:r>
      <w:r w:rsidR="00803DB0" w:rsidRPr="00EB5A74">
        <w:rPr>
          <w:rFonts w:ascii="Gadugi" w:eastAsia="Calibri" w:hAnsi="Gadugi" w:cs="Times New Roman"/>
          <w:sz w:val="24"/>
          <w:szCs w:val="24"/>
          <w:lang w:val="es-ES_tradnl"/>
        </w:rPr>
        <w:t xml:space="preserve"> de sustentación</w:t>
      </w:r>
      <w:r w:rsidR="00DA6ECA" w:rsidRPr="00EB5A74">
        <w:rPr>
          <w:rStyle w:val="Ttulo5Car"/>
          <w:rFonts w:ascii="Gadugi" w:eastAsia="Calibri" w:hAnsi="Gadugi"/>
          <w:b w:val="0"/>
          <w:bCs w:val="0"/>
          <w:sz w:val="24"/>
          <w:szCs w:val="24"/>
          <w:vertAlign w:val="superscript"/>
          <w:lang w:val="es-ES_tradnl"/>
        </w:rPr>
        <w:footnoteReference w:id="27"/>
      </w:r>
      <w:r w:rsidR="00803DB0" w:rsidRPr="00EB5A74">
        <w:rPr>
          <w:rFonts w:ascii="Gadugi" w:eastAsia="Calibri" w:hAnsi="Gadugi" w:cs="Times New Roman"/>
          <w:sz w:val="24"/>
          <w:szCs w:val="24"/>
          <w:lang w:val="es-ES_tradnl"/>
        </w:rPr>
        <w:t xml:space="preserve"> que aportaron en esta sede, de los cuales se dio traslado a los no recurrentes</w:t>
      </w:r>
      <w:r w:rsidR="00B33CF0" w:rsidRPr="00EB5A74">
        <w:rPr>
          <w:rFonts w:ascii="Gadugi" w:eastAsia="Calibri" w:hAnsi="Gadugi" w:cs="Times New Roman"/>
          <w:sz w:val="24"/>
          <w:szCs w:val="24"/>
          <w:lang w:val="es-ES_tradnl"/>
        </w:rPr>
        <w:t xml:space="preserve">. </w:t>
      </w:r>
    </w:p>
    <w:p w14:paraId="40861109" w14:textId="15496117" w:rsidR="00B33CF0" w:rsidRPr="00EB5A74" w:rsidRDefault="00B33CF0" w:rsidP="00456FE4">
      <w:pPr>
        <w:spacing w:after="0" w:line="276" w:lineRule="auto"/>
        <w:ind w:firstLine="1701"/>
        <w:jc w:val="both"/>
        <w:rPr>
          <w:rFonts w:ascii="Gadugi" w:eastAsia="Calibri" w:hAnsi="Gadugi" w:cs="Times New Roman"/>
          <w:sz w:val="24"/>
          <w:szCs w:val="24"/>
          <w:lang w:val="es-ES_tradnl"/>
        </w:rPr>
      </w:pPr>
    </w:p>
    <w:p w14:paraId="3B1E624F" w14:textId="77777777" w:rsidR="00B33CF0" w:rsidRPr="00EB5A74" w:rsidRDefault="00B33CF0" w:rsidP="00456FE4">
      <w:pPr>
        <w:spacing w:after="0" w:line="276" w:lineRule="auto"/>
        <w:ind w:firstLine="1701"/>
        <w:jc w:val="both"/>
        <w:rPr>
          <w:rFonts w:ascii="Gadugi" w:eastAsia="Calibri" w:hAnsi="Gadugi" w:cs="Times New Roman"/>
          <w:sz w:val="24"/>
          <w:szCs w:val="24"/>
          <w:lang w:val="es-ES_tradnl"/>
        </w:rPr>
      </w:pPr>
    </w:p>
    <w:p w14:paraId="47C6935D" w14:textId="762165AB" w:rsidR="000920B1" w:rsidRPr="00EB5A74" w:rsidRDefault="000920B1" w:rsidP="00456FE4">
      <w:pPr>
        <w:numPr>
          <w:ilvl w:val="0"/>
          <w:numId w:val="1"/>
        </w:numPr>
        <w:tabs>
          <w:tab w:val="left" w:pos="2127"/>
        </w:tabs>
        <w:spacing w:after="0" w:line="276" w:lineRule="auto"/>
        <w:ind w:left="0" w:firstLine="1701"/>
        <w:rPr>
          <w:rFonts w:ascii="Gadugi" w:hAnsi="Gadugi"/>
          <w:b/>
          <w:bCs/>
          <w:sz w:val="24"/>
          <w:szCs w:val="24"/>
          <w:lang w:val="es-ES_tradnl"/>
        </w:rPr>
      </w:pPr>
      <w:r w:rsidRPr="00EB5A74">
        <w:rPr>
          <w:rFonts w:ascii="Gadugi" w:hAnsi="Gadugi"/>
          <w:b/>
          <w:bCs/>
          <w:sz w:val="24"/>
          <w:szCs w:val="24"/>
          <w:lang w:val="es-ES_tradnl"/>
        </w:rPr>
        <w:t xml:space="preserve">CONSIDERACIONES </w:t>
      </w:r>
    </w:p>
    <w:p w14:paraId="758BA7A4" w14:textId="77777777" w:rsidR="009253B8" w:rsidRPr="00EB5A74" w:rsidRDefault="009253B8" w:rsidP="00456FE4">
      <w:pPr>
        <w:tabs>
          <w:tab w:val="left" w:pos="2268"/>
        </w:tabs>
        <w:spacing w:after="0" w:line="276" w:lineRule="auto"/>
        <w:ind w:firstLine="1701"/>
        <w:rPr>
          <w:rFonts w:ascii="Gadugi" w:hAnsi="Gadugi"/>
          <w:b/>
          <w:bCs/>
          <w:sz w:val="24"/>
          <w:szCs w:val="24"/>
          <w:lang w:val="es-ES_tradnl"/>
        </w:rPr>
      </w:pPr>
    </w:p>
    <w:p w14:paraId="7A464E40" w14:textId="074A5068" w:rsidR="000920B1" w:rsidRPr="00EB5A74" w:rsidRDefault="000920B1" w:rsidP="00456FE4">
      <w:pPr>
        <w:tabs>
          <w:tab w:val="left" w:pos="2268"/>
        </w:tabs>
        <w:spacing w:after="0" w:line="276" w:lineRule="auto"/>
        <w:ind w:firstLine="1701"/>
        <w:rPr>
          <w:rFonts w:ascii="Gadugi" w:hAnsi="Gadugi"/>
          <w:b/>
          <w:bCs/>
          <w:sz w:val="24"/>
          <w:szCs w:val="24"/>
          <w:lang w:val="es-ES_tradnl"/>
        </w:rPr>
      </w:pPr>
    </w:p>
    <w:p w14:paraId="48FB5EF4" w14:textId="61907CF8" w:rsidR="000920B1" w:rsidRPr="00EB5A74" w:rsidRDefault="000920B1" w:rsidP="00456FE4">
      <w:pPr>
        <w:numPr>
          <w:ilvl w:val="1"/>
          <w:numId w:val="1"/>
        </w:numPr>
        <w:tabs>
          <w:tab w:val="left" w:pos="2268"/>
        </w:tabs>
        <w:spacing w:after="0" w:line="276" w:lineRule="auto"/>
        <w:ind w:left="0" w:firstLine="1701"/>
        <w:jc w:val="both"/>
        <w:rPr>
          <w:rFonts w:ascii="Gadugi" w:hAnsi="Gadugi"/>
          <w:sz w:val="24"/>
          <w:szCs w:val="24"/>
          <w:lang w:val="es-ES_tradnl"/>
        </w:rPr>
      </w:pPr>
      <w:r w:rsidRPr="00EB5A74">
        <w:rPr>
          <w:rFonts w:ascii="Gadugi" w:hAnsi="Gadugi"/>
          <w:sz w:val="24"/>
          <w:szCs w:val="24"/>
          <w:lang w:val="es-ES_tradnl"/>
        </w:rPr>
        <w:t>Los presupuestos procesales se cumplen a cabalidad en este asunto y no se advierte nulidad que pueda dar al traste con lo actuado.</w:t>
      </w:r>
    </w:p>
    <w:p w14:paraId="7F172A14" w14:textId="77777777" w:rsidR="0012686C" w:rsidRPr="00EB5A74" w:rsidRDefault="0012686C" w:rsidP="00456FE4">
      <w:pPr>
        <w:tabs>
          <w:tab w:val="left" w:pos="2268"/>
        </w:tabs>
        <w:spacing w:after="0" w:line="276" w:lineRule="auto"/>
        <w:ind w:firstLine="1701"/>
        <w:jc w:val="both"/>
        <w:rPr>
          <w:rFonts w:ascii="Gadugi" w:hAnsi="Gadugi"/>
          <w:sz w:val="24"/>
          <w:szCs w:val="24"/>
          <w:lang w:val="es-ES_tradnl"/>
        </w:rPr>
      </w:pPr>
    </w:p>
    <w:p w14:paraId="3241B17C" w14:textId="2BCCFA92" w:rsidR="003750D8" w:rsidRPr="00EB5A74" w:rsidRDefault="0012686C" w:rsidP="00456FE4">
      <w:pPr>
        <w:numPr>
          <w:ilvl w:val="1"/>
          <w:numId w:val="1"/>
        </w:numPr>
        <w:tabs>
          <w:tab w:val="left" w:pos="2268"/>
        </w:tabs>
        <w:spacing w:after="0" w:line="276" w:lineRule="auto"/>
        <w:ind w:left="0" w:firstLine="1701"/>
        <w:jc w:val="both"/>
        <w:rPr>
          <w:rFonts w:ascii="Gadugi" w:hAnsi="Gadugi"/>
          <w:sz w:val="24"/>
          <w:szCs w:val="24"/>
          <w:lang w:val="es-ES_tradnl"/>
        </w:rPr>
      </w:pPr>
      <w:r w:rsidRPr="00EB5A74">
        <w:rPr>
          <w:rFonts w:ascii="Gadugi" w:hAnsi="Gadugi"/>
          <w:sz w:val="24"/>
          <w:szCs w:val="24"/>
          <w:lang w:val="es-ES_tradnl"/>
        </w:rPr>
        <w:t>La legitimación en la causa</w:t>
      </w:r>
      <w:r w:rsidR="00983C7E" w:rsidRPr="00EB5A74">
        <w:rPr>
          <w:rFonts w:ascii="Gadugi" w:hAnsi="Gadugi"/>
          <w:sz w:val="24"/>
          <w:szCs w:val="24"/>
          <w:lang w:val="es-ES_tradnl"/>
        </w:rPr>
        <w:t xml:space="preserve"> por </w:t>
      </w:r>
      <w:r w:rsidRPr="00EB5A74">
        <w:rPr>
          <w:rFonts w:ascii="Gadugi" w:hAnsi="Gadugi"/>
          <w:sz w:val="24"/>
          <w:szCs w:val="24"/>
          <w:lang w:val="es-ES_tradnl"/>
        </w:rPr>
        <w:t xml:space="preserve">activa </w:t>
      </w:r>
      <w:r w:rsidR="00983C7E" w:rsidRPr="00EB5A74">
        <w:rPr>
          <w:rFonts w:ascii="Gadugi" w:hAnsi="Gadugi"/>
          <w:sz w:val="24"/>
          <w:szCs w:val="24"/>
          <w:lang w:val="es-ES_tradnl"/>
        </w:rPr>
        <w:t xml:space="preserve">deriva de que </w:t>
      </w:r>
      <w:r w:rsidR="00127F08" w:rsidRPr="00EB5A74">
        <w:rPr>
          <w:rFonts w:ascii="Gadugi" w:hAnsi="Gadugi"/>
          <w:sz w:val="24"/>
          <w:szCs w:val="24"/>
          <w:lang w:val="es-ES_tradnl"/>
        </w:rPr>
        <w:t>L</w:t>
      </w:r>
      <w:r w:rsidRPr="00EB5A74">
        <w:rPr>
          <w:rFonts w:ascii="Gadugi" w:hAnsi="Gadugi"/>
          <w:sz w:val="24"/>
          <w:szCs w:val="24"/>
          <w:lang w:val="es-ES_tradnl"/>
        </w:rPr>
        <w:t>uz Amparo Gonz</w:t>
      </w:r>
      <w:r w:rsidR="00127F08" w:rsidRPr="00EB5A74">
        <w:rPr>
          <w:rFonts w:ascii="Gadugi" w:hAnsi="Gadugi"/>
          <w:sz w:val="24"/>
          <w:szCs w:val="24"/>
          <w:lang w:val="es-ES_tradnl"/>
        </w:rPr>
        <w:t>ález Lizcano</w:t>
      </w:r>
      <w:r w:rsidR="00923E28" w:rsidRPr="00EB5A74">
        <w:rPr>
          <w:rFonts w:ascii="Gadugi" w:hAnsi="Gadugi"/>
          <w:sz w:val="24"/>
          <w:szCs w:val="24"/>
          <w:lang w:val="es-ES_tradnl"/>
        </w:rPr>
        <w:t xml:space="preserve"> y </w:t>
      </w:r>
      <w:r w:rsidR="00983C7E" w:rsidRPr="00EB5A74">
        <w:rPr>
          <w:rFonts w:ascii="Gadugi" w:hAnsi="Gadugi"/>
          <w:sz w:val="24"/>
          <w:szCs w:val="24"/>
          <w:lang w:val="es-ES_tradnl"/>
        </w:rPr>
        <w:t xml:space="preserve">quienes fueron </w:t>
      </w:r>
      <w:r w:rsidR="00923E28" w:rsidRPr="00EB5A74">
        <w:rPr>
          <w:rFonts w:ascii="Gadugi" w:hAnsi="Gadugi"/>
          <w:sz w:val="24"/>
          <w:szCs w:val="24"/>
          <w:lang w:val="es-ES_tradnl"/>
        </w:rPr>
        <w:t xml:space="preserve">tenidos posteriormente como litisconsortes por activa, </w:t>
      </w:r>
      <w:r w:rsidR="00983C7E" w:rsidRPr="00EB5A74">
        <w:rPr>
          <w:rFonts w:ascii="Gadugi" w:hAnsi="Gadugi"/>
          <w:sz w:val="24"/>
          <w:szCs w:val="24"/>
          <w:lang w:val="es-ES_tradnl"/>
        </w:rPr>
        <w:t xml:space="preserve">esto es, </w:t>
      </w:r>
      <w:r w:rsidR="00923E28" w:rsidRPr="00EB5A74">
        <w:rPr>
          <w:rFonts w:ascii="Gadugi" w:hAnsi="Gadugi"/>
          <w:sz w:val="24"/>
          <w:szCs w:val="24"/>
          <w:lang w:val="es-ES_tradnl"/>
        </w:rPr>
        <w:t xml:space="preserve">María Liliana, Julio César, </w:t>
      </w:r>
      <w:r w:rsidR="00056C3D" w:rsidRPr="00EB5A74">
        <w:rPr>
          <w:rFonts w:ascii="Gadugi" w:hAnsi="Gadugi"/>
          <w:sz w:val="24"/>
          <w:szCs w:val="24"/>
          <w:lang w:val="es-ES_tradnl"/>
        </w:rPr>
        <w:t>Letty</w:t>
      </w:r>
      <w:r w:rsidR="00861E94" w:rsidRPr="00EB5A74">
        <w:rPr>
          <w:rFonts w:ascii="Gadugi" w:hAnsi="Gadugi"/>
          <w:sz w:val="24"/>
          <w:szCs w:val="24"/>
          <w:lang w:val="es-ES_tradnl"/>
        </w:rPr>
        <w:t>,</w:t>
      </w:r>
      <w:r w:rsidR="00056C3D" w:rsidRPr="00EB5A74">
        <w:rPr>
          <w:rFonts w:ascii="Gadugi" w:hAnsi="Gadugi"/>
          <w:sz w:val="24"/>
          <w:szCs w:val="24"/>
          <w:lang w:val="es-ES_tradnl"/>
        </w:rPr>
        <w:t xml:space="preserve"> </w:t>
      </w:r>
      <w:r w:rsidR="00923E28" w:rsidRPr="00EB5A74">
        <w:rPr>
          <w:rFonts w:ascii="Gadugi" w:hAnsi="Gadugi"/>
          <w:sz w:val="24"/>
          <w:szCs w:val="24"/>
          <w:lang w:val="es-ES_tradnl"/>
        </w:rPr>
        <w:t xml:space="preserve">Yanet y </w:t>
      </w:r>
      <w:proofErr w:type="spellStart"/>
      <w:r w:rsidR="00923E28" w:rsidRPr="00EB5A74">
        <w:rPr>
          <w:rFonts w:ascii="Gadugi" w:hAnsi="Gadugi"/>
          <w:sz w:val="24"/>
          <w:szCs w:val="24"/>
          <w:lang w:val="es-ES_tradnl"/>
        </w:rPr>
        <w:t>Solángel</w:t>
      </w:r>
      <w:proofErr w:type="spellEnd"/>
      <w:r w:rsidR="00923E28" w:rsidRPr="00EB5A74">
        <w:rPr>
          <w:rFonts w:ascii="Gadugi" w:hAnsi="Gadugi"/>
          <w:sz w:val="24"/>
          <w:szCs w:val="24"/>
          <w:lang w:val="es-ES_tradnl"/>
        </w:rPr>
        <w:t xml:space="preserve"> González Lizcano, </w:t>
      </w:r>
      <w:r w:rsidR="003750D8" w:rsidRPr="00EB5A74">
        <w:rPr>
          <w:rFonts w:ascii="Gadugi" w:hAnsi="Gadugi"/>
          <w:sz w:val="24"/>
          <w:szCs w:val="24"/>
          <w:lang w:val="es-ES_tradnl"/>
        </w:rPr>
        <w:t xml:space="preserve">tras ser </w:t>
      </w:r>
      <w:r w:rsidR="00923E28" w:rsidRPr="00EB5A74">
        <w:rPr>
          <w:rFonts w:ascii="Gadugi" w:hAnsi="Gadugi"/>
          <w:sz w:val="24"/>
          <w:szCs w:val="24"/>
          <w:lang w:val="es-ES_tradnl"/>
        </w:rPr>
        <w:t>reconocidos como hijos extramatrimoniales de</w:t>
      </w:r>
      <w:r w:rsidR="00557FA8" w:rsidRPr="00EB5A74">
        <w:rPr>
          <w:rFonts w:ascii="Gadugi" w:hAnsi="Gadugi"/>
          <w:sz w:val="24"/>
          <w:szCs w:val="24"/>
          <w:lang w:val="es-ES_tradnl"/>
        </w:rPr>
        <w:t xml:space="preserve"> </w:t>
      </w:r>
      <w:r w:rsidR="00923E28" w:rsidRPr="00EB5A74">
        <w:rPr>
          <w:rFonts w:ascii="Gadugi" w:hAnsi="Gadugi"/>
          <w:sz w:val="24"/>
          <w:szCs w:val="24"/>
          <w:lang w:val="es-ES_tradnl"/>
        </w:rPr>
        <w:t xml:space="preserve">Julio César González, </w:t>
      </w:r>
      <w:r w:rsidR="003750D8" w:rsidRPr="00EB5A74">
        <w:rPr>
          <w:rFonts w:ascii="Gadugi" w:hAnsi="Gadugi"/>
          <w:sz w:val="24"/>
          <w:szCs w:val="24"/>
          <w:lang w:val="es-ES_tradnl"/>
        </w:rPr>
        <w:t xml:space="preserve">quien </w:t>
      </w:r>
      <w:r w:rsidR="00F214D8" w:rsidRPr="00EB5A74">
        <w:rPr>
          <w:rFonts w:ascii="Gadugi" w:hAnsi="Gadugi"/>
          <w:sz w:val="24"/>
          <w:szCs w:val="24"/>
          <w:lang w:val="es-ES_tradnl"/>
        </w:rPr>
        <w:t xml:space="preserve">suscribió </w:t>
      </w:r>
      <w:r w:rsidR="003750D8" w:rsidRPr="00EB5A74">
        <w:rPr>
          <w:rFonts w:ascii="Gadugi" w:hAnsi="Gadugi"/>
          <w:sz w:val="24"/>
          <w:szCs w:val="24"/>
          <w:lang w:val="es-ES_tradnl"/>
        </w:rPr>
        <w:t xml:space="preserve">la escritura pública No. 2360 del 12 de diciembre de 1979, </w:t>
      </w:r>
      <w:r w:rsidR="00983C7E" w:rsidRPr="00EB5A74">
        <w:rPr>
          <w:rFonts w:ascii="Gadugi" w:hAnsi="Gadugi"/>
          <w:sz w:val="24"/>
          <w:szCs w:val="24"/>
          <w:lang w:val="es-ES_tradnl"/>
        </w:rPr>
        <w:t>aducen que el acto allí contenido les</w:t>
      </w:r>
      <w:r w:rsidR="003750D8" w:rsidRPr="00EB5A74">
        <w:rPr>
          <w:rFonts w:ascii="Gadugi" w:hAnsi="Gadugi"/>
          <w:sz w:val="24"/>
          <w:szCs w:val="24"/>
          <w:lang w:val="es-ES_tradnl"/>
        </w:rPr>
        <w:t xml:space="preserve"> es inoponible</w:t>
      </w:r>
      <w:r w:rsidR="00983C7E" w:rsidRPr="00EB5A74">
        <w:rPr>
          <w:rFonts w:ascii="Gadugi" w:hAnsi="Gadugi"/>
          <w:sz w:val="24"/>
          <w:szCs w:val="24"/>
          <w:lang w:val="es-ES_tradnl"/>
        </w:rPr>
        <w:t xml:space="preserve">. Y </w:t>
      </w:r>
      <w:r w:rsidRPr="00EB5A74">
        <w:rPr>
          <w:rFonts w:ascii="Gadugi" w:hAnsi="Gadugi"/>
          <w:sz w:val="24"/>
          <w:szCs w:val="24"/>
          <w:lang w:val="es-ES_tradnl"/>
        </w:rPr>
        <w:t xml:space="preserve">por pasiva la </w:t>
      </w:r>
      <w:r w:rsidR="003750D8" w:rsidRPr="00EB5A74">
        <w:rPr>
          <w:rFonts w:ascii="Gadugi" w:hAnsi="Gadugi"/>
          <w:sz w:val="24"/>
          <w:szCs w:val="24"/>
          <w:lang w:val="es-ES_tradnl"/>
        </w:rPr>
        <w:t xml:space="preserve">tienen Patricia del Socorro, Javier, Gloria María y Mónica González Naranjo, por ser </w:t>
      </w:r>
      <w:r w:rsidR="0063610A" w:rsidRPr="00EB5A74">
        <w:rPr>
          <w:rFonts w:ascii="Gadugi" w:hAnsi="Gadugi"/>
          <w:sz w:val="24"/>
          <w:szCs w:val="24"/>
          <w:lang w:val="es-ES_tradnl"/>
        </w:rPr>
        <w:t xml:space="preserve">también </w:t>
      </w:r>
      <w:r w:rsidR="003750D8" w:rsidRPr="00EB5A74">
        <w:rPr>
          <w:rFonts w:ascii="Gadugi" w:hAnsi="Gadugi"/>
          <w:sz w:val="24"/>
          <w:szCs w:val="24"/>
          <w:lang w:val="es-ES_tradnl"/>
        </w:rPr>
        <w:t xml:space="preserve">herederos del </w:t>
      </w:r>
      <w:r w:rsidR="00557FA8" w:rsidRPr="00EB5A74">
        <w:rPr>
          <w:rFonts w:ascii="Gadugi" w:hAnsi="Gadugi"/>
          <w:sz w:val="24"/>
          <w:szCs w:val="24"/>
          <w:lang w:val="es-ES_tradnl"/>
        </w:rPr>
        <w:t>causante</w:t>
      </w:r>
      <w:r w:rsidR="003750D8" w:rsidRPr="00EB5A74">
        <w:rPr>
          <w:rFonts w:ascii="Gadugi" w:hAnsi="Gadugi"/>
          <w:sz w:val="24"/>
          <w:szCs w:val="24"/>
          <w:lang w:val="es-ES_tradnl"/>
        </w:rPr>
        <w:t xml:space="preserve"> mencionado</w:t>
      </w:r>
      <w:r w:rsidR="00983C7E" w:rsidRPr="00EB5A74">
        <w:rPr>
          <w:rFonts w:ascii="Gadugi" w:hAnsi="Gadugi"/>
          <w:sz w:val="24"/>
          <w:szCs w:val="24"/>
          <w:lang w:val="es-ES_tradnl"/>
        </w:rPr>
        <w:t xml:space="preserve">, así como los herederos indeterminados de </w:t>
      </w:r>
      <w:r w:rsidR="00557FA8" w:rsidRPr="00EB5A74">
        <w:rPr>
          <w:rFonts w:ascii="Gadugi" w:hAnsi="Gadugi"/>
          <w:sz w:val="24"/>
          <w:szCs w:val="24"/>
          <w:lang w:val="es-ES_tradnl"/>
        </w:rPr>
        <w:t>este y de Soledad Naranjo</w:t>
      </w:r>
      <w:r w:rsidR="006A0D0A" w:rsidRPr="00EB5A74">
        <w:rPr>
          <w:rFonts w:ascii="Gadugi" w:hAnsi="Gadugi"/>
          <w:sz w:val="24"/>
          <w:szCs w:val="24"/>
          <w:lang w:val="es-ES_tradnl"/>
        </w:rPr>
        <w:t>, q</w:t>
      </w:r>
      <w:r w:rsidR="00A41DC3" w:rsidRPr="00EB5A74">
        <w:rPr>
          <w:rFonts w:ascii="Gadugi" w:hAnsi="Gadugi"/>
          <w:sz w:val="24"/>
          <w:szCs w:val="24"/>
          <w:lang w:val="es-ES_tradnl"/>
        </w:rPr>
        <w:t>ue</w:t>
      </w:r>
      <w:r w:rsidR="006A0D0A" w:rsidRPr="00EB5A74">
        <w:rPr>
          <w:rFonts w:ascii="Gadugi" w:hAnsi="Gadugi"/>
          <w:sz w:val="24"/>
          <w:szCs w:val="24"/>
          <w:lang w:val="es-ES_tradnl"/>
        </w:rPr>
        <w:t xml:space="preserve"> intervino en el acto. </w:t>
      </w:r>
      <w:r w:rsidR="00557FA8" w:rsidRPr="00EB5A74">
        <w:rPr>
          <w:rFonts w:ascii="Gadugi" w:hAnsi="Gadugi"/>
          <w:sz w:val="24"/>
          <w:szCs w:val="24"/>
          <w:lang w:val="es-ES_tradnl"/>
        </w:rPr>
        <w:t xml:space="preserve"> </w:t>
      </w:r>
    </w:p>
    <w:p w14:paraId="6F1D74AD" w14:textId="77777777" w:rsidR="00557FA8" w:rsidRPr="00EB5A74" w:rsidRDefault="00557FA8" w:rsidP="00456FE4">
      <w:pPr>
        <w:spacing w:line="276" w:lineRule="auto"/>
        <w:rPr>
          <w:rFonts w:ascii="Gadugi" w:hAnsi="Gadugi"/>
          <w:sz w:val="24"/>
          <w:szCs w:val="24"/>
          <w:lang w:val="es-ES_tradnl"/>
        </w:rPr>
      </w:pPr>
    </w:p>
    <w:p w14:paraId="3433BFD4" w14:textId="7D3C643D" w:rsidR="00C43AF4" w:rsidRPr="00EB5A74" w:rsidRDefault="000F3A07" w:rsidP="00456FE4">
      <w:pPr>
        <w:numPr>
          <w:ilvl w:val="1"/>
          <w:numId w:val="1"/>
        </w:numPr>
        <w:tabs>
          <w:tab w:val="left" w:pos="1701"/>
          <w:tab w:val="left" w:pos="2268"/>
        </w:tabs>
        <w:spacing w:after="0" w:line="276" w:lineRule="auto"/>
        <w:ind w:left="0" w:firstLine="1701"/>
        <w:jc w:val="both"/>
        <w:rPr>
          <w:rFonts w:ascii="Gadugi" w:hAnsi="Gadugi"/>
          <w:sz w:val="24"/>
          <w:szCs w:val="24"/>
          <w:lang w:val="es-ES_tradnl"/>
        </w:rPr>
      </w:pPr>
      <w:r w:rsidRPr="00EB5A74">
        <w:rPr>
          <w:rFonts w:ascii="Gadugi" w:hAnsi="Gadugi"/>
          <w:sz w:val="24"/>
          <w:szCs w:val="24"/>
          <w:lang w:val="es-ES_tradnl"/>
        </w:rPr>
        <w:t>Se trata</w:t>
      </w:r>
      <w:r w:rsidR="00423DD8" w:rsidRPr="00EB5A74">
        <w:rPr>
          <w:rFonts w:ascii="Gadugi" w:hAnsi="Gadugi"/>
          <w:sz w:val="24"/>
          <w:szCs w:val="24"/>
          <w:lang w:val="es-ES_tradnl"/>
        </w:rPr>
        <w:t>, en este caso, de una demanda con una pretensi</w:t>
      </w:r>
      <w:r w:rsidR="00EA65DE" w:rsidRPr="00EB5A74">
        <w:rPr>
          <w:rFonts w:ascii="Gadugi" w:hAnsi="Gadugi"/>
          <w:sz w:val="24"/>
          <w:szCs w:val="24"/>
          <w:lang w:val="es-ES_tradnl"/>
        </w:rPr>
        <w:t xml:space="preserve">ón principal y otra subsidiaria. </w:t>
      </w:r>
      <w:r w:rsidR="00C43AF4" w:rsidRPr="00EB5A74">
        <w:rPr>
          <w:rFonts w:ascii="Gadugi" w:hAnsi="Gadugi"/>
          <w:sz w:val="24"/>
          <w:szCs w:val="24"/>
          <w:lang w:val="es-ES_tradnl"/>
        </w:rPr>
        <w:t xml:space="preserve">Se ocupa la Sala de la primera de ellas, pues de su suerte pende que se pueda considerar la segunda. </w:t>
      </w:r>
    </w:p>
    <w:p w14:paraId="4052E7B4" w14:textId="77777777" w:rsidR="00C43AF4" w:rsidRPr="00EB5A74" w:rsidRDefault="00C43AF4" w:rsidP="00456FE4">
      <w:pPr>
        <w:spacing w:after="0" w:line="276" w:lineRule="auto"/>
        <w:rPr>
          <w:rFonts w:ascii="Gadugi" w:hAnsi="Gadugi"/>
          <w:sz w:val="24"/>
          <w:szCs w:val="24"/>
          <w:lang w:val="es-ES_tradnl"/>
        </w:rPr>
      </w:pPr>
    </w:p>
    <w:p w14:paraId="2FCF85D7" w14:textId="77777777" w:rsidR="00351587" w:rsidRPr="00EB5A74" w:rsidRDefault="00351587" w:rsidP="00456FE4">
      <w:pPr>
        <w:numPr>
          <w:ilvl w:val="2"/>
          <w:numId w:val="1"/>
        </w:numPr>
        <w:tabs>
          <w:tab w:val="left" w:pos="1701"/>
          <w:tab w:val="left" w:pos="2552"/>
        </w:tabs>
        <w:spacing w:after="0" w:line="276" w:lineRule="auto"/>
        <w:ind w:left="0" w:firstLine="1701"/>
        <w:jc w:val="both"/>
        <w:rPr>
          <w:rFonts w:ascii="Gadugi" w:hAnsi="Gadugi"/>
          <w:b/>
          <w:bCs/>
          <w:sz w:val="24"/>
          <w:szCs w:val="24"/>
          <w:lang w:val="es-ES_tradnl"/>
        </w:rPr>
      </w:pPr>
      <w:r w:rsidRPr="00EB5A74">
        <w:rPr>
          <w:rFonts w:ascii="Gadugi" w:hAnsi="Gadugi"/>
          <w:b/>
          <w:bCs/>
          <w:sz w:val="24"/>
          <w:szCs w:val="24"/>
          <w:lang w:val="es-ES_tradnl"/>
        </w:rPr>
        <w:t xml:space="preserve">Sobre la inoponibilidad. </w:t>
      </w:r>
    </w:p>
    <w:p w14:paraId="62059CA7" w14:textId="77777777" w:rsidR="00351587" w:rsidRPr="00EB5A74" w:rsidRDefault="00351587" w:rsidP="00456FE4">
      <w:pPr>
        <w:tabs>
          <w:tab w:val="left" w:pos="1701"/>
          <w:tab w:val="left" w:pos="2410"/>
        </w:tabs>
        <w:spacing w:after="0" w:line="276" w:lineRule="auto"/>
        <w:ind w:firstLine="1701"/>
        <w:jc w:val="both"/>
        <w:rPr>
          <w:rFonts w:ascii="Gadugi" w:hAnsi="Gadugi"/>
          <w:sz w:val="24"/>
          <w:szCs w:val="24"/>
          <w:lang w:val="es-ES_tradnl"/>
        </w:rPr>
      </w:pPr>
    </w:p>
    <w:p w14:paraId="6A5DDE95" w14:textId="7A9A46B4" w:rsidR="00BD25DF" w:rsidRPr="00EB5A74" w:rsidRDefault="00C43AF4" w:rsidP="00456FE4">
      <w:pPr>
        <w:tabs>
          <w:tab w:val="left" w:pos="1701"/>
          <w:tab w:val="left" w:pos="2410"/>
        </w:tabs>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La primera</w:t>
      </w:r>
      <w:r w:rsidR="00351587" w:rsidRPr="00EB5A74">
        <w:rPr>
          <w:rFonts w:ascii="Gadugi" w:hAnsi="Gadugi"/>
          <w:sz w:val="24"/>
          <w:szCs w:val="24"/>
          <w:lang w:val="es-ES_tradnl"/>
        </w:rPr>
        <w:t xml:space="preserve"> </w:t>
      </w:r>
      <w:r w:rsidR="0056759E" w:rsidRPr="00EB5A74">
        <w:rPr>
          <w:rFonts w:ascii="Gadugi" w:hAnsi="Gadugi"/>
          <w:sz w:val="24"/>
          <w:szCs w:val="24"/>
          <w:lang w:val="es-ES_tradnl"/>
        </w:rPr>
        <w:t>pretensión</w:t>
      </w:r>
      <w:r w:rsidRPr="00EB5A74">
        <w:rPr>
          <w:rFonts w:ascii="Gadugi" w:hAnsi="Gadugi"/>
          <w:sz w:val="24"/>
          <w:szCs w:val="24"/>
          <w:lang w:val="es-ES_tradnl"/>
        </w:rPr>
        <w:t xml:space="preserve"> busca que se declare que “</w:t>
      </w:r>
      <w:r w:rsidR="00CC3007" w:rsidRPr="00EB5A74">
        <w:rPr>
          <w:rFonts w:ascii="Gadugi" w:hAnsi="Gadugi"/>
          <w:i/>
          <w:iCs/>
          <w:szCs w:val="24"/>
          <w:lang w:val="es-ES_tradnl"/>
        </w:rPr>
        <w:t xml:space="preserve">La </w:t>
      </w:r>
      <w:r w:rsidRPr="00EB5A74">
        <w:rPr>
          <w:rFonts w:ascii="Gadugi" w:hAnsi="Gadugi"/>
          <w:i/>
          <w:iCs/>
          <w:szCs w:val="24"/>
          <w:lang w:val="es-ES_tradnl"/>
        </w:rPr>
        <w:t>Escritura Pública No. 2360, otorgada en la Notaría Primera del Círculo de Pereira</w:t>
      </w:r>
      <w:r w:rsidR="00C94FA7" w:rsidRPr="00EB5A74">
        <w:rPr>
          <w:rFonts w:ascii="Gadugi" w:hAnsi="Gadugi"/>
          <w:i/>
          <w:iCs/>
          <w:szCs w:val="24"/>
          <w:lang w:val="es-ES_tradnl"/>
        </w:rPr>
        <w:t>,</w:t>
      </w:r>
      <w:r w:rsidR="00CC3007" w:rsidRPr="00EB5A74">
        <w:rPr>
          <w:rFonts w:ascii="Gadugi" w:hAnsi="Gadugi"/>
          <w:i/>
          <w:iCs/>
          <w:szCs w:val="24"/>
          <w:lang w:val="es-ES_tradnl"/>
        </w:rPr>
        <w:t xml:space="preserve"> </w:t>
      </w:r>
      <w:r w:rsidR="008E35BC" w:rsidRPr="00EB5A74">
        <w:rPr>
          <w:rFonts w:ascii="Gadugi" w:hAnsi="Gadugi"/>
          <w:i/>
          <w:iCs/>
          <w:szCs w:val="24"/>
          <w:lang w:val="es-ES_tradnl"/>
        </w:rPr>
        <w:t>basada en la inoponibilidad del acto contenido en la escritura pública 2360 de</w:t>
      </w:r>
      <w:r w:rsidR="00810F2A" w:rsidRPr="00EB5A74">
        <w:rPr>
          <w:rFonts w:ascii="Gadugi" w:hAnsi="Gadugi"/>
          <w:i/>
          <w:iCs/>
          <w:szCs w:val="24"/>
          <w:lang w:val="es-ES_tradnl"/>
        </w:rPr>
        <w:t xml:space="preserve">l 12 de diciembre de </w:t>
      </w:r>
      <w:r w:rsidR="008E35BC" w:rsidRPr="00EB5A74">
        <w:rPr>
          <w:rFonts w:ascii="Gadugi" w:hAnsi="Gadugi"/>
          <w:i/>
          <w:iCs/>
          <w:szCs w:val="24"/>
          <w:lang w:val="es-ES_tradnl"/>
        </w:rPr>
        <w:t>1979</w:t>
      </w:r>
      <w:r w:rsidRPr="00EB5A74">
        <w:rPr>
          <w:rFonts w:ascii="Gadugi" w:hAnsi="Gadugi"/>
          <w:i/>
          <w:iCs/>
          <w:szCs w:val="24"/>
          <w:lang w:val="es-ES_tradnl"/>
        </w:rPr>
        <w:t xml:space="preserve"> por los señores JULIO CÉSAR GONZÁLEZ y SOLEDAD NARANJO DE GONAZ</w:t>
      </w:r>
      <w:r w:rsidR="00BD25DF" w:rsidRPr="00EB5A74">
        <w:rPr>
          <w:rFonts w:ascii="Gadugi" w:hAnsi="Gadugi"/>
          <w:i/>
          <w:iCs/>
          <w:szCs w:val="24"/>
          <w:lang w:val="es-ES_tradnl"/>
        </w:rPr>
        <w:t>ALEZ</w:t>
      </w:r>
      <w:r w:rsidR="00167252" w:rsidRPr="00EB5A74">
        <w:rPr>
          <w:rFonts w:ascii="Gadugi" w:hAnsi="Gadugi"/>
          <w:i/>
          <w:iCs/>
          <w:szCs w:val="24"/>
          <w:lang w:val="es-ES_tradnl"/>
        </w:rPr>
        <w:t xml:space="preserve"> por haberse ejecutado en ella actos</w:t>
      </w:r>
      <w:r w:rsidR="00BD25DF" w:rsidRPr="00EB5A74">
        <w:rPr>
          <w:rFonts w:ascii="Gadugi" w:hAnsi="Gadugi"/>
          <w:i/>
          <w:iCs/>
          <w:szCs w:val="24"/>
          <w:lang w:val="es-ES_tradnl"/>
        </w:rPr>
        <w:t xml:space="preserve"> contra expresa prohibición de la ley, los descritos en los hechos de éste libelo, ES INOPONIBLE a la señora LUZ AMPARO GONZALEZ LISCANO, en su calidad de heredera del señor  JULIO CÉSAR GONÁLEZ, cuya muerte acaeció el día 25 de febrero de 1998 en la ciudad de Cali valle, por tratarse de un TERCERO frente a dicho acto jurídico</w:t>
      </w:r>
      <w:r w:rsidR="00BD25DF" w:rsidRPr="00EB5A74">
        <w:rPr>
          <w:rFonts w:ascii="Gadugi" w:hAnsi="Gadugi"/>
          <w:sz w:val="24"/>
          <w:szCs w:val="24"/>
          <w:lang w:val="es-ES_tradnl"/>
        </w:rPr>
        <w:t xml:space="preserve">” (sic) y, por tanto, no la afecta y tiene derecho a heredarlo. </w:t>
      </w:r>
    </w:p>
    <w:p w14:paraId="47EBCB34" w14:textId="3BDF6CA6" w:rsidR="00351587" w:rsidRPr="00EB5A74" w:rsidRDefault="00351587" w:rsidP="00456FE4">
      <w:pPr>
        <w:tabs>
          <w:tab w:val="left" w:pos="1701"/>
          <w:tab w:val="left" w:pos="2268"/>
        </w:tabs>
        <w:spacing w:after="0" w:line="276" w:lineRule="auto"/>
        <w:jc w:val="both"/>
        <w:rPr>
          <w:rFonts w:ascii="Gadugi" w:hAnsi="Gadugi"/>
          <w:sz w:val="24"/>
          <w:szCs w:val="24"/>
          <w:lang w:val="es-ES_tradnl"/>
        </w:rPr>
      </w:pPr>
    </w:p>
    <w:p w14:paraId="0E503C62" w14:textId="2B3EEE6A" w:rsidR="00F94E4D" w:rsidRPr="00EB5A74" w:rsidRDefault="00351587" w:rsidP="00456FE4">
      <w:pPr>
        <w:tabs>
          <w:tab w:val="left" w:pos="1701"/>
          <w:tab w:val="left" w:pos="2268"/>
        </w:tabs>
        <w:spacing w:after="0" w:line="276" w:lineRule="auto"/>
        <w:jc w:val="both"/>
        <w:rPr>
          <w:rFonts w:ascii="Gadugi" w:hAnsi="Gadugi"/>
          <w:sz w:val="24"/>
          <w:szCs w:val="24"/>
          <w:lang w:val="es-ES_tradnl"/>
        </w:rPr>
      </w:pPr>
      <w:r w:rsidRPr="00EB5A74">
        <w:rPr>
          <w:rFonts w:ascii="Gadugi" w:hAnsi="Gadugi"/>
          <w:sz w:val="24"/>
          <w:szCs w:val="24"/>
          <w:lang w:val="es-ES_tradnl"/>
        </w:rPr>
        <w:t xml:space="preserve">  </w:t>
      </w:r>
      <w:r w:rsidRPr="00EB5A74">
        <w:rPr>
          <w:rFonts w:ascii="Gadugi" w:hAnsi="Gadugi"/>
          <w:sz w:val="24"/>
          <w:szCs w:val="24"/>
          <w:lang w:val="es-ES_tradnl"/>
        </w:rPr>
        <w:tab/>
      </w:r>
      <w:r w:rsidR="00E64013" w:rsidRPr="00EB5A74">
        <w:rPr>
          <w:rFonts w:ascii="Gadugi" w:hAnsi="Gadugi"/>
          <w:sz w:val="24"/>
          <w:szCs w:val="24"/>
          <w:lang w:val="es-ES_tradnl"/>
        </w:rPr>
        <w:t>Lo que hay que ver aquí es de dónde se desgajan los hechos que la soportan</w:t>
      </w:r>
      <w:r w:rsidR="005E7529" w:rsidRPr="00EB5A74">
        <w:rPr>
          <w:rFonts w:ascii="Gadugi" w:hAnsi="Gadugi"/>
          <w:sz w:val="24"/>
          <w:szCs w:val="24"/>
          <w:lang w:val="es-ES_tradnl"/>
        </w:rPr>
        <w:t xml:space="preserve">, pues, a pesar de que esta Sala declaró en providencia </w:t>
      </w:r>
      <w:r w:rsidR="00806E0C" w:rsidRPr="00EB5A74">
        <w:rPr>
          <w:rFonts w:ascii="Gadugi" w:hAnsi="Gadugi"/>
          <w:sz w:val="24"/>
          <w:szCs w:val="24"/>
          <w:lang w:val="es-ES_tradnl"/>
        </w:rPr>
        <w:t xml:space="preserve">del 15 de noviembre </w:t>
      </w:r>
      <w:r w:rsidR="00806E0C" w:rsidRPr="00EB5A74">
        <w:rPr>
          <w:rFonts w:ascii="Gadugi" w:hAnsi="Gadugi"/>
          <w:sz w:val="24"/>
          <w:szCs w:val="24"/>
          <w:lang w:val="es-ES_tradnl"/>
        </w:rPr>
        <w:lastRenderedPageBreak/>
        <w:t>de 2018</w:t>
      </w:r>
      <w:r w:rsidR="00806E0C" w:rsidRPr="00EB5A74">
        <w:rPr>
          <w:rStyle w:val="Ttulo5Car"/>
          <w:rFonts w:ascii="Gadugi" w:eastAsiaTheme="minorHAnsi" w:hAnsi="Gadugi"/>
          <w:b w:val="0"/>
          <w:bCs w:val="0"/>
          <w:sz w:val="24"/>
          <w:szCs w:val="24"/>
          <w:vertAlign w:val="superscript"/>
          <w:lang w:val="es-ES_tradnl"/>
        </w:rPr>
        <w:footnoteReference w:id="28"/>
      </w:r>
      <w:r w:rsidR="00806E0C" w:rsidRPr="00EB5A74">
        <w:rPr>
          <w:rFonts w:ascii="Gadugi" w:hAnsi="Gadugi"/>
          <w:sz w:val="24"/>
          <w:szCs w:val="24"/>
          <w:lang w:val="es-ES_tradnl"/>
        </w:rPr>
        <w:t xml:space="preserve"> que era prematuro hablar de cosa juzgada en relación con la inoponibilidad, muy a pesar de lo que airadamente sostienen los recurrentes, también se advirtió allí que era menester analizar si la cuestión giraba en torno a </w:t>
      </w:r>
      <w:r w:rsidR="00F94E4D" w:rsidRPr="00EB5A74">
        <w:rPr>
          <w:rFonts w:ascii="Gadugi" w:hAnsi="Gadugi"/>
          <w:sz w:val="24"/>
          <w:szCs w:val="24"/>
          <w:lang w:val="es-ES_tradnl"/>
        </w:rPr>
        <w:t xml:space="preserve">una verdadera renuncia de gananciales, o a una </w:t>
      </w:r>
      <w:r w:rsidR="00E74011" w:rsidRPr="00EB5A74">
        <w:rPr>
          <w:rFonts w:ascii="Gadugi" w:hAnsi="Gadugi"/>
          <w:sz w:val="24"/>
          <w:szCs w:val="24"/>
          <w:lang w:val="es-ES_tradnl"/>
        </w:rPr>
        <w:t>s</w:t>
      </w:r>
      <w:r w:rsidR="00F94E4D" w:rsidRPr="00EB5A74">
        <w:rPr>
          <w:rFonts w:ascii="Gadugi" w:hAnsi="Gadugi"/>
          <w:sz w:val="24"/>
          <w:szCs w:val="24"/>
          <w:lang w:val="es-ES_tradnl"/>
        </w:rPr>
        <w:t xml:space="preserve">ituación diferente, porque también de ello dependía la suerte de las aspiraciones de la inicial demandante y sus litisconsortes. </w:t>
      </w:r>
    </w:p>
    <w:p w14:paraId="426FFEE5" w14:textId="77777777" w:rsidR="00F94E4D" w:rsidRPr="00EB5A74" w:rsidRDefault="00F94E4D" w:rsidP="00456FE4">
      <w:pPr>
        <w:tabs>
          <w:tab w:val="left" w:pos="1701"/>
          <w:tab w:val="left" w:pos="2268"/>
        </w:tabs>
        <w:spacing w:after="0" w:line="276" w:lineRule="auto"/>
        <w:jc w:val="both"/>
        <w:rPr>
          <w:rFonts w:ascii="Gadugi" w:hAnsi="Gadugi"/>
          <w:sz w:val="24"/>
          <w:szCs w:val="24"/>
          <w:lang w:val="es-ES_tradnl"/>
        </w:rPr>
      </w:pPr>
    </w:p>
    <w:p w14:paraId="0F8700A8" w14:textId="41A7D83A" w:rsidR="00630217" w:rsidRPr="00EB5A74" w:rsidRDefault="00F94E4D" w:rsidP="00456FE4">
      <w:pPr>
        <w:tabs>
          <w:tab w:val="left" w:pos="1701"/>
          <w:tab w:val="left" w:pos="2268"/>
        </w:tabs>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Pues bien, lo que se narra</w:t>
      </w:r>
      <w:r w:rsidR="007B7D39" w:rsidRPr="00EB5A74">
        <w:rPr>
          <w:rFonts w:ascii="Gadugi" w:hAnsi="Gadugi"/>
          <w:sz w:val="24"/>
          <w:szCs w:val="24"/>
          <w:lang w:val="es-ES_tradnl"/>
        </w:rPr>
        <w:t xml:space="preserve"> en la demanda</w:t>
      </w:r>
      <w:r w:rsidRPr="00EB5A74">
        <w:rPr>
          <w:rFonts w:ascii="Gadugi" w:hAnsi="Gadugi"/>
          <w:sz w:val="24"/>
          <w:szCs w:val="24"/>
          <w:lang w:val="es-ES_tradnl"/>
        </w:rPr>
        <w:t xml:space="preserve"> es que </w:t>
      </w:r>
      <w:r w:rsidR="00ED0527" w:rsidRPr="00EB5A74">
        <w:rPr>
          <w:rFonts w:ascii="Gadugi" w:hAnsi="Gadugi"/>
          <w:sz w:val="24"/>
          <w:szCs w:val="24"/>
          <w:lang w:val="es-ES_tradnl"/>
        </w:rPr>
        <w:t xml:space="preserve">entre </w:t>
      </w:r>
      <w:r w:rsidRPr="00EB5A74">
        <w:rPr>
          <w:rFonts w:ascii="Gadugi" w:hAnsi="Gadugi"/>
          <w:sz w:val="24"/>
          <w:szCs w:val="24"/>
          <w:lang w:val="es-ES_tradnl"/>
        </w:rPr>
        <w:t xml:space="preserve">los esposos Julio César González y Soledad Naranjo de González se disolvió y liquidó la sociedad conyugal que formaron, mediante la escritura pública 2360 de 1979, pero al hacerlo, </w:t>
      </w:r>
      <w:r w:rsidR="00F856FD" w:rsidRPr="00EB5A74">
        <w:rPr>
          <w:rFonts w:ascii="Gadugi" w:hAnsi="Gadugi"/>
          <w:sz w:val="24"/>
          <w:szCs w:val="24"/>
          <w:lang w:val="es-ES_tradnl"/>
        </w:rPr>
        <w:t xml:space="preserve">se incluyeron unos bienes propios de aquel, lo que implica que los donó a la sociedad, lo que se desprende de la cláusula inserta en el instrumento, acerca de que renunció al mayor valor que pudiera corresponderle por concepto de los bienes propios que tenía antes de casarse y a cualquier acción de rescisión o de resolución del contrato, lo que fue aceptado por la cónyuge. Esa donación, entonces, equivalente al 50% del total de los bienes inmuebles que no eran parte de la sociedad conyugal, </w:t>
      </w:r>
      <w:r w:rsidR="007B1FE3" w:rsidRPr="00EB5A74">
        <w:rPr>
          <w:rFonts w:ascii="Gadugi" w:hAnsi="Gadugi"/>
          <w:sz w:val="24"/>
          <w:szCs w:val="24"/>
          <w:lang w:val="es-ES_tradnl"/>
        </w:rPr>
        <w:t>le es inoponible a la demandante y, además, adolece de nulidad absoluta por cuanto: (i) no hubo la insinuación que prevé el artículo 1458 del C. Civil; (ii) de acuerdo con el artículo 28 de la Ley 28 de 1932, las donaciones irrevocables y los contratos relativos a inmuebles entre cónyuges, salvo el mandato general o especial, son nulos absolutamente</w:t>
      </w:r>
      <w:r w:rsidR="00630217" w:rsidRPr="00EB5A74">
        <w:rPr>
          <w:rFonts w:ascii="Gadugi" w:hAnsi="Gadugi"/>
          <w:sz w:val="24"/>
          <w:szCs w:val="24"/>
          <w:lang w:val="es-ES_tradnl"/>
        </w:rPr>
        <w:t xml:space="preserve">. </w:t>
      </w:r>
    </w:p>
    <w:p w14:paraId="736F4967" w14:textId="77777777" w:rsidR="00630217" w:rsidRPr="00EB5A74" w:rsidRDefault="00630217" w:rsidP="00456FE4">
      <w:pPr>
        <w:tabs>
          <w:tab w:val="left" w:pos="1701"/>
          <w:tab w:val="left" w:pos="2268"/>
        </w:tabs>
        <w:spacing w:after="0" w:line="276" w:lineRule="auto"/>
        <w:jc w:val="both"/>
        <w:rPr>
          <w:rFonts w:ascii="Gadugi" w:hAnsi="Gadugi"/>
          <w:sz w:val="24"/>
          <w:szCs w:val="24"/>
          <w:lang w:val="es-ES_tradnl"/>
        </w:rPr>
      </w:pPr>
    </w:p>
    <w:p w14:paraId="0557F639" w14:textId="3078052D" w:rsidR="00351587" w:rsidRPr="00EB5A74" w:rsidRDefault="00630217" w:rsidP="00456FE4">
      <w:pPr>
        <w:tabs>
          <w:tab w:val="left" w:pos="1701"/>
          <w:tab w:val="left" w:pos="2268"/>
        </w:tabs>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Enseguida, dice la demanda que esa donación vulnera la ley y, por tanto, es inoponible a la demandante, de acuerdo con lo establecido en el artículo 6 del C</w:t>
      </w:r>
      <w:r w:rsidR="008E2EAC" w:rsidRPr="00EB5A74">
        <w:rPr>
          <w:rFonts w:ascii="Gadugi" w:hAnsi="Gadugi"/>
          <w:sz w:val="24"/>
          <w:szCs w:val="24"/>
          <w:lang w:val="es-ES_tradnl"/>
        </w:rPr>
        <w:t xml:space="preserve">. Civil, además de que nunca se perfeccionó. </w:t>
      </w:r>
    </w:p>
    <w:p w14:paraId="24B34693" w14:textId="77777777" w:rsidR="00BD25DF" w:rsidRPr="00EB5A74" w:rsidRDefault="00BD25DF" w:rsidP="00456FE4">
      <w:pPr>
        <w:tabs>
          <w:tab w:val="left" w:pos="1701"/>
          <w:tab w:val="left" w:pos="2268"/>
        </w:tabs>
        <w:spacing w:after="0" w:line="276" w:lineRule="auto"/>
        <w:jc w:val="both"/>
        <w:rPr>
          <w:rFonts w:ascii="Gadugi" w:hAnsi="Gadugi"/>
          <w:sz w:val="24"/>
          <w:szCs w:val="24"/>
          <w:lang w:val="es-ES_tradnl"/>
        </w:rPr>
      </w:pPr>
    </w:p>
    <w:p w14:paraId="67AAAA9A" w14:textId="473FB2B0" w:rsidR="00ED7D7B" w:rsidRPr="00EB5A74" w:rsidRDefault="008E2EAC" w:rsidP="00456FE4">
      <w:pPr>
        <w:tabs>
          <w:tab w:val="left" w:pos="1701"/>
          <w:tab w:val="left" w:pos="2268"/>
        </w:tabs>
        <w:spacing w:after="0" w:line="276" w:lineRule="auto"/>
        <w:ind w:firstLine="1701"/>
        <w:jc w:val="both"/>
        <w:rPr>
          <w:rFonts w:ascii="Gadugi" w:hAnsi="Gadugi"/>
          <w:sz w:val="24"/>
          <w:szCs w:val="24"/>
          <w:lang w:val="es-ES_tradnl"/>
        </w:rPr>
      </w:pPr>
      <w:bookmarkStart w:id="2" w:name="_Hlk92778351"/>
      <w:r w:rsidRPr="00EB5A74">
        <w:rPr>
          <w:rFonts w:ascii="Gadugi" w:hAnsi="Gadugi"/>
          <w:sz w:val="24"/>
          <w:szCs w:val="24"/>
          <w:lang w:val="es-ES_tradnl"/>
        </w:rPr>
        <w:t xml:space="preserve">Como es fácil percibirlo, </w:t>
      </w:r>
      <w:r w:rsidR="00ED0527" w:rsidRPr="00EB5A74">
        <w:rPr>
          <w:rFonts w:ascii="Gadugi" w:hAnsi="Gadugi"/>
          <w:sz w:val="24"/>
          <w:szCs w:val="24"/>
          <w:lang w:val="es-ES_tradnl"/>
        </w:rPr>
        <w:t xml:space="preserve">el libelo introductorio </w:t>
      </w:r>
      <w:r w:rsidRPr="00EB5A74">
        <w:rPr>
          <w:rFonts w:ascii="Gadugi" w:hAnsi="Gadugi"/>
          <w:sz w:val="24"/>
          <w:szCs w:val="24"/>
          <w:lang w:val="es-ES_tradnl"/>
        </w:rPr>
        <w:t>viene estructurad</w:t>
      </w:r>
      <w:r w:rsidR="00ED0527" w:rsidRPr="00EB5A74">
        <w:rPr>
          <w:rFonts w:ascii="Gadugi" w:hAnsi="Gadugi"/>
          <w:sz w:val="24"/>
          <w:szCs w:val="24"/>
          <w:lang w:val="es-ES_tradnl"/>
        </w:rPr>
        <w:t>o</w:t>
      </w:r>
      <w:r w:rsidRPr="00EB5A74">
        <w:rPr>
          <w:rFonts w:ascii="Gadugi" w:hAnsi="Gadugi"/>
          <w:sz w:val="24"/>
          <w:szCs w:val="24"/>
          <w:lang w:val="es-ES_tradnl"/>
        </w:rPr>
        <w:t xml:space="preserve"> sobre una confusión de nociones que hacía difícil el </w:t>
      </w:r>
      <w:r w:rsidR="00A41DC3" w:rsidRPr="00EB5A74">
        <w:rPr>
          <w:rFonts w:ascii="Gadugi" w:hAnsi="Gadugi"/>
          <w:sz w:val="24"/>
          <w:szCs w:val="24"/>
          <w:lang w:val="es-ES_tradnl"/>
        </w:rPr>
        <w:t xml:space="preserve">camino hacia </w:t>
      </w:r>
      <w:r w:rsidRPr="00EB5A74">
        <w:rPr>
          <w:rFonts w:ascii="Gadugi" w:hAnsi="Gadugi"/>
          <w:sz w:val="24"/>
          <w:szCs w:val="24"/>
          <w:lang w:val="es-ES_tradnl"/>
        </w:rPr>
        <w:t xml:space="preserve">una resolución acorde con las peticiones en ella contenidas. Ciertamente, se conjugan, en tan poco espacio, la nulidad, </w:t>
      </w:r>
      <w:r w:rsidR="000B132C" w:rsidRPr="00EB5A74">
        <w:rPr>
          <w:rFonts w:ascii="Gadugi" w:hAnsi="Gadugi"/>
          <w:sz w:val="24"/>
          <w:szCs w:val="24"/>
          <w:lang w:val="es-ES_tradnl"/>
        </w:rPr>
        <w:t xml:space="preserve">la simulación y la inoponibilidad, cada una de las cuales tiene sus propias características, como a espacio lo ha señalado la jurisprudencia. </w:t>
      </w:r>
      <w:r w:rsidR="00ED7D7B" w:rsidRPr="00EB5A74">
        <w:rPr>
          <w:rFonts w:ascii="Gadugi" w:hAnsi="Gadugi"/>
          <w:sz w:val="24"/>
          <w:szCs w:val="24"/>
          <w:lang w:val="es-ES_tradnl"/>
        </w:rPr>
        <w:t xml:space="preserve">La primera responde a la idea de la ausencia de ciertos requisitos en la conformación del negocio que lo pueden invalidar, absoluta o relativamente; la segunda </w:t>
      </w:r>
      <w:r w:rsidR="00A41DC3" w:rsidRPr="00EB5A74">
        <w:rPr>
          <w:rFonts w:ascii="Gadugi" w:hAnsi="Gadugi"/>
          <w:sz w:val="24"/>
          <w:szCs w:val="24"/>
          <w:lang w:val="es-ES_tradnl"/>
        </w:rPr>
        <w:t xml:space="preserve">guarda relación con la ocultación, total o parcial, de lo que los contratantes realmente quisieron convenir; y la tercera, </w:t>
      </w:r>
      <w:r w:rsidR="00ED7D7B" w:rsidRPr="00EB5A74">
        <w:rPr>
          <w:rFonts w:ascii="Gadugi" w:hAnsi="Gadugi"/>
          <w:sz w:val="24"/>
          <w:szCs w:val="24"/>
          <w:lang w:val="es-ES_tradnl"/>
        </w:rPr>
        <w:t>comulga con la extensión de los efectos a quienes fueron parte en el acto o contrato y, excepcionalmente</w:t>
      </w:r>
      <w:r w:rsidR="00A41DC3" w:rsidRPr="00EB5A74">
        <w:rPr>
          <w:rFonts w:ascii="Gadugi" w:hAnsi="Gadugi"/>
          <w:sz w:val="24"/>
          <w:szCs w:val="24"/>
          <w:lang w:val="es-ES_tradnl"/>
        </w:rPr>
        <w:t>,</w:t>
      </w:r>
      <w:r w:rsidR="00ED7D7B" w:rsidRPr="00EB5A74">
        <w:rPr>
          <w:rFonts w:ascii="Gadugi" w:hAnsi="Gadugi"/>
          <w:sz w:val="24"/>
          <w:szCs w:val="24"/>
          <w:lang w:val="es-ES_tradnl"/>
        </w:rPr>
        <w:t xml:space="preserve"> a terceros</w:t>
      </w:r>
      <w:r w:rsidR="00A41DC3" w:rsidRPr="00EB5A74">
        <w:rPr>
          <w:rFonts w:ascii="Gadugi" w:hAnsi="Gadugi"/>
          <w:sz w:val="24"/>
          <w:szCs w:val="24"/>
          <w:lang w:val="es-ES_tradnl"/>
        </w:rPr>
        <w:t>.</w:t>
      </w:r>
      <w:r w:rsidR="00ED7D7B" w:rsidRPr="00EB5A74">
        <w:rPr>
          <w:rFonts w:ascii="Gadugi" w:hAnsi="Gadugi"/>
          <w:sz w:val="24"/>
          <w:szCs w:val="24"/>
          <w:lang w:val="es-ES_tradnl"/>
        </w:rPr>
        <w:t xml:space="preserve"> </w:t>
      </w:r>
    </w:p>
    <w:bookmarkEnd w:id="2"/>
    <w:p w14:paraId="0B820EAC" w14:textId="7257958E" w:rsidR="00ED7D7B" w:rsidRPr="00EB5A74" w:rsidRDefault="00ED7D7B" w:rsidP="00456FE4">
      <w:pPr>
        <w:tabs>
          <w:tab w:val="left" w:pos="1701"/>
          <w:tab w:val="left" w:pos="2268"/>
        </w:tabs>
        <w:spacing w:after="0" w:line="276" w:lineRule="auto"/>
        <w:jc w:val="both"/>
        <w:rPr>
          <w:rFonts w:ascii="Gadugi" w:hAnsi="Gadugi"/>
          <w:sz w:val="24"/>
          <w:szCs w:val="24"/>
          <w:lang w:val="es-ES_tradnl"/>
        </w:rPr>
      </w:pPr>
    </w:p>
    <w:p w14:paraId="242E1A22" w14:textId="1C6B8950" w:rsidR="00ED7D7B" w:rsidRPr="00EB5A74" w:rsidRDefault="00ED7D7B" w:rsidP="00456FE4">
      <w:pPr>
        <w:tabs>
          <w:tab w:val="left" w:pos="1701"/>
          <w:tab w:val="left" w:pos="2268"/>
        </w:tabs>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 xml:space="preserve">Para no ir muy lejos, </w:t>
      </w:r>
      <w:bookmarkStart w:id="3" w:name="_Hlk92778414"/>
      <w:r w:rsidRPr="00EB5A74">
        <w:rPr>
          <w:rFonts w:ascii="Gadugi" w:hAnsi="Gadugi"/>
          <w:sz w:val="24"/>
          <w:szCs w:val="24"/>
          <w:lang w:val="es-ES_tradnl"/>
        </w:rPr>
        <w:t>dijo nuestro órgano de cierre en reciente providencia</w:t>
      </w:r>
      <w:r w:rsidR="00BD14A5" w:rsidRPr="00EB5A74">
        <w:rPr>
          <w:rFonts w:ascii="Gadugi" w:hAnsi="Gadugi"/>
          <w:sz w:val="24"/>
          <w:szCs w:val="24"/>
          <w:lang w:val="es-ES_tradnl"/>
        </w:rPr>
        <w:t>, del 25-08-2021</w:t>
      </w:r>
      <w:r w:rsidRPr="00EB5A74">
        <w:rPr>
          <w:rStyle w:val="Ttulo5Car"/>
          <w:rFonts w:ascii="Gadugi" w:eastAsiaTheme="minorHAnsi" w:hAnsi="Gadugi"/>
          <w:b w:val="0"/>
          <w:bCs w:val="0"/>
          <w:sz w:val="24"/>
          <w:szCs w:val="24"/>
          <w:vertAlign w:val="superscript"/>
          <w:lang w:val="es-ES_tradnl"/>
        </w:rPr>
        <w:footnoteReference w:id="29"/>
      </w:r>
      <w:r w:rsidR="00BD14A5" w:rsidRPr="00EB5A74">
        <w:rPr>
          <w:rFonts w:ascii="Gadugi" w:hAnsi="Gadugi"/>
          <w:sz w:val="24"/>
          <w:szCs w:val="24"/>
          <w:lang w:val="es-ES_tradnl"/>
        </w:rPr>
        <w:t>,</w:t>
      </w:r>
      <w:r w:rsidRPr="00EB5A74">
        <w:rPr>
          <w:rFonts w:ascii="Gadugi" w:hAnsi="Gadugi"/>
          <w:sz w:val="24"/>
          <w:szCs w:val="24"/>
          <w:lang w:val="es-ES_tradnl"/>
        </w:rPr>
        <w:t xml:space="preserve"> que: </w:t>
      </w:r>
    </w:p>
    <w:bookmarkEnd w:id="3"/>
    <w:p w14:paraId="70656EEE" w14:textId="77777777" w:rsidR="00ED7D7B" w:rsidRPr="00EB5A74" w:rsidRDefault="00ED7D7B" w:rsidP="00456FE4">
      <w:pPr>
        <w:tabs>
          <w:tab w:val="left" w:pos="1701"/>
          <w:tab w:val="left" w:pos="2268"/>
        </w:tabs>
        <w:spacing w:after="0" w:line="276" w:lineRule="auto"/>
        <w:jc w:val="both"/>
        <w:rPr>
          <w:rFonts w:ascii="Gadugi" w:hAnsi="Gadugi"/>
          <w:sz w:val="24"/>
          <w:szCs w:val="24"/>
          <w:lang w:val="es-ES_tradnl"/>
        </w:rPr>
      </w:pPr>
    </w:p>
    <w:p w14:paraId="4504D721" w14:textId="60C0FBF9" w:rsidR="000B132C" w:rsidRPr="00EB5A74" w:rsidRDefault="000B132C" w:rsidP="00747DC4">
      <w:pPr>
        <w:spacing w:after="0" w:line="240" w:lineRule="auto"/>
        <w:ind w:left="426" w:right="420" w:firstLine="1134"/>
        <w:jc w:val="both"/>
        <w:rPr>
          <w:rFonts w:ascii="Gadugi" w:hAnsi="Gadugi"/>
          <w:lang w:val="es-ES_tradnl"/>
        </w:rPr>
      </w:pPr>
      <w:r w:rsidRPr="00EB5A74">
        <w:rPr>
          <w:rFonts w:ascii="Gadugi" w:hAnsi="Gadugi"/>
          <w:lang w:val="es-ES_tradnl"/>
        </w:rPr>
        <w:lastRenderedPageBreak/>
        <w:t>La ineficacia del negocio jurídico comprende las diferentes variables que afectan las repercusiones esperadas de los acuerdos privados, y en términos generales, se compendian en las figuras de inexistencia, nulidad e inoponibilidad, últimas que resultan relevantes en este asunto.</w:t>
      </w:r>
    </w:p>
    <w:p w14:paraId="668F607D" w14:textId="77777777" w:rsidR="00E74011" w:rsidRPr="00EB5A74" w:rsidRDefault="00E74011" w:rsidP="00747DC4">
      <w:pPr>
        <w:spacing w:after="0" w:line="240" w:lineRule="auto"/>
        <w:ind w:left="426" w:right="420" w:firstLine="1134"/>
        <w:jc w:val="both"/>
        <w:rPr>
          <w:rFonts w:ascii="Gadugi" w:hAnsi="Gadugi"/>
          <w:lang w:val="es-ES_tradnl"/>
        </w:rPr>
      </w:pPr>
    </w:p>
    <w:p w14:paraId="43556D48" w14:textId="77777777" w:rsidR="000B132C" w:rsidRPr="00EB5A74" w:rsidRDefault="000B132C" w:rsidP="00747DC4">
      <w:pPr>
        <w:spacing w:after="0" w:line="240" w:lineRule="auto"/>
        <w:ind w:left="426" w:right="420" w:firstLine="1134"/>
        <w:jc w:val="both"/>
        <w:rPr>
          <w:rFonts w:ascii="Gadugi" w:hAnsi="Gadugi"/>
          <w:lang w:val="es-ES_tradnl" w:eastAsia="es-ES"/>
        </w:rPr>
      </w:pPr>
      <w:r w:rsidRPr="00EB5A74">
        <w:rPr>
          <w:rFonts w:ascii="Gadugi" w:hAnsi="Gadugi"/>
          <w:lang w:val="es-ES_tradnl" w:eastAsia="es-ES"/>
        </w:rPr>
        <w:t>De conformidad con las normas del Código Civil que prevén la sanción de nulidad absoluta, «</w:t>
      </w:r>
      <w:r w:rsidRPr="00EB5A74">
        <w:rPr>
          <w:rFonts w:ascii="Gadugi" w:hAnsi="Gadugi"/>
          <w:i/>
          <w:lang w:val="es-ES_tradnl" w:eastAsia="es-ES"/>
        </w:rPr>
        <w:t>es nulo todo acto o contrato a que falta alguno de los requisitos que la ley prescribe para el valor del mismo acto o contrato según su especie y la calidad o estado de las partes</w:t>
      </w:r>
      <w:r w:rsidRPr="00EB5A74">
        <w:rPr>
          <w:rFonts w:ascii="Gadugi" w:hAnsi="Gadugi"/>
          <w:lang w:val="es-ES_tradnl" w:eastAsia="es-ES"/>
        </w:rPr>
        <w:t>», nulidad que puede ser absoluta o relativa (art. 1740). Tratándose de la absoluta, puede y debe ser declarada por el Juez aún sin que medie petición de parte cuando aparezca de manifiesto en el acto o contrato y puede alegarla todo el que tenga algún interés en ello (art. 1742); es producida por un objeto o causa ilícita, por la omisión de algún requisito o formalidad que las leyes prescriben para el valor de ciertos actos o contratos en consideración a la naturaleza de ellos, y no a la calidad o estado de las personas que los ejecutan o acuerdan, o en los actos y contratos de personas absolutamente incapaces (art. 1741) y puede sanearse por la ratificación de las partes cuando no es generada por objeto o causa ilícitos, y en todo caso por prescripción extraordinaria (art. 1742).</w:t>
      </w:r>
    </w:p>
    <w:p w14:paraId="3F4E2B8A" w14:textId="77777777" w:rsidR="000B132C" w:rsidRPr="00EB5A74" w:rsidRDefault="000B132C" w:rsidP="00747DC4">
      <w:pPr>
        <w:spacing w:after="0" w:line="240" w:lineRule="auto"/>
        <w:ind w:left="426" w:right="420" w:firstLine="1134"/>
        <w:jc w:val="both"/>
        <w:rPr>
          <w:rFonts w:ascii="Gadugi" w:hAnsi="Gadugi"/>
          <w:lang w:val="es-ES_tradnl"/>
        </w:rPr>
      </w:pPr>
    </w:p>
    <w:p w14:paraId="34E91271" w14:textId="77777777" w:rsidR="000B132C" w:rsidRPr="00EB5A74" w:rsidRDefault="000B132C" w:rsidP="00747DC4">
      <w:pPr>
        <w:spacing w:after="0" w:line="240" w:lineRule="auto"/>
        <w:ind w:left="426" w:right="420" w:firstLine="1134"/>
        <w:jc w:val="both"/>
        <w:rPr>
          <w:rFonts w:ascii="Gadugi" w:hAnsi="Gadugi"/>
          <w:lang w:val="es-ES_tradnl"/>
        </w:rPr>
      </w:pPr>
      <w:r w:rsidRPr="00EB5A74">
        <w:rPr>
          <w:rFonts w:ascii="Gadugi" w:hAnsi="Gadugi" w:cs="Arial"/>
          <w:lang w:val="es-ES_tradnl"/>
        </w:rPr>
        <w:t xml:space="preserve">La </w:t>
      </w:r>
      <w:proofErr w:type="spellStart"/>
      <w:r w:rsidRPr="00EB5A74">
        <w:rPr>
          <w:rFonts w:ascii="Gadugi" w:hAnsi="Gadugi"/>
          <w:lang w:val="es-ES_tradnl"/>
        </w:rPr>
        <w:t>inoponiblidad</w:t>
      </w:r>
      <w:proofErr w:type="spellEnd"/>
      <w:r w:rsidRPr="00EB5A74">
        <w:rPr>
          <w:rFonts w:ascii="Gadugi" w:hAnsi="Gadugi"/>
          <w:lang w:val="es-ES_tradnl"/>
        </w:rPr>
        <w:t xml:space="preserve">, guarda relación con que los efectos jurídicos de los actos o negocios solo se surten entre los intervinientes, pero no frente a terceros. Respecto a esta figura, en CSJ SC9184-2017 reiterada en SC3201-2018 y SC3251-2020, se expuso que, </w:t>
      </w:r>
    </w:p>
    <w:p w14:paraId="6C755390" w14:textId="77777777" w:rsidR="000B132C" w:rsidRPr="00EB5A74" w:rsidRDefault="000B132C" w:rsidP="00747DC4">
      <w:pPr>
        <w:spacing w:after="0" w:line="240" w:lineRule="auto"/>
        <w:ind w:left="426" w:right="420" w:firstLine="1134"/>
        <w:jc w:val="both"/>
        <w:rPr>
          <w:rFonts w:ascii="Gadugi" w:hAnsi="Gadugi"/>
          <w:lang w:val="es-ES_tradnl"/>
        </w:rPr>
      </w:pPr>
    </w:p>
    <w:p w14:paraId="6C13A555" w14:textId="77777777" w:rsidR="000B132C" w:rsidRPr="00EB5A74" w:rsidRDefault="000B132C" w:rsidP="00747DC4">
      <w:pPr>
        <w:spacing w:after="0" w:line="240" w:lineRule="auto"/>
        <w:ind w:left="426" w:right="420" w:firstLine="1134"/>
        <w:jc w:val="both"/>
        <w:rPr>
          <w:rFonts w:ascii="Gadugi" w:hAnsi="Gadugi"/>
          <w:lang w:val="es-ES_tradnl"/>
        </w:rPr>
      </w:pPr>
      <w:r w:rsidRPr="00EB5A74">
        <w:rPr>
          <w:rFonts w:ascii="Gadugi" w:hAnsi="Gadugi"/>
          <w:lang w:val="es-ES_tradnl"/>
        </w:rPr>
        <w:t>(…) es la ineptitud frente a terceros de buena fe, de un negocio jurídico válido entre las partes, o de su declaración de invalidez.</w:t>
      </w:r>
    </w:p>
    <w:p w14:paraId="48BAAEFB" w14:textId="77777777" w:rsidR="000B132C" w:rsidRPr="00EB5A74" w:rsidRDefault="000B132C" w:rsidP="00747DC4">
      <w:pPr>
        <w:spacing w:after="0" w:line="240" w:lineRule="auto"/>
        <w:ind w:left="426" w:right="420" w:firstLine="1134"/>
        <w:jc w:val="both"/>
        <w:rPr>
          <w:rFonts w:ascii="Gadugi" w:hAnsi="Gadugi"/>
          <w:lang w:val="es-ES_tradnl"/>
        </w:rPr>
      </w:pPr>
    </w:p>
    <w:p w14:paraId="3CD7ABD3" w14:textId="77777777" w:rsidR="000B132C" w:rsidRPr="00EB5A74" w:rsidRDefault="000B132C" w:rsidP="00747DC4">
      <w:pPr>
        <w:spacing w:after="0" w:line="240" w:lineRule="auto"/>
        <w:ind w:left="426" w:right="420" w:firstLine="1134"/>
        <w:jc w:val="both"/>
        <w:rPr>
          <w:rFonts w:ascii="Gadugi" w:hAnsi="Gadugi"/>
          <w:lang w:val="es-ES_tradnl"/>
        </w:rPr>
      </w:pPr>
      <w:r w:rsidRPr="00EB5A74">
        <w:rPr>
          <w:rFonts w:ascii="Gadugi" w:hAnsi="Gadugi"/>
          <w:lang w:val="es-ES_tradnl"/>
        </w:rPr>
        <w:t>Es decir que la inoponibilidad es una garantía que tienen los terceros adquirentes de buena fe para que un negocio del que no hicieron parte no los afecte cuando no se cumplió el requisito de publicidad; de suerte que ni su celebración ni su eventual nulidad pueden perjudicarlos, por lo que la declaración judicial que se haga respecto de la validez de aquel acto no tiene la aptitud de afectar su propio derecho legítimamente conseguido. La inoponibilidad valora la confianza razonable de los terceros de buena fe en aquellos negocios que se presentan objetivamente como válidamente celebrados.</w:t>
      </w:r>
    </w:p>
    <w:p w14:paraId="38E792EC" w14:textId="77777777" w:rsidR="000B132C" w:rsidRPr="00EB5A74" w:rsidRDefault="000B132C" w:rsidP="00456FE4">
      <w:pPr>
        <w:spacing w:after="0" w:line="276" w:lineRule="auto"/>
        <w:ind w:left="567" w:right="618"/>
        <w:jc w:val="both"/>
        <w:rPr>
          <w:rFonts w:ascii="Gadugi" w:hAnsi="Gadugi"/>
          <w:sz w:val="24"/>
          <w:szCs w:val="24"/>
          <w:lang w:val="es-ES_tradnl"/>
        </w:rPr>
      </w:pPr>
    </w:p>
    <w:p w14:paraId="1E513D08" w14:textId="3CFF6EC4" w:rsidR="004501C1" w:rsidRPr="00EB5A74" w:rsidRDefault="000B1FC3" w:rsidP="00456FE4">
      <w:pPr>
        <w:tabs>
          <w:tab w:val="left" w:pos="1701"/>
          <w:tab w:val="left" w:pos="2268"/>
        </w:tabs>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 xml:space="preserve">La inoponibilidad, </w:t>
      </w:r>
      <w:r w:rsidR="004501C1" w:rsidRPr="00EB5A74">
        <w:rPr>
          <w:rFonts w:ascii="Gadugi" w:hAnsi="Gadugi"/>
          <w:sz w:val="24"/>
          <w:szCs w:val="24"/>
          <w:lang w:val="es-ES_tradnl"/>
        </w:rPr>
        <w:t>como ha dicho también la alta Colegiatura, carece de un específico desarrollo legal en Colombia, no obstante lo cual</w:t>
      </w:r>
      <w:r w:rsidR="007B7D39" w:rsidRPr="00EB5A74">
        <w:rPr>
          <w:rFonts w:ascii="Gadugi" w:hAnsi="Gadugi"/>
          <w:sz w:val="24"/>
          <w:szCs w:val="24"/>
          <w:lang w:val="es-ES_tradnl"/>
        </w:rPr>
        <w:t>,</w:t>
      </w:r>
      <w:r w:rsidR="004501C1" w:rsidRPr="00EB5A74">
        <w:rPr>
          <w:rFonts w:ascii="Gadugi" w:hAnsi="Gadugi"/>
          <w:sz w:val="24"/>
          <w:szCs w:val="24"/>
          <w:lang w:val="es-ES_tradnl"/>
        </w:rPr>
        <w:t xml:space="preserve"> es admitido decir que sí se contempla en diferentes normas. Así lo explicó y recordó hace poco</w:t>
      </w:r>
      <w:r w:rsidR="004501C1" w:rsidRPr="00EB5A74">
        <w:rPr>
          <w:rStyle w:val="Ttulo5Car"/>
          <w:rFonts w:ascii="Gadugi" w:eastAsiaTheme="minorHAnsi" w:hAnsi="Gadugi"/>
          <w:b w:val="0"/>
          <w:bCs w:val="0"/>
          <w:sz w:val="24"/>
          <w:szCs w:val="24"/>
          <w:vertAlign w:val="superscript"/>
          <w:lang w:val="es-ES_tradnl"/>
        </w:rPr>
        <w:footnoteReference w:id="30"/>
      </w:r>
      <w:r w:rsidR="006258E1" w:rsidRPr="00EB5A74">
        <w:rPr>
          <w:rFonts w:ascii="Gadugi" w:hAnsi="Gadugi"/>
          <w:sz w:val="24"/>
          <w:szCs w:val="24"/>
          <w:lang w:val="es-ES_tradnl"/>
        </w:rPr>
        <w:t>:</w:t>
      </w:r>
    </w:p>
    <w:p w14:paraId="4DA4972B" w14:textId="77777777" w:rsidR="004501C1" w:rsidRPr="00EB5A74" w:rsidRDefault="004501C1" w:rsidP="00456FE4">
      <w:pPr>
        <w:tabs>
          <w:tab w:val="left" w:pos="1701"/>
          <w:tab w:val="left" w:pos="2268"/>
        </w:tabs>
        <w:spacing w:after="0" w:line="276" w:lineRule="auto"/>
        <w:jc w:val="both"/>
        <w:rPr>
          <w:rFonts w:ascii="Gadugi" w:hAnsi="Gadugi"/>
          <w:sz w:val="24"/>
          <w:szCs w:val="24"/>
          <w:lang w:val="es-ES_tradnl"/>
        </w:rPr>
      </w:pPr>
    </w:p>
    <w:p w14:paraId="3D879384" w14:textId="77777777" w:rsidR="004501C1" w:rsidRPr="00EB5A74" w:rsidRDefault="004501C1" w:rsidP="003D526C">
      <w:pPr>
        <w:spacing w:after="0" w:line="240" w:lineRule="auto"/>
        <w:ind w:left="426" w:right="420" w:firstLine="1134"/>
        <w:jc w:val="both"/>
        <w:rPr>
          <w:rFonts w:ascii="Gadugi" w:hAnsi="Gadugi"/>
          <w:b/>
          <w:spacing w:val="-3"/>
          <w:lang w:val="es-ES_tradnl"/>
        </w:rPr>
      </w:pPr>
      <w:r w:rsidRPr="00EB5A74">
        <w:rPr>
          <w:rFonts w:ascii="Gadugi" w:hAnsi="Gadugi"/>
          <w:spacing w:val="-3"/>
          <w:lang w:val="es-ES_tradnl"/>
        </w:rPr>
        <w:t xml:space="preserve">9. En punto al tema de la figura jurídica de la inoponibilidad que es la invocada por el promotor y estudiada por el Tribunal, la Sala ha tenido oportunidad de tratarla en múltiples sentencias. Ha reconocido expresamente que </w:t>
      </w:r>
    </w:p>
    <w:p w14:paraId="1532FF6E" w14:textId="77777777" w:rsidR="004501C1" w:rsidRPr="00EB5A74" w:rsidRDefault="004501C1" w:rsidP="003D526C">
      <w:pPr>
        <w:spacing w:after="0" w:line="240" w:lineRule="auto"/>
        <w:ind w:left="426" w:right="420" w:firstLine="1134"/>
        <w:jc w:val="both"/>
        <w:rPr>
          <w:rFonts w:ascii="Gadugi" w:hAnsi="Gadugi"/>
          <w:b/>
          <w:spacing w:val="-3"/>
          <w:lang w:val="es-ES_tradnl"/>
        </w:rPr>
      </w:pPr>
    </w:p>
    <w:p w14:paraId="607DD595" w14:textId="77777777" w:rsidR="004501C1" w:rsidRPr="00EB5A74" w:rsidRDefault="004501C1" w:rsidP="003D526C">
      <w:pPr>
        <w:spacing w:after="0" w:line="240" w:lineRule="auto"/>
        <w:ind w:left="426" w:right="420" w:firstLine="1134"/>
        <w:jc w:val="both"/>
        <w:rPr>
          <w:rFonts w:ascii="Gadugi" w:hAnsi="Gadugi" w:cs="Arial"/>
          <w:b/>
          <w:lang w:val="es-ES_tradnl"/>
        </w:rPr>
      </w:pPr>
      <w:r w:rsidRPr="00EB5A74">
        <w:rPr>
          <w:rFonts w:ascii="Gadugi" w:hAnsi="Gadugi" w:cs="Arial"/>
          <w:i/>
          <w:lang w:val="es-ES_tradnl"/>
        </w:rPr>
        <w:t>“</w:t>
      </w:r>
      <w:bookmarkStart w:id="4" w:name="_Hlk92778494"/>
      <w:r w:rsidRPr="00EB5A74">
        <w:rPr>
          <w:rFonts w:ascii="Gadugi" w:hAnsi="Gadugi" w:cs="Arial"/>
          <w:i/>
          <w:lang w:val="es-ES_tradnl"/>
        </w:rPr>
        <w:t xml:space="preserve">(…) la inoponibilidad no se encuentra debidamente sistematizada en el derecho positivo patrio, como sí lo está, por ejemplo, la nulidad de los negocios jurídicos, respecto de la cual el Código Civil en particular dedica toda una estructura normativa a regularla en su doble faceta, no lo es menos que ninguna duda existe acerca de su consagración legal, pues, así sea de manera diseminada, existen en el </w:t>
      </w:r>
      <w:r w:rsidRPr="00EB5A74">
        <w:rPr>
          <w:rFonts w:ascii="Gadugi" w:hAnsi="Gadugi" w:cs="Arial"/>
          <w:i/>
          <w:lang w:val="es-ES_tradnl"/>
        </w:rPr>
        <w:lastRenderedPageBreak/>
        <w:t xml:space="preserve">concierto jurídico colombiano diversas disposiciones a través de las cuales emerge su regulación legal, como lo son, </w:t>
      </w:r>
      <w:r w:rsidRPr="00EB5A74">
        <w:rPr>
          <w:rFonts w:ascii="Gadugi" w:hAnsi="Gadugi" w:cs="Arial"/>
          <w:i/>
          <w:iCs/>
          <w:lang w:val="es-ES_tradnl"/>
        </w:rPr>
        <w:t>verbi gratia</w:t>
      </w:r>
      <w:r w:rsidRPr="00EB5A74">
        <w:rPr>
          <w:rFonts w:ascii="Gadugi" w:hAnsi="Gadugi" w:cs="Arial"/>
          <w:i/>
          <w:lang w:val="es-ES_tradnl"/>
        </w:rPr>
        <w:t>, los artículos 640, 1505, 1871, 2105 del Código Civil y 833 del Código de Comercio, entre otros</w:t>
      </w:r>
      <w:r w:rsidRPr="00EB5A74">
        <w:rPr>
          <w:rFonts w:ascii="Gadugi" w:hAnsi="Gadugi" w:cs="Arial"/>
          <w:lang w:val="es-ES_tradnl"/>
        </w:rPr>
        <w:t xml:space="preserve">, </w:t>
      </w:r>
      <w:r w:rsidRPr="00EB5A74">
        <w:rPr>
          <w:rFonts w:ascii="Gadugi" w:hAnsi="Gadugi" w:cs="Arial"/>
          <w:i/>
          <w:lang w:val="es-ES_tradnl"/>
        </w:rPr>
        <w:t>en los cuales se prevén algunos de los eventos en que el acto o contrato deviene inoponible haciendo que el mismo se torne ineficaz frente a quien en un momento dado ostentare la condición de tercero</w:t>
      </w:r>
      <w:bookmarkEnd w:id="4"/>
      <w:r w:rsidRPr="00EB5A74">
        <w:rPr>
          <w:rFonts w:ascii="Gadugi" w:hAnsi="Gadugi" w:cs="Arial"/>
          <w:i/>
          <w:lang w:val="es-ES_tradnl"/>
        </w:rPr>
        <w:t>. Alrededor de esta específica y puntual temática ha de reiterarse que sin desconocer que “el legislador, normalmente, como ocurre en nuestro Código, no establece una teoría general de la inoponibilidad”, cual efectivamente “lo hace con la nulidad”, lo cierto es que dicha institución sí “está establecida en numerosos preceptos, y su existencia está reconocida por todos los autores y la jurisprudencia”</w:t>
      </w:r>
      <w:r w:rsidRPr="00EB5A74">
        <w:rPr>
          <w:rStyle w:val="Ttulo5Car"/>
          <w:rFonts w:ascii="Gadugi" w:eastAsiaTheme="minorHAnsi" w:hAnsi="Gadugi" w:cs="Arial"/>
          <w:b w:val="0"/>
          <w:i/>
          <w:sz w:val="22"/>
          <w:szCs w:val="22"/>
          <w:lang w:val="es-ES_tradnl"/>
        </w:rPr>
        <w:footnoteReference w:id="31"/>
      </w:r>
      <w:r w:rsidRPr="00EB5A74">
        <w:rPr>
          <w:rFonts w:ascii="Gadugi" w:hAnsi="Gadugi" w:cs="Arial"/>
          <w:i/>
          <w:lang w:val="es-ES_tradnl"/>
        </w:rPr>
        <w:t xml:space="preserve"> </w:t>
      </w:r>
      <w:r w:rsidRPr="00EB5A74">
        <w:rPr>
          <w:rFonts w:ascii="Gadugi" w:hAnsi="Gadugi" w:cs="Arial"/>
          <w:lang w:val="es-ES_tradnl"/>
        </w:rPr>
        <w:t xml:space="preserve">(CSJ. </w:t>
      </w:r>
      <w:proofErr w:type="spellStart"/>
      <w:r w:rsidRPr="00EB5A74">
        <w:rPr>
          <w:rFonts w:ascii="Gadugi" w:hAnsi="Gadugi" w:cs="Arial"/>
          <w:lang w:val="es-ES_tradnl"/>
        </w:rPr>
        <w:t>Sent</w:t>
      </w:r>
      <w:proofErr w:type="spellEnd"/>
      <w:r w:rsidRPr="00EB5A74">
        <w:rPr>
          <w:rFonts w:ascii="Gadugi" w:hAnsi="Gadugi" w:cs="Arial"/>
          <w:lang w:val="es-ES_tradnl"/>
        </w:rPr>
        <w:t xml:space="preserve">, 15 de agosto de 2016, </w:t>
      </w:r>
      <w:proofErr w:type="spellStart"/>
      <w:r w:rsidRPr="00EB5A74">
        <w:rPr>
          <w:rFonts w:ascii="Gadugi" w:hAnsi="Gadugi" w:cs="Arial"/>
          <w:lang w:val="es-ES_tradnl"/>
        </w:rPr>
        <w:t>exp</w:t>
      </w:r>
      <w:proofErr w:type="spellEnd"/>
      <w:r w:rsidRPr="00EB5A74">
        <w:rPr>
          <w:rFonts w:ascii="Gadugi" w:hAnsi="Gadugi" w:cs="Arial"/>
          <w:lang w:val="es-ES_tradnl"/>
        </w:rPr>
        <w:t>. 08001-31-10-003-1995-9375-01; en igual sentido, sentencia de 26 de agosto de 1947, GJ. LXII, pág. 676).</w:t>
      </w:r>
    </w:p>
    <w:p w14:paraId="56779EED" w14:textId="77777777" w:rsidR="004501C1" w:rsidRPr="00EB5A74" w:rsidRDefault="004501C1" w:rsidP="003D526C">
      <w:pPr>
        <w:spacing w:after="0" w:line="240" w:lineRule="auto"/>
        <w:ind w:left="426" w:right="420" w:firstLine="1134"/>
        <w:jc w:val="both"/>
        <w:rPr>
          <w:rFonts w:ascii="Gadugi" w:hAnsi="Gadugi" w:cs="Arial"/>
          <w:b/>
          <w:lang w:val="es-ES_tradnl"/>
        </w:rPr>
      </w:pPr>
    </w:p>
    <w:p w14:paraId="4618D638" w14:textId="77777777" w:rsidR="004501C1" w:rsidRPr="00EB5A74" w:rsidRDefault="004501C1" w:rsidP="003D526C">
      <w:pPr>
        <w:widowControl w:val="0"/>
        <w:spacing w:after="0" w:line="240" w:lineRule="auto"/>
        <w:ind w:left="426" w:right="420" w:firstLine="1134"/>
        <w:jc w:val="both"/>
        <w:rPr>
          <w:rFonts w:ascii="Gadugi" w:hAnsi="Gadugi" w:cs="Arial"/>
          <w:lang w:val="es-ES_tradnl"/>
        </w:rPr>
      </w:pPr>
      <w:r w:rsidRPr="00EB5A74">
        <w:rPr>
          <w:rFonts w:ascii="Gadugi" w:hAnsi="Gadugi" w:cs="Arial"/>
          <w:lang w:val="es-ES_tradnl"/>
        </w:rPr>
        <w:t xml:space="preserve">Como se sabe, la inoponibilidad, antes que destruir el acto jurídico, paraliza sus efectos frente a uno o varios sujetos. A guisa de ejemplo, piénsese en un tercero, respecto del cual un determinado acto jurídico no podría producir efectos jurídicos. Empero, para su(s) autor(es) es eficaz y mantiene sus efectos jurídicos vinculantes. </w:t>
      </w:r>
    </w:p>
    <w:p w14:paraId="41DF004E" w14:textId="77777777" w:rsidR="004501C1" w:rsidRPr="00EB5A74" w:rsidRDefault="004501C1" w:rsidP="003D526C">
      <w:pPr>
        <w:widowControl w:val="0"/>
        <w:spacing w:after="0" w:line="240" w:lineRule="auto"/>
        <w:ind w:left="426" w:right="420" w:firstLine="709"/>
        <w:jc w:val="both"/>
        <w:rPr>
          <w:rFonts w:ascii="Gadugi" w:hAnsi="Gadugi" w:cs="Arial"/>
          <w:lang w:val="es-ES_tradnl"/>
        </w:rPr>
      </w:pPr>
    </w:p>
    <w:p w14:paraId="231B81A3" w14:textId="77777777" w:rsidR="004501C1" w:rsidRPr="00EB5A74" w:rsidRDefault="004501C1" w:rsidP="003D526C">
      <w:pPr>
        <w:widowControl w:val="0"/>
        <w:spacing w:after="0" w:line="240" w:lineRule="auto"/>
        <w:ind w:left="426" w:right="420" w:firstLine="1134"/>
        <w:jc w:val="both"/>
        <w:rPr>
          <w:rFonts w:ascii="Gadugi" w:hAnsi="Gadugi" w:cs="Arial"/>
          <w:bCs/>
          <w:lang w:val="es-ES_tradnl"/>
        </w:rPr>
      </w:pPr>
      <w:r w:rsidRPr="00EB5A74">
        <w:rPr>
          <w:rFonts w:ascii="Gadugi" w:hAnsi="Gadugi" w:cs="Arial"/>
          <w:lang w:val="es-ES_tradnl"/>
        </w:rPr>
        <w:t>He aquí un rasgo protuberante que diferencia a la inoponibilidad de la nulidad: está última, ya absoluta, ya relativa, destruye -en principio, retroactivamente- el acto o negocio jurídico</w:t>
      </w:r>
      <w:r w:rsidRPr="00EB5A74">
        <w:rPr>
          <w:rFonts w:ascii="Gadugi" w:hAnsi="Gadugi" w:cs="Arial"/>
          <w:b/>
          <w:lang w:val="es-ES_tradnl"/>
        </w:rPr>
        <w:t xml:space="preserve">. </w:t>
      </w:r>
      <w:r w:rsidRPr="00EB5A74">
        <w:rPr>
          <w:rFonts w:ascii="Gadugi" w:hAnsi="Gadugi" w:cs="Arial"/>
          <w:bCs/>
          <w:lang w:val="es-ES_tradnl"/>
        </w:rPr>
        <w:t>Además, los motivos de la nulidad absoluta son taxativos, por tanto, fuera de los expresamente previstos en la ley, «</w:t>
      </w:r>
      <w:r w:rsidRPr="00EB5A74">
        <w:rPr>
          <w:rFonts w:ascii="Gadugi" w:hAnsi="Gadugi" w:cs="Arial"/>
          <w:bCs/>
          <w:i/>
          <w:lang w:val="es-ES_tradnl"/>
        </w:rPr>
        <w:t xml:space="preserve">ninguna anomalía contractual tiene la virtud de provocar tal sanción del negocio jurídico sino un efecto diferente, como podría ser la nulidad relativa o su inoponibilidad» </w:t>
      </w:r>
      <w:r w:rsidRPr="00EB5A74">
        <w:rPr>
          <w:rFonts w:ascii="Gadugi" w:hAnsi="Gadugi" w:cs="Arial"/>
          <w:bCs/>
          <w:lang w:val="es-ES_tradnl"/>
        </w:rPr>
        <w:t xml:space="preserve">(CSJ. </w:t>
      </w:r>
      <w:proofErr w:type="spellStart"/>
      <w:r w:rsidRPr="00EB5A74">
        <w:rPr>
          <w:rFonts w:ascii="Gadugi" w:hAnsi="Gadugi" w:cs="Arial"/>
          <w:bCs/>
          <w:lang w:val="es-ES_tradnl"/>
        </w:rPr>
        <w:t>Sent</w:t>
      </w:r>
      <w:proofErr w:type="spellEnd"/>
      <w:r w:rsidRPr="00EB5A74">
        <w:rPr>
          <w:rFonts w:ascii="Gadugi" w:hAnsi="Gadugi" w:cs="Arial"/>
          <w:bCs/>
          <w:lang w:val="es-ES_tradnl"/>
        </w:rPr>
        <w:t xml:space="preserve">, 15 de agosto de 2016, </w:t>
      </w:r>
      <w:proofErr w:type="spellStart"/>
      <w:r w:rsidRPr="00EB5A74">
        <w:rPr>
          <w:rFonts w:ascii="Gadugi" w:hAnsi="Gadugi" w:cs="Arial"/>
          <w:bCs/>
          <w:lang w:val="es-ES_tradnl"/>
        </w:rPr>
        <w:t>exp</w:t>
      </w:r>
      <w:proofErr w:type="spellEnd"/>
      <w:r w:rsidRPr="00EB5A74">
        <w:rPr>
          <w:rFonts w:ascii="Gadugi" w:hAnsi="Gadugi" w:cs="Arial"/>
          <w:bCs/>
          <w:lang w:val="es-ES_tradnl"/>
        </w:rPr>
        <w:t xml:space="preserve">. 1995-9375-01). </w:t>
      </w:r>
    </w:p>
    <w:p w14:paraId="63D0AB28" w14:textId="77777777" w:rsidR="007B7D39" w:rsidRPr="00EB5A74" w:rsidRDefault="007B7D39" w:rsidP="00456FE4">
      <w:pPr>
        <w:tabs>
          <w:tab w:val="left" w:pos="1701"/>
          <w:tab w:val="left" w:pos="2268"/>
        </w:tabs>
        <w:spacing w:after="0" w:line="276" w:lineRule="auto"/>
        <w:jc w:val="both"/>
        <w:rPr>
          <w:rFonts w:ascii="Gadugi" w:hAnsi="Gadugi"/>
          <w:sz w:val="24"/>
          <w:szCs w:val="24"/>
          <w:lang w:val="es-ES_tradnl"/>
        </w:rPr>
      </w:pPr>
    </w:p>
    <w:p w14:paraId="20FF61A4" w14:textId="796DB1F6" w:rsidR="00EC4F92" w:rsidRPr="00EB5A74" w:rsidRDefault="006258E1" w:rsidP="00456FE4">
      <w:pPr>
        <w:spacing w:after="0" w:line="276" w:lineRule="auto"/>
        <w:ind w:firstLine="1701"/>
        <w:jc w:val="both"/>
        <w:rPr>
          <w:rFonts w:ascii="Gadugi" w:hAnsi="Gadugi"/>
          <w:sz w:val="24"/>
          <w:szCs w:val="24"/>
          <w:lang w:val="es-ES_tradnl"/>
        </w:rPr>
      </w:pPr>
      <w:bookmarkStart w:id="5" w:name="_Hlk92778579"/>
      <w:r w:rsidRPr="00EB5A74">
        <w:rPr>
          <w:rFonts w:ascii="Gadugi" w:hAnsi="Gadugi"/>
          <w:sz w:val="24"/>
          <w:szCs w:val="24"/>
          <w:lang w:val="es-ES_tradnl"/>
        </w:rPr>
        <w:t xml:space="preserve"> En la sentencia </w:t>
      </w:r>
      <w:r w:rsidR="004B6D9C" w:rsidRPr="00EB5A74">
        <w:rPr>
          <w:rFonts w:ascii="Gadugi" w:hAnsi="Gadugi"/>
          <w:sz w:val="24"/>
          <w:szCs w:val="24"/>
          <w:lang w:val="es-ES_tradnl"/>
        </w:rPr>
        <w:t>de primer grado</w:t>
      </w:r>
      <w:r w:rsidRPr="00EB5A74">
        <w:rPr>
          <w:rFonts w:ascii="Gadugi" w:hAnsi="Gadugi"/>
          <w:sz w:val="24"/>
          <w:szCs w:val="24"/>
          <w:lang w:val="es-ES_tradnl"/>
        </w:rPr>
        <w:t xml:space="preserve">, concluyó el juzgado que el tema era de inoponibilidad, por cuanto se trató de una renuncia de gananciales, según lo prevenido en el artículo </w:t>
      </w:r>
      <w:r w:rsidR="008B158A" w:rsidRPr="00EB5A74">
        <w:rPr>
          <w:rFonts w:ascii="Gadugi" w:hAnsi="Gadugi"/>
          <w:sz w:val="24"/>
          <w:szCs w:val="24"/>
          <w:lang w:val="es-ES_tradnl"/>
        </w:rPr>
        <w:t>1775 del C. Civil, la que, como allí se establece, es permitida a cualquiera de los cónyuges sin perjuicio de terceros</w:t>
      </w:r>
      <w:r w:rsidR="00E16067" w:rsidRPr="00EB5A74">
        <w:rPr>
          <w:rFonts w:ascii="Gadugi" w:hAnsi="Gadugi"/>
          <w:sz w:val="24"/>
          <w:szCs w:val="24"/>
          <w:lang w:val="es-ES_tradnl"/>
        </w:rPr>
        <w:t xml:space="preserve">. De esta última mención se ha desprendido, de acuerdo también con la jurisprudencia, </w:t>
      </w:r>
      <w:r w:rsidR="008B158A" w:rsidRPr="00EB5A74">
        <w:rPr>
          <w:rFonts w:ascii="Gadugi" w:hAnsi="Gadugi"/>
          <w:sz w:val="24"/>
          <w:szCs w:val="24"/>
          <w:lang w:val="es-ES_tradnl"/>
        </w:rPr>
        <w:t xml:space="preserve">que tal norma </w:t>
      </w:r>
      <w:r w:rsidR="00E16067" w:rsidRPr="00EB5A74">
        <w:rPr>
          <w:rFonts w:ascii="Gadugi" w:hAnsi="Gadugi"/>
          <w:sz w:val="24"/>
          <w:szCs w:val="24"/>
          <w:lang w:val="es-ES_tradnl"/>
        </w:rPr>
        <w:t xml:space="preserve">en realidad contiene una </w:t>
      </w:r>
      <w:r w:rsidR="008B158A" w:rsidRPr="00EB5A74">
        <w:rPr>
          <w:rFonts w:ascii="Gadugi" w:hAnsi="Gadugi"/>
          <w:sz w:val="24"/>
          <w:szCs w:val="24"/>
          <w:lang w:val="es-ES_tradnl"/>
        </w:rPr>
        <w:t xml:space="preserve">forma de inoponibilidad del acto de renuncia, siempre que se lleve a su paso derechos de terceros, </w:t>
      </w:r>
      <w:r w:rsidR="00E16067" w:rsidRPr="00EB5A74">
        <w:rPr>
          <w:rFonts w:ascii="Gadugi" w:hAnsi="Gadugi"/>
          <w:sz w:val="24"/>
          <w:szCs w:val="24"/>
          <w:lang w:val="es-ES_tradnl"/>
        </w:rPr>
        <w:t xml:space="preserve">incluidos entre ellos los </w:t>
      </w:r>
      <w:r w:rsidR="008B158A" w:rsidRPr="00EB5A74">
        <w:rPr>
          <w:rFonts w:ascii="Gadugi" w:hAnsi="Gadugi"/>
          <w:sz w:val="24"/>
          <w:szCs w:val="24"/>
          <w:lang w:val="es-ES_tradnl"/>
        </w:rPr>
        <w:t>legitimarios</w:t>
      </w:r>
      <w:bookmarkEnd w:id="5"/>
      <w:r w:rsidR="008B158A" w:rsidRPr="00EB5A74">
        <w:rPr>
          <w:rFonts w:ascii="Gadugi" w:hAnsi="Gadugi"/>
          <w:sz w:val="24"/>
          <w:szCs w:val="24"/>
          <w:lang w:val="es-ES_tradnl"/>
        </w:rPr>
        <w:t xml:space="preserve">. Así lo explicó con prolijidad la sentencia </w:t>
      </w:r>
      <w:r w:rsidR="00EC4F92" w:rsidRPr="00EB5A74">
        <w:rPr>
          <w:rFonts w:ascii="Gadugi" w:hAnsi="Gadugi"/>
          <w:sz w:val="24"/>
          <w:szCs w:val="24"/>
          <w:lang w:val="es-ES_tradnl"/>
        </w:rPr>
        <w:t>del 30 de enero de 2006</w:t>
      </w:r>
      <w:r w:rsidR="00EC4F92" w:rsidRPr="00EB5A74">
        <w:rPr>
          <w:rStyle w:val="Ttulo5Car"/>
          <w:rFonts w:ascii="Gadugi" w:eastAsiaTheme="minorHAnsi" w:hAnsi="Gadugi"/>
          <w:b w:val="0"/>
          <w:bCs w:val="0"/>
          <w:sz w:val="24"/>
          <w:szCs w:val="24"/>
          <w:vertAlign w:val="superscript"/>
          <w:lang w:val="es-ES_tradnl"/>
        </w:rPr>
        <w:footnoteReference w:id="32"/>
      </w:r>
      <w:r w:rsidR="00EC4F92" w:rsidRPr="00EB5A74">
        <w:rPr>
          <w:rFonts w:ascii="Gadugi" w:hAnsi="Gadugi"/>
          <w:sz w:val="24"/>
          <w:szCs w:val="24"/>
          <w:lang w:val="es-ES_tradnl"/>
        </w:rPr>
        <w:t xml:space="preserve">, ampliamente citada por las partes y por el juzgado, y se recordó también en época más actual por </w:t>
      </w:r>
      <w:r w:rsidR="00E16067" w:rsidRPr="00EB5A74">
        <w:rPr>
          <w:rFonts w:ascii="Gadugi" w:hAnsi="Gadugi"/>
          <w:sz w:val="24"/>
          <w:szCs w:val="24"/>
          <w:lang w:val="es-ES_tradnl"/>
        </w:rPr>
        <w:t>la Corte</w:t>
      </w:r>
      <w:r w:rsidR="00EC4F92" w:rsidRPr="00EB5A74">
        <w:rPr>
          <w:rStyle w:val="Ttulo5Car"/>
          <w:rFonts w:ascii="Gadugi" w:eastAsiaTheme="minorHAnsi" w:hAnsi="Gadugi"/>
          <w:b w:val="0"/>
          <w:bCs w:val="0"/>
          <w:sz w:val="24"/>
          <w:szCs w:val="24"/>
          <w:vertAlign w:val="superscript"/>
          <w:lang w:val="es-ES_tradnl"/>
        </w:rPr>
        <w:footnoteReference w:id="33"/>
      </w:r>
      <w:r w:rsidR="00EC4F92" w:rsidRPr="00EB5A74">
        <w:rPr>
          <w:rFonts w:ascii="Gadugi" w:hAnsi="Gadugi"/>
          <w:sz w:val="24"/>
          <w:szCs w:val="24"/>
          <w:lang w:val="es-ES_tradnl"/>
        </w:rPr>
        <w:t>.</w:t>
      </w:r>
    </w:p>
    <w:p w14:paraId="1A11A8B1" w14:textId="77777777" w:rsidR="00004EF1" w:rsidRPr="00EB5A74" w:rsidRDefault="00E16067" w:rsidP="00456FE4">
      <w:pPr>
        <w:tabs>
          <w:tab w:val="left" w:pos="1701"/>
        </w:tabs>
        <w:spacing w:after="0" w:line="276" w:lineRule="auto"/>
        <w:jc w:val="both"/>
        <w:rPr>
          <w:rFonts w:ascii="Gadugi" w:hAnsi="Gadugi"/>
          <w:sz w:val="24"/>
          <w:szCs w:val="24"/>
          <w:lang w:val="es-ES_tradnl"/>
        </w:rPr>
      </w:pPr>
      <w:r w:rsidRPr="00EB5A74">
        <w:rPr>
          <w:rFonts w:ascii="Gadugi" w:hAnsi="Gadugi"/>
          <w:sz w:val="24"/>
          <w:szCs w:val="24"/>
          <w:lang w:val="es-ES_tradnl"/>
        </w:rPr>
        <w:tab/>
      </w:r>
      <w:r w:rsidRPr="00EB5A74">
        <w:rPr>
          <w:rFonts w:ascii="Gadugi" w:hAnsi="Gadugi"/>
          <w:sz w:val="24"/>
          <w:szCs w:val="24"/>
          <w:lang w:val="es-ES_tradnl"/>
        </w:rPr>
        <w:tab/>
      </w:r>
    </w:p>
    <w:p w14:paraId="7409BC62" w14:textId="2B843CC2" w:rsidR="00384049" w:rsidRPr="00EB5A74" w:rsidRDefault="00E16067" w:rsidP="00456FE4">
      <w:pPr>
        <w:tabs>
          <w:tab w:val="left" w:pos="1701"/>
        </w:tabs>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Mas, cualquier disertación sobre este aspecto resultaría inane, por cuanto las primeras réplicas de los recurrentes</w:t>
      </w:r>
      <w:r w:rsidR="00ED0527" w:rsidRPr="00EB5A74">
        <w:rPr>
          <w:rFonts w:ascii="Gadugi" w:hAnsi="Gadugi"/>
          <w:sz w:val="24"/>
          <w:szCs w:val="24"/>
          <w:lang w:val="es-ES_tradnl"/>
        </w:rPr>
        <w:t xml:space="preserve"> aciertan al decir que </w:t>
      </w:r>
      <w:r w:rsidRPr="00EB5A74">
        <w:rPr>
          <w:rFonts w:ascii="Gadugi" w:hAnsi="Gadugi"/>
          <w:sz w:val="24"/>
          <w:szCs w:val="24"/>
          <w:lang w:val="es-ES_tradnl"/>
        </w:rPr>
        <w:t xml:space="preserve">surge palmaria la equivocación del juzgado al darle ese matiz al asunto, pues ya esta Sala, en </w:t>
      </w:r>
      <w:r w:rsidR="008E78A7" w:rsidRPr="00EB5A74">
        <w:rPr>
          <w:rFonts w:ascii="Gadugi" w:hAnsi="Gadugi"/>
          <w:sz w:val="24"/>
          <w:szCs w:val="24"/>
          <w:lang w:val="es-ES_tradnl"/>
        </w:rPr>
        <w:t xml:space="preserve">el </w:t>
      </w:r>
      <w:r w:rsidRPr="00EB5A74">
        <w:rPr>
          <w:rFonts w:ascii="Gadugi" w:hAnsi="Gadugi"/>
          <w:sz w:val="24"/>
          <w:szCs w:val="24"/>
          <w:lang w:val="es-ES_tradnl"/>
        </w:rPr>
        <w:t xml:space="preserve">mentado </w:t>
      </w:r>
      <w:r w:rsidRPr="00EB5A74">
        <w:rPr>
          <w:rFonts w:ascii="Gadugi" w:hAnsi="Gadugi"/>
          <w:sz w:val="24"/>
          <w:szCs w:val="24"/>
          <w:lang w:val="es-ES_tradnl"/>
        </w:rPr>
        <w:lastRenderedPageBreak/>
        <w:t>auto</w:t>
      </w:r>
      <w:r w:rsidR="004E25C6" w:rsidRPr="00EB5A74">
        <w:rPr>
          <w:rFonts w:ascii="Gadugi" w:hAnsi="Gadugi"/>
          <w:sz w:val="24"/>
          <w:szCs w:val="24"/>
          <w:lang w:val="es-ES_tradnl"/>
        </w:rPr>
        <w:t xml:space="preserve"> del 2018</w:t>
      </w:r>
      <w:r w:rsidRPr="00EB5A74">
        <w:rPr>
          <w:rFonts w:ascii="Gadugi" w:hAnsi="Gadugi"/>
          <w:sz w:val="24"/>
          <w:szCs w:val="24"/>
          <w:lang w:val="es-ES_tradnl"/>
        </w:rPr>
        <w:t xml:space="preserve">, había anticipado que aquí no </w:t>
      </w:r>
      <w:r w:rsidR="00384049" w:rsidRPr="00EB5A74">
        <w:rPr>
          <w:rFonts w:ascii="Gadugi" w:hAnsi="Gadugi"/>
          <w:sz w:val="24"/>
          <w:szCs w:val="24"/>
          <w:lang w:val="es-ES_tradnl"/>
        </w:rPr>
        <w:t xml:space="preserve">hubo, por donde quiera que se le mire, renuncia de gananciales. </w:t>
      </w:r>
    </w:p>
    <w:p w14:paraId="22DBF59B" w14:textId="77777777" w:rsidR="00ED0527" w:rsidRPr="00EB5A74" w:rsidRDefault="00303063" w:rsidP="00456FE4">
      <w:pPr>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 xml:space="preserve"> </w:t>
      </w:r>
      <w:r w:rsidRPr="00EB5A74">
        <w:rPr>
          <w:rFonts w:ascii="Gadugi" w:hAnsi="Gadugi"/>
          <w:sz w:val="24"/>
          <w:szCs w:val="24"/>
          <w:lang w:val="es-ES_tradnl"/>
        </w:rPr>
        <w:tab/>
      </w:r>
      <w:r w:rsidRPr="00EB5A74">
        <w:rPr>
          <w:rFonts w:ascii="Gadugi" w:hAnsi="Gadugi"/>
          <w:sz w:val="24"/>
          <w:szCs w:val="24"/>
          <w:lang w:val="es-ES_tradnl"/>
        </w:rPr>
        <w:tab/>
      </w:r>
    </w:p>
    <w:p w14:paraId="1B167CB9" w14:textId="7D2099CF" w:rsidR="00303063" w:rsidRPr="00EB5A74" w:rsidRDefault="00303063" w:rsidP="00456FE4">
      <w:pPr>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 xml:space="preserve">En efecto, </w:t>
      </w:r>
      <w:r w:rsidR="00DA6663" w:rsidRPr="00EB5A74">
        <w:rPr>
          <w:rFonts w:ascii="Gadugi" w:hAnsi="Gadugi"/>
          <w:sz w:val="24"/>
          <w:szCs w:val="24"/>
          <w:lang w:val="es-ES_tradnl"/>
        </w:rPr>
        <w:t>señala el artículo 180 del C. Civil que, por el hecho mismo del matrimonio,</w:t>
      </w:r>
      <w:r w:rsidR="008E0EA3" w:rsidRPr="00EB5A74">
        <w:rPr>
          <w:rFonts w:ascii="Gadugi" w:hAnsi="Gadugi"/>
          <w:sz w:val="24"/>
          <w:szCs w:val="24"/>
          <w:lang w:val="es-ES_tradnl"/>
        </w:rPr>
        <w:t xml:space="preserve"> se contrae una sociedad de bienes entre los cónyuges, regla que coincide con lo previsto en el artículo 1774 del mismo estatuto. Se trata, entonces</w:t>
      </w:r>
      <w:r w:rsidR="00941500" w:rsidRPr="00EB5A74">
        <w:rPr>
          <w:rFonts w:ascii="Gadugi" w:hAnsi="Gadugi"/>
          <w:sz w:val="24"/>
          <w:szCs w:val="24"/>
          <w:lang w:val="es-ES_tradnl"/>
        </w:rPr>
        <w:t>,</w:t>
      </w:r>
      <w:r w:rsidR="008E0EA3" w:rsidRPr="00EB5A74">
        <w:rPr>
          <w:rFonts w:ascii="Gadugi" w:hAnsi="Gadugi"/>
          <w:sz w:val="24"/>
          <w:szCs w:val="24"/>
          <w:lang w:val="es-ES_tradnl"/>
        </w:rPr>
        <w:t xml:space="preserve"> de una comunidad de bienes </w:t>
      </w:r>
      <w:r w:rsidR="00941500" w:rsidRPr="00EB5A74">
        <w:rPr>
          <w:rFonts w:ascii="Gadugi" w:hAnsi="Gadugi"/>
          <w:sz w:val="24"/>
          <w:szCs w:val="24"/>
          <w:lang w:val="es-ES_tradnl"/>
        </w:rPr>
        <w:t xml:space="preserve">o de una </w:t>
      </w:r>
      <w:r w:rsidR="00004EF1" w:rsidRPr="00EB5A74">
        <w:rPr>
          <w:rFonts w:ascii="Gadugi" w:hAnsi="Gadugi"/>
          <w:sz w:val="24"/>
          <w:szCs w:val="24"/>
          <w:lang w:val="es-ES_tradnl"/>
        </w:rPr>
        <w:t xml:space="preserve">universalidad </w:t>
      </w:r>
      <w:r w:rsidR="00941500" w:rsidRPr="00EB5A74">
        <w:rPr>
          <w:rFonts w:ascii="Gadugi" w:hAnsi="Gadugi"/>
          <w:sz w:val="24"/>
          <w:szCs w:val="24"/>
          <w:lang w:val="es-ES_tradnl"/>
        </w:rPr>
        <w:t xml:space="preserve">a la que </w:t>
      </w:r>
      <w:r w:rsidR="00004EF1" w:rsidRPr="00EB5A74">
        <w:rPr>
          <w:rFonts w:ascii="Gadugi" w:hAnsi="Gadugi"/>
          <w:sz w:val="24"/>
          <w:szCs w:val="24"/>
          <w:lang w:val="es-ES_tradnl"/>
        </w:rPr>
        <w:t xml:space="preserve">se puede renunciar, pues así está permitido por el artículo 1775 del mismo código, que establece con claridad que </w:t>
      </w:r>
      <w:r w:rsidR="00004EF1" w:rsidRPr="00EB5A74">
        <w:rPr>
          <w:rFonts w:ascii="Gadugi" w:hAnsi="Gadugi"/>
          <w:i/>
          <w:iCs/>
          <w:sz w:val="24"/>
          <w:szCs w:val="24"/>
          <w:lang w:val="es-ES_tradnl"/>
        </w:rPr>
        <w:t>“</w:t>
      </w:r>
      <w:r w:rsidR="00004EF1" w:rsidRPr="00EB5A74">
        <w:rPr>
          <w:rFonts w:ascii="Gadugi" w:hAnsi="Gadugi"/>
          <w:i/>
          <w:iCs/>
          <w:szCs w:val="24"/>
          <w:lang w:val="es-ES_tradnl"/>
        </w:rPr>
        <w:t>Cualquiera de los cónyuges siempre que sea capaz, podrá renunciar a los gananciales que resulten a la disolución de la sociedad conyugal, sin perjuicio de terceros</w:t>
      </w:r>
      <w:r w:rsidR="00004EF1" w:rsidRPr="00EB5A74">
        <w:rPr>
          <w:rFonts w:ascii="Gadugi" w:hAnsi="Gadugi"/>
          <w:i/>
          <w:iCs/>
          <w:sz w:val="24"/>
          <w:szCs w:val="24"/>
          <w:lang w:val="es-ES_tradnl"/>
        </w:rPr>
        <w:t xml:space="preserve">”. </w:t>
      </w:r>
      <w:r w:rsidR="00004EF1" w:rsidRPr="00EB5A74">
        <w:rPr>
          <w:rFonts w:ascii="Gadugi" w:hAnsi="Gadugi"/>
          <w:sz w:val="24"/>
          <w:szCs w:val="24"/>
          <w:lang w:val="es-ES_tradnl"/>
        </w:rPr>
        <w:t xml:space="preserve">Esa, por supuesto, es la redacción que trae el artículo 61 del Decreto 2820 de 1974, luego de superar ciertas épocas en las que la administración de los bienes correspondía al hombre. </w:t>
      </w:r>
    </w:p>
    <w:p w14:paraId="2E95618A" w14:textId="33CBAFD8" w:rsidR="003D2CF1" w:rsidRPr="00EB5A74" w:rsidRDefault="003D2CF1" w:rsidP="00456FE4">
      <w:pPr>
        <w:spacing w:after="0" w:line="276" w:lineRule="auto"/>
        <w:ind w:firstLine="1701"/>
        <w:jc w:val="both"/>
        <w:rPr>
          <w:rFonts w:ascii="Gadugi" w:hAnsi="Gadugi"/>
          <w:sz w:val="24"/>
          <w:szCs w:val="24"/>
          <w:lang w:val="es-ES_tradnl"/>
        </w:rPr>
      </w:pPr>
    </w:p>
    <w:p w14:paraId="2825BA9A" w14:textId="544FFE3B" w:rsidR="003D2CF1" w:rsidRPr="00EB5A74" w:rsidRDefault="003D2CF1" w:rsidP="00456FE4">
      <w:pPr>
        <w:spacing w:after="0" w:line="276" w:lineRule="auto"/>
        <w:ind w:firstLine="1701"/>
        <w:jc w:val="both"/>
        <w:rPr>
          <w:rFonts w:ascii="Gadugi" w:hAnsi="Gadugi"/>
          <w:sz w:val="24"/>
          <w:szCs w:val="24"/>
          <w:lang w:val="es-ES_tradnl"/>
        </w:rPr>
      </w:pPr>
      <w:r w:rsidRPr="00EB5A74">
        <w:rPr>
          <w:rFonts w:ascii="Gadugi" w:hAnsi="Gadugi"/>
          <w:sz w:val="24"/>
          <w:szCs w:val="24"/>
          <w:lang w:val="es-ES_tradnl"/>
        </w:rPr>
        <w:t>Los gananciales</w:t>
      </w:r>
      <w:r w:rsidR="00941500" w:rsidRPr="00EB5A74">
        <w:rPr>
          <w:rFonts w:ascii="Gadugi" w:hAnsi="Gadugi"/>
          <w:sz w:val="24"/>
          <w:szCs w:val="24"/>
          <w:lang w:val="es-ES_tradnl"/>
        </w:rPr>
        <w:t xml:space="preserve"> </w:t>
      </w:r>
      <w:r w:rsidRPr="00EB5A74">
        <w:rPr>
          <w:rFonts w:ascii="Gadugi" w:hAnsi="Gadugi"/>
          <w:sz w:val="24"/>
          <w:szCs w:val="24"/>
          <w:lang w:val="es-ES_tradnl"/>
        </w:rPr>
        <w:t xml:space="preserve">se </w:t>
      </w:r>
      <w:r w:rsidR="004E25C6" w:rsidRPr="00EB5A74">
        <w:rPr>
          <w:rFonts w:ascii="Gadugi" w:hAnsi="Gadugi"/>
          <w:sz w:val="24"/>
          <w:szCs w:val="24"/>
          <w:lang w:val="es-ES_tradnl"/>
        </w:rPr>
        <w:t>integran</w:t>
      </w:r>
      <w:r w:rsidRPr="00EB5A74">
        <w:rPr>
          <w:rFonts w:ascii="Gadugi" w:hAnsi="Gadugi"/>
          <w:sz w:val="24"/>
          <w:szCs w:val="24"/>
          <w:lang w:val="es-ES_tradnl"/>
        </w:rPr>
        <w:t xml:space="preserve"> por la mitad del haber social, efectuadas todas las deducciones legales; haber que se conforma, en términos generales, con los bienes</w:t>
      </w:r>
      <w:r w:rsidR="00B2186C" w:rsidRPr="00EB5A74">
        <w:rPr>
          <w:rFonts w:ascii="Gadugi" w:hAnsi="Gadugi"/>
          <w:sz w:val="24"/>
          <w:szCs w:val="24"/>
          <w:lang w:val="es-ES_tradnl"/>
        </w:rPr>
        <w:t xml:space="preserve">, deudas y otros elementos señalados en los artículos </w:t>
      </w:r>
      <w:r w:rsidRPr="00EB5A74">
        <w:rPr>
          <w:rFonts w:ascii="Gadugi" w:hAnsi="Gadugi"/>
          <w:sz w:val="24"/>
          <w:szCs w:val="24"/>
          <w:lang w:val="es-ES_tradnl"/>
        </w:rPr>
        <w:t>1781</w:t>
      </w:r>
      <w:r w:rsidR="00B2186C" w:rsidRPr="00EB5A74">
        <w:rPr>
          <w:rFonts w:ascii="Gadugi" w:hAnsi="Gadugi"/>
          <w:sz w:val="24"/>
          <w:szCs w:val="24"/>
          <w:lang w:val="es-ES_tradnl"/>
        </w:rPr>
        <w:t xml:space="preserve"> a 1804 del C. Civil. Así que, disuelta la sociedad conyugal, sigue su liquidación, como recuerda la Corte en la citada sentencia </w:t>
      </w:r>
      <w:r w:rsidR="00B2186C" w:rsidRPr="00EB5A74">
        <w:rPr>
          <w:rFonts w:ascii="Gadugi" w:eastAsia="Times New Roman" w:hAnsi="Gadugi" w:cs="Arial"/>
          <w:sz w:val="24"/>
          <w:szCs w:val="24"/>
          <w:lang w:val="es-ES_tradnl"/>
        </w:rPr>
        <w:t xml:space="preserve">SC4528-2020: </w:t>
      </w:r>
    </w:p>
    <w:p w14:paraId="02D6759B" w14:textId="786A5DA0" w:rsidR="00671154" w:rsidRPr="00EB5A74" w:rsidRDefault="00671154" w:rsidP="00456FE4">
      <w:pPr>
        <w:spacing w:after="0" w:line="276" w:lineRule="auto"/>
        <w:jc w:val="both"/>
        <w:rPr>
          <w:rFonts w:ascii="Gadugi" w:hAnsi="Gadugi"/>
          <w:sz w:val="24"/>
          <w:szCs w:val="24"/>
          <w:lang w:val="es-ES_tradnl"/>
        </w:rPr>
      </w:pPr>
    </w:p>
    <w:p w14:paraId="3DBA0176" w14:textId="77777777" w:rsidR="00671154" w:rsidRPr="00EB5A74" w:rsidRDefault="00671154" w:rsidP="003D526C">
      <w:pPr>
        <w:autoSpaceDE w:val="0"/>
        <w:autoSpaceDN w:val="0"/>
        <w:spacing w:after="0" w:line="240" w:lineRule="auto"/>
        <w:ind w:left="426" w:right="420" w:firstLine="1134"/>
        <w:jc w:val="both"/>
        <w:rPr>
          <w:rFonts w:ascii="Gadugi" w:hAnsi="Gadugi"/>
          <w:i/>
          <w:szCs w:val="24"/>
          <w:lang w:val="es-ES_tradnl"/>
        </w:rPr>
      </w:pPr>
      <w:r w:rsidRPr="00EB5A74">
        <w:rPr>
          <w:rFonts w:ascii="Gadugi" w:hAnsi="Gadugi"/>
          <w:szCs w:val="24"/>
          <w:lang w:val="es-ES_tradnl"/>
        </w:rPr>
        <w:t>En lo que atañe a la disolución de la sociedad conyugal que surge por el hecho del matrimonio, esta, conforme al artículo 1820 del Código Civil, modificado por el artículo 25 de la Ley 1ª de 1976, puede disolverse, entre otras causas, numeral 5º, por «</w:t>
      </w:r>
      <w:r w:rsidRPr="00EB5A74">
        <w:rPr>
          <w:rFonts w:ascii="Gadugi" w:hAnsi="Gadugi"/>
          <w:i/>
          <w:szCs w:val="24"/>
          <w:lang w:val="es-ES_tradnl"/>
        </w:rPr>
        <w:t xml:space="preserve">mutuo acuerdo de los cónyuges capaces, elevado a escritura pública, en cuyo cuerpo se incorporará el inventario de bienes y deudas sociales y su liquidación». </w:t>
      </w:r>
    </w:p>
    <w:p w14:paraId="23D6D1B4" w14:textId="77777777" w:rsidR="00671154" w:rsidRPr="00EB5A74" w:rsidRDefault="00671154" w:rsidP="003D526C">
      <w:pPr>
        <w:autoSpaceDE w:val="0"/>
        <w:autoSpaceDN w:val="0"/>
        <w:spacing w:after="0" w:line="240" w:lineRule="auto"/>
        <w:ind w:left="426" w:right="420" w:firstLine="1134"/>
        <w:jc w:val="both"/>
        <w:rPr>
          <w:rFonts w:ascii="Gadugi" w:hAnsi="Gadugi"/>
          <w:i/>
          <w:szCs w:val="24"/>
          <w:lang w:val="es-ES_tradnl"/>
        </w:rPr>
      </w:pPr>
    </w:p>
    <w:p w14:paraId="0337A4F6" w14:textId="77777777" w:rsidR="00671154" w:rsidRPr="00EB5A74" w:rsidRDefault="00671154" w:rsidP="003D526C">
      <w:pPr>
        <w:autoSpaceDE w:val="0"/>
        <w:autoSpaceDN w:val="0"/>
        <w:spacing w:after="0" w:line="240" w:lineRule="auto"/>
        <w:ind w:left="426" w:right="420" w:firstLine="1134"/>
        <w:jc w:val="both"/>
        <w:rPr>
          <w:rFonts w:ascii="Gadugi" w:hAnsi="Gadugi"/>
          <w:szCs w:val="24"/>
          <w:lang w:val="es-ES_tradnl"/>
        </w:rPr>
      </w:pPr>
      <w:r w:rsidRPr="00EB5A74">
        <w:rPr>
          <w:rFonts w:ascii="Gadugi" w:hAnsi="Gadugi"/>
          <w:szCs w:val="24"/>
          <w:lang w:val="es-ES_tradnl"/>
        </w:rPr>
        <w:t xml:space="preserve">Se comprenden en la disposición citada dos actos jurídicos diferentes. De un lado, la disolución de la sociedad de bienes entre los cónyuges. Y de otro, la liquidación de esta, que concluye con la partición de mutuo acuerdo, según la relación de bienes y deudas sociales correspondientes.  </w:t>
      </w:r>
    </w:p>
    <w:p w14:paraId="08C0182F" w14:textId="77777777" w:rsidR="00671154" w:rsidRPr="00EB5A74" w:rsidRDefault="00671154" w:rsidP="003D526C">
      <w:pPr>
        <w:autoSpaceDE w:val="0"/>
        <w:autoSpaceDN w:val="0"/>
        <w:spacing w:after="0" w:line="240" w:lineRule="auto"/>
        <w:ind w:left="426" w:right="420" w:firstLine="1134"/>
        <w:jc w:val="both"/>
        <w:rPr>
          <w:rFonts w:ascii="Gadugi" w:hAnsi="Gadugi"/>
          <w:szCs w:val="24"/>
          <w:lang w:val="es-ES_tradnl"/>
        </w:rPr>
      </w:pPr>
    </w:p>
    <w:p w14:paraId="4C6C7A00" w14:textId="77777777" w:rsidR="00671154" w:rsidRPr="00EB5A74" w:rsidRDefault="00671154" w:rsidP="003D526C">
      <w:pPr>
        <w:spacing w:after="0" w:line="240" w:lineRule="auto"/>
        <w:ind w:left="426" w:right="420" w:firstLine="1134"/>
        <w:jc w:val="both"/>
        <w:rPr>
          <w:rFonts w:ascii="Gadugi" w:hAnsi="Gadugi"/>
          <w:szCs w:val="24"/>
          <w:lang w:val="es-ES_tradnl"/>
        </w:rPr>
      </w:pPr>
      <w:r w:rsidRPr="00EB5A74">
        <w:rPr>
          <w:rFonts w:ascii="Gadugi" w:hAnsi="Gadugi"/>
          <w:szCs w:val="24"/>
          <w:lang w:val="es-ES_tradnl"/>
        </w:rPr>
        <w:t>Disuelta la sociedad conyugal por cualquiera de los modos establecidos en la ley, esta se extingue para permitirle a los cónyuges establecer hacia el futuro el régimen de separación de bienes. Al mismo tiempo surge la eventual masa universal de gananciales, conformada por los bienes, deudas sociales y los elementos que la integran. De igual manera, queda sometida a la liquidación, una o varias, como instrumento legalmente apto para definir los derechos que sobre ella tiene cada ex cónyuge.</w:t>
      </w:r>
    </w:p>
    <w:p w14:paraId="789121F0" w14:textId="77777777" w:rsidR="00671154" w:rsidRPr="00EB5A74" w:rsidRDefault="00671154" w:rsidP="003D526C">
      <w:pPr>
        <w:spacing w:after="0" w:line="240" w:lineRule="auto"/>
        <w:ind w:left="426" w:right="420" w:firstLine="1134"/>
        <w:jc w:val="both"/>
        <w:rPr>
          <w:rFonts w:ascii="Gadugi" w:hAnsi="Gadugi"/>
          <w:szCs w:val="24"/>
          <w:highlight w:val="yellow"/>
          <w:lang w:val="es-ES_tradnl"/>
        </w:rPr>
      </w:pPr>
    </w:p>
    <w:p w14:paraId="72CFDDD5" w14:textId="77777777" w:rsidR="00671154" w:rsidRPr="00EB5A74" w:rsidRDefault="00671154" w:rsidP="003D526C">
      <w:pPr>
        <w:spacing w:after="0" w:line="240" w:lineRule="auto"/>
        <w:ind w:left="426" w:right="420" w:firstLine="1134"/>
        <w:jc w:val="both"/>
        <w:rPr>
          <w:rFonts w:ascii="Gadugi" w:hAnsi="Gadugi"/>
          <w:b/>
          <w:spacing w:val="-3"/>
          <w:szCs w:val="24"/>
          <w:lang w:val="es-ES_tradnl"/>
        </w:rPr>
      </w:pPr>
      <w:r w:rsidRPr="00EB5A74">
        <w:rPr>
          <w:rFonts w:ascii="Gadugi" w:hAnsi="Gadugi"/>
          <w:spacing w:val="-3"/>
          <w:szCs w:val="24"/>
          <w:lang w:val="es-ES_tradnl"/>
        </w:rPr>
        <w:t xml:space="preserve">8. El acto dispositivo de renuncia tiene por objeto el derecho a los gananciales que, por su naturaleza universal se refiere a una masa indivisa y abstracta de bienes de la llamada sociedad de gananciales, porque no recae en forma individual y concreta sobre cada uno de esos elementos patrimoniales.  </w:t>
      </w:r>
    </w:p>
    <w:p w14:paraId="2B7E3914" w14:textId="22A8D25F" w:rsidR="00671154" w:rsidRPr="00EB5A74" w:rsidRDefault="00671154" w:rsidP="00456FE4">
      <w:pPr>
        <w:spacing w:after="0" w:line="276" w:lineRule="auto"/>
        <w:ind w:firstLine="709"/>
        <w:jc w:val="both"/>
        <w:rPr>
          <w:rFonts w:ascii="Gadugi" w:hAnsi="Gadugi"/>
          <w:b/>
          <w:spacing w:val="-3"/>
          <w:sz w:val="24"/>
          <w:szCs w:val="24"/>
          <w:lang w:val="es-ES_tradnl"/>
        </w:rPr>
      </w:pPr>
    </w:p>
    <w:p w14:paraId="4377A110" w14:textId="2D524EF8" w:rsidR="002579D8" w:rsidRPr="00EB5A74" w:rsidRDefault="000F7471" w:rsidP="00456FE4">
      <w:pPr>
        <w:spacing w:after="0" w:line="276" w:lineRule="auto"/>
        <w:ind w:firstLine="1701"/>
        <w:jc w:val="both"/>
        <w:rPr>
          <w:rFonts w:ascii="Gadugi" w:hAnsi="Gadugi"/>
          <w:b/>
          <w:spacing w:val="-3"/>
          <w:sz w:val="24"/>
          <w:szCs w:val="24"/>
          <w:lang w:val="es-ES_tradnl"/>
        </w:rPr>
      </w:pPr>
      <w:r w:rsidRPr="00EB5A74">
        <w:rPr>
          <w:rFonts w:ascii="Gadugi" w:hAnsi="Gadugi"/>
          <w:spacing w:val="-3"/>
          <w:sz w:val="24"/>
          <w:szCs w:val="24"/>
          <w:lang w:val="es-ES_tradnl"/>
        </w:rPr>
        <w:t>Se comprende, por tanto, que los gananciales</w:t>
      </w:r>
      <w:r w:rsidR="002579D8" w:rsidRPr="00EB5A74">
        <w:rPr>
          <w:rFonts w:ascii="Gadugi" w:hAnsi="Gadugi"/>
          <w:spacing w:val="-3"/>
          <w:sz w:val="24"/>
          <w:szCs w:val="24"/>
          <w:lang w:val="es-ES_tradnl"/>
        </w:rPr>
        <w:t xml:space="preserve">, como universalidad, </w:t>
      </w:r>
      <w:r w:rsidRPr="00EB5A74">
        <w:rPr>
          <w:rFonts w:ascii="Gadugi" w:hAnsi="Gadugi"/>
          <w:spacing w:val="-3"/>
          <w:sz w:val="24"/>
          <w:szCs w:val="24"/>
          <w:lang w:val="es-ES_tradnl"/>
        </w:rPr>
        <w:t xml:space="preserve">se conforman con bienes sociales, no con bienes propios, salvo que se celebren </w:t>
      </w:r>
      <w:r w:rsidRPr="00EB5A74">
        <w:rPr>
          <w:rFonts w:ascii="Gadugi" w:hAnsi="Gadugi"/>
          <w:spacing w:val="-3"/>
          <w:sz w:val="24"/>
          <w:szCs w:val="24"/>
          <w:lang w:val="es-ES_tradnl"/>
        </w:rPr>
        <w:lastRenderedPageBreak/>
        <w:t>capitulaciones matrimoniales, aspecto por entero ajeno a este asunto</w:t>
      </w:r>
      <w:r w:rsidR="00737B6D" w:rsidRPr="00EB5A74">
        <w:rPr>
          <w:rFonts w:ascii="Gadugi" w:hAnsi="Gadugi"/>
          <w:spacing w:val="-3"/>
          <w:sz w:val="24"/>
          <w:szCs w:val="24"/>
          <w:lang w:val="es-ES_tradnl"/>
        </w:rPr>
        <w:t>.</w:t>
      </w:r>
      <w:r w:rsidR="00DB3D44" w:rsidRPr="00EB5A74">
        <w:rPr>
          <w:rFonts w:ascii="Gadugi" w:hAnsi="Gadugi"/>
          <w:spacing w:val="-3"/>
          <w:sz w:val="24"/>
          <w:szCs w:val="24"/>
          <w:lang w:val="es-ES_tradnl"/>
        </w:rPr>
        <w:t xml:space="preserve"> Como diría la doctrina, </w:t>
      </w:r>
      <w:r w:rsidR="00DB3D44" w:rsidRPr="00EB5A74">
        <w:rPr>
          <w:rFonts w:ascii="Gadugi" w:hAnsi="Gadugi"/>
          <w:i/>
          <w:iCs/>
          <w:spacing w:val="-3"/>
          <w:sz w:val="24"/>
          <w:szCs w:val="24"/>
          <w:lang w:val="es-ES_tradnl"/>
        </w:rPr>
        <w:t>“</w:t>
      </w:r>
      <w:r w:rsidR="00DB3D44" w:rsidRPr="00EB5A74">
        <w:rPr>
          <w:rFonts w:ascii="Gadugi" w:hAnsi="Gadugi"/>
          <w:i/>
          <w:iCs/>
          <w:spacing w:val="-3"/>
          <w:szCs w:val="24"/>
          <w:lang w:val="es-ES_tradnl"/>
        </w:rPr>
        <w:t>…</w:t>
      </w:r>
      <w:r w:rsidR="003D526C" w:rsidRPr="00EB5A74">
        <w:rPr>
          <w:rFonts w:ascii="Gadugi" w:hAnsi="Gadugi"/>
          <w:i/>
          <w:iCs/>
          <w:spacing w:val="-3"/>
          <w:szCs w:val="24"/>
          <w:lang w:val="es-ES_tradnl"/>
        </w:rPr>
        <w:t xml:space="preserve"> </w:t>
      </w:r>
      <w:r w:rsidR="00DB3D44" w:rsidRPr="00EB5A74">
        <w:rPr>
          <w:rFonts w:ascii="Gadugi" w:hAnsi="Gadugi"/>
          <w:i/>
          <w:iCs/>
          <w:spacing w:val="-3"/>
          <w:szCs w:val="24"/>
          <w:lang w:val="es-ES_tradnl"/>
        </w:rPr>
        <w:t>por gananciales se entiende, por una parte, los bienes que son del haber social; y por otra,</w:t>
      </w:r>
      <w:r w:rsidR="00543D02" w:rsidRPr="00EB5A74">
        <w:rPr>
          <w:rFonts w:ascii="Gadugi" w:hAnsi="Gadugi"/>
          <w:spacing w:val="-3"/>
          <w:szCs w:val="24"/>
          <w:lang w:val="es-ES_tradnl"/>
        </w:rPr>
        <w:t xml:space="preserve"> </w:t>
      </w:r>
      <w:r w:rsidR="00DB3D44" w:rsidRPr="00EB5A74">
        <w:rPr>
          <w:rFonts w:ascii="Gadugi" w:hAnsi="Gadugi"/>
          <w:i/>
          <w:iCs/>
          <w:spacing w:val="-3"/>
          <w:szCs w:val="24"/>
          <w:lang w:val="es-ES_tradnl"/>
        </w:rPr>
        <w:t>el derecho de cada cónyuge sobre ese haber</w:t>
      </w:r>
      <w:r w:rsidR="00DB3D44" w:rsidRPr="00EB5A74">
        <w:rPr>
          <w:rFonts w:ascii="Gadugi" w:hAnsi="Gadugi"/>
          <w:spacing w:val="-3"/>
          <w:sz w:val="24"/>
          <w:szCs w:val="24"/>
          <w:lang w:val="es-ES_tradnl"/>
        </w:rPr>
        <w:t>”</w:t>
      </w:r>
      <w:r w:rsidR="00335436" w:rsidRPr="00EB5A74">
        <w:rPr>
          <w:rStyle w:val="Ttulo5Car"/>
          <w:rFonts w:ascii="Gadugi" w:eastAsiaTheme="minorHAnsi" w:hAnsi="Gadugi"/>
          <w:b w:val="0"/>
          <w:spacing w:val="-3"/>
          <w:sz w:val="24"/>
          <w:szCs w:val="24"/>
          <w:vertAlign w:val="superscript"/>
          <w:lang w:val="es-ES_tradnl"/>
        </w:rPr>
        <w:footnoteReference w:id="34"/>
      </w:r>
      <w:r w:rsidR="00DB3D44" w:rsidRPr="00EB5A74">
        <w:rPr>
          <w:rFonts w:ascii="Gadugi" w:hAnsi="Gadugi"/>
          <w:spacing w:val="-3"/>
          <w:sz w:val="24"/>
          <w:szCs w:val="24"/>
          <w:lang w:val="es-ES_tradnl"/>
        </w:rPr>
        <w:t xml:space="preserve">. Es, dice el autor, un haber </w:t>
      </w:r>
      <w:r w:rsidR="00DB3D44" w:rsidRPr="00EB5A74">
        <w:rPr>
          <w:rFonts w:ascii="Gadugi" w:hAnsi="Gadugi"/>
          <w:i/>
          <w:iCs/>
          <w:spacing w:val="-3"/>
          <w:sz w:val="24"/>
          <w:szCs w:val="24"/>
          <w:lang w:val="es-ES_tradnl"/>
        </w:rPr>
        <w:t>“</w:t>
      </w:r>
      <w:r w:rsidR="00DB3D44" w:rsidRPr="00EB5A74">
        <w:rPr>
          <w:rFonts w:ascii="Gadugi" w:hAnsi="Gadugi"/>
          <w:i/>
          <w:iCs/>
          <w:spacing w:val="-3"/>
          <w:szCs w:val="24"/>
          <w:lang w:val="es-ES_tradnl"/>
        </w:rPr>
        <w:t>…</w:t>
      </w:r>
      <w:r w:rsidR="003D526C" w:rsidRPr="00EB5A74">
        <w:rPr>
          <w:rFonts w:ascii="Gadugi" w:hAnsi="Gadugi"/>
          <w:i/>
          <w:iCs/>
          <w:spacing w:val="-3"/>
          <w:szCs w:val="24"/>
          <w:lang w:val="es-ES_tradnl"/>
        </w:rPr>
        <w:t xml:space="preserve"> </w:t>
      </w:r>
      <w:r w:rsidR="00DB3D44" w:rsidRPr="00EB5A74">
        <w:rPr>
          <w:rFonts w:ascii="Gadugi" w:hAnsi="Gadugi"/>
          <w:i/>
          <w:iCs/>
          <w:spacing w:val="-3"/>
          <w:szCs w:val="24"/>
          <w:lang w:val="es-ES_tradnl"/>
        </w:rPr>
        <w:t xml:space="preserve">universal, </w:t>
      </w:r>
      <w:r w:rsidR="002579D8" w:rsidRPr="00EB5A74">
        <w:rPr>
          <w:rFonts w:ascii="Gadugi" w:hAnsi="Gadugi"/>
          <w:i/>
          <w:iCs/>
          <w:spacing w:val="-3"/>
          <w:szCs w:val="24"/>
          <w:lang w:val="es-ES_tradnl"/>
        </w:rPr>
        <w:t>el derecho a gananciales, que asciende a un 50 por ciento para cada cónyuge, es también un derecho universal, que no debe confundirse con los bienes mismos que forman el activo de la sociedad…</w:t>
      </w:r>
      <w:r w:rsidR="002579D8" w:rsidRPr="00EB5A74">
        <w:rPr>
          <w:rFonts w:ascii="Gadugi" w:hAnsi="Gadugi"/>
          <w:i/>
          <w:iCs/>
          <w:spacing w:val="-3"/>
          <w:sz w:val="24"/>
          <w:szCs w:val="24"/>
          <w:lang w:val="es-ES_tradnl"/>
        </w:rPr>
        <w:t>”</w:t>
      </w:r>
      <w:r w:rsidR="00335436" w:rsidRPr="00EB5A74">
        <w:rPr>
          <w:rFonts w:ascii="Gadugi" w:hAnsi="Gadugi"/>
          <w:iCs/>
          <w:spacing w:val="-3"/>
          <w:sz w:val="24"/>
          <w:szCs w:val="24"/>
          <w:lang w:val="es-ES_tradnl"/>
        </w:rPr>
        <w:t>.</w:t>
      </w:r>
    </w:p>
    <w:p w14:paraId="1AE2DAB7" w14:textId="77777777" w:rsidR="002579D8" w:rsidRPr="00EB5A74" w:rsidRDefault="002579D8" w:rsidP="00456FE4">
      <w:pPr>
        <w:spacing w:line="276" w:lineRule="auto"/>
        <w:ind w:firstLine="709"/>
        <w:jc w:val="both"/>
        <w:rPr>
          <w:rFonts w:ascii="Gadugi" w:hAnsi="Gadugi"/>
          <w:b/>
          <w:spacing w:val="-3"/>
          <w:sz w:val="24"/>
          <w:szCs w:val="24"/>
          <w:lang w:val="es-ES_tradnl"/>
        </w:rPr>
      </w:pPr>
    </w:p>
    <w:p w14:paraId="3452BCAE" w14:textId="6BE75330" w:rsidR="000F7BCB" w:rsidRPr="00EB5A74" w:rsidRDefault="002579D8" w:rsidP="00456FE4">
      <w:pPr>
        <w:spacing w:after="0" w:line="276" w:lineRule="auto"/>
        <w:ind w:firstLine="1701"/>
        <w:jc w:val="both"/>
        <w:rPr>
          <w:rFonts w:ascii="Gadugi" w:hAnsi="Gadugi"/>
          <w:b/>
          <w:i/>
          <w:iCs/>
          <w:spacing w:val="-3"/>
          <w:sz w:val="24"/>
          <w:szCs w:val="24"/>
          <w:lang w:val="es-ES_tradnl"/>
        </w:rPr>
      </w:pPr>
      <w:r w:rsidRPr="00EB5A74">
        <w:rPr>
          <w:rFonts w:ascii="Gadugi" w:hAnsi="Gadugi"/>
          <w:spacing w:val="-3"/>
          <w:sz w:val="24"/>
          <w:szCs w:val="24"/>
          <w:lang w:val="es-ES_tradnl"/>
        </w:rPr>
        <w:t>C</w:t>
      </w:r>
      <w:r w:rsidR="00543D02" w:rsidRPr="00EB5A74">
        <w:rPr>
          <w:rFonts w:ascii="Gadugi" w:hAnsi="Gadugi"/>
          <w:spacing w:val="-3"/>
          <w:sz w:val="24"/>
          <w:szCs w:val="24"/>
          <w:lang w:val="es-ES_tradnl"/>
        </w:rPr>
        <w:t xml:space="preserve">omo ello es así, pronto aflora la conclusión, ya expuesta en el </w:t>
      </w:r>
      <w:r w:rsidR="008E78A7" w:rsidRPr="00EB5A74">
        <w:rPr>
          <w:rFonts w:ascii="Gadugi" w:hAnsi="Gadugi"/>
          <w:spacing w:val="-3"/>
          <w:sz w:val="24"/>
          <w:szCs w:val="24"/>
          <w:lang w:val="es-ES_tradnl"/>
        </w:rPr>
        <w:t xml:space="preserve">auto del 2018, acerca de que </w:t>
      </w:r>
      <w:r w:rsidR="00941500" w:rsidRPr="00EB5A74">
        <w:rPr>
          <w:rFonts w:ascii="Gadugi" w:hAnsi="Gadugi"/>
          <w:i/>
          <w:iCs/>
          <w:spacing w:val="-3"/>
          <w:sz w:val="24"/>
          <w:szCs w:val="24"/>
          <w:lang w:val="es-ES_tradnl"/>
        </w:rPr>
        <w:t>“</w:t>
      </w:r>
      <w:r w:rsidR="00941500" w:rsidRPr="00EB5A74">
        <w:rPr>
          <w:rFonts w:ascii="Gadugi" w:hAnsi="Gadugi"/>
          <w:i/>
          <w:iCs/>
          <w:spacing w:val="-3"/>
          <w:szCs w:val="24"/>
          <w:lang w:val="es-ES_tradnl"/>
        </w:rPr>
        <w:t>…</w:t>
      </w:r>
      <w:r w:rsidR="009E3491" w:rsidRPr="00EB5A74">
        <w:rPr>
          <w:rFonts w:ascii="Gadugi" w:hAnsi="Gadugi"/>
          <w:i/>
          <w:iCs/>
          <w:spacing w:val="-3"/>
          <w:szCs w:val="24"/>
          <w:lang w:val="es-ES_tradnl"/>
        </w:rPr>
        <w:t xml:space="preserve"> </w:t>
      </w:r>
      <w:r w:rsidR="00941500" w:rsidRPr="00EB5A74">
        <w:rPr>
          <w:rFonts w:ascii="Gadugi" w:hAnsi="Gadugi"/>
          <w:i/>
          <w:iCs/>
          <w:spacing w:val="-3"/>
          <w:szCs w:val="24"/>
          <w:lang w:val="es-ES_tradnl"/>
        </w:rPr>
        <w:t>la renuncia de gananciales merecía un análisis más profundo</w:t>
      </w:r>
      <w:r w:rsidR="000F7BCB" w:rsidRPr="00EB5A74">
        <w:rPr>
          <w:rFonts w:ascii="Gadugi" w:hAnsi="Gadugi"/>
          <w:i/>
          <w:iCs/>
          <w:spacing w:val="-3"/>
          <w:szCs w:val="24"/>
          <w:lang w:val="es-ES_tradnl"/>
        </w:rPr>
        <w:t>, en la medida en que la realidad parece reflejar que los bienes propios del cónyuge se abandonaron a la masa partible y se distribuyeron como si fueran sociales, y que a lo que se renunció fue “al mayor valor” que estos hubieran podido tener, situación que habría qué ventilar a la luz del artículo 1801 del C. Civil; pero, en estricto sentido, no se columbra una expresa renuncia de gananciales, entendidos como la mitad del acervo líquido, esto el, el que resulta luego de las deducciones de que tratan los artículos 1825 a 1829 del mismo estatuto</w:t>
      </w:r>
      <w:r w:rsidR="000F7BCB" w:rsidRPr="00EB5A74">
        <w:rPr>
          <w:rFonts w:ascii="Gadugi" w:hAnsi="Gadugi"/>
          <w:i/>
          <w:iCs/>
          <w:spacing w:val="-3"/>
          <w:sz w:val="24"/>
          <w:szCs w:val="24"/>
          <w:lang w:val="es-ES_tradnl"/>
        </w:rPr>
        <w:t xml:space="preserve">”. </w:t>
      </w:r>
    </w:p>
    <w:p w14:paraId="5BA0403E" w14:textId="77777777" w:rsidR="009E3491" w:rsidRPr="00EB5A74" w:rsidRDefault="009E3491" w:rsidP="00456FE4">
      <w:pPr>
        <w:spacing w:after="0" w:line="276" w:lineRule="auto"/>
        <w:ind w:firstLine="1701"/>
        <w:jc w:val="both"/>
        <w:rPr>
          <w:rFonts w:ascii="Gadugi" w:hAnsi="Gadugi"/>
          <w:spacing w:val="-3"/>
          <w:sz w:val="24"/>
          <w:szCs w:val="24"/>
          <w:lang w:val="es-ES_tradnl"/>
        </w:rPr>
      </w:pPr>
    </w:p>
    <w:p w14:paraId="0F62D5E4" w14:textId="246F4469" w:rsidR="000F7BCB" w:rsidRPr="00EB5A74" w:rsidRDefault="000F7BCB" w:rsidP="00456FE4">
      <w:pPr>
        <w:spacing w:after="0" w:line="276" w:lineRule="auto"/>
        <w:ind w:firstLine="1701"/>
        <w:jc w:val="both"/>
        <w:rPr>
          <w:rFonts w:ascii="Gadugi" w:hAnsi="Gadugi"/>
          <w:b/>
          <w:spacing w:val="-3"/>
          <w:sz w:val="24"/>
          <w:szCs w:val="24"/>
          <w:lang w:val="es-ES_tradnl"/>
        </w:rPr>
      </w:pPr>
      <w:r w:rsidRPr="00EB5A74">
        <w:rPr>
          <w:rFonts w:ascii="Gadugi" w:hAnsi="Gadugi"/>
          <w:spacing w:val="-3"/>
          <w:sz w:val="24"/>
          <w:szCs w:val="24"/>
          <w:lang w:val="es-ES_tradnl"/>
        </w:rPr>
        <w:t>Sobre este particular nada dijo la funcionaria</w:t>
      </w:r>
      <w:r w:rsidR="00335436" w:rsidRPr="00EB5A74">
        <w:rPr>
          <w:rFonts w:ascii="Gadugi" w:hAnsi="Gadugi"/>
          <w:bCs/>
          <w:spacing w:val="-3"/>
          <w:sz w:val="24"/>
          <w:szCs w:val="24"/>
          <w:lang w:val="es-ES_tradnl"/>
        </w:rPr>
        <w:t>; más bien</w:t>
      </w:r>
      <w:r w:rsidRPr="00EB5A74">
        <w:rPr>
          <w:rFonts w:ascii="Gadugi" w:hAnsi="Gadugi"/>
          <w:bCs/>
          <w:spacing w:val="-3"/>
          <w:sz w:val="24"/>
          <w:szCs w:val="24"/>
          <w:lang w:val="es-ES_tradnl"/>
        </w:rPr>
        <w:t>,</w:t>
      </w:r>
      <w:r w:rsidRPr="00EB5A74">
        <w:rPr>
          <w:rFonts w:ascii="Gadugi" w:hAnsi="Gadugi"/>
          <w:spacing w:val="-3"/>
          <w:sz w:val="24"/>
          <w:szCs w:val="24"/>
          <w:lang w:val="es-ES_tradnl"/>
        </w:rPr>
        <w:t xml:space="preserve"> encaminó las cosas por la renuncia de gananciales que, reitera esta Sala, no existió en este caso, lo cual es tan evidente, que basta ver la misma escritura pública para concluir que la universalidad conformada durante el matrimonio fue incluida toda en el haber social y al final fue liquidada entre los consortes. Otra cosa, es que esa liquidación hubiera podido ser diferente </w:t>
      </w:r>
      <w:r w:rsidR="00050665" w:rsidRPr="00EB5A74">
        <w:rPr>
          <w:rFonts w:ascii="Gadugi" w:hAnsi="Gadugi"/>
          <w:spacing w:val="-3"/>
          <w:sz w:val="24"/>
          <w:szCs w:val="24"/>
          <w:lang w:val="es-ES_tradnl"/>
        </w:rPr>
        <w:t xml:space="preserve">si no se hubieran incluido algunos bienes propios del causante, pero lo que si no puede sostenerse en este caso es que hubo </w:t>
      </w:r>
      <w:r w:rsidR="00844F48" w:rsidRPr="00EB5A74">
        <w:rPr>
          <w:rFonts w:ascii="Gadugi" w:hAnsi="Gadugi"/>
          <w:spacing w:val="-3"/>
          <w:sz w:val="24"/>
          <w:szCs w:val="24"/>
          <w:lang w:val="es-ES_tradnl"/>
        </w:rPr>
        <w:t xml:space="preserve">tal </w:t>
      </w:r>
      <w:r w:rsidR="00050665" w:rsidRPr="00EB5A74">
        <w:rPr>
          <w:rFonts w:ascii="Gadugi" w:hAnsi="Gadugi"/>
          <w:spacing w:val="-3"/>
          <w:sz w:val="24"/>
          <w:szCs w:val="24"/>
          <w:lang w:val="es-ES_tradnl"/>
        </w:rPr>
        <w:t xml:space="preserve">renuncia, así que esa disertación de la Sala, en la providencia ya citada, no varía ahora. </w:t>
      </w:r>
    </w:p>
    <w:p w14:paraId="44F72A6C" w14:textId="592339D7" w:rsidR="00050665" w:rsidRPr="00EB5A74" w:rsidRDefault="00050665" w:rsidP="00456FE4">
      <w:pPr>
        <w:spacing w:after="0" w:line="276" w:lineRule="auto"/>
        <w:ind w:firstLine="709"/>
        <w:jc w:val="both"/>
        <w:rPr>
          <w:rFonts w:ascii="Gadugi" w:hAnsi="Gadugi"/>
          <w:b/>
          <w:spacing w:val="-3"/>
          <w:sz w:val="24"/>
          <w:szCs w:val="24"/>
          <w:lang w:val="es-ES_tradnl"/>
        </w:rPr>
      </w:pPr>
    </w:p>
    <w:p w14:paraId="212283F1" w14:textId="58DB0FBC" w:rsidR="000F7BCB" w:rsidRPr="00EB5A74" w:rsidRDefault="00050665" w:rsidP="00456FE4">
      <w:pPr>
        <w:spacing w:after="0" w:line="276" w:lineRule="auto"/>
        <w:ind w:firstLine="1701"/>
        <w:jc w:val="both"/>
        <w:rPr>
          <w:rFonts w:ascii="Gadugi" w:hAnsi="Gadugi"/>
          <w:spacing w:val="-3"/>
          <w:sz w:val="24"/>
          <w:szCs w:val="24"/>
          <w:lang w:val="es-ES_tradnl"/>
        </w:rPr>
      </w:pPr>
      <w:r w:rsidRPr="00EB5A74">
        <w:rPr>
          <w:rFonts w:ascii="Gadugi" w:hAnsi="Gadugi"/>
          <w:spacing w:val="-3"/>
          <w:sz w:val="24"/>
          <w:szCs w:val="24"/>
          <w:lang w:val="es-ES_tradnl"/>
        </w:rPr>
        <w:t>Co</w:t>
      </w:r>
      <w:r w:rsidR="00AB3BCA">
        <w:rPr>
          <w:rFonts w:ascii="Gadugi" w:hAnsi="Gadugi"/>
          <w:spacing w:val="-3"/>
          <w:sz w:val="24"/>
          <w:szCs w:val="24"/>
          <w:lang w:val="es-ES_tradnl"/>
        </w:rPr>
        <w:t>rola</w:t>
      </w:r>
      <w:r w:rsidRPr="00EB5A74">
        <w:rPr>
          <w:rFonts w:ascii="Gadugi" w:hAnsi="Gadugi"/>
          <w:spacing w:val="-3"/>
          <w:sz w:val="24"/>
          <w:szCs w:val="24"/>
          <w:lang w:val="es-ES_tradnl"/>
        </w:rPr>
        <w:t xml:space="preserve">rio de ello, es que la inoponibilidad que, al decir de la Corte, emerge del contenido del artículo 1775 del C. Civil, es improcedente en este específico caso. La sentencia del órgano de cierre del año 2006, que sirve de referente a todos, parte del supuesto claro, como también lo hacen otras posteriores ya citadas, de que se renunció a la universalidad de bienes, no a un bien individualmente considerado, y mucho menos tiene como soporte la inclusión de un bien propio en la liquidación de la sociedad y la partición, pues allí no se estructura dicha </w:t>
      </w:r>
      <w:r w:rsidR="00335436" w:rsidRPr="00EB5A74">
        <w:rPr>
          <w:rFonts w:ascii="Gadugi" w:hAnsi="Gadugi"/>
          <w:spacing w:val="-3"/>
          <w:sz w:val="24"/>
          <w:szCs w:val="24"/>
          <w:lang w:val="es-ES_tradnl"/>
        </w:rPr>
        <w:t>abdicación</w:t>
      </w:r>
      <w:r w:rsidRPr="00EB5A74">
        <w:rPr>
          <w:rFonts w:ascii="Gadugi" w:hAnsi="Gadugi"/>
          <w:spacing w:val="-3"/>
          <w:sz w:val="24"/>
          <w:szCs w:val="24"/>
          <w:lang w:val="es-ES_tradnl"/>
        </w:rPr>
        <w:t xml:space="preserve">. </w:t>
      </w:r>
    </w:p>
    <w:p w14:paraId="30F63590" w14:textId="442DC1A5" w:rsidR="00050665" w:rsidRPr="00EB5A74" w:rsidRDefault="00050665" w:rsidP="00456FE4">
      <w:pPr>
        <w:spacing w:after="0" w:line="276" w:lineRule="auto"/>
        <w:ind w:firstLine="709"/>
        <w:jc w:val="both"/>
        <w:rPr>
          <w:rFonts w:ascii="Gadugi" w:hAnsi="Gadugi"/>
          <w:spacing w:val="-3"/>
          <w:sz w:val="24"/>
          <w:szCs w:val="24"/>
          <w:lang w:val="es-ES_tradnl"/>
        </w:rPr>
      </w:pPr>
    </w:p>
    <w:p w14:paraId="76474B1C" w14:textId="77777777" w:rsidR="00EC1298" w:rsidRPr="00EB5A74" w:rsidRDefault="00FA3293" w:rsidP="00456FE4">
      <w:pPr>
        <w:spacing w:after="0" w:line="276" w:lineRule="auto"/>
        <w:ind w:firstLine="1701"/>
        <w:jc w:val="both"/>
        <w:rPr>
          <w:rFonts w:ascii="Gadugi" w:hAnsi="Gadugi"/>
          <w:spacing w:val="-3"/>
          <w:sz w:val="24"/>
          <w:szCs w:val="24"/>
          <w:lang w:val="es-ES_tradnl"/>
        </w:rPr>
      </w:pPr>
      <w:r w:rsidRPr="00EB5A74">
        <w:rPr>
          <w:rFonts w:ascii="Gadugi" w:hAnsi="Gadugi"/>
          <w:spacing w:val="-3"/>
          <w:sz w:val="24"/>
          <w:szCs w:val="24"/>
          <w:lang w:val="es-ES_tradnl"/>
        </w:rPr>
        <w:t xml:space="preserve">A partir de allí, el acto que se discute, el del abandono de unos bienes propios en beneficio de la masa conyugal, </w:t>
      </w:r>
      <w:r w:rsidR="00EC1298" w:rsidRPr="00EB5A74">
        <w:rPr>
          <w:rFonts w:ascii="Gadugi" w:hAnsi="Gadugi"/>
          <w:spacing w:val="-3"/>
          <w:sz w:val="24"/>
          <w:szCs w:val="24"/>
          <w:lang w:val="es-ES_tradnl"/>
        </w:rPr>
        <w:t xml:space="preserve">no se puede discutir por la simple vía de la inoponibilidad; a su decaimiento debe llegarse por una diferente, para el caso concreto, el de la simulación, si es que lo que se ha querido sostener siempre es que ese acuerdo de voluntades plasmado en la escritura pública envuelve en realidad una donación; y a partir de allí, por el de la nulidad, si es que se concluyera que era necesaria la insinuación y no se obtuvo. </w:t>
      </w:r>
    </w:p>
    <w:p w14:paraId="7341C011" w14:textId="77777777" w:rsidR="00EC1298" w:rsidRPr="00EB5A74" w:rsidRDefault="00EC1298" w:rsidP="00456FE4">
      <w:pPr>
        <w:spacing w:after="0" w:line="276" w:lineRule="auto"/>
        <w:ind w:firstLine="1701"/>
        <w:jc w:val="both"/>
        <w:rPr>
          <w:rFonts w:ascii="Gadugi" w:hAnsi="Gadugi"/>
          <w:spacing w:val="-3"/>
          <w:sz w:val="24"/>
          <w:szCs w:val="24"/>
          <w:lang w:val="es-ES_tradnl"/>
        </w:rPr>
      </w:pPr>
    </w:p>
    <w:p w14:paraId="375F7CAF" w14:textId="00F2D741" w:rsidR="00AF1D0B" w:rsidRPr="00EB5A74" w:rsidRDefault="00050665" w:rsidP="00456FE4">
      <w:pPr>
        <w:spacing w:after="0" w:line="276" w:lineRule="auto"/>
        <w:ind w:firstLine="1701"/>
        <w:jc w:val="both"/>
        <w:rPr>
          <w:rFonts w:ascii="Gadugi" w:hAnsi="Gadugi"/>
          <w:spacing w:val="-3"/>
          <w:sz w:val="24"/>
          <w:szCs w:val="24"/>
          <w:lang w:val="es-ES_tradnl"/>
        </w:rPr>
      </w:pPr>
      <w:r w:rsidRPr="00EB5A74">
        <w:rPr>
          <w:rFonts w:ascii="Gadugi" w:hAnsi="Gadugi"/>
          <w:spacing w:val="-3"/>
          <w:sz w:val="24"/>
          <w:szCs w:val="24"/>
          <w:lang w:val="es-ES_tradnl"/>
        </w:rPr>
        <w:t>En consecuencia, la sentencia de primer grado, en cuanto declaró la inoponibilidad de la renuncia de ganan</w:t>
      </w:r>
      <w:r w:rsidR="005C0ACA" w:rsidRPr="00EB5A74">
        <w:rPr>
          <w:rFonts w:ascii="Gadugi" w:hAnsi="Gadugi"/>
          <w:spacing w:val="-3"/>
          <w:sz w:val="24"/>
          <w:szCs w:val="24"/>
          <w:lang w:val="es-ES_tradnl"/>
        </w:rPr>
        <w:t>ciales, tiene que ser revocada, porque su</w:t>
      </w:r>
      <w:r w:rsidR="00335436" w:rsidRPr="00EB5A74">
        <w:rPr>
          <w:rFonts w:ascii="Gadugi" w:hAnsi="Gadugi"/>
          <w:spacing w:val="-3"/>
          <w:sz w:val="24"/>
          <w:szCs w:val="24"/>
          <w:lang w:val="es-ES_tradnl"/>
        </w:rPr>
        <w:t xml:space="preserve"> </w:t>
      </w:r>
      <w:r w:rsidR="005C0ACA" w:rsidRPr="00EB5A74">
        <w:rPr>
          <w:rFonts w:ascii="Gadugi" w:hAnsi="Gadugi"/>
          <w:spacing w:val="-3"/>
          <w:sz w:val="24"/>
          <w:szCs w:val="24"/>
          <w:lang w:val="es-ES_tradnl"/>
        </w:rPr>
        <w:t>sustento dista mucho de lo que aquí aconteció</w:t>
      </w:r>
      <w:r w:rsidR="005715D9" w:rsidRPr="00EB5A74">
        <w:rPr>
          <w:rFonts w:ascii="Gadugi" w:hAnsi="Gadugi"/>
          <w:spacing w:val="-3"/>
          <w:sz w:val="24"/>
          <w:szCs w:val="24"/>
          <w:lang w:val="es-ES_tradnl"/>
        </w:rPr>
        <w:t>.</w:t>
      </w:r>
      <w:r w:rsidR="00AF1D0B" w:rsidRPr="00EB5A74">
        <w:rPr>
          <w:rFonts w:ascii="Gadugi" w:hAnsi="Gadugi"/>
          <w:spacing w:val="-3"/>
          <w:sz w:val="24"/>
          <w:szCs w:val="24"/>
          <w:lang w:val="es-ES_tradnl"/>
        </w:rPr>
        <w:t xml:space="preserve"> </w:t>
      </w:r>
    </w:p>
    <w:p w14:paraId="40B3820B" w14:textId="77777777" w:rsidR="00AF1D0B" w:rsidRPr="00EB5A74" w:rsidRDefault="00AF1D0B" w:rsidP="00456FE4">
      <w:pPr>
        <w:spacing w:after="0" w:line="276" w:lineRule="auto"/>
        <w:ind w:firstLine="1701"/>
        <w:jc w:val="both"/>
        <w:rPr>
          <w:rFonts w:ascii="Gadugi" w:hAnsi="Gadugi"/>
          <w:spacing w:val="-3"/>
          <w:sz w:val="24"/>
          <w:szCs w:val="24"/>
          <w:lang w:val="es-ES_tradnl"/>
        </w:rPr>
      </w:pPr>
    </w:p>
    <w:p w14:paraId="49315FD8" w14:textId="653F191E" w:rsidR="005C0ACA" w:rsidRPr="00EB5A74" w:rsidRDefault="00DE7C33" w:rsidP="00456FE4">
      <w:pPr>
        <w:tabs>
          <w:tab w:val="left" w:pos="2552"/>
        </w:tabs>
        <w:spacing w:after="0" w:line="276" w:lineRule="auto"/>
        <w:ind w:firstLine="1701"/>
        <w:jc w:val="both"/>
        <w:rPr>
          <w:rFonts w:ascii="Gadugi" w:hAnsi="Gadugi"/>
          <w:spacing w:val="-3"/>
          <w:sz w:val="24"/>
          <w:szCs w:val="24"/>
          <w:lang w:val="es-ES_tradnl"/>
        </w:rPr>
      </w:pPr>
      <w:r w:rsidRPr="00EB5A74">
        <w:rPr>
          <w:rFonts w:ascii="Gadugi" w:hAnsi="Gadugi"/>
          <w:spacing w:val="-3"/>
          <w:sz w:val="24"/>
          <w:szCs w:val="24"/>
          <w:lang w:val="es-ES_tradnl"/>
        </w:rPr>
        <w:t xml:space="preserve">También, claro, en aquella parte que ordenó la cancelación de los registros, por cuanto, ni siquiera de haber salido avante la pretensión, ello podría acontecer, si como viene de decirse, la inoponibilidad no destruye el acto jurídico, sino que paraliza sus efectos frente a uno o varios sujetos, y en este caso habría que dejar a salvo los intereses de terceros adquirentes de buena fe, a quienes ni siquiera se les vinculó al proceso </w:t>
      </w:r>
      <w:r w:rsidR="006065AF" w:rsidRPr="00EB5A74">
        <w:rPr>
          <w:rFonts w:ascii="Gadugi" w:hAnsi="Gadugi"/>
          <w:spacing w:val="-3"/>
          <w:sz w:val="24"/>
          <w:szCs w:val="24"/>
          <w:lang w:val="es-ES_tradnl"/>
        </w:rPr>
        <w:t xml:space="preserve">e incluso </w:t>
      </w:r>
      <w:r w:rsidRPr="00EB5A74">
        <w:rPr>
          <w:rFonts w:ascii="Gadugi" w:hAnsi="Gadugi"/>
          <w:spacing w:val="-3"/>
          <w:sz w:val="24"/>
          <w:szCs w:val="24"/>
          <w:lang w:val="es-ES_tradnl"/>
        </w:rPr>
        <w:t xml:space="preserve">asentaron sus adquisiciones con antelación a la iniciación de este proceso. </w:t>
      </w:r>
    </w:p>
    <w:p w14:paraId="689FB129" w14:textId="77777777" w:rsidR="00832725" w:rsidRPr="00EB5A74" w:rsidRDefault="00832725" w:rsidP="00456FE4">
      <w:pPr>
        <w:spacing w:after="0" w:line="276" w:lineRule="auto"/>
        <w:ind w:firstLine="1701"/>
        <w:jc w:val="both"/>
        <w:rPr>
          <w:rFonts w:ascii="Gadugi" w:hAnsi="Gadugi"/>
          <w:spacing w:val="-3"/>
          <w:sz w:val="24"/>
          <w:szCs w:val="24"/>
          <w:lang w:val="es-ES_tradnl"/>
        </w:rPr>
      </w:pPr>
    </w:p>
    <w:p w14:paraId="76B773B7" w14:textId="515C595F" w:rsidR="00335436" w:rsidRPr="00EB5A74" w:rsidRDefault="00832725" w:rsidP="00456FE4">
      <w:pPr>
        <w:numPr>
          <w:ilvl w:val="2"/>
          <w:numId w:val="1"/>
        </w:numPr>
        <w:tabs>
          <w:tab w:val="left" w:pos="2410"/>
        </w:tabs>
        <w:spacing w:after="0" w:line="276" w:lineRule="auto"/>
        <w:ind w:left="0" w:firstLine="1701"/>
        <w:jc w:val="both"/>
        <w:rPr>
          <w:rFonts w:ascii="Gadugi" w:hAnsi="Gadugi"/>
          <w:b/>
          <w:bCs/>
          <w:spacing w:val="-3"/>
          <w:sz w:val="24"/>
          <w:szCs w:val="24"/>
          <w:lang w:val="es-ES_tradnl"/>
        </w:rPr>
      </w:pPr>
      <w:r w:rsidRPr="00EB5A74">
        <w:rPr>
          <w:rFonts w:ascii="Gadugi" w:hAnsi="Gadugi"/>
          <w:spacing w:val="-3"/>
          <w:sz w:val="24"/>
          <w:szCs w:val="24"/>
          <w:lang w:val="es-ES_tradnl"/>
        </w:rPr>
        <w:t xml:space="preserve"> </w:t>
      </w:r>
      <w:r w:rsidR="006065AF" w:rsidRPr="00EB5A74">
        <w:rPr>
          <w:rFonts w:ascii="Gadugi" w:hAnsi="Gadugi"/>
          <w:b/>
          <w:bCs/>
          <w:spacing w:val="-3"/>
          <w:sz w:val="24"/>
          <w:szCs w:val="24"/>
          <w:lang w:val="es-ES_tradnl"/>
        </w:rPr>
        <w:t xml:space="preserve">Sobre la nulidad absoluta. </w:t>
      </w:r>
    </w:p>
    <w:p w14:paraId="5EDD656E" w14:textId="380C5DA3" w:rsidR="00832725" w:rsidRPr="00EB5A74" w:rsidRDefault="00832725" w:rsidP="00456FE4">
      <w:pPr>
        <w:spacing w:after="0" w:line="276" w:lineRule="auto"/>
        <w:ind w:hanging="1854"/>
        <w:jc w:val="both"/>
        <w:rPr>
          <w:rFonts w:ascii="Gadugi" w:hAnsi="Gadugi"/>
          <w:spacing w:val="-3"/>
          <w:sz w:val="24"/>
          <w:szCs w:val="24"/>
          <w:lang w:val="es-ES_tradnl"/>
        </w:rPr>
      </w:pPr>
    </w:p>
    <w:p w14:paraId="4AFA26A2" w14:textId="3E3A5DA0" w:rsidR="00273096" w:rsidRPr="00EB5A74" w:rsidRDefault="00832725" w:rsidP="00456FE4">
      <w:pPr>
        <w:tabs>
          <w:tab w:val="left" w:pos="1701"/>
        </w:tabs>
        <w:spacing w:after="0" w:line="276" w:lineRule="auto"/>
        <w:ind w:left="153" w:hanging="1854"/>
        <w:jc w:val="both"/>
        <w:rPr>
          <w:rFonts w:ascii="Gadugi" w:hAnsi="Gadugi"/>
          <w:bCs/>
          <w:spacing w:val="-3"/>
          <w:sz w:val="24"/>
          <w:szCs w:val="24"/>
          <w:lang w:val="es-ES_tradnl"/>
        </w:rPr>
      </w:pPr>
      <w:r w:rsidRPr="00EB5A74">
        <w:rPr>
          <w:rFonts w:ascii="Gadugi" w:hAnsi="Gadugi"/>
          <w:spacing w:val="-3"/>
          <w:sz w:val="24"/>
          <w:szCs w:val="24"/>
          <w:lang w:val="es-ES_tradnl"/>
        </w:rPr>
        <w:t xml:space="preserve"> </w:t>
      </w:r>
      <w:r w:rsidRPr="00EB5A74">
        <w:rPr>
          <w:rFonts w:ascii="Gadugi" w:hAnsi="Gadugi"/>
          <w:spacing w:val="-3"/>
          <w:sz w:val="24"/>
          <w:szCs w:val="24"/>
          <w:lang w:val="es-ES_tradnl"/>
        </w:rPr>
        <w:tab/>
      </w:r>
      <w:r w:rsidRPr="00EB5A74">
        <w:rPr>
          <w:rFonts w:ascii="Gadugi" w:hAnsi="Gadugi"/>
          <w:spacing w:val="-3"/>
          <w:sz w:val="24"/>
          <w:szCs w:val="24"/>
          <w:lang w:val="es-ES_tradnl"/>
        </w:rPr>
        <w:tab/>
        <w:t>No está por demás</w:t>
      </w:r>
      <w:r w:rsidRPr="00EB5A74">
        <w:rPr>
          <w:rFonts w:ascii="Gadugi" w:hAnsi="Gadugi"/>
          <w:bCs/>
          <w:spacing w:val="-3"/>
          <w:sz w:val="24"/>
          <w:szCs w:val="24"/>
          <w:lang w:val="es-ES_tradnl"/>
        </w:rPr>
        <w:t xml:space="preserve"> recordar que la demanda inicial propuso una pretensión principal y unas subsidiarias. La principal fue la inoponibilidad, ya resuelta</w:t>
      </w:r>
      <w:r w:rsidR="004B78E7" w:rsidRPr="00EB5A74">
        <w:rPr>
          <w:rFonts w:ascii="Gadugi" w:hAnsi="Gadugi"/>
          <w:bCs/>
          <w:spacing w:val="-3"/>
          <w:sz w:val="24"/>
          <w:szCs w:val="24"/>
          <w:lang w:val="es-ES_tradnl"/>
        </w:rPr>
        <w:t>. Las subsidiarias consistieron, primero, en la simulación, luego en la nulidad relativa y</w:t>
      </w:r>
      <w:r w:rsidR="00AF1D0B" w:rsidRPr="00EB5A74">
        <w:rPr>
          <w:rFonts w:ascii="Gadugi" w:hAnsi="Gadugi"/>
          <w:bCs/>
          <w:spacing w:val="-3"/>
          <w:sz w:val="24"/>
          <w:szCs w:val="24"/>
          <w:lang w:val="es-ES_tradnl"/>
        </w:rPr>
        <w:t>,</w:t>
      </w:r>
      <w:r w:rsidR="004B78E7" w:rsidRPr="00EB5A74">
        <w:rPr>
          <w:rFonts w:ascii="Gadugi" w:hAnsi="Gadugi"/>
          <w:bCs/>
          <w:spacing w:val="-3"/>
          <w:sz w:val="24"/>
          <w:szCs w:val="24"/>
          <w:lang w:val="es-ES_tradnl"/>
        </w:rPr>
        <w:t xml:space="preserve"> finalmente</w:t>
      </w:r>
      <w:r w:rsidR="00AF1D0B" w:rsidRPr="00EB5A74">
        <w:rPr>
          <w:rFonts w:ascii="Gadugi" w:hAnsi="Gadugi"/>
          <w:bCs/>
          <w:spacing w:val="-3"/>
          <w:sz w:val="24"/>
          <w:szCs w:val="24"/>
          <w:lang w:val="es-ES_tradnl"/>
        </w:rPr>
        <w:t>,</w:t>
      </w:r>
      <w:r w:rsidR="004B78E7" w:rsidRPr="00EB5A74">
        <w:rPr>
          <w:rFonts w:ascii="Gadugi" w:hAnsi="Gadugi"/>
          <w:bCs/>
          <w:spacing w:val="-3"/>
          <w:sz w:val="24"/>
          <w:szCs w:val="24"/>
          <w:lang w:val="es-ES_tradnl"/>
        </w:rPr>
        <w:t xml:space="preserve"> en la nulidad absoluta del acto contenido en la escritura pública 2360 de 1979. Pero el juzgado la inadmitió</w:t>
      </w:r>
      <w:r w:rsidR="00273096" w:rsidRPr="00EB5A74">
        <w:rPr>
          <w:rStyle w:val="Refdenotaalpie"/>
          <w:rFonts w:ascii="Gadugi" w:hAnsi="Gadugi"/>
          <w:bCs/>
          <w:spacing w:val="-3"/>
          <w:sz w:val="24"/>
          <w:szCs w:val="24"/>
          <w:lang w:val="es-ES_tradnl"/>
        </w:rPr>
        <w:footnoteReference w:id="35"/>
      </w:r>
      <w:r w:rsidR="004B78E7" w:rsidRPr="00EB5A74">
        <w:rPr>
          <w:rFonts w:ascii="Gadugi" w:hAnsi="Gadugi"/>
          <w:bCs/>
          <w:spacing w:val="-3"/>
          <w:sz w:val="24"/>
          <w:szCs w:val="24"/>
          <w:lang w:val="es-ES_tradnl"/>
        </w:rPr>
        <w:t xml:space="preserve"> y </w:t>
      </w:r>
      <w:r w:rsidR="00273096" w:rsidRPr="00EB5A74">
        <w:rPr>
          <w:rFonts w:ascii="Gadugi" w:hAnsi="Gadugi"/>
          <w:bCs/>
          <w:spacing w:val="-3"/>
          <w:sz w:val="24"/>
          <w:szCs w:val="24"/>
          <w:lang w:val="es-ES_tradnl"/>
        </w:rPr>
        <w:t xml:space="preserve">como respuesta a ello, </w:t>
      </w:r>
      <w:r w:rsidR="005A710E" w:rsidRPr="00EB5A74">
        <w:rPr>
          <w:rFonts w:ascii="Gadugi" w:hAnsi="Gadugi"/>
          <w:bCs/>
          <w:spacing w:val="-3"/>
          <w:sz w:val="24"/>
          <w:szCs w:val="24"/>
          <w:lang w:val="es-ES_tradnl"/>
        </w:rPr>
        <w:t xml:space="preserve">sin discutir la cuestión, </w:t>
      </w:r>
      <w:r w:rsidR="00273096" w:rsidRPr="00EB5A74">
        <w:rPr>
          <w:rFonts w:ascii="Gadugi" w:hAnsi="Gadugi"/>
          <w:bCs/>
          <w:spacing w:val="-3"/>
          <w:sz w:val="24"/>
          <w:szCs w:val="24"/>
          <w:lang w:val="es-ES_tradnl"/>
        </w:rPr>
        <w:t>expresamente la demandante excluyó la simulación y la nulidad relativa</w:t>
      </w:r>
      <w:r w:rsidR="00273096" w:rsidRPr="00EB5A74">
        <w:rPr>
          <w:rStyle w:val="Refdenotaalpie"/>
          <w:rFonts w:ascii="Gadugi" w:hAnsi="Gadugi"/>
          <w:bCs/>
          <w:spacing w:val="-3"/>
          <w:sz w:val="24"/>
          <w:szCs w:val="24"/>
          <w:lang w:val="es-ES_tradnl"/>
        </w:rPr>
        <w:footnoteReference w:id="36"/>
      </w:r>
      <w:r w:rsidR="005A710E" w:rsidRPr="00EB5A74">
        <w:rPr>
          <w:rFonts w:ascii="Gadugi" w:hAnsi="Gadugi"/>
          <w:bCs/>
          <w:spacing w:val="-3"/>
          <w:sz w:val="24"/>
          <w:szCs w:val="24"/>
          <w:lang w:val="es-ES_tradnl"/>
        </w:rPr>
        <w:t xml:space="preserve">. </w:t>
      </w:r>
    </w:p>
    <w:p w14:paraId="32D53DBD" w14:textId="39AE4E28" w:rsidR="005A710E" w:rsidRPr="00EB5A74" w:rsidRDefault="005A710E" w:rsidP="00456FE4">
      <w:pPr>
        <w:spacing w:after="0" w:line="276" w:lineRule="auto"/>
        <w:jc w:val="both"/>
        <w:rPr>
          <w:rFonts w:ascii="Gadugi" w:hAnsi="Gadugi"/>
          <w:bCs/>
          <w:spacing w:val="-3"/>
          <w:sz w:val="24"/>
          <w:szCs w:val="24"/>
          <w:lang w:val="es-ES_tradnl"/>
        </w:rPr>
      </w:pPr>
    </w:p>
    <w:p w14:paraId="6EF92DD8" w14:textId="7E2C9327" w:rsidR="005A710E" w:rsidRPr="00EB5A74" w:rsidRDefault="005A710E" w:rsidP="00456FE4">
      <w:pPr>
        <w:tabs>
          <w:tab w:val="left" w:pos="1701"/>
        </w:tabs>
        <w:spacing w:after="0" w:line="276" w:lineRule="auto"/>
        <w:jc w:val="both"/>
        <w:rPr>
          <w:rFonts w:ascii="Gadugi" w:hAnsi="Gadugi"/>
          <w:bCs/>
          <w:spacing w:val="-3"/>
          <w:sz w:val="24"/>
          <w:szCs w:val="24"/>
          <w:lang w:val="es-ES_tradnl"/>
        </w:rPr>
      </w:pPr>
      <w:r w:rsidRPr="00EB5A74">
        <w:rPr>
          <w:rFonts w:ascii="Gadugi" w:hAnsi="Gadugi"/>
          <w:bCs/>
          <w:spacing w:val="-3"/>
          <w:sz w:val="24"/>
          <w:szCs w:val="24"/>
          <w:lang w:val="es-ES_tradnl"/>
        </w:rPr>
        <w:t xml:space="preserve">  </w:t>
      </w:r>
      <w:r w:rsidRPr="00EB5A74">
        <w:rPr>
          <w:rFonts w:ascii="Gadugi" w:hAnsi="Gadugi"/>
          <w:bCs/>
          <w:spacing w:val="-3"/>
          <w:sz w:val="24"/>
          <w:szCs w:val="24"/>
          <w:lang w:val="es-ES_tradnl"/>
        </w:rPr>
        <w:tab/>
        <w:t xml:space="preserve">Y esto es importante, porque, vuelve a decirse, la demanda misma mezcla de manera inapropiada los hechos en que se fundaban todas las pretensiones, principales y subsidiarias, pues al paso que señala la inoponibilidad, refiere que ella es producto de la donación que en realidad se dio tras la renuncia del cónyuge a un mayor valor sobre unos bienes propios, tras lo cual, dijo, el acto era simulado, o estaba afectado de nulidad relativa, o de una nulidad absoluta. </w:t>
      </w:r>
    </w:p>
    <w:p w14:paraId="4249B1DE" w14:textId="20396831" w:rsidR="005A710E" w:rsidRPr="00EB5A74" w:rsidRDefault="005A710E" w:rsidP="00456FE4">
      <w:pPr>
        <w:spacing w:after="0" w:line="276" w:lineRule="auto"/>
        <w:jc w:val="both"/>
        <w:rPr>
          <w:rFonts w:ascii="Gadugi" w:hAnsi="Gadugi"/>
          <w:bCs/>
          <w:spacing w:val="-3"/>
          <w:sz w:val="24"/>
          <w:szCs w:val="24"/>
          <w:lang w:val="es-ES_tradnl"/>
        </w:rPr>
      </w:pPr>
    </w:p>
    <w:p w14:paraId="56C553C0" w14:textId="152D3E2C" w:rsidR="00AF1D0B" w:rsidRPr="00EB5A74" w:rsidRDefault="005A710E" w:rsidP="00456FE4">
      <w:pPr>
        <w:spacing w:after="0" w:line="276" w:lineRule="auto"/>
        <w:ind w:firstLine="1701"/>
        <w:jc w:val="both"/>
        <w:rPr>
          <w:rFonts w:ascii="Gadugi" w:hAnsi="Gadugi"/>
          <w:bCs/>
          <w:spacing w:val="-3"/>
          <w:sz w:val="24"/>
          <w:szCs w:val="24"/>
          <w:lang w:val="es-ES_tradnl"/>
        </w:rPr>
      </w:pPr>
      <w:r w:rsidRPr="00EB5A74">
        <w:rPr>
          <w:rFonts w:ascii="Gadugi" w:hAnsi="Gadugi"/>
          <w:bCs/>
          <w:spacing w:val="-3"/>
          <w:sz w:val="24"/>
          <w:szCs w:val="24"/>
          <w:lang w:val="es-ES_tradnl"/>
        </w:rPr>
        <w:t>Como quiera que ello sea, lo cierto es que</w:t>
      </w:r>
      <w:r w:rsidR="00AF1D0B" w:rsidRPr="00EB5A74">
        <w:rPr>
          <w:rFonts w:ascii="Gadugi" w:hAnsi="Gadugi"/>
          <w:bCs/>
          <w:spacing w:val="-3"/>
          <w:sz w:val="24"/>
          <w:szCs w:val="24"/>
          <w:lang w:val="es-ES_tradnl"/>
        </w:rPr>
        <w:t xml:space="preserve">, en cuanto a la simulación y la nulidad relativa, nada puede resolverse en este proceso, en cuanto fueron pretensiones a las que específicamente se declinó, con lo que debe respetarse la congruencia propia de las decisiones judiciales, consagrada hoy en el artículo 281 del CGP. </w:t>
      </w:r>
    </w:p>
    <w:p w14:paraId="639B5A51" w14:textId="77777777" w:rsidR="00AF1D0B" w:rsidRPr="00EB5A74" w:rsidRDefault="00AF1D0B" w:rsidP="00456FE4">
      <w:pPr>
        <w:spacing w:after="0" w:line="276" w:lineRule="auto"/>
        <w:jc w:val="both"/>
        <w:rPr>
          <w:rFonts w:ascii="Gadugi" w:hAnsi="Gadugi"/>
          <w:bCs/>
          <w:spacing w:val="-3"/>
          <w:sz w:val="24"/>
          <w:szCs w:val="24"/>
          <w:lang w:val="es-ES_tradnl"/>
        </w:rPr>
      </w:pPr>
    </w:p>
    <w:p w14:paraId="555EF1C5" w14:textId="621A0AB8" w:rsidR="005A710E" w:rsidRPr="00EB5A74" w:rsidRDefault="00B3482E" w:rsidP="00456FE4">
      <w:pPr>
        <w:spacing w:after="0" w:line="276" w:lineRule="auto"/>
        <w:ind w:firstLine="1701"/>
        <w:jc w:val="both"/>
        <w:rPr>
          <w:rFonts w:ascii="Gadugi" w:hAnsi="Gadugi"/>
          <w:bCs/>
          <w:spacing w:val="-3"/>
          <w:sz w:val="24"/>
          <w:szCs w:val="24"/>
          <w:lang w:val="es-ES_tradnl"/>
        </w:rPr>
      </w:pPr>
      <w:r w:rsidRPr="00EB5A74">
        <w:rPr>
          <w:rFonts w:ascii="Gadugi" w:hAnsi="Gadugi"/>
          <w:bCs/>
          <w:spacing w:val="-3"/>
          <w:sz w:val="24"/>
          <w:szCs w:val="24"/>
          <w:lang w:val="es-ES_tradnl"/>
        </w:rPr>
        <w:t xml:space="preserve">Y si a la nulidad absoluta se alude, </w:t>
      </w:r>
      <w:r w:rsidR="00433B63" w:rsidRPr="00EB5A74">
        <w:rPr>
          <w:rFonts w:ascii="Gadugi" w:hAnsi="Gadugi"/>
          <w:bCs/>
          <w:spacing w:val="-3"/>
          <w:sz w:val="24"/>
          <w:szCs w:val="24"/>
          <w:lang w:val="es-ES_tradnl"/>
        </w:rPr>
        <w:t>que en realidad está precedida, según los hechos, de la señalada simulación y más se asemejaría a una relativa, d</w:t>
      </w:r>
      <w:r w:rsidR="005A710E" w:rsidRPr="00EB5A74">
        <w:rPr>
          <w:rFonts w:ascii="Gadugi" w:hAnsi="Gadugi"/>
          <w:bCs/>
          <w:spacing w:val="-3"/>
          <w:sz w:val="24"/>
          <w:szCs w:val="24"/>
          <w:lang w:val="es-ES_tradnl"/>
        </w:rPr>
        <w:t xml:space="preserve">esechada por la misma demandante, </w:t>
      </w:r>
      <w:r w:rsidR="006E3F76" w:rsidRPr="00EB5A74">
        <w:rPr>
          <w:rFonts w:ascii="Gadugi" w:hAnsi="Gadugi"/>
          <w:bCs/>
          <w:spacing w:val="-3"/>
          <w:sz w:val="24"/>
          <w:szCs w:val="24"/>
          <w:lang w:val="es-ES_tradnl"/>
        </w:rPr>
        <w:t>fue ya tratad</w:t>
      </w:r>
      <w:r w:rsidR="00433B63" w:rsidRPr="00EB5A74">
        <w:rPr>
          <w:rFonts w:ascii="Gadugi" w:hAnsi="Gadugi"/>
          <w:bCs/>
          <w:spacing w:val="-3"/>
          <w:sz w:val="24"/>
          <w:szCs w:val="24"/>
          <w:lang w:val="es-ES_tradnl"/>
        </w:rPr>
        <w:t>a</w:t>
      </w:r>
      <w:r w:rsidR="006E3F76" w:rsidRPr="00EB5A74">
        <w:rPr>
          <w:rFonts w:ascii="Gadugi" w:hAnsi="Gadugi"/>
          <w:bCs/>
          <w:spacing w:val="-3"/>
          <w:sz w:val="24"/>
          <w:szCs w:val="24"/>
          <w:lang w:val="es-ES_tradnl"/>
        </w:rPr>
        <w:t xml:space="preserve"> por la judicatura y, como sostienen los recurrentes, la cuestión hizo tránsito a cosa juzgada. </w:t>
      </w:r>
    </w:p>
    <w:p w14:paraId="6933667F" w14:textId="73EFFC43" w:rsidR="006E3F76" w:rsidRPr="00EB5A74" w:rsidRDefault="006E3F76" w:rsidP="00456FE4">
      <w:pPr>
        <w:spacing w:after="0" w:line="276" w:lineRule="auto"/>
        <w:jc w:val="both"/>
        <w:rPr>
          <w:rFonts w:ascii="Gadugi" w:hAnsi="Gadugi"/>
          <w:bCs/>
          <w:spacing w:val="-3"/>
          <w:sz w:val="24"/>
          <w:szCs w:val="24"/>
          <w:lang w:val="es-ES_tradnl"/>
        </w:rPr>
      </w:pPr>
    </w:p>
    <w:p w14:paraId="40FD8D7B" w14:textId="10C521F3" w:rsidR="00832725" w:rsidRPr="00EB5A74" w:rsidRDefault="006E3F76" w:rsidP="00456FE4">
      <w:pPr>
        <w:tabs>
          <w:tab w:val="left" w:pos="1701"/>
        </w:tabs>
        <w:spacing w:after="0" w:line="276" w:lineRule="auto"/>
        <w:ind w:firstLine="1701"/>
        <w:jc w:val="both"/>
        <w:rPr>
          <w:rFonts w:ascii="Gadugi" w:hAnsi="Gadugi"/>
          <w:bCs/>
          <w:spacing w:val="-3"/>
          <w:sz w:val="24"/>
          <w:szCs w:val="24"/>
          <w:lang w:val="es-ES_tradnl"/>
        </w:rPr>
      </w:pPr>
      <w:r w:rsidRPr="00EB5A74">
        <w:rPr>
          <w:rFonts w:ascii="Gadugi" w:hAnsi="Gadugi"/>
          <w:bCs/>
          <w:spacing w:val="-3"/>
          <w:sz w:val="24"/>
          <w:szCs w:val="24"/>
          <w:lang w:val="es-ES_tradnl"/>
        </w:rPr>
        <w:lastRenderedPageBreak/>
        <w:t xml:space="preserve">En efecto, vale la pena recordar otra vez el auto de noviembre de 2018, en el que se revocó la sentencia anticipada dictada, porque allí, para analizar ese fenómeno, quedó dicho: </w:t>
      </w:r>
    </w:p>
    <w:p w14:paraId="0EA54C7E" w14:textId="76744028" w:rsidR="006E3F76" w:rsidRPr="00EB5A74" w:rsidRDefault="006E3F76" w:rsidP="00456FE4">
      <w:pPr>
        <w:spacing w:after="0" w:line="276" w:lineRule="auto"/>
        <w:jc w:val="both"/>
        <w:rPr>
          <w:rFonts w:ascii="Gadugi" w:hAnsi="Gadugi"/>
          <w:bCs/>
          <w:spacing w:val="-3"/>
          <w:sz w:val="24"/>
          <w:szCs w:val="24"/>
          <w:lang w:val="es-ES_tradnl"/>
        </w:rPr>
      </w:pPr>
    </w:p>
    <w:p w14:paraId="2B3B3F3C" w14:textId="77777777" w:rsidR="00960FD6" w:rsidRPr="00EB5A74" w:rsidRDefault="00960FD6" w:rsidP="00B92933">
      <w:pPr>
        <w:numPr>
          <w:ilvl w:val="0"/>
          <w:numId w:val="21"/>
        </w:numPr>
        <w:tabs>
          <w:tab w:val="left" w:pos="1701"/>
        </w:tabs>
        <w:overflowPunct w:val="0"/>
        <w:autoSpaceDE w:val="0"/>
        <w:autoSpaceDN w:val="0"/>
        <w:adjustRightInd w:val="0"/>
        <w:spacing w:after="0" w:line="240" w:lineRule="auto"/>
        <w:ind w:left="426" w:right="420" w:firstLine="1134"/>
        <w:jc w:val="both"/>
        <w:textAlignment w:val="baseline"/>
        <w:rPr>
          <w:rFonts w:ascii="Gadugi" w:hAnsi="Gadugi" w:cs="Arial"/>
          <w:szCs w:val="24"/>
          <w:lang w:val="es-ES_tradnl"/>
        </w:rPr>
      </w:pPr>
      <w:r w:rsidRPr="00EB5A74">
        <w:rPr>
          <w:rFonts w:ascii="Gadugi" w:hAnsi="Gadugi" w:cs="Arial"/>
          <w:szCs w:val="24"/>
          <w:lang w:val="es-ES_tradnl"/>
        </w:rPr>
        <w:t xml:space="preserve">Se debate aquí sobre la cosa juzgada y es el problema que se plantea, esto es, si la sentencia dictada el 22 de mayo de 2006 por el Juzgado Tercero de Familia local, dentro del proceso de nulidad de la escritura pública No. 2360 del 12 de diciembre de 1979 de la Notaría Primera de Pereira, al igual que la providencia del mismo despacho judicial del 12 de agosto de 2008 que en proceso ordinario de inoponibilidad de escritura pública declaró probada la excepción de cosa juzgada, tiene los mismos efectos sobre el presente asunto, tal cual lo consideró el juez de primer grado, o no lo tiene como lo reclama el recurrente. </w:t>
      </w:r>
    </w:p>
    <w:p w14:paraId="1AF598EC"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p>
    <w:p w14:paraId="5AF84B15"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r w:rsidRPr="00EB5A74">
        <w:rPr>
          <w:rFonts w:ascii="Gadugi" w:hAnsi="Gadugi" w:cs="Arial"/>
          <w:szCs w:val="24"/>
          <w:lang w:val="es-ES_tradnl"/>
        </w:rPr>
        <w:t>Para despejar el interrogante conviene citar el artículo 332 del C. de P. Civil, que dice:</w:t>
      </w:r>
    </w:p>
    <w:p w14:paraId="02654B0F"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p>
    <w:p w14:paraId="02FD3D8B" w14:textId="77777777" w:rsidR="00960FD6" w:rsidRPr="00EB5A74" w:rsidRDefault="00960FD6" w:rsidP="00B92933">
      <w:pPr>
        <w:tabs>
          <w:tab w:val="left" w:pos="3119"/>
        </w:tabs>
        <w:spacing w:after="0" w:line="240" w:lineRule="auto"/>
        <w:ind w:left="426" w:right="420" w:firstLine="1134"/>
        <w:jc w:val="both"/>
        <w:rPr>
          <w:rFonts w:ascii="Gadugi" w:hAnsi="Gadugi" w:cs="Arial"/>
          <w:i/>
          <w:iCs/>
          <w:szCs w:val="24"/>
          <w:lang w:val="es-ES_tradnl"/>
        </w:rPr>
      </w:pPr>
      <w:r w:rsidRPr="00EB5A74">
        <w:rPr>
          <w:rFonts w:ascii="Gadugi" w:hAnsi="Gadugi" w:cs="Arial"/>
          <w:i/>
          <w:iCs/>
          <w:szCs w:val="24"/>
          <w:lang w:val="es-ES_tradnl"/>
        </w:rPr>
        <w:t xml:space="preserve">“La sentencia ejecutoriada proferida en proceso contencioso tiene fuerza de cosa juzgada, siempre que el nuevo proceso verse sobre el mismo objeto, y se funde en la misma causa que el anterior, y que entre ambos procesos haya identidad jurídica de partes. </w:t>
      </w:r>
    </w:p>
    <w:p w14:paraId="482EAEBA" w14:textId="77777777" w:rsidR="00960FD6" w:rsidRPr="00EB5A74" w:rsidRDefault="00960FD6" w:rsidP="00B92933">
      <w:pPr>
        <w:tabs>
          <w:tab w:val="left" w:pos="3119"/>
        </w:tabs>
        <w:spacing w:after="0" w:line="240" w:lineRule="auto"/>
        <w:ind w:left="426" w:right="420" w:firstLine="1134"/>
        <w:jc w:val="both"/>
        <w:rPr>
          <w:rFonts w:ascii="Gadugi" w:hAnsi="Gadugi" w:cs="Arial"/>
          <w:i/>
          <w:iCs/>
          <w:szCs w:val="24"/>
          <w:lang w:val="es-ES_tradnl"/>
        </w:rPr>
      </w:pPr>
    </w:p>
    <w:p w14:paraId="41F1ED02" w14:textId="77777777" w:rsidR="00960FD6" w:rsidRPr="00EB5A74" w:rsidRDefault="00960FD6" w:rsidP="00B92933">
      <w:pPr>
        <w:tabs>
          <w:tab w:val="left" w:pos="3119"/>
        </w:tabs>
        <w:spacing w:after="0" w:line="240" w:lineRule="auto"/>
        <w:ind w:left="426" w:right="420" w:firstLine="1134"/>
        <w:jc w:val="both"/>
        <w:rPr>
          <w:rFonts w:ascii="Gadugi" w:hAnsi="Gadugi" w:cs="Arial"/>
          <w:i/>
          <w:iCs/>
          <w:szCs w:val="24"/>
          <w:lang w:val="es-ES_tradnl"/>
        </w:rPr>
      </w:pPr>
      <w:r w:rsidRPr="00EB5A74">
        <w:rPr>
          <w:rFonts w:ascii="Gadugi" w:hAnsi="Gadugi" w:cs="Arial"/>
          <w:i/>
          <w:iCs/>
          <w:szCs w:val="24"/>
          <w:lang w:val="es-ES_tradnl"/>
        </w:rPr>
        <w:t xml:space="preserve">Se entiende que hay identidad jurídica de partes, cuando las del segundo proceso son sucesores mortis causa de las que figuraron en el primero o causahabientes suyos por acto entre vivos celebrado con posterioridad al registro de la demanda, si se trata de derechos sujetos a registro y al secuestro en los demás casos. </w:t>
      </w:r>
    </w:p>
    <w:p w14:paraId="791E36F2" w14:textId="77777777" w:rsidR="00960FD6" w:rsidRPr="00EB5A74" w:rsidRDefault="00960FD6" w:rsidP="00B92933">
      <w:pPr>
        <w:tabs>
          <w:tab w:val="left" w:pos="3119"/>
        </w:tabs>
        <w:spacing w:after="0" w:line="240" w:lineRule="auto"/>
        <w:ind w:left="426" w:right="420" w:firstLine="1134"/>
        <w:jc w:val="both"/>
        <w:rPr>
          <w:rFonts w:ascii="Gadugi" w:hAnsi="Gadugi" w:cs="Arial"/>
          <w:i/>
          <w:iCs/>
          <w:szCs w:val="24"/>
          <w:lang w:val="es-ES_tradnl"/>
        </w:rPr>
      </w:pPr>
    </w:p>
    <w:p w14:paraId="172EDE39" w14:textId="2AF0CEB5" w:rsidR="00960FD6" w:rsidRDefault="00960FD6" w:rsidP="00B92933">
      <w:pPr>
        <w:tabs>
          <w:tab w:val="left" w:pos="3119"/>
        </w:tabs>
        <w:spacing w:after="0" w:line="240" w:lineRule="auto"/>
        <w:ind w:left="426" w:right="420" w:firstLine="1134"/>
        <w:jc w:val="both"/>
        <w:rPr>
          <w:rFonts w:ascii="Gadugi" w:hAnsi="Gadugi" w:cs="Arial"/>
          <w:i/>
          <w:iCs/>
          <w:szCs w:val="24"/>
          <w:lang w:val="es-ES_tradnl"/>
        </w:rPr>
      </w:pPr>
      <w:r w:rsidRPr="00EB5A74">
        <w:rPr>
          <w:rFonts w:ascii="Gadugi" w:hAnsi="Gadugi" w:cs="Arial"/>
          <w:i/>
          <w:iCs/>
          <w:szCs w:val="24"/>
          <w:lang w:val="es-ES_tradnl"/>
        </w:rPr>
        <w:t>Los efectos de la cosa juzgada en procesos en que se ventilen cuestiones relativas al estado civil de las personas, se regularán por lo dispuesto en el Código Civil y leyes complementarias.</w:t>
      </w:r>
    </w:p>
    <w:p w14:paraId="7336BD15" w14:textId="77777777" w:rsidR="00E63C0E" w:rsidRPr="00EB5A74" w:rsidRDefault="00E63C0E" w:rsidP="00B92933">
      <w:pPr>
        <w:tabs>
          <w:tab w:val="left" w:pos="3119"/>
        </w:tabs>
        <w:spacing w:after="0" w:line="240" w:lineRule="auto"/>
        <w:ind w:left="426" w:right="420" w:firstLine="1134"/>
        <w:jc w:val="both"/>
        <w:rPr>
          <w:rFonts w:ascii="Gadugi" w:hAnsi="Gadugi" w:cs="Arial"/>
          <w:i/>
          <w:iCs/>
          <w:szCs w:val="24"/>
          <w:lang w:val="es-ES_tradnl"/>
        </w:rPr>
      </w:pPr>
    </w:p>
    <w:p w14:paraId="0AAB99FD" w14:textId="755F5A82" w:rsidR="00960FD6" w:rsidRPr="00EB5A74" w:rsidRDefault="00960FD6" w:rsidP="00B92933">
      <w:pPr>
        <w:tabs>
          <w:tab w:val="left" w:pos="3119"/>
        </w:tabs>
        <w:spacing w:after="0" w:line="240" w:lineRule="auto"/>
        <w:ind w:left="426" w:right="420" w:firstLine="1134"/>
        <w:jc w:val="both"/>
        <w:rPr>
          <w:rFonts w:ascii="Gadugi" w:hAnsi="Gadugi" w:cs="Arial"/>
          <w:i/>
          <w:iCs/>
          <w:szCs w:val="24"/>
          <w:lang w:val="es-ES_tradnl"/>
        </w:rPr>
      </w:pPr>
      <w:r w:rsidRPr="00EB5A74">
        <w:rPr>
          <w:rFonts w:ascii="Gadugi" w:hAnsi="Gadugi" w:cs="Arial"/>
          <w:i/>
          <w:iCs/>
          <w:szCs w:val="24"/>
          <w:lang w:val="es-ES_tradnl"/>
        </w:rPr>
        <w:t xml:space="preserve">En los procesos en que se emplace a personas indeterminadas para que comparezcan como parte, la cosa juzgada surtirá efectos en relación con todas las comprendidas en el emplazamiento”. </w:t>
      </w:r>
    </w:p>
    <w:p w14:paraId="743F35AE" w14:textId="77777777" w:rsidR="00960FD6" w:rsidRPr="00EB5A74" w:rsidRDefault="00960FD6" w:rsidP="00B92933">
      <w:pPr>
        <w:tabs>
          <w:tab w:val="left" w:pos="3119"/>
        </w:tabs>
        <w:spacing w:after="0" w:line="240" w:lineRule="auto"/>
        <w:ind w:left="426" w:right="420" w:firstLine="1134"/>
        <w:jc w:val="both"/>
        <w:rPr>
          <w:rFonts w:ascii="Gadugi" w:hAnsi="Gadugi" w:cs="Arial"/>
          <w:i/>
          <w:szCs w:val="24"/>
          <w:lang w:val="es-ES_tradnl"/>
        </w:rPr>
      </w:pPr>
    </w:p>
    <w:p w14:paraId="37FB4BF2"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r w:rsidRPr="00EB5A74">
        <w:rPr>
          <w:rFonts w:ascii="Gadugi" w:hAnsi="Gadugi" w:cs="Arial"/>
          <w:szCs w:val="24"/>
          <w:lang w:val="es-ES_tradnl"/>
        </w:rPr>
        <w:t xml:space="preserve">Se trata, pues, como tradicionalmente se ha considerado, de una triple identidad: (i) jurídica de partes; (ii) de causa; y (iii) de objeto, que debe concurrir entre dos procesos, uno ya en firme y el otro en trámite, para que se consolide la seguridad que debe recaer en las decisiones judiciales. </w:t>
      </w:r>
    </w:p>
    <w:p w14:paraId="3E9D66F2"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p>
    <w:p w14:paraId="37831833"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r w:rsidRPr="00EB5A74">
        <w:rPr>
          <w:rFonts w:ascii="Gadugi" w:hAnsi="Gadugi" w:cs="Arial"/>
          <w:szCs w:val="24"/>
          <w:lang w:val="es-ES_tradnl"/>
        </w:rPr>
        <w:t>Sobre tales requisitos, tiene dicho la jurisprudencia de la Corte Suprema de Justicia que:</w:t>
      </w:r>
    </w:p>
    <w:p w14:paraId="3B441E8A"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p>
    <w:p w14:paraId="3F546EF2" w14:textId="77777777" w:rsidR="00960FD6" w:rsidRPr="00EB5A74" w:rsidRDefault="00960FD6" w:rsidP="00B92933">
      <w:pPr>
        <w:spacing w:after="0" w:line="240" w:lineRule="auto"/>
        <w:ind w:left="426" w:right="420" w:firstLine="1134"/>
        <w:jc w:val="both"/>
        <w:rPr>
          <w:rFonts w:ascii="Gadugi" w:hAnsi="Gadugi" w:cs="Arial"/>
          <w:i/>
          <w:iCs/>
          <w:szCs w:val="24"/>
          <w:lang w:val="es-ES_tradnl"/>
        </w:rPr>
      </w:pPr>
      <w:r w:rsidRPr="00EB5A74">
        <w:rPr>
          <w:rFonts w:ascii="Gadugi" w:hAnsi="Gadugi" w:cs="Arial"/>
          <w:i/>
          <w:iCs/>
          <w:szCs w:val="24"/>
          <w:lang w:val="es-ES_tradnl"/>
        </w:rPr>
        <w:t>Dicho precepto se identifica con una tesis muy extendida en la doctrina procesal sobre las tres identidades de la cosa juzgada, conforme a la cual –anota Guasp- para que un fallo goce de la autoridad de ese instituto en un proceso posterior “es preciso que entre el primer pronunciamiento y el nuevo litigio se dé perfecta concurrencia de tres elementos comunes: los sujetos (</w:t>
      </w:r>
      <w:proofErr w:type="spellStart"/>
      <w:r w:rsidRPr="00EB5A74">
        <w:rPr>
          <w:rFonts w:ascii="Gadugi" w:hAnsi="Gadugi" w:cs="Arial"/>
          <w:i/>
          <w:iCs/>
          <w:szCs w:val="24"/>
          <w:lang w:val="es-ES_tradnl"/>
        </w:rPr>
        <w:t>eadem</w:t>
      </w:r>
      <w:proofErr w:type="spellEnd"/>
      <w:r w:rsidRPr="00EB5A74">
        <w:rPr>
          <w:rFonts w:ascii="Gadugi" w:hAnsi="Gadugi" w:cs="Arial"/>
          <w:i/>
          <w:iCs/>
          <w:szCs w:val="24"/>
          <w:lang w:val="es-ES_tradnl"/>
        </w:rPr>
        <w:t xml:space="preserve"> </w:t>
      </w:r>
      <w:proofErr w:type="spellStart"/>
      <w:r w:rsidRPr="00EB5A74">
        <w:rPr>
          <w:rFonts w:ascii="Gadugi" w:hAnsi="Gadugi" w:cs="Arial"/>
          <w:i/>
          <w:iCs/>
          <w:szCs w:val="24"/>
          <w:lang w:val="es-ES_tradnl"/>
        </w:rPr>
        <w:t>personae</w:t>
      </w:r>
      <w:proofErr w:type="spellEnd"/>
      <w:r w:rsidRPr="00EB5A74">
        <w:rPr>
          <w:rFonts w:ascii="Gadugi" w:hAnsi="Gadugi" w:cs="Arial"/>
          <w:i/>
          <w:iCs/>
          <w:szCs w:val="24"/>
          <w:lang w:val="es-ES_tradnl"/>
        </w:rPr>
        <w:t>), el objeto (</w:t>
      </w:r>
      <w:proofErr w:type="spellStart"/>
      <w:r w:rsidRPr="00EB5A74">
        <w:rPr>
          <w:rFonts w:ascii="Gadugi" w:hAnsi="Gadugi" w:cs="Arial"/>
          <w:i/>
          <w:iCs/>
          <w:szCs w:val="24"/>
          <w:lang w:val="es-ES_tradnl"/>
        </w:rPr>
        <w:t>eadem</w:t>
      </w:r>
      <w:proofErr w:type="spellEnd"/>
      <w:r w:rsidRPr="00EB5A74">
        <w:rPr>
          <w:rFonts w:ascii="Gadugi" w:hAnsi="Gadugi" w:cs="Arial"/>
          <w:i/>
          <w:iCs/>
          <w:szCs w:val="24"/>
          <w:lang w:val="es-ES_tradnl"/>
        </w:rPr>
        <w:t xml:space="preserve"> res) y la causa o razón de pedir (</w:t>
      </w:r>
      <w:proofErr w:type="spellStart"/>
      <w:r w:rsidRPr="00EB5A74">
        <w:rPr>
          <w:rFonts w:ascii="Gadugi" w:hAnsi="Gadugi" w:cs="Arial"/>
          <w:i/>
          <w:iCs/>
          <w:szCs w:val="24"/>
          <w:lang w:val="es-ES_tradnl"/>
        </w:rPr>
        <w:t>eadem</w:t>
      </w:r>
      <w:proofErr w:type="spellEnd"/>
      <w:r w:rsidRPr="00EB5A74">
        <w:rPr>
          <w:rFonts w:ascii="Gadugi" w:hAnsi="Gadugi" w:cs="Arial"/>
          <w:i/>
          <w:iCs/>
          <w:szCs w:val="24"/>
          <w:lang w:val="es-ES_tradnl"/>
        </w:rPr>
        <w:t xml:space="preserve"> causa petendi), existiendo en </w:t>
      </w:r>
      <w:r w:rsidRPr="00EB5A74">
        <w:rPr>
          <w:rFonts w:ascii="Gadugi" w:hAnsi="Gadugi" w:cs="Arial"/>
          <w:i/>
          <w:iCs/>
          <w:szCs w:val="24"/>
          <w:lang w:val="es-ES_tradnl"/>
        </w:rPr>
        <w:lastRenderedPageBreak/>
        <w:t>consecuencia tres clases de límites de la cosa juzgada: límites subjetivos, límites objetivos y límites causales”</w:t>
      </w:r>
      <w:r w:rsidRPr="00EB5A74">
        <w:rPr>
          <w:rStyle w:val="Refdenotaalpie"/>
          <w:rFonts w:ascii="Gadugi" w:hAnsi="Gadugi" w:cs="Arial"/>
          <w:i/>
          <w:iCs/>
          <w:szCs w:val="24"/>
          <w:lang w:val="es-ES_tradnl"/>
        </w:rPr>
        <w:footnoteReference w:id="37"/>
      </w:r>
    </w:p>
    <w:p w14:paraId="25311973" w14:textId="77777777" w:rsidR="00960FD6" w:rsidRPr="00EB5A74" w:rsidRDefault="00960FD6" w:rsidP="00B92933">
      <w:pPr>
        <w:spacing w:after="0" w:line="240" w:lineRule="auto"/>
        <w:ind w:left="426" w:right="420" w:firstLine="1134"/>
        <w:jc w:val="both"/>
        <w:rPr>
          <w:rFonts w:ascii="Gadugi" w:hAnsi="Gadugi" w:cs="Arial"/>
          <w:i/>
          <w:iCs/>
          <w:szCs w:val="24"/>
          <w:lang w:val="es-ES_tradnl"/>
        </w:rPr>
      </w:pPr>
    </w:p>
    <w:p w14:paraId="67AA1AF4" w14:textId="77777777" w:rsidR="00960FD6" w:rsidRPr="00EB5A74" w:rsidRDefault="00960FD6" w:rsidP="00B92933">
      <w:pPr>
        <w:spacing w:after="0" w:line="240" w:lineRule="auto"/>
        <w:ind w:left="426" w:right="420" w:firstLine="1134"/>
        <w:jc w:val="both"/>
        <w:rPr>
          <w:rFonts w:ascii="Gadugi" w:hAnsi="Gadugi" w:cs="Arial"/>
          <w:i/>
          <w:iCs/>
          <w:szCs w:val="24"/>
          <w:lang w:val="es-ES_tradnl"/>
        </w:rPr>
      </w:pPr>
      <w:r w:rsidRPr="00EB5A74">
        <w:rPr>
          <w:rFonts w:ascii="Gadugi" w:hAnsi="Gadugi" w:cs="Arial"/>
          <w:i/>
          <w:iCs/>
          <w:szCs w:val="24"/>
          <w:lang w:val="es-ES_tradnl"/>
        </w:rPr>
        <w:t>“Solamente cuando el proceso futuro es idéntico, en razón de estos tres elementos –ha expresado la Sala- la sentencia dictada en el anterior produce cosa juzgada material” (CSJ SC, 24 abr. 1984, reiterada en CSJ SC 280, 24 de jul. 2001, rad. 6448), contrario sensu si falta uno de ellos, esa providencia no genera el comentado efecto jurídico procesal en la nueva causa judicial, y por lo tanto, en la última podrá dirimirse la Litis de forma diferente a la consignada en el pronunciamiento dictado en el otro juicio.”</w:t>
      </w:r>
      <w:r w:rsidRPr="00EB5A74">
        <w:rPr>
          <w:rStyle w:val="Refdenotaalpie"/>
          <w:rFonts w:ascii="Gadugi" w:hAnsi="Gadugi"/>
          <w:i/>
          <w:iCs/>
          <w:szCs w:val="24"/>
          <w:lang w:val="es-ES_tradnl"/>
        </w:rPr>
        <w:footnoteReference w:id="38"/>
      </w:r>
    </w:p>
    <w:p w14:paraId="03D8FC1A" w14:textId="77777777" w:rsidR="00960FD6" w:rsidRPr="00EB5A74" w:rsidRDefault="00960FD6" w:rsidP="00B92933">
      <w:pPr>
        <w:spacing w:after="0" w:line="240" w:lineRule="auto"/>
        <w:ind w:left="426" w:right="420" w:firstLine="1134"/>
        <w:jc w:val="both"/>
        <w:rPr>
          <w:rFonts w:ascii="Gadugi" w:hAnsi="Gadugi" w:cs="Arial"/>
          <w:szCs w:val="24"/>
          <w:lang w:val="es-ES_tradnl"/>
        </w:rPr>
      </w:pPr>
    </w:p>
    <w:p w14:paraId="364C35C8" w14:textId="77777777" w:rsidR="00960FD6" w:rsidRPr="00EB5A74" w:rsidRDefault="00960FD6" w:rsidP="00B92933">
      <w:pPr>
        <w:numPr>
          <w:ilvl w:val="0"/>
          <w:numId w:val="21"/>
        </w:numPr>
        <w:tabs>
          <w:tab w:val="left" w:pos="1985"/>
        </w:tabs>
        <w:overflowPunct w:val="0"/>
        <w:autoSpaceDE w:val="0"/>
        <w:autoSpaceDN w:val="0"/>
        <w:adjustRightInd w:val="0"/>
        <w:spacing w:after="0" w:line="240" w:lineRule="auto"/>
        <w:ind w:left="426" w:right="420" w:firstLine="1134"/>
        <w:jc w:val="both"/>
        <w:textAlignment w:val="baseline"/>
        <w:rPr>
          <w:rFonts w:ascii="Gadugi" w:hAnsi="Gadugi" w:cs="Arial"/>
          <w:szCs w:val="24"/>
          <w:lang w:val="es-ES_tradnl"/>
        </w:rPr>
      </w:pPr>
      <w:r w:rsidRPr="00EB5A74">
        <w:rPr>
          <w:rFonts w:ascii="Gadugi" w:hAnsi="Gadugi" w:cs="Arial"/>
          <w:szCs w:val="24"/>
          <w:lang w:val="es-ES_tradnl"/>
        </w:rPr>
        <w:t>Así que, con el fin de verificar si estos presupuestos se cumplen en el presente asunto, es preciso hacer un análisis de los anteriores procesos que se han tramitado y que, según el juzgado de primer grado, llevaron a encontrar probada la excepción.</w:t>
      </w:r>
    </w:p>
    <w:p w14:paraId="24B8064F"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p>
    <w:p w14:paraId="42D6D792"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r w:rsidRPr="00EB5A74">
        <w:rPr>
          <w:rFonts w:ascii="Gadugi" w:hAnsi="Gadugi" w:cs="Arial"/>
          <w:szCs w:val="24"/>
          <w:lang w:val="es-ES_tradnl"/>
        </w:rPr>
        <w:t>Veamos: la primera demanda fue presentada por Helena González Lizcano en contra de sus hermanos Julio Alberto, Patricia del Socorro, Javier, Gloria María y Mónica González Naranjo y en ella que pidió declarar “</w:t>
      </w:r>
      <w:r w:rsidRPr="00EB5A74">
        <w:rPr>
          <w:rFonts w:ascii="Gadugi" w:hAnsi="Gadugi" w:cs="Arial"/>
          <w:i/>
          <w:szCs w:val="24"/>
          <w:lang w:val="es-ES_tradnl"/>
        </w:rPr>
        <w:t>absolutamente nula la escritura pública No. 2360  otorgada ante la Notaría Primera del Círculo de Pereira del 12 de diciembre de 1979</w:t>
      </w:r>
      <w:r w:rsidRPr="00EB5A74">
        <w:rPr>
          <w:rFonts w:ascii="Gadugi" w:hAnsi="Gadugi" w:cs="Arial"/>
          <w:szCs w:val="24"/>
          <w:lang w:val="es-ES_tradnl"/>
        </w:rPr>
        <w:t>” (</w:t>
      </w:r>
      <w:proofErr w:type="spellStart"/>
      <w:r w:rsidRPr="00EB5A74">
        <w:rPr>
          <w:rFonts w:ascii="Gadugi" w:hAnsi="Gadugi" w:cs="Arial"/>
          <w:szCs w:val="24"/>
          <w:lang w:val="es-ES_tradnl"/>
        </w:rPr>
        <w:t>fl</w:t>
      </w:r>
      <w:proofErr w:type="spellEnd"/>
      <w:r w:rsidRPr="00EB5A74">
        <w:rPr>
          <w:rFonts w:ascii="Gadugi" w:hAnsi="Gadugi" w:cs="Arial"/>
          <w:szCs w:val="24"/>
          <w:lang w:val="es-ES_tradnl"/>
        </w:rPr>
        <w:t xml:space="preserve">. 75, c. excepciones previas), acto en el que el matrimonio conformado por los señores Julio César González y Soledad Naranjo disolvieron y liquidaron la sociedad conyugal, proceso en el que se estudió específicamente si en la escritura existió una donación entre esposos o una renuncia a gananciales, los requisitos de esta última, y se miró la inoponibilidad de la renuncia frente a terceros. </w:t>
      </w:r>
    </w:p>
    <w:p w14:paraId="4718D1D5" w14:textId="77777777" w:rsidR="00960FD6" w:rsidRPr="00EB5A74" w:rsidRDefault="00960FD6" w:rsidP="00B92933">
      <w:pPr>
        <w:tabs>
          <w:tab w:val="left" w:pos="3119"/>
        </w:tabs>
        <w:spacing w:after="0" w:line="240" w:lineRule="auto"/>
        <w:ind w:left="426" w:right="420" w:firstLine="2835"/>
        <w:jc w:val="both"/>
        <w:rPr>
          <w:rFonts w:ascii="Gadugi" w:hAnsi="Gadugi" w:cs="Arial"/>
          <w:szCs w:val="24"/>
          <w:lang w:val="es-ES_tradnl"/>
        </w:rPr>
      </w:pPr>
    </w:p>
    <w:p w14:paraId="1E36B165" w14:textId="77777777" w:rsidR="00960FD6" w:rsidRPr="00EB5A74" w:rsidRDefault="00960FD6" w:rsidP="00B92933">
      <w:pPr>
        <w:tabs>
          <w:tab w:val="left" w:pos="3119"/>
        </w:tabs>
        <w:spacing w:after="0" w:line="240" w:lineRule="auto"/>
        <w:ind w:left="426" w:right="420" w:firstLine="1134"/>
        <w:jc w:val="both"/>
        <w:rPr>
          <w:rFonts w:ascii="Gadugi" w:hAnsi="Gadugi" w:cs="Arial"/>
          <w:szCs w:val="24"/>
          <w:lang w:val="es-ES_tradnl"/>
        </w:rPr>
      </w:pPr>
      <w:r w:rsidRPr="00EB5A74">
        <w:rPr>
          <w:rFonts w:ascii="Gadugi" w:hAnsi="Gadugi" w:cs="Arial"/>
          <w:szCs w:val="24"/>
          <w:lang w:val="es-ES_tradnl"/>
        </w:rPr>
        <w:t xml:space="preserve">El proceso se definió mediante sentencia dictada el 22 de mayo de 2006 por el Juzgado Tercero de Familia de Pereira en la que se desestimaron las pretensiones con el argumento principal de que no existió el ánimo de donación entre los esposos </w:t>
      </w:r>
      <w:r w:rsidRPr="00EB5A74">
        <w:rPr>
          <w:rFonts w:ascii="Gadugi" w:hAnsi="Gadugi" w:cs="Arial"/>
          <w:i/>
          <w:szCs w:val="24"/>
          <w:lang w:val="es-ES_tradnl"/>
        </w:rPr>
        <w:t>“…pues lo que hizo el cónyuge no fue cosa distinta a disolver, liquidar, partir los bienes de la sociedad conyugal y a renunciar a algo que la ley le permite, pues esta última recibió sin compromiso alguno los gananciales de que hacía renuncia su esposo, que por el contrario el negocio jurídico celebrado reúne los requisitos de una verdadera renuncia de las ganancias de esta sociedad de bienes</w:t>
      </w:r>
      <w:r w:rsidRPr="00EB5A74">
        <w:rPr>
          <w:rFonts w:ascii="Gadugi" w:hAnsi="Gadugi" w:cs="Arial"/>
          <w:szCs w:val="24"/>
          <w:lang w:val="es-ES_tradnl"/>
        </w:rPr>
        <w:t>.” (</w:t>
      </w:r>
      <w:proofErr w:type="spellStart"/>
      <w:r w:rsidRPr="00EB5A74">
        <w:rPr>
          <w:rFonts w:ascii="Gadugi" w:hAnsi="Gadugi" w:cs="Arial"/>
          <w:szCs w:val="24"/>
          <w:lang w:val="es-ES_tradnl"/>
        </w:rPr>
        <w:t>fl</w:t>
      </w:r>
      <w:proofErr w:type="spellEnd"/>
      <w:r w:rsidRPr="00EB5A74">
        <w:rPr>
          <w:rFonts w:ascii="Gadugi" w:hAnsi="Gadugi" w:cs="Arial"/>
          <w:szCs w:val="24"/>
          <w:lang w:val="es-ES_tradnl"/>
        </w:rPr>
        <w:t>. 84). Y dejó señalado, expresamente, que la acción a impetrar es la de “</w:t>
      </w:r>
      <w:r w:rsidRPr="00EB5A74">
        <w:rPr>
          <w:rFonts w:ascii="Gadugi" w:hAnsi="Gadugi" w:cs="Arial"/>
          <w:i/>
          <w:szCs w:val="24"/>
          <w:lang w:val="es-ES_tradnl"/>
        </w:rPr>
        <w:t>inoponibilidad de la renuncia a gananciales respecto a terceros</w:t>
      </w:r>
      <w:r w:rsidRPr="00EB5A74">
        <w:rPr>
          <w:rFonts w:ascii="Gadugi" w:hAnsi="Gadugi" w:cs="Arial"/>
          <w:szCs w:val="24"/>
          <w:lang w:val="es-ES_tradnl"/>
        </w:rPr>
        <w:t xml:space="preserve">”. </w:t>
      </w:r>
    </w:p>
    <w:p w14:paraId="33404170" w14:textId="460A0495" w:rsidR="00960FD6" w:rsidRPr="00EB5A74" w:rsidRDefault="00960FD6" w:rsidP="00456FE4">
      <w:pPr>
        <w:tabs>
          <w:tab w:val="left" w:pos="3119"/>
        </w:tabs>
        <w:spacing w:after="0" w:line="276" w:lineRule="auto"/>
        <w:ind w:left="567" w:right="618" w:firstLine="1134"/>
        <w:jc w:val="both"/>
        <w:rPr>
          <w:rFonts w:ascii="Gadugi" w:hAnsi="Gadugi" w:cs="Arial"/>
          <w:sz w:val="24"/>
          <w:szCs w:val="24"/>
          <w:lang w:val="es-ES_tradnl"/>
        </w:rPr>
      </w:pPr>
    </w:p>
    <w:p w14:paraId="6C40D7D5" w14:textId="54C1139F" w:rsidR="003A1B02" w:rsidRPr="00EB5A74" w:rsidRDefault="003A1B02" w:rsidP="00456FE4">
      <w:pPr>
        <w:spacing w:after="0" w:line="276" w:lineRule="auto"/>
        <w:ind w:firstLine="1701"/>
        <w:jc w:val="both"/>
        <w:rPr>
          <w:rFonts w:ascii="Gadugi" w:hAnsi="Gadugi"/>
          <w:bCs/>
          <w:i/>
          <w:iCs/>
          <w:spacing w:val="-3"/>
          <w:sz w:val="24"/>
          <w:szCs w:val="24"/>
          <w:lang w:val="es-ES_tradnl"/>
        </w:rPr>
      </w:pPr>
      <w:r w:rsidRPr="00EB5A74">
        <w:rPr>
          <w:rFonts w:ascii="Gadugi" w:hAnsi="Gadugi"/>
          <w:bCs/>
          <w:spacing w:val="-3"/>
          <w:sz w:val="24"/>
          <w:szCs w:val="24"/>
          <w:lang w:val="es-ES_tradnl"/>
        </w:rPr>
        <w:t xml:space="preserve">En la sentencia del 12 de agosto de 2008, que resolvía sobre la inoponibilidad pretendida por los mismos demandantes del anterior, quedó claramente resaltado que aquella providencia del 22 de mayo de 2006 </w:t>
      </w:r>
      <w:r w:rsidRPr="00EB5A74">
        <w:rPr>
          <w:rFonts w:ascii="Gadugi" w:hAnsi="Gadugi"/>
          <w:bCs/>
          <w:i/>
          <w:iCs/>
          <w:spacing w:val="-3"/>
          <w:sz w:val="24"/>
          <w:szCs w:val="24"/>
          <w:lang w:val="es-ES_tradnl"/>
        </w:rPr>
        <w:t>“</w:t>
      </w:r>
      <w:r w:rsidRPr="00EB5A74">
        <w:rPr>
          <w:rFonts w:ascii="Gadugi" w:hAnsi="Gadugi"/>
          <w:bCs/>
          <w:i/>
          <w:iCs/>
          <w:spacing w:val="-3"/>
          <w:szCs w:val="24"/>
          <w:lang w:val="es-ES_tradnl"/>
        </w:rPr>
        <w:t>…</w:t>
      </w:r>
      <w:r w:rsidR="00B92933" w:rsidRPr="00EB5A74">
        <w:rPr>
          <w:rFonts w:ascii="Gadugi" w:hAnsi="Gadugi"/>
          <w:bCs/>
          <w:i/>
          <w:iCs/>
          <w:spacing w:val="-3"/>
          <w:szCs w:val="24"/>
          <w:lang w:val="es-ES_tradnl"/>
        </w:rPr>
        <w:t xml:space="preserve"> </w:t>
      </w:r>
      <w:r w:rsidRPr="00EB5A74">
        <w:rPr>
          <w:rFonts w:ascii="Gadugi" w:hAnsi="Gadugi"/>
          <w:bCs/>
          <w:i/>
          <w:iCs/>
          <w:spacing w:val="-3"/>
          <w:szCs w:val="24"/>
          <w:lang w:val="es-ES_tradnl"/>
        </w:rPr>
        <w:t>se encuentra debidamente ejecutoriada y que cabe resaltar no fue impugnada en su oportunidad por la pretensora que resultó vencida…</w:t>
      </w:r>
      <w:r w:rsidRPr="00EB5A74">
        <w:rPr>
          <w:rFonts w:ascii="Gadugi" w:hAnsi="Gadugi"/>
          <w:bCs/>
          <w:i/>
          <w:iCs/>
          <w:spacing w:val="-3"/>
          <w:sz w:val="24"/>
          <w:szCs w:val="24"/>
          <w:lang w:val="es-ES_tradnl"/>
        </w:rPr>
        <w:t xml:space="preserve">”. </w:t>
      </w:r>
    </w:p>
    <w:p w14:paraId="6C6A6EE8" w14:textId="77777777" w:rsidR="003A1B02" w:rsidRPr="00EB5A74" w:rsidRDefault="003A1B02" w:rsidP="00456FE4">
      <w:pPr>
        <w:spacing w:after="0" w:line="276" w:lineRule="auto"/>
        <w:ind w:firstLine="1701"/>
        <w:jc w:val="both"/>
        <w:rPr>
          <w:rFonts w:ascii="Gadugi" w:hAnsi="Gadugi"/>
          <w:bCs/>
          <w:spacing w:val="-3"/>
          <w:sz w:val="24"/>
          <w:szCs w:val="24"/>
          <w:lang w:val="es-ES_tradnl"/>
        </w:rPr>
      </w:pPr>
    </w:p>
    <w:p w14:paraId="6364A26C" w14:textId="438AEC24" w:rsidR="00335436" w:rsidRPr="00EB5A74" w:rsidRDefault="00861A69" w:rsidP="00456FE4">
      <w:pPr>
        <w:spacing w:after="0" w:line="276" w:lineRule="auto"/>
        <w:ind w:firstLine="1701"/>
        <w:jc w:val="both"/>
        <w:rPr>
          <w:rFonts w:ascii="Gadugi" w:hAnsi="Gadugi"/>
          <w:bCs/>
          <w:spacing w:val="-3"/>
          <w:sz w:val="24"/>
          <w:szCs w:val="24"/>
          <w:lang w:val="es-ES_tradnl"/>
        </w:rPr>
      </w:pPr>
      <w:r w:rsidRPr="00EB5A74">
        <w:rPr>
          <w:rFonts w:ascii="Gadugi" w:hAnsi="Gadugi"/>
          <w:bCs/>
          <w:spacing w:val="-3"/>
          <w:sz w:val="24"/>
          <w:szCs w:val="24"/>
          <w:lang w:val="es-ES_tradnl"/>
        </w:rPr>
        <w:t>Es decir, que aciertan los recurrentes al señalar que en el caso de ahora</w:t>
      </w:r>
      <w:r w:rsidR="00844F48" w:rsidRPr="00EB5A74">
        <w:rPr>
          <w:rFonts w:ascii="Gadugi" w:hAnsi="Gadugi"/>
          <w:bCs/>
          <w:spacing w:val="-3"/>
          <w:sz w:val="24"/>
          <w:szCs w:val="24"/>
          <w:lang w:val="es-ES_tradnl"/>
        </w:rPr>
        <w:t xml:space="preserve"> y respecto de la deprecada nulidad,</w:t>
      </w:r>
      <w:r w:rsidRPr="00EB5A74">
        <w:rPr>
          <w:rFonts w:ascii="Gadugi" w:hAnsi="Gadugi"/>
          <w:bCs/>
          <w:spacing w:val="-3"/>
          <w:sz w:val="24"/>
          <w:szCs w:val="24"/>
          <w:lang w:val="es-ES_tradnl"/>
        </w:rPr>
        <w:t xml:space="preserve"> se reúnen los tres pilares de la cosa juzgada, en </w:t>
      </w:r>
      <w:r w:rsidRPr="00EB5A74">
        <w:rPr>
          <w:rFonts w:ascii="Gadugi" w:hAnsi="Gadugi"/>
          <w:bCs/>
          <w:spacing w:val="-3"/>
          <w:sz w:val="24"/>
          <w:szCs w:val="24"/>
          <w:lang w:val="es-ES_tradnl"/>
        </w:rPr>
        <w:lastRenderedPageBreak/>
        <w:t xml:space="preserve">cuanto hay identidad jurídica de partes, de causa y de objeto. En la causa y en el objeto no existe la más mínima discusión, por cuanto se trata de descubrir en el acto elevado a escritura pública una nulidad </w:t>
      </w:r>
      <w:r w:rsidR="003A1B02" w:rsidRPr="00EB5A74">
        <w:rPr>
          <w:rFonts w:ascii="Gadugi" w:hAnsi="Gadugi"/>
          <w:bCs/>
          <w:spacing w:val="-3"/>
          <w:sz w:val="24"/>
          <w:szCs w:val="24"/>
          <w:lang w:val="es-ES_tradnl"/>
        </w:rPr>
        <w:t xml:space="preserve">absoluta </w:t>
      </w:r>
      <w:r w:rsidRPr="00EB5A74">
        <w:rPr>
          <w:rFonts w:ascii="Gadugi" w:hAnsi="Gadugi"/>
          <w:bCs/>
          <w:spacing w:val="-3"/>
          <w:sz w:val="24"/>
          <w:szCs w:val="24"/>
          <w:lang w:val="es-ES_tradnl"/>
        </w:rPr>
        <w:t>por la falta de insinuación en una donación y que, producto de ello, algunos bienes deben retornar a la masa herencial del causante para tomar parte en</w:t>
      </w:r>
      <w:r w:rsidR="00864FB7" w:rsidRPr="00EB5A74">
        <w:rPr>
          <w:rFonts w:ascii="Gadugi" w:hAnsi="Gadugi"/>
          <w:bCs/>
          <w:spacing w:val="-3"/>
          <w:sz w:val="24"/>
          <w:szCs w:val="24"/>
          <w:lang w:val="es-ES_tradnl"/>
        </w:rPr>
        <w:t xml:space="preserve"> los mismos. </w:t>
      </w:r>
      <w:r w:rsidRPr="00EB5A74">
        <w:rPr>
          <w:rFonts w:ascii="Gadugi" w:hAnsi="Gadugi"/>
          <w:bCs/>
          <w:spacing w:val="-3"/>
          <w:sz w:val="24"/>
          <w:szCs w:val="24"/>
          <w:lang w:val="es-ES_tradnl"/>
        </w:rPr>
        <w:t xml:space="preserve"> </w:t>
      </w:r>
    </w:p>
    <w:p w14:paraId="7F1D2803" w14:textId="1C94FFA4" w:rsidR="00861A69" w:rsidRPr="00EB5A74" w:rsidRDefault="00861A69" w:rsidP="00456FE4">
      <w:pPr>
        <w:spacing w:after="0" w:line="276" w:lineRule="auto"/>
        <w:ind w:firstLine="1701"/>
        <w:jc w:val="both"/>
        <w:rPr>
          <w:rFonts w:ascii="Gadugi" w:hAnsi="Gadugi"/>
          <w:bCs/>
          <w:spacing w:val="-3"/>
          <w:sz w:val="24"/>
          <w:szCs w:val="24"/>
          <w:lang w:val="es-ES_tradnl"/>
        </w:rPr>
      </w:pPr>
    </w:p>
    <w:p w14:paraId="1B1FF67F" w14:textId="787FF617" w:rsidR="00861A69" w:rsidRPr="00EB5A74" w:rsidRDefault="00861A69" w:rsidP="00456FE4">
      <w:pPr>
        <w:spacing w:after="0" w:line="276" w:lineRule="auto"/>
        <w:ind w:firstLine="1701"/>
        <w:jc w:val="both"/>
        <w:rPr>
          <w:rFonts w:ascii="Gadugi" w:hAnsi="Gadugi"/>
          <w:bCs/>
          <w:spacing w:val="-3"/>
          <w:sz w:val="24"/>
          <w:szCs w:val="24"/>
          <w:lang w:val="es-ES_tradnl"/>
        </w:rPr>
      </w:pPr>
      <w:r w:rsidRPr="00EB5A74">
        <w:rPr>
          <w:rFonts w:ascii="Gadugi" w:hAnsi="Gadugi"/>
          <w:bCs/>
          <w:spacing w:val="-3"/>
          <w:sz w:val="24"/>
          <w:szCs w:val="24"/>
          <w:lang w:val="es-ES_tradnl"/>
        </w:rPr>
        <w:t xml:space="preserve">Y en cuanto a la identidad jurídica de partes, la cuestión también es clara, porque en el proceso </w:t>
      </w:r>
      <w:r w:rsidR="00864FB7" w:rsidRPr="00EB5A74">
        <w:rPr>
          <w:rFonts w:ascii="Gadugi" w:hAnsi="Gadugi"/>
          <w:bCs/>
          <w:spacing w:val="-3"/>
          <w:sz w:val="24"/>
          <w:szCs w:val="24"/>
          <w:lang w:val="es-ES_tradnl"/>
        </w:rPr>
        <w:t xml:space="preserve">inicial, el que fue resuelto en el año 2006, fueron convocados los herederos determinados e indeterminados de los causantes González Naranjo, calidad que tiene la aquí demandante inicial, lo mismo que quienes fueron tenidos como litisconsortes por activa; para la fecha de emisión de ese fallo, ya se conocía con suficiencia la decisión dentro del proceso de filiación que adelantaron, con lo cual, es obvio que pudieron haber intervenido en ese proceso para defender sus derechos y, principalmente, para impugnar el fallo, o los dos fallos anteriores incluso, que les fueron desfavorables, porque en uno se negó la nulidad absoluta y una eventual simulación, y en el otro, la inoponibilidad. </w:t>
      </w:r>
    </w:p>
    <w:p w14:paraId="6010BD86" w14:textId="7D43B08B" w:rsidR="00864FB7" w:rsidRPr="00EB5A74" w:rsidRDefault="00864FB7" w:rsidP="00456FE4">
      <w:pPr>
        <w:spacing w:after="0" w:line="276" w:lineRule="auto"/>
        <w:ind w:firstLine="1701"/>
        <w:jc w:val="both"/>
        <w:rPr>
          <w:rFonts w:ascii="Gadugi" w:hAnsi="Gadugi"/>
          <w:bCs/>
          <w:spacing w:val="-3"/>
          <w:sz w:val="24"/>
          <w:szCs w:val="24"/>
          <w:lang w:val="es-ES_tradnl"/>
        </w:rPr>
      </w:pPr>
    </w:p>
    <w:p w14:paraId="276BD1B6" w14:textId="0AA50007" w:rsidR="00692DC1" w:rsidRPr="00EB5A74" w:rsidRDefault="00864FB7" w:rsidP="00456FE4">
      <w:pPr>
        <w:spacing w:after="0" w:line="276" w:lineRule="auto"/>
        <w:ind w:firstLine="1701"/>
        <w:jc w:val="both"/>
        <w:rPr>
          <w:rFonts w:ascii="Gadugi" w:hAnsi="Gadugi"/>
          <w:bCs/>
          <w:spacing w:val="-3"/>
          <w:sz w:val="24"/>
          <w:szCs w:val="24"/>
          <w:lang w:val="es-ES_tradnl"/>
        </w:rPr>
      </w:pPr>
      <w:r w:rsidRPr="00EB5A74">
        <w:rPr>
          <w:rFonts w:ascii="Gadugi" w:hAnsi="Gadugi"/>
          <w:bCs/>
          <w:spacing w:val="-3"/>
          <w:sz w:val="24"/>
          <w:szCs w:val="24"/>
          <w:lang w:val="es-ES_tradnl"/>
        </w:rPr>
        <w:t xml:space="preserve">Y aun cuando se dijo por esta Sala que la cosa juzgada en cuanto a la inoponibilidad fue prematura, porque, en realidad, fue un asunto que no se trató a fondo en ninguno de los dos procesos antecedentes </w:t>
      </w:r>
      <w:r w:rsidR="00692DC1" w:rsidRPr="00EB5A74">
        <w:rPr>
          <w:rFonts w:ascii="Gadugi" w:hAnsi="Gadugi"/>
          <w:bCs/>
          <w:spacing w:val="-3"/>
          <w:sz w:val="24"/>
          <w:szCs w:val="24"/>
          <w:lang w:val="es-ES_tradnl"/>
        </w:rPr>
        <w:t xml:space="preserve">y ello fue lo que motivó que se revocara la </w:t>
      </w:r>
      <w:r w:rsidR="00E32260" w:rsidRPr="00EB5A74">
        <w:rPr>
          <w:rFonts w:ascii="Gadugi" w:hAnsi="Gadugi"/>
          <w:bCs/>
          <w:spacing w:val="-3"/>
          <w:sz w:val="24"/>
          <w:szCs w:val="24"/>
          <w:lang w:val="es-ES_tradnl"/>
        </w:rPr>
        <w:t xml:space="preserve">primera </w:t>
      </w:r>
      <w:r w:rsidR="00692DC1" w:rsidRPr="00EB5A74">
        <w:rPr>
          <w:rFonts w:ascii="Gadugi" w:hAnsi="Gadugi"/>
          <w:bCs/>
          <w:spacing w:val="-3"/>
          <w:sz w:val="24"/>
          <w:szCs w:val="24"/>
          <w:lang w:val="es-ES_tradnl"/>
        </w:rPr>
        <w:t xml:space="preserve">sentencia anticipada proferida en este proceso, la cuestión frente a la nulidad es diferente, porque negada esa pretensión específicamente, con o sin razón por parte del juzgado, ante el silencio de los intervinientes, incluyendo los herederos indeterminados, esa sentencia se tornó inmutable y definitiva, lo que cierra las puertas a un nuevo debate sobre el particular. </w:t>
      </w:r>
    </w:p>
    <w:p w14:paraId="64791C8B" w14:textId="77777777" w:rsidR="00692DC1" w:rsidRPr="00EB5A74" w:rsidRDefault="00692DC1" w:rsidP="00456FE4">
      <w:pPr>
        <w:spacing w:after="0" w:line="276" w:lineRule="auto"/>
        <w:ind w:firstLine="1701"/>
        <w:jc w:val="both"/>
        <w:rPr>
          <w:rFonts w:ascii="Gadugi" w:hAnsi="Gadugi"/>
          <w:bCs/>
          <w:spacing w:val="-3"/>
          <w:sz w:val="24"/>
          <w:szCs w:val="24"/>
          <w:lang w:val="es-ES_tradnl"/>
        </w:rPr>
      </w:pPr>
    </w:p>
    <w:p w14:paraId="3CA89878" w14:textId="77777777" w:rsidR="00692DC1" w:rsidRPr="00EB5A74" w:rsidRDefault="00692DC1" w:rsidP="00456FE4">
      <w:pPr>
        <w:spacing w:after="0" w:line="276" w:lineRule="auto"/>
        <w:ind w:firstLine="1701"/>
        <w:jc w:val="both"/>
        <w:rPr>
          <w:rFonts w:ascii="Gadugi" w:hAnsi="Gadugi"/>
          <w:bCs/>
          <w:spacing w:val="-3"/>
          <w:sz w:val="24"/>
          <w:szCs w:val="24"/>
          <w:lang w:val="es-ES_tradnl"/>
        </w:rPr>
      </w:pPr>
      <w:r w:rsidRPr="00EB5A74">
        <w:rPr>
          <w:rFonts w:ascii="Gadugi" w:hAnsi="Gadugi"/>
          <w:bCs/>
          <w:spacing w:val="-3"/>
          <w:sz w:val="24"/>
          <w:szCs w:val="24"/>
          <w:lang w:val="es-ES_tradnl"/>
        </w:rPr>
        <w:t xml:space="preserve">En consecuencia, la pretensión subsidiaria también estaba llamada al fracaso, pero por la cosa juzgada que, evidentemente, recae sobre ella. </w:t>
      </w:r>
    </w:p>
    <w:p w14:paraId="06DA0BC8" w14:textId="77777777" w:rsidR="00692DC1" w:rsidRPr="00EB5A74" w:rsidRDefault="00692DC1" w:rsidP="00456FE4">
      <w:pPr>
        <w:spacing w:after="0" w:line="276" w:lineRule="auto"/>
        <w:ind w:firstLine="1701"/>
        <w:jc w:val="both"/>
        <w:rPr>
          <w:rFonts w:ascii="Gadugi" w:hAnsi="Gadugi"/>
          <w:bCs/>
          <w:spacing w:val="-3"/>
          <w:sz w:val="24"/>
          <w:szCs w:val="24"/>
          <w:lang w:val="es-ES_tradnl"/>
        </w:rPr>
      </w:pPr>
    </w:p>
    <w:p w14:paraId="28D8AFCC" w14:textId="1C384243" w:rsidR="001B748B" w:rsidRPr="00EB5A74" w:rsidRDefault="001B748B" w:rsidP="00456FE4">
      <w:pPr>
        <w:numPr>
          <w:ilvl w:val="1"/>
          <w:numId w:val="21"/>
        </w:numPr>
        <w:tabs>
          <w:tab w:val="left" w:pos="2268"/>
        </w:tabs>
        <w:spacing w:after="0" w:line="276" w:lineRule="auto"/>
        <w:ind w:left="0" w:firstLine="1701"/>
        <w:jc w:val="both"/>
        <w:rPr>
          <w:rFonts w:ascii="Gadugi" w:hAnsi="Gadugi"/>
          <w:sz w:val="24"/>
          <w:szCs w:val="24"/>
          <w:lang w:val="es-ES_tradnl"/>
        </w:rPr>
      </w:pPr>
      <w:r w:rsidRPr="00EB5A74">
        <w:rPr>
          <w:rFonts w:ascii="Gadugi" w:hAnsi="Gadugi"/>
          <w:bCs/>
          <w:spacing w:val="-3"/>
          <w:sz w:val="24"/>
          <w:szCs w:val="24"/>
          <w:lang w:val="es-ES_tradnl"/>
        </w:rPr>
        <w:t xml:space="preserve"> Recapitulando, se tiene que la sentencia de primera instancia será revocada en su totalidad, por cuanto, frente a la inoponibilidad, por no tratarse de una renuncia de gananciales, es inviable la pretensión; y respecto de la </w:t>
      </w:r>
      <w:r w:rsidR="0012282A" w:rsidRPr="00EB5A74">
        <w:rPr>
          <w:rFonts w:ascii="Gadugi" w:hAnsi="Gadugi"/>
          <w:bCs/>
          <w:spacing w:val="-3"/>
          <w:sz w:val="24"/>
          <w:szCs w:val="24"/>
          <w:lang w:val="es-ES_tradnl"/>
        </w:rPr>
        <w:t xml:space="preserve">nulidad absoluta, se configuró el fenómeno de la cosa juzgada. </w:t>
      </w:r>
    </w:p>
    <w:p w14:paraId="1061696C" w14:textId="44E1E7FF" w:rsidR="0012282A" w:rsidRPr="00EB5A74" w:rsidRDefault="0012282A" w:rsidP="00456FE4">
      <w:pPr>
        <w:tabs>
          <w:tab w:val="left" w:pos="2268"/>
        </w:tabs>
        <w:spacing w:after="0" w:line="276" w:lineRule="auto"/>
        <w:jc w:val="both"/>
        <w:rPr>
          <w:rFonts w:ascii="Gadugi" w:hAnsi="Gadugi"/>
          <w:bCs/>
          <w:spacing w:val="-3"/>
          <w:sz w:val="24"/>
          <w:szCs w:val="24"/>
          <w:lang w:val="es-ES_tradnl"/>
        </w:rPr>
      </w:pPr>
    </w:p>
    <w:p w14:paraId="585F6DB5" w14:textId="74E1AE70" w:rsidR="00ED2F26" w:rsidRPr="00EB5A74" w:rsidRDefault="0012282A" w:rsidP="00456FE4">
      <w:pPr>
        <w:tabs>
          <w:tab w:val="left" w:pos="1701"/>
        </w:tabs>
        <w:spacing w:after="0" w:line="276" w:lineRule="auto"/>
        <w:jc w:val="both"/>
        <w:rPr>
          <w:rFonts w:ascii="Gadugi" w:hAnsi="Gadugi"/>
          <w:sz w:val="24"/>
          <w:szCs w:val="24"/>
          <w:lang w:val="es-ES_tradnl"/>
        </w:rPr>
      </w:pPr>
      <w:r w:rsidRPr="00EB5A74">
        <w:rPr>
          <w:rFonts w:ascii="Gadugi" w:hAnsi="Gadugi"/>
          <w:bCs/>
          <w:spacing w:val="-3"/>
          <w:sz w:val="24"/>
          <w:szCs w:val="24"/>
          <w:lang w:val="es-ES_tradnl"/>
        </w:rPr>
        <w:t xml:space="preserve">  </w:t>
      </w:r>
      <w:r w:rsidRPr="00EB5A74">
        <w:rPr>
          <w:rFonts w:ascii="Gadugi" w:hAnsi="Gadugi"/>
          <w:bCs/>
          <w:spacing w:val="-3"/>
          <w:sz w:val="24"/>
          <w:szCs w:val="24"/>
          <w:lang w:val="es-ES_tradnl"/>
        </w:rPr>
        <w:tab/>
        <w:t xml:space="preserve">En su lugar, </w:t>
      </w:r>
      <w:r w:rsidR="00307C8D" w:rsidRPr="00EB5A74">
        <w:rPr>
          <w:rFonts w:ascii="Gadugi" w:hAnsi="Gadugi"/>
          <w:sz w:val="24"/>
          <w:szCs w:val="24"/>
          <w:lang w:val="es-ES_tradnl"/>
        </w:rPr>
        <w:t>se negarán las pretensiones de la demanda.</w:t>
      </w:r>
    </w:p>
    <w:p w14:paraId="72A3790A" w14:textId="77777777" w:rsidR="00307C8D" w:rsidRPr="00EB5A74" w:rsidRDefault="00307C8D" w:rsidP="00456FE4">
      <w:pPr>
        <w:spacing w:line="276" w:lineRule="auto"/>
        <w:ind w:firstLine="1701"/>
        <w:contextualSpacing/>
        <w:jc w:val="both"/>
        <w:rPr>
          <w:rFonts w:ascii="Gadugi" w:hAnsi="Gadugi"/>
          <w:sz w:val="24"/>
          <w:szCs w:val="24"/>
          <w:lang w:val="es-ES_tradnl"/>
        </w:rPr>
      </w:pPr>
    </w:p>
    <w:p w14:paraId="08D488E1" w14:textId="0440B4FF" w:rsidR="00ED2F26" w:rsidRPr="00EB5A74" w:rsidRDefault="0012282A" w:rsidP="00456FE4">
      <w:pPr>
        <w:spacing w:line="276" w:lineRule="auto"/>
        <w:ind w:firstLine="1701"/>
        <w:contextualSpacing/>
        <w:jc w:val="both"/>
        <w:rPr>
          <w:rFonts w:ascii="Gadugi" w:hAnsi="Gadugi"/>
          <w:sz w:val="24"/>
          <w:szCs w:val="24"/>
          <w:lang w:val="es-ES_tradnl"/>
        </w:rPr>
      </w:pPr>
      <w:r w:rsidRPr="00EB5A74">
        <w:rPr>
          <w:rFonts w:ascii="Gadugi" w:hAnsi="Gadugi"/>
          <w:sz w:val="24"/>
          <w:szCs w:val="24"/>
          <w:lang w:val="es-ES_tradnl"/>
        </w:rPr>
        <w:t xml:space="preserve">Como el recurso prospera en su totalidad, </w:t>
      </w:r>
      <w:r w:rsidR="008B69D4" w:rsidRPr="00EB5A74">
        <w:rPr>
          <w:rFonts w:ascii="Gadugi" w:hAnsi="Gadugi"/>
          <w:sz w:val="24"/>
          <w:szCs w:val="24"/>
          <w:lang w:val="es-ES_tradnl"/>
        </w:rPr>
        <w:t xml:space="preserve">se </w:t>
      </w:r>
      <w:r w:rsidR="00ED2F26" w:rsidRPr="00EB5A74">
        <w:rPr>
          <w:rFonts w:ascii="Gadugi" w:hAnsi="Gadugi"/>
          <w:sz w:val="24"/>
          <w:szCs w:val="24"/>
          <w:lang w:val="es-ES_tradnl"/>
        </w:rPr>
        <w:t>condena</w:t>
      </w:r>
      <w:r w:rsidRPr="00EB5A74">
        <w:rPr>
          <w:rFonts w:ascii="Gadugi" w:hAnsi="Gadugi"/>
          <w:sz w:val="24"/>
          <w:szCs w:val="24"/>
          <w:lang w:val="es-ES_tradnl"/>
        </w:rPr>
        <w:t>rá</w:t>
      </w:r>
      <w:r w:rsidR="00ED2F26" w:rsidRPr="00EB5A74">
        <w:rPr>
          <w:rFonts w:ascii="Gadugi" w:hAnsi="Gadugi"/>
          <w:sz w:val="24"/>
          <w:szCs w:val="24"/>
          <w:lang w:val="es-ES_tradnl"/>
        </w:rPr>
        <w:t xml:space="preserve"> en costas a la parte demandante</w:t>
      </w:r>
      <w:r w:rsidR="00307C8D" w:rsidRPr="00EB5A74">
        <w:rPr>
          <w:rFonts w:ascii="Gadugi" w:hAnsi="Gadugi"/>
          <w:sz w:val="24"/>
          <w:szCs w:val="24"/>
          <w:lang w:val="es-ES_tradnl"/>
        </w:rPr>
        <w:t xml:space="preserve"> en favor de la parte demandada</w:t>
      </w:r>
      <w:r w:rsidR="00ED2F26" w:rsidRPr="00EB5A74">
        <w:rPr>
          <w:rFonts w:ascii="Gadugi" w:hAnsi="Gadugi"/>
          <w:sz w:val="24"/>
          <w:szCs w:val="24"/>
          <w:lang w:val="es-ES_tradnl"/>
        </w:rPr>
        <w:t xml:space="preserve"> (Art. 365-4 CGP)</w:t>
      </w:r>
      <w:r w:rsidR="008B69D4" w:rsidRPr="00EB5A74">
        <w:rPr>
          <w:rFonts w:ascii="Gadugi" w:hAnsi="Gadugi"/>
          <w:sz w:val="24"/>
          <w:szCs w:val="24"/>
          <w:lang w:val="es-ES_tradnl"/>
        </w:rPr>
        <w:t>. Ellas se liquidarán de manera concentrada ante el juzgado de primera instancia, siguiendo las pautas del artículo 366 ib</w:t>
      </w:r>
      <w:r w:rsidRPr="00EB5A74">
        <w:rPr>
          <w:rFonts w:ascii="Gadugi" w:hAnsi="Gadugi"/>
          <w:sz w:val="24"/>
          <w:szCs w:val="24"/>
          <w:lang w:val="es-ES_tradnl"/>
        </w:rPr>
        <w:t>i</w:t>
      </w:r>
      <w:r w:rsidR="008B69D4" w:rsidRPr="00EB5A74">
        <w:rPr>
          <w:rFonts w:ascii="Gadugi" w:hAnsi="Gadugi"/>
          <w:sz w:val="24"/>
          <w:szCs w:val="24"/>
          <w:lang w:val="es-ES_tradnl"/>
        </w:rPr>
        <w:t>dem</w:t>
      </w:r>
      <w:r w:rsidRPr="00EB5A74">
        <w:rPr>
          <w:rFonts w:ascii="Gadugi" w:hAnsi="Gadugi"/>
          <w:sz w:val="24"/>
          <w:szCs w:val="24"/>
          <w:lang w:val="es-ES_tradnl"/>
        </w:rPr>
        <w:t>. P</w:t>
      </w:r>
      <w:r w:rsidR="008B69D4" w:rsidRPr="00EB5A74">
        <w:rPr>
          <w:rFonts w:ascii="Gadugi" w:hAnsi="Gadugi"/>
          <w:sz w:val="24"/>
          <w:szCs w:val="24"/>
          <w:lang w:val="es-ES_tradnl"/>
        </w:rPr>
        <w:t>ara ello, se fijarán en auto separado las agencias en derecho respectivas.</w:t>
      </w:r>
      <w:r w:rsidR="00ED2F26" w:rsidRPr="00EB5A74">
        <w:rPr>
          <w:rFonts w:ascii="Gadugi" w:hAnsi="Gadugi"/>
          <w:sz w:val="24"/>
          <w:szCs w:val="24"/>
          <w:lang w:val="es-ES_tradnl"/>
        </w:rPr>
        <w:t xml:space="preserve"> </w:t>
      </w:r>
    </w:p>
    <w:p w14:paraId="5C93DFBA" w14:textId="31ABC910" w:rsidR="00ED2F26" w:rsidRPr="00EB5A74" w:rsidRDefault="00ED2F26" w:rsidP="00456FE4">
      <w:pPr>
        <w:spacing w:line="276" w:lineRule="auto"/>
        <w:ind w:firstLine="1701"/>
        <w:contextualSpacing/>
        <w:jc w:val="both"/>
        <w:rPr>
          <w:rFonts w:ascii="Gadugi" w:hAnsi="Gadugi"/>
          <w:sz w:val="24"/>
          <w:szCs w:val="24"/>
          <w:lang w:val="es-ES_tradnl"/>
        </w:rPr>
      </w:pPr>
    </w:p>
    <w:p w14:paraId="264D4B8C" w14:textId="77777777" w:rsidR="00E32260" w:rsidRPr="00EB5A74" w:rsidRDefault="00E32260" w:rsidP="00456FE4">
      <w:pPr>
        <w:spacing w:line="276" w:lineRule="auto"/>
        <w:ind w:firstLine="1701"/>
        <w:contextualSpacing/>
        <w:jc w:val="both"/>
        <w:rPr>
          <w:rFonts w:ascii="Gadugi" w:hAnsi="Gadugi"/>
          <w:sz w:val="24"/>
          <w:szCs w:val="24"/>
          <w:lang w:val="es-ES_tradnl"/>
        </w:rPr>
      </w:pPr>
    </w:p>
    <w:p w14:paraId="41CD11CC" w14:textId="5B5816C2" w:rsidR="00ED2F26" w:rsidRPr="00EB5A74" w:rsidRDefault="00ED2F26" w:rsidP="00456FE4">
      <w:pPr>
        <w:numPr>
          <w:ilvl w:val="0"/>
          <w:numId w:val="1"/>
        </w:numPr>
        <w:tabs>
          <w:tab w:val="left" w:pos="426"/>
        </w:tabs>
        <w:overflowPunct w:val="0"/>
        <w:autoSpaceDE w:val="0"/>
        <w:autoSpaceDN w:val="0"/>
        <w:adjustRightInd w:val="0"/>
        <w:spacing w:after="0" w:line="276" w:lineRule="auto"/>
        <w:ind w:left="2127" w:hanging="426"/>
        <w:jc w:val="both"/>
        <w:textAlignment w:val="baseline"/>
        <w:rPr>
          <w:rFonts w:ascii="Gadugi" w:hAnsi="Gadugi"/>
          <w:b/>
          <w:sz w:val="24"/>
          <w:szCs w:val="24"/>
          <w:lang w:val="es-ES_tradnl"/>
        </w:rPr>
      </w:pPr>
      <w:r w:rsidRPr="00EB5A74">
        <w:rPr>
          <w:rFonts w:ascii="Gadugi" w:hAnsi="Gadugi"/>
          <w:b/>
          <w:sz w:val="24"/>
          <w:szCs w:val="24"/>
          <w:lang w:val="es-ES_tradnl"/>
        </w:rPr>
        <w:t>DECISIÓN</w:t>
      </w:r>
    </w:p>
    <w:p w14:paraId="7330A589" w14:textId="77777777" w:rsidR="00ED2F26" w:rsidRPr="00EB5A74" w:rsidRDefault="00ED2F26" w:rsidP="00456FE4">
      <w:pPr>
        <w:tabs>
          <w:tab w:val="left" w:pos="426"/>
        </w:tabs>
        <w:spacing w:line="276" w:lineRule="auto"/>
        <w:ind w:firstLine="1701"/>
        <w:contextualSpacing/>
        <w:jc w:val="both"/>
        <w:rPr>
          <w:rFonts w:ascii="Gadugi" w:hAnsi="Gadugi"/>
          <w:sz w:val="24"/>
          <w:szCs w:val="24"/>
          <w:lang w:val="es-ES_tradnl"/>
        </w:rPr>
      </w:pPr>
    </w:p>
    <w:p w14:paraId="2C4B5E39" w14:textId="77777777" w:rsidR="00ED2F26" w:rsidRPr="00EB5A74" w:rsidRDefault="00ED2F26" w:rsidP="00456FE4">
      <w:pPr>
        <w:tabs>
          <w:tab w:val="left" w:pos="426"/>
        </w:tabs>
        <w:spacing w:line="276" w:lineRule="auto"/>
        <w:ind w:firstLine="1701"/>
        <w:contextualSpacing/>
        <w:jc w:val="both"/>
        <w:rPr>
          <w:rFonts w:ascii="Gadugi" w:hAnsi="Gadugi"/>
          <w:sz w:val="24"/>
          <w:szCs w:val="24"/>
          <w:lang w:val="es-ES_tradnl"/>
        </w:rPr>
      </w:pPr>
    </w:p>
    <w:p w14:paraId="6D434B97" w14:textId="317B4D6B" w:rsidR="00ED2F26" w:rsidRPr="00EB5A74" w:rsidRDefault="00ED2F26" w:rsidP="00456FE4">
      <w:pPr>
        <w:tabs>
          <w:tab w:val="left" w:pos="426"/>
        </w:tabs>
        <w:spacing w:after="0" w:line="276" w:lineRule="auto"/>
        <w:ind w:firstLine="1701"/>
        <w:contextualSpacing/>
        <w:jc w:val="both"/>
        <w:rPr>
          <w:rFonts w:ascii="Gadugi" w:eastAsia="Malgun Gothic" w:hAnsi="Gadugi" w:cs="Estrangelo Edessa"/>
          <w:bCs/>
          <w:sz w:val="24"/>
          <w:szCs w:val="24"/>
          <w:lang w:val="es-ES_tradnl"/>
        </w:rPr>
      </w:pPr>
      <w:r w:rsidRPr="00EB5A74">
        <w:rPr>
          <w:rFonts w:ascii="Gadugi" w:hAnsi="Gadugi"/>
          <w:sz w:val="24"/>
          <w:szCs w:val="24"/>
          <w:lang w:val="es-ES_tradnl"/>
        </w:rPr>
        <w:t xml:space="preserve">En armonía con lo dicho, la Sala Civil Familia del Tribunal Superior del Distrito Judicial de Pereira, administrando justicia en nombre de la República y por autoridad de la Ley, </w:t>
      </w:r>
      <w:r w:rsidRPr="00EB5A74">
        <w:rPr>
          <w:rFonts w:ascii="Gadugi" w:hAnsi="Gadugi"/>
          <w:b/>
          <w:sz w:val="24"/>
          <w:szCs w:val="24"/>
          <w:lang w:val="es-ES_tradnl"/>
        </w:rPr>
        <w:t>REVOCA</w:t>
      </w:r>
      <w:r w:rsidRPr="00EB5A74">
        <w:rPr>
          <w:rFonts w:ascii="Gadugi" w:hAnsi="Gadugi"/>
          <w:sz w:val="24"/>
          <w:szCs w:val="24"/>
          <w:lang w:val="es-ES_tradnl"/>
        </w:rPr>
        <w:t xml:space="preserve"> la sentencia dictada por el Juzgado </w:t>
      </w:r>
      <w:r w:rsidR="0012282A" w:rsidRPr="00EB5A74">
        <w:rPr>
          <w:rFonts w:ascii="Gadugi" w:hAnsi="Gadugi"/>
          <w:sz w:val="24"/>
          <w:szCs w:val="24"/>
          <w:lang w:val="es-ES_tradnl"/>
        </w:rPr>
        <w:t>T</w:t>
      </w:r>
      <w:r w:rsidRPr="00EB5A74">
        <w:rPr>
          <w:rFonts w:ascii="Gadugi" w:hAnsi="Gadugi"/>
          <w:sz w:val="24"/>
          <w:szCs w:val="24"/>
          <w:lang w:val="es-ES_tradnl"/>
        </w:rPr>
        <w:t xml:space="preserve">ercero de Familia de Pereira el 1 de julio de 2020, en este proceso </w:t>
      </w:r>
      <w:r w:rsidR="0012282A" w:rsidRPr="00EB5A74">
        <w:rPr>
          <w:rFonts w:ascii="Gadugi" w:hAnsi="Gadugi"/>
          <w:sz w:val="24"/>
          <w:szCs w:val="24"/>
          <w:lang w:val="es-ES_tradnl"/>
        </w:rPr>
        <w:t xml:space="preserve">ordinario </w:t>
      </w:r>
      <w:r w:rsidRPr="00EB5A74">
        <w:rPr>
          <w:rFonts w:ascii="Gadugi" w:hAnsi="Gadugi"/>
          <w:sz w:val="24"/>
          <w:szCs w:val="24"/>
          <w:lang w:val="es-ES_tradnl"/>
        </w:rPr>
        <w:t xml:space="preserve">iniciado por </w:t>
      </w:r>
      <w:r w:rsidR="00056C3D" w:rsidRPr="00EB5A74">
        <w:rPr>
          <w:rFonts w:ascii="Gadugi" w:eastAsia="Malgun Gothic" w:hAnsi="Gadugi" w:cs="Estrangelo Edessa"/>
          <w:b/>
          <w:sz w:val="24"/>
          <w:szCs w:val="24"/>
          <w:lang w:val="es-ES_tradnl"/>
        </w:rPr>
        <w:t>Luz Amparo González Lizcano</w:t>
      </w:r>
      <w:r w:rsidRPr="00EB5A74">
        <w:rPr>
          <w:rFonts w:ascii="Gadugi" w:eastAsia="Malgun Gothic" w:hAnsi="Gadugi" w:cs="Estrangelo Edessa"/>
          <w:sz w:val="24"/>
          <w:szCs w:val="24"/>
          <w:lang w:val="es-ES_tradnl"/>
        </w:rPr>
        <w:t xml:space="preserve">, </w:t>
      </w:r>
      <w:r w:rsidR="00056C3D" w:rsidRPr="00EB5A74">
        <w:rPr>
          <w:rFonts w:ascii="Gadugi" w:eastAsia="Malgun Gothic" w:hAnsi="Gadugi" w:cs="Estrangelo Edessa"/>
          <w:sz w:val="24"/>
          <w:szCs w:val="24"/>
          <w:lang w:val="es-ES_tradnl"/>
        </w:rPr>
        <w:t xml:space="preserve">en el que se vinculó como litisconsortes por activa a los señores </w:t>
      </w:r>
      <w:r w:rsidR="00056C3D" w:rsidRPr="00EB5A74">
        <w:rPr>
          <w:rFonts w:ascii="Gadugi" w:eastAsia="Malgun Gothic" w:hAnsi="Gadugi" w:cs="Estrangelo Edessa"/>
          <w:b/>
          <w:bCs/>
          <w:sz w:val="24"/>
          <w:szCs w:val="24"/>
          <w:lang w:val="es-ES_tradnl"/>
        </w:rPr>
        <w:t xml:space="preserve">María Liliana, Letty, Julio César, Yanet y </w:t>
      </w:r>
      <w:proofErr w:type="spellStart"/>
      <w:r w:rsidR="00056C3D" w:rsidRPr="00EB5A74">
        <w:rPr>
          <w:rFonts w:ascii="Gadugi" w:eastAsia="Malgun Gothic" w:hAnsi="Gadugi" w:cs="Estrangelo Edessa"/>
          <w:b/>
          <w:bCs/>
          <w:sz w:val="24"/>
          <w:szCs w:val="24"/>
          <w:lang w:val="es-ES_tradnl"/>
        </w:rPr>
        <w:t>Solángel</w:t>
      </w:r>
      <w:proofErr w:type="spellEnd"/>
      <w:r w:rsidR="00056C3D" w:rsidRPr="00EB5A74">
        <w:rPr>
          <w:rFonts w:ascii="Gadugi" w:eastAsia="Malgun Gothic" w:hAnsi="Gadugi" w:cs="Estrangelo Edessa"/>
          <w:b/>
          <w:bCs/>
          <w:sz w:val="24"/>
          <w:szCs w:val="24"/>
          <w:lang w:val="es-ES_tradnl"/>
        </w:rPr>
        <w:t xml:space="preserve"> González Lizcano </w:t>
      </w:r>
      <w:r w:rsidRPr="00EB5A74">
        <w:rPr>
          <w:rFonts w:ascii="Gadugi" w:eastAsia="Malgun Gothic" w:hAnsi="Gadugi" w:cs="Estrangelo Edessa"/>
          <w:sz w:val="24"/>
          <w:szCs w:val="24"/>
          <w:lang w:val="es-ES_tradnl"/>
        </w:rPr>
        <w:t>c</w:t>
      </w:r>
      <w:r w:rsidR="00056C3D" w:rsidRPr="00EB5A74">
        <w:rPr>
          <w:rFonts w:ascii="Gadugi" w:eastAsia="Malgun Gothic" w:hAnsi="Gadugi" w:cs="Estrangelo Edessa"/>
          <w:sz w:val="24"/>
          <w:szCs w:val="24"/>
          <w:lang w:val="es-ES_tradnl"/>
        </w:rPr>
        <w:t xml:space="preserve">ontra </w:t>
      </w:r>
      <w:r w:rsidR="00056C3D" w:rsidRPr="00EB5A74">
        <w:rPr>
          <w:rFonts w:ascii="Gadugi" w:eastAsia="Malgun Gothic" w:hAnsi="Gadugi" w:cs="Estrangelo Edessa"/>
          <w:b/>
          <w:sz w:val="24"/>
          <w:szCs w:val="24"/>
          <w:lang w:val="es-ES_tradnl"/>
        </w:rPr>
        <w:t xml:space="preserve">Patricia del Socorro, Javier, Gloria María y Mónica González Naranjo </w:t>
      </w:r>
      <w:r w:rsidR="00056C3D" w:rsidRPr="00EB5A74">
        <w:rPr>
          <w:rFonts w:ascii="Gadugi" w:eastAsia="Malgun Gothic" w:hAnsi="Gadugi" w:cs="Estrangelo Edessa"/>
          <w:bCs/>
          <w:sz w:val="24"/>
          <w:szCs w:val="24"/>
          <w:lang w:val="es-ES_tradnl"/>
        </w:rPr>
        <w:t xml:space="preserve">y </w:t>
      </w:r>
      <w:r w:rsidR="00056C3D" w:rsidRPr="0036441A">
        <w:rPr>
          <w:rFonts w:ascii="Gadugi" w:eastAsia="Malgun Gothic" w:hAnsi="Gadugi" w:cs="Estrangelo Edessa"/>
          <w:b/>
          <w:bCs/>
          <w:sz w:val="24"/>
          <w:szCs w:val="24"/>
          <w:lang w:val="es-ES_tradnl"/>
        </w:rPr>
        <w:t>los herederos indeterminados del señor Julio César González y Soledad Naranjo de González</w:t>
      </w:r>
      <w:r w:rsidRPr="00EB5A74">
        <w:rPr>
          <w:rFonts w:ascii="Gadugi" w:eastAsia="Malgun Gothic" w:hAnsi="Gadugi" w:cs="Estrangelo Edessa"/>
          <w:bCs/>
          <w:sz w:val="24"/>
          <w:szCs w:val="24"/>
          <w:lang w:val="es-ES_tradnl"/>
        </w:rPr>
        <w:t>.</w:t>
      </w:r>
    </w:p>
    <w:p w14:paraId="49B7D50B" w14:textId="77777777" w:rsidR="00ED2F26" w:rsidRPr="00EB5A74" w:rsidRDefault="00ED2F26" w:rsidP="00456FE4">
      <w:pPr>
        <w:spacing w:after="0" w:line="276" w:lineRule="auto"/>
        <w:ind w:left="1701" w:firstLine="1701"/>
        <w:contextualSpacing/>
        <w:jc w:val="both"/>
        <w:rPr>
          <w:rFonts w:ascii="Gadugi" w:eastAsia="Malgun Gothic" w:hAnsi="Gadugi" w:cs="Estrangelo Edessa"/>
          <w:b/>
          <w:sz w:val="24"/>
          <w:szCs w:val="24"/>
          <w:lang w:val="es-ES_tradnl"/>
        </w:rPr>
      </w:pPr>
    </w:p>
    <w:p w14:paraId="3E72B373" w14:textId="77777777" w:rsidR="0012282A" w:rsidRPr="00EB5A74" w:rsidRDefault="00ED2F26" w:rsidP="00456FE4">
      <w:pPr>
        <w:spacing w:after="0" w:line="276" w:lineRule="auto"/>
        <w:ind w:left="1701"/>
        <w:contextualSpacing/>
        <w:jc w:val="both"/>
        <w:rPr>
          <w:rFonts w:ascii="Gadugi" w:eastAsia="Malgun Gothic" w:hAnsi="Gadugi" w:cs="Estrangelo Edessa"/>
          <w:sz w:val="24"/>
          <w:szCs w:val="24"/>
          <w:lang w:val="es-ES_tradnl"/>
        </w:rPr>
      </w:pPr>
      <w:r w:rsidRPr="00EB5A74">
        <w:rPr>
          <w:rFonts w:ascii="Gadugi" w:eastAsia="Malgun Gothic" w:hAnsi="Gadugi" w:cs="Estrangelo Edessa"/>
          <w:sz w:val="24"/>
          <w:szCs w:val="24"/>
          <w:lang w:val="es-ES_tradnl"/>
        </w:rPr>
        <w:t>En su lugar</w:t>
      </w:r>
      <w:r w:rsidR="0012282A" w:rsidRPr="00EB5A74">
        <w:rPr>
          <w:rFonts w:ascii="Gadugi" w:eastAsia="Malgun Gothic" w:hAnsi="Gadugi" w:cs="Estrangelo Edessa"/>
          <w:sz w:val="24"/>
          <w:szCs w:val="24"/>
          <w:lang w:val="es-ES_tradnl"/>
        </w:rPr>
        <w:t>:</w:t>
      </w:r>
    </w:p>
    <w:p w14:paraId="2D912027" w14:textId="77777777" w:rsidR="0012282A" w:rsidRPr="00EB5A74" w:rsidRDefault="0012282A" w:rsidP="00456FE4">
      <w:pPr>
        <w:spacing w:after="0" w:line="276" w:lineRule="auto"/>
        <w:ind w:left="1701"/>
        <w:contextualSpacing/>
        <w:jc w:val="both"/>
        <w:rPr>
          <w:rFonts w:ascii="Gadugi" w:eastAsia="Malgun Gothic" w:hAnsi="Gadugi" w:cs="Estrangelo Edessa"/>
          <w:sz w:val="24"/>
          <w:szCs w:val="24"/>
          <w:lang w:val="es-ES_tradnl"/>
        </w:rPr>
      </w:pPr>
    </w:p>
    <w:p w14:paraId="6D9C98B3" w14:textId="368C2373" w:rsidR="00ED2F26" w:rsidRPr="00EB5A74" w:rsidRDefault="0012282A" w:rsidP="00456FE4">
      <w:pPr>
        <w:pStyle w:val="Prrafodelista"/>
        <w:numPr>
          <w:ilvl w:val="0"/>
          <w:numId w:val="22"/>
        </w:numPr>
        <w:tabs>
          <w:tab w:val="left" w:pos="1985"/>
        </w:tabs>
        <w:spacing w:after="0" w:line="276" w:lineRule="auto"/>
        <w:ind w:left="0" w:firstLine="1701"/>
        <w:jc w:val="both"/>
        <w:rPr>
          <w:rFonts w:ascii="Gadugi" w:eastAsia="Malgun Gothic" w:hAnsi="Gadugi" w:cs="Estrangelo Edessa"/>
          <w:b/>
          <w:sz w:val="24"/>
          <w:szCs w:val="24"/>
          <w:lang w:val="es-ES_tradnl"/>
        </w:rPr>
      </w:pPr>
      <w:r w:rsidRPr="00EB5A74">
        <w:rPr>
          <w:rFonts w:ascii="Gadugi" w:eastAsia="Malgun Gothic" w:hAnsi="Gadugi" w:cs="Estrangelo Edessa"/>
          <w:sz w:val="24"/>
          <w:szCs w:val="24"/>
          <w:lang w:val="es-ES_tradnl"/>
        </w:rPr>
        <w:t xml:space="preserve">Se </w:t>
      </w:r>
      <w:r w:rsidRPr="00EB5A74">
        <w:rPr>
          <w:rFonts w:ascii="Gadugi" w:eastAsia="Malgun Gothic" w:hAnsi="Gadugi" w:cs="Estrangelo Edessa"/>
          <w:b/>
          <w:bCs/>
          <w:sz w:val="24"/>
          <w:szCs w:val="24"/>
          <w:lang w:val="es-ES_tradnl"/>
        </w:rPr>
        <w:t>NIEGAN</w:t>
      </w:r>
      <w:r w:rsidRPr="00EB5A74">
        <w:rPr>
          <w:rFonts w:ascii="Gadugi" w:eastAsia="Malgun Gothic" w:hAnsi="Gadugi" w:cs="Estrangelo Edessa"/>
          <w:sz w:val="24"/>
          <w:szCs w:val="24"/>
          <w:lang w:val="es-ES_tradnl"/>
        </w:rPr>
        <w:t xml:space="preserve"> </w:t>
      </w:r>
      <w:r w:rsidR="00ED2F26" w:rsidRPr="00EB5A74">
        <w:rPr>
          <w:rFonts w:ascii="Gadugi" w:eastAsia="Malgun Gothic" w:hAnsi="Gadugi" w:cs="Estrangelo Edessa"/>
          <w:sz w:val="24"/>
          <w:szCs w:val="24"/>
          <w:lang w:val="es-ES_tradnl"/>
        </w:rPr>
        <w:t>la</w:t>
      </w:r>
      <w:r w:rsidR="00056C3D" w:rsidRPr="00EB5A74">
        <w:rPr>
          <w:rFonts w:ascii="Gadugi" w:eastAsia="Malgun Gothic" w:hAnsi="Gadugi" w:cs="Estrangelo Edessa"/>
          <w:sz w:val="24"/>
          <w:szCs w:val="24"/>
          <w:lang w:val="es-ES_tradnl"/>
        </w:rPr>
        <w:t xml:space="preserve">s pretensiones </w:t>
      </w:r>
      <w:r w:rsidRPr="00EB5A74">
        <w:rPr>
          <w:rFonts w:ascii="Gadugi" w:eastAsia="Malgun Gothic" w:hAnsi="Gadugi" w:cs="Estrangelo Edessa"/>
          <w:sz w:val="24"/>
          <w:szCs w:val="24"/>
          <w:lang w:val="es-ES_tradnl"/>
        </w:rPr>
        <w:t xml:space="preserve">principales </w:t>
      </w:r>
      <w:r w:rsidR="00056C3D" w:rsidRPr="00EB5A74">
        <w:rPr>
          <w:rFonts w:ascii="Gadugi" w:eastAsia="Malgun Gothic" w:hAnsi="Gadugi" w:cs="Estrangelo Edessa"/>
          <w:sz w:val="24"/>
          <w:szCs w:val="24"/>
          <w:lang w:val="es-ES_tradnl"/>
        </w:rPr>
        <w:t>de la demanda</w:t>
      </w:r>
      <w:r w:rsidR="008B69D4" w:rsidRPr="00EB5A74">
        <w:rPr>
          <w:rFonts w:ascii="Gadugi" w:eastAsia="Malgun Gothic" w:hAnsi="Gadugi" w:cs="Estrangelo Edessa"/>
          <w:sz w:val="24"/>
          <w:szCs w:val="24"/>
          <w:lang w:val="es-ES_tradnl"/>
        </w:rPr>
        <w:t xml:space="preserve">. </w:t>
      </w:r>
    </w:p>
    <w:p w14:paraId="392FAAF6" w14:textId="77777777" w:rsidR="00056C3D" w:rsidRPr="00EB5A74" w:rsidRDefault="00056C3D" w:rsidP="00456FE4">
      <w:pPr>
        <w:tabs>
          <w:tab w:val="left" w:pos="1985"/>
        </w:tabs>
        <w:overflowPunct w:val="0"/>
        <w:autoSpaceDE w:val="0"/>
        <w:autoSpaceDN w:val="0"/>
        <w:adjustRightInd w:val="0"/>
        <w:spacing w:after="0" w:line="276" w:lineRule="auto"/>
        <w:ind w:firstLine="1701"/>
        <w:contextualSpacing/>
        <w:jc w:val="both"/>
        <w:textAlignment w:val="baseline"/>
        <w:rPr>
          <w:rFonts w:ascii="Gadugi" w:eastAsia="Malgun Gothic" w:hAnsi="Gadugi" w:cs="Estrangelo Edessa"/>
          <w:b/>
          <w:sz w:val="24"/>
          <w:szCs w:val="24"/>
          <w:lang w:val="es-ES_tradnl"/>
        </w:rPr>
      </w:pPr>
    </w:p>
    <w:p w14:paraId="645FBC5D" w14:textId="77777777" w:rsidR="00F078D5" w:rsidRPr="00EB5A74" w:rsidRDefault="0012282A" w:rsidP="00456FE4">
      <w:pPr>
        <w:pStyle w:val="Prrafodelista"/>
        <w:numPr>
          <w:ilvl w:val="0"/>
          <w:numId w:val="22"/>
        </w:numPr>
        <w:tabs>
          <w:tab w:val="left" w:pos="426"/>
          <w:tab w:val="left" w:pos="1985"/>
        </w:tabs>
        <w:overflowPunct w:val="0"/>
        <w:autoSpaceDE w:val="0"/>
        <w:autoSpaceDN w:val="0"/>
        <w:adjustRightInd w:val="0"/>
        <w:spacing w:after="0" w:line="276" w:lineRule="auto"/>
        <w:ind w:left="0" w:firstLine="1701"/>
        <w:jc w:val="both"/>
        <w:textAlignment w:val="baseline"/>
        <w:rPr>
          <w:rFonts w:ascii="Gadugi" w:hAnsi="Gadugi"/>
          <w:sz w:val="24"/>
          <w:szCs w:val="24"/>
          <w:lang w:val="es-ES_tradnl"/>
        </w:rPr>
      </w:pPr>
      <w:r w:rsidRPr="00EB5A74">
        <w:rPr>
          <w:rFonts w:ascii="Gadugi" w:hAnsi="Gadugi"/>
          <w:sz w:val="24"/>
          <w:szCs w:val="24"/>
          <w:lang w:val="es-ES_tradnl"/>
        </w:rPr>
        <w:t xml:space="preserve">Se </w:t>
      </w:r>
      <w:r w:rsidRPr="00EB5A74">
        <w:rPr>
          <w:rFonts w:ascii="Gadugi" w:hAnsi="Gadugi"/>
          <w:b/>
          <w:bCs/>
          <w:sz w:val="24"/>
          <w:szCs w:val="24"/>
          <w:lang w:val="es-ES_tradnl"/>
        </w:rPr>
        <w:t>DECLARA PROBADA</w:t>
      </w:r>
      <w:r w:rsidRPr="00EB5A74">
        <w:rPr>
          <w:rFonts w:ascii="Gadugi" w:hAnsi="Gadugi"/>
          <w:sz w:val="24"/>
          <w:szCs w:val="24"/>
          <w:lang w:val="es-ES_tradnl"/>
        </w:rPr>
        <w:t xml:space="preserve"> la excepción de cosa juzgada, respecto de la subsidiaria. </w:t>
      </w:r>
    </w:p>
    <w:p w14:paraId="47CA3ACA" w14:textId="77777777" w:rsidR="00F078D5" w:rsidRPr="00EB5A74" w:rsidRDefault="00F078D5" w:rsidP="00456FE4">
      <w:pPr>
        <w:pStyle w:val="Prrafodelista"/>
        <w:tabs>
          <w:tab w:val="left" w:pos="1985"/>
        </w:tabs>
        <w:spacing w:after="0" w:line="276" w:lineRule="auto"/>
        <w:ind w:left="0" w:firstLine="1701"/>
        <w:rPr>
          <w:rFonts w:ascii="Gadugi" w:hAnsi="Gadugi"/>
          <w:sz w:val="24"/>
          <w:szCs w:val="24"/>
          <w:lang w:val="es-ES_tradnl"/>
        </w:rPr>
      </w:pPr>
    </w:p>
    <w:p w14:paraId="426ABE59" w14:textId="69576270" w:rsidR="00F078D5" w:rsidRPr="00EB5A74" w:rsidRDefault="00F078D5" w:rsidP="00456FE4">
      <w:pPr>
        <w:tabs>
          <w:tab w:val="left" w:pos="426"/>
          <w:tab w:val="left" w:pos="1985"/>
        </w:tabs>
        <w:overflowPunct w:val="0"/>
        <w:autoSpaceDE w:val="0"/>
        <w:autoSpaceDN w:val="0"/>
        <w:adjustRightInd w:val="0"/>
        <w:spacing w:after="0" w:line="276" w:lineRule="auto"/>
        <w:ind w:firstLine="1701"/>
        <w:jc w:val="both"/>
        <w:textAlignment w:val="baseline"/>
        <w:rPr>
          <w:rFonts w:ascii="Gadugi" w:hAnsi="Gadugi"/>
          <w:sz w:val="24"/>
          <w:szCs w:val="24"/>
          <w:lang w:val="es-ES_tradnl"/>
        </w:rPr>
      </w:pPr>
      <w:r w:rsidRPr="00EB5A74">
        <w:rPr>
          <w:rFonts w:ascii="Gadugi" w:hAnsi="Gadugi"/>
          <w:sz w:val="24"/>
          <w:szCs w:val="24"/>
          <w:lang w:val="es-ES_tradnl"/>
        </w:rPr>
        <w:t xml:space="preserve">En consecuencia, </w:t>
      </w:r>
      <w:r w:rsidR="00E32260" w:rsidRPr="00EB5A74">
        <w:rPr>
          <w:rFonts w:ascii="Gadugi" w:hAnsi="Gadugi"/>
          <w:sz w:val="24"/>
          <w:szCs w:val="24"/>
          <w:lang w:val="es-ES_tradnl"/>
        </w:rPr>
        <w:t xml:space="preserve">también </w:t>
      </w:r>
      <w:r w:rsidRPr="00EB5A74">
        <w:rPr>
          <w:rFonts w:ascii="Gadugi" w:hAnsi="Gadugi"/>
          <w:sz w:val="24"/>
          <w:szCs w:val="24"/>
          <w:lang w:val="es-ES_tradnl"/>
        </w:rPr>
        <w:t xml:space="preserve">se niega. </w:t>
      </w:r>
    </w:p>
    <w:p w14:paraId="0B3999C4" w14:textId="77777777" w:rsidR="00F078D5" w:rsidRPr="00EB5A74" w:rsidRDefault="00F078D5" w:rsidP="00456FE4">
      <w:pPr>
        <w:tabs>
          <w:tab w:val="left" w:pos="426"/>
          <w:tab w:val="left" w:pos="1985"/>
        </w:tabs>
        <w:overflowPunct w:val="0"/>
        <w:autoSpaceDE w:val="0"/>
        <w:autoSpaceDN w:val="0"/>
        <w:adjustRightInd w:val="0"/>
        <w:spacing w:after="0" w:line="276" w:lineRule="auto"/>
        <w:ind w:firstLine="1701"/>
        <w:jc w:val="both"/>
        <w:textAlignment w:val="baseline"/>
        <w:rPr>
          <w:rFonts w:ascii="Gadugi" w:hAnsi="Gadugi"/>
          <w:sz w:val="24"/>
          <w:szCs w:val="24"/>
          <w:lang w:val="es-ES_tradnl"/>
        </w:rPr>
      </w:pPr>
    </w:p>
    <w:p w14:paraId="4558DD1B" w14:textId="30B4662F" w:rsidR="00ED2F26" w:rsidRPr="00EB5A74" w:rsidRDefault="00262F13" w:rsidP="00456FE4">
      <w:pPr>
        <w:pStyle w:val="Prrafodelista"/>
        <w:numPr>
          <w:ilvl w:val="0"/>
          <w:numId w:val="22"/>
        </w:numPr>
        <w:tabs>
          <w:tab w:val="left" w:pos="426"/>
          <w:tab w:val="left" w:pos="1985"/>
        </w:tabs>
        <w:overflowPunct w:val="0"/>
        <w:autoSpaceDE w:val="0"/>
        <w:autoSpaceDN w:val="0"/>
        <w:adjustRightInd w:val="0"/>
        <w:spacing w:after="0" w:line="276" w:lineRule="auto"/>
        <w:ind w:left="0" w:firstLine="1701"/>
        <w:jc w:val="both"/>
        <w:textAlignment w:val="baseline"/>
        <w:rPr>
          <w:rFonts w:ascii="Gadugi" w:hAnsi="Gadugi"/>
          <w:sz w:val="24"/>
          <w:szCs w:val="24"/>
          <w:lang w:val="es-ES_tradnl"/>
        </w:rPr>
      </w:pPr>
      <w:r w:rsidRPr="00EB5A74">
        <w:rPr>
          <w:rFonts w:ascii="Gadugi" w:hAnsi="Gadugi"/>
          <w:sz w:val="24"/>
          <w:szCs w:val="24"/>
          <w:lang w:val="es-ES_tradnl"/>
        </w:rPr>
        <w:t xml:space="preserve">Se </w:t>
      </w:r>
      <w:r w:rsidR="00F078D5" w:rsidRPr="00EB5A74">
        <w:rPr>
          <w:rFonts w:ascii="Gadugi" w:hAnsi="Gadugi"/>
          <w:sz w:val="24"/>
          <w:szCs w:val="24"/>
          <w:lang w:val="es-ES_tradnl"/>
        </w:rPr>
        <w:t>condena</w:t>
      </w:r>
      <w:r w:rsidRPr="00EB5A74">
        <w:rPr>
          <w:rFonts w:ascii="Gadugi" w:hAnsi="Gadugi"/>
          <w:sz w:val="24"/>
          <w:szCs w:val="24"/>
          <w:lang w:val="es-ES_tradnl"/>
        </w:rPr>
        <w:t xml:space="preserve"> </w:t>
      </w:r>
      <w:r w:rsidR="00056C3D" w:rsidRPr="00EB5A74">
        <w:rPr>
          <w:rFonts w:ascii="Gadugi" w:hAnsi="Gadugi"/>
          <w:sz w:val="24"/>
          <w:szCs w:val="24"/>
          <w:lang w:val="es-ES_tradnl"/>
        </w:rPr>
        <w:t xml:space="preserve">en costas </w:t>
      </w:r>
      <w:r w:rsidRPr="00EB5A74">
        <w:rPr>
          <w:rFonts w:ascii="Gadugi" w:hAnsi="Gadugi"/>
          <w:sz w:val="24"/>
          <w:szCs w:val="24"/>
          <w:lang w:val="es-ES_tradnl"/>
        </w:rPr>
        <w:t>a la parte demandante en favor de los demandados</w:t>
      </w:r>
      <w:r w:rsidR="00F078D5" w:rsidRPr="00EB5A74">
        <w:rPr>
          <w:rFonts w:ascii="Gadugi" w:hAnsi="Gadugi"/>
          <w:sz w:val="24"/>
          <w:szCs w:val="24"/>
          <w:lang w:val="es-ES_tradnl"/>
        </w:rPr>
        <w:t>, en ambas instancias.</w:t>
      </w:r>
      <w:r w:rsidRPr="00EB5A74">
        <w:rPr>
          <w:rFonts w:ascii="Gadugi" w:hAnsi="Gadugi"/>
          <w:sz w:val="24"/>
          <w:szCs w:val="24"/>
          <w:lang w:val="es-ES_tradnl"/>
        </w:rPr>
        <w:t xml:space="preserve"> </w:t>
      </w:r>
    </w:p>
    <w:p w14:paraId="16826CA2" w14:textId="600C9BEC" w:rsidR="00262F13" w:rsidRPr="00EB5A74" w:rsidRDefault="00262F13" w:rsidP="00456FE4">
      <w:pPr>
        <w:tabs>
          <w:tab w:val="left" w:pos="426"/>
          <w:tab w:val="left" w:pos="1985"/>
        </w:tabs>
        <w:overflowPunct w:val="0"/>
        <w:autoSpaceDE w:val="0"/>
        <w:autoSpaceDN w:val="0"/>
        <w:adjustRightInd w:val="0"/>
        <w:spacing w:after="0" w:line="276" w:lineRule="auto"/>
        <w:ind w:firstLine="1701"/>
        <w:contextualSpacing/>
        <w:jc w:val="both"/>
        <w:textAlignment w:val="baseline"/>
        <w:rPr>
          <w:rFonts w:ascii="Gadugi" w:hAnsi="Gadugi"/>
          <w:sz w:val="24"/>
          <w:szCs w:val="24"/>
          <w:lang w:val="es-ES_tradnl"/>
        </w:rPr>
      </w:pPr>
    </w:p>
    <w:p w14:paraId="7D273E14" w14:textId="375D72B5" w:rsidR="00ED2F26" w:rsidRPr="00EB5A74" w:rsidRDefault="00F078D5" w:rsidP="00456FE4">
      <w:pPr>
        <w:numPr>
          <w:ilvl w:val="0"/>
          <w:numId w:val="22"/>
        </w:numPr>
        <w:tabs>
          <w:tab w:val="left" w:pos="426"/>
          <w:tab w:val="left" w:pos="1985"/>
        </w:tabs>
        <w:overflowPunct w:val="0"/>
        <w:autoSpaceDE w:val="0"/>
        <w:autoSpaceDN w:val="0"/>
        <w:adjustRightInd w:val="0"/>
        <w:spacing w:after="0" w:line="276" w:lineRule="auto"/>
        <w:ind w:left="0" w:firstLine="1701"/>
        <w:contextualSpacing/>
        <w:jc w:val="both"/>
        <w:textAlignment w:val="baseline"/>
        <w:rPr>
          <w:rFonts w:ascii="Gadugi" w:hAnsi="Gadugi"/>
          <w:sz w:val="24"/>
          <w:szCs w:val="24"/>
          <w:lang w:val="es-ES_tradnl"/>
        </w:rPr>
      </w:pPr>
      <w:r w:rsidRPr="00EB5A74">
        <w:rPr>
          <w:rFonts w:ascii="Gadugi" w:hAnsi="Gadugi"/>
          <w:sz w:val="24"/>
          <w:szCs w:val="24"/>
          <w:lang w:val="es-ES_tradnl"/>
        </w:rPr>
        <w:t>Se ordena d</w:t>
      </w:r>
      <w:r w:rsidR="00ED2F26" w:rsidRPr="00EB5A74">
        <w:rPr>
          <w:rFonts w:ascii="Gadugi" w:hAnsi="Gadugi"/>
          <w:sz w:val="24"/>
          <w:szCs w:val="24"/>
          <w:lang w:val="es-ES_tradnl"/>
        </w:rPr>
        <w:t>evolver el expediente al juzgado de origen.</w:t>
      </w:r>
    </w:p>
    <w:p w14:paraId="65858D55" w14:textId="77777777" w:rsidR="00ED2F26" w:rsidRPr="00EB5A74" w:rsidRDefault="00ED2F26" w:rsidP="00456FE4">
      <w:pPr>
        <w:tabs>
          <w:tab w:val="left" w:pos="1985"/>
        </w:tabs>
        <w:spacing w:after="0" w:line="276" w:lineRule="auto"/>
        <w:ind w:firstLine="1701"/>
        <w:rPr>
          <w:rFonts w:ascii="Gadugi" w:hAnsi="Gadugi"/>
          <w:sz w:val="24"/>
          <w:szCs w:val="24"/>
          <w:lang w:val="es-ES_tradnl"/>
        </w:rPr>
      </w:pPr>
    </w:p>
    <w:p w14:paraId="4F8BF0B0" w14:textId="77777777" w:rsidR="00ED2F26" w:rsidRPr="00EB5A74" w:rsidRDefault="00ED2F26" w:rsidP="00456FE4">
      <w:pPr>
        <w:tabs>
          <w:tab w:val="left" w:pos="426"/>
        </w:tabs>
        <w:spacing w:after="0" w:line="276" w:lineRule="auto"/>
        <w:ind w:firstLine="1701"/>
        <w:contextualSpacing/>
        <w:jc w:val="both"/>
        <w:rPr>
          <w:rFonts w:ascii="Gadugi" w:hAnsi="Gadugi"/>
          <w:sz w:val="24"/>
          <w:szCs w:val="24"/>
          <w:lang w:val="es-ES_tradnl"/>
        </w:rPr>
      </w:pPr>
      <w:r w:rsidRPr="00EB5A74">
        <w:rPr>
          <w:rFonts w:ascii="Gadugi" w:hAnsi="Gadugi"/>
          <w:sz w:val="24"/>
          <w:szCs w:val="24"/>
          <w:lang w:val="es-ES_tradnl"/>
        </w:rPr>
        <w:t>Notifíquese</w:t>
      </w:r>
    </w:p>
    <w:p w14:paraId="1E437C3D" w14:textId="30B82128" w:rsidR="00ED2F26" w:rsidRPr="00EB5A74" w:rsidRDefault="00ED2F26" w:rsidP="00456FE4">
      <w:pPr>
        <w:tabs>
          <w:tab w:val="left" w:pos="426"/>
        </w:tabs>
        <w:spacing w:after="0" w:line="276" w:lineRule="auto"/>
        <w:ind w:firstLine="1701"/>
        <w:contextualSpacing/>
        <w:jc w:val="both"/>
        <w:rPr>
          <w:rFonts w:ascii="Gadugi" w:hAnsi="Gadugi"/>
          <w:sz w:val="24"/>
          <w:szCs w:val="24"/>
          <w:lang w:val="es-ES_tradnl"/>
        </w:rPr>
      </w:pPr>
    </w:p>
    <w:p w14:paraId="1E01E36A" w14:textId="77777777" w:rsidR="00ED2F26" w:rsidRPr="00EB5A74" w:rsidRDefault="00ED2F26" w:rsidP="00456FE4">
      <w:pPr>
        <w:tabs>
          <w:tab w:val="left" w:pos="426"/>
        </w:tabs>
        <w:spacing w:after="0" w:line="276" w:lineRule="auto"/>
        <w:ind w:firstLine="1701"/>
        <w:contextualSpacing/>
        <w:jc w:val="both"/>
        <w:rPr>
          <w:rFonts w:ascii="Gadugi" w:hAnsi="Gadugi"/>
          <w:sz w:val="24"/>
          <w:szCs w:val="24"/>
          <w:lang w:val="es-ES_tradnl"/>
        </w:rPr>
      </w:pPr>
      <w:r w:rsidRPr="00EB5A74">
        <w:rPr>
          <w:rFonts w:ascii="Gadugi" w:hAnsi="Gadugi"/>
          <w:sz w:val="24"/>
          <w:szCs w:val="24"/>
          <w:lang w:val="es-ES_tradnl"/>
        </w:rPr>
        <w:t>Los Magistrados</w:t>
      </w:r>
    </w:p>
    <w:p w14:paraId="05296130" w14:textId="03B6CB65" w:rsidR="00ED2F26" w:rsidRPr="00EB5A74" w:rsidRDefault="00ED2F26" w:rsidP="00456FE4">
      <w:pPr>
        <w:tabs>
          <w:tab w:val="left" w:pos="426"/>
        </w:tabs>
        <w:spacing w:after="0" w:line="276" w:lineRule="auto"/>
        <w:ind w:firstLine="1701"/>
        <w:contextualSpacing/>
        <w:jc w:val="both"/>
        <w:rPr>
          <w:rFonts w:ascii="Gadugi" w:hAnsi="Gadugi"/>
          <w:sz w:val="24"/>
          <w:szCs w:val="24"/>
          <w:lang w:val="es-ES_tradnl"/>
        </w:rPr>
      </w:pPr>
    </w:p>
    <w:p w14:paraId="16A59804" w14:textId="77777777" w:rsidR="005715D9" w:rsidRPr="00EB5A74" w:rsidRDefault="005715D9" w:rsidP="00456FE4">
      <w:pPr>
        <w:tabs>
          <w:tab w:val="left" w:pos="426"/>
        </w:tabs>
        <w:spacing w:after="0" w:line="276" w:lineRule="auto"/>
        <w:ind w:firstLine="1701"/>
        <w:contextualSpacing/>
        <w:jc w:val="both"/>
        <w:rPr>
          <w:rFonts w:ascii="Gadugi" w:hAnsi="Gadugi"/>
          <w:sz w:val="24"/>
          <w:szCs w:val="24"/>
          <w:lang w:val="es-ES_tradnl"/>
        </w:rPr>
      </w:pPr>
    </w:p>
    <w:p w14:paraId="1F82152E" w14:textId="77777777" w:rsidR="00ED2F26" w:rsidRPr="00EB5A74" w:rsidRDefault="00ED2F26" w:rsidP="00456FE4">
      <w:pPr>
        <w:tabs>
          <w:tab w:val="left" w:pos="426"/>
        </w:tabs>
        <w:spacing w:after="0" w:line="276" w:lineRule="auto"/>
        <w:ind w:firstLine="1701"/>
        <w:contextualSpacing/>
        <w:jc w:val="both"/>
        <w:rPr>
          <w:rFonts w:ascii="Gadugi" w:hAnsi="Gadugi"/>
          <w:b/>
          <w:sz w:val="24"/>
          <w:szCs w:val="24"/>
          <w:lang w:val="es-ES_tradnl"/>
        </w:rPr>
      </w:pPr>
      <w:r w:rsidRPr="00EB5A74">
        <w:rPr>
          <w:rFonts w:ascii="Gadugi" w:hAnsi="Gadugi"/>
          <w:b/>
          <w:sz w:val="24"/>
          <w:szCs w:val="24"/>
          <w:lang w:val="es-ES_tradnl"/>
        </w:rPr>
        <w:t>JAIME ALBERTO SARAZA NARANJO</w:t>
      </w:r>
    </w:p>
    <w:p w14:paraId="0AD6C1EE" w14:textId="77777777" w:rsidR="00456FE4" w:rsidRPr="00EB5A74" w:rsidRDefault="00456FE4" w:rsidP="00456FE4">
      <w:pPr>
        <w:tabs>
          <w:tab w:val="left" w:pos="426"/>
        </w:tabs>
        <w:spacing w:after="0" w:line="276" w:lineRule="auto"/>
        <w:ind w:firstLine="1701"/>
        <w:contextualSpacing/>
        <w:jc w:val="both"/>
        <w:rPr>
          <w:rFonts w:ascii="Gadugi" w:hAnsi="Gadugi"/>
          <w:b/>
          <w:sz w:val="24"/>
          <w:szCs w:val="24"/>
          <w:lang w:val="es-ES_tradnl"/>
        </w:rPr>
      </w:pPr>
    </w:p>
    <w:p w14:paraId="4ADE9E30" w14:textId="5023DCB4" w:rsidR="00ED2F26" w:rsidRPr="00EB5A74" w:rsidRDefault="00ED2F26" w:rsidP="00456FE4">
      <w:pPr>
        <w:tabs>
          <w:tab w:val="left" w:pos="426"/>
        </w:tabs>
        <w:spacing w:after="0" w:line="276" w:lineRule="auto"/>
        <w:ind w:firstLine="1701"/>
        <w:contextualSpacing/>
        <w:jc w:val="both"/>
        <w:rPr>
          <w:rFonts w:ascii="Gadugi" w:hAnsi="Gadugi"/>
          <w:b/>
          <w:sz w:val="24"/>
          <w:szCs w:val="24"/>
          <w:lang w:val="es-ES_tradnl"/>
        </w:rPr>
      </w:pPr>
      <w:r w:rsidRPr="00EB5A74">
        <w:rPr>
          <w:rFonts w:ascii="Gadugi" w:hAnsi="Gadugi"/>
          <w:b/>
          <w:sz w:val="24"/>
          <w:szCs w:val="24"/>
          <w:lang w:val="es-ES_tradnl"/>
        </w:rPr>
        <w:t xml:space="preserve"> </w:t>
      </w:r>
    </w:p>
    <w:p w14:paraId="70A82001" w14:textId="0D7A87CB" w:rsidR="00ED2F26" w:rsidRPr="00EB5A74" w:rsidRDefault="00ED2F26" w:rsidP="00456FE4">
      <w:pPr>
        <w:tabs>
          <w:tab w:val="left" w:pos="426"/>
        </w:tabs>
        <w:spacing w:after="0" w:line="276" w:lineRule="auto"/>
        <w:ind w:firstLine="1701"/>
        <w:contextualSpacing/>
        <w:jc w:val="both"/>
        <w:rPr>
          <w:rFonts w:ascii="Gadugi" w:hAnsi="Gadugi"/>
          <w:b/>
          <w:sz w:val="24"/>
          <w:szCs w:val="24"/>
          <w:lang w:val="es-ES_tradnl"/>
        </w:rPr>
      </w:pPr>
      <w:r w:rsidRPr="00EB5A74">
        <w:rPr>
          <w:rFonts w:ascii="Gadugi" w:hAnsi="Gadugi"/>
          <w:b/>
          <w:sz w:val="24"/>
          <w:szCs w:val="24"/>
          <w:lang w:val="es-ES_tradnl"/>
        </w:rPr>
        <w:t>CARLOS MAURICIO GARCÍA BARAJAS</w:t>
      </w:r>
    </w:p>
    <w:p w14:paraId="7CE0C48A" w14:textId="561B9B7E" w:rsidR="00ED2F26" w:rsidRPr="00EB5A74" w:rsidRDefault="00ED2F26" w:rsidP="00456FE4">
      <w:pPr>
        <w:tabs>
          <w:tab w:val="left" w:pos="426"/>
        </w:tabs>
        <w:spacing w:after="0" w:line="276" w:lineRule="auto"/>
        <w:ind w:firstLine="1701"/>
        <w:contextualSpacing/>
        <w:jc w:val="both"/>
        <w:rPr>
          <w:rFonts w:ascii="Gadugi" w:hAnsi="Gadugi"/>
          <w:b/>
          <w:sz w:val="24"/>
          <w:szCs w:val="24"/>
          <w:lang w:val="es-ES_tradnl"/>
        </w:rPr>
      </w:pPr>
    </w:p>
    <w:p w14:paraId="7C291BFE" w14:textId="77777777" w:rsidR="00456FE4" w:rsidRPr="00EB5A74" w:rsidRDefault="00456FE4" w:rsidP="00456FE4">
      <w:pPr>
        <w:tabs>
          <w:tab w:val="left" w:pos="426"/>
        </w:tabs>
        <w:spacing w:after="0" w:line="276" w:lineRule="auto"/>
        <w:ind w:firstLine="1701"/>
        <w:contextualSpacing/>
        <w:jc w:val="both"/>
        <w:rPr>
          <w:rFonts w:ascii="Gadugi" w:hAnsi="Gadugi"/>
          <w:b/>
          <w:sz w:val="24"/>
          <w:szCs w:val="24"/>
          <w:lang w:val="es-ES_tradnl"/>
        </w:rPr>
      </w:pPr>
    </w:p>
    <w:p w14:paraId="30B54BB0" w14:textId="71F16E26" w:rsidR="00D272DD" w:rsidRPr="00EB5A74" w:rsidRDefault="00ED2F26" w:rsidP="00456FE4">
      <w:pPr>
        <w:tabs>
          <w:tab w:val="left" w:pos="426"/>
        </w:tabs>
        <w:spacing w:after="0" w:line="276" w:lineRule="auto"/>
        <w:ind w:firstLine="1701"/>
        <w:contextualSpacing/>
        <w:jc w:val="both"/>
        <w:rPr>
          <w:rFonts w:ascii="Gadugi" w:hAnsi="Gadugi"/>
          <w:b/>
          <w:sz w:val="24"/>
          <w:szCs w:val="24"/>
          <w:lang w:val="es-ES_tradnl"/>
        </w:rPr>
      </w:pPr>
      <w:r w:rsidRPr="00EB5A74">
        <w:rPr>
          <w:rFonts w:ascii="Gadugi" w:hAnsi="Gadugi"/>
          <w:b/>
          <w:sz w:val="24"/>
          <w:szCs w:val="24"/>
          <w:lang w:val="es-ES_tradnl"/>
        </w:rPr>
        <w:t>DUBERNEY GRISALES HERRERA</w:t>
      </w:r>
    </w:p>
    <w:sectPr w:rsidR="00D272DD" w:rsidRPr="00EB5A74" w:rsidSect="005B5968">
      <w:footerReference w:type="default" r:id="rId11"/>
      <w:pgSz w:w="12242" w:h="18722" w:code="258"/>
      <w:pgMar w:top="1928" w:right="1361" w:bottom="1361" w:left="1928"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1EF0D4" w16cex:dateUtc="2021-11-23T20:35:51.758Z"/>
  <w16cex:commentExtensible w16cex:durableId="09D96542" w16cex:dateUtc="2021-11-24T19:30:14.3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DD108" w14:textId="77777777" w:rsidR="00CD6806" w:rsidRDefault="00CD6806" w:rsidP="002861A1">
      <w:pPr>
        <w:spacing w:after="0" w:line="240" w:lineRule="auto"/>
      </w:pPr>
      <w:r>
        <w:separator/>
      </w:r>
    </w:p>
  </w:endnote>
  <w:endnote w:type="continuationSeparator" w:id="0">
    <w:p w14:paraId="7A64236D" w14:textId="77777777" w:rsidR="00CD6806" w:rsidRDefault="00CD6806" w:rsidP="0028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76A8" w14:textId="6038F99E" w:rsidR="00832725" w:rsidRDefault="00456FE4">
    <w:pPr>
      <w:pStyle w:val="Prrafodelista"/>
      <w:spacing w:line="14" w:lineRule="auto"/>
      <w:rPr>
        <w:sz w:val="20"/>
      </w:rPr>
    </w:pPr>
    <w:r>
      <w:rPr>
        <w:noProof/>
        <w:sz w:val="24"/>
      </w:rPr>
      <mc:AlternateContent>
        <mc:Choice Requires="wps">
          <w:drawing>
            <wp:anchor distT="0" distB="0" distL="114300" distR="114300" simplePos="0" relativeHeight="251657728" behindDoc="1" locked="0" layoutInCell="1" allowOverlap="1" wp14:anchorId="6B48692F" wp14:editId="2B58C464">
              <wp:simplePos x="0" y="0"/>
              <wp:positionH relativeFrom="page">
                <wp:posOffset>6734175</wp:posOffset>
              </wp:positionH>
              <wp:positionV relativeFrom="page">
                <wp:posOffset>11354573</wp:posOffset>
              </wp:positionV>
              <wp:extent cx="151130" cy="160655"/>
              <wp:effectExtent l="0" t="0" r="1270" b="107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29E8" w14:textId="5AAC7378" w:rsidR="00832725" w:rsidRPr="000C1130" w:rsidRDefault="00832725">
                          <w:pPr>
                            <w:spacing w:before="14"/>
                            <w:ind w:left="60"/>
                            <w:rPr>
                              <w:rFonts w:ascii="Arial" w:hAnsi="Arial" w:cs="Arial"/>
                              <w:sz w:val="18"/>
                              <w:szCs w:val="18"/>
                            </w:rPr>
                          </w:pPr>
                          <w:r w:rsidRPr="000C1130">
                            <w:rPr>
                              <w:rFonts w:ascii="Arial" w:hAnsi="Arial" w:cs="Arial"/>
                              <w:sz w:val="18"/>
                              <w:szCs w:val="18"/>
                            </w:rPr>
                            <w:fldChar w:fldCharType="begin"/>
                          </w:r>
                          <w:r w:rsidRPr="000C1130">
                            <w:rPr>
                              <w:rFonts w:ascii="Arial" w:hAnsi="Arial" w:cs="Arial"/>
                              <w:color w:val="3F342B"/>
                              <w:w w:val="92"/>
                              <w:sz w:val="18"/>
                              <w:szCs w:val="18"/>
                            </w:rPr>
                            <w:instrText xml:space="preserve"> PAGE </w:instrText>
                          </w:r>
                          <w:r w:rsidRPr="000C1130">
                            <w:rPr>
                              <w:rFonts w:ascii="Arial" w:hAnsi="Arial" w:cs="Arial"/>
                              <w:sz w:val="18"/>
                              <w:szCs w:val="18"/>
                            </w:rPr>
                            <w:fldChar w:fldCharType="separate"/>
                          </w:r>
                          <w:r w:rsidRPr="000C1130">
                            <w:rPr>
                              <w:rFonts w:ascii="Arial" w:hAnsi="Arial" w:cs="Arial"/>
                              <w:sz w:val="18"/>
                              <w:szCs w:val="18"/>
                            </w:rPr>
                            <w:t>7</w:t>
                          </w:r>
                          <w:r w:rsidRPr="000C1130">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8692F" id="_x0000_t202" coordsize="21600,21600" o:spt="202" path="m,l,21600r21600,l21600,xe">
              <v:stroke joinstyle="miter"/>
              <v:path gradientshapeok="t" o:connecttype="rect"/>
            </v:shapetype>
            <v:shape id="Cuadro de texto 1" o:spid="_x0000_s1026" type="#_x0000_t202" style="position:absolute;left:0;text-align:left;margin-left:530.25pt;margin-top:894.05pt;width:11.9pt;height:1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" filled="f" stroked="f">
              <v:textbox inset="0,0,0,0">
                <w:txbxContent>
                  <w:p w14:paraId="53F829E8" w14:textId="5AAC7378" w:rsidR="00832725" w:rsidRPr="000C1130" w:rsidRDefault="00832725">
                    <w:pPr>
                      <w:spacing w:before="14"/>
                      <w:ind w:left="60"/>
                      <w:rPr>
                        <w:rFonts w:ascii="Arial" w:hAnsi="Arial" w:cs="Arial"/>
                        <w:sz w:val="18"/>
                        <w:szCs w:val="18"/>
                      </w:rPr>
                    </w:pPr>
                    <w:r w:rsidRPr="000C1130">
                      <w:rPr>
                        <w:rFonts w:ascii="Arial" w:hAnsi="Arial" w:cs="Arial"/>
                        <w:sz w:val="18"/>
                        <w:szCs w:val="18"/>
                      </w:rPr>
                      <w:fldChar w:fldCharType="begin"/>
                    </w:r>
                    <w:r w:rsidRPr="000C1130">
                      <w:rPr>
                        <w:rFonts w:ascii="Arial" w:hAnsi="Arial" w:cs="Arial"/>
                        <w:color w:val="3F342B"/>
                        <w:w w:val="92"/>
                        <w:sz w:val="18"/>
                        <w:szCs w:val="18"/>
                      </w:rPr>
                      <w:instrText xml:space="preserve"> PAGE </w:instrText>
                    </w:r>
                    <w:r w:rsidRPr="000C1130">
                      <w:rPr>
                        <w:rFonts w:ascii="Arial" w:hAnsi="Arial" w:cs="Arial"/>
                        <w:sz w:val="18"/>
                        <w:szCs w:val="18"/>
                      </w:rPr>
                      <w:fldChar w:fldCharType="separate"/>
                    </w:r>
                    <w:r w:rsidRPr="000C1130">
                      <w:rPr>
                        <w:rFonts w:ascii="Arial" w:hAnsi="Arial" w:cs="Arial"/>
                        <w:sz w:val="18"/>
                        <w:szCs w:val="18"/>
                      </w:rPr>
                      <w:t>7</w:t>
                    </w:r>
                    <w:r w:rsidRPr="000C1130">
                      <w:rPr>
                        <w:rFonts w:ascii="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C7859" w14:textId="77777777" w:rsidR="00CD6806" w:rsidRDefault="00CD6806" w:rsidP="002861A1">
      <w:pPr>
        <w:spacing w:after="0" w:line="240" w:lineRule="auto"/>
      </w:pPr>
      <w:r>
        <w:separator/>
      </w:r>
    </w:p>
  </w:footnote>
  <w:footnote w:type="continuationSeparator" w:id="0">
    <w:p w14:paraId="48410361" w14:textId="77777777" w:rsidR="00CD6806" w:rsidRDefault="00CD6806" w:rsidP="002861A1">
      <w:pPr>
        <w:spacing w:after="0" w:line="240" w:lineRule="auto"/>
      </w:pPr>
      <w:r>
        <w:continuationSeparator/>
      </w:r>
    </w:p>
  </w:footnote>
  <w:footnote w:id="1">
    <w:p w14:paraId="64BEFD90" w14:textId="77777777" w:rsidR="00E50FB1" w:rsidRPr="00641296" w:rsidRDefault="00E50FB1" w:rsidP="00E02042">
      <w:pPr>
        <w:spacing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bCs/>
          <w:color w:val="000000"/>
          <w:sz w:val="18"/>
          <w:szCs w:val="18"/>
          <w:shd w:val="clear" w:color="auto" w:fill="FFFFFF"/>
          <w:lang w:val="es-ES_tradnl"/>
        </w:rPr>
        <w:t>p. 117, c. ppal., Tomo I, parte I</w:t>
      </w:r>
    </w:p>
  </w:footnote>
  <w:footnote w:id="2">
    <w:p w14:paraId="0E126371" w14:textId="77777777" w:rsidR="00E50FB1" w:rsidRPr="00641296" w:rsidRDefault="00E50FB1" w:rsidP="00E02042">
      <w:pPr>
        <w:spacing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b/>
          <w:bCs/>
          <w:sz w:val="18"/>
          <w:szCs w:val="18"/>
          <w:vertAlign w:val="superscript"/>
          <w:lang w:val="es-ES_tradnl"/>
        </w:rPr>
        <w:t xml:space="preserve"> </w:t>
      </w:r>
      <w:r w:rsidRPr="00641296">
        <w:rPr>
          <w:rStyle w:val="Ttulo2Car"/>
          <w:rFonts w:ascii="Century" w:eastAsiaTheme="minorHAnsi" w:hAnsi="Century"/>
          <w:bCs/>
          <w:color w:val="000000"/>
          <w:sz w:val="18"/>
          <w:szCs w:val="18"/>
          <w:shd w:val="clear" w:color="auto" w:fill="FFFFFF"/>
          <w:lang w:val="es-ES_tradnl"/>
        </w:rPr>
        <w:t>p. 131, ib.</w:t>
      </w:r>
    </w:p>
  </w:footnote>
  <w:footnote w:id="3">
    <w:p w14:paraId="727DAFA1"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b/>
          <w:bCs/>
          <w:sz w:val="18"/>
          <w:szCs w:val="18"/>
          <w:vertAlign w:val="superscript"/>
          <w:lang w:val="es-ES_tradnl"/>
        </w:rPr>
        <w:t xml:space="preserve"> </w:t>
      </w:r>
      <w:r w:rsidRPr="00641296">
        <w:rPr>
          <w:rStyle w:val="Ttulo2Car"/>
          <w:rFonts w:ascii="Century" w:eastAsiaTheme="minorHAnsi" w:hAnsi="Century"/>
          <w:bCs/>
          <w:color w:val="000000"/>
          <w:sz w:val="18"/>
          <w:szCs w:val="18"/>
          <w:shd w:val="clear" w:color="auto" w:fill="FFFFFF"/>
          <w:lang w:val="es-ES_tradnl"/>
        </w:rPr>
        <w:t>p. 138, ib.</w:t>
      </w:r>
    </w:p>
  </w:footnote>
  <w:footnote w:id="4">
    <w:p w14:paraId="5AC79B90" w14:textId="68CD91D2"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p. 140</w:t>
      </w:r>
      <w:r w:rsidR="00717E66" w:rsidRPr="00641296">
        <w:rPr>
          <w:rFonts w:ascii="Century" w:hAnsi="Century"/>
          <w:sz w:val="18"/>
          <w:szCs w:val="18"/>
          <w:lang w:val="es-ES_tradnl"/>
        </w:rPr>
        <w:t xml:space="preserve"> y 141</w:t>
      </w:r>
      <w:r w:rsidRPr="00641296">
        <w:rPr>
          <w:rFonts w:ascii="Century" w:hAnsi="Century"/>
          <w:sz w:val="18"/>
          <w:szCs w:val="18"/>
          <w:lang w:val="es-ES_tradnl"/>
        </w:rPr>
        <w:t xml:space="preserve">, ib. </w:t>
      </w:r>
    </w:p>
  </w:footnote>
  <w:footnote w:id="5">
    <w:p w14:paraId="4C18D7A8" w14:textId="7E519E66" w:rsidR="00717E66" w:rsidRPr="00641296" w:rsidRDefault="00717E66"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b/>
          <w:bCs/>
          <w:sz w:val="18"/>
          <w:szCs w:val="18"/>
          <w:vertAlign w:val="superscript"/>
          <w:lang w:val="es-ES_tradnl"/>
        </w:rPr>
        <w:t xml:space="preserve"> </w:t>
      </w:r>
      <w:r w:rsidRPr="00641296">
        <w:rPr>
          <w:rFonts w:ascii="Century" w:hAnsi="Century"/>
          <w:sz w:val="18"/>
          <w:szCs w:val="18"/>
          <w:lang w:val="es-ES_tradnl"/>
        </w:rPr>
        <w:t>p. 181 a 222, ib.</w:t>
      </w:r>
    </w:p>
  </w:footnote>
  <w:footnote w:id="6">
    <w:p w14:paraId="78F9C834" w14:textId="19504D47" w:rsidR="00717E66" w:rsidRPr="00641296" w:rsidRDefault="00717E66"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p. 276 a 304</w:t>
      </w:r>
      <w:r w:rsidR="00583827" w:rsidRPr="00641296">
        <w:rPr>
          <w:rFonts w:ascii="Century" w:hAnsi="Century"/>
          <w:sz w:val="18"/>
          <w:szCs w:val="18"/>
          <w:lang w:val="es-ES_tradnl"/>
        </w:rPr>
        <w:t>,</w:t>
      </w:r>
      <w:r w:rsidRPr="00641296">
        <w:rPr>
          <w:rFonts w:ascii="Century" w:hAnsi="Century"/>
          <w:sz w:val="18"/>
          <w:szCs w:val="18"/>
          <w:lang w:val="es-ES_tradnl"/>
        </w:rPr>
        <w:t xml:space="preserve"> ib.</w:t>
      </w:r>
    </w:p>
  </w:footnote>
  <w:footnote w:id="7">
    <w:p w14:paraId="36A7C8B1" w14:textId="0DB2A428"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r w:rsidR="00583827" w:rsidRPr="00641296">
        <w:rPr>
          <w:rFonts w:ascii="Century" w:hAnsi="Century"/>
          <w:sz w:val="18"/>
          <w:szCs w:val="18"/>
          <w:lang w:val="es-ES_tradnl"/>
        </w:rPr>
        <w:t xml:space="preserve">p. 309, </w:t>
      </w:r>
      <w:r w:rsidRPr="00641296">
        <w:rPr>
          <w:rFonts w:ascii="Century" w:hAnsi="Century"/>
          <w:sz w:val="18"/>
          <w:szCs w:val="18"/>
          <w:lang w:val="es-ES_tradnl"/>
        </w:rPr>
        <w:t xml:space="preserve">ib. </w:t>
      </w:r>
    </w:p>
  </w:footnote>
  <w:footnote w:id="8">
    <w:p w14:paraId="4FA28EA8" w14:textId="2A5BA8FA"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b/>
          <w:bCs/>
          <w:sz w:val="18"/>
          <w:szCs w:val="18"/>
          <w:vertAlign w:val="superscript"/>
          <w:lang w:val="es-ES_tradnl"/>
        </w:rPr>
        <w:t xml:space="preserve"> </w:t>
      </w:r>
      <w:r w:rsidRPr="00641296">
        <w:rPr>
          <w:rStyle w:val="Ttulo2Car"/>
          <w:rFonts w:ascii="Century" w:eastAsiaTheme="minorHAnsi" w:hAnsi="Century"/>
          <w:bCs/>
          <w:color w:val="000000"/>
          <w:sz w:val="18"/>
          <w:szCs w:val="18"/>
          <w:shd w:val="clear" w:color="auto" w:fill="FFFFFF"/>
          <w:lang w:val="es-ES_tradnl"/>
        </w:rPr>
        <w:t>p. </w:t>
      </w:r>
      <w:r w:rsidR="00583827" w:rsidRPr="00641296">
        <w:rPr>
          <w:rStyle w:val="Ttulo2Car"/>
          <w:rFonts w:ascii="Century" w:eastAsiaTheme="minorHAnsi" w:hAnsi="Century"/>
          <w:bCs/>
          <w:color w:val="000000"/>
          <w:sz w:val="18"/>
          <w:szCs w:val="18"/>
          <w:shd w:val="clear" w:color="auto" w:fill="FFFFFF"/>
          <w:lang w:val="es-ES_tradnl"/>
        </w:rPr>
        <w:t>38 a 73</w:t>
      </w:r>
      <w:r w:rsidRPr="00641296">
        <w:rPr>
          <w:rStyle w:val="Ttulo2Car"/>
          <w:rFonts w:ascii="Century" w:eastAsiaTheme="minorHAnsi" w:hAnsi="Century"/>
          <w:bCs/>
          <w:color w:val="000000"/>
          <w:sz w:val="18"/>
          <w:szCs w:val="18"/>
          <w:shd w:val="clear" w:color="auto" w:fill="FFFFFF"/>
          <w:lang w:val="es-ES_tradnl"/>
        </w:rPr>
        <w:t>, c. ppal., Tomo I, parte 2</w:t>
      </w:r>
    </w:p>
  </w:footnote>
  <w:footnote w:id="9">
    <w:p w14:paraId="2A47A497" w14:textId="3C88A24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 xml:space="preserve">p. 85 </w:t>
      </w:r>
      <w:r w:rsidR="0060795C" w:rsidRPr="00641296">
        <w:rPr>
          <w:rStyle w:val="Ttulo2Car"/>
          <w:rFonts w:ascii="Century" w:eastAsiaTheme="minorHAnsi" w:hAnsi="Century"/>
          <w:color w:val="000000"/>
          <w:sz w:val="18"/>
          <w:szCs w:val="18"/>
          <w:shd w:val="clear" w:color="auto" w:fill="FFFFFF"/>
          <w:lang w:val="es-ES_tradnl"/>
        </w:rPr>
        <w:t xml:space="preserve">a 87 </w:t>
      </w:r>
      <w:r w:rsidRPr="00641296">
        <w:rPr>
          <w:rStyle w:val="Ttulo2Car"/>
          <w:rFonts w:ascii="Century" w:eastAsiaTheme="minorHAnsi" w:hAnsi="Century"/>
          <w:color w:val="000000"/>
          <w:sz w:val="18"/>
          <w:szCs w:val="18"/>
          <w:shd w:val="clear" w:color="auto" w:fill="FFFFFF"/>
          <w:lang w:val="es-ES_tradnl"/>
        </w:rPr>
        <w:t>y 100</w:t>
      </w:r>
      <w:r w:rsidR="0060795C" w:rsidRPr="00641296">
        <w:rPr>
          <w:rStyle w:val="Ttulo2Car"/>
          <w:rFonts w:ascii="Century" w:eastAsiaTheme="minorHAnsi" w:hAnsi="Century"/>
          <w:color w:val="000000"/>
          <w:sz w:val="18"/>
          <w:szCs w:val="18"/>
          <w:shd w:val="clear" w:color="auto" w:fill="FFFFFF"/>
          <w:lang w:val="es-ES_tradnl"/>
        </w:rPr>
        <w:t xml:space="preserve"> a 102</w:t>
      </w:r>
      <w:r w:rsidRPr="00641296">
        <w:rPr>
          <w:rStyle w:val="Ttulo2Car"/>
          <w:rFonts w:ascii="Century" w:eastAsiaTheme="minorHAnsi" w:hAnsi="Century"/>
          <w:color w:val="000000"/>
          <w:sz w:val="18"/>
          <w:szCs w:val="18"/>
          <w:shd w:val="clear" w:color="auto" w:fill="FFFFFF"/>
          <w:lang w:val="es-ES_tradnl"/>
        </w:rPr>
        <w:t>, c. ppal., Tomo I, parte 2</w:t>
      </w:r>
    </w:p>
  </w:footnote>
  <w:footnote w:id="10">
    <w:p w14:paraId="1981FB5E"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294, c. ppal., Tomo I, parte 2</w:t>
      </w:r>
    </w:p>
  </w:footnote>
  <w:footnote w:id="11">
    <w:p w14:paraId="2A94F5B4"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299, c. ppal., Tomo I, parte 2</w:t>
      </w:r>
    </w:p>
  </w:footnote>
  <w:footnote w:id="12">
    <w:p w14:paraId="2FA2C8D8"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lang w:val="es-ES_tradnl"/>
        </w:rPr>
        <w:footnoteRef/>
      </w:r>
      <w:r w:rsidRPr="00641296">
        <w:rPr>
          <w:rFonts w:ascii="Century" w:hAnsi="Century"/>
          <w:b/>
          <w:bCs/>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28, c. ppal., Tomo I, parte 3</w:t>
      </w:r>
    </w:p>
  </w:footnote>
  <w:footnote w:id="13">
    <w:p w14:paraId="12FFC0C4"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119, c. ppal., Tomo II, parte 1</w:t>
      </w:r>
    </w:p>
  </w:footnote>
  <w:footnote w:id="14">
    <w:p w14:paraId="7892DED0"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190, c. ppal., Tomo II, parte 1</w:t>
      </w:r>
    </w:p>
  </w:footnote>
  <w:footnote w:id="15">
    <w:p w14:paraId="357AD9EF"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sz w:val="18"/>
          <w:szCs w:val="18"/>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47, c. ppal., Tomo II, parte 1</w:t>
      </w:r>
    </w:p>
  </w:footnote>
  <w:footnote w:id="16">
    <w:p w14:paraId="45076FC7" w14:textId="44557140"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p.</w:t>
      </w:r>
      <w:r w:rsidR="00A30B97" w:rsidRPr="00641296">
        <w:rPr>
          <w:rFonts w:ascii="Century" w:hAnsi="Century"/>
          <w:sz w:val="18"/>
          <w:szCs w:val="18"/>
          <w:lang w:val="es-ES_tradnl"/>
        </w:rPr>
        <w:t xml:space="preserve"> 212, c. ppal., Tomo II, parte I</w:t>
      </w:r>
    </w:p>
  </w:footnote>
  <w:footnote w:id="17">
    <w:p w14:paraId="495809D9"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20, cuaderno segunda instancia</w:t>
      </w:r>
    </w:p>
  </w:footnote>
  <w:footnote w:id="18">
    <w:p w14:paraId="517E9A87"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19, c. ppal., Tomo II, parte 2</w:t>
      </w:r>
    </w:p>
  </w:footnote>
  <w:footnote w:id="19">
    <w:p w14:paraId="00FB1EF0"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28, c. ppal., Tomo II, parte 2</w:t>
      </w:r>
    </w:p>
  </w:footnote>
  <w:footnote w:id="20">
    <w:p w14:paraId="3CDE9443" w14:textId="7777777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29 y 35, c. ppal., Tomo II, parte 2</w:t>
      </w:r>
    </w:p>
  </w:footnote>
  <w:footnote w:id="21">
    <w:p w14:paraId="5F6B8A91" w14:textId="424AD9C7"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color w:val="000000"/>
          <w:sz w:val="18"/>
          <w:szCs w:val="18"/>
          <w:shd w:val="clear" w:color="auto" w:fill="FFFFFF"/>
          <w:lang w:val="es-ES_tradnl"/>
        </w:rPr>
        <w:t>p. 92</w:t>
      </w:r>
      <w:r w:rsidR="00564EDC" w:rsidRPr="00641296">
        <w:rPr>
          <w:rStyle w:val="Ttulo2Car"/>
          <w:rFonts w:ascii="Century" w:eastAsiaTheme="minorHAnsi" w:hAnsi="Century"/>
          <w:color w:val="000000"/>
          <w:sz w:val="18"/>
          <w:szCs w:val="18"/>
          <w:shd w:val="clear" w:color="auto" w:fill="FFFFFF"/>
          <w:lang w:val="es-ES_tradnl"/>
        </w:rPr>
        <w:t xml:space="preserve"> a 129</w:t>
      </w:r>
      <w:r w:rsidRPr="00641296">
        <w:rPr>
          <w:rStyle w:val="Ttulo2Car"/>
          <w:rFonts w:ascii="Century" w:eastAsiaTheme="minorHAnsi" w:hAnsi="Century"/>
          <w:color w:val="000000"/>
          <w:sz w:val="18"/>
          <w:szCs w:val="18"/>
          <w:shd w:val="clear" w:color="auto" w:fill="FFFFFF"/>
          <w:lang w:val="es-ES_tradnl"/>
        </w:rPr>
        <w:t>, c. ppal., Tomo II, parte 3</w:t>
      </w:r>
    </w:p>
  </w:footnote>
  <w:footnote w:id="22">
    <w:p w14:paraId="5EBA7A78" w14:textId="5C4ECE8C" w:rsidR="00E50FB1" w:rsidRPr="00641296" w:rsidRDefault="00E50FB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r w:rsidRPr="00641296">
        <w:rPr>
          <w:rStyle w:val="Ttulo2Car"/>
          <w:rFonts w:ascii="Century" w:eastAsiaTheme="minorHAnsi" w:hAnsi="Century"/>
          <w:bCs/>
          <w:color w:val="000000"/>
          <w:sz w:val="18"/>
          <w:szCs w:val="18"/>
          <w:shd w:val="clear" w:color="auto" w:fill="FFFFFF"/>
          <w:lang w:val="es-ES_tradnl"/>
        </w:rPr>
        <w:t>p. 140, c. ppal., Tomo II, parte 3</w:t>
      </w:r>
    </w:p>
  </w:footnote>
  <w:footnote w:id="23">
    <w:p w14:paraId="48A13894" w14:textId="77777777" w:rsidR="00B60AE5" w:rsidRPr="00641296" w:rsidRDefault="00B60AE5"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P. 134, c. ppal. Tomo II, parte III</w:t>
      </w:r>
    </w:p>
  </w:footnote>
  <w:footnote w:id="24">
    <w:p w14:paraId="6C04570F" w14:textId="77777777" w:rsidR="00B60AE5" w:rsidRPr="00641296" w:rsidRDefault="00B60AE5"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P. 220, c. ppal. Tomo II, parte III</w:t>
      </w:r>
    </w:p>
  </w:footnote>
  <w:footnote w:id="25">
    <w:p w14:paraId="75D56CD3" w14:textId="71007276" w:rsidR="00544118" w:rsidRPr="00641296" w:rsidRDefault="00544118" w:rsidP="00E02042">
      <w:pPr>
        <w:spacing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r w:rsidR="006661F5" w:rsidRPr="00641296">
        <w:rPr>
          <w:rFonts w:ascii="Century" w:hAnsi="Century"/>
          <w:sz w:val="18"/>
          <w:szCs w:val="18"/>
          <w:lang w:val="es-ES_tradnl"/>
        </w:rPr>
        <w:t>p</w:t>
      </w:r>
      <w:r w:rsidRPr="00641296">
        <w:rPr>
          <w:rFonts w:ascii="Century" w:hAnsi="Century"/>
          <w:sz w:val="18"/>
          <w:szCs w:val="18"/>
          <w:lang w:val="es-ES_tradnl"/>
        </w:rPr>
        <w:t>. 145, c. ppal. Tomo II, Parte III</w:t>
      </w:r>
    </w:p>
  </w:footnote>
  <w:footnote w:id="26">
    <w:p w14:paraId="5AE27649" w14:textId="77777777" w:rsidR="006661F5" w:rsidRPr="00641296" w:rsidRDefault="006661F5" w:rsidP="00E02042">
      <w:pPr>
        <w:spacing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P. 205, c. ppal. Tomo II, parte III</w:t>
      </w:r>
    </w:p>
  </w:footnote>
  <w:footnote w:id="27">
    <w:p w14:paraId="091EA438" w14:textId="30278D8F" w:rsidR="00E50FB1" w:rsidRPr="00641296" w:rsidRDefault="00E50FB1" w:rsidP="00E02042">
      <w:pPr>
        <w:spacing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w:t>
      </w:r>
      <w:proofErr w:type="spellStart"/>
      <w:r w:rsidRPr="00641296">
        <w:rPr>
          <w:rFonts w:ascii="Century" w:hAnsi="Century"/>
          <w:sz w:val="18"/>
          <w:szCs w:val="18"/>
          <w:lang w:val="es-ES_tradnl"/>
        </w:rPr>
        <w:t>Arch</w:t>
      </w:r>
      <w:proofErr w:type="spellEnd"/>
      <w:r w:rsidRPr="00641296">
        <w:rPr>
          <w:rFonts w:ascii="Century" w:hAnsi="Century"/>
          <w:sz w:val="18"/>
          <w:szCs w:val="18"/>
          <w:lang w:val="es-ES_tradnl"/>
        </w:rPr>
        <w:t>. 1</w:t>
      </w:r>
      <w:r w:rsidR="008B70C4" w:rsidRPr="00641296">
        <w:rPr>
          <w:rFonts w:ascii="Century" w:hAnsi="Century"/>
          <w:sz w:val="18"/>
          <w:szCs w:val="18"/>
          <w:lang w:val="es-ES_tradnl"/>
        </w:rPr>
        <w:t>7, 20 y 22</w:t>
      </w:r>
      <w:r w:rsidRPr="00641296">
        <w:rPr>
          <w:rFonts w:ascii="Century" w:hAnsi="Century"/>
          <w:sz w:val="18"/>
          <w:szCs w:val="18"/>
          <w:lang w:val="es-ES_tradnl"/>
        </w:rPr>
        <w:t xml:space="preserve">, </w:t>
      </w:r>
      <w:r w:rsidR="008B70C4" w:rsidRPr="00641296">
        <w:rPr>
          <w:rFonts w:ascii="Century" w:hAnsi="Century"/>
          <w:sz w:val="18"/>
          <w:szCs w:val="18"/>
          <w:lang w:val="es-ES_tradnl"/>
        </w:rPr>
        <w:t>c. segunda instancia</w:t>
      </w:r>
    </w:p>
  </w:footnote>
  <w:footnote w:id="28">
    <w:p w14:paraId="7F9743E6" w14:textId="2977C9FB" w:rsidR="00806E0C" w:rsidRPr="00641296" w:rsidRDefault="00806E0C" w:rsidP="00E02042">
      <w:pPr>
        <w:spacing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p. 20, c. PRIMERA INSTANCIA, CUADERNO SEGUNDA INSTANCIA</w:t>
      </w:r>
    </w:p>
  </w:footnote>
  <w:footnote w:id="29">
    <w:p w14:paraId="65FB2D55" w14:textId="32071BBA" w:rsidR="00ED7D7B" w:rsidRPr="00641296" w:rsidRDefault="00ED7D7B" w:rsidP="00E02042">
      <w:pPr>
        <w:spacing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00BD14A5" w:rsidRPr="00641296">
        <w:rPr>
          <w:rFonts w:ascii="Century" w:hAnsi="Century"/>
          <w:b/>
          <w:bCs/>
          <w:sz w:val="18"/>
          <w:szCs w:val="18"/>
          <w:vertAlign w:val="superscript"/>
          <w:lang w:val="es-ES_tradnl"/>
        </w:rPr>
        <w:t xml:space="preserve"> </w:t>
      </w:r>
      <w:r w:rsidR="00BD14A5" w:rsidRPr="00641296">
        <w:rPr>
          <w:rFonts w:ascii="Century" w:hAnsi="Century"/>
          <w:sz w:val="18"/>
          <w:szCs w:val="18"/>
          <w:lang w:val="es-ES_tradnl"/>
        </w:rPr>
        <w:t>SC3644-2021</w:t>
      </w:r>
    </w:p>
  </w:footnote>
  <w:footnote w:id="30">
    <w:p w14:paraId="517E2F1D" w14:textId="71B6E606" w:rsidR="004501C1" w:rsidRPr="00641296" w:rsidRDefault="004501C1"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sz w:val="18"/>
          <w:szCs w:val="18"/>
          <w:vertAlign w:val="superscript"/>
          <w:lang w:val="es-ES_tradnl"/>
        </w:rPr>
        <w:footnoteRef/>
      </w:r>
      <w:r w:rsidR="007B7D39" w:rsidRPr="00641296">
        <w:rPr>
          <w:rFonts w:ascii="Century" w:hAnsi="Century"/>
          <w:sz w:val="18"/>
          <w:szCs w:val="18"/>
          <w:lang w:val="es-ES_tradnl"/>
        </w:rPr>
        <w:t xml:space="preserve"> </w:t>
      </w:r>
      <w:r w:rsidRPr="00641296">
        <w:rPr>
          <w:rFonts w:ascii="Century" w:eastAsia="Times New Roman" w:hAnsi="Century" w:cs="Arial"/>
          <w:sz w:val="18"/>
          <w:szCs w:val="18"/>
          <w:lang w:val="es-ES_tradnl"/>
        </w:rPr>
        <w:t>SC4528-2020</w:t>
      </w:r>
    </w:p>
  </w:footnote>
  <w:footnote w:id="31">
    <w:p w14:paraId="714900C3" w14:textId="77777777" w:rsidR="004501C1" w:rsidRPr="00641296" w:rsidRDefault="004501C1" w:rsidP="00E02042">
      <w:pPr>
        <w:spacing w:line="240" w:lineRule="auto"/>
        <w:jc w:val="both"/>
        <w:rPr>
          <w:rFonts w:ascii="Century" w:hAnsi="Century"/>
          <w:sz w:val="18"/>
          <w:szCs w:val="18"/>
          <w:lang w:val="es-ES_tradnl"/>
        </w:rPr>
      </w:pPr>
      <w:r w:rsidRPr="00641296">
        <w:rPr>
          <w:rStyle w:val="Ttulo5Car"/>
          <w:rFonts w:ascii="Century" w:eastAsiaTheme="minorHAnsi" w:hAnsi="Century" w:cs="Arial"/>
          <w:b w:val="0"/>
          <w:sz w:val="18"/>
          <w:szCs w:val="18"/>
          <w:vertAlign w:val="superscript"/>
          <w:lang w:val="es-ES_tradnl"/>
        </w:rPr>
        <w:footnoteRef/>
      </w:r>
      <w:r w:rsidRPr="00641296">
        <w:rPr>
          <w:rFonts w:ascii="Century" w:hAnsi="Century" w:cs="Arial"/>
          <w:sz w:val="18"/>
          <w:szCs w:val="18"/>
          <w:lang w:val="es-ES_tradnl"/>
        </w:rPr>
        <w:t xml:space="preserve"> </w:t>
      </w:r>
      <w:proofErr w:type="spellStart"/>
      <w:r w:rsidRPr="00641296">
        <w:rPr>
          <w:rFonts w:ascii="Century" w:hAnsi="Century" w:cs="Arial"/>
          <w:sz w:val="18"/>
          <w:szCs w:val="18"/>
          <w:lang w:val="es-ES_tradnl"/>
        </w:rPr>
        <w:t>Abeliuk</w:t>
      </w:r>
      <w:proofErr w:type="spellEnd"/>
      <w:r w:rsidRPr="00641296">
        <w:rPr>
          <w:rFonts w:ascii="Century" w:hAnsi="Century" w:cs="Arial"/>
          <w:sz w:val="18"/>
          <w:szCs w:val="18"/>
          <w:lang w:val="es-ES_tradnl"/>
        </w:rPr>
        <w:t xml:space="preserve"> </w:t>
      </w:r>
      <w:proofErr w:type="spellStart"/>
      <w:r w:rsidRPr="00641296">
        <w:rPr>
          <w:rFonts w:ascii="Century" w:hAnsi="Century" w:cs="Arial"/>
          <w:sz w:val="18"/>
          <w:szCs w:val="18"/>
          <w:lang w:val="es-ES_tradnl"/>
        </w:rPr>
        <w:t>Manasevich</w:t>
      </w:r>
      <w:proofErr w:type="spellEnd"/>
      <w:r w:rsidRPr="00641296">
        <w:rPr>
          <w:rFonts w:ascii="Century" w:hAnsi="Century" w:cs="Arial"/>
          <w:sz w:val="18"/>
          <w:szCs w:val="18"/>
          <w:lang w:val="es-ES_tradnl"/>
        </w:rPr>
        <w:t xml:space="preserve">, René, Las obligaciones, </w:t>
      </w:r>
      <w:proofErr w:type="spellStart"/>
      <w:r w:rsidRPr="00641296">
        <w:rPr>
          <w:rFonts w:ascii="Century" w:hAnsi="Century" w:cs="Arial"/>
          <w:sz w:val="18"/>
          <w:szCs w:val="18"/>
          <w:lang w:val="es-ES_tradnl"/>
        </w:rPr>
        <w:t>Ediar</w:t>
      </w:r>
      <w:proofErr w:type="spellEnd"/>
      <w:r w:rsidRPr="00641296">
        <w:rPr>
          <w:rFonts w:ascii="Century" w:hAnsi="Century" w:cs="Arial"/>
          <w:sz w:val="18"/>
          <w:szCs w:val="18"/>
          <w:lang w:val="es-ES_tradnl"/>
        </w:rPr>
        <w:t xml:space="preserve"> Editores Limitada, Santiago de Chile, 1983, pag.134. Ospina Fernández, Guillermo, Teoría General del Contrato y del Negocio Jurídico, 5ª Edición, Editorial Temis S. A., Bogotá, 1998, pags.399 a 403. Alessandri Rodríguez, Arturo, Derecho Civil, Contratos, Tomo I, Imprenta Universal, Santiago de Chile, 1988, pag.286</w:t>
      </w:r>
      <w:r w:rsidRPr="00641296">
        <w:rPr>
          <w:rFonts w:ascii="Century" w:hAnsi="Century"/>
          <w:sz w:val="18"/>
          <w:szCs w:val="18"/>
          <w:lang w:val="es-ES_tradnl"/>
        </w:rPr>
        <w:t>.</w:t>
      </w:r>
    </w:p>
  </w:footnote>
  <w:footnote w:id="32">
    <w:p w14:paraId="64936F53" w14:textId="66DB2373" w:rsidR="00EC4F92" w:rsidRPr="00641296" w:rsidRDefault="00EC4F92" w:rsidP="00E02042">
      <w:pPr>
        <w:spacing w:after="0"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b/>
          <w:bCs/>
          <w:sz w:val="18"/>
          <w:szCs w:val="18"/>
          <w:vertAlign w:val="superscript"/>
          <w:lang w:val="es-ES_tradnl"/>
        </w:rPr>
        <w:t xml:space="preserve"> </w:t>
      </w:r>
      <w:r w:rsidRPr="00641296">
        <w:rPr>
          <w:rFonts w:ascii="Century" w:hAnsi="Century"/>
          <w:sz w:val="18"/>
          <w:szCs w:val="18"/>
          <w:lang w:val="es-ES_tradnl"/>
        </w:rPr>
        <w:t xml:space="preserve">Corte Suprema de Justicia, Sala de casación Civil, radicado 1995-29402-02, M.P. Manuel Isidro Ardila Velásquez. </w:t>
      </w:r>
    </w:p>
  </w:footnote>
  <w:footnote w:id="33">
    <w:p w14:paraId="3E6692F2" w14:textId="5F35CFAA" w:rsidR="00B3433F" w:rsidRPr="00641296" w:rsidRDefault="00EC4F92" w:rsidP="00E02042">
      <w:pPr>
        <w:spacing w:after="0" w:line="240" w:lineRule="auto"/>
        <w:jc w:val="both"/>
        <w:rPr>
          <w:rFonts w:ascii="Century" w:eastAsia="Times New Roman" w:hAnsi="Century" w:cs="Arial"/>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00B3433F" w:rsidRPr="00641296">
        <w:rPr>
          <w:rFonts w:ascii="Century" w:hAnsi="Century"/>
          <w:sz w:val="18"/>
          <w:szCs w:val="18"/>
          <w:lang w:val="es-ES_tradnl"/>
        </w:rPr>
        <w:t xml:space="preserve"> Sentencia </w:t>
      </w:r>
      <w:r w:rsidR="00B3433F" w:rsidRPr="00641296">
        <w:rPr>
          <w:rFonts w:ascii="Century" w:eastAsia="Times New Roman" w:hAnsi="Century" w:cs="Arial"/>
          <w:sz w:val="18"/>
          <w:szCs w:val="18"/>
          <w:lang w:val="es-ES_tradnl"/>
        </w:rPr>
        <w:t>SC4528-2020</w:t>
      </w:r>
    </w:p>
    <w:p w14:paraId="4556B41C" w14:textId="00202429" w:rsidR="00EC4F92" w:rsidRPr="00641296" w:rsidRDefault="00EC4F92" w:rsidP="00E02042">
      <w:pPr>
        <w:spacing w:line="240" w:lineRule="auto"/>
        <w:jc w:val="both"/>
        <w:rPr>
          <w:rFonts w:ascii="Century" w:hAnsi="Century"/>
          <w:sz w:val="18"/>
          <w:szCs w:val="18"/>
          <w:lang w:val="es-ES_tradnl"/>
        </w:rPr>
      </w:pPr>
    </w:p>
  </w:footnote>
  <w:footnote w:id="34">
    <w:p w14:paraId="04EE32B3" w14:textId="77777777" w:rsidR="00335436" w:rsidRPr="00641296" w:rsidRDefault="00335436" w:rsidP="00E02042">
      <w:pPr>
        <w:spacing w:line="240" w:lineRule="auto"/>
        <w:jc w:val="both"/>
        <w:rPr>
          <w:rFonts w:ascii="Century" w:hAnsi="Century"/>
          <w:sz w:val="18"/>
          <w:szCs w:val="18"/>
          <w:lang w:val="es-ES_tradnl"/>
        </w:rPr>
      </w:pPr>
      <w:r w:rsidRPr="00641296">
        <w:rPr>
          <w:rStyle w:val="Ttulo5Car"/>
          <w:rFonts w:ascii="Century" w:eastAsiaTheme="minorHAnsi" w:hAnsi="Century"/>
          <w:b w:val="0"/>
          <w:bCs w:val="0"/>
          <w:sz w:val="18"/>
          <w:szCs w:val="18"/>
          <w:vertAlign w:val="superscript"/>
          <w:lang w:val="es-ES_tradnl"/>
        </w:rPr>
        <w:footnoteRef/>
      </w:r>
      <w:r w:rsidRPr="00641296">
        <w:rPr>
          <w:rFonts w:ascii="Century" w:hAnsi="Century"/>
          <w:sz w:val="18"/>
          <w:szCs w:val="18"/>
          <w:lang w:val="es-ES_tradnl"/>
        </w:rPr>
        <w:t xml:space="preserve"> Parra Benítez, Jorge, Derecho de Familia, Temis, Bogotá, 2008, p. 179</w:t>
      </w:r>
    </w:p>
  </w:footnote>
  <w:footnote w:id="35">
    <w:p w14:paraId="4E187588" w14:textId="33286D98" w:rsidR="00273096" w:rsidRPr="00641296" w:rsidRDefault="00273096" w:rsidP="00E02042">
      <w:pPr>
        <w:pStyle w:val="Textonotapie"/>
        <w:jc w:val="both"/>
        <w:rPr>
          <w:rFonts w:ascii="Century" w:hAnsi="Century"/>
          <w:sz w:val="18"/>
          <w:szCs w:val="18"/>
          <w:lang w:val="es-ES_tradnl"/>
        </w:rPr>
      </w:pPr>
      <w:r w:rsidRPr="00641296">
        <w:rPr>
          <w:rStyle w:val="Refdenotaalpie"/>
          <w:rFonts w:ascii="Century" w:hAnsi="Century"/>
          <w:sz w:val="18"/>
          <w:szCs w:val="18"/>
          <w:lang w:val="es-ES_tradnl"/>
        </w:rPr>
        <w:footnoteRef/>
      </w:r>
      <w:r w:rsidRPr="00641296">
        <w:rPr>
          <w:rFonts w:ascii="Century" w:hAnsi="Century"/>
          <w:sz w:val="18"/>
          <w:szCs w:val="18"/>
          <w:lang w:val="es-ES_tradnl"/>
        </w:rPr>
        <w:t xml:space="preserve"> p. 138, PRIMERA INSTANCIA, </w:t>
      </w:r>
      <w:r w:rsidRPr="00641296">
        <w:rPr>
          <w:rStyle w:val="Ttulo2Car"/>
          <w:rFonts w:ascii="Century" w:eastAsiaTheme="minorHAnsi" w:hAnsi="Century"/>
          <w:color w:val="000000"/>
          <w:sz w:val="18"/>
          <w:szCs w:val="18"/>
          <w:shd w:val="clear" w:color="auto" w:fill="FFFFFF"/>
          <w:lang w:val="es-ES_tradnl"/>
        </w:rPr>
        <w:t>c. ppal., Tomo I, parte I</w:t>
      </w:r>
    </w:p>
  </w:footnote>
  <w:footnote w:id="36">
    <w:p w14:paraId="4CA10E46" w14:textId="4ABAD427" w:rsidR="00273096" w:rsidRPr="00641296" w:rsidRDefault="00273096" w:rsidP="00E02042">
      <w:pPr>
        <w:pStyle w:val="Textonotapie"/>
        <w:jc w:val="both"/>
        <w:rPr>
          <w:rFonts w:ascii="Century" w:hAnsi="Century"/>
          <w:sz w:val="18"/>
          <w:szCs w:val="18"/>
          <w:lang w:val="es-ES_tradnl"/>
        </w:rPr>
      </w:pPr>
      <w:r w:rsidRPr="00641296">
        <w:rPr>
          <w:rStyle w:val="Refdenotaalpie"/>
          <w:rFonts w:ascii="Century" w:hAnsi="Century"/>
          <w:sz w:val="18"/>
          <w:szCs w:val="18"/>
          <w:lang w:val="es-ES_tradnl"/>
        </w:rPr>
        <w:footnoteRef/>
      </w:r>
      <w:r w:rsidRPr="00641296">
        <w:rPr>
          <w:rFonts w:ascii="Century" w:hAnsi="Century"/>
          <w:sz w:val="18"/>
          <w:szCs w:val="18"/>
          <w:lang w:val="es-ES_tradnl"/>
        </w:rPr>
        <w:t xml:space="preserve"> P. 140, ib. </w:t>
      </w:r>
    </w:p>
  </w:footnote>
  <w:footnote w:id="37">
    <w:p w14:paraId="085B0478" w14:textId="77777777" w:rsidR="00960FD6" w:rsidRPr="00641296" w:rsidRDefault="00960FD6" w:rsidP="00E02042">
      <w:pPr>
        <w:pStyle w:val="Textonotapie"/>
        <w:jc w:val="both"/>
        <w:rPr>
          <w:rFonts w:ascii="Century" w:hAnsi="Century"/>
          <w:sz w:val="18"/>
          <w:szCs w:val="18"/>
          <w:lang w:val="es-ES_tradnl"/>
        </w:rPr>
      </w:pPr>
      <w:r w:rsidRPr="00641296">
        <w:rPr>
          <w:rStyle w:val="Refdenotaalpie"/>
          <w:rFonts w:ascii="Century" w:hAnsi="Century"/>
          <w:sz w:val="18"/>
          <w:szCs w:val="18"/>
          <w:lang w:val="es-ES_tradnl"/>
        </w:rPr>
        <w:footnoteRef/>
      </w:r>
      <w:r w:rsidRPr="00641296">
        <w:rPr>
          <w:rFonts w:ascii="Century" w:hAnsi="Century"/>
          <w:sz w:val="18"/>
          <w:szCs w:val="18"/>
          <w:lang w:val="es-ES_tradnl"/>
        </w:rPr>
        <w:t xml:space="preserve"> GUASP, Jaime. Derecho Procesal Civil. Tomo Primero. Madrid: Instituto de Estudios Políticos, 1968, p. 559.</w:t>
      </w:r>
    </w:p>
  </w:footnote>
  <w:footnote w:id="38">
    <w:p w14:paraId="26C7155C" w14:textId="77777777" w:rsidR="00960FD6" w:rsidRPr="00641296" w:rsidRDefault="00960FD6" w:rsidP="00E02042">
      <w:pPr>
        <w:pStyle w:val="Textonotapie"/>
        <w:jc w:val="both"/>
        <w:rPr>
          <w:rFonts w:ascii="Century" w:hAnsi="Century"/>
          <w:sz w:val="18"/>
          <w:szCs w:val="18"/>
          <w:lang w:val="es-ES_tradnl"/>
        </w:rPr>
      </w:pPr>
      <w:r w:rsidRPr="00641296">
        <w:rPr>
          <w:rStyle w:val="Refdenotaalpie"/>
          <w:rFonts w:ascii="Century" w:hAnsi="Century"/>
          <w:sz w:val="18"/>
          <w:szCs w:val="18"/>
          <w:lang w:val="es-ES_tradnl"/>
        </w:rPr>
        <w:footnoteRef/>
      </w:r>
      <w:r w:rsidRPr="00641296">
        <w:rPr>
          <w:rFonts w:ascii="Century" w:hAnsi="Century"/>
          <w:sz w:val="18"/>
          <w:szCs w:val="18"/>
          <w:lang w:val="es-ES_tradnl"/>
        </w:rPr>
        <w:t xml:space="preserve"> Corte Suprema de Justicia. Sala de Casación Civil. MP Ariel Salazar Ramírez. </w:t>
      </w:r>
      <w:proofErr w:type="spellStart"/>
      <w:r w:rsidRPr="00641296">
        <w:rPr>
          <w:rFonts w:ascii="Century" w:hAnsi="Century"/>
          <w:sz w:val="18"/>
          <w:szCs w:val="18"/>
          <w:lang w:val="es-ES_tradnl"/>
        </w:rPr>
        <w:t>Exp</w:t>
      </w:r>
      <w:proofErr w:type="spellEnd"/>
      <w:r w:rsidRPr="00641296">
        <w:rPr>
          <w:rFonts w:ascii="Century" w:hAnsi="Century"/>
          <w:sz w:val="18"/>
          <w:szCs w:val="18"/>
          <w:lang w:val="es-ES_tradnl"/>
        </w:rPr>
        <w:t xml:space="preserve">: 73001-31-10-005-2004-00327-01. Sentencia del 27 de julio de 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3C892A4"/>
    <w:lvl w:ilvl="0">
      <w:start w:val="1"/>
      <w:numFmt w:val="decimal"/>
      <w:pStyle w:val="Listaconnmeros"/>
      <w:lvlText w:val="%1."/>
      <w:lvlJc w:val="left"/>
      <w:pPr>
        <w:tabs>
          <w:tab w:val="num" w:pos="-633"/>
        </w:tabs>
        <w:ind w:left="-633" w:hanging="360"/>
      </w:pPr>
    </w:lvl>
  </w:abstractNum>
  <w:abstractNum w:abstractNumId="1" w15:restartNumberingAfterBreak="0">
    <w:nsid w:val="01537B1F"/>
    <w:multiLevelType w:val="hybridMultilevel"/>
    <w:tmpl w:val="4B903C94"/>
    <w:lvl w:ilvl="0" w:tplc="4AF86578">
      <w:start w:val="2"/>
      <w:numFmt w:val="decimal"/>
      <w:lvlText w:val="%1"/>
      <w:lvlJc w:val="left"/>
      <w:pPr>
        <w:ind w:left="231" w:hanging="118"/>
      </w:pPr>
      <w:rPr>
        <w:rFonts w:hint="default"/>
        <w:w w:val="85"/>
        <w:position w:val="9"/>
      </w:rPr>
    </w:lvl>
    <w:lvl w:ilvl="1" w:tplc="2CD8CFEE">
      <w:numFmt w:val="bullet"/>
      <w:lvlText w:val="•"/>
      <w:lvlJc w:val="left"/>
      <w:pPr>
        <w:ind w:left="1287" w:hanging="118"/>
      </w:pPr>
      <w:rPr>
        <w:rFonts w:hint="default"/>
      </w:rPr>
    </w:lvl>
    <w:lvl w:ilvl="2" w:tplc="6B16C680">
      <w:numFmt w:val="bullet"/>
      <w:lvlText w:val="•"/>
      <w:lvlJc w:val="left"/>
      <w:pPr>
        <w:ind w:left="2335" w:hanging="118"/>
      </w:pPr>
      <w:rPr>
        <w:rFonts w:hint="default"/>
      </w:rPr>
    </w:lvl>
    <w:lvl w:ilvl="3" w:tplc="A95E23B0">
      <w:numFmt w:val="bullet"/>
      <w:lvlText w:val="•"/>
      <w:lvlJc w:val="left"/>
      <w:pPr>
        <w:ind w:left="3383" w:hanging="118"/>
      </w:pPr>
      <w:rPr>
        <w:rFonts w:hint="default"/>
      </w:rPr>
    </w:lvl>
    <w:lvl w:ilvl="4" w:tplc="9A7AE2D4">
      <w:numFmt w:val="bullet"/>
      <w:lvlText w:val="•"/>
      <w:lvlJc w:val="left"/>
      <w:pPr>
        <w:ind w:left="4431" w:hanging="118"/>
      </w:pPr>
      <w:rPr>
        <w:rFonts w:hint="default"/>
      </w:rPr>
    </w:lvl>
    <w:lvl w:ilvl="5" w:tplc="8FC04570">
      <w:numFmt w:val="bullet"/>
      <w:lvlText w:val="•"/>
      <w:lvlJc w:val="left"/>
      <w:pPr>
        <w:ind w:left="5479" w:hanging="118"/>
      </w:pPr>
      <w:rPr>
        <w:rFonts w:hint="default"/>
      </w:rPr>
    </w:lvl>
    <w:lvl w:ilvl="6" w:tplc="63869044">
      <w:numFmt w:val="bullet"/>
      <w:lvlText w:val="•"/>
      <w:lvlJc w:val="left"/>
      <w:pPr>
        <w:ind w:left="6527" w:hanging="118"/>
      </w:pPr>
      <w:rPr>
        <w:rFonts w:hint="default"/>
      </w:rPr>
    </w:lvl>
    <w:lvl w:ilvl="7" w:tplc="F0AED648">
      <w:numFmt w:val="bullet"/>
      <w:lvlText w:val="•"/>
      <w:lvlJc w:val="left"/>
      <w:pPr>
        <w:ind w:left="7575" w:hanging="118"/>
      </w:pPr>
      <w:rPr>
        <w:rFonts w:hint="default"/>
      </w:rPr>
    </w:lvl>
    <w:lvl w:ilvl="8" w:tplc="1C1806F0">
      <w:numFmt w:val="bullet"/>
      <w:lvlText w:val="•"/>
      <w:lvlJc w:val="left"/>
      <w:pPr>
        <w:ind w:left="8623" w:hanging="118"/>
      </w:pPr>
      <w:rPr>
        <w:rFonts w:hint="default"/>
      </w:rPr>
    </w:lvl>
  </w:abstractNum>
  <w:abstractNum w:abstractNumId="2" w15:restartNumberingAfterBreak="0">
    <w:nsid w:val="06911BFC"/>
    <w:multiLevelType w:val="hybridMultilevel"/>
    <w:tmpl w:val="A07ACF4C"/>
    <w:lvl w:ilvl="0" w:tplc="1EEEE012">
      <w:start w:val="1"/>
      <w:numFmt w:val="bullet"/>
      <w:lvlText w:val="-"/>
      <w:lvlJc w:val="left"/>
      <w:pPr>
        <w:ind w:left="720" w:hanging="360"/>
      </w:pPr>
      <w:rPr>
        <w:rFonts w:ascii="Gadugi" w:eastAsiaTheme="minorHAnsi" w:hAnsi="Gadug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B143E"/>
    <w:multiLevelType w:val="hybridMultilevel"/>
    <w:tmpl w:val="B7A01268"/>
    <w:lvl w:ilvl="0" w:tplc="31727408">
      <w:start w:val="1"/>
      <w:numFmt w:val="decimal"/>
      <w:lvlText w:val="%1."/>
      <w:lvlJc w:val="left"/>
      <w:pPr>
        <w:ind w:left="1129" w:hanging="4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0BD51B2B"/>
    <w:multiLevelType w:val="hybridMultilevel"/>
    <w:tmpl w:val="07E4F026"/>
    <w:lvl w:ilvl="0" w:tplc="B5FE863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163C31FC"/>
    <w:multiLevelType w:val="hybridMultilevel"/>
    <w:tmpl w:val="178010F2"/>
    <w:lvl w:ilvl="0" w:tplc="40686500">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6" w15:restartNumberingAfterBreak="0">
    <w:nsid w:val="19911598"/>
    <w:multiLevelType w:val="hybridMultilevel"/>
    <w:tmpl w:val="238E8BF2"/>
    <w:lvl w:ilvl="0" w:tplc="53683AD2">
      <w:numFmt w:val="bullet"/>
      <w:lvlText w:val="•"/>
      <w:lvlJc w:val="left"/>
      <w:pPr>
        <w:ind w:left="48" w:hanging="49"/>
      </w:pPr>
      <w:rPr>
        <w:rFonts w:ascii="Times New Roman" w:eastAsia="Times New Roman" w:hAnsi="Times New Roman" w:cs="Times New Roman" w:hint="default"/>
        <w:b w:val="0"/>
        <w:bCs w:val="0"/>
        <w:i w:val="0"/>
        <w:iCs w:val="0"/>
        <w:color w:val="79705D"/>
        <w:w w:val="104"/>
        <w:sz w:val="11"/>
        <w:szCs w:val="11"/>
      </w:rPr>
    </w:lvl>
    <w:lvl w:ilvl="1" w:tplc="01E2B822">
      <w:numFmt w:val="bullet"/>
      <w:lvlText w:val="•"/>
      <w:lvlJc w:val="left"/>
      <w:pPr>
        <w:ind w:left="490" w:hanging="49"/>
      </w:pPr>
      <w:rPr>
        <w:rFonts w:hint="default"/>
      </w:rPr>
    </w:lvl>
    <w:lvl w:ilvl="2" w:tplc="8FD0C274">
      <w:numFmt w:val="bullet"/>
      <w:lvlText w:val="•"/>
      <w:lvlJc w:val="left"/>
      <w:pPr>
        <w:ind w:left="941" w:hanging="49"/>
      </w:pPr>
      <w:rPr>
        <w:rFonts w:hint="default"/>
      </w:rPr>
    </w:lvl>
    <w:lvl w:ilvl="3" w:tplc="886280F2">
      <w:numFmt w:val="bullet"/>
      <w:lvlText w:val="•"/>
      <w:lvlJc w:val="left"/>
      <w:pPr>
        <w:ind w:left="1392" w:hanging="49"/>
      </w:pPr>
      <w:rPr>
        <w:rFonts w:hint="default"/>
      </w:rPr>
    </w:lvl>
    <w:lvl w:ilvl="4" w:tplc="56C2B478">
      <w:numFmt w:val="bullet"/>
      <w:lvlText w:val="•"/>
      <w:lvlJc w:val="left"/>
      <w:pPr>
        <w:ind w:left="1842" w:hanging="49"/>
      </w:pPr>
      <w:rPr>
        <w:rFonts w:hint="default"/>
      </w:rPr>
    </w:lvl>
    <w:lvl w:ilvl="5" w:tplc="F8A8EF5C">
      <w:numFmt w:val="bullet"/>
      <w:lvlText w:val="•"/>
      <w:lvlJc w:val="left"/>
      <w:pPr>
        <w:ind w:left="2293" w:hanging="49"/>
      </w:pPr>
      <w:rPr>
        <w:rFonts w:hint="default"/>
      </w:rPr>
    </w:lvl>
    <w:lvl w:ilvl="6" w:tplc="4AA04460">
      <w:numFmt w:val="bullet"/>
      <w:lvlText w:val="•"/>
      <w:lvlJc w:val="left"/>
      <w:pPr>
        <w:ind w:left="2744" w:hanging="49"/>
      </w:pPr>
      <w:rPr>
        <w:rFonts w:hint="default"/>
      </w:rPr>
    </w:lvl>
    <w:lvl w:ilvl="7" w:tplc="AD8EB898">
      <w:numFmt w:val="bullet"/>
      <w:lvlText w:val="•"/>
      <w:lvlJc w:val="left"/>
      <w:pPr>
        <w:ind w:left="3195" w:hanging="49"/>
      </w:pPr>
      <w:rPr>
        <w:rFonts w:hint="default"/>
      </w:rPr>
    </w:lvl>
    <w:lvl w:ilvl="8" w:tplc="379CDCD4">
      <w:numFmt w:val="bullet"/>
      <w:lvlText w:val="•"/>
      <w:lvlJc w:val="left"/>
      <w:pPr>
        <w:ind w:left="3645" w:hanging="49"/>
      </w:pPr>
      <w:rPr>
        <w:rFonts w:hint="default"/>
      </w:rPr>
    </w:lvl>
  </w:abstractNum>
  <w:abstractNum w:abstractNumId="7" w15:restartNumberingAfterBreak="0">
    <w:nsid w:val="1A335854"/>
    <w:multiLevelType w:val="hybridMultilevel"/>
    <w:tmpl w:val="BEDA554E"/>
    <w:lvl w:ilvl="0" w:tplc="CE3081AA">
      <w:start w:val="3"/>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C580960"/>
    <w:multiLevelType w:val="hybridMultilevel"/>
    <w:tmpl w:val="91281400"/>
    <w:lvl w:ilvl="0" w:tplc="9426FB4E">
      <w:start w:val="1"/>
      <w:numFmt w:val="decimal"/>
      <w:lvlText w:val="%1."/>
      <w:lvlJc w:val="left"/>
      <w:pPr>
        <w:ind w:left="3307" w:hanging="282"/>
        <w:jc w:val="right"/>
      </w:pPr>
      <w:rPr>
        <w:rFonts w:hint="default"/>
        <w:spacing w:val="-1"/>
        <w:w w:val="106"/>
      </w:rPr>
    </w:lvl>
    <w:lvl w:ilvl="1" w:tplc="873A3FDC">
      <w:numFmt w:val="bullet"/>
      <w:lvlText w:val="•"/>
      <w:lvlJc w:val="left"/>
      <w:pPr>
        <w:ind w:left="4054" w:hanging="282"/>
      </w:pPr>
      <w:rPr>
        <w:rFonts w:hint="default"/>
      </w:rPr>
    </w:lvl>
    <w:lvl w:ilvl="2" w:tplc="407684BA">
      <w:numFmt w:val="bullet"/>
      <w:lvlText w:val="•"/>
      <w:lvlJc w:val="left"/>
      <w:pPr>
        <w:ind w:left="4809" w:hanging="282"/>
      </w:pPr>
      <w:rPr>
        <w:rFonts w:hint="default"/>
      </w:rPr>
    </w:lvl>
    <w:lvl w:ilvl="3" w:tplc="4A200184">
      <w:numFmt w:val="bullet"/>
      <w:lvlText w:val="•"/>
      <w:lvlJc w:val="left"/>
      <w:pPr>
        <w:ind w:left="5563" w:hanging="282"/>
      </w:pPr>
      <w:rPr>
        <w:rFonts w:hint="default"/>
      </w:rPr>
    </w:lvl>
    <w:lvl w:ilvl="4" w:tplc="9CBEC7AC">
      <w:numFmt w:val="bullet"/>
      <w:lvlText w:val="•"/>
      <w:lvlJc w:val="left"/>
      <w:pPr>
        <w:ind w:left="6318" w:hanging="282"/>
      </w:pPr>
      <w:rPr>
        <w:rFonts w:hint="default"/>
      </w:rPr>
    </w:lvl>
    <w:lvl w:ilvl="5" w:tplc="9E129A10">
      <w:numFmt w:val="bullet"/>
      <w:lvlText w:val="•"/>
      <w:lvlJc w:val="left"/>
      <w:pPr>
        <w:ind w:left="7073" w:hanging="282"/>
      </w:pPr>
      <w:rPr>
        <w:rFonts w:hint="default"/>
      </w:rPr>
    </w:lvl>
    <w:lvl w:ilvl="6" w:tplc="D2CC930C">
      <w:numFmt w:val="bullet"/>
      <w:lvlText w:val="•"/>
      <w:lvlJc w:val="left"/>
      <w:pPr>
        <w:ind w:left="7827" w:hanging="282"/>
      </w:pPr>
      <w:rPr>
        <w:rFonts w:hint="default"/>
      </w:rPr>
    </w:lvl>
    <w:lvl w:ilvl="7" w:tplc="BEE86DD8">
      <w:numFmt w:val="bullet"/>
      <w:lvlText w:val="•"/>
      <w:lvlJc w:val="left"/>
      <w:pPr>
        <w:ind w:left="8582" w:hanging="282"/>
      </w:pPr>
      <w:rPr>
        <w:rFonts w:hint="default"/>
      </w:rPr>
    </w:lvl>
    <w:lvl w:ilvl="8" w:tplc="88D4D74C">
      <w:numFmt w:val="bullet"/>
      <w:lvlText w:val="•"/>
      <w:lvlJc w:val="left"/>
      <w:pPr>
        <w:ind w:left="9337" w:hanging="282"/>
      </w:pPr>
      <w:rPr>
        <w:rFonts w:hint="default"/>
      </w:rPr>
    </w:lvl>
  </w:abstractNum>
  <w:abstractNum w:abstractNumId="9" w15:restartNumberingAfterBreak="0">
    <w:nsid w:val="266702D5"/>
    <w:multiLevelType w:val="multilevel"/>
    <w:tmpl w:val="5980205C"/>
    <w:lvl w:ilvl="0">
      <w:start w:val="1"/>
      <w:numFmt w:val="decimal"/>
      <w:lvlText w:val="%1."/>
      <w:lvlJc w:val="left"/>
      <w:pPr>
        <w:ind w:left="3195" w:hanging="360"/>
      </w:pPr>
      <w:rPr>
        <w:rFonts w:hint="default"/>
      </w:rPr>
    </w:lvl>
    <w:lvl w:ilvl="1">
      <w:start w:val="4"/>
      <w:numFmt w:val="decimal"/>
      <w:isLgl/>
      <w:lvlText w:val="%1.%2."/>
      <w:lvlJc w:val="left"/>
      <w:pPr>
        <w:ind w:left="3555"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275" w:hanging="144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0" w15:restartNumberingAfterBreak="0">
    <w:nsid w:val="269F655F"/>
    <w:multiLevelType w:val="multilevel"/>
    <w:tmpl w:val="4E021D88"/>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11" w15:restartNumberingAfterBreak="0">
    <w:nsid w:val="273F4882"/>
    <w:multiLevelType w:val="multilevel"/>
    <w:tmpl w:val="1C88CC5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2" w15:restartNumberingAfterBreak="0">
    <w:nsid w:val="29D05249"/>
    <w:multiLevelType w:val="multilevel"/>
    <w:tmpl w:val="0824C1D8"/>
    <w:lvl w:ilvl="0">
      <w:start w:val="1"/>
      <w:numFmt w:val="decimal"/>
      <w:lvlText w:val="%1."/>
      <w:lvlJc w:val="left"/>
      <w:pPr>
        <w:ind w:left="2061" w:hanging="360"/>
      </w:pPr>
      <w:rPr>
        <w:rFonts w:hint="default"/>
      </w:rPr>
    </w:lvl>
    <w:lvl w:ilvl="1">
      <w:start w:val="7"/>
      <w:numFmt w:val="decimal"/>
      <w:isLgl/>
      <w:lvlText w:val="%1.%2"/>
      <w:lvlJc w:val="left"/>
      <w:pPr>
        <w:ind w:left="2308" w:hanging="46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495" w:hanging="1800"/>
      </w:pPr>
      <w:rPr>
        <w:rFonts w:hint="default"/>
      </w:rPr>
    </w:lvl>
    <w:lvl w:ilvl="8">
      <w:start w:val="1"/>
      <w:numFmt w:val="decimal"/>
      <w:isLgl/>
      <w:lvlText w:val="%1.%2.%3.%4.%5.%6.%7.%8.%9"/>
      <w:lvlJc w:val="left"/>
      <w:pPr>
        <w:ind w:left="4637" w:hanging="1800"/>
      </w:pPr>
      <w:rPr>
        <w:rFonts w:hint="default"/>
      </w:rPr>
    </w:lvl>
  </w:abstractNum>
  <w:abstractNum w:abstractNumId="13" w15:restartNumberingAfterBreak="0">
    <w:nsid w:val="2F1A3210"/>
    <w:multiLevelType w:val="hybridMultilevel"/>
    <w:tmpl w:val="A3B6FBB8"/>
    <w:lvl w:ilvl="0" w:tplc="7C04342E">
      <w:start w:val="6"/>
      <w:numFmt w:val="decimal"/>
      <w:lvlText w:val="%1"/>
      <w:lvlJc w:val="left"/>
      <w:pPr>
        <w:ind w:left="138" w:hanging="128"/>
      </w:pPr>
      <w:rPr>
        <w:rFonts w:hint="default"/>
        <w:w w:val="89"/>
        <w:position w:val="6"/>
      </w:rPr>
    </w:lvl>
    <w:lvl w:ilvl="1" w:tplc="4EDA66F8">
      <w:numFmt w:val="bullet"/>
      <w:lvlText w:val="•"/>
      <w:lvlJc w:val="left"/>
      <w:pPr>
        <w:ind w:left="1162" w:hanging="128"/>
      </w:pPr>
      <w:rPr>
        <w:rFonts w:hint="default"/>
      </w:rPr>
    </w:lvl>
    <w:lvl w:ilvl="2" w:tplc="AEE4011C">
      <w:numFmt w:val="bullet"/>
      <w:lvlText w:val="•"/>
      <w:lvlJc w:val="left"/>
      <w:pPr>
        <w:ind w:left="2185" w:hanging="128"/>
      </w:pPr>
      <w:rPr>
        <w:rFonts w:hint="default"/>
      </w:rPr>
    </w:lvl>
    <w:lvl w:ilvl="3" w:tplc="CF661C3A">
      <w:numFmt w:val="bullet"/>
      <w:lvlText w:val="•"/>
      <w:lvlJc w:val="left"/>
      <w:pPr>
        <w:ind w:left="3208" w:hanging="128"/>
      </w:pPr>
      <w:rPr>
        <w:rFonts w:hint="default"/>
      </w:rPr>
    </w:lvl>
    <w:lvl w:ilvl="4" w:tplc="5CF47882">
      <w:numFmt w:val="bullet"/>
      <w:lvlText w:val="•"/>
      <w:lvlJc w:val="left"/>
      <w:pPr>
        <w:ind w:left="4231" w:hanging="128"/>
      </w:pPr>
      <w:rPr>
        <w:rFonts w:hint="default"/>
      </w:rPr>
    </w:lvl>
    <w:lvl w:ilvl="5" w:tplc="958ECF64">
      <w:numFmt w:val="bullet"/>
      <w:lvlText w:val="•"/>
      <w:lvlJc w:val="left"/>
      <w:pPr>
        <w:ind w:left="5254" w:hanging="128"/>
      </w:pPr>
      <w:rPr>
        <w:rFonts w:hint="default"/>
      </w:rPr>
    </w:lvl>
    <w:lvl w:ilvl="6" w:tplc="B0AE6E42">
      <w:numFmt w:val="bullet"/>
      <w:lvlText w:val="•"/>
      <w:lvlJc w:val="left"/>
      <w:pPr>
        <w:ind w:left="6277" w:hanging="128"/>
      </w:pPr>
      <w:rPr>
        <w:rFonts w:hint="default"/>
      </w:rPr>
    </w:lvl>
    <w:lvl w:ilvl="7" w:tplc="7A52FA5C">
      <w:numFmt w:val="bullet"/>
      <w:lvlText w:val="•"/>
      <w:lvlJc w:val="left"/>
      <w:pPr>
        <w:ind w:left="7300" w:hanging="128"/>
      </w:pPr>
      <w:rPr>
        <w:rFonts w:hint="default"/>
      </w:rPr>
    </w:lvl>
    <w:lvl w:ilvl="8" w:tplc="3C528006">
      <w:numFmt w:val="bullet"/>
      <w:lvlText w:val="•"/>
      <w:lvlJc w:val="left"/>
      <w:pPr>
        <w:ind w:left="8323" w:hanging="128"/>
      </w:pPr>
      <w:rPr>
        <w:rFonts w:hint="default"/>
      </w:rPr>
    </w:lvl>
  </w:abstractNum>
  <w:abstractNum w:abstractNumId="14" w15:restartNumberingAfterBreak="0">
    <w:nsid w:val="3687187B"/>
    <w:multiLevelType w:val="hybridMultilevel"/>
    <w:tmpl w:val="42EA9336"/>
    <w:lvl w:ilvl="0" w:tplc="30E2AFE4">
      <w:start w:val="1"/>
      <w:numFmt w:val="decimal"/>
      <w:lvlText w:val="%1."/>
      <w:lvlJc w:val="left"/>
      <w:pPr>
        <w:ind w:left="2061" w:hanging="360"/>
      </w:pPr>
      <w:rPr>
        <w:rFonts w:eastAsia="Times New Roman" w:cs="Times New Roman"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5" w15:restartNumberingAfterBreak="0">
    <w:nsid w:val="3B52010B"/>
    <w:multiLevelType w:val="multilevel"/>
    <w:tmpl w:val="D938D176"/>
    <w:lvl w:ilvl="0">
      <w:start w:val="1"/>
      <w:numFmt w:val="decimal"/>
      <w:lvlText w:val="%1."/>
      <w:lvlJc w:val="left"/>
      <w:pPr>
        <w:ind w:left="3195" w:hanging="360"/>
      </w:pPr>
      <w:rPr>
        <w:rFonts w:hint="default"/>
      </w:rPr>
    </w:lvl>
    <w:lvl w:ilvl="1">
      <w:start w:val="1"/>
      <w:numFmt w:val="decimal"/>
      <w:isLgl/>
      <w:lvlText w:val="%1.%2."/>
      <w:lvlJc w:val="left"/>
      <w:pPr>
        <w:ind w:left="3556" w:hanging="720"/>
      </w:pPr>
      <w:rPr>
        <w:rFonts w:ascii="Gadugi" w:hAnsi="Gadugi" w:hint="default"/>
        <w:b w:val="0"/>
        <w:bCs/>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16" w15:restartNumberingAfterBreak="0">
    <w:nsid w:val="56CA47D9"/>
    <w:multiLevelType w:val="hybridMultilevel"/>
    <w:tmpl w:val="72AC9CEC"/>
    <w:lvl w:ilvl="0" w:tplc="77FA192E">
      <w:start w:val="1"/>
      <w:numFmt w:val="decimal"/>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7" w15:restartNumberingAfterBreak="0">
    <w:nsid w:val="5DC76817"/>
    <w:multiLevelType w:val="hybridMultilevel"/>
    <w:tmpl w:val="243C9A0A"/>
    <w:lvl w:ilvl="0" w:tplc="A91AB7C8">
      <w:numFmt w:val="bullet"/>
      <w:lvlText w:val="-"/>
      <w:lvlJc w:val="left"/>
      <w:pPr>
        <w:ind w:left="3195" w:hanging="360"/>
      </w:pPr>
      <w:rPr>
        <w:rFonts w:ascii="Gadugi" w:eastAsiaTheme="minorHAnsi" w:hAnsi="Gadugi" w:cstheme="minorBidi" w:hint="default"/>
      </w:rPr>
    </w:lvl>
    <w:lvl w:ilvl="1" w:tplc="240A0003" w:tentative="1">
      <w:start w:val="1"/>
      <w:numFmt w:val="bullet"/>
      <w:lvlText w:val="o"/>
      <w:lvlJc w:val="left"/>
      <w:pPr>
        <w:ind w:left="3915" w:hanging="360"/>
      </w:pPr>
      <w:rPr>
        <w:rFonts w:ascii="Courier New" w:hAnsi="Courier New" w:cs="Courier New" w:hint="default"/>
      </w:rPr>
    </w:lvl>
    <w:lvl w:ilvl="2" w:tplc="240A0005" w:tentative="1">
      <w:start w:val="1"/>
      <w:numFmt w:val="bullet"/>
      <w:lvlText w:val=""/>
      <w:lvlJc w:val="left"/>
      <w:pPr>
        <w:ind w:left="4635" w:hanging="360"/>
      </w:pPr>
      <w:rPr>
        <w:rFonts w:ascii="Wingdings" w:hAnsi="Wingdings" w:hint="default"/>
      </w:rPr>
    </w:lvl>
    <w:lvl w:ilvl="3" w:tplc="240A0001" w:tentative="1">
      <w:start w:val="1"/>
      <w:numFmt w:val="bullet"/>
      <w:lvlText w:val=""/>
      <w:lvlJc w:val="left"/>
      <w:pPr>
        <w:ind w:left="5355" w:hanging="360"/>
      </w:pPr>
      <w:rPr>
        <w:rFonts w:ascii="Symbol" w:hAnsi="Symbol" w:hint="default"/>
      </w:rPr>
    </w:lvl>
    <w:lvl w:ilvl="4" w:tplc="240A0003" w:tentative="1">
      <w:start w:val="1"/>
      <w:numFmt w:val="bullet"/>
      <w:lvlText w:val="o"/>
      <w:lvlJc w:val="left"/>
      <w:pPr>
        <w:ind w:left="6075" w:hanging="360"/>
      </w:pPr>
      <w:rPr>
        <w:rFonts w:ascii="Courier New" w:hAnsi="Courier New" w:cs="Courier New" w:hint="default"/>
      </w:rPr>
    </w:lvl>
    <w:lvl w:ilvl="5" w:tplc="240A0005" w:tentative="1">
      <w:start w:val="1"/>
      <w:numFmt w:val="bullet"/>
      <w:lvlText w:val=""/>
      <w:lvlJc w:val="left"/>
      <w:pPr>
        <w:ind w:left="6795" w:hanging="360"/>
      </w:pPr>
      <w:rPr>
        <w:rFonts w:ascii="Wingdings" w:hAnsi="Wingdings" w:hint="default"/>
      </w:rPr>
    </w:lvl>
    <w:lvl w:ilvl="6" w:tplc="240A0001" w:tentative="1">
      <w:start w:val="1"/>
      <w:numFmt w:val="bullet"/>
      <w:lvlText w:val=""/>
      <w:lvlJc w:val="left"/>
      <w:pPr>
        <w:ind w:left="7515" w:hanging="360"/>
      </w:pPr>
      <w:rPr>
        <w:rFonts w:ascii="Symbol" w:hAnsi="Symbol" w:hint="default"/>
      </w:rPr>
    </w:lvl>
    <w:lvl w:ilvl="7" w:tplc="240A0003" w:tentative="1">
      <w:start w:val="1"/>
      <w:numFmt w:val="bullet"/>
      <w:lvlText w:val="o"/>
      <w:lvlJc w:val="left"/>
      <w:pPr>
        <w:ind w:left="8235" w:hanging="360"/>
      </w:pPr>
      <w:rPr>
        <w:rFonts w:ascii="Courier New" w:hAnsi="Courier New" w:cs="Courier New" w:hint="default"/>
      </w:rPr>
    </w:lvl>
    <w:lvl w:ilvl="8" w:tplc="240A0005" w:tentative="1">
      <w:start w:val="1"/>
      <w:numFmt w:val="bullet"/>
      <w:lvlText w:val=""/>
      <w:lvlJc w:val="left"/>
      <w:pPr>
        <w:ind w:left="8955" w:hanging="360"/>
      </w:pPr>
      <w:rPr>
        <w:rFonts w:ascii="Wingdings" w:hAnsi="Wingdings" w:hint="default"/>
      </w:rPr>
    </w:lvl>
  </w:abstractNum>
  <w:abstractNum w:abstractNumId="18" w15:restartNumberingAfterBreak="0">
    <w:nsid w:val="62F814FA"/>
    <w:multiLevelType w:val="hybridMultilevel"/>
    <w:tmpl w:val="C94AD232"/>
    <w:lvl w:ilvl="0" w:tplc="D6B214AE">
      <w:start w:val="1"/>
      <w:numFmt w:val="decimal"/>
      <w:lvlText w:val="%1."/>
      <w:lvlJc w:val="left"/>
      <w:pPr>
        <w:ind w:left="1069" w:hanging="360"/>
      </w:pPr>
      <w:rPr>
        <w:rFonts w:eastAsia="Calibri" w:cs="Times New Roman"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9" w15:restartNumberingAfterBreak="0">
    <w:nsid w:val="63B266E9"/>
    <w:multiLevelType w:val="hybridMultilevel"/>
    <w:tmpl w:val="329CE1EC"/>
    <w:lvl w:ilvl="0" w:tplc="B1162932">
      <w:start w:val="1"/>
      <w:numFmt w:val="decimal"/>
      <w:lvlText w:val="%1."/>
      <w:lvlJc w:val="left"/>
      <w:pPr>
        <w:ind w:left="2061" w:hanging="360"/>
      </w:pPr>
      <w:rPr>
        <w:rFonts w:hint="default"/>
        <w:b w:val="0"/>
        <w:bCs/>
      </w:rPr>
    </w:lvl>
    <w:lvl w:ilvl="1" w:tplc="580A0019" w:tentative="1">
      <w:start w:val="1"/>
      <w:numFmt w:val="lowerLetter"/>
      <w:lvlText w:val="%2."/>
      <w:lvlJc w:val="left"/>
      <w:pPr>
        <w:ind w:left="2781" w:hanging="360"/>
      </w:pPr>
    </w:lvl>
    <w:lvl w:ilvl="2" w:tplc="580A001B" w:tentative="1">
      <w:start w:val="1"/>
      <w:numFmt w:val="lowerRoman"/>
      <w:lvlText w:val="%3."/>
      <w:lvlJc w:val="right"/>
      <w:pPr>
        <w:ind w:left="3501" w:hanging="180"/>
      </w:pPr>
    </w:lvl>
    <w:lvl w:ilvl="3" w:tplc="580A000F" w:tentative="1">
      <w:start w:val="1"/>
      <w:numFmt w:val="decimal"/>
      <w:lvlText w:val="%4."/>
      <w:lvlJc w:val="left"/>
      <w:pPr>
        <w:ind w:left="4221" w:hanging="360"/>
      </w:pPr>
    </w:lvl>
    <w:lvl w:ilvl="4" w:tplc="580A0019" w:tentative="1">
      <w:start w:val="1"/>
      <w:numFmt w:val="lowerLetter"/>
      <w:lvlText w:val="%5."/>
      <w:lvlJc w:val="left"/>
      <w:pPr>
        <w:ind w:left="4941" w:hanging="360"/>
      </w:pPr>
    </w:lvl>
    <w:lvl w:ilvl="5" w:tplc="580A001B" w:tentative="1">
      <w:start w:val="1"/>
      <w:numFmt w:val="lowerRoman"/>
      <w:lvlText w:val="%6."/>
      <w:lvlJc w:val="right"/>
      <w:pPr>
        <w:ind w:left="5661" w:hanging="180"/>
      </w:pPr>
    </w:lvl>
    <w:lvl w:ilvl="6" w:tplc="580A000F" w:tentative="1">
      <w:start w:val="1"/>
      <w:numFmt w:val="decimal"/>
      <w:lvlText w:val="%7."/>
      <w:lvlJc w:val="left"/>
      <w:pPr>
        <w:ind w:left="6381" w:hanging="360"/>
      </w:pPr>
    </w:lvl>
    <w:lvl w:ilvl="7" w:tplc="580A0019" w:tentative="1">
      <w:start w:val="1"/>
      <w:numFmt w:val="lowerLetter"/>
      <w:lvlText w:val="%8."/>
      <w:lvlJc w:val="left"/>
      <w:pPr>
        <w:ind w:left="7101" w:hanging="360"/>
      </w:pPr>
    </w:lvl>
    <w:lvl w:ilvl="8" w:tplc="580A001B" w:tentative="1">
      <w:start w:val="1"/>
      <w:numFmt w:val="lowerRoman"/>
      <w:lvlText w:val="%9."/>
      <w:lvlJc w:val="right"/>
      <w:pPr>
        <w:ind w:left="7821" w:hanging="180"/>
      </w:pPr>
    </w:lvl>
  </w:abstractNum>
  <w:abstractNum w:abstractNumId="20" w15:restartNumberingAfterBreak="0">
    <w:nsid w:val="7A81078E"/>
    <w:multiLevelType w:val="hybridMultilevel"/>
    <w:tmpl w:val="72988CD6"/>
    <w:lvl w:ilvl="0" w:tplc="9064B77A">
      <w:start w:val="1"/>
      <w:numFmt w:val="lowerLetter"/>
      <w:lvlText w:val="%1."/>
      <w:lvlJc w:val="left"/>
      <w:pPr>
        <w:ind w:left="720" w:hanging="360"/>
      </w:pPr>
      <w:rPr>
        <w:rFonts w:ascii="Gadugi" w:eastAsiaTheme="minorHAnsi" w:hAnsi="Gadugi"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ACF177E"/>
    <w:multiLevelType w:val="hybridMultilevel"/>
    <w:tmpl w:val="89C0F558"/>
    <w:lvl w:ilvl="0" w:tplc="AB3EF09E">
      <w:numFmt w:val="bullet"/>
      <w:lvlText w:val="-"/>
      <w:lvlJc w:val="left"/>
      <w:pPr>
        <w:ind w:left="2061" w:hanging="360"/>
      </w:pPr>
      <w:rPr>
        <w:rFonts w:ascii="Gadugi" w:eastAsia="Times New Roman" w:hAnsi="Gadugi" w:cs="Segoe UI"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num w:numId="1">
    <w:abstractNumId w:val="15"/>
  </w:num>
  <w:num w:numId="2">
    <w:abstractNumId w:val="11"/>
  </w:num>
  <w:num w:numId="3">
    <w:abstractNumId w:val="17"/>
  </w:num>
  <w:num w:numId="4">
    <w:abstractNumId w:val="20"/>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
  </w:num>
  <w:num w:numId="10">
    <w:abstractNumId w:val="18"/>
  </w:num>
  <w:num w:numId="11">
    <w:abstractNumId w:val="7"/>
  </w:num>
  <w:num w:numId="12">
    <w:abstractNumId w:val="4"/>
  </w:num>
  <w:num w:numId="13">
    <w:abstractNumId w:val="12"/>
  </w:num>
  <w:num w:numId="14">
    <w:abstractNumId w:val="14"/>
  </w:num>
  <w:num w:numId="15">
    <w:abstractNumId w:val="21"/>
  </w:num>
  <w:num w:numId="16">
    <w:abstractNumId w:val="0"/>
  </w:num>
  <w:num w:numId="17">
    <w:abstractNumId w:val="8"/>
  </w:num>
  <w:num w:numId="18">
    <w:abstractNumId w:val="6"/>
  </w:num>
  <w:num w:numId="19">
    <w:abstractNumId w:val="13"/>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F3"/>
    <w:rsid w:val="00004EF1"/>
    <w:rsid w:val="00024D3E"/>
    <w:rsid w:val="00024D85"/>
    <w:rsid w:val="000318CF"/>
    <w:rsid w:val="00036BE5"/>
    <w:rsid w:val="00037660"/>
    <w:rsid w:val="00042D83"/>
    <w:rsid w:val="00043C90"/>
    <w:rsid w:val="00050665"/>
    <w:rsid w:val="00054866"/>
    <w:rsid w:val="000551B3"/>
    <w:rsid w:val="00056C3D"/>
    <w:rsid w:val="00063790"/>
    <w:rsid w:val="0007018A"/>
    <w:rsid w:val="00071FF3"/>
    <w:rsid w:val="00075297"/>
    <w:rsid w:val="0008341F"/>
    <w:rsid w:val="00086071"/>
    <w:rsid w:val="0008671C"/>
    <w:rsid w:val="000920B1"/>
    <w:rsid w:val="000A0B89"/>
    <w:rsid w:val="000A7F9A"/>
    <w:rsid w:val="000B132C"/>
    <w:rsid w:val="000B1FC3"/>
    <w:rsid w:val="000C1130"/>
    <w:rsid w:val="000C6828"/>
    <w:rsid w:val="000D604A"/>
    <w:rsid w:val="000F3A07"/>
    <w:rsid w:val="000F7471"/>
    <w:rsid w:val="000F7BCB"/>
    <w:rsid w:val="00103534"/>
    <w:rsid w:val="0012016D"/>
    <w:rsid w:val="00121A3E"/>
    <w:rsid w:val="0012282A"/>
    <w:rsid w:val="0012686C"/>
    <w:rsid w:val="00127F08"/>
    <w:rsid w:val="00131E31"/>
    <w:rsid w:val="001401F1"/>
    <w:rsid w:val="001440F9"/>
    <w:rsid w:val="0015356D"/>
    <w:rsid w:val="0015746F"/>
    <w:rsid w:val="00161DFF"/>
    <w:rsid w:val="0016543A"/>
    <w:rsid w:val="00167252"/>
    <w:rsid w:val="00172867"/>
    <w:rsid w:val="00175663"/>
    <w:rsid w:val="00176D66"/>
    <w:rsid w:val="001803A5"/>
    <w:rsid w:val="001825F8"/>
    <w:rsid w:val="00197B73"/>
    <w:rsid w:val="001A5FA7"/>
    <w:rsid w:val="001B3D44"/>
    <w:rsid w:val="001B748B"/>
    <w:rsid w:val="001C069B"/>
    <w:rsid w:val="001D0148"/>
    <w:rsid w:val="001E095D"/>
    <w:rsid w:val="001F28D6"/>
    <w:rsid w:val="002049B7"/>
    <w:rsid w:val="00206CA4"/>
    <w:rsid w:val="0021421B"/>
    <w:rsid w:val="0021474D"/>
    <w:rsid w:val="00226A01"/>
    <w:rsid w:val="00237BBC"/>
    <w:rsid w:val="00245DF6"/>
    <w:rsid w:val="00252133"/>
    <w:rsid w:val="00255051"/>
    <w:rsid w:val="002579D8"/>
    <w:rsid w:val="00261D98"/>
    <w:rsid w:val="00262F13"/>
    <w:rsid w:val="00273096"/>
    <w:rsid w:val="00277292"/>
    <w:rsid w:val="00285E8B"/>
    <w:rsid w:val="002861A1"/>
    <w:rsid w:val="00291A7A"/>
    <w:rsid w:val="00294376"/>
    <w:rsid w:val="002A1234"/>
    <w:rsid w:val="002A2AAE"/>
    <w:rsid w:val="002A2B02"/>
    <w:rsid w:val="002A3EE4"/>
    <w:rsid w:val="002B0855"/>
    <w:rsid w:val="002B2232"/>
    <w:rsid w:val="002B331C"/>
    <w:rsid w:val="002B642B"/>
    <w:rsid w:val="002B6686"/>
    <w:rsid w:val="002B67C7"/>
    <w:rsid w:val="002C32D9"/>
    <w:rsid w:val="002F0BF5"/>
    <w:rsid w:val="00301BBB"/>
    <w:rsid w:val="00303063"/>
    <w:rsid w:val="00307C8D"/>
    <w:rsid w:val="003169BC"/>
    <w:rsid w:val="0032247D"/>
    <w:rsid w:val="00335436"/>
    <w:rsid w:val="00340402"/>
    <w:rsid w:val="00351587"/>
    <w:rsid w:val="0036441A"/>
    <w:rsid w:val="003750D8"/>
    <w:rsid w:val="00384049"/>
    <w:rsid w:val="003A1B02"/>
    <w:rsid w:val="003B5896"/>
    <w:rsid w:val="003B68E9"/>
    <w:rsid w:val="003C78A8"/>
    <w:rsid w:val="003D2CF1"/>
    <w:rsid w:val="003D526C"/>
    <w:rsid w:val="003D6B70"/>
    <w:rsid w:val="003E0F56"/>
    <w:rsid w:val="00402DD7"/>
    <w:rsid w:val="00404DFA"/>
    <w:rsid w:val="004052B5"/>
    <w:rsid w:val="004069C6"/>
    <w:rsid w:val="00423DD8"/>
    <w:rsid w:val="00431C26"/>
    <w:rsid w:val="00433B63"/>
    <w:rsid w:val="0044330A"/>
    <w:rsid w:val="004501C1"/>
    <w:rsid w:val="00455AAE"/>
    <w:rsid w:val="00456FE4"/>
    <w:rsid w:val="0046460B"/>
    <w:rsid w:val="004747F7"/>
    <w:rsid w:val="00487E0B"/>
    <w:rsid w:val="004A6025"/>
    <w:rsid w:val="004B2B99"/>
    <w:rsid w:val="004B6D9C"/>
    <w:rsid w:val="004B78E7"/>
    <w:rsid w:val="004D0ACA"/>
    <w:rsid w:val="004D277E"/>
    <w:rsid w:val="004D6B8C"/>
    <w:rsid w:val="004E25C6"/>
    <w:rsid w:val="004F1826"/>
    <w:rsid w:val="0050011C"/>
    <w:rsid w:val="005004FB"/>
    <w:rsid w:val="00507D6F"/>
    <w:rsid w:val="00511482"/>
    <w:rsid w:val="005135F9"/>
    <w:rsid w:val="00520014"/>
    <w:rsid w:val="00526612"/>
    <w:rsid w:val="00527FAF"/>
    <w:rsid w:val="00530D02"/>
    <w:rsid w:val="00542AF8"/>
    <w:rsid w:val="00543D02"/>
    <w:rsid w:val="00544118"/>
    <w:rsid w:val="0055731A"/>
    <w:rsid w:val="00557FA8"/>
    <w:rsid w:val="00561D5E"/>
    <w:rsid w:val="00564EDC"/>
    <w:rsid w:val="0056759E"/>
    <w:rsid w:val="005715D9"/>
    <w:rsid w:val="00575D37"/>
    <w:rsid w:val="00583827"/>
    <w:rsid w:val="00583D71"/>
    <w:rsid w:val="0058599F"/>
    <w:rsid w:val="00593365"/>
    <w:rsid w:val="005A710E"/>
    <w:rsid w:val="005B5968"/>
    <w:rsid w:val="005B7BDE"/>
    <w:rsid w:val="005C0A42"/>
    <w:rsid w:val="005C0ACA"/>
    <w:rsid w:val="005C1519"/>
    <w:rsid w:val="005D00E8"/>
    <w:rsid w:val="005D42BC"/>
    <w:rsid w:val="005E4919"/>
    <w:rsid w:val="005E5984"/>
    <w:rsid w:val="005E7529"/>
    <w:rsid w:val="005F1372"/>
    <w:rsid w:val="005F1969"/>
    <w:rsid w:val="0060163D"/>
    <w:rsid w:val="006065AF"/>
    <w:rsid w:val="0060795C"/>
    <w:rsid w:val="00611917"/>
    <w:rsid w:val="006256B9"/>
    <w:rsid w:val="006258E1"/>
    <w:rsid w:val="00630217"/>
    <w:rsid w:val="0063610A"/>
    <w:rsid w:val="00641296"/>
    <w:rsid w:val="006437F8"/>
    <w:rsid w:val="00654239"/>
    <w:rsid w:val="00656A2C"/>
    <w:rsid w:val="00661035"/>
    <w:rsid w:val="00665BD6"/>
    <w:rsid w:val="006661F5"/>
    <w:rsid w:val="00671154"/>
    <w:rsid w:val="00674BA5"/>
    <w:rsid w:val="00675416"/>
    <w:rsid w:val="0068465A"/>
    <w:rsid w:val="006871DC"/>
    <w:rsid w:val="00692DC1"/>
    <w:rsid w:val="006A0D0A"/>
    <w:rsid w:val="006B4603"/>
    <w:rsid w:val="006B597E"/>
    <w:rsid w:val="006C335D"/>
    <w:rsid w:val="006C737B"/>
    <w:rsid w:val="006C7B6D"/>
    <w:rsid w:val="006D33E6"/>
    <w:rsid w:val="006D5E3B"/>
    <w:rsid w:val="006E3F76"/>
    <w:rsid w:val="006E6A85"/>
    <w:rsid w:val="00706C77"/>
    <w:rsid w:val="00714813"/>
    <w:rsid w:val="00717E66"/>
    <w:rsid w:val="007204AA"/>
    <w:rsid w:val="0072187B"/>
    <w:rsid w:val="00727E47"/>
    <w:rsid w:val="0073410E"/>
    <w:rsid w:val="00737B6D"/>
    <w:rsid w:val="00747A14"/>
    <w:rsid w:val="00747DC4"/>
    <w:rsid w:val="0075148A"/>
    <w:rsid w:val="00755E93"/>
    <w:rsid w:val="00756C68"/>
    <w:rsid w:val="00757464"/>
    <w:rsid w:val="007609CD"/>
    <w:rsid w:val="0076565C"/>
    <w:rsid w:val="00765B20"/>
    <w:rsid w:val="007762E2"/>
    <w:rsid w:val="00781497"/>
    <w:rsid w:val="00785D8F"/>
    <w:rsid w:val="00791A74"/>
    <w:rsid w:val="007B1FE3"/>
    <w:rsid w:val="007B2787"/>
    <w:rsid w:val="007B7D39"/>
    <w:rsid w:val="007C6D70"/>
    <w:rsid w:val="007D0088"/>
    <w:rsid w:val="007D48F3"/>
    <w:rsid w:val="007D4F4D"/>
    <w:rsid w:val="007E7F7B"/>
    <w:rsid w:val="007F086C"/>
    <w:rsid w:val="0080177E"/>
    <w:rsid w:val="00801ADF"/>
    <w:rsid w:val="00803DB0"/>
    <w:rsid w:val="00805A4D"/>
    <w:rsid w:val="00806E0C"/>
    <w:rsid w:val="00810F2A"/>
    <w:rsid w:val="00813667"/>
    <w:rsid w:val="008218B5"/>
    <w:rsid w:val="00832725"/>
    <w:rsid w:val="00836C42"/>
    <w:rsid w:val="00844520"/>
    <w:rsid w:val="00844F48"/>
    <w:rsid w:val="0085040D"/>
    <w:rsid w:val="00856C1E"/>
    <w:rsid w:val="008578C3"/>
    <w:rsid w:val="00861A69"/>
    <w:rsid w:val="00861E94"/>
    <w:rsid w:val="00864FB7"/>
    <w:rsid w:val="00871171"/>
    <w:rsid w:val="00876911"/>
    <w:rsid w:val="008904C7"/>
    <w:rsid w:val="00895922"/>
    <w:rsid w:val="00895936"/>
    <w:rsid w:val="008A2F3A"/>
    <w:rsid w:val="008B158A"/>
    <w:rsid w:val="008B69D4"/>
    <w:rsid w:val="008B70C4"/>
    <w:rsid w:val="008C2104"/>
    <w:rsid w:val="008C2422"/>
    <w:rsid w:val="008C7ADF"/>
    <w:rsid w:val="008D0750"/>
    <w:rsid w:val="008D2CE7"/>
    <w:rsid w:val="008E0EA3"/>
    <w:rsid w:val="008E2EAC"/>
    <w:rsid w:val="008E35BC"/>
    <w:rsid w:val="008E78A7"/>
    <w:rsid w:val="008F151E"/>
    <w:rsid w:val="008F7EAC"/>
    <w:rsid w:val="009017D9"/>
    <w:rsid w:val="00923E28"/>
    <w:rsid w:val="009253B8"/>
    <w:rsid w:val="00941500"/>
    <w:rsid w:val="00941E3A"/>
    <w:rsid w:val="00942CB1"/>
    <w:rsid w:val="00960FD6"/>
    <w:rsid w:val="00974293"/>
    <w:rsid w:val="00983C7E"/>
    <w:rsid w:val="00995CBE"/>
    <w:rsid w:val="00995E5D"/>
    <w:rsid w:val="0099739C"/>
    <w:rsid w:val="009B26EC"/>
    <w:rsid w:val="009D1F65"/>
    <w:rsid w:val="009D3EAA"/>
    <w:rsid w:val="009D5489"/>
    <w:rsid w:val="009D73A2"/>
    <w:rsid w:val="009E0832"/>
    <w:rsid w:val="009E3491"/>
    <w:rsid w:val="009E44DD"/>
    <w:rsid w:val="009F6852"/>
    <w:rsid w:val="00A00099"/>
    <w:rsid w:val="00A234D3"/>
    <w:rsid w:val="00A30B97"/>
    <w:rsid w:val="00A30BD1"/>
    <w:rsid w:val="00A30F17"/>
    <w:rsid w:val="00A335E7"/>
    <w:rsid w:val="00A41DC3"/>
    <w:rsid w:val="00A616A6"/>
    <w:rsid w:val="00A723E5"/>
    <w:rsid w:val="00A76490"/>
    <w:rsid w:val="00A86D9F"/>
    <w:rsid w:val="00A928FC"/>
    <w:rsid w:val="00AB23CB"/>
    <w:rsid w:val="00AB3BCA"/>
    <w:rsid w:val="00AC57BC"/>
    <w:rsid w:val="00AD6497"/>
    <w:rsid w:val="00AE2E2E"/>
    <w:rsid w:val="00AE6407"/>
    <w:rsid w:val="00AF1D0B"/>
    <w:rsid w:val="00AF1D3A"/>
    <w:rsid w:val="00AF1DD6"/>
    <w:rsid w:val="00AF58B3"/>
    <w:rsid w:val="00AF732D"/>
    <w:rsid w:val="00B024D8"/>
    <w:rsid w:val="00B1388D"/>
    <w:rsid w:val="00B20635"/>
    <w:rsid w:val="00B2186C"/>
    <w:rsid w:val="00B2557D"/>
    <w:rsid w:val="00B273F8"/>
    <w:rsid w:val="00B32570"/>
    <w:rsid w:val="00B33CF0"/>
    <w:rsid w:val="00B3433F"/>
    <w:rsid w:val="00B3482E"/>
    <w:rsid w:val="00B45BA3"/>
    <w:rsid w:val="00B4614C"/>
    <w:rsid w:val="00B60AE5"/>
    <w:rsid w:val="00B67E5C"/>
    <w:rsid w:val="00B766E2"/>
    <w:rsid w:val="00B841E8"/>
    <w:rsid w:val="00B86AAD"/>
    <w:rsid w:val="00B87AFE"/>
    <w:rsid w:val="00B91B3F"/>
    <w:rsid w:val="00B92933"/>
    <w:rsid w:val="00BA6D7A"/>
    <w:rsid w:val="00BB1B12"/>
    <w:rsid w:val="00BC149D"/>
    <w:rsid w:val="00BC250D"/>
    <w:rsid w:val="00BC2A60"/>
    <w:rsid w:val="00BD14A5"/>
    <w:rsid w:val="00BD25DF"/>
    <w:rsid w:val="00BD28C6"/>
    <w:rsid w:val="00BD2E9B"/>
    <w:rsid w:val="00BD434D"/>
    <w:rsid w:val="00BD589C"/>
    <w:rsid w:val="00BD694C"/>
    <w:rsid w:val="00BE0F92"/>
    <w:rsid w:val="00BF7EB9"/>
    <w:rsid w:val="00C044F1"/>
    <w:rsid w:val="00C111CD"/>
    <w:rsid w:val="00C16F4A"/>
    <w:rsid w:val="00C276CA"/>
    <w:rsid w:val="00C352E5"/>
    <w:rsid w:val="00C35E7A"/>
    <w:rsid w:val="00C43AF4"/>
    <w:rsid w:val="00C5007B"/>
    <w:rsid w:val="00C55C3B"/>
    <w:rsid w:val="00C83DEB"/>
    <w:rsid w:val="00C94836"/>
    <w:rsid w:val="00C94FA7"/>
    <w:rsid w:val="00CA4A73"/>
    <w:rsid w:val="00CB38B4"/>
    <w:rsid w:val="00CB7AD5"/>
    <w:rsid w:val="00CC3007"/>
    <w:rsid w:val="00CD6806"/>
    <w:rsid w:val="00CE62D9"/>
    <w:rsid w:val="00CE6A02"/>
    <w:rsid w:val="00D0062A"/>
    <w:rsid w:val="00D161E0"/>
    <w:rsid w:val="00D24E4A"/>
    <w:rsid w:val="00D272DD"/>
    <w:rsid w:val="00D33BD3"/>
    <w:rsid w:val="00D35541"/>
    <w:rsid w:val="00D420AC"/>
    <w:rsid w:val="00D51AA1"/>
    <w:rsid w:val="00D64E22"/>
    <w:rsid w:val="00D9006F"/>
    <w:rsid w:val="00D96A80"/>
    <w:rsid w:val="00DA6663"/>
    <w:rsid w:val="00DA6ECA"/>
    <w:rsid w:val="00DB3D44"/>
    <w:rsid w:val="00DC19F1"/>
    <w:rsid w:val="00DC3686"/>
    <w:rsid w:val="00DD3B2A"/>
    <w:rsid w:val="00DD5678"/>
    <w:rsid w:val="00DE5C7E"/>
    <w:rsid w:val="00DE7C33"/>
    <w:rsid w:val="00DF1CFE"/>
    <w:rsid w:val="00DF5B67"/>
    <w:rsid w:val="00DF77E4"/>
    <w:rsid w:val="00E02042"/>
    <w:rsid w:val="00E02587"/>
    <w:rsid w:val="00E069B5"/>
    <w:rsid w:val="00E10297"/>
    <w:rsid w:val="00E16067"/>
    <w:rsid w:val="00E24BF7"/>
    <w:rsid w:val="00E32260"/>
    <w:rsid w:val="00E42762"/>
    <w:rsid w:val="00E47E53"/>
    <w:rsid w:val="00E50FB1"/>
    <w:rsid w:val="00E513A5"/>
    <w:rsid w:val="00E5611F"/>
    <w:rsid w:val="00E63C0E"/>
    <w:rsid w:val="00E64013"/>
    <w:rsid w:val="00E74011"/>
    <w:rsid w:val="00E7772D"/>
    <w:rsid w:val="00E821CC"/>
    <w:rsid w:val="00E85E9B"/>
    <w:rsid w:val="00E927AF"/>
    <w:rsid w:val="00E9352F"/>
    <w:rsid w:val="00E96EFE"/>
    <w:rsid w:val="00EA0310"/>
    <w:rsid w:val="00EA65DE"/>
    <w:rsid w:val="00EB5564"/>
    <w:rsid w:val="00EB5A74"/>
    <w:rsid w:val="00EB790C"/>
    <w:rsid w:val="00EC1298"/>
    <w:rsid w:val="00EC4725"/>
    <w:rsid w:val="00EC4F92"/>
    <w:rsid w:val="00ED0527"/>
    <w:rsid w:val="00ED2F26"/>
    <w:rsid w:val="00ED7D7B"/>
    <w:rsid w:val="00EE6AFD"/>
    <w:rsid w:val="00EF29A3"/>
    <w:rsid w:val="00EF4BC9"/>
    <w:rsid w:val="00F078D5"/>
    <w:rsid w:val="00F1165C"/>
    <w:rsid w:val="00F14FC2"/>
    <w:rsid w:val="00F214D8"/>
    <w:rsid w:val="00F21C4B"/>
    <w:rsid w:val="00F21FED"/>
    <w:rsid w:val="00F477E8"/>
    <w:rsid w:val="00F533C9"/>
    <w:rsid w:val="00F722DB"/>
    <w:rsid w:val="00F76384"/>
    <w:rsid w:val="00F80C11"/>
    <w:rsid w:val="00F856FD"/>
    <w:rsid w:val="00F94E4D"/>
    <w:rsid w:val="00FA3293"/>
    <w:rsid w:val="00FD324D"/>
    <w:rsid w:val="00FD52DF"/>
    <w:rsid w:val="00FF09C7"/>
    <w:rsid w:val="00FF2546"/>
    <w:rsid w:val="00FF4927"/>
    <w:rsid w:val="00FF6825"/>
    <w:rsid w:val="062719EA"/>
    <w:rsid w:val="374C6730"/>
    <w:rsid w:val="379055AE"/>
    <w:rsid w:val="41862A96"/>
    <w:rsid w:val="45CAB6A8"/>
    <w:rsid w:val="5BC97F3E"/>
    <w:rsid w:val="672DC9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F1D45"/>
  <w15:chartTrackingRefBased/>
  <w15:docId w15:val="{182DB1D1-8018-487C-B924-E6361B9A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B0"/>
  </w:style>
  <w:style w:type="paragraph" w:styleId="Ttulo1">
    <w:name w:val="heading 1"/>
    <w:basedOn w:val="Normal"/>
    <w:link w:val="Ttulo1Car"/>
    <w:uiPriority w:val="9"/>
    <w:qFormat/>
    <w:rsid w:val="00832725"/>
    <w:pPr>
      <w:widowControl w:val="0"/>
      <w:autoSpaceDE w:val="0"/>
      <w:autoSpaceDN w:val="0"/>
      <w:spacing w:after="0" w:line="240" w:lineRule="auto"/>
      <w:jc w:val="right"/>
      <w:outlineLvl w:val="0"/>
    </w:pPr>
    <w:rPr>
      <w:rFonts w:ascii="Times New Roman" w:eastAsia="Times New Roman" w:hAnsi="Times New Roman" w:cs="Times New Roman"/>
      <w:sz w:val="46"/>
      <w:szCs w:val="46"/>
      <w:lang w:val="en-US"/>
    </w:rPr>
  </w:style>
  <w:style w:type="paragraph" w:styleId="Ttulo2">
    <w:name w:val="heading 2"/>
    <w:basedOn w:val="Normal"/>
    <w:link w:val="Ttulo2Car"/>
    <w:uiPriority w:val="9"/>
    <w:unhideWhenUsed/>
    <w:qFormat/>
    <w:rsid w:val="00832725"/>
    <w:pPr>
      <w:widowControl w:val="0"/>
      <w:autoSpaceDE w:val="0"/>
      <w:autoSpaceDN w:val="0"/>
      <w:spacing w:before="8" w:after="0" w:line="240" w:lineRule="auto"/>
      <w:outlineLvl w:val="1"/>
    </w:pPr>
    <w:rPr>
      <w:rFonts w:ascii="Times New Roman" w:eastAsia="Times New Roman" w:hAnsi="Times New Roman" w:cs="Times New Roman"/>
      <w:sz w:val="35"/>
      <w:szCs w:val="35"/>
      <w:lang w:val="en-US"/>
    </w:rPr>
  </w:style>
  <w:style w:type="paragraph" w:styleId="Ttulo3">
    <w:name w:val="heading 3"/>
    <w:basedOn w:val="Normal"/>
    <w:next w:val="Normal"/>
    <w:link w:val="Ttulo3Car"/>
    <w:uiPriority w:val="9"/>
    <w:qFormat/>
    <w:rsid w:val="00121A3E"/>
    <w:pPr>
      <w:keepNext/>
      <w:spacing w:after="0" w:line="360" w:lineRule="auto"/>
      <w:ind w:left="1416" w:firstLine="708"/>
      <w:jc w:val="both"/>
      <w:outlineLvl w:val="2"/>
    </w:pPr>
    <w:rPr>
      <w:rFonts w:ascii="Arial" w:eastAsia="Times New Roman" w:hAnsi="Arial" w:cs="Times New Roman"/>
      <w:sz w:val="28"/>
      <w:szCs w:val="20"/>
      <w:lang w:val="es-ES_tradnl" w:eastAsia="es-ES"/>
    </w:rPr>
  </w:style>
  <w:style w:type="paragraph" w:styleId="Ttulo4">
    <w:name w:val="heading 4"/>
    <w:basedOn w:val="Normal"/>
    <w:link w:val="Ttulo4Car"/>
    <w:uiPriority w:val="9"/>
    <w:unhideWhenUsed/>
    <w:qFormat/>
    <w:rsid w:val="00832725"/>
    <w:pPr>
      <w:widowControl w:val="0"/>
      <w:autoSpaceDE w:val="0"/>
      <w:autoSpaceDN w:val="0"/>
      <w:spacing w:after="0" w:line="240" w:lineRule="auto"/>
      <w:outlineLvl w:val="3"/>
    </w:pPr>
    <w:rPr>
      <w:rFonts w:ascii="Times New Roman" w:eastAsia="Times New Roman" w:hAnsi="Times New Roman" w:cs="Times New Roman"/>
      <w:sz w:val="28"/>
      <w:szCs w:val="28"/>
      <w:lang w:val="en-US"/>
    </w:rPr>
  </w:style>
  <w:style w:type="paragraph" w:styleId="Ttulo5">
    <w:name w:val="heading 5"/>
    <w:basedOn w:val="Normal"/>
    <w:link w:val="Ttulo5Car"/>
    <w:uiPriority w:val="9"/>
    <w:unhideWhenUsed/>
    <w:qFormat/>
    <w:rsid w:val="00832725"/>
    <w:pPr>
      <w:widowControl w:val="0"/>
      <w:autoSpaceDE w:val="0"/>
      <w:autoSpaceDN w:val="0"/>
      <w:spacing w:before="89" w:after="0" w:line="240" w:lineRule="auto"/>
      <w:outlineLvl w:val="4"/>
    </w:pPr>
    <w:rPr>
      <w:rFonts w:ascii="Times New Roman" w:eastAsia="Times New Roman" w:hAnsi="Times New Roman" w:cs="Times New Roman"/>
      <w:b/>
      <w:bCs/>
      <w:sz w:val="27"/>
      <w:szCs w:val="27"/>
      <w:lang w:val="en-US"/>
    </w:rPr>
  </w:style>
  <w:style w:type="paragraph" w:styleId="Ttulo6">
    <w:name w:val="heading 6"/>
    <w:basedOn w:val="Normal"/>
    <w:next w:val="Normal"/>
    <w:link w:val="Ttulo6Car"/>
    <w:uiPriority w:val="9"/>
    <w:unhideWhenUsed/>
    <w:qFormat/>
    <w:rsid w:val="008327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2725"/>
    <w:rPr>
      <w:rFonts w:ascii="Times New Roman" w:eastAsia="Times New Roman" w:hAnsi="Times New Roman" w:cs="Times New Roman"/>
      <w:sz w:val="46"/>
      <w:szCs w:val="46"/>
      <w:lang w:val="en-US"/>
    </w:rPr>
  </w:style>
  <w:style w:type="character" w:customStyle="1" w:styleId="Ttulo2Car">
    <w:name w:val="Título 2 Car"/>
    <w:basedOn w:val="Fuentedeprrafopredeter"/>
    <w:link w:val="Ttulo2"/>
    <w:uiPriority w:val="9"/>
    <w:rsid w:val="00832725"/>
    <w:rPr>
      <w:rFonts w:ascii="Times New Roman" w:eastAsia="Times New Roman" w:hAnsi="Times New Roman" w:cs="Times New Roman"/>
      <w:sz w:val="35"/>
      <w:szCs w:val="35"/>
      <w:lang w:val="en-US"/>
    </w:rPr>
  </w:style>
  <w:style w:type="character" w:customStyle="1" w:styleId="Ttulo3Car">
    <w:name w:val="Título 3 Car"/>
    <w:basedOn w:val="Fuentedeprrafopredeter"/>
    <w:link w:val="Ttulo3"/>
    <w:rsid w:val="00121A3E"/>
    <w:rPr>
      <w:rFonts w:ascii="Arial" w:eastAsia="Times New Roman" w:hAnsi="Arial" w:cs="Times New Roman"/>
      <w:sz w:val="28"/>
      <w:szCs w:val="20"/>
      <w:lang w:val="es-ES_tradnl" w:eastAsia="es-ES"/>
    </w:rPr>
  </w:style>
  <w:style w:type="character" w:customStyle="1" w:styleId="Ttulo4Car">
    <w:name w:val="Título 4 Car"/>
    <w:basedOn w:val="Fuentedeprrafopredeter"/>
    <w:link w:val="Ttulo4"/>
    <w:uiPriority w:val="9"/>
    <w:rsid w:val="00832725"/>
    <w:rPr>
      <w:rFonts w:ascii="Times New Roman" w:eastAsia="Times New Roman" w:hAnsi="Times New Roman" w:cs="Times New Roman"/>
      <w:sz w:val="28"/>
      <w:szCs w:val="28"/>
      <w:lang w:val="en-US"/>
    </w:rPr>
  </w:style>
  <w:style w:type="character" w:customStyle="1" w:styleId="Ttulo5Car">
    <w:name w:val="Título 5 Car"/>
    <w:basedOn w:val="Fuentedeprrafopredeter"/>
    <w:link w:val="Ttulo5"/>
    <w:uiPriority w:val="9"/>
    <w:rsid w:val="00832725"/>
    <w:rPr>
      <w:rFonts w:ascii="Times New Roman" w:eastAsia="Times New Roman" w:hAnsi="Times New Roman" w:cs="Times New Roman"/>
      <w:b/>
      <w:bCs/>
      <w:sz w:val="27"/>
      <w:szCs w:val="27"/>
      <w:lang w:val="en-US"/>
    </w:rPr>
  </w:style>
  <w:style w:type="character" w:customStyle="1" w:styleId="Ttulo6Car">
    <w:name w:val="Título 6 Car"/>
    <w:basedOn w:val="Fuentedeprrafopredeter"/>
    <w:link w:val="Ttulo6"/>
    <w:uiPriority w:val="9"/>
    <w:semiHidden/>
    <w:rsid w:val="00832725"/>
    <w:rPr>
      <w:rFonts w:asciiTheme="majorHAnsi" w:eastAsiaTheme="majorEastAsia" w:hAnsiTheme="majorHAnsi" w:cstheme="majorBidi"/>
      <w:color w:val="1F4D78" w:themeColor="accent1" w:themeShade="7F"/>
    </w:rPr>
  </w:style>
  <w:style w:type="paragraph" w:styleId="Prrafodelista">
    <w:name w:val="List Paragraph"/>
    <w:basedOn w:val="Normal"/>
    <w:link w:val="PrrafodelistaCar"/>
    <w:uiPriority w:val="1"/>
    <w:qFormat/>
    <w:rsid w:val="00803DB0"/>
    <w:pPr>
      <w:ind w:left="720"/>
      <w:contextualSpacing/>
    </w:pPr>
    <w:rPr>
      <w:lang w:val="es-ES"/>
    </w:rPr>
  </w:style>
  <w:style w:type="character" w:customStyle="1" w:styleId="PrrafodelistaCar">
    <w:name w:val="Párrafo de lista Car"/>
    <w:link w:val="Prrafodelista"/>
    <w:uiPriority w:val="34"/>
    <w:locked/>
    <w:rsid w:val="00ED2F26"/>
    <w:rPr>
      <w:lang w:val="es-ES"/>
    </w:rPr>
  </w:style>
  <w:style w:type="character" w:customStyle="1" w:styleId="normaltextrun">
    <w:name w:val="normaltextrun"/>
    <w:basedOn w:val="Fuentedeprrafopredeter"/>
    <w:rsid w:val="00803DB0"/>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2861A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2861A1"/>
    <w:rPr>
      <w:sz w:val="20"/>
      <w:szCs w:val="20"/>
    </w:rPr>
  </w:style>
  <w:style w:type="character" w:styleId="Refdenotaalpie">
    <w:name w:val="footnote reference"/>
    <w:aliases w:val="Texto de nota al pie,FC,Ref. de nota al pie 2,Pie de Página,Appel note de bas de page,Footnotes refss,Footnote number,referencia nota al pie,4_G,16 Point,Superscript 6 Point,Texto nota al pie,Texto de nota al pi,Pie de Pàgi"/>
    <w:basedOn w:val="Fuentedeprrafopredeter"/>
    <w:uiPriority w:val="99"/>
    <w:unhideWhenUsed/>
    <w:rsid w:val="002861A1"/>
    <w:rPr>
      <w:vertAlign w:val="superscript"/>
    </w:rPr>
  </w:style>
  <w:style w:type="paragraph" w:styleId="NormalWeb">
    <w:name w:val="Normal (Web)"/>
    <w:basedOn w:val="Normal"/>
    <w:uiPriority w:val="99"/>
    <w:unhideWhenUsed/>
    <w:rsid w:val="002861A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unhideWhenUsed/>
    <w:qFormat/>
    <w:rsid w:val="00121A3E"/>
    <w:pPr>
      <w:overflowPunct w:val="0"/>
      <w:autoSpaceDE w:val="0"/>
      <w:autoSpaceDN w:val="0"/>
      <w:adjustRightInd w:val="0"/>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rsid w:val="00121A3E"/>
    <w:rPr>
      <w:rFonts w:ascii="Times New Roman" w:eastAsia="Times New Roman" w:hAnsi="Times New Roman" w:cs="Times New Roman"/>
      <w:sz w:val="20"/>
      <w:szCs w:val="20"/>
      <w:lang w:val="es-ES_tradnl" w:eastAsia="es-ES"/>
    </w:rPr>
  </w:style>
  <w:style w:type="paragraph" w:customStyle="1" w:styleId="a">
    <w:basedOn w:val="Normal"/>
    <w:next w:val="Normal"/>
    <w:qFormat/>
    <w:rsid w:val="00121A3E"/>
    <w:pPr>
      <w:spacing w:after="0" w:line="240" w:lineRule="auto"/>
      <w:jc w:val="center"/>
    </w:pPr>
    <w:rPr>
      <w:rFonts w:ascii="ShelleyVolante BT" w:eastAsia="Times New Roman" w:hAnsi="ShelleyVolante BT" w:cs="Times New Roman"/>
      <w:b/>
      <w:bCs/>
      <w:sz w:val="28"/>
      <w:szCs w:val="24"/>
      <w:lang w:val="es-ES" w:eastAsia="es-ES"/>
    </w:rPr>
  </w:style>
  <w:style w:type="paragraph" w:styleId="Piedepgina">
    <w:name w:val="footer"/>
    <w:basedOn w:val="Normal"/>
    <w:link w:val="PiedepginaCar"/>
    <w:uiPriority w:val="99"/>
    <w:rsid w:val="00121A3E"/>
    <w:pPr>
      <w:tabs>
        <w:tab w:val="center" w:pos="4419"/>
        <w:tab w:val="right" w:pos="8838"/>
      </w:tabs>
      <w:spacing w:after="0" w:line="240" w:lineRule="auto"/>
    </w:pPr>
    <w:rPr>
      <w:rFonts w:ascii="Arial" w:eastAsia="Times New Roman" w:hAnsi="Arial" w:cs="Times New Roman"/>
      <w:sz w:val="26"/>
      <w:szCs w:val="20"/>
      <w:lang w:eastAsia="es-ES"/>
    </w:rPr>
  </w:style>
  <w:style w:type="character" w:customStyle="1" w:styleId="PiedepginaCar">
    <w:name w:val="Pie de página Car"/>
    <w:basedOn w:val="Fuentedeprrafopredeter"/>
    <w:link w:val="Piedepgina"/>
    <w:uiPriority w:val="99"/>
    <w:rsid w:val="00121A3E"/>
    <w:rPr>
      <w:rFonts w:ascii="Arial" w:eastAsia="Times New Roman" w:hAnsi="Arial" w:cs="Times New Roman"/>
      <w:sz w:val="26"/>
      <w:szCs w:val="20"/>
      <w:lang w:eastAsia="es-ES"/>
    </w:rPr>
  </w:style>
  <w:style w:type="character" w:styleId="Nmerodepgina">
    <w:name w:val="page number"/>
    <w:basedOn w:val="Fuentedeprrafopredeter"/>
    <w:rsid w:val="00121A3E"/>
  </w:style>
  <w:style w:type="paragraph" w:styleId="Encabezado">
    <w:name w:val="header"/>
    <w:basedOn w:val="Normal"/>
    <w:link w:val="EncabezadoCar"/>
    <w:uiPriority w:val="99"/>
    <w:unhideWhenUsed/>
    <w:rsid w:val="00121A3E"/>
    <w:pPr>
      <w:tabs>
        <w:tab w:val="center" w:pos="4419"/>
        <w:tab w:val="right" w:pos="8838"/>
      </w:tabs>
      <w:spacing w:after="0" w:line="240" w:lineRule="auto"/>
    </w:pPr>
    <w:rPr>
      <w:rFonts w:ascii="Arial" w:eastAsia="Times New Roman" w:hAnsi="Arial" w:cs="Times New Roman"/>
      <w:sz w:val="26"/>
      <w:szCs w:val="20"/>
      <w:lang w:eastAsia="es-ES"/>
    </w:rPr>
  </w:style>
  <w:style w:type="character" w:customStyle="1" w:styleId="EncabezadoCar">
    <w:name w:val="Encabezado Car"/>
    <w:basedOn w:val="Fuentedeprrafopredeter"/>
    <w:link w:val="Encabezado"/>
    <w:uiPriority w:val="99"/>
    <w:rsid w:val="00121A3E"/>
    <w:rPr>
      <w:rFonts w:ascii="Arial" w:eastAsia="Times New Roman" w:hAnsi="Arial" w:cs="Times New Roman"/>
      <w:sz w:val="26"/>
      <w:szCs w:val="20"/>
      <w:lang w:eastAsia="es-ES"/>
    </w:rPr>
  </w:style>
  <w:style w:type="paragraph" w:styleId="Sangradetextonormal">
    <w:name w:val="Body Text Indent"/>
    <w:basedOn w:val="Normal"/>
    <w:link w:val="SangradetextonormalCar"/>
    <w:uiPriority w:val="99"/>
    <w:unhideWhenUsed/>
    <w:rsid w:val="00121A3E"/>
    <w:pPr>
      <w:spacing w:after="120" w:line="240" w:lineRule="auto"/>
      <w:ind w:left="283"/>
    </w:pPr>
    <w:rPr>
      <w:rFonts w:ascii="Times New Roman" w:eastAsia="Calibri"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121A3E"/>
    <w:rPr>
      <w:rFonts w:ascii="Times New Roman" w:eastAsia="Calibri" w:hAnsi="Times New Roman" w:cs="Times New Roman"/>
      <w:sz w:val="20"/>
      <w:szCs w:val="20"/>
      <w:lang w:val="es-ES" w:eastAsia="es-ES"/>
    </w:rPr>
  </w:style>
  <w:style w:type="character" w:styleId="Refdecomentario">
    <w:name w:val="annotation reference"/>
    <w:uiPriority w:val="99"/>
    <w:semiHidden/>
    <w:unhideWhenUsed/>
    <w:rsid w:val="00121A3E"/>
    <w:rPr>
      <w:sz w:val="16"/>
      <w:szCs w:val="16"/>
    </w:rPr>
  </w:style>
  <w:style w:type="paragraph" w:styleId="Textocomentario">
    <w:name w:val="annotation text"/>
    <w:basedOn w:val="Normal"/>
    <w:link w:val="TextocomentarioCar"/>
    <w:uiPriority w:val="99"/>
    <w:semiHidden/>
    <w:unhideWhenUsed/>
    <w:rsid w:val="00121A3E"/>
    <w:pPr>
      <w:spacing w:after="0" w:line="240" w:lineRule="auto"/>
    </w:pPr>
    <w:rPr>
      <w:rFonts w:ascii="Times New Roman" w:eastAsia="Calibri"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121A3E"/>
    <w:rPr>
      <w:rFonts w:ascii="Times New Roman" w:eastAsia="Calibri" w:hAnsi="Times New Roman" w:cs="Times New Roman"/>
      <w:sz w:val="20"/>
      <w:szCs w:val="20"/>
      <w:lang w:val="es-ES" w:eastAsia="es-ES"/>
    </w:rPr>
  </w:style>
  <w:style w:type="paragraph" w:styleId="Sangra3detindependiente">
    <w:name w:val="Body Text Indent 3"/>
    <w:basedOn w:val="Normal"/>
    <w:link w:val="Sangra3detindependienteCar"/>
    <w:unhideWhenUsed/>
    <w:rsid w:val="00121A3E"/>
    <w:pPr>
      <w:spacing w:after="120" w:line="240" w:lineRule="auto"/>
      <w:ind w:left="283"/>
    </w:pPr>
    <w:rPr>
      <w:rFonts w:ascii="Times New Roman" w:eastAsia="Calibri"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21A3E"/>
    <w:rPr>
      <w:rFonts w:ascii="Times New Roman" w:eastAsia="Calibri" w:hAnsi="Times New Roman" w:cs="Times New Roman"/>
      <w:sz w:val="16"/>
      <w:szCs w:val="16"/>
      <w:lang w:val="es-ES" w:eastAsia="es-ES"/>
    </w:rPr>
  </w:style>
  <w:style w:type="paragraph" w:styleId="Subttulo">
    <w:name w:val="Subtitle"/>
    <w:basedOn w:val="Normal"/>
    <w:link w:val="SubttuloCar"/>
    <w:qFormat/>
    <w:rsid w:val="00121A3E"/>
    <w:pPr>
      <w:spacing w:after="0" w:line="360" w:lineRule="auto"/>
      <w:jc w:val="center"/>
    </w:pPr>
    <w:rPr>
      <w:rFonts w:ascii="Arial" w:eastAsia="Times New Roman" w:hAnsi="Arial" w:cs="Times New Roman"/>
      <w:b/>
      <w:sz w:val="32"/>
      <w:szCs w:val="20"/>
      <w:lang w:val="es-ES_tradnl" w:eastAsia="es-ES"/>
    </w:rPr>
  </w:style>
  <w:style w:type="character" w:customStyle="1" w:styleId="SubttuloCar">
    <w:name w:val="Subtítulo Car"/>
    <w:basedOn w:val="Fuentedeprrafopredeter"/>
    <w:link w:val="Subttulo"/>
    <w:rsid w:val="00121A3E"/>
    <w:rPr>
      <w:rFonts w:ascii="Arial" w:eastAsia="Times New Roman" w:hAnsi="Arial" w:cs="Times New Roman"/>
      <w:b/>
      <w:sz w:val="32"/>
      <w:szCs w:val="20"/>
      <w:lang w:val="es-ES_tradnl" w:eastAsia="es-ES"/>
    </w:rPr>
  </w:style>
  <w:style w:type="paragraph" w:styleId="Textoindependiente2">
    <w:name w:val="Body Text 2"/>
    <w:basedOn w:val="Normal"/>
    <w:link w:val="Textoindependiente2Car"/>
    <w:uiPriority w:val="99"/>
    <w:semiHidden/>
    <w:unhideWhenUsed/>
    <w:rsid w:val="00121A3E"/>
    <w:pPr>
      <w:spacing w:after="120" w:line="480" w:lineRule="auto"/>
    </w:pPr>
    <w:rPr>
      <w:rFonts w:ascii="Calibri" w:eastAsia="Calibri" w:hAnsi="Calibri" w:cs="Times New Roman"/>
      <w:lang w:eastAsia="es-CO"/>
    </w:rPr>
  </w:style>
  <w:style w:type="character" w:customStyle="1" w:styleId="Textoindependiente2Car">
    <w:name w:val="Texto independiente 2 Car"/>
    <w:basedOn w:val="Fuentedeprrafopredeter"/>
    <w:link w:val="Textoindependiente2"/>
    <w:uiPriority w:val="99"/>
    <w:semiHidden/>
    <w:rsid w:val="00121A3E"/>
    <w:rPr>
      <w:rFonts w:ascii="Calibri" w:eastAsia="Calibri" w:hAnsi="Calibri" w:cs="Times New Roman"/>
      <w:lang w:eastAsia="es-CO"/>
    </w:rPr>
  </w:style>
  <w:style w:type="character" w:styleId="Hipervnculo">
    <w:name w:val="Hyperlink"/>
    <w:uiPriority w:val="99"/>
    <w:unhideWhenUsed/>
    <w:rsid w:val="00121A3E"/>
    <w:rPr>
      <w:color w:val="0000FF"/>
      <w:u w:val="single"/>
    </w:rPr>
  </w:style>
  <w:style w:type="paragraph" w:styleId="Textodeglobo">
    <w:name w:val="Balloon Text"/>
    <w:basedOn w:val="Normal"/>
    <w:link w:val="TextodegloboCar"/>
    <w:uiPriority w:val="99"/>
    <w:semiHidden/>
    <w:unhideWhenUsed/>
    <w:rsid w:val="00121A3E"/>
    <w:pPr>
      <w:spacing w:after="0" w:line="240" w:lineRule="auto"/>
    </w:pPr>
    <w:rPr>
      <w:rFonts w:ascii="Segoe UI" w:eastAsia="Calibri"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121A3E"/>
    <w:rPr>
      <w:rFonts w:ascii="Segoe UI" w:eastAsia="Calibri"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E02587"/>
    <w:rPr>
      <w:color w:val="605E5C"/>
      <w:shd w:val="clear" w:color="auto" w:fill="E1DFDD"/>
    </w:rPr>
  </w:style>
  <w:style w:type="paragraph" w:styleId="Listaconnmeros">
    <w:name w:val="List Number"/>
    <w:basedOn w:val="Normal"/>
    <w:link w:val="ListaconnmerosCar"/>
    <w:uiPriority w:val="99"/>
    <w:unhideWhenUsed/>
    <w:rsid w:val="00BD14A5"/>
    <w:pPr>
      <w:widowControl w:val="0"/>
      <w:numPr>
        <w:numId w:val="16"/>
      </w:numPr>
      <w:spacing w:after="0" w:line="360" w:lineRule="auto"/>
      <w:contextualSpacing/>
      <w:jc w:val="both"/>
    </w:pPr>
    <w:rPr>
      <w:rFonts w:ascii="Bookman Old Style" w:eastAsia="Times New Roman" w:hAnsi="Bookman Old Style" w:cs="Times New Roman"/>
      <w:sz w:val="28"/>
      <w:szCs w:val="24"/>
      <w:lang w:val="es-ES" w:eastAsia="es-ES"/>
    </w:rPr>
  </w:style>
  <w:style w:type="character" w:customStyle="1" w:styleId="ListaconnmerosCar">
    <w:name w:val="Lista con números Car"/>
    <w:link w:val="Listaconnmeros"/>
    <w:uiPriority w:val="99"/>
    <w:rsid w:val="00BD14A5"/>
    <w:rPr>
      <w:rFonts w:ascii="Bookman Old Style" w:eastAsia="Times New Roman" w:hAnsi="Bookman Old Style" w:cs="Times New Roman"/>
      <w:sz w:val="28"/>
      <w:szCs w:val="24"/>
      <w:lang w:val="es-ES" w:eastAsia="es-ES"/>
    </w:rPr>
  </w:style>
  <w:style w:type="paragraph" w:customStyle="1" w:styleId="centrado">
    <w:name w:val="centrado"/>
    <w:basedOn w:val="Normal"/>
    <w:rsid w:val="00EC4F92"/>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indentfl1punto5">
    <w:name w:val="indent_fl_1punto5"/>
    <w:basedOn w:val="Normal"/>
    <w:rsid w:val="00EC4F92"/>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TableParagraph">
    <w:name w:val="Table Paragraph"/>
    <w:basedOn w:val="Normal"/>
    <w:uiPriority w:val="1"/>
    <w:qFormat/>
    <w:rsid w:val="00832725"/>
    <w:pPr>
      <w:widowControl w:val="0"/>
      <w:autoSpaceDE w:val="0"/>
      <w:autoSpaceDN w:val="0"/>
      <w:spacing w:after="0" w:line="240" w:lineRule="auto"/>
    </w:pPr>
    <w:rPr>
      <w:rFonts w:ascii="Arial" w:eastAsia="Arial" w:hAnsi="Arial" w:cs="Arial"/>
      <w:lang w:val="en-US"/>
    </w:rPr>
  </w:style>
  <w:style w:type="paragraph" w:styleId="Sinespaciado">
    <w:name w:val="No Spacing"/>
    <w:uiPriority w:val="1"/>
    <w:qFormat/>
    <w:rsid w:val="00832725"/>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90683">
      <w:bodyDiv w:val="1"/>
      <w:marLeft w:val="0"/>
      <w:marRight w:val="0"/>
      <w:marTop w:val="0"/>
      <w:marBottom w:val="0"/>
      <w:divBdr>
        <w:top w:val="none" w:sz="0" w:space="0" w:color="auto"/>
        <w:left w:val="none" w:sz="0" w:space="0" w:color="auto"/>
        <w:bottom w:val="none" w:sz="0" w:space="0" w:color="auto"/>
        <w:right w:val="none" w:sz="0" w:space="0" w:color="auto"/>
      </w:divBdr>
    </w:div>
    <w:div w:id="993417320">
      <w:bodyDiv w:val="1"/>
      <w:marLeft w:val="0"/>
      <w:marRight w:val="0"/>
      <w:marTop w:val="0"/>
      <w:marBottom w:val="0"/>
      <w:divBdr>
        <w:top w:val="none" w:sz="0" w:space="0" w:color="auto"/>
        <w:left w:val="none" w:sz="0" w:space="0" w:color="auto"/>
        <w:bottom w:val="none" w:sz="0" w:space="0" w:color="auto"/>
        <w:right w:val="none" w:sz="0" w:space="0" w:color="auto"/>
      </w:divBdr>
    </w:div>
    <w:div w:id="1279066230">
      <w:bodyDiv w:val="1"/>
      <w:marLeft w:val="0"/>
      <w:marRight w:val="0"/>
      <w:marTop w:val="0"/>
      <w:marBottom w:val="0"/>
      <w:divBdr>
        <w:top w:val="none" w:sz="0" w:space="0" w:color="auto"/>
        <w:left w:val="none" w:sz="0" w:space="0" w:color="auto"/>
        <w:bottom w:val="none" w:sz="0" w:space="0" w:color="auto"/>
        <w:right w:val="none" w:sz="0" w:space="0" w:color="auto"/>
      </w:divBdr>
    </w:div>
    <w:div w:id="20249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f6837de234e2452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469D-1F9A-43D9-A0E5-31F9315041C9}">
  <ds:schemaRefs>
    <ds:schemaRef ds:uri="http://schemas.microsoft.com/sharepoint/v3/contenttype/forms"/>
  </ds:schemaRefs>
</ds:datastoreItem>
</file>

<file path=customXml/itemProps2.xml><?xml version="1.0" encoding="utf-8"?>
<ds:datastoreItem xmlns:ds="http://schemas.openxmlformats.org/officeDocument/2006/customXml" ds:itemID="{A16EE1BC-C18A-4C3A-83CF-C9BC051D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F0B04-94CB-4603-A486-FDE11D5E57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FB081-4740-48DF-8B14-B0867083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7552</Words>
  <Characters>41537</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5</cp:revision>
  <dcterms:created xsi:type="dcterms:W3CDTF">2021-12-14T21:12:00Z</dcterms:created>
  <dcterms:modified xsi:type="dcterms:W3CDTF">2022-03-02T15:41:00Z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