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F24738" w14:textId="77777777" w:rsidR="003029EA" w:rsidRPr="003029EA" w:rsidRDefault="003029EA" w:rsidP="003029EA">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bookmarkStart w:id="0" w:name="_Hlk76320119"/>
      <w:r w:rsidRPr="003029EA">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25A32702" w14:textId="77777777" w:rsidR="003029EA" w:rsidRPr="003029EA" w:rsidRDefault="003029EA" w:rsidP="003029EA">
      <w:pPr>
        <w:jc w:val="both"/>
        <w:rPr>
          <w:rFonts w:ascii="Arial" w:hAnsi="Arial" w:cs="Arial"/>
          <w:lang w:val="es-419"/>
        </w:rPr>
      </w:pPr>
    </w:p>
    <w:p w14:paraId="6E9278F2" w14:textId="3A66A2BC" w:rsidR="003029EA" w:rsidRPr="003029EA" w:rsidRDefault="003029EA" w:rsidP="003029EA">
      <w:pPr>
        <w:jc w:val="both"/>
        <w:rPr>
          <w:rFonts w:ascii="Arial" w:hAnsi="Arial" w:cs="Arial"/>
          <w:lang w:val="es-419"/>
        </w:rPr>
      </w:pPr>
      <w:r w:rsidRPr="003029EA">
        <w:rPr>
          <w:rFonts w:ascii="Arial" w:hAnsi="Arial" w:cs="Arial"/>
          <w:lang w:val="es-419"/>
        </w:rPr>
        <w:t>Expediente</w:t>
      </w:r>
      <w:r>
        <w:rPr>
          <w:rFonts w:ascii="Arial" w:hAnsi="Arial" w:cs="Arial"/>
          <w:lang w:val="es-419"/>
        </w:rPr>
        <w:t>:</w:t>
      </w:r>
      <w:r>
        <w:rPr>
          <w:rFonts w:ascii="Arial" w:hAnsi="Arial" w:cs="Arial"/>
          <w:lang w:val="es-419"/>
        </w:rPr>
        <w:tab/>
      </w:r>
      <w:r w:rsidRPr="003029EA">
        <w:rPr>
          <w:rFonts w:ascii="Arial" w:hAnsi="Arial" w:cs="Arial"/>
          <w:lang w:val="es-419"/>
        </w:rPr>
        <w:t>66170310300120190020601</w:t>
      </w:r>
    </w:p>
    <w:p w14:paraId="0436C006" w14:textId="5D3EBC79" w:rsidR="003029EA" w:rsidRPr="003029EA" w:rsidRDefault="003029EA" w:rsidP="003029EA">
      <w:pPr>
        <w:jc w:val="both"/>
        <w:rPr>
          <w:rFonts w:ascii="Arial" w:hAnsi="Arial" w:cs="Arial"/>
          <w:lang w:val="es-419"/>
        </w:rPr>
      </w:pPr>
      <w:r w:rsidRPr="003029EA">
        <w:rPr>
          <w:rFonts w:ascii="Arial" w:hAnsi="Arial" w:cs="Arial"/>
          <w:lang w:val="es-419"/>
        </w:rPr>
        <w:t>Asunto:</w:t>
      </w:r>
      <w:r>
        <w:rPr>
          <w:rFonts w:ascii="Arial" w:hAnsi="Arial" w:cs="Arial"/>
          <w:lang w:val="es-419"/>
        </w:rPr>
        <w:tab/>
      </w:r>
      <w:r>
        <w:rPr>
          <w:rFonts w:ascii="Arial" w:hAnsi="Arial" w:cs="Arial"/>
          <w:lang w:val="es-419"/>
        </w:rPr>
        <w:tab/>
      </w:r>
      <w:r w:rsidRPr="003029EA">
        <w:rPr>
          <w:rFonts w:ascii="Arial" w:hAnsi="Arial" w:cs="Arial"/>
          <w:lang w:val="es-419"/>
        </w:rPr>
        <w:t>Regulación de honorarios</w:t>
      </w:r>
    </w:p>
    <w:p w14:paraId="43714D11" w14:textId="5CC16BFE" w:rsidR="003029EA" w:rsidRPr="003029EA" w:rsidRDefault="003029EA" w:rsidP="003029EA">
      <w:pPr>
        <w:jc w:val="both"/>
        <w:rPr>
          <w:rFonts w:ascii="Arial" w:hAnsi="Arial" w:cs="Arial"/>
          <w:lang w:val="es-419"/>
        </w:rPr>
      </w:pPr>
      <w:r w:rsidRPr="003029EA">
        <w:rPr>
          <w:rFonts w:ascii="Arial" w:hAnsi="Arial" w:cs="Arial"/>
          <w:lang w:val="es-419"/>
        </w:rPr>
        <w:t>Demandante:</w:t>
      </w:r>
      <w:r>
        <w:rPr>
          <w:rFonts w:ascii="Arial" w:hAnsi="Arial" w:cs="Arial"/>
          <w:lang w:val="es-419"/>
        </w:rPr>
        <w:tab/>
      </w:r>
      <w:r w:rsidRPr="003029EA">
        <w:rPr>
          <w:rFonts w:ascii="Arial" w:hAnsi="Arial" w:cs="Arial"/>
          <w:lang w:val="es-419"/>
        </w:rPr>
        <w:t>Gilberto Velásquez Cadavid</w:t>
      </w:r>
    </w:p>
    <w:p w14:paraId="7F1C2E59" w14:textId="00AF4922" w:rsidR="003029EA" w:rsidRPr="003029EA" w:rsidRDefault="003029EA" w:rsidP="003029EA">
      <w:pPr>
        <w:jc w:val="both"/>
        <w:rPr>
          <w:rFonts w:ascii="Arial" w:hAnsi="Arial" w:cs="Arial"/>
          <w:lang w:val="es-419"/>
        </w:rPr>
      </w:pPr>
      <w:r w:rsidRPr="003029EA">
        <w:rPr>
          <w:rFonts w:ascii="Arial" w:hAnsi="Arial" w:cs="Arial"/>
          <w:lang w:val="es-419"/>
        </w:rPr>
        <w:t>Demandado:</w:t>
      </w:r>
      <w:r>
        <w:rPr>
          <w:rFonts w:ascii="Arial" w:hAnsi="Arial" w:cs="Arial"/>
          <w:lang w:val="es-419"/>
        </w:rPr>
        <w:tab/>
      </w:r>
      <w:r w:rsidRPr="003029EA">
        <w:rPr>
          <w:rFonts w:ascii="Arial" w:hAnsi="Arial" w:cs="Arial"/>
          <w:lang w:val="es-419"/>
        </w:rPr>
        <w:t>Rodrigo Javier Villegas Correa y otro</w:t>
      </w:r>
    </w:p>
    <w:p w14:paraId="772AF621" w14:textId="77777777" w:rsidR="003029EA" w:rsidRPr="003029EA" w:rsidRDefault="003029EA" w:rsidP="003029EA">
      <w:pPr>
        <w:jc w:val="both"/>
        <w:rPr>
          <w:rFonts w:ascii="Arial" w:hAnsi="Arial" w:cs="Arial"/>
          <w:lang w:val="es-419"/>
        </w:rPr>
      </w:pPr>
    </w:p>
    <w:p w14:paraId="46313C1C" w14:textId="7B2CAEA6" w:rsidR="003029EA" w:rsidRPr="003029EA" w:rsidRDefault="00D20DCE" w:rsidP="003029EA">
      <w:pPr>
        <w:jc w:val="both"/>
        <w:rPr>
          <w:rFonts w:ascii="Arial" w:hAnsi="Arial" w:cs="Arial"/>
          <w:b/>
          <w:bCs/>
          <w:iCs/>
          <w:lang w:val="es-419" w:eastAsia="fr-FR"/>
        </w:rPr>
      </w:pPr>
      <w:r w:rsidRPr="003029EA">
        <w:rPr>
          <w:rFonts w:ascii="Arial" w:hAnsi="Arial" w:cs="Arial"/>
          <w:b/>
          <w:bCs/>
          <w:iCs/>
          <w:u w:val="single"/>
          <w:lang w:val="es-419" w:eastAsia="fr-FR"/>
        </w:rPr>
        <w:t>TEMAS:</w:t>
      </w:r>
      <w:r w:rsidRPr="003029EA">
        <w:rPr>
          <w:rFonts w:ascii="Arial" w:hAnsi="Arial" w:cs="Arial"/>
          <w:b/>
          <w:bCs/>
          <w:iCs/>
          <w:lang w:val="es-419" w:eastAsia="fr-FR"/>
        </w:rPr>
        <w:tab/>
      </w:r>
      <w:r>
        <w:rPr>
          <w:rFonts w:ascii="Arial" w:hAnsi="Arial" w:cs="Arial"/>
          <w:b/>
          <w:bCs/>
          <w:iCs/>
          <w:lang w:val="es-419" w:eastAsia="fr-FR"/>
        </w:rPr>
        <w:t>REGULACIÓN DE HONORARIOS / POR REVOCATORIA DEL PODER / OTORGADO POR APODERADO GENERAL DEL DEMANDANTE / REGLAS CUANDO NO HAY CONTRATO DE PRESTACIÓN DE SERVICIOS / SE APLICA ACUERDO DEL CONSEJO SUPERIOR DE LA JUDICATURA.</w:t>
      </w:r>
    </w:p>
    <w:p w14:paraId="69DBDC34" w14:textId="77777777" w:rsidR="003029EA" w:rsidRPr="003029EA" w:rsidRDefault="003029EA" w:rsidP="003029EA">
      <w:pPr>
        <w:jc w:val="both"/>
        <w:rPr>
          <w:rFonts w:ascii="Arial" w:hAnsi="Arial" w:cs="Arial"/>
          <w:lang w:val="es-419"/>
        </w:rPr>
      </w:pPr>
    </w:p>
    <w:p w14:paraId="329BB585" w14:textId="2A6E588D" w:rsidR="003029EA" w:rsidRPr="003029EA" w:rsidRDefault="002F66AE" w:rsidP="003029EA">
      <w:pPr>
        <w:jc w:val="both"/>
        <w:rPr>
          <w:rFonts w:ascii="Arial" w:hAnsi="Arial" w:cs="Arial"/>
          <w:lang w:val="es-419"/>
        </w:rPr>
      </w:pPr>
      <w:r w:rsidRPr="002F66AE">
        <w:rPr>
          <w:rFonts w:ascii="Arial" w:hAnsi="Arial" w:cs="Arial"/>
          <w:lang w:val="es-419"/>
        </w:rPr>
        <w:t>Establece el artículo 1505 del C. Civil, que lo que una persona ejecuta a nombre de otra, si está facultada por ella o por la ley para representarla, produce respecto del representado iguales efectos que si hubiese contratado él mismo. Lo cual guarda armonía, por supuesto, con el contrato de mandato que el mismo estatuto civil contempla como aquel por el cual una persona confía la gestión de uno o más negocios a otra, que se hace cargo de ellos por cuenta y riesgo del comitente</w:t>
      </w:r>
      <w:r>
        <w:rPr>
          <w:rFonts w:ascii="Arial" w:hAnsi="Arial" w:cs="Arial"/>
          <w:lang w:val="es-419"/>
        </w:rPr>
        <w:t>…</w:t>
      </w:r>
    </w:p>
    <w:p w14:paraId="1A8F881C" w14:textId="77777777" w:rsidR="003029EA" w:rsidRPr="003029EA" w:rsidRDefault="003029EA" w:rsidP="003029EA">
      <w:pPr>
        <w:jc w:val="both"/>
        <w:rPr>
          <w:rFonts w:ascii="Arial" w:hAnsi="Arial" w:cs="Arial"/>
          <w:lang w:val="es-419"/>
        </w:rPr>
      </w:pPr>
    </w:p>
    <w:p w14:paraId="0F655704" w14:textId="1570738F" w:rsidR="003029EA" w:rsidRPr="003029EA" w:rsidRDefault="008433A0" w:rsidP="003029EA">
      <w:pPr>
        <w:jc w:val="both"/>
        <w:rPr>
          <w:rFonts w:ascii="Arial" w:hAnsi="Arial" w:cs="Arial"/>
          <w:lang w:val="es-419"/>
        </w:rPr>
      </w:pPr>
      <w:r w:rsidRPr="008433A0">
        <w:rPr>
          <w:rFonts w:ascii="Arial" w:hAnsi="Arial" w:cs="Arial"/>
          <w:lang w:val="es-419"/>
        </w:rPr>
        <w:t xml:space="preserve">De estas reglas surge claro que una persona puede delegar en otra sus asuntos personales, con la facultad de obligarla como si fuera ella misma quien actuara. Y eso fue lo que ocurrió entre Gilberto Velásquez Cadavid y José </w:t>
      </w:r>
      <w:proofErr w:type="spellStart"/>
      <w:r w:rsidRPr="008433A0">
        <w:rPr>
          <w:rFonts w:ascii="Arial" w:hAnsi="Arial" w:cs="Arial"/>
          <w:lang w:val="es-419"/>
        </w:rPr>
        <w:t>Diver</w:t>
      </w:r>
      <w:proofErr w:type="spellEnd"/>
      <w:r w:rsidRPr="008433A0">
        <w:rPr>
          <w:rFonts w:ascii="Arial" w:hAnsi="Arial" w:cs="Arial"/>
          <w:lang w:val="es-419"/>
        </w:rPr>
        <w:t xml:space="preserve"> Carvajal Castro, si bien, mediante la escritura pública 1455 del 7 de julio de 2017</w:t>
      </w:r>
      <w:r>
        <w:rPr>
          <w:rFonts w:ascii="Arial" w:hAnsi="Arial" w:cs="Arial"/>
          <w:lang w:val="es-419"/>
        </w:rPr>
        <w:t>…,</w:t>
      </w:r>
      <w:r w:rsidRPr="008433A0">
        <w:rPr>
          <w:rFonts w:ascii="Arial" w:hAnsi="Arial" w:cs="Arial"/>
          <w:lang w:val="es-419"/>
        </w:rPr>
        <w:t xml:space="preserve"> aquel le otorgó poder general a este, para que</w:t>
      </w:r>
      <w:r>
        <w:rPr>
          <w:rFonts w:ascii="Arial" w:hAnsi="Arial" w:cs="Arial"/>
          <w:lang w:val="es-419"/>
        </w:rPr>
        <w:t xml:space="preserve">… </w:t>
      </w:r>
      <w:r w:rsidRPr="008433A0">
        <w:rPr>
          <w:rFonts w:ascii="Arial" w:hAnsi="Arial" w:cs="Arial"/>
          <w:lang w:val="es-419"/>
        </w:rPr>
        <w:t xml:space="preserve">lo representara mediante apoderado judicial en todos los aspectos relacionados con los predios de La </w:t>
      </w:r>
      <w:proofErr w:type="spellStart"/>
      <w:r w:rsidRPr="008433A0">
        <w:rPr>
          <w:rFonts w:ascii="Arial" w:hAnsi="Arial" w:cs="Arial"/>
          <w:lang w:val="es-419"/>
        </w:rPr>
        <w:t>Pastorita</w:t>
      </w:r>
      <w:proofErr w:type="spellEnd"/>
      <w:r>
        <w:rPr>
          <w:rFonts w:ascii="Arial" w:hAnsi="Arial" w:cs="Arial"/>
          <w:lang w:val="es-419"/>
        </w:rPr>
        <w:t>…</w:t>
      </w:r>
    </w:p>
    <w:p w14:paraId="3DC7FAD0" w14:textId="77777777" w:rsidR="003029EA" w:rsidRPr="003029EA" w:rsidRDefault="003029EA" w:rsidP="003029EA">
      <w:pPr>
        <w:jc w:val="both"/>
        <w:rPr>
          <w:rFonts w:ascii="Arial" w:hAnsi="Arial" w:cs="Arial"/>
          <w:lang w:val="es-419"/>
        </w:rPr>
      </w:pPr>
    </w:p>
    <w:p w14:paraId="3BEDC68B" w14:textId="4D4157D1" w:rsidR="003029EA" w:rsidRDefault="00D5020D" w:rsidP="003029EA">
      <w:pPr>
        <w:jc w:val="both"/>
        <w:rPr>
          <w:rFonts w:ascii="Arial" w:hAnsi="Arial" w:cs="Arial"/>
          <w:lang w:val="es-419"/>
        </w:rPr>
      </w:pPr>
      <w:r w:rsidRPr="00D5020D">
        <w:rPr>
          <w:rFonts w:ascii="Arial" w:hAnsi="Arial" w:cs="Arial"/>
          <w:lang w:val="es-419"/>
        </w:rPr>
        <w:t>Con soporte en ese documento</w:t>
      </w:r>
      <w:r>
        <w:rPr>
          <w:rFonts w:ascii="Arial" w:hAnsi="Arial" w:cs="Arial"/>
          <w:lang w:val="es-419"/>
        </w:rPr>
        <w:t>…</w:t>
      </w:r>
      <w:r w:rsidRPr="00D5020D">
        <w:rPr>
          <w:rFonts w:ascii="Arial" w:hAnsi="Arial" w:cs="Arial"/>
          <w:lang w:val="es-419"/>
        </w:rPr>
        <w:t xml:space="preserve"> José </w:t>
      </w:r>
      <w:proofErr w:type="spellStart"/>
      <w:r w:rsidRPr="00D5020D">
        <w:rPr>
          <w:rFonts w:ascii="Arial" w:hAnsi="Arial" w:cs="Arial"/>
          <w:lang w:val="es-419"/>
        </w:rPr>
        <w:t>Diver</w:t>
      </w:r>
      <w:proofErr w:type="spellEnd"/>
      <w:r w:rsidRPr="00D5020D">
        <w:rPr>
          <w:rFonts w:ascii="Arial" w:hAnsi="Arial" w:cs="Arial"/>
          <w:lang w:val="es-419"/>
        </w:rPr>
        <w:t xml:space="preserve"> Carvajal Castro, como apoderado general del demandante, le otorgó poder especial a la abogada</w:t>
      </w:r>
      <w:r>
        <w:rPr>
          <w:rFonts w:ascii="Arial" w:hAnsi="Arial" w:cs="Arial"/>
          <w:lang w:val="es-419"/>
        </w:rPr>
        <w:t>…</w:t>
      </w:r>
      <w:r w:rsidRPr="00D5020D">
        <w:rPr>
          <w:rFonts w:ascii="Arial" w:hAnsi="Arial" w:cs="Arial"/>
          <w:lang w:val="es-419"/>
        </w:rPr>
        <w:t xml:space="preserve"> para iniciar el proceso reivindicatorio contra Rodrigo Javier Villegas Correa y Sergio Alonso Valencia Jaramillo</w:t>
      </w:r>
      <w:r>
        <w:rPr>
          <w:rFonts w:ascii="Arial" w:hAnsi="Arial" w:cs="Arial"/>
          <w:lang w:val="es-419"/>
        </w:rPr>
        <w:t>…</w:t>
      </w:r>
      <w:r w:rsidRPr="00D5020D">
        <w:rPr>
          <w:rFonts w:ascii="Arial" w:hAnsi="Arial" w:cs="Arial"/>
          <w:lang w:val="es-419"/>
        </w:rPr>
        <w:t>, y esta, a su vez, presentó la demanda respectiva</w:t>
      </w:r>
      <w:r>
        <w:rPr>
          <w:rFonts w:ascii="Arial" w:hAnsi="Arial" w:cs="Arial"/>
          <w:lang w:val="es-419"/>
        </w:rPr>
        <w:t>…</w:t>
      </w:r>
      <w:r w:rsidRPr="00D5020D">
        <w:rPr>
          <w:rFonts w:ascii="Arial" w:hAnsi="Arial" w:cs="Arial"/>
          <w:lang w:val="es-419"/>
        </w:rPr>
        <w:t>, el 18 de noviembre de 2019, pero su labor se vio frustrada luego, ya que, con apenas haberse admitido el 28 de noviembre de ese año, el 4 de febrero de 2020 le fue revocado el poder</w:t>
      </w:r>
      <w:r>
        <w:rPr>
          <w:rFonts w:ascii="Arial" w:hAnsi="Arial" w:cs="Arial"/>
          <w:lang w:val="es-419"/>
        </w:rPr>
        <w:t>…</w:t>
      </w:r>
    </w:p>
    <w:p w14:paraId="708FC4F9" w14:textId="568477D8" w:rsidR="00D5020D" w:rsidRDefault="00D5020D" w:rsidP="003029EA">
      <w:pPr>
        <w:jc w:val="both"/>
        <w:rPr>
          <w:rFonts w:ascii="Arial" w:hAnsi="Arial" w:cs="Arial"/>
          <w:lang w:val="es-419"/>
        </w:rPr>
      </w:pPr>
    </w:p>
    <w:p w14:paraId="32F68F2F" w14:textId="33A05290" w:rsidR="00D5020D" w:rsidRPr="003029EA" w:rsidRDefault="00CF5101" w:rsidP="003029EA">
      <w:pPr>
        <w:jc w:val="both"/>
        <w:rPr>
          <w:rFonts w:ascii="Arial" w:hAnsi="Arial" w:cs="Arial"/>
          <w:lang w:val="es-419"/>
        </w:rPr>
      </w:pPr>
      <w:r w:rsidRPr="00CF5101">
        <w:rPr>
          <w:rFonts w:ascii="Arial" w:hAnsi="Arial" w:cs="Arial"/>
          <w:lang w:val="es-419"/>
        </w:rPr>
        <w:t>Es cierto, como dice el Juzgado, que tal regulación no puede estar atada al contrato de prestación de servicios que acompañó con su reclamación, porque el mismo trata del convenio que hubo entre Velásquez Cadavid y Carvajal Castro</w:t>
      </w:r>
      <w:r>
        <w:rPr>
          <w:rFonts w:ascii="Arial" w:hAnsi="Arial" w:cs="Arial"/>
          <w:lang w:val="es-419"/>
        </w:rPr>
        <w:t>…</w:t>
      </w:r>
    </w:p>
    <w:p w14:paraId="2BE69931" w14:textId="77777777" w:rsidR="003029EA" w:rsidRPr="003029EA" w:rsidRDefault="003029EA" w:rsidP="003029EA">
      <w:pPr>
        <w:jc w:val="both"/>
        <w:rPr>
          <w:rFonts w:ascii="Arial" w:hAnsi="Arial" w:cs="Arial"/>
        </w:rPr>
      </w:pPr>
    </w:p>
    <w:p w14:paraId="488FA658" w14:textId="2A960103" w:rsidR="003029EA" w:rsidRDefault="00CF5101" w:rsidP="003029EA">
      <w:pPr>
        <w:jc w:val="both"/>
        <w:rPr>
          <w:rFonts w:ascii="Arial" w:hAnsi="Arial" w:cs="Arial"/>
        </w:rPr>
      </w:pPr>
      <w:r w:rsidRPr="00CF5101">
        <w:rPr>
          <w:rFonts w:ascii="Arial" w:hAnsi="Arial" w:cs="Arial"/>
        </w:rPr>
        <w:t>No obstante ello, disiente la Sala de su conclusión final acerca de que, entonces, la abogada que representa los intereses de Velásquez Cadavid, no tiene derecho a que se regulen sus honorarios.</w:t>
      </w:r>
      <w:r>
        <w:rPr>
          <w:rFonts w:ascii="Arial" w:hAnsi="Arial" w:cs="Arial"/>
        </w:rPr>
        <w:t xml:space="preserve"> (…)</w:t>
      </w:r>
    </w:p>
    <w:p w14:paraId="086D08CC" w14:textId="59F741E4" w:rsidR="00CF5101" w:rsidRDefault="00CF5101" w:rsidP="003029EA">
      <w:pPr>
        <w:jc w:val="both"/>
        <w:rPr>
          <w:rFonts w:ascii="Arial" w:hAnsi="Arial" w:cs="Arial"/>
        </w:rPr>
      </w:pPr>
    </w:p>
    <w:p w14:paraId="4B5A2006" w14:textId="54724A35" w:rsidR="00A55DF8" w:rsidRPr="00A55DF8" w:rsidRDefault="00A55DF8" w:rsidP="00A55DF8">
      <w:pPr>
        <w:jc w:val="both"/>
        <w:rPr>
          <w:rFonts w:ascii="Arial" w:hAnsi="Arial" w:cs="Arial"/>
        </w:rPr>
      </w:pPr>
      <w:r>
        <w:rPr>
          <w:rFonts w:ascii="Arial" w:hAnsi="Arial" w:cs="Arial"/>
        </w:rPr>
        <w:t xml:space="preserve">… </w:t>
      </w:r>
      <w:r w:rsidRPr="00A55DF8">
        <w:rPr>
          <w:rFonts w:ascii="Arial" w:hAnsi="Arial" w:cs="Arial"/>
        </w:rPr>
        <w:t xml:space="preserve">la cuestión es, a cuánto asciende ese reconocimiento. Evidentemente, si no hubo con ella un pacto expreso sobre el monto de sus honorarios, ni con el apoderado general, ni con el poderdante original, esto es, el señor Velásquez Cadavid, es imposible acudir a la regulación del artículo 76 del CGP, que dice que para su determinación se tendrá en cuenta el respectivo contrato y los criterios señalados en el código para la fijación de agencias en derecho. </w:t>
      </w:r>
    </w:p>
    <w:p w14:paraId="5B8B6F4D" w14:textId="77777777" w:rsidR="00A55DF8" w:rsidRPr="00A55DF8" w:rsidRDefault="00A55DF8" w:rsidP="00A55DF8">
      <w:pPr>
        <w:jc w:val="both"/>
        <w:rPr>
          <w:rFonts w:ascii="Arial" w:hAnsi="Arial" w:cs="Arial"/>
        </w:rPr>
      </w:pPr>
    </w:p>
    <w:p w14:paraId="7DA7A21D" w14:textId="007A7E55" w:rsidR="00CF5101" w:rsidRDefault="00A55DF8" w:rsidP="00A55DF8">
      <w:pPr>
        <w:jc w:val="both"/>
        <w:rPr>
          <w:rFonts w:ascii="Arial" w:hAnsi="Arial" w:cs="Arial"/>
        </w:rPr>
      </w:pPr>
      <w:r w:rsidRPr="00A55DF8">
        <w:rPr>
          <w:rFonts w:ascii="Arial" w:hAnsi="Arial" w:cs="Arial"/>
        </w:rPr>
        <w:t>Por tanto, lo que le queda a la Sala es fijar por su cuenta las agencias en derecho respectivas; y para ello, habrá de escudriñar en el artículo 365 del mismo estatuto, que prevé que, con tal fin “… deberán aplicarse las tarifas que establezca el Consejo Superior de la Judicatura</w:t>
      </w:r>
      <w:r>
        <w:rPr>
          <w:rFonts w:ascii="Arial" w:hAnsi="Arial" w:cs="Arial"/>
        </w:rPr>
        <w:t>…</w:t>
      </w:r>
    </w:p>
    <w:p w14:paraId="4C09367B" w14:textId="77777777" w:rsidR="00CF5101" w:rsidRPr="003029EA" w:rsidRDefault="00CF5101" w:rsidP="003029EA">
      <w:pPr>
        <w:jc w:val="both"/>
        <w:rPr>
          <w:rFonts w:ascii="Arial" w:hAnsi="Arial" w:cs="Arial"/>
        </w:rPr>
      </w:pPr>
    </w:p>
    <w:p w14:paraId="49ED6AFD" w14:textId="77777777" w:rsidR="003029EA" w:rsidRPr="003029EA" w:rsidRDefault="003029EA" w:rsidP="003029EA">
      <w:pPr>
        <w:jc w:val="both"/>
        <w:rPr>
          <w:rFonts w:ascii="Arial" w:hAnsi="Arial" w:cs="Arial"/>
        </w:rPr>
      </w:pPr>
    </w:p>
    <w:bookmarkEnd w:id="0"/>
    <w:p w14:paraId="342E50C4" w14:textId="77777777" w:rsidR="003029EA" w:rsidRPr="003029EA" w:rsidRDefault="003029EA" w:rsidP="003029EA">
      <w:pPr>
        <w:jc w:val="both"/>
        <w:rPr>
          <w:rFonts w:ascii="Arial" w:hAnsi="Arial" w:cs="Arial"/>
        </w:rPr>
      </w:pPr>
    </w:p>
    <w:p w14:paraId="71597F9F" w14:textId="77777777" w:rsidR="00EF764C" w:rsidRPr="003029EA" w:rsidRDefault="00931612" w:rsidP="003029EA">
      <w:pPr>
        <w:spacing w:line="276" w:lineRule="auto"/>
        <w:ind w:firstLine="1701"/>
        <w:jc w:val="both"/>
        <w:rPr>
          <w:rFonts w:ascii="Gadugi" w:hAnsi="Gadugi" w:cs="Courier New"/>
          <w:b/>
          <w:sz w:val="24"/>
          <w:szCs w:val="24"/>
          <w:lang w:val="es-MX"/>
        </w:rPr>
      </w:pPr>
      <w:r w:rsidRPr="003029EA">
        <w:rPr>
          <w:rFonts w:ascii="Gadugi" w:hAnsi="Gadugi" w:cs="Courier New"/>
          <w:b/>
          <w:sz w:val="24"/>
          <w:szCs w:val="24"/>
          <w:lang w:val="es-MX"/>
        </w:rPr>
        <w:t>TRIBUNAL SUPERIOR DEL DISTRITO JUDICIAL</w:t>
      </w:r>
    </w:p>
    <w:p w14:paraId="1181EC54" w14:textId="77777777" w:rsidR="00EF764C" w:rsidRPr="003029EA" w:rsidRDefault="00931612" w:rsidP="003029EA">
      <w:pPr>
        <w:spacing w:line="276" w:lineRule="auto"/>
        <w:ind w:firstLine="1701"/>
        <w:jc w:val="both"/>
        <w:rPr>
          <w:rFonts w:ascii="Gadugi" w:hAnsi="Gadugi" w:cs="Courier New"/>
          <w:b/>
          <w:sz w:val="24"/>
          <w:szCs w:val="24"/>
          <w:lang w:val="es-MX"/>
        </w:rPr>
      </w:pPr>
      <w:r w:rsidRPr="003029EA">
        <w:rPr>
          <w:rFonts w:ascii="Gadugi" w:hAnsi="Gadugi" w:cs="Courier New"/>
          <w:b/>
          <w:sz w:val="24"/>
          <w:szCs w:val="24"/>
          <w:lang w:val="es-MX"/>
        </w:rPr>
        <w:t xml:space="preserve">         </w:t>
      </w:r>
      <w:r w:rsidR="00CD2543" w:rsidRPr="003029EA">
        <w:rPr>
          <w:rFonts w:ascii="Gadugi" w:hAnsi="Gadugi" w:cs="Courier New"/>
          <w:b/>
          <w:sz w:val="24"/>
          <w:szCs w:val="24"/>
          <w:lang w:val="es-MX"/>
        </w:rPr>
        <w:t xml:space="preserve"> </w:t>
      </w:r>
      <w:r w:rsidRPr="003029EA">
        <w:rPr>
          <w:rFonts w:ascii="Gadugi" w:hAnsi="Gadugi" w:cs="Courier New"/>
          <w:b/>
          <w:sz w:val="24"/>
          <w:szCs w:val="24"/>
          <w:lang w:val="es-MX"/>
        </w:rPr>
        <w:t>SALA DE DECISION CIVIL FAMILIA</w:t>
      </w:r>
    </w:p>
    <w:p w14:paraId="405405D8" w14:textId="77777777" w:rsidR="00EF764C" w:rsidRPr="003029EA" w:rsidRDefault="00EF764C" w:rsidP="003029EA">
      <w:pPr>
        <w:spacing w:line="276" w:lineRule="auto"/>
        <w:ind w:firstLine="1701"/>
        <w:jc w:val="both"/>
        <w:rPr>
          <w:rFonts w:ascii="Gadugi" w:hAnsi="Gadugi" w:cs="Courier New"/>
          <w:b/>
          <w:sz w:val="24"/>
          <w:szCs w:val="24"/>
          <w:lang w:val="es-MX"/>
        </w:rPr>
      </w:pPr>
    </w:p>
    <w:p w14:paraId="722EF385" w14:textId="4896CD50" w:rsidR="00EF764C" w:rsidRPr="003029EA" w:rsidRDefault="00931612" w:rsidP="003029EA">
      <w:pPr>
        <w:pStyle w:val="Sangradetextonormal"/>
        <w:spacing w:line="276" w:lineRule="auto"/>
        <w:ind w:firstLine="1701"/>
        <w:rPr>
          <w:rFonts w:ascii="Gadugi" w:hAnsi="Gadugi" w:cs="Courier New"/>
          <w:szCs w:val="24"/>
          <w:lang w:val="es-MX"/>
        </w:rPr>
      </w:pPr>
      <w:r w:rsidRPr="003029EA">
        <w:rPr>
          <w:rFonts w:ascii="Gadugi" w:hAnsi="Gadugi" w:cs="Courier New"/>
          <w:szCs w:val="24"/>
          <w:lang w:val="es-MX"/>
        </w:rPr>
        <w:t xml:space="preserve">Magistrado: </w:t>
      </w:r>
      <w:r w:rsidRPr="003029EA">
        <w:rPr>
          <w:rFonts w:ascii="Gadugi" w:hAnsi="Gadugi" w:cs="Courier New"/>
          <w:b/>
          <w:szCs w:val="24"/>
          <w:lang w:val="es-MX"/>
        </w:rPr>
        <w:t>Jaime Alberto Saraza Naranjo</w:t>
      </w:r>
    </w:p>
    <w:p w14:paraId="47169674" w14:textId="77777777" w:rsidR="003029EA" w:rsidRDefault="003029EA" w:rsidP="003029EA">
      <w:pPr>
        <w:spacing w:line="276" w:lineRule="auto"/>
        <w:ind w:firstLine="1701"/>
        <w:jc w:val="both"/>
        <w:rPr>
          <w:rFonts w:ascii="Gadugi" w:hAnsi="Gadugi" w:cs="Courier New"/>
          <w:sz w:val="24"/>
          <w:szCs w:val="24"/>
          <w:lang w:val="es-MX"/>
        </w:rPr>
      </w:pPr>
    </w:p>
    <w:p w14:paraId="0E41293C" w14:textId="234271DB" w:rsidR="00CD2543" w:rsidRPr="003029EA" w:rsidRDefault="00931612" w:rsidP="003029EA">
      <w:pPr>
        <w:spacing w:line="276" w:lineRule="auto"/>
        <w:ind w:firstLine="1701"/>
        <w:jc w:val="both"/>
        <w:rPr>
          <w:rFonts w:ascii="Gadugi" w:hAnsi="Gadugi" w:cs="Courier New"/>
          <w:sz w:val="24"/>
          <w:szCs w:val="24"/>
          <w:lang w:val="es-MX"/>
        </w:rPr>
      </w:pPr>
      <w:r w:rsidRPr="003029EA">
        <w:rPr>
          <w:rFonts w:ascii="Gadugi" w:hAnsi="Gadugi" w:cs="Courier New"/>
          <w:sz w:val="24"/>
          <w:szCs w:val="24"/>
          <w:lang w:val="es-MX"/>
        </w:rPr>
        <w:t xml:space="preserve">Pereira, </w:t>
      </w:r>
      <w:r w:rsidR="004E7024" w:rsidRPr="003029EA">
        <w:rPr>
          <w:rFonts w:ascii="Gadugi" w:hAnsi="Gadugi" w:cs="Courier New"/>
          <w:sz w:val="24"/>
          <w:szCs w:val="24"/>
          <w:lang w:val="es-MX"/>
        </w:rPr>
        <w:t xml:space="preserve">diciembre </w:t>
      </w:r>
      <w:r w:rsidR="00300B34" w:rsidRPr="003029EA">
        <w:rPr>
          <w:rFonts w:ascii="Gadugi" w:hAnsi="Gadugi" w:cs="Courier New"/>
          <w:sz w:val="24"/>
          <w:szCs w:val="24"/>
          <w:lang w:val="es-MX"/>
        </w:rPr>
        <w:t>catorce</w:t>
      </w:r>
      <w:r w:rsidR="004E7024" w:rsidRPr="003029EA">
        <w:rPr>
          <w:rFonts w:ascii="Gadugi" w:hAnsi="Gadugi" w:cs="Courier New"/>
          <w:sz w:val="24"/>
          <w:szCs w:val="24"/>
          <w:lang w:val="es-MX"/>
        </w:rPr>
        <w:t xml:space="preserve"> </w:t>
      </w:r>
      <w:r w:rsidR="00CD2543" w:rsidRPr="003029EA">
        <w:rPr>
          <w:rFonts w:ascii="Gadugi" w:hAnsi="Gadugi" w:cs="Courier New"/>
          <w:sz w:val="24"/>
          <w:szCs w:val="24"/>
          <w:lang w:val="es-MX"/>
        </w:rPr>
        <w:t>de dos mil veintiuno</w:t>
      </w:r>
    </w:p>
    <w:p w14:paraId="1A18FBA1" w14:textId="3C0B84C0" w:rsidR="00CD2543" w:rsidRPr="003029EA" w:rsidRDefault="00CD2543" w:rsidP="003029EA">
      <w:pPr>
        <w:spacing w:line="276" w:lineRule="auto"/>
        <w:ind w:firstLine="1701"/>
        <w:jc w:val="both"/>
        <w:rPr>
          <w:rFonts w:ascii="Gadugi" w:hAnsi="Gadugi" w:cs="Courier New"/>
          <w:sz w:val="24"/>
          <w:szCs w:val="24"/>
          <w:lang w:val="es-MX"/>
        </w:rPr>
      </w:pPr>
      <w:r w:rsidRPr="003029EA">
        <w:rPr>
          <w:rFonts w:ascii="Gadugi" w:hAnsi="Gadugi" w:cs="Courier New"/>
          <w:sz w:val="24"/>
          <w:szCs w:val="24"/>
          <w:lang w:val="es-MX"/>
        </w:rPr>
        <w:t xml:space="preserve">Auto N°. </w:t>
      </w:r>
      <w:r w:rsidR="00C538E4" w:rsidRPr="003029EA">
        <w:rPr>
          <w:rFonts w:ascii="Gadugi" w:hAnsi="Gadugi" w:cs="Courier New"/>
          <w:sz w:val="24"/>
          <w:szCs w:val="24"/>
          <w:lang w:val="es-MX"/>
        </w:rPr>
        <w:t>TSP.</w:t>
      </w:r>
      <w:r w:rsidR="000627EE">
        <w:rPr>
          <w:rFonts w:ascii="Gadugi" w:hAnsi="Gadugi" w:cs="Courier New"/>
          <w:sz w:val="24"/>
          <w:szCs w:val="24"/>
          <w:lang w:val="es-MX"/>
        </w:rPr>
        <w:t xml:space="preserve"> A</w:t>
      </w:r>
      <w:bookmarkStart w:id="1" w:name="_GoBack"/>
      <w:bookmarkEnd w:id="1"/>
      <w:r w:rsidR="00C538E4" w:rsidRPr="003029EA">
        <w:rPr>
          <w:rFonts w:ascii="Gadugi" w:hAnsi="Gadugi" w:cs="Courier New"/>
          <w:sz w:val="24"/>
          <w:szCs w:val="24"/>
          <w:lang w:val="es-MX"/>
        </w:rPr>
        <w:t>C-0164-2021</w:t>
      </w:r>
    </w:p>
    <w:p w14:paraId="4B7A1C37" w14:textId="77777777" w:rsidR="00EF764C" w:rsidRPr="003029EA" w:rsidRDefault="00EF764C" w:rsidP="003029EA">
      <w:pPr>
        <w:spacing w:line="276" w:lineRule="auto"/>
        <w:ind w:firstLine="1701"/>
        <w:jc w:val="both"/>
        <w:rPr>
          <w:rFonts w:ascii="Gadugi" w:hAnsi="Gadugi" w:cs="Courier New"/>
          <w:sz w:val="24"/>
          <w:szCs w:val="24"/>
          <w:lang w:val="es-MX"/>
        </w:rPr>
      </w:pPr>
    </w:p>
    <w:p w14:paraId="269943D2" w14:textId="77777777" w:rsidR="00EF764C" w:rsidRPr="003029EA" w:rsidRDefault="00EF764C" w:rsidP="003029EA">
      <w:pPr>
        <w:spacing w:line="276" w:lineRule="auto"/>
        <w:ind w:firstLine="1701"/>
        <w:jc w:val="both"/>
        <w:rPr>
          <w:rFonts w:ascii="Gadugi" w:hAnsi="Gadugi" w:cs="Courier New"/>
          <w:sz w:val="24"/>
          <w:szCs w:val="24"/>
          <w:lang w:val="es-MX"/>
        </w:rPr>
      </w:pPr>
    </w:p>
    <w:p w14:paraId="60CBA0F6" w14:textId="77777777" w:rsidR="00CD2543" w:rsidRPr="003029EA" w:rsidRDefault="00931612" w:rsidP="003029EA">
      <w:pPr>
        <w:pStyle w:val="Textoindependiente"/>
        <w:spacing w:line="276" w:lineRule="auto"/>
        <w:ind w:firstLine="1701"/>
        <w:rPr>
          <w:rFonts w:ascii="Gadugi" w:hAnsi="Gadugi"/>
          <w:szCs w:val="24"/>
        </w:rPr>
      </w:pPr>
      <w:r w:rsidRPr="003029EA">
        <w:rPr>
          <w:rFonts w:ascii="Gadugi" w:hAnsi="Gadugi"/>
          <w:szCs w:val="24"/>
        </w:rPr>
        <w:lastRenderedPageBreak/>
        <w:t xml:space="preserve">Resuelve la Sala el recurso de apelación que contra el auto del </w:t>
      </w:r>
      <w:r w:rsidR="00CD2543" w:rsidRPr="003029EA">
        <w:rPr>
          <w:rFonts w:ascii="Gadugi" w:hAnsi="Gadugi"/>
          <w:szCs w:val="24"/>
        </w:rPr>
        <w:t xml:space="preserve">24 de junio de 2021, </w:t>
      </w:r>
      <w:r w:rsidRPr="003029EA">
        <w:rPr>
          <w:rFonts w:ascii="Gadugi" w:hAnsi="Gadugi"/>
          <w:szCs w:val="24"/>
        </w:rPr>
        <w:t xml:space="preserve">proferido por el Juzgado </w:t>
      </w:r>
      <w:r w:rsidR="00CD2543" w:rsidRPr="003029EA">
        <w:rPr>
          <w:rFonts w:ascii="Gadugi" w:hAnsi="Gadugi"/>
          <w:szCs w:val="24"/>
        </w:rPr>
        <w:t xml:space="preserve">Civil del Circuito de Dosquebradas, en este proceso verbal reivindicatorio que </w:t>
      </w:r>
      <w:r w:rsidR="00CD2543" w:rsidRPr="003029EA">
        <w:rPr>
          <w:rFonts w:ascii="Gadugi" w:hAnsi="Gadugi"/>
          <w:b/>
          <w:szCs w:val="24"/>
        </w:rPr>
        <w:t>Gilberto Velásquez Cadavid</w:t>
      </w:r>
      <w:r w:rsidR="00CD2543" w:rsidRPr="003029EA">
        <w:rPr>
          <w:rFonts w:ascii="Gadugi" w:hAnsi="Gadugi"/>
          <w:szCs w:val="24"/>
        </w:rPr>
        <w:t xml:space="preserve"> le sigue a </w:t>
      </w:r>
      <w:r w:rsidR="00CD2543" w:rsidRPr="003029EA">
        <w:rPr>
          <w:rFonts w:ascii="Gadugi" w:hAnsi="Gadugi"/>
          <w:b/>
          <w:szCs w:val="24"/>
        </w:rPr>
        <w:t xml:space="preserve">Rodrigo Javier Villegas Correa </w:t>
      </w:r>
      <w:r w:rsidR="00CD2543" w:rsidRPr="003029EA">
        <w:rPr>
          <w:rFonts w:ascii="Gadugi" w:hAnsi="Gadugi"/>
          <w:szCs w:val="24"/>
        </w:rPr>
        <w:t>y</w:t>
      </w:r>
      <w:r w:rsidR="00CD2543" w:rsidRPr="003029EA">
        <w:rPr>
          <w:rFonts w:ascii="Gadugi" w:hAnsi="Gadugi"/>
          <w:b/>
          <w:szCs w:val="24"/>
        </w:rPr>
        <w:t xml:space="preserve"> Sergio Alonso Valencia Jaramillo</w:t>
      </w:r>
      <w:r w:rsidR="00CD2543" w:rsidRPr="003029EA">
        <w:rPr>
          <w:rFonts w:ascii="Gadugi" w:hAnsi="Gadugi"/>
          <w:szCs w:val="24"/>
        </w:rPr>
        <w:t xml:space="preserve">, dentro del trámite incidental de regulación de honorarios que promovió la abogada </w:t>
      </w:r>
      <w:r w:rsidR="00CD2543" w:rsidRPr="003029EA">
        <w:rPr>
          <w:rFonts w:ascii="Gadugi" w:hAnsi="Gadugi"/>
          <w:b/>
          <w:szCs w:val="24"/>
        </w:rPr>
        <w:t>Claudia Naranjo Salazar</w:t>
      </w:r>
      <w:r w:rsidR="00CD2543" w:rsidRPr="003029EA">
        <w:rPr>
          <w:rFonts w:ascii="Gadugi" w:hAnsi="Gadugi"/>
          <w:szCs w:val="24"/>
        </w:rPr>
        <w:t xml:space="preserve">. </w:t>
      </w:r>
    </w:p>
    <w:p w14:paraId="7EEAD6C1" w14:textId="77777777" w:rsidR="00CD2543" w:rsidRPr="003029EA" w:rsidRDefault="00CD2543" w:rsidP="003029EA">
      <w:pPr>
        <w:pStyle w:val="Textoindependiente"/>
        <w:spacing w:line="276" w:lineRule="auto"/>
        <w:ind w:firstLine="1701"/>
        <w:rPr>
          <w:rFonts w:ascii="Gadugi" w:hAnsi="Gadugi"/>
          <w:szCs w:val="24"/>
        </w:rPr>
      </w:pPr>
    </w:p>
    <w:p w14:paraId="123D9EB4" w14:textId="77777777" w:rsidR="00EF764C" w:rsidRPr="003029EA" w:rsidRDefault="00CD2543" w:rsidP="003029EA">
      <w:pPr>
        <w:pStyle w:val="Textoindependiente"/>
        <w:spacing w:line="276" w:lineRule="auto"/>
        <w:ind w:firstLine="1701"/>
        <w:rPr>
          <w:rFonts w:ascii="Gadugi" w:hAnsi="Gadugi"/>
          <w:b/>
          <w:bCs/>
          <w:szCs w:val="24"/>
        </w:rPr>
      </w:pPr>
      <w:r w:rsidRPr="003029EA">
        <w:rPr>
          <w:rFonts w:ascii="Gadugi" w:hAnsi="Gadugi"/>
          <w:szCs w:val="24"/>
        </w:rPr>
        <w:t xml:space="preserve"> </w:t>
      </w:r>
    </w:p>
    <w:p w14:paraId="60FE2B24" w14:textId="77777777" w:rsidR="00EF764C" w:rsidRPr="003029EA" w:rsidRDefault="00931612" w:rsidP="003029EA">
      <w:pPr>
        <w:pStyle w:val="Textoindependiente"/>
        <w:spacing w:line="276" w:lineRule="auto"/>
        <w:ind w:firstLine="1701"/>
        <w:rPr>
          <w:rFonts w:ascii="Gadugi" w:hAnsi="Gadugi"/>
          <w:b/>
          <w:bCs/>
          <w:szCs w:val="24"/>
        </w:rPr>
      </w:pPr>
      <w:r w:rsidRPr="003029EA">
        <w:rPr>
          <w:rFonts w:ascii="Gadugi" w:hAnsi="Gadugi"/>
          <w:b/>
          <w:bCs/>
          <w:szCs w:val="24"/>
        </w:rPr>
        <w:t>ANTECEDENTES</w:t>
      </w:r>
    </w:p>
    <w:p w14:paraId="11C9F66C" w14:textId="77777777" w:rsidR="00EF764C" w:rsidRPr="003029EA" w:rsidRDefault="00EF764C" w:rsidP="003029EA">
      <w:pPr>
        <w:pStyle w:val="Textoindependiente"/>
        <w:spacing w:line="276" w:lineRule="auto"/>
        <w:ind w:firstLine="1701"/>
        <w:rPr>
          <w:rFonts w:ascii="Gadugi" w:hAnsi="Gadugi"/>
          <w:szCs w:val="24"/>
        </w:rPr>
      </w:pPr>
    </w:p>
    <w:p w14:paraId="0BFF47C2" w14:textId="77777777" w:rsidR="00EF764C" w:rsidRPr="003029EA" w:rsidRDefault="00EF764C" w:rsidP="003029EA">
      <w:pPr>
        <w:pStyle w:val="Textoindependiente"/>
        <w:spacing w:line="276" w:lineRule="auto"/>
        <w:ind w:firstLine="1701"/>
        <w:rPr>
          <w:rFonts w:ascii="Gadugi" w:hAnsi="Gadugi"/>
          <w:szCs w:val="24"/>
        </w:rPr>
      </w:pPr>
    </w:p>
    <w:p w14:paraId="5B708BA2" w14:textId="5891CC81" w:rsidR="00995BA6" w:rsidRPr="003029EA" w:rsidRDefault="00CD2543" w:rsidP="003029EA">
      <w:pPr>
        <w:pStyle w:val="Textoindependiente"/>
        <w:spacing w:line="276" w:lineRule="auto"/>
        <w:ind w:firstLine="1701"/>
        <w:rPr>
          <w:rFonts w:ascii="Gadugi" w:hAnsi="Gadugi"/>
          <w:szCs w:val="24"/>
        </w:rPr>
      </w:pPr>
      <w:r w:rsidRPr="003029EA">
        <w:rPr>
          <w:rFonts w:ascii="Gadugi" w:hAnsi="Gadugi"/>
          <w:szCs w:val="24"/>
        </w:rPr>
        <w:t xml:space="preserve">En el referido proceso, </w:t>
      </w:r>
      <w:r w:rsidR="00995BA6" w:rsidRPr="003029EA">
        <w:rPr>
          <w:rFonts w:ascii="Gadugi" w:hAnsi="Gadugi"/>
          <w:szCs w:val="24"/>
        </w:rPr>
        <w:t xml:space="preserve">la abogada Claudia Naranjo Salazar, en uso del mandato que le confirió el señor José </w:t>
      </w:r>
      <w:proofErr w:type="spellStart"/>
      <w:r w:rsidR="00995BA6" w:rsidRPr="003029EA">
        <w:rPr>
          <w:rFonts w:ascii="Gadugi" w:hAnsi="Gadugi"/>
          <w:szCs w:val="24"/>
        </w:rPr>
        <w:t>Diver</w:t>
      </w:r>
      <w:proofErr w:type="spellEnd"/>
      <w:r w:rsidR="00995BA6" w:rsidRPr="003029EA">
        <w:rPr>
          <w:rFonts w:ascii="Gadugi" w:hAnsi="Gadugi"/>
          <w:szCs w:val="24"/>
        </w:rPr>
        <w:t xml:space="preserve"> Carvajal Castro, como apoderado a su vez de Gilberto Velásquez Cadavid, presentó demanda tendiente a la reivindicación de unos bienes, frente a los señores Rodrigo Javier Villegas Correa y Sergio Alonso Valencia Jaramillo, el 18 de noviembre de 2019</w:t>
      </w:r>
      <w:r w:rsidR="00F40628" w:rsidRPr="003029EA">
        <w:rPr>
          <w:rStyle w:val="Refdenotaalpie"/>
          <w:rFonts w:ascii="Gadugi" w:hAnsi="Gadugi"/>
          <w:szCs w:val="24"/>
        </w:rPr>
        <w:footnoteReference w:id="2"/>
      </w:r>
      <w:r w:rsidR="00995BA6" w:rsidRPr="003029EA">
        <w:rPr>
          <w:rFonts w:ascii="Gadugi" w:hAnsi="Gadugi"/>
          <w:szCs w:val="24"/>
        </w:rPr>
        <w:t xml:space="preserve">. </w:t>
      </w:r>
    </w:p>
    <w:p w14:paraId="07A99B80" w14:textId="77777777" w:rsidR="00995BA6" w:rsidRPr="003029EA" w:rsidRDefault="00995BA6" w:rsidP="003029EA">
      <w:pPr>
        <w:pStyle w:val="Textoindependiente"/>
        <w:spacing w:line="276" w:lineRule="auto"/>
        <w:ind w:firstLine="1701"/>
        <w:rPr>
          <w:rFonts w:ascii="Gadugi" w:hAnsi="Gadugi"/>
          <w:szCs w:val="24"/>
        </w:rPr>
      </w:pPr>
    </w:p>
    <w:p w14:paraId="10BF2238" w14:textId="61C05574" w:rsidR="00995BA6" w:rsidRPr="003029EA" w:rsidRDefault="00995BA6" w:rsidP="003029EA">
      <w:pPr>
        <w:pStyle w:val="Textoindependiente"/>
        <w:spacing w:line="276" w:lineRule="auto"/>
        <w:ind w:firstLine="1701"/>
        <w:rPr>
          <w:rFonts w:ascii="Gadugi" w:hAnsi="Gadugi"/>
          <w:szCs w:val="24"/>
        </w:rPr>
      </w:pPr>
      <w:r w:rsidRPr="003029EA">
        <w:rPr>
          <w:rFonts w:ascii="Gadugi" w:hAnsi="Gadugi"/>
          <w:szCs w:val="24"/>
        </w:rPr>
        <w:t>Con providencia del 22 de noviembre siguiente fue inadmitida</w:t>
      </w:r>
      <w:r w:rsidR="00D54BFB" w:rsidRPr="003029EA">
        <w:rPr>
          <w:rStyle w:val="Refdenotaalpie"/>
          <w:rFonts w:ascii="Gadugi" w:hAnsi="Gadugi"/>
          <w:szCs w:val="24"/>
        </w:rPr>
        <w:footnoteReference w:id="3"/>
      </w:r>
      <w:r w:rsidRPr="003029EA">
        <w:rPr>
          <w:rFonts w:ascii="Gadugi" w:hAnsi="Gadugi"/>
          <w:szCs w:val="24"/>
        </w:rPr>
        <w:t>; se corrigió</w:t>
      </w:r>
      <w:r w:rsidR="00CB5CDA" w:rsidRPr="003029EA">
        <w:rPr>
          <w:rStyle w:val="Refdenotaalpie"/>
          <w:rFonts w:ascii="Gadugi" w:hAnsi="Gadugi"/>
          <w:szCs w:val="24"/>
        </w:rPr>
        <w:footnoteReference w:id="4"/>
      </w:r>
      <w:r w:rsidRPr="003029EA">
        <w:rPr>
          <w:rFonts w:ascii="Gadugi" w:hAnsi="Gadugi"/>
          <w:szCs w:val="24"/>
        </w:rPr>
        <w:t xml:space="preserve"> el 25 de noviembre</w:t>
      </w:r>
      <w:r w:rsidR="00DF7233" w:rsidRPr="003029EA">
        <w:rPr>
          <w:rFonts w:ascii="Gadugi" w:hAnsi="Gadugi"/>
          <w:szCs w:val="24"/>
        </w:rPr>
        <w:t>,</w:t>
      </w:r>
      <w:r w:rsidRPr="003029EA">
        <w:rPr>
          <w:rFonts w:ascii="Gadugi" w:hAnsi="Gadugi"/>
          <w:szCs w:val="24"/>
        </w:rPr>
        <w:t xml:space="preserve"> y se admitió el 28 del mismo mes</w:t>
      </w:r>
      <w:r w:rsidR="00DF7233" w:rsidRPr="003029EA">
        <w:rPr>
          <w:rStyle w:val="Refdenotaalpie"/>
          <w:rFonts w:ascii="Gadugi" w:hAnsi="Gadugi"/>
          <w:szCs w:val="24"/>
        </w:rPr>
        <w:footnoteReference w:id="5"/>
      </w:r>
      <w:r w:rsidRPr="003029EA">
        <w:rPr>
          <w:rFonts w:ascii="Gadugi" w:hAnsi="Gadugi"/>
          <w:szCs w:val="24"/>
        </w:rPr>
        <w:t xml:space="preserve">. </w:t>
      </w:r>
    </w:p>
    <w:p w14:paraId="0F9071F9" w14:textId="77777777" w:rsidR="00995BA6" w:rsidRPr="003029EA" w:rsidRDefault="00995BA6" w:rsidP="003029EA">
      <w:pPr>
        <w:pStyle w:val="Textoindependiente"/>
        <w:spacing w:line="276" w:lineRule="auto"/>
        <w:ind w:firstLine="1701"/>
        <w:rPr>
          <w:rFonts w:ascii="Gadugi" w:hAnsi="Gadugi"/>
          <w:szCs w:val="24"/>
        </w:rPr>
      </w:pPr>
    </w:p>
    <w:p w14:paraId="337116B4" w14:textId="64858D0C" w:rsidR="00995BA6" w:rsidRPr="003029EA" w:rsidRDefault="00995BA6" w:rsidP="003029EA">
      <w:pPr>
        <w:pStyle w:val="Textoindependiente"/>
        <w:spacing w:line="276" w:lineRule="auto"/>
        <w:ind w:firstLine="1701"/>
        <w:rPr>
          <w:rFonts w:ascii="Gadugi" w:hAnsi="Gadugi"/>
          <w:szCs w:val="24"/>
        </w:rPr>
      </w:pPr>
      <w:r w:rsidRPr="003029EA">
        <w:rPr>
          <w:rFonts w:ascii="Gadugi" w:hAnsi="Gadugi"/>
          <w:szCs w:val="24"/>
        </w:rPr>
        <w:t>El 4 de febrero de 2020, sin que se avanzara en ningún trámite adicional, el demandante le otorgó poder a un profesional diferente</w:t>
      </w:r>
      <w:r w:rsidR="006D0C6E" w:rsidRPr="003029EA">
        <w:rPr>
          <w:rStyle w:val="Refdenotaalpie"/>
          <w:rFonts w:ascii="Gadugi" w:hAnsi="Gadugi"/>
          <w:szCs w:val="24"/>
        </w:rPr>
        <w:footnoteReference w:id="6"/>
      </w:r>
      <w:r w:rsidRPr="003029EA">
        <w:rPr>
          <w:rFonts w:ascii="Gadugi" w:hAnsi="Gadugi"/>
          <w:szCs w:val="24"/>
        </w:rPr>
        <w:t>; así que el juzgado, con proveído del 12 de febrero, le reconoció personería y tuvo por revocado el poder que se le otorgó a la abogada Naranjo Salazar</w:t>
      </w:r>
      <w:r w:rsidR="005664E1" w:rsidRPr="003029EA">
        <w:rPr>
          <w:rStyle w:val="Refdenotaalpie"/>
          <w:rFonts w:ascii="Gadugi" w:hAnsi="Gadugi"/>
          <w:szCs w:val="24"/>
        </w:rPr>
        <w:footnoteReference w:id="7"/>
      </w:r>
      <w:r w:rsidRPr="003029EA">
        <w:rPr>
          <w:rFonts w:ascii="Gadugi" w:hAnsi="Gadugi"/>
          <w:szCs w:val="24"/>
        </w:rPr>
        <w:t xml:space="preserve">. </w:t>
      </w:r>
    </w:p>
    <w:p w14:paraId="1480C88A" w14:textId="77777777" w:rsidR="00995BA6" w:rsidRPr="003029EA" w:rsidRDefault="00995BA6" w:rsidP="003029EA">
      <w:pPr>
        <w:pStyle w:val="Textoindependiente"/>
        <w:spacing w:line="276" w:lineRule="auto"/>
        <w:ind w:firstLine="1701"/>
        <w:rPr>
          <w:rFonts w:ascii="Gadugi" w:hAnsi="Gadugi"/>
          <w:szCs w:val="24"/>
        </w:rPr>
      </w:pPr>
    </w:p>
    <w:p w14:paraId="7232C1BB" w14:textId="1B55F6E5" w:rsidR="007147A5" w:rsidRPr="003029EA" w:rsidRDefault="00BF7EA9" w:rsidP="003029EA">
      <w:pPr>
        <w:pStyle w:val="Textoindependiente"/>
        <w:spacing w:line="276" w:lineRule="auto"/>
        <w:ind w:firstLine="1701"/>
        <w:rPr>
          <w:rFonts w:ascii="Gadugi" w:hAnsi="Gadugi"/>
          <w:szCs w:val="24"/>
        </w:rPr>
      </w:pPr>
      <w:r w:rsidRPr="003029EA">
        <w:rPr>
          <w:rFonts w:ascii="Gadugi" w:hAnsi="Gadugi"/>
          <w:szCs w:val="24"/>
        </w:rPr>
        <w:t>En reacción a ese proceder, la asesora judicial inicial pr</w:t>
      </w:r>
      <w:r w:rsidR="00684F10" w:rsidRPr="003029EA">
        <w:rPr>
          <w:rFonts w:ascii="Gadugi" w:hAnsi="Gadugi"/>
          <w:szCs w:val="24"/>
        </w:rPr>
        <w:t>omovió el incidente de regulación de honorarios</w:t>
      </w:r>
      <w:r w:rsidR="000F7A2C" w:rsidRPr="003029EA">
        <w:rPr>
          <w:rStyle w:val="Refdenotaalpie"/>
          <w:rFonts w:ascii="Gadugi" w:hAnsi="Gadugi"/>
          <w:szCs w:val="24"/>
        </w:rPr>
        <w:footnoteReference w:id="8"/>
      </w:r>
      <w:r w:rsidR="00684F10" w:rsidRPr="003029EA">
        <w:rPr>
          <w:rFonts w:ascii="Gadugi" w:hAnsi="Gadugi"/>
          <w:szCs w:val="24"/>
        </w:rPr>
        <w:t xml:space="preserve">, </w:t>
      </w:r>
      <w:r w:rsidR="00FB69D1" w:rsidRPr="003029EA">
        <w:rPr>
          <w:rFonts w:ascii="Gadugi" w:hAnsi="Gadugi"/>
          <w:szCs w:val="24"/>
        </w:rPr>
        <w:t xml:space="preserve">en el que </w:t>
      </w:r>
      <w:r w:rsidR="000E78F6" w:rsidRPr="003029EA">
        <w:rPr>
          <w:rFonts w:ascii="Gadugi" w:hAnsi="Gadugi"/>
          <w:szCs w:val="24"/>
        </w:rPr>
        <w:t>relató</w:t>
      </w:r>
      <w:r w:rsidR="00FB69D1" w:rsidRPr="003029EA">
        <w:rPr>
          <w:rFonts w:ascii="Gadugi" w:hAnsi="Gadugi"/>
          <w:szCs w:val="24"/>
        </w:rPr>
        <w:t xml:space="preserve"> </w:t>
      </w:r>
      <w:r w:rsidR="000104AA" w:rsidRPr="003029EA">
        <w:rPr>
          <w:rFonts w:ascii="Gadugi" w:hAnsi="Gadugi"/>
          <w:szCs w:val="24"/>
        </w:rPr>
        <w:t xml:space="preserve">(i) </w:t>
      </w:r>
      <w:r w:rsidR="00801105" w:rsidRPr="003029EA">
        <w:rPr>
          <w:rFonts w:ascii="Gadugi" w:hAnsi="Gadugi"/>
          <w:szCs w:val="24"/>
        </w:rPr>
        <w:t xml:space="preserve">que </w:t>
      </w:r>
      <w:r w:rsidR="00FB69D1" w:rsidRPr="003029EA">
        <w:rPr>
          <w:rFonts w:ascii="Gadugi" w:hAnsi="Gadugi"/>
          <w:szCs w:val="24"/>
        </w:rPr>
        <w:t>la demanda para la cual fue contratada</w:t>
      </w:r>
      <w:r w:rsidR="00920D9B" w:rsidRPr="003029EA">
        <w:rPr>
          <w:rFonts w:ascii="Gadugi" w:hAnsi="Gadugi"/>
          <w:szCs w:val="24"/>
        </w:rPr>
        <w:t xml:space="preserve">, </w:t>
      </w:r>
      <w:r w:rsidR="00801105" w:rsidRPr="003029EA">
        <w:rPr>
          <w:rFonts w:ascii="Gadugi" w:hAnsi="Gadugi"/>
          <w:szCs w:val="24"/>
        </w:rPr>
        <w:t xml:space="preserve">versaba sobre la </w:t>
      </w:r>
      <w:r w:rsidR="00920D9B" w:rsidRPr="003029EA">
        <w:rPr>
          <w:rFonts w:ascii="Gadugi" w:hAnsi="Gadugi"/>
          <w:szCs w:val="24"/>
        </w:rPr>
        <w:t>reivindica</w:t>
      </w:r>
      <w:r w:rsidR="00801105" w:rsidRPr="003029EA">
        <w:rPr>
          <w:rFonts w:ascii="Gadugi" w:hAnsi="Gadugi"/>
          <w:szCs w:val="24"/>
        </w:rPr>
        <w:t>ción</w:t>
      </w:r>
      <w:r w:rsidR="00920D9B" w:rsidRPr="003029EA">
        <w:rPr>
          <w:rFonts w:ascii="Gadugi" w:hAnsi="Gadugi"/>
          <w:szCs w:val="24"/>
        </w:rPr>
        <w:t xml:space="preserve"> </w:t>
      </w:r>
      <w:r w:rsidR="00801105" w:rsidRPr="003029EA">
        <w:rPr>
          <w:rFonts w:ascii="Gadugi" w:hAnsi="Gadugi"/>
          <w:szCs w:val="24"/>
        </w:rPr>
        <w:t>de</w:t>
      </w:r>
      <w:r w:rsidR="00920D9B" w:rsidRPr="003029EA">
        <w:rPr>
          <w:rFonts w:ascii="Gadugi" w:hAnsi="Gadugi"/>
          <w:szCs w:val="24"/>
        </w:rPr>
        <w:t xml:space="preserve"> unos inmuebles avaluados en </w:t>
      </w:r>
      <w:r w:rsidR="00797AF4" w:rsidRPr="003029EA">
        <w:rPr>
          <w:rFonts w:ascii="Gadugi" w:hAnsi="Gadugi"/>
          <w:szCs w:val="24"/>
        </w:rPr>
        <w:t>$203’067.000,</w:t>
      </w:r>
      <w:r w:rsidR="00492552">
        <w:rPr>
          <w:rFonts w:ascii="Gadugi" w:hAnsi="Gadugi"/>
          <w:szCs w:val="24"/>
        </w:rPr>
        <w:t>00</w:t>
      </w:r>
      <w:r w:rsidR="00797AF4" w:rsidRPr="003029EA">
        <w:rPr>
          <w:rFonts w:ascii="Gadugi" w:hAnsi="Gadugi"/>
          <w:szCs w:val="24"/>
        </w:rPr>
        <w:t xml:space="preserve"> y $242’751.000,</w:t>
      </w:r>
      <w:r w:rsidR="00492552">
        <w:rPr>
          <w:rFonts w:ascii="Gadugi" w:hAnsi="Gadugi"/>
          <w:szCs w:val="24"/>
        </w:rPr>
        <w:t>00</w:t>
      </w:r>
      <w:r w:rsidR="000104AA" w:rsidRPr="003029EA">
        <w:rPr>
          <w:rFonts w:ascii="Gadugi" w:hAnsi="Gadugi"/>
          <w:szCs w:val="24"/>
        </w:rPr>
        <w:t xml:space="preserve">; (ii) que Gilberto Velásquez Cadavid firmó contrato de prestación de servicios con José </w:t>
      </w:r>
      <w:proofErr w:type="spellStart"/>
      <w:r w:rsidR="000104AA" w:rsidRPr="003029EA">
        <w:rPr>
          <w:rFonts w:ascii="Gadugi" w:hAnsi="Gadugi"/>
          <w:szCs w:val="24"/>
        </w:rPr>
        <w:t>Diver</w:t>
      </w:r>
      <w:proofErr w:type="spellEnd"/>
      <w:r w:rsidR="000104AA" w:rsidRPr="003029EA">
        <w:rPr>
          <w:rFonts w:ascii="Gadugi" w:hAnsi="Gadugi"/>
          <w:szCs w:val="24"/>
        </w:rPr>
        <w:t xml:space="preserve"> Castro</w:t>
      </w:r>
      <w:r w:rsidR="00E44B26" w:rsidRPr="003029EA">
        <w:rPr>
          <w:rFonts w:ascii="Gadugi" w:hAnsi="Gadugi"/>
          <w:szCs w:val="24"/>
        </w:rPr>
        <w:t>, que acompañó, en el que pactaron honorarios equivalentes al 25% del valor de los inmuebles</w:t>
      </w:r>
      <w:r w:rsidR="001539FE" w:rsidRPr="003029EA">
        <w:rPr>
          <w:rFonts w:ascii="Gadugi" w:hAnsi="Gadugi"/>
          <w:szCs w:val="24"/>
        </w:rPr>
        <w:t>, es decir, la suma de $111’454.500,</w:t>
      </w:r>
      <w:r w:rsidR="00492552">
        <w:rPr>
          <w:rFonts w:ascii="Gadugi" w:hAnsi="Gadugi"/>
          <w:szCs w:val="24"/>
        </w:rPr>
        <w:t>00</w:t>
      </w:r>
      <w:r w:rsidR="001539FE" w:rsidRPr="003029EA">
        <w:rPr>
          <w:rFonts w:ascii="Gadugi" w:hAnsi="Gadugi"/>
          <w:szCs w:val="24"/>
        </w:rPr>
        <w:t xml:space="preserve">; </w:t>
      </w:r>
      <w:r w:rsidR="009401AD" w:rsidRPr="003029EA">
        <w:rPr>
          <w:rFonts w:ascii="Gadugi" w:hAnsi="Gadugi"/>
          <w:szCs w:val="24"/>
        </w:rPr>
        <w:t xml:space="preserve">y </w:t>
      </w:r>
      <w:r w:rsidR="001539FE" w:rsidRPr="003029EA">
        <w:rPr>
          <w:rFonts w:ascii="Gadugi" w:hAnsi="Gadugi"/>
          <w:szCs w:val="24"/>
        </w:rPr>
        <w:t xml:space="preserve">(iii) que José </w:t>
      </w:r>
      <w:proofErr w:type="spellStart"/>
      <w:r w:rsidR="001539FE" w:rsidRPr="003029EA">
        <w:rPr>
          <w:rFonts w:ascii="Gadugi" w:hAnsi="Gadugi"/>
          <w:szCs w:val="24"/>
        </w:rPr>
        <w:t>Diver</w:t>
      </w:r>
      <w:proofErr w:type="spellEnd"/>
      <w:r w:rsidR="001539FE" w:rsidRPr="003029EA">
        <w:rPr>
          <w:rFonts w:ascii="Gadugi" w:hAnsi="Gadugi"/>
          <w:szCs w:val="24"/>
        </w:rPr>
        <w:t xml:space="preserve"> Carvajal le otorgó poder para presentar la mentada demanda</w:t>
      </w:r>
      <w:r w:rsidR="003B0031" w:rsidRPr="003029EA">
        <w:rPr>
          <w:rFonts w:ascii="Gadugi" w:hAnsi="Gadugi"/>
          <w:szCs w:val="24"/>
        </w:rPr>
        <w:t>, lo que hizo, como antes se indicó, pero el poder le fue revocado</w:t>
      </w:r>
      <w:r w:rsidR="007147A5" w:rsidRPr="003029EA">
        <w:rPr>
          <w:rFonts w:ascii="Gadugi" w:hAnsi="Gadugi"/>
          <w:szCs w:val="24"/>
        </w:rPr>
        <w:t xml:space="preserve">. </w:t>
      </w:r>
    </w:p>
    <w:p w14:paraId="3092CEB5" w14:textId="77777777" w:rsidR="007147A5" w:rsidRPr="003029EA" w:rsidRDefault="007147A5" w:rsidP="003029EA">
      <w:pPr>
        <w:pStyle w:val="Textoindependiente"/>
        <w:spacing w:line="276" w:lineRule="auto"/>
        <w:ind w:firstLine="1701"/>
        <w:rPr>
          <w:rFonts w:ascii="Gadugi" w:hAnsi="Gadugi"/>
          <w:szCs w:val="24"/>
        </w:rPr>
      </w:pPr>
    </w:p>
    <w:p w14:paraId="2D71014A" w14:textId="08B5A23C" w:rsidR="00F00D51" w:rsidRPr="003029EA" w:rsidRDefault="007147A5" w:rsidP="003029EA">
      <w:pPr>
        <w:pStyle w:val="Textoindependiente"/>
        <w:spacing w:line="276" w:lineRule="auto"/>
        <w:ind w:firstLine="1701"/>
        <w:rPr>
          <w:rFonts w:ascii="Gadugi" w:hAnsi="Gadugi"/>
          <w:szCs w:val="24"/>
        </w:rPr>
      </w:pPr>
      <w:r w:rsidRPr="003029EA">
        <w:rPr>
          <w:rFonts w:ascii="Gadugi" w:hAnsi="Gadugi"/>
          <w:szCs w:val="24"/>
        </w:rPr>
        <w:lastRenderedPageBreak/>
        <w:t>Con fundamento en ello</w:t>
      </w:r>
      <w:r w:rsidR="009401AD" w:rsidRPr="003029EA">
        <w:rPr>
          <w:rFonts w:ascii="Gadugi" w:hAnsi="Gadugi"/>
          <w:szCs w:val="24"/>
        </w:rPr>
        <w:t>, pidió que se declarara</w:t>
      </w:r>
      <w:r w:rsidR="006A1B7E" w:rsidRPr="003029EA">
        <w:rPr>
          <w:rFonts w:ascii="Gadugi" w:hAnsi="Gadugi"/>
          <w:szCs w:val="24"/>
        </w:rPr>
        <w:t xml:space="preserve"> que entre ella y Gilberto Velásquez Cadavid hubo un contrato de prestación de servicios</w:t>
      </w:r>
      <w:r w:rsidR="00354A2C" w:rsidRPr="003029EA">
        <w:rPr>
          <w:rFonts w:ascii="Gadugi" w:hAnsi="Gadugi"/>
          <w:szCs w:val="24"/>
        </w:rPr>
        <w:t xml:space="preserve"> en el que se pactó el señalado 25% y al haberse revocado debe pagarse la suma pactada. </w:t>
      </w:r>
      <w:r w:rsidR="003B0031" w:rsidRPr="003029EA">
        <w:rPr>
          <w:rFonts w:ascii="Gadugi" w:hAnsi="Gadugi"/>
          <w:szCs w:val="24"/>
        </w:rPr>
        <w:t xml:space="preserve"> </w:t>
      </w:r>
    </w:p>
    <w:p w14:paraId="2B9A251C" w14:textId="77777777" w:rsidR="00995BA6" w:rsidRPr="003029EA" w:rsidRDefault="00995BA6" w:rsidP="003029EA">
      <w:pPr>
        <w:pStyle w:val="Textoindependiente"/>
        <w:spacing w:line="276" w:lineRule="auto"/>
        <w:ind w:firstLine="1701"/>
        <w:rPr>
          <w:rFonts w:ascii="Gadugi" w:hAnsi="Gadugi"/>
          <w:szCs w:val="24"/>
        </w:rPr>
      </w:pPr>
    </w:p>
    <w:p w14:paraId="538E67E1" w14:textId="2A9B2633" w:rsidR="00995BA6" w:rsidRPr="003029EA" w:rsidRDefault="00836EE8" w:rsidP="003029EA">
      <w:pPr>
        <w:pStyle w:val="Textoindependiente"/>
        <w:spacing w:line="276" w:lineRule="auto"/>
        <w:ind w:firstLine="1701"/>
        <w:rPr>
          <w:rFonts w:ascii="Gadugi" w:hAnsi="Gadugi"/>
          <w:szCs w:val="24"/>
        </w:rPr>
      </w:pPr>
      <w:r w:rsidRPr="003029EA">
        <w:rPr>
          <w:rFonts w:ascii="Gadugi" w:hAnsi="Gadugi"/>
          <w:szCs w:val="24"/>
        </w:rPr>
        <w:t>Se corrió traslado del incidente</w:t>
      </w:r>
      <w:r w:rsidR="003568D3" w:rsidRPr="003029EA">
        <w:rPr>
          <w:rStyle w:val="Refdenotaalpie"/>
          <w:rFonts w:ascii="Gadugi" w:hAnsi="Gadugi"/>
          <w:szCs w:val="24"/>
        </w:rPr>
        <w:footnoteReference w:id="9"/>
      </w:r>
      <w:r w:rsidRPr="003029EA">
        <w:rPr>
          <w:rFonts w:ascii="Gadugi" w:hAnsi="Gadugi"/>
          <w:szCs w:val="24"/>
        </w:rPr>
        <w:t xml:space="preserve"> y </w:t>
      </w:r>
      <w:r w:rsidR="00BC18DF" w:rsidRPr="003029EA">
        <w:rPr>
          <w:rFonts w:ascii="Gadugi" w:hAnsi="Gadugi"/>
          <w:szCs w:val="24"/>
        </w:rPr>
        <w:t>se pronunció el apoderado del demandante, quien interpuso recurso de reposición, porque estimó extemporánea la solicitud</w:t>
      </w:r>
      <w:r w:rsidR="008E7DBF" w:rsidRPr="003029EA">
        <w:rPr>
          <w:rStyle w:val="Refdenotaalpie"/>
          <w:rFonts w:ascii="Gadugi" w:hAnsi="Gadugi"/>
          <w:szCs w:val="24"/>
        </w:rPr>
        <w:footnoteReference w:id="10"/>
      </w:r>
      <w:r w:rsidR="00BC18DF" w:rsidRPr="003029EA">
        <w:rPr>
          <w:rFonts w:ascii="Gadugi" w:hAnsi="Gadugi"/>
          <w:szCs w:val="24"/>
        </w:rPr>
        <w:t xml:space="preserve">, </w:t>
      </w:r>
      <w:r w:rsidR="00491C9E" w:rsidRPr="003029EA">
        <w:rPr>
          <w:rFonts w:ascii="Gadugi" w:hAnsi="Gadugi"/>
          <w:szCs w:val="24"/>
        </w:rPr>
        <w:t>impugnación resuelta desfavorablemente</w:t>
      </w:r>
      <w:r w:rsidR="002A4090" w:rsidRPr="003029EA">
        <w:rPr>
          <w:rStyle w:val="Refdenotaalpie"/>
          <w:rFonts w:ascii="Gadugi" w:hAnsi="Gadugi"/>
          <w:szCs w:val="24"/>
        </w:rPr>
        <w:footnoteReference w:id="11"/>
      </w:r>
      <w:r w:rsidR="00F1732F" w:rsidRPr="003029EA">
        <w:rPr>
          <w:rFonts w:ascii="Gadugi" w:hAnsi="Gadugi"/>
          <w:szCs w:val="24"/>
        </w:rPr>
        <w:t xml:space="preserve">. Además, se pronunció el demandante sobre </w:t>
      </w:r>
      <w:r w:rsidR="00852827" w:rsidRPr="003029EA">
        <w:rPr>
          <w:rFonts w:ascii="Gadugi" w:hAnsi="Gadugi"/>
          <w:szCs w:val="24"/>
        </w:rPr>
        <w:t>el incidente</w:t>
      </w:r>
      <w:r w:rsidR="00852827" w:rsidRPr="003029EA">
        <w:rPr>
          <w:rStyle w:val="Refdenotaalpie"/>
          <w:rFonts w:ascii="Gadugi" w:hAnsi="Gadugi"/>
          <w:szCs w:val="24"/>
        </w:rPr>
        <w:footnoteReference w:id="12"/>
      </w:r>
      <w:r w:rsidR="00E6630F" w:rsidRPr="003029EA">
        <w:rPr>
          <w:rFonts w:ascii="Gadugi" w:hAnsi="Gadugi"/>
          <w:szCs w:val="24"/>
        </w:rPr>
        <w:t xml:space="preserve"> en el sentido de que es improcedente la regulación, porque </w:t>
      </w:r>
      <w:r w:rsidR="00E14489" w:rsidRPr="003029EA">
        <w:rPr>
          <w:rFonts w:ascii="Gadugi" w:hAnsi="Gadugi"/>
          <w:szCs w:val="24"/>
        </w:rPr>
        <w:t xml:space="preserve">(i) </w:t>
      </w:r>
      <w:r w:rsidR="00381B23" w:rsidRPr="003029EA">
        <w:rPr>
          <w:rFonts w:ascii="Gadugi" w:hAnsi="Gadugi"/>
          <w:szCs w:val="24"/>
        </w:rPr>
        <w:t>los avalúos tenidos en cuenta no corresponden a la realidad de lo que se plasmó en las demandas presentadas a su nombre,</w:t>
      </w:r>
      <w:r w:rsidR="00E14489" w:rsidRPr="003029EA">
        <w:rPr>
          <w:rFonts w:ascii="Gadugi" w:hAnsi="Gadugi"/>
          <w:szCs w:val="24"/>
        </w:rPr>
        <w:t xml:space="preserve"> (ii) </w:t>
      </w:r>
      <w:r w:rsidR="006D4E4D" w:rsidRPr="003029EA">
        <w:rPr>
          <w:rFonts w:ascii="Gadugi" w:hAnsi="Gadugi"/>
          <w:szCs w:val="24"/>
        </w:rPr>
        <w:t xml:space="preserve">los honorarios pactados con el señor José </w:t>
      </w:r>
      <w:proofErr w:type="spellStart"/>
      <w:r w:rsidR="006D4E4D" w:rsidRPr="003029EA">
        <w:rPr>
          <w:rFonts w:ascii="Gadugi" w:hAnsi="Gadugi"/>
          <w:szCs w:val="24"/>
        </w:rPr>
        <w:t>Diver</w:t>
      </w:r>
      <w:proofErr w:type="spellEnd"/>
      <w:r w:rsidR="006D4E4D" w:rsidRPr="003029EA">
        <w:rPr>
          <w:rFonts w:ascii="Gadugi" w:hAnsi="Gadugi"/>
          <w:szCs w:val="24"/>
        </w:rPr>
        <w:t xml:space="preserve"> Carvajal Castro</w:t>
      </w:r>
      <w:r w:rsidR="006F709D" w:rsidRPr="003029EA">
        <w:rPr>
          <w:rFonts w:ascii="Gadugi" w:hAnsi="Gadugi"/>
          <w:szCs w:val="24"/>
        </w:rPr>
        <w:t xml:space="preserve"> para el primer proceso de lanzamiento por ocupación de hecho, le fueron pagados en su totalidad, a pesar de que fue fallido</w:t>
      </w:r>
      <w:r w:rsidR="00DB03B5" w:rsidRPr="003029EA">
        <w:rPr>
          <w:rFonts w:ascii="Gadugi" w:hAnsi="Gadugi"/>
          <w:szCs w:val="24"/>
        </w:rPr>
        <w:t xml:space="preserve">, (iii) </w:t>
      </w:r>
      <w:r w:rsidR="008833F1" w:rsidRPr="003029EA">
        <w:rPr>
          <w:rFonts w:ascii="Gadugi" w:hAnsi="Gadugi"/>
          <w:szCs w:val="24"/>
        </w:rPr>
        <w:t xml:space="preserve">la gestión se limitó a la presentación de la demanda. </w:t>
      </w:r>
    </w:p>
    <w:p w14:paraId="1934123C" w14:textId="77777777" w:rsidR="00995BA6" w:rsidRPr="003029EA" w:rsidRDefault="00995BA6" w:rsidP="003029EA">
      <w:pPr>
        <w:pStyle w:val="Textoindependiente"/>
        <w:spacing w:line="276" w:lineRule="auto"/>
        <w:ind w:firstLine="1701"/>
        <w:rPr>
          <w:rFonts w:ascii="Gadugi" w:hAnsi="Gadugi"/>
          <w:szCs w:val="24"/>
        </w:rPr>
      </w:pPr>
    </w:p>
    <w:p w14:paraId="491C8B75" w14:textId="2B801F11" w:rsidR="00AA65FD" w:rsidRPr="003029EA" w:rsidRDefault="000C1503" w:rsidP="003029EA">
      <w:pPr>
        <w:pStyle w:val="Textoindependiente"/>
        <w:spacing w:line="276" w:lineRule="auto"/>
        <w:ind w:firstLine="1701"/>
        <w:rPr>
          <w:rFonts w:ascii="Gadugi" w:hAnsi="Gadugi"/>
          <w:szCs w:val="24"/>
        </w:rPr>
      </w:pPr>
      <w:r w:rsidRPr="003029EA">
        <w:rPr>
          <w:rFonts w:ascii="Gadugi" w:hAnsi="Gadugi"/>
          <w:szCs w:val="24"/>
        </w:rPr>
        <w:t>Surtido el trámite</w:t>
      </w:r>
      <w:r w:rsidR="00541BF7" w:rsidRPr="003029EA">
        <w:rPr>
          <w:rFonts w:ascii="Gadugi" w:hAnsi="Gadugi"/>
          <w:szCs w:val="24"/>
        </w:rPr>
        <w:t>, se definió el incidente</w:t>
      </w:r>
      <w:r w:rsidR="00541BF7" w:rsidRPr="003029EA">
        <w:rPr>
          <w:rStyle w:val="Refdenotaalpie"/>
          <w:rFonts w:ascii="Gadugi" w:hAnsi="Gadugi"/>
          <w:szCs w:val="24"/>
        </w:rPr>
        <w:footnoteReference w:id="13"/>
      </w:r>
      <w:r w:rsidR="00030626" w:rsidRPr="003029EA">
        <w:rPr>
          <w:rFonts w:ascii="Gadugi" w:hAnsi="Gadugi"/>
          <w:szCs w:val="24"/>
        </w:rPr>
        <w:t xml:space="preserve"> de manera desfavorable</w:t>
      </w:r>
      <w:r w:rsidR="00203EF5" w:rsidRPr="003029EA">
        <w:rPr>
          <w:rFonts w:ascii="Gadugi" w:hAnsi="Gadugi"/>
          <w:szCs w:val="24"/>
        </w:rPr>
        <w:t>. Dijo el Juzgado que</w:t>
      </w:r>
      <w:r w:rsidR="00853796" w:rsidRPr="003029EA">
        <w:rPr>
          <w:rFonts w:ascii="Gadugi" w:hAnsi="Gadugi"/>
          <w:szCs w:val="24"/>
        </w:rPr>
        <w:t xml:space="preserve"> (i) </w:t>
      </w:r>
      <w:r w:rsidR="00CB002B" w:rsidRPr="003029EA">
        <w:rPr>
          <w:rFonts w:ascii="Gadugi" w:hAnsi="Gadugi"/>
          <w:szCs w:val="24"/>
        </w:rPr>
        <w:t xml:space="preserve">Gilberto </w:t>
      </w:r>
      <w:r w:rsidR="005E25E8" w:rsidRPr="003029EA">
        <w:rPr>
          <w:rFonts w:ascii="Gadugi" w:hAnsi="Gadugi"/>
          <w:szCs w:val="24"/>
        </w:rPr>
        <w:t xml:space="preserve">Velásquez Cadavid le otorgó poder a José </w:t>
      </w:r>
      <w:proofErr w:type="spellStart"/>
      <w:r w:rsidR="005E25E8" w:rsidRPr="003029EA">
        <w:rPr>
          <w:rFonts w:ascii="Gadugi" w:hAnsi="Gadugi"/>
          <w:szCs w:val="24"/>
        </w:rPr>
        <w:t>Diver</w:t>
      </w:r>
      <w:proofErr w:type="spellEnd"/>
      <w:r w:rsidR="005E25E8" w:rsidRPr="003029EA">
        <w:rPr>
          <w:rFonts w:ascii="Gadugi" w:hAnsi="Gadugi"/>
          <w:szCs w:val="24"/>
        </w:rPr>
        <w:t xml:space="preserve"> Carvajal </w:t>
      </w:r>
      <w:r w:rsidR="00443E57" w:rsidRPr="003029EA">
        <w:rPr>
          <w:rFonts w:ascii="Gadugi" w:hAnsi="Gadugi"/>
          <w:szCs w:val="24"/>
        </w:rPr>
        <w:t>C</w:t>
      </w:r>
      <w:r w:rsidR="005E25E8" w:rsidRPr="003029EA">
        <w:rPr>
          <w:rFonts w:ascii="Gadugi" w:hAnsi="Gadugi"/>
          <w:szCs w:val="24"/>
        </w:rPr>
        <w:t>astro</w:t>
      </w:r>
      <w:r w:rsidR="00443E57" w:rsidRPr="003029EA">
        <w:rPr>
          <w:rFonts w:ascii="Gadugi" w:hAnsi="Gadugi"/>
          <w:szCs w:val="24"/>
        </w:rPr>
        <w:t>, para que, mediante apoderado, lo representara en varios</w:t>
      </w:r>
      <w:r w:rsidR="00930245" w:rsidRPr="003029EA">
        <w:rPr>
          <w:rFonts w:ascii="Gadugi" w:hAnsi="Gadugi"/>
          <w:szCs w:val="24"/>
        </w:rPr>
        <w:t xml:space="preserve"> procesos; (ii) celebraron un contrato de prestación de servicios con fundamento en ese poder general</w:t>
      </w:r>
      <w:r w:rsidR="00922180" w:rsidRPr="003029EA">
        <w:rPr>
          <w:rFonts w:ascii="Gadugi" w:hAnsi="Gadugi"/>
          <w:szCs w:val="24"/>
        </w:rPr>
        <w:t xml:space="preserve">; </w:t>
      </w:r>
      <w:r w:rsidR="00FA5D2D" w:rsidRPr="003029EA">
        <w:rPr>
          <w:rFonts w:ascii="Gadugi" w:hAnsi="Gadugi"/>
          <w:szCs w:val="24"/>
        </w:rPr>
        <w:t xml:space="preserve">(iii) se pactó un </w:t>
      </w:r>
      <w:r w:rsidR="003E43C1" w:rsidRPr="003029EA">
        <w:rPr>
          <w:rFonts w:ascii="Gadugi" w:hAnsi="Gadugi"/>
          <w:szCs w:val="24"/>
        </w:rPr>
        <w:t xml:space="preserve">porcentaje </w:t>
      </w:r>
      <w:r w:rsidR="00051E1F" w:rsidRPr="003029EA">
        <w:rPr>
          <w:rFonts w:ascii="Gadugi" w:hAnsi="Gadugi"/>
          <w:szCs w:val="24"/>
        </w:rPr>
        <w:t xml:space="preserve">del 25% sobre lo que se obtuviera de la Finca La </w:t>
      </w:r>
      <w:proofErr w:type="spellStart"/>
      <w:r w:rsidR="00051E1F" w:rsidRPr="003029EA">
        <w:rPr>
          <w:rFonts w:ascii="Gadugi" w:hAnsi="Gadugi"/>
          <w:szCs w:val="24"/>
        </w:rPr>
        <w:t>Pastorita</w:t>
      </w:r>
      <w:proofErr w:type="spellEnd"/>
      <w:r w:rsidR="00051E1F" w:rsidRPr="003029EA">
        <w:rPr>
          <w:rFonts w:ascii="Gadugi" w:hAnsi="Gadugi"/>
          <w:szCs w:val="24"/>
        </w:rPr>
        <w:t>, lotes 03 y 04</w:t>
      </w:r>
      <w:r w:rsidR="00677062" w:rsidRPr="003029EA">
        <w:rPr>
          <w:rFonts w:ascii="Gadugi" w:hAnsi="Gadugi"/>
          <w:szCs w:val="24"/>
        </w:rPr>
        <w:t>;</w:t>
      </w:r>
      <w:r w:rsidR="003E43C1" w:rsidRPr="003029EA">
        <w:rPr>
          <w:rFonts w:ascii="Gadugi" w:hAnsi="Gadugi"/>
          <w:szCs w:val="24"/>
        </w:rPr>
        <w:t xml:space="preserve"> (iv) </w:t>
      </w:r>
      <w:r w:rsidR="00A25FBB" w:rsidRPr="003029EA">
        <w:rPr>
          <w:rFonts w:ascii="Gadugi" w:hAnsi="Gadugi"/>
          <w:szCs w:val="24"/>
        </w:rPr>
        <w:t xml:space="preserve">José </w:t>
      </w:r>
      <w:proofErr w:type="spellStart"/>
      <w:r w:rsidR="00A25FBB" w:rsidRPr="003029EA">
        <w:rPr>
          <w:rFonts w:ascii="Gadugi" w:hAnsi="Gadugi"/>
          <w:szCs w:val="24"/>
        </w:rPr>
        <w:t>Diver</w:t>
      </w:r>
      <w:proofErr w:type="spellEnd"/>
      <w:r w:rsidR="00A25FBB" w:rsidRPr="003029EA">
        <w:rPr>
          <w:rFonts w:ascii="Gadugi" w:hAnsi="Gadugi"/>
          <w:szCs w:val="24"/>
        </w:rPr>
        <w:t xml:space="preserve"> Carvajal </w:t>
      </w:r>
      <w:r w:rsidR="00BD5CC8" w:rsidRPr="003029EA">
        <w:rPr>
          <w:rFonts w:ascii="Gadugi" w:hAnsi="Gadugi"/>
          <w:szCs w:val="24"/>
        </w:rPr>
        <w:t xml:space="preserve">recibió pagos de su contratante, es decir que </w:t>
      </w:r>
      <w:r w:rsidR="007C61D0" w:rsidRPr="003029EA">
        <w:rPr>
          <w:rFonts w:ascii="Gadugi" w:hAnsi="Gadugi"/>
          <w:szCs w:val="24"/>
        </w:rPr>
        <w:t>continuó con la actuación procesal en relación con los predios pretendidos en el actual proceso</w:t>
      </w:r>
      <w:r w:rsidR="00ED0CB2" w:rsidRPr="003029EA">
        <w:rPr>
          <w:rFonts w:ascii="Gadugi" w:hAnsi="Gadugi"/>
          <w:szCs w:val="24"/>
        </w:rPr>
        <w:t xml:space="preserve">, lo que indica que se le estaban suministrando los gastos para ello; (v) la reclamación de la </w:t>
      </w:r>
      <w:proofErr w:type="spellStart"/>
      <w:r w:rsidR="00ED0CB2" w:rsidRPr="003029EA">
        <w:rPr>
          <w:rFonts w:ascii="Gadugi" w:hAnsi="Gadugi"/>
          <w:szCs w:val="24"/>
        </w:rPr>
        <w:t>incidentista</w:t>
      </w:r>
      <w:proofErr w:type="spellEnd"/>
      <w:r w:rsidR="00ED0CB2" w:rsidRPr="003029EA">
        <w:rPr>
          <w:rFonts w:ascii="Gadugi" w:hAnsi="Gadugi"/>
          <w:szCs w:val="24"/>
        </w:rPr>
        <w:t xml:space="preserve"> se contrae a </w:t>
      </w:r>
      <w:r w:rsidR="005324DD" w:rsidRPr="003029EA">
        <w:rPr>
          <w:rFonts w:ascii="Gadugi" w:hAnsi="Gadugi"/>
          <w:szCs w:val="24"/>
        </w:rPr>
        <w:t xml:space="preserve">los predios que vinculan a las partes en la escritura </w:t>
      </w:r>
      <w:r w:rsidR="002D338A" w:rsidRPr="003029EA">
        <w:rPr>
          <w:rFonts w:ascii="Gadugi" w:hAnsi="Gadugi"/>
          <w:szCs w:val="24"/>
        </w:rPr>
        <w:t>1455 del 7 de julio de 2017</w:t>
      </w:r>
      <w:r w:rsidR="00185883" w:rsidRPr="003029EA">
        <w:rPr>
          <w:rFonts w:ascii="Gadugi" w:hAnsi="Gadugi"/>
          <w:szCs w:val="24"/>
        </w:rPr>
        <w:t xml:space="preserve">, </w:t>
      </w:r>
      <w:r w:rsidR="00E349C1" w:rsidRPr="003029EA">
        <w:rPr>
          <w:rFonts w:ascii="Gadugi" w:hAnsi="Gadugi"/>
          <w:szCs w:val="24"/>
        </w:rPr>
        <w:t xml:space="preserve">sobre los que inició </w:t>
      </w:r>
      <w:r w:rsidR="00253E1D" w:rsidRPr="003029EA">
        <w:rPr>
          <w:rFonts w:ascii="Gadugi" w:hAnsi="Gadugi"/>
          <w:szCs w:val="24"/>
        </w:rPr>
        <w:t xml:space="preserve">un proceso de lanzamiento por ocupación de hecho, que fracasó, y el de ahora, que </w:t>
      </w:r>
      <w:r w:rsidR="00AB2684" w:rsidRPr="003029EA">
        <w:rPr>
          <w:rFonts w:ascii="Gadugi" w:hAnsi="Gadugi"/>
          <w:szCs w:val="24"/>
        </w:rPr>
        <w:t>es un verbal reivindicatorio contra Rodrigo Javier Villegas Correa y Sergio Alonso Valencia Jaramillo</w:t>
      </w:r>
      <w:r w:rsidR="004E0F68" w:rsidRPr="003029EA">
        <w:rPr>
          <w:rFonts w:ascii="Gadugi" w:hAnsi="Gadugi"/>
          <w:szCs w:val="24"/>
        </w:rPr>
        <w:t xml:space="preserve">; (vi) en este caso no se encuentra una relación causal que obligue a Gilberto Velásquez frente a la abogada que reclama honorarios, </w:t>
      </w:r>
      <w:r w:rsidR="00075683" w:rsidRPr="003029EA">
        <w:rPr>
          <w:rFonts w:ascii="Gadugi" w:hAnsi="Gadugi"/>
          <w:szCs w:val="24"/>
        </w:rPr>
        <w:t xml:space="preserve">porque, </w:t>
      </w:r>
      <w:r w:rsidR="009E5C0F" w:rsidRPr="003029EA">
        <w:rPr>
          <w:rFonts w:ascii="Gadugi" w:hAnsi="Gadugi"/>
          <w:szCs w:val="24"/>
        </w:rPr>
        <w:t>“</w:t>
      </w:r>
      <w:r w:rsidR="009E5C0F" w:rsidRPr="00492552">
        <w:rPr>
          <w:rFonts w:ascii="Gadugi" w:hAnsi="Gadugi"/>
          <w:i/>
          <w:iCs/>
          <w:sz w:val="22"/>
          <w:szCs w:val="24"/>
        </w:rPr>
        <w:t xml:space="preserve">aunque </w:t>
      </w:r>
      <w:r w:rsidR="009C096B" w:rsidRPr="00492552">
        <w:rPr>
          <w:rFonts w:ascii="Gadugi" w:hAnsi="Gadugi"/>
          <w:i/>
          <w:iCs/>
          <w:sz w:val="22"/>
          <w:szCs w:val="24"/>
        </w:rPr>
        <w:t xml:space="preserve">se tenga como punto de partida </w:t>
      </w:r>
      <w:r w:rsidR="003D690F" w:rsidRPr="00492552">
        <w:rPr>
          <w:rFonts w:ascii="Gadugi" w:hAnsi="Gadugi"/>
          <w:i/>
          <w:iCs/>
          <w:sz w:val="22"/>
          <w:szCs w:val="24"/>
        </w:rPr>
        <w:t xml:space="preserve">la escritura pública de otorgamiento de poder “General” se está limitando a la </w:t>
      </w:r>
      <w:r w:rsidR="004C662C" w:rsidRPr="00492552">
        <w:rPr>
          <w:rFonts w:ascii="Gadugi" w:hAnsi="Gadugi"/>
          <w:i/>
          <w:iCs/>
          <w:sz w:val="22"/>
          <w:szCs w:val="24"/>
        </w:rPr>
        <w:t>gestión sobre los dos predios. En el contrato de prestación de servicios, el se</w:t>
      </w:r>
      <w:r w:rsidR="009E3E58" w:rsidRPr="00492552">
        <w:rPr>
          <w:rFonts w:ascii="Gadugi" w:hAnsi="Gadugi"/>
          <w:i/>
          <w:iCs/>
          <w:sz w:val="22"/>
          <w:szCs w:val="24"/>
        </w:rPr>
        <w:t>ñor</w:t>
      </w:r>
      <w:r w:rsidR="004C662C" w:rsidRPr="00492552">
        <w:rPr>
          <w:rFonts w:ascii="Gadugi" w:hAnsi="Gadugi"/>
          <w:i/>
          <w:iCs/>
          <w:sz w:val="22"/>
          <w:szCs w:val="24"/>
        </w:rPr>
        <w:t xml:space="preserve"> JOSÉ DIVER CARVAJAL se está atribuyendo </w:t>
      </w:r>
      <w:r w:rsidR="002D66A8" w:rsidRPr="00492552">
        <w:rPr>
          <w:rFonts w:ascii="Gadugi" w:hAnsi="Gadugi"/>
          <w:i/>
          <w:iCs/>
          <w:sz w:val="22"/>
          <w:szCs w:val="24"/>
        </w:rPr>
        <w:t>calidades de ab</w:t>
      </w:r>
      <w:r w:rsidR="00473A83" w:rsidRPr="00492552">
        <w:rPr>
          <w:rFonts w:ascii="Gadugi" w:hAnsi="Gadugi"/>
          <w:i/>
          <w:iCs/>
          <w:sz w:val="22"/>
          <w:szCs w:val="24"/>
        </w:rPr>
        <w:t>o</w:t>
      </w:r>
      <w:r w:rsidR="00D530F5" w:rsidRPr="00492552">
        <w:rPr>
          <w:rFonts w:ascii="Gadugi" w:hAnsi="Gadugi"/>
          <w:i/>
          <w:iCs/>
          <w:sz w:val="22"/>
          <w:szCs w:val="24"/>
        </w:rPr>
        <w:t xml:space="preserve">gado, sin serlo, </w:t>
      </w:r>
      <w:r w:rsidR="002D66A8" w:rsidRPr="00492552">
        <w:rPr>
          <w:rFonts w:ascii="Gadugi" w:hAnsi="Gadugi"/>
          <w:i/>
          <w:sz w:val="22"/>
          <w:szCs w:val="24"/>
        </w:rPr>
        <w:t>porque la vinculación de él sería de administrador el cual, si requiere un RESULTADO</w:t>
      </w:r>
      <w:r w:rsidR="004B6402" w:rsidRPr="00492552">
        <w:rPr>
          <w:rFonts w:ascii="Gadugi" w:hAnsi="Gadugi"/>
          <w:i/>
          <w:sz w:val="22"/>
          <w:szCs w:val="24"/>
        </w:rPr>
        <w:t xml:space="preserve">, </w:t>
      </w:r>
      <w:r w:rsidR="00944873" w:rsidRPr="00492552">
        <w:rPr>
          <w:rFonts w:ascii="Gadugi" w:hAnsi="Gadugi"/>
          <w:i/>
          <w:sz w:val="22"/>
          <w:szCs w:val="24"/>
        </w:rPr>
        <w:t xml:space="preserve">buena administración </w:t>
      </w:r>
      <w:r w:rsidR="00D76F88" w:rsidRPr="00492552">
        <w:rPr>
          <w:rFonts w:ascii="Gadugi" w:hAnsi="Gadugi"/>
          <w:i/>
          <w:sz w:val="22"/>
          <w:szCs w:val="24"/>
        </w:rPr>
        <w:t>y, la de la togada, se le delega la responsabilidad de la gestión</w:t>
      </w:r>
      <w:r w:rsidR="00473A83" w:rsidRPr="00492552">
        <w:rPr>
          <w:rFonts w:ascii="Gadugi" w:hAnsi="Gadugi"/>
          <w:i/>
          <w:sz w:val="22"/>
          <w:szCs w:val="24"/>
        </w:rPr>
        <w:t>, como abogada, para ofrecer un resultado de MEDIO</w:t>
      </w:r>
      <w:r w:rsidR="00415B5D" w:rsidRPr="003029EA">
        <w:rPr>
          <w:rFonts w:ascii="Gadugi" w:hAnsi="Gadugi"/>
          <w:i/>
          <w:szCs w:val="24"/>
        </w:rPr>
        <w:t>”</w:t>
      </w:r>
      <w:r w:rsidR="004E7024" w:rsidRPr="003029EA">
        <w:rPr>
          <w:rFonts w:ascii="Gadugi" w:hAnsi="Gadugi"/>
          <w:i/>
          <w:szCs w:val="24"/>
        </w:rPr>
        <w:t xml:space="preserve"> </w:t>
      </w:r>
      <w:r w:rsidR="004E7024" w:rsidRPr="003029EA">
        <w:rPr>
          <w:rFonts w:ascii="Gadugi" w:hAnsi="Gadugi"/>
          <w:szCs w:val="24"/>
        </w:rPr>
        <w:t>(sic)</w:t>
      </w:r>
      <w:r w:rsidR="00252942" w:rsidRPr="003029EA">
        <w:rPr>
          <w:rFonts w:ascii="Gadugi" w:hAnsi="Gadugi"/>
          <w:szCs w:val="24"/>
        </w:rPr>
        <w:t>; (</w:t>
      </w:r>
      <w:r w:rsidR="00A47235" w:rsidRPr="003029EA">
        <w:rPr>
          <w:rFonts w:ascii="Gadugi" w:hAnsi="Gadugi"/>
          <w:szCs w:val="24"/>
        </w:rPr>
        <w:t xml:space="preserve">vii) en el </w:t>
      </w:r>
      <w:r w:rsidR="006318DD" w:rsidRPr="003029EA">
        <w:rPr>
          <w:rFonts w:ascii="Gadugi" w:hAnsi="Gadugi"/>
          <w:szCs w:val="24"/>
        </w:rPr>
        <w:t xml:space="preserve">contrato de prestación de servicios aportado, </w:t>
      </w:r>
      <w:r w:rsidR="00275F43" w:rsidRPr="003029EA">
        <w:rPr>
          <w:rFonts w:ascii="Gadugi" w:hAnsi="Gadugi"/>
          <w:szCs w:val="24"/>
        </w:rPr>
        <w:t>los</w:t>
      </w:r>
      <w:r w:rsidR="006130E0" w:rsidRPr="003029EA">
        <w:rPr>
          <w:rFonts w:ascii="Gadugi" w:hAnsi="Gadugi"/>
          <w:szCs w:val="24"/>
        </w:rPr>
        <w:t xml:space="preserve"> </w:t>
      </w:r>
      <w:r w:rsidR="00275F43" w:rsidRPr="003029EA">
        <w:rPr>
          <w:rFonts w:ascii="Gadugi" w:hAnsi="Gadugi"/>
          <w:szCs w:val="24"/>
        </w:rPr>
        <w:t>presuntos porcentajes</w:t>
      </w:r>
      <w:r w:rsidR="006130E0" w:rsidRPr="003029EA">
        <w:rPr>
          <w:rFonts w:ascii="Gadugi" w:hAnsi="Gadugi"/>
          <w:szCs w:val="24"/>
        </w:rPr>
        <w:t xml:space="preserve"> acordados se refieren a una demanda contra Margarita López, </w:t>
      </w:r>
      <w:r w:rsidR="00F143DE" w:rsidRPr="003029EA">
        <w:rPr>
          <w:rFonts w:ascii="Gadugi" w:hAnsi="Gadugi"/>
          <w:szCs w:val="24"/>
        </w:rPr>
        <w:t xml:space="preserve">es decir que la regulación en el presente proceso no depende de ese clausulado, ya que </w:t>
      </w:r>
      <w:r w:rsidR="00C149B4" w:rsidRPr="003029EA">
        <w:rPr>
          <w:rFonts w:ascii="Gadugi" w:hAnsi="Gadugi"/>
          <w:szCs w:val="24"/>
        </w:rPr>
        <w:t xml:space="preserve">la demanda fue presentada </w:t>
      </w:r>
      <w:r w:rsidR="00233F55" w:rsidRPr="003029EA">
        <w:rPr>
          <w:rFonts w:ascii="Gadugi" w:hAnsi="Gadugi"/>
          <w:szCs w:val="24"/>
        </w:rPr>
        <w:t xml:space="preserve">el 15 de noviembre de 2019 y fue dirigida contra Rodrigo </w:t>
      </w:r>
      <w:r w:rsidR="00AA65FD" w:rsidRPr="003029EA">
        <w:rPr>
          <w:rFonts w:ascii="Gadugi" w:hAnsi="Gadugi"/>
          <w:szCs w:val="24"/>
        </w:rPr>
        <w:t>Javier Villegas Corra y Sergio Alonso Valencia Jaramillo, no en contra de la señora López</w:t>
      </w:r>
      <w:r w:rsidR="00DC6271" w:rsidRPr="003029EA">
        <w:rPr>
          <w:rFonts w:ascii="Gadugi" w:hAnsi="Gadugi"/>
          <w:szCs w:val="24"/>
        </w:rPr>
        <w:t xml:space="preserve">, fuera de que en ese proceso de lanzamiento </w:t>
      </w:r>
      <w:r w:rsidR="00BF692D" w:rsidRPr="003029EA">
        <w:rPr>
          <w:rFonts w:ascii="Gadugi" w:hAnsi="Gadugi"/>
          <w:szCs w:val="24"/>
        </w:rPr>
        <w:t xml:space="preserve">nada favorable se obtuvo, y aun de haber sido así, era </w:t>
      </w:r>
      <w:r w:rsidR="00BF692D" w:rsidRPr="003029EA">
        <w:rPr>
          <w:rFonts w:ascii="Gadugi" w:hAnsi="Gadugi"/>
          <w:szCs w:val="24"/>
        </w:rPr>
        <w:lastRenderedPageBreak/>
        <w:t xml:space="preserve">allí donde debía </w:t>
      </w:r>
      <w:r w:rsidR="006F07D7" w:rsidRPr="003029EA">
        <w:rPr>
          <w:rFonts w:ascii="Gadugi" w:hAnsi="Gadugi"/>
          <w:szCs w:val="24"/>
        </w:rPr>
        <w:t>pedi</w:t>
      </w:r>
      <w:r w:rsidR="00415B5D" w:rsidRPr="003029EA">
        <w:rPr>
          <w:rFonts w:ascii="Gadugi" w:hAnsi="Gadugi"/>
          <w:szCs w:val="24"/>
        </w:rPr>
        <w:t>rse</w:t>
      </w:r>
      <w:r w:rsidR="006F07D7" w:rsidRPr="003029EA">
        <w:rPr>
          <w:rFonts w:ascii="Gadugi" w:hAnsi="Gadugi"/>
          <w:szCs w:val="24"/>
        </w:rPr>
        <w:t xml:space="preserve"> lo pertinente; </w:t>
      </w:r>
      <w:r w:rsidR="00AA65FD" w:rsidRPr="003029EA">
        <w:rPr>
          <w:rFonts w:ascii="Gadugi" w:hAnsi="Gadugi"/>
          <w:szCs w:val="24"/>
        </w:rPr>
        <w:t>(</w:t>
      </w:r>
      <w:proofErr w:type="spellStart"/>
      <w:r w:rsidR="00AA65FD" w:rsidRPr="003029EA">
        <w:rPr>
          <w:rFonts w:ascii="Gadugi" w:hAnsi="Gadugi"/>
          <w:szCs w:val="24"/>
        </w:rPr>
        <w:t>viii</w:t>
      </w:r>
      <w:proofErr w:type="spellEnd"/>
      <w:r w:rsidR="00AA65FD" w:rsidRPr="003029EA">
        <w:rPr>
          <w:rFonts w:ascii="Gadugi" w:hAnsi="Gadugi"/>
          <w:szCs w:val="24"/>
        </w:rPr>
        <w:t>)</w:t>
      </w:r>
      <w:r w:rsidR="00B629BB" w:rsidRPr="003029EA">
        <w:rPr>
          <w:rFonts w:ascii="Gadugi" w:hAnsi="Gadugi"/>
          <w:szCs w:val="24"/>
        </w:rPr>
        <w:t xml:space="preserve"> si bien la abogada Claudia Naranjo Salazar intervino en este proceso y ello, </w:t>
      </w:r>
      <w:r w:rsidR="009B3322" w:rsidRPr="003029EA">
        <w:rPr>
          <w:rFonts w:ascii="Gadugi" w:hAnsi="Gadugi"/>
          <w:szCs w:val="24"/>
        </w:rPr>
        <w:t>por sí mismo, generaría a su favor honorarios</w:t>
      </w:r>
      <w:r w:rsidR="004E7024" w:rsidRPr="003029EA">
        <w:rPr>
          <w:rFonts w:ascii="Gadugi" w:hAnsi="Gadugi"/>
          <w:szCs w:val="24"/>
        </w:rPr>
        <w:t xml:space="preserve">, </w:t>
      </w:r>
      <w:r w:rsidR="00415B5D" w:rsidRPr="003029EA">
        <w:rPr>
          <w:rFonts w:ascii="Gadugi" w:hAnsi="Gadugi"/>
          <w:szCs w:val="24"/>
        </w:rPr>
        <w:t>en el interrogatorio absuelto</w:t>
      </w:r>
      <w:r w:rsidR="009B3322" w:rsidRPr="003029EA">
        <w:rPr>
          <w:rFonts w:ascii="Gadugi" w:hAnsi="Gadugi"/>
          <w:szCs w:val="24"/>
        </w:rPr>
        <w:t xml:space="preserve">, </w:t>
      </w:r>
      <w:r w:rsidR="00415B5D" w:rsidRPr="003029EA">
        <w:rPr>
          <w:rFonts w:ascii="Gadugi" w:hAnsi="Gadugi"/>
          <w:szCs w:val="24"/>
        </w:rPr>
        <w:t xml:space="preserve">ella reconoció que José </w:t>
      </w:r>
      <w:proofErr w:type="spellStart"/>
      <w:r w:rsidR="00415B5D" w:rsidRPr="003029EA">
        <w:rPr>
          <w:rFonts w:ascii="Gadugi" w:hAnsi="Gadugi"/>
          <w:szCs w:val="24"/>
        </w:rPr>
        <w:t>Diver</w:t>
      </w:r>
      <w:proofErr w:type="spellEnd"/>
      <w:r w:rsidR="00415B5D" w:rsidRPr="003029EA">
        <w:rPr>
          <w:rFonts w:ascii="Gadugi" w:hAnsi="Gadugi"/>
          <w:szCs w:val="24"/>
        </w:rPr>
        <w:t xml:space="preserve"> Carvajal Castro </w:t>
      </w:r>
      <w:r w:rsidR="003C1FB4" w:rsidRPr="003029EA">
        <w:rPr>
          <w:rFonts w:ascii="Gadugi" w:hAnsi="Gadugi"/>
          <w:szCs w:val="24"/>
        </w:rPr>
        <w:t>e</w:t>
      </w:r>
      <w:r w:rsidR="009D4146" w:rsidRPr="003029EA">
        <w:rPr>
          <w:rFonts w:ascii="Gadugi" w:hAnsi="Gadugi"/>
          <w:szCs w:val="24"/>
        </w:rPr>
        <w:t>ra</w:t>
      </w:r>
      <w:r w:rsidR="00415B5D" w:rsidRPr="003029EA">
        <w:rPr>
          <w:rFonts w:ascii="Gadugi" w:hAnsi="Gadugi"/>
          <w:szCs w:val="24"/>
        </w:rPr>
        <w:t xml:space="preserve"> quien </w:t>
      </w:r>
      <w:r w:rsidR="009D4146" w:rsidRPr="003029EA">
        <w:rPr>
          <w:rFonts w:ascii="Gadugi" w:hAnsi="Gadugi"/>
          <w:szCs w:val="24"/>
        </w:rPr>
        <w:t>maneja</w:t>
      </w:r>
      <w:r w:rsidR="004E7024" w:rsidRPr="003029EA">
        <w:rPr>
          <w:rFonts w:ascii="Gadugi" w:hAnsi="Gadugi"/>
          <w:szCs w:val="24"/>
        </w:rPr>
        <w:t>ba</w:t>
      </w:r>
      <w:r w:rsidR="009D4146" w:rsidRPr="003029EA">
        <w:rPr>
          <w:rFonts w:ascii="Gadugi" w:hAnsi="Gadugi"/>
          <w:szCs w:val="24"/>
        </w:rPr>
        <w:t xml:space="preserve"> la actuación procesal, se comunicaba y trataba con el señor Velásquez Cadavid y</w:t>
      </w:r>
      <w:r w:rsidR="003C1FB4" w:rsidRPr="003029EA">
        <w:rPr>
          <w:rFonts w:ascii="Gadugi" w:hAnsi="Gadugi"/>
          <w:szCs w:val="24"/>
        </w:rPr>
        <w:t xml:space="preserve"> lo que pretende es cobrar el porcentaje que a él le corresponde, pues solo le ha prestado la firma; (</w:t>
      </w:r>
      <w:proofErr w:type="spellStart"/>
      <w:r w:rsidR="003C1FB4" w:rsidRPr="003029EA">
        <w:rPr>
          <w:rFonts w:ascii="Gadugi" w:hAnsi="Gadugi"/>
          <w:szCs w:val="24"/>
        </w:rPr>
        <w:t>ix</w:t>
      </w:r>
      <w:proofErr w:type="spellEnd"/>
      <w:r w:rsidR="003C1FB4" w:rsidRPr="003029EA">
        <w:rPr>
          <w:rFonts w:ascii="Gadugi" w:hAnsi="Gadugi"/>
          <w:szCs w:val="24"/>
        </w:rPr>
        <w:t xml:space="preserve">) el negocio planteado por la apoderada está precedido de una causa ilícita, </w:t>
      </w:r>
      <w:r w:rsidR="004E7024" w:rsidRPr="003029EA">
        <w:rPr>
          <w:rFonts w:ascii="Gadugi" w:hAnsi="Gadugi"/>
          <w:szCs w:val="24"/>
        </w:rPr>
        <w:t>ya que</w:t>
      </w:r>
      <w:r w:rsidR="003C1FB4" w:rsidRPr="003029EA">
        <w:rPr>
          <w:rFonts w:ascii="Gadugi" w:hAnsi="Gadugi"/>
          <w:szCs w:val="24"/>
        </w:rPr>
        <w:t xml:space="preserve"> José </w:t>
      </w:r>
      <w:proofErr w:type="spellStart"/>
      <w:r w:rsidR="003C1FB4" w:rsidRPr="003029EA">
        <w:rPr>
          <w:rFonts w:ascii="Gadugi" w:hAnsi="Gadugi"/>
          <w:szCs w:val="24"/>
        </w:rPr>
        <w:t>Diver</w:t>
      </w:r>
      <w:proofErr w:type="spellEnd"/>
      <w:r w:rsidR="003C1FB4" w:rsidRPr="003029EA">
        <w:rPr>
          <w:rFonts w:ascii="Gadugi" w:hAnsi="Gadugi"/>
          <w:szCs w:val="24"/>
        </w:rPr>
        <w:t xml:space="preserve"> no es abogado. </w:t>
      </w:r>
    </w:p>
    <w:p w14:paraId="2447FAB5" w14:textId="77777777" w:rsidR="00AA65FD" w:rsidRPr="003029EA" w:rsidRDefault="00AA65FD" w:rsidP="003029EA">
      <w:pPr>
        <w:pStyle w:val="Textoindependiente"/>
        <w:spacing w:line="276" w:lineRule="auto"/>
        <w:ind w:firstLine="1701"/>
        <w:rPr>
          <w:rFonts w:ascii="Gadugi" w:hAnsi="Gadugi"/>
          <w:szCs w:val="24"/>
        </w:rPr>
      </w:pPr>
    </w:p>
    <w:p w14:paraId="755F0074" w14:textId="164AE6E4" w:rsidR="00203EF5" w:rsidRPr="003029EA" w:rsidRDefault="003C1FB4" w:rsidP="003029EA">
      <w:pPr>
        <w:pStyle w:val="Textoindependiente"/>
        <w:spacing w:line="276" w:lineRule="auto"/>
        <w:ind w:firstLine="1701"/>
        <w:rPr>
          <w:rFonts w:ascii="Gadugi" w:hAnsi="Gadugi"/>
          <w:szCs w:val="24"/>
        </w:rPr>
      </w:pPr>
      <w:r w:rsidRPr="003029EA">
        <w:rPr>
          <w:rFonts w:ascii="Gadugi" w:hAnsi="Gadugi"/>
          <w:szCs w:val="24"/>
        </w:rPr>
        <w:t xml:space="preserve">Apeló la abogada reclamante y su disenso se resume en que: (i) lo que se pretende con el incidente es que se regulen sus honorarios; (ii) no se debate la existencia de un contrato de prestación de servicios, pues al conferirle poder José </w:t>
      </w:r>
      <w:proofErr w:type="spellStart"/>
      <w:r w:rsidRPr="003029EA">
        <w:rPr>
          <w:rFonts w:ascii="Gadugi" w:hAnsi="Gadugi"/>
          <w:szCs w:val="24"/>
        </w:rPr>
        <w:t>Diver</w:t>
      </w:r>
      <w:proofErr w:type="spellEnd"/>
      <w:r w:rsidRPr="003029EA">
        <w:rPr>
          <w:rFonts w:ascii="Gadugi" w:hAnsi="Gadugi"/>
          <w:szCs w:val="24"/>
        </w:rPr>
        <w:t xml:space="preserve"> Carvajal, se configuró la relación contractual; (iii) tampoco se reclaman por la demanda de lanzamiento por ocupación de hecho, sino por este proceso reivindicatorio; (iv) el poder general otorgado por el demandante a José </w:t>
      </w:r>
      <w:proofErr w:type="spellStart"/>
      <w:r w:rsidRPr="003029EA">
        <w:rPr>
          <w:rFonts w:ascii="Gadugi" w:hAnsi="Gadugi"/>
          <w:szCs w:val="24"/>
        </w:rPr>
        <w:t>Diver</w:t>
      </w:r>
      <w:proofErr w:type="spellEnd"/>
      <w:r w:rsidRPr="003029EA">
        <w:rPr>
          <w:rFonts w:ascii="Gadugi" w:hAnsi="Gadugi"/>
          <w:szCs w:val="24"/>
        </w:rPr>
        <w:t xml:space="preserve">, lo facultaba para que lo representara en todos los procesos relacionados con el predio La </w:t>
      </w:r>
      <w:proofErr w:type="spellStart"/>
      <w:r w:rsidRPr="003029EA">
        <w:rPr>
          <w:rFonts w:ascii="Gadugi" w:hAnsi="Gadugi"/>
          <w:szCs w:val="24"/>
        </w:rPr>
        <w:t>Pa</w:t>
      </w:r>
      <w:r w:rsidR="004E7024" w:rsidRPr="003029EA">
        <w:rPr>
          <w:rFonts w:ascii="Gadugi" w:hAnsi="Gadugi"/>
          <w:szCs w:val="24"/>
        </w:rPr>
        <w:t>s</w:t>
      </w:r>
      <w:r w:rsidRPr="003029EA">
        <w:rPr>
          <w:rFonts w:ascii="Gadugi" w:hAnsi="Gadugi"/>
          <w:szCs w:val="24"/>
        </w:rPr>
        <w:t>tori</w:t>
      </w:r>
      <w:r w:rsidR="007D3BD2" w:rsidRPr="003029EA">
        <w:rPr>
          <w:rFonts w:ascii="Gadugi" w:hAnsi="Gadugi"/>
          <w:szCs w:val="24"/>
        </w:rPr>
        <w:t>t</w:t>
      </w:r>
      <w:r w:rsidRPr="003029EA">
        <w:rPr>
          <w:rFonts w:ascii="Gadugi" w:hAnsi="Gadugi"/>
          <w:szCs w:val="24"/>
        </w:rPr>
        <w:t>a</w:t>
      </w:r>
      <w:proofErr w:type="spellEnd"/>
      <w:r w:rsidR="004E7024" w:rsidRPr="003029EA">
        <w:rPr>
          <w:rFonts w:ascii="Gadugi" w:hAnsi="Gadugi"/>
          <w:szCs w:val="24"/>
        </w:rPr>
        <w:t>,</w:t>
      </w:r>
      <w:r w:rsidRPr="003029EA">
        <w:rPr>
          <w:rFonts w:ascii="Gadugi" w:hAnsi="Gadugi"/>
          <w:szCs w:val="24"/>
        </w:rPr>
        <w:t xml:space="preserve"> por medio de apoderado</w:t>
      </w:r>
      <w:r w:rsidR="007D3BD2" w:rsidRPr="003029EA">
        <w:rPr>
          <w:rFonts w:ascii="Gadugi" w:hAnsi="Gadugi"/>
          <w:szCs w:val="24"/>
        </w:rPr>
        <w:t xml:space="preserve">; (v) el poder general que se presentó fue solo para legitimar su actuación como apoderada y como un parámetro del porcentaje, nunca como prueba de lo pactado con José </w:t>
      </w:r>
      <w:proofErr w:type="spellStart"/>
      <w:r w:rsidR="007D3BD2" w:rsidRPr="003029EA">
        <w:rPr>
          <w:rFonts w:ascii="Gadugi" w:hAnsi="Gadugi"/>
          <w:szCs w:val="24"/>
        </w:rPr>
        <w:t>Diver</w:t>
      </w:r>
      <w:proofErr w:type="spellEnd"/>
      <w:r w:rsidR="007D3BD2" w:rsidRPr="003029EA">
        <w:rPr>
          <w:rFonts w:ascii="Gadugi" w:hAnsi="Gadugi"/>
          <w:szCs w:val="24"/>
        </w:rPr>
        <w:t xml:space="preserve">; (vi) no se está investigando aquí la legalidad del poder general o del contrato de prestación de servicios o la calidad con que acudió al proceso, y si el juzgado tenía dudas, debió acudir a las tablas establecidas por el Consejo Superior de la Judicatura para tasar sus honorarios. </w:t>
      </w:r>
    </w:p>
    <w:p w14:paraId="388FD5C4" w14:textId="77777777" w:rsidR="00EF764C" w:rsidRPr="003029EA" w:rsidRDefault="00EF764C" w:rsidP="003029EA">
      <w:pPr>
        <w:pStyle w:val="Textoindependiente"/>
        <w:spacing w:line="276" w:lineRule="auto"/>
        <w:ind w:firstLine="1701"/>
        <w:rPr>
          <w:rFonts w:ascii="Gadugi" w:hAnsi="Gadugi"/>
          <w:szCs w:val="24"/>
        </w:rPr>
      </w:pPr>
    </w:p>
    <w:p w14:paraId="72663E3E" w14:textId="4AF3DB6C" w:rsidR="007D3BD2" w:rsidRPr="003029EA" w:rsidRDefault="007D3BD2" w:rsidP="003029EA">
      <w:pPr>
        <w:pStyle w:val="Textoindependiente"/>
        <w:spacing w:line="276" w:lineRule="auto"/>
        <w:ind w:firstLine="1701"/>
        <w:rPr>
          <w:rFonts w:ascii="Gadugi" w:hAnsi="Gadugi"/>
          <w:szCs w:val="24"/>
        </w:rPr>
      </w:pPr>
      <w:r w:rsidRPr="003029EA">
        <w:rPr>
          <w:rFonts w:ascii="Gadugi" w:hAnsi="Gadugi"/>
          <w:szCs w:val="24"/>
        </w:rPr>
        <w:t xml:space="preserve">Surtido el traslado pertinente y llegados los autos a esta sede, se procede a resolver. </w:t>
      </w:r>
    </w:p>
    <w:p w14:paraId="08358BF0" w14:textId="09463787" w:rsidR="007D3BD2" w:rsidRPr="003029EA" w:rsidRDefault="007D3BD2" w:rsidP="003029EA">
      <w:pPr>
        <w:pStyle w:val="Textoindependiente"/>
        <w:spacing w:line="276" w:lineRule="auto"/>
        <w:ind w:firstLine="1701"/>
        <w:rPr>
          <w:rFonts w:ascii="Gadugi" w:hAnsi="Gadugi"/>
          <w:szCs w:val="24"/>
        </w:rPr>
      </w:pPr>
    </w:p>
    <w:p w14:paraId="65CCF881" w14:textId="03664B21" w:rsidR="007D3BD2" w:rsidRPr="003029EA" w:rsidRDefault="007D3BD2" w:rsidP="003029EA">
      <w:pPr>
        <w:pStyle w:val="Textoindependiente"/>
        <w:spacing w:line="276" w:lineRule="auto"/>
        <w:ind w:firstLine="1701"/>
        <w:rPr>
          <w:rFonts w:ascii="Gadugi" w:hAnsi="Gadugi"/>
          <w:szCs w:val="24"/>
        </w:rPr>
      </w:pPr>
    </w:p>
    <w:p w14:paraId="065CD170" w14:textId="2863F041" w:rsidR="007D3BD2" w:rsidRPr="003029EA" w:rsidRDefault="007D3BD2" w:rsidP="003029EA">
      <w:pPr>
        <w:pStyle w:val="Textoindependiente"/>
        <w:spacing w:line="276" w:lineRule="auto"/>
        <w:ind w:firstLine="1701"/>
        <w:rPr>
          <w:rFonts w:ascii="Gadugi" w:hAnsi="Gadugi"/>
          <w:b/>
          <w:szCs w:val="24"/>
        </w:rPr>
      </w:pPr>
      <w:r w:rsidRPr="003029EA">
        <w:rPr>
          <w:rFonts w:ascii="Gadugi" w:hAnsi="Gadugi"/>
          <w:b/>
          <w:szCs w:val="24"/>
        </w:rPr>
        <w:t>CONSIDERACIONES</w:t>
      </w:r>
    </w:p>
    <w:p w14:paraId="236DFE1A" w14:textId="1D04C1C3" w:rsidR="004A5E30" w:rsidRPr="003029EA" w:rsidRDefault="004A5E30" w:rsidP="003029EA">
      <w:pPr>
        <w:pStyle w:val="Textoindependiente"/>
        <w:spacing w:line="276" w:lineRule="auto"/>
        <w:ind w:firstLine="1701"/>
        <w:rPr>
          <w:rFonts w:ascii="Gadugi" w:hAnsi="Gadugi"/>
          <w:szCs w:val="24"/>
        </w:rPr>
      </w:pPr>
    </w:p>
    <w:p w14:paraId="5A8A08A4" w14:textId="7C7A5B42" w:rsidR="007D3BD2" w:rsidRPr="003029EA" w:rsidRDefault="007D3BD2" w:rsidP="003029EA">
      <w:pPr>
        <w:pStyle w:val="Textoindependiente"/>
        <w:spacing w:line="276" w:lineRule="auto"/>
        <w:ind w:firstLine="1701"/>
        <w:rPr>
          <w:rFonts w:ascii="Gadugi" w:hAnsi="Gadugi"/>
          <w:szCs w:val="24"/>
        </w:rPr>
      </w:pPr>
    </w:p>
    <w:p w14:paraId="7D0BF174" w14:textId="3521B89A" w:rsidR="007D3BD2" w:rsidRPr="003029EA" w:rsidRDefault="007D3BD2" w:rsidP="003029EA">
      <w:pPr>
        <w:pStyle w:val="Textoindependiente"/>
        <w:numPr>
          <w:ilvl w:val="0"/>
          <w:numId w:val="21"/>
        </w:numPr>
        <w:spacing w:line="276" w:lineRule="auto"/>
        <w:ind w:left="0" w:firstLine="1701"/>
        <w:rPr>
          <w:rFonts w:ascii="Gadugi" w:hAnsi="Gadugi"/>
          <w:szCs w:val="24"/>
        </w:rPr>
      </w:pPr>
      <w:r w:rsidRPr="003029EA">
        <w:rPr>
          <w:rFonts w:ascii="Gadugi" w:hAnsi="Gadugi"/>
          <w:szCs w:val="24"/>
        </w:rPr>
        <w:t xml:space="preserve">Esta Sala es competente para resolver el recurso propuesto, en los términos del artículo 35 del CGP, mismo que se torna procedente, según lo previene el artículo 321-5 ibidem, fue propuesto por persona legitimada y en la oportunidad prevista para ello en el artículo 322 de la misma obra, a más de haber sido debidamente sustentado. </w:t>
      </w:r>
    </w:p>
    <w:p w14:paraId="69B3CB1A" w14:textId="31839883" w:rsidR="007D3BD2" w:rsidRPr="003029EA" w:rsidRDefault="007D3BD2" w:rsidP="003029EA">
      <w:pPr>
        <w:pStyle w:val="Textoindependiente"/>
        <w:spacing w:line="276" w:lineRule="auto"/>
        <w:ind w:left="1701"/>
        <w:rPr>
          <w:rFonts w:ascii="Gadugi" w:hAnsi="Gadugi"/>
          <w:szCs w:val="24"/>
        </w:rPr>
      </w:pPr>
    </w:p>
    <w:p w14:paraId="5BA41D4F" w14:textId="4C8C956A" w:rsidR="00B85FB0" w:rsidRPr="003029EA" w:rsidRDefault="007D3BD2" w:rsidP="003029EA">
      <w:pPr>
        <w:pStyle w:val="Textoindependiente"/>
        <w:numPr>
          <w:ilvl w:val="0"/>
          <w:numId w:val="21"/>
        </w:numPr>
        <w:spacing w:line="276" w:lineRule="auto"/>
        <w:ind w:left="0" w:firstLine="1701"/>
        <w:rPr>
          <w:rFonts w:ascii="Gadugi" w:hAnsi="Gadugi"/>
          <w:szCs w:val="24"/>
        </w:rPr>
      </w:pPr>
      <w:r w:rsidRPr="003029EA">
        <w:rPr>
          <w:rFonts w:ascii="Gadugi" w:hAnsi="Gadugi"/>
          <w:szCs w:val="24"/>
        </w:rPr>
        <w:t xml:space="preserve">Establece el artículo </w:t>
      </w:r>
      <w:r w:rsidR="00FF5488" w:rsidRPr="003029EA">
        <w:rPr>
          <w:rFonts w:ascii="Gadugi" w:hAnsi="Gadugi"/>
          <w:szCs w:val="24"/>
        </w:rPr>
        <w:t>1505 del C. Civil, que lo que una persona ejecuta a nombre de otra, si está facultada por ella o por la ley para representarla, produce respecto del representado iguales efectos que si hubiese contratado él mismo. Lo cual guarda armonía, por supuesto, con el contrato de mandato que el mismo estatuto civil contempla como aquel por el cual una persona confía la gestión de uno o más negocios a otra, que se hace cargo de ellos por cuenta y riesgo del comitente</w:t>
      </w:r>
      <w:r w:rsidR="00B85FB0" w:rsidRPr="003029EA">
        <w:rPr>
          <w:rFonts w:ascii="Gadugi" w:hAnsi="Gadugi"/>
          <w:szCs w:val="24"/>
        </w:rPr>
        <w:t xml:space="preserve"> (art. 2142 ib.).</w:t>
      </w:r>
    </w:p>
    <w:p w14:paraId="2CADDD9C" w14:textId="77777777" w:rsidR="00B85FB0" w:rsidRPr="003029EA" w:rsidRDefault="00B85FB0" w:rsidP="003029EA">
      <w:pPr>
        <w:pStyle w:val="Prrafodelista"/>
        <w:spacing w:after="0"/>
        <w:rPr>
          <w:rFonts w:ascii="Gadugi" w:hAnsi="Gadugi"/>
          <w:sz w:val="24"/>
          <w:szCs w:val="24"/>
        </w:rPr>
      </w:pPr>
    </w:p>
    <w:p w14:paraId="04BB9E20" w14:textId="561A44BB" w:rsidR="00B85FB0" w:rsidRPr="003029EA" w:rsidRDefault="00B85FB0" w:rsidP="003029EA">
      <w:pPr>
        <w:pStyle w:val="Textoindependiente"/>
        <w:spacing w:line="276" w:lineRule="auto"/>
        <w:ind w:firstLine="1701"/>
        <w:rPr>
          <w:rFonts w:ascii="Gadugi" w:hAnsi="Gadugi"/>
          <w:szCs w:val="24"/>
        </w:rPr>
      </w:pPr>
      <w:r w:rsidRPr="003029EA">
        <w:rPr>
          <w:rFonts w:ascii="Gadugi" w:hAnsi="Gadugi"/>
          <w:szCs w:val="24"/>
        </w:rPr>
        <w:t>Tal encargo, señala el artículo 2156, puede ser especial, si comprende uno o más negocios especialmente determinados; o general, si se otorga para todos los negocios del mandante, incluso si se incluyen una o más excepciones determinadas. Y puede hacerse por escritura pública o privada, por cartas, verbalmente, de cualquier otro modo inteligible y hasta bastará la aquiescencia tácita de alguien sobre la gestión de sus negocios por otr</w:t>
      </w:r>
      <w:r w:rsidR="004E7024" w:rsidRPr="003029EA">
        <w:rPr>
          <w:rFonts w:ascii="Gadugi" w:hAnsi="Gadugi"/>
          <w:szCs w:val="24"/>
        </w:rPr>
        <w:t>o</w:t>
      </w:r>
      <w:r w:rsidRPr="003029EA">
        <w:rPr>
          <w:rFonts w:ascii="Gadugi" w:hAnsi="Gadugi"/>
          <w:szCs w:val="24"/>
        </w:rPr>
        <w:t xml:space="preserve"> (</w:t>
      </w:r>
      <w:r w:rsidR="00992471" w:rsidRPr="003029EA">
        <w:rPr>
          <w:rFonts w:ascii="Gadugi" w:hAnsi="Gadugi"/>
          <w:szCs w:val="24"/>
        </w:rPr>
        <w:t xml:space="preserve">art. 2149 ib.). Por supuesto que si se trata de un apoderado judicial, el poder general está sometido a la solemnidad de la escritura pública, de acuerdo con el artículo 74 del CGP. </w:t>
      </w:r>
      <w:r w:rsidRPr="003029EA">
        <w:rPr>
          <w:rFonts w:ascii="Gadugi" w:hAnsi="Gadugi"/>
          <w:szCs w:val="24"/>
        </w:rPr>
        <w:t xml:space="preserve"> </w:t>
      </w:r>
    </w:p>
    <w:p w14:paraId="7936A9D2" w14:textId="77777777" w:rsidR="00FF5488" w:rsidRPr="003029EA" w:rsidRDefault="00FF5488" w:rsidP="003029EA">
      <w:pPr>
        <w:pStyle w:val="Prrafodelista"/>
        <w:spacing w:after="0"/>
        <w:rPr>
          <w:rFonts w:ascii="Gadugi" w:hAnsi="Gadugi"/>
          <w:sz w:val="24"/>
          <w:szCs w:val="24"/>
        </w:rPr>
      </w:pPr>
    </w:p>
    <w:p w14:paraId="4D2D7FB5" w14:textId="1242E21C" w:rsidR="00CC76BD" w:rsidRPr="003029EA" w:rsidRDefault="00FF5488" w:rsidP="003029EA">
      <w:pPr>
        <w:pStyle w:val="Textoindependiente"/>
        <w:numPr>
          <w:ilvl w:val="0"/>
          <w:numId w:val="21"/>
        </w:numPr>
        <w:spacing w:line="276" w:lineRule="auto"/>
        <w:ind w:left="0" w:firstLine="1701"/>
        <w:rPr>
          <w:rFonts w:ascii="Gadugi" w:hAnsi="Gadugi"/>
          <w:szCs w:val="24"/>
        </w:rPr>
      </w:pPr>
      <w:r w:rsidRPr="003029EA">
        <w:rPr>
          <w:rFonts w:ascii="Gadugi" w:hAnsi="Gadugi"/>
          <w:szCs w:val="24"/>
        </w:rPr>
        <w:t>De esta</w:t>
      </w:r>
      <w:r w:rsidR="00992471" w:rsidRPr="003029EA">
        <w:rPr>
          <w:rFonts w:ascii="Gadugi" w:hAnsi="Gadugi"/>
          <w:szCs w:val="24"/>
        </w:rPr>
        <w:t xml:space="preserve">s reglas surge claro que una persona puede delegar en otra sus asuntos personales, con la facultad de obligarla como si fuera ella misma quien actuara. Y eso fue lo que ocurrió entre Gilberto Velásquez Cadavid y José </w:t>
      </w:r>
      <w:proofErr w:type="spellStart"/>
      <w:r w:rsidR="00992471" w:rsidRPr="003029EA">
        <w:rPr>
          <w:rFonts w:ascii="Gadugi" w:hAnsi="Gadugi"/>
          <w:szCs w:val="24"/>
        </w:rPr>
        <w:t>Diver</w:t>
      </w:r>
      <w:proofErr w:type="spellEnd"/>
      <w:r w:rsidR="00992471" w:rsidRPr="003029EA">
        <w:rPr>
          <w:rFonts w:ascii="Gadugi" w:hAnsi="Gadugi"/>
          <w:szCs w:val="24"/>
        </w:rPr>
        <w:t xml:space="preserve"> Carvajal Castro,</w:t>
      </w:r>
      <w:r w:rsidR="00192F55" w:rsidRPr="003029EA">
        <w:rPr>
          <w:rFonts w:ascii="Gadugi" w:hAnsi="Gadugi"/>
          <w:szCs w:val="24"/>
        </w:rPr>
        <w:t xml:space="preserve"> si bien, mediante la escritura pública 1455 del 7 de julio de 2017 (p. 8, cuaderno principal), aquel le otorgó poder general a este, para que, entre otras muchas y confusas cosas, lo representara mediante apoderado judicial en todos los aspectos relacionados con los predios de La </w:t>
      </w:r>
      <w:proofErr w:type="spellStart"/>
      <w:r w:rsidR="00192F55" w:rsidRPr="003029EA">
        <w:rPr>
          <w:rFonts w:ascii="Gadugi" w:hAnsi="Gadugi"/>
          <w:szCs w:val="24"/>
        </w:rPr>
        <w:t>Pastorita</w:t>
      </w:r>
      <w:proofErr w:type="spellEnd"/>
      <w:r w:rsidR="00192F55" w:rsidRPr="003029EA">
        <w:rPr>
          <w:rFonts w:ascii="Gadugi" w:hAnsi="Gadugi"/>
          <w:szCs w:val="24"/>
        </w:rPr>
        <w:t xml:space="preserve"> -que </w:t>
      </w:r>
      <w:r w:rsidR="004E7024" w:rsidRPr="003029EA">
        <w:rPr>
          <w:rFonts w:ascii="Gadugi" w:hAnsi="Gadugi"/>
          <w:szCs w:val="24"/>
        </w:rPr>
        <w:t xml:space="preserve">son los que </w:t>
      </w:r>
      <w:r w:rsidR="00192F55" w:rsidRPr="003029EA">
        <w:rPr>
          <w:rFonts w:ascii="Gadugi" w:hAnsi="Gadugi"/>
          <w:szCs w:val="24"/>
        </w:rPr>
        <w:t>está</w:t>
      </w:r>
      <w:r w:rsidR="004E7024" w:rsidRPr="003029EA">
        <w:rPr>
          <w:rFonts w:ascii="Gadugi" w:hAnsi="Gadugi"/>
          <w:szCs w:val="24"/>
        </w:rPr>
        <w:t>n</w:t>
      </w:r>
      <w:r w:rsidR="00192F55" w:rsidRPr="003029EA">
        <w:rPr>
          <w:rFonts w:ascii="Gadugi" w:hAnsi="Gadugi"/>
          <w:szCs w:val="24"/>
        </w:rPr>
        <w:t xml:space="preserve"> involucrado en la reivindicación que aquí se intenta-; además, le confirió facultades para </w:t>
      </w:r>
      <w:r w:rsidR="00C86035" w:rsidRPr="003029EA">
        <w:rPr>
          <w:rFonts w:ascii="Gadugi" w:hAnsi="Gadugi"/>
          <w:szCs w:val="24"/>
        </w:rPr>
        <w:t xml:space="preserve">iniciar y llevar en </w:t>
      </w:r>
      <w:r w:rsidR="00192F55" w:rsidRPr="003029EA">
        <w:rPr>
          <w:rFonts w:ascii="Gadugi" w:hAnsi="Gadugi"/>
          <w:szCs w:val="24"/>
        </w:rPr>
        <w:t xml:space="preserve">su </w:t>
      </w:r>
      <w:r w:rsidR="00C86035" w:rsidRPr="003029EA">
        <w:rPr>
          <w:rFonts w:ascii="Gadugi" w:hAnsi="Gadugi"/>
          <w:szCs w:val="24"/>
        </w:rPr>
        <w:t>nombre y representaci</w:t>
      </w:r>
      <w:r w:rsidR="00B37A79" w:rsidRPr="003029EA">
        <w:rPr>
          <w:rFonts w:ascii="Gadugi" w:hAnsi="Gadugi"/>
          <w:szCs w:val="24"/>
        </w:rPr>
        <w:t>ó</w:t>
      </w:r>
      <w:r w:rsidR="00C86035" w:rsidRPr="003029EA">
        <w:rPr>
          <w:rFonts w:ascii="Gadugi" w:hAnsi="Gadugi"/>
          <w:szCs w:val="24"/>
        </w:rPr>
        <w:t>n</w:t>
      </w:r>
      <w:r w:rsidR="00192F55" w:rsidRPr="003029EA">
        <w:rPr>
          <w:rFonts w:ascii="Gadugi" w:hAnsi="Gadugi"/>
          <w:szCs w:val="24"/>
        </w:rPr>
        <w:t xml:space="preserve">, también por medio de mandatario judicial, procesos ordinarios, penales -incluida la constitución de parte civil-, y actuaciones ante diferentes estamentos, incluidos los jueces laborales y administrativos. </w:t>
      </w:r>
    </w:p>
    <w:p w14:paraId="78B3E2B4" w14:textId="280D18B1" w:rsidR="00192F55" w:rsidRPr="003029EA" w:rsidRDefault="00192F55" w:rsidP="003029EA">
      <w:pPr>
        <w:pStyle w:val="Textoindependiente"/>
        <w:spacing w:line="276" w:lineRule="auto"/>
        <w:ind w:left="1701"/>
        <w:rPr>
          <w:rFonts w:ascii="Gadugi" w:hAnsi="Gadugi"/>
          <w:szCs w:val="24"/>
        </w:rPr>
      </w:pPr>
    </w:p>
    <w:p w14:paraId="1978F72D" w14:textId="779D918B" w:rsidR="00192F55" w:rsidRPr="003029EA" w:rsidRDefault="00192F55" w:rsidP="003029EA">
      <w:pPr>
        <w:pStyle w:val="Textoindependiente"/>
        <w:numPr>
          <w:ilvl w:val="0"/>
          <w:numId w:val="21"/>
        </w:numPr>
        <w:spacing w:line="276" w:lineRule="auto"/>
        <w:ind w:left="0" w:firstLine="1701"/>
        <w:rPr>
          <w:rFonts w:ascii="Gadugi" w:hAnsi="Gadugi"/>
          <w:szCs w:val="24"/>
        </w:rPr>
      </w:pPr>
      <w:r w:rsidRPr="003029EA">
        <w:rPr>
          <w:rFonts w:ascii="Gadugi" w:hAnsi="Gadugi"/>
          <w:szCs w:val="24"/>
        </w:rPr>
        <w:t xml:space="preserve">Con soporte en ese documento, </w:t>
      </w:r>
      <w:r w:rsidR="00BA2578" w:rsidRPr="003029EA">
        <w:rPr>
          <w:rFonts w:ascii="Gadugi" w:hAnsi="Gadugi"/>
          <w:szCs w:val="24"/>
        </w:rPr>
        <w:t xml:space="preserve">según se vio en los antecedentes, </w:t>
      </w:r>
      <w:r w:rsidRPr="003029EA">
        <w:rPr>
          <w:rFonts w:ascii="Gadugi" w:hAnsi="Gadugi"/>
          <w:szCs w:val="24"/>
        </w:rPr>
        <w:t xml:space="preserve">José </w:t>
      </w:r>
      <w:proofErr w:type="spellStart"/>
      <w:r w:rsidRPr="003029EA">
        <w:rPr>
          <w:rFonts w:ascii="Gadugi" w:hAnsi="Gadugi"/>
          <w:szCs w:val="24"/>
        </w:rPr>
        <w:t>Diver</w:t>
      </w:r>
      <w:proofErr w:type="spellEnd"/>
      <w:r w:rsidRPr="003029EA">
        <w:rPr>
          <w:rFonts w:ascii="Gadugi" w:hAnsi="Gadugi"/>
          <w:szCs w:val="24"/>
        </w:rPr>
        <w:t xml:space="preserve"> Carvajal Castro, como apoderado general del demandante, le otorgó poder especial a la abogada Claudia Naranjo Salazar para iniciar el proceso reivindicatorio contra Rodrigo Javier Villegas Correa y Sergio Alonso Valencia Jaramillo (p. 2, ib.), y esta, a su vez, presentó la demanda respectiva (p. 291, ib.), el 18 de noviembre de 2019, pero su labor se vio frustrada luego, ya que, con apenas haberse admitido</w:t>
      </w:r>
      <w:r w:rsidR="00BA2578" w:rsidRPr="003029EA">
        <w:rPr>
          <w:rFonts w:ascii="Gadugi" w:hAnsi="Gadugi"/>
          <w:szCs w:val="24"/>
        </w:rPr>
        <w:t xml:space="preserve"> el 28 de noviembre de ese año, el 4 de febrero de 2020 le fue revocado el poder y así fue aceptado por el juzgado con auto del 12 de ese mes, lo que propició que ella </w:t>
      </w:r>
      <w:r w:rsidR="009E6D01" w:rsidRPr="003029EA">
        <w:rPr>
          <w:rFonts w:ascii="Gadugi" w:hAnsi="Gadugi"/>
          <w:szCs w:val="24"/>
        </w:rPr>
        <w:t>hiciera uso de la facultad que le otorga el artículo 76 del CGP, esto es, pedir la regulación de honorarios mediante el trámite incidental.</w:t>
      </w:r>
    </w:p>
    <w:p w14:paraId="57427C95" w14:textId="2CB2394C" w:rsidR="009E6D01" w:rsidRPr="003029EA" w:rsidRDefault="009E6D01" w:rsidP="003029EA">
      <w:pPr>
        <w:pStyle w:val="Textoindependiente"/>
        <w:spacing w:line="276" w:lineRule="auto"/>
        <w:ind w:firstLine="1701"/>
        <w:rPr>
          <w:rFonts w:ascii="Gadugi" w:hAnsi="Gadugi"/>
          <w:szCs w:val="24"/>
        </w:rPr>
      </w:pPr>
    </w:p>
    <w:p w14:paraId="5484761B" w14:textId="77777777" w:rsidR="009E6D01" w:rsidRPr="003029EA" w:rsidRDefault="009E6D01" w:rsidP="003029EA">
      <w:pPr>
        <w:pStyle w:val="Textoindependiente"/>
        <w:numPr>
          <w:ilvl w:val="0"/>
          <w:numId w:val="21"/>
        </w:numPr>
        <w:spacing w:line="276" w:lineRule="auto"/>
        <w:ind w:left="0" w:firstLine="1701"/>
        <w:rPr>
          <w:rFonts w:ascii="Gadugi" w:hAnsi="Gadugi"/>
          <w:szCs w:val="24"/>
        </w:rPr>
      </w:pPr>
      <w:r w:rsidRPr="003029EA">
        <w:rPr>
          <w:rFonts w:ascii="Gadugi" w:hAnsi="Gadugi"/>
          <w:szCs w:val="24"/>
        </w:rPr>
        <w:t>Es cierto, como dice el Juzgado, que tal regulación no puede estar atada al contrato de prestación de servicios que acompañó con su reclamación, porque el mismo trata del convenio que hubo entre Velásquez Cadavid y Carvajal Castro, adicional al poder general; fuera de que, como bien señaló, tenía sustento en otros procedimientos adelantados por la misma mandataria judicial y contra una persona diferente a los ahora demandados.</w:t>
      </w:r>
    </w:p>
    <w:p w14:paraId="78B3C5D1" w14:textId="77777777" w:rsidR="009E6D01" w:rsidRPr="003029EA" w:rsidRDefault="009E6D01" w:rsidP="003029EA">
      <w:pPr>
        <w:pStyle w:val="Prrafodelista"/>
        <w:spacing w:after="0"/>
        <w:rPr>
          <w:rFonts w:ascii="Gadugi" w:hAnsi="Gadugi"/>
          <w:sz w:val="24"/>
          <w:szCs w:val="24"/>
        </w:rPr>
      </w:pPr>
    </w:p>
    <w:p w14:paraId="02791DC6" w14:textId="77777777" w:rsidR="009E6D01" w:rsidRPr="003029EA" w:rsidRDefault="009E6D01" w:rsidP="003029EA">
      <w:pPr>
        <w:pStyle w:val="Textoindependiente"/>
        <w:spacing w:line="276" w:lineRule="auto"/>
        <w:ind w:firstLine="1701"/>
        <w:rPr>
          <w:rFonts w:ascii="Gadugi" w:hAnsi="Gadugi"/>
          <w:szCs w:val="24"/>
        </w:rPr>
      </w:pPr>
      <w:r w:rsidRPr="003029EA">
        <w:rPr>
          <w:rFonts w:ascii="Gadugi" w:hAnsi="Gadugi"/>
          <w:szCs w:val="24"/>
        </w:rPr>
        <w:t xml:space="preserve">También es evidente que Carvajal, sin ser abogado, ofrece servicios de asesoría jurídica. </w:t>
      </w:r>
    </w:p>
    <w:p w14:paraId="43F8D9FD" w14:textId="77777777" w:rsidR="009E6D01" w:rsidRPr="003029EA" w:rsidRDefault="009E6D01" w:rsidP="003029EA">
      <w:pPr>
        <w:pStyle w:val="Textoindependiente"/>
        <w:spacing w:line="276" w:lineRule="auto"/>
        <w:ind w:firstLine="1701"/>
        <w:rPr>
          <w:rFonts w:ascii="Gadugi" w:hAnsi="Gadugi"/>
          <w:szCs w:val="24"/>
        </w:rPr>
      </w:pPr>
    </w:p>
    <w:p w14:paraId="4C4CD1EE" w14:textId="4A0434C5" w:rsidR="009E6D01" w:rsidRPr="003029EA" w:rsidRDefault="009E6D01" w:rsidP="003029EA">
      <w:pPr>
        <w:pStyle w:val="Textoindependiente"/>
        <w:spacing w:line="276" w:lineRule="auto"/>
        <w:ind w:firstLine="1701"/>
        <w:rPr>
          <w:rFonts w:ascii="Gadugi" w:hAnsi="Gadugi"/>
          <w:szCs w:val="24"/>
        </w:rPr>
      </w:pPr>
      <w:bookmarkStart w:id="2" w:name="_Hlk94087924"/>
      <w:r w:rsidRPr="003029EA">
        <w:rPr>
          <w:rFonts w:ascii="Gadugi" w:hAnsi="Gadugi"/>
          <w:szCs w:val="24"/>
        </w:rPr>
        <w:t xml:space="preserve">No obstante ello, disiente la Sala de su conclusión final acerca de que, entonces, la abogada que representa los intereses de Velásquez Cadavid, no tiene derecho a que se regulen sus honorarios. </w:t>
      </w:r>
    </w:p>
    <w:bookmarkEnd w:id="2"/>
    <w:p w14:paraId="14998A6F" w14:textId="6160806A" w:rsidR="009E6D01" w:rsidRPr="003029EA" w:rsidRDefault="009E6D01" w:rsidP="003029EA">
      <w:pPr>
        <w:pStyle w:val="Textoindependiente"/>
        <w:spacing w:line="276" w:lineRule="auto"/>
        <w:ind w:firstLine="1701"/>
        <w:rPr>
          <w:rFonts w:ascii="Gadugi" w:hAnsi="Gadugi"/>
          <w:szCs w:val="24"/>
        </w:rPr>
      </w:pPr>
    </w:p>
    <w:p w14:paraId="4E2B5645" w14:textId="05E3350C" w:rsidR="009E6D01" w:rsidRPr="003029EA" w:rsidRDefault="009E6D01" w:rsidP="003029EA">
      <w:pPr>
        <w:pStyle w:val="Textoindependiente"/>
        <w:spacing w:line="276" w:lineRule="auto"/>
        <w:ind w:firstLine="1701"/>
        <w:rPr>
          <w:rFonts w:ascii="Gadugi" w:hAnsi="Gadugi"/>
          <w:szCs w:val="24"/>
        </w:rPr>
      </w:pPr>
      <w:r w:rsidRPr="003029EA">
        <w:rPr>
          <w:rFonts w:ascii="Gadugi" w:hAnsi="Gadugi"/>
          <w:szCs w:val="24"/>
        </w:rPr>
        <w:t xml:space="preserve">Es que, recuérdese, el mandato tiene como cara característica propia que lo que ejecute el mandatario, es como si lo estuviera realizando el comitente; de suerte que el poder que el procurador general extendió en la abogada Naranjo Salazar, surtió efectos como si lo estuviera otorgando el demandante. La ilegalidad de la que se valió el Juzgado para desechar toda posibilidad de reconocerle la remuneración propia de su trabajo, se viene a menos, si se tiene en cuenta que ese mandato general pudo habérsele otorgado a cualquier persona, abogado o no, solo que esta, sin duda, para poder actuar en un proceso, tenía que valerse de la asesoría profesional, que fue en realidad lo que acordó en la escritura pública, pues si se mira bien, en cada caso quedó dicho que </w:t>
      </w:r>
      <w:r w:rsidR="000C0583" w:rsidRPr="003029EA">
        <w:rPr>
          <w:rFonts w:ascii="Gadugi" w:hAnsi="Gadugi"/>
          <w:szCs w:val="24"/>
        </w:rPr>
        <w:t xml:space="preserve">el procurador general debía otorgar poder a un mandatario judicial. </w:t>
      </w:r>
    </w:p>
    <w:p w14:paraId="593D17D4" w14:textId="587D4A00" w:rsidR="00CC76BD" w:rsidRPr="003029EA" w:rsidRDefault="00CC76BD" w:rsidP="003029EA">
      <w:pPr>
        <w:pStyle w:val="Textoindependiente"/>
        <w:spacing w:line="276" w:lineRule="auto"/>
        <w:rPr>
          <w:rFonts w:ascii="Gadugi" w:hAnsi="Gadugi"/>
          <w:szCs w:val="24"/>
        </w:rPr>
      </w:pPr>
    </w:p>
    <w:p w14:paraId="4487FE77" w14:textId="1E694F8C" w:rsidR="000C0583" w:rsidRPr="003029EA" w:rsidRDefault="000C0583" w:rsidP="003029EA">
      <w:pPr>
        <w:pStyle w:val="Textoindependiente"/>
        <w:numPr>
          <w:ilvl w:val="0"/>
          <w:numId w:val="21"/>
        </w:numPr>
        <w:tabs>
          <w:tab w:val="left" w:pos="1701"/>
        </w:tabs>
        <w:spacing w:line="276" w:lineRule="auto"/>
        <w:ind w:left="0" w:firstLine="1701"/>
        <w:rPr>
          <w:rFonts w:ascii="Gadugi" w:hAnsi="Gadugi"/>
          <w:szCs w:val="24"/>
        </w:rPr>
      </w:pPr>
      <w:r w:rsidRPr="003029EA">
        <w:rPr>
          <w:rFonts w:ascii="Gadugi" w:hAnsi="Gadugi"/>
          <w:szCs w:val="24"/>
        </w:rPr>
        <w:t>Es posible, igualmente, que la asesora judicial a quien se le revocó el poder, hubiera mencionado el porcentaje acordado con Velásquez Cadavid, esto es, un 25% de lo que se obtuviera sobre unos bienes; pero, como ella misma lo reconoce al sustentar el recurso de apelación, ese no era más que un referente para saber de dónde surge su legitimación para reclamar, que la tiene, pues, se insiste en ello, fue quien presentó la demanda y, sin una explicación, se le separó del asunto, a voluntad del demandante</w:t>
      </w:r>
      <w:r w:rsidR="00306CAC" w:rsidRPr="003029EA">
        <w:rPr>
          <w:rFonts w:ascii="Gadugi" w:hAnsi="Gadugi"/>
          <w:szCs w:val="24"/>
        </w:rPr>
        <w:t>,</w:t>
      </w:r>
      <w:r w:rsidRPr="003029EA">
        <w:rPr>
          <w:rFonts w:ascii="Gadugi" w:hAnsi="Gadugi"/>
          <w:szCs w:val="24"/>
        </w:rPr>
        <w:t xml:space="preserve"> quien, por tanto, está obligado a reconocerle sus honorarios profesionales, por supuesto, sin tomar en cuenta el mentado contrato de prestación de servicios que no la involucra a ella. </w:t>
      </w:r>
    </w:p>
    <w:p w14:paraId="38A13A8D" w14:textId="77777777" w:rsidR="000C0583" w:rsidRPr="003029EA" w:rsidRDefault="000C0583" w:rsidP="003029EA">
      <w:pPr>
        <w:pStyle w:val="Textoindependiente"/>
        <w:tabs>
          <w:tab w:val="left" w:pos="1701"/>
        </w:tabs>
        <w:spacing w:line="276" w:lineRule="auto"/>
        <w:rPr>
          <w:rFonts w:ascii="Gadugi" w:hAnsi="Gadugi"/>
          <w:szCs w:val="24"/>
        </w:rPr>
      </w:pPr>
    </w:p>
    <w:p w14:paraId="33F8F3EE" w14:textId="5A67D243" w:rsidR="000C0583" w:rsidRPr="003029EA" w:rsidRDefault="000C0583" w:rsidP="003029EA">
      <w:pPr>
        <w:pStyle w:val="Textoindependiente"/>
        <w:numPr>
          <w:ilvl w:val="0"/>
          <w:numId w:val="21"/>
        </w:numPr>
        <w:tabs>
          <w:tab w:val="left" w:pos="1701"/>
        </w:tabs>
        <w:spacing w:line="276" w:lineRule="auto"/>
        <w:ind w:left="0" w:firstLine="1701"/>
        <w:rPr>
          <w:rFonts w:ascii="Gadugi" w:hAnsi="Gadugi"/>
          <w:szCs w:val="24"/>
        </w:rPr>
      </w:pPr>
      <w:r w:rsidRPr="003029EA">
        <w:rPr>
          <w:rFonts w:ascii="Gadugi" w:hAnsi="Gadugi"/>
          <w:szCs w:val="24"/>
        </w:rPr>
        <w:t xml:space="preserve">Ahora, la cuestión es, a cuánto asciende ese reconocimiento. </w:t>
      </w:r>
      <w:r w:rsidR="00306CAC" w:rsidRPr="003029EA">
        <w:rPr>
          <w:rFonts w:ascii="Gadugi" w:hAnsi="Gadugi"/>
          <w:szCs w:val="24"/>
        </w:rPr>
        <w:t xml:space="preserve">Evidentemente, </w:t>
      </w:r>
      <w:r w:rsidRPr="003029EA">
        <w:rPr>
          <w:rFonts w:ascii="Gadugi" w:hAnsi="Gadugi"/>
          <w:szCs w:val="24"/>
        </w:rPr>
        <w:t>si no hubo con ella un pacto expreso sobre el monto de sus honorarios, ni con el apoderado general, ni con el poderdante original, esto es, el señor Velásquez Cadavid, es imposible acudir a la regulación del artículo 76 del CGP, que dice que para su determinación se tendrá en cuenta el respectivo contrato y los criterios señalados en el código para la fijación de agencias en derecho</w:t>
      </w:r>
      <w:r w:rsidR="000644A6" w:rsidRPr="003029EA">
        <w:rPr>
          <w:rStyle w:val="Refdenotaalpie"/>
          <w:rFonts w:ascii="Gadugi" w:hAnsi="Gadugi"/>
          <w:szCs w:val="24"/>
        </w:rPr>
        <w:footnoteReference w:id="14"/>
      </w:r>
      <w:r w:rsidRPr="003029EA">
        <w:rPr>
          <w:rFonts w:ascii="Gadugi" w:hAnsi="Gadugi"/>
          <w:szCs w:val="24"/>
        </w:rPr>
        <w:t xml:space="preserve">. </w:t>
      </w:r>
    </w:p>
    <w:p w14:paraId="48E597FB" w14:textId="77777777" w:rsidR="000C0583" w:rsidRPr="003029EA" w:rsidRDefault="000C0583" w:rsidP="003029EA">
      <w:pPr>
        <w:pStyle w:val="Textoindependiente"/>
        <w:tabs>
          <w:tab w:val="left" w:pos="1701"/>
        </w:tabs>
        <w:spacing w:line="276" w:lineRule="auto"/>
        <w:rPr>
          <w:rFonts w:ascii="Gadugi" w:eastAsia="Calibri" w:hAnsi="Gadugi" w:cs="Times New Roman"/>
          <w:szCs w:val="24"/>
          <w:lang w:val="es-CO" w:eastAsia="en-US"/>
        </w:rPr>
      </w:pPr>
    </w:p>
    <w:p w14:paraId="46AF3BDF" w14:textId="39D4275B" w:rsidR="00654639" w:rsidRPr="003029EA" w:rsidRDefault="000C0583" w:rsidP="003029EA">
      <w:pPr>
        <w:pStyle w:val="Textoindependiente"/>
        <w:tabs>
          <w:tab w:val="left" w:pos="1701"/>
        </w:tabs>
        <w:spacing w:line="276" w:lineRule="auto"/>
        <w:rPr>
          <w:rFonts w:ascii="Gadugi" w:hAnsi="Gadugi"/>
          <w:i/>
          <w:szCs w:val="24"/>
        </w:rPr>
      </w:pPr>
      <w:r w:rsidRPr="003029EA">
        <w:rPr>
          <w:rFonts w:ascii="Gadugi" w:hAnsi="Gadugi"/>
          <w:szCs w:val="24"/>
        </w:rPr>
        <w:t xml:space="preserve"> </w:t>
      </w:r>
      <w:r w:rsidRPr="003029EA">
        <w:rPr>
          <w:rFonts w:ascii="Gadugi" w:hAnsi="Gadugi"/>
          <w:szCs w:val="24"/>
        </w:rPr>
        <w:tab/>
        <w:t>Por tanto, lo que le queda a la Sala es fijar por su cuenta las agencias en derecho</w:t>
      </w:r>
      <w:r w:rsidR="00654639" w:rsidRPr="003029EA">
        <w:rPr>
          <w:rFonts w:ascii="Gadugi" w:hAnsi="Gadugi"/>
          <w:szCs w:val="24"/>
        </w:rPr>
        <w:t xml:space="preserve"> respectivas; y para ello, habrá de </w:t>
      </w:r>
      <w:r w:rsidRPr="003029EA">
        <w:rPr>
          <w:rFonts w:ascii="Gadugi" w:hAnsi="Gadugi"/>
          <w:szCs w:val="24"/>
        </w:rPr>
        <w:t>escudriñar en el artículo 365 del mismo estatuto, que prevé que</w:t>
      </w:r>
      <w:r w:rsidR="00654639" w:rsidRPr="003029EA">
        <w:rPr>
          <w:rFonts w:ascii="Gadugi" w:hAnsi="Gadugi"/>
          <w:szCs w:val="24"/>
        </w:rPr>
        <w:t xml:space="preserve">, con tal fin </w:t>
      </w:r>
      <w:r w:rsidR="00654639" w:rsidRPr="003029EA">
        <w:rPr>
          <w:rFonts w:ascii="Gadugi" w:hAnsi="Gadugi"/>
          <w:i/>
          <w:szCs w:val="24"/>
        </w:rPr>
        <w:t>“</w:t>
      </w:r>
      <w:r w:rsidR="00654639" w:rsidRPr="00492552">
        <w:rPr>
          <w:rFonts w:ascii="Gadugi" w:hAnsi="Gadugi"/>
          <w:i/>
          <w:sz w:val="22"/>
          <w:szCs w:val="24"/>
        </w:rPr>
        <w:t>…</w:t>
      </w:r>
      <w:r w:rsidR="00492552" w:rsidRPr="00492552">
        <w:rPr>
          <w:rFonts w:ascii="Gadugi" w:hAnsi="Gadugi"/>
          <w:i/>
          <w:sz w:val="20"/>
          <w:szCs w:val="24"/>
        </w:rPr>
        <w:t xml:space="preserve"> </w:t>
      </w:r>
      <w:r w:rsidR="00654639" w:rsidRPr="00492552">
        <w:rPr>
          <w:rFonts w:ascii="Gadugi" w:hAnsi="Gadugi"/>
          <w:i/>
          <w:sz w:val="22"/>
          <w:szCs w:val="24"/>
        </w:rPr>
        <w:t>deberán aplicarse las tarifas que establezca el Consejo Superior de la Judicatura. Si aquellas establecen solamente un mínimo, o este y un máximo, el juez tendrá en cuenta, además, la naturaleza, calidad y duración de la gestión realizada por el apoderado o la parte que litigó personalmente, la cuantía del proceso y otras circunstancias especiales, sin que pueda exceder del máximo de dichas tarifas</w:t>
      </w:r>
      <w:r w:rsidR="00CD31D6" w:rsidRPr="003029EA">
        <w:rPr>
          <w:rFonts w:ascii="Gadugi" w:hAnsi="Gadugi"/>
          <w:i/>
          <w:szCs w:val="24"/>
        </w:rPr>
        <w:t xml:space="preserve">”. </w:t>
      </w:r>
    </w:p>
    <w:p w14:paraId="376D1550" w14:textId="6ED774D4" w:rsidR="00CD31D6" w:rsidRPr="003029EA" w:rsidRDefault="00CD31D6" w:rsidP="003029EA">
      <w:pPr>
        <w:pStyle w:val="Textoindependiente"/>
        <w:tabs>
          <w:tab w:val="left" w:pos="1701"/>
        </w:tabs>
        <w:spacing w:line="276" w:lineRule="auto"/>
        <w:rPr>
          <w:rFonts w:ascii="Gadugi" w:hAnsi="Gadugi"/>
          <w:i/>
          <w:szCs w:val="24"/>
        </w:rPr>
      </w:pPr>
    </w:p>
    <w:p w14:paraId="5AA9CFE4" w14:textId="5BFA3931" w:rsidR="00CD31D6" w:rsidRPr="003029EA" w:rsidRDefault="00CD31D6" w:rsidP="003029EA">
      <w:pPr>
        <w:pStyle w:val="Textoindependiente"/>
        <w:tabs>
          <w:tab w:val="left" w:pos="1701"/>
        </w:tabs>
        <w:spacing w:line="276" w:lineRule="auto"/>
        <w:rPr>
          <w:rFonts w:ascii="Gadugi" w:hAnsi="Gadugi"/>
          <w:szCs w:val="24"/>
        </w:rPr>
      </w:pPr>
      <w:r w:rsidRPr="003029EA">
        <w:rPr>
          <w:rFonts w:ascii="Gadugi" w:hAnsi="Gadugi"/>
          <w:szCs w:val="24"/>
        </w:rPr>
        <w:t xml:space="preserve"> </w:t>
      </w:r>
      <w:r w:rsidRPr="003029EA">
        <w:rPr>
          <w:rFonts w:ascii="Gadugi" w:hAnsi="Gadugi"/>
          <w:szCs w:val="24"/>
        </w:rPr>
        <w:tab/>
        <w:t xml:space="preserve">En ese orden, el Acuerdo PSAA16-10554 del 5 de agosto de 2016, proferido por el Consejo Superior de la Judicatura y vigente para cuando se promovió el incidente, señala que a los procesos declarativos que se determinen por la cuantía, en primera instancia, corresponde una remuneración que oscila entre el 5% y el 15% de lo pedido (art. 5-1). Además, prevé en sus reglas generales, que </w:t>
      </w:r>
      <w:r w:rsidRPr="003029EA">
        <w:rPr>
          <w:rFonts w:ascii="Gadugi" w:hAnsi="Gadugi"/>
          <w:i/>
          <w:szCs w:val="24"/>
        </w:rPr>
        <w:t>“</w:t>
      </w:r>
      <w:r w:rsidRPr="00B21932">
        <w:rPr>
          <w:rFonts w:ascii="Gadugi" w:hAnsi="Gadugi"/>
          <w:i/>
          <w:sz w:val="22"/>
          <w:szCs w:val="24"/>
        </w:rPr>
        <w:t>Para la fijación de agencias en derecho el funcionario judicial tendrá en cuenta, dentro del rango de las tarifas mínimas y máximas establecidas por este acuerdo, la naturaleza, la calidad y la duración de la gestión realizada por el apoderado o la parte que litigó personalmente, la cuantía del proceso y demás circunstancias especiales directamente relacionadas con dicha actividad, que permitan valorar la labor jurídica desarrollada, sin que en ningún caso se puedan desconocer los referidos límites</w:t>
      </w:r>
      <w:r w:rsidRPr="003029EA">
        <w:rPr>
          <w:rFonts w:ascii="Gadugi" w:hAnsi="Gadugi"/>
          <w:i/>
          <w:szCs w:val="24"/>
        </w:rPr>
        <w:t xml:space="preserve">” </w:t>
      </w:r>
      <w:r w:rsidRPr="003029EA">
        <w:rPr>
          <w:rFonts w:ascii="Gadugi" w:hAnsi="Gadugi"/>
          <w:szCs w:val="24"/>
        </w:rPr>
        <w:t xml:space="preserve">(art. 2°); también, que </w:t>
      </w:r>
      <w:r w:rsidRPr="003029EA">
        <w:rPr>
          <w:rFonts w:ascii="Gadugi" w:hAnsi="Gadugi"/>
          <w:i/>
          <w:szCs w:val="24"/>
        </w:rPr>
        <w:t>“</w:t>
      </w:r>
      <w:r w:rsidRPr="00B21932">
        <w:rPr>
          <w:rFonts w:ascii="Gadugi" w:hAnsi="Gadugi"/>
          <w:i/>
          <w:sz w:val="22"/>
          <w:szCs w:val="24"/>
        </w:rPr>
        <w:t>Cuando las agencias en derecho correspondan a procesos en los que se formularon pretensiones de índole pecuniario, o en los que en la determinación de la competencia se tuvo en cuenta la cuantía, las tarifas se establecen en porcentajes sobre el valor de aquellas o de ésta</w:t>
      </w:r>
      <w:r w:rsidRPr="003029EA">
        <w:rPr>
          <w:rFonts w:ascii="Gadugi" w:hAnsi="Gadugi"/>
          <w:i/>
          <w:szCs w:val="24"/>
        </w:rPr>
        <w:t xml:space="preserve">”. </w:t>
      </w:r>
    </w:p>
    <w:p w14:paraId="39F0FE1F" w14:textId="77777777" w:rsidR="00654639" w:rsidRPr="003029EA" w:rsidRDefault="00654639" w:rsidP="003029EA">
      <w:pPr>
        <w:pStyle w:val="Textoindependiente"/>
        <w:tabs>
          <w:tab w:val="left" w:pos="1701"/>
        </w:tabs>
        <w:spacing w:line="276" w:lineRule="auto"/>
        <w:rPr>
          <w:rFonts w:ascii="Gadugi" w:hAnsi="Gadugi"/>
          <w:i/>
          <w:szCs w:val="24"/>
        </w:rPr>
      </w:pPr>
    </w:p>
    <w:p w14:paraId="7CBA4F89" w14:textId="0D3EFD70" w:rsidR="001B18EE" w:rsidRPr="003029EA" w:rsidRDefault="00CD31D6" w:rsidP="003029EA">
      <w:pPr>
        <w:pStyle w:val="Textoindependiente"/>
        <w:spacing w:line="276" w:lineRule="auto"/>
        <w:ind w:firstLine="1701"/>
        <w:rPr>
          <w:rFonts w:ascii="Gadugi" w:hAnsi="Gadugi"/>
          <w:szCs w:val="24"/>
        </w:rPr>
      </w:pPr>
      <w:r w:rsidRPr="003029EA">
        <w:rPr>
          <w:rFonts w:ascii="Gadugi" w:hAnsi="Gadugi"/>
          <w:szCs w:val="24"/>
        </w:rPr>
        <w:t xml:space="preserve">Pues bien, en la demanda (p. 300, c. ppal.) se indicó que la cuantía del proceso asciende a la suma de </w:t>
      </w:r>
      <w:r w:rsidR="001B18EE" w:rsidRPr="003029EA">
        <w:rPr>
          <w:rFonts w:ascii="Gadugi" w:hAnsi="Gadugi"/>
          <w:szCs w:val="24"/>
        </w:rPr>
        <w:t>$297’212.000,</w:t>
      </w:r>
      <w:r w:rsidR="00B21932">
        <w:rPr>
          <w:rFonts w:ascii="Gadugi" w:hAnsi="Gadugi"/>
          <w:szCs w:val="24"/>
        </w:rPr>
        <w:t>00</w:t>
      </w:r>
      <w:r w:rsidR="001B18EE" w:rsidRPr="003029EA">
        <w:rPr>
          <w:rFonts w:ascii="Gadugi" w:hAnsi="Gadugi"/>
          <w:szCs w:val="24"/>
        </w:rPr>
        <w:t xml:space="preserve">. Así que, aplicada la tarifa anterior, en el caso de que el proceso avanzara hasta terminar con sentencia, los honorarios </w:t>
      </w:r>
      <w:r w:rsidR="00306CAC" w:rsidRPr="003029EA">
        <w:rPr>
          <w:rFonts w:ascii="Gadugi" w:hAnsi="Gadugi"/>
          <w:szCs w:val="24"/>
        </w:rPr>
        <w:t xml:space="preserve">fluctuarían </w:t>
      </w:r>
      <w:r w:rsidR="001B18EE" w:rsidRPr="003029EA">
        <w:rPr>
          <w:rFonts w:ascii="Gadugi" w:hAnsi="Gadugi"/>
          <w:szCs w:val="24"/>
        </w:rPr>
        <w:t>entre $14’860.600,</w:t>
      </w:r>
      <w:r w:rsidR="00B21932">
        <w:rPr>
          <w:rFonts w:ascii="Gadugi" w:hAnsi="Gadugi"/>
          <w:szCs w:val="24"/>
        </w:rPr>
        <w:t>00</w:t>
      </w:r>
      <w:r w:rsidR="001B18EE" w:rsidRPr="003029EA">
        <w:rPr>
          <w:rFonts w:ascii="Gadugi" w:hAnsi="Gadugi"/>
          <w:szCs w:val="24"/>
        </w:rPr>
        <w:t xml:space="preserve"> (5%) y $44’581.800,</w:t>
      </w:r>
      <w:r w:rsidR="00B21932">
        <w:rPr>
          <w:rFonts w:ascii="Gadugi" w:hAnsi="Gadugi"/>
          <w:szCs w:val="24"/>
        </w:rPr>
        <w:t>00</w:t>
      </w:r>
      <w:r w:rsidR="001B18EE" w:rsidRPr="003029EA">
        <w:rPr>
          <w:rFonts w:ascii="Gadugi" w:hAnsi="Gadugi"/>
          <w:szCs w:val="24"/>
        </w:rPr>
        <w:t xml:space="preserve"> (15%). </w:t>
      </w:r>
    </w:p>
    <w:p w14:paraId="6C78C46B" w14:textId="701431AF" w:rsidR="001B18EE" w:rsidRPr="003029EA" w:rsidRDefault="001B18EE" w:rsidP="003029EA">
      <w:pPr>
        <w:pStyle w:val="Textoindependiente"/>
        <w:spacing w:line="276" w:lineRule="auto"/>
        <w:ind w:firstLine="1701"/>
        <w:rPr>
          <w:rFonts w:ascii="Gadugi" w:hAnsi="Gadugi"/>
          <w:szCs w:val="24"/>
        </w:rPr>
      </w:pPr>
    </w:p>
    <w:p w14:paraId="51C2E74E" w14:textId="5D029932" w:rsidR="001B18EE" w:rsidRPr="003029EA" w:rsidRDefault="001B18EE" w:rsidP="003029EA">
      <w:pPr>
        <w:pStyle w:val="Textoindependiente"/>
        <w:spacing w:line="276" w:lineRule="auto"/>
        <w:ind w:firstLine="1701"/>
        <w:rPr>
          <w:rFonts w:ascii="Gadugi" w:hAnsi="Gadugi"/>
          <w:szCs w:val="24"/>
        </w:rPr>
      </w:pPr>
      <w:r w:rsidRPr="003029EA">
        <w:rPr>
          <w:rFonts w:ascii="Gadugi" w:hAnsi="Gadugi"/>
          <w:szCs w:val="24"/>
        </w:rPr>
        <w:t>Para este caso concreto, acudiendo a los criterios señalados</w:t>
      </w:r>
      <w:r w:rsidR="00306CAC" w:rsidRPr="003029EA">
        <w:rPr>
          <w:rFonts w:ascii="Gadugi" w:hAnsi="Gadugi"/>
          <w:szCs w:val="24"/>
        </w:rPr>
        <w:t>,</w:t>
      </w:r>
      <w:r w:rsidRPr="003029EA">
        <w:rPr>
          <w:rFonts w:ascii="Gadugi" w:hAnsi="Gadugi"/>
          <w:szCs w:val="24"/>
        </w:rPr>
        <w:t xml:space="preserve"> se tiene que, en condiciones generales, un proceso tendiente a la declaración de dominio no es, en principio, de una alta complejidad; y dado que la gestión de la apoderada judicial se limitó a la presentación de la demanda, calificar la calidad de la misma es inviable; además, la duración de su labor fue </w:t>
      </w:r>
      <w:r w:rsidR="003B0307" w:rsidRPr="003029EA">
        <w:rPr>
          <w:rFonts w:ascii="Gadugi" w:hAnsi="Gadugi"/>
          <w:szCs w:val="24"/>
        </w:rPr>
        <w:t>reducida</w:t>
      </w:r>
      <w:r w:rsidRPr="003029EA">
        <w:rPr>
          <w:rFonts w:ascii="Gadugi" w:hAnsi="Gadugi"/>
          <w:szCs w:val="24"/>
        </w:rPr>
        <w:t xml:space="preserve">. </w:t>
      </w:r>
    </w:p>
    <w:p w14:paraId="7A9A75A9" w14:textId="12A0BF2C" w:rsidR="001B18EE" w:rsidRPr="003029EA" w:rsidRDefault="001B18EE" w:rsidP="003029EA">
      <w:pPr>
        <w:pStyle w:val="Textoindependiente"/>
        <w:spacing w:line="276" w:lineRule="auto"/>
        <w:ind w:firstLine="1701"/>
        <w:rPr>
          <w:rFonts w:ascii="Gadugi" w:hAnsi="Gadugi"/>
          <w:szCs w:val="24"/>
        </w:rPr>
      </w:pPr>
    </w:p>
    <w:p w14:paraId="3BD2A851" w14:textId="0088F4C4" w:rsidR="001B18EE" w:rsidRPr="003029EA" w:rsidRDefault="001B18EE" w:rsidP="003029EA">
      <w:pPr>
        <w:pStyle w:val="Textoindependiente"/>
        <w:spacing w:line="276" w:lineRule="auto"/>
        <w:ind w:firstLine="1701"/>
        <w:rPr>
          <w:rFonts w:ascii="Gadugi" w:hAnsi="Gadugi"/>
          <w:szCs w:val="24"/>
        </w:rPr>
      </w:pPr>
      <w:r w:rsidRPr="003029EA">
        <w:rPr>
          <w:rFonts w:ascii="Gadugi" w:hAnsi="Gadugi"/>
          <w:szCs w:val="24"/>
        </w:rPr>
        <w:t>Así que</w:t>
      </w:r>
      <w:r w:rsidR="00306CAC" w:rsidRPr="003029EA">
        <w:rPr>
          <w:rFonts w:ascii="Gadugi" w:hAnsi="Gadugi"/>
          <w:szCs w:val="24"/>
        </w:rPr>
        <w:t>,</w:t>
      </w:r>
      <w:r w:rsidRPr="003029EA">
        <w:rPr>
          <w:rFonts w:ascii="Gadugi" w:hAnsi="Gadugi"/>
          <w:szCs w:val="24"/>
        </w:rPr>
        <w:t xml:space="preserve"> partiendo del mínimo señalado, y dado que su actuación fue solo la de presentar la demanda, estima la Sala que una suma acorde con ella</w:t>
      </w:r>
      <w:r w:rsidR="003B0307" w:rsidRPr="003029EA">
        <w:rPr>
          <w:rFonts w:ascii="Gadugi" w:hAnsi="Gadugi"/>
          <w:szCs w:val="24"/>
        </w:rPr>
        <w:t>, es la de $5’000.000,</w:t>
      </w:r>
      <w:r w:rsidR="00B21932">
        <w:rPr>
          <w:rFonts w:ascii="Gadugi" w:hAnsi="Gadugi"/>
          <w:szCs w:val="24"/>
        </w:rPr>
        <w:t>00</w:t>
      </w:r>
      <w:r w:rsidR="003B0307" w:rsidRPr="003029EA">
        <w:rPr>
          <w:rFonts w:ascii="Gadugi" w:hAnsi="Gadugi"/>
          <w:szCs w:val="24"/>
        </w:rPr>
        <w:t xml:space="preserve">, que es el monto en el que se fijarán sus honorarios. </w:t>
      </w:r>
    </w:p>
    <w:p w14:paraId="423FF0B5" w14:textId="2A021AFC" w:rsidR="003B0307" w:rsidRPr="003029EA" w:rsidRDefault="003B0307" w:rsidP="003029EA">
      <w:pPr>
        <w:pStyle w:val="Textoindependiente"/>
        <w:spacing w:line="276" w:lineRule="auto"/>
        <w:ind w:firstLine="1701"/>
        <w:rPr>
          <w:rFonts w:ascii="Gadugi" w:hAnsi="Gadugi"/>
          <w:szCs w:val="24"/>
        </w:rPr>
      </w:pPr>
    </w:p>
    <w:p w14:paraId="2DD1F71C" w14:textId="429E9554" w:rsidR="003B0307" w:rsidRPr="003029EA" w:rsidRDefault="003B0307" w:rsidP="003029EA">
      <w:pPr>
        <w:pStyle w:val="Textoindependiente"/>
        <w:spacing w:line="276" w:lineRule="auto"/>
        <w:ind w:firstLine="1701"/>
        <w:rPr>
          <w:rFonts w:ascii="Gadugi" w:hAnsi="Gadugi"/>
          <w:szCs w:val="24"/>
        </w:rPr>
      </w:pPr>
      <w:r w:rsidRPr="003029EA">
        <w:rPr>
          <w:rFonts w:ascii="Gadugi" w:hAnsi="Gadugi"/>
          <w:szCs w:val="24"/>
        </w:rPr>
        <w:t xml:space="preserve">Se dirá que con ello se trasgrede el Acuerdo en cita, porque este monto está por debajo de los límites; pero ello </w:t>
      </w:r>
      <w:r w:rsidR="00306CAC" w:rsidRPr="003029EA">
        <w:rPr>
          <w:rFonts w:ascii="Gadugi" w:hAnsi="Gadugi"/>
          <w:szCs w:val="24"/>
        </w:rPr>
        <w:t>n</w:t>
      </w:r>
      <w:r w:rsidRPr="003029EA">
        <w:rPr>
          <w:rFonts w:ascii="Gadugi" w:hAnsi="Gadugi"/>
          <w:szCs w:val="24"/>
        </w:rPr>
        <w:t>o es así, pues, se repite, el mínimo y el máximo indicados corresponden al despliegue que se haga en el proceso desde la demanda hasta su finalización normal, que es la sentencia</w:t>
      </w:r>
      <w:r w:rsidR="00306CAC" w:rsidRPr="003029EA">
        <w:rPr>
          <w:rFonts w:ascii="Gadugi" w:hAnsi="Gadugi"/>
          <w:szCs w:val="24"/>
        </w:rPr>
        <w:t xml:space="preserve"> -</w:t>
      </w:r>
      <w:r w:rsidRPr="003029EA">
        <w:rPr>
          <w:rFonts w:ascii="Gadugi" w:hAnsi="Gadugi"/>
          <w:szCs w:val="24"/>
        </w:rPr>
        <w:t>pues si la terminación es anormal, es otra la regla aplicable (par. 4°, art. 3°)</w:t>
      </w:r>
      <w:r w:rsidR="00306CAC" w:rsidRPr="003029EA">
        <w:rPr>
          <w:rFonts w:ascii="Gadugi" w:hAnsi="Gadugi"/>
          <w:szCs w:val="24"/>
        </w:rPr>
        <w:t>-</w:t>
      </w:r>
      <w:r w:rsidRPr="003029EA">
        <w:rPr>
          <w:rFonts w:ascii="Gadugi" w:hAnsi="Gadugi"/>
          <w:szCs w:val="24"/>
        </w:rPr>
        <w:t>. Y en este caso, está visto que la apoderada inicial limitó su participación a la sola demanda, es decir, que no participó, si es que ya se ha avanzado, en la fase de la conformación de la litis, esto es, la integración de los demandados, ni</w:t>
      </w:r>
      <w:r w:rsidR="00306CAC" w:rsidRPr="003029EA">
        <w:rPr>
          <w:rFonts w:ascii="Gadugi" w:hAnsi="Gadugi"/>
          <w:szCs w:val="24"/>
        </w:rPr>
        <w:t xml:space="preserve"> lo hará </w:t>
      </w:r>
      <w:r w:rsidRPr="003029EA">
        <w:rPr>
          <w:rFonts w:ascii="Gadugi" w:hAnsi="Gadugi"/>
          <w:szCs w:val="24"/>
        </w:rPr>
        <w:t xml:space="preserve">en las audiencias inicial y de trámite y juzgamiento, </w:t>
      </w:r>
      <w:r w:rsidR="00306CAC" w:rsidRPr="003029EA">
        <w:rPr>
          <w:rFonts w:ascii="Gadugi" w:hAnsi="Gadugi"/>
          <w:szCs w:val="24"/>
        </w:rPr>
        <w:t xml:space="preserve">como </w:t>
      </w:r>
      <w:r w:rsidRPr="003029EA">
        <w:rPr>
          <w:rFonts w:ascii="Gadugi" w:hAnsi="Gadugi"/>
          <w:szCs w:val="24"/>
        </w:rPr>
        <w:t>tampoco en las fases posteriores al fallo.</w:t>
      </w:r>
    </w:p>
    <w:p w14:paraId="2BE11F04" w14:textId="766FA043" w:rsidR="003B0307" w:rsidRPr="003029EA" w:rsidRDefault="003B0307" w:rsidP="003029EA">
      <w:pPr>
        <w:pStyle w:val="Textoindependiente"/>
        <w:spacing w:line="276" w:lineRule="auto"/>
        <w:ind w:firstLine="1701"/>
        <w:rPr>
          <w:rFonts w:ascii="Gadugi" w:hAnsi="Gadugi"/>
          <w:szCs w:val="24"/>
        </w:rPr>
      </w:pPr>
    </w:p>
    <w:p w14:paraId="43BD4EDF" w14:textId="7D1BDA2F" w:rsidR="000644A6" w:rsidRPr="003029EA" w:rsidRDefault="00931612" w:rsidP="003029EA">
      <w:pPr>
        <w:pStyle w:val="Prrafodelista"/>
        <w:numPr>
          <w:ilvl w:val="0"/>
          <w:numId w:val="21"/>
        </w:numPr>
        <w:spacing w:after="0"/>
        <w:ind w:left="0" w:firstLine="1701"/>
        <w:jc w:val="both"/>
        <w:rPr>
          <w:rFonts w:ascii="Gadugi" w:hAnsi="Gadugi" w:cs="Courier New"/>
          <w:sz w:val="24"/>
          <w:szCs w:val="24"/>
          <w:lang w:val="es-MX"/>
        </w:rPr>
      </w:pPr>
      <w:r w:rsidRPr="003029EA">
        <w:rPr>
          <w:rFonts w:ascii="Gadugi" w:hAnsi="Gadugi" w:cs="Courier New"/>
          <w:sz w:val="24"/>
          <w:szCs w:val="24"/>
          <w:lang w:val="es-MX"/>
        </w:rPr>
        <w:lastRenderedPageBreak/>
        <w:t xml:space="preserve">Viene de este trasunto, que el auto protestado se </w:t>
      </w:r>
      <w:r w:rsidR="003B0307" w:rsidRPr="003029EA">
        <w:rPr>
          <w:rFonts w:ascii="Gadugi" w:hAnsi="Gadugi" w:cs="Courier New"/>
          <w:sz w:val="24"/>
          <w:szCs w:val="24"/>
          <w:lang w:val="es-MX"/>
        </w:rPr>
        <w:t xml:space="preserve">revocará y, en su lugar, se accederá a la fijación de honorarios que reclama la abogada Claudia </w:t>
      </w:r>
      <w:r w:rsidR="000644A6" w:rsidRPr="003029EA">
        <w:rPr>
          <w:rFonts w:ascii="Gadugi" w:hAnsi="Gadugi" w:cs="Courier New"/>
          <w:sz w:val="24"/>
          <w:szCs w:val="24"/>
          <w:lang w:val="es-MX"/>
        </w:rPr>
        <w:t>N</w:t>
      </w:r>
      <w:r w:rsidR="003B0307" w:rsidRPr="003029EA">
        <w:rPr>
          <w:rFonts w:ascii="Gadugi" w:hAnsi="Gadugi" w:cs="Courier New"/>
          <w:sz w:val="24"/>
          <w:szCs w:val="24"/>
          <w:lang w:val="es-MX"/>
        </w:rPr>
        <w:t>aranjo Salazar, en la suma indicada.</w:t>
      </w:r>
    </w:p>
    <w:p w14:paraId="308E418C" w14:textId="1211B968" w:rsidR="000644A6" w:rsidRPr="003029EA" w:rsidRDefault="000644A6" w:rsidP="003029EA">
      <w:pPr>
        <w:pStyle w:val="Prrafodelista"/>
        <w:spacing w:after="0"/>
        <w:ind w:left="1701"/>
        <w:jc w:val="both"/>
        <w:rPr>
          <w:rFonts w:ascii="Gadugi" w:hAnsi="Gadugi" w:cs="Courier New"/>
          <w:sz w:val="24"/>
          <w:szCs w:val="24"/>
          <w:lang w:val="es-MX"/>
        </w:rPr>
      </w:pPr>
    </w:p>
    <w:p w14:paraId="4D027D0F" w14:textId="73A3450B" w:rsidR="000644A6" w:rsidRPr="003029EA" w:rsidRDefault="000644A6" w:rsidP="003029EA">
      <w:pPr>
        <w:pStyle w:val="Prrafodelista"/>
        <w:spacing w:after="0"/>
        <w:ind w:left="0" w:firstLine="1701"/>
        <w:jc w:val="both"/>
        <w:rPr>
          <w:rFonts w:ascii="Gadugi" w:hAnsi="Gadugi" w:cs="Courier New"/>
          <w:sz w:val="24"/>
          <w:szCs w:val="24"/>
          <w:lang w:val="es-MX"/>
        </w:rPr>
      </w:pPr>
      <w:r w:rsidRPr="003029EA">
        <w:rPr>
          <w:rFonts w:ascii="Gadugi" w:hAnsi="Gadugi" w:cs="Courier New"/>
          <w:sz w:val="24"/>
          <w:szCs w:val="24"/>
          <w:lang w:val="es-MX"/>
        </w:rPr>
        <w:t xml:space="preserve">Como el incidente sale avante y también el recurso, no habrá condena en costas en ninguna de las instancias, pues el artículo 365 prevé tal condena en contra de quien se le resuelvan desfavorablemente los que hubieren propuesto. </w:t>
      </w:r>
    </w:p>
    <w:p w14:paraId="40768EA3" w14:textId="1F4ADE7B" w:rsidR="000644A6" w:rsidRPr="003029EA" w:rsidRDefault="000644A6" w:rsidP="003029EA">
      <w:pPr>
        <w:spacing w:line="276" w:lineRule="auto"/>
        <w:jc w:val="both"/>
        <w:rPr>
          <w:rFonts w:ascii="Gadugi" w:hAnsi="Gadugi" w:cs="Courier New"/>
          <w:sz w:val="24"/>
          <w:szCs w:val="24"/>
          <w:lang w:val="es-MX"/>
        </w:rPr>
      </w:pPr>
    </w:p>
    <w:p w14:paraId="0F7B4ECB" w14:textId="6D4D57FA" w:rsidR="000644A6" w:rsidRPr="003029EA" w:rsidRDefault="000644A6" w:rsidP="003029EA">
      <w:pPr>
        <w:spacing w:line="276" w:lineRule="auto"/>
        <w:jc w:val="both"/>
        <w:rPr>
          <w:rFonts w:ascii="Gadugi" w:hAnsi="Gadugi" w:cs="Courier New"/>
          <w:sz w:val="24"/>
          <w:szCs w:val="24"/>
          <w:lang w:val="es-MX"/>
        </w:rPr>
      </w:pPr>
    </w:p>
    <w:p w14:paraId="4B350955" w14:textId="637C91CC" w:rsidR="000644A6" w:rsidRPr="003029EA" w:rsidRDefault="000644A6" w:rsidP="003029EA">
      <w:pPr>
        <w:spacing w:line="276" w:lineRule="auto"/>
        <w:ind w:firstLine="1701"/>
        <w:jc w:val="both"/>
        <w:rPr>
          <w:rFonts w:ascii="Gadugi" w:hAnsi="Gadugi" w:cs="Courier New"/>
          <w:b/>
          <w:sz w:val="24"/>
          <w:szCs w:val="24"/>
          <w:lang w:val="es-MX"/>
        </w:rPr>
      </w:pPr>
      <w:r w:rsidRPr="003029EA">
        <w:rPr>
          <w:rFonts w:ascii="Gadugi" w:hAnsi="Gadugi" w:cs="Courier New"/>
          <w:sz w:val="24"/>
          <w:szCs w:val="24"/>
          <w:lang w:val="es-MX"/>
        </w:rPr>
        <w:t xml:space="preserve"> </w:t>
      </w:r>
      <w:r w:rsidRPr="003029EA">
        <w:rPr>
          <w:rFonts w:ascii="Gadugi" w:hAnsi="Gadugi" w:cs="Courier New"/>
          <w:b/>
          <w:sz w:val="24"/>
          <w:szCs w:val="24"/>
          <w:lang w:val="es-MX"/>
        </w:rPr>
        <w:t>DECISIÓN</w:t>
      </w:r>
    </w:p>
    <w:p w14:paraId="1582C808" w14:textId="55408B3C" w:rsidR="000644A6" w:rsidRPr="003029EA" w:rsidRDefault="000644A6" w:rsidP="003029EA">
      <w:pPr>
        <w:spacing w:line="276" w:lineRule="auto"/>
        <w:jc w:val="both"/>
        <w:rPr>
          <w:rFonts w:ascii="Gadugi" w:hAnsi="Gadugi" w:cs="Courier New"/>
          <w:b/>
          <w:sz w:val="24"/>
          <w:szCs w:val="24"/>
          <w:lang w:val="es-MX"/>
        </w:rPr>
      </w:pPr>
    </w:p>
    <w:p w14:paraId="282A5CB5" w14:textId="7C335268" w:rsidR="000644A6" w:rsidRPr="003029EA" w:rsidRDefault="000644A6" w:rsidP="003029EA">
      <w:pPr>
        <w:spacing w:line="276" w:lineRule="auto"/>
        <w:jc w:val="both"/>
        <w:rPr>
          <w:rFonts w:ascii="Gadugi" w:hAnsi="Gadugi" w:cs="Courier New"/>
          <w:b/>
          <w:sz w:val="24"/>
          <w:szCs w:val="24"/>
          <w:lang w:val="es-MX"/>
        </w:rPr>
      </w:pPr>
    </w:p>
    <w:p w14:paraId="1ADE21FB" w14:textId="406B68E1" w:rsidR="00FE079C" w:rsidRPr="003029EA" w:rsidRDefault="00931612" w:rsidP="003029EA">
      <w:pPr>
        <w:pStyle w:val="Textoindependiente"/>
        <w:spacing w:line="276" w:lineRule="auto"/>
        <w:ind w:firstLine="1701"/>
        <w:rPr>
          <w:rFonts w:ascii="Gadugi" w:hAnsi="Gadugi"/>
          <w:szCs w:val="24"/>
        </w:rPr>
      </w:pPr>
      <w:r w:rsidRPr="003029EA">
        <w:rPr>
          <w:rFonts w:ascii="Gadugi" w:hAnsi="Gadugi"/>
          <w:szCs w:val="24"/>
        </w:rPr>
        <w:t xml:space="preserve">En armonía con lo dicho, el </w:t>
      </w:r>
      <w:r w:rsidRPr="003029EA">
        <w:rPr>
          <w:rFonts w:ascii="Gadugi" w:hAnsi="Gadugi"/>
          <w:b/>
          <w:bCs/>
          <w:szCs w:val="24"/>
        </w:rPr>
        <w:t>Tribunal Superior del Distrito Judicial, Sala de Decisión Civil-Familia</w:t>
      </w:r>
      <w:r w:rsidRPr="003029EA">
        <w:rPr>
          <w:rFonts w:ascii="Gadugi" w:hAnsi="Gadugi"/>
          <w:szCs w:val="24"/>
        </w:rPr>
        <w:t xml:space="preserve">, </w:t>
      </w:r>
      <w:r w:rsidR="00FE079C" w:rsidRPr="003029EA">
        <w:rPr>
          <w:rFonts w:ascii="Gadugi" w:hAnsi="Gadugi"/>
          <w:b/>
          <w:szCs w:val="24"/>
        </w:rPr>
        <w:t>REVOCA</w:t>
      </w:r>
      <w:r w:rsidRPr="003029EA">
        <w:rPr>
          <w:rFonts w:ascii="Gadugi" w:hAnsi="Gadugi"/>
          <w:b/>
          <w:bCs/>
          <w:szCs w:val="24"/>
        </w:rPr>
        <w:t xml:space="preserve"> </w:t>
      </w:r>
      <w:r w:rsidR="00FE079C" w:rsidRPr="003029EA">
        <w:rPr>
          <w:rFonts w:ascii="Gadugi" w:hAnsi="Gadugi"/>
          <w:szCs w:val="24"/>
        </w:rPr>
        <w:t xml:space="preserve">el auto del 24 de junio de 2021, proferido por el Juzgado Civil del Circuito de Dosquebradas, en este proceso verbal reivindicatorio que </w:t>
      </w:r>
      <w:r w:rsidR="00FE079C" w:rsidRPr="003029EA">
        <w:rPr>
          <w:rFonts w:ascii="Gadugi" w:hAnsi="Gadugi"/>
          <w:b/>
          <w:szCs w:val="24"/>
        </w:rPr>
        <w:t>Gilberto Velásquez Cadavid</w:t>
      </w:r>
      <w:r w:rsidR="00FE079C" w:rsidRPr="003029EA">
        <w:rPr>
          <w:rFonts w:ascii="Gadugi" w:hAnsi="Gadugi"/>
          <w:szCs w:val="24"/>
        </w:rPr>
        <w:t xml:space="preserve"> le sigue a </w:t>
      </w:r>
      <w:r w:rsidR="00FE079C" w:rsidRPr="003029EA">
        <w:rPr>
          <w:rFonts w:ascii="Gadugi" w:hAnsi="Gadugi"/>
          <w:b/>
          <w:szCs w:val="24"/>
        </w:rPr>
        <w:t xml:space="preserve">Rodrigo Javier Villegas Correa </w:t>
      </w:r>
      <w:r w:rsidR="00FE079C" w:rsidRPr="003029EA">
        <w:rPr>
          <w:rFonts w:ascii="Gadugi" w:hAnsi="Gadugi"/>
          <w:szCs w:val="24"/>
        </w:rPr>
        <w:t>y</w:t>
      </w:r>
      <w:r w:rsidR="00FE079C" w:rsidRPr="003029EA">
        <w:rPr>
          <w:rFonts w:ascii="Gadugi" w:hAnsi="Gadugi"/>
          <w:b/>
          <w:szCs w:val="24"/>
        </w:rPr>
        <w:t xml:space="preserve"> Sergio Alonso Valencia Jaramillo</w:t>
      </w:r>
      <w:r w:rsidR="00FE079C" w:rsidRPr="003029EA">
        <w:rPr>
          <w:rFonts w:ascii="Gadugi" w:hAnsi="Gadugi"/>
          <w:szCs w:val="24"/>
        </w:rPr>
        <w:t xml:space="preserve">, dentro del trámite incidental de regulación de honorarios que promovió la abogada </w:t>
      </w:r>
      <w:r w:rsidR="00FE079C" w:rsidRPr="003029EA">
        <w:rPr>
          <w:rFonts w:ascii="Gadugi" w:hAnsi="Gadugi"/>
          <w:b/>
          <w:szCs w:val="24"/>
        </w:rPr>
        <w:t>Claudia Naranjo Salazar</w:t>
      </w:r>
      <w:r w:rsidR="00FE079C" w:rsidRPr="003029EA">
        <w:rPr>
          <w:rFonts w:ascii="Gadugi" w:hAnsi="Gadugi"/>
          <w:szCs w:val="24"/>
        </w:rPr>
        <w:t xml:space="preserve">. </w:t>
      </w:r>
    </w:p>
    <w:p w14:paraId="002E8A0D" w14:textId="506702AA" w:rsidR="00EF764C" w:rsidRPr="003029EA" w:rsidRDefault="00EF764C" w:rsidP="003029EA">
      <w:pPr>
        <w:spacing w:line="276" w:lineRule="auto"/>
        <w:jc w:val="both"/>
        <w:rPr>
          <w:rFonts w:ascii="Gadugi" w:hAnsi="Gadugi" w:cs="Courier New"/>
          <w:sz w:val="24"/>
          <w:szCs w:val="24"/>
        </w:rPr>
      </w:pPr>
    </w:p>
    <w:p w14:paraId="1BEDDFE6" w14:textId="38A75F45" w:rsidR="00FE079C" w:rsidRPr="003029EA" w:rsidRDefault="00FE079C" w:rsidP="003029EA">
      <w:pPr>
        <w:spacing w:line="276" w:lineRule="auto"/>
        <w:ind w:firstLine="1701"/>
        <w:jc w:val="both"/>
        <w:rPr>
          <w:rFonts w:ascii="Gadugi" w:hAnsi="Gadugi" w:cs="Courier New"/>
          <w:sz w:val="24"/>
          <w:szCs w:val="24"/>
        </w:rPr>
      </w:pPr>
      <w:r w:rsidRPr="003029EA">
        <w:rPr>
          <w:rFonts w:ascii="Gadugi" w:hAnsi="Gadugi" w:cs="Courier New"/>
          <w:sz w:val="24"/>
          <w:szCs w:val="24"/>
        </w:rPr>
        <w:t xml:space="preserve">En su lugar, se fijan como honorarios a la profesional Naranjo Salazar, correspondientes a las gestión que realizó, limitada a la presentación de la demanda, la suma de </w:t>
      </w:r>
      <w:r w:rsidRPr="003029EA">
        <w:rPr>
          <w:rFonts w:ascii="Gadugi" w:hAnsi="Gadugi" w:cs="Courier New"/>
          <w:b/>
          <w:sz w:val="24"/>
          <w:szCs w:val="24"/>
        </w:rPr>
        <w:t>CINCO MILLONES DE PESOS ($5’000.000,</w:t>
      </w:r>
      <w:r w:rsidR="00B21932">
        <w:rPr>
          <w:rFonts w:ascii="Gadugi" w:hAnsi="Gadugi" w:cs="Courier New"/>
          <w:b/>
          <w:sz w:val="24"/>
          <w:szCs w:val="24"/>
        </w:rPr>
        <w:t>00</w:t>
      </w:r>
      <w:r w:rsidRPr="003029EA">
        <w:rPr>
          <w:rFonts w:ascii="Gadugi" w:hAnsi="Gadugi" w:cs="Courier New"/>
          <w:b/>
          <w:sz w:val="24"/>
          <w:szCs w:val="24"/>
        </w:rPr>
        <w:t>)</w:t>
      </w:r>
      <w:r w:rsidRPr="003029EA">
        <w:rPr>
          <w:rFonts w:ascii="Gadugi" w:hAnsi="Gadugi" w:cs="Courier New"/>
          <w:sz w:val="24"/>
          <w:szCs w:val="24"/>
        </w:rPr>
        <w:t xml:space="preserve">, a cargo del demandante. </w:t>
      </w:r>
    </w:p>
    <w:p w14:paraId="69E26497" w14:textId="77777777" w:rsidR="00FE079C" w:rsidRPr="003029EA" w:rsidRDefault="00FE079C" w:rsidP="003029EA">
      <w:pPr>
        <w:spacing w:line="276" w:lineRule="auto"/>
        <w:ind w:firstLine="1701"/>
        <w:jc w:val="both"/>
        <w:rPr>
          <w:rFonts w:ascii="Gadugi" w:hAnsi="Gadugi" w:cs="Courier New"/>
          <w:sz w:val="24"/>
          <w:szCs w:val="24"/>
        </w:rPr>
      </w:pPr>
    </w:p>
    <w:p w14:paraId="1472B60D" w14:textId="1E28D7FD" w:rsidR="00EF764C" w:rsidRPr="003029EA" w:rsidRDefault="00931612" w:rsidP="003029EA">
      <w:pPr>
        <w:spacing w:line="276" w:lineRule="auto"/>
        <w:ind w:firstLine="1701"/>
        <w:jc w:val="both"/>
        <w:rPr>
          <w:rFonts w:ascii="Gadugi" w:hAnsi="Gadugi" w:cs="Courier New"/>
          <w:sz w:val="24"/>
          <w:szCs w:val="24"/>
        </w:rPr>
      </w:pPr>
      <w:r w:rsidRPr="003029EA">
        <w:rPr>
          <w:rFonts w:ascii="Gadugi" w:hAnsi="Gadugi" w:cs="Courier New"/>
          <w:sz w:val="24"/>
          <w:szCs w:val="24"/>
        </w:rPr>
        <w:t>Sin costas</w:t>
      </w:r>
      <w:r w:rsidR="00FE079C" w:rsidRPr="003029EA">
        <w:rPr>
          <w:rFonts w:ascii="Gadugi" w:hAnsi="Gadugi" w:cs="Courier New"/>
          <w:sz w:val="24"/>
          <w:szCs w:val="24"/>
        </w:rPr>
        <w:t xml:space="preserve"> en las instancias. </w:t>
      </w:r>
      <w:r w:rsidRPr="003029EA">
        <w:rPr>
          <w:rFonts w:ascii="Gadugi" w:hAnsi="Gadugi" w:cs="Courier New"/>
          <w:sz w:val="24"/>
          <w:szCs w:val="24"/>
        </w:rPr>
        <w:t xml:space="preserve"> </w:t>
      </w:r>
    </w:p>
    <w:p w14:paraId="0FBEDC87" w14:textId="77777777" w:rsidR="00EF764C" w:rsidRPr="003029EA" w:rsidRDefault="00EF764C" w:rsidP="003029EA">
      <w:pPr>
        <w:spacing w:line="276" w:lineRule="auto"/>
        <w:ind w:firstLine="1701"/>
        <w:jc w:val="both"/>
        <w:rPr>
          <w:rFonts w:ascii="Gadugi" w:hAnsi="Gadugi" w:cs="Courier New"/>
          <w:sz w:val="24"/>
          <w:szCs w:val="24"/>
        </w:rPr>
      </w:pPr>
    </w:p>
    <w:p w14:paraId="25B155C3" w14:textId="77777777" w:rsidR="00306CAC" w:rsidRPr="003029EA" w:rsidRDefault="00931612" w:rsidP="003029EA">
      <w:pPr>
        <w:pStyle w:val="Sangradetextonormal"/>
        <w:spacing w:line="276" w:lineRule="auto"/>
        <w:ind w:firstLine="1701"/>
        <w:rPr>
          <w:rFonts w:ascii="Gadugi" w:hAnsi="Gadugi" w:cs="Courier New"/>
          <w:szCs w:val="24"/>
        </w:rPr>
      </w:pPr>
      <w:r w:rsidRPr="003029EA">
        <w:rPr>
          <w:rFonts w:ascii="Gadugi" w:hAnsi="Gadugi" w:cs="Courier New"/>
          <w:szCs w:val="24"/>
        </w:rPr>
        <w:t>Notifíquese</w:t>
      </w:r>
    </w:p>
    <w:p w14:paraId="2512C32A" w14:textId="71498FF2" w:rsidR="00306CAC" w:rsidRDefault="00306CAC" w:rsidP="003029EA">
      <w:pPr>
        <w:pStyle w:val="Sangradetextonormal"/>
        <w:spacing w:line="276" w:lineRule="auto"/>
        <w:ind w:firstLine="1701"/>
        <w:rPr>
          <w:rFonts w:ascii="Gadugi" w:hAnsi="Gadugi" w:cs="Courier New"/>
          <w:szCs w:val="24"/>
        </w:rPr>
      </w:pPr>
    </w:p>
    <w:p w14:paraId="2E243672" w14:textId="77777777" w:rsidR="00D7504D" w:rsidRPr="003029EA" w:rsidRDefault="00D7504D" w:rsidP="003029EA">
      <w:pPr>
        <w:pStyle w:val="Sangradetextonormal"/>
        <w:spacing w:line="276" w:lineRule="auto"/>
        <w:ind w:firstLine="1701"/>
        <w:rPr>
          <w:rFonts w:ascii="Gadugi" w:hAnsi="Gadugi" w:cs="Courier New"/>
          <w:szCs w:val="24"/>
        </w:rPr>
      </w:pPr>
    </w:p>
    <w:p w14:paraId="37528980" w14:textId="77777777" w:rsidR="00306CAC" w:rsidRPr="003029EA" w:rsidRDefault="00306CAC" w:rsidP="003029EA">
      <w:pPr>
        <w:pStyle w:val="Sangradetextonormal"/>
        <w:spacing w:line="276" w:lineRule="auto"/>
        <w:ind w:firstLine="1701"/>
        <w:rPr>
          <w:rFonts w:ascii="Gadugi" w:hAnsi="Gadugi" w:cs="Courier New"/>
          <w:szCs w:val="24"/>
        </w:rPr>
      </w:pPr>
    </w:p>
    <w:p w14:paraId="4DC549EE" w14:textId="77777777" w:rsidR="00306CAC" w:rsidRPr="003029EA" w:rsidRDefault="00306CAC" w:rsidP="003029EA">
      <w:pPr>
        <w:pStyle w:val="Sangradetextonormal"/>
        <w:spacing w:line="276" w:lineRule="auto"/>
        <w:ind w:firstLine="1701"/>
        <w:rPr>
          <w:rFonts w:ascii="Gadugi" w:hAnsi="Gadugi" w:cs="Courier New"/>
          <w:szCs w:val="24"/>
        </w:rPr>
      </w:pPr>
    </w:p>
    <w:p w14:paraId="21CFAC2E" w14:textId="77777777" w:rsidR="00306CAC" w:rsidRPr="003029EA" w:rsidRDefault="00306CAC" w:rsidP="003029EA">
      <w:pPr>
        <w:pStyle w:val="Sangradetextonormal"/>
        <w:spacing w:line="276" w:lineRule="auto"/>
        <w:ind w:firstLine="1701"/>
        <w:rPr>
          <w:rFonts w:ascii="Gadugi" w:hAnsi="Gadugi" w:cs="Courier New"/>
          <w:b/>
          <w:szCs w:val="24"/>
        </w:rPr>
      </w:pPr>
      <w:r w:rsidRPr="003029EA">
        <w:rPr>
          <w:rFonts w:ascii="Gadugi" w:hAnsi="Gadugi" w:cs="Courier New"/>
          <w:b/>
          <w:szCs w:val="24"/>
        </w:rPr>
        <w:t>JAIME ALBERTO SARAZA NARANJO</w:t>
      </w:r>
    </w:p>
    <w:p w14:paraId="3C507B19" w14:textId="6F87BEF3" w:rsidR="00306CAC" w:rsidRPr="003029EA" w:rsidRDefault="00306CAC" w:rsidP="00B21932">
      <w:pPr>
        <w:pStyle w:val="Sangradetextonormal"/>
        <w:spacing w:line="276" w:lineRule="auto"/>
        <w:ind w:firstLine="1701"/>
        <w:rPr>
          <w:rFonts w:ascii="Gadugi" w:hAnsi="Gadugi"/>
          <w:szCs w:val="24"/>
        </w:rPr>
      </w:pPr>
      <w:r w:rsidRPr="003029EA">
        <w:rPr>
          <w:rFonts w:ascii="Gadugi" w:hAnsi="Gadugi" w:cs="Courier New"/>
          <w:szCs w:val="24"/>
        </w:rPr>
        <w:t>Magistrado</w:t>
      </w:r>
    </w:p>
    <w:sectPr w:rsidR="00306CAC" w:rsidRPr="003029EA" w:rsidSect="003029EA">
      <w:headerReference w:type="default" r:id="rId11"/>
      <w:footerReference w:type="even" r:id="rId12"/>
      <w:footerReference w:type="default" r:id="rId13"/>
      <w:pgSz w:w="12242" w:h="18722" w:code="258"/>
      <w:pgMar w:top="1871" w:right="1304" w:bottom="1304" w:left="1871"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5B5CA0" w14:textId="77777777" w:rsidR="00D30A7C" w:rsidRDefault="00D30A7C">
      <w:r>
        <w:separator/>
      </w:r>
    </w:p>
  </w:endnote>
  <w:endnote w:type="continuationSeparator" w:id="0">
    <w:p w14:paraId="7A854A9E" w14:textId="77777777" w:rsidR="00D30A7C" w:rsidRDefault="00D30A7C">
      <w:r>
        <w:continuationSeparator/>
      </w:r>
    </w:p>
  </w:endnote>
  <w:endnote w:type="continuationNotice" w:id="1">
    <w:p w14:paraId="39345B48" w14:textId="77777777" w:rsidR="00D30A7C" w:rsidRDefault="00D30A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ヒラギノ角ゴ Pro W3">
    <w:altName w:val="Yu Gothic UI"/>
    <w:charset w:val="80"/>
    <w:family w:val="swiss"/>
    <w:pitch w:val="variable"/>
    <w:sig w:usb0="E00002FF" w:usb1="7AC7FFFF" w:usb2="00000012" w:usb3="00000000" w:csb0="0002000D" w:csb1="00000000"/>
  </w:font>
  <w:font w:name="Bookman Old Style">
    <w:panose1 w:val="02050604050505020204"/>
    <w:charset w:val="00"/>
    <w:family w:val="roman"/>
    <w:pitch w:val="variable"/>
    <w:sig w:usb0="00000287" w:usb1="00000000" w:usb2="00000000" w:usb3="00000000" w:csb0="0000009F" w:csb1="00000000"/>
  </w:font>
  <w:font w:name="Helvetica">
    <w:panose1 w:val="020B0504020202020204"/>
    <w:charset w:val="00"/>
    <w:family w:val="swiss"/>
    <w:pitch w:val="variable"/>
    <w:sig w:usb0="E0002EFF" w:usb1="C000785B" w:usb2="00000009" w:usb3="00000000" w:csb0="000001FF" w:csb1="00000000"/>
  </w:font>
  <w:font w:name="Gadugi">
    <w:panose1 w:val="020B0502040204020203"/>
    <w:charset w:val="00"/>
    <w:family w:val="swiss"/>
    <w:pitch w:val="variable"/>
    <w:sig w:usb0="80000003" w:usb1="02000000" w:usb2="00003000" w:usb3="00000000" w:csb0="00000001"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0BDB29" w14:textId="77777777" w:rsidR="001B18EE" w:rsidRDefault="001B18E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BE3A75C" w14:textId="77777777" w:rsidR="001B18EE" w:rsidRDefault="001B18EE">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7AF7F6" w14:textId="77777777" w:rsidR="001B18EE" w:rsidRPr="00B21932" w:rsidRDefault="001B18EE">
    <w:pPr>
      <w:pStyle w:val="Piedepgina"/>
      <w:framePr w:wrap="around" w:vAnchor="text" w:hAnchor="margin" w:xAlign="right" w:y="1"/>
      <w:rPr>
        <w:rStyle w:val="Nmerodepgina"/>
        <w:rFonts w:ascii="Arial" w:hAnsi="Arial" w:cs="Arial"/>
        <w:sz w:val="18"/>
      </w:rPr>
    </w:pPr>
    <w:r w:rsidRPr="00B21932">
      <w:rPr>
        <w:rStyle w:val="Nmerodepgina"/>
        <w:rFonts w:ascii="Arial" w:hAnsi="Arial" w:cs="Arial"/>
        <w:sz w:val="18"/>
      </w:rPr>
      <w:fldChar w:fldCharType="begin"/>
    </w:r>
    <w:r w:rsidRPr="00B21932">
      <w:rPr>
        <w:rStyle w:val="Nmerodepgina"/>
        <w:rFonts w:ascii="Arial" w:hAnsi="Arial" w:cs="Arial"/>
        <w:sz w:val="18"/>
      </w:rPr>
      <w:instrText xml:space="preserve">PAGE  </w:instrText>
    </w:r>
    <w:r w:rsidRPr="00B21932">
      <w:rPr>
        <w:rStyle w:val="Nmerodepgina"/>
        <w:rFonts w:ascii="Arial" w:hAnsi="Arial" w:cs="Arial"/>
        <w:sz w:val="18"/>
      </w:rPr>
      <w:fldChar w:fldCharType="separate"/>
    </w:r>
    <w:r w:rsidRPr="00B21932">
      <w:rPr>
        <w:rStyle w:val="Nmerodepgina"/>
        <w:rFonts w:ascii="Arial" w:hAnsi="Arial" w:cs="Arial"/>
        <w:noProof/>
        <w:sz w:val="18"/>
      </w:rPr>
      <w:t>5</w:t>
    </w:r>
    <w:r w:rsidRPr="00B21932">
      <w:rPr>
        <w:rStyle w:val="Nmerodepgina"/>
        <w:rFonts w:ascii="Arial" w:hAnsi="Arial" w:cs="Arial"/>
        <w:sz w:val="18"/>
      </w:rPr>
      <w:fldChar w:fldCharType="end"/>
    </w:r>
  </w:p>
  <w:p w14:paraId="10876F83" w14:textId="77777777" w:rsidR="001B18EE" w:rsidRDefault="001B18EE">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CD85E0" w14:textId="77777777" w:rsidR="00D30A7C" w:rsidRDefault="00D30A7C">
      <w:r>
        <w:separator/>
      </w:r>
    </w:p>
  </w:footnote>
  <w:footnote w:type="continuationSeparator" w:id="0">
    <w:p w14:paraId="3719A556" w14:textId="77777777" w:rsidR="00D30A7C" w:rsidRDefault="00D30A7C">
      <w:r>
        <w:continuationSeparator/>
      </w:r>
    </w:p>
  </w:footnote>
  <w:footnote w:type="continuationNotice" w:id="1">
    <w:p w14:paraId="11AD75D7" w14:textId="77777777" w:rsidR="00D30A7C" w:rsidRDefault="00D30A7C"/>
  </w:footnote>
  <w:footnote w:id="2">
    <w:p w14:paraId="6C5F66F3" w14:textId="312574A2" w:rsidR="001B18EE" w:rsidRPr="003029EA" w:rsidRDefault="001B18EE">
      <w:pPr>
        <w:pStyle w:val="Textonotapie"/>
        <w:rPr>
          <w:rFonts w:ascii="Century" w:hAnsi="Century"/>
          <w:sz w:val="18"/>
          <w:szCs w:val="18"/>
          <w:lang w:val="es-CO"/>
        </w:rPr>
      </w:pPr>
      <w:r w:rsidRPr="003029EA">
        <w:rPr>
          <w:rStyle w:val="Refdenotaalpie"/>
          <w:rFonts w:ascii="Century" w:hAnsi="Century"/>
          <w:sz w:val="18"/>
          <w:szCs w:val="18"/>
        </w:rPr>
        <w:footnoteRef/>
      </w:r>
      <w:r w:rsidRPr="003029EA">
        <w:rPr>
          <w:rFonts w:ascii="Century" w:hAnsi="Century"/>
          <w:sz w:val="18"/>
          <w:szCs w:val="18"/>
        </w:rPr>
        <w:t xml:space="preserve"> </w:t>
      </w:r>
      <w:r w:rsidRPr="003029EA">
        <w:rPr>
          <w:rFonts w:ascii="Century" w:hAnsi="Century"/>
          <w:sz w:val="18"/>
          <w:szCs w:val="18"/>
          <w:lang w:val="es-CO"/>
        </w:rPr>
        <w:t xml:space="preserve">P.  291, c. 01Primerainstancia, </w:t>
      </w:r>
      <w:proofErr w:type="gramStart"/>
      <w:r w:rsidRPr="003029EA">
        <w:rPr>
          <w:rFonts w:ascii="Century" w:hAnsi="Century"/>
          <w:sz w:val="18"/>
          <w:szCs w:val="18"/>
          <w:lang w:val="es-CO"/>
        </w:rPr>
        <w:t>01.CuadernoPrincipal</w:t>
      </w:r>
      <w:proofErr w:type="gramEnd"/>
      <w:r w:rsidRPr="003029EA">
        <w:rPr>
          <w:rFonts w:ascii="Century" w:hAnsi="Century"/>
          <w:sz w:val="18"/>
          <w:szCs w:val="18"/>
          <w:lang w:val="es-CO"/>
        </w:rPr>
        <w:t>, 001CuadernoPrincipal</w:t>
      </w:r>
    </w:p>
  </w:footnote>
  <w:footnote w:id="3">
    <w:p w14:paraId="6D8FEF5F" w14:textId="3BE8DE07" w:rsidR="001B18EE" w:rsidRPr="003029EA" w:rsidRDefault="001B18EE">
      <w:pPr>
        <w:pStyle w:val="Textonotapie"/>
        <w:rPr>
          <w:rFonts w:ascii="Century" w:hAnsi="Century"/>
          <w:sz w:val="18"/>
          <w:szCs w:val="18"/>
          <w:lang w:val="es-CO"/>
        </w:rPr>
      </w:pPr>
      <w:r w:rsidRPr="003029EA">
        <w:rPr>
          <w:rStyle w:val="Refdenotaalpie"/>
          <w:rFonts w:ascii="Century" w:hAnsi="Century"/>
          <w:sz w:val="18"/>
          <w:szCs w:val="18"/>
        </w:rPr>
        <w:footnoteRef/>
      </w:r>
      <w:r w:rsidRPr="003029EA">
        <w:rPr>
          <w:rFonts w:ascii="Century" w:hAnsi="Century"/>
          <w:sz w:val="18"/>
          <w:szCs w:val="18"/>
        </w:rPr>
        <w:t xml:space="preserve"> </w:t>
      </w:r>
      <w:r w:rsidRPr="003029EA">
        <w:rPr>
          <w:rFonts w:ascii="Century" w:hAnsi="Century"/>
          <w:sz w:val="18"/>
          <w:szCs w:val="18"/>
          <w:lang w:val="es-CO"/>
        </w:rPr>
        <w:t xml:space="preserve">P.  303, c. 01Primerainstancia, </w:t>
      </w:r>
      <w:proofErr w:type="gramStart"/>
      <w:r w:rsidRPr="003029EA">
        <w:rPr>
          <w:rFonts w:ascii="Century" w:hAnsi="Century"/>
          <w:sz w:val="18"/>
          <w:szCs w:val="18"/>
          <w:lang w:val="es-CO"/>
        </w:rPr>
        <w:t>01.CuadernoPrincipal</w:t>
      </w:r>
      <w:proofErr w:type="gramEnd"/>
      <w:r w:rsidRPr="003029EA">
        <w:rPr>
          <w:rFonts w:ascii="Century" w:hAnsi="Century"/>
          <w:sz w:val="18"/>
          <w:szCs w:val="18"/>
          <w:lang w:val="es-CO"/>
        </w:rPr>
        <w:t>, 001CuadernoPrincipal</w:t>
      </w:r>
    </w:p>
  </w:footnote>
  <w:footnote w:id="4">
    <w:p w14:paraId="7DD48227" w14:textId="50762726" w:rsidR="001B18EE" w:rsidRPr="003029EA" w:rsidRDefault="001B18EE">
      <w:pPr>
        <w:pStyle w:val="Textonotapie"/>
        <w:rPr>
          <w:rFonts w:ascii="Century" w:hAnsi="Century"/>
          <w:sz w:val="18"/>
          <w:szCs w:val="18"/>
          <w:lang w:val="es-CO"/>
        </w:rPr>
      </w:pPr>
      <w:r w:rsidRPr="003029EA">
        <w:rPr>
          <w:rStyle w:val="Refdenotaalpie"/>
          <w:rFonts w:ascii="Century" w:hAnsi="Century"/>
          <w:sz w:val="18"/>
          <w:szCs w:val="18"/>
        </w:rPr>
        <w:footnoteRef/>
      </w:r>
      <w:r w:rsidRPr="003029EA">
        <w:rPr>
          <w:rFonts w:ascii="Century" w:hAnsi="Century"/>
          <w:sz w:val="18"/>
          <w:szCs w:val="18"/>
        </w:rPr>
        <w:t xml:space="preserve"> </w:t>
      </w:r>
      <w:r w:rsidRPr="003029EA">
        <w:rPr>
          <w:rFonts w:ascii="Century" w:hAnsi="Century"/>
          <w:sz w:val="18"/>
          <w:szCs w:val="18"/>
          <w:lang w:val="es-CO"/>
        </w:rPr>
        <w:t>P. 305, ib.</w:t>
      </w:r>
    </w:p>
  </w:footnote>
  <w:footnote w:id="5">
    <w:p w14:paraId="10EBDA19" w14:textId="030733A1" w:rsidR="001B18EE" w:rsidRPr="003029EA" w:rsidRDefault="001B18EE">
      <w:pPr>
        <w:pStyle w:val="Textonotapie"/>
        <w:rPr>
          <w:rFonts w:ascii="Century" w:hAnsi="Century"/>
          <w:sz w:val="18"/>
          <w:szCs w:val="18"/>
          <w:lang w:val="es-CO"/>
        </w:rPr>
      </w:pPr>
      <w:r w:rsidRPr="003029EA">
        <w:rPr>
          <w:rStyle w:val="Refdenotaalpie"/>
          <w:rFonts w:ascii="Century" w:hAnsi="Century"/>
          <w:sz w:val="18"/>
          <w:szCs w:val="18"/>
        </w:rPr>
        <w:footnoteRef/>
      </w:r>
      <w:r w:rsidRPr="003029EA">
        <w:rPr>
          <w:rFonts w:ascii="Century" w:hAnsi="Century"/>
          <w:sz w:val="18"/>
          <w:szCs w:val="18"/>
        </w:rPr>
        <w:t xml:space="preserve"> </w:t>
      </w:r>
      <w:r w:rsidRPr="003029EA">
        <w:rPr>
          <w:rFonts w:ascii="Century" w:hAnsi="Century"/>
          <w:sz w:val="18"/>
          <w:szCs w:val="18"/>
          <w:lang w:val="es-CO"/>
        </w:rPr>
        <w:t>P. 307, ib.</w:t>
      </w:r>
    </w:p>
  </w:footnote>
  <w:footnote w:id="6">
    <w:p w14:paraId="01A3FF54" w14:textId="48A214E2" w:rsidR="001B18EE" w:rsidRPr="003029EA" w:rsidRDefault="001B18EE">
      <w:pPr>
        <w:pStyle w:val="Textonotapie"/>
        <w:rPr>
          <w:rFonts w:ascii="Century" w:hAnsi="Century"/>
          <w:sz w:val="18"/>
          <w:szCs w:val="18"/>
          <w:lang w:val="es-CO"/>
        </w:rPr>
      </w:pPr>
      <w:r w:rsidRPr="003029EA">
        <w:rPr>
          <w:rStyle w:val="Refdenotaalpie"/>
          <w:rFonts w:ascii="Century" w:hAnsi="Century"/>
          <w:sz w:val="18"/>
          <w:szCs w:val="18"/>
        </w:rPr>
        <w:footnoteRef/>
      </w:r>
      <w:r w:rsidRPr="003029EA">
        <w:rPr>
          <w:rFonts w:ascii="Century" w:hAnsi="Century"/>
          <w:sz w:val="18"/>
          <w:szCs w:val="18"/>
        </w:rPr>
        <w:t xml:space="preserve"> </w:t>
      </w:r>
      <w:r w:rsidRPr="003029EA">
        <w:rPr>
          <w:rFonts w:ascii="Century" w:hAnsi="Century"/>
          <w:sz w:val="18"/>
          <w:szCs w:val="18"/>
          <w:lang w:val="es-CO"/>
        </w:rPr>
        <w:t>P. 328, ib.</w:t>
      </w:r>
    </w:p>
  </w:footnote>
  <w:footnote w:id="7">
    <w:p w14:paraId="7280E20B" w14:textId="622C33AF" w:rsidR="001B18EE" w:rsidRPr="003029EA" w:rsidRDefault="001B18EE">
      <w:pPr>
        <w:pStyle w:val="Textonotapie"/>
        <w:rPr>
          <w:rFonts w:ascii="Century" w:hAnsi="Century"/>
          <w:sz w:val="18"/>
          <w:szCs w:val="18"/>
          <w:lang w:val="es-CO"/>
        </w:rPr>
      </w:pPr>
      <w:r w:rsidRPr="003029EA">
        <w:rPr>
          <w:rStyle w:val="Refdenotaalpie"/>
          <w:rFonts w:ascii="Century" w:hAnsi="Century"/>
          <w:sz w:val="18"/>
          <w:szCs w:val="18"/>
        </w:rPr>
        <w:footnoteRef/>
      </w:r>
      <w:r w:rsidRPr="003029EA">
        <w:rPr>
          <w:rFonts w:ascii="Century" w:hAnsi="Century"/>
          <w:sz w:val="18"/>
          <w:szCs w:val="18"/>
        </w:rPr>
        <w:t xml:space="preserve"> </w:t>
      </w:r>
      <w:r w:rsidRPr="003029EA">
        <w:rPr>
          <w:rFonts w:ascii="Century" w:hAnsi="Century"/>
          <w:sz w:val="18"/>
          <w:szCs w:val="18"/>
          <w:lang w:val="es-CO"/>
        </w:rPr>
        <w:t>P. 330, ib.</w:t>
      </w:r>
    </w:p>
  </w:footnote>
  <w:footnote w:id="8">
    <w:p w14:paraId="3ECC8FA4" w14:textId="6A63B82C" w:rsidR="001B18EE" w:rsidRPr="003029EA" w:rsidRDefault="001B18EE">
      <w:pPr>
        <w:pStyle w:val="Textonotapie"/>
        <w:rPr>
          <w:rFonts w:ascii="Century" w:hAnsi="Century"/>
          <w:sz w:val="18"/>
          <w:szCs w:val="18"/>
          <w:lang w:val="es-CO"/>
        </w:rPr>
      </w:pPr>
      <w:r w:rsidRPr="003029EA">
        <w:rPr>
          <w:rStyle w:val="Refdenotaalpie"/>
          <w:rFonts w:ascii="Century" w:hAnsi="Century"/>
          <w:sz w:val="18"/>
          <w:szCs w:val="18"/>
        </w:rPr>
        <w:footnoteRef/>
      </w:r>
      <w:r w:rsidRPr="003029EA">
        <w:rPr>
          <w:rFonts w:ascii="Century" w:hAnsi="Century"/>
          <w:sz w:val="18"/>
          <w:szCs w:val="18"/>
        </w:rPr>
        <w:t xml:space="preserve"> </w:t>
      </w:r>
      <w:r w:rsidRPr="003029EA">
        <w:rPr>
          <w:rFonts w:ascii="Century" w:hAnsi="Century"/>
          <w:sz w:val="18"/>
          <w:szCs w:val="18"/>
          <w:lang w:val="es-CO"/>
        </w:rPr>
        <w:t xml:space="preserve">P. 9, c. 01Primerainstancia, </w:t>
      </w:r>
      <w:proofErr w:type="gramStart"/>
      <w:r w:rsidRPr="003029EA">
        <w:rPr>
          <w:rFonts w:ascii="Century" w:hAnsi="Century"/>
          <w:sz w:val="18"/>
          <w:szCs w:val="18"/>
          <w:lang w:val="es-CO"/>
        </w:rPr>
        <w:t>02.IncidenteRegulacionHonorarios</w:t>
      </w:r>
      <w:proofErr w:type="gramEnd"/>
      <w:r w:rsidRPr="003029EA">
        <w:rPr>
          <w:rFonts w:ascii="Century" w:hAnsi="Century"/>
          <w:sz w:val="18"/>
          <w:szCs w:val="18"/>
          <w:lang w:val="es-CO"/>
        </w:rPr>
        <w:t>, arch. 001</w:t>
      </w:r>
    </w:p>
  </w:footnote>
  <w:footnote w:id="9">
    <w:p w14:paraId="03D7C22A" w14:textId="54F8AF11" w:rsidR="001B18EE" w:rsidRPr="003029EA" w:rsidRDefault="001B18EE">
      <w:pPr>
        <w:pStyle w:val="Textonotapie"/>
        <w:rPr>
          <w:rFonts w:ascii="Century" w:hAnsi="Century"/>
          <w:sz w:val="18"/>
          <w:szCs w:val="18"/>
          <w:lang w:val="es-CO"/>
        </w:rPr>
      </w:pPr>
      <w:r w:rsidRPr="003029EA">
        <w:rPr>
          <w:rStyle w:val="Refdenotaalpie"/>
          <w:rFonts w:ascii="Century" w:hAnsi="Century"/>
          <w:sz w:val="18"/>
          <w:szCs w:val="18"/>
        </w:rPr>
        <w:footnoteRef/>
      </w:r>
      <w:r w:rsidRPr="003029EA">
        <w:rPr>
          <w:rFonts w:ascii="Century" w:hAnsi="Century"/>
          <w:sz w:val="18"/>
          <w:szCs w:val="18"/>
        </w:rPr>
        <w:t xml:space="preserve"> </w:t>
      </w:r>
      <w:r w:rsidRPr="003029EA">
        <w:rPr>
          <w:rFonts w:ascii="Century" w:hAnsi="Century"/>
          <w:sz w:val="18"/>
          <w:szCs w:val="18"/>
          <w:lang w:val="es-CO"/>
        </w:rPr>
        <w:t xml:space="preserve">P. 14, ib. </w:t>
      </w:r>
    </w:p>
  </w:footnote>
  <w:footnote w:id="10">
    <w:p w14:paraId="692CEFD8" w14:textId="63FFC744" w:rsidR="001B18EE" w:rsidRPr="003029EA" w:rsidRDefault="001B18EE">
      <w:pPr>
        <w:pStyle w:val="Textonotapie"/>
        <w:rPr>
          <w:rFonts w:ascii="Century" w:hAnsi="Century"/>
          <w:sz w:val="18"/>
          <w:szCs w:val="18"/>
          <w:lang w:val="es-CO"/>
        </w:rPr>
      </w:pPr>
      <w:r w:rsidRPr="003029EA">
        <w:rPr>
          <w:rStyle w:val="Refdenotaalpie"/>
          <w:rFonts w:ascii="Century" w:hAnsi="Century"/>
          <w:sz w:val="18"/>
          <w:szCs w:val="18"/>
        </w:rPr>
        <w:footnoteRef/>
      </w:r>
      <w:r w:rsidRPr="003029EA">
        <w:rPr>
          <w:rFonts w:ascii="Century" w:hAnsi="Century"/>
          <w:sz w:val="18"/>
          <w:szCs w:val="18"/>
        </w:rPr>
        <w:t xml:space="preserve"> </w:t>
      </w:r>
      <w:r w:rsidRPr="003029EA">
        <w:rPr>
          <w:rFonts w:ascii="Century" w:hAnsi="Century"/>
          <w:sz w:val="18"/>
          <w:szCs w:val="18"/>
          <w:lang w:val="es-CO"/>
        </w:rPr>
        <w:t>P. 16, ib.</w:t>
      </w:r>
    </w:p>
  </w:footnote>
  <w:footnote w:id="11">
    <w:p w14:paraId="3024DC75" w14:textId="507F08FB" w:rsidR="001B18EE" w:rsidRPr="003029EA" w:rsidRDefault="001B18EE">
      <w:pPr>
        <w:pStyle w:val="Textonotapie"/>
        <w:rPr>
          <w:rFonts w:ascii="Century" w:hAnsi="Century"/>
          <w:sz w:val="18"/>
          <w:szCs w:val="18"/>
          <w:lang w:val="es-CO"/>
        </w:rPr>
      </w:pPr>
      <w:r w:rsidRPr="003029EA">
        <w:rPr>
          <w:rStyle w:val="Refdenotaalpie"/>
          <w:rFonts w:ascii="Century" w:hAnsi="Century"/>
          <w:sz w:val="18"/>
          <w:szCs w:val="18"/>
        </w:rPr>
        <w:footnoteRef/>
      </w:r>
      <w:r w:rsidRPr="003029EA">
        <w:rPr>
          <w:rFonts w:ascii="Century" w:hAnsi="Century"/>
          <w:sz w:val="18"/>
          <w:szCs w:val="18"/>
        </w:rPr>
        <w:t xml:space="preserve"> </w:t>
      </w:r>
      <w:r w:rsidRPr="003029EA">
        <w:rPr>
          <w:rFonts w:ascii="Century" w:hAnsi="Century"/>
          <w:sz w:val="18"/>
          <w:szCs w:val="18"/>
          <w:lang w:val="es-CO"/>
        </w:rPr>
        <w:t>02SegundaInstancia, arch. 11</w:t>
      </w:r>
    </w:p>
  </w:footnote>
  <w:footnote w:id="12">
    <w:p w14:paraId="1AFEC4E4" w14:textId="594CC2F4" w:rsidR="001B18EE" w:rsidRPr="003029EA" w:rsidRDefault="001B18EE">
      <w:pPr>
        <w:pStyle w:val="Textonotapie"/>
        <w:rPr>
          <w:rFonts w:ascii="Century" w:hAnsi="Century"/>
          <w:sz w:val="18"/>
          <w:szCs w:val="18"/>
          <w:lang w:val="es-CO"/>
        </w:rPr>
      </w:pPr>
      <w:r w:rsidRPr="003029EA">
        <w:rPr>
          <w:rStyle w:val="Refdenotaalpie"/>
          <w:rFonts w:ascii="Century" w:hAnsi="Century"/>
          <w:sz w:val="18"/>
          <w:szCs w:val="18"/>
        </w:rPr>
        <w:footnoteRef/>
      </w:r>
      <w:r w:rsidRPr="003029EA">
        <w:rPr>
          <w:rFonts w:ascii="Century" w:hAnsi="Century"/>
          <w:sz w:val="18"/>
          <w:szCs w:val="18"/>
        </w:rPr>
        <w:t xml:space="preserve"> </w:t>
      </w:r>
      <w:r w:rsidRPr="003029EA">
        <w:rPr>
          <w:rFonts w:ascii="Century" w:hAnsi="Century"/>
          <w:sz w:val="18"/>
          <w:szCs w:val="18"/>
          <w:lang w:val="es-CO"/>
        </w:rPr>
        <w:t>Ib., arch. 12.</w:t>
      </w:r>
    </w:p>
  </w:footnote>
  <w:footnote w:id="13">
    <w:p w14:paraId="74498227" w14:textId="01D0CA5B" w:rsidR="001B18EE" w:rsidRPr="003029EA" w:rsidRDefault="001B18EE">
      <w:pPr>
        <w:pStyle w:val="Textonotapie"/>
        <w:rPr>
          <w:rFonts w:ascii="Century" w:hAnsi="Century"/>
          <w:sz w:val="18"/>
          <w:szCs w:val="18"/>
          <w:lang w:val="es-CO"/>
        </w:rPr>
      </w:pPr>
      <w:r w:rsidRPr="003029EA">
        <w:rPr>
          <w:rStyle w:val="Refdenotaalpie"/>
          <w:rFonts w:ascii="Century" w:hAnsi="Century"/>
          <w:sz w:val="18"/>
          <w:szCs w:val="18"/>
        </w:rPr>
        <w:footnoteRef/>
      </w:r>
      <w:r w:rsidRPr="003029EA">
        <w:rPr>
          <w:rFonts w:ascii="Century" w:hAnsi="Century"/>
          <w:sz w:val="18"/>
          <w:szCs w:val="18"/>
        </w:rPr>
        <w:t xml:space="preserve"> </w:t>
      </w:r>
      <w:r w:rsidRPr="003029EA">
        <w:rPr>
          <w:rFonts w:ascii="Century" w:hAnsi="Century"/>
          <w:sz w:val="18"/>
          <w:szCs w:val="18"/>
          <w:lang w:val="es-CO"/>
        </w:rPr>
        <w:t xml:space="preserve">c. 01Primerainstancia, </w:t>
      </w:r>
      <w:proofErr w:type="gramStart"/>
      <w:r w:rsidRPr="003029EA">
        <w:rPr>
          <w:rFonts w:ascii="Century" w:hAnsi="Century"/>
          <w:sz w:val="18"/>
          <w:szCs w:val="18"/>
          <w:lang w:val="es-CO"/>
        </w:rPr>
        <w:t>02.IncidenteRegulacionHonorarios</w:t>
      </w:r>
      <w:proofErr w:type="gramEnd"/>
      <w:r w:rsidRPr="003029EA">
        <w:rPr>
          <w:rFonts w:ascii="Century" w:hAnsi="Century"/>
          <w:sz w:val="18"/>
          <w:szCs w:val="18"/>
          <w:lang w:val="es-CO"/>
        </w:rPr>
        <w:t>, arch. 012</w:t>
      </w:r>
    </w:p>
  </w:footnote>
  <w:footnote w:id="14">
    <w:p w14:paraId="1477236B" w14:textId="553E22BE" w:rsidR="000644A6" w:rsidRPr="003029EA" w:rsidRDefault="000644A6" w:rsidP="00FE079C">
      <w:pPr>
        <w:jc w:val="both"/>
        <w:rPr>
          <w:rFonts w:ascii="Century" w:hAnsi="Century" w:cs="Arial"/>
          <w:sz w:val="18"/>
          <w:szCs w:val="18"/>
          <w:lang w:val="es-MX"/>
        </w:rPr>
      </w:pPr>
      <w:r w:rsidRPr="003029EA">
        <w:rPr>
          <w:rStyle w:val="Refdenotaalpie"/>
          <w:rFonts w:ascii="Century" w:hAnsi="Century"/>
          <w:sz w:val="18"/>
          <w:szCs w:val="18"/>
        </w:rPr>
        <w:footnoteRef/>
      </w:r>
      <w:r w:rsidRPr="003029EA">
        <w:rPr>
          <w:rFonts w:ascii="Century" w:hAnsi="Century"/>
          <w:sz w:val="18"/>
          <w:szCs w:val="18"/>
        </w:rPr>
        <w:t xml:space="preserve"> </w:t>
      </w:r>
      <w:r w:rsidRPr="003029EA">
        <w:rPr>
          <w:rFonts w:ascii="Century" w:hAnsi="Century" w:cs="Arial"/>
          <w:sz w:val="18"/>
          <w:szCs w:val="18"/>
          <w:lang w:val="es-MX"/>
        </w:rPr>
        <w:t>Corte Suprema de Justicia, Sala de Casación civil, providencia del 11 de abril de 2012</w:t>
      </w:r>
      <w:r w:rsidR="00FE079C" w:rsidRPr="003029EA">
        <w:rPr>
          <w:rFonts w:ascii="Century" w:hAnsi="Century" w:cs="Arial"/>
          <w:sz w:val="18"/>
          <w:szCs w:val="18"/>
          <w:lang w:val="es-MX"/>
        </w:rPr>
        <w:t xml:space="preserve">, </w:t>
      </w:r>
      <w:r w:rsidRPr="003029EA">
        <w:rPr>
          <w:rFonts w:ascii="Century" w:hAnsi="Century" w:cs="Arial"/>
          <w:sz w:val="18"/>
          <w:szCs w:val="18"/>
          <w:lang w:val="es-MX"/>
        </w:rPr>
        <w:t>exp</w:t>
      </w:r>
      <w:r w:rsidR="00FE079C" w:rsidRPr="003029EA">
        <w:rPr>
          <w:rFonts w:ascii="Century" w:hAnsi="Century" w:cs="Arial"/>
          <w:sz w:val="18"/>
          <w:szCs w:val="18"/>
          <w:lang w:val="es-MX"/>
        </w:rPr>
        <w:t>ediente</w:t>
      </w:r>
      <w:r w:rsidRPr="003029EA">
        <w:rPr>
          <w:rFonts w:ascii="Century" w:hAnsi="Century" w:cs="Arial"/>
          <w:sz w:val="18"/>
          <w:szCs w:val="18"/>
          <w:lang w:val="es-MX"/>
        </w:rPr>
        <w:t xml:space="preserve"> 23555-3189-001-2005-00005-01</w:t>
      </w:r>
      <w:r w:rsidR="00FE079C" w:rsidRPr="003029EA">
        <w:rPr>
          <w:rFonts w:ascii="Century" w:hAnsi="Century" w:cs="Arial"/>
          <w:sz w:val="18"/>
          <w:szCs w:val="18"/>
          <w:lang w:val="es-MX"/>
        </w:rPr>
        <w:t xml:space="preserve">, M.P. Ruth Marina Díaz Rueda </w:t>
      </w:r>
      <w:r w:rsidRPr="003029EA">
        <w:rPr>
          <w:rFonts w:ascii="Century" w:hAnsi="Century" w:cs="Arial"/>
          <w:sz w:val="18"/>
          <w:szCs w:val="18"/>
          <w:lang w:val="es-MX"/>
        </w:rPr>
        <w:tab/>
      </w:r>
    </w:p>
    <w:p w14:paraId="75F61ABC" w14:textId="183C0950" w:rsidR="000644A6" w:rsidRPr="003029EA" w:rsidRDefault="000644A6">
      <w:pPr>
        <w:pStyle w:val="Textonotapie"/>
        <w:rPr>
          <w:rFonts w:ascii="Century" w:hAnsi="Century"/>
          <w:sz w:val="18"/>
          <w:szCs w:val="18"/>
          <w:lang w:val="es-419"/>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FFA0FF" w14:textId="77777777" w:rsidR="001B18EE" w:rsidRDefault="001B18EE">
    <w:pPr>
      <w:spacing w:line="360" w:lineRule="auto"/>
      <w:ind w:firstLine="2835"/>
      <w:jc w:val="right"/>
      <w:rPr>
        <w:sz w:val="18"/>
        <w:lang w:val="es-MX"/>
      </w:rPr>
    </w:pPr>
  </w:p>
  <w:p w14:paraId="63D03558" w14:textId="77777777" w:rsidR="001B18EE" w:rsidRDefault="001B18EE">
    <w:pPr>
      <w:spacing w:line="360" w:lineRule="auto"/>
      <w:ind w:firstLine="2835"/>
      <w:jc w:val="right"/>
      <w:rPr>
        <w:sz w:val="18"/>
        <w:lang w:val="es-MX"/>
      </w:rPr>
    </w:pPr>
  </w:p>
  <w:p w14:paraId="459B6196" w14:textId="77777777" w:rsidR="001B18EE" w:rsidRDefault="001B18E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9B360D94"/>
    <w:lvl w:ilvl="0">
      <w:start w:val="1"/>
      <w:numFmt w:val="decimal"/>
      <w:pStyle w:val="Listaconnmeros"/>
      <w:lvlText w:val="%1."/>
      <w:lvlJc w:val="left"/>
      <w:pPr>
        <w:tabs>
          <w:tab w:val="num" w:pos="360"/>
        </w:tabs>
        <w:ind w:left="360" w:hanging="360"/>
      </w:pPr>
    </w:lvl>
  </w:abstractNum>
  <w:abstractNum w:abstractNumId="1" w15:restartNumberingAfterBreak="0">
    <w:nsid w:val="00D81421"/>
    <w:multiLevelType w:val="hybridMultilevel"/>
    <w:tmpl w:val="23F6DDCA"/>
    <w:lvl w:ilvl="0" w:tplc="E9B8D77A">
      <w:start w:val="1"/>
      <w:numFmt w:val="lowerRoman"/>
      <w:lvlText w:val="(%1)"/>
      <w:lvlJc w:val="left"/>
      <w:pPr>
        <w:ind w:left="1428" w:hanging="72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2" w15:restartNumberingAfterBreak="0">
    <w:nsid w:val="022F6175"/>
    <w:multiLevelType w:val="singleLevel"/>
    <w:tmpl w:val="56CA143A"/>
    <w:lvl w:ilvl="0">
      <w:start w:val="3"/>
      <w:numFmt w:val="decimal"/>
      <w:lvlText w:val="%1. "/>
      <w:legacy w:legacy="1" w:legacySpace="0" w:legacyIndent="283"/>
      <w:lvlJc w:val="left"/>
      <w:pPr>
        <w:ind w:left="373" w:hanging="283"/>
      </w:pPr>
      <w:rPr>
        <w:rFonts w:ascii="Verdana" w:hAnsi="Verdana" w:hint="default"/>
        <w:b w:val="0"/>
        <w:i w:val="0"/>
        <w:sz w:val="24"/>
        <w:u w:val="none"/>
      </w:rPr>
    </w:lvl>
  </w:abstractNum>
  <w:abstractNum w:abstractNumId="3" w15:restartNumberingAfterBreak="0">
    <w:nsid w:val="1063647C"/>
    <w:multiLevelType w:val="hybridMultilevel"/>
    <w:tmpl w:val="60AE5FFC"/>
    <w:lvl w:ilvl="0" w:tplc="6A269EE0">
      <w:start w:val="1"/>
      <w:numFmt w:val="decimal"/>
      <w:lvlText w:val="%1."/>
      <w:lvlJc w:val="left"/>
      <w:pPr>
        <w:ind w:left="1414" w:hanging="705"/>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4" w15:restartNumberingAfterBreak="0">
    <w:nsid w:val="1C9D5BE9"/>
    <w:multiLevelType w:val="singleLevel"/>
    <w:tmpl w:val="56CA143A"/>
    <w:lvl w:ilvl="0">
      <w:start w:val="7"/>
      <w:numFmt w:val="decimal"/>
      <w:lvlText w:val="%1. "/>
      <w:legacy w:legacy="1" w:legacySpace="0" w:legacyIndent="283"/>
      <w:lvlJc w:val="left"/>
      <w:pPr>
        <w:ind w:left="373" w:hanging="283"/>
      </w:pPr>
      <w:rPr>
        <w:rFonts w:ascii="Verdana" w:hAnsi="Verdana" w:hint="default"/>
        <w:b w:val="0"/>
        <w:i w:val="0"/>
        <w:sz w:val="24"/>
        <w:u w:val="none"/>
      </w:rPr>
    </w:lvl>
  </w:abstractNum>
  <w:abstractNum w:abstractNumId="5" w15:restartNumberingAfterBreak="0">
    <w:nsid w:val="1FD96E7B"/>
    <w:multiLevelType w:val="multilevel"/>
    <w:tmpl w:val="8C96D61A"/>
    <w:lvl w:ilvl="0">
      <w:start w:val="3"/>
      <w:numFmt w:val="decimal"/>
      <w:lvlText w:val="%1."/>
      <w:lvlJc w:val="left"/>
      <w:pPr>
        <w:ind w:left="570" w:hanging="57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498" w:hanging="108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5345" w:hanging="1800"/>
      </w:pPr>
      <w:rPr>
        <w:rFonts w:hint="default"/>
      </w:rPr>
    </w:lvl>
    <w:lvl w:ilvl="6">
      <w:start w:val="1"/>
      <w:numFmt w:val="decimal"/>
      <w:lvlText w:val="%1.%2.%3.%4.%5.%6.%7."/>
      <w:lvlJc w:val="left"/>
      <w:pPr>
        <w:ind w:left="6414" w:hanging="216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8192" w:hanging="2520"/>
      </w:pPr>
      <w:rPr>
        <w:rFonts w:hint="default"/>
      </w:rPr>
    </w:lvl>
  </w:abstractNum>
  <w:abstractNum w:abstractNumId="6" w15:restartNumberingAfterBreak="0">
    <w:nsid w:val="234C45BC"/>
    <w:multiLevelType w:val="singleLevel"/>
    <w:tmpl w:val="56CA143A"/>
    <w:lvl w:ilvl="0">
      <w:start w:val="8"/>
      <w:numFmt w:val="decimal"/>
      <w:lvlText w:val="%1. "/>
      <w:legacy w:legacy="1" w:legacySpace="0" w:legacyIndent="283"/>
      <w:lvlJc w:val="left"/>
      <w:pPr>
        <w:ind w:left="373" w:hanging="283"/>
      </w:pPr>
      <w:rPr>
        <w:rFonts w:ascii="Verdana" w:hAnsi="Verdana" w:hint="default"/>
        <w:b w:val="0"/>
        <w:i w:val="0"/>
        <w:sz w:val="24"/>
        <w:u w:val="none"/>
      </w:rPr>
    </w:lvl>
  </w:abstractNum>
  <w:abstractNum w:abstractNumId="7" w15:restartNumberingAfterBreak="0">
    <w:nsid w:val="249F1DB2"/>
    <w:multiLevelType w:val="singleLevel"/>
    <w:tmpl w:val="56CA143A"/>
    <w:lvl w:ilvl="0">
      <w:start w:val="6"/>
      <w:numFmt w:val="decimal"/>
      <w:lvlText w:val="%1. "/>
      <w:legacy w:legacy="1" w:legacySpace="0" w:legacyIndent="283"/>
      <w:lvlJc w:val="left"/>
      <w:pPr>
        <w:ind w:left="373" w:hanging="283"/>
      </w:pPr>
      <w:rPr>
        <w:rFonts w:ascii="Verdana" w:hAnsi="Verdana" w:hint="default"/>
        <w:b w:val="0"/>
        <w:i w:val="0"/>
        <w:sz w:val="24"/>
        <w:u w:val="none"/>
      </w:rPr>
    </w:lvl>
  </w:abstractNum>
  <w:abstractNum w:abstractNumId="8" w15:restartNumberingAfterBreak="0">
    <w:nsid w:val="31106296"/>
    <w:multiLevelType w:val="singleLevel"/>
    <w:tmpl w:val="56CA143A"/>
    <w:lvl w:ilvl="0">
      <w:start w:val="10"/>
      <w:numFmt w:val="decimal"/>
      <w:lvlText w:val="%1. "/>
      <w:legacy w:legacy="1" w:legacySpace="0" w:legacyIndent="283"/>
      <w:lvlJc w:val="left"/>
      <w:pPr>
        <w:ind w:left="373" w:hanging="283"/>
      </w:pPr>
      <w:rPr>
        <w:rFonts w:ascii="Verdana" w:hAnsi="Verdana" w:hint="default"/>
        <w:b w:val="0"/>
        <w:i w:val="0"/>
        <w:sz w:val="24"/>
        <w:u w:val="none"/>
      </w:rPr>
    </w:lvl>
  </w:abstractNum>
  <w:abstractNum w:abstractNumId="9" w15:restartNumberingAfterBreak="0">
    <w:nsid w:val="43BC4CD9"/>
    <w:multiLevelType w:val="singleLevel"/>
    <w:tmpl w:val="56CA143A"/>
    <w:lvl w:ilvl="0">
      <w:start w:val="9"/>
      <w:numFmt w:val="decimal"/>
      <w:lvlText w:val="%1. "/>
      <w:legacy w:legacy="1" w:legacySpace="0" w:legacyIndent="283"/>
      <w:lvlJc w:val="left"/>
      <w:pPr>
        <w:ind w:left="373" w:hanging="283"/>
      </w:pPr>
      <w:rPr>
        <w:rFonts w:ascii="Verdana" w:hAnsi="Verdana" w:hint="default"/>
        <w:b w:val="0"/>
        <w:i w:val="0"/>
        <w:sz w:val="24"/>
        <w:u w:val="none"/>
      </w:rPr>
    </w:lvl>
  </w:abstractNum>
  <w:abstractNum w:abstractNumId="10" w15:restartNumberingAfterBreak="0">
    <w:nsid w:val="49D001DC"/>
    <w:multiLevelType w:val="hybridMultilevel"/>
    <w:tmpl w:val="13CE36F2"/>
    <w:lvl w:ilvl="0" w:tplc="1A9AF9FE">
      <w:start w:val="1"/>
      <w:numFmt w:val="lowerRoman"/>
      <w:lvlText w:val="(%1)"/>
      <w:lvlJc w:val="left"/>
      <w:pPr>
        <w:ind w:left="1429" w:hanging="72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11" w15:restartNumberingAfterBreak="0">
    <w:nsid w:val="4C4A6AC9"/>
    <w:multiLevelType w:val="hybridMultilevel"/>
    <w:tmpl w:val="CA9EC16A"/>
    <w:lvl w:ilvl="0" w:tplc="0992A530">
      <w:start w:val="1"/>
      <w:numFmt w:val="lowerRoman"/>
      <w:lvlText w:val="(%1)"/>
      <w:lvlJc w:val="left"/>
      <w:pPr>
        <w:ind w:left="1429" w:hanging="72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12" w15:restartNumberingAfterBreak="0">
    <w:nsid w:val="5EE71064"/>
    <w:multiLevelType w:val="singleLevel"/>
    <w:tmpl w:val="56CA143A"/>
    <w:lvl w:ilvl="0">
      <w:start w:val="4"/>
      <w:numFmt w:val="decimal"/>
      <w:lvlText w:val="%1. "/>
      <w:legacy w:legacy="1" w:legacySpace="0" w:legacyIndent="283"/>
      <w:lvlJc w:val="left"/>
      <w:pPr>
        <w:ind w:left="373" w:hanging="283"/>
      </w:pPr>
      <w:rPr>
        <w:rFonts w:ascii="Verdana" w:hAnsi="Verdana" w:hint="default"/>
        <w:b w:val="0"/>
        <w:i w:val="0"/>
        <w:sz w:val="24"/>
        <w:u w:val="none"/>
      </w:rPr>
    </w:lvl>
  </w:abstractNum>
  <w:abstractNum w:abstractNumId="13" w15:restartNumberingAfterBreak="0">
    <w:nsid w:val="64EA21C9"/>
    <w:multiLevelType w:val="hybridMultilevel"/>
    <w:tmpl w:val="66A68440"/>
    <w:lvl w:ilvl="0" w:tplc="F28EE9E4">
      <w:start w:val="1"/>
      <w:numFmt w:val="decimal"/>
      <w:lvlText w:val="%1."/>
      <w:lvlJc w:val="left"/>
      <w:pPr>
        <w:ind w:left="1069" w:hanging="36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14" w15:restartNumberingAfterBreak="0">
    <w:nsid w:val="6BFD1419"/>
    <w:multiLevelType w:val="hybridMultilevel"/>
    <w:tmpl w:val="464E8B98"/>
    <w:lvl w:ilvl="0" w:tplc="FAA68030">
      <w:start w:val="1"/>
      <w:numFmt w:val="decimal"/>
      <w:lvlText w:val="%1."/>
      <w:lvlJc w:val="left"/>
      <w:pPr>
        <w:ind w:left="2061" w:hanging="360"/>
      </w:pPr>
      <w:rPr>
        <w:rFonts w:hint="default"/>
      </w:rPr>
    </w:lvl>
    <w:lvl w:ilvl="1" w:tplc="240A0019">
      <w:start w:val="1"/>
      <w:numFmt w:val="lowerLetter"/>
      <w:lvlText w:val="%2."/>
      <w:lvlJc w:val="left"/>
      <w:pPr>
        <w:ind w:left="2781" w:hanging="360"/>
      </w:pPr>
    </w:lvl>
    <w:lvl w:ilvl="2" w:tplc="240A001B" w:tentative="1">
      <w:start w:val="1"/>
      <w:numFmt w:val="lowerRoman"/>
      <w:lvlText w:val="%3."/>
      <w:lvlJc w:val="right"/>
      <w:pPr>
        <w:ind w:left="3501" w:hanging="180"/>
      </w:pPr>
    </w:lvl>
    <w:lvl w:ilvl="3" w:tplc="240A000F" w:tentative="1">
      <w:start w:val="1"/>
      <w:numFmt w:val="decimal"/>
      <w:lvlText w:val="%4."/>
      <w:lvlJc w:val="left"/>
      <w:pPr>
        <w:ind w:left="4221" w:hanging="360"/>
      </w:pPr>
    </w:lvl>
    <w:lvl w:ilvl="4" w:tplc="240A0019" w:tentative="1">
      <w:start w:val="1"/>
      <w:numFmt w:val="lowerLetter"/>
      <w:lvlText w:val="%5."/>
      <w:lvlJc w:val="left"/>
      <w:pPr>
        <w:ind w:left="4941" w:hanging="360"/>
      </w:pPr>
    </w:lvl>
    <w:lvl w:ilvl="5" w:tplc="240A001B" w:tentative="1">
      <w:start w:val="1"/>
      <w:numFmt w:val="lowerRoman"/>
      <w:lvlText w:val="%6."/>
      <w:lvlJc w:val="right"/>
      <w:pPr>
        <w:ind w:left="5661" w:hanging="180"/>
      </w:pPr>
    </w:lvl>
    <w:lvl w:ilvl="6" w:tplc="240A000F" w:tentative="1">
      <w:start w:val="1"/>
      <w:numFmt w:val="decimal"/>
      <w:lvlText w:val="%7."/>
      <w:lvlJc w:val="left"/>
      <w:pPr>
        <w:ind w:left="6381" w:hanging="360"/>
      </w:pPr>
    </w:lvl>
    <w:lvl w:ilvl="7" w:tplc="240A0019" w:tentative="1">
      <w:start w:val="1"/>
      <w:numFmt w:val="lowerLetter"/>
      <w:lvlText w:val="%8."/>
      <w:lvlJc w:val="left"/>
      <w:pPr>
        <w:ind w:left="7101" w:hanging="360"/>
      </w:pPr>
    </w:lvl>
    <w:lvl w:ilvl="8" w:tplc="240A001B" w:tentative="1">
      <w:start w:val="1"/>
      <w:numFmt w:val="lowerRoman"/>
      <w:lvlText w:val="%9."/>
      <w:lvlJc w:val="right"/>
      <w:pPr>
        <w:ind w:left="7821" w:hanging="180"/>
      </w:pPr>
    </w:lvl>
  </w:abstractNum>
  <w:abstractNum w:abstractNumId="15" w15:restartNumberingAfterBreak="0">
    <w:nsid w:val="735008ED"/>
    <w:multiLevelType w:val="singleLevel"/>
    <w:tmpl w:val="56CA143A"/>
    <w:lvl w:ilvl="0">
      <w:start w:val="5"/>
      <w:numFmt w:val="decimal"/>
      <w:lvlText w:val="%1. "/>
      <w:legacy w:legacy="1" w:legacySpace="0" w:legacyIndent="283"/>
      <w:lvlJc w:val="left"/>
      <w:pPr>
        <w:ind w:left="373" w:hanging="283"/>
      </w:pPr>
      <w:rPr>
        <w:rFonts w:ascii="Verdana" w:hAnsi="Verdana" w:hint="default"/>
        <w:b w:val="0"/>
        <w:i w:val="0"/>
        <w:sz w:val="24"/>
        <w:u w:val="none"/>
      </w:rPr>
    </w:lvl>
  </w:abstractNum>
  <w:abstractNum w:abstractNumId="16" w15:restartNumberingAfterBreak="0">
    <w:nsid w:val="7AB83F99"/>
    <w:multiLevelType w:val="singleLevel"/>
    <w:tmpl w:val="56CA143A"/>
    <w:lvl w:ilvl="0">
      <w:start w:val="2"/>
      <w:numFmt w:val="decimal"/>
      <w:lvlText w:val="%1. "/>
      <w:legacy w:legacy="1" w:legacySpace="0" w:legacyIndent="283"/>
      <w:lvlJc w:val="left"/>
      <w:pPr>
        <w:ind w:left="373" w:hanging="283"/>
      </w:pPr>
      <w:rPr>
        <w:rFonts w:ascii="Verdana" w:hAnsi="Verdana" w:hint="default"/>
        <w:b w:val="0"/>
        <w:i w:val="0"/>
        <w:sz w:val="24"/>
        <w:u w:val="none"/>
      </w:rPr>
    </w:lvl>
  </w:abstractNum>
  <w:abstractNum w:abstractNumId="17" w15:restartNumberingAfterBreak="0">
    <w:nsid w:val="7C6F6FE3"/>
    <w:multiLevelType w:val="hybridMultilevel"/>
    <w:tmpl w:val="BF107254"/>
    <w:lvl w:ilvl="0" w:tplc="4A4827A2">
      <w:start w:val="1"/>
      <w:numFmt w:val="decimal"/>
      <w:lvlText w:val="%1."/>
      <w:lvlJc w:val="left"/>
      <w:pPr>
        <w:ind w:left="1420" w:hanging="720"/>
      </w:pPr>
      <w:rPr>
        <w:rFonts w:hint="default"/>
      </w:rPr>
    </w:lvl>
    <w:lvl w:ilvl="1" w:tplc="040A0019" w:tentative="1">
      <w:start w:val="1"/>
      <w:numFmt w:val="lowerLetter"/>
      <w:lvlText w:val="%2."/>
      <w:lvlJc w:val="left"/>
      <w:pPr>
        <w:ind w:left="1780" w:hanging="360"/>
      </w:pPr>
    </w:lvl>
    <w:lvl w:ilvl="2" w:tplc="040A001B" w:tentative="1">
      <w:start w:val="1"/>
      <w:numFmt w:val="lowerRoman"/>
      <w:lvlText w:val="%3."/>
      <w:lvlJc w:val="right"/>
      <w:pPr>
        <w:ind w:left="2500" w:hanging="180"/>
      </w:pPr>
    </w:lvl>
    <w:lvl w:ilvl="3" w:tplc="040A000F" w:tentative="1">
      <w:start w:val="1"/>
      <w:numFmt w:val="decimal"/>
      <w:lvlText w:val="%4."/>
      <w:lvlJc w:val="left"/>
      <w:pPr>
        <w:ind w:left="3220" w:hanging="360"/>
      </w:pPr>
    </w:lvl>
    <w:lvl w:ilvl="4" w:tplc="040A0019" w:tentative="1">
      <w:start w:val="1"/>
      <w:numFmt w:val="lowerLetter"/>
      <w:lvlText w:val="%5."/>
      <w:lvlJc w:val="left"/>
      <w:pPr>
        <w:ind w:left="3940" w:hanging="360"/>
      </w:pPr>
    </w:lvl>
    <w:lvl w:ilvl="5" w:tplc="040A001B" w:tentative="1">
      <w:start w:val="1"/>
      <w:numFmt w:val="lowerRoman"/>
      <w:lvlText w:val="%6."/>
      <w:lvlJc w:val="right"/>
      <w:pPr>
        <w:ind w:left="4660" w:hanging="180"/>
      </w:pPr>
    </w:lvl>
    <w:lvl w:ilvl="6" w:tplc="040A000F" w:tentative="1">
      <w:start w:val="1"/>
      <w:numFmt w:val="decimal"/>
      <w:lvlText w:val="%7."/>
      <w:lvlJc w:val="left"/>
      <w:pPr>
        <w:ind w:left="5380" w:hanging="360"/>
      </w:pPr>
    </w:lvl>
    <w:lvl w:ilvl="7" w:tplc="040A0019" w:tentative="1">
      <w:start w:val="1"/>
      <w:numFmt w:val="lowerLetter"/>
      <w:lvlText w:val="%8."/>
      <w:lvlJc w:val="left"/>
      <w:pPr>
        <w:ind w:left="6100" w:hanging="360"/>
      </w:pPr>
    </w:lvl>
    <w:lvl w:ilvl="8" w:tplc="040A001B" w:tentative="1">
      <w:start w:val="1"/>
      <w:numFmt w:val="lowerRoman"/>
      <w:lvlText w:val="%9."/>
      <w:lvlJc w:val="right"/>
      <w:pPr>
        <w:ind w:left="6820" w:hanging="180"/>
      </w:pPr>
    </w:lvl>
  </w:abstractNum>
  <w:abstractNum w:abstractNumId="18" w15:restartNumberingAfterBreak="0">
    <w:nsid w:val="7EF13473"/>
    <w:multiLevelType w:val="singleLevel"/>
    <w:tmpl w:val="56CA143A"/>
    <w:lvl w:ilvl="0">
      <w:start w:val="1"/>
      <w:numFmt w:val="decimal"/>
      <w:lvlText w:val="%1. "/>
      <w:legacy w:legacy="1" w:legacySpace="0" w:legacyIndent="283"/>
      <w:lvlJc w:val="left"/>
      <w:pPr>
        <w:ind w:left="373" w:hanging="283"/>
      </w:pPr>
      <w:rPr>
        <w:rFonts w:ascii="Verdana" w:hAnsi="Verdana" w:hint="default"/>
        <w:b w:val="0"/>
        <w:i w:val="0"/>
        <w:sz w:val="24"/>
        <w:u w:val="none"/>
      </w:rPr>
    </w:lvl>
  </w:abstractNum>
  <w:abstractNum w:abstractNumId="19" w15:restartNumberingAfterBreak="0">
    <w:nsid w:val="7F7E662A"/>
    <w:multiLevelType w:val="hybridMultilevel"/>
    <w:tmpl w:val="1B5E632C"/>
    <w:lvl w:ilvl="0" w:tplc="006A19CA">
      <w:start w:val="1"/>
      <w:numFmt w:val="decimal"/>
      <w:lvlText w:val="%1.-"/>
      <w:lvlJc w:val="left"/>
      <w:pPr>
        <w:ind w:left="1637" w:hanging="36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240A0019" w:tentative="1">
      <w:start w:val="1"/>
      <w:numFmt w:val="lowerLetter"/>
      <w:lvlText w:val="%2."/>
      <w:lvlJc w:val="left"/>
      <w:pPr>
        <w:ind w:left="2858" w:hanging="360"/>
      </w:pPr>
    </w:lvl>
    <w:lvl w:ilvl="2" w:tplc="240A001B" w:tentative="1">
      <w:start w:val="1"/>
      <w:numFmt w:val="lowerRoman"/>
      <w:lvlText w:val="%3."/>
      <w:lvlJc w:val="right"/>
      <w:pPr>
        <w:ind w:left="3578" w:hanging="180"/>
      </w:pPr>
    </w:lvl>
    <w:lvl w:ilvl="3" w:tplc="240A000F" w:tentative="1">
      <w:start w:val="1"/>
      <w:numFmt w:val="decimal"/>
      <w:lvlText w:val="%4."/>
      <w:lvlJc w:val="left"/>
      <w:pPr>
        <w:ind w:left="4298" w:hanging="360"/>
      </w:pPr>
    </w:lvl>
    <w:lvl w:ilvl="4" w:tplc="240A0019" w:tentative="1">
      <w:start w:val="1"/>
      <w:numFmt w:val="lowerLetter"/>
      <w:lvlText w:val="%5."/>
      <w:lvlJc w:val="left"/>
      <w:pPr>
        <w:ind w:left="5018" w:hanging="360"/>
      </w:pPr>
    </w:lvl>
    <w:lvl w:ilvl="5" w:tplc="240A001B" w:tentative="1">
      <w:start w:val="1"/>
      <w:numFmt w:val="lowerRoman"/>
      <w:lvlText w:val="%6."/>
      <w:lvlJc w:val="right"/>
      <w:pPr>
        <w:ind w:left="5738" w:hanging="180"/>
      </w:pPr>
    </w:lvl>
    <w:lvl w:ilvl="6" w:tplc="240A000F" w:tentative="1">
      <w:start w:val="1"/>
      <w:numFmt w:val="decimal"/>
      <w:lvlText w:val="%7."/>
      <w:lvlJc w:val="left"/>
      <w:pPr>
        <w:ind w:left="6458" w:hanging="360"/>
      </w:pPr>
    </w:lvl>
    <w:lvl w:ilvl="7" w:tplc="240A0019" w:tentative="1">
      <w:start w:val="1"/>
      <w:numFmt w:val="lowerLetter"/>
      <w:lvlText w:val="%8."/>
      <w:lvlJc w:val="left"/>
      <w:pPr>
        <w:ind w:left="7178" w:hanging="360"/>
      </w:pPr>
    </w:lvl>
    <w:lvl w:ilvl="8" w:tplc="240A001B" w:tentative="1">
      <w:start w:val="1"/>
      <w:numFmt w:val="lowerRoman"/>
      <w:lvlText w:val="%9."/>
      <w:lvlJc w:val="right"/>
      <w:pPr>
        <w:ind w:left="7898" w:hanging="180"/>
      </w:pPr>
    </w:lvl>
  </w:abstractNum>
  <w:num w:numId="1">
    <w:abstractNumId w:val="18"/>
  </w:num>
  <w:num w:numId="2">
    <w:abstractNumId w:val="16"/>
  </w:num>
  <w:num w:numId="3">
    <w:abstractNumId w:val="2"/>
  </w:num>
  <w:num w:numId="4">
    <w:abstractNumId w:val="12"/>
  </w:num>
  <w:num w:numId="5">
    <w:abstractNumId w:val="15"/>
  </w:num>
  <w:num w:numId="6">
    <w:abstractNumId w:val="7"/>
  </w:num>
  <w:num w:numId="7">
    <w:abstractNumId w:val="4"/>
  </w:num>
  <w:num w:numId="8">
    <w:abstractNumId w:val="6"/>
  </w:num>
  <w:num w:numId="9">
    <w:abstractNumId w:val="9"/>
  </w:num>
  <w:num w:numId="10">
    <w:abstractNumId w:val="8"/>
  </w:num>
  <w:num w:numId="11">
    <w:abstractNumId w:val="5"/>
  </w:num>
  <w:num w:numId="12">
    <w:abstractNumId w:val="1"/>
  </w:num>
  <w:num w:numId="13">
    <w:abstractNumId w:val="13"/>
  </w:num>
  <w:num w:numId="14">
    <w:abstractNumId w:val="10"/>
  </w:num>
  <w:num w:numId="15">
    <w:abstractNumId w:val="11"/>
  </w:num>
  <w:num w:numId="16">
    <w:abstractNumId w:val="17"/>
  </w:num>
  <w:num w:numId="17">
    <w:abstractNumId w:val="3"/>
  </w:num>
  <w:num w:numId="18">
    <w:abstractNumId w:val="0"/>
  </w:num>
  <w:num w:numId="19">
    <w:abstractNumId w:val="19"/>
  </w:num>
  <w:num w:numId="20">
    <w:abstractNumId w:val="19"/>
    <w:lvlOverride w:ilvl="0">
      <w:startOverride w:val="1"/>
    </w:lvlOverride>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60CF"/>
    <w:rsid w:val="000104AA"/>
    <w:rsid w:val="00030626"/>
    <w:rsid w:val="00037B5A"/>
    <w:rsid w:val="00051E1F"/>
    <w:rsid w:val="000627EE"/>
    <w:rsid w:val="000644A6"/>
    <w:rsid w:val="00075683"/>
    <w:rsid w:val="000C0583"/>
    <w:rsid w:val="000C1503"/>
    <w:rsid w:val="000C4363"/>
    <w:rsid w:val="000E78F6"/>
    <w:rsid w:val="000F7A2C"/>
    <w:rsid w:val="001539FE"/>
    <w:rsid w:val="00163EBD"/>
    <w:rsid w:val="00185883"/>
    <w:rsid w:val="00192F55"/>
    <w:rsid w:val="001B18EE"/>
    <w:rsid w:val="001B5806"/>
    <w:rsid w:val="00203EF5"/>
    <w:rsid w:val="00233F55"/>
    <w:rsid w:val="00252942"/>
    <w:rsid w:val="00253E1D"/>
    <w:rsid w:val="00266B8F"/>
    <w:rsid w:val="00275F43"/>
    <w:rsid w:val="002A4090"/>
    <w:rsid w:val="002B1232"/>
    <w:rsid w:val="002D338A"/>
    <w:rsid w:val="002D66A8"/>
    <w:rsid w:val="002D68E1"/>
    <w:rsid w:val="002F66AE"/>
    <w:rsid w:val="00300B34"/>
    <w:rsid w:val="003029EA"/>
    <w:rsid w:val="00306CAC"/>
    <w:rsid w:val="00352876"/>
    <w:rsid w:val="003548B1"/>
    <w:rsid w:val="00354A2C"/>
    <w:rsid w:val="003568D3"/>
    <w:rsid w:val="0036084E"/>
    <w:rsid w:val="00362CB5"/>
    <w:rsid w:val="00381B23"/>
    <w:rsid w:val="003B0031"/>
    <w:rsid w:val="003B0307"/>
    <w:rsid w:val="003C1FB4"/>
    <w:rsid w:val="003D690F"/>
    <w:rsid w:val="003E43C1"/>
    <w:rsid w:val="00415B5D"/>
    <w:rsid w:val="00431BF4"/>
    <w:rsid w:val="00443E57"/>
    <w:rsid w:val="0044489E"/>
    <w:rsid w:val="00473A83"/>
    <w:rsid w:val="00491C9E"/>
    <w:rsid w:val="00492552"/>
    <w:rsid w:val="004A5E30"/>
    <w:rsid w:val="004B6402"/>
    <w:rsid w:val="004B65F1"/>
    <w:rsid w:val="004C662C"/>
    <w:rsid w:val="004E0F68"/>
    <w:rsid w:val="004E7024"/>
    <w:rsid w:val="004F094A"/>
    <w:rsid w:val="00530C84"/>
    <w:rsid w:val="005324DD"/>
    <w:rsid w:val="00541BF7"/>
    <w:rsid w:val="005525A7"/>
    <w:rsid w:val="00554664"/>
    <w:rsid w:val="005664E1"/>
    <w:rsid w:val="005776B0"/>
    <w:rsid w:val="005D30E9"/>
    <w:rsid w:val="005E25E8"/>
    <w:rsid w:val="0060468B"/>
    <w:rsid w:val="006105A8"/>
    <w:rsid w:val="00612DD9"/>
    <w:rsid w:val="006130E0"/>
    <w:rsid w:val="006318DD"/>
    <w:rsid w:val="00654639"/>
    <w:rsid w:val="00656ACD"/>
    <w:rsid w:val="00677062"/>
    <w:rsid w:val="00684F10"/>
    <w:rsid w:val="0069028C"/>
    <w:rsid w:val="006A1B7E"/>
    <w:rsid w:val="006C6552"/>
    <w:rsid w:val="006D0C6E"/>
    <w:rsid w:val="006D4E4D"/>
    <w:rsid w:val="006F07D7"/>
    <w:rsid w:val="006F709D"/>
    <w:rsid w:val="007147A5"/>
    <w:rsid w:val="00733B4F"/>
    <w:rsid w:val="00747F45"/>
    <w:rsid w:val="00751974"/>
    <w:rsid w:val="00755807"/>
    <w:rsid w:val="00790349"/>
    <w:rsid w:val="00797AF4"/>
    <w:rsid w:val="007B0695"/>
    <w:rsid w:val="007C31E0"/>
    <w:rsid w:val="007C61D0"/>
    <w:rsid w:val="007D3BD2"/>
    <w:rsid w:val="007F576F"/>
    <w:rsid w:val="00801105"/>
    <w:rsid w:val="00836EE8"/>
    <w:rsid w:val="008433A0"/>
    <w:rsid w:val="00852827"/>
    <w:rsid w:val="00853796"/>
    <w:rsid w:val="008833F1"/>
    <w:rsid w:val="00887415"/>
    <w:rsid w:val="008C2F52"/>
    <w:rsid w:val="008E7DBF"/>
    <w:rsid w:val="009060CF"/>
    <w:rsid w:val="00920D9B"/>
    <w:rsid w:val="00922180"/>
    <w:rsid w:val="00930245"/>
    <w:rsid w:val="00931612"/>
    <w:rsid w:val="009401AD"/>
    <w:rsid w:val="00944873"/>
    <w:rsid w:val="00992471"/>
    <w:rsid w:val="00995BA6"/>
    <w:rsid w:val="009A037E"/>
    <w:rsid w:val="009B3322"/>
    <w:rsid w:val="009C096B"/>
    <w:rsid w:val="009D0D24"/>
    <w:rsid w:val="009D4146"/>
    <w:rsid w:val="009E3E58"/>
    <w:rsid w:val="009E5C0F"/>
    <w:rsid w:val="009E6D01"/>
    <w:rsid w:val="00A177B1"/>
    <w:rsid w:val="00A25FBB"/>
    <w:rsid w:val="00A3021C"/>
    <w:rsid w:val="00A36862"/>
    <w:rsid w:val="00A47235"/>
    <w:rsid w:val="00A47531"/>
    <w:rsid w:val="00A55DF8"/>
    <w:rsid w:val="00A62229"/>
    <w:rsid w:val="00A72379"/>
    <w:rsid w:val="00A95D9C"/>
    <w:rsid w:val="00AA65FD"/>
    <w:rsid w:val="00AB2684"/>
    <w:rsid w:val="00B21932"/>
    <w:rsid w:val="00B37A79"/>
    <w:rsid w:val="00B629BB"/>
    <w:rsid w:val="00B85FB0"/>
    <w:rsid w:val="00BA2578"/>
    <w:rsid w:val="00BC18DF"/>
    <w:rsid w:val="00BD5CC8"/>
    <w:rsid w:val="00BF692D"/>
    <w:rsid w:val="00BF7EA9"/>
    <w:rsid w:val="00C149B4"/>
    <w:rsid w:val="00C14F40"/>
    <w:rsid w:val="00C15FCA"/>
    <w:rsid w:val="00C348EB"/>
    <w:rsid w:val="00C538E4"/>
    <w:rsid w:val="00C86035"/>
    <w:rsid w:val="00CA3B38"/>
    <w:rsid w:val="00CB002B"/>
    <w:rsid w:val="00CB5CDA"/>
    <w:rsid w:val="00CC76BD"/>
    <w:rsid w:val="00CD2543"/>
    <w:rsid w:val="00CD31D6"/>
    <w:rsid w:val="00CF5101"/>
    <w:rsid w:val="00D20DCE"/>
    <w:rsid w:val="00D30A7C"/>
    <w:rsid w:val="00D5020D"/>
    <w:rsid w:val="00D530F5"/>
    <w:rsid w:val="00D546F5"/>
    <w:rsid w:val="00D54BFB"/>
    <w:rsid w:val="00D7504D"/>
    <w:rsid w:val="00D76F88"/>
    <w:rsid w:val="00DB03B5"/>
    <w:rsid w:val="00DC6271"/>
    <w:rsid w:val="00DF7233"/>
    <w:rsid w:val="00E14489"/>
    <w:rsid w:val="00E349C1"/>
    <w:rsid w:val="00E4315D"/>
    <w:rsid w:val="00E44B26"/>
    <w:rsid w:val="00E6630F"/>
    <w:rsid w:val="00ED0CB2"/>
    <w:rsid w:val="00EF764C"/>
    <w:rsid w:val="00F00D51"/>
    <w:rsid w:val="00F143DE"/>
    <w:rsid w:val="00F1732F"/>
    <w:rsid w:val="00F40628"/>
    <w:rsid w:val="00FA5D2D"/>
    <w:rsid w:val="00FB69D1"/>
    <w:rsid w:val="00FC6F27"/>
    <w:rsid w:val="00FE079C"/>
    <w:rsid w:val="00FE73CB"/>
    <w:rsid w:val="00FF548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491852"/>
  <w15:chartTrackingRefBased/>
  <w15:docId w15:val="{9D5F775B-3C56-4C56-8CEE-237CC1093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ES" w:eastAsia="es-ES"/>
    </w:rPr>
  </w:style>
  <w:style w:type="paragraph" w:styleId="Ttulo1">
    <w:name w:val="heading 1"/>
    <w:basedOn w:val="Normal"/>
    <w:next w:val="Normal"/>
    <w:qFormat/>
    <w:pPr>
      <w:keepNext/>
      <w:spacing w:line="360" w:lineRule="auto"/>
      <w:ind w:left="2124" w:firstLine="711"/>
      <w:jc w:val="both"/>
      <w:outlineLvl w:val="0"/>
    </w:pPr>
    <w:rPr>
      <w:rFonts w:ascii="Arial Narrow" w:hAnsi="Arial Narrow" w:cs="Courier New"/>
      <w:b/>
      <w:sz w:val="24"/>
    </w:rPr>
  </w:style>
  <w:style w:type="paragraph" w:styleId="Ttulo2">
    <w:name w:val="heading 2"/>
    <w:basedOn w:val="Normal"/>
    <w:next w:val="Normal"/>
    <w:link w:val="Ttulo2Car"/>
    <w:qFormat/>
    <w:pPr>
      <w:keepNext/>
      <w:spacing w:line="360" w:lineRule="auto"/>
      <w:jc w:val="both"/>
      <w:outlineLvl w:val="1"/>
    </w:pPr>
    <w:rPr>
      <w:rFonts w:ascii="Arial Narrow" w:hAnsi="Arial Narrow" w:cs="Courier New"/>
      <w:b/>
      <w:sz w:val="24"/>
    </w:rPr>
  </w:style>
  <w:style w:type="paragraph" w:styleId="Ttulo3">
    <w:name w:val="heading 3"/>
    <w:basedOn w:val="Normal"/>
    <w:next w:val="Normal"/>
    <w:link w:val="Ttulo3Car"/>
    <w:uiPriority w:val="9"/>
    <w:unhideWhenUsed/>
    <w:qFormat/>
    <w:rsid w:val="00E4315D"/>
    <w:pPr>
      <w:keepNext/>
      <w:keepLines/>
      <w:spacing w:before="40"/>
      <w:outlineLvl w:val="2"/>
    </w:pPr>
    <w:rPr>
      <w:rFonts w:ascii="Calibri Light" w:hAnsi="Calibri Light"/>
      <w:color w:val="1F4D78"/>
      <w:sz w:val="24"/>
      <w:szCs w:val="24"/>
    </w:rPr>
  </w:style>
  <w:style w:type="paragraph" w:styleId="Ttulo4">
    <w:name w:val="heading 4"/>
    <w:basedOn w:val="Normal"/>
    <w:next w:val="Normal"/>
    <w:link w:val="Ttulo4Car"/>
    <w:uiPriority w:val="9"/>
    <w:unhideWhenUsed/>
    <w:qFormat/>
    <w:rsid w:val="00E4315D"/>
    <w:pPr>
      <w:keepNext/>
      <w:spacing w:before="240" w:after="60"/>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pPr>
      <w:spacing w:line="360" w:lineRule="auto"/>
      <w:ind w:firstLine="2835"/>
      <w:jc w:val="both"/>
    </w:pPr>
    <w:rPr>
      <w:rFonts w:ascii="Verdana" w:hAnsi="Verdana"/>
      <w:sz w:val="24"/>
    </w:rPr>
  </w:style>
  <w:style w:type="paragraph" w:styleId="Textoindependiente">
    <w:name w:val="Body Text"/>
    <w:basedOn w:val="Normal"/>
    <w:link w:val="TextoindependienteCar1"/>
    <w:pPr>
      <w:spacing w:line="360" w:lineRule="auto"/>
      <w:jc w:val="both"/>
    </w:pPr>
    <w:rPr>
      <w:rFonts w:ascii="Courier New" w:hAnsi="Courier New" w:cs="Courier New"/>
      <w:sz w:val="24"/>
      <w:lang w:val="es-MX"/>
    </w:rPr>
  </w:style>
  <w:style w:type="paragraph" w:styleId="Encabezado">
    <w:name w:val="header"/>
    <w:basedOn w:val="Normal"/>
    <w:link w:val="EncabezadoCar"/>
    <w:uiPriority w:val="99"/>
    <w:pPr>
      <w:tabs>
        <w:tab w:val="center" w:pos="4419"/>
        <w:tab w:val="right" w:pos="8838"/>
      </w:tabs>
    </w:pPr>
  </w:style>
  <w:style w:type="paragraph" w:styleId="Piedepgina">
    <w:name w:val="footer"/>
    <w:basedOn w:val="Normal"/>
    <w:link w:val="PiedepginaCar"/>
    <w:uiPriority w:val="99"/>
    <w:pPr>
      <w:tabs>
        <w:tab w:val="center" w:pos="4419"/>
        <w:tab w:val="right" w:pos="8838"/>
      </w:tabs>
    </w:pPr>
  </w:style>
  <w:style w:type="character" w:styleId="Nmerodepgina">
    <w:name w:val="page number"/>
    <w:basedOn w:val="Fuentedeprrafopredeter"/>
  </w:style>
  <w:style w:type="paragraph" w:styleId="Textodebloque">
    <w:name w:val="Block Text"/>
    <w:basedOn w:val="Normal"/>
    <w:semiHidden/>
    <w:pPr>
      <w:ind w:left="1134" w:right="1418" w:firstLine="1701"/>
      <w:jc w:val="both"/>
    </w:pPr>
    <w:rPr>
      <w:rFonts w:ascii="Arial" w:hAnsi="Arial"/>
      <w:i/>
    </w:rPr>
  </w:style>
  <w:style w:type="paragraph" w:styleId="Textonotapie">
    <w:name w:val="footnote text"/>
    <w:aliases w:val="Footnote Text Char Char Char Char Char,Footnote Text Char Char Char Char,Footnote reference,FA Fu,Footnote Text Cha,Footnote Text Char Char Char,FA Fußnotentext,FA Fuﬂnotentext,Footnote Text Char Char,FA Fu Car Car,texto de nota al p,FA"/>
    <w:basedOn w:val="Normal"/>
    <w:link w:val="TextonotapieCar1"/>
    <w:qFormat/>
  </w:style>
  <w:style w:type="character" w:styleId="Refdenotaalpie">
    <w:name w:val="footnote reference"/>
    <w:aliases w:val="FC,Ref. de nota al pie 2,Texto de nota al pie,Pie de Página,Texto de nota al p,Pie de Pàgina,F,Pie de P_gin,Pie de P_,Texto de nota al pi,Pie de P_g,Footnotes refss,Appel note de bas de page,Footnote number,referencia nota al pie,f,R"/>
    <w:basedOn w:val="Fuentedeprrafopredeter"/>
    <w:link w:val="Refdenotaalpie2"/>
    <w:qFormat/>
    <w:rPr>
      <w:vertAlign w:val="superscript"/>
    </w:rPr>
  </w:style>
  <w:style w:type="character" w:customStyle="1" w:styleId="Ttulo3Car">
    <w:name w:val="Título 3 Car"/>
    <w:basedOn w:val="Fuentedeprrafopredeter"/>
    <w:link w:val="Ttulo3"/>
    <w:semiHidden/>
    <w:rsid w:val="00E4315D"/>
    <w:rPr>
      <w:rFonts w:ascii="Calibri Light" w:hAnsi="Calibri Light"/>
      <w:color w:val="1F4D78"/>
      <w:sz w:val="24"/>
      <w:szCs w:val="24"/>
      <w:lang w:val="es-ES" w:eastAsia="es-ES"/>
    </w:rPr>
  </w:style>
  <w:style w:type="character" w:customStyle="1" w:styleId="Ttulo4Car">
    <w:name w:val="Título 4 Car"/>
    <w:basedOn w:val="Fuentedeprrafopredeter"/>
    <w:link w:val="Ttulo4"/>
    <w:uiPriority w:val="9"/>
    <w:rsid w:val="00E4315D"/>
    <w:rPr>
      <w:rFonts w:ascii="Calibri" w:hAnsi="Calibri"/>
      <w:b/>
      <w:bCs/>
      <w:sz w:val="28"/>
      <w:szCs w:val="28"/>
      <w:lang w:val="es-ES" w:eastAsia="es-ES"/>
    </w:rPr>
  </w:style>
  <w:style w:type="character" w:customStyle="1" w:styleId="PiedepginaCar">
    <w:name w:val="Pie de página Car"/>
    <w:link w:val="Piedepgina"/>
    <w:uiPriority w:val="99"/>
    <w:rsid w:val="00E4315D"/>
    <w:rPr>
      <w:lang w:val="es-ES" w:eastAsia="es-ES"/>
    </w:rPr>
  </w:style>
  <w:style w:type="paragraph" w:customStyle="1" w:styleId="BodyTextIndent1">
    <w:name w:val="Body Text Indent1"/>
    <w:basedOn w:val="Normal"/>
    <w:rsid w:val="00E4315D"/>
    <w:pPr>
      <w:autoSpaceDE w:val="0"/>
      <w:autoSpaceDN w:val="0"/>
      <w:spacing w:line="360" w:lineRule="auto"/>
      <w:jc w:val="both"/>
    </w:pPr>
    <w:rPr>
      <w:rFonts w:ascii="Arial" w:hAnsi="Arial" w:cs="Arial"/>
      <w:sz w:val="26"/>
      <w:szCs w:val="26"/>
    </w:rPr>
  </w:style>
  <w:style w:type="character" w:styleId="Textoennegrita">
    <w:name w:val="Strong"/>
    <w:rsid w:val="00E4315D"/>
    <w:rPr>
      <w:b/>
      <w:bCs/>
    </w:rPr>
  </w:style>
  <w:style w:type="paragraph" w:styleId="Textodeglobo">
    <w:name w:val="Balloon Text"/>
    <w:basedOn w:val="Normal"/>
    <w:link w:val="TextodegloboCar"/>
    <w:rsid w:val="00E4315D"/>
    <w:rPr>
      <w:rFonts w:ascii="Verdana" w:hAnsi="Verdana"/>
      <w:sz w:val="16"/>
      <w:szCs w:val="16"/>
    </w:rPr>
  </w:style>
  <w:style w:type="character" w:customStyle="1" w:styleId="TextodegloboCar">
    <w:name w:val="Texto de globo Car"/>
    <w:basedOn w:val="Fuentedeprrafopredeter"/>
    <w:link w:val="Textodeglobo"/>
    <w:rsid w:val="00E4315D"/>
    <w:rPr>
      <w:rFonts w:ascii="Verdana" w:hAnsi="Verdana"/>
      <w:sz w:val="16"/>
      <w:szCs w:val="16"/>
      <w:lang w:val="es-ES" w:eastAsia="es-ES"/>
    </w:rPr>
  </w:style>
  <w:style w:type="character" w:customStyle="1" w:styleId="SangradetextonormalCar">
    <w:name w:val="Sangría de texto normal Car"/>
    <w:link w:val="Sangradetextonormal"/>
    <w:rsid w:val="00E4315D"/>
    <w:rPr>
      <w:rFonts w:ascii="Verdana" w:hAnsi="Verdana"/>
      <w:sz w:val="24"/>
      <w:lang w:val="es-ES" w:eastAsia="es-ES"/>
    </w:rPr>
  </w:style>
  <w:style w:type="paragraph" w:customStyle="1" w:styleId="Piedepgina1">
    <w:name w:val="Pie de página1"/>
    <w:rsid w:val="00E4315D"/>
    <w:pPr>
      <w:tabs>
        <w:tab w:val="center" w:pos="4252"/>
        <w:tab w:val="right" w:pos="8504"/>
      </w:tabs>
    </w:pPr>
    <w:rPr>
      <w:rFonts w:ascii="Arial" w:eastAsia="ヒラギノ角ゴ Pro W3" w:hAnsi="Arial"/>
      <w:color w:val="000000"/>
      <w:sz w:val="28"/>
      <w:lang w:val="es-ES_tradnl" w:eastAsia="es-ES"/>
    </w:rPr>
  </w:style>
  <w:style w:type="character" w:customStyle="1" w:styleId="EncabezadoCar">
    <w:name w:val="Encabezado Car"/>
    <w:link w:val="Encabezado"/>
    <w:uiPriority w:val="99"/>
    <w:rsid w:val="00E4315D"/>
    <w:rPr>
      <w:lang w:val="es-ES" w:eastAsia="es-ES"/>
    </w:rPr>
  </w:style>
  <w:style w:type="paragraph" w:styleId="Textoindependiente2">
    <w:name w:val="Body Text 2"/>
    <w:basedOn w:val="Normal"/>
    <w:link w:val="Textoindependiente2Car"/>
    <w:rsid w:val="00E4315D"/>
    <w:pPr>
      <w:spacing w:after="120" w:line="480" w:lineRule="auto"/>
    </w:pPr>
    <w:rPr>
      <w:sz w:val="24"/>
      <w:szCs w:val="24"/>
    </w:rPr>
  </w:style>
  <w:style w:type="character" w:customStyle="1" w:styleId="Textoindependiente2Car">
    <w:name w:val="Texto independiente 2 Car"/>
    <w:basedOn w:val="Fuentedeprrafopredeter"/>
    <w:link w:val="Textoindependiente2"/>
    <w:rsid w:val="00E4315D"/>
    <w:rPr>
      <w:sz w:val="24"/>
      <w:szCs w:val="24"/>
      <w:lang w:val="es-ES" w:eastAsia="es-ES"/>
    </w:rPr>
  </w:style>
  <w:style w:type="character" w:customStyle="1" w:styleId="TextonotapieCar1">
    <w:name w:val="Texto nota pie Car1"/>
    <w:aliases w:val="Footnote Text Char Char Char Char Char Car,Footnote Text Char Char Char Char Car,Footnote reference Car,FA Fu Car,Footnote Text Cha Car,Footnote Text Char Char Char Car,FA Fußnotentext Car,FA Fuﬂnotentext Car,FA Fu Car Car Car,FA Car"/>
    <w:link w:val="Textonotapie"/>
    <w:rsid w:val="00E4315D"/>
    <w:rPr>
      <w:lang w:val="es-ES" w:eastAsia="es-ES"/>
    </w:rPr>
  </w:style>
  <w:style w:type="paragraph" w:styleId="NormalWeb">
    <w:name w:val="Normal (Web)"/>
    <w:basedOn w:val="Normal"/>
    <w:uiPriority w:val="99"/>
    <w:unhideWhenUsed/>
    <w:rsid w:val="00E4315D"/>
    <w:pPr>
      <w:spacing w:before="100" w:beforeAutospacing="1" w:after="100" w:afterAutospacing="1"/>
    </w:pPr>
    <w:rPr>
      <w:sz w:val="24"/>
      <w:szCs w:val="24"/>
      <w:lang w:val="es-CO" w:eastAsia="es-CO"/>
    </w:rPr>
  </w:style>
  <w:style w:type="paragraph" w:styleId="Prrafodelista">
    <w:name w:val="List Paragraph"/>
    <w:basedOn w:val="Normal"/>
    <w:uiPriority w:val="34"/>
    <w:qFormat/>
    <w:rsid w:val="00E4315D"/>
    <w:pPr>
      <w:spacing w:after="200" w:line="276" w:lineRule="auto"/>
      <w:ind w:left="708"/>
    </w:pPr>
    <w:rPr>
      <w:rFonts w:ascii="Calibri" w:eastAsia="Calibri" w:hAnsi="Calibri"/>
      <w:sz w:val="22"/>
      <w:szCs w:val="22"/>
      <w:lang w:val="es-CO" w:eastAsia="en-US"/>
    </w:rPr>
  </w:style>
  <w:style w:type="character" w:customStyle="1" w:styleId="apple-converted-space">
    <w:name w:val="apple-converted-space"/>
    <w:rsid w:val="00E4315D"/>
  </w:style>
  <w:style w:type="paragraph" w:customStyle="1" w:styleId="Ttulo10">
    <w:name w:val="Título1"/>
    <w:basedOn w:val="Normal"/>
    <w:link w:val="TtuloCar"/>
    <w:rsid w:val="00E4315D"/>
    <w:pPr>
      <w:spacing w:line="360" w:lineRule="auto"/>
      <w:jc w:val="center"/>
    </w:pPr>
    <w:rPr>
      <w:rFonts w:ascii="Arial" w:hAnsi="Arial"/>
      <w:b/>
      <w:sz w:val="28"/>
      <w:lang w:val="es-ES_tradnl"/>
    </w:rPr>
  </w:style>
  <w:style w:type="character" w:customStyle="1" w:styleId="TtuloCar">
    <w:name w:val="Título Car"/>
    <w:link w:val="Ttulo10"/>
    <w:rsid w:val="00E4315D"/>
    <w:rPr>
      <w:rFonts w:ascii="Arial" w:hAnsi="Arial"/>
      <w:b/>
      <w:sz w:val="28"/>
      <w:lang w:val="es-ES_tradnl" w:eastAsia="es-ES"/>
    </w:rPr>
  </w:style>
  <w:style w:type="table" w:styleId="Tablaconcuadrcula">
    <w:name w:val="Table Grid"/>
    <w:basedOn w:val="Tablanormal"/>
    <w:rsid w:val="00E431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notapieCar">
    <w:name w:val="Texto nota pie Car"/>
    <w:aliases w:val="Footnote Text Char Char Char Char Char Car1,Ref. de nota al pie1 Car1,FA Fu Car1,texto de nota al pie Car1,Footnote Text Char Car,Footnote Text Char Char Char Char Char Char Char Char Car,ft Car"/>
    <w:rsid w:val="00E4315D"/>
    <w:rPr>
      <w:rFonts w:ascii="Arial" w:hAnsi="Arial"/>
      <w:lang w:val="es-ES_tradnl" w:eastAsia="x-none" w:bidi="ar-SA"/>
    </w:rPr>
  </w:style>
  <w:style w:type="character" w:customStyle="1" w:styleId="NormalCSJCar">
    <w:name w:val="Normal CSJ Car"/>
    <w:link w:val="NormalCSJ"/>
    <w:rsid w:val="00E4315D"/>
    <w:rPr>
      <w:rFonts w:ascii="Bookman Old Style" w:eastAsia="Calibri" w:hAnsi="Bookman Old Style"/>
      <w:sz w:val="28"/>
      <w:szCs w:val="28"/>
    </w:rPr>
  </w:style>
  <w:style w:type="paragraph" w:customStyle="1" w:styleId="NormalCSJ">
    <w:name w:val="Normal CSJ"/>
    <w:basedOn w:val="Normal"/>
    <w:link w:val="NormalCSJCar"/>
    <w:qFormat/>
    <w:rsid w:val="00E4315D"/>
    <w:pPr>
      <w:spacing w:line="360" w:lineRule="auto"/>
      <w:ind w:firstLine="709"/>
      <w:jc w:val="both"/>
    </w:pPr>
    <w:rPr>
      <w:rFonts w:ascii="Bookman Old Style" w:eastAsia="Calibri" w:hAnsi="Bookman Old Style"/>
      <w:sz w:val="28"/>
      <w:szCs w:val="28"/>
      <w:lang w:val="es-CO" w:eastAsia="es-CO"/>
    </w:rPr>
  </w:style>
  <w:style w:type="paragraph" w:customStyle="1" w:styleId="CitaExtraCSJ">
    <w:name w:val="Cita Extra CSJ"/>
    <w:basedOn w:val="Textoindependiente"/>
    <w:link w:val="CitaExtraCSJCar"/>
    <w:qFormat/>
    <w:rsid w:val="00E4315D"/>
    <w:pPr>
      <w:ind w:left="680"/>
    </w:pPr>
    <w:rPr>
      <w:rFonts w:ascii="Bookman Old Style" w:hAnsi="Bookman Old Style" w:cs="Times New Roman"/>
      <w:i/>
      <w:szCs w:val="28"/>
      <w:lang w:val="es-ES_tradnl" w:eastAsia="x-none"/>
    </w:rPr>
  </w:style>
  <w:style w:type="character" w:customStyle="1" w:styleId="CitaExtraCSJCar">
    <w:name w:val="Cita Extra CSJ Car"/>
    <w:link w:val="CitaExtraCSJ"/>
    <w:rsid w:val="00E4315D"/>
    <w:rPr>
      <w:rFonts w:ascii="Bookman Old Style" w:hAnsi="Bookman Old Style"/>
      <w:i/>
      <w:sz w:val="24"/>
      <w:szCs w:val="28"/>
      <w:lang w:val="es-ES_tradnl" w:eastAsia="x-none"/>
    </w:rPr>
  </w:style>
  <w:style w:type="character" w:customStyle="1" w:styleId="TextoindependienteCar">
    <w:name w:val="Texto independiente Car"/>
    <w:rsid w:val="00E4315D"/>
    <w:rPr>
      <w:rFonts w:ascii="Verdana" w:hAnsi="Verdana"/>
      <w:sz w:val="28"/>
    </w:rPr>
  </w:style>
  <w:style w:type="paragraph" w:customStyle="1" w:styleId="SubtituloCSJ">
    <w:name w:val="Subtitulo CSJ"/>
    <w:basedOn w:val="Ttulo2"/>
    <w:next w:val="NormalCSJ"/>
    <w:link w:val="SubtituloCSJCar"/>
    <w:qFormat/>
    <w:rsid w:val="00E4315D"/>
    <w:pPr>
      <w:keepLines/>
      <w:ind w:firstLine="709"/>
    </w:pPr>
    <w:rPr>
      <w:rFonts w:ascii="Bookman Old Style" w:hAnsi="Bookman Old Style" w:cs="Times New Roman"/>
      <w:sz w:val="28"/>
      <w:szCs w:val="26"/>
      <w:lang w:val="es-MX"/>
    </w:rPr>
  </w:style>
  <w:style w:type="character" w:customStyle="1" w:styleId="SubtituloCSJCar">
    <w:name w:val="Subtitulo CSJ Car"/>
    <w:link w:val="SubtituloCSJ"/>
    <w:rsid w:val="00E4315D"/>
    <w:rPr>
      <w:rFonts w:ascii="Bookman Old Style" w:hAnsi="Bookman Old Style"/>
      <w:b/>
      <w:sz w:val="28"/>
      <w:szCs w:val="26"/>
      <w:lang w:val="es-MX" w:eastAsia="es-ES"/>
    </w:rPr>
  </w:style>
  <w:style w:type="character" w:customStyle="1" w:styleId="Ttulo2Car">
    <w:name w:val="Título 2 Car"/>
    <w:link w:val="Ttulo2"/>
    <w:rsid w:val="00E4315D"/>
    <w:rPr>
      <w:rFonts w:ascii="Arial Narrow" w:hAnsi="Arial Narrow" w:cs="Courier New"/>
      <w:b/>
      <w:sz w:val="24"/>
      <w:lang w:val="es-ES" w:eastAsia="es-ES"/>
    </w:rPr>
  </w:style>
  <w:style w:type="paragraph" w:customStyle="1" w:styleId="TituloCSJ">
    <w:name w:val="Titulo CSJ"/>
    <w:basedOn w:val="Ttulo1"/>
    <w:link w:val="TituloCSJCar"/>
    <w:qFormat/>
    <w:rsid w:val="00E4315D"/>
    <w:pPr>
      <w:ind w:left="0" w:firstLine="0"/>
      <w:jc w:val="center"/>
    </w:pPr>
    <w:rPr>
      <w:rFonts w:ascii="Bookman Old Style" w:hAnsi="Bookman Old Style" w:cs="Times New Roman"/>
      <w:sz w:val="28"/>
      <w:szCs w:val="28"/>
      <w:lang w:val="es-ES_tradnl" w:eastAsia="x-none"/>
    </w:rPr>
  </w:style>
  <w:style w:type="character" w:customStyle="1" w:styleId="TituloCSJCar">
    <w:name w:val="Titulo CSJ Car"/>
    <w:link w:val="TituloCSJ"/>
    <w:rsid w:val="00E4315D"/>
    <w:rPr>
      <w:rFonts w:ascii="Bookman Old Style" w:hAnsi="Bookman Old Style"/>
      <w:b/>
      <w:sz w:val="28"/>
      <w:szCs w:val="28"/>
      <w:lang w:val="es-ES_tradnl" w:eastAsia="x-none"/>
    </w:rPr>
  </w:style>
  <w:style w:type="character" w:customStyle="1" w:styleId="CitaIntraCSJCar">
    <w:name w:val="Cita Intra CSJ Car"/>
    <w:link w:val="CitaIntraCSJ"/>
    <w:rsid w:val="00E4315D"/>
    <w:rPr>
      <w:rFonts w:ascii="Bookman Old Style" w:eastAsia="Calibri" w:hAnsi="Bookman Old Style"/>
      <w:bCs/>
      <w:i/>
      <w:sz w:val="24"/>
      <w:szCs w:val="24"/>
    </w:rPr>
  </w:style>
  <w:style w:type="paragraph" w:customStyle="1" w:styleId="CitaIntraCSJ">
    <w:name w:val="Cita Intra CSJ"/>
    <w:basedOn w:val="NormalCSJ"/>
    <w:link w:val="CitaIntraCSJCar"/>
    <w:qFormat/>
    <w:rsid w:val="00E4315D"/>
    <w:rPr>
      <w:bCs/>
      <w:i/>
      <w:sz w:val="24"/>
      <w:szCs w:val="24"/>
    </w:rPr>
  </w:style>
  <w:style w:type="paragraph" w:styleId="Sangra2detindependiente">
    <w:name w:val="Body Text Indent 2"/>
    <w:basedOn w:val="Normal"/>
    <w:link w:val="Sangra2detindependienteCar"/>
    <w:rsid w:val="00E4315D"/>
    <w:pPr>
      <w:spacing w:after="120" w:line="480" w:lineRule="auto"/>
      <w:ind w:left="283"/>
    </w:pPr>
  </w:style>
  <w:style w:type="character" w:customStyle="1" w:styleId="Sangra2detindependienteCar">
    <w:name w:val="Sangría 2 de t. independiente Car"/>
    <w:basedOn w:val="Fuentedeprrafopredeter"/>
    <w:link w:val="Sangra2detindependiente"/>
    <w:rsid w:val="00E4315D"/>
    <w:rPr>
      <w:lang w:val="es-ES" w:eastAsia="es-ES"/>
    </w:rPr>
  </w:style>
  <w:style w:type="paragraph" w:customStyle="1" w:styleId="Estilo">
    <w:name w:val="Estilo"/>
    <w:rsid w:val="00E4315D"/>
    <w:pPr>
      <w:widowControl w:val="0"/>
      <w:autoSpaceDE w:val="0"/>
      <w:autoSpaceDN w:val="0"/>
      <w:adjustRightInd w:val="0"/>
      <w:spacing w:before="100" w:beforeAutospacing="1" w:after="100" w:afterAutospacing="1"/>
    </w:pPr>
    <w:rPr>
      <w:rFonts w:ascii="Arial" w:hAnsi="Arial" w:cs="Arial"/>
      <w:sz w:val="24"/>
      <w:szCs w:val="24"/>
      <w:lang w:val="es-ES" w:eastAsia="es-ES"/>
    </w:rPr>
  </w:style>
  <w:style w:type="paragraph" w:styleId="Sinespaciado">
    <w:name w:val="No Spacing"/>
    <w:uiPriority w:val="1"/>
    <w:qFormat/>
    <w:rsid w:val="00E4315D"/>
    <w:rPr>
      <w:rFonts w:ascii="Calibri" w:eastAsia="Calibri" w:hAnsi="Calibri"/>
      <w:sz w:val="22"/>
      <w:szCs w:val="22"/>
      <w:lang w:eastAsia="en-US"/>
    </w:rPr>
  </w:style>
  <w:style w:type="character" w:customStyle="1" w:styleId="FontStyle21">
    <w:name w:val="Font Style21"/>
    <w:uiPriority w:val="99"/>
    <w:rsid w:val="00E4315D"/>
    <w:rPr>
      <w:rFonts w:ascii="Arial" w:hAnsi="Arial" w:cs="Arial"/>
      <w:sz w:val="22"/>
      <w:szCs w:val="22"/>
    </w:rPr>
  </w:style>
  <w:style w:type="paragraph" w:customStyle="1" w:styleId="NotaalpieCSJ">
    <w:name w:val="Nota al pie CSJ"/>
    <w:basedOn w:val="NormalCSJ"/>
    <w:link w:val="NotaalpieCSJCar"/>
    <w:qFormat/>
    <w:rsid w:val="00E4315D"/>
    <w:pPr>
      <w:spacing w:line="240" w:lineRule="auto"/>
      <w:ind w:firstLine="0"/>
    </w:pPr>
  </w:style>
  <w:style w:type="character" w:customStyle="1" w:styleId="NotaalpieCSJCar">
    <w:name w:val="Nota al pie CSJ Car"/>
    <w:link w:val="NotaalpieCSJ"/>
    <w:rsid w:val="00E4315D"/>
    <w:rPr>
      <w:rFonts w:ascii="Bookman Old Style" w:eastAsia="Calibri" w:hAnsi="Bookman Old Style"/>
      <w:sz w:val="28"/>
      <w:szCs w:val="28"/>
    </w:rPr>
  </w:style>
  <w:style w:type="paragraph" w:customStyle="1" w:styleId="Refdenotaalpie2">
    <w:name w:val="Ref. de nota al pie2"/>
    <w:aliases w:val="Nota de pie,Pie de pagina"/>
    <w:basedOn w:val="Normal"/>
    <w:link w:val="Refdenotaalpie"/>
    <w:rsid w:val="00E4315D"/>
    <w:pPr>
      <w:spacing w:after="160" w:line="240" w:lineRule="exact"/>
    </w:pPr>
    <w:rPr>
      <w:vertAlign w:val="superscript"/>
      <w:lang w:val="es-CO" w:eastAsia="es-CO"/>
    </w:rPr>
  </w:style>
  <w:style w:type="character" w:styleId="nfasissutil">
    <w:name w:val="Subtle Emphasis"/>
    <w:basedOn w:val="Fuentedeprrafopredeter"/>
    <w:uiPriority w:val="19"/>
    <w:qFormat/>
    <w:rsid w:val="00E4315D"/>
    <w:rPr>
      <w:i/>
      <w:iCs/>
      <w:color w:val="404040" w:themeColor="text1" w:themeTint="BF"/>
    </w:rPr>
  </w:style>
  <w:style w:type="paragraph" w:styleId="Textoindependienteprimerasangra">
    <w:name w:val="Body Text First Indent"/>
    <w:basedOn w:val="Textoindependiente"/>
    <w:link w:val="TextoindependienteprimerasangraCar"/>
    <w:rsid w:val="00E4315D"/>
    <w:pPr>
      <w:spacing w:line="240" w:lineRule="auto"/>
      <w:ind w:firstLine="360"/>
      <w:jc w:val="left"/>
    </w:pPr>
    <w:rPr>
      <w:rFonts w:ascii="Times New Roman" w:hAnsi="Times New Roman" w:cs="Times New Roman"/>
      <w:szCs w:val="24"/>
      <w:lang w:val="es-ES"/>
    </w:rPr>
  </w:style>
  <w:style w:type="character" w:customStyle="1" w:styleId="TextoindependienteCar1">
    <w:name w:val="Texto independiente Car1"/>
    <w:basedOn w:val="Fuentedeprrafopredeter"/>
    <w:link w:val="Textoindependiente"/>
    <w:rsid w:val="00E4315D"/>
    <w:rPr>
      <w:rFonts w:ascii="Courier New" w:hAnsi="Courier New" w:cs="Courier New"/>
      <w:sz w:val="24"/>
      <w:lang w:val="es-MX" w:eastAsia="es-ES"/>
    </w:rPr>
  </w:style>
  <w:style w:type="character" w:customStyle="1" w:styleId="TextoindependienteprimerasangraCar">
    <w:name w:val="Texto independiente primera sangría Car"/>
    <w:basedOn w:val="TextoindependienteCar1"/>
    <w:link w:val="Textoindependienteprimerasangra"/>
    <w:rsid w:val="00E4315D"/>
    <w:rPr>
      <w:rFonts w:ascii="Courier New" w:hAnsi="Courier New" w:cs="Courier New"/>
      <w:sz w:val="24"/>
      <w:szCs w:val="24"/>
      <w:lang w:val="es-ES" w:eastAsia="es-ES"/>
    </w:rPr>
  </w:style>
  <w:style w:type="paragraph" w:customStyle="1" w:styleId="ParrafoCSJ">
    <w:name w:val="Parrafo # CSJ"/>
    <w:basedOn w:val="Ttulo3"/>
    <w:next w:val="NormalCSJ"/>
    <w:link w:val="ParrafoCSJCar"/>
    <w:qFormat/>
    <w:rsid w:val="00E4315D"/>
    <w:pPr>
      <w:spacing w:before="0" w:line="360" w:lineRule="auto"/>
      <w:ind w:firstLine="709"/>
      <w:jc w:val="both"/>
    </w:pPr>
    <w:rPr>
      <w:rFonts w:ascii="Bookman Old Style" w:eastAsiaTheme="majorEastAsia" w:hAnsi="Bookman Old Style" w:cstheme="majorBidi"/>
      <w:color w:val="auto"/>
      <w:sz w:val="28"/>
      <w:lang w:val="es-MX"/>
    </w:rPr>
  </w:style>
  <w:style w:type="character" w:customStyle="1" w:styleId="ParrafoCSJCar">
    <w:name w:val="Parrafo # CSJ Car"/>
    <w:basedOn w:val="Ttulo2Car"/>
    <w:link w:val="ParrafoCSJ"/>
    <w:rsid w:val="00E4315D"/>
    <w:rPr>
      <w:rFonts w:ascii="Bookman Old Style" w:eastAsiaTheme="majorEastAsia" w:hAnsi="Bookman Old Style" w:cstheme="majorBidi"/>
      <w:b w:val="0"/>
      <w:sz w:val="28"/>
      <w:szCs w:val="24"/>
      <w:lang w:val="es-MX" w:eastAsia="es-ES"/>
    </w:rPr>
  </w:style>
  <w:style w:type="paragraph" w:customStyle="1" w:styleId="DIEZ">
    <w:name w:val="DIEZ"/>
    <w:rsid w:val="00887415"/>
    <w:pPr>
      <w:autoSpaceDE w:val="0"/>
      <w:autoSpaceDN w:val="0"/>
      <w:spacing w:after="74" w:line="220" w:lineRule="atLeast"/>
      <w:ind w:firstLine="159"/>
      <w:jc w:val="both"/>
    </w:pPr>
    <w:rPr>
      <w:rFonts w:ascii="Helvetica" w:hAnsi="Helvetica"/>
      <w:sz w:val="24"/>
      <w:lang w:val="en-US" w:eastAsia="es-ES"/>
    </w:rPr>
  </w:style>
  <w:style w:type="paragraph" w:styleId="Listaconnmeros">
    <w:name w:val="List Number"/>
    <w:basedOn w:val="Normal"/>
    <w:link w:val="ListaconnmerosCar"/>
    <w:uiPriority w:val="99"/>
    <w:semiHidden/>
    <w:unhideWhenUsed/>
    <w:rsid w:val="00554664"/>
    <w:pPr>
      <w:widowControl w:val="0"/>
      <w:numPr>
        <w:numId w:val="18"/>
      </w:numPr>
      <w:spacing w:line="360" w:lineRule="auto"/>
      <w:contextualSpacing/>
      <w:jc w:val="both"/>
    </w:pPr>
    <w:rPr>
      <w:rFonts w:ascii="Bookman Old Style" w:hAnsi="Bookman Old Style"/>
      <w:sz w:val="28"/>
      <w:szCs w:val="24"/>
    </w:rPr>
  </w:style>
  <w:style w:type="paragraph" w:styleId="Ttulo">
    <w:name w:val="Title"/>
    <w:basedOn w:val="Normal"/>
    <w:next w:val="Normal"/>
    <w:qFormat/>
    <w:rsid w:val="00554664"/>
    <w:pPr>
      <w:widowControl w:val="0"/>
      <w:spacing w:line="360" w:lineRule="auto"/>
      <w:contextualSpacing/>
      <w:jc w:val="center"/>
      <w:outlineLvl w:val="0"/>
    </w:pPr>
    <w:rPr>
      <w:rFonts w:ascii="Bookman Old Style" w:hAnsi="Bookman Old Style"/>
      <w:bCs/>
      <w:kern w:val="28"/>
      <w:sz w:val="28"/>
      <w:szCs w:val="32"/>
    </w:rPr>
  </w:style>
  <w:style w:type="character" w:customStyle="1" w:styleId="TtuloCar1">
    <w:name w:val="Título Car1"/>
    <w:basedOn w:val="Fuentedeprrafopredeter"/>
    <w:uiPriority w:val="10"/>
    <w:rsid w:val="00554664"/>
    <w:rPr>
      <w:rFonts w:asciiTheme="majorHAnsi" w:eastAsiaTheme="majorEastAsia" w:hAnsiTheme="majorHAnsi" w:cstheme="majorBidi"/>
      <w:spacing w:val="-10"/>
      <w:kern w:val="28"/>
      <w:sz w:val="56"/>
      <w:szCs w:val="56"/>
      <w:lang w:val="es-ES" w:eastAsia="es-ES"/>
    </w:rPr>
  </w:style>
  <w:style w:type="character" w:customStyle="1" w:styleId="ListaconnmerosCar">
    <w:name w:val="Lista con números Car"/>
    <w:link w:val="Listaconnmeros"/>
    <w:uiPriority w:val="99"/>
    <w:semiHidden/>
    <w:rsid w:val="00554664"/>
    <w:rPr>
      <w:rFonts w:ascii="Bookman Old Style" w:hAnsi="Bookman Old Style"/>
      <w:sz w:val="28"/>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50D3CA8A8F104B46A609B35E2806C01D" ma:contentTypeVersion="11" ma:contentTypeDescription="Crear nuevo documento." ma:contentTypeScope="" ma:versionID="c721996b405742483327067c3656c707">
  <xsd:schema xmlns:xsd="http://www.w3.org/2001/XMLSchema" xmlns:xs="http://www.w3.org/2001/XMLSchema" xmlns:p="http://schemas.microsoft.com/office/2006/metadata/properties" xmlns:ns2="930c81f1-e9ca-4bc6-a442-7e43bfe25841" xmlns:ns3="9845f4ef-a5bd-4dbd-ab8f-e69291a39b0c" targetNamespace="http://schemas.microsoft.com/office/2006/metadata/properties" ma:root="true" ma:fieldsID="17b575e4ce7bab19662f5dbb26cace48" ns2:_="" ns3:_="">
    <xsd:import namespace="930c81f1-e9ca-4bc6-a442-7e43bfe25841"/>
    <xsd:import namespace="9845f4ef-a5bd-4dbd-ab8f-e69291a39b0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0c81f1-e9ca-4bc6-a442-7e43bfe258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45f4ef-a5bd-4dbd-ab8f-e69291a39b0c" elementFormDefault="qualified">
    <xsd:import namespace="http://schemas.microsoft.com/office/2006/documentManagement/types"/>
    <xsd:import namespace="http://schemas.microsoft.com/office/infopath/2007/PartnerControls"/>
    <xsd:element name="SharedWithUsers" ma:index="17"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36E2F3-4E1B-4F69-A2B1-C8C521EEA0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0c81f1-e9ca-4bc6-a442-7e43bfe25841"/>
    <ds:schemaRef ds:uri="9845f4ef-a5bd-4dbd-ab8f-e69291a39b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22263D9-38DD-40EC-A4FB-189888E2666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1E47391-E728-4AB0-8443-9CD22B594484}">
  <ds:schemaRefs>
    <ds:schemaRef ds:uri="http://schemas.microsoft.com/sharepoint/v3/contenttype/forms"/>
  </ds:schemaRefs>
</ds:datastoreItem>
</file>

<file path=customXml/itemProps4.xml><?xml version="1.0" encoding="utf-8"?>
<ds:datastoreItem xmlns:ds="http://schemas.openxmlformats.org/officeDocument/2006/customXml" ds:itemID="{CBBF00C3-AF63-43AE-AD10-703ACD0D8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8</Pages>
  <Words>3177</Words>
  <Characters>17474</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TRIBUNAL SUPERIOR DEL DISTRITO JUDICIAL</vt:lpstr>
    </vt:vector>
  </TitlesOfParts>
  <Company>RAMA JUDICIAL</Company>
  <LinksUpToDate>false</LinksUpToDate>
  <CharactersWithSpaces>20610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SUPERIOR DEL DISTRITO JUDICIAL</dc:title>
  <dc:subject/>
  <dc:creator>RAMA JUDICIAL</dc:creator>
  <cp:keywords/>
  <cp:lastModifiedBy>Hermides Alonso Gaviria Ocampo</cp:lastModifiedBy>
  <cp:revision>7</cp:revision>
  <cp:lastPrinted>2004-02-05T10:59:00Z</cp:lastPrinted>
  <dcterms:created xsi:type="dcterms:W3CDTF">2021-12-14T13:36:00Z</dcterms:created>
  <dcterms:modified xsi:type="dcterms:W3CDTF">2022-03-02T15:45:00Z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0x01010050D3CA8A8F104B46A609B35E2806C01D</vt:lpwstr>
  </property>
</Properties>
</file>