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D9166" w14:textId="77777777" w:rsidR="00995C34" w:rsidRPr="00995C34" w:rsidRDefault="00995C34" w:rsidP="00995C3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r w:rsidRPr="00995C34">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19FC58E" w14:textId="77777777" w:rsidR="00995C34" w:rsidRPr="00995C34" w:rsidRDefault="00995C34" w:rsidP="00995C34">
      <w:pPr>
        <w:spacing w:after="0" w:line="240" w:lineRule="auto"/>
        <w:jc w:val="both"/>
        <w:rPr>
          <w:rFonts w:ascii="Arial" w:eastAsia="Times New Roman" w:hAnsi="Arial" w:cs="Arial"/>
          <w:sz w:val="20"/>
          <w:szCs w:val="20"/>
          <w:lang w:val="es-419" w:eastAsia="es-ES"/>
        </w:rPr>
      </w:pPr>
    </w:p>
    <w:p w14:paraId="7F178757" w14:textId="22CC6E6D" w:rsidR="00995C34" w:rsidRPr="00995C34" w:rsidRDefault="00995C34" w:rsidP="00995C34">
      <w:pPr>
        <w:spacing w:after="0" w:line="240" w:lineRule="auto"/>
        <w:jc w:val="both"/>
        <w:rPr>
          <w:rFonts w:ascii="Arial" w:eastAsia="Times New Roman" w:hAnsi="Arial" w:cs="Arial"/>
          <w:sz w:val="20"/>
          <w:szCs w:val="20"/>
          <w:lang w:val="es-419" w:eastAsia="es-ES"/>
        </w:rPr>
      </w:pPr>
      <w:r w:rsidRPr="00995C34">
        <w:rPr>
          <w:rFonts w:ascii="Arial" w:eastAsia="Times New Roman" w:hAnsi="Arial" w:cs="Arial"/>
          <w:sz w:val="20"/>
          <w:szCs w:val="20"/>
          <w:lang w:val="es-419" w:eastAsia="es-ES"/>
        </w:rPr>
        <w:t>Expediente:</w:t>
      </w:r>
      <w:r w:rsidRPr="00995C34">
        <w:rPr>
          <w:rFonts w:ascii="Arial" w:eastAsia="Times New Roman" w:hAnsi="Arial" w:cs="Arial"/>
          <w:sz w:val="20"/>
          <w:szCs w:val="20"/>
          <w:lang w:val="es-419" w:eastAsia="es-ES"/>
        </w:rPr>
        <w:tab/>
        <w:t>66001310300420190009001</w:t>
      </w:r>
    </w:p>
    <w:p w14:paraId="44B00526" w14:textId="065B91B4" w:rsidR="00995C34" w:rsidRPr="00995C34" w:rsidRDefault="00995C34" w:rsidP="00995C34">
      <w:pPr>
        <w:spacing w:after="0" w:line="240" w:lineRule="auto"/>
        <w:jc w:val="both"/>
        <w:rPr>
          <w:rFonts w:ascii="Arial" w:eastAsia="Times New Roman" w:hAnsi="Arial" w:cs="Arial"/>
          <w:sz w:val="20"/>
          <w:szCs w:val="20"/>
          <w:lang w:val="es-419" w:eastAsia="es-ES"/>
        </w:rPr>
      </w:pPr>
      <w:r w:rsidRPr="00995C34">
        <w:rPr>
          <w:rFonts w:ascii="Arial" w:eastAsia="Times New Roman" w:hAnsi="Arial" w:cs="Arial"/>
          <w:sz w:val="20"/>
          <w:szCs w:val="20"/>
          <w:lang w:val="es-419" w:eastAsia="es-ES"/>
        </w:rPr>
        <w:t>Proceso:</w:t>
      </w:r>
      <w:r w:rsidRPr="00995C34">
        <w:rPr>
          <w:rFonts w:ascii="Arial" w:eastAsia="Times New Roman" w:hAnsi="Arial" w:cs="Arial"/>
          <w:sz w:val="20"/>
          <w:szCs w:val="20"/>
          <w:lang w:val="es-419" w:eastAsia="es-ES"/>
        </w:rPr>
        <w:tab/>
        <w:t>Responsabilidad civil extracontractual</w:t>
      </w:r>
    </w:p>
    <w:p w14:paraId="131D60FB" w14:textId="39F1399E" w:rsidR="00995C34" w:rsidRPr="00995C34" w:rsidRDefault="00995C34" w:rsidP="00E534DB">
      <w:pPr>
        <w:spacing w:after="0" w:line="240" w:lineRule="auto"/>
        <w:ind w:left="1410" w:hanging="1410"/>
        <w:jc w:val="both"/>
        <w:rPr>
          <w:rFonts w:ascii="Arial" w:eastAsia="Times New Roman" w:hAnsi="Arial" w:cs="Arial"/>
          <w:sz w:val="20"/>
          <w:szCs w:val="20"/>
          <w:lang w:val="es-419" w:eastAsia="es-ES"/>
        </w:rPr>
      </w:pPr>
      <w:r w:rsidRPr="00995C34">
        <w:rPr>
          <w:rFonts w:ascii="Arial" w:eastAsia="Times New Roman" w:hAnsi="Arial" w:cs="Arial"/>
          <w:sz w:val="20"/>
          <w:szCs w:val="20"/>
          <w:lang w:val="es-419" w:eastAsia="es-ES"/>
        </w:rPr>
        <w:t>Demandantes:</w:t>
      </w:r>
      <w:r w:rsidR="00E534DB">
        <w:rPr>
          <w:rFonts w:ascii="Arial" w:eastAsia="Times New Roman" w:hAnsi="Arial" w:cs="Arial"/>
          <w:sz w:val="20"/>
          <w:szCs w:val="20"/>
          <w:lang w:val="es-419" w:eastAsia="es-ES"/>
        </w:rPr>
        <w:tab/>
      </w:r>
      <w:r w:rsidRPr="00995C34">
        <w:rPr>
          <w:rFonts w:ascii="Arial" w:eastAsia="Times New Roman" w:hAnsi="Arial" w:cs="Arial"/>
          <w:sz w:val="20"/>
          <w:szCs w:val="20"/>
          <w:lang w:val="es-419" w:eastAsia="es-ES"/>
        </w:rPr>
        <w:t>Lucelly del Socorro Arteaga</w:t>
      </w:r>
      <w:r w:rsidR="00E534DB">
        <w:rPr>
          <w:rFonts w:ascii="Arial" w:eastAsia="Times New Roman" w:hAnsi="Arial" w:cs="Arial"/>
          <w:sz w:val="20"/>
          <w:szCs w:val="20"/>
          <w:lang w:val="es-419" w:eastAsia="es-ES"/>
        </w:rPr>
        <w:t xml:space="preserve">, </w:t>
      </w:r>
      <w:proofErr w:type="spellStart"/>
      <w:r w:rsidRPr="00995C34">
        <w:rPr>
          <w:rFonts w:ascii="Arial" w:eastAsia="Times New Roman" w:hAnsi="Arial" w:cs="Arial"/>
          <w:sz w:val="20"/>
          <w:szCs w:val="20"/>
          <w:lang w:val="es-419" w:eastAsia="es-ES"/>
        </w:rPr>
        <w:t>Helmer</w:t>
      </w:r>
      <w:proofErr w:type="spellEnd"/>
      <w:r w:rsidRPr="00995C34">
        <w:rPr>
          <w:rFonts w:ascii="Arial" w:eastAsia="Times New Roman" w:hAnsi="Arial" w:cs="Arial"/>
          <w:sz w:val="20"/>
          <w:szCs w:val="20"/>
          <w:lang w:val="es-419" w:eastAsia="es-ES"/>
        </w:rPr>
        <w:t xml:space="preserve"> González García</w:t>
      </w:r>
      <w:r w:rsidR="00E534DB">
        <w:rPr>
          <w:rFonts w:ascii="Arial" w:eastAsia="Times New Roman" w:hAnsi="Arial" w:cs="Arial"/>
          <w:sz w:val="20"/>
          <w:szCs w:val="20"/>
          <w:lang w:val="es-419" w:eastAsia="es-ES"/>
        </w:rPr>
        <w:t xml:space="preserve">, </w:t>
      </w:r>
      <w:r w:rsidRPr="00995C34">
        <w:rPr>
          <w:rFonts w:ascii="Arial" w:eastAsia="Times New Roman" w:hAnsi="Arial" w:cs="Arial"/>
          <w:sz w:val="20"/>
          <w:szCs w:val="20"/>
          <w:lang w:val="es-419" w:eastAsia="es-ES"/>
        </w:rPr>
        <w:t xml:space="preserve">Daniela González Arteaga </w:t>
      </w:r>
      <w:r w:rsidR="00E534DB">
        <w:rPr>
          <w:rFonts w:ascii="Arial" w:eastAsia="Times New Roman" w:hAnsi="Arial" w:cs="Arial"/>
          <w:sz w:val="20"/>
          <w:szCs w:val="20"/>
          <w:lang w:val="es-419" w:eastAsia="es-ES"/>
        </w:rPr>
        <w:t xml:space="preserve">y </w:t>
      </w:r>
      <w:r w:rsidRPr="00995C34">
        <w:rPr>
          <w:rFonts w:ascii="Arial" w:eastAsia="Times New Roman" w:hAnsi="Arial" w:cs="Arial"/>
          <w:sz w:val="20"/>
          <w:szCs w:val="20"/>
          <w:lang w:val="es-419" w:eastAsia="es-ES"/>
        </w:rPr>
        <w:t>Lina María González Arteaga</w:t>
      </w:r>
    </w:p>
    <w:p w14:paraId="691E4BEE" w14:textId="763C27DB" w:rsidR="00995C34" w:rsidRPr="00995C34" w:rsidRDefault="00995C34" w:rsidP="00995C34">
      <w:pPr>
        <w:spacing w:after="0" w:line="240" w:lineRule="auto"/>
        <w:jc w:val="both"/>
        <w:rPr>
          <w:rFonts w:ascii="Arial" w:eastAsia="Times New Roman" w:hAnsi="Arial" w:cs="Arial"/>
          <w:sz w:val="20"/>
          <w:szCs w:val="20"/>
          <w:lang w:val="es-419" w:eastAsia="es-ES"/>
        </w:rPr>
      </w:pPr>
      <w:r w:rsidRPr="00995C34">
        <w:rPr>
          <w:rFonts w:ascii="Arial" w:eastAsia="Times New Roman" w:hAnsi="Arial" w:cs="Arial"/>
          <w:sz w:val="20"/>
          <w:szCs w:val="20"/>
          <w:lang w:val="es-419" w:eastAsia="es-ES"/>
        </w:rPr>
        <w:t>Demandado:</w:t>
      </w:r>
      <w:r w:rsidRPr="00995C34">
        <w:rPr>
          <w:rFonts w:ascii="Arial" w:eastAsia="Times New Roman" w:hAnsi="Arial" w:cs="Arial"/>
          <w:sz w:val="20"/>
          <w:szCs w:val="20"/>
          <w:lang w:val="es-419" w:eastAsia="es-ES"/>
        </w:rPr>
        <w:tab/>
        <w:t>EFIGAS S.A. E.S.P.</w:t>
      </w:r>
    </w:p>
    <w:p w14:paraId="4A53E5FE" w14:textId="77777777" w:rsidR="00995C34" w:rsidRPr="00995C34" w:rsidRDefault="00995C34" w:rsidP="00995C34">
      <w:pPr>
        <w:spacing w:after="0" w:line="240" w:lineRule="auto"/>
        <w:jc w:val="both"/>
        <w:rPr>
          <w:rFonts w:ascii="Arial" w:eastAsia="Times New Roman" w:hAnsi="Arial" w:cs="Arial"/>
          <w:sz w:val="20"/>
          <w:szCs w:val="20"/>
          <w:lang w:val="es-419" w:eastAsia="es-ES"/>
        </w:rPr>
      </w:pPr>
      <w:r w:rsidRPr="00995C34">
        <w:rPr>
          <w:rFonts w:ascii="Arial" w:eastAsia="Times New Roman" w:hAnsi="Arial" w:cs="Arial"/>
          <w:sz w:val="20"/>
          <w:szCs w:val="20"/>
          <w:lang w:val="es-419" w:eastAsia="es-ES"/>
        </w:rPr>
        <w:t xml:space="preserve">Llamados </w:t>
      </w:r>
    </w:p>
    <w:p w14:paraId="0FAB16C5" w14:textId="7A03FF06" w:rsidR="00995C34" w:rsidRPr="00995C34" w:rsidRDefault="00995C34" w:rsidP="00995C34">
      <w:pPr>
        <w:spacing w:after="0" w:line="240" w:lineRule="auto"/>
        <w:jc w:val="both"/>
        <w:rPr>
          <w:rFonts w:ascii="Arial" w:eastAsia="Times New Roman" w:hAnsi="Arial" w:cs="Arial"/>
          <w:sz w:val="20"/>
          <w:szCs w:val="20"/>
          <w:lang w:val="es-419" w:eastAsia="es-ES"/>
        </w:rPr>
      </w:pPr>
      <w:r w:rsidRPr="00995C34">
        <w:rPr>
          <w:rFonts w:ascii="Arial" w:eastAsia="Times New Roman" w:hAnsi="Arial" w:cs="Arial"/>
          <w:sz w:val="20"/>
          <w:szCs w:val="20"/>
          <w:lang w:val="es-419" w:eastAsia="es-ES"/>
        </w:rPr>
        <w:t>garantía:</w:t>
      </w:r>
      <w:r w:rsidRPr="00995C34">
        <w:rPr>
          <w:rFonts w:ascii="Arial" w:eastAsia="Times New Roman" w:hAnsi="Arial" w:cs="Arial"/>
          <w:sz w:val="20"/>
          <w:szCs w:val="20"/>
          <w:lang w:val="es-419" w:eastAsia="es-ES"/>
        </w:rPr>
        <w:tab/>
        <w:t>Seguros Generales Suramericana S.A.</w:t>
      </w:r>
    </w:p>
    <w:p w14:paraId="596AA7B6" w14:textId="319540B6" w:rsidR="00995C34" w:rsidRPr="00995C34" w:rsidRDefault="00995C34" w:rsidP="00995C34">
      <w:pPr>
        <w:spacing w:after="0" w:line="240" w:lineRule="auto"/>
        <w:jc w:val="both"/>
        <w:rPr>
          <w:rFonts w:ascii="Arial" w:eastAsia="Times New Roman" w:hAnsi="Arial" w:cs="Arial"/>
          <w:sz w:val="20"/>
          <w:szCs w:val="20"/>
          <w:lang w:val="es-419" w:eastAsia="es-ES"/>
        </w:rPr>
      </w:pPr>
      <w:r w:rsidRPr="00995C34">
        <w:rPr>
          <w:rFonts w:ascii="Arial" w:eastAsia="Times New Roman" w:hAnsi="Arial" w:cs="Arial"/>
          <w:sz w:val="20"/>
          <w:szCs w:val="20"/>
          <w:lang w:val="es-419" w:eastAsia="es-ES"/>
        </w:rPr>
        <w:t xml:space="preserve">                        </w:t>
      </w:r>
      <w:r w:rsidRPr="00995C34">
        <w:rPr>
          <w:rFonts w:ascii="Arial" w:eastAsia="Times New Roman" w:hAnsi="Arial" w:cs="Arial"/>
          <w:sz w:val="20"/>
          <w:szCs w:val="20"/>
          <w:lang w:val="es-419" w:eastAsia="es-ES"/>
        </w:rPr>
        <w:tab/>
        <w:t>CHUBB de Colombia Cía. de Seguros</w:t>
      </w:r>
    </w:p>
    <w:p w14:paraId="6BB0C3C3" w14:textId="77777777" w:rsidR="00995C34" w:rsidRPr="00995C34" w:rsidRDefault="00995C34" w:rsidP="00995C34">
      <w:pPr>
        <w:spacing w:after="0" w:line="240" w:lineRule="auto"/>
        <w:jc w:val="both"/>
        <w:rPr>
          <w:rFonts w:ascii="Arial" w:eastAsia="Times New Roman" w:hAnsi="Arial" w:cs="Arial"/>
          <w:sz w:val="20"/>
          <w:szCs w:val="20"/>
          <w:lang w:val="es-419" w:eastAsia="es-ES"/>
        </w:rPr>
      </w:pPr>
    </w:p>
    <w:p w14:paraId="7752F717" w14:textId="389CAC46" w:rsidR="00995C34" w:rsidRPr="00995C34" w:rsidRDefault="004C0CA4" w:rsidP="00995C34">
      <w:pPr>
        <w:spacing w:after="0" w:line="240" w:lineRule="auto"/>
        <w:jc w:val="both"/>
        <w:rPr>
          <w:rFonts w:ascii="Arial" w:eastAsia="Times New Roman" w:hAnsi="Arial" w:cs="Arial"/>
          <w:b/>
          <w:bCs/>
          <w:iCs/>
          <w:sz w:val="20"/>
          <w:szCs w:val="20"/>
          <w:lang w:val="es-419" w:eastAsia="fr-FR"/>
        </w:rPr>
      </w:pPr>
      <w:r w:rsidRPr="00995C34">
        <w:rPr>
          <w:rFonts w:ascii="Arial" w:eastAsia="Times New Roman" w:hAnsi="Arial" w:cs="Arial"/>
          <w:b/>
          <w:bCs/>
          <w:iCs/>
          <w:sz w:val="20"/>
          <w:szCs w:val="20"/>
          <w:u w:val="single"/>
          <w:lang w:val="es-419" w:eastAsia="fr-FR"/>
        </w:rPr>
        <w:t>TEMAS:</w:t>
      </w:r>
      <w:r w:rsidRPr="00995C34">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RESPONSABILIDAD CIVIL EXTRACONTRACTUAL / EXPLOSIÓN POR FUGA DE GAS EN CASA VECINA / PRETENSIÓN IMPUGNATICIA / COMPETENCIA DEL JUEZ DE SEGUNDA INSTANCIA / ELEMENTOS DE LA RESPONSABILIDAD / HECHO, CULPA, DAÑO Y NEXO CAUSAL / CARGA PROBATORIA DEL DEMANDANTE / ACTIVIDADES PELIGROSAS / SE PRESUME LA CULPA.</w:t>
      </w:r>
    </w:p>
    <w:p w14:paraId="44DE12E2" w14:textId="77777777" w:rsidR="00995C34" w:rsidRPr="00995C34" w:rsidRDefault="00995C34" w:rsidP="00995C34">
      <w:pPr>
        <w:spacing w:after="0" w:line="240" w:lineRule="auto"/>
        <w:jc w:val="both"/>
        <w:rPr>
          <w:rFonts w:ascii="Arial" w:eastAsia="Times New Roman" w:hAnsi="Arial" w:cs="Arial"/>
          <w:sz w:val="20"/>
          <w:szCs w:val="20"/>
          <w:lang w:val="es-419" w:eastAsia="es-ES"/>
        </w:rPr>
      </w:pPr>
    </w:p>
    <w:p w14:paraId="168746BD" w14:textId="1EC5CEDC" w:rsidR="00995C34" w:rsidRPr="00995C34" w:rsidRDefault="009B4F4F" w:rsidP="00995C34">
      <w:pPr>
        <w:spacing w:after="0" w:line="240" w:lineRule="auto"/>
        <w:jc w:val="both"/>
        <w:rPr>
          <w:rFonts w:ascii="Arial" w:eastAsia="Times New Roman" w:hAnsi="Arial" w:cs="Arial"/>
          <w:sz w:val="20"/>
          <w:szCs w:val="20"/>
          <w:lang w:val="es-419" w:eastAsia="es-ES"/>
        </w:rPr>
      </w:pPr>
      <w:r w:rsidRPr="009B4F4F">
        <w:rPr>
          <w:rFonts w:ascii="Arial" w:eastAsia="Times New Roman" w:hAnsi="Arial" w:cs="Arial"/>
          <w:sz w:val="20"/>
          <w:szCs w:val="20"/>
          <w:lang w:val="es-419" w:eastAsia="es-ES"/>
        </w:rPr>
        <w:t>Se trata de una responsabilidad extracontractual, ya que, a pesar de que existía un contrato entre la señora Lucelly del Socorro Arteaga con la sociedad demandada, para el suministro de gas domiciliario</w:t>
      </w:r>
      <w:r>
        <w:rPr>
          <w:rFonts w:ascii="Arial" w:eastAsia="Times New Roman" w:hAnsi="Arial" w:cs="Arial"/>
          <w:sz w:val="20"/>
          <w:szCs w:val="20"/>
          <w:lang w:val="es-419" w:eastAsia="es-ES"/>
        </w:rPr>
        <w:t>…</w:t>
      </w:r>
      <w:r w:rsidRPr="009B4F4F">
        <w:rPr>
          <w:rFonts w:ascii="Arial" w:eastAsia="Times New Roman" w:hAnsi="Arial" w:cs="Arial"/>
          <w:sz w:val="20"/>
          <w:szCs w:val="20"/>
          <w:lang w:val="es-419" w:eastAsia="es-ES"/>
        </w:rPr>
        <w:t xml:space="preserve"> lo que aquí se pone de presente es que hubo una fuga de gas en una edificación vecina y fue la explosión allí la que generó el desplome de la vivienda de los ahora demandantes.</w:t>
      </w:r>
      <w:r>
        <w:rPr>
          <w:rFonts w:ascii="Arial" w:eastAsia="Times New Roman" w:hAnsi="Arial" w:cs="Arial"/>
          <w:sz w:val="20"/>
          <w:szCs w:val="20"/>
          <w:lang w:val="es-419" w:eastAsia="es-ES"/>
        </w:rPr>
        <w:t xml:space="preserve"> (…)</w:t>
      </w:r>
    </w:p>
    <w:p w14:paraId="5EB183F2" w14:textId="77777777" w:rsidR="00995C34" w:rsidRPr="00995C34" w:rsidRDefault="00995C34" w:rsidP="00995C34">
      <w:pPr>
        <w:spacing w:after="0" w:line="240" w:lineRule="auto"/>
        <w:jc w:val="both"/>
        <w:rPr>
          <w:rFonts w:ascii="Arial" w:eastAsia="Times New Roman" w:hAnsi="Arial" w:cs="Arial"/>
          <w:sz w:val="20"/>
          <w:szCs w:val="20"/>
          <w:lang w:val="es-419" w:eastAsia="es-ES"/>
        </w:rPr>
      </w:pPr>
    </w:p>
    <w:p w14:paraId="5B1FB919" w14:textId="68A8E36B" w:rsidR="00995C34" w:rsidRPr="00995C34" w:rsidRDefault="00DA139D" w:rsidP="00995C34">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00725893" w:rsidRPr="00725893">
        <w:rPr>
          <w:rFonts w:ascii="Arial" w:eastAsia="Times New Roman" w:hAnsi="Arial" w:cs="Arial"/>
          <w:sz w:val="20"/>
          <w:szCs w:val="20"/>
          <w:lang w:val="es-419" w:eastAsia="es-ES"/>
        </w:rPr>
        <w:t>en estricto sentido, salvo los casos en los que el juez puede de oficio ocuparse de un específico asunto, como se mencionó, son los reparos concretos los que a la postre fijan los límites de la competencia del superior, pues es sobre ellos, y su posterior desarrollo en la sustentación, que debe versar la decisión de segundo grado. Por tanto, si en la sustentación se exceden esos contornos, no queda alternativa para el juez que conoce de la alzada, que la de desechar cualquier manifestación adicional que se haga por parte del recurrente.</w:t>
      </w:r>
      <w:r>
        <w:rPr>
          <w:rFonts w:ascii="Arial" w:eastAsia="Times New Roman" w:hAnsi="Arial" w:cs="Arial"/>
          <w:sz w:val="20"/>
          <w:szCs w:val="20"/>
          <w:lang w:val="es-419" w:eastAsia="es-ES"/>
        </w:rPr>
        <w:t xml:space="preserve"> (…)</w:t>
      </w:r>
    </w:p>
    <w:p w14:paraId="6B0CDA48" w14:textId="77777777" w:rsidR="00995C34" w:rsidRPr="00995C34" w:rsidRDefault="00995C34" w:rsidP="00995C34">
      <w:pPr>
        <w:spacing w:after="0" w:line="240" w:lineRule="auto"/>
        <w:jc w:val="both"/>
        <w:rPr>
          <w:rFonts w:ascii="Arial" w:eastAsia="Times New Roman" w:hAnsi="Arial" w:cs="Arial"/>
          <w:sz w:val="20"/>
          <w:szCs w:val="20"/>
          <w:lang w:val="es-419" w:eastAsia="es-ES"/>
        </w:rPr>
      </w:pPr>
    </w:p>
    <w:p w14:paraId="22A46870" w14:textId="1A9C9E37" w:rsidR="006A3157" w:rsidRPr="006A3157" w:rsidRDefault="006A3157" w:rsidP="006A3157">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6A3157">
        <w:rPr>
          <w:rFonts w:ascii="Arial" w:eastAsia="Times New Roman" w:hAnsi="Arial" w:cs="Arial"/>
          <w:sz w:val="20"/>
          <w:szCs w:val="20"/>
          <w:lang w:val="es-419" w:eastAsia="es-ES"/>
        </w:rPr>
        <w:t>genéricamente, quien causa un daño a otro, debe resarcirlo, según las voces del artículo 2341 del Código Civil, siempre que se demuestre, y esa es carga de quien invoca la responsabilidad, que hubo el hecho, que medió culpa del agente, que hubo un daño y que entre aquella y este existió un nexo causal.</w:t>
      </w:r>
    </w:p>
    <w:p w14:paraId="18475B78" w14:textId="77777777" w:rsidR="006A3157" w:rsidRPr="006A3157" w:rsidRDefault="006A3157" w:rsidP="006A3157">
      <w:pPr>
        <w:spacing w:after="0" w:line="240" w:lineRule="auto"/>
        <w:jc w:val="both"/>
        <w:rPr>
          <w:rFonts w:ascii="Arial" w:eastAsia="Times New Roman" w:hAnsi="Arial" w:cs="Arial"/>
          <w:sz w:val="20"/>
          <w:szCs w:val="20"/>
          <w:lang w:val="es-419" w:eastAsia="es-ES"/>
        </w:rPr>
      </w:pPr>
    </w:p>
    <w:p w14:paraId="671EF311" w14:textId="1C5E6604" w:rsidR="00995C34" w:rsidRPr="00995C34" w:rsidRDefault="006A3157" w:rsidP="006A3157">
      <w:pPr>
        <w:spacing w:after="0" w:line="240" w:lineRule="auto"/>
        <w:jc w:val="both"/>
        <w:rPr>
          <w:rFonts w:ascii="Arial" w:eastAsia="Times New Roman" w:hAnsi="Arial" w:cs="Arial"/>
          <w:sz w:val="20"/>
          <w:szCs w:val="20"/>
          <w:lang w:val="es-419" w:eastAsia="es-ES"/>
        </w:rPr>
      </w:pPr>
      <w:r w:rsidRPr="006A3157">
        <w:rPr>
          <w:rFonts w:ascii="Arial" w:eastAsia="Times New Roman" w:hAnsi="Arial" w:cs="Arial"/>
          <w:sz w:val="20"/>
          <w:szCs w:val="20"/>
          <w:lang w:val="es-419" w:eastAsia="es-ES"/>
        </w:rPr>
        <w:t>Sin embargo, existen eventos que envuelven el ejercicio de una actividad peligrosa entendida por la jurisprudencia como “… aquella que “…aunque lícita, es de las que implican riesgos del tal naturaleza que hacen inminente la ocurrencia de daños</w:t>
      </w:r>
      <w:r>
        <w:rPr>
          <w:rFonts w:ascii="Arial" w:eastAsia="Times New Roman" w:hAnsi="Arial" w:cs="Arial"/>
          <w:sz w:val="20"/>
          <w:szCs w:val="20"/>
          <w:lang w:val="es-419" w:eastAsia="es-ES"/>
        </w:rPr>
        <w:t>…”</w:t>
      </w:r>
    </w:p>
    <w:p w14:paraId="295FB735" w14:textId="77777777" w:rsidR="00995C34" w:rsidRPr="00995C34" w:rsidRDefault="00995C34" w:rsidP="00995C34">
      <w:pPr>
        <w:spacing w:after="0" w:line="240" w:lineRule="auto"/>
        <w:jc w:val="both"/>
        <w:rPr>
          <w:rFonts w:ascii="Arial" w:eastAsia="Times New Roman" w:hAnsi="Arial" w:cs="Arial"/>
          <w:sz w:val="20"/>
          <w:szCs w:val="20"/>
          <w:lang w:val="es-ES" w:eastAsia="es-ES"/>
        </w:rPr>
      </w:pPr>
    </w:p>
    <w:p w14:paraId="58043289" w14:textId="3CCF4E10" w:rsidR="00995C34" w:rsidRPr="00995C34" w:rsidRDefault="006A3157" w:rsidP="00995C34">
      <w:pPr>
        <w:spacing w:after="0" w:line="240" w:lineRule="auto"/>
        <w:jc w:val="both"/>
        <w:rPr>
          <w:rFonts w:ascii="Arial" w:eastAsia="Times New Roman" w:hAnsi="Arial" w:cs="Arial"/>
          <w:sz w:val="20"/>
          <w:szCs w:val="20"/>
          <w:lang w:val="es-ES" w:eastAsia="es-ES"/>
        </w:rPr>
      </w:pPr>
      <w:r w:rsidRPr="006A3157">
        <w:rPr>
          <w:rFonts w:ascii="Arial" w:eastAsia="Times New Roman" w:hAnsi="Arial" w:cs="Arial"/>
          <w:sz w:val="20"/>
          <w:szCs w:val="20"/>
          <w:lang w:val="es-ES" w:eastAsia="es-ES"/>
        </w:rPr>
        <w:t>En tales casos, se aligera la carga probatoria del demandante, porque tradicionalmente se ha dicho que lleva inserta una presunción de culpa, de manera que a la víctima le incumbe probar, simplemente, el hecho, el daño y el nexo causal, en tanto que el agente, para liberarse de responsabilidad, debe acreditar como eximente una fuerza mayor o un caso fortuito, el hecho exclusivo de un tercero o de la víctima, es decir, que la discusión se da en el ámbito de la causalidad y no de la culpabilidad.</w:t>
      </w:r>
      <w:r w:rsidR="009F6444">
        <w:rPr>
          <w:rFonts w:ascii="Arial" w:eastAsia="Times New Roman" w:hAnsi="Arial" w:cs="Arial"/>
          <w:sz w:val="20"/>
          <w:szCs w:val="20"/>
          <w:lang w:val="es-ES" w:eastAsia="es-ES"/>
        </w:rPr>
        <w:t xml:space="preserve"> (…)</w:t>
      </w:r>
    </w:p>
    <w:p w14:paraId="34139A25" w14:textId="4262DB19" w:rsidR="00995C34" w:rsidRDefault="00995C34" w:rsidP="00995C34">
      <w:pPr>
        <w:spacing w:after="0" w:line="240" w:lineRule="auto"/>
        <w:jc w:val="both"/>
        <w:rPr>
          <w:rFonts w:ascii="Arial" w:eastAsia="Times New Roman" w:hAnsi="Arial" w:cs="Arial"/>
          <w:sz w:val="20"/>
          <w:szCs w:val="20"/>
          <w:lang w:val="es-ES" w:eastAsia="es-ES"/>
        </w:rPr>
      </w:pPr>
    </w:p>
    <w:p w14:paraId="657C24D9" w14:textId="77777777" w:rsidR="006A3157" w:rsidRPr="00995C34" w:rsidRDefault="006A3157" w:rsidP="00995C34">
      <w:pPr>
        <w:spacing w:after="0" w:line="240" w:lineRule="auto"/>
        <w:jc w:val="both"/>
        <w:rPr>
          <w:rFonts w:ascii="Arial" w:eastAsia="Times New Roman" w:hAnsi="Arial" w:cs="Arial"/>
          <w:sz w:val="20"/>
          <w:szCs w:val="20"/>
          <w:lang w:val="es-ES" w:eastAsia="es-ES"/>
        </w:rPr>
      </w:pPr>
    </w:p>
    <w:bookmarkEnd w:id="0"/>
    <w:p w14:paraId="6F0D5840" w14:textId="77777777" w:rsidR="00995C34" w:rsidRPr="00995C34" w:rsidRDefault="00995C34" w:rsidP="00995C34">
      <w:pPr>
        <w:spacing w:after="0" w:line="240" w:lineRule="auto"/>
        <w:jc w:val="both"/>
        <w:rPr>
          <w:rFonts w:ascii="Arial" w:eastAsia="Times New Roman" w:hAnsi="Arial" w:cs="Arial"/>
          <w:sz w:val="20"/>
          <w:szCs w:val="20"/>
          <w:lang w:val="es-ES" w:eastAsia="es-ES"/>
        </w:rPr>
      </w:pPr>
    </w:p>
    <w:p w14:paraId="1C3BEE41" w14:textId="77777777" w:rsidR="00EA705B" w:rsidRPr="00E534DB" w:rsidRDefault="00EA705B" w:rsidP="00E534DB">
      <w:pPr>
        <w:keepNext/>
        <w:overflowPunct w:val="0"/>
        <w:autoSpaceDE w:val="0"/>
        <w:autoSpaceDN w:val="0"/>
        <w:adjustRightInd w:val="0"/>
        <w:spacing w:after="0" w:line="276" w:lineRule="auto"/>
        <w:ind w:left="1701"/>
        <w:contextualSpacing/>
        <w:jc w:val="both"/>
        <w:outlineLvl w:val="0"/>
        <w:rPr>
          <w:rFonts w:ascii="Gadugi" w:eastAsia="Malgun Gothic" w:hAnsi="Gadugi" w:cs="Arial Narrow"/>
          <w:b/>
          <w:bCs/>
          <w:sz w:val="24"/>
          <w:szCs w:val="24"/>
          <w:lang w:val="es-419" w:eastAsia="es-ES"/>
        </w:rPr>
      </w:pPr>
      <w:r w:rsidRPr="00E534DB">
        <w:rPr>
          <w:rFonts w:ascii="Gadugi" w:eastAsia="Malgun Gothic" w:hAnsi="Gadugi" w:cs="Arial Narrow"/>
          <w:b/>
          <w:bCs/>
          <w:sz w:val="24"/>
          <w:szCs w:val="24"/>
          <w:lang w:val="es-419" w:eastAsia="es-ES"/>
        </w:rPr>
        <w:t>TRIBUNAL SUPERIOR DEL DISTRITO JUDICIAL</w:t>
      </w:r>
    </w:p>
    <w:p w14:paraId="183CE53A" w14:textId="77777777" w:rsidR="00EA705B" w:rsidRPr="00E534DB" w:rsidRDefault="00EA705B" w:rsidP="00E534DB">
      <w:pPr>
        <w:spacing w:after="0" w:line="276" w:lineRule="auto"/>
        <w:ind w:left="1701"/>
        <w:contextualSpacing/>
        <w:jc w:val="both"/>
        <w:rPr>
          <w:rFonts w:ascii="Gadugi" w:eastAsia="Malgun Gothic" w:hAnsi="Gadugi" w:cs="Estrangelo Edessa"/>
          <w:b/>
          <w:bCs/>
          <w:sz w:val="24"/>
          <w:szCs w:val="24"/>
          <w:lang w:val="es-419"/>
        </w:rPr>
      </w:pPr>
      <w:r w:rsidRPr="00E534DB">
        <w:rPr>
          <w:rFonts w:ascii="Gadugi" w:eastAsia="Malgun Gothic" w:hAnsi="Gadugi" w:cs="Estrangelo Edessa"/>
          <w:b/>
          <w:bCs/>
          <w:sz w:val="24"/>
          <w:szCs w:val="24"/>
          <w:lang w:val="es-419"/>
        </w:rPr>
        <w:t xml:space="preserve">         SALA DE DECISIÓN CIVIL-FAMILIA</w:t>
      </w:r>
    </w:p>
    <w:p w14:paraId="672A6659" w14:textId="6E4CADF4" w:rsidR="00EA705B" w:rsidRPr="00E534DB" w:rsidRDefault="00EA705B" w:rsidP="00E534DB">
      <w:pPr>
        <w:spacing w:after="0" w:line="276" w:lineRule="auto"/>
        <w:ind w:left="1701"/>
        <w:contextualSpacing/>
        <w:jc w:val="both"/>
        <w:rPr>
          <w:rFonts w:ascii="Gadugi" w:eastAsia="Malgun Gothic" w:hAnsi="Gadugi" w:cs="Estrangelo Edessa"/>
          <w:sz w:val="24"/>
          <w:szCs w:val="24"/>
          <w:lang w:val="es-419"/>
        </w:rPr>
      </w:pPr>
    </w:p>
    <w:p w14:paraId="79A18CBD" w14:textId="77777777" w:rsidR="00EA705B" w:rsidRPr="00E534DB" w:rsidRDefault="00EA705B" w:rsidP="00E534DB">
      <w:pPr>
        <w:tabs>
          <w:tab w:val="left" w:pos="3686"/>
        </w:tabs>
        <w:spacing w:after="0" w:line="276" w:lineRule="auto"/>
        <w:ind w:left="1701"/>
        <w:contextualSpacing/>
        <w:jc w:val="both"/>
        <w:rPr>
          <w:rFonts w:ascii="Gadugi" w:eastAsia="Malgun Gothic" w:hAnsi="Gadugi" w:cs="Estrangelo Edessa"/>
          <w:b/>
          <w:sz w:val="24"/>
          <w:szCs w:val="24"/>
          <w:lang w:val="es-419"/>
        </w:rPr>
      </w:pPr>
      <w:r w:rsidRPr="00E534DB">
        <w:rPr>
          <w:rFonts w:ascii="Gadugi" w:eastAsia="Malgun Gothic" w:hAnsi="Gadugi" w:cs="Estrangelo Edessa"/>
          <w:sz w:val="24"/>
          <w:szCs w:val="24"/>
          <w:lang w:val="es-419"/>
        </w:rPr>
        <w:t xml:space="preserve">Magistrado: </w:t>
      </w:r>
      <w:r w:rsidRPr="00E534DB">
        <w:rPr>
          <w:rFonts w:ascii="Gadugi" w:eastAsia="Malgun Gothic" w:hAnsi="Gadugi" w:cs="Estrangelo Edessa"/>
          <w:sz w:val="24"/>
          <w:szCs w:val="24"/>
          <w:lang w:val="es-419"/>
        </w:rPr>
        <w:tab/>
      </w:r>
      <w:r w:rsidRPr="00E534DB">
        <w:rPr>
          <w:rFonts w:ascii="Gadugi" w:eastAsia="Malgun Gothic" w:hAnsi="Gadugi" w:cs="Estrangelo Edessa"/>
          <w:b/>
          <w:sz w:val="24"/>
          <w:szCs w:val="24"/>
          <w:lang w:val="es-419"/>
        </w:rPr>
        <w:t>Jaime Alberto Saraza Naranjo</w:t>
      </w:r>
    </w:p>
    <w:p w14:paraId="1222E32F" w14:textId="77777777" w:rsidR="00E534DB" w:rsidRDefault="00E534DB" w:rsidP="00E534DB">
      <w:pPr>
        <w:tabs>
          <w:tab w:val="left" w:pos="3686"/>
          <w:tab w:val="left" w:pos="4536"/>
        </w:tabs>
        <w:spacing w:after="0" w:line="276" w:lineRule="auto"/>
        <w:ind w:left="1701"/>
        <w:contextualSpacing/>
        <w:jc w:val="both"/>
        <w:rPr>
          <w:rFonts w:ascii="Gadugi" w:eastAsia="Malgun Gothic" w:hAnsi="Gadugi" w:cs="Estrangelo Edessa"/>
          <w:sz w:val="24"/>
          <w:szCs w:val="24"/>
          <w:lang w:val="es-419"/>
        </w:rPr>
      </w:pPr>
    </w:p>
    <w:p w14:paraId="2D2A620C" w14:textId="56A9DFE2" w:rsidR="00BF0B2C" w:rsidRPr="00E534DB" w:rsidRDefault="00EA705B" w:rsidP="00E534DB">
      <w:pPr>
        <w:tabs>
          <w:tab w:val="left" w:pos="3686"/>
          <w:tab w:val="left" w:pos="4536"/>
        </w:tabs>
        <w:spacing w:after="0" w:line="276" w:lineRule="auto"/>
        <w:ind w:left="1701"/>
        <w:contextualSpacing/>
        <w:jc w:val="both"/>
        <w:rPr>
          <w:rFonts w:ascii="Gadugi" w:eastAsia="Malgun Gothic" w:hAnsi="Gadugi" w:cs="Estrangelo Edessa"/>
          <w:sz w:val="24"/>
          <w:szCs w:val="24"/>
          <w:lang w:val="es-419"/>
        </w:rPr>
      </w:pPr>
      <w:r w:rsidRPr="00E534DB">
        <w:rPr>
          <w:rFonts w:ascii="Gadugi" w:eastAsia="Malgun Gothic" w:hAnsi="Gadugi" w:cs="Estrangelo Edessa"/>
          <w:sz w:val="24"/>
          <w:szCs w:val="24"/>
          <w:lang w:val="es-419"/>
        </w:rPr>
        <w:t>Pereira,</w:t>
      </w:r>
      <w:r w:rsidR="00E534DB">
        <w:rPr>
          <w:rFonts w:ascii="Gadugi" w:eastAsia="Malgun Gothic" w:hAnsi="Gadugi" w:cs="Estrangelo Edessa"/>
          <w:sz w:val="24"/>
          <w:szCs w:val="24"/>
          <w:lang w:val="es-419"/>
        </w:rPr>
        <w:tab/>
      </w:r>
      <w:r w:rsidR="00152EDA" w:rsidRPr="00E534DB">
        <w:rPr>
          <w:rFonts w:ascii="Gadugi" w:eastAsia="Malgun Gothic" w:hAnsi="Gadugi" w:cs="Estrangelo Edessa"/>
          <w:sz w:val="24"/>
          <w:szCs w:val="24"/>
          <w:lang w:val="es-419"/>
        </w:rPr>
        <w:t>D</w:t>
      </w:r>
      <w:r w:rsidR="004144D6" w:rsidRPr="00E534DB">
        <w:rPr>
          <w:rFonts w:ascii="Gadugi" w:eastAsia="Malgun Gothic" w:hAnsi="Gadugi" w:cs="Estrangelo Edessa"/>
          <w:sz w:val="24"/>
          <w:szCs w:val="24"/>
          <w:lang w:val="es-419"/>
        </w:rPr>
        <w:t xml:space="preserve">iciembre </w:t>
      </w:r>
      <w:r w:rsidR="004B2814" w:rsidRPr="00E534DB">
        <w:rPr>
          <w:rFonts w:ascii="Gadugi" w:eastAsia="Malgun Gothic" w:hAnsi="Gadugi" w:cs="Estrangelo Edessa"/>
          <w:sz w:val="24"/>
          <w:szCs w:val="24"/>
          <w:lang w:val="es-419"/>
        </w:rPr>
        <w:t xml:space="preserve">dieciséis de </w:t>
      </w:r>
      <w:r w:rsidR="004144D6" w:rsidRPr="00E534DB">
        <w:rPr>
          <w:rFonts w:ascii="Gadugi" w:eastAsia="Malgun Gothic" w:hAnsi="Gadugi" w:cs="Estrangelo Edessa"/>
          <w:sz w:val="24"/>
          <w:szCs w:val="24"/>
          <w:lang w:val="es-419"/>
        </w:rPr>
        <w:t>dos mil veintiuno</w:t>
      </w:r>
    </w:p>
    <w:p w14:paraId="4A6E8B31" w14:textId="32BCD701" w:rsidR="00BF0B2C" w:rsidRPr="00E534DB" w:rsidRDefault="00EA705B" w:rsidP="00E534DB">
      <w:pPr>
        <w:tabs>
          <w:tab w:val="left" w:pos="3686"/>
          <w:tab w:val="left" w:pos="4536"/>
        </w:tabs>
        <w:spacing w:after="0" w:line="276" w:lineRule="auto"/>
        <w:ind w:left="1701"/>
        <w:contextualSpacing/>
        <w:jc w:val="both"/>
        <w:rPr>
          <w:rFonts w:ascii="Gadugi" w:eastAsia="Malgun Gothic" w:hAnsi="Gadugi" w:cs="Estrangelo Edessa"/>
          <w:sz w:val="24"/>
          <w:szCs w:val="24"/>
        </w:rPr>
      </w:pPr>
      <w:r w:rsidRPr="00E534DB">
        <w:rPr>
          <w:rFonts w:ascii="Gadugi" w:eastAsia="Malgun Gothic" w:hAnsi="Gadugi" w:cs="Estrangelo Edessa"/>
          <w:sz w:val="24"/>
          <w:szCs w:val="24"/>
        </w:rPr>
        <w:t xml:space="preserve">Acta No. </w:t>
      </w:r>
      <w:r w:rsidR="00D97337" w:rsidRPr="00E534DB">
        <w:rPr>
          <w:rFonts w:ascii="Gadugi" w:eastAsia="Malgun Gothic" w:hAnsi="Gadugi" w:cs="Estrangelo Edessa"/>
          <w:sz w:val="24"/>
          <w:szCs w:val="24"/>
        </w:rPr>
        <w:tab/>
        <w:t>603 del 15 de diciembre de 2021</w:t>
      </w:r>
    </w:p>
    <w:p w14:paraId="128A0571" w14:textId="786171DE" w:rsidR="00EA705B" w:rsidRPr="00E534DB" w:rsidRDefault="00BF0B2C" w:rsidP="00E534DB">
      <w:pPr>
        <w:tabs>
          <w:tab w:val="left" w:pos="3686"/>
          <w:tab w:val="left" w:pos="4536"/>
        </w:tabs>
        <w:spacing w:after="0" w:line="276" w:lineRule="auto"/>
        <w:ind w:left="1701"/>
        <w:contextualSpacing/>
        <w:jc w:val="both"/>
        <w:rPr>
          <w:rFonts w:ascii="Gadugi" w:eastAsia="Malgun Gothic" w:hAnsi="Gadugi" w:cs="Estrangelo Edessa"/>
          <w:sz w:val="24"/>
          <w:szCs w:val="24"/>
        </w:rPr>
      </w:pPr>
      <w:r w:rsidRPr="00E534DB">
        <w:rPr>
          <w:rFonts w:ascii="Gadugi" w:eastAsia="Malgun Gothic" w:hAnsi="Gadugi" w:cs="Estrangelo Edessa"/>
          <w:sz w:val="24"/>
          <w:szCs w:val="24"/>
        </w:rPr>
        <w:t xml:space="preserve">Sentencia No. </w:t>
      </w:r>
      <w:r w:rsidR="00EA705B" w:rsidRPr="00E534DB">
        <w:rPr>
          <w:rFonts w:ascii="Gadugi" w:eastAsia="Malgun Gothic" w:hAnsi="Gadugi" w:cs="Estrangelo Edessa"/>
          <w:sz w:val="24"/>
          <w:szCs w:val="24"/>
        </w:rPr>
        <w:tab/>
      </w:r>
      <w:r w:rsidR="00D97337" w:rsidRPr="00E534DB">
        <w:rPr>
          <w:rFonts w:ascii="Gadugi" w:eastAsia="Malgun Gothic" w:hAnsi="Gadugi" w:cs="Estrangelo Edessa"/>
          <w:sz w:val="24"/>
          <w:szCs w:val="24"/>
        </w:rPr>
        <w:t>TSP.</w:t>
      </w:r>
      <w:r w:rsidR="00FF1041">
        <w:rPr>
          <w:rFonts w:ascii="Gadugi" w:eastAsia="Malgun Gothic" w:hAnsi="Gadugi" w:cs="Estrangelo Edessa"/>
          <w:sz w:val="24"/>
          <w:szCs w:val="24"/>
        </w:rPr>
        <w:t xml:space="preserve"> </w:t>
      </w:r>
      <w:bookmarkStart w:id="1" w:name="_GoBack"/>
      <w:bookmarkEnd w:id="1"/>
      <w:r w:rsidR="00D97337" w:rsidRPr="00E534DB">
        <w:rPr>
          <w:rFonts w:ascii="Gadugi" w:eastAsia="Malgun Gothic" w:hAnsi="Gadugi" w:cs="Estrangelo Edessa"/>
          <w:sz w:val="24"/>
          <w:szCs w:val="24"/>
        </w:rPr>
        <w:t>SC-0084-2021</w:t>
      </w:r>
      <w:r w:rsidR="00EA705B" w:rsidRPr="00E534DB">
        <w:rPr>
          <w:rFonts w:ascii="Gadugi" w:eastAsia="Malgun Gothic" w:hAnsi="Gadugi" w:cs="Estrangelo Edessa"/>
          <w:sz w:val="24"/>
          <w:szCs w:val="24"/>
        </w:rPr>
        <w:t xml:space="preserve"> </w:t>
      </w:r>
    </w:p>
    <w:p w14:paraId="0A37501D" w14:textId="77777777" w:rsidR="00EA705B" w:rsidRPr="00E534DB" w:rsidRDefault="00EA705B" w:rsidP="00E534DB">
      <w:pPr>
        <w:tabs>
          <w:tab w:val="left" w:pos="4536"/>
        </w:tabs>
        <w:spacing w:after="0" w:line="276" w:lineRule="auto"/>
        <w:ind w:firstLine="1701"/>
        <w:contextualSpacing/>
        <w:jc w:val="both"/>
        <w:rPr>
          <w:rFonts w:ascii="Gadugi" w:eastAsia="Malgun Gothic" w:hAnsi="Gadugi" w:cs="Estrangelo Edessa"/>
          <w:sz w:val="24"/>
          <w:szCs w:val="24"/>
        </w:rPr>
      </w:pPr>
    </w:p>
    <w:p w14:paraId="64F55195" w14:textId="77777777" w:rsidR="00BF0B2C" w:rsidRPr="00E534DB" w:rsidRDefault="00BF0B2C" w:rsidP="00E534DB">
      <w:pPr>
        <w:tabs>
          <w:tab w:val="left" w:pos="4536"/>
        </w:tabs>
        <w:spacing w:after="0" w:line="276" w:lineRule="auto"/>
        <w:ind w:firstLine="1701"/>
        <w:contextualSpacing/>
        <w:jc w:val="both"/>
        <w:rPr>
          <w:rFonts w:ascii="Gadugi" w:eastAsia="Malgun Gothic" w:hAnsi="Gadugi" w:cs="Estrangelo Edessa"/>
          <w:sz w:val="24"/>
          <w:szCs w:val="24"/>
        </w:rPr>
      </w:pPr>
    </w:p>
    <w:p w14:paraId="24250B9C" w14:textId="6C1CC7AF" w:rsidR="00DF6C8A" w:rsidRPr="00E534DB" w:rsidRDefault="00EA705B" w:rsidP="00E534DB">
      <w:pPr>
        <w:tabs>
          <w:tab w:val="left" w:pos="4536"/>
        </w:tabs>
        <w:spacing w:after="0" w:line="276" w:lineRule="auto"/>
        <w:ind w:firstLine="1701"/>
        <w:contextualSpacing/>
        <w:jc w:val="both"/>
        <w:rPr>
          <w:rFonts w:ascii="Gadugi" w:eastAsia="Malgun Gothic" w:hAnsi="Gadugi" w:cs="Estrangelo Edessa"/>
          <w:b/>
          <w:sz w:val="24"/>
          <w:szCs w:val="24"/>
        </w:rPr>
      </w:pPr>
      <w:r w:rsidRPr="00E534DB">
        <w:rPr>
          <w:rFonts w:ascii="Gadugi" w:eastAsia="Malgun Gothic" w:hAnsi="Gadugi" w:cs="Estrangelo Edessa"/>
          <w:sz w:val="24"/>
          <w:szCs w:val="24"/>
        </w:rPr>
        <w:t>Resuelve la Sala el recurso de apelación interpuesto por la parte dema</w:t>
      </w:r>
      <w:r w:rsidR="00B60551" w:rsidRPr="00E534DB">
        <w:rPr>
          <w:rFonts w:ascii="Gadugi" w:eastAsia="Malgun Gothic" w:hAnsi="Gadugi" w:cs="Estrangelo Edessa"/>
          <w:sz w:val="24"/>
          <w:szCs w:val="24"/>
        </w:rPr>
        <w:t>ndante</w:t>
      </w:r>
      <w:r w:rsidR="00815090" w:rsidRPr="00E534DB">
        <w:rPr>
          <w:rFonts w:ascii="Gadugi" w:eastAsia="Malgun Gothic" w:hAnsi="Gadugi" w:cs="Estrangelo Edessa"/>
          <w:sz w:val="24"/>
          <w:szCs w:val="24"/>
        </w:rPr>
        <w:t xml:space="preserve"> cont</w:t>
      </w:r>
      <w:r w:rsidR="00BF0B2C" w:rsidRPr="00E534DB">
        <w:rPr>
          <w:rFonts w:ascii="Gadugi" w:eastAsia="Malgun Gothic" w:hAnsi="Gadugi" w:cs="Estrangelo Edessa"/>
          <w:sz w:val="24"/>
          <w:szCs w:val="24"/>
        </w:rPr>
        <w:t xml:space="preserve">ra la sentencia del </w:t>
      </w:r>
      <w:r w:rsidR="00840CE5" w:rsidRPr="00E534DB">
        <w:rPr>
          <w:rFonts w:ascii="Gadugi" w:eastAsia="Malgun Gothic" w:hAnsi="Gadugi" w:cs="Estrangelo Edessa"/>
          <w:sz w:val="24"/>
          <w:szCs w:val="24"/>
        </w:rPr>
        <w:t>1 de octubre de 2020</w:t>
      </w:r>
      <w:r w:rsidRPr="00E534DB">
        <w:rPr>
          <w:rFonts w:ascii="Gadugi" w:eastAsia="Malgun Gothic" w:hAnsi="Gadugi" w:cs="Estrangelo Edessa"/>
          <w:sz w:val="24"/>
          <w:szCs w:val="24"/>
        </w:rPr>
        <w:t>, proferida por el Juzgado</w:t>
      </w:r>
      <w:r w:rsidR="00840CE5" w:rsidRPr="00E534DB">
        <w:rPr>
          <w:rFonts w:ascii="Gadugi" w:eastAsia="Malgun Gothic" w:hAnsi="Gadugi" w:cs="Estrangelo Edessa"/>
          <w:sz w:val="24"/>
          <w:szCs w:val="24"/>
        </w:rPr>
        <w:t xml:space="preserve"> Cuarto</w:t>
      </w:r>
      <w:r w:rsidRPr="00E534DB">
        <w:rPr>
          <w:rFonts w:ascii="Gadugi" w:eastAsia="Malgun Gothic" w:hAnsi="Gadugi" w:cs="Estrangelo Edessa"/>
          <w:sz w:val="24"/>
          <w:szCs w:val="24"/>
        </w:rPr>
        <w:t xml:space="preserve"> </w:t>
      </w:r>
      <w:r w:rsidRPr="00E534DB">
        <w:rPr>
          <w:rFonts w:ascii="Gadugi" w:eastAsia="Calibri" w:hAnsi="Gadugi" w:cs="Times New Roman"/>
          <w:sz w:val="24"/>
          <w:szCs w:val="24"/>
        </w:rPr>
        <w:t>Ci</w:t>
      </w:r>
      <w:r w:rsidR="00840CE5" w:rsidRPr="00E534DB">
        <w:rPr>
          <w:rFonts w:ascii="Gadugi" w:eastAsia="Calibri" w:hAnsi="Gadugi" w:cs="Times New Roman"/>
          <w:sz w:val="24"/>
          <w:szCs w:val="24"/>
        </w:rPr>
        <w:t>vil del Circuito de Pereira</w:t>
      </w:r>
      <w:r w:rsidRPr="00E534DB">
        <w:rPr>
          <w:rFonts w:ascii="Gadugi" w:eastAsia="Malgun Gothic" w:hAnsi="Gadugi" w:cs="Estrangelo Edessa"/>
          <w:sz w:val="24"/>
          <w:szCs w:val="24"/>
        </w:rPr>
        <w:t>, en este proceso verbal de responsabil</w:t>
      </w:r>
      <w:r w:rsidR="006801F3" w:rsidRPr="00E534DB">
        <w:rPr>
          <w:rFonts w:ascii="Gadugi" w:eastAsia="Malgun Gothic" w:hAnsi="Gadugi" w:cs="Estrangelo Edessa"/>
          <w:sz w:val="24"/>
          <w:szCs w:val="24"/>
        </w:rPr>
        <w:t xml:space="preserve">idad civil </w:t>
      </w:r>
      <w:r w:rsidR="006801F3" w:rsidRPr="00E534DB">
        <w:rPr>
          <w:rFonts w:ascii="Gadugi" w:eastAsia="Malgun Gothic" w:hAnsi="Gadugi" w:cs="Estrangelo Edessa"/>
          <w:sz w:val="24"/>
          <w:szCs w:val="24"/>
        </w:rPr>
        <w:lastRenderedPageBreak/>
        <w:t>extracontractual que</w:t>
      </w:r>
      <w:r w:rsidR="00E51D29" w:rsidRPr="00E534DB">
        <w:rPr>
          <w:rFonts w:ascii="Gadugi" w:eastAsia="Malgun Gothic" w:hAnsi="Gadugi" w:cs="Estrangelo Edessa"/>
          <w:b/>
          <w:sz w:val="24"/>
          <w:szCs w:val="24"/>
        </w:rPr>
        <w:t xml:space="preserve"> </w:t>
      </w:r>
      <w:r w:rsidRPr="00E534DB">
        <w:rPr>
          <w:rFonts w:ascii="Gadugi" w:eastAsia="Malgun Gothic" w:hAnsi="Gadugi" w:cs="Estrangelo Edessa"/>
          <w:sz w:val="24"/>
          <w:szCs w:val="24"/>
        </w:rPr>
        <w:t>iniciaron</w:t>
      </w:r>
      <w:r w:rsidR="00B63CA1" w:rsidRPr="00E534DB">
        <w:rPr>
          <w:rFonts w:ascii="Gadugi" w:eastAsia="Malgun Gothic" w:hAnsi="Gadugi" w:cs="Estrangelo Edessa"/>
          <w:sz w:val="24"/>
          <w:szCs w:val="24"/>
        </w:rPr>
        <w:t xml:space="preserve"> </w:t>
      </w:r>
      <w:r w:rsidR="00B63CA1" w:rsidRPr="00E534DB">
        <w:rPr>
          <w:rFonts w:ascii="Gadugi" w:eastAsia="Malgun Gothic" w:hAnsi="Gadugi" w:cs="Estrangelo Edessa"/>
          <w:b/>
          <w:sz w:val="24"/>
          <w:szCs w:val="24"/>
        </w:rPr>
        <w:t>Lucel</w:t>
      </w:r>
      <w:r w:rsidR="00F064FC" w:rsidRPr="00E534DB">
        <w:rPr>
          <w:rFonts w:ascii="Gadugi" w:eastAsia="Malgun Gothic" w:hAnsi="Gadugi" w:cs="Estrangelo Edessa"/>
          <w:b/>
          <w:sz w:val="24"/>
          <w:szCs w:val="24"/>
        </w:rPr>
        <w:t>ly del Socorro Arteaga Montoya</w:t>
      </w:r>
      <w:r w:rsidR="009508C4" w:rsidRPr="00E534DB">
        <w:rPr>
          <w:rFonts w:ascii="Gadugi" w:eastAsia="Malgun Gothic" w:hAnsi="Gadugi" w:cs="Estrangelo Edessa"/>
          <w:b/>
          <w:sz w:val="24"/>
          <w:szCs w:val="24"/>
        </w:rPr>
        <w:t xml:space="preserve"> </w:t>
      </w:r>
      <w:r w:rsidR="009508C4" w:rsidRPr="00E534DB">
        <w:rPr>
          <w:rFonts w:ascii="Gadugi" w:eastAsia="Malgun Gothic" w:hAnsi="Gadugi" w:cs="Estrangelo Edessa"/>
          <w:sz w:val="24"/>
          <w:szCs w:val="24"/>
        </w:rPr>
        <w:t>y</w:t>
      </w:r>
      <w:r w:rsidR="00B63CA1" w:rsidRPr="00E534DB">
        <w:rPr>
          <w:rFonts w:ascii="Gadugi" w:eastAsia="Malgun Gothic" w:hAnsi="Gadugi" w:cs="Estrangelo Edessa"/>
          <w:b/>
          <w:sz w:val="24"/>
          <w:szCs w:val="24"/>
        </w:rPr>
        <w:t xml:space="preserve"> </w:t>
      </w:r>
      <w:proofErr w:type="spellStart"/>
      <w:r w:rsidR="00B63CA1" w:rsidRPr="00E534DB">
        <w:rPr>
          <w:rFonts w:ascii="Gadugi" w:eastAsia="Malgun Gothic" w:hAnsi="Gadugi" w:cs="Estrangelo Edessa"/>
          <w:b/>
          <w:sz w:val="24"/>
          <w:szCs w:val="24"/>
        </w:rPr>
        <w:t>Helmer</w:t>
      </w:r>
      <w:proofErr w:type="spellEnd"/>
      <w:r w:rsidR="00B63CA1" w:rsidRPr="00E534DB">
        <w:rPr>
          <w:rFonts w:ascii="Gadugi" w:eastAsia="Malgun Gothic" w:hAnsi="Gadugi" w:cs="Estrangelo Edessa"/>
          <w:b/>
          <w:sz w:val="24"/>
          <w:szCs w:val="24"/>
        </w:rPr>
        <w:t xml:space="preserve"> González García</w:t>
      </w:r>
      <w:r w:rsidR="009508C4" w:rsidRPr="00E534DB">
        <w:rPr>
          <w:rFonts w:ascii="Gadugi" w:eastAsia="Malgun Gothic" w:hAnsi="Gadugi" w:cs="Estrangelo Edessa"/>
          <w:b/>
          <w:sz w:val="24"/>
          <w:szCs w:val="24"/>
        </w:rPr>
        <w:t xml:space="preserve">, </w:t>
      </w:r>
      <w:r w:rsidR="009508C4" w:rsidRPr="00E534DB">
        <w:rPr>
          <w:rFonts w:ascii="Gadugi" w:eastAsia="Malgun Gothic" w:hAnsi="Gadugi" w:cs="Estrangelo Edessa"/>
          <w:sz w:val="24"/>
          <w:szCs w:val="24"/>
        </w:rPr>
        <w:t>en nombre propio y en representación de sus hijas</w:t>
      </w:r>
      <w:r w:rsidR="00F064FC" w:rsidRPr="00E534DB">
        <w:rPr>
          <w:rFonts w:ascii="Gadugi" w:eastAsia="Malgun Gothic" w:hAnsi="Gadugi" w:cs="Estrangelo Edessa"/>
          <w:b/>
          <w:sz w:val="24"/>
          <w:szCs w:val="24"/>
        </w:rPr>
        <w:t xml:space="preserve"> Daniela González Arteaga </w:t>
      </w:r>
      <w:r w:rsidR="00F064FC" w:rsidRPr="00E534DB">
        <w:rPr>
          <w:rFonts w:ascii="Gadugi" w:eastAsia="Malgun Gothic" w:hAnsi="Gadugi" w:cs="Estrangelo Edessa"/>
          <w:sz w:val="24"/>
          <w:szCs w:val="24"/>
        </w:rPr>
        <w:t>y</w:t>
      </w:r>
      <w:r w:rsidR="00F064FC" w:rsidRPr="00E534DB">
        <w:rPr>
          <w:rFonts w:ascii="Gadugi" w:eastAsia="Malgun Gothic" w:hAnsi="Gadugi" w:cs="Estrangelo Edessa"/>
          <w:b/>
          <w:sz w:val="24"/>
          <w:szCs w:val="24"/>
        </w:rPr>
        <w:t xml:space="preserve"> Lina María González Arteaga</w:t>
      </w:r>
      <w:r w:rsidR="004328AB" w:rsidRPr="00E534DB">
        <w:rPr>
          <w:rFonts w:ascii="Gadugi" w:eastAsia="Malgun Gothic" w:hAnsi="Gadugi" w:cs="Estrangelo Edessa"/>
          <w:b/>
          <w:sz w:val="24"/>
          <w:szCs w:val="24"/>
        </w:rPr>
        <w:t xml:space="preserve">, </w:t>
      </w:r>
      <w:r w:rsidR="004328AB" w:rsidRPr="00E534DB">
        <w:rPr>
          <w:rFonts w:ascii="Gadugi" w:eastAsia="Malgun Gothic" w:hAnsi="Gadugi" w:cs="Estrangelo Edessa"/>
          <w:sz w:val="24"/>
          <w:szCs w:val="24"/>
        </w:rPr>
        <w:t xml:space="preserve">que para la fecha de la </w:t>
      </w:r>
      <w:r w:rsidR="004144D6" w:rsidRPr="00E534DB">
        <w:rPr>
          <w:rFonts w:ascii="Gadugi" w:eastAsia="Malgun Gothic" w:hAnsi="Gadugi" w:cs="Estrangelo Edessa"/>
          <w:sz w:val="24"/>
          <w:szCs w:val="24"/>
        </w:rPr>
        <w:t xml:space="preserve">presentación de la </w:t>
      </w:r>
      <w:r w:rsidR="004328AB" w:rsidRPr="00E534DB">
        <w:rPr>
          <w:rFonts w:ascii="Gadugi" w:eastAsia="Malgun Gothic" w:hAnsi="Gadugi" w:cs="Estrangelo Edessa"/>
          <w:sz w:val="24"/>
          <w:szCs w:val="24"/>
        </w:rPr>
        <w:t>demanda eran menores de edad</w:t>
      </w:r>
      <w:r w:rsidR="004328AB" w:rsidRPr="00E534DB">
        <w:rPr>
          <w:rStyle w:val="Refdenotaalpie"/>
          <w:rFonts w:ascii="Gadugi" w:eastAsia="Malgun Gothic" w:hAnsi="Gadugi" w:cs="Estrangelo Edessa"/>
          <w:sz w:val="24"/>
          <w:szCs w:val="24"/>
        </w:rPr>
        <w:footnoteReference w:id="2"/>
      </w:r>
      <w:r w:rsidR="004328AB" w:rsidRPr="00E534DB">
        <w:rPr>
          <w:rFonts w:ascii="Gadugi" w:eastAsia="Malgun Gothic" w:hAnsi="Gadugi" w:cs="Estrangelo Edessa"/>
          <w:sz w:val="24"/>
          <w:szCs w:val="24"/>
        </w:rPr>
        <w:t>,</w:t>
      </w:r>
      <w:r w:rsidR="004144D6" w:rsidRPr="00E534DB">
        <w:rPr>
          <w:rFonts w:ascii="Gadugi" w:eastAsia="Malgun Gothic" w:hAnsi="Gadugi" w:cs="Estrangelo Edessa"/>
          <w:sz w:val="24"/>
          <w:szCs w:val="24"/>
        </w:rPr>
        <w:t xml:space="preserve"> hoy mayores de edad</w:t>
      </w:r>
      <w:r w:rsidR="004144D6" w:rsidRPr="00E534DB">
        <w:rPr>
          <w:rFonts w:ascii="Gadugi" w:eastAsia="Malgun Gothic" w:hAnsi="Gadugi" w:cs="Estrangelo Edessa"/>
          <w:b/>
          <w:sz w:val="24"/>
          <w:szCs w:val="24"/>
        </w:rPr>
        <w:t>,</w:t>
      </w:r>
      <w:r w:rsidRPr="00E534DB">
        <w:rPr>
          <w:rFonts w:ascii="Gadugi" w:eastAsia="Malgun Gothic" w:hAnsi="Gadugi" w:cs="Estrangelo Edessa"/>
          <w:sz w:val="24"/>
          <w:szCs w:val="24"/>
        </w:rPr>
        <w:t xml:space="preserve"> frente a </w:t>
      </w:r>
      <w:r w:rsidR="00E51D29" w:rsidRPr="00E534DB">
        <w:rPr>
          <w:rFonts w:ascii="Gadugi" w:eastAsia="Malgun Gothic" w:hAnsi="Gadugi" w:cs="Estrangelo Edessa"/>
          <w:b/>
          <w:sz w:val="24"/>
          <w:szCs w:val="24"/>
        </w:rPr>
        <w:t>EFIGAS</w:t>
      </w:r>
      <w:r w:rsidRPr="00E534DB">
        <w:rPr>
          <w:rFonts w:ascii="Gadugi" w:eastAsia="Malgun Gothic" w:hAnsi="Gadugi" w:cs="Estrangelo Edessa"/>
          <w:b/>
          <w:sz w:val="24"/>
          <w:szCs w:val="24"/>
        </w:rPr>
        <w:t xml:space="preserve"> S.A.</w:t>
      </w:r>
      <w:r w:rsidR="00E51D29" w:rsidRPr="00E534DB">
        <w:rPr>
          <w:rFonts w:ascii="Gadugi" w:eastAsia="Malgun Gothic" w:hAnsi="Gadugi" w:cs="Estrangelo Edessa"/>
          <w:b/>
          <w:sz w:val="24"/>
          <w:szCs w:val="24"/>
        </w:rPr>
        <w:t xml:space="preserve"> E.S.P.</w:t>
      </w:r>
      <w:r w:rsidRPr="00E534DB">
        <w:rPr>
          <w:rFonts w:ascii="Gadugi" w:eastAsia="Malgun Gothic" w:hAnsi="Gadugi" w:cs="Estrangelo Edessa"/>
          <w:b/>
          <w:sz w:val="24"/>
          <w:szCs w:val="24"/>
        </w:rPr>
        <w:t xml:space="preserve"> </w:t>
      </w:r>
      <w:r w:rsidRPr="00E534DB">
        <w:rPr>
          <w:rFonts w:ascii="Gadugi" w:eastAsia="Malgun Gothic" w:hAnsi="Gadugi" w:cs="Estrangelo Edessa"/>
          <w:sz w:val="24"/>
          <w:szCs w:val="24"/>
        </w:rPr>
        <w:t xml:space="preserve">y </w:t>
      </w:r>
      <w:r w:rsidR="00BF0B2C" w:rsidRPr="00E534DB">
        <w:rPr>
          <w:rFonts w:ascii="Gadugi" w:eastAsia="Malgun Gothic" w:hAnsi="Gadugi" w:cs="Estrangelo Edessa"/>
          <w:sz w:val="24"/>
          <w:szCs w:val="24"/>
        </w:rPr>
        <w:t xml:space="preserve">a la cual </w:t>
      </w:r>
      <w:r w:rsidRPr="00E534DB">
        <w:rPr>
          <w:rFonts w:ascii="Gadugi" w:eastAsia="Malgun Gothic" w:hAnsi="Gadugi" w:cs="Estrangelo Edessa"/>
          <w:sz w:val="24"/>
          <w:szCs w:val="24"/>
        </w:rPr>
        <w:t>fue</w:t>
      </w:r>
      <w:r w:rsidR="00A40B13" w:rsidRPr="00E534DB">
        <w:rPr>
          <w:rFonts w:ascii="Gadugi" w:eastAsia="Malgun Gothic" w:hAnsi="Gadugi" w:cs="Estrangelo Edessa"/>
          <w:sz w:val="24"/>
          <w:szCs w:val="24"/>
        </w:rPr>
        <w:t>ron</w:t>
      </w:r>
      <w:r w:rsidRPr="00E534DB">
        <w:rPr>
          <w:rFonts w:ascii="Gadugi" w:eastAsia="Malgun Gothic" w:hAnsi="Gadugi" w:cs="Estrangelo Edessa"/>
          <w:sz w:val="24"/>
          <w:szCs w:val="24"/>
        </w:rPr>
        <w:t xml:space="preserve"> llamad</w:t>
      </w:r>
      <w:r w:rsidR="00A40B13" w:rsidRPr="00E534DB">
        <w:rPr>
          <w:rFonts w:ascii="Gadugi" w:eastAsia="Malgun Gothic" w:hAnsi="Gadugi" w:cs="Estrangelo Edessa"/>
          <w:sz w:val="24"/>
          <w:szCs w:val="24"/>
        </w:rPr>
        <w:t>as</w:t>
      </w:r>
      <w:r w:rsidRPr="00E534DB">
        <w:rPr>
          <w:rFonts w:ascii="Gadugi" w:eastAsia="Malgun Gothic" w:hAnsi="Gadugi" w:cs="Estrangelo Edessa"/>
          <w:sz w:val="24"/>
          <w:szCs w:val="24"/>
        </w:rPr>
        <w:t xml:space="preserve"> en garantía </w:t>
      </w:r>
      <w:r w:rsidRPr="00E534DB">
        <w:rPr>
          <w:rFonts w:ascii="Gadugi" w:eastAsia="Malgun Gothic" w:hAnsi="Gadugi" w:cs="Estrangelo Edessa"/>
          <w:b/>
          <w:sz w:val="24"/>
          <w:szCs w:val="24"/>
        </w:rPr>
        <w:t>Seguros Generales Suramericana S.A.</w:t>
      </w:r>
      <w:r w:rsidR="006801F3" w:rsidRPr="00E534DB">
        <w:rPr>
          <w:rFonts w:ascii="Gadugi" w:eastAsia="Malgun Gothic" w:hAnsi="Gadugi" w:cs="Estrangelo Edessa"/>
          <w:b/>
          <w:sz w:val="24"/>
          <w:szCs w:val="24"/>
        </w:rPr>
        <w:t xml:space="preserve"> </w:t>
      </w:r>
      <w:r w:rsidR="006801F3" w:rsidRPr="00E534DB">
        <w:rPr>
          <w:rFonts w:ascii="Gadugi" w:eastAsia="Malgun Gothic" w:hAnsi="Gadugi" w:cs="Estrangelo Edessa"/>
          <w:sz w:val="24"/>
          <w:szCs w:val="24"/>
        </w:rPr>
        <w:t xml:space="preserve">y </w:t>
      </w:r>
      <w:r w:rsidR="006801F3" w:rsidRPr="00E534DB">
        <w:rPr>
          <w:rFonts w:ascii="Gadugi" w:eastAsia="Malgun Gothic" w:hAnsi="Gadugi" w:cs="Estrangelo Edessa"/>
          <w:b/>
          <w:sz w:val="24"/>
          <w:szCs w:val="24"/>
        </w:rPr>
        <w:t>CHUBB de Colombia Compañía de Seguros.</w:t>
      </w:r>
    </w:p>
    <w:p w14:paraId="5DAB6C7B" w14:textId="7198253D" w:rsidR="00DF6C8A" w:rsidRPr="00E534DB" w:rsidRDefault="00DF6C8A" w:rsidP="00E534DB">
      <w:pPr>
        <w:tabs>
          <w:tab w:val="left" w:pos="4536"/>
        </w:tabs>
        <w:spacing w:after="0" w:line="276" w:lineRule="auto"/>
        <w:ind w:firstLine="1701"/>
        <w:contextualSpacing/>
        <w:jc w:val="both"/>
        <w:rPr>
          <w:rFonts w:ascii="Gadugi" w:eastAsia="Malgun Gothic" w:hAnsi="Gadugi" w:cs="Estrangelo Edessa"/>
          <w:b/>
          <w:sz w:val="24"/>
          <w:szCs w:val="24"/>
        </w:rPr>
      </w:pPr>
    </w:p>
    <w:p w14:paraId="74D980D4" w14:textId="77777777" w:rsidR="00A40B13" w:rsidRPr="00E534DB" w:rsidRDefault="00A40B13" w:rsidP="00E534DB">
      <w:pPr>
        <w:tabs>
          <w:tab w:val="left" w:pos="4536"/>
        </w:tabs>
        <w:spacing w:after="0" w:line="276" w:lineRule="auto"/>
        <w:ind w:firstLine="1701"/>
        <w:contextualSpacing/>
        <w:jc w:val="both"/>
        <w:rPr>
          <w:rFonts w:ascii="Gadugi" w:eastAsia="Malgun Gothic" w:hAnsi="Gadugi" w:cs="Estrangelo Edessa"/>
          <w:b/>
          <w:sz w:val="24"/>
          <w:szCs w:val="24"/>
        </w:rPr>
      </w:pPr>
    </w:p>
    <w:p w14:paraId="41C8F396" w14:textId="77777777" w:rsidR="00DF6C8A" w:rsidRPr="00E534DB" w:rsidRDefault="00DF6C8A" w:rsidP="00E534DB">
      <w:pPr>
        <w:tabs>
          <w:tab w:val="left" w:pos="4536"/>
        </w:tabs>
        <w:spacing w:after="0" w:line="276" w:lineRule="auto"/>
        <w:contextualSpacing/>
        <w:jc w:val="both"/>
        <w:rPr>
          <w:rFonts w:ascii="Gadugi" w:eastAsia="Malgun Gothic" w:hAnsi="Gadugi" w:cs="Estrangelo Edessa"/>
          <w:b/>
          <w:sz w:val="24"/>
          <w:szCs w:val="24"/>
        </w:rPr>
      </w:pPr>
    </w:p>
    <w:p w14:paraId="0F10BAA5" w14:textId="77777777" w:rsidR="00EA705B" w:rsidRPr="00E534DB" w:rsidRDefault="00EA705B" w:rsidP="00E534DB">
      <w:pPr>
        <w:pStyle w:val="Prrafodelista"/>
        <w:numPr>
          <w:ilvl w:val="0"/>
          <w:numId w:val="1"/>
        </w:numPr>
        <w:spacing w:after="0" w:line="276" w:lineRule="auto"/>
        <w:ind w:left="0" w:firstLine="1701"/>
        <w:jc w:val="both"/>
        <w:rPr>
          <w:rFonts w:ascii="Gadugi" w:eastAsia="Malgun Gothic" w:hAnsi="Gadugi" w:cs="Estrangelo Edessa"/>
          <w:b/>
          <w:sz w:val="24"/>
          <w:szCs w:val="24"/>
        </w:rPr>
      </w:pPr>
      <w:r w:rsidRPr="00E534DB">
        <w:rPr>
          <w:rFonts w:ascii="Gadugi" w:eastAsia="Malgun Gothic" w:hAnsi="Gadugi" w:cs="Estrangelo Edessa"/>
          <w:b/>
          <w:sz w:val="24"/>
          <w:szCs w:val="24"/>
        </w:rPr>
        <w:t>ANTECEDENTES</w:t>
      </w:r>
    </w:p>
    <w:p w14:paraId="64C4F29A" w14:textId="5DA44C33" w:rsidR="00BF0B2C" w:rsidRPr="00E534DB" w:rsidRDefault="00BF0B2C" w:rsidP="00E534DB">
      <w:pPr>
        <w:spacing w:after="0" w:line="276" w:lineRule="auto"/>
        <w:contextualSpacing/>
        <w:jc w:val="both"/>
        <w:rPr>
          <w:rFonts w:ascii="Gadugi" w:eastAsia="Malgun Gothic" w:hAnsi="Gadugi" w:cs="Estrangelo Edessa"/>
          <w:b/>
          <w:sz w:val="24"/>
          <w:szCs w:val="24"/>
        </w:rPr>
      </w:pPr>
    </w:p>
    <w:p w14:paraId="030C33B2" w14:textId="77777777" w:rsidR="00B408F5" w:rsidRPr="00E534DB" w:rsidRDefault="00B408F5" w:rsidP="00E534DB">
      <w:pPr>
        <w:spacing w:after="0" w:line="276" w:lineRule="auto"/>
        <w:contextualSpacing/>
        <w:jc w:val="both"/>
        <w:rPr>
          <w:rFonts w:ascii="Gadugi" w:eastAsia="Malgun Gothic" w:hAnsi="Gadugi" w:cs="Estrangelo Edessa"/>
          <w:b/>
          <w:sz w:val="24"/>
          <w:szCs w:val="24"/>
        </w:rPr>
      </w:pPr>
    </w:p>
    <w:p w14:paraId="72A3D3EC" w14:textId="35E26748" w:rsidR="00E7370A" w:rsidRPr="00E534DB" w:rsidRDefault="00EA705B" w:rsidP="00E534DB">
      <w:pPr>
        <w:pStyle w:val="Prrafodelista"/>
        <w:numPr>
          <w:ilvl w:val="1"/>
          <w:numId w:val="1"/>
        </w:numPr>
        <w:tabs>
          <w:tab w:val="left" w:pos="2268"/>
        </w:tabs>
        <w:spacing w:after="0" w:line="276" w:lineRule="auto"/>
        <w:ind w:left="0" w:firstLine="1701"/>
        <w:jc w:val="both"/>
        <w:rPr>
          <w:rFonts w:ascii="Gadugi" w:eastAsia="Malgun Gothic" w:hAnsi="Gadugi" w:cs="Estrangelo Edessa"/>
          <w:b/>
          <w:sz w:val="24"/>
          <w:szCs w:val="24"/>
        </w:rPr>
      </w:pPr>
      <w:r w:rsidRPr="00E534DB">
        <w:rPr>
          <w:rFonts w:ascii="Gadugi" w:eastAsia="Malgun Gothic" w:hAnsi="Gadugi" w:cs="Estrangelo Edessa"/>
          <w:b/>
          <w:sz w:val="24"/>
          <w:szCs w:val="24"/>
        </w:rPr>
        <w:t>Hechos</w:t>
      </w:r>
      <w:r w:rsidR="00F659A4" w:rsidRPr="00E534DB">
        <w:rPr>
          <w:rStyle w:val="Refdenotaalpie"/>
          <w:rFonts w:ascii="Gadugi" w:eastAsia="Malgun Gothic" w:hAnsi="Gadugi" w:cs="Estrangelo Edessa"/>
          <w:b/>
          <w:sz w:val="24"/>
          <w:szCs w:val="24"/>
        </w:rPr>
        <w:footnoteReference w:id="3"/>
      </w:r>
      <w:r w:rsidRPr="00E534DB">
        <w:rPr>
          <w:rFonts w:ascii="Gadugi" w:eastAsia="Malgun Gothic" w:hAnsi="Gadugi" w:cs="Estrangelo Edessa"/>
          <w:b/>
          <w:sz w:val="24"/>
          <w:szCs w:val="24"/>
        </w:rPr>
        <w:t xml:space="preserve"> </w:t>
      </w:r>
    </w:p>
    <w:p w14:paraId="49A114FD" w14:textId="77777777" w:rsidR="00152EDA" w:rsidRPr="00E534DB" w:rsidRDefault="00152EDA" w:rsidP="00E534DB">
      <w:pPr>
        <w:pStyle w:val="Prrafodelista"/>
        <w:tabs>
          <w:tab w:val="left" w:pos="2835"/>
        </w:tabs>
        <w:spacing w:after="0" w:line="276" w:lineRule="auto"/>
        <w:ind w:left="1701"/>
        <w:jc w:val="both"/>
        <w:rPr>
          <w:rFonts w:ascii="Gadugi" w:eastAsia="Malgun Gothic" w:hAnsi="Gadugi" w:cs="Estrangelo Edessa"/>
          <w:b/>
          <w:sz w:val="24"/>
          <w:szCs w:val="24"/>
        </w:rPr>
      </w:pPr>
    </w:p>
    <w:p w14:paraId="7FE0EAE6" w14:textId="79810568" w:rsidR="00E51D29" w:rsidRPr="00E534DB" w:rsidRDefault="00E7370A" w:rsidP="00E534DB">
      <w:pPr>
        <w:spacing w:after="0" w:line="276" w:lineRule="auto"/>
        <w:ind w:firstLine="1701"/>
        <w:contextualSpacing/>
        <w:jc w:val="both"/>
        <w:rPr>
          <w:rFonts w:ascii="Gadugi" w:eastAsia="Malgun Gothic" w:hAnsi="Gadugi" w:cs="Estrangelo Edessa"/>
          <w:sz w:val="24"/>
          <w:szCs w:val="24"/>
        </w:rPr>
      </w:pPr>
      <w:r w:rsidRPr="00E534DB">
        <w:rPr>
          <w:rFonts w:ascii="Gadugi" w:eastAsia="Malgun Gothic" w:hAnsi="Gadugi" w:cs="Estrangelo Edessa"/>
          <w:sz w:val="24"/>
          <w:szCs w:val="24"/>
        </w:rPr>
        <w:t xml:space="preserve">Narran los demandantes que entre Lucelly del Socorro </w:t>
      </w:r>
      <w:r w:rsidR="00B408F5" w:rsidRPr="00E534DB">
        <w:rPr>
          <w:rFonts w:ascii="Gadugi" w:eastAsia="Malgun Gothic" w:hAnsi="Gadugi" w:cs="Estrangelo Edessa"/>
          <w:sz w:val="24"/>
          <w:szCs w:val="24"/>
        </w:rPr>
        <w:t xml:space="preserve">Arteaga </w:t>
      </w:r>
      <w:r w:rsidRPr="00E534DB">
        <w:rPr>
          <w:rFonts w:ascii="Gadugi" w:eastAsia="Malgun Gothic" w:hAnsi="Gadugi" w:cs="Estrangelo Edessa"/>
          <w:sz w:val="24"/>
          <w:szCs w:val="24"/>
        </w:rPr>
        <w:t xml:space="preserve">y EFIGAS </w:t>
      </w:r>
      <w:r w:rsidR="00B408F5" w:rsidRPr="00E534DB">
        <w:rPr>
          <w:rFonts w:ascii="Gadugi" w:eastAsia="Malgun Gothic" w:hAnsi="Gadugi" w:cs="Estrangelo Edessa"/>
          <w:sz w:val="24"/>
          <w:szCs w:val="24"/>
        </w:rPr>
        <w:t xml:space="preserve">GAS NATURAL </w:t>
      </w:r>
      <w:r w:rsidRPr="00E534DB">
        <w:rPr>
          <w:rFonts w:ascii="Gadugi" w:eastAsia="Malgun Gothic" w:hAnsi="Gadugi" w:cs="Estrangelo Edessa"/>
          <w:sz w:val="24"/>
          <w:szCs w:val="24"/>
        </w:rPr>
        <w:t>S.A. E.S.P., se celebró contrato de prestación de servicio de gas domiciliario para la vivienda ubicada en la casa 23 manzana 6 del Barrio Luis Carlos Galán Sarmiento de Dosquebradas</w:t>
      </w:r>
      <w:r w:rsidR="00972519" w:rsidRPr="00E534DB">
        <w:rPr>
          <w:rFonts w:ascii="Gadugi" w:eastAsia="Malgun Gothic" w:hAnsi="Gadugi" w:cs="Estrangelo Edessa"/>
          <w:sz w:val="24"/>
          <w:szCs w:val="24"/>
        </w:rPr>
        <w:t>, c</w:t>
      </w:r>
      <w:r w:rsidRPr="00E534DB">
        <w:rPr>
          <w:rFonts w:ascii="Gadugi" w:eastAsia="Malgun Gothic" w:hAnsi="Gadugi" w:cs="Estrangelo Edessa"/>
          <w:sz w:val="24"/>
          <w:szCs w:val="24"/>
        </w:rPr>
        <w:t>uya instalación se efectuó el 18 de abril de 2008 con matrícula de gas 128804.</w:t>
      </w:r>
    </w:p>
    <w:p w14:paraId="0D0B940D" w14:textId="77777777" w:rsidR="00E7370A" w:rsidRPr="00E534DB" w:rsidRDefault="00E7370A" w:rsidP="00E534DB">
      <w:pPr>
        <w:spacing w:after="0" w:line="276" w:lineRule="auto"/>
        <w:ind w:firstLine="1701"/>
        <w:contextualSpacing/>
        <w:jc w:val="both"/>
        <w:rPr>
          <w:rFonts w:ascii="Gadugi" w:eastAsia="Malgun Gothic" w:hAnsi="Gadugi" w:cs="Estrangelo Edessa"/>
          <w:sz w:val="24"/>
          <w:szCs w:val="24"/>
        </w:rPr>
      </w:pPr>
    </w:p>
    <w:p w14:paraId="25667E00" w14:textId="77777777" w:rsidR="003F29C8" w:rsidRPr="00E534DB" w:rsidRDefault="00803B2A" w:rsidP="00E534DB">
      <w:pPr>
        <w:spacing w:after="0" w:line="276" w:lineRule="auto"/>
        <w:ind w:firstLine="1701"/>
        <w:contextualSpacing/>
        <w:jc w:val="both"/>
        <w:rPr>
          <w:rFonts w:ascii="Gadugi" w:eastAsia="Malgun Gothic" w:hAnsi="Gadugi" w:cs="Estrangelo Edessa"/>
          <w:sz w:val="24"/>
          <w:szCs w:val="24"/>
        </w:rPr>
      </w:pPr>
      <w:r w:rsidRPr="00E534DB">
        <w:rPr>
          <w:rFonts w:ascii="Gadugi" w:eastAsia="Malgun Gothic" w:hAnsi="Gadugi" w:cs="Estrangelo Edessa"/>
          <w:sz w:val="24"/>
          <w:szCs w:val="24"/>
        </w:rPr>
        <w:t>El</w:t>
      </w:r>
      <w:r w:rsidR="00166597" w:rsidRPr="00E534DB">
        <w:rPr>
          <w:rFonts w:ascii="Gadugi" w:eastAsia="Malgun Gothic" w:hAnsi="Gadugi" w:cs="Estrangelo Edessa"/>
          <w:sz w:val="24"/>
          <w:szCs w:val="24"/>
        </w:rPr>
        <w:t xml:space="preserve"> 9 de febrero de 2010</w:t>
      </w:r>
      <w:r w:rsidRPr="00E534DB">
        <w:rPr>
          <w:rFonts w:ascii="Gadugi" w:eastAsia="Malgun Gothic" w:hAnsi="Gadugi" w:cs="Estrangelo Edessa"/>
          <w:sz w:val="24"/>
          <w:szCs w:val="24"/>
        </w:rPr>
        <w:t>, a tempranas horas, ella y su hija Lina María advirtieron un fuerte olor, buscaron, pero no hallaron nada</w:t>
      </w:r>
      <w:r w:rsidR="003F29C8" w:rsidRPr="00E534DB">
        <w:rPr>
          <w:rFonts w:ascii="Gadugi" w:eastAsia="Malgun Gothic" w:hAnsi="Gadugi" w:cs="Estrangelo Edessa"/>
          <w:sz w:val="24"/>
          <w:szCs w:val="24"/>
        </w:rPr>
        <w:t xml:space="preserve">; tampoco su cónyuge </w:t>
      </w:r>
      <w:proofErr w:type="spellStart"/>
      <w:r w:rsidR="003F29C8" w:rsidRPr="00E534DB">
        <w:rPr>
          <w:rFonts w:ascii="Gadugi" w:eastAsia="Malgun Gothic" w:hAnsi="Gadugi" w:cs="Estrangelo Edessa"/>
          <w:sz w:val="24"/>
          <w:szCs w:val="24"/>
        </w:rPr>
        <w:t>Helmer</w:t>
      </w:r>
      <w:proofErr w:type="spellEnd"/>
      <w:r w:rsidR="003F29C8" w:rsidRPr="00E534DB">
        <w:rPr>
          <w:rFonts w:ascii="Gadugi" w:eastAsia="Malgun Gothic" w:hAnsi="Gadugi" w:cs="Estrangelo Edessa"/>
          <w:sz w:val="24"/>
          <w:szCs w:val="24"/>
        </w:rPr>
        <w:t xml:space="preserve"> González. Más tarde, ese mismo día, fueron ingresados Lucelly del Socorro, </w:t>
      </w:r>
      <w:proofErr w:type="spellStart"/>
      <w:r w:rsidR="003F29C8" w:rsidRPr="00E534DB">
        <w:rPr>
          <w:rFonts w:ascii="Gadugi" w:eastAsia="Malgun Gothic" w:hAnsi="Gadugi" w:cs="Estrangelo Edessa"/>
          <w:sz w:val="24"/>
          <w:szCs w:val="24"/>
        </w:rPr>
        <w:t>Helmer</w:t>
      </w:r>
      <w:proofErr w:type="spellEnd"/>
      <w:r w:rsidR="003F29C8" w:rsidRPr="00E534DB">
        <w:rPr>
          <w:rFonts w:ascii="Gadugi" w:eastAsia="Malgun Gothic" w:hAnsi="Gadugi" w:cs="Estrangelo Edessa"/>
          <w:sz w:val="24"/>
          <w:szCs w:val="24"/>
        </w:rPr>
        <w:t xml:space="preserve"> y Daniela González, también hija, al servicio de urgencias del Hospital Santa Mónica de Dosquebradas. Aquella, con crisis de pánico y trauma en tórax; el siguiente con síntomas de ansiedad, dolor en la espalda y herida en pabellón auricular izquierdo; y la última con laceraciones en codos, rodillas y traumatismo de miembro superior.</w:t>
      </w:r>
    </w:p>
    <w:p w14:paraId="601FBD33" w14:textId="77777777" w:rsidR="003F29C8" w:rsidRPr="00E534DB" w:rsidRDefault="003F29C8" w:rsidP="00E534DB">
      <w:pPr>
        <w:spacing w:after="0" w:line="276" w:lineRule="auto"/>
        <w:ind w:firstLine="1701"/>
        <w:contextualSpacing/>
        <w:jc w:val="both"/>
        <w:rPr>
          <w:rFonts w:ascii="Gadugi" w:eastAsia="Malgun Gothic" w:hAnsi="Gadugi" w:cs="Estrangelo Edessa"/>
          <w:sz w:val="24"/>
          <w:szCs w:val="24"/>
        </w:rPr>
      </w:pPr>
    </w:p>
    <w:p w14:paraId="2B908F48" w14:textId="77777777" w:rsidR="00D2179E" w:rsidRPr="00E534DB" w:rsidRDefault="003F29C8" w:rsidP="00E534DB">
      <w:pPr>
        <w:spacing w:after="0" w:line="276" w:lineRule="auto"/>
        <w:ind w:firstLine="1701"/>
        <w:contextualSpacing/>
        <w:jc w:val="both"/>
        <w:rPr>
          <w:rFonts w:ascii="Gadugi" w:eastAsia="Malgun Gothic" w:hAnsi="Gadugi" w:cs="Estrangelo Edessa"/>
          <w:sz w:val="24"/>
          <w:szCs w:val="24"/>
        </w:rPr>
      </w:pPr>
      <w:r w:rsidRPr="00E534DB">
        <w:rPr>
          <w:rFonts w:ascii="Gadugi" w:eastAsia="Malgun Gothic" w:hAnsi="Gadugi" w:cs="Estrangelo Edessa"/>
          <w:sz w:val="24"/>
          <w:szCs w:val="24"/>
        </w:rPr>
        <w:t>Ello derivó del desplome de su casa de habitación y de la edificación contigua, donde se registró una fuga de gas domiciliario</w:t>
      </w:r>
      <w:r w:rsidR="00D2179E" w:rsidRPr="00E534DB">
        <w:rPr>
          <w:rFonts w:ascii="Gadugi" w:eastAsia="Malgun Gothic" w:hAnsi="Gadugi" w:cs="Estrangelo Edessa"/>
          <w:sz w:val="24"/>
          <w:szCs w:val="24"/>
        </w:rPr>
        <w:t xml:space="preserve"> que, se pudo verificar después, ocasionó una explosión. </w:t>
      </w:r>
    </w:p>
    <w:p w14:paraId="1367CDD0" w14:textId="77777777" w:rsidR="00D2179E" w:rsidRPr="00E534DB" w:rsidRDefault="00D2179E" w:rsidP="00E534DB">
      <w:pPr>
        <w:spacing w:after="0" w:line="276" w:lineRule="auto"/>
        <w:ind w:firstLine="1701"/>
        <w:contextualSpacing/>
        <w:jc w:val="both"/>
        <w:rPr>
          <w:rFonts w:ascii="Gadugi" w:eastAsia="Malgun Gothic" w:hAnsi="Gadugi" w:cs="Estrangelo Edessa"/>
          <w:sz w:val="24"/>
          <w:szCs w:val="24"/>
        </w:rPr>
      </w:pPr>
    </w:p>
    <w:p w14:paraId="051FE84F" w14:textId="3205DE7B" w:rsidR="003F29C8" w:rsidRPr="00E534DB" w:rsidRDefault="00D2179E" w:rsidP="00E534DB">
      <w:pPr>
        <w:spacing w:after="0" w:line="276" w:lineRule="auto"/>
        <w:ind w:firstLine="1701"/>
        <w:contextualSpacing/>
        <w:jc w:val="both"/>
        <w:rPr>
          <w:rFonts w:ascii="Gadugi" w:eastAsia="Malgun Gothic" w:hAnsi="Gadugi" w:cs="Estrangelo Edessa"/>
          <w:sz w:val="24"/>
          <w:szCs w:val="24"/>
        </w:rPr>
      </w:pPr>
      <w:r w:rsidRPr="00E534DB">
        <w:rPr>
          <w:rFonts w:ascii="Gadugi" w:eastAsia="Malgun Gothic" w:hAnsi="Gadugi" w:cs="Estrangelo Edessa"/>
          <w:sz w:val="24"/>
          <w:szCs w:val="24"/>
        </w:rPr>
        <w:t>El olor había sido detectado por los residentes del inmueble adyacente</w:t>
      </w:r>
      <w:r w:rsidR="00972519" w:rsidRPr="00E534DB">
        <w:rPr>
          <w:rFonts w:ascii="Gadugi" w:eastAsia="Malgun Gothic" w:hAnsi="Gadugi" w:cs="Estrangelo Edessa"/>
          <w:sz w:val="24"/>
          <w:szCs w:val="24"/>
        </w:rPr>
        <w:t xml:space="preserve"> y</w:t>
      </w:r>
      <w:r w:rsidRPr="00E534DB">
        <w:rPr>
          <w:rFonts w:ascii="Gadugi" w:eastAsia="Malgun Gothic" w:hAnsi="Gadugi" w:cs="Estrangelo Edessa"/>
          <w:sz w:val="24"/>
          <w:szCs w:val="24"/>
        </w:rPr>
        <w:t xml:space="preserve"> uno de los fallecidos </w:t>
      </w:r>
      <w:r w:rsidR="00972519" w:rsidRPr="00E534DB">
        <w:rPr>
          <w:rFonts w:ascii="Gadugi" w:eastAsia="Malgun Gothic" w:hAnsi="Gadugi" w:cs="Estrangelo Edessa"/>
          <w:sz w:val="24"/>
          <w:szCs w:val="24"/>
        </w:rPr>
        <w:t>informó</w:t>
      </w:r>
      <w:r w:rsidRPr="00E534DB">
        <w:rPr>
          <w:rFonts w:ascii="Gadugi" w:eastAsia="Malgun Gothic" w:hAnsi="Gadugi" w:cs="Estrangelo Edessa"/>
          <w:sz w:val="24"/>
          <w:szCs w:val="24"/>
        </w:rPr>
        <w:t xml:space="preserve"> de ello a la Empresa </w:t>
      </w:r>
      <w:proofErr w:type="spellStart"/>
      <w:r w:rsidRPr="00E534DB">
        <w:rPr>
          <w:rFonts w:ascii="Gadugi" w:eastAsia="Malgun Gothic" w:hAnsi="Gadugi" w:cs="Estrangelo Edessa"/>
          <w:sz w:val="24"/>
          <w:szCs w:val="24"/>
        </w:rPr>
        <w:t>Efigas</w:t>
      </w:r>
      <w:proofErr w:type="spellEnd"/>
      <w:r w:rsidRPr="00E534DB">
        <w:rPr>
          <w:rFonts w:ascii="Gadugi" w:eastAsia="Malgun Gothic" w:hAnsi="Gadugi" w:cs="Estrangelo Edessa"/>
          <w:sz w:val="24"/>
          <w:szCs w:val="24"/>
        </w:rPr>
        <w:t xml:space="preserve">, sin que se realizara gestión alguna por parte de la entidad. </w:t>
      </w:r>
    </w:p>
    <w:p w14:paraId="5FD0EF77" w14:textId="6D7FA223" w:rsidR="00D2179E" w:rsidRPr="00E534DB" w:rsidRDefault="00D2179E" w:rsidP="00E534DB">
      <w:pPr>
        <w:spacing w:after="0" w:line="276" w:lineRule="auto"/>
        <w:ind w:firstLine="1701"/>
        <w:contextualSpacing/>
        <w:jc w:val="both"/>
        <w:rPr>
          <w:rFonts w:ascii="Gadugi" w:eastAsia="Malgun Gothic" w:hAnsi="Gadugi" w:cs="Estrangelo Edessa"/>
          <w:sz w:val="24"/>
          <w:szCs w:val="24"/>
        </w:rPr>
      </w:pPr>
    </w:p>
    <w:p w14:paraId="4657F2F1" w14:textId="1A3AFBE3" w:rsidR="00F87387" w:rsidRPr="00E534DB" w:rsidRDefault="00D2179E" w:rsidP="00E534DB">
      <w:pPr>
        <w:spacing w:after="0" w:line="276" w:lineRule="auto"/>
        <w:ind w:firstLine="1701"/>
        <w:contextualSpacing/>
        <w:jc w:val="both"/>
        <w:rPr>
          <w:rFonts w:ascii="Gadugi" w:eastAsia="Malgun Gothic" w:hAnsi="Gadugi" w:cs="Estrangelo Edessa"/>
          <w:sz w:val="24"/>
          <w:szCs w:val="24"/>
        </w:rPr>
      </w:pPr>
      <w:r w:rsidRPr="00E534DB">
        <w:rPr>
          <w:rFonts w:ascii="Gadugi" w:eastAsia="Malgun Gothic" w:hAnsi="Gadugi" w:cs="Estrangelo Edessa"/>
          <w:sz w:val="24"/>
          <w:szCs w:val="24"/>
        </w:rPr>
        <w:t xml:space="preserve">La explosión causó daños a la vivienda, </w:t>
      </w:r>
      <w:r w:rsidR="00F87387" w:rsidRPr="00E534DB">
        <w:rPr>
          <w:rFonts w:ascii="Gadugi" w:eastAsia="Malgun Gothic" w:hAnsi="Gadugi" w:cs="Estrangelo Edessa"/>
          <w:sz w:val="24"/>
          <w:szCs w:val="24"/>
        </w:rPr>
        <w:t>de propiedad de la señora Luce</w:t>
      </w:r>
      <w:r w:rsidR="003400E7" w:rsidRPr="00E534DB">
        <w:rPr>
          <w:rFonts w:ascii="Gadugi" w:eastAsia="Malgun Gothic" w:hAnsi="Gadugi" w:cs="Estrangelo Edessa"/>
          <w:sz w:val="24"/>
          <w:szCs w:val="24"/>
        </w:rPr>
        <w:t>lly del Socorro Arteaga Montoya</w:t>
      </w:r>
      <w:r w:rsidRPr="00E534DB">
        <w:rPr>
          <w:rFonts w:ascii="Gadugi" w:eastAsia="Malgun Gothic" w:hAnsi="Gadugi" w:cs="Estrangelo Edessa"/>
          <w:sz w:val="24"/>
          <w:szCs w:val="24"/>
        </w:rPr>
        <w:t xml:space="preserve">, donde también tenía </w:t>
      </w:r>
      <w:proofErr w:type="spellStart"/>
      <w:r w:rsidRPr="00E534DB">
        <w:rPr>
          <w:rFonts w:ascii="Gadugi" w:eastAsia="Malgun Gothic" w:hAnsi="Gadugi" w:cs="Estrangelo Edessa"/>
          <w:sz w:val="24"/>
          <w:szCs w:val="24"/>
        </w:rPr>
        <w:t>Helmer</w:t>
      </w:r>
      <w:proofErr w:type="spellEnd"/>
      <w:r w:rsidRPr="00E534DB">
        <w:rPr>
          <w:rFonts w:ascii="Gadugi" w:eastAsia="Malgun Gothic" w:hAnsi="Gadugi" w:cs="Estrangelo Edessa"/>
          <w:sz w:val="24"/>
          <w:szCs w:val="24"/>
        </w:rPr>
        <w:t xml:space="preserve"> su sitio de trabajo</w:t>
      </w:r>
      <w:r w:rsidR="00746449" w:rsidRPr="00E534DB">
        <w:rPr>
          <w:rFonts w:ascii="Gadugi" w:eastAsia="Malgun Gothic" w:hAnsi="Gadugi" w:cs="Estrangelo Edessa"/>
          <w:sz w:val="24"/>
          <w:szCs w:val="24"/>
        </w:rPr>
        <w:t xml:space="preserve">, destruido; igual ocurrió con los implementos de trabajo de Lucelly, quien vendía comestibles de manera ambulatoria. </w:t>
      </w:r>
    </w:p>
    <w:p w14:paraId="3DEEC669" w14:textId="77777777" w:rsidR="003400E7" w:rsidRPr="00E534DB" w:rsidRDefault="003400E7" w:rsidP="00E534DB">
      <w:pPr>
        <w:spacing w:after="0" w:line="276" w:lineRule="auto"/>
        <w:ind w:firstLine="1701"/>
        <w:contextualSpacing/>
        <w:jc w:val="both"/>
        <w:rPr>
          <w:rFonts w:ascii="Gadugi" w:eastAsia="Malgun Gothic" w:hAnsi="Gadugi" w:cs="Estrangelo Edessa"/>
          <w:sz w:val="24"/>
          <w:szCs w:val="24"/>
        </w:rPr>
      </w:pPr>
    </w:p>
    <w:p w14:paraId="00D47C00" w14:textId="6FBD9DDA" w:rsidR="00332392" w:rsidRPr="00E534DB" w:rsidRDefault="00B93F17" w:rsidP="00E534DB">
      <w:pPr>
        <w:spacing w:after="0" w:line="276" w:lineRule="auto"/>
        <w:ind w:firstLine="1701"/>
        <w:contextualSpacing/>
        <w:jc w:val="both"/>
        <w:rPr>
          <w:rFonts w:ascii="Gadugi" w:eastAsia="Malgun Gothic" w:hAnsi="Gadugi" w:cs="Estrangelo Edessa"/>
          <w:sz w:val="24"/>
          <w:szCs w:val="24"/>
        </w:rPr>
      </w:pPr>
      <w:r w:rsidRPr="00E534DB">
        <w:rPr>
          <w:rFonts w:ascii="Gadugi" w:eastAsia="Malgun Gothic" w:hAnsi="Gadugi" w:cs="Estrangelo Edessa"/>
          <w:sz w:val="24"/>
          <w:szCs w:val="24"/>
        </w:rPr>
        <w:t>Concluyen</w:t>
      </w:r>
      <w:r w:rsidR="00A85221" w:rsidRPr="00E534DB">
        <w:rPr>
          <w:rFonts w:ascii="Gadugi" w:eastAsia="Malgun Gothic" w:hAnsi="Gadugi" w:cs="Estrangelo Edessa"/>
          <w:sz w:val="24"/>
          <w:szCs w:val="24"/>
        </w:rPr>
        <w:t xml:space="preserve"> que</w:t>
      </w:r>
      <w:r w:rsidR="00746449" w:rsidRPr="00E534DB">
        <w:rPr>
          <w:rFonts w:ascii="Gadugi" w:eastAsia="Malgun Gothic" w:hAnsi="Gadugi" w:cs="Estrangelo Edessa"/>
          <w:sz w:val="24"/>
          <w:szCs w:val="24"/>
        </w:rPr>
        <w:t>,</w:t>
      </w:r>
      <w:r w:rsidR="00A85221" w:rsidRPr="00E534DB">
        <w:rPr>
          <w:rFonts w:ascii="Gadugi" w:eastAsia="Malgun Gothic" w:hAnsi="Gadugi" w:cs="Estrangelo Edessa"/>
          <w:sz w:val="24"/>
          <w:szCs w:val="24"/>
        </w:rPr>
        <w:t xml:space="preserve"> como consecuencia de la explosión, </w:t>
      </w:r>
      <w:r w:rsidRPr="00E534DB">
        <w:rPr>
          <w:rFonts w:ascii="Gadugi" w:eastAsia="Malgun Gothic" w:hAnsi="Gadugi" w:cs="Estrangelo Edessa"/>
          <w:sz w:val="24"/>
          <w:szCs w:val="24"/>
        </w:rPr>
        <w:t>se vieron afectados directamente</w:t>
      </w:r>
      <w:r w:rsidR="00B843D9" w:rsidRPr="00E534DB">
        <w:rPr>
          <w:rFonts w:ascii="Gadugi" w:eastAsia="Malgun Gothic" w:hAnsi="Gadugi" w:cs="Estrangelo Edessa"/>
          <w:sz w:val="24"/>
          <w:szCs w:val="24"/>
        </w:rPr>
        <w:t xml:space="preserve"> en su núcleo familiar y en su calidad de vida al ser privados de los ingresos que devengaban para su subsistencia. </w:t>
      </w:r>
    </w:p>
    <w:p w14:paraId="45FB0818" w14:textId="77777777" w:rsidR="00E7370A" w:rsidRPr="00E534DB" w:rsidRDefault="00E7370A" w:rsidP="00E534DB">
      <w:pPr>
        <w:spacing w:after="0" w:line="276" w:lineRule="auto"/>
        <w:ind w:firstLine="1701"/>
        <w:contextualSpacing/>
        <w:jc w:val="both"/>
        <w:rPr>
          <w:rFonts w:ascii="Gadugi" w:hAnsi="Gadugi"/>
          <w:sz w:val="24"/>
          <w:szCs w:val="24"/>
        </w:rPr>
      </w:pPr>
    </w:p>
    <w:p w14:paraId="7517BB07" w14:textId="1C8667D9" w:rsidR="006D3AE7" w:rsidRPr="00E534DB" w:rsidRDefault="006D3AE7" w:rsidP="00E534DB">
      <w:pPr>
        <w:pStyle w:val="Prrafodelista"/>
        <w:numPr>
          <w:ilvl w:val="1"/>
          <w:numId w:val="1"/>
        </w:numPr>
        <w:tabs>
          <w:tab w:val="left" w:pos="2268"/>
        </w:tabs>
        <w:spacing w:after="0" w:line="276" w:lineRule="auto"/>
        <w:ind w:left="0" w:firstLine="1701"/>
        <w:jc w:val="both"/>
        <w:rPr>
          <w:rStyle w:val="normaltextrun"/>
          <w:rFonts w:ascii="Gadugi" w:eastAsia="Malgun Gothic" w:hAnsi="Gadugi" w:cs="Estrangelo Edessa"/>
          <w:b/>
          <w:sz w:val="24"/>
          <w:szCs w:val="24"/>
        </w:rPr>
      </w:pPr>
      <w:r w:rsidRPr="00E534DB">
        <w:rPr>
          <w:rFonts w:ascii="Gadugi" w:eastAsia="Calibri" w:hAnsi="Gadugi" w:cs="Times New Roman"/>
          <w:b/>
          <w:sz w:val="24"/>
          <w:szCs w:val="24"/>
        </w:rPr>
        <w:t>Pretensiones</w:t>
      </w:r>
      <w:r w:rsidR="00F659A4" w:rsidRPr="00E534DB">
        <w:rPr>
          <w:rStyle w:val="Refdenotaalpie"/>
          <w:rFonts w:ascii="Gadugi" w:eastAsia="Calibri" w:hAnsi="Gadugi" w:cs="Times New Roman"/>
          <w:b/>
          <w:sz w:val="24"/>
          <w:szCs w:val="24"/>
        </w:rPr>
        <w:footnoteReference w:id="4"/>
      </w:r>
    </w:p>
    <w:p w14:paraId="049F31CB" w14:textId="77777777" w:rsidR="006D3AE7" w:rsidRPr="00E534DB" w:rsidRDefault="006D3AE7" w:rsidP="00E534DB">
      <w:pPr>
        <w:pStyle w:val="Prrafodelista"/>
        <w:tabs>
          <w:tab w:val="left" w:pos="3402"/>
        </w:tabs>
        <w:spacing w:after="0" w:line="276" w:lineRule="auto"/>
        <w:ind w:left="0" w:firstLine="1701"/>
        <w:jc w:val="both"/>
        <w:rPr>
          <w:rFonts w:ascii="Gadugi" w:eastAsia="Calibri" w:hAnsi="Gadugi" w:cs="Times New Roman"/>
          <w:b/>
          <w:sz w:val="24"/>
          <w:szCs w:val="24"/>
        </w:rPr>
      </w:pPr>
    </w:p>
    <w:p w14:paraId="6624E85B" w14:textId="39C0D1A7" w:rsidR="006D3AE7" w:rsidRPr="00E534DB" w:rsidRDefault="006D3AE7" w:rsidP="00E534DB">
      <w:pPr>
        <w:pStyle w:val="Prrafodelista"/>
        <w:tabs>
          <w:tab w:val="left" w:pos="3402"/>
        </w:tabs>
        <w:spacing w:after="0" w:line="276" w:lineRule="auto"/>
        <w:ind w:left="0" w:firstLine="1701"/>
        <w:jc w:val="both"/>
        <w:rPr>
          <w:rFonts w:ascii="Gadugi" w:eastAsia="Calibri" w:hAnsi="Gadugi" w:cs="Times New Roman"/>
          <w:sz w:val="24"/>
          <w:szCs w:val="24"/>
        </w:rPr>
      </w:pPr>
      <w:r w:rsidRPr="00E534DB">
        <w:rPr>
          <w:rFonts w:ascii="Gadugi" w:eastAsia="Calibri" w:hAnsi="Gadugi" w:cs="Times New Roman"/>
          <w:sz w:val="24"/>
          <w:szCs w:val="24"/>
        </w:rPr>
        <w:t>Con base en lo relatado, pid</w:t>
      </w:r>
      <w:r w:rsidR="00FE33AA" w:rsidRPr="00E534DB">
        <w:rPr>
          <w:rFonts w:ascii="Gadugi" w:eastAsia="Calibri" w:hAnsi="Gadugi" w:cs="Times New Roman"/>
          <w:sz w:val="24"/>
          <w:szCs w:val="24"/>
        </w:rPr>
        <w:t>ieron que se declarara civilmente</w:t>
      </w:r>
      <w:r w:rsidR="006D42AF" w:rsidRPr="00E534DB">
        <w:rPr>
          <w:rFonts w:ascii="Gadugi" w:eastAsia="Calibri" w:hAnsi="Gadugi" w:cs="Times New Roman"/>
          <w:sz w:val="24"/>
          <w:szCs w:val="24"/>
        </w:rPr>
        <w:t xml:space="preserve"> responsable a</w:t>
      </w:r>
      <w:r w:rsidR="00F659A4" w:rsidRPr="00E534DB">
        <w:rPr>
          <w:rFonts w:ascii="Gadugi" w:eastAsia="Calibri" w:hAnsi="Gadugi" w:cs="Times New Roman"/>
          <w:sz w:val="24"/>
          <w:szCs w:val="24"/>
        </w:rPr>
        <w:t xml:space="preserve"> la demandada </w:t>
      </w:r>
      <w:r w:rsidRPr="00E534DB">
        <w:rPr>
          <w:rFonts w:ascii="Gadugi" w:eastAsia="Calibri" w:hAnsi="Gadugi" w:cs="Times New Roman"/>
          <w:sz w:val="24"/>
          <w:szCs w:val="24"/>
        </w:rPr>
        <w:t>y, en consecuencia</w:t>
      </w:r>
      <w:r w:rsidR="00746449" w:rsidRPr="00E534DB">
        <w:rPr>
          <w:rFonts w:ascii="Gadugi" w:eastAsia="Calibri" w:hAnsi="Gadugi" w:cs="Times New Roman"/>
          <w:sz w:val="24"/>
          <w:szCs w:val="24"/>
        </w:rPr>
        <w:t>,</w:t>
      </w:r>
      <w:r w:rsidRPr="00E534DB">
        <w:rPr>
          <w:rFonts w:ascii="Gadugi" w:eastAsia="Calibri" w:hAnsi="Gadugi" w:cs="Times New Roman"/>
          <w:sz w:val="24"/>
          <w:szCs w:val="24"/>
        </w:rPr>
        <w:t xml:space="preserve"> se le condenara a pagarles los perjuicios pat</w:t>
      </w:r>
      <w:r w:rsidR="006D42AF" w:rsidRPr="00E534DB">
        <w:rPr>
          <w:rFonts w:ascii="Gadugi" w:eastAsia="Calibri" w:hAnsi="Gadugi" w:cs="Times New Roman"/>
          <w:sz w:val="24"/>
          <w:szCs w:val="24"/>
        </w:rPr>
        <w:t>rimoniales (daño emergente y lucro cesante</w:t>
      </w:r>
      <w:r w:rsidRPr="00E534DB">
        <w:rPr>
          <w:rFonts w:ascii="Gadugi" w:eastAsia="Calibri" w:hAnsi="Gadugi" w:cs="Times New Roman"/>
          <w:sz w:val="24"/>
          <w:szCs w:val="24"/>
        </w:rPr>
        <w:t>) y extrapatrimoniales (da</w:t>
      </w:r>
      <w:r w:rsidR="006D42AF" w:rsidRPr="00E534DB">
        <w:rPr>
          <w:rFonts w:ascii="Gadugi" w:eastAsia="Calibri" w:hAnsi="Gadugi" w:cs="Times New Roman"/>
          <w:sz w:val="24"/>
          <w:szCs w:val="24"/>
        </w:rPr>
        <w:t>ño moral y daño al proyecto de vida</w:t>
      </w:r>
      <w:r w:rsidRPr="00E534DB">
        <w:rPr>
          <w:rFonts w:ascii="Gadugi" w:eastAsia="Calibri" w:hAnsi="Gadugi" w:cs="Times New Roman"/>
          <w:sz w:val="24"/>
          <w:szCs w:val="24"/>
        </w:rPr>
        <w:t>)</w:t>
      </w:r>
      <w:r w:rsidR="00746449" w:rsidRPr="00E534DB">
        <w:rPr>
          <w:rFonts w:ascii="Gadugi" w:eastAsia="Calibri" w:hAnsi="Gadugi" w:cs="Times New Roman"/>
          <w:sz w:val="24"/>
          <w:szCs w:val="24"/>
        </w:rPr>
        <w:t>, que cuantificaron.</w:t>
      </w:r>
      <w:r w:rsidRPr="00E534DB">
        <w:rPr>
          <w:rFonts w:ascii="Gadugi" w:eastAsia="Calibri" w:hAnsi="Gadugi" w:cs="Times New Roman"/>
          <w:sz w:val="24"/>
          <w:szCs w:val="24"/>
        </w:rPr>
        <w:t xml:space="preserve">  </w:t>
      </w:r>
    </w:p>
    <w:p w14:paraId="53128261" w14:textId="77777777" w:rsidR="006D3AE7" w:rsidRPr="00E534DB" w:rsidRDefault="006D3AE7" w:rsidP="00E534DB">
      <w:pPr>
        <w:pStyle w:val="Prrafodelista"/>
        <w:tabs>
          <w:tab w:val="left" w:pos="3402"/>
        </w:tabs>
        <w:spacing w:after="0" w:line="276" w:lineRule="auto"/>
        <w:ind w:left="0" w:firstLine="1701"/>
        <w:jc w:val="both"/>
        <w:rPr>
          <w:rFonts w:ascii="Gadugi" w:eastAsia="Calibri" w:hAnsi="Gadugi" w:cs="Times New Roman"/>
          <w:sz w:val="24"/>
          <w:szCs w:val="24"/>
        </w:rPr>
      </w:pPr>
    </w:p>
    <w:p w14:paraId="0E91A543" w14:textId="77777777" w:rsidR="006D3AE7" w:rsidRPr="00E534DB" w:rsidRDefault="008176ED" w:rsidP="00E534DB">
      <w:pPr>
        <w:pStyle w:val="Prrafodelista"/>
        <w:numPr>
          <w:ilvl w:val="1"/>
          <w:numId w:val="1"/>
        </w:numPr>
        <w:tabs>
          <w:tab w:val="left" w:pos="2268"/>
        </w:tabs>
        <w:spacing w:after="0" w:line="276" w:lineRule="auto"/>
        <w:ind w:left="0" w:firstLine="1701"/>
        <w:jc w:val="both"/>
        <w:rPr>
          <w:rFonts w:ascii="Gadugi" w:eastAsia="Calibri" w:hAnsi="Gadugi" w:cs="Times New Roman"/>
          <w:b/>
          <w:sz w:val="24"/>
          <w:szCs w:val="24"/>
        </w:rPr>
      </w:pPr>
      <w:r w:rsidRPr="00E534DB">
        <w:rPr>
          <w:rFonts w:ascii="Gadugi" w:eastAsia="Calibri" w:hAnsi="Gadugi" w:cs="Times New Roman"/>
          <w:b/>
          <w:sz w:val="24"/>
          <w:szCs w:val="24"/>
        </w:rPr>
        <w:t>Trámite.</w:t>
      </w:r>
    </w:p>
    <w:p w14:paraId="4101652C" w14:textId="77777777" w:rsidR="006D3AE7" w:rsidRPr="00E534DB" w:rsidRDefault="006D3AE7" w:rsidP="00E534DB">
      <w:pPr>
        <w:pStyle w:val="Prrafodelista"/>
        <w:tabs>
          <w:tab w:val="left" w:pos="3402"/>
        </w:tabs>
        <w:spacing w:after="0" w:line="276" w:lineRule="auto"/>
        <w:ind w:left="0" w:firstLine="1701"/>
        <w:jc w:val="both"/>
        <w:rPr>
          <w:rStyle w:val="normaltextrun"/>
          <w:rFonts w:ascii="Gadugi" w:eastAsia="Malgun Gothic" w:hAnsi="Gadugi" w:cs="Estrangelo Edessa"/>
          <w:b/>
          <w:sz w:val="24"/>
          <w:szCs w:val="24"/>
        </w:rPr>
      </w:pPr>
    </w:p>
    <w:p w14:paraId="3C1F61DA" w14:textId="28F377CD" w:rsidR="002F30A2" w:rsidRPr="00E534DB" w:rsidRDefault="008176ED" w:rsidP="00E534DB">
      <w:pPr>
        <w:spacing w:line="276" w:lineRule="auto"/>
        <w:ind w:firstLine="1701"/>
        <w:contextualSpacing/>
        <w:jc w:val="both"/>
        <w:rPr>
          <w:rFonts w:ascii="Gadugi" w:eastAsia="Calibri" w:hAnsi="Gadugi" w:cs="Times New Roman"/>
          <w:sz w:val="24"/>
          <w:szCs w:val="24"/>
        </w:rPr>
      </w:pPr>
      <w:r w:rsidRPr="00E534DB">
        <w:rPr>
          <w:rFonts w:ascii="Gadugi" w:eastAsia="Calibri" w:hAnsi="Gadugi" w:cs="Times New Roman"/>
          <w:sz w:val="24"/>
          <w:szCs w:val="24"/>
        </w:rPr>
        <w:t>La demanda fue admitida por el Juzgado Civil del Circuito de Dosquebradas con auto del 2</w:t>
      </w:r>
      <w:r w:rsidR="005757D8" w:rsidRPr="00E534DB">
        <w:rPr>
          <w:rFonts w:ascii="Gadugi" w:eastAsia="Calibri" w:hAnsi="Gadugi" w:cs="Times New Roman"/>
          <w:sz w:val="24"/>
          <w:szCs w:val="24"/>
        </w:rPr>
        <w:t>9</w:t>
      </w:r>
      <w:r w:rsidRPr="00E534DB">
        <w:rPr>
          <w:rFonts w:ascii="Gadugi" w:eastAsia="Calibri" w:hAnsi="Gadugi" w:cs="Times New Roman"/>
          <w:sz w:val="24"/>
          <w:szCs w:val="24"/>
        </w:rPr>
        <w:t xml:space="preserve"> de </w:t>
      </w:r>
      <w:r w:rsidR="005757D8" w:rsidRPr="00E534DB">
        <w:rPr>
          <w:rFonts w:ascii="Gadugi" w:eastAsia="Calibri" w:hAnsi="Gadugi" w:cs="Times New Roman"/>
          <w:sz w:val="24"/>
          <w:szCs w:val="24"/>
        </w:rPr>
        <w:t>mayo</w:t>
      </w:r>
      <w:r w:rsidRPr="00E534DB">
        <w:rPr>
          <w:rFonts w:ascii="Gadugi" w:eastAsia="Calibri" w:hAnsi="Gadugi" w:cs="Times New Roman"/>
          <w:sz w:val="24"/>
          <w:szCs w:val="24"/>
        </w:rPr>
        <w:t xml:space="preserve"> de 201</w:t>
      </w:r>
      <w:r w:rsidR="005757D8" w:rsidRPr="00E534DB">
        <w:rPr>
          <w:rFonts w:ascii="Gadugi" w:eastAsia="Calibri" w:hAnsi="Gadugi" w:cs="Times New Roman"/>
          <w:sz w:val="24"/>
          <w:szCs w:val="24"/>
        </w:rPr>
        <w:t>2</w:t>
      </w:r>
      <w:r w:rsidR="002F30A2" w:rsidRPr="00E534DB">
        <w:rPr>
          <w:rStyle w:val="Refdenotaalpie"/>
          <w:rFonts w:ascii="Gadugi" w:eastAsia="Calibri" w:hAnsi="Gadugi" w:cs="Times New Roman"/>
          <w:sz w:val="24"/>
          <w:szCs w:val="24"/>
        </w:rPr>
        <w:footnoteReference w:id="5"/>
      </w:r>
      <w:r w:rsidRPr="00E534DB">
        <w:rPr>
          <w:rFonts w:ascii="Gadugi" w:eastAsia="Calibri" w:hAnsi="Gadugi" w:cs="Times New Roman"/>
          <w:sz w:val="24"/>
          <w:szCs w:val="24"/>
        </w:rPr>
        <w:t xml:space="preserve"> </w:t>
      </w:r>
    </w:p>
    <w:p w14:paraId="7A946DB5" w14:textId="77777777" w:rsidR="00A40B13" w:rsidRPr="00E534DB" w:rsidRDefault="00A40B13" w:rsidP="00E534DB">
      <w:pPr>
        <w:spacing w:after="0" w:line="276" w:lineRule="auto"/>
        <w:contextualSpacing/>
        <w:jc w:val="both"/>
        <w:rPr>
          <w:rFonts w:ascii="Gadugi" w:eastAsia="Calibri" w:hAnsi="Gadugi" w:cs="Times New Roman"/>
          <w:sz w:val="24"/>
          <w:szCs w:val="24"/>
        </w:rPr>
      </w:pPr>
    </w:p>
    <w:p w14:paraId="2C170904" w14:textId="53A4BD7C" w:rsidR="005440E9" w:rsidRPr="00E534DB" w:rsidRDefault="00134976" w:rsidP="00E534DB">
      <w:pPr>
        <w:spacing w:after="0" w:line="276" w:lineRule="auto"/>
        <w:ind w:firstLine="1701"/>
        <w:contextualSpacing/>
        <w:jc w:val="both"/>
        <w:rPr>
          <w:rFonts w:ascii="Gadugi" w:eastAsia="Calibri" w:hAnsi="Gadugi" w:cs="Times New Roman"/>
          <w:sz w:val="24"/>
          <w:szCs w:val="24"/>
        </w:rPr>
      </w:pPr>
      <w:r w:rsidRPr="00E534DB">
        <w:rPr>
          <w:rFonts w:ascii="Gadugi" w:eastAsia="Calibri" w:hAnsi="Gadugi" w:cs="Times New Roman"/>
          <w:sz w:val="24"/>
          <w:szCs w:val="24"/>
        </w:rPr>
        <w:t>Notificad</w:t>
      </w:r>
      <w:r w:rsidR="00746449" w:rsidRPr="00E534DB">
        <w:rPr>
          <w:rFonts w:ascii="Gadugi" w:eastAsia="Calibri" w:hAnsi="Gadugi" w:cs="Times New Roman"/>
          <w:sz w:val="24"/>
          <w:szCs w:val="24"/>
        </w:rPr>
        <w:t>a</w:t>
      </w:r>
      <w:r w:rsidRPr="00E534DB">
        <w:rPr>
          <w:rFonts w:ascii="Gadugi" w:eastAsia="Calibri" w:hAnsi="Gadugi" w:cs="Times New Roman"/>
          <w:sz w:val="24"/>
          <w:szCs w:val="24"/>
        </w:rPr>
        <w:t xml:space="preserve"> </w:t>
      </w:r>
      <w:r w:rsidR="00746449" w:rsidRPr="00E534DB">
        <w:rPr>
          <w:rFonts w:ascii="Gadugi" w:eastAsia="Calibri" w:hAnsi="Gadugi" w:cs="Times New Roman"/>
          <w:sz w:val="24"/>
          <w:szCs w:val="24"/>
        </w:rPr>
        <w:t xml:space="preserve">la demandada, </w:t>
      </w:r>
      <w:r w:rsidRPr="00E534DB">
        <w:rPr>
          <w:rFonts w:ascii="Gadugi" w:eastAsia="Calibri" w:hAnsi="Gadugi" w:cs="Times New Roman"/>
          <w:sz w:val="24"/>
          <w:szCs w:val="24"/>
        </w:rPr>
        <w:t>oportunamente se pronunci</w:t>
      </w:r>
      <w:r w:rsidR="00746449" w:rsidRPr="00E534DB">
        <w:rPr>
          <w:rFonts w:ascii="Gadugi" w:eastAsia="Calibri" w:hAnsi="Gadugi" w:cs="Times New Roman"/>
          <w:sz w:val="24"/>
          <w:szCs w:val="24"/>
        </w:rPr>
        <w:t>ó</w:t>
      </w:r>
      <w:r w:rsidR="00CE1491" w:rsidRPr="00E534DB">
        <w:rPr>
          <w:rStyle w:val="Refdenotaalpie"/>
          <w:rFonts w:ascii="Gadugi" w:eastAsia="Calibri" w:hAnsi="Gadugi" w:cs="Times New Roman"/>
          <w:sz w:val="24"/>
          <w:szCs w:val="24"/>
        </w:rPr>
        <w:footnoteReference w:id="6"/>
      </w:r>
      <w:r w:rsidRPr="00E534DB">
        <w:rPr>
          <w:rFonts w:ascii="Gadugi" w:eastAsia="Calibri" w:hAnsi="Gadugi" w:cs="Times New Roman"/>
          <w:sz w:val="24"/>
          <w:szCs w:val="24"/>
        </w:rPr>
        <w:t xml:space="preserve">, </w:t>
      </w:r>
      <w:r w:rsidR="003D6C5F" w:rsidRPr="00E534DB">
        <w:rPr>
          <w:rFonts w:ascii="Gadugi" w:eastAsia="Calibri" w:hAnsi="Gadugi" w:cs="Times New Roman"/>
          <w:sz w:val="24"/>
          <w:szCs w:val="24"/>
        </w:rPr>
        <w:t xml:space="preserve">sobre </w:t>
      </w:r>
      <w:r w:rsidRPr="00E534DB">
        <w:rPr>
          <w:rFonts w:ascii="Gadugi" w:eastAsia="Calibri" w:hAnsi="Gadugi" w:cs="Times New Roman"/>
          <w:sz w:val="24"/>
          <w:szCs w:val="24"/>
        </w:rPr>
        <w:t xml:space="preserve">los </w:t>
      </w:r>
      <w:r w:rsidR="00000F6D" w:rsidRPr="00E534DB">
        <w:rPr>
          <w:rFonts w:ascii="Gadugi" w:eastAsia="Calibri" w:hAnsi="Gadugi" w:cs="Times New Roman"/>
          <w:sz w:val="24"/>
          <w:szCs w:val="24"/>
        </w:rPr>
        <w:t>hechos, se</w:t>
      </w:r>
      <w:r w:rsidRPr="00E534DB">
        <w:rPr>
          <w:rFonts w:ascii="Gadugi" w:eastAsia="Calibri" w:hAnsi="Gadugi" w:cs="Times New Roman"/>
          <w:sz w:val="24"/>
          <w:szCs w:val="24"/>
        </w:rPr>
        <w:t xml:space="preserve"> opus</w:t>
      </w:r>
      <w:r w:rsidR="00746449" w:rsidRPr="00E534DB">
        <w:rPr>
          <w:rFonts w:ascii="Gadugi" w:eastAsia="Calibri" w:hAnsi="Gadugi" w:cs="Times New Roman"/>
          <w:sz w:val="24"/>
          <w:szCs w:val="24"/>
        </w:rPr>
        <w:t>o</w:t>
      </w:r>
      <w:r w:rsidRPr="00E534DB">
        <w:rPr>
          <w:rFonts w:ascii="Gadugi" w:eastAsia="Calibri" w:hAnsi="Gadugi" w:cs="Times New Roman"/>
          <w:sz w:val="24"/>
          <w:szCs w:val="24"/>
        </w:rPr>
        <w:t xml:space="preserve"> a las pretensiones </w:t>
      </w:r>
      <w:r w:rsidR="00000F6D" w:rsidRPr="00E534DB">
        <w:rPr>
          <w:rFonts w:ascii="Gadugi" w:eastAsia="Calibri" w:hAnsi="Gadugi" w:cs="Times New Roman"/>
          <w:sz w:val="24"/>
          <w:szCs w:val="24"/>
        </w:rPr>
        <w:t xml:space="preserve">y </w:t>
      </w:r>
      <w:r w:rsidRPr="00E534DB">
        <w:rPr>
          <w:rFonts w:ascii="Gadugi" w:eastAsia="Calibri" w:hAnsi="Gadugi" w:cs="Times New Roman"/>
          <w:sz w:val="24"/>
          <w:szCs w:val="24"/>
        </w:rPr>
        <w:t>propus</w:t>
      </w:r>
      <w:r w:rsidR="00746449" w:rsidRPr="00E534DB">
        <w:rPr>
          <w:rFonts w:ascii="Gadugi" w:eastAsia="Calibri" w:hAnsi="Gadugi" w:cs="Times New Roman"/>
          <w:sz w:val="24"/>
          <w:szCs w:val="24"/>
        </w:rPr>
        <w:t>o</w:t>
      </w:r>
      <w:r w:rsidRPr="00E534DB">
        <w:rPr>
          <w:rFonts w:ascii="Gadugi" w:eastAsia="Calibri" w:hAnsi="Gadugi" w:cs="Times New Roman"/>
          <w:sz w:val="24"/>
          <w:szCs w:val="24"/>
        </w:rPr>
        <w:t xml:space="preserve"> las siguientes excepciones de mérito: </w:t>
      </w:r>
    </w:p>
    <w:p w14:paraId="1299C43A" w14:textId="77777777" w:rsidR="005440E9" w:rsidRPr="00E534DB" w:rsidRDefault="005440E9" w:rsidP="00E534DB">
      <w:pPr>
        <w:spacing w:after="0" w:line="276" w:lineRule="auto"/>
        <w:ind w:firstLine="1701"/>
        <w:contextualSpacing/>
        <w:jc w:val="both"/>
        <w:rPr>
          <w:rFonts w:ascii="Gadugi" w:eastAsia="Calibri" w:hAnsi="Gadugi" w:cs="Times New Roman"/>
          <w:sz w:val="24"/>
          <w:szCs w:val="24"/>
        </w:rPr>
      </w:pPr>
    </w:p>
    <w:p w14:paraId="577A1D00" w14:textId="5E190A13" w:rsidR="005440E9" w:rsidRPr="00E534DB" w:rsidRDefault="00C74025" w:rsidP="00E534DB">
      <w:pPr>
        <w:tabs>
          <w:tab w:val="left" w:pos="1701"/>
        </w:tabs>
        <w:spacing w:after="0" w:line="276" w:lineRule="auto"/>
        <w:jc w:val="both"/>
        <w:rPr>
          <w:rFonts w:ascii="Gadugi" w:hAnsi="Gadugi"/>
          <w:bCs/>
          <w:sz w:val="24"/>
          <w:szCs w:val="24"/>
        </w:rPr>
      </w:pPr>
      <w:r w:rsidRPr="00E534DB">
        <w:rPr>
          <w:rFonts w:ascii="Gadugi" w:eastAsia="Calibri" w:hAnsi="Gadugi" w:cs="Times New Roman"/>
          <w:sz w:val="24"/>
          <w:szCs w:val="24"/>
        </w:rPr>
        <w:t xml:space="preserve"> </w:t>
      </w:r>
      <w:r w:rsidRPr="00E534DB">
        <w:rPr>
          <w:rFonts w:ascii="Gadugi" w:eastAsia="Calibri" w:hAnsi="Gadugi" w:cs="Times New Roman"/>
          <w:sz w:val="24"/>
          <w:szCs w:val="24"/>
        </w:rPr>
        <w:tab/>
      </w:r>
      <w:r w:rsidR="00134976" w:rsidRPr="00E534DB">
        <w:rPr>
          <w:rFonts w:ascii="Gadugi" w:eastAsia="Calibri" w:hAnsi="Gadugi" w:cs="Times New Roman"/>
          <w:sz w:val="24"/>
          <w:szCs w:val="24"/>
        </w:rPr>
        <w:t>L</w:t>
      </w:r>
      <w:r w:rsidR="005440E9" w:rsidRPr="00E534DB">
        <w:rPr>
          <w:rFonts w:ascii="Gadugi" w:eastAsia="Calibri" w:hAnsi="Gadugi" w:cs="Times New Roman"/>
          <w:sz w:val="24"/>
          <w:szCs w:val="24"/>
        </w:rPr>
        <w:t xml:space="preserve">a demandada </w:t>
      </w:r>
      <w:r w:rsidR="00D364E9" w:rsidRPr="00E534DB">
        <w:rPr>
          <w:rFonts w:ascii="Gadugi" w:eastAsia="Calibri" w:hAnsi="Gadugi" w:cs="Times New Roman"/>
          <w:sz w:val="24"/>
          <w:szCs w:val="24"/>
        </w:rPr>
        <w:t>EFIGAS</w:t>
      </w:r>
      <w:r w:rsidR="005440E9" w:rsidRPr="00E534DB">
        <w:rPr>
          <w:rFonts w:ascii="Gadugi" w:eastAsia="Calibri" w:hAnsi="Gadugi" w:cs="Times New Roman"/>
          <w:sz w:val="24"/>
          <w:szCs w:val="24"/>
        </w:rPr>
        <w:t xml:space="preserve"> S.A.</w:t>
      </w:r>
      <w:r w:rsidR="00D364E9" w:rsidRPr="00E534DB">
        <w:rPr>
          <w:rFonts w:ascii="Gadugi" w:eastAsia="Calibri" w:hAnsi="Gadugi" w:cs="Times New Roman"/>
          <w:sz w:val="24"/>
          <w:szCs w:val="24"/>
        </w:rPr>
        <w:t xml:space="preserve"> E.S.P.</w:t>
      </w:r>
      <w:r w:rsidR="005440E9" w:rsidRPr="00E534DB">
        <w:rPr>
          <w:rFonts w:ascii="Gadugi" w:eastAsia="Calibri" w:hAnsi="Gadugi" w:cs="Times New Roman"/>
          <w:sz w:val="24"/>
          <w:szCs w:val="24"/>
        </w:rPr>
        <w:t xml:space="preserve"> </w:t>
      </w:r>
      <w:r w:rsidR="00134976" w:rsidRPr="00E534DB">
        <w:rPr>
          <w:rFonts w:ascii="Gadugi" w:hAnsi="Gadugi"/>
          <w:bCs/>
          <w:sz w:val="24"/>
          <w:szCs w:val="24"/>
        </w:rPr>
        <w:t xml:space="preserve">propuso: </w:t>
      </w:r>
      <w:r w:rsidR="00000F6D" w:rsidRPr="00E534DB">
        <w:rPr>
          <w:rFonts w:ascii="Gadugi" w:hAnsi="Gadugi"/>
          <w:bCs/>
          <w:sz w:val="24"/>
          <w:szCs w:val="24"/>
        </w:rPr>
        <w:t xml:space="preserve">(i) </w:t>
      </w:r>
      <w:r w:rsidR="00E11CD1" w:rsidRPr="00E534DB">
        <w:rPr>
          <w:rFonts w:ascii="Gadugi" w:hAnsi="Gadugi"/>
          <w:bCs/>
          <w:sz w:val="24"/>
          <w:szCs w:val="24"/>
        </w:rPr>
        <w:t xml:space="preserve">cumplimiento de las obligaciones a cargo de la sociedad EFIGAS </w:t>
      </w:r>
      <w:r w:rsidR="003D6C5F" w:rsidRPr="00E534DB">
        <w:rPr>
          <w:rFonts w:ascii="Gadugi" w:hAnsi="Gadugi"/>
          <w:bCs/>
          <w:sz w:val="24"/>
          <w:szCs w:val="24"/>
        </w:rPr>
        <w:t xml:space="preserve">Gas Natural </w:t>
      </w:r>
      <w:r w:rsidR="00E11CD1" w:rsidRPr="00E534DB">
        <w:rPr>
          <w:rFonts w:ascii="Gadugi" w:hAnsi="Gadugi"/>
          <w:bCs/>
          <w:sz w:val="24"/>
          <w:szCs w:val="24"/>
        </w:rPr>
        <w:t xml:space="preserve">S.A. E.S.P; (ii) </w:t>
      </w:r>
      <w:r w:rsidR="004B00EC" w:rsidRPr="00E534DB">
        <w:rPr>
          <w:rFonts w:ascii="Gadugi" w:hAnsi="Gadugi"/>
          <w:bCs/>
          <w:sz w:val="24"/>
          <w:szCs w:val="24"/>
        </w:rPr>
        <w:t>ausencia de responsabilidad; (iii) ausencia de los elementos que configuran la responsabilidad civil extracontractual; (iv) ausencia de nexo causal y de factor d</w:t>
      </w:r>
      <w:r w:rsidR="00134976" w:rsidRPr="00E534DB">
        <w:rPr>
          <w:rFonts w:ascii="Gadugi" w:hAnsi="Gadugi"/>
          <w:bCs/>
          <w:sz w:val="24"/>
          <w:szCs w:val="24"/>
        </w:rPr>
        <w:t>e imputación; (v) causa extraña;</w:t>
      </w:r>
      <w:r w:rsidR="004B00EC" w:rsidRPr="00E534DB">
        <w:rPr>
          <w:rFonts w:ascii="Gadugi" w:hAnsi="Gadugi"/>
          <w:bCs/>
          <w:sz w:val="24"/>
          <w:szCs w:val="24"/>
        </w:rPr>
        <w:t xml:space="preserve"> hecho exclusivo de un tercero; (vi) </w:t>
      </w:r>
      <w:r w:rsidR="00D64802" w:rsidRPr="00E534DB">
        <w:rPr>
          <w:rFonts w:ascii="Gadugi" w:hAnsi="Gadugi"/>
          <w:bCs/>
          <w:sz w:val="24"/>
          <w:szCs w:val="24"/>
        </w:rPr>
        <w:t xml:space="preserve">ausencia de prueba de los </w:t>
      </w:r>
      <w:r w:rsidR="00134976" w:rsidRPr="00E534DB">
        <w:rPr>
          <w:rFonts w:ascii="Gadugi" w:hAnsi="Gadugi"/>
          <w:bCs/>
          <w:sz w:val="24"/>
          <w:szCs w:val="24"/>
        </w:rPr>
        <w:t>perjuicios patrimoniales</w:t>
      </w:r>
      <w:r w:rsidRPr="00E534DB">
        <w:rPr>
          <w:rFonts w:ascii="Gadugi" w:hAnsi="Gadugi"/>
          <w:bCs/>
          <w:sz w:val="24"/>
          <w:szCs w:val="24"/>
        </w:rPr>
        <w:t>;</w:t>
      </w:r>
      <w:r w:rsidR="00134976" w:rsidRPr="00E534DB">
        <w:rPr>
          <w:rFonts w:ascii="Gadugi" w:hAnsi="Gadugi"/>
          <w:bCs/>
          <w:sz w:val="24"/>
          <w:szCs w:val="24"/>
        </w:rPr>
        <w:t xml:space="preserve"> y </w:t>
      </w:r>
      <w:r w:rsidR="00D64802" w:rsidRPr="00E534DB">
        <w:rPr>
          <w:rFonts w:ascii="Gadugi" w:hAnsi="Gadugi"/>
          <w:bCs/>
          <w:sz w:val="24"/>
          <w:szCs w:val="24"/>
        </w:rPr>
        <w:t xml:space="preserve">(vii) </w:t>
      </w:r>
      <w:r w:rsidR="00A96A42" w:rsidRPr="00E534DB">
        <w:rPr>
          <w:rFonts w:ascii="Gadugi" w:hAnsi="Gadugi"/>
          <w:bCs/>
          <w:sz w:val="24"/>
          <w:szCs w:val="24"/>
        </w:rPr>
        <w:t>tasación excesiva de los perjuicios extrapatrimoniales.</w:t>
      </w:r>
    </w:p>
    <w:p w14:paraId="01A46155" w14:textId="77777777" w:rsidR="003D6C5F" w:rsidRPr="00E534DB" w:rsidRDefault="003D6C5F" w:rsidP="00E534DB">
      <w:pPr>
        <w:tabs>
          <w:tab w:val="left" w:pos="1701"/>
        </w:tabs>
        <w:spacing w:after="0" w:line="276" w:lineRule="auto"/>
        <w:jc w:val="both"/>
        <w:rPr>
          <w:rFonts w:ascii="Gadugi" w:hAnsi="Gadugi"/>
          <w:bCs/>
          <w:sz w:val="24"/>
          <w:szCs w:val="24"/>
        </w:rPr>
      </w:pPr>
    </w:p>
    <w:p w14:paraId="2AE1886C" w14:textId="77777777" w:rsidR="00865215" w:rsidRPr="00E534DB" w:rsidRDefault="003D6C5F" w:rsidP="00E534DB">
      <w:pPr>
        <w:spacing w:after="0" w:line="276" w:lineRule="auto"/>
        <w:ind w:firstLine="1701"/>
        <w:contextualSpacing/>
        <w:jc w:val="both"/>
        <w:rPr>
          <w:rFonts w:ascii="Gadugi" w:hAnsi="Gadugi"/>
          <w:sz w:val="24"/>
          <w:szCs w:val="24"/>
        </w:rPr>
      </w:pPr>
      <w:r w:rsidRPr="00E534DB">
        <w:rPr>
          <w:rFonts w:ascii="Gadugi" w:eastAsia="Calibri" w:hAnsi="Gadugi" w:cs="Times New Roman"/>
          <w:sz w:val="24"/>
          <w:szCs w:val="24"/>
        </w:rPr>
        <w:t>Llamó en garantía a S</w:t>
      </w:r>
      <w:r w:rsidR="005440E9" w:rsidRPr="00E534DB">
        <w:rPr>
          <w:rFonts w:ascii="Gadugi" w:eastAsia="Malgun Gothic" w:hAnsi="Gadugi" w:cs="Estrangelo Edessa"/>
          <w:sz w:val="24"/>
          <w:szCs w:val="24"/>
        </w:rPr>
        <w:t>eguros Generales Suramericana S.A</w:t>
      </w:r>
      <w:r w:rsidR="005440E9" w:rsidRPr="00E534DB">
        <w:rPr>
          <w:rFonts w:ascii="Gadugi" w:eastAsia="Calibri" w:hAnsi="Gadugi" w:cs="Times New Roman"/>
          <w:sz w:val="24"/>
          <w:szCs w:val="24"/>
        </w:rPr>
        <w:t>.</w:t>
      </w:r>
      <w:r w:rsidRPr="00E534DB">
        <w:rPr>
          <w:rFonts w:ascii="Gadugi" w:hAnsi="Gadugi"/>
          <w:sz w:val="24"/>
          <w:szCs w:val="24"/>
        </w:rPr>
        <w:t xml:space="preserve"> y a </w:t>
      </w:r>
      <w:r w:rsidRPr="00E534DB">
        <w:rPr>
          <w:rFonts w:ascii="Gadugi" w:eastAsia="Malgun Gothic" w:hAnsi="Gadugi" w:cs="Estrangelo Edessa"/>
          <w:sz w:val="24"/>
          <w:szCs w:val="24"/>
        </w:rPr>
        <w:t xml:space="preserve">CHUBB de Colombia Compañía de Seguros. </w:t>
      </w:r>
      <w:r w:rsidRPr="00E534DB">
        <w:rPr>
          <w:rFonts w:ascii="Gadugi" w:hAnsi="Gadugi"/>
          <w:sz w:val="24"/>
          <w:szCs w:val="24"/>
        </w:rPr>
        <w:t xml:space="preserve"> </w:t>
      </w:r>
    </w:p>
    <w:p w14:paraId="636BB140" w14:textId="77777777" w:rsidR="00865215" w:rsidRPr="00E534DB" w:rsidRDefault="00865215" w:rsidP="00E534DB">
      <w:pPr>
        <w:spacing w:after="0" w:line="276" w:lineRule="auto"/>
        <w:ind w:firstLine="1701"/>
        <w:contextualSpacing/>
        <w:jc w:val="both"/>
        <w:rPr>
          <w:rFonts w:ascii="Gadugi" w:hAnsi="Gadugi"/>
          <w:sz w:val="24"/>
          <w:szCs w:val="24"/>
        </w:rPr>
      </w:pPr>
    </w:p>
    <w:p w14:paraId="7984A400" w14:textId="77777777" w:rsidR="00865215" w:rsidRPr="00E534DB" w:rsidRDefault="00865215" w:rsidP="00E534DB">
      <w:pPr>
        <w:spacing w:after="0" w:line="276" w:lineRule="auto"/>
        <w:ind w:firstLine="1701"/>
        <w:contextualSpacing/>
        <w:jc w:val="both"/>
        <w:rPr>
          <w:rFonts w:ascii="Gadugi" w:hAnsi="Gadugi"/>
          <w:bCs/>
          <w:sz w:val="24"/>
          <w:szCs w:val="24"/>
        </w:rPr>
      </w:pPr>
      <w:r w:rsidRPr="00E534DB">
        <w:rPr>
          <w:rFonts w:ascii="Gadugi" w:hAnsi="Gadugi"/>
          <w:sz w:val="24"/>
          <w:szCs w:val="24"/>
        </w:rPr>
        <w:t>La primera aseguradora contestó la demanda</w:t>
      </w:r>
      <w:r w:rsidRPr="00E534DB">
        <w:rPr>
          <w:rStyle w:val="Refdenotaalpie"/>
          <w:rFonts w:ascii="Gadugi" w:hAnsi="Gadugi"/>
          <w:sz w:val="24"/>
          <w:szCs w:val="24"/>
        </w:rPr>
        <w:footnoteReference w:id="7"/>
      </w:r>
      <w:r w:rsidRPr="00E534DB">
        <w:rPr>
          <w:rFonts w:ascii="Gadugi" w:hAnsi="Gadugi"/>
          <w:sz w:val="24"/>
          <w:szCs w:val="24"/>
        </w:rPr>
        <w:t xml:space="preserve">. Aludió a los hechos, se opuso a lo pedido y excepcionó </w:t>
      </w:r>
      <w:r w:rsidRPr="00E534DB">
        <w:rPr>
          <w:rFonts w:ascii="Gadugi" w:hAnsi="Gadugi"/>
          <w:bCs/>
          <w:sz w:val="24"/>
          <w:szCs w:val="24"/>
        </w:rPr>
        <w:t>(i) inexistencia de responsabilidad civil; (ii) causa extraña: hecho o culpa exclusiva de la víctima; (iii) causa extraña: caso fortuito; (iv) imposibilidad de imputación; (v) ausencia de nexo causal; (vi) ruptura del nexo causal; (vii) hecho de un tercero; (viii) ausencia en el cumplimiento de la carga probatoria de cada uno de los elementos de la responsabilidad; (ix) inexistencia de la obligación de indemnizar; (x) cobro de lo no debido e intento de enriquecimiento sin causa; (xi) indebida y exagerada tasación de perjuicios; (xii) genérica o ecuménica.</w:t>
      </w:r>
    </w:p>
    <w:p w14:paraId="0BADC72E" w14:textId="77777777" w:rsidR="00865215" w:rsidRPr="00E534DB" w:rsidRDefault="00865215" w:rsidP="00E534DB">
      <w:pPr>
        <w:spacing w:after="0" w:line="276" w:lineRule="auto"/>
        <w:ind w:firstLine="1701"/>
        <w:contextualSpacing/>
        <w:jc w:val="both"/>
        <w:rPr>
          <w:rFonts w:ascii="Gadugi" w:hAnsi="Gadugi"/>
          <w:sz w:val="24"/>
          <w:szCs w:val="24"/>
        </w:rPr>
      </w:pPr>
    </w:p>
    <w:p w14:paraId="155D44E1" w14:textId="68F26E86" w:rsidR="005440E9" w:rsidRPr="00E534DB" w:rsidRDefault="00865215" w:rsidP="00E534DB">
      <w:pPr>
        <w:spacing w:after="0" w:line="276" w:lineRule="auto"/>
        <w:ind w:firstLine="1701"/>
        <w:contextualSpacing/>
        <w:jc w:val="both"/>
        <w:rPr>
          <w:rFonts w:ascii="Gadugi" w:hAnsi="Gadugi"/>
          <w:sz w:val="24"/>
          <w:szCs w:val="24"/>
        </w:rPr>
      </w:pPr>
      <w:r w:rsidRPr="00E534DB">
        <w:rPr>
          <w:rFonts w:ascii="Gadugi" w:hAnsi="Gadugi"/>
          <w:sz w:val="24"/>
          <w:szCs w:val="24"/>
        </w:rPr>
        <w:lastRenderedPageBreak/>
        <w:t xml:space="preserve">Respecto del </w:t>
      </w:r>
      <w:r w:rsidR="005440E9" w:rsidRPr="00E534DB">
        <w:rPr>
          <w:rFonts w:ascii="Gadugi" w:hAnsi="Gadugi"/>
          <w:sz w:val="24"/>
          <w:szCs w:val="24"/>
        </w:rPr>
        <w:t xml:space="preserve">llamamiento en garantía </w:t>
      </w:r>
      <w:r w:rsidR="00CF4952" w:rsidRPr="00E534DB">
        <w:rPr>
          <w:rFonts w:ascii="Gadugi" w:hAnsi="Gadugi"/>
          <w:sz w:val="24"/>
          <w:szCs w:val="24"/>
        </w:rPr>
        <w:t>arguyó (i)</w:t>
      </w:r>
      <w:r w:rsidR="00D6754D" w:rsidRPr="00E534DB">
        <w:rPr>
          <w:rFonts w:ascii="Gadugi" w:hAnsi="Gadugi"/>
          <w:sz w:val="24"/>
          <w:szCs w:val="24"/>
        </w:rPr>
        <w:t xml:space="preserve"> </w:t>
      </w:r>
      <w:r w:rsidR="00422B22" w:rsidRPr="00E534DB">
        <w:rPr>
          <w:rFonts w:ascii="Gadugi" w:hAnsi="Gadugi"/>
          <w:sz w:val="24"/>
          <w:szCs w:val="24"/>
        </w:rPr>
        <w:t>la inasegurabilidad</w:t>
      </w:r>
      <w:r w:rsidR="00F71B04" w:rsidRPr="00E534DB">
        <w:rPr>
          <w:rFonts w:ascii="Gadugi" w:hAnsi="Gadugi"/>
          <w:sz w:val="24"/>
          <w:szCs w:val="24"/>
        </w:rPr>
        <w:t xml:space="preserve"> de la culpa grave; </w:t>
      </w:r>
      <w:r w:rsidR="00CF4952" w:rsidRPr="00E534DB">
        <w:rPr>
          <w:rFonts w:ascii="Gadugi" w:hAnsi="Gadugi"/>
          <w:sz w:val="24"/>
          <w:szCs w:val="24"/>
        </w:rPr>
        <w:t xml:space="preserve">y </w:t>
      </w:r>
      <w:r w:rsidR="00F71B04" w:rsidRPr="00E534DB">
        <w:rPr>
          <w:rFonts w:ascii="Gadugi" w:hAnsi="Gadugi"/>
          <w:sz w:val="24"/>
          <w:szCs w:val="24"/>
        </w:rPr>
        <w:t xml:space="preserve">(ii) </w:t>
      </w:r>
      <w:r w:rsidR="00CF4952" w:rsidRPr="00E534DB">
        <w:rPr>
          <w:rFonts w:ascii="Gadugi" w:hAnsi="Gadugi"/>
          <w:sz w:val="24"/>
          <w:szCs w:val="24"/>
        </w:rPr>
        <w:t xml:space="preserve">el </w:t>
      </w:r>
      <w:r w:rsidR="00F71B04" w:rsidRPr="00E534DB">
        <w:rPr>
          <w:rFonts w:ascii="Gadugi" w:hAnsi="Gadugi"/>
          <w:sz w:val="24"/>
          <w:szCs w:val="24"/>
        </w:rPr>
        <w:t>límite de valor asegurado.</w:t>
      </w:r>
    </w:p>
    <w:p w14:paraId="0199CB09" w14:textId="77777777" w:rsidR="00134976" w:rsidRPr="00E534DB" w:rsidRDefault="00134976" w:rsidP="00E534DB">
      <w:pPr>
        <w:spacing w:after="0" w:line="276" w:lineRule="auto"/>
        <w:ind w:firstLine="1701"/>
        <w:contextualSpacing/>
        <w:jc w:val="both"/>
        <w:rPr>
          <w:rFonts w:ascii="Gadugi" w:hAnsi="Gadugi"/>
          <w:sz w:val="24"/>
          <w:szCs w:val="24"/>
        </w:rPr>
      </w:pPr>
    </w:p>
    <w:p w14:paraId="1D04B874" w14:textId="65BCCB3B" w:rsidR="005440E9" w:rsidRPr="00E534DB" w:rsidRDefault="00F71B04" w:rsidP="00E534DB">
      <w:pPr>
        <w:spacing w:after="0" w:line="276" w:lineRule="auto"/>
        <w:ind w:firstLine="1701"/>
        <w:jc w:val="both"/>
        <w:rPr>
          <w:rFonts w:ascii="Gadugi" w:hAnsi="Gadugi"/>
          <w:sz w:val="24"/>
          <w:szCs w:val="24"/>
        </w:rPr>
      </w:pPr>
      <w:r w:rsidRPr="00E534DB">
        <w:rPr>
          <w:rFonts w:ascii="Gadugi" w:eastAsia="Malgun Gothic" w:hAnsi="Gadugi" w:cs="Estrangelo Edessa"/>
          <w:sz w:val="24"/>
          <w:szCs w:val="24"/>
        </w:rPr>
        <w:t xml:space="preserve">CHUBB de Colombia </w:t>
      </w:r>
      <w:r w:rsidR="00C74025" w:rsidRPr="00E534DB">
        <w:rPr>
          <w:rFonts w:ascii="Gadugi" w:eastAsia="Malgun Gothic" w:hAnsi="Gadugi" w:cs="Estrangelo Edessa"/>
          <w:sz w:val="24"/>
          <w:szCs w:val="24"/>
        </w:rPr>
        <w:t>Co</w:t>
      </w:r>
      <w:r w:rsidRPr="00E534DB">
        <w:rPr>
          <w:rFonts w:ascii="Gadugi" w:eastAsia="Malgun Gothic" w:hAnsi="Gadugi" w:cs="Estrangelo Edessa"/>
          <w:sz w:val="24"/>
          <w:szCs w:val="24"/>
        </w:rPr>
        <w:t xml:space="preserve">mpañía de </w:t>
      </w:r>
      <w:r w:rsidR="00C74025" w:rsidRPr="00E534DB">
        <w:rPr>
          <w:rFonts w:ascii="Gadugi" w:eastAsia="Malgun Gothic" w:hAnsi="Gadugi" w:cs="Estrangelo Edessa"/>
          <w:sz w:val="24"/>
          <w:szCs w:val="24"/>
        </w:rPr>
        <w:t>S</w:t>
      </w:r>
      <w:r w:rsidRPr="00E534DB">
        <w:rPr>
          <w:rFonts w:ascii="Gadugi" w:eastAsia="Malgun Gothic" w:hAnsi="Gadugi" w:cs="Estrangelo Edessa"/>
          <w:sz w:val="24"/>
          <w:szCs w:val="24"/>
        </w:rPr>
        <w:t>eguros</w:t>
      </w:r>
      <w:r w:rsidRPr="00E534DB">
        <w:rPr>
          <w:rFonts w:ascii="Gadugi" w:hAnsi="Gadugi"/>
          <w:sz w:val="24"/>
          <w:szCs w:val="24"/>
        </w:rPr>
        <w:t>,</w:t>
      </w:r>
      <w:r w:rsidR="00CF4952" w:rsidRPr="00E534DB">
        <w:rPr>
          <w:rFonts w:ascii="Gadugi" w:hAnsi="Gadugi"/>
          <w:sz w:val="24"/>
          <w:szCs w:val="24"/>
        </w:rPr>
        <w:t xml:space="preserve"> por su parte</w:t>
      </w:r>
      <w:r w:rsidR="00CF4952" w:rsidRPr="00E534DB">
        <w:rPr>
          <w:rStyle w:val="Refdenotaalpie"/>
          <w:rFonts w:ascii="Gadugi" w:hAnsi="Gadugi"/>
          <w:sz w:val="24"/>
          <w:szCs w:val="24"/>
        </w:rPr>
        <w:footnoteReference w:id="8"/>
      </w:r>
      <w:r w:rsidR="00CF4952" w:rsidRPr="00E534DB">
        <w:rPr>
          <w:rFonts w:ascii="Gadugi" w:hAnsi="Gadugi"/>
          <w:sz w:val="24"/>
          <w:szCs w:val="24"/>
        </w:rPr>
        <w:t xml:space="preserve">, </w:t>
      </w:r>
      <w:r w:rsidRPr="00E534DB">
        <w:rPr>
          <w:rFonts w:ascii="Gadugi" w:hAnsi="Gadugi"/>
          <w:sz w:val="24"/>
          <w:szCs w:val="24"/>
        </w:rPr>
        <w:t xml:space="preserve"> </w:t>
      </w:r>
      <w:r w:rsidR="00CF4952" w:rsidRPr="00E534DB">
        <w:rPr>
          <w:rFonts w:ascii="Gadugi" w:hAnsi="Gadugi"/>
          <w:sz w:val="24"/>
          <w:szCs w:val="24"/>
        </w:rPr>
        <w:t>se pronunció sobre los hechos de la demanda, se opuso a lo pedido y coadyuvó las excepciones propuestas por la demandada. En cuanto al</w:t>
      </w:r>
      <w:r w:rsidRPr="00E534DB">
        <w:rPr>
          <w:rFonts w:ascii="Gadugi" w:hAnsi="Gadugi"/>
          <w:sz w:val="24"/>
          <w:szCs w:val="24"/>
        </w:rPr>
        <w:t xml:space="preserve"> llamamiento en garantía </w:t>
      </w:r>
      <w:r w:rsidR="00C74025" w:rsidRPr="00E534DB">
        <w:rPr>
          <w:rFonts w:ascii="Gadugi" w:hAnsi="Gadugi"/>
          <w:sz w:val="24"/>
          <w:szCs w:val="24"/>
        </w:rPr>
        <w:t>excepcionó</w:t>
      </w:r>
      <w:r w:rsidRPr="00E534DB">
        <w:rPr>
          <w:rFonts w:ascii="Gadugi" w:hAnsi="Gadugi"/>
          <w:sz w:val="24"/>
          <w:szCs w:val="24"/>
        </w:rPr>
        <w:t xml:space="preserve"> (i)</w:t>
      </w:r>
      <w:r w:rsidR="0060017A" w:rsidRPr="00E534DB">
        <w:rPr>
          <w:rFonts w:ascii="Gadugi" w:hAnsi="Gadugi"/>
          <w:sz w:val="24"/>
          <w:szCs w:val="24"/>
        </w:rPr>
        <w:t xml:space="preserve"> </w:t>
      </w:r>
      <w:r w:rsidR="00CF4952" w:rsidRPr="00E534DB">
        <w:rPr>
          <w:rFonts w:ascii="Gadugi" w:hAnsi="Gadugi"/>
          <w:sz w:val="24"/>
          <w:szCs w:val="24"/>
        </w:rPr>
        <w:t xml:space="preserve">la </w:t>
      </w:r>
      <w:r w:rsidR="0060017A" w:rsidRPr="00E534DB">
        <w:rPr>
          <w:rFonts w:ascii="Gadugi" w:hAnsi="Gadugi"/>
          <w:sz w:val="24"/>
          <w:szCs w:val="24"/>
        </w:rPr>
        <w:t xml:space="preserve">participación de coaseguradores; </w:t>
      </w:r>
      <w:r w:rsidR="00CF4952" w:rsidRPr="00E534DB">
        <w:rPr>
          <w:rFonts w:ascii="Gadugi" w:hAnsi="Gadugi"/>
          <w:sz w:val="24"/>
          <w:szCs w:val="24"/>
        </w:rPr>
        <w:t xml:space="preserve">y </w:t>
      </w:r>
      <w:r w:rsidR="0060017A" w:rsidRPr="00E534DB">
        <w:rPr>
          <w:rFonts w:ascii="Gadugi" w:hAnsi="Gadugi"/>
          <w:sz w:val="24"/>
          <w:szCs w:val="24"/>
        </w:rPr>
        <w:t xml:space="preserve">(ii) </w:t>
      </w:r>
      <w:r w:rsidR="00CF4952" w:rsidRPr="00E534DB">
        <w:rPr>
          <w:rFonts w:ascii="Gadugi" w:hAnsi="Gadugi"/>
          <w:sz w:val="24"/>
          <w:szCs w:val="24"/>
        </w:rPr>
        <w:t xml:space="preserve">la </w:t>
      </w:r>
      <w:r w:rsidR="0060017A" w:rsidRPr="00E534DB">
        <w:rPr>
          <w:rFonts w:ascii="Gadugi" w:hAnsi="Gadugi"/>
          <w:sz w:val="24"/>
          <w:szCs w:val="24"/>
        </w:rPr>
        <w:t>exclusión del condicionado general de la póliza.</w:t>
      </w:r>
    </w:p>
    <w:p w14:paraId="4DDBEF00" w14:textId="77777777" w:rsidR="00F71B04" w:rsidRPr="00E534DB" w:rsidRDefault="00F71B04" w:rsidP="00E534DB">
      <w:pPr>
        <w:spacing w:after="0" w:line="276" w:lineRule="auto"/>
        <w:ind w:firstLine="1701"/>
        <w:contextualSpacing/>
        <w:jc w:val="both"/>
        <w:rPr>
          <w:rFonts w:ascii="Gadugi" w:hAnsi="Gadugi"/>
          <w:sz w:val="24"/>
          <w:szCs w:val="24"/>
        </w:rPr>
      </w:pPr>
    </w:p>
    <w:p w14:paraId="77FD4CF3" w14:textId="4E020817" w:rsidR="00706748" w:rsidRDefault="005440E9" w:rsidP="00E534DB">
      <w:pPr>
        <w:spacing w:after="0" w:line="276" w:lineRule="auto"/>
        <w:ind w:firstLine="1701"/>
        <w:contextualSpacing/>
        <w:jc w:val="both"/>
        <w:rPr>
          <w:rFonts w:ascii="Gadugi" w:eastAsia="Calibri" w:hAnsi="Gadugi" w:cs="Times New Roman"/>
          <w:sz w:val="24"/>
          <w:szCs w:val="24"/>
        </w:rPr>
      </w:pPr>
      <w:r w:rsidRPr="00E534DB">
        <w:rPr>
          <w:rFonts w:ascii="Gadugi" w:eastAsia="Calibri" w:hAnsi="Gadugi" w:cs="Times New Roman"/>
          <w:sz w:val="24"/>
          <w:szCs w:val="24"/>
        </w:rPr>
        <w:t xml:space="preserve">Surtido el traslado de las excepciones, </w:t>
      </w:r>
      <w:r w:rsidR="003D6C5F" w:rsidRPr="00E534DB">
        <w:rPr>
          <w:rFonts w:ascii="Gadugi" w:eastAsia="Calibri" w:hAnsi="Gadugi" w:cs="Times New Roman"/>
          <w:sz w:val="24"/>
          <w:szCs w:val="24"/>
        </w:rPr>
        <w:t>practicada la audiencia de que trata el artículo 101 del CPC</w:t>
      </w:r>
      <w:r w:rsidR="003D6C5F" w:rsidRPr="00E534DB">
        <w:rPr>
          <w:rStyle w:val="Refdenotaalpie"/>
          <w:rFonts w:ascii="Gadugi" w:eastAsia="Calibri" w:hAnsi="Gadugi" w:cs="Times New Roman"/>
          <w:sz w:val="24"/>
          <w:szCs w:val="24"/>
        </w:rPr>
        <w:footnoteReference w:id="9"/>
      </w:r>
      <w:r w:rsidR="00CF4952" w:rsidRPr="00E534DB">
        <w:rPr>
          <w:rFonts w:ascii="Gadugi" w:eastAsia="Calibri" w:hAnsi="Gadugi" w:cs="Times New Roman"/>
          <w:sz w:val="24"/>
          <w:szCs w:val="24"/>
        </w:rPr>
        <w:t>,</w:t>
      </w:r>
      <w:r w:rsidR="003D6C5F" w:rsidRPr="00E534DB">
        <w:rPr>
          <w:rFonts w:ascii="Gadugi" w:eastAsia="Calibri" w:hAnsi="Gadugi" w:cs="Times New Roman"/>
          <w:sz w:val="24"/>
          <w:szCs w:val="24"/>
        </w:rPr>
        <w:t xml:space="preserve"> </w:t>
      </w:r>
      <w:r w:rsidRPr="00E534DB">
        <w:rPr>
          <w:rFonts w:ascii="Gadugi" w:eastAsia="Calibri" w:hAnsi="Gadugi" w:cs="Times New Roman"/>
          <w:sz w:val="24"/>
          <w:szCs w:val="24"/>
        </w:rPr>
        <w:t>decretadas y practicadas las pruebas, se produjo el fallo de primer grado.</w:t>
      </w:r>
    </w:p>
    <w:p w14:paraId="3EFD383E" w14:textId="77777777" w:rsidR="00422B22" w:rsidRPr="00E534DB" w:rsidRDefault="00422B22" w:rsidP="00E534DB">
      <w:pPr>
        <w:spacing w:after="0" w:line="276" w:lineRule="auto"/>
        <w:ind w:firstLine="1701"/>
        <w:contextualSpacing/>
        <w:jc w:val="both"/>
        <w:rPr>
          <w:rFonts w:ascii="Gadugi" w:eastAsia="Calibri" w:hAnsi="Gadugi" w:cs="Times New Roman"/>
          <w:sz w:val="24"/>
          <w:szCs w:val="24"/>
        </w:rPr>
      </w:pPr>
    </w:p>
    <w:p w14:paraId="06B55D71" w14:textId="56CDA76A" w:rsidR="00C74025" w:rsidRPr="00E534DB" w:rsidRDefault="00C74025" w:rsidP="00E534DB">
      <w:pPr>
        <w:spacing w:after="0" w:line="276" w:lineRule="auto"/>
        <w:ind w:firstLine="1701"/>
        <w:contextualSpacing/>
        <w:jc w:val="both"/>
        <w:rPr>
          <w:rFonts w:ascii="Gadugi" w:eastAsia="Calibri" w:hAnsi="Gadugi" w:cs="Times New Roman"/>
          <w:sz w:val="24"/>
          <w:szCs w:val="24"/>
        </w:rPr>
      </w:pPr>
      <w:r w:rsidRPr="00E534DB">
        <w:rPr>
          <w:rFonts w:ascii="Gadugi" w:eastAsia="Calibri" w:hAnsi="Gadugi" w:cs="Times New Roman"/>
          <w:sz w:val="24"/>
          <w:szCs w:val="24"/>
        </w:rPr>
        <w:t>Mediante providencia del 04 de marzo de 2019, en esta sede se decretó la nulidad de todas las actuaciones surtidas con posterioridad al 5 de diciembre de 2017, por haber operado la perdida de competencia señalada en el artículo 121 del CGP</w:t>
      </w:r>
      <w:r w:rsidRPr="00E534DB">
        <w:rPr>
          <w:rStyle w:val="Refdenotaalpie"/>
          <w:rFonts w:ascii="Gadugi" w:eastAsia="Calibri" w:hAnsi="Gadugi" w:cs="Times New Roman"/>
          <w:sz w:val="24"/>
          <w:szCs w:val="24"/>
        </w:rPr>
        <w:footnoteReference w:id="10"/>
      </w:r>
      <w:r w:rsidRPr="00E534DB">
        <w:rPr>
          <w:rFonts w:ascii="Gadugi" w:eastAsia="Calibri" w:hAnsi="Gadugi" w:cs="Times New Roman"/>
          <w:sz w:val="24"/>
          <w:szCs w:val="24"/>
        </w:rPr>
        <w:t>. El asunto le fue asignado al Juez Civil del Circuito de Pereira (reparto)</w:t>
      </w:r>
      <w:r w:rsidRPr="00E534DB">
        <w:rPr>
          <w:rStyle w:val="Refdenotaalpie"/>
          <w:rFonts w:ascii="Gadugi" w:eastAsia="Calibri" w:hAnsi="Gadugi" w:cs="Times New Roman"/>
          <w:sz w:val="24"/>
          <w:szCs w:val="24"/>
        </w:rPr>
        <w:footnoteReference w:id="11"/>
      </w:r>
      <w:r w:rsidR="00BE298D" w:rsidRPr="00E534DB">
        <w:rPr>
          <w:rFonts w:ascii="Gadugi" w:eastAsia="Calibri" w:hAnsi="Gadugi" w:cs="Times New Roman"/>
          <w:sz w:val="24"/>
          <w:szCs w:val="24"/>
        </w:rPr>
        <w:t xml:space="preserve"> y con auto del </w:t>
      </w:r>
      <w:r w:rsidRPr="00E534DB">
        <w:rPr>
          <w:rFonts w:ascii="Gadugi" w:eastAsia="Calibri" w:hAnsi="Gadugi" w:cs="Times New Roman"/>
          <w:sz w:val="24"/>
          <w:szCs w:val="24"/>
        </w:rPr>
        <w:t xml:space="preserve">3 de mayo de 2019, el Juzgado Cuarto Civil del Circuito de Pereira </w:t>
      </w:r>
      <w:r w:rsidR="00BE298D" w:rsidRPr="00E534DB">
        <w:rPr>
          <w:rFonts w:ascii="Gadugi" w:eastAsia="Calibri" w:hAnsi="Gadugi" w:cs="Times New Roman"/>
          <w:sz w:val="24"/>
          <w:szCs w:val="24"/>
        </w:rPr>
        <w:t xml:space="preserve">asumió el conocimiento y profirió nuevamente el fallo. </w:t>
      </w:r>
    </w:p>
    <w:p w14:paraId="437613BE" w14:textId="23E0324C" w:rsidR="00C74025" w:rsidRPr="00E534DB" w:rsidRDefault="00C74025" w:rsidP="00E534DB">
      <w:pPr>
        <w:spacing w:after="0" w:line="276" w:lineRule="auto"/>
        <w:ind w:firstLine="1701"/>
        <w:contextualSpacing/>
        <w:jc w:val="both"/>
        <w:rPr>
          <w:rFonts w:ascii="Gadugi" w:eastAsia="Calibri" w:hAnsi="Gadugi" w:cs="Times New Roman"/>
          <w:b/>
          <w:sz w:val="24"/>
          <w:szCs w:val="24"/>
        </w:rPr>
      </w:pPr>
    </w:p>
    <w:p w14:paraId="0FFA05A2" w14:textId="2D284A82" w:rsidR="005440E9" w:rsidRPr="00E534DB" w:rsidRDefault="005440E9" w:rsidP="00E534DB">
      <w:pPr>
        <w:pStyle w:val="Prrafodelista"/>
        <w:numPr>
          <w:ilvl w:val="1"/>
          <w:numId w:val="1"/>
        </w:numPr>
        <w:tabs>
          <w:tab w:val="left" w:pos="2268"/>
        </w:tabs>
        <w:spacing w:after="0" w:line="276" w:lineRule="auto"/>
        <w:ind w:left="0" w:firstLine="1701"/>
        <w:jc w:val="both"/>
        <w:rPr>
          <w:rFonts w:ascii="Gadugi" w:eastAsia="Calibri" w:hAnsi="Gadugi" w:cs="Times New Roman"/>
          <w:sz w:val="24"/>
          <w:szCs w:val="24"/>
        </w:rPr>
      </w:pPr>
      <w:r w:rsidRPr="00E534DB">
        <w:rPr>
          <w:rFonts w:ascii="Gadugi" w:eastAsia="Calibri" w:hAnsi="Gadugi" w:cs="Times New Roman"/>
          <w:b/>
          <w:sz w:val="24"/>
          <w:szCs w:val="24"/>
        </w:rPr>
        <w:t>La sentencia de primera instancia</w:t>
      </w:r>
      <w:r w:rsidR="00CE271A" w:rsidRPr="00E534DB">
        <w:rPr>
          <w:rStyle w:val="Refdenotaalpie"/>
          <w:rFonts w:ascii="Gadugi" w:eastAsia="Calibri" w:hAnsi="Gadugi" w:cs="Times New Roman"/>
          <w:sz w:val="24"/>
          <w:szCs w:val="24"/>
        </w:rPr>
        <w:footnoteReference w:id="12"/>
      </w:r>
      <w:r w:rsidR="00BE298D" w:rsidRPr="00E534DB">
        <w:rPr>
          <w:rFonts w:ascii="Gadugi" w:eastAsia="Calibri" w:hAnsi="Gadugi" w:cs="Times New Roman"/>
          <w:b/>
          <w:sz w:val="24"/>
          <w:szCs w:val="24"/>
        </w:rPr>
        <w:t xml:space="preserve"> </w:t>
      </w:r>
    </w:p>
    <w:p w14:paraId="0FB78278" w14:textId="71522F39" w:rsidR="005440E9" w:rsidRPr="00E534DB" w:rsidRDefault="005440E9" w:rsidP="00E534DB">
      <w:pPr>
        <w:spacing w:after="0" w:line="276" w:lineRule="auto"/>
        <w:contextualSpacing/>
        <w:jc w:val="both"/>
        <w:rPr>
          <w:rFonts w:ascii="Gadugi" w:eastAsia="Calibri" w:hAnsi="Gadugi" w:cs="Times New Roman"/>
          <w:sz w:val="24"/>
          <w:szCs w:val="24"/>
        </w:rPr>
      </w:pPr>
    </w:p>
    <w:p w14:paraId="70F0DF11" w14:textId="60D1CA61" w:rsidR="004C0BCD" w:rsidRPr="00E534DB" w:rsidRDefault="004C0BCD" w:rsidP="00E534DB">
      <w:pPr>
        <w:spacing w:after="0" w:line="276" w:lineRule="auto"/>
        <w:ind w:firstLine="1701"/>
        <w:contextualSpacing/>
        <w:jc w:val="both"/>
        <w:rPr>
          <w:rFonts w:ascii="Gadugi" w:eastAsia="Calibri" w:hAnsi="Gadugi" w:cs="Times New Roman"/>
          <w:sz w:val="24"/>
          <w:szCs w:val="24"/>
        </w:rPr>
      </w:pPr>
      <w:r w:rsidRPr="00E534DB">
        <w:rPr>
          <w:rFonts w:ascii="Gadugi" w:eastAsia="Calibri" w:hAnsi="Gadugi" w:cs="Times New Roman"/>
          <w:sz w:val="24"/>
          <w:szCs w:val="24"/>
        </w:rPr>
        <w:t>Denegó las pretensiones</w:t>
      </w:r>
      <w:r w:rsidR="00BE298D" w:rsidRPr="00E534DB">
        <w:rPr>
          <w:rFonts w:ascii="Gadugi" w:eastAsia="Calibri" w:hAnsi="Gadugi" w:cs="Times New Roman"/>
          <w:sz w:val="24"/>
          <w:szCs w:val="24"/>
        </w:rPr>
        <w:t xml:space="preserve">, por cuanto </w:t>
      </w:r>
      <w:r w:rsidR="00CC7038" w:rsidRPr="00E534DB">
        <w:rPr>
          <w:rFonts w:ascii="Gadugi" w:eastAsia="Calibri" w:hAnsi="Gadugi" w:cs="Times New Roman"/>
          <w:sz w:val="24"/>
          <w:szCs w:val="24"/>
        </w:rPr>
        <w:t xml:space="preserve">no </w:t>
      </w:r>
      <w:r w:rsidR="00BE298D" w:rsidRPr="00E534DB">
        <w:rPr>
          <w:rFonts w:ascii="Gadugi" w:eastAsia="Calibri" w:hAnsi="Gadugi" w:cs="Times New Roman"/>
          <w:sz w:val="24"/>
          <w:szCs w:val="24"/>
        </w:rPr>
        <w:t xml:space="preserve">se demostró </w:t>
      </w:r>
      <w:r w:rsidR="006B2B61" w:rsidRPr="00E534DB">
        <w:rPr>
          <w:rFonts w:ascii="Gadugi" w:eastAsia="Calibri" w:hAnsi="Gadugi" w:cs="Times New Roman"/>
          <w:sz w:val="24"/>
          <w:szCs w:val="24"/>
        </w:rPr>
        <w:t>una falla</w:t>
      </w:r>
      <w:r w:rsidR="00CC7038" w:rsidRPr="00E534DB">
        <w:rPr>
          <w:rFonts w:ascii="Gadugi" w:eastAsia="Calibri" w:hAnsi="Gadugi" w:cs="Times New Roman"/>
          <w:sz w:val="24"/>
          <w:szCs w:val="24"/>
        </w:rPr>
        <w:t xml:space="preserve"> en el servicio prestado </w:t>
      </w:r>
      <w:r w:rsidR="00D74A95" w:rsidRPr="00E534DB">
        <w:rPr>
          <w:rFonts w:ascii="Gadugi" w:eastAsia="Calibri" w:hAnsi="Gadugi" w:cs="Times New Roman"/>
          <w:sz w:val="24"/>
          <w:szCs w:val="24"/>
        </w:rPr>
        <w:t xml:space="preserve">que </w:t>
      </w:r>
      <w:r w:rsidR="00972519" w:rsidRPr="00E534DB">
        <w:rPr>
          <w:rFonts w:ascii="Gadugi" w:eastAsia="Calibri" w:hAnsi="Gadugi" w:cs="Times New Roman"/>
          <w:sz w:val="24"/>
          <w:szCs w:val="24"/>
        </w:rPr>
        <w:t>fuera</w:t>
      </w:r>
      <w:r w:rsidR="00BE298D" w:rsidRPr="00E534DB">
        <w:rPr>
          <w:rFonts w:ascii="Gadugi" w:eastAsia="Calibri" w:hAnsi="Gadugi" w:cs="Times New Roman"/>
          <w:sz w:val="24"/>
          <w:szCs w:val="24"/>
        </w:rPr>
        <w:t xml:space="preserve"> </w:t>
      </w:r>
      <w:r w:rsidR="00CC7038" w:rsidRPr="00E534DB">
        <w:rPr>
          <w:rFonts w:ascii="Gadugi" w:eastAsia="Calibri" w:hAnsi="Gadugi" w:cs="Times New Roman"/>
          <w:sz w:val="24"/>
          <w:szCs w:val="24"/>
        </w:rPr>
        <w:t xml:space="preserve">atribuible a </w:t>
      </w:r>
      <w:r w:rsidR="00BE298D" w:rsidRPr="00E534DB">
        <w:rPr>
          <w:rFonts w:ascii="Gadugi" w:eastAsia="Calibri" w:hAnsi="Gadugi" w:cs="Times New Roman"/>
          <w:sz w:val="24"/>
          <w:szCs w:val="24"/>
        </w:rPr>
        <w:t>la demandada</w:t>
      </w:r>
      <w:r w:rsidR="00CC7038" w:rsidRPr="00E534DB">
        <w:rPr>
          <w:rFonts w:ascii="Gadugi" w:eastAsia="Calibri" w:hAnsi="Gadugi" w:cs="Times New Roman"/>
          <w:sz w:val="24"/>
          <w:szCs w:val="24"/>
        </w:rPr>
        <w:t xml:space="preserve"> como empresa de servi</w:t>
      </w:r>
      <w:r w:rsidR="00954FD4" w:rsidRPr="00E534DB">
        <w:rPr>
          <w:rFonts w:ascii="Gadugi" w:eastAsia="Calibri" w:hAnsi="Gadugi" w:cs="Times New Roman"/>
          <w:sz w:val="24"/>
          <w:szCs w:val="24"/>
        </w:rPr>
        <w:t>cio público domiciliario de gas</w:t>
      </w:r>
      <w:r w:rsidR="00BE298D" w:rsidRPr="00E534DB">
        <w:rPr>
          <w:rFonts w:ascii="Gadugi" w:eastAsia="Calibri" w:hAnsi="Gadugi" w:cs="Times New Roman"/>
          <w:sz w:val="24"/>
          <w:szCs w:val="24"/>
        </w:rPr>
        <w:t xml:space="preserve">; en definitiva faltó demostrar el nexo causal. </w:t>
      </w:r>
    </w:p>
    <w:p w14:paraId="1FC39945" w14:textId="77777777" w:rsidR="00CC7038" w:rsidRPr="00E534DB" w:rsidRDefault="00CC7038" w:rsidP="00E534DB">
      <w:pPr>
        <w:spacing w:after="0" w:line="276" w:lineRule="auto"/>
        <w:ind w:firstLine="1701"/>
        <w:contextualSpacing/>
        <w:jc w:val="both"/>
        <w:rPr>
          <w:rFonts w:ascii="Gadugi" w:hAnsi="Gadugi"/>
          <w:sz w:val="24"/>
          <w:szCs w:val="24"/>
        </w:rPr>
      </w:pPr>
    </w:p>
    <w:p w14:paraId="0DEE81AC" w14:textId="77777777" w:rsidR="00BE298D" w:rsidRPr="00E534DB" w:rsidRDefault="00BE298D" w:rsidP="00E534DB">
      <w:pPr>
        <w:pStyle w:val="Prrafodelista"/>
        <w:numPr>
          <w:ilvl w:val="1"/>
          <w:numId w:val="1"/>
        </w:numPr>
        <w:tabs>
          <w:tab w:val="left" w:pos="2268"/>
        </w:tabs>
        <w:spacing w:after="0" w:line="276" w:lineRule="auto"/>
        <w:ind w:left="0" w:firstLine="1701"/>
        <w:jc w:val="both"/>
        <w:rPr>
          <w:rFonts w:ascii="Gadugi" w:eastAsia="Calibri" w:hAnsi="Gadugi" w:cs="Times New Roman"/>
          <w:b/>
          <w:sz w:val="24"/>
          <w:szCs w:val="24"/>
        </w:rPr>
      </w:pPr>
      <w:r w:rsidRPr="00E534DB">
        <w:rPr>
          <w:rFonts w:ascii="Gadugi" w:eastAsia="Calibri" w:hAnsi="Gadugi" w:cs="Times New Roman"/>
          <w:b/>
          <w:sz w:val="24"/>
          <w:szCs w:val="24"/>
        </w:rPr>
        <w:t xml:space="preserve">Apelación. </w:t>
      </w:r>
    </w:p>
    <w:p w14:paraId="56329E59" w14:textId="77777777" w:rsidR="00BE298D" w:rsidRPr="00E534DB" w:rsidRDefault="00BE298D" w:rsidP="00E534DB">
      <w:pPr>
        <w:pStyle w:val="Prrafodelista"/>
        <w:spacing w:after="0" w:line="276" w:lineRule="auto"/>
        <w:ind w:left="0" w:firstLine="1701"/>
        <w:jc w:val="both"/>
        <w:rPr>
          <w:rFonts w:ascii="Gadugi" w:eastAsia="Calibri" w:hAnsi="Gadugi" w:cs="Times New Roman"/>
          <w:b/>
          <w:sz w:val="24"/>
          <w:szCs w:val="24"/>
        </w:rPr>
      </w:pPr>
    </w:p>
    <w:p w14:paraId="7F4E4383" w14:textId="12D85498" w:rsidR="00D01FB0" w:rsidRPr="00E534DB" w:rsidRDefault="00BE298D" w:rsidP="00E534DB">
      <w:pPr>
        <w:pStyle w:val="Prrafodelista"/>
        <w:spacing w:after="0" w:line="276" w:lineRule="auto"/>
        <w:ind w:left="0" w:firstLine="1701"/>
        <w:jc w:val="both"/>
        <w:rPr>
          <w:rFonts w:ascii="Gadugi" w:eastAsia="Calibri" w:hAnsi="Gadugi" w:cs="Times New Roman"/>
          <w:sz w:val="24"/>
          <w:szCs w:val="24"/>
        </w:rPr>
      </w:pPr>
      <w:r w:rsidRPr="00E534DB">
        <w:rPr>
          <w:rFonts w:ascii="Gadugi" w:eastAsia="Calibri" w:hAnsi="Gadugi" w:cs="Times New Roman"/>
          <w:sz w:val="24"/>
          <w:szCs w:val="24"/>
        </w:rPr>
        <w:t xml:space="preserve">Impugnó la parte </w:t>
      </w:r>
      <w:r w:rsidR="00973B86" w:rsidRPr="00E534DB">
        <w:rPr>
          <w:rFonts w:ascii="Gadugi" w:eastAsia="Calibri" w:hAnsi="Gadugi" w:cs="Times New Roman"/>
          <w:sz w:val="24"/>
          <w:szCs w:val="24"/>
        </w:rPr>
        <w:t>demandante</w:t>
      </w:r>
      <w:r w:rsidRPr="00E534DB">
        <w:rPr>
          <w:rFonts w:ascii="Gadugi" w:eastAsia="Calibri" w:hAnsi="Gadugi" w:cs="Times New Roman"/>
          <w:sz w:val="24"/>
          <w:szCs w:val="24"/>
        </w:rPr>
        <w:t xml:space="preserve"> y en tiempo presentó sus reparos</w:t>
      </w:r>
      <w:r w:rsidR="00CE271A" w:rsidRPr="00E534DB">
        <w:rPr>
          <w:rStyle w:val="Refdenotaalpie"/>
          <w:rFonts w:ascii="Gadugi" w:hAnsi="Gadugi" w:cs="Segoe UI"/>
          <w:sz w:val="24"/>
          <w:szCs w:val="24"/>
        </w:rPr>
        <w:footnoteReference w:id="13"/>
      </w:r>
      <w:r w:rsidR="00D6754D" w:rsidRPr="00E534DB">
        <w:rPr>
          <w:rStyle w:val="normaltextrun"/>
          <w:rFonts w:ascii="Gadugi" w:hAnsi="Gadugi" w:cs="Segoe UI"/>
          <w:sz w:val="24"/>
          <w:szCs w:val="24"/>
        </w:rPr>
        <w:t>; luego, en esta sede, sustentó el recurso</w:t>
      </w:r>
      <w:r w:rsidR="00954FD4" w:rsidRPr="00E534DB">
        <w:rPr>
          <w:rStyle w:val="Refdenotaalpie"/>
          <w:rFonts w:ascii="Gadugi" w:eastAsia="Calibri" w:hAnsi="Gadugi" w:cs="Times New Roman"/>
          <w:sz w:val="24"/>
          <w:szCs w:val="24"/>
        </w:rPr>
        <w:footnoteReference w:id="14"/>
      </w:r>
      <w:r w:rsidR="00A40B13" w:rsidRPr="00E534DB">
        <w:rPr>
          <w:rFonts w:ascii="Gadugi" w:eastAsia="Calibri" w:hAnsi="Gadugi" w:cs="Times New Roman"/>
          <w:sz w:val="24"/>
          <w:szCs w:val="24"/>
        </w:rPr>
        <w:t>.</w:t>
      </w:r>
      <w:r w:rsidR="00D6754D" w:rsidRPr="00E534DB">
        <w:rPr>
          <w:rFonts w:ascii="Gadugi" w:eastAsia="Calibri" w:hAnsi="Gadugi" w:cs="Times New Roman"/>
          <w:sz w:val="24"/>
          <w:szCs w:val="24"/>
        </w:rPr>
        <w:t xml:space="preserve"> Más adelante se hará alusión a esas intervenciones. </w:t>
      </w:r>
    </w:p>
    <w:p w14:paraId="253942AA" w14:textId="20BF2AAF" w:rsidR="00A40B13" w:rsidRPr="00E534DB" w:rsidRDefault="00A40B13" w:rsidP="00E534DB">
      <w:pPr>
        <w:spacing w:after="0" w:line="276" w:lineRule="auto"/>
        <w:ind w:firstLine="1701"/>
        <w:contextualSpacing/>
        <w:jc w:val="both"/>
        <w:rPr>
          <w:rFonts w:ascii="Gadugi" w:eastAsia="Calibri" w:hAnsi="Gadugi" w:cs="Times New Roman"/>
          <w:sz w:val="24"/>
          <w:szCs w:val="24"/>
        </w:rPr>
      </w:pPr>
    </w:p>
    <w:p w14:paraId="60D53485" w14:textId="77777777" w:rsidR="00A40B13" w:rsidRPr="00E534DB" w:rsidRDefault="00A40B13" w:rsidP="00E534DB">
      <w:pPr>
        <w:spacing w:after="0" w:line="276" w:lineRule="auto"/>
        <w:ind w:firstLine="1701"/>
        <w:contextualSpacing/>
        <w:jc w:val="both"/>
        <w:rPr>
          <w:rFonts w:ascii="Gadugi" w:eastAsia="Calibri" w:hAnsi="Gadugi" w:cs="Times New Roman"/>
          <w:sz w:val="24"/>
          <w:szCs w:val="24"/>
        </w:rPr>
      </w:pPr>
    </w:p>
    <w:p w14:paraId="47106961" w14:textId="77777777" w:rsidR="00D01FB0" w:rsidRPr="00E534DB" w:rsidRDefault="00D01FB0" w:rsidP="00E534DB">
      <w:pPr>
        <w:pStyle w:val="Prrafodelista"/>
        <w:numPr>
          <w:ilvl w:val="0"/>
          <w:numId w:val="1"/>
        </w:numPr>
        <w:spacing w:after="0" w:line="276" w:lineRule="auto"/>
        <w:ind w:left="0" w:firstLine="1701"/>
        <w:jc w:val="both"/>
        <w:rPr>
          <w:rFonts w:ascii="Gadugi" w:eastAsia="Calibri" w:hAnsi="Gadugi" w:cs="Times New Roman"/>
          <w:b/>
          <w:sz w:val="24"/>
          <w:szCs w:val="24"/>
        </w:rPr>
      </w:pPr>
      <w:r w:rsidRPr="00E534DB">
        <w:rPr>
          <w:rFonts w:ascii="Gadugi" w:eastAsia="Calibri" w:hAnsi="Gadugi" w:cs="Times New Roman"/>
          <w:b/>
          <w:sz w:val="24"/>
          <w:szCs w:val="24"/>
        </w:rPr>
        <w:t xml:space="preserve">CONSIDERACIONES   </w:t>
      </w:r>
    </w:p>
    <w:p w14:paraId="60FB2F5B" w14:textId="77777777" w:rsidR="00D01FB0" w:rsidRPr="00E534DB" w:rsidRDefault="00D01FB0" w:rsidP="00E534DB">
      <w:pPr>
        <w:spacing w:after="0" w:line="276" w:lineRule="auto"/>
        <w:contextualSpacing/>
        <w:jc w:val="both"/>
        <w:rPr>
          <w:rFonts w:ascii="Gadugi" w:eastAsia="Calibri" w:hAnsi="Gadugi" w:cs="Times New Roman"/>
          <w:b/>
          <w:sz w:val="24"/>
          <w:szCs w:val="24"/>
        </w:rPr>
      </w:pPr>
    </w:p>
    <w:p w14:paraId="1F54AA46" w14:textId="77777777" w:rsidR="00D01FB0" w:rsidRPr="00E534DB" w:rsidRDefault="00D01FB0" w:rsidP="00E534DB">
      <w:pPr>
        <w:spacing w:after="0" w:line="276" w:lineRule="auto"/>
        <w:contextualSpacing/>
        <w:jc w:val="both"/>
        <w:rPr>
          <w:rFonts w:ascii="Gadugi" w:eastAsia="Calibri" w:hAnsi="Gadugi" w:cs="Times New Roman"/>
          <w:b/>
          <w:sz w:val="24"/>
          <w:szCs w:val="24"/>
        </w:rPr>
      </w:pPr>
    </w:p>
    <w:p w14:paraId="11577544" w14:textId="7C16DDB3" w:rsidR="00D01FB0" w:rsidRPr="00E534DB" w:rsidRDefault="00D01FB0" w:rsidP="00E534DB">
      <w:pPr>
        <w:pStyle w:val="Prrafodelista"/>
        <w:numPr>
          <w:ilvl w:val="1"/>
          <w:numId w:val="8"/>
        </w:numPr>
        <w:tabs>
          <w:tab w:val="left" w:pos="2268"/>
        </w:tabs>
        <w:spacing w:after="0" w:line="276" w:lineRule="auto"/>
        <w:ind w:left="0" w:firstLine="1701"/>
        <w:jc w:val="both"/>
        <w:rPr>
          <w:rFonts w:ascii="Gadugi" w:eastAsia="Calibri" w:hAnsi="Gadugi" w:cs="Times New Roman"/>
          <w:b/>
          <w:sz w:val="24"/>
          <w:szCs w:val="24"/>
        </w:rPr>
      </w:pPr>
      <w:r w:rsidRPr="00E534DB">
        <w:rPr>
          <w:rFonts w:ascii="Gadugi" w:eastAsia="Calibri" w:hAnsi="Gadugi" w:cs="Times New Roman"/>
          <w:sz w:val="24"/>
          <w:szCs w:val="24"/>
        </w:rPr>
        <w:lastRenderedPageBreak/>
        <w:t>No hay reparo respecto de los presupuestos procesales, ni se advierte causal de nulidad en el trámite.</w:t>
      </w:r>
    </w:p>
    <w:p w14:paraId="1444041B" w14:textId="46401B1F" w:rsidR="0071488D" w:rsidRPr="00E534DB" w:rsidRDefault="0071488D" w:rsidP="00E534DB">
      <w:pPr>
        <w:pStyle w:val="Prrafodelista"/>
        <w:tabs>
          <w:tab w:val="left" w:pos="2268"/>
        </w:tabs>
        <w:spacing w:after="0" w:line="276" w:lineRule="auto"/>
        <w:ind w:left="1701"/>
        <w:jc w:val="both"/>
        <w:rPr>
          <w:rFonts w:ascii="Gadugi" w:eastAsia="Calibri" w:hAnsi="Gadugi" w:cs="Times New Roman"/>
          <w:b/>
          <w:sz w:val="24"/>
          <w:szCs w:val="24"/>
        </w:rPr>
      </w:pPr>
    </w:p>
    <w:p w14:paraId="29DF7D10" w14:textId="0B4687F5" w:rsidR="0098544E" w:rsidRPr="00E534DB" w:rsidRDefault="00D01FB0" w:rsidP="00E534DB">
      <w:pPr>
        <w:pStyle w:val="Prrafodelista"/>
        <w:numPr>
          <w:ilvl w:val="1"/>
          <w:numId w:val="8"/>
        </w:numPr>
        <w:tabs>
          <w:tab w:val="left" w:pos="2268"/>
        </w:tabs>
        <w:spacing w:after="0" w:line="276" w:lineRule="auto"/>
        <w:ind w:left="0" w:firstLine="1701"/>
        <w:jc w:val="both"/>
        <w:rPr>
          <w:rFonts w:ascii="Gadugi" w:eastAsia="Calibri" w:hAnsi="Gadugi" w:cs="Times New Roman"/>
          <w:b/>
          <w:sz w:val="24"/>
          <w:szCs w:val="24"/>
        </w:rPr>
      </w:pPr>
      <w:r w:rsidRPr="00E534DB">
        <w:rPr>
          <w:rFonts w:ascii="Gadugi" w:eastAsia="Calibri" w:hAnsi="Gadugi" w:cs="Times New Roman"/>
          <w:sz w:val="24"/>
          <w:szCs w:val="24"/>
        </w:rPr>
        <w:t xml:space="preserve">La legitimación en la causa deriva, por activa, </w:t>
      </w:r>
      <w:r w:rsidR="00BE2879" w:rsidRPr="00E534DB">
        <w:rPr>
          <w:rFonts w:ascii="Gadugi" w:eastAsia="Calibri" w:hAnsi="Gadugi" w:cs="Times New Roman"/>
          <w:sz w:val="24"/>
          <w:szCs w:val="24"/>
        </w:rPr>
        <w:t xml:space="preserve">para Lucelly del Socorro Arteaga Montoya, </w:t>
      </w:r>
      <w:proofErr w:type="spellStart"/>
      <w:r w:rsidR="00BE2879" w:rsidRPr="00E534DB">
        <w:rPr>
          <w:rFonts w:ascii="Gadugi" w:eastAsia="Calibri" w:hAnsi="Gadugi" w:cs="Times New Roman"/>
          <w:sz w:val="24"/>
          <w:szCs w:val="24"/>
        </w:rPr>
        <w:t>Helmer</w:t>
      </w:r>
      <w:proofErr w:type="spellEnd"/>
      <w:r w:rsidR="00BE2879" w:rsidRPr="00E534DB">
        <w:rPr>
          <w:rFonts w:ascii="Gadugi" w:eastAsia="Calibri" w:hAnsi="Gadugi" w:cs="Times New Roman"/>
          <w:sz w:val="24"/>
          <w:szCs w:val="24"/>
        </w:rPr>
        <w:t xml:space="preserve"> González García, Daniela y Lina María González Arteaga, de </w:t>
      </w:r>
      <w:r w:rsidRPr="00E534DB">
        <w:rPr>
          <w:rFonts w:ascii="Gadugi" w:eastAsia="Calibri" w:hAnsi="Gadugi" w:cs="Times New Roman"/>
          <w:sz w:val="24"/>
          <w:szCs w:val="24"/>
        </w:rPr>
        <w:t xml:space="preserve">la condición de víctimas </w:t>
      </w:r>
      <w:r w:rsidR="000249D7" w:rsidRPr="00E534DB">
        <w:rPr>
          <w:rFonts w:ascii="Gadugi" w:eastAsia="Calibri" w:hAnsi="Gadugi" w:cs="Times New Roman"/>
          <w:sz w:val="24"/>
          <w:szCs w:val="24"/>
        </w:rPr>
        <w:t>directas</w:t>
      </w:r>
      <w:r w:rsidR="00BE2879" w:rsidRPr="00E534DB">
        <w:rPr>
          <w:rFonts w:ascii="Gadugi" w:eastAsia="Calibri" w:hAnsi="Gadugi" w:cs="Times New Roman"/>
          <w:sz w:val="24"/>
          <w:szCs w:val="24"/>
        </w:rPr>
        <w:t xml:space="preserve"> en el suceso ocurrido el 9 de febrero de 2010, en el que resultaron afectad</w:t>
      </w:r>
      <w:r w:rsidR="00050C3D" w:rsidRPr="00E534DB">
        <w:rPr>
          <w:rFonts w:ascii="Gadugi" w:eastAsia="Calibri" w:hAnsi="Gadugi" w:cs="Times New Roman"/>
          <w:sz w:val="24"/>
          <w:szCs w:val="24"/>
        </w:rPr>
        <w:t>os</w:t>
      </w:r>
      <w:r w:rsidR="0098544E" w:rsidRPr="00E534DB">
        <w:rPr>
          <w:rFonts w:ascii="Gadugi" w:eastAsia="Calibri" w:hAnsi="Gadugi" w:cs="Times New Roman"/>
          <w:sz w:val="24"/>
          <w:szCs w:val="24"/>
        </w:rPr>
        <w:t xml:space="preserve"> </w:t>
      </w:r>
      <w:r w:rsidR="00BE2879" w:rsidRPr="00E534DB">
        <w:rPr>
          <w:rFonts w:ascii="Gadugi" w:eastAsia="Calibri" w:hAnsi="Gadugi" w:cs="Times New Roman"/>
          <w:sz w:val="24"/>
          <w:szCs w:val="24"/>
        </w:rPr>
        <w:t>por el desplome de su vivienda</w:t>
      </w:r>
      <w:r w:rsidR="00050C3D" w:rsidRPr="00E534DB">
        <w:rPr>
          <w:rFonts w:ascii="Gadugi" w:eastAsia="Calibri" w:hAnsi="Gadugi" w:cs="Times New Roman"/>
          <w:sz w:val="24"/>
          <w:szCs w:val="24"/>
        </w:rPr>
        <w:t>,</w:t>
      </w:r>
      <w:r w:rsidR="00BE2879" w:rsidRPr="00E534DB">
        <w:rPr>
          <w:rFonts w:ascii="Gadugi" w:eastAsia="Calibri" w:hAnsi="Gadugi" w:cs="Times New Roman"/>
          <w:sz w:val="24"/>
          <w:szCs w:val="24"/>
        </w:rPr>
        <w:t xml:space="preserve"> ubicada en la </w:t>
      </w:r>
      <w:r w:rsidR="0098544E" w:rsidRPr="00E534DB">
        <w:rPr>
          <w:rFonts w:ascii="Gadugi" w:eastAsia="Calibri" w:hAnsi="Gadugi" w:cs="Times New Roman"/>
          <w:sz w:val="24"/>
          <w:szCs w:val="24"/>
        </w:rPr>
        <w:t xml:space="preserve">carrera </w:t>
      </w:r>
      <w:r w:rsidR="00BE2879" w:rsidRPr="00E534DB">
        <w:rPr>
          <w:rFonts w:ascii="Gadugi" w:eastAsia="Calibri" w:hAnsi="Gadugi" w:cs="Times New Roman"/>
          <w:sz w:val="24"/>
          <w:szCs w:val="24"/>
        </w:rPr>
        <w:t>20B No</w:t>
      </w:r>
      <w:r w:rsidR="0098544E" w:rsidRPr="00E534DB">
        <w:rPr>
          <w:rFonts w:ascii="Gadugi" w:eastAsia="Calibri" w:hAnsi="Gadugi" w:cs="Times New Roman"/>
          <w:sz w:val="24"/>
          <w:szCs w:val="24"/>
        </w:rPr>
        <w:t>. 71B-33, barrio Luis Carlos Galán Sarmiento, y el de la edificación contigua, producto de una explosión derivada de una fuga de gas</w:t>
      </w:r>
      <w:r w:rsidR="00050C3D" w:rsidRPr="00E534DB">
        <w:rPr>
          <w:rFonts w:ascii="Gadugi" w:eastAsia="Calibri" w:hAnsi="Gadugi" w:cs="Times New Roman"/>
          <w:sz w:val="24"/>
          <w:szCs w:val="24"/>
        </w:rPr>
        <w:t>.</w:t>
      </w:r>
    </w:p>
    <w:p w14:paraId="6E8283D4" w14:textId="77777777" w:rsidR="0098544E" w:rsidRPr="00E534DB" w:rsidRDefault="0098544E" w:rsidP="00E534DB">
      <w:pPr>
        <w:tabs>
          <w:tab w:val="left" w:pos="2268"/>
        </w:tabs>
        <w:spacing w:after="0" w:line="276" w:lineRule="auto"/>
        <w:jc w:val="both"/>
        <w:rPr>
          <w:rFonts w:ascii="Gadugi" w:eastAsia="Calibri" w:hAnsi="Gadugi" w:cs="Times New Roman"/>
          <w:sz w:val="24"/>
          <w:szCs w:val="24"/>
        </w:rPr>
      </w:pPr>
    </w:p>
    <w:p w14:paraId="715BFF7E" w14:textId="6ACF5BF7" w:rsidR="00371A5D" w:rsidRPr="00E534DB" w:rsidRDefault="0098544E" w:rsidP="00E534DB">
      <w:pPr>
        <w:tabs>
          <w:tab w:val="left" w:pos="1701"/>
        </w:tabs>
        <w:spacing w:after="0" w:line="276" w:lineRule="auto"/>
        <w:jc w:val="both"/>
        <w:rPr>
          <w:rFonts w:ascii="Gadugi" w:hAnsi="Gadugi"/>
          <w:sz w:val="24"/>
          <w:szCs w:val="24"/>
        </w:rPr>
      </w:pPr>
      <w:r w:rsidRPr="00E534DB">
        <w:rPr>
          <w:rFonts w:ascii="Gadugi" w:eastAsia="Calibri" w:hAnsi="Gadugi" w:cs="Times New Roman"/>
          <w:sz w:val="24"/>
          <w:szCs w:val="24"/>
        </w:rPr>
        <w:tab/>
        <w:t xml:space="preserve">Por pasiva, imputan los demandantes la responsabilidad a </w:t>
      </w:r>
      <w:r w:rsidRPr="00E534DB">
        <w:rPr>
          <w:rFonts w:ascii="Gadugi" w:hAnsi="Gadugi"/>
          <w:sz w:val="24"/>
          <w:szCs w:val="24"/>
        </w:rPr>
        <w:t>EFIGAS S. A. E.S.P., por cuanto era la entidad que para ese momento suministraba el servicio de gas</w:t>
      </w:r>
      <w:r w:rsidR="00371A5D" w:rsidRPr="00E534DB">
        <w:rPr>
          <w:rFonts w:ascii="Gadugi" w:hAnsi="Gadugi"/>
          <w:sz w:val="24"/>
          <w:szCs w:val="24"/>
        </w:rPr>
        <w:t>, lo que fue aceptado al contestar el hecho segundo de la demanda</w:t>
      </w:r>
      <w:r w:rsidR="00371A5D" w:rsidRPr="00E534DB">
        <w:rPr>
          <w:rStyle w:val="Refdenotaalpie"/>
          <w:rFonts w:ascii="Gadugi" w:hAnsi="Gadugi"/>
          <w:sz w:val="24"/>
          <w:szCs w:val="24"/>
        </w:rPr>
        <w:footnoteReference w:id="15"/>
      </w:r>
      <w:r w:rsidR="00371A5D" w:rsidRPr="00E534DB">
        <w:rPr>
          <w:rFonts w:ascii="Gadugi" w:hAnsi="Gadugi"/>
          <w:sz w:val="24"/>
          <w:szCs w:val="24"/>
        </w:rPr>
        <w:t>.</w:t>
      </w:r>
    </w:p>
    <w:p w14:paraId="5D216E5C" w14:textId="77777777" w:rsidR="00371A5D" w:rsidRPr="00E534DB" w:rsidRDefault="00371A5D" w:rsidP="00E534DB">
      <w:pPr>
        <w:tabs>
          <w:tab w:val="left" w:pos="1701"/>
        </w:tabs>
        <w:spacing w:after="0" w:line="276" w:lineRule="auto"/>
        <w:jc w:val="both"/>
        <w:rPr>
          <w:rFonts w:ascii="Gadugi" w:hAnsi="Gadugi"/>
          <w:sz w:val="24"/>
          <w:szCs w:val="24"/>
        </w:rPr>
      </w:pPr>
    </w:p>
    <w:p w14:paraId="7579E011" w14:textId="12B1B0F8" w:rsidR="009A6172" w:rsidRPr="00E534DB" w:rsidRDefault="00371A5D" w:rsidP="00E534DB">
      <w:pPr>
        <w:pStyle w:val="Prrafodelista"/>
        <w:numPr>
          <w:ilvl w:val="1"/>
          <w:numId w:val="8"/>
        </w:numPr>
        <w:tabs>
          <w:tab w:val="left" w:pos="2268"/>
        </w:tabs>
        <w:spacing w:after="0" w:line="276" w:lineRule="auto"/>
        <w:ind w:left="0" w:firstLine="1701"/>
        <w:jc w:val="both"/>
        <w:rPr>
          <w:rFonts w:ascii="Gadugi" w:eastAsia="Calibri" w:hAnsi="Gadugi" w:cs="Times New Roman"/>
          <w:sz w:val="24"/>
          <w:szCs w:val="24"/>
        </w:rPr>
      </w:pPr>
      <w:r w:rsidRPr="00E534DB">
        <w:rPr>
          <w:rFonts w:ascii="Gadugi" w:eastAsia="Calibri" w:hAnsi="Gadugi" w:cs="Times New Roman"/>
          <w:sz w:val="24"/>
          <w:szCs w:val="24"/>
        </w:rPr>
        <w:t xml:space="preserve">Se trata de una </w:t>
      </w:r>
      <w:r w:rsidR="000249D7" w:rsidRPr="00E534DB">
        <w:rPr>
          <w:rFonts w:ascii="Gadugi" w:eastAsia="Calibri" w:hAnsi="Gadugi" w:cs="Times New Roman"/>
          <w:sz w:val="24"/>
          <w:szCs w:val="24"/>
        </w:rPr>
        <w:t>responsabilidad</w:t>
      </w:r>
      <w:r w:rsidRPr="00E534DB">
        <w:rPr>
          <w:rFonts w:ascii="Gadugi" w:eastAsia="Calibri" w:hAnsi="Gadugi" w:cs="Times New Roman"/>
          <w:sz w:val="24"/>
          <w:szCs w:val="24"/>
        </w:rPr>
        <w:t xml:space="preserve"> extracontractual, </w:t>
      </w:r>
      <w:r w:rsidR="000249D7" w:rsidRPr="00E534DB">
        <w:rPr>
          <w:rFonts w:ascii="Gadugi" w:eastAsia="Calibri" w:hAnsi="Gadugi" w:cs="Times New Roman"/>
          <w:sz w:val="24"/>
          <w:szCs w:val="24"/>
        </w:rPr>
        <w:t xml:space="preserve">ya que, a pesar de que existía un contrato entre la señora Lucelly del Socorro Arteaga con </w:t>
      </w:r>
      <w:r w:rsidRPr="00E534DB">
        <w:rPr>
          <w:rFonts w:ascii="Gadugi" w:eastAsia="Calibri" w:hAnsi="Gadugi" w:cs="Times New Roman"/>
          <w:sz w:val="24"/>
          <w:szCs w:val="24"/>
        </w:rPr>
        <w:t>la sociedad demandada,</w:t>
      </w:r>
      <w:r w:rsidR="000249D7" w:rsidRPr="00E534DB">
        <w:rPr>
          <w:rFonts w:ascii="Gadugi" w:eastAsia="Calibri" w:hAnsi="Gadugi" w:cs="Times New Roman"/>
          <w:sz w:val="24"/>
          <w:szCs w:val="24"/>
        </w:rPr>
        <w:t xml:space="preserve"> para el suministro de gas domiciliario, </w:t>
      </w:r>
      <w:r w:rsidRPr="00E534DB">
        <w:rPr>
          <w:rFonts w:ascii="Gadugi" w:eastAsia="Calibri" w:hAnsi="Gadugi" w:cs="Times New Roman"/>
          <w:sz w:val="24"/>
          <w:szCs w:val="24"/>
        </w:rPr>
        <w:t>-</w:t>
      </w:r>
      <w:r w:rsidR="009A7997" w:rsidRPr="00E534DB">
        <w:rPr>
          <w:rFonts w:ascii="Gadugi" w:eastAsia="Calibri" w:hAnsi="Gadugi" w:cs="Times New Roman"/>
          <w:sz w:val="24"/>
          <w:szCs w:val="24"/>
        </w:rPr>
        <w:t xml:space="preserve">así se afirma </w:t>
      </w:r>
      <w:r w:rsidR="005D70B3" w:rsidRPr="00E534DB">
        <w:rPr>
          <w:rFonts w:ascii="Gadugi" w:eastAsia="Calibri" w:hAnsi="Gadugi" w:cs="Times New Roman"/>
          <w:sz w:val="24"/>
          <w:szCs w:val="24"/>
        </w:rPr>
        <w:t xml:space="preserve">en </w:t>
      </w:r>
      <w:r w:rsidR="009A7997" w:rsidRPr="00E534DB">
        <w:rPr>
          <w:rFonts w:ascii="Gadugi" w:eastAsia="Calibri" w:hAnsi="Gadugi" w:cs="Times New Roman"/>
          <w:sz w:val="24"/>
          <w:szCs w:val="24"/>
        </w:rPr>
        <w:t>el hecho 1.2 de la demanda</w:t>
      </w:r>
      <w:r w:rsidR="004144D6" w:rsidRPr="00E534DB">
        <w:rPr>
          <w:rStyle w:val="Refdenotaalpie"/>
          <w:rFonts w:ascii="Gadugi" w:eastAsia="Calibri" w:hAnsi="Gadugi" w:cs="Times New Roman"/>
          <w:sz w:val="24"/>
          <w:szCs w:val="24"/>
        </w:rPr>
        <w:footnoteReference w:id="16"/>
      </w:r>
      <w:r w:rsidR="009A7997" w:rsidRPr="00E534DB">
        <w:rPr>
          <w:rFonts w:ascii="Gadugi" w:eastAsia="Calibri" w:hAnsi="Gadugi" w:cs="Times New Roman"/>
          <w:sz w:val="24"/>
          <w:szCs w:val="24"/>
        </w:rPr>
        <w:t xml:space="preserve"> y es aceptado por </w:t>
      </w:r>
      <w:r w:rsidR="005D70B3" w:rsidRPr="00E534DB">
        <w:rPr>
          <w:rFonts w:ascii="Gadugi" w:eastAsia="Calibri" w:hAnsi="Gadugi" w:cs="Times New Roman"/>
          <w:sz w:val="24"/>
          <w:szCs w:val="24"/>
        </w:rPr>
        <w:t>la demandada en la contestación</w:t>
      </w:r>
      <w:r w:rsidRPr="00E534DB">
        <w:rPr>
          <w:rFonts w:ascii="Gadugi" w:eastAsia="Calibri" w:hAnsi="Gadugi" w:cs="Times New Roman"/>
          <w:sz w:val="24"/>
          <w:szCs w:val="24"/>
        </w:rPr>
        <w:t>- lo que aquí se pone de presente es que hubo una fuga de gas en una edificación vecina y fue la explosión allí la que generó el desplome de la vivienda de los a</w:t>
      </w:r>
      <w:r w:rsidR="00524E80" w:rsidRPr="00E534DB">
        <w:rPr>
          <w:rFonts w:ascii="Gadugi" w:eastAsia="Calibri" w:hAnsi="Gadugi" w:cs="Times New Roman"/>
          <w:sz w:val="24"/>
          <w:szCs w:val="24"/>
        </w:rPr>
        <w:t>hora</w:t>
      </w:r>
      <w:r w:rsidRPr="00E534DB">
        <w:rPr>
          <w:rFonts w:ascii="Gadugi" w:eastAsia="Calibri" w:hAnsi="Gadugi" w:cs="Times New Roman"/>
          <w:sz w:val="24"/>
          <w:szCs w:val="24"/>
        </w:rPr>
        <w:t xml:space="preserve"> demandantes.  </w:t>
      </w:r>
    </w:p>
    <w:p w14:paraId="3DFC7765" w14:textId="77777777" w:rsidR="00371A5D" w:rsidRPr="00E534DB" w:rsidRDefault="00371A5D" w:rsidP="00E534DB">
      <w:pPr>
        <w:pStyle w:val="Prrafodelista"/>
        <w:tabs>
          <w:tab w:val="left" w:pos="2268"/>
        </w:tabs>
        <w:spacing w:after="0" w:line="276" w:lineRule="auto"/>
        <w:ind w:left="1701"/>
        <w:jc w:val="both"/>
        <w:rPr>
          <w:rFonts w:ascii="Gadugi" w:eastAsia="Calibri" w:hAnsi="Gadugi" w:cs="Times New Roman"/>
          <w:sz w:val="24"/>
          <w:szCs w:val="24"/>
        </w:rPr>
      </w:pPr>
    </w:p>
    <w:p w14:paraId="5516DBAB" w14:textId="30BEB93C" w:rsidR="0071488D" w:rsidRPr="00E534DB" w:rsidRDefault="00371A5D" w:rsidP="00E534DB">
      <w:pPr>
        <w:tabs>
          <w:tab w:val="left" w:pos="2268"/>
        </w:tabs>
        <w:spacing w:after="0" w:line="276" w:lineRule="auto"/>
        <w:ind w:firstLine="1701"/>
        <w:contextualSpacing/>
        <w:jc w:val="both"/>
        <w:rPr>
          <w:rFonts w:ascii="Gadugi" w:eastAsia="Calibri" w:hAnsi="Gadugi" w:cs="Times New Roman"/>
          <w:sz w:val="24"/>
          <w:szCs w:val="24"/>
        </w:rPr>
      </w:pPr>
      <w:r w:rsidRPr="00E534DB">
        <w:rPr>
          <w:rFonts w:ascii="Gadugi" w:eastAsia="Calibri" w:hAnsi="Gadugi" w:cs="Times New Roman"/>
          <w:sz w:val="24"/>
          <w:szCs w:val="24"/>
        </w:rPr>
        <w:t xml:space="preserve">Incluso, </w:t>
      </w:r>
      <w:r w:rsidR="00F07254" w:rsidRPr="00E534DB">
        <w:rPr>
          <w:rFonts w:ascii="Gadugi" w:eastAsia="Calibri" w:hAnsi="Gadugi" w:cs="Times New Roman"/>
          <w:sz w:val="24"/>
          <w:szCs w:val="24"/>
        </w:rPr>
        <w:t xml:space="preserve">a pesar de que en la demanda se impetraron ambas </w:t>
      </w:r>
      <w:r w:rsidRPr="00E534DB">
        <w:rPr>
          <w:rFonts w:ascii="Gadugi" w:eastAsia="Calibri" w:hAnsi="Gadugi" w:cs="Times New Roman"/>
          <w:sz w:val="24"/>
          <w:szCs w:val="24"/>
        </w:rPr>
        <w:t xml:space="preserve">modalidades, </w:t>
      </w:r>
      <w:r w:rsidR="00F07254" w:rsidRPr="00E534DB">
        <w:rPr>
          <w:rFonts w:ascii="Gadugi" w:eastAsia="Calibri" w:hAnsi="Gadugi" w:cs="Times New Roman"/>
          <w:sz w:val="24"/>
          <w:szCs w:val="24"/>
        </w:rPr>
        <w:t>la contractual y la extracontractual</w:t>
      </w:r>
      <w:r w:rsidR="0087599F" w:rsidRPr="00E534DB">
        <w:rPr>
          <w:rStyle w:val="Refdenotaalpie"/>
          <w:rFonts w:ascii="Gadugi" w:eastAsia="Calibri" w:hAnsi="Gadugi" w:cs="Times New Roman"/>
          <w:sz w:val="24"/>
          <w:szCs w:val="24"/>
        </w:rPr>
        <w:footnoteReference w:id="17"/>
      </w:r>
      <w:r w:rsidR="00F07254" w:rsidRPr="00E534DB">
        <w:rPr>
          <w:rFonts w:ascii="Gadugi" w:eastAsia="Calibri" w:hAnsi="Gadugi" w:cs="Times New Roman"/>
          <w:sz w:val="24"/>
          <w:szCs w:val="24"/>
        </w:rPr>
        <w:t>, el juez de instancia</w:t>
      </w:r>
      <w:r w:rsidRPr="00E534DB">
        <w:rPr>
          <w:rFonts w:ascii="Gadugi" w:eastAsia="Calibri" w:hAnsi="Gadugi" w:cs="Times New Roman"/>
          <w:sz w:val="24"/>
          <w:szCs w:val="24"/>
        </w:rPr>
        <w:t>,</w:t>
      </w:r>
      <w:r w:rsidR="00F07254" w:rsidRPr="00E534DB">
        <w:rPr>
          <w:rFonts w:ascii="Gadugi" w:eastAsia="Calibri" w:hAnsi="Gadugi" w:cs="Times New Roman"/>
          <w:sz w:val="24"/>
          <w:szCs w:val="24"/>
        </w:rPr>
        <w:t xml:space="preserve"> la admitió como una </w:t>
      </w:r>
      <w:r w:rsidR="0071488D" w:rsidRPr="00E534DB">
        <w:rPr>
          <w:rFonts w:ascii="Gadugi" w:eastAsia="Calibri" w:hAnsi="Gadugi" w:cs="Times New Roman"/>
          <w:sz w:val="24"/>
          <w:szCs w:val="24"/>
        </w:rPr>
        <w:t>responsabilidad civil extracontractual</w:t>
      </w:r>
      <w:r w:rsidR="0087599F" w:rsidRPr="00E534DB">
        <w:rPr>
          <w:rStyle w:val="Refdenotaalpie"/>
          <w:rFonts w:ascii="Gadugi" w:eastAsia="Calibri" w:hAnsi="Gadugi" w:cs="Times New Roman"/>
          <w:sz w:val="24"/>
          <w:szCs w:val="24"/>
        </w:rPr>
        <w:footnoteReference w:id="18"/>
      </w:r>
      <w:r w:rsidR="0071488D" w:rsidRPr="00E534DB">
        <w:rPr>
          <w:rFonts w:ascii="Gadugi" w:eastAsia="Calibri" w:hAnsi="Gadugi" w:cs="Times New Roman"/>
          <w:sz w:val="24"/>
          <w:szCs w:val="24"/>
        </w:rPr>
        <w:t xml:space="preserve">, </w:t>
      </w:r>
      <w:r w:rsidR="00524E80" w:rsidRPr="00E534DB">
        <w:rPr>
          <w:rFonts w:ascii="Gadugi" w:eastAsia="Calibri" w:hAnsi="Gadugi" w:cs="Times New Roman"/>
          <w:sz w:val="24"/>
          <w:szCs w:val="24"/>
        </w:rPr>
        <w:t xml:space="preserve">decisión que no </w:t>
      </w:r>
      <w:r w:rsidR="0071488D" w:rsidRPr="00E534DB">
        <w:rPr>
          <w:rFonts w:ascii="Gadugi" w:eastAsia="Calibri" w:hAnsi="Gadugi" w:cs="Times New Roman"/>
          <w:sz w:val="24"/>
          <w:szCs w:val="24"/>
        </w:rPr>
        <w:t xml:space="preserve">fue objeto de reparo por </w:t>
      </w:r>
      <w:r w:rsidR="00F07254" w:rsidRPr="00E534DB">
        <w:rPr>
          <w:rFonts w:ascii="Gadugi" w:eastAsia="Calibri" w:hAnsi="Gadugi" w:cs="Times New Roman"/>
          <w:sz w:val="24"/>
          <w:szCs w:val="24"/>
        </w:rPr>
        <w:t>la</w:t>
      </w:r>
      <w:r w:rsidR="00524E80" w:rsidRPr="00E534DB">
        <w:rPr>
          <w:rFonts w:ascii="Gadugi" w:eastAsia="Calibri" w:hAnsi="Gadugi" w:cs="Times New Roman"/>
          <w:sz w:val="24"/>
          <w:szCs w:val="24"/>
        </w:rPr>
        <w:t>s</w:t>
      </w:r>
      <w:r w:rsidR="00F07254" w:rsidRPr="00E534DB">
        <w:rPr>
          <w:rFonts w:ascii="Gadugi" w:eastAsia="Calibri" w:hAnsi="Gadugi" w:cs="Times New Roman"/>
          <w:sz w:val="24"/>
          <w:szCs w:val="24"/>
        </w:rPr>
        <w:t xml:space="preserve"> parte</w:t>
      </w:r>
      <w:r w:rsidR="00524E80" w:rsidRPr="00E534DB">
        <w:rPr>
          <w:rFonts w:ascii="Gadugi" w:eastAsia="Calibri" w:hAnsi="Gadugi" w:cs="Times New Roman"/>
          <w:sz w:val="24"/>
          <w:szCs w:val="24"/>
        </w:rPr>
        <w:t>s.</w:t>
      </w:r>
      <w:r w:rsidR="00F07254" w:rsidRPr="00E534DB">
        <w:rPr>
          <w:rFonts w:ascii="Gadugi" w:eastAsia="Calibri" w:hAnsi="Gadugi" w:cs="Times New Roman"/>
          <w:sz w:val="24"/>
          <w:szCs w:val="24"/>
        </w:rPr>
        <w:t xml:space="preserve"> </w:t>
      </w:r>
    </w:p>
    <w:p w14:paraId="1FD50AD7" w14:textId="4B0D9DFD" w:rsidR="00524E80" w:rsidRPr="00E534DB" w:rsidRDefault="00524E80" w:rsidP="00E534DB">
      <w:pPr>
        <w:tabs>
          <w:tab w:val="left" w:pos="2268"/>
        </w:tabs>
        <w:spacing w:after="0" w:line="276" w:lineRule="auto"/>
        <w:ind w:firstLine="1701"/>
        <w:contextualSpacing/>
        <w:jc w:val="both"/>
        <w:rPr>
          <w:rFonts w:ascii="Gadugi" w:eastAsia="Calibri" w:hAnsi="Gadugi" w:cs="Times New Roman"/>
          <w:sz w:val="24"/>
          <w:szCs w:val="24"/>
        </w:rPr>
      </w:pPr>
    </w:p>
    <w:p w14:paraId="6472E27A" w14:textId="6853C83A" w:rsidR="00524E80" w:rsidRDefault="00524E80" w:rsidP="00E534DB">
      <w:pPr>
        <w:pStyle w:val="Prrafodelista"/>
        <w:numPr>
          <w:ilvl w:val="1"/>
          <w:numId w:val="8"/>
        </w:numPr>
        <w:tabs>
          <w:tab w:val="left" w:pos="2268"/>
        </w:tabs>
        <w:spacing w:after="0" w:line="276" w:lineRule="auto"/>
        <w:ind w:left="0" w:firstLine="1701"/>
        <w:jc w:val="both"/>
        <w:rPr>
          <w:rFonts w:ascii="Gadugi" w:eastAsia="Calibri" w:hAnsi="Gadugi" w:cs="Times New Roman"/>
          <w:sz w:val="24"/>
          <w:szCs w:val="24"/>
        </w:rPr>
      </w:pPr>
      <w:r w:rsidRPr="00E534DB">
        <w:rPr>
          <w:rFonts w:ascii="Gadugi" w:eastAsia="Calibri" w:hAnsi="Gadugi" w:cs="Times New Roman"/>
          <w:sz w:val="24"/>
          <w:szCs w:val="24"/>
        </w:rPr>
        <w:t>Corresponde a la Sala resolver si confirma la absolución que se impartió en primera instancia, o si revoca la decisión, con apoyo en los argumentos que exponen los recurrentes.</w:t>
      </w:r>
    </w:p>
    <w:p w14:paraId="71353B86" w14:textId="77777777" w:rsidR="00422B22" w:rsidRPr="00E534DB" w:rsidRDefault="00422B22" w:rsidP="00422B22">
      <w:pPr>
        <w:pStyle w:val="Prrafodelista"/>
        <w:tabs>
          <w:tab w:val="left" w:pos="2268"/>
        </w:tabs>
        <w:spacing w:after="0" w:line="276" w:lineRule="auto"/>
        <w:ind w:left="1701"/>
        <w:jc w:val="both"/>
        <w:rPr>
          <w:rFonts w:ascii="Gadugi" w:eastAsia="Calibri" w:hAnsi="Gadugi" w:cs="Times New Roman"/>
          <w:sz w:val="24"/>
          <w:szCs w:val="24"/>
        </w:rPr>
      </w:pPr>
    </w:p>
    <w:p w14:paraId="7F9BCBC6" w14:textId="22397772" w:rsidR="00361AAD" w:rsidRPr="00E534DB" w:rsidRDefault="00524E80" w:rsidP="00E534DB">
      <w:pPr>
        <w:pStyle w:val="Prrafodelista"/>
        <w:numPr>
          <w:ilvl w:val="1"/>
          <w:numId w:val="8"/>
        </w:numPr>
        <w:tabs>
          <w:tab w:val="left" w:pos="2268"/>
        </w:tabs>
        <w:spacing w:after="0" w:line="276" w:lineRule="auto"/>
        <w:ind w:left="0" w:firstLine="1701"/>
        <w:jc w:val="both"/>
        <w:rPr>
          <w:rFonts w:ascii="Gadugi" w:hAnsi="Gadugi"/>
          <w:sz w:val="24"/>
          <w:szCs w:val="24"/>
        </w:rPr>
      </w:pPr>
      <w:r w:rsidRPr="00E534DB">
        <w:rPr>
          <w:rFonts w:ascii="Gadugi" w:eastAsia="Calibri" w:hAnsi="Gadugi" w:cs="Times New Roman"/>
          <w:sz w:val="24"/>
          <w:szCs w:val="24"/>
        </w:rPr>
        <w:t xml:space="preserve">El juzgado, como se dijo, </w:t>
      </w:r>
      <w:r w:rsidR="00924C8E" w:rsidRPr="00E534DB">
        <w:rPr>
          <w:rFonts w:ascii="Gadugi" w:eastAsia="Calibri" w:hAnsi="Gadugi" w:cs="Times New Roman"/>
          <w:sz w:val="24"/>
          <w:szCs w:val="24"/>
        </w:rPr>
        <w:t xml:space="preserve">negó las pretensiones, porque, </w:t>
      </w:r>
      <w:r w:rsidR="00361AAD" w:rsidRPr="00E534DB">
        <w:rPr>
          <w:rFonts w:ascii="Gadugi" w:eastAsia="Calibri" w:hAnsi="Gadugi" w:cs="Times New Roman"/>
          <w:sz w:val="24"/>
          <w:szCs w:val="24"/>
        </w:rPr>
        <w:t xml:space="preserve">la parte demandante no logró comprobar que las lesiones </w:t>
      </w:r>
      <w:r w:rsidRPr="00E534DB">
        <w:rPr>
          <w:rFonts w:ascii="Gadugi" w:eastAsia="Calibri" w:hAnsi="Gadugi" w:cs="Times New Roman"/>
          <w:sz w:val="24"/>
          <w:szCs w:val="24"/>
        </w:rPr>
        <w:t xml:space="preserve">y el </w:t>
      </w:r>
      <w:r w:rsidR="00D12F65" w:rsidRPr="00E534DB">
        <w:rPr>
          <w:rFonts w:ascii="Gadugi" w:eastAsia="Calibri" w:hAnsi="Gadugi" w:cs="Times New Roman"/>
          <w:sz w:val="24"/>
          <w:szCs w:val="24"/>
        </w:rPr>
        <w:t>desplome de la casa número 23</w:t>
      </w:r>
      <w:r w:rsidR="00361AAD" w:rsidRPr="00E534DB">
        <w:rPr>
          <w:rFonts w:ascii="Gadugi" w:eastAsia="Calibri" w:hAnsi="Gadugi" w:cs="Times New Roman"/>
          <w:sz w:val="24"/>
          <w:szCs w:val="24"/>
        </w:rPr>
        <w:t xml:space="preserve">, </w:t>
      </w:r>
      <w:r w:rsidRPr="00E534DB">
        <w:rPr>
          <w:rFonts w:ascii="Gadugi" w:eastAsia="Calibri" w:hAnsi="Gadugi" w:cs="Times New Roman"/>
          <w:sz w:val="24"/>
          <w:szCs w:val="24"/>
        </w:rPr>
        <w:t>fuera</w:t>
      </w:r>
      <w:r w:rsidR="00A64774" w:rsidRPr="00E534DB">
        <w:rPr>
          <w:rFonts w:ascii="Gadugi" w:eastAsia="Calibri" w:hAnsi="Gadugi" w:cs="Times New Roman"/>
          <w:sz w:val="24"/>
          <w:szCs w:val="24"/>
        </w:rPr>
        <w:t>n</w:t>
      </w:r>
      <w:r w:rsidRPr="00E534DB">
        <w:rPr>
          <w:rFonts w:ascii="Gadugi" w:eastAsia="Calibri" w:hAnsi="Gadugi" w:cs="Times New Roman"/>
          <w:sz w:val="24"/>
          <w:szCs w:val="24"/>
        </w:rPr>
        <w:t xml:space="preserve"> </w:t>
      </w:r>
      <w:r w:rsidR="00361AAD" w:rsidRPr="00E534DB">
        <w:rPr>
          <w:rFonts w:ascii="Gadugi" w:eastAsia="Calibri" w:hAnsi="Gadugi" w:cs="Times New Roman"/>
          <w:sz w:val="24"/>
          <w:szCs w:val="24"/>
        </w:rPr>
        <w:t>responsabilidad de la demandada</w:t>
      </w:r>
      <w:r w:rsidRPr="00E534DB">
        <w:rPr>
          <w:rFonts w:ascii="Gadugi" w:eastAsia="Calibri" w:hAnsi="Gadugi" w:cs="Times New Roman"/>
          <w:sz w:val="24"/>
          <w:szCs w:val="24"/>
        </w:rPr>
        <w:t>. Al contrario, dijo que</w:t>
      </w:r>
      <w:r w:rsidR="00361AAD" w:rsidRPr="00E534DB">
        <w:rPr>
          <w:rFonts w:ascii="Gadugi" w:eastAsia="Calibri" w:hAnsi="Gadugi" w:cs="Times New Roman"/>
          <w:sz w:val="24"/>
          <w:szCs w:val="24"/>
        </w:rPr>
        <w:t xml:space="preserve"> la empresa “</w:t>
      </w:r>
      <w:r w:rsidR="00361AAD" w:rsidRPr="00422B22">
        <w:rPr>
          <w:rFonts w:ascii="Gadugi" w:eastAsia="Calibri" w:hAnsi="Gadugi" w:cs="Times New Roman"/>
          <w:szCs w:val="24"/>
        </w:rPr>
        <w:t>…</w:t>
      </w:r>
      <w:r w:rsidR="00422B22" w:rsidRPr="00422B22">
        <w:rPr>
          <w:rFonts w:ascii="Gadugi" w:eastAsia="Calibri" w:hAnsi="Gadugi" w:cs="Times New Roman"/>
          <w:szCs w:val="24"/>
        </w:rPr>
        <w:t xml:space="preserve"> </w:t>
      </w:r>
      <w:r w:rsidR="00361AAD" w:rsidRPr="00422B22">
        <w:rPr>
          <w:rFonts w:ascii="Gadugi" w:hAnsi="Gadugi"/>
          <w:szCs w:val="24"/>
        </w:rPr>
        <w:t>c</w:t>
      </w:r>
      <w:r w:rsidR="00361AAD" w:rsidRPr="00422B22">
        <w:rPr>
          <w:rFonts w:ascii="Gadugi" w:hAnsi="Gadugi"/>
          <w:i/>
          <w:szCs w:val="24"/>
        </w:rPr>
        <w:t>umplió con la prestación del servicio y con las revisiones periódicas que se le hacían al inmueble, además de haber manifestado y no existir prueba en contrario de no haber recibido ningún reporte el día de los hechos</w:t>
      </w:r>
      <w:r w:rsidR="00361AAD" w:rsidRPr="00E534DB">
        <w:rPr>
          <w:rFonts w:ascii="Gadugi" w:hAnsi="Gadugi"/>
          <w:sz w:val="24"/>
          <w:szCs w:val="24"/>
        </w:rPr>
        <w:t xml:space="preserve">”, lo que </w:t>
      </w:r>
      <w:r w:rsidRPr="00E534DB">
        <w:rPr>
          <w:rFonts w:ascii="Gadugi" w:hAnsi="Gadugi"/>
          <w:sz w:val="24"/>
          <w:szCs w:val="24"/>
        </w:rPr>
        <w:t xml:space="preserve">dio al traste con lo pedido por la ausencia de </w:t>
      </w:r>
      <w:r w:rsidR="00361AAD" w:rsidRPr="00E534DB">
        <w:rPr>
          <w:rFonts w:ascii="Gadugi" w:hAnsi="Gadugi"/>
          <w:sz w:val="24"/>
          <w:szCs w:val="24"/>
        </w:rPr>
        <w:t xml:space="preserve">nexo causal entre el hecho y el daño causado. </w:t>
      </w:r>
    </w:p>
    <w:p w14:paraId="5E3C5EAC" w14:textId="0F6EC923" w:rsidR="00A64774" w:rsidRPr="00E534DB" w:rsidRDefault="00A64774" w:rsidP="00E534DB">
      <w:pPr>
        <w:tabs>
          <w:tab w:val="left" w:pos="2268"/>
        </w:tabs>
        <w:spacing w:after="0" w:line="276" w:lineRule="auto"/>
        <w:jc w:val="both"/>
        <w:rPr>
          <w:rFonts w:ascii="Gadugi" w:hAnsi="Gadugi"/>
          <w:sz w:val="24"/>
          <w:szCs w:val="24"/>
        </w:rPr>
      </w:pPr>
    </w:p>
    <w:p w14:paraId="62023993" w14:textId="3882E769" w:rsidR="00A64774" w:rsidRPr="00E534DB" w:rsidRDefault="00A64774" w:rsidP="00E534DB">
      <w:pPr>
        <w:pStyle w:val="Textoindependiente"/>
        <w:tabs>
          <w:tab w:val="left" w:pos="1701"/>
        </w:tabs>
        <w:spacing w:before="1" w:line="276" w:lineRule="auto"/>
        <w:ind w:right="49" w:firstLine="1701"/>
        <w:contextualSpacing/>
        <w:jc w:val="both"/>
        <w:rPr>
          <w:sz w:val="24"/>
          <w:szCs w:val="24"/>
        </w:rPr>
      </w:pPr>
      <w:r w:rsidRPr="00E534DB">
        <w:rPr>
          <w:sz w:val="24"/>
          <w:szCs w:val="24"/>
        </w:rPr>
        <w:t xml:space="preserve"> 2.5. Para abordar lo que es motivo de disenso, se recuerda, </w:t>
      </w:r>
      <w:r w:rsidRPr="00E534DB">
        <w:rPr>
          <w:sz w:val="24"/>
          <w:szCs w:val="24"/>
        </w:rPr>
        <w:lastRenderedPageBreak/>
        <w:t>previamente, que producto de la redacción del artículo 328 del CGP, el sendero</w:t>
      </w:r>
      <w:r w:rsidRPr="00E534DB">
        <w:rPr>
          <w:spacing w:val="1"/>
          <w:sz w:val="24"/>
          <w:szCs w:val="24"/>
        </w:rPr>
        <w:t xml:space="preserve"> </w:t>
      </w:r>
      <w:r w:rsidRPr="00E534DB">
        <w:rPr>
          <w:sz w:val="24"/>
          <w:szCs w:val="24"/>
        </w:rPr>
        <w:t>que</w:t>
      </w:r>
      <w:r w:rsidRPr="00E534DB">
        <w:rPr>
          <w:spacing w:val="-10"/>
          <w:sz w:val="24"/>
          <w:szCs w:val="24"/>
        </w:rPr>
        <w:t xml:space="preserve"> </w:t>
      </w:r>
      <w:r w:rsidRPr="00E534DB">
        <w:rPr>
          <w:sz w:val="24"/>
          <w:szCs w:val="24"/>
        </w:rPr>
        <w:t>traza</w:t>
      </w:r>
      <w:r w:rsidRPr="00E534DB">
        <w:rPr>
          <w:spacing w:val="-10"/>
          <w:sz w:val="24"/>
          <w:szCs w:val="24"/>
        </w:rPr>
        <w:t xml:space="preserve"> </w:t>
      </w:r>
      <w:r w:rsidRPr="00E534DB">
        <w:rPr>
          <w:sz w:val="24"/>
          <w:szCs w:val="24"/>
        </w:rPr>
        <w:t>la</w:t>
      </w:r>
      <w:r w:rsidRPr="00E534DB">
        <w:rPr>
          <w:spacing w:val="-8"/>
          <w:sz w:val="24"/>
          <w:szCs w:val="24"/>
        </w:rPr>
        <w:t xml:space="preserve"> </w:t>
      </w:r>
      <w:r w:rsidRPr="00E534DB">
        <w:rPr>
          <w:sz w:val="24"/>
          <w:szCs w:val="24"/>
        </w:rPr>
        <w:t>competencia</w:t>
      </w:r>
      <w:r w:rsidRPr="00E534DB">
        <w:rPr>
          <w:spacing w:val="-9"/>
          <w:sz w:val="24"/>
          <w:szCs w:val="24"/>
        </w:rPr>
        <w:t xml:space="preserve"> </w:t>
      </w:r>
      <w:r w:rsidRPr="00E534DB">
        <w:rPr>
          <w:sz w:val="24"/>
          <w:szCs w:val="24"/>
        </w:rPr>
        <w:t>del</w:t>
      </w:r>
      <w:r w:rsidRPr="00E534DB">
        <w:rPr>
          <w:spacing w:val="-9"/>
          <w:sz w:val="24"/>
          <w:szCs w:val="24"/>
        </w:rPr>
        <w:t xml:space="preserve"> </w:t>
      </w:r>
      <w:r w:rsidRPr="00E534DB">
        <w:rPr>
          <w:sz w:val="24"/>
          <w:szCs w:val="24"/>
        </w:rPr>
        <w:t>superior</w:t>
      </w:r>
      <w:r w:rsidRPr="00E534DB">
        <w:rPr>
          <w:spacing w:val="-7"/>
          <w:sz w:val="24"/>
          <w:szCs w:val="24"/>
        </w:rPr>
        <w:t xml:space="preserve"> </w:t>
      </w:r>
      <w:r w:rsidRPr="00E534DB">
        <w:rPr>
          <w:sz w:val="24"/>
          <w:szCs w:val="24"/>
        </w:rPr>
        <w:t>está</w:t>
      </w:r>
      <w:r w:rsidRPr="00E534DB">
        <w:rPr>
          <w:spacing w:val="-9"/>
          <w:sz w:val="24"/>
          <w:szCs w:val="24"/>
        </w:rPr>
        <w:t xml:space="preserve"> </w:t>
      </w:r>
      <w:r w:rsidRPr="00E534DB">
        <w:rPr>
          <w:sz w:val="24"/>
          <w:szCs w:val="24"/>
        </w:rPr>
        <w:t>dado</w:t>
      </w:r>
      <w:r w:rsidRPr="00E534DB">
        <w:rPr>
          <w:spacing w:val="-10"/>
          <w:sz w:val="24"/>
          <w:szCs w:val="24"/>
        </w:rPr>
        <w:t xml:space="preserve"> </w:t>
      </w:r>
      <w:r w:rsidRPr="00E534DB">
        <w:rPr>
          <w:sz w:val="24"/>
          <w:szCs w:val="24"/>
        </w:rPr>
        <w:t>por</w:t>
      </w:r>
      <w:r w:rsidRPr="00E534DB">
        <w:rPr>
          <w:spacing w:val="-9"/>
          <w:sz w:val="24"/>
          <w:szCs w:val="24"/>
        </w:rPr>
        <w:t xml:space="preserve"> </w:t>
      </w:r>
      <w:r w:rsidRPr="00E534DB">
        <w:rPr>
          <w:sz w:val="24"/>
          <w:szCs w:val="24"/>
        </w:rPr>
        <w:t>aquellos</w:t>
      </w:r>
      <w:r w:rsidRPr="00E534DB">
        <w:rPr>
          <w:spacing w:val="-8"/>
          <w:sz w:val="24"/>
          <w:szCs w:val="24"/>
        </w:rPr>
        <w:t xml:space="preserve"> </w:t>
      </w:r>
      <w:r w:rsidRPr="00E534DB">
        <w:rPr>
          <w:sz w:val="24"/>
          <w:szCs w:val="24"/>
        </w:rPr>
        <w:t>aspectos</w:t>
      </w:r>
      <w:r w:rsidRPr="00E534DB">
        <w:rPr>
          <w:spacing w:val="-9"/>
          <w:sz w:val="24"/>
          <w:szCs w:val="24"/>
        </w:rPr>
        <w:t xml:space="preserve"> </w:t>
      </w:r>
      <w:r w:rsidRPr="00E534DB">
        <w:rPr>
          <w:sz w:val="24"/>
          <w:szCs w:val="24"/>
        </w:rPr>
        <w:t xml:space="preserve">que </w:t>
      </w:r>
      <w:r w:rsidRPr="00E534DB">
        <w:rPr>
          <w:spacing w:val="-69"/>
          <w:sz w:val="24"/>
          <w:szCs w:val="24"/>
        </w:rPr>
        <w:t>f</w:t>
      </w:r>
      <w:r w:rsidRPr="00E534DB">
        <w:rPr>
          <w:sz w:val="24"/>
          <w:szCs w:val="24"/>
        </w:rPr>
        <w:t>ueron objeto</w:t>
      </w:r>
      <w:r w:rsidRPr="00E534DB">
        <w:rPr>
          <w:spacing w:val="-3"/>
          <w:sz w:val="24"/>
          <w:szCs w:val="24"/>
        </w:rPr>
        <w:t xml:space="preserve"> </w:t>
      </w:r>
      <w:r w:rsidRPr="00E534DB">
        <w:rPr>
          <w:sz w:val="24"/>
          <w:szCs w:val="24"/>
        </w:rPr>
        <w:t>de</w:t>
      </w:r>
      <w:r w:rsidRPr="00E534DB">
        <w:rPr>
          <w:spacing w:val="-6"/>
          <w:sz w:val="24"/>
          <w:szCs w:val="24"/>
        </w:rPr>
        <w:t xml:space="preserve"> </w:t>
      </w:r>
      <w:r w:rsidRPr="00E534DB">
        <w:rPr>
          <w:sz w:val="24"/>
          <w:szCs w:val="24"/>
        </w:rPr>
        <w:t>impugnación,</w:t>
      </w:r>
      <w:r w:rsidRPr="00E534DB">
        <w:rPr>
          <w:spacing w:val="-3"/>
          <w:sz w:val="24"/>
          <w:szCs w:val="24"/>
        </w:rPr>
        <w:t xml:space="preserve"> </w:t>
      </w:r>
      <w:r w:rsidRPr="00E534DB">
        <w:rPr>
          <w:sz w:val="24"/>
          <w:szCs w:val="24"/>
        </w:rPr>
        <w:t>sin</w:t>
      </w:r>
      <w:r w:rsidRPr="00E534DB">
        <w:rPr>
          <w:spacing w:val="-5"/>
          <w:sz w:val="24"/>
          <w:szCs w:val="24"/>
        </w:rPr>
        <w:t xml:space="preserve"> </w:t>
      </w:r>
      <w:r w:rsidRPr="00E534DB">
        <w:rPr>
          <w:sz w:val="24"/>
          <w:szCs w:val="24"/>
        </w:rPr>
        <w:t>perjuicio</w:t>
      </w:r>
      <w:r w:rsidRPr="00E534DB">
        <w:rPr>
          <w:spacing w:val="-3"/>
          <w:sz w:val="24"/>
          <w:szCs w:val="24"/>
        </w:rPr>
        <w:t xml:space="preserve"> </w:t>
      </w:r>
      <w:r w:rsidRPr="00E534DB">
        <w:rPr>
          <w:sz w:val="24"/>
          <w:szCs w:val="24"/>
        </w:rPr>
        <w:t>de</w:t>
      </w:r>
      <w:r w:rsidRPr="00E534DB">
        <w:rPr>
          <w:spacing w:val="-4"/>
          <w:sz w:val="24"/>
          <w:szCs w:val="24"/>
        </w:rPr>
        <w:t xml:space="preserve"> </w:t>
      </w:r>
      <w:r w:rsidRPr="00E534DB">
        <w:rPr>
          <w:sz w:val="24"/>
          <w:szCs w:val="24"/>
        </w:rPr>
        <w:t>algunas</w:t>
      </w:r>
      <w:r w:rsidRPr="00E534DB">
        <w:rPr>
          <w:spacing w:val="-3"/>
          <w:sz w:val="24"/>
          <w:szCs w:val="24"/>
        </w:rPr>
        <w:t xml:space="preserve"> </w:t>
      </w:r>
      <w:r w:rsidRPr="00E534DB">
        <w:rPr>
          <w:sz w:val="24"/>
          <w:szCs w:val="24"/>
        </w:rPr>
        <w:t>situaciones</w:t>
      </w:r>
      <w:r w:rsidRPr="00E534DB">
        <w:rPr>
          <w:spacing w:val="-4"/>
          <w:sz w:val="24"/>
          <w:szCs w:val="24"/>
        </w:rPr>
        <w:t xml:space="preserve"> </w:t>
      </w:r>
      <w:r w:rsidR="00422B22" w:rsidRPr="00E534DB">
        <w:rPr>
          <w:sz w:val="24"/>
          <w:szCs w:val="24"/>
        </w:rPr>
        <w:t xml:space="preserve">que </w:t>
      </w:r>
      <w:r w:rsidR="00422B22" w:rsidRPr="00422B22">
        <w:rPr>
          <w:sz w:val="24"/>
          <w:szCs w:val="24"/>
        </w:rPr>
        <w:t>permiten</w:t>
      </w:r>
      <w:r w:rsidRPr="00E534DB">
        <w:rPr>
          <w:sz w:val="24"/>
          <w:szCs w:val="24"/>
        </w:rPr>
        <w:t xml:space="preserve"> decidir de oficio (legitimación en la causa, prestaciones mutuas,</w:t>
      </w:r>
      <w:r w:rsidRPr="00E534DB">
        <w:rPr>
          <w:spacing w:val="1"/>
          <w:sz w:val="24"/>
          <w:szCs w:val="24"/>
        </w:rPr>
        <w:t xml:space="preserve"> </w:t>
      </w:r>
      <w:r w:rsidRPr="00E534DB">
        <w:rPr>
          <w:sz w:val="24"/>
          <w:szCs w:val="24"/>
        </w:rPr>
        <w:t>asuntos relacionados con la familia, las costas procesales, por ejemplo). Es lo</w:t>
      </w:r>
      <w:r w:rsidRPr="00E534DB">
        <w:rPr>
          <w:spacing w:val="-2"/>
          <w:sz w:val="24"/>
          <w:szCs w:val="24"/>
        </w:rPr>
        <w:t xml:space="preserve"> </w:t>
      </w:r>
      <w:r w:rsidRPr="00E534DB">
        <w:rPr>
          <w:sz w:val="24"/>
          <w:szCs w:val="24"/>
        </w:rPr>
        <w:t>que</w:t>
      </w:r>
      <w:r w:rsidRPr="00E534DB">
        <w:rPr>
          <w:spacing w:val="-4"/>
          <w:sz w:val="24"/>
          <w:szCs w:val="24"/>
        </w:rPr>
        <w:t xml:space="preserve"> </w:t>
      </w:r>
      <w:r w:rsidRPr="00E534DB">
        <w:rPr>
          <w:sz w:val="24"/>
          <w:szCs w:val="24"/>
        </w:rPr>
        <w:t>se</w:t>
      </w:r>
      <w:r w:rsidRPr="00E534DB">
        <w:rPr>
          <w:spacing w:val="-4"/>
          <w:sz w:val="24"/>
          <w:szCs w:val="24"/>
        </w:rPr>
        <w:t xml:space="preserve"> </w:t>
      </w:r>
      <w:r w:rsidRPr="00E534DB">
        <w:rPr>
          <w:sz w:val="24"/>
          <w:szCs w:val="24"/>
        </w:rPr>
        <w:t>ha</w:t>
      </w:r>
      <w:r w:rsidRPr="00E534DB">
        <w:rPr>
          <w:spacing w:val="-6"/>
          <w:sz w:val="24"/>
          <w:szCs w:val="24"/>
        </w:rPr>
        <w:t xml:space="preserve"> </w:t>
      </w:r>
      <w:r w:rsidRPr="00E534DB">
        <w:rPr>
          <w:sz w:val="24"/>
          <w:szCs w:val="24"/>
        </w:rPr>
        <w:t>dado</w:t>
      </w:r>
      <w:r w:rsidRPr="00E534DB">
        <w:rPr>
          <w:spacing w:val="-4"/>
          <w:sz w:val="24"/>
          <w:szCs w:val="24"/>
        </w:rPr>
        <w:t xml:space="preserve"> </w:t>
      </w:r>
      <w:r w:rsidRPr="00E534DB">
        <w:rPr>
          <w:sz w:val="24"/>
          <w:szCs w:val="24"/>
        </w:rPr>
        <w:t>en</w:t>
      </w:r>
      <w:r w:rsidRPr="00E534DB">
        <w:rPr>
          <w:spacing w:val="-4"/>
          <w:sz w:val="24"/>
          <w:szCs w:val="24"/>
        </w:rPr>
        <w:t xml:space="preserve"> </w:t>
      </w:r>
      <w:r w:rsidRPr="00E534DB">
        <w:rPr>
          <w:sz w:val="24"/>
          <w:szCs w:val="24"/>
        </w:rPr>
        <w:t>denominar</w:t>
      </w:r>
      <w:r w:rsidRPr="00E534DB">
        <w:rPr>
          <w:spacing w:val="-3"/>
          <w:sz w:val="24"/>
          <w:szCs w:val="24"/>
        </w:rPr>
        <w:t xml:space="preserve"> </w:t>
      </w:r>
      <w:r w:rsidRPr="00E534DB">
        <w:rPr>
          <w:sz w:val="24"/>
          <w:szCs w:val="24"/>
        </w:rPr>
        <w:t>la</w:t>
      </w:r>
      <w:r w:rsidRPr="00E534DB">
        <w:rPr>
          <w:spacing w:val="-4"/>
          <w:sz w:val="24"/>
          <w:szCs w:val="24"/>
        </w:rPr>
        <w:t xml:space="preserve"> </w:t>
      </w:r>
      <w:r w:rsidRPr="00E534DB">
        <w:rPr>
          <w:sz w:val="24"/>
          <w:szCs w:val="24"/>
        </w:rPr>
        <w:t>pretensión</w:t>
      </w:r>
      <w:r w:rsidRPr="00E534DB">
        <w:rPr>
          <w:spacing w:val="-1"/>
          <w:sz w:val="24"/>
          <w:szCs w:val="24"/>
        </w:rPr>
        <w:t xml:space="preserve"> </w:t>
      </w:r>
      <w:r w:rsidRPr="00E534DB">
        <w:rPr>
          <w:sz w:val="24"/>
          <w:szCs w:val="24"/>
        </w:rPr>
        <w:t>impugnaticia,</w:t>
      </w:r>
      <w:r w:rsidRPr="00E534DB">
        <w:rPr>
          <w:spacing w:val="-1"/>
          <w:sz w:val="24"/>
          <w:szCs w:val="24"/>
        </w:rPr>
        <w:t xml:space="preserve"> </w:t>
      </w:r>
      <w:r w:rsidRPr="00E534DB">
        <w:rPr>
          <w:sz w:val="24"/>
          <w:szCs w:val="24"/>
        </w:rPr>
        <w:t>como</w:t>
      </w:r>
      <w:r w:rsidRPr="00E534DB">
        <w:rPr>
          <w:spacing w:val="-4"/>
          <w:sz w:val="24"/>
          <w:szCs w:val="24"/>
        </w:rPr>
        <w:t xml:space="preserve"> </w:t>
      </w:r>
      <w:r w:rsidRPr="00E534DB">
        <w:rPr>
          <w:sz w:val="24"/>
          <w:szCs w:val="24"/>
        </w:rPr>
        <w:t>ha</w:t>
      </w:r>
      <w:r w:rsidRPr="00E534DB">
        <w:rPr>
          <w:spacing w:val="-5"/>
          <w:sz w:val="24"/>
          <w:szCs w:val="24"/>
        </w:rPr>
        <w:t xml:space="preserve"> </w:t>
      </w:r>
      <w:r w:rsidR="00422B22" w:rsidRPr="00E534DB">
        <w:rPr>
          <w:sz w:val="24"/>
          <w:szCs w:val="24"/>
        </w:rPr>
        <w:t xml:space="preserve">sido </w:t>
      </w:r>
      <w:r w:rsidR="00422B22" w:rsidRPr="00422B22">
        <w:rPr>
          <w:sz w:val="24"/>
          <w:szCs w:val="24"/>
        </w:rPr>
        <w:t>reconocido</w:t>
      </w:r>
      <w:r w:rsidRPr="00E534DB">
        <w:rPr>
          <w:sz w:val="24"/>
          <w:szCs w:val="24"/>
        </w:rPr>
        <w:t xml:space="preserve"> por esta Sala de tiempo atrás</w:t>
      </w:r>
      <w:r w:rsidRPr="00E534DB">
        <w:rPr>
          <w:sz w:val="24"/>
          <w:szCs w:val="24"/>
          <w:vertAlign w:val="superscript"/>
        </w:rPr>
        <w:footnoteReference w:id="19"/>
      </w:r>
      <w:r w:rsidRPr="00E534DB">
        <w:rPr>
          <w:spacing w:val="1"/>
          <w:position w:val="9"/>
          <w:sz w:val="24"/>
          <w:szCs w:val="24"/>
        </w:rPr>
        <w:t xml:space="preserve"> </w:t>
      </w:r>
      <w:r w:rsidRPr="00E534DB">
        <w:rPr>
          <w:sz w:val="24"/>
          <w:szCs w:val="24"/>
        </w:rPr>
        <w:t>y lo han reiterado otras</w:t>
      </w:r>
      <w:r w:rsidRPr="00E534DB">
        <w:rPr>
          <w:sz w:val="24"/>
          <w:szCs w:val="24"/>
          <w:vertAlign w:val="superscript"/>
        </w:rPr>
        <w:footnoteReference w:id="20"/>
      </w:r>
      <w:r w:rsidRPr="00E534DB">
        <w:rPr>
          <w:sz w:val="24"/>
          <w:szCs w:val="24"/>
        </w:rPr>
        <w:t>, con</w:t>
      </w:r>
      <w:r w:rsidRPr="00E534DB">
        <w:rPr>
          <w:spacing w:val="1"/>
          <w:sz w:val="24"/>
          <w:szCs w:val="24"/>
        </w:rPr>
        <w:t xml:space="preserve"> </w:t>
      </w:r>
      <w:r w:rsidRPr="00E534DB">
        <w:rPr>
          <w:sz w:val="24"/>
          <w:szCs w:val="24"/>
        </w:rPr>
        <w:t>soporte en decisiones de la Corte, unas de tutela</w:t>
      </w:r>
      <w:r w:rsidRPr="00E534DB">
        <w:rPr>
          <w:sz w:val="24"/>
          <w:szCs w:val="24"/>
          <w:vertAlign w:val="superscript"/>
        </w:rPr>
        <w:footnoteReference w:id="21"/>
      </w:r>
      <w:r w:rsidRPr="00E534DB">
        <w:rPr>
          <w:sz w:val="24"/>
          <w:szCs w:val="24"/>
        </w:rPr>
        <w:t>, que se acogen como</w:t>
      </w:r>
      <w:r w:rsidRPr="00E534DB">
        <w:rPr>
          <w:spacing w:val="1"/>
          <w:sz w:val="24"/>
          <w:szCs w:val="24"/>
        </w:rPr>
        <w:t xml:space="preserve"> </w:t>
      </w:r>
      <w:r w:rsidRPr="00E534DB">
        <w:rPr>
          <w:sz w:val="24"/>
          <w:szCs w:val="24"/>
        </w:rPr>
        <w:t>criterio</w:t>
      </w:r>
      <w:r w:rsidRPr="00E534DB">
        <w:rPr>
          <w:spacing w:val="-1"/>
          <w:sz w:val="24"/>
          <w:szCs w:val="24"/>
        </w:rPr>
        <w:t xml:space="preserve"> </w:t>
      </w:r>
      <w:r w:rsidRPr="00E534DB">
        <w:rPr>
          <w:sz w:val="24"/>
          <w:szCs w:val="24"/>
        </w:rPr>
        <w:t>auxiliar,</w:t>
      </w:r>
      <w:r w:rsidRPr="00E534DB">
        <w:rPr>
          <w:spacing w:val="1"/>
          <w:sz w:val="24"/>
          <w:szCs w:val="24"/>
        </w:rPr>
        <w:t xml:space="preserve"> </w:t>
      </w:r>
      <w:r w:rsidRPr="00E534DB">
        <w:rPr>
          <w:sz w:val="24"/>
          <w:szCs w:val="24"/>
        </w:rPr>
        <w:t>y</w:t>
      </w:r>
      <w:r w:rsidRPr="00E534DB">
        <w:rPr>
          <w:spacing w:val="-2"/>
          <w:sz w:val="24"/>
          <w:szCs w:val="24"/>
        </w:rPr>
        <w:t xml:space="preserve"> </w:t>
      </w:r>
      <w:r w:rsidRPr="00E534DB">
        <w:rPr>
          <w:sz w:val="24"/>
          <w:szCs w:val="24"/>
        </w:rPr>
        <w:t>otras de casación</w:t>
      </w:r>
      <w:r w:rsidRPr="00E534DB">
        <w:rPr>
          <w:sz w:val="24"/>
          <w:szCs w:val="24"/>
          <w:vertAlign w:val="superscript"/>
        </w:rPr>
        <w:footnoteReference w:id="22"/>
      </w:r>
      <w:r w:rsidRPr="00E534DB">
        <w:rPr>
          <w:sz w:val="24"/>
          <w:szCs w:val="24"/>
        </w:rPr>
        <w:t>.</w:t>
      </w:r>
    </w:p>
    <w:p w14:paraId="2826F565" w14:textId="0D8CA3E3" w:rsidR="00A64774" w:rsidRPr="00E534DB" w:rsidRDefault="00A64774" w:rsidP="00E534DB">
      <w:pPr>
        <w:tabs>
          <w:tab w:val="left" w:pos="1701"/>
        </w:tabs>
        <w:spacing w:after="0" w:line="276" w:lineRule="auto"/>
        <w:jc w:val="both"/>
        <w:rPr>
          <w:rFonts w:ascii="Gadugi" w:hAnsi="Gadugi"/>
          <w:sz w:val="24"/>
          <w:szCs w:val="24"/>
        </w:rPr>
      </w:pPr>
    </w:p>
    <w:p w14:paraId="6777FB87" w14:textId="73B39D5C" w:rsidR="00A64774" w:rsidRPr="00E534DB" w:rsidRDefault="00A64774" w:rsidP="00E534DB">
      <w:pPr>
        <w:tabs>
          <w:tab w:val="left" w:pos="1701"/>
        </w:tabs>
        <w:spacing w:after="0" w:line="276" w:lineRule="auto"/>
        <w:jc w:val="both"/>
        <w:rPr>
          <w:rFonts w:ascii="Gadugi" w:hAnsi="Gadugi"/>
          <w:sz w:val="24"/>
          <w:szCs w:val="24"/>
        </w:rPr>
      </w:pPr>
      <w:r w:rsidRPr="00E534DB">
        <w:rPr>
          <w:rFonts w:ascii="Gadugi" w:hAnsi="Gadugi"/>
          <w:sz w:val="24"/>
          <w:szCs w:val="24"/>
        </w:rPr>
        <w:t xml:space="preserve">  </w:t>
      </w:r>
      <w:r w:rsidRPr="00E534DB">
        <w:rPr>
          <w:rFonts w:ascii="Gadugi" w:hAnsi="Gadugi"/>
          <w:sz w:val="24"/>
          <w:szCs w:val="24"/>
        </w:rPr>
        <w:tab/>
        <w:t>En el caso presente es más relevante esta previsión, porque en el actual ordenamiento procesal, el legislador optó por incluir dos etapas en el recurso de apelación de sentencias, diferenciadas, pero con estrecha relación</w:t>
      </w:r>
      <w:r w:rsidR="000846D8" w:rsidRPr="00E534DB">
        <w:rPr>
          <w:rFonts w:ascii="Gadugi" w:hAnsi="Gadugi"/>
          <w:sz w:val="24"/>
          <w:szCs w:val="24"/>
        </w:rPr>
        <w:t>: los reparos concretos y la sustentación</w:t>
      </w:r>
      <w:r w:rsidRPr="00E534DB">
        <w:rPr>
          <w:rFonts w:ascii="Gadugi" w:hAnsi="Gadugi"/>
          <w:sz w:val="24"/>
          <w:szCs w:val="24"/>
        </w:rPr>
        <w:t xml:space="preserve">. De un lado, el numeral 3 del artículo 322, establece que, en lo que concierne a la apelación de sentencias, el recurrente debe, al momento de interponer el recurso, o dentro de los tres días siguientes, precisar, de manera breve, los reparos concretos que le hace a la decisión, sobre los cuales versará la sustentación que hará ante el superior. Y más adelante, el artículo 327 establece que el apelante debe sujetar su alegación </w:t>
      </w:r>
      <w:r w:rsidR="000846D8" w:rsidRPr="00E534DB">
        <w:rPr>
          <w:rFonts w:ascii="Gadugi" w:hAnsi="Gadugi"/>
          <w:sz w:val="24"/>
          <w:szCs w:val="24"/>
        </w:rPr>
        <w:t xml:space="preserve">a desarrollar los argumentos expuestos ante el juez de primera instancia. </w:t>
      </w:r>
    </w:p>
    <w:p w14:paraId="68C44D30" w14:textId="4DD20EB1" w:rsidR="000846D8" w:rsidRPr="00E534DB" w:rsidRDefault="000846D8" w:rsidP="00E534DB">
      <w:pPr>
        <w:tabs>
          <w:tab w:val="left" w:pos="1701"/>
        </w:tabs>
        <w:spacing w:after="0" w:line="276" w:lineRule="auto"/>
        <w:jc w:val="both"/>
        <w:rPr>
          <w:rFonts w:ascii="Gadugi" w:hAnsi="Gadugi"/>
          <w:sz w:val="24"/>
          <w:szCs w:val="24"/>
        </w:rPr>
      </w:pPr>
    </w:p>
    <w:p w14:paraId="0E8A777E" w14:textId="66B254FB" w:rsidR="000846D8" w:rsidRPr="00E534DB" w:rsidRDefault="000846D8" w:rsidP="00E534DB">
      <w:pPr>
        <w:tabs>
          <w:tab w:val="left" w:pos="1701"/>
        </w:tabs>
        <w:spacing w:after="0" w:line="276" w:lineRule="auto"/>
        <w:jc w:val="both"/>
        <w:rPr>
          <w:rFonts w:ascii="Gadugi" w:hAnsi="Gadugi"/>
          <w:sz w:val="24"/>
          <w:szCs w:val="24"/>
        </w:rPr>
      </w:pPr>
      <w:r w:rsidRPr="00E534DB">
        <w:rPr>
          <w:rFonts w:ascii="Gadugi" w:hAnsi="Gadugi"/>
          <w:sz w:val="24"/>
          <w:szCs w:val="24"/>
        </w:rPr>
        <w:t xml:space="preserve">  </w:t>
      </w:r>
      <w:r w:rsidRPr="00E534DB">
        <w:rPr>
          <w:rFonts w:ascii="Gadugi" w:hAnsi="Gadugi"/>
          <w:sz w:val="24"/>
          <w:szCs w:val="24"/>
        </w:rPr>
        <w:tab/>
        <w:t xml:space="preserve">De manera que, en estricto sentido, salvo los casos en los que el juez puede de oficio ocuparse de un específico asunto, como se mencionó, son los reparos concretos los que a la postre fijan los límites de la competencia del superior, pues es sobre ellos, y su posterior desarrollo en la sustentación, que debe versar la decisión de segundo grado. Por tanto, si en la sustentación se exceden esos contornos, no queda </w:t>
      </w:r>
      <w:r w:rsidR="00CD06E1" w:rsidRPr="00E534DB">
        <w:rPr>
          <w:rFonts w:ascii="Gadugi" w:hAnsi="Gadugi"/>
          <w:sz w:val="24"/>
          <w:szCs w:val="24"/>
        </w:rPr>
        <w:t xml:space="preserve">alternativa para el juez que conoce de la alzada, que la de desechar cualquier manifestación adicional que se haga por parte del recurrente. </w:t>
      </w:r>
    </w:p>
    <w:p w14:paraId="0C54F60E" w14:textId="32702B76" w:rsidR="00CD06E1" w:rsidRPr="00E534DB" w:rsidRDefault="00CD06E1" w:rsidP="00E534DB">
      <w:pPr>
        <w:tabs>
          <w:tab w:val="left" w:pos="1701"/>
        </w:tabs>
        <w:spacing w:after="0" w:line="276" w:lineRule="auto"/>
        <w:jc w:val="both"/>
        <w:rPr>
          <w:rFonts w:ascii="Gadugi" w:hAnsi="Gadugi"/>
          <w:sz w:val="24"/>
          <w:szCs w:val="24"/>
        </w:rPr>
      </w:pPr>
    </w:p>
    <w:p w14:paraId="7C283AF4" w14:textId="77777777" w:rsidR="00030E65" w:rsidRPr="00E534DB" w:rsidRDefault="00CD06E1" w:rsidP="00E534DB">
      <w:pPr>
        <w:tabs>
          <w:tab w:val="left" w:pos="1701"/>
        </w:tabs>
        <w:spacing w:after="0" w:line="276" w:lineRule="auto"/>
        <w:jc w:val="both"/>
        <w:rPr>
          <w:rFonts w:ascii="Gadugi" w:hAnsi="Gadugi"/>
          <w:sz w:val="24"/>
          <w:szCs w:val="24"/>
        </w:rPr>
      </w:pPr>
      <w:r w:rsidRPr="00E534DB">
        <w:rPr>
          <w:rFonts w:ascii="Gadugi" w:hAnsi="Gadugi"/>
          <w:sz w:val="24"/>
          <w:szCs w:val="24"/>
        </w:rPr>
        <w:t xml:space="preserve">  </w:t>
      </w:r>
      <w:r w:rsidRPr="00E534DB">
        <w:rPr>
          <w:rFonts w:ascii="Gadugi" w:hAnsi="Gadugi"/>
          <w:sz w:val="24"/>
          <w:szCs w:val="24"/>
        </w:rPr>
        <w:tab/>
        <w:t xml:space="preserve">Es lo que aquí acontecerá, dado que, como viene de verse, los reparos concretos se concentraron en tres cosas: </w:t>
      </w:r>
    </w:p>
    <w:p w14:paraId="4D351BEF" w14:textId="77777777" w:rsidR="00030E65" w:rsidRPr="00E534DB" w:rsidRDefault="00030E65" w:rsidP="00E534DB">
      <w:pPr>
        <w:tabs>
          <w:tab w:val="left" w:pos="1701"/>
        </w:tabs>
        <w:spacing w:after="0" w:line="276" w:lineRule="auto"/>
        <w:jc w:val="both"/>
        <w:rPr>
          <w:rFonts w:ascii="Gadugi" w:hAnsi="Gadugi"/>
          <w:sz w:val="24"/>
          <w:szCs w:val="24"/>
        </w:rPr>
      </w:pPr>
    </w:p>
    <w:p w14:paraId="1342ACEC" w14:textId="6F1D04DE" w:rsidR="003C7BCE" w:rsidRPr="00E534DB" w:rsidRDefault="00524E80" w:rsidP="00E534DB">
      <w:pPr>
        <w:pStyle w:val="Prrafodelista"/>
        <w:numPr>
          <w:ilvl w:val="0"/>
          <w:numId w:val="6"/>
        </w:numPr>
        <w:tabs>
          <w:tab w:val="left" w:pos="1701"/>
          <w:tab w:val="left" w:pos="1985"/>
        </w:tabs>
        <w:spacing w:after="0" w:line="276" w:lineRule="auto"/>
        <w:ind w:left="0" w:firstLine="1701"/>
        <w:jc w:val="both"/>
        <w:rPr>
          <w:rFonts w:ascii="Gadugi" w:hAnsi="Gadugi"/>
          <w:sz w:val="24"/>
          <w:szCs w:val="24"/>
        </w:rPr>
      </w:pPr>
      <w:r w:rsidRPr="00E534DB">
        <w:rPr>
          <w:rFonts w:ascii="Gadugi" w:hAnsi="Gadugi"/>
          <w:sz w:val="24"/>
          <w:szCs w:val="24"/>
        </w:rPr>
        <w:t xml:space="preserve">Como se </w:t>
      </w:r>
      <w:r w:rsidR="003C7BCE" w:rsidRPr="00E534DB">
        <w:rPr>
          <w:rFonts w:ascii="Gadugi" w:hAnsi="Gadugi"/>
          <w:sz w:val="24"/>
          <w:szCs w:val="24"/>
        </w:rPr>
        <w:t xml:space="preserve">trata de una actividad peligrosa, </w:t>
      </w:r>
      <w:r w:rsidRPr="00E534DB">
        <w:rPr>
          <w:rFonts w:ascii="Gadugi" w:hAnsi="Gadugi"/>
          <w:sz w:val="24"/>
          <w:szCs w:val="24"/>
        </w:rPr>
        <w:t xml:space="preserve">esto es, </w:t>
      </w:r>
      <w:r w:rsidR="003C7BCE" w:rsidRPr="00E534DB">
        <w:rPr>
          <w:rFonts w:ascii="Gadugi" w:hAnsi="Gadugi"/>
          <w:sz w:val="24"/>
          <w:szCs w:val="24"/>
        </w:rPr>
        <w:t>la generación, distribución y comercialización de gas natural</w:t>
      </w:r>
      <w:r w:rsidRPr="00E534DB">
        <w:rPr>
          <w:rFonts w:ascii="Gadugi" w:hAnsi="Gadugi"/>
          <w:sz w:val="24"/>
          <w:szCs w:val="24"/>
        </w:rPr>
        <w:t xml:space="preserve">, </w:t>
      </w:r>
      <w:r w:rsidR="000E123C" w:rsidRPr="00E534DB">
        <w:rPr>
          <w:rFonts w:ascii="Gadugi" w:hAnsi="Gadugi"/>
          <w:sz w:val="24"/>
          <w:szCs w:val="24"/>
        </w:rPr>
        <w:t>la carga probatoria recae en la entidad demandada</w:t>
      </w:r>
      <w:r w:rsidR="00A42615" w:rsidRPr="00E534DB">
        <w:rPr>
          <w:rFonts w:ascii="Gadugi" w:hAnsi="Gadugi"/>
          <w:sz w:val="24"/>
          <w:szCs w:val="24"/>
        </w:rPr>
        <w:t xml:space="preserve">, pues </w:t>
      </w:r>
      <w:r w:rsidR="00030E65" w:rsidRPr="00E534DB">
        <w:rPr>
          <w:rFonts w:ascii="Gadugi" w:hAnsi="Gadugi"/>
          <w:sz w:val="24"/>
          <w:szCs w:val="24"/>
        </w:rPr>
        <w:t xml:space="preserve">el régimen es el de una </w:t>
      </w:r>
      <w:r w:rsidR="00A42615" w:rsidRPr="00E534DB">
        <w:rPr>
          <w:rFonts w:ascii="Gadugi" w:hAnsi="Gadugi"/>
          <w:sz w:val="24"/>
          <w:szCs w:val="24"/>
        </w:rPr>
        <w:t>responsabilidad objetiva</w:t>
      </w:r>
      <w:r w:rsidR="003C7BCE" w:rsidRPr="00E534DB">
        <w:rPr>
          <w:rFonts w:ascii="Gadugi" w:hAnsi="Gadugi"/>
          <w:sz w:val="24"/>
          <w:szCs w:val="24"/>
        </w:rPr>
        <w:t xml:space="preserve">. </w:t>
      </w:r>
    </w:p>
    <w:p w14:paraId="78AEF962" w14:textId="77777777" w:rsidR="00690990" w:rsidRPr="00E534DB" w:rsidRDefault="00690990" w:rsidP="00E534DB">
      <w:pPr>
        <w:pStyle w:val="Prrafodelista"/>
        <w:tabs>
          <w:tab w:val="left" w:pos="1985"/>
        </w:tabs>
        <w:spacing w:after="0" w:line="276" w:lineRule="auto"/>
        <w:ind w:left="1701"/>
        <w:jc w:val="both"/>
        <w:rPr>
          <w:rFonts w:ascii="Gadugi" w:hAnsi="Gadugi"/>
          <w:sz w:val="24"/>
          <w:szCs w:val="24"/>
        </w:rPr>
      </w:pPr>
    </w:p>
    <w:p w14:paraId="48441040" w14:textId="3AD802BB" w:rsidR="003C7BCE" w:rsidRPr="00E534DB" w:rsidRDefault="00524E80" w:rsidP="00E534DB">
      <w:pPr>
        <w:pStyle w:val="Prrafodelista"/>
        <w:numPr>
          <w:ilvl w:val="0"/>
          <w:numId w:val="6"/>
        </w:numPr>
        <w:tabs>
          <w:tab w:val="left" w:pos="1985"/>
        </w:tabs>
        <w:spacing w:after="0" w:line="276" w:lineRule="auto"/>
        <w:ind w:left="0" w:firstLine="1701"/>
        <w:jc w:val="both"/>
        <w:rPr>
          <w:rFonts w:ascii="Gadugi" w:hAnsi="Gadugi"/>
          <w:sz w:val="24"/>
          <w:szCs w:val="24"/>
        </w:rPr>
      </w:pPr>
      <w:r w:rsidRPr="00E534DB">
        <w:rPr>
          <w:rFonts w:ascii="Gadugi" w:hAnsi="Gadugi"/>
          <w:sz w:val="24"/>
          <w:szCs w:val="24"/>
        </w:rPr>
        <w:t xml:space="preserve">No ha debido negársele </w:t>
      </w:r>
      <w:r w:rsidR="003C7BCE" w:rsidRPr="00E534DB">
        <w:rPr>
          <w:rFonts w:ascii="Gadugi" w:hAnsi="Gadugi"/>
          <w:sz w:val="24"/>
          <w:szCs w:val="24"/>
        </w:rPr>
        <w:t xml:space="preserve">valor demostrativo </w:t>
      </w:r>
      <w:r w:rsidRPr="00E534DB">
        <w:rPr>
          <w:rFonts w:ascii="Gadugi" w:hAnsi="Gadugi"/>
          <w:sz w:val="24"/>
          <w:szCs w:val="24"/>
        </w:rPr>
        <w:t>a</w:t>
      </w:r>
      <w:r w:rsidR="003C7BCE" w:rsidRPr="00E534DB">
        <w:rPr>
          <w:rFonts w:ascii="Gadugi" w:hAnsi="Gadugi"/>
          <w:sz w:val="24"/>
          <w:szCs w:val="24"/>
        </w:rPr>
        <w:t xml:space="preserve"> la prueba documental</w:t>
      </w:r>
      <w:r w:rsidRPr="00E534DB">
        <w:rPr>
          <w:rFonts w:ascii="Gadugi" w:hAnsi="Gadugi"/>
          <w:sz w:val="24"/>
          <w:szCs w:val="24"/>
        </w:rPr>
        <w:t xml:space="preserve">, al </w:t>
      </w:r>
      <w:r w:rsidR="003C7BCE" w:rsidRPr="00E534DB">
        <w:rPr>
          <w:rFonts w:ascii="Gadugi" w:hAnsi="Gadugi"/>
          <w:sz w:val="24"/>
          <w:szCs w:val="24"/>
        </w:rPr>
        <w:t>informe técnico</w:t>
      </w:r>
      <w:r w:rsidRPr="00E534DB">
        <w:rPr>
          <w:rFonts w:ascii="Gadugi" w:hAnsi="Gadugi"/>
          <w:sz w:val="24"/>
          <w:szCs w:val="24"/>
        </w:rPr>
        <w:t xml:space="preserve"> </w:t>
      </w:r>
      <w:r w:rsidR="003C7BCE" w:rsidRPr="00E534DB">
        <w:rPr>
          <w:rFonts w:ascii="Gadugi" w:hAnsi="Gadugi"/>
          <w:sz w:val="24"/>
          <w:szCs w:val="24"/>
        </w:rPr>
        <w:t xml:space="preserve">y </w:t>
      </w:r>
      <w:r w:rsidRPr="00E534DB">
        <w:rPr>
          <w:rFonts w:ascii="Gadugi" w:hAnsi="Gadugi"/>
          <w:sz w:val="24"/>
          <w:szCs w:val="24"/>
        </w:rPr>
        <w:t xml:space="preserve">a los </w:t>
      </w:r>
      <w:r w:rsidR="003C7BCE" w:rsidRPr="00E534DB">
        <w:rPr>
          <w:rFonts w:ascii="Gadugi" w:hAnsi="Gadugi"/>
          <w:sz w:val="24"/>
          <w:szCs w:val="24"/>
        </w:rPr>
        <w:t xml:space="preserve">demás componentes allegados en la prueba trasladada de la Fiscalía General de la Nación (Fiscalía 19 Seccional Dosquebradas), </w:t>
      </w:r>
      <w:r w:rsidRPr="00E534DB">
        <w:rPr>
          <w:rFonts w:ascii="Gadugi" w:hAnsi="Gadugi"/>
          <w:sz w:val="24"/>
          <w:szCs w:val="24"/>
        </w:rPr>
        <w:t xml:space="preserve">pues </w:t>
      </w:r>
      <w:r w:rsidR="003C7BCE" w:rsidRPr="00E534DB">
        <w:rPr>
          <w:rFonts w:ascii="Gadugi" w:hAnsi="Gadugi"/>
          <w:sz w:val="24"/>
          <w:szCs w:val="24"/>
        </w:rPr>
        <w:t xml:space="preserve">permanecieron a disposición de las partes a lo largo del proceso civil y no fueron objeto </w:t>
      </w:r>
      <w:r w:rsidR="003C7BCE" w:rsidRPr="00E534DB">
        <w:rPr>
          <w:rFonts w:ascii="Gadugi" w:hAnsi="Gadugi"/>
          <w:sz w:val="24"/>
          <w:szCs w:val="24"/>
        </w:rPr>
        <w:lastRenderedPageBreak/>
        <w:t>de tacha, razón por la cual debieron ser apreciados con el valor legal que tienen y les corresponde. En estos casos lo que debe ratificarse son los testigos no los documentos.</w:t>
      </w:r>
      <w:r w:rsidR="00A42615" w:rsidRPr="00E534DB">
        <w:rPr>
          <w:rFonts w:ascii="Gadugi" w:hAnsi="Gadugi"/>
          <w:sz w:val="24"/>
          <w:szCs w:val="24"/>
        </w:rPr>
        <w:t xml:space="preserve"> </w:t>
      </w:r>
    </w:p>
    <w:p w14:paraId="0587F841" w14:textId="77777777" w:rsidR="00690990" w:rsidRPr="00E534DB" w:rsidRDefault="00690990" w:rsidP="00E534DB">
      <w:pPr>
        <w:tabs>
          <w:tab w:val="left" w:pos="1985"/>
        </w:tabs>
        <w:spacing w:after="0" w:line="276" w:lineRule="auto"/>
        <w:contextualSpacing/>
        <w:jc w:val="both"/>
        <w:rPr>
          <w:rFonts w:ascii="Gadugi" w:hAnsi="Gadugi"/>
          <w:sz w:val="24"/>
          <w:szCs w:val="24"/>
        </w:rPr>
      </w:pPr>
    </w:p>
    <w:p w14:paraId="764625B8" w14:textId="2D1FBE2B" w:rsidR="00524E80" w:rsidRPr="00E534DB" w:rsidRDefault="00524E80" w:rsidP="00E534DB">
      <w:pPr>
        <w:pStyle w:val="Prrafodelista"/>
        <w:numPr>
          <w:ilvl w:val="0"/>
          <w:numId w:val="6"/>
        </w:numPr>
        <w:tabs>
          <w:tab w:val="left" w:pos="1985"/>
        </w:tabs>
        <w:spacing w:after="0" w:line="276" w:lineRule="auto"/>
        <w:ind w:left="0" w:firstLine="1701"/>
        <w:jc w:val="both"/>
        <w:rPr>
          <w:rFonts w:ascii="Gadugi" w:eastAsia="Calibri" w:hAnsi="Gadugi" w:cs="Times New Roman"/>
          <w:sz w:val="24"/>
          <w:szCs w:val="24"/>
        </w:rPr>
      </w:pPr>
      <w:r w:rsidRPr="00E534DB">
        <w:rPr>
          <w:rFonts w:ascii="Gadugi" w:hAnsi="Gadugi"/>
          <w:sz w:val="24"/>
          <w:szCs w:val="24"/>
        </w:rPr>
        <w:t xml:space="preserve">La </w:t>
      </w:r>
      <w:r w:rsidR="003C7BCE" w:rsidRPr="00E534DB">
        <w:rPr>
          <w:rFonts w:ascii="Gadugi" w:hAnsi="Gadugi"/>
          <w:sz w:val="24"/>
          <w:szCs w:val="24"/>
        </w:rPr>
        <w:t>falta de revisiones por parte de la entidad demandada</w:t>
      </w:r>
      <w:r w:rsidRPr="00E534DB">
        <w:rPr>
          <w:rFonts w:ascii="Gadugi" w:hAnsi="Gadugi"/>
          <w:sz w:val="24"/>
          <w:szCs w:val="24"/>
        </w:rPr>
        <w:t xml:space="preserve"> llevó a </w:t>
      </w:r>
      <w:r w:rsidR="003C7BCE" w:rsidRPr="00E534DB">
        <w:rPr>
          <w:rFonts w:ascii="Gadugi" w:hAnsi="Gadugi"/>
          <w:sz w:val="24"/>
          <w:szCs w:val="24"/>
        </w:rPr>
        <w:t>que se generara el accidente</w:t>
      </w:r>
      <w:r w:rsidRPr="00E534DB">
        <w:rPr>
          <w:rFonts w:ascii="Gadugi" w:hAnsi="Gadugi"/>
          <w:sz w:val="24"/>
          <w:szCs w:val="24"/>
        </w:rPr>
        <w:t xml:space="preserve">. </w:t>
      </w:r>
      <w:r w:rsidR="00D6754D" w:rsidRPr="00E534DB">
        <w:rPr>
          <w:rFonts w:ascii="Gadugi" w:hAnsi="Gadugi"/>
          <w:sz w:val="24"/>
          <w:szCs w:val="24"/>
        </w:rPr>
        <w:t>L</w:t>
      </w:r>
      <w:r w:rsidR="00D6754D" w:rsidRPr="00E534DB">
        <w:rPr>
          <w:rFonts w:ascii="Gadugi" w:eastAsia="Calibri" w:hAnsi="Gadugi" w:cs="Times New Roman"/>
          <w:sz w:val="24"/>
          <w:szCs w:val="24"/>
        </w:rPr>
        <w:t>a responsabilidad en el mantenimiento y revisión de la red interna recae en ella, así que la juez de primer grado “</w:t>
      </w:r>
      <w:r w:rsidR="00D6754D" w:rsidRPr="00422B22">
        <w:rPr>
          <w:rFonts w:ascii="Gadugi" w:eastAsia="Calibri" w:hAnsi="Gadugi" w:cs="Times New Roman"/>
          <w:i/>
          <w:szCs w:val="24"/>
        </w:rPr>
        <w:t>…</w:t>
      </w:r>
      <w:r w:rsidR="00422B22" w:rsidRPr="00422B22">
        <w:rPr>
          <w:rFonts w:ascii="Gadugi" w:eastAsia="Calibri" w:hAnsi="Gadugi" w:cs="Times New Roman"/>
          <w:i/>
          <w:szCs w:val="24"/>
        </w:rPr>
        <w:t xml:space="preserve"> </w:t>
      </w:r>
      <w:r w:rsidR="00D6754D" w:rsidRPr="00422B22">
        <w:rPr>
          <w:rFonts w:ascii="Gadugi" w:eastAsia="Calibri" w:hAnsi="Gadugi" w:cs="Times New Roman"/>
          <w:i/>
          <w:szCs w:val="24"/>
        </w:rPr>
        <w:t>no tuvo en cuenta que de conformidad con lo dispuesto en el artículo 11 de la Ley 142 de 1994 las empresas de servicios públicos serán civilmente responsables por los perjuicios ocasionados a los usuarios</w:t>
      </w:r>
      <w:r w:rsidR="00D6754D" w:rsidRPr="00E534DB">
        <w:rPr>
          <w:rFonts w:ascii="Gadugi" w:eastAsia="Calibri" w:hAnsi="Gadugi" w:cs="Times New Roman"/>
          <w:i/>
          <w:sz w:val="24"/>
          <w:szCs w:val="24"/>
        </w:rPr>
        <w:t>”.</w:t>
      </w:r>
    </w:p>
    <w:p w14:paraId="75B60421" w14:textId="77777777" w:rsidR="00D6754D" w:rsidRPr="00E534DB" w:rsidRDefault="00D6754D" w:rsidP="00E534DB">
      <w:pPr>
        <w:spacing w:after="0" w:line="276" w:lineRule="auto"/>
        <w:ind w:firstLine="1701"/>
        <w:contextualSpacing/>
        <w:jc w:val="both"/>
        <w:rPr>
          <w:rFonts w:ascii="Gadugi" w:eastAsia="Calibri" w:hAnsi="Gadugi" w:cs="Times New Roman"/>
          <w:sz w:val="24"/>
          <w:szCs w:val="24"/>
        </w:rPr>
      </w:pPr>
    </w:p>
    <w:p w14:paraId="3070DF23" w14:textId="68EE81A8" w:rsidR="00D6754D" w:rsidRPr="00E534DB" w:rsidRDefault="006724B6" w:rsidP="00E534DB">
      <w:pPr>
        <w:spacing w:after="0" w:line="276" w:lineRule="auto"/>
        <w:ind w:firstLine="1701"/>
        <w:contextualSpacing/>
        <w:jc w:val="both"/>
        <w:rPr>
          <w:rFonts w:ascii="Gadugi" w:eastAsia="Calibri" w:hAnsi="Gadugi" w:cs="Times New Roman"/>
          <w:sz w:val="24"/>
          <w:szCs w:val="24"/>
        </w:rPr>
      </w:pPr>
      <w:r w:rsidRPr="00E534DB">
        <w:rPr>
          <w:rFonts w:ascii="Gadugi" w:eastAsia="Calibri" w:hAnsi="Gadugi" w:cs="Times New Roman"/>
          <w:sz w:val="24"/>
          <w:szCs w:val="24"/>
        </w:rPr>
        <w:t>Mientras que en el</w:t>
      </w:r>
      <w:r w:rsidR="00D6754D" w:rsidRPr="00E534DB">
        <w:rPr>
          <w:rFonts w:ascii="Gadugi" w:eastAsia="Calibri" w:hAnsi="Gadugi" w:cs="Times New Roman"/>
          <w:sz w:val="24"/>
          <w:szCs w:val="24"/>
        </w:rPr>
        <w:t xml:space="preserve"> escrito de sustentación </w:t>
      </w:r>
      <w:r w:rsidR="00972519" w:rsidRPr="00E534DB">
        <w:rPr>
          <w:rFonts w:ascii="Gadugi" w:eastAsia="Calibri" w:hAnsi="Gadugi" w:cs="Times New Roman"/>
          <w:sz w:val="24"/>
          <w:szCs w:val="24"/>
        </w:rPr>
        <w:t xml:space="preserve">se </w:t>
      </w:r>
      <w:r w:rsidR="00D6754D" w:rsidRPr="00E534DB">
        <w:rPr>
          <w:rFonts w:ascii="Gadugi" w:eastAsia="Calibri" w:hAnsi="Gadugi" w:cs="Times New Roman"/>
          <w:sz w:val="24"/>
          <w:szCs w:val="24"/>
        </w:rPr>
        <w:t>dijo que (i) el juzgado no tuvo en cuenta los testimonios de las personas que sostuvieron que días antes de la explosión se sintió un olor a gas y que la víctima mortal en la explosión había ido a la empresa a reclamar para que se arreglara la fuga</w:t>
      </w:r>
      <w:r w:rsidRPr="00E534DB">
        <w:rPr>
          <w:rFonts w:ascii="Gadugi" w:eastAsia="Calibri" w:hAnsi="Gadugi" w:cs="Times New Roman"/>
          <w:sz w:val="24"/>
          <w:szCs w:val="24"/>
        </w:rPr>
        <w:t xml:space="preserve">; </w:t>
      </w:r>
      <w:r w:rsidR="00D6754D" w:rsidRPr="00E534DB">
        <w:rPr>
          <w:rFonts w:ascii="Gadugi" w:eastAsia="Calibri" w:hAnsi="Gadugi" w:cs="Times New Roman"/>
          <w:sz w:val="24"/>
          <w:szCs w:val="24"/>
        </w:rPr>
        <w:t xml:space="preserve">(ii) </w:t>
      </w:r>
      <w:r w:rsidRPr="00E534DB">
        <w:rPr>
          <w:rFonts w:ascii="Gadugi" w:eastAsia="Calibri" w:hAnsi="Gadugi" w:cs="Times New Roman"/>
          <w:sz w:val="24"/>
          <w:szCs w:val="24"/>
        </w:rPr>
        <w:t xml:space="preserve">tampoco la </w:t>
      </w:r>
      <w:r w:rsidR="00D6754D" w:rsidRPr="00E534DB">
        <w:rPr>
          <w:rFonts w:ascii="Gadugi" w:eastAsia="Calibri" w:hAnsi="Gadugi" w:cs="Times New Roman"/>
          <w:sz w:val="24"/>
          <w:szCs w:val="24"/>
        </w:rPr>
        <w:t xml:space="preserve">declaración rendida por Mario Ortiz López señala que de la revisión que fue certificada para el apartamento 1, se presentaba una fuga de gas; (iii) fue irregular el comportamiento de la empresa al retirar de la escena del siniestro la estufa y las mangueras que ocasionaron la explosión, es decir, de la evidencia; entonces, se vulneró la cadena de custodia sobre esos elementos como material probatorio; (iv) la existencia de una instalación irregular del servicio de gas en uno de los inmuebles donde ocurrió el aciago, pone de presente el negligente actuar de la empresa responsable de la prestación del servicio, a la que le corresponden los deberes de inspección, control y vigilancia de la actividad. De ahí la falla del servicio, por ignorar las llamadas previas y la realización de actuaciones </w:t>
      </w:r>
      <w:r w:rsidR="00422B22" w:rsidRPr="00E534DB">
        <w:rPr>
          <w:rFonts w:ascii="Gadugi" w:eastAsia="Calibri" w:hAnsi="Gadugi" w:cs="Times New Roman"/>
          <w:sz w:val="24"/>
          <w:szCs w:val="24"/>
        </w:rPr>
        <w:t>oportunas para</w:t>
      </w:r>
      <w:r w:rsidR="00D6754D" w:rsidRPr="00E534DB">
        <w:rPr>
          <w:rFonts w:ascii="Gadugi" w:eastAsia="Calibri" w:hAnsi="Gadugi" w:cs="Times New Roman"/>
          <w:sz w:val="24"/>
          <w:szCs w:val="24"/>
        </w:rPr>
        <w:t xml:space="preserve"> evitar la explosión, así como la certificación de revisión del apartamento 1, donde había irregularidades en la conexión; (v) además, desconoció el régimen de responsabilidad objetiva en este caso, por tratarse de una actividad peligrosa</w:t>
      </w:r>
      <w:r w:rsidR="00D6754D" w:rsidRPr="00E534DB">
        <w:rPr>
          <w:rStyle w:val="Refdenotaalpie"/>
          <w:rFonts w:ascii="Gadugi" w:eastAsia="Calibri" w:hAnsi="Gadugi" w:cs="Times New Roman"/>
          <w:sz w:val="24"/>
          <w:szCs w:val="24"/>
        </w:rPr>
        <w:footnoteReference w:id="23"/>
      </w:r>
      <w:r w:rsidR="00D6754D" w:rsidRPr="00E534DB">
        <w:rPr>
          <w:rFonts w:ascii="Gadugi" w:eastAsia="Calibri" w:hAnsi="Gadugi" w:cs="Times New Roman"/>
          <w:sz w:val="24"/>
          <w:szCs w:val="24"/>
        </w:rPr>
        <w:t>.</w:t>
      </w:r>
    </w:p>
    <w:p w14:paraId="752D0F56" w14:textId="033D77EE" w:rsidR="00D6754D" w:rsidRPr="00E534DB" w:rsidRDefault="00D6754D" w:rsidP="00E534DB">
      <w:pPr>
        <w:spacing w:after="0" w:line="276" w:lineRule="auto"/>
        <w:ind w:firstLine="1701"/>
        <w:contextualSpacing/>
        <w:jc w:val="both"/>
        <w:rPr>
          <w:rFonts w:ascii="Gadugi" w:eastAsia="Calibri" w:hAnsi="Gadugi" w:cs="Times New Roman"/>
          <w:sz w:val="24"/>
          <w:szCs w:val="24"/>
        </w:rPr>
      </w:pPr>
    </w:p>
    <w:p w14:paraId="682EA00E" w14:textId="20F0EE96" w:rsidR="006724B6" w:rsidRDefault="006724B6" w:rsidP="00E534DB">
      <w:pPr>
        <w:spacing w:after="0" w:line="276" w:lineRule="auto"/>
        <w:ind w:firstLine="1701"/>
        <w:contextualSpacing/>
        <w:jc w:val="both"/>
        <w:rPr>
          <w:rFonts w:ascii="Gadugi" w:eastAsia="Calibri" w:hAnsi="Gadugi" w:cs="Times New Roman"/>
          <w:sz w:val="24"/>
          <w:szCs w:val="24"/>
        </w:rPr>
      </w:pPr>
      <w:r w:rsidRPr="00E534DB">
        <w:rPr>
          <w:rFonts w:ascii="Gadugi" w:eastAsia="Calibri" w:hAnsi="Gadugi" w:cs="Times New Roman"/>
          <w:sz w:val="24"/>
          <w:szCs w:val="24"/>
        </w:rPr>
        <w:t xml:space="preserve">Como es fácil observar, de los reparos concretos solo se hizo alusión a dos de ellos, esto es, que el régimen de responsabilidad es objetivo, por tratarse de una actividad peligrosa; y que la empresa incumplió sus deberes al ignorar las llamadas previas para atender la fuga de gas. </w:t>
      </w:r>
    </w:p>
    <w:p w14:paraId="55FDC130" w14:textId="77777777" w:rsidR="00422B22" w:rsidRPr="00E534DB" w:rsidRDefault="00422B22" w:rsidP="00E534DB">
      <w:pPr>
        <w:spacing w:after="0" w:line="276" w:lineRule="auto"/>
        <w:ind w:firstLine="1701"/>
        <w:contextualSpacing/>
        <w:jc w:val="both"/>
        <w:rPr>
          <w:rFonts w:ascii="Gadugi" w:eastAsia="Calibri" w:hAnsi="Gadugi" w:cs="Times New Roman"/>
          <w:sz w:val="24"/>
          <w:szCs w:val="24"/>
        </w:rPr>
      </w:pPr>
    </w:p>
    <w:p w14:paraId="474A21FB" w14:textId="0E8642ED" w:rsidR="006724B6" w:rsidRPr="00E534DB" w:rsidRDefault="006724B6" w:rsidP="00E534DB">
      <w:pPr>
        <w:spacing w:after="0" w:line="276" w:lineRule="auto"/>
        <w:ind w:firstLine="1701"/>
        <w:contextualSpacing/>
        <w:jc w:val="both"/>
        <w:rPr>
          <w:rFonts w:ascii="Gadugi" w:eastAsia="Calibri" w:hAnsi="Gadugi" w:cs="Times New Roman"/>
          <w:sz w:val="24"/>
          <w:szCs w:val="24"/>
        </w:rPr>
      </w:pPr>
      <w:r w:rsidRPr="00E534DB">
        <w:rPr>
          <w:rFonts w:ascii="Gadugi" w:eastAsia="Calibri" w:hAnsi="Gadugi" w:cs="Times New Roman"/>
          <w:sz w:val="24"/>
          <w:szCs w:val="24"/>
        </w:rPr>
        <w:t xml:space="preserve">Los demás argumentos expuestos en la sustentación quedan al margen de aquellos reparos, porque en ellos nada se mencionó acerca de la valoración de los testimonios, incluyendo el de Mario Ortiz López, ninguno de ellos fue objeto de cuestionamiento; tampoco se aludió a que la empresa hubiera incidido en la investigación por haber retirado unos elementos de prueba del sitio donde ocurrió el siniestro; menos aún, se mencionó algo sobre la negligencia de la demandada por no revisar una acometida irregular en uno de los apartamentos de la edificación donde hubo la explosión. </w:t>
      </w:r>
    </w:p>
    <w:p w14:paraId="4FC24069" w14:textId="6A2DCC77" w:rsidR="006724B6" w:rsidRPr="00E534DB" w:rsidRDefault="006724B6" w:rsidP="00E534DB">
      <w:pPr>
        <w:spacing w:after="0" w:line="276" w:lineRule="auto"/>
        <w:ind w:firstLine="1701"/>
        <w:contextualSpacing/>
        <w:jc w:val="both"/>
        <w:rPr>
          <w:rFonts w:ascii="Gadugi" w:eastAsia="Calibri" w:hAnsi="Gadugi" w:cs="Times New Roman"/>
          <w:sz w:val="24"/>
          <w:szCs w:val="24"/>
        </w:rPr>
      </w:pPr>
    </w:p>
    <w:p w14:paraId="4EBA438A" w14:textId="447114AB" w:rsidR="006724B6" w:rsidRPr="00E534DB" w:rsidRDefault="006724B6" w:rsidP="00E534DB">
      <w:pPr>
        <w:spacing w:after="0" w:line="276" w:lineRule="auto"/>
        <w:ind w:firstLine="1701"/>
        <w:contextualSpacing/>
        <w:jc w:val="both"/>
        <w:rPr>
          <w:rFonts w:ascii="Gadugi" w:eastAsia="Calibri" w:hAnsi="Gadugi" w:cs="Times New Roman"/>
          <w:i/>
          <w:sz w:val="24"/>
          <w:szCs w:val="24"/>
        </w:rPr>
      </w:pPr>
      <w:r w:rsidRPr="00E534DB">
        <w:rPr>
          <w:rFonts w:ascii="Gadugi" w:eastAsia="Calibri" w:hAnsi="Gadugi" w:cs="Times New Roman"/>
          <w:sz w:val="24"/>
          <w:szCs w:val="24"/>
        </w:rPr>
        <w:lastRenderedPageBreak/>
        <w:t>Ahora, la cuestión no para allí; porque</w:t>
      </w:r>
      <w:r w:rsidR="00C71D08" w:rsidRPr="00E534DB">
        <w:rPr>
          <w:rFonts w:ascii="Gadugi" w:eastAsia="Calibri" w:hAnsi="Gadugi" w:cs="Times New Roman"/>
          <w:sz w:val="24"/>
          <w:szCs w:val="24"/>
        </w:rPr>
        <w:t>,</w:t>
      </w:r>
      <w:r w:rsidRPr="00E534DB">
        <w:rPr>
          <w:rFonts w:ascii="Gadugi" w:eastAsia="Calibri" w:hAnsi="Gadugi" w:cs="Times New Roman"/>
          <w:sz w:val="24"/>
          <w:szCs w:val="24"/>
        </w:rPr>
        <w:t xml:space="preserve"> a</w:t>
      </w:r>
      <w:r w:rsidR="00C71D08" w:rsidRPr="00E534DB">
        <w:rPr>
          <w:rFonts w:ascii="Gadugi" w:eastAsia="Calibri" w:hAnsi="Gadugi" w:cs="Times New Roman"/>
          <w:sz w:val="24"/>
          <w:szCs w:val="24"/>
        </w:rPr>
        <w:t>u</w:t>
      </w:r>
      <w:r w:rsidRPr="00E534DB">
        <w:rPr>
          <w:rFonts w:ascii="Gadugi" w:eastAsia="Calibri" w:hAnsi="Gadugi" w:cs="Times New Roman"/>
          <w:sz w:val="24"/>
          <w:szCs w:val="24"/>
        </w:rPr>
        <w:t xml:space="preserve">n si se aceptara esa parte de la sustentación, salvo en lo que tiene que ver con la omisión que se le imputa a </w:t>
      </w:r>
      <w:proofErr w:type="spellStart"/>
      <w:r w:rsidRPr="00E534DB">
        <w:rPr>
          <w:rFonts w:ascii="Gadugi" w:eastAsia="Calibri" w:hAnsi="Gadugi" w:cs="Times New Roman"/>
          <w:sz w:val="24"/>
          <w:szCs w:val="24"/>
        </w:rPr>
        <w:t>Efigas</w:t>
      </w:r>
      <w:proofErr w:type="spellEnd"/>
      <w:r w:rsidRPr="00E534DB">
        <w:rPr>
          <w:rFonts w:ascii="Gadugi" w:eastAsia="Calibri" w:hAnsi="Gadugi" w:cs="Times New Roman"/>
          <w:sz w:val="24"/>
          <w:szCs w:val="24"/>
        </w:rPr>
        <w:t xml:space="preserve"> por no haber atendido el llamado para revisar una fuga de gas, los otros aspectos</w:t>
      </w:r>
      <w:r w:rsidR="00972519" w:rsidRPr="00E534DB">
        <w:rPr>
          <w:rFonts w:ascii="Gadugi" w:eastAsia="Calibri" w:hAnsi="Gadugi" w:cs="Times New Roman"/>
          <w:sz w:val="24"/>
          <w:szCs w:val="24"/>
        </w:rPr>
        <w:t xml:space="preserve">, como explicó el juez en la sentencia, </w:t>
      </w:r>
      <w:r w:rsidRPr="00E534DB">
        <w:rPr>
          <w:rFonts w:ascii="Gadugi" w:eastAsia="Calibri" w:hAnsi="Gadugi" w:cs="Times New Roman"/>
          <w:sz w:val="24"/>
          <w:szCs w:val="24"/>
        </w:rPr>
        <w:t xml:space="preserve"> son novedosos en este proceso, no fueron el soporte de la cuestión fáctica expuesta en la demanda, en la que, lo único que se dice, es que </w:t>
      </w:r>
      <w:r w:rsidR="00DD7163" w:rsidRPr="00E534DB">
        <w:rPr>
          <w:rFonts w:ascii="Gadugi" w:eastAsia="Calibri" w:hAnsi="Gadugi" w:cs="Times New Roman"/>
          <w:sz w:val="24"/>
          <w:szCs w:val="24"/>
        </w:rPr>
        <w:t xml:space="preserve">la explosión derivó de una fuga de gas domiciliario y que </w:t>
      </w:r>
      <w:r w:rsidR="00DD7163" w:rsidRPr="00E534DB">
        <w:rPr>
          <w:rFonts w:ascii="Gadugi" w:eastAsia="Calibri" w:hAnsi="Gadugi" w:cs="Times New Roman"/>
          <w:i/>
          <w:sz w:val="24"/>
          <w:szCs w:val="24"/>
        </w:rPr>
        <w:t>“</w:t>
      </w:r>
      <w:r w:rsidR="00DD7163" w:rsidRPr="00422B22">
        <w:rPr>
          <w:rFonts w:ascii="Gadugi" w:eastAsia="Calibri" w:hAnsi="Gadugi" w:cs="Times New Roman"/>
          <w:i/>
          <w:szCs w:val="24"/>
        </w:rPr>
        <w:t xml:space="preserve">el fuerte olor había sido detectado por los residentes del inmueble de tres pisos… situación anómala que fue dada a conocer a la Empresa </w:t>
      </w:r>
      <w:proofErr w:type="spellStart"/>
      <w:r w:rsidR="00DD7163" w:rsidRPr="00422B22">
        <w:rPr>
          <w:rFonts w:ascii="Gadugi" w:eastAsia="Calibri" w:hAnsi="Gadugi" w:cs="Times New Roman"/>
          <w:i/>
          <w:szCs w:val="24"/>
        </w:rPr>
        <w:t>Efigas</w:t>
      </w:r>
      <w:proofErr w:type="spellEnd"/>
      <w:r w:rsidR="00DD7163" w:rsidRPr="00422B22">
        <w:rPr>
          <w:rFonts w:ascii="Gadugi" w:eastAsia="Calibri" w:hAnsi="Gadugi" w:cs="Times New Roman"/>
          <w:i/>
          <w:szCs w:val="24"/>
        </w:rPr>
        <w:t xml:space="preserve"> por uno de los fallecidos sin que se hiciera gestión alguna por parte de esa prestaría </w:t>
      </w:r>
      <w:r w:rsidR="00DD7163" w:rsidRPr="00422B22">
        <w:rPr>
          <w:rFonts w:ascii="Gadugi" w:eastAsia="Calibri" w:hAnsi="Gadugi" w:cs="Times New Roman"/>
          <w:szCs w:val="24"/>
        </w:rPr>
        <w:t xml:space="preserve">(sic) </w:t>
      </w:r>
      <w:r w:rsidR="00DD7163" w:rsidRPr="00422B22">
        <w:rPr>
          <w:rFonts w:ascii="Gadugi" w:eastAsia="Calibri" w:hAnsi="Gadugi" w:cs="Times New Roman"/>
          <w:i/>
          <w:szCs w:val="24"/>
        </w:rPr>
        <w:t>del mencionado servicio público domiciliario</w:t>
      </w:r>
      <w:r w:rsidR="00DD7163" w:rsidRPr="00E534DB">
        <w:rPr>
          <w:rFonts w:ascii="Gadugi" w:eastAsia="Calibri" w:hAnsi="Gadugi" w:cs="Times New Roman"/>
          <w:i/>
          <w:sz w:val="24"/>
          <w:szCs w:val="24"/>
        </w:rPr>
        <w:t xml:space="preserve">”. </w:t>
      </w:r>
    </w:p>
    <w:p w14:paraId="50B28248" w14:textId="6B3CE1D1" w:rsidR="00DD7163" w:rsidRPr="00E534DB" w:rsidRDefault="00DD7163" w:rsidP="00E534DB">
      <w:pPr>
        <w:spacing w:after="0" w:line="276" w:lineRule="auto"/>
        <w:ind w:firstLine="1701"/>
        <w:contextualSpacing/>
        <w:jc w:val="both"/>
        <w:rPr>
          <w:rFonts w:ascii="Gadugi" w:eastAsia="Calibri" w:hAnsi="Gadugi" w:cs="Times New Roman"/>
          <w:sz w:val="24"/>
          <w:szCs w:val="24"/>
        </w:rPr>
      </w:pPr>
    </w:p>
    <w:p w14:paraId="723679E4" w14:textId="329F0EB0" w:rsidR="00F264A9" w:rsidRPr="00E534DB" w:rsidRDefault="00F264A9" w:rsidP="00E534DB">
      <w:pPr>
        <w:pStyle w:val="Prrafodelista"/>
        <w:tabs>
          <w:tab w:val="left" w:pos="1985"/>
        </w:tabs>
        <w:spacing w:after="0" w:line="276" w:lineRule="auto"/>
        <w:ind w:left="0" w:firstLine="1701"/>
        <w:jc w:val="both"/>
        <w:rPr>
          <w:rFonts w:ascii="Gadugi" w:hAnsi="Gadugi"/>
          <w:sz w:val="24"/>
          <w:szCs w:val="24"/>
        </w:rPr>
      </w:pPr>
      <w:r w:rsidRPr="00E534DB">
        <w:rPr>
          <w:rFonts w:ascii="Gadugi" w:hAnsi="Gadugi"/>
          <w:sz w:val="24"/>
          <w:szCs w:val="24"/>
        </w:rPr>
        <w:t>De otro lado, aunque en e</w:t>
      </w:r>
      <w:r w:rsidR="00DD7163" w:rsidRPr="00E534DB">
        <w:rPr>
          <w:rFonts w:ascii="Gadugi" w:hAnsi="Gadugi"/>
          <w:sz w:val="24"/>
          <w:szCs w:val="24"/>
        </w:rPr>
        <w:t xml:space="preserve">l escrito de reparos se puso de presente que no ha debido negársele valor demostrativo a la prueba documental, al informe técnico y a los demás componentes allegados en la prueba trasladada de la Fiscalía General de la Nación (Fiscalía 19 Seccional Dosquebradas), esa circunstancia no fue incluida luego en la sustentación. Sin embargo, </w:t>
      </w:r>
      <w:r w:rsidR="00D6754D" w:rsidRPr="00E534DB">
        <w:rPr>
          <w:rFonts w:ascii="Gadugi" w:hAnsi="Gadugi"/>
          <w:sz w:val="24"/>
          <w:szCs w:val="24"/>
        </w:rPr>
        <w:t>atendiendo la actual orientación de la Sala de</w:t>
      </w:r>
      <w:r w:rsidR="008477C5" w:rsidRPr="00E534DB">
        <w:rPr>
          <w:rFonts w:ascii="Gadugi" w:hAnsi="Gadugi"/>
          <w:sz w:val="24"/>
          <w:szCs w:val="24"/>
        </w:rPr>
        <w:t xml:space="preserve"> C</w:t>
      </w:r>
      <w:r w:rsidR="00D6754D" w:rsidRPr="00E534DB">
        <w:rPr>
          <w:rFonts w:ascii="Gadugi" w:hAnsi="Gadugi"/>
          <w:sz w:val="24"/>
          <w:szCs w:val="24"/>
        </w:rPr>
        <w:t>asación Civil de la Corte, en sede de tutela</w:t>
      </w:r>
      <w:r w:rsidR="00D6754D" w:rsidRPr="00E534DB">
        <w:rPr>
          <w:rStyle w:val="Refdenotaalpie"/>
          <w:rFonts w:ascii="Gadugi" w:hAnsi="Gadugi"/>
          <w:sz w:val="24"/>
          <w:szCs w:val="24"/>
        </w:rPr>
        <w:footnoteReference w:id="24"/>
      </w:r>
      <w:r w:rsidR="00D6754D" w:rsidRPr="00E534DB">
        <w:rPr>
          <w:rFonts w:ascii="Gadugi" w:hAnsi="Gadugi"/>
          <w:sz w:val="24"/>
          <w:szCs w:val="24"/>
        </w:rPr>
        <w:t xml:space="preserve"> y de casación</w:t>
      </w:r>
      <w:r w:rsidR="00D6754D" w:rsidRPr="00E534DB">
        <w:rPr>
          <w:rStyle w:val="Refdenotaalpie"/>
          <w:rFonts w:ascii="Gadugi" w:hAnsi="Gadugi"/>
          <w:sz w:val="24"/>
          <w:szCs w:val="24"/>
        </w:rPr>
        <w:footnoteReference w:id="25"/>
      </w:r>
      <w:r w:rsidR="00D6754D" w:rsidRPr="00E534DB">
        <w:rPr>
          <w:rFonts w:ascii="Gadugi" w:hAnsi="Gadugi"/>
          <w:sz w:val="24"/>
          <w:szCs w:val="24"/>
        </w:rPr>
        <w:t xml:space="preserve">, </w:t>
      </w:r>
      <w:r w:rsidR="00DD7163" w:rsidRPr="00E534DB">
        <w:rPr>
          <w:rFonts w:ascii="Gadugi" w:hAnsi="Gadugi"/>
          <w:sz w:val="24"/>
          <w:szCs w:val="24"/>
        </w:rPr>
        <w:t>de ha</w:t>
      </w:r>
      <w:r w:rsidR="00E633B8" w:rsidRPr="00E534DB">
        <w:rPr>
          <w:rFonts w:ascii="Gadugi" w:hAnsi="Gadugi"/>
          <w:sz w:val="24"/>
          <w:szCs w:val="24"/>
        </w:rPr>
        <w:t>b</w:t>
      </w:r>
      <w:r w:rsidR="00DD7163" w:rsidRPr="00E534DB">
        <w:rPr>
          <w:rFonts w:ascii="Gadugi" w:hAnsi="Gadugi"/>
          <w:sz w:val="24"/>
          <w:szCs w:val="24"/>
        </w:rPr>
        <w:t>er sido desar</w:t>
      </w:r>
      <w:r w:rsidRPr="00E534DB">
        <w:rPr>
          <w:rFonts w:ascii="Gadugi" w:hAnsi="Gadugi"/>
          <w:sz w:val="24"/>
          <w:szCs w:val="24"/>
        </w:rPr>
        <w:t>r</w:t>
      </w:r>
      <w:r w:rsidR="00DD7163" w:rsidRPr="00E534DB">
        <w:rPr>
          <w:rFonts w:ascii="Gadugi" w:hAnsi="Gadugi"/>
          <w:sz w:val="24"/>
          <w:szCs w:val="24"/>
        </w:rPr>
        <w:t>ollada esa idea cabalmente, nada se hubiera opuesto a considerar</w:t>
      </w:r>
      <w:r w:rsidRPr="00E534DB">
        <w:rPr>
          <w:rFonts w:ascii="Gadugi" w:hAnsi="Gadugi"/>
          <w:sz w:val="24"/>
          <w:szCs w:val="24"/>
        </w:rPr>
        <w:t xml:space="preserve">la en esta sede. </w:t>
      </w:r>
      <w:r w:rsidR="00F60864" w:rsidRPr="00E534DB">
        <w:rPr>
          <w:rFonts w:ascii="Gadugi" w:hAnsi="Gadugi"/>
          <w:sz w:val="24"/>
          <w:szCs w:val="24"/>
        </w:rPr>
        <w:t xml:space="preserve">Mas </w:t>
      </w:r>
      <w:r w:rsidRPr="00E534DB">
        <w:rPr>
          <w:rFonts w:ascii="Gadugi" w:hAnsi="Gadugi"/>
          <w:sz w:val="24"/>
          <w:szCs w:val="24"/>
        </w:rPr>
        <w:t>ello no será posible, porque, no basta con la sola enunciación de que se omitió esa valoración, sino que la argumentación debe estar dirigida a demostrarle al juez de segundo grado qué es lo que esa prueba</w:t>
      </w:r>
      <w:r w:rsidR="00F60864" w:rsidRPr="00E534DB">
        <w:rPr>
          <w:rFonts w:ascii="Gadugi" w:hAnsi="Gadugi"/>
          <w:sz w:val="24"/>
          <w:szCs w:val="24"/>
        </w:rPr>
        <w:t>,</w:t>
      </w:r>
      <w:r w:rsidRPr="00E534DB">
        <w:rPr>
          <w:rFonts w:ascii="Gadugi" w:hAnsi="Gadugi"/>
          <w:sz w:val="24"/>
          <w:szCs w:val="24"/>
        </w:rPr>
        <w:t xml:space="preserve"> dejada de considerar por el juez de primera instancia</w:t>
      </w:r>
      <w:r w:rsidR="00F60864" w:rsidRPr="00E534DB">
        <w:rPr>
          <w:rFonts w:ascii="Gadugi" w:hAnsi="Gadugi"/>
          <w:sz w:val="24"/>
          <w:szCs w:val="24"/>
        </w:rPr>
        <w:t>,</w:t>
      </w:r>
      <w:r w:rsidRPr="00E534DB">
        <w:rPr>
          <w:rFonts w:ascii="Gadugi" w:hAnsi="Gadugi"/>
          <w:sz w:val="24"/>
          <w:szCs w:val="24"/>
        </w:rPr>
        <w:t xml:space="preserve"> dice, </w:t>
      </w:r>
      <w:r w:rsidR="00F60864" w:rsidRPr="00E534DB">
        <w:rPr>
          <w:rFonts w:ascii="Gadugi" w:hAnsi="Gadugi"/>
          <w:sz w:val="24"/>
          <w:szCs w:val="24"/>
        </w:rPr>
        <w:t xml:space="preserve">y </w:t>
      </w:r>
      <w:r w:rsidRPr="00E534DB">
        <w:rPr>
          <w:rFonts w:ascii="Gadugi" w:hAnsi="Gadugi"/>
          <w:sz w:val="24"/>
          <w:szCs w:val="24"/>
        </w:rPr>
        <w:t xml:space="preserve">que pueda cambiar la orientación de su decisión, ejercicio que aquí se echa de menos. Es más, la razón para que el juzgado no la </w:t>
      </w:r>
      <w:r w:rsidR="00E633B8" w:rsidRPr="00E534DB">
        <w:rPr>
          <w:rFonts w:ascii="Gadugi" w:hAnsi="Gadugi"/>
          <w:sz w:val="24"/>
          <w:szCs w:val="24"/>
        </w:rPr>
        <w:t xml:space="preserve">valorara derivó de que </w:t>
      </w:r>
      <w:r w:rsidRPr="00E534DB">
        <w:rPr>
          <w:rFonts w:ascii="Gadugi" w:hAnsi="Gadugi"/>
          <w:sz w:val="24"/>
          <w:szCs w:val="24"/>
        </w:rPr>
        <w:t>en el proceso penal no fueron partes todos quienes aquí intervinieron, pero sobre ese aspecto ninguna manifestación específica trae la queja. De manera que el reparo se quedó a medias, no fue debidamente desarrollado, ni en el momento de presentarlo, ni al sustentar la alzada, con lo cual, tampoco estaría llamada la Sala a ocuparse de ese aspecto</w:t>
      </w:r>
      <w:r w:rsidR="00F60864" w:rsidRPr="00E534DB">
        <w:rPr>
          <w:rFonts w:ascii="Gadugi" w:hAnsi="Gadugi"/>
          <w:sz w:val="24"/>
          <w:szCs w:val="24"/>
        </w:rPr>
        <w:t>, a pesar de lo cual, adelante se hará mención a esa prueba</w:t>
      </w:r>
      <w:r w:rsidRPr="00E534DB">
        <w:rPr>
          <w:rFonts w:ascii="Gadugi" w:hAnsi="Gadugi"/>
          <w:sz w:val="24"/>
          <w:szCs w:val="24"/>
        </w:rPr>
        <w:t xml:space="preserve">. </w:t>
      </w:r>
    </w:p>
    <w:p w14:paraId="1E26631E" w14:textId="77777777" w:rsidR="00F264A9" w:rsidRPr="00E534DB" w:rsidRDefault="00F264A9" w:rsidP="00E534DB">
      <w:pPr>
        <w:pStyle w:val="Prrafodelista"/>
        <w:spacing w:line="276" w:lineRule="auto"/>
        <w:rPr>
          <w:rFonts w:ascii="Gadugi" w:eastAsia="Calibri" w:hAnsi="Gadugi" w:cs="Times New Roman"/>
          <w:sz w:val="24"/>
          <w:szCs w:val="24"/>
        </w:rPr>
      </w:pPr>
    </w:p>
    <w:p w14:paraId="41B54446" w14:textId="69B8B21C" w:rsidR="00F264A9" w:rsidRPr="00E534DB" w:rsidRDefault="00F264A9" w:rsidP="00E534DB">
      <w:pPr>
        <w:pStyle w:val="Prrafodelista"/>
        <w:numPr>
          <w:ilvl w:val="1"/>
          <w:numId w:val="8"/>
        </w:numPr>
        <w:tabs>
          <w:tab w:val="left" w:pos="2127"/>
        </w:tabs>
        <w:spacing w:after="0" w:line="276" w:lineRule="auto"/>
        <w:ind w:left="0" w:firstLine="1701"/>
        <w:jc w:val="both"/>
        <w:rPr>
          <w:rFonts w:ascii="Gadugi" w:eastAsia="Calibri" w:hAnsi="Gadugi" w:cs="Times New Roman"/>
          <w:sz w:val="24"/>
          <w:szCs w:val="24"/>
        </w:rPr>
      </w:pPr>
      <w:r w:rsidRPr="00E534DB">
        <w:rPr>
          <w:rFonts w:ascii="Gadugi" w:eastAsia="Calibri" w:hAnsi="Gadugi" w:cs="Times New Roman"/>
          <w:sz w:val="24"/>
          <w:szCs w:val="24"/>
        </w:rPr>
        <w:t xml:space="preserve"> Para responder</w:t>
      </w:r>
      <w:r w:rsidR="00E633B8" w:rsidRPr="00E534DB">
        <w:rPr>
          <w:rFonts w:ascii="Gadugi" w:eastAsia="Calibri" w:hAnsi="Gadugi" w:cs="Times New Roman"/>
          <w:sz w:val="24"/>
          <w:szCs w:val="24"/>
        </w:rPr>
        <w:t xml:space="preserve">, entonces, a los </w:t>
      </w:r>
      <w:r w:rsidRPr="00E534DB">
        <w:rPr>
          <w:rFonts w:ascii="Gadugi" w:eastAsia="Calibri" w:hAnsi="Gadugi" w:cs="Times New Roman"/>
          <w:sz w:val="24"/>
          <w:szCs w:val="24"/>
        </w:rPr>
        <w:t xml:space="preserve">cuestionamientos </w:t>
      </w:r>
      <w:r w:rsidR="00E633B8" w:rsidRPr="00E534DB">
        <w:rPr>
          <w:rFonts w:ascii="Gadugi" w:eastAsia="Calibri" w:hAnsi="Gadugi" w:cs="Times New Roman"/>
          <w:sz w:val="24"/>
          <w:szCs w:val="24"/>
        </w:rPr>
        <w:t>que hacen los demandantes, lo primero es recordar que</w:t>
      </w:r>
      <w:r w:rsidRPr="00E534DB">
        <w:rPr>
          <w:rFonts w:ascii="Gadugi" w:eastAsia="Calibri" w:hAnsi="Gadugi" w:cs="Times New Roman"/>
          <w:sz w:val="24"/>
          <w:szCs w:val="24"/>
        </w:rPr>
        <w:t>, genéricamente, quien causa un daño a otro, debe resarcirlo, según las voces del artículo 2341 del Código Civil, siempre que se demuestre, y esa es carga de quien invoca la responsabilidad, que hubo el hecho, que medió culpa del agente, que hubo un daño y que entre aquella y este existió un nexo causal.</w:t>
      </w:r>
    </w:p>
    <w:p w14:paraId="62090B1E" w14:textId="77777777" w:rsidR="00F264A9" w:rsidRPr="00E534DB" w:rsidRDefault="00F264A9" w:rsidP="00E534DB">
      <w:pPr>
        <w:pStyle w:val="Prrafodelista"/>
        <w:tabs>
          <w:tab w:val="left" w:pos="2268"/>
        </w:tabs>
        <w:spacing w:after="0" w:line="276" w:lineRule="auto"/>
        <w:ind w:left="2061"/>
        <w:jc w:val="both"/>
        <w:rPr>
          <w:rFonts w:ascii="Gadugi" w:eastAsia="Calibri" w:hAnsi="Gadugi" w:cs="Times New Roman"/>
          <w:sz w:val="24"/>
          <w:szCs w:val="24"/>
        </w:rPr>
      </w:pPr>
    </w:p>
    <w:p w14:paraId="0FFC6800" w14:textId="1BECFB9B" w:rsidR="00F264A9" w:rsidRPr="00E534DB" w:rsidRDefault="00F264A9" w:rsidP="00E534DB">
      <w:pPr>
        <w:pStyle w:val="Prrafodelista"/>
        <w:tabs>
          <w:tab w:val="left" w:pos="2268"/>
        </w:tabs>
        <w:spacing w:after="0" w:line="276" w:lineRule="auto"/>
        <w:ind w:left="0" w:firstLine="1701"/>
        <w:jc w:val="both"/>
        <w:rPr>
          <w:rFonts w:ascii="Gadugi" w:hAnsi="Gadugi"/>
          <w:i/>
          <w:sz w:val="24"/>
          <w:szCs w:val="24"/>
          <w:lang w:val="es-419"/>
        </w:rPr>
      </w:pPr>
      <w:r w:rsidRPr="00E534DB">
        <w:rPr>
          <w:rFonts w:ascii="Gadugi" w:eastAsia="Calibri" w:hAnsi="Gadugi" w:cs="Times New Roman"/>
          <w:sz w:val="24"/>
          <w:szCs w:val="24"/>
        </w:rPr>
        <w:t xml:space="preserve">Sin embargo, existen eventos que envuelven el ejercicio de una actividad peligrosa entendida por la </w:t>
      </w:r>
      <w:r w:rsidRPr="00E534DB">
        <w:rPr>
          <w:rFonts w:ascii="Gadugi" w:hAnsi="Gadugi" w:cs="Arial"/>
          <w:sz w:val="24"/>
          <w:szCs w:val="24"/>
          <w:lang w:val="es-419"/>
        </w:rPr>
        <w:t>jurisprudencia</w:t>
      </w:r>
      <w:r w:rsidRPr="00E534DB">
        <w:rPr>
          <w:rStyle w:val="Refdenotaalpie"/>
          <w:rFonts w:ascii="Gadugi" w:hAnsi="Gadugi"/>
          <w:sz w:val="24"/>
          <w:szCs w:val="24"/>
        </w:rPr>
        <w:footnoteReference w:id="26"/>
      </w:r>
      <w:r w:rsidRPr="00E534DB">
        <w:rPr>
          <w:rFonts w:ascii="Gadugi" w:eastAsia="Calibri" w:hAnsi="Gadugi" w:cs="Times New Roman"/>
          <w:sz w:val="24"/>
          <w:szCs w:val="24"/>
        </w:rPr>
        <w:t xml:space="preserve"> como “… aquella que </w:t>
      </w:r>
      <w:r w:rsidRPr="00E534DB">
        <w:rPr>
          <w:rFonts w:ascii="Gadugi" w:eastAsia="Calibri" w:hAnsi="Gadugi" w:cs="Times New Roman"/>
          <w:i/>
          <w:sz w:val="24"/>
          <w:szCs w:val="24"/>
        </w:rPr>
        <w:t>“…aunque lícita, es de las que implican riesgos del tal naturaleza que hacen inminente la ocurrencia de daños, …”</w:t>
      </w:r>
      <w:r w:rsidRPr="00E534DB">
        <w:rPr>
          <w:rFonts w:ascii="Gadugi" w:eastAsia="Calibri" w:hAnsi="Gadugi" w:cs="Times New Roman"/>
          <w:sz w:val="24"/>
          <w:szCs w:val="24"/>
        </w:rPr>
        <w:t xml:space="preserve"> </w:t>
      </w:r>
      <w:r w:rsidRPr="00E534DB">
        <w:rPr>
          <w:rFonts w:ascii="Gadugi" w:eastAsia="Calibri" w:hAnsi="Gadugi" w:cs="Times New Roman"/>
          <w:i/>
          <w:sz w:val="24"/>
          <w:szCs w:val="24"/>
        </w:rPr>
        <w:t>(G.J. CXLII, pág. 173, reiterada en la CCXVI, pág. 504), o la que “</w:t>
      </w:r>
      <w:r w:rsidRPr="00AD1187">
        <w:rPr>
          <w:rFonts w:ascii="Gadugi" w:eastAsia="Calibri" w:hAnsi="Gadugi" w:cs="Times New Roman"/>
          <w:i/>
          <w:szCs w:val="24"/>
        </w:rPr>
        <w:t xml:space="preserve">… debido a la manipulación de ciertas cosas o al ejercicio de una conducta específica que lleva </w:t>
      </w:r>
      <w:r w:rsidRPr="00AD1187">
        <w:rPr>
          <w:rFonts w:ascii="Gadugi" w:eastAsia="Calibri" w:hAnsi="Gadugi" w:cs="Times New Roman"/>
          <w:i/>
          <w:szCs w:val="24"/>
        </w:rPr>
        <w:lastRenderedPageBreak/>
        <w:t>ínsito el riesgo de producir una lesión o menoscabo, tiene la aptitud de provocar un desequilibrio o alteración en las fuerzas que -de ordinario- despliega una persona respecto de otra</w:t>
      </w:r>
      <w:r w:rsidRPr="00AD1187">
        <w:rPr>
          <w:rFonts w:ascii="Gadugi" w:eastAsia="Calibri" w:hAnsi="Gadugi" w:cs="Times New Roman"/>
          <w:szCs w:val="24"/>
        </w:rPr>
        <w:t xml:space="preserve">”, </w:t>
      </w:r>
      <w:r w:rsidRPr="00AD1187">
        <w:rPr>
          <w:rFonts w:ascii="Gadugi" w:eastAsia="Calibri" w:hAnsi="Gadugi" w:cs="Times New Roman"/>
          <w:i/>
          <w:szCs w:val="24"/>
        </w:rPr>
        <w:t>como recientemente lo registró esta Corporación en sentencia de octubre 23 de 2001, expediente 6315</w:t>
      </w:r>
      <w:r w:rsidRPr="00E534DB">
        <w:rPr>
          <w:rFonts w:ascii="Gadugi" w:eastAsia="Calibri" w:hAnsi="Gadugi" w:cs="Times New Roman"/>
          <w:sz w:val="24"/>
          <w:szCs w:val="24"/>
        </w:rPr>
        <w:t>.” Así lo ha destacado esta Corporación de tiempo atrás</w:t>
      </w:r>
      <w:r w:rsidRPr="00E534DB">
        <w:rPr>
          <w:rStyle w:val="Refdenotaalpie"/>
          <w:rFonts w:ascii="Gadugi" w:eastAsia="Calibri" w:hAnsi="Gadugi" w:cs="Times New Roman"/>
          <w:sz w:val="24"/>
          <w:szCs w:val="24"/>
        </w:rPr>
        <w:footnoteReference w:id="27"/>
      </w:r>
      <w:r w:rsidRPr="00E534DB">
        <w:rPr>
          <w:rFonts w:ascii="Gadugi" w:eastAsia="Calibri" w:hAnsi="Gadugi" w:cs="Times New Roman"/>
          <w:sz w:val="24"/>
          <w:szCs w:val="24"/>
        </w:rPr>
        <w:t xml:space="preserve"> y lo ha reiterado</w:t>
      </w:r>
      <w:r w:rsidRPr="00E534DB">
        <w:rPr>
          <w:rStyle w:val="Refdenotaalpie"/>
          <w:rFonts w:ascii="Gadugi" w:eastAsia="Calibri" w:hAnsi="Gadugi" w:cs="Times New Roman"/>
          <w:sz w:val="24"/>
          <w:szCs w:val="24"/>
        </w:rPr>
        <w:footnoteReference w:id="28"/>
      </w:r>
      <w:r w:rsidRPr="00E534DB">
        <w:rPr>
          <w:rFonts w:ascii="Gadugi" w:eastAsia="Calibri" w:hAnsi="Gadugi" w:cs="Times New Roman"/>
          <w:sz w:val="24"/>
          <w:szCs w:val="24"/>
        </w:rPr>
        <w:t>, con apoyo en otras decisiones de la Corte</w:t>
      </w:r>
      <w:r w:rsidRPr="00E534DB">
        <w:rPr>
          <w:rStyle w:val="Refdenotaalpie"/>
          <w:rFonts w:ascii="Gadugi" w:eastAsia="Calibri" w:hAnsi="Gadugi" w:cs="Times New Roman"/>
          <w:sz w:val="24"/>
          <w:szCs w:val="24"/>
        </w:rPr>
        <w:footnoteReference w:id="29"/>
      </w:r>
      <w:r w:rsidRPr="00E534DB">
        <w:rPr>
          <w:rFonts w:ascii="Gadugi" w:eastAsia="Calibri" w:hAnsi="Gadugi" w:cs="Times New Roman"/>
          <w:sz w:val="24"/>
          <w:szCs w:val="24"/>
        </w:rPr>
        <w:t xml:space="preserve">, que a título ilustrativo señala como tales, fuera de los casos previstos en el artículo 2356 del C. Civil, los medios de transporte, la construcción, la instalación de plantas nucleares, el establecimiento de centrales eléctricas; incluso, </w:t>
      </w:r>
      <w:r w:rsidRPr="00E534DB">
        <w:rPr>
          <w:rFonts w:ascii="Gadugi" w:eastAsia="Calibri" w:hAnsi="Gadugi" w:cs="Times New Roman"/>
          <w:i/>
          <w:sz w:val="24"/>
          <w:szCs w:val="24"/>
        </w:rPr>
        <w:t>“</w:t>
      </w:r>
      <w:r w:rsidRPr="00AD1187">
        <w:rPr>
          <w:rFonts w:ascii="Gadugi" w:eastAsia="Calibri" w:hAnsi="Gadugi" w:cs="Times New Roman"/>
          <w:i/>
          <w:szCs w:val="24"/>
        </w:rPr>
        <w:t>…</w:t>
      </w:r>
      <w:r w:rsidR="00AD1187" w:rsidRPr="00AD1187">
        <w:rPr>
          <w:rFonts w:ascii="Gadugi" w:eastAsia="Calibri" w:hAnsi="Gadugi" w:cs="Times New Roman"/>
          <w:i/>
          <w:szCs w:val="24"/>
        </w:rPr>
        <w:t xml:space="preserve"> </w:t>
      </w:r>
      <w:r w:rsidRPr="00AD1187">
        <w:rPr>
          <w:rFonts w:ascii="Gadugi" w:hAnsi="Gadugi"/>
          <w:i/>
          <w:szCs w:val="24"/>
        </w:rPr>
        <w:t>las actividades que tienen que ver con la producción, distribución y almacenamiento de gases metano y propano, gas en forma líquida y gas para uso doméstico</w:t>
      </w:r>
      <w:r w:rsidRPr="00AD1187">
        <w:rPr>
          <w:rFonts w:ascii="Gadugi" w:hAnsi="Gadugi"/>
          <w:i/>
          <w:szCs w:val="24"/>
          <w:lang w:val="es-419"/>
        </w:rPr>
        <w:t>…</w:t>
      </w:r>
      <w:r w:rsidRPr="00AD1187">
        <w:rPr>
          <w:rFonts w:ascii="Gadugi" w:hAnsi="Gadugi"/>
          <w:i/>
          <w:szCs w:val="24"/>
        </w:rPr>
        <w:t>, lo mismo que la manipulación de materiales inflamables y susceptibles de explosión, por el riesgo inherente a la naturaleza misma de las sustancias y la potencialidad para dañar que se les reconoce con independencia de las precauciones que se adopten en el desarrollo del proceso de producción y consumo</w:t>
      </w:r>
      <w:r w:rsidRPr="00AD1187">
        <w:rPr>
          <w:rFonts w:ascii="Gadugi" w:hAnsi="Gadugi"/>
          <w:i/>
          <w:szCs w:val="24"/>
          <w:lang w:val="es-419"/>
        </w:rPr>
        <w:t>…</w:t>
      </w:r>
      <w:r w:rsidRPr="00E534DB">
        <w:rPr>
          <w:rFonts w:ascii="Gadugi" w:hAnsi="Gadugi"/>
          <w:i/>
          <w:sz w:val="24"/>
          <w:szCs w:val="24"/>
          <w:lang w:val="es-419"/>
        </w:rPr>
        <w:t xml:space="preserve">” </w:t>
      </w:r>
      <w:r w:rsidRPr="00E534DB">
        <w:rPr>
          <w:rStyle w:val="Refdenotaalpie"/>
          <w:rFonts w:ascii="Gadugi" w:hAnsi="Gadugi"/>
          <w:sz w:val="24"/>
          <w:szCs w:val="24"/>
          <w:lang w:val="es-419"/>
        </w:rPr>
        <w:footnoteReference w:id="30"/>
      </w:r>
      <w:r w:rsidRPr="00E534DB">
        <w:rPr>
          <w:rFonts w:ascii="Gadugi" w:hAnsi="Gadugi"/>
          <w:i/>
          <w:sz w:val="24"/>
          <w:szCs w:val="24"/>
          <w:lang w:val="es-419"/>
        </w:rPr>
        <w:t>.</w:t>
      </w:r>
    </w:p>
    <w:p w14:paraId="612E8344" w14:textId="77777777" w:rsidR="00F264A9" w:rsidRPr="00E534DB" w:rsidRDefault="00F264A9" w:rsidP="00E534DB">
      <w:pPr>
        <w:pStyle w:val="Prrafodelista"/>
        <w:tabs>
          <w:tab w:val="left" w:pos="2268"/>
        </w:tabs>
        <w:spacing w:after="0" w:line="276" w:lineRule="auto"/>
        <w:ind w:left="0" w:firstLine="1701"/>
        <w:jc w:val="both"/>
        <w:rPr>
          <w:rFonts w:ascii="Gadugi" w:eastAsia="Calibri" w:hAnsi="Gadugi" w:cs="Times New Roman"/>
          <w:sz w:val="24"/>
          <w:szCs w:val="24"/>
        </w:rPr>
      </w:pPr>
    </w:p>
    <w:p w14:paraId="506EBB8B" w14:textId="77777777" w:rsidR="00F264A9" w:rsidRPr="00E534DB" w:rsidRDefault="00F264A9" w:rsidP="00E534DB">
      <w:pPr>
        <w:pStyle w:val="Prrafodelista"/>
        <w:tabs>
          <w:tab w:val="left" w:pos="2268"/>
        </w:tabs>
        <w:spacing w:after="0" w:line="276" w:lineRule="auto"/>
        <w:ind w:left="0" w:firstLine="1701"/>
        <w:jc w:val="both"/>
        <w:rPr>
          <w:rFonts w:ascii="Gadugi" w:eastAsia="Calibri" w:hAnsi="Gadugi" w:cs="Times New Roman"/>
          <w:sz w:val="24"/>
          <w:szCs w:val="24"/>
        </w:rPr>
      </w:pPr>
      <w:bookmarkStart w:id="2" w:name="_Hlk94093834"/>
      <w:r w:rsidRPr="00E534DB">
        <w:rPr>
          <w:rFonts w:ascii="Gadugi" w:eastAsia="Calibri" w:hAnsi="Gadugi" w:cs="Times New Roman"/>
          <w:sz w:val="24"/>
          <w:szCs w:val="24"/>
        </w:rPr>
        <w:t xml:space="preserve">En tales casos, se aligera la carga probatoria del demandante, porque tradicionalmente se ha dicho que lleva inserta una presunción de culpa, de manera que a la víctima le incumbe probar, simplemente, el hecho, el daño y el nexo causal, en tanto que el agente, para liberarse de responsabilidad, debe acreditar como eximente una fuerza mayor o un caso fortuito, el hecho exclusivo de un tercero o de la víctima, es decir, que la discusión se da en el ámbito de la causalidad y no de la culpabilidad. </w:t>
      </w:r>
    </w:p>
    <w:bookmarkEnd w:id="2"/>
    <w:p w14:paraId="431D964B" w14:textId="77777777" w:rsidR="00F264A9" w:rsidRPr="00E534DB" w:rsidRDefault="00F264A9" w:rsidP="00E534DB">
      <w:pPr>
        <w:tabs>
          <w:tab w:val="left" w:pos="2268"/>
        </w:tabs>
        <w:spacing w:after="0" w:line="276" w:lineRule="auto"/>
        <w:jc w:val="both"/>
        <w:rPr>
          <w:rFonts w:ascii="Gadugi" w:hAnsi="Gadugi"/>
          <w:sz w:val="24"/>
          <w:szCs w:val="24"/>
        </w:rPr>
      </w:pPr>
    </w:p>
    <w:p w14:paraId="611B8A12" w14:textId="77777777" w:rsidR="00F264A9" w:rsidRPr="00E534DB" w:rsidRDefault="00F264A9" w:rsidP="00E534DB">
      <w:pPr>
        <w:tabs>
          <w:tab w:val="left" w:pos="1701"/>
        </w:tabs>
        <w:spacing w:after="0" w:line="276" w:lineRule="auto"/>
        <w:jc w:val="both"/>
        <w:rPr>
          <w:rFonts w:ascii="Gadugi" w:hAnsi="Gadugi"/>
          <w:sz w:val="24"/>
          <w:szCs w:val="24"/>
        </w:rPr>
      </w:pPr>
      <w:r w:rsidRPr="00E534DB">
        <w:rPr>
          <w:rFonts w:ascii="Gadugi" w:hAnsi="Gadugi"/>
          <w:sz w:val="24"/>
          <w:szCs w:val="24"/>
        </w:rPr>
        <w:t xml:space="preserve"> </w:t>
      </w:r>
      <w:r w:rsidRPr="00E534DB">
        <w:rPr>
          <w:rFonts w:ascii="Gadugi" w:hAnsi="Gadugi"/>
          <w:sz w:val="24"/>
          <w:szCs w:val="24"/>
        </w:rPr>
        <w:tab/>
        <w:t>Por supuesto que esta percepción se soporta en la jurisprudencia nacional que, a pesar de los intentos para variarla</w:t>
      </w:r>
      <w:r w:rsidRPr="00E534DB">
        <w:rPr>
          <w:rStyle w:val="Refdenotaalpie"/>
          <w:rFonts w:ascii="Gadugi" w:hAnsi="Gadugi"/>
          <w:sz w:val="24"/>
          <w:szCs w:val="24"/>
        </w:rPr>
        <w:footnoteReference w:id="31"/>
      </w:r>
      <w:r w:rsidRPr="00E534DB">
        <w:rPr>
          <w:rFonts w:ascii="Gadugi" w:hAnsi="Gadugi"/>
          <w:sz w:val="24"/>
          <w:szCs w:val="24"/>
        </w:rPr>
        <w:t xml:space="preserve">, en el discurrir de los tiempos sobre el tema, así lo ha adoctrinando, por ejemplo, en la sentencia SC665-2019, en la que enfatizó, con una sola aclaración de voto, que: </w:t>
      </w:r>
    </w:p>
    <w:p w14:paraId="788CB1AC" w14:textId="77777777" w:rsidR="00F264A9" w:rsidRPr="00E534DB" w:rsidRDefault="00F264A9" w:rsidP="00E534DB">
      <w:pPr>
        <w:tabs>
          <w:tab w:val="left" w:pos="2268"/>
        </w:tabs>
        <w:spacing w:after="0" w:line="276" w:lineRule="auto"/>
        <w:jc w:val="both"/>
        <w:rPr>
          <w:rFonts w:ascii="Gadugi" w:hAnsi="Gadugi"/>
          <w:sz w:val="24"/>
          <w:szCs w:val="24"/>
        </w:rPr>
      </w:pPr>
    </w:p>
    <w:p w14:paraId="48890B38" w14:textId="77777777" w:rsidR="00F264A9" w:rsidRPr="00AD1187" w:rsidRDefault="00F264A9" w:rsidP="00AD1187">
      <w:pPr>
        <w:tabs>
          <w:tab w:val="left" w:pos="1701"/>
        </w:tabs>
        <w:spacing w:after="0" w:line="240" w:lineRule="auto"/>
        <w:ind w:left="426" w:right="418"/>
        <w:jc w:val="both"/>
        <w:rPr>
          <w:rFonts w:ascii="Gadugi" w:hAnsi="Gadugi"/>
          <w:szCs w:val="24"/>
        </w:rPr>
      </w:pPr>
      <w:r w:rsidRPr="00AD1187">
        <w:rPr>
          <w:rFonts w:ascii="Gadugi" w:hAnsi="Gadugi"/>
          <w:szCs w:val="24"/>
        </w:rPr>
        <w:t xml:space="preserve">  </w:t>
      </w:r>
      <w:r w:rsidRPr="00AD1187">
        <w:rPr>
          <w:rFonts w:ascii="Gadugi" w:hAnsi="Gadugi"/>
          <w:szCs w:val="24"/>
        </w:rPr>
        <w:tab/>
        <w:t>De otra parte, el artículo 2356 del Código Civil, dispone que «[p]</w:t>
      </w:r>
      <w:proofErr w:type="spellStart"/>
      <w:r w:rsidRPr="00AD1187">
        <w:rPr>
          <w:rFonts w:ascii="Gadugi" w:hAnsi="Gadugi"/>
          <w:szCs w:val="24"/>
        </w:rPr>
        <w:t>or</w:t>
      </w:r>
      <w:proofErr w:type="spellEnd"/>
      <w:r w:rsidRPr="00AD1187">
        <w:rPr>
          <w:rFonts w:ascii="Gadugi" w:hAnsi="Gadugi"/>
          <w:szCs w:val="24"/>
        </w:rPr>
        <w:t xml:space="preserve"> regla general todo daño que pueda imputarse a malicia o negligencia de otra persona, debe ser reparado por ésta», norma a partir de la cual se ha edificado el régimen de responsabilidad por el ejercicio de actividades peligrosas con culpa presunta, ampliamente desarrollado por la Corte en su Jurisprudencia, a partir de la emblemática SC de 14 mar. 1938, reiterada en SC 31 </w:t>
      </w:r>
      <w:proofErr w:type="spellStart"/>
      <w:r w:rsidRPr="00AD1187">
        <w:rPr>
          <w:rFonts w:ascii="Gadugi" w:hAnsi="Gadugi"/>
          <w:szCs w:val="24"/>
        </w:rPr>
        <w:t>may</w:t>
      </w:r>
      <w:proofErr w:type="spellEnd"/>
      <w:r w:rsidRPr="00AD1187">
        <w:rPr>
          <w:rFonts w:ascii="Gadugi" w:hAnsi="Gadugi"/>
          <w:szCs w:val="24"/>
        </w:rPr>
        <w:t xml:space="preserve">. 1938 y en CSJ SNG 17 jun. 1938. </w:t>
      </w:r>
    </w:p>
    <w:p w14:paraId="4C80475F" w14:textId="77777777" w:rsidR="00F264A9" w:rsidRPr="00E534DB" w:rsidRDefault="00F264A9" w:rsidP="00E534DB">
      <w:pPr>
        <w:tabs>
          <w:tab w:val="left" w:pos="1701"/>
        </w:tabs>
        <w:spacing w:after="0" w:line="276" w:lineRule="auto"/>
        <w:jc w:val="both"/>
        <w:rPr>
          <w:rFonts w:ascii="Gadugi" w:hAnsi="Gadugi"/>
          <w:sz w:val="24"/>
          <w:szCs w:val="24"/>
        </w:rPr>
      </w:pPr>
    </w:p>
    <w:p w14:paraId="703EF428" w14:textId="77777777" w:rsidR="00F264A9" w:rsidRPr="00E534DB" w:rsidRDefault="00F264A9" w:rsidP="00E534DB">
      <w:pPr>
        <w:tabs>
          <w:tab w:val="left" w:pos="1701"/>
        </w:tabs>
        <w:spacing w:after="0" w:line="276" w:lineRule="auto"/>
        <w:jc w:val="both"/>
        <w:rPr>
          <w:rFonts w:ascii="Gadugi" w:hAnsi="Gadugi"/>
          <w:sz w:val="24"/>
          <w:szCs w:val="24"/>
        </w:rPr>
      </w:pPr>
      <w:r w:rsidRPr="00E534DB">
        <w:rPr>
          <w:rFonts w:ascii="Gadugi" w:hAnsi="Gadugi"/>
          <w:sz w:val="24"/>
          <w:szCs w:val="24"/>
        </w:rPr>
        <w:lastRenderedPageBreak/>
        <w:t xml:space="preserve">  </w:t>
      </w:r>
      <w:r w:rsidRPr="00E534DB">
        <w:rPr>
          <w:rFonts w:ascii="Gadugi" w:hAnsi="Gadugi"/>
          <w:sz w:val="24"/>
          <w:szCs w:val="24"/>
        </w:rPr>
        <w:tab/>
        <w:t xml:space="preserve">En esa sentencia se trajeron al recuerdo otras varias que apuntan en el mismo sentido, como la SC9788-2015, la SC del 27 de febrero de 2009, radicado 2001-00013-01, y la SC del 26 de agosto de 2010, radicado 2005-00611-01. </w:t>
      </w:r>
    </w:p>
    <w:p w14:paraId="242442E0" w14:textId="6BF6CF55" w:rsidR="00F264A9" w:rsidRPr="00E534DB" w:rsidRDefault="00F264A9" w:rsidP="00E534DB">
      <w:pPr>
        <w:pStyle w:val="Prrafodelista"/>
        <w:tabs>
          <w:tab w:val="left" w:pos="1985"/>
        </w:tabs>
        <w:spacing w:after="0" w:line="276" w:lineRule="auto"/>
        <w:ind w:left="0" w:firstLine="1701"/>
        <w:jc w:val="both"/>
        <w:rPr>
          <w:rFonts w:ascii="Gadugi" w:hAnsi="Gadugi"/>
          <w:sz w:val="24"/>
          <w:szCs w:val="24"/>
        </w:rPr>
      </w:pPr>
    </w:p>
    <w:p w14:paraId="5A360135" w14:textId="77777777" w:rsidR="0004182C" w:rsidRPr="00E534DB" w:rsidRDefault="00FB2109" w:rsidP="00E534DB">
      <w:pPr>
        <w:pStyle w:val="Prrafodelista"/>
        <w:tabs>
          <w:tab w:val="left" w:pos="1985"/>
        </w:tabs>
        <w:spacing w:after="0" w:line="276" w:lineRule="auto"/>
        <w:ind w:left="0" w:firstLine="1701"/>
        <w:jc w:val="both"/>
        <w:rPr>
          <w:rFonts w:ascii="Gadugi" w:hAnsi="Gadugi"/>
          <w:sz w:val="24"/>
          <w:szCs w:val="24"/>
        </w:rPr>
      </w:pPr>
      <w:r w:rsidRPr="00E534DB">
        <w:rPr>
          <w:rFonts w:ascii="Gadugi" w:hAnsi="Gadugi"/>
          <w:sz w:val="24"/>
          <w:szCs w:val="24"/>
        </w:rPr>
        <w:t>Esa actividad peligrosa</w:t>
      </w:r>
      <w:r w:rsidR="0004182C" w:rsidRPr="00E534DB">
        <w:rPr>
          <w:rFonts w:ascii="Gadugi" w:hAnsi="Gadugi"/>
          <w:sz w:val="24"/>
          <w:szCs w:val="24"/>
        </w:rPr>
        <w:t xml:space="preserve">, la de producción, distribución y almacenamiento de gas, </w:t>
      </w:r>
      <w:r w:rsidRPr="00E534DB">
        <w:rPr>
          <w:rFonts w:ascii="Gadugi" w:hAnsi="Gadugi"/>
          <w:sz w:val="24"/>
          <w:szCs w:val="24"/>
        </w:rPr>
        <w:t xml:space="preserve">no deja de serlo, contrario a lo que aduce el fallo de primer grado, por el hecho de que la presunta fuga se hubiera presentado en el interior de la vivienda de un usuario, por más que se considerada que, al tenor del artículo 14-25 de la Ley 142 de 1994, el servicio público domiciliario de gas combustible </w:t>
      </w:r>
      <w:r w:rsidR="0004182C" w:rsidRPr="00E534DB">
        <w:rPr>
          <w:rFonts w:ascii="Gadugi" w:hAnsi="Gadugi"/>
          <w:sz w:val="24"/>
          <w:szCs w:val="24"/>
        </w:rPr>
        <w:t>corresponda a las actividades ordenadas a la distribución, por tubería u otro medio, desde un sitio de acopio de grandes volúmenes o desde un gasoducto central hasta la instalación de un consumidor final, incluyendo la conexión y medición. Es que, como lo dijo la misma Sala de Casación Civil en la sentencia que el Juzgado trajo a colación</w:t>
      </w:r>
      <w:r w:rsidR="0004182C" w:rsidRPr="00E534DB">
        <w:rPr>
          <w:rStyle w:val="Refdenotaalpie"/>
          <w:rFonts w:ascii="Gadugi" w:hAnsi="Gadugi"/>
          <w:sz w:val="24"/>
          <w:szCs w:val="24"/>
        </w:rPr>
        <w:footnoteReference w:id="32"/>
      </w:r>
      <w:r w:rsidR="0004182C" w:rsidRPr="00E534DB">
        <w:rPr>
          <w:rFonts w:ascii="Gadugi" w:hAnsi="Gadugi"/>
          <w:sz w:val="24"/>
          <w:szCs w:val="24"/>
        </w:rPr>
        <w:t xml:space="preserve">, y fue la parte que olvidó citar: </w:t>
      </w:r>
    </w:p>
    <w:p w14:paraId="7ABE688F" w14:textId="77777777" w:rsidR="0004182C" w:rsidRPr="00E534DB" w:rsidRDefault="0004182C" w:rsidP="00E534DB">
      <w:pPr>
        <w:pStyle w:val="Prrafodelista"/>
        <w:tabs>
          <w:tab w:val="left" w:pos="1985"/>
        </w:tabs>
        <w:spacing w:after="0" w:line="276" w:lineRule="auto"/>
        <w:ind w:left="0" w:firstLine="1701"/>
        <w:jc w:val="both"/>
        <w:rPr>
          <w:rFonts w:ascii="Gadugi" w:hAnsi="Gadugi"/>
          <w:sz w:val="24"/>
          <w:szCs w:val="24"/>
        </w:rPr>
      </w:pPr>
    </w:p>
    <w:p w14:paraId="756B92FA" w14:textId="7C4A1312" w:rsidR="0004182C" w:rsidRPr="00AD1187" w:rsidRDefault="0004182C" w:rsidP="00AD1187">
      <w:pPr>
        <w:tabs>
          <w:tab w:val="left" w:pos="1701"/>
        </w:tabs>
        <w:spacing w:after="0" w:line="240" w:lineRule="auto"/>
        <w:ind w:left="426" w:right="418"/>
        <w:jc w:val="both"/>
        <w:rPr>
          <w:rFonts w:ascii="Gadugi" w:hAnsi="Gadugi"/>
          <w:szCs w:val="24"/>
        </w:rPr>
      </w:pPr>
      <w:r w:rsidRPr="00AD1187">
        <w:rPr>
          <w:rFonts w:ascii="Gadugi" w:hAnsi="Gadugi"/>
          <w:szCs w:val="24"/>
        </w:rPr>
        <w:t>…</w:t>
      </w:r>
      <w:r w:rsidR="00AD1187">
        <w:rPr>
          <w:rFonts w:ascii="Gadugi" w:hAnsi="Gadugi"/>
          <w:szCs w:val="24"/>
        </w:rPr>
        <w:t xml:space="preserve"> </w:t>
      </w:r>
      <w:r w:rsidRPr="00AD1187">
        <w:rPr>
          <w:rFonts w:ascii="Gadugi" w:hAnsi="Gadugi"/>
          <w:szCs w:val="24"/>
        </w:rPr>
        <w:t xml:space="preserve">En suma, necio sería negar que la producción y conducción de energía eléctrica es una actividad peligrosa, pero que lo sea no implica abandonar toda labor crítica para aceptar sin más que el agente encargado de la trasmisión de electricidad deba responder por todo fenómeno remotamente asociado a la prestación de ese servicio público, menos, si hay prueba copiosa de que muchas otras pudieron ser las causas del incendio. </w:t>
      </w:r>
    </w:p>
    <w:p w14:paraId="03EA214E" w14:textId="77777777" w:rsidR="0004182C" w:rsidRPr="00E534DB" w:rsidRDefault="0004182C" w:rsidP="00E534DB">
      <w:pPr>
        <w:pStyle w:val="Prrafodelista"/>
        <w:tabs>
          <w:tab w:val="left" w:pos="1985"/>
        </w:tabs>
        <w:spacing w:after="0" w:line="276" w:lineRule="auto"/>
        <w:ind w:left="0" w:firstLine="1701"/>
        <w:jc w:val="both"/>
        <w:rPr>
          <w:rFonts w:ascii="Gadugi" w:hAnsi="Gadugi"/>
          <w:sz w:val="24"/>
          <w:szCs w:val="24"/>
        </w:rPr>
      </w:pPr>
    </w:p>
    <w:p w14:paraId="163B8FB1" w14:textId="493D69ED" w:rsidR="0004182C" w:rsidRPr="00E534DB" w:rsidRDefault="0004182C" w:rsidP="00E534DB">
      <w:pPr>
        <w:pStyle w:val="Prrafodelista"/>
        <w:tabs>
          <w:tab w:val="left" w:pos="1985"/>
        </w:tabs>
        <w:spacing w:after="0" w:line="276" w:lineRule="auto"/>
        <w:ind w:left="0" w:firstLine="1701"/>
        <w:jc w:val="both"/>
        <w:rPr>
          <w:rFonts w:ascii="Gadugi" w:hAnsi="Gadugi"/>
          <w:sz w:val="24"/>
          <w:szCs w:val="24"/>
        </w:rPr>
      </w:pPr>
      <w:r w:rsidRPr="00E534DB">
        <w:rPr>
          <w:rFonts w:ascii="Gadugi" w:hAnsi="Gadugi"/>
          <w:sz w:val="24"/>
          <w:szCs w:val="24"/>
        </w:rPr>
        <w:t>Cambiando lo que hay que cambiar, en el caso del servicio de gas domiciliario ocurre otro tanto. La actividad, por sí misma, sigue siendo peligrosa, sin perjuicio de que, en cualquier caso, frente a una demanda de este tipo tenga</w:t>
      </w:r>
      <w:r w:rsidR="00F60864" w:rsidRPr="00E534DB">
        <w:rPr>
          <w:rFonts w:ascii="Gadugi" w:hAnsi="Gadugi"/>
          <w:sz w:val="24"/>
          <w:szCs w:val="24"/>
        </w:rPr>
        <w:t>n</w:t>
      </w:r>
      <w:r w:rsidRPr="00E534DB">
        <w:rPr>
          <w:rFonts w:ascii="Gadugi" w:hAnsi="Gadugi"/>
          <w:sz w:val="24"/>
          <w:szCs w:val="24"/>
        </w:rPr>
        <w:t xml:space="preserve"> que demostrarse </w:t>
      </w:r>
      <w:r w:rsidR="00B371C7" w:rsidRPr="00E534DB">
        <w:rPr>
          <w:rFonts w:ascii="Gadugi" w:hAnsi="Gadugi"/>
          <w:sz w:val="24"/>
          <w:szCs w:val="24"/>
        </w:rPr>
        <w:t xml:space="preserve">el hecho, el daño y </w:t>
      </w:r>
      <w:r w:rsidRPr="00E534DB">
        <w:rPr>
          <w:rFonts w:ascii="Gadugi" w:hAnsi="Gadugi"/>
          <w:sz w:val="24"/>
          <w:szCs w:val="24"/>
        </w:rPr>
        <w:t>el nexo causal, como elemento</w:t>
      </w:r>
      <w:r w:rsidR="00B371C7" w:rsidRPr="00E534DB">
        <w:rPr>
          <w:rFonts w:ascii="Gadugi" w:hAnsi="Gadugi"/>
          <w:sz w:val="24"/>
          <w:szCs w:val="24"/>
        </w:rPr>
        <w:t>s</w:t>
      </w:r>
      <w:r w:rsidRPr="00E534DB">
        <w:rPr>
          <w:rFonts w:ascii="Gadugi" w:hAnsi="Gadugi"/>
          <w:sz w:val="24"/>
          <w:szCs w:val="24"/>
        </w:rPr>
        <w:t xml:space="preserve"> esencial</w:t>
      </w:r>
      <w:r w:rsidR="00B371C7" w:rsidRPr="00E534DB">
        <w:rPr>
          <w:rFonts w:ascii="Gadugi" w:hAnsi="Gadugi"/>
          <w:sz w:val="24"/>
          <w:szCs w:val="24"/>
        </w:rPr>
        <w:t>es</w:t>
      </w:r>
      <w:r w:rsidRPr="00E534DB">
        <w:rPr>
          <w:rFonts w:ascii="Gadugi" w:hAnsi="Gadugi"/>
          <w:sz w:val="24"/>
          <w:szCs w:val="24"/>
        </w:rPr>
        <w:t xml:space="preserve"> de la responsabilidad civil</w:t>
      </w:r>
      <w:r w:rsidR="00B371C7" w:rsidRPr="00E534DB">
        <w:rPr>
          <w:rFonts w:ascii="Gadugi" w:hAnsi="Gadugi"/>
          <w:sz w:val="24"/>
          <w:szCs w:val="24"/>
        </w:rPr>
        <w:t xml:space="preserve">, ya que la culpa, una vez acreditados aquellos, se presume. </w:t>
      </w:r>
      <w:r w:rsidRPr="00E534DB">
        <w:rPr>
          <w:rFonts w:ascii="Gadugi" w:hAnsi="Gadugi"/>
          <w:sz w:val="24"/>
          <w:szCs w:val="24"/>
        </w:rPr>
        <w:t xml:space="preserve"> </w:t>
      </w:r>
    </w:p>
    <w:p w14:paraId="681FCC82" w14:textId="77777777" w:rsidR="0004182C" w:rsidRPr="00E534DB" w:rsidRDefault="0004182C" w:rsidP="00E534DB">
      <w:pPr>
        <w:pStyle w:val="Prrafodelista"/>
        <w:tabs>
          <w:tab w:val="left" w:pos="1985"/>
        </w:tabs>
        <w:spacing w:after="0" w:line="276" w:lineRule="auto"/>
        <w:ind w:left="0" w:firstLine="1701"/>
        <w:jc w:val="both"/>
        <w:rPr>
          <w:rFonts w:ascii="Gadugi" w:hAnsi="Gadugi"/>
          <w:sz w:val="24"/>
          <w:szCs w:val="24"/>
        </w:rPr>
      </w:pPr>
    </w:p>
    <w:p w14:paraId="01A91B18" w14:textId="2327FD5C" w:rsidR="00FC0131" w:rsidRPr="00E534DB" w:rsidRDefault="005827EE" w:rsidP="00E534DB">
      <w:pPr>
        <w:tabs>
          <w:tab w:val="left" w:pos="426"/>
          <w:tab w:val="left" w:pos="2268"/>
        </w:tabs>
        <w:spacing w:after="0" w:line="276" w:lineRule="auto"/>
        <w:ind w:firstLine="1701"/>
        <w:contextualSpacing/>
        <w:jc w:val="both"/>
        <w:rPr>
          <w:rFonts w:ascii="Gadugi" w:hAnsi="Gadugi"/>
          <w:sz w:val="24"/>
          <w:szCs w:val="24"/>
          <w:lang w:val="es-419"/>
        </w:rPr>
      </w:pPr>
      <w:r w:rsidRPr="00E534DB">
        <w:rPr>
          <w:rFonts w:ascii="Gadugi" w:hAnsi="Gadugi"/>
          <w:sz w:val="24"/>
          <w:szCs w:val="24"/>
          <w:lang w:val="es-419"/>
        </w:rPr>
        <w:t>2.</w:t>
      </w:r>
      <w:r w:rsidR="00B371C7" w:rsidRPr="00E534DB">
        <w:rPr>
          <w:rFonts w:ascii="Gadugi" w:hAnsi="Gadugi"/>
          <w:sz w:val="24"/>
          <w:szCs w:val="24"/>
          <w:lang w:val="es-419"/>
        </w:rPr>
        <w:t xml:space="preserve">7. </w:t>
      </w:r>
      <w:r w:rsidR="00705367" w:rsidRPr="00E534DB">
        <w:rPr>
          <w:rFonts w:ascii="Gadugi" w:hAnsi="Gadugi"/>
          <w:sz w:val="24"/>
          <w:szCs w:val="24"/>
          <w:lang w:val="es-419"/>
        </w:rPr>
        <w:t xml:space="preserve">Como viene de decirse, el Juzgado </w:t>
      </w:r>
      <w:r w:rsidR="000C58DC" w:rsidRPr="00E534DB">
        <w:rPr>
          <w:rFonts w:ascii="Gadugi" w:hAnsi="Gadugi"/>
          <w:sz w:val="24"/>
          <w:szCs w:val="24"/>
          <w:lang w:val="es-419"/>
        </w:rPr>
        <w:t xml:space="preserve">dio </w:t>
      </w:r>
      <w:r w:rsidR="00FC0131" w:rsidRPr="00E534DB">
        <w:rPr>
          <w:rFonts w:ascii="Gadugi" w:hAnsi="Gadugi"/>
          <w:sz w:val="24"/>
          <w:szCs w:val="24"/>
          <w:lang w:val="es-419"/>
        </w:rPr>
        <w:t>por demostrado el hecho de la explosión</w:t>
      </w:r>
      <w:r w:rsidR="00206E08" w:rsidRPr="00E534DB">
        <w:rPr>
          <w:rFonts w:ascii="Gadugi" w:hAnsi="Gadugi"/>
          <w:sz w:val="24"/>
          <w:szCs w:val="24"/>
          <w:lang w:val="es-419"/>
        </w:rPr>
        <w:t xml:space="preserve"> ocurrida el 9 de febrero de 2010</w:t>
      </w:r>
      <w:r w:rsidR="00FC0131" w:rsidRPr="00E534DB">
        <w:rPr>
          <w:rFonts w:ascii="Gadugi" w:hAnsi="Gadugi"/>
          <w:sz w:val="24"/>
          <w:szCs w:val="24"/>
          <w:lang w:val="es-419"/>
        </w:rPr>
        <w:t xml:space="preserve">, aspecto sobre el cual no hay disputa; también se sabe que, a casusa del mismo, los demandantes recibieron algunos agravios físicos, psicológicos y patrimoniales. La cuestión es que, de aquellos elementos, concluyó que el nexo causal no fue probado, en la forma en que </w:t>
      </w:r>
      <w:r w:rsidR="001A19DB" w:rsidRPr="00E534DB">
        <w:rPr>
          <w:rFonts w:ascii="Gadugi" w:hAnsi="Gadugi"/>
          <w:sz w:val="24"/>
          <w:szCs w:val="24"/>
          <w:lang w:val="es-419"/>
        </w:rPr>
        <w:t xml:space="preserve">se planteó </w:t>
      </w:r>
      <w:r w:rsidR="00FC0131" w:rsidRPr="00E534DB">
        <w:rPr>
          <w:rFonts w:ascii="Gadugi" w:hAnsi="Gadugi"/>
          <w:sz w:val="24"/>
          <w:szCs w:val="24"/>
          <w:lang w:val="es-419"/>
        </w:rPr>
        <w:t xml:space="preserve">en la demanda que, recuérdese, parte de la base de que </w:t>
      </w:r>
      <w:r w:rsidR="00030E65" w:rsidRPr="00E534DB">
        <w:rPr>
          <w:rFonts w:ascii="Gadugi" w:hAnsi="Gadugi"/>
          <w:sz w:val="24"/>
          <w:szCs w:val="24"/>
          <w:lang w:val="es-419"/>
        </w:rPr>
        <w:t xml:space="preserve">la explosión se originó en la fuga de gas domiciliario y en que, </w:t>
      </w:r>
      <w:r w:rsidR="00FC0131" w:rsidRPr="00E534DB">
        <w:rPr>
          <w:rFonts w:ascii="Gadugi" w:hAnsi="Gadugi"/>
          <w:sz w:val="24"/>
          <w:szCs w:val="24"/>
          <w:lang w:val="es-419"/>
        </w:rPr>
        <w:t xml:space="preserve">informada la demandada del olor a gas y de </w:t>
      </w:r>
      <w:r w:rsidR="00030E65" w:rsidRPr="00E534DB">
        <w:rPr>
          <w:rFonts w:ascii="Gadugi" w:hAnsi="Gadugi"/>
          <w:sz w:val="24"/>
          <w:szCs w:val="24"/>
          <w:lang w:val="es-419"/>
        </w:rPr>
        <w:t xml:space="preserve">esa </w:t>
      </w:r>
      <w:r w:rsidR="00FC0131" w:rsidRPr="00E534DB">
        <w:rPr>
          <w:rFonts w:ascii="Gadugi" w:hAnsi="Gadugi"/>
          <w:sz w:val="24"/>
          <w:szCs w:val="24"/>
          <w:lang w:val="es-419"/>
        </w:rPr>
        <w:t xml:space="preserve">posible fuga, nada hizo por percatarse de ello y solucionar el problema. </w:t>
      </w:r>
    </w:p>
    <w:p w14:paraId="59C728DB" w14:textId="4877477A" w:rsidR="00FC0131" w:rsidRPr="00E534DB" w:rsidRDefault="00FC0131" w:rsidP="00E534DB">
      <w:pPr>
        <w:tabs>
          <w:tab w:val="left" w:pos="426"/>
          <w:tab w:val="left" w:pos="2268"/>
        </w:tabs>
        <w:spacing w:after="0" w:line="276" w:lineRule="auto"/>
        <w:ind w:firstLine="1701"/>
        <w:contextualSpacing/>
        <w:jc w:val="both"/>
        <w:rPr>
          <w:rFonts w:ascii="Gadugi" w:hAnsi="Gadugi"/>
          <w:bCs/>
          <w:color w:val="FF0000"/>
          <w:sz w:val="24"/>
          <w:szCs w:val="24"/>
          <w:lang w:val="es-419"/>
        </w:rPr>
      </w:pPr>
    </w:p>
    <w:p w14:paraId="2E65CD2B" w14:textId="456494AD" w:rsidR="00BD7788" w:rsidRPr="00E534DB" w:rsidRDefault="001A19DB" w:rsidP="00E534DB">
      <w:pPr>
        <w:tabs>
          <w:tab w:val="left" w:pos="0"/>
          <w:tab w:val="left" w:pos="426"/>
        </w:tabs>
        <w:spacing w:after="0" w:line="276" w:lineRule="auto"/>
        <w:ind w:firstLine="1701"/>
        <w:contextualSpacing/>
        <w:jc w:val="both"/>
        <w:rPr>
          <w:rFonts w:ascii="Gadugi" w:hAnsi="Gadugi"/>
          <w:sz w:val="24"/>
          <w:szCs w:val="24"/>
        </w:rPr>
      </w:pPr>
      <w:r w:rsidRPr="00E534DB">
        <w:rPr>
          <w:rFonts w:ascii="Gadugi" w:hAnsi="Gadugi"/>
          <w:sz w:val="24"/>
          <w:szCs w:val="24"/>
          <w:lang w:val="es-419"/>
        </w:rPr>
        <w:t>La sentencia</w:t>
      </w:r>
      <w:r w:rsidR="003E003C" w:rsidRPr="00E534DB">
        <w:rPr>
          <w:rFonts w:ascii="Gadugi" w:hAnsi="Gadugi"/>
          <w:sz w:val="24"/>
          <w:szCs w:val="24"/>
          <w:lang w:val="es-419"/>
        </w:rPr>
        <w:t xml:space="preserve"> tuvo como fundamento </w:t>
      </w:r>
      <w:r w:rsidR="00D10744" w:rsidRPr="00E534DB">
        <w:rPr>
          <w:rFonts w:ascii="Gadugi" w:hAnsi="Gadugi"/>
          <w:sz w:val="24"/>
          <w:szCs w:val="24"/>
        </w:rPr>
        <w:t xml:space="preserve">principal </w:t>
      </w:r>
      <w:r w:rsidR="003E003C" w:rsidRPr="00E534DB">
        <w:rPr>
          <w:rFonts w:ascii="Gadugi" w:hAnsi="Gadugi"/>
          <w:sz w:val="24"/>
          <w:szCs w:val="24"/>
          <w:lang w:val="es-419"/>
        </w:rPr>
        <w:t>para  negar lo pedido</w:t>
      </w:r>
      <w:r w:rsidR="00D10744" w:rsidRPr="00E534DB">
        <w:rPr>
          <w:rFonts w:ascii="Gadugi" w:hAnsi="Gadugi"/>
          <w:sz w:val="24"/>
          <w:szCs w:val="24"/>
        </w:rPr>
        <w:t xml:space="preserve"> el informe 1 del 9 de febrero de 2010</w:t>
      </w:r>
      <w:r w:rsidR="003475E0" w:rsidRPr="00E534DB">
        <w:rPr>
          <w:rFonts w:ascii="Gadugi" w:hAnsi="Gadugi"/>
          <w:sz w:val="24"/>
          <w:szCs w:val="24"/>
        </w:rPr>
        <w:t xml:space="preserve"> de </w:t>
      </w:r>
      <w:r w:rsidR="00D10744" w:rsidRPr="00E534DB">
        <w:rPr>
          <w:rFonts w:ascii="Gadugi" w:hAnsi="Gadugi"/>
          <w:sz w:val="24"/>
          <w:szCs w:val="24"/>
        </w:rPr>
        <w:t xml:space="preserve">la Subgerencia Técnica de </w:t>
      </w:r>
      <w:proofErr w:type="spellStart"/>
      <w:r w:rsidR="00D10744" w:rsidRPr="00E534DB">
        <w:rPr>
          <w:rFonts w:ascii="Gadugi" w:hAnsi="Gadugi"/>
          <w:sz w:val="24"/>
          <w:szCs w:val="24"/>
        </w:rPr>
        <w:t>Efigas</w:t>
      </w:r>
      <w:proofErr w:type="spellEnd"/>
      <w:r w:rsidR="00965ABD" w:rsidRPr="00E534DB">
        <w:rPr>
          <w:rStyle w:val="Refdenotaalpie"/>
          <w:rFonts w:ascii="Gadugi" w:hAnsi="Gadugi"/>
          <w:sz w:val="24"/>
          <w:szCs w:val="24"/>
        </w:rPr>
        <w:footnoteReference w:id="33"/>
      </w:r>
      <w:r w:rsidR="00D10744" w:rsidRPr="00E534DB">
        <w:rPr>
          <w:rFonts w:ascii="Gadugi" w:hAnsi="Gadugi"/>
          <w:sz w:val="24"/>
          <w:szCs w:val="24"/>
        </w:rPr>
        <w:t xml:space="preserve">, mediante la cual reportó una serie de hallazgos que </w:t>
      </w:r>
      <w:r w:rsidR="003475E0" w:rsidRPr="00E534DB">
        <w:rPr>
          <w:rFonts w:ascii="Gadugi" w:hAnsi="Gadugi"/>
          <w:sz w:val="24"/>
          <w:szCs w:val="24"/>
        </w:rPr>
        <w:t xml:space="preserve">señalan </w:t>
      </w:r>
      <w:r w:rsidR="00D10744" w:rsidRPr="00E534DB">
        <w:rPr>
          <w:rFonts w:ascii="Gadugi" w:hAnsi="Gadugi"/>
          <w:sz w:val="24"/>
          <w:szCs w:val="24"/>
        </w:rPr>
        <w:t xml:space="preserve">que la demandada no tuvo injerencia en el derrumbe de la casa y los perjuicios patrimoniales y extrapatrimoniales que ello </w:t>
      </w:r>
      <w:r w:rsidR="00D10744" w:rsidRPr="00E534DB">
        <w:rPr>
          <w:rFonts w:ascii="Gadugi" w:hAnsi="Gadugi"/>
          <w:sz w:val="24"/>
          <w:szCs w:val="24"/>
        </w:rPr>
        <w:lastRenderedPageBreak/>
        <w:t xml:space="preserve">generó a los demandantes, pues </w:t>
      </w:r>
      <w:r w:rsidR="00BD7788" w:rsidRPr="00E534DB">
        <w:rPr>
          <w:rFonts w:ascii="Gadugi" w:hAnsi="Gadugi"/>
          <w:sz w:val="24"/>
          <w:szCs w:val="24"/>
        </w:rPr>
        <w:t>se encontr</w:t>
      </w:r>
      <w:r w:rsidR="003475E0" w:rsidRPr="00E534DB">
        <w:rPr>
          <w:rFonts w:ascii="Gadugi" w:hAnsi="Gadugi"/>
          <w:sz w:val="24"/>
          <w:szCs w:val="24"/>
        </w:rPr>
        <w:t xml:space="preserve">aron </w:t>
      </w:r>
      <w:r w:rsidR="00BD7788" w:rsidRPr="00E534DB">
        <w:rPr>
          <w:rFonts w:ascii="Gadugi" w:hAnsi="Gadugi"/>
          <w:sz w:val="24"/>
          <w:szCs w:val="24"/>
        </w:rPr>
        <w:t>en el sitio del incidente “</w:t>
      </w:r>
      <w:r w:rsidR="00BD7788" w:rsidRPr="00FC5CC1">
        <w:rPr>
          <w:rFonts w:ascii="Gadugi" w:hAnsi="Gadugi"/>
          <w:i/>
          <w:iCs/>
          <w:szCs w:val="24"/>
        </w:rPr>
        <w:t>…</w:t>
      </w:r>
      <w:r w:rsidR="00FC5CC1" w:rsidRPr="00FC5CC1">
        <w:rPr>
          <w:rFonts w:ascii="Gadugi" w:hAnsi="Gadugi"/>
          <w:i/>
          <w:iCs/>
          <w:szCs w:val="24"/>
        </w:rPr>
        <w:t xml:space="preserve"> </w:t>
      </w:r>
      <w:r w:rsidR="00BD7788" w:rsidRPr="00FC5CC1">
        <w:rPr>
          <w:rFonts w:ascii="Gadugi" w:hAnsi="Gadugi"/>
          <w:i/>
          <w:iCs/>
          <w:szCs w:val="24"/>
        </w:rPr>
        <w:t xml:space="preserve">Dos estufas de 2 puestos, una de ellas con conector normalizado y otra con conector de 1.5 en </w:t>
      </w:r>
      <w:proofErr w:type="spellStart"/>
      <w:r w:rsidR="00BD7788" w:rsidRPr="00FC5CC1">
        <w:rPr>
          <w:rFonts w:ascii="Gadugi" w:hAnsi="Gadugi"/>
          <w:i/>
          <w:iCs/>
          <w:szCs w:val="24"/>
        </w:rPr>
        <w:t>nitrio</w:t>
      </w:r>
      <w:proofErr w:type="spellEnd"/>
      <w:r w:rsidR="00BD7788" w:rsidRPr="00FC5CC1">
        <w:rPr>
          <w:rFonts w:ascii="Gadugi" w:hAnsi="Gadugi"/>
          <w:i/>
          <w:iCs/>
          <w:szCs w:val="24"/>
        </w:rPr>
        <w:t xml:space="preserve"> y presencia de teflón en el punto de entrada en el </w:t>
      </w:r>
      <w:proofErr w:type="spellStart"/>
      <w:r w:rsidR="00BD7788" w:rsidRPr="00FC5CC1">
        <w:rPr>
          <w:rFonts w:ascii="Gadugi" w:hAnsi="Gadugi"/>
          <w:i/>
          <w:iCs/>
          <w:szCs w:val="24"/>
        </w:rPr>
        <w:t>gaso</w:t>
      </w:r>
      <w:proofErr w:type="spellEnd"/>
      <w:r w:rsidR="00BD7788" w:rsidRPr="00FC5CC1">
        <w:rPr>
          <w:rFonts w:ascii="Gadugi" w:hAnsi="Gadugi"/>
          <w:i/>
          <w:iCs/>
          <w:szCs w:val="24"/>
        </w:rPr>
        <w:t>-doméstico entregada a cadena de custodia; 3 cilindros para gas propano, 2 de ellos con conexión de regulador y una de las cuales estaba rota y una desconectada</w:t>
      </w:r>
      <w:r w:rsidR="003475E0" w:rsidRPr="00FC5CC1">
        <w:rPr>
          <w:rFonts w:ascii="Gadugi" w:hAnsi="Gadugi"/>
          <w:i/>
          <w:iCs/>
          <w:szCs w:val="24"/>
        </w:rPr>
        <w:t>…</w:t>
      </w:r>
      <w:r w:rsidR="00BD7788" w:rsidRPr="00E534DB">
        <w:rPr>
          <w:rFonts w:ascii="Gadugi" w:hAnsi="Gadugi"/>
          <w:sz w:val="24"/>
          <w:szCs w:val="24"/>
        </w:rPr>
        <w:t>”</w:t>
      </w:r>
      <w:r w:rsidR="003475E0" w:rsidRPr="00E534DB">
        <w:rPr>
          <w:rFonts w:ascii="Gadugi" w:hAnsi="Gadugi"/>
          <w:sz w:val="24"/>
          <w:szCs w:val="24"/>
        </w:rPr>
        <w:t>.</w:t>
      </w:r>
    </w:p>
    <w:p w14:paraId="3738362F" w14:textId="77777777" w:rsidR="00E07816" w:rsidRPr="00E534DB" w:rsidRDefault="00E07816" w:rsidP="00E534DB">
      <w:pPr>
        <w:tabs>
          <w:tab w:val="left" w:pos="0"/>
          <w:tab w:val="left" w:pos="426"/>
        </w:tabs>
        <w:spacing w:after="0" w:line="276" w:lineRule="auto"/>
        <w:ind w:firstLine="1701"/>
        <w:contextualSpacing/>
        <w:jc w:val="both"/>
        <w:rPr>
          <w:rFonts w:ascii="Gadugi" w:hAnsi="Gadugi"/>
          <w:sz w:val="24"/>
          <w:szCs w:val="24"/>
        </w:rPr>
      </w:pPr>
    </w:p>
    <w:p w14:paraId="02837595" w14:textId="0D404981" w:rsidR="00E07816" w:rsidRPr="00E534DB" w:rsidRDefault="00E07816" w:rsidP="00E534DB">
      <w:pPr>
        <w:tabs>
          <w:tab w:val="left" w:pos="426"/>
        </w:tabs>
        <w:spacing w:after="0" w:line="276" w:lineRule="auto"/>
        <w:ind w:firstLine="1701"/>
        <w:contextualSpacing/>
        <w:jc w:val="both"/>
        <w:rPr>
          <w:rFonts w:ascii="Gadugi" w:hAnsi="Gadugi"/>
          <w:sz w:val="24"/>
          <w:szCs w:val="24"/>
        </w:rPr>
      </w:pPr>
      <w:r w:rsidRPr="00E534DB">
        <w:rPr>
          <w:rFonts w:ascii="Gadugi" w:hAnsi="Gadugi"/>
          <w:sz w:val="24"/>
          <w:szCs w:val="24"/>
        </w:rPr>
        <w:t>Así que lo que incumbe es analizar la prueba recaudada</w:t>
      </w:r>
      <w:r w:rsidR="00091557" w:rsidRPr="00E534DB">
        <w:rPr>
          <w:rFonts w:ascii="Gadugi" w:hAnsi="Gadugi"/>
          <w:sz w:val="24"/>
          <w:szCs w:val="24"/>
        </w:rPr>
        <w:t>,</w:t>
      </w:r>
      <w:r w:rsidRPr="00E534DB">
        <w:rPr>
          <w:rFonts w:ascii="Gadugi" w:hAnsi="Gadugi"/>
          <w:sz w:val="24"/>
          <w:szCs w:val="24"/>
        </w:rPr>
        <w:t xml:space="preserve"> para dilucidar los dos aspectos que se debaten: cuál fue la causa del incidente y, si ello fuera necesario, si la demanda</w:t>
      </w:r>
      <w:r w:rsidR="00030E65" w:rsidRPr="00E534DB">
        <w:rPr>
          <w:rFonts w:ascii="Gadugi" w:hAnsi="Gadugi"/>
          <w:sz w:val="24"/>
          <w:szCs w:val="24"/>
        </w:rPr>
        <w:t>da</w:t>
      </w:r>
      <w:r w:rsidRPr="00E534DB">
        <w:rPr>
          <w:rFonts w:ascii="Gadugi" w:hAnsi="Gadugi"/>
          <w:sz w:val="24"/>
          <w:szCs w:val="24"/>
        </w:rPr>
        <w:t xml:space="preserve"> faltó a sus deberes por desatender la información que se le suministró sobre un fuerte olor a gas.</w:t>
      </w:r>
    </w:p>
    <w:p w14:paraId="44540F21" w14:textId="77777777" w:rsidR="00E07816" w:rsidRPr="00E534DB" w:rsidRDefault="00E07816" w:rsidP="00E534DB">
      <w:pPr>
        <w:tabs>
          <w:tab w:val="left" w:pos="0"/>
          <w:tab w:val="left" w:pos="426"/>
        </w:tabs>
        <w:spacing w:after="0" w:line="276" w:lineRule="auto"/>
        <w:ind w:firstLine="1701"/>
        <w:contextualSpacing/>
        <w:jc w:val="both"/>
        <w:rPr>
          <w:rFonts w:ascii="Gadugi" w:hAnsi="Gadugi"/>
          <w:sz w:val="24"/>
          <w:szCs w:val="24"/>
        </w:rPr>
      </w:pPr>
    </w:p>
    <w:p w14:paraId="115D0ADE" w14:textId="70849DCE" w:rsidR="005F21D8" w:rsidRPr="00E534DB" w:rsidRDefault="00C704C9" w:rsidP="00E534DB">
      <w:pPr>
        <w:tabs>
          <w:tab w:val="left" w:pos="0"/>
          <w:tab w:val="left" w:pos="426"/>
        </w:tabs>
        <w:spacing w:after="0" w:line="276" w:lineRule="auto"/>
        <w:ind w:firstLine="1701"/>
        <w:contextualSpacing/>
        <w:jc w:val="both"/>
        <w:rPr>
          <w:rFonts w:ascii="Gadugi" w:hAnsi="Gadugi"/>
          <w:sz w:val="24"/>
          <w:szCs w:val="24"/>
        </w:rPr>
      </w:pPr>
      <w:r w:rsidRPr="00E534DB">
        <w:rPr>
          <w:rFonts w:ascii="Gadugi" w:hAnsi="Gadugi"/>
          <w:sz w:val="24"/>
          <w:szCs w:val="24"/>
        </w:rPr>
        <w:t>Con tal propósito, hay que destacar que la</w:t>
      </w:r>
      <w:r w:rsidR="00E07816" w:rsidRPr="00E534DB">
        <w:rPr>
          <w:rFonts w:ascii="Gadugi" w:hAnsi="Gadugi"/>
          <w:sz w:val="24"/>
          <w:szCs w:val="24"/>
        </w:rPr>
        <w:t xml:space="preserve"> parte demandante </w:t>
      </w:r>
      <w:r w:rsidR="003A561A" w:rsidRPr="00E534DB">
        <w:rPr>
          <w:rFonts w:ascii="Gadugi" w:hAnsi="Gadugi"/>
          <w:sz w:val="24"/>
          <w:szCs w:val="24"/>
        </w:rPr>
        <w:t xml:space="preserve">apoyó los hechos </w:t>
      </w:r>
      <w:r w:rsidR="000D6A5D" w:rsidRPr="00E534DB">
        <w:rPr>
          <w:rFonts w:ascii="Gadugi" w:hAnsi="Gadugi"/>
          <w:sz w:val="24"/>
          <w:szCs w:val="24"/>
        </w:rPr>
        <w:t>en la prueba trasladada de la Fiscalía 19</w:t>
      </w:r>
      <w:r w:rsidR="005F21D8" w:rsidRPr="00E534DB">
        <w:rPr>
          <w:rFonts w:ascii="Gadugi" w:hAnsi="Gadugi"/>
          <w:sz w:val="24"/>
          <w:szCs w:val="24"/>
        </w:rPr>
        <w:t xml:space="preserve"> Delegada ante el Juzgado Penal del Circuito,</w:t>
      </w:r>
      <w:r w:rsidR="000D6A5D" w:rsidRPr="00E534DB">
        <w:rPr>
          <w:rFonts w:ascii="Gadugi" w:hAnsi="Gadugi"/>
          <w:sz w:val="24"/>
          <w:szCs w:val="24"/>
        </w:rPr>
        <w:t xml:space="preserve"> nada más, </w:t>
      </w:r>
      <w:r w:rsidR="005F21D8" w:rsidRPr="00E534DB">
        <w:rPr>
          <w:rFonts w:ascii="Gadugi" w:hAnsi="Gadugi"/>
          <w:sz w:val="24"/>
          <w:szCs w:val="24"/>
        </w:rPr>
        <w:t xml:space="preserve">y es sobre eso que gira su </w:t>
      </w:r>
      <w:r w:rsidR="003A561A" w:rsidRPr="00E534DB">
        <w:rPr>
          <w:rFonts w:ascii="Gadugi" w:hAnsi="Gadugi"/>
          <w:sz w:val="24"/>
          <w:szCs w:val="24"/>
        </w:rPr>
        <w:t>disenso.</w:t>
      </w:r>
      <w:r w:rsidR="005F21D8" w:rsidRPr="00E534DB">
        <w:rPr>
          <w:rFonts w:ascii="Gadugi" w:hAnsi="Gadugi"/>
          <w:sz w:val="24"/>
          <w:szCs w:val="24"/>
        </w:rPr>
        <w:t xml:space="preserve"> </w:t>
      </w:r>
      <w:r w:rsidR="003A561A" w:rsidRPr="00E534DB">
        <w:rPr>
          <w:rFonts w:ascii="Gadugi" w:hAnsi="Gadugi"/>
          <w:sz w:val="24"/>
          <w:szCs w:val="24"/>
        </w:rPr>
        <w:t xml:space="preserve">Ninguna otra prueba </w:t>
      </w:r>
      <w:r w:rsidR="000D6A5D" w:rsidRPr="00E534DB">
        <w:rPr>
          <w:rFonts w:ascii="Gadugi" w:hAnsi="Gadugi"/>
          <w:sz w:val="24"/>
          <w:szCs w:val="24"/>
        </w:rPr>
        <w:t>difere</w:t>
      </w:r>
      <w:r w:rsidR="00856A85" w:rsidRPr="00E534DB">
        <w:rPr>
          <w:rFonts w:ascii="Gadugi" w:hAnsi="Gadugi"/>
          <w:sz w:val="24"/>
          <w:szCs w:val="24"/>
        </w:rPr>
        <w:t xml:space="preserve">nte a esa </w:t>
      </w:r>
      <w:r w:rsidR="00D02097" w:rsidRPr="00E534DB">
        <w:rPr>
          <w:rFonts w:ascii="Gadugi" w:hAnsi="Gadugi"/>
          <w:sz w:val="24"/>
          <w:szCs w:val="24"/>
        </w:rPr>
        <w:t xml:space="preserve">aportó. </w:t>
      </w:r>
      <w:r w:rsidR="006E4C30" w:rsidRPr="00E534DB">
        <w:rPr>
          <w:rFonts w:ascii="Gadugi" w:hAnsi="Gadugi"/>
          <w:sz w:val="24"/>
          <w:szCs w:val="24"/>
        </w:rPr>
        <w:t xml:space="preserve">Dicha prueba </w:t>
      </w:r>
      <w:r w:rsidR="00D30F7C" w:rsidRPr="00E534DB">
        <w:rPr>
          <w:rFonts w:ascii="Gadugi" w:hAnsi="Gadugi"/>
          <w:sz w:val="24"/>
          <w:szCs w:val="24"/>
        </w:rPr>
        <w:t xml:space="preserve">al final </w:t>
      </w:r>
      <w:r w:rsidR="006E4C30" w:rsidRPr="00E534DB">
        <w:rPr>
          <w:rFonts w:ascii="Gadugi" w:hAnsi="Gadugi"/>
          <w:sz w:val="24"/>
          <w:szCs w:val="24"/>
        </w:rPr>
        <w:t xml:space="preserve">fue desechada por el </w:t>
      </w:r>
      <w:r w:rsidR="00D30F7C" w:rsidRPr="00E534DB">
        <w:rPr>
          <w:rFonts w:ascii="Gadugi" w:hAnsi="Gadugi"/>
          <w:sz w:val="24"/>
          <w:szCs w:val="24"/>
        </w:rPr>
        <w:t xml:space="preserve">Juzgado, por cuanto no se daban los presupuestos para su valoración. </w:t>
      </w:r>
    </w:p>
    <w:p w14:paraId="2E11D7E9" w14:textId="397691CF" w:rsidR="00856A85" w:rsidRPr="00E534DB" w:rsidRDefault="00856A85" w:rsidP="00E534DB">
      <w:pPr>
        <w:tabs>
          <w:tab w:val="left" w:pos="0"/>
          <w:tab w:val="left" w:pos="426"/>
        </w:tabs>
        <w:spacing w:after="0" w:line="276" w:lineRule="auto"/>
        <w:ind w:firstLine="1701"/>
        <w:contextualSpacing/>
        <w:jc w:val="both"/>
        <w:rPr>
          <w:rFonts w:ascii="Gadugi" w:hAnsi="Gadugi"/>
          <w:sz w:val="24"/>
          <w:szCs w:val="24"/>
        </w:rPr>
      </w:pPr>
      <w:r w:rsidRPr="00E534DB">
        <w:rPr>
          <w:rFonts w:ascii="Gadugi" w:hAnsi="Gadugi"/>
          <w:sz w:val="24"/>
          <w:szCs w:val="24"/>
        </w:rPr>
        <w:t xml:space="preserve"> </w:t>
      </w:r>
    </w:p>
    <w:p w14:paraId="6ED399C7" w14:textId="18D9639A" w:rsidR="00E138C3" w:rsidRPr="00E534DB" w:rsidRDefault="00231800" w:rsidP="00E534DB">
      <w:pPr>
        <w:tabs>
          <w:tab w:val="left" w:pos="0"/>
          <w:tab w:val="left" w:pos="426"/>
        </w:tabs>
        <w:spacing w:after="0" w:line="276" w:lineRule="auto"/>
        <w:ind w:firstLine="1701"/>
        <w:contextualSpacing/>
        <w:jc w:val="both"/>
        <w:rPr>
          <w:rFonts w:ascii="Gadugi" w:hAnsi="Gadugi"/>
          <w:sz w:val="24"/>
          <w:szCs w:val="24"/>
        </w:rPr>
      </w:pPr>
      <w:r w:rsidRPr="00E534DB">
        <w:rPr>
          <w:rFonts w:ascii="Gadugi" w:hAnsi="Gadugi"/>
          <w:sz w:val="24"/>
          <w:szCs w:val="24"/>
        </w:rPr>
        <w:t>E</w:t>
      </w:r>
      <w:r w:rsidR="00D6348D" w:rsidRPr="00E534DB">
        <w:rPr>
          <w:rFonts w:ascii="Gadugi" w:hAnsi="Gadugi"/>
          <w:sz w:val="24"/>
          <w:szCs w:val="24"/>
        </w:rPr>
        <w:t xml:space="preserve">l artículo </w:t>
      </w:r>
      <w:r w:rsidR="005871E6" w:rsidRPr="00E534DB">
        <w:rPr>
          <w:rFonts w:ascii="Gadugi" w:hAnsi="Gadugi"/>
          <w:sz w:val="24"/>
          <w:szCs w:val="24"/>
        </w:rPr>
        <w:t>185</w:t>
      </w:r>
      <w:r w:rsidR="00E138C3" w:rsidRPr="00E534DB">
        <w:rPr>
          <w:rFonts w:ascii="Gadugi" w:hAnsi="Gadugi"/>
          <w:sz w:val="24"/>
          <w:szCs w:val="24"/>
        </w:rPr>
        <w:t xml:space="preserve"> del Código de Procedimiento Civil, vigente para cuando se aportó, señalaba que “</w:t>
      </w:r>
      <w:r w:rsidR="00E138C3" w:rsidRPr="00176D46">
        <w:rPr>
          <w:rFonts w:ascii="Gadugi" w:hAnsi="Gadugi"/>
          <w:i/>
          <w:iCs/>
          <w:szCs w:val="24"/>
        </w:rPr>
        <w:t>Las pruebas practicadas válidamente en un proceso podrán trasladarse a otro en copia auténtica, y serán apreciables sin más formalidades, siempre que en el proceso primitivo se hubieren practicado a petición de la parte contra quien se aduce o con audiencia de ella</w:t>
      </w:r>
      <w:r w:rsidR="00176D46">
        <w:rPr>
          <w:rFonts w:ascii="Gadugi" w:hAnsi="Gadugi"/>
          <w:i/>
          <w:iCs/>
          <w:sz w:val="24"/>
          <w:szCs w:val="24"/>
        </w:rPr>
        <w:t>”</w:t>
      </w:r>
      <w:r w:rsidR="00E138C3" w:rsidRPr="00E534DB">
        <w:rPr>
          <w:rFonts w:ascii="Gadugi" w:hAnsi="Gadugi"/>
          <w:i/>
          <w:iCs/>
          <w:sz w:val="24"/>
          <w:szCs w:val="24"/>
        </w:rPr>
        <w:t>.</w:t>
      </w:r>
      <w:r w:rsidR="00391E55" w:rsidRPr="00E534DB">
        <w:rPr>
          <w:rFonts w:ascii="Gadugi" w:hAnsi="Gadugi"/>
          <w:sz w:val="24"/>
          <w:szCs w:val="24"/>
        </w:rPr>
        <w:t xml:space="preserve"> Con algunas variables, esa regla se mantiene en el artículo 174 del CGP. </w:t>
      </w:r>
    </w:p>
    <w:p w14:paraId="1E378E58" w14:textId="77777777" w:rsidR="005871E6" w:rsidRPr="00E534DB" w:rsidRDefault="005871E6" w:rsidP="00E534DB">
      <w:pPr>
        <w:tabs>
          <w:tab w:val="left" w:pos="0"/>
          <w:tab w:val="left" w:pos="426"/>
        </w:tabs>
        <w:spacing w:after="0" w:line="276" w:lineRule="auto"/>
        <w:ind w:firstLine="1701"/>
        <w:contextualSpacing/>
        <w:jc w:val="both"/>
        <w:rPr>
          <w:rFonts w:ascii="Gadugi" w:hAnsi="Gadugi"/>
          <w:sz w:val="24"/>
          <w:szCs w:val="24"/>
        </w:rPr>
      </w:pPr>
    </w:p>
    <w:p w14:paraId="3FE56A00" w14:textId="11CF7074" w:rsidR="00A6337A" w:rsidRPr="00E534DB" w:rsidRDefault="009D366C" w:rsidP="00E534DB">
      <w:pPr>
        <w:tabs>
          <w:tab w:val="left" w:pos="0"/>
          <w:tab w:val="left" w:pos="426"/>
        </w:tabs>
        <w:spacing w:after="0" w:line="276" w:lineRule="auto"/>
        <w:ind w:firstLine="1701"/>
        <w:contextualSpacing/>
        <w:jc w:val="both"/>
        <w:rPr>
          <w:rFonts w:ascii="Gadugi" w:hAnsi="Gadugi"/>
          <w:sz w:val="24"/>
          <w:szCs w:val="24"/>
        </w:rPr>
      </w:pPr>
      <w:r w:rsidRPr="00E534DB">
        <w:rPr>
          <w:rFonts w:ascii="Gadugi" w:hAnsi="Gadugi"/>
          <w:sz w:val="24"/>
          <w:szCs w:val="24"/>
        </w:rPr>
        <w:t xml:space="preserve">De allí que </w:t>
      </w:r>
      <w:r w:rsidR="00B21A06" w:rsidRPr="00E534DB">
        <w:rPr>
          <w:rFonts w:ascii="Gadugi" w:hAnsi="Gadugi"/>
          <w:sz w:val="24"/>
          <w:szCs w:val="24"/>
        </w:rPr>
        <w:t xml:space="preserve">la prueba que se traslada </w:t>
      </w:r>
      <w:r w:rsidR="00EF3F99" w:rsidRPr="00E534DB">
        <w:rPr>
          <w:rFonts w:ascii="Gadugi" w:hAnsi="Gadugi"/>
          <w:sz w:val="24"/>
          <w:szCs w:val="24"/>
        </w:rPr>
        <w:t xml:space="preserve">de un proceso a otro, </w:t>
      </w:r>
      <w:r w:rsidR="004C54A6" w:rsidRPr="00E534DB">
        <w:rPr>
          <w:rFonts w:ascii="Gadugi" w:hAnsi="Gadugi"/>
          <w:sz w:val="24"/>
          <w:szCs w:val="24"/>
        </w:rPr>
        <w:t xml:space="preserve">para que pueda ser valorada en este último requiere de la respectiva contradicción cuando, como en el caso de ahora, en el primigenio proceso no fueron partes quienes </w:t>
      </w:r>
      <w:r w:rsidR="00775CB7" w:rsidRPr="00E534DB">
        <w:rPr>
          <w:rFonts w:ascii="Gadugi" w:hAnsi="Gadugi"/>
          <w:sz w:val="24"/>
          <w:szCs w:val="24"/>
        </w:rPr>
        <w:t>participaron en su recolección</w:t>
      </w:r>
      <w:r w:rsidR="008D54F5" w:rsidRPr="00E534DB">
        <w:rPr>
          <w:rFonts w:ascii="Gadugi" w:hAnsi="Gadugi"/>
          <w:sz w:val="24"/>
          <w:szCs w:val="24"/>
        </w:rPr>
        <w:t>, lo que</w:t>
      </w:r>
      <w:r w:rsidR="00A6337A" w:rsidRPr="00E534DB">
        <w:rPr>
          <w:rFonts w:ascii="Gadugi" w:hAnsi="Gadugi"/>
          <w:sz w:val="24"/>
          <w:szCs w:val="24"/>
        </w:rPr>
        <w:t>, en realidad, no ocurrió en este proceso</w:t>
      </w:r>
      <w:r w:rsidR="00EA1CA3" w:rsidRPr="00E534DB">
        <w:rPr>
          <w:rFonts w:ascii="Gadugi" w:hAnsi="Gadugi"/>
          <w:sz w:val="24"/>
          <w:szCs w:val="24"/>
        </w:rPr>
        <w:t>; solo se incorporó, pero ningún trámite adicional se surtió con ella</w:t>
      </w:r>
      <w:r w:rsidR="00274A34" w:rsidRPr="00E534DB">
        <w:rPr>
          <w:rFonts w:ascii="Gadugi" w:hAnsi="Gadugi"/>
          <w:sz w:val="24"/>
          <w:szCs w:val="24"/>
        </w:rPr>
        <w:t xml:space="preserve">. </w:t>
      </w:r>
      <w:r w:rsidR="00A6337A" w:rsidRPr="00E534DB">
        <w:rPr>
          <w:rFonts w:ascii="Gadugi" w:hAnsi="Gadugi"/>
          <w:sz w:val="24"/>
          <w:szCs w:val="24"/>
        </w:rPr>
        <w:t xml:space="preserve"> </w:t>
      </w:r>
    </w:p>
    <w:p w14:paraId="7525B328" w14:textId="77777777" w:rsidR="00A6337A" w:rsidRPr="00E534DB" w:rsidRDefault="00A6337A" w:rsidP="00E534DB">
      <w:pPr>
        <w:tabs>
          <w:tab w:val="left" w:pos="0"/>
          <w:tab w:val="left" w:pos="426"/>
        </w:tabs>
        <w:spacing w:after="0" w:line="276" w:lineRule="auto"/>
        <w:ind w:firstLine="1701"/>
        <w:contextualSpacing/>
        <w:jc w:val="both"/>
        <w:rPr>
          <w:rFonts w:ascii="Gadugi" w:hAnsi="Gadugi"/>
          <w:sz w:val="24"/>
          <w:szCs w:val="24"/>
        </w:rPr>
      </w:pPr>
    </w:p>
    <w:p w14:paraId="18DCF630" w14:textId="038C97E0" w:rsidR="008B60D4" w:rsidRPr="00E534DB" w:rsidRDefault="00274A34" w:rsidP="00E534DB">
      <w:pPr>
        <w:tabs>
          <w:tab w:val="left" w:pos="0"/>
          <w:tab w:val="left" w:pos="426"/>
        </w:tabs>
        <w:spacing w:after="0" w:line="276" w:lineRule="auto"/>
        <w:ind w:firstLine="1701"/>
        <w:contextualSpacing/>
        <w:jc w:val="both"/>
        <w:rPr>
          <w:rFonts w:ascii="Gadugi" w:hAnsi="Gadugi"/>
          <w:sz w:val="24"/>
          <w:szCs w:val="24"/>
        </w:rPr>
      </w:pPr>
      <w:r w:rsidRPr="00E534DB">
        <w:rPr>
          <w:rFonts w:ascii="Gadugi" w:hAnsi="Gadugi"/>
          <w:sz w:val="24"/>
          <w:szCs w:val="24"/>
        </w:rPr>
        <w:t>Se agrega que, en ejercicio del poder oficioso del juez pudiera haberse procedido</w:t>
      </w:r>
      <w:r w:rsidR="00432A98" w:rsidRPr="00E534DB">
        <w:rPr>
          <w:rFonts w:ascii="Gadugi" w:hAnsi="Gadugi"/>
          <w:sz w:val="24"/>
          <w:szCs w:val="24"/>
        </w:rPr>
        <w:t xml:space="preserve">, en primera o segunda instancia, a facilitar dicha contradicción. Sin embargo, </w:t>
      </w:r>
      <w:r w:rsidR="005F2FEC" w:rsidRPr="00E534DB">
        <w:rPr>
          <w:rFonts w:ascii="Gadugi" w:hAnsi="Gadugi"/>
          <w:sz w:val="24"/>
          <w:szCs w:val="24"/>
        </w:rPr>
        <w:t>tal ejercicio a nada hubiera conducido, pues</w:t>
      </w:r>
      <w:r w:rsidR="00E607A1" w:rsidRPr="00E534DB">
        <w:rPr>
          <w:rFonts w:ascii="Gadugi" w:hAnsi="Gadugi"/>
          <w:sz w:val="24"/>
          <w:szCs w:val="24"/>
        </w:rPr>
        <w:t>,</w:t>
      </w:r>
      <w:r w:rsidR="005F2FEC" w:rsidRPr="00E534DB">
        <w:rPr>
          <w:rFonts w:ascii="Gadugi" w:hAnsi="Gadugi"/>
          <w:sz w:val="24"/>
          <w:szCs w:val="24"/>
        </w:rPr>
        <w:t xml:space="preserve"> lo cierto de todo</w:t>
      </w:r>
      <w:r w:rsidR="00E607A1" w:rsidRPr="00E534DB">
        <w:rPr>
          <w:rFonts w:ascii="Gadugi" w:hAnsi="Gadugi"/>
          <w:sz w:val="24"/>
          <w:szCs w:val="24"/>
        </w:rPr>
        <w:t>,</w:t>
      </w:r>
      <w:r w:rsidR="005F2FEC" w:rsidRPr="00E534DB">
        <w:rPr>
          <w:rFonts w:ascii="Gadugi" w:hAnsi="Gadugi"/>
          <w:sz w:val="24"/>
          <w:szCs w:val="24"/>
        </w:rPr>
        <w:t xml:space="preserve"> es que lo que surge de allí </w:t>
      </w:r>
      <w:r w:rsidR="003D204B" w:rsidRPr="00E534DB">
        <w:rPr>
          <w:rFonts w:ascii="Gadugi" w:hAnsi="Gadugi"/>
          <w:sz w:val="24"/>
          <w:szCs w:val="24"/>
        </w:rPr>
        <w:t xml:space="preserve">nada </w:t>
      </w:r>
      <w:r w:rsidR="005F2FEC" w:rsidRPr="00E534DB">
        <w:rPr>
          <w:rFonts w:ascii="Gadugi" w:hAnsi="Gadugi"/>
          <w:sz w:val="24"/>
          <w:szCs w:val="24"/>
        </w:rPr>
        <w:t>aporta para demostrar el nexo causal</w:t>
      </w:r>
      <w:r w:rsidR="00C24563" w:rsidRPr="00E534DB">
        <w:rPr>
          <w:rFonts w:ascii="Gadugi" w:hAnsi="Gadugi"/>
          <w:sz w:val="24"/>
          <w:szCs w:val="24"/>
        </w:rPr>
        <w:t xml:space="preserve"> entre el hecho y el daño, esto es, que no sirve </w:t>
      </w:r>
      <w:r w:rsidR="00F60864" w:rsidRPr="00E534DB">
        <w:rPr>
          <w:rFonts w:ascii="Gadugi" w:hAnsi="Gadugi"/>
          <w:sz w:val="24"/>
          <w:szCs w:val="24"/>
        </w:rPr>
        <w:t>al propósito de</w:t>
      </w:r>
      <w:r w:rsidR="00C24563" w:rsidRPr="00E534DB">
        <w:rPr>
          <w:rFonts w:ascii="Gadugi" w:hAnsi="Gadugi"/>
          <w:sz w:val="24"/>
          <w:szCs w:val="24"/>
        </w:rPr>
        <w:t xml:space="preserve"> acreditar que la fuga de gas se produjo </w:t>
      </w:r>
      <w:r w:rsidR="008B60D4" w:rsidRPr="00E534DB">
        <w:rPr>
          <w:rFonts w:ascii="Gadugi" w:hAnsi="Gadugi"/>
          <w:sz w:val="24"/>
          <w:szCs w:val="24"/>
        </w:rPr>
        <w:t xml:space="preserve">en las instalaciones o acometidas realizadas por la empresa, o que se tratara del gas natural que ella proporciona; mucho menos, que la explosión obedeciera a su negligencia </w:t>
      </w:r>
      <w:r w:rsidR="00CB5CF4" w:rsidRPr="00E534DB">
        <w:rPr>
          <w:rFonts w:ascii="Gadugi" w:hAnsi="Gadugi"/>
          <w:sz w:val="24"/>
          <w:szCs w:val="24"/>
        </w:rPr>
        <w:t>en la revisión de las mismas</w:t>
      </w:r>
      <w:r w:rsidR="0085076A" w:rsidRPr="00E534DB">
        <w:rPr>
          <w:rFonts w:ascii="Gadugi" w:hAnsi="Gadugi"/>
          <w:sz w:val="24"/>
          <w:szCs w:val="24"/>
        </w:rPr>
        <w:t xml:space="preserve">. </w:t>
      </w:r>
    </w:p>
    <w:p w14:paraId="03396A3D" w14:textId="77777777" w:rsidR="0085076A" w:rsidRPr="00E534DB" w:rsidRDefault="0085076A" w:rsidP="00E534DB">
      <w:pPr>
        <w:tabs>
          <w:tab w:val="left" w:pos="0"/>
          <w:tab w:val="left" w:pos="426"/>
        </w:tabs>
        <w:spacing w:after="0" w:line="276" w:lineRule="auto"/>
        <w:ind w:firstLine="1701"/>
        <w:contextualSpacing/>
        <w:jc w:val="both"/>
        <w:rPr>
          <w:rFonts w:ascii="Gadugi" w:hAnsi="Gadugi"/>
          <w:sz w:val="24"/>
          <w:szCs w:val="24"/>
        </w:rPr>
      </w:pPr>
    </w:p>
    <w:p w14:paraId="3E42FAEC" w14:textId="03B05792" w:rsidR="0056662B" w:rsidRPr="00E534DB" w:rsidRDefault="00822A97" w:rsidP="00E534DB">
      <w:pPr>
        <w:tabs>
          <w:tab w:val="left" w:pos="426"/>
          <w:tab w:val="left" w:pos="1701"/>
        </w:tabs>
        <w:spacing w:after="0" w:line="276" w:lineRule="auto"/>
        <w:jc w:val="both"/>
        <w:rPr>
          <w:rFonts w:ascii="Gadugi" w:hAnsi="Gadugi"/>
          <w:sz w:val="24"/>
          <w:szCs w:val="24"/>
        </w:rPr>
      </w:pPr>
      <w:r w:rsidRPr="00E534DB">
        <w:rPr>
          <w:rFonts w:ascii="Gadugi" w:hAnsi="Gadugi"/>
          <w:sz w:val="24"/>
          <w:szCs w:val="24"/>
        </w:rPr>
        <w:t xml:space="preserve"> </w:t>
      </w:r>
      <w:r w:rsidRPr="00E534DB">
        <w:rPr>
          <w:rFonts w:ascii="Gadugi" w:hAnsi="Gadugi"/>
          <w:sz w:val="24"/>
          <w:szCs w:val="24"/>
        </w:rPr>
        <w:tab/>
      </w:r>
      <w:r w:rsidRPr="00E534DB">
        <w:rPr>
          <w:rFonts w:ascii="Gadugi" w:hAnsi="Gadugi"/>
          <w:sz w:val="24"/>
          <w:szCs w:val="24"/>
        </w:rPr>
        <w:tab/>
      </w:r>
      <w:r w:rsidR="00F60864" w:rsidRPr="00E534DB">
        <w:rPr>
          <w:rFonts w:ascii="Gadugi" w:hAnsi="Gadugi"/>
          <w:sz w:val="24"/>
          <w:szCs w:val="24"/>
        </w:rPr>
        <w:t xml:space="preserve">2.8. </w:t>
      </w:r>
      <w:r w:rsidR="00E607A1" w:rsidRPr="00E534DB">
        <w:rPr>
          <w:rFonts w:ascii="Gadugi" w:hAnsi="Gadugi"/>
          <w:sz w:val="24"/>
          <w:szCs w:val="24"/>
        </w:rPr>
        <w:t>Ahora, el</w:t>
      </w:r>
      <w:r w:rsidR="00D770F5" w:rsidRPr="00E534DB">
        <w:rPr>
          <w:rFonts w:ascii="Gadugi" w:hAnsi="Gadugi"/>
          <w:sz w:val="24"/>
          <w:szCs w:val="24"/>
        </w:rPr>
        <w:t xml:space="preserve"> tercer punto de discordia frente al fallo radica en la falta de diligencia de </w:t>
      </w:r>
      <w:proofErr w:type="spellStart"/>
      <w:r w:rsidR="00D770F5" w:rsidRPr="00E534DB">
        <w:rPr>
          <w:rFonts w:ascii="Gadugi" w:hAnsi="Gadugi"/>
          <w:sz w:val="24"/>
          <w:szCs w:val="24"/>
        </w:rPr>
        <w:t>Efigas</w:t>
      </w:r>
      <w:proofErr w:type="spellEnd"/>
      <w:r w:rsidR="00D770F5" w:rsidRPr="00E534DB">
        <w:rPr>
          <w:rFonts w:ascii="Gadugi" w:hAnsi="Gadugi"/>
          <w:sz w:val="24"/>
          <w:szCs w:val="24"/>
        </w:rPr>
        <w:t xml:space="preserve"> </w:t>
      </w:r>
      <w:r w:rsidR="00D84922" w:rsidRPr="00E534DB">
        <w:rPr>
          <w:rFonts w:ascii="Gadugi" w:hAnsi="Gadugi"/>
          <w:sz w:val="24"/>
          <w:szCs w:val="24"/>
        </w:rPr>
        <w:t>en la revisión y mantenimiento del sistema interno de gas</w:t>
      </w:r>
      <w:r w:rsidR="00E607A1" w:rsidRPr="00E534DB">
        <w:rPr>
          <w:rFonts w:ascii="Gadugi" w:hAnsi="Gadugi"/>
          <w:sz w:val="24"/>
          <w:szCs w:val="24"/>
        </w:rPr>
        <w:t xml:space="preserve">. Mas </w:t>
      </w:r>
      <w:r w:rsidR="00E607A1" w:rsidRPr="00E534DB">
        <w:rPr>
          <w:rFonts w:ascii="Gadugi" w:hAnsi="Gadugi"/>
          <w:sz w:val="24"/>
          <w:szCs w:val="24"/>
        </w:rPr>
        <w:lastRenderedPageBreak/>
        <w:t>este argumento tiene que ver con el elemento subjetivo (culpa), cuando el debate debió centrarse en el nexo causal que echó de menos el Juzgado.</w:t>
      </w:r>
      <w:r w:rsidR="00F60864" w:rsidRPr="00E534DB">
        <w:rPr>
          <w:rFonts w:ascii="Gadugi" w:hAnsi="Gadugi"/>
          <w:sz w:val="24"/>
          <w:szCs w:val="24"/>
        </w:rPr>
        <w:t>;</w:t>
      </w:r>
      <w:r w:rsidR="00D84922" w:rsidRPr="00E534DB">
        <w:rPr>
          <w:rFonts w:ascii="Gadugi" w:hAnsi="Gadugi"/>
          <w:sz w:val="24"/>
          <w:szCs w:val="24"/>
        </w:rPr>
        <w:t xml:space="preserve"> </w:t>
      </w:r>
    </w:p>
    <w:p w14:paraId="7CBFF7AD" w14:textId="77777777" w:rsidR="0056662B" w:rsidRPr="00E534DB" w:rsidRDefault="0056662B" w:rsidP="00E534DB">
      <w:pPr>
        <w:tabs>
          <w:tab w:val="left" w:pos="0"/>
          <w:tab w:val="left" w:pos="426"/>
        </w:tabs>
        <w:spacing w:after="0" w:line="276" w:lineRule="auto"/>
        <w:ind w:firstLine="1701"/>
        <w:contextualSpacing/>
        <w:jc w:val="both"/>
        <w:rPr>
          <w:rFonts w:ascii="Gadugi" w:hAnsi="Gadugi"/>
          <w:sz w:val="24"/>
          <w:szCs w:val="24"/>
        </w:rPr>
      </w:pPr>
    </w:p>
    <w:p w14:paraId="4736F05F" w14:textId="22DC1FBD" w:rsidR="00D770F5" w:rsidRPr="00E534DB" w:rsidRDefault="00E607A1" w:rsidP="00E534DB">
      <w:pPr>
        <w:tabs>
          <w:tab w:val="left" w:pos="426"/>
        </w:tabs>
        <w:spacing w:after="0" w:line="276" w:lineRule="auto"/>
        <w:ind w:firstLine="1701"/>
        <w:contextualSpacing/>
        <w:jc w:val="both"/>
        <w:rPr>
          <w:rFonts w:ascii="Gadugi" w:hAnsi="Gadugi"/>
          <w:sz w:val="24"/>
          <w:szCs w:val="24"/>
        </w:rPr>
      </w:pPr>
      <w:r w:rsidRPr="00E534DB">
        <w:rPr>
          <w:rFonts w:ascii="Gadugi" w:hAnsi="Gadugi"/>
          <w:sz w:val="24"/>
          <w:szCs w:val="24"/>
        </w:rPr>
        <w:t>Y en torno a esa relación</w:t>
      </w:r>
      <w:r w:rsidR="474375B0" w:rsidRPr="00E534DB">
        <w:rPr>
          <w:rFonts w:ascii="Gadugi" w:hAnsi="Gadugi"/>
          <w:sz w:val="24"/>
          <w:szCs w:val="24"/>
        </w:rPr>
        <w:t xml:space="preserve"> causal</w:t>
      </w:r>
      <w:r w:rsidRPr="00E534DB">
        <w:rPr>
          <w:rFonts w:ascii="Gadugi" w:hAnsi="Gadugi"/>
          <w:sz w:val="24"/>
          <w:szCs w:val="24"/>
        </w:rPr>
        <w:t>, s</w:t>
      </w:r>
      <w:r w:rsidR="0056662B" w:rsidRPr="00E534DB">
        <w:rPr>
          <w:rFonts w:ascii="Gadugi" w:hAnsi="Gadugi"/>
          <w:sz w:val="24"/>
          <w:szCs w:val="24"/>
        </w:rPr>
        <w:t xml:space="preserve">i </w:t>
      </w:r>
      <w:r w:rsidR="00852020" w:rsidRPr="00E534DB">
        <w:rPr>
          <w:rFonts w:ascii="Gadugi" w:hAnsi="Gadugi"/>
          <w:sz w:val="24"/>
          <w:szCs w:val="24"/>
        </w:rPr>
        <w:t>se observa</w:t>
      </w:r>
      <w:r w:rsidR="0056662B" w:rsidRPr="00E534DB">
        <w:rPr>
          <w:rFonts w:ascii="Gadugi" w:hAnsi="Gadugi"/>
          <w:sz w:val="24"/>
          <w:szCs w:val="24"/>
        </w:rPr>
        <w:t xml:space="preserve"> </w:t>
      </w:r>
      <w:r w:rsidR="00EA23B2" w:rsidRPr="00E534DB">
        <w:rPr>
          <w:rFonts w:ascii="Gadugi" w:hAnsi="Gadugi"/>
          <w:sz w:val="24"/>
          <w:szCs w:val="24"/>
        </w:rPr>
        <w:t xml:space="preserve">el informe 1 del 9 de febrero de 2010 </w:t>
      </w:r>
      <w:r w:rsidR="00852020" w:rsidRPr="00E534DB">
        <w:rPr>
          <w:rFonts w:ascii="Gadugi" w:hAnsi="Gadugi"/>
          <w:sz w:val="24"/>
          <w:szCs w:val="24"/>
        </w:rPr>
        <w:t xml:space="preserve">de la </w:t>
      </w:r>
      <w:r w:rsidR="00EA23B2" w:rsidRPr="00E534DB">
        <w:rPr>
          <w:rFonts w:ascii="Gadugi" w:hAnsi="Gadugi"/>
          <w:sz w:val="24"/>
          <w:szCs w:val="24"/>
        </w:rPr>
        <w:t xml:space="preserve">Subgerencia Técnica de </w:t>
      </w:r>
      <w:proofErr w:type="spellStart"/>
      <w:r w:rsidR="00EA23B2" w:rsidRPr="00E534DB">
        <w:rPr>
          <w:rFonts w:ascii="Gadugi" w:hAnsi="Gadugi"/>
          <w:sz w:val="24"/>
          <w:szCs w:val="24"/>
        </w:rPr>
        <w:t>Efigas</w:t>
      </w:r>
      <w:proofErr w:type="spellEnd"/>
      <w:r w:rsidR="00EA23B2" w:rsidRPr="00E534DB">
        <w:rPr>
          <w:rFonts w:ascii="Gadugi" w:hAnsi="Gadugi"/>
          <w:sz w:val="24"/>
          <w:szCs w:val="24"/>
        </w:rPr>
        <w:t xml:space="preserve">, tenido en cuenta por la juez de primer grado para fundamentar su decisión, </w:t>
      </w:r>
      <w:r w:rsidR="000E6310" w:rsidRPr="00E534DB">
        <w:rPr>
          <w:rFonts w:ascii="Gadugi" w:hAnsi="Gadugi"/>
          <w:sz w:val="24"/>
          <w:szCs w:val="24"/>
        </w:rPr>
        <w:t xml:space="preserve">lo que indica es que </w:t>
      </w:r>
      <w:r w:rsidR="00EA23B2" w:rsidRPr="00E534DB">
        <w:rPr>
          <w:rFonts w:ascii="Gadugi" w:hAnsi="Gadugi"/>
          <w:sz w:val="24"/>
          <w:szCs w:val="24"/>
        </w:rPr>
        <w:t xml:space="preserve">se presentó una falla </w:t>
      </w:r>
      <w:r w:rsidR="000E6310" w:rsidRPr="00E534DB">
        <w:rPr>
          <w:rFonts w:ascii="Gadugi" w:hAnsi="Gadugi"/>
          <w:sz w:val="24"/>
          <w:szCs w:val="24"/>
        </w:rPr>
        <w:t xml:space="preserve">propiciada </w:t>
      </w:r>
      <w:r w:rsidR="00557357" w:rsidRPr="00E534DB">
        <w:rPr>
          <w:rFonts w:ascii="Gadugi" w:hAnsi="Gadugi"/>
          <w:sz w:val="24"/>
          <w:szCs w:val="24"/>
        </w:rPr>
        <w:t xml:space="preserve">por </w:t>
      </w:r>
      <w:r w:rsidR="000E6310" w:rsidRPr="00E534DB">
        <w:rPr>
          <w:rFonts w:ascii="Gadugi" w:hAnsi="Gadugi"/>
          <w:sz w:val="24"/>
          <w:szCs w:val="24"/>
        </w:rPr>
        <w:t xml:space="preserve">la </w:t>
      </w:r>
      <w:r w:rsidR="00557357" w:rsidRPr="00E534DB">
        <w:rPr>
          <w:rFonts w:ascii="Gadugi" w:hAnsi="Gadugi"/>
          <w:sz w:val="24"/>
          <w:szCs w:val="24"/>
        </w:rPr>
        <w:t>manipulación irregul</w:t>
      </w:r>
      <w:r w:rsidR="00305B9A" w:rsidRPr="00E534DB">
        <w:rPr>
          <w:rFonts w:ascii="Gadugi" w:hAnsi="Gadugi"/>
          <w:sz w:val="24"/>
          <w:szCs w:val="24"/>
        </w:rPr>
        <w:t>ar de los usuarios del servicio. A</w:t>
      </w:r>
      <w:r w:rsidR="00557357" w:rsidRPr="00E534DB">
        <w:rPr>
          <w:rFonts w:ascii="Gadugi" w:hAnsi="Gadugi"/>
          <w:sz w:val="24"/>
          <w:szCs w:val="24"/>
        </w:rPr>
        <w:t xml:space="preserve">llí explícitamente se </w:t>
      </w:r>
      <w:r w:rsidR="000E6310" w:rsidRPr="00E534DB">
        <w:rPr>
          <w:rFonts w:ascii="Gadugi" w:hAnsi="Gadugi"/>
          <w:sz w:val="24"/>
          <w:szCs w:val="24"/>
        </w:rPr>
        <w:t xml:space="preserve">anotaron, como </w:t>
      </w:r>
      <w:r w:rsidR="00557357" w:rsidRPr="00E534DB">
        <w:rPr>
          <w:rFonts w:ascii="Gadugi" w:hAnsi="Gadugi"/>
          <w:sz w:val="24"/>
          <w:szCs w:val="24"/>
        </w:rPr>
        <w:t>hallazgos importantes</w:t>
      </w:r>
      <w:r w:rsidR="00557357" w:rsidRPr="00E534DB">
        <w:rPr>
          <w:rStyle w:val="Refdenotaalpie"/>
          <w:rFonts w:ascii="Gadugi" w:hAnsi="Gadugi"/>
          <w:sz w:val="24"/>
          <w:szCs w:val="24"/>
        </w:rPr>
        <w:footnoteReference w:id="34"/>
      </w:r>
      <w:r w:rsidR="00557357" w:rsidRPr="00E534DB">
        <w:rPr>
          <w:rFonts w:ascii="Gadugi" w:hAnsi="Gadugi"/>
          <w:sz w:val="24"/>
          <w:szCs w:val="24"/>
        </w:rPr>
        <w:t>:</w:t>
      </w:r>
    </w:p>
    <w:p w14:paraId="70E42AF7" w14:textId="77777777" w:rsidR="00557357" w:rsidRPr="00E534DB" w:rsidRDefault="00557357" w:rsidP="00E534DB">
      <w:pPr>
        <w:tabs>
          <w:tab w:val="left" w:pos="0"/>
          <w:tab w:val="left" w:pos="426"/>
        </w:tabs>
        <w:spacing w:after="0" w:line="276" w:lineRule="auto"/>
        <w:ind w:firstLine="1701"/>
        <w:contextualSpacing/>
        <w:jc w:val="both"/>
        <w:rPr>
          <w:rFonts w:ascii="Gadugi" w:hAnsi="Gadugi"/>
          <w:sz w:val="24"/>
          <w:szCs w:val="24"/>
        </w:rPr>
      </w:pPr>
    </w:p>
    <w:p w14:paraId="7C513645" w14:textId="7FFBBE48" w:rsidR="00557357" w:rsidRPr="00E534DB" w:rsidRDefault="00557357" w:rsidP="00E534DB">
      <w:pPr>
        <w:pStyle w:val="Prrafodelista"/>
        <w:numPr>
          <w:ilvl w:val="0"/>
          <w:numId w:val="3"/>
        </w:numPr>
        <w:tabs>
          <w:tab w:val="left" w:pos="142"/>
          <w:tab w:val="left" w:pos="426"/>
        </w:tabs>
        <w:spacing w:after="0" w:line="276" w:lineRule="auto"/>
        <w:ind w:left="426" w:right="333" w:firstLine="1275"/>
        <w:jc w:val="both"/>
        <w:rPr>
          <w:rFonts w:ascii="Gadugi" w:hAnsi="Gadugi"/>
          <w:i/>
          <w:sz w:val="24"/>
          <w:szCs w:val="24"/>
        </w:rPr>
      </w:pPr>
      <w:r w:rsidRPr="00E534DB">
        <w:rPr>
          <w:rFonts w:ascii="Gadugi" w:hAnsi="Gadugi"/>
          <w:i/>
          <w:sz w:val="24"/>
          <w:szCs w:val="24"/>
        </w:rPr>
        <w:t>“Dos estufas de dos puestos, una de ella con un conector normalizado (figura 11) y otra con conector de 1.5 en nitrilo y presencia de teflón en el punto de entrada al gasodoméstico (entregada a cadena de custodia – figura 12)</w:t>
      </w:r>
    </w:p>
    <w:p w14:paraId="55F529D5" w14:textId="566794DF" w:rsidR="00557357" w:rsidRPr="00E534DB" w:rsidRDefault="00557357" w:rsidP="00E534DB">
      <w:pPr>
        <w:pStyle w:val="Prrafodelista"/>
        <w:numPr>
          <w:ilvl w:val="0"/>
          <w:numId w:val="3"/>
        </w:numPr>
        <w:tabs>
          <w:tab w:val="left" w:pos="142"/>
          <w:tab w:val="left" w:pos="426"/>
        </w:tabs>
        <w:spacing w:after="0" w:line="276" w:lineRule="auto"/>
        <w:ind w:left="426" w:right="333" w:firstLine="1275"/>
        <w:jc w:val="both"/>
        <w:rPr>
          <w:rFonts w:ascii="Gadugi" w:hAnsi="Gadugi"/>
          <w:i/>
          <w:sz w:val="24"/>
          <w:szCs w:val="24"/>
        </w:rPr>
      </w:pPr>
      <w:r w:rsidRPr="00E534DB">
        <w:rPr>
          <w:rFonts w:ascii="Gadugi" w:hAnsi="Gadugi"/>
          <w:i/>
          <w:sz w:val="24"/>
          <w:szCs w:val="24"/>
        </w:rPr>
        <w:t xml:space="preserve">Tres cilindros para gas propano, dos de ellos con evidencias de conexión de regulador, una de las cuales estaba rota y la otra desconectada (figura 13) </w:t>
      </w:r>
    </w:p>
    <w:p w14:paraId="0D38C844" w14:textId="6FC6A88A" w:rsidR="00557357" w:rsidRPr="00E534DB" w:rsidRDefault="00557357" w:rsidP="00E534DB">
      <w:pPr>
        <w:pStyle w:val="Prrafodelista"/>
        <w:numPr>
          <w:ilvl w:val="0"/>
          <w:numId w:val="3"/>
        </w:numPr>
        <w:tabs>
          <w:tab w:val="left" w:pos="142"/>
          <w:tab w:val="left" w:pos="426"/>
        </w:tabs>
        <w:spacing w:after="0" w:line="276" w:lineRule="auto"/>
        <w:ind w:left="426" w:right="333" w:firstLine="1275"/>
        <w:jc w:val="both"/>
        <w:rPr>
          <w:rFonts w:ascii="Gadugi" w:hAnsi="Gadugi"/>
          <w:i/>
          <w:sz w:val="24"/>
          <w:szCs w:val="24"/>
        </w:rPr>
      </w:pPr>
      <w:r w:rsidRPr="00E534DB">
        <w:rPr>
          <w:rFonts w:ascii="Gadugi" w:hAnsi="Gadugi"/>
          <w:i/>
          <w:sz w:val="24"/>
          <w:szCs w:val="24"/>
        </w:rPr>
        <w:t>Afectaciones civiles (figura 14)”</w:t>
      </w:r>
    </w:p>
    <w:p w14:paraId="333C9E49" w14:textId="77777777" w:rsidR="00B255A2" w:rsidRPr="00E534DB" w:rsidRDefault="00B255A2" w:rsidP="00E534DB">
      <w:pPr>
        <w:pStyle w:val="Prrafodelista"/>
        <w:tabs>
          <w:tab w:val="left" w:pos="142"/>
          <w:tab w:val="left" w:pos="426"/>
        </w:tabs>
        <w:spacing w:after="0" w:line="276" w:lineRule="auto"/>
        <w:ind w:left="1701" w:right="333"/>
        <w:jc w:val="both"/>
        <w:rPr>
          <w:rFonts w:ascii="Gadugi" w:hAnsi="Gadugi"/>
          <w:i/>
          <w:sz w:val="24"/>
          <w:szCs w:val="24"/>
        </w:rPr>
      </w:pPr>
    </w:p>
    <w:p w14:paraId="5565E7A7" w14:textId="77777777" w:rsidR="00925516" w:rsidRPr="00E534DB" w:rsidRDefault="00305B9A" w:rsidP="00E534DB">
      <w:pPr>
        <w:tabs>
          <w:tab w:val="left" w:pos="0"/>
          <w:tab w:val="left" w:pos="426"/>
        </w:tabs>
        <w:spacing w:after="0" w:line="276" w:lineRule="auto"/>
        <w:ind w:firstLine="1701"/>
        <w:contextualSpacing/>
        <w:jc w:val="both"/>
        <w:rPr>
          <w:rFonts w:ascii="Gadugi" w:hAnsi="Gadugi"/>
          <w:sz w:val="24"/>
          <w:szCs w:val="24"/>
        </w:rPr>
      </w:pPr>
      <w:r w:rsidRPr="00E534DB">
        <w:rPr>
          <w:rFonts w:ascii="Gadugi" w:hAnsi="Gadugi"/>
          <w:sz w:val="24"/>
          <w:szCs w:val="24"/>
        </w:rPr>
        <w:t xml:space="preserve">Lo que </w:t>
      </w:r>
      <w:r w:rsidR="00EF0DAD" w:rsidRPr="00E534DB">
        <w:rPr>
          <w:rFonts w:ascii="Gadugi" w:hAnsi="Gadugi"/>
          <w:sz w:val="24"/>
          <w:szCs w:val="24"/>
        </w:rPr>
        <w:t xml:space="preserve">revela que </w:t>
      </w:r>
      <w:r w:rsidRPr="00E534DB">
        <w:rPr>
          <w:rFonts w:ascii="Gadugi" w:hAnsi="Gadugi"/>
          <w:sz w:val="24"/>
          <w:szCs w:val="24"/>
        </w:rPr>
        <w:t>existían otras instalaciones de gas</w:t>
      </w:r>
      <w:r w:rsidR="00EF0DAD" w:rsidRPr="00E534DB">
        <w:rPr>
          <w:rFonts w:ascii="Gadugi" w:hAnsi="Gadugi"/>
          <w:sz w:val="24"/>
          <w:szCs w:val="24"/>
        </w:rPr>
        <w:t xml:space="preserve"> propano</w:t>
      </w:r>
      <w:r w:rsidRPr="00E534DB">
        <w:rPr>
          <w:rFonts w:ascii="Gadugi" w:hAnsi="Gadugi"/>
          <w:sz w:val="24"/>
          <w:szCs w:val="24"/>
        </w:rPr>
        <w:t xml:space="preserve">, diferentes a la que </w:t>
      </w:r>
      <w:r w:rsidR="00EF0DAD" w:rsidRPr="00E534DB">
        <w:rPr>
          <w:rFonts w:ascii="Gadugi" w:hAnsi="Gadugi"/>
          <w:sz w:val="24"/>
          <w:szCs w:val="24"/>
        </w:rPr>
        <w:t xml:space="preserve">dispensaba </w:t>
      </w:r>
      <w:r w:rsidRPr="00E534DB">
        <w:rPr>
          <w:rFonts w:ascii="Gadugi" w:hAnsi="Gadugi"/>
          <w:sz w:val="24"/>
          <w:szCs w:val="24"/>
        </w:rPr>
        <w:t xml:space="preserve">la entidad demandada, tanto así que una de ellas estaba rota, </w:t>
      </w:r>
      <w:r w:rsidR="007737EC" w:rsidRPr="00E534DB">
        <w:rPr>
          <w:rFonts w:ascii="Gadugi" w:hAnsi="Gadugi"/>
          <w:sz w:val="24"/>
          <w:szCs w:val="24"/>
        </w:rPr>
        <w:t>hecho que denota que en su momento estaba conectada</w:t>
      </w:r>
      <w:r w:rsidRPr="00E534DB">
        <w:rPr>
          <w:rFonts w:ascii="Gadugi" w:hAnsi="Gadugi"/>
          <w:sz w:val="24"/>
          <w:szCs w:val="24"/>
        </w:rPr>
        <w:t xml:space="preserve">. Así lo </w:t>
      </w:r>
      <w:r w:rsidR="007737EC" w:rsidRPr="00E534DB">
        <w:rPr>
          <w:rFonts w:ascii="Gadugi" w:hAnsi="Gadugi"/>
          <w:sz w:val="24"/>
          <w:szCs w:val="24"/>
        </w:rPr>
        <w:t>señal</w:t>
      </w:r>
      <w:r w:rsidR="009748D7" w:rsidRPr="00E534DB">
        <w:rPr>
          <w:rFonts w:ascii="Gadugi" w:hAnsi="Gadugi"/>
          <w:sz w:val="24"/>
          <w:szCs w:val="24"/>
        </w:rPr>
        <w:t>ó</w:t>
      </w:r>
      <w:r w:rsidR="007737EC" w:rsidRPr="00E534DB">
        <w:rPr>
          <w:rFonts w:ascii="Gadugi" w:hAnsi="Gadugi"/>
          <w:sz w:val="24"/>
          <w:szCs w:val="24"/>
        </w:rPr>
        <w:t xml:space="preserve"> </w:t>
      </w:r>
      <w:r w:rsidRPr="00E534DB">
        <w:rPr>
          <w:rFonts w:ascii="Gadugi" w:hAnsi="Gadugi"/>
          <w:sz w:val="24"/>
          <w:szCs w:val="24"/>
        </w:rPr>
        <w:t xml:space="preserve">el </w:t>
      </w:r>
      <w:r w:rsidR="004D2490" w:rsidRPr="00E534DB">
        <w:rPr>
          <w:rFonts w:ascii="Gadugi" w:hAnsi="Gadugi"/>
          <w:sz w:val="24"/>
          <w:szCs w:val="24"/>
        </w:rPr>
        <w:t>Técnico Mario Ortiz López</w:t>
      </w:r>
      <w:r w:rsidR="004D2490" w:rsidRPr="00E534DB">
        <w:rPr>
          <w:rStyle w:val="Refdenotaalpie"/>
          <w:rFonts w:ascii="Gadugi" w:hAnsi="Gadugi"/>
          <w:sz w:val="24"/>
          <w:szCs w:val="24"/>
        </w:rPr>
        <w:footnoteReference w:id="35"/>
      </w:r>
      <w:r w:rsidR="004D2490" w:rsidRPr="00E534DB">
        <w:rPr>
          <w:rFonts w:ascii="Gadugi" w:hAnsi="Gadugi"/>
          <w:sz w:val="24"/>
          <w:szCs w:val="24"/>
        </w:rPr>
        <w:t>, que estuvo presente en el momento posterior del incidente</w:t>
      </w:r>
      <w:r w:rsidR="009657F5" w:rsidRPr="00E534DB">
        <w:rPr>
          <w:rFonts w:ascii="Gadugi" w:hAnsi="Gadugi"/>
          <w:sz w:val="24"/>
          <w:szCs w:val="24"/>
        </w:rPr>
        <w:t xml:space="preserve">, quien, distinto a lo que sugieren los recurrentes, nunca afirmó que la empresa hubiera omitido una revisión en el apartamento 1 de la edificación donde se produjo la explosión; más bien lo que </w:t>
      </w:r>
      <w:r w:rsidR="00782C27" w:rsidRPr="00E534DB">
        <w:rPr>
          <w:rFonts w:ascii="Gadugi" w:hAnsi="Gadugi"/>
          <w:sz w:val="24"/>
          <w:szCs w:val="24"/>
        </w:rPr>
        <w:t xml:space="preserve">dijo es que allí hubo una indebida instalación de gas propano por parte de los residentes, lo que produjo la fuga </w:t>
      </w:r>
      <w:r w:rsidR="00925516" w:rsidRPr="00E534DB">
        <w:rPr>
          <w:rFonts w:ascii="Gadugi" w:hAnsi="Gadugi"/>
          <w:sz w:val="24"/>
          <w:szCs w:val="24"/>
        </w:rPr>
        <w:t xml:space="preserve">de ese elemento. </w:t>
      </w:r>
    </w:p>
    <w:p w14:paraId="3A53B904" w14:textId="77777777" w:rsidR="00925516" w:rsidRPr="00E534DB" w:rsidRDefault="00925516" w:rsidP="00E534DB">
      <w:pPr>
        <w:tabs>
          <w:tab w:val="left" w:pos="0"/>
          <w:tab w:val="left" w:pos="426"/>
        </w:tabs>
        <w:spacing w:after="0" w:line="276" w:lineRule="auto"/>
        <w:ind w:firstLine="1701"/>
        <w:contextualSpacing/>
        <w:jc w:val="both"/>
        <w:rPr>
          <w:rFonts w:ascii="Gadugi" w:hAnsi="Gadugi"/>
          <w:sz w:val="24"/>
          <w:szCs w:val="24"/>
        </w:rPr>
      </w:pPr>
    </w:p>
    <w:p w14:paraId="525AB0A4" w14:textId="1700CF7F" w:rsidR="004D2490" w:rsidRPr="00E534DB" w:rsidRDefault="00B711DD" w:rsidP="00E534DB">
      <w:pPr>
        <w:tabs>
          <w:tab w:val="left" w:pos="0"/>
          <w:tab w:val="left" w:pos="426"/>
        </w:tabs>
        <w:spacing w:after="0" w:line="276" w:lineRule="auto"/>
        <w:ind w:firstLine="1701"/>
        <w:contextualSpacing/>
        <w:jc w:val="both"/>
        <w:rPr>
          <w:rFonts w:ascii="Gadugi" w:hAnsi="Gadugi"/>
          <w:sz w:val="24"/>
          <w:szCs w:val="24"/>
        </w:rPr>
      </w:pPr>
      <w:r w:rsidRPr="00E534DB">
        <w:rPr>
          <w:rFonts w:ascii="Gadugi" w:hAnsi="Gadugi"/>
          <w:sz w:val="24"/>
          <w:szCs w:val="24"/>
        </w:rPr>
        <w:t>Por lo relevante</w:t>
      </w:r>
      <w:r w:rsidR="0089501F" w:rsidRPr="00E534DB">
        <w:rPr>
          <w:rFonts w:ascii="Gadugi" w:hAnsi="Gadugi"/>
          <w:sz w:val="24"/>
          <w:szCs w:val="24"/>
        </w:rPr>
        <w:t xml:space="preserve"> para la definición del asunto, </w:t>
      </w:r>
      <w:r w:rsidR="004D487C" w:rsidRPr="00E534DB">
        <w:rPr>
          <w:rFonts w:ascii="Gadugi" w:hAnsi="Gadugi"/>
          <w:sz w:val="24"/>
          <w:szCs w:val="24"/>
        </w:rPr>
        <w:t xml:space="preserve">se recuerda lo dicho por este deponente: </w:t>
      </w:r>
    </w:p>
    <w:p w14:paraId="150D28C1" w14:textId="77777777" w:rsidR="004D487C" w:rsidRPr="00E534DB" w:rsidRDefault="004D487C" w:rsidP="00E534DB">
      <w:pPr>
        <w:tabs>
          <w:tab w:val="left" w:pos="0"/>
          <w:tab w:val="left" w:pos="426"/>
        </w:tabs>
        <w:spacing w:after="0" w:line="276" w:lineRule="auto"/>
        <w:ind w:firstLine="1701"/>
        <w:contextualSpacing/>
        <w:jc w:val="both"/>
        <w:rPr>
          <w:rFonts w:ascii="Gadugi" w:hAnsi="Gadugi"/>
          <w:sz w:val="24"/>
          <w:szCs w:val="24"/>
        </w:rPr>
      </w:pPr>
    </w:p>
    <w:p w14:paraId="7C376668" w14:textId="0571B372" w:rsidR="004D2490" w:rsidRPr="00AD1187" w:rsidRDefault="004D2490" w:rsidP="00AD1187">
      <w:pPr>
        <w:tabs>
          <w:tab w:val="left" w:pos="284"/>
          <w:tab w:val="left" w:pos="426"/>
        </w:tabs>
        <w:spacing w:after="0" w:line="240" w:lineRule="auto"/>
        <w:ind w:left="567" w:right="616" w:firstLine="1134"/>
        <w:contextualSpacing/>
        <w:jc w:val="both"/>
        <w:rPr>
          <w:rFonts w:ascii="Gadugi" w:hAnsi="Gadugi"/>
          <w:iCs/>
          <w:szCs w:val="24"/>
        </w:rPr>
      </w:pPr>
      <w:r w:rsidRPr="00AD1187">
        <w:rPr>
          <w:rFonts w:ascii="Gadugi" w:hAnsi="Gadugi"/>
          <w:szCs w:val="24"/>
        </w:rPr>
        <w:t xml:space="preserve">“Para el día 09 de febrero </w:t>
      </w:r>
      <w:r w:rsidR="00B255A2" w:rsidRPr="00AD1187">
        <w:rPr>
          <w:rFonts w:ascii="Gadugi" w:hAnsi="Gadugi"/>
          <w:szCs w:val="24"/>
        </w:rPr>
        <w:t xml:space="preserve">de 2010 recibimos en la línea del </w:t>
      </w:r>
      <w:proofErr w:type="spellStart"/>
      <w:r w:rsidR="00B255A2" w:rsidRPr="00AD1187">
        <w:rPr>
          <w:rFonts w:ascii="Gadugi" w:hAnsi="Gadugi"/>
          <w:szCs w:val="24"/>
        </w:rPr>
        <w:t>call</w:t>
      </w:r>
      <w:proofErr w:type="spellEnd"/>
      <w:r w:rsidR="00B255A2" w:rsidRPr="00AD1187">
        <w:rPr>
          <w:rFonts w:ascii="Gadugi" w:hAnsi="Gadugi"/>
          <w:szCs w:val="24"/>
        </w:rPr>
        <w:t xml:space="preserve"> center de </w:t>
      </w:r>
      <w:proofErr w:type="spellStart"/>
      <w:r w:rsidR="00B255A2" w:rsidRPr="00AD1187">
        <w:rPr>
          <w:rFonts w:ascii="Gadugi" w:hAnsi="Gadugi"/>
          <w:szCs w:val="24"/>
        </w:rPr>
        <w:t>efigas</w:t>
      </w:r>
      <w:proofErr w:type="spellEnd"/>
      <w:r w:rsidR="00B255A2" w:rsidRPr="00AD1187">
        <w:rPr>
          <w:rFonts w:ascii="Gadugi" w:hAnsi="Gadugi"/>
          <w:szCs w:val="24"/>
        </w:rPr>
        <w:t xml:space="preserve"> un reporte del comando de bomberos de Dosquebradas en el que se indicaba que dos viviendas habían colapsado y que había un escape de gas natural. Ese reporte fue aproximadamente a las 7 y 30 de la mañana y de acuerdo con el procedimiento interno de la notificación el </w:t>
      </w:r>
      <w:proofErr w:type="spellStart"/>
      <w:r w:rsidR="00B255A2" w:rsidRPr="00AD1187">
        <w:rPr>
          <w:rFonts w:ascii="Gadugi" w:hAnsi="Gadugi"/>
          <w:szCs w:val="24"/>
        </w:rPr>
        <w:t>call</w:t>
      </w:r>
      <w:proofErr w:type="spellEnd"/>
      <w:r w:rsidR="00B255A2" w:rsidRPr="00AD1187">
        <w:rPr>
          <w:rFonts w:ascii="Gadugi" w:hAnsi="Gadugi"/>
          <w:szCs w:val="24"/>
        </w:rPr>
        <w:t xml:space="preserve"> center pasó la información al centro de control que es en donde se gestiona los llamados de emergencia de los clientes y de allí se comisionó una cuadrilla para que fueran al lugar, es decir, unos operarios de la empresa </w:t>
      </w:r>
      <w:proofErr w:type="spellStart"/>
      <w:r w:rsidR="00B255A2" w:rsidRPr="00AD1187">
        <w:rPr>
          <w:rFonts w:ascii="Gadugi" w:hAnsi="Gadugi"/>
          <w:szCs w:val="24"/>
        </w:rPr>
        <w:t>Efigas</w:t>
      </w:r>
      <w:proofErr w:type="spellEnd"/>
      <w:r w:rsidR="00B255A2" w:rsidRPr="00AD1187">
        <w:rPr>
          <w:rFonts w:ascii="Gadugi" w:hAnsi="Gadugi"/>
          <w:szCs w:val="24"/>
        </w:rPr>
        <w:t xml:space="preserve">. Ellos hacen presencia más o menos a las 8 de la mañana y ejecutan las acciones para garantizar la seguridad en el lugar, esto significa cerrar las válvulas para controlar los puntos de fuga. El control de esos puntos de escape con el cierre de estas válvulas se logró aproximadamente a las 8 y 15, digamos que ahí terminaron las acciones de presencia y control por parte de </w:t>
      </w:r>
      <w:proofErr w:type="spellStart"/>
      <w:r w:rsidR="00B255A2" w:rsidRPr="00AD1187">
        <w:rPr>
          <w:rFonts w:ascii="Gadugi" w:hAnsi="Gadugi"/>
          <w:szCs w:val="24"/>
        </w:rPr>
        <w:t>efigas</w:t>
      </w:r>
      <w:proofErr w:type="spellEnd"/>
      <w:r w:rsidR="00B255A2" w:rsidRPr="00AD1187">
        <w:rPr>
          <w:rFonts w:ascii="Gadugi" w:hAnsi="Gadugi"/>
          <w:szCs w:val="24"/>
        </w:rPr>
        <w:t xml:space="preserve">, de acuerdo con la resolución 067 Código de Distribución de gas natural </w:t>
      </w:r>
      <w:r w:rsidR="00B255A2" w:rsidRPr="00AD1187">
        <w:rPr>
          <w:rFonts w:ascii="Gadugi" w:hAnsi="Gadugi"/>
          <w:szCs w:val="24"/>
        </w:rPr>
        <w:lastRenderedPageBreak/>
        <w:t xml:space="preserve">de la CREG. Posterior a este momento nuestra presencia fue de apoyo a los organismos de rescate y socorro. Ese apoyo consistió en proporcionar los equipos para la detección de fugas y los operarios para manejarlos con el fin de identificar el origen de los olores a gas que existían entre los escombros. De esa labor efectivamente se encontraron dos puntos o focos que una vez fueron removidos los escombros lo que se encontró fue cilindros de propano. Uno de ellos tenía la válvula abierta y estaba escapándose el gas que tenía adentro y el otro no tenía escape pero tenía deterioro. Una vez se terminó esa actividad tanto los equipos como las cuadrillas de la empresa fueron desalojados del lugar por las autoridades, debido a que iban a empezar las labores de rescate, entonces desde ahí nosotros quedamos fuera de la escena de los hechos. Ya más tarde cuando se nos permitió nuevamente el acceso pudimos verificar a partir del colapso de las viviendas y de entre los escombros los fragmentos que quedaron de las instalaciones internas de gas de las casas que colapsaron, que tenían como nomenclatura casa 22 y 23 pertenecientes a la manzana 6 del barrio Luis Carlos Galán de la ciudad de Dosquebradas, lo que se encontraron allá fueron estufas de dos puestos </w:t>
      </w:r>
      <w:r w:rsidR="002E5192" w:rsidRPr="00AD1187">
        <w:rPr>
          <w:rFonts w:ascii="Gadugi" w:hAnsi="Gadugi"/>
          <w:szCs w:val="24"/>
        </w:rPr>
        <w:t xml:space="preserve">o quemadores, que presumiblemente estaban prestando ese servicio, si poderlo corroborar. Una de ellas tenía un conector no normalizado para instalaciones de gas natural y otra tenía un recubrimiento en su extremo en teflón que tampoco es un elemento utilizado ni permitido en instalaciones para gas natural. Esas estufas se entregaron al CTI y quedaron en cadena de custodia y los fragmentos de las redes fueron apareciendo por que las personas que habitaban allí se fueron hurtando todo lo que contiene cobre, esto corresponde a la casa 22 y en la casa 23 se encontró una instalación cuyo material se llama </w:t>
      </w:r>
      <w:proofErr w:type="spellStart"/>
      <w:r w:rsidR="002E5192" w:rsidRPr="00AD1187">
        <w:rPr>
          <w:rFonts w:ascii="Gadugi" w:hAnsi="Gadugi"/>
          <w:szCs w:val="24"/>
        </w:rPr>
        <w:t>pealpe</w:t>
      </w:r>
      <w:proofErr w:type="spellEnd"/>
      <w:r w:rsidR="002E5192" w:rsidRPr="00AD1187">
        <w:rPr>
          <w:rFonts w:ascii="Gadugi" w:hAnsi="Gadugi"/>
          <w:szCs w:val="24"/>
        </w:rPr>
        <w:t xml:space="preserve">. Hicimos los taponamientos de las acometidas o de los puntos de entrega a esas viviendas ya que se encontraron averiadas por el colapso de la vivienda para facilitar la prestación del servicio al resto del sector. Hicimos una visita también al </w:t>
      </w:r>
      <w:r w:rsidR="007737EC" w:rsidRPr="00AD1187">
        <w:rPr>
          <w:rFonts w:ascii="Gadugi" w:hAnsi="Gadugi"/>
          <w:szCs w:val="24"/>
        </w:rPr>
        <w:t>cuerpo</w:t>
      </w:r>
      <w:r w:rsidR="002E5192" w:rsidRPr="00AD1187">
        <w:rPr>
          <w:rFonts w:ascii="Gadugi" w:hAnsi="Gadugi"/>
          <w:szCs w:val="24"/>
        </w:rPr>
        <w:t xml:space="preserve"> de bomberos donde pudimos visualizar los medidores ya en cadena de custodia y en ellos se apreció </w:t>
      </w:r>
      <w:r w:rsidR="00C32E2D" w:rsidRPr="00AD1187">
        <w:rPr>
          <w:rFonts w:ascii="Gadugi" w:hAnsi="Gadugi"/>
          <w:szCs w:val="24"/>
        </w:rPr>
        <w:t xml:space="preserve">deterioro por el colapso mismo de las viviendas y de ahí en adelante como se finaliza el proceso de recolección de evidencias con el cual se iba a elaborar posteriormente el informe interno, al cotejar los números de los medidores con las direcciones y con los registros existentes en la base de la empresa se pudo comprobar que debido a escapes de gas natural en ninguno de esos dos predios se hicieron llamadas desde el día de la instalación hasta el día de ocurrencia de los hechos. Esto fue verificado en los registros de grabación de las llamadas y en el registro de PQR. Adicionalmente por la antigüedad de las redes se verificó que desde su tiempo de entrada en funcionamiento y certificación aún no debían ser sujeto de la revisión quinquenal obligada por la Resolución 14471 de la Superintendencia de Industria y Comercio. También pudimos indagar, revisando los registros particulares de cada una de las conexiones que desde el momento de la entrega y puesta en servicio, se dejaron conexiones con estufas de cuatro (4) puestos y que se cumplía con las condiciones de ventilación y evacuación citadas en la resolución anterior, dejando con eso en evidencia que hubo manipulación de dichas conexiones ya que entre las evidencias de campo lo que se encontraron fueron estufas de dos puestos con conexiones irregulares. De acuerdo con la resolución 14471 y el contrato de condiciones uniformes que cada usuario firma al acceder al servicio se establece que cualquier modificación realizada a la instalación interna debe ser efectuada por personal competente, es decir que esté capacitado y competente para tal fin y esa certificación la ofrecen organismos como el SENA y reportada a la entidad distribuidora para realizar nuevamente el proceso de certificación. Ahora el proceso de certificación no lo </w:t>
      </w:r>
      <w:r w:rsidR="00C32E2D" w:rsidRPr="00AD1187">
        <w:rPr>
          <w:rFonts w:ascii="Gadugi" w:hAnsi="Gadugi"/>
          <w:szCs w:val="24"/>
        </w:rPr>
        <w:lastRenderedPageBreak/>
        <w:t>hace EFIGAS lo hace otra empresa que tiene</w:t>
      </w:r>
      <w:r w:rsidR="00C32E2D" w:rsidRPr="00E534DB">
        <w:rPr>
          <w:rFonts w:ascii="Gadugi" w:hAnsi="Gadugi"/>
          <w:iCs/>
          <w:sz w:val="24"/>
          <w:szCs w:val="24"/>
        </w:rPr>
        <w:t xml:space="preserve"> </w:t>
      </w:r>
      <w:r w:rsidR="00C32E2D" w:rsidRPr="00AD1187">
        <w:rPr>
          <w:rFonts w:ascii="Gadugi" w:hAnsi="Gadugi"/>
          <w:iCs/>
          <w:szCs w:val="24"/>
        </w:rPr>
        <w:t>certificación específica ante la SIC para realizar dicha tarea.”</w:t>
      </w:r>
      <w:r w:rsidR="00C32E2D" w:rsidRPr="00AD1187">
        <w:rPr>
          <w:rStyle w:val="Refdenotaalpie"/>
          <w:rFonts w:ascii="Gadugi" w:hAnsi="Gadugi"/>
          <w:iCs/>
          <w:szCs w:val="24"/>
        </w:rPr>
        <w:footnoteReference w:id="36"/>
      </w:r>
    </w:p>
    <w:p w14:paraId="72A698A9" w14:textId="77777777" w:rsidR="00E607A1" w:rsidRPr="00E534DB" w:rsidRDefault="00E607A1" w:rsidP="00E534DB">
      <w:pPr>
        <w:tabs>
          <w:tab w:val="left" w:pos="0"/>
          <w:tab w:val="left" w:pos="426"/>
        </w:tabs>
        <w:spacing w:after="0" w:line="276" w:lineRule="auto"/>
        <w:ind w:firstLine="1701"/>
        <w:contextualSpacing/>
        <w:jc w:val="both"/>
        <w:rPr>
          <w:rFonts w:ascii="Gadugi" w:hAnsi="Gadugi"/>
          <w:sz w:val="24"/>
          <w:szCs w:val="24"/>
        </w:rPr>
      </w:pPr>
    </w:p>
    <w:p w14:paraId="2452F7EC" w14:textId="01DC11E1" w:rsidR="00557357" w:rsidRPr="00E534DB" w:rsidRDefault="00557357" w:rsidP="00E534DB">
      <w:pPr>
        <w:tabs>
          <w:tab w:val="left" w:pos="0"/>
          <w:tab w:val="left" w:pos="426"/>
        </w:tabs>
        <w:spacing w:after="0" w:line="276" w:lineRule="auto"/>
        <w:ind w:firstLine="1701"/>
        <w:contextualSpacing/>
        <w:jc w:val="both"/>
        <w:rPr>
          <w:rFonts w:ascii="Gadugi" w:hAnsi="Gadugi"/>
          <w:sz w:val="24"/>
          <w:szCs w:val="24"/>
        </w:rPr>
      </w:pPr>
      <w:r w:rsidRPr="00E534DB">
        <w:rPr>
          <w:rFonts w:ascii="Gadugi" w:hAnsi="Gadugi"/>
          <w:sz w:val="24"/>
          <w:szCs w:val="24"/>
        </w:rPr>
        <w:t>En igual sentido</w:t>
      </w:r>
      <w:r w:rsidR="009E5890" w:rsidRPr="00E534DB">
        <w:rPr>
          <w:rFonts w:ascii="Gadugi" w:hAnsi="Gadugi"/>
          <w:sz w:val="24"/>
          <w:szCs w:val="24"/>
        </w:rPr>
        <w:t>,</w:t>
      </w:r>
      <w:r w:rsidRPr="00E534DB">
        <w:rPr>
          <w:rFonts w:ascii="Gadugi" w:hAnsi="Gadugi"/>
          <w:sz w:val="24"/>
          <w:szCs w:val="24"/>
        </w:rPr>
        <w:t xml:space="preserve"> se pronunci</w:t>
      </w:r>
      <w:r w:rsidR="009E5890" w:rsidRPr="00E534DB">
        <w:rPr>
          <w:rFonts w:ascii="Gadugi" w:hAnsi="Gadugi"/>
          <w:sz w:val="24"/>
          <w:szCs w:val="24"/>
        </w:rPr>
        <w:t>ó</w:t>
      </w:r>
      <w:r w:rsidRPr="00E534DB">
        <w:rPr>
          <w:rFonts w:ascii="Gadugi" w:hAnsi="Gadugi"/>
          <w:sz w:val="24"/>
          <w:szCs w:val="24"/>
        </w:rPr>
        <w:t xml:space="preserve"> </w:t>
      </w:r>
      <w:r w:rsidR="000F1837" w:rsidRPr="00E534DB">
        <w:rPr>
          <w:rFonts w:ascii="Gadugi" w:hAnsi="Gadugi"/>
          <w:sz w:val="24"/>
          <w:szCs w:val="24"/>
        </w:rPr>
        <w:t xml:space="preserve">la entidad </w:t>
      </w:r>
      <w:r w:rsidRPr="00E534DB">
        <w:rPr>
          <w:rFonts w:ascii="Gadugi" w:hAnsi="Gadugi"/>
          <w:sz w:val="24"/>
          <w:szCs w:val="24"/>
        </w:rPr>
        <w:t xml:space="preserve">DELOITTE </w:t>
      </w:r>
      <w:r w:rsidR="00305B9A" w:rsidRPr="00E534DB">
        <w:rPr>
          <w:rFonts w:ascii="Gadugi" w:hAnsi="Gadugi"/>
          <w:sz w:val="24"/>
          <w:szCs w:val="24"/>
        </w:rPr>
        <w:t xml:space="preserve">en su reporte del incidente. </w:t>
      </w:r>
      <w:r w:rsidR="009E5890" w:rsidRPr="00E534DB">
        <w:rPr>
          <w:rFonts w:ascii="Gadugi" w:hAnsi="Gadugi"/>
          <w:sz w:val="24"/>
          <w:szCs w:val="24"/>
        </w:rPr>
        <w:t xml:space="preserve">Y en </w:t>
      </w:r>
      <w:r w:rsidR="00305B9A" w:rsidRPr="00E534DB">
        <w:rPr>
          <w:rFonts w:ascii="Gadugi" w:hAnsi="Gadugi"/>
          <w:sz w:val="24"/>
          <w:szCs w:val="24"/>
        </w:rPr>
        <w:t xml:space="preserve">lo referente a </w:t>
      </w:r>
      <w:r w:rsidR="009E5890" w:rsidRPr="00E534DB">
        <w:rPr>
          <w:rFonts w:ascii="Gadugi" w:hAnsi="Gadugi"/>
          <w:sz w:val="24"/>
          <w:szCs w:val="24"/>
        </w:rPr>
        <w:t>la presunta queja</w:t>
      </w:r>
      <w:r w:rsidR="00A555AA" w:rsidRPr="00E534DB">
        <w:rPr>
          <w:rFonts w:ascii="Gadugi" w:hAnsi="Gadugi"/>
          <w:sz w:val="24"/>
          <w:szCs w:val="24"/>
        </w:rPr>
        <w:t xml:space="preserve"> que en la demanda se dice que hubo por el </w:t>
      </w:r>
      <w:r w:rsidR="00305B9A" w:rsidRPr="00E534DB">
        <w:rPr>
          <w:rFonts w:ascii="Gadugi" w:hAnsi="Gadugi"/>
          <w:sz w:val="24"/>
          <w:szCs w:val="24"/>
        </w:rPr>
        <w:t>supuesto olor a gas</w:t>
      </w:r>
      <w:r w:rsidR="009E5890" w:rsidRPr="00E534DB">
        <w:rPr>
          <w:rFonts w:ascii="Gadugi" w:hAnsi="Gadugi"/>
          <w:sz w:val="24"/>
          <w:szCs w:val="24"/>
        </w:rPr>
        <w:t>,</w:t>
      </w:r>
      <w:r w:rsidR="00305B9A" w:rsidRPr="00E534DB">
        <w:rPr>
          <w:rFonts w:ascii="Gadugi" w:hAnsi="Gadugi"/>
          <w:sz w:val="24"/>
          <w:szCs w:val="24"/>
        </w:rPr>
        <w:t xml:space="preserve"> expresamente </w:t>
      </w:r>
      <w:r w:rsidR="00A555AA" w:rsidRPr="00E534DB">
        <w:rPr>
          <w:rFonts w:ascii="Gadugi" w:hAnsi="Gadugi"/>
          <w:sz w:val="24"/>
          <w:szCs w:val="24"/>
        </w:rPr>
        <w:t>señaló</w:t>
      </w:r>
      <w:r w:rsidR="00305B9A" w:rsidRPr="00E534DB">
        <w:rPr>
          <w:rStyle w:val="Refdenotaalpie"/>
          <w:rFonts w:ascii="Gadugi" w:hAnsi="Gadugi"/>
          <w:sz w:val="24"/>
          <w:szCs w:val="24"/>
        </w:rPr>
        <w:footnoteReference w:id="37"/>
      </w:r>
      <w:r w:rsidR="00305B9A" w:rsidRPr="00E534DB">
        <w:rPr>
          <w:rFonts w:ascii="Gadugi" w:hAnsi="Gadugi"/>
          <w:sz w:val="24"/>
          <w:szCs w:val="24"/>
        </w:rPr>
        <w:t>:</w:t>
      </w:r>
    </w:p>
    <w:p w14:paraId="221B6CB4" w14:textId="77777777" w:rsidR="00305B9A" w:rsidRPr="00E534DB" w:rsidRDefault="00305B9A" w:rsidP="00E534DB">
      <w:pPr>
        <w:tabs>
          <w:tab w:val="left" w:pos="0"/>
          <w:tab w:val="left" w:pos="426"/>
        </w:tabs>
        <w:spacing w:after="0" w:line="276" w:lineRule="auto"/>
        <w:ind w:firstLine="1701"/>
        <w:contextualSpacing/>
        <w:jc w:val="both"/>
        <w:rPr>
          <w:rFonts w:ascii="Gadugi" w:hAnsi="Gadugi"/>
          <w:sz w:val="24"/>
          <w:szCs w:val="24"/>
        </w:rPr>
      </w:pPr>
    </w:p>
    <w:p w14:paraId="76607E72" w14:textId="78D2598E" w:rsidR="00305B9A" w:rsidRPr="00FC5CC1" w:rsidRDefault="00305B9A" w:rsidP="00FC5CC1">
      <w:pPr>
        <w:spacing w:after="0" w:line="240" w:lineRule="auto"/>
        <w:ind w:left="426" w:right="418" w:firstLine="1134"/>
        <w:contextualSpacing/>
        <w:jc w:val="both"/>
        <w:rPr>
          <w:rFonts w:ascii="Gadugi" w:hAnsi="Gadugi"/>
          <w:i/>
          <w:szCs w:val="24"/>
        </w:rPr>
      </w:pPr>
      <w:r w:rsidRPr="00FC5CC1">
        <w:rPr>
          <w:rFonts w:ascii="Gadugi" w:hAnsi="Gadugi"/>
          <w:i/>
          <w:szCs w:val="24"/>
        </w:rPr>
        <w:t>“j) Adicionalmente realizamos los siguientes procedimientos a las instalaciones de los 3 suscriptores del incidente:</w:t>
      </w:r>
    </w:p>
    <w:p w14:paraId="70F82F7D" w14:textId="29D55E17" w:rsidR="00305B9A" w:rsidRPr="00FC5CC1" w:rsidRDefault="00305B9A" w:rsidP="00FC5CC1">
      <w:pPr>
        <w:pStyle w:val="Prrafodelista"/>
        <w:numPr>
          <w:ilvl w:val="0"/>
          <w:numId w:val="7"/>
        </w:numPr>
        <w:spacing w:after="0" w:line="240" w:lineRule="auto"/>
        <w:ind w:left="426" w:right="418" w:firstLine="1134"/>
        <w:jc w:val="both"/>
        <w:rPr>
          <w:rFonts w:ascii="Gadugi" w:hAnsi="Gadugi"/>
          <w:i/>
          <w:szCs w:val="24"/>
        </w:rPr>
      </w:pPr>
      <w:r w:rsidRPr="00FC5CC1">
        <w:rPr>
          <w:rFonts w:ascii="Gadugi" w:hAnsi="Gadugi"/>
          <w:i/>
          <w:szCs w:val="24"/>
        </w:rPr>
        <w:t xml:space="preserve">Verificamos en el sistema GASPLUS de </w:t>
      </w:r>
      <w:proofErr w:type="spellStart"/>
      <w:r w:rsidRPr="00FC5CC1">
        <w:rPr>
          <w:rFonts w:ascii="Gadugi" w:hAnsi="Gadugi"/>
          <w:i/>
          <w:szCs w:val="24"/>
        </w:rPr>
        <w:t>Efigas</w:t>
      </w:r>
      <w:proofErr w:type="spellEnd"/>
      <w:r w:rsidRPr="00FC5CC1">
        <w:rPr>
          <w:rFonts w:ascii="Gadugi" w:hAnsi="Gadugi"/>
          <w:i/>
          <w:szCs w:val="24"/>
        </w:rPr>
        <w:t>, el historial de PQR de cada uno de los suscriptores, desde la fecha de conexión.</w:t>
      </w:r>
    </w:p>
    <w:p w14:paraId="1F08A602" w14:textId="18CBC1FC" w:rsidR="00305B9A" w:rsidRPr="00FC5CC1" w:rsidRDefault="00305B9A" w:rsidP="00FC5CC1">
      <w:pPr>
        <w:pStyle w:val="Prrafodelista"/>
        <w:numPr>
          <w:ilvl w:val="0"/>
          <w:numId w:val="7"/>
        </w:numPr>
        <w:spacing w:after="0" w:line="240" w:lineRule="auto"/>
        <w:ind w:left="426" w:right="418" w:firstLine="1134"/>
        <w:jc w:val="both"/>
        <w:rPr>
          <w:rFonts w:ascii="Gadugi" w:hAnsi="Gadugi"/>
          <w:i/>
          <w:szCs w:val="24"/>
        </w:rPr>
      </w:pPr>
      <w:r w:rsidRPr="00FC5CC1">
        <w:rPr>
          <w:rFonts w:ascii="Gadugi" w:hAnsi="Gadugi"/>
          <w:i/>
          <w:szCs w:val="24"/>
        </w:rPr>
        <w:t xml:space="preserve">Verificamos que en la relación de la correspondencia registrada en el sistema GASPLUS de </w:t>
      </w:r>
      <w:proofErr w:type="spellStart"/>
      <w:r w:rsidRPr="00FC5CC1">
        <w:rPr>
          <w:rFonts w:ascii="Gadugi" w:hAnsi="Gadugi"/>
          <w:i/>
          <w:szCs w:val="24"/>
        </w:rPr>
        <w:t>Efigas</w:t>
      </w:r>
      <w:proofErr w:type="spellEnd"/>
      <w:r w:rsidRPr="00FC5CC1">
        <w:rPr>
          <w:rFonts w:ascii="Gadugi" w:hAnsi="Gadugi"/>
          <w:i/>
          <w:szCs w:val="24"/>
        </w:rPr>
        <w:t>, recibida entre diciembre de 2009, al 9 de febrero de 2010, existiera algún tipo de comunicación enviada por alguno de los tres suscriptores.</w:t>
      </w:r>
    </w:p>
    <w:p w14:paraId="18BFFFF9" w14:textId="6095640E" w:rsidR="00305B9A" w:rsidRPr="00FC5CC1" w:rsidRDefault="00305B9A" w:rsidP="00FC5CC1">
      <w:pPr>
        <w:pStyle w:val="Prrafodelista"/>
        <w:numPr>
          <w:ilvl w:val="0"/>
          <w:numId w:val="7"/>
        </w:numPr>
        <w:spacing w:after="0" w:line="240" w:lineRule="auto"/>
        <w:ind w:left="426" w:right="418" w:firstLine="1134"/>
        <w:jc w:val="both"/>
        <w:rPr>
          <w:rFonts w:ascii="Gadugi" w:hAnsi="Gadugi"/>
          <w:i/>
          <w:szCs w:val="24"/>
        </w:rPr>
      </w:pPr>
      <w:r w:rsidRPr="00FC5CC1">
        <w:rPr>
          <w:rFonts w:ascii="Gadugi" w:hAnsi="Gadugi"/>
          <w:i/>
          <w:szCs w:val="24"/>
        </w:rPr>
        <w:t>Verificamos que en las llamadas de emergencia entre diciembre de 2009 al 9 de febrero de 2010, existiera alguna emergencia por fuga reportada por alguno de los tres suscriptores.</w:t>
      </w:r>
    </w:p>
    <w:p w14:paraId="5BDDA1CF" w14:textId="6128479C" w:rsidR="00305B9A" w:rsidRPr="00FC5CC1" w:rsidRDefault="00305B9A" w:rsidP="00FC5CC1">
      <w:pPr>
        <w:tabs>
          <w:tab w:val="left" w:pos="142"/>
        </w:tabs>
        <w:spacing w:after="0" w:line="240" w:lineRule="auto"/>
        <w:ind w:left="426" w:right="418" w:firstLine="1134"/>
        <w:jc w:val="both"/>
        <w:rPr>
          <w:rFonts w:ascii="Gadugi" w:hAnsi="Gadugi"/>
          <w:i/>
          <w:szCs w:val="24"/>
        </w:rPr>
      </w:pPr>
      <w:r w:rsidRPr="00FC5CC1">
        <w:rPr>
          <w:rFonts w:ascii="Gadugi" w:hAnsi="Gadugi"/>
          <w:i/>
          <w:szCs w:val="24"/>
        </w:rPr>
        <w:t xml:space="preserve">De los procedimientos antes descritos, según la información suministrada y propiedad de </w:t>
      </w:r>
      <w:proofErr w:type="spellStart"/>
      <w:r w:rsidRPr="00FC5CC1">
        <w:rPr>
          <w:rFonts w:ascii="Gadugi" w:hAnsi="Gadugi"/>
          <w:i/>
          <w:szCs w:val="24"/>
        </w:rPr>
        <w:t>Efigas</w:t>
      </w:r>
      <w:proofErr w:type="spellEnd"/>
      <w:r w:rsidRPr="00FC5CC1">
        <w:rPr>
          <w:rFonts w:ascii="Gadugi" w:hAnsi="Gadugi"/>
          <w:i/>
          <w:szCs w:val="24"/>
        </w:rPr>
        <w:t>, no se observa reporte o información individual o cruzada entre las partes.”</w:t>
      </w:r>
    </w:p>
    <w:p w14:paraId="326F4892" w14:textId="2ECC5633" w:rsidR="005D09CE" w:rsidRPr="00E534DB" w:rsidRDefault="005D09CE" w:rsidP="00E534DB">
      <w:pPr>
        <w:tabs>
          <w:tab w:val="left" w:pos="0"/>
          <w:tab w:val="left" w:pos="426"/>
        </w:tabs>
        <w:spacing w:after="0" w:line="276" w:lineRule="auto"/>
        <w:ind w:firstLine="1701"/>
        <w:contextualSpacing/>
        <w:jc w:val="both"/>
        <w:rPr>
          <w:rFonts w:ascii="Gadugi" w:hAnsi="Gadugi"/>
          <w:sz w:val="24"/>
          <w:szCs w:val="24"/>
        </w:rPr>
      </w:pPr>
    </w:p>
    <w:p w14:paraId="03338CE7" w14:textId="1507618E" w:rsidR="001D7FE2" w:rsidRPr="00E534DB" w:rsidRDefault="00E82989" w:rsidP="00E534DB">
      <w:pPr>
        <w:tabs>
          <w:tab w:val="left" w:pos="426"/>
        </w:tabs>
        <w:spacing w:after="0" w:line="276" w:lineRule="auto"/>
        <w:ind w:firstLine="1701"/>
        <w:contextualSpacing/>
        <w:jc w:val="both"/>
        <w:rPr>
          <w:rFonts w:ascii="Gadugi" w:hAnsi="Gadugi"/>
          <w:sz w:val="24"/>
          <w:szCs w:val="24"/>
        </w:rPr>
      </w:pPr>
      <w:r w:rsidRPr="00E534DB">
        <w:rPr>
          <w:rFonts w:ascii="Gadugi" w:hAnsi="Gadugi"/>
          <w:sz w:val="24"/>
          <w:szCs w:val="24"/>
        </w:rPr>
        <w:t xml:space="preserve">Es decir, que lo único que se alcanza colegir de todo, es que </w:t>
      </w:r>
      <w:r w:rsidR="0080008C" w:rsidRPr="00E534DB">
        <w:rPr>
          <w:rFonts w:ascii="Gadugi" w:hAnsi="Gadugi"/>
          <w:sz w:val="24"/>
          <w:szCs w:val="24"/>
        </w:rPr>
        <w:t xml:space="preserve">hubo una inadecuada </w:t>
      </w:r>
      <w:r w:rsidR="000F1837" w:rsidRPr="00E534DB">
        <w:rPr>
          <w:rFonts w:ascii="Gadugi" w:hAnsi="Gadugi"/>
          <w:sz w:val="24"/>
          <w:szCs w:val="24"/>
        </w:rPr>
        <w:t>manipulación de las redes internas del gas domiciliario por parte de los residentes, pues las p</w:t>
      </w:r>
      <w:r w:rsidR="006F44AC" w:rsidRPr="00E534DB">
        <w:rPr>
          <w:rFonts w:ascii="Gadugi" w:hAnsi="Gadugi"/>
          <w:sz w:val="24"/>
          <w:szCs w:val="24"/>
        </w:rPr>
        <w:t>ruebas indican</w:t>
      </w:r>
      <w:r w:rsidR="000F1837" w:rsidRPr="00E534DB">
        <w:rPr>
          <w:rFonts w:ascii="Gadugi" w:hAnsi="Gadugi"/>
          <w:sz w:val="24"/>
          <w:szCs w:val="24"/>
        </w:rPr>
        <w:t xml:space="preserve"> que existían conexiones de gas propano que estaban activas</w:t>
      </w:r>
      <w:r w:rsidR="00F60864" w:rsidRPr="00E534DB">
        <w:rPr>
          <w:rFonts w:ascii="Gadugi" w:hAnsi="Gadugi"/>
          <w:sz w:val="24"/>
          <w:szCs w:val="24"/>
        </w:rPr>
        <w:t xml:space="preserve">; de hecho </w:t>
      </w:r>
      <w:r w:rsidR="006F44AC" w:rsidRPr="00E534DB">
        <w:rPr>
          <w:rFonts w:ascii="Gadugi" w:hAnsi="Gadugi"/>
          <w:sz w:val="24"/>
          <w:szCs w:val="24"/>
        </w:rPr>
        <w:t>fueron encontradas dos pipas</w:t>
      </w:r>
      <w:r w:rsidR="00F60864" w:rsidRPr="00E534DB">
        <w:rPr>
          <w:rFonts w:ascii="Gadugi" w:hAnsi="Gadugi"/>
          <w:sz w:val="24"/>
          <w:szCs w:val="24"/>
        </w:rPr>
        <w:t>,</w:t>
      </w:r>
      <w:r w:rsidR="006F44AC" w:rsidRPr="00E534DB">
        <w:rPr>
          <w:rFonts w:ascii="Gadugi" w:hAnsi="Gadugi"/>
          <w:sz w:val="24"/>
          <w:szCs w:val="24"/>
        </w:rPr>
        <w:t xml:space="preserve"> una de ellas con la llave abierta</w:t>
      </w:r>
      <w:r w:rsidR="00E607A1" w:rsidRPr="00E534DB">
        <w:rPr>
          <w:rFonts w:ascii="Gadugi" w:hAnsi="Gadugi"/>
          <w:sz w:val="24"/>
          <w:szCs w:val="24"/>
        </w:rPr>
        <w:t xml:space="preserve">. </w:t>
      </w:r>
    </w:p>
    <w:p w14:paraId="57364EFD" w14:textId="77777777" w:rsidR="004B2814" w:rsidRPr="00E534DB" w:rsidRDefault="004B2814" w:rsidP="00E534DB">
      <w:pPr>
        <w:tabs>
          <w:tab w:val="left" w:pos="426"/>
        </w:tabs>
        <w:spacing w:after="0" w:line="276" w:lineRule="auto"/>
        <w:ind w:firstLine="1701"/>
        <w:contextualSpacing/>
        <w:jc w:val="both"/>
        <w:rPr>
          <w:rFonts w:ascii="Gadugi" w:hAnsi="Gadugi"/>
          <w:sz w:val="24"/>
          <w:szCs w:val="24"/>
        </w:rPr>
      </w:pPr>
    </w:p>
    <w:p w14:paraId="2D2B27AF" w14:textId="20D59531" w:rsidR="00663523" w:rsidRPr="00E534DB" w:rsidRDefault="00A552F7" w:rsidP="00E534DB">
      <w:pPr>
        <w:tabs>
          <w:tab w:val="left" w:pos="426"/>
        </w:tabs>
        <w:spacing w:after="0" w:line="276" w:lineRule="auto"/>
        <w:ind w:firstLine="1701"/>
        <w:contextualSpacing/>
        <w:jc w:val="both"/>
        <w:rPr>
          <w:rFonts w:ascii="Gadugi" w:hAnsi="Gadugi"/>
          <w:sz w:val="24"/>
          <w:szCs w:val="24"/>
        </w:rPr>
      </w:pPr>
      <w:r w:rsidRPr="00E534DB">
        <w:rPr>
          <w:rFonts w:ascii="Gadugi" w:hAnsi="Gadugi"/>
          <w:sz w:val="24"/>
          <w:szCs w:val="24"/>
        </w:rPr>
        <w:t>N</w:t>
      </w:r>
      <w:r w:rsidR="00D72997" w:rsidRPr="00E534DB">
        <w:rPr>
          <w:rFonts w:ascii="Gadugi" w:hAnsi="Gadugi"/>
          <w:sz w:val="24"/>
          <w:szCs w:val="24"/>
        </w:rPr>
        <w:t>o reposa en el plenario una prueba técnica que indique lo contrario</w:t>
      </w:r>
      <w:r w:rsidR="007E56AA" w:rsidRPr="00E534DB">
        <w:rPr>
          <w:rFonts w:ascii="Gadugi" w:hAnsi="Gadugi"/>
          <w:sz w:val="24"/>
          <w:szCs w:val="24"/>
        </w:rPr>
        <w:t xml:space="preserve">; tampoco documentos que controviertan esas conclusiones. </w:t>
      </w:r>
      <w:r w:rsidR="001D7FE2" w:rsidRPr="00E534DB">
        <w:rPr>
          <w:rFonts w:ascii="Gadugi" w:hAnsi="Gadugi"/>
          <w:sz w:val="24"/>
          <w:szCs w:val="24"/>
        </w:rPr>
        <w:t>Ni siquiera, si se llagara a valorar, como quis</w:t>
      </w:r>
      <w:r w:rsidR="00962E11" w:rsidRPr="00E534DB">
        <w:rPr>
          <w:rFonts w:ascii="Gadugi" w:hAnsi="Gadugi"/>
          <w:sz w:val="24"/>
          <w:szCs w:val="24"/>
        </w:rPr>
        <w:t xml:space="preserve">ieron los </w:t>
      </w:r>
      <w:r w:rsidR="00663523" w:rsidRPr="00E534DB">
        <w:rPr>
          <w:rFonts w:ascii="Gadugi" w:hAnsi="Gadugi"/>
          <w:sz w:val="24"/>
          <w:szCs w:val="24"/>
        </w:rPr>
        <w:t xml:space="preserve">recurrentes con la sustentación, </w:t>
      </w:r>
      <w:r w:rsidR="002713DB" w:rsidRPr="00E534DB">
        <w:rPr>
          <w:rFonts w:ascii="Gadugi" w:hAnsi="Gadugi"/>
          <w:sz w:val="24"/>
          <w:szCs w:val="24"/>
        </w:rPr>
        <w:t>el dicho de las personas que por cuenta suya vinieron a declarar, esto es, los señores</w:t>
      </w:r>
      <w:r w:rsidR="00663523" w:rsidRPr="00E534DB">
        <w:rPr>
          <w:rFonts w:ascii="Gadugi" w:hAnsi="Gadugi"/>
          <w:sz w:val="24"/>
          <w:szCs w:val="24"/>
        </w:rPr>
        <w:t xml:space="preserve"> Gloria Inés Manso Trejos,</w:t>
      </w:r>
      <w:r w:rsidR="00740AED" w:rsidRPr="00E534DB">
        <w:rPr>
          <w:rFonts w:ascii="Gadugi" w:hAnsi="Gadugi"/>
          <w:sz w:val="24"/>
          <w:szCs w:val="24"/>
        </w:rPr>
        <w:t xml:space="preserve"> que no supo de quejas; </w:t>
      </w:r>
      <w:proofErr w:type="spellStart"/>
      <w:r w:rsidR="00663523" w:rsidRPr="00E534DB">
        <w:rPr>
          <w:rFonts w:ascii="Gadugi" w:hAnsi="Gadugi"/>
          <w:sz w:val="24"/>
          <w:szCs w:val="24"/>
        </w:rPr>
        <w:t>Marlen</w:t>
      </w:r>
      <w:proofErr w:type="spellEnd"/>
      <w:r w:rsidR="00663523" w:rsidRPr="00E534DB">
        <w:rPr>
          <w:rFonts w:ascii="Gadugi" w:hAnsi="Gadugi"/>
          <w:sz w:val="24"/>
          <w:szCs w:val="24"/>
        </w:rPr>
        <w:t xml:space="preserve"> </w:t>
      </w:r>
      <w:proofErr w:type="spellStart"/>
      <w:r w:rsidR="00740AED" w:rsidRPr="00E534DB">
        <w:rPr>
          <w:rFonts w:ascii="Gadugi" w:hAnsi="Gadugi"/>
          <w:sz w:val="24"/>
          <w:szCs w:val="24"/>
        </w:rPr>
        <w:t>Leicin</w:t>
      </w:r>
      <w:proofErr w:type="spellEnd"/>
      <w:r w:rsidR="00740AED" w:rsidRPr="00E534DB">
        <w:rPr>
          <w:rFonts w:ascii="Gadugi" w:hAnsi="Gadugi"/>
          <w:sz w:val="24"/>
          <w:szCs w:val="24"/>
        </w:rPr>
        <w:t xml:space="preserve"> Patiño Blandón,</w:t>
      </w:r>
      <w:r w:rsidR="000076EB" w:rsidRPr="00E534DB">
        <w:rPr>
          <w:rFonts w:ascii="Gadugi" w:hAnsi="Gadugi"/>
          <w:sz w:val="24"/>
          <w:szCs w:val="24"/>
        </w:rPr>
        <w:t xml:space="preserve"> </w:t>
      </w:r>
      <w:r w:rsidR="004E3276" w:rsidRPr="00E534DB">
        <w:rPr>
          <w:rFonts w:ascii="Gadugi" w:hAnsi="Gadugi"/>
          <w:sz w:val="24"/>
          <w:szCs w:val="24"/>
        </w:rPr>
        <w:t>que apenas escuchó decir que una señora que murió en el hecho</w:t>
      </w:r>
      <w:r w:rsidR="004F6A97" w:rsidRPr="00E534DB">
        <w:rPr>
          <w:rFonts w:ascii="Gadugi" w:hAnsi="Gadugi"/>
          <w:sz w:val="24"/>
          <w:szCs w:val="24"/>
        </w:rPr>
        <w:t xml:space="preserve"> fue el día anterior a poner la queja</w:t>
      </w:r>
      <w:r w:rsidR="007B03F8" w:rsidRPr="00E534DB">
        <w:rPr>
          <w:rFonts w:ascii="Gadugi" w:hAnsi="Gadugi"/>
          <w:sz w:val="24"/>
          <w:szCs w:val="24"/>
        </w:rPr>
        <w:t xml:space="preserve">; lo mismo que Rogelio Ramírez, </w:t>
      </w:r>
      <w:r w:rsidR="004A1B64" w:rsidRPr="00E534DB">
        <w:rPr>
          <w:rFonts w:ascii="Gadugi" w:hAnsi="Gadugi"/>
          <w:sz w:val="24"/>
          <w:szCs w:val="24"/>
        </w:rPr>
        <w:t xml:space="preserve">quien dijo haber oído que dicha señora fue varias veces a </w:t>
      </w:r>
      <w:proofErr w:type="spellStart"/>
      <w:r w:rsidR="004A1B64" w:rsidRPr="00E534DB">
        <w:rPr>
          <w:rFonts w:ascii="Gadugi" w:hAnsi="Gadugi"/>
          <w:sz w:val="24"/>
          <w:szCs w:val="24"/>
        </w:rPr>
        <w:t>Efigas</w:t>
      </w:r>
      <w:proofErr w:type="spellEnd"/>
      <w:r w:rsidR="004A1B64" w:rsidRPr="00E534DB">
        <w:rPr>
          <w:rFonts w:ascii="Gadugi" w:hAnsi="Gadugi"/>
          <w:sz w:val="24"/>
          <w:szCs w:val="24"/>
        </w:rPr>
        <w:t xml:space="preserve">, ya no una; ni </w:t>
      </w:r>
      <w:r w:rsidR="009031A2" w:rsidRPr="00E534DB">
        <w:rPr>
          <w:rFonts w:ascii="Gadugi" w:hAnsi="Gadugi"/>
          <w:sz w:val="24"/>
          <w:szCs w:val="24"/>
        </w:rPr>
        <w:t>Diana María</w:t>
      </w:r>
      <w:r w:rsidR="00C41733" w:rsidRPr="00E534DB">
        <w:rPr>
          <w:rFonts w:ascii="Gadugi" w:hAnsi="Gadugi"/>
          <w:sz w:val="24"/>
          <w:szCs w:val="24"/>
        </w:rPr>
        <w:t xml:space="preserve"> Atehortúa</w:t>
      </w:r>
      <w:r w:rsidR="009F5E59" w:rsidRPr="00E534DB">
        <w:rPr>
          <w:rFonts w:ascii="Gadugi" w:hAnsi="Gadugi"/>
          <w:sz w:val="24"/>
          <w:szCs w:val="24"/>
        </w:rPr>
        <w:t xml:space="preserve">, cuñada de la demandante, </w:t>
      </w:r>
      <w:r w:rsidR="00995043" w:rsidRPr="00E534DB">
        <w:rPr>
          <w:rFonts w:ascii="Gadugi" w:hAnsi="Gadugi"/>
          <w:sz w:val="24"/>
          <w:szCs w:val="24"/>
        </w:rPr>
        <w:t xml:space="preserve">quien tuvo entendido que se hicieron unos reclamos a la empresa, </w:t>
      </w:r>
      <w:r w:rsidR="00635FED" w:rsidRPr="00E534DB">
        <w:rPr>
          <w:rFonts w:ascii="Gadugi" w:hAnsi="Gadugi"/>
          <w:sz w:val="24"/>
          <w:szCs w:val="24"/>
        </w:rPr>
        <w:t xml:space="preserve">y </w:t>
      </w:r>
      <w:r w:rsidR="00B57684" w:rsidRPr="00E534DB">
        <w:rPr>
          <w:rFonts w:ascii="Gadugi" w:hAnsi="Gadugi"/>
          <w:sz w:val="24"/>
          <w:szCs w:val="24"/>
        </w:rPr>
        <w:t xml:space="preserve">oyó comentarios acerca de que </w:t>
      </w:r>
      <w:proofErr w:type="spellStart"/>
      <w:r w:rsidR="00B57684" w:rsidRPr="00E534DB">
        <w:rPr>
          <w:rFonts w:ascii="Gadugi" w:hAnsi="Gadugi"/>
          <w:sz w:val="24"/>
          <w:szCs w:val="24"/>
        </w:rPr>
        <w:t>Efigas</w:t>
      </w:r>
      <w:proofErr w:type="spellEnd"/>
      <w:r w:rsidR="00B57684" w:rsidRPr="00E534DB">
        <w:rPr>
          <w:rFonts w:ascii="Gadugi" w:hAnsi="Gadugi"/>
          <w:sz w:val="24"/>
          <w:szCs w:val="24"/>
        </w:rPr>
        <w:t xml:space="preserve"> unos días antes de la explosión estuvo organizando </w:t>
      </w:r>
      <w:r w:rsidR="00A72744" w:rsidRPr="00E534DB">
        <w:rPr>
          <w:rFonts w:ascii="Gadugi" w:hAnsi="Gadugi"/>
          <w:sz w:val="24"/>
          <w:szCs w:val="24"/>
        </w:rPr>
        <w:t xml:space="preserve">algún problema, hecho que contradice todo lo que se expuso en la demanda y por los demás deponentes, que sostienen que </w:t>
      </w:r>
      <w:proofErr w:type="spellStart"/>
      <w:r w:rsidR="00A72744" w:rsidRPr="00E534DB">
        <w:rPr>
          <w:rFonts w:ascii="Gadugi" w:hAnsi="Gadugi"/>
          <w:sz w:val="24"/>
          <w:szCs w:val="24"/>
        </w:rPr>
        <w:t>Efigas</w:t>
      </w:r>
      <w:proofErr w:type="spellEnd"/>
      <w:r w:rsidR="00A72744" w:rsidRPr="00E534DB">
        <w:rPr>
          <w:rFonts w:ascii="Gadugi" w:hAnsi="Gadugi"/>
          <w:sz w:val="24"/>
          <w:szCs w:val="24"/>
        </w:rPr>
        <w:t xml:space="preserve"> nunca atendió los llamados</w:t>
      </w:r>
      <w:r w:rsidR="004B1336" w:rsidRPr="00E534DB">
        <w:rPr>
          <w:rStyle w:val="Refdenotaalpie"/>
          <w:rFonts w:ascii="Gadugi" w:hAnsi="Gadugi"/>
          <w:sz w:val="24"/>
          <w:szCs w:val="24"/>
        </w:rPr>
        <w:footnoteReference w:id="38"/>
      </w:r>
      <w:r w:rsidR="00A72744" w:rsidRPr="00E534DB">
        <w:rPr>
          <w:rFonts w:ascii="Gadugi" w:hAnsi="Gadugi"/>
          <w:sz w:val="24"/>
          <w:szCs w:val="24"/>
        </w:rPr>
        <w:t xml:space="preserve">. </w:t>
      </w:r>
      <w:r w:rsidR="000605C1" w:rsidRPr="00E534DB">
        <w:rPr>
          <w:rFonts w:ascii="Gadugi" w:hAnsi="Gadugi"/>
          <w:sz w:val="24"/>
          <w:szCs w:val="24"/>
        </w:rPr>
        <w:t xml:space="preserve">Se trata, pues, de testigos de oídas, que </w:t>
      </w:r>
      <w:r w:rsidR="00E607A1" w:rsidRPr="00E534DB">
        <w:rPr>
          <w:rFonts w:ascii="Gadugi" w:hAnsi="Gadugi"/>
          <w:sz w:val="24"/>
          <w:szCs w:val="24"/>
        </w:rPr>
        <w:t>nada en concreto saben sobre los hechos de la demanda.</w:t>
      </w:r>
    </w:p>
    <w:p w14:paraId="33FA305D" w14:textId="77777777" w:rsidR="00384C7A" w:rsidRPr="00E534DB" w:rsidRDefault="00384C7A" w:rsidP="00E534DB">
      <w:pPr>
        <w:tabs>
          <w:tab w:val="left" w:pos="0"/>
          <w:tab w:val="left" w:pos="426"/>
        </w:tabs>
        <w:spacing w:after="0" w:line="276" w:lineRule="auto"/>
        <w:ind w:firstLine="1701"/>
        <w:contextualSpacing/>
        <w:jc w:val="both"/>
        <w:rPr>
          <w:rFonts w:ascii="Gadugi" w:hAnsi="Gadugi"/>
          <w:sz w:val="24"/>
          <w:szCs w:val="24"/>
        </w:rPr>
      </w:pPr>
    </w:p>
    <w:p w14:paraId="723FE559" w14:textId="02E1E643" w:rsidR="005D09CE" w:rsidRPr="00E534DB" w:rsidRDefault="007737EC" w:rsidP="00E534DB">
      <w:pPr>
        <w:tabs>
          <w:tab w:val="left" w:pos="0"/>
          <w:tab w:val="left" w:pos="426"/>
        </w:tabs>
        <w:spacing w:after="0" w:line="276" w:lineRule="auto"/>
        <w:ind w:firstLine="1701"/>
        <w:contextualSpacing/>
        <w:jc w:val="both"/>
        <w:rPr>
          <w:rFonts w:ascii="Gadugi" w:hAnsi="Gadugi"/>
          <w:sz w:val="24"/>
          <w:szCs w:val="24"/>
        </w:rPr>
      </w:pPr>
      <w:r w:rsidRPr="00E534DB">
        <w:rPr>
          <w:rFonts w:ascii="Gadugi" w:hAnsi="Gadugi"/>
          <w:sz w:val="24"/>
          <w:szCs w:val="24"/>
        </w:rPr>
        <w:lastRenderedPageBreak/>
        <w:t xml:space="preserve">2.9 Así las cosas, </w:t>
      </w:r>
      <w:r w:rsidR="004D33A2" w:rsidRPr="00E534DB">
        <w:rPr>
          <w:rFonts w:ascii="Gadugi" w:hAnsi="Gadugi"/>
          <w:sz w:val="24"/>
          <w:szCs w:val="24"/>
        </w:rPr>
        <w:t xml:space="preserve">ninguno de los reparos sale avante; y </w:t>
      </w:r>
      <w:r w:rsidRPr="00E534DB">
        <w:rPr>
          <w:rFonts w:ascii="Gadugi" w:hAnsi="Gadugi"/>
          <w:sz w:val="24"/>
          <w:szCs w:val="24"/>
        </w:rPr>
        <w:t xml:space="preserve">debido a que no se demostró el nexo causal entre el </w:t>
      </w:r>
      <w:r w:rsidR="00F458A9" w:rsidRPr="00E534DB">
        <w:rPr>
          <w:rFonts w:ascii="Gadugi" w:hAnsi="Gadugi"/>
          <w:sz w:val="24"/>
          <w:szCs w:val="24"/>
        </w:rPr>
        <w:t>hecho y el daño</w:t>
      </w:r>
      <w:r w:rsidRPr="00E534DB">
        <w:rPr>
          <w:rFonts w:ascii="Gadugi" w:hAnsi="Gadugi"/>
          <w:sz w:val="24"/>
          <w:szCs w:val="24"/>
        </w:rPr>
        <w:t xml:space="preserve">, </w:t>
      </w:r>
      <w:r w:rsidR="0056662B" w:rsidRPr="00E534DB">
        <w:rPr>
          <w:rFonts w:ascii="Gadugi" w:hAnsi="Gadugi"/>
          <w:sz w:val="24"/>
          <w:szCs w:val="24"/>
        </w:rPr>
        <w:t>la sentencia de primer grado será confirmada.</w:t>
      </w:r>
    </w:p>
    <w:p w14:paraId="56221C93" w14:textId="77777777" w:rsidR="0056662B" w:rsidRPr="00E534DB" w:rsidRDefault="0056662B" w:rsidP="00E534DB">
      <w:pPr>
        <w:tabs>
          <w:tab w:val="left" w:pos="0"/>
          <w:tab w:val="left" w:pos="426"/>
        </w:tabs>
        <w:spacing w:after="0" w:line="276" w:lineRule="auto"/>
        <w:ind w:firstLine="1701"/>
        <w:contextualSpacing/>
        <w:jc w:val="both"/>
        <w:rPr>
          <w:rFonts w:ascii="Gadugi" w:hAnsi="Gadugi"/>
          <w:sz w:val="24"/>
          <w:szCs w:val="24"/>
        </w:rPr>
      </w:pPr>
    </w:p>
    <w:p w14:paraId="7DE17576" w14:textId="77777777" w:rsidR="001B066B" w:rsidRPr="00E534DB" w:rsidRDefault="0056662B" w:rsidP="00E534DB">
      <w:pPr>
        <w:tabs>
          <w:tab w:val="left" w:pos="0"/>
          <w:tab w:val="left" w:pos="426"/>
        </w:tabs>
        <w:spacing w:after="0" w:line="276" w:lineRule="auto"/>
        <w:ind w:firstLine="1701"/>
        <w:contextualSpacing/>
        <w:jc w:val="both"/>
        <w:rPr>
          <w:rFonts w:ascii="Gadugi" w:hAnsi="Gadugi"/>
          <w:sz w:val="24"/>
          <w:szCs w:val="24"/>
        </w:rPr>
      </w:pPr>
      <w:r w:rsidRPr="00E534DB">
        <w:rPr>
          <w:rFonts w:ascii="Gadugi" w:hAnsi="Gadugi"/>
          <w:sz w:val="24"/>
          <w:szCs w:val="24"/>
        </w:rPr>
        <w:t>Las costas en esta sede serán a cargo de los recurrentes y a favor de la demandada</w:t>
      </w:r>
      <w:r w:rsidR="00F458A9" w:rsidRPr="00E534DB">
        <w:rPr>
          <w:rFonts w:ascii="Gadugi" w:hAnsi="Gadugi"/>
          <w:sz w:val="24"/>
          <w:szCs w:val="24"/>
        </w:rPr>
        <w:t xml:space="preserve"> (art. 365-1 CGP)</w:t>
      </w:r>
      <w:r w:rsidRPr="00E534DB">
        <w:rPr>
          <w:rFonts w:ascii="Gadugi" w:hAnsi="Gadugi"/>
          <w:sz w:val="24"/>
          <w:szCs w:val="24"/>
        </w:rPr>
        <w:t>. Se liquidarán de manera concentrada ante el juez de primera instancia, s</w:t>
      </w:r>
      <w:r w:rsidR="001B066B" w:rsidRPr="00E534DB">
        <w:rPr>
          <w:rFonts w:ascii="Gadugi" w:hAnsi="Gadugi"/>
          <w:sz w:val="24"/>
          <w:szCs w:val="24"/>
        </w:rPr>
        <w:t xml:space="preserve">iguiendo lo previsto en el artículo </w:t>
      </w:r>
      <w:r w:rsidRPr="00E534DB">
        <w:rPr>
          <w:rFonts w:ascii="Gadugi" w:hAnsi="Gadugi"/>
          <w:sz w:val="24"/>
          <w:szCs w:val="24"/>
        </w:rPr>
        <w:t xml:space="preserve">366 del </w:t>
      </w:r>
      <w:r w:rsidR="001B066B" w:rsidRPr="00E534DB">
        <w:rPr>
          <w:rFonts w:ascii="Gadugi" w:hAnsi="Gadugi"/>
          <w:sz w:val="24"/>
          <w:szCs w:val="24"/>
        </w:rPr>
        <w:t xml:space="preserve">mismo estatuto. Con ese fin, y en auto separado, se fijarán las agencias en derecho. </w:t>
      </w:r>
    </w:p>
    <w:p w14:paraId="184A0C37" w14:textId="77777777" w:rsidR="001B066B" w:rsidRPr="00E534DB" w:rsidRDefault="001B066B" w:rsidP="00E534DB">
      <w:pPr>
        <w:tabs>
          <w:tab w:val="left" w:pos="0"/>
          <w:tab w:val="left" w:pos="426"/>
        </w:tabs>
        <w:spacing w:after="0" w:line="276" w:lineRule="auto"/>
        <w:ind w:firstLine="1701"/>
        <w:contextualSpacing/>
        <w:jc w:val="both"/>
        <w:rPr>
          <w:rFonts w:ascii="Gadugi" w:hAnsi="Gadugi"/>
          <w:sz w:val="24"/>
          <w:szCs w:val="24"/>
        </w:rPr>
      </w:pPr>
    </w:p>
    <w:p w14:paraId="2ED99983" w14:textId="3CD9DAEA" w:rsidR="00B03FA4" w:rsidRPr="00E534DB" w:rsidRDefault="00B03FA4" w:rsidP="00E534DB">
      <w:pPr>
        <w:tabs>
          <w:tab w:val="left" w:pos="0"/>
          <w:tab w:val="left" w:pos="426"/>
        </w:tabs>
        <w:spacing w:after="0" w:line="276" w:lineRule="auto"/>
        <w:ind w:firstLine="1701"/>
        <w:contextualSpacing/>
        <w:jc w:val="both"/>
        <w:rPr>
          <w:rFonts w:ascii="Gadugi" w:hAnsi="Gadugi"/>
          <w:sz w:val="24"/>
          <w:szCs w:val="24"/>
        </w:rPr>
      </w:pPr>
    </w:p>
    <w:p w14:paraId="41824301" w14:textId="1B0A2CEB" w:rsidR="007737EC" w:rsidRPr="00E534DB" w:rsidRDefault="007737EC" w:rsidP="00E534DB">
      <w:pPr>
        <w:pStyle w:val="Prrafodelista"/>
        <w:numPr>
          <w:ilvl w:val="0"/>
          <w:numId w:val="1"/>
        </w:numPr>
        <w:tabs>
          <w:tab w:val="left" w:pos="0"/>
          <w:tab w:val="left" w:pos="426"/>
        </w:tabs>
        <w:spacing w:after="0" w:line="276" w:lineRule="auto"/>
        <w:ind w:left="0" w:firstLine="1701"/>
        <w:jc w:val="both"/>
        <w:rPr>
          <w:rFonts w:ascii="Gadugi" w:hAnsi="Gadugi"/>
          <w:b/>
          <w:sz w:val="24"/>
          <w:szCs w:val="24"/>
        </w:rPr>
      </w:pPr>
      <w:r w:rsidRPr="00E534DB">
        <w:rPr>
          <w:rFonts w:ascii="Gadugi" w:hAnsi="Gadugi"/>
          <w:b/>
          <w:sz w:val="24"/>
          <w:szCs w:val="24"/>
        </w:rPr>
        <w:t>DECISIÓN</w:t>
      </w:r>
    </w:p>
    <w:p w14:paraId="7069E81E" w14:textId="3F7C5D4E" w:rsidR="007737EC" w:rsidRPr="00E534DB" w:rsidRDefault="007737EC" w:rsidP="00E534DB">
      <w:pPr>
        <w:tabs>
          <w:tab w:val="left" w:pos="0"/>
          <w:tab w:val="left" w:pos="426"/>
        </w:tabs>
        <w:spacing w:after="0" w:line="276" w:lineRule="auto"/>
        <w:jc w:val="both"/>
        <w:rPr>
          <w:rFonts w:ascii="Gadugi" w:hAnsi="Gadugi"/>
          <w:b/>
          <w:sz w:val="24"/>
          <w:szCs w:val="24"/>
        </w:rPr>
      </w:pPr>
    </w:p>
    <w:p w14:paraId="29B756E0" w14:textId="77777777" w:rsidR="009B0953" w:rsidRPr="00E534DB" w:rsidRDefault="009B0953" w:rsidP="00E534DB">
      <w:pPr>
        <w:tabs>
          <w:tab w:val="left" w:pos="0"/>
          <w:tab w:val="left" w:pos="426"/>
        </w:tabs>
        <w:spacing w:after="0" w:line="276" w:lineRule="auto"/>
        <w:jc w:val="both"/>
        <w:rPr>
          <w:rFonts w:ascii="Gadugi" w:hAnsi="Gadugi"/>
          <w:b/>
          <w:sz w:val="24"/>
          <w:szCs w:val="24"/>
        </w:rPr>
      </w:pPr>
    </w:p>
    <w:p w14:paraId="1092B834" w14:textId="7708843C" w:rsidR="00AF0DA4" w:rsidRPr="00E534DB" w:rsidRDefault="007737EC" w:rsidP="00E534DB">
      <w:pPr>
        <w:tabs>
          <w:tab w:val="left" w:pos="4536"/>
        </w:tabs>
        <w:spacing w:after="0" w:line="276" w:lineRule="auto"/>
        <w:ind w:firstLine="1701"/>
        <w:contextualSpacing/>
        <w:jc w:val="both"/>
        <w:rPr>
          <w:rFonts w:ascii="Gadugi" w:eastAsia="Malgun Gothic" w:hAnsi="Gadugi" w:cs="Estrangelo Edessa"/>
          <w:b/>
          <w:sz w:val="24"/>
          <w:szCs w:val="24"/>
        </w:rPr>
      </w:pPr>
      <w:r w:rsidRPr="00E534DB">
        <w:rPr>
          <w:rFonts w:ascii="Gadugi" w:hAnsi="Gadugi"/>
          <w:sz w:val="24"/>
          <w:szCs w:val="24"/>
        </w:rPr>
        <w:t xml:space="preserve">En armonía con lo dicho, la Sala Civil Familia del Tribunal Superior de Pereira, administrando justicia en nombre de la República y por autoridad de la Ley, </w:t>
      </w:r>
      <w:r w:rsidRPr="00E534DB">
        <w:rPr>
          <w:rFonts w:ascii="Gadugi" w:hAnsi="Gadugi"/>
          <w:b/>
          <w:sz w:val="24"/>
          <w:szCs w:val="24"/>
        </w:rPr>
        <w:t>CONFIRMA</w:t>
      </w:r>
      <w:r w:rsidRPr="00E534DB">
        <w:rPr>
          <w:rFonts w:ascii="Gadugi" w:hAnsi="Gadugi"/>
          <w:sz w:val="24"/>
          <w:szCs w:val="24"/>
        </w:rPr>
        <w:t xml:space="preserve"> la sentencia del </w:t>
      </w:r>
      <w:r w:rsidR="00AF0DA4" w:rsidRPr="00E534DB">
        <w:rPr>
          <w:rFonts w:ascii="Gadugi" w:hAnsi="Gadugi"/>
          <w:sz w:val="24"/>
          <w:szCs w:val="24"/>
        </w:rPr>
        <w:t xml:space="preserve">1 de octubre de 2020, proferida por el Juzgado Cuarto Civil del Circuito local, en este proceso verbal de responsabilidad civil extracontractual iniciado por </w:t>
      </w:r>
      <w:r w:rsidR="00AF0DA4" w:rsidRPr="00E534DB">
        <w:rPr>
          <w:rFonts w:ascii="Gadugi" w:eastAsia="Malgun Gothic" w:hAnsi="Gadugi" w:cs="Estrangelo Edessa"/>
          <w:b/>
          <w:sz w:val="24"/>
          <w:szCs w:val="24"/>
        </w:rPr>
        <w:t xml:space="preserve">Lucelly del Socorro Arteaga Montoya y </w:t>
      </w:r>
      <w:proofErr w:type="spellStart"/>
      <w:r w:rsidR="00AF0DA4" w:rsidRPr="00E534DB">
        <w:rPr>
          <w:rFonts w:ascii="Gadugi" w:eastAsia="Malgun Gothic" w:hAnsi="Gadugi" w:cs="Estrangelo Edessa"/>
          <w:b/>
          <w:sz w:val="24"/>
          <w:szCs w:val="24"/>
        </w:rPr>
        <w:t>Helmer</w:t>
      </w:r>
      <w:proofErr w:type="spellEnd"/>
      <w:r w:rsidR="00AF0DA4" w:rsidRPr="00E534DB">
        <w:rPr>
          <w:rFonts w:ascii="Gadugi" w:eastAsia="Malgun Gothic" w:hAnsi="Gadugi" w:cs="Estrangelo Edessa"/>
          <w:b/>
          <w:sz w:val="24"/>
          <w:szCs w:val="24"/>
        </w:rPr>
        <w:t xml:space="preserve"> González García, Daniela González Arteaga </w:t>
      </w:r>
      <w:r w:rsidR="009B0953" w:rsidRPr="00E534DB">
        <w:rPr>
          <w:rFonts w:ascii="Gadugi" w:eastAsia="Malgun Gothic" w:hAnsi="Gadugi" w:cs="Estrangelo Edessa"/>
          <w:bCs/>
          <w:sz w:val="24"/>
          <w:szCs w:val="24"/>
        </w:rPr>
        <w:t>y</w:t>
      </w:r>
      <w:r w:rsidR="009B0953" w:rsidRPr="00E534DB">
        <w:rPr>
          <w:rFonts w:ascii="Gadugi" w:eastAsia="Malgun Gothic" w:hAnsi="Gadugi" w:cs="Estrangelo Edessa"/>
          <w:b/>
          <w:sz w:val="24"/>
          <w:szCs w:val="24"/>
        </w:rPr>
        <w:t xml:space="preserve"> </w:t>
      </w:r>
      <w:r w:rsidR="00AF0DA4" w:rsidRPr="00E534DB">
        <w:rPr>
          <w:rFonts w:ascii="Gadugi" w:eastAsia="Malgun Gothic" w:hAnsi="Gadugi" w:cs="Estrangelo Edessa"/>
          <w:b/>
          <w:sz w:val="24"/>
          <w:szCs w:val="24"/>
        </w:rPr>
        <w:t xml:space="preserve">Lina María González Arteaga, </w:t>
      </w:r>
      <w:r w:rsidR="00AF0DA4" w:rsidRPr="00E534DB">
        <w:rPr>
          <w:rFonts w:ascii="Gadugi" w:eastAsia="Malgun Gothic" w:hAnsi="Gadugi" w:cs="Estrangelo Edessa"/>
          <w:sz w:val="24"/>
          <w:szCs w:val="24"/>
        </w:rPr>
        <w:t xml:space="preserve">frente a </w:t>
      </w:r>
      <w:r w:rsidR="00AF0DA4" w:rsidRPr="00E534DB">
        <w:rPr>
          <w:rFonts w:ascii="Gadugi" w:eastAsia="Malgun Gothic" w:hAnsi="Gadugi" w:cs="Estrangelo Edessa"/>
          <w:b/>
          <w:sz w:val="24"/>
          <w:szCs w:val="24"/>
        </w:rPr>
        <w:t xml:space="preserve">EFIGAS S.A. E.S.P. </w:t>
      </w:r>
      <w:r w:rsidR="00AF0DA4" w:rsidRPr="00E534DB">
        <w:rPr>
          <w:rFonts w:ascii="Gadugi" w:eastAsia="Malgun Gothic" w:hAnsi="Gadugi" w:cs="Estrangelo Edessa"/>
          <w:sz w:val="24"/>
          <w:szCs w:val="24"/>
        </w:rPr>
        <w:t>y a</w:t>
      </w:r>
      <w:r w:rsidR="009B0953" w:rsidRPr="00E534DB">
        <w:rPr>
          <w:rFonts w:ascii="Gadugi" w:eastAsia="Malgun Gothic" w:hAnsi="Gadugi" w:cs="Estrangelo Edessa"/>
          <w:sz w:val="24"/>
          <w:szCs w:val="24"/>
        </w:rPr>
        <w:t xml:space="preserve">l cual fueron </w:t>
      </w:r>
      <w:r w:rsidR="00AF0DA4" w:rsidRPr="00E534DB">
        <w:rPr>
          <w:rFonts w:ascii="Gadugi" w:eastAsia="Malgun Gothic" w:hAnsi="Gadugi" w:cs="Estrangelo Edessa"/>
          <w:sz w:val="24"/>
          <w:szCs w:val="24"/>
        </w:rPr>
        <w:t>llamad</w:t>
      </w:r>
      <w:r w:rsidR="009B0953" w:rsidRPr="00E534DB">
        <w:rPr>
          <w:rFonts w:ascii="Gadugi" w:eastAsia="Malgun Gothic" w:hAnsi="Gadugi" w:cs="Estrangelo Edessa"/>
          <w:sz w:val="24"/>
          <w:szCs w:val="24"/>
        </w:rPr>
        <w:t>a</w:t>
      </w:r>
      <w:r w:rsidR="00AF0DA4" w:rsidRPr="00E534DB">
        <w:rPr>
          <w:rFonts w:ascii="Gadugi" w:eastAsia="Malgun Gothic" w:hAnsi="Gadugi" w:cs="Estrangelo Edessa"/>
          <w:sz w:val="24"/>
          <w:szCs w:val="24"/>
        </w:rPr>
        <w:t xml:space="preserve"> en garantía </w:t>
      </w:r>
      <w:r w:rsidR="00AF0DA4" w:rsidRPr="00E534DB">
        <w:rPr>
          <w:rFonts w:ascii="Gadugi" w:eastAsia="Malgun Gothic" w:hAnsi="Gadugi" w:cs="Estrangelo Edessa"/>
          <w:b/>
          <w:sz w:val="24"/>
          <w:szCs w:val="24"/>
        </w:rPr>
        <w:t>Seguros Generales Suramericana S.A. y CHUBB de Colombia Compañía de Seguros.</w:t>
      </w:r>
    </w:p>
    <w:p w14:paraId="3FDA5914" w14:textId="634969D3" w:rsidR="004F544A" w:rsidRPr="00E534DB" w:rsidRDefault="004F544A" w:rsidP="00E534DB">
      <w:pPr>
        <w:tabs>
          <w:tab w:val="left" w:pos="0"/>
          <w:tab w:val="left" w:pos="426"/>
        </w:tabs>
        <w:spacing w:after="0" w:line="276" w:lineRule="auto"/>
        <w:ind w:firstLine="1701"/>
        <w:contextualSpacing/>
        <w:jc w:val="both"/>
        <w:rPr>
          <w:rFonts w:ascii="Gadugi" w:hAnsi="Gadugi"/>
          <w:sz w:val="24"/>
          <w:szCs w:val="24"/>
        </w:rPr>
      </w:pPr>
    </w:p>
    <w:p w14:paraId="126DA30A" w14:textId="3C73F11B" w:rsidR="00AF0DA4" w:rsidRPr="00E534DB" w:rsidRDefault="00AF0DA4" w:rsidP="00E534DB">
      <w:pPr>
        <w:tabs>
          <w:tab w:val="left" w:pos="0"/>
          <w:tab w:val="left" w:pos="426"/>
        </w:tabs>
        <w:spacing w:after="0" w:line="276" w:lineRule="auto"/>
        <w:ind w:firstLine="1701"/>
        <w:contextualSpacing/>
        <w:jc w:val="both"/>
        <w:rPr>
          <w:rFonts w:ascii="Gadugi" w:hAnsi="Gadugi"/>
          <w:sz w:val="24"/>
          <w:szCs w:val="24"/>
        </w:rPr>
      </w:pPr>
      <w:r w:rsidRPr="00E534DB">
        <w:rPr>
          <w:rFonts w:ascii="Gadugi" w:hAnsi="Gadugi"/>
          <w:sz w:val="24"/>
          <w:szCs w:val="24"/>
        </w:rPr>
        <w:t xml:space="preserve">Costas a cargo de los recurrentes y a favor de la demandada. </w:t>
      </w:r>
    </w:p>
    <w:p w14:paraId="46F57F3D" w14:textId="531F1D40" w:rsidR="00AF0DA4" w:rsidRPr="00E534DB" w:rsidRDefault="00AF0DA4" w:rsidP="00E534DB">
      <w:pPr>
        <w:tabs>
          <w:tab w:val="left" w:pos="0"/>
          <w:tab w:val="left" w:pos="426"/>
        </w:tabs>
        <w:spacing w:after="0" w:line="276" w:lineRule="auto"/>
        <w:ind w:firstLine="1701"/>
        <w:contextualSpacing/>
        <w:jc w:val="both"/>
        <w:rPr>
          <w:rFonts w:ascii="Gadugi" w:hAnsi="Gadugi"/>
          <w:sz w:val="24"/>
          <w:szCs w:val="24"/>
        </w:rPr>
      </w:pPr>
    </w:p>
    <w:p w14:paraId="6BB21523" w14:textId="45565C7B" w:rsidR="00AF0DA4" w:rsidRPr="00E534DB" w:rsidRDefault="00AF0DA4" w:rsidP="00E534DB">
      <w:pPr>
        <w:tabs>
          <w:tab w:val="left" w:pos="0"/>
          <w:tab w:val="left" w:pos="426"/>
        </w:tabs>
        <w:spacing w:after="0" w:line="276" w:lineRule="auto"/>
        <w:ind w:firstLine="1701"/>
        <w:contextualSpacing/>
        <w:jc w:val="both"/>
        <w:rPr>
          <w:rFonts w:ascii="Gadugi" w:hAnsi="Gadugi"/>
          <w:sz w:val="24"/>
          <w:szCs w:val="24"/>
        </w:rPr>
      </w:pPr>
      <w:r w:rsidRPr="00E534DB">
        <w:rPr>
          <w:rFonts w:ascii="Gadugi" w:hAnsi="Gadugi"/>
          <w:sz w:val="24"/>
          <w:szCs w:val="24"/>
        </w:rPr>
        <w:t>Notifíquese</w:t>
      </w:r>
    </w:p>
    <w:p w14:paraId="1D26A1A5" w14:textId="21203D95" w:rsidR="00AF0DA4" w:rsidRPr="00E534DB" w:rsidRDefault="00AF0DA4" w:rsidP="00E534DB">
      <w:pPr>
        <w:tabs>
          <w:tab w:val="left" w:pos="0"/>
          <w:tab w:val="left" w:pos="426"/>
        </w:tabs>
        <w:spacing w:after="0" w:line="276" w:lineRule="auto"/>
        <w:ind w:firstLine="1701"/>
        <w:contextualSpacing/>
        <w:jc w:val="both"/>
        <w:rPr>
          <w:rFonts w:ascii="Gadugi" w:hAnsi="Gadugi"/>
          <w:sz w:val="24"/>
          <w:szCs w:val="24"/>
        </w:rPr>
      </w:pPr>
    </w:p>
    <w:p w14:paraId="0D28FBA4" w14:textId="7065EBAB" w:rsidR="00AF0DA4" w:rsidRPr="00E534DB" w:rsidRDefault="00AF0DA4" w:rsidP="00E534DB">
      <w:pPr>
        <w:tabs>
          <w:tab w:val="left" w:pos="0"/>
          <w:tab w:val="left" w:pos="426"/>
        </w:tabs>
        <w:spacing w:after="0" w:line="276" w:lineRule="auto"/>
        <w:ind w:firstLine="1701"/>
        <w:contextualSpacing/>
        <w:jc w:val="both"/>
        <w:rPr>
          <w:rFonts w:ascii="Gadugi" w:hAnsi="Gadugi"/>
          <w:sz w:val="24"/>
          <w:szCs w:val="24"/>
        </w:rPr>
      </w:pPr>
      <w:r w:rsidRPr="00E534DB">
        <w:rPr>
          <w:rFonts w:ascii="Gadugi" w:hAnsi="Gadugi"/>
          <w:sz w:val="24"/>
          <w:szCs w:val="24"/>
        </w:rPr>
        <w:t>Los Magistrados</w:t>
      </w:r>
    </w:p>
    <w:p w14:paraId="110EF4E9" w14:textId="00486D8F" w:rsidR="00AF0DA4" w:rsidRPr="00E534DB" w:rsidRDefault="00AF0DA4" w:rsidP="00E534DB">
      <w:pPr>
        <w:tabs>
          <w:tab w:val="left" w:pos="0"/>
          <w:tab w:val="left" w:pos="426"/>
        </w:tabs>
        <w:spacing w:after="0" w:line="276" w:lineRule="auto"/>
        <w:ind w:firstLine="1701"/>
        <w:contextualSpacing/>
        <w:jc w:val="both"/>
        <w:rPr>
          <w:rFonts w:ascii="Gadugi" w:hAnsi="Gadugi"/>
          <w:sz w:val="24"/>
          <w:szCs w:val="24"/>
        </w:rPr>
      </w:pPr>
    </w:p>
    <w:p w14:paraId="759FA465" w14:textId="77777777" w:rsidR="006F44AC" w:rsidRPr="00E534DB" w:rsidRDefault="006F44AC" w:rsidP="00E534DB">
      <w:pPr>
        <w:tabs>
          <w:tab w:val="left" w:pos="0"/>
          <w:tab w:val="left" w:pos="426"/>
        </w:tabs>
        <w:spacing w:after="0" w:line="276" w:lineRule="auto"/>
        <w:ind w:firstLine="1701"/>
        <w:contextualSpacing/>
        <w:jc w:val="both"/>
        <w:rPr>
          <w:rFonts w:ascii="Gadugi" w:hAnsi="Gadugi"/>
          <w:sz w:val="24"/>
          <w:szCs w:val="24"/>
        </w:rPr>
      </w:pPr>
    </w:p>
    <w:p w14:paraId="0ACCCD3E" w14:textId="452C3FFA" w:rsidR="00AF0DA4" w:rsidRPr="00E534DB" w:rsidRDefault="00AF0DA4" w:rsidP="00E534DB">
      <w:pPr>
        <w:tabs>
          <w:tab w:val="left" w:pos="0"/>
          <w:tab w:val="left" w:pos="426"/>
        </w:tabs>
        <w:spacing w:after="0" w:line="276" w:lineRule="auto"/>
        <w:ind w:firstLine="1701"/>
        <w:contextualSpacing/>
        <w:jc w:val="both"/>
        <w:rPr>
          <w:rFonts w:ascii="Gadugi" w:hAnsi="Gadugi"/>
          <w:b/>
          <w:bCs/>
          <w:sz w:val="24"/>
          <w:szCs w:val="24"/>
        </w:rPr>
      </w:pPr>
      <w:r w:rsidRPr="00E534DB">
        <w:rPr>
          <w:rFonts w:ascii="Gadugi" w:hAnsi="Gadugi"/>
          <w:b/>
          <w:bCs/>
          <w:sz w:val="24"/>
          <w:szCs w:val="24"/>
        </w:rPr>
        <w:t>JAIME ALBERTO SARAZA NARANJO</w:t>
      </w:r>
    </w:p>
    <w:p w14:paraId="4D9F2606" w14:textId="15030663" w:rsidR="006F44AC" w:rsidRDefault="006F44AC" w:rsidP="00E534DB">
      <w:pPr>
        <w:tabs>
          <w:tab w:val="left" w:pos="0"/>
          <w:tab w:val="left" w:pos="426"/>
        </w:tabs>
        <w:spacing w:after="0" w:line="276" w:lineRule="auto"/>
        <w:ind w:firstLine="1701"/>
        <w:contextualSpacing/>
        <w:jc w:val="both"/>
        <w:rPr>
          <w:rFonts w:ascii="Gadugi" w:hAnsi="Gadugi"/>
          <w:b/>
          <w:bCs/>
          <w:sz w:val="24"/>
          <w:szCs w:val="24"/>
        </w:rPr>
      </w:pPr>
    </w:p>
    <w:p w14:paraId="3018C754" w14:textId="77777777" w:rsidR="00E534DB" w:rsidRPr="00E534DB" w:rsidRDefault="00E534DB" w:rsidP="00E534DB">
      <w:pPr>
        <w:tabs>
          <w:tab w:val="left" w:pos="0"/>
          <w:tab w:val="left" w:pos="426"/>
        </w:tabs>
        <w:spacing w:after="0" w:line="276" w:lineRule="auto"/>
        <w:ind w:firstLine="1701"/>
        <w:contextualSpacing/>
        <w:jc w:val="both"/>
        <w:rPr>
          <w:rFonts w:ascii="Gadugi" w:hAnsi="Gadugi"/>
          <w:b/>
          <w:bCs/>
          <w:sz w:val="24"/>
          <w:szCs w:val="24"/>
        </w:rPr>
      </w:pPr>
    </w:p>
    <w:p w14:paraId="1D09FFEF" w14:textId="6D829A9B" w:rsidR="00AF0DA4" w:rsidRPr="00E534DB" w:rsidRDefault="00AF0DA4" w:rsidP="00E534DB">
      <w:pPr>
        <w:tabs>
          <w:tab w:val="left" w:pos="426"/>
        </w:tabs>
        <w:spacing w:after="0" w:line="276" w:lineRule="auto"/>
        <w:ind w:firstLine="1701"/>
        <w:contextualSpacing/>
        <w:jc w:val="both"/>
        <w:rPr>
          <w:rFonts w:ascii="Gadugi" w:hAnsi="Gadugi"/>
          <w:b/>
          <w:bCs/>
          <w:sz w:val="24"/>
          <w:szCs w:val="24"/>
        </w:rPr>
      </w:pPr>
      <w:r w:rsidRPr="00E534DB">
        <w:rPr>
          <w:rFonts w:ascii="Gadugi" w:hAnsi="Gadugi"/>
          <w:b/>
          <w:bCs/>
          <w:sz w:val="24"/>
          <w:szCs w:val="24"/>
        </w:rPr>
        <w:t xml:space="preserve">CARLOS MAURICIO GARCÍA BARAJAS </w:t>
      </w:r>
    </w:p>
    <w:p w14:paraId="467211C3" w14:textId="41A3A04E" w:rsidR="006F44AC" w:rsidRDefault="006F44AC" w:rsidP="00E534DB">
      <w:pPr>
        <w:tabs>
          <w:tab w:val="left" w:pos="0"/>
          <w:tab w:val="left" w:pos="426"/>
        </w:tabs>
        <w:spacing w:after="0" w:line="276" w:lineRule="auto"/>
        <w:ind w:firstLine="1701"/>
        <w:contextualSpacing/>
        <w:jc w:val="both"/>
        <w:rPr>
          <w:rFonts w:ascii="Gadugi" w:hAnsi="Gadugi"/>
          <w:b/>
          <w:bCs/>
          <w:sz w:val="24"/>
          <w:szCs w:val="24"/>
        </w:rPr>
      </w:pPr>
    </w:p>
    <w:p w14:paraId="3D49B26B" w14:textId="77777777" w:rsidR="00E534DB" w:rsidRPr="00E534DB" w:rsidRDefault="00E534DB" w:rsidP="00E534DB">
      <w:pPr>
        <w:tabs>
          <w:tab w:val="left" w:pos="0"/>
          <w:tab w:val="left" w:pos="426"/>
        </w:tabs>
        <w:spacing w:after="0" w:line="276" w:lineRule="auto"/>
        <w:ind w:firstLine="1701"/>
        <w:contextualSpacing/>
        <w:jc w:val="both"/>
        <w:rPr>
          <w:rFonts w:ascii="Gadugi" w:hAnsi="Gadugi"/>
          <w:b/>
          <w:bCs/>
          <w:sz w:val="24"/>
          <w:szCs w:val="24"/>
        </w:rPr>
      </w:pPr>
    </w:p>
    <w:p w14:paraId="7E874336" w14:textId="59AA4E83" w:rsidR="00AF0DA4" w:rsidRPr="00E534DB" w:rsidRDefault="00AF0DA4" w:rsidP="00E534DB">
      <w:pPr>
        <w:tabs>
          <w:tab w:val="left" w:pos="0"/>
          <w:tab w:val="left" w:pos="426"/>
        </w:tabs>
        <w:spacing w:after="0" w:line="276" w:lineRule="auto"/>
        <w:ind w:firstLine="1701"/>
        <w:contextualSpacing/>
        <w:jc w:val="both"/>
        <w:rPr>
          <w:rFonts w:ascii="Gadugi" w:hAnsi="Gadugi"/>
          <w:b/>
          <w:bCs/>
          <w:sz w:val="24"/>
          <w:szCs w:val="24"/>
        </w:rPr>
      </w:pPr>
      <w:r w:rsidRPr="00E534DB">
        <w:rPr>
          <w:rFonts w:ascii="Gadugi" w:hAnsi="Gadugi"/>
          <w:b/>
          <w:bCs/>
          <w:sz w:val="24"/>
          <w:szCs w:val="24"/>
        </w:rPr>
        <w:t>DUBERNEY GRISALES HERRERA</w:t>
      </w:r>
    </w:p>
    <w:p w14:paraId="205D8518" w14:textId="66CED738" w:rsidR="0062770D" w:rsidRPr="00E534DB" w:rsidRDefault="00D97337" w:rsidP="00176D46">
      <w:pPr>
        <w:tabs>
          <w:tab w:val="left" w:pos="0"/>
          <w:tab w:val="left" w:pos="426"/>
        </w:tabs>
        <w:spacing w:after="0" w:line="276" w:lineRule="auto"/>
        <w:ind w:firstLine="1701"/>
        <w:contextualSpacing/>
        <w:jc w:val="both"/>
        <w:rPr>
          <w:rFonts w:ascii="Gadugi" w:hAnsi="Gadugi"/>
          <w:sz w:val="24"/>
          <w:szCs w:val="24"/>
        </w:rPr>
      </w:pPr>
      <w:r w:rsidRPr="00E534DB">
        <w:rPr>
          <w:rFonts w:ascii="Gadugi" w:hAnsi="Gadugi"/>
          <w:bCs/>
          <w:sz w:val="24"/>
          <w:szCs w:val="24"/>
        </w:rPr>
        <w:t xml:space="preserve">Ausente </w:t>
      </w:r>
      <w:r w:rsidR="005F0DC6" w:rsidRPr="00E534DB">
        <w:rPr>
          <w:rFonts w:ascii="Gadugi" w:hAnsi="Gadugi"/>
          <w:bCs/>
          <w:sz w:val="24"/>
          <w:szCs w:val="24"/>
        </w:rPr>
        <w:t>con</w:t>
      </w:r>
      <w:r w:rsidRPr="00E534DB">
        <w:rPr>
          <w:rFonts w:ascii="Gadugi" w:hAnsi="Gadugi"/>
          <w:bCs/>
          <w:sz w:val="24"/>
          <w:szCs w:val="24"/>
        </w:rPr>
        <w:t xml:space="preserve"> justificación</w:t>
      </w:r>
    </w:p>
    <w:sectPr w:rsidR="0062770D" w:rsidRPr="00E534DB" w:rsidSect="001D6EC3">
      <w:footerReference w:type="default" r:id="rId11"/>
      <w:pgSz w:w="12240" w:h="18720"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A3291AB" w16cex:dateUtc="2021-12-15T16:03:22.04Z"/>
  <w16cex:commentExtensible w16cex:durableId="42FAD593" w16cex:dateUtc="2021-12-15T16:06:12.965Z"/>
  <w16cex:commentExtensible w16cex:durableId="05243659" w16cex:dateUtc="2021-12-15T16:09:11.845Z"/>
  <w16cex:commentExtensible w16cex:durableId="59D718B0" w16cex:dateUtc="2021-12-15T16:10:33.8Z"/>
  <w16cex:commentExtensible w16cex:durableId="4091E984" w16cex:dateUtc="2021-12-15T16:12:36.446Z"/>
  <w16cex:commentExtensible w16cex:durableId="402A42DC" w16cex:dateUtc="2021-12-16T12:10:40.29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B3CAE" w14:textId="77777777" w:rsidR="005865AA" w:rsidRDefault="005865AA" w:rsidP="00F659A4">
      <w:pPr>
        <w:spacing w:after="0" w:line="240" w:lineRule="auto"/>
      </w:pPr>
      <w:r>
        <w:separator/>
      </w:r>
    </w:p>
  </w:endnote>
  <w:endnote w:type="continuationSeparator" w:id="0">
    <w:p w14:paraId="47219E43" w14:textId="77777777" w:rsidR="005865AA" w:rsidRDefault="005865AA" w:rsidP="00F659A4">
      <w:pPr>
        <w:spacing w:after="0" w:line="240" w:lineRule="auto"/>
      </w:pPr>
      <w:r>
        <w:continuationSeparator/>
      </w:r>
    </w:p>
  </w:endnote>
  <w:endnote w:type="continuationNotice" w:id="1">
    <w:p w14:paraId="67024477" w14:textId="77777777" w:rsidR="005865AA" w:rsidRDefault="005865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Estrangelo Edessa">
    <w:panose1 w:val="00000000000000000000"/>
    <w:charset w:val="00"/>
    <w:family w:val="script"/>
    <w:pitch w:val="variable"/>
    <w:sig w:usb0="80002043" w:usb1="00000000" w:usb2="0000008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189068"/>
      <w:docPartObj>
        <w:docPartGallery w:val="Page Numbers (Bottom of Page)"/>
        <w:docPartUnique/>
      </w:docPartObj>
    </w:sdtPr>
    <w:sdtEndPr>
      <w:rPr>
        <w:rFonts w:ascii="Arial" w:hAnsi="Arial" w:cs="Arial"/>
        <w:sz w:val="18"/>
      </w:rPr>
    </w:sdtEndPr>
    <w:sdtContent>
      <w:p w14:paraId="7F90D014" w14:textId="10933136" w:rsidR="00C85BE3" w:rsidRPr="001D6EC3" w:rsidRDefault="00C85BE3">
        <w:pPr>
          <w:pStyle w:val="Piedepgina"/>
          <w:jc w:val="right"/>
          <w:rPr>
            <w:rFonts w:ascii="Arial" w:hAnsi="Arial" w:cs="Arial"/>
            <w:sz w:val="18"/>
          </w:rPr>
        </w:pPr>
        <w:r w:rsidRPr="001D6EC3">
          <w:rPr>
            <w:rFonts w:ascii="Arial" w:hAnsi="Arial" w:cs="Arial"/>
            <w:sz w:val="18"/>
          </w:rPr>
          <w:fldChar w:fldCharType="begin"/>
        </w:r>
        <w:r w:rsidRPr="001D6EC3">
          <w:rPr>
            <w:rFonts w:ascii="Arial" w:hAnsi="Arial" w:cs="Arial"/>
            <w:sz w:val="18"/>
          </w:rPr>
          <w:instrText>PAGE   \* MERGEFORMAT</w:instrText>
        </w:r>
        <w:r w:rsidRPr="001D6EC3">
          <w:rPr>
            <w:rFonts w:ascii="Arial" w:hAnsi="Arial" w:cs="Arial"/>
            <w:sz w:val="18"/>
          </w:rPr>
          <w:fldChar w:fldCharType="separate"/>
        </w:r>
        <w:r w:rsidRPr="001D6EC3">
          <w:rPr>
            <w:rFonts w:ascii="Arial" w:hAnsi="Arial" w:cs="Arial"/>
            <w:sz w:val="18"/>
            <w:lang w:val="es-ES"/>
          </w:rPr>
          <w:t>2</w:t>
        </w:r>
        <w:r w:rsidRPr="001D6EC3">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02D4E" w14:textId="77777777" w:rsidR="005865AA" w:rsidRDefault="005865AA" w:rsidP="00F659A4">
      <w:pPr>
        <w:spacing w:after="0" w:line="240" w:lineRule="auto"/>
      </w:pPr>
      <w:r>
        <w:separator/>
      </w:r>
    </w:p>
  </w:footnote>
  <w:footnote w:type="continuationSeparator" w:id="0">
    <w:p w14:paraId="08487F78" w14:textId="77777777" w:rsidR="005865AA" w:rsidRDefault="005865AA" w:rsidP="00F659A4">
      <w:pPr>
        <w:spacing w:after="0" w:line="240" w:lineRule="auto"/>
      </w:pPr>
      <w:r>
        <w:continuationSeparator/>
      </w:r>
    </w:p>
  </w:footnote>
  <w:footnote w:type="continuationNotice" w:id="1">
    <w:p w14:paraId="4D02D582" w14:textId="77777777" w:rsidR="005865AA" w:rsidRDefault="005865AA">
      <w:pPr>
        <w:spacing w:after="0" w:line="240" w:lineRule="auto"/>
      </w:pPr>
    </w:p>
  </w:footnote>
  <w:footnote w:id="2">
    <w:p w14:paraId="6739D0D4" w14:textId="7ABE5F20" w:rsidR="004328AB" w:rsidRPr="001D6EC3" w:rsidRDefault="004328AB" w:rsidP="001D6EC3">
      <w:pPr>
        <w:pStyle w:val="Textonotapie"/>
        <w:jc w:val="both"/>
        <w:rPr>
          <w:rFonts w:ascii="Century" w:hAnsi="Century"/>
          <w:sz w:val="18"/>
          <w:szCs w:val="18"/>
        </w:rPr>
      </w:pPr>
      <w:r w:rsidRPr="001D6EC3">
        <w:rPr>
          <w:rStyle w:val="Refdenotaalpie"/>
          <w:rFonts w:ascii="Century" w:hAnsi="Century"/>
          <w:sz w:val="18"/>
          <w:szCs w:val="18"/>
        </w:rPr>
        <w:footnoteRef/>
      </w:r>
      <w:r w:rsidRPr="001D6EC3">
        <w:rPr>
          <w:rFonts w:ascii="Century" w:hAnsi="Century"/>
          <w:sz w:val="18"/>
          <w:szCs w:val="18"/>
        </w:rPr>
        <w:t xml:space="preserve"> P. 9 y 11, c. ppal. Tomo I</w:t>
      </w:r>
    </w:p>
  </w:footnote>
  <w:footnote w:id="3">
    <w:p w14:paraId="20F70762" w14:textId="1DA24BC5" w:rsidR="00F659A4" w:rsidRPr="001D6EC3" w:rsidRDefault="00F659A4" w:rsidP="001D6EC3">
      <w:pPr>
        <w:pStyle w:val="Textonotapie"/>
        <w:jc w:val="both"/>
        <w:rPr>
          <w:rFonts w:ascii="Century" w:hAnsi="Century"/>
          <w:sz w:val="18"/>
          <w:szCs w:val="18"/>
        </w:rPr>
      </w:pPr>
      <w:r w:rsidRPr="001D6EC3">
        <w:rPr>
          <w:rStyle w:val="Refdenotaalpie"/>
          <w:rFonts w:ascii="Century" w:hAnsi="Century"/>
          <w:sz w:val="18"/>
          <w:szCs w:val="18"/>
        </w:rPr>
        <w:footnoteRef/>
      </w:r>
      <w:r w:rsidRPr="001D6EC3">
        <w:rPr>
          <w:rFonts w:ascii="Century" w:hAnsi="Century"/>
          <w:sz w:val="18"/>
          <w:szCs w:val="18"/>
        </w:rPr>
        <w:t xml:space="preserve"> </w:t>
      </w:r>
      <w:r w:rsidRPr="001D6EC3">
        <w:rPr>
          <w:rStyle w:val="normaltextrun"/>
          <w:rFonts w:ascii="Century" w:hAnsi="Century"/>
          <w:bCs/>
          <w:color w:val="000000"/>
          <w:sz w:val="18"/>
          <w:szCs w:val="18"/>
          <w:shd w:val="clear" w:color="auto" w:fill="FFFFFF"/>
        </w:rPr>
        <w:t>p. 63, c. ppal., parte No. 1</w:t>
      </w:r>
    </w:p>
  </w:footnote>
  <w:footnote w:id="4">
    <w:p w14:paraId="28A7CF2E" w14:textId="6852752A" w:rsidR="00F659A4" w:rsidRPr="001D6EC3" w:rsidRDefault="00F659A4" w:rsidP="001D6EC3">
      <w:pPr>
        <w:pStyle w:val="Textonotapie"/>
        <w:jc w:val="both"/>
        <w:rPr>
          <w:rFonts w:ascii="Century" w:hAnsi="Century"/>
          <w:sz w:val="18"/>
          <w:szCs w:val="18"/>
        </w:rPr>
      </w:pPr>
      <w:r w:rsidRPr="001D6EC3">
        <w:rPr>
          <w:rStyle w:val="Refdenotaalpie"/>
          <w:rFonts w:ascii="Century" w:hAnsi="Century"/>
          <w:sz w:val="18"/>
          <w:szCs w:val="18"/>
        </w:rPr>
        <w:footnoteRef/>
      </w:r>
      <w:r w:rsidRPr="001D6EC3">
        <w:rPr>
          <w:rFonts w:ascii="Century" w:hAnsi="Century"/>
          <w:sz w:val="18"/>
          <w:szCs w:val="18"/>
        </w:rPr>
        <w:t xml:space="preserve"> </w:t>
      </w:r>
      <w:r w:rsidRPr="001D6EC3">
        <w:rPr>
          <w:rStyle w:val="normaltextrun"/>
          <w:rFonts w:ascii="Century" w:hAnsi="Century"/>
          <w:bCs/>
          <w:color w:val="000000"/>
          <w:sz w:val="18"/>
          <w:szCs w:val="18"/>
          <w:shd w:val="clear" w:color="auto" w:fill="FFFFFF"/>
        </w:rPr>
        <w:t>p. 69, c. ppal., parte No. 1</w:t>
      </w:r>
    </w:p>
  </w:footnote>
  <w:footnote w:id="5">
    <w:p w14:paraId="693D1B12" w14:textId="232F31B1" w:rsidR="002F30A2" w:rsidRPr="001D6EC3" w:rsidRDefault="002F30A2" w:rsidP="001D6EC3">
      <w:pPr>
        <w:pStyle w:val="Textonotapie"/>
        <w:jc w:val="both"/>
        <w:rPr>
          <w:rFonts w:ascii="Century" w:hAnsi="Century"/>
          <w:sz w:val="18"/>
          <w:szCs w:val="18"/>
        </w:rPr>
      </w:pPr>
      <w:r w:rsidRPr="001D6EC3">
        <w:rPr>
          <w:rStyle w:val="Refdenotaalpie"/>
          <w:rFonts w:ascii="Century" w:hAnsi="Century"/>
          <w:sz w:val="18"/>
          <w:szCs w:val="18"/>
        </w:rPr>
        <w:footnoteRef/>
      </w:r>
      <w:r w:rsidRPr="001D6EC3">
        <w:rPr>
          <w:rFonts w:ascii="Century" w:hAnsi="Century"/>
          <w:sz w:val="18"/>
          <w:szCs w:val="18"/>
        </w:rPr>
        <w:t xml:space="preserve"> </w:t>
      </w:r>
      <w:r w:rsidRPr="001D6EC3">
        <w:rPr>
          <w:rFonts w:ascii="Century" w:eastAsia="Calibri" w:hAnsi="Century" w:cs="Times New Roman"/>
          <w:sz w:val="18"/>
          <w:szCs w:val="18"/>
        </w:rPr>
        <w:t>p. 87, c. ppal., parte No. 1</w:t>
      </w:r>
    </w:p>
  </w:footnote>
  <w:footnote w:id="6">
    <w:p w14:paraId="618AB9A0" w14:textId="03DF76E3" w:rsidR="00CE1491" w:rsidRPr="001D6EC3" w:rsidRDefault="00CE1491" w:rsidP="001D6EC3">
      <w:pPr>
        <w:pStyle w:val="Textonotapie"/>
        <w:jc w:val="both"/>
        <w:rPr>
          <w:rFonts w:ascii="Century" w:hAnsi="Century"/>
          <w:sz w:val="18"/>
          <w:szCs w:val="18"/>
        </w:rPr>
      </w:pPr>
      <w:r w:rsidRPr="001D6EC3">
        <w:rPr>
          <w:rStyle w:val="Refdenotaalpie"/>
          <w:rFonts w:ascii="Century" w:hAnsi="Century"/>
          <w:sz w:val="18"/>
          <w:szCs w:val="18"/>
        </w:rPr>
        <w:footnoteRef/>
      </w:r>
      <w:r w:rsidRPr="001D6EC3">
        <w:rPr>
          <w:rFonts w:ascii="Century" w:hAnsi="Century"/>
          <w:sz w:val="18"/>
          <w:szCs w:val="18"/>
        </w:rPr>
        <w:t xml:space="preserve"> </w:t>
      </w:r>
      <w:r w:rsidRPr="001D6EC3">
        <w:rPr>
          <w:rFonts w:ascii="Century" w:hAnsi="Century"/>
          <w:bCs/>
          <w:sz w:val="18"/>
          <w:szCs w:val="18"/>
        </w:rPr>
        <w:t>p. 2</w:t>
      </w:r>
      <w:r w:rsidR="003D6C5F" w:rsidRPr="001D6EC3">
        <w:rPr>
          <w:rFonts w:ascii="Century" w:hAnsi="Century"/>
          <w:bCs/>
          <w:sz w:val="18"/>
          <w:szCs w:val="18"/>
        </w:rPr>
        <w:t>49</w:t>
      </w:r>
      <w:r w:rsidRPr="001D6EC3">
        <w:rPr>
          <w:rFonts w:ascii="Century" w:hAnsi="Century"/>
          <w:bCs/>
          <w:sz w:val="18"/>
          <w:szCs w:val="18"/>
        </w:rPr>
        <w:t>, c. ppal., parte No. 1</w:t>
      </w:r>
    </w:p>
  </w:footnote>
  <w:footnote w:id="7">
    <w:p w14:paraId="06ED4006" w14:textId="1919FC9E" w:rsidR="00865215" w:rsidRPr="001D6EC3" w:rsidRDefault="00865215" w:rsidP="001D6EC3">
      <w:pPr>
        <w:pStyle w:val="Textonotapie"/>
        <w:jc w:val="both"/>
        <w:rPr>
          <w:rFonts w:ascii="Century" w:hAnsi="Century"/>
          <w:sz w:val="18"/>
          <w:szCs w:val="18"/>
        </w:rPr>
      </w:pPr>
      <w:r w:rsidRPr="001D6EC3">
        <w:rPr>
          <w:rStyle w:val="Refdenotaalpie"/>
          <w:rFonts w:ascii="Century" w:hAnsi="Century"/>
          <w:sz w:val="18"/>
          <w:szCs w:val="18"/>
        </w:rPr>
        <w:footnoteRef/>
      </w:r>
      <w:r w:rsidRPr="001D6EC3">
        <w:rPr>
          <w:rFonts w:ascii="Century" w:hAnsi="Century"/>
          <w:sz w:val="18"/>
          <w:szCs w:val="18"/>
        </w:rPr>
        <w:t xml:space="preserve"> p. 49, c</w:t>
      </w:r>
      <w:r w:rsidR="00284813" w:rsidRPr="001D6EC3">
        <w:rPr>
          <w:rFonts w:ascii="Century" w:hAnsi="Century"/>
          <w:sz w:val="18"/>
          <w:szCs w:val="18"/>
        </w:rPr>
        <w:t>uaderno No. 2</w:t>
      </w:r>
    </w:p>
  </w:footnote>
  <w:footnote w:id="8">
    <w:p w14:paraId="2C9A0E6D" w14:textId="77777777" w:rsidR="00CF4952" w:rsidRPr="001D6EC3" w:rsidRDefault="00CF4952" w:rsidP="001D6EC3">
      <w:pPr>
        <w:pStyle w:val="Textonotapie"/>
        <w:jc w:val="both"/>
        <w:rPr>
          <w:rFonts w:ascii="Century" w:hAnsi="Century"/>
          <w:sz w:val="18"/>
          <w:szCs w:val="18"/>
        </w:rPr>
      </w:pPr>
      <w:r w:rsidRPr="001D6EC3">
        <w:rPr>
          <w:rStyle w:val="Refdenotaalpie"/>
          <w:rFonts w:ascii="Century" w:hAnsi="Century"/>
          <w:sz w:val="18"/>
          <w:szCs w:val="18"/>
        </w:rPr>
        <w:footnoteRef/>
      </w:r>
      <w:r w:rsidRPr="001D6EC3">
        <w:rPr>
          <w:rFonts w:ascii="Century" w:hAnsi="Century"/>
          <w:sz w:val="18"/>
          <w:szCs w:val="18"/>
        </w:rPr>
        <w:t xml:space="preserve"> p. 82, c. parte No. 2</w:t>
      </w:r>
    </w:p>
  </w:footnote>
  <w:footnote w:id="9">
    <w:p w14:paraId="302D66EA" w14:textId="271D4CEA" w:rsidR="003D6C5F" w:rsidRPr="001D6EC3" w:rsidRDefault="003D6C5F" w:rsidP="001D6EC3">
      <w:pPr>
        <w:pStyle w:val="Textonotapie"/>
        <w:jc w:val="both"/>
        <w:rPr>
          <w:rFonts w:ascii="Century" w:hAnsi="Century"/>
          <w:sz w:val="18"/>
          <w:szCs w:val="18"/>
          <w:lang w:val="es-419"/>
        </w:rPr>
      </w:pPr>
      <w:r w:rsidRPr="001D6EC3">
        <w:rPr>
          <w:rStyle w:val="Refdenotaalpie"/>
          <w:rFonts w:ascii="Century" w:hAnsi="Century"/>
          <w:sz w:val="18"/>
          <w:szCs w:val="18"/>
        </w:rPr>
        <w:footnoteRef/>
      </w:r>
      <w:r w:rsidRPr="001D6EC3">
        <w:rPr>
          <w:rFonts w:ascii="Century" w:hAnsi="Century"/>
          <w:sz w:val="18"/>
          <w:szCs w:val="18"/>
        </w:rPr>
        <w:t xml:space="preserve"> P. 349,</w:t>
      </w:r>
      <w:r w:rsidRPr="001D6EC3">
        <w:rPr>
          <w:rFonts w:ascii="Century" w:hAnsi="Century"/>
          <w:bCs/>
          <w:sz w:val="18"/>
          <w:szCs w:val="18"/>
        </w:rPr>
        <w:t xml:space="preserve"> c. ppal., parte No. 1</w:t>
      </w:r>
    </w:p>
  </w:footnote>
  <w:footnote w:id="10">
    <w:p w14:paraId="76CE606F" w14:textId="77777777" w:rsidR="00C74025" w:rsidRPr="001D6EC3" w:rsidRDefault="00C74025" w:rsidP="001D6EC3">
      <w:pPr>
        <w:pStyle w:val="Textonotapie"/>
        <w:jc w:val="both"/>
        <w:rPr>
          <w:rFonts w:ascii="Century" w:hAnsi="Century"/>
          <w:sz w:val="18"/>
          <w:szCs w:val="18"/>
        </w:rPr>
      </w:pPr>
      <w:r w:rsidRPr="001D6EC3">
        <w:rPr>
          <w:rStyle w:val="Refdenotaalpie"/>
          <w:rFonts w:ascii="Century" w:hAnsi="Century"/>
          <w:sz w:val="18"/>
          <w:szCs w:val="18"/>
        </w:rPr>
        <w:footnoteRef/>
      </w:r>
      <w:r w:rsidRPr="001D6EC3">
        <w:rPr>
          <w:rFonts w:ascii="Century" w:hAnsi="Century"/>
          <w:sz w:val="18"/>
          <w:szCs w:val="18"/>
        </w:rPr>
        <w:t xml:space="preserve"> </w:t>
      </w:r>
      <w:r w:rsidRPr="001D6EC3">
        <w:rPr>
          <w:rFonts w:ascii="Century" w:eastAsia="Calibri" w:hAnsi="Century" w:cs="Times New Roman"/>
          <w:sz w:val="18"/>
          <w:szCs w:val="18"/>
        </w:rPr>
        <w:t>p.141, c. ppal., parte No. 2</w:t>
      </w:r>
    </w:p>
  </w:footnote>
  <w:footnote w:id="11">
    <w:p w14:paraId="66567EDA" w14:textId="77777777" w:rsidR="00C74025" w:rsidRPr="001D6EC3" w:rsidRDefault="00C74025" w:rsidP="001D6EC3">
      <w:pPr>
        <w:pStyle w:val="Textonotapie"/>
        <w:jc w:val="both"/>
        <w:rPr>
          <w:rFonts w:ascii="Century" w:hAnsi="Century"/>
          <w:sz w:val="18"/>
          <w:szCs w:val="18"/>
        </w:rPr>
      </w:pPr>
      <w:r w:rsidRPr="001D6EC3">
        <w:rPr>
          <w:rStyle w:val="Refdenotaalpie"/>
          <w:rFonts w:ascii="Century" w:hAnsi="Century"/>
          <w:sz w:val="18"/>
          <w:szCs w:val="18"/>
        </w:rPr>
        <w:footnoteRef/>
      </w:r>
      <w:r w:rsidRPr="001D6EC3">
        <w:rPr>
          <w:rFonts w:ascii="Century" w:hAnsi="Century"/>
          <w:sz w:val="18"/>
          <w:szCs w:val="18"/>
        </w:rPr>
        <w:t xml:space="preserve"> </w:t>
      </w:r>
      <w:r w:rsidRPr="001D6EC3">
        <w:rPr>
          <w:rFonts w:ascii="Century" w:eastAsia="Calibri" w:hAnsi="Century" w:cs="Times New Roman"/>
          <w:sz w:val="18"/>
          <w:szCs w:val="18"/>
        </w:rPr>
        <w:t>p. 73, c. ppal., parte No. 2</w:t>
      </w:r>
    </w:p>
  </w:footnote>
  <w:footnote w:id="12">
    <w:p w14:paraId="57FF3BF3" w14:textId="5848E465" w:rsidR="00CE271A" w:rsidRPr="001D6EC3" w:rsidRDefault="00CE271A" w:rsidP="001D6EC3">
      <w:pPr>
        <w:pStyle w:val="Textonotapie"/>
        <w:jc w:val="both"/>
        <w:rPr>
          <w:rFonts w:ascii="Century" w:hAnsi="Century"/>
          <w:sz w:val="18"/>
          <w:szCs w:val="18"/>
        </w:rPr>
      </w:pPr>
      <w:r w:rsidRPr="001D6EC3">
        <w:rPr>
          <w:rStyle w:val="Refdenotaalpie"/>
          <w:rFonts w:ascii="Century" w:hAnsi="Century"/>
          <w:sz w:val="18"/>
          <w:szCs w:val="18"/>
        </w:rPr>
        <w:footnoteRef/>
      </w:r>
      <w:r w:rsidRPr="001D6EC3">
        <w:rPr>
          <w:rFonts w:ascii="Century" w:eastAsia="Calibri" w:hAnsi="Century" w:cs="Times New Roman"/>
          <w:sz w:val="18"/>
          <w:szCs w:val="18"/>
        </w:rPr>
        <w:t xml:space="preserve"> Fallo, video, audiencia verbal continuación 2019-00090.mp4</w:t>
      </w:r>
      <w:r w:rsidRPr="001D6EC3">
        <w:rPr>
          <w:rFonts w:ascii="Century" w:hAnsi="Century"/>
          <w:sz w:val="18"/>
          <w:szCs w:val="18"/>
        </w:rPr>
        <w:t xml:space="preserve"> </w:t>
      </w:r>
    </w:p>
  </w:footnote>
  <w:footnote w:id="13">
    <w:p w14:paraId="5BF8A140" w14:textId="48B163A7" w:rsidR="00CE271A" w:rsidRPr="001D6EC3" w:rsidRDefault="00CE271A" w:rsidP="001D6EC3">
      <w:pPr>
        <w:pStyle w:val="Textonotapie"/>
        <w:jc w:val="both"/>
        <w:rPr>
          <w:rFonts w:ascii="Century" w:hAnsi="Century"/>
          <w:sz w:val="18"/>
          <w:szCs w:val="18"/>
        </w:rPr>
      </w:pPr>
      <w:r w:rsidRPr="001D6EC3">
        <w:rPr>
          <w:rStyle w:val="Refdenotaalpie"/>
          <w:rFonts w:ascii="Century" w:hAnsi="Century"/>
          <w:sz w:val="18"/>
          <w:szCs w:val="18"/>
        </w:rPr>
        <w:footnoteRef/>
      </w:r>
      <w:r w:rsidRPr="001D6EC3">
        <w:rPr>
          <w:rFonts w:ascii="Century" w:eastAsia="Malgun Gothic" w:hAnsi="Century" w:cs="Estrangelo Edessa"/>
          <w:sz w:val="18"/>
          <w:szCs w:val="18"/>
        </w:rPr>
        <w:t xml:space="preserve"> p. 1, </w:t>
      </w:r>
      <w:proofErr w:type="spellStart"/>
      <w:r w:rsidRPr="001D6EC3">
        <w:rPr>
          <w:rFonts w:ascii="Century" w:eastAsia="Malgun Gothic" w:hAnsi="Century" w:cs="Estrangelo Edessa"/>
          <w:sz w:val="18"/>
          <w:szCs w:val="18"/>
        </w:rPr>
        <w:t>Efigas</w:t>
      </w:r>
      <w:proofErr w:type="spellEnd"/>
      <w:r w:rsidRPr="001D6EC3">
        <w:rPr>
          <w:rFonts w:ascii="Century" w:eastAsia="Malgun Gothic" w:hAnsi="Century" w:cs="Estrangelo Edessa"/>
          <w:sz w:val="18"/>
          <w:szCs w:val="18"/>
        </w:rPr>
        <w:t xml:space="preserve"> reparos concretos</w:t>
      </w:r>
      <w:r w:rsidRPr="001D6EC3">
        <w:rPr>
          <w:rFonts w:ascii="Century" w:hAnsi="Century"/>
          <w:sz w:val="18"/>
          <w:szCs w:val="18"/>
        </w:rPr>
        <w:t xml:space="preserve"> </w:t>
      </w:r>
    </w:p>
  </w:footnote>
  <w:footnote w:id="14">
    <w:p w14:paraId="28A38102" w14:textId="34D10EDA" w:rsidR="00954FD4" w:rsidRPr="001D6EC3" w:rsidRDefault="00954FD4" w:rsidP="001D6EC3">
      <w:pPr>
        <w:pStyle w:val="Textonotapie"/>
        <w:jc w:val="both"/>
        <w:rPr>
          <w:rFonts w:ascii="Century" w:hAnsi="Century"/>
          <w:sz w:val="18"/>
          <w:szCs w:val="18"/>
        </w:rPr>
      </w:pPr>
      <w:r w:rsidRPr="001D6EC3">
        <w:rPr>
          <w:rStyle w:val="Refdenotaalpie"/>
          <w:rFonts w:ascii="Century" w:hAnsi="Century"/>
          <w:sz w:val="18"/>
          <w:szCs w:val="18"/>
        </w:rPr>
        <w:footnoteRef/>
      </w:r>
      <w:r w:rsidRPr="001D6EC3">
        <w:rPr>
          <w:rFonts w:ascii="Century" w:hAnsi="Century"/>
          <w:sz w:val="18"/>
          <w:szCs w:val="18"/>
        </w:rPr>
        <w:t xml:space="preserve"> 02. CUADERNO SEGUNDA INSTANCIA, 07. Recurso de apelación.</w:t>
      </w:r>
    </w:p>
  </w:footnote>
  <w:footnote w:id="15">
    <w:p w14:paraId="13BFD936" w14:textId="0C1CDF59" w:rsidR="00371A5D" w:rsidRPr="001D6EC3" w:rsidRDefault="00371A5D" w:rsidP="001D6EC3">
      <w:pPr>
        <w:pStyle w:val="Textonotapie"/>
        <w:jc w:val="both"/>
        <w:rPr>
          <w:rFonts w:ascii="Century" w:hAnsi="Century"/>
          <w:sz w:val="18"/>
          <w:szCs w:val="18"/>
          <w:lang w:val="es-419"/>
        </w:rPr>
      </w:pPr>
      <w:r w:rsidRPr="001D6EC3">
        <w:rPr>
          <w:rStyle w:val="Refdenotaalpie"/>
          <w:rFonts w:ascii="Century" w:hAnsi="Century"/>
          <w:sz w:val="18"/>
          <w:szCs w:val="18"/>
        </w:rPr>
        <w:footnoteRef/>
      </w:r>
      <w:r w:rsidRPr="001D6EC3">
        <w:rPr>
          <w:rFonts w:ascii="Century" w:hAnsi="Century"/>
          <w:sz w:val="18"/>
          <w:szCs w:val="18"/>
        </w:rPr>
        <w:t xml:space="preserve"> </w:t>
      </w:r>
      <w:r w:rsidRPr="001D6EC3">
        <w:rPr>
          <w:rFonts w:ascii="Century" w:hAnsi="Century"/>
          <w:bCs/>
          <w:sz w:val="18"/>
          <w:szCs w:val="18"/>
        </w:rPr>
        <w:t>p. 249, c. ppal., parte No. 1</w:t>
      </w:r>
    </w:p>
  </w:footnote>
  <w:footnote w:id="16">
    <w:p w14:paraId="4793CAF9" w14:textId="6091C3D2" w:rsidR="004144D6" w:rsidRPr="001D6EC3" w:rsidRDefault="004144D6" w:rsidP="001D6EC3">
      <w:pPr>
        <w:pStyle w:val="Textonotapie"/>
        <w:jc w:val="both"/>
        <w:rPr>
          <w:rFonts w:ascii="Century" w:hAnsi="Century"/>
          <w:sz w:val="18"/>
          <w:szCs w:val="18"/>
        </w:rPr>
      </w:pPr>
      <w:r w:rsidRPr="001D6EC3">
        <w:rPr>
          <w:rStyle w:val="Refdenotaalpie"/>
          <w:rFonts w:ascii="Century" w:hAnsi="Century"/>
          <w:sz w:val="18"/>
          <w:szCs w:val="18"/>
        </w:rPr>
        <w:footnoteRef/>
      </w:r>
      <w:r w:rsidRPr="001D6EC3">
        <w:rPr>
          <w:rFonts w:ascii="Century" w:hAnsi="Century"/>
          <w:sz w:val="18"/>
          <w:szCs w:val="18"/>
        </w:rPr>
        <w:t xml:space="preserve"> </w:t>
      </w:r>
      <w:r w:rsidRPr="001D6EC3">
        <w:rPr>
          <w:rFonts w:ascii="Century" w:eastAsia="Calibri" w:hAnsi="Century" w:cs="Times New Roman"/>
          <w:sz w:val="18"/>
          <w:szCs w:val="18"/>
        </w:rPr>
        <w:t>p. 63, c. ppal. Tomo I</w:t>
      </w:r>
    </w:p>
  </w:footnote>
  <w:footnote w:id="17">
    <w:p w14:paraId="1C5558EF" w14:textId="58996DCD" w:rsidR="0087599F" w:rsidRPr="001D6EC3" w:rsidRDefault="0087599F" w:rsidP="001D6EC3">
      <w:pPr>
        <w:pStyle w:val="Textonotapie"/>
        <w:jc w:val="both"/>
        <w:rPr>
          <w:rFonts w:ascii="Century" w:hAnsi="Century"/>
          <w:sz w:val="18"/>
          <w:szCs w:val="18"/>
          <w:lang w:val="en-US"/>
        </w:rPr>
      </w:pPr>
      <w:r w:rsidRPr="001D6EC3">
        <w:rPr>
          <w:rStyle w:val="Refdenotaalpie"/>
          <w:rFonts w:ascii="Century" w:hAnsi="Century"/>
          <w:sz w:val="18"/>
          <w:szCs w:val="18"/>
        </w:rPr>
        <w:footnoteRef/>
      </w:r>
      <w:r w:rsidRPr="001D6EC3">
        <w:rPr>
          <w:rFonts w:ascii="Century" w:hAnsi="Century"/>
          <w:sz w:val="18"/>
          <w:szCs w:val="18"/>
          <w:lang w:val="en-US"/>
        </w:rPr>
        <w:t xml:space="preserve"> P. 63 a 77, c. </w:t>
      </w:r>
      <w:proofErr w:type="spellStart"/>
      <w:r w:rsidRPr="001D6EC3">
        <w:rPr>
          <w:rFonts w:ascii="Century" w:hAnsi="Century"/>
          <w:sz w:val="18"/>
          <w:szCs w:val="18"/>
          <w:lang w:val="en-US"/>
        </w:rPr>
        <w:t>ppal</w:t>
      </w:r>
      <w:proofErr w:type="spellEnd"/>
      <w:r w:rsidRPr="001D6EC3">
        <w:rPr>
          <w:rFonts w:ascii="Century" w:hAnsi="Century"/>
          <w:sz w:val="18"/>
          <w:szCs w:val="18"/>
          <w:lang w:val="en-US"/>
        </w:rPr>
        <w:t xml:space="preserve">. </w:t>
      </w:r>
      <w:proofErr w:type="spellStart"/>
      <w:r w:rsidRPr="001D6EC3">
        <w:rPr>
          <w:rFonts w:ascii="Century" w:hAnsi="Century"/>
          <w:sz w:val="18"/>
          <w:szCs w:val="18"/>
          <w:lang w:val="en-US"/>
        </w:rPr>
        <w:t>Tomo</w:t>
      </w:r>
      <w:proofErr w:type="spellEnd"/>
      <w:r w:rsidRPr="001D6EC3">
        <w:rPr>
          <w:rFonts w:ascii="Century" w:hAnsi="Century"/>
          <w:sz w:val="18"/>
          <w:szCs w:val="18"/>
          <w:lang w:val="en-US"/>
        </w:rPr>
        <w:t xml:space="preserve"> I</w:t>
      </w:r>
    </w:p>
  </w:footnote>
  <w:footnote w:id="18">
    <w:p w14:paraId="1E094563" w14:textId="3A9A8D8F" w:rsidR="0087599F" w:rsidRPr="001D6EC3" w:rsidRDefault="0087599F" w:rsidP="001D6EC3">
      <w:pPr>
        <w:pStyle w:val="Textonotapie"/>
        <w:jc w:val="both"/>
        <w:rPr>
          <w:rFonts w:ascii="Century" w:hAnsi="Century"/>
          <w:sz w:val="18"/>
          <w:szCs w:val="18"/>
          <w:lang w:val="es-ES"/>
        </w:rPr>
      </w:pPr>
      <w:r w:rsidRPr="001D6EC3">
        <w:rPr>
          <w:rStyle w:val="Refdenotaalpie"/>
          <w:rFonts w:ascii="Century" w:hAnsi="Century"/>
          <w:sz w:val="18"/>
          <w:szCs w:val="18"/>
        </w:rPr>
        <w:footnoteRef/>
      </w:r>
      <w:r w:rsidRPr="001D6EC3">
        <w:rPr>
          <w:rFonts w:ascii="Century" w:hAnsi="Century"/>
          <w:sz w:val="18"/>
          <w:szCs w:val="18"/>
          <w:lang w:val="es-ES"/>
        </w:rPr>
        <w:t xml:space="preserve"> P. 87, c. ppal., tomo I</w:t>
      </w:r>
    </w:p>
  </w:footnote>
  <w:footnote w:id="19">
    <w:p w14:paraId="0A67956C" w14:textId="77777777" w:rsidR="00A64774" w:rsidRPr="001D6EC3" w:rsidRDefault="00A64774" w:rsidP="001D6EC3">
      <w:pPr>
        <w:pStyle w:val="Textonotapie"/>
        <w:jc w:val="both"/>
        <w:rPr>
          <w:rFonts w:ascii="Century" w:hAnsi="Century"/>
          <w:sz w:val="18"/>
          <w:szCs w:val="18"/>
          <w:lang w:val="es-419"/>
        </w:rPr>
      </w:pPr>
      <w:r w:rsidRPr="001D6EC3">
        <w:rPr>
          <w:rStyle w:val="Refdenotaalpie"/>
          <w:rFonts w:ascii="Century" w:hAnsi="Century"/>
          <w:sz w:val="18"/>
          <w:szCs w:val="18"/>
        </w:rPr>
        <w:footnoteRef/>
      </w:r>
      <w:r w:rsidRPr="001D6EC3">
        <w:rPr>
          <w:rFonts w:ascii="Century" w:hAnsi="Century"/>
          <w:sz w:val="18"/>
          <w:szCs w:val="18"/>
        </w:rPr>
        <w:t xml:space="preserve"> </w:t>
      </w:r>
      <w:r w:rsidRPr="001D6EC3">
        <w:rPr>
          <w:rFonts w:ascii="Century" w:hAnsi="Century"/>
          <w:spacing w:val="2"/>
          <w:w w:val="86"/>
          <w:sz w:val="18"/>
          <w:szCs w:val="18"/>
        </w:rPr>
        <w:t>S</w:t>
      </w:r>
      <w:r w:rsidRPr="001D6EC3">
        <w:rPr>
          <w:rFonts w:ascii="Century" w:hAnsi="Century"/>
          <w:spacing w:val="1"/>
          <w:w w:val="68"/>
          <w:sz w:val="18"/>
          <w:szCs w:val="18"/>
        </w:rPr>
        <w:t>e</w:t>
      </w:r>
      <w:r w:rsidRPr="001D6EC3">
        <w:rPr>
          <w:rFonts w:ascii="Century" w:hAnsi="Century"/>
          <w:spacing w:val="-2"/>
          <w:w w:val="69"/>
          <w:sz w:val="18"/>
          <w:szCs w:val="18"/>
        </w:rPr>
        <w:t>n</w:t>
      </w:r>
      <w:r w:rsidRPr="001D6EC3">
        <w:rPr>
          <w:rFonts w:ascii="Century" w:hAnsi="Century"/>
          <w:spacing w:val="1"/>
          <w:w w:val="63"/>
          <w:sz w:val="18"/>
          <w:szCs w:val="18"/>
        </w:rPr>
        <w:t>t</w:t>
      </w:r>
      <w:r w:rsidRPr="001D6EC3">
        <w:rPr>
          <w:rFonts w:ascii="Century" w:hAnsi="Century"/>
          <w:spacing w:val="-1"/>
          <w:w w:val="68"/>
          <w:sz w:val="18"/>
          <w:szCs w:val="18"/>
        </w:rPr>
        <w:t>e</w:t>
      </w:r>
      <w:r w:rsidRPr="001D6EC3">
        <w:rPr>
          <w:rFonts w:ascii="Century" w:hAnsi="Century"/>
          <w:spacing w:val="-3"/>
          <w:w w:val="68"/>
          <w:sz w:val="18"/>
          <w:szCs w:val="18"/>
        </w:rPr>
        <w:t>n</w:t>
      </w:r>
      <w:r w:rsidRPr="001D6EC3">
        <w:rPr>
          <w:rFonts w:ascii="Century" w:hAnsi="Century"/>
          <w:spacing w:val="2"/>
          <w:w w:val="74"/>
          <w:sz w:val="18"/>
          <w:szCs w:val="18"/>
        </w:rPr>
        <w:t>c</w:t>
      </w:r>
      <w:r w:rsidRPr="001D6EC3">
        <w:rPr>
          <w:rFonts w:ascii="Century" w:hAnsi="Century"/>
          <w:spacing w:val="-2"/>
          <w:w w:val="62"/>
          <w:sz w:val="18"/>
          <w:szCs w:val="18"/>
        </w:rPr>
        <w:t>i</w:t>
      </w:r>
      <w:r w:rsidRPr="001D6EC3">
        <w:rPr>
          <w:rFonts w:ascii="Century" w:hAnsi="Century"/>
          <w:w w:val="71"/>
          <w:sz w:val="18"/>
          <w:szCs w:val="18"/>
        </w:rPr>
        <w:t>a</w:t>
      </w:r>
      <w:r w:rsidRPr="001D6EC3">
        <w:rPr>
          <w:rFonts w:ascii="Century" w:hAnsi="Century"/>
          <w:spacing w:val="-24"/>
          <w:sz w:val="18"/>
          <w:szCs w:val="18"/>
        </w:rPr>
        <w:t xml:space="preserve"> </w:t>
      </w:r>
      <w:r w:rsidRPr="001D6EC3">
        <w:rPr>
          <w:rFonts w:ascii="Century" w:hAnsi="Century"/>
          <w:w w:val="67"/>
          <w:sz w:val="18"/>
          <w:szCs w:val="18"/>
        </w:rPr>
        <w:t>d</w:t>
      </w:r>
      <w:r w:rsidRPr="001D6EC3">
        <w:rPr>
          <w:rFonts w:ascii="Century" w:hAnsi="Century"/>
          <w:spacing w:val="2"/>
          <w:w w:val="67"/>
          <w:sz w:val="18"/>
          <w:szCs w:val="18"/>
        </w:rPr>
        <w:t>e</w:t>
      </w:r>
      <w:r w:rsidRPr="001D6EC3">
        <w:rPr>
          <w:rFonts w:ascii="Century" w:hAnsi="Century"/>
          <w:w w:val="60"/>
          <w:sz w:val="18"/>
          <w:szCs w:val="18"/>
        </w:rPr>
        <w:t>l</w:t>
      </w:r>
      <w:r w:rsidRPr="001D6EC3">
        <w:rPr>
          <w:rFonts w:ascii="Century" w:hAnsi="Century"/>
          <w:spacing w:val="-27"/>
          <w:sz w:val="18"/>
          <w:szCs w:val="18"/>
        </w:rPr>
        <w:t xml:space="preserve"> </w:t>
      </w:r>
      <w:r w:rsidRPr="001D6EC3">
        <w:rPr>
          <w:rFonts w:ascii="Century" w:hAnsi="Century"/>
          <w:spacing w:val="-1"/>
          <w:w w:val="59"/>
          <w:sz w:val="18"/>
          <w:szCs w:val="18"/>
        </w:rPr>
        <w:t>1</w:t>
      </w:r>
      <w:r w:rsidRPr="001D6EC3">
        <w:rPr>
          <w:rFonts w:ascii="Century" w:hAnsi="Century"/>
          <w:w w:val="59"/>
          <w:sz w:val="18"/>
          <w:szCs w:val="18"/>
        </w:rPr>
        <w:t>9</w:t>
      </w:r>
      <w:r w:rsidRPr="001D6EC3">
        <w:rPr>
          <w:rFonts w:ascii="Century" w:hAnsi="Century"/>
          <w:spacing w:val="-27"/>
          <w:sz w:val="18"/>
          <w:szCs w:val="18"/>
        </w:rPr>
        <w:t xml:space="preserve"> </w:t>
      </w:r>
      <w:r w:rsidRPr="001D6EC3">
        <w:rPr>
          <w:rFonts w:ascii="Century" w:hAnsi="Century"/>
          <w:w w:val="67"/>
          <w:sz w:val="18"/>
          <w:szCs w:val="18"/>
        </w:rPr>
        <w:t>de</w:t>
      </w:r>
      <w:r w:rsidRPr="001D6EC3">
        <w:rPr>
          <w:rFonts w:ascii="Century" w:hAnsi="Century"/>
          <w:spacing w:val="-25"/>
          <w:sz w:val="18"/>
          <w:szCs w:val="18"/>
        </w:rPr>
        <w:t xml:space="preserve"> </w:t>
      </w:r>
      <w:r w:rsidRPr="001D6EC3">
        <w:rPr>
          <w:rFonts w:ascii="Century" w:hAnsi="Century"/>
          <w:spacing w:val="-2"/>
          <w:w w:val="48"/>
          <w:sz w:val="18"/>
          <w:szCs w:val="18"/>
        </w:rPr>
        <w:t>j</w:t>
      </w:r>
      <w:r w:rsidRPr="001D6EC3">
        <w:rPr>
          <w:rFonts w:ascii="Century" w:hAnsi="Century"/>
          <w:w w:val="69"/>
          <w:sz w:val="18"/>
          <w:szCs w:val="18"/>
        </w:rPr>
        <w:t>un</w:t>
      </w:r>
      <w:r w:rsidRPr="001D6EC3">
        <w:rPr>
          <w:rFonts w:ascii="Century" w:hAnsi="Century"/>
          <w:spacing w:val="-2"/>
          <w:w w:val="62"/>
          <w:sz w:val="18"/>
          <w:szCs w:val="18"/>
        </w:rPr>
        <w:t>i</w:t>
      </w:r>
      <w:r w:rsidRPr="001D6EC3">
        <w:rPr>
          <w:rFonts w:ascii="Century" w:hAnsi="Century"/>
          <w:w w:val="70"/>
          <w:sz w:val="18"/>
          <w:szCs w:val="18"/>
        </w:rPr>
        <w:t>o</w:t>
      </w:r>
      <w:r w:rsidRPr="001D6EC3">
        <w:rPr>
          <w:rFonts w:ascii="Century" w:hAnsi="Century"/>
          <w:spacing w:val="-25"/>
          <w:sz w:val="18"/>
          <w:szCs w:val="18"/>
        </w:rPr>
        <w:t xml:space="preserve"> </w:t>
      </w:r>
      <w:r w:rsidRPr="001D6EC3">
        <w:rPr>
          <w:rFonts w:ascii="Century" w:hAnsi="Century"/>
          <w:w w:val="67"/>
          <w:sz w:val="18"/>
          <w:szCs w:val="18"/>
        </w:rPr>
        <w:t>de</w:t>
      </w:r>
      <w:r w:rsidRPr="001D6EC3">
        <w:rPr>
          <w:rFonts w:ascii="Century" w:hAnsi="Century"/>
          <w:spacing w:val="-25"/>
          <w:sz w:val="18"/>
          <w:szCs w:val="18"/>
        </w:rPr>
        <w:t xml:space="preserve"> </w:t>
      </w:r>
      <w:r w:rsidRPr="001D6EC3">
        <w:rPr>
          <w:rFonts w:ascii="Century" w:hAnsi="Century"/>
          <w:spacing w:val="2"/>
          <w:w w:val="74"/>
          <w:sz w:val="18"/>
          <w:szCs w:val="18"/>
        </w:rPr>
        <w:t>2</w:t>
      </w:r>
      <w:r w:rsidRPr="001D6EC3">
        <w:rPr>
          <w:rFonts w:ascii="Century" w:hAnsi="Century"/>
          <w:spacing w:val="-1"/>
          <w:w w:val="82"/>
          <w:sz w:val="18"/>
          <w:szCs w:val="18"/>
        </w:rPr>
        <w:t>0</w:t>
      </w:r>
      <w:r w:rsidRPr="001D6EC3">
        <w:rPr>
          <w:rFonts w:ascii="Century" w:hAnsi="Century"/>
          <w:spacing w:val="-1"/>
          <w:w w:val="60"/>
          <w:sz w:val="18"/>
          <w:szCs w:val="18"/>
        </w:rPr>
        <w:t>18</w:t>
      </w:r>
      <w:r w:rsidRPr="001D6EC3">
        <w:rPr>
          <w:rFonts w:ascii="Century" w:hAnsi="Century"/>
          <w:w w:val="45"/>
          <w:sz w:val="18"/>
          <w:szCs w:val="18"/>
        </w:rPr>
        <w:t>,</w:t>
      </w:r>
      <w:r w:rsidRPr="001D6EC3">
        <w:rPr>
          <w:rFonts w:ascii="Century" w:hAnsi="Century"/>
          <w:spacing w:val="-24"/>
          <w:sz w:val="18"/>
          <w:szCs w:val="18"/>
        </w:rPr>
        <w:t xml:space="preserve"> </w:t>
      </w:r>
      <w:r w:rsidRPr="001D6EC3">
        <w:rPr>
          <w:rFonts w:ascii="Century" w:hAnsi="Century"/>
          <w:spacing w:val="-1"/>
          <w:w w:val="77"/>
          <w:sz w:val="18"/>
          <w:szCs w:val="18"/>
        </w:rPr>
        <w:t>r</w:t>
      </w:r>
      <w:r w:rsidRPr="001D6EC3">
        <w:rPr>
          <w:rFonts w:ascii="Century" w:hAnsi="Century"/>
          <w:w w:val="77"/>
          <w:sz w:val="18"/>
          <w:szCs w:val="18"/>
        </w:rPr>
        <w:t>a</w:t>
      </w:r>
      <w:r w:rsidRPr="001D6EC3">
        <w:rPr>
          <w:rFonts w:ascii="Century" w:hAnsi="Century"/>
          <w:w w:val="65"/>
          <w:sz w:val="18"/>
          <w:szCs w:val="18"/>
        </w:rPr>
        <w:t>d</w:t>
      </w:r>
      <w:r w:rsidRPr="001D6EC3">
        <w:rPr>
          <w:rFonts w:ascii="Century" w:hAnsi="Century"/>
          <w:spacing w:val="-2"/>
          <w:w w:val="65"/>
          <w:sz w:val="18"/>
          <w:szCs w:val="18"/>
        </w:rPr>
        <w:t>i</w:t>
      </w:r>
      <w:r w:rsidRPr="001D6EC3">
        <w:rPr>
          <w:rFonts w:ascii="Century" w:hAnsi="Century"/>
          <w:spacing w:val="-1"/>
          <w:w w:val="72"/>
          <w:sz w:val="18"/>
          <w:szCs w:val="18"/>
        </w:rPr>
        <w:t>c</w:t>
      </w:r>
      <w:r w:rsidRPr="001D6EC3">
        <w:rPr>
          <w:rFonts w:ascii="Century" w:hAnsi="Century"/>
          <w:spacing w:val="1"/>
          <w:w w:val="72"/>
          <w:sz w:val="18"/>
          <w:szCs w:val="18"/>
        </w:rPr>
        <w:t>a</w:t>
      </w:r>
      <w:r w:rsidRPr="001D6EC3">
        <w:rPr>
          <w:rFonts w:ascii="Century" w:hAnsi="Century"/>
          <w:w w:val="68"/>
          <w:sz w:val="18"/>
          <w:szCs w:val="18"/>
        </w:rPr>
        <w:t>do</w:t>
      </w:r>
      <w:r w:rsidRPr="001D6EC3">
        <w:rPr>
          <w:rFonts w:ascii="Century" w:hAnsi="Century"/>
          <w:spacing w:val="-27"/>
          <w:sz w:val="18"/>
          <w:szCs w:val="18"/>
        </w:rPr>
        <w:t xml:space="preserve"> </w:t>
      </w:r>
      <w:r w:rsidRPr="001D6EC3">
        <w:rPr>
          <w:rFonts w:ascii="Century" w:hAnsi="Century"/>
          <w:spacing w:val="2"/>
          <w:w w:val="74"/>
          <w:sz w:val="18"/>
          <w:szCs w:val="18"/>
        </w:rPr>
        <w:t>2</w:t>
      </w:r>
      <w:r w:rsidRPr="001D6EC3">
        <w:rPr>
          <w:rFonts w:ascii="Century" w:hAnsi="Century"/>
          <w:spacing w:val="-1"/>
          <w:w w:val="82"/>
          <w:sz w:val="18"/>
          <w:szCs w:val="18"/>
        </w:rPr>
        <w:t>0</w:t>
      </w:r>
      <w:r w:rsidRPr="001D6EC3">
        <w:rPr>
          <w:rFonts w:ascii="Century" w:hAnsi="Century"/>
          <w:spacing w:val="-1"/>
          <w:w w:val="38"/>
          <w:sz w:val="18"/>
          <w:szCs w:val="18"/>
        </w:rPr>
        <w:t>1</w:t>
      </w:r>
      <w:r w:rsidRPr="001D6EC3">
        <w:rPr>
          <w:rFonts w:ascii="Century" w:hAnsi="Century"/>
          <w:spacing w:val="3"/>
          <w:w w:val="38"/>
          <w:sz w:val="18"/>
          <w:szCs w:val="18"/>
        </w:rPr>
        <w:t>1</w:t>
      </w:r>
      <w:r w:rsidRPr="001D6EC3">
        <w:rPr>
          <w:rFonts w:ascii="Century" w:hAnsi="Century"/>
          <w:spacing w:val="1"/>
          <w:w w:val="80"/>
          <w:sz w:val="18"/>
          <w:szCs w:val="18"/>
        </w:rPr>
        <w:t>-</w:t>
      </w:r>
      <w:r w:rsidRPr="001D6EC3">
        <w:rPr>
          <w:rFonts w:ascii="Century" w:hAnsi="Century"/>
          <w:spacing w:val="-1"/>
          <w:w w:val="82"/>
          <w:sz w:val="18"/>
          <w:szCs w:val="18"/>
        </w:rPr>
        <w:t>00</w:t>
      </w:r>
      <w:r w:rsidRPr="001D6EC3">
        <w:rPr>
          <w:rFonts w:ascii="Century" w:hAnsi="Century"/>
          <w:spacing w:val="-1"/>
          <w:w w:val="59"/>
          <w:sz w:val="18"/>
          <w:szCs w:val="18"/>
        </w:rPr>
        <w:t>1</w:t>
      </w:r>
      <w:r w:rsidRPr="001D6EC3">
        <w:rPr>
          <w:rFonts w:ascii="Century" w:hAnsi="Century"/>
          <w:w w:val="59"/>
          <w:sz w:val="18"/>
          <w:szCs w:val="18"/>
        </w:rPr>
        <w:t>9</w:t>
      </w:r>
      <w:r w:rsidRPr="001D6EC3">
        <w:rPr>
          <w:rFonts w:ascii="Century" w:hAnsi="Century"/>
          <w:spacing w:val="2"/>
          <w:w w:val="80"/>
          <w:sz w:val="18"/>
          <w:szCs w:val="18"/>
        </w:rPr>
        <w:t>3</w:t>
      </w:r>
      <w:r w:rsidRPr="001D6EC3">
        <w:rPr>
          <w:rFonts w:ascii="Century" w:hAnsi="Century"/>
          <w:spacing w:val="1"/>
          <w:w w:val="80"/>
          <w:sz w:val="18"/>
          <w:szCs w:val="18"/>
        </w:rPr>
        <w:t>-</w:t>
      </w:r>
      <w:r w:rsidRPr="001D6EC3">
        <w:rPr>
          <w:rFonts w:ascii="Century" w:hAnsi="Century"/>
          <w:spacing w:val="-1"/>
          <w:w w:val="82"/>
          <w:sz w:val="18"/>
          <w:szCs w:val="18"/>
        </w:rPr>
        <w:t>0</w:t>
      </w:r>
      <w:r w:rsidRPr="001D6EC3">
        <w:rPr>
          <w:rFonts w:ascii="Century" w:hAnsi="Century"/>
          <w:spacing w:val="-1"/>
          <w:w w:val="41"/>
          <w:sz w:val="18"/>
          <w:szCs w:val="18"/>
        </w:rPr>
        <w:t>1.</w:t>
      </w:r>
    </w:p>
  </w:footnote>
  <w:footnote w:id="20">
    <w:p w14:paraId="42DBFB9E" w14:textId="77777777" w:rsidR="00A64774" w:rsidRPr="001D6EC3" w:rsidRDefault="00A64774" w:rsidP="001D6EC3">
      <w:pPr>
        <w:pStyle w:val="Textonotapie"/>
        <w:jc w:val="both"/>
        <w:rPr>
          <w:rFonts w:ascii="Century" w:hAnsi="Century"/>
          <w:sz w:val="18"/>
          <w:szCs w:val="18"/>
          <w:lang w:val="es-419"/>
        </w:rPr>
      </w:pPr>
      <w:r w:rsidRPr="001D6EC3">
        <w:rPr>
          <w:rStyle w:val="Refdenotaalpie"/>
          <w:rFonts w:ascii="Century" w:hAnsi="Century"/>
          <w:sz w:val="18"/>
          <w:szCs w:val="18"/>
        </w:rPr>
        <w:footnoteRef/>
      </w:r>
      <w:r w:rsidRPr="001D6EC3">
        <w:rPr>
          <w:rFonts w:ascii="Century" w:hAnsi="Century"/>
          <w:sz w:val="18"/>
          <w:szCs w:val="18"/>
        </w:rPr>
        <w:t xml:space="preserve"> </w:t>
      </w:r>
      <w:r w:rsidRPr="001D6EC3">
        <w:rPr>
          <w:rFonts w:ascii="Century" w:hAnsi="Century"/>
          <w:spacing w:val="-1"/>
          <w:w w:val="70"/>
          <w:sz w:val="18"/>
          <w:szCs w:val="18"/>
        </w:rPr>
        <w:t>Sentencia</w:t>
      </w:r>
      <w:r w:rsidRPr="001D6EC3">
        <w:rPr>
          <w:rFonts w:ascii="Century" w:hAnsi="Century"/>
          <w:spacing w:val="-2"/>
          <w:w w:val="70"/>
          <w:sz w:val="18"/>
          <w:szCs w:val="18"/>
        </w:rPr>
        <w:t xml:space="preserve"> </w:t>
      </w:r>
      <w:r w:rsidRPr="001D6EC3">
        <w:rPr>
          <w:rFonts w:ascii="Century" w:hAnsi="Century"/>
          <w:w w:val="70"/>
          <w:sz w:val="18"/>
          <w:szCs w:val="18"/>
        </w:rPr>
        <w:t>del</w:t>
      </w:r>
      <w:r w:rsidRPr="001D6EC3">
        <w:rPr>
          <w:rFonts w:ascii="Century" w:hAnsi="Century"/>
          <w:spacing w:val="-5"/>
          <w:w w:val="70"/>
          <w:sz w:val="18"/>
          <w:szCs w:val="18"/>
        </w:rPr>
        <w:t xml:space="preserve"> </w:t>
      </w:r>
      <w:r w:rsidRPr="001D6EC3">
        <w:rPr>
          <w:rFonts w:ascii="Century" w:hAnsi="Century"/>
          <w:w w:val="70"/>
          <w:sz w:val="18"/>
          <w:szCs w:val="18"/>
        </w:rPr>
        <w:t>19</w:t>
      </w:r>
      <w:r w:rsidRPr="001D6EC3">
        <w:rPr>
          <w:rFonts w:ascii="Century" w:hAnsi="Century"/>
          <w:spacing w:val="-5"/>
          <w:w w:val="70"/>
          <w:sz w:val="18"/>
          <w:szCs w:val="18"/>
        </w:rPr>
        <w:t xml:space="preserve"> </w:t>
      </w:r>
      <w:r w:rsidRPr="001D6EC3">
        <w:rPr>
          <w:rFonts w:ascii="Century" w:hAnsi="Century"/>
          <w:w w:val="70"/>
          <w:sz w:val="18"/>
          <w:szCs w:val="18"/>
        </w:rPr>
        <w:t>de</w:t>
      </w:r>
      <w:r w:rsidRPr="001D6EC3">
        <w:rPr>
          <w:rFonts w:ascii="Century" w:hAnsi="Century"/>
          <w:spacing w:val="-3"/>
          <w:w w:val="70"/>
          <w:sz w:val="18"/>
          <w:szCs w:val="18"/>
        </w:rPr>
        <w:t xml:space="preserve"> </w:t>
      </w:r>
      <w:r w:rsidRPr="001D6EC3">
        <w:rPr>
          <w:rFonts w:ascii="Century" w:hAnsi="Century"/>
          <w:w w:val="70"/>
          <w:sz w:val="18"/>
          <w:szCs w:val="18"/>
        </w:rPr>
        <w:t>junio</w:t>
      </w:r>
      <w:r w:rsidRPr="001D6EC3">
        <w:rPr>
          <w:rFonts w:ascii="Century" w:hAnsi="Century"/>
          <w:spacing w:val="-3"/>
          <w:w w:val="70"/>
          <w:sz w:val="18"/>
          <w:szCs w:val="18"/>
        </w:rPr>
        <w:t xml:space="preserve"> </w:t>
      </w:r>
      <w:r w:rsidRPr="001D6EC3">
        <w:rPr>
          <w:rFonts w:ascii="Century" w:hAnsi="Century"/>
          <w:w w:val="70"/>
          <w:sz w:val="18"/>
          <w:szCs w:val="18"/>
        </w:rPr>
        <w:t>de</w:t>
      </w:r>
      <w:r w:rsidRPr="001D6EC3">
        <w:rPr>
          <w:rFonts w:ascii="Century" w:hAnsi="Century"/>
          <w:spacing w:val="-3"/>
          <w:w w:val="70"/>
          <w:sz w:val="18"/>
          <w:szCs w:val="18"/>
        </w:rPr>
        <w:t xml:space="preserve"> </w:t>
      </w:r>
      <w:r w:rsidRPr="001D6EC3">
        <w:rPr>
          <w:rFonts w:ascii="Century" w:hAnsi="Century"/>
          <w:w w:val="70"/>
          <w:sz w:val="18"/>
          <w:szCs w:val="18"/>
        </w:rPr>
        <w:t>2020,</w:t>
      </w:r>
      <w:r w:rsidRPr="001D6EC3">
        <w:rPr>
          <w:rFonts w:ascii="Century" w:hAnsi="Century"/>
          <w:spacing w:val="-5"/>
          <w:w w:val="70"/>
          <w:sz w:val="18"/>
          <w:szCs w:val="18"/>
        </w:rPr>
        <w:t xml:space="preserve"> </w:t>
      </w:r>
      <w:r w:rsidRPr="001D6EC3">
        <w:rPr>
          <w:rFonts w:ascii="Century" w:hAnsi="Century"/>
          <w:w w:val="70"/>
          <w:sz w:val="18"/>
          <w:szCs w:val="18"/>
        </w:rPr>
        <w:t>radicado</w:t>
      </w:r>
      <w:r w:rsidRPr="001D6EC3">
        <w:rPr>
          <w:rFonts w:ascii="Century" w:hAnsi="Century"/>
          <w:spacing w:val="-5"/>
          <w:w w:val="70"/>
          <w:sz w:val="18"/>
          <w:szCs w:val="18"/>
        </w:rPr>
        <w:t xml:space="preserve"> </w:t>
      </w:r>
      <w:r w:rsidRPr="001D6EC3">
        <w:rPr>
          <w:rFonts w:ascii="Century" w:hAnsi="Century"/>
          <w:w w:val="70"/>
          <w:sz w:val="18"/>
          <w:szCs w:val="18"/>
        </w:rPr>
        <w:t>2019-00046-01,</w:t>
      </w:r>
      <w:r w:rsidRPr="001D6EC3">
        <w:rPr>
          <w:rFonts w:ascii="Century" w:hAnsi="Century"/>
          <w:spacing w:val="-3"/>
          <w:w w:val="70"/>
          <w:sz w:val="18"/>
          <w:szCs w:val="18"/>
        </w:rPr>
        <w:t xml:space="preserve"> </w:t>
      </w:r>
      <w:r w:rsidRPr="001D6EC3">
        <w:rPr>
          <w:rFonts w:ascii="Century" w:hAnsi="Century"/>
          <w:w w:val="70"/>
          <w:sz w:val="18"/>
          <w:szCs w:val="18"/>
        </w:rPr>
        <w:t>M.P.</w:t>
      </w:r>
      <w:r w:rsidRPr="001D6EC3">
        <w:rPr>
          <w:rFonts w:ascii="Century" w:hAnsi="Century"/>
          <w:spacing w:val="-5"/>
          <w:w w:val="70"/>
          <w:sz w:val="18"/>
          <w:szCs w:val="18"/>
        </w:rPr>
        <w:t xml:space="preserve"> </w:t>
      </w:r>
      <w:r w:rsidRPr="001D6EC3">
        <w:rPr>
          <w:rFonts w:ascii="Century" w:hAnsi="Century"/>
          <w:w w:val="70"/>
          <w:sz w:val="18"/>
          <w:szCs w:val="18"/>
        </w:rPr>
        <w:t>Duberney</w:t>
      </w:r>
      <w:r w:rsidRPr="001D6EC3">
        <w:rPr>
          <w:rFonts w:ascii="Century" w:hAnsi="Century"/>
          <w:spacing w:val="-2"/>
          <w:w w:val="70"/>
          <w:sz w:val="18"/>
          <w:szCs w:val="18"/>
        </w:rPr>
        <w:t xml:space="preserve"> </w:t>
      </w:r>
      <w:r w:rsidRPr="001D6EC3">
        <w:rPr>
          <w:rFonts w:ascii="Century" w:hAnsi="Century"/>
          <w:w w:val="70"/>
          <w:sz w:val="18"/>
          <w:szCs w:val="18"/>
        </w:rPr>
        <w:t>Grisales</w:t>
      </w:r>
      <w:r w:rsidRPr="001D6EC3">
        <w:rPr>
          <w:rFonts w:ascii="Century" w:hAnsi="Century"/>
          <w:spacing w:val="-1"/>
          <w:w w:val="70"/>
          <w:sz w:val="18"/>
          <w:szCs w:val="18"/>
        </w:rPr>
        <w:t xml:space="preserve"> </w:t>
      </w:r>
      <w:r w:rsidRPr="001D6EC3">
        <w:rPr>
          <w:rFonts w:ascii="Century" w:hAnsi="Century"/>
          <w:w w:val="70"/>
          <w:sz w:val="18"/>
          <w:szCs w:val="18"/>
        </w:rPr>
        <w:t>Herrera.</w:t>
      </w:r>
    </w:p>
  </w:footnote>
  <w:footnote w:id="21">
    <w:p w14:paraId="0C50BCC2" w14:textId="77777777" w:rsidR="00A64774" w:rsidRPr="001D6EC3" w:rsidRDefault="00A64774" w:rsidP="001D6EC3">
      <w:pPr>
        <w:pStyle w:val="Textonotapie"/>
        <w:jc w:val="both"/>
        <w:rPr>
          <w:rFonts w:ascii="Century" w:hAnsi="Century"/>
          <w:sz w:val="18"/>
          <w:szCs w:val="18"/>
          <w:lang w:val="es-419"/>
        </w:rPr>
      </w:pPr>
      <w:r w:rsidRPr="001D6EC3">
        <w:rPr>
          <w:rStyle w:val="Refdenotaalpie"/>
          <w:rFonts w:ascii="Century" w:hAnsi="Century"/>
          <w:sz w:val="18"/>
          <w:szCs w:val="18"/>
        </w:rPr>
        <w:footnoteRef/>
      </w:r>
      <w:r w:rsidRPr="001D6EC3">
        <w:rPr>
          <w:rFonts w:ascii="Century" w:hAnsi="Century"/>
          <w:sz w:val="18"/>
          <w:szCs w:val="18"/>
        </w:rPr>
        <w:t xml:space="preserve"> </w:t>
      </w:r>
      <w:r w:rsidRPr="001D6EC3">
        <w:rPr>
          <w:rFonts w:ascii="Century" w:hAnsi="Century"/>
          <w:spacing w:val="5"/>
          <w:w w:val="86"/>
          <w:sz w:val="18"/>
          <w:szCs w:val="18"/>
        </w:rPr>
        <w:t>S</w:t>
      </w:r>
      <w:r w:rsidRPr="001D6EC3">
        <w:rPr>
          <w:rFonts w:ascii="Century" w:hAnsi="Century"/>
          <w:spacing w:val="-8"/>
          <w:w w:val="58"/>
          <w:sz w:val="18"/>
          <w:szCs w:val="18"/>
        </w:rPr>
        <w:t>T</w:t>
      </w:r>
      <w:r w:rsidRPr="001D6EC3">
        <w:rPr>
          <w:rFonts w:ascii="Century" w:hAnsi="Century"/>
          <w:spacing w:val="1"/>
          <w:w w:val="70"/>
          <w:sz w:val="18"/>
          <w:szCs w:val="18"/>
        </w:rPr>
        <w:t>C</w:t>
      </w:r>
      <w:r w:rsidRPr="001D6EC3">
        <w:rPr>
          <w:rFonts w:ascii="Century" w:hAnsi="Century"/>
          <w:spacing w:val="1"/>
          <w:w w:val="80"/>
          <w:sz w:val="18"/>
          <w:szCs w:val="18"/>
        </w:rPr>
        <w:t>9</w:t>
      </w:r>
      <w:r w:rsidRPr="001D6EC3">
        <w:rPr>
          <w:rFonts w:ascii="Century" w:hAnsi="Century"/>
          <w:spacing w:val="4"/>
          <w:w w:val="78"/>
          <w:sz w:val="18"/>
          <w:szCs w:val="18"/>
        </w:rPr>
        <w:t>5</w:t>
      </w:r>
      <w:r w:rsidRPr="001D6EC3">
        <w:rPr>
          <w:rFonts w:ascii="Century" w:hAnsi="Century"/>
          <w:spacing w:val="-1"/>
          <w:w w:val="75"/>
          <w:sz w:val="18"/>
          <w:szCs w:val="18"/>
        </w:rPr>
        <w:t>87</w:t>
      </w:r>
      <w:r w:rsidRPr="001D6EC3">
        <w:rPr>
          <w:rFonts w:ascii="Century" w:hAnsi="Century"/>
          <w:spacing w:val="-2"/>
          <w:w w:val="80"/>
          <w:sz w:val="18"/>
          <w:szCs w:val="18"/>
        </w:rPr>
        <w:t>-</w:t>
      </w:r>
      <w:r w:rsidRPr="001D6EC3">
        <w:rPr>
          <w:rFonts w:ascii="Century" w:hAnsi="Century"/>
          <w:spacing w:val="2"/>
          <w:w w:val="74"/>
          <w:sz w:val="18"/>
          <w:szCs w:val="18"/>
        </w:rPr>
        <w:t>2</w:t>
      </w:r>
      <w:r w:rsidRPr="001D6EC3">
        <w:rPr>
          <w:rFonts w:ascii="Century" w:hAnsi="Century"/>
          <w:spacing w:val="-1"/>
          <w:w w:val="82"/>
          <w:sz w:val="18"/>
          <w:szCs w:val="18"/>
        </w:rPr>
        <w:t>0</w:t>
      </w:r>
      <w:r w:rsidRPr="001D6EC3">
        <w:rPr>
          <w:rFonts w:ascii="Century" w:hAnsi="Century"/>
          <w:spacing w:val="-1"/>
          <w:w w:val="53"/>
          <w:sz w:val="18"/>
          <w:szCs w:val="18"/>
        </w:rPr>
        <w:t>1</w:t>
      </w:r>
      <w:r w:rsidRPr="001D6EC3">
        <w:rPr>
          <w:rFonts w:ascii="Century" w:hAnsi="Century"/>
          <w:w w:val="53"/>
          <w:sz w:val="18"/>
          <w:szCs w:val="18"/>
        </w:rPr>
        <w:t>7</w:t>
      </w:r>
      <w:r w:rsidRPr="001D6EC3">
        <w:rPr>
          <w:rFonts w:ascii="Century" w:hAnsi="Century"/>
          <w:w w:val="45"/>
          <w:sz w:val="18"/>
          <w:szCs w:val="18"/>
        </w:rPr>
        <w:t>,</w:t>
      </w:r>
      <w:r w:rsidRPr="001D6EC3">
        <w:rPr>
          <w:rFonts w:ascii="Century" w:hAnsi="Century"/>
          <w:spacing w:val="-27"/>
          <w:sz w:val="18"/>
          <w:szCs w:val="18"/>
        </w:rPr>
        <w:t xml:space="preserve"> </w:t>
      </w:r>
      <w:r w:rsidRPr="001D6EC3">
        <w:rPr>
          <w:rFonts w:ascii="Century" w:hAnsi="Century"/>
          <w:spacing w:val="5"/>
          <w:w w:val="86"/>
          <w:sz w:val="18"/>
          <w:szCs w:val="18"/>
        </w:rPr>
        <w:t>S</w:t>
      </w:r>
      <w:r w:rsidRPr="001D6EC3">
        <w:rPr>
          <w:rFonts w:ascii="Century" w:hAnsi="Century"/>
          <w:spacing w:val="-8"/>
          <w:w w:val="58"/>
          <w:sz w:val="18"/>
          <w:szCs w:val="18"/>
        </w:rPr>
        <w:t>T</w:t>
      </w:r>
      <w:r w:rsidRPr="001D6EC3">
        <w:rPr>
          <w:rFonts w:ascii="Century" w:hAnsi="Century"/>
          <w:spacing w:val="1"/>
          <w:w w:val="70"/>
          <w:sz w:val="18"/>
          <w:szCs w:val="18"/>
        </w:rPr>
        <w:t>C</w:t>
      </w:r>
      <w:r w:rsidRPr="001D6EC3">
        <w:rPr>
          <w:rFonts w:ascii="Century" w:hAnsi="Century"/>
          <w:spacing w:val="-1"/>
          <w:w w:val="58"/>
          <w:sz w:val="18"/>
          <w:szCs w:val="18"/>
        </w:rPr>
        <w:t>1</w:t>
      </w:r>
      <w:r w:rsidRPr="001D6EC3">
        <w:rPr>
          <w:rFonts w:ascii="Century" w:hAnsi="Century"/>
          <w:spacing w:val="1"/>
          <w:w w:val="58"/>
          <w:sz w:val="18"/>
          <w:szCs w:val="18"/>
        </w:rPr>
        <w:t>5</w:t>
      </w:r>
      <w:r w:rsidRPr="001D6EC3">
        <w:rPr>
          <w:rFonts w:ascii="Century" w:hAnsi="Century"/>
          <w:spacing w:val="-1"/>
          <w:w w:val="71"/>
          <w:sz w:val="18"/>
          <w:szCs w:val="18"/>
        </w:rPr>
        <w:t>2</w:t>
      </w:r>
      <w:r w:rsidRPr="001D6EC3">
        <w:rPr>
          <w:rFonts w:ascii="Century" w:hAnsi="Century"/>
          <w:spacing w:val="1"/>
          <w:w w:val="71"/>
          <w:sz w:val="18"/>
          <w:szCs w:val="18"/>
        </w:rPr>
        <w:t>7</w:t>
      </w:r>
      <w:r w:rsidRPr="001D6EC3">
        <w:rPr>
          <w:rFonts w:ascii="Century" w:hAnsi="Century"/>
          <w:spacing w:val="1"/>
          <w:w w:val="80"/>
          <w:sz w:val="18"/>
          <w:szCs w:val="18"/>
        </w:rPr>
        <w:t>3</w:t>
      </w:r>
      <w:r w:rsidRPr="001D6EC3">
        <w:rPr>
          <w:rFonts w:ascii="Century" w:hAnsi="Century"/>
          <w:spacing w:val="-2"/>
          <w:w w:val="80"/>
          <w:sz w:val="18"/>
          <w:szCs w:val="18"/>
        </w:rPr>
        <w:t>-</w:t>
      </w:r>
      <w:r w:rsidRPr="001D6EC3">
        <w:rPr>
          <w:rFonts w:ascii="Century" w:hAnsi="Century"/>
          <w:spacing w:val="2"/>
          <w:w w:val="74"/>
          <w:sz w:val="18"/>
          <w:szCs w:val="18"/>
        </w:rPr>
        <w:t>2</w:t>
      </w:r>
      <w:r w:rsidRPr="001D6EC3">
        <w:rPr>
          <w:rFonts w:ascii="Century" w:hAnsi="Century"/>
          <w:spacing w:val="-1"/>
          <w:w w:val="82"/>
          <w:sz w:val="18"/>
          <w:szCs w:val="18"/>
        </w:rPr>
        <w:t>0</w:t>
      </w:r>
      <w:r w:rsidRPr="001D6EC3">
        <w:rPr>
          <w:rFonts w:ascii="Century" w:hAnsi="Century"/>
          <w:spacing w:val="-1"/>
          <w:w w:val="59"/>
          <w:sz w:val="18"/>
          <w:szCs w:val="18"/>
        </w:rPr>
        <w:t>1</w:t>
      </w:r>
      <w:r w:rsidRPr="001D6EC3">
        <w:rPr>
          <w:rFonts w:ascii="Century" w:hAnsi="Century"/>
          <w:w w:val="59"/>
          <w:sz w:val="18"/>
          <w:szCs w:val="18"/>
        </w:rPr>
        <w:t>9</w:t>
      </w:r>
      <w:r w:rsidRPr="001D6EC3">
        <w:rPr>
          <w:rFonts w:ascii="Century" w:hAnsi="Century"/>
          <w:w w:val="45"/>
          <w:sz w:val="18"/>
          <w:szCs w:val="18"/>
        </w:rPr>
        <w:t>,</w:t>
      </w:r>
      <w:r w:rsidRPr="001D6EC3">
        <w:rPr>
          <w:rFonts w:ascii="Century" w:hAnsi="Century"/>
          <w:spacing w:val="-27"/>
          <w:sz w:val="18"/>
          <w:szCs w:val="18"/>
        </w:rPr>
        <w:t xml:space="preserve"> </w:t>
      </w:r>
      <w:r w:rsidRPr="001D6EC3">
        <w:rPr>
          <w:rFonts w:ascii="Century" w:hAnsi="Century"/>
          <w:spacing w:val="5"/>
          <w:w w:val="86"/>
          <w:sz w:val="18"/>
          <w:szCs w:val="18"/>
        </w:rPr>
        <w:t>S</w:t>
      </w:r>
      <w:r w:rsidRPr="001D6EC3">
        <w:rPr>
          <w:rFonts w:ascii="Century" w:hAnsi="Century"/>
          <w:spacing w:val="-8"/>
          <w:w w:val="58"/>
          <w:sz w:val="18"/>
          <w:szCs w:val="18"/>
        </w:rPr>
        <w:t>T</w:t>
      </w:r>
      <w:r w:rsidRPr="001D6EC3">
        <w:rPr>
          <w:rFonts w:ascii="Century" w:hAnsi="Century"/>
          <w:spacing w:val="1"/>
          <w:w w:val="70"/>
          <w:sz w:val="18"/>
          <w:szCs w:val="18"/>
        </w:rPr>
        <w:t>C</w:t>
      </w:r>
      <w:r w:rsidRPr="001D6EC3">
        <w:rPr>
          <w:rFonts w:ascii="Century" w:hAnsi="Century"/>
          <w:spacing w:val="-1"/>
          <w:w w:val="38"/>
          <w:sz w:val="18"/>
          <w:szCs w:val="18"/>
        </w:rPr>
        <w:t>1</w:t>
      </w:r>
      <w:r w:rsidRPr="001D6EC3">
        <w:rPr>
          <w:rFonts w:ascii="Century" w:hAnsi="Century"/>
          <w:spacing w:val="-2"/>
          <w:w w:val="38"/>
          <w:sz w:val="18"/>
          <w:szCs w:val="18"/>
        </w:rPr>
        <w:t>1</w:t>
      </w:r>
      <w:r w:rsidRPr="001D6EC3">
        <w:rPr>
          <w:rFonts w:ascii="Century" w:hAnsi="Century"/>
          <w:spacing w:val="1"/>
          <w:w w:val="80"/>
          <w:sz w:val="18"/>
          <w:szCs w:val="18"/>
        </w:rPr>
        <w:t>3</w:t>
      </w:r>
      <w:r w:rsidRPr="001D6EC3">
        <w:rPr>
          <w:rFonts w:ascii="Century" w:hAnsi="Century"/>
          <w:spacing w:val="2"/>
          <w:w w:val="74"/>
          <w:sz w:val="18"/>
          <w:szCs w:val="18"/>
        </w:rPr>
        <w:t>2</w:t>
      </w:r>
      <w:r w:rsidRPr="001D6EC3">
        <w:rPr>
          <w:rFonts w:ascii="Century" w:hAnsi="Century"/>
          <w:spacing w:val="1"/>
          <w:w w:val="82"/>
          <w:sz w:val="18"/>
          <w:szCs w:val="18"/>
        </w:rPr>
        <w:t>8</w:t>
      </w:r>
      <w:r w:rsidRPr="001D6EC3">
        <w:rPr>
          <w:rFonts w:ascii="Century" w:hAnsi="Century"/>
          <w:spacing w:val="1"/>
          <w:w w:val="80"/>
          <w:sz w:val="18"/>
          <w:szCs w:val="18"/>
        </w:rPr>
        <w:t>-</w:t>
      </w:r>
      <w:r w:rsidRPr="001D6EC3">
        <w:rPr>
          <w:rFonts w:ascii="Century" w:hAnsi="Century"/>
          <w:spacing w:val="2"/>
          <w:w w:val="74"/>
          <w:sz w:val="18"/>
          <w:szCs w:val="18"/>
        </w:rPr>
        <w:t>2</w:t>
      </w:r>
      <w:r w:rsidRPr="001D6EC3">
        <w:rPr>
          <w:rFonts w:ascii="Century" w:hAnsi="Century"/>
          <w:spacing w:val="-1"/>
          <w:w w:val="82"/>
          <w:sz w:val="18"/>
          <w:szCs w:val="18"/>
        </w:rPr>
        <w:t>0</w:t>
      </w:r>
      <w:r w:rsidRPr="001D6EC3">
        <w:rPr>
          <w:rFonts w:ascii="Century" w:hAnsi="Century"/>
          <w:spacing w:val="-1"/>
          <w:w w:val="59"/>
          <w:sz w:val="18"/>
          <w:szCs w:val="18"/>
        </w:rPr>
        <w:t>1</w:t>
      </w:r>
      <w:r w:rsidRPr="001D6EC3">
        <w:rPr>
          <w:rFonts w:ascii="Century" w:hAnsi="Century"/>
          <w:w w:val="59"/>
          <w:sz w:val="18"/>
          <w:szCs w:val="18"/>
        </w:rPr>
        <w:t>9</w:t>
      </w:r>
      <w:r w:rsidRPr="001D6EC3">
        <w:rPr>
          <w:rFonts w:ascii="Century" w:hAnsi="Century"/>
          <w:spacing w:val="-27"/>
          <w:sz w:val="18"/>
          <w:szCs w:val="18"/>
        </w:rPr>
        <w:t xml:space="preserve"> </w:t>
      </w:r>
      <w:r w:rsidRPr="001D6EC3">
        <w:rPr>
          <w:rFonts w:ascii="Century" w:hAnsi="Century"/>
          <w:w w:val="70"/>
          <w:sz w:val="18"/>
          <w:szCs w:val="18"/>
        </w:rPr>
        <w:t>y</w:t>
      </w:r>
      <w:r w:rsidRPr="001D6EC3">
        <w:rPr>
          <w:rFonts w:ascii="Century" w:hAnsi="Century"/>
          <w:spacing w:val="-27"/>
          <w:sz w:val="18"/>
          <w:szCs w:val="18"/>
        </w:rPr>
        <w:t xml:space="preserve"> </w:t>
      </w:r>
      <w:r w:rsidRPr="001D6EC3">
        <w:rPr>
          <w:rFonts w:ascii="Century" w:hAnsi="Century"/>
          <w:spacing w:val="5"/>
          <w:w w:val="86"/>
          <w:sz w:val="18"/>
          <w:szCs w:val="18"/>
        </w:rPr>
        <w:t>S</w:t>
      </w:r>
      <w:r w:rsidRPr="001D6EC3">
        <w:rPr>
          <w:rFonts w:ascii="Century" w:hAnsi="Century"/>
          <w:spacing w:val="-8"/>
          <w:w w:val="58"/>
          <w:sz w:val="18"/>
          <w:szCs w:val="18"/>
        </w:rPr>
        <w:t>T</w:t>
      </w:r>
      <w:r w:rsidRPr="001D6EC3">
        <w:rPr>
          <w:rFonts w:ascii="Century" w:hAnsi="Century"/>
          <w:spacing w:val="1"/>
          <w:w w:val="70"/>
          <w:sz w:val="18"/>
          <w:szCs w:val="18"/>
        </w:rPr>
        <w:t>C</w:t>
      </w:r>
      <w:r w:rsidRPr="001D6EC3">
        <w:rPr>
          <w:rFonts w:ascii="Century" w:hAnsi="Century"/>
          <w:spacing w:val="-1"/>
          <w:w w:val="60"/>
          <w:sz w:val="18"/>
          <w:szCs w:val="18"/>
        </w:rPr>
        <w:t>1</w:t>
      </w:r>
      <w:r w:rsidRPr="001D6EC3">
        <w:rPr>
          <w:rFonts w:ascii="Century" w:hAnsi="Century"/>
          <w:w w:val="60"/>
          <w:sz w:val="18"/>
          <w:szCs w:val="18"/>
        </w:rPr>
        <w:t>0</w:t>
      </w:r>
      <w:r w:rsidRPr="001D6EC3">
        <w:rPr>
          <w:rFonts w:ascii="Century" w:hAnsi="Century"/>
          <w:w w:val="82"/>
          <w:sz w:val="18"/>
          <w:szCs w:val="18"/>
        </w:rPr>
        <w:t>0</w:t>
      </w:r>
      <w:r w:rsidRPr="001D6EC3">
        <w:rPr>
          <w:rFonts w:ascii="Century" w:hAnsi="Century"/>
          <w:spacing w:val="1"/>
          <w:w w:val="80"/>
          <w:sz w:val="18"/>
          <w:szCs w:val="18"/>
        </w:rPr>
        <w:t>-</w:t>
      </w:r>
      <w:r w:rsidRPr="001D6EC3">
        <w:rPr>
          <w:rFonts w:ascii="Century" w:hAnsi="Century"/>
          <w:spacing w:val="2"/>
          <w:w w:val="74"/>
          <w:sz w:val="18"/>
          <w:szCs w:val="18"/>
        </w:rPr>
        <w:t>2</w:t>
      </w:r>
      <w:r w:rsidRPr="001D6EC3">
        <w:rPr>
          <w:rFonts w:ascii="Century" w:hAnsi="Century"/>
          <w:spacing w:val="-1"/>
          <w:w w:val="82"/>
          <w:sz w:val="18"/>
          <w:szCs w:val="18"/>
        </w:rPr>
        <w:t>0</w:t>
      </w:r>
      <w:r w:rsidRPr="001D6EC3">
        <w:rPr>
          <w:rFonts w:ascii="Century" w:hAnsi="Century"/>
          <w:spacing w:val="-1"/>
          <w:w w:val="59"/>
          <w:sz w:val="18"/>
          <w:szCs w:val="18"/>
        </w:rPr>
        <w:t>1</w:t>
      </w:r>
      <w:r w:rsidRPr="001D6EC3">
        <w:rPr>
          <w:rFonts w:ascii="Century" w:hAnsi="Century"/>
          <w:w w:val="59"/>
          <w:sz w:val="18"/>
          <w:szCs w:val="18"/>
        </w:rPr>
        <w:t>9</w:t>
      </w:r>
    </w:p>
  </w:footnote>
  <w:footnote w:id="22">
    <w:p w14:paraId="10662895" w14:textId="77777777" w:rsidR="00A64774" w:rsidRPr="001D6EC3" w:rsidRDefault="00A64774" w:rsidP="001D6EC3">
      <w:pPr>
        <w:pStyle w:val="Textonotapie"/>
        <w:jc w:val="both"/>
        <w:rPr>
          <w:rFonts w:ascii="Century" w:hAnsi="Century"/>
          <w:sz w:val="18"/>
          <w:szCs w:val="18"/>
          <w:lang w:val="es-419"/>
        </w:rPr>
      </w:pPr>
      <w:r w:rsidRPr="001D6EC3">
        <w:rPr>
          <w:rStyle w:val="Refdenotaalpie"/>
          <w:rFonts w:ascii="Century" w:hAnsi="Century"/>
          <w:sz w:val="18"/>
          <w:szCs w:val="18"/>
        </w:rPr>
        <w:footnoteRef/>
      </w:r>
      <w:r w:rsidRPr="001D6EC3">
        <w:rPr>
          <w:rFonts w:ascii="Century" w:hAnsi="Century"/>
          <w:sz w:val="18"/>
          <w:szCs w:val="18"/>
        </w:rPr>
        <w:t xml:space="preserve"> </w:t>
      </w:r>
      <w:r w:rsidRPr="001D6EC3">
        <w:rPr>
          <w:rFonts w:ascii="Century" w:hAnsi="Century"/>
          <w:spacing w:val="2"/>
          <w:w w:val="86"/>
          <w:sz w:val="18"/>
          <w:szCs w:val="18"/>
        </w:rPr>
        <w:t>S</w:t>
      </w:r>
      <w:r w:rsidRPr="001D6EC3">
        <w:rPr>
          <w:rFonts w:ascii="Century" w:hAnsi="Century"/>
          <w:spacing w:val="-2"/>
          <w:w w:val="70"/>
          <w:sz w:val="18"/>
          <w:szCs w:val="18"/>
        </w:rPr>
        <w:t>C</w:t>
      </w:r>
      <w:r w:rsidRPr="001D6EC3">
        <w:rPr>
          <w:rFonts w:ascii="Century" w:hAnsi="Century"/>
          <w:spacing w:val="-1"/>
          <w:w w:val="77"/>
          <w:sz w:val="18"/>
          <w:szCs w:val="18"/>
        </w:rPr>
        <w:t>23</w:t>
      </w:r>
      <w:r w:rsidRPr="001D6EC3">
        <w:rPr>
          <w:rFonts w:ascii="Century" w:hAnsi="Century"/>
          <w:spacing w:val="3"/>
          <w:w w:val="77"/>
          <w:sz w:val="18"/>
          <w:szCs w:val="18"/>
        </w:rPr>
        <w:t>5</w:t>
      </w:r>
      <w:r w:rsidRPr="001D6EC3">
        <w:rPr>
          <w:rFonts w:ascii="Century" w:hAnsi="Century"/>
          <w:spacing w:val="-3"/>
          <w:w w:val="38"/>
          <w:sz w:val="18"/>
          <w:szCs w:val="18"/>
        </w:rPr>
        <w:t>1</w:t>
      </w:r>
      <w:r w:rsidRPr="001D6EC3">
        <w:rPr>
          <w:rFonts w:ascii="Century" w:hAnsi="Century"/>
          <w:spacing w:val="1"/>
          <w:w w:val="80"/>
          <w:sz w:val="18"/>
          <w:szCs w:val="18"/>
        </w:rPr>
        <w:t>-</w:t>
      </w:r>
      <w:r w:rsidRPr="001D6EC3">
        <w:rPr>
          <w:rFonts w:ascii="Century" w:hAnsi="Century"/>
          <w:spacing w:val="2"/>
          <w:w w:val="74"/>
          <w:sz w:val="18"/>
          <w:szCs w:val="18"/>
        </w:rPr>
        <w:t>2</w:t>
      </w:r>
      <w:r w:rsidRPr="001D6EC3">
        <w:rPr>
          <w:rFonts w:ascii="Century" w:hAnsi="Century"/>
          <w:spacing w:val="-1"/>
          <w:w w:val="82"/>
          <w:sz w:val="18"/>
          <w:szCs w:val="18"/>
        </w:rPr>
        <w:t>0</w:t>
      </w:r>
      <w:r w:rsidRPr="001D6EC3">
        <w:rPr>
          <w:rFonts w:ascii="Century" w:hAnsi="Century"/>
          <w:spacing w:val="-1"/>
          <w:w w:val="59"/>
          <w:sz w:val="18"/>
          <w:szCs w:val="18"/>
        </w:rPr>
        <w:t>1</w:t>
      </w:r>
      <w:r w:rsidRPr="001D6EC3">
        <w:rPr>
          <w:rFonts w:ascii="Century" w:hAnsi="Century"/>
          <w:spacing w:val="-2"/>
          <w:w w:val="59"/>
          <w:sz w:val="18"/>
          <w:szCs w:val="18"/>
        </w:rPr>
        <w:t>9</w:t>
      </w:r>
      <w:r w:rsidRPr="001D6EC3">
        <w:rPr>
          <w:rFonts w:ascii="Century" w:hAnsi="Century"/>
          <w:w w:val="45"/>
          <w:sz w:val="18"/>
          <w:szCs w:val="18"/>
        </w:rPr>
        <w:t>.</w:t>
      </w:r>
    </w:p>
  </w:footnote>
  <w:footnote w:id="23">
    <w:p w14:paraId="5CB25D56" w14:textId="77777777" w:rsidR="00D6754D" w:rsidRPr="001D6EC3" w:rsidRDefault="00D6754D" w:rsidP="001D6EC3">
      <w:pPr>
        <w:pStyle w:val="Textonotapie"/>
        <w:jc w:val="both"/>
        <w:rPr>
          <w:rFonts w:ascii="Century" w:hAnsi="Century"/>
          <w:sz w:val="18"/>
          <w:szCs w:val="18"/>
        </w:rPr>
      </w:pPr>
      <w:r w:rsidRPr="001D6EC3">
        <w:rPr>
          <w:rStyle w:val="Refdenotaalpie"/>
          <w:rFonts w:ascii="Century" w:hAnsi="Century"/>
          <w:sz w:val="18"/>
          <w:szCs w:val="18"/>
        </w:rPr>
        <w:footnoteRef/>
      </w:r>
      <w:r w:rsidRPr="001D6EC3">
        <w:rPr>
          <w:rFonts w:ascii="Century" w:hAnsi="Century"/>
          <w:sz w:val="18"/>
          <w:szCs w:val="18"/>
        </w:rPr>
        <w:t xml:space="preserve"> 02. CUADERNO SEGUNDA INSTANCIA, 07. Recurso de apelación.</w:t>
      </w:r>
    </w:p>
  </w:footnote>
  <w:footnote w:id="24">
    <w:p w14:paraId="2EEF128B" w14:textId="77777777" w:rsidR="00D6754D" w:rsidRPr="001D6EC3" w:rsidRDefault="00D6754D" w:rsidP="001D6EC3">
      <w:pPr>
        <w:pStyle w:val="Textonotapie"/>
        <w:jc w:val="both"/>
        <w:rPr>
          <w:rFonts w:ascii="Century" w:hAnsi="Century"/>
          <w:sz w:val="18"/>
          <w:szCs w:val="18"/>
          <w:lang w:val="es-419"/>
        </w:rPr>
      </w:pPr>
      <w:r w:rsidRPr="001D6EC3">
        <w:rPr>
          <w:rStyle w:val="Refdenotaalpie"/>
          <w:rFonts w:ascii="Century" w:hAnsi="Century"/>
          <w:sz w:val="18"/>
          <w:szCs w:val="18"/>
        </w:rPr>
        <w:footnoteRef/>
      </w:r>
      <w:r w:rsidRPr="001D6EC3">
        <w:rPr>
          <w:rFonts w:ascii="Century" w:hAnsi="Century"/>
          <w:sz w:val="18"/>
          <w:szCs w:val="18"/>
        </w:rPr>
        <w:t xml:space="preserve"> </w:t>
      </w:r>
      <w:r w:rsidRPr="001D6EC3">
        <w:rPr>
          <w:rFonts w:ascii="Century" w:hAnsi="Century"/>
          <w:sz w:val="18"/>
          <w:szCs w:val="18"/>
          <w:lang w:val="es-419"/>
        </w:rPr>
        <w:t>Desde la STC5497-2021</w:t>
      </w:r>
    </w:p>
  </w:footnote>
  <w:footnote w:id="25">
    <w:p w14:paraId="24A73BEF" w14:textId="77777777" w:rsidR="00D6754D" w:rsidRPr="001D6EC3" w:rsidRDefault="00D6754D" w:rsidP="001D6EC3">
      <w:pPr>
        <w:pStyle w:val="Textonotapie"/>
        <w:jc w:val="both"/>
        <w:rPr>
          <w:rFonts w:ascii="Century" w:hAnsi="Century"/>
          <w:sz w:val="18"/>
          <w:szCs w:val="18"/>
          <w:lang w:val="es-419"/>
        </w:rPr>
      </w:pPr>
      <w:r w:rsidRPr="001D6EC3">
        <w:rPr>
          <w:rStyle w:val="Refdenotaalpie"/>
          <w:rFonts w:ascii="Century" w:hAnsi="Century"/>
          <w:sz w:val="18"/>
          <w:szCs w:val="18"/>
        </w:rPr>
        <w:footnoteRef/>
      </w:r>
      <w:r w:rsidRPr="001D6EC3">
        <w:rPr>
          <w:rFonts w:ascii="Century" w:hAnsi="Century"/>
          <w:sz w:val="18"/>
          <w:szCs w:val="18"/>
        </w:rPr>
        <w:t xml:space="preserve"> </w:t>
      </w:r>
      <w:r w:rsidRPr="001D6EC3">
        <w:rPr>
          <w:rFonts w:ascii="Century" w:hAnsi="Century"/>
          <w:sz w:val="18"/>
          <w:szCs w:val="18"/>
          <w:lang w:val="es-419"/>
        </w:rPr>
        <w:t>SC3148-2021</w:t>
      </w:r>
    </w:p>
  </w:footnote>
  <w:footnote w:id="26">
    <w:p w14:paraId="3A298AE8" w14:textId="77777777" w:rsidR="00F264A9" w:rsidRPr="001D6EC3" w:rsidRDefault="00F264A9" w:rsidP="001D6EC3">
      <w:pPr>
        <w:pStyle w:val="Textonotapie"/>
        <w:jc w:val="both"/>
        <w:rPr>
          <w:rFonts w:ascii="Century" w:hAnsi="Century"/>
          <w:sz w:val="18"/>
          <w:szCs w:val="18"/>
          <w:lang w:val="es-ES"/>
        </w:rPr>
      </w:pPr>
      <w:r w:rsidRPr="001D6EC3">
        <w:rPr>
          <w:rStyle w:val="Refdenotaalpie"/>
          <w:rFonts w:ascii="Century" w:hAnsi="Century"/>
          <w:sz w:val="18"/>
          <w:szCs w:val="18"/>
        </w:rPr>
        <w:footnoteRef/>
      </w:r>
      <w:r w:rsidRPr="001D6EC3">
        <w:rPr>
          <w:rFonts w:ascii="Century" w:hAnsi="Century"/>
          <w:sz w:val="18"/>
          <w:szCs w:val="18"/>
          <w:lang w:val="es-ES"/>
        </w:rPr>
        <w:t xml:space="preserve"> CSJ, Civil. SC9788-2015.</w:t>
      </w:r>
    </w:p>
  </w:footnote>
  <w:footnote w:id="27">
    <w:p w14:paraId="66C2C12B" w14:textId="77777777" w:rsidR="00F264A9" w:rsidRPr="001D6EC3" w:rsidRDefault="00F264A9" w:rsidP="001D6EC3">
      <w:pPr>
        <w:pStyle w:val="Textonotapie"/>
        <w:jc w:val="both"/>
        <w:rPr>
          <w:rFonts w:ascii="Century" w:hAnsi="Century"/>
          <w:sz w:val="18"/>
          <w:szCs w:val="18"/>
          <w:lang w:val="es-419"/>
        </w:rPr>
      </w:pPr>
      <w:r w:rsidRPr="001D6EC3">
        <w:rPr>
          <w:rStyle w:val="Refdenotaalpie"/>
          <w:rFonts w:ascii="Century" w:hAnsi="Century"/>
          <w:sz w:val="18"/>
          <w:szCs w:val="18"/>
        </w:rPr>
        <w:footnoteRef/>
      </w:r>
      <w:r w:rsidRPr="001D6EC3">
        <w:rPr>
          <w:rFonts w:ascii="Century" w:hAnsi="Century"/>
          <w:sz w:val="18"/>
          <w:szCs w:val="18"/>
        </w:rPr>
        <w:t xml:space="preserve"> </w:t>
      </w:r>
      <w:r w:rsidRPr="001D6EC3">
        <w:rPr>
          <w:rFonts w:ascii="Century" w:hAnsi="Century"/>
          <w:sz w:val="18"/>
          <w:szCs w:val="18"/>
          <w:lang w:val="es-419"/>
        </w:rPr>
        <w:t xml:space="preserve">Se recuerda, por ejemplo, la </w:t>
      </w:r>
      <w:r w:rsidRPr="001D6EC3">
        <w:rPr>
          <w:rFonts w:ascii="Century" w:eastAsia="Calibri" w:hAnsi="Century" w:cs="Times New Roman"/>
          <w:sz w:val="18"/>
          <w:szCs w:val="18"/>
        </w:rPr>
        <w:t>providencia del 12 de julio de 2017, radicado 2015-00204-01, M.P. Duberney Grisales Herrera</w:t>
      </w:r>
    </w:p>
  </w:footnote>
  <w:footnote w:id="28">
    <w:p w14:paraId="5879751F" w14:textId="77777777" w:rsidR="00F264A9" w:rsidRPr="001D6EC3" w:rsidRDefault="00F264A9" w:rsidP="001D6EC3">
      <w:pPr>
        <w:pStyle w:val="Textonotapie"/>
        <w:jc w:val="both"/>
        <w:rPr>
          <w:rFonts w:ascii="Century" w:hAnsi="Century"/>
          <w:sz w:val="18"/>
          <w:szCs w:val="18"/>
          <w:lang w:val="es-419"/>
        </w:rPr>
      </w:pPr>
      <w:r w:rsidRPr="001D6EC3">
        <w:rPr>
          <w:rStyle w:val="Refdenotaalpie"/>
          <w:rFonts w:ascii="Century" w:hAnsi="Century"/>
          <w:sz w:val="18"/>
          <w:szCs w:val="18"/>
        </w:rPr>
        <w:footnoteRef/>
      </w:r>
      <w:r w:rsidRPr="001D6EC3">
        <w:rPr>
          <w:rFonts w:ascii="Century" w:hAnsi="Century"/>
          <w:sz w:val="18"/>
          <w:szCs w:val="18"/>
        </w:rPr>
        <w:t xml:space="preserve"> </w:t>
      </w:r>
      <w:r w:rsidRPr="001D6EC3">
        <w:rPr>
          <w:rFonts w:ascii="Century" w:hAnsi="Century"/>
          <w:sz w:val="18"/>
          <w:szCs w:val="18"/>
          <w:lang w:val="es-419"/>
        </w:rPr>
        <w:t>Sentencia del 17 de septiembre de 2019, radicado 05001-31-03-015-2006-00394-01</w:t>
      </w:r>
    </w:p>
  </w:footnote>
  <w:footnote w:id="29">
    <w:p w14:paraId="468F12AF" w14:textId="77777777" w:rsidR="00F264A9" w:rsidRPr="001D6EC3" w:rsidRDefault="00F264A9" w:rsidP="001D6EC3">
      <w:pPr>
        <w:pStyle w:val="Textonotapie"/>
        <w:jc w:val="both"/>
        <w:rPr>
          <w:rFonts w:ascii="Century" w:hAnsi="Century"/>
          <w:sz w:val="18"/>
          <w:szCs w:val="18"/>
          <w:lang w:val="es-419"/>
        </w:rPr>
      </w:pPr>
      <w:r w:rsidRPr="001D6EC3">
        <w:rPr>
          <w:rStyle w:val="Refdenotaalpie"/>
          <w:rFonts w:ascii="Century" w:hAnsi="Century"/>
          <w:sz w:val="18"/>
          <w:szCs w:val="18"/>
        </w:rPr>
        <w:footnoteRef/>
      </w:r>
      <w:r w:rsidRPr="001D6EC3">
        <w:rPr>
          <w:rFonts w:ascii="Century" w:hAnsi="Century"/>
          <w:sz w:val="18"/>
          <w:szCs w:val="18"/>
        </w:rPr>
        <w:t xml:space="preserve"> SC 27 feb. 2009, rad. 2001-00013-01.</w:t>
      </w:r>
    </w:p>
  </w:footnote>
  <w:footnote w:id="30">
    <w:p w14:paraId="79CC970B" w14:textId="77777777" w:rsidR="00F264A9" w:rsidRPr="001D6EC3" w:rsidRDefault="00F264A9" w:rsidP="001D6EC3">
      <w:pPr>
        <w:pStyle w:val="Textonotapie"/>
        <w:jc w:val="both"/>
        <w:rPr>
          <w:rFonts w:ascii="Century" w:hAnsi="Century"/>
          <w:sz w:val="18"/>
          <w:szCs w:val="18"/>
          <w:lang w:val="es-419"/>
        </w:rPr>
      </w:pPr>
      <w:r w:rsidRPr="001D6EC3">
        <w:rPr>
          <w:rStyle w:val="Refdenotaalpie"/>
          <w:rFonts w:ascii="Century" w:hAnsi="Century"/>
          <w:sz w:val="18"/>
          <w:szCs w:val="18"/>
        </w:rPr>
        <w:footnoteRef/>
      </w:r>
      <w:r w:rsidRPr="001D6EC3">
        <w:rPr>
          <w:rFonts w:ascii="Century" w:hAnsi="Century"/>
          <w:sz w:val="18"/>
          <w:szCs w:val="18"/>
        </w:rPr>
        <w:t xml:space="preserve"> </w:t>
      </w:r>
      <w:r w:rsidRPr="001D6EC3">
        <w:rPr>
          <w:rFonts w:ascii="Century" w:hAnsi="Century"/>
          <w:sz w:val="18"/>
          <w:szCs w:val="18"/>
          <w:lang w:val="es-419"/>
        </w:rPr>
        <w:t>Sentencia del 25 de octubre de 1999, expediente 5012, M.P. José Fernando Ramírez Gómez</w:t>
      </w:r>
    </w:p>
  </w:footnote>
  <w:footnote w:id="31">
    <w:p w14:paraId="38CB682C" w14:textId="77777777" w:rsidR="00F264A9" w:rsidRPr="001D6EC3" w:rsidRDefault="00F264A9" w:rsidP="001D6EC3">
      <w:pPr>
        <w:tabs>
          <w:tab w:val="left" w:pos="2268"/>
        </w:tabs>
        <w:spacing w:after="0" w:line="240" w:lineRule="auto"/>
        <w:jc w:val="both"/>
        <w:rPr>
          <w:rFonts w:ascii="Century" w:hAnsi="Century"/>
          <w:sz w:val="18"/>
          <w:szCs w:val="18"/>
        </w:rPr>
      </w:pPr>
      <w:r w:rsidRPr="001D6EC3">
        <w:rPr>
          <w:rStyle w:val="Refdenotaalpie"/>
          <w:rFonts w:ascii="Century" w:hAnsi="Century"/>
          <w:sz w:val="18"/>
          <w:szCs w:val="18"/>
        </w:rPr>
        <w:footnoteRef/>
      </w:r>
      <w:r w:rsidRPr="001D6EC3">
        <w:rPr>
          <w:rFonts w:ascii="Century" w:hAnsi="Century"/>
          <w:sz w:val="18"/>
          <w:szCs w:val="18"/>
        </w:rPr>
        <w:t xml:space="preserve"> </w:t>
      </w:r>
      <w:r w:rsidRPr="001D6EC3">
        <w:rPr>
          <w:rFonts w:ascii="Century" w:hAnsi="Century"/>
          <w:sz w:val="18"/>
          <w:szCs w:val="18"/>
          <w:lang w:val="es-419"/>
        </w:rPr>
        <w:t xml:space="preserve">Para comprenderlo se puede ver la sentencia SC2111-2021, con ponencia del Magistrado Luis Armando Tolosa Villabona, que </w:t>
      </w:r>
      <w:r w:rsidRPr="001D6EC3">
        <w:rPr>
          <w:rFonts w:ascii="Century" w:hAnsi="Century"/>
          <w:sz w:val="18"/>
          <w:szCs w:val="18"/>
        </w:rPr>
        <w:t xml:space="preserve">hace énfasis en una presunción de responsabilidad y no de culpa. Sin embargo, para el momento en que se adoptó, participaron solo seis magistrados, de los cuales cuatro aclararon voto, uno de ellos, para adherirse a la teoría de la presunción de responsabilidad, pero los otros tres para dejar sentado que el régimen es de culpa presunta, igual que ocurrió con la sentencia SC4420-2020, lo que indica que esa tesis no alcanza aún en la Corte una mayoría. </w:t>
      </w:r>
    </w:p>
    <w:p w14:paraId="6E683E77" w14:textId="77777777" w:rsidR="00F264A9" w:rsidRPr="001D6EC3" w:rsidRDefault="00F264A9" w:rsidP="001D6EC3">
      <w:pPr>
        <w:pStyle w:val="Textonotapie"/>
        <w:jc w:val="both"/>
        <w:rPr>
          <w:rFonts w:ascii="Century" w:hAnsi="Century"/>
          <w:sz w:val="18"/>
          <w:szCs w:val="18"/>
          <w:lang w:val="es-419"/>
        </w:rPr>
      </w:pPr>
    </w:p>
  </w:footnote>
  <w:footnote w:id="32">
    <w:p w14:paraId="13312179" w14:textId="2CEE1376" w:rsidR="0004182C" w:rsidRPr="001D6EC3" w:rsidRDefault="0004182C" w:rsidP="001D6EC3">
      <w:pPr>
        <w:pStyle w:val="Textonotapie"/>
        <w:jc w:val="both"/>
        <w:rPr>
          <w:rFonts w:ascii="Century" w:hAnsi="Century"/>
          <w:sz w:val="18"/>
          <w:szCs w:val="18"/>
          <w:lang w:val="es-419"/>
        </w:rPr>
      </w:pPr>
      <w:r w:rsidRPr="001D6EC3">
        <w:rPr>
          <w:rStyle w:val="Refdenotaalpie"/>
          <w:rFonts w:ascii="Century" w:hAnsi="Century"/>
          <w:sz w:val="18"/>
          <w:szCs w:val="18"/>
        </w:rPr>
        <w:footnoteRef/>
      </w:r>
      <w:r w:rsidRPr="001D6EC3">
        <w:rPr>
          <w:rFonts w:ascii="Century" w:hAnsi="Century"/>
          <w:sz w:val="18"/>
          <w:szCs w:val="18"/>
        </w:rPr>
        <w:t xml:space="preserve"> </w:t>
      </w:r>
      <w:r w:rsidRPr="001D6EC3">
        <w:rPr>
          <w:rFonts w:ascii="Century" w:hAnsi="Century"/>
          <w:sz w:val="18"/>
          <w:szCs w:val="18"/>
          <w:lang w:val="es-419"/>
        </w:rPr>
        <w:t xml:space="preserve">Sentencia del 23 de junio de 2005, expediente 085-95, M.P. Edgardo Villamil Portilla. </w:t>
      </w:r>
    </w:p>
  </w:footnote>
  <w:footnote w:id="33">
    <w:p w14:paraId="4EA779FA" w14:textId="790E0C49" w:rsidR="00965ABD" w:rsidRPr="001D6EC3" w:rsidRDefault="00965ABD" w:rsidP="001D6EC3">
      <w:pPr>
        <w:pStyle w:val="Textonotapie"/>
        <w:jc w:val="both"/>
        <w:rPr>
          <w:rFonts w:ascii="Century" w:hAnsi="Century"/>
          <w:sz w:val="18"/>
          <w:szCs w:val="18"/>
          <w:lang w:val="es-ES"/>
        </w:rPr>
      </w:pPr>
      <w:r w:rsidRPr="001D6EC3">
        <w:rPr>
          <w:rStyle w:val="Refdenotaalpie"/>
          <w:rFonts w:ascii="Century" w:hAnsi="Century"/>
          <w:sz w:val="18"/>
          <w:szCs w:val="18"/>
        </w:rPr>
        <w:footnoteRef/>
      </w:r>
      <w:r w:rsidRPr="001D6EC3">
        <w:rPr>
          <w:rFonts w:ascii="Century" w:hAnsi="Century"/>
          <w:sz w:val="18"/>
          <w:szCs w:val="18"/>
        </w:rPr>
        <w:t xml:space="preserve"> </w:t>
      </w:r>
      <w:r w:rsidRPr="001D6EC3">
        <w:rPr>
          <w:rFonts w:ascii="Century" w:hAnsi="Century"/>
          <w:sz w:val="18"/>
          <w:szCs w:val="18"/>
          <w:lang w:val="es-ES"/>
        </w:rPr>
        <w:t xml:space="preserve">P. 225, c. </w:t>
      </w:r>
      <w:proofErr w:type="gramStart"/>
      <w:r w:rsidRPr="001D6EC3">
        <w:rPr>
          <w:rFonts w:ascii="Century" w:hAnsi="Century"/>
          <w:sz w:val="18"/>
          <w:szCs w:val="18"/>
          <w:lang w:val="es-ES"/>
        </w:rPr>
        <w:t>ppal..</w:t>
      </w:r>
      <w:proofErr w:type="gramEnd"/>
      <w:r w:rsidRPr="001D6EC3">
        <w:rPr>
          <w:rFonts w:ascii="Century" w:hAnsi="Century"/>
          <w:sz w:val="18"/>
          <w:szCs w:val="18"/>
          <w:lang w:val="es-ES"/>
        </w:rPr>
        <w:t xml:space="preserve"> Tomo I</w:t>
      </w:r>
    </w:p>
  </w:footnote>
  <w:footnote w:id="34">
    <w:p w14:paraId="2460D5E6" w14:textId="5622B3D9" w:rsidR="00557357" w:rsidRPr="001D6EC3" w:rsidRDefault="00557357" w:rsidP="001D6EC3">
      <w:pPr>
        <w:pStyle w:val="Textonotapie"/>
        <w:jc w:val="both"/>
        <w:rPr>
          <w:rFonts w:ascii="Century" w:hAnsi="Century"/>
          <w:sz w:val="18"/>
          <w:szCs w:val="18"/>
        </w:rPr>
      </w:pPr>
      <w:r w:rsidRPr="001D6EC3">
        <w:rPr>
          <w:rStyle w:val="Refdenotaalpie"/>
          <w:rFonts w:ascii="Century" w:hAnsi="Century"/>
          <w:sz w:val="18"/>
          <w:szCs w:val="18"/>
        </w:rPr>
        <w:footnoteRef/>
      </w:r>
      <w:r w:rsidRPr="001D6EC3">
        <w:rPr>
          <w:rFonts w:ascii="Century" w:hAnsi="Century"/>
          <w:sz w:val="18"/>
          <w:szCs w:val="18"/>
        </w:rPr>
        <w:t xml:space="preserve"> C. ppal. Tomo I, P. 233</w:t>
      </w:r>
    </w:p>
  </w:footnote>
  <w:footnote w:id="35">
    <w:p w14:paraId="6CBCF7B4" w14:textId="311708F8" w:rsidR="004D2490" w:rsidRPr="001D6EC3" w:rsidRDefault="004D2490" w:rsidP="001D6EC3">
      <w:pPr>
        <w:pStyle w:val="Textonotapie"/>
        <w:jc w:val="both"/>
        <w:rPr>
          <w:rFonts w:ascii="Century" w:hAnsi="Century"/>
          <w:sz w:val="18"/>
          <w:szCs w:val="18"/>
        </w:rPr>
      </w:pPr>
      <w:r w:rsidRPr="001D6EC3">
        <w:rPr>
          <w:rStyle w:val="Refdenotaalpie"/>
          <w:rFonts w:ascii="Century" w:hAnsi="Century"/>
          <w:sz w:val="18"/>
          <w:szCs w:val="18"/>
        </w:rPr>
        <w:footnoteRef/>
      </w:r>
      <w:r w:rsidRPr="001D6EC3">
        <w:rPr>
          <w:rFonts w:ascii="Century" w:hAnsi="Century"/>
          <w:sz w:val="18"/>
          <w:szCs w:val="18"/>
        </w:rPr>
        <w:t xml:space="preserve"> C. 3, parte 5, p. 35</w:t>
      </w:r>
    </w:p>
  </w:footnote>
  <w:footnote w:id="36">
    <w:p w14:paraId="7AC54F6D" w14:textId="681AEFC2" w:rsidR="00C32E2D" w:rsidRPr="001D6EC3" w:rsidRDefault="00C32E2D" w:rsidP="001D6EC3">
      <w:pPr>
        <w:pStyle w:val="Textonotapie"/>
        <w:jc w:val="both"/>
        <w:rPr>
          <w:rFonts w:ascii="Century" w:hAnsi="Century"/>
          <w:sz w:val="18"/>
          <w:szCs w:val="18"/>
          <w:lang w:val="es-ES"/>
        </w:rPr>
      </w:pPr>
      <w:r w:rsidRPr="001D6EC3">
        <w:rPr>
          <w:rStyle w:val="Refdenotaalpie"/>
          <w:rFonts w:ascii="Century" w:hAnsi="Century"/>
          <w:sz w:val="18"/>
          <w:szCs w:val="18"/>
        </w:rPr>
        <w:footnoteRef/>
      </w:r>
      <w:r w:rsidRPr="001D6EC3">
        <w:rPr>
          <w:rFonts w:ascii="Century" w:hAnsi="Century"/>
          <w:sz w:val="18"/>
          <w:szCs w:val="18"/>
        </w:rPr>
        <w:t xml:space="preserve"> </w:t>
      </w:r>
      <w:r w:rsidR="007737EC" w:rsidRPr="001D6EC3">
        <w:rPr>
          <w:rFonts w:ascii="Century" w:hAnsi="Century"/>
          <w:sz w:val="18"/>
          <w:szCs w:val="18"/>
        </w:rPr>
        <w:t xml:space="preserve">C. No. 3, parte 5, </w:t>
      </w:r>
      <w:r w:rsidR="007737EC" w:rsidRPr="001D6EC3">
        <w:rPr>
          <w:rFonts w:ascii="Century" w:hAnsi="Century"/>
          <w:sz w:val="18"/>
          <w:szCs w:val="18"/>
          <w:lang w:val="es-ES"/>
        </w:rPr>
        <w:t xml:space="preserve">P. 36. </w:t>
      </w:r>
    </w:p>
  </w:footnote>
  <w:footnote w:id="37">
    <w:p w14:paraId="1106B1E8" w14:textId="7FBDD0C5" w:rsidR="00305B9A" w:rsidRPr="001D6EC3" w:rsidRDefault="00305B9A" w:rsidP="001D6EC3">
      <w:pPr>
        <w:pStyle w:val="Textonotapie"/>
        <w:jc w:val="both"/>
        <w:rPr>
          <w:rFonts w:ascii="Century" w:hAnsi="Century"/>
          <w:sz w:val="18"/>
          <w:szCs w:val="18"/>
          <w:lang w:val="es-ES"/>
        </w:rPr>
      </w:pPr>
      <w:r w:rsidRPr="001D6EC3">
        <w:rPr>
          <w:rStyle w:val="Refdenotaalpie"/>
          <w:rFonts w:ascii="Century" w:hAnsi="Century"/>
          <w:sz w:val="18"/>
          <w:szCs w:val="18"/>
        </w:rPr>
        <w:footnoteRef/>
      </w:r>
      <w:r w:rsidRPr="001D6EC3">
        <w:rPr>
          <w:rFonts w:ascii="Century" w:hAnsi="Century"/>
          <w:sz w:val="18"/>
          <w:szCs w:val="18"/>
          <w:lang w:val="es-ES"/>
        </w:rPr>
        <w:t xml:space="preserve"> C. ppal. Tomo I, p. 217</w:t>
      </w:r>
    </w:p>
  </w:footnote>
  <w:footnote w:id="38">
    <w:p w14:paraId="10988D7C" w14:textId="4CD771B7" w:rsidR="004B1336" w:rsidRPr="001D6EC3" w:rsidRDefault="004B1336" w:rsidP="001D6EC3">
      <w:pPr>
        <w:pStyle w:val="Textonotapie"/>
        <w:jc w:val="both"/>
        <w:rPr>
          <w:rFonts w:ascii="Century" w:hAnsi="Century"/>
          <w:sz w:val="18"/>
          <w:szCs w:val="18"/>
        </w:rPr>
      </w:pPr>
      <w:r w:rsidRPr="001D6EC3">
        <w:rPr>
          <w:rStyle w:val="Refdenotaalpie"/>
          <w:rFonts w:ascii="Century" w:hAnsi="Century"/>
          <w:sz w:val="18"/>
          <w:szCs w:val="18"/>
        </w:rPr>
        <w:footnoteRef/>
      </w:r>
      <w:r w:rsidRPr="001D6EC3">
        <w:rPr>
          <w:rFonts w:ascii="Century" w:hAnsi="Century"/>
          <w:sz w:val="18"/>
          <w:szCs w:val="18"/>
        </w:rPr>
        <w:t xml:space="preserve"> P. </w:t>
      </w:r>
      <w:r w:rsidR="00A15B65" w:rsidRPr="001D6EC3">
        <w:rPr>
          <w:rFonts w:ascii="Century" w:hAnsi="Century"/>
          <w:sz w:val="18"/>
          <w:szCs w:val="18"/>
        </w:rPr>
        <w:t>35, 39, 43 y 48, c. 3, parte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C44B2"/>
    <w:multiLevelType w:val="multilevel"/>
    <w:tmpl w:val="2DC2BCBC"/>
    <w:lvl w:ilvl="0">
      <w:start w:val="2"/>
      <w:numFmt w:val="decimal"/>
      <w:lvlText w:val="%1"/>
      <w:lvlJc w:val="left"/>
      <w:pPr>
        <w:ind w:left="360" w:hanging="360"/>
      </w:pPr>
      <w:rPr>
        <w:rFonts w:hint="default"/>
      </w:rPr>
    </w:lvl>
    <w:lvl w:ilvl="1">
      <w:start w:val="8"/>
      <w:numFmt w:val="decimal"/>
      <w:lvlText w:val="%1.%2"/>
      <w:lvlJc w:val="left"/>
      <w:pPr>
        <w:ind w:left="2421"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 w15:restartNumberingAfterBreak="0">
    <w:nsid w:val="20AE6848"/>
    <w:multiLevelType w:val="hybridMultilevel"/>
    <w:tmpl w:val="937EBE38"/>
    <w:lvl w:ilvl="0" w:tplc="0FD239E0">
      <w:start w:val="1"/>
      <w:numFmt w:val="lowerRoman"/>
      <w:lvlText w:val="%1)"/>
      <w:lvlJc w:val="left"/>
      <w:pPr>
        <w:ind w:left="2781" w:hanging="720"/>
      </w:pPr>
      <w:rPr>
        <w:rFonts w:hint="default"/>
      </w:r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2" w15:restartNumberingAfterBreak="0">
    <w:nsid w:val="2C091584"/>
    <w:multiLevelType w:val="hybridMultilevel"/>
    <w:tmpl w:val="5FE2E52E"/>
    <w:lvl w:ilvl="0" w:tplc="3A86B5E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664990"/>
    <w:multiLevelType w:val="hybridMultilevel"/>
    <w:tmpl w:val="935CA9B2"/>
    <w:lvl w:ilvl="0" w:tplc="3E34BEDC">
      <w:start w:val="3"/>
      <w:numFmt w:val="bullet"/>
      <w:lvlText w:val="-"/>
      <w:lvlJc w:val="left"/>
      <w:pPr>
        <w:ind w:left="2061" w:hanging="360"/>
      </w:pPr>
      <w:rPr>
        <w:rFonts w:ascii="Gadugi" w:eastAsia="Calibri" w:hAnsi="Gadugi" w:cs="Times New Roman" w:hint="default"/>
      </w:rPr>
    </w:lvl>
    <w:lvl w:ilvl="1" w:tplc="0C0A0003" w:tentative="1">
      <w:start w:val="1"/>
      <w:numFmt w:val="bullet"/>
      <w:lvlText w:val="o"/>
      <w:lvlJc w:val="left"/>
      <w:pPr>
        <w:ind w:left="2781" w:hanging="360"/>
      </w:pPr>
      <w:rPr>
        <w:rFonts w:ascii="Courier New" w:hAnsi="Courier New" w:cs="Courier New" w:hint="default"/>
      </w:rPr>
    </w:lvl>
    <w:lvl w:ilvl="2" w:tplc="0C0A0005" w:tentative="1">
      <w:start w:val="1"/>
      <w:numFmt w:val="bullet"/>
      <w:lvlText w:val=""/>
      <w:lvlJc w:val="left"/>
      <w:pPr>
        <w:ind w:left="3501" w:hanging="360"/>
      </w:pPr>
      <w:rPr>
        <w:rFonts w:ascii="Wingdings" w:hAnsi="Wingdings" w:hint="default"/>
      </w:rPr>
    </w:lvl>
    <w:lvl w:ilvl="3" w:tplc="0C0A0001" w:tentative="1">
      <w:start w:val="1"/>
      <w:numFmt w:val="bullet"/>
      <w:lvlText w:val=""/>
      <w:lvlJc w:val="left"/>
      <w:pPr>
        <w:ind w:left="4221" w:hanging="360"/>
      </w:pPr>
      <w:rPr>
        <w:rFonts w:ascii="Symbol" w:hAnsi="Symbol" w:hint="default"/>
      </w:rPr>
    </w:lvl>
    <w:lvl w:ilvl="4" w:tplc="0C0A0003" w:tentative="1">
      <w:start w:val="1"/>
      <w:numFmt w:val="bullet"/>
      <w:lvlText w:val="o"/>
      <w:lvlJc w:val="left"/>
      <w:pPr>
        <w:ind w:left="4941" w:hanging="360"/>
      </w:pPr>
      <w:rPr>
        <w:rFonts w:ascii="Courier New" w:hAnsi="Courier New" w:cs="Courier New" w:hint="default"/>
      </w:rPr>
    </w:lvl>
    <w:lvl w:ilvl="5" w:tplc="0C0A0005" w:tentative="1">
      <w:start w:val="1"/>
      <w:numFmt w:val="bullet"/>
      <w:lvlText w:val=""/>
      <w:lvlJc w:val="left"/>
      <w:pPr>
        <w:ind w:left="5661" w:hanging="360"/>
      </w:pPr>
      <w:rPr>
        <w:rFonts w:ascii="Wingdings" w:hAnsi="Wingdings" w:hint="default"/>
      </w:rPr>
    </w:lvl>
    <w:lvl w:ilvl="6" w:tplc="0C0A0001" w:tentative="1">
      <w:start w:val="1"/>
      <w:numFmt w:val="bullet"/>
      <w:lvlText w:val=""/>
      <w:lvlJc w:val="left"/>
      <w:pPr>
        <w:ind w:left="6381" w:hanging="360"/>
      </w:pPr>
      <w:rPr>
        <w:rFonts w:ascii="Symbol" w:hAnsi="Symbol" w:hint="default"/>
      </w:rPr>
    </w:lvl>
    <w:lvl w:ilvl="7" w:tplc="0C0A0003" w:tentative="1">
      <w:start w:val="1"/>
      <w:numFmt w:val="bullet"/>
      <w:lvlText w:val="o"/>
      <w:lvlJc w:val="left"/>
      <w:pPr>
        <w:ind w:left="7101" w:hanging="360"/>
      </w:pPr>
      <w:rPr>
        <w:rFonts w:ascii="Courier New" w:hAnsi="Courier New" w:cs="Courier New" w:hint="default"/>
      </w:rPr>
    </w:lvl>
    <w:lvl w:ilvl="8" w:tplc="0C0A0005" w:tentative="1">
      <w:start w:val="1"/>
      <w:numFmt w:val="bullet"/>
      <w:lvlText w:val=""/>
      <w:lvlJc w:val="left"/>
      <w:pPr>
        <w:ind w:left="7821" w:hanging="360"/>
      </w:pPr>
      <w:rPr>
        <w:rFonts w:ascii="Wingdings" w:hAnsi="Wingdings" w:hint="default"/>
      </w:rPr>
    </w:lvl>
  </w:abstractNum>
  <w:abstractNum w:abstractNumId="4" w15:restartNumberingAfterBreak="0">
    <w:nsid w:val="3B52010B"/>
    <w:multiLevelType w:val="multilevel"/>
    <w:tmpl w:val="55CCDAAE"/>
    <w:lvl w:ilvl="0">
      <w:start w:val="1"/>
      <w:numFmt w:val="decimal"/>
      <w:lvlText w:val="%1."/>
      <w:lvlJc w:val="left"/>
      <w:pPr>
        <w:ind w:left="3195" w:hanging="360"/>
      </w:pPr>
      <w:rPr>
        <w:rFonts w:hint="default"/>
      </w:rPr>
    </w:lvl>
    <w:lvl w:ilvl="1">
      <w:start w:val="1"/>
      <w:numFmt w:val="decimal"/>
      <w:isLgl/>
      <w:lvlText w:val="%1.%2."/>
      <w:lvlJc w:val="left"/>
      <w:pPr>
        <w:ind w:left="3555" w:hanging="720"/>
      </w:pPr>
      <w:rPr>
        <w:rFonts w:ascii="Gadugi" w:hAnsi="Gadugi" w:hint="default"/>
        <w:b/>
        <w:i w:val="0"/>
        <w:color w:val="auto"/>
        <w:sz w:val="28"/>
        <w:szCs w:val="28"/>
      </w:rPr>
    </w:lvl>
    <w:lvl w:ilvl="2">
      <w:start w:val="1"/>
      <w:numFmt w:val="decimal"/>
      <w:isLgl/>
      <w:lvlText w:val="%1.%2.%3."/>
      <w:lvlJc w:val="left"/>
      <w:pPr>
        <w:ind w:left="3555" w:hanging="720"/>
      </w:pPr>
      <w:rPr>
        <w:rFonts w:hint="default"/>
      </w:rPr>
    </w:lvl>
    <w:lvl w:ilvl="3">
      <w:start w:val="1"/>
      <w:numFmt w:val="decimal"/>
      <w:isLgl/>
      <w:lvlText w:val="%1.%2.%3.%4."/>
      <w:lvlJc w:val="left"/>
      <w:pPr>
        <w:ind w:left="3915" w:hanging="108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635" w:hanging="1800"/>
      </w:pPr>
      <w:rPr>
        <w:rFonts w:hint="default"/>
      </w:rPr>
    </w:lvl>
    <w:lvl w:ilvl="7">
      <w:start w:val="1"/>
      <w:numFmt w:val="decimal"/>
      <w:isLgl/>
      <w:lvlText w:val="%1.%2.%3.%4.%5.%6.%7.%8."/>
      <w:lvlJc w:val="left"/>
      <w:pPr>
        <w:ind w:left="4635" w:hanging="1800"/>
      </w:pPr>
      <w:rPr>
        <w:rFonts w:hint="default"/>
      </w:rPr>
    </w:lvl>
    <w:lvl w:ilvl="8">
      <w:start w:val="1"/>
      <w:numFmt w:val="decimal"/>
      <w:isLgl/>
      <w:lvlText w:val="%1.%2.%3.%4.%5.%6.%7.%8.%9."/>
      <w:lvlJc w:val="left"/>
      <w:pPr>
        <w:ind w:left="4995" w:hanging="2160"/>
      </w:pPr>
      <w:rPr>
        <w:rFonts w:hint="default"/>
      </w:rPr>
    </w:lvl>
  </w:abstractNum>
  <w:abstractNum w:abstractNumId="5" w15:restartNumberingAfterBreak="0">
    <w:nsid w:val="422A13F3"/>
    <w:multiLevelType w:val="hybridMultilevel"/>
    <w:tmpl w:val="84565CB8"/>
    <w:lvl w:ilvl="0" w:tplc="54B40ED6">
      <w:start w:val="1"/>
      <w:numFmt w:val="lowerRoman"/>
      <w:lvlText w:val="%1."/>
      <w:lvlJc w:val="left"/>
      <w:pPr>
        <w:ind w:left="2421" w:hanging="72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6" w15:restartNumberingAfterBreak="0">
    <w:nsid w:val="604A4DEF"/>
    <w:multiLevelType w:val="hybridMultilevel"/>
    <w:tmpl w:val="A36CFFC8"/>
    <w:lvl w:ilvl="0" w:tplc="A87C0DC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7" w15:restartNumberingAfterBreak="0">
    <w:nsid w:val="62CD12DB"/>
    <w:multiLevelType w:val="multilevel"/>
    <w:tmpl w:val="240A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8" w15:restartNumberingAfterBreak="0">
    <w:nsid w:val="6ABB52B8"/>
    <w:multiLevelType w:val="hybridMultilevel"/>
    <w:tmpl w:val="A080F408"/>
    <w:lvl w:ilvl="0" w:tplc="12C8EAB4">
      <w:start w:val="1"/>
      <w:numFmt w:val="decimal"/>
      <w:lvlText w:val="%1."/>
      <w:lvlJc w:val="left"/>
      <w:pPr>
        <w:ind w:left="2061" w:hanging="360"/>
      </w:pPr>
      <w:rPr>
        <w:rFonts w:hint="default"/>
        <w:b w:val="0"/>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num w:numId="1">
    <w:abstractNumId w:val="4"/>
  </w:num>
  <w:num w:numId="2">
    <w:abstractNumId w:val="2"/>
  </w:num>
  <w:num w:numId="3">
    <w:abstractNumId w:val="3"/>
  </w:num>
  <w:num w:numId="4">
    <w:abstractNumId w:val="6"/>
  </w:num>
  <w:num w:numId="5">
    <w:abstractNumId w:val="8"/>
  </w:num>
  <w:num w:numId="6">
    <w:abstractNumId w:val="1"/>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BB7"/>
    <w:rsid w:val="00000F6D"/>
    <w:rsid w:val="00004B67"/>
    <w:rsid w:val="00005462"/>
    <w:rsid w:val="000076EB"/>
    <w:rsid w:val="00010BAC"/>
    <w:rsid w:val="00013CBC"/>
    <w:rsid w:val="00022A43"/>
    <w:rsid w:val="000249D7"/>
    <w:rsid w:val="00030833"/>
    <w:rsid w:val="00030E65"/>
    <w:rsid w:val="00033183"/>
    <w:rsid w:val="00033412"/>
    <w:rsid w:val="0003485F"/>
    <w:rsid w:val="00035031"/>
    <w:rsid w:val="00036EEE"/>
    <w:rsid w:val="0004182C"/>
    <w:rsid w:val="00044955"/>
    <w:rsid w:val="00045161"/>
    <w:rsid w:val="00050C3D"/>
    <w:rsid w:val="000605C1"/>
    <w:rsid w:val="0006205F"/>
    <w:rsid w:val="0007018A"/>
    <w:rsid w:val="000735FF"/>
    <w:rsid w:val="000801BF"/>
    <w:rsid w:val="00083BEA"/>
    <w:rsid w:val="000846D8"/>
    <w:rsid w:val="0008519E"/>
    <w:rsid w:val="00085869"/>
    <w:rsid w:val="000867A3"/>
    <w:rsid w:val="000867D0"/>
    <w:rsid w:val="0009010F"/>
    <w:rsid w:val="00091557"/>
    <w:rsid w:val="000A0B2F"/>
    <w:rsid w:val="000A3E7B"/>
    <w:rsid w:val="000B11E3"/>
    <w:rsid w:val="000B7958"/>
    <w:rsid w:val="000C3470"/>
    <w:rsid w:val="000C5172"/>
    <w:rsid w:val="000C58DC"/>
    <w:rsid w:val="000C6D08"/>
    <w:rsid w:val="000D0435"/>
    <w:rsid w:val="000D5F40"/>
    <w:rsid w:val="000D6A5D"/>
    <w:rsid w:val="000D7CBA"/>
    <w:rsid w:val="000E123C"/>
    <w:rsid w:val="000E1394"/>
    <w:rsid w:val="000E1A0D"/>
    <w:rsid w:val="000E6310"/>
    <w:rsid w:val="000F025E"/>
    <w:rsid w:val="000F0912"/>
    <w:rsid w:val="000F0C3E"/>
    <w:rsid w:val="000F118D"/>
    <w:rsid w:val="000F1837"/>
    <w:rsid w:val="000F6A11"/>
    <w:rsid w:val="001073BF"/>
    <w:rsid w:val="00107E4A"/>
    <w:rsid w:val="00110A4A"/>
    <w:rsid w:val="00112D27"/>
    <w:rsid w:val="001148D0"/>
    <w:rsid w:val="00126E84"/>
    <w:rsid w:val="00127463"/>
    <w:rsid w:val="00132BAD"/>
    <w:rsid w:val="00134976"/>
    <w:rsid w:val="00137DF1"/>
    <w:rsid w:val="001417B5"/>
    <w:rsid w:val="00150F88"/>
    <w:rsid w:val="00152EDA"/>
    <w:rsid w:val="00154CC5"/>
    <w:rsid w:val="0015730C"/>
    <w:rsid w:val="00160701"/>
    <w:rsid w:val="001629AD"/>
    <w:rsid w:val="00163FF0"/>
    <w:rsid w:val="00166597"/>
    <w:rsid w:val="0017000B"/>
    <w:rsid w:val="00176D46"/>
    <w:rsid w:val="00180A2B"/>
    <w:rsid w:val="00184B66"/>
    <w:rsid w:val="00186999"/>
    <w:rsid w:val="001906E9"/>
    <w:rsid w:val="00197DA2"/>
    <w:rsid w:val="001A19DB"/>
    <w:rsid w:val="001A5246"/>
    <w:rsid w:val="001B066B"/>
    <w:rsid w:val="001B2BE9"/>
    <w:rsid w:val="001B330D"/>
    <w:rsid w:val="001B43D1"/>
    <w:rsid w:val="001C76D3"/>
    <w:rsid w:val="001D2985"/>
    <w:rsid w:val="001D6EC3"/>
    <w:rsid w:val="001D7FE2"/>
    <w:rsid w:val="001E4DDF"/>
    <w:rsid w:val="001E7D16"/>
    <w:rsid w:val="001F300D"/>
    <w:rsid w:val="001F7DDD"/>
    <w:rsid w:val="00200432"/>
    <w:rsid w:val="00206E08"/>
    <w:rsid w:val="002130BF"/>
    <w:rsid w:val="00222081"/>
    <w:rsid w:val="002224D3"/>
    <w:rsid w:val="00223391"/>
    <w:rsid w:val="00224761"/>
    <w:rsid w:val="00225C39"/>
    <w:rsid w:val="00230E2B"/>
    <w:rsid w:val="00231800"/>
    <w:rsid w:val="00233F45"/>
    <w:rsid w:val="0024489E"/>
    <w:rsid w:val="00246C5A"/>
    <w:rsid w:val="002554C0"/>
    <w:rsid w:val="00257055"/>
    <w:rsid w:val="0026278C"/>
    <w:rsid w:val="00262F70"/>
    <w:rsid w:val="00265162"/>
    <w:rsid w:val="002713DB"/>
    <w:rsid w:val="0027327D"/>
    <w:rsid w:val="00274A34"/>
    <w:rsid w:val="002755F7"/>
    <w:rsid w:val="00284813"/>
    <w:rsid w:val="00285B0B"/>
    <w:rsid w:val="002869E8"/>
    <w:rsid w:val="00290D60"/>
    <w:rsid w:val="002963F2"/>
    <w:rsid w:val="00297658"/>
    <w:rsid w:val="002A14C7"/>
    <w:rsid w:val="002A3866"/>
    <w:rsid w:val="002B4D27"/>
    <w:rsid w:val="002B5BC1"/>
    <w:rsid w:val="002C02CA"/>
    <w:rsid w:val="002C0C17"/>
    <w:rsid w:val="002D1B64"/>
    <w:rsid w:val="002D1CED"/>
    <w:rsid w:val="002D2919"/>
    <w:rsid w:val="002D4A45"/>
    <w:rsid w:val="002E5192"/>
    <w:rsid w:val="002F30A2"/>
    <w:rsid w:val="00305B9A"/>
    <w:rsid w:val="003065CC"/>
    <w:rsid w:val="00307223"/>
    <w:rsid w:val="003134EE"/>
    <w:rsid w:val="0031D703"/>
    <w:rsid w:val="003305F4"/>
    <w:rsid w:val="00332392"/>
    <w:rsid w:val="00333667"/>
    <w:rsid w:val="003341EB"/>
    <w:rsid w:val="003400E7"/>
    <w:rsid w:val="0034081A"/>
    <w:rsid w:val="0034367F"/>
    <w:rsid w:val="00346D78"/>
    <w:rsid w:val="003475E0"/>
    <w:rsid w:val="003500A9"/>
    <w:rsid w:val="00355BAC"/>
    <w:rsid w:val="00356104"/>
    <w:rsid w:val="00360D9A"/>
    <w:rsid w:val="00360E66"/>
    <w:rsid w:val="00361AAD"/>
    <w:rsid w:val="00361FDB"/>
    <w:rsid w:val="0036646D"/>
    <w:rsid w:val="00366ABC"/>
    <w:rsid w:val="00367C85"/>
    <w:rsid w:val="00371A5D"/>
    <w:rsid w:val="003739E5"/>
    <w:rsid w:val="003746D8"/>
    <w:rsid w:val="00377E3C"/>
    <w:rsid w:val="00380822"/>
    <w:rsid w:val="00380989"/>
    <w:rsid w:val="00380F0D"/>
    <w:rsid w:val="0038219A"/>
    <w:rsid w:val="00383AF7"/>
    <w:rsid w:val="00384381"/>
    <w:rsid w:val="00384C7A"/>
    <w:rsid w:val="00391E55"/>
    <w:rsid w:val="003926DF"/>
    <w:rsid w:val="0039571E"/>
    <w:rsid w:val="003A561A"/>
    <w:rsid w:val="003A7E7C"/>
    <w:rsid w:val="003B3C3D"/>
    <w:rsid w:val="003B47E3"/>
    <w:rsid w:val="003C16C4"/>
    <w:rsid w:val="003C1C2A"/>
    <w:rsid w:val="003C23F6"/>
    <w:rsid w:val="003C40F1"/>
    <w:rsid w:val="003C5BA8"/>
    <w:rsid w:val="003C7BCE"/>
    <w:rsid w:val="003D01F7"/>
    <w:rsid w:val="003D204B"/>
    <w:rsid w:val="003D36F3"/>
    <w:rsid w:val="003D4F38"/>
    <w:rsid w:val="003D6C5F"/>
    <w:rsid w:val="003D7391"/>
    <w:rsid w:val="003E003C"/>
    <w:rsid w:val="003E1A8E"/>
    <w:rsid w:val="003E5D9B"/>
    <w:rsid w:val="003F29C8"/>
    <w:rsid w:val="003F5814"/>
    <w:rsid w:val="00400FBF"/>
    <w:rsid w:val="00403D87"/>
    <w:rsid w:val="004061AA"/>
    <w:rsid w:val="004144D6"/>
    <w:rsid w:val="00422B22"/>
    <w:rsid w:val="00430547"/>
    <w:rsid w:val="00431A29"/>
    <w:rsid w:val="004328AB"/>
    <w:rsid w:val="00432A98"/>
    <w:rsid w:val="00433E26"/>
    <w:rsid w:val="004426F1"/>
    <w:rsid w:val="0044329A"/>
    <w:rsid w:val="00456BE0"/>
    <w:rsid w:val="00461DDC"/>
    <w:rsid w:val="00463D47"/>
    <w:rsid w:val="0046570C"/>
    <w:rsid w:val="00466569"/>
    <w:rsid w:val="00467A46"/>
    <w:rsid w:val="00473564"/>
    <w:rsid w:val="0047369A"/>
    <w:rsid w:val="00474760"/>
    <w:rsid w:val="004912FD"/>
    <w:rsid w:val="00491578"/>
    <w:rsid w:val="004A1B64"/>
    <w:rsid w:val="004A353F"/>
    <w:rsid w:val="004A428A"/>
    <w:rsid w:val="004A670E"/>
    <w:rsid w:val="004B001C"/>
    <w:rsid w:val="004B00EC"/>
    <w:rsid w:val="004B1336"/>
    <w:rsid w:val="004B23D2"/>
    <w:rsid w:val="004B27FC"/>
    <w:rsid w:val="004B2814"/>
    <w:rsid w:val="004C0470"/>
    <w:rsid w:val="004C0BCD"/>
    <w:rsid w:val="004C0CA4"/>
    <w:rsid w:val="004C5437"/>
    <w:rsid w:val="004C54A6"/>
    <w:rsid w:val="004D1E8A"/>
    <w:rsid w:val="004D2490"/>
    <w:rsid w:val="004D33A2"/>
    <w:rsid w:val="004D487C"/>
    <w:rsid w:val="004E0AE0"/>
    <w:rsid w:val="004E3276"/>
    <w:rsid w:val="004E7E52"/>
    <w:rsid w:val="004F2B9F"/>
    <w:rsid w:val="004F544A"/>
    <w:rsid w:val="004F5D87"/>
    <w:rsid w:val="004F6A97"/>
    <w:rsid w:val="005001C4"/>
    <w:rsid w:val="00500B72"/>
    <w:rsid w:val="00504D05"/>
    <w:rsid w:val="00506741"/>
    <w:rsid w:val="00510903"/>
    <w:rsid w:val="00511F0B"/>
    <w:rsid w:val="00513C2C"/>
    <w:rsid w:val="0051480B"/>
    <w:rsid w:val="00515F01"/>
    <w:rsid w:val="00517E5D"/>
    <w:rsid w:val="00524E80"/>
    <w:rsid w:val="00530A39"/>
    <w:rsid w:val="0054047B"/>
    <w:rsid w:val="00543635"/>
    <w:rsid w:val="005440E9"/>
    <w:rsid w:val="00546038"/>
    <w:rsid w:val="00546902"/>
    <w:rsid w:val="005545CF"/>
    <w:rsid w:val="00554933"/>
    <w:rsid w:val="00557357"/>
    <w:rsid w:val="00560DC9"/>
    <w:rsid w:val="00561A9B"/>
    <w:rsid w:val="005654A6"/>
    <w:rsid w:val="00566457"/>
    <w:rsid w:val="0056662B"/>
    <w:rsid w:val="00574855"/>
    <w:rsid w:val="005757D8"/>
    <w:rsid w:val="00576382"/>
    <w:rsid w:val="00577D15"/>
    <w:rsid w:val="005827EE"/>
    <w:rsid w:val="00584C97"/>
    <w:rsid w:val="005865AA"/>
    <w:rsid w:val="005871E6"/>
    <w:rsid w:val="00587653"/>
    <w:rsid w:val="00590952"/>
    <w:rsid w:val="00594143"/>
    <w:rsid w:val="00594438"/>
    <w:rsid w:val="005A0F45"/>
    <w:rsid w:val="005A252B"/>
    <w:rsid w:val="005B097C"/>
    <w:rsid w:val="005B4201"/>
    <w:rsid w:val="005C0BBA"/>
    <w:rsid w:val="005C1519"/>
    <w:rsid w:val="005C2E3B"/>
    <w:rsid w:val="005D09CE"/>
    <w:rsid w:val="005D4E7F"/>
    <w:rsid w:val="005D5D1F"/>
    <w:rsid w:val="005D70B3"/>
    <w:rsid w:val="005E08C4"/>
    <w:rsid w:val="005E0C7C"/>
    <w:rsid w:val="005E11CC"/>
    <w:rsid w:val="005E1800"/>
    <w:rsid w:val="005E5C95"/>
    <w:rsid w:val="005F0DC6"/>
    <w:rsid w:val="005F21D8"/>
    <w:rsid w:val="005F2737"/>
    <w:rsid w:val="005F2FEC"/>
    <w:rsid w:val="005F7E0C"/>
    <w:rsid w:val="005F7ECF"/>
    <w:rsid w:val="0060017A"/>
    <w:rsid w:val="006012D6"/>
    <w:rsid w:val="00603C3F"/>
    <w:rsid w:val="006148F5"/>
    <w:rsid w:val="00615AC9"/>
    <w:rsid w:val="006175CE"/>
    <w:rsid w:val="00617D3D"/>
    <w:rsid w:val="0062253F"/>
    <w:rsid w:val="0062417D"/>
    <w:rsid w:val="0062616B"/>
    <w:rsid w:val="0062770D"/>
    <w:rsid w:val="00633985"/>
    <w:rsid w:val="00635FED"/>
    <w:rsid w:val="00636C07"/>
    <w:rsid w:val="006407E4"/>
    <w:rsid w:val="006408C5"/>
    <w:rsid w:val="006411B1"/>
    <w:rsid w:val="00641D84"/>
    <w:rsid w:val="0064465F"/>
    <w:rsid w:val="00645652"/>
    <w:rsid w:val="00663523"/>
    <w:rsid w:val="00664E32"/>
    <w:rsid w:val="006724B6"/>
    <w:rsid w:val="00675B96"/>
    <w:rsid w:val="006801F3"/>
    <w:rsid w:val="00680B18"/>
    <w:rsid w:val="006817EA"/>
    <w:rsid w:val="00684991"/>
    <w:rsid w:val="00687389"/>
    <w:rsid w:val="00690990"/>
    <w:rsid w:val="00693513"/>
    <w:rsid w:val="006948C0"/>
    <w:rsid w:val="006979E2"/>
    <w:rsid w:val="006A3157"/>
    <w:rsid w:val="006A6042"/>
    <w:rsid w:val="006B0769"/>
    <w:rsid w:val="006B2201"/>
    <w:rsid w:val="006B23ED"/>
    <w:rsid w:val="006B2B61"/>
    <w:rsid w:val="006B7468"/>
    <w:rsid w:val="006C0772"/>
    <w:rsid w:val="006C2019"/>
    <w:rsid w:val="006C30CA"/>
    <w:rsid w:val="006D17A1"/>
    <w:rsid w:val="006D3AE7"/>
    <w:rsid w:val="006D42AF"/>
    <w:rsid w:val="006D4DA2"/>
    <w:rsid w:val="006D616F"/>
    <w:rsid w:val="006E4C30"/>
    <w:rsid w:val="006E6165"/>
    <w:rsid w:val="006E6886"/>
    <w:rsid w:val="006F29E8"/>
    <w:rsid w:val="006F404E"/>
    <w:rsid w:val="006F44AC"/>
    <w:rsid w:val="00702D6C"/>
    <w:rsid w:val="00704E29"/>
    <w:rsid w:val="0070509C"/>
    <w:rsid w:val="00705367"/>
    <w:rsid w:val="0070641C"/>
    <w:rsid w:val="00706447"/>
    <w:rsid w:val="00706748"/>
    <w:rsid w:val="0070718F"/>
    <w:rsid w:val="0071488D"/>
    <w:rsid w:val="00715729"/>
    <w:rsid w:val="00717A88"/>
    <w:rsid w:val="0072049E"/>
    <w:rsid w:val="00722800"/>
    <w:rsid w:val="00723E64"/>
    <w:rsid w:val="00725893"/>
    <w:rsid w:val="00726901"/>
    <w:rsid w:val="00726CD0"/>
    <w:rsid w:val="00734371"/>
    <w:rsid w:val="007405A8"/>
    <w:rsid w:val="00740AED"/>
    <w:rsid w:val="00744D5E"/>
    <w:rsid w:val="00744DB9"/>
    <w:rsid w:val="00746449"/>
    <w:rsid w:val="00747576"/>
    <w:rsid w:val="00751362"/>
    <w:rsid w:val="00751898"/>
    <w:rsid w:val="00764D94"/>
    <w:rsid w:val="00766A45"/>
    <w:rsid w:val="00767563"/>
    <w:rsid w:val="00767AE8"/>
    <w:rsid w:val="007737EC"/>
    <w:rsid w:val="00775CB7"/>
    <w:rsid w:val="00776A91"/>
    <w:rsid w:val="00776F32"/>
    <w:rsid w:val="007802DE"/>
    <w:rsid w:val="00782BFB"/>
    <w:rsid w:val="00782C27"/>
    <w:rsid w:val="007849C4"/>
    <w:rsid w:val="00785976"/>
    <w:rsid w:val="007904BF"/>
    <w:rsid w:val="00795954"/>
    <w:rsid w:val="007A1756"/>
    <w:rsid w:val="007A43CC"/>
    <w:rsid w:val="007A7A41"/>
    <w:rsid w:val="007B03F8"/>
    <w:rsid w:val="007B3B03"/>
    <w:rsid w:val="007C6201"/>
    <w:rsid w:val="007D1063"/>
    <w:rsid w:val="007D14E6"/>
    <w:rsid w:val="007E081B"/>
    <w:rsid w:val="007E145B"/>
    <w:rsid w:val="007E56AA"/>
    <w:rsid w:val="007E6717"/>
    <w:rsid w:val="007F6546"/>
    <w:rsid w:val="007F7EAC"/>
    <w:rsid w:val="0080008C"/>
    <w:rsid w:val="00803B2A"/>
    <w:rsid w:val="0081113F"/>
    <w:rsid w:val="00815090"/>
    <w:rsid w:val="008176ED"/>
    <w:rsid w:val="00822A97"/>
    <w:rsid w:val="00830297"/>
    <w:rsid w:val="008370A0"/>
    <w:rsid w:val="008378D9"/>
    <w:rsid w:val="00840CE5"/>
    <w:rsid w:val="00842298"/>
    <w:rsid w:val="00843536"/>
    <w:rsid w:val="008477C5"/>
    <w:rsid w:val="0085006C"/>
    <w:rsid w:val="0085076A"/>
    <w:rsid w:val="0085121C"/>
    <w:rsid w:val="00852020"/>
    <w:rsid w:val="0085371B"/>
    <w:rsid w:val="00853D61"/>
    <w:rsid w:val="00853E5F"/>
    <w:rsid w:val="00856A85"/>
    <w:rsid w:val="00863F65"/>
    <w:rsid w:val="00864CB0"/>
    <w:rsid w:val="00865215"/>
    <w:rsid w:val="0086584B"/>
    <w:rsid w:val="00865A57"/>
    <w:rsid w:val="008741C2"/>
    <w:rsid w:val="0087599F"/>
    <w:rsid w:val="00880D02"/>
    <w:rsid w:val="00885BB7"/>
    <w:rsid w:val="00887445"/>
    <w:rsid w:val="00894EAC"/>
    <w:rsid w:val="0089501F"/>
    <w:rsid w:val="008A0BA4"/>
    <w:rsid w:val="008A410C"/>
    <w:rsid w:val="008A4495"/>
    <w:rsid w:val="008A46ED"/>
    <w:rsid w:val="008A60C6"/>
    <w:rsid w:val="008B0DBC"/>
    <w:rsid w:val="008B5C95"/>
    <w:rsid w:val="008B60D4"/>
    <w:rsid w:val="008C03C5"/>
    <w:rsid w:val="008C4776"/>
    <w:rsid w:val="008D3BB1"/>
    <w:rsid w:val="008D50D5"/>
    <w:rsid w:val="008D54F5"/>
    <w:rsid w:val="008E5ED6"/>
    <w:rsid w:val="008E70E6"/>
    <w:rsid w:val="008F3951"/>
    <w:rsid w:val="008F4F47"/>
    <w:rsid w:val="008F62D3"/>
    <w:rsid w:val="009031A2"/>
    <w:rsid w:val="00904795"/>
    <w:rsid w:val="00904DB7"/>
    <w:rsid w:val="0090558B"/>
    <w:rsid w:val="0090634B"/>
    <w:rsid w:val="009075B8"/>
    <w:rsid w:val="0091473B"/>
    <w:rsid w:val="00914EFF"/>
    <w:rsid w:val="009174E6"/>
    <w:rsid w:val="00920D7D"/>
    <w:rsid w:val="00924C8E"/>
    <w:rsid w:val="00925173"/>
    <w:rsid w:val="00925516"/>
    <w:rsid w:val="00932B1D"/>
    <w:rsid w:val="00940FC6"/>
    <w:rsid w:val="009508C4"/>
    <w:rsid w:val="00951C66"/>
    <w:rsid w:val="00954FD4"/>
    <w:rsid w:val="00962E11"/>
    <w:rsid w:val="009657F5"/>
    <w:rsid w:val="00965ABD"/>
    <w:rsid w:val="00970433"/>
    <w:rsid w:val="00972519"/>
    <w:rsid w:val="00973B86"/>
    <w:rsid w:val="009748D7"/>
    <w:rsid w:val="0098069B"/>
    <w:rsid w:val="00980BF6"/>
    <w:rsid w:val="0098172F"/>
    <w:rsid w:val="00981CD8"/>
    <w:rsid w:val="00984124"/>
    <w:rsid w:val="0098544E"/>
    <w:rsid w:val="00993E4F"/>
    <w:rsid w:val="00995043"/>
    <w:rsid w:val="00995C34"/>
    <w:rsid w:val="009A6172"/>
    <w:rsid w:val="009A6B0E"/>
    <w:rsid w:val="009A7997"/>
    <w:rsid w:val="009B0953"/>
    <w:rsid w:val="009B48D2"/>
    <w:rsid w:val="009B4F4F"/>
    <w:rsid w:val="009B7AE9"/>
    <w:rsid w:val="009C533E"/>
    <w:rsid w:val="009D366C"/>
    <w:rsid w:val="009D3B9C"/>
    <w:rsid w:val="009E14A3"/>
    <w:rsid w:val="009E1F5F"/>
    <w:rsid w:val="009E2D6D"/>
    <w:rsid w:val="009E5890"/>
    <w:rsid w:val="009F2849"/>
    <w:rsid w:val="009F5E59"/>
    <w:rsid w:val="009F6444"/>
    <w:rsid w:val="009F6B41"/>
    <w:rsid w:val="009F7383"/>
    <w:rsid w:val="00A01811"/>
    <w:rsid w:val="00A026B9"/>
    <w:rsid w:val="00A026EE"/>
    <w:rsid w:val="00A03473"/>
    <w:rsid w:val="00A045C9"/>
    <w:rsid w:val="00A05249"/>
    <w:rsid w:val="00A059F2"/>
    <w:rsid w:val="00A0684E"/>
    <w:rsid w:val="00A072CE"/>
    <w:rsid w:val="00A11EAA"/>
    <w:rsid w:val="00A12B05"/>
    <w:rsid w:val="00A158E6"/>
    <w:rsid w:val="00A15B65"/>
    <w:rsid w:val="00A17854"/>
    <w:rsid w:val="00A217A6"/>
    <w:rsid w:val="00A27718"/>
    <w:rsid w:val="00A3093A"/>
    <w:rsid w:val="00A32E33"/>
    <w:rsid w:val="00A40B13"/>
    <w:rsid w:val="00A41099"/>
    <w:rsid w:val="00A4125D"/>
    <w:rsid w:val="00A42615"/>
    <w:rsid w:val="00A43576"/>
    <w:rsid w:val="00A447DC"/>
    <w:rsid w:val="00A4509C"/>
    <w:rsid w:val="00A50142"/>
    <w:rsid w:val="00A552F7"/>
    <w:rsid w:val="00A555AA"/>
    <w:rsid w:val="00A611F9"/>
    <w:rsid w:val="00A62821"/>
    <w:rsid w:val="00A632EB"/>
    <w:rsid w:val="00A6337A"/>
    <w:rsid w:val="00A634E8"/>
    <w:rsid w:val="00A64774"/>
    <w:rsid w:val="00A65399"/>
    <w:rsid w:val="00A654D6"/>
    <w:rsid w:val="00A67C8E"/>
    <w:rsid w:val="00A72744"/>
    <w:rsid w:val="00A72D2B"/>
    <w:rsid w:val="00A734F4"/>
    <w:rsid w:val="00A76062"/>
    <w:rsid w:val="00A82E2A"/>
    <w:rsid w:val="00A85221"/>
    <w:rsid w:val="00A8550F"/>
    <w:rsid w:val="00A85DD2"/>
    <w:rsid w:val="00A91164"/>
    <w:rsid w:val="00A94289"/>
    <w:rsid w:val="00A95561"/>
    <w:rsid w:val="00A96A42"/>
    <w:rsid w:val="00A97257"/>
    <w:rsid w:val="00A97E7B"/>
    <w:rsid w:val="00AB741C"/>
    <w:rsid w:val="00AC7E74"/>
    <w:rsid w:val="00AD1187"/>
    <w:rsid w:val="00AE39D7"/>
    <w:rsid w:val="00AE781F"/>
    <w:rsid w:val="00AF0DA4"/>
    <w:rsid w:val="00AF2C74"/>
    <w:rsid w:val="00AF2D30"/>
    <w:rsid w:val="00AF34EA"/>
    <w:rsid w:val="00AF5014"/>
    <w:rsid w:val="00B03FA4"/>
    <w:rsid w:val="00B06833"/>
    <w:rsid w:val="00B1025C"/>
    <w:rsid w:val="00B118B4"/>
    <w:rsid w:val="00B208BD"/>
    <w:rsid w:val="00B20DCF"/>
    <w:rsid w:val="00B21A06"/>
    <w:rsid w:val="00B255A2"/>
    <w:rsid w:val="00B3001F"/>
    <w:rsid w:val="00B31D9C"/>
    <w:rsid w:val="00B32570"/>
    <w:rsid w:val="00B371C7"/>
    <w:rsid w:val="00B3747E"/>
    <w:rsid w:val="00B408F5"/>
    <w:rsid w:val="00B40ADF"/>
    <w:rsid w:val="00B40E41"/>
    <w:rsid w:val="00B427A8"/>
    <w:rsid w:val="00B451A8"/>
    <w:rsid w:val="00B457D7"/>
    <w:rsid w:val="00B46F41"/>
    <w:rsid w:val="00B511CB"/>
    <w:rsid w:val="00B51B14"/>
    <w:rsid w:val="00B53138"/>
    <w:rsid w:val="00B57684"/>
    <w:rsid w:val="00B57BA3"/>
    <w:rsid w:val="00B60551"/>
    <w:rsid w:val="00B61EFC"/>
    <w:rsid w:val="00B624B1"/>
    <w:rsid w:val="00B62846"/>
    <w:rsid w:val="00B63CA1"/>
    <w:rsid w:val="00B65F46"/>
    <w:rsid w:val="00B6642E"/>
    <w:rsid w:val="00B711DD"/>
    <w:rsid w:val="00B715C6"/>
    <w:rsid w:val="00B71DAE"/>
    <w:rsid w:val="00B77473"/>
    <w:rsid w:val="00B81E89"/>
    <w:rsid w:val="00B82669"/>
    <w:rsid w:val="00B8337D"/>
    <w:rsid w:val="00B84057"/>
    <w:rsid w:val="00B841E8"/>
    <w:rsid w:val="00B843D9"/>
    <w:rsid w:val="00B84602"/>
    <w:rsid w:val="00B91D7B"/>
    <w:rsid w:val="00B93F17"/>
    <w:rsid w:val="00B9484E"/>
    <w:rsid w:val="00BA303B"/>
    <w:rsid w:val="00BA56EB"/>
    <w:rsid w:val="00BB06E1"/>
    <w:rsid w:val="00BB2123"/>
    <w:rsid w:val="00BB32C0"/>
    <w:rsid w:val="00BB73EE"/>
    <w:rsid w:val="00BC0CFD"/>
    <w:rsid w:val="00BC38C8"/>
    <w:rsid w:val="00BC5936"/>
    <w:rsid w:val="00BC5AC8"/>
    <w:rsid w:val="00BC612C"/>
    <w:rsid w:val="00BC7B69"/>
    <w:rsid w:val="00BD1589"/>
    <w:rsid w:val="00BD2B3E"/>
    <w:rsid w:val="00BD2B91"/>
    <w:rsid w:val="00BD56CE"/>
    <w:rsid w:val="00BD5E63"/>
    <w:rsid w:val="00BD7788"/>
    <w:rsid w:val="00BE24F3"/>
    <w:rsid w:val="00BE2879"/>
    <w:rsid w:val="00BE298D"/>
    <w:rsid w:val="00BF0B2C"/>
    <w:rsid w:val="00BF260F"/>
    <w:rsid w:val="00C0480E"/>
    <w:rsid w:val="00C07EA9"/>
    <w:rsid w:val="00C14D39"/>
    <w:rsid w:val="00C213A2"/>
    <w:rsid w:val="00C24563"/>
    <w:rsid w:val="00C25E30"/>
    <w:rsid w:val="00C32E2D"/>
    <w:rsid w:val="00C35E86"/>
    <w:rsid w:val="00C4033F"/>
    <w:rsid w:val="00C40C8B"/>
    <w:rsid w:val="00C41733"/>
    <w:rsid w:val="00C41B5D"/>
    <w:rsid w:val="00C44301"/>
    <w:rsid w:val="00C46DB7"/>
    <w:rsid w:val="00C47290"/>
    <w:rsid w:val="00C538E0"/>
    <w:rsid w:val="00C704C9"/>
    <w:rsid w:val="00C71D08"/>
    <w:rsid w:val="00C74025"/>
    <w:rsid w:val="00C801AE"/>
    <w:rsid w:val="00C8108C"/>
    <w:rsid w:val="00C8193C"/>
    <w:rsid w:val="00C85BE3"/>
    <w:rsid w:val="00CA61EF"/>
    <w:rsid w:val="00CA74F1"/>
    <w:rsid w:val="00CB5CF4"/>
    <w:rsid w:val="00CB743E"/>
    <w:rsid w:val="00CC0E82"/>
    <w:rsid w:val="00CC3FF2"/>
    <w:rsid w:val="00CC43F3"/>
    <w:rsid w:val="00CC582E"/>
    <w:rsid w:val="00CC7038"/>
    <w:rsid w:val="00CD06E1"/>
    <w:rsid w:val="00CD1BB2"/>
    <w:rsid w:val="00CD2D24"/>
    <w:rsid w:val="00CD546A"/>
    <w:rsid w:val="00CD60AB"/>
    <w:rsid w:val="00CD6B22"/>
    <w:rsid w:val="00CE1491"/>
    <w:rsid w:val="00CE271A"/>
    <w:rsid w:val="00CE57C8"/>
    <w:rsid w:val="00CF040E"/>
    <w:rsid w:val="00CF1FD0"/>
    <w:rsid w:val="00CF4952"/>
    <w:rsid w:val="00D007FD"/>
    <w:rsid w:val="00D01FB0"/>
    <w:rsid w:val="00D02097"/>
    <w:rsid w:val="00D03AC7"/>
    <w:rsid w:val="00D043E1"/>
    <w:rsid w:val="00D04B7D"/>
    <w:rsid w:val="00D057F5"/>
    <w:rsid w:val="00D05A19"/>
    <w:rsid w:val="00D10744"/>
    <w:rsid w:val="00D10939"/>
    <w:rsid w:val="00D12F65"/>
    <w:rsid w:val="00D1340E"/>
    <w:rsid w:val="00D14ECD"/>
    <w:rsid w:val="00D2179E"/>
    <w:rsid w:val="00D2230F"/>
    <w:rsid w:val="00D24399"/>
    <w:rsid w:val="00D306EF"/>
    <w:rsid w:val="00D30CBE"/>
    <w:rsid w:val="00D30F7C"/>
    <w:rsid w:val="00D31170"/>
    <w:rsid w:val="00D32C0E"/>
    <w:rsid w:val="00D34923"/>
    <w:rsid w:val="00D36144"/>
    <w:rsid w:val="00D364E9"/>
    <w:rsid w:val="00D44566"/>
    <w:rsid w:val="00D46A08"/>
    <w:rsid w:val="00D6348D"/>
    <w:rsid w:val="00D63809"/>
    <w:rsid w:val="00D64802"/>
    <w:rsid w:val="00D6754D"/>
    <w:rsid w:val="00D72997"/>
    <w:rsid w:val="00D73DB9"/>
    <w:rsid w:val="00D74A95"/>
    <w:rsid w:val="00D770F5"/>
    <w:rsid w:val="00D808F3"/>
    <w:rsid w:val="00D81CCA"/>
    <w:rsid w:val="00D82B76"/>
    <w:rsid w:val="00D8447A"/>
    <w:rsid w:val="00D84922"/>
    <w:rsid w:val="00D874E6"/>
    <w:rsid w:val="00D9483E"/>
    <w:rsid w:val="00D94F37"/>
    <w:rsid w:val="00D95356"/>
    <w:rsid w:val="00D955D6"/>
    <w:rsid w:val="00D97337"/>
    <w:rsid w:val="00DA0683"/>
    <w:rsid w:val="00DA139D"/>
    <w:rsid w:val="00DA2C2D"/>
    <w:rsid w:val="00DA31B3"/>
    <w:rsid w:val="00DB63B2"/>
    <w:rsid w:val="00DB73CD"/>
    <w:rsid w:val="00DC082F"/>
    <w:rsid w:val="00DC3228"/>
    <w:rsid w:val="00DC77F4"/>
    <w:rsid w:val="00DD0214"/>
    <w:rsid w:val="00DD4D3B"/>
    <w:rsid w:val="00DD7163"/>
    <w:rsid w:val="00DE135F"/>
    <w:rsid w:val="00DE415C"/>
    <w:rsid w:val="00DE6A34"/>
    <w:rsid w:val="00DF15DA"/>
    <w:rsid w:val="00DF1732"/>
    <w:rsid w:val="00DF3099"/>
    <w:rsid w:val="00DF6A99"/>
    <w:rsid w:val="00DF6C8A"/>
    <w:rsid w:val="00E0078D"/>
    <w:rsid w:val="00E02AC6"/>
    <w:rsid w:val="00E07816"/>
    <w:rsid w:val="00E11CD1"/>
    <w:rsid w:val="00E138C3"/>
    <w:rsid w:val="00E14346"/>
    <w:rsid w:val="00E2161D"/>
    <w:rsid w:val="00E27DA8"/>
    <w:rsid w:val="00E310A0"/>
    <w:rsid w:val="00E31B48"/>
    <w:rsid w:val="00E32D66"/>
    <w:rsid w:val="00E372C0"/>
    <w:rsid w:val="00E37C8A"/>
    <w:rsid w:val="00E40913"/>
    <w:rsid w:val="00E41BDB"/>
    <w:rsid w:val="00E44449"/>
    <w:rsid w:val="00E465E7"/>
    <w:rsid w:val="00E51D29"/>
    <w:rsid w:val="00E52173"/>
    <w:rsid w:val="00E534DB"/>
    <w:rsid w:val="00E55711"/>
    <w:rsid w:val="00E5613F"/>
    <w:rsid w:val="00E56665"/>
    <w:rsid w:val="00E607A1"/>
    <w:rsid w:val="00E619E8"/>
    <w:rsid w:val="00E633B8"/>
    <w:rsid w:val="00E6745A"/>
    <w:rsid w:val="00E7116C"/>
    <w:rsid w:val="00E7370A"/>
    <w:rsid w:val="00E73E7B"/>
    <w:rsid w:val="00E8196F"/>
    <w:rsid w:val="00E82989"/>
    <w:rsid w:val="00E833E6"/>
    <w:rsid w:val="00E84095"/>
    <w:rsid w:val="00E90BE3"/>
    <w:rsid w:val="00EA1CA3"/>
    <w:rsid w:val="00EA23B2"/>
    <w:rsid w:val="00EA705B"/>
    <w:rsid w:val="00EB1513"/>
    <w:rsid w:val="00EB2253"/>
    <w:rsid w:val="00EB51B6"/>
    <w:rsid w:val="00EB5B98"/>
    <w:rsid w:val="00EB5CD2"/>
    <w:rsid w:val="00EC3CE3"/>
    <w:rsid w:val="00EC453C"/>
    <w:rsid w:val="00ED1A68"/>
    <w:rsid w:val="00ED5BB3"/>
    <w:rsid w:val="00EF0DAD"/>
    <w:rsid w:val="00EF2A90"/>
    <w:rsid w:val="00EF3F99"/>
    <w:rsid w:val="00F008FE"/>
    <w:rsid w:val="00F064FC"/>
    <w:rsid w:val="00F07254"/>
    <w:rsid w:val="00F12A8C"/>
    <w:rsid w:val="00F146DD"/>
    <w:rsid w:val="00F22049"/>
    <w:rsid w:val="00F23C45"/>
    <w:rsid w:val="00F25B17"/>
    <w:rsid w:val="00F264A9"/>
    <w:rsid w:val="00F27DE6"/>
    <w:rsid w:val="00F301CC"/>
    <w:rsid w:val="00F3519E"/>
    <w:rsid w:val="00F36E78"/>
    <w:rsid w:val="00F374CC"/>
    <w:rsid w:val="00F414FA"/>
    <w:rsid w:val="00F41E8B"/>
    <w:rsid w:val="00F45523"/>
    <w:rsid w:val="00F45785"/>
    <w:rsid w:val="00F458A9"/>
    <w:rsid w:val="00F4606B"/>
    <w:rsid w:val="00F46DA0"/>
    <w:rsid w:val="00F52495"/>
    <w:rsid w:val="00F52D70"/>
    <w:rsid w:val="00F53348"/>
    <w:rsid w:val="00F553A1"/>
    <w:rsid w:val="00F57925"/>
    <w:rsid w:val="00F60864"/>
    <w:rsid w:val="00F622BF"/>
    <w:rsid w:val="00F62820"/>
    <w:rsid w:val="00F636C4"/>
    <w:rsid w:val="00F659A4"/>
    <w:rsid w:val="00F66BE7"/>
    <w:rsid w:val="00F67BA4"/>
    <w:rsid w:val="00F70CF4"/>
    <w:rsid w:val="00F71B04"/>
    <w:rsid w:val="00F72E17"/>
    <w:rsid w:val="00F768B9"/>
    <w:rsid w:val="00F7696C"/>
    <w:rsid w:val="00F80F2A"/>
    <w:rsid w:val="00F83AFA"/>
    <w:rsid w:val="00F844D7"/>
    <w:rsid w:val="00F862B8"/>
    <w:rsid w:val="00F87387"/>
    <w:rsid w:val="00F93544"/>
    <w:rsid w:val="00F942D7"/>
    <w:rsid w:val="00FA0046"/>
    <w:rsid w:val="00FA32CE"/>
    <w:rsid w:val="00FA398C"/>
    <w:rsid w:val="00FA569A"/>
    <w:rsid w:val="00FA5D15"/>
    <w:rsid w:val="00FB2109"/>
    <w:rsid w:val="00FB2C8C"/>
    <w:rsid w:val="00FB5E54"/>
    <w:rsid w:val="00FC0131"/>
    <w:rsid w:val="00FC197F"/>
    <w:rsid w:val="00FC3CC3"/>
    <w:rsid w:val="00FC5CC1"/>
    <w:rsid w:val="00FD658B"/>
    <w:rsid w:val="00FD7709"/>
    <w:rsid w:val="00FE1018"/>
    <w:rsid w:val="00FE33AA"/>
    <w:rsid w:val="00FF0514"/>
    <w:rsid w:val="00FF1041"/>
    <w:rsid w:val="00FF14A8"/>
    <w:rsid w:val="00FF2581"/>
    <w:rsid w:val="00FF56C9"/>
    <w:rsid w:val="0736BC2E"/>
    <w:rsid w:val="0F28A5B6"/>
    <w:rsid w:val="0FD8A0AA"/>
    <w:rsid w:val="26A25CD9"/>
    <w:rsid w:val="4614CD46"/>
    <w:rsid w:val="4666A881"/>
    <w:rsid w:val="474375B0"/>
    <w:rsid w:val="56D299D7"/>
    <w:rsid w:val="67D9F64A"/>
    <w:rsid w:val="71F4817D"/>
    <w:rsid w:val="738EA406"/>
    <w:rsid w:val="750C7DA6"/>
    <w:rsid w:val="7C6957F6"/>
    <w:rsid w:val="7E3B1D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B9CA4"/>
  <w15:chartTrackingRefBased/>
  <w15:docId w15:val="{FBAFEC99-AE35-44F7-BBE2-ABB02D965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70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A705B"/>
    <w:pPr>
      <w:ind w:left="720"/>
      <w:contextualSpacing/>
    </w:pPr>
  </w:style>
  <w:style w:type="character" w:customStyle="1" w:styleId="normaltextrun">
    <w:name w:val="normaltextrun"/>
    <w:basedOn w:val="Fuentedeprrafopredeter"/>
    <w:rsid w:val="00EA705B"/>
  </w:style>
  <w:style w:type="paragraph" w:styleId="Textodeglobo">
    <w:name w:val="Balloon Text"/>
    <w:basedOn w:val="Normal"/>
    <w:link w:val="TextodegloboCar"/>
    <w:uiPriority w:val="99"/>
    <w:semiHidden/>
    <w:unhideWhenUsed/>
    <w:rsid w:val="00560D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DC9"/>
    <w:rPr>
      <w:rFonts w:ascii="Segoe UI" w:hAnsi="Segoe UI" w:cs="Segoe UI"/>
      <w:sz w:val="18"/>
      <w:szCs w:val="18"/>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
    <w:basedOn w:val="Normal"/>
    <w:link w:val="TextonotapieCar"/>
    <w:unhideWhenUsed/>
    <w:qFormat/>
    <w:rsid w:val="00F659A4"/>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semiHidden/>
    <w:rsid w:val="00F659A4"/>
    <w:rPr>
      <w:sz w:val="20"/>
      <w:szCs w:val="20"/>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basedOn w:val="Fuentedeprrafopredeter"/>
    <w:unhideWhenUsed/>
    <w:qFormat/>
    <w:rsid w:val="00F659A4"/>
    <w:rPr>
      <w:vertAlign w:val="superscript"/>
    </w:rPr>
  </w:style>
  <w:style w:type="character" w:customStyle="1" w:styleId="TextonotapieCar1">
    <w:name w:val="Texto nota pie Car1"/>
    <w:aliases w:val="Texto nota pie Car Car1,Footnote Text Char Char Char Char Char Car1,Footnote Text Char Char Char Char Car1,Footnote reference Car1,FA Fu Car1,Footnote Text Cha Car1,Footnote Text Char Char Char Car1,FA Fußnotentext Car1"/>
    <w:rsid w:val="00110A4A"/>
    <w:rPr>
      <w:rFonts w:ascii="Times New Roman" w:eastAsia="Times New Roman" w:hAnsi="Times New Roman" w:cs="Times New Roman"/>
      <w:sz w:val="24"/>
      <w:szCs w:val="24"/>
      <w:lang w:val="es-ES_tradnl" w:eastAsia="es-ES"/>
    </w:rPr>
  </w:style>
  <w:style w:type="character" w:styleId="Refdecomentario">
    <w:name w:val="annotation reference"/>
    <w:basedOn w:val="Fuentedeprrafopredeter"/>
    <w:uiPriority w:val="99"/>
    <w:semiHidden/>
    <w:unhideWhenUsed/>
    <w:rsid w:val="006B2201"/>
    <w:rPr>
      <w:sz w:val="16"/>
      <w:szCs w:val="16"/>
    </w:rPr>
  </w:style>
  <w:style w:type="paragraph" w:styleId="Textocomentario">
    <w:name w:val="annotation text"/>
    <w:basedOn w:val="Normal"/>
    <w:link w:val="TextocomentarioCar"/>
    <w:uiPriority w:val="99"/>
    <w:semiHidden/>
    <w:unhideWhenUsed/>
    <w:rsid w:val="006B220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B2201"/>
    <w:rPr>
      <w:sz w:val="20"/>
      <w:szCs w:val="20"/>
    </w:rPr>
  </w:style>
  <w:style w:type="paragraph" w:styleId="Encabezado">
    <w:name w:val="header"/>
    <w:basedOn w:val="Normal"/>
    <w:link w:val="EncabezadoCar"/>
    <w:uiPriority w:val="99"/>
    <w:unhideWhenUsed/>
    <w:rsid w:val="00C85B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5BE3"/>
  </w:style>
  <w:style w:type="paragraph" w:styleId="Piedepgina">
    <w:name w:val="footer"/>
    <w:basedOn w:val="Normal"/>
    <w:link w:val="PiedepginaCar"/>
    <w:uiPriority w:val="99"/>
    <w:unhideWhenUsed/>
    <w:rsid w:val="00C85B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5BE3"/>
  </w:style>
  <w:style w:type="paragraph" w:styleId="Textoindependiente">
    <w:name w:val="Body Text"/>
    <w:basedOn w:val="Normal"/>
    <w:link w:val="TextoindependienteCar"/>
    <w:uiPriority w:val="1"/>
    <w:semiHidden/>
    <w:unhideWhenUsed/>
    <w:qFormat/>
    <w:rsid w:val="00A64774"/>
    <w:pPr>
      <w:widowControl w:val="0"/>
      <w:autoSpaceDE w:val="0"/>
      <w:autoSpaceDN w:val="0"/>
      <w:spacing w:after="0" w:line="240" w:lineRule="auto"/>
    </w:pPr>
    <w:rPr>
      <w:rFonts w:ascii="Gadugi" w:eastAsia="Gadugi" w:hAnsi="Gadugi" w:cs="Gadugi"/>
      <w:sz w:val="26"/>
      <w:szCs w:val="26"/>
      <w:lang w:val="es-ES"/>
    </w:rPr>
  </w:style>
  <w:style w:type="character" w:customStyle="1" w:styleId="TextoindependienteCar">
    <w:name w:val="Texto independiente Car"/>
    <w:basedOn w:val="Fuentedeprrafopredeter"/>
    <w:link w:val="Textoindependiente"/>
    <w:uiPriority w:val="1"/>
    <w:semiHidden/>
    <w:rsid w:val="00A64774"/>
    <w:rPr>
      <w:rFonts w:ascii="Gadugi" w:eastAsia="Gadugi" w:hAnsi="Gadugi" w:cs="Gadugi"/>
      <w:sz w:val="26"/>
      <w:szCs w:val="26"/>
      <w:lang w:val="es-ES"/>
    </w:rPr>
  </w:style>
  <w:style w:type="paragraph" w:styleId="Asuntodelcomentario">
    <w:name w:val="annotation subject"/>
    <w:basedOn w:val="Textocomentario"/>
    <w:next w:val="Textocomentario"/>
    <w:link w:val="AsuntodelcomentarioCar"/>
    <w:uiPriority w:val="99"/>
    <w:semiHidden/>
    <w:unhideWhenUsed/>
    <w:rsid w:val="00E607A1"/>
    <w:rPr>
      <w:b/>
      <w:bCs/>
    </w:rPr>
  </w:style>
  <w:style w:type="character" w:customStyle="1" w:styleId="AsuntodelcomentarioCar">
    <w:name w:val="Asunto del comentario Car"/>
    <w:basedOn w:val="TextocomentarioCar"/>
    <w:link w:val="Asuntodelcomentario"/>
    <w:uiPriority w:val="99"/>
    <w:semiHidden/>
    <w:rsid w:val="00E607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81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65936e60de95436e"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a49479a36e4efae01bb8c31cc82e3c7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b0d3ceb14502237f016f5036170b1017"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4D711-C9EE-4DEA-9FC9-CD19AEE460AD}">
  <ds:schemaRefs>
    <ds:schemaRef ds:uri="http://schemas.microsoft.com/sharepoint/v3/contenttype/forms"/>
  </ds:schemaRefs>
</ds:datastoreItem>
</file>

<file path=customXml/itemProps2.xml><?xml version="1.0" encoding="utf-8"?>
<ds:datastoreItem xmlns:ds="http://schemas.openxmlformats.org/officeDocument/2006/customXml" ds:itemID="{8BD84467-ACA2-4171-A50B-01B9B3A2C3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4A6AA3-678A-4D75-ADE2-54FB1D1C5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2002D0-CCE5-438D-BDDD-29B69A028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5865</Words>
  <Characters>32262</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JEISON</dc:creator>
  <cp:keywords/>
  <dc:description/>
  <cp:lastModifiedBy>Hermides Alonso Gaviria Ocampo</cp:lastModifiedBy>
  <cp:revision>7</cp:revision>
  <dcterms:created xsi:type="dcterms:W3CDTF">2021-12-16T16:36:00Z</dcterms:created>
  <dcterms:modified xsi:type="dcterms:W3CDTF">2022-03-02T15:47:00Z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