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310F0D6" w14:textId="77777777" w:rsidR="00205A22" w:rsidRPr="00205A22" w:rsidRDefault="00205A22" w:rsidP="00205A22">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bookmarkStart w:id="0" w:name="_GoBack"/>
      <w:bookmarkEnd w:id="0"/>
      <w:r w:rsidRPr="00205A22">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w:t>
      </w:r>
      <w:r w:rsidRPr="00205A22">
        <w:rPr>
          <w:rFonts w:eastAsia="Times New Roman" w:cs="Arial"/>
          <w:color w:val="FF0000"/>
          <w:spacing w:val="-4"/>
          <w:sz w:val="18"/>
          <w:szCs w:val="18"/>
          <w:lang w:val="es-419" w:eastAsia="fr-FR"/>
        </w:rPr>
        <w:tab/>
        <w:t>o.  El contenido total y fiel de la decisión debe ser verificado en la respectiva Secretaría.</w:t>
      </w:r>
    </w:p>
    <w:p w14:paraId="1BF41FA1" w14:textId="77777777" w:rsidR="00205A22" w:rsidRPr="00205A22" w:rsidRDefault="00205A22" w:rsidP="00205A22">
      <w:pPr>
        <w:spacing w:line="240" w:lineRule="auto"/>
        <w:rPr>
          <w:rFonts w:eastAsia="Times New Roman" w:cs="Arial"/>
          <w:sz w:val="20"/>
          <w:szCs w:val="20"/>
          <w:lang w:val="es-419" w:eastAsia="es-ES"/>
        </w:rPr>
      </w:pPr>
    </w:p>
    <w:p w14:paraId="526E83A1" w14:textId="6E18E656" w:rsidR="00205A22" w:rsidRPr="00205A22" w:rsidRDefault="00205A22" w:rsidP="00205A22">
      <w:pPr>
        <w:spacing w:line="240" w:lineRule="auto"/>
        <w:rPr>
          <w:rFonts w:eastAsia="Times New Roman" w:cs="Arial"/>
          <w:sz w:val="20"/>
          <w:szCs w:val="20"/>
          <w:lang w:val="es-419" w:eastAsia="es-ES"/>
        </w:rPr>
      </w:pPr>
      <w:r w:rsidRPr="00205A22">
        <w:rPr>
          <w:rFonts w:eastAsia="Times New Roman" w:cs="Arial"/>
          <w:sz w:val="20"/>
          <w:szCs w:val="20"/>
          <w:lang w:val="es-419" w:eastAsia="es-ES"/>
        </w:rPr>
        <w:t>Providencia:</w:t>
      </w:r>
      <w:r>
        <w:rPr>
          <w:rFonts w:eastAsia="Times New Roman" w:cs="Arial"/>
          <w:sz w:val="20"/>
          <w:szCs w:val="20"/>
          <w:lang w:val="es-419" w:eastAsia="es-ES"/>
        </w:rPr>
        <w:tab/>
      </w:r>
      <w:r>
        <w:rPr>
          <w:rFonts w:eastAsia="Times New Roman" w:cs="Arial"/>
          <w:sz w:val="20"/>
          <w:szCs w:val="20"/>
          <w:lang w:val="es-419" w:eastAsia="es-ES"/>
        </w:rPr>
        <w:tab/>
      </w:r>
      <w:r w:rsidRPr="00205A22">
        <w:rPr>
          <w:rFonts w:eastAsia="Times New Roman" w:cs="Arial"/>
          <w:sz w:val="20"/>
          <w:szCs w:val="20"/>
          <w:lang w:val="es-419" w:eastAsia="es-ES"/>
        </w:rPr>
        <w:t>Sentencia de segunda instancia del 20 de enero de 2021</w:t>
      </w:r>
    </w:p>
    <w:p w14:paraId="74BC89C2" w14:textId="77777777" w:rsidR="00205A22" w:rsidRPr="00205A22" w:rsidRDefault="00205A22" w:rsidP="00205A22">
      <w:pPr>
        <w:spacing w:line="240" w:lineRule="auto"/>
        <w:rPr>
          <w:rFonts w:eastAsia="Times New Roman" w:cs="Arial"/>
          <w:sz w:val="20"/>
          <w:szCs w:val="20"/>
          <w:lang w:val="es-419" w:eastAsia="es-ES"/>
        </w:rPr>
      </w:pPr>
      <w:r w:rsidRPr="00205A22">
        <w:rPr>
          <w:rFonts w:eastAsia="Times New Roman" w:cs="Arial"/>
          <w:sz w:val="20"/>
          <w:szCs w:val="20"/>
          <w:lang w:val="es-419" w:eastAsia="es-ES"/>
        </w:rPr>
        <w:t xml:space="preserve">Radicación No.: </w:t>
      </w:r>
      <w:r w:rsidRPr="00205A22">
        <w:rPr>
          <w:rFonts w:eastAsia="Times New Roman" w:cs="Arial"/>
          <w:sz w:val="20"/>
          <w:szCs w:val="20"/>
          <w:lang w:val="es-419" w:eastAsia="es-ES"/>
        </w:rPr>
        <w:tab/>
        <w:t>66001-31-05-005-2018-00223-01</w:t>
      </w:r>
    </w:p>
    <w:p w14:paraId="7FFDC23F" w14:textId="3683EBC1" w:rsidR="00205A22" w:rsidRPr="00205A22" w:rsidRDefault="00205A22" w:rsidP="00205A22">
      <w:pPr>
        <w:spacing w:line="240" w:lineRule="auto"/>
        <w:rPr>
          <w:rFonts w:eastAsia="Times New Roman" w:cs="Arial"/>
          <w:sz w:val="20"/>
          <w:szCs w:val="20"/>
          <w:lang w:val="es-419" w:eastAsia="es-ES"/>
        </w:rPr>
      </w:pPr>
      <w:r w:rsidRPr="00205A22">
        <w:rPr>
          <w:rFonts w:eastAsia="Times New Roman" w:cs="Arial"/>
          <w:sz w:val="20"/>
          <w:szCs w:val="20"/>
          <w:lang w:val="es-419" w:eastAsia="es-ES"/>
        </w:rPr>
        <w:t>Proceso:</w:t>
      </w:r>
      <w:r>
        <w:rPr>
          <w:rFonts w:eastAsia="Times New Roman" w:cs="Arial"/>
          <w:sz w:val="20"/>
          <w:szCs w:val="20"/>
          <w:lang w:val="es-419" w:eastAsia="es-ES"/>
        </w:rPr>
        <w:tab/>
      </w:r>
      <w:r w:rsidRPr="00205A22">
        <w:rPr>
          <w:rFonts w:eastAsia="Times New Roman" w:cs="Arial"/>
          <w:sz w:val="20"/>
          <w:szCs w:val="20"/>
          <w:lang w:val="es-419" w:eastAsia="es-ES"/>
        </w:rPr>
        <w:tab/>
        <w:t xml:space="preserve">Ordinario Laboral </w:t>
      </w:r>
    </w:p>
    <w:p w14:paraId="4511E4F2" w14:textId="7DF81763" w:rsidR="00205A22" w:rsidRPr="00205A22" w:rsidRDefault="00205A22" w:rsidP="00205A22">
      <w:pPr>
        <w:spacing w:line="240" w:lineRule="auto"/>
        <w:rPr>
          <w:rFonts w:eastAsia="Times New Roman" w:cs="Arial"/>
          <w:sz w:val="20"/>
          <w:szCs w:val="20"/>
          <w:lang w:val="es-419" w:eastAsia="es-ES"/>
        </w:rPr>
      </w:pPr>
      <w:r w:rsidRPr="00205A22">
        <w:rPr>
          <w:rFonts w:eastAsia="Times New Roman" w:cs="Arial"/>
          <w:sz w:val="20"/>
          <w:szCs w:val="20"/>
          <w:lang w:val="es-419" w:eastAsia="es-ES"/>
        </w:rPr>
        <w:t xml:space="preserve">Demandante: </w:t>
      </w:r>
      <w:r w:rsidRPr="00205A22">
        <w:rPr>
          <w:rFonts w:eastAsia="Times New Roman" w:cs="Arial"/>
          <w:sz w:val="20"/>
          <w:szCs w:val="20"/>
          <w:lang w:val="es-419" w:eastAsia="es-ES"/>
        </w:rPr>
        <w:tab/>
      </w:r>
      <w:r>
        <w:rPr>
          <w:rFonts w:eastAsia="Times New Roman" w:cs="Arial"/>
          <w:sz w:val="20"/>
          <w:szCs w:val="20"/>
          <w:lang w:val="es-419" w:eastAsia="es-ES"/>
        </w:rPr>
        <w:tab/>
      </w:r>
      <w:r w:rsidRPr="00205A22">
        <w:rPr>
          <w:rFonts w:eastAsia="Times New Roman" w:cs="Arial"/>
          <w:sz w:val="20"/>
          <w:szCs w:val="20"/>
          <w:lang w:val="es-419" w:eastAsia="es-ES"/>
        </w:rPr>
        <w:t>Joaquín María Grajales Osorio</w:t>
      </w:r>
    </w:p>
    <w:p w14:paraId="4F34D651" w14:textId="5D7B344A" w:rsidR="00205A22" w:rsidRDefault="00205A22" w:rsidP="00205A22">
      <w:pPr>
        <w:spacing w:line="240" w:lineRule="auto"/>
        <w:rPr>
          <w:rFonts w:eastAsia="Times New Roman" w:cs="Arial"/>
          <w:sz w:val="20"/>
          <w:szCs w:val="20"/>
          <w:lang w:val="es-419" w:eastAsia="es-ES"/>
        </w:rPr>
      </w:pPr>
      <w:r w:rsidRPr="00205A22">
        <w:rPr>
          <w:rFonts w:eastAsia="Times New Roman" w:cs="Arial"/>
          <w:sz w:val="20"/>
          <w:szCs w:val="20"/>
          <w:lang w:val="es-419" w:eastAsia="es-ES"/>
        </w:rPr>
        <w:t xml:space="preserve">Demandado: </w:t>
      </w:r>
      <w:r w:rsidRPr="00205A22">
        <w:rPr>
          <w:rFonts w:eastAsia="Times New Roman" w:cs="Arial"/>
          <w:sz w:val="20"/>
          <w:szCs w:val="20"/>
          <w:lang w:val="es-419" w:eastAsia="es-ES"/>
        </w:rPr>
        <w:tab/>
      </w:r>
      <w:r>
        <w:rPr>
          <w:rFonts w:eastAsia="Times New Roman" w:cs="Arial"/>
          <w:sz w:val="20"/>
          <w:szCs w:val="20"/>
          <w:lang w:val="es-419" w:eastAsia="es-ES"/>
        </w:rPr>
        <w:tab/>
      </w:r>
      <w:r w:rsidRPr="00205A22">
        <w:rPr>
          <w:rFonts w:eastAsia="Times New Roman" w:cs="Arial"/>
          <w:sz w:val="20"/>
          <w:szCs w:val="20"/>
          <w:lang w:val="es-419" w:eastAsia="es-ES"/>
        </w:rPr>
        <w:t>Colpensiones, PAR Telecom – Fiduagraria S.A</w:t>
      </w:r>
      <w:r>
        <w:rPr>
          <w:rFonts w:eastAsia="Times New Roman" w:cs="Arial"/>
          <w:sz w:val="20"/>
          <w:szCs w:val="20"/>
          <w:lang w:val="es-419" w:eastAsia="es-ES"/>
        </w:rPr>
        <w:t>. y Fiduciaria Popular S.A.</w:t>
      </w:r>
    </w:p>
    <w:p w14:paraId="5A88EDB5" w14:textId="506D069A" w:rsidR="00205A22" w:rsidRPr="00205A22" w:rsidRDefault="00205A22" w:rsidP="00205A22">
      <w:pPr>
        <w:spacing w:line="240" w:lineRule="auto"/>
        <w:rPr>
          <w:rFonts w:eastAsia="Times New Roman" w:cs="Arial"/>
          <w:sz w:val="20"/>
          <w:szCs w:val="20"/>
          <w:lang w:val="es-419" w:eastAsia="es-ES"/>
        </w:rPr>
      </w:pPr>
      <w:r>
        <w:rPr>
          <w:rFonts w:eastAsia="Times New Roman" w:cs="Arial"/>
          <w:sz w:val="20"/>
          <w:szCs w:val="20"/>
          <w:lang w:val="es-419" w:eastAsia="es-ES"/>
        </w:rPr>
        <w:t>V</w:t>
      </w:r>
      <w:r w:rsidRPr="00205A22">
        <w:rPr>
          <w:rFonts w:eastAsia="Times New Roman" w:cs="Arial"/>
          <w:sz w:val="20"/>
          <w:szCs w:val="20"/>
          <w:lang w:val="es-419" w:eastAsia="es-ES"/>
        </w:rPr>
        <w:t>inculado</w:t>
      </w:r>
      <w:r>
        <w:rPr>
          <w:rFonts w:eastAsia="Times New Roman" w:cs="Arial"/>
          <w:sz w:val="20"/>
          <w:szCs w:val="20"/>
          <w:lang w:val="es-419" w:eastAsia="es-ES"/>
        </w:rPr>
        <w:t>:</w:t>
      </w:r>
      <w:r>
        <w:rPr>
          <w:rFonts w:eastAsia="Times New Roman" w:cs="Arial"/>
          <w:sz w:val="20"/>
          <w:szCs w:val="20"/>
          <w:lang w:val="es-419" w:eastAsia="es-ES"/>
        </w:rPr>
        <w:tab/>
      </w:r>
      <w:r>
        <w:rPr>
          <w:rFonts w:eastAsia="Times New Roman" w:cs="Arial"/>
          <w:sz w:val="20"/>
          <w:szCs w:val="20"/>
          <w:lang w:val="es-419" w:eastAsia="es-ES"/>
        </w:rPr>
        <w:tab/>
      </w:r>
      <w:r w:rsidRPr="00205A22">
        <w:rPr>
          <w:rFonts w:eastAsia="Times New Roman" w:cs="Arial"/>
          <w:sz w:val="20"/>
          <w:szCs w:val="20"/>
          <w:lang w:val="es-419" w:eastAsia="es-ES"/>
        </w:rPr>
        <w:t>Ministerio de Hacienda y Crédito Público.</w:t>
      </w:r>
    </w:p>
    <w:p w14:paraId="7F6E2DD0" w14:textId="5A91E3EE" w:rsidR="00205A22" w:rsidRPr="00205A22" w:rsidRDefault="00205A22" w:rsidP="00205A22">
      <w:pPr>
        <w:spacing w:line="240" w:lineRule="auto"/>
        <w:rPr>
          <w:rFonts w:eastAsia="Times New Roman" w:cs="Arial"/>
          <w:sz w:val="20"/>
          <w:szCs w:val="20"/>
          <w:lang w:val="es-419" w:eastAsia="es-ES"/>
        </w:rPr>
      </w:pPr>
      <w:r w:rsidRPr="00205A22">
        <w:rPr>
          <w:rFonts w:eastAsia="Times New Roman" w:cs="Arial"/>
          <w:sz w:val="20"/>
          <w:szCs w:val="20"/>
          <w:lang w:val="es-419" w:eastAsia="es-ES"/>
        </w:rPr>
        <w:t xml:space="preserve">Juzgado: </w:t>
      </w:r>
      <w:r w:rsidRPr="00205A22">
        <w:rPr>
          <w:rFonts w:eastAsia="Times New Roman" w:cs="Arial"/>
          <w:sz w:val="20"/>
          <w:szCs w:val="20"/>
          <w:lang w:val="es-419" w:eastAsia="es-ES"/>
        </w:rPr>
        <w:tab/>
      </w:r>
      <w:r>
        <w:rPr>
          <w:rFonts w:eastAsia="Times New Roman" w:cs="Arial"/>
          <w:sz w:val="20"/>
          <w:szCs w:val="20"/>
          <w:lang w:val="es-419" w:eastAsia="es-ES"/>
        </w:rPr>
        <w:tab/>
      </w:r>
      <w:r w:rsidRPr="00205A22">
        <w:rPr>
          <w:rFonts w:eastAsia="Times New Roman" w:cs="Arial"/>
          <w:sz w:val="20"/>
          <w:szCs w:val="20"/>
          <w:lang w:val="es-419" w:eastAsia="es-ES"/>
        </w:rPr>
        <w:t>Quinto Laboral del Circuito de Pereira</w:t>
      </w:r>
    </w:p>
    <w:p w14:paraId="40E08BF5" w14:textId="77777777" w:rsidR="00205A22" w:rsidRPr="00205A22" w:rsidRDefault="00205A22" w:rsidP="00205A22">
      <w:pPr>
        <w:spacing w:line="240" w:lineRule="auto"/>
        <w:rPr>
          <w:rFonts w:eastAsia="Times New Roman" w:cs="Arial"/>
          <w:sz w:val="20"/>
          <w:szCs w:val="20"/>
          <w:lang w:val="es-419" w:eastAsia="es-ES"/>
        </w:rPr>
      </w:pPr>
    </w:p>
    <w:p w14:paraId="0166188A" w14:textId="05E60005" w:rsidR="00205A22" w:rsidRPr="00205A22" w:rsidRDefault="00205A22" w:rsidP="00205A22">
      <w:pPr>
        <w:spacing w:line="240" w:lineRule="auto"/>
        <w:rPr>
          <w:rFonts w:eastAsia="Times New Roman" w:cs="Arial"/>
          <w:b/>
          <w:bCs/>
          <w:iCs/>
          <w:sz w:val="20"/>
          <w:szCs w:val="20"/>
          <w:lang w:val="es-419" w:eastAsia="fr-FR"/>
        </w:rPr>
      </w:pPr>
      <w:r w:rsidRPr="00205A22">
        <w:rPr>
          <w:rFonts w:eastAsia="Times New Roman" w:cs="Arial"/>
          <w:b/>
          <w:bCs/>
          <w:iCs/>
          <w:sz w:val="20"/>
          <w:szCs w:val="20"/>
          <w:u w:val="single"/>
          <w:lang w:val="es-419" w:eastAsia="fr-FR"/>
        </w:rPr>
        <w:t>TEMAS:</w:t>
      </w:r>
      <w:r w:rsidRPr="00205A22">
        <w:rPr>
          <w:rFonts w:eastAsia="Times New Roman" w:cs="Arial"/>
          <w:b/>
          <w:bCs/>
          <w:iCs/>
          <w:sz w:val="20"/>
          <w:szCs w:val="20"/>
          <w:lang w:val="es-419" w:eastAsia="fr-FR"/>
        </w:rPr>
        <w:tab/>
      </w:r>
      <w:r w:rsidR="00067676">
        <w:rPr>
          <w:rFonts w:eastAsia="Times New Roman" w:cs="Arial"/>
          <w:b/>
          <w:bCs/>
          <w:iCs/>
          <w:sz w:val="20"/>
          <w:szCs w:val="20"/>
          <w:lang w:val="es-419" w:eastAsia="fr-FR"/>
        </w:rPr>
        <w:t>PENSIÓN DE VEJEZ / ACUERDO 049 DE 1990 / ACUMULACIÓN APORTES AL ISS CON TIEMPO DE SERVICIO PÚBLICO / EVOLUCIÓN JURISPRUDENCIAL / PRESCRIPCIÓN.</w:t>
      </w:r>
    </w:p>
    <w:p w14:paraId="44C81424" w14:textId="77777777" w:rsidR="00205A22" w:rsidRPr="00205A22" w:rsidRDefault="00205A22" w:rsidP="00205A22">
      <w:pPr>
        <w:spacing w:line="240" w:lineRule="auto"/>
        <w:rPr>
          <w:rFonts w:eastAsia="Times New Roman" w:cs="Arial"/>
          <w:sz w:val="20"/>
          <w:szCs w:val="20"/>
          <w:lang w:val="es-419" w:eastAsia="es-ES"/>
        </w:rPr>
      </w:pPr>
    </w:p>
    <w:p w14:paraId="4AB970C9" w14:textId="0F575C27" w:rsidR="00205A22" w:rsidRDefault="009F71A5" w:rsidP="00205A22">
      <w:pPr>
        <w:spacing w:line="240" w:lineRule="auto"/>
        <w:rPr>
          <w:rFonts w:eastAsia="Times New Roman" w:cs="Arial"/>
          <w:sz w:val="20"/>
          <w:szCs w:val="20"/>
          <w:lang w:val="es-419" w:eastAsia="es-ES"/>
        </w:rPr>
      </w:pPr>
      <w:r w:rsidRPr="009F71A5">
        <w:rPr>
          <w:rFonts w:eastAsia="Times New Roman" w:cs="Arial"/>
          <w:sz w:val="20"/>
          <w:szCs w:val="20"/>
          <w:lang w:val="es-419" w:eastAsia="es-ES"/>
        </w:rPr>
        <w:t>La H. Corte Constitucional a través de la sentencia SU-769 de 2014</w:t>
      </w:r>
      <w:r>
        <w:rPr>
          <w:rFonts w:eastAsia="Times New Roman" w:cs="Arial"/>
          <w:sz w:val="20"/>
          <w:szCs w:val="20"/>
          <w:lang w:val="es-419" w:eastAsia="es-ES"/>
        </w:rPr>
        <w:t>…</w:t>
      </w:r>
      <w:r w:rsidRPr="009F71A5">
        <w:rPr>
          <w:rFonts w:eastAsia="Times New Roman" w:cs="Arial"/>
          <w:sz w:val="20"/>
          <w:szCs w:val="20"/>
          <w:lang w:val="es-419" w:eastAsia="es-ES"/>
        </w:rPr>
        <w:t xml:space="preserve"> expuso una línea jurisprudencial en la cual se plasma la posibilidad de acumular cotizaciones efectuadas tanto en los sectores público y privado a efectos de reconocer, en virtud del régimen de transición, una pensión de vejez en aplicación del Acuerdo 049 de 1990</w:t>
      </w:r>
      <w:r>
        <w:rPr>
          <w:rFonts w:eastAsia="Times New Roman" w:cs="Arial"/>
          <w:sz w:val="20"/>
          <w:szCs w:val="20"/>
          <w:lang w:val="es-419" w:eastAsia="es-ES"/>
        </w:rPr>
        <w:t>…</w:t>
      </w:r>
    </w:p>
    <w:p w14:paraId="31490A88" w14:textId="77777777" w:rsidR="008567C2" w:rsidRDefault="008567C2" w:rsidP="00205A22">
      <w:pPr>
        <w:spacing w:line="240" w:lineRule="auto"/>
        <w:rPr>
          <w:rFonts w:eastAsia="Times New Roman" w:cs="Arial"/>
          <w:sz w:val="20"/>
          <w:szCs w:val="20"/>
          <w:lang w:val="es-419" w:eastAsia="es-ES"/>
        </w:rPr>
      </w:pPr>
    </w:p>
    <w:p w14:paraId="5A25CF02" w14:textId="166629D7" w:rsidR="008567C2" w:rsidRPr="00205A22" w:rsidRDefault="008567C2" w:rsidP="00205A22">
      <w:pPr>
        <w:spacing w:line="240" w:lineRule="auto"/>
        <w:rPr>
          <w:rFonts w:eastAsia="Times New Roman" w:cs="Arial"/>
          <w:sz w:val="20"/>
          <w:szCs w:val="20"/>
          <w:lang w:val="es-419" w:eastAsia="es-ES"/>
        </w:rPr>
      </w:pPr>
      <w:r w:rsidRPr="008567C2">
        <w:rPr>
          <w:rFonts w:eastAsia="Times New Roman" w:cs="Arial"/>
          <w:sz w:val="20"/>
          <w:szCs w:val="20"/>
          <w:lang w:val="es-419" w:eastAsia="es-ES"/>
        </w:rPr>
        <w:t>Dicho precedente, no había tenido acogida por la Sala Mayoritaria en la medida que la jurisprudencia del órgano de cierre de la jurisdicción laboral venía puntualizando en relación con el cómputo del tiempo cotizado para dar por satisfechas la densidad de semanas que exige el Acuerdo 049 de 1990, que los mismos debían ser cotizados de manera exclusiva al ISS, sin que se pudieran sumar los tiempos públicos por los que se hicieron aportes a cajas, fondos o la misma entidad</w:t>
      </w:r>
      <w:r>
        <w:rPr>
          <w:rFonts w:eastAsia="Times New Roman" w:cs="Arial"/>
          <w:sz w:val="20"/>
          <w:szCs w:val="20"/>
          <w:lang w:val="es-419" w:eastAsia="es-ES"/>
        </w:rPr>
        <w:t>…</w:t>
      </w:r>
    </w:p>
    <w:p w14:paraId="4728ADCE" w14:textId="77777777" w:rsidR="00205A22" w:rsidRPr="00205A22" w:rsidRDefault="00205A22" w:rsidP="00205A22">
      <w:pPr>
        <w:spacing w:line="240" w:lineRule="auto"/>
        <w:rPr>
          <w:rFonts w:eastAsia="Times New Roman" w:cs="Arial"/>
          <w:sz w:val="20"/>
          <w:szCs w:val="20"/>
          <w:lang w:val="es-419" w:eastAsia="es-ES"/>
        </w:rPr>
      </w:pPr>
    </w:p>
    <w:p w14:paraId="7EA0890E" w14:textId="423EBA6F" w:rsidR="00205A22" w:rsidRDefault="008567C2" w:rsidP="00205A22">
      <w:pPr>
        <w:spacing w:line="240" w:lineRule="auto"/>
        <w:rPr>
          <w:rFonts w:eastAsia="Times New Roman" w:cs="Arial"/>
          <w:sz w:val="20"/>
          <w:szCs w:val="20"/>
          <w:lang w:val="es-419" w:eastAsia="es-ES"/>
        </w:rPr>
      </w:pPr>
      <w:r w:rsidRPr="008567C2">
        <w:rPr>
          <w:rFonts w:eastAsia="Times New Roman" w:cs="Arial"/>
          <w:sz w:val="20"/>
          <w:szCs w:val="20"/>
          <w:lang w:val="es-419" w:eastAsia="es-ES"/>
        </w:rPr>
        <w:t xml:space="preserve">Sin embargo, tal criterio fue replanteado por la Sala de Casación Laboral de la Corte Suprema de Justicia a partir de la sentencia CSJ SL1981-2020, con la cual se </w:t>
      </w:r>
      <w:r w:rsidR="009F71A5" w:rsidRPr="009F71A5">
        <w:rPr>
          <w:rFonts w:eastAsia="Times New Roman" w:cs="Arial"/>
          <w:sz w:val="20"/>
          <w:szCs w:val="20"/>
          <w:lang w:val="es-419" w:eastAsia="es-ES"/>
        </w:rPr>
        <w:t>planteó la procedencia de sumar tiempos para consolidar la pensión de vejez contemplada en el Acuerdo 049 de 1990 aplicable por vía del régimen de transición de la Ley 100 de 1993, con la suma de semanas efectivamente cotizadas al ISS y los tiempos laborados a entidades públicas, postura que ya se ha reiterado</w:t>
      </w:r>
      <w:r w:rsidR="009F71A5">
        <w:rPr>
          <w:rFonts w:eastAsia="Times New Roman" w:cs="Arial"/>
          <w:sz w:val="20"/>
          <w:szCs w:val="20"/>
          <w:lang w:val="es-419" w:eastAsia="es-ES"/>
        </w:rPr>
        <w:t>…</w:t>
      </w:r>
    </w:p>
    <w:p w14:paraId="03460871" w14:textId="77777777" w:rsidR="009F71A5" w:rsidRPr="00205A22" w:rsidRDefault="009F71A5" w:rsidP="00205A22">
      <w:pPr>
        <w:spacing w:line="240" w:lineRule="auto"/>
        <w:rPr>
          <w:rFonts w:eastAsia="Times New Roman" w:cs="Arial"/>
          <w:sz w:val="20"/>
          <w:szCs w:val="20"/>
          <w:lang w:val="es-419" w:eastAsia="es-ES"/>
        </w:rPr>
      </w:pPr>
    </w:p>
    <w:p w14:paraId="09063B26" w14:textId="45BA47ED" w:rsidR="008567C2" w:rsidRPr="008567C2" w:rsidRDefault="008567C2" w:rsidP="008567C2">
      <w:pPr>
        <w:spacing w:line="240" w:lineRule="auto"/>
        <w:rPr>
          <w:rFonts w:eastAsia="Times New Roman" w:cs="Arial"/>
          <w:sz w:val="20"/>
          <w:szCs w:val="20"/>
          <w:lang w:val="es-419" w:eastAsia="es-ES"/>
        </w:rPr>
      </w:pPr>
      <w:r w:rsidRPr="008567C2">
        <w:rPr>
          <w:rFonts w:eastAsia="Times New Roman" w:cs="Arial"/>
          <w:sz w:val="20"/>
          <w:szCs w:val="20"/>
          <w:lang w:val="es-419" w:eastAsia="es-ES"/>
        </w:rPr>
        <w:t>En torno a la prescripción, el artículo 488 del CST dispone como regla general que: “Las acciones correspondientes a los derechos regulados en este código prescriben en tres (3) años, que se cuentan desde que la respectiva obligación se haya hecho exigible</w:t>
      </w:r>
      <w:r>
        <w:rPr>
          <w:rFonts w:eastAsia="Times New Roman" w:cs="Arial"/>
          <w:sz w:val="20"/>
          <w:szCs w:val="20"/>
          <w:lang w:val="es-419" w:eastAsia="es-ES"/>
        </w:rPr>
        <w:t>…</w:t>
      </w:r>
      <w:r w:rsidRPr="008567C2">
        <w:rPr>
          <w:rFonts w:eastAsia="Times New Roman" w:cs="Arial"/>
          <w:sz w:val="20"/>
          <w:szCs w:val="20"/>
          <w:lang w:val="es-419" w:eastAsia="es-ES"/>
        </w:rPr>
        <w:t>”.</w:t>
      </w:r>
    </w:p>
    <w:p w14:paraId="4F17CFC9" w14:textId="77777777" w:rsidR="008567C2" w:rsidRPr="008567C2" w:rsidRDefault="008567C2" w:rsidP="008567C2">
      <w:pPr>
        <w:spacing w:line="240" w:lineRule="auto"/>
        <w:rPr>
          <w:rFonts w:eastAsia="Times New Roman" w:cs="Arial"/>
          <w:sz w:val="20"/>
          <w:szCs w:val="20"/>
          <w:lang w:val="es-419" w:eastAsia="es-ES"/>
        </w:rPr>
      </w:pPr>
    </w:p>
    <w:p w14:paraId="6FB6DA64" w14:textId="5F8B2796" w:rsidR="00205A22" w:rsidRPr="00205A22" w:rsidRDefault="008567C2" w:rsidP="008567C2">
      <w:pPr>
        <w:spacing w:line="240" w:lineRule="auto"/>
        <w:rPr>
          <w:rFonts w:eastAsia="Times New Roman" w:cs="Arial"/>
          <w:sz w:val="20"/>
          <w:szCs w:val="20"/>
          <w:lang w:val="es-419" w:eastAsia="es-ES"/>
        </w:rPr>
      </w:pPr>
      <w:r w:rsidRPr="008567C2">
        <w:rPr>
          <w:rFonts w:eastAsia="Times New Roman" w:cs="Arial"/>
          <w:sz w:val="20"/>
          <w:szCs w:val="20"/>
          <w:lang w:val="es-419" w:eastAsia="es-ES"/>
        </w:rPr>
        <w:t>Por su parte, el Art. 151 del CPTSS a su vez señala que “Las acciones que emanen de las leyes sociales prescribirán en tres años, que se contarán desde que la respectiva obligación se haya hecho exigible. El simple reclamo escrito del trabajador, recibido por el {empleador}, sobre un derecho o prestación debidamente determinado, interrumpirá la prescripción, pero sólo por un lapso igual”.</w:t>
      </w:r>
    </w:p>
    <w:p w14:paraId="54E5155B" w14:textId="77777777" w:rsidR="00205A22" w:rsidRDefault="00205A22" w:rsidP="00205A22">
      <w:pPr>
        <w:spacing w:line="240" w:lineRule="auto"/>
        <w:rPr>
          <w:rFonts w:eastAsia="Times New Roman" w:cs="Arial"/>
          <w:sz w:val="20"/>
          <w:szCs w:val="20"/>
          <w:lang w:val="es-419" w:eastAsia="es-ES"/>
        </w:rPr>
      </w:pPr>
    </w:p>
    <w:p w14:paraId="01EB83E2" w14:textId="44245C74" w:rsidR="00C402FB" w:rsidRPr="00C402FB" w:rsidRDefault="00C402FB" w:rsidP="00205A22">
      <w:pPr>
        <w:spacing w:line="240" w:lineRule="auto"/>
        <w:rPr>
          <w:rFonts w:eastAsia="Times New Roman" w:cs="Arial"/>
          <w:b/>
          <w:color w:val="FF0000"/>
          <w:sz w:val="20"/>
          <w:szCs w:val="20"/>
          <w:lang w:val="es-419" w:eastAsia="es-ES"/>
        </w:rPr>
      </w:pPr>
      <w:r w:rsidRPr="00C402FB">
        <w:rPr>
          <w:rFonts w:eastAsia="Times New Roman" w:cs="Arial"/>
          <w:b/>
          <w:color w:val="FF0000"/>
          <w:sz w:val="20"/>
          <w:szCs w:val="20"/>
          <w:lang w:val="es-419" w:eastAsia="es-ES"/>
        </w:rPr>
        <w:t>SALVAMENTO DE VOTO: DOCTOR JULIO CÉSAR SALAZAR MUÑOZ</w:t>
      </w:r>
    </w:p>
    <w:p w14:paraId="432F28F4" w14:textId="77777777" w:rsidR="00C402FB" w:rsidRDefault="00C402FB" w:rsidP="00205A22">
      <w:pPr>
        <w:spacing w:line="240" w:lineRule="auto"/>
        <w:rPr>
          <w:rFonts w:eastAsia="Times New Roman" w:cs="Arial"/>
          <w:sz w:val="20"/>
          <w:szCs w:val="20"/>
          <w:lang w:val="es-419" w:eastAsia="es-ES"/>
        </w:rPr>
      </w:pPr>
    </w:p>
    <w:p w14:paraId="0795E393" w14:textId="77777777" w:rsidR="00C402FB" w:rsidRPr="00C402FB" w:rsidRDefault="00C402FB" w:rsidP="00C402FB">
      <w:pPr>
        <w:spacing w:line="240" w:lineRule="auto"/>
        <w:rPr>
          <w:rFonts w:eastAsia="Times New Roman" w:cs="Arial"/>
          <w:sz w:val="20"/>
          <w:szCs w:val="20"/>
          <w:lang w:val="es-419" w:eastAsia="es-ES"/>
        </w:rPr>
      </w:pPr>
      <w:r w:rsidRPr="00C402FB">
        <w:rPr>
          <w:rFonts w:eastAsia="Times New Roman" w:cs="Arial"/>
          <w:sz w:val="20"/>
          <w:szCs w:val="20"/>
          <w:lang w:val="es-419" w:eastAsia="es-ES"/>
        </w:rPr>
        <w:t>Con todo respeto me aparto de la decisión mayoritaria que acoge la nueva posición de la Sala de Casación Laboral de la Corte Suprema de Justicia sobre la posibilidad de sumar tiempos cotizados al ISS con aquellos servidos en el sector público para efectos de acreditar los requisitos previstos en el acuerdo 049 de 1990 en orden a obtener la pensión de vejez, tesis con la que inexplicablemente se deroga la ley 71 de 1988, se viola el principio de inescindibilidad, se confunde el régimen de transición con el contenido de la propia ley 100 de 1993 y se desconoce flagrantemente el artículo 288 del último compendio normativo citado, como se explica a continuación:</w:t>
      </w:r>
    </w:p>
    <w:p w14:paraId="1C483E52" w14:textId="77777777" w:rsidR="00C402FB" w:rsidRPr="00C402FB" w:rsidRDefault="00C402FB" w:rsidP="00C402FB">
      <w:pPr>
        <w:spacing w:line="240" w:lineRule="auto"/>
        <w:rPr>
          <w:rFonts w:eastAsia="Times New Roman" w:cs="Arial"/>
          <w:sz w:val="20"/>
          <w:szCs w:val="20"/>
          <w:lang w:val="es-419" w:eastAsia="es-ES"/>
        </w:rPr>
      </w:pPr>
    </w:p>
    <w:p w14:paraId="41FB9972" w14:textId="1A8B80F2" w:rsidR="00C402FB" w:rsidRPr="00205A22" w:rsidRDefault="00C402FB" w:rsidP="00C402FB">
      <w:pPr>
        <w:spacing w:line="240" w:lineRule="auto"/>
        <w:rPr>
          <w:rFonts w:eastAsia="Times New Roman" w:cs="Arial"/>
          <w:sz w:val="20"/>
          <w:szCs w:val="20"/>
          <w:lang w:val="es-419" w:eastAsia="es-ES"/>
        </w:rPr>
      </w:pPr>
      <w:r w:rsidRPr="00C402FB">
        <w:rPr>
          <w:rFonts w:eastAsia="Times New Roman" w:cs="Arial"/>
          <w:sz w:val="20"/>
          <w:szCs w:val="20"/>
          <w:lang w:val="es-419" w:eastAsia="es-ES"/>
        </w:rPr>
        <w:t>Para empezar, téngase en cuenta que la tesis de la sumatoria de tiempos públicos y privados, no tiene en cuenta que el artículo 41 del acuerdo 049 de 1990 tiene previsto que “el Instituto será responsable de las prestaciones de que trata el seguro de Invalidez, Vejez y muerte a partir de la afiliación, en los términos contemplados en el reglamento”, para a renglón seguido añadir que si no hay afiliación el responsable de la prestación es el empleador. De lo cual se desprende que los derechos que otorga la entidad tienen fundamento en las cotizaciones que los sustenten financieramente, tal como se desprende igualmente del artículo 44 ídem que versa sobre el régimen financiero de la entidad.</w:t>
      </w:r>
    </w:p>
    <w:p w14:paraId="7371149B" w14:textId="77777777" w:rsidR="00205A22" w:rsidRPr="00205A22" w:rsidRDefault="00205A22" w:rsidP="00205A22">
      <w:pPr>
        <w:spacing w:line="240" w:lineRule="auto"/>
        <w:rPr>
          <w:rFonts w:eastAsia="Times New Roman" w:cs="Arial"/>
          <w:sz w:val="20"/>
          <w:szCs w:val="20"/>
          <w:lang w:val="es-ES" w:eastAsia="es-ES"/>
        </w:rPr>
      </w:pPr>
    </w:p>
    <w:p w14:paraId="54306243" w14:textId="77777777" w:rsidR="00205A22" w:rsidRPr="00205A22" w:rsidRDefault="00205A22" w:rsidP="00205A22">
      <w:pPr>
        <w:spacing w:line="240" w:lineRule="auto"/>
        <w:rPr>
          <w:rFonts w:eastAsia="Times New Roman" w:cs="Arial"/>
          <w:sz w:val="20"/>
          <w:szCs w:val="20"/>
          <w:lang w:val="es-ES" w:eastAsia="es-ES"/>
        </w:rPr>
      </w:pPr>
    </w:p>
    <w:p w14:paraId="5F368A2A" w14:textId="77777777" w:rsidR="00205A22" w:rsidRPr="00205A22" w:rsidRDefault="00205A22" w:rsidP="00205A22">
      <w:pPr>
        <w:spacing w:line="240" w:lineRule="auto"/>
        <w:rPr>
          <w:rFonts w:eastAsia="Times New Roman" w:cs="Arial"/>
          <w:sz w:val="20"/>
          <w:szCs w:val="20"/>
          <w:lang w:val="es-ES" w:eastAsia="es-ES"/>
        </w:rPr>
      </w:pPr>
    </w:p>
    <w:p w14:paraId="1FF3E848" w14:textId="77777777" w:rsidR="00C27D74" w:rsidRPr="00211ABC" w:rsidRDefault="00C27D74" w:rsidP="00F806FD">
      <w:pPr>
        <w:spacing w:line="276" w:lineRule="auto"/>
        <w:jc w:val="center"/>
        <w:outlineLvl w:val="0"/>
        <w:rPr>
          <w:rFonts w:ascii="Tahoma" w:hAnsi="Tahoma" w:cs="Tahoma"/>
          <w:b/>
          <w:bCs/>
          <w:lang w:val="es-ES" w:eastAsia="es-MX"/>
        </w:rPr>
      </w:pPr>
      <w:r w:rsidRPr="00211ABC">
        <w:rPr>
          <w:rFonts w:ascii="Tahoma" w:hAnsi="Tahoma" w:cs="Tahoma"/>
          <w:b/>
          <w:bCs/>
        </w:rPr>
        <w:t>TRIBUNAL</w:t>
      </w:r>
      <w:r w:rsidRPr="00211ABC">
        <w:rPr>
          <w:rFonts w:ascii="Tahoma" w:hAnsi="Tahoma" w:cs="Tahoma"/>
          <w:b/>
          <w:bCs/>
          <w:lang w:val="es-ES" w:eastAsia="es-MX"/>
        </w:rPr>
        <w:t xml:space="preserve"> SUPERIOR DEL DISTRITO JUDICIAL DE PEREIRA</w:t>
      </w:r>
    </w:p>
    <w:p w14:paraId="6B22E09B" w14:textId="77777777" w:rsidR="00C27D74" w:rsidRPr="00211ABC" w:rsidRDefault="00C27D74" w:rsidP="00F806FD">
      <w:pPr>
        <w:spacing w:line="276" w:lineRule="auto"/>
        <w:jc w:val="center"/>
        <w:rPr>
          <w:rFonts w:ascii="Tahoma" w:hAnsi="Tahoma" w:cs="Tahoma"/>
          <w:b/>
          <w:bCs/>
          <w:lang w:val="es-ES" w:eastAsia="es-MX"/>
        </w:rPr>
      </w:pPr>
      <w:r w:rsidRPr="00211ABC">
        <w:rPr>
          <w:rFonts w:ascii="Tahoma" w:hAnsi="Tahoma" w:cs="Tahoma"/>
          <w:b/>
          <w:bCs/>
        </w:rPr>
        <w:t>SALA</w:t>
      </w:r>
      <w:r w:rsidRPr="00211ABC">
        <w:rPr>
          <w:rFonts w:ascii="Tahoma" w:hAnsi="Tahoma" w:cs="Tahoma"/>
          <w:b/>
          <w:bCs/>
          <w:lang w:val="es-ES" w:eastAsia="es-MX"/>
        </w:rPr>
        <w:t xml:space="preserve"> PRIMERA DE DECISION LABORAL</w:t>
      </w:r>
    </w:p>
    <w:p w14:paraId="340F7AF8" w14:textId="77777777" w:rsidR="00C27D74" w:rsidRPr="00211ABC" w:rsidRDefault="00C27D74" w:rsidP="00F806FD">
      <w:pPr>
        <w:spacing w:line="276" w:lineRule="auto"/>
        <w:jc w:val="center"/>
        <w:rPr>
          <w:rFonts w:ascii="Tahoma" w:hAnsi="Tahoma" w:cs="Tahoma"/>
          <w:bCs/>
        </w:rPr>
      </w:pPr>
    </w:p>
    <w:p w14:paraId="381E3081" w14:textId="77777777" w:rsidR="00C27D74" w:rsidRPr="00211ABC" w:rsidRDefault="00C27D74" w:rsidP="00F806FD">
      <w:pPr>
        <w:spacing w:line="276" w:lineRule="auto"/>
        <w:jc w:val="center"/>
        <w:textAlignment w:val="baseline"/>
        <w:outlineLvl w:val="0"/>
        <w:rPr>
          <w:rFonts w:ascii="Tahoma" w:eastAsia="Times New Roman" w:hAnsi="Tahoma" w:cs="Tahoma"/>
          <w:lang w:eastAsia="es-CO"/>
        </w:rPr>
      </w:pPr>
      <w:r w:rsidRPr="00211ABC">
        <w:rPr>
          <w:rFonts w:ascii="Tahoma" w:eastAsia="Times New Roman" w:hAnsi="Tahoma" w:cs="Tahoma"/>
          <w:lang w:eastAsia="es-CO"/>
        </w:rPr>
        <w:t>Magistrada Ponente: </w:t>
      </w:r>
      <w:r w:rsidRPr="00211ABC">
        <w:rPr>
          <w:rFonts w:ascii="Tahoma" w:eastAsia="Times New Roman" w:hAnsi="Tahoma" w:cs="Tahoma"/>
          <w:b/>
          <w:bCs/>
          <w:lang w:eastAsia="es-CO"/>
        </w:rPr>
        <w:t>Ana Lucía Caicedo Calderón</w:t>
      </w:r>
      <w:r w:rsidRPr="00211ABC">
        <w:rPr>
          <w:rFonts w:ascii="Tahoma" w:eastAsia="Times New Roman" w:hAnsi="Tahoma" w:cs="Tahoma"/>
          <w:lang w:eastAsia="es-CO"/>
        </w:rPr>
        <w:t> </w:t>
      </w:r>
    </w:p>
    <w:p w14:paraId="79378692" w14:textId="77777777" w:rsidR="00C27D74" w:rsidRPr="00211ABC" w:rsidRDefault="00C27D74" w:rsidP="00F806FD">
      <w:pPr>
        <w:spacing w:line="276" w:lineRule="auto"/>
        <w:jc w:val="center"/>
        <w:textAlignment w:val="baseline"/>
        <w:rPr>
          <w:rFonts w:ascii="Tahoma" w:eastAsia="Times New Roman" w:hAnsi="Tahoma" w:cs="Tahoma"/>
          <w:lang w:eastAsia="es-CO"/>
        </w:rPr>
      </w:pPr>
    </w:p>
    <w:p w14:paraId="16D05F0B" w14:textId="77777777" w:rsidR="00E7646D" w:rsidRPr="001A179E" w:rsidRDefault="00E7646D" w:rsidP="00F806FD">
      <w:pPr>
        <w:spacing w:line="276" w:lineRule="auto"/>
        <w:jc w:val="center"/>
        <w:textAlignment w:val="baseline"/>
        <w:rPr>
          <w:rFonts w:ascii="Tahoma" w:eastAsia="Times New Roman" w:hAnsi="Tahoma" w:cs="Tahoma"/>
          <w:lang w:eastAsia="es-CO"/>
        </w:rPr>
      </w:pPr>
      <w:r w:rsidRPr="001A179E">
        <w:rPr>
          <w:rFonts w:ascii="Tahoma" w:eastAsia="Times New Roman" w:hAnsi="Tahoma" w:cs="Tahoma"/>
          <w:lang w:eastAsia="es-CO"/>
        </w:rPr>
        <w:t>Pereira, Risaralda, veinte (20) de enero de dos mil veintiuno (2021)  </w:t>
      </w:r>
    </w:p>
    <w:p w14:paraId="52DAD85A" w14:textId="77777777" w:rsidR="00E7646D" w:rsidRPr="001A179E" w:rsidRDefault="00E7646D" w:rsidP="00F806FD">
      <w:pPr>
        <w:spacing w:line="276" w:lineRule="auto"/>
        <w:jc w:val="center"/>
        <w:textAlignment w:val="baseline"/>
        <w:rPr>
          <w:rFonts w:ascii="Tahoma" w:eastAsia="Times New Roman" w:hAnsi="Tahoma" w:cs="Tahoma"/>
          <w:lang w:eastAsia="es-CO"/>
        </w:rPr>
      </w:pPr>
      <w:r w:rsidRPr="001A179E">
        <w:rPr>
          <w:rFonts w:ascii="Tahoma" w:eastAsia="Times New Roman" w:hAnsi="Tahoma" w:cs="Tahoma"/>
          <w:lang w:eastAsia="es-CO"/>
        </w:rPr>
        <w:t> Acta No. 04 del 19 de enero de 2021</w:t>
      </w:r>
    </w:p>
    <w:p w14:paraId="31C866D6" w14:textId="77777777" w:rsidR="00C27D74" w:rsidRPr="00211ABC" w:rsidRDefault="00C27D74" w:rsidP="00F806FD">
      <w:pPr>
        <w:spacing w:line="276" w:lineRule="auto"/>
        <w:jc w:val="center"/>
        <w:rPr>
          <w:rFonts w:ascii="Tahoma" w:hAnsi="Tahoma" w:cs="Tahoma"/>
          <w:b/>
        </w:rPr>
      </w:pPr>
    </w:p>
    <w:p w14:paraId="469E1617" w14:textId="78131D76" w:rsidR="00C27D74" w:rsidRDefault="00C27D74" w:rsidP="00F806FD">
      <w:pPr>
        <w:spacing w:line="276" w:lineRule="auto"/>
        <w:ind w:firstLine="426"/>
        <w:rPr>
          <w:rFonts w:ascii="Tahoma" w:hAnsi="Tahoma" w:cs="Tahoma"/>
          <w:b/>
          <w:bCs/>
        </w:rPr>
      </w:pPr>
      <w:r w:rsidRPr="00211ABC">
        <w:rPr>
          <w:rFonts w:ascii="Tahoma" w:hAnsi="Tahoma"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w:t>
      </w:r>
      <w:r w:rsidRPr="00211ABC">
        <w:rPr>
          <w:rFonts w:ascii="Tahoma" w:hAnsi="Tahoma" w:cs="Tahoma"/>
          <w:b/>
          <w:bCs/>
        </w:rPr>
        <w:t>Sala de Decisión Laboral No. 1</w:t>
      </w:r>
      <w:r w:rsidRPr="00211ABC">
        <w:rPr>
          <w:rFonts w:ascii="Tahoma" w:hAnsi="Tahoma" w:cs="Tahoma"/>
        </w:rPr>
        <w:t xml:space="preserve"> del Tribunal Superior de Pereira, integrada por las Magistradas </w:t>
      </w:r>
      <w:r w:rsidRPr="00211ABC">
        <w:rPr>
          <w:rFonts w:ascii="Tahoma" w:hAnsi="Tahoma" w:cs="Tahoma"/>
          <w:b/>
          <w:bCs/>
        </w:rPr>
        <w:t>ANA LUCÍA CAICEDO CALDERÓN</w:t>
      </w:r>
      <w:r w:rsidRPr="00211ABC">
        <w:rPr>
          <w:rFonts w:ascii="Tahoma" w:hAnsi="Tahoma" w:cs="Tahoma"/>
        </w:rPr>
        <w:t xml:space="preserve"> como Ponente, </w:t>
      </w:r>
      <w:r w:rsidRPr="00211ABC">
        <w:rPr>
          <w:rFonts w:ascii="Tahoma" w:hAnsi="Tahoma" w:cs="Tahoma"/>
          <w:b/>
          <w:bCs/>
        </w:rPr>
        <w:t>OLGA LUCÍA HOYOS SEPÚLVEDA</w:t>
      </w:r>
      <w:r w:rsidRPr="00211ABC">
        <w:rPr>
          <w:rFonts w:ascii="Tahoma" w:hAnsi="Tahoma" w:cs="Tahoma"/>
        </w:rPr>
        <w:t xml:space="preserve"> y el Magistrado </w:t>
      </w:r>
      <w:r w:rsidRPr="00211ABC">
        <w:rPr>
          <w:rFonts w:ascii="Tahoma" w:hAnsi="Tahoma" w:cs="Tahoma"/>
          <w:b/>
          <w:bCs/>
        </w:rPr>
        <w:t>JULIO CÉSAR SALAZAR MUÑOZ</w:t>
      </w:r>
      <w:r w:rsidRPr="00211ABC">
        <w:rPr>
          <w:rFonts w:ascii="Tahoma" w:hAnsi="Tahoma" w:cs="Tahoma"/>
        </w:rPr>
        <w:t xml:space="preserve">, procede a proferir la siguiente sentencia escrita dentro del proceso ordinario laboral instaurado por </w:t>
      </w:r>
      <w:r w:rsidRPr="00211ABC">
        <w:rPr>
          <w:rFonts w:ascii="Tahoma" w:hAnsi="Tahoma" w:cs="Tahoma"/>
          <w:b/>
          <w:bCs/>
        </w:rPr>
        <w:t xml:space="preserve">JOAQUIN MARÍA GRAJALES OSORIO </w:t>
      </w:r>
      <w:r w:rsidRPr="00211ABC">
        <w:rPr>
          <w:rFonts w:ascii="Tahoma" w:hAnsi="Tahoma" w:cs="Tahoma"/>
        </w:rPr>
        <w:t xml:space="preserve">en contra de la </w:t>
      </w:r>
      <w:r w:rsidRPr="00211ABC">
        <w:rPr>
          <w:rFonts w:ascii="Tahoma" w:hAnsi="Tahoma" w:cs="Tahoma"/>
          <w:b/>
          <w:bCs/>
        </w:rPr>
        <w:t xml:space="preserve">ADMINISTRADORA COLOMBIANA DE PENSIONES “COLPENSIONES” </w:t>
      </w:r>
      <w:r w:rsidRPr="00211ABC">
        <w:rPr>
          <w:rFonts w:ascii="Tahoma" w:hAnsi="Tahoma" w:cs="Tahoma"/>
        </w:rPr>
        <w:t xml:space="preserve">y </w:t>
      </w:r>
      <w:r w:rsidRPr="00211ABC">
        <w:rPr>
          <w:rFonts w:ascii="Tahoma" w:hAnsi="Tahoma" w:cs="Tahoma"/>
          <w:b/>
          <w:bCs/>
        </w:rPr>
        <w:t xml:space="preserve">PAR TELECOM </w:t>
      </w:r>
      <w:r w:rsidRPr="00211ABC">
        <w:rPr>
          <w:rFonts w:ascii="Tahoma" w:hAnsi="Tahoma" w:cs="Tahoma"/>
        </w:rPr>
        <w:t xml:space="preserve">representada por </w:t>
      </w:r>
      <w:r w:rsidRPr="00211ABC">
        <w:rPr>
          <w:rFonts w:ascii="Tahoma" w:hAnsi="Tahoma" w:cs="Tahoma"/>
          <w:b/>
          <w:bCs/>
        </w:rPr>
        <w:t xml:space="preserve">FIDUAGRARIA </w:t>
      </w:r>
      <w:r w:rsidR="00C533F1">
        <w:rPr>
          <w:rFonts w:ascii="Tahoma" w:hAnsi="Tahoma" w:cs="Tahoma"/>
          <w:b/>
          <w:bCs/>
        </w:rPr>
        <w:t>S.A. Y FIDUCIARIA POPULAR S.A.</w:t>
      </w:r>
      <w:r w:rsidRPr="00211ABC">
        <w:rPr>
          <w:rFonts w:ascii="Tahoma" w:hAnsi="Tahoma" w:cs="Tahoma"/>
          <w:b/>
          <w:bCs/>
        </w:rPr>
        <w:t xml:space="preserve"> </w:t>
      </w:r>
      <w:r w:rsidRPr="00211ABC">
        <w:rPr>
          <w:rFonts w:ascii="Tahoma" w:hAnsi="Tahoma" w:cs="Tahoma"/>
        </w:rPr>
        <w:t xml:space="preserve">Y como extremo vinculado </w:t>
      </w:r>
      <w:r w:rsidRPr="00211ABC">
        <w:rPr>
          <w:rFonts w:ascii="Tahoma" w:hAnsi="Tahoma" w:cs="Tahoma"/>
          <w:b/>
          <w:bCs/>
        </w:rPr>
        <w:t>EL MINISTERIO DE HACIENDA Y CRÉDITO PÚBLICO.</w:t>
      </w:r>
    </w:p>
    <w:p w14:paraId="39C23D02" w14:textId="77777777" w:rsidR="00C27D74" w:rsidRPr="00211ABC" w:rsidRDefault="00C27D74" w:rsidP="00F806FD">
      <w:pPr>
        <w:spacing w:line="276" w:lineRule="auto"/>
        <w:ind w:firstLine="708"/>
        <w:rPr>
          <w:rFonts w:ascii="Tahoma" w:hAnsi="Tahoma" w:cs="Tahoma"/>
        </w:rPr>
      </w:pPr>
    </w:p>
    <w:p w14:paraId="6BAB4898" w14:textId="77777777" w:rsidR="00C27D74" w:rsidRPr="00211ABC" w:rsidRDefault="00C27D74" w:rsidP="00F806FD">
      <w:pPr>
        <w:pStyle w:val="paragraph"/>
        <w:spacing w:before="0" w:beforeAutospacing="0" w:after="0" w:afterAutospacing="0" w:line="276" w:lineRule="auto"/>
        <w:jc w:val="center"/>
        <w:textAlignment w:val="baseline"/>
        <w:outlineLvl w:val="0"/>
        <w:rPr>
          <w:rFonts w:ascii="Tahoma" w:hAnsi="Tahoma" w:cs="Tahoma"/>
        </w:rPr>
      </w:pPr>
      <w:r w:rsidRPr="00211ABC">
        <w:rPr>
          <w:rStyle w:val="normaltextrun"/>
          <w:rFonts w:ascii="Tahoma" w:hAnsi="Tahoma" w:cs="Tahoma"/>
          <w:b/>
          <w:bCs/>
        </w:rPr>
        <w:t>PUNTO A TRATAR</w:t>
      </w:r>
    </w:p>
    <w:p w14:paraId="250CEB60" w14:textId="77777777" w:rsidR="00C27D74" w:rsidRPr="00211ABC" w:rsidRDefault="00C27D74" w:rsidP="00F806FD">
      <w:pPr>
        <w:spacing w:line="276" w:lineRule="auto"/>
        <w:ind w:firstLine="709"/>
        <w:rPr>
          <w:rFonts w:ascii="Tahoma" w:hAnsi="Tahoma" w:cs="Tahoma"/>
        </w:rPr>
      </w:pPr>
    </w:p>
    <w:p w14:paraId="7BAE9AF6" w14:textId="24C5696E" w:rsidR="00C27D74" w:rsidRPr="00211ABC" w:rsidRDefault="00C27D74" w:rsidP="00F806FD">
      <w:pPr>
        <w:spacing w:line="276" w:lineRule="auto"/>
        <w:ind w:firstLine="709"/>
        <w:rPr>
          <w:rFonts w:ascii="Tahoma" w:hAnsi="Tahoma" w:cs="Tahoma"/>
        </w:rPr>
      </w:pPr>
      <w:r w:rsidRPr="00211ABC">
        <w:rPr>
          <w:rFonts w:ascii="Tahoma" w:hAnsi="Tahoma" w:cs="Tahoma"/>
        </w:rPr>
        <w:t xml:space="preserve">Por medio de esta providencia, procede la Sala a resolver el recurso de apelación interpuesto por la parte demandante en contra de la sentencia proferida el </w:t>
      </w:r>
      <w:r w:rsidR="00AA03E0" w:rsidRPr="00211ABC">
        <w:rPr>
          <w:rFonts w:ascii="Tahoma" w:hAnsi="Tahoma" w:cs="Tahoma"/>
          <w:b/>
        </w:rPr>
        <w:t xml:space="preserve">16 </w:t>
      </w:r>
      <w:r w:rsidRPr="00211ABC">
        <w:rPr>
          <w:rFonts w:ascii="Tahoma" w:hAnsi="Tahoma" w:cs="Tahoma"/>
          <w:b/>
        </w:rPr>
        <w:t xml:space="preserve">de </w:t>
      </w:r>
      <w:r w:rsidR="00AA03E0" w:rsidRPr="00211ABC">
        <w:rPr>
          <w:rFonts w:ascii="Tahoma" w:hAnsi="Tahoma" w:cs="Tahoma"/>
          <w:b/>
        </w:rPr>
        <w:t xml:space="preserve">julio </w:t>
      </w:r>
      <w:r w:rsidRPr="00211ABC">
        <w:rPr>
          <w:rFonts w:ascii="Tahoma" w:hAnsi="Tahoma" w:cs="Tahoma"/>
          <w:b/>
        </w:rPr>
        <w:t>de 2020</w:t>
      </w:r>
      <w:r w:rsidRPr="00211ABC">
        <w:rPr>
          <w:rFonts w:ascii="Tahoma" w:hAnsi="Tahoma" w:cs="Tahoma"/>
        </w:rPr>
        <w:t>, por el Juzgado Quinto Laboral del Circuito de Pereira. Para ello se tiene en cuenta lo siguiente:</w:t>
      </w:r>
    </w:p>
    <w:p w14:paraId="747BCE71" w14:textId="77777777" w:rsidR="00C27D74" w:rsidRPr="00211ABC" w:rsidRDefault="00C27D74" w:rsidP="00F806FD">
      <w:pPr>
        <w:spacing w:line="276" w:lineRule="auto"/>
        <w:ind w:firstLine="709"/>
        <w:rPr>
          <w:rFonts w:ascii="Tahoma" w:hAnsi="Tahoma" w:cs="Tahoma"/>
        </w:rPr>
      </w:pPr>
    </w:p>
    <w:p w14:paraId="4CABC7A6" w14:textId="77777777" w:rsidR="00C27D74" w:rsidRPr="00211ABC" w:rsidRDefault="00C27D74" w:rsidP="00F806FD">
      <w:pPr>
        <w:pStyle w:val="Prrafodelista"/>
        <w:numPr>
          <w:ilvl w:val="0"/>
          <w:numId w:val="2"/>
        </w:numPr>
        <w:spacing w:line="276" w:lineRule="auto"/>
        <w:jc w:val="center"/>
        <w:rPr>
          <w:rFonts w:ascii="Tahoma" w:hAnsi="Tahoma" w:cs="Tahoma"/>
          <w:b/>
          <w:bCs/>
        </w:rPr>
      </w:pPr>
      <w:r w:rsidRPr="00211ABC">
        <w:rPr>
          <w:rFonts w:ascii="Tahoma" w:hAnsi="Tahoma" w:cs="Tahoma"/>
          <w:b/>
          <w:bCs/>
        </w:rPr>
        <w:t>Demanda y su contestación</w:t>
      </w:r>
    </w:p>
    <w:p w14:paraId="75171C38" w14:textId="77777777" w:rsidR="00C27D74" w:rsidRPr="00211ABC" w:rsidRDefault="00C27D74" w:rsidP="00F806FD">
      <w:pPr>
        <w:spacing w:after="80" w:line="276" w:lineRule="auto"/>
        <w:ind w:firstLine="709"/>
        <w:rPr>
          <w:rFonts w:ascii="Tahoma" w:hAnsi="Tahoma" w:cs="Tahoma"/>
        </w:rPr>
      </w:pPr>
    </w:p>
    <w:p w14:paraId="0C6C4803" w14:textId="6B2F3B69" w:rsidR="008A39A8" w:rsidRPr="00211ABC" w:rsidRDefault="00AA03E0" w:rsidP="000B062C">
      <w:pPr>
        <w:spacing w:line="276" w:lineRule="auto"/>
        <w:ind w:firstLine="709"/>
        <w:rPr>
          <w:rFonts w:ascii="Tahoma" w:hAnsi="Tahoma" w:cs="Tahoma"/>
        </w:rPr>
      </w:pPr>
      <w:r w:rsidRPr="00211ABC">
        <w:rPr>
          <w:rFonts w:ascii="Tahoma" w:hAnsi="Tahoma" w:cs="Tahoma"/>
        </w:rPr>
        <w:t xml:space="preserve">Solicita Joaquín María Grajales Osorio </w:t>
      </w:r>
      <w:r w:rsidR="008A39A8" w:rsidRPr="00211ABC">
        <w:rPr>
          <w:rFonts w:ascii="Tahoma" w:hAnsi="Tahoma" w:cs="Tahoma"/>
        </w:rPr>
        <w:t xml:space="preserve">que se </w:t>
      </w:r>
      <w:r w:rsidRPr="00211ABC">
        <w:rPr>
          <w:rFonts w:ascii="Tahoma" w:hAnsi="Tahoma" w:cs="Tahoma"/>
        </w:rPr>
        <w:t xml:space="preserve">le </w:t>
      </w:r>
      <w:r w:rsidR="008A39A8" w:rsidRPr="00211ABC">
        <w:rPr>
          <w:rFonts w:ascii="Tahoma" w:hAnsi="Tahoma" w:cs="Tahoma"/>
        </w:rPr>
        <w:t xml:space="preserve">reconozca </w:t>
      </w:r>
      <w:r w:rsidRPr="00211ABC">
        <w:rPr>
          <w:rFonts w:ascii="Tahoma" w:hAnsi="Tahoma" w:cs="Tahoma"/>
        </w:rPr>
        <w:t xml:space="preserve">la totalidad de semanas </w:t>
      </w:r>
      <w:r w:rsidR="008A39A8" w:rsidRPr="00211ABC">
        <w:rPr>
          <w:rFonts w:ascii="Tahoma" w:hAnsi="Tahoma" w:cs="Tahoma"/>
        </w:rPr>
        <w:t xml:space="preserve">que se encuentran acreditadas </w:t>
      </w:r>
      <w:r w:rsidRPr="00211ABC">
        <w:rPr>
          <w:rFonts w:ascii="Tahoma" w:hAnsi="Tahoma" w:cs="Tahoma"/>
        </w:rPr>
        <w:t>en las resoluciones GNR 231307 del 11 de septiembre de 2013, VPB 18202 del 20 de abril de 2016, además de las realizadas por el servicio prestado en la Caja de Crédito Agrario, Industrial y Minero, según certificación laboral expedida por tal ente</w:t>
      </w:r>
      <w:r w:rsidR="005960EC" w:rsidRPr="00211ABC">
        <w:rPr>
          <w:rFonts w:ascii="Tahoma" w:hAnsi="Tahoma" w:cs="Tahoma"/>
        </w:rPr>
        <w:t xml:space="preserve">. En consecuencia, solicita se </w:t>
      </w:r>
      <w:r w:rsidR="008A39A8" w:rsidRPr="00211ABC">
        <w:rPr>
          <w:rFonts w:ascii="Tahoma" w:hAnsi="Tahoma" w:cs="Tahoma"/>
        </w:rPr>
        <w:t xml:space="preserve">le declare beneficiario del régimen de transición y se condene a </w:t>
      </w:r>
      <w:r w:rsidR="005960EC" w:rsidRPr="00211ABC">
        <w:rPr>
          <w:rFonts w:ascii="Tahoma" w:hAnsi="Tahoma" w:cs="Tahoma"/>
        </w:rPr>
        <w:t xml:space="preserve">las demandadas al reconocimiento y pago de </w:t>
      </w:r>
      <w:r w:rsidR="008A39A8" w:rsidRPr="00211ABC">
        <w:rPr>
          <w:rFonts w:ascii="Tahoma" w:hAnsi="Tahoma" w:cs="Tahoma"/>
        </w:rPr>
        <w:t>la pensión de vejez a partir del 15 de noviembre de 2011, en los términos del Acuerdo 049 de 1990 o subsidiariamente, la Ley 71 de 198</w:t>
      </w:r>
      <w:r w:rsidR="005960EC" w:rsidRPr="00211ABC">
        <w:rPr>
          <w:rFonts w:ascii="Tahoma" w:hAnsi="Tahoma" w:cs="Tahoma"/>
        </w:rPr>
        <w:t>8, además de los intereses de mora y costas procesales.</w:t>
      </w:r>
    </w:p>
    <w:p w14:paraId="3F3E9276" w14:textId="5E8596C0" w:rsidR="00AA03E0" w:rsidRPr="00211ABC" w:rsidRDefault="00AA03E0" w:rsidP="00F806FD">
      <w:pPr>
        <w:spacing w:line="276" w:lineRule="auto"/>
        <w:rPr>
          <w:rFonts w:ascii="Tahoma" w:hAnsi="Tahoma" w:cs="Tahoma"/>
          <w:b/>
          <w:bCs/>
        </w:rPr>
      </w:pPr>
    </w:p>
    <w:p w14:paraId="45F53471" w14:textId="42604568" w:rsidR="00AA03E0" w:rsidRPr="0093403B" w:rsidRDefault="00F73D8B" w:rsidP="00F806FD">
      <w:pPr>
        <w:spacing w:line="276" w:lineRule="auto"/>
        <w:ind w:firstLine="708"/>
        <w:rPr>
          <w:rFonts w:ascii="Tahoma" w:hAnsi="Tahoma" w:cs="Tahoma"/>
          <w:iCs/>
        </w:rPr>
      </w:pPr>
      <w:r w:rsidRPr="00211ABC">
        <w:rPr>
          <w:rFonts w:ascii="Tahoma" w:hAnsi="Tahoma" w:cs="Tahoma"/>
        </w:rPr>
        <w:t>Dichas pretensiones, se sustentan en</w:t>
      </w:r>
      <w:r w:rsidR="00E9350B" w:rsidRPr="00211ABC">
        <w:rPr>
          <w:rFonts w:ascii="Tahoma" w:hAnsi="Tahoma" w:cs="Tahoma"/>
        </w:rPr>
        <w:t xml:space="preserve"> que</w:t>
      </w:r>
      <w:r w:rsidRPr="00211ABC">
        <w:rPr>
          <w:rFonts w:ascii="Tahoma" w:hAnsi="Tahoma" w:cs="Tahoma"/>
        </w:rPr>
        <w:t xml:space="preserve"> </w:t>
      </w:r>
      <w:r w:rsidRPr="0093403B">
        <w:rPr>
          <w:rFonts w:ascii="Tahoma" w:hAnsi="Tahoma" w:cs="Tahoma"/>
          <w:iCs/>
        </w:rPr>
        <w:t>(i) el actor nació el 15-11-1951</w:t>
      </w:r>
      <w:r w:rsidR="00CC6C13" w:rsidRPr="0093403B">
        <w:rPr>
          <w:rFonts w:ascii="Tahoma" w:hAnsi="Tahoma" w:cs="Tahoma"/>
          <w:iCs/>
        </w:rPr>
        <w:t xml:space="preserve">; ii) al contar </w:t>
      </w:r>
      <w:r w:rsidRPr="0093403B">
        <w:rPr>
          <w:rFonts w:ascii="Tahoma" w:hAnsi="Tahoma" w:cs="Tahoma"/>
          <w:iCs/>
        </w:rPr>
        <w:t xml:space="preserve">con más de 40 años </w:t>
      </w:r>
      <w:r w:rsidR="00CC6C13" w:rsidRPr="0093403B">
        <w:rPr>
          <w:rFonts w:ascii="Tahoma" w:hAnsi="Tahoma" w:cs="Tahoma"/>
          <w:iCs/>
        </w:rPr>
        <w:t xml:space="preserve">y más de 930 semanas al 01-04-1994 es beneficiario del régimen de transición; (iii) de acuerdo con </w:t>
      </w:r>
      <w:r w:rsidR="00E9350B" w:rsidRPr="0093403B">
        <w:rPr>
          <w:rFonts w:ascii="Tahoma" w:hAnsi="Tahoma" w:cs="Tahoma"/>
          <w:iCs/>
        </w:rPr>
        <w:t xml:space="preserve">las </w:t>
      </w:r>
      <w:r w:rsidR="00CC6C13" w:rsidRPr="0093403B">
        <w:rPr>
          <w:rFonts w:ascii="Tahoma" w:hAnsi="Tahoma" w:cs="Tahoma"/>
          <w:iCs/>
        </w:rPr>
        <w:t xml:space="preserve">certificaciones agregadas con la demanda, se acreditan servicios así: </w:t>
      </w:r>
      <w:r w:rsidR="000A05B1" w:rsidRPr="0093403B">
        <w:rPr>
          <w:rFonts w:ascii="Tahoma" w:hAnsi="Tahoma" w:cs="Tahoma"/>
          <w:iCs/>
        </w:rPr>
        <w:t xml:space="preserve">(a) </w:t>
      </w:r>
      <w:r w:rsidR="00CC6C13" w:rsidRPr="0093403B">
        <w:rPr>
          <w:rFonts w:ascii="Tahoma" w:hAnsi="Tahoma" w:cs="Tahoma"/>
          <w:iCs/>
        </w:rPr>
        <w:t>en la caja de crédito agrario industrial y minero de</w:t>
      </w:r>
      <w:r w:rsidR="00E9350B" w:rsidRPr="0093403B">
        <w:rPr>
          <w:rFonts w:ascii="Tahoma" w:hAnsi="Tahoma" w:cs="Tahoma"/>
          <w:iCs/>
        </w:rPr>
        <w:t>sde</w:t>
      </w:r>
      <w:r w:rsidR="00CC6C13" w:rsidRPr="0093403B">
        <w:rPr>
          <w:rFonts w:ascii="Tahoma" w:hAnsi="Tahoma" w:cs="Tahoma"/>
          <w:iCs/>
        </w:rPr>
        <w:t xml:space="preserve"> </w:t>
      </w:r>
      <w:r w:rsidR="00E9350B" w:rsidRPr="0093403B">
        <w:rPr>
          <w:rFonts w:ascii="Tahoma" w:hAnsi="Tahoma" w:cs="Tahoma"/>
          <w:iCs/>
        </w:rPr>
        <w:t xml:space="preserve">el </w:t>
      </w:r>
      <w:r w:rsidR="00CC6C13" w:rsidRPr="0093403B">
        <w:rPr>
          <w:rFonts w:ascii="Tahoma" w:hAnsi="Tahoma" w:cs="Tahoma"/>
          <w:iCs/>
        </w:rPr>
        <w:t>02-12-1975 al 24-09-1978</w:t>
      </w:r>
      <w:r w:rsidR="000A05B1" w:rsidRPr="0093403B">
        <w:rPr>
          <w:rFonts w:ascii="Tahoma" w:hAnsi="Tahoma" w:cs="Tahoma"/>
          <w:iCs/>
        </w:rPr>
        <w:t>; (b) en Telecom del 23-10-1978 al 31-03-1995</w:t>
      </w:r>
      <w:r w:rsidR="002E62D8" w:rsidRPr="0093403B">
        <w:rPr>
          <w:rFonts w:ascii="Tahoma" w:hAnsi="Tahoma" w:cs="Tahoma"/>
          <w:iCs/>
        </w:rPr>
        <w:t xml:space="preserve">; (iv) se trasladó al RAIS administrado por protección S.A. el 6-04-1995, retornado al RPM conservando el régimen de transición; (v) solicitó la pensión el 25-09-2011; (vi) la prestación fue negada por resolución GNR231307 del 11-09-2013 a falta de acreditación de semanas de cotización, sin tener en cuenta el servicio </w:t>
      </w:r>
      <w:r w:rsidR="002E62D8" w:rsidRPr="0093403B">
        <w:rPr>
          <w:rFonts w:ascii="Tahoma" w:hAnsi="Tahoma" w:cs="Tahoma"/>
          <w:iCs/>
        </w:rPr>
        <w:lastRenderedPageBreak/>
        <w:t>prestado en Telecom antes del 16-08-1979; (vii) incoado el recurso de apelación</w:t>
      </w:r>
      <w:r w:rsidR="009A5E32" w:rsidRPr="0093403B">
        <w:rPr>
          <w:rFonts w:ascii="Tahoma" w:hAnsi="Tahoma" w:cs="Tahoma"/>
          <w:iCs/>
        </w:rPr>
        <w:t>, Colpensiones confirmó la decisión por resolución VPB 6423 del 02-05-2014</w:t>
      </w:r>
      <w:r w:rsidR="00544694" w:rsidRPr="0093403B">
        <w:rPr>
          <w:rFonts w:ascii="Tahoma" w:hAnsi="Tahoma" w:cs="Tahoma"/>
          <w:iCs/>
        </w:rPr>
        <w:t>; (viii) posteriormente, solicitó la pensión siendo negada por resolución GNR988 del 04-01-2016, omitiendo semanas previamente reconocidas en los actos administrativos citados, a pesar que cuenta con 1.033,71 semanas, acto administrativo que fue confirmado por la resolución VPB18202 del 20-04-2016, pero ratificando los derechos transicionales.</w:t>
      </w:r>
      <w:r w:rsidR="00EB2F4A" w:rsidRPr="0093403B">
        <w:rPr>
          <w:rFonts w:ascii="Tahoma" w:hAnsi="Tahoma" w:cs="Tahoma"/>
          <w:iCs/>
        </w:rPr>
        <w:t xml:space="preserve"> </w:t>
      </w:r>
    </w:p>
    <w:p w14:paraId="47D5CEAD" w14:textId="2C761386" w:rsidR="00EB2F4A" w:rsidRPr="00211ABC" w:rsidRDefault="00EB2F4A" w:rsidP="00F806FD">
      <w:pPr>
        <w:spacing w:line="276" w:lineRule="auto"/>
        <w:ind w:firstLine="708"/>
        <w:rPr>
          <w:rFonts w:ascii="Tahoma" w:hAnsi="Tahoma" w:cs="Tahoma"/>
          <w:i/>
          <w:iCs/>
        </w:rPr>
      </w:pPr>
    </w:p>
    <w:p w14:paraId="48D7C688" w14:textId="5CA592D9" w:rsidR="00EB2F4A" w:rsidRPr="00211ABC" w:rsidRDefault="00EB2F4A" w:rsidP="00F806FD">
      <w:pPr>
        <w:spacing w:line="276" w:lineRule="auto"/>
        <w:ind w:firstLine="708"/>
        <w:rPr>
          <w:rFonts w:ascii="Tahoma" w:hAnsi="Tahoma" w:cs="Tahoma"/>
          <w:b/>
          <w:bCs/>
        </w:rPr>
      </w:pPr>
      <w:r w:rsidRPr="00211ABC">
        <w:rPr>
          <w:rFonts w:ascii="Tahoma" w:hAnsi="Tahoma" w:cs="Tahoma"/>
        </w:rPr>
        <w:t>El</w:t>
      </w:r>
      <w:r w:rsidRPr="00211ABC">
        <w:rPr>
          <w:rFonts w:ascii="Tahoma" w:hAnsi="Tahoma" w:cs="Tahoma"/>
          <w:b/>
          <w:bCs/>
        </w:rPr>
        <w:t xml:space="preserve"> PAR Telecom</w:t>
      </w:r>
      <w:r w:rsidRPr="00211ABC">
        <w:rPr>
          <w:rFonts w:ascii="Tahoma" w:hAnsi="Tahoma" w:cs="Tahoma"/>
        </w:rPr>
        <w:t xml:space="preserve"> </w:t>
      </w:r>
      <w:r w:rsidR="00611C98" w:rsidRPr="00211ABC">
        <w:rPr>
          <w:rFonts w:ascii="Tahoma" w:hAnsi="Tahoma" w:cs="Tahoma"/>
        </w:rPr>
        <w:t xml:space="preserve">a través de la </w:t>
      </w:r>
      <w:proofErr w:type="spellStart"/>
      <w:r w:rsidR="00611C98" w:rsidRPr="00211ABC">
        <w:rPr>
          <w:rFonts w:ascii="Tahoma" w:hAnsi="Tahoma" w:cs="Tahoma"/>
          <w:b/>
          <w:bCs/>
        </w:rPr>
        <w:t>Fiduagraria</w:t>
      </w:r>
      <w:proofErr w:type="spellEnd"/>
      <w:r w:rsidR="00611C98" w:rsidRPr="00211ABC">
        <w:rPr>
          <w:rFonts w:ascii="Tahoma" w:hAnsi="Tahoma" w:cs="Tahoma"/>
          <w:b/>
          <w:bCs/>
        </w:rPr>
        <w:t xml:space="preserve"> S.A. y la Fiduciaria Popular S.A., </w:t>
      </w:r>
      <w:r w:rsidRPr="00211ABC">
        <w:rPr>
          <w:rFonts w:ascii="Tahoma" w:hAnsi="Tahoma" w:cs="Tahoma"/>
        </w:rPr>
        <w:t>si bien se opuso a las pretensiones, aceptó los hechos relativos al natalicio del actor, las fechas de ingreso y retiro del trabajador, las comunicaciones y certificaciones expedidas al demandante</w:t>
      </w:r>
      <w:r w:rsidR="00990DB2">
        <w:rPr>
          <w:rFonts w:ascii="Tahoma" w:hAnsi="Tahoma" w:cs="Tahoma"/>
        </w:rPr>
        <w:t>, así como</w:t>
      </w:r>
      <w:r w:rsidR="0018567B" w:rsidRPr="00211ABC">
        <w:rPr>
          <w:rFonts w:ascii="Tahoma" w:hAnsi="Tahoma" w:cs="Tahoma"/>
        </w:rPr>
        <w:t xml:space="preserve"> la acción de tutela promovida por el demandante</w:t>
      </w:r>
      <w:r w:rsidR="00990DB2">
        <w:rPr>
          <w:rFonts w:ascii="Tahoma" w:hAnsi="Tahoma" w:cs="Tahoma"/>
        </w:rPr>
        <w:t xml:space="preserve"> y</w:t>
      </w:r>
      <w:r w:rsidR="0018567B" w:rsidRPr="00211ABC">
        <w:rPr>
          <w:rFonts w:ascii="Tahoma" w:hAnsi="Tahoma" w:cs="Tahoma"/>
        </w:rPr>
        <w:t xml:space="preserve"> en lo demás</w:t>
      </w:r>
      <w:r w:rsidR="00990DB2">
        <w:rPr>
          <w:rFonts w:ascii="Tahoma" w:hAnsi="Tahoma" w:cs="Tahoma"/>
        </w:rPr>
        <w:t>,</w:t>
      </w:r>
      <w:r w:rsidR="0018567B" w:rsidRPr="00211ABC">
        <w:rPr>
          <w:rFonts w:ascii="Tahoma" w:hAnsi="Tahoma" w:cs="Tahoma"/>
        </w:rPr>
        <w:t xml:space="preserve"> indic</w:t>
      </w:r>
      <w:r w:rsidR="00990DB2">
        <w:rPr>
          <w:rFonts w:ascii="Tahoma" w:hAnsi="Tahoma" w:cs="Tahoma"/>
        </w:rPr>
        <w:t>ó</w:t>
      </w:r>
      <w:r w:rsidR="0018567B" w:rsidRPr="00211ABC">
        <w:rPr>
          <w:rFonts w:ascii="Tahoma" w:hAnsi="Tahoma" w:cs="Tahoma"/>
        </w:rPr>
        <w:t xml:space="preserve"> no constarle.  Como excepciones formuló</w:t>
      </w:r>
      <w:r w:rsidR="00990DB2">
        <w:rPr>
          <w:rFonts w:ascii="Tahoma" w:hAnsi="Tahoma" w:cs="Tahoma"/>
        </w:rPr>
        <w:t xml:space="preserve">: </w:t>
      </w:r>
      <w:r w:rsidR="0018567B" w:rsidRPr="00211ABC">
        <w:rPr>
          <w:rFonts w:ascii="Tahoma" w:hAnsi="Tahoma" w:cs="Tahoma"/>
        </w:rPr>
        <w:t>“</w:t>
      </w:r>
      <w:r w:rsidR="0018567B" w:rsidRPr="00211ABC">
        <w:rPr>
          <w:rFonts w:ascii="Tahoma" w:hAnsi="Tahoma" w:cs="Tahoma"/>
          <w:b/>
          <w:bCs/>
        </w:rPr>
        <w:t>falta de legitimación en la causa por pasiva, buena fe, cobro de lo no debido y prescripción”.</w:t>
      </w:r>
    </w:p>
    <w:p w14:paraId="0A2AFC6B" w14:textId="2E224188" w:rsidR="00797B6A" w:rsidRPr="00211ABC" w:rsidRDefault="00797B6A" w:rsidP="00F806FD">
      <w:pPr>
        <w:spacing w:line="276" w:lineRule="auto"/>
        <w:ind w:firstLine="708"/>
        <w:rPr>
          <w:rFonts w:ascii="Tahoma" w:hAnsi="Tahoma" w:cs="Tahoma"/>
          <w:b/>
          <w:bCs/>
        </w:rPr>
      </w:pPr>
    </w:p>
    <w:p w14:paraId="7338BBC5" w14:textId="21A25525" w:rsidR="00797B6A" w:rsidRPr="00211ABC" w:rsidRDefault="00797B6A" w:rsidP="00F806FD">
      <w:pPr>
        <w:spacing w:line="276" w:lineRule="auto"/>
        <w:ind w:firstLine="708"/>
        <w:rPr>
          <w:rFonts w:ascii="Tahoma" w:hAnsi="Tahoma" w:cs="Tahoma"/>
        </w:rPr>
      </w:pPr>
      <w:r w:rsidRPr="00211ABC">
        <w:rPr>
          <w:rFonts w:ascii="Tahoma" w:hAnsi="Tahoma" w:cs="Tahoma"/>
        </w:rPr>
        <w:t xml:space="preserve">La </w:t>
      </w:r>
      <w:r w:rsidRPr="00211ABC">
        <w:rPr>
          <w:rFonts w:ascii="Tahoma" w:hAnsi="Tahoma" w:cs="Tahoma"/>
          <w:b/>
          <w:bCs/>
        </w:rPr>
        <w:t>Administradora Colombiana de Pensiones “Colpensiones”</w:t>
      </w:r>
      <w:r w:rsidRPr="00211ABC">
        <w:rPr>
          <w:rFonts w:ascii="Tahoma" w:hAnsi="Tahoma" w:cs="Tahoma"/>
        </w:rPr>
        <w:t xml:space="preserve"> se opuso a lo pretendido, aceptó los hechos relativos a la fecha de nacimiento, la calidad de beneficiario del régimen de transición con que cuenta el actor, el traslado al RAIS y la conservación de los beneficios transicionales, las reclamaciones elevadas ante Colpensiones y sus negativas a través de los actos administrativos proferidos, las acciones constitucionales promovidas</w:t>
      </w:r>
      <w:r w:rsidR="00990DB2">
        <w:rPr>
          <w:rFonts w:ascii="Tahoma" w:hAnsi="Tahoma" w:cs="Tahoma"/>
        </w:rPr>
        <w:t xml:space="preserve"> y</w:t>
      </w:r>
      <w:r w:rsidRPr="00211ABC">
        <w:rPr>
          <w:rFonts w:ascii="Tahoma" w:hAnsi="Tahoma" w:cs="Tahoma"/>
        </w:rPr>
        <w:t>, en lo demás lo negó o indicó no constarle. Como medios exceptivos formuló “</w:t>
      </w:r>
      <w:r w:rsidRPr="00211ABC">
        <w:rPr>
          <w:rFonts w:ascii="Tahoma" w:hAnsi="Tahoma" w:cs="Tahoma"/>
          <w:b/>
          <w:bCs/>
        </w:rPr>
        <w:t>inexistencia de la obligación, prescripción</w:t>
      </w:r>
      <w:r w:rsidR="00452293" w:rsidRPr="00211ABC">
        <w:rPr>
          <w:rFonts w:ascii="Tahoma" w:hAnsi="Tahoma" w:cs="Tahoma"/>
          <w:b/>
          <w:bCs/>
        </w:rPr>
        <w:t>, imposibilidad jurídica para reconocer y pagar derechos por fuera del ordenamiento legal y buena fe</w:t>
      </w:r>
      <w:r w:rsidR="00971A57" w:rsidRPr="00211ABC">
        <w:rPr>
          <w:rFonts w:ascii="Tahoma" w:hAnsi="Tahoma" w:cs="Tahoma"/>
          <w:b/>
          <w:bCs/>
        </w:rPr>
        <w:t>, imposibilidad de condena en intereses moratorios, indexación y costas</w:t>
      </w:r>
      <w:r w:rsidR="00452293" w:rsidRPr="00211ABC">
        <w:rPr>
          <w:rFonts w:ascii="Tahoma" w:hAnsi="Tahoma" w:cs="Tahoma"/>
          <w:b/>
          <w:bCs/>
        </w:rPr>
        <w:t>”.</w:t>
      </w:r>
    </w:p>
    <w:p w14:paraId="23DFC4D5" w14:textId="5A8ED5C7" w:rsidR="00611C98" w:rsidRPr="00211ABC" w:rsidRDefault="00611C98" w:rsidP="00F806FD">
      <w:pPr>
        <w:spacing w:line="276" w:lineRule="auto"/>
        <w:ind w:firstLine="708"/>
        <w:rPr>
          <w:rFonts w:ascii="Tahoma" w:hAnsi="Tahoma" w:cs="Tahoma"/>
        </w:rPr>
      </w:pPr>
    </w:p>
    <w:p w14:paraId="34AC0830" w14:textId="2D864B9A" w:rsidR="00611C98" w:rsidRPr="00211ABC" w:rsidRDefault="00611C98" w:rsidP="00F806FD">
      <w:pPr>
        <w:spacing w:line="276" w:lineRule="auto"/>
        <w:ind w:firstLine="708"/>
        <w:rPr>
          <w:rFonts w:ascii="Tahoma" w:hAnsi="Tahoma" w:cs="Tahoma"/>
        </w:rPr>
      </w:pPr>
      <w:r w:rsidRPr="00211ABC">
        <w:rPr>
          <w:rFonts w:ascii="Tahoma" w:hAnsi="Tahoma" w:cs="Tahoma"/>
        </w:rPr>
        <w:t xml:space="preserve">El </w:t>
      </w:r>
      <w:r w:rsidRPr="00211ABC">
        <w:rPr>
          <w:rFonts w:ascii="Tahoma" w:hAnsi="Tahoma" w:cs="Tahoma"/>
          <w:b/>
          <w:bCs/>
        </w:rPr>
        <w:t xml:space="preserve">Ministerio de Hacienda y Crédito Público </w:t>
      </w:r>
      <w:r w:rsidRPr="00211ABC">
        <w:rPr>
          <w:rFonts w:ascii="Tahoma" w:hAnsi="Tahoma" w:cs="Tahoma"/>
        </w:rPr>
        <w:t xml:space="preserve">al contestar </w:t>
      </w:r>
      <w:r w:rsidR="006956EF">
        <w:rPr>
          <w:rFonts w:ascii="Tahoma" w:hAnsi="Tahoma" w:cs="Tahoma"/>
        </w:rPr>
        <w:t>dijo</w:t>
      </w:r>
      <w:r w:rsidRPr="00211ABC">
        <w:rPr>
          <w:rFonts w:ascii="Tahoma" w:hAnsi="Tahoma" w:cs="Tahoma"/>
        </w:rPr>
        <w:t xml:space="preserve"> no constarle los hechos de la demanda y se opuso a las pretensiones que lo involucraran. Enfatizó que la responsabilidad en el reconocimiento de las pensiones estaba en cabeza de las administradoras de pensiones </w:t>
      </w:r>
      <w:r w:rsidR="006956EF">
        <w:rPr>
          <w:rFonts w:ascii="Tahoma" w:hAnsi="Tahoma" w:cs="Tahoma"/>
        </w:rPr>
        <w:t>y</w:t>
      </w:r>
      <w:r w:rsidR="00F470AC" w:rsidRPr="00211ABC">
        <w:rPr>
          <w:rFonts w:ascii="Tahoma" w:hAnsi="Tahoma" w:cs="Tahoma"/>
        </w:rPr>
        <w:t>,</w:t>
      </w:r>
      <w:r w:rsidRPr="00211ABC">
        <w:rPr>
          <w:rFonts w:ascii="Tahoma" w:hAnsi="Tahoma" w:cs="Tahoma"/>
        </w:rPr>
        <w:t xml:space="preserve"> en caso de reconocer la prestación, son quienes entrar</w:t>
      </w:r>
      <w:r w:rsidR="00CF7F1F">
        <w:rPr>
          <w:rFonts w:ascii="Tahoma" w:hAnsi="Tahoma" w:cs="Tahoma"/>
        </w:rPr>
        <w:t>á</w:t>
      </w:r>
      <w:r w:rsidRPr="00211ABC">
        <w:rPr>
          <w:rFonts w:ascii="Tahoma" w:hAnsi="Tahoma" w:cs="Tahoma"/>
        </w:rPr>
        <w:t>n a determinar si para la financiación de la prestación requieren o no de bono pensional tipo B o T</w:t>
      </w:r>
      <w:r w:rsidR="00E71E3C" w:rsidRPr="00211ABC">
        <w:rPr>
          <w:rFonts w:ascii="Tahoma" w:hAnsi="Tahoma" w:cs="Tahoma"/>
        </w:rPr>
        <w:t xml:space="preserve"> y, en tal caso, es a Colpensiones a quien le corresponde efectuar el respectivo trámite ante el emisor</w:t>
      </w:r>
      <w:r w:rsidR="00F470AC" w:rsidRPr="00211ABC">
        <w:rPr>
          <w:rFonts w:ascii="Tahoma" w:hAnsi="Tahoma" w:cs="Tahoma"/>
        </w:rPr>
        <w:t>. Como excepciones formula “</w:t>
      </w:r>
      <w:r w:rsidR="00F470AC" w:rsidRPr="00211ABC">
        <w:rPr>
          <w:rFonts w:ascii="Tahoma" w:hAnsi="Tahoma" w:cs="Tahoma"/>
          <w:b/>
          <w:bCs/>
        </w:rPr>
        <w:t xml:space="preserve">ausencia de responsabilidad de la </w:t>
      </w:r>
      <w:r w:rsidR="00C533F1" w:rsidRPr="00211ABC">
        <w:rPr>
          <w:rFonts w:ascii="Tahoma" w:hAnsi="Tahoma" w:cs="Tahoma"/>
          <w:b/>
          <w:bCs/>
        </w:rPr>
        <w:t>Nación</w:t>
      </w:r>
      <w:r w:rsidR="00C533F1">
        <w:rPr>
          <w:rFonts w:ascii="Tahoma" w:hAnsi="Tahoma" w:cs="Tahoma"/>
          <w:b/>
          <w:bCs/>
        </w:rPr>
        <w:t xml:space="preserve"> – </w:t>
      </w:r>
      <w:r w:rsidR="00C533F1" w:rsidRPr="00211ABC">
        <w:rPr>
          <w:rFonts w:ascii="Tahoma" w:hAnsi="Tahoma" w:cs="Tahoma"/>
          <w:b/>
          <w:bCs/>
        </w:rPr>
        <w:t>Ministerio</w:t>
      </w:r>
      <w:r w:rsidR="00C533F1">
        <w:rPr>
          <w:rFonts w:ascii="Tahoma" w:hAnsi="Tahoma" w:cs="Tahoma"/>
          <w:b/>
          <w:bCs/>
        </w:rPr>
        <w:t xml:space="preserve"> </w:t>
      </w:r>
      <w:r w:rsidR="00F470AC" w:rsidRPr="00211ABC">
        <w:rPr>
          <w:rFonts w:ascii="Tahoma" w:hAnsi="Tahoma" w:cs="Tahoma"/>
          <w:b/>
          <w:bCs/>
        </w:rPr>
        <w:t xml:space="preserve">de </w:t>
      </w:r>
      <w:r w:rsidR="00C533F1" w:rsidRPr="00211ABC">
        <w:rPr>
          <w:rFonts w:ascii="Tahoma" w:hAnsi="Tahoma" w:cs="Tahoma"/>
          <w:b/>
          <w:bCs/>
        </w:rPr>
        <w:t xml:space="preserve">Hacienda </w:t>
      </w:r>
      <w:r w:rsidR="00F470AC" w:rsidRPr="00211ABC">
        <w:rPr>
          <w:rFonts w:ascii="Tahoma" w:hAnsi="Tahoma" w:cs="Tahoma"/>
          <w:b/>
          <w:bCs/>
        </w:rPr>
        <w:t>en el reconocimiento de algún derecho que pretenda el demandante, buena fe y genéricas”.</w:t>
      </w:r>
    </w:p>
    <w:p w14:paraId="7DCD0173" w14:textId="3CBD9DB3" w:rsidR="00611C98" w:rsidRPr="00211ABC" w:rsidRDefault="00611C98" w:rsidP="00F806FD">
      <w:pPr>
        <w:spacing w:line="276" w:lineRule="auto"/>
        <w:ind w:firstLine="708"/>
        <w:rPr>
          <w:rFonts w:ascii="Tahoma" w:hAnsi="Tahoma" w:cs="Tahoma"/>
        </w:rPr>
      </w:pPr>
    </w:p>
    <w:p w14:paraId="128EF266" w14:textId="19EB4F3E" w:rsidR="00F666BB" w:rsidRPr="00211ABC" w:rsidRDefault="00F666BB" w:rsidP="00F806FD">
      <w:pPr>
        <w:pStyle w:val="Prrafodelista"/>
        <w:numPr>
          <w:ilvl w:val="0"/>
          <w:numId w:val="2"/>
        </w:numPr>
        <w:spacing w:line="276" w:lineRule="auto"/>
        <w:jc w:val="center"/>
        <w:rPr>
          <w:rFonts w:ascii="Tahoma" w:hAnsi="Tahoma" w:cs="Tahoma"/>
          <w:b/>
          <w:bCs/>
        </w:rPr>
      </w:pPr>
      <w:r w:rsidRPr="00211ABC">
        <w:rPr>
          <w:rFonts w:ascii="Tahoma" w:hAnsi="Tahoma" w:cs="Tahoma"/>
          <w:b/>
          <w:bCs/>
        </w:rPr>
        <w:t>Sentencia de primera instancia</w:t>
      </w:r>
    </w:p>
    <w:p w14:paraId="432BB879" w14:textId="72BE544C" w:rsidR="007F2DF4" w:rsidRPr="00211ABC" w:rsidRDefault="007F2DF4" w:rsidP="00F806FD">
      <w:pPr>
        <w:spacing w:line="276" w:lineRule="auto"/>
        <w:rPr>
          <w:rFonts w:ascii="Tahoma" w:hAnsi="Tahoma" w:cs="Tahoma"/>
        </w:rPr>
      </w:pPr>
    </w:p>
    <w:p w14:paraId="2346365B" w14:textId="14C783D3" w:rsidR="005C37D1" w:rsidRPr="00211ABC" w:rsidRDefault="005C37D1" w:rsidP="00F806FD">
      <w:pPr>
        <w:spacing w:line="276" w:lineRule="auto"/>
        <w:ind w:firstLine="360"/>
        <w:rPr>
          <w:rFonts w:ascii="Tahoma" w:hAnsi="Tahoma" w:cs="Tahoma"/>
        </w:rPr>
      </w:pPr>
      <w:r w:rsidRPr="00211ABC">
        <w:rPr>
          <w:rFonts w:ascii="Tahoma" w:hAnsi="Tahoma" w:cs="Tahoma"/>
        </w:rPr>
        <w:t xml:space="preserve">El Juzgado Quinto Laboral del Circuito, mediante sentencia del 16 de julio de 2020, condenó a Colpensiones al reconocimiento de la pensión de vejez, en aplicación del régimen de transición, en los términos del Acuerdo 049 de 1990, a partir del 15 de noviembre de 2011, sobre 13 mesadas anuales, en cuantía de $910.528.  De igual forma, declaró parcialmente probada la prescripción de las </w:t>
      </w:r>
      <w:r w:rsidRPr="00211ABC">
        <w:rPr>
          <w:rFonts w:ascii="Tahoma" w:hAnsi="Tahoma" w:cs="Tahoma"/>
        </w:rPr>
        <w:lastRenderedPageBreak/>
        <w:t>mesadas causadas con anterioridad al 03-05-2015 liquidando un retroactivo hasta el 30-06-2020 en valor total de $79.085.435, además de la indexación.</w:t>
      </w:r>
    </w:p>
    <w:p w14:paraId="4518E2D6" w14:textId="66C2F385" w:rsidR="005C37D1" w:rsidRPr="00211ABC" w:rsidRDefault="005C37D1" w:rsidP="00F806FD">
      <w:pPr>
        <w:spacing w:line="276" w:lineRule="auto"/>
        <w:ind w:firstLine="360"/>
        <w:rPr>
          <w:rFonts w:ascii="Tahoma" w:hAnsi="Tahoma" w:cs="Tahoma"/>
        </w:rPr>
      </w:pPr>
    </w:p>
    <w:p w14:paraId="600535F7" w14:textId="5AFA03D6" w:rsidR="005C37D1" w:rsidRPr="00211ABC" w:rsidRDefault="005C37D1" w:rsidP="00F806FD">
      <w:pPr>
        <w:spacing w:line="276" w:lineRule="auto"/>
        <w:ind w:firstLine="360"/>
        <w:rPr>
          <w:rFonts w:ascii="Tahoma" w:hAnsi="Tahoma" w:cs="Tahoma"/>
        </w:rPr>
      </w:pPr>
      <w:r w:rsidRPr="00211ABC">
        <w:rPr>
          <w:rFonts w:ascii="Tahoma" w:hAnsi="Tahoma" w:cs="Tahoma"/>
        </w:rPr>
        <w:t>De igual forma, absol</w:t>
      </w:r>
      <w:r w:rsidR="00C533F1">
        <w:rPr>
          <w:rFonts w:ascii="Tahoma" w:hAnsi="Tahoma" w:cs="Tahoma"/>
        </w:rPr>
        <w:t>vió al PAR TELECOM – Liquidada</w:t>
      </w:r>
      <w:r w:rsidRPr="00211ABC">
        <w:rPr>
          <w:rFonts w:ascii="Tahoma" w:hAnsi="Tahoma" w:cs="Tahoma"/>
        </w:rPr>
        <w:t xml:space="preserve"> y al Ministerio de Hacienda y Crédito Público de las pretensiones, condenando en costas al actor a favor del PAR Telecom y a Colpensiones lo condenó en costas a favor del actor.</w:t>
      </w:r>
    </w:p>
    <w:p w14:paraId="4AFD6572" w14:textId="76299995" w:rsidR="005C37D1" w:rsidRPr="00211ABC" w:rsidRDefault="005C37D1" w:rsidP="00F806FD">
      <w:pPr>
        <w:spacing w:line="276" w:lineRule="auto"/>
        <w:ind w:firstLine="360"/>
        <w:rPr>
          <w:rFonts w:ascii="Tahoma" w:hAnsi="Tahoma" w:cs="Tahoma"/>
        </w:rPr>
      </w:pPr>
    </w:p>
    <w:p w14:paraId="3066F719" w14:textId="77777777" w:rsidR="00963413" w:rsidRPr="00211ABC" w:rsidRDefault="00611C98" w:rsidP="00F806FD">
      <w:pPr>
        <w:spacing w:line="276" w:lineRule="auto"/>
        <w:ind w:firstLine="360"/>
        <w:rPr>
          <w:rFonts w:ascii="Tahoma" w:hAnsi="Tahoma" w:cs="Tahoma"/>
        </w:rPr>
      </w:pPr>
      <w:r w:rsidRPr="00211ABC">
        <w:rPr>
          <w:rFonts w:ascii="Tahoma" w:hAnsi="Tahoma" w:cs="Tahoma"/>
        </w:rPr>
        <w:t xml:space="preserve">Para llegar a tal </w:t>
      </w:r>
      <w:r w:rsidR="00D006A7" w:rsidRPr="00211ABC">
        <w:rPr>
          <w:rFonts w:ascii="Tahoma" w:hAnsi="Tahoma" w:cs="Tahoma"/>
        </w:rPr>
        <w:t xml:space="preserve">determinación, concluyó que existieron </w:t>
      </w:r>
      <w:r w:rsidRPr="00211ABC">
        <w:rPr>
          <w:rFonts w:ascii="Tahoma" w:hAnsi="Tahoma" w:cs="Tahoma"/>
        </w:rPr>
        <w:t xml:space="preserve">periodos </w:t>
      </w:r>
      <w:r w:rsidR="00D006A7" w:rsidRPr="00211ABC">
        <w:rPr>
          <w:rFonts w:ascii="Tahoma" w:hAnsi="Tahoma" w:cs="Tahoma"/>
        </w:rPr>
        <w:t xml:space="preserve">desconocidos por Colpensiones. </w:t>
      </w:r>
    </w:p>
    <w:p w14:paraId="343F7ED0" w14:textId="77777777" w:rsidR="00963413" w:rsidRPr="00211ABC" w:rsidRDefault="00963413" w:rsidP="00F806FD">
      <w:pPr>
        <w:spacing w:line="276" w:lineRule="auto"/>
        <w:ind w:firstLine="360"/>
        <w:rPr>
          <w:rFonts w:ascii="Tahoma" w:hAnsi="Tahoma" w:cs="Tahoma"/>
        </w:rPr>
      </w:pPr>
    </w:p>
    <w:p w14:paraId="7CCE2BA5" w14:textId="401CE1EB" w:rsidR="00D006A7" w:rsidRPr="00211ABC" w:rsidRDefault="00963413" w:rsidP="00F806FD">
      <w:pPr>
        <w:spacing w:line="276" w:lineRule="auto"/>
        <w:ind w:firstLine="360"/>
        <w:rPr>
          <w:rFonts w:ascii="Tahoma" w:hAnsi="Tahoma" w:cs="Tahoma"/>
        </w:rPr>
      </w:pPr>
      <w:r w:rsidRPr="00211ABC">
        <w:rPr>
          <w:rFonts w:ascii="Tahoma" w:hAnsi="Tahoma" w:cs="Tahoma"/>
        </w:rPr>
        <w:t xml:space="preserve">En torno </w:t>
      </w:r>
      <w:r w:rsidR="00D006A7" w:rsidRPr="00211ABC">
        <w:rPr>
          <w:rFonts w:ascii="Tahoma" w:hAnsi="Tahoma" w:cs="Tahoma"/>
        </w:rPr>
        <w:t xml:space="preserve">al tiempo laborado en la </w:t>
      </w:r>
      <w:r w:rsidR="00C533F1" w:rsidRPr="00211ABC">
        <w:rPr>
          <w:rFonts w:ascii="Tahoma" w:hAnsi="Tahoma" w:cs="Tahoma"/>
        </w:rPr>
        <w:t xml:space="preserve">Caja </w:t>
      </w:r>
      <w:r w:rsidR="00D006A7" w:rsidRPr="00211ABC">
        <w:rPr>
          <w:rFonts w:ascii="Tahoma" w:hAnsi="Tahoma" w:cs="Tahoma"/>
        </w:rPr>
        <w:t xml:space="preserve">de </w:t>
      </w:r>
      <w:r w:rsidR="00C533F1" w:rsidRPr="00211ABC">
        <w:rPr>
          <w:rFonts w:ascii="Tahoma" w:hAnsi="Tahoma" w:cs="Tahoma"/>
        </w:rPr>
        <w:t xml:space="preserve">Crédito Agrario </w:t>
      </w:r>
      <w:r w:rsidR="00D006A7" w:rsidRPr="00211ABC">
        <w:rPr>
          <w:rFonts w:ascii="Tahoma" w:hAnsi="Tahoma" w:cs="Tahoma"/>
        </w:rPr>
        <w:t xml:space="preserve">y </w:t>
      </w:r>
      <w:r w:rsidR="00C533F1" w:rsidRPr="00211ABC">
        <w:rPr>
          <w:rFonts w:ascii="Tahoma" w:hAnsi="Tahoma" w:cs="Tahoma"/>
        </w:rPr>
        <w:t>Minero</w:t>
      </w:r>
      <w:r w:rsidR="00D006A7" w:rsidRPr="00211ABC">
        <w:rPr>
          <w:rFonts w:ascii="Tahoma" w:hAnsi="Tahoma" w:cs="Tahoma"/>
        </w:rPr>
        <w:t xml:space="preserve">, </w:t>
      </w:r>
      <w:r w:rsidR="00C60DF9" w:rsidRPr="00211ABC">
        <w:rPr>
          <w:rFonts w:ascii="Tahoma" w:hAnsi="Tahoma" w:cs="Tahoma"/>
        </w:rPr>
        <w:t>determin</w:t>
      </w:r>
      <w:r w:rsidR="00467777">
        <w:rPr>
          <w:rFonts w:ascii="Tahoma" w:hAnsi="Tahoma" w:cs="Tahoma"/>
        </w:rPr>
        <w:t>ó</w:t>
      </w:r>
      <w:r w:rsidR="00C60DF9" w:rsidRPr="00211ABC">
        <w:rPr>
          <w:rFonts w:ascii="Tahoma" w:hAnsi="Tahoma" w:cs="Tahoma"/>
        </w:rPr>
        <w:t xml:space="preserve"> que hubo </w:t>
      </w:r>
      <w:r w:rsidR="00D006A7" w:rsidRPr="00211ABC">
        <w:rPr>
          <w:rFonts w:ascii="Tahoma" w:hAnsi="Tahoma" w:cs="Tahoma"/>
        </w:rPr>
        <w:t>periodos que aparecieron en la resolución primigenia que negó la prestación pero que en las posteriores fueron desconocidos</w:t>
      </w:r>
      <w:r w:rsidR="00C60DF9" w:rsidRPr="00211ABC">
        <w:rPr>
          <w:rFonts w:ascii="Tahoma" w:hAnsi="Tahoma" w:cs="Tahoma"/>
        </w:rPr>
        <w:t xml:space="preserve"> o extraídos</w:t>
      </w:r>
      <w:r w:rsidR="00D006A7" w:rsidRPr="00211ABC">
        <w:rPr>
          <w:rFonts w:ascii="Tahoma" w:hAnsi="Tahoma" w:cs="Tahoma"/>
        </w:rPr>
        <w:t xml:space="preserve">, </w:t>
      </w:r>
      <w:r w:rsidR="00C60DF9" w:rsidRPr="00211ABC">
        <w:rPr>
          <w:rFonts w:ascii="Tahoma" w:hAnsi="Tahoma" w:cs="Tahoma"/>
        </w:rPr>
        <w:t xml:space="preserve">lo cual había constituido una transgresión al principio de la confianza legítima y de legalidad en la medida que al </w:t>
      </w:r>
      <w:r w:rsidR="00D006A7" w:rsidRPr="00211ABC">
        <w:rPr>
          <w:rFonts w:ascii="Tahoma" w:hAnsi="Tahoma" w:cs="Tahoma"/>
        </w:rPr>
        <w:t xml:space="preserve">revisar la documental de </w:t>
      </w:r>
      <w:proofErr w:type="spellStart"/>
      <w:r w:rsidR="00D006A7" w:rsidRPr="00211ABC">
        <w:rPr>
          <w:rFonts w:ascii="Tahoma" w:hAnsi="Tahoma" w:cs="Tahoma"/>
        </w:rPr>
        <w:t>fls</w:t>
      </w:r>
      <w:proofErr w:type="spellEnd"/>
      <w:r w:rsidR="00D006A7" w:rsidRPr="00211ABC">
        <w:rPr>
          <w:rFonts w:ascii="Tahoma" w:hAnsi="Tahoma" w:cs="Tahoma"/>
        </w:rPr>
        <w:t xml:space="preserve"> 69 </w:t>
      </w:r>
      <w:proofErr w:type="spellStart"/>
      <w:r w:rsidR="00D006A7" w:rsidRPr="00211ABC">
        <w:rPr>
          <w:rFonts w:ascii="Tahoma" w:hAnsi="Tahoma" w:cs="Tahoma"/>
        </w:rPr>
        <w:t>sgts</w:t>
      </w:r>
      <w:proofErr w:type="spellEnd"/>
      <w:r w:rsidR="00D006A7" w:rsidRPr="00211ABC">
        <w:rPr>
          <w:rFonts w:ascii="Tahoma" w:hAnsi="Tahoma" w:cs="Tahoma"/>
        </w:rPr>
        <w:t xml:space="preserve">, </w:t>
      </w:r>
      <w:r w:rsidR="00C60DF9" w:rsidRPr="00211ABC">
        <w:rPr>
          <w:rFonts w:ascii="Tahoma" w:hAnsi="Tahoma" w:cs="Tahoma"/>
        </w:rPr>
        <w:t xml:space="preserve">estaban </w:t>
      </w:r>
      <w:r w:rsidR="00D006A7" w:rsidRPr="00211ABC">
        <w:rPr>
          <w:rFonts w:ascii="Tahoma" w:hAnsi="Tahoma" w:cs="Tahoma"/>
        </w:rPr>
        <w:t xml:space="preserve">respaldados con una certificación emitida por la misma entidad </w:t>
      </w:r>
      <w:r w:rsidR="0093403B">
        <w:rPr>
          <w:rFonts w:ascii="Tahoma" w:hAnsi="Tahoma" w:cs="Tahoma"/>
        </w:rPr>
        <w:t xml:space="preserve">en la que afirmaba </w:t>
      </w:r>
      <w:r w:rsidR="00D006A7" w:rsidRPr="00211ABC">
        <w:rPr>
          <w:rFonts w:ascii="Tahoma" w:hAnsi="Tahoma" w:cs="Tahoma"/>
        </w:rPr>
        <w:t xml:space="preserve">que fue </w:t>
      </w:r>
      <w:r w:rsidR="00C60DF9" w:rsidRPr="00211ABC">
        <w:rPr>
          <w:rFonts w:ascii="Tahoma" w:hAnsi="Tahoma" w:cs="Tahoma"/>
        </w:rPr>
        <w:t xml:space="preserve">la </w:t>
      </w:r>
      <w:r w:rsidR="00D006A7" w:rsidRPr="00211ABC">
        <w:rPr>
          <w:rFonts w:ascii="Tahoma" w:hAnsi="Tahoma" w:cs="Tahoma"/>
        </w:rPr>
        <w:t xml:space="preserve">empleadora </w:t>
      </w:r>
      <w:r w:rsidR="00C60DF9" w:rsidRPr="00211ABC">
        <w:rPr>
          <w:rFonts w:ascii="Tahoma" w:hAnsi="Tahoma" w:cs="Tahoma"/>
        </w:rPr>
        <w:t>del trabajador</w:t>
      </w:r>
      <w:r w:rsidRPr="00211ABC">
        <w:rPr>
          <w:rFonts w:ascii="Tahoma" w:hAnsi="Tahoma" w:cs="Tahoma"/>
        </w:rPr>
        <w:t>.</w:t>
      </w:r>
    </w:p>
    <w:p w14:paraId="5A96FF2F" w14:textId="6DC8A249" w:rsidR="00963413" w:rsidRPr="00211ABC" w:rsidRDefault="00963413" w:rsidP="00F806FD">
      <w:pPr>
        <w:spacing w:line="276" w:lineRule="auto"/>
        <w:ind w:firstLine="360"/>
        <w:rPr>
          <w:rFonts w:ascii="Tahoma" w:hAnsi="Tahoma" w:cs="Tahoma"/>
        </w:rPr>
      </w:pPr>
    </w:p>
    <w:p w14:paraId="0F49ABBB" w14:textId="45649C3B" w:rsidR="00611C98" w:rsidRPr="00211ABC" w:rsidRDefault="00963413" w:rsidP="00F806FD">
      <w:pPr>
        <w:spacing w:line="276" w:lineRule="auto"/>
        <w:ind w:firstLine="360"/>
        <w:rPr>
          <w:rFonts w:ascii="Tahoma" w:hAnsi="Tahoma" w:cs="Tahoma"/>
        </w:rPr>
      </w:pPr>
      <w:r w:rsidRPr="00211ABC">
        <w:rPr>
          <w:rFonts w:ascii="Tahoma" w:hAnsi="Tahoma" w:cs="Tahoma"/>
        </w:rPr>
        <w:t>Y, frente al tiempo trabajado en Telecom, encontr</w:t>
      </w:r>
      <w:r w:rsidR="00467777">
        <w:rPr>
          <w:rFonts w:ascii="Tahoma" w:hAnsi="Tahoma" w:cs="Tahoma"/>
        </w:rPr>
        <w:t>ó</w:t>
      </w:r>
      <w:r w:rsidRPr="00211ABC">
        <w:rPr>
          <w:rFonts w:ascii="Tahoma" w:hAnsi="Tahoma" w:cs="Tahoma"/>
        </w:rPr>
        <w:t xml:space="preserve"> que las certificaciones emitidas por tal ente, resoluciones, los formatos expedidos para bono pensional y lo aceptado en la contestación</w:t>
      </w:r>
      <w:r w:rsidR="00467777">
        <w:rPr>
          <w:rFonts w:ascii="Tahoma" w:hAnsi="Tahoma" w:cs="Tahoma"/>
        </w:rPr>
        <w:t>,</w:t>
      </w:r>
      <w:r w:rsidRPr="00211ABC">
        <w:rPr>
          <w:rFonts w:ascii="Tahoma" w:hAnsi="Tahoma" w:cs="Tahoma"/>
        </w:rPr>
        <w:t xml:space="preserve"> daban cuenta que el actor había trabajado desde el 23-10-1978 hasta el 31-03-1995, tiempos a los que se le debían de descontar las interrupciones que se </w:t>
      </w:r>
      <w:r w:rsidR="00611C98" w:rsidRPr="00211ABC">
        <w:rPr>
          <w:rFonts w:ascii="Tahoma" w:hAnsi="Tahoma" w:cs="Tahoma"/>
        </w:rPr>
        <w:t xml:space="preserve">observan </w:t>
      </w:r>
      <w:r w:rsidRPr="00211ABC">
        <w:rPr>
          <w:rFonts w:ascii="Tahoma" w:hAnsi="Tahoma" w:cs="Tahoma"/>
        </w:rPr>
        <w:t>en iguales documentales.</w:t>
      </w:r>
    </w:p>
    <w:p w14:paraId="184DE380" w14:textId="77777777" w:rsidR="00611C98" w:rsidRPr="00211ABC" w:rsidRDefault="00611C98" w:rsidP="00F806FD">
      <w:pPr>
        <w:spacing w:line="276" w:lineRule="auto"/>
        <w:rPr>
          <w:rFonts w:ascii="Tahoma" w:hAnsi="Tahoma" w:cs="Tahoma"/>
        </w:rPr>
      </w:pPr>
    </w:p>
    <w:p w14:paraId="47AAACC9" w14:textId="7F7020D8" w:rsidR="00963413" w:rsidRPr="00211ABC" w:rsidRDefault="00963413" w:rsidP="00F806FD">
      <w:pPr>
        <w:spacing w:line="276" w:lineRule="auto"/>
        <w:ind w:firstLine="360"/>
        <w:rPr>
          <w:rFonts w:ascii="Tahoma" w:hAnsi="Tahoma" w:cs="Tahoma"/>
        </w:rPr>
      </w:pPr>
      <w:r w:rsidRPr="00211ABC">
        <w:rPr>
          <w:rFonts w:ascii="Tahoma" w:hAnsi="Tahoma" w:cs="Tahoma"/>
        </w:rPr>
        <w:t xml:space="preserve">De acuerdo con lo anterior, estableció que el actor acumulaba aportes públicos y privados que en total era 1012.42 semanas, las cuales sirvieron para consolidar la pensión de vejez en los términos del Acuerdo 049 de 1990, en la medida que era indiscutible que el demandante era </w:t>
      </w:r>
      <w:r w:rsidR="00611C98" w:rsidRPr="00211ABC">
        <w:rPr>
          <w:rFonts w:ascii="Tahoma" w:hAnsi="Tahoma" w:cs="Tahoma"/>
        </w:rPr>
        <w:t xml:space="preserve">beneficiario del </w:t>
      </w:r>
      <w:r w:rsidRPr="00211ABC">
        <w:rPr>
          <w:rFonts w:ascii="Tahoma" w:hAnsi="Tahoma" w:cs="Tahoma"/>
        </w:rPr>
        <w:t>régimen de transición</w:t>
      </w:r>
      <w:r w:rsidR="006C4EE2" w:rsidRPr="00211ABC">
        <w:rPr>
          <w:rFonts w:ascii="Tahoma" w:hAnsi="Tahoma" w:cs="Tahoma"/>
        </w:rPr>
        <w:t xml:space="preserve"> el cual no perdió a pesar de su traslado al RAIS y era expresamente reconocido por Colpensiones tanto en sus actos administrativos como en la contestación, además que el sustento de la factibilidad de sumar tiempos públicos y privados constituía ya un precedente de la Corte Suprema de Justicia.</w:t>
      </w:r>
    </w:p>
    <w:p w14:paraId="754645B4" w14:textId="77777777" w:rsidR="00963413" w:rsidRPr="00211ABC" w:rsidRDefault="00963413" w:rsidP="00F806FD">
      <w:pPr>
        <w:spacing w:line="276" w:lineRule="auto"/>
        <w:ind w:firstLine="360"/>
        <w:rPr>
          <w:rFonts w:ascii="Tahoma" w:hAnsi="Tahoma" w:cs="Tahoma"/>
        </w:rPr>
      </w:pPr>
    </w:p>
    <w:p w14:paraId="03BB3E6F" w14:textId="3A98AC5B" w:rsidR="00611C98" w:rsidRPr="00211ABC" w:rsidRDefault="00467777" w:rsidP="00F806FD">
      <w:pPr>
        <w:spacing w:line="276" w:lineRule="auto"/>
        <w:ind w:firstLine="360"/>
        <w:rPr>
          <w:rFonts w:ascii="Tahoma" w:hAnsi="Tahoma" w:cs="Tahoma"/>
        </w:rPr>
      </w:pPr>
      <w:r>
        <w:rPr>
          <w:rFonts w:ascii="Tahoma" w:hAnsi="Tahoma" w:cs="Tahoma"/>
        </w:rPr>
        <w:t>Así</w:t>
      </w:r>
      <w:r w:rsidR="006C4EE2" w:rsidRPr="00211ABC">
        <w:rPr>
          <w:rFonts w:ascii="Tahoma" w:hAnsi="Tahoma" w:cs="Tahoma"/>
        </w:rPr>
        <w:t xml:space="preserve">, </w:t>
      </w:r>
      <w:r>
        <w:rPr>
          <w:rFonts w:ascii="Tahoma" w:hAnsi="Tahoma" w:cs="Tahoma"/>
        </w:rPr>
        <w:t xml:space="preserve">al encontrar </w:t>
      </w:r>
      <w:r w:rsidR="006C4EE2" w:rsidRPr="00211ABC">
        <w:rPr>
          <w:rFonts w:ascii="Tahoma" w:hAnsi="Tahoma" w:cs="Tahoma"/>
        </w:rPr>
        <w:t xml:space="preserve">procedente el derecho a la pensión desde el </w:t>
      </w:r>
      <w:r w:rsidR="00611C98" w:rsidRPr="00211ABC">
        <w:rPr>
          <w:rFonts w:ascii="Tahoma" w:hAnsi="Tahoma" w:cs="Tahoma"/>
        </w:rPr>
        <w:t>15-11-2011</w:t>
      </w:r>
      <w:r>
        <w:rPr>
          <w:rFonts w:ascii="Tahoma" w:hAnsi="Tahoma" w:cs="Tahoma"/>
        </w:rPr>
        <w:t xml:space="preserve"> sobre la base de 13 mesadas anuales, liquidó </w:t>
      </w:r>
      <w:r w:rsidR="006C4EE2" w:rsidRPr="00211ABC">
        <w:rPr>
          <w:rFonts w:ascii="Tahoma" w:hAnsi="Tahoma" w:cs="Tahoma"/>
        </w:rPr>
        <w:t xml:space="preserve">el IBL con los últimos 10 años </w:t>
      </w:r>
      <w:r>
        <w:rPr>
          <w:rFonts w:ascii="Tahoma" w:hAnsi="Tahoma" w:cs="Tahoma"/>
        </w:rPr>
        <w:t xml:space="preserve">determinándolo en la suma </w:t>
      </w:r>
      <w:r w:rsidR="006C4EE2" w:rsidRPr="00211ABC">
        <w:rPr>
          <w:rFonts w:ascii="Tahoma" w:hAnsi="Tahoma" w:cs="Tahoma"/>
        </w:rPr>
        <w:t>de $</w:t>
      </w:r>
      <w:r w:rsidR="00611C98" w:rsidRPr="00211ABC">
        <w:rPr>
          <w:rFonts w:ascii="Tahoma" w:hAnsi="Tahoma" w:cs="Tahoma"/>
        </w:rPr>
        <w:t>1.138.160</w:t>
      </w:r>
      <w:r>
        <w:rPr>
          <w:rFonts w:ascii="Tahoma" w:hAnsi="Tahoma" w:cs="Tahoma"/>
        </w:rPr>
        <w:t xml:space="preserve">, con una </w:t>
      </w:r>
      <w:r w:rsidR="00611C98" w:rsidRPr="00211ABC">
        <w:rPr>
          <w:rFonts w:ascii="Tahoma" w:hAnsi="Tahoma" w:cs="Tahoma"/>
        </w:rPr>
        <w:t xml:space="preserve">tasa </w:t>
      </w:r>
      <w:r w:rsidR="006C4EE2" w:rsidRPr="00211ABC">
        <w:rPr>
          <w:rFonts w:ascii="Tahoma" w:hAnsi="Tahoma" w:cs="Tahoma"/>
        </w:rPr>
        <w:t xml:space="preserve">prestacional </w:t>
      </w:r>
      <w:r w:rsidR="00611C98" w:rsidRPr="00211ABC">
        <w:rPr>
          <w:rFonts w:ascii="Tahoma" w:hAnsi="Tahoma" w:cs="Tahoma"/>
        </w:rPr>
        <w:t>del 72%</w:t>
      </w:r>
      <w:r>
        <w:rPr>
          <w:rFonts w:ascii="Tahoma" w:hAnsi="Tahoma" w:cs="Tahoma"/>
        </w:rPr>
        <w:t xml:space="preserve"> y concluyendo que la </w:t>
      </w:r>
      <w:r w:rsidR="00611C98" w:rsidRPr="00211ABC">
        <w:rPr>
          <w:rFonts w:ascii="Tahoma" w:hAnsi="Tahoma" w:cs="Tahoma"/>
        </w:rPr>
        <w:t xml:space="preserve">mesada </w:t>
      </w:r>
      <w:r w:rsidR="006C4EE2" w:rsidRPr="00211ABC">
        <w:rPr>
          <w:rFonts w:ascii="Tahoma" w:hAnsi="Tahoma" w:cs="Tahoma"/>
        </w:rPr>
        <w:t xml:space="preserve">inicial </w:t>
      </w:r>
      <w:r>
        <w:rPr>
          <w:rFonts w:ascii="Tahoma" w:hAnsi="Tahoma" w:cs="Tahoma"/>
        </w:rPr>
        <w:t xml:space="preserve">era </w:t>
      </w:r>
      <w:r w:rsidR="006C4EE2" w:rsidRPr="00211ABC">
        <w:rPr>
          <w:rFonts w:ascii="Tahoma" w:hAnsi="Tahoma" w:cs="Tahoma"/>
        </w:rPr>
        <w:t xml:space="preserve">de </w:t>
      </w:r>
      <w:r w:rsidR="00611C98" w:rsidRPr="00211ABC">
        <w:rPr>
          <w:rFonts w:ascii="Tahoma" w:hAnsi="Tahoma" w:cs="Tahoma"/>
        </w:rPr>
        <w:t>$910.528</w:t>
      </w:r>
      <w:r>
        <w:rPr>
          <w:rFonts w:ascii="Tahoma" w:hAnsi="Tahoma" w:cs="Tahoma"/>
        </w:rPr>
        <w:t>.</w:t>
      </w:r>
    </w:p>
    <w:p w14:paraId="4156DD86" w14:textId="77777777" w:rsidR="00611C98" w:rsidRPr="00211ABC" w:rsidRDefault="00611C98" w:rsidP="00F806FD">
      <w:pPr>
        <w:spacing w:line="276" w:lineRule="auto"/>
        <w:rPr>
          <w:rFonts w:ascii="Tahoma" w:hAnsi="Tahoma" w:cs="Tahoma"/>
        </w:rPr>
      </w:pPr>
    </w:p>
    <w:p w14:paraId="3C7D362C" w14:textId="0E18E246" w:rsidR="00611C98" w:rsidRPr="00211ABC" w:rsidRDefault="006C4EE2" w:rsidP="00F806FD">
      <w:pPr>
        <w:spacing w:line="276" w:lineRule="auto"/>
        <w:ind w:firstLine="360"/>
        <w:rPr>
          <w:rFonts w:ascii="Tahoma" w:hAnsi="Tahoma" w:cs="Tahoma"/>
        </w:rPr>
      </w:pPr>
      <w:r w:rsidRPr="00211ABC">
        <w:rPr>
          <w:rFonts w:ascii="Tahoma" w:hAnsi="Tahoma" w:cs="Tahoma"/>
        </w:rPr>
        <w:t xml:space="preserve">Frente al retroactivo, encontró prescritas las mesadas anteriores al </w:t>
      </w:r>
      <w:r w:rsidR="00611C98" w:rsidRPr="00211ABC">
        <w:rPr>
          <w:rFonts w:ascii="Tahoma" w:hAnsi="Tahoma" w:cs="Tahoma"/>
        </w:rPr>
        <w:t>03-05-2015</w:t>
      </w:r>
      <w:r w:rsidRPr="00211ABC">
        <w:rPr>
          <w:rFonts w:ascii="Tahoma" w:hAnsi="Tahoma" w:cs="Tahoma"/>
        </w:rPr>
        <w:t xml:space="preserve">, considerando que se </w:t>
      </w:r>
      <w:r w:rsidR="00611C98" w:rsidRPr="00211ABC">
        <w:rPr>
          <w:rFonts w:ascii="Tahoma" w:hAnsi="Tahoma" w:cs="Tahoma"/>
        </w:rPr>
        <w:t xml:space="preserve">interrumpió con la presentación de la demanda </w:t>
      </w:r>
      <w:r w:rsidRPr="00211ABC">
        <w:rPr>
          <w:rFonts w:ascii="Tahoma" w:hAnsi="Tahoma" w:cs="Tahoma"/>
        </w:rPr>
        <w:t>del añ</w:t>
      </w:r>
      <w:r w:rsidR="00A74B4B" w:rsidRPr="00211ABC">
        <w:rPr>
          <w:rFonts w:ascii="Tahoma" w:hAnsi="Tahoma" w:cs="Tahoma"/>
        </w:rPr>
        <w:t>o</w:t>
      </w:r>
      <w:r w:rsidRPr="00211ABC">
        <w:rPr>
          <w:rFonts w:ascii="Tahoma" w:hAnsi="Tahoma" w:cs="Tahoma"/>
        </w:rPr>
        <w:t xml:space="preserve"> </w:t>
      </w:r>
      <w:r w:rsidR="00611C98" w:rsidRPr="00211ABC">
        <w:rPr>
          <w:rFonts w:ascii="Tahoma" w:hAnsi="Tahoma" w:cs="Tahoma"/>
        </w:rPr>
        <w:t>2018</w:t>
      </w:r>
      <w:r w:rsidRPr="00211ABC">
        <w:rPr>
          <w:rFonts w:ascii="Tahoma" w:hAnsi="Tahoma" w:cs="Tahoma"/>
        </w:rPr>
        <w:t xml:space="preserve">, hito que determinó </w:t>
      </w:r>
      <w:r w:rsidR="00611C98" w:rsidRPr="00211ABC">
        <w:rPr>
          <w:rFonts w:ascii="Tahoma" w:hAnsi="Tahoma" w:cs="Tahoma"/>
        </w:rPr>
        <w:t xml:space="preserve">porque la reclamación </w:t>
      </w:r>
      <w:r w:rsidRPr="00211ABC">
        <w:rPr>
          <w:rFonts w:ascii="Tahoma" w:hAnsi="Tahoma" w:cs="Tahoma"/>
        </w:rPr>
        <w:t xml:space="preserve">del </w:t>
      </w:r>
      <w:r w:rsidR="00611C98" w:rsidRPr="00211ABC">
        <w:rPr>
          <w:rFonts w:ascii="Tahoma" w:hAnsi="Tahoma" w:cs="Tahoma"/>
        </w:rPr>
        <w:t xml:space="preserve">25-09-2011 no </w:t>
      </w:r>
      <w:r w:rsidRPr="00211ABC">
        <w:rPr>
          <w:rFonts w:ascii="Tahoma" w:hAnsi="Tahoma" w:cs="Tahoma"/>
        </w:rPr>
        <w:t xml:space="preserve">había tenido el efecto </w:t>
      </w:r>
      <w:r w:rsidR="00611C98" w:rsidRPr="00211ABC">
        <w:rPr>
          <w:rFonts w:ascii="Tahoma" w:hAnsi="Tahoma" w:cs="Tahoma"/>
        </w:rPr>
        <w:t xml:space="preserve">de interrumpir </w:t>
      </w:r>
      <w:r w:rsidRPr="00211ABC">
        <w:rPr>
          <w:rFonts w:ascii="Tahoma" w:hAnsi="Tahoma" w:cs="Tahoma"/>
        </w:rPr>
        <w:t xml:space="preserve">el fenómeno </w:t>
      </w:r>
      <w:r w:rsidR="00611C98" w:rsidRPr="00211ABC">
        <w:rPr>
          <w:rFonts w:ascii="Tahoma" w:hAnsi="Tahoma" w:cs="Tahoma"/>
        </w:rPr>
        <w:t xml:space="preserve">porque entre la notificación de la Resolución 6423 del 2014 que desató el recurso de apelación y que se efectuó el 30-05-2014 y la presentación de la demanda </w:t>
      </w:r>
      <w:r w:rsidRPr="00211ABC">
        <w:rPr>
          <w:rFonts w:ascii="Tahoma" w:hAnsi="Tahoma" w:cs="Tahoma"/>
        </w:rPr>
        <w:t xml:space="preserve">se </w:t>
      </w:r>
      <w:r w:rsidR="00611C98" w:rsidRPr="00211ABC">
        <w:rPr>
          <w:rFonts w:ascii="Tahoma" w:hAnsi="Tahoma" w:cs="Tahoma"/>
        </w:rPr>
        <w:t xml:space="preserve">excedió </w:t>
      </w:r>
      <w:r w:rsidRPr="00211ABC">
        <w:rPr>
          <w:rFonts w:ascii="Tahoma" w:hAnsi="Tahoma" w:cs="Tahoma"/>
        </w:rPr>
        <w:t>el trienio</w:t>
      </w:r>
      <w:r w:rsidR="00611C98" w:rsidRPr="00211ABC">
        <w:rPr>
          <w:rFonts w:ascii="Tahoma" w:hAnsi="Tahoma" w:cs="Tahoma"/>
        </w:rPr>
        <w:t xml:space="preserve">, </w:t>
      </w:r>
      <w:r w:rsidRPr="00211ABC">
        <w:rPr>
          <w:rFonts w:ascii="Tahoma" w:hAnsi="Tahoma" w:cs="Tahoma"/>
        </w:rPr>
        <w:t xml:space="preserve">por lo que el retroactivo a reconocer era desde el </w:t>
      </w:r>
      <w:r w:rsidR="00611C98" w:rsidRPr="00211ABC">
        <w:rPr>
          <w:rFonts w:ascii="Tahoma" w:hAnsi="Tahoma" w:cs="Tahoma"/>
        </w:rPr>
        <w:t xml:space="preserve">3-05-2015 </w:t>
      </w:r>
      <w:r w:rsidRPr="00211ABC">
        <w:rPr>
          <w:rFonts w:ascii="Tahoma" w:hAnsi="Tahoma" w:cs="Tahoma"/>
        </w:rPr>
        <w:t xml:space="preserve">con corte al </w:t>
      </w:r>
      <w:r w:rsidR="00611C98" w:rsidRPr="00211ABC">
        <w:rPr>
          <w:rFonts w:ascii="Tahoma" w:hAnsi="Tahoma" w:cs="Tahoma"/>
        </w:rPr>
        <w:t>30-06-2020</w:t>
      </w:r>
      <w:r w:rsidRPr="00211ABC">
        <w:rPr>
          <w:rFonts w:ascii="Tahoma" w:hAnsi="Tahoma" w:cs="Tahoma"/>
        </w:rPr>
        <w:t>.</w:t>
      </w:r>
    </w:p>
    <w:p w14:paraId="2A93FD51" w14:textId="77777777" w:rsidR="00611C98" w:rsidRPr="00211ABC" w:rsidRDefault="00611C98" w:rsidP="00F806FD">
      <w:pPr>
        <w:spacing w:line="276" w:lineRule="auto"/>
        <w:rPr>
          <w:rFonts w:ascii="Tahoma" w:hAnsi="Tahoma" w:cs="Tahoma"/>
        </w:rPr>
      </w:pPr>
    </w:p>
    <w:p w14:paraId="0A69E345" w14:textId="33E5E16C" w:rsidR="00611C98" w:rsidRPr="00211ABC" w:rsidRDefault="00611C98" w:rsidP="00F806FD">
      <w:pPr>
        <w:spacing w:line="276" w:lineRule="auto"/>
        <w:ind w:firstLine="360"/>
        <w:rPr>
          <w:rFonts w:ascii="Tahoma" w:hAnsi="Tahoma" w:cs="Tahoma"/>
        </w:rPr>
      </w:pPr>
      <w:r w:rsidRPr="00211ABC">
        <w:rPr>
          <w:rFonts w:ascii="Tahoma" w:hAnsi="Tahoma" w:cs="Tahoma"/>
        </w:rPr>
        <w:lastRenderedPageBreak/>
        <w:t xml:space="preserve">No aplicó intereses moratorios por </w:t>
      </w:r>
      <w:r w:rsidR="006C4EE2" w:rsidRPr="00211ABC">
        <w:rPr>
          <w:rFonts w:ascii="Tahoma" w:hAnsi="Tahoma" w:cs="Tahoma"/>
        </w:rPr>
        <w:t xml:space="preserve">haberse acudido a </w:t>
      </w:r>
      <w:r w:rsidRPr="00211ABC">
        <w:rPr>
          <w:rFonts w:ascii="Tahoma" w:hAnsi="Tahoma" w:cs="Tahoma"/>
        </w:rPr>
        <w:t>la jurisprudencia</w:t>
      </w:r>
      <w:r w:rsidR="006C4EE2" w:rsidRPr="00211ABC">
        <w:rPr>
          <w:rFonts w:ascii="Tahoma" w:hAnsi="Tahoma" w:cs="Tahoma"/>
        </w:rPr>
        <w:t xml:space="preserve"> para tal reconocimiento y, en su lugar condenó a </w:t>
      </w:r>
      <w:r w:rsidRPr="00211ABC">
        <w:rPr>
          <w:rFonts w:ascii="Tahoma" w:hAnsi="Tahoma" w:cs="Tahoma"/>
        </w:rPr>
        <w:t>la indexación.</w:t>
      </w:r>
    </w:p>
    <w:p w14:paraId="1B40958D" w14:textId="3AED35E2" w:rsidR="00611C98" w:rsidRPr="00211ABC" w:rsidRDefault="00611C98" w:rsidP="00F806FD">
      <w:pPr>
        <w:spacing w:line="276" w:lineRule="auto"/>
        <w:rPr>
          <w:rFonts w:ascii="Tahoma" w:hAnsi="Tahoma" w:cs="Tahoma"/>
        </w:rPr>
      </w:pPr>
    </w:p>
    <w:p w14:paraId="1D715E54" w14:textId="77777777" w:rsidR="00E867B6" w:rsidRPr="00211ABC" w:rsidRDefault="00E867B6" w:rsidP="00F806FD">
      <w:pPr>
        <w:pStyle w:val="Prrafodelista"/>
        <w:numPr>
          <w:ilvl w:val="0"/>
          <w:numId w:val="2"/>
        </w:numPr>
        <w:spacing w:line="276" w:lineRule="auto"/>
        <w:jc w:val="center"/>
        <w:rPr>
          <w:rFonts w:ascii="Tahoma" w:hAnsi="Tahoma" w:cs="Tahoma"/>
          <w:b/>
          <w:bCs/>
        </w:rPr>
      </w:pPr>
      <w:r w:rsidRPr="00211ABC">
        <w:rPr>
          <w:rFonts w:ascii="Tahoma" w:hAnsi="Tahoma" w:cs="Tahoma"/>
          <w:b/>
          <w:bCs/>
        </w:rPr>
        <w:t>Recurso de apelación</w:t>
      </w:r>
    </w:p>
    <w:p w14:paraId="3938F100" w14:textId="588254EE" w:rsidR="00E867B6" w:rsidRPr="00211ABC" w:rsidRDefault="00E867B6" w:rsidP="00F806FD">
      <w:pPr>
        <w:spacing w:line="276" w:lineRule="auto"/>
        <w:rPr>
          <w:rFonts w:ascii="Tahoma" w:hAnsi="Tahoma" w:cs="Tahoma"/>
        </w:rPr>
      </w:pPr>
    </w:p>
    <w:p w14:paraId="6D7AC208" w14:textId="28A92AEF" w:rsidR="00E867B6" w:rsidRPr="00211ABC" w:rsidRDefault="00E867B6" w:rsidP="00F806FD">
      <w:pPr>
        <w:spacing w:line="276" w:lineRule="auto"/>
        <w:ind w:firstLine="360"/>
        <w:rPr>
          <w:rFonts w:ascii="Tahoma" w:hAnsi="Tahoma" w:cs="Tahoma"/>
        </w:rPr>
      </w:pPr>
      <w:r w:rsidRPr="00211ABC">
        <w:rPr>
          <w:rFonts w:ascii="Tahoma" w:hAnsi="Tahoma" w:cs="Tahoma"/>
        </w:rPr>
        <w:t>La parte actora present</w:t>
      </w:r>
      <w:r w:rsidR="00467777">
        <w:rPr>
          <w:rFonts w:ascii="Tahoma" w:hAnsi="Tahoma" w:cs="Tahoma"/>
        </w:rPr>
        <w:t>ó</w:t>
      </w:r>
      <w:r w:rsidRPr="00211ABC">
        <w:rPr>
          <w:rFonts w:ascii="Tahoma" w:hAnsi="Tahoma" w:cs="Tahoma"/>
        </w:rPr>
        <w:t xml:space="preserve"> recurso de apelación de carácter parcial</w:t>
      </w:r>
      <w:r w:rsidR="00104F76" w:rsidRPr="00211ABC">
        <w:rPr>
          <w:rFonts w:ascii="Tahoma" w:hAnsi="Tahoma" w:cs="Tahoma"/>
        </w:rPr>
        <w:t xml:space="preserve"> </w:t>
      </w:r>
      <w:r w:rsidRPr="00211ABC">
        <w:rPr>
          <w:rFonts w:ascii="Tahoma" w:hAnsi="Tahoma" w:cs="Tahoma"/>
        </w:rPr>
        <w:t>frente a la prescripción</w:t>
      </w:r>
      <w:r w:rsidR="00104F76" w:rsidRPr="00211ABC">
        <w:rPr>
          <w:rFonts w:ascii="Tahoma" w:hAnsi="Tahoma" w:cs="Tahoma"/>
        </w:rPr>
        <w:t xml:space="preserve"> declarada, la cual sustentó en que si </w:t>
      </w:r>
      <w:r w:rsidRPr="00211ABC">
        <w:rPr>
          <w:rFonts w:ascii="Tahoma" w:hAnsi="Tahoma" w:cs="Tahoma"/>
        </w:rPr>
        <w:t xml:space="preserve">bien la primera solicitud elevada ante Colpensiones fue resuelta en el año 2013 y </w:t>
      </w:r>
      <w:r w:rsidR="00104F76" w:rsidRPr="00211ABC">
        <w:rPr>
          <w:rFonts w:ascii="Tahoma" w:hAnsi="Tahoma" w:cs="Tahoma"/>
        </w:rPr>
        <w:t xml:space="preserve">su </w:t>
      </w:r>
      <w:r w:rsidRPr="00211ABC">
        <w:rPr>
          <w:rFonts w:ascii="Tahoma" w:hAnsi="Tahoma" w:cs="Tahoma"/>
        </w:rPr>
        <w:t xml:space="preserve">apelación en el año 2014, </w:t>
      </w:r>
      <w:r w:rsidR="00104F76" w:rsidRPr="00211ABC">
        <w:rPr>
          <w:rFonts w:ascii="Tahoma" w:hAnsi="Tahoma" w:cs="Tahoma"/>
        </w:rPr>
        <w:t xml:space="preserve">lo cierto era que debía de </w:t>
      </w:r>
      <w:r w:rsidRPr="00211ABC">
        <w:rPr>
          <w:rFonts w:ascii="Tahoma" w:hAnsi="Tahoma" w:cs="Tahoma"/>
        </w:rPr>
        <w:t>observarse que en el expediente obra</w:t>
      </w:r>
      <w:r w:rsidR="00104F76" w:rsidRPr="00211ABC">
        <w:rPr>
          <w:rFonts w:ascii="Tahoma" w:hAnsi="Tahoma" w:cs="Tahoma"/>
        </w:rPr>
        <w:t>ba</w:t>
      </w:r>
      <w:r w:rsidRPr="00211ABC">
        <w:rPr>
          <w:rFonts w:ascii="Tahoma" w:hAnsi="Tahoma" w:cs="Tahoma"/>
        </w:rPr>
        <w:t xml:space="preserve"> una constancia de radicación de documentación del 16 de julio de 2015, </w:t>
      </w:r>
      <w:r w:rsidR="00104F76" w:rsidRPr="00211ABC">
        <w:rPr>
          <w:rFonts w:ascii="Tahoma" w:hAnsi="Tahoma" w:cs="Tahoma"/>
        </w:rPr>
        <w:t xml:space="preserve">la cual </w:t>
      </w:r>
      <w:r w:rsidRPr="00211ABC">
        <w:rPr>
          <w:rFonts w:ascii="Tahoma" w:hAnsi="Tahoma" w:cs="Tahoma"/>
        </w:rPr>
        <w:t xml:space="preserve">fue respondida </w:t>
      </w:r>
      <w:r w:rsidR="00104F76" w:rsidRPr="00211ABC">
        <w:rPr>
          <w:rFonts w:ascii="Tahoma" w:hAnsi="Tahoma" w:cs="Tahoma"/>
        </w:rPr>
        <w:t xml:space="preserve">negativamente </w:t>
      </w:r>
      <w:r w:rsidRPr="00211ABC">
        <w:rPr>
          <w:rFonts w:ascii="Tahoma" w:hAnsi="Tahoma" w:cs="Tahoma"/>
        </w:rPr>
        <w:t>por resolución GNR 988 del 4 de enero de 2016</w:t>
      </w:r>
      <w:r w:rsidR="00104F76" w:rsidRPr="00211ABC">
        <w:rPr>
          <w:rFonts w:ascii="Tahoma" w:hAnsi="Tahoma" w:cs="Tahoma"/>
        </w:rPr>
        <w:t xml:space="preserve"> y confirmada </w:t>
      </w:r>
      <w:r w:rsidRPr="00211ABC">
        <w:rPr>
          <w:rFonts w:ascii="Tahoma" w:hAnsi="Tahoma" w:cs="Tahoma"/>
        </w:rPr>
        <w:t xml:space="preserve">por </w:t>
      </w:r>
      <w:r w:rsidR="00104F76" w:rsidRPr="00211ABC">
        <w:rPr>
          <w:rFonts w:ascii="Tahoma" w:hAnsi="Tahoma" w:cs="Tahoma"/>
        </w:rPr>
        <w:t xml:space="preserve">la </w:t>
      </w:r>
      <w:r w:rsidRPr="00211ABC">
        <w:rPr>
          <w:rFonts w:ascii="Tahoma" w:hAnsi="Tahoma" w:cs="Tahoma"/>
        </w:rPr>
        <w:t>VPB18202 de</w:t>
      </w:r>
      <w:r w:rsidR="00467777">
        <w:rPr>
          <w:rFonts w:ascii="Tahoma" w:hAnsi="Tahoma" w:cs="Tahoma"/>
        </w:rPr>
        <w:t>l</w:t>
      </w:r>
      <w:r w:rsidRPr="00211ABC">
        <w:rPr>
          <w:rFonts w:ascii="Tahoma" w:hAnsi="Tahoma" w:cs="Tahoma"/>
        </w:rPr>
        <w:t xml:space="preserve"> 20-04-2016</w:t>
      </w:r>
      <w:r w:rsidR="00104F76" w:rsidRPr="00211ABC">
        <w:rPr>
          <w:rFonts w:ascii="Tahoma" w:hAnsi="Tahoma" w:cs="Tahoma"/>
        </w:rPr>
        <w:t>. De acuerdo con ello</w:t>
      </w:r>
      <w:r w:rsidRPr="00211ABC">
        <w:rPr>
          <w:rFonts w:ascii="Tahoma" w:hAnsi="Tahoma" w:cs="Tahoma"/>
        </w:rPr>
        <w:t xml:space="preserve">, </w:t>
      </w:r>
      <w:r w:rsidR="00104F76" w:rsidRPr="00211ABC">
        <w:rPr>
          <w:rFonts w:ascii="Tahoma" w:hAnsi="Tahoma" w:cs="Tahoma"/>
        </w:rPr>
        <w:t xml:space="preserve">consideró que </w:t>
      </w:r>
      <w:r w:rsidRPr="00211ABC">
        <w:rPr>
          <w:rFonts w:ascii="Tahoma" w:hAnsi="Tahoma" w:cs="Tahoma"/>
        </w:rPr>
        <w:t xml:space="preserve">el conteo de la prescripción de las mesadas pensionales debe </w:t>
      </w:r>
      <w:r w:rsidR="00104F76" w:rsidRPr="00211ABC">
        <w:rPr>
          <w:rFonts w:ascii="Tahoma" w:hAnsi="Tahoma" w:cs="Tahoma"/>
        </w:rPr>
        <w:t xml:space="preserve">atenderse con dicha reclamación </w:t>
      </w:r>
      <w:r w:rsidRPr="00211ABC">
        <w:rPr>
          <w:rFonts w:ascii="Tahoma" w:hAnsi="Tahoma" w:cs="Tahoma"/>
        </w:rPr>
        <w:t xml:space="preserve">porque </w:t>
      </w:r>
      <w:r w:rsidR="00104F76" w:rsidRPr="00211ABC">
        <w:rPr>
          <w:rFonts w:ascii="Tahoma" w:hAnsi="Tahoma" w:cs="Tahoma"/>
        </w:rPr>
        <w:t xml:space="preserve">fue </w:t>
      </w:r>
      <w:r w:rsidRPr="00211ABC">
        <w:rPr>
          <w:rFonts w:ascii="Tahoma" w:hAnsi="Tahoma" w:cs="Tahoma"/>
        </w:rPr>
        <w:t>la que no dej</w:t>
      </w:r>
      <w:r w:rsidR="00104F76" w:rsidRPr="00211ABC">
        <w:rPr>
          <w:rFonts w:ascii="Tahoma" w:hAnsi="Tahoma" w:cs="Tahoma"/>
        </w:rPr>
        <w:t>ó</w:t>
      </w:r>
      <w:r w:rsidRPr="00211ABC">
        <w:rPr>
          <w:rFonts w:ascii="Tahoma" w:hAnsi="Tahoma" w:cs="Tahoma"/>
        </w:rPr>
        <w:t xml:space="preserve"> que transcurriera el trienio para la presentación de la demanda</w:t>
      </w:r>
      <w:r w:rsidR="00104F76" w:rsidRPr="00211ABC">
        <w:rPr>
          <w:rFonts w:ascii="Tahoma" w:hAnsi="Tahoma" w:cs="Tahoma"/>
        </w:rPr>
        <w:t xml:space="preserve">, lo que el </w:t>
      </w:r>
      <w:r w:rsidRPr="00211ABC">
        <w:rPr>
          <w:rFonts w:ascii="Tahoma" w:hAnsi="Tahoma" w:cs="Tahoma"/>
        </w:rPr>
        <w:t xml:space="preserve">retroactivo </w:t>
      </w:r>
      <w:r w:rsidR="00104F76" w:rsidRPr="00211ABC">
        <w:rPr>
          <w:rFonts w:ascii="Tahoma" w:hAnsi="Tahoma" w:cs="Tahoma"/>
        </w:rPr>
        <w:t xml:space="preserve">debió </w:t>
      </w:r>
      <w:r w:rsidRPr="00211ABC">
        <w:rPr>
          <w:rFonts w:ascii="Tahoma" w:hAnsi="Tahoma" w:cs="Tahoma"/>
        </w:rPr>
        <w:t xml:space="preserve">ser desde el 16-07-2012.  </w:t>
      </w:r>
    </w:p>
    <w:p w14:paraId="1B0116B0" w14:textId="7C22C0E8" w:rsidR="00E867B6" w:rsidRPr="00211ABC" w:rsidRDefault="00E867B6" w:rsidP="00F806FD">
      <w:pPr>
        <w:spacing w:line="276" w:lineRule="auto"/>
        <w:rPr>
          <w:rFonts w:ascii="Tahoma" w:hAnsi="Tahoma" w:cs="Tahoma"/>
        </w:rPr>
      </w:pPr>
    </w:p>
    <w:p w14:paraId="40091672" w14:textId="77777777" w:rsidR="002546A9" w:rsidRPr="00211ABC" w:rsidRDefault="002546A9" w:rsidP="00F806FD">
      <w:pPr>
        <w:spacing w:line="276" w:lineRule="auto"/>
        <w:ind w:firstLine="360"/>
        <w:rPr>
          <w:rFonts w:ascii="Tahoma" w:hAnsi="Tahoma" w:cs="Tahoma"/>
        </w:rPr>
      </w:pPr>
      <w:r w:rsidRPr="00211ABC">
        <w:rPr>
          <w:rFonts w:ascii="Tahoma" w:hAnsi="Tahoma" w:cs="Tahoma"/>
        </w:rPr>
        <w:t>Finalmente hay que advertir que se concedió el grado jurisdiccional de consulta en favor de COLPENSIONES, lo que le permite a la Sala revisar la totalidad de la sentencia de primera instancia.</w:t>
      </w:r>
    </w:p>
    <w:p w14:paraId="5C4F835C" w14:textId="77777777" w:rsidR="002546A9" w:rsidRPr="00211ABC" w:rsidRDefault="002546A9" w:rsidP="00F806FD">
      <w:pPr>
        <w:spacing w:line="276" w:lineRule="auto"/>
        <w:rPr>
          <w:rFonts w:ascii="Tahoma" w:hAnsi="Tahoma" w:cs="Tahoma"/>
        </w:rPr>
      </w:pPr>
    </w:p>
    <w:p w14:paraId="0ACB0CD3" w14:textId="77777777" w:rsidR="00450C7F" w:rsidRPr="00211ABC" w:rsidRDefault="00450C7F" w:rsidP="00F806FD">
      <w:pPr>
        <w:pStyle w:val="Prrafodelista"/>
        <w:numPr>
          <w:ilvl w:val="0"/>
          <w:numId w:val="2"/>
        </w:numPr>
        <w:spacing w:line="276" w:lineRule="auto"/>
        <w:jc w:val="center"/>
        <w:rPr>
          <w:rFonts w:ascii="Tahoma" w:hAnsi="Tahoma" w:cs="Tahoma"/>
          <w:b/>
          <w:bCs/>
        </w:rPr>
      </w:pPr>
      <w:r w:rsidRPr="00211ABC">
        <w:rPr>
          <w:rFonts w:ascii="Tahoma" w:hAnsi="Tahoma" w:cs="Tahoma"/>
          <w:b/>
          <w:bCs/>
        </w:rPr>
        <w:t>Alegatos de conclusión</w:t>
      </w:r>
    </w:p>
    <w:p w14:paraId="2AB7A9EF" w14:textId="77777777" w:rsidR="00450C7F" w:rsidRPr="00211ABC" w:rsidRDefault="00450C7F" w:rsidP="00F806FD">
      <w:pPr>
        <w:spacing w:line="276" w:lineRule="auto"/>
        <w:ind w:firstLine="360"/>
        <w:rPr>
          <w:rFonts w:ascii="Tahoma" w:hAnsi="Tahoma" w:cs="Tahoma"/>
        </w:rPr>
      </w:pPr>
    </w:p>
    <w:p w14:paraId="62FF00E7" w14:textId="77777777" w:rsidR="00450C7F" w:rsidRPr="00211ABC" w:rsidRDefault="00450C7F" w:rsidP="00F806FD">
      <w:pPr>
        <w:spacing w:line="276" w:lineRule="auto"/>
        <w:ind w:firstLine="360"/>
        <w:rPr>
          <w:rFonts w:ascii="Tahoma" w:hAnsi="Tahoma" w:cs="Tahoma"/>
        </w:rPr>
      </w:pPr>
      <w:r w:rsidRPr="00211ABC">
        <w:rPr>
          <w:rFonts w:ascii="Tahoma" w:hAnsi="Tahoma" w:cs="Tahoma"/>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34075557" w14:textId="46AAAECB" w:rsidR="00E867B6" w:rsidRPr="00211ABC" w:rsidRDefault="00E867B6" w:rsidP="00F806FD">
      <w:pPr>
        <w:spacing w:line="276" w:lineRule="auto"/>
        <w:rPr>
          <w:rFonts w:ascii="Tahoma" w:hAnsi="Tahoma" w:cs="Tahoma"/>
        </w:rPr>
      </w:pPr>
    </w:p>
    <w:p w14:paraId="05B4659B" w14:textId="77777777" w:rsidR="002546A9" w:rsidRPr="00211ABC" w:rsidRDefault="002546A9" w:rsidP="00F806FD">
      <w:pPr>
        <w:pStyle w:val="Prrafodelista"/>
        <w:numPr>
          <w:ilvl w:val="0"/>
          <w:numId w:val="2"/>
        </w:numPr>
        <w:spacing w:line="276" w:lineRule="auto"/>
        <w:jc w:val="center"/>
        <w:rPr>
          <w:rFonts w:ascii="Tahoma" w:hAnsi="Tahoma" w:cs="Tahoma"/>
          <w:b/>
          <w:bCs/>
        </w:rPr>
      </w:pPr>
      <w:r w:rsidRPr="00211ABC">
        <w:rPr>
          <w:rFonts w:ascii="Tahoma" w:hAnsi="Tahoma" w:cs="Tahoma"/>
          <w:b/>
          <w:bCs/>
        </w:rPr>
        <w:t>Problemas jurídicos por resolver</w:t>
      </w:r>
    </w:p>
    <w:p w14:paraId="74AAAC32" w14:textId="77777777" w:rsidR="002546A9" w:rsidRPr="00211ABC" w:rsidRDefault="002546A9" w:rsidP="00F806FD">
      <w:pPr>
        <w:spacing w:line="276" w:lineRule="auto"/>
        <w:ind w:firstLine="360"/>
        <w:rPr>
          <w:rFonts w:ascii="Tahoma" w:hAnsi="Tahoma" w:cs="Tahoma"/>
        </w:rPr>
      </w:pPr>
    </w:p>
    <w:p w14:paraId="529CDF8B" w14:textId="77777777" w:rsidR="002546A9" w:rsidRPr="00211ABC" w:rsidRDefault="002546A9" w:rsidP="00F806FD">
      <w:pPr>
        <w:spacing w:line="276" w:lineRule="auto"/>
        <w:ind w:firstLine="360"/>
        <w:rPr>
          <w:rFonts w:ascii="Tahoma" w:hAnsi="Tahoma" w:cs="Tahoma"/>
        </w:rPr>
      </w:pPr>
      <w:r w:rsidRPr="00211ABC">
        <w:rPr>
          <w:rFonts w:ascii="Tahoma" w:hAnsi="Tahoma" w:cs="Tahoma"/>
        </w:rPr>
        <w:t xml:space="preserve">De acuerdo con los argumentos expuestos en la sentencia de primera instancia, los alegatos y los fundamentos de la apelación, le corresponde a la Sala resolver los siguientes problemas jurídicos: </w:t>
      </w:r>
    </w:p>
    <w:p w14:paraId="54922579" w14:textId="38D423D8" w:rsidR="002546A9" w:rsidRPr="00211ABC" w:rsidRDefault="002546A9" w:rsidP="00F806FD">
      <w:pPr>
        <w:spacing w:line="276" w:lineRule="auto"/>
        <w:rPr>
          <w:rFonts w:ascii="Tahoma" w:hAnsi="Tahoma" w:cs="Tahoma"/>
        </w:rPr>
      </w:pPr>
    </w:p>
    <w:p w14:paraId="7AFA06F6" w14:textId="2204E401" w:rsidR="00A0388B" w:rsidRPr="00211ABC" w:rsidRDefault="00A0388B" w:rsidP="00F806FD">
      <w:pPr>
        <w:pStyle w:val="Prrafodelista"/>
        <w:widowControl w:val="0"/>
        <w:numPr>
          <w:ilvl w:val="0"/>
          <w:numId w:val="3"/>
        </w:numPr>
        <w:tabs>
          <w:tab w:val="left" w:pos="709"/>
          <w:tab w:val="left" w:pos="993"/>
        </w:tabs>
        <w:autoSpaceDE w:val="0"/>
        <w:autoSpaceDN w:val="0"/>
        <w:adjustRightInd w:val="0"/>
        <w:spacing w:line="276" w:lineRule="auto"/>
        <w:ind w:left="1134" w:hanging="425"/>
        <w:rPr>
          <w:rFonts w:ascii="Tahoma" w:hAnsi="Tahoma" w:cs="Tahoma"/>
        </w:rPr>
      </w:pPr>
      <w:r w:rsidRPr="00211ABC">
        <w:rPr>
          <w:rFonts w:ascii="Tahoma" w:hAnsi="Tahoma" w:cs="Tahoma"/>
        </w:rPr>
        <w:t>¿Cómo debe computarse el término de la prescripción cuando existen varias peticiones sobre el mismo</w:t>
      </w:r>
      <w:r w:rsidR="003628B2">
        <w:rPr>
          <w:rFonts w:ascii="Tahoma" w:hAnsi="Tahoma" w:cs="Tahoma"/>
        </w:rPr>
        <w:t xml:space="preserve"> punto</w:t>
      </w:r>
      <w:r w:rsidRPr="00211ABC">
        <w:rPr>
          <w:rFonts w:ascii="Tahoma" w:hAnsi="Tahoma" w:cs="Tahoma"/>
        </w:rPr>
        <w:t>?</w:t>
      </w:r>
    </w:p>
    <w:p w14:paraId="00EA7BE1" w14:textId="77777777" w:rsidR="00A0388B" w:rsidRPr="00211ABC" w:rsidRDefault="00A0388B" w:rsidP="00F806FD">
      <w:pPr>
        <w:pStyle w:val="Prrafodelista"/>
        <w:widowControl w:val="0"/>
        <w:autoSpaceDE w:val="0"/>
        <w:autoSpaceDN w:val="0"/>
        <w:adjustRightInd w:val="0"/>
        <w:spacing w:line="276" w:lineRule="auto"/>
        <w:ind w:left="0"/>
        <w:rPr>
          <w:rFonts w:ascii="Tahoma" w:hAnsi="Tahoma" w:cs="Tahoma"/>
          <w:b/>
        </w:rPr>
      </w:pPr>
    </w:p>
    <w:p w14:paraId="494059ED" w14:textId="7E43B01B" w:rsidR="008B77C2" w:rsidRPr="00211ABC" w:rsidRDefault="008B77C2" w:rsidP="00F806FD">
      <w:pPr>
        <w:pStyle w:val="Prrafodelista"/>
        <w:widowControl w:val="0"/>
        <w:numPr>
          <w:ilvl w:val="0"/>
          <w:numId w:val="3"/>
        </w:numPr>
        <w:tabs>
          <w:tab w:val="left" w:pos="709"/>
          <w:tab w:val="left" w:pos="1134"/>
        </w:tabs>
        <w:autoSpaceDE w:val="0"/>
        <w:autoSpaceDN w:val="0"/>
        <w:adjustRightInd w:val="0"/>
        <w:spacing w:line="276" w:lineRule="auto"/>
        <w:ind w:left="1134" w:hanging="425"/>
        <w:rPr>
          <w:rFonts w:ascii="Tahoma" w:hAnsi="Tahoma" w:cs="Tahoma"/>
        </w:rPr>
      </w:pPr>
      <w:r w:rsidRPr="00211ABC">
        <w:rPr>
          <w:rFonts w:ascii="Tahoma" w:hAnsi="Tahoma" w:cs="Tahoma"/>
        </w:rPr>
        <w:t>Definir si en virtud del grado jurisdiccional de consulta en favor de Colpensiones, era viable el reconocimiento pensional en los términos, tiempos y cuantías reconocidas en la sentencia.</w:t>
      </w:r>
    </w:p>
    <w:p w14:paraId="3D6FD6A8" w14:textId="44C6B21D" w:rsidR="002546A9" w:rsidRPr="00211ABC" w:rsidRDefault="002546A9" w:rsidP="00F806FD">
      <w:pPr>
        <w:spacing w:line="276" w:lineRule="auto"/>
        <w:rPr>
          <w:rFonts w:ascii="Tahoma" w:hAnsi="Tahoma" w:cs="Tahoma"/>
        </w:rPr>
      </w:pPr>
    </w:p>
    <w:p w14:paraId="40D4A39D" w14:textId="08DB04E3" w:rsidR="001530B8" w:rsidRPr="00211ABC" w:rsidRDefault="001530B8" w:rsidP="00F806FD">
      <w:pPr>
        <w:pStyle w:val="Prrafodelista"/>
        <w:numPr>
          <w:ilvl w:val="0"/>
          <w:numId w:val="2"/>
        </w:numPr>
        <w:spacing w:line="276" w:lineRule="auto"/>
        <w:jc w:val="center"/>
        <w:rPr>
          <w:rFonts w:ascii="Tahoma" w:hAnsi="Tahoma" w:cs="Tahoma"/>
          <w:b/>
          <w:bCs/>
        </w:rPr>
      </w:pPr>
      <w:r w:rsidRPr="00211ABC">
        <w:rPr>
          <w:rFonts w:ascii="Tahoma" w:hAnsi="Tahoma" w:cs="Tahoma"/>
          <w:b/>
          <w:bCs/>
        </w:rPr>
        <w:t xml:space="preserve">Consideraciones </w:t>
      </w:r>
    </w:p>
    <w:p w14:paraId="6BF2D9CB" w14:textId="526C8073" w:rsidR="001530B8" w:rsidRPr="00211ABC" w:rsidRDefault="001530B8" w:rsidP="00F806FD">
      <w:pPr>
        <w:spacing w:line="276" w:lineRule="auto"/>
        <w:rPr>
          <w:rFonts w:ascii="Tahoma" w:hAnsi="Tahoma" w:cs="Tahoma"/>
          <w:b/>
          <w:bCs/>
        </w:rPr>
      </w:pPr>
    </w:p>
    <w:p w14:paraId="27888EE0" w14:textId="63A25C14" w:rsidR="00923097" w:rsidRPr="00211ABC" w:rsidRDefault="00923097" w:rsidP="00F806FD">
      <w:pPr>
        <w:pStyle w:val="Prrafodelista"/>
        <w:numPr>
          <w:ilvl w:val="1"/>
          <w:numId w:val="2"/>
        </w:numPr>
        <w:spacing w:line="276" w:lineRule="auto"/>
        <w:rPr>
          <w:rFonts w:ascii="Tahoma" w:hAnsi="Tahoma" w:cs="Tahoma"/>
          <w:b/>
          <w:bCs/>
        </w:rPr>
      </w:pPr>
      <w:r w:rsidRPr="00211ABC">
        <w:rPr>
          <w:rFonts w:ascii="Tahoma" w:hAnsi="Tahoma" w:cs="Tahoma"/>
          <w:b/>
          <w:bCs/>
        </w:rPr>
        <w:t xml:space="preserve">De la </w:t>
      </w:r>
      <w:r w:rsidR="006A10F9" w:rsidRPr="00211ABC">
        <w:rPr>
          <w:rFonts w:ascii="Tahoma" w:hAnsi="Tahoma" w:cs="Tahoma"/>
          <w:b/>
          <w:bCs/>
        </w:rPr>
        <w:t xml:space="preserve">acumulación de </w:t>
      </w:r>
      <w:r w:rsidRPr="00211ABC">
        <w:rPr>
          <w:rFonts w:ascii="Tahoma" w:hAnsi="Tahoma" w:cs="Tahoma"/>
          <w:b/>
          <w:bCs/>
        </w:rPr>
        <w:t>aportes al ISS con tiempo de servicio público</w:t>
      </w:r>
      <w:r w:rsidR="003528CE" w:rsidRPr="00211ABC">
        <w:rPr>
          <w:rFonts w:ascii="Tahoma" w:hAnsi="Tahoma" w:cs="Tahoma"/>
          <w:b/>
          <w:bCs/>
        </w:rPr>
        <w:t xml:space="preserve"> bajo el Acuerdo 049 de 1990</w:t>
      </w:r>
      <w:r w:rsidR="006A10F9" w:rsidRPr="00211ABC">
        <w:rPr>
          <w:rFonts w:ascii="Tahoma" w:hAnsi="Tahoma" w:cs="Tahoma"/>
          <w:b/>
          <w:bCs/>
        </w:rPr>
        <w:t>.</w:t>
      </w:r>
    </w:p>
    <w:p w14:paraId="57CC71BE" w14:textId="59346A20" w:rsidR="00923097" w:rsidRPr="00211ABC" w:rsidRDefault="00923097" w:rsidP="00F806FD">
      <w:pPr>
        <w:spacing w:line="276" w:lineRule="auto"/>
        <w:rPr>
          <w:rFonts w:ascii="Tahoma" w:hAnsi="Tahoma" w:cs="Tahoma"/>
        </w:rPr>
      </w:pPr>
    </w:p>
    <w:p w14:paraId="596F4075" w14:textId="4AFE09C1" w:rsidR="00923097" w:rsidRPr="00211ABC" w:rsidRDefault="00923097" w:rsidP="00F806FD">
      <w:pPr>
        <w:spacing w:line="276" w:lineRule="auto"/>
        <w:ind w:firstLine="708"/>
        <w:rPr>
          <w:rFonts w:ascii="Tahoma" w:hAnsi="Tahoma" w:cs="Tahoma"/>
        </w:rPr>
      </w:pPr>
      <w:r w:rsidRPr="00211ABC">
        <w:rPr>
          <w:rFonts w:ascii="Tahoma" w:hAnsi="Tahoma" w:cs="Tahoma"/>
        </w:rPr>
        <w:t xml:space="preserve">La H. Corte Constitucional a través de la sentencia SU-769 de 2014, con ponencia del Magistrado Jorge Iván Palacio </w:t>
      </w:r>
      <w:proofErr w:type="spellStart"/>
      <w:r w:rsidRPr="00211ABC">
        <w:rPr>
          <w:rFonts w:ascii="Tahoma" w:hAnsi="Tahoma" w:cs="Tahoma"/>
        </w:rPr>
        <w:t>Palacio</w:t>
      </w:r>
      <w:proofErr w:type="spellEnd"/>
      <w:r w:rsidRPr="00211ABC">
        <w:rPr>
          <w:rFonts w:ascii="Tahoma" w:hAnsi="Tahoma" w:cs="Tahoma"/>
        </w:rPr>
        <w:t>, expuso una línea jurisprudencial en la cual se plasma la posibilidad de acumular cotizaciones efectuadas tanto en los sectores público y privado a efectos de reconocer, en virtud del régimen de transición, una pensión de vejez en aplicación del Acuerdo 049 de 1990. En distintos apartes de la aludida providencia se expuso lo siguiente:</w:t>
      </w:r>
    </w:p>
    <w:p w14:paraId="1C089C80" w14:textId="77777777" w:rsidR="00923097" w:rsidRPr="00211ABC" w:rsidRDefault="00923097" w:rsidP="00F806FD">
      <w:pPr>
        <w:spacing w:line="276" w:lineRule="auto"/>
        <w:ind w:left="1134"/>
        <w:rPr>
          <w:rFonts w:ascii="Tahoma" w:hAnsi="Tahoma" w:cs="Tahoma"/>
          <w:i/>
          <w:iCs/>
          <w:sz w:val="22"/>
          <w:szCs w:val="22"/>
        </w:rPr>
      </w:pPr>
    </w:p>
    <w:p w14:paraId="1168A5BB" w14:textId="77777777" w:rsidR="00923097" w:rsidRPr="00211ABC" w:rsidRDefault="00923097" w:rsidP="000B062C">
      <w:pPr>
        <w:spacing w:line="240" w:lineRule="auto"/>
        <w:ind w:left="426" w:right="420"/>
        <w:rPr>
          <w:rFonts w:ascii="Tahoma" w:hAnsi="Tahoma" w:cs="Tahoma"/>
          <w:i/>
          <w:iCs/>
          <w:sz w:val="22"/>
          <w:szCs w:val="22"/>
        </w:rPr>
      </w:pPr>
      <w:r w:rsidRPr="00211ABC">
        <w:rPr>
          <w:rFonts w:ascii="Tahoma" w:hAnsi="Tahoma" w:cs="Tahoma"/>
          <w:i/>
          <w:iCs/>
          <w:sz w:val="22"/>
          <w:szCs w:val="22"/>
        </w:rPr>
        <w:t>“La jurisprudencia de esta Corporación ha sostenido expresamente que (i) ‘el artículo 12 del Decreto 758 de 1990 en ninguno de sus apartes exige que las cotizaciones se efectúen de manera exclusiva al  fondo del Instituto de Seguros Sociales’ por lo que se incurre en un error al interpretar esta norma de manera distinta a lo que realmente se encuentra establecido en ella y (ii) en virtud del principio hermenéutico de interpretación más favorable a los intereses del trabajador, es posible computar las semanas que cotizó una persona en el sector público antes de entrar en vigencia la ley 100 de 1993 con las que cotizó como empleado del sector privado en cualquier tiempo”. (…)</w:t>
      </w:r>
    </w:p>
    <w:p w14:paraId="76AAB87E" w14:textId="77777777" w:rsidR="00923097" w:rsidRPr="00211ABC" w:rsidRDefault="00923097" w:rsidP="000B062C">
      <w:pPr>
        <w:spacing w:line="240" w:lineRule="auto"/>
        <w:ind w:left="426" w:right="420"/>
        <w:rPr>
          <w:rFonts w:ascii="Tahoma" w:hAnsi="Tahoma" w:cs="Tahoma"/>
          <w:i/>
          <w:iCs/>
          <w:sz w:val="22"/>
          <w:szCs w:val="22"/>
          <w:lang w:val="es-419"/>
        </w:rPr>
      </w:pPr>
    </w:p>
    <w:p w14:paraId="4AD8413D" w14:textId="090F1B29" w:rsidR="00923097" w:rsidRPr="00211ABC" w:rsidRDefault="00923097" w:rsidP="000B062C">
      <w:pPr>
        <w:spacing w:line="240" w:lineRule="auto"/>
        <w:ind w:left="426" w:right="420"/>
        <w:rPr>
          <w:rFonts w:ascii="Tahoma" w:hAnsi="Tahoma" w:cs="Tahoma"/>
          <w:i/>
          <w:iCs/>
          <w:sz w:val="22"/>
          <w:szCs w:val="22"/>
        </w:rPr>
      </w:pPr>
      <w:r w:rsidRPr="00211ABC">
        <w:rPr>
          <w:rFonts w:ascii="Tahoma" w:hAnsi="Tahoma" w:cs="Tahoma"/>
          <w:i/>
          <w:iCs/>
          <w:sz w:val="22"/>
          <w:szCs w:val="22"/>
        </w:rPr>
        <w:t>… la Corte Constitucional -en un asunto donde se buscaba la aplicación del Acuerdo 049 de 1990 en virtud del régimen de transición- aclaró que dicha norma no estableció que las cotizaciones debieran efectuarse exclusivamente en el I.S.S., ni fijó un modo restringido para computar las semanas, sino que exige simplemente que se hubieran hecho en la cantidad requerida, independientemente de si se efectuaron en los sectores público o privado; interpretación que resulta más favorable para los intereses del afiliado, de acuerdo con los artículos 53 de la Constitución Política y el 21 del Código Sustantivo del Trabajo, y que esta Corporación acogió en sentencia del 30 de octubre de 2015, proferida dentro del proceso radicado con el número 2013-00483</w:t>
      </w:r>
      <w:r w:rsidR="007B01B7" w:rsidRPr="00211ABC">
        <w:rPr>
          <w:rFonts w:ascii="Tahoma" w:hAnsi="Tahoma" w:cs="Tahoma"/>
          <w:i/>
          <w:iCs/>
          <w:sz w:val="22"/>
          <w:szCs w:val="22"/>
        </w:rPr>
        <w:t>”</w:t>
      </w:r>
    </w:p>
    <w:p w14:paraId="28A871C5" w14:textId="5495B8A4" w:rsidR="00923097" w:rsidRPr="00211ABC" w:rsidRDefault="00923097" w:rsidP="00F806FD">
      <w:pPr>
        <w:spacing w:line="276" w:lineRule="auto"/>
        <w:ind w:left="1134"/>
        <w:rPr>
          <w:rFonts w:ascii="Tahoma" w:hAnsi="Tahoma" w:cs="Tahoma"/>
          <w:i/>
          <w:iCs/>
          <w:sz w:val="22"/>
          <w:szCs w:val="22"/>
        </w:rPr>
      </w:pPr>
    </w:p>
    <w:p w14:paraId="606D273A" w14:textId="2BC0D0BC" w:rsidR="007B01B7" w:rsidRPr="00211ABC" w:rsidRDefault="007B01B7" w:rsidP="00F806FD">
      <w:pPr>
        <w:spacing w:line="276" w:lineRule="auto"/>
        <w:rPr>
          <w:rFonts w:ascii="Tahoma" w:hAnsi="Tahoma" w:cs="Tahoma"/>
          <w:lang w:eastAsia="es-CO"/>
        </w:rPr>
      </w:pPr>
      <w:r w:rsidRPr="00211ABC">
        <w:rPr>
          <w:rFonts w:ascii="Tahoma" w:hAnsi="Tahoma" w:cs="Tahoma"/>
          <w:lang w:eastAsia="es-CO"/>
        </w:rPr>
        <w:tab/>
      </w:r>
      <w:r w:rsidR="007F001F" w:rsidRPr="00211ABC">
        <w:rPr>
          <w:rFonts w:ascii="Tahoma" w:hAnsi="Tahoma" w:cs="Tahoma"/>
          <w:lang w:eastAsia="es-CO"/>
        </w:rPr>
        <w:t>D</w:t>
      </w:r>
      <w:r w:rsidRPr="00211ABC">
        <w:rPr>
          <w:rFonts w:ascii="Tahoma" w:hAnsi="Tahoma" w:cs="Tahoma"/>
          <w:lang w:eastAsia="es-CO"/>
        </w:rPr>
        <w:t>icho precedente</w:t>
      </w:r>
      <w:r w:rsidR="00844988">
        <w:rPr>
          <w:rFonts w:ascii="Tahoma" w:hAnsi="Tahoma" w:cs="Tahoma"/>
          <w:lang w:eastAsia="es-CO"/>
        </w:rPr>
        <w:t>,</w:t>
      </w:r>
      <w:r w:rsidRPr="00211ABC">
        <w:rPr>
          <w:rFonts w:ascii="Tahoma" w:hAnsi="Tahoma" w:cs="Tahoma"/>
          <w:lang w:eastAsia="es-CO"/>
        </w:rPr>
        <w:t xml:space="preserve"> no había tenido acogida por la Sala Mayoritaria en la medida que la jurisprudencia del órgano de cierre de la jurisdicción laboral</w:t>
      </w:r>
      <w:r w:rsidRPr="00211ABC">
        <w:rPr>
          <w:rFonts w:ascii="Tahoma" w:hAnsi="Tahoma" w:cs="Tahoma"/>
          <w:vertAlign w:val="superscript"/>
        </w:rPr>
        <w:footnoteReference w:id="1"/>
      </w:r>
      <w:r w:rsidRPr="00211ABC">
        <w:rPr>
          <w:rFonts w:ascii="Tahoma" w:hAnsi="Tahoma" w:cs="Tahoma"/>
          <w:lang w:eastAsia="es-CO"/>
        </w:rPr>
        <w:t xml:space="preserve"> venía puntualizando en relación con el cómputo del tiempo cotizado para dar por satisfechas la densidad de semanas que exige </w:t>
      </w:r>
      <w:r w:rsidR="00B059B0" w:rsidRPr="00211ABC">
        <w:rPr>
          <w:rFonts w:ascii="Tahoma" w:hAnsi="Tahoma" w:cs="Tahoma"/>
          <w:lang w:eastAsia="es-CO"/>
        </w:rPr>
        <w:t>el Acuerdo 049 de 1990</w:t>
      </w:r>
      <w:r w:rsidRPr="00211ABC">
        <w:rPr>
          <w:rFonts w:ascii="Tahoma" w:hAnsi="Tahoma" w:cs="Tahoma"/>
          <w:lang w:eastAsia="es-CO"/>
        </w:rPr>
        <w:t xml:space="preserve">, que los mismos </w:t>
      </w:r>
      <w:r w:rsidR="004337A4" w:rsidRPr="00211ABC">
        <w:rPr>
          <w:rFonts w:ascii="Tahoma" w:hAnsi="Tahoma" w:cs="Tahoma"/>
          <w:lang w:eastAsia="es-CO"/>
        </w:rPr>
        <w:t>debían</w:t>
      </w:r>
      <w:r w:rsidRPr="00211ABC">
        <w:rPr>
          <w:rFonts w:ascii="Tahoma" w:hAnsi="Tahoma" w:cs="Tahoma"/>
          <w:lang w:eastAsia="es-CO"/>
        </w:rPr>
        <w:t xml:space="preserve"> ser cotizados de manera exclusiva al ISS, sin que se pudieran sumar los tiempos públicos por los que se hicieron aportes a cajas, fondos o la misma entidad, como sí lo autoriza</w:t>
      </w:r>
      <w:r w:rsidR="007F001F" w:rsidRPr="00211ABC">
        <w:rPr>
          <w:rFonts w:ascii="Tahoma" w:hAnsi="Tahoma" w:cs="Tahoma"/>
          <w:lang w:eastAsia="es-CO"/>
        </w:rPr>
        <w:t>ba</w:t>
      </w:r>
      <w:r w:rsidRPr="00211ABC">
        <w:rPr>
          <w:rFonts w:ascii="Tahoma" w:hAnsi="Tahoma" w:cs="Tahoma"/>
          <w:lang w:eastAsia="es-CO"/>
        </w:rPr>
        <w:t xml:space="preserve"> la ley 100 de 1993 </w:t>
      </w:r>
      <w:r w:rsidR="007F001F" w:rsidRPr="00211ABC">
        <w:rPr>
          <w:rFonts w:ascii="Tahoma" w:hAnsi="Tahoma" w:cs="Tahoma"/>
          <w:lang w:eastAsia="es-CO"/>
        </w:rPr>
        <w:t xml:space="preserve">y según </w:t>
      </w:r>
      <w:r w:rsidRPr="00211ABC">
        <w:rPr>
          <w:rFonts w:ascii="Tahoma" w:hAnsi="Tahoma" w:cs="Tahoma"/>
          <w:lang w:eastAsia="es-CO"/>
        </w:rPr>
        <w:t>los parámetros de la Ley 71 de 198</w:t>
      </w:r>
      <w:r w:rsidR="004337A4" w:rsidRPr="00211ABC">
        <w:rPr>
          <w:rFonts w:ascii="Tahoma" w:hAnsi="Tahoma" w:cs="Tahoma"/>
          <w:lang w:eastAsia="es-CO"/>
        </w:rPr>
        <w:t>8</w:t>
      </w:r>
      <w:r w:rsidRPr="00211ABC">
        <w:rPr>
          <w:rFonts w:ascii="Tahoma" w:hAnsi="Tahoma" w:cs="Tahoma"/>
          <w:lang w:eastAsia="es-CO"/>
        </w:rPr>
        <w:t>.</w:t>
      </w:r>
    </w:p>
    <w:p w14:paraId="255DEB5D" w14:textId="1F1B093B" w:rsidR="007F001F" w:rsidRPr="00211ABC" w:rsidRDefault="007F001F" w:rsidP="00F806FD">
      <w:pPr>
        <w:spacing w:line="276" w:lineRule="auto"/>
        <w:rPr>
          <w:rFonts w:ascii="Tahoma" w:hAnsi="Tahoma" w:cs="Tahoma"/>
          <w:lang w:eastAsia="es-CO"/>
        </w:rPr>
      </w:pPr>
    </w:p>
    <w:p w14:paraId="01856942" w14:textId="5E91976D" w:rsidR="00CC27AF" w:rsidRPr="00211ABC" w:rsidRDefault="0064208B" w:rsidP="00F806FD">
      <w:pPr>
        <w:spacing w:line="276" w:lineRule="auto"/>
        <w:rPr>
          <w:rFonts w:ascii="Tahoma" w:hAnsi="Tahoma" w:cs="Tahoma"/>
          <w:lang w:eastAsia="es-CO"/>
        </w:rPr>
      </w:pPr>
      <w:r w:rsidRPr="00211ABC">
        <w:rPr>
          <w:rFonts w:ascii="Tahoma" w:hAnsi="Tahoma" w:cs="Tahoma"/>
          <w:lang w:eastAsia="es-CO"/>
        </w:rPr>
        <w:tab/>
      </w:r>
      <w:r w:rsidR="003628B2">
        <w:rPr>
          <w:rFonts w:ascii="Tahoma" w:hAnsi="Tahoma" w:cs="Tahoma"/>
          <w:lang w:eastAsia="es-CO"/>
        </w:rPr>
        <w:t xml:space="preserve">Sin embargo, </w:t>
      </w:r>
      <w:r w:rsidR="00844988">
        <w:rPr>
          <w:rFonts w:ascii="Tahoma" w:hAnsi="Tahoma" w:cs="Tahoma"/>
          <w:lang w:eastAsia="es-CO"/>
        </w:rPr>
        <w:t>tal criterio</w:t>
      </w:r>
      <w:r w:rsidRPr="00211ABC">
        <w:rPr>
          <w:rFonts w:ascii="Tahoma" w:hAnsi="Tahoma" w:cs="Tahoma"/>
          <w:lang w:eastAsia="es-CO"/>
        </w:rPr>
        <w:t xml:space="preserve"> fue replantead</w:t>
      </w:r>
      <w:r w:rsidR="009F71A5">
        <w:rPr>
          <w:rFonts w:ascii="Tahoma" w:hAnsi="Tahoma" w:cs="Tahoma"/>
          <w:lang w:eastAsia="es-CO"/>
        </w:rPr>
        <w:t>o</w:t>
      </w:r>
      <w:r w:rsidRPr="00211ABC">
        <w:rPr>
          <w:rFonts w:ascii="Tahoma" w:hAnsi="Tahoma" w:cs="Tahoma"/>
          <w:lang w:eastAsia="es-CO"/>
        </w:rPr>
        <w:t xml:space="preserve"> por </w:t>
      </w:r>
      <w:r w:rsidR="00844988">
        <w:rPr>
          <w:rFonts w:ascii="Tahoma" w:hAnsi="Tahoma" w:cs="Tahoma"/>
          <w:lang w:eastAsia="es-CO"/>
        </w:rPr>
        <w:t xml:space="preserve">la </w:t>
      </w:r>
      <w:r w:rsidRPr="00211ABC">
        <w:rPr>
          <w:rFonts w:ascii="Tahoma" w:hAnsi="Tahoma" w:cs="Tahoma"/>
          <w:lang w:eastAsia="es-CO"/>
        </w:rPr>
        <w:t xml:space="preserve">Sala de Casación Laboral de la Corte Suprema de Justicia a partir de la sentencia CSJ SL1981-2020, </w:t>
      </w:r>
      <w:r w:rsidR="00525E74" w:rsidRPr="00211ABC">
        <w:rPr>
          <w:rFonts w:ascii="Tahoma" w:hAnsi="Tahoma" w:cs="Tahoma"/>
          <w:lang w:eastAsia="es-CO"/>
        </w:rPr>
        <w:t xml:space="preserve">con la cual se planteó la procedencia de sumar </w:t>
      </w:r>
      <w:r w:rsidRPr="00211ABC">
        <w:rPr>
          <w:rFonts w:ascii="Tahoma" w:hAnsi="Tahoma" w:cs="Tahoma"/>
          <w:lang w:eastAsia="es-CO"/>
        </w:rPr>
        <w:t>tiempos</w:t>
      </w:r>
      <w:r w:rsidR="007252E6" w:rsidRPr="00211ABC">
        <w:rPr>
          <w:rFonts w:ascii="Tahoma" w:hAnsi="Tahoma" w:cs="Tahoma"/>
          <w:lang w:eastAsia="es-CO"/>
        </w:rPr>
        <w:t xml:space="preserve"> para consolidar la pensión de vejez contemplada en el </w:t>
      </w:r>
      <w:r w:rsidR="00746CCA" w:rsidRPr="00211ABC">
        <w:rPr>
          <w:rFonts w:ascii="Tahoma" w:hAnsi="Tahoma" w:cs="Tahoma"/>
          <w:lang w:eastAsia="es-CO"/>
        </w:rPr>
        <w:t>a</w:t>
      </w:r>
      <w:r w:rsidR="007252E6" w:rsidRPr="00211ABC">
        <w:rPr>
          <w:rFonts w:ascii="Tahoma" w:hAnsi="Tahoma" w:cs="Tahoma"/>
          <w:lang w:eastAsia="es-CO"/>
        </w:rPr>
        <w:t xml:space="preserve">cuerdo 049 de 1990 aplicable por vía del régimen de transición de la Ley 100 de 1993, con la suma de semanas efectivamente cotizadas al ISS y los tiempos laborados a entidades públicas, postura que </w:t>
      </w:r>
      <w:r w:rsidR="00525E74" w:rsidRPr="00211ABC">
        <w:rPr>
          <w:rFonts w:ascii="Tahoma" w:hAnsi="Tahoma" w:cs="Tahoma"/>
          <w:lang w:eastAsia="es-CO"/>
        </w:rPr>
        <w:t xml:space="preserve">ya </w:t>
      </w:r>
      <w:r w:rsidR="007252E6" w:rsidRPr="00211ABC">
        <w:rPr>
          <w:rFonts w:ascii="Tahoma" w:hAnsi="Tahoma" w:cs="Tahoma"/>
          <w:lang w:eastAsia="es-CO"/>
        </w:rPr>
        <w:t xml:space="preserve">se ha reiterado </w:t>
      </w:r>
      <w:r w:rsidRPr="00211ABC">
        <w:rPr>
          <w:rFonts w:ascii="Tahoma" w:hAnsi="Tahoma" w:cs="Tahoma"/>
          <w:lang w:eastAsia="es-CO"/>
        </w:rPr>
        <w:t xml:space="preserve">en </w:t>
      </w:r>
      <w:r w:rsidR="00525E74" w:rsidRPr="00211ABC">
        <w:rPr>
          <w:rFonts w:ascii="Tahoma" w:hAnsi="Tahoma" w:cs="Tahoma"/>
          <w:lang w:eastAsia="es-CO"/>
        </w:rPr>
        <w:t xml:space="preserve">las </w:t>
      </w:r>
      <w:r w:rsidRPr="00211ABC">
        <w:rPr>
          <w:rFonts w:ascii="Tahoma" w:hAnsi="Tahoma" w:cs="Tahoma"/>
          <w:lang w:eastAsia="es-CO"/>
        </w:rPr>
        <w:t>sentencias SL2557-2020, SL2590-2020, SL3719-2020, SL3110-2020, SL3657-2020, SL3838-2020</w:t>
      </w:r>
      <w:r w:rsidR="007252E6" w:rsidRPr="00211ABC">
        <w:rPr>
          <w:rFonts w:ascii="Tahoma" w:hAnsi="Tahoma" w:cs="Tahoma"/>
          <w:lang w:eastAsia="es-CO"/>
        </w:rPr>
        <w:t xml:space="preserve">, SL4480-2020 y la </w:t>
      </w:r>
      <w:r w:rsidR="00CC27AF" w:rsidRPr="00211ABC">
        <w:rPr>
          <w:rFonts w:ascii="Tahoma" w:hAnsi="Tahoma" w:cs="Tahoma"/>
          <w:lang w:eastAsia="es-CO"/>
        </w:rPr>
        <w:t xml:space="preserve">SL4529 del 11-11-2020, </w:t>
      </w:r>
      <w:r w:rsidR="00525E74" w:rsidRPr="00211ABC">
        <w:rPr>
          <w:rFonts w:ascii="Tahoma" w:hAnsi="Tahoma" w:cs="Tahoma"/>
          <w:lang w:eastAsia="es-CO"/>
        </w:rPr>
        <w:t xml:space="preserve">con ponencia de la Dra. </w:t>
      </w:r>
      <w:r w:rsidR="00CC27AF" w:rsidRPr="00211ABC">
        <w:rPr>
          <w:rFonts w:ascii="Tahoma" w:hAnsi="Tahoma" w:cs="Tahoma"/>
          <w:lang w:eastAsia="es-CO"/>
        </w:rPr>
        <w:t xml:space="preserve">Clara Cecilia Dueñas Quevedo. Rad. 81976, </w:t>
      </w:r>
      <w:r w:rsidR="00525E74" w:rsidRPr="00211ABC">
        <w:rPr>
          <w:rFonts w:ascii="Tahoma" w:hAnsi="Tahoma" w:cs="Tahoma"/>
          <w:lang w:eastAsia="es-CO"/>
        </w:rPr>
        <w:t>en la que puntualiza</w:t>
      </w:r>
      <w:r w:rsidR="00CC27AF" w:rsidRPr="00211ABC">
        <w:rPr>
          <w:rFonts w:ascii="Tahoma" w:hAnsi="Tahoma" w:cs="Tahoma"/>
          <w:lang w:eastAsia="es-CO"/>
        </w:rPr>
        <w:t>:</w:t>
      </w:r>
    </w:p>
    <w:p w14:paraId="6D17909E" w14:textId="77777777" w:rsidR="00CC27AF" w:rsidRPr="00211ABC" w:rsidRDefault="00CC27AF" w:rsidP="00F806FD">
      <w:pPr>
        <w:spacing w:line="276" w:lineRule="auto"/>
        <w:rPr>
          <w:rFonts w:ascii="Tahoma" w:hAnsi="Tahoma" w:cs="Tahoma"/>
          <w:b/>
          <w:bCs/>
        </w:rPr>
      </w:pPr>
    </w:p>
    <w:p w14:paraId="71E7B2F7" w14:textId="77777777" w:rsidR="001530B8"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lastRenderedPageBreak/>
        <w:t>“2.- En lo que respecta al segundo planteamiento, esta Sala sostenía que con arreglo al régimen pensional del Acuerdo 049 de 1990, solo era posible computar semanas cotizadas exclusivamente al Instituto de Seguros Sociales por cuanto, a la luz de sus reglamentos, no existía una sola disposición que autorizara la sumatoria de semanas laboradas en el sector público, sufragadas a cajas, fondos o entidades de previsión social o, simplemente, no cotizadas.</w:t>
      </w:r>
    </w:p>
    <w:p w14:paraId="6AE5B395" w14:textId="5C55A2F4" w:rsidR="001530B8"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t>[…].</w:t>
      </w:r>
    </w:p>
    <w:p w14:paraId="256F7E97" w14:textId="552446EE" w:rsidR="001530B8"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t xml:space="preserve">No obstante, esta </w:t>
      </w:r>
      <w:bookmarkStart w:id="1" w:name="_Hlk58410790"/>
      <w:r w:rsidRPr="00211ABC">
        <w:rPr>
          <w:rFonts w:ascii="Tahoma" w:hAnsi="Tahoma" w:cs="Tahoma"/>
          <w:i/>
          <w:iCs/>
          <w:sz w:val="22"/>
          <w:szCs w:val="22"/>
        </w:rPr>
        <w:t>Colegiatura replanteó su criterio jurisprudencial a partir de la sentencia CSJ SL1981-2020</w:t>
      </w:r>
      <w:bookmarkEnd w:id="1"/>
      <w:r w:rsidRPr="00211ABC">
        <w:rPr>
          <w:rFonts w:ascii="Tahoma" w:hAnsi="Tahoma" w:cs="Tahoma"/>
          <w:i/>
          <w:iCs/>
          <w:sz w:val="22"/>
          <w:szCs w:val="22"/>
        </w:rPr>
        <w:t>, según la cual los beneficiarios del régimen de transición, como lo es el caso del demandante, son afiliados del sistema general de seguridad social y, por consiguiente, salvo en lo que respecta a la edad, tiempo y monto de la pensión, las directrices, principios y reglas de la Ley 100 de 1993 les aplica en su integridad, lo que incluye la posibilidad de sumar todas las semanas prestadas en el sector público, sin importar si fueron o no cotizadas al ISS hoy Colpensiones o, simplemente, no cotizadas, tal como sucede en el asunto.</w:t>
      </w:r>
      <w:r w:rsidRPr="00211ABC">
        <w:rPr>
          <w:rFonts w:ascii="Tahoma" w:hAnsi="Tahoma" w:cs="Tahoma"/>
          <w:i/>
          <w:iCs/>
          <w:sz w:val="22"/>
          <w:szCs w:val="22"/>
        </w:rPr>
        <w:br/>
      </w:r>
      <w:r w:rsidRPr="00211ABC">
        <w:rPr>
          <w:rFonts w:ascii="Tahoma" w:hAnsi="Tahoma" w:cs="Tahoma"/>
          <w:i/>
          <w:iCs/>
          <w:sz w:val="22"/>
          <w:szCs w:val="22"/>
        </w:rPr>
        <w:br/>
        <w:t>Las razones en que se sustentó este cambio de pensamiento, fueron las siguientes:</w:t>
      </w:r>
      <w:r w:rsidRPr="00211ABC">
        <w:rPr>
          <w:rFonts w:ascii="Tahoma" w:hAnsi="Tahoma" w:cs="Tahoma"/>
          <w:i/>
          <w:iCs/>
          <w:sz w:val="22"/>
          <w:szCs w:val="22"/>
        </w:rPr>
        <w:br/>
      </w:r>
      <w:r w:rsidRPr="00211ABC">
        <w:rPr>
          <w:rFonts w:ascii="Tahoma" w:hAnsi="Tahoma" w:cs="Tahoma"/>
          <w:i/>
          <w:iCs/>
          <w:sz w:val="22"/>
          <w:szCs w:val="22"/>
        </w:rPr>
        <w:br/>
        <w:t>[…] 1. El sistema general de seguridad social en pensiones es un sistema inspirado en el principio de la universalidad y en el reconocimiento del trabajo como parámetro de construcción de la pensión</w:t>
      </w:r>
    </w:p>
    <w:p w14:paraId="4098339A" w14:textId="77777777" w:rsidR="001530B8"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br/>
        <w:t>La Ley 100 de 1993 tuvo como eje central la necesidad de unificar la pluralidad de regímenes pensionales preexistentes, en un sistema único, inclusivo y universal denominado «sistema general de pensiones», que permitiera la construcción de sus prestaciones a partir del concepto de trabajo.</w:t>
      </w:r>
      <w:r w:rsidRPr="00211ABC">
        <w:rPr>
          <w:rFonts w:ascii="Tahoma" w:hAnsi="Tahoma" w:cs="Tahoma"/>
          <w:i/>
          <w:iCs/>
          <w:sz w:val="22"/>
          <w:szCs w:val="22"/>
        </w:rPr>
        <w:br/>
      </w:r>
      <w:r w:rsidRPr="00211ABC">
        <w:rPr>
          <w:rFonts w:ascii="Tahoma" w:hAnsi="Tahoma" w:cs="Tahoma"/>
          <w:i/>
          <w:iCs/>
          <w:sz w:val="22"/>
          <w:szCs w:val="22"/>
        </w:rPr>
        <w:br/>
        <w:t>Esta Sala ha subrayado en distintas oportunidades que este objetivo de la Ley 100 de 1993 consistente en superar las fronteras impuestas por los anteriores regímenes pensionales, que coexistían dispersamente y condicionaban la validez de los tiempos laborados a situaciones tales como que hubieran sido objeto de aportes, laborados en determinados sectores o entidades, cotizados a específicos entes previsionales, entre otras, condiciones y limitaciones que en la nueva regulación se eliminaron, para, en su lugar, tomar como referente de construcción de la pensión la prestación del servicio en cuanto tal. De allí que «al suprimir estas barreras, que obstaculizaban la adquisición del derecho pensional, la L. 100/1993 se erija en un estatuto normativo inclusivo, anti clasista y unificador de regímenes pensionales, como se expresa en su art. 6.º, al prescribir que «el Sistema de Seguridad Social Integral está instituido para unificar la normatividad» (CSJ SL11188-2016).</w:t>
      </w:r>
    </w:p>
    <w:p w14:paraId="3191DB90" w14:textId="77777777" w:rsidR="001530B8"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br/>
        <w:t>Por este motivo, el sistema le concedió validez a todos los tiempos laborados, sin distinciones fundadas en la clase de empleador (público o privado) a la que se prestaron los servicios, la entidad de previsión a la que se realizaron los aportes o si los tiempos efectivamente laborados no fueron cotizados.</w:t>
      </w:r>
    </w:p>
    <w:p w14:paraId="10AD47B8" w14:textId="77777777" w:rsidR="001530B8"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br/>
        <w:t>En efecto, el literal f) del artículo 13 de la Ley 100 de 1993 señala que para el reconocimiento de las pensiones se tendrá en cuenta la suma de las semanas cotizadas al Instituto de Seguros Sociales o a cualquier caja, fondo o entidad del sector público o privado, o el tiempo de servicio como servidores públicos, cualquiera sea el número de semanas cotizadas o el tiempo de servicio. A su turno, el parágrafo 1.° del artículo 33 del mencionado estatuto de seguridad social, también le concede validez para efectos del cómputo de semanas, a los tiempos laborados como servidores públicos.</w:t>
      </w:r>
    </w:p>
    <w:p w14:paraId="1A04704D" w14:textId="77777777" w:rsidR="001530B8"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br/>
        <w:t xml:space="preserve">En consonancia con lo anterior, la jurisprudencia de la Sala de Casación Laboral ha avanzado en una línea que aboga por darle efecto a todos los tiempos laborados para cubrir pensiones de la Ley 100 de 1993, dentro de las cuales se encuentran las del régimen de transición. Así ocurrió con la pensión de jubilación de la Ley 71 de </w:t>
      </w:r>
      <w:r w:rsidRPr="00211ABC">
        <w:rPr>
          <w:rFonts w:ascii="Tahoma" w:hAnsi="Tahoma" w:cs="Tahoma"/>
          <w:i/>
          <w:iCs/>
          <w:sz w:val="22"/>
          <w:szCs w:val="22"/>
        </w:rPr>
        <w:lastRenderedPageBreak/>
        <w:t>1998 (CSJ SL4457-2014), la orden de giro de títulos pensionales cuando el empleador, debido a su omisión, vacíos legales o falta de cobertura en un territorio, no afilió a sus trabajadores al ISS (CSJ SL14215-2017) o el cómputo en semanas del servicio militar (CSJ SL11188-2016). Todo lo anterior bajo la premisa de que a la luz de la Ley 100 de 1993, «los tiempos laborados deben tener alguna incidencia pensional, no pueden perderse sin más. Y esto no se trata de una dádiva o un acto de compasión, sino de un derecho irrenunciable, ligado a la prestación del servicio», del que se beneficia la sociedad en su conjunto (CSJ SL1140-2020).</w:t>
      </w:r>
    </w:p>
    <w:p w14:paraId="56B8165B" w14:textId="77777777" w:rsidR="001530B8"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br/>
        <w:t>Desde este punto de vista, se asevera que a diferencia de los regímenes anteriores, la Ley 100 de 1993 tuvo un efecto homogeneizador que se traduce en la convalidación de todos los tiempos laborados, lo cual se hace extensivo a los beneficiarios del régimen de transición, no solo porque a ellos les aplica en su plenitud las reglas del sistema general de pensiones, salvo en lo que concierne a la edad, tiempo de servicios o semanas cotizadas y monto; también porque estas personas eran las que sufrían las consecuencias de la legislación preexistente, caracterizadas por la dispersión de regímenes y responsabilidades, donde algunas semanas eran desechadas o reputadas como no válidas para pensión.</w:t>
      </w:r>
    </w:p>
    <w:p w14:paraId="0976914A" w14:textId="77777777" w:rsidR="00E643EB"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br/>
        <w:t>Las pensiones del régimen de transición hacen parte del sistema general de seguridad social en pensiones y, por tanto, a sus beneficiarios les aplican los preceptos normativos que ordenan la sumatoria de tiempos públicos no cotizados y privados sufragados al ISS, hoy Colpensiones</w:t>
      </w:r>
    </w:p>
    <w:p w14:paraId="7E19BC6D" w14:textId="24B06A2C" w:rsidR="001530B8"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br/>
        <w:t>Como se dijo, la Ley 100 de 1993 tuvo como premisa fundamental la necesidad de unificar la pluralidad de regímenes pensionales preexistentes, en un sistema global. Sin embargo, frente a ciertos segmentos de la población próximos a pensionarse según las reglas anteriores, la Ley 100 de 1993 instituyó en su artículo 36 un régimen de transición, el cual, sin aislarse de los principios rectores y preceptos del sistema general de pensiones, otorga ciertos privilegios a esas personas en tres materias puntuales: edad, tiempo de servicios o semanas de cotización y monto de la pensión, dejando claro que «las demás condiciones y requisitos aplicables a estas personas para acceder a la pensión de vejez, se regirán por las disposiciones contenidas en la presente Ley (sic)».</w:t>
      </w:r>
    </w:p>
    <w:p w14:paraId="1011B0CD" w14:textId="77777777" w:rsidR="001530B8"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br/>
        <w:t>De esta forma, el régimen de transición no es un mundo separado o excluido de la Ley 100 de 1993, es una regulación especial englobada en la misma, a través del cual se otorga a ciertas personas la posibilidad de pensionarse con base en la edad, tiempo de servicios o semanas de cotización y monto de la ley anterior, quedando todo lo demás sometido al imperio de aquella normativa.</w:t>
      </w:r>
    </w:p>
    <w:p w14:paraId="67EAE6D2" w14:textId="77777777" w:rsidR="001530B8"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br/>
        <w:t>Lo anterior significa que para estas personas la forma de computar o establecer el número de semanas se rige por lo dispuesto en el literal f) del artículo 13 y el parágrafo 1.º del artículo 33, disposiciones que, expresamente, consagran la suma de tiempos públicos, hayan sido o no objeto de aportes a cajas, fondos o entidades de previsión social.</w:t>
      </w:r>
    </w:p>
    <w:p w14:paraId="761409F2" w14:textId="77777777" w:rsidR="00316BF5"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br/>
        <w:t>Por tanto, no hay razón alguna que justifique inaplicar las normas en cita para los beneficiarios del régimen de transición cuyo régimen anterior es el del Acuerdo 049 de 1990, pues, en estricto rigor, dichas personas están afiliadas del sistema general de pensiones, conforme lo prevé el artículo 15 de la Ley 100 de 1993. Luego, les asiste el derecho a la portabilidad de las semanas efectivamente laboradas, independientemente de que su empleador público no las hubiera cotizado al ISS o a otra caja o entidad de previsión social.</w:t>
      </w:r>
    </w:p>
    <w:p w14:paraId="75BC6359" w14:textId="77777777" w:rsidR="00E643EB"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br/>
        <w:t xml:space="preserve">Con otras palabras: si los beneficiarios del régimen de transición son afiliados al sistema general de pensiones y están sometidos a su regulación -salvo los tres aspectos referidos-, ello apareja como consecuencia lógica el derecho a que las </w:t>
      </w:r>
      <w:r w:rsidRPr="00211ABC">
        <w:rPr>
          <w:rFonts w:ascii="Tahoma" w:hAnsi="Tahoma" w:cs="Tahoma"/>
          <w:i/>
          <w:iCs/>
          <w:sz w:val="22"/>
          <w:szCs w:val="22"/>
        </w:rPr>
        <w:lastRenderedPageBreak/>
        <w:t>directrices y principios rectores de este sistema se les aplique, de manera axiológicamente coherente, de manera integral, tal como ocurre con la posibilidad que se contabilicen en su favor todas las semanas laboradas para el otorgamiento de las prestaciones.</w:t>
      </w:r>
    </w:p>
    <w:p w14:paraId="67AAB8CB" w14:textId="573C4CB6" w:rsidR="001530B8"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br/>
        <w:t>El parágrafo del artículo 36 de la Ley 100 de 1993 es claro en que para la pensión de vejez de los beneficiarios del régimen de transición se debe tener en cuenta la sumatoria del tiempo de servicio público y las semanas cotizadas al ISS o a entidades de previsión social</w:t>
      </w:r>
    </w:p>
    <w:p w14:paraId="5E9E783A" w14:textId="77777777" w:rsidR="001530B8"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br/>
        <w:t>Aunque la Ley 100 de 1993 es clara en que las pensiones del régimen de transición se regulan por todas las disposiciones de esa normativa (excepto los tres aspectos ya referenciados), incluido lo dispuesto en el literal f) del artículo 13 y el parágrafo 1.º del artículo 33 conforme se explicó a espacio, en el parágrafo del artículo 36 de la Ley 100 de 1993, el legislador quiso ser mucho más incisivo en tal aspecto.</w:t>
      </w:r>
    </w:p>
    <w:p w14:paraId="229C05A5" w14:textId="77777777" w:rsidR="00E643EB"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br/>
        <w:t>En efecto, en dicha disposición recalcó que «para efectos del reconocimiento de la pensión de vejez de que trata el inciso primero (1o) del presente artículo se tendrá en cuenta la suma de las semanas cotizadas con anterioridad a la vigencia de la presente ley, al Instituto de Seguros Sociales, a las Cajas, fondos o entidades de seguridad social del sector público o privado, o el tiempo de servicio como servidores públicos cualquiera sea el número de semanas cotizadas o tiempo de servicio».</w:t>
      </w:r>
    </w:p>
    <w:p w14:paraId="24E4757B" w14:textId="5691550B" w:rsidR="002C0540"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br/>
        <w:t xml:space="preserve">Tal proposición normativa no puede entenderse referida a la pensión de vejez ordinaria prevista en el artículo 33 de la Ley 100 de 1993, como otrora lo adoctrinó la Sala en sentencia CSJ SL, 4 nov. 2004, rad. 23611, toda vez que está inmersa en el artículo que regula el régimen de transición. Pero, además, es equivocado concebir que un inciso incorporado en una disposición que regula temáticamente un asunto, en este caso, el régimen de transición, no se refiera a la materia reglamentada sino a otra diferente y consagrada en artículo distinto. Más aún, este precepto no es más que la expresión de coherencia del sistema de seguridad social, en cuanto reconoce el trabajo humano como pilar fundamental del sistema de protección social y, por ello, pretende darle significación en la </w:t>
      </w:r>
      <w:proofErr w:type="spellStart"/>
      <w:r w:rsidRPr="00211ABC">
        <w:rPr>
          <w:rFonts w:ascii="Tahoma" w:hAnsi="Tahoma" w:cs="Tahoma"/>
          <w:i/>
          <w:iCs/>
          <w:sz w:val="22"/>
          <w:szCs w:val="22"/>
        </w:rPr>
        <w:t>causación</w:t>
      </w:r>
      <w:proofErr w:type="spellEnd"/>
      <w:r w:rsidRPr="00211ABC">
        <w:rPr>
          <w:rFonts w:ascii="Tahoma" w:hAnsi="Tahoma" w:cs="Tahoma"/>
          <w:i/>
          <w:iCs/>
          <w:sz w:val="22"/>
          <w:szCs w:val="22"/>
        </w:rPr>
        <w:t xml:space="preserve"> de las pensiones.</w:t>
      </w:r>
    </w:p>
    <w:p w14:paraId="13C109FF" w14:textId="6B7BAB53" w:rsidR="001530B8"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br/>
        <w:t>La Ley 100 de 1993 previó mecanismos de financiación de las pensiones de los beneficiarios del régimen de transición</w:t>
      </w:r>
    </w:p>
    <w:p w14:paraId="48D978DE" w14:textId="77777777" w:rsidR="00E643EB"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br/>
        <w:t>En aras de materializar la idea de que el trabajo humano cuenta en la seguridad social, la Ley 100 de 1993 previó sendos instrumentos de financiación tales como los cálculos actuariales o las cuotas partes pensionales, que permiten portar y hacer valer las semanas de trabajo para efectos del reconocimiento y pago de las prestaciones pensionales. Es decir, la Ley 100 de 1993 anticipó las disfuncionalidades que podrían presentarse de tomar en cuenta todos los tiempos cotizados en el ISS o en las múltiples cajas que existían, o el tiempo laborado a empleadores que tenían a su cargo las pensiones, para lo cual instituyó mecanismos de financiación de las pensiones a través de títulos o cuotas partes.</w:t>
      </w:r>
    </w:p>
    <w:p w14:paraId="7DEF0338" w14:textId="59FEA8ED" w:rsidR="002C0540"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br/>
        <w:t>Por consiguiente, el argumento de una debacle financiera se cae de su peso, ya que, se repite, el sistema prevé mecanismos eficientes de recaudo de los títulos o dineros llamados a financiar la pensión […].</w:t>
      </w:r>
    </w:p>
    <w:p w14:paraId="0A312DA8" w14:textId="24DD5E5B" w:rsidR="00B450B3" w:rsidRPr="00211ABC" w:rsidRDefault="001530B8" w:rsidP="000B062C">
      <w:pPr>
        <w:spacing w:line="240" w:lineRule="auto"/>
        <w:ind w:left="426" w:right="420"/>
        <w:rPr>
          <w:rFonts w:ascii="Tahoma" w:hAnsi="Tahoma" w:cs="Tahoma"/>
          <w:i/>
          <w:iCs/>
          <w:sz w:val="22"/>
          <w:szCs w:val="22"/>
        </w:rPr>
      </w:pPr>
      <w:r w:rsidRPr="00211ABC">
        <w:rPr>
          <w:rFonts w:ascii="Tahoma" w:hAnsi="Tahoma" w:cs="Tahoma"/>
          <w:i/>
          <w:iCs/>
          <w:sz w:val="22"/>
          <w:szCs w:val="22"/>
        </w:rPr>
        <w:br/>
        <w:t>Bajo esa línea jurisprudencial reiterada, entre otras, en las sentencias CSJ SL2557-2020 y CSJ SL2659-2020, se concluye sin dubitación, que sí es posible contabilizar las semanas laboradas en el sector público para efectos de reconocer la pensión por vejez que prevé el Acuerdo 049 de 1990, criterio que resulta aplicable a la reliquidación que se pretende”.</w:t>
      </w:r>
    </w:p>
    <w:p w14:paraId="5B798034" w14:textId="0C2CF6D4" w:rsidR="00063F9A" w:rsidRDefault="00063F9A" w:rsidP="00F806FD">
      <w:pPr>
        <w:spacing w:line="276" w:lineRule="auto"/>
        <w:ind w:left="1134"/>
        <w:rPr>
          <w:rFonts w:ascii="Tahoma" w:hAnsi="Tahoma" w:cs="Tahoma"/>
          <w:i/>
          <w:iCs/>
          <w:sz w:val="22"/>
          <w:szCs w:val="22"/>
        </w:rPr>
      </w:pPr>
    </w:p>
    <w:p w14:paraId="080034E3" w14:textId="203F3649" w:rsidR="00063F9A" w:rsidRPr="00211ABC" w:rsidRDefault="00BA212C" w:rsidP="00F806FD">
      <w:pPr>
        <w:pStyle w:val="Prrafodelista"/>
        <w:numPr>
          <w:ilvl w:val="1"/>
          <w:numId w:val="2"/>
        </w:numPr>
        <w:spacing w:line="276" w:lineRule="auto"/>
        <w:rPr>
          <w:rFonts w:ascii="Tahoma" w:hAnsi="Tahoma" w:cs="Tahoma"/>
          <w:b/>
          <w:bCs/>
        </w:rPr>
      </w:pPr>
      <w:r w:rsidRPr="00211ABC">
        <w:rPr>
          <w:rFonts w:ascii="Tahoma" w:hAnsi="Tahoma" w:cs="Tahoma"/>
          <w:b/>
          <w:bCs/>
        </w:rPr>
        <w:t>De la prescripción.</w:t>
      </w:r>
    </w:p>
    <w:p w14:paraId="34126164" w14:textId="403BD71C" w:rsidR="00BA212C" w:rsidRPr="00211ABC" w:rsidRDefault="00BA212C" w:rsidP="00F806FD">
      <w:pPr>
        <w:pStyle w:val="Prrafodelista"/>
        <w:spacing w:line="276" w:lineRule="auto"/>
        <w:rPr>
          <w:rFonts w:ascii="Tahoma" w:hAnsi="Tahoma" w:cs="Tahoma"/>
        </w:rPr>
      </w:pPr>
    </w:p>
    <w:p w14:paraId="1BF47EB1" w14:textId="024B199A" w:rsidR="00CF169D" w:rsidRPr="00211ABC" w:rsidRDefault="00CF169D" w:rsidP="00F806FD">
      <w:pPr>
        <w:spacing w:line="276" w:lineRule="auto"/>
        <w:ind w:firstLine="360"/>
        <w:rPr>
          <w:rFonts w:ascii="Tahoma" w:hAnsi="Tahoma" w:cs="Tahoma"/>
          <w:i/>
          <w:iCs/>
          <w:sz w:val="22"/>
          <w:szCs w:val="22"/>
        </w:rPr>
      </w:pPr>
      <w:r w:rsidRPr="00211ABC">
        <w:rPr>
          <w:rFonts w:ascii="Tahoma" w:hAnsi="Tahoma" w:cs="Tahoma"/>
        </w:rPr>
        <w:t xml:space="preserve">En torno a la prescripción, el </w:t>
      </w:r>
      <w:r w:rsidR="006E089F" w:rsidRPr="00211ABC">
        <w:rPr>
          <w:rFonts w:ascii="Tahoma" w:hAnsi="Tahoma" w:cs="Tahoma"/>
        </w:rPr>
        <w:t>artículo</w:t>
      </w:r>
      <w:r w:rsidRPr="00211ABC">
        <w:rPr>
          <w:rFonts w:ascii="Tahoma" w:hAnsi="Tahoma" w:cs="Tahoma"/>
        </w:rPr>
        <w:t xml:space="preserve"> 488 del CST dispone </w:t>
      </w:r>
      <w:r w:rsidR="002D2816">
        <w:rPr>
          <w:rFonts w:ascii="Tahoma" w:hAnsi="Tahoma" w:cs="Tahoma"/>
        </w:rPr>
        <w:t xml:space="preserve">como </w:t>
      </w:r>
      <w:r w:rsidRPr="00211ABC">
        <w:rPr>
          <w:rFonts w:ascii="Tahoma" w:hAnsi="Tahoma" w:cs="Tahoma"/>
        </w:rPr>
        <w:t xml:space="preserve">regla general </w:t>
      </w:r>
      <w:r w:rsidR="002D2816">
        <w:rPr>
          <w:rFonts w:ascii="Tahoma" w:hAnsi="Tahoma" w:cs="Tahoma"/>
        </w:rPr>
        <w:t>que</w:t>
      </w:r>
      <w:r w:rsidRPr="00211ABC">
        <w:rPr>
          <w:rFonts w:ascii="Tahoma" w:hAnsi="Tahoma" w:cs="Tahoma"/>
        </w:rPr>
        <w:t xml:space="preserve">: </w:t>
      </w:r>
      <w:bookmarkStart w:id="2" w:name="488"/>
      <w:r w:rsidR="00F2165E" w:rsidRPr="00211ABC">
        <w:rPr>
          <w:rFonts w:ascii="Tahoma" w:hAnsi="Tahoma" w:cs="Tahoma"/>
          <w:b/>
          <w:bCs/>
          <w:i/>
          <w:iCs/>
          <w:sz w:val="22"/>
          <w:szCs w:val="22"/>
        </w:rPr>
        <w:t>“</w:t>
      </w:r>
      <w:bookmarkEnd w:id="2"/>
      <w:r w:rsidRPr="00211ABC">
        <w:rPr>
          <w:rFonts w:ascii="Tahoma" w:hAnsi="Tahoma" w:cs="Tahoma"/>
          <w:i/>
          <w:iCs/>
          <w:sz w:val="22"/>
          <w:szCs w:val="22"/>
        </w:rPr>
        <w:t>Las acciones correspondientes a los derechos regulados en este código prescriben en tres (3) años, que se cuentan desde que la respectiva obligación se haya hecho exigible, salvo en los casos de prescripciones especiales establecidas en el Código Procesal del Trabajo o en el presente estatuto</w:t>
      </w:r>
      <w:r w:rsidR="00F2165E" w:rsidRPr="00211ABC">
        <w:rPr>
          <w:rFonts w:ascii="Tahoma" w:hAnsi="Tahoma" w:cs="Tahoma"/>
          <w:i/>
          <w:iCs/>
          <w:sz w:val="22"/>
          <w:szCs w:val="22"/>
        </w:rPr>
        <w:t>”</w:t>
      </w:r>
      <w:r w:rsidRPr="00211ABC">
        <w:rPr>
          <w:rFonts w:ascii="Tahoma" w:hAnsi="Tahoma" w:cs="Tahoma"/>
          <w:i/>
          <w:iCs/>
          <w:sz w:val="22"/>
          <w:szCs w:val="22"/>
        </w:rPr>
        <w:t>.</w:t>
      </w:r>
    </w:p>
    <w:p w14:paraId="079E7F5B" w14:textId="0BBA788F" w:rsidR="00CF169D" w:rsidRPr="00211ABC" w:rsidRDefault="00CF169D" w:rsidP="00F806FD">
      <w:pPr>
        <w:spacing w:line="276" w:lineRule="auto"/>
        <w:ind w:firstLine="360"/>
        <w:rPr>
          <w:rFonts w:ascii="Tahoma" w:hAnsi="Tahoma" w:cs="Tahoma"/>
        </w:rPr>
      </w:pPr>
      <w:bookmarkStart w:id="3" w:name="489"/>
    </w:p>
    <w:p w14:paraId="5963B8EC" w14:textId="07B8A952" w:rsidR="00F2165E" w:rsidRPr="00211ABC" w:rsidRDefault="002D2816" w:rsidP="00F806FD">
      <w:pPr>
        <w:spacing w:line="276" w:lineRule="auto"/>
        <w:ind w:firstLine="360"/>
        <w:rPr>
          <w:rFonts w:ascii="Tahoma" w:hAnsi="Tahoma" w:cs="Tahoma"/>
          <w:i/>
          <w:iCs/>
          <w:sz w:val="22"/>
          <w:szCs w:val="22"/>
        </w:rPr>
      </w:pPr>
      <w:r>
        <w:rPr>
          <w:rFonts w:ascii="Tahoma" w:hAnsi="Tahoma" w:cs="Tahoma"/>
        </w:rPr>
        <w:t xml:space="preserve">Por su parte, </w:t>
      </w:r>
      <w:r w:rsidR="00F2165E" w:rsidRPr="00211ABC">
        <w:rPr>
          <w:rFonts w:ascii="Tahoma" w:hAnsi="Tahoma" w:cs="Tahoma"/>
        </w:rPr>
        <w:t>el Art. 151 del CPTSS a su vez señala que</w:t>
      </w:r>
      <w:r>
        <w:rPr>
          <w:rFonts w:ascii="Tahoma" w:hAnsi="Tahoma" w:cs="Tahoma"/>
        </w:rPr>
        <w:t xml:space="preserve"> </w:t>
      </w:r>
      <w:bookmarkStart w:id="4" w:name="151"/>
      <w:r w:rsidR="00F2165E" w:rsidRPr="00211ABC">
        <w:rPr>
          <w:rFonts w:ascii="Tahoma" w:hAnsi="Tahoma" w:cs="Tahoma"/>
          <w:i/>
          <w:iCs/>
          <w:sz w:val="22"/>
          <w:szCs w:val="22"/>
        </w:rPr>
        <w:t>“</w:t>
      </w:r>
      <w:bookmarkEnd w:id="4"/>
      <w:r w:rsidR="00F2165E" w:rsidRPr="00211ABC">
        <w:rPr>
          <w:rFonts w:ascii="Tahoma" w:hAnsi="Tahoma" w:cs="Tahoma"/>
          <w:i/>
          <w:iCs/>
          <w:sz w:val="22"/>
          <w:szCs w:val="22"/>
        </w:rPr>
        <w:t xml:space="preserve">Las acciones que emanen de las leyes sociales prescribirán en tres años, que se contarán desde que la respectiva obligación se haya hecho exigible. El simple reclamo escrito del trabajador, recibido por el {empleador}, sobre un derecho o prestación debidamente determinado, interrumpirá la </w:t>
      </w:r>
      <w:r w:rsidR="00AB1E45" w:rsidRPr="00211ABC">
        <w:rPr>
          <w:rFonts w:ascii="Tahoma" w:hAnsi="Tahoma" w:cs="Tahoma"/>
          <w:i/>
          <w:iCs/>
          <w:sz w:val="22"/>
          <w:szCs w:val="22"/>
        </w:rPr>
        <w:t>prescripción,</w:t>
      </w:r>
      <w:r w:rsidR="00F2165E" w:rsidRPr="00211ABC">
        <w:rPr>
          <w:rFonts w:ascii="Tahoma" w:hAnsi="Tahoma" w:cs="Tahoma"/>
          <w:i/>
          <w:iCs/>
          <w:sz w:val="22"/>
          <w:szCs w:val="22"/>
        </w:rPr>
        <w:t xml:space="preserve"> pero sólo por un lapso igual”.</w:t>
      </w:r>
    </w:p>
    <w:p w14:paraId="0BAFC8A4" w14:textId="71B0E203" w:rsidR="00F2165E" w:rsidRPr="00211ABC" w:rsidRDefault="00F2165E" w:rsidP="00F806FD">
      <w:pPr>
        <w:spacing w:line="276" w:lineRule="auto"/>
        <w:ind w:firstLine="360"/>
        <w:rPr>
          <w:rFonts w:ascii="Tahoma" w:hAnsi="Tahoma" w:cs="Tahoma"/>
        </w:rPr>
      </w:pPr>
    </w:p>
    <w:p w14:paraId="57662C4A" w14:textId="073C158B" w:rsidR="00CF169D" w:rsidRPr="00211ABC" w:rsidRDefault="006E089F" w:rsidP="00F806FD">
      <w:pPr>
        <w:spacing w:line="276" w:lineRule="auto"/>
        <w:ind w:firstLine="360"/>
        <w:rPr>
          <w:rFonts w:ascii="Tahoma" w:hAnsi="Tahoma" w:cs="Tahoma"/>
          <w:i/>
          <w:iCs/>
          <w:sz w:val="22"/>
          <w:szCs w:val="22"/>
        </w:rPr>
      </w:pPr>
      <w:r w:rsidRPr="00211ABC">
        <w:rPr>
          <w:rFonts w:ascii="Tahoma" w:hAnsi="Tahoma" w:cs="Tahoma"/>
        </w:rPr>
        <w:t xml:space="preserve">Ahora, </w:t>
      </w:r>
      <w:r w:rsidR="00CF169D" w:rsidRPr="00211ABC">
        <w:rPr>
          <w:rFonts w:ascii="Tahoma" w:hAnsi="Tahoma" w:cs="Tahoma"/>
        </w:rPr>
        <w:t xml:space="preserve">la interrupción de </w:t>
      </w:r>
      <w:r w:rsidR="008C4427" w:rsidRPr="00211ABC">
        <w:rPr>
          <w:rFonts w:ascii="Tahoma" w:hAnsi="Tahoma" w:cs="Tahoma"/>
        </w:rPr>
        <w:t>dicho fenómeno</w:t>
      </w:r>
      <w:r w:rsidR="00CF169D" w:rsidRPr="00211ABC">
        <w:rPr>
          <w:rFonts w:ascii="Tahoma" w:hAnsi="Tahoma" w:cs="Tahoma"/>
        </w:rPr>
        <w:t xml:space="preserve">, </w:t>
      </w:r>
      <w:r w:rsidR="00F2165E" w:rsidRPr="00211ABC">
        <w:rPr>
          <w:rFonts w:ascii="Tahoma" w:hAnsi="Tahoma" w:cs="Tahoma"/>
        </w:rPr>
        <w:t xml:space="preserve">la </w:t>
      </w:r>
      <w:r w:rsidR="00CF169D" w:rsidRPr="00211ABC">
        <w:rPr>
          <w:rFonts w:ascii="Tahoma" w:hAnsi="Tahoma" w:cs="Tahoma"/>
        </w:rPr>
        <w:t>establece</w:t>
      </w:r>
      <w:r w:rsidRPr="00211ABC">
        <w:rPr>
          <w:rFonts w:ascii="Tahoma" w:hAnsi="Tahoma" w:cs="Tahoma"/>
        </w:rPr>
        <w:t xml:space="preserve"> el artículo 489 </w:t>
      </w:r>
      <w:r w:rsidR="008C4427" w:rsidRPr="00211ABC">
        <w:rPr>
          <w:rFonts w:ascii="Tahoma" w:hAnsi="Tahoma" w:cs="Tahoma"/>
        </w:rPr>
        <w:t>CST</w:t>
      </w:r>
      <w:r w:rsidR="00F2165E" w:rsidRPr="00211ABC">
        <w:rPr>
          <w:rFonts w:ascii="Tahoma" w:hAnsi="Tahoma" w:cs="Tahoma"/>
        </w:rPr>
        <w:t xml:space="preserve">, </w:t>
      </w:r>
      <w:r w:rsidR="00B716AE">
        <w:rPr>
          <w:rFonts w:ascii="Tahoma" w:hAnsi="Tahoma" w:cs="Tahoma"/>
        </w:rPr>
        <w:t xml:space="preserve">indicando que: </w:t>
      </w:r>
      <w:r w:rsidR="00F2165E" w:rsidRPr="00211ABC">
        <w:rPr>
          <w:rFonts w:ascii="Tahoma" w:hAnsi="Tahoma" w:cs="Tahoma"/>
          <w:i/>
          <w:iCs/>
          <w:sz w:val="22"/>
          <w:szCs w:val="22"/>
        </w:rPr>
        <w:t>“</w:t>
      </w:r>
      <w:bookmarkEnd w:id="3"/>
      <w:r w:rsidR="00CF169D" w:rsidRPr="00211ABC">
        <w:rPr>
          <w:rFonts w:ascii="Tahoma" w:hAnsi="Tahoma" w:cs="Tahoma"/>
          <w:i/>
          <w:iCs/>
          <w:sz w:val="22"/>
          <w:szCs w:val="22"/>
        </w:rPr>
        <w:t xml:space="preserve">El simple reclamo escrito del trabajador, recibido por el {empleador}, acerca de un derecho debidamente determinado, </w:t>
      </w:r>
      <w:r w:rsidR="00CF169D" w:rsidRPr="00211ABC">
        <w:rPr>
          <w:rFonts w:ascii="Tahoma" w:hAnsi="Tahoma" w:cs="Tahoma"/>
          <w:i/>
          <w:iCs/>
          <w:sz w:val="22"/>
          <w:szCs w:val="22"/>
          <w:u w:val="single"/>
        </w:rPr>
        <w:t>interrumpe la prescripción por una sola vez</w:t>
      </w:r>
      <w:r w:rsidR="00CF169D" w:rsidRPr="00211ABC">
        <w:rPr>
          <w:rFonts w:ascii="Tahoma" w:hAnsi="Tahoma" w:cs="Tahoma"/>
          <w:i/>
          <w:iCs/>
          <w:sz w:val="22"/>
          <w:szCs w:val="22"/>
        </w:rPr>
        <w:t>, la cual principia a contarse de nuevo a partir del reclamo y por un lapso igual al señalado para la prescripción correspondiente.</w:t>
      </w:r>
    </w:p>
    <w:p w14:paraId="76DD81FD" w14:textId="77777777" w:rsidR="00CA4C8A" w:rsidRPr="00211ABC" w:rsidRDefault="00CA4C8A" w:rsidP="00F806FD">
      <w:pPr>
        <w:spacing w:line="276" w:lineRule="auto"/>
        <w:ind w:firstLine="360"/>
        <w:rPr>
          <w:rFonts w:ascii="Tahoma" w:hAnsi="Tahoma" w:cs="Tahoma"/>
        </w:rPr>
      </w:pPr>
      <w:bookmarkStart w:id="5" w:name="6"/>
    </w:p>
    <w:p w14:paraId="499BC128" w14:textId="0C2B7507" w:rsidR="00AE123A" w:rsidRPr="00211ABC" w:rsidRDefault="00AE123A" w:rsidP="00F806FD">
      <w:pPr>
        <w:spacing w:line="276" w:lineRule="auto"/>
        <w:ind w:firstLine="360"/>
        <w:rPr>
          <w:rFonts w:ascii="Tahoma" w:hAnsi="Tahoma" w:cs="Tahoma"/>
          <w:i/>
          <w:iCs/>
          <w:sz w:val="22"/>
          <w:szCs w:val="22"/>
        </w:rPr>
      </w:pPr>
      <w:bookmarkStart w:id="6" w:name="_Hlk58442106"/>
      <w:bookmarkEnd w:id="5"/>
      <w:r w:rsidRPr="00211ABC">
        <w:rPr>
          <w:rFonts w:ascii="Tahoma" w:hAnsi="Tahoma" w:cs="Tahoma"/>
        </w:rPr>
        <w:t xml:space="preserve">De otro lado, frente a las reclamaciones administrativas </w:t>
      </w:r>
      <w:r w:rsidR="008C4427" w:rsidRPr="00211ABC">
        <w:rPr>
          <w:rFonts w:ascii="Tahoma" w:hAnsi="Tahoma" w:cs="Tahoma"/>
        </w:rPr>
        <w:t>formuladas</w:t>
      </w:r>
      <w:r w:rsidRPr="00211ABC">
        <w:rPr>
          <w:rFonts w:ascii="Tahoma" w:hAnsi="Tahoma" w:cs="Tahoma"/>
        </w:rPr>
        <w:t xml:space="preserve"> ante las entidades públicas, </w:t>
      </w:r>
      <w:r w:rsidR="008C4427" w:rsidRPr="00211ABC">
        <w:rPr>
          <w:rFonts w:ascii="Tahoma" w:hAnsi="Tahoma" w:cs="Tahoma"/>
        </w:rPr>
        <w:t xml:space="preserve">están reguladas en el </w:t>
      </w:r>
      <w:r w:rsidR="002F7224" w:rsidRPr="00211ABC">
        <w:rPr>
          <w:rFonts w:ascii="Tahoma" w:hAnsi="Tahoma" w:cs="Tahoma"/>
        </w:rPr>
        <w:t>artículo</w:t>
      </w:r>
      <w:r w:rsidR="008C4427" w:rsidRPr="00211ABC">
        <w:rPr>
          <w:rFonts w:ascii="Tahoma" w:hAnsi="Tahoma" w:cs="Tahoma"/>
        </w:rPr>
        <w:t xml:space="preserve"> 6to del </w:t>
      </w:r>
      <w:r w:rsidRPr="00211ABC">
        <w:rPr>
          <w:rFonts w:ascii="Tahoma" w:hAnsi="Tahoma" w:cs="Tahoma"/>
        </w:rPr>
        <w:t>CPTSS</w:t>
      </w:r>
      <w:r w:rsidR="008C4427" w:rsidRPr="00211ABC">
        <w:rPr>
          <w:rFonts w:ascii="Tahoma" w:hAnsi="Tahoma" w:cs="Tahoma"/>
        </w:rPr>
        <w:t xml:space="preserve"> </w:t>
      </w:r>
      <w:r w:rsidR="00B716AE">
        <w:rPr>
          <w:rFonts w:ascii="Tahoma" w:hAnsi="Tahoma" w:cs="Tahoma"/>
        </w:rPr>
        <w:t>indicando que</w:t>
      </w:r>
      <w:r w:rsidRPr="00211ABC">
        <w:rPr>
          <w:rFonts w:ascii="Tahoma" w:hAnsi="Tahoma" w:cs="Tahoma"/>
        </w:rPr>
        <w:t>:</w:t>
      </w:r>
      <w:r w:rsidR="00B716AE">
        <w:rPr>
          <w:rFonts w:ascii="Tahoma" w:hAnsi="Tahoma" w:cs="Tahoma"/>
        </w:rPr>
        <w:t xml:space="preserve"> </w:t>
      </w:r>
      <w:bookmarkEnd w:id="6"/>
      <w:r w:rsidR="004B3445" w:rsidRPr="00211ABC">
        <w:rPr>
          <w:rFonts w:ascii="Tahoma" w:hAnsi="Tahoma" w:cs="Tahoma"/>
          <w:i/>
          <w:iCs/>
          <w:sz w:val="22"/>
          <w:szCs w:val="22"/>
        </w:rPr>
        <w:t>“</w:t>
      </w:r>
      <w:r w:rsidRPr="00211ABC">
        <w:rPr>
          <w:rFonts w:ascii="Tahoma" w:hAnsi="Tahoma" w:cs="Tahoma"/>
          <w:i/>
          <w:iCs/>
          <w:sz w:val="22"/>
          <w:szCs w:val="22"/>
        </w:rPr>
        <w:t>Las acciones contenciosas contra la Nación, las entidades territoriales y cualquiera otra entidad de la administración pública sólo podrán iniciarse cuando se haya agotado la reclamación administrativa. Esta reclamación consiste en el simple reclamo escrito del servidor público o trabajador sobre el derecho que pretenda, y se agota cuando se haya decidido o cuando transcurrido un mes desde su presentación no ha sido resuelta.</w:t>
      </w:r>
      <w:r w:rsidR="00B716AE">
        <w:rPr>
          <w:rFonts w:ascii="Tahoma" w:hAnsi="Tahoma" w:cs="Tahoma"/>
          <w:i/>
          <w:iCs/>
          <w:sz w:val="22"/>
          <w:szCs w:val="22"/>
        </w:rPr>
        <w:t xml:space="preserve"> (…) </w:t>
      </w:r>
      <w:r w:rsidRPr="00211ABC">
        <w:rPr>
          <w:rFonts w:ascii="Tahoma" w:hAnsi="Tahoma" w:cs="Tahoma"/>
          <w:i/>
          <w:iCs/>
          <w:sz w:val="22"/>
          <w:szCs w:val="22"/>
        </w:rPr>
        <w:t>Mientras esté pendiente el agotamiento de la reclamación administrativa se suspende el término de prescripción de la respectiva acción.</w:t>
      </w:r>
      <w:r w:rsidR="004B3445" w:rsidRPr="00211ABC">
        <w:rPr>
          <w:rFonts w:ascii="Tahoma" w:hAnsi="Tahoma" w:cs="Tahoma"/>
          <w:i/>
          <w:iCs/>
          <w:sz w:val="22"/>
          <w:szCs w:val="22"/>
        </w:rPr>
        <w:t xml:space="preserve"> </w:t>
      </w:r>
      <w:r w:rsidRPr="00211ABC">
        <w:rPr>
          <w:rFonts w:ascii="Tahoma" w:hAnsi="Tahoma" w:cs="Tahoma"/>
          <w:i/>
          <w:iCs/>
          <w:sz w:val="22"/>
          <w:szCs w:val="22"/>
        </w:rPr>
        <w:t>(…)</w:t>
      </w:r>
      <w:r w:rsidR="00B716AE">
        <w:rPr>
          <w:rFonts w:ascii="Tahoma" w:hAnsi="Tahoma" w:cs="Tahoma"/>
          <w:i/>
          <w:iCs/>
          <w:sz w:val="22"/>
          <w:szCs w:val="22"/>
        </w:rPr>
        <w:t>”</w:t>
      </w:r>
    </w:p>
    <w:p w14:paraId="19118B5C" w14:textId="28045419" w:rsidR="00646D3F" w:rsidRPr="00211ABC" w:rsidRDefault="00646D3F" w:rsidP="00F806FD">
      <w:pPr>
        <w:spacing w:line="276" w:lineRule="auto"/>
        <w:ind w:left="1134"/>
        <w:rPr>
          <w:rFonts w:ascii="Tahoma" w:hAnsi="Tahoma" w:cs="Tahoma"/>
        </w:rPr>
      </w:pPr>
    </w:p>
    <w:p w14:paraId="532EEE5B" w14:textId="568B9EE9" w:rsidR="00244881" w:rsidRPr="00211ABC" w:rsidRDefault="002F7224" w:rsidP="00F806FD">
      <w:pPr>
        <w:spacing w:line="276" w:lineRule="auto"/>
        <w:ind w:firstLine="360"/>
        <w:rPr>
          <w:rFonts w:ascii="Tahoma" w:hAnsi="Tahoma" w:cs="Tahoma"/>
        </w:rPr>
      </w:pPr>
      <w:r w:rsidRPr="00211ABC">
        <w:rPr>
          <w:rFonts w:ascii="Tahoma" w:hAnsi="Tahoma" w:cs="Tahoma"/>
        </w:rPr>
        <w:t xml:space="preserve">Frente </w:t>
      </w:r>
      <w:r w:rsidR="004163E0" w:rsidRPr="00211ABC">
        <w:rPr>
          <w:rFonts w:ascii="Tahoma" w:hAnsi="Tahoma" w:cs="Tahoma"/>
        </w:rPr>
        <w:t>a dicho fenómeno</w:t>
      </w:r>
      <w:r w:rsidRPr="00211ABC">
        <w:rPr>
          <w:rFonts w:ascii="Tahoma" w:hAnsi="Tahoma" w:cs="Tahoma"/>
        </w:rPr>
        <w:t xml:space="preserve">, </w:t>
      </w:r>
      <w:r w:rsidR="008E537E" w:rsidRPr="00211ABC">
        <w:rPr>
          <w:rFonts w:ascii="Tahoma" w:hAnsi="Tahoma" w:cs="Tahoma"/>
        </w:rPr>
        <w:t xml:space="preserve">en Sentencia </w:t>
      </w:r>
      <w:r w:rsidR="00244881" w:rsidRPr="00211ABC">
        <w:rPr>
          <w:rFonts w:ascii="Tahoma" w:hAnsi="Tahoma" w:cs="Tahoma"/>
        </w:rPr>
        <w:t>SL12900-2014 M.P. Dra. Elsy del Pilar Cuello Calderón, puntualiz</w:t>
      </w:r>
      <w:r w:rsidR="003D6CD9">
        <w:rPr>
          <w:rFonts w:ascii="Tahoma" w:hAnsi="Tahoma" w:cs="Tahoma"/>
        </w:rPr>
        <w:t>a</w:t>
      </w:r>
      <w:r w:rsidR="00244881" w:rsidRPr="00211ABC">
        <w:rPr>
          <w:rFonts w:ascii="Tahoma" w:hAnsi="Tahoma" w:cs="Tahoma"/>
        </w:rPr>
        <w:t>:</w:t>
      </w:r>
    </w:p>
    <w:p w14:paraId="2D83EB87" w14:textId="38EF6B0B" w:rsidR="002F7224" w:rsidRPr="00211ABC" w:rsidRDefault="002F7224" w:rsidP="00F806FD">
      <w:pPr>
        <w:spacing w:line="276" w:lineRule="auto"/>
        <w:ind w:left="1134"/>
        <w:rPr>
          <w:rFonts w:ascii="Tahoma" w:hAnsi="Tahoma" w:cs="Tahoma"/>
        </w:rPr>
      </w:pPr>
    </w:p>
    <w:p w14:paraId="5D8D9438" w14:textId="7FDA7B22" w:rsidR="002F7224" w:rsidRPr="000B062C" w:rsidRDefault="006D01D9" w:rsidP="000B062C">
      <w:pPr>
        <w:spacing w:line="240" w:lineRule="auto"/>
        <w:ind w:left="426" w:right="420"/>
        <w:rPr>
          <w:rFonts w:ascii="Tahoma" w:hAnsi="Tahoma" w:cs="Tahoma"/>
          <w:i/>
          <w:iCs/>
          <w:sz w:val="22"/>
          <w:szCs w:val="22"/>
        </w:rPr>
      </w:pPr>
      <w:r w:rsidRPr="000B062C">
        <w:rPr>
          <w:rFonts w:ascii="Tahoma" w:hAnsi="Tahoma" w:cs="Tahoma"/>
          <w:i/>
          <w:iCs/>
          <w:sz w:val="22"/>
          <w:szCs w:val="22"/>
        </w:rPr>
        <w:t>“…</w:t>
      </w:r>
      <w:r w:rsidR="002F7224" w:rsidRPr="000B062C">
        <w:rPr>
          <w:rFonts w:ascii="Tahoma" w:hAnsi="Tahoma" w:cs="Tahoma"/>
          <w:i/>
          <w:iCs/>
          <w:sz w:val="22"/>
          <w:szCs w:val="22"/>
        </w:rPr>
        <w:t>quien aspira a que dicho fenómeno no se consolide, en los términos del artículo 489 del Código Procesal del Trabajo y de la Seguridad Social, debe realizar un «simple reclamo escrito… recibido por el patrono acerca de un derecho debidamente determinado», cuya consecuencia jurídica es la de que «interrumpe la prescripción por una sola vez, la cual principia a contarse de nuevo a partir del reclamo y por un lapso igual al señalado para la prescripción correspondiente».</w:t>
      </w:r>
    </w:p>
    <w:p w14:paraId="1B7C1717" w14:textId="77777777" w:rsidR="002F7224" w:rsidRPr="000B062C" w:rsidRDefault="002F7224" w:rsidP="000B062C">
      <w:pPr>
        <w:spacing w:line="240" w:lineRule="auto"/>
        <w:ind w:left="426" w:right="420"/>
        <w:rPr>
          <w:rFonts w:ascii="Tahoma" w:hAnsi="Tahoma" w:cs="Tahoma"/>
          <w:i/>
          <w:iCs/>
          <w:sz w:val="22"/>
          <w:szCs w:val="22"/>
        </w:rPr>
      </w:pPr>
    </w:p>
    <w:p w14:paraId="028E92AB" w14:textId="77777777" w:rsidR="002F7224" w:rsidRPr="000B062C" w:rsidRDefault="002F7224" w:rsidP="000B062C">
      <w:pPr>
        <w:spacing w:line="240" w:lineRule="auto"/>
        <w:ind w:left="426" w:right="420"/>
        <w:rPr>
          <w:rFonts w:ascii="Tahoma" w:hAnsi="Tahoma" w:cs="Tahoma"/>
          <w:i/>
          <w:iCs/>
          <w:sz w:val="22"/>
          <w:szCs w:val="22"/>
        </w:rPr>
      </w:pPr>
      <w:r w:rsidRPr="000B062C">
        <w:rPr>
          <w:rFonts w:ascii="Tahoma" w:hAnsi="Tahoma" w:cs="Tahoma"/>
          <w:i/>
          <w:iCs/>
          <w:sz w:val="22"/>
          <w:szCs w:val="22"/>
        </w:rPr>
        <w:t xml:space="preserve">Las connotaciones de «simple reclamo» y de derecho «debidamente determinado» son inequívocas de la informalidad en la petición, máxime cuando quien la dirige es el trabajador, por lo que la exigencia de un lenguaje o conocimiento jurídico en punto a su aspiración no se corresponde con el interés normativo. </w:t>
      </w:r>
    </w:p>
    <w:p w14:paraId="329D5E46" w14:textId="77777777" w:rsidR="002F7224" w:rsidRPr="000B062C" w:rsidRDefault="002F7224" w:rsidP="000B062C">
      <w:pPr>
        <w:spacing w:line="240" w:lineRule="auto"/>
        <w:ind w:left="426" w:right="420"/>
        <w:rPr>
          <w:rFonts w:ascii="Tahoma" w:hAnsi="Tahoma" w:cs="Tahoma"/>
          <w:i/>
          <w:iCs/>
          <w:sz w:val="22"/>
          <w:szCs w:val="22"/>
        </w:rPr>
      </w:pPr>
    </w:p>
    <w:p w14:paraId="5A366717" w14:textId="7B9A626F" w:rsidR="002F7224" w:rsidRPr="000B062C" w:rsidRDefault="002F7224" w:rsidP="000B062C">
      <w:pPr>
        <w:spacing w:line="240" w:lineRule="auto"/>
        <w:ind w:left="426" w:right="420"/>
        <w:rPr>
          <w:rFonts w:ascii="Tahoma" w:hAnsi="Tahoma" w:cs="Tahoma"/>
          <w:i/>
          <w:iCs/>
          <w:sz w:val="22"/>
          <w:szCs w:val="22"/>
        </w:rPr>
      </w:pPr>
      <w:r w:rsidRPr="000B062C">
        <w:rPr>
          <w:rFonts w:ascii="Tahoma" w:hAnsi="Tahoma" w:cs="Tahoma"/>
          <w:i/>
          <w:iCs/>
          <w:sz w:val="22"/>
          <w:szCs w:val="22"/>
        </w:rPr>
        <w:t>Lo anterior no se contrapone a que se individualice lo reclamado; por ejemplo, indicar que se deben «todas la</w:t>
      </w:r>
      <w:r w:rsidR="00F13AB4" w:rsidRPr="000B062C">
        <w:rPr>
          <w:rFonts w:ascii="Tahoma" w:hAnsi="Tahoma" w:cs="Tahoma"/>
          <w:i/>
          <w:iCs/>
          <w:sz w:val="22"/>
          <w:szCs w:val="22"/>
        </w:rPr>
        <w:t>s</w:t>
      </w:r>
      <w:r w:rsidRPr="000B062C">
        <w:rPr>
          <w:rFonts w:ascii="Tahoma" w:hAnsi="Tahoma" w:cs="Tahoma"/>
          <w:i/>
          <w:iCs/>
          <w:sz w:val="22"/>
          <w:szCs w:val="22"/>
        </w:rPr>
        <w:t xml:space="preserve"> indemnizaciones a las que haya lugar» resulta abstracto y no le permite conocer al empleador la real pretensión del trabajador; sin embargo, ello no pued</w:t>
      </w:r>
      <w:r w:rsidR="003D6CD9" w:rsidRPr="000B062C">
        <w:rPr>
          <w:rFonts w:ascii="Tahoma" w:hAnsi="Tahoma" w:cs="Tahoma"/>
          <w:i/>
          <w:iCs/>
          <w:sz w:val="22"/>
          <w:szCs w:val="22"/>
        </w:rPr>
        <w:t>e</w:t>
      </w:r>
      <w:r w:rsidRPr="000B062C">
        <w:rPr>
          <w:rFonts w:ascii="Tahoma" w:hAnsi="Tahoma" w:cs="Tahoma"/>
          <w:i/>
          <w:iCs/>
          <w:sz w:val="22"/>
          <w:szCs w:val="22"/>
        </w:rPr>
        <w:t xml:space="preserve"> implicar la exigencia de un reclamo tan pormenorizado y técnico que consiga anular en la práctica la incidencia del escrito de interrupción”.</w:t>
      </w:r>
    </w:p>
    <w:p w14:paraId="53EA4608" w14:textId="77777777" w:rsidR="002F7224" w:rsidRPr="00211ABC" w:rsidRDefault="002F7224" w:rsidP="00F806FD">
      <w:pPr>
        <w:spacing w:line="276" w:lineRule="auto"/>
        <w:rPr>
          <w:rFonts w:ascii="Tahoma" w:hAnsi="Tahoma" w:cs="Tahoma"/>
        </w:rPr>
      </w:pPr>
    </w:p>
    <w:p w14:paraId="511C19DE" w14:textId="24A92500" w:rsidR="00646D3F" w:rsidRPr="00211ABC" w:rsidRDefault="00AC65AD" w:rsidP="00F806FD">
      <w:pPr>
        <w:pStyle w:val="Prrafodelista"/>
        <w:numPr>
          <w:ilvl w:val="1"/>
          <w:numId w:val="2"/>
        </w:numPr>
        <w:spacing w:line="276" w:lineRule="auto"/>
        <w:rPr>
          <w:rFonts w:ascii="Tahoma" w:hAnsi="Tahoma" w:cs="Tahoma"/>
          <w:b/>
          <w:bCs/>
        </w:rPr>
      </w:pPr>
      <w:r w:rsidRPr="00211ABC">
        <w:rPr>
          <w:rFonts w:ascii="Tahoma" w:hAnsi="Tahoma" w:cs="Tahoma"/>
          <w:b/>
          <w:bCs/>
        </w:rPr>
        <w:t>Caso concreto.</w:t>
      </w:r>
    </w:p>
    <w:p w14:paraId="07FD45F9" w14:textId="1A721430" w:rsidR="00AC65AD" w:rsidRPr="00211ABC" w:rsidRDefault="00AC65AD" w:rsidP="00F806FD">
      <w:pPr>
        <w:spacing w:line="276" w:lineRule="auto"/>
        <w:rPr>
          <w:rFonts w:ascii="Tahoma" w:hAnsi="Tahoma" w:cs="Tahoma"/>
        </w:rPr>
      </w:pPr>
    </w:p>
    <w:p w14:paraId="010A0B22" w14:textId="12A9087A" w:rsidR="00091102" w:rsidRPr="00211ABC" w:rsidRDefault="00091102" w:rsidP="00F806FD">
      <w:pPr>
        <w:spacing w:line="276" w:lineRule="auto"/>
        <w:rPr>
          <w:rFonts w:ascii="Tahoma" w:hAnsi="Tahoma" w:cs="Tahoma"/>
        </w:rPr>
      </w:pPr>
      <w:r w:rsidRPr="00211ABC">
        <w:rPr>
          <w:rFonts w:ascii="Tahoma" w:hAnsi="Tahoma" w:cs="Tahoma"/>
        </w:rPr>
        <w:tab/>
        <w:t xml:space="preserve">Para arribar al estudio de la prescripción, se tiene que </w:t>
      </w:r>
      <w:r w:rsidR="00B5409B" w:rsidRPr="00211ABC">
        <w:rPr>
          <w:rFonts w:ascii="Tahoma" w:hAnsi="Tahoma" w:cs="Tahoma"/>
        </w:rPr>
        <w:t xml:space="preserve">en el presente asunto el actor radicó la </w:t>
      </w:r>
      <w:r w:rsidRPr="00211ABC">
        <w:rPr>
          <w:rFonts w:ascii="Tahoma" w:hAnsi="Tahoma" w:cs="Tahoma"/>
        </w:rPr>
        <w:t xml:space="preserve">petición pensional el </w:t>
      </w:r>
      <w:r w:rsidRPr="00211ABC">
        <w:rPr>
          <w:rFonts w:ascii="Tahoma" w:hAnsi="Tahoma" w:cs="Tahoma"/>
          <w:b/>
          <w:bCs/>
        </w:rPr>
        <w:t>25-09-2011</w:t>
      </w:r>
      <w:r w:rsidRPr="00211ABC">
        <w:rPr>
          <w:rFonts w:ascii="Tahoma" w:hAnsi="Tahoma" w:cs="Tahoma"/>
        </w:rPr>
        <w:t xml:space="preserve">. Dicha prestación fue resuelta negativamente por resolución </w:t>
      </w:r>
      <w:r w:rsidRPr="00211ABC">
        <w:rPr>
          <w:rFonts w:ascii="Tahoma" w:hAnsi="Tahoma" w:cs="Tahoma"/>
          <w:b/>
          <w:bCs/>
        </w:rPr>
        <w:t>GNR231307</w:t>
      </w:r>
      <w:r w:rsidRPr="00211ABC">
        <w:rPr>
          <w:rFonts w:ascii="Tahoma" w:hAnsi="Tahoma" w:cs="Tahoma"/>
        </w:rPr>
        <w:t xml:space="preserve"> del </w:t>
      </w:r>
      <w:r w:rsidR="006931D7" w:rsidRPr="00211ABC">
        <w:rPr>
          <w:rFonts w:ascii="Tahoma" w:hAnsi="Tahoma" w:cs="Tahoma"/>
          <w:b/>
          <w:bCs/>
        </w:rPr>
        <w:t>11-09-2013</w:t>
      </w:r>
      <w:r w:rsidR="006931D7" w:rsidRPr="00211ABC">
        <w:rPr>
          <w:rFonts w:ascii="Tahoma" w:hAnsi="Tahoma" w:cs="Tahoma"/>
        </w:rPr>
        <w:t xml:space="preserve"> </w:t>
      </w:r>
      <w:r w:rsidR="003D6CD9">
        <w:rPr>
          <w:rFonts w:ascii="Tahoma" w:hAnsi="Tahoma" w:cs="Tahoma"/>
        </w:rPr>
        <w:t xml:space="preserve">y </w:t>
      </w:r>
      <w:r w:rsidR="006931D7" w:rsidRPr="00211ABC">
        <w:rPr>
          <w:rFonts w:ascii="Tahoma" w:hAnsi="Tahoma" w:cs="Tahoma"/>
        </w:rPr>
        <w:t xml:space="preserve">notificada el </w:t>
      </w:r>
      <w:r w:rsidR="006931D7" w:rsidRPr="00211ABC">
        <w:rPr>
          <w:rFonts w:ascii="Tahoma" w:hAnsi="Tahoma" w:cs="Tahoma"/>
          <w:b/>
          <w:bCs/>
        </w:rPr>
        <w:t>27-09-2013</w:t>
      </w:r>
      <w:r w:rsidR="00395C0C" w:rsidRPr="00211ABC">
        <w:rPr>
          <w:rFonts w:ascii="Tahoma" w:hAnsi="Tahoma" w:cs="Tahoma"/>
          <w:b/>
          <w:bCs/>
        </w:rPr>
        <w:t xml:space="preserve"> </w:t>
      </w:r>
      <w:r w:rsidR="00395C0C" w:rsidRPr="00211ABC">
        <w:rPr>
          <w:rFonts w:ascii="Tahoma" w:hAnsi="Tahoma" w:cs="Tahoma"/>
        </w:rPr>
        <w:t>[</w:t>
      </w:r>
      <w:proofErr w:type="spellStart"/>
      <w:r w:rsidR="00395C0C" w:rsidRPr="00211ABC">
        <w:rPr>
          <w:rFonts w:ascii="Tahoma" w:hAnsi="Tahoma" w:cs="Tahoma"/>
        </w:rPr>
        <w:t>fls</w:t>
      </w:r>
      <w:proofErr w:type="spellEnd"/>
      <w:r w:rsidR="00395C0C" w:rsidRPr="00211ABC">
        <w:rPr>
          <w:rFonts w:ascii="Tahoma" w:hAnsi="Tahoma" w:cs="Tahoma"/>
        </w:rPr>
        <w:t xml:space="preserve">. 68-70 revés]. </w:t>
      </w:r>
      <w:r w:rsidR="002E00C3">
        <w:rPr>
          <w:rFonts w:ascii="Tahoma" w:hAnsi="Tahoma" w:cs="Tahoma"/>
        </w:rPr>
        <w:t>Ahora, e</w:t>
      </w:r>
      <w:r w:rsidR="00395C0C" w:rsidRPr="00211ABC">
        <w:rPr>
          <w:rFonts w:ascii="Tahoma" w:hAnsi="Tahoma" w:cs="Tahoma"/>
        </w:rPr>
        <w:t xml:space="preserve">l recurso de apelación fue presentado el </w:t>
      </w:r>
      <w:r w:rsidR="00395C0C" w:rsidRPr="00211ABC">
        <w:rPr>
          <w:rFonts w:ascii="Tahoma" w:hAnsi="Tahoma" w:cs="Tahoma"/>
          <w:b/>
          <w:bCs/>
        </w:rPr>
        <w:t xml:space="preserve">11-10-2013 </w:t>
      </w:r>
      <w:r w:rsidR="00395C0C" w:rsidRPr="00211ABC">
        <w:rPr>
          <w:rFonts w:ascii="Tahoma" w:hAnsi="Tahoma" w:cs="Tahoma"/>
        </w:rPr>
        <w:t>[</w:t>
      </w:r>
      <w:proofErr w:type="spellStart"/>
      <w:r w:rsidR="00395C0C" w:rsidRPr="00211ABC">
        <w:rPr>
          <w:rFonts w:ascii="Tahoma" w:hAnsi="Tahoma" w:cs="Tahoma"/>
        </w:rPr>
        <w:t>fl</w:t>
      </w:r>
      <w:proofErr w:type="spellEnd"/>
      <w:r w:rsidR="00395C0C" w:rsidRPr="00211ABC">
        <w:rPr>
          <w:rFonts w:ascii="Tahoma" w:hAnsi="Tahoma" w:cs="Tahoma"/>
        </w:rPr>
        <w:t xml:space="preserve">. 71-72] y tal negativa fue confirmada por resolución </w:t>
      </w:r>
      <w:r w:rsidR="00395C0C" w:rsidRPr="00211ABC">
        <w:rPr>
          <w:rFonts w:ascii="Tahoma" w:hAnsi="Tahoma" w:cs="Tahoma"/>
          <w:b/>
          <w:bCs/>
        </w:rPr>
        <w:t>VPB6423</w:t>
      </w:r>
      <w:r w:rsidR="00395C0C" w:rsidRPr="00211ABC">
        <w:rPr>
          <w:rFonts w:ascii="Tahoma" w:hAnsi="Tahoma" w:cs="Tahoma"/>
        </w:rPr>
        <w:t xml:space="preserve"> del </w:t>
      </w:r>
      <w:r w:rsidR="00395C0C" w:rsidRPr="00211ABC">
        <w:rPr>
          <w:rFonts w:ascii="Tahoma" w:hAnsi="Tahoma" w:cs="Tahoma"/>
          <w:b/>
          <w:bCs/>
        </w:rPr>
        <w:t>02-05-2014</w:t>
      </w:r>
      <w:r w:rsidR="002E00C3">
        <w:rPr>
          <w:rFonts w:ascii="Tahoma" w:hAnsi="Tahoma" w:cs="Tahoma"/>
          <w:b/>
          <w:bCs/>
        </w:rPr>
        <w:t>,</w:t>
      </w:r>
      <w:r w:rsidR="00395C0C" w:rsidRPr="00211ABC">
        <w:rPr>
          <w:rFonts w:ascii="Tahoma" w:hAnsi="Tahoma" w:cs="Tahoma"/>
        </w:rPr>
        <w:t xml:space="preserve"> notificada el </w:t>
      </w:r>
      <w:r w:rsidR="00395C0C" w:rsidRPr="00211ABC">
        <w:rPr>
          <w:rFonts w:ascii="Tahoma" w:hAnsi="Tahoma" w:cs="Tahoma"/>
          <w:b/>
          <w:bCs/>
        </w:rPr>
        <w:t xml:space="preserve">30-05-2014 </w:t>
      </w:r>
      <w:r w:rsidR="00395C0C" w:rsidRPr="00211ABC">
        <w:rPr>
          <w:rFonts w:ascii="Tahoma" w:hAnsi="Tahoma" w:cs="Tahoma"/>
        </w:rPr>
        <w:t>[</w:t>
      </w:r>
      <w:proofErr w:type="spellStart"/>
      <w:r w:rsidR="00395C0C" w:rsidRPr="00211ABC">
        <w:rPr>
          <w:rFonts w:ascii="Tahoma" w:hAnsi="Tahoma" w:cs="Tahoma"/>
        </w:rPr>
        <w:t>fls</w:t>
      </w:r>
      <w:proofErr w:type="spellEnd"/>
      <w:r w:rsidR="00395C0C" w:rsidRPr="00211ABC">
        <w:rPr>
          <w:rFonts w:ascii="Tahoma" w:hAnsi="Tahoma" w:cs="Tahoma"/>
        </w:rPr>
        <w:t>. 73].</w:t>
      </w:r>
    </w:p>
    <w:p w14:paraId="519E9D83" w14:textId="4D0D9224" w:rsidR="00D71DC3" w:rsidRPr="00211ABC" w:rsidRDefault="00D71DC3" w:rsidP="00F806FD">
      <w:pPr>
        <w:spacing w:line="276" w:lineRule="auto"/>
        <w:rPr>
          <w:rFonts w:ascii="Tahoma" w:hAnsi="Tahoma" w:cs="Tahoma"/>
        </w:rPr>
      </w:pPr>
    </w:p>
    <w:p w14:paraId="0C8E6B19" w14:textId="2D1AF5C6" w:rsidR="00504C60" w:rsidRDefault="00D71DC3" w:rsidP="00F806FD">
      <w:pPr>
        <w:spacing w:line="276" w:lineRule="auto"/>
        <w:rPr>
          <w:rFonts w:ascii="Tahoma" w:hAnsi="Tahoma" w:cs="Tahoma"/>
        </w:rPr>
      </w:pPr>
      <w:r w:rsidRPr="00211ABC">
        <w:rPr>
          <w:rFonts w:ascii="Tahoma" w:hAnsi="Tahoma" w:cs="Tahoma"/>
        </w:rPr>
        <w:tab/>
        <w:t>Pues bien, en los términos del artículo 6to. CPTSS</w:t>
      </w:r>
      <w:r w:rsidR="00C33B7C" w:rsidRPr="00211ABC">
        <w:rPr>
          <w:rFonts w:ascii="Tahoma" w:hAnsi="Tahoma" w:cs="Tahoma"/>
        </w:rPr>
        <w:t xml:space="preserve"> dicha reclamación administrativa se entendió agotada con la notificación del acto administrativo que resolvió el recurso de apelación, </w:t>
      </w:r>
      <w:r w:rsidR="00504C60">
        <w:rPr>
          <w:rFonts w:ascii="Tahoma" w:hAnsi="Tahoma" w:cs="Tahoma"/>
        </w:rPr>
        <w:t>por lo que</w:t>
      </w:r>
      <w:r w:rsidR="003628B2">
        <w:rPr>
          <w:rFonts w:ascii="Tahoma" w:hAnsi="Tahoma" w:cs="Tahoma"/>
        </w:rPr>
        <w:t>,</w:t>
      </w:r>
      <w:r w:rsidR="00504C60">
        <w:rPr>
          <w:rFonts w:ascii="Tahoma" w:hAnsi="Tahoma" w:cs="Tahoma"/>
        </w:rPr>
        <w:t xml:space="preserve"> </w:t>
      </w:r>
      <w:r w:rsidR="00C33B7C" w:rsidRPr="00211ABC">
        <w:rPr>
          <w:rFonts w:ascii="Tahoma" w:hAnsi="Tahoma" w:cs="Tahoma"/>
        </w:rPr>
        <w:t xml:space="preserve">entre la reclamación y el agotamiento de </w:t>
      </w:r>
      <w:r w:rsidR="00B5409B" w:rsidRPr="00211ABC">
        <w:rPr>
          <w:rFonts w:ascii="Tahoma" w:hAnsi="Tahoma" w:cs="Tahoma"/>
        </w:rPr>
        <w:t>esta</w:t>
      </w:r>
      <w:r w:rsidR="00C33B7C" w:rsidRPr="00211ABC">
        <w:rPr>
          <w:rFonts w:ascii="Tahoma" w:hAnsi="Tahoma" w:cs="Tahoma"/>
        </w:rPr>
        <w:t>, el término de prescripción de la acción se encontró suspendid</w:t>
      </w:r>
      <w:r w:rsidR="00504C60">
        <w:rPr>
          <w:rFonts w:ascii="Tahoma" w:hAnsi="Tahoma" w:cs="Tahoma"/>
        </w:rPr>
        <w:t>o</w:t>
      </w:r>
      <w:r w:rsidR="00C33B7C" w:rsidRPr="00211ABC">
        <w:rPr>
          <w:rFonts w:ascii="Tahoma" w:hAnsi="Tahoma" w:cs="Tahoma"/>
        </w:rPr>
        <w:t xml:space="preserve">. </w:t>
      </w:r>
    </w:p>
    <w:p w14:paraId="371DA985" w14:textId="77777777" w:rsidR="00504C60" w:rsidRDefault="00504C60" w:rsidP="00F806FD">
      <w:pPr>
        <w:spacing w:line="276" w:lineRule="auto"/>
        <w:rPr>
          <w:rFonts w:ascii="Tahoma" w:hAnsi="Tahoma" w:cs="Tahoma"/>
        </w:rPr>
      </w:pPr>
    </w:p>
    <w:p w14:paraId="1CAC49F8" w14:textId="2401FC0D" w:rsidR="00D71DC3" w:rsidRPr="00211ABC" w:rsidRDefault="00504C60" w:rsidP="00F806FD">
      <w:pPr>
        <w:spacing w:line="276" w:lineRule="auto"/>
        <w:ind w:firstLine="708"/>
        <w:rPr>
          <w:rFonts w:ascii="Tahoma" w:hAnsi="Tahoma" w:cs="Tahoma"/>
        </w:rPr>
      </w:pPr>
      <w:r>
        <w:rPr>
          <w:rFonts w:ascii="Tahoma" w:hAnsi="Tahoma" w:cs="Tahoma"/>
        </w:rPr>
        <w:t xml:space="preserve">Lo anterior </w:t>
      </w:r>
      <w:r w:rsidR="00C33B7C" w:rsidRPr="00211ABC">
        <w:rPr>
          <w:rFonts w:ascii="Tahoma" w:hAnsi="Tahoma" w:cs="Tahoma"/>
        </w:rPr>
        <w:t>implica</w:t>
      </w:r>
      <w:r>
        <w:rPr>
          <w:rFonts w:ascii="Tahoma" w:hAnsi="Tahoma" w:cs="Tahoma"/>
        </w:rPr>
        <w:t>,</w:t>
      </w:r>
      <w:r w:rsidR="00C33B7C" w:rsidRPr="00211ABC">
        <w:rPr>
          <w:rFonts w:ascii="Tahoma" w:hAnsi="Tahoma" w:cs="Tahoma"/>
        </w:rPr>
        <w:t xml:space="preserve"> que a partir del </w:t>
      </w:r>
      <w:r w:rsidR="00E174F4" w:rsidRPr="00211ABC">
        <w:rPr>
          <w:rFonts w:ascii="Tahoma" w:hAnsi="Tahoma" w:cs="Tahoma"/>
        </w:rPr>
        <w:t>30</w:t>
      </w:r>
      <w:r w:rsidR="00C33B7C" w:rsidRPr="00211ABC">
        <w:rPr>
          <w:rFonts w:ascii="Tahoma" w:hAnsi="Tahoma" w:cs="Tahoma"/>
        </w:rPr>
        <w:t>-0</w:t>
      </w:r>
      <w:r w:rsidR="00E174F4" w:rsidRPr="00211ABC">
        <w:rPr>
          <w:rFonts w:ascii="Tahoma" w:hAnsi="Tahoma" w:cs="Tahoma"/>
        </w:rPr>
        <w:t>5</w:t>
      </w:r>
      <w:r w:rsidR="00C33B7C" w:rsidRPr="00211ABC">
        <w:rPr>
          <w:rFonts w:ascii="Tahoma" w:hAnsi="Tahoma" w:cs="Tahoma"/>
        </w:rPr>
        <w:t xml:space="preserve">-2014 se </w:t>
      </w:r>
      <w:r w:rsidR="00831338" w:rsidRPr="00211ABC">
        <w:rPr>
          <w:rFonts w:ascii="Tahoma" w:hAnsi="Tahoma" w:cs="Tahoma"/>
        </w:rPr>
        <w:t>inició</w:t>
      </w:r>
      <w:r w:rsidR="00C33B7C" w:rsidRPr="00211ABC">
        <w:rPr>
          <w:rFonts w:ascii="Tahoma" w:hAnsi="Tahoma" w:cs="Tahoma"/>
        </w:rPr>
        <w:t xml:space="preserve"> el término trienal para haber presentado la demanda, el cual venció el </w:t>
      </w:r>
      <w:r w:rsidR="00E174F4" w:rsidRPr="00211ABC">
        <w:rPr>
          <w:rFonts w:ascii="Tahoma" w:hAnsi="Tahoma" w:cs="Tahoma"/>
        </w:rPr>
        <w:t>30</w:t>
      </w:r>
      <w:r w:rsidR="00C33B7C" w:rsidRPr="00211ABC">
        <w:rPr>
          <w:rFonts w:ascii="Tahoma" w:hAnsi="Tahoma" w:cs="Tahoma"/>
        </w:rPr>
        <w:t>-0</w:t>
      </w:r>
      <w:r w:rsidR="00E174F4" w:rsidRPr="00211ABC">
        <w:rPr>
          <w:rFonts w:ascii="Tahoma" w:hAnsi="Tahoma" w:cs="Tahoma"/>
        </w:rPr>
        <w:t>5</w:t>
      </w:r>
      <w:r w:rsidR="00C33B7C" w:rsidRPr="00211ABC">
        <w:rPr>
          <w:rFonts w:ascii="Tahoma" w:hAnsi="Tahoma" w:cs="Tahoma"/>
        </w:rPr>
        <w:t>-2017</w:t>
      </w:r>
      <w:r w:rsidR="00E174F4" w:rsidRPr="00211ABC">
        <w:rPr>
          <w:rFonts w:ascii="Tahoma" w:hAnsi="Tahoma" w:cs="Tahoma"/>
        </w:rPr>
        <w:t xml:space="preserve"> y, por su parte, habiéndose presentado </w:t>
      </w:r>
      <w:r>
        <w:rPr>
          <w:rFonts w:ascii="Tahoma" w:hAnsi="Tahoma" w:cs="Tahoma"/>
        </w:rPr>
        <w:t xml:space="preserve">esta </w:t>
      </w:r>
      <w:r w:rsidR="00E174F4" w:rsidRPr="00211ABC">
        <w:rPr>
          <w:rFonts w:ascii="Tahoma" w:hAnsi="Tahoma" w:cs="Tahoma"/>
        </w:rPr>
        <w:t>el 0</w:t>
      </w:r>
      <w:r w:rsidR="008B3100" w:rsidRPr="00211ABC">
        <w:rPr>
          <w:rFonts w:ascii="Tahoma" w:hAnsi="Tahoma" w:cs="Tahoma"/>
        </w:rPr>
        <w:t>3</w:t>
      </w:r>
      <w:r w:rsidR="00E174F4" w:rsidRPr="00211ABC">
        <w:rPr>
          <w:rFonts w:ascii="Tahoma" w:hAnsi="Tahoma" w:cs="Tahoma"/>
        </w:rPr>
        <w:t>-0</w:t>
      </w:r>
      <w:r w:rsidR="008B3100" w:rsidRPr="00211ABC">
        <w:rPr>
          <w:rFonts w:ascii="Tahoma" w:hAnsi="Tahoma" w:cs="Tahoma"/>
        </w:rPr>
        <w:t>5</w:t>
      </w:r>
      <w:r w:rsidR="00E174F4" w:rsidRPr="00211ABC">
        <w:rPr>
          <w:rFonts w:ascii="Tahoma" w:hAnsi="Tahoma" w:cs="Tahoma"/>
        </w:rPr>
        <w:t>-2018 [</w:t>
      </w:r>
      <w:proofErr w:type="spellStart"/>
      <w:r w:rsidR="00E174F4" w:rsidRPr="00211ABC">
        <w:rPr>
          <w:rFonts w:ascii="Tahoma" w:hAnsi="Tahoma" w:cs="Tahoma"/>
        </w:rPr>
        <w:t>fl</w:t>
      </w:r>
      <w:proofErr w:type="spellEnd"/>
      <w:r w:rsidR="00E174F4" w:rsidRPr="00211ABC">
        <w:rPr>
          <w:rFonts w:ascii="Tahoma" w:hAnsi="Tahoma" w:cs="Tahoma"/>
        </w:rPr>
        <w:t xml:space="preserve">. </w:t>
      </w:r>
      <w:r w:rsidR="008B3100" w:rsidRPr="00211ABC">
        <w:rPr>
          <w:rFonts w:ascii="Tahoma" w:hAnsi="Tahoma" w:cs="Tahoma"/>
        </w:rPr>
        <w:t xml:space="preserve">22 y </w:t>
      </w:r>
      <w:r w:rsidR="00E174F4" w:rsidRPr="00211ABC">
        <w:rPr>
          <w:rFonts w:ascii="Tahoma" w:hAnsi="Tahoma" w:cs="Tahoma"/>
        </w:rPr>
        <w:t xml:space="preserve">169 revés] es claro </w:t>
      </w:r>
      <w:r w:rsidR="009E46AE" w:rsidRPr="00211ABC">
        <w:rPr>
          <w:rFonts w:ascii="Tahoma" w:hAnsi="Tahoma" w:cs="Tahoma"/>
        </w:rPr>
        <w:t>que,</w:t>
      </w:r>
      <w:r w:rsidR="00E174F4" w:rsidRPr="00211ABC">
        <w:rPr>
          <w:rFonts w:ascii="Tahoma" w:hAnsi="Tahoma" w:cs="Tahoma"/>
        </w:rPr>
        <w:t xml:space="preserve"> al haberse excedido el término trienal, el hito de contabilización de la prescripción parte de la fecha de presentación de la demanda tres años hacia atrás, </w:t>
      </w:r>
      <w:r w:rsidR="002E00C3">
        <w:rPr>
          <w:rFonts w:ascii="Tahoma" w:hAnsi="Tahoma" w:cs="Tahoma"/>
        </w:rPr>
        <w:t xml:space="preserve">conllevando que </w:t>
      </w:r>
      <w:r w:rsidR="00E174F4" w:rsidRPr="00211ABC">
        <w:rPr>
          <w:rFonts w:ascii="Tahoma" w:hAnsi="Tahoma" w:cs="Tahoma"/>
        </w:rPr>
        <w:t xml:space="preserve">cualquier mesada generada con antelación al </w:t>
      </w:r>
      <w:r w:rsidR="00E174F4" w:rsidRPr="00211ABC">
        <w:rPr>
          <w:rFonts w:ascii="Tahoma" w:hAnsi="Tahoma" w:cs="Tahoma"/>
          <w:b/>
          <w:bCs/>
        </w:rPr>
        <w:t>0</w:t>
      </w:r>
      <w:r w:rsidR="008B3100" w:rsidRPr="00211ABC">
        <w:rPr>
          <w:rFonts w:ascii="Tahoma" w:hAnsi="Tahoma" w:cs="Tahoma"/>
          <w:b/>
          <w:bCs/>
        </w:rPr>
        <w:t>3</w:t>
      </w:r>
      <w:r w:rsidR="00E174F4" w:rsidRPr="00211ABC">
        <w:rPr>
          <w:rFonts w:ascii="Tahoma" w:hAnsi="Tahoma" w:cs="Tahoma"/>
          <w:b/>
          <w:bCs/>
        </w:rPr>
        <w:t>-0</w:t>
      </w:r>
      <w:r w:rsidR="008B3100" w:rsidRPr="00211ABC">
        <w:rPr>
          <w:rFonts w:ascii="Tahoma" w:hAnsi="Tahoma" w:cs="Tahoma"/>
          <w:b/>
          <w:bCs/>
        </w:rPr>
        <w:t>5</w:t>
      </w:r>
      <w:r w:rsidR="00E174F4" w:rsidRPr="00211ABC">
        <w:rPr>
          <w:rFonts w:ascii="Tahoma" w:hAnsi="Tahoma" w:cs="Tahoma"/>
          <w:b/>
          <w:bCs/>
        </w:rPr>
        <w:t>-2015</w:t>
      </w:r>
      <w:r w:rsidR="002E00C3">
        <w:rPr>
          <w:rFonts w:ascii="Tahoma" w:hAnsi="Tahoma" w:cs="Tahoma"/>
        </w:rPr>
        <w:t xml:space="preserve"> se tornaría prescrita, intelección </w:t>
      </w:r>
      <w:r w:rsidR="005327DB" w:rsidRPr="00211ABC">
        <w:rPr>
          <w:rFonts w:ascii="Tahoma" w:hAnsi="Tahoma" w:cs="Tahoma"/>
        </w:rPr>
        <w:t>que corresponde a la dada por la A-quo.</w:t>
      </w:r>
    </w:p>
    <w:p w14:paraId="219B7EEF" w14:textId="1C636557" w:rsidR="00D71DC3" w:rsidRPr="00211ABC" w:rsidRDefault="00D71DC3" w:rsidP="00F806FD">
      <w:pPr>
        <w:spacing w:line="276" w:lineRule="auto"/>
        <w:rPr>
          <w:rFonts w:ascii="Tahoma" w:hAnsi="Tahoma" w:cs="Tahoma"/>
        </w:rPr>
      </w:pPr>
    </w:p>
    <w:p w14:paraId="33C56BAA" w14:textId="3C6D5B1A" w:rsidR="005327DB" w:rsidRPr="00211ABC" w:rsidRDefault="00D669DF" w:rsidP="00F806FD">
      <w:pPr>
        <w:spacing w:line="276" w:lineRule="auto"/>
        <w:ind w:firstLine="708"/>
        <w:rPr>
          <w:rFonts w:ascii="Tahoma" w:hAnsi="Tahoma" w:cs="Tahoma"/>
          <w:b/>
          <w:bCs/>
        </w:rPr>
      </w:pPr>
      <w:r w:rsidRPr="00211ABC">
        <w:rPr>
          <w:rFonts w:ascii="Tahoma" w:hAnsi="Tahoma" w:cs="Tahoma"/>
        </w:rPr>
        <w:t xml:space="preserve">Justamente en ello radica la inconformidad del apelante, </w:t>
      </w:r>
      <w:r w:rsidR="00504C60">
        <w:rPr>
          <w:rFonts w:ascii="Tahoma" w:hAnsi="Tahoma" w:cs="Tahoma"/>
        </w:rPr>
        <w:t xml:space="preserve">al sostener </w:t>
      </w:r>
      <w:r w:rsidRPr="00211ABC">
        <w:rPr>
          <w:rFonts w:ascii="Tahoma" w:hAnsi="Tahoma" w:cs="Tahoma"/>
        </w:rPr>
        <w:t xml:space="preserve">que la fecha que debe tenerse como hito para la interrupción del derecho pretendido corresponde a </w:t>
      </w:r>
      <w:r w:rsidR="00B0790E" w:rsidRPr="00211ABC">
        <w:rPr>
          <w:rFonts w:ascii="Tahoma" w:hAnsi="Tahoma" w:cs="Tahoma"/>
        </w:rPr>
        <w:t xml:space="preserve">la segunda petición radicada el </w:t>
      </w:r>
      <w:r w:rsidR="00B0790E" w:rsidRPr="00211ABC">
        <w:rPr>
          <w:rFonts w:ascii="Tahoma" w:hAnsi="Tahoma" w:cs="Tahoma"/>
          <w:b/>
          <w:bCs/>
        </w:rPr>
        <w:t>16-07-2015</w:t>
      </w:r>
      <w:r w:rsidR="00B0790E" w:rsidRPr="00211ABC">
        <w:rPr>
          <w:rFonts w:ascii="Tahoma" w:hAnsi="Tahoma" w:cs="Tahoma"/>
        </w:rPr>
        <w:t xml:space="preserve"> [</w:t>
      </w:r>
      <w:proofErr w:type="spellStart"/>
      <w:r w:rsidR="00B0790E" w:rsidRPr="00211ABC">
        <w:rPr>
          <w:rFonts w:ascii="Tahoma" w:hAnsi="Tahoma" w:cs="Tahoma"/>
        </w:rPr>
        <w:t>fl</w:t>
      </w:r>
      <w:proofErr w:type="spellEnd"/>
      <w:r w:rsidR="00B0790E" w:rsidRPr="00211ABC">
        <w:rPr>
          <w:rFonts w:ascii="Tahoma" w:hAnsi="Tahoma" w:cs="Tahoma"/>
        </w:rPr>
        <w:t xml:space="preserve">. 96] encaminada </w:t>
      </w:r>
      <w:r w:rsidR="00504C60">
        <w:rPr>
          <w:rFonts w:ascii="Tahoma" w:hAnsi="Tahoma" w:cs="Tahoma"/>
        </w:rPr>
        <w:t xml:space="preserve">también </w:t>
      </w:r>
      <w:r w:rsidR="00B0790E" w:rsidRPr="00211ABC">
        <w:rPr>
          <w:rFonts w:ascii="Tahoma" w:hAnsi="Tahoma" w:cs="Tahoma"/>
        </w:rPr>
        <w:t xml:space="preserve">al “reconocimiento de la pensión de vejez”, </w:t>
      </w:r>
      <w:r w:rsidRPr="00211ABC">
        <w:rPr>
          <w:rFonts w:ascii="Tahoma" w:hAnsi="Tahoma" w:cs="Tahoma"/>
        </w:rPr>
        <w:t xml:space="preserve">la cual fue </w:t>
      </w:r>
      <w:r w:rsidR="00B0790E" w:rsidRPr="00211ABC">
        <w:rPr>
          <w:rFonts w:ascii="Tahoma" w:hAnsi="Tahoma" w:cs="Tahoma"/>
        </w:rPr>
        <w:t>nuevamente negada por resolución GNR988 del 04-01-2016 notificada</w:t>
      </w:r>
      <w:r w:rsidR="00504C60">
        <w:rPr>
          <w:rFonts w:ascii="Tahoma" w:hAnsi="Tahoma" w:cs="Tahoma"/>
        </w:rPr>
        <w:t>,</w:t>
      </w:r>
      <w:r w:rsidR="00B0790E" w:rsidRPr="00211ABC">
        <w:rPr>
          <w:rFonts w:ascii="Tahoma" w:hAnsi="Tahoma" w:cs="Tahoma"/>
        </w:rPr>
        <w:t xml:space="preserve"> el 27-01-2016 [</w:t>
      </w:r>
      <w:proofErr w:type="spellStart"/>
      <w:r w:rsidR="00B0790E" w:rsidRPr="00211ABC">
        <w:rPr>
          <w:rFonts w:ascii="Tahoma" w:hAnsi="Tahoma" w:cs="Tahoma"/>
        </w:rPr>
        <w:t>fl</w:t>
      </w:r>
      <w:proofErr w:type="spellEnd"/>
      <w:r w:rsidR="00B0790E" w:rsidRPr="00211ABC">
        <w:rPr>
          <w:rFonts w:ascii="Tahoma" w:hAnsi="Tahoma" w:cs="Tahoma"/>
        </w:rPr>
        <w:t>. 95-99]</w:t>
      </w:r>
      <w:r w:rsidR="0021494D" w:rsidRPr="00211ABC">
        <w:rPr>
          <w:rFonts w:ascii="Tahoma" w:hAnsi="Tahoma" w:cs="Tahoma"/>
        </w:rPr>
        <w:t xml:space="preserve"> y confirmada por la VPB18202 del 20-04-2016 notificada el 11-05-2016</w:t>
      </w:r>
      <w:r w:rsidR="00504C60">
        <w:rPr>
          <w:rFonts w:ascii="Tahoma" w:hAnsi="Tahoma" w:cs="Tahoma"/>
        </w:rPr>
        <w:t>.</w:t>
      </w:r>
      <w:r w:rsidR="0021494D" w:rsidRPr="00211ABC">
        <w:rPr>
          <w:rFonts w:ascii="Tahoma" w:hAnsi="Tahoma" w:cs="Tahoma"/>
        </w:rPr>
        <w:t xml:space="preserve"> [</w:t>
      </w:r>
      <w:proofErr w:type="spellStart"/>
      <w:r w:rsidR="0021494D" w:rsidRPr="00211ABC">
        <w:rPr>
          <w:rFonts w:ascii="Tahoma" w:hAnsi="Tahoma" w:cs="Tahoma"/>
        </w:rPr>
        <w:t>fl</w:t>
      </w:r>
      <w:proofErr w:type="spellEnd"/>
      <w:r w:rsidR="0021494D" w:rsidRPr="00211ABC">
        <w:rPr>
          <w:rFonts w:ascii="Tahoma" w:hAnsi="Tahoma" w:cs="Tahoma"/>
        </w:rPr>
        <w:t>. 100-104]</w:t>
      </w:r>
    </w:p>
    <w:p w14:paraId="22D382F2" w14:textId="2753482B" w:rsidR="00D71DC3" w:rsidRPr="00211ABC" w:rsidRDefault="00D71DC3" w:rsidP="00F806FD">
      <w:pPr>
        <w:spacing w:line="276" w:lineRule="auto"/>
        <w:ind w:firstLine="708"/>
        <w:rPr>
          <w:rFonts w:ascii="Tahoma" w:hAnsi="Tahoma" w:cs="Tahoma"/>
        </w:rPr>
      </w:pPr>
    </w:p>
    <w:p w14:paraId="72BD136F" w14:textId="69E5BE3E" w:rsidR="00134737" w:rsidRPr="00211ABC" w:rsidRDefault="00134737" w:rsidP="00F806FD">
      <w:pPr>
        <w:spacing w:line="276" w:lineRule="auto"/>
        <w:ind w:firstLine="708"/>
        <w:rPr>
          <w:rFonts w:ascii="Tahoma" w:hAnsi="Tahoma" w:cs="Tahoma"/>
        </w:rPr>
      </w:pPr>
      <w:r w:rsidRPr="00211ABC">
        <w:rPr>
          <w:rFonts w:ascii="Tahoma" w:hAnsi="Tahoma" w:cs="Tahoma"/>
        </w:rPr>
        <w:t xml:space="preserve">Pues bien, en primer lugar, lo que se </w:t>
      </w:r>
      <w:r w:rsidR="008E537E" w:rsidRPr="00211ABC">
        <w:rPr>
          <w:rFonts w:ascii="Tahoma" w:hAnsi="Tahoma" w:cs="Tahoma"/>
        </w:rPr>
        <w:t xml:space="preserve">desprende de </w:t>
      </w:r>
      <w:r w:rsidRPr="00211ABC">
        <w:rPr>
          <w:rFonts w:ascii="Tahoma" w:hAnsi="Tahoma" w:cs="Tahoma"/>
        </w:rPr>
        <w:t xml:space="preserve">ambas reclamaciones </w:t>
      </w:r>
      <w:r w:rsidR="008E537E" w:rsidRPr="00211ABC">
        <w:rPr>
          <w:rFonts w:ascii="Tahoma" w:hAnsi="Tahoma" w:cs="Tahoma"/>
        </w:rPr>
        <w:t xml:space="preserve">es que </w:t>
      </w:r>
      <w:r w:rsidRPr="00211ABC">
        <w:rPr>
          <w:rFonts w:ascii="Tahoma" w:hAnsi="Tahoma" w:cs="Tahoma"/>
        </w:rPr>
        <w:t xml:space="preserve">estuvieron encaminadas a reclamar </w:t>
      </w:r>
      <w:r w:rsidR="002F7224" w:rsidRPr="00211ABC">
        <w:rPr>
          <w:rFonts w:ascii="Tahoma" w:hAnsi="Tahoma" w:cs="Tahoma"/>
        </w:rPr>
        <w:t xml:space="preserve">un </w:t>
      </w:r>
      <w:r w:rsidR="008E537E" w:rsidRPr="00211ABC">
        <w:rPr>
          <w:rFonts w:ascii="Tahoma" w:hAnsi="Tahoma" w:cs="Tahoma"/>
        </w:rPr>
        <w:t xml:space="preserve">mismo </w:t>
      </w:r>
      <w:r w:rsidR="002F7224" w:rsidRPr="00211ABC">
        <w:rPr>
          <w:rFonts w:ascii="Tahoma" w:hAnsi="Tahoma" w:cs="Tahoma"/>
        </w:rPr>
        <w:t>derecho determinado “</w:t>
      </w:r>
      <w:r w:rsidRPr="00211ABC">
        <w:rPr>
          <w:rFonts w:ascii="Tahoma" w:hAnsi="Tahoma" w:cs="Tahoma"/>
        </w:rPr>
        <w:t>la pensión de vejez</w:t>
      </w:r>
      <w:r w:rsidR="002F7224" w:rsidRPr="00211ABC">
        <w:rPr>
          <w:rFonts w:ascii="Tahoma" w:hAnsi="Tahoma" w:cs="Tahoma"/>
        </w:rPr>
        <w:t xml:space="preserve">”, por lo tanto, es claro que la reclamación </w:t>
      </w:r>
      <w:r w:rsidR="008E537E" w:rsidRPr="00211ABC">
        <w:rPr>
          <w:rFonts w:ascii="Tahoma" w:hAnsi="Tahoma" w:cs="Tahoma"/>
        </w:rPr>
        <w:t xml:space="preserve">primigenia </w:t>
      </w:r>
      <w:r w:rsidR="002F7224" w:rsidRPr="00211ABC">
        <w:rPr>
          <w:rFonts w:ascii="Tahoma" w:hAnsi="Tahoma" w:cs="Tahoma"/>
        </w:rPr>
        <w:t xml:space="preserve">es aquella que tuvo la virtualidad de interrumpir la prescripción, </w:t>
      </w:r>
      <w:r w:rsidR="002F7224" w:rsidRPr="00211ABC">
        <w:rPr>
          <w:rFonts w:ascii="Tahoma" w:hAnsi="Tahoma" w:cs="Tahoma"/>
          <w:b/>
          <w:bCs/>
        </w:rPr>
        <w:t>por una sola vez</w:t>
      </w:r>
      <w:r w:rsidR="002F7224" w:rsidRPr="00211ABC">
        <w:rPr>
          <w:rFonts w:ascii="Tahoma" w:hAnsi="Tahoma" w:cs="Tahoma"/>
        </w:rPr>
        <w:t xml:space="preserve">, cuyo término se suspendió hasta </w:t>
      </w:r>
      <w:r w:rsidR="003628B2">
        <w:rPr>
          <w:rFonts w:ascii="Tahoma" w:hAnsi="Tahoma" w:cs="Tahoma"/>
        </w:rPr>
        <w:t>quedar</w:t>
      </w:r>
      <w:r w:rsidR="002F7224" w:rsidRPr="00211ABC">
        <w:rPr>
          <w:rFonts w:ascii="Tahoma" w:hAnsi="Tahoma" w:cs="Tahoma"/>
        </w:rPr>
        <w:t xml:space="preserve"> agotada la misma, por lo que </w:t>
      </w:r>
      <w:r w:rsidR="009C5509" w:rsidRPr="00211ABC">
        <w:rPr>
          <w:rFonts w:ascii="Tahoma" w:hAnsi="Tahoma" w:cs="Tahoma"/>
        </w:rPr>
        <w:t xml:space="preserve">la segunda reclamación a la que hizo alusión el demandante, no tiene ningún efecto jurídico de conformidad con lo dispuesto en los artículos 488 del C.S.T. y 151 del CPTSS </w:t>
      </w:r>
      <w:r w:rsidR="008E537E" w:rsidRPr="00211ABC">
        <w:rPr>
          <w:rFonts w:ascii="Tahoma" w:hAnsi="Tahoma" w:cs="Tahoma"/>
        </w:rPr>
        <w:t>y</w:t>
      </w:r>
      <w:r w:rsidR="009C5509" w:rsidRPr="00211ABC">
        <w:rPr>
          <w:rFonts w:ascii="Tahoma" w:hAnsi="Tahoma" w:cs="Tahoma"/>
        </w:rPr>
        <w:t>,</w:t>
      </w:r>
      <w:r w:rsidR="008E537E" w:rsidRPr="00211ABC">
        <w:rPr>
          <w:rFonts w:ascii="Tahoma" w:hAnsi="Tahoma" w:cs="Tahoma"/>
        </w:rPr>
        <w:t xml:space="preserve"> en ese orden</w:t>
      </w:r>
      <w:r w:rsidR="009C5509" w:rsidRPr="00211ABC">
        <w:rPr>
          <w:rFonts w:ascii="Tahoma" w:hAnsi="Tahoma" w:cs="Tahoma"/>
        </w:rPr>
        <w:t>,</w:t>
      </w:r>
      <w:r w:rsidR="008E537E" w:rsidRPr="00211ABC">
        <w:rPr>
          <w:rFonts w:ascii="Tahoma" w:hAnsi="Tahoma" w:cs="Tahoma"/>
        </w:rPr>
        <w:t xml:space="preserve"> el referente para determinar las mesadas prescritas no era otro que la presentación de la demanda, siendo ello suficiente para concluir que la decisión adoptada por la A quo no luce desacertada.</w:t>
      </w:r>
      <w:r w:rsidR="002F7224" w:rsidRPr="00211ABC">
        <w:rPr>
          <w:rFonts w:ascii="Tahoma" w:hAnsi="Tahoma" w:cs="Tahoma"/>
        </w:rPr>
        <w:t xml:space="preserve"> </w:t>
      </w:r>
    </w:p>
    <w:p w14:paraId="35DBECD2" w14:textId="743A61B9" w:rsidR="00134737" w:rsidRPr="00211ABC" w:rsidRDefault="00134737" w:rsidP="00F806FD">
      <w:pPr>
        <w:spacing w:line="276" w:lineRule="auto"/>
        <w:ind w:firstLine="708"/>
        <w:rPr>
          <w:rFonts w:ascii="Tahoma" w:hAnsi="Tahoma" w:cs="Tahoma"/>
        </w:rPr>
      </w:pPr>
    </w:p>
    <w:p w14:paraId="002C64AC" w14:textId="55743238" w:rsidR="00E802CB" w:rsidRPr="00211ABC" w:rsidRDefault="00955E5F" w:rsidP="00F806FD">
      <w:pPr>
        <w:spacing w:line="276" w:lineRule="auto"/>
        <w:ind w:firstLine="708"/>
        <w:rPr>
          <w:rFonts w:ascii="Tahoma" w:hAnsi="Tahoma" w:cs="Tahoma"/>
        </w:rPr>
      </w:pPr>
      <w:r w:rsidRPr="00211ABC">
        <w:rPr>
          <w:rFonts w:ascii="Tahoma" w:hAnsi="Tahoma" w:cs="Tahoma"/>
        </w:rPr>
        <w:t>Establecida la no prosperidad del recurso, pasa la Sala a revisar la Sentencia de primer grado frente a las condenas impuestas en contra de Colpensiones, en virtud del grado jurisdiccional de consulta que opera a su favor.</w:t>
      </w:r>
    </w:p>
    <w:p w14:paraId="65B781F5" w14:textId="4C017842" w:rsidR="00066C37" w:rsidRPr="00211ABC" w:rsidRDefault="00066C37" w:rsidP="00F806FD">
      <w:pPr>
        <w:spacing w:line="276" w:lineRule="auto"/>
        <w:ind w:firstLine="708"/>
        <w:rPr>
          <w:rFonts w:ascii="Tahoma" w:hAnsi="Tahoma" w:cs="Tahoma"/>
        </w:rPr>
      </w:pPr>
    </w:p>
    <w:p w14:paraId="63B49447" w14:textId="6D33290F" w:rsidR="00422C67" w:rsidRPr="00211ABC" w:rsidRDefault="00066C37" w:rsidP="00F806FD">
      <w:pPr>
        <w:spacing w:line="276" w:lineRule="auto"/>
        <w:ind w:firstLine="708"/>
        <w:rPr>
          <w:rFonts w:ascii="Tahoma" w:hAnsi="Tahoma" w:cs="Tahoma"/>
        </w:rPr>
      </w:pPr>
      <w:r w:rsidRPr="00211ABC">
        <w:rPr>
          <w:rFonts w:ascii="Tahoma" w:hAnsi="Tahoma" w:cs="Tahoma"/>
        </w:rPr>
        <w:lastRenderedPageBreak/>
        <w:t xml:space="preserve">Para empezar, </w:t>
      </w:r>
      <w:r w:rsidR="005A6CC9" w:rsidRPr="00211ABC">
        <w:rPr>
          <w:rFonts w:ascii="Tahoma" w:hAnsi="Tahoma" w:cs="Tahoma"/>
        </w:rPr>
        <w:t xml:space="preserve">no hay </w:t>
      </w:r>
      <w:r w:rsidR="0055726F" w:rsidRPr="00211ABC">
        <w:rPr>
          <w:rFonts w:ascii="Tahoma" w:hAnsi="Tahoma" w:cs="Tahoma"/>
        </w:rPr>
        <w:t>controversia</w:t>
      </w:r>
      <w:r w:rsidR="005A6CC9" w:rsidRPr="00211ABC">
        <w:rPr>
          <w:rFonts w:ascii="Tahoma" w:hAnsi="Tahoma" w:cs="Tahoma"/>
        </w:rPr>
        <w:t xml:space="preserve"> </w:t>
      </w:r>
      <w:r w:rsidR="00E01BB5" w:rsidRPr="00211ABC">
        <w:rPr>
          <w:rFonts w:ascii="Tahoma" w:hAnsi="Tahoma" w:cs="Tahoma"/>
        </w:rPr>
        <w:t>de que</w:t>
      </w:r>
      <w:r w:rsidR="005A6CC9" w:rsidRPr="00211ABC">
        <w:rPr>
          <w:rFonts w:ascii="Tahoma" w:hAnsi="Tahoma" w:cs="Tahoma"/>
        </w:rPr>
        <w:t xml:space="preserve"> </w:t>
      </w:r>
      <w:r w:rsidR="00BC3BD1" w:rsidRPr="00211ABC">
        <w:rPr>
          <w:rFonts w:ascii="Tahoma" w:hAnsi="Tahoma" w:cs="Tahoma"/>
        </w:rPr>
        <w:t>Joaquín María Grajales nació el 15 de noviembre de 1951</w:t>
      </w:r>
      <w:r w:rsidR="00BC3BD1" w:rsidRPr="00211ABC">
        <w:rPr>
          <w:rStyle w:val="Refdenotaalpie"/>
          <w:rFonts w:ascii="Tahoma" w:hAnsi="Tahoma" w:cs="Tahoma"/>
        </w:rPr>
        <w:footnoteReference w:id="2"/>
      </w:r>
      <w:r w:rsidR="0055726F" w:rsidRPr="00211ABC">
        <w:rPr>
          <w:rFonts w:ascii="Tahoma" w:hAnsi="Tahoma" w:cs="Tahoma"/>
        </w:rPr>
        <w:t>;</w:t>
      </w:r>
      <w:r w:rsidR="00BC3BD1" w:rsidRPr="00211ABC">
        <w:rPr>
          <w:rFonts w:ascii="Tahoma" w:hAnsi="Tahoma" w:cs="Tahoma"/>
        </w:rPr>
        <w:t xml:space="preserve"> que al 1ro de abril de 1994 contaba con 43 años</w:t>
      </w:r>
      <w:r w:rsidR="005A6CC9" w:rsidRPr="00211ABC">
        <w:rPr>
          <w:rFonts w:ascii="Tahoma" w:hAnsi="Tahoma" w:cs="Tahoma"/>
        </w:rPr>
        <w:t xml:space="preserve">, cumpliendo por lo tanto con el requisito del </w:t>
      </w:r>
      <w:r w:rsidR="00067676" w:rsidRPr="00211ABC">
        <w:rPr>
          <w:rFonts w:ascii="Tahoma" w:hAnsi="Tahoma" w:cs="Tahoma"/>
        </w:rPr>
        <w:t>artículo</w:t>
      </w:r>
      <w:r w:rsidR="005A6CC9" w:rsidRPr="00211ABC">
        <w:rPr>
          <w:rFonts w:ascii="Tahoma" w:hAnsi="Tahoma" w:cs="Tahoma"/>
        </w:rPr>
        <w:t xml:space="preserve"> 36 de la Ley 100 de 1993, para ser beneficiario del régimen de transición</w:t>
      </w:r>
      <w:r w:rsidR="00422C67" w:rsidRPr="00211ABC">
        <w:rPr>
          <w:rFonts w:ascii="Tahoma" w:hAnsi="Tahoma" w:cs="Tahoma"/>
        </w:rPr>
        <w:t xml:space="preserve">, en la medida que acreditaba más de 40 años a la entrada en vigor de la Ley 100 de 1993. Adicional a ello, </w:t>
      </w:r>
      <w:r w:rsidR="00F86428">
        <w:rPr>
          <w:rFonts w:ascii="Tahoma" w:hAnsi="Tahoma" w:cs="Tahoma"/>
        </w:rPr>
        <w:t xml:space="preserve">tampoco se discute que </w:t>
      </w:r>
      <w:r w:rsidR="0055726F" w:rsidRPr="00211ABC">
        <w:rPr>
          <w:rFonts w:ascii="Tahoma" w:hAnsi="Tahoma" w:cs="Tahoma"/>
        </w:rPr>
        <w:t xml:space="preserve">contaba </w:t>
      </w:r>
      <w:r w:rsidR="002D7975" w:rsidRPr="00211ABC">
        <w:rPr>
          <w:rFonts w:ascii="Tahoma" w:hAnsi="Tahoma" w:cs="Tahoma"/>
        </w:rPr>
        <w:t xml:space="preserve">con más de 750 semanas a la entrada en vigor del Acto Legislativo 01 de 2005 y </w:t>
      </w:r>
      <w:r w:rsidR="0055726F" w:rsidRPr="00211ABC">
        <w:rPr>
          <w:rFonts w:ascii="Tahoma" w:hAnsi="Tahoma" w:cs="Tahoma"/>
        </w:rPr>
        <w:t xml:space="preserve">que </w:t>
      </w:r>
      <w:r w:rsidR="002D7975" w:rsidRPr="00211ABC">
        <w:rPr>
          <w:rFonts w:ascii="Tahoma" w:hAnsi="Tahoma" w:cs="Tahoma"/>
        </w:rPr>
        <w:t xml:space="preserve">dicho régimen se conservó en virtud de su retorno </w:t>
      </w:r>
      <w:r w:rsidR="0055726F" w:rsidRPr="00211ABC">
        <w:rPr>
          <w:rFonts w:ascii="Tahoma" w:hAnsi="Tahoma" w:cs="Tahoma"/>
        </w:rPr>
        <w:t xml:space="preserve">del </w:t>
      </w:r>
      <w:r w:rsidR="002D7975" w:rsidRPr="00211ABC">
        <w:rPr>
          <w:rFonts w:ascii="Tahoma" w:hAnsi="Tahoma" w:cs="Tahoma"/>
        </w:rPr>
        <w:t>RAIS</w:t>
      </w:r>
      <w:r w:rsidR="00F86428">
        <w:rPr>
          <w:rFonts w:ascii="Tahoma" w:hAnsi="Tahoma" w:cs="Tahoma"/>
        </w:rPr>
        <w:t>,</w:t>
      </w:r>
      <w:r w:rsidR="002D7975" w:rsidRPr="00211ABC">
        <w:rPr>
          <w:rFonts w:ascii="Tahoma" w:hAnsi="Tahoma" w:cs="Tahoma"/>
        </w:rPr>
        <w:t xml:space="preserve"> según </w:t>
      </w:r>
      <w:r w:rsidR="00F86428">
        <w:rPr>
          <w:rFonts w:ascii="Tahoma" w:hAnsi="Tahoma" w:cs="Tahoma"/>
        </w:rPr>
        <w:t xml:space="preserve">dan cuenta </w:t>
      </w:r>
      <w:r w:rsidR="002D7975" w:rsidRPr="00211ABC">
        <w:rPr>
          <w:rFonts w:ascii="Tahoma" w:hAnsi="Tahoma" w:cs="Tahoma"/>
        </w:rPr>
        <w:t xml:space="preserve">los actos administrativos expedidos por Colpensiones, al </w:t>
      </w:r>
      <w:r w:rsidR="00F86428">
        <w:rPr>
          <w:rFonts w:ascii="Tahoma" w:hAnsi="Tahoma" w:cs="Tahoma"/>
        </w:rPr>
        <w:t xml:space="preserve">considerar que había cumplido </w:t>
      </w:r>
      <w:r w:rsidR="002D7975" w:rsidRPr="00211ABC">
        <w:rPr>
          <w:rFonts w:ascii="Tahoma" w:hAnsi="Tahoma" w:cs="Tahoma"/>
        </w:rPr>
        <w:t xml:space="preserve">con </w:t>
      </w:r>
      <w:r w:rsidR="00F86428">
        <w:rPr>
          <w:rFonts w:ascii="Tahoma" w:hAnsi="Tahoma" w:cs="Tahoma"/>
        </w:rPr>
        <w:t xml:space="preserve">el </w:t>
      </w:r>
      <w:r w:rsidR="002D7975" w:rsidRPr="00211ABC">
        <w:rPr>
          <w:rFonts w:ascii="Tahoma" w:hAnsi="Tahoma" w:cs="Tahoma"/>
        </w:rPr>
        <w:t xml:space="preserve">requisito del </w:t>
      </w:r>
      <w:r w:rsidR="00F86428" w:rsidRPr="00211ABC">
        <w:rPr>
          <w:rFonts w:ascii="Tahoma" w:hAnsi="Tahoma" w:cs="Tahoma"/>
        </w:rPr>
        <w:t>cálculo</w:t>
      </w:r>
      <w:r w:rsidR="002D7975" w:rsidRPr="00211ABC">
        <w:rPr>
          <w:rFonts w:ascii="Tahoma" w:hAnsi="Tahoma" w:cs="Tahoma"/>
        </w:rPr>
        <w:t xml:space="preserve"> de rentabilidad y </w:t>
      </w:r>
      <w:r w:rsidR="00F86428">
        <w:rPr>
          <w:rFonts w:ascii="Tahoma" w:hAnsi="Tahoma" w:cs="Tahoma"/>
        </w:rPr>
        <w:t xml:space="preserve">se acreditaba </w:t>
      </w:r>
      <w:r w:rsidR="002D7975" w:rsidRPr="00211ABC">
        <w:rPr>
          <w:rFonts w:ascii="Tahoma" w:hAnsi="Tahoma" w:cs="Tahoma"/>
        </w:rPr>
        <w:t>más de 15 años de servicios (</w:t>
      </w:r>
      <w:proofErr w:type="spellStart"/>
      <w:r w:rsidR="002D7975" w:rsidRPr="00211ABC">
        <w:rPr>
          <w:rFonts w:ascii="Tahoma" w:hAnsi="Tahoma" w:cs="Tahoma"/>
        </w:rPr>
        <w:t>fl</w:t>
      </w:r>
      <w:proofErr w:type="spellEnd"/>
      <w:r w:rsidR="002D7975" w:rsidRPr="00211ABC">
        <w:rPr>
          <w:rFonts w:ascii="Tahoma" w:hAnsi="Tahoma" w:cs="Tahoma"/>
        </w:rPr>
        <w:t xml:space="preserve">. 96 </w:t>
      </w:r>
      <w:proofErr w:type="spellStart"/>
      <w:r w:rsidR="002D7975" w:rsidRPr="00211ABC">
        <w:rPr>
          <w:rFonts w:ascii="Tahoma" w:hAnsi="Tahoma" w:cs="Tahoma"/>
        </w:rPr>
        <w:t>sgts</w:t>
      </w:r>
      <w:proofErr w:type="spellEnd"/>
      <w:r w:rsidR="002D7975" w:rsidRPr="00211ABC">
        <w:rPr>
          <w:rFonts w:ascii="Tahoma" w:hAnsi="Tahoma" w:cs="Tahoma"/>
        </w:rPr>
        <w:t>).</w:t>
      </w:r>
    </w:p>
    <w:p w14:paraId="6F961A7A" w14:textId="6C82B80C" w:rsidR="002D7975" w:rsidRPr="00211ABC" w:rsidRDefault="002D7975" w:rsidP="00F806FD">
      <w:pPr>
        <w:spacing w:line="276" w:lineRule="auto"/>
        <w:ind w:firstLine="708"/>
        <w:rPr>
          <w:rFonts w:ascii="Tahoma" w:hAnsi="Tahoma" w:cs="Tahoma"/>
        </w:rPr>
      </w:pPr>
    </w:p>
    <w:p w14:paraId="509EC6C0" w14:textId="43936911" w:rsidR="006B5345" w:rsidRPr="00211ABC" w:rsidRDefault="002666BF" w:rsidP="00F806FD">
      <w:pPr>
        <w:spacing w:line="276" w:lineRule="auto"/>
        <w:rPr>
          <w:rFonts w:ascii="Tahoma" w:hAnsi="Tahoma" w:cs="Tahoma"/>
        </w:rPr>
      </w:pPr>
      <w:r w:rsidRPr="00211ABC">
        <w:rPr>
          <w:rFonts w:ascii="Tahoma" w:hAnsi="Tahoma" w:cs="Tahoma"/>
        </w:rPr>
        <w:tab/>
        <w:t>Pues bien, existiendo claridad que el actor acreditó los 60 años el 15 de noviembre de 2011, de acuerdo con la fecha de su natalicio ya traída a colación</w:t>
      </w:r>
      <w:r w:rsidR="00F83A61" w:rsidRPr="00211ABC">
        <w:rPr>
          <w:rFonts w:ascii="Tahoma" w:hAnsi="Tahoma" w:cs="Tahoma"/>
        </w:rPr>
        <w:t xml:space="preserve"> y</w:t>
      </w:r>
      <w:r w:rsidRPr="00211ABC">
        <w:rPr>
          <w:rFonts w:ascii="Tahoma" w:hAnsi="Tahoma" w:cs="Tahoma"/>
        </w:rPr>
        <w:t>,</w:t>
      </w:r>
      <w:r w:rsidR="00F83A61" w:rsidRPr="00211ABC">
        <w:rPr>
          <w:rFonts w:ascii="Tahoma" w:hAnsi="Tahoma" w:cs="Tahoma"/>
        </w:rPr>
        <w:t xml:space="preserve"> en lo que respecta al tiempo de cotizaciones </w:t>
      </w:r>
      <w:r w:rsidR="00F86428">
        <w:rPr>
          <w:rFonts w:ascii="Tahoma" w:hAnsi="Tahoma" w:cs="Tahoma"/>
        </w:rPr>
        <w:t>d</w:t>
      </w:r>
      <w:r w:rsidR="006B5345" w:rsidRPr="00211ABC">
        <w:rPr>
          <w:rFonts w:ascii="Tahoma" w:hAnsi="Tahoma" w:cs="Tahoma"/>
        </w:rPr>
        <w:t xml:space="preserve">el </w:t>
      </w:r>
      <w:r w:rsidR="00F83A61" w:rsidRPr="00211ABC">
        <w:rPr>
          <w:rFonts w:ascii="Tahoma" w:hAnsi="Tahoma" w:cs="Tahoma"/>
        </w:rPr>
        <w:t xml:space="preserve">artículo 12 del </w:t>
      </w:r>
      <w:r w:rsidR="006B5345" w:rsidRPr="00211ABC">
        <w:rPr>
          <w:rFonts w:ascii="Tahoma" w:hAnsi="Tahoma" w:cs="Tahoma"/>
        </w:rPr>
        <w:t>Acuerdo 049 de 1990</w:t>
      </w:r>
      <w:r w:rsidR="00F83A61" w:rsidRPr="00211ABC">
        <w:rPr>
          <w:rFonts w:ascii="Tahoma" w:hAnsi="Tahoma" w:cs="Tahoma"/>
        </w:rPr>
        <w:t xml:space="preserve"> que otorga </w:t>
      </w:r>
      <w:r w:rsidR="006B5345" w:rsidRPr="00211ABC">
        <w:rPr>
          <w:rFonts w:ascii="Tahoma" w:hAnsi="Tahoma" w:cs="Tahoma"/>
        </w:rPr>
        <w:t xml:space="preserve">la posibilidad de acceder a la pensión de vejez con un mínimo de </w:t>
      </w:r>
      <w:r w:rsidR="00F83A61" w:rsidRPr="00211ABC">
        <w:rPr>
          <w:rFonts w:ascii="Tahoma" w:hAnsi="Tahoma" w:cs="Tahoma"/>
        </w:rPr>
        <w:t>1000 semanas en cualquier tiempo</w:t>
      </w:r>
      <w:r w:rsidR="00EE6F60" w:rsidRPr="00211ABC">
        <w:rPr>
          <w:rFonts w:ascii="Tahoma" w:hAnsi="Tahoma" w:cs="Tahoma"/>
        </w:rPr>
        <w:t xml:space="preserve">, </w:t>
      </w:r>
      <w:r w:rsidR="00F86428">
        <w:rPr>
          <w:rFonts w:ascii="Tahoma" w:hAnsi="Tahoma" w:cs="Tahoma"/>
        </w:rPr>
        <w:t xml:space="preserve">corresponden a </w:t>
      </w:r>
      <w:r w:rsidR="00EE6F60" w:rsidRPr="00211ABC">
        <w:rPr>
          <w:rFonts w:ascii="Tahoma" w:hAnsi="Tahoma" w:cs="Tahoma"/>
        </w:rPr>
        <w:t xml:space="preserve">requisitos </w:t>
      </w:r>
      <w:r w:rsidR="00F86428">
        <w:rPr>
          <w:rFonts w:ascii="Tahoma" w:hAnsi="Tahoma" w:cs="Tahoma"/>
        </w:rPr>
        <w:t xml:space="preserve">que </w:t>
      </w:r>
      <w:r w:rsidR="00EE6F60" w:rsidRPr="00211ABC">
        <w:rPr>
          <w:rFonts w:ascii="Tahoma" w:hAnsi="Tahoma" w:cs="Tahoma"/>
        </w:rPr>
        <w:t xml:space="preserve">se encontraron </w:t>
      </w:r>
      <w:r w:rsidR="00F86428">
        <w:rPr>
          <w:rFonts w:ascii="Tahoma" w:hAnsi="Tahoma" w:cs="Tahoma"/>
        </w:rPr>
        <w:t xml:space="preserve">satisfechos al contar el actor con </w:t>
      </w:r>
      <w:r w:rsidR="00EE6F60" w:rsidRPr="00211ABC">
        <w:rPr>
          <w:rFonts w:ascii="Tahoma" w:hAnsi="Tahoma" w:cs="Tahoma"/>
        </w:rPr>
        <w:t>un rigor de 1013,43 semanas, así:</w:t>
      </w:r>
    </w:p>
    <w:p w14:paraId="11A6C7BE" w14:textId="4649794C" w:rsidR="00A74B4B" w:rsidRPr="00211ABC" w:rsidRDefault="00A74B4B" w:rsidP="00F806FD">
      <w:pPr>
        <w:spacing w:line="276" w:lineRule="auto"/>
        <w:rPr>
          <w:rFonts w:ascii="Tahoma" w:hAnsi="Tahoma" w:cs="Tahoma"/>
        </w:rPr>
      </w:pPr>
    </w:p>
    <w:tbl>
      <w:tblPr>
        <w:tblStyle w:val="ListTable4Accent3"/>
        <w:tblW w:w="4974" w:type="pct"/>
        <w:tblLook w:val="04A0" w:firstRow="1" w:lastRow="0" w:firstColumn="1" w:lastColumn="0" w:noHBand="0" w:noVBand="1"/>
      </w:tblPr>
      <w:tblGrid>
        <w:gridCol w:w="1996"/>
        <w:gridCol w:w="1265"/>
        <w:gridCol w:w="1453"/>
        <w:gridCol w:w="1452"/>
        <w:gridCol w:w="1454"/>
        <w:gridCol w:w="1615"/>
      </w:tblGrid>
      <w:tr w:rsidR="00A74B4B" w:rsidRPr="00211ABC" w14:paraId="7E6DF222" w14:textId="77777777" w:rsidTr="00A74B4B">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66" w:type="pct"/>
            <w:noWrap/>
          </w:tcPr>
          <w:p w14:paraId="106DE3EA" w14:textId="628CF317" w:rsidR="00A74B4B" w:rsidRPr="00211ABC" w:rsidRDefault="00A74B4B" w:rsidP="00F806FD">
            <w:pPr>
              <w:spacing w:line="276" w:lineRule="auto"/>
              <w:jc w:val="center"/>
              <w:rPr>
                <w:rFonts w:ascii="Tahoma" w:eastAsia="Times New Roman" w:hAnsi="Tahoma" w:cs="Tahoma"/>
                <w:b w:val="0"/>
                <w:bCs w:val="0"/>
                <w:color w:val="auto"/>
                <w:sz w:val="16"/>
                <w:szCs w:val="16"/>
                <w:lang w:val="es-419" w:eastAsia="es-419"/>
              </w:rPr>
            </w:pPr>
          </w:p>
        </w:tc>
        <w:tc>
          <w:tcPr>
            <w:tcW w:w="708" w:type="pct"/>
          </w:tcPr>
          <w:p w14:paraId="77334CEC" w14:textId="7E52CCA4" w:rsidR="00A74B4B" w:rsidRPr="00211ABC" w:rsidRDefault="00A74B4B" w:rsidP="00F806FD">
            <w:pPr>
              <w:spacing w:line="276"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auto"/>
                <w:sz w:val="16"/>
                <w:szCs w:val="16"/>
                <w:lang w:val="es-419" w:eastAsia="es-419"/>
              </w:rPr>
            </w:pPr>
            <w:r w:rsidRPr="00211ABC">
              <w:rPr>
                <w:rFonts w:ascii="Tahoma" w:eastAsia="Times New Roman" w:hAnsi="Tahoma" w:cs="Tahoma"/>
                <w:b w:val="0"/>
                <w:bCs w:val="0"/>
                <w:color w:val="auto"/>
                <w:sz w:val="16"/>
                <w:szCs w:val="16"/>
                <w:lang w:val="es-419" w:eastAsia="es-419"/>
              </w:rPr>
              <w:t>Desde</w:t>
            </w:r>
          </w:p>
        </w:tc>
        <w:tc>
          <w:tcPr>
            <w:tcW w:w="810" w:type="pct"/>
          </w:tcPr>
          <w:p w14:paraId="061AEDCD" w14:textId="3BD85B50" w:rsidR="00A74B4B" w:rsidRPr="00211ABC" w:rsidRDefault="00A74B4B" w:rsidP="00F806FD">
            <w:pPr>
              <w:spacing w:line="276"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auto"/>
                <w:sz w:val="16"/>
                <w:szCs w:val="16"/>
                <w:lang w:val="es-419" w:eastAsia="es-419"/>
              </w:rPr>
            </w:pPr>
            <w:r w:rsidRPr="00211ABC">
              <w:rPr>
                <w:rFonts w:ascii="Tahoma" w:eastAsia="Times New Roman" w:hAnsi="Tahoma" w:cs="Tahoma"/>
                <w:b w:val="0"/>
                <w:bCs w:val="0"/>
                <w:color w:val="auto"/>
                <w:sz w:val="16"/>
                <w:szCs w:val="16"/>
                <w:lang w:val="es-419" w:eastAsia="es-419"/>
              </w:rPr>
              <w:t>Hasta</w:t>
            </w:r>
          </w:p>
        </w:tc>
        <w:tc>
          <w:tcPr>
            <w:tcW w:w="809" w:type="pct"/>
            <w:noWrap/>
          </w:tcPr>
          <w:p w14:paraId="522192E2" w14:textId="79E70183" w:rsidR="00A74B4B" w:rsidRPr="00211ABC" w:rsidRDefault="00A74B4B" w:rsidP="00F806FD">
            <w:pPr>
              <w:spacing w:line="276"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auto"/>
                <w:sz w:val="16"/>
                <w:szCs w:val="16"/>
                <w:lang w:val="es-419" w:eastAsia="es-419"/>
              </w:rPr>
            </w:pPr>
            <w:r w:rsidRPr="00211ABC">
              <w:rPr>
                <w:rFonts w:ascii="Tahoma" w:eastAsia="Times New Roman" w:hAnsi="Tahoma" w:cs="Tahoma"/>
                <w:b w:val="0"/>
                <w:bCs w:val="0"/>
                <w:color w:val="auto"/>
                <w:sz w:val="16"/>
                <w:szCs w:val="16"/>
                <w:lang w:val="es-419" w:eastAsia="es-419"/>
              </w:rPr>
              <w:t>Días</w:t>
            </w:r>
          </w:p>
        </w:tc>
        <w:tc>
          <w:tcPr>
            <w:tcW w:w="810" w:type="pct"/>
            <w:noWrap/>
          </w:tcPr>
          <w:p w14:paraId="6D0CD7E4" w14:textId="642EE1ED" w:rsidR="00A74B4B" w:rsidRPr="00211ABC" w:rsidRDefault="00A74B4B" w:rsidP="00F806FD">
            <w:pPr>
              <w:spacing w:line="276"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auto"/>
                <w:sz w:val="16"/>
                <w:szCs w:val="16"/>
                <w:lang w:val="es-419" w:eastAsia="es-419"/>
              </w:rPr>
            </w:pPr>
            <w:r w:rsidRPr="00211ABC">
              <w:rPr>
                <w:rFonts w:ascii="Tahoma" w:eastAsia="Times New Roman" w:hAnsi="Tahoma" w:cs="Tahoma"/>
                <w:b w:val="0"/>
                <w:bCs w:val="0"/>
                <w:color w:val="auto"/>
                <w:sz w:val="16"/>
                <w:szCs w:val="16"/>
                <w:lang w:val="es-419" w:eastAsia="es-419"/>
              </w:rPr>
              <w:t>Semanas</w:t>
            </w:r>
          </w:p>
        </w:tc>
        <w:tc>
          <w:tcPr>
            <w:tcW w:w="897" w:type="pct"/>
            <w:noWrap/>
          </w:tcPr>
          <w:p w14:paraId="20C34655" w14:textId="5626749C" w:rsidR="00A74B4B" w:rsidRPr="00211ABC" w:rsidRDefault="00A74B4B" w:rsidP="00F806FD">
            <w:pPr>
              <w:spacing w:line="276"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auto"/>
                <w:sz w:val="16"/>
                <w:szCs w:val="16"/>
                <w:lang w:val="es-419" w:eastAsia="es-419"/>
              </w:rPr>
            </w:pPr>
            <w:r w:rsidRPr="00211ABC">
              <w:rPr>
                <w:rFonts w:ascii="Tahoma" w:eastAsia="Times New Roman" w:hAnsi="Tahoma" w:cs="Tahoma"/>
                <w:b w:val="0"/>
                <w:bCs w:val="0"/>
                <w:color w:val="auto"/>
                <w:sz w:val="16"/>
                <w:szCs w:val="16"/>
                <w:lang w:val="es-419" w:eastAsia="es-419"/>
              </w:rPr>
              <w:t>Años</w:t>
            </w:r>
          </w:p>
        </w:tc>
      </w:tr>
      <w:tr w:rsidR="00A74B4B" w:rsidRPr="00211ABC" w14:paraId="5C774CA8" w14:textId="77777777" w:rsidTr="00A74B4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66" w:type="pct"/>
            <w:noWrap/>
          </w:tcPr>
          <w:p w14:paraId="779D0E4B" w14:textId="1F955533" w:rsidR="00A74B4B" w:rsidRPr="00211ABC" w:rsidRDefault="00A74B4B" w:rsidP="00F806FD">
            <w:pPr>
              <w:spacing w:line="276" w:lineRule="auto"/>
              <w:jc w:val="left"/>
              <w:rPr>
                <w:rFonts w:ascii="Tahoma" w:eastAsia="Times New Roman" w:hAnsi="Tahoma" w:cs="Tahoma"/>
                <w:b w:val="0"/>
                <w:bCs w:val="0"/>
                <w:sz w:val="16"/>
                <w:szCs w:val="16"/>
                <w:lang w:val="es-419" w:eastAsia="es-419"/>
              </w:rPr>
            </w:pPr>
            <w:r w:rsidRPr="00211ABC">
              <w:rPr>
                <w:rFonts w:ascii="Tahoma" w:eastAsia="Times New Roman" w:hAnsi="Tahoma" w:cs="Tahoma"/>
                <w:b w:val="0"/>
                <w:bCs w:val="0"/>
                <w:sz w:val="16"/>
                <w:szCs w:val="16"/>
                <w:lang w:val="es-419" w:eastAsia="es-419"/>
              </w:rPr>
              <w:t xml:space="preserve">Caja de crédito Industrial </w:t>
            </w:r>
          </w:p>
        </w:tc>
        <w:tc>
          <w:tcPr>
            <w:tcW w:w="708" w:type="pct"/>
          </w:tcPr>
          <w:p w14:paraId="59E86862" w14:textId="3EF24B49" w:rsidR="00A74B4B" w:rsidRPr="00211ABC" w:rsidRDefault="00A74B4B" w:rsidP="00F806FD">
            <w:pPr>
              <w:spacing w:line="276"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2-dic.-75</w:t>
            </w:r>
          </w:p>
        </w:tc>
        <w:tc>
          <w:tcPr>
            <w:tcW w:w="810" w:type="pct"/>
          </w:tcPr>
          <w:p w14:paraId="43F96FA3" w14:textId="703F0D7A" w:rsidR="00A74B4B" w:rsidRPr="00211ABC" w:rsidRDefault="00A74B4B" w:rsidP="00F806FD">
            <w:pPr>
              <w:spacing w:line="276"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24-sep.-78</w:t>
            </w:r>
          </w:p>
        </w:tc>
        <w:tc>
          <w:tcPr>
            <w:tcW w:w="809" w:type="pct"/>
            <w:noWrap/>
          </w:tcPr>
          <w:p w14:paraId="533C999A" w14:textId="3DF4F8FB" w:rsidR="00A74B4B" w:rsidRPr="00211ABC" w:rsidRDefault="00A74B4B" w:rsidP="00F806FD">
            <w:pPr>
              <w:spacing w:line="276"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1028.00</w:t>
            </w:r>
          </w:p>
        </w:tc>
        <w:tc>
          <w:tcPr>
            <w:tcW w:w="810" w:type="pct"/>
            <w:noWrap/>
          </w:tcPr>
          <w:p w14:paraId="56DD9D88" w14:textId="7A00922B" w:rsidR="00A74B4B" w:rsidRPr="00211ABC" w:rsidRDefault="00A74B4B" w:rsidP="00F806FD">
            <w:pPr>
              <w:spacing w:line="276"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146.86</w:t>
            </w:r>
          </w:p>
        </w:tc>
        <w:tc>
          <w:tcPr>
            <w:tcW w:w="897" w:type="pct"/>
            <w:noWrap/>
          </w:tcPr>
          <w:p w14:paraId="0EF15C86" w14:textId="02F4656D" w:rsidR="00A74B4B" w:rsidRPr="00211ABC" w:rsidRDefault="00A74B4B" w:rsidP="00F806FD">
            <w:pPr>
              <w:spacing w:line="276"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2.86</w:t>
            </w:r>
          </w:p>
        </w:tc>
      </w:tr>
      <w:tr w:rsidR="00A74B4B" w:rsidRPr="00211ABC" w14:paraId="4BBD2677" w14:textId="77777777" w:rsidTr="00A74B4B">
        <w:trPr>
          <w:trHeight w:val="240"/>
        </w:trPr>
        <w:tc>
          <w:tcPr>
            <w:cnfStyle w:val="001000000000" w:firstRow="0" w:lastRow="0" w:firstColumn="1" w:lastColumn="0" w:oddVBand="0" w:evenVBand="0" w:oddHBand="0" w:evenHBand="0" w:firstRowFirstColumn="0" w:firstRowLastColumn="0" w:lastRowFirstColumn="0" w:lastRowLastColumn="0"/>
            <w:tcW w:w="966" w:type="pct"/>
            <w:noWrap/>
            <w:hideMark/>
          </w:tcPr>
          <w:p w14:paraId="5AEEF896" w14:textId="77777777" w:rsidR="00A74B4B" w:rsidRPr="00211ABC" w:rsidRDefault="00A74B4B" w:rsidP="00F806FD">
            <w:pPr>
              <w:spacing w:line="276" w:lineRule="auto"/>
              <w:jc w:val="left"/>
              <w:rPr>
                <w:rFonts w:ascii="Tahoma" w:eastAsia="Times New Roman" w:hAnsi="Tahoma" w:cs="Tahoma"/>
                <w:b w:val="0"/>
                <w:bCs w:val="0"/>
                <w:sz w:val="16"/>
                <w:szCs w:val="16"/>
                <w:lang w:val="es-419" w:eastAsia="es-419"/>
              </w:rPr>
            </w:pPr>
            <w:r w:rsidRPr="00211ABC">
              <w:rPr>
                <w:rFonts w:ascii="Tahoma" w:eastAsia="Times New Roman" w:hAnsi="Tahoma" w:cs="Tahoma"/>
                <w:b w:val="0"/>
                <w:bCs w:val="0"/>
                <w:sz w:val="16"/>
                <w:szCs w:val="16"/>
                <w:lang w:val="es-419" w:eastAsia="es-419"/>
              </w:rPr>
              <w:t>Telecom</w:t>
            </w:r>
          </w:p>
        </w:tc>
        <w:tc>
          <w:tcPr>
            <w:tcW w:w="708" w:type="pct"/>
            <w:hideMark/>
          </w:tcPr>
          <w:p w14:paraId="3FC86130" w14:textId="77777777" w:rsidR="00A74B4B" w:rsidRPr="00211ABC" w:rsidRDefault="00A74B4B" w:rsidP="00F806FD">
            <w:pPr>
              <w:spacing w:line="276"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23-oct.-78</w:t>
            </w:r>
          </w:p>
        </w:tc>
        <w:tc>
          <w:tcPr>
            <w:tcW w:w="810" w:type="pct"/>
            <w:hideMark/>
          </w:tcPr>
          <w:p w14:paraId="054542F6" w14:textId="30383DAB" w:rsidR="00A74B4B" w:rsidRPr="00211ABC" w:rsidRDefault="00A74B4B" w:rsidP="00F806FD">
            <w:pPr>
              <w:spacing w:line="276"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31-mar.-95</w:t>
            </w:r>
            <w:r w:rsidRPr="00211ABC">
              <w:rPr>
                <w:rStyle w:val="Refdenotaalpie"/>
                <w:rFonts w:ascii="Tahoma" w:eastAsia="Times New Roman" w:hAnsi="Tahoma" w:cs="Tahoma"/>
                <w:sz w:val="16"/>
                <w:szCs w:val="16"/>
                <w:lang w:val="es-419" w:eastAsia="es-419"/>
              </w:rPr>
              <w:footnoteReference w:id="3"/>
            </w:r>
          </w:p>
        </w:tc>
        <w:tc>
          <w:tcPr>
            <w:tcW w:w="809" w:type="pct"/>
            <w:noWrap/>
            <w:hideMark/>
          </w:tcPr>
          <w:p w14:paraId="4D2686A5" w14:textId="77777777" w:rsidR="00A74B4B" w:rsidRPr="00211ABC" w:rsidRDefault="00A74B4B" w:rsidP="00F806FD">
            <w:pPr>
              <w:spacing w:line="276"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5766.00</w:t>
            </w:r>
          </w:p>
        </w:tc>
        <w:tc>
          <w:tcPr>
            <w:tcW w:w="810" w:type="pct"/>
            <w:noWrap/>
            <w:hideMark/>
          </w:tcPr>
          <w:p w14:paraId="5A085962" w14:textId="77777777" w:rsidR="00A74B4B" w:rsidRPr="00211ABC" w:rsidRDefault="00A74B4B" w:rsidP="00F806FD">
            <w:pPr>
              <w:spacing w:line="276"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823.71</w:t>
            </w:r>
          </w:p>
        </w:tc>
        <w:tc>
          <w:tcPr>
            <w:tcW w:w="897" w:type="pct"/>
            <w:noWrap/>
            <w:hideMark/>
          </w:tcPr>
          <w:p w14:paraId="0D59DE98" w14:textId="77777777" w:rsidR="00A74B4B" w:rsidRPr="00211ABC" w:rsidRDefault="00A74B4B" w:rsidP="00F806FD">
            <w:pPr>
              <w:spacing w:line="276"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16.02</w:t>
            </w:r>
          </w:p>
        </w:tc>
      </w:tr>
      <w:tr w:rsidR="00A74B4B" w:rsidRPr="00211ABC" w14:paraId="1589BF1B" w14:textId="77777777" w:rsidTr="00A74B4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66" w:type="pct"/>
            <w:noWrap/>
            <w:hideMark/>
          </w:tcPr>
          <w:p w14:paraId="32797461" w14:textId="77DCCF0B" w:rsidR="00A74B4B" w:rsidRPr="00211ABC" w:rsidRDefault="00A74B4B" w:rsidP="00F806FD">
            <w:pPr>
              <w:spacing w:line="276" w:lineRule="auto"/>
              <w:jc w:val="left"/>
              <w:rPr>
                <w:rFonts w:ascii="Tahoma" w:eastAsia="Times New Roman" w:hAnsi="Tahoma" w:cs="Tahoma"/>
                <w:b w:val="0"/>
                <w:bCs w:val="0"/>
                <w:sz w:val="16"/>
                <w:szCs w:val="16"/>
                <w:lang w:val="es-419" w:eastAsia="es-419"/>
              </w:rPr>
            </w:pPr>
            <w:r w:rsidRPr="00211ABC">
              <w:rPr>
                <w:rFonts w:ascii="Tahoma" w:eastAsia="Times New Roman" w:hAnsi="Tahoma" w:cs="Tahoma"/>
                <w:b w:val="0"/>
                <w:bCs w:val="0"/>
                <w:sz w:val="16"/>
                <w:szCs w:val="16"/>
                <w:lang w:val="es-419" w:eastAsia="es-419"/>
              </w:rPr>
              <w:t>flor América</w:t>
            </w:r>
          </w:p>
        </w:tc>
        <w:tc>
          <w:tcPr>
            <w:tcW w:w="708" w:type="pct"/>
            <w:hideMark/>
          </w:tcPr>
          <w:p w14:paraId="2B846582" w14:textId="77777777" w:rsidR="00A74B4B" w:rsidRPr="00211ABC" w:rsidRDefault="00A74B4B" w:rsidP="00F806FD">
            <w:pPr>
              <w:spacing w:line="276"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26-mar.-79</w:t>
            </w:r>
          </w:p>
        </w:tc>
        <w:tc>
          <w:tcPr>
            <w:tcW w:w="810" w:type="pct"/>
            <w:hideMark/>
          </w:tcPr>
          <w:p w14:paraId="1136F177" w14:textId="77777777" w:rsidR="00A74B4B" w:rsidRPr="00211ABC" w:rsidRDefault="00A74B4B" w:rsidP="00F806FD">
            <w:pPr>
              <w:spacing w:line="276"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23-may.-79</w:t>
            </w:r>
          </w:p>
        </w:tc>
        <w:tc>
          <w:tcPr>
            <w:tcW w:w="809" w:type="pct"/>
            <w:noWrap/>
            <w:hideMark/>
          </w:tcPr>
          <w:p w14:paraId="03DA0F6B" w14:textId="77777777" w:rsidR="00A74B4B" w:rsidRPr="00211ABC" w:rsidRDefault="00A74B4B" w:rsidP="00F806FD">
            <w:pPr>
              <w:spacing w:line="276"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59.00</w:t>
            </w:r>
          </w:p>
        </w:tc>
        <w:tc>
          <w:tcPr>
            <w:tcW w:w="810" w:type="pct"/>
            <w:noWrap/>
            <w:hideMark/>
          </w:tcPr>
          <w:p w14:paraId="5F8E1D4A" w14:textId="77777777" w:rsidR="00A74B4B" w:rsidRPr="00211ABC" w:rsidRDefault="00A74B4B" w:rsidP="00F806FD">
            <w:pPr>
              <w:spacing w:line="276"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8.43</w:t>
            </w:r>
          </w:p>
        </w:tc>
        <w:tc>
          <w:tcPr>
            <w:tcW w:w="897" w:type="pct"/>
            <w:noWrap/>
            <w:hideMark/>
          </w:tcPr>
          <w:p w14:paraId="6A067A2B" w14:textId="77777777" w:rsidR="00A74B4B" w:rsidRPr="00211ABC" w:rsidRDefault="00A74B4B" w:rsidP="00F806FD">
            <w:pPr>
              <w:spacing w:line="276"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0.16</w:t>
            </w:r>
          </w:p>
        </w:tc>
      </w:tr>
      <w:tr w:rsidR="00A74B4B" w:rsidRPr="00211ABC" w14:paraId="6EE1E8C0" w14:textId="77777777" w:rsidTr="00A74B4B">
        <w:trPr>
          <w:trHeight w:val="240"/>
        </w:trPr>
        <w:tc>
          <w:tcPr>
            <w:cnfStyle w:val="001000000000" w:firstRow="0" w:lastRow="0" w:firstColumn="1" w:lastColumn="0" w:oddVBand="0" w:evenVBand="0" w:oddHBand="0" w:evenHBand="0" w:firstRowFirstColumn="0" w:firstRowLastColumn="0" w:lastRowFirstColumn="0" w:lastRowLastColumn="0"/>
            <w:tcW w:w="966" w:type="pct"/>
            <w:noWrap/>
            <w:hideMark/>
          </w:tcPr>
          <w:p w14:paraId="60752F78" w14:textId="77777777" w:rsidR="00A74B4B" w:rsidRPr="00211ABC" w:rsidRDefault="00A74B4B" w:rsidP="00F806FD">
            <w:pPr>
              <w:spacing w:line="276" w:lineRule="auto"/>
              <w:jc w:val="left"/>
              <w:rPr>
                <w:rFonts w:ascii="Tahoma" w:eastAsia="Times New Roman" w:hAnsi="Tahoma" w:cs="Tahoma"/>
                <w:b w:val="0"/>
                <w:bCs w:val="0"/>
                <w:sz w:val="16"/>
                <w:szCs w:val="16"/>
                <w:lang w:val="es-419" w:eastAsia="es-419"/>
              </w:rPr>
            </w:pPr>
            <w:r w:rsidRPr="00211ABC">
              <w:rPr>
                <w:rFonts w:ascii="Tahoma" w:eastAsia="Times New Roman" w:hAnsi="Tahoma" w:cs="Tahoma"/>
                <w:b w:val="0"/>
                <w:bCs w:val="0"/>
                <w:sz w:val="16"/>
                <w:szCs w:val="16"/>
                <w:lang w:val="es-419" w:eastAsia="es-419"/>
              </w:rPr>
              <w:t>Independiente</w:t>
            </w:r>
          </w:p>
        </w:tc>
        <w:tc>
          <w:tcPr>
            <w:tcW w:w="708" w:type="pct"/>
            <w:hideMark/>
          </w:tcPr>
          <w:p w14:paraId="2DE212B7" w14:textId="77777777" w:rsidR="00A74B4B" w:rsidRPr="00211ABC" w:rsidRDefault="00A74B4B" w:rsidP="00F806FD">
            <w:pPr>
              <w:spacing w:line="276"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1-may.-95</w:t>
            </w:r>
          </w:p>
        </w:tc>
        <w:tc>
          <w:tcPr>
            <w:tcW w:w="810" w:type="pct"/>
            <w:hideMark/>
          </w:tcPr>
          <w:p w14:paraId="54F4BC3D" w14:textId="77777777" w:rsidR="00A74B4B" w:rsidRPr="00211ABC" w:rsidRDefault="00A74B4B" w:rsidP="00F806FD">
            <w:pPr>
              <w:spacing w:line="276"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31-may.-96</w:t>
            </w:r>
          </w:p>
        </w:tc>
        <w:tc>
          <w:tcPr>
            <w:tcW w:w="809" w:type="pct"/>
            <w:noWrap/>
            <w:hideMark/>
          </w:tcPr>
          <w:p w14:paraId="4BE64E1F" w14:textId="77777777" w:rsidR="00A74B4B" w:rsidRPr="00211ABC" w:rsidRDefault="00A74B4B" w:rsidP="00F806FD">
            <w:pPr>
              <w:spacing w:line="276"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240.00</w:t>
            </w:r>
          </w:p>
        </w:tc>
        <w:tc>
          <w:tcPr>
            <w:tcW w:w="810" w:type="pct"/>
            <w:noWrap/>
            <w:hideMark/>
          </w:tcPr>
          <w:p w14:paraId="5D4FCC8F" w14:textId="77777777" w:rsidR="00A74B4B" w:rsidRPr="00211ABC" w:rsidRDefault="00A74B4B" w:rsidP="00F806FD">
            <w:pPr>
              <w:spacing w:line="276"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34.29</w:t>
            </w:r>
          </w:p>
        </w:tc>
        <w:tc>
          <w:tcPr>
            <w:tcW w:w="897" w:type="pct"/>
            <w:noWrap/>
            <w:hideMark/>
          </w:tcPr>
          <w:p w14:paraId="596766DC" w14:textId="77777777" w:rsidR="00A74B4B" w:rsidRPr="00211ABC" w:rsidRDefault="00A74B4B" w:rsidP="00F806FD">
            <w:pPr>
              <w:spacing w:line="276"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0.67</w:t>
            </w:r>
          </w:p>
        </w:tc>
      </w:tr>
      <w:tr w:rsidR="00A74B4B" w:rsidRPr="00211ABC" w14:paraId="2A2431D0" w14:textId="77777777" w:rsidTr="00A74B4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66" w:type="pct"/>
            <w:noWrap/>
            <w:hideMark/>
          </w:tcPr>
          <w:p w14:paraId="6BAAFDFE" w14:textId="0E3197B2" w:rsidR="00A74B4B" w:rsidRPr="00211ABC" w:rsidRDefault="00A74B4B" w:rsidP="00F806FD">
            <w:pPr>
              <w:spacing w:line="276" w:lineRule="auto"/>
              <w:jc w:val="left"/>
              <w:rPr>
                <w:rFonts w:ascii="Tahoma" w:eastAsia="Times New Roman" w:hAnsi="Tahoma" w:cs="Tahoma"/>
                <w:b w:val="0"/>
                <w:bCs w:val="0"/>
                <w:sz w:val="16"/>
                <w:szCs w:val="16"/>
                <w:lang w:val="es-419" w:eastAsia="es-419"/>
              </w:rPr>
            </w:pPr>
            <w:r w:rsidRPr="00211ABC">
              <w:rPr>
                <w:rFonts w:ascii="Tahoma" w:eastAsia="Times New Roman" w:hAnsi="Tahoma" w:cs="Tahoma"/>
                <w:b w:val="0"/>
                <w:bCs w:val="0"/>
                <w:sz w:val="16"/>
                <w:szCs w:val="16"/>
                <w:lang w:val="es-419" w:eastAsia="es-419"/>
              </w:rPr>
              <w:t>San Gregorio Ltda.</w:t>
            </w:r>
          </w:p>
        </w:tc>
        <w:tc>
          <w:tcPr>
            <w:tcW w:w="708" w:type="pct"/>
            <w:hideMark/>
          </w:tcPr>
          <w:p w14:paraId="219819D5" w14:textId="77777777" w:rsidR="00A74B4B" w:rsidRPr="00211ABC" w:rsidRDefault="00A74B4B" w:rsidP="00F806FD">
            <w:pPr>
              <w:spacing w:line="276"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1-sep.-02</w:t>
            </w:r>
          </w:p>
        </w:tc>
        <w:tc>
          <w:tcPr>
            <w:tcW w:w="810" w:type="pct"/>
            <w:hideMark/>
          </w:tcPr>
          <w:p w14:paraId="6323B799" w14:textId="77777777" w:rsidR="00A74B4B" w:rsidRPr="00211ABC" w:rsidRDefault="00A74B4B" w:rsidP="00F806FD">
            <w:pPr>
              <w:spacing w:line="276"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1-sep.-02</w:t>
            </w:r>
          </w:p>
        </w:tc>
        <w:tc>
          <w:tcPr>
            <w:tcW w:w="809" w:type="pct"/>
            <w:noWrap/>
            <w:hideMark/>
          </w:tcPr>
          <w:p w14:paraId="6C4763C3" w14:textId="77777777" w:rsidR="00A74B4B" w:rsidRPr="00211ABC" w:rsidRDefault="00A74B4B" w:rsidP="00F806FD">
            <w:pPr>
              <w:spacing w:line="276"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1.00</w:t>
            </w:r>
          </w:p>
        </w:tc>
        <w:tc>
          <w:tcPr>
            <w:tcW w:w="810" w:type="pct"/>
            <w:noWrap/>
            <w:hideMark/>
          </w:tcPr>
          <w:p w14:paraId="09CB215C" w14:textId="77777777" w:rsidR="00A74B4B" w:rsidRPr="00211ABC" w:rsidRDefault="00A74B4B" w:rsidP="00F806FD">
            <w:pPr>
              <w:spacing w:line="276"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0.14</w:t>
            </w:r>
          </w:p>
        </w:tc>
        <w:tc>
          <w:tcPr>
            <w:tcW w:w="897" w:type="pct"/>
            <w:noWrap/>
            <w:hideMark/>
          </w:tcPr>
          <w:p w14:paraId="50CB8117" w14:textId="77777777" w:rsidR="00A74B4B" w:rsidRPr="00211ABC" w:rsidRDefault="00A74B4B" w:rsidP="00F806FD">
            <w:pPr>
              <w:spacing w:line="276"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0.00</w:t>
            </w:r>
          </w:p>
        </w:tc>
      </w:tr>
      <w:tr w:rsidR="00A74B4B" w:rsidRPr="00211ABC" w14:paraId="25EB4CF7" w14:textId="77777777" w:rsidTr="00A74B4B">
        <w:trPr>
          <w:trHeight w:val="240"/>
        </w:trPr>
        <w:tc>
          <w:tcPr>
            <w:cnfStyle w:val="001000000000" w:firstRow="0" w:lastRow="0" w:firstColumn="1" w:lastColumn="0" w:oddVBand="0" w:evenVBand="0" w:oddHBand="0" w:evenHBand="0" w:firstRowFirstColumn="0" w:firstRowLastColumn="0" w:lastRowFirstColumn="0" w:lastRowLastColumn="0"/>
            <w:tcW w:w="966" w:type="pct"/>
            <w:noWrap/>
            <w:hideMark/>
          </w:tcPr>
          <w:p w14:paraId="4997C5F7" w14:textId="77777777" w:rsidR="00A74B4B" w:rsidRPr="00211ABC" w:rsidRDefault="00A74B4B" w:rsidP="00F806FD">
            <w:pPr>
              <w:spacing w:line="276" w:lineRule="auto"/>
              <w:jc w:val="right"/>
              <w:rPr>
                <w:rFonts w:ascii="Tahoma" w:eastAsia="Times New Roman" w:hAnsi="Tahoma" w:cs="Tahoma"/>
                <w:b w:val="0"/>
                <w:bCs w:val="0"/>
                <w:sz w:val="16"/>
                <w:szCs w:val="16"/>
                <w:lang w:val="es-419" w:eastAsia="es-419"/>
              </w:rPr>
            </w:pPr>
          </w:p>
        </w:tc>
        <w:tc>
          <w:tcPr>
            <w:tcW w:w="708" w:type="pct"/>
            <w:noWrap/>
            <w:hideMark/>
          </w:tcPr>
          <w:p w14:paraId="7DEDCDF3" w14:textId="77777777" w:rsidR="00A74B4B" w:rsidRPr="00211ABC" w:rsidRDefault="00A74B4B" w:rsidP="00F806FD">
            <w:pPr>
              <w:spacing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val="es-419" w:eastAsia="es-419"/>
              </w:rPr>
            </w:pPr>
          </w:p>
        </w:tc>
        <w:tc>
          <w:tcPr>
            <w:tcW w:w="810" w:type="pct"/>
            <w:noWrap/>
            <w:hideMark/>
          </w:tcPr>
          <w:p w14:paraId="2702DE89" w14:textId="77777777" w:rsidR="00A74B4B" w:rsidRPr="00211ABC" w:rsidRDefault="00A74B4B" w:rsidP="00F806FD">
            <w:pPr>
              <w:spacing w:line="276" w:lineRule="auto"/>
              <w:jc w:val="lef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val="es-419" w:eastAsia="es-419"/>
              </w:rPr>
            </w:pPr>
          </w:p>
        </w:tc>
        <w:tc>
          <w:tcPr>
            <w:tcW w:w="809" w:type="pct"/>
            <w:noWrap/>
            <w:hideMark/>
          </w:tcPr>
          <w:p w14:paraId="341FFFF8" w14:textId="77777777" w:rsidR="00A74B4B" w:rsidRPr="00211ABC" w:rsidRDefault="00A74B4B" w:rsidP="00F806FD">
            <w:pPr>
              <w:spacing w:line="276"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7094.00</w:t>
            </w:r>
          </w:p>
        </w:tc>
        <w:tc>
          <w:tcPr>
            <w:tcW w:w="810" w:type="pct"/>
            <w:noWrap/>
            <w:hideMark/>
          </w:tcPr>
          <w:p w14:paraId="4AAB8A89" w14:textId="77777777" w:rsidR="00A74B4B" w:rsidRPr="00211ABC" w:rsidRDefault="00A74B4B" w:rsidP="00F806FD">
            <w:pPr>
              <w:spacing w:line="276"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1013.43</w:t>
            </w:r>
          </w:p>
        </w:tc>
        <w:tc>
          <w:tcPr>
            <w:tcW w:w="897" w:type="pct"/>
            <w:noWrap/>
            <w:hideMark/>
          </w:tcPr>
          <w:p w14:paraId="31EE8183" w14:textId="77777777" w:rsidR="00A74B4B" w:rsidRPr="00211ABC" w:rsidRDefault="00A74B4B" w:rsidP="00F806FD">
            <w:pPr>
              <w:spacing w:line="276"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19.71</w:t>
            </w:r>
          </w:p>
        </w:tc>
      </w:tr>
    </w:tbl>
    <w:p w14:paraId="0BBF3812" w14:textId="1F954AF4" w:rsidR="00A74B4B" w:rsidRPr="00211ABC" w:rsidRDefault="00A74B4B" w:rsidP="00F806FD">
      <w:pPr>
        <w:spacing w:line="276" w:lineRule="auto"/>
        <w:rPr>
          <w:rFonts w:ascii="Tahoma" w:hAnsi="Tahoma" w:cs="Tahoma"/>
        </w:rPr>
      </w:pPr>
    </w:p>
    <w:p w14:paraId="54685509" w14:textId="76C6C7F3" w:rsidR="00A61F88" w:rsidRDefault="00A61F88" w:rsidP="00F806FD">
      <w:pPr>
        <w:spacing w:line="276" w:lineRule="auto"/>
        <w:ind w:firstLine="360"/>
        <w:rPr>
          <w:rFonts w:ascii="Tahoma" w:hAnsi="Tahoma" w:cs="Tahoma"/>
        </w:rPr>
      </w:pPr>
      <w:r>
        <w:rPr>
          <w:rFonts w:ascii="Tahoma" w:hAnsi="Tahoma" w:cs="Tahoma"/>
        </w:rPr>
        <w:t>A la anterior conclusión se llega, con apoyo en la documental aportada al plenario, para lo cual se hace la siguiente acotación:</w:t>
      </w:r>
    </w:p>
    <w:p w14:paraId="61FF33C1" w14:textId="77777777" w:rsidR="00A61F88" w:rsidRDefault="00A61F88" w:rsidP="00F806FD">
      <w:pPr>
        <w:spacing w:line="276" w:lineRule="auto"/>
        <w:ind w:firstLine="360"/>
        <w:rPr>
          <w:rFonts w:ascii="Tahoma" w:hAnsi="Tahoma" w:cs="Tahoma"/>
        </w:rPr>
      </w:pPr>
    </w:p>
    <w:p w14:paraId="66B610B6" w14:textId="57EB6F2E" w:rsidR="00AC65AD" w:rsidRPr="00211ABC" w:rsidRDefault="00A74B4B" w:rsidP="00F806FD">
      <w:pPr>
        <w:spacing w:line="276" w:lineRule="auto"/>
        <w:ind w:firstLine="360"/>
        <w:rPr>
          <w:rFonts w:ascii="Tahoma" w:hAnsi="Tahoma" w:cs="Tahoma"/>
        </w:rPr>
      </w:pPr>
      <w:r w:rsidRPr="00211ABC">
        <w:rPr>
          <w:rFonts w:ascii="Tahoma" w:hAnsi="Tahoma" w:cs="Tahoma"/>
        </w:rPr>
        <w:t xml:space="preserve">En torno a la Caja de Crédito Industrial y Minero se encuentra soportado en la certificación laboral de folio 25 del expediente digital, el cual se expidió </w:t>
      </w:r>
      <w:r w:rsidR="00AC65AD" w:rsidRPr="00211ABC">
        <w:rPr>
          <w:rFonts w:ascii="Tahoma" w:hAnsi="Tahoma" w:cs="Tahoma"/>
        </w:rPr>
        <w:t>por el departamento de relaciones humanas, división de información de personal, sección registro, archivo y correspondencia de la Caja de Crédito Industrial y Minero</w:t>
      </w:r>
      <w:r w:rsidR="00A61F88">
        <w:rPr>
          <w:rFonts w:ascii="Tahoma" w:hAnsi="Tahoma" w:cs="Tahoma"/>
        </w:rPr>
        <w:t xml:space="preserve"> el cual</w:t>
      </w:r>
      <w:r w:rsidRPr="00211ABC">
        <w:rPr>
          <w:rFonts w:ascii="Tahoma" w:hAnsi="Tahoma" w:cs="Tahoma"/>
        </w:rPr>
        <w:t xml:space="preserve"> da cuenta de la prestación del servicio entre el 02-12-1975 y el 24-09-1978</w:t>
      </w:r>
      <w:r w:rsidR="00AC65AD" w:rsidRPr="00211ABC">
        <w:rPr>
          <w:rFonts w:ascii="Tahoma" w:hAnsi="Tahoma" w:cs="Tahoma"/>
        </w:rPr>
        <w:t xml:space="preserve">, </w:t>
      </w:r>
      <w:r w:rsidRPr="00211ABC">
        <w:rPr>
          <w:rFonts w:ascii="Tahoma" w:hAnsi="Tahoma" w:cs="Tahoma"/>
        </w:rPr>
        <w:t xml:space="preserve">acreditando en total </w:t>
      </w:r>
      <w:r w:rsidR="000C0E49" w:rsidRPr="00211ABC">
        <w:rPr>
          <w:rFonts w:ascii="Tahoma" w:hAnsi="Tahoma" w:cs="Tahoma"/>
          <w:b/>
          <w:bCs/>
        </w:rPr>
        <w:t xml:space="preserve">1.028 </w:t>
      </w:r>
      <w:r w:rsidR="00EE6F60" w:rsidRPr="00211ABC">
        <w:rPr>
          <w:rFonts w:ascii="Tahoma" w:hAnsi="Tahoma" w:cs="Tahoma"/>
          <w:b/>
          <w:bCs/>
        </w:rPr>
        <w:t>días</w:t>
      </w:r>
      <w:r w:rsidR="000C0E49" w:rsidRPr="00211ABC">
        <w:rPr>
          <w:rFonts w:ascii="Tahoma" w:hAnsi="Tahoma" w:cs="Tahoma"/>
        </w:rPr>
        <w:t xml:space="preserve"> </w:t>
      </w:r>
      <w:bookmarkStart w:id="7" w:name="_Hlk58395616"/>
      <w:r w:rsidR="000C0E49" w:rsidRPr="00211ABC">
        <w:rPr>
          <w:rFonts w:ascii="Tahoma" w:hAnsi="Tahoma" w:cs="Tahoma"/>
        </w:rPr>
        <w:t>(14</w:t>
      </w:r>
      <w:r w:rsidRPr="00211ABC">
        <w:rPr>
          <w:rFonts w:ascii="Tahoma" w:hAnsi="Tahoma" w:cs="Tahoma"/>
        </w:rPr>
        <w:t>6</w:t>
      </w:r>
      <w:r w:rsidR="000C0E49" w:rsidRPr="00211ABC">
        <w:rPr>
          <w:rFonts w:ascii="Tahoma" w:hAnsi="Tahoma" w:cs="Tahoma"/>
        </w:rPr>
        <w:t>.86 semanas</w:t>
      </w:r>
      <w:r w:rsidR="007C2DEA" w:rsidRPr="00211ABC">
        <w:rPr>
          <w:rFonts w:ascii="Tahoma" w:hAnsi="Tahoma" w:cs="Tahoma"/>
        </w:rPr>
        <w:t xml:space="preserve"> y 2.86 años</w:t>
      </w:r>
      <w:r w:rsidR="000C0E49" w:rsidRPr="00211ABC">
        <w:rPr>
          <w:rFonts w:ascii="Tahoma" w:hAnsi="Tahoma" w:cs="Tahoma"/>
        </w:rPr>
        <w:t>)</w:t>
      </w:r>
      <w:bookmarkEnd w:id="7"/>
      <w:r w:rsidR="00EE6F60" w:rsidRPr="00211ABC">
        <w:rPr>
          <w:rFonts w:ascii="Tahoma" w:hAnsi="Tahoma" w:cs="Tahoma"/>
        </w:rPr>
        <w:t>.</w:t>
      </w:r>
    </w:p>
    <w:p w14:paraId="40A07B7C" w14:textId="67AE2753" w:rsidR="00A74B4B" w:rsidRPr="00211ABC" w:rsidRDefault="00A74B4B" w:rsidP="00F806FD">
      <w:pPr>
        <w:spacing w:line="276" w:lineRule="auto"/>
        <w:ind w:firstLine="360"/>
        <w:rPr>
          <w:rFonts w:ascii="Tahoma" w:hAnsi="Tahoma" w:cs="Tahoma"/>
        </w:rPr>
      </w:pPr>
    </w:p>
    <w:p w14:paraId="1F278ED8" w14:textId="4E31EFEF" w:rsidR="00A74B4B" w:rsidRPr="00211ABC" w:rsidRDefault="00A74B4B" w:rsidP="00F806FD">
      <w:pPr>
        <w:spacing w:line="276" w:lineRule="auto"/>
        <w:ind w:firstLine="360"/>
        <w:rPr>
          <w:rFonts w:ascii="Tahoma" w:hAnsi="Tahoma" w:cs="Tahoma"/>
        </w:rPr>
      </w:pPr>
      <w:r w:rsidRPr="00211ABC">
        <w:rPr>
          <w:rFonts w:ascii="Tahoma" w:hAnsi="Tahoma" w:cs="Tahoma"/>
        </w:rPr>
        <w:t>Respecto del tiempo de servicio</w:t>
      </w:r>
      <w:r w:rsidR="00A61F88">
        <w:rPr>
          <w:rFonts w:ascii="Tahoma" w:hAnsi="Tahoma" w:cs="Tahoma"/>
        </w:rPr>
        <w:t>s</w:t>
      </w:r>
      <w:r w:rsidRPr="00211ABC">
        <w:rPr>
          <w:rFonts w:ascii="Tahoma" w:hAnsi="Tahoma" w:cs="Tahoma"/>
        </w:rPr>
        <w:t xml:space="preserve"> en Telecom, aunque existen diversos documentos </w:t>
      </w:r>
      <w:r w:rsidR="00EA248F">
        <w:rPr>
          <w:rFonts w:ascii="Tahoma" w:hAnsi="Tahoma" w:cs="Tahoma"/>
        </w:rPr>
        <w:t xml:space="preserve">en el expediente administrativo </w:t>
      </w:r>
      <w:r w:rsidRPr="00211ABC">
        <w:rPr>
          <w:rFonts w:ascii="Tahoma" w:hAnsi="Tahoma" w:cs="Tahoma"/>
        </w:rPr>
        <w:t xml:space="preserve">que dan cuenta </w:t>
      </w:r>
      <w:r w:rsidR="00A61F88">
        <w:rPr>
          <w:rFonts w:ascii="Tahoma" w:hAnsi="Tahoma" w:cs="Tahoma"/>
        </w:rPr>
        <w:t>de ello</w:t>
      </w:r>
      <w:r w:rsidRPr="00211ABC">
        <w:rPr>
          <w:rFonts w:ascii="Tahoma" w:hAnsi="Tahoma" w:cs="Tahoma"/>
        </w:rPr>
        <w:t xml:space="preserve">, </w:t>
      </w:r>
      <w:r w:rsidR="00EA248F">
        <w:rPr>
          <w:rFonts w:ascii="Tahoma" w:hAnsi="Tahoma" w:cs="Tahoma"/>
        </w:rPr>
        <w:t xml:space="preserve">se tiene </w:t>
      </w:r>
      <w:r w:rsidRPr="00211ABC">
        <w:rPr>
          <w:rFonts w:ascii="Tahoma" w:hAnsi="Tahoma" w:cs="Tahoma"/>
        </w:rPr>
        <w:t xml:space="preserve">en especial, </w:t>
      </w:r>
      <w:r w:rsidR="00EA248F">
        <w:rPr>
          <w:rFonts w:ascii="Tahoma" w:hAnsi="Tahoma" w:cs="Tahoma"/>
        </w:rPr>
        <w:t xml:space="preserve">que </w:t>
      </w:r>
      <w:r w:rsidRPr="00211ABC">
        <w:rPr>
          <w:rFonts w:ascii="Tahoma" w:hAnsi="Tahoma" w:cs="Tahoma"/>
        </w:rPr>
        <w:t xml:space="preserve">la codemandada Par Telecom agregó </w:t>
      </w:r>
      <w:r w:rsidR="00EA248F">
        <w:rPr>
          <w:rFonts w:ascii="Tahoma" w:hAnsi="Tahoma" w:cs="Tahoma"/>
        </w:rPr>
        <w:t xml:space="preserve">un </w:t>
      </w:r>
      <w:r w:rsidRPr="00211ABC">
        <w:rPr>
          <w:rFonts w:ascii="Tahoma" w:hAnsi="Tahoma" w:cs="Tahoma"/>
        </w:rPr>
        <w:t xml:space="preserve">certificado </w:t>
      </w:r>
      <w:r w:rsidR="00EA248F">
        <w:rPr>
          <w:rFonts w:ascii="Tahoma" w:hAnsi="Tahoma" w:cs="Tahoma"/>
        </w:rPr>
        <w:t>del tiempo laborado</w:t>
      </w:r>
      <w:r w:rsidRPr="00211ABC">
        <w:rPr>
          <w:rStyle w:val="Refdenotaalpie"/>
          <w:rFonts w:ascii="Tahoma" w:hAnsi="Tahoma" w:cs="Tahoma"/>
        </w:rPr>
        <w:footnoteReference w:id="4"/>
      </w:r>
      <w:r w:rsidR="00EA248F">
        <w:rPr>
          <w:rFonts w:ascii="Tahoma" w:hAnsi="Tahoma" w:cs="Tahoma"/>
        </w:rPr>
        <w:t>,</w:t>
      </w:r>
      <w:r w:rsidR="0038128D" w:rsidRPr="00211ABC">
        <w:rPr>
          <w:rFonts w:ascii="Tahoma" w:hAnsi="Tahoma" w:cs="Tahoma"/>
        </w:rPr>
        <w:t xml:space="preserve"> </w:t>
      </w:r>
      <w:r w:rsidR="00EA248F">
        <w:rPr>
          <w:rFonts w:ascii="Tahoma" w:hAnsi="Tahoma" w:cs="Tahoma"/>
        </w:rPr>
        <w:t>además de</w:t>
      </w:r>
      <w:r w:rsidR="0038128D" w:rsidRPr="00211ABC">
        <w:rPr>
          <w:rFonts w:ascii="Tahoma" w:hAnsi="Tahoma" w:cs="Tahoma"/>
        </w:rPr>
        <w:t xml:space="preserve"> las certificaciones expedidas para emisión de bono pensional</w:t>
      </w:r>
      <w:r w:rsidR="0038128D" w:rsidRPr="00211ABC">
        <w:rPr>
          <w:rStyle w:val="Refdenotaalpie"/>
          <w:rFonts w:ascii="Tahoma" w:hAnsi="Tahoma" w:cs="Tahoma"/>
        </w:rPr>
        <w:footnoteReference w:id="5"/>
      </w:r>
      <w:r w:rsidRPr="00211ABC">
        <w:rPr>
          <w:rFonts w:ascii="Tahoma" w:hAnsi="Tahoma" w:cs="Tahoma"/>
        </w:rPr>
        <w:t xml:space="preserve">, </w:t>
      </w:r>
      <w:r w:rsidR="00EA248F">
        <w:rPr>
          <w:rFonts w:ascii="Tahoma" w:hAnsi="Tahoma" w:cs="Tahoma"/>
        </w:rPr>
        <w:t xml:space="preserve">documentos que advierten que la labor </w:t>
      </w:r>
      <w:r w:rsidRPr="00211ABC">
        <w:rPr>
          <w:rFonts w:ascii="Tahoma" w:hAnsi="Tahoma" w:cs="Tahoma"/>
        </w:rPr>
        <w:t xml:space="preserve">fue </w:t>
      </w:r>
      <w:r w:rsidR="00EA248F">
        <w:rPr>
          <w:rFonts w:ascii="Tahoma" w:hAnsi="Tahoma" w:cs="Tahoma"/>
        </w:rPr>
        <w:t xml:space="preserve">continua </w:t>
      </w:r>
      <w:r w:rsidRPr="00211ABC">
        <w:rPr>
          <w:rFonts w:ascii="Tahoma" w:hAnsi="Tahoma" w:cs="Tahoma"/>
        </w:rPr>
        <w:t>entre el 23-10-1978 y el 31-03-1995, con 15 días de interrupci</w:t>
      </w:r>
      <w:r w:rsidR="00C7669D">
        <w:rPr>
          <w:rFonts w:ascii="Tahoma" w:hAnsi="Tahoma" w:cs="Tahoma"/>
        </w:rPr>
        <w:t>ón,</w:t>
      </w:r>
      <w:r w:rsidR="00EA248F">
        <w:rPr>
          <w:rFonts w:ascii="Tahoma" w:hAnsi="Tahoma" w:cs="Tahoma"/>
        </w:rPr>
        <w:t xml:space="preserve"> lo que</w:t>
      </w:r>
      <w:r w:rsidR="0038128D" w:rsidRPr="00211ABC">
        <w:rPr>
          <w:rFonts w:ascii="Tahoma" w:hAnsi="Tahoma" w:cs="Tahoma"/>
        </w:rPr>
        <w:t xml:space="preserve"> conlleva a la acreditación de </w:t>
      </w:r>
      <w:r w:rsidR="0038128D" w:rsidRPr="00211ABC">
        <w:rPr>
          <w:rFonts w:ascii="Tahoma" w:hAnsi="Tahoma" w:cs="Tahoma"/>
          <w:b/>
          <w:bCs/>
        </w:rPr>
        <w:t>5.766</w:t>
      </w:r>
      <w:r w:rsidR="0038128D" w:rsidRPr="00211ABC">
        <w:rPr>
          <w:rFonts w:ascii="Tahoma" w:hAnsi="Tahoma" w:cs="Tahoma"/>
        </w:rPr>
        <w:t xml:space="preserve"> días (823.71 semanas y 16.02 años).</w:t>
      </w:r>
    </w:p>
    <w:p w14:paraId="3D5930A2" w14:textId="21AB7ABD" w:rsidR="0038128D" w:rsidRPr="00211ABC" w:rsidRDefault="0038128D" w:rsidP="00F806FD">
      <w:pPr>
        <w:spacing w:line="276" w:lineRule="auto"/>
        <w:ind w:firstLine="360"/>
        <w:rPr>
          <w:rFonts w:ascii="Tahoma" w:hAnsi="Tahoma" w:cs="Tahoma"/>
        </w:rPr>
      </w:pPr>
    </w:p>
    <w:p w14:paraId="6DF7B822" w14:textId="4C1EC4DC" w:rsidR="00C7669D" w:rsidRPr="00211ABC" w:rsidRDefault="0038128D" w:rsidP="00F806FD">
      <w:pPr>
        <w:spacing w:line="276" w:lineRule="auto"/>
        <w:ind w:firstLine="360"/>
        <w:rPr>
          <w:rFonts w:ascii="Tahoma" w:hAnsi="Tahoma" w:cs="Tahoma"/>
        </w:rPr>
      </w:pPr>
      <w:r w:rsidRPr="00211ABC">
        <w:rPr>
          <w:rFonts w:ascii="Tahoma" w:hAnsi="Tahoma" w:cs="Tahoma"/>
        </w:rPr>
        <w:lastRenderedPageBreak/>
        <w:t>Finalmente, de la historia laboral válida para prestaciones económicas adosado por Colpensiones, por su parte da cuenta de aportes al ISS, por los empleadores Flor América S.A., San Gregorio Ltda. y como independiente</w:t>
      </w:r>
      <w:r w:rsidRPr="00211ABC">
        <w:rPr>
          <w:rStyle w:val="Refdenotaalpie"/>
          <w:rFonts w:ascii="Tahoma" w:hAnsi="Tahoma" w:cs="Tahoma"/>
        </w:rPr>
        <w:footnoteReference w:id="6"/>
      </w:r>
      <w:r w:rsidR="001B4E61">
        <w:rPr>
          <w:rFonts w:ascii="Tahoma" w:hAnsi="Tahoma" w:cs="Tahoma"/>
        </w:rPr>
        <w:t>, tiempos</w:t>
      </w:r>
      <w:r w:rsidR="00C7669D">
        <w:rPr>
          <w:rFonts w:ascii="Tahoma" w:hAnsi="Tahoma" w:cs="Tahoma"/>
        </w:rPr>
        <w:t xml:space="preserve"> que suman </w:t>
      </w:r>
      <w:r w:rsidR="00C7669D">
        <w:rPr>
          <w:rFonts w:ascii="Tahoma" w:hAnsi="Tahoma" w:cs="Tahoma"/>
          <w:b/>
          <w:bCs/>
        </w:rPr>
        <w:t xml:space="preserve">300 </w:t>
      </w:r>
      <w:r w:rsidR="00C7669D">
        <w:rPr>
          <w:rFonts w:ascii="Tahoma" w:hAnsi="Tahoma" w:cs="Tahoma"/>
        </w:rPr>
        <w:t xml:space="preserve">días </w:t>
      </w:r>
      <w:r w:rsidR="00C7669D" w:rsidRPr="00211ABC">
        <w:rPr>
          <w:rFonts w:ascii="Tahoma" w:hAnsi="Tahoma" w:cs="Tahoma"/>
        </w:rPr>
        <w:t>(</w:t>
      </w:r>
      <w:r w:rsidR="00C7669D">
        <w:rPr>
          <w:rFonts w:ascii="Tahoma" w:hAnsi="Tahoma" w:cs="Tahoma"/>
        </w:rPr>
        <w:t>42</w:t>
      </w:r>
      <w:r w:rsidR="00C7669D" w:rsidRPr="00211ABC">
        <w:rPr>
          <w:rFonts w:ascii="Tahoma" w:hAnsi="Tahoma" w:cs="Tahoma"/>
        </w:rPr>
        <w:t>.</w:t>
      </w:r>
      <w:r w:rsidR="00C7669D">
        <w:rPr>
          <w:rFonts w:ascii="Tahoma" w:hAnsi="Tahoma" w:cs="Tahoma"/>
        </w:rPr>
        <w:t>86</w:t>
      </w:r>
      <w:r w:rsidR="00C7669D" w:rsidRPr="00211ABC">
        <w:rPr>
          <w:rFonts w:ascii="Tahoma" w:hAnsi="Tahoma" w:cs="Tahoma"/>
        </w:rPr>
        <w:t xml:space="preserve"> semanas y </w:t>
      </w:r>
      <w:r w:rsidR="00C7669D">
        <w:rPr>
          <w:rFonts w:ascii="Tahoma" w:hAnsi="Tahoma" w:cs="Tahoma"/>
        </w:rPr>
        <w:t>0</w:t>
      </w:r>
      <w:r w:rsidR="00C7669D" w:rsidRPr="00211ABC">
        <w:rPr>
          <w:rFonts w:ascii="Tahoma" w:hAnsi="Tahoma" w:cs="Tahoma"/>
        </w:rPr>
        <w:t>.</w:t>
      </w:r>
      <w:r w:rsidR="00C7669D">
        <w:rPr>
          <w:rFonts w:ascii="Tahoma" w:hAnsi="Tahoma" w:cs="Tahoma"/>
        </w:rPr>
        <w:t>83</w:t>
      </w:r>
      <w:r w:rsidR="00C7669D" w:rsidRPr="00211ABC">
        <w:rPr>
          <w:rFonts w:ascii="Tahoma" w:hAnsi="Tahoma" w:cs="Tahoma"/>
        </w:rPr>
        <w:t xml:space="preserve"> años).</w:t>
      </w:r>
    </w:p>
    <w:p w14:paraId="4A906DDD" w14:textId="535FDCB2" w:rsidR="0038128D" w:rsidRPr="00C7669D" w:rsidRDefault="0038128D" w:rsidP="00F806FD">
      <w:pPr>
        <w:spacing w:line="276" w:lineRule="auto"/>
        <w:ind w:firstLine="360"/>
        <w:rPr>
          <w:rFonts w:ascii="Tahoma" w:hAnsi="Tahoma" w:cs="Tahoma"/>
        </w:rPr>
      </w:pPr>
    </w:p>
    <w:p w14:paraId="629AFFEA" w14:textId="6B2EF004" w:rsidR="000C0E49" w:rsidRPr="00211ABC" w:rsidRDefault="0038128D" w:rsidP="00F806FD">
      <w:pPr>
        <w:spacing w:line="276" w:lineRule="auto"/>
        <w:rPr>
          <w:rFonts w:ascii="Tahoma" w:hAnsi="Tahoma" w:cs="Tahoma"/>
        </w:rPr>
      </w:pPr>
      <w:r w:rsidRPr="00211ABC">
        <w:rPr>
          <w:rFonts w:ascii="Tahoma" w:hAnsi="Tahoma" w:cs="Tahoma"/>
        </w:rPr>
        <w:tab/>
      </w:r>
      <w:r w:rsidR="001B4E61">
        <w:rPr>
          <w:rFonts w:ascii="Tahoma" w:hAnsi="Tahoma" w:cs="Tahoma"/>
        </w:rPr>
        <w:t>Bajo el anterior panorama</w:t>
      </w:r>
      <w:r w:rsidRPr="00211ABC">
        <w:rPr>
          <w:rFonts w:ascii="Tahoma" w:hAnsi="Tahoma" w:cs="Tahoma"/>
        </w:rPr>
        <w:t xml:space="preserve">, </w:t>
      </w:r>
      <w:r w:rsidR="001B4E61">
        <w:rPr>
          <w:rFonts w:ascii="Tahoma" w:hAnsi="Tahoma" w:cs="Tahoma"/>
        </w:rPr>
        <w:t xml:space="preserve">se tiene que </w:t>
      </w:r>
      <w:r w:rsidRPr="00211ABC">
        <w:rPr>
          <w:rFonts w:ascii="Tahoma" w:hAnsi="Tahoma" w:cs="Tahoma"/>
        </w:rPr>
        <w:t>al actor le asiste el derecho a la pensión de vejez según los parámetros del Acuerdo 049 de 1990, por ser beneficiario del régimen de transición, causado a partir del momento en que cumplió la edad mínima, como lo determinó la Jueza.</w:t>
      </w:r>
    </w:p>
    <w:p w14:paraId="0FF5919D" w14:textId="5ADFE8DC" w:rsidR="0038128D" w:rsidRPr="00211ABC" w:rsidRDefault="0038128D" w:rsidP="00F806FD">
      <w:pPr>
        <w:spacing w:line="276" w:lineRule="auto"/>
        <w:rPr>
          <w:rFonts w:ascii="Tahoma" w:hAnsi="Tahoma" w:cs="Tahoma"/>
        </w:rPr>
      </w:pPr>
    </w:p>
    <w:p w14:paraId="7F2D6586" w14:textId="0BD2E153" w:rsidR="001C0303" w:rsidRPr="00211ABC" w:rsidRDefault="0038128D" w:rsidP="00F806FD">
      <w:pPr>
        <w:spacing w:line="276" w:lineRule="auto"/>
        <w:rPr>
          <w:rFonts w:ascii="Tahoma" w:hAnsi="Tahoma" w:cs="Tahoma"/>
        </w:rPr>
      </w:pPr>
      <w:r w:rsidRPr="00211ABC">
        <w:rPr>
          <w:rFonts w:ascii="Tahoma" w:hAnsi="Tahoma" w:cs="Tahoma"/>
        </w:rPr>
        <w:tab/>
        <w:t xml:space="preserve">De otro lado, </w:t>
      </w:r>
      <w:r w:rsidR="001B4E61">
        <w:rPr>
          <w:rFonts w:ascii="Tahoma" w:hAnsi="Tahoma" w:cs="Tahoma"/>
        </w:rPr>
        <w:t xml:space="preserve">al liquidar la Sala </w:t>
      </w:r>
      <w:r w:rsidRPr="00211ABC">
        <w:rPr>
          <w:rFonts w:ascii="Tahoma" w:hAnsi="Tahoma" w:cs="Tahoma"/>
        </w:rPr>
        <w:t>el IBL con lo cotizado durante los últimos 10 años, según las voces del art. 21 de la Ley 100 de 1993, el valor del ingreso base de liquidación debió ser por $1.150.121</w:t>
      </w:r>
      <w:r w:rsidR="001C0303" w:rsidRPr="00211ABC">
        <w:rPr>
          <w:rFonts w:ascii="Tahoma" w:hAnsi="Tahoma" w:cs="Tahoma"/>
        </w:rPr>
        <w:t xml:space="preserve">, </w:t>
      </w:r>
      <w:r w:rsidR="001B4E61">
        <w:rPr>
          <w:rFonts w:ascii="Tahoma" w:hAnsi="Tahoma" w:cs="Tahoma"/>
        </w:rPr>
        <w:t xml:space="preserve">al </w:t>
      </w:r>
      <w:r w:rsidR="001C0303" w:rsidRPr="00211ABC">
        <w:rPr>
          <w:rFonts w:ascii="Tahoma" w:hAnsi="Tahoma" w:cs="Tahoma"/>
        </w:rPr>
        <w:t xml:space="preserve">que </w:t>
      </w:r>
      <w:r w:rsidR="001B4E61">
        <w:rPr>
          <w:rFonts w:ascii="Tahoma" w:hAnsi="Tahoma" w:cs="Tahoma"/>
        </w:rPr>
        <w:t xml:space="preserve">se le aplica </w:t>
      </w:r>
      <w:r w:rsidR="001C0303" w:rsidRPr="00211ABC">
        <w:rPr>
          <w:rFonts w:ascii="Tahoma" w:hAnsi="Tahoma" w:cs="Tahoma"/>
        </w:rPr>
        <w:t xml:space="preserve">la tasa del 75% </w:t>
      </w:r>
      <w:r w:rsidR="001B4E61">
        <w:rPr>
          <w:rFonts w:ascii="Tahoma" w:hAnsi="Tahoma" w:cs="Tahoma"/>
        </w:rPr>
        <w:t xml:space="preserve">para llegar </w:t>
      </w:r>
      <w:r w:rsidR="001C0303" w:rsidRPr="00211ABC">
        <w:rPr>
          <w:rFonts w:ascii="Tahoma" w:hAnsi="Tahoma" w:cs="Tahoma"/>
        </w:rPr>
        <w:t>a una primera mesada por $862.591., el cual será el tenido en cuenta en virtud del grado jurisdiccional de consulta en favor de Colpensiones.</w:t>
      </w:r>
    </w:p>
    <w:p w14:paraId="182C832E" w14:textId="77777777" w:rsidR="001C0303" w:rsidRPr="00211ABC" w:rsidRDefault="001C0303" w:rsidP="00F806FD">
      <w:pPr>
        <w:spacing w:line="276" w:lineRule="auto"/>
        <w:rPr>
          <w:rFonts w:ascii="Tahoma" w:hAnsi="Tahoma" w:cs="Tahoma"/>
        </w:rPr>
      </w:pPr>
    </w:p>
    <w:p w14:paraId="5AF51BEF" w14:textId="10A907BF" w:rsidR="0038128D" w:rsidRPr="00211ABC" w:rsidRDefault="001B4E61" w:rsidP="00F806FD">
      <w:pPr>
        <w:spacing w:line="276" w:lineRule="auto"/>
        <w:ind w:firstLine="708"/>
        <w:rPr>
          <w:rFonts w:ascii="Tahoma" w:hAnsi="Tahoma" w:cs="Tahoma"/>
        </w:rPr>
      </w:pPr>
      <w:r>
        <w:rPr>
          <w:rFonts w:ascii="Tahoma" w:hAnsi="Tahoma" w:cs="Tahoma"/>
        </w:rPr>
        <w:t>Frente a la liquidación del Juzgado</w:t>
      </w:r>
      <w:r w:rsidR="001C0303" w:rsidRPr="00211ABC">
        <w:rPr>
          <w:rFonts w:ascii="Tahoma" w:hAnsi="Tahoma" w:cs="Tahoma"/>
        </w:rPr>
        <w:t xml:space="preserve">, </w:t>
      </w:r>
      <w:r w:rsidR="002B0969">
        <w:rPr>
          <w:rFonts w:ascii="Tahoma" w:hAnsi="Tahoma" w:cs="Tahoma"/>
        </w:rPr>
        <w:t xml:space="preserve">se tiene que </w:t>
      </w:r>
      <w:r w:rsidR="001C0303" w:rsidRPr="00211ABC">
        <w:rPr>
          <w:rFonts w:ascii="Tahoma" w:hAnsi="Tahoma" w:cs="Tahoma"/>
        </w:rPr>
        <w:t xml:space="preserve">el valor de la primera mesada </w:t>
      </w:r>
      <w:r w:rsidR="002B0969">
        <w:rPr>
          <w:rFonts w:ascii="Tahoma" w:hAnsi="Tahoma" w:cs="Tahoma"/>
        </w:rPr>
        <w:t xml:space="preserve">fue fijada </w:t>
      </w:r>
      <w:r w:rsidR="001C0303" w:rsidRPr="00211ABC">
        <w:rPr>
          <w:rFonts w:ascii="Tahoma" w:hAnsi="Tahoma" w:cs="Tahoma"/>
        </w:rPr>
        <w:t xml:space="preserve">en $910.528, quantum que además es errado por las siguientes razones: </w:t>
      </w:r>
      <w:r w:rsidR="001C0303" w:rsidRPr="00211ABC">
        <w:rPr>
          <w:rFonts w:ascii="Tahoma" w:hAnsi="Tahoma" w:cs="Tahoma"/>
          <w:i/>
          <w:iCs/>
        </w:rPr>
        <w:t xml:space="preserve">(i) </w:t>
      </w:r>
      <w:r w:rsidR="001C0303" w:rsidRPr="00211ABC">
        <w:rPr>
          <w:rFonts w:ascii="Tahoma" w:hAnsi="Tahoma" w:cs="Tahoma"/>
        </w:rPr>
        <w:t xml:space="preserve">para la liquidación del IBL se aplicaron </w:t>
      </w:r>
      <w:r w:rsidR="0038128D" w:rsidRPr="00211ABC">
        <w:rPr>
          <w:rFonts w:ascii="Tahoma" w:hAnsi="Tahoma" w:cs="Tahoma"/>
        </w:rPr>
        <w:t>series de empalme diferentes</w:t>
      </w:r>
      <w:r w:rsidR="0038128D" w:rsidRPr="00211ABC">
        <w:rPr>
          <w:rStyle w:val="Refdenotaalpie"/>
          <w:rFonts w:ascii="Tahoma" w:hAnsi="Tahoma" w:cs="Tahoma"/>
        </w:rPr>
        <w:footnoteReference w:id="7"/>
      </w:r>
      <w:r w:rsidR="001C0303" w:rsidRPr="00211ABC">
        <w:rPr>
          <w:rFonts w:ascii="Tahoma" w:hAnsi="Tahoma" w:cs="Tahoma"/>
        </w:rPr>
        <w:t xml:space="preserve">; </w:t>
      </w:r>
      <w:r w:rsidR="001C0303" w:rsidRPr="00211ABC">
        <w:rPr>
          <w:rFonts w:ascii="Tahoma" w:hAnsi="Tahoma" w:cs="Tahoma"/>
          <w:i/>
          <w:iCs/>
        </w:rPr>
        <w:t xml:space="preserve">(ii) </w:t>
      </w:r>
      <w:r w:rsidR="0038128D" w:rsidRPr="00211ABC">
        <w:rPr>
          <w:rFonts w:ascii="Tahoma" w:hAnsi="Tahoma" w:cs="Tahoma"/>
        </w:rPr>
        <w:t xml:space="preserve">los </w:t>
      </w:r>
      <w:proofErr w:type="spellStart"/>
      <w:r w:rsidR="0038128D" w:rsidRPr="00211ABC">
        <w:rPr>
          <w:rFonts w:ascii="Tahoma" w:hAnsi="Tahoma" w:cs="Tahoma"/>
        </w:rPr>
        <w:t>IBC</w:t>
      </w:r>
      <w:proofErr w:type="spellEnd"/>
      <w:r w:rsidR="0038128D" w:rsidRPr="00211ABC">
        <w:rPr>
          <w:rFonts w:ascii="Tahoma" w:hAnsi="Tahoma" w:cs="Tahoma"/>
        </w:rPr>
        <w:t xml:space="preserve"> de febrero y marzo de 1990</w:t>
      </w:r>
      <w:r w:rsidR="0038128D" w:rsidRPr="00211ABC">
        <w:rPr>
          <w:rStyle w:val="Refdenotaalpie"/>
          <w:rFonts w:ascii="Tahoma" w:hAnsi="Tahoma" w:cs="Tahoma"/>
        </w:rPr>
        <w:footnoteReference w:id="8"/>
      </w:r>
      <w:r w:rsidR="001C0303" w:rsidRPr="00211ABC">
        <w:rPr>
          <w:rFonts w:ascii="Tahoma" w:hAnsi="Tahoma" w:cs="Tahoma"/>
        </w:rPr>
        <w:t xml:space="preserve"> no se compadece</w:t>
      </w:r>
      <w:r w:rsidR="002B0969">
        <w:rPr>
          <w:rFonts w:ascii="Tahoma" w:hAnsi="Tahoma" w:cs="Tahoma"/>
        </w:rPr>
        <w:t>n</w:t>
      </w:r>
      <w:r w:rsidR="001C0303" w:rsidRPr="00211ABC">
        <w:rPr>
          <w:rFonts w:ascii="Tahoma" w:hAnsi="Tahoma" w:cs="Tahoma"/>
        </w:rPr>
        <w:t xml:space="preserve"> con </w:t>
      </w:r>
      <w:r w:rsidR="002B0969">
        <w:rPr>
          <w:rFonts w:ascii="Tahoma" w:hAnsi="Tahoma" w:cs="Tahoma"/>
        </w:rPr>
        <w:t xml:space="preserve">el </w:t>
      </w:r>
      <w:r w:rsidR="001C0303" w:rsidRPr="00211ABC">
        <w:rPr>
          <w:rFonts w:ascii="Tahoma" w:hAnsi="Tahoma" w:cs="Tahoma"/>
        </w:rPr>
        <w:t>salario real</w:t>
      </w:r>
      <w:r w:rsidR="002B0969">
        <w:rPr>
          <w:rFonts w:ascii="Tahoma" w:hAnsi="Tahoma" w:cs="Tahoma"/>
        </w:rPr>
        <w:t xml:space="preserve">. Además, </w:t>
      </w:r>
      <w:r w:rsidR="0038128D" w:rsidRPr="00211ABC">
        <w:rPr>
          <w:rFonts w:ascii="Tahoma" w:hAnsi="Tahoma" w:cs="Tahoma"/>
        </w:rPr>
        <w:t xml:space="preserve">al </w:t>
      </w:r>
      <w:r w:rsidR="002B0969">
        <w:rPr>
          <w:rFonts w:ascii="Tahoma" w:hAnsi="Tahoma" w:cs="Tahoma"/>
        </w:rPr>
        <w:t xml:space="preserve">ciclo </w:t>
      </w:r>
      <w:r w:rsidR="0038128D" w:rsidRPr="00211ABC">
        <w:rPr>
          <w:rFonts w:ascii="Tahoma" w:hAnsi="Tahoma" w:cs="Tahoma"/>
        </w:rPr>
        <w:t xml:space="preserve">abril/92 no se le descontaron </w:t>
      </w:r>
      <w:r w:rsidR="002B0969">
        <w:rPr>
          <w:rFonts w:ascii="Tahoma" w:hAnsi="Tahoma" w:cs="Tahoma"/>
        </w:rPr>
        <w:t xml:space="preserve">los </w:t>
      </w:r>
      <w:r w:rsidR="0038128D" w:rsidRPr="00211ABC">
        <w:rPr>
          <w:rFonts w:ascii="Tahoma" w:hAnsi="Tahoma" w:cs="Tahoma"/>
        </w:rPr>
        <w:t>cinco días de interrupción laboral</w:t>
      </w:r>
      <w:r w:rsidR="002B0969">
        <w:rPr>
          <w:rFonts w:ascii="Tahoma" w:hAnsi="Tahoma" w:cs="Tahoma"/>
        </w:rPr>
        <w:t>, en tanto que</w:t>
      </w:r>
      <w:r w:rsidR="0038128D" w:rsidRPr="00211ABC">
        <w:rPr>
          <w:rFonts w:ascii="Tahoma" w:hAnsi="Tahoma" w:cs="Tahoma"/>
        </w:rPr>
        <w:t xml:space="preserve"> los periodos de abril/95 y mayo/96 fueron incorrectos</w:t>
      </w:r>
      <w:r w:rsidR="0038128D" w:rsidRPr="00211ABC">
        <w:rPr>
          <w:rStyle w:val="Refdenotaalpie"/>
          <w:rFonts w:ascii="Tahoma" w:hAnsi="Tahoma" w:cs="Tahoma"/>
        </w:rPr>
        <w:footnoteReference w:id="9"/>
      </w:r>
      <w:r w:rsidR="001C0303" w:rsidRPr="00211ABC">
        <w:rPr>
          <w:rFonts w:ascii="Tahoma" w:hAnsi="Tahoma" w:cs="Tahoma"/>
        </w:rPr>
        <w:t xml:space="preserve">; </w:t>
      </w:r>
      <w:r w:rsidR="001C0303" w:rsidRPr="00211ABC">
        <w:rPr>
          <w:rFonts w:ascii="Tahoma" w:hAnsi="Tahoma" w:cs="Tahoma"/>
          <w:i/>
          <w:iCs/>
        </w:rPr>
        <w:t xml:space="preserve">(iii) </w:t>
      </w:r>
      <w:r w:rsidR="001C0303" w:rsidRPr="00211ABC">
        <w:rPr>
          <w:rFonts w:ascii="Tahoma" w:hAnsi="Tahoma" w:cs="Tahoma"/>
        </w:rPr>
        <w:t xml:space="preserve">la tasa prestacional aplicada del 72% no es la correspondiente cuando se acreditan entre 1000 y 1049 semanas en total; </w:t>
      </w:r>
      <w:r w:rsidR="001C0303" w:rsidRPr="00211ABC">
        <w:rPr>
          <w:rFonts w:ascii="Tahoma" w:hAnsi="Tahoma" w:cs="Tahoma"/>
          <w:i/>
          <w:iCs/>
        </w:rPr>
        <w:t xml:space="preserve">(iv) </w:t>
      </w:r>
      <w:r w:rsidR="001C0303" w:rsidRPr="00211ABC">
        <w:rPr>
          <w:rFonts w:ascii="Tahoma" w:hAnsi="Tahoma" w:cs="Tahoma"/>
        </w:rPr>
        <w:t>el valor de la primera mesada se fijó en $910.528 resultando ser errado</w:t>
      </w:r>
      <w:r w:rsidR="001C0303" w:rsidRPr="00211ABC">
        <w:rPr>
          <w:rStyle w:val="Refdenotaalpie"/>
          <w:rFonts w:ascii="Tahoma" w:hAnsi="Tahoma" w:cs="Tahoma"/>
        </w:rPr>
        <w:footnoteReference w:id="10"/>
      </w:r>
      <w:r w:rsidR="001C0303" w:rsidRPr="00211ABC">
        <w:rPr>
          <w:rFonts w:ascii="Tahoma" w:hAnsi="Tahoma" w:cs="Tahoma"/>
        </w:rPr>
        <w:t>.</w:t>
      </w:r>
    </w:p>
    <w:p w14:paraId="01F473D2" w14:textId="1A0C02A7" w:rsidR="001C0303" w:rsidRPr="00211ABC" w:rsidRDefault="001C0303" w:rsidP="00F806FD">
      <w:pPr>
        <w:spacing w:line="276" w:lineRule="auto"/>
        <w:ind w:firstLine="708"/>
        <w:rPr>
          <w:rFonts w:ascii="Tahoma" w:hAnsi="Tahoma" w:cs="Tahoma"/>
        </w:rPr>
      </w:pPr>
    </w:p>
    <w:p w14:paraId="59CE7F75" w14:textId="1F936DB3" w:rsidR="001C0303" w:rsidRPr="00211ABC" w:rsidRDefault="002B0969" w:rsidP="00F806FD">
      <w:pPr>
        <w:spacing w:line="276" w:lineRule="auto"/>
        <w:ind w:firstLine="708"/>
        <w:rPr>
          <w:rFonts w:ascii="Tahoma" w:hAnsi="Tahoma" w:cs="Tahoma"/>
        </w:rPr>
      </w:pPr>
      <w:r>
        <w:rPr>
          <w:rFonts w:ascii="Tahoma" w:hAnsi="Tahoma" w:cs="Tahoma"/>
        </w:rPr>
        <w:t xml:space="preserve">Así las cosas, atendiendo </w:t>
      </w:r>
      <w:r w:rsidR="001C0303" w:rsidRPr="00211ABC">
        <w:rPr>
          <w:rFonts w:ascii="Tahoma" w:hAnsi="Tahoma" w:cs="Tahoma"/>
        </w:rPr>
        <w:t>la prescripción</w:t>
      </w:r>
      <w:r>
        <w:rPr>
          <w:rFonts w:ascii="Tahoma" w:hAnsi="Tahoma" w:cs="Tahoma"/>
        </w:rPr>
        <w:t xml:space="preserve"> declarada</w:t>
      </w:r>
      <w:r w:rsidR="001C0303" w:rsidRPr="00211ABC">
        <w:rPr>
          <w:rFonts w:ascii="Tahoma" w:hAnsi="Tahoma" w:cs="Tahoma"/>
        </w:rPr>
        <w:t xml:space="preserve">, se tiene que </w:t>
      </w:r>
      <w:r w:rsidR="00C12FFA" w:rsidRPr="00211ABC">
        <w:rPr>
          <w:rFonts w:ascii="Tahoma" w:hAnsi="Tahoma" w:cs="Tahoma"/>
        </w:rPr>
        <w:t xml:space="preserve">el valor del retroactivo con corte al 30 de junio de 2020 </w:t>
      </w:r>
      <w:r>
        <w:rPr>
          <w:rFonts w:ascii="Tahoma" w:hAnsi="Tahoma" w:cs="Tahoma"/>
        </w:rPr>
        <w:t>ascendía</w:t>
      </w:r>
      <w:r w:rsidR="00C12FFA" w:rsidRPr="00211ABC">
        <w:rPr>
          <w:rFonts w:ascii="Tahoma" w:hAnsi="Tahoma" w:cs="Tahoma"/>
        </w:rPr>
        <w:t xml:space="preserve"> a $73.696.154 y no </w:t>
      </w:r>
      <w:r>
        <w:rPr>
          <w:rFonts w:ascii="Tahoma" w:hAnsi="Tahoma" w:cs="Tahoma"/>
        </w:rPr>
        <w:t>al valor de</w:t>
      </w:r>
      <w:r w:rsidR="00C12FFA" w:rsidRPr="00211ABC">
        <w:rPr>
          <w:rFonts w:ascii="Tahoma" w:hAnsi="Tahoma" w:cs="Tahoma"/>
        </w:rPr>
        <w:t xml:space="preserve"> $79.085.435 como se liquidó en primera instancia. Ahora, al actualizar el retroactivo a noviembre de 2020, incluida la mesada adicional de diciembre que a ese momento se causó, el retroactivo actualizado corresponde a la suma de $82.230.382.</w:t>
      </w:r>
    </w:p>
    <w:p w14:paraId="3DD26CE3" w14:textId="4CA80D57" w:rsidR="00C12FFA" w:rsidRPr="00211ABC" w:rsidRDefault="00C12FFA" w:rsidP="00F806FD">
      <w:pPr>
        <w:spacing w:line="276" w:lineRule="auto"/>
        <w:ind w:firstLine="708"/>
        <w:rPr>
          <w:rFonts w:ascii="Tahoma" w:hAnsi="Tahoma" w:cs="Tahoma"/>
        </w:rPr>
      </w:pPr>
    </w:p>
    <w:p w14:paraId="6614AA61" w14:textId="482E98C4" w:rsidR="00C12FFA" w:rsidRPr="00211ABC" w:rsidRDefault="00C12FFA" w:rsidP="00F806FD">
      <w:pPr>
        <w:spacing w:line="276" w:lineRule="auto"/>
        <w:ind w:firstLine="708"/>
        <w:rPr>
          <w:rFonts w:ascii="Tahoma" w:hAnsi="Tahoma" w:cs="Tahoma"/>
        </w:rPr>
      </w:pPr>
      <w:r w:rsidRPr="00211ABC">
        <w:rPr>
          <w:rFonts w:ascii="Tahoma" w:hAnsi="Tahoma" w:cs="Tahoma"/>
        </w:rPr>
        <w:t xml:space="preserve">Conforme a lo anterior, se modificarán </w:t>
      </w:r>
      <w:r w:rsidR="004C674E" w:rsidRPr="00211ABC">
        <w:rPr>
          <w:rFonts w:ascii="Tahoma" w:hAnsi="Tahoma" w:cs="Tahoma"/>
        </w:rPr>
        <w:t xml:space="preserve">parcialmente </w:t>
      </w:r>
      <w:r w:rsidRPr="00211ABC">
        <w:rPr>
          <w:rFonts w:ascii="Tahoma" w:hAnsi="Tahoma" w:cs="Tahoma"/>
        </w:rPr>
        <w:t>los numerales 1°</w:t>
      </w:r>
      <w:r w:rsidR="004C674E" w:rsidRPr="00211ABC">
        <w:rPr>
          <w:rFonts w:ascii="Tahoma" w:hAnsi="Tahoma" w:cs="Tahoma"/>
        </w:rPr>
        <w:t xml:space="preserve"> y 3° de la parte resolutiva de la sentencia.</w:t>
      </w:r>
    </w:p>
    <w:p w14:paraId="3EA77397" w14:textId="390A4046" w:rsidR="004C674E" w:rsidRPr="00211ABC" w:rsidRDefault="004C674E" w:rsidP="00F806FD">
      <w:pPr>
        <w:spacing w:line="276" w:lineRule="auto"/>
        <w:ind w:firstLine="708"/>
        <w:rPr>
          <w:rFonts w:ascii="Tahoma" w:hAnsi="Tahoma" w:cs="Tahoma"/>
        </w:rPr>
      </w:pPr>
    </w:p>
    <w:p w14:paraId="59507DCB" w14:textId="0AFD78E6" w:rsidR="004C674E" w:rsidRPr="00211ABC" w:rsidRDefault="004C674E" w:rsidP="00F806FD">
      <w:pPr>
        <w:spacing w:line="276" w:lineRule="auto"/>
        <w:ind w:firstLine="708"/>
        <w:rPr>
          <w:rFonts w:ascii="Tahoma" w:hAnsi="Tahoma" w:cs="Tahoma"/>
        </w:rPr>
      </w:pPr>
      <w:r w:rsidRPr="00211ABC">
        <w:rPr>
          <w:rFonts w:ascii="Tahoma" w:hAnsi="Tahoma" w:cs="Tahoma"/>
        </w:rPr>
        <w:t>En esta instancia se condenará en costas a cargo de la parte actora a favor de Colpensiones</w:t>
      </w:r>
      <w:r w:rsidR="002B0969">
        <w:rPr>
          <w:rFonts w:ascii="Tahoma" w:hAnsi="Tahoma" w:cs="Tahoma"/>
        </w:rPr>
        <w:t>, por la no prosperidad del recurso incoado.</w:t>
      </w:r>
    </w:p>
    <w:p w14:paraId="6B49D3BE" w14:textId="0D7F4C2C" w:rsidR="004C674E" w:rsidRPr="00211ABC" w:rsidRDefault="004C674E" w:rsidP="00F806FD">
      <w:pPr>
        <w:spacing w:line="276" w:lineRule="auto"/>
        <w:ind w:firstLine="708"/>
        <w:rPr>
          <w:rFonts w:ascii="Tahoma" w:hAnsi="Tahoma" w:cs="Tahoma"/>
        </w:rPr>
      </w:pPr>
    </w:p>
    <w:p w14:paraId="5B56BC49" w14:textId="39921EE1" w:rsidR="00B14480" w:rsidRPr="00211ABC" w:rsidRDefault="003D1799" w:rsidP="00F806FD">
      <w:pPr>
        <w:spacing w:line="276" w:lineRule="auto"/>
        <w:ind w:firstLine="705"/>
        <w:rPr>
          <w:rFonts w:ascii="Tahoma" w:eastAsia="Tahoma" w:hAnsi="Tahoma" w:cs="Tahoma"/>
        </w:rPr>
      </w:pPr>
      <w:r>
        <w:rPr>
          <w:rFonts w:ascii="Tahoma" w:hAnsi="Tahoma" w:cs="Tahoma"/>
        </w:rPr>
        <w:t>(…)</w:t>
      </w:r>
    </w:p>
    <w:p w14:paraId="6799F279" w14:textId="29822772" w:rsidR="00B14480" w:rsidRPr="00211ABC" w:rsidRDefault="00B14480" w:rsidP="00F806FD">
      <w:pPr>
        <w:spacing w:line="276" w:lineRule="auto"/>
        <w:ind w:firstLine="708"/>
        <w:rPr>
          <w:rFonts w:ascii="Tahoma" w:hAnsi="Tahoma" w:cs="Tahoma"/>
        </w:rPr>
      </w:pPr>
    </w:p>
    <w:p w14:paraId="41003A31" w14:textId="77777777" w:rsidR="004C674E" w:rsidRPr="00211ABC" w:rsidRDefault="004C674E" w:rsidP="00F806FD">
      <w:pPr>
        <w:pStyle w:val="Prrafodelista2"/>
        <w:spacing w:after="0"/>
        <w:ind w:left="0" w:firstLine="708"/>
        <w:jc w:val="both"/>
        <w:rPr>
          <w:rFonts w:ascii="Tahoma" w:hAnsi="Tahoma" w:cs="Tahoma"/>
          <w:sz w:val="24"/>
          <w:szCs w:val="24"/>
          <w:lang w:val="es-ES_tradnl"/>
        </w:rPr>
      </w:pPr>
      <w:r w:rsidRPr="00211ABC">
        <w:rPr>
          <w:rFonts w:ascii="Tahoma" w:hAnsi="Tahoma" w:cs="Tahoma"/>
          <w:sz w:val="24"/>
          <w:szCs w:val="24"/>
          <w:lang w:val="es-ES_tradnl"/>
        </w:rPr>
        <w:lastRenderedPageBreak/>
        <w:t xml:space="preserve">En mérito de lo expuesto, el </w:t>
      </w:r>
      <w:r w:rsidRPr="00211ABC">
        <w:rPr>
          <w:rFonts w:ascii="Tahoma" w:hAnsi="Tahoma" w:cs="Tahoma"/>
          <w:b/>
          <w:sz w:val="24"/>
          <w:szCs w:val="24"/>
          <w:lang w:val="es-ES_tradnl"/>
        </w:rPr>
        <w:t>Tribunal Superior del Distrito Judicial de Pereira - Risaralda, Sala Primera de Decisión Laboral,</w:t>
      </w:r>
      <w:r w:rsidRPr="00211ABC">
        <w:rPr>
          <w:rFonts w:ascii="Tahoma" w:hAnsi="Tahoma" w:cs="Tahoma"/>
          <w:sz w:val="24"/>
          <w:szCs w:val="24"/>
          <w:lang w:val="es-ES_tradnl"/>
        </w:rPr>
        <w:t xml:space="preserve"> administrando justicia en nombre de la República y por autoridad de la ley,</w:t>
      </w:r>
    </w:p>
    <w:p w14:paraId="40C54464" w14:textId="77777777" w:rsidR="004C674E" w:rsidRPr="00211ABC" w:rsidRDefault="004C674E" w:rsidP="00F806FD">
      <w:pPr>
        <w:pStyle w:val="Prrafodelista2"/>
        <w:spacing w:after="0"/>
        <w:ind w:left="0"/>
        <w:jc w:val="both"/>
        <w:rPr>
          <w:rFonts w:ascii="Tahoma" w:hAnsi="Tahoma" w:cs="Tahoma"/>
          <w:sz w:val="24"/>
          <w:szCs w:val="24"/>
          <w:lang w:val="es-ES_tradnl"/>
        </w:rPr>
      </w:pPr>
    </w:p>
    <w:p w14:paraId="6ADD7AF4" w14:textId="77777777" w:rsidR="004C674E" w:rsidRPr="00211ABC" w:rsidRDefault="004C674E" w:rsidP="00F806FD">
      <w:pPr>
        <w:spacing w:line="276" w:lineRule="auto"/>
        <w:jc w:val="center"/>
        <w:rPr>
          <w:rFonts w:ascii="Tahoma" w:hAnsi="Tahoma" w:cs="Tahoma"/>
          <w:b/>
        </w:rPr>
      </w:pPr>
      <w:r w:rsidRPr="00211ABC">
        <w:rPr>
          <w:rFonts w:ascii="Tahoma" w:hAnsi="Tahoma" w:cs="Tahoma"/>
          <w:b/>
        </w:rPr>
        <w:t>RESUELVE</w:t>
      </w:r>
    </w:p>
    <w:p w14:paraId="4DC2DF8C" w14:textId="77777777" w:rsidR="004C674E" w:rsidRPr="00211ABC" w:rsidRDefault="004C674E" w:rsidP="00F806FD">
      <w:pPr>
        <w:widowControl w:val="0"/>
        <w:autoSpaceDE w:val="0"/>
        <w:autoSpaceDN w:val="0"/>
        <w:adjustRightInd w:val="0"/>
        <w:spacing w:line="276" w:lineRule="auto"/>
        <w:jc w:val="center"/>
        <w:rPr>
          <w:rFonts w:ascii="Tahoma" w:hAnsi="Tahoma" w:cs="Tahoma"/>
          <w:b/>
        </w:rPr>
      </w:pPr>
    </w:p>
    <w:p w14:paraId="4806CFE8" w14:textId="52DB0804" w:rsidR="004C674E" w:rsidRPr="00211ABC" w:rsidRDefault="004C674E" w:rsidP="00F806FD">
      <w:pPr>
        <w:spacing w:line="276" w:lineRule="auto"/>
        <w:ind w:firstLine="705"/>
        <w:textAlignment w:val="baseline"/>
        <w:rPr>
          <w:rFonts w:ascii="Tahoma" w:hAnsi="Tahoma" w:cs="Tahoma"/>
        </w:rPr>
      </w:pPr>
      <w:r w:rsidRPr="00211ABC">
        <w:rPr>
          <w:rFonts w:ascii="Tahoma" w:eastAsia="Times New Roman" w:hAnsi="Tahoma" w:cs="Tahoma"/>
          <w:b/>
          <w:bCs/>
          <w:lang w:eastAsia="es-ES"/>
        </w:rPr>
        <w:t>PRIMERO:</w:t>
      </w:r>
      <w:r w:rsidRPr="00211ABC">
        <w:rPr>
          <w:rFonts w:ascii="Tahoma" w:eastAsia="Times New Roman" w:hAnsi="Tahoma" w:cs="Tahoma"/>
          <w:b/>
          <w:bCs/>
          <w:i/>
          <w:iCs/>
          <w:lang w:eastAsia="es-ES"/>
        </w:rPr>
        <w:t> </w:t>
      </w:r>
      <w:r w:rsidRPr="00211ABC">
        <w:rPr>
          <w:rFonts w:ascii="Tahoma" w:eastAsia="Times New Roman" w:hAnsi="Tahoma" w:cs="Tahoma"/>
          <w:b/>
          <w:bCs/>
          <w:lang w:eastAsia="es-ES"/>
        </w:rPr>
        <w:t>MODIFICAR</w:t>
      </w:r>
      <w:r w:rsidRPr="00211ABC">
        <w:rPr>
          <w:rFonts w:ascii="Tahoma" w:eastAsia="Times New Roman" w:hAnsi="Tahoma" w:cs="Tahoma"/>
          <w:b/>
          <w:bCs/>
          <w:i/>
          <w:iCs/>
          <w:lang w:eastAsia="es-ES"/>
        </w:rPr>
        <w:t xml:space="preserve"> </w:t>
      </w:r>
      <w:r w:rsidRPr="00211ABC">
        <w:rPr>
          <w:rFonts w:ascii="Tahoma" w:hAnsi="Tahoma" w:cs="Tahoma"/>
        </w:rPr>
        <w:t>el numeral primero de la parte resolutiva de la sentencia de primer grado en el sentido de disponer que la cuantía de la mesada al 15 de noviembre de 2011, corresponde al valor de $862,591</w:t>
      </w:r>
    </w:p>
    <w:p w14:paraId="4862CD26" w14:textId="77777777" w:rsidR="004C674E" w:rsidRPr="00211ABC" w:rsidRDefault="004C674E" w:rsidP="00F806FD">
      <w:pPr>
        <w:spacing w:line="276" w:lineRule="auto"/>
        <w:ind w:firstLine="705"/>
        <w:textAlignment w:val="baseline"/>
        <w:rPr>
          <w:rFonts w:ascii="Tahoma" w:eastAsia="Times New Roman" w:hAnsi="Tahoma" w:cs="Tahoma"/>
          <w:b/>
          <w:bCs/>
          <w:i/>
          <w:iCs/>
          <w:lang w:eastAsia="es-ES"/>
        </w:rPr>
      </w:pPr>
    </w:p>
    <w:p w14:paraId="2A528DE2" w14:textId="394125B1" w:rsidR="004C674E" w:rsidRPr="00211ABC" w:rsidRDefault="003D1799" w:rsidP="00F806FD">
      <w:pPr>
        <w:spacing w:line="276" w:lineRule="auto"/>
        <w:ind w:firstLine="705"/>
        <w:textAlignment w:val="baseline"/>
        <w:rPr>
          <w:rFonts w:ascii="Tahoma" w:eastAsia="Times New Roman" w:hAnsi="Tahoma" w:cs="Tahoma"/>
          <w:lang w:eastAsia="es-ES_tradnl"/>
        </w:rPr>
      </w:pPr>
      <w:r>
        <w:rPr>
          <w:rFonts w:ascii="Tahoma" w:eastAsia="Times New Roman" w:hAnsi="Tahoma" w:cs="Tahoma"/>
          <w:b/>
          <w:bCs/>
          <w:lang w:eastAsia="es-ES_tradnl"/>
        </w:rPr>
        <w:t>SEGUNDO: </w:t>
      </w:r>
      <w:r w:rsidR="004C674E" w:rsidRPr="00211ABC">
        <w:rPr>
          <w:rFonts w:ascii="Tahoma" w:eastAsia="Times New Roman" w:hAnsi="Tahoma" w:cs="Tahoma"/>
          <w:b/>
          <w:bCs/>
          <w:lang w:eastAsia="es-ES_tradnl"/>
        </w:rPr>
        <w:t>MODIFICAR</w:t>
      </w:r>
      <w:r w:rsidR="004C674E" w:rsidRPr="00211ABC">
        <w:rPr>
          <w:rFonts w:ascii="Tahoma" w:eastAsia="Times New Roman" w:hAnsi="Tahoma" w:cs="Tahoma"/>
          <w:lang w:eastAsia="es-ES_tradnl"/>
        </w:rPr>
        <w:t xml:space="preserve"> el numeral tercero de la parte resolutiva en el sentido de establecer que el retroactivo pensional a favor del actor desde el 3 de mayo de 2015 y actualizado al 30 de noviembre de 2020, incluida la mesada adicional de diciembre de 2020, asciende a la suma de $82.230.382.</w:t>
      </w:r>
    </w:p>
    <w:p w14:paraId="13B2C3AA" w14:textId="4C0901FC" w:rsidR="004C674E" w:rsidRPr="00211ABC" w:rsidRDefault="004C674E" w:rsidP="00F806FD">
      <w:pPr>
        <w:spacing w:line="276" w:lineRule="auto"/>
        <w:ind w:firstLine="705"/>
        <w:textAlignment w:val="baseline"/>
        <w:rPr>
          <w:rFonts w:ascii="Tahoma" w:eastAsia="Times New Roman" w:hAnsi="Tahoma" w:cs="Tahoma"/>
          <w:lang w:eastAsia="es-ES_tradnl"/>
        </w:rPr>
      </w:pPr>
    </w:p>
    <w:p w14:paraId="109E075A" w14:textId="0ACE1311" w:rsidR="004C674E" w:rsidRPr="00211ABC" w:rsidRDefault="004C674E" w:rsidP="00F806FD">
      <w:pPr>
        <w:spacing w:line="276" w:lineRule="auto"/>
        <w:ind w:firstLine="705"/>
        <w:textAlignment w:val="baseline"/>
        <w:rPr>
          <w:rFonts w:ascii="Tahoma" w:eastAsia="Times New Roman" w:hAnsi="Tahoma" w:cs="Tahoma"/>
          <w:lang w:eastAsia="es-ES_tradnl"/>
        </w:rPr>
      </w:pPr>
      <w:r w:rsidRPr="00211ABC">
        <w:rPr>
          <w:rFonts w:ascii="Tahoma" w:eastAsia="Times New Roman" w:hAnsi="Tahoma" w:cs="Tahoma"/>
          <w:b/>
          <w:bCs/>
          <w:lang w:eastAsia="es-ES_tradnl"/>
        </w:rPr>
        <w:t>TERCERO:</w:t>
      </w:r>
      <w:r w:rsidRPr="00211ABC">
        <w:rPr>
          <w:rFonts w:ascii="Tahoma" w:eastAsia="Times New Roman" w:hAnsi="Tahoma" w:cs="Tahoma"/>
          <w:lang w:eastAsia="es-ES_tradnl"/>
        </w:rPr>
        <w:t xml:space="preserve"> Confirmar en todo lo demás la sentencia de instancia.</w:t>
      </w:r>
    </w:p>
    <w:p w14:paraId="48547535" w14:textId="77777777" w:rsidR="004C674E" w:rsidRPr="00211ABC" w:rsidRDefault="004C674E" w:rsidP="00F806FD">
      <w:pPr>
        <w:spacing w:line="276" w:lineRule="auto"/>
        <w:ind w:firstLine="705"/>
        <w:textAlignment w:val="baseline"/>
        <w:rPr>
          <w:rFonts w:ascii="Tahoma" w:eastAsia="Times New Roman" w:hAnsi="Tahoma" w:cs="Tahoma"/>
          <w:b/>
          <w:bCs/>
          <w:lang w:eastAsia="es-ES_tradnl"/>
        </w:rPr>
      </w:pPr>
    </w:p>
    <w:p w14:paraId="6C5BB502" w14:textId="0B6644BF" w:rsidR="004C674E" w:rsidRPr="00211ABC" w:rsidRDefault="004C674E" w:rsidP="00F806FD">
      <w:pPr>
        <w:spacing w:line="276" w:lineRule="auto"/>
        <w:ind w:firstLine="705"/>
        <w:textAlignment w:val="baseline"/>
        <w:rPr>
          <w:rFonts w:ascii="Tahoma" w:eastAsia="Times New Roman" w:hAnsi="Tahoma" w:cs="Tahoma"/>
          <w:lang w:eastAsia="es-ES"/>
        </w:rPr>
      </w:pPr>
      <w:r w:rsidRPr="00211ABC">
        <w:rPr>
          <w:rFonts w:ascii="Tahoma" w:eastAsia="Times New Roman" w:hAnsi="Tahoma" w:cs="Tahoma"/>
          <w:b/>
          <w:bCs/>
          <w:lang w:eastAsia="es-ES_tradnl"/>
        </w:rPr>
        <w:t>CUARTO</w:t>
      </w:r>
      <w:r w:rsidRPr="00211ABC">
        <w:rPr>
          <w:rFonts w:ascii="Tahoma" w:eastAsia="Times New Roman" w:hAnsi="Tahoma" w:cs="Tahoma"/>
          <w:b/>
          <w:bCs/>
          <w:lang w:eastAsia="es-ES"/>
        </w:rPr>
        <w:t xml:space="preserve">: COSTAS </w:t>
      </w:r>
      <w:r w:rsidRPr="00211ABC">
        <w:rPr>
          <w:rFonts w:ascii="Tahoma" w:eastAsia="Times New Roman" w:hAnsi="Tahoma" w:cs="Tahoma"/>
          <w:lang w:eastAsia="es-ES"/>
        </w:rPr>
        <w:t xml:space="preserve">en esta instancia a cargo de la </w:t>
      </w:r>
      <w:r w:rsidRPr="00211ABC">
        <w:rPr>
          <w:rFonts w:ascii="Tahoma" w:hAnsi="Tahoma" w:cs="Tahoma"/>
        </w:rPr>
        <w:t>parte</w:t>
      </w:r>
      <w:r w:rsidRPr="00211ABC">
        <w:rPr>
          <w:rFonts w:ascii="Tahoma" w:hAnsi="Tahoma" w:cs="Tahoma"/>
          <w:b/>
          <w:bCs/>
        </w:rPr>
        <w:t xml:space="preserve"> </w:t>
      </w:r>
      <w:r w:rsidRPr="00211ABC">
        <w:rPr>
          <w:rFonts w:ascii="Tahoma" w:eastAsia="Times New Roman" w:hAnsi="Tahoma" w:cs="Tahoma"/>
          <w:lang w:eastAsia="es-ES"/>
        </w:rPr>
        <w:t>demandante y en favor de Colpensiones.</w:t>
      </w:r>
    </w:p>
    <w:p w14:paraId="68A67B4C" w14:textId="77777777" w:rsidR="004C674E" w:rsidRPr="00211ABC" w:rsidRDefault="004C674E" w:rsidP="00F806FD">
      <w:pPr>
        <w:spacing w:line="276" w:lineRule="auto"/>
        <w:ind w:firstLine="708"/>
        <w:textAlignment w:val="baseline"/>
        <w:rPr>
          <w:rFonts w:ascii="Tahoma" w:eastAsia="Times New Roman" w:hAnsi="Tahoma" w:cs="Tahoma"/>
          <w:lang w:eastAsia="es-ES"/>
        </w:rPr>
      </w:pPr>
    </w:p>
    <w:p w14:paraId="599024A7" w14:textId="77777777" w:rsidR="003D1799" w:rsidRPr="00211ABC" w:rsidRDefault="003D1799" w:rsidP="003D1799">
      <w:pPr>
        <w:spacing w:line="276" w:lineRule="auto"/>
        <w:ind w:firstLine="705"/>
        <w:rPr>
          <w:rFonts w:ascii="Tahoma" w:eastAsia="Tahoma" w:hAnsi="Tahoma" w:cs="Tahoma"/>
        </w:rPr>
      </w:pPr>
      <w:r>
        <w:rPr>
          <w:rFonts w:ascii="Tahoma" w:hAnsi="Tahoma" w:cs="Tahoma"/>
        </w:rPr>
        <w:t>(…)</w:t>
      </w:r>
    </w:p>
    <w:p w14:paraId="0A241F62" w14:textId="77777777" w:rsidR="00B14480" w:rsidRPr="00211ABC" w:rsidRDefault="00B14480" w:rsidP="00F806FD">
      <w:pPr>
        <w:spacing w:line="276" w:lineRule="auto"/>
        <w:rPr>
          <w:rFonts w:ascii="Tahoma" w:eastAsia="Tahoma" w:hAnsi="Tahoma" w:cs="Tahoma"/>
          <w:b/>
          <w:bCs/>
        </w:rPr>
      </w:pPr>
    </w:p>
    <w:p w14:paraId="77535888" w14:textId="77777777" w:rsidR="004C674E" w:rsidRPr="00211ABC" w:rsidRDefault="004C674E" w:rsidP="00F806FD">
      <w:pPr>
        <w:widowControl w:val="0"/>
        <w:autoSpaceDE w:val="0"/>
        <w:autoSpaceDN w:val="0"/>
        <w:adjustRightInd w:val="0"/>
        <w:spacing w:line="276" w:lineRule="auto"/>
        <w:jc w:val="center"/>
        <w:rPr>
          <w:rFonts w:ascii="Tahoma" w:hAnsi="Tahoma" w:cs="Tahoma"/>
          <w:b/>
        </w:rPr>
      </w:pPr>
      <w:r w:rsidRPr="00211ABC">
        <w:rPr>
          <w:rFonts w:ascii="Tahoma" w:hAnsi="Tahoma" w:cs="Tahoma"/>
          <w:b/>
        </w:rPr>
        <w:t>NOTIFÍQUESE Y CÚMPLASE</w:t>
      </w:r>
    </w:p>
    <w:p w14:paraId="537845FA" w14:textId="77777777" w:rsidR="004C674E" w:rsidRPr="00211ABC" w:rsidRDefault="004C674E" w:rsidP="00F806FD">
      <w:pPr>
        <w:spacing w:line="276" w:lineRule="auto"/>
        <w:rPr>
          <w:rFonts w:ascii="Tahoma" w:eastAsia="Times New Roman" w:hAnsi="Tahoma" w:cs="Tahoma"/>
          <w:lang w:eastAsia="es-ES_tradnl"/>
        </w:rPr>
      </w:pPr>
    </w:p>
    <w:p w14:paraId="49F6CE34" w14:textId="77777777" w:rsidR="00F806FD" w:rsidRPr="00F806FD" w:rsidRDefault="00F806FD" w:rsidP="00F806FD">
      <w:pPr>
        <w:widowControl w:val="0"/>
        <w:autoSpaceDE w:val="0"/>
        <w:autoSpaceDN w:val="0"/>
        <w:adjustRightInd w:val="0"/>
        <w:spacing w:line="276" w:lineRule="auto"/>
        <w:rPr>
          <w:rFonts w:ascii="Tahoma" w:eastAsia="Times New Roman" w:hAnsi="Tahoma" w:cs="Tahoma"/>
          <w:lang w:val="es-ES" w:eastAsia="es-ES"/>
        </w:rPr>
      </w:pPr>
      <w:r w:rsidRPr="00F806FD">
        <w:rPr>
          <w:rFonts w:ascii="Tahoma" w:eastAsia="Times New Roman" w:hAnsi="Tahoma" w:cs="Tahoma"/>
          <w:lang w:val="es-ES" w:eastAsia="es-ES"/>
        </w:rPr>
        <w:tab/>
        <w:t>La Magistrada ponente,</w:t>
      </w:r>
    </w:p>
    <w:p w14:paraId="1C516D8B" w14:textId="77777777" w:rsidR="00F806FD" w:rsidRPr="00F806FD" w:rsidRDefault="00F806FD" w:rsidP="00F806FD">
      <w:pPr>
        <w:spacing w:line="276" w:lineRule="auto"/>
        <w:jc w:val="left"/>
        <w:rPr>
          <w:rFonts w:ascii="Tahoma" w:eastAsia="Times New Roman" w:hAnsi="Tahoma" w:cs="Tahoma"/>
          <w:lang w:val="es-ES" w:eastAsia="es-ES"/>
        </w:rPr>
      </w:pPr>
    </w:p>
    <w:p w14:paraId="7AE4405D" w14:textId="77777777" w:rsidR="00F806FD" w:rsidRPr="00F806FD" w:rsidRDefault="00F806FD" w:rsidP="00F806FD">
      <w:pPr>
        <w:spacing w:line="276" w:lineRule="auto"/>
        <w:jc w:val="left"/>
        <w:rPr>
          <w:rFonts w:ascii="Tahoma" w:eastAsia="Times New Roman" w:hAnsi="Tahoma" w:cs="Tahoma"/>
          <w:lang w:val="es-ES" w:eastAsia="es-ES"/>
        </w:rPr>
      </w:pPr>
    </w:p>
    <w:p w14:paraId="21862BF2" w14:textId="77777777" w:rsidR="00F806FD" w:rsidRPr="00F806FD" w:rsidRDefault="00F806FD" w:rsidP="00F806FD">
      <w:pPr>
        <w:spacing w:line="276" w:lineRule="auto"/>
        <w:jc w:val="left"/>
        <w:rPr>
          <w:rFonts w:ascii="Tahoma" w:eastAsia="Times New Roman" w:hAnsi="Tahoma" w:cs="Tahoma"/>
          <w:lang w:val="es-ES" w:eastAsia="es-ES"/>
        </w:rPr>
      </w:pPr>
    </w:p>
    <w:p w14:paraId="335095A4" w14:textId="77777777" w:rsidR="00F806FD" w:rsidRPr="00F806FD" w:rsidRDefault="00F806FD" w:rsidP="00F806FD">
      <w:pPr>
        <w:keepNext/>
        <w:spacing w:line="276" w:lineRule="auto"/>
        <w:jc w:val="center"/>
        <w:outlineLvl w:val="2"/>
        <w:rPr>
          <w:rFonts w:ascii="Tahoma" w:eastAsia="Times New Roman" w:hAnsi="Tahoma" w:cs="Tahoma"/>
          <w:b/>
          <w:bCs/>
          <w:lang w:val="es-ES" w:eastAsia="es-ES"/>
        </w:rPr>
      </w:pPr>
      <w:r w:rsidRPr="00F806FD">
        <w:rPr>
          <w:rFonts w:ascii="Tahoma" w:eastAsia="Times New Roman" w:hAnsi="Tahoma" w:cs="Tahoma"/>
          <w:b/>
          <w:bCs/>
          <w:lang w:val="es-ES" w:eastAsia="es-ES"/>
        </w:rPr>
        <w:t>ANA LUCÍA CAICEDO CALDERÓN</w:t>
      </w:r>
    </w:p>
    <w:p w14:paraId="35898D4B" w14:textId="77777777" w:rsidR="00F806FD" w:rsidRPr="00F806FD" w:rsidRDefault="00F806FD" w:rsidP="00F806FD">
      <w:pPr>
        <w:spacing w:line="276" w:lineRule="auto"/>
        <w:jc w:val="left"/>
        <w:rPr>
          <w:rFonts w:ascii="Tahoma" w:eastAsia="Times New Roman" w:hAnsi="Tahoma" w:cs="Tahoma"/>
          <w:lang w:val="es-ES" w:eastAsia="es-ES"/>
        </w:rPr>
      </w:pPr>
    </w:p>
    <w:p w14:paraId="78FE527B" w14:textId="77777777" w:rsidR="00F806FD" w:rsidRPr="00F806FD" w:rsidRDefault="00F806FD" w:rsidP="00F806FD">
      <w:pPr>
        <w:spacing w:line="276" w:lineRule="auto"/>
        <w:jc w:val="left"/>
        <w:rPr>
          <w:rFonts w:ascii="Tahoma" w:eastAsia="Times New Roman" w:hAnsi="Tahoma" w:cs="Tahoma"/>
          <w:lang w:val="es-ES" w:eastAsia="es-ES"/>
        </w:rPr>
      </w:pPr>
      <w:bookmarkStart w:id="8" w:name="_Hlk62478330"/>
      <w:r w:rsidRPr="00F806FD">
        <w:rPr>
          <w:rFonts w:ascii="Tahoma" w:eastAsia="Times New Roman" w:hAnsi="Tahoma" w:cs="Tahoma"/>
          <w:lang w:val="es-ES" w:eastAsia="es-ES"/>
        </w:rPr>
        <w:t>La Magistrada y el Magistrado,</w:t>
      </w:r>
    </w:p>
    <w:p w14:paraId="4FAF2986" w14:textId="77777777" w:rsidR="00F806FD" w:rsidRPr="00F806FD" w:rsidRDefault="00F806FD" w:rsidP="00F806FD">
      <w:pPr>
        <w:spacing w:line="276" w:lineRule="auto"/>
        <w:jc w:val="left"/>
        <w:rPr>
          <w:rFonts w:ascii="Tahoma" w:eastAsia="Times New Roman" w:hAnsi="Tahoma" w:cs="Tahoma"/>
          <w:lang w:val="es-ES" w:eastAsia="es-ES"/>
        </w:rPr>
      </w:pPr>
    </w:p>
    <w:p w14:paraId="0DD8E8CD" w14:textId="77777777" w:rsidR="00F806FD" w:rsidRPr="00F806FD" w:rsidRDefault="00F806FD" w:rsidP="00F806FD">
      <w:pPr>
        <w:spacing w:line="276" w:lineRule="auto"/>
        <w:jc w:val="left"/>
        <w:rPr>
          <w:rFonts w:ascii="Tahoma" w:eastAsia="Times New Roman" w:hAnsi="Tahoma" w:cs="Tahoma"/>
          <w:lang w:val="es-ES" w:eastAsia="es-ES"/>
        </w:rPr>
      </w:pPr>
    </w:p>
    <w:p w14:paraId="5567C242" w14:textId="77777777" w:rsidR="00F806FD" w:rsidRPr="00F806FD" w:rsidRDefault="00F806FD" w:rsidP="00F806FD">
      <w:pPr>
        <w:spacing w:line="276" w:lineRule="auto"/>
        <w:jc w:val="left"/>
        <w:rPr>
          <w:rFonts w:ascii="Tahoma" w:eastAsia="Times New Roman" w:hAnsi="Tahoma" w:cs="Tahoma"/>
          <w:lang w:val="es-ES" w:eastAsia="es-ES"/>
        </w:rPr>
      </w:pPr>
    </w:p>
    <w:p w14:paraId="08944A40" w14:textId="77777777" w:rsidR="00F806FD" w:rsidRPr="00F806FD" w:rsidRDefault="00F806FD" w:rsidP="00F806FD">
      <w:pPr>
        <w:spacing w:line="276" w:lineRule="auto"/>
        <w:rPr>
          <w:rFonts w:ascii="Tahoma" w:eastAsia="Times New Roman" w:hAnsi="Tahoma" w:cs="Tahoma"/>
          <w:lang w:val="es-ES" w:eastAsia="es-ES"/>
        </w:rPr>
      </w:pPr>
      <w:r w:rsidRPr="00F806FD">
        <w:rPr>
          <w:rFonts w:ascii="Tahoma" w:eastAsia="Times New Roman" w:hAnsi="Tahoma" w:cs="Tahoma"/>
          <w:b/>
          <w:bCs/>
          <w:lang w:val="es-ES" w:eastAsia="es-ES"/>
        </w:rPr>
        <w:t>OLGA LUCÍA HOYOS SEPÚLVEDA</w:t>
      </w:r>
      <w:r w:rsidRPr="00F806FD">
        <w:rPr>
          <w:rFonts w:ascii="Tahoma" w:eastAsia="Times New Roman" w:hAnsi="Tahoma" w:cs="Tahoma"/>
          <w:b/>
          <w:bCs/>
          <w:lang w:val="es-ES" w:eastAsia="es-ES"/>
        </w:rPr>
        <w:tab/>
      </w:r>
      <w:r w:rsidRPr="00F806FD">
        <w:rPr>
          <w:rFonts w:ascii="Tahoma" w:eastAsia="Times New Roman" w:hAnsi="Tahoma" w:cs="Tahoma"/>
          <w:b/>
          <w:bCs/>
          <w:lang w:val="es-ES" w:eastAsia="es-ES"/>
        </w:rPr>
        <w:tab/>
        <w:t>JULIO CÉSAR SALAZAR MUÑOZ</w:t>
      </w:r>
    </w:p>
    <w:p w14:paraId="3BF13EC9" w14:textId="77777777" w:rsidR="00F806FD" w:rsidRPr="00F806FD" w:rsidRDefault="00F806FD" w:rsidP="00F806FD">
      <w:pPr>
        <w:spacing w:line="276" w:lineRule="auto"/>
        <w:rPr>
          <w:rFonts w:ascii="Tahoma" w:eastAsia="Times New Roman" w:hAnsi="Tahoma" w:cs="Tahoma"/>
          <w:lang w:val="es-ES" w:eastAsia="es-ES"/>
        </w:rPr>
      </w:pPr>
      <w:r w:rsidRPr="00F806FD">
        <w:rPr>
          <w:rFonts w:ascii="Tahoma" w:eastAsia="Times New Roman" w:hAnsi="Tahoma" w:cs="Tahoma"/>
          <w:lang w:val="es-ES" w:eastAsia="es-ES"/>
        </w:rPr>
        <w:t>Magistrada</w:t>
      </w:r>
      <w:r w:rsidRPr="00F806FD">
        <w:rPr>
          <w:rFonts w:ascii="Tahoma" w:eastAsia="Times New Roman" w:hAnsi="Tahoma" w:cs="Tahoma"/>
          <w:lang w:val="es-ES" w:eastAsia="es-ES"/>
        </w:rPr>
        <w:tab/>
      </w:r>
      <w:r w:rsidRPr="00F806FD">
        <w:rPr>
          <w:rFonts w:ascii="Tahoma" w:eastAsia="Times New Roman" w:hAnsi="Tahoma" w:cs="Tahoma"/>
          <w:lang w:val="es-ES" w:eastAsia="es-ES"/>
        </w:rPr>
        <w:tab/>
      </w:r>
      <w:r w:rsidRPr="00F806FD">
        <w:rPr>
          <w:rFonts w:ascii="Tahoma" w:eastAsia="Times New Roman" w:hAnsi="Tahoma" w:cs="Tahoma"/>
          <w:lang w:val="es-ES" w:eastAsia="es-ES"/>
        </w:rPr>
        <w:tab/>
      </w:r>
      <w:r w:rsidRPr="00F806FD">
        <w:rPr>
          <w:rFonts w:ascii="Tahoma" w:eastAsia="Times New Roman" w:hAnsi="Tahoma" w:cs="Tahoma"/>
          <w:lang w:val="es-ES" w:eastAsia="es-ES"/>
        </w:rPr>
        <w:tab/>
      </w:r>
      <w:r w:rsidRPr="00F806FD">
        <w:rPr>
          <w:rFonts w:ascii="Tahoma" w:eastAsia="Times New Roman" w:hAnsi="Tahoma" w:cs="Tahoma"/>
          <w:lang w:val="es-ES" w:eastAsia="es-ES"/>
        </w:rPr>
        <w:tab/>
      </w:r>
      <w:r w:rsidRPr="00F806FD">
        <w:rPr>
          <w:rFonts w:ascii="Tahoma" w:eastAsia="Times New Roman" w:hAnsi="Tahoma" w:cs="Tahoma"/>
          <w:lang w:val="es-ES" w:eastAsia="es-ES"/>
        </w:rPr>
        <w:tab/>
        <w:t>Magistrado</w:t>
      </w:r>
      <w:bookmarkEnd w:id="8"/>
    </w:p>
    <w:p w14:paraId="3B36EA44" w14:textId="77777777" w:rsidR="00A0203C" w:rsidRDefault="00F806FD" w:rsidP="00F806FD">
      <w:pPr>
        <w:spacing w:line="276" w:lineRule="auto"/>
        <w:rPr>
          <w:rFonts w:ascii="Tahoma" w:hAnsi="Tahoma" w:cs="Tahoma"/>
        </w:rPr>
      </w:pPr>
      <w:r>
        <w:rPr>
          <w:rFonts w:ascii="Tahoma" w:hAnsi="Tahoma" w:cs="Tahoma"/>
        </w:rPr>
        <w:t>Aclara voto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Salva voto</w:t>
      </w:r>
    </w:p>
    <w:p w14:paraId="7A46DFE9" w14:textId="77777777" w:rsidR="00A0203C" w:rsidRDefault="00A0203C" w:rsidP="00F806FD">
      <w:pPr>
        <w:spacing w:line="276" w:lineRule="auto"/>
        <w:rPr>
          <w:rFonts w:ascii="Tahoma" w:hAnsi="Tahoma" w:cs="Tahoma"/>
        </w:rPr>
      </w:pPr>
    </w:p>
    <w:p w14:paraId="47C0F219" w14:textId="44C5FB4F" w:rsidR="00286238" w:rsidRPr="00211ABC" w:rsidRDefault="00286238" w:rsidP="00F806FD">
      <w:pPr>
        <w:spacing w:line="276" w:lineRule="auto"/>
        <w:rPr>
          <w:rFonts w:ascii="Tahoma" w:hAnsi="Tahoma" w:cs="Tahoma"/>
        </w:rPr>
      </w:pPr>
      <w:r w:rsidRPr="00211ABC">
        <w:rPr>
          <w:rFonts w:ascii="Tahoma" w:hAnsi="Tahoma" w:cs="Tahoma"/>
        </w:rPr>
        <w:br w:type="page"/>
      </w:r>
    </w:p>
    <w:p w14:paraId="5EFFFFDD" w14:textId="77777777" w:rsidR="00A0203C" w:rsidRDefault="00A0203C" w:rsidP="00A0203C">
      <w:pPr>
        <w:spacing w:line="276" w:lineRule="auto"/>
        <w:rPr>
          <w:rFonts w:eastAsia="Times New Roman" w:cs="Arial"/>
          <w:i/>
          <w:lang w:val="es-ES" w:eastAsia="es-ES"/>
        </w:rPr>
      </w:pPr>
    </w:p>
    <w:p w14:paraId="2DCBF319" w14:textId="77777777" w:rsidR="00A0203C" w:rsidRPr="00A0203C" w:rsidRDefault="00A0203C" w:rsidP="00C402FB">
      <w:pPr>
        <w:spacing w:line="288" w:lineRule="auto"/>
        <w:rPr>
          <w:rFonts w:eastAsia="Times New Roman" w:cs="Arial"/>
          <w:b/>
          <w:i/>
          <w:lang w:val="es-ES" w:eastAsia="es-ES"/>
        </w:rPr>
      </w:pPr>
      <w:r w:rsidRPr="00A0203C">
        <w:rPr>
          <w:rFonts w:eastAsia="Times New Roman" w:cs="Arial"/>
          <w:i/>
          <w:lang w:val="es-ES" w:eastAsia="es-ES"/>
        </w:rPr>
        <w:tab/>
        <w:t xml:space="preserve">MAGISTRADO: </w:t>
      </w:r>
      <w:r w:rsidRPr="00A0203C">
        <w:rPr>
          <w:rFonts w:eastAsia="Times New Roman" w:cs="Arial"/>
          <w:b/>
          <w:i/>
          <w:lang w:val="es-ES" w:eastAsia="es-ES"/>
        </w:rPr>
        <w:t>JULIO CÉSAR SALAZAR MUÑOZ</w:t>
      </w:r>
    </w:p>
    <w:p w14:paraId="0439DE80" w14:textId="77777777" w:rsidR="00A0203C" w:rsidRPr="00A0203C" w:rsidRDefault="00A0203C" w:rsidP="00C402FB">
      <w:pPr>
        <w:spacing w:line="288" w:lineRule="auto"/>
        <w:rPr>
          <w:rFonts w:eastAsia="Times New Roman" w:cs="Arial"/>
          <w:i/>
          <w:lang w:val="es-ES" w:eastAsia="es-ES"/>
        </w:rPr>
      </w:pPr>
      <w:r w:rsidRPr="00A0203C">
        <w:rPr>
          <w:rFonts w:eastAsia="Times New Roman" w:cs="Arial"/>
          <w:b/>
          <w:i/>
          <w:lang w:val="es-ES" w:eastAsia="es-ES"/>
        </w:rPr>
        <w:tab/>
      </w:r>
      <w:r w:rsidRPr="00A0203C">
        <w:rPr>
          <w:rFonts w:eastAsia="Times New Roman" w:cs="Arial"/>
          <w:i/>
          <w:lang w:val="es-ES" w:eastAsia="es-ES"/>
        </w:rPr>
        <w:t>Pereira, veintidós [22] de enero de dos mil veintiuno [2021].</w:t>
      </w:r>
    </w:p>
    <w:p w14:paraId="3B1994DD" w14:textId="77777777" w:rsidR="00A0203C" w:rsidRPr="00A0203C" w:rsidRDefault="00A0203C" w:rsidP="00C402FB">
      <w:pPr>
        <w:tabs>
          <w:tab w:val="left" w:pos="1440"/>
        </w:tabs>
        <w:spacing w:line="288" w:lineRule="auto"/>
        <w:rPr>
          <w:rFonts w:eastAsia="Times New Roman" w:cs="Arial"/>
          <w:i/>
          <w:snapToGrid w:val="0"/>
          <w:lang w:val="es-ES" w:eastAsia="es-ES"/>
        </w:rPr>
      </w:pPr>
      <w:r w:rsidRPr="00A0203C">
        <w:rPr>
          <w:rFonts w:eastAsia="Times New Roman" w:cs="Arial"/>
          <w:i/>
          <w:snapToGrid w:val="0"/>
          <w:lang w:val="es-ES" w:eastAsia="es-ES"/>
        </w:rPr>
        <w:tab/>
      </w:r>
    </w:p>
    <w:p w14:paraId="5F70BD3F" w14:textId="77777777" w:rsidR="00A0203C" w:rsidRPr="00A0203C" w:rsidRDefault="00A0203C" w:rsidP="00C402FB">
      <w:pPr>
        <w:spacing w:line="288" w:lineRule="auto"/>
        <w:jc w:val="center"/>
        <w:rPr>
          <w:rFonts w:eastAsia="Times New Roman" w:cs="Arial"/>
          <w:b/>
          <w:u w:val="single"/>
          <w:lang w:val="es-ES" w:eastAsia="es-ES"/>
        </w:rPr>
      </w:pPr>
      <w:r w:rsidRPr="00A0203C">
        <w:rPr>
          <w:rFonts w:eastAsia="Times New Roman" w:cs="Arial"/>
          <w:b/>
          <w:u w:val="single"/>
          <w:lang w:val="es-ES" w:eastAsia="es-ES"/>
        </w:rPr>
        <w:t>SALVAMENTO DE VOTO:</w:t>
      </w:r>
    </w:p>
    <w:p w14:paraId="0319075C" w14:textId="77777777" w:rsidR="00A0203C" w:rsidRPr="00A0203C" w:rsidRDefault="00A0203C" w:rsidP="00C402FB">
      <w:pPr>
        <w:spacing w:line="288" w:lineRule="auto"/>
        <w:rPr>
          <w:rFonts w:eastAsia="Times New Roman" w:cs="Arial"/>
          <w:iCs/>
          <w:lang w:val="es-ES" w:eastAsia="es-ES"/>
        </w:rPr>
      </w:pPr>
    </w:p>
    <w:p w14:paraId="723C165B" w14:textId="472ABB30" w:rsidR="00A0203C" w:rsidRPr="00A0203C" w:rsidRDefault="00A0203C" w:rsidP="00C402FB">
      <w:pPr>
        <w:spacing w:line="288" w:lineRule="auto"/>
        <w:rPr>
          <w:rFonts w:eastAsia="Times New Roman" w:cs="Arial"/>
          <w:iCs/>
          <w:lang w:val="es-ES" w:eastAsia="es-ES"/>
        </w:rPr>
      </w:pPr>
      <w:r w:rsidRPr="00A0203C">
        <w:rPr>
          <w:rFonts w:eastAsia="Times New Roman" w:cs="Arial"/>
          <w:iCs/>
          <w:lang w:val="es-ES" w:eastAsia="es-ES"/>
        </w:rPr>
        <w:t xml:space="preserve">Con todo respeto me aparto de la decisión mayoritaria que acoge la nueva posición de la Sala de Casación Laboral de la Corte Suprema de Justicia sobre la posibilidad de sumar tiempos cotizados al </w:t>
      </w:r>
      <w:proofErr w:type="spellStart"/>
      <w:r w:rsidRPr="00A0203C">
        <w:rPr>
          <w:rFonts w:eastAsia="Times New Roman" w:cs="Arial"/>
          <w:iCs/>
          <w:lang w:val="es-ES" w:eastAsia="es-ES"/>
        </w:rPr>
        <w:t>ISS</w:t>
      </w:r>
      <w:proofErr w:type="spellEnd"/>
      <w:r w:rsidRPr="00A0203C">
        <w:rPr>
          <w:rFonts w:eastAsia="Times New Roman" w:cs="Arial"/>
          <w:iCs/>
          <w:lang w:val="es-ES" w:eastAsia="es-ES"/>
        </w:rPr>
        <w:t xml:space="preserve"> con aquellos servidos en el sector público para efectos de acreditar los requisitos previstos en el acuerdo 049 de 1990 en orden a obtener la pensión de vejez, tesis con la que inexplicablemente se deroga la ley 71 de 1988, se viola el principio de </w:t>
      </w:r>
      <w:proofErr w:type="spellStart"/>
      <w:r w:rsidRPr="00A0203C">
        <w:rPr>
          <w:rFonts w:eastAsia="Times New Roman" w:cs="Arial"/>
          <w:iCs/>
          <w:lang w:val="es-ES" w:eastAsia="es-ES"/>
        </w:rPr>
        <w:t>inescindibilidad</w:t>
      </w:r>
      <w:proofErr w:type="spellEnd"/>
      <w:r w:rsidRPr="00A0203C">
        <w:rPr>
          <w:rFonts w:eastAsia="Times New Roman" w:cs="Arial"/>
          <w:iCs/>
          <w:lang w:val="es-ES" w:eastAsia="es-ES"/>
        </w:rPr>
        <w:t>, se confunde el régimen de transición con el contenido de la propia ley 100 de 1993 y se desconoce flagr</w:t>
      </w:r>
      <w:r>
        <w:rPr>
          <w:rFonts w:eastAsia="Times New Roman" w:cs="Arial"/>
          <w:iCs/>
          <w:lang w:val="es-ES" w:eastAsia="es-ES"/>
        </w:rPr>
        <w:t>antemente el artículo 288 d</w:t>
      </w:r>
      <w:r w:rsidRPr="00A0203C">
        <w:rPr>
          <w:rFonts w:eastAsia="Times New Roman" w:cs="Arial"/>
          <w:iCs/>
          <w:lang w:val="es-ES" w:eastAsia="es-ES"/>
        </w:rPr>
        <w:t>el último compendio normativo citado, como se explica a continuación:</w:t>
      </w:r>
    </w:p>
    <w:p w14:paraId="06329B46" w14:textId="77777777" w:rsidR="00A0203C" w:rsidRPr="00A0203C" w:rsidRDefault="00A0203C" w:rsidP="00C402FB">
      <w:pPr>
        <w:spacing w:line="288" w:lineRule="auto"/>
        <w:rPr>
          <w:rFonts w:eastAsia="Times New Roman" w:cs="Arial"/>
          <w:iCs/>
          <w:lang w:val="es-ES" w:eastAsia="es-ES"/>
        </w:rPr>
      </w:pPr>
    </w:p>
    <w:p w14:paraId="5E7B7A5C" w14:textId="77777777" w:rsidR="00A0203C" w:rsidRPr="00A0203C" w:rsidRDefault="00A0203C" w:rsidP="00C402FB">
      <w:pPr>
        <w:spacing w:line="288" w:lineRule="auto"/>
        <w:rPr>
          <w:rFonts w:eastAsia="Times New Roman" w:cs="Arial"/>
          <w:iCs/>
          <w:lang w:val="es-ES" w:eastAsia="es-ES"/>
        </w:rPr>
      </w:pPr>
      <w:r w:rsidRPr="00A0203C">
        <w:rPr>
          <w:rFonts w:eastAsia="Times New Roman" w:cs="Arial"/>
          <w:iCs/>
          <w:lang w:val="es-ES" w:eastAsia="es-ES"/>
        </w:rPr>
        <w:t>Para empezar, téngase en cuenta que la tesis de la sumatoria de tiempos públicos y privados, no tiene en cuenta que el artículo 41 del acuerdo 049 de 1990 tiene previsto que “</w:t>
      </w:r>
      <w:r w:rsidRPr="00A0203C">
        <w:rPr>
          <w:rFonts w:eastAsia="Times New Roman" w:cs="Arial"/>
          <w:iCs/>
          <w:sz w:val="22"/>
          <w:lang w:val="es-ES" w:eastAsia="es-ES"/>
        </w:rPr>
        <w:t xml:space="preserve">el Instituto </w:t>
      </w:r>
      <w:r w:rsidRPr="00A0203C">
        <w:rPr>
          <w:rFonts w:eastAsia="Times New Roman" w:cs="Arial"/>
          <w:b/>
          <w:iCs/>
          <w:sz w:val="22"/>
          <w:lang w:val="es-ES" w:eastAsia="es-ES"/>
        </w:rPr>
        <w:t>será responsable</w:t>
      </w:r>
      <w:r w:rsidRPr="00A0203C">
        <w:rPr>
          <w:rFonts w:eastAsia="Times New Roman" w:cs="Arial"/>
          <w:iCs/>
          <w:sz w:val="22"/>
          <w:lang w:val="es-ES" w:eastAsia="es-ES"/>
        </w:rPr>
        <w:t xml:space="preserve"> de las prestaciones de que trata el seguro de Invalidez, Vejez y muerte </w:t>
      </w:r>
      <w:r w:rsidRPr="00A0203C">
        <w:rPr>
          <w:rFonts w:eastAsia="Times New Roman" w:cs="Arial"/>
          <w:b/>
          <w:iCs/>
          <w:sz w:val="22"/>
          <w:lang w:val="es-ES" w:eastAsia="es-ES"/>
        </w:rPr>
        <w:t>a partir de la afiliación, en los términos contemplados en el reglamento</w:t>
      </w:r>
      <w:r w:rsidRPr="00A0203C">
        <w:rPr>
          <w:rFonts w:eastAsia="Times New Roman" w:cs="Arial"/>
          <w:iCs/>
          <w:lang w:val="es-ES" w:eastAsia="es-ES"/>
        </w:rPr>
        <w:t>”, para a renglón seguido añadir que si no hay afiliación el responsable de la prestación es el empleador. De lo cual se desprende que los derechos que otorga la entidad tienen fundamento en las cotizaciones que los sustenten financieramente, tal como se desprende igualmente del artículo 44 ídem que versa sobre el régimen financiero de la entidad.</w:t>
      </w:r>
    </w:p>
    <w:p w14:paraId="42120286" w14:textId="77777777" w:rsidR="00A0203C" w:rsidRPr="00A0203C" w:rsidRDefault="00A0203C" w:rsidP="00C402FB">
      <w:pPr>
        <w:spacing w:line="288" w:lineRule="auto"/>
        <w:rPr>
          <w:rFonts w:eastAsia="Times New Roman" w:cs="Arial"/>
          <w:iCs/>
          <w:lang w:val="es-ES" w:eastAsia="es-ES"/>
        </w:rPr>
      </w:pPr>
    </w:p>
    <w:p w14:paraId="47F7A61F" w14:textId="77777777" w:rsidR="00A0203C" w:rsidRPr="00A0203C" w:rsidRDefault="00A0203C" w:rsidP="00C402FB">
      <w:pPr>
        <w:spacing w:line="288" w:lineRule="auto"/>
        <w:rPr>
          <w:rFonts w:eastAsia="Times New Roman" w:cs="Arial"/>
          <w:iCs/>
          <w:lang w:val="es-ES" w:eastAsia="es-ES"/>
        </w:rPr>
      </w:pPr>
      <w:r w:rsidRPr="00A0203C">
        <w:rPr>
          <w:rFonts w:eastAsia="Times New Roman" w:cs="Arial"/>
          <w:iCs/>
          <w:lang w:val="es-ES" w:eastAsia="es-ES"/>
        </w:rPr>
        <w:t xml:space="preserve">Pero es más, de manera expresa el decreto 758 de 1990, en dos de sus normas, reguló los casos en que pudiera existir duda respecto a las semanas aportadas al </w:t>
      </w:r>
      <w:proofErr w:type="spellStart"/>
      <w:r w:rsidRPr="00A0203C">
        <w:rPr>
          <w:rFonts w:eastAsia="Times New Roman" w:cs="Arial"/>
          <w:iCs/>
          <w:lang w:val="es-ES" w:eastAsia="es-ES"/>
        </w:rPr>
        <w:t>ISS</w:t>
      </w:r>
      <w:proofErr w:type="spellEnd"/>
      <w:r w:rsidRPr="00A0203C">
        <w:rPr>
          <w:rFonts w:eastAsia="Times New Roman" w:cs="Arial"/>
          <w:iCs/>
          <w:lang w:val="es-ES" w:eastAsia="es-ES"/>
        </w:rPr>
        <w:t xml:space="preserve"> y las servidas en el sector público. En efecto, dispuso en el parágrafo del artículo 14 que:</w:t>
      </w:r>
    </w:p>
    <w:p w14:paraId="02ACCC21" w14:textId="77777777" w:rsidR="00A0203C" w:rsidRPr="00A0203C" w:rsidRDefault="00A0203C" w:rsidP="00C402FB">
      <w:pPr>
        <w:spacing w:line="288" w:lineRule="auto"/>
        <w:rPr>
          <w:rFonts w:eastAsia="Times New Roman" w:cs="Arial"/>
          <w:iCs/>
          <w:lang w:val="es-ES" w:eastAsia="es-ES"/>
        </w:rPr>
      </w:pPr>
    </w:p>
    <w:p w14:paraId="3A1FD1CD" w14:textId="77777777" w:rsidR="00A0203C" w:rsidRPr="00A0203C" w:rsidRDefault="00A0203C" w:rsidP="00C402FB">
      <w:pPr>
        <w:spacing w:line="240" w:lineRule="auto"/>
        <w:ind w:left="426" w:right="420"/>
        <w:rPr>
          <w:rFonts w:eastAsia="Times New Roman" w:cs="Arial"/>
          <w:b/>
          <w:iCs/>
          <w:sz w:val="22"/>
          <w:lang w:val="es-ES" w:eastAsia="es-ES"/>
        </w:rPr>
      </w:pPr>
      <w:r w:rsidRPr="00A0203C">
        <w:rPr>
          <w:rFonts w:eastAsia="Times New Roman" w:cs="Arial"/>
          <w:iCs/>
          <w:sz w:val="22"/>
          <w:lang w:val="es-ES" w:eastAsia="es-ES"/>
        </w:rPr>
        <w:t>“</w:t>
      </w:r>
      <w:r w:rsidRPr="00A0203C">
        <w:rPr>
          <w:rFonts w:eastAsia="Times New Roman" w:cs="Arial"/>
          <w:i/>
          <w:iCs/>
          <w:sz w:val="22"/>
          <w:lang w:val="es-ES" w:eastAsia="es-ES"/>
        </w:rPr>
        <w:t xml:space="preserve">Las personas que en cualquier tiempo reciban la indemnización de que trata este artículo, no podrán ser inscritas nuevamente en el seguro de vejez, invalidez y muerte. </w:t>
      </w:r>
      <w:r w:rsidRPr="00A0203C">
        <w:rPr>
          <w:rFonts w:eastAsia="Times New Roman" w:cs="Arial"/>
          <w:b/>
          <w:i/>
          <w:iCs/>
          <w:sz w:val="22"/>
          <w:lang w:val="es-ES" w:eastAsia="es-ES"/>
        </w:rPr>
        <w:t>Las semanas tenidas en cuenta para efectos de la indemnización, no se computarán para la pensión de jubilación de que trata la ley 71 de 1988</w:t>
      </w:r>
      <w:r w:rsidRPr="00A0203C">
        <w:rPr>
          <w:rFonts w:eastAsia="Times New Roman" w:cs="Arial"/>
          <w:b/>
          <w:iCs/>
          <w:sz w:val="22"/>
          <w:lang w:val="es-ES" w:eastAsia="es-ES"/>
        </w:rPr>
        <w:t>”</w:t>
      </w:r>
    </w:p>
    <w:p w14:paraId="71C067B5" w14:textId="77777777" w:rsidR="00A0203C" w:rsidRPr="00A0203C" w:rsidRDefault="00A0203C" w:rsidP="00C402FB">
      <w:pPr>
        <w:spacing w:line="288" w:lineRule="auto"/>
        <w:ind w:left="708"/>
        <w:rPr>
          <w:rFonts w:eastAsia="Times New Roman" w:cs="Arial"/>
          <w:b/>
          <w:iCs/>
          <w:lang w:val="es-ES" w:eastAsia="es-ES"/>
        </w:rPr>
      </w:pPr>
    </w:p>
    <w:p w14:paraId="7D579179" w14:textId="77777777" w:rsidR="00A0203C" w:rsidRPr="00A0203C" w:rsidRDefault="00A0203C" w:rsidP="00C402FB">
      <w:pPr>
        <w:spacing w:line="288" w:lineRule="auto"/>
        <w:rPr>
          <w:rFonts w:eastAsia="Times New Roman" w:cs="Arial"/>
          <w:iCs/>
          <w:lang w:val="es-ES" w:eastAsia="es-ES"/>
        </w:rPr>
      </w:pPr>
      <w:r w:rsidRPr="00A0203C">
        <w:rPr>
          <w:rFonts w:eastAsia="Times New Roman" w:cs="Arial"/>
          <w:iCs/>
          <w:lang w:val="es-ES" w:eastAsia="es-ES"/>
        </w:rPr>
        <w:t>Y en el artículo 49 señaló que:</w:t>
      </w:r>
    </w:p>
    <w:p w14:paraId="2374BF94" w14:textId="77777777" w:rsidR="00A0203C" w:rsidRPr="00A0203C" w:rsidRDefault="00A0203C" w:rsidP="00C402FB">
      <w:pPr>
        <w:spacing w:line="288" w:lineRule="auto"/>
        <w:rPr>
          <w:rFonts w:eastAsia="Times New Roman" w:cs="Arial"/>
          <w:iCs/>
          <w:lang w:val="es-ES" w:eastAsia="es-ES"/>
        </w:rPr>
      </w:pPr>
    </w:p>
    <w:p w14:paraId="50E6448A" w14:textId="77777777" w:rsid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“Las pensiones e indemnizaciones sustitutivas que cubre el </w:t>
      </w:r>
      <w:proofErr w:type="spellStart"/>
      <w:r w:rsidRPr="00A0203C">
        <w:rPr>
          <w:rFonts w:eastAsia="Times New Roman" w:cs="Arial"/>
          <w:iCs/>
          <w:sz w:val="22"/>
          <w:lang w:val="es-ES" w:eastAsia="es-ES"/>
        </w:rPr>
        <w:t>ISS</w:t>
      </w:r>
      <w:proofErr w:type="spellEnd"/>
      <w:r w:rsidRPr="00A0203C">
        <w:rPr>
          <w:rFonts w:eastAsia="Times New Roman" w:cs="Arial"/>
          <w:iCs/>
          <w:sz w:val="22"/>
          <w:lang w:val="es-ES" w:eastAsia="es-ES"/>
        </w:rPr>
        <w:t>, son incompatibles:</w:t>
      </w:r>
    </w:p>
    <w:p w14:paraId="4DFE13C0" w14:textId="77777777" w:rsidR="00A0203C" w:rsidRPr="00A0203C" w:rsidRDefault="00A0203C" w:rsidP="00C402FB">
      <w:pPr>
        <w:spacing w:line="240" w:lineRule="auto"/>
        <w:ind w:left="426" w:right="420"/>
        <w:rPr>
          <w:rFonts w:eastAsia="Times New Roman" w:cs="Arial"/>
          <w:iCs/>
          <w:sz w:val="22"/>
          <w:lang w:val="es-ES" w:eastAsia="es-ES"/>
        </w:rPr>
      </w:pPr>
    </w:p>
    <w:p w14:paraId="2CE04FAE" w14:textId="28864A8B" w:rsidR="00A0203C" w:rsidRPr="00A0203C" w:rsidRDefault="00A0203C" w:rsidP="00C402FB">
      <w:pPr>
        <w:spacing w:line="240" w:lineRule="auto"/>
        <w:ind w:left="426" w:right="420"/>
        <w:rPr>
          <w:rFonts w:eastAsia="Times New Roman" w:cs="Arial"/>
          <w:iCs/>
          <w:sz w:val="22"/>
          <w:lang w:val="es-ES" w:eastAsia="es-ES"/>
        </w:rPr>
      </w:pPr>
      <w:r>
        <w:rPr>
          <w:rFonts w:eastAsia="Times New Roman" w:cs="Arial"/>
          <w:iCs/>
          <w:sz w:val="22"/>
          <w:lang w:val="es-ES" w:eastAsia="es-ES"/>
        </w:rPr>
        <w:t>“</w:t>
      </w:r>
      <w:r w:rsidRPr="00A0203C">
        <w:rPr>
          <w:rFonts w:eastAsia="Times New Roman" w:cs="Arial"/>
          <w:iCs/>
          <w:sz w:val="22"/>
          <w:lang w:val="es-ES" w:eastAsia="es-ES"/>
        </w:rPr>
        <w:t>c) Con las pensiones de jubilación por aportes de que trata la ley 71 de 1988. Sin embargo, el beneficiario podrá optar por la más favorable cuando haya concurrencia entre ellas.”</w:t>
      </w:r>
    </w:p>
    <w:p w14:paraId="345D8F1E" w14:textId="77777777" w:rsidR="00A0203C" w:rsidRPr="00A0203C" w:rsidRDefault="00A0203C" w:rsidP="00C402FB">
      <w:pPr>
        <w:spacing w:line="288" w:lineRule="auto"/>
        <w:ind w:left="708"/>
        <w:rPr>
          <w:rFonts w:eastAsia="Times New Roman" w:cs="Arial"/>
          <w:iCs/>
          <w:lang w:val="es-ES" w:eastAsia="es-ES"/>
        </w:rPr>
      </w:pPr>
    </w:p>
    <w:p w14:paraId="044841A0" w14:textId="77777777" w:rsidR="00A0203C" w:rsidRPr="00A0203C" w:rsidRDefault="00A0203C" w:rsidP="00C402FB">
      <w:pPr>
        <w:spacing w:line="288" w:lineRule="auto"/>
        <w:rPr>
          <w:rFonts w:eastAsia="Times New Roman" w:cs="Arial"/>
          <w:iCs/>
          <w:lang w:val="es-ES" w:eastAsia="es-ES"/>
        </w:rPr>
      </w:pPr>
      <w:r w:rsidRPr="00A0203C">
        <w:rPr>
          <w:rFonts w:eastAsia="Times New Roman" w:cs="Arial"/>
          <w:iCs/>
          <w:lang w:val="es-ES" w:eastAsia="es-ES"/>
        </w:rPr>
        <w:t xml:space="preserve">Nótese que el decreto 758 de 1990 parte del conocimiento de la existencia de la ley 71 de 1988 para concluir la incompatibilidad de la pensión por aportes con la que el </w:t>
      </w:r>
      <w:proofErr w:type="spellStart"/>
      <w:r w:rsidRPr="00A0203C">
        <w:rPr>
          <w:rFonts w:eastAsia="Times New Roman" w:cs="Arial"/>
          <w:iCs/>
          <w:lang w:val="es-ES" w:eastAsia="es-ES"/>
        </w:rPr>
        <w:t>ISS</w:t>
      </w:r>
      <w:proofErr w:type="spellEnd"/>
      <w:r w:rsidRPr="00A0203C">
        <w:rPr>
          <w:rFonts w:eastAsia="Times New Roman" w:cs="Arial"/>
          <w:iCs/>
          <w:lang w:val="es-ES" w:eastAsia="es-ES"/>
        </w:rPr>
        <w:t xml:space="preserve"> otorga, pero sobre todo para señalar que si eventualmente fueran concurrentes, el beneficiario podrá optar por la más favorable, pero no contempla en su favor la </w:t>
      </w:r>
      <w:r w:rsidRPr="00A0203C">
        <w:rPr>
          <w:rFonts w:eastAsia="Times New Roman" w:cs="Arial"/>
          <w:iCs/>
          <w:lang w:val="es-ES" w:eastAsia="es-ES"/>
        </w:rPr>
        <w:lastRenderedPageBreak/>
        <w:t xml:space="preserve">posibilidad de sumar los tiempos del sector público, para finalmente aplicarle al </w:t>
      </w:r>
      <w:proofErr w:type="spellStart"/>
      <w:r w:rsidRPr="00A0203C">
        <w:rPr>
          <w:rFonts w:eastAsia="Times New Roman" w:cs="Arial"/>
          <w:iCs/>
          <w:lang w:val="es-ES" w:eastAsia="es-ES"/>
        </w:rPr>
        <w:t>IBL</w:t>
      </w:r>
      <w:proofErr w:type="spellEnd"/>
      <w:r w:rsidRPr="00A0203C">
        <w:rPr>
          <w:rFonts w:eastAsia="Times New Roman" w:cs="Arial"/>
          <w:iCs/>
          <w:lang w:val="es-ES" w:eastAsia="es-ES"/>
        </w:rPr>
        <w:t xml:space="preserve"> la tasa de reemplazo que contemplan los reglamentos del </w:t>
      </w:r>
      <w:proofErr w:type="spellStart"/>
      <w:r w:rsidRPr="00A0203C">
        <w:rPr>
          <w:rFonts w:eastAsia="Times New Roman" w:cs="Arial"/>
          <w:iCs/>
          <w:lang w:val="es-ES" w:eastAsia="es-ES"/>
        </w:rPr>
        <w:t>ISS</w:t>
      </w:r>
      <w:proofErr w:type="spellEnd"/>
      <w:r w:rsidRPr="00A0203C">
        <w:rPr>
          <w:rFonts w:eastAsia="Times New Roman" w:cs="Arial"/>
          <w:iCs/>
          <w:lang w:val="es-ES" w:eastAsia="es-ES"/>
        </w:rPr>
        <w:t>.</w:t>
      </w:r>
    </w:p>
    <w:p w14:paraId="630A54CA" w14:textId="77777777" w:rsidR="00A0203C" w:rsidRPr="00A0203C" w:rsidRDefault="00A0203C" w:rsidP="00C402FB">
      <w:pPr>
        <w:spacing w:line="288" w:lineRule="auto"/>
        <w:rPr>
          <w:rFonts w:eastAsia="Times New Roman" w:cs="Arial"/>
          <w:iCs/>
          <w:lang w:val="es-ES" w:eastAsia="es-ES"/>
        </w:rPr>
      </w:pPr>
    </w:p>
    <w:p w14:paraId="1E63B608" w14:textId="77777777" w:rsidR="00A0203C" w:rsidRPr="00A0203C" w:rsidRDefault="00A0203C" w:rsidP="00C402FB">
      <w:pPr>
        <w:spacing w:line="288" w:lineRule="auto"/>
        <w:rPr>
          <w:rFonts w:eastAsia="Times New Roman" w:cs="Arial"/>
          <w:iCs/>
          <w:lang w:val="es-ES" w:eastAsia="es-ES"/>
        </w:rPr>
      </w:pPr>
      <w:r w:rsidRPr="00A0203C">
        <w:rPr>
          <w:rFonts w:eastAsia="Times New Roman" w:cs="Arial"/>
          <w:iCs/>
          <w:lang w:val="es-ES" w:eastAsia="es-ES"/>
        </w:rPr>
        <w:t xml:space="preserve">Es que ese proceder va en contravía de la teoría de la </w:t>
      </w:r>
      <w:proofErr w:type="spellStart"/>
      <w:r w:rsidRPr="00A0203C">
        <w:rPr>
          <w:rFonts w:eastAsia="Times New Roman" w:cs="Arial"/>
          <w:iCs/>
          <w:lang w:val="es-ES" w:eastAsia="es-ES"/>
        </w:rPr>
        <w:t>inescindibilidad</w:t>
      </w:r>
      <w:proofErr w:type="spellEnd"/>
      <w:r w:rsidRPr="00A0203C">
        <w:rPr>
          <w:rFonts w:eastAsia="Times New Roman" w:cs="Arial"/>
          <w:iCs/>
          <w:lang w:val="es-ES" w:eastAsia="es-ES"/>
        </w:rPr>
        <w:t xml:space="preserve"> o </w:t>
      </w:r>
      <w:proofErr w:type="spellStart"/>
      <w:r w:rsidRPr="00A0203C">
        <w:rPr>
          <w:rFonts w:eastAsia="Times New Roman" w:cs="Arial"/>
          <w:iCs/>
          <w:lang w:val="es-ES" w:eastAsia="es-ES"/>
        </w:rPr>
        <w:t>conglobamento</w:t>
      </w:r>
      <w:proofErr w:type="spellEnd"/>
      <w:r w:rsidRPr="00A0203C">
        <w:rPr>
          <w:rFonts w:eastAsia="Times New Roman" w:cs="Arial"/>
          <w:iCs/>
          <w:lang w:val="es-ES" w:eastAsia="es-ES"/>
        </w:rPr>
        <w:t xml:space="preserve"> de las normas sociales, pues a la posibilidad de sumar tiempos públicos y privados prevista en la ley 71 de 1988 se le está adicionando la de aumentar el porcentaje de tasa de reemplazo previsto solo para las pensiones concedidas con base en el decreto 758 de 1990, cuando en aquella normatividad opera una tasa de reemplazo fija del 75%.</w:t>
      </w:r>
    </w:p>
    <w:p w14:paraId="724B12EA" w14:textId="77777777" w:rsidR="00A0203C" w:rsidRPr="00A0203C" w:rsidRDefault="00A0203C" w:rsidP="00C402FB">
      <w:pPr>
        <w:spacing w:line="288" w:lineRule="auto"/>
        <w:rPr>
          <w:rFonts w:eastAsia="Times New Roman" w:cs="Arial"/>
          <w:iCs/>
          <w:lang w:val="es-ES" w:eastAsia="es-ES"/>
        </w:rPr>
      </w:pPr>
      <w:r w:rsidRPr="00A0203C">
        <w:rPr>
          <w:rFonts w:eastAsia="Times New Roman" w:cs="Arial"/>
          <w:iCs/>
          <w:lang w:val="es-ES" w:eastAsia="es-ES"/>
        </w:rPr>
        <w:t xml:space="preserve"> </w:t>
      </w:r>
    </w:p>
    <w:p w14:paraId="45219C2F" w14:textId="77777777" w:rsidR="00A0203C" w:rsidRPr="00A0203C" w:rsidRDefault="00A0203C" w:rsidP="00C402FB">
      <w:pPr>
        <w:spacing w:line="288" w:lineRule="auto"/>
        <w:rPr>
          <w:rFonts w:eastAsia="Times New Roman" w:cs="Arial"/>
          <w:iCs/>
          <w:lang w:val="es-ES" w:eastAsia="es-ES"/>
        </w:rPr>
      </w:pPr>
      <w:r w:rsidRPr="00A0203C">
        <w:rPr>
          <w:rFonts w:eastAsia="Times New Roman" w:cs="Arial"/>
          <w:iCs/>
          <w:lang w:val="es-ES" w:eastAsia="es-ES"/>
        </w:rPr>
        <w:t xml:space="preserve">Por este camino, aparentemente para garantizar la igualdad, en realidad se genera una situación verdaderamente inequitativa, pues bien sabido resulta que ésta –la equidad- consiste en tratar igualmente lo igual y desigualmente lo desigual y para los efectos de la Seguridad Social, hasta el año 1993, no tenían condiciones iguales los trabajadores públicos y los privados, pues los sistemas de financiamiento de sus pensiones eran totalmente diferentes, en tal magnitud que, muchos de los servidores públicos ni siquiera hacían aportes a las Cajas o Fondos encargados de otorgar las prestaciones y los que lo hacían, los realizaban por cuantías diferentes a las previstas en el </w:t>
      </w:r>
      <w:proofErr w:type="spellStart"/>
      <w:r w:rsidRPr="00A0203C">
        <w:rPr>
          <w:rFonts w:eastAsia="Times New Roman" w:cs="Arial"/>
          <w:iCs/>
          <w:lang w:val="es-ES" w:eastAsia="es-ES"/>
        </w:rPr>
        <w:t>ISS</w:t>
      </w:r>
      <w:proofErr w:type="spellEnd"/>
      <w:r w:rsidRPr="00A0203C">
        <w:rPr>
          <w:rFonts w:eastAsia="Times New Roman" w:cs="Arial"/>
          <w:iCs/>
          <w:lang w:val="es-ES" w:eastAsia="es-ES"/>
        </w:rPr>
        <w:t xml:space="preserve"> para los trabajadores del sector privado, quienes además sólo se pensionaban a los 60 años mientras que los del sector público lo hacían a los 55. De igual manera, las tasas de reemplazo en uno y otro sector eran diferentes. </w:t>
      </w:r>
    </w:p>
    <w:p w14:paraId="3571969C" w14:textId="77777777" w:rsidR="00A0203C" w:rsidRPr="00A0203C" w:rsidRDefault="00A0203C" w:rsidP="00C402FB">
      <w:pPr>
        <w:spacing w:line="288" w:lineRule="auto"/>
        <w:rPr>
          <w:rFonts w:eastAsia="Times New Roman" w:cs="Arial"/>
          <w:iCs/>
          <w:lang w:val="es-ES" w:eastAsia="es-ES"/>
        </w:rPr>
      </w:pPr>
    </w:p>
    <w:p w14:paraId="61ABA8D9" w14:textId="77777777" w:rsidR="00A0203C" w:rsidRPr="00A0203C" w:rsidRDefault="00A0203C" w:rsidP="00C402FB">
      <w:pPr>
        <w:spacing w:line="288" w:lineRule="auto"/>
        <w:rPr>
          <w:rFonts w:eastAsia="Times New Roman" w:cs="Arial"/>
          <w:iCs/>
          <w:lang w:val="es-ES" w:eastAsia="es-ES"/>
        </w:rPr>
      </w:pPr>
      <w:r w:rsidRPr="00A0203C">
        <w:rPr>
          <w:rFonts w:eastAsia="Times New Roman" w:cs="Arial"/>
          <w:iCs/>
          <w:lang w:val="es-ES" w:eastAsia="es-ES"/>
        </w:rPr>
        <w:t xml:space="preserve">Es que téngase en cuenta que la interpretación que ahora adopta la Sala lleva a situaciones desproporcionadas como la de conceder pensiones de jubilación con menos de 10 años de servicios, a personas que prestaron servicios en el sector público, sin percatarse que la posibilidad de pensionarse con 500 semanas fue prevista </w:t>
      </w:r>
      <w:r w:rsidRPr="00A0203C">
        <w:rPr>
          <w:rFonts w:eastAsia="Calibri" w:cs="Arial"/>
          <w:iCs/>
          <w:lang w:val="es-ES"/>
        </w:rPr>
        <w:t>en el periodo comprendido entre los años 1966 (decreto 3041) y 1983 (decreto 1900) p</w:t>
      </w:r>
      <w:r w:rsidRPr="00A0203C">
        <w:rPr>
          <w:rFonts w:eastAsia="Times New Roman" w:cs="Arial"/>
          <w:iCs/>
          <w:lang w:val="es-ES" w:eastAsia="es-ES"/>
        </w:rPr>
        <w:t xml:space="preserve">ara reconocer, a todas aquellas personas vinculadas con empleadores privados, que al empezar el cubrimiento del </w:t>
      </w:r>
      <w:proofErr w:type="spellStart"/>
      <w:r w:rsidRPr="00A0203C">
        <w:rPr>
          <w:rFonts w:eastAsia="Times New Roman" w:cs="Arial"/>
          <w:iCs/>
          <w:lang w:val="es-ES" w:eastAsia="es-ES"/>
        </w:rPr>
        <w:t>ISS</w:t>
      </w:r>
      <w:proofErr w:type="spellEnd"/>
      <w:r w:rsidRPr="00A0203C">
        <w:rPr>
          <w:rFonts w:eastAsia="Times New Roman" w:cs="Arial"/>
          <w:iCs/>
          <w:lang w:val="es-ES" w:eastAsia="es-ES"/>
        </w:rPr>
        <w:t xml:space="preserve"> tenían vinculaciones laborales de menos de 10 años (aproximadamente 500 semanas), el tiempo de sus vinculaciones sin afiliación ni aportes, de manera tal que, contabilizando ese periodo de casi 10 años y contemplando otros 10 de aportes al recién creado </w:t>
      </w:r>
      <w:proofErr w:type="spellStart"/>
      <w:r w:rsidRPr="00A0203C">
        <w:rPr>
          <w:rFonts w:eastAsia="Times New Roman" w:cs="Arial"/>
          <w:iCs/>
          <w:lang w:val="es-ES" w:eastAsia="es-ES"/>
        </w:rPr>
        <w:t>ISS</w:t>
      </w:r>
      <w:proofErr w:type="spellEnd"/>
      <w:r w:rsidRPr="00A0203C">
        <w:rPr>
          <w:rFonts w:eastAsia="Times New Roman" w:cs="Arial"/>
          <w:iCs/>
          <w:lang w:val="es-ES" w:eastAsia="es-ES"/>
        </w:rPr>
        <w:t xml:space="preserve"> completaran los 20 años que exigían nuestras normas para acceder a la pensión de jubilación. Pero nunca se pretendió que el Estado jubilara a sus trabajadores con sólo 10 años de servicios.</w:t>
      </w:r>
    </w:p>
    <w:p w14:paraId="1179864B" w14:textId="77777777" w:rsidR="00A0203C" w:rsidRPr="00A0203C" w:rsidRDefault="00A0203C" w:rsidP="00C402FB">
      <w:pPr>
        <w:spacing w:line="288" w:lineRule="auto"/>
        <w:rPr>
          <w:rFonts w:eastAsia="Times New Roman" w:cs="Arial"/>
          <w:iCs/>
          <w:lang w:val="es-ES" w:eastAsia="es-ES"/>
        </w:rPr>
      </w:pPr>
    </w:p>
    <w:p w14:paraId="7E21AF94" w14:textId="77777777" w:rsidR="00A0203C" w:rsidRPr="00A0203C" w:rsidRDefault="00A0203C" w:rsidP="00C402FB">
      <w:pPr>
        <w:tabs>
          <w:tab w:val="left" w:pos="7185"/>
        </w:tabs>
        <w:spacing w:line="288" w:lineRule="auto"/>
        <w:rPr>
          <w:rFonts w:eastAsia="Times New Roman" w:cs="Arial"/>
          <w:iCs/>
          <w:lang w:val="es-ES" w:eastAsia="es-ES"/>
        </w:rPr>
      </w:pPr>
      <w:r w:rsidRPr="00A0203C">
        <w:rPr>
          <w:rFonts w:eastAsia="Times New Roman" w:cs="Arial"/>
          <w:iCs/>
          <w:lang w:val="es-ES" w:eastAsia="es-ES"/>
        </w:rPr>
        <w:t>Adicionalmente, sobre el tema debe tenerse en cuenta que la Sala de Casación Laboral de la Corte Suprema de Justicia, órgano encargado de unificar la jurisprudencia laboral, a pesar de los pronunciamientos de tutela de la Corte Constitucional, había mantenido una línea constante sobre el tema, explicando con suficiencia las razones jurídicas que existen para negar la posibilidad de acumular tiempos públicos y privados para conceder pensiones con base en el acuerdo 049 de 1990. En este sentido, vale citar en extenso, la sentencia de 24 de agosto de 2016, radicación No. 50896 con ponencia del doctor Fernando Castillo Cadena, en la que se dijo:</w:t>
      </w:r>
    </w:p>
    <w:p w14:paraId="6D59B3C7" w14:textId="77777777" w:rsidR="00A0203C" w:rsidRPr="00A0203C" w:rsidRDefault="00A0203C" w:rsidP="00C402FB">
      <w:pPr>
        <w:tabs>
          <w:tab w:val="left" w:pos="7185"/>
        </w:tabs>
        <w:spacing w:line="288" w:lineRule="auto"/>
        <w:ind w:right="760"/>
        <w:rPr>
          <w:rFonts w:eastAsia="Times New Roman" w:cs="Arial"/>
          <w:i/>
          <w:iCs/>
          <w:lang w:val="es-ES" w:eastAsia="es-ES"/>
        </w:rPr>
      </w:pPr>
    </w:p>
    <w:p w14:paraId="2552D29B"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lastRenderedPageBreak/>
        <w:t xml:space="preserve">“De manera reiterada se ha sostenido que a quien apoyado en el régimen de transición busca la aplicación del Acuerdo 049 de 1990, no se le pueden sumar tiempos servidos en el sector oficial con las cotizaciones realizadas al sistema, por cuanto dicha disposición no prevé esa sumatoria; de tal suerte que debe cumplir con la densidad de 1000 semanas en cualquier tiempo, pero se insiste, cotizadas al </w:t>
      </w:r>
      <w:proofErr w:type="spellStart"/>
      <w:r w:rsidRPr="00A0203C">
        <w:rPr>
          <w:rFonts w:eastAsia="Times New Roman" w:cs="Arial"/>
          <w:iCs/>
          <w:sz w:val="22"/>
          <w:lang w:val="es-ES" w:eastAsia="es-ES"/>
        </w:rPr>
        <w:t>ISS</w:t>
      </w:r>
      <w:proofErr w:type="spellEnd"/>
      <w:r w:rsidRPr="00A0203C">
        <w:rPr>
          <w:rFonts w:eastAsia="Times New Roman" w:cs="Arial"/>
          <w:iCs/>
          <w:sz w:val="22"/>
          <w:lang w:val="es-ES" w:eastAsia="es-ES"/>
        </w:rPr>
        <w:t>, o 500 en los 20 años anteriores al cumplimiento de la edad mínima, requisito que el demandante no reúne, en la medida que solo cotizó 771.5 semanas en toda su vida laboral de las cuales 309 lo fueron entre el 28 de agosto de 1987 y el 28 de agosto de 2007.</w:t>
      </w:r>
    </w:p>
    <w:p w14:paraId="75663AC7"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6DE9E684"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Así lo tiene dicho la jurisprudencia de la Sala, por ejemplo en la sentencia CSJ </w:t>
      </w:r>
      <w:proofErr w:type="spellStart"/>
      <w:r w:rsidRPr="00A0203C">
        <w:rPr>
          <w:rFonts w:eastAsia="Times New Roman" w:cs="Arial"/>
          <w:iCs/>
          <w:sz w:val="22"/>
          <w:lang w:val="es-ES" w:eastAsia="es-ES"/>
        </w:rPr>
        <w:t>SL</w:t>
      </w:r>
      <w:proofErr w:type="spellEnd"/>
      <w:r w:rsidRPr="00A0203C">
        <w:rPr>
          <w:rFonts w:eastAsia="Times New Roman" w:cs="Arial"/>
          <w:iCs/>
          <w:sz w:val="22"/>
          <w:lang w:val="es-ES" w:eastAsia="es-ES"/>
        </w:rPr>
        <w:t>, 10 mar. 2009, rad. 35792, en la que se dijo:</w:t>
      </w:r>
    </w:p>
    <w:p w14:paraId="413D4A78"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675EA273"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2. El recurrente plantea, con base en el parágrafo del artículo 36 de la Ley 100 de 1993, que hace parte de la norma que contempló el régimen de transición, que, a partir del 1º de abril de 1994, “para la aplicación de cualquier régimen de transición al que puede acogerse un beneficiario son acumulables o computables el tiempo de servicios en el sector público con las semanas cotizadas al </w:t>
      </w:r>
      <w:proofErr w:type="spellStart"/>
      <w:r w:rsidRPr="00A0203C">
        <w:rPr>
          <w:rFonts w:eastAsia="Times New Roman" w:cs="Arial"/>
          <w:iCs/>
          <w:sz w:val="22"/>
          <w:lang w:val="es-ES" w:eastAsia="es-ES"/>
        </w:rPr>
        <w:t>ISS</w:t>
      </w:r>
      <w:proofErr w:type="spellEnd"/>
      <w:r w:rsidRPr="00A0203C">
        <w:rPr>
          <w:rFonts w:eastAsia="Times New Roman" w:cs="Arial"/>
          <w:iCs/>
          <w:sz w:val="22"/>
          <w:lang w:val="es-ES" w:eastAsia="es-ES"/>
        </w:rPr>
        <w:t xml:space="preserve"> y más específicamente para casos similares a los de la actora quien estuvo afiliada y haciendo aportes a esta entidad antes y después de la entrada en vigencia de la Ley 100 de 1993”.</w:t>
      </w:r>
    </w:p>
    <w:p w14:paraId="348B1335"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566CB4A4"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No comparte la Sala esta apreciación de la censura, pues olvida que el régimen de transición comporta la aplicación de las normas anteriores a la vigencia del régimen de pensiones del Sistema Integral de Seguridad Social contemplado en la Ley 100 de 1993, en tres aspectos puntuales: edad, tiempo de servicios o cotizaciones y el monto de la pensión.</w:t>
      </w:r>
    </w:p>
    <w:p w14:paraId="235ACFFF"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6DEA29FF"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De suerte que estos tres precisos temas se gobiernan por las disposiciones vigentes con anterioridad, las que se aplicarán en su integridad, sin que sea posible acudir a las preceptivas de la Ley 100 de 1993, salvo que se opte por ésta, caso en el cual deberá aplicarse en su integridad, según lo establece con claridad su artículo 288.</w:t>
      </w:r>
    </w:p>
    <w:p w14:paraId="4B5A1CF6"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5B15F6FC"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A propósito, esta Sala de la Corte, en sentencia del 29 de marzo de 2001 (Rad. 15.493), adoctrinó: </w:t>
      </w:r>
    </w:p>
    <w:p w14:paraId="74B117C8"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48EA459F"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“4) Adicionalmente, no tiene en cuenta la impugnación que la garantía que otorga el mencionado régimen de transición es la aplicabilidad de las normas que antecedieron a la Ley 100, respecto a la edad, el tiempo de servicios o cotizaciones y el monto de la pensión, pero en modo alguno se trata de dar paso a la propia legislación de 1993, como lo señala el impugnante al pretender que aquellos aspectos se rijan por el art. 33 de la citada Ley 100 de 1993 y que de allí la pensión del accionante se logre con 55 años de edad, que sea del caso advertir está señalada en dicho art. 33 solo para las mujeres, y 1000 semanas de cotización en cualquier tiempo.</w:t>
      </w:r>
    </w:p>
    <w:p w14:paraId="5E7DC93D"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1A9E1941"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“Contrario a lo que señala el impugnante, los requisitos que prevé el mencionado art. 33 de la Ley 100 no se aplican para quienes quedaron en el régimen de transición, sino para los afiliados al régimen solidario  de prima media con prestación definida, caso diferente al del señor Chavarría Pérez”.</w:t>
      </w:r>
    </w:p>
    <w:p w14:paraId="3E3BA243"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10CCC167"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Queda a salvo, como se dijo, el derecho de las personas de acogerse a cualquier norma de la Ley 100 de 1993, pero a condición del sometimiento a la totalidad de las disposiciones de esa ley, conforme viene consagrado en el artículo 288, del siguiente tenor literal:</w:t>
      </w:r>
    </w:p>
    <w:p w14:paraId="1A2456D3"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7F239E49"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“ARTÍCULO 288. Aplicación de las disposiciones contenidas en la presente Ley y en leyes anteriores. Todo trabajador privado u oficial, funcionario público y servidor público tiene derecho a la vigencia de la presente Ley le sea aplicable cualquier norma en ella contenida que estime favorable ante el cotejo con lo dispuesto en </w:t>
      </w:r>
      <w:r w:rsidRPr="00A0203C">
        <w:rPr>
          <w:rFonts w:eastAsia="Times New Roman" w:cs="Arial"/>
          <w:iCs/>
          <w:sz w:val="22"/>
          <w:lang w:val="es-ES" w:eastAsia="es-ES"/>
        </w:rPr>
        <w:lastRenderedPageBreak/>
        <w:t xml:space="preserve">leyes anteriores sobre la misma materia, siempre que se someta a la totalidad de disposiciones de esta ley”. </w:t>
      </w:r>
    </w:p>
    <w:p w14:paraId="147C5B38"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01C44133"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Por lo tanto, si, en desarrollo del régimen de transición, la demandante pretende que su derecho a la pensión, en cuanto a edad, tiempo de servicios o semanas cotizadas y monto, se rija por el Acuerdo 049 de 1990, deberá atenerse, en su integridad, a lo ahí previsto, sin que resulte admisible, a los efectos de completar las 500 semanas de cotización, acumular tiempo servido o cotizado en el sector oficial. </w:t>
      </w:r>
    </w:p>
    <w:p w14:paraId="6105EA70"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3AFFAB46"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Y lo anterior es así porque, como lo ha explicado esta Sala de la Corte, el parágrafo del artículo 36 de la Ley 100 de 1993 se entiende referido a la pensión de vejez contemplada en el artículo 33 de dicha ley. Por consiguiente, no es aplicable a la pensión de vejez disciplinada en normas legales anteriores, concretamente en el Acuerdo 049 de 1990.</w:t>
      </w:r>
    </w:p>
    <w:p w14:paraId="7D5A6C13"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10F11854"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En efecto, en la sentencia del 4 de noviembre de 2004, radicación 23611, esto dijo la Corte:</w:t>
      </w:r>
    </w:p>
    <w:p w14:paraId="0C3F1913"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“El parágrafo del artículo 36 de la Ley 100 de 1993, es del siguiente tenor:</w:t>
      </w:r>
    </w:p>
    <w:p w14:paraId="6BB1971C"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16FF09A1"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Para efectos del reconocimiento de la pensión de vejez de que trata el inciso primero (1º) del presente artículo se tendrá en cuenta la suma de las semanas cotizadas con anterioridad a la vigencia de la presente ley, al Instituto de Seguros Sociales, a las cajas, fondos o entidades de seguridad social del sector público o privado, o el tiempo de servicio como servidores públicos cualquiera sea el número de semanas cotizadas o tiempo de servicio’</w:t>
      </w:r>
    </w:p>
    <w:p w14:paraId="51213416"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01D81E97" w14:textId="07C204CC" w:rsidR="00A0203C" w:rsidRPr="00A0203C" w:rsidRDefault="00F40AB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Aun</w:t>
      </w:r>
      <w:r w:rsidR="00A0203C" w:rsidRPr="00A0203C">
        <w:rPr>
          <w:rFonts w:eastAsia="Times New Roman" w:cs="Arial"/>
          <w:iCs/>
          <w:sz w:val="22"/>
          <w:lang w:val="es-ES" w:eastAsia="es-ES"/>
        </w:rPr>
        <w:t xml:space="preserve"> cuando por hallarse ubicado en la norma legal que establece el régimen de transición pensional, podría pensarse en principio que el citado parágrafo alude a las pensiones que surjan de la aplicación de ese régimen, para la Corte es claro que ese entendimiento no se corresponde con el genuino sentido de la norma, porque en realidad hace referencia a “la pensión de vejez de que trata el inciso primero (1º ) del presente artículo” y esa pensión no es otra que la consagrada en el artículo 33 de la Ley 100 de 1993, que exige al afiliado como requisitos para acceder a tal prestación el cumplimiento de 55 años de edad, si es mujer o 60 si es hombre y haber cotizado un mínimo de mil (1000) semanas en cualquier tiempo.</w:t>
      </w:r>
    </w:p>
    <w:p w14:paraId="5B1A3E3A"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18D219D5"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Y ello es así porque el citado inciso 1º comienza señalando que la “edad para acceder a la pensión de vejez continuará”, con lo cual no cabe duda que se refiere en concreto a la pensión de vejez en los términos en que quedó concebida por la Ley 100 se 1993, pues para las pensiones del régimen de transición, la edad para acceder a la pensión correspondiente será la del régimen anterior al cual se encontrara afiliado el beneficiario de la transición. Por tal razón, en el inciso en comento se precisó que la edad para acceder a la prestación continuaría siendo la misma que la establecida en el régimen anterior, porque a partir del 2014 se incrementaría en 2 años, según la redacción del original artículo 36.</w:t>
      </w:r>
    </w:p>
    <w:p w14:paraId="4F35B3EE"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5A448A1A"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Así las cosas, lo que señala el parágrafo en comento, viene a ser una reiteración de lo que con antelación se establece en el parágrafo 1º del artículo 33, que dispuso que para efectos del cómputo de las semanas a que se refiere tal artículo se tendría en cuenta  el número de semanas cotizadas en cualquiera de los dos regímenes del sistema general de pensiones, el tiempo de servicio como servidores públicos remunerados o como trabajadores al servicio de empleadores que tienen a su cargo el reconocimiento y pago de pensiones y el número de semanas cotizadas a cajas provisionales del sector privado.</w:t>
      </w:r>
    </w:p>
    <w:p w14:paraId="1272DCB8"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5B8A2714"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Previsión que, como surge de su texto, se halla en concordancia con el literal f) del artículo 13 de la Ley 100, que igualmente ha sido desarrollado por el parágrafo del artículo 36 de esa ley. Como es sabido, en dicho literal se precisa que “para el reconocimiento de las pensiones y prestaciones contempladas en los dos regímenes, se tendrán en cuenta la suma de las semanas cotizadas con anterioridad a la vigencia de la presente ley, al Instituto de Seguros Sociales o a </w:t>
      </w:r>
      <w:r w:rsidRPr="00A0203C">
        <w:rPr>
          <w:rFonts w:eastAsia="Times New Roman" w:cs="Arial"/>
          <w:iCs/>
          <w:sz w:val="22"/>
          <w:lang w:val="es-ES" w:eastAsia="es-ES"/>
        </w:rPr>
        <w:lastRenderedPageBreak/>
        <w:t>cualquier caja, fondo o entidad del sector público o privado, o el tiempo de servicio como servidores públicos, cualquiera sea el número de semanas cotizadas o el tiempo de servicio”.</w:t>
      </w:r>
    </w:p>
    <w:p w14:paraId="5E0A18DC"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44688DA8"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Cumple advertir que el precedentemente citado literal del artículo 13 de la Ley 100 de 1993 alude con claridad a las pensiones contempladas “en los dos regímenes”, lo que indica que no tiene aplicación respecto de pensiones que no correspondan a cualquiera de esos dos regímenes, como lo sería la pensión por aportes a la que en realidad tiene vocación el actor, dada la forma como ha efectuado sus cotizaciones y los servicios que ha prestado.</w:t>
      </w:r>
    </w:p>
    <w:p w14:paraId="7A0F48C9"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3768304B"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Importa precisar, por otro lado, que el citado parágrafo del artículo 36 de la Ley 100 de 1993 no puede ser interpretado de manera aislada del resto de este artículo. Y de ese modo, resulta que para un beneficiario del sistema de transición allí consagrado, el número de semanas cotizadas será el establecido en el régimen anterior al cual se encontrare afiliado, de tal suerte que ese requisito deberá regularse en su integridad por las normas que gobernaban lo pertinente en el régimen pensional que al beneficiario le resultaba aplicable. Régimen que, para un trabajador afiliado al Seguro Social, corresponde al regulado por el Acuerdo 049 de 1990, que, en lo pertinente, en su artículo 12 exige para tener derecho a la pensión de vejez un mínimo de 500 semanas de cotización pagadas durante los últimos 20 años anteriores al cumplimiento de las edades mínimas o un número de 1000 semanas de cotización, sufragadas en cualquier tiempo.</w:t>
      </w:r>
    </w:p>
    <w:p w14:paraId="33118F07"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43A8DAF5"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Pero dichas cotizaciones se entiende que deben ser efectuadas al Seguro Social, por cuanto en el referido Acuerdo no existe una disposición que permita incluir en la suma de las semanas de cotización pertinentes las sufragadas a cajas, fondos o entidades de seguridad social del sector público o privado o el tiempo trabajado como servidores públicos, como sí acontece a partir de la Ley 100 de 1993 para las pensiones que se rijan en su integridad por ella. Y si bien antes de la precitada norma se produjo una regulación normativa que permite la posibilidad de acumular los aportes sufragados a entidades de previsión social oficiales y los efectuados al Seguro Social, a través de lo que se ha dado en denominar pensión de jubilación por aportes, que ya se dijo es a la que en realidad aspira el actor, ello corresponde a una situación jurídica distinta de la planteada por el recurrente que, en todo caso, se halla regida por normas distintas al aludido Acuerdo 049 de 1990.</w:t>
      </w:r>
    </w:p>
    <w:p w14:paraId="3FE4B38F"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43C94486"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Para la Corte, el entendimiento sugerido por el recurrente, que dice apoyar en los principios que orientan la seguridad social en Colombia, resulta contraria al texto explícito del citado artículo 36 de la Ley 100 de 1993, y supondría una excepción no contemplada en esa disposición, que fraccionaría la aplicación, en materia de semanas de cotización, del régimen anterior al cual se hallaba afiliado al beneficiario, pues supondría que para efectos de establecer el número de semanas cotizadas se aplicaría dicho régimen, pero para contabilizarlas se tomaría en cuenta lo establecido por la señalada ley 100, lo cual no resulta congruente.</w:t>
      </w:r>
    </w:p>
    <w:p w14:paraId="1B569EC6"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6515E074"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Por lo anterior, cabe decir que no incurrió el Tribunal en la interpretación errónea que se le endilga, en relación con los efectos del artículo 36 de la Ley 100 de 1993, por cuanto la hermenéutica adoptada consulta en un todo el sentido de esa disposición denunciada”.</w:t>
      </w:r>
    </w:p>
    <w:p w14:paraId="1350A9C5"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188DA610"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Como la situación fáctica y jurídica del presente caso se ajusta a la relacionada en la sentencia replicada, no incurrió el juzgador en el dislate denunciado.</w:t>
      </w:r>
    </w:p>
    <w:p w14:paraId="0D286FD5"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 </w:t>
      </w:r>
    </w:p>
    <w:p w14:paraId="635704CF" w14:textId="77777777" w:rsid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Ahora bien, si la Corte analizara el asunto bajo el actual criterio jurisprudencia vertido en la sentencia CSJ </w:t>
      </w:r>
      <w:proofErr w:type="spellStart"/>
      <w:r w:rsidRPr="00A0203C">
        <w:rPr>
          <w:rFonts w:eastAsia="Times New Roman" w:cs="Arial"/>
          <w:iCs/>
          <w:sz w:val="22"/>
          <w:lang w:val="es-ES" w:eastAsia="es-ES"/>
        </w:rPr>
        <w:t>SL</w:t>
      </w:r>
      <w:proofErr w:type="spellEnd"/>
      <w:r w:rsidRPr="00A0203C">
        <w:rPr>
          <w:rFonts w:eastAsia="Times New Roman" w:cs="Arial"/>
          <w:iCs/>
          <w:sz w:val="22"/>
          <w:lang w:val="es-ES" w:eastAsia="es-ES"/>
        </w:rPr>
        <w:t>, 4457-2014, 26 marzo 2014 rad. 43904, y a la luz de la Ley 71 de 1988, que también constituye una de las normatividades anteriores aplicables en virtud del régimen de transición, tampoco le asistiría derecho al demandante, toda vez que, de entender que el actor cotizó un total de 1.027 semanas, no cumple con la exigencia de 20 años de servicios del artículo 7 de la dicha normativa, los cuales equivalen a 1028,57 semanas.</w:t>
      </w:r>
    </w:p>
    <w:p w14:paraId="4FD656F2" w14:textId="77777777" w:rsidR="00F40ABC" w:rsidRPr="00A0203C" w:rsidRDefault="00F40ABC" w:rsidP="00C402FB">
      <w:pPr>
        <w:spacing w:line="240" w:lineRule="auto"/>
        <w:ind w:left="426" w:right="420"/>
        <w:rPr>
          <w:rFonts w:eastAsia="Times New Roman" w:cs="Arial"/>
          <w:iCs/>
          <w:sz w:val="22"/>
          <w:lang w:val="es-ES" w:eastAsia="es-ES"/>
        </w:rPr>
      </w:pPr>
    </w:p>
    <w:p w14:paraId="1C606F83"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Finalmente, el demandante carece del cumplimiento de las exigencias del artículo 33 de la Ley 100 de 1993, frente al cual sí se permite la sumatoria de tiempos públicos y privados, pues para el año 2007, anualidad en la que el citado cumplió 60 años de edad, éste debía contar con un mínimo de 1100 semanas, de conformidad con la modificación de la Ley 797 de 2003, lo cual, como se vio reflejado atrás, no se acredita, siendo que a la luz del artículo 33 de la Ley 100 de 1993 tampoco se causa la pensión de vejez en el presente asunto.” </w:t>
      </w:r>
    </w:p>
    <w:p w14:paraId="3AA2C729" w14:textId="77777777" w:rsidR="00A0203C" w:rsidRPr="00A0203C" w:rsidRDefault="00A0203C" w:rsidP="00C402FB">
      <w:pPr>
        <w:tabs>
          <w:tab w:val="left" w:pos="7185"/>
        </w:tabs>
        <w:spacing w:line="288" w:lineRule="auto"/>
        <w:rPr>
          <w:rFonts w:eastAsia="Times New Roman" w:cs="Arial"/>
          <w:iCs/>
          <w:lang w:val="es-ES" w:eastAsia="es-ES"/>
        </w:rPr>
      </w:pPr>
    </w:p>
    <w:p w14:paraId="11BF502E" w14:textId="77777777" w:rsidR="00A0203C" w:rsidRPr="00A0203C" w:rsidRDefault="00A0203C" w:rsidP="00C402FB">
      <w:pPr>
        <w:tabs>
          <w:tab w:val="left" w:pos="7185"/>
        </w:tabs>
        <w:spacing w:line="288" w:lineRule="auto"/>
        <w:rPr>
          <w:rFonts w:eastAsia="Times New Roman" w:cs="Arial"/>
          <w:iCs/>
          <w:lang w:val="es-ES" w:eastAsia="es-ES"/>
        </w:rPr>
      </w:pPr>
      <w:r w:rsidRPr="00A0203C">
        <w:rPr>
          <w:rFonts w:eastAsia="Times New Roman" w:cs="Arial"/>
          <w:iCs/>
          <w:lang w:val="es-ES" w:eastAsia="es-ES"/>
        </w:rPr>
        <w:t>Ahora, para modificar el anterior criterio Jurisprudencial, dice la Corte que:</w:t>
      </w:r>
    </w:p>
    <w:p w14:paraId="7373B7D8" w14:textId="77777777" w:rsidR="00A0203C" w:rsidRPr="00A0203C" w:rsidRDefault="00A0203C" w:rsidP="00C402FB">
      <w:pPr>
        <w:spacing w:line="288" w:lineRule="auto"/>
        <w:ind w:firstLine="708"/>
        <w:rPr>
          <w:rFonts w:eastAsia="Times New Roman" w:cs="Arial"/>
          <w:lang w:val="es-ES" w:eastAsia="es-ES"/>
        </w:rPr>
      </w:pPr>
    </w:p>
    <w:p w14:paraId="3960D015" w14:textId="18E910B1"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w:t>
      </w:r>
      <w:r w:rsidR="00F40ABC">
        <w:rPr>
          <w:rFonts w:eastAsia="Times New Roman" w:cs="Arial"/>
          <w:iCs/>
          <w:sz w:val="22"/>
          <w:lang w:val="es-ES" w:eastAsia="es-ES"/>
        </w:rPr>
        <w:t xml:space="preserve"> </w:t>
      </w:r>
      <w:r w:rsidRPr="00A0203C">
        <w:rPr>
          <w:rFonts w:eastAsia="Times New Roman" w:cs="Arial"/>
          <w:iCs/>
          <w:sz w:val="22"/>
          <w:lang w:val="es-ES" w:eastAsia="es-ES"/>
        </w:rPr>
        <w:t>debe destacarse que tal como lo ha indicado la jurisprudencia de esta Corporación, el régimen de transición de la Ley 100 de 1993 tuvo como finalidad esencial proteger las expectativas legítimas de quienes estaban próximos a pensionarse, a fin que estuvieran cobijados por la legislación precedente, en los aspectos definidos por el legislador.</w:t>
      </w:r>
    </w:p>
    <w:p w14:paraId="521B7DC9" w14:textId="77777777" w:rsidR="00A0203C" w:rsidRPr="00A0203C" w:rsidRDefault="00A0203C" w:rsidP="00C402FB">
      <w:pPr>
        <w:spacing w:line="240" w:lineRule="auto"/>
        <w:ind w:left="426" w:right="420"/>
        <w:rPr>
          <w:rFonts w:eastAsia="Times New Roman" w:cs="Arial"/>
          <w:iCs/>
          <w:sz w:val="22"/>
          <w:lang w:val="es-ES" w:eastAsia="es-ES"/>
        </w:rPr>
      </w:pPr>
    </w:p>
    <w:p w14:paraId="03B55ECA"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Este tipo de regímenes se prevé en los sistemas de seguridad social a fin de que los cambios legislativos en materia pensional no sean abruptos para los ciudadanos, sino que su aplicación sea progresiva y gradual y no se afecten las expectativas legítimas de quienes se encontraban cerca de consolidar los derechos prestacionales. Es el establecimiento de condiciones de transición lo que garantiza la aplicación </w:t>
      </w:r>
      <w:proofErr w:type="spellStart"/>
      <w:r w:rsidRPr="00A0203C">
        <w:rPr>
          <w:rFonts w:eastAsia="Times New Roman" w:cs="Arial"/>
          <w:iCs/>
          <w:sz w:val="22"/>
          <w:lang w:val="es-ES" w:eastAsia="es-ES"/>
        </w:rPr>
        <w:t>ultraactiva</w:t>
      </w:r>
      <w:proofErr w:type="spellEnd"/>
      <w:r w:rsidRPr="00A0203C">
        <w:rPr>
          <w:rFonts w:eastAsia="Times New Roman" w:cs="Arial"/>
          <w:iCs/>
          <w:sz w:val="22"/>
          <w:lang w:val="es-ES" w:eastAsia="es-ES"/>
        </w:rPr>
        <w:t xml:space="preserve"> de la disposición anterior, se reitera, en algunos aspectos definidos por el propio legislador. </w:t>
      </w:r>
    </w:p>
    <w:p w14:paraId="60022BE5" w14:textId="77777777" w:rsidR="00A0203C" w:rsidRPr="00A0203C" w:rsidRDefault="00A0203C" w:rsidP="00C402FB">
      <w:pPr>
        <w:spacing w:line="240" w:lineRule="auto"/>
        <w:ind w:left="426" w:right="420"/>
        <w:rPr>
          <w:rFonts w:eastAsia="Times New Roman" w:cs="Arial"/>
          <w:iCs/>
          <w:sz w:val="22"/>
          <w:lang w:val="es-ES" w:eastAsia="es-ES"/>
        </w:rPr>
      </w:pPr>
    </w:p>
    <w:p w14:paraId="4E5AD917"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Específicamente, el régimen de transición contemplado en el artículo 36 de la Ley 100 de 1993 implicó una protección especial para quienes se encuentran cobijados por éste, en el sentido de que la normativa anterior aplicable tendría los mencionados efectos </w:t>
      </w:r>
      <w:proofErr w:type="spellStart"/>
      <w:r w:rsidRPr="00A0203C">
        <w:rPr>
          <w:rFonts w:eastAsia="Times New Roman" w:cs="Arial"/>
          <w:iCs/>
          <w:sz w:val="22"/>
          <w:lang w:val="es-ES" w:eastAsia="es-ES"/>
        </w:rPr>
        <w:t>ultraactivos</w:t>
      </w:r>
      <w:proofErr w:type="spellEnd"/>
      <w:r w:rsidRPr="00A0203C">
        <w:rPr>
          <w:rFonts w:eastAsia="Times New Roman" w:cs="Arial"/>
          <w:iCs/>
          <w:sz w:val="22"/>
          <w:lang w:val="es-ES" w:eastAsia="es-ES"/>
        </w:rPr>
        <w:t xml:space="preserve"> solamente en los aspectos de edad, tiempo y monto, pues el resto de condiciones pensionales se encuentran regidas por las disposiciones de la Ley 100 de 1993.</w:t>
      </w:r>
    </w:p>
    <w:p w14:paraId="0E472C96" w14:textId="77777777" w:rsidR="00A0203C" w:rsidRPr="00A0203C" w:rsidRDefault="00A0203C" w:rsidP="00C402FB">
      <w:pPr>
        <w:spacing w:line="240" w:lineRule="auto"/>
        <w:ind w:left="426" w:right="420"/>
        <w:rPr>
          <w:rFonts w:eastAsia="Times New Roman" w:cs="Arial"/>
          <w:iCs/>
          <w:sz w:val="22"/>
          <w:lang w:val="es-ES" w:eastAsia="es-ES"/>
        </w:rPr>
      </w:pPr>
    </w:p>
    <w:p w14:paraId="5B86392D"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De lo anterior se deriva que si la disposición precedente solo opera para las pensiones de transición en los puntos de edad, tiempo y monto, entonces la forma de computar las semanas para estas prestaciones se rige por el literal f) del artículo 13, el parágrafo 1.º del artículo 33 y el parágrafo del artículo 36 de la Ley 100 de 1993, que disponen expresamente la posibilidad de sumar tiempos privados y tiempos públicos, así éstos no hayan sido objeto de aportes a cajas, fondos o entidades de previsión social.  </w:t>
      </w:r>
    </w:p>
    <w:p w14:paraId="474C6683" w14:textId="77777777" w:rsidR="00A0203C" w:rsidRPr="00A0203C" w:rsidRDefault="00A0203C" w:rsidP="00C402FB">
      <w:pPr>
        <w:spacing w:line="240" w:lineRule="auto"/>
        <w:ind w:left="426" w:right="420"/>
        <w:rPr>
          <w:rFonts w:eastAsia="Times New Roman" w:cs="Arial"/>
          <w:iCs/>
          <w:sz w:val="22"/>
          <w:lang w:val="es-ES" w:eastAsia="es-ES"/>
        </w:rPr>
      </w:pPr>
    </w:p>
    <w:p w14:paraId="59059065"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En efecto, el literal f) del artículo 13 y el parágrafo del artículo 36 de la Ley 100 de 1993 establecen que para el reconocimiento de las pensiones se tendrá en cuenta la suma de las semanas cotizadas al Instituto de Seguros Sociales o a cualquier caja, fondo o entidad del sector público o privado, o el tiempo de servicio que se haya prestado en calidad de servidor público, cualquiera que sea el número de semanas o el tiempo de servicio. En el mismo sentido, se reafirma, el parágrafo 1.º del artículo 33 de dicho precepto consagra la validez de los tiempos como servidor público para el cómputo de las semanas. </w:t>
      </w:r>
    </w:p>
    <w:p w14:paraId="4581669B" w14:textId="77777777" w:rsidR="00A0203C" w:rsidRPr="00A0203C" w:rsidRDefault="00A0203C" w:rsidP="00C402FB">
      <w:pPr>
        <w:spacing w:line="240" w:lineRule="auto"/>
        <w:ind w:left="426" w:right="420"/>
        <w:rPr>
          <w:rFonts w:eastAsia="Times New Roman" w:cs="Arial"/>
          <w:iCs/>
          <w:sz w:val="22"/>
          <w:lang w:val="es-ES" w:eastAsia="es-ES"/>
        </w:rPr>
      </w:pPr>
    </w:p>
    <w:p w14:paraId="104A2213" w14:textId="77777777" w:rsidR="00A0203C" w:rsidRPr="00A0203C" w:rsidRDefault="00A0203C" w:rsidP="00C402FB">
      <w:pPr>
        <w:spacing w:line="240" w:lineRule="auto"/>
        <w:ind w:left="426" w:right="420"/>
        <w:rPr>
          <w:rFonts w:eastAsia="Times New Roman" w:cs="Arial"/>
          <w:iCs/>
          <w:sz w:val="22"/>
          <w:lang w:val="es-ES" w:eastAsia="es-ES"/>
        </w:rPr>
      </w:pPr>
      <w:r w:rsidRPr="00A0203C">
        <w:rPr>
          <w:rFonts w:eastAsia="Times New Roman" w:cs="Arial"/>
          <w:iCs/>
          <w:sz w:val="22"/>
          <w:lang w:val="es-ES" w:eastAsia="es-ES"/>
        </w:rPr>
        <w:t xml:space="preserve">Esta lectura es acorde justamente con las finalidades propias de la Ley 100 de 1993, como ley del Sistema Seguridad Social Integral, pues esta regulación permitió que las personas pudieran acumular semanas aportadas o tiempos servidos al Estado, indistintamente, para efectos de consolidar su pensión de vejez, bajo el presupuesto de que los aportes a seguridad social tengan soporte en el trabajo efectivamente realizado.” </w:t>
      </w:r>
    </w:p>
    <w:p w14:paraId="0709FD9C" w14:textId="77777777" w:rsidR="00A0203C" w:rsidRPr="00A0203C" w:rsidRDefault="00A0203C" w:rsidP="00C402FB">
      <w:pPr>
        <w:tabs>
          <w:tab w:val="left" w:pos="7185"/>
        </w:tabs>
        <w:spacing w:line="288" w:lineRule="auto"/>
        <w:rPr>
          <w:rFonts w:eastAsia="Times New Roman" w:cs="Arial"/>
          <w:iCs/>
          <w:lang w:val="es-ES" w:eastAsia="es-ES"/>
        </w:rPr>
      </w:pPr>
      <w:r w:rsidRPr="00A0203C">
        <w:rPr>
          <w:rFonts w:eastAsia="Times New Roman" w:cs="Arial"/>
          <w:iCs/>
          <w:lang w:val="es-ES" w:eastAsia="es-ES"/>
        </w:rPr>
        <w:t xml:space="preserve"> </w:t>
      </w:r>
    </w:p>
    <w:p w14:paraId="255300D2" w14:textId="77777777" w:rsidR="00A0203C" w:rsidRPr="00A0203C" w:rsidRDefault="00A0203C" w:rsidP="00C402FB">
      <w:pPr>
        <w:tabs>
          <w:tab w:val="left" w:pos="7185"/>
        </w:tabs>
        <w:spacing w:line="288" w:lineRule="auto"/>
        <w:rPr>
          <w:rFonts w:eastAsia="Times New Roman" w:cs="Arial"/>
          <w:iCs/>
          <w:lang w:val="es-ES" w:eastAsia="es-ES"/>
        </w:rPr>
      </w:pPr>
      <w:r w:rsidRPr="00A0203C">
        <w:rPr>
          <w:rFonts w:eastAsia="Times New Roman" w:cs="Arial"/>
          <w:iCs/>
          <w:lang w:val="es-ES" w:eastAsia="es-ES"/>
        </w:rPr>
        <w:t xml:space="preserve">Argumentación que olvida precisamente que la ley 100 de 1993 quiso permitir la sumatoria de esos tiempos para otorgar prestaciones bajo su vigencia en las condiciones que ella prevé, pero nunca cambiar las reglas precedentes para facilitar </w:t>
      </w:r>
      <w:r w:rsidRPr="00A0203C">
        <w:rPr>
          <w:rFonts w:eastAsia="Times New Roman" w:cs="Arial"/>
          <w:iCs/>
          <w:lang w:val="es-ES" w:eastAsia="es-ES"/>
        </w:rPr>
        <w:lastRenderedPageBreak/>
        <w:t>el acceso a prestaciones sin el cumplimiento de los requisitos previstos en las normas anteriores.  Es que, no cabe duda que por el camino elegido con la nueva argumentación, no se hace cosa diferente que crear una legislación inexistente como lo es otorgar pensiones con sumatoria de tiempos públicos y privados (ley 71 de 1988) con tasa de reemplazo superior al 75% (acuerdo 049 de 1990).</w:t>
      </w:r>
    </w:p>
    <w:p w14:paraId="7C534623" w14:textId="77777777" w:rsidR="00A0203C" w:rsidRPr="00A0203C" w:rsidRDefault="00A0203C" w:rsidP="00C402FB">
      <w:pPr>
        <w:tabs>
          <w:tab w:val="left" w:pos="7185"/>
        </w:tabs>
        <w:spacing w:line="288" w:lineRule="auto"/>
        <w:rPr>
          <w:rFonts w:eastAsia="Times New Roman" w:cs="Arial"/>
          <w:iCs/>
          <w:lang w:val="es-ES" w:eastAsia="es-ES"/>
        </w:rPr>
      </w:pPr>
    </w:p>
    <w:p w14:paraId="21B6A25B" w14:textId="77777777" w:rsidR="00A0203C" w:rsidRPr="00A0203C" w:rsidRDefault="00A0203C" w:rsidP="00C402FB">
      <w:pPr>
        <w:tabs>
          <w:tab w:val="left" w:pos="7185"/>
        </w:tabs>
        <w:spacing w:line="288" w:lineRule="auto"/>
        <w:rPr>
          <w:rFonts w:eastAsia="Times New Roman" w:cs="Arial"/>
          <w:iCs/>
          <w:lang w:val="es-ES" w:eastAsia="es-ES"/>
        </w:rPr>
      </w:pPr>
      <w:r w:rsidRPr="00A0203C">
        <w:rPr>
          <w:rFonts w:eastAsia="Times New Roman" w:cs="Arial"/>
          <w:iCs/>
          <w:lang w:val="es-ES" w:eastAsia="es-ES"/>
        </w:rPr>
        <w:t>No sobra recordar el contenido del artículo 288 de la ley 100 de 1993 que dejó sentadas claramente las reglas de juego sobre aplicación de la antigua y nueva legislación así:</w:t>
      </w:r>
    </w:p>
    <w:p w14:paraId="767F376D" w14:textId="77777777" w:rsidR="00A0203C" w:rsidRPr="00A0203C" w:rsidRDefault="00A0203C" w:rsidP="00C402FB">
      <w:pPr>
        <w:tabs>
          <w:tab w:val="left" w:pos="7185"/>
        </w:tabs>
        <w:spacing w:line="288" w:lineRule="auto"/>
        <w:rPr>
          <w:rFonts w:eastAsia="Times New Roman" w:cs="Arial"/>
          <w:iCs/>
          <w:lang w:val="es-ES" w:eastAsia="es-ES"/>
        </w:rPr>
      </w:pPr>
    </w:p>
    <w:p w14:paraId="097E3D8C" w14:textId="77777777" w:rsidR="00A0203C" w:rsidRPr="00A0203C" w:rsidRDefault="00A0203C" w:rsidP="00C402FB">
      <w:pPr>
        <w:spacing w:line="240" w:lineRule="auto"/>
        <w:ind w:left="426" w:right="420"/>
        <w:rPr>
          <w:rFonts w:eastAsia="Times New Roman" w:cs="Arial"/>
          <w:iCs/>
          <w:lang w:val="es-ES" w:eastAsia="es-ES"/>
        </w:rPr>
      </w:pPr>
      <w:bookmarkStart w:id="9" w:name="288"/>
      <w:r w:rsidRPr="00A0203C">
        <w:rPr>
          <w:rFonts w:eastAsia="Times New Roman" w:cs="Arial"/>
          <w:iCs/>
          <w:lang w:val="es-ES" w:eastAsia="es-ES"/>
        </w:rPr>
        <w:t>“</w:t>
      </w:r>
      <w:r w:rsidRPr="00A0203C">
        <w:rPr>
          <w:rFonts w:eastAsia="Times New Roman" w:cs="Arial"/>
          <w:b/>
          <w:iCs/>
          <w:lang w:val="es-ES" w:eastAsia="es-ES"/>
        </w:rPr>
        <w:t>ARTÍCULO 288. APLICACIÓN DE LAS DISPOSICIONES CONTENIDAS EN LA PRESENTE LEY Y EN LEYES ANTERIORES.</w:t>
      </w:r>
      <w:bookmarkEnd w:id="9"/>
      <w:r w:rsidRPr="00A0203C">
        <w:rPr>
          <w:rFonts w:eastAsia="Times New Roman" w:cs="Arial"/>
          <w:iCs/>
          <w:lang w:val="es-ES" w:eastAsia="es-ES"/>
        </w:rPr>
        <w:t xml:space="preserve"> Todo trabajador privado u oficial, funcionario público, empleado público y servidor público tiene derecho a la vigencia de la presente Ley le sea aplicable cualquier norma en ella contenida que estime favorable ante el cotejo con lo dispuesto en leyes anteriores sobre la misma materia, </w:t>
      </w:r>
      <w:r w:rsidRPr="00A0203C">
        <w:rPr>
          <w:rFonts w:eastAsia="Times New Roman" w:cs="Arial"/>
          <w:b/>
          <w:iCs/>
          <w:lang w:val="es-ES" w:eastAsia="es-ES"/>
        </w:rPr>
        <w:t>siempre que se someta a la totalidad de disposiciones de esta Ley</w:t>
      </w:r>
      <w:r w:rsidRPr="00A0203C">
        <w:rPr>
          <w:rFonts w:eastAsia="Times New Roman" w:cs="Arial"/>
          <w:iCs/>
          <w:lang w:val="es-ES" w:eastAsia="es-ES"/>
        </w:rPr>
        <w:t>.”</w:t>
      </w:r>
    </w:p>
    <w:p w14:paraId="4B0BDB88" w14:textId="77777777" w:rsidR="00A0203C" w:rsidRPr="00A0203C" w:rsidRDefault="00A0203C" w:rsidP="00C402FB">
      <w:pPr>
        <w:tabs>
          <w:tab w:val="left" w:pos="7185"/>
        </w:tabs>
        <w:spacing w:line="288" w:lineRule="auto"/>
        <w:rPr>
          <w:rFonts w:eastAsia="Times New Roman" w:cs="Arial"/>
          <w:iCs/>
          <w:lang w:val="es-ES" w:eastAsia="es-ES"/>
        </w:rPr>
      </w:pPr>
    </w:p>
    <w:p w14:paraId="20F1C8AD" w14:textId="77777777" w:rsidR="00A0203C" w:rsidRPr="00A0203C" w:rsidRDefault="00A0203C" w:rsidP="00C402FB">
      <w:pPr>
        <w:tabs>
          <w:tab w:val="left" w:pos="7185"/>
        </w:tabs>
        <w:spacing w:line="288" w:lineRule="auto"/>
        <w:rPr>
          <w:rFonts w:eastAsia="Times New Roman" w:cs="Arial"/>
          <w:iCs/>
          <w:lang w:val="es-ES" w:eastAsia="es-ES"/>
        </w:rPr>
      </w:pPr>
      <w:r w:rsidRPr="00A0203C">
        <w:rPr>
          <w:rFonts w:eastAsia="Times New Roman" w:cs="Arial"/>
          <w:iCs/>
          <w:lang w:val="es-ES" w:eastAsia="es-ES"/>
        </w:rPr>
        <w:t>Así las cosas, no estoy de acuerdo estoy con la decisión y por ello salvo mi voto.</w:t>
      </w:r>
    </w:p>
    <w:p w14:paraId="76AC4745" w14:textId="1A08444B" w:rsidR="00A0203C" w:rsidRPr="00A0203C" w:rsidRDefault="00A0203C" w:rsidP="00C402FB">
      <w:pPr>
        <w:suppressAutoHyphens/>
        <w:spacing w:line="288" w:lineRule="auto"/>
        <w:rPr>
          <w:rFonts w:eastAsia="Times New Roman" w:cs="Arial"/>
          <w:spacing w:val="-2"/>
          <w:lang w:val="es-ES_tradnl" w:eastAsia="es-ES"/>
        </w:rPr>
      </w:pPr>
    </w:p>
    <w:p w14:paraId="24A6213B" w14:textId="77777777" w:rsidR="00A0203C" w:rsidRPr="00A0203C" w:rsidRDefault="00A0203C" w:rsidP="00C402FB">
      <w:pPr>
        <w:suppressAutoHyphens/>
        <w:spacing w:line="288" w:lineRule="auto"/>
        <w:rPr>
          <w:rFonts w:eastAsia="Times New Roman" w:cs="Arial"/>
          <w:spacing w:val="-2"/>
          <w:lang w:val="es-ES_tradnl" w:eastAsia="es-ES"/>
        </w:rPr>
      </w:pPr>
    </w:p>
    <w:p w14:paraId="1455A429" w14:textId="77777777" w:rsidR="00A0203C" w:rsidRDefault="00A0203C" w:rsidP="00C402FB">
      <w:pPr>
        <w:suppressAutoHyphens/>
        <w:spacing w:line="288" w:lineRule="auto"/>
        <w:rPr>
          <w:rFonts w:eastAsia="Times New Roman" w:cs="Arial"/>
          <w:spacing w:val="-2"/>
          <w:lang w:val="es-ES_tradnl" w:eastAsia="es-ES"/>
        </w:rPr>
      </w:pPr>
    </w:p>
    <w:p w14:paraId="28A7FFF5" w14:textId="77777777" w:rsidR="00F40ABC" w:rsidRPr="00A0203C" w:rsidRDefault="00F40ABC" w:rsidP="00C402FB">
      <w:pPr>
        <w:suppressAutoHyphens/>
        <w:spacing w:line="288" w:lineRule="auto"/>
        <w:rPr>
          <w:rFonts w:eastAsia="Times New Roman" w:cs="Arial"/>
          <w:spacing w:val="-2"/>
          <w:lang w:val="es-ES_tradnl" w:eastAsia="es-ES"/>
        </w:rPr>
      </w:pPr>
    </w:p>
    <w:p w14:paraId="05CA3528" w14:textId="77777777" w:rsidR="00A0203C" w:rsidRPr="00A0203C" w:rsidRDefault="00A0203C" w:rsidP="00C402FB">
      <w:pPr>
        <w:spacing w:line="288" w:lineRule="auto"/>
        <w:jc w:val="center"/>
        <w:rPr>
          <w:rFonts w:eastAsia="Times New Roman" w:cs="Arial"/>
          <w:b/>
          <w:lang w:val="es-ES" w:eastAsia="es-ES"/>
        </w:rPr>
      </w:pPr>
      <w:r w:rsidRPr="00A0203C">
        <w:rPr>
          <w:rFonts w:eastAsia="Times New Roman" w:cs="Arial"/>
          <w:b/>
          <w:lang w:val="es-ES" w:eastAsia="es-ES"/>
        </w:rPr>
        <w:t>JULIO CÉSAR SALAZAR MUÑOZ</w:t>
      </w:r>
    </w:p>
    <w:p w14:paraId="39660630" w14:textId="77777777" w:rsidR="00A0203C" w:rsidRPr="00A0203C" w:rsidRDefault="00A0203C" w:rsidP="00C402FB">
      <w:pPr>
        <w:spacing w:line="288" w:lineRule="auto"/>
        <w:jc w:val="center"/>
        <w:rPr>
          <w:rFonts w:eastAsia="Times New Roman" w:cs="Arial"/>
          <w:lang w:val="es-ES" w:eastAsia="es-ES"/>
        </w:rPr>
      </w:pPr>
      <w:r w:rsidRPr="00A0203C">
        <w:rPr>
          <w:rFonts w:eastAsia="Times New Roman" w:cs="Arial"/>
          <w:i/>
          <w:lang w:val="es-ES" w:eastAsia="es-ES"/>
        </w:rPr>
        <w:t>Magistrado</w:t>
      </w:r>
    </w:p>
    <w:p w14:paraId="5F71DA2E" w14:textId="77777777" w:rsidR="00A0203C" w:rsidRPr="00A0203C" w:rsidRDefault="00A0203C" w:rsidP="00A0203C">
      <w:pPr>
        <w:spacing w:line="276" w:lineRule="auto"/>
        <w:rPr>
          <w:rFonts w:cs="Arial"/>
          <w:b/>
          <w:bCs/>
        </w:rPr>
      </w:pPr>
    </w:p>
    <w:p w14:paraId="4BD903C1" w14:textId="77777777" w:rsidR="00A0203C" w:rsidRDefault="00A0203C">
      <w:pPr>
        <w:rPr>
          <w:rFonts w:ascii="Tahoma" w:hAnsi="Tahoma" w:cs="Tahoma"/>
          <w:b/>
          <w:bCs/>
        </w:rPr>
      </w:pPr>
      <w:r>
        <w:rPr>
          <w:rFonts w:ascii="Tahoma" w:hAnsi="Tahoma" w:cs="Tahoma"/>
          <w:b/>
          <w:bCs/>
        </w:rPr>
        <w:br w:type="page"/>
      </w:r>
    </w:p>
    <w:p w14:paraId="198D2111" w14:textId="0C08E229" w:rsidR="004C674E" w:rsidRPr="00211ABC" w:rsidRDefault="00286238" w:rsidP="00286238">
      <w:pPr>
        <w:ind w:firstLine="708"/>
        <w:jc w:val="center"/>
        <w:rPr>
          <w:rFonts w:ascii="Tahoma" w:hAnsi="Tahoma" w:cs="Tahoma"/>
        </w:rPr>
      </w:pPr>
      <w:r w:rsidRPr="00211ABC">
        <w:rPr>
          <w:rFonts w:ascii="Tahoma" w:hAnsi="Tahoma" w:cs="Tahoma"/>
          <w:b/>
          <w:bCs/>
        </w:rPr>
        <w:lastRenderedPageBreak/>
        <w:t>LIQUIDACIONES</w:t>
      </w:r>
    </w:p>
    <w:p w14:paraId="11D2C89A" w14:textId="0FC2C64F" w:rsidR="00286238" w:rsidRPr="00211ABC" w:rsidRDefault="00286238" w:rsidP="00286238">
      <w:pPr>
        <w:rPr>
          <w:rFonts w:ascii="Tahoma" w:hAnsi="Tahoma" w:cs="Tahoma"/>
        </w:rPr>
      </w:pPr>
    </w:p>
    <w:p w14:paraId="3E3E7F38" w14:textId="2D841B7A" w:rsidR="00286238" w:rsidRPr="00211ABC" w:rsidRDefault="00286238" w:rsidP="00286238">
      <w:pPr>
        <w:tabs>
          <w:tab w:val="left" w:pos="2127"/>
        </w:tabs>
        <w:spacing w:line="240" w:lineRule="auto"/>
        <w:rPr>
          <w:rFonts w:ascii="Tahoma" w:eastAsia="Times New Roman" w:hAnsi="Tahoma" w:cs="Tahoma"/>
          <w:sz w:val="18"/>
          <w:szCs w:val="18"/>
          <w:lang w:val="es-419" w:eastAsia="es-419"/>
        </w:rPr>
      </w:pPr>
      <w:r w:rsidRPr="00211ABC">
        <w:rPr>
          <w:rFonts w:ascii="Tahoma" w:eastAsia="Times New Roman" w:hAnsi="Tahoma" w:cs="Tahoma"/>
          <w:sz w:val="18"/>
          <w:szCs w:val="18"/>
          <w:lang w:val="es-419" w:eastAsia="es-419"/>
        </w:rPr>
        <w:t xml:space="preserve">DEMANDANTE: </w:t>
      </w:r>
      <w:r w:rsidRPr="00211ABC">
        <w:rPr>
          <w:rFonts w:ascii="Tahoma" w:eastAsia="Times New Roman" w:hAnsi="Tahoma" w:cs="Tahoma"/>
          <w:sz w:val="18"/>
          <w:szCs w:val="18"/>
          <w:lang w:val="es-419" w:eastAsia="es-419"/>
        </w:rPr>
        <w:tab/>
        <w:t>JOAQUIN MARIA GRAJALES OSORIO</w:t>
      </w:r>
    </w:p>
    <w:p w14:paraId="401EDBA8" w14:textId="4626BBB5" w:rsidR="00286238" w:rsidRPr="00211ABC" w:rsidRDefault="00286238" w:rsidP="00286238">
      <w:pPr>
        <w:tabs>
          <w:tab w:val="left" w:pos="2127"/>
        </w:tabs>
        <w:spacing w:line="240" w:lineRule="auto"/>
        <w:rPr>
          <w:rFonts w:ascii="Tahoma" w:hAnsi="Tahoma" w:cs="Tahoma"/>
          <w:sz w:val="18"/>
          <w:szCs w:val="18"/>
        </w:rPr>
      </w:pPr>
      <w:r w:rsidRPr="00211ABC">
        <w:rPr>
          <w:rFonts w:ascii="Tahoma" w:eastAsia="Times New Roman" w:hAnsi="Tahoma" w:cs="Tahoma"/>
          <w:sz w:val="18"/>
          <w:szCs w:val="18"/>
          <w:lang w:val="es-419" w:eastAsia="es-419"/>
        </w:rPr>
        <w:t>RADICADO:</w:t>
      </w:r>
      <w:r w:rsidRPr="00211ABC">
        <w:rPr>
          <w:rFonts w:ascii="Tahoma" w:eastAsia="Times New Roman" w:hAnsi="Tahoma" w:cs="Tahoma"/>
          <w:sz w:val="18"/>
          <w:szCs w:val="18"/>
          <w:lang w:val="es-419" w:eastAsia="es-419"/>
        </w:rPr>
        <w:tab/>
        <w:t>2018-00223</w:t>
      </w:r>
    </w:p>
    <w:p w14:paraId="5C0802ED" w14:textId="5B0087F8" w:rsidR="00286238" w:rsidRPr="00211ABC" w:rsidRDefault="00286238" w:rsidP="00286238">
      <w:pPr>
        <w:tabs>
          <w:tab w:val="left" w:pos="2127"/>
        </w:tabs>
        <w:spacing w:line="240" w:lineRule="auto"/>
        <w:rPr>
          <w:rFonts w:ascii="Tahoma" w:hAnsi="Tahoma" w:cs="Tahoma"/>
          <w:sz w:val="18"/>
          <w:szCs w:val="18"/>
        </w:rPr>
      </w:pPr>
      <w:r w:rsidRPr="00211ABC">
        <w:rPr>
          <w:rFonts w:ascii="Tahoma" w:eastAsia="Times New Roman" w:hAnsi="Tahoma" w:cs="Tahoma"/>
          <w:sz w:val="18"/>
          <w:szCs w:val="18"/>
          <w:lang w:val="es-419" w:eastAsia="es-419"/>
        </w:rPr>
        <w:t>F. Nacimiento:</w:t>
      </w:r>
      <w:r w:rsidRPr="00211ABC">
        <w:rPr>
          <w:rFonts w:ascii="Tahoma" w:eastAsia="Times New Roman" w:hAnsi="Tahoma" w:cs="Tahoma"/>
          <w:sz w:val="18"/>
          <w:szCs w:val="18"/>
          <w:lang w:val="es-419" w:eastAsia="es-419"/>
        </w:rPr>
        <w:tab/>
        <w:t>15-nov-51</w:t>
      </w:r>
    </w:p>
    <w:p w14:paraId="56E07AFE" w14:textId="6D263125" w:rsidR="00286238" w:rsidRPr="00211ABC" w:rsidRDefault="00286238" w:rsidP="00286238">
      <w:pPr>
        <w:tabs>
          <w:tab w:val="left" w:pos="2127"/>
        </w:tabs>
        <w:spacing w:line="240" w:lineRule="auto"/>
        <w:rPr>
          <w:rFonts w:ascii="Tahoma" w:eastAsia="Times New Roman" w:hAnsi="Tahoma" w:cs="Tahoma"/>
          <w:sz w:val="18"/>
          <w:szCs w:val="18"/>
          <w:lang w:val="es-419" w:eastAsia="es-419"/>
        </w:rPr>
      </w:pPr>
      <w:r w:rsidRPr="00211ABC">
        <w:rPr>
          <w:rFonts w:ascii="Tahoma" w:eastAsia="Times New Roman" w:hAnsi="Tahoma" w:cs="Tahoma"/>
          <w:sz w:val="18"/>
          <w:szCs w:val="18"/>
          <w:lang w:val="es-419" w:eastAsia="es-419"/>
        </w:rPr>
        <w:t xml:space="preserve">Pensión por vejez: </w:t>
      </w:r>
      <w:r w:rsidRPr="00211ABC">
        <w:rPr>
          <w:rFonts w:ascii="Tahoma" w:eastAsia="Times New Roman" w:hAnsi="Tahoma" w:cs="Tahoma"/>
          <w:sz w:val="18"/>
          <w:szCs w:val="18"/>
          <w:lang w:val="es-419" w:eastAsia="es-419"/>
        </w:rPr>
        <w:tab/>
        <w:t>Acuerdo 049/90</w:t>
      </w:r>
    </w:p>
    <w:p w14:paraId="6986F9C7" w14:textId="7CE78BE6" w:rsidR="00286238" w:rsidRPr="00211ABC" w:rsidRDefault="00286238" w:rsidP="00286238">
      <w:pPr>
        <w:tabs>
          <w:tab w:val="left" w:pos="2127"/>
        </w:tabs>
        <w:spacing w:line="240" w:lineRule="auto"/>
        <w:rPr>
          <w:rFonts w:ascii="Tahoma" w:eastAsia="Times New Roman" w:hAnsi="Tahoma" w:cs="Tahoma"/>
          <w:sz w:val="18"/>
          <w:szCs w:val="18"/>
          <w:lang w:val="es-419" w:eastAsia="es-419"/>
        </w:rPr>
      </w:pPr>
      <w:r w:rsidRPr="00211ABC">
        <w:rPr>
          <w:rFonts w:ascii="Tahoma" w:hAnsi="Tahoma" w:cs="Tahoma"/>
          <w:sz w:val="18"/>
          <w:szCs w:val="18"/>
        </w:rPr>
        <w:t>Edad mínima:</w:t>
      </w:r>
      <w:r w:rsidRPr="00211ABC">
        <w:rPr>
          <w:rFonts w:ascii="Tahoma" w:hAnsi="Tahoma" w:cs="Tahoma"/>
          <w:sz w:val="18"/>
          <w:szCs w:val="18"/>
        </w:rPr>
        <w:tab/>
      </w:r>
      <w:r w:rsidRPr="00211ABC">
        <w:rPr>
          <w:rFonts w:ascii="Tahoma" w:eastAsia="Times New Roman" w:hAnsi="Tahoma" w:cs="Tahoma"/>
          <w:sz w:val="18"/>
          <w:szCs w:val="18"/>
          <w:lang w:val="es-419" w:eastAsia="es-419"/>
        </w:rPr>
        <w:t>15-nov-11</w:t>
      </w:r>
    </w:p>
    <w:p w14:paraId="59EEF58F" w14:textId="7469D154" w:rsidR="00286238" w:rsidRPr="00211ABC" w:rsidRDefault="00286238" w:rsidP="00286238">
      <w:pPr>
        <w:tabs>
          <w:tab w:val="left" w:pos="2127"/>
        </w:tabs>
        <w:spacing w:line="240" w:lineRule="auto"/>
        <w:rPr>
          <w:rFonts w:ascii="Tahoma" w:hAnsi="Tahoma" w:cs="Tahoma"/>
          <w:sz w:val="18"/>
          <w:szCs w:val="18"/>
        </w:rPr>
      </w:pPr>
      <w:r w:rsidRPr="00211ABC">
        <w:rPr>
          <w:rFonts w:ascii="Tahoma" w:eastAsia="Times New Roman" w:hAnsi="Tahoma" w:cs="Tahoma"/>
          <w:sz w:val="18"/>
          <w:szCs w:val="18"/>
          <w:lang w:val="es-419" w:eastAsia="es-419"/>
        </w:rPr>
        <w:t>Total cotizado:</w:t>
      </w:r>
      <w:r w:rsidRPr="00211ABC">
        <w:rPr>
          <w:rFonts w:ascii="Tahoma" w:eastAsia="Times New Roman" w:hAnsi="Tahoma" w:cs="Tahoma"/>
          <w:sz w:val="18"/>
          <w:szCs w:val="18"/>
          <w:lang w:val="es-419" w:eastAsia="es-419"/>
        </w:rPr>
        <w:tab/>
        <w:t>1,013.43</w:t>
      </w:r>
    </w:p>
    <w:p w14:paraId="191E274F" w14:textId="63DAD5A3" w:rsidR="00286238" w:rsidRPr="00211ABC" w:rsidRDefault="00286238" w:rsidP="00286238">
      <w:pPr>
        <w:ind w:firstLine="708"/>
        <w:rPr>
          <w:rFonts w:ascii="Tahoma" w:eastAsia="Times New Roman" w:hAnsi="Tahoma" w:cs="Tahoma"/>
          <w:b/>
          <w:bCs/>
          <w:sz w:val="16"/>
          <w:szCs w:val="16"/>
          <w:lang w:val="es-419" w:eastAsia="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654"/>
        <w:gridCol w:w="1727"/>
        <w:gridCol w:w="1291"/>
        <w:gridCol w:w="1329"/>
        <w:gridCol w:w="1403"/>
        <w:gridCol w:w="1803"/>
      </w:tblGrid>
      <w:tr w:rsidR="00286238" w:rsidRPr="00211ABC" w14:paraId="26055392" w14:textId="77777777" w:rsidTr="00286238">
        <w:trPr>
          <w:trHeight w:val="240"/>
        </w:trPr>
        <w:tc>
          <w:tcPr>
            <w:tcW w:w="5000" w:type="pct"/>
            <w:gridSpan w:val="6"/>
            <w:shd w:val="clear" w:color="auto" w:fill="FFFFFF" w:themeFill="background1"/>
            <w:noWrap/>
            <w:vAlign w:val="center"/>
            <w:hideMark/>
          </w:tcPr>
          <w:p w14:paraId="6A1796E9" w14:textId="77777777" w:rsidR="00286238" w:rsidRPr="00211ABC" w:rsidRDefault="00286238" w:rsidP="00286238">
            <w:pPr>
              <w:spacing w:line="240" w:lineRule="auto"/>
              <w:jc w:val="center"/>
              <w:rPr>
                <w:rFonts w:ascii="Tahoma" w:eastAsia="Times New Roman" w:hAnsi="Tahoma" w:cs="Tahoma"/>
                <w:b/>
                <w:bCs/>
                <w:sz w:val="18"/>
                <w:szCs w:val="18"/>
                <w:lang w:val="es-419" w:eastAsia="es-419"/>
              </w:rPr>
            </w:pPr>
            <w:r w:rsidRPr="00211ABC">
              <w:rPr>
                <w:rFonts w:ascii="Tahoma" w:eastAsia="Times New Roman" w:hAnsi="Tahoma" w:cs="Tahoma"/>
                <w:b/>
                <w:bCs/>
                <w:sz w:val="18"/>
                <w:szCs w:val="18"/>
                <w:lang w:val="es-419" w:eastAsia="es-419"/>
              </w:rPr>
              <w:t>LIQUIDACION IBL</w:t>
            </w:r>
          </w:p>
        </w:tc>
      </w:tr>
      <w:tr w:rsidR="00286238" w:rsidRPr="00211ABC" w14:paraId="20F24D5C" w14:textId="77777777" w:rsidTr="00286238">
        <w:trPr>
          <w:trHeight w:val="240"/>
        </w:trPr>
        <w:tc>
          <w:tcPr>
            <w:tcW w:w="898" w:type="pct"/>
            <w:shd w:val="clear" w:color="auto" w:fill="FFFFFF" w:themeFill="background1"/>
            <w:vAlign w:val="center"/>
            <w:hideMark/>
          </w:tcPr>
          <w:p w14:paraId="223F879E" w14:textId="77777777" w:rsidR="00286238" w:rsidRPr="00211ABC" w:rsidRDefault="00286238" w:rsidP="00286238">
            <w:pPr>
              <w:spacing w:line="240" w:lineRule="auto"/>
              <w:jc w:val="center"/>
              <w:rPr>
                <w:rFonts w:ascii="Tahoma" w:eastAsia="Times New Roman" w:hAnsi="Tahoma" w:cs="Tahoma"/>
                <w:sz w:val="18"/>
                <w:szCs w:val="18"/>
                <w:lang w:val="es-419" w:eastAsia="es-419"/>
              </w:rPr>
            </w:pPr>
            <w:r w:rsidRPr="00211ABC">
              <w:rPr>
                <w:rFonts w:ascii="Tahoma" w:eastAsia="Times New Roman" w:hAnsi="Tahoma" w:cs="Tahoma"/>
                <w:sz w:val="18"/>
                <w:szCs w:val="18"/>
                <w:lang w:val="es-419" w:eastAsia="es-419"/>
              </w:rPr>
              <w:t>Regla IBL</w:t>
            </w:r>
          </w:p>
        </w:tc>
        <w:tc>
          <w:tcPr>
            <w:tcW w:w="938" w:type="pct"/>
            <w:shd w:val="clear" w:color="auto" w:fill="FFFFFF" w:themeFill="background1"/>
            <w:noWrap/>
            <w:vAlign w:val="center"/>
            <w:hideMark/>
          </w:tcPr>
          <w:p w14:paraId="7A428918" w14:textId="77777777" w:rsidR="00286238" w:rsidRPr="00211ABC" w:rsidRDefault="00286238" w:rsidP="00286238">
            <w:pPr>
              <w:spacing w:line="240" w:lineRule="auto"/>
              <w:jc w:val="center"/>
              <w:rPr>
                <w:rFonts w:ascii="Tahoma" w:eastAsia="Times New Roman" w:hAnsi="Tahoma" w:cs="Tahoma"/>
                <w:sz w:val="18"/>
                <w:szCs w:val="18"/>
                <w:lang w:val="es-419" w:eastAsia="es-419"/>
              </w:rPr>
            </w:pPr>
            <w:r w:rsidRPr="00211ABC">
              <w:rPr>
                <w:rFonts w:ascii="Tahoma" w:eastAsia="Times New Roman" w:hAnsi="Tahoma" w:cs="Tahoma"/>
                <w:sz w:val="18"/>
                <w:szCs w:val="18"/>
                <w:lang w:val="es-419" w:eastAsia="es-419"/>
              </w:rPr>
              <w:t>Ult. 10 años</w:t>
            </w:r>
          </w:p>
        </w:tc>
        <w:tc>
          <w:tcPr>
            <w:tcW w:w="701" w:type="pct"/>
            <w:shd w:val="clear" w:color="auto" w:fill="FFFFFF" w:themeFill="background1"/>
            <w:vAlign w:val="center"/>
            <w:hideMark/>
          </w:tcPr>
          <w:p w14:paraId="65924F9C" w14:textId="77777777" w:rsidR="00286238" w:rsidRPr="00211ABC" w:rsidRDefault="00286238" w:rsidP="00286238">
            <w:pPr>
              <w:spacing w:line="240" w:lineRule="auto"/>
              <w:jc w:val="center"/>
              <w:rPr>
                <w:rFonts w:ascii="Tahoma" w:eastAsia="Times New Roman" w:hAnsi="Tahoma" w:cs="Tahoma"/>
                <w:sz w:val="18"/>
                <w:szCs w:val="18"/>
                <w:lang w:val="es-419" w:eastAsia="es-419"/>
              </w:rPr>
            </w:pPr>
            <w:r w:rsidRPr="00211ABC">
              <w:rPr>
                <w:rFonts w:ascii="Tahoma" w:eastAsia="Times New Roman" w:hAnsi="Tahoma" w:cs="Tahoma"/>
                <w:sz w:val="18"/>
                <w:szCs w:val="18"/>
                <w:lang w:val="es-419" w:eastAsia="es-419"/>
              </w:rPr>
              <w:t>Dias IBL</w:t>
            </w:r>
          </w:p>
        </w:tc>
        <w:tc>
          <w:tcPr>
            <w:tcW w:w="722" w:type="pct"/>
            <w:shd w:val="clear" w:color="auto" w:fill="FFFFFF" w:themeFill="background1"/>
            <w:noWrap/>
            <w:vAlign w:val="center"/>
            <w:hideMark/>
          </w:tcPr>
          <w:p w14:paraId="3904F11C" w14:textId="03F170B2" w:rsidR="00286238" w:rsidRPr="00211ABC" w:rsidRDefault="00286238" w:rsidP="00286238">
            <w:pPr>
              <w:spacing w:line="240" w:lineRule="auto"/>
              <w:jc w:val="center"/>
              <w:rPr>
                <w:rFonts w:ascii="Tahoma" w:eastAsia="Times New Roman" w:hAnsi="Tahoma" w:cs="Tahoma"/>
                <w:sz w:val="18"/>
                <w:szCs w:val="18"/>
                <w:lang w:val="es-419" w:eastAsia="es-419"/>
              </w:rPr>
            </w:pPr>
            <w:r w:rsidRPr="00211ABC">
              <w:rPr>
                <w:rFonts w:ascii="Tahoma" w:eastAsia="Times New Roman" w:hAnsi="Tahoma" w:cs="Tahoma"/>
                <w:sz w:val="18"/>
                <w:szCs w:val="18"/>
                <w:lang w:val="es-419" w:eastAsia="es-419"/>
              </w:rPr>
              <w:t>3,600</w:t>
            </w:r>
          </w:p>
        </w:tc>
        <w:tc>
          <w:tcPr>
            <w:tcW w:w="762" w:type="pct"/>
            <w:shd w:val="clear" w:color="auto" w:fill="FFFFFF" w:themeFill="background1"/>
            <w:vAlign w:val="center"/>
            <w:hideMark/>
          </w:tcPr>
          <w:p w14:paraId="0DA2860F" w14:textId="77777777" w:rsidR="00286238" w:rsidRPr="00211ABC" w:rsidRDefault="00286238" w:rsidP="00286238">
            <w:pPr>
              <w:spacing w:line="240" w:lineRule="auto"/>
              <w:jc w:val="center"/>
              <w:rPr>
                <w:rFonts w:ascii="Tahoma" w:eastAsia="Times New Roman" w:hAnsi="Tahoma" w:cs="Tahoma"/>
                <w:sz w:val="18"/>
                <w:szCs w:val="18"/>
                <w:lang w:val="es-419" w:eastAsia="es-419"/>
              </w:rPr>
            </w:pPr>
            <w:r w:rsidRPr="00211ABC">
              <w:rPr>
                <w:rFonts w:ascii="Tahoma" w:eastAsia="Times New Roman" w:hAnsi="Tahoma" w:cs="Tahoma"/>
                <w:sz w:val="18"/>
                <w:szCs w:val="18"/>
                <w:lang w:val="es-419" w:eastAsia="es-419"/>
              </w:rPr>
              <w:t>IPC final</w:t>
            </w:r>
          </w:p>
        </w:tc>
        <w:tc>
          <w:tcPr>
            <w:tcW w:w="979" w:type="pct"/>
            <w:shd w:val="clear" w:color="auto" w:fill="FFFFFF" w:themeFill="background1"/>
            <w:noWrap/>
            <w:vAlign w:val="center"/>
            <w:hideMark/>
          </w:tcPr>
          <w:p w14:paraId="3E667C00" w14:textId="36A2209E" w:rsidR="00286238" w:rsidRPr="00211ABC" w:rsidRDefault="00286238" w:rsidP="00286238">
            <w:pPr>
              <w:spacing w:line="240" w:lineRule="auto"/>
              <w:jc w:val="center"/>
              <w:rPr>
                <w:rFonts w:ascii="Tahoma" w:eastAsia="Times New Roman" w:hAnsi="Tahoma" w:cs="Tahoma"/>
                <w:sz w:val="18"/>
                <w:szCs w:val="18"/>
                <w:lang w:val="es-419" w:eastAsia="es-419"/>
              </w:rPr>
            </w:pPr>
            <w:r w:rsidRPr="00211ABC">
              <w:rPr>
                <w:rFonts w:ascii="Tahoma" w:eastAsia="Times New Roman" w:hAnsi="Tahoma" w:cs="Tahoma"/>
                <w:sz w:val="18"/>
                <w:szCs w:val="18"/>
                <w:lang w:val="es-419" w:eastAsia="es-419"/>
              </w:rPr>
              <w:t>73.45</w:t>
            </w:r>
          </w:p>
          <w:p w14:paraId="521C40E4" w14:textId="04CA1303" w:rsidR="00286238" w:rsidRPr="00211ABC" w:rsidRDefault="00286238" w:rsidP="00286238">
            <w:pPr>
              <w:spacing w:line="240" w:lineRule="auto"/>
              <w:jc w:val="center"/>
              <w:rPr>
                <w:rFonts w:ascii="Tahoma" w:eastAsia="Times New Roman" w:hAnsi="Tahoma" w:cs="Tahoma"/>
                <w:sz w:val="18"/>
                <w:szCs w:val="18"/>
                <w:lang w:val="es-419" w:eastAsia="es-419"/>
              </w:rPr>
            </w:pPr>
          </w:p>
        </w:tc>
      </w:tr>
    </w:tbl>
    <w:p w14:paraId="5D42C905" w14:textId="5C138276" w:rsidR="00286238" w:rsidRPr="00211ABC" w:rsidRDefault="00286238" w:rsidP="00286238">
      <w:pPr>
        <w:rPr>
          <w:rFonts w:ascii="Tahoma" w:hAnsi="Tahoma" w:cs="Tahoma"/>
          <w:sz w:val="6"/>
          <w:szCs w:val="6"/>
        </w:rPr>
      </w:pPr>
    </w:p>
    <w:tbl>
      <w:tblPr>
        <w:tblW w:w="5000" w:type="pct"/>
        <w:jc w:val="right"/>
        <w:tblCellMar>
          <w:left w:w="70" w:type="dxa"/>
          <w:right w:w="70" w:type="dxa"/>
        </w:tblCellMar>
        <w:tblLook w:val="04A0" w:firstRow="1" w:lastRow="0" w:firstColumn="1" w:lastColumn="0" w:noHBand="0" w:noVBand="1"/>
      </w:tblPr>
      <w:tblGrid>
        <w:gridCol w:w="1314"/>
        <w:gridCol w:w="1314"/>
        <w:gridCol w:w="1317"/>
        <w:gridCol w:w="1315"/>
        <w:gridCol w:w="1317"/>
        <w:gridCol w:w="1315"/>
        <w:gridCol w:w="1315"/>
      </w:tblGrid>
      <w:tr w:rsidR="00286238" w:rsidRPr="00211ABC" w14:paraId="6C2946EE" w14:textId="77777777" w:rsidTr="00286238">
        <w:trPr>
          <w:tblHeader/>
          <w:jc w:val="right"/>
        </w:trPr>
        <w:tc>
          <w:tcPr>
            <w:tcW w:w="714" w:type="pct"/>
            <w:tcBorders>
              <w:top w:val="single" w:sz="8" w:space="0" w:color="70493D"/>
              <w:left w:val="single" w:sz="8" w:space="0" w:color="70493D"/>
              <w:bottom w:val="single" w:sz="4" w:space="0" w:color="70493D"/>
              <w:right w:val="single" w:sz="4" w:space="0" w:color="70493D"/>
            </w:tcBorders>
            <w:shd w:val="clear" w:color="auto" w:fill="FFFFFF" w:themeFill="background1"/>
            <w:vAlign w:val="center"/>
            <w:hideMark/>
          </w:tcPr>
          <w:p w14:paraId="13E16F4E"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Desde</w:t>
            </w:r>
          </w:p>
        </w:tc>
        <w:tc>
          <w:tcPr>
            <w:tcW w:w="714" w:type="pct"/>
            <w:tcBorders>
              <w:top w:val="single" w:sz="8" w:space="0" w:color="70493D"/>
              <w:left w:val="single" w:sz="4" w:space="0" w:color="70493D"/>
              <w:bottom w:val="single" w:sz="4" w:space="0" w:color="70493D"/>
              <w:right w:val="single" w:sz="4" w:space="0" w:color="70493D"/>
            </w:tcBorders>
            <w:shd w:val="clear" w:color="auto" w:fill="FFFFFF" w:themeFill="background1"/>
            <w:vAlign w:val="center"/>
            <w:hideMark/>
          </w:tcPr>
          <w:p w14:paraId="4A77C86B"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Hasta</w:t>
            </w:r>
          </w:p>
        </w:tc>
        <w:tc>
          <w:tcPr>
            <w:tcW w:w="715" w:type="pct"/>
            <w:tcBorders>
              <w:top w:val="single" w:sz="8" w:space="0" w:color="70493D"/>
              <w:left w:val="single" w:sz="4" w:space="0" w:color="70493D"/>
              <w:bottom w:val="single" w:sz="4" w:space="0" w:color="70493D"/>
              <w:right w:val="single" w:sz="4" w:space="0" w:color="70493D"/>
            </w:tcBorders>
            <w:shd w:val="clear" w:color="auto" w:fill="FFFFFF" w:themeFill="background1"/>
            <w:vAlign w:val="center"/>
            <w:hideMark/>
          </w:tcPr>
          <w:p w14:paraId="70509CD7"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IBC</w:t>
            </w:r>
          </w:p>
        </w:tc>
        <w:tc>
          <w:tcPr>
            <w:tcW w:w="714" w:type="pct"/>
            <w:tcBorders>
              <w:top w:val="single" w:sz="8" w:space="0" w:color="70493D"/>
              <w:left w:val="single" w:sz="4" w:space="0" w:color="70493D"/>
              <w:bottom w:val="single" w:sz="4" w:space="0" w:color="70493D"/>
              <w:right w:val="single" w:sz="4" w:space="0" w:color="70493D"/>
            </w:tcBorders>
            <w:shd w:val="clear" w:color="auto" w:fill="FFFFFF" w:themeFill="background1"/>
            <w:vAlign w:val="center"/>
            <w:hideMark/>
          </w:tcPr>
          <w:p w14:paraId="5F9DDA7E"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Dias</w:t>
            </w:r>
          </w:p>
        </w:tc>
        <w:tc>
          <w:tcPr>
            <w:tcW w:w="715" w:type="pct"/>
            <w:tcBorders>
              <w:top w:val="single" w:sz="8" w:space="0" w:color="70493D"/>
              <w:left w:val="single" w:sz="4" w:space="0" w:color="70493D"/>
              <w:bottom w:val="single" w:sz="4" w:space="0" w:color="70493D"/>
              <w:right w:val="single" w:sz="4" w:space="0" w:color="70493D"/>
            </w:tcBorders>
            <w:shd w:val="clear" w:color="auto" w:fill="FFFFFF" w:themeFill="background1"/>
            <w:vAlign w:val="center"/>
            <w:hideMark/>
          </w:tcPr>
          <w:p w14:paraId="45D3ED50"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Semanas</w:t>
            </w:r>
          </w:p>
        </w:tc>
        <w:tc>
          <w:tcPr>
            <w:tcW w:w="714" w:type="pct"/>
            <w:tcBorders>
              <w:top w:val="single" w:sz="8" w:space="0" w:color="70493D"/>
              <w:left w:val="single" w:sz="4" w:space="0" w:color="70493D"/>
              <w:bottom w:val="single" w:sz="4" w:space="0" w:color="70493D"/>
              <w:right w:val="single" w:sz="4" w:space="0" w:color="70493D"/>
            </w:tcBorders>
            <w:shd w:val="clear" w:color="auto" w:fill="FFFFFF" w:themeFill="background1"/>
            <w:vAlign w:val="center"/>
            <w:hideMark/>
          </w:tcPr>
          <w:p w14:paraId="6E43F239"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IBC index</w:t>
            </w:r>
          </w:p>
        </w:tc>
        <w:tc>
          <w:tcPr>
            <w:tcW w:w="715" w:type="pct"/>
            <w:tcBorders>
              <w:top w:val="single" w:sz="8" w:space="0" w:color="70493D"/>
              <w:left w:val="single" w:sz="4" w:space="0" w:color="70493D"/>
              <w:bottom w:val="single" w:sz="4" w:space="0" w:color="70493D"/>
              <w:right w:val="single" w:sz="8" w:space="0" w:color="70493D"/>
            </w:tcBorders>
            <w:shd w:val="clear" w:color="auto" w:fill="FFFFFF" w:themeFill="background1"/>
            <w:vAlign w:val="center"/>
            <w:hideMark/>
          </w:tcPr>
          <w:p w14:paraId="3FB05E95"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IPC Vo</w:t>
            </w:r>
          </w:p>
        </w:tc>
      </w:tr>
      <w:tr w:rsidR="00286238" w:rsidRPr="00211ABC" w14:paraId="7CF5A291"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0692F94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14-ene.-86</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4F71999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31-ene.-86</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41F1C2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38,018 </w:t>
            </w:r>
          </w:p>
        </w:tc>
        <w:tc>
          <w:tcPr>
            <w:tcW w:w="714" w:type="pct"/>
            <w:tcBorders>
              <w:top w:val="nil"/>
              <w:left w:val="nil"/>
              <w:bottom w:val="nil"/>
              <w:right w:val="single" w:sz="4" w:space="0" w:color="70493D"/>
            </w:tcBorders>
            <w:shd w:val="clear" w:color="auto" w:fill="FFFFFF" w:themeFill="background1"/>
            <w:noWrap/>
            <w:vAlign w:val="center"/>
            <w:hideMark/>
          </w:tcPr>
          <w:p w14:paraId="488841F6"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18</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E5757E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2.57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67D3209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1,171,127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2996102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2.38 </w:t>
            </w:r>
          </w:p>
        </w:tc>
      </w:tr>
      <w:tr w:rsidR="00286238" w:rsidRPr="00211ABC" w14:paraId="786088D4"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766A9A0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1-feb.-86</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72A4A47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28-feb.-86</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147191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38,018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0F9969EF"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28</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B81B79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4.00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A6DC7F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1,171,127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309C547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2.38 </w:t>
            </w:r>
          </w:p>
        </w:tc>
      </w:tr>
      <w:tr w:rsidR="00286238" w:rsidRPr="00211ABC" w14:paraId="5339FE55"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2A6E310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1-mar.-86</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605C289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31-mar.-86</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A8D3E0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38,018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2790ABD1"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41C49A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C41F4D0"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1,171,127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0959C07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2.38 </w:t>
            </w:r>
          </w:p>
        </w:tc>
      </w:tr>
      <w:tr w:rsidR="00286238" w:rsidRPr="00211ABC" w14:paraId="4AFE3678"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72DEDFF0"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1-abr.-86</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6B41EAF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30-abr.-86</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ADF7AB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38,018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4A73A3DC"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161FF8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3795626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1,171,127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78ED846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2.38 </w:t>
            </w:r>
          </w:p>
        </w:tc>
      </w:tr>
      <w:tr w:rsidR="00286238" w:rsidRPr="00211ABC" w14:paraId="1D6237DF"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157C709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1-may.-86</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61F7FFE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31-may.-86</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2216A2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38,018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56F34D10"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EE03D4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B9C7F5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1,171,127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0DCD708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2.38 </w:t>
            </w:r>
          </w:p>
        </w:tc>
      </w:tr>
      <w:tr w:rsidR="00286238" w:rsidRPr="00211ABC" w14:paraId="022995C9"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5C06172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1-jun.-86</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70B3861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30-jun.-86</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22C066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38,018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5DFEACE7"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E3C140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31DA1369"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1,171,127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1627711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2.38 </w:t>
            </w:r>
          </w:p>
        </w:tc>
      </w:tr>
      <w:tr w:rsidR="00286238" w:rsidRPr="00211ABC" w14:paraId="368E3869"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1063F61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1-jul.-86</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65E5BC4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31-jul.-86</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9750FC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38,018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5AEAA479"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6B4A0BA"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A86F98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1,171,127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77208B5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2.38 </w:t>
            </w:r>
          </w:p>
        </w:tc>
      </w:tr>
      <w:tr w:rsidR="00286238" w:rsidRPr="00211ABC" w14:paraId="1AD4A363"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0916E9C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1-ago.-86</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4F13B57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31-ago.-86</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22549D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38,018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2B8F362B"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01DE0C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544B48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1,171,127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37CEFD3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2.38 </w:t>
            </w:r>
          </w:p>
        </w:tc>
      </w:tr>
      <w:tr w:rsidR="00286238" w:rsidRPr="00211ABC" w14:paraId="11301A9B"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6A8CCB3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1-sep.-86</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365D6E1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30-sep.-86</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955A2D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38,018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25556302"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7C4071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1650BC2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1,171,127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324EB98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2.38 </w:t>
            </w:r>
          </w:p>
        </w:tc>
      </w:tr>
      <w:tr w:rsidR="00286238" w:rsidRPr="00211ABC" w14:paraId="0D2406F2"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7D796660"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1-oct.-86</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35596850"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31-oct.-86</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2038D3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38,018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1D4D741D"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F6C3D0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366EDE4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1,171,127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56516F3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2.38 </w:t>
            </w:r>
          </w:p>
        </w:tc>
      </w:tr>
      <w:tr w:rsidR="00286238" w:rsidRPr="00211ABC" w14:paraId="0FA2FBE2"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3A2B185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1-nov.-86</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2252158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30-nov.-86</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20FC36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38,018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71C89345"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6C6AF2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F3988E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1,171,127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5D47340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2.38 </w:t>
            </w:r>
          </w:p>
        </w:tc>
      </w:tr>
      <w:tr w:rsidR="00286238" w:rsidRPr="00211ABC" w14:paraId="312E1439"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7AA5C7B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1-dic.-86</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44EAD32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31-dic.-86</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FB350C3"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38,018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1D2E41A0"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2986979"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C13125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1,171,127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02B33CB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2.38 </w:t>
            </w:r>
          </w:p>
        </w:tc>
      </w:tr>
      <w:tr w:rsidR="00286238" w:rsidRPr="00211ABC" w14:paraId="5A469D8A"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FCAA853"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1-ene.-87</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2CA84BE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31-ene.-87</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F75796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46,192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68BFF228"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6B9E52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44984C2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1,176,489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21AF39B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2.88 </w:t>
            </w:r>
          </w:p>
        </w:tc>
      </w:tr>
      <w:tr w:rsidR="00286238" w:rsidRPr="00211ABC" w14:paraId="17406B4C"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6216927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1-feb.-87</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16FDEF8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28-feb.-87</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6DB7B3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46,192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4D11DC85"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28</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145AC5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4.00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28F241A8"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1,176,489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70CD83A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2.88 </w:t>
            </w:r>
          </w:p>
        </w:tc>
      </w:tr>
      <w:tr w:rsidR="00286238" w:rsidRPr="00211ABC" w14:paraId="39774C23"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1D60FCF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1-mar.-87</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2CD5EFC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31-mar.-87</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65C101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46,192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34E20CAF"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F0D769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228BFAC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1,176,489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6F1FFE9A"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2.88 </w:t>
            </w:r>
          </w:p>
        </w:tc>
      </w:tr>
      <w:tr w:rsidR="00286238" w:rsidRPr="00211ABC" w14:paraId="6B84AA34"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30B0ADA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1-abr.-87</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0503092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30-abr.-87</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083186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46,192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204CDFB9"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02F72A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74F591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1,176,489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3A18FBE7"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2.88 </w:t>
            </w:r>
          </w:p>
        </w:tc>
      </w:tr>
      <w:tr w:rsidR="00286238" w:rsidRPr="00211ABC" w14:paraId="51517F01"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5B826C33"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1-may.-87</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357DBC2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31-may.-87</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3A876B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46,192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60DF340E"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DDCD44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4BC9784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1,176,489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0B18CBD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2.88 </w:t>
            </w:r>
          </w:p>
        </w:tc>
      </w:tr>
      <w:tr w:rsidR="00286238" w:rsidRPr="00211ABC" w14:paraId="358EE2BD"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3E82192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1-jun.-87</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200C24E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30-jun.-87</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CF0275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46,192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74229071"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D0C3CB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981B6C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1,176,489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504D039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2.88 </w:t>
            </w:r>
          </w:p>
        </w:tc>
      </w:tr>
      <w:tr w:rsidR="00286238" w:rsidRPr="00211ABC" w14:paraId="3DD19384"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59D3950"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1-jul.-87</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3BAC84E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31-jul.-87</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4749A9D"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46,192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685C7869"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E844C4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46E39F8"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1,176,489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43B2CF90"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2.88 </w:t>
            </w:r>
          </w:p>
        </w:tc>
      </w:tr>
      <w:tr w:rsidR="00286238" w:rsidRPr="00211ABC" w14:paraId="1C5DB237"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2C14FE6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1-ago.-87</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3C6F976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31-ago.-87</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00FD47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46,192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1A567362"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195392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54BDD8F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1,176,489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12387E9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2.88 </w:t>
            </w:r>
          </w:p>
        </w:tc>
      </w:tr>
      <w:tr w:rsidR="00286238" w:rsidRPr="00211ABC" w14:paraId="3385347D"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518A9A6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1-sep.-87</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4D526AF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30-sep.-87</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DDF324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46,192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26984A0C"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B5D853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DCBE360"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1,176,489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61DE984A"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2.88 </w:t>
            </w:r>
          </w:p>
        </w:tc>
      </w:tr>
      <w:tr w:rsidR="00286238" w:rsidRPr="00211ABC" w14:paraId="2F6F671B"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183B5E9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1-oct.-87</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38A80BF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31-oct.-87</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1DFBF0D"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46,192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1FB111AB"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6FF8C9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4C12A8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1,176,489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318AA88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2.88 </w:t>
            </w:r>
          </w:p>
        </w:tc>
      </w:tr>
      <w:tr w:rsidR="00286238" w:rsidRPr="00211ABC" w14:paraId="67703D3A"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5FD3558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1-nov.-87</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4984999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30-nov.-87</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F04501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46,192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6381DC05"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7E29F49"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1C05637A"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1,176,489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15C5FC6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2.88 </w:t>
            </w:r>
          </w:p>
        </w:tc>
      </w:tr>
      <w:tr w:rsidR="00286238" w:rsidRPr="00211ABC" w14:paraId="39993F23"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57E9BD0D"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1-dic.-87</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3D06738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31-dic.-87</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B8B4A7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46,192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69B4FFE3"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FC991F0"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52F0824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1,176,489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6FC37CD7"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2.88 </w:t>
            </w:r>
          </w:p>
        </w:tc>
      </w:tr>
      <w:tr w:rsidR="00286238" w:rsidRPr="00211ABC" w14:paraId="553EA346"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718057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1-ene.-88</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7F95B72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31-ene.-88</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DA17EE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57,278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278F7037"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4D0BC3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16D1090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1,176,283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6C535DB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3.58 </w:t>
            </w:r>
          </w:p>
        </w:tc>
      </w:tr>
      <w:tr w:rsidR="00286238" w:rsidRPr="00211ABC" w14:paraId="10EBDB74"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5F0A890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1-feb.-88</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323787C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29-feb.-88</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7613DB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57,278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0888FCC2"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29</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A55543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4.14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68C0B70"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1,176,283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459F722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3.58 </w:t>
            </w:r>
          </w:p>
        </w:tc>
      </w:tr>
      <w:tr w:rsidR="00286238" w:rsidRPr="00211ABC" w14:paraId="19FD2F8B"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34E9FF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1-mar.-88</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3A5BDB1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31-mar.-88</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0F0CDB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57,278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6110761D"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F901CF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66B3EED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1,176,283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1FDDC5E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3.58 </w:t>
            </w:r>
          </w:p>
        </w:tc>
      </w:tr>
      <w:tr w:rsidR="00286238" w:rsidRPr="00211ABC" w14:paraId="43A5AE9A"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2115A31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1-abr.-88</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561D862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30-abr.-88</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5B0BB9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57,278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2818A05D"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3CCDED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58D836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1,176,283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50F78B3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3.58 </w:t>
            </w:r>
          </w:p>
        </w:tc>
      </w:tr>
      <w:tr w:rsidR="00286238" w:rsidRPr="00211ABC" w14:paraId="44A00ABE"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628250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1-may.-88</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0D22857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31-may.-88</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06812D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57,278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33A749F9"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3CDB21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53531E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1,176,283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14C780A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3.58 </w:t>
            </w:r>
          </w:p>
        </w:tc>
      </w:tr>
      <w:tr w:rsidR="00286238" w:rsidRPr="00211ABC" w14:paraId="135D9ADA"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AC9071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1-jun.-88</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1D21148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30-jun.-88</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91D7AD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57,278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1AFDCD31"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5B590C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18073D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1,176,283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67E9E75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3.58 </w:t>
            </w:r>
          </w:p>
        </w:tc>
      </w:tr>
      <w:tr w:rsidR="00286238" w:rsidRPr="00211ABC" w14:paraId="1B2B9299"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090A5C4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1-jul.-88</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6D83341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31-jul.-88</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D72FCF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57,278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1F5FBE64"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717C55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25F976B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1,176,283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6E4D00F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3.58 </w:t>
            </w:r>
          </w:p>
        </w:tc>
      </w:tr>
      <w:tr w:rsidR="00286238" w:rsidRPr="00211ABC" w14:paraId="2D4A379C"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71A3C35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1-ago.-88</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3289863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31-ago.-88</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0EEF360"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57,278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49FB8C55"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2436647"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EB7A3F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1,176,283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661ACD7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3.58 </w:t>
            </w:r>
          </w:p>
        </w:tc>
      </w:tr>
      <w:tr w:rsidR="00286238" w:rsidRPr="00211ABC" w14:paraId="257F8B48"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1344378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1-sep.-88</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3B1350C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30-sep.-88</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F0E72C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57,278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185614A3"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9626AB0"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FA3A1A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1,176,283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137C601A"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3.58 </w:t>
            </w:r>
          </w:p>
        </w:tc>
      </w:tr>
      <w:tr w:rsidR="00286238" w:rsidRPr="00211ABC" w14:paraId="0030DD52"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290F07B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1-oct.-88</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40A8116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31-oct.-88</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AAFB9E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59,139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127B18C7"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7723F9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14FD7D2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1,214,501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5BB66AE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3.58 </w:t>
            </w:r>
          </w:p>
        </w:tc>
      </w:tr>
      <w:tr w:rsidR="00286238" w:rsidRPr="00211ABC" w14:paraId="2F9B55C6"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6DA7306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1-nov.-88</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41F8162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30-nov.-88</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5763293"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61,001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027F26E5"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303CB79"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23A1C83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1,252,740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108A95A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3.58 </w:t>
            </w:r>
          </w:p>
        </w:tc>
      </w:tr>
      <w:tr w:rsidR="00286238" w:rsidRPr="00211ABC" w14:paraId="6D4C4177"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7536524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1-dic.-88</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4000A88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31-dic.-88</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44EC27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61,001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0C877DF7"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4F836A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156BC2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1,252,740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777C0EA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3.58 </w:t>
            </w:r>
          </w:p>
        </w:tc>
      </w:tr>
      <w:tr w:rsidR="00286238" w:rsidRPr="00211ABC" w14:paraId="58BB2B81"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21785B3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1-ene.-89</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214FC62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31-ene.-89</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C71FEC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76,252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0C487ACE"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39BE82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1F253C2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1,222,203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7280F81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4.58 </w:t>
            </w:r>
          </w:p>
        </w:tc>
      </w:tr>
      <w:tr w:rsidR="00286238" w:rsidRPr="00211ABC" w14:paraId="538922C2"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1F80CBE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1-feb.-89</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2B1B472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28-feb.-89</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08605D3"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76,252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409A5B40"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28</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CAB79C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4.00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596C4EE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1,222,203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2B1B5B4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4.58 </w:t>
            </w:r>
          </w:p>
        </w:tc>
      </w:tr>
      <w:tr w:rsidR="00286238" w:rsidRPr="00211ABC" w14:paraId="0FC685FA"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F074B43"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1-mar.-89</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65DF1A8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31-mar.-89</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B0ADC4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76,252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2AB09091"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2A6D42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6526C9D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1,222,203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1C19405A"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4.58 </w:t>
            </w:r>
          </w:p>
        </w:tc>
      </w:tr>
      <w:tr w:rsidR="00286238" w:rsidRPr="00211ABC" w14:paraId="53FA47AB"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E0E940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1-abr.-89</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2051799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30-abr.-89</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0B2F77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76,252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1CCC6700"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8982BA9"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30CFE93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1,222,203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3333596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4.58 </w:t>
            </w:r>
          </w:p>
        </w:tc>
      </w:tr>
      <w:tr w:rsidR="00286238" w:rsidRPr="00211ABC" w14:paraId="0AFA90D4"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39C573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1-may.-89</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5FCBC37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31-may.-89</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7173D5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76,252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419935E1"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DB4DB9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E5839E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1,222,203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69B2C9F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4.58 </w:t>
            </w:r>
          </w:p>
        </w:tc>
      </w:tr>
      <w:tr w:rsidR="00286238" w:rsidRPr="00211ABC" w14:paraId="23D91CD1"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992B9C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1-jun.-89</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1CEEF4C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30-jun.-89</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631EB3D"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76,252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141A2E52"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B6FCB3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1AD4DFF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1,222,203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73A1DE4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4.58 </w:t>
            </w:r>
          </w:p>
        </w:tc>
      </w:tr>
      <w:tr w:rsidR="00286238" w:rsidRPr="00211ABC" w14:paraId="07F72DC9"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5B333B4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1-jul.-89</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57767D0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31-jul.-89</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7A6FB4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76,252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5C040560"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14F217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3C4D50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1,222,203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612C9FB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4.58 </w:t>
            </w:r>
          </w:p>
        </w:tc>
      </w:tr>
      <w:tr w:rsidR="00286238" w:rsidRPr="00211ABC" w14:paraId="0D29B583"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30A41B63"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1-ago.-89</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22BB749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31-ago.-89</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C75881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76,252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13F2F17D"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A270A0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6B94CB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1,222,203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3DC0167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4.58 </w:t>
            </w:r>
          </w:p>
        </w:tc>
      </w:tr>
      <w:tr w:rsidR="00286238" w:rsidRPr="00211ABC" w14:paraId="2234F8B9"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1425088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1-sep.-89</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6BC4134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30-sep.-89</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C238F03"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76,252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5B323D3B"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163E3CA"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602690A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1,222,203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428923F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4.58 </w:t>
            </w:r>
          </w:p>
        </w:tc>
      </w:tr>
      <w:tr w:rsidR="00286238" w:rsidRPr="00211ABC" w14:paraId="090F48C4"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653683B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1-oct.-89</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7767A0ED"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31-oct.-89</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D958CB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76,252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4D437862"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06E1AC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B05E93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1,222,203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7CD16B5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4.58 </w:t>
            </w:r>
          </w:p>
        </w:tc>
      </w:tr>
      <w:tr w:rsidR="00286238" w:rsidRPr="00211ABC" w14:paraId="1264235F"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2A673330"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1-nov.-89</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542383D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30-nov.-89</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184B86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76,252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0BA3FCBA"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D2317D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3656ED7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1,222,203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3FE013C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4.58 </w:t>
            </w:r>
          </w:p>
        </w:tc>
      </w:tr>
      <w:tr w:rsidR="00286238" w:rsidRPr="00211ABC" w14:paraId="00CDCD00"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26ADB813"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1-dic.-89</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717B6C1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31-dic.-89</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6EEC19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76,252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308594D9"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FAC1E4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591159C9"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1,222,203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09AE5A60"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4.58 </w:t>
            </w:r>
          </w:p>
        </w:tc>
      </w:tr>
      <w:tr w:rsidR="00286238" w:rsidRPr="00211ABC" w14:paraId="5A35DEFD"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723E2E5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1-ene.-90</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5684F2C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31-ene.-90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561ED8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96,223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58E2CB01"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F92D99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FB1D20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1,222,860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33D3AA37"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5.78 </w:t>
            </w:r>
          </w:p>
        </w:tc>
      </w:tr>
      <w:tr w:rsidR="00286238" w:rsidRPr="00211ABC" w14:paraId="52BDE18B"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5FB8760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1-feb.-90</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4295273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28-feb.-90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F0E2AB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127,919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0D88AD9B"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28</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F78DCF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4.00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6AC1B869"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1,625,671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24CC755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5.78 </w:t>
            </w:r>
          </w:p>
        </w:tc>
      </w:tr>
      <w:tr w:rsidR="00286238" w:rsidRPr="00211ABC" w14:paraId="1AD9A6A1"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59827D0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1-mar.-90</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7E02F56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31-mar.-90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28CEF9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127,919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03D07436"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F06F4D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8EC936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1,625,671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26E0D860"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5.78 </w:t>
            </w:r>
          </w:p>
        </w:tc>
      </w:tr>
      <w:tr w:rsidR="00286238" w:rsidRPr="00211ABC" w14:paraId="19D61187"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2ADA3A7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1-abr.-90</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1101C81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30-abr.-90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C66D50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96,223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60084FBA"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9E7840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1C0411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1,222,860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478D7BE0"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5.78 </w:t>
            </w:r>
          </w:p>
        </w:tc>
      </w:tr>
      <w:tr w:rsidR="00286238" w:rsidRPr="00211ABC" w14:paraId="13A2E7DD"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46B27A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1-may.-90</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5DDD3A0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31-may.-90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B085B9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96,223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5AAE6E0B"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0C0930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26D671F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1,222,860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0BDF614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5.78 </w:t>
            </w:r>
          </w:p>
        </w:tc>
      </w:tr>
      <w:tr w:rsidR="00286238" w:rsidRPr="00211ABC" w14:paraId="3904BF04"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6BA5B65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1-jun.-90</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4F5021A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30-jun.-90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027266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96,223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08F851F9"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96D852A"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399A6F9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1,222,860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74B75A0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5.78 </w:t>
            </w:r>
          </w:p>
        </w:tc>
      </w:tr>
      <w:tr w:rsidR="00286238" w:rsidRPr="00211ABC" w14:paraId="5C9B9067"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0620D09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1-jul.-90</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33EF56B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31-jul.-90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FDFBD1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96,223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456533A8"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67B7EE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5ABF8F8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1,222,860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01F2D9D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5.78 </w:t>
            </w:r>
          </w:p>
        </w:tc>
      </w:tr>
      <w:tr w:rsidR="00286238" w:rsidRPr="00211ABC" w14:paraId="7DD6D98B"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56FF98F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1-ago.-90</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269BE22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31-ago.-90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5406C6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96,223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538C8583"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0EACC5A"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5AAE89C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1,222,860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74E7DB59"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5.78 </w:t>
            </w:r>
          </w:p>
        </w:tc>
      </w:tr>
      <w:tr w:rsidR="00286238" w:rsidRPr="00211ABC" w14:paraId="53928502"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36649F3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1-sep.-90</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4D3C9BE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30-sep.-90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934E89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96,223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6DCBF199"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400676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5E8AC42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1,222,860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0C95380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5.78 </w:t>
            </w:r>
          </w:p>
        </w:tc>
      </w:tr>
      <w:tr w:rsidR="00286238" w:rsidRPr="00211ABC" w14:paraId="5697C81A"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3705873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1-oct.-90</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6A218C5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31-oct.-90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410EDD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96,223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388253D0"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AD6173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244C1B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1,222,860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22C765C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5.78 </w:t>
            </w:r>
          </w:p>
        </w:tc>
      </w:tr>
      <w:tr w:rsidR="00286238" w:rsidRPr="00211ABC" w14:paraId="2B4AFA78"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17E46B4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1-nov.-90</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30F3865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30-nov.-90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975766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96,223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7A4BE2C5"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C4796DA"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17309A0"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1,222,860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6545368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5.78 </w:t>
            </w:r>
          </w:p>
        </w:tc>
      </w:tr>
      <w:tr w:rsidR="00286238" w:rsidRPr="00211ABC" w14:paraId="3FCFBB92"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7677A45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lastRenderedPageBreak/>
              <w:t>1-dic.-90</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66E9444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31-dic.-90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DEE009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96,223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4E994053"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845951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507513C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1,222,860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3685A31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5.78 </w:t>
            </w:r>
          </w:p>
        </w:tc>
      </w:tr>
      <w:tr w:rsidR="00286238" w:rsidRPr="00211ABC" w14:paraId="27230BC8"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1F5BABA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1-ene.-91</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1AD5EB4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31-ene.-91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BB0F8E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117,392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6F49D9DC"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F37B73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177DBC2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1,127,078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4DA752D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7.65 </w:t>
            </w:r>
          </w:p>
        </w:tc>
      </w:tr>
      <w:tr w:rsidR="00286238" w:rsidRPr="00211ABC" w14:paraId="4F20DE38"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0687B82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1-feb.-91</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1FB1328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28-feb.-91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BEBFD8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117,392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576AA68B"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28</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18415D0"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4.00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334594F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1,127,078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0F6FCD3A"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7.65 </w:t>
            </w:r>
          </w:p>
        </w:tc>
      </w:tr>
      <w:tr w:rsidR="00286238" w:rsidRPr="00211ABC" w14:paraId="419A0D65"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3AF9F45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1-mar.-91</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222094D0"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31-mar.-91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6F9C12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117,392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46741451"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E3C39C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17812C4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1,127,078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518DA259"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7.65 </w:t>
            </w:r>
          </w:p>
        </w:tc>
      </w:tr>
      <w:tr w:rsidR="00286238" w:rsidRPr="00211ABC" w14:paraId="2405438D"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E00A61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1-abr.-91</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09F0CEB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30-abr.-91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637472D"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117,392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41B27D7D"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25</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784ECD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3.57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417FCCE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1,127,078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5EE576A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7.65 </w:t>
            </w:r>
          </w:p>
        </w:tc>
      </w:tr>
      <w:tr w:rsidR="00286238" w:rsidRPr="00211ABC" w14:paraId="2229821F"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78FD471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1-may.-91</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279E545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31-may.-91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017676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117,392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1CE69850"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56DE9E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4B2931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1,127,078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01C29DB9"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7.65 </w:t>
            </w:r>
          </w:p>
        </w:tc>
      </w:tr>
      <w:tr w:rsidR="00286238" w:rsidRPr="00211ABC" w14:paraId="6D00B8DB"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2D71B6C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1-jun.-91</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7E7DE720"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30-jun.-91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F18B9F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117,392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32A36F55"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2F2DC9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A06002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1,127,078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5340837A"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7.65 </w:t>
            </w:r>
          </w:p>
        </w:tc>
      </w:tr>
      <w:tr w:rsidR="00286238" w:rsidRPr="00211ABC" w14:paraId="02B39834"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FC0AC1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1-jul.-91</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2D968BA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31-jul.-91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378605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117,392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3C146E7A"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6DF10B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66921B5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1,127,078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0E30D6F8"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7.65 </w:t>
            </w:r>
          </w:p>
        </w:tc>
      </w:tr>
      <w:tr w:rsidR="00286238" w:rsidRPr="00211ABC" w14:paraId="7A52A29E"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3EE2A78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1-ago.-91</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1841DF6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31-ago.-91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225535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117,392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5CFAAB95"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7956CD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5A7C40C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1,127,078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6BCEDF1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7.65 </w:t>
            </w:r>
          </w:p>
        </w:tc>
      </w:tr>
      <w:tr w:rsidR="00286238" w:rsidRPr="00211ABC" w14:paraId="6E609F30"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F357910"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1-sep.-91</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517249C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30-sep.-91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88557D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117,392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1E88D42A"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240140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6F4DBA18"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1,127,078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13E90B3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7.65 </w:t>
            </w:r>
          </w:p>
        </w:tc>
      </w:tr>
      <w:tr w:rsidR="00286238" w:rsidRPr="00211ABC" w14:paraId="735786D9"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0BC7DC9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1-oct.-91</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0D6652E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31-oct.-91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987AE7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117,392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553D657F"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F6B978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4DA1AA9A"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1,127,078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4E1AC07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7.65 </w:t>
            </w:r>
          </w:p>
        </w:tc>
      </w:tr>
      <w:tr w:rsidR="00286238" w:rsidRPr="00211ABC" w14:paraId="53C5E2D1"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7FDD344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1-nov.-91</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642C8FB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30-nov.-91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C934C2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117,392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59DD7618"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0084F3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9D391F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1,127,078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4492EE1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7.65 </w:t>
            </w:r>
          </w:p>
        </w:tc>
      </w:tr>
      <w:tr w:rsidR="00286238" w:rsidRPr="00211ABC" w14:paraId="246686D6"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699B57A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1-dic.-91</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077F42F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31-dic.-91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838E3A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117,392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798198E3"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BD330E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007F23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1,127,078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7BE53D1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7.65 </w:t>
            </w:r>
          </w:p>
        </w:tc>
      </w:tr>
      <w:tr w:rsidR="00286238" w:rsidRPr="00211ABC" w14:paraId="116B8B78"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0C4F789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1-ene.-92</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5FD2F3B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31-ene.-92</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ADC23F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148,853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2A5CCA4B"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4C979F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059911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1,126,867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0720D3D7"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9.70 </w:t>
            </w:r>
          </w:p>
        </w:tc>
      </w:tr>
      <w:tr w:rsidR="00286238" w:rsidRPr="00211ABC" w14:paraId="543B9486"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65D22A7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1-feb.-92</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4AB3E47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29-feb.-92</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24FB70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148,853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772DDB5D"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29</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5456BC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4.14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4345A2C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1,126,867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6182066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9.70 </w:t>
            </w:r>
          </w:p>
        </w:tc>
      </w:tr>
      <w:tr w:rsidR="00286238" w:rsidRPr="00211ABC" w14:paraId="668F2CB3"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0CBDB7F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1-mar.-92</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6548408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31-mar.-92</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FE11A5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148,853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19BB7F01"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903FA37"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38A2FA4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1,126,867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5F69528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9.70 </w:t>
            </w:r>
          </w:p>
        </w:tc>
      </w:tr>
      <w:tr w:rsidR="00286238" w:rsidRPr="00211ABC" w14:paraId="6B79B40E"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1DB2C950"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1-abr.-92</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6EE1C65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30-abr.-92</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68223D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129,005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29A59FE3"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1F3847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62D50C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976,611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13818937"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9.70 </w:t>
            </w:r>
          </w:p>
        </w:tc>
      </w:tr>
      <w:tr w:rsidR="00286238" w:rsidRPr="00211ABC" w14:paraId="3F0F52FD"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36FD7C5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1-may.-92</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3596F363"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31-may.-92</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B03ED23"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143,891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60AD3F30"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15E0EC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406A735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1,089,303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4ED7922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9.70 </w:t>
            </w:r>
          </w:p>
        </w:tc>
      </w:tr>
      <w:tr w:rsidR="00286238" w:rsidRPr="00211ABC" w14:paraId="62D7744E"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9EF85C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1-jun.-92</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04ED1E2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30-jun.-92</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7A9C03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148,853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663FCADB"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8561B5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5A637BA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1,126,867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358C4FA0"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9.70 </w:t>
            </w:r>
          </w:p>
        </w:tc>
      </w:tr>
      <w:tr w:rsidR="00286238" w:rsidRPr="00211ABC" w14:paraId="13FA8A1C"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7E95C39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1-jul.-92</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527DE10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31-jul.-92</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22ED3F0"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148,854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19856479"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D6C37F8"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2BABFFE9"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1,126,874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008546D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9.70 </w:t>
            </w:r>
          </w:p>
        </w:tc>
      </w:tr>
      <w:tr w:rsidR="00286238" w:rsidRPr="00211ABC" w14:paraId="48FA4C8D"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0D9100E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1-ago.-92</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0EDC941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31-ago.-92</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F2B1E33"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148,854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74325DCF"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B45B719"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4C8E1F4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1,126,874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035402C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9.70 </w:t>
            </w:r>
          </w:p>
        </w:tc>
      </w:tr>
      <w:tr w:rsidR="00286238" w:rsidRPr="00211ABC" w14:paraId="0851C2FD"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5579E0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1-sep.-92</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4D567D7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30-sep.-92</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A17E89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148,854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5241CE34"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1907E5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5F4B236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1,126,874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6099D37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9.70 </w:t>
            </w:r>
          </w:p>
        </w:tc>
      </w:tr>
      <w:tr w:rsidR="00286238" w:rsidRPr="00211ABC" w14:paraId="6C63C059"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3B2201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1-oct.-92</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238573A3"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31-oct.-92</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1B1FBE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148,854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341A600E"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2E3D25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2908A0C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1,126,874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4B0DD2F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9.70 </w:t>
            </w:r>
          </w:p>
        </w:tc>
      </w:tr>
      <w:tr w:rsidR="00286238" w:rsidRPr="00211ABC" w14:paraId="388AE52C"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9D6F60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1-nov.-92</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56A8CFA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30-nov.-92</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532BEC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148,854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26CD262B"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73E059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1169D7D0"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1,126,874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24890B80"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9.70 </w:t>
            </w:r>
          </w:p>
        </w:tc>
      </w:tr>
      <w:tr w:rsidR="00286238" w:rsidRPr="00211ABC" w14:paraId="7C745632"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386A140"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1-dic.-92</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1EE4ED0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31-dic.-92</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F667BD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148,854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29A9AD77"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D70773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E9A2950"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1,126,874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4B2F9BA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9.70 </w:t>
            </w:r>
          </w:p>
        </w:tc>
      </w:tr>
      <w:tr w:rsidR="00286238" w:rsidRPr="00211ABC" w14:paraId="6B0E8832"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161BC343"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1-ene.-93</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421EA7F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31-ene.-93</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D1FC67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186,068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370E95FB"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59C9F97"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24A342C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1,125,673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26461E8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12.14 </w:t>
            </w:r>
          </w:p>
        </w:tc>
      </w:tr>
      <w:tr w:rsidR="00286238" w:rsidRPr="00211ABC" w14:paraId="207B3344"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278BCDD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1-feb.-93</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3965801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28-feb.-93</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5F0906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186,068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78E1B921"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28</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68819C8"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4.00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2E51CBA0"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1,125,673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12FD74E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12.14 </w:t>
            </w:r>
          </w:p>
        </w:tc>
      </w:tr>
      <w:tr w:rsidR="00286238" w:rsidRPr="00211ABC" w14:paraId="60C65483"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316A6DA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1-mar.-93</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5AFD711D"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31-mar.-93</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7E9506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186,068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5CBD9A30"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0D1146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2009968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1,125,673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2ADFA4E9"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12.14 </w:t>
            </w:r>
          </w:p>
        </w:tc>
      </w:tr>
      <w:tr w:rsidR="00286238" w:rsidRPr="00211ABC" w14:paraId="4F97E104"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33A50593"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1-abr.-93</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5CD3A60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30-abr.-93</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E953B4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186,068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7E0FD95F"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11315C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1436A43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1,125,673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0F47C687"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12.14 </w:t>
            </w:r>
          </w:p>
        </w:tc>
      </w:tr>
      <w:tr w:rsidR="00286238" w:rsidRPr="00211ABC" w14:paraId="199F87F1"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10A0243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1-may.-93</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6A9AB3BD"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31-may.-93</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BEE3E5D"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186,068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0DDB546C"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242768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3AC9AA80"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1,125,673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659ED6B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12.14 </w:t>
            </w:r>
          </w:p>
        </w:tc>
      </w:tr>
      <w:tr w:rsidR="00286238" w:rsidRPr="00211ABC" w14:paraId="0372939A"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182EE62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1-jun.-93</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5A3FD8C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30-jun.-93</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E6B509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186,068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56004B1C"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44E543A"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2C0213D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1,125,673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66C089C7"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12.14 </w:t>
            </w:r>
          </w:p>
        </w:tc>
      </w:tr>
      <w:tr w:rsidR="00286238" w:rsidRPr="00211ABC" w14:paraId="623785CE"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5D953B8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1-jul.-93</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4119C04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31-jul.-93</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3F21E8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186,068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4A8A5731"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83FE27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5DEFB9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1,125,673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5667ABD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12.14 </w:t>
            </w:r>
          </w:p>
        </w:tc>
      </w:tr>
      <w:tr w:rsidR="00286238" w:rsidRPr="00211ABC" w14:paraId="11FD8262"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07152CF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1-ago.-93</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526AE69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31-ago.-93</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A1DB13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186,068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1024237C"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5720EB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13AC0F1A"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1,125,673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4ACC12E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12.14 </w:t>
            </w:r>
          </w:p>
        </w:tc>
      </w:tr>
      <w:tr w:rsidR="00286238" w:rsidRPr="00211ABC" w14:paraId="61D18F1F"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57F9D0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1-sep.-93</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4BB6FA1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30-sep.-93</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5A43BB0"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186,068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48929CCA"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B95C0A8"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B0CCD9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1,125,673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3538DF0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12.14 </w:t>
            </w:r>
          </w:p>
        </w:tc>
      </w:tr>
      <w:tr w:rsidR="00286238" w:rsidRPr="00211ABC" w14:paraId="3B1EB3BA"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3F6C883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1-oct.-93</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41B21AF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31-oct.-93</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8C15B0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186,068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5CCE31EC"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D5E19C7"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4E0FC879"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1,125,673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4E8ABA6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12.14 </w:t>
            </w:r>
          </w:p>
        </w:tc>
      </w:tr>
      <w:tr w:rsidR="00286238" w:rsidRPr="00211ABC" w14:paraId="636710BF"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23E1AF0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1-nov.-93</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24046BD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30-nov.-93</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8A92DA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193,560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6D4A569B"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7E975D0"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32598FF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1,170,998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30F5DE8A"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12.14 </w:t>
            </w:r>
          </w:p>
        </w:tc>
      </w:tr>
      <w:tr w:rsidR="00286238" w:rsidRPr="00211ABC" w14:paraId="09100114"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03FA6D9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1-dic.-93</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394A290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31-dic.-93</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D147A6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201,052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45A7EC13"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618731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303F93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1,216,323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4A7BC3B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12.14 </w:t>
            </w:r>
          </w:p>
        </w:tc>
      </w:tr>
      <w:tr w:rsidR="00286238" w:rsidRPr="00211ABC" w14:paraId="6FBB5171"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6060C3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1-ene.-94</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710FA3C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31-ene.-94</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00ABE3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247,296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372F40EF"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ADAD037"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2772A8B8"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1,220,222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74BF7368"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14.89 </w:t>
            </w:r>
          </w:p>
        </w:tc>
      </w:tr>
      <w:tr w:rsidR="00286238" w:rsidRPr="00211ABC" w14:paraId="146169C1"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0030553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1-feb.-94</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5941C78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28-feb.-94</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B8FF70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247,296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6D05D616"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28</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3F2E97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4.00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68F2CA80"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1,220,222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454F75A7"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14.89 </w:t>
            </w:r>
          </w:p>
        </w:tc>
      </w:tr>
      <w:tr w:rsidR="00286238" w:rsidRPr="00211ABC" w14:paraId="3C5831BE"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7822BBA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1-mar.-94</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678695E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31-mar.-94</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132298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247,296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6C6FA24A"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1B1DBF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6F500F3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1,220,222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6D644FD9"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14.89 </w:t>
            </w:r>
          </w:p>
        </w:tc>
      </w:tr>
      <w:tr w:rsidR="00286238" w:rsidRPr="00211ABC" w14:paraId="2F82E011"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1E790DE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1-abr.-94</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251651F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30-abr.-94</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45474A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247,296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170B5241"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85F549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6C3C070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1,220,222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55E78FC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14.89 </w:t>
            </w:r>
          </w:p>
        </w:tc>
      </w:tr>
      <w:tr w:rsidR="00286238" w:rsidRPr="00211ABC" w14:paraId="13224271"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4ADAB6C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1-may.-94</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43A3D36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31-may.-94</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EF1023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247,296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7EEEA083"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390CC2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4F408A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1,220,222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20FC890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14.89 </w:t>
            </w:r>
          </w:p>
        </w:tc>
      </w:tr>
      <w:tr w:rsidR="00286238" w:rsidRPr="00211ABC" w14:paraId="2D75E57B"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245B9B8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1-jun.-94</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696B5A6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30-jun.-94</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677BD4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247,296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4AA5AF9A"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14E7A1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4AAF9C3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1,220,222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4E083F6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14.89 </w:t>
            </w:r>
          </w:p>
        </w:tc>
      </w:tr>
      <w:tr w:rsidR="00286238" w:rsidRPr="00211ABC" w14:paraId="0413260A"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1EF171F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1-jul.-94</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2FAD886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31-jul.-94</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F571E2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247,296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3C2BA6BD"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1A876D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66E3788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1,220,222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3F92F6C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14.89 </w:t>
            </w:r>
          </w:p>
        </w:tc>
      </w:tr>
      <w:tr w:rsidR="00286238" w:rsidRPr="00211ABC" w14:paraId="01838999"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6DA7020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1-ago.-94</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3B04DF4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31-ago.-94</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4F70EB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247,296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54FBA352"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4B566C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4E344F3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1,220,222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47CF949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14.89 </w:t>
            </w:r>
          </w:p>
        </w:tc>
      </w:tr>
      <w:tr w:rsidR="00286238" w:rsidRPr="00211ABC" w14:paraId="388A4ED7"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2E425CE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1-sep.-94</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42F36EE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30-sep.-94</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FF2567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247,296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5EECF557"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38CF51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11A2DE6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1,220,222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3039E81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14.89 </w:t>
            </w:r>
          </w:p>
        </w:tc>
      </w:tr>
      <w:tr w:rsidR="00286238" w:rsidRPr="00211ABC" w14:paraId="798F4F76"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2CFF71B0"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1-oct.-94</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5EB92FC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31-oct.-94</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16A99A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255,951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71960DAF"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497E73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28EED7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1,262,928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7039EEE9"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14.89 </w:t>
            </w:r>
          </w:p>
        </w:tc>
      </w:tr>
      <w:tr w:rsidR="00286238" w:rsidRPr="00211ABC" w14:paraId="7F52F0E0"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09E8549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1-nov.-94</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3101B59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30-nov.-94</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99F428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264,607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5DC93B58"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BF67F2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A79C3E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1,305,639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7C5C631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14.89 </w:t>
            </w:r>
          </w:p>
        </w:tc>
      </w:tr>
      <w:tr w:rsidR="00286238" w:rsidRPr="00211ABC" w14:paraId="33286351"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2BEFBB23"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1-dic.-94</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26EAE7A3"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31-dic.-94</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CC51B5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264,607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50B71BF1"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BB7DAF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4.43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759386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1,305,639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34D6E553"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14.89 </w:t>
            </w:r>
          </w:p>
        </w:tc>
      </w:tr>
      <w:tr w:rsidR="00286238" w:rsidRPr="00211ABC" w14:paraId="33E8C60E"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2F76DCD0"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1-ene.-95</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7E01EEDA"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31-ene.-95</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B35127D"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327,028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2E131177"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C91C3B8"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6F0E3A3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1,316,227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0FDD328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18.25 </w:t>
            </w:r>
          </w:p>
        </w:tc>
      </w:tr>
      <w:tr w:rsidR="00286238" w:rsidRPr="00211ABC" w14:paraId="74AAAC0A"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0402CC7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1-feb.-95</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7A6AF91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28-feb.-95</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4E233CD"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327,028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24EA40E0"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9C79F8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A3FC2D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1,316,227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4B220F1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18.25 </w:t>
            </w:r>
          </w:p>
        </w:tc>
      </w:tr>
      <w:tr w:rsidR="00286238" w:rsidRPr="00211ABC" w14:paraId="5AA66A1C"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5296FA0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1-mar.-95</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0503159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31-mar.-95</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6260386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327,028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20603BCE"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6E321C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7292D3B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1,316,227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05D1BF59"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18.25 </w:t>
            </w:r>
          </w:p>
        </w:tc>
      </w:tr>
      <w:tr w:rsidR="00286238" w:rsidRPr="00211ABC" w14:paraId="546A89E3"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3D41978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1-may.-95</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185EEA5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31-may.-95</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C50CC5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160,000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12BC236A"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6A74C0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6B1BD2E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643,971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2576AA28"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18.25 </w:t>
            </w:r>
          </w:p>
        </w:tc>
      </w:tr>
      <w:tr w:rsidR="00286238" w:rsidRPr="00211ABC" w14:paraId="338786A6"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16389CA3"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1-jun.-95</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14DDE485"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30-jun.-95</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F948AD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160,000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209F7A14"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211B238A"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292F298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643,971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11598D1F"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18.25 </w:t>
            </w:r>
          </w:p>
        </w:tc>
      </w:tr>
      <w:tr w:rsidR="00286238" w:rsidRPr="00211ABC" w14:paraId="79AB4D1D"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71456478"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1-jul.-95</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0E2C4B7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31-jul.-95</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4575E5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160,000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36CBB242"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F8268B7"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8F80D0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643,971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2F1953A9"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18.25 </w:t>
            </w:r>
          </w:p>
        </w:tc>
      </w:tr>
      <w:tr w:rsidR="00286238" w:rsidRPr="00211ABC" w14:paraId="0C996622"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3BBA3FC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1-ago.-95</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732CB07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31-ago.-95</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479DD62"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160,000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222EB5AC"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4FC3C61"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0BA55E96"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643,971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622A5205"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18.25 </w:t>
            </w:r>
          </w:p>
        </w:tc>
      </w:tr>
      <w:tr w:rsidR="00286238" w:rsidRPr="00211ABC" w14:paraId="78C65638"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73EFD16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1-sep.-95</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52427A2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30-sep.-95</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B55C4B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160,000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0468C5C7"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42780B3B"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1253A928"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643,971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2E8D2B6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18.25 </w:t>
            </w:r>
          </w:p>
        </w:tc>
      </w:tr>
      <w:tr w:rsidR="00286238" w:rsidRPr="00211ABC" w14:paraId="7AB70175"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6BE699B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1-dic.-95</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08A375DF"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31-dic.-95</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01ED99A6"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160,000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132C1A2C"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DF4CB8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5331A83A"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643,971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330FA844"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18.25 </w:t>
            </w:r>
          </w:p>
        </w:tc>
      </w:tr>
      <w:tr w:rsidR="00286238" w:rsidRPr="00211ABC" w14:paraId="1D928C40"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59BFCDA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1-abr.-96</w:t>
            </w:r>
          </w:p>
        </w:tc>
        <w:tc>
          <w:tcPr>
            <w:tcW w:w="714" w:type="pct"/>
            <w:tcBorders>
              <w:top w:val="nil"/>
              <w:left w:val="nil"/>
              <w:bottom w:val="single" w:sz="4" w:space="0" w:color="70493D"/>
              <w:right w:val="single" w:sz="4" w:space="0" w:color="70493D"/>
            </w:tcBorders>
            <w:shd w:val="clear" w:color="auto" w:fill="FFFFFF" w:themeFill="background1"/>
            <w:vAlign w:val="center"/>
            <w:hideMark/>
          </w:tcPr>
          <w:p w14:paraId="2E416C17"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30-abr.-96</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1EDC81D4"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160,000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0C6D62D5"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5B753D6D"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3BC25358"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539,034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29041B28"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21.80 </w:t>
            </w:r>
          </w:p>
        </w:tc>
      </w:tr>
      <w:tr w:rsidR="00286238" w:rsidRPr="00211ABC" w14:paraId="022B1C3B" w14:textId="77777777" w:rsidTr="00286238">
        <w:trPr>
          <w:jc w:val="right"/>
        </w:trPr>
        <w:tc>
          <w:tcPr>
            <w:tcW w:w="714" w:type="pct"/>
            <w:tcBorders>
              <w:top w:val="single" w:sz="4" w:space="0" w:color="70493D"/>
              <w:left w:val="single" w:sz="8" w:space="0" w:color="70493D"/>
              <w:bottom w:val="single" w:sz="4" w:space="0" w:color="70493D"/>
              <w:right w:val="single" w:sz="4" w:space="0" w:color="70493D"/>
            </w:tcBorders>
            <w:shd w:val="clear" w:color="auto" w:fill="FFFFFF" w:themeFill="background1"/>
            <w:vAlign w:val="center"/>
            <w:hideMark/>
          </w:tcPr>
          <w:p w14:paraId="1A1B2801"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1-may.-96</w:t>
            </w:r>
          </w:p>
        </w:tc>
        <w:tc>
          <w:tcPr>
            <w:tcW w:w="714" w:type="pct"/>
            <w:tcBorders>
              <w:top w:val="nil"/>
              <w:left w:val="nil"/>
              <w:bottom w:val="nil"/>
              <w:right w:val="single" w:sz="4" w:space="0" w:color="70493D"/>
            </w:tcBorders>
            <w:shd w:val="clear" w:color="auto" w:fill="FFFFFF" w:themeFill="background1"/>
            <w:vAlign w:val="center"/>
            <w:hideMark/>
          </w:tcPr>
          <w:p w14:paraId="1EDA5D0C"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31-may.-96</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3A304F0E"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160,000 </w:t>
            </w:r>
          </w:p>
        </w:tc>
        <w:tc>
          <w:tcPr>
            <w:tcW w:w="714" w:type="pct"/>
            <w:tcBorders>
              <w:top w:val="single" w:sz="4" w:space="0" w:color="70493D"/>
              <w:left w:val="nil"/>
              <w:bottom w:val="nil"/>
              <w:right w:val="single" w:sz="4" w:space="0" w:color="70493D"/>
            </w:tcBorders>
            <w:shd w:val="clear" w:color="auto" w:fill="FFFFFF" w:themeFill="background1"/>
            <w:noWrap/>
            <w:vAlign w:val="center"/>
            <w:hideMark/>
          </w:tcPr>
          <w:p w14:paraId="6A55A0AD"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30</w:t>
            </w:r>
          </w:p>
        </w:tc>
        <w:tc>
          <w:tcPr>
            <w:tcW w:w="715" w:type="pct"/>
            <w:tcBorders>
              <w:top w:val="nil"/>
              <w:left w:val="nil"/>
              <w:bottom w:val="single" w:sz="4" w:space="0" w:color="70493D"/>
              <w:right w:val="single" w:sz="4" w:space="0" w:color="70493D"/>
            </w:tcBorders>
            <w:shd w:val="clear" w:color="auto" w:fill="FFFFFF" w:themeFill="background1"/>
            <w:noWrap/>
            <w:vAlign w:val="center"/>
            <w:hideMark/>
          </w:tcPr>
          <w:p w14:paraId="72020FD2"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4.29 </w:t>
            </w:r>
          </w:p>
        </w:tc>
        <w:tc>
          <w:tcPr>
            <w:tcW w:w="714" w:type="pct"/>
            <w:tcBorders>
              <w:top w:val="nil"/>
              <w:left w:val="nil"/>
              <w:bottom w:val="single" w:sz="4" w:space="0" w:color="70493D"/>
              <w:right w:val="single" w:sz="4" w:space="0" w:color="70493D"/>
            </w:tcBorders>
            <w:shd w:val="clear" w:color="auto" w:fill="FFFFFF" w:themeFill="background1"/>
            <w:noWrap/>
            <w:vAlign w:val="center"/>
            <w:hideMark/>
          </w:tcPr>
          <w:p w14:paraId="5425D89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539,034 </w:t>
            </w:r>
          </w:p>
        </w:tc>
        <w:tc>
          <w:tcPr>
            <w:tcW w:w="715" w:type="pct"/>
            <w:tcBorders>
              <w:top w:val="single" w:sz="4" w:space="0" w:color="70493D"/>
              <w:left w:val="single" w:sz="4" w:space="0" w:color="70493D"/>
              <w:bottom w:val="single" w:sz="4" w:space="0" w:color="70493D"/>
              <w:right w:val="single" w:sz="8" w:space="0" w:color="70493D"/>
            </w:tcBorders>
            <w:shd w:val="clear" w:color="auto" w:fill="FFFFFF" w:themeFill="background1"/>
            <w:noWrap/>
            <w:vAlign w:val="center"/>
            <w:hideMark/>
          </w:tcPr>
          <w:p w14:paraId="4AF3B31C"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21.80 </w:t>
            </w:r>
          </w:p>
        </w:tc>
      </w:tr>
      <w:tr w:rsidR="00286238" w:rsidRPr="00211ABC" w14:paraId="26C836ED" w14:textId="77777777" w:rsidTr="00286238">
        <w:trPr>
          <w:jc w:val="right"/>
        </w:trPr>
        <w:tc>
          <w:tcPr>
            <w:tcW w:w="714" w:type="pct"/>
            <w:tcBorders>
              <w:top w:val="single" w:sz="4" w:space="0" w:color="70493D"/>
              <w:left w:val="single" w:sz="8" w:space="0" w:color="70493D"/>
              <w:bottom w:val="single" w:sz="8" w:space="0" w:color="70493D"/>
              <w:right w:val="single" w:sz="4" w:space="0" w:color="70493D"/>
            </w:tcBorders>
            <w:shd w:val="clear" w:color="auto" w:fill="FFFFFF" w:themeFill="background1"/>
            <w:vAlign w:val="center"/>
            <w:hideMark/>
          </w:tcPr>
          <w:p w14:paraId="4AE6BBDB"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1-sep.-02</w:t>
            </w:r>
          </w:p>
        </w:tc>
        <w:tc>
          <w:tcPr>
            <w:tcW w:w="714" w:type="pct"/>
            <w:tcBorders>
              <w:top w:val="single" w:sz="4" w:space="0" w:color="70493D"/>
              <w:left w:val="single" w:sz="4" w:space="0" w:color="70493D"/>
              <w:bottom w:val="single" w:sz="8" w:space="0" w:color="70493D"/>
              <w:right w:val="single" w:sz="4" w:space="0" w:color="70493D"/>
            </w:tcBorders>
            <w:shd w:val="clear" w:color="auto" w:fill="FFFFFF" w:themeFill="background1"/>
            <w:vAlign w:val="center"/>
            <w:hideMark/>
          </w:tcPr>
          <w:p w14:paraId="10C191C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1-sep.-02</w:t>
            </w:r>
          </w:p>
        </w:tc>
        <w:tc>
          <w:tcPr>
            <w:tcW w:w="715" w:type="pct"/>
            <w:tcBorders>
              <w:top w:val="single" w:sz="4" w:space="0" w:color="70493D"/>
              <w:left w:val="single" w:sz="4" w:space="0" w:color="70493D"/>
              <w:bottom w:val="single" w:sz="8" w:space="0" w:color="70493D"/>
              <w:right w:val="single" w:sz="4" w:space="0" w:color="70493D"/>
            </w:tcBorders>
            <w:shd w:val="clear" w:color="auto" w:fill="FFFFFF" w:themeFill="background1"/>
            <w:noWrap/>
            <w:vAlign w:val="center"/>
            <w:hideMark/>
          </w:tcPr>
          <w:p w14:paraId="6D029299" w14:textId="77777777" w:rsidR="00286238" w:rsidRPr="00211ABC" w:rsidRDefault="00286238" w:rsidP="00286238">
            <w:pPr>
              <w:spacing w:line="240" w:lineRule="auto"/>
              <w:jc w:val="righ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10,300 </w:t>
            </w:r>
          </w:p>
        </w:tc>
        <w:tc>
          <w:tcPr>
            <w:tcW w:w="714" w:type="pct"/>
            <w:tcBorders>
              <w:top w:val="single" w:sz="4" w:space="0" w:color="70493D"/>
              <w:left w:val="single" w:sz="4" w:space="0" w:color="70493D"/>
              <w:bottom w:val="single" w:sz="8" w:space="0" w:color="70493D"/>
              <w:right w:val="single" w:sz="4" w:space="0" w:color="70493D"/>
            </w:tcBorders>
            <w:shd w:val="clear" w:color="auto" w:fill="FFFFFF" w:themeFill="background1"/>
            <w:noWrap/>
            <w:vAlign w:val="center"/>
            <w:hideMark/>
          </w:tcPr>
          <w:p w14:paraId="16BEFBD5" w14:textId="77777777" w:rsidR="00286238" w:rsidRPr="00211ABC" w:rsidRDefault="00286238" w:rsidP="00286238">
            <w:pPr>
              <w:spacing w:line="240" w:lineRule="auto"/>
              <w:jc w:val="center"/>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1</w:t>
            </w:r>
          </w:p>
        </w:tc>
        <w:tc>
          <w:tcPr>
            <w:tcW w:w="715" w:type="pct"/>
            <w:tcBorders>
              <w:top w:val="single" w:sz="4" w:space="0" w:color="70493D"/>
              <w:left w:val="single" w:sz="4" w:space="0" w:color="70493D"/>
              <w:bottom w:val="single" w:sz="8" w:space="0" w:color="70493D"/>
              <w:right w:val="single" w:sz="4" w:space="0" w:color="70493D"/>
            </w:tcBorders>
            <w:shd w:val="clear" w:color="auto" w:fill="FFFFFF" w:themeFill="background1"/>
            <w:noWrap/>
            <w:vAlign w:val="center"/>
            <w:hideMark/>
          </w:tcPr>
          <w:p w14:paraId="37CFE4C9"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0.14 </w:t>
            </w:r>
          </w:p>
        </w:tc>
        <w:tc>
          <w:tcPr>
            <w:tcW w:w="714" w:type="pct"/>
            <w:tcBorders>
              <w:top w:val="single" w:sz="4" w:space="0" w:color="70493D"/>
              <w:left w:val="single" w:sz="4" w:space="0" w:color="70493D"/>
              <w:bottom w:val="single" w:sz="8" w:space="0" w:color="70493D"/>
              <w:right w:val="single" w:sz="4" w:space="0" w:color="70493D"/>
            </w:tcBorders>
            <w:shd w:val="clear" w:color="auto" w:fill="FFFFFF" w:themeFill="background1"/>
            <w:noWrap/>
            <w:vAlign w:val="center"/>
            <w:hideMark/>
          </w:tcPr>
          <w:p w14:paraId="3D88B4A8"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16,244 </w:t>
            </w:r>
          </w:p>
        </w:tc>
        <w:tc>
          <w:tcPr>
            <w:tcW w:w="715" w:type="pct"/>
            <w:tcBorders>
              <w:top w:val="single" w:sz="4" w:space="0" w:color="70493D"/>
              <w:left w:val="single" w:sz="4" w:space="0" w:color="70493D"/>
              <w:bottom w:val="single" w:sz="8" w:space="0" w:color="70493D"/>
              <w:right w:val="single" w:sz="8" w:space="0" w:color="70493D"/>
            </w:tcBorders>
            <w:shd w:val="clear" w:color="auto" w:fill="FFFFFF" w:themeFill="background1"/>
            <w:noWrap/>
            <w:vAlign w:val="center"/>
            <w:hideMark/>
          </w:tcPr>
          <w:p w14:paraId="40876F5E" w14:textId="77777777" w:rsidR="00286238" w:rsidRPr="00211ABC" w:rsidRDefault="00286238" w:rsidP="00286238">
            <w:pPr>
              <w:spacing w:line="240" w:lineRule="auto"/>
              <w:jc w:val="left"/>
              <w:rPr>
                <w:rFonts w:ascii="Tahoma" w:eastAsia="Times New Roman" w:hAnsi="Tahoma" w:cs="Tahoma"/>
                <w:sz w:val="16"/>
                <w:szCs w:val="16"/>
                <w:lang w:val="es-419" w:eastAsia="es-419"/>
              </w:rPr>
            </w:pPr>
            <w:r w:rsidRPr="00211ABC">
              <w:rPr>
                <w:rFonts w:ascii="Tahoma" w:eastAsia="Times New Roman" w:hAnsi="Tahoma" w:cs="Tahoma"/>
                <w:sz w:val="16"/>
                <w:szCs w:val="16"/>
                <w:lang w:val="es-419" w:eastAsia="es-419"/>
              </w:rPr>
              <w:t xml:space="preserve"> 46.58 </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565"/>
      </w:tblGrid>
      <w:tr w:rsidR="00286238" w:rsidRPr="00211ABC" w14:paraId="459B41FF" w14:textId="77777777" w:rsidTr="001E6CC1">
        <w:tc>
          <w:tcPr>
            <w:tcW w:w="2263" w:type="dxa"/>
          </w:tcPr>
          <w:p w14:paraId="3131F4E0" w14:textId="10BA56E6" w:rsidR="00286238" w:rsidRPr="00211ABC" w:rsidRDefault="00286238">
            <w:pPr>
              <w:rPr>
                <w:rFonts w:ascii="Tahoma" w:hAnsi="Tahoma" w:cs="Tahoma"/>
              </w:rPr>
            </w:pPr>
          </w:p>
          <w:p w14:paraId="57A477B7" w14:textId="5B91903B" w:rsidR="00286238" w:rsidRPr="00211ABC" w:rsidRDefault="00286238">
            <w:pPr>
              <w:rPr>
                <w:rFonts w:ascii="Tahoma" w:hAnsi="Tahoma" w:cs="Tahoma"/>
              </w:rPr>
            </w:pPr>
          </w:p>
          <w:p w14:paraId="7A56FEB9" w14:textId="77777777" w:rsidR="00286238" w:rsidRPr="00211ABC" w:rsidRDefault="00286238">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70"/>
              <w:gridCol w:w="1467"/>
            </w:tblGrid>
            <w:tr w:rsidR="00286238" w:rsidRPr="00211ABC" w14:paraId="0253123A" w14:textId="77777777" w:rsidTr="00286238">
              <w:trPr>
                <w:trHeight w:val="240"/>
              </w:trPr>
              <w:tc>
                <w:tcPr>
                  <w:tcW w:w="1400" w:type="pct"/>
                  <w:shd w:val="clear" w:color="auto" w:fill="FFFFFF" w:themeFill="background1"/>
                  <w:noWrap/>
                  <w:vAlign w:val="bottom"/>
                  <w:hideMark/>
                </w:tcPr>
                <w:p w14:paraId="7CA8D06D" w14:textId="77777777"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Año</w:t>
                  </w:r>
                </w:p>
              </w:tc>
              <w:tc>
                <w:tcPr>
                  <w:tcW w:w="3600" w:type="pct"/>
                  <w:shd w:val="clear" w:color="auto" w:fill="FFFFFF" w:themeFill="background1"/>
                  <w:noWrap/>
                  <w:vAlign w:val="bottom"/>
                  <w:hideMark/>
                </w:tcPr>
                <w:p w14:paraId="1A64089F" w14:textId="77777777"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 xml:space="preserve">Valor </w:t>
                  </w:r>
                </w:p>
                <w:p w14:paraId="7350EAF8" w14:textId="6AC4C91B"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mesada</w:t>
                  </w:r>
                </w:p>
              </w:tc>
            </w:tr>
            <w:tr w:rsidR="00286238" w:rsidRPr="00211ABC" w14:paraId="6195F36A" w14:textId="77777777" w:rsidTr="00286238">
              <w:trPr>
                <w:trHeight w:val="240"/>
              </w:trPr>
              <w:tc>
                <w:tcPr>
                  <w:tcW w:w="1400" w:type="pct"/>
                  <w:shd w:val="clear" w:color="auto" w:fill="FFFFFF" w:themeFill="background1"/>
                  <w:noWrap/>
                  <w:vAlign w:val="center"/>
                  <w:hideMark/>
                </w:tcPr>
                <w:p w14:paraId="47EEDE5D"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2011</w:t>
                  </w:r>
                </w:p>
              </w:tc>
              <w:tc>
                <w:tcPr>
                  <w:tcW w:w="3600" w:type="pct"/>
                  <w:shd w:val="clear" w:color="auto" w:fill="FFFFFF" w:themeFill="background1"/>
                  <w:vAlign w:val="center"/>
                  <w:hideMark/>
                </w:tcPr>
                <w:p w14:paraId="31D55E78"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862,591 </w:t>
                  </w:r>
                </w:p>
              </w:tc>
            </w:tr>
            <w:tr w:rsidR="00286238" w:rsidRPr="00211ABC" w14:paraId="7A215712" w14:textId="77777777" w:rsidTr="00286238">
              <w:trPr>
                <w:trHeight w:val="240"/>
              </w:trPr>
              <w:tc>
                <w:tcPr>
                  <w:tcW w:w="1400" w:type="pct"/>
                  <w:shd w:val="clear" w:color="auto" w:fill="FFFFFF" w:themeFill="background1"/>
                  <w:noWrap/>
                  <w:vAlign w:val="center"/>
                  <w:hideMark/>
                </w:tcPr>
                <w:p w14:paraId="50A810D5"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2012</w:t>
                  </w:r>
                </w:p>
              </w:tc>
              <w:tc>
                <w:tcPr>
                  <w:tcW w:w="3600" w:type="pct"/>
                  <w:shd w:val="clear" w:color="auto" w:fill="FFFFFF" w:themeFill="background1"/>
                  <w:vAlign w:val="center"/>
                  <w:hideMark/>
                </w:tcPr>
                <w:p w14:paraId="5A9AA7B9"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894,766 </w:t>
                  </w:r>
                </w:p>
              </w:tc>
            </w:tr>
            <w:tr w:rsidR="00286238" w:rsidRPr="00211ABC" w14:paraId="32C175A2" w14:textId="77777777" w:rsidTr="00286238">
              <w:trPr>
                <w:trHeight w:val="240"/>
              </w:trPr>
              <w:tc>
                <w:tcPr>
                  <w:tcW w:w="1400" w:type="pct"/>
                  <w:shd w:val="clear" w:color="auto" w:fill="FFFFFF" w:themeFill="background1"/>
                  <w:noWrap/>
                  <w:vAlign w:val="center"/>
                  <w:hideMark/>
                </w:tcPr>
                <w:p w14:paraId="6C1638D6"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2013</w:t>
                  </w:r>
                </w:p>
              </w:tc>
              <w:tc>
                <w:tcPr>
                  <w:tcW w:w="3600" w:type="pct"/>
                  <w:shd w:val="clear" w:color="auto" w:fill="FFFFFF" w:themeFill="background1"/>
                  <w:vAlign w:val="center"/>
                  <w:hideMark/>
                </w:tcPr>
                <w:p w14:paraId="2B8F47C7"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916,598 </w:t>
                  </w:r>
                </w:p>
              </w:tc>
            </w:tr>
            <w:tr w:rsidR="00286238" w:rsidRPr="00211ABC" w14:paraId="0016DB37" w14:textId="77777777" w:rsidTr="00286238">
              <w:trPr>
                <w:trHeight w:val="240"/>
              </w:trPr>
              <w:tc>
                <w:tcPr>
                  <w:tcW w:w="1400" w:type="pct"/>
                  <w:shd w:val="clear" w:color="auto" w:fill="FFFFFF" w:themeFill="background1"/>
                  <w:noWrap/>
                  <w:vAlign w:val="center"/>
                  <w:hideMark/>
                </w:tcPr>
                <w:p w14:paraId="42CAA79C"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2014</w:t>
                  </w:r>
                </w:p>
              </w:tc>
              <w:tc>
                <w:tcPr>
                  <w:tcW w:w="3600" w:type="pct"/>
                  <w:shd w:val="clear" w:color="auto" w:fill="FFFFFF" w:themeFill="background1"/>
                  <w:vAlign w:val="center"/>
                  <w:hideMark/>
                </w:tcPr>
                <w:p w14:paraId="738CEAC1"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934,380 </w:t>
                  </w:r>
                </w:p>
              </w:tc>
            </w:tr>
            <w:tr w:rsidR="00286238" w:rsidRPr="00211ABC" w14:paraId="308E5522" w14:textId="77777777" w:rsidTr="00286238">
              <w:trPr>
                <w:trHeight w:val="240"/>
              </w:trPr>
              <w:tc>
                <w:tcPr>
                  <w:tcW w:w="1400" w:type="pct"/>
                  <w:shd w:val="clear" w:color="auto" w:fill="FFFFFF" w:themeFill="background1"/>
                  <w:noWrap/>
                  <w:vAlign w:val="center"/>
                  <w:hideMark/>
                </w:tcPr>
                <w:p w14:paraId="07E46C14"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2015</w:t>
                  </w:r>
                </w:p>
              </w:tc>
              <w:tc>
                <w:tcPr>
                  <w:tcW w:w="3600" w:type="pct"/>
                  <w:shd w:val="clear" w:color="auto" w:fill="FFFFFF" w:themeFill="background1"/>
                  <w:vAlign w:val="center"/>
                  <w:hideMark/>
                </w:tcPr>
                <w:p w14:paraId="6112FD5A"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968,578 </w:t>
                  </w:r>
                </w:p>
              </w:tc>
            </w:tr>
            <w:tr w:rsidR="00286238" w:rsidRPr="00211ABC" w14:paraId="6F9E3540" w14:textId="77777777" w:rsidTr="00286238">
              <w:trPr>
                <w:trHeight w:val="240"/>
              </w:trPr>
              <w:tc>
                <w:tcPr>
                  <w:tcW w:w="1400" w:type="pct"/>
                  <w:shd w:val="clear" w:color="auto" w:fill="FFFFFF" w:themeFill="background1"/>
                  <w:noWrap/>
                  <w:vAlign w:val="center"/>
                  <w:hideMark/>
                </w:tcPr>
                <w:p w14:paraId="5F64CF25"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2016</w:t>
                  </w:r>
                </w:p>
              </w:tc>
              <w:tc>
                <w:tcPr>
                  <w:tcW w:w="3600" w:type="pct"/>
                  <w:shd w:val="clear" w:color="auto" w:fill="FFFFFF" w:themeFill="background1"/>
                  <w:vAlign w:val="center"/>
                  <w:hideMark/>
                </w:tcPr>
                <w:p w14:paraId="396B9775"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1,034,151 </w:t>
                  </w:r>
                </w:p>
              </w:tc>
            </w:tr>
            <w:tr w:rsidR="00286238" w:rsidRPr="00211ABC" w14:paraId="6F8D1829" w14:textId="77777777" w:rsidTr="00286238">
              <w:trPr>
                <w:trHeight w:val="240"/>
              </w:trPr>
              <w:tc>
                <w:tcPr>
                  <w:tcW w:w="1400" w:type="pct"/>
                  <w:shd w:val="clear" w:color="auto" w:fill="FFFFFF" w:themeFill="background1"/>
                  <w:noWrap/>
                  <w:vAlign w:val="center"/>
                  <w:hideMark/>
                </w:tcPr>
                <w:p w14:paraId="236DB89C"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lastRenderedPageBreak/>
                    <w:t>2017</w:t>
                  </w:r>
                </w:p>
              </w:tc>
              <w:tc>
                <w:tcPr>
                  <w:tcW w:w="3600" w:type="pct"/>
                  <w:shd w:val="clear" w:color="auto" w:fill="FFFFFF" w:themeFill="background1"/>
                  <w:vAlign w:val="center"/>
                  <w:hideMark/>
                </w:tcPr>
                <w:p w14:paraId="435002ED"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1,093,615 </w:t>
                  </w:r>
                </w:p>
              </w:tc>
            </w:tr>
            <w:tr w:rsidR="00286238" w:rsidRPr="00211ABC" w14:paraId="435A03C4" w14:textId="77777777" w:rsidTr="00286238">
              <w:trPr>
                <w:trHeight w:val="240"/>
              </w:trPr>
              <w:tc>
                <w:tcPr>
                  <w:tcW w:w="1400" w:type="pct"/>
                  <w:shd w:val="clear" w:color="auto" w:fill="FFFFFF" w:themeFill="background1"/>
                  <w:noWrap/>
                  <w:vAlign w:val="center"/>
                  <w:hideMark/>
                </w:tcPr>
                <w:p w14:paraId="12E4C379"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2018</w:t>
                  </w:r>
                </w:p>
              </w:tc>
              <w:tc>
                <w:tcPr>
                  <w:tcW w:w="3600" w:type="pct"/>
                  <w:shd w:val="clear" w:color="auto" w:fill="FFFFFF" w:themeFill="background1"/>
                  <w:vAlign w:val="center"/>
                  <w:hideMark/>
                </w:tcPr>
                <w:p w14:paraId="6D2BC60E"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1,138,343 </w:t>
                  </w:r>
                </w:p>
              </w:tc>
            </w:tr>
            <w:tr w:rsidR="00286238" w:rsidRPr="00211ABC" w14:paraId="5B9C76AA" w14:textId="77777777" w:rsidTr="00286238">
              <w:trPr>
                <w:trHeight w:val="240"/>
              </w:trPr>
              <w:tc>
                <w:tcPr>
                  <w:tcW w:w="1400" w:type="pct"/>
                  <w:shd w:val="clear" w:color="auto" w:fill="FFFFFF" w:themeFill="background1"/>
                  <w:noWrap/>
                  <w:vAlign w:val="center"/>
                  <w:hideMark/>
                </w:tcPr>
                <w:p w14:paraId="6F4F59A1"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2019</w:t>
                  </w:r>
                </w:p>
              </w:tc>
              <w:tc>
                <w:tcPr>
                  <w:tcW w:w="3600" w:type="pct"/>
                  <w:shd w:val="clear" w:color="auto" w:fill="FFFFFF" w:themeFill="background1"/>
                  <w:vAlign w:val="center"/>
                  <w:hideMark/>
                </w:tcPr>
                <w:p w14:paraId="522E771D"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1,174,543 </w:t>
                  </w:r>
                </w:p>
              </w:tc>
            </w:tr>
            <w:tr w:rsidR="00286238" w:rsidRPr="00211ABC" w14:paraId="14C5379F" w14:textId="77777777" w:rsidTr="00286238">
              <w:trPr>
                <w:trHeight w:val="240"/>
              </w:trPr>
              <w:tc>
                <w:tcPr>
                  <w:tcW w:w="1400" w:type="pct"/>
                  <w:shd w:val="clear" w:color="auto" w:fill="FFFFFF" w:themeFill="background1"/>
                  <w:noWrap/>
                  <w:vAlign w:val="center"/>
                  <w:hideMark/>
                </w:tcPr>
                <w:p w14:paraId="1C813D83"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2020</w:t>
                  </w:r>
                </w:p>
              </w:tc>
              <w:tc>
                <w:tcPr>
                  <w:tcW w:w="3600" w:type="pct"/>
                  <w:shd w:val="clear" w:color="auto" w:fill="FFFFFF" w:themeFill="background1"/>
                  <w:vAlign w:val="center"/>
                  <w:hideMark/>
                </w:tcPr>
                <w:p w14:paraId="252197B1"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1,219,175 </w:t>
                  </w:r>
                </w:p>
              </w:tc>
            </w:tr>
          </w:tbl>
          <w:p w14:paraId="605E6EB1" w14:textId="77777777" w:rsidR="00286238" w:rsidRPr="00211ABC" w:rsidRDefault="00286238" w:rsidP="00286238">
            <w:pPr>
              <w:rPr>
                <w:rFonts w:ascii="Tahoma" w:hAnsi="Tahoma" w:cs="Tahoma"/>
              </w:rPr>
            </w:pPr>
          </w:p>
        </w:tc>
        <w:tc>
          <w:tcPr>
            <w:tcW w:w="6565" w:type="dxa"/>
          </w:tcPr>
          <w:p w14:paraId="5089A546" w14:textId="77777777" w:rsidR="00286238" w:rsidRPr="00211ABC" w:rsidRDefault="00286238">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585"/>
              <w:gridCol w:w="1348"/>
              <w:gridCol w:w="1035"/>
              <w:gridCol w:w="1212"/>
              <w:gridCol w:w="1159"/>
            </w:tblGrid>
            <w:tr w:rsidR="00286238" w:rsidRPr="00211ABC" w14:paraId="7BD073AC" w14:textId="77777777" w:rsidTr="00286238">
              <w:trPr>
                <w:trHeight w:val="240"/>
              </w:trPr>
              <w:tc>
                <w:tcPr>
                  <w:tcW w:w="5000" w:type="pct"/>
                  <w:gridSpan w:val="5"/>
                  <w:shd w:val="clear" w:color="auto" w:fill="FFFFFF" w:themeFill="background1"/>
                  <w:noWrap/>
                  <w:vAlign w:val="center"/>
                  <w:hideMark/>
                </w:tcPr>
                <w:p w14:paraId="49347099"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LIQUIDACION</w:t>
                  </w:r>
                </w:p>
              </w:tc>
            </w:tr>
            <w:tr w:rsidR="00286238" w:rsidRPr="00211ABC" w14:paraId="3547C9F1" w14:textId="77777777" w:rsidTr="00286238">
              <w:trPr>
                <w:trHeight w:val="240"/>
              </w:trPr>
              <w:tc>
                <w:tcPr>
                  <w:tcW w:w="1251" w:type="pct"/>
                  <w:shd w:val="clear" w:color="auto" w:fill="FFFFFF" w:themeFill="background1"/>
                  <w:noWrap/>
                  <w:vAlign w:val="center"/>
                  <w:hideMark/>
                </w:tcPr>
                <w:p w14:paraId="06F28260" w14:textId="77777777"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Valor IBL</w:t>
                  </w:r>
                </w:p>
              </w:tc>
              <w:tc>
                <w:tcPr>
                  <w:tcW w:w="1063" w:type="pct"/>
                  <w:shd w:val="clear" w:color="auto" w:fill="FFFFFF" w:themeFill="background1"/>
                  <w:noWrap/>
                  <w:vAlign w:val="center"/>
                  <w:hideMark/>
                </w:tcPr>
                <w:p w14:paraId="20805E24" w14:textId="77777777"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Tasa %</w:t>
                  </w:r>
                </w:p>
              </w:tc>
              <w:tc>
                <w:tcPr>
                  <w:tcW w:w="816" w:type="pct"/>
                  <w:shd w:val="clear" w:color="auto" w:fill="FFFFFF" w:themeFill="background1"/>
                  <w:noWrap/>
                  <w:vAlign w:val="center"/>
                  <w:hideMark/>
                </w:tcPr>
                <w:p w14:paraId="77A84691" w14:textId="77777777"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Mesada</w:t>
                  </w:r>
                </w:p>
              </w:tc>
              <w:tc>
                <w:tcPr>
                  <w:tcW w:w="956" w:type="pct"/>
                  <w:shd w:val="clear" w:color="auto" w:fill="FFFFFF" w:themeFill="background1"/>
                  <w:noWrap/>
                  <w:vAlign w:val="center"/>
                  <w:hideMark/>
                </w:tcPr>
                <w:p w14:paraId="0DA8316C" w14:textId="77777777"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No. Mesadas:</w:t>
                  </w:r>
                </w:p>
              </w:tc>
              <w:tc>
                <w:tcPr>
                  <w:tcW w:w="913" w:type="pct"/>
                  <w:shd w:val="clear" w:color="auto" w:fill="FFFFFF" w:themeFill="background1"/>
                  <w:noWrap/>
                  <w:vAlign w:val="center"/>
                  <w:hideMark/>
                </w:tcPr>
                <w:p w14:paraId="087CC2BF" w14:textId="77777777"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Disfrute:</w:t>
                  </w:r>
                </w:p>
              </w:tc>
            </w:tr>
            <w:tr w:rsidR="00286238" w:rsidRPr="00211ABC" w14:paraId="00F153CF" w14:textId="77777777" w:rsidTr="00286238">
              <w:trPr>
                <w:trHeight w:val="240"/>
              </w:trPr>
              <w:tc>
                <w:tcPr>
                  <w:tcW w:w="1251" w:type="pct"/>
                  <w:shd w:val="clear" w:color="auto" w:fill="FFFFFF" w:themeFill="background1"/>
                  <w:noWrap/>
                  <w:vAlign w:val="center"/>
                  <w:hideMark/>
                </w:tcPr>
                <w:p w14:paraId="1E1AF101"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1,150,121 </w:t>
                  </w:r>
                </w:p>
              </w:tc>
              <w:tc>
                <w:tcPr>
                  <w:tcW w:w="1063" w:type="pct"/>
                  <w:shd w:val="clear" w:color="auto" w:fill="FFFFFF" w:themeFill="background1"/>
                  <w:vAlign w:val="center"/>
                  <w:hideMark/>
                </w:tcPr>
                <w:p w14:paraId="0A9C6DA9"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75.00%</w:t>
                  </w:r>
                </w:p>
              </w:tc>
              <w:tc>
                <w:tcPr>
                  <w:tcW w:w="816" w:type="pct"/>
                  <w:shd w:val="clear" w:color="auto" w:fill="FFFFFF" w:themeFill="background1"/>
                  <w:noWrap/>
                  <w:vAlign w:val="center"/>
                  <w:hideMark/>
                </w:tcPr>
                <w:p w14:paraId="2E27AC03"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862,591 </w:t>
                  </w:r>
                </w:p>
              </w:tc>
              <w:tc>
                <w:tcPr>
                  <w:tcW w:w="956" w:type="pct"/>
                  <w:shd w:val="clear" w:color="auto" w:fill="FFFFFF" w:themeFill="background1"/>
                  <w:vAlign w:val="bottom"/>
                  <w:hideMark/>
                </w:tcPr>
                <w:p w14:paraId="42FEAABC"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13 </w:t>
                  </w:r>
                </w:p>
              </w:tc>
              <w:tc>
                <w:tcPr>
                  <w:tcW w:w="913" w:type="pct"/>
                  <w:shd w:val="clear" w:color="auto" w:fill="FFFFFF" w:themeFill="background1"/>
                  <w:vAlign w:val="bottom"/>
                  <w:hideMark/>
                </w:tcPr>
                <w:p w14:paraId="3EE8B840"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15-nov-11</w:t>
                  </w:r>
                </w:p>
              </w:tc>
            </w:tr>
            <w:tr w:rsidR="00286238" w:rsidRPr="00211ABC" w14:paraId="58831ED1" w14:textId="77777777" w:rsidTr="00286238">
              <w:trPr>
                <w:trHeight w:val="240"/>
              </w:trPr>
              <w:tc>
                <w:tcPr>
                  <w:tcW w:w="1251" w:type="pct"/>
                  <w:shd w:val="clear" w:color="auto" w:fill="FFFFFF" w:themeFill="background1"/>
                  <w:noWrap/>
                  <w:vAlign w:val="center"/>
                  <w:hideMark/>
                </w:tcPr>
                <w:p w14:paraId="3C29B916" w14:textId="0B0A1095"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 xml:space="preserve">Presentación </w:t>
                  </w:r>
                </w:p>
                <w:p w14:paraId="01AB94C2" w14:textId="52164A35"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demanda</w:t>
                  </w:r>
                </w:p>
              </w:tc>
              <w:tc>
                <w:tcPr>
                  <w:tcW w:w="1063" w:type="pct"/>
                  <w:shd w:val="clear" w:color="auto" w:fill="FFFFFF" w:themeFill="background1"/>
                  <w:noWrap/>
                  <w:vAlign w:val="center"/>
                  <w:hideMark/>
                </w:tcPr>
                <w:p w14:paraId="2E767DAA" w14:textId="77777777"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Prescripción:</w:t>
                  </w:r>
                </w:p>
              </w:tc>
              <w:tc>
                <w:tcPr>
                  <w:tcW w:w="1772" w:type="pct"/>
                  <w:gridSpan w:val="2"/>
                  <w:shd w:val="clear" w:color="auto" w:fill="FFFFFF" w:themeFill="background1"/>
                  <w:noWrap/>
                  <w:vAlign w:val="center"/>
                  <w:hideMark/>
                </w:tcPr>
                <w:p w14:paraId="60B04262" w14:textId="0C7A2215"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Fecha Liquida:</w:t>
                  </w:r>
                </w:p>
              </w:tc>
              <w:tc>
                <w:tcPr>
                  <w:tcW w:w="913" w:type="pct"/>
                  <w:shd w:val="clear" w:color="auto" w:fill="FFFFFF" w:themeFill="background1"/>
                  <w:noWrap/>
                  <w:vAlign w:val="center"/>
                  <w:hideMark/>
                </w:tcPr>
                <w:p w14:paraId="64EFA468" w14:textId="73A425AE"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Retroactivo:</w:t>
                  </w:r>
                </w:p>
              </w:tc>
            </w:tr>
            <w:tr w:rsidR="00286238" w:rsidRPr="00211ABC" w14:paraId="5F970AD7" w14:textId="77777777" w:rsidTr="00286238">
              <w:trPr>
                <w:trHeight w:val="240"/>
              </w:trPr>
              <w:tc>
                <w:tcPr>
                  <w:tcW w:w="1251" w:type="pct"/>
                  <w:shd w:val="clear" w:color="auto" w:fill="FFFFFF" w:themeFill="background1"/>
                  <w:vAlign w:val="center"/>
                  <w:hideMark/>
                </w:tcPr>
                <w:p w14:paraId="39422D7D"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3-may-18</w:t>
                  </w:r>
                </w:p>
              </w:tc>
              <w:tc>
                <w:tcPr>
                  <w:tcW w:w="1063" w:type="pct"/>
                  <w:shd w:val="clear" w:color="auto" w:fill="FFFFFF" w:themeFill="background1"/>
                  <w:vAlign w:val="center"/>
                  <w:hideMark/>
                </w:tcPr>
                <w:p w14:paraId="3AD7EE06"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3-may-15</w:t>
                  </w:r>
                </w:p>
              </w:tc>
              <w:tc>
                <w:tcPr>
                  <w:tcW w:w="1772" w:type="pct"/>
                  <w:gridSpan w:val="2"/>
                  <w:shd w:val="clear" w:color="auto" w:fill="FFFFFF" w:themeFill="background1"/>
                  <w:vAlign w:val="center"/>
                  <w:hideMark/>
                </w:tcPr>
                <w:p w14:paraId="7A30665D"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30-nov-20</w:t>
                  </w:r>
                </w:p>
                <w:p w14:paraId="2B309F74" w14:textId="2DD3EABB"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Incluida adicional diciembre/2020</w:t>
                  </w:r>
                </w:p>
              </w:tc>
              <w:tc>
                <w:tcPr>
                  <w:tcW w:w="913" w:type="pct"/>
                  <w:shd w:val="clear" w:color="auto" w:fill="FFFFFF" w:themeFill="background1"/>
                  <w:vAlign w:val="center"/>
                  <w:hideMark/>
                </w:tcPr>
                <w:p w14:paraId="0361F23F" w14:textId="2265681B"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82,230,382</w:t>
                  </w:r>
                </w:p>
              </w:tc>
            </w:tr>
          </w:tbl>
          <w:p w14:paraId="4BDE43EE" w14:textId="77777777" w:rsidR="00286238" w:rsidRPr="00211ABC" w:rsidRDefault="00286238" w:rsidP="00286238">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092"/>
              <w:gridCol w:w="1216"/>
              <w:gridCol w:w="1282"/>
              <w:gridCol w:w="1424"/>
              <w:gridCol w:w="1325"/>
            </w:tblGrid>
            <w:tr w:rsidR="00286238" w:rsidRPr="00211ABC" w14:paraId="093B3149" w14:textId="77777777" w:rsidTr="00286238">
              <w:trPr>
                <w:trHeight w:val="240"/>
              </w:trPr>
              <w:tc>
                <w:tcPr>
                  <w:tcW w:w="5000" w:type="pct"/>
                  <w:gridSpan w:val="5"/>
                  <w:shd w:val="clear" w:color="auto" w:fill="FFFFFF" w:themeFill="background1"/>
                  <w:noWrap/>
                  <w:vAlign w:val="center"/>
                  <w:hideMark/>
                </w:tcPr>
                <w:p w14:paraId="54F2FF5B" w14:textId="33209AA9"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RETROACTIVO </w:t>
                  </w:r>
                </w:p>
              </w:tc>
            </w:tr>
            <w:tr w:rsidR="00286238" w:rsidRPr="00211ABC" w14:paraId="01D029B2" w14:textId="77777777" w:rsidTr="00286238">
              <w:trPr>
                <w:trHeight w:val="240"/>
              </w:trPr>
              <w:tc>
                <w:tcPr>
                  <w:tcW w:w="862" w:type="pct"/>
                  <w:shd w:val="clear" w:color="auto" w:fill="FFFFFF" w:themeFill="background1"/>
                  <w:noWrap/>
                  <w:vAlign w:val="center"/>
                  <w:hideMark/>
                </w:tcPr>
                <w:p w14:paraId="3EDE6E39" w14:textId="77777777"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 xml:space="preserve">Desde </w:t>
                  </w:r>
                </w:p>
              </w:tc>
              <w:tc>
                <w:tcPr>
                  <w:tcW w:w="959" w:type="pct"/>
                  <w:shd w:val="clear" w:color="auto" w:fill="FFFFFF" w:themeFill="background1"/>
                  <w:noWrap/>
                  <w:vAlign w:val="center"/>
                  <w:hideMark/>
                </w:tcPr>
                <w:p w14:paraId="76375D17" w14:textId="77777777"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Hasta</w:t>
                  </w:r>
                </w:p>
              </w:tc>
              <w:tc>
                <w:tcPr>
                  <w:tcW w:w="1011" w:type="pct"/>
                  <w:shd w:val="clear" w:color="auto" w:fill="FFFFFF" w:themeFill="background1"/>
                  <w:noWrap/>
                  <w:vAlign w:val="center"/>
                  <w:hideMark/>
                </w:tcPr>
                <w:p w14:paraId="44FB3A22" w14:textId="77777777"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Mesadas Ord.</w:t>
                  </w:r>
                </w:p>
              </w:tc>
              <w:tc>
                <w:tcPr>
                  <w:tcW w:w="1123" w:type="pct"/>
                  <w:shd w:val="clear" w:color="auto" w:fill="FFFFFF" w:themeFill="background1"/>
                  <w:noWrap/>
                  <w:vAlign w:val="center"/>
                  <w:hideMark/>
                </w:tcPr>
                <w:p w14:paraId="74F21113" w14:textId="77777777"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Adicional</w:t>
                  </w:r>
                </w:p>
              </w:tc>
              <w:tc>
                <w:tcPr>
                  <w:tcW w:w="1044" w:type="pct"/>
                  <w:shd w:val="clear" w:color="auto" w:fill="FFFFFF" w:themeFill="background1"/>
                  <w:noWrap/>
                  <w:vAlign w:val="center"/>
                  <w:hideMark/>
                </w:tcPr>
                <w:p w14:paraId="0586073C" w14:textId="77777777"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Ordinaria</w:t>
                  </w:r>
                </w:p>
              </w:tc>
            </w:tr>
            <w:tr w:rsidR="00286238" w:rsidRPr="00211ABC" w14:paraId="5CA19F3D" w14:textId="77777777" w:rsidTr="00286238">
              <w:trPr>
                <w:trHeight w:val="240"/>
              </w:trPr>
              <w:tc>
                <w:tcPr>
                  <w:tcW w:w="862" w:type="pct"/>
                  <w:shd w:val="clear" w:color="auto" w:fill="FFFFFF" w:themeFill="background1"/>
                  <w:vAlign w:val="center"/>
                  <w:hideMark/>
                </w:tcPr>
                <w:p w14:paraId="29DC3B2D"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3-may-15</w:t>
                  </w:r>
                </w:p>
              </w:tc>
              <w:tc>
                <w:tcPr>
                  <w:tcW w:w="959" w:type="pct"/>
                  <w:shd w:val="clear" w:color="auto" w:fill="FFFFFF" w:themeFill="background1"/>
                  <w:vAlign w:val="center"/>
                  <w:hideMark/>
                </w:tcPr>
                <w:p w14:paraId="00D6F8F5"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31-dic-15</w:t>
                  </w:r>
                </w:p>
              </w:tc>
              <w:tc>
                <w:tcPr>
                  <w:tcW w:w="1011" w:type="pct"/>
                  <w:shd w:val="clear" w:color="auto" w:fill="FFFFFF" w:themeFill="background1"/>
                  <w:noWrap/>
                  <w:vAlign w:val="center"/>
                  <w:hideMark/>
                </w:tcPr>
                <w:p w14:paraId="52197DAF"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7.93</w:t>
                  </w:r>
                </w:p>
              </w:tc>
              <w:tc>
                <w:tcPr>
                  <w:tcW w:w="1123" w:type="pct"/>
                  <w:shd w:val="clear" w:color="auto" w:fill="FFFFFF" w:themeFill="background1"/>
                  <w:noWrap/>
                  <w:vAlign w:val="center"/>
                  <w:hideMark/>
                </w:tcPr>
                <w:p w14:paraId="36F782A2"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968,578 </w:t>
                  </w:r>
                </w:p>
              </w:tc>
              <w:tc>
                <w:tcPr>
                  <w:tcW w:w="1044" w:type="pct"/>
                  <w:shd w:val="clear" w:color="auto" w:fill="FFFFFF" w:themeFill="background1"/>
                  <w:vAlign w:val="center"/>
                  <w:hideMark/>
                </w:tcPr>
                <w:p w14:paraId="505B60E9"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7,684,053 </w:t>
                  </w:r>
                </w:p>
              </w:tc>
            </w:tr>
            <w:tr w:rsidR="00286238" w:rsidRPr="00211ABC" w14:paraId="2A004D8B" w14:textId="77777777" w:rsidTr="00286238">
              <w:trPr>
                <w:trHeight w:val="240"/>
              </w:trPr>
              <w:tc>
                <w:tcPr>
                  <w:tcW w:w="862" w:type="pct"/>
                  <w:shd w:val="clear" w:color="auto" w:fill="FFFFFF" w:themeFill="background1"/>
                  <w:vAlign w:val="center"/>
                  <w:hideMark/>
                </w:tcPr>
                <w:p w14:paraId="3F66C3C6"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lastRenderedPageBreak/>
                    <w:t>1-ene-16</w:t>
                  </w:r>
                </w:p>
              </w:tc>
              <w:tc>
                <w:tcPr>
                  <w:tcW w:w="959" w:type="pct"/>
                  <w:shd w:val="clear" w:color="auto" w:fill="FFFFFF" w:themeFill="background1"/>
                  <w:vAlign w:val="center"/>
                  <w:hideMark/>
                </w:tcPr>
                <w:p w14:paraId="647149E3"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31-dic-16</w:t>
                  </w:r>
                </w:p>
              </w:tc>
              <w:tc>
                <w:tcPr>
                  <w:tcW w:w="1011" w:type="pct"/>
                  <w:shd w:val="clear" w:color="auto" w:fill="FFFFFF" w:themeFill="background1"/>
                  <w:noWrap/>
                  <w:vAlign w:val="center"/>
                  <w:hideMark/>
                </w:tcPr>
                <w:p w14:paraId="692C63D4"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12.00</w:t>
                  </w:r>
                </w:p>
              </w:tc>
              <w:tc>
                <w:tcPr>
                  <w:tcW w:w="1123" w:type="pct"/>
                  <w:shd w:val="clear" w:color="auto" w:fill="FFFFFF" w:themeFill="background1"/>
                  <w:noWrap/>
                  <w:vAlign w:val="center"/>
                  <w:hideMark/>
                </w:tcPr>
                <w:p w14:paraId="66FE981A"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1,034,151 </w:t>
                  </w:r>
                </w:p>
              </w:tc>
              <w:tc>
                <w:tcPr>
                  <w:tcW w:w="1044" w:type="pct"/>
                  <w:shd w:val="clear" w:color="auto" w:fill="FFFFFF" w:themeFill="background1"/>
                  <w:noWrap/>
                  <w:vAlign w:val="center"/>
                  <w:hideMark/>
                </w:tcPr>
                <w:p w14:paraId="501E005A"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12,409,811 </w:t>
                  </w:r>
                </w:p>
              </w:tc>
            </w:tr>
            <w:tr w:rsidR="00286238" w:rsidRPr="00211ABC" w14:paraId="7B9DB916" w14:textId="77777777" w:rsidTr="00286238">
              <w:trPr>
                <w:trHeight w:val="240"/>
              </w:trPr>
              <w:tc>
                <w:tcPr>
                  <w:tcW w:w="862" w:type="pct"/>
                  <w:shd w:val="clear" w:color="auto" w:fill="FFFFFF" w:themeFill="background1"/>
                  <w:vAlign w:val="center"/>
                  <w:hideMark/>
                </w:tcPr>
                <w:p w14:paraId="68ABA6F5"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1-ene-17</w:t>
                  </w:r>
                </w:p>
              </w:tc>
              <w:tc>
                <w:tcPr>
                  <w:tcW w:w="959" w:type="pct"/>
                  <w:shd w:val="clear" w:color="auto" w:fill="FFFFFF" w:themeFill="background1"/>
                  <w:vAlign w:val="center"/>
                  <w:hideMark/>
                </w:tcPr>
                <w:p w14:paraId="1C310090"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31-dic-17</w:t>
                  </w:r>
                </w:p>
              </w:tc>
              <w:tc>
                <w:tcPr>
                  <w:tcW w:w="1011" w:type="pct"/>
                  <w:shd w:val="clear" w:color="auto" w:fill="FFFFFF" w:themeFill="background1"/>
                  <w:noWrap/>
                  <w:vAlign w:val="center"/>
                  <w:hideMark/>
                </w:tcPr>
                <w:p w14:paraId="1EEF5BF2"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12.00</w:t>
                  </w:r>
                </w:p>
              </w:tc>
              <w:tc>
                <w:tcPr>
                  <w:tcW w:w="1123" w:type="pct"/>
                  <w:shd w:val="clear" w:color="auto" w:fill="FFFFFF" w:themeFill="background1"/>
                  <w:noWrap/>
                  <w:vAlign w:val="center"/>
                  <w:hideMark/>
                </w:tcPr>
                <w:p w14:paraId="5FA71F44"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1,093,615 </w:t>
                  </w:r>
                </w:p>
              </w:tc>
              <w:tc>
                <w:tcPr>
                  <w:tcW w:w="1044" w:type="pct"/>
                  <w:shd w:val="clear" w:color="auto" w:fill="FFFFFF" w:themeFill="background1"/>
                  <w:noWrap/>
                  <w:vAlign w:val="center"/>
                  <w:hideMark/>
                </w:tcPr>
                <w:p w14:paraId="29675111"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13,123,375 </w:t>
                  </w:r>
                </w:p>
              </w:tc>
            </w:tr>
            <w:tr w:rsidR="00286238" w:rsidRPr="00211ABC" w14:paraId="74047E65" w14:textId="77777777" w:rsidTr="00286238">
              <w:trPr>
                <w:trHeight w:val="240"/>
              </w:trPr>
              <w:tc>
                <w:tcPr>
                  <w:tcW w:w="862" w:type="pct"/>
                  <w:shd w:val="clear" w:color="auto" w:fill="FFFFFF" w:themeFill="background1"/>
                  <w:vAlign w:val="center"/>
                  <w:hideMark/>
                </w:tcPr>
                <w:p w14:paraId="6CD27EDF"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1-ene-18</w:t>
                  </w:r>
                </w:p>
              </w:tc>
              <w:tc>
                <w:tcPr>
                  <w:tcW w:w="959" w:type="pct"/>
                  <w:shd w:val="clear" w:color="auto" w:fill="FFFFFF" w:themeFill="background1"/>
                  <w:vAlign w:val="center"/>
                  <w:hideMark/>
                </w:tcPr>
                <w:p w14:paraId="625A10D8"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31-dic-18</w:t>
                  </w:r>
                </w:p>
              </w:tc>
              <w:tc>
                <w:tcPr>
                  <w:tcW w:w="1011" w:type="pct"/>
                  <w:shd w:val="clear" w:color="auto" w:fill="FFFFFF" w:themeFill="background1"/>
                  <w:noWrap/>
                  <w:vAlign w:val="center"/>
                  <w:hideMark/>
                </w:tcPr>
                <w:p w14:paraId="34451499"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12.00</w:t>
                  </w:r>
                </w:p>
              </w:tc>
              <w:tc>
                <w:tcPr>
                  <w:tcW w:w="1123" w:type="pct"/>
                  <w:shd w:val="clear" w:color="auto" w:fill="FFFFFF" w:themeFill="background1"/>
                  <w:noWrap/>
                  <w:vAlign w:val="center"/>
                  <w:hideMark/>
                </w:tcPr>
                <w:p w14:paraId="5933FB29"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1,138,343 </w:t>
                  </w:r>
                </w:p>
              </w:tc>
              <w:tc>
                <w:tcPr>
                  <w:tcW w:w="1044" w:type="pct"/>
                  <w:shd w:val="clear" w:color="auto" w:fill="FFFFFF" w:themeFill="background1"/>
                  <w:noWrap/>
                  <w:vAlign w:val="center"/>
                  <w:hideMark/>
                </w:tcPr>
                <w:p w14:paraId="3A373BF8"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13,660,121 </w:t>
                  </w:r>
                </w:p>
              </w:tc>
            </w:tr>
            <w:tr w:rsidR="00286238" w:rsidRPr="00211ABC" w14:paraId="61293087" w14:textId="77777777" w:rsidTr="00286238">
              <w:trPr>
                <w:trHeight w:val="240"/>
              </w:trPr>
              <w:tc>
                <w:tcPr>
                  <w:tcW w:w="862" w:type="pct"/>
                  <w:shd w:val="clear" w:color="auto" w:fill="FFFFFF" w:themeFill="background1"/>
                  <w:vAlign w:val="center"/>
                  <w:hideMark/>
                </w:tcPr>
                <w:p w14:paraId="6B71D8B5"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1-ene-19</w:t>
                  </w:r>
                </w:p>
              </w:tc>
              <w:tc>
                <w:tcPr>
                  <w:tcW w:w="959" w:type="pct"/>
                  <w:shd w:val="clear" w:color="auto" w:fill="FFFFFF" w:themeFill="background1"/>
                  <w:vAlign w:val="center"/>
                  <w:hideMark/>
                </w:tcPr>
                <w:p w14:paraId="099386E0"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31-dic-19</w:t>
                  </w:r>
                </w:p>
              </w:tc>
              <w:tc>
                <w:tcPr>
                  <w:tcW w:w="1011" w:type="pct"/>
                  <w:shd w:val="clear" w:color="auto" w:fill="FFFFFF" w:themeFill="background1"/>
                  <w:noWrap/>
                  <w:vAlign w:val="center"/>
                  <w:hideMark/>
                </w:tcPr>
                <w:p w14:paraId="7BAA013C"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12.00</w:t>
                  </w:r>
                </w:p>
              </w:tc>
              <w:tc>
                <w:tcPr>
                  <w:tcW w:w="1123" w:type="pct"/>
                  <w:shd w:val="clear" w:color="auto" w:fill="FFFFFF" w:themeFill="background1"/>
                  <w:noWrap/>
                  <w:vAlign w:val="center"/>
                  <w:hideMark/>
                </w:tcPr>
                <w:p w14:paraId="43FE4E09"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1,174,543 </w:t>
                  </w:r>
                </w:p>
              </w:tc>
              <w:tc>
                <w:tcPr>
                  <w:tcW w:w="1044" w:type="pct"/>
                  <w:shd w:val="clear" w:color="auto" w:fill="FFFFFF" w:themeFill="background1"/>
                  <w:noWrap/>
                  <w:vAlign w:val="center"/>
                  <w:hideMark/>
                </w:tcPr>
                <w:p w14:paraId="0E049733"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14,094,513 </w:t>
                  </w:r>
                </w:p>
              </w:tc>
            </w:tr>
            <w:tr w:rsidR="00286238" w:rsidRPr="00211ABC" w14:paraId="10220E40" w14:textId="77777777" w:rsidTr="00286238">
              <w:trPr>
                <w:trHeight w:val="240"/>
              </w:trPr>
              <w:tc>
                <w:tcPr>
                  <w:tcW w:w="862" w:type="pct"/>
                  <w:shd w:val="clear" w:color="auto" w:fill="FFFFFF" w:themeFill="background1"/>
                  <w:vAlign w:val="center"/>
                  <w:hideMark/>
                </w:tcPr>
                <w:p w14:paraId="0437A34F"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1-ene-20</w:t>
                  </w:r>
                </w:p>
              </w:tc>
              <w:tc>
                <w:tcPr>
                  <w:tcW w:w="959" w:type="pct"/>
                  <w:shd w:val="clear" w:color="auto" w:fill="FFFFFF" w:themeFill="background1"/>
                  <w:vAlign w:val="center"/>
                  <w:hideMark/>
                </w:tcPr>
                <w:p w14:paraId="6580AF44"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31-dic-20</w:t>
                  </w:r>
                </w:p>
              </w:tc>
              <w:tc>
                <w:tcPr>
                  <w:tcW w:w="1011" w:type="pct"/>
                  <w:shd w:val="clear" w:color="auto" w:fill="FFFFFF" w:themeFill="background1"/>
                  <w:noWrap/>
                  <w:vAlign w:val="center"/>
                  <w:hideMark/>
                </w:tcPr>
                <w:p w14:paraId="14D0ABEE"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12.00</w:t>
                  </w:r>
                </w:p>
              </w:tc>
              <w:tc>
                <w:tcPr>
                  <w:tcW w:w="1123" w:type="pct"/>
                  <w:shd w:val="clear" w:color="auto" w:fill="FFFFFF" w:themeFill="background1"/>
                  <w:noWrap/>
                  <w:vAlign w:val="center"/>
                  <w:hideMark/>
                </w:tcPr>
                <w:p w14:paraId="24609657"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1,219,175 </w:t>
                  </w:r>
                </w:p>
              </w:tc>
              <w:tc>
                <w:tcPr>
                  <w:tcW w:w="1044" w:type="pct"/>
                  <w:shd w:val="clear" w:color="auto" w:fill="FFFFFF" w:themeFill="background1"/>
                  <w:noWrap/>
                  <w:vAlign w:val="center"/>
                  <w:hideMark/>
                </w:tcPr>
                <w:p w14:paraId="28744905"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xml:space="preserve">     14,630,104 </w:t>
                  </w:r>
                </w:p>
              </w:tc>
            </w:tr>
            <w:tr w:rsidR="00286238" w:rsidRPr="00211ABC" w14:paraId="7E0A9D1F" w14:textId="77777777" w:rsidTr="00286238">
              <w:trPr>
                <w:trHeight w:val="240"/>
              </w:trPr>
              <w:tc>
                <w:tcPr>
                  <w:tcW w:w="862" w:type="pct"/>
                  <w:shd w:val="clear" w:color="auto" w:fill="FFFFFF" w:themeFill="background1"/>
                  <w:vAlign w:val="center"/>
                  <w:hideMark/>
                </w:tcPr>
                <w:p w14:paraId="05896108" w14:textId="77777777" w:rsidR="00286238" w:rsidRPr="00211ABC" w:rsidRDefault="00286238" w:rsidP="00286238">
                  <w:pPr>
                    <w:spacing w:line="240" w:lineRule="auto"/>
                    <w:jc w:val="right"/>
                    <w:rPr>
                      <w:rFonts w:ascii="Tahoma" w:eastAsia="Times New Roman" w:hAnsi="Tahoma" w:cs="Tahoma"/>
                      <w:sz w:val="14"/>
                      <w:szCs w:val="14"/>
                      <w:lang w:val="es-419" w:eastAsia="es-419"/>
                    </w:rPr>
                  </w:pPr>
                  <w:r w:rsidRPr="00211ABC">
                    <w:rPr>
                      <w:rFonts w:ascii="Tahoma" w:eastAsia="Times New Roman" w:hAnsi="Tahoma" w:cs="Tahoma"/>
                      <w:sz w:val="14"/>
                      <w:szCs w:val="14"/>
                      <w:lang w:val="es-419" w:eastAsia="es-419"/>
                    </w:rPr>
                    <w:t> </w:t>
                  </w:r>
                </w:p>
              </w:tc>
              <w:tc>
                <w:tcPr>
                  <w:tcW w:w="959" w:type="pct"/>
                  <w:shd w:val="clear" w:color="auto" w:fill="FFFFFF" w:themeFill="background1"/>
                  <w:vAlign w:val="center"/>
                  <w:hideMark/>
                </w:tcPr>
                <w:p w14:paraId="025C10BB" w14:textId="77777777" w:rsidR="00286238" w:rsidRPr="00211ABC" w:rsidRDefault="00286238" w:rsidP="00286238">
                  <w:pPr>
                    <w:spacing w:line="240" w:lineRule="auto"/>
                    <w:jc w:val="right"/>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Subtotales</w:t>
                  </w:r>
                </w:p>
              </w:tc>
              <w:tc>
                <w:tcPr>
                  <w:tcW w:w="1011" w:type="pct"/>
                  <w:shd w:val="clear" w:color="auto" w:fill="FFFFFF" w:themeFill="background1"/>
                  <w:noWrap/>
                  <w:vAlign w:val="center"/>
                  <w:hideMark/>
                </w:tcPr>
                <w:p w14:paraId="20FA787A" w14:textId="77777777"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67.93</w:t>
                  </w:r>
                </w:p>
              </w:tc>
              <w:tc>
                <w:tcPr>
                  <w:tcW w:w="1123" w:type="pct"/>
                  <w:shd w:val="clear" w:color="auto" w:fill="FFFFFF" w:themeFill="background1"/>
                  <w:noWrap/>
                  <w:vAlign w:val="center"/>
                  <w:hideMark/>
                </w:tcPr>
                <w:p w14:paraId="43ECB00C" w14:textId="77777777"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 xml:space="preserve">     6,628,405 </w:t>
                  </w:r>
                </w:p>
              </w:tc>
              <w:tc>
                <w:tcPr>
                  <w:tcW w:w="1044" w:type="pct"/>
                  <w:shd w:val="clear" w:color="auto" w:fill="FFFFFF" w:themeFill="background1"/>
                  <w:noWrap/>
                  <w:vAlign w:val="center"/>
                  <w:hideMark/>
                </w:tcPr>
                <w:p w14:paraId="6A2A9107" w14:textId="77777777"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 xml:space="preserve">     75,601,977 </w:t>
                  </w:r>
                </w:p>
              </w:tc>
            </w:tr>
            <w:tr w:rsidR="00286238" w:rsidRPr="00211ABC" w14:paraId="2EA15B24" w14:textId="77777777" w:rsidTr="00286238">
              <w:trPr>
                <w:trHeight w:val="240"/>
              </w:trPr>
              <w:tc>
                <w:tcPr>
                  <w:tcW w:w="862" w:type="pct"/>
                  <w:shd w:val="clear" w:color="auto" w:fill="FFFFFF" w:themeFill="background1"/>
                  <w:noWrap/>
                  <w:vAlign w:val="bottom"/>
                  <w:hideMark/>
                </w:tcPr>
                <w:p w14:paraId="783A9775" w14:textId="77777777" w:rsidR="00286238" w:rsidRPr="00211ABC" w:rsidRDefault="00286238" w:rsidP="00286238">
                  <w:pPr>
                    <w:spacing w:line="240" w:lineRule="auto"/>
                    <w:jc w:val="center"/>
                    <w:rPr>
                      <w:rFonts w:ascii="Tahoma" w:eastAsia="Times New Roman" w:hAnsi="Tahoma" w:cs="Tahoma"/>
                      <w:sz w:val="14"/>
                      <w:szCs w:val="14"/>
                      <w:lang w:val="es-419" w:eastAsia="es-419"/>
                    </w:rPr>
                  </w:pPr>
                </w:p>
              </w:tc>
              <w:tc>
                <w:tcPr>
                  <w:tcW w:w="959" w:type="pct"/>
                  <w:shd w:val="clear" w:color="auto" w:fill="FFFFFF" w:themeFill="background1"/>
                  <w:noWrap/>
                  <w:vAlign w:val="bottom"/>
                  <w:hideMark/>
                </w:tcPr>
                <w:p w14:paraId="7AD1649A" w14:textId="77777777" w:rsidR="00286238" w:rsidRPr="00211ABC" w:rsidRDefault="00286238" w:rsidP="00286238">
                  <w:pPr>
                    <w:spacing w:line="240" w:lineRule="auto"/>
                    <w:jc w:val="left"/>
                    <w:rPr>
                      <w:rFonts w:ascii="Tahoma" w:eastAsia="Times New Roman" w:hAnsi="Tahoma" w:cs="Tahoma"/>
                      <w:sz w:val="14"/>
                      <w:szCs w:val="14"/>
                      <w:lang w:val="es-419" w:eastAsia="es-419"/>
                    </w:rPr>
                  </w:pPr>
                </w:p>
              </w:tc>
              <w:tc>
                <w:tcPr>
                  <w:tcW w:w="1011" w:type="pct"/>
                  <w:shd w:val="clear" w:color="auto" w:fill="FFFFFF" w:themeFill="background1"/>
                  <w:noWrap/>
                  <w:vAlign w:val="bottom"/>
                  <w:hideMark/>
                </w:tcPr>
                <w:p w14:paraId="4E0D66F3" w14:textId="77777777" w:rsidR="00286238" w:rsidRPr="00211ABC" w:rsidRDefault="00286238" w:rsidP="00286238">
                  <w:pPr>
                    <w:spacing w:line="240" w:lineRule="auto"/>
                    <w:jc w:val="left"/>
                    <w:rPr>
                      <w:rFonts w:ascii="Tahoma" w:eastAsia="Times New Roman" w:hAnsi="Tahoma" w:cs="Tahoma"/>
                      <w:sz w:val="14"/>
                      <w:szCs w:val="14"/>
                      <w:lang w:val="es-419" w:eastAsia="es-419"/>
                    </w:rPr>
                  </w:pPr>
                </w:p>
              </w:tc>
              <w:tc>
                <w:tcPr>
                  <w:tcW w:w="1123" w:type="pct"/>
                  <w:shd w:val="clear" w:color="auto" w:fill="FFFFFF" w:themeFill="background1"/>
                  <w:noWrap/>
                  <w:vAlign w:val="center"/>
                  <w:hideMark/>
                </w:tcPr>
                <w:p w14:paraId="73334D9E" w14:textId="77777777"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Total retroactivo</w:t>
                  </w:r>
                </w:p>
              </w:tc>
              <w:tc>
                <w:tcPr>
                  <w:tcW w:w="1044" w:type="pct"/>
                  <w:shd w:val="clear" w:color="auto" w:fill="FFFFFF" w:themeFill="background1"/>
                  <w:noWrap/>
                  <w:vAlign w:val="center"/>
                  <w:hideMark/>
                </w:tcPr>
                <w:p w14:paraId="1235A255" w14:textId="3C43D11F" w:rsidR="00286238" w:rsidRPr="00211ABC" w:rsidRDefault="00286238" w:rsidP="00286238">
                  <w:pPr>
                    <w:spacing w:line="240" w:lineRule="auto"/>
                    <w:jc w:val="center"/>
                    <w:rPr>
                      <w:rFonts w:ascii="Tahoma" w:eastAsia="Times New Roman" w:hAnsi="Tahoma" w:cs="Tahoma"/>
                      <w:b/>
                      <w:bCs/>
                      <w:sz w:val="14"/>
                      <w:szCs w:val="14"/>
                      <w:lang w:val="es-419" w:eastAsia="es-419"/>
                    </w:rPr>
                  </w:pPr>
                  <w:r w:rsidRPr="00211ABC">
                    <w:rPr>
                      <w:rFonts w:ascii="Tahoma" w:eastAsia="Times New Roman" w:hAnsi="Tahoma" w:cs="Tahoma"/>
                      <w:b/>
                      <w:bCs/>
                      <w:sz w:val="14"/>
                      <w:szCs w:val="14"/>
                      <w:lang w:val="es-419" w:eastAsia="es-419"/>
                    </w:rPr>
                    <w:t>82,230,382</w:t>
                  </w:r>
                </w:p>
              </w:tc>
            </w:tr>
          </w:tbl>
          <w:p w14:paraId="21C96102" w14:textId="2A5CF98C" w:rsidR="00286238" w:rsidRPr="00211ABC" w:rsidRDefault="00286238" w:rsidP="00286238">
            <w:pPr>
              <w:rPr>
                <w:rFonts w:ascii="Tahoma" w:hAnsi="Tahoma" w:cs="Tahoma"/>
              </w:rPr>
            </w:pPr>
          </w:p>
        </w:tc>
      </w:tr>
    </w:tbl>
    <w:p w14:paraId="54FE9877" w14:textId="77777777" w:rsidR="00286238" w:rsidRPr="00211ABC" w:rsidRDefault="00286238" w:rsidP="001E6CC1">
      <w:pPr>
        <w:rPr>
          <w:rFonts w:ascii="Tahoma" w:hAnsi="Tahoma" w:cs="Tahoma"/>
        </w:rPr>
      </w:pPr>
    </w:p>
    <w:sectPr w:rsidR="00286238" w:rsidRPr="00211ABC" w:rsidSect="00205A22">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E1E5FA" w16cex:dateUtc="2021-01-14T21:28:36.46Z"/>
  <w16cex:commentExtensible w16cex:durableId="065B5C51" w16cex:dateUtc="2021-01-15T20:20:59.485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5DC20" w14:textId="77777777" w:rsidR="00993AFC" w:rsidRDefault="00993AFC" w:rsidP="00AC65AD">
      <w:pPr>
        <w:spacing w:line="240" w:lineRule="auto"/>
      </w:pPr>
      <w:r>
        <w:separator/>
      </w:r>
    </w:p>
  </w:endnote>
  <w:endnote w:type="continuationSeparator" w:id="0">
    <w:p w14:paraId="578E0C97" w14:textId="77777777" w:rsidR="00993AFC" w:rsidRDefault="00993AFC" w:rsidP="00AC6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A486E" w14:textId="77777777" w:rsidR="00C533F1" w:rsidRPr="00F806FD" w:rsidRDefault="00C533F1">
    <w:pPr>
      <w:pStyle w:val="Piedepgina"/>
      <w:jc w:val="right"/>
      <w:rPr>
        <w:sz w:val="22"/>
      </w:rPr>
    </w:pPr>
    <w:r w:rsidRPr="00F806FD">
      <w:rPr>
        <w:sz w:val="18"/>
        <w:szCs w:val="20"/>
        <w:lang w:val="es-ES"/>
      </w:rPr>
      <w:t xml:space="preserve">pág. </w:t>
    </w:r>
    <w:r w:rsidRPr="00F806FD">
      <w:rPr>
        <w:sz w:val="18"/>
        <w:szCs w:val="20"/>
      </w:rPr>
      <w:fldChar w:fldCharType="begin"/>
    </w:r>
    <w:r w:rsidRPr="00F806FD">
      <w:rPr>
        <w:sz w:val="18"/>
        <w:szCs w:val="20"/>
      </w:rPr>
      <w:instrText>PAGE  \* Arabic</w:instrText>
    </w:r>
    <w:r w:rsidRPr="00F806FD">
      <w:rPr>
        <w:sz w:val="18"/>
        <w:szCs w:val="20"/>
      </w:rPr>
      <w:fldChar w:fldCharType="separate"/>
    </w:r>
    <w:r w:rsidR="0080190F">
      <w:rPr>
        <w:noProof/>
        <w:sz w:val="18"/>
        <w:szCs w:val="20"/>
      </w:rPr>
      <w:t>23</w:t>
    </w:r>
    <w:r w:rsidRPr="00F806FD">
      <w:rPr>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75394" w14:textId="77777777" w:rsidR="00993AFC" w:rsidRDefault="00993AFC" w:rsidP="00AC65AD">
      <w:pPr>
        <w:spacing w:line="240" w:lineRule="auto"/>
      </w:pPr>
      <w:r>
        <w:separator/>
      </w:r>
    </w:p>
  </w:footnote>
  <w:footnote w:type="continuationSeparator" w:id="0">
    <w:p w14:paraId="3AB99553" w14:textId="77777777" w:rsidR="00993AFC" w:rsidRDefault="00993AFC" w:rsidP="00AC65AD">
      <w:pPr>
        <w:spacing w:line="240" w:lineRule="auto"/>
      </w:pPr>
      <w:r>
        <w:continuationSeparator/>
      </w:r>
    </w:p>
  </w:footnote>
  <w:footnote w:id="1">
    <w:p w14:paraId="6F391887" w14:textId="77777777" w:rsidR="00C533F1" w:rsidRPr="003D1799" w:rsidRDefault="00C533F1" w:rsidP="003D1799">
      <w:pPr>
        <w:spacing w:line="240" w:lineRule="auto"/>
        <w:rPr>
          <w:sz w:val="18"/>
          <w:szCs w:val="18"/>
          <w:lang w:val="es-AR"/>
        </w:rPr>
      </w:pPr>
      <w:r w:rsidRPr="003D1799">
        <w:rPr>
          <w:rStyle w:val="Refdenotaalpie"/>
          <w:rFonts w:cs="Arial"/>
          <w:sz w:val="18"/>
          <w:szCs w:val="18"/>
        </w:rPr>
        <w:footnoteRef/>
      </w:r>
      <w:r w:rsidRPr="003D1799">
        <w:rPr>
          <w:rFonts w:cs="Arial"/>
          <w:sz w:val="18"/>
          <w:szCs w:val="18"/>
        </w:rPr>
        <w:t xml:space="preserve"> M. P. Dr. Luis Gabriel Miranda Buelvas. </w:t>
      </w:r>
      <w:proofErr w:type="spellStart"/>
      <w:r w:rsidRPr="003D1799">
        <w:rPr>
          <w:rFonts w:cs="Arial"/>
          <w:sz w:val="18"/>
          <w:szCs w:val="18"/>
        </w:rPr>
        <w:t>S</w:t>
      </w:r>
      <w:r w:rsidRPr="003D1799">
        <w:rPr>
          <w:rFonts w:cs="Arial"/>
          <w:bCs/>
          <w:color w:val="000000"/>
          <w:sz w:val="18"/>
          <w:szCs w:val="18"/>
        </w:rPr>
        <w:t>L2266</w:t>
      </w:r>
      <w:proofErr w:type="spellEnd"/>
      <w:r w:rsidRPr="003D1799">
        <w:rPr>
          <w:rFonts w:cs="Arial"/>
          <w:bCs/>
          <w:color w:val="000000"/>
          <w:sz w:val="18"/>
          <w:szCs w:val="18"/>
        </w:rPr>
        <w:t>-2016</w:t>
      </w:r>
      <w:r w:rsidRPr="003D1799">
        <w:rPr>
          <w:rFonts w:cs="Arial"/>
          <w:sz w:val="18"/>
          <w:szCs w:val="18"/>
        </w:rPr>
        <w:t xml:space="preserve"> Radicación N.° 59926 del 27/01/2016, más reciente la sentencia de la Sala de Descongestión de la CSJ Sl317-2019, que a su vez reitera decisiones anteriores.</w:t>
      </w:r>
    </w:p>
  </w:footnote>
  <w:footnote w:id="2">
    <w:p w14:paraId="2BFD7207" w14:textId="77777777" w:rsidR="00C533F1" w:rsidRPr="003D1799" w:rsidRDefault="00C533F1" w:rsidP="003D1799">
      <w:pPr>
        <w:pStyle w:val="Textonotapie"/>
        <w:rPr>
          <w:sz w:val="18"/>
          <w:szCs w:val="18"/>
          <w:lang w:val="es-419"/>
        </w:rPr>
      </w:pPr>
      <w:r w:rsidRPr="003D1799">
        <w:rPr>
          <w:rStyle w:val="Refdenotaalpie"/>
          <w:sz w:val="18"/>
          <w:szCs w:val="18"/>
        </w:rPr>
        <w:footnoteRef/>
      </w:r>
      <w:r w:rsidRPr="003D1799">
        <w:rPr>
          <w:sz w:val="18"/>
          <w:szCs w:val="18"/>
        </w:rPr>
        <w:t xml:space="preserve"> </w:t>
      </w:r>
      <w:r w:rsidRPr="003D1799">
        <w:rPr>
          <w:sz w:val="18"/>
          <w:szCs w:val="18"/>
          <w:lang w:val="es-419"/>
        </w:rPr>
        <w:t>Pág. 23-24, expediente digital parte I</w:t>
      </w:r>
    </w:p>
  </w:footnote>
  <w:footnote w:id="3">
    <w:p w14:paraId="78A28BBB" w14:textId="49B17674" w:rsidR="00C533F1" w:rsidRPr="003D1799" w:rsidRDefault="00C533F1" w:rsidP="003D1799">
      <w:pPr>
        <w:pStyle w:val="Textonotapie"/>
        <w:rPr>
          <w:sz w:val="18"/>
          <w:szCs w:val="18"/>
          <w:lang w:val="es-419"/>
        </w:rPr>
      </w:pPr>
      <w:r w:rsidRPr="003D1799">
        <w:rPr>
          <w:rStyle w:val="Refdenotaalpie"/>
          <w:sz w:val="18"/>
          <w:szCs w:val="18"/>
        </w:rPr>
        <w:footnoteRef/>
      </w:r>
      <w:r w:rsidRPr="003D1799">
        <w:rPr>
          <w:sz w:val="18"/>
          <w:szCs w:val="18"/>
        </w:rPr>
        <w:t xml:space="preserve"> </w:t>
      </w:r>
      <w:r w:rsidRPr="003D1799">
        <w:rPr>
          <w:sz w:val="18"/>
          <w:szCs w:val="18"/>
          <w:lang w:val="es-419"/>
        </w:rPr>
        <w:t>Fls. 34-39, expediente digital parte 1. Se visualizan 15 días de interrupciones</w:t>
      </w:r>
    </w:p>
  </w:footnote>
  <w:footnote w:id="4">
    <w:p w14:paraId="250C84F2" w14:textId="01735CC0" w:rsidR="00C533F1" w:rsidRPr="003D1799" w:rsidRDefault="00C533F1" w:rsidP="003D1799">
      <w:pPr>
        <w:pStyle w:val="Textonotapie"/>
        <w:rPr>
          <w:sz w:val="18"/>
          <w:szCs w:val="18"/>
          <w:lang w:val="es-419"/>
        </w:rPr>
      </w:pPr>
      <w:r w:rsidRPr="003D1799">
        <w:rPr>
          <w:rStyle w:val="Refdenotaalpie"/>
          <w:sz w:val="18"/>
          <w:szCs w:val="18"/>
        </w:rPr>
        <w:footnoteRef/>
      </w:r>
      <w:r w:rsidRPr="003D1799">
        <w:rPr>
          <w:sz w:val="18"/>
          <w:szCs w:val="18"/>
        </w:rPr>
        <w:t xml:space="preserve"> </w:t>
      </w:r>
      <w:r w:rsidRPr="003D1799">
        <w:rPr>
          <w:sz w:val="18"/>
          <w:szCs w:val="18"/>
          <w:lang w:val="es-419"/>
        </w:rPr>
        <w:t>Pág. 12, expediente digital parte 2.</w:t>
      </w:r>
    </w:p>
  </w:footnote>
  <w:footnote w:id="5">
    <w:p w14:paraId="0D82EFDC" w14:textId="1B289DC9" w:rsidR="00C533F1" w:rsidRPr="003D1799" w:rsidRDefault="00C533F1" w:rsidP="003D1799">
      <w:pPr>
        <w:pStyle w:val="Textonotapie"/>
        <w:rPr>
          <w:sz w:val="18"/>
          <w:szCs w:val="18"/>
          <w:lang w:val="es-419"/>
        </w:rPr>
      </w:pPr>
      <w:r w:rsidRPr="003D1799">
        <w:rPr>
          <w:rStyle w:val="Refdenotaalpie"/>
          <w:sz w:val="18"/>
          <w:szCs w:val="18"/>
        </w:rPr>
        <w:footnoteRef/>
      </w:r>
      <w:r w:rsidRPr="003D1799">
        <w:rPr>
          <w:sz w:val="18"/>
          <w:szCs w:val="18"/>
        </w:rPr>
        <w:t xml:space="preserve"> </w:t>
      </w:r>
      <w:r w:rsidRPr="003D1799">
        <w:rPr>
          <w:sz w:val="18"/>
          <w:szCs w:val="18"/>
          <w:lang w:val="es-419"/>
        </w:rPr>
        <w:t>Págs. 15-44, expediente digital parte 2.</w:t>
      </w:r>
    </w:p>
  </w:footnote>
  <w:footnote w:id="6">
    <w:p w14:paraId="1C7BDD35" w14:textId="13531665" w:rsidR="00C533F1" w:rsidRPr="003D1799" w:rsidRDefault="00C533F1" w:rsidP="003D1799">
      <w:pPr>
        <w:pStyle w:val="Textonotapie"/>
        <w:rPr>
          <w:sz w:val="18"/>
          <w:szCs w:val="18"/>
          <w:lang w:val="es-419"/>
        </w:rPr>
      </w:pPr>
      <w:r w:rsidRPr="003D1799">
        <w:rPr>
          <w:rStyle w:val="Refdenotaalpie"/>
          <w:sz w:val="18"/>
          <w:szCs w:val="18"/>
        </w:rPr>
        <w:footnoteRef/>
      </w:r>
      <w:r w:rsidRPr="003D1799">
        <w:rPr>
          <w:sz w:val="18"/>
          <w:szCs w:val="18"/>
        </w:rPr>
        <w:t xml:space="preserve"> </w:t>
      </w:r>
      <w:r w:rsidRPr="003D1799">
        <w:rPr>
          <w:sz w:val="18"/>
          <w:szCs w:val="18"/>
          <w:lang w:val="es-419"/>
        </w:rPr>
        <w:t>Págs. 46-47, expediente digital parte 2</w:t>
      </w:r>
    </w:p>
  </w:footnote>
  <w:footnote w:id="7">
    <w:p w14:paraId="03240D62" w14:textId="3B5F0167" w:rsidR="00C533F1" w:rsidRPr="003D1799" w:rsidRDefault="00C533F1" w:rsidP="003D1799">
      <w:pPr>
        <w:pStyle w:val="Textonotapie"/>
        <w:rPr>
          <w:sz w:val="18"/>
          <w:szCs w:val="18"/>
          <w:lang w:val="es-419"/>
        </w:rPr>
      </w:pPr>
      <w:r w:rsidRPr="003D1799">
        <w:rPr>
          <w:rStyle w:val="Refdenotaalpie"/>
          <w:sz w:val="18"/>
          <w:szCs w:val="18"/>
        </w:rPr>
        <w:footnoteRef/>
      </w:r>
      <w:r w:rsidRPr="003D1799">
        <w:rPr>
          <w:sz w:val="18"/>
          <w:szCs w:val="18"/>
        </w:rPr>
        <w:t xml:space="preserve"> </w:t>
      </w:r>
      <w:r w:rsidRPr="003D1799">
        <w:rPr>
          <w:sz w:val="18"/>
          <w:szCs w:val="18"/>
          <w:lang w:val="es-419"/>
        </w:rPr>
        <w:t>Se tuvo en cuenta las series de empalme base = 2008 y el IPC final el vigente a diciembre de 2014.</w:t>
      </w:r>
    </w:p>
  </w:footnote>
  <w:footnote w:id="8">
    <w:p w14:paraId="3527F2DE" w14:textId="2427DFCD" w:rsidR="00C533F1" w:rsidRPr="003D1799" w:rsidRDefault="00C533F1" w:rsidP="003D1799">
      <w:pPr>
        <w:pStyle w:val="Textonotapie"/>
        <w:rPr>
          <w:sz w:val="18"/>
          <w:szCs w:val="18"/>
          <w:lang w:val="es-419"/>
        </w:rPr>
      </w:pPr>
      <w:r w:rsidRPr="003D1799">
        <w:rPr>
          <w:rStyle w:val="Refdenotaalpie"/>
          <w:sz w:val="18"/>
          <w:szCs w:val="18"/>
        </w:rPr>
        <w:footnoteRef/>
      </w:r>
      <w:r w:rsidRPr="003D1799">
        <w:rPr>
          <w:sz w:val="18"/>
          <w:szCs w:val="18"/>
        </w:rPr>
        <w:t xml:space="preserve"> </w:t>
      </w:r>
      <w:r w:rsidRPr="003D1799">
        <w:rPr>
          <w:sz w:val="18"/>
          <w:szCs w:val="18"/>
          <w:lang w:val="es-419"/>
        </w:rPr>
        <w:t>No se tuvo en cuenta las horas extras como factor salarial</w:t>
      </w:r>
    </w:p>
  </w:footnote>
  <w:footnote w:id="9">
    <w:p w14:paraId="385103E8" w14:textId="52A8398B" w:rsidR="00C533F1" w:rsidRPr="003D1799" w:rsidRDefault="00C533F1" w:rsidP="003D1799">
      <w:pPr>
        <w:pStyle w:val="Textonotapie"/>
        <w:rPr>
          <w:sz w:val="18"/>
          <w:szCs w:val="18"/>
          <w:lang w:val="es-419"/>
        </w:rPr>
      </w:pPr>
      <w:r w:rsidRPr="003D1799">
        <w:rPr>
          <w:rStyle w:val="Refdenotaalpie"/>
          <w:sz w:val="18"/>
          <w:szCs w:val="18"/>
        </w:rPr>
        <w:footnoteRef/>
      </w:r>
      <w:r w:rsidRPr="003D1799">
        <w:rPr>
          <w:sz w:val="18"/>
          <w:szCs w:val="18"/>
        </w:rPr>
        <w:t xml:space="preserve"> </w:t>
      </w:r>
      <w:r w:rsidRPr="003D1799">
        <w:rPr>
          <w:sz w:val="18"/>
          <w:szCs w:val="18"/>
          <w:lang w:val="es-419"/>
        </w:rPr>
        <w:t>Se incluyó el periodo de abril/95 que no estaba acreditado y para mayo/96 sucedió lo contrario.</w:t>
      </w:r>
    </w:p>
  </w:footnote>
  <w:footnote w:id="10">
    <w:p w14:paraId="3E8E3E13" w14:textId="51F50F35" w:rsidR="00C533F1" w:rsidRPr="001C0303" w:rsidRDefault="00C533F1" w:rsidP="003D1799">
      <w:pPr>
        <w:pStyle w:val="Textonotapie"/>
        <w:rPr>
          <w:lang w:val="es-419"/>
        </w:rPr>
      </w:pPr>
      <w:r w:rsidRPr="003D1799">
        <w:rPr>
          <w:rStyle w:val="Refdenotaalpie"/>
          <w:sz w:val="18"/>
          <w:szCs w:val="18"/>
        </w:rPr>
        <w:footnoteRef/>
      </w:r>
      <w:r w:rsidRPr="003D1799">
        <w:rPr>
          <w:sz w:val="18"/>
          <w:szCs w:val="18"/>
        </w:rPr>
        <w:t xml:space="preserve"> </w:t>
      </w:r>
      <w:r w:rsidRPr="003D1799">
        <w:rPr>
          <w:sz w:val="18"/>
          <w:szCs w:val="18"/>
          <w:lang w:val="es-419"/>
        </w:rPr>
        <w:t>De aplicar el 72% al IBL de $1.138.160 la mesada sería de $819.475 y no de 910.528.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46027" w14:textId="77777777" w:rsidR="00C533F1" w:rsidRPr="00F806FD" w:rsidRDefault="00C533F1" w:rsidP="00F806FD">
    <w:pPr>
      <w:pStyle w:val="NormalWeb"/>
      <w:tabs>
        <w:tab w:val="left" w:pos="1276"/>
      </w:tabs>
      <w:spacing w:before="0" w:beforeAutospacing="0" w:after="0" w:afterAutospacing="0"/>
      <w:jc w:val="both"/>
      <w:outlineLvl w:val="0"/>
      <w:rPr>
        <w:rFonts w:ascii="Arial" w:hAnsi="Arial" w:cs="Arial"/>
        <w:sz w:val="18"/>
        <w:szCs w:val="12"/>
      </w:rPr>
    </w:pPr>
    <w:r w:rsidRPr="00F806FD">
      <w:rPr>
        <w:rFonts w:ascii="Arial" w:hAnsi="Arial" w:cs="Arial"/>
        <w:sz w:val="18"/>
        <w:szCs w:val="12"/>
      </w:rPr>
      <w:t xml:space="preserve">Radicación No.: </w:t>
    </w:r>
    <w:r w:rsidRPr="00F806FD">
      <w:rPr>
        <w:rFonts w:ascii="Arial" w:hAnsi="Arial" w:cs="Arial"/>
        <w:sz w:val="18"/>
        <w:szCs w:val="12"/>
      </w:rPr>
      <w:tab/>
      <w:t>66001-31-05-005-2018-00223-01</w:t>
    </w:r>
  </w:p>
  <w:p w14:paraId="04A97ED4" w14:textId="77777777" w:rsidR="00C533F1" w:rsidRPr="00F806FD" w:rsidRDefault="00C533F1" w:rsidP="00F806FD">
    <w:pPr>
      <w:pStyle w:val="NormalWeb"/>
      <w:tabs>
        <w:tab w:val="left" w:pos="1276"/>
      </w:tabs>
      <w:spacing w:before="0" w:beforeAutospacing="0" w:after="0" w:afterAutospacing="0"/>
      <w:jc w:val="both"/>
      <w:rPr>
        <w:rFonts w:ascii="Arial" w:hAnsi="Arial" w:cs="Arial"/>
        <w:sz w:val="18"/>
        <w:szCs w:val="12"/>
      </w:rPr>
    </w:pPr>
    <w:r w:rsidRPr="00F806FD">
      <w:rPr>
        <w:rFonts w:ascii="Arial" w:hAnsi="Arial" w:cs="Arial"/>
        <w:sz w:val="18"/>
        <w:szCs w:val="12"/>
      </w:rPr>
      <w:t xml:space="preserve">Proceso: </w:t>
    </w:r>
    <w:r w:rsidRPr="00F806FD">
      <w:rPr>
        <w:rFonts w:ascii="Arial" w:hAnsi="Arial" w:cs="Arial"/>
        <w:sz w:val="18"/>
        <w:szCs w:val="12"/>
      </w:rPr>
      <w:tab/>
      <w:t xml:space="preserve">Ordinario Laboral </w:t>
    </w:r>
  </w:p>
  <w:p w14:paraId="75734981" w14:textId="77777777" w:rsidR="00C533F1" w:rsidRPr="00F806FD" w:rsidRDefault="00C533F1" w:rsidP="00F806FD">
    <w:pPr>
      <w:pStyle w:val="NormalWeb"/>
      <w:tabs>
        <w:tab w:val="left" w:pos="1276"/>
      </w:tabs>
      <w:spacing w:before="0" w:beforeAutospacing="0" w:after="0" w:afterAutospacing="0"/>
      <w:jc w:val="both"/>
      <w:rPr>
        <w:rFonts w:ascii="Arial" w:hAnsi="Arial" w:cs="Arial"/>
        <w:sz w:val="18"/>
        <w:szCs w:val="12"/>
      </w:rPr>
    </w:pPr>
    <w:r w:rsidRPr="00F806FD">
      <w:rPr>
        <w:rFonts w:ascii="Arial" w:hAnsi="Arial" w:cs="Arial"/>
        <w:sz w:val="18"/>
        <w:szCs w:val="12"/>
      </w:rPr>
      <w:t xml:space="preserve">Demandante: </w:t>
    </w:r>
    <w:r w:rsidRPr="00F806FD">
      <w:rPr>
        <w:rFonts w:ascii="Arial" w:hAnsi="Arial" w:cs="Arial"/>
        <w:sz w:val="18"/>
        <w:szCs w:val="12"/>
      </w:rPr>
      <w:tab/>
      <w:t>Joaquín María Grajales Osorio</w:t>
    </w:r>
  </w:p>
  <w:p w14:paraId="4D8BE815" w14:textId="77777777" w:rsidR="00C533F1" w:rsidRDefault="00C533F1" w:rsidP="00F806FD">
    <w:pPr>
      <w:pStyle w:val="NormalWeb"/>
      <w:tabs>
        <w:tab w:val="left" w:pos="1276"/>
      </w:tabs>
      <w:spacing w:before="0" w:beforeAutospacing="0" w:after="0" w:afterAutospacing="0"/>
      <w:ind w:left="1701" w:hanging="1701"/>
      <w:jc w:val="both"/>
      <w:rPr>
        <w:rFonts w:ascii="Arial" w:hAnsi="Arial" w:cs="Arial"/>
        <w:sz w:val="18"/>
        <w:szCs w:val="12"/>
      </w:rPr>
    </w:pPr>
    <w:r w:rsidRPr="00F806FD">
      <w:rPr>
        <w:rFonts w:ascii="Arial" w:hAnsi="Arial" w:cs="Arial"/>
        <w:sz w:val="18"/>
        <w:szCs w:val="12"/>
      </w:rPr>
      <w:t xml:space="preserve">Demandado: </w:t>
    </w:r>
    <w:r w:rsidRPr="00F806FD">
      <w:rPr>
        <w:rFonts w:ascii="Arial" w:hAnsi="Arial" w:cs="Arial"/>
        <w:sz w:val="18"/>
        <w:szCs w:val="12"/>
      </w:rPr>
      <w:tab/>
      <w:t xml:space="preserve">Colpensiones, PAR Telecom – </w:t>
    </w:r>
    <w:proofErr w:type="spellStart"/>
    <w:r w:rsidRPr="00F806FD">
      <w:rPr>
        <w:rFonts w:ascii="Arial" w:hAnsi="Arial" w:cs="Arial"/>
        <w:sz w:val="18"/>
        <w:szCs w:val="12"/>
      </w:rPr>
      <w:t>Fiduagraria</w:t>
    </w:r>
    <w:proofErr w:type="spellEnd"/>
    <w:r w:rsidRPr="00F806FD">
      <w:rPr>
        <w:rFonts w:ascii="Arial" w:hAnsi="Arial" w:cs="Arial"/>
        <w:sz w:val="18"/>
        <w:szCs w:val="12"/>
      </w:rPr>
      <w:t xml:space="preserve"> S.A. y Fiduciaria Popular S.A.</w:t>
    </w:r>
  </w:p>
  <w:p w14:paraId="3B4BCAE4" w14:textId="32958AFF" w:rsidR="00C533F1" w:rsidRPr="00F806FD" w:rsidRDefault="00C533F1" w:rsidP="00F806FD">
    <w:pPr>
      <w:pStyle w:val="NormalWeb"/>
      <w:tabs>
        <w:tab w:val="left" w:pos="1276"/>
      </w:tabs>
      <w:spacing w:before="0" w:beforeAutospacing="0" w:after="0" w:afterAutospacing="0"/>
      <w:ind w:left="1701" w:hanging="1701"/>
      <w:jc w:val="both"/>
      <w:rPr>
        <w:rFonts w:ascii="Arial" w:hAnsi="Arial" w:cs="Arial"/>
        <w:sz w:val="18"/>
        <w:szCs w:val="12"/>
      </w:rPr>
    </w:pPr>
    <w:r>
      <w:rPr>
        <w:rFonts w:ascii="Arial" w:hAnsi="Arial" w:cs="Arial"/>
        <w:sz w:val="18"/>
        <w:szCs w:val="12"/>
      </w:rPr>
      <w:t>V</w:t>
    </w:r>
    <w:r w:rsidRPr="00F806FD">
      <w:rPr>
        <w:rFonts w:ascii="Arial" w:hAnsi="Arial" w:cs="Arial"/>
        <w:sz w:val="18"/>
        <w:szCs w:val="12"/>
      </w:rPr>
      <w:t>inculado</w:t>
    </w:r>
    <w:r>
      <w:rPr>
        <w:rFonts w:ascii="Arial" w:hAnsi="Arial" w:cs="Arial"/>
        <w:sz w:val="18"/>
        <w:szCs w:val="12"/>
      </w:rPr>
      <w:t>:</w:t>
    </w:r>
    <w:r>
      <w:rPr>
        <w:rFonts w:ascii="Arial" w:hAnsi="Arial" w:cs="Arial"/>
        <w:sz w:val="18"/>
        <w:szCs w:val="12"/>
      </w:rPr>
      <w:tab/>
    </w:r>
    <w:r w:rsidRPr="00F806FD">
      <w:rPr>
        <w:rFonts w:ascii="Arial" w:hAnsi="Arial" w:cs="Arial"/>
        <w:sz w:val="18"/>
        <w:szCs w:val="12"/>
      </w:rPr>
      <w:t>Ministerio de Hacienda y Crédito Público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14B2"/>
    <w:multiLevelType w:val="hybridMultilevel"/>
    <w:tmpl w:val="A45AB1B2"/>
    <w:lvl w:ilvl="0" w:tplc="2090994C">
      <w:start w:val="6"/>
      <w:numFmt w:val="bullet"/>
      <w:lvlText w:val="-"/>
      <w:lvlJc w:val="left"/>
      <w:pPr>
        <w:ind w:left="360" w:hanging="360"/>
      </w:pPr>
      <w:rPr>
        <w:rFonts w:ascii="Tahoma" w:eastAsiaTheme="minorHAnsi" w:hAnsi="Tahoma" w:cs="Tahom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E89255B"/>
    <w:multiLevelType w:val="hybridMultilevel"/>
    <w:tmpl w:val="5B0C4B88"/>
    <w:lvl w:ilvl="0" w:tplc="C9E8666A">
      <w:start w:val="6"/>
      <w:numFmt w:val="bullet"/>
      <w:lvlText w:val="-"/>
      <w:lvlJc w:val="left"/>
      <w:pPr>
        <w:ind w:left="720" w:hanging="360"/>
      </w:pPr>
      <w:rPr>
        <w:rFonts w:ascii="Tahoma" w:eastAsiaTheme="minorHAns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86C20FD"/>
    <w:multiLevelType w:val="hybridMultilevel"/>
    <w:tmpl w:val="4A50665A"/>
    <w:lvl w:ilvl="0" w:tplc="0890D552">
      <w:start w:val="1"/>
      <w:numFmt w:val="lowerRoman"/>
      <w:lvlText w:val="%1)"/>
      <w:lvlJc w:val="left"/>
      <w:pPr>
        <w:ind w:left="1080" w:hanging="72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590E406F"/>
    <w:multiLevelType w:val="hybridMultilevel"/>
    <w:tmpl w:val="2904EA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4B0525C"/>
    <w:multiLevelType w:val="multilevel"/>
    <w:tmpl w:val="28220D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BB"/>
    <w:rsid w:val="0002043C"/>
    <w:rsid w:val="000209E1"/>
    <w:rsid w:val="000215A5"/>
    <w:rsid w:val="00063F9A"/>
    <w:rsid w:val="00066C37"/>
    <w:rsid w:val="00067676"/>
    <w:rsid w:val="00074C5D"/>
    <w:rsid w:val="000856FE"/>
    <w:rsid w:val="00087B75"/>
    <w:rsid w:val="00091102"/>
    <w:rsid w:val="000A05B1"/>
    <w:rsid w:val="000B062C"/>
    <w:rsid w:val="000C0E49"/>
    <w:rsid w:val="000C197B"/>
    <w:rsid w:val="00104F76"/>
    <w:rsid w:val="00110CDB"/>
    <w:rsid w:val="00134737"/>
    <w:rsid w:val="001363CA"/>
    <w:rsid w:val="001530B8"/>
    <w:rsid w:val="00174E41"/>
    <w:rsid w:val="00176A7A"/>
    <w:rsid w:val="0018567B"/>
    <w:rsid w:val="001B4E61"/>
    <w:rsid w:val="001C0303"/>
    <w:rsid w:val="001D345D"/>
    <w:rsid w:val="001D5F44"/>
    <w:rsid w:val="001E6CC1"/>
    <w:rsid w:val="00205A22"/>
    <w:rsid w:val="00211ABC"/>
    <w:rsid w:val="0021494D"/>
    <w:rsid w:val="002375BD"/>
    <w:rsid w:val="00244881"/>
    <w:rsid w:val="002546A9"/>
    <w:rsid w:val="002666BF"/>
    <w:rsid w:val="00275B9D"/>
    <w:rsid w:val="00277694"/>
    <w:rsid w:val="0028487D"/>
    <w:rsid w:val="00286238"/>
    <w:rsid w:val="002B0969"/>
    <w:rsid w:val="002C00F7"/>
    <w:rsid w:val="002C0540"/>
    <w:rsid w:val="002D2816"/>
    <w:rsid w:val="002D5952"/>
    <w:rsid w:val="002D7975"/>
    <w:rsid w:val="002E00C3"/>
    <w:rsid w:val="002E62D8"/>
    <w:rsid w:val="002F7224"/>
    <w:rsid w:val="00316BF5"/>
    <w:rsid w:val="00317418"/>
    <w:rsid w:val="003209F8"/>
    <w:rsid w:val="003528CE"/>
    <w:rsid w:val="003628B2"/>
    <w:rsid w:val="0038128D"/>
    <w:rsid w:val="00382790"/>
    <w:rsid w:val="00383919"/>
    <w:rsid w:val="0038673B"/>
    <w:rsid w:val="00393F47"/>
    <w:rsid w:val="00395C0C"/>
    <w:rsid w:val="003D14D0"/>
    <w:rsid w:val="003D1799"/>
    <w:rsid w:val="003D6CD9"/>
    <w:rsid w:val="004163E0"/>
    <w:rsid w:val="00422C67"/>
    <w:rsid w:val="00426F59"/>
    <w:rsid w:val="004337A4"/>
    <w:rsid w:val="004374CE"/>
    <w:rsid w:val="00446447"/>
    <w:rsid w:val="00450C7F"/>
    <w:rsid w:val="00452293"/>
    <w:rsid w:val="00467777"/>
    <w:rsid w:val="004B3445"/>
    <w:rsid w:val="004C674E"/>
    <w:rsid w:val="004D6920"/>
    <w:rsid w:val="004F2C76"/>
    <w:rsid w:val="00504C60"/>
    <w:rsid w:val="00524539"/>
    <w:rsid w:val="00525E74"/>
    <w:rsid w:val="005327DB"/>
    <w:rsid w:val="00544694"/>
    <w:rsid w:val="0055726F"/>
    <w:rsid w:val="0056190A"/>
    <w:rsid w:val="005960EC"/>
    <w:rsid w:val="005A6CC9"/>
    <w:rsid w:val="005A6E38"/>
    <w:rsid w:val="005B5103"/>
    <w:rsid w:val="005C37D1"/>
    <w:rsid w:val="005D0700"/>
    <w:rsid w:val="005F7D64"/>
    <w:rsid w:val="00611C98"/>
    <w:rsid w:val="0062340C"/>
    <w:rsid w:val="0064208B"/>
    <w:rsid w:val="00642C80"/>
    <w:rsid w:val="00646D3F"/>
    <w:rsid w:val="00652B10"/>
    <w:rsid w:val="006931D7"/>
    <w:rsid w:val="006956EF"/>
    <w:rsid w:val="006A10F9"/>
    <w:rsid w:val="006B5345"/>
    <w:rsid w:val="006C4EE2"/>
    <w:rsid w:val="006D01D9"/>
    <w:rsid w:val="006E089F"/>
    <w:rsid w:val="006E1E07"/>
    <w:rsid w:val="006E5B9B"/>
    <w:rsid w:val="007252E6"/>
    <w:rsid w:val="007313C9"/>
    <w:rsid w:val="007356C5"/>
    <w:rsid w:val="00735A21"/>
    <w:rsid w:val="00746CCA"/>
    <w:rsid w:val="0078171B"/>
    <w:rsid w:val="00783130"/>
    <w:rsid w:val="00797B6A"/>
    <w:rsid w:val="007B01B7"/>
    <w:rsid w:val="007B5F29"/>
    <w:rsid w:val="007C2DEA"/>
    <w:rsid w:val="007F001F"/>
    <w:rsid w:val="007F2DF4"/>
    <w:rsid w:val="0080190F"/>
    <w:rsid w:val="00831338"/>
    <w:rsid w:val="00844988"/>
    <w:rsid w:val="00846C16"/>
    <w:rsid w:val="008528DB"/>
    <w:rsid w:val="008548ED"/>
    <w:rsid w:val="008567C2"/>
    <w:rsid w:val="008656CF"/>
    <w:rsid w:val="008A39A8"/>
    <w:rsid w:val="008B3100"/>
    <w:rsid w:val="008B733D"/>
    <w:rsid w:val="008B77C2"/>
    <w:rsid w:val="008C4427"/>
    <w:rsid w:val="008E49D8"/>
    <w:rsid w:val="008E537E"/>
    <w:rsid w:val="00923097"/>
    <w:rsid w:val="0093403B"/>
    <w:rsid w:val="009532E6"/>
    <w:rsid w:val="00955E5F"/>
    <w:rsid w:val="00963413"/>
    <w:rsid w:val="00971A57"/>
    <w:rsid w:val="00974EFC"/>
    <w:rsid w:val="00990DB2"/>
    <w:rsid w:val="00993AFC"/>
    <w:rsid w:val="00995C94"/>
    <w:rsid w:val="009A5E32"/>
    <w:rsid w:val="009C5509"/>
    <w:rsid w:val="009E46AE"/>
    <w:rsid w:val="009F71A5"/>
    <w:rsid w:val="00A011EB"/>
    <w:rsid w:val="00A0203C"/>
    <w:rsid w:val="00A0388B"/>
    <w:rsid w:val="00A10EC9"/>
    <w:rsid w:val="00A30AD3"/>
    <w:rsid w:val="00A61F88"/>
    <w:rsid w:val="00A74B4B"/>
    <w:rsid w:val="00A955E9"/>
    <w:rsid w:val="00AA03E0"/>
    <w:rsid w:val="00AB1E45"/>
    <w:rsid w:val="00AC65AD"/>
    <w:rsid w:val="00AC6C42"/>
    <w:rsid w:val="00AE123A"/>
    <w:rsid w:val="00B059B0"/>
    <w:rsid w:val="00B0790E"/>
    <w:rsid w:val="00B14480"/>
    <w:rsid w:val="00B36857"/>
    <w:rsid w:val="00B450B3"/>
    <w:rsid w:val="00B5409B"/>
    <w:rsid w:val="00B716AE"/>
    <w:rsid w:val="00BA212C"/>
    <w:rsid w:val="00BC3BD1"/>
    <w:rsid w:val="00BD74E0"/>
    <w:rsid w:val="00C1279B"/>
    <w:rsid w:val="00C12FFA"/>
    <w:rsid w:val="00C27D74"/>
    <w:rsid w:val="00C33B7C"/>
    <w:rsid w:val="00C402FB"/>
    <w:rsid w:val="00C533F1"/>
    <w:rsid w:val="00C60DF9"/>
    <w:rsid w:val="00C64F77"/>
    <w:rsid w:val="00C7669D"/>
    <w:rsid w:val="00CA37A6"/>
    <w:rsid w:val="00CA4AAC"/>
    <w:rsid w:val="00CA4C8A"/>
    <w:rsid w:val="00CC27AF"/>
    <w:rsid w:val="00CC6C13"/>
    <w:rsid w:val="00CF169D"/>
    <w:rsid w:val="00CF7F1F"/>
    <w:rsid w:val="00D006A7"/>
    <w:rsid w:val="00D12D49"/>
    <w:rsid w:val="00D354EA"/>
    <w:rsid w:val="00D433C1"/>
    <w:rsid w:val="00D450B1"/>
    <w:rsid w:val="00D669DF"/>
    <w:rsid w:val="00D71DC3"/>
    <w:rsid w:val="00D843D0"/>
    <w:rsid w:val="00DD62DA"/>
    <w:rsid w:val="00DD6F71"/>
    <w:rsid w:val="00E01BB5"/>
    <w:rsid w:val="00E031BB"/>
    <w:rsid w:val="00E174F4"/>
    <w:rsid w:val="00E44599"/>
    <w:rsid w:val="00E643EB"/>
    <w:rsid w:val="00E71E3C"/>
    <w:rsid w:val="00E7646D"/>
    <w:rsid w:val="00E802CB"/>
    <w:rsid w:val="00E867B6"/>
    <w:rsid w:val="00E9350B"/>
    <w:rsid w:val="00EA1417"/>
    <w:rsid w:val="00EA248F"/>
    <w:rsid w:val="00EB2F4A"/>
    <w:rsid w:val="00EC5E62"/>
    <w:rsid w:val="00EE6F60"/>
    <w:rsid w:val="00F13AB4"/>
    <w:rsid w:val="00F2165E"/>
    <w:rsid w:val="00F40ABC"/>
    <w:rsid w:val="00F470AC"/>
    <w:rsid w:val="00F666BB"/>
    <w:rsid w:val="00F73D8B"/>
    <w:rsid w:val="00F806FD"/>
    <w:rsid w:val="00F83A61"/>
    <w:rsid w:val="00F86428"/>
    <w:rsid w:val="00F94A5A"/>
    <w:rsid w:val="00FF39D2"/>
    <w:rsid w:val="0580FD7F"/>
    <w:rsid w:val="103245A8"/>
    <w:rsid w:val="17E63991"/>
    <w:rsid w:val="18E8DE12"/>
    <w:rsid w:val="55963D89"/>
    <w:rsid w:val="709BDF3C"/>
    <w:rsid w:val="72826808"/>
    <w:rsid w:val="7D5EB4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B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C65AD"/>
    <w:pPr>
      <w:spacing w:line="240" w:lineRule="auto"/>
    </w:pPr>
    <w:rPr>
      <w:sz w:val="20"/>
      <w:szCs w:val="20"/>
    </w:rPr>
  </w:style>
  <w:style w:type="character" w:customStyle="1" w:styleId="TextonotapieCar">
    <w:name w:val="Texto nota pie Car"/>
    <w:basedOn w:val="Fuentedeprrafopredeter"/>
    <w:link w:val="Textonotapie"/>
    <w:uiPriority w:val="99"/>
    <w:semiHidden/>
    <w:rsid w:val="00AC65A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basedOn w:val="Fuentedeprrafopredeter"/>
    <w:uiPriority w:val="99"/>
    <w:unhideWhenUsed/>
    <w:rsid w:val="00AC65AD"/>
    <w:rPr>
      <w:vertAlign w:val="superscript"/>
    </w:rPr>
  </w:style>
  <w:style w:type="paragraph" w:styleId="Prrafodelista">
    <w:name w:val="List Paragraph"/>
    <w:basedOn w:val="Normal"/>
    <w:qFormat/>
    <w:rsid w:val="000C0E49"/>
    <w:pPr>
      <w:ind w:left="720"/>
      <w:contextualSpacing/>
    </w:pPr>
  </w:style>
  <w:style w:type="paragraph" w:customStyle="1" w:styleId="paragraph">
    <w:name w:val="paragraph"/>
    <w:basedOn w:val="Normal"/>
    <w:rsid w:val="007F2DF4"/>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7F2DF4"/>
  </w:style>
  <w:style w:type="character" w:customStyle="1" w:styleId="eop">
    <w:name w:val="eop"/>
    <w:basedOn w:val="Fuentedeprrafopredeter"/>
    <w:rsid w:val="007F2DF4"/>
  </w:style>
  <w:style w:type="paragraph" w:styleId="NormalWeb">
    <w:name w:val="Normal (Web)"/>
    <w:basedOn w:val="Normal"/>
    <w:uiPriority w:val="99"/>
    <w:unhideWhenUsed/>
    <w:rsid w:val="007F2DF4"/>
    <w:pPr>
      <w:spacing w:before="100" w:beforeAutospacing="1" w:after="100" w:afterAutospacing="1" w:line="240" w:lineRule="auto"/>
      <w:jc w:val="left"/>
    </w:pPr>
    <w:rPr>
      <w:rFonts w:ascii="Times New Roman" w:eastAsia="Times New Roman" w:hAnsi="Times New Roman" w:cs="Times New Roman"/>
      <w:lang w:val="es-ES" w:eastAsia="es-ES"/>
    </w:rPr>
  </w:style>
  <w:style w:type="character" w:styleId="Refdecomentario">
    <w:name w:val="annotation reference"/>
    <w:basedOn w:val="Fuentedeprrafopredeter"/>
    <w:uiPriority w:val="99"/>
    <w:semiHidden/>
    <w:unhideWhenUsed/>
    <w:rsid w:val="005960EC"/>
    <w:rPr>
      <w:sz w:val="16"/>
      <w:szCs w:val="16"/>
    </w:rPr>
  </w:style>
  <w:style w:type="paragraph" w:styleId="Textocomentario">
    <w:name w:val="annotation text"/>
    <w:basedOn w:val="Normal"/>
    <w:link w:val="TextocomentarioCar"/>
    <w:uiPriority w:val="99"/>
    <w:semiHidden/>
    <w:unhideWhenUsed/>
    <w:rsid w:val="005960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0EC"/>
    <w:rPr>
      <w:sz w:val="20"/>
      <w:szCs w:val="20"/>
    </w:rPr>
  </w:style>
  <w:style w:type="paragraph" w:styleId="Asuntodelcomentario">
    <w:name w:val="annotation subject"/>
    <w:basedOn w:val="Textocomentario"/>
    <w:next w:val="Textocomentario"/>
    <w:link w:val="AsuntodelcomentarioCar"/>
    <w:uiPriority w:val="99"/>
    <w:semiHidden/>
    <w:unhideWhenUsed/>
    <w:rsid w:val="005960EC"/>
    <w:rPr>
      <w:b/>
      <w:bCs/>
    </w:rPr>
  </w:style>
  <w:style w:type="character" w:customStyle="1" w:styleId="AsuntodelcomentarioCar">
    <w:name w:val="Asunto del comentario Car"/>
    <w:basedOn w:val="TextocomentarioCar"/>
    <w:link w:val="Asuntodelcomentario"/>
    <w:uiPriority w:val="99"/>
    <w:semiHidden/>
    <w:rsid w:val="005960EC"/>
    <w:rPr>
      <w:b/>
      <w:bCs/>
      <w:sz w:val="20"/>
      <w:szCs w:val="20"/>
    </w:rPr>
  </w:style>
  <w:style w:type="paragraph" w:styleId="Textodeglobo">
    <w:name w:val="Balloon Text"/>
    <w:basedOn w:val="Normal"/>
    <w:link w:val="TextodegloboCar"/>
    <w:uiPriority w:val="99"/>
    <w:semiHidden/>
    <w:unhideWhenUsed/>
    <w:rsid w:val="005960E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0EC"/>
    <w:rPr>
      <w:rFonts w:ascii="Segoe UI" w:hAnsi="Segoe UI" w:cs="Segoe UI"/>
      <w:sz w:val="18"/>
      <w:szCs w:val="18"/>
    </w:rPr>
  </w:style>
  <w:style w:type="character" w:styleId="Hipervnculo">
    <w:name w:val="Hyperlink"/>
    <w:basedOn w:val="Fuentedeprrafopredeter"/>
    <w:uiPriority w:val="99"/>
    <w:semiHidden/>
    <w:unhideWhenUsed/>
    <w:rsid w:val="00A0388B"/>
    <w:rPr>
      <w:color w:val="0000FF"/>
      <w:u w:val="single"/>
    </w:rPr>
  </w:style>
  <w:style w:type="paragraph" w:styleId="z-Principiodelformulario">
    <w:name w:val="HTML Top of Form"/>
    <w:basedOn w:val="Normal"/>
    <w:next w:val="Normal"/>
    <w:link w:val="z-PrincipiodelformularioCar"/>
    <w:hidden/>
    <w:uiPriority w:val="99"/>
    <w:semiHidden/>
    <w:unhideWhenUsed/>
    <w:rsid w:val="00A0388B"/>
    <w:pPr>
      <w:pBdr>
        <w:bottom w:val="single" w:sz="6" w:space="1" w:color="auto"/>
      </w:pBdr>
      <w:spacing w:line="240" w:lineRule="auto"/>
      <w:jc w:val="center"/>
    </w:pPr>
    <w:rPr>
      <w:rFonts w:eastAsia="Times New Roman"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A0388B"/>
    <w:rPr>
      <w:rFonts w:eastAsia="Times New Roman"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A0388B"/>
    <w:pPr>
      <w:pBdr>
        <w:top w:val="single" w:sz="6" w:space="1" w:color="auto"/>
      </w:pBdr>
      <w:spacing w:line="240" w:lineRule="auto"/>
      <w:jc w:val="center"/>
    </w:pPr>
    <w:rPr>
      <w:rFonts w:eastAsia="Times New Roman"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A0388B"/>
    <w:rPr>
      <w:rFonts w:eastAsia="Times New Roman" w:cs="Arial"/>
      <w:vanish/>
      <w:sz w:val="16"/>
      <w:szCs w:val="16"/>
      <w:lang w:eastAsia="es-CO"/>
    </w:rPr>
  </w:style>
  <w:style w:type="character" w:customStyle="1" w:styleId="baj">
    <w:name w:val="b_aj"/>
    <w:basedOn w:val="Fuentedeprrafopredeter"/>
    <w:rsid w:val="00A0388B"/>
  </w:style>
  <w:style w:type="paragraph" w:customStyle="1" w:styleId="centrado">
    <w:name w:val="centrado"/>
    <w:basedOn w:val="Normal"/>
    <w:rsid w:val="00A0388B"/>
    <w:pPr>
      <w:spacing w:before="100" w:beforeAutospacing="1" w:after="100" w:afterAutospacing="1" w:line="240" w:lineRule="auto"/>
      <w:jc w:val="left"/>
    </w:pPr>
    <w:rPr>
      <w:rFonts w:ascii="Times New Roman" w:eastAsia="Times New Roman" w:hAnsi="Times New Roman" w:cs="Times New Roman"/>
      <w:lang w:eastAsia="es-CO"/>
    </w:rPr>
  </w:style>
  <w:style w:type="character" w:customStyle="1" w:styleId="iaj">
    <w:name w:val="i_aj"/>
    <w:basedOn w:val="Fuentedeprrafopredeter"/>
    <w:rsid w:val="00A0388B"/>
  </w:style>
  <w:style w:type="paragraph" w:styleId="Encabezado">
    <w:name w:val="header"/>
    <w:basedOn w:val="Normal"/>
    <w:link w:val="EncabezadoCar"/>
    <w:uiPriority w:val="99"/>
    <w:unhideWhenUsed/>
    <w:rsid w:val="00A74B4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74B4B"/>
  </w:style>
  <w:style w:type="paragraph" w:styleId="Piedepgina">
    <w:name w:val="footer"/>
    <w:basedOn w:val="Normal"/>
    <w:link w:val="PiedepginaCar"/>
    <w:uiPriority w:val="99"/>
    <w:unhideWhenUsed/>
    <w:rsid w:val="00A74B4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74B4B"/>
  </w:style>
  <w:style w:type="table" w:customStyle="1" w:styleId="GridTable5DarkAccent3">
    <w:name w:val="Grid Table 5 Dark Accent 3"/>
    <w:basedOn w:val="Tablanormal"/>
    <w:uiPriority w:val="50"/>
    <w:rsid w:val="00A74B4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4Accent3">
    <w:name w:val="List Table 4 Accent 3"/>
    <w:basedOn w:val="Tablanormal"/>
    <w:uiPriority w:val="49"/>
    <w:rsid w:val="00A74B4B"/>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SinespaciadoCar">
    <w:name w:val="Sin espaciado Car"/>
    <w:link w:val="Sinespaciado"/>
    <w:uiPriority w:val="1"/>
    <w:locked/>
    <w:rsid w:val="004C674E"/>
  </w:style>
  <w:style w:type="paragraph" w:styleId="Sinespaciado">
    <w:name w:val="No Spacing"/>
    <w:link w:val="SinespaciadoCar"/>
    <w:uiPriority w:val="1"/>
    <w:qFormat/>
    <w:rsid w:val="004C674E"/>
    <w:pPr>
      <w:spacing w:line="240" w:lineRule="auto"/>
      <w:jc w:val="left"/>
    </w:pPr>
  </w:style>
  <w:style w:type="paragraph" w:customStyle="1" w:styleId="Prrafodelista2">
    <w:name w:val="Párrafo de lista2"/>
    <w:basedOn w:val="Normal"/>
    <w:uiPriority w:val="99"/>
    <w:rsid w:val="004C674E"/>
    <w:pPr>
      <w:spacing w:after="200" w:line="276" w:lineRule="auto"/>
      <w:ind w:left="720"/>
      <w:contextualSpacing/>
      <w:jc w:val="left"/>
    </w:pPr>
    <w:rPr>
      <w:rFonts w:ascii="Calibri" w:eastAsia="Times New Roman" w:hAnsi="Calibri" w:cs="Times New Roman"/>
      <w:sz w:val="22"/>
      <w:szCs w:val="22"/>
    </w:rPr>
  </w:style>
  <w:style w:type="character" w:styleId="Hipervnculovisitado">
    <w:name w:val="FollowedHyperlink"/>
    <w:basedOn w:val="Fuentedeprrafopredeter"/>
    <w:uiPriority w:val="99"/>
    <w:semiHidden/>
    <w:unhideWhenUsed/>
    <w:rsid w:val="00286238"/>
    <w:rPr>
      <w:color w:val="96A9A9"/>
      <w:u w:val="single"/>
    </w:rPr>
  </w:style>
  <w:style w:type="paragraph" w:customStyle="1" w:styleId="msonormal0">
    <w:name w:val="msonormal"/>
    <w:basedOn w:val="Normal"/>
    <w:rsid w:val="00286238"/>
    <w:pPr>
      <w:spacing w:before="100" w:beforeAutospacing="1" w:after="100" w:afterAutospacing="1" w:line="240" w:lineRule="auto"/>
      <w:jc w:val="left"/>
    </w:pPr>
    <w:rPr>
      <w:rFonts w:ascii="Times New Roman" w:eastAsia="Times New Roman" w:hAnsi="Times New Roman" w:cs="Times New Roman"/>
      <w:lang w:val="es-419" w:eastAsia="es-419"/>
    </w:rPr>
  </w:style>
  <w:style w:type="paragraph" w:customStyle="1" w:styleId="font5">
    <w:name w:val="font5"/>
    <w:basedOn w:val="Normal"/>
    <w:rsid w:val="00286238"/>
    <w:pPr>
      <w:spacing w:before="100" w:beforeAutospacing="1" w:after="100" w:afterAutospacing="1" w:line="240" w:lineRule="auto"/>
      <w:jc w:val="left"/>
    </w:pPr>
    <w:rPr>
      <w:rFonts w:ascii="Tahoma" w:eastAsia="Times New Roman" w:hAnsi="Tahoma" w:cs="Tahoma"/>
      <w:b/>
      <w:bCs/>
      <w:color w:val="000000"/>
      <w:sz w:val="18"/>
      <w:szCs w:val="18"/>
      <w:lang w:val="es-419" w:eastAsia="es-419"/>
    </w:rPr>
  </w:style>
  <w:style w:type="paragraph" w:customStyle="1" w:styleId="font6">
    <w:name w:val="font6"/>
    <w:basedOn w:val="Normal"/>
    <w:rsid w:val="00286238"/>
    <w:pPr>
      <w:spacing w:before="100" w:beforeAutospacing="1" w:after="100" w:afterAutospacing="1" w:line="240" w:lineRule="auto"/>
      <w:jc w:val="left"/>
    </w:pPr>
    <w:rPr>
      <w:rFonts w:ascii="Tahoma" w:eastAsia="Times New Roman" w:hAnsi="Tahoma" w:cs="Tahoma"/>
      <w:color w:val="000000"/>
      <w:sz w:val="18"/>
      <w:szCs w:val="18"/>
      <w:lang w:val="es-419" w:eastAsia="es-419"/>
    </w:rPr>
  </w:style>
  <w:style w:type="paragraph" w:customStyle="1" w:styleId="xl95">
    <w:name w:val="xl95"/>
    <w:basedOn w:val="Normal"/>
    <w:rsid w:val="00286238"/>
    <w:pPr>
      <w:spacing w:before="100" w:beforeAutospacing="1" w:after="100" w:afterAutospacing="1" w:line="240" w:lineRule="auto"/>
      <w:jc w:val="left"/>
    </w:pPr>
    <w:rPr>
      <w:rFonts w:ascii="Arial Nova Cond Light" w:eastAsia="Times New Roman" w:hAnsi="Arial Nova Cond Light" w:cs="Times New Roman"/>
      <w:sz w:val="16"/>
      <w:szCs w:val="16"/>
      <w:lang w:val="es-419" w:eastAsia="es-419"/>
    </w:rPr>
  </w:style>
  <w:style w:type="paragraph" w:customStyle="1" w:styleId="xl96">
    <w:name w:val="xl96"/>
    <w:basedOn w:val="Normal"/>
    <w:rsid w:val="00286238"/>
    <w:pPr>
      <w:pBdr>
        <w:top w:val="single" w:sz="4" w:space="0" w:color="70493D"/>
        <w:bottom w:val="single" w:sz="4" w:space="0" w:color="70493D"/>
        <w:right w:val="single" w:sz="4" w:space="0" w:color="70493D"/>
      </w:pBdr>
      <w:shd w:val="clear" w:color="000000" w:fill="FFFFFF"/>
      <w:spacing w:before="100" w:beforeAutospacing="1" w:after="100" w:afterAutospacing="1" w:line="240" w:lineRule="auto"/>
      <w:jc w:val="right"/>
      <w:textAlignment w:val="center"/>
    </w:pPr>
    <w:rPr>
      <w:rFonts w:ascii="Arial Nova Cond Light" w:eastAsia="Times New Roman" w:hAnsi="Arial Nova Cond Light" w:cs="Times New Roman"/>
      <w:color w:val="000000"/>
      <w:sz w:val="16"/>
      <w:szCs w:val="16"/>
      <w:lang w:val="es-419" w:eastAsia="es-419"/>
    </w:rPr>
  </w:style>
  <w:style w:type="paragraph" w:customStyle="1" w:styleId="xl97">
    <w:name w:val="xl97"/>
    <w:basedOn w:val="Normal"/>
    <w:rsid w:val="00286238"/>
    <w:pPr>
      <w:pBdr>
        <w:top w:val="single" w:sz="4" w:space="0" w:color="70493D"/>
        <w:left w:val="single" w:sz="4" w:space="0" w:color="70493D"/>
        <w:bottom w:val="single" w:sz="4" w:space="0" w:color="70493D"/>
        <w:right w:val="single" w:sz="4" w:space="0" w:color="70493D"/>
      </w:pBdr>
      <w:shd w:val="clear" w:color="000000" w:fill="FFFFFF"/>
      <w:spacing w:before="100" w:beforeAutospacing="1" w:after="100" w:afterAutospacing="1" w:line="240" w:lineRule="auto"/>
      <w:jc w:val="right"/>
      <w:textAlignment w:val="center"/>
    </w:pPr>
    <w:rPr>
      <w:rFonts w:ascii="Arial Nova Cond Light" w:eastAsia="Times New Roman" w:hAnsi="Arial Nova Cond Light" w:cs="Times New Roman"/>
      <w:color w:val="000000"/>
      <w:sz w:val="16"/>
      <w:szCs w:val="16"/>
      <w:lang w:val="es-419" w:eastAsia="es-419"/>
    </w:rPr>
  </w:style>
  <w:style w:type="paragraph" w:customStyle="1" w:styleId="xl98">
    <w:name w:val="xl98"/>
    <w:basedOn w:val="Normal"/>
    <w:rsid w:val="00286238"/>
    <w:pPr>
      <w:pBdr>
        <w:top w:val="single" w:sz="4" w:space="0" w:color="70493D"/>
        <w:left w:val="single" w:sz="4" w:space="0" w:color="70493D"/>
        <w:bottom w:val="single" w:sz="4" w:space="0" w:color="70493D"/>
        <w:right w:val="single" w:sz="4" w:space="0" w:color="70493D"/>
      </w:pBdr>
      <w:shd w:val="clear" w:color="000000" w:fill="FFFFFF"/>
      <w:spacing w:before="100" w:beforeAutospacing="1" w:after="100" w:afterAutospacing="1" w:line="240" w:lineRule="auto"/>
      <w:jc w:val="right"/>
      <w:textAlignment w:val="center"/>
    </w:pPr>
    <w:rPr>
      <w:rFonts w:ascii="Arial Nova Cond Light" w:eastAsia="Times New Roman" w:hAnsi="Arial Nova Cond Light" w:cs="Times New Roman"/>
      <w:color w:val="4F4A4A"/>
      <w:sz w:val="16"/>
      <w:szCs w:val="16"/>
      <w:lang w:val="es-419" w:eastAsia="es-419"/>
    </w:rPr>
  </w:style>
  <w:style w:type="paragraph" w:customStyle="1" w:styleId="xl99">
    <w:name w:val="xl99"/>
    <w:basedOn w:val="Normal"/>
    <w:rsid w:val="00286238"/>
    <w:pPr>
      <w:pBdr>
        <w:top w:val="single" w:sz="4" w:space="0" w:color="70493D"/>
        <w:left w:val="single" w:sz="4" w:space="0" w:color="70493D"/>
        <w:bottom w:val="single" w:sz="4" w:space="0" w:color="70493D"/>
        <w:right w:val="single" w:sz="4" w:space="0" w:color="70493D"/>
      </w:pBdr>
      <w:shd w:val="clear" w:color="000000" w:fill="F2F2F2"/>
      <w:spacing w:before="100" w:beforeAutospacing="1" w:after="100" w:afterAutospacing="1" w:line="240" w:lineRule="auto"/>
      <w:jc w:val="left"/>
      <w:textAlignment w:val="center"/>
    </w:pPr>
    <w:rPr>
      <w:rFonts w:ascii="Arial Nova Cond Light" w:eastAsia="Times New Roman" w:hAnsi="Arial Nova Cond Light" w:cs="Times New Roman"/>
      <w:color w:val="000000"/>
      <w:sz w:val="16"/>
      <w:szCs w:val="16"/>
      <w:lang w:val="es-419" w:eastAsia="es-419"/>
    </w:rPr>
  </w:style>
  <w:style w:type="paragraph" w:customStyle="1" w:styleId="xl100">
    <w:name w:val="xl100"/>
    <w:basedOn w:val="Normal"/>
    <w:rsid w:val="00286238"/>
    <w:pPr>
      <w:pBdr>
        <w:top w:val="single" w:sz="4" w:space="0" w:color="70493D"/>
        <w:left w:val="single" w:sz="4" w:space="0" w:color="70493D"/>
        <w:bottom w:val="single" w:sz="4" w:space="0" w:color="70493D"/>
        <w:right w:val="single" w:sz="4" w:space="0" w:color="70493D"/>
      </w:pBdr>
      <w:shd w:val="clear" w:color="000000" w:fill="F2F2F2"/>
      <w:spacing w:before="100" w:beforeAutospacing="1" w:after="100" w:afterAutospacing="1" w:line="240" w:lineRule="auto"/>
      <w:jc w:val="left"/>
      <w:textAlignment w:val="center"/>
    </w:pPr>
    <w:rPr>
      <w:rFonts w:ascii="Arial Nova Cond Light" w:eastAsia="Times New Roman" w:hAnsi="Arial Nova Cond Light" w:cs="Times New Roman"/>
      <w:color w:val="000000"/>
      <w:sz w:val="16"/>
      <w:szCs w:val="16"/>
      <w:lang w:val="es-419" w:eastAsia="es-419"/>
    </w:rPr>
  </w:style>
  <w:style w:type="paragraph" w:customStyle="1" w:styleId="xl101">
    <w:name w:val="xl101"/>
    <w:basedOn w:val="Normal"/>
    <w:rsid w:val="00286238"/>
    <w:pPr>
      <w:pBdr>
        <w:top w:val="single" w:sz="4" w:space="0" w:color="70493D"/>
        <w:left w:val="single" w:sz="4" w:space="0" w:color="70493D"/>
        <w:bottom w:val="single" w:sz="4" w:space="0" w:color="70493D"/>
        <w:right w:val="single" w:sz="4" w:space="0" w:color="70493D"/>
      </w:pBdr>
      <w:shd w:val="clear" w:color="000000" w:fill="F2F2F2"/>
      <w:spacing w:before="100" w:beforeAutospacing="1" w:after="100" w:afterAutospacing="1" w:line="240" w:lineRule="auto"/>
      <w:jc w:val="left"/>
      <w:textAlignment w:val="center"/>
    </w:pPr>
    <w:rPr>
      <w:rFonts w:ascii="Arial Nova Cond Light" w:eastAsia="Times New Roman" w:hAnsi="Arial Nova Cond Light" w:cs="Times New Roman"/>
      <w:color w:val="000000"/>
      <w:sz w:val="16"/>
      <w:szCs w:val="16"/>
      <w:lang w:val="es-419" w:eastAsia="es-419"/>
    </w:rPr>
  </w:style>
  <w:style w:type="paragraph" w:customStyle="1" w:styleId="xl102">
    <w:name w:val="xl102"/>
    <w:basedOn w:val="Normal"/>
    <w:rsid w:val="00286238"/>
    <w:pPr>
      <w:pBdr>
        <w:bottom w:val="single" w:sz="4" w:space="0" w:color="70493D"/>
        <w:right w:val="single" w:sz="4" w:space="0" w:color="70493D"/>
      </w:pBdr>
      <w:shd w:val="clear" w:color="000000" w:fill="9B2D1F"/>
      <w:spacing w:before="100" w:beforeAutospacing="1" w:after="100" w:afterAutospacing="1" w:line="240" w:lineRule="auto"/>
      <w:jc w:val="center"/>
      <w:textAlignment w:val="center"/>
    </w:pPr>
    <w:rPr>
      <w:rFonts w:ascii="Arial Nova Cond Light" w:eastAsia="Times New Roman" w:hAnsi="Arial Nova Cond Light" w:cs="Times New Roman"/>
      <w:color w:val="FFFFFF"/>
      <w:sz w:val="16"/>
      <w:szCs w:val="16"/>
      <w:lang w:val="es-419" w:eastAsia="es-419"/>
    </w:rPr>
  </w:style>
  <w:style w:type="paragraph" w:customStyle="1" w:styleId="xl103">
    <w:name w:val="xl103"/>
    <w:basedOn w:val="Normal"/>
    <w:rsid w:val="00286238"/>
    <w:pPr>
      <w:pBdr>
        <w:left w:val="single" w:sz="4" w:space="0" w:color="70493D"/>
        <w:bottom w:val="single" w:sz="4" w:space="0" w:color="70493D"/>
        <w:right w:val="single" w:sz="4" w:space="0" w:color="70493D"/>
      </w:pBdr>
      <w:shd w:val="clear" w:color="000000" w:fill="9B2D1F"/>
      <w:spacing w:before="100" w:beforeAutospacing="1" w:after="100" w:afterAutospacing="1" w:line="240" w:lineRule="auto"/>
      <w:jc w:val="center"/>
      <w:textAlignment w:val="center"/>
    </w:pPr>
    <w:rPr>
      <w:rFonts w:ascii="Arial Nova Cond Light" w:eastAsia="Times New Roman" w:hAnsi="Arial Nova Cond Light" w:cs="Times New Roman"/>
      <w:color w:val="FFFFFF"/>
      <w:sz w:val="16"/>
      <w:szCs w:val="16"/>
      <w:lang w:val="es-419" w:eastAsia="es-419"/>
    </w:rPr>
  </w:style>
  <w:style w:type="paragraph" w:customStyle="1" w:styleId="xl104">
    <w:name w:val="xl104"/>
    <w:basedOn w:val="Normal"/>
    <w:rsid w:val="00286238"/>
    <w:pPr>
      <w:pBdr>
        <w:top w:val="single" w:sz="4" w:space="0" w:color="70493D"/>
        <w:left w:val="single" w:sz="4" w:space="0" w:color="70493D"/>
        <w:right w:val="single" w:sz="4" w:space="0" w:color="70493D"/>
      </w:pBdr>
      <w:shd w:val="clear" w:color="000000" w:fill="FFFFFF"/>
      <w:spacing w:before="100" w:beforeAutospacing="1" w:after="100" w:afterAutospacing="1" w:line="240" w:lineRule="auto"/>
      <w:jc w:val="center"/>
      <w:textAlignment w:val="center"/>
    </w:pPr>
    <w:rPr>
      <w:rFonts w:ascii="Arial Nova Cond Light" w:eastAsia="Times New Roman" w:hAnsi="Arial Nova Cond Light" w:cs="Times New Roman"/>
      <w:color w:val="FF0000"/>
      <w:sz w:val="16"/>
      <w:szCs w:val="16"/>
      <w:lang w:val="es-419" w:eastAsia="es-419"/>
    </w:rPr>
  </w:style>
  <w:style w:type="paragraph" w:customStyle="1" w:styleId="xl105">
    <w:name w:val="xl105"/>
    <w:basedOn w:val="Normal"/>
    <w:rsid w:val="00286238"/>
    <w:pPr>
      <w:pBdr>
        <w:top w:val="single" w:sz="4" w:space="0" w:color="70493D"/>
        <w:left w:val="single" w:sz="4" w:space="0" w:color="70493D"/>
        <w:bottom w:val="single" w:sz="4" w:space="0" w:color="70493D"/>
        <w:right w:val="single" w:sz="4" w:space="0" w:color="70493D"/>
      </w:pBdr>
      <w:shd w:val="clear" w:color="000000" w:fill="FFFFFF"/>
      <w:spacing w:before="100" w:beforeAutospacing="1" w:after="100" w:afterAutospacing="1" w:line="240" w:lineRule="auto"/>
      <w:jc w:val="right"/>
      <w:textAlignment w:val="center"/>
    </w:pPr>
    <w:rPr>
      <w:rFonts w:ascii="Arial Nova Cond Light" w:eastAsia="Times New Roman" w:hAnsi="Arial Nova Cond Light" w:cs="Times New Roman"/>
      <w:color w:val="000000"/>
      <w:sz w:val="16"/>
      <w:szCs w:val="16"/>
      <w:lang w:val="es-419" w:eastAsia="es-419"/>
    </w:rPr>
  </w:style>
  <w:style w:type="paragraph" w:customStyle="1" w:styleId="xl106">
    <w:name w:val="xl106"/>
    <w:basedOn w:val="Normal"/>
    <w:rsid w:val="00286238"/>
    <w:pPr>
      <w:pBdr>
        <w:top w:val="single" w:sz="4" w:space="0" w:color="70493D"/>
        <w:left w:val="single" w:sz="4" w:space="0" w:color="70493D"/>
        <w:bottom w:val="single" w:sz="4" w:space="0" w:color="70493D"/>
        <w:right w:val="single" w:sz="4" w:space="0" w:color="70493D"/>
      </w:pBdr>
      <w:shd w:val="clear" w:color="000000" w:fill="FFFFFF"/>
      <w:spacing w:before="100" w:beforeAutospacing="1" w:after="100" w:afterAutospacing="1" w:line="240" w:lineRule="auto"/>
      <w:jc w:val="right"/>
      <w:textAlignment w:val="center"/>
    </w:pPr>
    <w:rPr>
      <w:rFonts w:ascii="Arial Nova Cond Light" w:eastAsia="Times New Roman" w:hAnsi="Arial Nova Cond Light" w:cs="Times New Roman"/>
      <w:color w:val="4F4A4A"/>
      <w:sz w:val="16"/>
      <w:szCs w:val="16"/>
      <w:lang w:val="es-419" w:eastAsia="es-419"/>
    </w:rPr>
  </w:style>
  <w:style w:type="paragraph" w:customStyle="1" w:styleId="xl107">
    <w:name w:val="xl107"/>
    <w:basedOn w:val="Normal"/>
    <w:rsid w:val="00286238"/>
    <w:pPr>
      <w:pBdr>
        <w:top w:val="single" w:sz="4" w:space="0" w:color="70493D"/>
        <w:left w:val="single" w:sz="4" w:space="0" w:color="70493D"/>
        <w:bottom w:val="single" w:sz="4" w:space="0" w:color="70493D"/>
        <w:right w:val="single" w:sz="4" w:space="0" w:color="70493D"/>
      </w:pBdr>
      <w:shd w:val="clear" w:color="000000" w:fill="F2F2F2"/>
      <w:spacing w:before="100" w:beforeAutospacing="1" w:after="100" w:afterAutospacing="1" w:line="240" w:lineRule="auto"/>
      <w:jc w:val="left"/>
      <w:textAlignment w:val="center"/>
    </w:pPr>
    <w:rPr>
      <w:rFonts w:ascii="Arial Nova Cond Light" w:eastAsia="Times New Roman" w:hAnsi="Arial Nova Cond Light" w:cs="Times New Roman"/>
      <w:color w:val="000000"/>
      <w:sz w:val="16"/>
      <w:szCs w:val="16"/>
      <w:lang w:val="es-419" w:eastAsia="es-419"/>
    </w:rPr>
  </w:style>
  <w:style w:type="paragraph" w:customStyle="1" w:styleId="xl108">
    <w:name w:val="xl108"/>
    <w:basedOn w:val="Normal"/>
    <w:rsid w:val="00286238"/>
    <w:pPr>
      <w:pBdr>
        <w:top w:val="single" w:sz="4" w:space="0" w:color="70493D"/>
        <w:left w:val="single" w:sz="4" w:space="0" w:color="70493D"/>
        <w:bottom w:val="single" w:sz="4" w:space="0" w:color="70493D"/>
        <w:right w:val="single" w:sz="4" w:space="0" w:color="70493D"/>
      </w:pBdr>
      <w:shd w:val="clear" w:color="000000" w:fill="F2F2F2"/>
      <w:spacing w:before="100" w:beforeAutospacing="1" w:after="100" w:afterAutospacing="1" w:line="240" w:lineRule="auto"/>
      <w:jc w:val="left"/>
      <w:textAlignment w:val="center"/>
    </w:pPr>
    <w:rPr>
      <w:rFonts w:ascii="Arial Nova Cond Light" w:eastAsia="Times New Roman" w:hAnsi="Arial Nova Cond Light" w:cs="Times New Roman"/>
      <w:color w:val="000000"/>
      <w:sz w:val="16"/>
      <w:szCs w:val="16"/>
      <w:lang w:val="es-419" w:eastAsia="es-419"/>
    </w:rPr>
  </w:style>
  <w:style w:type="paragraph" w:customStyle="1" w:styleId="xl109">
    <w:name w:val="xl109"/>
    <w:basedOn w:val="Normal"/>
    <w:rsid w:val="00286238"/>
    <w:pPr>
      <w:pBdr>
        <w:top w:val="single" w:sz="4" w:space="0" w:color="70493D"/>
        <w:left w:val="single" w:sz="4" w:space="0" w:color="70493D"/>
        <w:bottom w:val="single" w:sz="4" w:space="0" w:color="70493D"/>
        <w:right w:val="single" w:sz="4" w:space="0" w:color="70493D"/>
      </w:pBdr>
      <w:shd w:val="clear" w:color="000000" w:fill="F2F2F2"/>
      <w:spacing w:before="100" w:beforeAutospacing="1" w:after="100" w:afterAutospacing="1" w:line="240" w:lineRule="auto"/>
      <w:jc w:val="left"/>
      <w:textAlignment w:val="center"/>
    </w:pPr>
    <w:rPr>
      <w:rFonts w:ascii="Arial Nova Cond Light" w:eastAsia="Times New Roman" w:hAnsi="Arial Nova Cond Light" w:cs="Times New Roman"/>
      <w:color w:val="000000"/>
      <w:sz w:val="16"/>
      <w:szCs w:val="16"/>
      <w:lang w:val="es-419" w:eastAsia="es-419"/>
    </w:rPr>
  </w:style>
  <w:style w:type="paragraph" w:customStyle="1" w:styleId="xl110">
    <w:name w:val="xl110"/>
    <w:basedOn w:val="Normal"/>
    <w:rsid w:val="00286238"/>
    <w:pPr>
      <w:pBdr>
        <w:top w:val="single" w:sz="4" w:space="0" w:color="70493D"/>
        <w:left w:val="single" w:sz="4" w:space="0" w:color="70493D"/>
        <w:bottom w:val="single" w:sz="4" w:space="0" w:color="70493D"/>
        <w:right w:val="single" w:sz="4" w:space="0" w:color="70493D"/>
      </w:pBdr>
      <w:shd w:val="clear" w:color="000000" w:fill="EF8B69"/>
      <w:spacing w:before="100" w:beforeAutospacing="1" w:after="100" w:afterAutospacing="1" w:line="240" w:lineRule="auto"/>
      <w:jc w:val="right"/>
      <w:textAlignment w:val="center"/>
    </w:pPr>
    <w:rPr>
      <w:rFonts w:ascii="Arial Nova Cond Light" w:eastAsia="Times New Roman" w:hAnsi="Arial Nova Cond Light" w:cs="Times New Roman"/>
      <w:b/>
      <w:bCs/>
      <w:color w:val="4F4A4A"/>
      <w:sz w:val="16"/>
      <w:szCs w:val="16"/>
      <w:lang w:val="es-419" w:eastAsia="es-419"/>
    </w:rPr>
  </w:style>
  <w:style w:type="paragraph" w:customStyle="1" w:styleId="xl111">
    <w:name w:val="xl111"/>
    <w:basedOn w:val="Normal"/>
    <w:rsid w:val="00286238"/>
    <w:pPr>
      <w:pBdr>
        <w:top w:val="single" w:sz="4" w:space="0" w:color="70493D"/>
        <w:left w:val="single" w:sz="4" w:space="0" w:color="70493D"/>
        <w:right w:val="single" w:sz="4" w:space="0" w:color="70493D"/>
      </w:pBdr>
      <w:shd w:val="clear" w:color="000000" w:fill="FFFF00"/>
      <w:spacing w:before="100" w:beforeAutospacing="1" w:after="100" w:afterAutospacing="1" w:line="240" w:lineRule="auto"/>
      <w:jc w:val="center"/>
      <w:textAlignment w:val="center"/>
    </w:pPr>
    <w:rPr>
      <w:rFonts w:ascii="Arial Nova Cond Light" w:eastAsia="Times New Roman" w:hAnsi="Arial Nova Cond Light" w:cs="Times New Roman"/>
      <w:color w:val="FF0000"/>
      <w:sz w:val="16"/>
      <w:szCs w:val="16"/>
      <w:lang w:val="es-419" w:eastAsia="es-419"/>
    </w:rPr>
  </w:style>
  <w:style w:type="paragraph" w:customStyle="1" w:styleId="xl112">
    <w:name w:val="xl112"/>
    <w:basedOn w:val="Normal"/>
    <w:rsid w:val="00286238"/>
    <w:pPr>
      <w:pBdr>
        <w:top w:val="single" w:sz="4" w:space="0" w:color="70493D"/>
        <w:left w:val="single" w:sz="4" w:space="0" w:color="70493D"/>
        <w:bottom w:val="single" w:sz="4" w:space="0" w:color="70493D"/>
        <w:right w:val="single" w:sz="4" w:space="0" w:color="70493D"/>
      </w:pBdr>
      <w:shd w:val="clear" w:color="000000" w:fill="EA9D93"/>
      <w:spacing w:before="100" w:beforeAutospacing="1" w:after="100" w:afterAutospacing="1" w:line="240" w:lineRule="auto"/>
      <w:jc w:val="right"/>
      <w:textAlignment w:val="center"/>
    </w:pPr>
    <w:rPr>
      <w:rFonts w:ascii="Arial Nova Cond Light" w:eastAsia="Times New Roman" w:hAnsi="Arial Nova Cond Light" w:cs="Times New Roman"/>
      <w:color w:val="4F4A4A"/>
      <w:sz w:val="16"/>
      <w:szCs w:val="16"/>
      <w:lang w:val="es-419" w:eastAsia="es-419"/>
    </w:rPr>
  </w:style>
  <w:style w:type="paragraph" w:customStyle="1" w:styleId="xl113">
    <w:name w:val="xl113"/>
    <w:basedOn w:val="Normal"/>
    <w:rsid w:val="00286238"/>
    <w:pPr>
      <w:pBdr>
        <w:top w:val="single" w:sz="4" w:space="0" w:color="70493D"/>
        <w:bottom w:val="single" w:sz="4" w:space="0" w:color="70493D"/>
        <w:right w:val="single" w:sz="4" w:space="0" w:color="70493D"/>
      </w:pBdr>
      <w:shd w:val="clear" w:color="000000" w:fill="F4B19B"/>
      <w:spacing w:before="100" w:beforeAutospacing="1" w:after="100" w:afterAutospacing="1" w:line="240" w:lineRule="auto"/>
      <w:jc w:val="right"/>
      <w:textAlignment w:val="center"/>
    </w:pPr>
    <w:rPr>
      <w:rFonts w:ascii="Arial Nova Cond Light" w:eastAsia="Times New Roman" w:hAnsi="Arial Nova Cond Light" w:cs="Times New Roman"/>
      <w:b/>
      <w:bCs/>
      <w:color w:val="000000"/>
      <w:sz w:val="16"/>
      <w:szCs w:val="16"/>
      <w:lang w:val="es-419" w:eastAsia="es-419"/>
    </w:rPr>
  </w:style>
  <w:style w:type="paragraph" w:customStyle="1" w:styleId="xl114">
    <w:name w:val="xl114"/>
    <w:basedOn w:val="Normal"/>
    <w:rsid w:val="00286238"/>
    <w:pPr>
      <w:pBdr>
        <w:top w:val="single" w:sz="4" w:space="0" w:color="70493D"/>
        <w:left w:val="single" w:sz="4" w:space="0" w:color="70493D"/>
        <w:right w:val="single" w:sz="4" w:space="0" w:color="70493D"/>
      </w:pBdr>
      <w:shd w:val="clear" w:color="000000" w:fill="F4B19B"/>
      <w:spacing w:before="100" w:beforeAutospacing="1" w:after="100" w:afterAutospacing="1" w:line="240" w:lineRule="auto"/>
      <w:jc w:val="right"/>
      <w:textAlignment w:val="center"/>
    </w:pPr>
    <w:rPr>
      <w:rFonts w:ascii="Arial Nova Cond Light" w:eastAsia="Times New Roman" w:hAnsi="Arial Nova Cond Light" w:cs="Times New Roman"/>
      <w:b/>
      <w:bCs/>
      <w:color w:val="000000"/>
      <w:sz w:val="16"/>
      <w:szCs w:val="16"/>
      <w:lang w:val="es-419" w:eastAsia="es-419"/>
    </w:rPr>
  </w:style>
  <w:style w:type="paragraph" w:customStyle="1" w:styleId="xl115">
    <w:name w:val="xl115"/>
    <w:basedOn w:val="Normal"/>
    <w:rsid w:val="00286238"/>
    <w:pPr>
      <w:pBdr>
        <w:top w:val="single" w:sz="4" w:space="0" w:color="70493D"/>
        <w:left w:val="single" w:sz="4" w:space="0" w:color="70493D"/>
        <w:bottom w:val="single" w:sz="4" w:space="0" w:color="70493D"/>
        <w:right w:val="single" w:sz="4" w:space="0" w:color="70493D"/>
      </w:pBdr>
      <w:shd w:val="clear" w:color="000000" w:fill="F4B19B"/>
      <w:spacing w:before="100" w:beforeAutospacing="1" w:after="100" w:afterAutospacing="1" w:line="240" w:lineRule="auto"/>
      <w:jc w:val="right"/>
      <w:textAlignment w:val="center"/>
    </w:pPr>
    <w:rPr>
      <w:rFonts w:ascii="Arial Nova Cond Light" w:eastAsia="Times New Roman" w:hAnsi="Arial Nova Cond Light" w:cs="Times New Roman"/>
      <w:b/>
      <w:bCs/>
      <w:color w:val="4F4A4A"/>
      <w:sz w:val="16"/>
      <w:szCs w:val="16"/>
      <w:lang w:val="es-419" w:eastAsia="es-419"/>
    </w:rPr>
  </w:style>
  <w:style w:type="table" w:styleId="Tablaconcuadrcula">
    <w:name w:val="Table Grid"/>
    <w:basedOn w:val="Tablanormal"/>
    <w:uiPriority w:val="39"/>
    <w:rsid w:val="002862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C65AD"/>
    <w:pPr>
      <w:spacing w:line="240" w:lineRule="auto"/>
    </w:pPr>
    <w:rPr>
      <w:sz w:val="20"/>
      <w:szCs w:val="20"/>
    </w:rPr>
  </w:style>
  <w:style w:type="character" w:customStyle="1" w:styleId="TextonotapieCar">
    <w:name w:val="Texto nota pie Car"/>
    <w:basedOn w:val="Fuentedeprrafopredeter"/>
    <w:link w:val="Textonotapie"/>
    <w:uiPriority w:val="99"/>
    <w:semiHidden/>
    <w:rsid w:val="00AC65A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basedOn w:val="Fuentedeprrafopredeter"/>
    <w:uiPriority w:val="99"/>
    <w:unhideWhenUsed/>
    <w:rsid w:val="00AC65AD"/>
    <w:rPr>
      <w:vertAlign w:val="superscript"/>
    </w:rPr>
  </w:style>
  <w:style w:type="paragraph" w:styleId="Prrafodelista">
    <w:name w:val="List Paragraph"/>
    <w:basedOn w:val="Normal"/>
    <w:qFormat/>
    <w:rsid w:val="000C0E49"/>
    <w:pPr>
      <w:ind w:left="720"/>
      <w:contextualSpacing/>
    </w:pPr>
  </w:style>
  <w:style w:type="paragraph" w:customStyle="1" w:styleId="paragraph">
    <w:name w:val="paragraph"/>
    <w:basedOn w:val="Normal"/>
    <w:rsid w:val="007F2DF4"/>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7F2DF4"/>
  </w:style>
  <w:style w:type="character" w:customStyle="1" w:styleId="eop">
    <w:name w:val="eop"/>
    <w:basedOn w:val="Fuentedeprrafopredeter"/>
    <w:rsid w:val="007F2DF4"/>
  </w:style>
  <w:style w:type="paragraph" w:styleId="NormalWeb">
    <w:name w:val="Normal (Web)"/>
    <w:basedOn w:val="Normal"/>
    <w:uiPriority w:val="99"/>
    <w:unhideWhenUsed/>
    <w:rsid w:val="007F2DF4"/>
    <w:pPr>
      <w:spacing w:before="100" w:beforeAutospacing="1" w:after="100" w:afterAutospacing="1" w:line="240" w:lineRule="auto"/>
      <w:jc w:val="left"/>
    </w:pPr>
    <w:rPr>
      <w:rFonts w:ascii="Times New Roman" w:eastAsia="Times New Roman" w:hAnsi="Times New Roman" w:cs="Times New Roman"/>
      <w:lang w:val="es-ES" w:eastAsia="es-ES"/>
    </w:rPr>
  </w:style>
  <w:style w:type="character" w:styleId="Refdecomentario">
    <w:name w:val="annotation reference"/>
    <w:basedOn w:val="Fuentedeprrafopredeter"/>
    <w:uiPriority w:val="99"/>
    <w:semiHidden/>
    <w:unhideWhenUsed/>
    <w:rsid w:val="005960EC"/>
    <w:rPr>
      <w:sz w:val="16"/>
      <w:szCs w:val="16"/>
    </w:rPr>
  </w:style>
  <w:style w:type="paragraph" w:styleId="Textocomentario">
    <w:name w:val="annotation text"/>
    <w:basedOn w:val="Normal"/>
    <w:link w:val="TextocomentarioCar"/>
    <w:uiPriority w:val="99"/>
    <w:semiHidden/>
    <w:unhideWhenUsed/>
    <w:rsid w:val="005960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0EC"/>
    <w:rPr>
      <w:sz w:val="20"/>
      <w:szCs w:val="20"/>
    </w:rPr>
  </w:style>
  <w:style w:type="paragraph" w:styleId="Asuntodelcomentario">
    <w:name w:val="annotation subject"/>
    <w:basedOn w:val="Textocomentario"/>
    <w:next w:val="Textocomentario"/>
    <w:link w:val="AsuntodelcomentarioCar"/>
    <w:uiPriority w:val="99"/>
    <w:semiHidden/>
    <w:unhideWhenUsed/>
    <w:rsid w:val="005960EC"/>
    <w:rPr>
      <w:b/>
      <w:bCs/>
    </w:rPr>
  </w:style>
  <w:style w:type="character" w:customStyle="1" w:styleId="AsuntodelcomentarioCar">
    <w:name w:val="Asunto del comentario Car"/>
    <w:basedOn w:val="TextocomentarioCar"/>
    <w:link w:val="Asuntodelcomentario"/>
    <w:uiPriority w:val="99"/>
    <w:semiHidden/>
    <w:rsid w:val="005960EC"/>
    <w:rPr>
      <w:b/>
      <w:bCs/>
      <w:sz w:val="20"/>
      <w:szCs w:val="20"/>
    </w:rPr>
  </w:style>
  <w:style w:type="paragraph" w:styleId="Textodeglobo">
    <w:name w:val="Balloon Text"/>
    <w:basedOn w:val="Normal"/>
    <w:link w:val="TextodegloboCar"/>
    <w:uiPriority w:val="99"/>
    <w:semiHidden/>
    <w:unhideWhenUsed/>
    <w:rsid w:val="005960E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0EC"/>
    <w:rPr>
      <w:rFonts w:ascii="Segoe UI" w:hAnsi="Segoe UI" w:cs="Segoe UI"/>
      <w:sz w:val="18"/>
      <w:szCs w:val="18"/>
    </w:rPr>
  </w:style>
  <w:style w:type="character" w:styleId="Hipervnculo">
    <w:name w:val="Hyperlink"/>
    <w:basedOn w:val="Fuentedeprrafopredeter"/>
    <w:uiPriority w:val="99"/>
    <w:semiHidden/>
    <w:unhideWhenUsed/>
    <w:rsid w:val="00A0388B"/>
    <w:rPr>
      <w:color w:val="0000FF"/>
      <w:u w:val="single"/>
    </w:rPr>
  </w:style>
  <w:style w:type="paragraph" w:styleId="z-Principiodelformulario">
    <w:name w:val="HTML Top of Form"/>
    <w:basedOn w:val="Normal"/>
    <w:next w:val="Normal"/>
    <w:link w:val="z-PrincipiodelformularioCar"/>
    <w:hidden/>
    <w:uiPriority w:val="99"/>
    <w:semiHidden/>
    <w:unhideWhenUsed/>
    <w:rsid w:val="00A0388B"/>
    <w:pPr>
      <w:pBdr>
        <w:bottom w:val="single" w:sz="6" w:space="1" w:color="auto"/>
      </w:pBdr>
      <w:spacing w:line="240" w:lineRule="auto"/>
      <w:jc w:val="center"/>
    </w:pPr>
    <w:rPr>
      <w:rFonts w:eastAsia="Times New Roman"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A0388B"/>
    <w:rPr>
      <w:rFonts w:eastAsia="Times New Roman"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A0388B"/>
    <w:pPr>
      <w:pBdr>
        <w:top w:val="single" w:sz="6" w:space="1" w:color="auto"/>
      </w:pBdr>
      <w:spacing w:line="240" w:lineRule="auto"/>
      <w:jc w:val="center"/>
    </w:pPr>
    <w:rPr>
      <w:rFonts w:eastAsia="Times New Roman"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A0388B"/>
    <w:rPr>
      <w:rFonts w:eastAsia="Times New Roman" w:cs="Arial"/>
      <w:vanish/>
      <w:sz w:val="16"/>
      <w:szCs w:val="16"/>
      <w:lang w:eastAsia="es-CO"/>
    </w:rPr>
  </w:style>
  <w:style w:type="character" w:customStyle="1" w:styleId="baj">
    <w:name w:val="b_aj"/>
    <w:basedOn w:val="Fuentedeprrafopredeter"/>
    <w:rsid w:val="00A0388B"/>
  </w:style>
  <w:style w:type="paragraph" w:customStyle="1" w:styleId="centrado">
    <w:name w:val="centrado"/>
    <w:basedOn w:val="Normal"/>
    <w:rsid w:val="00A0388B"/>
    <w:pPr>
      <w:spacing w:before="100" w:beforeAutospacing="1" w:after="100" w:afterAutospacing="1" w:line="240" w:lineRule="auto"/>
      <w:jc w:val="left"/>
    </w:pPr>
    <w:rPr>
      <w:rFonts w:ascii="Times New Roman" w:eastAsia="Times New Roman" w:hAnsi="Times New Roman" w:cs="Times New Roman"/>
      <w:lang w:eastAsia="es-CO"/>
    </w:rPr>
  </w:style>
  <w:style w:type="character" w:customStyle="1" w:styleId="iaj">
    <w:name w:val="i_aj"/>
    <w:basedOn w:val="Fuentedeprrafopredeter"/>
    <w:rsid w:val="00A0388B"/>
  </w:style>
  <w:style w:type="paragraph" w:styleId="Encabezado">
    <w:name w:val="header"/>
    <w:basedOn w:val="Normal"/>
    <w:link w:val="EncabezadoCar"/>
    <w:uiPriority w:val="99"/>
    <w:unhideWhenUsed/>
    <w:rsid w:val="00A74B4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74B4B"/>
  </w:style>
  <w:style w:type="paragraph" w:styleId="Piedepgina">
    <w:name w:val="footer"/>
    <w:basedOn w:val="Normal"/>
    <w:link w:val="PiedepginaCar"/>
    <w:uiPriority w:val="99"/>
    <w:unhideWhenUsed/>
    <w:rsid w:val="00A74B4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74B4B"/>
  </w:style>
  <w:style w:type="table" w:customStyle="1" w:styleId="GridTable5DarkAccent3">
    <w:name w:val="Grid Table 5 Dark Accent 3"/>
    <w:basedOn w:val="Tablanormal"/>
    <w:uiPriority w:val="50"/>
    <w:rsid w:val="00A74B4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4Accent3">
    <w:name w:val="List Table 4 Accent 3"/>
    <w:basedOn w:val="Tablanormal"/>
    <w:uiPriority w:val="49"/>
    <w:rsid w:val="00A74B4B"/>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SinespaciadoCar">
    <w:name w:val="Sin espaciado Car"/>
    <w:link w:val="Sinespaciado"/>
    <w:uiPriority w:val="1"/>
    <w:locked/>
    <w:rsid w:val="004C674E"/>
  </w:style>
  <w:style w:type="paragraph" w:styleId="Sinespaciado">
    <w:name w:val="No Spacing"/>
    <w:link w:val="SinespaciadoCar"/>
    <w:uiPriority w:val="1"/>
    <w:qFormat/>
    <w:rsid w:val="004C674E"/>
    <w:pPr>
      <w:spacing w:line="240" w:lineRule="auto"/>
      <w:jc w:val="left"/>
    </w:pPr>
  </w:style>
  <w:style w:type="paragraph" w:customStyle="1" w:styleId="Prrafodelista2">
    <w:name w:val="Párrafo de lista2"/>
    <w:basedOn w:val="Normal"/>
    <w:uiPriority w:val="99"/>
    <w:rsid w:val="004C674E"/>
    <w:pPr>
      <w:spacing w:after="200" w:line="276" w:lineRule="auto"/>
      <w:ind w:left="720"/>
      <w:contextualSpacing/>
      <w:jc w:val="left"/>
    </w:pPr>
    <w:rPr>
      <w:rFonts w:ascii="Calibri" w:eastAsia="Times New Roman" w:hAnsi="Calibri" w:cs="Times New Roman"/>
      <w:sz w:val="22"/>
      <w:szCs w:val="22"/>
    </w:rPr>
  </w:style>
  <w:style w:type="character" w:styleId="Hipervnculovisitado">
    <w:name w:val="FollowedHyperlink"/>
    <w:basedOn w:val="Fuentedeprrafopredeter"/>
    <w:uiPriority w:val="99"/>
    <w:semiHidden/>
    <w:unhideWhenUsed/>
    <w:rsid w:val="00286238"/>
    <w:rPr>
      <w:color w:val="96A9A9"/>
      <w:u w:val="single"/>
    </w:rPr>
  </w:style>
  <w:style w:type="paragraph" w:customStyle="1" w:styleId="msonormal0">
    <w:name w:val="msonormal"/>
    <w:basedOn w:val="Normal"/>
    <w:rsid w:val="00286238"/>
    <w:pPr>
      <w:spacing w:before="100" w:beforeAutospacing="1" w:after="100" w:afterAutospacing="1" w:line="240" w:lineRule="auto"/>
      <w:jc w:val="left"/>
    </w:pPr>
    <w:rPr>
      <w:rFonts w:ascii="Times New Roman" w:eastAsia="Times New Roman" w:hAnsi="Times New Roman" w:cs="Times New Roman"/>
      <w:lang w:val="es-419" w:eastAsia="es-419"/>
    </w:rPr>
  </w:style>
  <w:style w:type="paragraph" w:customStyle="1" w:styleId="font5">
    <w:name w:val="font5"/>
    <w:basedOn w:val="Normal"/>
    <w:rsid w:val="00286238"/>
    <w:pPr>
      <w:spacing w:before="100" w:beforeAutospacing="1" w:after="100" w:afterAutospacing="1" w:line="240" w:lineRule="auto"/>
      <w:jc w:val="left"/>
    </w:pPr>
    <w:rPr>
      <w:rFonts w:ascii="Tahoma" w:eastAsia="Times New Roman" w:hAnsi="Tahoma" w:cs="Tahoma"/>
      <w:b/>
      <w:bCs/>
      <w:color w:val="000000"/>
      <w:sz w:val="18"/>
      <w:szCs w:val="18"/>
      <w:lang w:val="es-419" w:eastAsia="es-419"/>
    </w:rPr>
  </w:style>
  <w:style w:type="paragraph" w:customStyle="1" w:styleId="font6">
    <w:name w:val="font6"/>
    <w:basedOn w:val="Normal"/>
    <w:rsid w:val="00286238"/>
    <w:pPr>
      <w:spacing w:before="100" w:beforeAutospacing="1" w:after="100" w:afterAutospacing="1" w:line="240" w:lineRule="auto"/>
      <w:jc w:val="left"/>
    </w:pPr>
    <w:rPr>
      <w:rFonts w:ascii="Tahoma" w:eastAsia="Times New Roman" w:hAnsi="Tahoma" w:cs="Tahoma"/>
      <w:color w:val="000000"/>
      <w:sz w:val="18"/>
      <w:szCs w:val="18"/>
      <w:lang w:val="es-419" w:eastAsia="es-419"/>
    </w:rPr>
  </w:style>
  <w:style w:type="paragraph" w:customStyle="1" w:styleId="xl95">
    <w:name w:val="xl95"/>
    <w:basedOn w:val="Normal"/>
    <w:rsid w:val="00286238"/>
    <w:pPr>
      <w:spacing w:before="100" w:beforeAutospacing="1" w:after="100" w:afterAutospacing="1" w:line="240" w:lineRule="auto"/>
      <w:jc w:val="left"/>
    </w:pPr>
    <w:rPr>
      <w:rFonts w:ascii="Arial Nova Cond Light" w:eastAsia="Times New Roman" w:hAnsi="Arial Nova Cond Light" w:cs="Times New Roman"/>
      <w:sz w:val="16"/>
      <w:szCs w:val="16"/>
      <w:lang w:val="es-419" w:eastAsia="es-419"/>
    </w:rPr>
  </w:style>
  <w:style w:type="paragraph" w:customStyle="1" w:styleId="xl96">
    <w:name w:val="xl96"/>
    <w:basedOn w:val="Normal"/>
    <w:rsid w:val="00286238"/>
    <w:pPr>
      <w:pBdr>
        <w:top w:val="single" w:sz="4" w:space="0" w:color="70493D"/>
        <w:bottom w:val="single" w:sz="4" w:space="0" w:color="70493D"/>
        <w:right w:val="single" w:sz="4" w:space="0" w:color="70493D"/>
      </w:pBdr>
      <w:shd w:val="clear" w:color="000000" w:fill="FFFFFF"/>
      <w:spacing w:before="100" w:beforeAutospacing="1" w:after="100" w:afterAutospacing="1" w:line="240" w:lineRule="auto"/>
      <w:jc w:val="right"/>
      <w:textAlignment w:val="center"/>
    </w:pPr>
    <w:rPr>
      <w:rFonts w:ascii="Arial Nova Cond Light" w:eastAsia="Times New Roman" w:hAnsi="Arial Nova Cond Light" w:cs="Times New Roman"/>
      <w:color w:val="000000"/>
      <w:sz w:val="16"/>
      <w:szCs w:val="16"/>
      <w:lang w:val="es-419" w:eastAsia="es-419"/>
    </w:rPr>
  </w:style>
  <w:style w:type="paragraph" w:customStyle="1" w:styleId="xl97">
    <w:name w:val="xl97"/>
    <w:basedOn w:val="Normal"/>
    <w:rsid w:val="00286238"/>
    <w:pPr>
      <w:pBdr>
        <w:top w:val="single" w:sz="4" w:space="0" w:color="70493D"/>
        <w:left w:val="single" w:sz="4" w:space="0" w:color="70493D"/>
        <w:bottom w:val="single" w:sz="4" w:space="0" w:color="70493D"/>
        <w:right w:val="single" w:sz="4" w:space="0" w:color="70493D"/>
      </w:pBdr>
      <w:shd w:val="clear" w:color="000000" w:fill="FFFFFF"/>
      <w:spacing w:before="100" w:beforeAutospacing="1" w:after="100" w:afterAutospacing="1" w:line="240" w:lineRule="auto"/>
      <w:jc w:val="right"/>
      <w:textAlignment w:val="center"/>
    </w:pPr>
    <w:rPr>
      <w:rFonts w:ascii="Arial Nova Cond Light" w:eastAsia="Times New Roman" w:hAnsi="Arial Nova Cond Light" w:cs="Times New Roman"/>
      <w:color w:val="000000"/>
      <w:sz w:val="16"/>
      <w:szCs w:val="16"/>
      <w:lang w:val="es-419" w:eastAsia="es-419"/>
    </w:rPr>
  </w:style>
  <w:style w:type="paragraph" w:customStyle="1" w:styleId="xl98">
    <w:name w:val="xl98"/>
    <w:basedOn w:val="Normal"/>
    <w:rsid w:val="00286238"/>
    <w:pPr>
      <w:pBdr>
        <w:top w:val="single" w:sz="4" w:space="0" w:color="70493D"/>
        <w:left w:val="single" w:sz="4" w:space="0" w:color="70493D"/>
        <w:bottom w:val="single" w:sz="4" w:space="0" w:color="70493D"/>
        <w:right w:val="single" w:sz="4" w:space="0" w:color="70493D"/>
      </w:pBdr>
      <w:shd w:val="clear" w:color="000000" w:fill="FFFFFF"/>
      <w:spacing w:before="100" w:beforeAutospacing="1" w:after="100" w:afterAutospacing="1" w:line="240" w:lineRule="auto"/>
      <w:jc w:val="right"/>
      <w:textAlignment w:val="center"/>
    </w:pPr>
    <w:rPr>
      <w:rFonts w:ascii="Arial Nova Cond Light" w:eastAsia="Times New Roman" w:hAnsi="Arial Nova Cond Light" w:cs="Times New Roman"/>
      <w:color w:val="4F4A4A"/>
      <w:sz w:val="16"/>
      <w:szCs w:val="16"/>
      <w:lang w:val="es-419" w:eastAsia="es-419"/>
    </w:rPr>
  </w:style>
  <w:style w:type="paragraph" w:customStyle="1" w:styleId="xl99">
    <w:name w:val="xl99"/>
    <w:basedOn w:val="Normal"/>
    <w:rsid w:val="00286238"/>
    <w:pPr>
      <w:pBdr>
        <w:top w:val="single" w:sz="4" w:space="0" w:color="70493D"/>
        <w:left w:val="single" w:sz="4" w:space="0" w:color="70493D"/>
        <w:bottom w:val="single" w:sz="4" w:space="0" w:color="70493D"/>
        <w:right w:val="single" w:sz="4" w:space="0" w:color="70493D"/>
      </w:pBdr>
      <w:shd w:val="clear" w:color="000000" w:fill="F2F2F2"/>
      <w:spacing w:before="100" w:beforeAutospacing="1" w:after="100" w:afterAutospacing="1" w:line="240" w:lineRule="auto"/>
      <w:jc w:val="left"/>
      <w:textAlignment w:val="center"/>
    </w:pPr>
    <w:rPr>
      <w:rFonts w:ascii="Arial Nova Cond Light" w:eastAsia="Times New Roman" w:hAnsi="Arial Nova Cond Light" w:cs="Times New Roman"/>
      <w:color w:val="000000"/>
      <w:sz w:val="16"/>
      <w:szCs w:val="16"/>
      <w:lang w:val="es-419" w:eastAsia="es-419"/>
    </w:rPr>
  </w:style>
  <w:style w:type="paragraph" w:customStyle="1" w:styleId="xl100">
    <w:name w:val="xl100"/>
    <w:basedOn w:val="Normal"/>
    <w:rsid w:val="00286238"/>
    <w:pPr>
      <w:pBdr>
        <w:top w:val="single" w:sz="4" w:space="0" w:color="70493D"/>
        <w:left w:val="single" w:sz="4" w:space="0" w:color="70493D"/>
        <w:bottom w:val="single" w:sz="4" w:space="0" w:color="70493D"/>
        <w:right w:val="single" w:sz="4" w:space="0" w:color="70493D"/>
      </w:pBdr>
      <w:shd w:val="clear" w:color="000000" w:fill="F2F2F2"/>
      <w:spacing w:before="100" w:beforeAutospacing="1" w:after="100" w:afterAutospacing="1" w:line="240" w:lineRule="auto"/>
      <w:jc w:val="left"/>
      <w:textAlignment w:val="center"/>
    </w:pPr>
    <w:rPr>
      <w:rFonts w:ascii="Arial Nova Cond Light" w:eastAsia="Times New Roman" w:hAnsi="Arial Nova Cond Light" w:cs="Times New Roman"/>
      <w:color w:val="000000"/>
      <w:sz w:val="16"/>
      <w:szCs w:val="16"/>
      <w:lang w:val="es-419" w:eastAsia="es-419"/>
    </w:rPr>
  </w:style>
  <w:style w:type="paragraph" w:customStyle="1" w:styleId="xl101">
    <w:name w:val="xl101"/>
    <w:basedOn w:val="Normal"/>
    <w:rsid w:val="00286238"/>
    <w:pPr>
      <w:pBdr>
        <w:top w:val="single" w:sz="4" w:space="0" w:color="70493D"/>
        <w:left w:val="single" w:sz="4" w:space="0" w:color="70493D"/>
        <w:bottom w:val="single" w:sz="4" w:space="0" w:color="70493D"/>
        <w:right w:val="single" w:sz="4" w:space="0" w:color="70493D"/>
      </w:pBdr>
      <w:shd w:val="clear" w:color="000000" w:fill="F2F2F2"/>
      <w:spacing w:before="100" w:beforeAutospacing="1" w:after="100" w:afterAutospacing="1" w:line="240" w:lineRule="auto"/>
      <w:jc w:val="left"/>
      <w:textAlignment w:val="center"/>
    </w:pPr>
    <w:rPr>
      <w:rFonts w:ascii="Arial Nova Cond Light" w:eastAsia="Times New Roman" w:hAnsi="Arial Nova Cond Light" w:cs="Times New Roman"/>
      <w:color w:val="000000"/>
      <w:sz w:val="16"/>
      <w:szCs w:val="16"/>
      <w:lang w:val="es-419" w:eastAsia="es-419"/>
    </w:rPr>
  </w:style>
  <w:style w:type="paragraph" w:customStyle="1" w:styleId="xl102">
    <w:name w:val="xl102"/>
    <w:basedOn w:val="Normal"/>
    <w:rsid w:val="00286238"/>
    <w:pPr>
      <w:pBdr>
        <w:bottom w:val="single" w:sz="4" w:space="0" w:color="70493D"/>
        <w:right w:val="single" w:sz="4" w:space="0" w:color="70493D"/>
      </w:pBdr>
      <w:shd w:val="clear" w:color="000000" w:fill="9B2D1F"/>
      <w:spacing w:before="100" w:beforeAutospacing="1" w:after="100" w:afterAutospacing="1" w:line="240" w:lineRule="auto"/>
      <w:jc w:val="center"/>
      <w:textAlignment w:val="center"/>
    </w:pPr>
    <w:rPr>
      <w:rFonts w:ascii="Arial Nova Cond Light" w:eastAsia="Times New Roman" w:hAnsi="Arial Nova Cond Light" w:cs="Times New Roman"/>
      <w:color w:val="FFFFFF"/>
      <w:sz w:val="16"/>
      <w:szCs w:val="16"/>
      <w:lang w:val="es-419" w:eastAsia="es-419"/>
    </w:rPr>
  </w:style>
  <w:style w:type="paragraph" w:customStyle="1" w:styleId="xl103">
    <w:name w:val="xl103"/>
    <w:basedOn w:val="Normal"/>
    <w:rsid w:val="00286238"/>
    <w:pPr>
      <w:pBdr>
        <w:left w:val="single" w:sz="4" w:space="0" w:color="70493D"/>
        <w:bottom w:val="single" w:sz="4" w:space="0" w:color="70493D"/>
        <w:right w:val="single" w:sz="4" w:space="0" w:color="70493D"/>
      </w:pBdr>
      <w:shd w:val="clear" w:color="000000" w:fill="9B2D1F"/>
      <w:spacing w:before="100" w:beforeAutospacing="1" w:after="100" w:afterAutospacing="1" w:line="240" w:lineRule="auto"/>
      <w:jc w:val="center"/>
      <w:textAlignment w:val="center"/>
    </w:pPr>
    <w:rPr>
      <w:rFonts w:ascii="Arial Nova Cond Light" w:eastAsia="Times New Roman" w:hAnsi="Arial Nova Cond Light" w:cs="Times New Roman"/>
      <w:color w:val="FFFFFF"/>
      <w:sz w:val="16"/>
      <w:szCs w:val="16"/>
      <w:lang w:val="es-419" w:eastAsia="es-419"/>
    </w:rPr>
  </w:style>
  <w:style w:type="paragraph" w:customStyle="1" w:styleId="xl104">
    <w:name w:val="xl104"/>
    <w:basedOn w:val="Normal"/>
    <w:rsid w:val="00286238"/>
    <w:pPr>
      <w:pBdr>
        <w:top w:val="single" w:sz="4" w:space="0" w:color="70493D"/>
        <w:left w:val="single" w:sz="4" w:space="0" w:color="70493D"/>
        <w:right w:val="single" w:sz="4" w:space="0" w:color="70493D"/>
      </w:pBdr>
      <w:shd w:val="clear" w:color="000000" w:fill="FFFFFF"/>
      <w:spacing w:before="100" w:beforeAutospacing="1" w:after="100" w:afterAutospacing="1" w:line="240" w:lineRule="auto"/>
      <w:jc w:val="center"/>
      <w:textAlignment w:val="center"/>
    </w:pPr>
    <w:rPr>
      <w:rFonts w:ascii="Arial Nova Cond Light" w:eastAsia="Times New Roman" w:hAnsi="Arial Nova Cond Light" w:cs="Times New Roman"/>
      <w:color w:val="FF0000"/>
      <w:sz w:val="16"/>
      <w:szCs w:val="16"/>
      <w:lang w:val="es-419" w:eastAsia="es-419"/>
    </w:rPr>
  </w:style>
  <w:style w:type="paragraph" w:customStyle="1" w:styleId="xl105">
    <w:name w:val="xl105"/>
    <w:basedOn w:val="Normal"/>
    <w:rsid w:val="00286238"/>
    <w:pPr>
      <w:pBdr>
        <w:top w:val="single" w:sz="4" w:space="0" w:color="70493D"/>
        <w:left w:val="single" w:sz="4" w:space="0" w:color="70493D"/>
        <w:bottom w:val="single" w:sz="4" w:space="0" w:color="70493D"/>
        <w:right w:val="single" w:sz="4" w:space="0" w:color="70493D"/>
      </w:pBdr>
      <w:shd w:val="clear" w:color="000000" w:fill="FFFFFF"/>
      <w:spacing w:before="100" w:beforeAutospacing="1" w:after="100" w:afterAutospacing="1" w:line="240" w:lineRule="auto"/>
      <w:jc w:val="right"/>
      <w:textAlignment w:val="center"/>
    </w:pPr>
    <w:rPr>
      <w:rFonts w:ascii="Arial Nova Cond Light" w:eastAsia="Times New Roman" w:hAnsi="Arial Nova Cond Light" w:cs="Times New Roman"/>
      <w:color w:val="000000"/>
      <w:sz w:val="16"/>
      <w:szCs w:val="16"/>
      <w:lang w:val="es-419" w:eastAsia="es-419"/>
    </w:rPr>
  </w:style>
  <w:style w:type="paragraph" w:customStyle="1" w:styleId="xl106">
    <w:name w:val="xl106"/>
    <w:basedOn w:val="Normal"/>
    <w:rsid w:val="00286238"/>
    <w:pPr>
      <w:pBdr>
        <w:top w:val="single" w:sz="4" w:space="0" w:color="70493D"/>
        <w:left w:val="single" w:sz="4" w:space="0" w:color="70493D"/>
        <w:bottom w:val="single" w:sz="4" w:space="0" w:color="70493D"/>
        <w:right w:val="single" w:sz="4" w:space="0" w:color="70493D"/>
      </w:pBdr>
      <w:shd w:val="clear" w:color="000000" w:fill="FFFFFF"/>
      <w:spacing w:before="100" w:beforeAutospacing="1" w:after="100" w:afterAutospacing="1" w:line="240" w:lineRule="auto"/>
      <w:jc w:val="right"/>
      <w:textAlignment w:val="center"/>
    </w:pPr>
    <w:rPr>
      <w:rFonts w:ascii="Arial Nova Cond Light" w:eastAsia="Times New Roman" w:hAnsi="Arial Nova Cond Light" w:cs="Times New Roman"/>
      <w:color w:val="4F4A4A"/>
      <w:sz w:val="16"/>
      <w:szCs w:val="16"/>
      <w:lang w:val="es-419" w:eastAsia="es-419"/>
    </w:rPr>
  </w:style>
  <w:style w:type="paragraph" w:customStyle="1" w:styleId="xl107">
    <w:name w:val="xl107"/>
    <w:basedOn w:val="Normal"/>
    <w:rsid w:val="00286238"/>
    <w:pPr>
      <w:pBdr>
        <w:top w:val="single" w:sz="4" w:space="0" w:color="70493D"/>
        <w:left w:val="single" w:sz="4" w:space="0" w:color="70493D"/>
        <w:bottom w:val="single" w:sz="4" w:space="0" w:color="70493D"/>
        <w:right w:val="single" w:sz="4" w:space="0" w:color="70493D"/>
      </w:pBdr>
      <w:shd w:val="clear" w:color="000000" w:fill="F2F2F2"/>
      <w:spacing w:before="100" w:beforeAutospacing="1" w:after="100" w:afterAutospacing="1" w:line="240" w:lineRule="auto"/>
      <w:jc w:val="left"/>
      <w:textAlignment w:val="center"/>
    </w:pPr>
    <w:rPr>
      <w:rFonts w:ascii="Arial Nova Cond Light" w:eastAsia="Times New Roman" w:hAnsi="Arial Nova Cond Light" w:cs="Times New Roman"/>
      <w:color w:val="000000"/>
      <w:sz w:val="16"/>
      <w:szCs w:val="16"/>
      <w:lang w:val="es-419" w:eastAsia="es-419"/>
    </w:rPr>
  </w:style>
  <w:style w:type="paragraph" w:customStyle="1" w:styleId="xl108">
    <w:name w:val="xl108"/>
    <w:basedOn w:val="Normal"/>
    <w:rsid w:val="00286238"/>
    <w:pPr>
      <w:pBdr>
        <w:top w:val="single" w:sz="4" w:space="0" w:color="70493D"/>
        <w:left w:val="single" w:sz="4" w:space="0" w:color="70493D"/>
        <w:bottom w:val="single" w:sz="4" w:space="0" w:color="70493D"/>
        <w:right w:val="single" w:sz="4" w:space="0" w:color="70493D"/>
      </w:pBdr>
      <w:shd w:val="clear" w:color="000000" w:fill="F2F2F2"/>
      <w:spacing w:before="100" w:beforeAutospacing="1" w:after="100" w:afterAutospacing="1" w:line="240" w:lineRule="auto"/>
      <w:jc w:val="left"/>
      <w:textAlignment w:val="center"/>
    </w:pPr>
    <w:rPr>
      <w:rFonts w:ascii="Arial Nova Cond Light" w:eastAsia="Times New Roman" w:hAnsi="Arial Nova Cond Light" w:cs="Times New Roman"/>
      <w:color w:val="000000"/>
      <w:sz w:val="16"/>
      <w:szCs w:val="16"/>
      <w:lang w:val="es-419" w:eastAsia="es-419"/>
    </w:rPr>
  </w:style>
  <w:style w:type="paragraph" w:customStyle="1" w:styleId="xl109">
    <w:name w:val="xl109"/>
    <w:basedOn w:val="Normal"/>
    <w:rsid w:val="00286238"/>
    <w:pPr>
      <w:pBdr>
        <w:top w:val="single" w:sz="4" w:space="0" w:color="70493D"/>
        <w:left w:val="single" w:sz="4" w:space="0" w:color="70493D"/>
        <w:bottom w:val="single" w:sz="4" w:space="0" w:color="70493D"/>
        <w:right w:val="single" w:sz="4" w:space="0" w:color="70493D"/>
      </w:pBdr>
      <w:shd w:val="clear" w:color="000000" w:fill="F2F2F2"/>
      <w:spacing w:before="100" w:beforeAutospacing="1" w:after="100" w:afterAutospacing="1" w:line="240" w:lineRule="auto"/>
      <w:jc w:val="left"/>
      <w:textAlignment w:val="center"/>
    </w:pPr>
    <w:rPr>
      <w:rFonts w:ascii="Arial Nova Cond Light" w:eastAsia="Times New Roman" w:hAnsi="Arial Nova Cond Light" w:cs="Times New Roman"/>
      <w:color w:val="000000"/>
      <w:sz w:val="16"/>
      <w:szCs w:val="16"/>
      <w:lang w:val="es-419" w:eastAsia="es-419"/>
    </w:rPr>
  </w:style>
  <w:style w:type="paragraph" w:customStyle="1" w:styleId="xl110">
    <w:name w:val="xl110"/>
    <w:basedOn w:val="Normal"/>
    <w:rsid w:val="00286238"/>
    <w:pPr>
      <w:pBdr>
        <w:top w:val="single" w:sz="4" w:space="0" w:color="70493D"/>
        <w:left w:val="single" w:sz="4" w:space="0" w:color="70493D"/>
        <w:bottom w:val="single" w:sz="4" w:space="0" w:color="70493D"/>
        <w:right w:val="single" w:sz="4" w:space="0" w:color="70493D"/>
      </w:pBdr>
      <w:shd w:val="clear" w:color="000000" w:fill="EF8B69"/>
      <w:spacing w:before="100" w:beforeAutospacing="1" w:after="100" w:afterAutospacing="1" w:line="240" w:lineRule="auto"/>
      <w:jc w:val="right"/>
      <w:textAlignment w:val="center"/>
    </w:pPr>
    <w:rPr>
      <w:rFonts w:ascii="Arial Nova Cond Light" w:eastAsia="Times New Roman" w:hAnsi="Arial Nova Cond Light" w:cs="Times New Roman"/>
      <w:b/>
      <w:bCs/>
      <w:color w:val="4F4A4A"/>
      <w:sz w:val="16"/>
      <w:szCs w:val="16"/>
      <w:lang w:val="es-419" w:eastAsia="es-419"/>
    </w:rPr>
  </w:style>
  <w:style w:type="paragraph" w:customStyle="1" w:styleId="xl111">
    <w:name w:val="xl111"/>
    <w:basedOn w:val="Normal"/>
    <w:rsid w:val="00286238"/>
    <w:pPr>
      <w:pBdr>
        <w:top w:val="single" w:sz="4" w:space="0" w:color="70493D"/>
        <w:left w:val="single" w:sz="4" w:space="0" w:color="70493D"/>
        <w:right w:val="single" w:sz="4" w:space="0" w:color="70493D"/>
      </w:pBdr>
      <w:shd w:val="clear" w:color="000000" w:fill="FFFF00"/>
      <w:spacing w:before="100" w:beforeAutospacing="1" w:after="100" w:afterAutospacing="1" w:line="240" w:lineRule="auto"/>
      <w:jc w:val="center"/>
      <w:textAlignment w:val="center"/>
    </w:pPr>
    <w:rPr>
      <w:rFonts w:ascii="Arial Nova Cond Light" w:eastAsia="Times New Roman" w:hAnsi="Arial Nova Cond Light" w:cs="Times New Roman"/>
      <w:color w:val="FF0000"/>
      <w:sz w:val="16"/>
      <w:szCs w:val="16"/>
      <w:lang w:val="es-419" w:eastAsia="es-419"/>
    </w:rPr>
  </w:style>
  <w:style w:type="paragraph" w:customStyle="1" w:styleId="xl112">
    <w:name w:val="xl112"/>
    <w:basedOn w:val="Normal"/>
    <w:rsid w:val="00286238"/>
    <w:pPr>
      <w:pBdr>
        <w:top w:val="single" w:sz="4" w:space="0" w:color="70493D"/>
        <w:left w:val="single" w:sz="4" w:space="0" w:color="70493D"/>
        <w:bottom w:val="single" w:sz="4" w:space="0" w:color="70493D"/>
        <w:right w:val="single" w:sz="4" w:space="0" w:color="70493D"/>
      </w:pBdr>
      <w:shd w:val="clear" w:color="000000" w:fill="EA9D93"/>
      <w:spacing w:before="100" w:beforeAutospacing="1" w:after="100" w:afterAutospacing="1" w:line="240" w:lineRule="auto"/>
      <w:jc w:val="right"/>
      <w:textAlignment w:val="center"/>
    </w:pPr>
    <w:rPr>
      <w:rFonts w:ascii="Arial Nova Cond Light" w:eastAsia="Times New Roman" w:hAnsi="Arial Nova Cond Light" w:cs="Times New Roman"/>
      <w:color w:val="4F4A4A"/>
      <w:sz w:val="16"/>
      <w:szCs w:val="16"/>
      <w:lang w:val="es-419" w:eastAsia="es-419"/>
    </w:rPr>
  </w:style>
  <w:style w:type="paragraph" w:customStyle="1" w:styleId="xl113">
    <w:name w:val="xl113"/>
    <w:basedOn w:val="Normal"/>
    <w:rsid w:val="00286238"/>
    <w:pPr>
      <w:pBdr>
        <w:top w:val="single" w:sz="4" w:space="0" w:color="70493D"/>
        <w:bottom w:val="single" w:sz="4" w:space="0" w:color="70493D"/>
        <w:right w:val="single" w:sz="4" w:space="0" w:color="70493D"/>
      </w:pBdr>
      <w:shd w:val="clear" w:color="000000" w:fill="F4B19B"/>
      <w:spacing w:before="100" w:beforeAutospacing="1" w:after="100" w:afterAutospacing="1" w:line="240" w:lineRule="auto"/>
      <w:jc w:val="right"/>
      <w:textAlignment w:val="center"/>
    </w:pPr>
    <w:rPr>
      <w:rFonts w:ascii="Arial Nova Cond Light" w:eastAsia="Times New Roman" w:hAnsi="Arial Nova Cond Light" w:cs="Times New Roman"/>
      <w:b/>
      <w:bCs/>
      <w:color w:val="000000"/>
      <w:sz w:val="16"/>
      <w:szCs w:val="16"/>
      <w:lang w:val="es-419" w:eastAsia="es-419"/>
    </w:rPr>
  </w:style>
  <w:style w:type="paragraph" w:customStyle="1" w:styleId="xl114">
    <w:name w:val="xl114"/>
    <w:basedOn w:val="Normal"/>
    <w:rsid w:val="00286238"/>
    <w:pPr>
      <w:pBdr>
        <w:top w:val="single" w:sz="4" w:space="0" w:color="70493D"/>
        <w:left w:val="single" w:sz="4" w:space="0" w:color="70493D"/>
        <w:right w:val="single" w:sz="4" w:space="0" w:color="70493D"/>
      </w:pBdr>
      <w:shd w:val="clear" w:color="000000" w:fill="F4B19B"/>
      <w:spacing w:before="100" w:beforeAutospacing="1" w:after="100" w:afterAutospacing="1" w:line="240" w:lineRule="auto"/>
      <w:jc w:val="right"/>
      <w:textAlignment w:val="center"/>
    </w:pPr>
    <w:rPr>
      <w:rFonts w:ascii="Arial Nova Cond Light" w:eastAsia="Times New Roman" w:hAnsi="Arial Nova Cond Light" w:cs="Times New Roman"/>
      <w:b/>
      <w:bCs/>
      <w:color w:val="000000"/>
      <w:sz w:val="16"/>
      <w:szCs w:val="16"/>
      <w:lang w:val="es-419" w:eastAsia="es-419"/>
    </w:rPr>
  </w:style>
  <w:style w:type="paragraph" w:customStyle="1" w:styleId="xl115">
    <w:name w:val="xl115"/>
    <w:basedOn w:val="Normal"/>
    <w:rsid w:val="00286238"/>
    <w:pPr>
      <w:pBdr>
        <w:top w:val="single" w:sz="4" w:space="0" w:color="70493D"/>
        <w:left w:val="single" w:sz="4" w:space="0" w:color="70493D"/>
        <w:bottom w:val="single" w:sz="4" w:space="0" w:color="70493D"/>
        <w:right w:val="single" w:sz="4" w:space="0" w:color="70493D"/>
      </w:pBdr>
      <w:shd w:val="clear" w:color="000000" w:fill="F4B19B"/>
      <w:spacing w:before="100" w:beforeAutospacing="1" w:after="100" w:afterAutospacing="1" w:line="240" w:lineRule="auto"/>
      <w:jc w:val="right"/>
      <w:textAlignment w:val="center"/>
    </w:pPr>
    <w:rPr>
      <w:rFonts w:ascii="Arial Nova Cond Light" w:eastAsia="Times New Roman" w:hAnsi="Arial Nova Cond Light" w:cs="Times New Roman"/>
      <w:b/>
      <w:bCs/>
      <w:color w:val="4F4A4A"/>
      <w:sz w:val="16"/>
      <w:szCs w:val="16"/>
      <w:lang w:val="es-419" w:eastAsia="es-419"/>
    </w:rPr>
  </w:style>
  <w:style w:type="table" w:styleId="Tablaconcuadrcula">
    <w:name w:val="Table Grid"/>
    <w:basedOn w:val="Tablanormal"/>
    <w:uiPriority w:val="39"/>
    <w:rsid w:val="002862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7826">
      <w:bodyDiv w:val="1"/>
      <w:marLeft w:val="0"/>
      <w:marRight w:val="0"/>
      <w:marTop w:val="0"/>
      <w:marBottom w:val="0"/>
      <w:divBdr>
        <w:top w:val="none" w:sz="0" w:space="0" w:color="auto"/>
        <w:left w:val="none" w:sz="0" w:space="0" w:color="auto"/>
        <w:bottom w:val="none" w:sz="0" w:space="0" w:color="auto"/>
        <w:right w:val="none" w:sz="0" w:space="0" w:color="auto"/>
      </w:divBdr>
    </w:div>
    <w:div w:id="107312981">
      <w:bodyDiv w:val="1"/>
      <w:marLeft w:val="0"/>
      <w:marRight w:val="0"/>
      <w:marTop w:val="0"/>
      <w:marBottom w:val="0"/>
      <w:divBdr>
        <w:top w:val="none" w:sz="0" w:space="0" w:color="auto"/>
        <w:left w:val="none" w:sz="0" w:space="0" w:color="auto"/>
        <w:bottom w:val="none" w:sz="0" w:space="0" w:color="auto"/>
        <w:right w:val="none" w:sz="0" w:space="0" w:color="auto"/>
      </w:divBdr>
    </w:div>
    <w:div w:id="109320744">
      <w:bodyDiv w:val="1"/>
      <w:marLeft w:val="0"/>
      <w:marRight w:val="0"/>
      <w:marTop w:val="0"/>
      <w:marBottom w:val="0"/>
      <w:divBdr>
        <w:top w:val="none" w:sz="0" w:space="0" w:color="auto"/>
        <w:left w:val="none" w:sz="0" w:space="0" w:color="auto"/>
        <w:bottom w:val="none" w:sz="0" w:space="0" w:color="auto"/>
        <w:right w:val="none" w:sz="0" w:space="0" w:color="auto"/>
      </w:divBdr>
    </w:div>
    <w:div w:id="189027094">
      <w:bodyDiv w:val="1"/>
      <w:marLeft w:val="0"/>
      <w:marRight w:val="0"/>
      <w:marTop w:val="0"/>
      <w:marBottom w:val="0"/>
      <w:divBdr>
        <w:top w:val="none" w:sz="0" w:space="0" w:color="auto"/>
        <w:left w:val="none" w:sz="0" w:space="0" w:color="auto"/>
        <w:bottom w:val="none" w:sz="0" w:space="0" w:color="auto"/>
        <w:right w:val="none" w:sz="0" w:space="0" w:color="auto"/>
      </w:divBdr>
    </w:div>
    <w:div w:id="334890407">
      <w:bodyDiv w:val="1"/>
      <w:marLeft w:val="0"/>
      <w:marRight w:val="0"/>
      <w:marTop w:val="0"/>
      <w:marBottom w:val="0"/>
      <w:divBdr>
        <w:top w:val="none" w:sz="0" w:space="0" w:color="auto"/>
        <w:left w:val="none" w:sz="0" w:space="0" w:color="auto"/>
        <w:bottom w:val="none" w:sz="0" w:space="0" w:color="auto"/>
        <w:right w:val="none" w:sz="0" w:space="0" w:color="auto"/>
      </w:divBdr>
    </w:div>
    <w:div w:id="622612878">
      <w:bodyDiv w:val="1"/>
      <w:marLeft w:val="0"/>
      <w:marRight w:val="0"/>
      <w:marTop w:val="0"/>
      <w:marBottom w:val="0"/>
      <w:divBdr>
        <w:top w:val="none" w:sz="0" w:space="0" w:color="auto"/>
        <w:left w:val="none" w:sz="0" w:space="0" w:color="auto"/>
        <w:bottom w:val="none" w:sz="0" w:space="0" w:color="auto"/>
        <w:right w:val="none" w:sz="0" w:space="0" w:color="auto"/>
      </w:divBdr>
    </w:div>
    <w:div w:id="665942511">
      <w:bodyDiv w:val="1"/>
      <w:marLeft w:val="0"/>
      <w:marRight w:val="0"/>
      <w:marTop w:val="0"/>
      <w:marBottom w:val="0"/>
      <w:divBdr>
        <w:top w:val="none" w:sz="0" w:space="0" w:color="auto"/>
        <w:left w:val="none" w:sz="0" w:space="0" w:color="auto"/>
        <w:bottom w:val="none" w:sz="0" w:space="0" w:color="auto"/>
        <w:right w:val="none" w:sz="0" w:space="0" w:color="auto"/>
      </w:divBdr>
    </w:div>
    <w:div w:id="952663885">
      <w:bodyDiv w:val="1"/>
      <w:marLeft w:val="0"/>
      <w:marRight w:val="0"/>
      <w:marTop w:val="0"/>
      <w:marBottom w:val="0"/>
      <w:divBdr>
        <w:top w:val="none" w:sz="0" w:space="0" w:color="auto"/>
        <w:left w:val="none" w:sz="0" w:space="0" w:color="auto"/>
        <w:bottom w:val="none" w:sz="0" w:space="0" w:color="auto"/>
        <w:right w:val="none" w:sz="0" w:space="0" w:color="auto"/>
      </w:divBdr>
    </w:div>
    <w:div w:id="1596749451">
      <w:bodyDiv w:val="1"/>
      <w:marLeft w:val="0"/>
      <w:marRight w:val="0"/>
      <w:marTop w:val="0"/>
      <w:marBottom w:val="0"/>
      <w:divBdr>
        <w:top w:val="none" w:sz="0" w:space="0" w:color="auto"/>
        <w:left w:val="none" w:sz="0" w:space="0" w:color="auto"/>
        <w:bottom w:val="none" w:sz="0" w:space="0" w:color="auto"/>
        <w:right w:val="none" w:sz="0" w:space="0" w:color="auto"/>
      </w:divBdr>
    </w:div>
    <w:div w:id="1827435180">
      <w:bodyDiv w:val="1"/>
      <w:marLeft w:val="0"/>
      <w:marRight w:val="0"/>
      <w:marTop w:val="0"/>
      <w:marBottom w:val="0"/>
      <w:divBdr>
        <w:top w:val="none" w:sz="0" w:space="0" w:color="auto"/>
        <w:left w:val="none" w:sz="0" w:space="0" w:color="auto"/>
        <w:bottom w:val="none" w:sz="0" w:space="0" w:color="auto"/>
        <w:right w:val="none" w:sz="0" w:space="0" w:color="auto"/>
      </w:divBdr>
      <w:divsChild>
        <w:div w:id="2103796131">
          <w:marLeft w:val="0"/>
          <w:marRight w:val="0"/>
          <w:marTop w:val="0"/>
          <w:marBottom w:val="0"/>
          <w:divBdr>
            <w:top w:val="single" w:sz="6" w:space="3" w:color="808080"/>
            <w:left w:val="single" w:sz="6" w:space="15" w:color="808080"/>
            <w:bottom w:val="single" w:sz="6" w:space="8" w:color="808080"/>
            <w:right w:val="single" w:sz="6" w:space="15" w:color="808080"/>
          </w:divBdr>
          <w:divsChild>
            <w:div w:id="1904752263">
              <w:marLeft w:val="0"/>
              <w:marRight w:val="0"/>
              <w:marTop w:val="0"/>
              <w:marBottom w:val="0"/>
              <w:divBdr>
                <w:top w:val="none" w:sz="0" w:space="0" w:color="auto"/>
                <w:left w:val="none" w:sz="0" w:space="0" w:color="auto"/>
                <w:bottom w:val="none" w:sz="0" w:space="0" w:color="auto"/>
                <w:right w:val="none" w:sz="0" w:space="0" w:color="auto"/>
              </w:divBdr>
            </w:div>
          </w:divsChild>
        </w:div>
        <w:div w:id="1399086073">
          <w:marLeft w:val="0"/>
          <w:marRight w:val="0"/>
          <w:marTop w:val="0"/>
          <w:marBottom w:val="0"/>
          <w:divBdr>
            <w:top w:val="none" w:sz="0" w:space="0" w:color="auto"/>
            <w:left w:val="none" w:sz="0" w:space="0" w:color="auto"/>
            <w:bottom w:val="none" w:sz="0" w:space="0" w:color="auto"/>
            <w:right w:val="none" w:sz="0" w:space="0" w:color="auto"/>
          </w:divBdr>
        </w:div>
        <w:div w:id="1552885853">
          <w:marLeft w:val="0"/>
          <w:marRight w:val="0"/>
          <w:marTop w:val="0"/>
          <w:marBottom w:val="0"/>
          <w:divBdr>
            <w:top w:val="none" w:sz="0" w:space="0" w:color="auto"/>
            <w:left w:val="none" w:sz="0" w:space="0" w:color="auto"/>
            <w:bottom w:val="none" w:sz="0" w:space="0" w:color="auto"/>
            <w:right w:val="none" w:sz="0" w:space="0" w:color="auto"/>
          </w:divBdr>
        </w:div>
        <w:div w:id="173887422">
          <w:marLeft w:val="0"/>
          <w:marRight w:val="0"/>
          <w:marTop w:val="0"/>
          <w:marBottom w:val="0"/>
          <w:divBdr>
            <w:top w:val="none" w:sz="0" w:space="0" w:color="auto"/>
            <w:left w:val="none" w:sz="0" w:space="0" w:color="auto"/>
            <w:bottom w:val="none" w:sz="0" w:space="0" w:color="auto"/>
            <w:right w:val="none" w:sz="0" w:space="0" w:color="auto"/>
          </w:divBdr>
        </w:div>
        <w:div w:id="1187980289">
          <w:marLeft w:val="0"/>
          <w:marRight w:val="0"/>
          <w:marTop w:val="0"/>
          <w:marBottom w:val="0"/>
          <w:divBdr>
            <w:top w:val="none" w:sz="0" w:space="0" w:color="auto"/>
            <w:left w:val="none" w:sz="0" w:space="0" w:color="auto"/>
            <w:bottom w:val="none" w:sz="0" w:space="0" w:color="auto"/>
            <w:right w:val="none" w:sz="0" w:space="0" w:color="auto"/>
          </w:divBdr>
        </w:div>
        <w:div w:id="823273814">
          <w:marLeft w:val="0"/>
          <w:marRight w:val="0"/>
          <w:marTop w:val="0"/>
          <w:marBottom w:val="0"/>
          <w:divBdr>
            <w:top w:val="none" w:sz="0" w:space="0" w:color="auto"/>
            <w:left w:val="none" w:sz="0" w:space="0" w:color="auto"/>
            <w:bottom w:val="none" w:sz="0" w:space="0" w:color="auto"/>
            <w:right w:val="none" w:sz="0" w:space="0" w:color="auto"/>
          </w:divBdr>
        </w:div>
        <w:div w:id="786122963">
          <w:marLeft w:val="0"/>
          <w:marRight w:val="0"/>
          <w:marTop w:val="0"/>
          <w:marBottom w:val="0"/>
          <w:divBdr>
            <w:top w:val="none" w:sz="0" w:space="0" w:color="auto"/>
            <w:left w:val="none" w:sz="0" w:space="0" w:color="auto"/>
            <w:bottom w:val="none" w:sz="0" w:space="0" w:color="auto"/>
            <w:right w:val="none" w:sz="0" w:space="0" w:color="auto"/>
          </w:divBdr>
        </w:div>
        <w:div w:id="2061201591">
          <w:marLeft w:val="0"/>
          <w:marRight w:val="0"/>
          <w:marTop w:val="0"/>
          <w:marBottom w:val="0"/>
          <w:divBdr>
            <w:top w:val="none" w:sz="0" w:space="0" w:color="auto"/>
            <w:left w:val="none" w:sz="0" w:space="0" w:color="auto"/>
            <w:bottom w:val="none" w:sz="0" w:space="0" w:color="auto"/>
            <w:right w:val="none" w:sz="0" w:space="0" w:color="auto"/>
          </w:divBdr>
        </w:div>
        <w:div w:id="1924682338">
          <w:marLeft w:val="0"/>
          <w:marRight w:val="0"/>
          <w:marTop w:val="0"/>
          <w:marBottom w:val="0"/>
          <w:divBdr>
            <w:top w:val="none" w:sz="0" w:space="0" w:color="auto"/>
            <w:left w:val="none" w:sz="0" w:space="0" w:color="auto"/>
            <w:bottom w:val="none" w:sz="0" w:space="0" w:color="auto"/>
            <w:right w:val="none" w:sz="0" w:space="0" w:color="auto"/>
          </w:divBdr>
        </w:div>
        <w:div w:id="1322083851">
          <w:marLeft w:val="0"/>
          <w:marRight w:val="0"/>
          <w:marTop w:val="0"/>
          <w:marBottom w:val="0"/>
          <w:divBdr>
            <w:top w:val="none" w:sz="0" w:space="0" w:color="auto"/>
            <w:left w:val="none" w:sz="0" w:space="0" w:color="auto"/>
            <w:bottom w:val="none" w:sz="0" w:space="0" w:color="auto"/>
            <w:right w:val="none" w:sz="0" w:space="0" w:color="auto"/>
          </w:divBdr>
        </w:div>
        <w:div w:id="55973741">
          <w:marLeft w:val="0"/>
          <w:marRight w:val="0"/>
          <w:marTop w:val="0"/>
          <w:marBottom w:val="0"/>
          <w:divBdr>
            <w:top w:val="none" w:sz="0" w:space="0" w:color="auto"/>
            <w:left w:val="none" w:sz="0" w:space="0" w:color="auto"/>
            <w:bottom w:val="none" w:sz="0" w:space="0" w:color="auto"/>
            <w:right w:val="none" w:sz="0" w:space="0" w:color="auto"/>
          </w:divBdr>
        </w:div>
        <w:div w:id="1225944394">
          <w:marLeft w:val="0"/>
          <w:marRight w:val="0"/>
          <w:marTop w:val="0"/>
          <w:marBottom w:val="0"/>
          <w:divBdr>
            <w:top w:val="none" w:sz="0" w:space="0" w:color="auto"/>
            <w:left w:val="none" w:sz="0" w:space="0" w:color="auto"/>
            <w:bottom w:val="none" w:sz="0" w:space="0" w:color="auto"/>
            <w:right w:val="none" w:sz="0" w:space="0" w:color="auto"/>
          </w:divBdr>
        </w:div>
        <w:div w:id="1270965222">
          <w:marLeft w:val="0"/>
          <w:marRight w:val="0"/>
          <w:marTop w:val="0"/>
          <w:marBottom w:val="0"/>
          <w:divBdr>
            <w:top w:val="none" w:sz="0" w:space="0" w:color="auto"/>
            <w:left w:val="none" w:sz="0" w:space="0" w:color="auto"/>
            <w:bottom w:val="none" w:sz="0" w:space="0" w:color="auto"/>
            <w:right w:val="none" w:sz="0" w:space="0" w:color="auto"/>
          </w:divBdr>
        </w:div>
        <w:div w:id="662591935">
          <w:marLeft w:val="0"/>
          <w:marRight w:val="0"/>
          <w:marTop w:val="0"/>
          <w:marBottom w:val="0"/>
          <w:divBdr>
            <w:top w:val="none" w:sz="0" w:space="0" w:color="auto"/>
            <w:left w:val="none" w:sz="0" w:space="0" w:color="auto"/>
            <w:bottom w:val="none" w:sz="0" w:space="0" w:color="auto"/>
            <w:right w:val="none" w:sz="0" w:space="0" w:color="auto"/>
          </w:divBdr>
        </w:div>
        <w:div w:id="554317806">
          <w:marLeft w:val="0"/>
          <w:marRight w:val="0"/>
          <w:marTop w:val="0"/>
          <w:marBottom w:val="0"/>
          <w:divBdr>
            <w:top w:val="none" w:sz="0" w:space="0" w:color="auto"/>
            <w:left w:val="none" w:sz="0" w:space="0" w:color="auto"/>
            <w:bottom w:val="none" w:sz="0" w:space="0" w:color="auto"/>
            <w:right w:val="none" w:sz="0" w:space="0" w:color="auto"/>
          </w:divBdr>
        </w:div>
        <w:div w:id="1391807002">
          <w:marLeft w:val="0"/>
          <w:marRight w:val="0"/>
          <w:marTop w:val="0"/>
          <w:marBottom w:val="0"/>
          <w:divBdr>
            <w:top w:val="none" w:sz="0" w:space="0" w:color="auto"/>
            <w:left w:val="none" w:sz="0" w:space="0" w:color="auto"/>
            <w:bottom w:val="none" w:sz="0" w:space="0" w:color="auto"/>
            <w:right w:val="none" w:sz="0" w:space="0" w:color="auto"/>
          </w:divBdr>
        </w:div>
        <w:div w:id="946426724">
          <w:marLeft w:val="0"/>
          <w:marRight w:val="0"/>
          <w:marTop w:val="0"/>
          <w:marBottom w:val="0"/>
          <w:divBdr>
            <w:top w:val="none" w:sz="0" w:space="0" w:color="auto"/>
            <w:left w:val="none" w:sz="0" w:space="0" w:color="auto"/>
            <w:bottom w:val="none" w:sz="0" w:space="0" w:color="auto"/>
            <w:right w:val="none" w:sz="0" w:space="0" w:color="auto"/>
          </w:divBdr>
        </w:div>
        <w:div w:id="1348411742">
          <w:marLeft w:val="0"/>
          <w:marRight w:val="0"/>
          <w:marTop w:val="0"/>
          <w:marBottom w:val="0"/>
          <w:divBdr>
            <w:top w:val="none" w:sz="0" w:space="0" w:color="auto"/>
            <w:left w:val="none" w:sz="0" w:space="0" w:color="auto"/>
            <w:bottom w:val="none" w:sz="0" w:space="0" w:color="auto"/>
            <w:right w:val="none" w:sz="0" w:space="0" w:color="auto"/>
          </w:divBdr>
        </w:div>
        <w:div w:id="2144687821">
          <w:marLeft w:val="0"/>
          <w:marRight w:val="0"/>
          <w:marTop w:val="0"/>
          <w:marBottom w:val="0"/>
          <w:divBdr>
            <w:top w:val="none" w:sz="0" w:space="0" w:color="auto"/>
            <w:left w:val="none" w:sz="0" w:space="0" w:color="auto"/>
            <w:bottom w:val="none" w:sz="0" w:space="0" w:color="auto"/>
            <w:right w:val="none" w:sz="0" w:space="0" w:color="auto"/>
          </w:divBdr>
        </w:div>
        <w:div w:id="1895963303">
          <w:marLeft w:val="0"/>
          <w:marRight w:val="0"/>
          <w:marTop w:val="0"/>
          <w:marBottom w:val="0"/>
          <w:divBdr>
            <w:top w:val="none" w:sz="0" w:space="0" w:color="auto"/>
            <w:left w:val="none" w:sz="0" w:space="0" w:color="auto"/>
            <w:bottom w:val="none" w:sz="0" w:space="0" w:color="auto"/>
            <w:right w:val="none" w:sz="0" w:space="0" w:color="auto"/>
          </w:divBdr>
        </w:div>
        <w:div w:id="395322015">
          <w:marLeft w:val="0"/>
          <w:marRight w:val="0"/>
          <w:marTop w:val="0"/>
          <w:marBottom w:val="0"/>
          <w:divBdr>
            <w:top w:val="none" w:sz="0" w:space="0" w:color="auto"/>
            <w:left w:val="none" w:sz="0" w:space="0" w:color="auto"/>
            <w:bottom w:val="none" w:sz="0" w:space="0" w:color="auto"/>
            <w:right w:val="none" w:sz="0" w:space="0" w:color="auto"/>
          </w:divBdr>
        </w:div>
        <w:div w:id="63723371">
          <w:marLeft w:val="0"/>
          <w:marRight w:val="0"/>
          <w:marTop w:val="0"/>
          <w:marBottom w:val="0"/>
          <w:divBdr>
            <w:top w:val="none" w:sz="0" w:space="0" w:color="auto"/>
            <w:left w:val="none" w:sz="0" w:space="0" w:color="auto"/>
            <w:bottom w:val="none" w:sz="0" w:space="0" w:color="auto"/>
            <w:right w:val="none" w:sz="0" w:space="0" w:color="auto"/>
          </w:divBdr>
        </w:div>
        <w:div w:id="2064475812">
          <w:marLeft w:val="0"/>
          <w:marRight w:val="0"/>
          <w:marTop w:val="0"/>
          <w:marBottom w:val="0"/>
          <w:divBdr>
            <w:top w:val="none" w:sz="0" w:space="0" w:color="auto"/>
            <w:left w:val="none" w:sz="0" w:space="0" w:color="auto"/>
            <w:bottom w:val="none" w:sz="0" w:space="0" w:color="auto"/>
            <w:right w:val="none" w:sz="0" w:space="0" w:color="auto"/>
          </w:divBdr>
        </w:div>
        <w:div w:id="1876043581">
          <w:marLeft w:val="0"/>
          <w:marRight w:val="0"/>
          <w:marTop w:val="0"/>
          <w:marBottom w:val="0"/>
          <w:divBdr>
            <w:top w:val="none" w:sz="0" w:space="0" w:color="auto"/>
            <w:left w:val="none" w:sz="0" w:space="0" w:color="auto"/>
            <w:bottom w:val="none" w:sz="0" w:space="0" w:color="auto"/>
            <w:right w:val="none" w:sz="0" w:space="0" w:color="auto"/>
          </w:divBdr>
        </w:div>
        <w:div w:id="1661999762">
          <w:marLeft w:val="0"/>
          <w:marRight w:val="0"/>
          <w:marTop w:val="0"/>
          <w:marBottom w:val="0"/>
          <w:divBdr>
            <w:top w:val="none" w:sz="0" w:space="0" w:color="auto"/>
            <w:left w:val="none" w:sz="0" w:space="0" w:color="auto"/>
            <w:bottom w:val="none" w:sz="0" w:space="0" w:color="auto"/>
            <w:right w:val="none" w:sz="0" w:space="0" w:color="auto"/>
          </w:divBdr>
        </w:div>
        <w:div w:id="1212502258">
          <w:marLeft w:val="0"/>
          <w:marRight w:val="0"/>
          <w:marTop w:val="0"/>
          <w:marBottom w:val="0"/>
          <w:divBdr>
            <w:top w:val="none" w:sz="0" w:space="0" w:color="auto"/>
            <w:left w:val="none" w:sz="0" w:space="0" w:color="auto"/>
            <w:bottom w:val="none" w:sz="0" w:space="0" w:color="auto"/>
            <w:right w:val="none" w:sz="0" w:space="0" w:color="auto"/>
          </w:divBdr>
        </w:div>
        <w:div w:id="335889773">
          <w:marLeft w:val="0"/>
          <w:marRight w:val="0"/>
          <w:marTop w:val="0"/>
          <w:marBottom w:val="0"/>
          <w:divBdr>
            <w:top w:val="none" w:sz="0" w:space="0" w:color="auto"/>
            <w:left w:val="none" w:sz="0" w:space="0" w:color="auto"/>
            <w:bottom w:val="none" w:sz="0" w:space="0" w:color="auto"/>
            <w:right w:val="none" w:sz="0" w:space="0" w:color="auto"/>
          </w:divBdr>
        </w:div>
        <w:div w:id="478545403">
          <w:marLeft w:val="0"/>
          <w:marRight w:val="0"/>
          <w:marTop w:val="0"/>
          <w:marBottom w:val="0"/>
          <w:divBdr>
            <w:top w:val="none" w:sz="0" w:space="0" w:color="auto"/>
            <w:left w:val="none" w:sz="0" w:space="0" w:color="auto"/>
            <w:bottom w:val="none" w:sz="0" w:space="0" w:color="auto"/>
            <w:right w:val="none" w:sz="0" w:space="0" w:color="auto"/>
          </w:divBdr>
        </w:div>
        <w:div w:id="2036229291">
          <w:marLeft w:val="0"/>
          <w:marRight w:val="0"/>
          <w:marTop w:val="0"/>
          <w:marBottom w:val="0"/>
          <w:divBdr>
            <w:top w:val="none" w:sz="0" w:space="0" w:color="auto"/>
            <w:left w:val="none" w:sz="0" w:space="0" w:color="auto"/>
            <w:bottom w:val="none" w:sz="0" w:space="0" w:color="auto"/>
            <w:right w:val="none" w:sz="0" w:space="0" w:color="auto"/>
          </w:divBdr>
        </w:div>
        <w:div w:id="457260528">
          <w:marLeft w:val="0"/>
          <w:marRight w:val="0"/>
          <w:marTop w:val="0"/>
          <w:marBottom w:val="0"/>
          <w:divBdr>
            <w:top w:val="none" w:sz="0" w:space="0" w:color="auto"/>
            <w:left w:val="none" w:sz="0" w:space="0" w:color="auto"/>
            <w:bottom w:val="none" w:sz="0" w:space="0" w:color="auto"/>
            <w:right w:val="none" w:sz="0" w:space="0" w:color="auto"/>
          </w:divBdr>
        </w:div>
        <w:div w:id="1538735273">
          <w:marLeft w:val="0"/>
          <w:marRight w:val="0"/>
          <w:marTop w:val="0"/>
          <w:marBottom w:val="0"/>
          <w:divBdr>
            <w:top w:val="none" w:sz="0" w:space="0" w:color="auto"/>
            <w:left w:val="none" w:sz="0" w:space="0" w:color="auto"/>
            <w:bottom w:val="none" w:sz="0" w:space="0" w:color="auto"/>
            <w:right w:val="none" w:sz="0" w:space="0" w:color="auto"/>
          </w:divBdr>
        </w:div>
        <w:div w:id="339311885">
          <w:marLeft w:val="0"/>
          <w:marRight w:val="0"/>
          <w:marTop w:val="0"/>
          <w:marBottom w:val="0"/>
          <w:divBdr>
            <w:top w:val="none" w:sz="0" w:space="0" w:color="auto"/>
            <w:left w:val="none" w:sz="0" w:space="0" w:color="auto"/>
            <w:bottom w:val="none" w:sz="0" w:space="0" w:color="auto"/>
            <w:right w:val="none" w:sz="0" w:space="0" w:color="auto"/>
          </w:divBdr>
        </w:div>
        <w:div w:id="1987860098">
          <w:marLeft w:val="0"/>
          <w:marRight w:val="0"/>
          <w:marTop w:val="0"/>
          <w:marBottom w:val="0"/>
          <w:divBdr>
            <w:top w:val="none" w:sz="0" w:space="0" w:color="auto"/>
            <w:left w:val="none" w:sz="0" w:space="0" w:color="auto"/>
            <w:bottom w:val="none" w:sz="0" w:space="0" w:color="auto"/>
            <w:right w:val="none" w:sz="0" w:space="0" w:color="auto"/>
          </w:divBdr>
        </w:div>
        <w:div w:id="1878856060">
          <w:marLeft w:val="0"/>
          <w:marRight w:val="0"/>
          <w:marTop w:val="0"/>
          <w:marBottom w:val="0"/>
          <w:divBdr>
            <w:top w:val="none" w:sz="0" w:space="0" w:color="auto"/>
            <w:left w:val="none" w:sz="0" w:space="0" w:color="auto"/>
            <w:bottom w:val="none" w:sz="0" w:space="0" w:color="auto"/>
            <w:right w:val="none" w:sz="0" w:space="0" w:color="auto"/>
          </w:divBdr>
        </w:div>
        <w:div w:id="1312952716">
          <w:marLeft w:val="0"/>
          <w:marRight w:val="0"/>
          <w:marTop w:val="0"/>
          <w:marBottom w:val="0"/>
          <w:divBdr>
            <w:top w:val="none" w:sz="0" w:space="0" w:color="auto"/>
            <w:left w:val="none" w:sz="0" w:space="0" w:color="auto"/>
            <w:bottom w:val="none" w:sz="0" w:space="0" w:color="auto"/>
            <w:right w:val="none" w:sz="0" w:space="0" w:color="auto"/>
          </w:divBdr>
        </w:div>
        <w:div w:id="1967736016">
          <w:marLeft w:val="0"/>
          <w:marRight w:val="0"/>
          <w:marTop w:val="0"/>
          <w:marBottom w:val="0"/>
          <w:divBdr>
            <w:top w:val="none" w:sz="0" w:space="0" w:color="auto"/>
            <w:left w:val="none" w:sz="0" w:space="0" w:color="auto"/>
            <w:bottom w:val="none" w:sz="0" w:space="0" w:color="auto"/>
            <w:right w:val="none" w:sz="0" w:space="0" w:color="auto"/>
          </w:divBdr>
        </w:div>
        <w:div w:id="1078984830">
          <w:marLeft w:val="0"/>
          <w:marRight w:val="0"/>
          <w:marTop w:val="0"/>
          <w:marBottom w:val="0"/>
          <w:divBdr>
            <w:top w:val="none" w:sz="0" w:space="0" w:color="auto"/>
            <w:left w:val="none" w:sz="0" w:space="0" w:color="auto"/>
            <w:bottom w:val="none" w:sz="0" w:space="0" w:color="auto"/>
            <w:right w:val="none" w:sz="0" w:space="0" w:color="auto"/>
          </w:divBdr>
        </w:div>
        <w:div w:id="1273902949">
          <w:marLeft w:val="0"/>
          <w:marRight w:val="0"/>
          <w:marTop w:val="0"/>
          <w:marBottom w:val="0"/>
          <w:divBdr>
            <w:top w:val="none" w:sz="0" w:space="0" w:color="auto"/>
            <w:left w:val="none" w:sz="0" w:space="0" w:color="auto"/>
            <w:bottom w:val="none" w:sz="0" w:space="0" w:color="auto"/>
            <w:right w:val="none" w:sz="0" w:space="0" w:color="auto"/>
          </w:divBdr>
        </w:div>
        <w:div w:id="1866794027">
          <w:marLeft w:val="0"/>
          <w:marRight w:val="0"/>
          <w:marTop w:val="0"/>
          <w:marBottom w:val="0"/>
          <w:divBdr>
            <w:top w:val="none" w:sz="0" w:space="0" w:color="auto"/>
            <w:left w:val="none" w:sz="0" w:space="0" w:color="auto"/>
            <w:bottom w:val="none" w:sz="0" w:space="0" w:color="auto"/>
            <w:right w:val="none" w:sz="0" w:space="0" w:color="auto"/>
          </w:divBdr>
        </w:div>
        <w:div w:id="1493839151">
          <w:marLeft w:val="0"/>
          <w:marRight w:val="0"/>
          <w:marTop w:val="0"/>
          <w:marBottom w:val="0"/>
          <w:divBdr>
            <w:top w:val="none" w:sz="0" w:space="0" w:color="auto"/>
            <w:left w:val="none" w:sz="0" w:space="0" w:color="auto"/>
            <w:bottom w:val="none" w:sz="0" w:space="0" w:color="auto"/>
            <w:right w:val="none" w:sz="0" w:space="0" w:color="auto"/>
          </w:divBdr>
        </w:div>
        <w:div w:id="1103307866">
          <w:marLeft w:val="0"/>
          <w:marRight w:val="0"/>
          <w:marTop w:val="0"/>
          <w:marBottom w:val="0"/>
          <w:divBdr>
            <w:top w:val="none" w:sz="0" w:space="0" w:color="auto"/>
            <w:left w:val="none" w:sz="0" w:space="0" w:color="auto"/>
            <w:bottom w:val="none" w:sz="0" w:space="0" w:color="auto"/>
            <w:right w:val="none" w:sz="0" w:space="0" w:color="auto"/>
          </w:divBdr>
        </w:div>
        <w:div w:id="1356155252">
          <w:marLeft w:val="0"/>
          <w:marRight w:val="0"/>
          <w:marTop w:val="0"/>
          <w:marBottom w:val="0"/>
          <w:divBdr>
            <w:top w:val="none" w:sz="0" w:space="0" w:color="auto"/>
            <w:left w:val="none" w:sz="0" w:space="0" w:color="auto"/>
            <w:bottom w:val="none" w:sz="0" w:space="0" w:color="auto"/>
            <w:right w:val="none" w:sz="0" w:space="0" w:color="auto"/>
          </w:divBdr>
        </w:div>
        <w:div w:id="1744447183">
          <w:marLeft w:val="0"/>
          <w:marRight w:val="0"/>
          <w:marTop w:val="0"/>
          <w:marBottom w:val="0"/>
          <w:divBdr>
            <w:top w:val="none" w:sz="0" w:space="0" w:color="auto"/>
            <w:left w:val="none" w:sz="0" w:space="0" w:color="auto"/>
            <w:bottom w:val="none" w:sz="0" w:space="0" w:color="auto"/>
            <w:right w:val="none" w:sz="0" w:space="0" w:color="auto"/>
          </w:divBdr>
        </w:div>
        <w:div w:id="1187712290">
          <w:marLeft w:val="0"/>
          <w:marRight w:val="0"/>
          <w:marTop w:val="0"/>
          <w:marBottom w:val="0"/>
          <w:divBdr>
            <w:top w:val="none" w:sz="0" w:space="0" w:color="auto"/>
            <w:left w:val="none" w:sz="0" w:space="0" w:color="auto"/>
            <w:bottom w:val="none" w:sz="0" w:space="0" w:color="auto"/>
            <w:right w:val="none" w:sz="0" w:space="0" w:color="auto"/>
          </w:divBdr>
        </w:div>
        <w:div w:id="1443260717">
          <w:marLeft w:val="0"/>
          <w:marRight w:val="0"/>
          <w:marTop w:val="0"/>
          <w:marBottom w:val="0"/>
          <w:divBdr>
            <w:top w:val="none" w:sz="0" w:space="0" w:color="auto"/>
            <w:left w:val="none" w:sz="0" w:space="0" w:color="auto"/>
            <w:bottom w:val="none" w:sz="0" w:space="0" w:color="auto"/>
            <w:right w:val="none" w:sz="0" w:space="0" w:color="auto"/>
          </w:divBdr>
        </w:div>
        <w:div w:id="1633510851">
          <w:marLeft w:val="0"/>
          <w:marRight w:val="0"/>
          <w:marTop w:val="0"/>
          <w:marBottom w:val="0"/>
          <w:divBdr>
            <w:top w:val="none" w:sz="0" w:space="0" w:color="auto"/>
            <w:left w:val="none" w:sz="0" w:space="0" w:color="auto"/>
            <w:bottom w:val="none" w:sz="0" w:space="0" w:color="auto"/>
            <w:right w:val="none" w:sz="0" w:space="0" w:color="auto"/>
          </w:divBdr>
        </w:div>
        <w:div w:id="98181770">
          <w:marLeft w:val="0"/>
          <w:marRight w:val="0"/>
          <w:marTop w:val="0"/>
          <w:marBottom w:val="0"/>
          <w:divBdr>
            <w:top w:val="none" w:sz="0" w:space="0" w:color="auto"/>
            <w:left w:val="none" w:sz="0" w:space="0" w:color="auto"/>
            <w:bottom w:val="none" w:sz="0" w:space="0" w:color="auto"/>
            <w:right w:val="none" w:sz="0" w:space="0" w:color="auto"/>
          </w:divBdr>
        </w:div>
        <w:div w:id="2143770889">
          <w:marLeft w:val="0"/>
          <w:marRight w:val="0"/>
          <w:marTop w:val="0"/>
          <w:marBottom w:val="0"/>
          <w:divBdr>
            <w:top w:val="none" w:sz="0" w:space="0" w:color="auto"/>
            <w:left w:val="none" w:sz="0" w:space="0" w:color="auto"/>
            <w:bottom w:val="none" w:sz="0" w:space="0" w:color="auto"/>
            <w:right w:val="none" w:sz="0" w:space="0" w:color="auto"/>
          </w:divBdr>
        </w:div>
        <w:div w:id="446854942">
          <w:marLeft w:val="0"/>
          <w:marRight w:val="0"/>
          <w:marTop w:val="0"/>
          <w:marBottom w:val="0"/>
          <w:divBdr>
            <w:top w:val="none" w:sz="0" w:space="0" w:color="auto"/>
            <w:left w:val="none" w:sz="0" w:space="0" w:color="auto"/>
            <w:bottom w:val="none" w:sz="0" w:space="0" w:color="auto"/>
            <w:right w:val="none" w:sz="0" w:space="0" w:color="auto"/>
          </w:divBdr>
        </w:div>
        <w:div w:id="1664312543">
          <w:marLeft w:val="0"/>
          <w:marRight w:val="0"/>
          <w:marTop w:val="0"/>
          <w:marBottom w:val="0"/>
          <w:divBdr>
            <w:top w:val="none" w:sz="0" w:space="0" w:color="auto"/>
            <w:left w:val="none" w:sz="0" w:space="0" w:color="auto"/>
            <w:bottom w:val="none" w:sz="0" w:space="0" w:color="auto"/>
            <w:right w:val="none" w:sz="0" w:space="0" w:color="auto"/>
          </w:divBdr>
        </w:div>
        <w:div w:id="1453863074">
          <w:marLeft w:val="0"/>
          <w:marRight w:val="0"/>
          <w:marTop w:val="0"/>
          <w:marBottom w:val="0"/>
          <w:divBdr>
            <w:top w:val="none" w:sz="0" w:space="0" w:color="auto"/>
            <w:left w:val="none" w:sz="0" w:space="0" w:color="auto"/>
            <w:bottom w:val="none" w:sz="0" w:space="0" w:color="auto"/>
            <w:right w:val="none" w:sz="0" w:space="0" w:color="auto"/>
          </w:divBdr>
        </w:div>
        <w:div w:id="309403074">
          <w:marLeft w:val="0"/>
          <w:marRight w:val="0"/>
          <w:marTop w:val="0"/>
          <w:marBottom w:val="0"/>
          <w:divBdr>
            <w:top w:val="none" w:sz="0" w:space="0" w:color="auto"/>
            <w:left w:val="none" w:sz="0" w:space="0" w:color="auto"/>
            <w:bottom w:val="none" w:sz="0" w:space="0" w:color="auto"/>
            <w:right w:val="none" w:sz="0" w:space="0" w:color="auto"/>
          </w:divBdr>
        </w:div>
        <w:div w:id="1519805449">
          <w:marLeft w:val="0"/>
          <w:marRight w:val="0"/>
          <w:marTop w:val="0"/>
          <w:marBottom w:val="0"/>
          <w:divBdr>
            <w:top w:val="none" w:sz="0" w:space="0" w:color="auto"/>
            <w:left w:val="none" w:sz="0" w:space="0" w:color="auto"/>
            <w:bottom w:val="none" w:sz="0" w:space="0" w:color="auto"/>
            <w:right w:val="none" w:sz="0" w:space="0" w:color="auto"/>
          </w:divBdr>
        </w:div>
        <w:div w:id="1043988671">
          <w:marLeft w:val="0"/>
          <w:marRight w:val="0"/>
          <w:marTop w:val="0"/>
          <w:marBottom w:val="0"/>
          <w:divBdr>
            <w:top w:val="none" w:sz="0" w:space="0" w:color="auto"/>
            <w:left w:val="none" w:sz="0" w:space="0" w:color="auto"/>
            <w:bottom w:val="none" w:sz="0" w:space="0" w:color="auto"/>
            <w:right w:val="none" w:sz="0" w:space="0" w:color="auto"/>
          </w:divBdr>
        </w:div>
        <w:div w:id="597441984">
          <w:marLeft w:val="0"/>
          <w:marRight w:val="0"/>
          <w:marTop w:val="0"/>
          <w:marBottom w:val="0"/>
          <w:divBdr>
            <w:top w:val="none" w:sz="0" w:space="0" w:color="auto"/>
            <w:left w:val="none" w:sz="0" w:space="0" w:color="auto"/>
            <w:bottom w:val="none" w:sz="0" w:space="0" w:color="auto"/>
            <w:right w:val="none" w:sz="0" w:space="0" w:color="auto"/>
          </w:divBdr>
        </w:div>
        <w:div w:id="1101218942">
          <w:marLeft w:val="0"/>
          <w:marRight w:val="0"/>
          <w:marTop w:val="0"/>
          <w:marBottom w:val="0"/>
          <w:divBdr>
            <w:top w:val="none" w:sz="0" w:space="0" w:color="auto"/>
            <w:left w:val="none" w:sz="0" w:space="0" w:color="auto"/>
            <w:bottom w:val="none" w:sz="0" w:space="0" w:color="auto"/>
            <w:right w:val="none" w:sz="0" w:space="0" w:color="auto"/>
          </w:divBdr>
        </w:div>
        <w:div w:id="1214386034">
          <w:marLeft w:val="0"/>
          <w:marRight w:val="0"/>
          <w:marTop w:val="0"/>
          <w:marBottom w:val="0"/>
          <w:divBdr>
            <w:top w:val="none" w:sz="0" w:space="0" w:color="auto"/>
            <w:left w:val="none" w:sz="0" w:space="0" w:color="auto"/>
            <w:bottom w:val="none" w:sz="0" w:space="0" w:color="auto"/>
            <w:right w:val="none" w:sz="0" w:space="0" w:color="auto"/>
          </w:divBdr>
        </w:div>
        <w:div w:id="40520221">
          <w:marLeft w:val="0"/>
          <w:marRight w:val="0"/>
          <w:marTop w:val="0"/>
          <w:marBottom w:val="0"/>
          <w:divBdr>
            <w:top w:val="none" w:sz="0" w:space="0" w:color="auto"/>
            <w:left w:val="none" w:sz="0" w:space="0" w:color="auto"/>
            <w:bottom w:val="none" w:sz="0" w:space="0" w:color="auto"/>
            <w:right w:val="none" w:sz="0" w:space="0" w:color="auto"/>
          </w:divBdr>
        </w:div>
        <w:div w:id="1833714309">
          <w:marLeft w:val="0"/>
          <w:marRight w:val="0"/>
          <w:marTop w:val="0"/>
          <w:marBottom w:val="0"/>
          <w:divBdr>
            <w:top w:val="none" w:sz="0" w:space="0" w:color="auto"/>
            <w:left w:val="none" w:sz="0" w:space="0" w:color="auto"/>
            <w:bottom w:val="none" w:sz="0" w:space="0" w:color="auto"/>
            <w:right w:val="none" w:sz="0" w:space="0" w:color="auto"/>
          </w:divBdr>
        </w:div>
        <w:div w:id="487668823">
          <w:marLeft w:val="0"/>
          <w:marRight w:val="0"/>
          <w:marTop w:val="0"/>
          <w:marBottom w:val="0"/>
          <w:divBdr>
            <w:top w:val="none" w:sz="0" w:space="0" w:color="auto"/>
            <w:left w:val="none" w:sz="0" w:space="0" w:color="auto"/>
            <w:bottom w:val="none" w:sz="0" w:space="0" w:color="auto"/>
            <w:right w:val="none" w:sz="0" w:space="0" w:color="auto"/>
          </w:divBdr>
        </w:div>
        <w:div w:id="671837107">
          <w:marLeft w:val="0"/>
          <w:marRight w:val="0"/>
          <w:marTop w:val="0"/>
          <w:marBottom w:val="0"/>
          <w:divBdr>
            <w:top w:val="none" w:sz="0" w:space="0" w:color="auto"/>
            <w:left w:val="none" w:sz="0" w:space="0" w:color="auto"/>
            <w:bottom w:val="none" w:sz="0" w:space="0" w:color="auto"/>
            <w:right w:val="none" w:sz="0" w:space="0" w:color="auto"/>
          </w:divBdr>
        </w:div>
        <w:div w:id="218713890">
          <w:marLeft w:val="0"/>
          <w:marRight w:val="0"/>
          <w:marTop w:val="0"/>
          <w:marBottom w:val="0"/>
          <w:divBdr>
            <w:top w:val="none" w:sz="0" w:space="0" w:color="auto"/>
            <w:left w:val="none" w:sz="0" w:space="0" w:color="auto"/>
            <w:bottom w:val="none" w:sz="0" w:space="0" w:color="auto"/>
            <w:right w:val="none" w:sz="0" w:space="0" w:color="auto"/>
          </w:divBdr>
        </w:div>
        <w:div w:id="886188443">
          <w:marLeft w:val="0"/>
          <w:marRight w:val="0"/>
          <w:marTop w:val="0"/>
          <w:marBottom w:val="0"/>
          <w:divBdr>
            <w:top w:val="none" w:sz="0" w:space="0" w:color="auto"/>
            <w:left w:val="none" w:sz="0" w:space="0" w:color="auto"/>
            <w:bottom w:val="none" w:sz="0" w:space="0" w:color="auto"/>
            <w:right w:val="none" w:sz="0" w:space="0" w:color="auto"/>
          </w:divBdr>
        </w:div>
        <w:div w:id="860703135">
          <w:marLeft w:val="0"/>
          <w:marRight w:val="0"/>
          <w:marTop w:val="0"/>
          <w:marBottom w:val="0"/>
          <w:divBdr>
            <w:top w:val="none" w:sz="0" w:space="0" w:color="auto"/>
            <w:left w:val="none" w:sz="0" w:space="0" w:color="auto"/>
            <w:bottom w:val="none" w:sz="0" w:space="0" w:color="auto"/>
            <w:right w:val="none" w:sz="0" w:space="0" w:color="auto"/>
          </w:divBdr>
        </w:div>
        <w:div w:id="695887511">
          <w:marLeft w:val="0"/>
          <w:marRight w:val="0"/>
          <w:marTop w:val="0"/>
          <w:marBottom w:val="0"/>
          <w:divBdr>
            <w:top w:val="none" w:sz="0" w:space="0" w:color="auto"/>
            <w:left w:val="none" w:sz="0" w:space="0" w:color="auto"/>
            <w:bottom w:val="none" w:sz="0" w:space="0" w:color="auto"/>
            <w:right w:val="none" w:sz="0" w:space="0" w:color="auto"/>
          </w:divBdr>
        </w:div>
        <w:div w:id="1891569336">
          <w:marLeft w:val="0"/>
          <w:marRight w:val="0"/>
          <w:marTop w:val="0"/>
          <w:marBottom w:val="0"/>
          <w:divBdr>
            <w:top w:val="none" w:sz="0" w:space="0" w:color="auto"/>
            <w:left w:val="none" w:sz="0" w:space="0" w:color="auto"/>
            <w:bottom w:val="none" w:sz="0" w:space="0" w:color="auto"/>
            <w:right w:val="none" w:sz="0" w:space="0" w:color="auto"/>
          </w:divBdr>
        </w:div>
        <w:div w:id="1938830147">
          <w:marLeft w:val="0"/>
          <w:marRight w:val="0"/>
          <w:marTop w:val="0"/>
          <w:marBottom w:val="0"/>
          <w:divBdr>
            <w:top w:val="none" w:sz="0" w:space="0" w:color="auto"/>
            <w:left w:val="none" w:sz="0" w:space="0" w:color="auto"/>
            <w:bottom w:val="none" w:sz="0" w:space="0" w:color="auto"/>
            <w:right w:val="none" w:sz="0" w:space="0" w:color="auto"/>
          </w:divBdr>
        </w:div>
        <w:div w:id="1378511354">
          <w:marLeft w:val="0"/>
          <w:marRight w:val="0"/>
          <w:marTop w:val="0"/>
          <w:marBottom w:val="0"/>
          <w:divBdr>
            <w:top w:val="none" w:sz="0" w:space="0" w:color="auto"/>
            <w:left w:val="none" w:sz="0" w:space="0" w:color="auto"/>
            <w:bottom w:val="none" w:sz="0" w:space="0" w:color="auto"/>
            <w:right w:val="none" w:sz="0" w:space="0" w:color="auto"/>
          </w:divBdr>
        </w:div>
        <w:div w:id="436876269">
          <w:marLeft w:val="0"/>
          <w:marRight w:val="0"/>
          <w:marTop w:val="0"/>
          <w:marBottom w:val="0"/>
          <w:divBdr>
            <w:top w:val="none" w:sz="0" w:space="0" w:color="auto"/>
            <w:left w:val="none" w:sz="0" w:space="0" w:color="auto"/>
            <w:bottom w:val="none" w:sz="0" w:space="0" w:color="auto"/>
            <w:right w:val="none" w:sz="0" w:space="0" w:color="auto"/>
          </w:divBdr>
        </w:div>
        <w:div w:id="1433935130">
          <w:marLeft w:val="0"/>
          <w:marRight w:val="0"/>
          <w:marTop w:val="0"/>
          <w:marBottom w:val="0"/>
          <w:divBdr>
            <w:top w:val="none" w:sz="0" w:space="0" w:color="auto"/>
            <w:left w:val="none" w:sz="0" w:space="0" w:color="auto"/>
            <w:bottom w:val="none" w:sz="0" w:space="0" w:color="auto"/>
            <w:right w:val="none" w:sz="0" w:space="0" w:color="auto"/>
          </w:divBdr>
        </w:div>
        <w:div w:id="1360664941">
          <w:marLeft w:val="0"/>
          <w:marRight w:val="0"/>
          <w:marTop w:val="0"/>
          <w:marBottom w:val="0"/>
          <w:divBdr>
            <w:top w:val="none" w:sz="0" w:space="0" w:color="auto"/>
            <w:left w:val="none" w:sz="0" w:space="0" w:color="auto"/>
            <w:bottom w:val="none" w:sz="0" w:space="0" w:color="auto"/>
            <w:right w:val="none" w:sz="0" w:space="0" w:color="auto"/>
          </w:divBdr>
        </w:div>
        <w:div w:id="1506675135">
          <w:marLeft w:val="0"/>
          <w:marRight w:val="0"/>
          <w:marTop w:val="0"/>
          <w:marBottom w:val="0"/>
          <w:divBdr>
            <w:top w:val="none" w:sz="0" w:space="0" w:color="auto"/>
            <w:left w:val="none" w:sz="0" w:space="0" w:color="auto"/>
            <w:bottom w:val="none" w:sz="0" w:space="0" w:color="auto"/>
            <w:right w:val="none" w:sz="0" w:space="0" w:color="auto"/>
          </w:divBdr>
        </w:div>
        <w:div w:id="1540625375">
          <w:marLeft w:val="0"/>
          <w:marRight w:val="0"/>
          <w:marTop w:val="0"/>
          <w:marBottom w:val="0"/>
          <w:divBdr>
            <w:top w:val="none" w:sz="0" w:space="0" w:color="auto"/>
            <w:left w:val="none" w:sz="0" w:space="0" w:color="auto"/>
            <w:bottom w:val="none" w:sz="0" w:space="0" w:color="auto"/>
            <w:right w:val="none" w:sz="0" w:space="0" w:color="auto"/>
          </w:divBdr>
        </w:div>
      </w:divsChild>
    </w:div>
    <w:div w:id="1832140263">
      <w:bodyDiv w:val="1"/>
      <w:marLeft w:val="0"/>
      <w:marRight w:val="0"/>
      <w:marTop w:val="0"/>
      <w:marBottom w:val="0"/>
      <w:divBdr>
        <w:top w:val="none" w:sz="0" w:space="0" w:color="auto"/>
        <w:left w:val="none" w:sz="0" w:space="0" w:color="auto"/>
        <w:bottom w:val="none" w:sz="0" w:space="0" w:color="auto"/>
        <w:right w:val="none" w:sz="0" w:space="0" w:color="auto"/>
      </w:divBdr>
    </w:div>
    <w:div w:id="1927224541">
      <w:bodyDiv w:val="1"/>
      <w:marLeft w:val="0"/>
      <w:marRight w:val="0"/>
      <w:marTop w:val="0"/>
      <w:marBottom w:val="0"/>
      <w:divBdr>
        <w:top w:val="none" w:sz="0" w:space="0" w:color="auto"/>
        <w:left w:val="none" w:sz="0" w:space="0" w:color="auto"/>
        <w:bottom w:val="none" w:sz="0" w:space="0" w:color="auto"/>
        <w:right w:val="none" w:sz="0" w:space="0" w:color="auto"/>
      </w:divBdr>
    </w:div>
    <w:div w:id="1943418041">
      <w:bodyDiv w:val="1"/>
      <w:marLeft w:val="0"/>
      <w:marRight w:val="0"/>
      <w:marTop w:val="0"/>
      <w:marBottom w:val="0"/>
      <w:divBdr>
        <w:top w:val="none" w:sz="0" w:space="0" w:color="auto"/>
        <w:left w:val="none" w:sz="0" w:space="0" w:color="auto"/>
        <w:bottom w:val="none" w:sz="0" w:space="0" w:color="auto"/>
        <w:right w:val="none" w:sz="0" w:space="0" w:color="auto"/>
      </w:divBdr>
    </w:div>
    <w:div w:id="200365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684c0310309f4386"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EB429-7444-4D6F-B8CB-8398616C4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1F887-D8B5-4BF5-83C7-580A5E2F5424}">
  <ds:schemaRefs>
    <ds:schemaRef ds:uri="http://schemas.microsoft.com/sharepoint/v3/contenttype/forms"/>
  </ds:schemaRefs>
</ds:datastoreItem>
</file>

<file path=customXml/itemProps3.xml><?xml version="1.0" encoding="utf-8"?>
<ds:datastoreItem xmlns:ds="http://schemas.openxmlformats.org/officeDocument/2006/customXml" ds:itemID="{EB966685-E38E-4402-A355-8E0B0D12E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C95BDB-473D-4F89-A4BD-44A182DD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11486</Words>
  <Characters>63173</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ALONSO</cp:lastModifiedBy>
  <cp:revision>9</cp:revision>
  <dcterms:created xsi:type="dcterms:W3CDTF">2021-01-19T14:54:00Z</dcterms:created>
  <dcterms:modified xsi:type="dcterms:W3CDTF">2021-02-14T15:40:00Z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