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E1BEB" w14:textId="77777777" w:rsidR="0072173F" w:rsidRPr="0072173F" w:rsidRDefault="0072173F" w:rsidP="0072173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2173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71F4F7" w14:textId="77777777" w:rsidR="0072173F" w:rsidRPr="0072173F" w:rsidRDefault="0072173F" w:rsidP="0072173F">
      <w:pPr>
        <w:jc w:val="both"/>
        <w:rPr>
          <w:rFonts w:ascii="Arial" w:hAnsi="Arial" w:cs="Arial"/>
          <w:sz w:val="20"/>
          <w:szCs w:val="20"/>
          <w:lang w:val="es-419"/>
        </w:rPr>
      </w:pPr>
    </w:p>
    <w:p w14:paraId="1DFF1CD4" w14:textId="77777777" w:rsidR="0072173F" w:rsidRPr="0072173F" w:rsidRDefault="0072173F" w:rsidP="0072173F">
      <w:pPr>
        <w:jc w:val="both"/>
        <w:rPr>
          <w:rFonts w:ascii="Arial" w:hAnsi="Arial" w:cs="Arial"/>
          <w:sz w:val="20"/>
          <w:szCs w:val="20"/>
          <w:lang w:val="es-419"/>
        </w:rPr>
      </w:pPr>
      <w:r w:rsidRPr="0072173F">
        <w:rPr>
          <w:rFonts w:ascii="Arial" w:hAnsi="Arial" w:cs="Arial"/>
          <w:sz w:val="20"/>
          <w:szCs w:val="20"/>
          <w:lang w:val="es-419"/>
        </w:rPr>
        <w:t>Radicación No.:</w:t>
      </w:r>
      <w:r w:rsidRPr="0072173F">
        <w:rPr>
          <w:rFonts w:ascii="Arial" w:hAnsi="Arial" w:cs="Arial"/>
          <w:sz w:val="20"/>
          <w:szCs w:val="20"/>
          <w:lang w:val="es-419"/>
        </w:rPr>
        <w:tab/>
      </w:r>
      <w:r w:rsidRPr="0072173F">
        <w:rPr>
          <w:rFonts w:ascii="Arial" w:hAnsi="Arial" w:cs="Arial"/>
          <w:sz w:val="20"/>
          <w:szCs w:val="20"/>
          <w:lang w:val="es-419"/>
        </w:rPr>
        <w:tab/>
        <w:t>66001-31-05-004-2019-00412-01</w:t>
      </w:r>
    </w:p>
    <w:p w14:paraId="5F01AD7B" w14:textId="77777777" w:rsidR="0072173F" w:rsidRPr="0072173F" w:rsidRDefault="0072173F" w:rsidP="0072173F">
      <w:pPr>
        <w:jc w:val="both"/>
        <w:rPr>
          <w:rFonts w:ascii="Arial" w:hAnsi="Arial" w:cs="Arial"/>
          <w:sz w:val="20"/>
          <w:szCs w:val="20"/>
          <w:lang w:val="es-419"/>
        </w:rPr>
      </w:pPr>
      <w:r w:rsidRPr="0072173F">
        <w:rPr>
          <w:rFonts w:ascii="Arial" w:hAnsi="Arial" w:cs="Arial"/>
          <w:sz w:val="20"/>
          <w:szCs w:val="20"/>
          <w:lang w:val="es-419"/>
        </w:rPr>
        <w:t>Proceso:</w:t>
      </w:r>
      <w:r w:rsidRPr="0072173F">
        <w:rPr>
          <w:rFonts w:ascii="Arial" w:hAnsi="Arial" w:cs="Arial"/>
          <w:sz w:val="20"/>
          <w:szCs w:val="20"/>
          <w:lang w:val="es-419"/>
        </w:rPr>
        <w:tab/>
      </w:r>
      <w:r w:rsidRPr="0072173F">
        <w:rPr>
          <w:rFonts w:ascii="Arial" w:hAnsi="Arial" w:cs="Arial"/>
          <w:sz w:val="20"/>
          <w:szCs w:val="20"/>
          <w:lang w:val="es-419"/>
        </w:rPr>
        <w:tab/>
        <w:t xml:space="preserve">Ordinario laboral </w:t>
      </w:r>
    </w:p>
    <w:p w14:paraId="5E6937ED" w14:textId="77777777" w:rsidR="0072173F" w:rsidRPr="0072173F" w:rsidRDefault="0072173F" w:rsidP="0072173F">
      <w:pPr>
        <w:jc w:val="both"/>
        <w:rPr>
          <w:rFonts w:ascii="Arial" w:hAnsi="Arial" w:cs="Arial"/>
          <w:sz w:val="20"/>
          <w:szCs w:val="20"/>
          <w:lang w:val="es-419"/>
        </w:rPr>
      </w:pPr>
      <w:r w:rsidRPr="0072173F">
        <w:rPr>
          <w:rFonts w:ascii="Arial" w:hAnsi="Arial" w:cs="Arial"/>
          <w:sz w:val="20"/>
          <w:szCs w:val="20"/>
          <w:lang w:val="es-419"/>
        </w:rPr>
        <w:t>Demandante:</w:t>
      </w:r>
      <w:r w:rsidRPr="0072173F">
        <w:rPr>
          <w:rFonts w:ascii="Arial" w:hAnsi="Arial" w:cs="Arial"/>
          <w:sz w:val="20"/>
          <w:szCs w:val="20"/>
          <w:lang w:val="es-419"/>
        </w:rPr>
        <w:tab/>
      </w:r>
      <w:r w:rsidRPr="0072173F">
        <w:rPr>
          <w:rFonts w:ascii="Arial" w:hAnsi="Arial" w:cs="Arial"/>
          <w:sz w:val="20"/>
          <w:szCs w:val="20"/>
          <w:lang w:val="es-419"/>
        </w:rPr>
        <w:tab/>
        <w:t xml:space="preserve">María </w:t>
      </w:r>
      <w:proofErr w:type="spellStart"/>
      <w:r w:rsidRPr="0072173F">
        <w:rPr>
          <w:rFonts w:ascii="Arial" w:hAnsi="Arial" w:cs="Arial"/>
          <w:sz w:val="20"/>
          <w:szCs w:val="20"/>
          <w:lang w:val="es-419"/>
        </w:rPr>
        <w:t>Ludivia</w:t>
      </w:r>
      <w:proofErr w:type="spellEnd"/>
      <w:r w:rsidRPr="0072173F">
        <w:rPr>
          <w:rFonts w:ascii="Arial" w:hAnsi="Arial" w:cs="Arial"/>
          <w:sz w:val="20"/>
          <w:szCs w:val="20"/>
          <w:lang w:val="es-419"/>
        </w:rPr>
        <w:t xml:space="preserve"> Gutiérrez de Otálvaro</w:t>
      </w:r>
    </w:p>
    <w:p w14:paraId="05935CB0" w14:textId="77777777" w:rsidR="0072173F" w:rsidRPr="0072173F" w:rsidRDefault="0072173F" w:rsidP="0072173F">
      <w:pPr>
        <w:jc w:val="both"/>
        <w:rPr>
          <w:rFonts w:ascii="Arial" w:hAnsi="Arial" w:cs="Arial"/>
          <w:sz w:val="20"/>
          <w:szCs w:val="20"/>
          <w:lang w:val="es-419"/>
        </w:rPr>
      </w:pPr>
      <w:r w:rsidRPr="0072173F">
        <w:rPr>
          <w:rFonts w:ascii="Arial" w:hAnsi="Arial" w:cs="Arial"/>
          <w:sz w:val="20"/>
          <w:szCs w:val="20"/>
          <w:lang w:val="es-419"/>
        </w:rPr>
        <w:t>Demandado:</w:t>
      </w:r>
      <w:r w:rsidRPr="0072173F">
        <w:rPr>
          <w:rFonts w:ascii="Arial" w:hAnsi="Arial" w:cs="Arial"/>
          <w:sz w:val="20"/>
          <w:szCs w:val="20"/>
          <w:lang w:val="es-419"/>
        </w:rPr>
        <w:tab/>
      </w:r>
      <w:r w:rsidRPr="0072173F">
        <w:rPr>
          <w:rFonts w:ascii="Arial" w:hAnsi="Arial" w:cs="Arial"/>
          <w:sz w:val="20"/>
          <w:szCs w:val="20"/>
          <w:lang w:val="es-419"/>
        </w:rPr>
        <w:tab/>
        <w:t>Colpensiones</w:t>
      </w:r>
    </w:p>
    <w:p w14:paraId="01577A66" w14:textId="77777777" w:rsidR="0072173F" w:rsidRPr="0072173F" w:rsidRDefault="0072173F" w:rsidP="0072173F">
      <w:pPr>
        <w:jc w:val="both"/>
        <w:rPr>
          <w:rFonts w:ascii="Arial" w:hAnsi="Arial" w:cs="Arial"/>
          <w:sz w:val="20"/>
          <w:szCs w:val="20"/>
          <w:lang w:val="es-419"/>
        </w:rPr>
      </w:pPr>
      <w:r w:rsidRPr="0072173F">
        <w:rPr>
          <w:rFonts w:ascii="Arial" w:hAnsi="Arial" w:cs="Arial"/>
          <w:sz w:val="20"/>
          <w:szCs w:val="20"/>
          <w:lang w:val="es-419"/>
        </w:rPr>
        <w:t xml:space="preserve">Juzgado de origen: </w:t>
      </w:r>
      <w:r w:rsidRPr="0072173F">
        <w:rPr>
          <w:rFonts w:ascii="Arial" w:hAnsi="Arial" w:cs="Arial"/>
          <w:sz w:val="20"/>
          <w:szCs w:val="20"/>
          <w:lang w:val="es-419"/>
        </w:rPr>
        <w:tab/>
        <w:t xml:space="preserve">Cuarto Laboral del Circuito de Pereira </w:t>
      </w:r>
    </w:p>
    <w:p w14:paraId="0FCF8578" w14:textId="13FF3FD9" w:rsidR="0072173F" w:rsidRPr="0072173F" w:rsidRDefault="0072173F" w:rsidP="0072173F">
      <w:pPr>
        <w:jc w:val="both"/>
        <w:rPr>
          <w:rFonts w:ascii="Arial" w:hAnsi="Arial" w:cs="Arial"/>
          <w:sz w:val="20"/>
          <w:szCs w:val="20"/>
          <w:lang w:val="es-419"/>
        </w:rPr>
      </w:pPr>
      <w:r w:rsidRPr="0072173F">
        <w:rPr>
          <w:rFonts w:ascii="Arial" w:hAnsi="Arial" w:cs="Arial"/>
          <w:sz w:val="20"/>
          <w:szCs w:val="20"/>
          <w:lang w:val="es-419"/>
        </w:rPr>
        <w:t>Magistrada ponente:</w:t>
      </w:r>
      <w:r w:rsidRPr="0072173F">
        <w:rPr>
          <w:rFonts w:ascii="Arial" w:hAnsi="Arial" w:cs="Arial"/>
          <w:sz w:val="20"/>
          <w:szCs w:val="20"/>
          <w:lang w:val="es-419"/>
        </w:rPr>
        <w:tab/>
        <w:t>Dra. Ana Lucía Caicedo Calderón</w:t>
      </w:r>
    </w:p>
    <w:p w14:paraId="274008FD" w14:textId="77777777" w:rsidR="0072173F" w:rsidRPr="0072173F" w:rsidRDefault="0072173F" w:rsidP="0072173F">
      <w:pPr>
        <w:jc w:val="both"/>
        <w:rPr>
          <w:rFonts w:ascii="Arial" w:hAnsi="Arial" w:cs="Arial"/>
          <w:sz w:val="20"/>
          <w:szCs w:val="20"/>
          <w:lang w:val="es-419"/>
        </w:rPr>
      </w:pPr>
    </w:p>
    <w:p w14:paraId="5EA594D2" w14:textId="0FAB5C69" w:rsidR="0072173F" w:rsidRPr="0072173F" w:rsidRDefault="0072173F" w:rsidP="0072173F">
      <w:pPr>
        <w:jc w:val="both"/>
        <w:rPr>
          <w:rFonts w:ascii="Arial" w:hAnsi="Arial" w:cs="Arial"/>
          <w:b/>
          <w:bCs/>
          <w:iCs/>
          <w:sz w:val="20"/>
          <w:szCs w:val="20"/>
          <w:lang w:val="es-419" w:eastAsia="fr-FR"/>
        </w:rPr>
      </w:pPr>
      <w:r w:rsidRPr="0072173F">
        <w:rPr>
          <w:rFonts w:ascii="Arial" w:hAnsi="Arial" w:cs="Arial"/>
          <w:b/>
          <w:bCs/>
          <w:iCs/>
          <w:sz w:val="20"/>
          <w:szCs w:val="20"/>
          <w:u w:val="single"/>
          <w:lang w:val="es-419" w:eastAsia="fr-FR"/>
        </w:rPr>
        <w:t>TEMAS:</w:t>
      </w:r>
      <w:r w:rsidRPr="0072173F">
        <w:rPr>
          <w:rFonts w:ascii="Arial" w:hAnsi="Arial" w:cs="Arial"/>
          <w:b/>
          <w:bCs/>
          <w:iCs/>
          <w:sz w:val="20"/>
          <w:szCs w:val="20"/>
          <w:lang w:val="es-419" w:eastAsia="fr-FR"/>
        </w:rPr>
        <w:tab/>
      </w:r>
      <w:r w:rsidR="00B67636" w:rsidRPr="0072173F">
        <w:rPr>
          <w:rFonts w:ascii="Arial" w:hAnsi="Arial" w:cs="Arial"/>
          <w:b/>
          <w:sz w:val="20"/>
          <w:szCs w:val="20"/>
          <w:lang w:val="es-419"/>
        </w:rPr>
        <w:t xml:space="preserve">PENSIÓN DE </w:t>
      </w:r>
      <w:r w:rsidR="00B67636">
        <w:rPr>
          <w:rFonts w:ascii="Arial" w:hAnsi="Arial" w:cs="Arial"/>
          <w:b/>
          <w:sz w:val="20"/>
          <w:szCs w:val="20"/>
          <w:lang w:val="es-419"/>
        </w:rPr>
        <w:t xml:space="preserve">SOBREVIVIENTES </w:t>
      </w:r>
      <w:r w:rsidRPr="0072173F">
        <w:rPr>
          <w:rFonts w:ascii="Arial" w:hAnsi="Arial" w:cs="Arial"/>
          <w:b/>
          <w:bCs/>
          <w:iCs/>
          <w:sz w:val="20"/>
          <w:szCs w:val="20"/>
          <w:lang w:val="es-419" w:eastAsia="fr-FR"/>
        </w:rPr>
        <w:t xml:space="preserve">/ </w:t>
      </w:r>
      <w:r w:rsidR="00B67636">
        <w:rPr>
          <w:rFonts w:ascii="Arial" w:hAnsi="Arial" w:cs="Arial"/>
          <w:b/>
          <w:bCs/>
          <w:iCs/>
          <w:sz w:val="20"/>
          <w:szCs w:val="20"/>
          <w:lang w:val="es-419" w:eastAsia="fr-FR"/>
        </w:rPr>
        <w:t>PRINCIPIO DE LA CONDICI</w:t>
      </w:r>
      <w:r w:rsidR="00F461D1">
        <w:rPr>
          <w:rFonts w:ascii="Arial" w:hAnsi="Arial" w:cs="Arial"/>
          <w:b/>
          <w:bCs/>
          <w:iCs/>
          <w:sz w:val="20"/>
          <w:szCs w:val="20"/>
          <w:lang w:val="es-419" w:eastAsia="fr-FR"/>
        </w:rPr>
        <w:t>Ó</w:t>
      </w:r>
      <w:r w:rsidR="00B67636">
        <w:rPr>
          <w:rFonts w:ascii="Arial" w:hAnsi="Arial" w:cs="Arial"/>
          <w:b/>
          <w:bCs/>
          <w:iCs/>
          <w:sz w:val="20"/>
          <w:szCs w:val="20"/>
          <w:lang w:val="es-419" w:eastAsia="fr-FR"/>
        </w:rPr>
        <w:t>N M</w:t>
      </w:r>
      <w:r w:rsidR="00F461D1">
        <w:rPr>
          <w:rFonts w:ascii="Arial" w:hAnsi="Arial" w:cs="Arial"/>
          <w:b/>
          <w:bCs/>
          <w:iCs/>
          <w:sz w:val="20"/>
          <w:szCs w:val="20"/>
          <w:lang w:val="es-419" w:eastAsia="fr-FR"/>
        </w:rPr>
        <w:t>Á</w:t>
      </w:r>
      <w:r w:rsidR="00B67636">
        <w:rPr>
          <w:rFonts w:ascii="Arial" w:hAnsi="Arial" w:cs="Arial"/>
          <w:b/>
          <w:bCs/>
          <w:iCs/>
          <w:sz w:val="20"/>
          <w:szCs w:val="20"/>
          <w:lang w:val="es-419" w:eastAsia="fr-FR"/>
        </w:rPr>
        <w:t>S BENEFICIOSA / PARA APLICAR ACUERDO 049 DE 1990 / REQUISITOS / CONVIVENCIA / NO REQUIERE TIEMPO M</w:t>
      </w:r>
      <w:r w:rsidR="00F461D1">
        <w:rPr>
          <w:rFonts w:ascii="Arial" w:hAnsi="Arial" w:cs="Arial"/>
          <w:b/>
          <w:bCs/>
          <w:iCs/>
          <w:sz w:val="20"/>
          <w:szCs w:val="20"/>
          <w:lang w:val="es-419" w:eastAsia="fr-FR"/>
        </w:rPr>
        <w:t>Í</w:t>
      </w:r>
      <w:r w:rsidR="00B67636">
        <w:rPr>
          <w:rFonts w:ascii="Arial" w:hAnsi="Arial" w:cs="Arial"/>
          <w:b/>
          <w:bCs/>
          <w:iCs/>
          <w:sz w:val="20"/>
          <w:szCs w:val="20"/>
          <w:lang w:val="es-419" w:eastAsia="fr-FR"/>
        </w:rPr>
        <w:t xml:space="preserve">NIMO CUANDO SE APLICA LEY 797 DE 2003 / TESIS APLICABLE A LA </w:t>
      </w:r>
      <w:bookmarkStart w:id="0" w:name="_GoBack"/>
      <w:bookmarkEnd w:id="0"/>
      <w:r w:rsidR="00B67636">
        <w:rPr>
          <w:rFonts w:ascii="Arial" w:hAnsi="Arial" w:cs="Arial"/>
          <w:b/>
          <w:bCs/>
          <w:iCs/>
          <w:sz w:val="20"/>
          <w:szCs w:val="20"/>
          <w:lang w:val="es-419" w:eastAsia="fr-FR"/>
        </w:rPr>
        <w:t>LEY 100 DE 1993.</w:t>
      </w:r>
    </w:p>
    <w:p w14:paraId="114B1E00" w14:textId="77777777" w:rsidR="0072173F" w:rsidRPr="0072173F" w:rsidRDefault="0072173F" w:rsidP="0072173F">
      <w:pPr>
        <w:jc w:val="both"/>
        <w:rPr>
          <w:rFonts w:ascii="Arial" w:hAnsi="Arial" w:cs="Arial"/>
          <w:sz w:val="20"/>
          <w:szCs w:val="20"/>
          <w:lang w:val="es-419"/>
        </w:rPr>
      </w:pPr>
    </w:p>
    <w:p w14:paraId="5020CF75" w14:textId="70DA2CAA" w:rsidR="00B67636" w:rsidRPr="00B67636" w:rsidRDefault="00B67636" w:rsidP="00B67636">
      <w:pPr>
        <w:jc w:val="both"/>
        <w:rPr>
          <w:rFonts w:ascii="Arial" w:hAnsi="Arial" w:cs="Arial"/>
          <w:sz w:val="20"/>
          <w:szCs w:val="20"/>
          <w:lang w:val="es-419"/>
        </w:rPr>
      </w:pPr>
      <w:r>
        <w:rPr>
          <w:rFonts w:ascii="Arial" w:hAnsi="Arial" w:cs="Arial"/>
          <w:sz w:val="20"/>
          <w:szCs w:val="20"/>
          <w:lang w:val="es-419"/>
        </w:rPr>
        <w:t xml:space="preserve">… </w:t>
      </w:r>
      <w:r w:rsidRPr="00B67636">
        <w:rPr>
          <w:rFonts w:ascii="Arial" w:hAnsi="Arial" w:cs="Arial"/>
          <w:sz w:val="20"/>
          <w:szCs w:val="20"/>
          <w:lang w:val="es-419"/>
        </w:rPr>
        <w:t>la norma aplicable es la vigente para el momento del óbito del señor Otálvaro Colorado,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14:paraId="15C391E6" w14:textId="77777777" w:rsidR="00B67636" w:rsidRPr="00B67636" w:rsidRDefault="00B67636" w:rsidP="00B67636">
      <w:pPr>
        <w:jc w:val="both"/>
        <w:rPr>
          <w:rFonts w:ascii="Arial" w:hAnsi="Arial" w:cs="Arial"/>
          <w:sz w:val="20"/>
          <w:szCs w:val="20"/>
          <w:lang w:val="es-419"/>
        </w:rPr>
      </w:pPr>
    </w:p>
    <w:p w14:paraId="09CA9416" w14:textId="2F7D7CFE" w:rsidR="0072173F" w:rsidRPr="0072173F" w:rsidRDefault="00B67636" w:rsidP="00B67636">
      <w:pPr>
        <w:jc w:val="both"/>
        <w:rPr>
          <w:rFonts w:ascii="Arial" w:hAnsi="Arial" w:cs="Arial"/>
          <w:sz w:val="20"/>
          <w:szCs w:val="20"/>
          <w:lang w:val="es-419"/>
        </w:rPr>
      </w:pPr>
      <w:r w:rsidRPr="00B67636">
        <w:rPr>
          <w:rFonts w:ascii="Arial" w:hAnsi="Arial" w:cs="Arial"/>
          <w:sz w:val="20"/>
          <w:szCs w:val="20"/>
          <w:lang w:val="es-419"/>
        </w:rPr>
        <w:t>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“Principio de la condición más beneficiosa”.</w:t>
      </w:r>
    </w:p>
    <w:p w14:paraId="3B9FB84E" w14:textId="77777777" w:rsidR="0072173F" w:rsidRPr="0072173F" w:rsidRDefault="0072173F" w:rsidP="0072173F">
      <w:pPr>
        <w:jc w:val="both"/>
        <w:rPr>
          <w:rFonts w:ascii="Arial" w:hAnsi="Arial" w:cs="Arial"/>
          <w:sz w:val="20"/>
          <w:szCs w:val="20"/>
          <w:lang w:val="es-419"/>
        </w:rPr>
      </w:pPr>
    </w:p>
    <w:p w14:paraId="796E5788" w14:textId="1654CFAB" w:rsidR="0072173F" w:rsidRPr="0072173F" w:rsidRDefault="00B67636" w:rsidP="0072173F">
      <w:pPr>
        <w:jc w:val="both"/>
        <w:rPr>
          <w:rFonts w:ascii="Arial" w:hAnsi="Arial" w:cs="Arial"/>
          <w:sz w:val="20"/>
          <w:szCs w:val="20"/>
          <w:lang w:val="es-419"/>
        </w:rPr>
      </w:pPr>
      <w:r w:rsidRPr="00B67636">
        <w:rPr>
          <w:rFonts w:ascii="Arial" w:hAnsi="Arial" w:cs="Arial"/>
          <w:sz w:val="20"/>
          <w:szCs w:val="20"/>
          <w:lang w:val="es-419"/>
        </w:rPr>
        <w:t>La Sala de Casación Laboral de la Corte Suprema de Justicia en reiteradas oportunidades acogió este principio, aplicándolo al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1994 y 150 semanas dentro de los 6 años que siguieron a esa fecha.</w:t>
      </w:r>
      <w:r>
        <w:rPr>
          <w:rFonts w:ascii="Arial" w:hAnsi="Arial" w:cs="Arial"/>
          <w:sz w:val="20"/>
          <w:szCs w:val="20"/>
          <w:lang w:val="es-419"/>
        </w:rPr>
        <w:t xml:space="preserve"> (…)</w:t>
      </w:r>
    </w:p>
    <w:p w14:paraId="1920FC63" w14:textId="77777777" w:rsidR="0072173F" w:rsidRPr="0072173F" w:rsidRDefault="0072173F" w:rsidP="0072173F">
      <w:pPr>
        <w:jc w:val="both"/>
        <w:rPr>
          <w:rFonts w:ascii="Arial" w:hAnsi="Arial" w:cs="Arial"/>
          <w:sz w:val="20"/>
          <w:szCs w:val="20"/>
          <w:lang w:val="es-419"/>
        </w:rPr>
      </w:pPr>
    </w:p>
    <w:p w14:paraId="217F1EBC" w14:textId="03D791C9" w:rsidR="0072173F" w:rsidRDefault="00B67636" w:rsidP="0072173F">
      <w:pPr>
        <w:jc w:val="both"/>
        <w:rPr>
          <w:rFonts w:ascii="Arial" w:hAnsi="Arial" w:cs="Arial"/>
          <w:sz w:val="20"/>
          <w:szCs w:val="20"/>
          <w:lang w:val="es-419"/>
        </w:rPr>
      </w:pPr>
      <w:r w:rsidRPr="00B67636">
        <w:rPr>
          <w:rFonts w:ascii="Arial" w:hAnsi="Arial" w:cs="Arial"/>
          <w:sz w:val="20"/>
          <w:szCs w:val="20"/>
          <w:lang w:val="es-419"/>
        </w:rPr>
        <w:t>En la sentencia SL1730 de 2020 la Sala Laboral de la Corte Suprema de Justicia varió la postura que venía sosteniendo hasta el momento para precisar que las cónyuges o compañeras permanentes de un afiliado no requieren demostrar un tiempo mínimo de convivencia para acceder a una de las prestaciones derivadas del riesgo de muerte, pues les basta acreditar la condición invocada.</w:t>
      </w:r>
      <w:r>
        <w:rPr>
          <w:rFonts w:ascii="Arial" w:hAnsi="Arial" w:cs="Arial"/>
          <w:sz w:val="20"/>
          <w:szCs w:val="20"/>
          <w:lang w:val="es-419"/>
        </w:rPr>
        <w:t xml:space="preserve"> (…)</w:t>
      </w:r>
    </w:p>
    <w:p w14:paraId="00008B7D" w14:textId="2FF3E81E" w:rsidR="00B67636" w:rsidRDefault="00B67636" w:rsidP="0072173F">
      <w:pPr>
        <w:jc w:val="both"/>
        <w:rPr>
          <w:rFonts w:ascii="Arial" w:hAnsi="Arial" w:cs="Arial"/>
          <w:sz w:val="20"/>
          <w:szCs w:val="20"/>
          <w:lang w:val="es-419"/>
        </w:rPr>
      </w:pPr>
    </w:p>
    <w:p w14:paraId="3B1C9919" w14:textId="1E8A5870" w:rsidR="00B67636" w:rsidRDefault="00B67636" w:rsidP="0072173F">
      <w:pPr>
        <w:jc w:val="both"/>
        <w:rPr>
          <w:rFonts w:ascii="Arial" w:hAnsi="Arial" w:cs="Arial"/>
          <w:sz w:val="20"/>
          <w:szCs w:val="20"/>
          <w:lang w:val="es-419"/>
        </w:rPr>
      </w:pPr>
      <w:r w:rsidRPr="00B67636">
        <w:rPr>
          <w:rFonts w:ascii="Arial" w:hAnsi="Arial" w:cs="Arial"/>
          <w:sz w:val="20"/>
          <w:szCs w:val="20"/>
          <w:lang w:val="es-419"/>
        </w:rPr>
        <w:t>Nótese que a pesar de que en este fallo la Corte efectuó el estudio de una prestación causada bajo la égida de la Ley 797 de 2003, hace hincapié en que desde la expedición de la Ley 100 de 1993 el legislador tuvo como finalidad darle este alcance a la norma que regula los requisitos de quienes conforman una familia con un afiliado al sistema de seguridad social, que no con un pensionado. Así las cosas, como quiera que en la redacción original del artículo 47 literal a de la ley general de seguridad social, también contenía esta distinción, estima la Sala que la interpretación de la Corte Suprema se puede hacer extensiva sin inconveniente alguno para las compañeras o cónyuges de afiliados que fallecieron en vigencia de dicho canon.</w:t>
      </w:r>
    </w:p>
    <w:p w14:paraId="24CAD1B0" w14:textId="77777777" w:rsidR="0072173F" w:rsidRPr="0072173F" w:rsidRDefault="0072173F" w:rsidP="0072173F">
      <w:pPr>
        <w:jc w:val="both"/>
        <w:rPr>
          <w:rFonts w:ascii="Arial" w:hAnsi="Arial" w:cs="Arial"/>
          <w:sz w:val="20"/>
          <w:szCs w:val="20"/>
        </w:rPr>
      </w:pPr>
    </w:p>
    <w:p w14:paraId="13DB1A0B" w14:textId="77777777" w:rsidR="0072173F" w:rsidRPr="0072173F" w:rsidRDefault="0072173F" w:rsidP="0072173F">
      <w:pPr>
        <w:jc w:val="both"/>
        <w:rPr>
          <w:rFonts w:ascii="Arial" w:hAnsi="Arial" w:cs="Arial"/>
          <w:sz w:val="20"/>
          <w:szCs w:val="20"/>
        </w:rPr>
      </w:pPr>
    </w:p>
    <w:p w14:paraId="5782C7F3" w14:textId="77777777" w:rsidR="0072173F" w:rsidRPr="0072173F" w:rsidRDefault="0072173F" w:rsidP="0072173F">
      <w:pPr>
        <w:jc w:val="both"/>
        <w:rPr>
          <w:rFonts w:ascii="Arial" w:hAnsi="Arial" w:cs="Arial"/>
          <w:sz w:val="20"/>
          <w:szCs w:val="20"/>
        </w:rPr>
      </w:pPr>
    </w:p>
    <w:p w14:paraId="00B3177F" w14:textId="77777777" w:rsidR="004A1741" w:rsidRPr="0072173F" w:rsidRDefault="004A1741" w:rsidP="0072173F">
      <w:pPr>
        <w:spacing w:line="276" w:lineRule="auto"/>
        <w:jc w:val="center"/>
        <w:textAlignment w:val="baseline"/>
        <w:rPr>
          <w:rFonts w:ascii="Tahoma" w:hAnsi="Tahoma" w:cs="Tahoma"/>
          <w:b/>
          <w:bCs/>
          <w:lang w:eastAsia="es-CO"/>
        </w:rPr>
      </w:pPr>
      <w:r w:rsidRPr="0072173F">
        <w:rPr>
          <w:rFonts w:ascii="Tahoma" w:hAnsi="Tahoma" w:cs="Tahoma"/>
          <w:b/>
          <w:bCs/>
          <w:lang w:eastAsia="es-CO"/>
        </w:rPr>
        <w:t xml:space="preserve">TRIBUNAL SUPERIOR DEL DISTRITO JUDICIAL DE PEREIRA </w:t>
      </w:r>
    </w:p>
    <w:p w14:paraId="71991C74" w14:textId="77777777" w:rsidR="004A1741" w:rsidRPr="0072173F" w:rsidRDefault="004A1741" w:rsidP="0072173F">
      <w:pPr>
        <w:spacing w:line="276" w:lineRule="auto"/>
        <w:jc w:val="center"/>
        <w:textAlignment w:val="baseline"/>
        <w:rPr>
          <w:rFonts w:ascii="Tahoma" w:hAnsi="Tahoma" w:cs="Tahoma"/>
          <w:b/>
          <w:bCs/>
          <w:lang w:eastAsia="es-CO"/>
        </w:rPr>
      </w:pPr>
      <w:r w:rsidRPr="0072173F">
        <w:rPr>
          <w:rFonts w:ascii="Tahoma" w:hAnsi="Tahoma" w:cs="Tahoma"/>
          <w:b/>
          <w:bCs/>
          <w:lang w:eastAsia="es-CO"/>
        </w:rPr>
        <w:t>SALA DE DECISION LABORAL PRESIDIDA POR LA</w:t>
      </w:r>
    </w:p>
    <w:p w14:paraId="19E58CA0" w14:textId="77777777" w:rsidR="004A1741" w:rsidRPr="0072173F" w:rsidRDefault="004A1741" w:rsidP="0072173F">
      <w:pPr>
        <w:spacing w:line="276" w:lineRule="auto"/>
        <w:jc w:val="center"/>
        <w:textAlignment w:val="baseline"/>
        <w:rPr>
          <w:rFonts w:ascii="Tahoma" w:hAnsi="Tahoma" w:cs="Tahoma"/>
          <w:lang w:val="es-CO" w:eastAsia="es-CO"/>
        </w:rPr>
      </w:pPr>
      <w:r w:rsidRPr="0072173F">
        <w:rPr>
          <w:rFonts w:ascii="Tahoma" w:hAnsi="Tahoma" w:cs="Tahoma"/>
          <w:b/>
          <w:bCs/>
          <w:lang w:eastAsia="es-CO"/>
        </w:rPr>
        <w:t xml:space="preserve"> MAGISTRADA ANA LUCÍA CAICEDO CALDERÓN</w:t>
      </w:r>
    </w:p>
    <w:p w14:paraId="1424224E" w14:textId="77777777" w:rsidR="00766B8A" w:rsidRPr="0072173F" w:rsidRDefault="00766B8A" w:rsidP="0072173F">
      <w:pPr>
        <w:spacing w:line="276" w:lineRule="auto"/>
        <w:jc w:val="center"/>
        <w:textAlignment w:val="baseline"/>
        <w:rPr>
          <w:rFonts w:ascii="Tahoma" w:hAnsi="Tahoma" w:cs="Tahoma"/>
          <w:lang w:val="es-CO" w:eastAsia="es-CO"/>
        </w:rPr>
      </w:pPr>
      <w:r w:rsidRPr="0072173F">
        <w:rPr>
          <w:rFonts w:ascii="Tahoma" w:hAnsi="Tahoma" w:cs="Tahoma"/>
          <w:color w:val="000000"/>
          <w:lang w:val="es-CO" w:eastAsia="es-CO"/>
        </w:rPr>
        <w:t> </w:t>
      </w:r>
    </w:p>
    <w:p w14:paraId="07C95AAB" w14:textId="2EEEFCD9" w:rsidR="00766B8A" w:rsidRPr="0072173F" w:rsidRDefault="00766B8A" w:rsidP="0072173F">
      <w:pPr>
        <w:spacing w:line="276" w:lineRule="auto"/>
        <w:jc w:val="center"/>
        <w:textAlignment w:val="baseline"/>
        <w:rPr>
          <w:rFonts w:ascii="Tahoma" w:hAnsi="Tahoma" w:cs="Tahoma"/>
          <w:lang w:val="es-CO" w:eastAsia="es-CO"/>
        </w:rPr>
      </w:pPr>
      <w:r w:rsidRPr="0072173F">
        <w:rPr>
          <w:rFonts w:ascii="Tahoma" w:hAnsi="Tahoma" w:cs="Tahoma"/>
          <w:lang w:val="es-CO" w:eastAsia="es-CO"/>
        </w:rPr>
        <w:t>Pereira, Risaralda, </w:t>
      </w:r>
      <w:r w:rsidR="00B37109" w:rsidRPr="0072173F">
        <w:rPr>
          <w:rFonts w:ascii="Tahoma" w:hAnsi="Tahoma" w:cs="Tahoma"/>
          <w:lang w:val="es-CO" w:eastAsia="es-CO"/>
        </w:rPr>
        <w:t>marzo</w:t>
      </w:r>
      <w:r w:rsidR="000D3B82" w:rsidRPr="0072173F">
        <w:rPr>
          <w:rFonts w:ascii="Tahoma" w:hAnsi="Tahoma" w:cs="Tahoma"/>
          <w:lang w:val="es-CO" w:eastAsia="es-CO"/>
        </w:rPr>
        <w:t xml:space="preserve"> </w:t>
      </w:r>
      <w:r w:rsidR="002977F3" w:rsidRPr="0072173F">
        <w:rPr>
          <w:rFonts w:ascii="Tahoma" w:hAnsi="Tahoma" w:cs="Tahoma"/>
          <w:lang w:val="es-CO" w:eastAsia="es-CO"/>
        </w:rPr>
        <w:t xml:space="preserve">quince </w:t>
      </w:r>
      <w:r w:rsidRPr="0072173F">
        <w:rPr>
          <w:rFonts w:ascii="Tahoma" w:hAnsi="Tahoma" w:cs="Tahoma"/>
          <w:lang w:val="es-CO" w:eastAsia="es-CO"/>
        </w:rPr>
        <w:t>(</w:t>
      </w:r>
      <w:r w:rsidR="002977F3" w:rsidRPr="0072173F">
        <w:rPr>
          <w:rFonts w:ascii="Tahoma" w:hAnsi="Tahoma" w:cs="Tahoma"/>
          <w:lang w:val="es-CO" w:eastAsia="es-CO"/>
        </w:rPr>
        <w:t>15</w:t>
      </w:r>
      <w:r w:rsidRPr="0072173F">
        <w:rPr>
          <w:rFonts w:ascii="Tahoma" w:hAnsi="Tahoma" w:cs="Tahoma"/>
          <w:lang w:val="es-CO" w:eastAsia="es-CO"/>
        </w:rPr>
        <w:t>) de dos mil veint</w:t>
      </w:r>
      <w:r w:rsidR="0012133C" w:rsidRPr="0072173F">
        <w:rPr>
          <w:rFonts w:ascii="Tahoma" w:hAnsi="Tahoma" w:cs="Tahoma"/>
          <w:lang w:val="es-CO" w:eastAsia="es-CO"/>
        </w:rPr>
        <w:t xml:space="preserve">iuno </w:t>
      </w:r>
      <w:r w:rsidRPr="0072173F">
        <w:rPr>
          <w:rFonts w:ascii="Tahoma" w:hAnsi="Tahoma" w:cs="Tahoma"/>
          <w:lang w:val="es-CO" w:eastAsia="es-CO"/>
        </w:rPr>
        <w:t>(202</w:t>
      </w:r>
      <w:r w:rsidR="0012133C" w:rsidRPr="0072173F">
        <w:rPr>
          <w:rFonts w:ascii="Tahoma" w:hAnsi="Tahoma" w:cs="Tahoma"/>
          <w:lang w:val="es-CO" w:eastAsia="es-CO"/>
        </w:rPr>
        <w:t>1</w:t>
      </w:r>
      <w:r w:rsidRPr="0072173F">
        <w:rPr>
          <w:rFonts w:ascii="Tahoma" w:hAnsi="Tahoma" w:cs="Tahoma"/>
          <w:lang w:val="es-CO" w:eastAsia="es-CO"/>
        </w:rPr>
        <w:t>)  </w:t>
      </w:r>
    </w:p>
    <w:p w14:paraId="52A7FA82" w14:textId="34D567E2" w:rsidR="00766B8A" w:rsidRPr="0072173F" w:rsidRDefault="00766B8A" w:rsidP="0072173F">
      <w:pPr>
        <w:spacing w:line="276" w:lineRule="auto"/>
        <w:jc w:val="center"/>
        <w:textAlignment w:val="baseline"/>
        <w:rPr>
          <w:rFonts w:ascii="Tahoma" w:hAnsi="Tahoma" w:cs="Tahoma"/>
          <w:lang w:val="es-CO" w:eastAsia="es-CO"/>
        </w:rPr>
      </w:pPr>
      <w:r w:rsidRPr="0072173F">
        <w:rPr>
          <w:rFonts w:ascii="Tahoma" w:hAnsi="Tahoma" w:cs="Tahoma"/>
          <w:lang w:val="es-CO" w:eastAsia="es-CO"/>
        </w:rPr>
        <w:t>Acta No. </w:t>
      </w:r>
      <w:r w:rsidR="006956A9" w:rsidRPr="0072173F">
        <w:rPr>
          <w:rFonts w:ascii="Tahoma" w:hAnsi="Tahoma" w:cs="Tahoma"/>
          <w:lang w:val="es-CO" w:eastAsia="es-CO"/>
        </w:rPr>
        <w:t>37</w:t>
      </w:r>
      <w:r w:rsidRPr="0072173F">
        <w:rPr>
          <w:rFonts w:ascii="Tahoma" w:hAnsi="Tahoma" w:cs="Tahoma"/>
          <w:lang w:val="es-CO" w:eastAsia="es-CO"/>
        </w:rPr>
        <w:t xml:space="preserve"> del </w:t>
      </w:r>
      <w:r w:rsidR="002977F3" w:rsidRPr="0072173F">
        <w:rPr>
          <w:rFonts w:ascii="Tahoma" w:hAnsi="Tahoma" w:cs="Tahoma"/>
          <w:lang w:val="es-CO" w:eastAsia="es-CO"/>
        </w:rPr>
        <w:t>11</w:t>
      </w:r>
      <w:r w:rsidR="00FF4C7F" w:rsidRPr="0072173F">
        <w:rPr>
          <w:rFonts w:ascii="Tahoma" w:hAnsi="Tahoma" w:cs="Tahoma"/>
          <w:lang w:val="es-CO" w:eastAsia="es-CO"/>
        </w:rPr>
        <w:t xml:space="preserve"> </w:t>
      </w:r>
      <w:r w:rsidRPr="0072173F">
        <w:rPr>
          <w:rFonts w:ascii="Tahoma" w:hAnsi="Tahoma" w:cs="Tahoma"/>
          <w:lang w:val="es-CO" w:eastAsia="es-CO"/>
        </w:rPr>
        <w:t xml:space="preserve">de </w:t>
      </w:r>
      <w:r w:rsidR="002977F3" w:rsidRPr="0072173F">
        <w:rPr>
          <w:rFonts w:ascii="Tahoma" w:hAnsi="Tahoma" w:cs="Tahoma"/>
          <w:lang w:val="es-CO" w:eastAsia="es-CO"/>
        </w:rPr>
        <w:t>marzo</w:t>
      </w:r>
      <w:r w:rsidR="0012133C" w:rsidRPr="0072173F">
        <w:rPr>
          <w:rFonts w:ascii="Tahoma" w:hAnsi="Tahoma" w:cs="Tahoma"/>
          <w:lang w:val="es-CO" w:eastAsia="es-CO"/>
        </w:rPr>
        <w:t xml:space="preserve"> </w:t>
      </w:r>
      <w:r w:rsidR="002A5055" w:rsidRPr="0072173F">
        <w:rPr>
          <w:rFonts w:ascii="Tahoma" w:hAnsi="Tahoma" w:cs="Tahoma"/>
          <w:lang w:val="es-CO" w:eastAsia="es-CO"/>
        </w:rPr>
        <w:t xml:space="preserve">de </w:t>
      </w:r>
      <w:r w:rsidRPr="0072173F">
        <w:rPr>
          <w:rFonts w:ascii="Tahoma" w:hAnsi="Tahoma" w:cs="Tahoma"/>
          <w:lang w:val="es-CO" w:eastAsia="es-CO"/>
        </w:rPr>
        <w:t>202</w:t>
      </w:r>
      <w:r w:rsidR="0012133C" w:rsidRPr="0072173F">
        <w:rPr>
          <w:rFonts w:ascii="Tahoma" w:hAnsi="Tahoma" w:cs="Tahoma"/>
          <w:lang w:val="es-CO" w:eastAsia="es-CO"/>
        </w:rPr>
        <w:t>1</w:t>
      </w:r>
      <w:r w:rsidRPr="0072173F">
        <w:rPr>
          <w:rFonts w:ascii="Tahoma" w:hAnsi="Tahoma" w:cs="Tahoma"/>
          <w:lang w:val="es-CO" w:eastAsia="es-CO"/>
        </w:rPr>
        <w:t>  </w:t>
      </w:r>
    </w:p>
    <w:p w14:paraId="11422366" w14:textId="77777777" w:rsidR="003A3BBB" w:rsidRPr="0072173F" w:rsidRDefault="003A3BBB" w:rsidP="0072173F">
      <w:pPr>
        <w:pStyle w:val="Sinespaciado"/>
        <w:spacing w:line="276" w:lineRule="auto"/>
        <w:rPr>
          <w:rFonts w:ascii="Tahoma" w:hAnsi="Tahoma" w:cs="Tahoma"/>
        </w:rPr>
      </w:pPr>
      <w:r w:rsidRPr="0072173F">
        <w:rPr>
          <w:rFonts w:ascii="Tahoma" w:hAnsi="Tahoma" w:cs="Tahoma"/>
        </w:rPr>
        <w:tab/>
      </w:r>
      <w:r w:rsidR="004052FE" w:rsidRPr="0072173F">
        <w:rPr>
          <w:rFonts w:ascii="Tahoma" w:hAnsi="Tahoma" w:cs="Tahoma"/>
        </w:rPr>
        <w:t xml:space="preserve"> </w:t>
      </w:r>
    </w:p>
    <w:p w14:paraId="3154AF30" w14:textId="7F73D1F9" w:rsidR="003A3BBB" w:rsidRPr="0072173F" w:rsidRDefault="00766B8A" w:rsidP="0072173F">
      <w:pPr>
        <w:spacing w:line="276" w:lineRule="auto"/>
        <w:ind w:firstLine="708"/>
        <w:jc w:val="both"/>
        <w:rPr>
          <w:rFonts w:ascii="Tahoma" w:hAnsi="Tahoma" w:cs="Tahoma"/>
          <w:b/>
          <w:lang w:val="es-ES_tradnl"/>
        </w:rPr>
      </w:pPr>
      <w:r w:rsidRPr="0072173F">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72173F">
        <w:rPr>
          <w:rFonts w:ascii="Tahoma" w:hAnsi="Tahoma" w:cs="Tahoma"/>
        </w:rPr>
        <w:t xml:space="preserve"> </w:t>
      </w:r>
      <w:r w:rsidRPr="0072173F">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72173F">
        <w:rPr>
          <w:rFonts w:ascii="Tahoma" w:hAnsi="Tahoma" w:cs="Tahoma"/>
          <w:color w:val="000000"/>
        </w:rPr>
        <w:t xml:space="preserve">la Sala de </w:t>
      </w:r>
      <w:r w:rsidRPr="0072173F">
        <w:rPr>
          <w:rFonts w:ascii="Tahoma" w:hAnsi="Tahoma" w:cs="Tahoma"/>
        </w:rPr>
        <w:t xml:space="preserve">Decisión Laboral </w:t>
      </w:r>
      <w:r w:rsidR="003B3424" w:rsidRPr="0072173F">
        <w:rPr>
          <w:rFonts w:ascii="Tahoma" w:hAnsi="Tahoma" w:cs="Tahoma"/>
          <w:color w:val="000000"/>
          <w:lang w:val="es-ES_tradnl"/>
        </w:rPr>
        <w:t xml:space="preserve">presidida por la Magistrada </w:t>
      </w:r>
      <w:r w:rsidR="003B3424" w:rsidRPr="0072173F">
        <w:rPr>
          <w:rFonts w:ascii="Tahoma" w:hAnsi="Tahoma" w:cs="Tahoma"/>
          <w:color w:val="000000"/>
          <w:lang w:val="es-ES_tradnl"/>
        </w:rPr>
        <w:lastRenderedPageBreak/>
        <w:t>Ana Lucía Caicedo Calderón</w:t>
      </w:r>
      <w:r w:rsidR="001A3764" w:rsidRPr="0072173F">
        <w:rPr>
          <w:rFonts w:ascii="Tahoma" w:hAnsi="Tahoma" w:cs="Tahoma"/>
          <w:color w:val="000000"/>
          <w:lang w:val="es-ES_tradnl"/>
        </w:rPr>
        <w:t xml:space="preserve"> -</w:t>
      </w:r>
      <w:r w:rsidRPr="0072173F">
        <w:rPr>
          <w:rFonts w:ascii="Tahoma" w:hAnsi="Tahoma" w:cs="Tahoma"/>
        </w:rPr>
        <w:t xml:space="preserve">integrada por las Magistradas ANA LUCÍA CAICEDO CALDERÓN como Ponente, OLGA LUCÍA HOYOS SEPÚLVEDA y el Magistrado </w:t>
      </w:r>
      <w:r w:rsidR="0012133A" w:rsidRPr="0072173F">
        <w:rPr>
          <w:rFonts w:ascii="Tahoma" w:hAnsi="Tahoma" w:cs="Tahoma"/>
        </w:rPr>
        <w:t>GERMÁN DARIO GÓEZ VINASCO</w:t>
      </w:r>
      <w:r w:rsidR="001A3764" w:rsidRPr="0072173F">
        <w:rPr>
          <w:rFonts w:ascii="Tahoma" w:hAnsi="Tahoma" w:cs="Tahoma"/>
        </w:rPr>
        <w:t>-</w:t>
      </w:r>
      <w:r w:rsidRPr="0072173F">
        <w:rPr>
          <w:rFonts w:ascii="Tahoma" w:hAnsi="Tahoma" w:cs="Tahoma"/>
        </w:rPr>
        <w:t>, procede a proferir la siguiente sentencia escrita</w:t>
      </w:r>
      <w:r w:rsidRPr="0072173F">
        <w:rPr>
          <w:rStyle w:val="normaltextrun"/>
          <w:rFonts w:ascii="Tahoma" w:hAnsi="Tahoma" w:cs="Tahoma"/>
        </w:rPr>
        <w:t xml:space="preserve"> </w:t>
      </w:r>
      <w:r w:rsidRPr="0072173F">
        <w:rPr>
          <w:rFonts w:ascii="Tahoma" w:hAnsi="Tahoma" w:cs="Tahoma"/>
        </w:rPr>
        <w:t>dentro</w:t>
      </w:r>
      <w:r w:rsidRPr="0072173F">
        <w:rPr>
          <w:rStyle w:val="normaltextrun"/>
          <w:rFonts w:ascii="Tahoma" w:hAnsi="Tahoma" w:cs="Tahoma"/>
        </w:rPr>
        <w:t xml:space="preserve"> del proceso ordinario laboral instaurado por</w:t>
      </w:r>
      <w:r w:rsidR="003A3BBB" w:rsidRPr="0072173F">
        <w:rPr>
          <w:rFonts w:ascii="Tahoma" w:hAnsi="Tahoma" w:cs="Tahoma"/>
          <w:lang w:val="es-ES_tradnl"/>
        </w:rPr>
        <w:t xml:space="preserve"> </w:t>
      </w:r>
      <w:r w:rsidR="00017587" w:rsidRPr="0072173F">
        <w:rPr>
          <w:rFonts w:ascii="Tahoma" w:hAnsi="Tahoma" w:cs="Tahoma"/>
          <w:b/>
          <w:lang w:val="es-ES_tradnl"/>
        </w:rPr>
        <w:t xml:space="preserve">María </w:t>
      </w:r>
      <w:proofErr w:type="spellStart"/>
      <w:r w:rsidR="00017587" w:rsidRPr="0072173F">
        <w:rPr>
          <w:rFonts w:ascii="Tahoma" w:hAnsi="Tahoma" w:cs="Tahoma"/>
          <w:b/>
          <w:lang w:val="es-ES_tradnl"/>
        </w:rPr>
        <w:t>Ludivia</w:t>
      </w:r>
      <w:proofErr w:type="spellEnd"/>
      <w:r w:rsidR="00017587" w:rsidRPr="0072173F">
        <w:rPr>
          <w:rFonts w:ascii="Tahoma" w:hAnsi="Tahoma" w:cs="Tahoma"/>
          <w:b/>
          <w:lang w:val="es-ES_tradnl"/>
        </w:rPr>
        <w:t xml:space="preserve"> Gutiérrez </w:t>
      </w:r>
      <w:r w:rsidR="00E2629C" w:rsidRPr="0072173F">
        <w:rPr>
          <w:rFonts w:ascii="Tahoma" w:hAnsi="Tahoma" w:cs="Tahoma"/>
          <w:b/>
          <w:lang w:val="es-ES_tradnl"/>
        </w:rPr>
        <w:t xml:space="preserve">de </w:t>
      </w:r>
      <w:r w:rsidR="00017587" w:rsidRPr="0072173F">
        <w:rPr>
          <w:rFonts w:ascii="Tahoma" w:hAnsi="Tahoma" w:cs="Tahoma"/>
          <w:b/>
          <w:lang w:val="es-ES_tradnl"/>
        </w:rPr>
        <w:t>Otálvaro</w:t>
      </w:r>
      <w:r w:rsidR="00622512" w:rsidRPr="0072173F">
        <w:rPr>
          <w:rFonts w:ascii="Tahoma" w:hAnsi="Tahoma" w:cs="Tahoma"/>
        </w:rPr>
        <w:t xml:space="preserve"> </w:t>
      </w:r>
      <w:r w:rsidR="003A3BBB" w:rsidRPr="0072173F">
        <w:rPr>
          <w:rFonts w:ascii="Tahoma" w:hAnsi="Tahoma" w:cs="Tahoma"/>
          <w:lang w:val="es-ES_tradnl"/>
        </w:rPr>
        <w:t>en contra de</w:t>
      </w:r>
      <w:r w:rsidR="005D79AB" w:rsidRPr="0072173F">
        <w:rPr>
          <w:rFonts w:ascii="Tahoma" w:hAnsi="Tahoma" w:cs="Tahoma"/>
          <w:lang w:val="es-ES_tradnl"/>
        </w:rPr>
        <w:t xml:space="preserve"> la </w:t>
      </w:r>
      <w:r w:rsidR="00CD1C4B" w:rsidRPr="0072173F">
        <w:rPr>
          <w:rFonts w:ascii="Tahoma" w:hAnsi="Tahoma" w:cs="Tahoma"/>
          <w:b/>
          <w:lang w:val="es-ES_tradnl"/>
        </w:rPr>
        <w:t xml:space="preserve">Administradora </w:t>
      </w:r>
      <w:r w:rsidR="00E2629C" w:rsidRPr="0072173F">
        <w:rPr>
          <w:rFonts w:ascii="Tahoma" w:hAnsi="Tahoma" w:cs="Tahoma"/>
          <w:b/>
          <w:lang w:val="es-ES_tradnl"/>
        </w:rPr>
        <w:t xml:space="preserve">Colombiana </w:t>
      </w:r>
      <w:r w:rsidR="001A3764" w:rsidRPr="0072173F">
        <w:rPr>
          <w:rFonts w:ascii="Tahoma" w:hAnsi="Tahoma" w:cs="Tahoma"/>
          <w:b/>
          <w:lang w:val="es-ES_tradnl"/>
        </w:rPr>
        <w:t>de Pensiones</w:t>
      </w:r>
      <w:r w:rsidR="00EA7350" w:rsidRPr="0072173F">
        <w:rPr>
          <w:rFonts w:ascii="Tahoma" w:hAnsi="Tahoma" w:cs="Tahoma"/>
          <w:b/>
          <w:lang w:val="es-ES_tradnl"/>
        </w:rPr>
        <w:t xml:space="preserve"> -</w:t>
      </w:r>
      <w:r w:rsidR="001A3764" w:rsidRPr="0072173F">
        <w:rPr>
          <w:rFonts w:ascii="Tahoma" w:hAnsi="Tahoma" w:cs="Tahoma"/>
          <w:b/>
          <w:lang w:val="es-ES_tradnl"/>
        </w:rPr>
        <w:t xml:space="preserve"> </w:t>
      </w:r>
      <w:r w:rsidR="00017587" w:rsidRPr="0072173F">
        <w:rPr>
          <w:rFonts w:ascii="Tahoma" w:hAnsi="Tahoma" w:cs="Tahoma"/>
          <w:b/>
          <w:lang w:val="es-ES_tradnl"/>
        </w:rPr>
        <w:t>Colpensiones.</w:t>
      </w:r>
    </w:p>
    <w:p w14:paraId="5EA713D6" w14:textId="77777777" w:rsidR="00121CF9" w:rsidRPr="0072173F" w:rsidRDefault="00121CF9" w:rsidP="0072173F">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p>
    <w:p w14:paraId="3864ECFF" w14:textId="5EF4567E" w:rsidR="00766B8A" w:rsidRPr="0072173F" w:rsidRDefault="00766B8A" w:rsidP="0072173F">
      <w:pPr>
        <w:pStyle w:val="paragraph"/>
        <w:spacing w:before="0" w:beforeAutospacing="0" w:after="0" w:afterAutospacing="0" w:line="276" w:lineRule="auto"/>
        <w:jc w:val="center"/>
        <w:textAlignment w:val="baseline"/>
        <w:rPr>
          <w:rFonts w:ascii="Tahoma" w:hAnsi="Tahoma" w:cs="Tahoma"/>
        </w:rPr>
      </w:pPr>
      <w:r w:rsidRPr="0072173F">
        <w:rPr>
          <w:rStyle w:val="normaltextrun"/>
          <w:rFonts w:ascii="Tahoma" w:hAnsi="Tahoma" w:cs="Tahoma"/>
          <w:b/>
          <w:bCs/>
          <w:color w:val="000000"/>
          <w:lang w:val="es-ES"/>
        </w:rPr>
        <w:t>PUNTO A TRATAR</w:t>
      </w:r>
    </w:p>
    <w:p w14:paraId="67FC962A" w14:textId="77777777" w:rsidR="0072173F" w:rsidRDefault="0072173F" w:rsidP="0072173F">
      <w:pPr>
        <w:spacing w:line="276" w:lineRule="auto"/>
        <w:ind w:firstLine="708"/>
        <w:jc w:val="both"/>
        <w:rPr>
          <w:rStyle w:val="normaltextrun"/>
          <w:rFonts w:ascii="Tahoma" w:hAnsi="Tahoma" w:cs="Tahoma"/>
        </w:rPr>
      </w:pPr>
    </w:p>
    <w:p w14:paraId="52CBBE24" w14:textId="05F375D8" w:rsidR="00FB100A" w:rsidRPr="0072173F" w:rsidRDefault="00FB100A" w:rsidP="0072173F">
      <w:pPr>
        <w:spacing w:line="276" w:lineRule="auto"/>
        <w:ind w:firstLine="708"/>
        <w:jc w:val="both"/>
        <w:rPr>
          <w:rStyle w:val="eop"/>
          <w:rFonts w:ascii="Tahoma" w:hAnsi="Tahoma" w:cs="Tahoma"/>
        </w:rPr>
      </w:pPr>
      <w:r w:rsidRPr="0072173F">
        <w:rPr>
          <w:rStyle w:val="normaltextrun"/>
          <w:rFonts w:ascii="Tahoma" w:hAnsi="Tahoma" w:cs="Tahoma"/>
        </w:rPr>
        <w:t>Por medio de esta providencia procede la Sala a</w:t>
      </w:r>
      <w:r w:rsidRPr="0072173F">
        <w:rPr>
          <w:rFonts w:ascii="Tahoma" w:hAnsi="Tahoma" w:cs="Tahoma"/>
        </w:rPr>
        <w:t xml:space="preserve"> resolver el recurso de apelación interpuesto por la apoderada judicial de la entidad demandada en contra de la sentencia emitida por el Juzgado Cuarto Laboral del Circuito de Pereira el 14 de octubre de 2020. Igualmente se revisará la aludida providencia en sede de consulta al haber sido adversa a los intereses de la Colpensiones. </w:t>
      </w:r>
      <w:r w:rsidRPr="0072173F">
        <w:rPr>
          <w:rStyle w:val="normaltextrun"/>
          <w:rFonts w:ascii="Tahoma" w:hAnsi="Tahoma" w:cs="Tahoma"/>
        </w:rPr>
        <w:t>Para ello se tiene en cuenta lo siguiente: </w:t>
      </w:r>
      <w:r w:rsidRPr="0072173F">
        <w:rPr>
          <w:rStyle w:val="eop"/>
          <w:rFonts w:ascii="Tahoma" w:hAnsi="Tahoma" w:cs="Tahoma"/>
        </w:rPr>
        <w:t> </w:t>
      </w:r>
    </w:p>
    <w:p w14:paraId="63E2E156" w14:textId="77777777" w:rsidR="003D5F4E" w:rsidRPr="0072173F" w:rsidRDefault="003D5F4E" w:rsidP="0072173F">
      <w:pPr>
        <w:spacing w:line="276" w:lineRule="auto"/>
        <w:jc w:val="both"/>
        <w:rPr>
          <w:rFonts w:ascii="Tahoma" w:hAnsi="Tahoma" w:cs="Tahoma"/>
        </w:rPr>
      </w:pPr>
    </w:p>
    <w:p w14:paraId="11EB8792" w14:textId="77777777" w:rsidR="003A3BBB" w:rsidRPr="0072173F" w:rsidRDefault="003A3BBB" w:rsidP="0072173F">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72173F">
        <w:rPr>
          <w:rFonts w:ascii="Tahoma" w:hAnsi="Tahoma" w:cs="Tahoma"/>
          <w:b/>
        </w:rPr>
        <w:t>La demanda y su contestación</w:t>
      </w:r>
    </w:p>
    <w:p w14:paraId="5BE3C8FA" w14:textId="77777777" w:rsidR="00FB100A" w:rsidRPr="0072173F" w:rsidRDefault="00FB100A" w:rsidP="0072173F">
      <w:pPr>
        <w:widowControl w:val="0"/>
        <w:autoSpaceDE w:val="0"/>
        <w:autoSpaceDN w:val="0"/>
        <w:adjustRightInd w:val="0"/>
        <w:spacing w:line="276" w:lineRule="auto"/>
        <w:rPr>
          <w:rFonts w:ascii="Tahoma" w:hAnsi="Tahoma" w:cs="Tahoma"/>
        </w:rPr>
      </w:pPr>
    </w:p>
    <w:p w14:paraId="29CF1304" w14:textId="392B8F75" w:rsidR="00FB100A" w:rsidRPr="0072173F" w:rsidRDefault="00FB100A"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 xml:space="preserve">Solicita la señora María </w:t>
      </w:r>
      <w:proofErr w:type="spellStart"/>
      <w:r w:rsidRPr="0072173F">
        <w:rPr>
          <w:rFonts w:ascii="Tahoma" w:hAnsi="Tahoma" w:cs="Tahoma"/>
        </w:rPr>
        <w:t>Ludivia</w:t>
      </w:r>
      <w:proofErr w:type="spellEnd"/>
      <w:r w:rsidRPr="0072173F">
        <w:rPr>
          <w:rFonts w:ascii="Tahoma" w:hAnsi="Tahoma" w:cs="Tahoma"/>
        </w:rPr>
        <w:t xml:space="preserve"> Gutiérrez de Otálvaro que se declare que tiene derecho a la pensión de sobrevivientes como consecuencia del fallecimiento de su cónyuge, señor Pedro Rodrigo Otálvaro Colorado, en aplicación del Principio Constitucional de la Condición más beneficiosa. Asimismo, pide que se ordene a Colpensiones a pagar dicha prestación desde el 1º de agosto de 2016</w:t>
      </w:r>
      <w:r w:rsidR="00732C86" w:rsidRPr="0072173F">
        <w:rPr>
          <w:rFonts w:ascii="Tahoma" w:hAnsi="Tahoma" w:cs="Tahoma"/>
        </w:rPr>
        <w:t>, más los intereses moratorios d</w:t>
      </w:r>
      <w:r w:rsidRPr="0072173F">
        <w:rPr>
          <w:rFonts w:ascii="Tahoma" w:hAnsi="Tahoma" w:cs="Tahoma"/>
        </w:rPr>
        <w:t>el artículo 141 de la Ley 100 de 1993</w:t>
      </w:r>
      <w:r w:rsidR="00732C86" w:rsidRPr="0072173F">
        <w:rPr>
          <w:rFonts w:ascii="Tahoma" w:hAnsi="Tahoma" w:cs="Tahoma"/>
        </w:rPr>
        <w:t xml:space="preserve">, lo que se </w:t>
      </w:r>
      <w:r w:rsidRPr="0072173F">
        <w:rPr>
          <w:rFonts w:ascii="Tahoma" w:hAnsi="Tahoma" w:cs="Tahoma"/>
        </w:rPr>
        <w:t xml:space="preserve">encuentre probado en ejercicio de las facultades extra y ultra </w:t>
      </w:r>
      <w:proofErr w:type="spellStart"/>
      <w:r w:rsidRPr="0072173F">
        <w:rPr>
          <w:rFonts w:ascii="Tahoma" w:hAnsi="Tahoma" w:cs="Tahoma"/>
        </w:rPr>
        <w:t>petita</w:t>
      </w:r>
      <w:proofErr w:type="spellEnd"/>
      <w:r w:rsidR="00732C86" w:rsidRPr="0072173F">
        <w:rPr>
          <w:rFonts w:ascii="Tahoma" w:hAnsi="Tahoma" w:cs="Tahoma"/>
        </w:rPr>
        <w:t xml:space="preserve"> y, las costas procesales.</w:t>
      </w:r>
    </w:p>
    <w:p w14:paraId="1B1DA8DC" w14:textId="77777777" w:rsidR="00FB100A" w:rsidRPr="0072173F" w:rsidRDefault="00FB100A" w:rsidP="0072173F">
      <w:pPr>
        <w:widowControl w:val="0"/>
        <w:autoSpaceDE w:val="0"/>
        <w:autoSpaceDN w:val="0"/>
        <w:adjustRightInd w:val="0"/>
        <w:spacing w:line="276" w:lineRule="auto"/>
        <w:ind w:firstLine="708"/>
        <w:jc w:val="both"/>
        <w:rPr>
          <w:rFonts w:ascii="Tahoma" w:hAnsi="Tahoma" w:cs="Tahoma"/>
        </w:rPr>
      </w:pPr>
    </w:p>
    <w:p w14:paraId="22C0C8FA" w14:textId="661C336D" w:rsidR="009C4373" w:rsidRPr="0072173F" w:rsidRDefault="00732C86"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Sustenta sus pedidos aduciendo que el día 30 de octubre de 1972 contrajo matrimonio católico con el señor Pedro Rodrigo Otálvaro Colorado, con quien convivió de manera ininterrumpida hasta el día de su deceso, acaecido el 18 de marzo de 2002.</w:t>
      </w:r>
    </w:p>
    <w:p w14:paraId="44391531" w14:textId="5CEEE020" w:rsidR="009C4373" w:rsidRPr="0072173F" w:rsidRDefault="009C4373" w:rsidP="0072173F">
      <w:pPr>
        <w:widowControl w:val="0"/>
        <w:autoSpaceDE w:val="0"/>
        <w:autoSpaceDN w:val="0"/>
        <w:adjustRightInd w:val="0"/>
        <w:spacing w:line="276" w:lineRule="auto"/>
        <w:ind w:firstLine="708"/>
        <w:jc w:val="both"/>
        <w:rPr>
          <w:rFonts w:ascii="Tahoma" w:hAnsi="Tahoma" w:cs="Tahoma"/>
        </w:rPr>
      </w:pPr>
    </w:p>
    <w:p w14:paraId="54EE1F84" w14:textId="7314EB3A" w:rsidR="0008679A" w:rsidRPr="0072173F" w:rsidRDefault="00732C86"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Afirma que e</w:t>
      </w:r>
      <w:r w:rsidR="009C4373" w:rsidRPr="0072173F">
        <w:rPr>
          <w:rFonts w:ascii="Tahoma" w:hAnsi="Tahoma" w:cs="Tahoma"/>
        </w:rPr>
        <w:t>l señor Ot</w:t>
      </w:r>
      <w:r w:rsidR="006066F7" w:rsidRPr="0072173F">
        <w:rPr>
          <w:rFonts w:ascii="Tahoma" w:hAnsi="Tahoma" w:cs="Tahoma"/>
        </w:rPr>
        <w:t>á</w:t>
      </w:r>
      <w:r w:rsidR="009C4373" w:rsidRPr="0072173F">
        <w:rPr>
          <w:rFonts w:ascii="Tahoma" w:hAnsi="Tahoma" w:cs="Tahoma"/>
        </w:rPr>
        <w:t xml:space="preserve">lvaro Colorado </w:t>
      </w:r>
      <w:r w:rsidR="0008679A" w:rsidRPr="0072173F">
        <w:rPr>
          <w:rFonts w:ascii="Tahoma" w:hAnsi="Tahoma" w:cs="Tahoma"/>
        </w:rPr>
        <w:t xml:space="preserve">efectuó aportes </w:t>
      </w:r>
      <w:r w:rsidR="009C4373" w:rsidRPr="0072173F">
        <w:rPr>
          <w:rFonts w:ascii="Tahoma" w:hAnsi="Tahoma" w:cs="Tahoma"/>
        </w:rPr>
        <w:t xml:space="preserve">al </w:t>
      </w:r>
      <w:r w:rsidR="0008679A" w:rsidRPr="0072173F">
        <w:rPr>
          <w:rFonts w:ascii="Tahoma" w:hAnsi="Tahoma" w:cs="Tahoma"/>
        </w:rPr>
        <w:t xml:space="preserve">sistema de pensiones por </w:t>
      </w:r>
      <w:r w:rsidR="009C4373" w:rsidRPr="0072173F">
        <w:rPr>
          <w:rFonts w:ascii="Tahoma" w:hAnsi="Tahoma" w:cs="Tahoma"/>
        </w:rPr>
        <w:t xml:space="preserve">un total de </w:t>
      </w:r>
      <w:r w:rsidR="00372D28" w:rsidRPr="0072173F">
        <w:rPr>
          <w:rFonts w:ascii="Tahoma" w:hAnsi="Tahoma" w:cs="Tahoma"/>
        </w:rPr>
        <w:t xml:space="preserve">649 semanas, </w:t>
      </w:r>
      <w:r w:rsidR="0008679A" w:rsidRPr="0072173F">
        <w:rPr>
          <w:rFonts w:ascii="Tahoma" w:hAnsi="Tahoma" w:cs="Tahoma"/>
        </w:rPr>
        <w:t xml:space="preserve">de las cuales más de 300 semanas fueron cotizadas en vigencia del Acuerdo 049 de 1990. </w:t>
      </w:r>
    </w:p>
    <w:p w14:paraId="3669C3F0" w14:textId="128E9A2B" w:rsidR="00372D28" w:rsidRPr="0072173F" w:rsidRDefault="00372D28" w:rsidP="0072173F">
      <w:pPr>
        <w:widowControl w:val="0"/>
        <w:autoSpaceDE w:val="0"/>
        <w:autoSpaceDN w:val="0"/>
        <w:adjustRightInd w:val="0"/>
        <w:spacing w:line="276" w:lineRule="auto"/>
        <w:ind w:firstLine="708"/>
        <w:jc w:val="both"/>
        <w:rPr>
          <w:rFonts w:ascii="Tahoma" w:hAnsi="Tahoma" w:cs="Tahoma"/>
        </w:rPr>
      </w:pPr>
    </w:p>
    <w:p w14:paraId="49FAE526" w14:textId="32DE5B5A" w:rsidR="00372D28" w:rsidRPr="0072173F" w:rsidRDefault="0008679A"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Sostiene que e</w:t>
      </w:r>
      <w:r w:rsidR="00372D28" w:rsidRPr="0072173F">
        <w:rPr>
          <w:rFonts w:ascii="Tahoma" w:hAnsi="Tahoma" w:cs="Tahoma"/>
        </w:rPr>
        <w:t>l 1</w:t>
      </w:r>
      <w:r w:rsidRPr="0072173F">
        <w:rPr>
          <w:rFonts w:ascii="Tahoma" w:hAnsi="Tahoma" w:cs="Tahoma"/>
        </w:rPr>
        <w:t xml:space="preserve">º </w:t>
      </w:r>
      <w:r w:rsidR="00372D28" w:rsidRPr="0072173F">
        <w:rPr>
          <w:rFonts w:ascii="Tahoma" w:hAnsi="Tahoma" w:cs="Tahoma"/>
        </w:rPr>
        <w:t>de agosto de 2019</w:t>
      </w:r>
      <w:r w:rsidRPr="0072173F">
        <w:rPr>
          <w:rFonts w:ascii="Tahoma" w:hAnsi="Tahoma" w:cs="Tahoma"/>
        </w:rPr>
        <w:t xml:space="preserve"> </w:t>
      </w:r>
      <w:r w:rsidR="00372D28" w:rsidRPr="0072173F">
        <w:rPr>
          <w:rFonts w:ascii="Tahoma" w:hAnsi="Tahoma" w:cs="Tahoma"/>
        </w:rPr>
        <w:t xml:space="preserve">solicitó </w:t>
      </w:r>
      <w:r w:rsidRPr="0072173F">
        <w:rPr>
          <w:rFonts w:ascii="Tahoma" w:hAnsi="Tahoma" w:cs="Tahoma"/>
        </w:rPr>
        <w:t xml:space="preserve">ante Colpensiones </w:t>
      </w:r>
      <w:r w:rsidR="00372D28" w:rsidRPr="0072173F">
        <w:rPr>
          <w:rFonts w:ascii="Tahoma" w:hAnsi="Tahoma" w:cs="Tahoma"/>
        </w:rPr>
        <w:t>el reconocimiento de la pensión de sobrevivientes</w:t>
      </w:r>
      <w:r w:rsidRPr="0072173F">
        <w:rPr>
          <w:rFonts w:ascii="Tahoma" w:hAnsi="Tahoma" w:cs="Tahoma"/>
        </w:rPr>
        <w:t xml:space="preserve">, la cual le fue negada </w:t>
      </w:r>
      <w:bookmarkStart w:id="1" w:name="_Hlk65489055"/>
      <w:r w:rsidR="00372D28" w:rsidRPr="0072173F">
        <w:rPr>
          <w:rFonts w:ascii="Tahoma" w:hAnsi="Tahoma" w:cs="Tahoma"/>
        </w:rPr>
        <w:t xml:space="preserve">mediante </w:t>
      </w:r>
      <w:r w:rsidRPr="0072173F">
        <w:rPr>
          <w:rFonts w:ascii="Tahoma" w:hAnsi="Tahoma" w:cs="Tahoma"/>
        </w:rPr>
        <w:t xml:space="preserve">la </w:t>
      </w:r>
      <w:r w:rsidR="00372D28" w:rsidRPr="0072173F">
        <w:rPr>
          <w:rFonts w:ascii="Tahoma" w:hAnsi="Tahoma" w:cs="Tahoma"/>
        </w:rPr>
        <w:t xml:space="preserve">Resolución No. SUB-227524 </w:t>
      </w:r>
      <w:bookmarkEnd w:id="1"/>
      <w:r w:rsidRPr="0072173F">
        <w:rPr>
          <w:rFonts w:ascii="Tahoma" w:hAnsi="Tahoma" w:cs="Tahoma"/>
        </w:rPr>
        <w:t>de</w:t>
      </w:r>
      <w:r w:rsidR="00372D28" w:rsidRPr="0072173F">
        <w:rPr>
          <w:rFonts w:ascii="Tahoma" w:hAnsi="Tahoma" w:cs="Tahoma"/>
        </w:rPr>
        <w:t xml:space="preserve"> 2019, </w:t>
      </w:r>
      <w:r w:rsidRPr="0072173F">
        <w:rPr>
          <w:rFonts w:ascii="Tahoma" w:hAnsi="Tahoma" w:cs="Tahoma"/>
        </w:rPr>
        <w:t>quedando agotada de esta manera la r</w:t>
      </w:r>
      <w:r w:rsidR="00372D28" w:rsidRPr="0072173F">
        <w:rPr>
          <w:rFonts w:ascii="Tahoma" w:hAnsi="Tahoma" w:cs="Tahoma"/>
        </w:rPr>
        <w:t xml:space="preserve">eclamación </w:t>
      </w:r>
      <w:r w:rsidRPr="0072173F">
        <w:rPr>
          <w:rFonts w:ascii="Tahoma" w:hAnsi="Tahoma" w:cs="Tahoma"/>
        </w:rPr>
        <w:t>a</w:t>
      </w:r>
      <w:r w:rsidR="00372D28" w:rsidRPr="0072173F">
        <w:rPr>
          <w:rFonts w:ascii="Tahoma" w:hAnsi="Tahoma" w:cs="Tahoma"/>
        </w:rPr>
        <w:t>dministrativa.</w:t>
      </w:r>
    </w:p>
    <w:p w14:paraId="7CBB0AC9" w14:textId="4E1D693D" w:rsidR="00467EF2" w:rsidRPr="0072173F" w:rsidRDefault="00467EF2" w:rsidP="0072173F">
      <w:pPr>
        <w:widowControl w:val="0"/>
        <w:autoSpaceDE w:val="0"/>
        <w:autoSpaceDN w:val="0"/>
        <w:adjustRightInd w:val="0"/>
        <w:spacing w:line="276" w:lineRule="auto"/>
        <w:ind w:firstLine="708"/>
        <w:jc w:val="both"/>
        <w:rPr>
          <w:rFonts w:ascii="Tahoma" w:hAnsi="Tahoma" w:cs="Tahoma"/>
        </w:rPr>
      </w:pPr>
    </w:p>
    <w:p w14:paraId="49979CE4" w14:textId="7E9F37DF" w:rsidR="00281BBC" w:rsidRPr="0072173F" w:rsidRDefault="00053B35"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b/>
        </w:rPr>
        <w:t>Colpensiones</w:t>
      </w:r>
      <w:r w:rsidR="00FC2F9C" w:rsidRPr="0072173F">
        <w:rPr>
          <w:rFonts w:ascii="Tahoma" w:hAnsi="Tahoma" w:cs="Tahoma"/>
        </w:rPr>
        <w:t xml:space="preserve"> </w:t>
      </w:r>
      <w:r w:rsidR="0008679A" w:rsidRPr="0072173F">
        <w:rPr>
          <w:rFonts w:ascii="Tahoma" w:hAnsi="Tahoma" w:cs="Tahoma"/>
        </w:rPr>
        <w:t>s</w:t>
      </w:r>
      <w:r w:rsidR="00281BBC" w:rsidRPr="0072173F">
        <w:rPr>
          <w:rFonts w:ascii="Tahoma" w:hAnsi="Tahoma" w:cs="Tahoma"/>
        </w:rPr>
        <w:t>e opuso a la prosperidad de las pretensiones de la demanda aduciendo que la deman</w:t>
      </w:r>
      <w:r w:rsidR="001B3F8C" w:rsidRPr="0072173F">
        <w:rPr>
          <w:rFonts w:ascii="Tahoma" w:hAnsi="Tahoma" w:cs="Tahoma"/>
        </w:rPr>
        <w:t xml:space="preserve">dante </w:t>
      </w:r>
      <w:r w:rsidR="00281BBC" w:rsidRPr="0072173F">
        <w:rPr>
          <w:rFonts w:ascii="Tahoma" w:hAnsi="Tahoma" w:cs="Tahoma"/>
        </w:rPr>
        <w:t xml:space="preserve">no </w:t>
      </w:r>
      <w:r w:rsidR="001B3F8C" w:rsidRPr="0072173F">
        <w:rPr>
          <w:rFonts w:ascii="Tahoma" w:hAnsi="Tahoma" w:cs="Tahoma"/>
        </w:rPr>
        <w:t xml:space="preserve">aporta </w:t>
      </w:r>
      <w:r w:rsidR="00281BBC" w:rsidRPr="0072173F">
        <w:rPr>
          <w:rFonts w:ascii="Tahoma" w:hAnsi="Tahoma" w:cs="Tahoma"/>
        </w:rPr>
        <w:t xml:space="preserve">prueba conducente </w:t>
      </w:r>
      <w:r w:rsidR="001B3F8C" w:rsidRPr="0072173F">
        <w:rPr>
          <w:rFonts w:ascii="Tahoma" w:hAnsi="Tahoma" w:cs="Tahoma"/>
        </w:rPr>
        <w:t xml:space="preserve">a </w:t>
      </w:r>
      <w:r w:rsidR="00281BBC" w:rsidRPr="0072173F">
        <w:rPr>
          <w:rFonts w:ascii="Tahoma" w:hAnsi="Tahoma" w:cs="Tahoma"/>
        </w:rPr>
        <w:t>establec</w:t>
      </w:r>
      <w:r w:rsidR="001B3F8C" w:rsidRPr="0072173F">
        <w:rPr>
          <w:rFonts w:ascii="Tahoma" w:hAnsi="Tahoma" w:cs="Tahoma"/>
        </w:rPr>
        <w:t xml:space="preserve">er el </w:t>
      </w:r>
      <w:r w:rsidR="00281BBC" w:rsidRPr="0072173F">
        <w:rPr>
          <w:rFonts w:ascii="Tahoma" w:hAnsi="Tahoma" w:cs="Tahoma"/>
        </w:rPr>
        <w:t xml:space="preserve">vínculo de unión y de convivencia en los últimos </w:t>
      </w:r>
      <w:r w:rsidR="001B3F8C" w:rsidRPr="0072173F">
        <w:rPr>
          <w:rFonts w:ascii="Tahoma" w:hAnsi="Tahoma" w:cs="Tahoma"/>
        </w:rPr>
        <w:t>cinco</w:t>
      </w:r>
      <w:r w:rsidR="00281BBC" w:rsidRPr="0072173F">
        <w:rPr>
          <w:rFonts w:ascii="Tahoma" w:hAnsi="Tahoma" w:cs="Tahoma"/>
        </w:rPr>
        <w:t xml:space="preserve"> años anteriores al fallecimiento con el señor Ot</w:t>
      </w:r>
      <w:r w:rsidR="00121CF9" w:rsidRPr="0072173F">
        <w:rPr>
          <w:rFonts w:ascii="Tahoma" w:hAnsi="Tahoma" w:cs="Tahoma"/>
        </w:rPr>
        <w:t>á</w:t>
      </w:r>
      <w:r w:rsidR="00281BBC" w:rsidRPr="0072173F">
        <w:rPr>
          <w:rFonts w:ascii="Tahoma" w:hAnsi="Tahoma" w:cs="Tahoma"/>
        </w:rPr>
        <w:t>lvaro Colorado</w:t>
      </w:r>
      <w:r w:rsidR="001B3F8C" w:rsidRPr="0072173F">
        <w:rPr>
          <w:rFonts w:ascii="Tahoma" w:hAnsi="Tahoma" w:cs="Tahoma"/>
        </w:rPr>
        <w:t>, quien tampoco contaba con la densidad de semanas exigida en la Ley 100 de 1993 para dejar causada la pensión de sobrevivientes</w:t>
      </w:r>
      <w:r w:rsidR="00281BBC" w:rsidRPr="0072173F">
        <w:rPr>
          <w:rFonts w:ascii="Tahoma" w:hAnsi="Tahoma" w:cs="Tahoma"/>
        </w:rPr>
        <w:t xml:space="preserve">. En virtud de ello, propuso las excepciones de mérito que denominó “Inexistencia de la obligación”; “Cobro de lo no debido”; “Prescripción”; “Imposibilidad jurídica para reconocer y pagar derechos por fuera del ordenamiento legal”; “Buena fe” e “Imposibilidad de condena </w:t>
      </w:r>
      <w:r w:rsidR="00281BBC" w:rsidRPr="0072173F">
        <w:rPr>
          <w:rFonts w:ascii="Tahoma" w:hAnsi="Tahoma" w:cs="Tahoma"/>
        </w:rPr>
        <w:lastRenderedPageBreak/>
        <w:t>en costas”.</w:t>
      </w:r>
    </w:p>
    <w:p w14:paraId="59437426" w14:textId="77777777" w:rsidR="00DE2EB9" w:rsidRPr="0072173F" w:rsidRDefault="00DE2EB9" w:rsidP="0072173F">
      <w:pPr>
        <w:widowControl w:val="0"/>
        <w:autoSpaceDE w:val="0"/>
        <w:autoSpaceDN w:val="0"/>
        <w:adjustRightInd w:val="0"/>
        <w:spacing w:line="276" w:lineRule="auto"/>
        <w:ind w:firstLine="708"/>
        <w:jc w:val="both"/>
        <w:rPr>
          <w:rFonts w:ascii="Tahoma" w:hAnsi="Tahoma" w:cs="Tahoma"/>
        </w:rPr>
      </w:pPr>
    </w:p>
    <w:p w14:paraId="2168AFBE" w14:textId="66414BD8" w:rsidR="003A3BBB" w:rsidRPr="0072173F" w:rsidRDefault="008F2E7F" w:rsidP="0072173F">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72173F">
        <w:rPr>
          <w:rFonts w:ascii="Tahoma" w:hAnsi="Tahoma" w:cs="Tahoma"/>
          <w:b/>
        </w:rPr>
        <w:t>S</w:t>
      </w:r>
      <w:r w:rsidR="003A3BBB" w:rsidRPr="0072173F">
        <w:rPr>
          <w:rFonts w:ascii="Tahoma" w:hAnsi="Tahoma" w:cs="Tahoma"/>
          <w:b/>
        </w:rPr>
        <w:t>entencia de primera instancia</w:t>
      </w:r>
    </w:p>
    <w:p w14:paraId="355B2A2E" w14:textId="77777777" w:rsidR="001B3F8C" w:rsidRPr="0072173F" w:rsidRDefault="001B3F8C" w:rsidP="0072173F">
      <w:pPr>
        <w:pStyle w:val="Prrafodelista"/>
        <w:widowControl w:val="0"/>
        <w:autoSpaceDE w:val="0"/>
        <w:autoSpaceDN w:val="0"/>
        <w:adjustRightInd w:val="0"/>
        <w:spacing w:line="276" w:lineRule="auto"/>
        <w:jc w:val="both"/>
        <w:rPr>
          <w:rFonts w:ascii="Tahoma" w:hAnsi="Tahoma" w:cs="Tahoma"/>
        </w:rPr>
      </w:pPr>
    </w:p>
    <w:p w14:paraId="695CC351" w14:textId="1ECB905A" w:rsidR="009F0A97" w:rsidRPr="0072173F" w:rsidRDefault="001B3F8C"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 xml:space="preserve">La Jueza de conocimiento declaró que </w:t>
      </w:r>
      <w:r w:rsidR="009F0A97" w:rsidRPr="0072173F">
        <w:rPr>
          <w:rFonts w:ascii="Tahoma" w:hAnsi="Tahoma" w:cs="Tahoma"/>
        </w:rPr>
        <w:t xml:space="preserve">la </w:t>
      </w:r>
      <w:r w:rsidRPr="0072173F">
        <w:rPr>
          <w:rFonts w:ascii="Tahoma" w:hAnsi="Tahoma" w:cs="Tahoma"/>
        </w:rPr>
        <w:t xml:space="preserve">señora </w:t>
      </w:r>
      <w:r w:rsidR="009F0A97" w:rsidRPr="0072173F">
        <w:rPr>
          <w:rFonts w:ascii="Tahoma" w:hAnsi="Tahoma" w:cs="Tahoma"/>
        </w:rPr>
        <w:t xml:space="preserve">María </w:t>
      </w:r>
      <w:proofErr w:type="spellStart"/>
      <w:r w:rsidR="009F0A97" w:rsidRPr="0072173F">
        <w:rPr>
          <w:rFonts w:ascii="Tahoma" w:hAnsi="Tahoma" w:cs="Tahoma"/>
        </w:rPr>
        <w:t>Ludivia</w:t>
      </w:r>
      <w:proofErr w:type="spellEnd"/>
      <w:r w:rsidR="009F0A97" w:rsidRPr="0072173F">
        <w:rPr>
          <w:rFonts w:ascii="Tahoma" w:hAnsi="Tahoma" w:cs="Tahoma"/>
        </w:rPr>
        <w:t xml:space="preserve"> Gutiérrez </w:t>
      </w:r>
      <w:r w:rsidRPr="0072173F">
        <w:rPr>
          <w:rFonts w:ascii="Tahoma" w:hAnsi="Tahoma" w:cs="Tahoma"/>
        </w:rPr>
        <w:t>tiene derecho al reconocimiento de la pensión de sobrevivientes causada por el fallecimiento de su cónyuge</w:t>
      </w:r>
      <w:r w:rsidR="009F0A97" w:rsidRPr="0072173F">
        <w:rPr>
          <w:rFonts w:ascii="Tahoma" w:hAnsi="Tahoma" w:cs="Tahoma"/>
        </w:rPr>
        <w:t>,</w:t>
      </w:r>
      <w:r w:rsidRPr="0072173F">
        <w:rPr>
          <w:rFonts w:ascii="Tahoma" w:hAnsi="Tahoma" w:cs="Tahoma"/>
        </w:rPr>
        <w:t xml:space="preserve"> </w:t>
      </w:r>
      <w:r w:rsidR="009F0A97" w:rsidRPr="0072173F">
        <w:rPr>
          <w:rFonts w:ascii="Tahoma" w:hAnsi="Tahoma" w:cs="Tahoma"/>
        </w:rPr>
        <w:t xml:space="preserve">Pedro Rodrigo </w:t>
      </w:r>
      <w:r w:rsidR="00121CF9" w:rsidRPr="0072173F">
        <w:rPr>
          <w:rFonts w:ascii="Tahoma" w:hAnsi="Tahoma" w:cs="Tahoma"/>
        </w:rPr>
        <w:t>Otálvaro</w:t>
      </w:r>
      <w:r w:rsidR="009F0A97" w:rsidRPr="0072173F">
        <w:rPr>
          <w:rFonts w:ascii="Tahoma" w:hAnsi="Tahoma" w:cs="Tahoma"/>
        </w:rPr>
        <w:t xml:space="preserve"> Colorado</w:t>
      </w:r>
      <w:r w:rsidRPr="0072173F">
        <w:rPr>
          <w:rFonts w:ascii="Tahoma" w:hAnsi="Tahoma" w:cs="Tahoma"/>
        </w:rPr>
        <w:t xml:space="preserve">, en cuantía de un salario mínimo </w:t>
      </w:r>
      <w:r w:rsidR="009F0A97" w:rsidRPr="0072173F">
        <w:rPr>
          <w:rFonts w:ascii="Tahoma" w:hAnsi="Tahoma" w:cs="Tahoma"/>
        </w:rPr>
        <w:t>y</w:t>
      </w:r>
      <w:r w:rsidRPr="0072173F">
        <w:rPr>
          <w:rFonts w:ascii="Tahoma" w:hAnsi="Tahoma" w:cs="Tahoma"/>
        </w:rPr>
        <w:t xml:space="preserve"> por 14 mesadas anuales.</w:t>
      </w:r>
      <w:r w:rsidR="009F0A97" w:rsidRPr="0072173F">
        <w:rPr>
          <w:rFonts w:ascii="Tahoma" w:hAnsi="Tahoma" w:cs="Tahoma"/>
        </w:rPr>
        <w:t xml:space="preserve"> Asimismo, declaró probada la excepción de prescripción de manera parcial.</w:t>
      </w:r>
    </w:p>
    <w:p w14:paraId="6172C217" w14:textId="77777777" w:rsidR="009F0A97" w:rsidRPr="0072173F" w:rsidRDefault="009F0A97" w:rsidP="0072173F">
      <w:pPr>
        <w:widowControl w:val="0"/>
        <w:autoSpaceDE w:val="0"/>
        <w:autoSpaceDN w:val="0"/>
        <w:adjustRightInd w:val="0"/>
        <w:spacing w:line="276" w:lineRule="auto"/>
        <w:ind w:firstLine="708"/>
        <w:jc w:val="both"/>
        <w:rPr>
          <w:rFonts w:ascii="Tahoma" w:hAnsi="Tahoma" w:cs="Tahoma"/>
        </w:rPr>
      </w:pPr>
    </w:p>
    <w:p w14:paraId="5212DFB3" w14:textId="6ECBC27F" w:rsidR="001B3F8C" w:rsidRPr="0072173F" w:rsidRDefault="009F0A97"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Consecuencialmente, condenó a Colpensiones a</w:t>
      </w:r>
      <w:r w:rsidR="001B3F8C" w:rsidRPr="0072173F">
        <w:rPr>
          <w:rFonts w:ascii="Tahoma" w:hAnsi="Tahoma" w:cs="Tahoma"/>
        </w:rPr>
        <w:t xml:space="preserve"> pagar</w:t>
      </w:r>
      <w:r w:rsidRPr="0072173F">
        <w:rPr>
          <w:rFonts w:ascii="Tahoma" w:hAnsi="Tahoma" w:cs="Tahoma"/>
        </w:rPr>
        <w:t xml:space="preserve"> a la actora la suma de </w:t>
      </w:r>
      <w:r w:rsidR="001B3F8C" w:rsidRPr="0072173F">
        <w:rPr>
          <w:rFonts w:ascii="Tahoma" w:hAnsi="Tahoma" w:cs="Tahoma"/>
        </w:rPr>
        <w:t>$58.944.171 por concepto de retroactivo pensional</w:t>
      </w:r>
      <w:r w:rsidRPr="0072173F">
        <w:rPr>
          <w:rFonts w:ascii="Tahoma" w:hAnsi="Tahoma" w:cs="Tahoma"/>
        </w:rPr>
        <w:t>,</w:t>
      </w:r>
      <w:r w:rsidR="001B3F8C" w:rsidRPr="0072173F">
        <w:rPr>
          <w:rFonts w:ascii="Tahoma" w:hAnsi="Tahoma" w:cs="Tahoma"/>
        </w:rPr>
        <w:t xml:space="preserve"> causado desde el 2 de marzo de 2015 al 30 de septiembre de 2020</w:t>
      </w:r>
      <w:r w:rsidRPr="0072173F">
        <w:rPr>
          <w:rFonts w:ascii="Tahoma" w:hAnsi="Tahoma" w:cs="Tahoma"/>
        </w:rPr>
        <w:t>; suma</w:t>
      </w:r>
      <w:r w:rsidR="00A26F03" w:rsidRPr="0072173F">
        <w:rPr>
          <w:rFonts w:ascii="Tahoma" w:hAnsi="Tahoma" w:cs="Tahoma"/>
        </w:rPr>
        <w:t xml:space="preserve"> que debía pagarse de manera indexada </w:t>
      </w:r>
      <w:r w:rsidR="00DC0DE2" w:rsidRPr="0072173F">
        <w:rPr>
          <w:rFonts w:ascii="Tahoma" w:hAnsi="Tahoma" w:cs="Tahoma"/>
        </w:rPr>
        <w:t>y frente</w:t>
      </w:r>
      <w:r w:rsidRPr="0072173F">
        <w:rPr>
          <w:rFonts w:ascii="Tahoma" w:hAnsi="Tahoma" w:cs="Tahoma"/>
        </w:rPr>
        <w:t xml:space="preserve"> a la cual estaba autorizada a descontar el porcentaje correspondiente para el sistema de salud.</w:t>
      </w:r>
      <w:r w:rsidR="00DC0DE2" w:rsidRPr="0072173F">
        <w:rPr>
          <w:rFonts w:ascii="Tahoma" w:hAnsi="Tahoma" w:cs="Tahoma"/>
        </w:rPr>
        <w:t xml:space="preserve"> </w:t>
      </w:r>
      <w:r w:rsidR="00A26F03" w:rsidRPr="0072173F">
        <w:rPr>
          <w:rFonts w:ascii="Tahoma" w:hAnsi="Tahoma" w:cs="Tahoma"/>
        </w:rPr>
        <w:t xml:space="preserve">Finalmente, condenó a Colpensiones </w:t>
      </w:r>
      <w:r w:rsidR="001B3F8C" w:rsidRPr="0072173F">
        <w:rPr>
          <w:rFonts w:ascii="Tahoma" w:hAnsi="Tahoma" w:cs="Tahoma"/>
        </w:rPr>
        <w:t xml:space="preserve">a pagar </w:t>
      </w:r>
      <w:r w:rsidR="00A26F03" w:rsidRPr="0072173F">
        <w:rPr>
          <w:rFonts w:ascii="Tahoma" w:hAnsi="Tahoma" w:cs="Tahoma"/>
        </w:rPr>
        <w:t>el 70% de las costas procesales.</w:t>
      </w:r>
    </w:p>
    <w:p w14:paraId="391CB7BC" w14:textId="723CA938" w:rsidR="001B3F8C" w:rsidRPr="0072173F" w:rsidRDefault="001B3F8C" w:rsidP="0072173F">
      <w:pPr>
        <w:pStyle w:val="Prrafodelista"/>
        <w:widowControl w:val="0"/>
        <w:autoSpaceDE w:val="0"/>
        <w:autoSpaceDN w:val="0"/>
        <w:adjustRightInd w:val="0"/>
        <w:spacing w:line="276" w:lineRule="auto"/>
        <w:jc w:val="both"/>
        <w:rPr>
          <w:rFonts w:ascii="Tahoma" w:hAnsi="Tahoma" w:cs="Tahoma"/>
        </w:rPr>
      </w:pPr>
    </w:p>
    <w:p w14:paraId="1C34CF51" w14:textId="3E3125C7" w:rsidR="00A26F03" w:rsidRPr="0072173F" w:rsidRDefault="00DC0DE2" w:rsidP="0072173F">
      <w:pPr>
        <w:pStyle w:val="Prrafodelista"/>
        <w:widowControl w:val="0"/>
        <w:autoSpaceDE w:val="0"/>
        <w:autoSpaceDN w:val="0"/>
        <w:adjustRightInd w:val="0"/>
        <w:spacing w:line="276" w:lineRule="auto"/>
        <w:ind w:left="0" w:firstLine="709"/>
        <w:jc w:val="both"/>
        <w:rPr>
          <w:rFonts w:ascii="Tahoma" w:hAnsi="Tahoma" w:cs="Tahoma"/>
        </w:rPr>
      </w:pPr>
      <w:r w:rsidRPr="0072173F">
        <w:rPr>
          <w:rFonts w:ascii="Tahoma" w:hAnsi="Tahoma" w:cs="Tahoma"/>
        </w:rPr>
        <w:t xml:space="preserve">Fundó tal determinación en que, a pesar de que el señor </w:t>
      </w:r>
      <w:r w:rsidR="00121CF9" w:rsidRPr="0072173F">
        <w:rPr>
          <w:rFonts w:ascii="Tahoma" w:hAnsi="Tahoma" w:cs="Tahoma"/>
        </w:rPr>
        <w:t>Otálvaro</w:t>
      </w:r>
      <w:r w:rsidRPr="0072173F">
        <w:rPr>
          <w:rFonts w:ascii="Tahoma" w:hAnsi="Tahoma" w:cs="Tahoma"/>
        </w:rPr>
        <w:t xml:space="preserve"> Colorado no acreditaba al momento de su óbito la densidad de semanas exigida en la redacción original de la Ley 100 de 1993, atendiendo el precedente de la Sala de Casación Laboral de la Corte Suprema de Justicia era posible acudir a la norma inmediatamente anterior</w:t>
      </w:r>
      <w:r w:rsidR="00CE5C14" w:rsidRPr="0072173F">
        <w:rPr>
          <w:rFonts w:ascii="Tahoma" w:hAnsi="Tahoma" w:cs="Tahoma"/>
        </w:rPr>
        <w:t xml:space="preserve"> </w:t>
      </w:r>
      <w:r w:rsidRPr="0072173F">
        <w:rPr>
          <w:rFonts w:ascii="Tahoma" w:hAnsi="Tahoma" w:cs="Tahoma"/>
        </w:rPr>
        <w:t>a efectos de verificar, en aplicación del principio de la condición más beneficiosa,</w:t>
      </w:r>
      <w:r w:rsidR="00CE5C14" w:rsidRPr="0072173F">
        <w:rPr>
          <w:rFonts w:ascii="Tahoma" w:hAnsi="Tahoma" w:cs="Tahoma"/>
        </w:rPr>
        <w:t xml:space="preserve"> si cumplía los requisitos para dejar causada la pensión de sobrevivientes. En ese orden ideas, sostuvo que como el trabajador acredita más de las 300 semanas exigidas en el Acuerdo 049 de 1990, era procedente reconocer a sus beneficiarios dicha prestación.</w:t>
      </w:r>
    </w:p>
    <w:p w14:paraId="101F92A6" w14:textId="26499611" w:rsidR="00CE5C14" w:rsidRPr="0072173F" w:rsidRDefault="00CE5C14" w:rsidP="0072173F">
      <w:pPr>
        <w:pStyle w:val="Prrafodelista"/>
        <w:widowControl w:val="0"/>
        <w:autoSpaceDE w:val="0"/>
        <w:autoSpaceDN w:val="0"/>
        <w:adjustRightInd w:val="0"/>
        <w:spacing w:line="276" w:lineRule="auto"/>
        <w:ind w:left="0" w:firstLine="709"/>
        <w:jc w:val="both"/>
        <w:rPr>
          <w:rFonts w:ascii="Tahoma" w:hAnsi="Tahoma" w:cs="Tahoma"/>
        </w:rPr>
      </w:pPr>
    </w:p>
    <w:p w14:paraId="700EC0A5" w14:textId="7014D22E" w:rsidR="00CE5C14" w:rsidRPr="0072173F" w:rsidRDefault="00E12781" w:rsidP="0072173F">
      <w:pPr>
        <w:pStyle w:val="Prrafodelista"/>
        <w:widowControl w:val="0"/>
        <w:autoSpaceDE w:val="0"/>
        <w:autoSpaceDN w:val="0"/>
        <w:adjustRightInd w:val="0"/>
        <w:spacing w:line="276" w:lineRule="auto"/>
        <w:ind w:left="0" w:firstLine="709"/>
        <w:jc w:val="both"/>
        <w:rPr>
          <w:rFonts w:ascii="Tahoma" w:hAnsi="Tahoma" w:cs="Tahoma"/>
        </w:rPr>
      </w:pPr>
      <w:r w:rsidRPr="0072173F">
        <w:rPr>
          <w:rFonts w:ascii="Tahoma" w:hAnsi="Tahoma" w:cs="Tahoma"/>
        </w:rPr>
        <w:t xml:space="preserve">Seguidamente, </w:t>
      </w:r>
      <w:r w:rsidR="000A2A67" w:rsidRPr="0072173F">
        <w:rPr>
          <w:rFonts w:ascii="Tahoma" w:hAnsi="Tahoma" w:cs="Tahoma"/>
        </w:rPr>
        <w:t xml:space="preserve">afirmó que las pruebas arrimadas por la parte demandante permiten concluir que ella convivió </w:t>
      </w:r>
      <w:r w:rsidRPr="0072173F">
        <w:rPr>
          <w:rFonts w:ascii="Tahoma" w:hAnsi="Tahoma" w:cs="Tahoma"/>
        </w:rPr>
        <w:t xml:space="preserve">ininterrumpidamente con el causante desde el momento de su matrimonio hasta la fecha del deceso de aquel, lo que a todas luces la hacía acreedora le la prestación reclamada en calidad de cónyuge supérstite, a partir del 18 de marzo de 2002. Pese a lo anterior, refirió que como la actora presentó la reclamación administrativa el </w:t>
      </w:r>
      <w:r w:rsidR="008612A4" w:rsidRPr="0072173F">
        <w:rPr>
          <w:rFonts w:ascii="Tahoma" w:hAnsi="Tahoma" w:cs="Tahoma"/>
        </w:rPr>
        <w:t xml:space="preserve">2 de marzo de 2018, </w:t>
      </w:r>
      <w:r w:rsidR="00422C5D" w:rsidRPr="0072173F">
        <w:rPr>
          <w:rFonts w:ascii="Tahoma" w:hAnsi="Tahoma" w:cs="Tahoma"/>
        </w:rPr>
        <w:t>las mesadas causadas</w:t>
      </w:r>
      <w:r w:rsidR="008612A4" w:rsidRPr="0072173F">
        <w:rPr>
          <w:rFonts w:ascii="Tahoma" w:hAnsi="Tahoma" w:cs="Tahoma"/>
        </w:rPr>
        <w:t xml:space="preserve"> con anterioridad al 2 de marzo de 2015 prescribieron, por lo cual el retroactivo -al 30 de septiembre de 2020- ascendía a la suma de $58.944.171</w:t>
      </w:r>
      <w:r w:rsidR="00D7280E" w:rsidRPr="0072173F">
        <w:rPr>
          <w:rFonts w:ascii="Tahoma" w:hAnsi="Tahoma" w:cs="Tahoma"/>
        </w:rPr>
        <w:t>, suma respecto de la cual debían efectuarse los descuentos por concepto de salud y que debía ser indexada en razón a la devaluación de la moneda.</w:t>
      </w:r>
    </w:p>
    <w:p w14:paraId="24670EF8" w14:textId="77777777" w:rsidR="00942A20" w:rsidRPr="0072173F" w:rsidRDefault="00942A20" w:rsidP="0072173F">
      <w:pPr>
        <w:widowControl w:val="0"/>
        <w:autoSpaceDE w:val="0"/>
        <w:autoSpaceDN w:val="0"/>
        <w:adjustRightInd w:val="0"/>
        <w:spacing w:line="276" w:lineRule="auto"/>
        <w:ind w:firstLine="708"/>
        <w:jc w:val="both"/>
        <w:rPr>
          <w:rFonts w:ascii="Tahoma" w:hAnsi="Tahoma" w:cs="Tahoma"/>
        </w:rPr>
      </w:pPr>
    </w:p>
    <w:p w14:paraId="20B617D6" w14:textId="4BE0DB86" w:rsidR="004F2069" w:rsidRPr="0072173F" w:rsidRDefault="00CA6548" w:rsidP="0072173F">
      <w:pPr>
        <w:pStyle w:val="Prrafodelista"/>
        <w:numPr>
          <w:ilvl w:val="0"/>
          <w:numId w:val="43"/>
        </w:numPr>
        <w:spacing w:line="276" w:lineRule="auto"/>
        <w:jc w:val="center"/>
        <w:rPr>
          <w:rFonts w:ascii="Tahoma" w:hAnsi="Tahoma" w:cs="Tahoma"/>
          <w:b/>
        </w:rPr>
      </w:pPr>
      <w:r w:rsidRPr="0072173F">
        <w:rPr>
          <w:rFonts w:ascii="Tahoma" w:hAnsi="Tahoma" w:cs="Tahoma"/>
          <w:b/>
        </w:rPr>
        <w:t xml:space="preserve"> </w:t>
      </w:r>
      <w:r w:rsidR="005B1462" w:rsidRPr="0072173F">
        <w:rPr>
          <w:rFonts w:ascii="Tahoma" w:hAnsi="Tahoma" w:cs="Tahoma"/>
          <w:b/>
        </w:rPr>
        <w:t>Recurso de apelación</w:t>
      </w:r>
      <w:r w:rsidR="00D7280E" w:rsidRPr="0072173F">
        <w:rPr>
          <w:rFonts w:ascii="Tahoma" w:hAnsi="Tahoma" w:cs="Tahoma"/>
          <w:b/>
        </w:rPr>
        <w:t xml:space="preserve"> y procedencia de la consulta</w:t>
      </w:r>
    </w:p>
    <w:p w14:paraId="04BD3B1F" w14:textId="2C361370" w:rsidR="00A9473B" w:rsidRPr="0072173F" w:rsidRDefault="00A9473B" w:rsidP="0072173F">
      <w:pPr>
        <w:pStyle w:val="Prrafodelista"/>
        <w:spacing w:line="276" w:lineRule="auto"/>
        <w:ind w:left="1080"/>
        <w:rPr>
          <w:rFonts w:ascii="Tahoma" w:hAnsi="Tahoma" w:cs="Tahoma"/>
        </w:rPr>
      </w:pPr>
    </w:p>
    <w:p w14:paraId="479E7162" w14:textId="77777777" w:rsidR="001B50A0" w:rsidRPr="0072173F" w:rsidRDefault="00CC2E6E" w:rsidP="0072173F">
      <w:pPr>
        <w:pStyle w:val="Prrafodelista"/>
        <w:spacing w:line="276" w:lineRule="auto"/>
        <w:ind w:left="0" w:firstLine="709"/>
        <w:jc w:val="both"/>
        <w:rPr>
          <w:rFonts w:ascii="Tahoma" w:hAnsi="Tahoma" w:cs="Tahoma"/>
        </w:rPr>
      </w:pPr>
      <w:r w:rsidRPr="0072173F">
        <w:rPr>
          <w:rFonts w:ascii="Tahoma" w:hAnsi="Tahoma" w:cs="Tahoma"/>
        </w:rPr>
        <w:t>El</w:t>
      </w:r>
      <w:r w:rsidR="005B1462" w:rsidRPr="0072173F">
        <w:rPr>
          <w:rFonts w:ascii="Tahoma" w:hAnsi="Tahoma" w:cs="Tahoma"/>
        </w:rPr>
        <w:t xml:space="preserve"> apoderad</w:t>
      </w:r>
      <w:r w:rsidRPr="0072173F">
        <w:rPr>
          <w:rFonts w:ascii="Tahoma" w:hAnsi="Tahoma" w:cs="Tahoma"/>
        </w:rPr>
        <w:t>o</w:t>
      </w:r>
      <w:r w:rsidR="005B1462" w:rsidRPr="0072173F">
        <w:rPr>
          <w:rFonts w:ascii="Tahoma" w:hAnsi="Tahoma" w:cs="Tahoma"/>
        </w:rPr>
        <w:t xml:space="preserve"> judicial de </w:t>
      </w:r>
      <w:r w:rsidRPr="0072173F">
        <w:rPr>
          <w:rFonts w:ascii="Tahoma" w:hAnsi="Tahoma" w:cs="Tahoma"/>
        </w:rPr>
        <w:t>Colpensiones</w:t>
      </w:r>
      <w:r w:rsidR="005B1462" w:rsidRPr="0072173F">
        <w:rPr>
          <w:rFonts w:ascii="Tahoma" w:hAnsi="Tahoma" w:cs="Tahoma"/>
        </w:rPr>
        <w:t xml:space="preserve"> atacó el fallo arguyendo que</w:t>
      </w:r>
      <w:r w:rsidR="00D7280E" w:rsidRPr="0072173F">
        <w:rPr>
          <w:rFonts w:ascii="Tahoma" w:hAnsi="Tahoma" w:cs="Tahoma"/>
        </w:rPr>
        <w:t xml:space="preserve"> </w:t>
      </w:r>
      <w:r w:rsidR="00B37109" w:rsidRPr="0072173F">
        <w:rPr>
          <w:rFonts w:ascii="Tahoma" w:hAnsi="Tahoma" w:cs="Tahoma"/>
        </w:rPr>
        <w:t>deb</w:t>
      </w:r>
      <w:r w:rsidR="00D7280E" w:rsidRPr="0072173F">
        <w:rPr>
          <w:rFonts w:ascii="Tahoma" w:hAnsi="Tahoma" w:cs="Tahoma"/>
        </w:rPr>
        <w:t>ía</w:t>
      </w:r>
      <w:r w:rsidR="00B37109" w:rsidRPr="0072173F">
        <w:rPr>
          <w:rFonts w:ascii="Tahoma" w:hAnsi="Tahoma" w:cs="Tahoma"/>
        </w:rPr>
        <w:t xml:space="preserve"> estudi</w:t>
      </w:r>
      <w:r w:rsidR="00D7280E" w:rsidRPr="0072173F">
        <w:rPr>
          <w:rFonts w:ascii="Tahoma" w:hAnsi="Tahoma" w:cs="Tahoma"/>
        </w:rPr>
        <w:t>arse más a profundidad el requisit</w:t>
      </w:r>
      <w:r w:rsidR="00B37109" w:rsidRPr="0072173F">
        <w:rPr>
          <w:rFonts w:ascii="Tahoma" w:hAnsi="Tahoma" w:cs="Tahoma"/>
        </w:rPr>
        <w:t xml:space="preserve">o </w:t>
      </w:r>
      <w:r w:rsidR="00D7280E" w:rsidRPr="0072173F">
        <w:rPr>
          <w:rFonts w:ascii="Tahoma" w:hAnsi="Tahoma" w:cs="Tahoma"/>
        </w:rPr>
        <w:t>de</w:t>
      </w:r>
      <w:r w:rsidR="001B50A0" w:rsidRPr="0072173F">
        <w:rPr>
          <w:rFonts w:ascii="Tahoma" w:hAnsi="Tahoma" w:cs="Tahoma"/>
        </w:rPr>
        <w:t xml:space="preserve"> cinco años de convivencia</w:t>
      </w:r>
      <w:r w:rsidR="00D7280E" w:rsidRPr="0072173F">
        <w:rPr>
          <w:rFonts w:ascii="Tahoma" w:hAnsi="Tahoma" w:cs="Tahoma"/>
        </w:rPr>
        <w:t xml:space="preserve"> por cuanto</w:t>
      </w:r>
      <w:r w:rsidR="000B5893" w:rsidRPr="0072173F">
        <w:rPr>
          <w:rFonts w:ascii="Tahoma" w:hAnsi="Tahoma" w:cs="Tahoma"/>
        </w:rPr>
        <w:t>,</w:t>
      </w:r>
      <w:r w:rsidR="00B37109" w:rsidRPr="0072173F">
        <w:rPr>
          <w:rFonts w:ascii="Tahoma" w:hAnsi="Tahoma" w:cs="Tahoma"/>
        </w:rPr>
        <w:t xml:space="preserve"> si bien existen unas declaraciones extrajudiciales dentro del mismo proceso, </w:t>
      </w:r>
      <w:r w:rsidR="00D7280E" w:rsidRPr="0072173F">
        <w:rPr>
          <w:rFonts w:ascii="Tahoma" w:hAnsi="Tahoma" w:cs="Tahoma"/>
        </w:rPr>
        <w:t>ellas</w:t>
      </w:r>
      <w:r w:rsidR="00B37109" w:rsidRPr="0072173F">
        <w:rPr>
          <w:rFonts w:ascii="Tahoma" w:hAnsi="Tahoma" w:cs="Tahoma"/>
        </w:rPr>
        <w:t xml:space="preserve"> no fueron ratificad</w:t>
      </w:r>
      <w:r w:rsidR="00D7280E" w:rsidRPr="0072173F">
        <w:rPr>
          <w:rFonts w:ascii="Tahoma" w:hAnsi="Tahoma" w:cs="Tahoma"/>
        </w:rPr>
        <w:t xml:space="preserve">as. Por otra parte, los testimonios recaudados en el trámite procesal ofrecen </w:t>
      </w:r>
      <w:r w:rsidR="0065510C" w:rsidRPr="0072173F">
        <w:rPr>
          <w:rFonts w:ascii="Tahoma" w:hAnsi="Tahoma" w:cs="Tahoma"/>
        </w:rPr>
        <w:t xml:space="preserve">dudas </w:t>
      </w:r>
      <w:r w:rsidR="001B50A0" w:rsidRPr="0072173F">
        <w:rPr>
          <w:rFonts w:ascii="Tahoma" w:hAnsi="Tahoma" w:cs="Tahoma"/>
        </w:rPr>
        <w:t xml:space="preserve">al </w:t>
      </w:r>
      <w:r w:rsidR="0065510C" w:rsidRPr="0072173F">
        <w:rPr>
          <w:rFonts w:ascii="Tahoma" w:hAnsi="Tahoma" w:cs="Tahoma"/>
        </w:rPr>
        <w:t xml:space="preserve">respecto, </w:t>
      </w:r>
      <w:r w:rsidR="001B50A0" w:rsidRPr="0072173F">
        <w:rPr>
          <w:rFonts w:ascii="Tahoma" w:hAnsi="Tahoma" w:cs="Tahoma"/>
        </w:rPr>
        <w:t xml:space="preserve">sin que se logre </w:t>
      </w:r>
      <w:r w:rsidR="0065510C" w:rsidRPr="0072173F">
        <w:rPr>
          <w:rFonts w:ascii="Tahoma" w:hAnsi="Tahoma" w:cs="Tahoma"/>
        </w:rPr>
        <w:t>demostrar e</w:t>
      </w:r>
      <w:r w:rsidR="001B50A0" w:rsidRPr="0072173F">
        <w:rPr>
          <w:rFonts w:ascii="Tahoma" w:hAnsi="Tahoma" w:cs="Tahoma"/>
        </w:rPr>
        <w:t>l aludido periodo, dado</w:t>
      </w:r>
      <w:r w:rsidR="0065510C" w:rsidRPr="0072173F">
        <w:rPr>
          <w:rFonts w:ascii="Tahoma" w:hAnsi="Tahoma" w:cs="Tahoma"/>
        </w:rPr>
        <w:t xml:space="preserve"> </w:t>
      </w:r>
      <w:r w:rsidR="001B50A0" w:rsidRPr="0072173F">
        <w:rPr>
          <w:rFonts w:ascii="Tahoma" w:hAnsi="Tahoma" w:cs="Tahoma"/>
        </w:rPr>
        <w:t xml:space="preserve">que </w:t>
      </w:r>
      <w:r w:rsidR="0065510C" w:rsidRPr="0072173F">
        <w:rPr>
          <w:rFonts w:ascii="Tahoma" w:hAnsi="Tahoma" w:cs="Tahoma"/>
        </w:rPr>
        <w:t>el causante constantemente tenía unos desplazamientos</w:t>
      </w:r>
      <w:r w:rsidR="001B50A0" w:rsidRPr="0072173F">
        <w:rPr>
          <w:rFonts w:ascii="Tahoma" w:hAnsi="Tahoma" w:cs="Tahoma"/>
        </w:rPr>
        <w:t xml:space="preserve">, por lo que no permanecía </w:t>
      </w:r>
      <w:r w:rsidR="0065510C" w:rsidRPr="0072173F">
        <w:rPr>
          <w:rFonts w:ascii="Tahoma" w:hAnsi="Tahoma" w:cs="Tahoma"/>
        </w:rPr>
        <w:t xml:space="preserve">en el territorio donde estaba ubicada su residencia. </w:t>
      </w:r>
    </w:p>
    <w:p w14:paraId="3FE99A43" w14:textId="77777777" w:rsidR="0065510C" w:rsidRPr="0072173F" w:rsidRDefault="0065510C" w:rsidP="0072173F">
      <w:pPr>
        <w:pStyle w:val="Prrafodelista"/>
        <w:spacing w:line="276" w:lineRule="auto"/>
        <w:ind w:left="0" w:firstLine="709"/>
        <w:jc w:val="both"/>
        <w:rPr>
          <w:rFonts w:ascii="Tahoma" w:hAnsi="Tahoma" w:cs="Tahoma"/>
        </w:rPr>
      </w:pPr>
    </w:p>
    <w:p w14:paraId="05BCFF2A" w14:textId="09A2FC39" w:rsidR="001B50A0" w:rsidRPr="0072173F" w:rsidRDefault="001B50A0" w:rsidP="0072173F">
      <w:pPr>
        <w:pStyle w:val="Prrafodelista"/>
        <w:spacing w:line="276" w:lineRule="auto"/>
        <w:ind w:left="0" w:firstLine="709"/>
        <w:jc w:val="both"/>
        <w:rPr>
          <w:rFonts w:ascii="Tahoma" w:hAnsi="Tahoma" w:cs="Tahoma"/>
        </w:rPr>
      </w:pPr>
      <w:r w:rsidRPr="0072173F">
        <w:rPr>
          <w:rFonts w:ascii="Tahoma" w:hAnsi="Tahoma" w:cs="Tahoma"/>
        </w:rPr>
        <w:t>Agregó que la entidad ha actuado de buena fe, pues ha atendido oportunamente las reclamaciones presentadas por la demandante y ha aplicado los preceptos legales que rigen las solicitudes de reconocimiento de pensión de sobrevivientes.</w:t>
      </w:r>
    </w:p>
    <w:p w14:paraId="4CB2D2B9" w14:textId="034AF002" w:rsidR="00B1033F" w:rsidRPr="0072173F" w:rsidRDefault="00B1033F" w:rsidP="0072173F">
      <w:pPr>
        <w:pStyle w:val="Prrafodelista"/>
        <w:spacing w:line="276" w:lineRule="auto"/>
        <w:ind w:left="0" w:firstLine="709"/>
        <w:jc w:val="both"/>
        <w:rPr>
          <w:rFonts w:ascii="Tahoma" w:hAnsi="Tahoma" w:cs="Tahoma"/>
        </w:rPr>
      </w:pPr>
    </w:p>
    <w:p w14:paraId="5EBEF0A9" w14:textId="77777777" w:rsidR="00B1033F" w:rsidRPr="0072173F" w:rsidRDefault="00B1033F" w:rsidP="0072173F">
      <w:pPr>
        <w:pStyle w:val="Prrafodelista"/>
        <w:spacing w:line="276" w:lineRule="auto"/>
        <w:ind w:left="0" w:firstLine="709"/>
        <w:jc w:val="both"/>
        <w:rPr>
          <w:rFonts w:ascii="Tahoma" w:hAnsi="Tahoma" w:cs="Tahoma"/>
        </w:rPr>
      </w:pPr>
      <w:r w:rsidRPr="0072173F">
        <w:rPr>
          <w:rFonts w:ascii="Tahoma" w:hAnsi="Tahoma" w:cs="Tahoma"/>
        </w:rPr>
        <w:t xml:space="preserve">Por otra parte, conforme lo tiene establecido el artículo 69 del Código Procesal del Trabajo y la seguridad social, dado que la decisión de primera instancia fue adversa a Colpensiones se dispuso su revisión íntegra en sede jurisdiccional de consulta. </w:t>
      </w:r>
    </w:p>
    <w:p w14:paraId="521E7F0A" w14:textId="77777777" w:rsidR="00121CF9" w:rsidRPr="0072173F" w:rsidRDefault="00121CF9" w:rsidP="0072173F">
      <w:pPr>
        <w:pStyle w:val="Prrafodelista"/>
        <w:spacing w:line="276" w:lineRule="auto"/>
        <w:ind w:left="0" w:firstLine="709"/>
        <w:jc w:val="both"/>
        <w:rPr>
          <w:rFonts w:ascii="Tahoma" w:hAnsi="Tahoma" w:cs="Tahoma"/>
        </w:rPr>
      </w:pPr>
    </w:p>
    <w:p w14:paraId="64295F2D" w14:textId="77777777" w:rsidR="00D51494" w:rsidRPr="0072173F" w:rsidRDefault="00D51494" w:rsidP="0072173F">
      <w:pPr>
        <w:pStyle w:val="Prrafodelista"/>
        <w:numPr>
          <w:ilvl w:val="0"/>
          <w:numId w:val="43"/>
        </w:numPr>
        <w:tabs>
          <w:tab w:val="left" w:pos="284"/>
        </w:tabs>
        <w:spacing w:line="276" w:lineRule="auto"/>
        <w:ind w:left="0" w:firstLine="0"/>
        <w:jc w:val="center"/>
        <w:rPr>
          <w:rFonts w:ascii="Tahoma" w:hAnsi="Tahoma" w:cs="Tahoma"/>
          <w:b/>
        </w:rPr>
      </w:pPr>
      <w:r w:rsidRPr="0072173F">
        <w:rPr>
          <w:rStyle w:val="normaltextrun"/>
          <w:rFonts w:ascii="Tahoma" w:hAnsi="Tahoma" w:cs="Tahoma"/>
          <w:b/>
          <w:bCs/>
        </w:rPr>
        <w:t>Alegatos de Conclusión/Concepto del Ministerio Público</w:t>
      </w:r>
    </w:p>
    <w:p w14:paraId="22352B26" w14:textId="6878888C" w:rsidR="00D51494" w:rsidRPr="0072173F" w:rsidRDefault="000B5893" w:rsidP="0072173F">
      <w:pPr>
        <w:pStyle w:val="paragraph"/>
        <w:spacing w:before="0" w:beforeAutospacing="0" w:after="0" w:afterAutospacing="0" w:line="276" w:lineRule="auto"/>
        <w:jc w:val="center"/>
        <w:textAlignment w:val="baseline"/>
        <w:rPr>
          <w:rFonts w:ascii="Tahoma" w:hAnsi="Tahoma" w:cs="Tahoma"/>
        </w:rPr>
      </w:pPr>
      <w:r w:rsidRPr="0072173F">
        <w:rPr>
          <w:rStyle w:val="eop"/>
          <w:rFonts w:ascii="Tahoma" w:hAnsi="Tahoma" w:cs="Tahoma"/>
        </w:rPr>
        <w:t xml:space="preserve"> </w:t>
      </w:r>
      <w:r w:rsidR="00D51494" w:rsidRPr="0072173F">
        <w:rPr>
          <w:rStyle w:val="eop"/>
          <w:rFonts w:ascii="Tahoma" w:hAnsi="Tahoma" w:cs="Tahoma"/>
        </w:rPr>
        <w:t> </w:t>
      </w:r>
    </w:p>
    <w:p w14:paraId="59DF025D" w14:textId="77777777" w:rsidR="001B50A0" w:rsidRPr="0072173F" w:rsidRDefault="001B50A0" w:rsidP="0072173F">
      <w:pPr>
        <w:spacing w:line="276" w:lineRule="auto"/>
        <w:ind w:firstLine="708"/>
        <w:jc w:val="both"/>
        <w:rPr>
          <w:rStyle w:val="normaltextrun"/>
          <w:rFonts w:ascii="Tahoma" w:hAnsi="Tahoma" w:cs="Tahoma"/>
        </w:rPr>
      </w:pPr>
      <w:r w:rsidRPr="0072173F">
        <w:rPr>
          <w:rStyle w:val="normaltextrun"/>
          <w:rFonts w:ascii="Tahoma" w:hAnsi="Tahoma" w:cs="Tahoma"/>
        </w:rPr>
        <w:t xml:space="preserve">Analizados los alegatos presentados por las partes, y el concepto del Ministerio Público,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p>
    <w:p w14:paraId="5FFF7045" w14:textId="77777777" w:rsidR="00D51494" w:rsidRPr="0072173F" w:rsidRDefault="00D51494" w:rsidP="0072173F">
      <w:pPr>
        <w:widowControl w:val="0"/>
        <w:autoSpaceDE w:val="0"/>
        <w:autoSpaceDN w:val="0"/>
        <w:adjustRightInd w:val="0"/>
        <w:spacing w:line="276" w:lineRule="auto"/>
        <w:ind w:left="1080"/>
        <w:rPr>
          <w:rFonts w:ascii="Tahoma" w:hAnsi="Tahoma" w:cs="Tahoma"/>
          <w:b/>
        </w:rPr>
      </w:pPr>
    </w:p>
    <w:p w14:paraId="6582FEE0" w14:textId="77777777" w:rsidR="00D51494" w:rsidRPr="0072173F" w:rsidRDefault="00D51494" w:rsidP="0072173F">
      <w:pPr>
        <w:pStyle w:val="Prrafodelista"/>
        <w:widowControl w:val="0"/>
        <w:numPr>
          <w:ilvl w:val="0"/>
          <w:numId w:val="43"/>
        </w:numPr>
        <w:autoSpaceDE w:val="0"/>
        <w:autoSpaceDN w:val="0"/>
        <w:adjustRightInd w:val="0"/>
        <w:spacing w:line="276" w:lineRule="auto"/>
        <w:jc w:val="center"/>
        <w:rPr>
          <w:rFonts w:ascii="Tahoma" w:hAnsi="Tahoma" w:cs="Tahoma"/>
          <w:b/>
        </w:rPr>
      </w:pPr>
      <w:r w:rsidRPr="0072173F">
        <w:rPr>
          <w:rFonts w:ascii="Tahoma" w:hAnsi="Tahoma" w:cs="Tahoma"/>
          <w:b/>
        </w:rPr>
        <w:t>Problema jurídico por resolver</w:t>
      </w:r>
    </w:p>
    <w:p w14:paraId="6D78C238" w14:textId="77777777" w:rsidR="00D51494" w:rsidRPr="0072173F" w:rsidRDefault="00D51494" w:rsidP="0072173F">
      <w:pPr>
        <w:pStyle w:val="Sinespaciado"/>
        <w:spacing w:line="276" w:lineRule="auto"/>
        <w:ind w:left="1080"/>
        <w:rPr>
          <w:rFonts w:ascii="Tahoma" w:hAnsi="Tahoma" w:cs="Tahoma"/>
        </w:rPr>
      </w:pPr>
    </w:p>
    <w:p w14:paraId="55AA03B0" w14:textId="72A1B8F5" w:rsidR="00385C0B" w:rsidRPr="0072173F" w:rsidRDefault="00385C0B" w:rsidP="0072173F">
      <w:pPr>
        <w:spacing w:line="276" w:lineRule="auto"/>
        <w:ind w:firstLine="708"/>
        <w:jc w:val="both"/>
        <w:rPr>
          <w:rFonts w:ascii="Tahoma" w:hAnsi="Tahoma" w:cs="Tahoma"/>
        </w:rPr>
      </w:pPr>
      <w:r w:rsidRPr="0072173F">
        <w:rPr>
          <w:rFonts w:ascii="Tahoma" w:hAnsi="Tahoma" w:cs="Tahoma"/>
        </w:rPr>
        <w:t xml:space="preserve">De acuerdo a los argumentos expuestos en la sentencia de primera instancia, le corresponde a la Sala determinar si el señor </w:t>
      </w:r>
      <w:r w:rsidR="00B35570" w:rsidRPr="0072173F">
        <w:rPr>
          <w:rFonts w:ascii="Tahoma" w:hAnsi="Tahoma" w:cs="Tahoma"/>
        </w:rPr>
        <w:t xml:space="preserve">Pedro </w:t>
      </w:r>
      <w:r w:rsidR="00422C5D" w:rsidRPr="0072173F">
        <w:rPr>
          <w:rFonts w:ascii="Tahoma" w:hAnsi="Tahoma" w:cs="Tahoma"/>
        </w:rPr>
        <w:t>Rodrigo</w:t>
      </w:r>
      <w:r w:rsidR="00B35570" w:rsidRPr="0072173F">
        <w:rPr>
          <w:rFonts w:ascii="Tahoma" w:hAnsi="Tahoma" w:cs="Tahoma"/>
        </w:rPr>
        <w:t xml:space="preserve"> Otálvaro Colorado </w:t>
      </w:r>
      <w:r w:rsidRPr="0072173F">
        <w:rPr>
          <w:rFonts w:ascii="Tahoma" w:hAnsi="Tahoma" w:cs="Tahoma"/>
        </w:rPr>
        <w:t xml:space="preserve">dejó causado el derecho a la pensión de sobrevivientes en virtud del principio de la condición más beneficiosa y, en caso afirmativo, si la señora María </w:t>
      </w:r>
      <w:proofErr w:type="spellStart"/>
      <w:r w:rsidR="00B35570" w:rsidRPr="0072173F">
        <w:rPr>
          <w:rFonts w:ascii="Tahoma" w:hAnsi="Tahoma" w:cs="Tahoma"/>
        </w:rPr>
        <w:t>Ludivia</w:t>
      </w:r>
      <w:proofErr w:type="spellEnd"/>
      <w:r w:rsidR="00B35570" w:rsidRPr="0072173F">
        <w:rPr>
          <w:rFonts w:ascii="Tahoma" w:hAnsi="Tahoma" w:cs="Tahoma"/>
        </w:rPr>
        <w:t xml:space="preserve"> Gutiérrez </w:t>
      </w:r>
      <w:r w:rsidRPr="0072173F">
        <w:rPr>
          <w:rFonts w:ascii="Tahoma" w:hAnsi="Tahoma" w:cs="Tahoma"/>
        </w:rPr>
        <w:t>ostenta la calidad de beneficiaria de dicha prestación.</w:t>
      </w:r>
    </w:p>
    <w:p w14:paraId="765C6381" w14:textId="77777777" w:rsidR="00385C0B" w:rsidRPr="0072173F" w:rsidRDefault="00385C0B" w:rsidP="0072173F">
      <w:pPr>
        <w:spacing w:line="276" w:lineRule="auto"/>
        <w:ind w:firstLine="708"/>
        <w:jc w:val="both"/>
        <w:rPr>
          <w:rFonts w:ascii="Tahoma" w:hAnsi="Tahoma" w:cs="Tahoma"/>
        </w:rPr>
      </w:pPr>
    </w:p>
    <w:p w14:paraId="516253A2" w14:textId="77777777" w:rsidR="00385C0B" w:rsidRPr="0072173F" w:rsidRDefault="00385C0B" w:rsidP="0072173F">
      <w:pPr>
        <w:pStyle w:val="Prrafodelista"/>
        <w:widowControl w:val="0"/>
        <w:numPr>
          <w:ilvl w:val="0"/>
          <w:numId w:val="44"/>
        </w:numPr>
        <w:autoSpaceDE w:val="0"/>
        <w:autoSpaceDN w:val="0"/>
        <w:adjustRightInd w:val="0"/>
        <w:spacing w:line="276" w:lineRule="auto"/>
        <w:jc w:val="center"/>
        <w:rPr>
          <w:rFonts w:ascii="Tahoma" w:hAnsi="Tahoma" w:cs="Tahoma"/>
          <w:b/>
        </w:rPr>
      </w:pPr>
      <w:r w:rsidRPr="0072173F">
        <w:rPr>
          <w:rFonts w:ascii="Tahoma" w:hAnsi="Tahoma" w:cs="Tahoma"/>
          <w:b/>
        </w:rPr>
        <w:t>Consideraciones</w:t>
      </w:r>
    </w:p>
    <w:p w14:paraId="442F4CC9" w14:textId="77777777" w:rsidR="00385C0B" w:rsidRPr="0072173F" w:rsidRDefault="00385C0B" w:rsidP="0072173F">
      <w:pPr>
        <w:widowControl w:val="0"/>
        <w:autoSpaceDE w:val="0"/>
        <w:autoSpaceDN w:val="0"/>
        <w:adjustRightInd w:val="0"/>
        <w:spacing w:line="276" w:lineRule="auto"/>
        <w:ind w:left="1080"/>
        <w:rPr>
          <w:rFonts w:ascii="Tahoma" w:hAnsi="Tahoma" w:cs="Tahoma"/>
          <w:b/>
        </w:rPr>
      </w:pPr>
    </w:p>
    <w:p w14:paraId="65A19A2D" w14:textId="77777777" w:rsidR="00385C0B" w:rsidRPr="0072173F" w:rsidRDefault="00385C0B" w:rsidP="0072173F">
      <w:pPr>
        <w:pStyle w:val="Textoindependiente"/>
        <w:numPr>
          <w:ilvl w:val="1"/>
          <w:numId w:val="44"/>
        </w:numPr>
        <w:spacing w:after="0" w:line="276" w:lineRule="auto"/>
        <w:ind w:right="51"/>
        <w:jc w:val="both"/>
        <w:rPr>
          <w:rFonts w:ascii="Tahoma" w:hAnsi="Tahoma" w:cs="Tahoma"/>
          <w:b/>
        </w:rPr>
      </w:pPr>
      <w:r w:rsidRPr="0072173F">
        <w:rPr>
          <w:rFonts w:ascii="Tahoma" w:hAnsi="Tahoma" w:cs="Tahoma"/>
          <w:b/>
        </w:rPr>
        <w:t>Supuestos fácticos probados</w:t>
      </w:r>
    </w:p>
    <w:p w14:paraId="03A4A46A" w14:textId="77777777" w:rsidR="00385C0B" w:rsidRPr="0072173F" w:rsidRDefault="00385C0B" w:rsidP="0072173F">
      <w:pPr>
        <w:pStyle w:val="Textoindependiente"/>
        <w:spacing w:after="0" w:line="276" w:lineRule="auto"/>
        <w:ind w:left="1080" w:right="51"/>
        <w:jc w:val="both"/>
        <w:rPr>
          <w:rFonts w:ascii="Tahoma" w:hAnsi="Tahoma" w:cs="Tahoma"/>
          <w:b/>
        </w:rPr>
      </w:pPr>
    </w:p>
    <w:p w14:paraId="5E4437D8" w14:textId="11A90359" w:rsidR="00385C0B" w:rsidRPr="0072173F" w:rsidRDefault="00385C0B"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 xml:space="preserve">No existe discusión alguna en el caso de marras respecto a los siguientes supuestos fácticos: </w:t>
      </w:r>
      <w:r w:rsidRPr="0072173F">
        <w:rPr>
          <w:rFonts w:ascii="Tahoma" w:hAnsi="Tahoma" w:cs="Tahoma"/>
          <w:i/>
        </w:rPr>
        <w:t>i)</w:t>
      </w:r>
      <w:r w:rsidRPr="0072173F">
        <w:rPr>
          <w:rFonts w:ascii="Tahoma" w:hAnsi="Tahoma" w:cs="Tahoma"/>
        </w:rPr>
        <w:t xml:space="preserve"> que el señor </w:t>
      </w:r>
      <w:r w:rsidR="00B35570" w:rsidRPr="0072173F">
        <w:rPr>
          <w:rFonts w:ascii="Tahoma" w:hAnsi="Tahoma" w:cs="Tahoma"/>
        </w:rPr>
        <w:t xml:space="preserve">Pedro Otálvaro Colorado </w:t>
      </w:r>
      <w:r w:rsidRPr="0072173F">
        <w:rPr>
          <w:rFonts w:ascii="Tahoma" w:hAnsi="Tahoma" w:cs="Tahoma"/>
        </w:rPr>
        <w:t xml:space="preserve">falleció el </w:t>
      </w:r>
      <w:r w:rsidR="00B35570" w:rsidRPr="0072173F">
        <w:rPr>
          <w:rFonts w:ascii="Tahoma" w:hAnsi="Tahoma" w:cs="Tahoma"/>
        </w:rPr>
        <w:t>18</w:t>
      </w:r>
      <w:r w:rsidRPr="0072173F">
        <w:rPr>
          <w:rFonts w:ascii="Tahoma" w:hAnsi="Tahoma" w:cs="Tahoma"/>
        </w:rPr>
        <w:t xml:space="preserve"> de </w:t>
      </w:r>
      <w:r w:rsidR="00B35570" w:rsidRPr="0072173F">
        <w:rPr>
          <w:rFonts w:ascii="Tahoma" w:hAnsi="Tahoma" w:cs="Tahoma"/>
        </w:rPr>
        <w:t xml:space="preserve">marzo de 2002 </w:t>
      </w:r>
      <w:r w:rsidRPr="0072173F">
        <w:rPr>
          <w:rFonts w:ascii="Tahoma" w:hAnsi="Tahoma" w:cs="Tahoma"/>
        </w:rPr>
        <w:t>(</w:t>
      </w:r>
      <w:proofErr w:type="spellStart"/>
      <w:r w:rsidRPr="0072173F">
        <w:rPr>
          <w:rFonts w:ascii="Tahoma" w:hAnsi="Tahoma" w:cs="Tahoma"/>
        </w:rPr>
        <w:t>fl</w:t>
      </w:r>
      <w:proofErr w:type="spellEnd"/>
      <w:r w:rsidRPr="0072173F">
        <w:rPr>
          <w:rFonts w:ascii="Tahoma" w:hAnsi="Tahoma" w:cs="Tahoma"/>
        </w:rPr>
        <w:t xml:space="preserve">. </w:t>
      </w:r>
      <w:r w:rsidR="00B35570" w:rsidRPr="0072173F">
        <w:rPr>
          <w:rFonts w:ascii="Tahoma" w:hAnsi="Tahoma" w:cs="Tahoma"/>
        </w:rPr>
        <w:t>23</w:t>
      </w:r>
      <w:r w:rsidRPr="0072173F">
        <w:rPr>
          <w:rFonts w:ascii="Tahoma" w:hAnsi="Tahoma" w:cs="Tahoma"/>
        </w:rPr>
        <w:t xml:space="preserve">); </w:t>
      </w:r>
      <w:proofErr w:type="spellStart"/>
      <w:r w:rsidRPr="0072173F">
        <w:rPr>
          <w:rFonts w:ascii="Tahoma" w:hAnsi="Tahoma" w:cs="Tahoma"/>
          <w:i/>
        </w:rPr>
        <w:t>ii</w:t>
      </w:r>
      <w:proofErr w:type="spellEnd"/>
      <w:r w:rsidRPr="0072173F">
        <w:rPr>
          <w:rFonts w:ascii="Tahoma" w:hAnsi="Tahoma" w:cs="Tahoma"/>
          <w:i/>
        </w:rPr>
        <w:t>)</w:t>
      </w:r>
      <w:r w:rsidRPr="0072173F">
        <w:rPr>
          <w:rFonts w:ascii="Tahoma" w:hAnsi="Tahoma" w:cs="Tahoma"/>
        </w:rPr>
        <w:t xml:space="preserve"> que cotizó </w:t>
      </w:r>
      <w:r w:rsidR="00B35570" w:rsidRPr="0072173F">
        <w:rPr>
          <w:rFonts w:ascii="Tahoma" w:hAnsi="Tahoma" w:cs="Tahoma"/>
        </w:rPr>
        <w:t>4</w:t>
      </w:r>
      <w:r w:rsidRPr="0072173F">
        <w:rPr>
          <w:rFonts w:ascii="Tahoma" w:hAnsi="Tahoma" w:cs="Tahoma"/>
        </w:rPr>
        <w:t xml:space="preserve">08,43 semanas en el I.S.S., </w:t>
      </w:r>
      <w:r w:rsidR="00B35570" w:rsidRPr="0072173F">
        <w:rPr>
          <w:rFonts w:ascii="Tahoma" w:hAnsi="Tahoma" w:cs="Tahoma"/>
        </w:rPr>
        <w:t xml:space="preserve">de las cuales </w:t>
      </w:r>
      <w:r w:rsidR="0081600A" w:rsidRPr="0072173F">
        <w:rPr>
          <w:rFonts w:ascii="Tahoma" w:hAnsi="Tahoma" w:cs="Tahoma"/>
        </w:rPr>
        <w:t xml:space="preserve">330 fueron cotizadas antes del </w:t>
      </w:r>
      <w:r w:rsidRPr="0072173F">
        <w:rPr>
          <w:rFonts w:ascii="Tahoma" w:hAnsi="Tahoma" w:cs="Tahoma"/>
        </w:rPr>
        <w:t>1º de abril de 1994 (</w:t>
      </w:r>
      <w:proofErr w:type="spellStart"/>
      <w:r w:rsidRPr="0072173F">
        <w:rPr>
          <w:rFonts w:ascii="Tahoma" w:hAnsi="Tahoma" w:cs="Tahoma"/>
        </w:rPr>
        <w:t>fl</w:t>
      </w:r>
      <w:proofErr w:type="spellEnd"/>
      <w:r w:rsidRPr="0072173F">
        <w:rPr>
          <w:rFonts w:ascii="Tahoma" w:hAnsi="Tahoma" w:cs="Tahoma"/>
        </w:rPr>
        <w:t xml:space="preserve">. </w:t>
      </w:r>
      <w:r w:rsidR="0081600A" w:rsidRPr="0072173F">
        <w:rPr>
          <w:rFonts w:ascii="Tahoma" w:hAnsi="Tahoma" w:cs="Tahoma"/>
        </w:rPr>
        <w:t>32</w:t>
      </w:r>
      <w:r w:rsidRPr="0072173F">
        <w:rPr>
          <w:rFonts w:ascii="Tahoma" w:hAnsi="Tahoma" w:cs="Tahoma"/>
        </w:rPr>
        <w:t xml:space="preserve">) y, </w:t>
      </w:r>
      <w:proofErr w:type="spellStart"/>
      <w:r w:rsidRPr="0072173F">
        <w:rPr>
          <w:rFonts w:ascii="Tahoma" w:hAnsi="Tahoma" w:cs="Tahoma"/>
        </w:rPr>
        <w:t>iii</w:t>
      </w:r>
      <w:proofErr w:type="spellEnd"/>
      <w:r w:rsidRPr="0072173F">
        <w:rPr>
          <w:rFonts w:ascii="Tahoma" w:hAnsi="Tahoma" w:cs="Tahoma"/>
        </w:rPr>
        <w:t xml:space="preserve">) que la demandante solicitó </w:t>
      </w:r>
      <w:r w:rsidR="0081600A" w:rsidRPr="0072173F">
        <w:rPr>
          <w:rFonts w:ascii="Tahoma" w:hAnsi="Tahoma" w:cs="Tahoma"/>
        </w:rPr>
        <w:t xml:space="preserve">la pensión de sobrevivientes </w:t>
      </w:r>
      <w:r w:rsidRPr="0072173F">
        <w:rPr>
          <w:rFonts w:ascii="Tahoma" w:hAnsi="Tahoma" w:cs="Tahoma"/>
        </w:rPr>
        <w:t xml:space="preserve">el </w:t>
      </w:r>
      <w:r w:rsidR="0081600A" w:rsidRPr="0072173F">
        <w:rPr>
          <w:rFonts w:ascii="Tahoma" w:hAnsi="Tahoma" w:cs="Tahoma"/>
        </w:rPr>
        <w:t>2 de marzo de 2018</w:t>
      </w:r>
      <w:r w:rsidR="0081600A" w:rsidRPr="0072173F">
        <w:rPr>
          <w:rStyle w:val="Refdenotaalpie"/>
          <w:rFonts w:ascii="Tahoma" w:hAnsi="Tahoma" w:cs="Tahoma"/>
        </w:rPr>
        <w:footnoteReference w:id="1"/>
      </w:r>
      <w:r w:rsidR="0081600A" w:rsidRPr="0072173F">
        <w:rPr>
          <w:rFonts w:ascii="Tahoma" w:hAnsi="Tahoma" w:cs="Tahoma"/>
        </w:rPr>
        <w:t>.</w:t>
      </w:r>
    </w:p>
    <w:p w14:paraId="7A1F424A" w14:textId="77777777" w:rsidR="00385C0B" w:rsidRPr="0072173F" w:rsidRDefault="00385C0B" w:rsidP="0072173F">
      <w:pPr>
        <w:pStyle w:val="Sinespaciado"/>
        <w:spacing w:line="276" w:lineRule="auto"/>
        <w:rPr>
          <w:rFonts w:ascii="Tahoma" w:hAnsi="Tahoma" w:cs="Tahoma"/>
        </w:rPr>
      </w:pPr>
    </w:p>
    <w:p w14:paraId="1C3F1582" w14:textId="189FED92" w:rsidR="00385C0B" w:rsidRPr="0072173F" w:rsidRDefault="00385C0B"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 xml:space="preserve">Hasta aquí debe decirse que, en principio, la norma aplicable es la vigente para el momento del óbito del señor </w:t>
      </w:r>
      <w:r w:rsidR="00121CF9" w:rsidRPr="0072173F">
        <w:rPr>
          <w:rFonts w:ascii="Tahoma" w:hAnsi="Tahoma" w:cs="Tahoma"/>
        </w:rPr>
        <w:t>Otálvaro</w:t>
      </w:r>
      <w:r w:rsidR="0081600A" w:rsidRPr="0072173F">
        <w:rPr>
          <w:rFonts w:ascii="Tahoma" w:hAnsi="Tahoma" w:cs="Tahoma"/>
        </w:rPr>
        <w:t xml:space="preserve"> Colorado</w:t>
      </w:r>
      <w:r w:rsidRPr="0072173F">
        <w:rPr>
          <w:rFonts w:ascii="Tahoma" w:hAnsi="Tahoma" w:cs="Tahoma"/>
        </w:rPr>
        <w:t>,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14:paraId="3B28E32F" w14:textId="77777777" w:rsidR="00385C0B" w:rsidRPr="0072173F" w:rsidRDefault="00385C0B" w:rsidP="0072173F">
      <w:pPr>
        <w:widowControl w:val="0"/>
        <w:autoSpaceDE w:val="0"/>
        <w:autoSpaceDN w:val="0"/>
        <w:adjustRightInd w:val="0"/>
        <w:spacing w:line="276" w:lineRule="auto"/>
        <w:ind w:firstLine="708"/>
        <w:jc w:val="both"/>
        <w:rPr>
          <w:rFonts w:ascii="Tahoma" w:hAnsi="Tahoma" w:cs="Tahoma"/>
        </w:rPr>
      </w:pPr>
    </w:p>
    <w:p w14:paraId="2AA05C70" w14:textId="77777777" w:rsidR="00385C0B" w:rsidRPr="0072173F" w:rsidRDefault="00385C0B" w:rsidP="0072173F">
      <w:pPr>
        <w:pStyle w:val="Textoindependiente"/>
        <w:numPr>
          <w:ilvl w:val="1"/>
          <w:numId w:val="44"/>
        </w:numPr>
        <w:spacing w:after="0" w:line="276" w:lineRule="auto"/>
        <w:ind w:right="51"/>
        <w:jc w:val="both"/>
        <w:rPr>
          <w:rFonts w:ascii="Tahoma" w:hAnsi="Tahoma" w:cs="Tahoma"/>
          <w:b/>
        </w:rPr>
      </w:pPr>
      <w:r w:rsidRPr="0072173F">
        <w:rPr>
          <w:rFonts w:ascii="Tahoma" w:hAnsi="Tahoma" w:cs="Tahoma"/>
          <w:b/>
        </w:rPr>
        <w:t>Del principio de la condición más beneficiosa</w:t>
      </w:r>
    </w:p>
    <w:p w14:paraId="650710C6" w14:textId="77777777" w:rsidR="00385C0B" w:rsidRPr="0072173F" w:rsidRDefault="00385C0B" w:rsidP="0072173F">
      <w:pPr>
        <w:pStyle w:val="Ttulo"/>
        <w:spacing w:line="276" w:lineRule="auto"/>
        <w:ind w:firstLine="708"/>
        <w:jc w:val="both"/>
        <w:rPr>
          <w:rFonts w:ascii="Tahoma" w:hAnsi="Tahoma" w:cs="Tahoma"/>
          <w:b w:val="0"/>
        </w:rPr>
      </w:pPr>
    </w:p>
    <w:p w14:paraId="5B1B5ED5" w14:textId="77777777" w:rsidR="00385C0B" w:rsidRPr="0072173F" w:rsidRDefault="00385C0B" w:rsidP="0072173F">
      <w:pPr>
        <w:pStyle w:val="Ttulo"/>
        <w:spacing w:line="276" w:lineRule="auto"/>
        <w:ind w:firstLine="708"/>
        <w:jc w:val="both"/>
        <w:rPr>
          <w:rFonts w:ascii="Tahoma" w:hAnsi="Tahoma" w:cs="Tahoma"/>
        </w:rPr>
      </w:pPr>
      <w:r w:rsidRPr="0072173F">
        <w:rPr>
          <w:rFonts w:ascii="Tahoma" w:hAnsi="Tahoma" w:cs="Tahoma"/>
          <w:b w:val="0"/>
        </w:rPr>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72173F">
        <w:rPr>
          <w:rFonts w:ascii="Tahoma" w:hAnsi="Tahoma" w:cs="Tahoma"/>
          <w:b w:val="0"/>
          <w:i/>
        </w:rPr>
        <w:t>“Principio de la condición más beneficiosa</w:t>
      </w:r>
      <w:r w:rsidRPr="0072173F">
        <w:rPr>
          <w:rFonts w:ascii="Tahoma" w:hAnsi="Tahoma" w:cs="Tahoma"/>
          <w:b w:val="0"/>
        </w:rPr>
        <w:t>”.</w:t>
      </w:r>
    </w:p>
    <w:p w14:paraId="44120897" w14:textId="77777777" w:rsidR="00385C0B" w:rsidRPr="0072173F" w:rsidRDefault="00385C0B" w:rsidP="0072173F">
      <w:pPr>
        <w:spacing w:line="276" w:lineRule="auto"/>
        <w:jc w:val="both"/>
        <w:rPr>
          <w:rFonts w:ascii="Tahoma" w:hAnsi="Tahoma" w:cs="Tahoma"/>
        </w:rPr>
      </w:pPr>
    </w:p>
    <w:p w14:paraId="02E06253" w14:textId="6BBF13B2" w:rsidR="00385C0B" w:rsidRPr="0072173F" w:rsidRDefault="00385C0B" w:rsidP="0072173F">
      <w:pPr>
        <w:spacing w:line="276" w:lineRule="auto"/>
        <w:ind w:firstLine="708"/>
        <w:jc w:val="both"/>
        <w:rPr>
          <w:rFonts w:ascii="Tahoma" w:hAnsi="Tahoma" w:cs="Tahoma"/>
          <w:spacing w:val="-2"/>
        </w:rPr>
      </w:pPr>
      <w:r w:rsidRPr="0072173F">
        <w:rPr>
          <w:rFonts w:ascii="Tahoma" w:hAnsi="Tahoma" w:cs="Tahoma"/>
          <w:spacing w:val="-2"/>
        </w:rPr>
        <w:t xml:space="preserve">La Sala de Casación Laboral de la Corte Suprema de Justicia en reiteradas oportunidades acogió este principio, aplicándolo al tránsito del Acuerdo 049 de 1990 a la Ley 100 de 1993, cuando el óbito o el hecho incapacitante, según el caso, se dio en vigencia de la </w:t>
      </w:r>
      <w:r w:rsidR="00B67636" w:rsidRPr="0072173F">
        <w:rPr>
          <w:rFonts w:ascii="Tahoma" w:hAnsi="Tahoma" w:cs="Tahoma"/>
          <w:spacing w:val="-2"/>
        </w:rPr>
        <w:t xml:space="preserve">Ley </w:t>
      </w:r>
      <w:r w:rsidRPr="0072173F">
        <w:rPr>
          <w:rFonts w:ascii="Tahoma" w:hAnsi="Tahoma" w:cs="Tahoma"/>
          <w:spacing w:val="-2"/>
        </w:rPr>
        <w:t>100 original</w:t>
      </w:r>
      <w:r w:rsidR="00B67636">
        <w:rPr>
          <w:rFonts w:ascii="Tahoma" w:hAnsi="Tahoma" w:cs="Tahoma"/>
          <w:spacing w:val="-2"/>
        </w:rPr>
        <w:t>,</w:t>
      </w:r>
      <w:r w:rsidRPr="0072173F">
        <w:rPr>
          <w:rFonts w:ascii="Tahoma" w:hAnsi="Tahoma" w:cs="Tahoma"/>
          <w:spacing w:val="-2"/>
        </w:rPr>
        <w:t xml:space="preserve"> pero el causante o el trabajador afiliado no cotizó las 26 semanas dentro del año inmediatamente anterior a la muerte o la invalidez, pero en cambio había cotizado 300 semanas en toda su vida laboral o 150 semanas en los 6 años anteriores al 1° de abril de 1994 y 150 semanas dentro de los 6 años que siguieron a esa fecha. </w:t>
      </w:r>
    </w:p>
    <w:p w14:paraId="084EA4F5" w14:textId="4C1B0812" w:rsidR="00B1033F" w:rsidRPr="0072173F" w:rsidRDefault="00B1033F" w:rsidP="0072173F">
      <w:pPr>
        <w:spacing w:line="276" w:lineRule="auto"/>
        <w:ind w:firstLine="708"/>
        <w:jc w:val="both"/>
        <w:rPr>
          <w:rFonts w:ascii="Tahoma" w:hAnsi="Tahoma" w:cs="Tahoma"/>
          <w:spacing w:val="-2"/>
        </w:rPr>
      </w:pPr>
    </w:p>
    <w:p w14:paraId="441175CD" w14:textId="2BAB39F8" w:rsidR="00B1033F" w:rsidRPr="0072173F" w:rsidRDefault="00B1033F" w:rsidP="0072173F">
      <w:pPr>
        <w:spacing w:line="276" w:lineRule="auto"/>
        <w:ind w:firstLine="708"/>
        <w:jc w:val="both"/>
        <w:rPr>
          <w:rFonts w:ascii="Tahoma" w:hAnsi="Tahoma" w:cs="Tahoma"/>
          <w:spacing w:val="-2"/>
        </w:rPr>
      </w:pPr>
      <w:r w:rsidRPr="0072173F">
        <w:rPr>
          <w:rFonts w:ascii="Tahoma" w:hAnsi="Tahoma" w:cs="Tahoma"/>
          <w:spacing w:val="-2"/>
        </w:rPr>
        <w:t>Al respecto, en la sentencia SL 16536 de 2014, M.P. Jorge Mauricio Burgos Ruiz, expuso el Alto Tribunal:</w:t>
      </w:r>
    </w:p>
    <w:p w14:paraId="7D3C8B34" w14:textId="77777777" w:rsidR="00B1033F" w:rsidRPr="0072173F" w:rsidRDefault="00B1033F" w:rsidP="0072173F">
      <w:pPr>
        <w:spacing w:line="276" w:lineRule="auto"/>
        <w:ind w:firstLine="708"/>
        <w:jc w:val="both"/>
        <w:rPr>
          <w:rFonts w:ascii="Tahoma" w:hAnsi="Tahoma" w:cs="Tahoma"/>
          <w:spacing w:val="-2"/>
        </w:rPr>
      </w:pPr>
    </w:p>
    <w:p w14:paraId="6BD4F20D" w14:textId="65841B71" w:rsidR="00B1033F" w:rsidRPr="0072173F" w:rsidRDefault="00B1033F" w:rsidP="0072173F">
      <w:pPr>
        <w:pStyle w:val="Textoindependiente22"/>
        <w:spacing w:line="240" w:lineRule="auto"/>
        <w:ind w:left="426" w:right="420"/>
        <w:rPr>
          <w:rFonts w:ascii="Tahoma" w:hAnsi="Tahoma" w:cs="Tahoma"/>
          <w:b w:val="0"/>
          <w:sz w:val="22"/>
          <w:szCs w:val="24"/>
        </w:rPr>
      </w:pPr>
      <w:r w:rsidRPr="0072173F">
        <w:rPr>
          <w:rFonts w:ascii="Tahoma" w:hAnsi="Tahoma" w:cs="Tahoma"/>
          <w:b w:val="0"/>
          <w:sz w:val="22"/>
          <w:szCs w:val="24"/>
        </w:rPr>
        <w:t xml:space="preserve">“Por lo demás, es cierto que la Ley 100 de 1993, no estableció un régimen de transición para las pensiones de sobrevivientes, pues el consagrado en el artículo 36 de dicha normatividad es aplicable sólo a pensiones de vejez, sin que sea dable acudir a la analogía porque se trata de materias distintas. Sin embargo, ante ese vacío que la Corte ha denominado </w:t>
      </w:r>
      <w:r w:rsidRPr="0072173F">
        <w:rPr>
          <w:rFonts w:ascii="Tahoma" w:hAnsi="Tahoma" w:cs="Tahoma"/>
          <w:b w:val="0"/>
          <w:i/>
          <w:sz w:val="22"/>
          <w:szCs w:val="24"/>
        </w:rPr>
        <w:t xml:space="preserve">axiológico </w:t>
      </w:r>
      <w:r w:rsidRPr="0072173F">
        <w:rPr>
          <w:rFonts w:ascii="Tahoma" w:hAnsi="Tahoma" w:cs="Tahoma"/>
          <w:b w:val="0"/>
          <w:sz w:val="22"/>
          <w:szCs w:val="24"/>
        </w:rPr>
        <w:t xml:space="preserve">CSJ SL 405 de </w:t>
      </w:r>
      <w:smartTag w:uri="urn:schemas-microsoft-com:office:smarttags" w:element="metricconverter">
        <w:smartTagPr>
          <w:attr w:name="ProductID" w:val="2013, ha"/>
        </w:smartTagPr>
        <w:r w:rsidRPr="0072173F">
          <w:rPr>
            <w:rFonts w:ascii="Tahoma" w:hAnsi="Tahoma" w:cs="Tahoma"/>
            <w:b w:val="0"/>
            <w:sz w:val="22"/>
            <w:szCs w:val="24"/>
          </w:rPr>
          <w:t>2013, ha</w:t>
        </w:r>
      </w:smartTag>
      <w:r w:rsidRPr="0072173F">
        <w:rPr>
          <w:rFonts w:ascii="Tahoma" w:hAnsi="Tahoma" w:cs="Tahoma"/>
          <w:b w:val="0"/>
          <w:sz w:val="22"/>
          <w:szCs w:val="24"/>
        </w:rPr>
        <w:t xml:space="preserve"> dado viabilidad a la aplicación del principio de condición más beneficiosa que implica darle efectos </w:t>
      </w:r>
      <w:proofErr w:type="spellStart"/>
      <w:r w:rsidRPr="0072173F">
        <w:rPr>
          <w:rFonts w:ascii="Tahoma" w:hAnsi="Tahoma" w:cs="Tahoma"/>
          <w:b w:val="0"/>
          <w:sz w:val="22"/>
          <w:szCs w:val="24"/>
        </w:rPr>
        <w:t>ultractivos</w:t>
      </w:r>
      <w:proofErr w:type="spellEnd"/>
      <w:r w:rsidRPr="0072173F">
        <w:rPr>
          <w:rFonts w:ascii="Tahoma" w:hAnsi="Tahoma" w:cs="Tahoma"/>
          <w:b w:val="0"/>
          <w:sz w:val="22"/>
          <w:szCs w:val="24"/>
        </w:rPr>
        <w:t xml:space="preserve"> a la normatividad anterior, cuando en su vigencia se cumplan los supuestos de la norma relativos al número mínimo de cotizaciones, porque en esos eventos se protegen las expectativas legítimas del asegurado, que si bien satisfizo esas exigencias, no alcanzó a consolidar el derecho porque durante el tiempo que tuvo vigor el precepto no se estructuró el riesgo.“</w:t>
      </w:r>
    </w:p>
    <w:p w14:paraId="0F2B83B2" w14:textId="62D721F3" w:rsidR="00B1033F" w:rsidRPr="0072173F" w:rsidRDefault="00B1033F" w:rsidP="0072173F">
      <w:pPr>
        <w:suppressAutoHyphens/>
        <w:spacing w:line="276" w:lineRule="auto"/>
        <w:ind w:firstLine="708"/>
        <w:jc w:val="both"/>
        <w:rPr>
          <w:rFonts w:ascii="Tahoma" w:hAnsi="Tahoma" w:cs="Tahoma"/>
          <w:spacing w:val="-2"/>
        </w:rPr>
      </w:pPr>
    </w:p>
    <w:p w14:paraId="0F380767" w14:textId="7588672E" w:rsidR="00B1033F" w:rsidRPr="0072173F" w:rsidRDefault="00406D83" w:rsidP="0072173F">
      <w:pPr>
        <w:suppressAutoHyphens/>
        <w:spacing w:line="276" w:lineRule="auto"/>
        <w:ind w:firstLine="708"/>
        <w:jc w:val="both"/>
        <w:rPr>
          <w:rFonts w:ascii="Tahoma" w:hAnsi="Tahoma" w:cs="Tahoma"/>
          <w:b/>
          <w:bCs/>
          <w:spacing w:val="-2"/>
        </w:rPr>
      </w:pPr>
      <w:r w:rsidRPr="0072173F">
        <w:rPr>
          <w:rFonts w:ascii="Tahoma" w:hAnsi="Tahoma" w:cs="Tahoma"/>
          <w:b/>
          <w:bCs/>
          <w:spacing w:val="-2"/>
        </w:rPr>
        <w:t>6.3 Requisito de convivencia para la cónyuge o compañera de afiliado que fallece en vigencia de la Ley 100 de 1993 original</w:t>
      </w:r>
    </w:p>
    <w:p w14:paraId="2982488A" w14:textId="79EE84BF" w:rsidR="00B1033F" w:rsidRPr="0072173F" w:rsidRDefault="00B1033F" w:rsidP="0072173F">
      <w:pPr>
        <w:suppressAutoHyphens/>
        <w:spacing w:line="276" w:lineRule="auto"/>
        <w:ind w:firstLine="708"/>
        <w:jc w:val="both"/>
        <w:rPr>
          <w:rFonts w:ascii="Tahoma" w:hAnsi="Tahoma" w:cs="Tahoma"/>
          <w:spacing w:val="-2"/>
        </w:rPr>
      </w:pPr>
    </w:p>
    <w:p w14:paraId="70A373EB" w14:textId="799B7B67" w:rsidR="008A05DB" w:rsidRPr="0072173F" w:rsidRDefault="00406D83" w:rsidP="0072173F">
      <w:pPr>
        <w:suppressAutoHyphens/>
        <w:spacing w:line="276" w:lineRule="auto"/>
        <w:ind w:firstLine="708"/>
        <w:jc w:val="both"/>
        <w:rPr>
          <w:rFonts w:ascii="Tahoma" w:hAnsi="Tahoma" w:cs="Tahoma"/>
          <w:spacing w:val="-2"/>
        </w:rPr>
      </w:pPr>
      <w:r w:rsidRPr="0072173F">
        <w:rPr>
          <w:rFonts w:ascii="Tahoma" w:hAnsi="Tahoma" w:cs="Tahoma"/>
          <w:spacing w:val="-2"/>
        </w:rPr>
        <w:t>En la sentencia SL1730 de 2020 la Sala Laboral de la Corte Suprema de Justicia vari</w:t>
      </w:r>
      <w:r w:rsidR="00121CF9" w:rsidRPr="0072173F">
        <w:rPr>
          <w:rFonts w:ascii="Tahoma" w:hAnsi="Tahoma" w:cs="Tahoma"/>
          <w:spacing w:val="-2"/>
        </w:rPr>
        <w:t>ó</w:t>
      </w:r>
      <w:r w:rsidRPr="0072173F">
        <w:rPr>
          <w:rFonts w:ascii="Tahoma" w:hAnsi="Tahoma" w:cs="Tahoma"/>
          <w:spacing w:val="-2"/>
        </w:rPr>
        <w:t xml:space="preserve"> la postura que venía sosteniendo hasta el momento para precisar que las cónyuges o compañeras permanentes de un afiliado no requieren demostrar un tiempo mínimo de convivencia para acceder a una de las prestaciones derivadas del riesgo de muerte, </w:t>
      </w:r>
      <w:r w:rsidR="008A05DB" w:rsidRPr="0072173F">
        <w:rPr>
          <w:rFonts w:ascii="Tahoma" w:hAnsi="Tahoma" w:cs="Tahoma"/>
          <w:spacing w:val="-2"/>
        </w:rPr>
        <w:t>pues les basta acreditar la condición invocada. En estos términos se expuso en la aludida providencia:</w:t>
      </w:r>
    </w:p>
    <w:p w14:paraId="4E679EFA" w14:textId="5F6BD1BE" w:rsidR="00406D83" w:rsidRPr="0072173F" w:rsidRDefault="00406D83" w:rsidP="0072173F">
      <w:pPr>
        <w:suppressAutoHyphens/>
        <w:spacing w:line="276" w:lineRule="auto"/>
        <w:ind w:firstLine="708"/>
        <w:jc w:val="both"/>
        <w:rPr>
          <w:rFonts w:ascii="Tahoma" w:hAnsi="Tahoma" w:cs="Tahoma"/>
          <w:spacing w:val="-2"/>
        </w:rPr>
      </w:pPr>
    </w:p>
    <w:p w14:paraId="118FB918" w14:textId="31BA4A54" w:rsidR="008A05DB" w:rsidRPr="0072173F" w:rsidRDefault="00121CF9" w:rsidP="0072173F">
      <w:pPr>
        <w:pStyle w:val="Textoindependiente22"/>
        <w:spacing w:line="240" w:lineRule="auto"/>
        <w:ind w:left="426" w:right="420"/>
        <w:rPr>
          <w:rFonts w:ascii="Tahoma" w:hAnsi="Tahoma" w:cs="Tahoma"/>
          <w:b w:val="0"/>
          <w:sz w:val="22"/>
          <w:szCs w:val="24"/>
        </w:rPr>
      </w:pPr>
      <w:r w:rsidRPr="0072173F">
        <w:rPr>
          <w:rFonts w:ascii="Tahoma" w:hAnsi="Tahoma" w:cs="Tahoma"/>
          <w:b w:val="0"/>
          <w:sz w:val="22"/>
          <w:szCs w:val="24"/>
        </w:rPr>
        <w:t>“</w:t>
      </w:r>
      <w:r w:rsidR="008A05DB" w:rsidRPr="0072173F">
        <w:rPr>
          <w:rFonts w:ascii="Tahoma" w:hAnsi="Tahoma" w:cs="Tahoma"/>
          <w:b w:val="0"/>
          <w:sz w:val="22"/>
          <w:szCs w:val="24"/>
        </w:rPr>
        <w:t xml:space="preserve">Desde la expedición de la Ley 100 de 1993, ha sido clara la intención del legislador al establecer una diferenciación entre beneficiarios de la pensión de sobrevivientes por la muerte de </w:t>
      </w:r>
      <w:r w:rsidR="008A05DB" w:rsidRPr="0072173F">
        <w:rPr>
          <w:rFonts w:ascii="Tahoma" w:hAnsi="Tahoma" w:cs="Tahoma"/>
          <w:sz w:val="22"/>
          <w:szCs w:val="24"/>
        </w:rPr>
        <w:t>afiliados</w:t>
      </w:r>
      <w:r w:rsidR="008A05DB" w:rsidRPr="0072173F">
        <w:rPr>
          <w:rFonts w:ascii="Tahoma" w:hAnsi="Tahoma" w:cs="Tahoma"/>
          <w:b w:val="0"/>
          <w:sz w:val="22"/>
          <w:szCs w:val="24"/>
        </w:rPr>
        <w:t xml:space="preserve"> al sistema no pensionados, y la de </w:t>
      </w:r>
      <w:r w:rsidR="008A05DB" w:rsidRPr="0072173F">
        <w:rPr>
          <w:rFonts w:ascii="Tahoma" w:hAnsi="Tahoma" w:cs="Tahoma"/>
          <w:sz w:val="22"/>
          <w:szCs w:val="24"/>
        </w:rPr>
        <w:t>pensionados</w:t>
      </w:r>
      <w:r w:rsidR="008A05DB" w:rsidRPr="0072173F">
        <w:rPr>
          <w:rFonts w:ascii="Tahoma" w:hAnsi="Tahoma" w:cs="Tahoma"/>
          <w:b w:val="0"/>
          <w:sz w:val="22"/>
          <w:szCs w:val="24"/>
        </w:rPr>
        <w:t xml:space="preserve">, esto es, la conocida como sustitución pensional, previendo como requisito tan solo en este último caso, un tiempo mínimo de convivencia, procurando con ello evitar conductas fraudulentas, «convivencias de última hora con quien está a punto de fallecer y así </w:t>
      </w:r>
      <w:r w:rsidR="008A05DB" w:rsidRPr="0072173F">
        <w:rPr>
          <w:rFonts w:ascii="Tahoma" w:hAnsi="Tahoma" w:cs="Tahoma"/>
          <w:b w:val="0"/>
          <w:sz w:val="22"/>
          <w:szCs w:val="24"/>
        </w:rPr>
        <w:lastRenderedPageBreak/>
        <w:t>acceder a la pensión de sobrevivientes», por la muerte de quien venía disfrutando de una pensión.</w:t>
      </w:r>
    </w:p>
    <w:p w14:paraId="51BC9486" w14:textId="77777777" w:rsidR="008A05DB" w:rsidRPr="0072173F" w:rsidRDefault="008A05DB" w:rsidP="0072173F">
      <w:pPr>
        <w:pStyle w:val="Textoindependiente22"/>
        <w:spacing w:line="240" w:lineRule="auto"/>
        <w:ind w:left="426" w:right="420"/>
        <w:rPr>
          <w:rFonts w:ascii="Tahoma" w:hAnsi="Tahoma" w:cs="Tahoma"/>
          <w:b w:val="0"/>
          <w:sz w:val="22"/>
          <w:szCs w:val="24"/>
        </w:rPr>
      </w:pPr>
    </w:p>
    <w:p w14:paraId="4A9ACB78" w14:textId="413C9D03" w:rsidR="008A05DB" w:rsidRDefault="008A05DB" w:rsidP="0072173F">
      <w:pPr>
        <w:pStyle w:val="Textoindependiente22"/>
        <w:spacing w:line="240" w:lineRule="auto"/>
        <w:ind w:left="426" w:right="420"/>
        <w:rPr>
          <w:rFonts w:ascii="Tahoma" w:hAnsi="Tahoma" w:cs="Tahoma"/>
          <w:b w:val="0"/>
          <w:sz w:val="22"/>
          <w:szCs w:val="24"/>
        </w:rPr>
      </w:pPr>
      <w:r w:rsidRPr="0072173F">
        <w:rPr>
          <w:rFonts w:ascii="Tahoma" w:hAnsi="Tahoma" w:cs="Tahoma"/>
          <w:b w:val="0"/>
          <w:sz w:val="22"/>
          <w:szCs w:val="24"/>
        </w:rPr>
        <w:t>La evidente y contundente distinción efectuada por el legislador en el precepto que se analiza, comporta una legítima finalidad, que perfectamente se acompasa con la principal de la institución que regula, la protección del núcleo familiar del asegurado o asegurada que fallece, que puede verse afectado por la ausencia de la contribución económica que aquel o aquella proporcionaba, bajo el entendido de la ayuda y soporte mutuo que está presente en la familia, que ya sea constituida por vínculos naturales o jurídicos, que en todas sus modalidades se encuentra constitucionalmente protegida, como núcleo esencial de la sociedad (art. 42 CN).</w:t>
      </w:r>
    </w:p>
    <w:p w14:paraId="4D604705" w14:textId="77777777" w:rsidR="0072173F" w:rsidRPr="0072173F" w:rsidRDefault="0072173F" w:rsidP="0072173F">
      <w:pPr>
        <w:pStyle w:val="Textoindependiente22"/>
        <w:spacing w:line="240" w:lineRule="auto"/>
        <w:ind w:left="426" w:right="420"/>
        <w:rPr>
          <w:rFonts w:ascii="Tahoma" w:hAnsi="Tahoma" w:cs="Tahoma"/>
          <w:b w:val="0"/>
          <w:sz w:val="22"/>
          <w:szCs w:val="24"/>
        </w:rPr>
      </w:pPr>
    </w:p>
    <w:p w14:paraId="5AE9A5E4" w14:textId="1D6A0FB3" w:rsidR="008A05DB" w:rsidRPr="0072173F" w:rsidRDefault="008A05DB" w:rsidP="0072173F">
      <w:pPr>
        <w:pStyle w:val="Textoindependiente22"/>
        <w:spacing w:line="240" w:lineRule="auto"/>
        <w:ind w:left="426" w:right="420"/>
        <w:rPr>
          <w:rFonts w:ascii="Tahoma" w:hAnsi="Tahoma" w:cs="Tahoma"/>
          <w:b w:val="0"/>
          <w:sz w:val="22"/>
          <w:szCs w:val="24"/>
        </w:rPr>
      </w:pPr>
      <w:r w:rsidRPr="0072173F">
        <w:rPr>
          <w:rFonts w:ascii="Tahoma" w:hAnsi="Tahoma" w:cs="Tahoma"/>
          <w:b w:val="0"/>
          <w:sz w:val="22"/>
          <w:szCs w:val="24"/>
        </w:rPr>
        <w:t xml:space="preserve">En este punto resulta necesario precisar, que conforme al análisis hasta aquí efectuado, de lo dispuesto en el </w:t>
      </w:r>
      <w:r w:rsidRPr="0072173F">
        <w:rPr>
          <w:rFonts w:ascii="Tahoma" w:hAnsi="Tahoma" w:cs="Tahoma"/>
          <w:sz w:val="22"/>
          <w:szCs w:val="24"/>
        </w:rPr>
        <w:t>literal a)</w:t>
      </w:r>
      <w:r w:rsidRPr="0072173F">
        <w:rPr>
          <w:rFonts w:ascii="Tahoma" w:hAnsi="Tahoma" w:cs="Tahoma"/>
          <w:b w:val="0"/>
          <w:sz w:val="22"/>
          <w:szCs w:val="24"/>
        </w:rPr>
        <w:t xml:space="preserve"> del art. 13 de la Ley 797 de 2003, para ser considerado beneficiario de la pensión de sobrevivientes, en condición de cónyuge o compañero o compañera permanente supérstite del afiliado al sistema que fallece, no es exigible ningún tiempo mínimo de convivencia, toda vez que con la simple acreditación de la calidad exigida, cónyuge o compañero (a), y la conformación del núcleo familiar, con vocación de permanencia, vigente para el momento de la muerte, se da cumplimiento al supuesto previsto en el literal de la norma analizado, que da lugar al reconocimiento de las prestaciones derivadas de la contingencia, esto es, la pensión de sobrevivientes, o en su caso, la indemnización sustitutiva de la misma o la devolución de saldos, de acuerdo al régimen de que se trate, y el cumplimiento de los requisitos para la causación de una u otra prestación.</w:t>
      </w:r>
    </w:p>
    <w:p w14:paraId="08E918C0" w14:textId="7167459B" w:rsidR="008A05DB" w:rsidRPr="0072173F" w:rsidRDefault="008A05DB" w:rsidP="0072173F">
      <w:pPr>
        <w:spacing w:line="276" w:lineRule="auto"/>
        <w:ind w:left="709" w:right="505"/>
        <w:jc w:val="both"/>
        <w:rPr>
          <w:rFonts w:ascii="Tahoma" w:hAnsi="Tahoma" w:cs="Tahoma"/>
        </w:rPr>
      </w:pPr>
    </w:p>
    <w:p w14:paraId="21E62C91" w14:textId="1B810BA9" w:rsidR="008A05DB" w:rsidRPr="0072173F" w:rsidRDefault="008A05DB" w:rsidP="0072173F">
      <w:pPr>
        <w:spacing w:line="276" w:lineRule="auto"/>
        <w:ind w:right="505" w:firstLine="709"/>
        <w:jc w:val="both"/>
        <w:rPr>
          <w:rFonts w:ascii="Tahoma" w:hAnsi="Tahoma" w:cs="Tahoma"/>
        </w:rPr>
      </w:pPr>
      <w:r w:rsidRPr="0072173F">
        <w:rPr>
          <w:rFonts w:ascii="Tahoma" w:hAnsi="Tahoma" w:cs="Tahoma"/>
        </w:rPr>
        <w:t xml:space="preserve">Nótese que a pesar de que en este fallo la Corte efectuó el estudio de una prestación causada bajo la égida de la Ley 797 de 2003, hace hincapié </w:t>
      </w:r>
      <w:r w:rsidR="00B52244" w:rsidRPr="0072173F">
        <w:rPr>
          <w:rFonts w:ascii="Tahoma" w:hAnsi="Tahoma" w:cs="Tahoma"/>
        </w:rPr>
        <w:t xml:space="preserve">en </w:t>
      </w:r>
      <w:r w:rsidRPr="0072173F">
        <w:rPr>
          <w:rFonts w:ascii="Tahoma" w:hAnsi="Tahoma" w:cs="Tahoma"/>
        </w:rPr>
        <w:t xml:space="preserve">que desde la </w:t>
      </w:r>
      <w:r w:rsidR="00826821" w:rsidRPr="0072173F">
        <w:rPr>
          <w:rFonts w:ascii="Tahoma" w:hAnsi="Tahoma" w:cs="Tahoma"/>
        </w:rPr>
        <w:t>e</w:t>
      </w:r>
      <w:r w:rsidRPr="0072173F">
        <w:rPr>
          <w:rFonts w:ascii="Tahoma" w:hAnsi="Tahoma" w:cs="Tahoma"/>
        </w:rPr>
        <w:t xml:space="preserve">xpedición de la Ley 100 de 1993 el legislador </w:t>
      </w:r>
      <w:r w:rsidR="00826821" w:rsidRPr="0072173F">
        <w:rPr>
          <w:rFonts w:ascii="Tahoma" w:hAnsi="Tahoma" w:cs="Tahoma"/>
        </w:rPr>
        <w:t xml:space="preserve">tuvo como finalidad </w:t>
      </w:r>
      <w:r w:rsidRPr="0072173F">
        <w:rPr>
          <w:rFonts w:ascii="Tahoma" w:hAnsi="Tahoma" w:cs="Tahoma"/>
        </w:rPr>
        <w:t xml:space="preserve">darle este alcance a la norma que regula los requisitos de quienes conforman una familia con un afiliado al sistema de seguridad social, que no con un pensionado. Así las cosas, como quiera que en la redacción original del artículo </w:t>
      </w:r>
      <w:r w:rsidR="009C05B4" w:rsidRPr="0072173F">
        <w:rPr>
          <w:rFonts w:ascii="Tahoma" w:hAnsi="Tahoma" w:cs="Tahoma"/>
        </w:rPr>
        <w:t xml:space="preserve">47 </w:t>
      </w:r>
      <w:r w:rsidR="00B52244" w:rsidRPr="0072173F">
        <w:rPr>
          <w:rFonts w:ascii="Tahoma" w:hAnsi="Tahoma" w:cs="Tahoma"/>
        </w:rPr>
        <w:t xml:space="preserve">literal a </w:t>
      </w:r>
      <w:r w:rsidR="009C05B4" w:rsidRPr="0072173F">
        <w:rPr>
          <w:rFonts w:ascii="Tahoma" w:hAnsi="Tahoma" w:cs="Tahoma"/>
        </w:rPr>
        <w:t xml:space="preserve">de </w:t>
      </w:r>
      <w:r w:rsidRPr="0072173F">
        <w:rPr>
          <w:rFonts w:ascii="Tahoma" w:hAnsi="Tahoma" w:cs="Tahoma"/>
        </w:rPr>
        <w:t xml:space="preserve">la ley general de seguridad social, también </w:t>
      </w:r>
      <w:r w:rsidR="00826821" w:rsidRPr="0072173F">
        <w:rPr>
          <w:rFonts w:ascii="Tahoma" w:hAnsi="Tahoma" w:cs="Tahoma"/>
        </w:rPr>
        <w:t>contenía</w:t>
      </w:r>
      <w:r w:rsidRPr="0072173F">
        <w:rPr>
          <w:rFonts w:ascii="Tahoma" w:hAnsi="Tahoma" w:cs="Tahoma"/>
        </w:rPr>
        <w:t xml:space="preserve"> esta distinción</w:t>
      </w:r>
      <w:r w:rsidR="00826821" w:rsidRPr="0072173F">
        <w:rPr>
          <w:rStyle w:val="Refdenotaalpie"/>
          <w:rFonts w:ascii="Tahoma" w:hAnsi="Tahoma" w:cs="Tahoma"/>
        </w:rPr>
        <w:footnoteReference w:id="2"/>
      </w:r>
      <w:r w:rsidR="00826821" w:rsidRPr="0072173F">
        <w:rPr>
          <w:rFonts w:ascii="Tahoma" w:hAnsi="Tahoma" w:cs="Tahoma"/>
        </w:rPr>
        <w:t xml:space="preserve">, estima la Sala que </w:t>
      </w:r>
      <w:r w:rsidR="00B52244" w:rsidRPr="0072173F">
        <w:rPr>
          <w:rFonts w:ascii="Tahoma" w:hAnsi="Tahoma" w:cs="Tahoma"/>
        </w:rPr>
        <w:t>la interpretación de la Corte Suprema se puede hacer extensiva sin inconveniente alguno para las compañeras o cónyuges de afiliados que fallecieron en vigencia de dicho canon.</w:t>
      </w:r>
      <w:r w:rsidRPr="0072173F">
        <w:rPr>
          <w:rFonts w:ascii="Tahoma" w:hAnsi="Tahoma" w:cs="Tahoma"/>
        </w:rPr>
        <w:t xml:space="preserve"> </w:t>
      </w:r>
    </w:p>
    <w:p w14:paraId="40A9263D" w14:textId="77777777" w:rsidR="00B52244" w:rsidRPr="0072173F" w:rsidRDefault="00B52244" w:rsidP="0072173F">
      <w:pPr>
        <w:spacing w:line="276" w:lineRule="auto"/>
        <w:ind w:right="505" w:firstLine="709"/>
        <w:jc w:val="both"/>
        <w:rPr>
          <w:rFonts w:ascii="Tahoma" w:hAnsi="Tahoma" w:cs="Tahoma"/>
        </w:rPr>
      </w:pPr>
    </w:p>
    <w:p w14:paraId="364D632E" w14:textId="77777777" w:rsidR="00385C0B" w:rsidRPr="0072173F" w:rsidRDefault="00385C0B" w:rsidP="0072173F">
      <w:pPr>
        <w:widowControl w:val="0"/>
        <w:numPr>
          <w:ilvl w:val="1"/>
          <w:numId w:val="44"/>
        </w:numPr>
        <w:autoSpaceDE w:val="0"/>
        <w:autoSpaceDN w:val="0"/>
        <w:adjustRightInd w:val="0"/>
        <w:spacing w:line="276" w:lineRule="auto"/>
        <w:ind w:left="1418"/>
        <w:jc w:val="both"/>
        <w:rPr>
          <w:rFonts w:ascii="Tahoma" w:hAnsi="Tahoma" w:cs="Tahoma"/>
          <w:b/>
        </w:rPr>
      </w:pPr>
      <w:r w:rsidRPr="0072173F">
        <w:rPr>
          <w:rFonts w:ascii="Tahoma" w:hAnsi="Tahoma" w:cs="Tahoma"/>
          <w:b/>
        </w:rPr>
        <w:t>Caso concreto</w:t>
      </w:r>
    </w:p>
    <w:p w14:paraId="51E2BF24" w14:textId="77777777" w:rsidR="00385C0B" w:rsidRPr="0072173F" w:rsidRDefault="00385C0B" w:rsidP="0072173F">
      <w:pPr>
        <w:widowControl w:val="0"/>
        <w:autoSpaceDE w:val="0"/>
        <w:autoSpaceDN w:val="0"/>
        <w:adjustRightInd w:val="0"/>
        <w:spacing w:line="276" w:lineRule="auto"/>
        <w:ind w:firstLine="1122"/>
        <w:jc w:val="both"/>
        <w:rPr>
          <w:rFonts w:ascii="Tahoma" w:hAnsi="Tahoma" w:cs="Tahoma"/>
        </w:rPr>
      </w:pPr>
    </w:p>
    <w:p w14:paraId="02CBA358" w14:textId="77777777" w:rsidR="00385C0B" w:rsidRPr="0072173F" w:rsidRDefault="00385C0B" w:rsidP="0072173F">
      <w:pPr>
        <w:tabs>
          <w:tab w:val="left" w:pos="748"/>
        </w:tabs>
        <w:spacing w:line="276" w:lineRule="auto"/>
        <w:jc w:val="both"/>
        <w:rPr>
          <w:rFonts w:ascii="Tahoma" w:hAnsi="Tahoma" w:cs="Tahoma"/>
        </w:rPr>
      </w:pPr>
      <w:r w:rsidRPr="0072173F">
        <w:rPr>
          <w:rFonts w:ascii="Tahoma" w:hAnsi="Tahoma" w:cs="Tahoma"/>
        </w:rPr>
        <w:tab/>
        <w:t xml:space="preserve">Esta Colegiatura comparte la conclusión de la Jueza de primer grado respecto de la aplicación de principio de la condición más beneficiosa en el </w:t>
      </w:r>
      <w:r w:rsidRPr="0072173F">
        <w:rPr>
          <w:rFonts w:ascii="Tahoma" w:hAnsi="Tahoma" w:cs="Tahoma"/>
          <w:i/>
        </w:rPr>
        <w:t>sub lite</w:t>
      </w:r>
      <w:r w:rsidRPr="0072173F">
        <w:rPr>
          <w:rFonts w:ascii="Tahoma" w:hAnsi="Tahoma" w:cs="Tahoma"/>
        </w:rPr>
        <w:t>,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14:paraId="59462396" w14:textId="77777777" w:rsidR="00385C0B" w:rsidRPr="0072173F" w:rsidRDefault="00385C0B" w:rsidP="0072173F">
      <w:pPr>
        <w:tabs>
          <w:tab w:val="left" w:pos="748"/>
        </w:tabs>
        <w:spacing w:line="276" w:lineRule="auto"/>
        <w:jc w:val="both"/>
        <w:rPr>
          <w:rFonts w:ascii="Tahoma" w:hAnsi="Tahoma" w:cs="Tahoma"/>
        </w:rPr>
      </w:pPr>
    </w:p>
    <w:p w14:paraId="5CFD3854" w14:textId="5B2B15BD" w:rsidR="00B1033F" w:rsidRPr="0072173F" w:rsidRDefault="00385C0B"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Por otra parte, se estima acertado el análisis probatorio desplegado por la A-</w:t>
      </w:r>
      <w:r w:rsidRPr="0072173F">
        <w:rPr>
          <w:rFonts w:ascii="Tahoma" w:hAnsi="Tahoma" w:cs="Tahoma"/>
        </w:rPr>
        <w:lastRenderedPageBreak/>
        <w:t xml:space="preserve">quo frente a la calidad de beneficiaria de la promotora de la litis, pues además del registro civil de matrimonio visible a folio </w:t>
      </w:r>
      <w:r w:rsidR="00B1033F" w:rsidRPr="0072173F">
        <w:rPr>
          <w:rFonts w:ascii="Tahoma" w:hAnsi="Tahoma" w:cs="Tahoma"/>
        </w:rPr>
        <w:t>27</w:t>
      </w:r>
      <w:r w:rsidRPr="0072173F">
        <w:rPr>
          <w:rFonts w:ascii="Tahoma" w:hAnsi="Tahoma" w:cs="Tahoma"/>
        </w:rPr>
        <w:t xml:space="preserve">, que da fe de la celebración de dicho vínculo el </w:t>
      </w:r>
      <w:r w:rsidR="00B1033F" w:rsidRPr="0072173F">
        <w:rPr>
          <w:rFonts w:ascii="Tahoma" w:hAnsi="Tahoma" w:cs="Tahoma"/>
        </w:rPr>
        <w:t>30</w:t>
      </w:r>
      <w:r w:rsidRPr="0072173F">
        <w:rPr>
          <w:rFonts w:ascii="Tahoma" w:hAnsi="Tahoma" w:cs="Tahoma"/>
        </w:rPr>
        <w:t xml:space="preserve"> de </w:t>
      </w:r>
      <w:r w:rsidR="00B1033F" w:rsidRPr="0072173F">
        <w:rPr>
          <w:rFonts w:ascii="Tahoma" w:hAnsi="Tahoma" w:cs="Tahoma"/>
        </w:rPr>
        <w:t xml:space="preserve">octubre </w:t>
      </w:r>
      <w:r w:rsidRPr="0072173F">
        <w:rPr>
          <w:rFonts w:ascii="Tahoma" w:hAnsi="Tahoma" w:cs="Tahoma"/>
        </w:rPr>
        <w:t>de 19</w:t>
      </w:r>
      <w:r w:rsidR="00B1033F" w:rsidRPr="0072173F">
        <w:rPr>
          <w:rFonts w:ascii="Tahoma" w:hAnsi="Tahoma" w:cs="Tahoma"/>
        </w:rPr>
        <w:t>7</w:t>
      </w:r>
      <w:r w:rsidRPr="0072173F">
        <w:rPr>
          <w:rFonts w:ascii="Tahoma" w:hAnsi="Tahoma" w:cs="Tahoma"/>
        </w:rPr>
        <w:t>2</w:t>
      </w:r>
      <w:r w:rsidR="000D15DB" w:rsidRPr="0072173F">
        <w:rPr>
          <w:rFonts w:ascii="Tahoma" w:hAnsi="Tahoma" w:cs="Tahoma"/>
        </w:rPr>
        <w:t xml:space="preserve"> -</w:t>
      </w:r>
      <w:r w:rsidRPr="0072173F">
        <w:rPr>
          <w:rFonts w:ascii="Tahoma" w:hAnsi="Tahoma" w:cs="Tahoma"/>
        </w:rPr>
        <w:t xml:space="preserve"> en el que no se percibe nota marginal que constate la ruptura del mismo</w:t>
      </w:r>
      <w:r w:rsidR="000D15DB" w:rsidRPr="0072173F">
        <w:rPr>
          <w:rFonts w:ascii="Tahoma" w:hAnsi="Tahoma" w:cs="Tahoma"/>
        </w:rPr>
        <w:t>-</w:t>
      </w:r>
      <w:r w:rsidRPr="0072173F">
        <w:rPr>
          <w:rFonts w:ascii="Tahoma" w:hAnsi="Tahoma" w:cs="Tahoma"/>
        </w:rPr>
        <w:t>, de</w:t>
      </w:r>
      <w:r w:rsidR="00B1033F" w:rsidRPr="0072173F">
        <w:rPr>
          <w:rFonts w:ascii="Tahoma" w:hAnsi="Tahoma" w:cs="Tahoma"/>
        </w:rPr>
        <w:t xml:space="preserve"> </w:t>
      </w:r>
      <w:r w:rsidRPr="0072173F">
        <w:rPr>
          <w:rFonts w:ascii="Tahoma" w:hAnsi="Tahoma" w:cs="Tahoma"/>
        </w:rPr>
        <w:t>l</w:t>
      </w:r>
      <w:r w:rsidR="00B1033F" w:rsidRPr="0072173F">
        <w:rPr>
          <w:rFonts w:ascii="Tahoma" w:hAnsi="Tahoma" w:cs="Tahoma"/>
        </w:rPr>
        <w:t>os</w:t>
      </w:r>
      <w:r w:rsidRPr="0072173F">
        <w:rPr>
          <w:rFonts w:ascii="Tahoma" w:hAnsi="Tahoma" w:cs="Tahoma"/>
        </w:rPr>
        <w:t xml:space="preserve"> testimonio</w:t>
      </w:r>
      <w:r w:rsidR="00B1033F" w:rsidRPr="0072173F">
        <w:rPr>
          <w:rFonts w:ascii="Tahoma" w:hAnsi="Tahoma" w:cs="Tahoma"/>
        </w:rPr>
        <w:t>s recaudados en el proceso se extrae</w:t>
      </w:r>
      <w:r w:rsidR="000D15DB" w:rsidRPr="0072173F">
        <w:rPr>
          <w:rFonts w:ascii="Tahoma" w:hAnsi="Tahoma" w:cs="Tahoma"/>
        </w:rPr>
        <w:t xml:space="preserve"> que la pareja conformó un núcleo familiar con vocación de permanencia, vigente para el momento de la muerte del señor Pedro Otálvaro Colorado.</w:t>
      </w:r>
    </w:p>
    <w:p w14:paraId="7AD2D22E" w14:textId="1EEDCDE0" w:rsidR="00B1033F" w:rsidRPr="0072173F" w:rsidRDefault="00B1033F" w:rsidP="0072173F">
      <w:pPr>
        <w:widowControl w:val="0"/>
        <w:autoSpaceDE w:val="0"/>
        <w:autoSpaceDN w:val="0"/>
        <w:adjustRightInd w:val="0"/>
        <w:spacing w:line="276" w:lineRule="auto"/>
        <w:ind w:firstLine="708"/>
        <w:jc w:val="both"/>
        <w:rPr>
          <w:rFonts w:ascii="Tahoma" w:hAnsi="Tahoma" w:cs="Tahoma"/>
        </w:rPr>
      </w:pPr>
    </w:p>
    <w:p w14:paraId="5130DA24" w14:textId="650E3FFA" w:rsidR="000D15DB" w:rsidRPr="0072173F" w:rsidRDefault="000D15DB"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En efecto, las declaraciones de los señores Fernando Antonio Henao García y Martín Darío Henao García resultan verosímiles en el contexto de lo alegado y circunstanciadas en tiempo modo y lugar, amén de que provienen de testigos presenciales o directos de la situación.</w:t>
      </w:r>
      <w:r w:rsidR="00FD6B56" w:rsidRPr="0072173F">
        <w:rPr>
          <w:rFonts w:ascii="Tahoma" w:hAnsi="Tahoma" w:cs="Tahoma"/>
        </w:rPr>
        <w:t xml:space="preserve"> </w:t>
      </w:r>
    </w:p>
    <w:p w14:paraId="5A2D69CC" w14:textId="77777777" w:rsidR="000D15DB" w:rsidRPr="0072173F" w:rsidRDefault="000D15DB" w:rsidP="0072173F">
      <w:pPr>
        <w:widowControl w:val="0"/>
        <w:autoSpaceDE w:val="0"/>
        <w:autoSpaceDN w:val="0"/>
        <w:adjustRightInd w:val="0"/>
        <w:spacing w:line="276" w:lineRule="auto"/>
        <w:ind w:firstLine="708"/>
        <w:jc w:val="both"/>
        <w:rPr>
          <w:rFonts w:ascii="Tahoma" w:hAnsi="Tahoma" w:cs="Tahoma"/>
        </w:rPr>
      </w:pPr>
    </w:p>
    <w:p w14:paraId="23FFD887" w14:textId="15F67B86" w:rsidR="000D15DB" w:rsidRPr="0072173F" w:rsidRDefault="00FD6B56" w:rsidP="0072173F">
      <w:pPr>
        <w:widowControl w:val="0"/>
        <w:autoSpaceDE w:val="0"/>
        <w:autoSpaceDN w:val="0"/>
        <w:adjustRightInd w:val="0"/>
        <w:spacing w:line="276" w:lineRule="auto"/>
        <w:ind w:firstLine="708"/>
        <w:jc w:val="both"/>
        <w:rPr>
          <w:rFonts w:ascii="Tahoma" w:hAnsi="Tahoma" w:cs="Tahoma"/>
        </w:rPr>
      </w:pPr>
      <w:r w:rsidRPr="0072173F">
        <w:rPr>
          <w:rFonts w:ascii="Tahoma" w:hAnsi="Tahoma" w:cs="Tahoma"/>
        </w:rPr>
        <w:t xml:space="preserve">Ambos </w:t>
      </w:r>
      <w:r w:rsidR="000D15DB" w:rsidRPr="0072173F">
        <w:rPr>
          <w:rFonts w:ascii="Tahoma" w:hAnsi="Tahoma" w:cs="Tahoma"/>
        </w:rPr>
        <w:t xml:space="preserve">testigos manifestaron que el </w:t>
      </w:r>
      <w:r w:rsidRPr="0072173F">
        <w:rPr>
          <w:rFonts w:ascii="Tahoma" w:hAnsi="Tahoma" w:cs="Tahoma"/>
        </w:rPr>
        <w:t xml:space="preserve">causante </w:t>
      </w:r>
      <w:r w:rsidR="000D15DB" w:rsidRPr="0072173F">
        <w:rPr>
          <w:rFonts w:ascii="Tahoma" w:hAnsi="Tahoma" w:cs="Tahoma"/>
        </w:rPr>
        <w:t xml:space="preserve">trabajaba como jornalero en la finca de </w:t>
      </w:r>
      <w:r w:rsidR="00EA7350" w:rsidRPr="0072173F">
        <w:rPr>
          <w:rFonts w:ascii="Tahoma" w:hAnsi="Tahoma" w:cs="Tahoma"/>
        </w:rPr>
        <w:t>sus</w:t>
      </w:r>
      <w:r w:rsidR="000D15DB" w:rsidRPr="0072173F">
        <w:rPr>
          <w:rFonts w:ascii="Tahoma" w:hAnsi="Tahoma" w:cs="Tahoma"/>
        </w:rPr>
        <w:t xml:space="preserve"> padres </w:t>
      </w:r>
      <w:r w:rsidR="00EA7350" w:rsidRPr="0072173F">
        <w:rPr>
          <w:rFonts w:ascii="Tahoma" w:hAnsi="Tahoma" w:cs="Tahoma"/>
        </w:rPr>
        <w:t>-</w:t>
      </w:r>
      <w:r w:rsidR="000D15DB" w:rsidRPr="0072173F">
        <w:rPr>
          <w:rFonts w:ascii="Tahoma" w:hAnsi="Tahoma" w:cs="Tahoma"/>
        </w:rPr>
        <w:t>de los testigos</w:t>
      </w:r>
      <w:r w:rsidR="00EA7350" w:rsidRPr="0072173F">
        <w:rPr>
          <w:rFonts w:ascii="Tahoma" w:hAnsi="Tahoma" w:cs="Tahoma"/>
        </w:rPr>
        <w:t>- y r</w:t>
      </w:r>
      <w:r w:rsidR="000D15DB" w:rsidRPr="0072173F">
        <w:rPr>
          <w:rFonts w:ascii="Tahoma" w:hAnsi="Tahoma" w:cs="Tahoma"/>
        </w:rPr>
        <w:t>eferenciaron que la pareja siempre convivió hasta el momento de</w:t>
      </w:r>
      <w:r w:rsidRPr="0072173F">
        <w:rPr>
          <w:rFonts w:ascii="Tahoma" w:hAnsi="Tahoma" w:cs="Tahoma"/>
        </w:rPr>
        <w:t xml:space="preserve"> su</w:t>
      </w:r>
      <w:r w:rsidR="000D15DB" w:rsidRPr="0072173F">
        <w:rPr>
          <w:rFonts w:ascii="Tahoma" w:hAnsi="Tahoma" w:cs="Tahoma"/>
        </w:rPr>
        <w:t xml:space="preserve"> fallecimiento, </w:t>
      </w:r>
      <w:r w:rsidRPr="0072173F">
        <w:rPr>
          <w:rFonts w:ascii="Tahoma" w:hAnsi="Tahoma" w:cs="Tahoma"/>
        </w:rPr>
        <w:t xml:space="preserve">pues no les consta </w:t>
      </w:r>
      <w:r w:rsidR="000D15DB" w:rsidRPr="0072173F">
        <w:rPr>
          <w:rFonts w:ascii="Tahoma" w:hAnsi="Tahoma" w:cs="Tahoma"/>
        </w:rPr>
        <w:t xml:space="preserve">separación más allá de algunos días </w:t>
      </w:r>
      <w:r w:rsidRPr="0072173F">
        <w:rPr>
          <w:rFonts w:ascii="Tahoma" w:hAnsi="Tahoma" w:cs="Tahoma"/>
        </w:rPr>
        <w:t xml:space="preserve">que aquel </w:t>
      </w:r>
      <w:r w:rsidR="000D15DB" w:rsidRPr="0072173F">
        <w:rPr>
          <w:rFonts w:ascii="Tahoma" w:hAnsi="Tahoma" w:cs="Tahoma"/>
        </w:rPr>
        <w:t>debía irse a trabajar a la ciudad de Medellín o a un municipio del departamento de Antioquia a recolectar café</w:t>
      </w:r>
      <w:r w:rsidRPr="0072173F">
        <w:rPr>
          <w:rFonts w:ascii="Tahoma" w:hAnsi="Tahoma" w:cs="Tahoma"/>
        </w:rPr>
        <w:t xml:space="preserve"> con el fin de traer</w:t>
      </w:r>
      <w:r w:rsidR="000D15DB" w:rsidRPr="0072173F">
        <w:rPr>
          <w:rFonts w:ascii="Tahoma" w:hAnsi="Tahoma" w:cs="Tahoma"/>
        </w:rPr>
        <w:t xml:space="preserve"> dinero </w:t>
      </w:r>
      <w:r w:rsidRPr="0072173F">
        <w:rPr>
          <w:rFonts w:ascii="Tahoma" w:hAnsi="Tahoma" w:cs="Tahoma"/>
        </w:rPr>
        <w:t xml:space="preserve">a su hogar y </w:t>
      </w:r>
      <w:r w:rsidR="000D15DB" w:rsidRPr="0072173F">
        <w:rPr>
          <w:rFonts w:ascii="Tahoma" w:hAnsi="Tahoma" w:cs="Tahoma"/>
        </w:rPr>
        <w:t>proveer lo necesario para el sostenimiento de</w:t>
      </w:r>
      <w:r w:rsidRPr="0072173F">
        <w:rPr>
          <w:rFonts w:ascii="Tahoma" w:hAnsi="Tahoma" w:cs="Tahoma"/>
        </w:rPr>
        <w:t>l mismo</w:t>
      </w:r>
      <w:r w:rsidR="000D15DB" w:rsidRPr="0072173F">
        <w:rPr>
          <w:rFonts w:ascii="Tahoma" w:hAnsi="Tahoma" w:cs="Tahoma"/>
        </w:rPr>
        <w:t xml:space="preserve">. </w:t>
      </w:r>
    </w:p>
    <w:p w14:paraId="42FE7179" w14:textId="1551EFE2" w:rsidR="000D15DB" w:rsidRPr="0072173F" w:rsidRDefault="000D15DB" w:rsidP="0072173F">
      <w:pPr>
        <w:widowControl w:val="0"/>
        <w:autoSpaceDE w:val="0"/>
        <w:autoSpaceDN w:val="0"/>
        <w:adjustRightInd w:val="0"/>
        <w:spacing w:line="276" w:lineRule="auto"/>
        <w:ind w:firstLine="708"/>
        <w:jc w:val="both"/>
        <w:rPr>
          <w:rFonts w:ascii="Tahoma" w:hAnsi="Tahoma" w:cs="Tahoma"/>
        </w:rPr>
      </w:pPr>
    </w:p>
    <w:p w14:paraId="12FB8104" w14:textId="0660CF39" w:rsidR="00385C0B" w:rsidRPr="0072173F" w:rsidRDefault="00E10E26" w:rsidP="0072173F">
      <w:pPr>
        <w:widowControl w:val="0"/>
        <w:autoSpaceDE w:val="0"/>
        <w:autoSpaceDN w:val="0"/>
        <w:adjustRightInd w:val="0"/>
        <w:spacing w:line="276" w:lineRule="auto"/>
        <w:ind w:firstLine="708"/>
        <w:jc w:val="both"/>
        <w:rPr>
          <w:rFonts w:ascii="Tahoma" w:hAnsi="Tahoma" w:cs="Tahoma"/>
          <w:color w:val="000000"/>
        </w:rPr>
      </w:pPr>
      <w:r w:rsidRPr="0072173F">
        <w:rPr>
          <w:rFonts w:ascii="Tahoma" w:hAnsi="Tahoma" w:cs="Tahoma"/>
        </w:rPr>
        <w:t xml:space="preserve">Lo hasta aquí discurrido permite concluir que la </w:t>
      </w:r>
      <w:r w:rsidR="00FD6B56" w:rsidRPr="0072173F">
        <w:rPr>
          <w:rFonts w:ascii="Tahoma" w:hAnsi="Tahoma" w:cs="Tahoma"/>
        </w:rPr>
        <w:t xml:space="preserve">demandante, en su calidad de cónyuge, tiene derecho a la pensión de sobrevivientes a partir del momento del deceso del señor Otálvaro Colorado, esto es, desde el 18 de marzo de 2002. No obstante, </w:t>
      </w:r>
      <w:r w:rsidR="00385C0B" w:rsidRPr="0072173F">
        <w:rPr>
          <w:rFonts w:ascii="Tahoma" w:hAnsi="Tahoma" w:cs="Tahoma"/>
          <w:color w:val="000000"/>
        </w:rPr>
        <w:t xml:space="preserve">se encuentra correcta la determinación de la operadora judicial de instancia con relación a la prosperidad parcial de la excepción de prescripción, pues al haberse presentado la reclamación el </w:t>
      </w:r>
      <w:r w:rsidR="00970313" w:rsidRPr="0072173F">
        <w:rPr>
          <w:rFonts w:ascii="Tahoma" w:hAnsi="Tahoma" w:cs="Tahoma"/>
          <w:color w:val="000000"/>
        </w:rPr>
        <w:t>2 de marzo de 2018</w:t>
      </w:r>
      <w:r w:rsidR="00385C0B" w:rsidRPr="0072173F">
        <w:rPr>
          <w:rFonts w:ascii="Tahoma" w:hAnsi="Tahoma" w:cs="Tahoma"/>
          <w:color w:val="000000"/>
        </w:rPr>
        <w:t xml:space="preserve"> se interrumpió el fenómeno extintivo respecto de las mesadas causadas con anterioridad al </w:t>
      </w:r>
      <w:r w:rsidR="00970313" w:rsidRPr="0072173F">
        <w:rPr>
          <w:rFonts w:ascii="Tahoma" w:hAnsi="Tahoma" w:cs="Tahoma"/>
          <w:color w:val="000000"/>
        </w:rPr>
        <w:t>2 de marzo de 2015</w:t>
      </w:r>
      <w:r w:rsidR="00385C0B" w:rsidRPr="0072173F">
        <w:rPr>
          <w:rFonts w:ascii="Tahoma" w:hAnsi="Tahoma" w:cs="Tahoma"/>
          <w:color w:val="000000"/>
        </w:rPr>
        <w:t xml:space="preserve">, fecha a partir de la cual se debió reconocer la gracia pensional, con base en el salario mínimo legal y con 14 mesadas anuales, al haberse causado la prestación con antelación a la entrada en vigencia del Acto Legislativo 01 de 2005. </w:t>
      </w:r>
    </w:p>
    <w:p w14:paraId="559122F6" w14:textId="77777777" w:rsidR="00385C0B" w:rsidRPr="0072173F" w:rsidRDefault="00385C0B" w:rsidP="0072173F">
      <w:pPr>
        <w:spacing w:line="276" w:lineRule="auto"/>
        <w:ind w:firstLine="708"/>
        <w:jc w:val="both"/>
        <w:rPr>
          <w:rFonts w:ascii="Tahoma" w:hAnsi="Tahoma" w:cs="Tahoma"/>
          <w:color w:val="000000"/>
        </w:rPr>
      </w:pPr>
    </w:p>
    <w:p w14:paraId="090F090A" w14:textId="51D24FDF" w:rsidR="003C72F6" w:rsidRPr="0072173F" w:rsidRDefault="00385C0B" w:rsidP="0072173F">
      <w:pPr>
        <w:spacing w:line="276" w:lineRule="auto"/>
        <w:ind w:firstLine="708"/>
        <w:jc w:val="both"/>
        <w:rPr>
          <w:rFonts w:ascii="Tahoma" w:hAnsi="Tahoma" w:cs="Tahoma"/>
          <w:color w:val="000000"/>
        </w:rPr>
      </w:pPr>
      <w:r w:rsidRPr="0072173F">
        <w:rPr>
          <w:rFonts w:ascii="Tahoma" w:hAnsi="Tahoma" w:cs="Tahoma"/>
          <w:color w:val="000000"/>
        </w:rPr>
        <w:t xml:space="preserve">Con relación al retroactivo estimado por la A-quo, se advierte que en el mismo se tuvieron en cuenta la totalidad de las mesadas causadas entre el </w:t>
      </w:r>
      <w:r w:rsidR="003C72F6" w:rsidRPr="0072173F">
        <w:rPr>
          <w:rFonts w:ascii="Tahoma" w:hAnsi="Tahoma" w:cs="Tahoma"/>
          <w:color w:val="000000"/>
        </w:rPr>
        <w:t>2</w:t>
      </w:r>
      <w:r w:rsidRPr="0072173F">
        <w:rPr>
          <w:rFonts w:ascii="Tahoma" w:hAnsi="Tahoma" w:cs="Tahoma"/>
          <w:color w:val="000000"/>
        </w:rPr>
        <w:t xml:space="preserve"> de </w:t>
      </w:r>
      <w:r w:rsidR="003C72F6" w:rsidRPr="0072173F">
        <w:rPr>
          <w:rFonts w:ascii="Tahoma" w:hAnsi="Tahoma" w:cs="Tahoma"/>
          <w:color w:val="000000"/>
        </w:rPr>
        <w:t>marzo de 2015 y el 30 de septiembre de 2020, no obstante, para la celeridad en cumplimiento de la presente decisión, la Sala procedió a calcular dicho monto al 28 de febrero de 2021, lo cual arrojó una suma de $66.228.706, sin perjuicio de las mesadas que se causen con posterioridad y de los descuentos de ley.</w:t>
      </w:r>
    </w:p>
    <w:p w14:paraId="0C4EFC80" w14:textId="77777777" w:rsidR="003C72F6" w:rsidRPr="0072173F" w:rsidRDefault="003C72F6" w:rsidP="0072173F">
      <w:pPr>
        <w:spacing w:line="276" w:lineRule="auto"/>
        <w:ind w:firstLine="708"/>
        <w:jc w:val="both"/>
        <w:rPr>
          <w:rFonts w:ascii="Tahoma" w:hAnsi="Tahoma" w:cs="Tahoma"/>
          <w:color w:val="000000"/>
        </w:rPr>
      </w:pPr>
    </w:p>
    <w:tbl>
      <w:tblPr>
        <w:tblW w:w="0" w:type="auto"/>
        <w:jc w:val="center"/>
        <w:tblCellMar>
          <w:left w:w="70" w:type="dxa"/>
          <w:right w:w="70" w:type="dxa"/>
        </w:tblCellMar>
        <w:tblLook w:val="04A0" w:firstRow="1" w:lastRow="0" w:firstColumn="1" w:lastColumn="0" w:noHBand="0" w:noVBand="1"/>
      </w:tblPr>
      <w:tblGrid>
        <w:gridCol w:w="1367"/>
        <w:gridCol w:w="1285"/>
        <w:gridCol w:w="1048"/>
        <w:gridCol w:w="1685"/>
        <w:gridCol w:w="1335"/>
      </w:tblGrid>
      <w:tr w:rsidR="003C72F6" w:rsidRPr="00453379" w14:paraId="784A9384" w14:textId="77777777" w:rsidTr="003C72F6">
        <w:trPr>
          <w:trHeight w:val="20"/>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14:paraId="2AF99D45" w14:textId="77777777" w:rsidR="003C72F6" w:rsidRPr="00453379" w:rsidRDefault="003C72F6">
            <w:pPr>
              <w:jc w:val="center"/>
              <w:rPr>
                <w:rFonts w:ascii="Calibri" w:hAnsi="Calibri" w:cs="Calibri"/>
                <w:b/>
                <w:bCs/>
                <w:color w:val="000000"/>
                <w:sz w:val="16"/>
                <w:szCs w:val="16"/>
              </w:rPr>
            </w:pPr>
            <w:r w:rsidRPr="00453379">
              <w:rPr>
                <w:rFonts w:ascii="Calibri" w:hAnsi="Calibri" w:cs="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45133376" w14:textId="77777777" w:rsidR="003C72F6" w:rsidRPr="00453379" w:rsidRDefault="003C72F6">
            <w:pPr>
              <w:jc w:val="center"/>
              <w:rPr>
                <w:rFonts w:ascii="Calibri" w:hAnsi="Calibri" w:cs="Calibri"/>
                <w:b/>
                <w:bCs/>
                <w:color w:val="000000"/>
                <w:sz w:val="16"/>
                <w:szCs w:val="16"/>
              </w:rPr>
            </w:pPr>
            <w:r w:rsidRPr="00453379">
              <w:rPr>
                <w:rFonts w:ascii="Calibri" w:hAnsi="Calibri" w:cs="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0CAA1614" w14:textId="77777777" w:rsidR="003C72F6" w:rsidRPr="00453379" w:rsidRDefault="003C72F6">
            <w:pPr>
              <w:jc w:val="center"/>
              <w:rPr>
                <w:rFonts w:ascii="Calibri" w:hAnsi="Calibri" w:cs="Calibri"/>
                <w:b/>
                <w:bCs/>
                <w:color w:val="000000"/>
                <w:sz w:val="16"/>
                <w:szCs w:val="16"/>
              </w:rPr>
            </w:pPr>
            <w:r w:rsidRPr="00453379">
              <w:rPr>
                <w:rFonts w:ascii="Calibri" w:hAnsi="Calibri" w:cs="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741DB96E" w14:textId="77777777" w:rsidR="003C72F6" w:rsidRPr="00453379" w:rsidRDefault="003C72F6">
            <w:pPr>
              <w:jc w:val="center"/>
              <w:rPr>
                <w:rFonts w:ascii="Calibri" w:hAnsi="Calibri" w:cs="Calibri"/>
                <w:b/>
                <w:bCs/>
                <w:color w:val="000000"/>
                <w:sz w:val="20"/>
                <w:szCs w:val="20"/>
              </w:rPr>
            </w:pPr>
            <w:r w:rsidRPr="00453379">
              <w:rPr>
                <w:rFonts w:ascii="Calibri" w:hAnsi="Calibri" w:cs="Calibri"/>
                <w:b/>
                <w:bCs/>
                <w:color w:val="000000"/>
                <w:sz w:val="20"/>
                <w:szCs w:val="20"/>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14:paraId="335FABB2" w14:textId="77777777" w:rsidR="003C72F6" w:rsidRPr="00453379" w:rsidRDefault="003C72F6">
            <w:pPr>
              <w:jc w:val="center"/>
              <w:rPr>
                <w:rFonts w:ascii="Calibri" w:hAnsi="Calibri" w:cs="Calibri"/>
                <w:b/>
                <w:bCs/>
                <w:color w:val="000000"/>
                <w:sz w:val="20"/>
                <w:szCs w:val="20"/>
              </w:rPr>
            </w:pPr>
            <w:r w:rsidRPr="00453379">
              <w:rPr>
                <w:rFonts w:ascii="Calibri" w:hAnsi="Calibri" w:cs="Calibri"/>
                <w:b/>
                <w:bCs/>
                <w:color w:val="000000"/>
                <w:sz w:val="20"/>
                <w:szCs w:val="20"/>
              </w:rPr>
              <w:t>Total</w:t>
            </w:r>
          </w:p>
        </w:tc>
      </w:tr>
      <w:tr w:rsidR="003C72F6" w:rsidRPr="00453379" w14:paraId="06DB03D0" w14:textId="77777777" w:rsidTr="003C72F6">
        <w:trPr>
          <w:trHeight w:val="20"/>
          <w:jc w:val="center"/>
        </w:trPr>
        <w:tc>
          <w:tcPr>
            <w:tcW w:w="0" w:type="auto"/>
            <w:tcBorders>
              <w:top w:val="nil"/>
              <w:left w:val="single" w:sz="4" w:space="0" w:color="808000"/>
              <w:bottom w:val="nil"/>
              <w:right w:val="single" w:sz="4" w:space="0" w:color="808000"/>
            </w:tcBorders>
            <w:shd w:val="clear" w:color="auto" w:fill="auto"/>
            <w:noWrap/>
            <w:vAlign w:val="center"/>
            <w:hideMark/>
          </w:tcPr>
          <w:p w14:paraId="600A3692"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02-mar-15</w:t>
            </w:r>
          </w:p>
        </w:tc>
        <w:tc>
          <w:tcPr>
            <w:tcW w:w="0" w:type="auto"/>
            <w:tcBorders>
              <w:top w:val="nil"/>
              <w:left w:val="nil"/>
              <w:bottom w:val="nil"/>
              <w:right w:val="single" w:sz="4" w:space="0" w:color="808000"/>
            </w:tcBorders>
            <w:shd w:val="clear" w:color="auto" w:fill="auto"/>
            <w:noWrap/>
            <w:vAlign w:val="center"/>
            <w:hideMark/>
          </w:tcPr>
          <w:p w14:paraId="02DC768E"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31-dic-15</w:t>
            </w:r>
          </w:p>
        </w:tc>
        <w:tc>
          <w:tcPr>
            <w:tcW w:w="0" w:type="auto"/>
            <w:tcBorders>
              <w:top w:val="nil"/>
              <w:left w:val="nil"/>
              <w:bottom w:val="nil"/>
              <w:right w:val="nil"/>
            </w:tcBorders>
            <w:shd w:val="clear" w:color="000000" w:fill="FFFFCC"/>
            <w:noWrap/>
            <w:vAlign w:val="bottom"/>
            <w:hideMark/>
          </w:tcPr>
          <w:p w14:paraId="5EBCCE32" w14:textId="77777777" w:rsidR="003C72F6" w:rsidRPr="00453379" w:rsidRDefault="003C72F6">
            <w:pPr>
              <w:jc w:val="center"/>
              <w:rPr>
                <w:rFonts w:ascii="Calibri" w:hAnsi="Calibri" w:cs="Calibri"/>
                <w:sz w:val="20"/>
                <w:szCs w:val="20"/>
              </w:rPr>
            </w:pPr>
            <w:r w:rsidRPr="00453379">
              <w:rPr>
                <w:rFonts w:ascii="Calibri" w:hAnsi="Calibri" w:cs="Calibri"/>
                <w:sz w:val="20"/>
                <w:szCs w:val="20"/>
              </w:rPr>
              <w:t xml:space="preserve">12,96  </w:t>
            </w:r>
          </w:p>
        </w:tc>
        <w:tc>
          <w:tcPr>
            <w:tcW w:w="0" w:type="auto"/>
            <w:tcBorders>
              <w:top w:val="nil"/>
              <w:left w:val="single" w:sz="8" w:space="0" w:color="auto"/>
              <w:bottom w:val="single" w:sz="8" w:space="0" w:color="auto"/>
              <w:right w:val="nil"/>
            </w:tcBorders>
            <w:shd w:val="clear" w:color="auto" w:fill="auto"/>
            <w:noWrap/>
            <w:vAlign w:val="bottom"/>
            <w:hideMark/>
          </w:tcPr>
          <w:p w14:paraId="0C3F3F3E"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689.454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69E74A"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8.935.324 </w:t>
            </w:r>
          </w:p>
        </w:tc>
      </w:tr>
      <w:tr w:rsidR="003C72F6" w:rsidRPr="00453379" w14:paraId="05FFE5C3"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1B2DF4D8"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01-ene-16</w:t>
            </w:r>
          </w:p>
        </w:tc>
        <w:tc>
          <w:tcPr>
            <w:tcW w:w="0" w:type="auto"/>
            <w:tcBorders>
              <w:top w:val="single" w:sz="8" w:space="0" w:color="auto"/>
              <w:left w:val="nil"/>
              <w:bottom w:val="nil"/>
              <w:right w:val="single" w:sz="4" w:space="0" w:color="808000"/>
            </w:tcBorders>
            <w:shd w:val="clear" w:color="auto" w:fill="auto"/>
            <w:noWrap/>
            <w:vAlign w:val="center"/>
            <w:hideMark/>
          </w:tcPr>
          <w:p w14:paraId="4D16B160"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31-dic-16</w:t>
            </w:r>
          </w:p>
        </w:tc>
        <w:tc>
          <w:tcPr>
            <w:tcW w:w="0" w:type="auto"/>
            <w:tcBorders>
              <w:top w:val="single" w:sz="8" w:space="0" w:color="auto"/>
              <w:left w:val="nil"/>
              <w:bottom w:val="nil"/>
              <w:right w:val="nil"/>
            </w:tcBorders>
            <w:shd w:val="clear" w:color="000000" w:fill="FFFFCC"/>
            <w:noWrap/>
            <w:vAlign w:val="bottom"/>
            <w:hideMark/>
          </w:tcPr>
          <w:p w14:paraId="7A9F7E79" w14:textId="77777777" w:rsidR="003C72F6" w:rsidRPr="00453379" w:rsidRDefault="003C72F6">
            <w:pPr>
              <w:jc w:val="center"/>
              <w:rPr>
                <w:rFonts w:ascii="Calibri" w:hAnsi="Calibri" w:cs="Calibri"/>
                <w:sz w:val="20"/>
                <w:szCs w:val="20"/>
              </w:rPr>
            </w:pPr>
            <w:r w:rsidRPr="00453379">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53C3D68D"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737.717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B0ABCF6"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10.328.038 </w:t>
            </w:r>
          </w:p>
        </w:tc>
      </w:tr>
      <w:tr w:rsidR="003C72F6" w:rsidRPr="00453379" w14:paraId="381C6BB8"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451E2CC0"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01-ene-17</w:t>
            </w:r>
          </w:p>
        </w:tc>
        <w:tc>
          <w:tcPr>
            <w:tcW w:w="0" w:type="auto"/>
            <w:tcBorders>
              <w:top w:val="single" w:sz="8" w:space="0" w:color="auto"/>
              <w:left w:val="nil"/>
              <w:bottom w:val="nil"/>
              <w:right w:val="single" w:sz="4" w:space="0" w:color="808000"/>
            </w:tcBorders>
            <w:shd w:val="clear" w:color="auto" w:fill="auto"/>
            <w:noWrap/>
            <w:vAlign w:val="center"/>
            <w:hideMark/>
          </w:tcPr>
          <w:p w14:paraId="31A7A375"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31-dic-17</w:t>
            </w:r>
          </w:p>
        </w:tc>
        <w:tc>
          <w:tcPr>
            <w:tcW w:w="0" w:type="auto"/>
            <w:tcBorders>
              <w:top w:val="single" w:sz="8" w:space="0" w:color="auto"/>
              <w:left w:val="nil"/>
              <w:bottom w:val="nil"/>
              <w:right w:val="nil"/>
            </w:tcBorders>
            <w:shd w:val="clear" w:color="000000" w:fill="FFFFCC"/>
            <w:noWrap/>
            <w:vAlign w:val="bottom"/>
            <w:hideMark/>
          </w:tcPr>
          <w:p w14:paraId="073693F4" w14:textId="77777777" w:rsidR="003C72F6" w:rsidRPr="00453379" w:rsidRDefault="003C72F6">
            <w:pPr>
              <w:jc w:val="center"/>
              <w:rPr>
                <w:rFonts w:ascii="Calibri" w:hAnsi="Calibri" w:cs="Calibri"/>
                <w:sz w:val="20"/>
                <w:szCs w:val="20"/>
              </w:rPr>
            </w:pPr>
            <w:r w:rsidRPr="00453379">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53D69FF3"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737.717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BC322D6"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10.328.038 </w:t>
            </w:r>
          </w:p>
        </w:tc>
      </w:tr>
      <w:tr w:rsidR="003C72F6" w:rsidRPr="00453379" w14:paraId="39C9F27E"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355D54FA"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01-ene-18</w:t>
            </w:r>
          </w:p>
        </w:tc>
        <w:tc>
          <w:tcPr>
            <w:tcW w:w="0" w:type="auto"/>
            <w:tcBorders>
              <w:top w:val="single" w:sz="8" w:space="0" w:color="auto"/>
              <w:left w:val="nil"/>
              <w:bottom w:val="nil"/>
              <w:right w:val="single" w:sz="4" w:space="0" w:color="808000"/>
            </w:tcBorders>
            <w:shd w:val="clear" w:color="auto" w:fill="auto"/>
            <w:noWrap/>
            <w:vAlign w:val="center"/>
            <w:hideMark/>
          </w:tcPr>
          <w:p w14:paraId="5891BA35"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31-dic-18</w:t>
            </w:r>
          </w:p>
        </w:tc>
        <w:tc>
          <w:tcPr>
            <w:tcW w:w="0" w:type="auto"/>
            <w:tcBorders>
              <w:top w:val="single" w:sz="8" w:space="0" w:color="auto"/>
              <w:left w:val="nil"/>
              <w:bottom w:val="nil"/>
              <w:right w:val="nil"/>
            </w:tcBorders>
            <w:shd w:val="clear" w:color="000000" w:fill="FFFFCC"/>
            <w:noWrap/>
            <w:vAlign w:val="bottom"/>
            <w:hideMark/>
          </w:tcPr>
          <w:p w14:paraId="69A176B7" w14:textId="77777777" w:rsidR="003C72F6" w:rsidRPr="00453379" w:rsidRDefault="003C72F6">
            <w:pPr>
              <w:jc w:val="center"/>
              <w:rPr>
                <w:rFonts w:ascii="Calibri" w:hAnsi="Calibri" w:cs="Calibri"/>
                <w:sz w:val="20"/>
                <w:szCs w:val="20"/>
              </w:rPr>
            </w:pPr>
            <w:r w:rsidRPr="00453379">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72544729"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781.242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63AD354"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10.937.388 </w:t>
            </w:r>
          </w:p>
        </w:tc>
      </w:tr>
      <w:tr w:rsidR="003C72F6" w:rsidRPr="00453379" w14:paraId="1DEEF425"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13688F5D"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01-ene-19</w:t>
            </w:r>
          </w:p>
        </w:tc>
        <w:tc>
          <w:tcPr>
            <w:tcW w:w="0" w:type="auto"/>
            <w:tcBorders>
              <w:top w:val="single" w:sz="8" w:space="0" w:color="auto"/>
              <w:left w:val="nil"/>
              <w:bottom w:val="nil"/>
              <w:right w:val="single" w:sz="4" w:space="0" w:color="808000"/>
            </w:tcBorders>
            <w:shd w:val="clear" w:color="auto" w:fill="auto"/>
            <w:noWrap/>
            <w:vAlign w:val="center"/>
            <w:hideMark/>
          </w:tcPr>
          <w:p w14:paraId="2D50901E"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31-dic-19</w:t>
            </w:r>
          </w:p>
        </w:tc>
        <w:tc>
          <w:tcPr>
            <w:tcW w:w="0" w:type="auto"/>
            <w:tcBorders>
              <w:top w:val="single" w:sz="8" w:space="0" w:color="auto"/>
              <w:left w:val="nil"/>
              <w:bottom w:val="nil"/>
              <w:right w:val="nil"/>
            </w:tcBorders>
            <w:shd w:val="clear" w:color="000000" w:fill="FFFFCC"/>
            <w:noWrap/>
            <w:vAlign w:val="bottom"/>
            <w:hideMark/>
          </w:tcPr>
          <w:p w14:paraId="06B5A49F" w14:textId="77777777" w:rsidR="003C72F6" w:rsidRPr="00453379" w:rsidRDefault="003C72F6">
            <w:pPr>
              <w:jc w:val="center"/>
              <w:rPr>
                <w:rFonts w:ascii="Calibri" w:hAnsi="Calibri" w:cs="Calibri"/>
                <w:sz w:val="20"/>
                <w:szCs w:val="20"/>
              </w:rPr>
            </w:pPr>
            <w:r w:rsidRPr="00453379">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01791373"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828.116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CEBD249"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11.593.624 </w:t>
            </w:r>
          </w:p>
        </w:tc>
      </w:tr>
      <w:tr w:rsidR="003C72F6" w:rsidRPr="00453379" w14:paraId="2DEB9942"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7318E234"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01-ene-20</w:t>
            </w:r>
          </w:p>
        </w:tc>
        <w:tc>
          <w:tcPr>
            <w:tcW w:w="0" w:type="auto"/>
            <w:tcBorders>
              <w:top w:val="single" w:sz="8" w:space="0" w:color="auto"/>
              <w:left w:val="nil"/>
              <w:bottom w:val="nil"/>
              <w:right w:val="single" w:sz="4" w:space="0" w:color="808000"/>
            </w:tcBorders>
            <w:shd w:val="clear" w:color="auto" w:fill="auto"/>
            <w:noWrap/>
            <w:vAlign w:val="center"/>
            <w:hideMark/>
          </w:tcPr>
          <w:p w14:paraId="1CAAD446"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31-dic-20</w:t>
            </w:r>
          </w:p>
        </w:tc>
        <w:tc>
          <w:tcPr>
            <w:tcW w:w="0" w:type="auto"/>
            <w:tcBorders>
              <w:top w:val="single" w:sz="8" w:space="0" w:color="auto"/>
              <w:left w:val="nil"/>
              <w:bottom w:val="nil"/>
              <w:right w:val="nil"/>
            </w:tcBorders>
            <w:shd w:val="clear" w:color="000000" w:fill="FFFFCC"/>
            <w:noWrap/>
            <w:vAlign w:val="bottom"/>
            <w:hideMark/>
          </w:tcPr>
          <w:p w14:paraId="609E4889" w14:textId="77777777" w:rsidR="003C72F6" w:rsidRPr="00453379" w:rsidRDefault="003C72F6">
            <w:pPr>
              <w:jc w:val="center"/>
              <w:rPr>
                <w:rFonts w:ascii="Calibri" w:hAnsi="Calibri" w:cs="Calibri"/>
                <w:sz w:val="20"/>
                <w:szCs w:val="20"/>
              </w:rPr>
            </w:pPr>
            <w:r w:rsidRPr="00453379">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33519812"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877.803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C43BE62"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12.289.242 </w:t>
            </w:r>
          </w:p>
        </w:tc>
      </w:tr>
      <w:tr w:rsidR="003C72F6" w:rsidRPr="00453379" w14:paraId="07FC7848"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426342C8"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01-ene-21</w:t>
            </w:r>
          </w:p>
        </w:tc>
        <w:tc>
          <w:tcPr>
            <w:tcW w:w="0" w:type="auto"/>
            <w:tcBorders>
              <w:top w:val="single" w:sz="8" w:space="0" w:color="auto"/>
              <w:left w:val="nil"/>
              <w:bottom w:val="nil"/>
              <w:right w:val="single" w:sz="4" w:space="0" w:color="808000"/>
            </w:tcBorders>
            <w:shd w:val="clear" w:color="auto" w:fill="auto"/>
            <w:noWrap/>
            <w:vAlign w:val="center"/>
            <w:hideMark/>
          </w:tcPr>
          <w:p w14:paraId="7505C945" w14:textId="77777777" w:rsidR="003C72F6" w:rsidRPr="00453379" w:rsidRDefault="003C72F6">
            <w:pPr>
              <w:jc w:val="right"/>
              <w:rPr>
                <w:rFonts w:ascii="Calibri" w:hAnsi="Calibri" w:cs="Calibri"/>
                <w:color w:val="000000"/>
                <w:sz w:val="20"/>
                <w:szCs w:val="20"/>
              </w:rPr>
            </w:pPr>
            <w:r w:rsidRPr="00453379">
              <w:rPr>
                <w:rFonts w:ascii="Calibri" w:hAnsi="Calibri" w:cs="Calibri"/>
                <w:color w:val="000000"/>
                <w:sz w:val="20"/>
                <w:szCs w:val="20"/>
              </w:rPr>
              <w:t>28-feb-21</w:t>
            </w:r>
          </w:p>
        </w:tc>
        <w:tc>
          <w:tcPr>
            <w:tcW w:w="0" w:type="auto"/>
            <w:tcBorders>
              <w:top w:val="single" w:sz="8" w:space="0" w:color="auto"/>
              <w:left w:val="nil"/>
              <w:bottom w:val="nil"/>
              <w:right w:val="nil"/>
            </w:tcBorders>
            <w:shd w:val="clear" w:color="000000" w:fill="FFFFCC"/>
            <w:noWrap/>
            <w:vAlign w:val="bottom"/>
            <w:hideMark/>
          </w:tcPr>
          <w:p w14:paraId="7A075B5E" w14:textId="77777777" w:rsidR="003C72F6" w:rsidRPr="00453379" w:rsidRDefault="003C72F6">
            <w:pPr>
              <w:jc w:val="center"/>
              <w:rPr>
                <w:rFonts w:ascii="Calibri" w:hAnsi="Calibri" w:cs="Calibri"/>
                <w:sz w:val="20"/>
                <w:szCs w:val="20"/>
              </w:rPr>
            </w:pPr>
            <w:r w:rsidRPr="00453379">
              <w:rPr>
                <w:rFonts w:ascii="Calibri" w:hAnsi="Calibri" w:cs="Calibri"/>
                <w:sz w:val="20"/>
                <w:szCs w:val="20"/>
              </w:rPr>
              <w:t xml:space="preserve">2,00  </w:t>
            </w:r>
          </w:p>
        </w:tc>
        <w:tc>
          <w:tcPr>
            <w:tcW w:w="0" w:type="auto"/>
            <w:tcBorders>
              <w:top w:val="nil"/>
              <w:left w:val="single" w:sz="8" w:space="0" w:color="auto"/>
              <w:bottom w:val="single" w:sz="8" w:space="0" w:color="auto"/>
              <w:right w:val="nil"/>
            </w:tcBorders>
            <w:shd w:val="clear" w:color="auto" w:fill="auto"/>
            <w:noWrap/>
            <w:vAlign w:val="bottom"/>
            <w:hideMark/>
          </w:tcPr>
          <w:p w14:paraId="0749165E"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908.526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9EBD94F" w14:textId="77777777" w:rsidR="003C72F6" w:rsidRPr="00453379" w:rsidRDefault="003C72F6">
            <w:pPr>
              <w:rPr>
                <w:rFonts w:ascii="Calibri" w:hAnsi="Calibri" w:cs="Calibri"/>
                <w:i/>
                <w:iCs/>
                <w:color w:val="000000"/>
                <w:sz w:val="20"/>
                <w:szCs w:val="20"/>
              </w:rPr>
            </w:pPr>
            <w:r w:rsidRPr="00453379">
              <w:rPr>
                <w:rFonts w:ascii="Calibri" w:hAnsi="Calibri" w:cs="Calibri"/>
                <w:i/>
                <w:iCs/>
                <w:color w:val="000000"/>
                <w:sz w:val="20"/>
                <w:szCs w:val="20"/>
              </w:rPr>
              <w:t xml:space="preserve"> $    1.817.052 </w:t>
            </w:r>
          </w:p>
        </w:tc>
      </w:tr>
      <w:tr w:rsidR="003C72F6" w:rsidRPr="00453379" w14:paraId="076A3369" w14:textId="77777777" w:rsidTr="003C72F6">
        <w:trPr>
          <w:trHeight w:val="20"/>
          <w:jc w:val="center"/>
        </w:trPr>
        <w:tc>
          <w:tcPr>
            <w:tcW w:w="0" w:type="auto"/>
            <w:gridSpan w:val="4"/>
            <w:tcBorders>
              <w:top w:val="single" w:sz="8" w:space="0" w:color="auto"/>
              <w:left w:val="nil"/>
              <w:bottom w:val="single" w:sz="8" w:space="0" w:color="auto"/>
              <w:right w:val="single" w:sz="8" w:space="0" w:color="000000"/>
            </w:tcBorders>
            <w:shd w:val="clear" w:color="000000" w:fill="FFFF99"/>
            <w:noWrap/>
            <w:vAlign w:val="center"/>
            <w:hideMark/>
          </w:tcPr>
          <w:p w14:paraId="7B9F07B1" w14:textId="33EACD4A" w:rsidR="003C72F6" w:rsidRPr="00453379" w:rsidRDefault="003C72F6">
            <w:pPr>
              <w:jc w:val="center"/>
              <w:rPr>
                <w:rFonts w:ascii="Calibri" w:hAnsi="Calibri" w:cs="Calibri"/>
                <w:b/>
                <w:bCs/>
                <w:sz w:val="20"/>
                <w:szCs w:val="20"/>
              </w:rPr>
            </w:pPr>
            <w:r w:rsidRPr="00453379">
              <w:rPr>
                <w:rFonts w:ascii="Calibri" w:hAnsi="Calibri" w:cs="Calibri"/>
                <w:b/>
                <w:bCs/>
                <w:sz w:val="20"/>
                <w:szCs w:val="20"/>
              </w:rPr>
              <w:t xml:space="preserve"> Retroactivo 2 de marzo de 2015 hasta el 28 de febrero de 2021 </w:t>
            </w:r>
          </w:p>
        </w:tc>
        <w:tc>
          <w:tcPr>
            <w:tcW w:w="0" w:type="auto"/>
            <w:tcBorders>
              <w:top w:val="nil"/>
              <w:left w:val="nil"/>
              <w:bottom w:val="single" w:sz="8" w:space="0" w:color="auto"/>
              <w:right w:val="single" w:sz="8" w:space="0" w:color="auto"/>
            </w:tcBorders>
            <w:shd w:val="clear" w:color="auto" w:fill="auto"/>
            <w:vAlign w:val="bottom"/>
            <w:hideMark/>
          </w:tcPr>
          <w:p w14:paraId="1EF71195" w14:textId="77777777" w:rsidR="003C72F6" w:rsidRPr="00453379" w:rsidRDefault="003C72F6">
            <w:pPr>
              <w:rPr>
                <w:rFonts w:ascii="Calibri" w:hAnsi="Calibri" w:cs="Calibri"/>
                <w:sz w:val="20"/>
                <w:szCs w:val="20"/>
              </w:rPr>
            </w:pPr>
            <w:r w:rsidRPr="00453379">
              <w:rPr>
                <w:rFonts w:ascii="Calibri" w:hAnsi="Calibri" w:cs="Calibri"/>
                <w:sz w:val="20"/>
                <w:szCs w:val="20"/>
              </w:rPr>
              <w:t xml:space="preserve"> $   66.228.706 </w:t>
            </w:r>
          </w:p>
        </w:tc>
      </w:tr>
    </w:tbl>
    <w:p w14:paraId="0FC0B6EA" w14:textId="77777777" w:rsidR="00385C0B" w:rsidRPr="0072173F" w:rsidRDefault="00385C0B" w:rsidP="0072173F">
      <w:pPr>
        <w:spacing w:line="276" w:lineRule="auto"/>
        <w:ind w:firstLine="708"/>
        <w:jc w:val="both"/>
        <w:rPr>
          <w:rFonts w:ascii="Tahoma" w:hAnsi="Tahoma" w:cs="Tahoma"/>
          <w:color w:val="000000"/>
        </w:rPr>
      </w:pPr>
    </w:p>
    <w:p w14:paraId="6F35DA64" w14:textId="0A4779EB" w:rsidR="00385C0B" w:rsidRPr="0072173F" w:rsidRDefault="00385C0B" w:rsidP="0072173F">
      <w:pPr>
        <w:spacing w:line="276" w:lineRule="auto"/>
        <w:ind w:firstLine="708"/>
        <w:jc w:val="both"/>
        <w:rPr>
          <w:rFonts w:ascii="Tahoma" w:hAnsi="Tahoma" w:cs="Tahoma"/>
          <w:color w:val="000000"/>
        </w:rPr>
      </w:pPr>
      <w:r w:rsidRPr="0072173F">
        <w:rPr>
          <w:rFonts w:ascii="Tahoma" w:hAnsi="Tahoma" w:cs="Tahoma"/>
          <w:color w:val="000000"/>
        </w:rPr>
        <w:lastRenderedPageBreak/>
        <w:t xml:space="preserve">En este punto debe decirse que se avala el discernimiento de la Jueza de instancia respecto a la </w:t>
      </w:r>
      <w:r w:rsidR="003C72F6" w:rsidRPr="0072173F">
        <w:rPr>
          <w:rFonts w:ascii="Tahoma" w:hAnsi="Tahoma" w:cs="Tahoma"/>
          <w:color w:val="000000"/>
        </w:rPr>
        <w:t xml:space="preserve">indexación del monto a cancelar, hasta el momento de su pago efectivo, teniendo en cuenta la pérdida del poder adquisitivo de la moneda </w:t>
      </w:r>
      <w:r w:rsidRPr="0072173F">
        <w:rPr>
          <w:rFonts w:ascii="Tahoma" w:hAnsi="Tahoma" w:cs="Tahoma"/>
          <w:color w:val="000000"/>
        </w:rPr>
        <w:t xml:space="preserve"> </w:t>
      </w:r>
    </w:p>
    <w:p w14:paraId="00080EB1" w14:textId="77777777" w:rsidR="00385C0B" w:rsidRPr="0072173F" w:rsidRDefault="00385C0B" w:rsidP="0072173F">
      <w:pPr>
        <w:spacing w:line="276" w:lineRule="auto"/>
        <w:ind w:firstLine="708"/>
        <w:jc w:val="both"/>
        <w:rPr>
          <w:rFonts w:ascii="Tahoma" w:hAnsi="Tahoma" w:cs="Tahoma"/>
          <w:color w:val="000000"/>
        </w:rPr>
      </w:pPr>
    </w:p>
    <w:p w14:paraId="57A41F7F" w14:textId="1EBC2710" w:rsidR="00385C0B" w:rsidRPr="0072173F" w:rsidRDefault="003C72F6" w:rsidP="0072173F">
      <w:pPr>
        <w:spacing w:line="276" w:lineRule="auto"/>
        <w:ind w:firstLine="708"/>
        <w:jc w:val="both"/>
        <w:rPr>
          <w:rFonts w:ascii="Tahoma" w:hAnsi="Tahoma" w:cs="Tahoma"/>
          <w:color w:val="000000"/>
        </w:rPr>
      </w:pPr>
      <w:r w:rsidRPr="0072173F">
        <w:rPr>
          <w:rFonts w:ascii="Tahoma" w:hAnsi="Tahoma" w:cs="Tahoma"/>
          <w:color w:val="000000" w:themeColor="text1"/>
        </w:rPr>
        <w:t xml:space="preserve">Las </w:t>
      </w:r>
      <w:r w:rsidR="00385C0B" w:rsidRPr="0072173F">
        <w:rPr>
          <w:rFonts w:ascii="Tahoma" w:hAnsi="Tahoma" w:cs="Tahoma"/>
          <w:color w:val="000000" w:themeColor="text1"/>
        </w:rPr>
        <w:t xml:space="preserve">costas procesales de primera instancia se mantendrán incólumes. </w:t>
      </w:r>
      <w:r w:rsidRPr="0072173F">
        <w:rPr>
          <w:rFonts w:ascii="Tahoma" w:hAnsi="Tahoma" w:cs="Tahoma"/>
          <w:color w:val="000000"/>
        </w:rPr>
        <w:t>En esta instancia correrán a cargo de Colpensiones en un 100% a favor de la parte demandante y se liquidarán por la secretaría del juzgado de origen.</w:t>
      </w:r>
    </w:p>
    <w:p w14:paraId="33334E1B" w14:textId="52482B9D" w:rsidR="003C72F6" w:rsidRPr="0072173F" w:rsidRDefault="003C72F6" w:rsidP="0072173F">
      <w:pPr>
        <w:spacing w:line="276" w:lineRule="auto"/>
        <w:ind w:firstLine="708"/>
        <w:jc w:val="both"/>
        <w:rPr>
          <w:rFonts w:ascii="Tahoma" w:hAnsi="Tahoma" w:cs="Tahoma"/>
        </w:rPr>
      </w:pPr>
    </w:p>
    <w:p w14:paraId="2A98C242" w14:textId="53258993" w:rsidR="003C72F6" w:rsidRPr="0072173F" w:rsidRDefault="0072173F" w:rsidP="0072173F">
      <w:pPr>
        <w:spacing w:line="276" w:lineRule="auto"/>
        <w:ind w:firstLine="705"/>
        <w:jc w:val="both"/>
        <w:rPr>
          <w:rFonts w:ascii="Tahoma" w:eastAsia="Tahoma" w:hAnsi="Tahoma" w:cs="Tahoma"/>
        </w:rPr>
      </w:pPr>
      <w:r>
        <w:rPr>
          <w:rFonts w:ascii="Tahoma" w:eastAsia="Tahoma" w:hAnsi="Tahoma" w:cs="Tahoma"/>
        </w:rPr>
        <w:t>(…)</w:t>
      </w:r>
    </w:p>
    <w:p w14:paraId="4E5940C6" w14:textId="77777777" w:rsidR="00385C0B" w:rsidRPr="0072173F" w:rsidRDefault="00385C0B" w:rsidP="0072173F">
      <w:pPr>
        <w:spacing w:line="276" w:lineRule="auto"/>
        <w:ind w:firstLine="708"/>
        <w:jc w:val="both"/>
        <w:rPr>
          <w:rFonts w:ascii="Tahoma" w:hAnsi="Tahoma" w:cs="Tahoma"/>
        </w:rPr>
      </w:pPr>
    </w:p>
    <w:p w14:paraId="5116CC83" w14:textId="1B1E92D8" w:rsidR="00385C0B" w:rsidRPr="0072173F" w:rsidRDefault="00385C0B" w:rsidP="0072173F">
      <w:pPr>
        <w:pStyle w:val="Sangradetextonormal"/>
        <w:spacing w:line="276" w:lineRule="auto"/>
      </w:pPr>
      <w:r w:rsidRPr="0072173F">
        <w:t xml:space="preserve">En mérito de lo expuesto, el </w:t>
      </w:r>
      <w:r w:rsidRPr="0072173F">
        <w:rPr>
          <w:b/>
        </w:rPr>
        <w:t>Tribunal Superior del Distrito Judicial de Pereira (Risaralda)</w:t>
      </w:r>
      <w:r w:rsidRPr="0072173F">
        <w:t xml:space="preserve">, </w:t>
      </w:r>
      <w:r w:rsidRPr="0072173F">
        <w:rPr>
          <w:b/>
        </w:rPr>
        <w:t>Sala</w:t>
      </w:r>
      <w:r w:rsidR="003C72F6" w:rsidRPr="0072173F">
        <w:rPr>
          <w:b/>
        </w:rPr>
        <w:t xml:space="preserve"> Primera</w:t>
      </w:r>
      <w:r w:rsidRPr="0072173F">
        <w:rPr>
          <w:b/>
        </w:rPr>
        <w:t xml:space="preserve"> de Decisión Laboral</w:t>
      </w:r>
      <w:r w:rsidRPr="0072173F">
        <w:t>, administrando justicia en nombre de la República y por autoridad de la Ley,</w:t>
      </w:r>
    </w:p>
    <w:p w14:paraId="72B09C99" w14:textId="77777777" w:rsidR="00385C0B" w:rsidRPr="0072173F" w:rsidRDefault="00385C0B" w:rsidP="0072173F">
      <w:pPr>
        <w:pStyle w:val="Sangradetextonormal"/>
        <w:spacing w:line="276" w:lineRule="auto"/>
      </w:pPr>
    </w:p>
    <w:p w14:paraId="7C747FB5" w14:textId="7BD087B9" w:rsidR="00385C0B" w:rsidRPr="0072173F" w:rsidRDefault="00385C0B" w:rsidP="0072173F">
      <w:pPr>
        <w:pStyle w:val="Prrafodelista"/>
        <w:widowControl w:val="0"/>
        <w:numPr>
          <w:ilvl w:val="0"/>
          <w:numId w:val="44"/>
        </w:numPr>
        <w:tabs>
          <w:tab w:val="left" w:pos="284"/>
        </w:tabs>
        <w:autoSpaceDE w:val="0"/>
        <w:autoSpaceDN w:val="0"/>
        <w:adjustRightInd w:val="0"/>
        <w:spacing w:line="276" w:lineRule="auto"/>
        <w:jc w:val="center"/>
        <w:rPr>
          <w:rFonts w:ascii="Tahoma" w:hAnsi="Tahoma" w:cs="Tahoma"/>
          <w:b/>
        </w:rPr>
      </w:pPr>
      <w:r w:rsidRPr="0072173F">
        <w:rPr>
          <w:rFonts w:ascii="Tahoma" w:hAnsi="Tahoma" w:cs="Tahoma"/>
          <w:b/>
        </w:rPr>
        <w:t>RESUELVE</w:t>
      </w:r>
    </w:p>
    <w:p w14:paraId="7C6745EF" w14:textId="77777777" w:rsidR="00D51494" w:rsidRPr="0072173F" w:rsidRDefault="00D51494" w:rsidP="0072173F">
      <w:pPr>
        <w:pStyle w:val="Sinespaciado"/>
        <w:spacing w:line="276" w:lineRule="auto"/>
        <w:rPr>
          <w:rFonts w:ascii="Tahoma" w:hAnsi="Tahoma" w:cs="Tahoma"/>
        </w:rPr>
      </w:pPr>
    </w:p>
    <w:p w14:paraId="5432E61C" w14:textId="1787EC30" w:rsidR="003C72F6" w:rsidRPr="0072173F" w:rsidRDefault="003C72F6" w:rsidP="0072173F">
      <w:pPr>
        <w:spacing w:line="276" w:lineRule="auto"/>
        <w:ind w:firstLine="708"/>
        <w:jc w:val="both"/>
        <w:rPr>
          <w:rFonts w:ascii="Tahoma" w:hAnsi="Tahoma" w:cs="Tahoma"/>
          <w:b/>
          <w:bCs/>
        </w:rPr>
      </w:pPr>
      <w:r w:rsidRPr="0072173F">
        <w:rPr>
          <w:rFonts w:ascii="Tahoma" w:hAnsi="Tahoma" w:cs="Tahoma"/>
          <w:b/>
          <w:bCs/>
          <w:u w:val="single"/>
        </w:rPr>
        <w:t>PRIMERO</w:t>
      </w:r>
      <w:r w:rsidRPr="0072173F">
        <w:rPr>
          <w:rFonts w:ascii="Tahoma" w:hAnsi="Tahoma" w:cs="Tahoma"/>
        </w:rPr>
        <w:t xml:space="preserve">.- </w:t>
      </w:r>
      <w:r w:rsidRPr="0072173F">
        <w:rPr>
          <w:rFonts w:ascii="Tahoma" w:hAnsi="Tahoma" w:cs="Tahoma"/>
          <w:b/>
          <w:bCs/>
        </w:rPr>
        <w:t xml:space="preserve">MODIFICAR </w:t>
      </w:r>
      <w:r w:rsidRPr="0072173F">
        <w:rPr>
          <w:rFonts w:ascii="Tahoma" w:hAnsi="Tahoma" w:cs="Tahoma"/>
        </w:rPr>
        <w:t xml:space="preserve">el ordinal segundo de la sentencia proferida por el Juzgado </w:t>
      </w:r>
      <w:r w:rsidR="00EA7350" w:rsidRPr="0072173F">
        <w:rPr>
          <w:rFonts w:ascii="Tahoma" w:hAnsi="Tahoma" w:cs="Tahoma"/>
        </w:rPr>
        <w:t xml:space="preserve">Cuarto </w:t>
      </w:r>
      <w:r w:rsidRPr="0072173F">
        <w:rPr>
          <w:rFonts w:ascii="Tahoma" w:hAnsi="Tahoma" w:cs="Tahoma"/>
        </w:rPr>
        <w:t xml:space="preserve">Laboral del Circuito de Pereira el 14 de </w:t>
      </w:r>
      <w:r w:rsidR="00EA7350" w:rsidRPr="0072173F">
        <w:rPr>
          <w:rFonts w:ascii="Tahoma" w:hAnsi="Tahoma" w:cs="Tahoma"/>
        </w:rPr>
        <w:t xml:space="preserve">octubre </w:t>
      </w:r>
      <w:r w:rsidRPr="0072173F">
        <w:rPr>
          <w:rFonts w:ascii="Tahoma" w:hAnsi="Tahoma" w:cs="Tahoma"/>
        </w:rPr>
        <w:t xml:space="preserve">de 2020, dentro del proceso </w:t>
      </w:r>
      <w:r w:rsidRPr="0072173F">
        <w:rPr>
          <w:rStyle w:val="normaltextrun"/>
          <w:rFonts w:ascii="Tahoma" w:hAnsi="Tahoma" w:cs="Tahoma"/>
        </w:rPr>
        <w:t>instaurado por</w:t>
      </w:r>
      <w:r w:rsidRPr="0072173F">
        <w:rPr>
          <w:rFonts w:ascii="Tahoma" w:hAnsi="Tahoma" w:cs="Tahoma"/>
        </w:rPr>
        <w:t xml:space="preserve"> </w:t>
      </w:r>
      <w:r w:rsidR="00EA7350" w:rsidRPr="0072173F">
        <w:rPr>
          <w:rFonts w:ascii="Tahoma" w:hAnsi="Tahoma" w:cs="Tahoma"/>
          <w:b/>
          <w:bCs/>
        </w:rPr>
        <w:t xml:space="preserve">María </w:t>
      </w:r>
      <w:proofErr w:type="spellStart"/>
      <w:r w:rsidR="00EA7350" w:rsidRPr="0072173F">
        <w:rPr>
          <w:rFonts w:ascii="Tahoma" w:hAnsi="Tahoma" w:cs="Tahoma"/>
          <w:b/>
          <w:bCs/>
        </w:rPr>
        <w:t>Ludivia</w:t>
      </w:r>
      <w:proofErr w:type="spellEnd"/>
      <w:r w:rsidR="00EA7350" w:rsidRPr="0072173F">
        <w:rPr>
          <w:rFonts w:ascii="Tahoma" w:hAnsi="Tahoma" w:cs="Tahoma"/>
          <w:b/>
          <w:bCs/>
        </w:rPr>
        <w:t xml:space="preserve"> Gutiérrez Otálvaro</w:t>
      </w:r>
      <w:r w:rsidR="00EA7350" w:rsidRPr="0072173F">
        <w:rPr>
          <w:rFonts w:ascii="Tahoma" w:hAnsi="Tahoma" w:cs="Tahoma"/>
        </w:rPr>
        <w:t xml:space="preserve"> en contra de la </w:t>
      </w:r>
      <w:r w:rsidR="00EA7350" w:rsidRPr="0072173F">
        <w:rPr>
          <w:rFonts w:ascii="Tahoma" w:hAnsi="Tahoma" w:cs="Tahoma"/>
          <w:b/>
          <w:bCs/>
        </w:rPr>
        <w:t xml:space="preserve">Administradora </w:t>
      </w:r>
      <w:r w:rsidR="7B6B9E99" w:rsidRPr="0072173F">
        <w:rPr>
          <w:rFonts w:ascii="Tahoma" w:hAnsi="Tahoma" w:cs="Tahoma"/>
          <w:b/>
          <w:bCs/>
        </w:rPr>
        <w:t xml:space="preserve">Colombiana </w:t>
      </w:r>
      <w:r w:rsidR="00EA7350" w:rsidRPr="0072173F">
        <w:rPr>
          <w:rFonts w:ascii="Tahoma" w:hAnsi="Tahoma" w:cs="Tahoma"/>
          <w:b/>
          <w:bCs/>
        </w:rPr>
        <w:t>de Pensiones Colpensiones</w:t>
      </w:r>
      <w:r w:rsidRPr="0072173F">
        <w:rPr>
          <w:rFonts w:ascii="Tahoma" w:hAnsi="Tahoma" w:cs="Tahoma"/>
        </w:rPr>
        <w:t xml:space="preserve">, en el sentido de que el retroactivo causado entre el </w:t>
      </w:r>
      <w:r w:rsidR="00EA7350" w:rsidRPr="0072173F">
        <w:rPr>
          <w:rFonts w:ascii="Tahoma" w:hAnsi="Tahoma" w:cs="Tahoma"/>
        </w:rPr>
        <w:t>2 de marzo de 2015</w:t>
      </w:r>
      <w:r w:rsidRPr="0072173F">
        <w:rPr>
          <w:rFonts w:ascii="Tahoma" w:hAnsi="Tahoma" w:cs="Tahoma"/>
        </w:rPr>
        <w:t xml:space="preserve"> y el 28 de febrero de 2021 asciende a la suma de $</w:t>
      </w:r>
      <w:r w:rsidR="00EA7350" w:rsidRPr="0072173F">
        <w:rPr>
          <w:rFonts w:ascii="Tahoma" w:hAnsi="Tahoma" w:cs="Tahoma"/>
          <w:color w:val="000000" w:themeColor="text1"/>
        </w:rPr>
        <w:t>66.228.706</w:t>
      </w:r>
      <w:r w:rsidRPr="0072173F">
        <w:rPr>
          <w:rFonts w:ascii="Tahoma" w:hAnsi="Tahoma" w:cs="Tahoma"/>
        </w:rPr>
        <w:t>, sin perjuicio de las mesadas que se causen con posterioridad y los descuentos de ley .</w:t>
      </w:r>
    </w:p>
    <w:p w14:paraId="3FB2A985" w14:textId="77777777" w:rsidR="003C72F6" w:rsidRPr="0072173F" w:rsidRDefault="003C72F6" w:rsidP="0072173F">
      <w:pPr>
        <w:spacing w:line="276" w:lineRule="auto"/>
        <w:ind w:firstLine="708"/>
        <w:jc w:val="both"/>
        <w:rPr>
          <w:rFonts w:ascii="Tahoma" w:hAnsi="Tahoma" w:cs="Tahoma"/>
          <w:b/>
          <w:lang w:val="es-ES_tradnl"/>
        </w:rPr>
      </w:pPr>
    </w:p>
    <w:p w14:paraId="441E3BFE" w14:textId="7EC93335" w:rsidR="003C72F6" w:rsidRPr="0072173F" w:rsidRDefault="0072173F" w:rsidP="0072173F">
      <w:pPr>
        <w:spacing w:line="276" w:lineRule="auto"/>
        <w:ind w:firstLine="708"/>
        <w:jc w:val="both"/>
        <w:rPr>
          <w:rFonts w:ascii="Tahoma" w:eastAsia="Tahoma" w:hAnsi="Tahoma" w:cs="Tahoma"/>
        </w:rPr>
      </w:pPr>
      <w:r w:rsidRPr="0072173F">
        <w:rPr>
          <w:rFonts w:ascii="Tahoma" w:hAnsi="Tahoma" w:cs="Tahoma"/>
          <w:b/>
          <w:u w:val="single"/>
        </w:rPr>
        <w:t>SEGUNDO</w:t>
      </w:r>
      <w:r w:rsidRPr="0072173F">
        <w:rPr>
          <w:rFonts w:ascii="Tahoma" w:hAnsi="Tahoma" w:cs="Tahoma"/>
          <w:b/>
        </w:rPr>
        <w:t>. -</w:t>
      </w:r>
      <w:r w:rsidR="003C72F6" w:rsidRPr="0072173F">
        <w:rPr>
          <w:rFonts w:ascii="Tahoma" w:hAnsi="Tahoma" w:cs="Tahoma"/>
          <w:b/>
        </w:rPr>
        <w:t xml:space="preserve"> </w:t>
      </w:r>
      <w:r w:rsidR="003C72F6" w:rsidRPr="0072173F">
        <w:rPr>
          <w:rFonts w:ascii="Tahoma" w:hAnsi="Tahoma" w:cs="Tahoma"/>
        </w:rPr>
        <w:t>Costas de segunda instancia a cargo de Colpensiones en un 100% a favor de la demandante. Liquídense por la secretaría del juzgado de origen.</w:t>
      </w:r>
    </w:p>
    <w:p w14:paraId="56F04F98" w14:textId="77777777" w:rsidR="003C72F6" w:rsidRPr="0072173F" w:rsidRDefault="003C72F6" w:rsidP="0072173F">
      <w:pPr>
        <w:spacing w:line="276" w:lineRule="auto"/>
        <w:ind w:firstLine="709"/>
        <w:jc w:val="both"/>
        <w:rPr>
          <w:rFonts w:ascii="Tahoma" w:hAnsi="Tahoma" w:cs="Tahoma"/>
          <w:b/>
        </w:rPr>
      </w:pPr>
    </w:p>
    <w:p w14:paraId="250E208A" w14:textId="2A13E2E9" w:rsidR="0072173F" w:rsidRPr="0072173F" w:rsidRDefault="0072173F" w:rsidP="0072173F">
      <w:pPr>
        <w:spacing w:line="276" w:lineRule="auto"/>
        <w:ind w:firstLine="705"/>
        <w:jc w:val="both"/>
        <w:rPr>
          <w:rFonts w:ascii="Tahoma" w:eastAsia="Tahoma" w:hAnsi="Tahoma" w:cs="Tahoma"/>
        </w:rPr>
      </w:pPr>
      <w:r w:rsidRPr="0072173F">
        <w:rPr>
          <w:rFonts w:ascii="Tahoma" w:hAnsi="Tahoma" w:cs="Tahoma"/>
          <w:b/>
          <w:u w:val="single"/>
        </w:rPr>
        <w:t>TERCERO</w:t>
      </w:r>
      <w:r w:rsidRPr="0072173F">
        <w:rPr>
          <w:rFonts w:ascii="Tahoma" w:hAnsi="Tahoma" w:cs="Tahoma"/>
          <w:b/>
        </w:rPr>
        <w:t>. -</w:t>
      </w:r>
      <w:r w:rsidR="003C72F6" w:rsidRPr="0072173F">
        <w:rPr>
          <w:rFonts w:ascii="Tahoma" w:hAnsi="Tahoma" w:cs="Tahoma"/>
          <w:b/>
        </w:rPr>
        <w:t xml:space="preserve"> </w:t>
      </w:r>
      <w:r>
        <w:rPr>
          <w:rFonts w:ascii="Tahoma" w:eastAsia="Tahoma" w:hAnsi="Tahoma" w:cs="Tahoma"/>
        </w:rPr>
        <w:t>(…)</w:t>
      </w:r>
    </w:p>
    <w:p w14:paraId="1F7C5049" w14:textId="59AB8B5C" w:rsidR="00D51494" w:rsidRPr="0072173F" w:rsidRDefault="00D51494" w:rsidP="0072173F">
      <w:pPr>
        <w:spacing w:line="276" w:lineRule="auto"/>
        <w:ind w:firstLine="709"/>
        <w:jc w:val="both"/>
        <w:rPr>
          <w:rFonts w:ascii="Tahoma" w:hAnsi="Tahoma" w:cs="Tahoma"/>
        </w:rPr>
      </w:pPr>
    </w:p>
    <w:p w14:paraId="2C4F8A75" w14:textId="0268914A" w:rsidR="00ED2367" w:rsidRPr="0072173F" w:rsidRDefault="00ED2367" w:rsidP="0072173F">
      <w:pPr>
        <w:pStyle w:val="Prrafodelista"/>
        <w:widowControl w:val="0"/>
        <w:autoSpaceDE w:val="0"/>
        <w:autoSpaceDN w:val="0"/>
        <w:adjustRightInd w:val="0"/>
        <w:spacing w:line="276" w:lineRule="auto"/>
        <w:ind w:left="0" w:firstLine="709"/>
        <w:jc w:val="both"/>
        <w:rPr>
          <w:rFonts w:ascii="Tahoma" w:hAnsi="Tahoma" w:cs="Tahoma"/>
          <w:b/>
          <w:bCs/>
        </w:rPr>
      </w:pPr>
      <w:r w:rsidRPr="0072173F">
        <w:rPr>
          <w:rFonts w:ascii="Tahoma" w:hAnsi="Tahoma" w:cs="Tahoma"/>
          <w:b/>
          <w:bCs/>
        </w:rPr>
        <w:t>Notifíquese y cúmplase.</w:t>
      </w:r>
    </w:p>
    <w:p w14:paraId="5A5D7610" w14:textId="77777777" w:rsidR="0072173F" w:rsidRPr="0072173F" w:rsidRDefault="0072173F" w:rsidP="0072173F">
      <w:pPr>
        <w:spacing w:line="276" w:lineRule="auto"/>
        <w:jc w:val="both"/>
        <w:rPr>
          <w:rFonts w:ascii="Tahoma" w:hAnsi="Tahoma" w:cs="Tahoma"/>
          <w:lang w:val="es-CO" w:eastAsia="es-ES_tradnl"/>
        </w:rPr>
      </w:pPr>
    </w:p>
    <w:p w14:paraId="4E872871" w14:textId="77777777" w:rsidR="0072173F" w:rsidRPr="0072173F" w:rsidRDefault="0072173F" w:rsidP="0072173F">
      <w:pPr>
        <w:widowControl w:val="0"/>
        <w:autoSpaceDE w:val="0"/>
        <w:autoSpaceDN w:val="0"/>
        <w:adjustRightInd w:val="0"/>
        <w:spacing w:line="276" w:lineRule="auto"/>
        <w:jc w:val="both"/>
        <w:rPr>
          <w:rFonts w:ascii="Tahoma" w:hAnsi="Tahoma" w:cs="Tahoma"/>
        </w:rPr>
      </w:pPr>
      <w:r w:rsidRPr="0072173F">
        <w:rPr>
          <w:rFonts w:ascii="Tahoma" w:hAnsi="Tahoma" w:cs="Tahoma"/>
        </w:rPr>
        <w:tab/>
        <w:t>La Magistrada ponente,</w:t>
      </w:r>
    </w:p>
    <w:p w14:paraId="32274EB8" w14:textId="77777777" w:rsidR="0072173F" w:rsidRPr="0072173F" w:rsidRDefault="0072173F" w:rsidP="0072173F">
      <w:pPr>
        <w:spacing w:line="276" w:lineRule="auto"/>
        <w:rPr>
          <w:rFonts w:ascii="Tahoma" w:hAnsi="Tahoma" w:cs="Tahoma"/>
        </w:rPr>
      </w:pPr>
    </w:p>
    <w:p w14:paraId="2903B041" w14:textId="77777777" w:rsidR="0072173F" w:rsidRPr="0072173F" w:rsidRDefault="0072173F" w:rsidP="0072173F">
      <w:pPr>
        <w:spacing w:line="276" w:lineRule="auto"/>
        <w:rPr>
          <w:rFonts w:ascii="Tahoma" w:hAnsi="Tahoma" w:cs="Tahoma"/>
        </w:rPr>
      </w:pPr>
    </w:p>
    <w:p w14:paraId="0D8D6510" w14:textId="77777777" w:rsidR="0072173F" w:rsidRPr="0072173F" w:rsidRDefault="0072173F" w:rsidP="0072173F">
      <w:pPr>
        <w:spacing w:line="276" w:lineRule="auto"/>
        <w:rPr>
          <w:rFonts w:ascii="Tahoma" w:hAnsi="Tahoma" w:cs="Tahoma"/>
        </w:rPr>
      </w:pPr>
    </w:p>
    <w:p w14:paraId="046ADA2D" w14:textId="77777777" w:rsidR="0072173F" w:rsidRPr="0072173F" w:rsidRDefault="0072173F" w:rsidP="0072173F">
      <w:pPr>
        <w:keepNext/>
        <w:spacing w:line="276" w:lineRule="auto"/>
        <w:jc w:val="center"/>
        <w:outlineLvl w:val="2"/>
        <w:rPr>
          <w:rFonts w:ascii="Tahoma" w:hAnsi="Tahoma" w:cs="Tahoma"/>
          <w:b/>
          <w:bCs/>
        </w:rPr>
      </w:pPr>
      <w:r w:rsidRPr="0072173F">
        <w:rPr>
          <w:rFonts w:ascii="Tahoma" w:hAnsi="Tahoma" w:cs="Tahoma"/>
          <w:b/>
          <w:bCs/>
        </w:rPr>
        <w:t>ANA LUCÍA CAICEDO CALDERÓN</w:t>
      </w:r>
    </w:p>
    <w:p w14:paraId="1240AF24" w14:textId="77777777" w:rsidR="0072173F" w:rsidRPr="0072173F" w:rsidRDefault="0072173F" w:rsidP="0072173F">
      <w:pPr>
        <w:spacing w:line="276" w:lineRule="auto"/>
        <w:rPr>
          <w:rFonts w:ascii="Tahoma" w:hAnsi="Tahoma" w:cs="Tahoma"/>
        </w:rPr>
      </w:pPr>
    </w:p>
    <w:p w14:paraId="568BB3CC" w14:textId="77777777" w:rsidR="0072173F" w:rsidRPr="0072173F" w:rsidRDefault="0072173F" w:rsidP="0072173F">
      <w:pPr>
        <w:spacing w:line="276" w:lineRule="auto"/>
        <w:ind w:firstLine="708"/>
        <w:rPr>
          <w:rFonts w:ascii="Tahoma" w:hAnsi="Tahoma" w:cs="Tahoma"/>
        </w:rPr>
      </w:pPr>
      <w:bookmarkStart w:id="2" w:name="_Hlk62478330"/>
      <w:r w:rsidRPr="0072173F">
        <w:rPr>
          <w:rFonts w:ascii="Tahoma" w:hAnsi="Tahoma" w:cs="Tahoma"/>
        </w:rPr>
        <w:t>La Magistrada y el Magistrado,</w:t>
      </w:r>
    </w:p>
    <w:p w14:paraId="487D6A08" w14:textId="77777777" w:rsidR="0072173F" w:rsidRPr="0072173F" w:rsidRDefault="0072173F" w:rsidP="0072173F">
      <w:pPr>
        <w:spacing w:line="276" w:lineRule="auto"/>
        <w:rPr>
          <w:rFonts w:ascii="Tahoma" w:hAnsi="Tahoma" w:cs="Tahoma"/>
        </w:rPr>
      </w:pPr>
    </w:p>
    <w:p w14:paraId="0E599558" w14:textId="77777777" w:rsidR="0072173F" w:rsidRPr="0072173F" w:rsidRDefault="0072173F" w:rsidP="0072173F">
      <w:pPr>
        <w:spacing w:line="276" w:lineRule="auto"/>
        <w:rPr>
          <w:rFonts w:ascii="Tahoma" w:hAnsi="Tahoma" w:cs="Tahoma"/>
        </w:rPr>
      </w:pPr>
    </w:p>
    <w:p w14:paraId="1DC2FBAE" w14:textId="77777777" w:rsidR="0072173F" w:rsidRPr="0072173F" w:rsidRDefault="0072173F" w:rsidP="0072173F">
      <w:pPr>
        <w:spacing w:line="276" w:lineRule="auto"/>
        <w:rPr>
          <w:rFonts w:ascii="Tahoma" w:hAnsi="Tahoma" w:cs="Tahoma"/>
        </w:rPr>
      </w:pPr>
    </w:p>
    <w:p w14:paraId="5C3E0A37" w14:textId="77777777" w:rsidR="0072173F" w:rsidRPr="0072173F" w:rsidRDefault="0072173F" w:rsidP="0072173F">
      <w:pPr>
        <w:spacing w:line="276" w:lineRule="auto"/>
        <w:jc w:val="both"/>
        <w:rPr>
          <w:rFonts w:ascii="Tahoma" w:hAnsi="Tahoma" w:cs="Tahoma"/>
        </w:rPr>
      </w:pPr>
      <w:r w:rsidRPr="0072173F">
        <w:rPr>
          <w:rFonts w:ascii="Tahoma" w:hAnsi="Tahoma" w:cs="Tahoma"/>
          <w:b/>
          <w:bCs/>
        </w:rPr>
        <w:t>OLGA LUCÍA HOYOS SEPÚLVEDA</w:t>
      </w:r>
      <w:r w:rsidRPr="0072173F">
        <w:rPr>
          <w:rFonts w:ascii="Tahoma" w:hAnsi="Tahoma" w:cs="Tahoma"/>
          <w:b/>
          <w:bCs/>
        </w:rPr>
        <w:tab/>
      </w:r>
      <w:r w:rsidRPr="0072173F">
        <w:rPr>
          <w:rFonts w:ascii="Tahoma" w:hAnsi="Tahoma" w:cs="Tahoma"/>
          <w:b/>
          <w:bCs/>
        </w:rPr>
        <w:tab/>
        <w:t>GERMÁN DARÍO GÓEZ VINASCO</w:t>
      </w:r>
      <w:bookmarkEnd w:id="2"/>
    </w:p>
    <w:p w14:paraId="7B4D8B0D" w14:textId="604659E4" w:rsidR="00036862" w:rsidRPr="0072173F" w:rsidRDefault="0072173F" w:rsidP="0072173F">
      <w:pPr>
        <w:widowControl w:val="0"/>
        <w:autoSpaceDE w:val="0"/>
        <w:autoSpaceDN w:val="0"/>
        <w:adjustRightInd w:val="0"/>
        <w:spacing w:line="276" w:lineRule="auto"/>
        <w:jc w:val="both"/>
        <w:rPr>
          <w:rFonts w:ascii="Tahoma" w:hAnsi="Tahoma" w:cs="Tahoma"/>
        </w:rPr>
      </w:pPr>
      <w:r>
        <w:rPr>
          <w:rFonts w:ascii="Tahoma" w:hAnsi="Tahoma" w:cs="Tahoma"/>
        </w:rPr>
        <w:t>Aclara voto</w:t>
      </w:r>
    </w:p>
    <w:sectPr w:rsidR="00036862" w:rsidRPr="0072173F" w:rsidSect="0072173F">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9CA515" w16cex:dateUtc="2021-03-08T14:01:18.734Z"/>
  <w16cex:commentExtensible w16cex:durableId="41C8E84D" w16cex:dateUtc="2021-03-08T14:11:19.502Z"/>
  <w16cex:commentExtensible w16cex:durableId="02195251" w16cex:dateUtc="2021-03-08T19:45:30.952Z"/>
  <w16cex:commentExtensible w16cex:durableId="794FD919" w16cex:dateUtc="2021-03-11T20:44:46.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E5D4" w14:textId="77777777" w:rsidR="000051E0" w:rsidRDefault="000051E0">
      <w:r>
        <w:separator/>
      </w:r>
    </w:p>
  </w:endnote>
  <w:endnote w:type="continuationSeparator" w:id="0">
    <w:p w14:paraId="72B252CB" w14:textId="77777777" w:rsidR="000051E0" w:rsidRDefault="0000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7A11" w:rsidRPr="0072173F" w:rsidRDefault="00457A11">
    <w:pPr>
      <w:pStyle w:val="Piedepgina"/>
      <w:jc w:val="right"/>
      <w:rPr>
        <w:rFonts w:ascii="Arial" w:hAnsi="Arial" w:cs="Arial"/>
        <w:sz w:val="18"/>
        <w:szCs w:val="16"/>
      </w:rPr>
    </w:pPr>
    <w:r w:rsidRPr="0072173F">
      <w:rPr>
        <w:rFonts w:ascii="Arial" w:hAnsi="Arial" w:cs="Arial"/>
        <w:sz w:val="18"/>
        <w:szCs w:val="16"/>
      </w:rPr>
      <w:fldChar w:fldCharType="begin"/>
    </w:r>
    <w:r w:rsidRPr="0072173F">
      <w:rPr>
        <w:rFonts w:ascii="Arial" w:hAnsi="Arial" w:cs="Arial"/>
        <w:sz w:val="18"/>
        <w:szCs w:val="16"/>
      </w:rPr>
      <w:instrText>PAGE   \* MERGEFORMAT</w:instrText>
    </w:r>
    <w:r w:rsidRPr="0072173F">
      <w:rPr>
        <w:rFonts w:ascii="Arial" w:hAnsi="Arial" w:cs="Arial"/>
        <w:sz w:val="18"/>
        <w:szCs w:val="16"/>
      </w:rPr>
      <w:fldChar w:fldCharType="separate"/>
    </w:r>
    <w:r w:rsidRPr="0072173F">
      <w:rPr>
        <w:rFonts w:ascii="Arial" w:hAnsi="Arial" w:cs="Arial"/>
        <w:sz w:val="18"/>
        <w:szCs w:val="16"/>
      </w:rPr>
      <w:t>2</w:t>
    </w:r>
    <w:r w:rsidRPr="0072173F">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F145" w14:textId="77777777" w:rsidR="000051E0" w:rsidRDefault="000051E0">
      <w:r>
        <w:separator/>
      </w:r>
    </w:p>
  </w:footnote>
  <w:footnote w:type="continuationSeparator" w:id="0">
    <w:p w14:paraId="3FBA878C" w14:textId="77777777" w:rsidR="000051E0" w:rsidRDefault="000051E0">
      <w:r>
        <w:continuationSeparator/>
      </w:r>
    </w:p>
  </w:footnote>
  <w:footnote w:id="1">
    <w:p w14:paraId="625EE09C" w14:textId="1E71A313" w:rsidR="0081600A" w:rsidRPr="0072173F" w:rsidRDefault="0081600A" w:rsidP="0072173F">
      <w:pPr>
        <w:pStyle w:val="Textonotapie"/>
        <w:jc w:val="both"/>
        <w:rPr>
          <w:rFonts w:ascii="Arial" w:hAnsi="Arial" w:cs="Arial"/>
          <w:sz w:val="18"/>
          <w:szCs w:val="24"/>
        </w:rPr>
      </w:pPr>
      <w:r w:rsidRPr="0072173F">
        <w:rPr>
          <w:rStyle w:val="Refdenotaalpie"/>
          <w:rFonts w:ascii="Arial" w:hAnsi="Arial" w:cs="Arial"/>
          <w:sz w:val="18"/>
          <w:szCs w:val="24"/>
        </w:rPr>
        <w:footnoteRef/>
      </w:r>
      <w:r w:rsidRPr="0072173F">
        <w:rPr>
          <w:rFonts w:ascii="Arial" w:hAnsi="Arial" w:cs="Arial"/>
          <w:sz w:val="18"/>
          <w:szCs w:val="24"/>
        </w:rPr>
        <w:t xml:space="preserve"> Según da cuenta el archivo GRF-AAT-RP-2018_2517819-20180521100141 que reposa en el expediente administrativo allegado en medio magnético por la demandada.</w:t>
      </w:r>
    </w:p>
  </w:footnote>
  <w:footnote w:id="2">
    <w:p w14:paraId="776EC399" w14:textId="4D882C4F" w:rsidR="00826821" w:rsidRPr="0072173F" w:rsidRDefault="00826821" w:rsidP="0072173F">
      <w:pPr>
        <w:pStyle w:val="Textonotapie"/>
        <w:jc w:val="both"/>
        <w:rPr>
          <w:rFonts w:ascii="Arial" w:hAnsi="Arial" w:cs="Arial"/>
          <w:sz w:val="18"/>
          <w:szCs w:val="24"/>
        </w:rPr>
      </w:pPr>
      <w:r w:rsidRPr="0072173F">
        <w:rPr>
          <w:rStyle w:val="Refdenotaalpie"/>
          <w:rFonts w:ascii="Arial" w:hAnsi="Arial" w:cs="Arial"/>
          <w:sz w:val="18"/>
          <w:szCs w:val="24"/>
        </w:rPr>
        <w:footnoteRef/>
      </w:r>
      <w:r w:rsidRPr="0072173F">
        <w:rPr>
          <w:rFonts w:ascii="Arial" w:hAnsi="Arial" w:cs="Arial"/>
          <w:sz w:val="18"/>
          <w:szCs w:val="24"/>
        </w:rPr>
        <w:t xml:space="preserve"> Disponía el literal a. del artículo 47 de la Ley 100 de 1993 en su texto primigenio:</w:t>
      </w:r>
    </w:p>
    <w:p w14:paraId="2A7D2DF6" w14:textId="307682E4" w:rsidR="00826821" w:rsidRPr="0072173F" w:rsidRDefault="00826821" w:rsidP="0072173F">
      <w:pPr>
        <w:pStyle w:val="Textonotapie"/>
        <w:jc w:val="both"/>
        <w:rPr>
          <w:rFonts w:ascii="Arial" w:hAnsi="Arial" w:cs="Arial"/>
          <w:sz w:val="18"/>
          <w:szCs w:val="24"/>
        </w:rPr>
      </w:pPr>
      <w:r w:rsidRPr="0072173F">
        <w:rPr>
          <w:rFonts w:ascii="Arial" w:hAnsi="Arial" w:cs="Arial"/>
          <w:sz w:val="18"/>
          <w:szCs w:val="24"/>
        </w:rPr>
        <w:t>“En caso de que la pensión de sobrevivencia se cause por muerte del pensionado, el cónyuge o la </w:t>
      </w:r>
      <w:r w:rsidRPr="0072173F">
        <w:rPr>
          <w:rStyle w:val="iaj"/>
          <w:rFonts w:ascii="Arial" w:hAnsi="Arial" w:cs="Arial"/>
          <w:i/>
          <w:iCs/>
          <w:sz w:val="18"/>
          <w:szCs w:val="24"/>
          <w:u w:val="single"/>
        </w:rPr>
        <w:t>compañera o compañero permanente supérstite</w:t>
      </w:r>
      <w:r w:rsidRPr="0072173F">
        <w:rPr>
          <w:rFonts w:ascii="Arial" w:hAnsi="Arial" w:cs="Arial"/>
          <w:sz w:val="18"/>
          <w:szCs w:val="24"/>
        </w:rPr>
        <w:t xml:space="preserve">, deberá acreditar que estuvo haciendo vida marital con el </w:t>
      </w:r>
      <w:r w:rsidR="0072173F" w:rsidRPr="0072173F">
        <w:rPr>
          <w:rFonts w:ascii="Arial" w:hAnsi="Arial" w:cs="Arial"/>
          <w:sz w:val="18"/>
          <w:szCs w:val="24"/>
        </w:rPr>
        <w:t>causante,</w:t>
      </w:r>
      <w:r w:rsidRPr="0072173F">
        <w:rPr>
          <w:rFonts w:ascii="Arial" w:hAnsi="Arial" w:cs="Arial"/>
          <w:sz w:val="18"/>
          <w:szCs w:val="24"/>
        </w:rPr>
        <w:t xml:space="preserve"> y hasta su muerte, y haya convivido con el fallecido no menos de dos (2) años continuos con anterioridad a su muerte, </w:t>
      </w:r>
      <w:r w:rsidRPr="0072173F">
        <w:rPr>
          <w:rFonts w:ascii="Arial" w:hAnsi="Arial" w:cs="Arial"/>
          <w:sz w:val="18"/>
          <w:szCs w:val="24"/>
          <w:u w:val="single"/>
        </w:rPr>
        <w:t>salvo que haya procreado uno o más hijos con el pensionado fallecido</w:t>
      </w:r>
      <w:r w:rsidRPr="0072173F">
        <w:rPr>
          <w:rFonts w:ascii="Arial" w:hAnsi="Arial" w:cs="Arial"/>
          <w:sz w:val="18"/>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7A11" w:rsidRDefault="00457A1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7A11" w:rsidRDefault="00457A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E165" w14:textId="093BC2FB" w:rsidR="00457A11" w:rsidRPr="0072173F" w:rsidRDefault="00457A11" w:rsidP="0072173F">
    <w:pPr>
      <w:pStyle w:val="Ttulo"/>
      <w:spacing w:line="240" w:lineRule="auto"/>
      <w:jc w:val="both"/>
      <w:rPr>
        <w:b w:val="0"/>
        <w:sz w:val="18"/>
        <w:szCs w:val="16"/>
      </w:rPr>
    </w:pPr>
    <w:r w:rsidRPr="0072173F">
      <w:rPr>
        <w:b w:val="0"/>
        <w:sz w:val="18"/>
        <w:szCs w:val="16"/>
      </w:rPr>
      <w:t>Radicación No.: 66001-31-05-004-2019-00412-01</w:t>
    </w:r>
  </w:p>
  <w:p w14:paraId="749D3544" w14:textId="35AAE9F9" w:rsidR="00457A11" w:rsidRPr="0072173F" w:rsidRDefault="00457A11" w:rsidP="0072173F">
    <w:pPr>
      <w:pStyle w:val="Ttulo"/>
      <w:spacing w:line="240" w:lineRule="auto"/>
      <w:jc w:val="both"/>
      <w:rPr>
        <w:b w:val="0"/>
        <w:sz w:val="18"/>
        <w:szCs w:val="16"/>
      </w:rPr>
    </w:pPr>
    <w:r w:rsidRPr="0072173F">
      <w:rPr>
        <w:b w:val="0"/>
        <w:sz w:val="18"/>
        <w:szCs w:val="16"/>
      </w:rPr>
      <w:t xml:space="preserve">Demandante: </w:t>
    </w:r>
    <w:r w:rsidR="0072173F" w:rsidRPr="0072173F">
      <w:rPr>
        <w:b w:val="0"/>
        <w:sz w:val="18"/>
        <w:szCs w:val="16"/>
      </w:rPr>
      <w:t>María</w:t>
    </w:r>
    <w:r w:rsidRPr="0072173F">
      <w:rPr>
        <w:b w:val="0"/>
        <w:sz w:val="18"/>
        <w:szCs w:val="16"/>
      </w:rPr>
      <w:t xml:space="preserve"> </w:t>
    </w:r>
    <w:proofErr w:type="spellStart"/>
    <w:r w:rsidRPr="0072173F">
      <w:rPr>
        <w:b w:val="0"/>
        <w:sz w:val="18"/>
        <w:szCs w:val="16"/>
      </w:rPr>
      <w:t>Ludivia</w:t>
    </w:r>
    <w:proofErr w:type="spellEnd"/>
    <w:r w:rsidRPr="0072173F">
      <w:rPr>
        <w:b w:val="0"/>
        <w:sz w:val="18"/>
        <w:szCs w:val="16"/>
      </w:rPr>
      <w:t xml:space="preserve"> Gutiérrez de Ot</w:t>
    </w:r>
    <w:r w:rsidR="00642600" w:rsidRPr="0072173F">
      <w:rPr>
        <w:b w:val="0"/>
        <w:sz w:val="18"/>
        <w:szCs w:val="16"/>
      </w:rPr>
      <w:t>á</w:t>
    </w:r>
    <w:r w:rsidRPr="0072173F">
      <w:rPr>
        <w:b w:val="0"/>
        <w:sz w:val="18"/>
        <w:szCs w:val="16"/>
      </w:rPr>
      <w:t>lvaro</w:t>
    </w:r>
  </w:p>
  <w:p w14:paraId="4E116FCF" w14:textId="1466A454" w:rsidR="00457A11" w:rsidRPr="0072173F" w:rsidRDefault="00457A11" w:rsidP="0072173F">
    <w:pPr>
      <w:pStyle w:val="Ttulo"/>
      <w:spacing w:line="240" w:lineRule="auto"/>
      <w:jc w:val="both"/>
      <w:rPr>
        <w:b w:val="0"/>
        <w:sz w:val="18"/>
        <w:szCs w:val="16"/>
      </w:rPr>
    </w:pPr>
    <w:r w:rsidRPr="0072173F">
      <w:rPr>
        <w:b w:val="0"/>
        <w:sz w:val="18"/>
        <w:szCs w:val="16"/>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C6D2F5E4">
      <w:start w:val="1"/>
      <w:numFmt w:val="bullet"/>
      <w:pStyle w:val="Listaconvietas"/>
      <w:lvlText w:val=""/>
      <w:lvlJc w:val="left"/>
      <w:pPr>
        <w:tabs>
          <w:tab w:val="num" w:pos="360"/>
        </w:tabs>
        <w:ind w:left="360" w:hanging="360"/>
      </w:pPr>
      <w:rPr>
        <w:rFonts w:ascii="Symbol" w:hAnsi="Symbol" w:hint="default"/>
      </w:rPr>
    </w:lvl>
    <w:lvl w:ilvl="1" w:tplc="EAFA17D2">
      <w:numFmt w:val="decimal"/>
      <w:lvlText w:val=""/>
      <w:lvlJc w:val="left"/>
    </w:lvl>
    <w:lvl w:ilvl="2" w:tplc="4A1A34A6">
      <w:numFmt w:val="decimal"/>
      <w:lvlText w:val=""/>
      <w:lvlJc w:val="left"/>
    </w:lvl>
    <w:lvl w:ilvl="3" w:tplc="4398AC44">
      <w:numFmt w:val="decimal"/>
      <w:lvlText w:val=""/>
      <w:lvlJc w:val="left"/>
    </w:lvl>
    <w:lvl w:ilvl="4" w:tplc="437E84A0">
      <w:numFmt w:val="decimal"/>
      <w:lvlText w:val=""/>
      <w:lvlJc w:val="left"/>
    </w:lvl>
    <w:lvl w:ilvl="5" w:tplc="5A587F98">
      <w:numFmt w:val="decimal"/>
      <w:lvlText w:val=""/>
      <w:lvlJc w:val="left"/>
    </w:lvl>
    <w:lvl w:ilvl="6" w:tplc="4BA08A0E">
      <w:numFmt w:val="decimal"/>
      <w:lvlText w:val=""/>
      <w:lvlJc w:val="left"/>
    </w:lvl>
    <w:lvl w:ilvl="7" w:tplc="AFE2E178">
      <w:numFmt w:val="decimal"/>
      <w:lvlText w:val=""/>
      <w:lvlJc w:val="left"/>
    </w:lvl>
    <w:lvl w:ilvl="8" w:tplc="36C81146">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55A887A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879E583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0EFC242E"/>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6CEC039E"/>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1062D0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CDB4109"/>
    <w:multiLevelType w:val="hybridMultilevel"/>
    <w:tmpl w:val="E5ACA500"/>
    <w:lvl w:ilvl="0" w:tplc="8638716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1D657105"/>
    <w:multiLevelType w:val="multilevel"/>
    <w:tmpl w:val="14EE343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2420212"/>
    <w:multiLevelType w:val="multilevel"/>
    <w:tmpl w:val="D9784D52"/>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40553CEB"/>
    <w:multiLevelType w:val="multilevel"/>
    <w:tmpl w:val="920676D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95424B"/>
    <w:multiLevelType w:val="multilevel"/>
    <w:tmpl w:val="613470F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6D038DA"/>
    <w:multiLevelType w:val="multilevel"/>
    <w:tmpl w:val="24A635E0"/>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7"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9"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1"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2"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4"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5"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7" w15:restartNumberingAfterBreak="0">
    <w:nsid w:val="7C6A33A2"/>
    <w:multiLevelType w:val="hybridMultilevel"/>
    <w:tmpl w:val="7186AE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0"/>
  </w:num>
  <w:num w:numId="2">
    <w:abstractNumId w:val="46"/>
  </w:num>
  <w:num w:numId="3">
    <w:abstractNumId w:val="31"/>
  </w:num>
  <w:num w:numId="4">
    <w:abstractNumId w:val="30"/>
  </w:num>
  <w:num w:numId="5">
    <w:abstractNumId w:val="25"/>
  </w:num>
  <w:num w:numId="6">
    <w:abstractNumId w:val="23"/>
  </w:num>
  <w:num w:numId="7">
    <w:abstractNumId w:val="21"/>
  </w:num>
  <w:num w:numId="8">
    <w:abstractNumId w:val="12"/>
  </w:num>
  <w:num w:numId="9">
    <w:abstractNumId w:val="18"/>
  </w:num>
  <w:num w:numId="10">
    <w:abstractNumId w:val="19"/>
  </w:num>
  <w:num w:numId="11">
    <w:abstractNumId w:val="16"/>
  </w:num>
  <w:num w:numId="12">
    <w:abstractNumId w:val="5"/>
  </w:num>
  <w:num w:numId="13">
    <w:abstractNumId w:val="1"/>
  </w:num>
  <w:num w:numId="14">
    <w:abstractNumId w:val="38"/>
  </w:num>
  <w:num w:numId="15">
    <w:abstractNumId w:val="41"/>
  </w:num>
  <w:num w:numId="16">
    <w:abstractNumId w:val="40"/>
  </w:num>
  <w:num w:numId="17">
    <w:abstractNumId w:val="24"/>
  </w:num>
  <w:num w:numId="18">
    <w:abstractNumId w:val="44"/>
  </w:num>
  <w:num w:numId="19">
    <w:abstractNumId w:val="45"/>
  </w:num>
  <w:num w:numId="20">
    <w:abstractNumId w:val="33"/>
  </w:num>
  <w:num w:numId="21">
    <w:abstractNumId w:val="43"/>
  </w:num>
  <w:num w:numId="22">
    <w:abstractNumId w:val="35"/>
  </w:num>
  <w:num w:numId="23">
    <w:abstractNumId w:val="34"/>
  </w:num>
  <w:num w:numId="24">
    <w:abstractNumId w:val="0"/>
  </w:num>
  <w:num w:numId="25">
    <w:abstractNumId w:val="28"/>
  </w:num>
  <w:num w:numId="26">
    <w:abstractNumId w:val="26"/>
  </w:num>
  <w:num w:numId="27">
    <w:abstractNumId w:val="13"/>
  </w:num>
  <w:num w:numId="28">
    <w:abstractNumId w:val="48"/>
  </w:num>
  <w:num w:numId="29">
    <w:abstractNumId w:val="17"/>
  </w:num>
  <w:num w:numId="30">
    <w:abstractNumId w:val="10"/>
  </w:num>
  <w:num w:numId="31">
    <w:abstractNumId w:val="15"/>
  </w:num>
  <w:num w:numId="32">
    <w:abstractNumId w:val="8"/>
  </w:num>
  <w:num w:numId="33">
    <w:abstractNumId w:val="29"/>
  </w:num>
  <w:num w:numId="34">
    <w:abstractNumId w:val="4"/>
  </w:num>
  <w:num w:numId="35">
    <w:abstractNumId w:val="42"/>
  </w:num>
  <w:num w:numId="36">
    <w:abstractNumId w:val="9"/>
  </w:num>
  <w:num w:numId="37">
    <w:abstractNumId w:val="36"/>
  </w:num>
  <w:num w:numId="38">
    <w:abstractNumId w:val="7"/>
  </w:num>
  <w:num w:numId="39">
    <w:abstractNumId w:val="27"/>
  </w:num>
  <w:num w:numId="40">
    <w:abstractNumId w:val="37"/>
  </w:num>
  <w:num w:numId="41">
    <w:abstractNumId w:val="22"/>
  </w:num>
  <w:num w:numId="42">
    <w:abstractNumId w:val="3"/>
  </w:num>
  <w:num w:numId="43">
    <w:abstractNumId w:val="6"/>
  </w:num>
  <w:num w:numId="44">
    <w:abstractNumId w:val="11"/>
  </w:num>
  <w:num w:numId="45">
    <w:abstractNumId w:val="2"/>
  </w:num>
  <w:num w:numId="46">
    <w:abstractNumId w:val="39"/>
  </w:num>
  <w:num w:numId="47">
    <w:abstractNumId w:val="47"/>
  </w:num>
  <w:num w:numId="48">
    <w:abstractNumId w:val="1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1E0"/>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7C"/>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17587"/>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4703"/>
    <w:rsid w:val="000355F6"/>
    <w:rsid w:val="00035929"/>
    <w:rsid w:val="00035BF4"/>
    <w:rsid w:val="00035D3A"/>
    <w:rsid w:val="000360E7"/>
    <w:rsid w:val="00036862"/>
    <w:rsid w:val="00036C06"/>
    <w:rsid w:val="00036EDF"/>
    <w:rsid w:val="00036EF2"/>
    <w:rsid w:val="00037530"/>
    <w:rsid w:val="00037AF3"/>
    <w:rsid w:val="00037FB7"/>
    <w:rsid w:val="000400DC"/>
    <w:rsid w:val="000416BD"/>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293"/>
    <w:rsid w:val="0004798C"/>
    <w:rsid w:val="000502A9"/>
    <w:rsid w:val="00050B8B"/>
    <w:rsid w:val="000516FA"/>
    <w:rsid w:val="000526DE"/>
    <w:rsid w:val="0005299F"/>
    <w:rsid w:val="00053381"/>
    <w:rsid w:val="00053767"/>
    <w:rsid w:val="000539D9"/>
    <w:rsid w:val="00053B35"/>
    <w:rsid w:val="00053BBC"/>
    <w:rsid w:val="00054180"/>
    <w:rsid w:val="000559AD"/>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679A"/>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3F4"/>
    <w:rsid w:val="000A247D"/>
    <w:rsid w:val="000A29E4"/>
    <w:rsid w:val="000A2A67"/>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5893"/>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15DB"/>
    <w:rsid w:val="000D2236"/>
    <w:rsid w:val="000D2CA2"/>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139"/>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710"/>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0FC7"/>
    <w:rsid w:val="0012133A"/>
    <w:rsid w:val="0012133C"/>
    <w:rsid w:val="00121CF9"/>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A90"/>
    <w:rsid w:val="00144DF0"/>
    <w:rsid w:val="0014623C"/>
    <w:rsid w:val="00146321"/>
    <w:rsid w:val="001464C6"/>
    <w:rsid w:val="00146993"/>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2B1"/>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04C"/>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3F8C"/>
    <w:rsid w:val="001B409C"/>
    <w:rsid w:val="001B4C7E"/>
    <w:rsid w:val="001B4E47"/>
    <w:rsid w:val="001B50A0"/>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5D"/>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0DE"/>
    <w:rsid w:val="00231133"/>
    <w:rsid w:val="002314B7"/>
    <w:rsid w:val="00232CB8"/>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4A5"/>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16D0"/>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0C07"/>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BBC"/>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7F3"/>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1AFA"/>
    <w:rsid w:val="002C25E0"/>
    <w:rsid w:val="002C2A7C"/>
    <w:rsid w:val="002C31C2"/>
    <w:rsid w:val="002C363A"/>
    <w:rsid w:val="002C37DF"/>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539"/>
    <w:rsid w:val="002E7ED1"/>
    <w:rsid w:val="002F045E"/>
    <w:rsid w:val="002F0805"/>
    <w:rsid w:val="002F0ED9"/>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108"/>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D28"/>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5C0B"/>
    <w:rsid w:val="0038616C"/>
    <w:rsid w:val="00386E56"/>
    <w:rsid w:val="00386EC9"/>
    <w:rsid w:val="003870B2"/>
    <w:rsid w:val="0038728F"/>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2F6"/>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6D83"/>
    <w:rsid w:val="00407199"/>
    <w:rsid w:val="0040776C"/>
    <w:rsid w:val="00407D53"/>
    <w:rsid w:val="00411081"/>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C5D"/>
    <w:rsid w:val="00422F50"/>
    <w:rsid w:val="004233E4"/>
    <w:rsid w:val="00425009"/>
    <w:rsid w:val="00425324"/>
    <w:rsid w:val="004261A0"/>
    <w:rsid w:val="00426234"/>
    <w:rsid w:val="004265FE"/>
    <w:rsid w:val="004269E1"/>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24"/>
    <w:rsid w:val="004511D9"/>
    <w:rsid w:val="00451A93"/>
    <w:rsid w:val="00451D74"/>
    <w:rsid w:val="004529A7"/>
    <w:rsid w:val="00453379"/>
    <w:rsid w:val="004543AB"/>
    <w:rsid w:val="004545A0"/>
    <w:rsid w:val="00454D5B"/>
    <w:rsid w:val="00454E5E"/>
    <w:rsid w:val="00456585"/>
    <w:rsid w:val="004571FD"/>
    <w:rsid w:val="00457599"/>
    <w:rsid w:val="004575BF"/>
    <w:rsid w:val="00457A11"/>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5EB"/>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741"/>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55E1"/>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A1"/>
    <w:rsid w:val="005A08D3"/>
    <w:rsid w:val="005A0929"/>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5E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D64"/>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6F7"/>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394"/>
    <w:rsid w:val="00616C21"/>
    <w:rsid w:val="00616F8E"/>
    <w:rsid w:val="006172B6"/>
    <w:rsid w:val="00617CF9"/>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6F7"/>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162F"/>
    <w:rsid w:val="00642600"/>
    <w:rsid w:val="00643B07"/>
    <w:rsid w:val="00644D88"/>
    <w:rsid w:val="00644F38"/>
    <w:rsid w:val="0064502D"/>
    <w:rsid w:val="00645F06"/>
    <w:rsid w:val="00646E28"/>
    <w:rsid w:val="0064703A"/>
    <w:rsid w:val="0064747A"/>
    <w:rsid w:val="006475D0"/>
    <w:rsid w:val="00647F52"/>
    <w:rsid w:val="00650B3E"/>
    <w:rsid w:val="00650FC1"/>
    <w:rsid w:val="0065228F"/>
    <w:rsid w:val="006522B0"/>
    <w:rsid w:val="00652678"/>
    <w:rsid w:val="00652B2C"/>
    <w:rsid w:val="0065450B"/>
    <w:rsid w:val="00654623"/>
    <w:rsid w:val="00654BAD"/>
    <w:rsid w:val="00654D3D"/>
    <w:rsid w:val="0065510C"/>
    <w:rsid w:val="006553DC"/>
    <w:rsid w:val="00655794"/>
    <w:rsid w:val="0065759A"/>
    <w:rsid w:val="0066002F"/>
    <w:rsid w:val="00660133"/>
    <w:rsid w:val="006609C0"/>
    <w:rsid w:val="00660F77"/>
    <w:rsid w:val="006619E5"/>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6A9"/>
    <w:rsid w:val="00695976"/>
    <w:rsid w:val="006960F1"/>
    <w:rsid w:val="00696B1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3498"/>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DF8"/>
    <w:rsid w:val="006D6FA1"/>
    <w:rsid w:val="006D791C"/>
    <w:rsid w:val="006E057B"/>
    <w:rsid w:val="006E0CD7"/>
    <w:rsid w:val="006E0EEE"/>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07E95"/>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173F"/>
    <w:rsid w:val="00723BD9"/>
    <w:rsid w:val="00723FD3"/>
    <w:rsid w:val="00724299"/>
    <w:rsid w:val="00724E3A"/>
    <w:rsid w:val="007250F3"/>
    <w:rsid w:val="007255D0"/>
    <w:rsid w:val="00725BD5"/>
    <w:rsid w:val="00725FC0"/>
    <w:rsid w:val="00726102"/>
    <w:rsid w:val="00727AF6"/>
    <w:rsid w:val="00730360"/>
    <w:rsid w:val="00730A33"/>
    <w:rsid w:val="00730B52"/>
    <w:rsid w:val="007310CB"/>
    <w:rsid w:val="007312AB"/>
    <w:rsid w:val="00731B40"/>
    <w:rsid w:val="00732070"/>
    <w:rsid w:val="0073215F"/>
    <w:rsid w:val="00732C86"/>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3C6"/>
    <w:rsid w:val="0077789E"/>
    <w:rsid w:val="00777CDF"/>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2AF8"/>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D7A2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AF7"/>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00A"/>
    <w:rsid w:val="0081628A"/>
    <w:rsid w:val="008165FB"/>
    <w:rsid w:val="0081673E"/>
    <w:rsid w:val="00816C15"/>
    <w:rsid w:val="00816F82"/>
    <w:rsid w:val="00820469"/>
    <w:rsid w:val="00820CB4"/>
    <w:rsid w:val="00820EF2"/>
    <w:rsid w:val="008228FE"/>
    <w:rsid w:val="00823584"/>
    <w:rsid w:val="00823A0F"/>
    <w:rsid w:val="00823AB6"/>
    <w:rsid w:val="00823BDB"/>
    <w:rsid w:val="00824291"/>
    <w:rsid w:val="008243A5"/>
    <w:rsid w:val="0082471B"/>
    <w:rsid w:val="00824A9D"/>
    <w:rsid w:val="00824DBF"/>
    <w:rsid w:val="008253A9"/>
    <w:rsid w:val="00826821"/>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12A4"/>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5DB"/>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0D1B"/>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1A8E"/>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72A"/>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47BC5"/>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313"/>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5B4"/>
    <w:rsid w:val="009C0BD1"/>
    <w:rsid w:val="009C1081"/>
    <w:rsid w:val="009C1475"/>
    <w:rsid w:val="009C178C"/>
    <w:rsid w:val="009C1E5A"/>
    <w:rsid w:val="009C23E0"/>
    <w:rsid w:val="009C2B0C"/>
    <w:rsid w:val="009C2BB4"/>
    <w:rsid w:val="009C39E1"/>
    <w:rsid w:val="009C4373"/>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0A97"/>
    <w:rsid w:val="009F1086"/>
    <w:rsid w:val="009F2CDF"/>
    <w:rsid w:val="009F3150"/>
    <w:rsid w:val="009F3F98"/>
    <w:rsid w:val="009F4358"/>
    <w:rsid w:val="009F4A0B"/>
    <w:rsid w:val="009F554A"/>
    <w:rsid w:val="009F614B"/>
    <w:rsid w:val="009F6880"/>
    <w:rsid w:val="009F6F9F"/>
    <w:rsid w:val="009F7308"/>
    <w:rsid w:val="009F7425"/>
    <w:rsid w:val="009F7588"/>
    <w:rsid w:val="009F7CD1"/>
    <w:rsid w:val="00A0016D"/>
    <w:rsid w:val="00A01A26"/>
    <w:rsid w:val="00A02880"/>
    <w:rsid w:val="00A02D6E"/>
    <w:rsid w:val="00A030B2"/>
    <w:rsid w:val="00A03DD2"/>
    <w:rsid w:val="00A04183"/>
    <w:rsid w:val="00A0445C"/>
    <w:rsid w:val="00A0469E"/>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C3C"/>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6F03"/>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136"/>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477"/>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4FB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8C7"/>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661C"/>
    <w:rsid w:val="00B07369"/>
    <w:rsid w:val="00B07D70"/>
    <w:rsid w:val="00B1000D"/>
    <w:rsid w:val="00B1033F"/>
    <w:rsid w:val="00B103D2"/>
    <w:rsid w:val="00B10865"/>
    <w:rsid w:val="00B109E0"/>
    <w:rsid w:val="00B1188A"/>
    <w:rsid w:val="00B1196C"/>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071"/>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70"/>
    <w:rsid w:val="00B35666"/>
    <w:rsid w:val="00B35C7F"/>
    <w:rsid w:val="00B35EBB"/>
    <w:rsid w:val="00B363D6"/>
    <w:rsid w:val="00B36581"/>
    <w:rsid w:val="00B36B81"/>
    <w:rsid w:val="00B36C81"/>
    <w:rsid w:val="00B37109"/>
    <w:rsid w:val="00B3724D"/>
    <w:rsid w:val="00B37588"/>
    <w:rsid w:val="00B37CD7"/>
    <w:rsid w:val="00B40996"/>
    <w:rsid w:val="00B41CAF"/>
    <w:rsid w:val="00B4219B"/>
    <w:rsid w:val="00B43BEE"/>
    <w:rsid w:val="00B4463E"/>
    <w:rsid w:val="00B44856"/>
    <w:rsid w:val="00B459E5"/>
    <w:rsid w:val="00B46202"/>
    <w:rsid w:val="00B46330"/>
    <w:rsid w:val="00B47ADC"/>
    <w:rsid w:val="00B52244"/>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36"/>
    <w:rsid w:val="00B6768A"/>
    <w:rsid w:val="00B67D94"/>
    <w:rsid w:val="00B7044E"/>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1E6"/>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3C3C"/>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365"/>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2EFA"/>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548"/>
    <w:rsid w:val="00CA699A"/>
    <w:rsid w:val="00CA70EB"/>
    <w:rsid w:val="00CA7306"/>
    <w:rsid w:val="00CA7923"/>
    <w:rsid w:val="00CA79B4"/>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E6E"/>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352"/>
    <w:rsid w:val="00CE1429"/>
    <w:rsid w:val="00CE16CE"/>
    <w:rsid w:val="00CE1E28"/>
    <w:rsid w:val="00CE28BC"/>
    <w:rsid w:val="00CE3286"/>
    <w:rsid w:val="00CE364B"/>
    <w:rsid w:val="00CE4142"/>
    <w:rsid w:val="00CE4676"/>
    <w:rsid w:val="00CE48BF"/>
    <w:rsid w:val="00CE4E5E"/>
    <w:rsid w:val="00CE4F1A"/>
    <w:rsid w:val="00CE526B"/>
    <w:rsid w:val="00CE52C8"/>
    <w:rsid w:val="00CE5C14"/>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80E"/>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3FBC"/>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DE2"/>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3A"/>
    <w:rsid w:val="00E02438"/>
    <w:rsid w:val="00E03558"/>
    <w:rsid w:val="00E04642"/>
    <w:rsid w:val="00E055B6"/>
    <w:rsid w:val="00E06B0B"/>
    <w:rsid w:val="00E06B63"/>
    <w:rsid w:val="00E06CAA"/>
    <w:rsid w:val="00E0719A"/>
    <w:rsid w:val="00E075D9"/>
    <w:rsid w:val="00E07908"/>
    <w:rsid w:val="00E07983"/>
    <w:rsid w:val="00E10DB9"/>
    <w:rsid w:val="00E10E26"/>
    <w:rsid w:val="00E10E35"/>
    <w:rsid w:val="00E11139"/>
    <w:rsid w:val="00E1161C"/>
    <w:rsid w:val="00E11C08"/>
    <w:rsid w:val="00E1224B"/>
    <w:rsid w:val="00E122E7"/>
    <w:rsid w:val="00E12781"/>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29C"/>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07B9"/>
    <w:rsid w:val="00E812BC"/>
    <w:rsid w:val="00E8198B"/>
    <w:rsid w:val="00E819D3"/>
    <w:rsid w:val="00E81F74"/>
    <w:rsid w:val="00E8211B"/>
    <w:rsid w:val="00E82A33"/>
    <w:rsid w:val="00E8401D"/>
    <w:rsid w:val="00E841BE"/>
    <w:rsid w:val="00E85010"/>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50"/>
    <w:rsid w:val="00EA73DA"/>
    <w:rsid w:val="00EA7593"/>
    <w:rsid w:val="00EA7F94"/>
    <w:rsid w:val="00EB0B5E"/>
    <w:rsid w:val="00EB13EB"/>
    <w:rsid w:val="00EB1EAC"/>
    <w:rsid w:val="00EB2326"/>
    <w:rsid w:val="00EB2B0E"/>
    <w:rsid w:val="00EB2EA6"/>
    <w:rsid w:val="00EB306E"/>
    <w:rsid w:val="00EB3216"/>
    <w:rsid w:val="00EB37C1"/>
    <w:rsid w:val="00EB3833"/>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C4"/>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25"/>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9ED"/>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17F18"/>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61D1"/>
    <w:rsid w:val="00F470A4"/>
    <w:rsid w:val="00F479F8"/>
    <w:rsid w:val="00F50014"/>
    <w:rsid w:val="00F50A32"/>
    <w:rsid w:val="00F50B68"/>
    <w:rsid w:val="00F516D6"/>
    <w:rsid w:val="00F51D3D"/>
    <w:rsid w:val="00F5262C"/>
    <w:rsid w:val="00F527D2"/>
    <w:rsid w:val="00F5299F"/>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232"/>
    <w:rsid w:val="00F703A1"/>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9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5F3C"/>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00A"/>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56"/>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D33"/>
    <w:rsid w:val="00FF7237"/>
    <w:rsid w:val="00FF768C"/>
    <w:rsid w:val="00FF7B6C"/>
    <w:rsid w:val="188844CE"/>
    <w:rsid w:val="23300557"/>
    <w:rsid w:val="2BCC8E7B"/>
    <w:rsid w:val="4ACD2C13"/>
    <w:rsid w:val="51C7EF0C"/>
    <w:rsid w:val="5FE66D77"/>
    <w:rsid w:val="61FE510B"/>
    <w:rsid w:val="652AEA7E"/>
    <w:rsid w:val="6FEFC0CD"/>
    <w:rsid w:val="7B6B9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Textoindependiente22">
    <w:name w:val="Texto independiente 22"/>
    <w:basedOn w:val="Normal"/>
    <w:rsid w:val="00B1033F"/>
    <w:pPr>
      <w:spacing w:line="480" w:lineRule="auto"/>
      <w:jc w:val="both"/>
    </w:pPr>
    <w:rPr>
      <w:rFonts w:ascii="Arial Black" w:hAnsi="Arial Black"/>
      <w:b/>
      <w:sz w:val="28"/>
      <w:szCs w:val="20"/>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99514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516497">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3a4fde0275724dc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E49D-941F-4B15-A46B-3DC16F1C9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BD49C-B7E4-4FA5-AB3D-3A88C889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3479</Words>
  <Characters>19139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7</cp:revision>
  <cp:lastPrinted>2018-11-02T18:38:00Z</cp:lastPrinted>
  <dcterms:created xsi:type="dcterms:W3CDTF">2021-03-12T14:54:00Z</dcterms:created>
  <dcterms:modified xsi:type="dcterms:W3CDTF">2021-04-11T19:13:00Z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