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D0EA" w14:textId="77777777" w:rsidR="00305335" w:rsidRPr="00305335" w:rsidRDefault="00305335" w:rsidP="0030533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30533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43C609F"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p>
    <w:p w14:paraId="0B0776EE"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r w:rsidRPr="00305335">
        <w:rPr>
          <w:rFonts w:ascii="Arial" w:eastAsia="Times New Roman" w:hAnsi="Arial" w:cs="Arial"/>
          <w:sz w:val="20"/>
          <w:szCs w:val="20"/>
          <w:lang w:val="es-419" w:eastAsia="es-ES"/>
        </w:rPr>
        <w:t>Radicación No.</w:t>
      </w:r>
      <w:r w:rsidRPr="00305335">
        <w:rPr>
          <w:rFonts w:ascii="Arial" w:eastAsia="Times New Roman" w:hAnsi="Arial" w:cs="Arial"/>
          <w:sz w:val="20"/>
          <w:szCs w:val="20"/>
          <w:lang w:val="es-419" w:eastAsia="es-ES"/>
        </w:rPr>
        <w:tab/>
        <w:t>: 66001310500420190035101</w:t>
      </w:r>
    </w:p>
    <w:p w14:paraId="386A45C1"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r w:rsidRPr="00305335">
        <w:rPr>
          <w:rFonts w:ascii="Arial" w:eastAsia="Times New Roman" w:hAnsi="Arial" w:cs="Arial"/>
          <w:sz w:val="20"/>
          <w:szCs w:val="20"/>
          <w:lang w:val="es-419" w:eastAsia="es-ES"/>
        </w:rPr>
        <w:t>Demandantes</w:t>
      </w:r>
      <w:r w:rsidRPr="00305335">
        <w:rPr>
          <w:rFonts w:ascii="Arial" w:eastAsia="Times New Roman" w:hAnsi="Arial" w:cs="Arial"/>
          <w:sz w:val="20"/>
          <w:szCs w:val="20"/>
          <w:lang w:val="es-419" w:eastAsia="es-ES"/>
        </w:rPr>
        <w:tab/>
        <w:t xml:space="preserve">: </w:t>
      </w:r>
      <w:proofErr w:type="spellStart"/>
      <w:r w:rsidRPr="00305335">
        <w:rPr>
          <w:rFonts w:ascii="Arial" w:eastAsia="Times New Roman" w:hAnsi="Arial" w:cs="Arial"/>
          <w:sz w:val="20"/>
          <w:szCs w:val="20"/>
          <w:lang w:val="es-419" w:eastAsia="es-ES"/>
        </w:rPr>
        <w:t>Solly</w:t>
      </w:r>
      <w:proofErr w:type="spellEnd"/>
      <w:r w:rsidRPr="00305335">
        <w:rPr>
          <w:rFonts w:ascii="Arial" w:eastAsia="Times New Roman" w:hAnsi="Arial" w:cs="Arial"/>
          <w:sz w:val="20"/>
          <w:szCs w:val="20"/>
          <w:lang w:val="es-419" w:eastAsia="es-ES"/>
        </w:rPr>
        <w:t xml:space="preserve"> </w:t>
      </w:r>
      <w:proofErr w:type="spellStart"/>
      <w:r w:rsidRPr="00305335">
        <w:rPr>
          <w:rFonts w:ascii="Arial" w:eastAsia="Times New Roman" w:hAnsi="Arial" w:cs="Arial"/>
          <w:sz w:val="20"/>
          <w:szCs w:val="20"/>
          <w:lang w:val="es-419" w:eastAsia="es-ES"/>
        </w:rPr>
        <w:t>Clarena</w:t>
      </w:r>
      <w:proofErr w:type="spellEnd"/>
      <w:r w:rsidRPr="00305335">
        <w:rPr>
          <w:rFonts w:ascii="Arial" w:eastAsia="Times New Roman" w:hAnsi="Arial" w:cs="Arial"/>
          <w:sz w:val="20"/>
          <w:szCs w:val="20"/>
          <w:lang w:val="es-419" w:eastAsia="es-ES"/>
        </w:rPr>
        <w:t xml:space="preserve"> Castilla de Palacio</w:t>
      </w:r>
    </w:p>
    <w:p w14:paraId="6002C6EB"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r w:rsidRPr="00305335">
        <w:rPr>
          <w:rFonts w:ascii="Arial" w:eastAsia="Times New Roman" w:hAnsi="Arial" w:cs="Arial"/>
          <w:sz w:val="20"/>
          <w:szCs w:val="20"/>
          <w:lang w:val="es-419" w:eastAsia="es-ES"/>
        </w:rPr>
        <w:t>Demandado</w:t>
      </w:r>
      <w:r w:rsidRPr="00305335">
        <w:rPr>
          <w:rFonts w:ascii="Arial" w:eastAsia="Times New Roman" w:hAnsi="Arial" w:cs="Arial"/>
          <w:sz w:val="20"/>
          <w:szCs w:val="20"/>
          <w:lang w:val="es-419" w:eastAsia="es-ES"/>
        </w:rPr>
        <w:tab/>
        <w:t>: Protección S.A. y Colpensiones</w:t>
      </w:r>
    </w:p>
    <w:p w14:paraId="6595FBFC"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r w:rsidRPr="00305335">
        <w:rPr>
          <w:rFonts w:ascii="Arial" w:eastAsia="Times New Roman" w:hAnsi="Arial" w:cs="Arial"/>
          <w:sz w:val="20"/>
          <w:szCs w:val="20"/>
          <w:lang w:val="es-419" w:eastAsia="es-ES"/>
        </w:rPr>
        <w:t>Juzgado</w:t>
      </w:r>
      <w:r w:rsidRPr="00305335">
        <w:rPr>
          <w:rFonts w:ascii="Arial" w:eastAsia="Times New Roman" w:hAnsi="Arial" w:cs="Arial"/>
          <w:sz w:val="20"/>
          <w:szCs w:val="20"/>
          <w:lang w:val="es-419" w:eastAsia="es-ES"/>
        </w:rPr>
        <w:tab/>
        <w:t>: Cuarto Laboral del Circuito de Pereira</w:t>
      </w:r>
    </w:p>
    <w:p w14:paraId="780A58D5" w14:textId="477B02F9" w:rsidR="00305335" w:rsidRDefault="00305335" w:rsidP="00305335">
      <w:pPr>
        <w:spacing w:after="0" w:line="240" w:lineRule="auto"/>
        <w:jc w:val="both"/>
        <w:rPr>
          <w:rFonts w:ascii="Arial" w:eastAsia="Times New Roman" w:hAnsi="Arial" w:cs="Arial"/>
          <w:sz w:val="20"/>
          <w:szCs w:val="20"/>
          <w:lang w:val="es-419" w:eastAsia="es-ES"/>
        </w:rPr>
      </w:pPr>
      <w:r w:rsidRPr="00305335">
        <w:rPr>
          <w:rFonts w:ascii="Arial" w:eastAsia="Times New Roman" w:hAnsi="Arial" w:cs="Arial"/>
          <w:sz w:val="20"/>
          <w:szCs w:val="20"/>
          <w:lang w:val="es-419" w:eastAsia="es-ES"/>
        </w:rPr>
        <w:t>Magistrada</w:t>
      </w:r>
      <w:r w:rsidRPr="00305335">
        <w:rPr>
          <w:rFonts w:ascii="Arial" w:eastAsia="Times New Roman" w:hAnsi="Arial" w:cs="Arial"/>
          <w:sz w:val="20"/>
          <w:szCs w:val="20"/>
          <w:lang w:val="es-419" w:eastAsia="es-ES"/>
        </w:rPr>
        <w:tab/>
        <w:t>: Dra. Ana Lucía Caicedo Calderón</w:t>
      </w:r>
    </w:p>
    <w:p w14:paraId="552DEEEF"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p>
    <w:p w14:paraId="3FFEC9CE" w14:textId="77777777" w:rsidR="00305335" w:rsidRPr="00305335" w:rsidRDefault="00305335" w:rsidP="00305335">
      <w:pPr>
        <w:spacing w:after="0" w:line="240" w:lineRule="auto"/>
        <w:jc w:val="both"/>
        <w:rPr>
          <w:rFonts w:ascii="Arial" w:eastAsia="Times New Roman" w:hAnsi="Arial" w:cs="Arial"/>
          <w:b/>
          <w:bCs/>
          <w:iCs/>
          <w:sz w:val="20"/>
          <w:szCs w:val="20"/>
          <w:lang w:val="es-419" w:eastAsia="fr-FR"/>
        </w:rPr>
      </w:pPr>
      <w:r w:rsidRPr="00305335">
        <w:rPr>
          <w:rFonts w:ascii="Arial" w:eastAsia="Times New Roman" w:hAnsi="Arial" w:cs="Arial"/>
          <w:b/>
          <w:bCs/>
          <w:iCs/>
          <w:sz w:val="20"/>
          <w:szCs w:val="20"/>
          <w:u w:val="single"/>
          <w:lang w:val="es-419" w:eastAsia="fr-FR"/>
        </w:rPr>
        <w:t>TEMAS:</w:t>
      </w:r>
      <w:r w:rsidRPr="00305335">
        <w:rPr>
          <w:rFonts w:ascii="Arial" w:eastAsia="Times New Roman" w:hAnsi="Arial" w:cs="Arial"/>
          <w:b/>
          <w:bCs/>
          <w:iCs/>
          <w:sz w:val="20"/>
          <w:szCs w:val="20"/>
          <w:lang w:val="es-419" w:eastAsia="fr-FR"/>
        </w:rPr>
        <w:tab/>
      </w:r>
      <w:r w:rsidRPr="00305335">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C90C95E"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p>
    <w:p w14:paraId="4989D358"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r w:rsidRPr="00305335">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77DB9A6"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p>
    <w:p w14:paraId="3D47F79C"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r w:rsidRPr="00305335">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CF30181"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p>
    <w:p w14:paraId="618D5F91"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r w:rsidRPr="00305335">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0798363D"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p>
    <w:p w14:paraId="75657F99" w14:textId="77777777" w:rsidR="00305335" w:rsidRPr="00305335" w:rsidRDefault="00305335" w:rsidP="00305335">
      <w:pPr>
        <w:spacing w:after="0" w:line="240" w:lineRule="auto"/>
        <w:jc w:val="both"/>
        <w:rPr>
          <w:rFonts w:ascii="Arial" w:eastAsia="Times New Roman" w:hAnsi="Arial" w:cs="Arial"/>
          <w:sz w:val="20"/>
          <w:szCs w:val="20"/>
          <w:lang w:val="es-419" w:eastAsia="es-ES"/>
        </w:rPr>
      </w:pPr>
      <w:r w:rsidRPr="00305335">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51DD0EB0" w14:textId="77777777" w:rsidR="00305335" w:rsidRPr="00305335" w:rsidRDefault="00305335" w:rsidP="00305335">
      <w:pPr>
        <w:spacing w:after="0" w:line="240" w:lineRule="auto"/>
        <w:jc w:val="both"/>
        <w:rPr>
          <w:rFonts w:ascii="Arial" w:eastAsia="Times New Roman" w:hAnsi="Arial" w:cs="Arial"/>
          <w:sz w:val="20"/>
          <w:szCs w:val="20"/>
          <w:lang w:eastAsia="es-ES"/>
        </w:rPr>
      </w:pPr>
    </w:p>
    <w:p w14:paraId="28894464" w14:textId="77777777" w:rsidR="00305335" w:rsidRPr="00305335" w:rsidRDefault="00305335" w:rsidP="00305335">
      <w:pPr>
        <w:spacing w:after="0" w:line="240" w:lineRule="auto"/>
        <w:jc w:val="both"/>
        <w:rPr>
          <w:rFonts w:ascii="Arial" w:eastAsia="Times New Roman" w:hAnsi="Arial" w:cs="Arial"/>
          <w:sz w:val="20"/>
          <w:szCs w:val="20"/>
          <w:lang w:eastAsia="es-ES"/>
        </w:rPr>
      </w:pPr>
    </w:p>
    <w:p w14:paraId="35116AA0" w14:textId="77777777" w:rsidR="00305335" w:rsidRPr="00305335" w:rsidRDefault="00305335" w:rsidP="00305335">
      <w:pPr>
        <w:spacing w:after="0" w:line="240" w:lineRule="auto"/>
        <w:jc w:val="both"/>
        <w:rPr>
          <w:rFonts w:ascii="Arial" w:eastAsia="Times New Roman" w:hAnsi="Arial" w:cs="Arial"/>
          <w:sz w:val="20"/>
          <w:szCs w:val="20"/>
          <w:lang w:eastAsia="es-ES"/>
        </w:rPr>
      </w:pPr>
    </w:p>
    <w:p w14:paraId="27555AFD" w14:textId="644EA785" w:rsidR="42DC33F9" w:rsidRPr="00651E5D" w:rsidRDefault="42DC33F9" w:rsidP="00651E5D">
      <w:pPr>
        <w:spacing w:after="0" w:line="276" w:lineRule="auto"/>
        <w:jc w:val="center"/>
        <w:rPr>
          <w:rFonts w:ascii="Tahoma" w:eastAsia="Tahoma" w:hAnsi="Tahoma" w:cs="Tahoma"/>
          <w:color w:val="000000" w:themeColor="text1"/>
          <w:sz w:val="24"/>
          <w:szCs w:val="24"/>
        </w:rPr>
      </w:pPr>
      <w:r w:rsidRPr="00651E5D">
        <w:rPr>
          <w:rFonts w:ascii="Tahoma" w:eastAsia="Tahoma" w:hAnsi="Tahoma" w:cs="Tahoma"/>
          <w:b/>
          <w:bCs/>
          <w:color w:val="000000" w:themeColor="text1"/>
          <w:sz w:val="24"/>
          <w:szCs w:val="24"/>
          <w:lang w:val="es-CO"/>
        </w:rPr>
        <w:t xml:space="preserve">TRIBUNAL SUPERIOR DEL DISTRITO JUDICIAL DE PEREIRA </w:t>
      </w:r>
    </w:p>
    <w:p w14:paraId="2E5F3739" w14:textId="3B88CF27" w:rsidR="42DC33F9" w:rsidRPr="00651E5D" w:rsidRDefault="42DC33F9" w:rsidP="00651E5D">
      <w:pPr>
        <w:spacing w:after="0" w:line="276" w:lineRule="auto"/>
        <w:jc w:val="center"/>
        <w:rPr>
          <w:rFonts w:ascii="Tahoma" w:eastAsia="Tahoma" w:hAnsi="Tahoma" w:cs="Tahoma"/>
          <w:color w:val="000000" w:themeColor="text1"/>
          <w:sz w:val="24"/>
          <w:szCs w:val="24"/>
        </w:rPr>
      </w:pPr>
      <w:r w:rsidRPr="00651E5D">
        <w:rPr>
          <w:rFonts w:ascii="Tahoma" w:eastAsia="Tahoma" w:hAnsi="Tahoma" w:cs="Tahoma"/>
          <w:b/>
          <w:bCs/>
          <w:color w:val="000000" w:themeColor="text1"/>
          <w:sz w:val="24"/>
          <w:szCs w:val="24"/>
          <w:lang w:val="es-CO"/>
        </w:rPr>
        <w:t xml:space="preserve">SALA DE DECISION LABORAL </w:t>
      </w:r>
      <w:r w:rsidR="006F25CE" w:rsidRPr="00651E5D">
        <w:rPr>
          <w:rFonts w:ascii="Tahoma" w:eastAsia="Tahoma" w:hAnsi="Tahoma" w:cs="Tahoma"/>
          <w:b/>
          <w:bCs/>
          <w:color w:val="000000" w:themeColor="text1"/>
          <w:sz w:val="24"/>
          <w:szCs w:val="24"/>
          <w:lang w:val="es-CO"/>
        </w:rPr>
        <w:t xml:space="preserve">No. 1 </w:t>
      </w:r>
      <w:r w:rsidRPr="00651E5D">
        <w:rPr>
          <w:rFonts w:ascii="Tahoma" w:eastAsia="Tahoma" w:hAnsi="Tahoma" w:cs="Tahoma"/>
          <w:b/>
          <w:bCs/>
          <w:color w:val="000000" w:themeColor="text1"/>
          <w:sz w:val="24"/>
          <w:szCs w:val="24"/>
          <w:lang w:val="es-CO"/>
        </w:rPr>
        <w:t>PRESIDIDA POR LA</w:t>
      </w:r>
    </w:p>
    <w:p w14:paraId="5693CE66" w14:textId="3F421CBC" w:rsidR="42DC33F9" w:rsidRPr="00651E5D" w:rsidRDefault="42DC33F9" w:rsidP="00651E5D">
      <w:pPr>
        <w:spacing w:after="0" w:line="276" w:lineRule="auto"/>
        <w:jc w:val="center"/>
        <w:rPr>
          <w:rFonts w:ascii="Tahoma" w:eastAsia="Tahoma" w:hAnsi="Tahoma" w:cs="Tahoma"/>
          <w:color w:val="000000" w:themeColor="text1"/>
          <w:sz w:val="24"/>
          <w:szCs w:val="24"/>
        </w:rPr>
      </w:pPr>
      <w:r w:rsidRPr="00651E5D">
        <w:rPr>
          <w:rFonts w:ascii="Tahoma" w:eastAsia="Tahoma" w:hAnsi="Tahoma" w:cs="Tahoma"/>
          <w:b/>
          <w:bCs/>
          <w:color w:val="000000" w:themeColor="text1"/>
          <w:sz w:val="24"/>
          <w:szCs w:val="24"/>
          <w:lang w:val="es-CO"/>
        </w:rPr>
        <w:t xml:space="preserve"> MAGISTRADA ANA LUCÍA CAICEDO CALDERÓN</w:t>
      </w:r>
    </w:p>
    <w:p w14:paraId="57BB1400" w14:textId="4CAC31A0" w:rsidR="42DC33F9" w:rsidRPr="00651E5D" w:rsidRDefault="42DC33F9" w:rsidP="00651E5D">
      <w:pPr>
        <w:spacing w:after="0" w:line="276" w:lineRule="auto"/>
        <w:jc w:val="center"/>
        <w:rPr>
          <w:rFonts w:ascii="Tahoma" w:eastAsia="Calibri" w:hAnsi="Tahoma" w:cs="Tahoma"/>
          <w:color w:val="000000" w:themeColor="text1"/>
          <w:sz w:val="24"/>
          <w:szCs w:val="24"/>
        </w:rPr>
      </w:pPr>
      <w:r w:rsidRPr="00651E5D">
        <w:rPr>
          <w:rFonts w:ascii="Tahoma" w:eastAsia="Calibri" w:hAnsi="Tahoma" w:cs="Tahoma"/>
          <w:color w:val="000000" w:themeColor="text1"/>
          <w:sz w:val="24"/>
          <w:szCs w:val="24"/>
          <w:lang w:val="es-CO"/>
        </w:rPr>
        <w:t> </w:t>
      </w:r>
    </w:p>
    <w:p w14:paraId="318A2469" w14:textId="5485DF20" w:rsidR="42DC33F9" w:rsidRPr="00651E5D" w:rsidRDefault="42DC33F9" w:rsidP="00651E5D">
      <w:pPr>
        <w:spacing w:after="0" w:line="276" w:lineRule="auto"/>
        <w:jc w:val="center"/>
        <w:rPr>
          <w:rFonts w:ascii="Tahoma" w:eastAsia="Tahoma" w:hAnsi="Tahoma" w:cs="Tahoma"/>
          <w:color w:val="000000" w:themeColor="text1"/>
          <w:sz w:val="24"/>
          <w:szCs w:val="24"/>
        </w:rPr>
      </w:pPr>
      <w:r w:rsidRPr="00651E5D">
        <w:rPr>
          <w:rFonts w:ascii="Tahoma" w:eastAsia="Tahoma" w:hAnsi="Tahoma" w:cs="Tahoma"/>
          <w:color w:val="000000" w:themeColor="text1"/>
          <w:sz w:val="24"/>
          <w:szCs w:val="24"/>
          <w:lang w:val="es-CO"/>
        </w:rPr>
        <w:t>Magistrada Ponente: </w:t>
      </w:r>
      <w:r w:rsidRPr="00651E5D">
        <w:rPr>
          <w:rFonts w:ascii="Tahoma" w:eastAsia="Tahoma" w:hAnsi="Tahoma" w:cs="Tahoma"/>
          <w:b/>
          <w:bCs/>
          <w:color w:val="000000" w:themeColor="text1"/>
          <w:sz w:val="24"/>
          <w:szCs w:val="24"/>
          <w:lang w:val="es-CO"/>
        </w:rPr>
        <w:t>Ana Lucía Caicedo Calderón</w:t>
      </w:r>
      <w:r w:rsidRPr="00651E5D">
        <w:rPr>
          <w:rFonts w:ascii="Tahoma" w:eastAsia="Tahoma" w:hAnsi="Tahoma" w:cs="Tahoma"/>
          <w:color w:val="000000" w:themeColor="text1"/>
          <w:sz w:val="24"/>
          <w:szCs w:val="24"/>
          <w:lang w:val="es-CO"/>
        </w:rPr>
        <w:t> </w:t>
      </w:r>
    </w:p>
    <w:p w14:paraId="04F93171" w14:textId="2468EE98" w:rsidR="42DC33F9" w:rsidRPr="00651E5D" w:rsidRDefault="42DC33F9" w:rsidP="00651E5D">
      <w:pPr>
        <w:spacing w:after="0" w:line="276" w:lineRule="auto"/>
        <w:jc w:val="center"/>
        <w:rPr>
          <w:rFonts w:ascii="Tahoma" w:eastAsia="Tahoma" w:hAnsi="Tahoma" w:cs="Tahoma"/>
          <w:color w:val="000000" w:themeColor="text1"/>
          <w:sz w:val="24"/>
          <w:szCs w:val="24"/>
        </w:rPr>
      </w:pPr>
      <w:r w:rsidRPr="00651E5D">
        <w:rPr>
          <w:rFonts w:ascii="Tahoma" w:eastAsia="Tahoma" w:hAnsi="Tahoma" w:cs="Tahoma"/>
          <w:color w:val="000000" w:themeColor="text1"/>
          <w:sz w:val="24"/>
          <w:szCs w:val="24"/>
          <w:lang w:val="es-CO"/>
        </w:rPr>
        <w:t> </w:t>
      </w:r>
    </w:p>
    <w:p w14:paraId="4E67EE86" w14:textId="4964C774" w:rsidR="42DC33F9" w:rsidRPr="00651E5D" w:rsidRDefault="42DC33F9" w:rsidP="00651E5D">
      <w:pPr>
        <w:spacing w:after="0" w:line="276" w:lineRule="auto"/>
        <w:jc w:val="center"/>
        <w:rPr>
          <w:rFonts w:ascii="Tahoma" w:eastAsia="Tahoma" w:hAnsi="Tahoma" w:cs="Tahoma"/>
          <w:color w:val="000000" w:themeColor="text1"/>
          <w:sz w:val="24"/>
          <w:szCs w:val="24"/>
        </w:rPr>
      </w:pPr>
      <w:r w:rsidRPr="00651E5D">
        <w:rPr>
          <w:rFonts w:ascii="Tahoma" w:eastAsia="Tahoma" w:hAnsi="Tahoma" w:cs="Tahoma"/>
          <w:color w:val="000000" w:themeColor="text1"/>
          <w:sz w:val="24"/>
          <w:szCs w:val="24"/>
          <w:lang w:val="es-CO"/>
        </w:rPr>
        <w:t>Pereira, veintiuno (21) de junio dos mil veintiuno (2021)  </w:t>
      </w:r>
    </w:p>
    <w:p w14:paraId="5226C59B" w14:textId="48BA8A23" w:rsidR="42DC33F9" w:rsidRPr="00651E5D" w:rsidRDefault="42DC33F9" w:rsidP="00651E5D">
      <w:pPr>
        <w:spacing w:after="0" w:line="276" w:lineRule="auto"/>
        <w:jc w:val="center"/>
        <w:rPr>
          <w:rFonts w:ascii="Tahoma" w:eastAsia="Tahoma" w:hAnsi="Tahoma" w:cs="Tahoma"/>
          <w:color w:val="000000" w:themeColor="text1"/>
          <w:sz w:val="24"/>
          <w:szCs w:val="24"/>
        </w:rPr>
      </w:pPr>
      <w:r w:rsidRPr="00651E5D">
        <w:rPr>
          <w:rFonts w:ascii="Tahoma" w:eastAsia="Tahoma" w:hAnsi="Tahoma" w:cs="Tahoma"/>
          <w:color w:val="000000" w:themeColor="text1"/>
          <w:sz w:val="24"/>
          <w:szCs w:val="24"/>
          <w:lang w:val="es-CO"/>
        </w:rPr>
        <w:t> Acta No. </w:t>
      </w:r>
      <w:r w:rsidR="7D4C07A4" w:rsidRPr="00651E5D">
        <w:rPr>
          <w:rFonts w:ascii="Tahoma" w:eastAsia="Tahoma" w:hAnsi="Tahoma" w:cs="Tahoma"/>
          <w:color w:val="000000" w:themeColor="text1"/>
          <w:sz w:val="24"/>
          <w:szCs w:val="24"/>
          <w:lang w:val="es-CO"/>
        </w:rPr>
        <w:t>96</w:t>
      </w:r>
      <w:r w:rsidRPr="00651E5D">
        <w:rPr>
          <w:rFonts w:ascii="Tahoma" w:eastAsia="Tahoma" w:hAnsi="Tahoma" w:cs="Tahoma"/>
          <w:color w:val="000000" w:themeColor="text1"/>
          <w:sz w:val="24"/>
          <w:szCs w:val="24"/>
          <w:lang w:val="es-CO"/>
        </w:rPr>
        <w:t xml:space="preserve"> del </w:t>
      </w:r>
      <w:r w:rsidR="006F25CE" w:rsidRPr="00651E5D">
        <w:rPr>
          <w:rFonts w:ascii="Tahoma" w:eastAsia="Tahoma" w:hAnsi="Tahoma" w:cs="Tahoma"/>
          <w:color w:val="000000" w:themeColor="text1"/>
          <w:sz w:val="24"/>
          <w:szCs w:val="24"/>
          <w:lang w:val="es-CO"/>
        </w:rPr>
        <w:t>17</w:t>
      </w:r>
      <w:r w:rsidRPr="00651E5D">
        <w:rPr>
          <w:rFonts w:ascii="Tahoma" w:eastAsia="Tahoma" w:hAnsi="Tahoma" w:cs="Tahoma"/>
          <w:color w:val="000000" w:themeColor="text1"/>
          <w:sz w:val="24"/>
          <w:szCs w:val="24"/>
          <w:lang w:val="es-CO"/>
        </w:rPr>
        <w:t xml:space="preserve"> de junio de 2021</w:t>
      </w:r>
    </w:p>
    <w:p w14:paraId="24BFA2A7" w14:textId="5C25DD64" w:rsidR="42DC33F9" w:rsidRPr="00651E5D" w:rsidRDefault="42DC33F9" w:rsidP="00651E5D">
      <w:pPr>
        <w:spacing w:after="0" w:line="276" w:lineRule="auto"/>
        <w:jc w:val="center"/>
        <w:rPr>
          <w:rFonts w:ascii="Tahoma" w:eastAsia="Tahoma" w:hAnsi="Tahoma" w:cs="Tahoma"/>
          <w:color w:val="000000" w:themeColor="text1"/>
          <w:sz w:val="24"/>
          <w:szCs w:val="24"/>
          <w:lang w:val="es-CO"/>
        </w:rPr>
      </w:pPr>
    </w:p>
    <w:p w14:paraId="150A5F44" w14:textId="67FD4B0C" w:rsidR="42DC33F9" w:rsidRPr="00651E5D" w:rsidRDefault="42DC33F9" w:rsidP="00651E5D">
      <w:pPr>
        <w:spacing w:after="0" w:line="276" w:lineRule="auto"/>
        <w:ind w:firstLine="708"/>
        <w:jc w:val="both"/>
        <w:rPr>
          <w:rFonts w:ascii="Tahoma" w:eastAsia="Tahoma" w:hAnsi="Tahoma" w:cs="Tahoma"/>
          <w:sz w:val="24"/>
          <w:szCs w:val="24"/>
          <w:lang w:val="es-CO"/>
        </w:rPr>
      </w:pPr>
      <w:r w:rsidRPr="00651E5D">
        <w:rPr>
          <w:rFonts w:ascii="Tahoma" w:eastAsia="Tahoma" w:hAnsi="Tahoma" w:cs="Tahoma"/>
          <w:color w:val="000000" w:themeColor="text1"/>
          <w:sz w:val="24"/>
          <w:szCs w:val="24"/>
          <w:lang w:val="es-CO"/>
        </w:rPr>
        <w:t>  </w:t>
      </w:r>
      <w:r w:rsidRPr="00651E5D">
        <w:rPr>
          <w:rFonts w:ascii="Tahoma" w:eastAsia="Tahoma" w:hAnsi="Tahoma" w:cs="Tahoma"/>
          <w:color w:val="000000" w:themeColor="text1"/>
          <w:sz w:val="24"/>
          <w:szCs w:val="24"/>
        </w:rPr>
        <w:t xml:space="preserve"> Teniendo en cuenta que el artículo 15 del Decreto Presidencial No. 806 del 4 de junio de 2020, estableció que en la especialidad laboral se proferirán por escrito</w:t>
      </w:r>
      <w:r w:rsidRPr="00651E5D">
        <w:rPr>
          <w:rFonts w:ascii="Tahoma" w:eastAsia="Tahoma" w:hAnsi="Tahoma" w:cs="Tahoma"/>
          <w:color w:val="000000" w:themeColor="text1"/>
          <w:sz w:val="24"/>
          <w:szCs w:val="24"/>
          <w:lang w:val="es-CO"/>
        </w:rPr>
        <w:t xml:space="preserve"> </w:t>
      </w:r>
      <w:r w:rsidRPr="00651E5D">
        <w:rPr>
          <w:rFonts w:ascii="Tahoma" w:eastAsia="Tahoma" w:hAnsi="Tahoma" w:cs="Tahoma"/>
          <w:color w:val="000000" w:themeColor="text1"/>
          <w:sz w:val="24"/>
          <w:szCs w:val="24"/>
        </w:rPr>
        <w:t xml:space="preserve">las providencias de segunda instancia en las que se surta el grado jurisdiccional de consulta o se resuelva el recurso de apelación de autos o sentencias, </w:t>
      </w:r>
      <w:r w:rsidRPr="00651E5D">
        <w:rPr>
          <w:rFonts w:ascii="Tahoma" w:eastAsia="Tahoma" w:hAnsi="Tahoma" w:cs="Tahoma"/>
          <w:color w:val="000000" w:themeColor="text1"/>
          <w:sz w:val="24"/>
          <w:szCs w:val="24"/>
          <w:lang w:val="es-CO"/>
        </w:rPr>
        <w:t xml:space="preserve">la Sala de Decisión Laboral </w:t>
      </w:r>
      <w:r w:rsidRPr="00651E5D">
        <w:rPr>
          <w:rFonts w:ascii="Tahoma" w:eastAsia="Tahoma" w:hAnsi="Tahoma" w:cs="Tahoma"/>
          <w:color w:val="000000" w:themeColor="text1"/>
          <w:sz w:val="24"/>
          <w:szCs w:val="24"/>
        </w:rPr>
        <w:t>presidida por la Magistrada Ana Lucía Caicedo Calderón -</w:t>
      </w:r>
      <w:r w:rsidRPr="00651E5D">
        <w:rPr>
          <w:rFonts w:ascii="Tahoma" w:eastAsia="Tahoma" w:hAnsi="Tahoma" w:cs="Tahoma"/>
          <w:color w:val="000000" w:themeColor="text1"/>
          <w:sz w:val="24"/>
          <w:szCs w:val="24"/>
          <w:lang w:val="es-CO"/>
        </w:rPr>
        <w:t xml:space="preserve">integrada </w:t>
      </w:r>
      <w:r w:rsidRPr="00651E5D">
        <w:rPr>
          <w:rFonts w:ascii="Tahoma" w:eastAsia="Tahoma" w:hAnsi="Tahoma" w:cs="Tahoma"/>
          <w:color w:val="000000" w:themeColor="text1"/>
          <w:sz w:val="24"/>
          <w:szCs w:val="24"/>
          <w:lang w:val="es-CO"/>
        </w:rPr>
        <w:lastRenderedPageBreak/>
        <w:t>por las Magistradas ANA LUCÍA CAICEDO CALDERÓN como Ponente, OLGA LUCÍA HOYOS SEPÚLVEDA y el Magistrado GERMÁN DARIO GÓEZ VINASCO-, procede a proferir la siguiente sentencia escrita dentro del proceso ordinario laboral instaurado por</w:t>
      </w:r>
      <w:r w:rsidRPr="00651E5D">
        <w:rPr>
          <w:rFonts w:ascii="Tahoma" w:eastAsia="Tahoma" w:hAnsi="Tahoma" w:cs="Tahoma"/>
          <w:color w:val="000000" w:themeColor="text1"/>
          <w:sz w:val="24"/>
          <w:szCs w:val="24"/>
        </w:rPr>
        <w:t xml:space="preserve"> </w:t>
      </w:r>
      <w:proofErr w:type="spellStart"/>
      <w:r w:rsidRPr="00651E5D">
        <w:rPr>
          <w:rFonts w:ascii="Tahoma" w:eastAsia="Tahoma" w:hAnsi="Tahoma" w:cs="Tahoma"/>
          <w:b/>
          <w:bCs/>
          <w:color w:val="000000" w:themeColor="text1"/>
          <w:sz w:val="24"/>
          <w:szCs w:val="24"/>
        </w:rPr>
        <w:t>Solly</w:t>
      </w:r>
      <w:proofErr w:type="spellEnd"/>
      <w:r w:rsidRPr="00651E5D">
        <w:rPr>
          <w:rFonts w:ascii="Tahoma" w:eastAsia="Tahoma" w:hAnsi="Tahoma" w:cs="Tahoma"/>
          <w:b/>
          <w:bCs/>
          <w:color w:val="000000" w:themeColor="text1"/>
          <w:sz w:val="24"/>
          <w:szCs w:val="24"/>
        </w:rPr>
        <w:t xml:space="preserve"> </w:t>
      </w:r>
      <w:proofErr w:type="spellStart"/>
      <w:r w:rsidRPr="00651E5D">
        <w:rPr>
          <w:rFonts w:ascii="Tahoma" w:eastAsia="Tahoma" w:hAnsi="Tahoma" w:cs="Tahoma"/>
          <w:b/>
          <w:bCs/>
          <w:color w:val="000000" w:themeColor="text1"/>
          <w:sz w:val="24"/>
          <w:szCs w:val="24"/>
        </w:rPr>
        <w:t>Clarena</w:t>
      </w:r>
      <w:proofErr w:type="spellEnd"/>
      <w:r w:rsidRPr="00651E5D">
        <w:rPr>
          <w:rFonts w:ascii="Tahoma" w:eastAsia="Tahoma" w:hAnsi="Tahoma" w:cs="Tahoma"/>
          <w:b/>
          <w:bCs/>
          <w:color w:val="000000" w:themeColor="text1"/>
          <w:sz w:val="24"/>
          <w:szCs w:val="24"/>
        </w:rPr>
        <w:t xml:space="preserve"> Castilla de Palacio</w:t>
      </w:r>
      <w:r w:rsidRPr="00651E5D">
        <w:rPr>
          <w:rFonts w:ascii="Tahoma" w:eastAsia="Tahoma" w:hAnsi="Tahoma" w:cs="Tahoma"/>
          <w:color w:val="000000" w:themeColor="text1"/>
          <w:sz w:val="24"/>
          <w:szCs w:val="24"/>
          <w:lang w:val="es-CO"/>
        </w:rPr>
        <w:t xml:space="preserve">, </w:t>
      </w:r>
      <w:r w:rsidRPr="00651E5D">
        <w:rPr>
          <w:rFonts w:ascii="Tahoma" w:eastAsia="Tahoma" w:hAnsi="Tahoma" w:cs="Tahoma"/>
          <w:color w:val="000000" w:themeColor="text1"/>
          <w:sz w:val="24"/>
          <w:szCs w:val="24"/>
        </w:rPr>
        <w:t xml:space="preserve">en contra de la </w:t>
      </w:r>
      <w:r w:rsidRPr="00651E5D">
        <w:rPr>
          <w:rFonts w:ascii="Tahoma" w:eastAsia="Tahoma" w:hAnsi="Tahoma" w:cs="Tahoma"/>
          <w:b/>
          <w:bCs/>
          <w:color w:val="000000" w:themeColor="text1"/>
          <w:sz w:val="24"/>
          <w:szCs w:val="24"/>
        </w:rPr>
        <w:t>Administradora Colombiana de Pensiones – Colpensiones – y la Sociedad Administradora de Pensiones y Cesantías Protección S.A. -en adelante Protección S.A. y la Sociedad Administradora de Pensiones y Cesantías Porvenir –en adelante Porvenir-</w:t>
      </w:r>
    </w:p>
    <w:p w14:paraId="1CB34C78" w14:textId="5500AAB1" w:rsidR="42DC33F9" w:rsidRPr="00651E5D" w:rsidRDefault="42DC33F9" w:rsidP="00651E5D">
      <w:pPr>
        <w:spacing w:after="0" w:line="276" w:lineRule="auto"/>
        <w:ind w:firstLine="708"/>
        <w:jc w:val="both"/>
        <w:rPr>
          <w:rFonts w:ascii="Tahoma" w:eastAsia="Tahoma" w:hAnsi="Tahoma" w:cs="Tahoma"/>
          <w:b/>
          <w:bCs/>
          <w:color w:val="000000" w:themeColor="text1"/>
          <w:sz w:val="24"/>
          <w:szCs w:val="24"/>
        </w:rPr>
      </w:pPr>
    </w:p>
    <w:p w14:paraId="57337026" w14:textId="65C30C70" w:rsidR="42DC33F9" w:rsidRPr="00651E5D" w:rsidRDefault="42DC33F9" w:rsidP="00651E5D">
      <w:pPr>
        <w:spacing w:after="0" w:line="276" w:lineRule="auto"/>
        <w:jc w:val="center"/>
        <w:rPr>
          <w:rFonts w:ascii="Tahoma" w:eastAsia="Tahoma" w:hAnsi="Tahoma" w:cs="Tahoma"/>
          <w:color w:val="000000" w:themeColor="text1"/>
          <w:sz w:val="24"/>
          <w:szCs w:val="24"/>
        </w:rPr>
      </w:pPr>
      <w:r w:rsidRPr="00651E5D">
        <w:rPr>
          <w:rFonts w:ascii="Tahoma" w:eastAsia="Tahoma" w:hAnsi="Tahoma" w:cs="Tahoma"/>
          <w:b/>
          <w:bCs/>
          <w:color w:val="000000" w:themeColor="text1"/>
          <w:sz w:val="24"/>
          <w:szCs w:val="24"/>
          <w:lang w:val="es-CO"/>
        </w:rPr>
        <w:t>PUNTO A TRATAR</w:t>
      </w:r>
    </w:p>
    <w:p w14:paraId="62D58979" w14:textId="411B5802" w:rsidR="42DC33F9" w:rsidRPr="00651E5D" w:rsidRDefault="42DC33F9" w:rsidP="00651E5D">
      <w:pPr>
        <w:spacing w:after="0" w:line="276" w:lineRule="auto"/>
        <w:rPr>
          <w:rFonts w:ascii="Tahoma" w:eastAsia="Tahoma" w:hAnsi="Tahoma" w:cs="Tahoma"/>
          <w:color w:val="000000" w:themeColor="text1"/>
          <w:sz w:val="24"/>
          <w:szCs w:val="24"/>
        </w:rPr>
      </w:pPr>
    </w:p>
    <w:p w14:paraId="3BCCAEED" w14:textId="21AF48E7" w:rsidR="42DC33F9" w:rsidRPr="00651E5D" w:rsidRDefault="42DC33F9" w:rsidP="00651E5D">
      <w:pPr>
        <w:spacing w:after="0" w:line="276" w:lineRule="auto"/>
        <w:ind w:firstLine="708"/>
        <w:jc w:val="both"/>
        <w:rPr>
          <w:rFonts w:ascii="Tahoma" w:eastAsia="Tahoma" w:hAnsi="Tahoma" w:cs="Tahoma"/>
          <w:color w:val="000000" w:themeColor="text1"/>
          <w:sz w:val="24"/>
          <w:szCs w:val="24"/>
        </w:rPr>
      </w:pPr>
      <w:r w:rsidRPr="00651E5D">
        <w:rPr>
          <w:rFonts w:ascii="Tahoma" w:eastAsia="Tahoma" w:hAnsi="Tahoma" w:cs="Tahoma"/>
          <w:color w:val="000000" w:themeColor="text1"/>
          <w:sz w:val="24"/>
          <w:szCs w:val="24"/>
          <w:lang w:val="es-CO"/>
        </w:rPr>
        <w:t>Por medio de esta providencia procede la Sala a resolver los recursos de apelación interpuestos por las codemandadas Protección S.A., Porvenir S.A. y Colpensiones, en contra de la sentencia proferida el 21 de enero de 2021, por el Juzgado Cuarto Laboral del Circuito de Pereira. Asimismo, se revisará la sentencia en grado jurisdiccional de consulta a favor de COLPENSIONES. Para ello se tiene en cuenta lo siguiente:</w:t>
      </w:r>
    </w:p>
    <w:p w14:paraId="6D334DA7" w14:textId="34EF2866"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0AC8B1B1" w14:textId="6209E571" w:rsidR="42DC33F9" w:rsidRPr="00651E5D" w:rsidRDefault="42DC33F9" w:rsidP="00651E5D">
      <w:pPr>
        <w:pStyle w:val="Prrafodelista"/>
        <w:numPr>
          <w:ilvl w:val="0"/>
          <w:numId w:val="5"/>
        </w:numPr>
        <w:spacing w:after="0" w:line="276" w:lineRule="auto"/>
        <w:jc w:val="center"/>
        <w:rPr>
          <w:rFonts w:ascii="Tahoma" w:eastAsiaTheme="minorEastAsia" w:hAnsi="Tahoma" w:cs="Tahoma"/>
          <w:b/>
          <w:bCs/>
          <w:color w:val="000000" w:themeColor="text1"/>
          <w:sz w:val="24"/>
          <w:szCs w:val="24"/>
          <w:lang w:val="es-CO"/>
        </w:rPr>
      </w:pPr>
      <w:r w:rsidRPr="00651E5D">
        <w:rPr>
          <w:rFonts w:ascii="Tahoma" w:eastAsia="Tahoma" w:hAnsi="Tahoma" w:cs="Tahoma"/>
          <w:b/>
          <w:bCs/>
          <w:color w:val="000000" w:themeColor="text1"/>
          <w:sz w:val="24"/>
          <w:szCs w:val="24"/>
          <w:lang w:val="es-CO"/>
        </w:rPr>
        <w:t>La demanda y su contestación</w:t>
      </w:r>
    </w:p>
    <w:p w14:paraId="7696EB25" w14:textId="127173BE" w:rsidR="42DC33F9" w:rsidRPr="00651E5D" w:rsidRDefault="42DC33F9" w:rsidP="00651E5D">
      <w:pPr>
        <w:spacing w:after="0" w:line="276" w:lineRule="auto"/>
        <w:rPr>
          <w:rFonts w:ascii="Tahoma" w:eastAsia="Tahoma" w:hAnsi="Tahoma" w:cs="Tahoma"/>
          <w:color w:val="000000" w:themeColor="text1"/>
          <w:sz w:val="24"/>
          <w:szCs w:val="24"/>
          <w:lang w:val="es-CO"/>
        </w:rPr>
      </w:pPr>
    </w:p>
    <w:p w14:paraId="698921E5" w14:textId="4EC1AFB8"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 xml:space="preserve">Solicita </w:t>
      </w:r>
      <w:r w:rsidR="00F400AC" w:rsidRPr="00651E5D">
        <w:rPr>
          <w:rFonts w:ascii="Tahoma" w:eastAsia="Tahoma" w:hAnsi="Tahoma" w:cs="Tahoma"/>
          <w:color w:val="000000" w:themeColor="text1"/>
          <w:sz w:val="24"/>
          <w:szCs w:val="24"/>
          <w:lang w:val="es-CO"/>
        </w:rPr>
        <w:t xml:space="preserve">la demandante </w:t>
      </w:r>
      <w:r w:rsidRPr="00651E5D">
        <w:rPr>
          <w:rFonts w:ascii="Tahoma" w:eastAsia="Tahoma" w:hAnsi="Tahoma" w:cs="Tahoma"/>
          <w:color w:val="000000" w:themeColor="text1"/>
          <w:sz w:val="24"/>
          <w:szCs w:val="24"/>
          <w:lang w:val="es-CO"/>
        </w:rPr>
        <w:t>que se declare la nulidad de su afiliación y traslado del Régimen de Prima Media con Prestación Definida (</w:t>
      </w:r>
      <w:r w:rsidR="00F400AC" w:rsidRPr="00651E5D">
        <w:rPr>
          <w:rFonts w:ascii="Tahoma" w:eastAsia="Tahoma" w:hAnsi="Tahoma" w:cs="Tahoma"/>
          <w:color w:val="000000" w:themeColor="text1"/>
          <w:sz w:val="24"/>
          <w:szCs w:val="24"/>
          <w:lang w:val="es-CO"/>
        </w:rPr>
        <w:t xml:space="preserve">en adelante </w:t>
      </w:r>
      <w:r w:rsidRPr="00651E5D">
        <w:rPr>
          <w:rFonts w:ascii="Tahoma" w:eastAsia="Tahoma" w:hAnsi="Tahoma" w:cs="Tahoma"/>
          <w:color w:val="000000" w:themeColor="text1"/>
          <w:sz w:val="24"/>
          <w:szCs w:val="24"/>
          <w:lang w:val="es-CO"/>
        </w:rPr>
        <w:t xml:space="preserve">RPM) al </w:t>
      </w:r>
      <w:r w:rsidR="00F400AC" w:rsidRPr="00651E5D">
        <w:rPr>
          <w:rFonts w:ascii="Tahoma" w:eastAsia="Tahoma" w:hAnsi="Tahoma" w:cs="Tahoma"/>
          <w:color w:val="000000" w:themeColor="text1"/>
          <w:sz w:val="24"/>
          <w:szCs w:val="24"/>
          <w:lang w:val="es-CO"/>
        </w:rPr>
        <w:t xml:space="preserve">régimen de ahorro individual con solidaridad (en adelante </w:t>
      </w:r>
      <w:r w:rsidRPr="00651E5D">
        <w:rPr>
          <w:rFonts w:ascii="Tahoma" w:eastAsia="Tahoma" w:hAnsi="Tahoma" w:cs="Tahoma"/>
          <w:color w:val="000000" w:themeColor="text1"/>
          <w:sz w:val="24"/>
          <w:szCs w:val="24"/>
          <w:lang w:val="es-CO"/>
        </w:rPr>
        <w:t>RAIS</w:t>
      </w:r>
      <w:r w:rsidR="00F400AC" w:rsidRPr="00651E5D">
        <w:rPr>
          <w:rFonts w:ascii="Tahoma" w:eastAsia="Tahoma" w:hAnsi="Tahoma" w:cs="Tahoma"/>
          <w:color w:val="000000" w:themeColor="text1"/>
          <w:sz w:val="24"/>
          <w:szCs w:val="24"/>
          <w:lang w:val="es-CO"/>
        </w:rPr>
        <w:t>)</w:t>
      </w:r>
      <w:r w:rsidRPr="00651E5D">
        <w:rPr>
          <w:rFonts w:ascii="Tahoma" w:eastAsia="Tahoma" w:hAnsi="Tahoma" w:cs="Tahoma"/>
          <w:color w:val="000000" w:themeColor="text1"/>
          <w:sz w:val="24"/>
          <w:szCs w:val="24"/>
          <w:lang w:val="es-CO"/>
        </w:rPr>
        <w:t>, efectuada inicialmente a Protección S.A. y posteriormente a Horizonte Pensiones y Cesantías (hoy Porvenir S.A.), consecuencia de lo cual se condene a Porvenir a trasladar el saldo de su cuenta de ahorro individual a COLPENSIONES, sin descuentos de ninguna clase, y a esta última entidad, que los reciba y proceda a afiliarla al Régimen de Prima Media y le pague en su momento la pensión a que haya lugar.</w:t>
      </w:r>
    </w:p>
    <w:p w14:paraId="71A3985D" w14:textId="548B11CA"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62B9BC04" w14:textId="3190516C"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Para fundar tales pretensiones, informa que nació el 09-10-1965, que se afilió al Régimen de Prima Media administrado por el ISS -Hoy Colpensiones- el 3 de noviembre de 1994, donde acumuló 135 semanas cotizadas hasta el 20 de noviembre de 1997, fecha en que se trasladó al RAIS, incitada por representantes o agentes comerciales de la AFP COLMENA, que luego se llamó ING y que hoy en día fue absorbida por PROTECCIÓN S.A.</w:t>
      </w:r>
    </w:p>
    <w:p w14:paraId="5E54490B" w14:textId="7FEEAFA9"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656B9C41" w14:textId="622A0F7E"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Agrega que su traslado se efectuó debido a que la administradora privada la indujo a error afirmando que en el RAIS se le reconocería una mesada pensional más alta y a menor edad que la podría obtener en el ISS, lo que la motivó a acceder al traslado. Le recrimina igualmente al asesor que no le haya brindado la suficiente información para entender las consecuencias del traslado y que se haya limitado a ofrecerle una mayor pensión, sin informarle las diferencias entre regímenes pensionales, ni los pros y contras del traslado.</w:t>
      </w:r>
    </w:p>
    <w:p w14:paraId="3D4B4847" w14:textId="27E6EAB3"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0CFAD879" w14:textId="05E39EDA"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Seguidamente indica que el 12 de octubre</w:t>
      </w:r>
      <w:r w:rsidR="00F400AC" w:rsidRPr="00651E5D">
        <w:rPr>
          <w:rFonts w:ascii="Tahoma" w:eastAsia="Tahoma" w:hAnsi="Tahoma" w:cs="Tahoma"/>
          <w:color w:val="000000" w:themeColor="text1"/>
          <w:sz w:val="24"/>
          <w:szCs w:val="24"/>
          <w:lang w:val="es-CO"/>
        </w:rPr>
        <w:t xml:space="preserve"> de 2001</w:t>
      </w:r>
      <w:r w:rsidRPr="00651E5D">
        <w:rPr>
          <w:rFonts w:ascii="Tahoma" w:eastAsia="Tahoma" w:hAnsi="Tahoma" w:cs="Tahoma"/>
          <w:color w:val="000000" w:themeColor="text1"/>
          <w:sz w:val="24"/>
          <w:szCs w:val="24"/>
          <w:lang w:val="es-CO"/>
        </w:rPr>
        <w:t xml:space="preserve"> se trasladó dentro del mismo RAIS a la AFP Horizonte, hoy Porvenir, donde actualmente se encuentra </w:t>
      </w:r>
      <w:r w:rsidRPr="00651E5D">
        <w:rPr>
          <w:rFonts w:ascii="Tahoma" w:eastAsia="Tahoma" w:hAnsi="Tahoma" w:cs="Tahoma"/>
          <w:color w:val="000000" w:themeColor="text1"/>
          <w:sz w:val="24"/>
          <w:szCs w:val="24"/>
          <w:lang w:val="es-CO"/>
        </w:rPr>
        <w:lastRenderedPageBreak/>
        <w:t xml:space="preserve">afiliada sin poder regresar a COLPENSIONES, como quiera que le fue negado el traslado por faltarle menos de 10 años para obtener la pensión.   </w:t>
      </w:r>
    </w:p>
    <w:p w14:paraId="3352F2F4" w14:textId="3E7A147D"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3307F694" w14:textId="3F12A775"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 xml:space="preserve">Colpensiones aceptó los hechos relativos a la vinculación que tuvo la actora al régimen de prima media y su traslado al RAIS; la negativa de aceptar el traslado por faltarle menos de diez años para la edad mínima pensional. Se opone a las pretensiones arguyendo que el traslado de régimen es válido y excepciona: “Inexistencia de la obligación demandada” y “prescripción” </w:t>
      </w:r>
    </w:p>
    <w:p w14:paraId="3C89D100" w14:textId="59B48EB5" w:rsidR="42DC33F9" w:rsidRPr="00651E5D" w:rsidRDefault="42DC33F9" w:rsidP="00651E5D">
      <w:pPr>
        <w:spacing w:after="0" w:line="276" w:lineRule="auto"/>
        <w:rPr>
          <w:rFonts w:ascii="Tahoma" w:eastAsia="Tahoma" w:hAnsi="Tahoma" w:cs="Tahoma"/>
          <w:color w:val="000000" w:themeColor="text1"/>
          <w:sz w:val="24"/>
          <w:szCs w:val="24"/>
          <w:lang w:val="es-CO"/>
        </w:rPr>
      </w:pPr>
    </w:p>
    <w:p w14:paraId="3552AF2B" w14:textId="356573E6"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PROTECCIÓN S.A., por su parte, adujo que la vinculación de la demandante a la AFP fue valida, pues su voluntad de traslado fue totalmente consiente del acto suscrito en cuanto a sus consecuencias jurídicas, de modo que la actora jamás fue inducida a error como pretende hacerlo ver y en todo caso no hizo uso del derecho al retracto ni retornó dentro del término mínimo al Régimen de Prima Media. En tal virtud, se opuso a las pretensiones y propuso como fórmula de la defensa las excepciones denominadas genérica o innominada”, “prescripción”, “buena fe”, “compensación”, “exoneración de condena en costas”, “inexistencia de la obligación”. “falta de causa para pedir”, “falta de legitimación en la causa”, “inexistencia de la fuente de la obligación”, “inexistencia de la causa por inexistencia de la oportunidad”, “ausencia de perjuicios morales y materiales irrogados por parte de la entidad llamada a juicio” u “afectación de la estabilidad financiera del sistema en caso de acceder al traslado”.</w:t>
      </w:r>
    </w:p>
    <w:p w14:paraId="2BDF0506" w14:textId="008ED0F0"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5A30DA54" w14:textId="0F770D27"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Porvenir S.A., al contestar aceptó la vigencia de la vinculación de la actora al RAIS, los aportes realizados y las respuestas otorgadas por Porvenir S.A, pero advirtió que el primer traslado dentro de dicho régimen no lo había efectuado esa AFP sino Protección y se opuso a las pretensiones, presentando como medios exceptivos los denominados “genérica o innominada”, “prescripción”, “buena fe”, “compensación”, “exoneración de condena en costas”, “inexistencia de la obligación”. “falta de causa para pedir”, “falta de legitimación en la causa”, “inexistencia de la fuente de la obligación”, “inexistencia de la causa por inexistencia de la oportunidad”, “ausencia de perjuicios morales y materiales irrogados por parte de la entidad llamada a juicio” u “afectación de la estabilidad financiera del sistema en caso de acceder al traslado”.</w:t>
      </w:r>
    </w:p>
    <w:p w14:paraId="0B3EC4C3" w14:textId="2E494E1F" w:rsidR="42DC33F9" w:rsidRPr="00651E5D" w:rsidRDefault="42DC33F9" w:rsidP="00651E5D">
      <w:pPr>
        <w:spacing w:after="0" w:line="276" w:lineRule="auto"/>
        <w:rPr>
          <w:rFonts w:ascii="Tahoma" w:eastAsia="Tahoma" w:hAnsi="Tahoma" w:cs="Tahoma"/>
          <w:color w:val="000000" w:themeColor="text1"/>
          <w:sz w:val="24"/>
          <w:szCs w:val="24"/>
          <w:lang w:val="es-CO"/>
        </w:rPr>
      </w:pPr>
    </w:p>
    <w:p w14:paraId="344A7E71" w14:textId="63A480B2"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En su defensa, señaló que a la demandante se le había brindado toda la información pertinente, clara, veraz y oportuna respecto de las diferencias de cada régimen y las consecuencias del traslado y que, conforme a ello, la actora había suscrito el formulario de afiliación de manera libre, voluntaria y sin presiones, por lo que el traslado de régimen debía considerarse valido y vigente. De otro lado, señaló que el acto jurídico atacado era válido porque el formulario de afiliación se suscribió de manera libre, voluntaria y sin presiones, acto que fue precedido de la asesoría con personal capacitado, pero de llegarse a una conclusión contraria, tal situación ya estaría saneada.</w:t>
      </w:r>
    </w:p>
    <w:p w14:paraId="0D7A3EDE" w14:textId="17948F26"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46F4B8F7" w14:textId="5F256EB3" w:rsidR="42DC33F9" w:rsidRPr="00651E5D" w:rsidRDefault="42DC33F9" w:rsidP="00651E5D">
      <w:pPr>
        <w:pStyle w:val="Prrafodelista"/>
        <w:numPr>
          <w:ilvl w:val="0"/>
          <w:numId w:val="5"/>
        </w:numPr>
        <w:spacing w:after="0" w:line="276" w:lineRule="auto"/>
        <w:jc w:val="center"/>
        <w:rPr>
          <w:rFonts w:ascii="Tahoma" w:eastAsiaTheme="minorEastAsia" w:hAnsi="Tahoma" w:cs="Tahoma"/>
          <w:b/>
          <w:bCs/>
          <w:color w:val="000000" w:themeColor="text1"/>
          <w:sz w:val="24"/>
          <w:szCs w:val="24"/>
          <w:lang w:val="es-CO"/>
        </w:rPr>
      </w:pPr>
      <w:r w:rsidRPr="00651E5D">
        <w:rPr>
          <w:rFonts w:ascii="Tahoma" w:eastAsia="Tahoma" w:hAnsi="Tahoma" w:cs="Tahoma"/>
          <w:b/>
          <w:bCs/>
          <w:color w:val="000000" w:themeColor="text1"/>
          <w:sz w:val="24"/>
          <w:szCs w:val="24"/>
          <w:lang w:val="es-CO"/>
        </w:rPr>
        <w:t>Sentencia de primera instancia</w:t>
      </w:r>
    </w:p>
    <w:p w14:paraId="52D88806" w14:textId="0BC120BE"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09E8B08F" w14:textId="19E9F1BB"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lastRenderedPageBreak/>
        <w:t xml:space="preserve">La jueza declaró la ineficacia, tanto del traslado de la demandante a la AFP COLMENA –HOY PROTECCIÓN- el 20 de noviembre de 1997 como del traslado horizontal que efectuó el 12 de octubre de 2001 a PORVENIR, donde se encuentra afiliada actualmente. </w:t>
      </w:r>
    </w:p>
    <w:p w14:paraId="677E645D" w14:textId="2A6AB0FF"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359F3741" w14:textId="737C3A2D" w:rsidR="42DC33F9" w:rsidRPr="00651E5D" w:rsidRDefault="42DC33F9" w:rsidP="00651E5D">
      <w:pPr>
        <w:spacing w:after="0" w:line="276" w:lineRule="auto"/>
        <w:ind w:firstLine="708"/>
        <w:jc w:val="both"/>
        <w:rPr>
          <w:rFonts w:ascii="Tahoma" w:eastAsia="Tahoma" w:hAnsi="Tahoma" w:cs="Tahoma"/>
          <w:sz w:val="24"/>
          <w:szCs w:val="24"/>
          <w:lang w:val="es-CO"/>
        </w:rPr>
      </w:pPr>
      <w:r w:rsidRPr="00651E5D">
        <w:rPr>
          <w:rFonts w:ascii="Tahoma" w:eastAsia="Tahoma" w:hAnsi="Tahoma" w:cs="Tahoma"/>
          <w:color w:val="000000" w:themeColor="text1"/>
          <w:sz w:val="24"/>
          <w:szCs w:val="24"/>
          <w:lang w:val="es-CO"/>
        </w:rPr>
        <w:t xml:space="preserve">Consecuencia de la anterior declaración, ordenó a PORVENIR que traslade con destino a COLPENSIONES: </w:t>
      </w:r>
      <w:r w:rsidRPr="00651E5D">
        <w:rPr>
          <w:rFonts w:ascii="Tahoma" w:eastAsia="Tahoma" w:hAnsi="Tahoma" w:cs="Tahoma"/>
          <w:sz w:val="24"/>
          <w:szCs w:val="24"/>
          <w:lang w:val="es-CO"/>
        </w:rPr>
        <w:t xml:space="preserve">la totalidad del capital acumulado en la cuenta de ahorro individual de la actora con los respectivos rendimientos financieros, el bono pensional, en caso de que exista; las sumas adicionales de la aseguradora en caso de haberlas recibido y en general todos los saldos, frutos e intereses; así como los gastos de administración, las cuotas de garantía de pensión mínima y los seguros previsionales, pero con cargo a los propios recursos de la AFP y debidamente indexadas, dentro del mes siguiente a la ejecutoria de la decisión. </w:t>
      </w:r>
    </w:p>
    <w:p w14:paraId="523E0D1B" w14:textId="792D2852" w:rsidR="42DC33F9" w:rsidRPr="00651E5D" w:rsidRDefault="42DC33F9" w:rsidP="00651E5D">
      <w:pPr>
        <w:spacing w:after="0" w:line="276" w:lineRule="auto"/>
        <w:ind w:firstLine="708"/>
        <w:jc w:val="both"/>
        <w:rPr>
          <w:rFonts w:ascii="Tahoma" w:eastAsia="Tahoma" w:hAnsi="Tahoma" w:cs="Tahoma"/>
          <w:sz w:val="24"/>
          <w:szCs w:val="24"/>
          <w:lang w:val="es-CO"/>
        </w:rPr>
      </w:pPr>
    </w:p>
    <w:p w14:paraId="2E990732" w14:textId="5031C98F" w:rsidR="42DC33F9" w:rsidRPr="00651E5D" w:rsidRDefault="42DC33F9" w:rsidP="00651E5D">
      <w:pPr>
        <w:spacing w:after="0" w:line="276" w:lineRule="auto"/>
        <w:ind w:firstLine="708"/>
        <w:jc w:val="both"/>
        <w:rPr>
          <w:rFonts w:ascii="Tahoma" w:eastAsia="Tahoma" w:hAnsi="Tahoma" w:cs="Tahoma"/>
          <w:sz w:val="24"/>
          <w:szCs w:val="24"/>
          <w:lang w:val="es-CO"/>
        </w:rPr>
      </w:pPr>
      <w:r w:rsidRPr="00651E5D">
        <w:rPr>
          <w:rFonts w:ascii="Tahoma" w:eastAsia="Tahoma" w:hAnsi="Tahoma" w:cs="Tahoma"/>
          <w:sz w:val="24"/>
          <w:szCs w:val="24"/>
          <w:lang w:val="es-CO"/>
        </w:rPr>
        <w:t>Asimismo, le ordenó a COLPENSIONES que una vez PORVENIR cumpla con lo ordenado, proceda aceptar sin dilaciones el traslado de SOLLY CLARENA CASTILLA DE PALACIO del régimen de ahorro individual al de prima media con prestación definida, sin solución de continuidad desde el momento en que se afilió a este último régimen.</w:t>
      </w:r>
    </w:p>
    <w:p w14:paraId="592995CB" w14:textId="2051012A"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48E8F302" w14:textId="3DF548BF" w:rsidR="42DC33F9" w:rsidRPr="00651E5D" w:rsidRDefault="42DC33F9" w:rsidP="00651E5D">
      <w:pPr>
        <w:spacing w:after="0" w:line="276" w:lineRule="auto"/>
        <w:ind w:firstLine="708"/>
        <w:jc w:val="both"/>
        <w:rPr>
          <w:rFonts w:ascii="Tahoma" w:eastAsia="Tahoma" w:hAnsi="Tahoma" w:cs="Tahoma"/>
          <w:sz w:val="24"/>
          <w:szCs w:val="24"/>
          <w:lang w:val="es-CO"/>
        </w:rPr>
      </w:pPr>
      <w:r w:rsidRPr="00651E5D">
        <w:rPr>
          <w:rFonts w:ascii="Tahoma" w:eastAsia="Tahoma" w:hAnsi="Tahoma" w:cs="Tahoma"/>
          <w:color w:val="000000" w:themeColor="text1"/>
          <w:sz w:val="24"/>
          <w:szCs w:val="24"/>
          <w:lang w:val="es-CO"/>
        </w:rPr>
        <w:t xml:space="preserve">Finalmente, le ordenó a </w:t>
      </w:r>
      <w:r w:rsidRPr="00651E5D">
        <w:rPr>
          <w:rFonts w:ascii="Tahoma" w:eastAsia="Tahoma" w:hAnsi="Tahoma" w:cs="Tahoma"/>
          <w:sz w:val="24"/>
          <w:szCs w:val="24"/>
          <w:lang w:val="es-CO"/>
        </w:rPr>
        <w:t>PROTECCIÓN S.A. que devuelva a COLPENSIONES los gastos de administración y comisiones cobradas, con cargo a sus propios recursos, debidamente indexados, correspondientes al tiempo en que la señora SOLLY CLARENA CASTILLA DE PALACIO estuvo allí afiliada, esto es, desde el 20 de noviembre de 1997 hasta el 11 de octubre de 2001 y condenó en costas procesales a PROTECCIÓN S.A., en un 100% de las causadas.</w:t>
      </w:r>
    </w:p>
    <w:p w14:paraId="7780F05C" w14:textId="3560BA34" w:rsidR="42DC33F9" w:rsidRPr="00651E5D" w:rsidRDefault="42DC33F9" w:rsidP="00651E5D">
      <w:pPr>
        <w:spacing w:after="0" w:line="276" w:lineRule="auto"/>
        <w:ind w:firstLine="708"/>
        <w:jc w:val="both"/>
        <w:rPr>
          <w:rFonts w:ascii="Tahoma" w:eastAsia="Tahoma" w:hAnsi="Tahoma" w:cs="Tahoma"/>
          <w:sz w:val="24"/>
          <w:szCs w:val="24"/>
          <w:lang w:val="es-CO"/>
        </w:rPr>
      </w:pPr>
    </w:p>
    <w:p w14:paraId="1792CF84" w14:textId="1794AAF3" w:rsidR="42DC33F9" w:rsidRPr="00651E5D" w:rsidRDefault="42DC33F9" w:rsidP="00651E5D">
      <w:pPr>
        <w:spacing w:after="0" w:line="276" w:lineRule="auto"/>
        <w:ind w:firstLine="708"/>
        <w:jc w:val="both"/>
        <w:rPr>
          <w:rFonts w:ascii="Tahoma" w:eastAsia="Tahoma" w:hAnsi="Tahoma" w:cs="Tahoma"/>
          <w:sz w:val="24"/>
          <w:szCs w:val="24"/>
          <w:lang w:val="es-CO"/>
        </w:rPr>
      </w:pPr>
      <w:r w:rsidRPr="00651E5D">
        <w:rPr>
          <w:rFonts w:ascii="Tahoma" w:eastAsia="Tahoma" w:hAnsi="Tahoma" w:cs="Tahoma"/>
          <w:sz w:val="24"/>
          <w:szCs w:val="24"/>
          <w:lang w:val="es-CO"/>
        </w:rPr>
        <w:t xml:space="preserve">Para llegar a tal determinación, la a-quo empieza por hacer un recuento legal y jurisprudencial de las normas y precedentes jurídicos aplicables al caso de marras, seguidamente se refiere de manera detallada a las pruebas allegadas al proceso y concluye que ninguna de ellas dan cuenta de la información que le otorgó el funcionario de colmena en el año 1997 a la demandante, en razón de lo cual concluye que las </w:t>
      </w:r>
      <w:proofErr w:type="spellStart"/>
      <w:r w:rsidRPr="00651E5D">
        <w:rPr>
          <w:rFonts w:ascii="Tahoma" w:eastAsia="Tahoma" w:hAnsi="Tahoma" w:cs="Tahoma"/>
          <w:sz w:val="24"/>
          <w:szCs w:val="24"/>
          <w:lang w:val="es-CO"/>
        </w:rPr>
        <w:t>AFPs</w:t>
      </w:r>
      <w:proofErr w:type="spellEnd"/>
      <w:r w:rsidRPr="00651E5D">
        <w:rPr>
          <w:rFonts w:ascii="Tahoma" w:eastAsia="Tahoma" w:hAnsi="Tahoma" w:cs="Tahoma"/>
          <w:sz w:val="24"/>
          <w:szCs w:val="24"/>
          <w:lang w:val="es-CO"/>
        </w:rPr>
        <w:t xml:space="preserve"> llamadas al juicio no demostraron el cumplimiento del deber de información a la hora de gestionar el traslado de la actora al RAIS y aclaró que sola suscripción del formulario de traslado no es prueba suficiente para acreditar la información brindada a la demandante, quien además informó en interrogatorio de parte  que la información que recibió para su traslado fue elemental y se dio en una reunión grupal con los funcionarios de la empresa donde laboraba en aquel entonces, en las que les dieron a conocer las supuestas bondades del Régimen de Ahorro Individual con Solidaridad, a partir de argumentos dirigidos a demostrar la preminencia del sector privado sobre el público y la supuesta idea de que la pensión del RAIS era más jugosa que la del ISS, que se podían pensionar indistintamente de la edad, pero no le dieron a conocer, como es exigido en la ley y recordado por la jurisprudencia, cuáles eran las características del régimen de ahorro individual, cuáles eran las características del régimen de prima media con prestación definida; no le hablaron de las distintas modalidades de pensión, del bono pensional, de aportes </w:t>
      </w:r>
      <w:r w:rsidRPr="00651E5D">
        <w:rPr>
          <w:rFonts w:ascii="Tahoma" w:eastAsia="Tahoma" w:hAnsi="Tahoma" w:cs="Tahoma"/>
          <w:sz w:val="24"/>
          <w:szCs w:val="24"/>
          <w:lang w:val="es-CO"/>
        </w:rPr>
        <w:lastRenderedPageBreak/>
        <w:t>voluntarios; no le dijeron que sus aportes iban a estar sujetos a las fluctuaciones de la economía y antes de cumplir 47 años no fue abordada por ningún asesor para procurar su traslado antes de cumplir la edad mínima para hacerlo, pues tan sólo vino a conocer características de los sistemas públicos y privados hace 2 años, cuando se interesó por consultar, de modo que no hubo confesión alguna que permita acreditar que en ese entonces Colmena (Hoy Protección) cumplió con el deber de información y buen consejo, lo que tiene como consecuencia la declaración de ineficacia del traslado, a la que accedió.</w:t>
      </w:r>
    </w:p>
    <w:p w14:paraId="5752A60E" w14:textId="11BC7790"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66E69EBA" w14:textId="1FBD629E" w:rsidR="42DC33F9" w:rsidRPr="00651E5D" w:rsidRDefault="42DC33F9" w:rsidP="00651E5D">
      <w:pPr>
        <w:pStyle w:val="Prrafodelista"/>
        <w:numPr>
          <w:ilvl w:val="0"/>
          <w:numId w:val="5"/>
        </w:numPr>
        <w:spacing w:after="0" w:line="276" w:lineRule="auto"/>
        <w:jc w:val="center"/>
        <w:rPr>
          <w:rFonts w:ascii="Tahoma" w:eastAsiaTheme="minorEastAsia" w:hAnsi="Tahoma" w:cs="Tahoma"/>
          <w:b/>
          <w:bCs/>
          <w:color w:val="000000" w:themeColor="text1"/>
          <w:sz w:val="24"/>
          <w:szCs w:val="24"/>
          <w:lang w:val="es-CO"/>
        </w:rPr>
      </w:pPr>
      <w:r w:rsidRPr="00651E5D">
        <w:rPr>
          <w:rFonts w:ascii="Tahoma" w:eastAsia="Tahoma" w:hAnsi="Tahoma" w:cs="Tahoma"/>
          <w:b/>
          <w:bCs/>
          <w:color w:val="000000" w:themeColor="text1"/>
          <w:sz w:val="24"/>
          <w:szCs w:val="24"/>
          <w:lang w:val="es-CO"/>
        </w:rPr>
        <w:t>Recurso de apelación </w:t>
      </w:r>
    </w:p>
    <w:p w14:paraId="2D9EF959" w14:textId="2FE203D8"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7246854E" w14:textId="296ED8A6"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Contra la anterior decisión interponen recurso de apelación la totalidad de los codemandados, así:</w:t>
      </w:r>
    </w:p>
    <w:p w14:paraId="0DD65B55" w14:textId="0AD6B929"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02C0A51B" w14:textId="6C432CC0"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b/>
          <w:bCs/>
          <w:color w:val="000000" w:themeColor="text1"/>
          <w:sz w:val="24"/>
          <w:szCs w:val="24"/>
          <w:lang w:val="es-CO"/>
        </w:rPr>
        <w:t>PROTECCIÓN S.A.</w:t>
      </w:r>
      <w:r w:rsidRPr="00651E5D">
        <w:rPr>
          <w:rFonts w:ascii="Tahoma" w:eastAsia="Tahoma" w:hAnsi="Tahoma" w:cs="Tahoma"/>
          <w:color w:val="000000" w:themeColor="text1"/>
          <w:sz w:val="24"/>
          <w:szCs w:val="24"/>
          <w:lang w:val="es-CO"/>
        </w:rPr>
        <w:t>, señala que se opone al fallo, pues en la decisión no se tuvo en cuenta que en virtud del artículo 244 de la Ley 100 de 1993, el formulario de vinculación es un documento al que no se le puede restar el valor probatorio que tiene, pues la información se otorgaba de manera verbal, por ser el requisito que se exigía para la época y no se puede exigir ahora la constancia escrita de la información que en su momento se le otorgó a la afiliada para convencerla del traslado de régimen, en razón de lo cual no puede ser condenada. De otra parte, hizo alusión a la imposibilidad de traslado para las personas que les falte menos de 10 años para pensionarse y adujo que dicha normatividad fue sometida a control previo de constitucionalidad y se declaró exequible; además, en el caso particular, la actora debía conocer las características del sistema pensional, pues de acuerdo al estatuto financiero, era su obligación informarse sobre los productos y servicios que pensaba adquirir y revisar los términos y condiciones del contrato suscrito. Respecto de la devolución de los gastos de administración y seguro previsional por todo el tiempo que la afiliada estuvo afiliada a dicho fondo, considera que la decisión no es justa, pues desconoce que durante todo ese tiempo la administradora administró los aportes de la actora con el mayor cuidado y diligencia, lo cual se puede constatar con los rendimientos financieros, por lo que, en virtud de la figura de restituciones mutuas, Art. 1746 del C.C., aunque se declare la nulidad o ineficacia, no se puede desconocer que el bien administrado produjo frutos y mejoras y que los mismos se deben conservar por haber realizado una excelente gestión, en caso contrario se constituiría enriquecimiento sin causa en favor de la demandante y en detrimento del patrimonio de protección que no constituyen parte de la cuenta de ahorro individual de la demandante. Finalmente indica que debe tener en cuenta que la demandante tiene unas condiciones especiales que le permitían reconocer los riesgos y ventajas del traslado y los tiempos mínimos de permanencia entre regímenes, como quiera que es abogada y lo era a la fecha en que se trasladó.</w:t>
      </w:r>
    </w:p>
    <w:p w14:paraId="18F38E1C" w14:textId="5F66BF9F"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3C01D5DF" w14:textId="4691631D" w:rsidR="42DC33F9"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b/>
          <w:bCs/>
          <w:color w:val="000000" w:themeColor="text1"/>
          <w:sz w:val="24"/>
          <w:szCs w:val="24"/>
          <w:lang w:val="es-CO"/>
        </w:rPr>
        <w:t>PORVENIR S.A.</w:t>
      </w:r>
      <w:r w:rsidRPr="00651E5D">
        <w:rPr>
          <w:rFonts w:ascii="Tahoma" w:eastAsia="Tahoma" w:hAnsi="Tahoma" w:cs="Tahoma"/>
          <w:color w:val="000000" w:themeColor="text1"/>
          <w:sz w:val="24"/>
          <w:szCs w:val="24"/>
          <w:lang w:val="es-CO"/>
        </w:rPr>
        <w:t xml:space="preserve"> indica que por parte suya hubo un total cumplimiento del deber de asesoría y de la obligación de suministrar información veraz y suficiente a la actora a la hora de la afiliación a la AFP y advierte que, a su juicio, para la época del primer traslado al RAIS, la ley solo exigía la suscripción del formulario con la nota </w:t>
      </w:r>
      <w:r w:rsidRPr="00651E5D">
        <w:rPr>
          <w:rFonts w:ascii="Tahoma" w:eastAsia="Tahoma" w:hAnsi="Tahoma" w:cs="Tahoma"/>
          <w:color w:val="000000" w:themeColor="text1"/>
          <w:sz w:val="24"/>
          <w:szCs w:val="24"/>
          <w:lang w:val="es-CO"/>
        </w:rPr>
        <w:lastRenderedPageBreak/>
        <w:t>de que el traslado se hacía libre, voluntaria y sin presión alguna, requisito que en este caso se cumplió, tal como se acredita con el formulario adosado al proceso por Protección S.A. Adicionalmente, considera que las posteriores afiliaciones de la actora dentro del RAIS, trasladándose entre distintas AFP, han de entenderse como la ratificación de su deseo de permanencia al interior del RAIS, pues aunque ahora le endilgue al sistema pensional privado fallas en su deber de información, a todas luces es evidente que la motivación de regresar al RPM es eminentemente económica, ya que las tasas de rentabilidad, como es bien sabido, han disminuido en estos últimos años, pero eran altas al momento en que todavía podía retornar a COLPENSIONES, es decir, antes de encontrarse incursa en la prohibición legal de retorno, en razón de lo cual solicita la revocatoria de la sentencia de primer grado.</w:t>
      </w:r>
    </w:p>
    <w:p w14:paraId="52942F38" w14:textId="77777777" w:rsidR="00651E5D" w:rsidRPr="00651E5D" w:rsidRDefault="00651E5D" w:rsidP="00651E5D">
      <w:pPr>
        <w:spacing w:after="0" w:line="276" w:lineRule="auto"/>
        <w:ind w:firstLine="708"/>
        <w:jc w:val="both"/>
        <w:rPr>
          <w:rFonts w:ascii="Tahoma" w:eastAsia="Tahoma" w:hAnsi="Tahoma" w:cs="Tahoma"/>
          <w:color w:val="000000" w:themeColor="text1"/>
          <w:sz w:val="24"/>
          <w:szCs w:val="24"/>
          <w:lang w:val="es-CO"/>
        </w:rPr>
      </w:pPr>
    </w:p>
    <w:p w14:paraId="021E5734" w14:textId="470C7A43" w:rsidR="42DC33F9" w:rsidRPr="00651E5D" w:rsidRDefault="42DC33F9" w:rsidP="00651E5D">
      <w:pPr>
        <w:spacing w:after="0" w:line="276" w:lineRule="auto"/>
        <w:ind w:firstLine="708"/>
        <w:jc w:val="both"/>
        <w:rPr>
          <w:rFonts w:ascii="Tahoma" w:eastAsia="Tahoma" w:hAnsi="Tahoma" w:cs="Tahoma"/>
          <w:sz w:val="24"/>
          <w:szCs w:val="24"/>
          <w:lang w:val="es-CO"/>
        </w:rPr>
      </w:pPr>
      <w:r w:rsidRPr="00651E5D">
        <w:rPr>
          <w:rFonts w:ascii="Tahoma" w:eastAsia="Tahoma" w:hAnsi="Tahoma" w:cs="Tahoma"/>
          <w:b/>
          <w:bCs/>
          <w:color w:val="000000" w:themeColor="text1"/>
          <w:sz w:val="24"/>
          <w:szCs w:val="24"/>
          <w:lang w:val="es-CO"/>
        </w:rPr>
        <w:t>COLPENSIONES</w:t>
      </w:r>
      <w:r w:rsidRPr="00651E5D">
        <w:rPr>
          <w:rFonts w:ascii="Tahoma" w:eastAsia="Tahoma" w:hAnsi="Tahoma" w:cs="Tahoma"/>
          <w:color w:val="000000" w:themeColor="text1"/>
          <w:sz w:val="24"/>
          <w:szCs w:val="24"/>
          <w:lang w:val="es-CO"/>
        </w:rPr>
        <w:t>, por su parte, atacó la declaratoria de ineficacia al considerar que no era viable acceder al traslado de la afiliada hacia el RPM por cuanto aquélla estaba dentro de la prohibición de los 10 años anteriores al cumplimiento de la edad mínima. De otro lado, frente a la información que suministró la AFP al momento del traslado de régimen, debió ser valorada según el tipo de información que se exigía para la época en que se materializó el traslado, por lo que no se le podía exigir a las AFP aspectos diferentes a los que estaban legalmente establecidos al momento histórico en que se firmó el formulario y de no ser así, se estaría transgrediendo el principio de confianza legítima.</w:t>
      </w:r>
    </w:p>
    <w:p w14:paraId="7CA73B96" w14:textId="0F5F3287"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19F69B02" w14:textId="54FA2FD4" w:rsidR="42DC33F9" w:rsidRPr="00651E5D" w:rsidRDefault="42DC33F9" w:rsidP="00651E5D">
      <w:pPr>
        <w:spacing w:after="0" w:line="276" w:lineRule="auto"/>
        <w:ind w:firstLine="708"/>
        <w:jc w:val="both"/>
        <w:rPr>
          <w:rFonts w:ascii="Tahoma" w:eastAsia="Tahoma" w:hAnsi="Tahoma" w:cs="Tahoma"/>
          <w:sz w:val="24"/>
          <w:szCs w:val="24"/>
          <w:lang w:val="es-CO"/>
        </w:rPr>
      </w:pPr>
      <w:r w:rsidRPr="00651E5D">
        <w:rPr>
          <w:rFonts w:ascii="Tahoma" w:eastAsia="Tahoma" w:hAnsi="Tahoma" w:cs="Tahoma"/>
          <w:color w:val="000000" w:themeColor="text1"/>
          <w:sz w:val="24"/>
          <w:szCs w:val="24"/>
          <w:lang w:val="es-CO"/>
        </w:rPr>
        <w:t>Finalmente hay que advertir que se concedió el grado jurisdiccional de consulta en favor de COLPENSIONES, lo que le permite a la Sala revisar la totalidad de la sentencia de primera instancia.</w:t>
      </w:r>
    </w:p>
    <w:p w14:paraId="4F3260F4" w14:textId="511BD336"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20458478" w14:textId="3D3D87E9" w:rsidR="42DC33F9" w:rsidRPr="00651E5D" w:rsidRDefault="42DC33F9" w:rsidP="00651E5D">
      <w:pPr>
        <w:pStyle w:val="Prrafodelista"/>
        <w:numPr>
          <w:ilvl w:val="0"/>
          <w:numId w:val="4"/>
        </w:numPr>
        <w:spacing w:after="0" w:line="276" w:lineRule="auto"/>
        <w:ind w:left="0" w:firstLine="0"/>
        <w:jc w:val="center"/>
        <w:rPr>
          <w:rFonts w:ascii="Tahoma" w:eastAsiaTheme="minorEastAsia" w:hAnsi="Tahoma" w:cs="Tahoma"/>
          <w:b/>
          <w:bCs/>
          <w:color w:val="000000" w:themeColor="text1"/>
          <w:sz w:val="24"/>
          <w:szCs w:val="24"/>
          <w:lang w:val="es-CO"/>
        </w:rPr>
      </w:pPr>
      <w:r w:rsidRPr="00651E5D">
        <w:rPr>
          <w:rFonts w:ascii="Tahoma" w:eastAsia="Tahoma" w:hAnsi="Tahoma" w:cs="Tahoma"/>
          <w:b/>
          <w:bCs/>
          <w:color w:val="000000" w:themeColor="text1"/>
          <w:sz w:val="24"/>
          <w:szCs w:val="24"/>
          <w:lang w:val="es-CO"/>
        </w:rPr>
        <w:t>Alegatos de conclusión</w:t>
      </w:r>
    </w:p>
    <w:p w14:paraId="77F6A42B" w14:textId="504D4F5F" w:rsidR="42DC33F9" w:rsidRPr="00651E5D" w:rsidRDefault="42DC33F9" w:rsidP="00651E5D">
      <w:pPr>
        <w:spacing w:after="0" w:line="276" w:lineRule="auto"/>
        <w:rPr>
          <w:rFonts w:ascii="Tahoma" w:eastAsia="Tahoma" w:hAnsi="Tahoma" w:cs="Tahoma"/>
          <w:color w:val="000000" w:themeColor="text1"/>
          <w:sz w:val="24"/>
          <w:szCs w:val="24"/>
          <w:lang w:val="es-CO"/>
        </w:rPr>
      </w:pPr>
    </w:p>
    <w:p w14:paraId="6A3042B7" w14:textId="084BA287"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4DF8FAC8" w14:textId="3CBA244E" w:rsidR="42DC33F9" w:rsidRPr="00651E5D" w:rsidRDefault="42DC33F9" w:rsidP="00651E5D">
      <w:pPr>
        <w:spacing w:after="0" w:line="276" w:lineRule="auto"/>
        <w:ind w:firstLine="708"/>
        <w:jc w:val="both"/>
        <w:rPr>
          <w:rFonts w:ascii="Tahoma" w:eastAsia="Tahoma" w:hAnsi="Tahoma" w:cs="Tahoma"/>
          <w:b/>
          <w:bCs/>
          <w:color w:val="000000" w:themeColor="text1"/>
          <w:sz w:val="24"/>
          <w:szCs w:val="24"/>
          <w:lang w:val="es-CO"/>
        </w:rPr>
      </w:pPr>
    </w:p>
    <w:p w14:paraId="6C67D5D5" w14:textId="78453D84" w:rsidR="42DC33F9" w:rsidRPr="00651E5D" w:rsidRDefault="42DC33F9" w:rsidP="00651E5D">
      <w:pPr>
        <w:pStyle w:val="Prrafodelista"/>
        <w:numPr>
          <w:ilvl w:val="0"/>
          <w:numId w:val="4"/>
        </w:numPr>
        <w:spacing w:after="0" w:line="276" w:lineRule="auto"/>
        <w:jc w:val="center"/>
        <w:rPr>
          <w:rFonts w:ascii="Tahoma" w:eastAsiaTheme="minorEastAsia" w:hAnsi="Tahoma" w:cs="Tahoma"/>
          <w:b/>
          <w:bCs/>
          <w:color w:val="000000" w:themeColor="text1"/>
          <w:sz w:val="24"/>
          <w:szCs w:val="24"/>
          <w:lang w:val="es-CO"/>
        </w:rPr>
      </w:pPr>
      <w:r w:rsidRPr="00651E5D">
        <w:rPr>
          <w:rFonts w:ascii="Tahoma" w:eastAsia="Tahoma" w:hAnsi="Tahoma" w:cs="Tahoma"/>
          <w:b/>
          <w:bCs/>
          <w:color w:val="000000" w:themeColor="text1"/>
          <w:sz w:val="24"/>
          <w:szCs w:val="24"/>
          <w:lang w:val="es-CO"/>
        </w:rPr>
        <w:t>Problemas jurídicos por resolver</w:t>
      </w:r>
    </w:p>
    <w:p w14:paraId="461AAA3A" w14:textId="70823EC7" w:rsidR="42DC33F9" w:rsidRPr="00651E5D" w:rsidRDefault="42DC33F9" w:rsidP="00651E5D">
      <w:pPr>
        <w:spacing w:after="0" w:line="276" w:lineRule="auto"/>
        <w:rPr>
          <w:rFonts w:ascii="Tahoma" w:eastAsia="Tahoma" w:hAnsi="Tahoma" w:cs="Tahoma"/>
          <w:color w:val="000000" w:themeColor="text1"/>
          <w:sz w:val="24"/>
          <w:szCs w:val="24"/>
          <w:lang w:val="es-CO"/>
        </w:rPr>
      </w:pPr>
    </w:p>
    <w:p w14:paraId="51F2D655" w14:textId="08FC1653"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 xml:space="preserve">De acuerdo con los argumentos expuestos en la sentencia de primera instancia, los fundamentos de la apelación y los alegatos de conclusión, le corresponde a la Sala resolver los siguientes problemas jurídicos:  </w:t>
      </w:r>
    </w:p>
    <w:p w14:paraId="3FB9BF3A" w14:textId="28793C47" w:rsidR="42DC33F9" w:rsidRPr="00651E5D" w:rsidRDefault="42DC33F9" w:rsidP="00651E5D">
      <w:pPr>
        <w:spacing w:after="0" w:line="276" w:lineRule="auto"/>
        <w:rPr>
          <w:rFonts w:ascii="Tahoma" w:eastAsia="Tahoma" w:hAnsi="Tahoma" w:cs="Tahoma"/>
          <w:color w:val="000000" w:themeColor="text1"/>
          <w:sz w:val="24"/>
          <w:szCs w:val="24"/>
          <w:lang w:val="es-CO"/>
        </w:rPr>
      </w:pPr>
    </w:p>
    <w:p w14:paraId="73DC019A" w14:textId="469D1B6D" w:rsidR="42DC33F9" w:rsidRPr="00651E5D" w:rsidRDefault="42DC33F9" w:rsidP="00651E5D">
      <w:pPr>
        <w:pStyle w:val="Prrafodelista"/>
        <w:numPr>
          <w:ilvl w:val="0"/>
          <w:numId w:val="2"/>
        </w:numPr>
        <w:spacing w:after="0" w:line="276" w:lineRule="auto"/>
        <w:jc w:val="both"/>
        <w:rPr>
          <w:rFonts w:ascii="Tahoma" w:eastAsiaTheme="minorEastAsia" w:hAnsi="Tahoma" w:cs="Tahoma"/>
          <w:color w:val="000000" w:themeColor="text1"/>
          <w:sz w:val="24"/>
          <w:szCs w:val="24"/>
          <w:lang w:val="es-CO"/>
        </w:rPr>
      </w:pPr>
      <w:r w:rsidRPr="00651E5D">
        <w:rPr>
          <w:rFonts w:ascii="Tahoma" w:eastAsia="Tahoma" w:hAnsi="Tahoma" w:cs="Tahoma"/>
          <w:color w:val="000000" w:themeColor="text1"/>
          <w:sz w:val="24"/>
          <w:szCs w:val="24"/>
          <w:lang w:val="es-CO"/>
        </w:rPr>
        <w:t xml:space="preserve">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 </w:t>
      </w:r>
    </w:p>
    <w:p w14:paraId="3F1CEB92" w14:textId="09F06CD2" w:rsidR="42DC33F9" w:rsidRPr="00651E5D" w:rsidRDefault="42DC33F9" w:rsidP="00651E5D">
      <w:pPr>
        <w:spacing w:after="0" w:line="276" w:lineRule="auto"/>
        <w:rPr>
          <w:rFonts w:ascii="Tahoma" w:eastAsia="Tahoma" w:hAnsi="Tahoma" w:cs="Tahoma"/>
          <w:color w:val="000000" w:themeColor="text1"/>
          <w:sz w:val="24"/>
          <w:szCs w:val="24"/>
          <w:lang w:val="es-CO"/>
        </w:rPr>
      </w:pPr>
    </w:p>
    <w:p w14:paraId="7EDAE864" w14:textId="0E5F7B5E" w:rsidR="42DC33F9" w:rsidRPr="00651E5D" w:rsidRDefault="42DC33F9" w:rsidP="00651E5D">
      <w:pPr>
        <w:pStyle w:val="Prrafodelista"/>
        <w:numPr>
          <w:ilvl w:val="0"/>
          <w:numId w:val="2"/>
        </w:numPr>
        <w:spacing w:after="0" w:line="276" w:lineRule="auto"/>
        <w:jc w:val="both"/>
        <w:rPr>
          <w:rFonts w:ascii="Tahoma" w:eastAsiaTheme="minorEastAsia" w:hAnsi="Tahoma" w:cs="Tahoma"/>
          <w:color w:val="000000" w:themeColor="text1"/>
          <w:sz w:val="24"/>
          <w:szCs w:val="24"/>
          <w:lang w:val="es-CO"/>
        </w:rPr>
      </w:pPr>
      <w:r w:rsidRPr="00651E5D">
        <w:rPr>
          <w:rFonts w:ascii="Tahoma" w:eastAsia="Tahoma" w:hAnsi="Tahoma" w:cs="Tahoma"/>
          <w:color w:val="000000" w:themeColor="text1"/>
          <w:sz w:val="24"/>
          <w:szCs w:val="24"/>
          <w:lang w:val="es-CO"/>
        </w:rPr>
        <w:t xml:space="preserve">Definir si para dar por cumplido el deber de información de las AFP es suficiente el diligenciamiento del formulario de afiliación.  </w:t>
      </w:r>
    </w:p>
    <w:p w14:paraId="53FE2DD9" w14:textId="5EE9254A" w:rsidR="42DC33F9" w:rsidRPr="00651E5D" w:rsidRDefault="42DC33F9" w:rsidP="00651E5D">
      <w:pPr>
        <w:spacing w:after="0" w:line="276" w:lineRule="auto"/>
        <w:rPr>
          <w:rFonts w:ascii="Tahoma" w:eastAsia="Tahoma" w:hAnsi="Tahoma" w:cs="Tahoma"/>
          <w:color w:val="000000" w:themeColor="text1"/>
          <w:sz w:val="24"/>
          <w:szCs w:val="24"/>
          <w:lang w:val="es-CO"/>
        </w:rPr>
      </w:pPr>
    </w:p>
    <w:p w14:paraId="2CAE718E" w14:textId="401BDFE8" w:rsidR="42DC33F9" w:rsidRPr="00651E5D" w:rsidRDefault="42DC33F9" w:rsidP="00651E5D">
      <w:pPr>
        <w:pStyle w:val="Prrafodelista"/>
        <w:numPr>
          <w:ilvl w:val="0"/>
          <w:numId w:val="2"/>
        </w:numPr>
        <w:spacing w:after="0" w:line="276" w:lineRule="auto"/>
        <w:jc w:val="both"/>
        <w:rPr>
          <w:rFonts w:ascii="Tahoma" w:eastAsiaTheme="minorEastAsia" w:hAnsi="Tahoma" w:cs="Tahoma"/>
          <w:color w:val="000000" w:themeColor="text1"/>
          <w:sz w:val="24"/>
          <w:szCs w:val="24"/>
          <w:lang w:val="es-CO"/>
        </w:rPr>
      </w:pPr>
      <w:r w:rsidRPr="00651E5D">
        <w:rPr>
          <w:rFonts w:ascii="Tahoma" w:eastAsia="Tahoma" w:hAnsi="Tahoma" w:cs="Tahoma"/>
          <w:color w:val="000000" w:themeColor="text1"/>
          <w:sz w:val="24"/>
          <w:szCs w:val="24"/>
          <w:lang w:val="es-CO"/>
        </w:rPr>
        <w:t>Determinar la carga probatoria que les corresponde a cada una de las partes cuando está en discusión la eficacia del traslado entre regímenes pensionales.</w:t>
      </w:r>
    </w:p>
    <w:p w14:paraId="48B3F45F" w14:textId="564FC3AC" w:rsidR="42DC33F9" w:rsidRPr="00651E5D" w:rsidRDefault="42DC33F9" w:rsidP="00651E5D">
      <w:pPr>
        <w:spacing w:after="0" w:line="276" w:lineRule="auto"/>
        <w:jc w:val="both"/>
        <w:rPr>
          <w:rFonts w:ascii="Tahoma" w:eastAsia="Tahoma" w:hAnsi="Tahoma" w:cs="Tahoma"/>
          <w:color w:val="000000" w:themeColor="text1"/>
          <w:sz w:val="24"/>
          <w:szCs w:val="24"/>
          <w:lang w:val="es-CO"/>
        </w:rPr>
      </w:pPr>
    </w:p>
    <w:p w14:paraId="1F19E523" w14:textId="37B383D7" w:rsidR="42DC33F9" w:rsidRPr="00651E5D" w:rsidRDefault="42DC33F9" w:rsidP="00651E5D">
      <w:pPr>
        <w:pStyle w:val="Prrafodelista"/>
        <w:numPr>
          <w:ilvl w:val="0"/>
          <w:numId w:val="2"/>
        </w:numPr>
        <w:spacing w:after="0" w:line="276" w:lineRule="auto"/>
        <w:jc w:val="both"/>
        <w:rPr>
          <w:rFonts w:ascii="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 xml:space="preserve">Analizar si quedó probado en el proceso que la parte demandante recibió de parte de la AFP demandada la asesoría e información suficiente y necesaria para hacer el cambio de régimen. </w:t>
      </w:r>
    </w:p>
    <w:p w14:paraId="49718595" w14:textId="36B681BF" w:rsidR="42DC33F9" w:rsidRPr="00651E5D" w:rsidRDefault="42DC33F9" w:rsidP="00651E5D">
      <w:pPr>
        <w:spacing w:after="0" w:line="276" w:lineRule="auto"/>
        <w:jc w:val="both"/>
        <w:rPr>
          <w:rFonts w:ascii="Tahoma" w:eastAsia="Tahoma" w:hAnsi="Tahoma" w:cs="Tahoma"/>
          <w:b/>
          <w:bCs/>
          <w:color w:val="000000" w:themeColor="text1"/>
          <w:sz w:val="24"/>
          <w:szCs w:val="24"/>
          <w:lang w:val="es-CO"/>
        </w:rPr>
      </w:pPr>
    </w:p>
    <w:p w14:paraId="50572FB5" w14:textId="6D862030" w:rsidR="42DC33F9" w:rsidRPr="00651E5D" w:rsidRDefault="42DC33F9" w:rsidP="00651E5D">
      <w:pPr>
        <w:spacing w:after="0" w:line="276" w:lineRule="auto"/>
        <w:jc w:val="center"/>
        <w:rPr>
          <w:rFonts w:ascii="Tahoma" w:eastAsia="Tahoma" w:hAnsi="Tahoma" w:cs="Tahoma"/>
          <w:color w:val="000000" w:themeColor="text1"/>
          <w:sz w:val="24"/>
          <w:szCs w:val="24"/>
          <w:lang w:val="es-CO"/>
        </w:rPr>
      </w:pPr>
      <w:r w:rsidRPr="00651E5D">
        <w:rPr>
          <w:rFonts w:ascii="Tahoma" w:eastAsia="Tahoma" w:hAnsi="Tahoma" w:cs="Tahoma"/>
          <w:b/>
          <w:bCs/>
          <w:color w:val="000000" w:themeColor="text1"/>
          <w:sz w:val="24"/>
          <w:szCs w:val="24"/>
          <w:lang w:val="es-CO"/>
        </w:rPr>
        <w:t>6. Consideraciones</w:t>
      </w:r>
    </w:p>
    <w:p w14:paraId="6ECD84A3" w14:textId="219543DD" w:rsidR="42DC33F9" w:rsidRPr="00651E5D" w:rsidRDefault="42DC33F9" w:rsidP="00651E5D">
      <w:pPr>
        <w:spacing w:after="0" w:line="276" w:lineRule="auto"/>
        <w:rPr>
          <w:rFonts w:ascii="Tahoma" w:eastAsia="Tahoma" w:hAnsi="Tahoma" w:cs="Tahoma"/>
          <w:b/>
          <w:bCs/>
          <w:color w:val="000000" w:themeColor="text1"/>
          <w:sz w:val="24"/>
          <w:szCs w:val="24"/>
          <w:lang w:val="es-CO"/>
        </w:rPr>
      </w:pPr>
    </w:p>
    <w:p w14:paraId="5C3CB6D7" w14:textId="639D8036" w:rsidR="42DC33F9" w:rsidRPr="00651E5D" w:rsidRDefault="42DC33F9" w:rsidP="00651E5D">
      <w:pPr>
        <w:spacing w:after="0" w:line="276" w:lineRule="auto"/>
        <w:rPr>
          <w:rFonts w:ascii="Tahoma" w:eastAsia="Tahoma" w:hAnsi="Tahoma" w:cs="Tahoma"/>
          <w:color w:val="000000" w:themeColor="text1"/>
          <w:sz w:val="24"/>
          <w:szCs w:val="24"/>
          <w:lang w:val="es-CO"/>
        </w:rPr>
      </w:pPr>
      <w:r w:rsidRPr="00651E5D">
        <w:rPr>
          <w:rFonts w:ascii="Tahoma" w:eastAsia="Tahoma" w:hAnsi="Tahoma" w:cs="Tahoma"/>
          <w:b/>
          <w:bCs/>
          <w:color w:val="000000" w:themeColor="text1"/>
          <w:sz w:val="24"/>
          <w:szCs w:val="24"/>
          <w:lang w:val="es-CO"/>
        </w:rPr>
        <w:t xml:space="preserve">6.1. Precedente vertical: la tesis de la Corte Suprema de Justicia respecto al tema de la ineficacia del traslado constituye doctrina probable  </w:t>
      </w:r>
    </w:p>
    <w:p w14:paraId="7FBABDA9" w14:textId="4CFC668B" w:rsidR="42DC33F9" w:rsidRPr="00651E5D" w:rsidRDefault="42DC33F9" w:rsidP="00651E5D">
      <w:pPr>
        <w:spacing w:after="0" w:line="276" w:lineRule="auto"/>
        <w:rPr>
          <w:rFonts w:ascii="Tahoma" w:eastAsia="Tahoma" w:hAnsi="Tahoma" w:cs="Tahoma"/>
          <w:color w:val="000000" w:themeColor="text1"/>
          <w:sz w:val="24"/>
          <w:szCs w:val="24"/>
          <w:lang w:val="es-CO"/>
        </w:rPr>
      </w:pPr>
    </w:p>
    <w:p w14:paraId="44690A6A" w14:textId="3032A553"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 xml:space="preserve">En la actualidad existe doctrina probable respecto a la ineficacia de los traslados de regímenes, por cuanto la Sala de Casación Laboral ha proferido sobre el tema un número considerable de sentencias (más de 40), entre otras, las siguientes:  </w:t>
      </w:r>
    </w:p>
    <w:p w14:paraId="42A2BDA0" w14:textId="20BD222C" w:rsidR="42DC33F9" w:rsidRPr="00651E5D" w:rsidRDefault="42DC33F9" w:rsidP="00651E5D">
      <w:pPr>
        <w:spacing w:after="0" w:line="276" w:lineRule="auto"/>
        <w:rPr>
          <w:rFonts w:ascii="Tahoma" w:eastAsia="Tahoma" w:hAnsi="Tahoma" w:cs="Tahoma"/>
          <w:color w:val="000000" w:themeColor="text1"/>
          <w:sz w:val="24"/>
          <w:szCs w:val="24"/>
          <w:lang w:val="es-CO"/>
        </w:rPr>
      </w:pPr>
    </w:p>
    <w:p w14:paraId="05A00C3A" w14:textId="550C4623"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 xml:space="preserve">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 </w:t>
      </w:r>
    </w:p>
    <w:p w14:paraId="77112941" w14:textId="1822CF38" w:rsidR="42DC33F9" w:rsidRPr="00651E5D" w:rsidRDefault="42DC33F9" w:rsidP="00651E5D">
      <w:pPr>
        <w:spacing w:after="0" w:line="276" w:lineRule="auto"/>
        <w:rPr>
          <w:rFonts w:ascii="Tahoma" w:eastAsia="Tahoma" w:hAnsi="Tahoma" w:cs="Tahoma"/>
          <w:color w:val="000000" w:themeColor="text1"/>
          <w:sz w:val="24"/>
          <w:szCs w:val="24"/>
          <w:lang w:val="es-CO"/>
        </w:rPr>
      </w:pPr>
    </w:p>
    <w:p w14:paraId="5B4DD64A" w14:textId="34A38225"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 xml:space="preserve">En términos generales, en todas estas sentencias se determinó i) el alcance del deber de información a cargo de las Administradoras de Fondos de Pensiones, </w:t>
      </w:r>
      <w:proofErr w:type="spellStart"/>
      <w:r w:rsidRPr="00651E5D">
        <w:rPr>
          <w:rFonts w:ascii="Tahoma" w:eastAsia="Tahoma" w:hAnsi="Tahoma" w:cs="Tahoma"/>
          <w:color w:val="000000" w:themeColor="text1"/>
          <w:sz w:val="24"/>
          <w:szCs w:val="24"/>
          <w:lang w:val="es-CO"/>
        </w:rPr>
        <w:t>ii</w:t>
      </w:r>
      <w:proofErr w:type="spellEnd"/>
      <w:r w:rsidRPr="00651E5D">
        <w:rPr>
          <w:rFonts w:ascii="Tahoma" w:eastAsia="Tahoma" w:hAnsi="Tahoma" w:cs="Tahoma"/>
          <w:color w:val="000000" w:themeColor="text1"/>
          <w:sz w:val="24"/>
          <w:szCs w:val="24"/>
          <w:lang w:val="es-CO"/>
        </w:rPr>
        <w:t xml:space="preserve">) la procedencia de la ineficacia del traslado, </w:t>
      </w:r>
      <w:proofErr w:type="spellStart"/>
      <w:r w:rsidRPr="00651E5D">
        <w:rPr>
          <w:rFonts w:ascii="Tahoma" w:eastAsia="Tahoma" w:hAnsi="Tahoma" w:cs="Tahoma"/>
          <w:color w:val="000000" w:themeColor="text1"/>
          <w:sz w:val="24"/>
          <w:szCs w:val="24"/>
          <w:lang w:val="es-CO"/>
        </w:rPr>
        <w:t>iii</w:t>
      </w:r>
      <w:proofErr w:type="spellEnd"/>
      <w:r w:rsidRPr="00651E5D">
        <w:rPr>
          <w:rFonts w:ascii="Tahoma" w:eastAsia="Tahoma" w:hAnsi="Tahoma" w:cs="Tahoma"/>
          <w:color w:val="000000" w:themeColor="text1"/>
          <w:sz w:val="24"/>
          <w:szCs w:val="24"/>
          <w:lang w:val="es-CO"/>
        </w:rPr>
        <w:t>) 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77FBE0F0" w14:textId="57961444"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1A4CE58A" w14:textId="68EE929B" w:rsidR="42DC33F9" w:rsidRPr="00651E5D" w:rsidRDefault="42DC33F9" w:rsidP="00651E5D">
      <w:pPr>
        <w:spacing w:after="0" w:line="276" w:lineRule="auto"/>
        <w:jc w:val="both"/>
        <w:rPr>
          <w:rFonts w:ascii="Tahoma" w:eastAsia="Tahoma" w:hAnsi="Tahoma" w:cs="Tahoma"/>
          <w:color w:val="000000" w:themeColor="text1"/>
          <w:sz w:val="24"/>
          <w:szCs w:val="24"/>
          <w:lang w:val="es-CO"/>
        </w:rPr>
      </w:pPr>
      <w:r w:rsidRPr="00651E5D">
        <w:rPr>
          <w:rFonts w:ascii="Tahoma" w:eastAsia="Tahoma" w:hAnsi="Tahoma" w:cs="Tahoma"/>
          <w:b/>
          <w:bCs/>
          <w:color w:val="000000" w:themeColor="text1"/>
          <w:sz w:val="24"/>
          <w:szCs w:val="24"/>
          <w:lang w:val="es-CO"/>
        </w:rPr>
        <w:t>6.2. “El deber de información a cargo de las administradoras de fondos de pensiones: Un deber exigible desde su creación</w:t>
      </w:r>
      <w:r w:rsidR="0084220A" w:rsidRPr="0084220A">
        <w:rPr>
          <w:rFonts w:ascii="Tahoma" w:eastAsia="Calibri" w:hAnsi="Tahoma" w:cs="Tahoma"/>
          <w:b/>
          <w:sz w:val="24"/>
          <w:szCs w:val="24"/>
          <w:vertAlign w:val="superscript"/>
          <w:lang w:val="es-CO"/>
        </w:rPr>
        <w:footnoteReference w:id="1"/>
      </w:r>
      <w:r w:rsidRPr="00651E5D">
        <w:rPr>
          <w:rFonts w:ascii="Tahoma" w:eastAsia="Tahoma" w:hAnsi="Tahoma" w:cs="Tahoma"/>
          <w:b/>
          <w:bCs/>
          <w:color w:val="000000" w:themeColor="text1"/>
          <w:sz w:val="24"/>
          <w:szCs w:val="24"/>
          <w:lang w:val="es-CO"/>
        </w:rPr>
        <w:t xml:space="preserve">” </w:t>
      </w:r>
    </w:p>
    <w:p w14:paraId="559445FE" w14:textId="625B7AAC" w:rsidR="42DC33F9" w:rsidRPr="00651E5D" w:rsidRDefault="42DC33F9" w:rsidP="00651E5D">
      <w:pPr>
        <w:spacing w:after="0" w:line="276" w:lineRule="auto"/>
        <w:rPr>
          <w:rFonts w:ascii="Tahoma" w:eastAsia="Tahoma" w:hAnsi="Tahoma" w:cs="Tahoma"/>
          <w:color w:val="000000" w:themeColor="text1"/>
          <w:sz w:val="24"/>
          <w:szCs w:val="24"/>
          <w:lang w:val="es-CO"/>
        </w:rPr>
      </w:pPr>
    </w:p>
    <w:p w14:paraId="6FF7F563" w14:textId="77777777" w:rsidR="00CF151F" w:rsidRPr="00CF151F" w:rsidRDefault="00CF151F" w:rsidP="00CF151F">
      <w:pPr>
        <w:spacing w:after="0" w:line="276" w:lineRule="auto"/>
        <w:ind w:firstLine="567"/>
        <w:jc w:val="both"/>
        <w:rPr>
          <w:rFonts w:ascii="Tahoma" w:eastAsia="Century Gothic" w:hAnsi="Tahoma" w:cs="Tahoma"/>
          <w:spacing w:val="-3"/>
          <w:kern w:val="2"/>
          <w:sz w:val="24"/>
          <w:szCs w:val="24"/>
          <w:lang w:val="es-CO"/>
        </w:rPr>
      </w:pPr>
      <w:r w:rsidRPr="00CF151F">
        <w:rPr>
          <w:rFonts w:ascii="Tahoma" w:eastAsia="Century Gothic" w:hAnsi="Tahoma" w:cs="Tahoma"/>
          <w:spacing w:val="-3"/>
          <w:kern w:val="2"/>
          <w:sz w:val="24"/>
          <w:szCs w:val="24"/>
          <w:lang w:val="es-CO"/>
        </w:rPr>
        <w:t xml:space="preserve">Dado que las Administradoras de </w:t>
      </w:r>
      <w:r w:rsidRPr="00CF151F">
        <w:rPr>
          <w:rFonts w:ascii="Tahoma" w:eastAsia="Century Gothic" w:hAnsi="Tahoma" w:cs="Tahoma"/>
          <w:sz w:val="24"/>
          <w:szCs w:val="24"/>
          <w:lang w:val="es-CO"/>
        </w:rPr>
        <w:t>Fondos</w:t>
      </w:r>
      <w:r w:rsidRPr="00CF151F">
        <w:rPr>
          <w:rFonts w:ascii="Tahoma" w:eastAsia="Century Gothic" w:hAnsi="Tahoma" w:cs="Tahoma"/>
          <w:spacing w:val="-3"/>
          <w:kern w:val="2"/>
          <w:sz w:val="24"/>
          <w:szCs w:val="24"/>
          <w:lang w:val="es-CO"/>
        </w:rPr>
        <w:t xml:space="preserve"> de Pensiones son organismos profesionales, resulta aplicable el artículo 1604 del Código Civil, según el cual la prueba </w:t>
      </w:r>
      <w:r w:rsidRPr="00CF151F">
        <w:rPr>
          <w:rFonts w:ascii="Tahoma" w:eastAsia="Century Gothic" w:hAnsi="Tahoma" w:cs="Tahoma"/>
          <w:spacing w:val="-3"/>
          <w:kern w:val="2"/>
          <w:sz w:val="24"/>
          <w:szCs w:val="24"/>
          <w:lang w:val="es-CO"/>
        </w:rPr>
        <w:lastRenderedPageBreak/>
        <w:t xml:space="preserve">de la </w:t>
      </w:r>
      <w:r w:rsidRPr="00CF151F">
        <w:rPr>
          <w:rFonts w:ascii="Tahoma" w:eastAsia="Century Gothic" w:hAnsi="Tahoma" w:cs="Tahoma"/>
          <w:spacing w:val="-3"/>
          <w:kern w:val="2"/>
          <w:sz w:val="24"/>
          <w:szCs w:val="24"/>
          <w:u w:val="single"/>
          <w:lang w:val="es-CO"/>
        </w:rPr>
        <w:t>debida diligencia y cuidado</w:t>
      </w:r>
      <w:r w:rsidRPr="00CF151F">
        <w:rPr>
          <w:rFonts w:ascii="Tahoma" w:eastAsia="Century Gothic" w:hAnsi="Tahoma" w:cs="Tahoma"/>
          <w:spacing w:val="-3"/>
          <w:kern w:val="2"/>
          <w:sz w:val="24"/>
          <w:szCs w:val="24"/>
          <w:lang w:val="es-CO"/>
        </w:rPr>
        <w:t xml:space="preserve"> incumbe a quien ha debido emplearla, atendiendo a las siguientes razones:</w:t>
      </w:r>
    </w:p>
    <w:p w14:paraId="168DD2AD" w14:textId="77777777" w:rsidR="00CF151F" w:rsidRPr="00CF151F" w:rsidRDefault="00CF151F" w:rsidP="00CF151F">
      <w:pPr>
        <w:shd w:val="clear" w:color="auto" w:fill="FFFFFF"/>
        <w:spacing w:after="0" w:line="276" w:lineRule="auto"/>
        <w:ind w:firstLine="709"/>
        <w:contextualSpacing/>
        <w:rPr>
          <w:rFonts w:ascii="Tahoma" w:eastAsia="Century Gothic" w:hAnsi="Tahoma" w:cs="Tahoma"/>
          <w:sz w:val="24"/>
          <w:szCs w:val="24"/>
          <w:lang w:val="es-CO"/>
        </w:rPr>
      </w:pPr>
    </w:p>
    <w:p w14:paraId="59D7E620" w14:textId="77777777" w:rsidR="00CF151F" w:rsidRPr="00CF151F" w:rsidRDefault="00CF151F" w:rsidP="00CF151F">
      <w:pPr>
        <w:spacing w:after="0" w:line="276" w:lineRule="auto"/>
        <w:ind w:firstLine="567"/>
        <w:jc w:val="both"/>
        <w:rPr>
          <w:rFonts w:ascii="Tahoma" w:eastAsia="Century Gothic" w:hAnsi="Tahoma" w:cs="Tahoma"/>
          <w:spacing w:val="-3"/>
          <w:kern w:val="2"/>
          <w:sz w:val="24"/>
          <w:szCs w:val="24"/>
          <w:lang w:val="es-CO"/>
        </w:rPr>
      </w:pPr>
      <w:r w:rsidRPr="00CF151F">
        <w:rPr>
          <w:rFonts w:ascii="Tahoma" w:eastAsia="Century Gothic" w:hAnsi="Tahoma" w:cs="Tahoma"/>
          <w:b/>
          <w:spacing w:val="-3"/>
          <w:kern w:val="2"/>
          <w:sz w:val="24"/>
          <w:szCs w:val="24"/>
          <w:lang w:val="es-CO"/>
        </w:rPr>
        <w:t>1)</w:t>
      </w:r>
      <w:r w:rsidRPr="00CF151F">
        <w:rPr>
          <w:rFonts w:ascii="Tahoma" w:eastAsia="Century Gothic" w:hAnsi="Tahoma" w:cs="Tahoma"/>
          <w:spacing w:val="-3"/>
          <w:kern w:val="2"/>
          <w:sz w:val="24"/>
          <w:szCs w:val="24"/>
          <w:lang w:val="es-CO"/>
        </w:rPr>
        <w:t xml:space="preserve"> Las Administradoras de Fondos de Pensiones tienen deberes de carácter profesional con sus afiliados y con los consumidores del mercado potencial en general. Además, sus actividades se encuentran reguladas por el </w:t>
      </w:r>
      <w:r w:rsidRPr="00CF151F">
        <w:rPr>
          <w:rFonts w:ascii="Tahoma" w:eastAsia="Century Gothic" w:hAnsi="Tahoma" w:cs="Tahoma"/>
          <w:spacing w:val="-3"/>
          <w:kern w:val="2"/>
          <w:sz w:val="24"/>
          <w:szCs w:val="24"/>
          <w:u w:val="single"/>
          <w:lang w:val="es-CO"/>
        </w:rPr>
        <w:t>Decreto 663 de 1993</w:t>
      </w:r>
      <w:r w:rsidRPr="00CF151F">
        <w:rPr>
          <w:rFonts w:ascii="Tahoma" w:eastAsia="Century Gothic" w:hAnsi="Tahoma" w:cs="Tahoma"/>
          <w:spacing w:val="-3"/>
          <w:kern w:val="2"/>
          <w:sz w:val="24"/>
          <w:szCs w:val="24"/>
          <w:u w:val="single"/>
          <w:vertAlign w:val="superscript"/>
          <w:lang w:val="es-CO"/>
        </w:rPr>
        <w:footnoteReference w:id="2"/>
      </w:r>
      <w:r w:rsidRPr="00CF151F">
        <w:rPr>
          <w:rFonts w:ascii="Tahoma" w:eastAsia="Century Gothic" w:hAnsi="Tahoma" w:cs="Tahoma"/>
          <w:spacing w:val="-3"/>
          <w:kern w:val="2"/>
          <w:sz w:val="24"/>
          <w:szCs w:val="24"/>
          <w:lang w:val="es-CO"/>
        </w:rPr>
        <w:t>, norma en la que se destaca la importancia de los principios de debida diligencia, transparencia e información cierta, suficiente y oportuna.</w:t>
      </w:r>
    </w:p>
    <w:p w14:paraId="4AA44B11" w14:textId="77777777" w:rsidR="00CF151F" w:rsidRPr="00CF151F" w:rsidRDefault="00CF151F" w:rsidP="00CF151F">
      <w:pPr>
        <w:shd w:val="clear" w:color="auto" w:fill="FFFFFF"/>
        <w:spacing w:after="0" w:line="276" w:lineRule="auto"/>
        <w:ind w:firstLine="709"/>
        <w:contextualSpacing/>
        <w:rPr>
          <w:rFonts w:ascii="Tahoma" w:eastAsia="Century Gothic" w:hAnsi="Tahoma" w:cs="Tahoma"/>
          <w:sz w:val="24"/>
          <w:szCs w:val="24"/>
          <w:lang w:val="es-CO"/>
        </w:rPr>
      </w:pPr>
    </w:p>
    <w:p w14:paraId="1BE0A52B" w14:textId="77777777" w:rsidR="00CF151F" w:rsidRPr="00CF151F" w:rsidRDefault="00CF151F" w:rsidP="00CF151F">
      <w:pPr>
        <w:spacing w:after="0" w:line="276" w:lineRule="auto"/>
        <w:ind w:firstLine="567"/>
        <w:jc w:val="both"/>
        <w:rPr>
          <w:rFonts w:ascii="Tahoma" w:eastAsia="Century Gothic" w:hAnsi="Tahoma" w:cs="Tahoma"/>
          <w:sz w:val="24"/>
          <w:szCs w:val="24"/>
          <w:lang w:val="es-CO"/>
        </w:rPr>
      </w:pPr>
      <w:r w:rsidRPr="00CF151F">
        <w:rPr>
          <w:rFonts w:ascii="Tahoma" w:eastAsia="Century Gothic" w:hAnsi="Tahoma" w:cs="Tahoma"/>
          <w:b/>
          <w:spacing w:val="-3"/>
          <w:kern w:val="2"/>
          <w:sz w:val="24"/>
          <w:szCs w:val="24"/>
          <w:lang w:val="es-CO"/>
        </w:rPr>
        <w:t>2)</w:t>
      </w:r>
      <w:r w:rsidRPr="00CF151F">
        <w:rPr>
          <w:rFonts w:ascii="Tahoma" w:eastAsia="Century Gothic" w:hAnsi="Tahoma" w:cs="Tahoma"/>
          <w:spacing w:val="-3"/>
          <w:kern w:val="2"/>
          <w:sz w:val="24"/>
          <w:szCs w:val="24"/>
          <w:lang w:val="es-CO"/>
        </w:rPr>
        <w:t xml:space="preserve"> Adicionalmente, se tiene previsto en el artículo 12 del Decreto 720 de 1994, que lo</w:t>
      </w:r>
      <w:r w:rsidRPr="00CF151F">
        <w:rPr>
          <w:rFonts w:ascii="Tahoma" w:eastAsia="Century Gothic" w:hAnsi="Tahoma" w:cs="Tahoma"/>
          <w:sz w:val="24"/>
          <w:szCs w:val="24"/>
          <w:lang w:val="es-CO"/>
        </w:rPr>
        <w:t xml:space="preserve">s promotores que empleen las sociedades administradoras del sistema general de pensiones deberán suministrar </w:t>
      </w:r>
      <w:r w:rsidRPr="00CF151F">
        <w:rPr>
          <w:rFonts w:ascii="Tahoma" w:eastAsia="Century Gothic" w:hAnsi="Tahoma" w:cs="Tahoma"/>
          <w:sz w:val="24"/>
          <w:szCs w:val="24"/>
          <w:u w:val="single"/>
          <w:lang w:val="es-CO"/>
        </w:rPr>
        <w:t>suficiente, amplia y oportuna</w:t>
      </w:r>
      <w:r w:rsidRPr="00CF151F">
        <w:rPr>
          <w:rFonts w:ascii="Tahoma" w:eastAsia="Century Gothic" w:hAnsi="Tahoma" w:cs="Tahoma"/>
          <w:sz w:val="24"/>
          <w:szCs w:val="24"/>
          <w:lang w:val="es-CO"/>
        </w:rPr>
        <w:t xml:space="preserve"> información a los posibles afiliados al momento de la promoción de la afiliación y durante </w:t>
      </w:r>
      <w:r w:rsidRPr="00CF151F">
        <w:rPr>
          <w:rFonts w:ascii="Tahoma" w:eastAsia="Century Gothic" w:hAnsi="Tahoma" w:cs="Tahoma"/>
          <w:spacing w:val="-3"/>
          <w:kern w:val="2"/>
          <w:sz w:val="24"/>
          <w:szCs w:val="24"/>
          <w:lang w:val="es-CO"/>
        </w:rPr>
        <w:t>toda</w:t>
      </w:r>
      <w:r w:rsidRPr="00CF151F">
        <w:rPr>
          <w:rFonts w:ascii="Tahoma" w:eastAsia="Century Gothic" w:hAnsi="Tahoma" w:cs="Tahoma"/>
          <w:sz w:val="24"/>
          <w:szCs w:val="24"/>
          <w:lang w:val="es-CO"/>
        </w:rPr>
        <w:t xml:space="preserve"> la vinculación con ocasión de las prestaciones a las cuales tenga derecho el afiliado. </w:t>
      </w:r>
    </w:p>
    <w:p w14:paraId="142D1BDF" w14:textId="77777777" w:rsidR="00CF151F" w:rsidRPr="00CF151F" w:rsidRDefault="00CF151F" w:rsidP="00CF151F">
      <w:pPr>
        <w:shd w:val="clear" w:color="auto" w:fill="FFFFFF"/>
        <w:spacing w:after="0" w:line="276" w:lineRule="auto"/>
        <w:ind w:firstLine="709"/>
        <w:contextualSpacing/>
        <w:rPr>
          <w:rFonts w:ascii="Tahoma" w:eastAsia="Century Gothic" w:hAnsi="Tahoma" w:cs="Tahoma"/>
          <w:sz w:val="24"/>
          <w:szCs w:val="24"/>
          <w:lang w:val="es-CO"/>
        </w:rPr>
      </w:pPr>
    </w:p>
    <w:p w14:paraId="2192E4CC" w14:textId="77777777" w:rsidR="00CF151F" w:rsidRPr="00CF151F" w:rsidRDefault="00CF151F" w:rsidP="00CF151F">
      <w:pPr>
        <w:spacing w:after="0" w:line="276" w:lineRule="auto"/>
        <w:ind w:firstLine="567"/>
        <w:jc w:val="both"/>
        <w:rPr>
          <w:rFonts w:ascii="Tahoma" w:eastAsia="Century Gothic" w:hAnsi="Tahoma" w:cs="Tahoma"/>
          <w:spacing w:val="-3"/>
          <w:kern w:val="2"/>
          <w:sz w:val="24"/>
          <w:szCs w:val="24"/>
          <w:lang w:val="es-CO"/>
        </w:rPr>
      </w:pPr>
      <w:r w:rsidRPr="00CF151F">
        <w:rPr>
          <w:rFonts w:ascii="Tahoma" w:eastAsia="Century Gothic" w:hAnsi="Tahoma" w:cs="Tahoma"/>
          <w:b/>
          <w:spacing w:val="-3"/>
          <w:kern w:val="2"/>
          <w:sz w:val="24"/>
          <w:szCs w:val="24"/>
          <w:lang w:val="es-CO"/>
        </w:rPr>
        <w:t>3)</w:t>
      </w:r>
      <w:r w:rsidRPr="00CF151F">
        <w:rPr>
          <w:rFonts w:ascii="Tahoma" w:eastAsia="Century Gothic" w:hAnsi="Tahoma" w:cs="Tahoma"/>
          <w:spacing w:val="-3"/>
          <w:kern w:val="2"/>
          <w:sz w:val="24"/>
          <w:szCs w:val="24"/>
          <w:lang w:val="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B603516" w14:textId="77777777" w:rsidR="00CF151F" w:rsidRPr="00CF151F" w:rsidRDefault="00CF151F" w:rsidP="00CF151F">
      <w:pPr>
        <w:shd w:val="clear" w:color="auto" w:fill="FFFFFF"/>
        <w:spacing w:after="0" w:line="276" w:lineRule="auto"/>
        <w:ind w:firstLine="709"/>
        <w:contextualSpacing/>
        <w:rPr>
          <w:rFonts w:ascii="Tahoma" w:eastAsia="Century Gothic" w:hAnsi="Tahoma" w:cs="Tahoma"/>
          <w:sz w:val="24"/>
          <w:szCs w:val="24"/>
          <w:lang w:val="es-CO"/>
        </w:rPr>
      </w:pPr>
    </w:p>
    <w:p w14:paraId="54E151B3" w14:textId="77777777" w:rsidR="00CF151F" w:rsidRPr="00CF151F" w:rsidRDefault="00CF151F" w:rsidP="00CF151F">
      <w:pPr>
        <w:spacing w:after="0" w:line="276" w:lineRule="auto"/>
        <w:ind w:firstLine="567"/>
        <w:jc w:val="both"/>
        <w:rPr>
          <w:rFonts w:ascii="Tahoma" w:eastAsia="Century Gothic" w:hAnsi="Tahoma" w:cs="Tahoma"/>
          <w:iCs/>
          <w:sz w:val="24"/>
          <w:szCs w:val="24"/>
          <w:u w:val="single"/>
          <w:lang w:val="es-CO"/>
        </w:rPr>
      </w:pPr>
      <w:r w:rsidRPr="00CF151F">
        <w:rPr>
          <w:rFonts w:ascii="Tahoma" w:eastAsia="Century Gothic" w:hAnsi="Tahoma" w:cs="Tahoma"/>
          <w:b/>
          <w:spacing w:val="-3"/>
          <w:kern w:val="2"/>
          <w:sz w:val="24"/>
          <w:szCs w:val="24"/>
          <w:lang w:val="es-CO"/>
        </w:rPr>
        <w:t>4)</w:t>
      </w:r>
      <w:r w:rsidRPr="00CF151F">
        <w:rPr>
          <w:rFonts w:ascii="Tahoma" w:eastAsia="Century Gothic" w:hAnsi="Tahoma" w:cs="Tahoma"/>
          <w:spacing w:val="-3"/>
          <w:kern w:val="2"/>
          <w:sz w:val="24"/>
          <w:szCs w:val="24"/>
          <w:lang w:val="es-CO"/>
        </w:rPr>
        <w:t xml:space="preserve"> En numerosas sentencias del órgano de cierre de la jurisdicción ordinaria laboral, se ha establecido que no puede argüirse que </w:t>
      </w:r>
      <w:r w:rsidRPr="00CF151F">
        <w:rPr>
          <w:rFonts w:ascii="Tahoma" w:eastAsia="Century Gothic" w:hAnsi="Tahoma" w:cs="Tahoma"/>
          <w:iCs/>
          <w:sz w:val="24"/>
          <w:szCs w:val="24"/>
          <w:lang w:val="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CF151F">
        <w:rPr>
          <w:rFonts w:ascii="Tahoma" w:eastAsia="Century Gothic" w:hAnsi="Tahoma" w:cs="Tahoma"/>
          <w:i/>
          <w:iCs/>
          <w:sz w:val="24"/>
          <w:szCs w:val="24"/>
          <w:lang w:val="es-CO"/>
        </w:rPr>
        <w:t>“</w:t>
      </w:r>
      <w:r w:rsidRPr="00CF151F">
        <w:rPr>
          <w:rFonts w:ascii="Tahoma" w:eastAsia="Century Gothic" w:hAnsi="Tahoma" w:cs="Tahoma"/>
          <w:i/>
          <w:iCs/>
          <w:szCs w:val="24"/>
          <w:u w:val="single"/>
          <w:lang w:val="es-CO"/>
        </w:rPr>
        <w:t>dar cuenta de que documentaron clara y suficientemente los efectos que acarrea el cambio de régimen, so pena de declarar ineficaz ese tránsito</w:t>
      </w:r>
      <w:r w:rsidRPr="00CF151F">
        <w:rPr>
          <w:rFonts w:ascii="Tahoma" w:eastAsia="Century Gothic" w:hAnsi="Tahoma" w:cs="Tahoma"/>
          <w:i/>
          <w:iCs/>
          <w:sz w:val="24"/>
          <w:szCs w:val="24"/>
          <w:u w:val="single"/>
          <w:lang w:val="es-CO"/>
        </w:rPr>
        <w:t>”</w:t>
      </w:r>
      <w:r w:rsidRPr="00CF151F">
        <w:rPr>
          <w:rFonts w:ascii="Tahoma" w:eastAsia="Century Gothic" w:hAnsi="Tahoma" w:cs="Tahoma"/>
          <w:iCs/>
          <w:sz w:val="24"/>
          <w:szCs w:val="24"/>
          <w:u w:val="single"/>
          <w:lang w:val="es-CO"/>
        </w:rPr>
        <w:t>.</w:t>
      </w:r>
    </w:p>
    <w:p w14:paraId="63082F85" w14:textId="77777777" w:rsidR="00CF151F" w:rsidRPr="00CF151F" w:rsidRDefault="00CF151F" w:rsidP="00CF151F">
      <w:pPr>
        <w:shd w:val="clear" w:color="auto" w:fill="FFFFFF"/>
        <w:spacing w:after="0" w:line="276" w:lineRule="auto"/>
        <w:ind w:firstLine="709"/>
        <w:contextualSpacing/>
        <w:rPr>
          <w:rFonts w:ascii="Tahoma" w:eastAsia="Century Gothic" w:hAnsi="Tahoma" w:cs="Tahoma"/>
          <w:sz w:val="24"/>
          <w:szCs w:val="24"/>
          <w:lang w:val="es-CO"/>
        </w:rPr>
      </w:pPr>
    </w:p>
    <w:p w14:paraId="4C13E5F2" w14:textId="77777777" w:rsidR="00CF151F" w:rsidRPr="00CF151F" w:rsidRDefault="00CF151F" w:rsidP="00CF151F">
      <w:pPr>
        <w:spacing w:after="0" w:line="276" w:lineRule="auto"/>
        <w:ind w:firstLine="567"/>
        <w:jc w:val="both"/>
        <w:rPr>
          <w:rFonts w:ascii="Tahoma" w:eastAsia="Century Gothic" w:hAnsi="Tahoma" w:cs="Tahoma"/>
          <w:iCs/>
          <w:sz w:val="24"/>
          <w:szCs w:val="24"/>
          <w:lang w:val="es-CO"/>
        </w:rPr>
      </w:pPr>
      <w:r w:rsidRPr="00CF151F">
        <w:rPr>
          <w:rFonts w:ascii="Tahoma" w:eastAsia="Century Gothic" w:hAnsi="Tahoma" w:cs="Tahoma"/>
          <w:iCs/>
          <w:sz w:val="24"/>
          <w:szCs w:val="24"/>
          <w:lang w:val="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CF151F">
        <w:rPr>
          <w:rFonts w:ascii="Tahoma" w:eastAsia="Century Gothic" w:hAnsi="Tahoma" w:cs="Tahoma"/>
          <w:sz w:val="24"/>
          <w:szCs w:val="24"/>
          <w:lang w:val="es-CO"/>
        </w:rPr>
        <w:t>probatorios</w:t>
      </w:r>
      <w:r w:rsidRPr="00CF151F">
        <w:rPr>
          <w:rFonts w:ascii="Tahoma" w:eastAsia="Century Gothic" w:hAnsi="Tahoma" w:cs="Tahoma"/>
          <w:iCs/>
          <w:sz w:val="24"/>
          <w:szCs w:val="24"/>
          <w:lang w:val="es-CO"/>
        </w:rPr>
        <w:t xml:space="preserve"> a su alcance, que cumplió con el deber del buen consejo al transmitirle al afiliado toda aquella información que resultaba relevante para que tomara una decisión de tal trascendencia. </w:t>
      </w:r>
    </w:p>
    <w:p w14:paraId="32694C95" w14:textId="77777777" w:rsidR="00CF151F" w:rsidRPr="00CF151F" w:rsidRDefault="00CF151F" w:rsidP="00CF151F">
      <w:pPr>
        <w:shd w:val="clear" w:color="auto" w:fill="FFFFFF"/>
        <w:spacing w:after="0" w:line="276" w:lineRule="auto"/>
        <w:ind w:firstLine="709"/>
        <w:contextualSpacing/>
        <w:rPr>
          <w:rFonts w:ascii="Tahoma" w:eastAsia="Century Gothic" w:hAnsi="Tahoma" w:cs="Tahoma"/>
          <w:sz w:val="24"/>
          <w:szCs w:val="24"/>
          <w:lang w:val="es-CO"/>
        </w:rPr>
      </w:pPr>
    </w:p>
    <w:p w14:paraId="0CABB78A" w14:textId="77777777" w:rsidR="00CF151F" w:rsidRPr="00CF151F" w:rsidRDefault="00CF151F" w:rsidP="00CF151F">
      <w:pPr>
        <w:spacing w:after="0" w:line="276" w:lineRule="auto"/>
        <w:ind w:firstLine="567"/>
        <w:jc w:val="both"/>
        <w:rPr>
          <w:rFonts w:ascii="Tahoma" w:eastAsia="Century Gothic" w:hAnsi="Tahoma" w:cs="Tahoma"/>
          <w:iCs/>
          <w:sz w:val="24"/>
          <w:szCs w:val="24"/>
          <w:lang w:val="es-CO"/>
        </w:rPr>
      </w:pPr>
      <w:r w:rsidRPr="00CF151F">
        <w:rPr>
          <w:rFonts w:ascii="Tahoma" w:eastAsia="Century Gothic" w:hAnsi="Tahoma" w:cs="Tahoma"/>
          <w:iCs/>
          <w:sz w:val="24"/>
          <w:szCs w:val="24"/>
          <w:lang w:val="es-CO"/>
        </w:rPr>
        <w:t xml:space="preserve">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w:t>
      </w:r>
      <w:r w:rsidRPr="00CF151F">
        <w:rPr>
          <w:rFonts w:ascii="Tahoma" w:eastAsia="Century Gothic" w:hAnsi="Tahoma" w:cs="Tahoma"/>
          <w:iCs/>
          <w:sz w:val="24"/>
          <w:szCs w:val="24"/>
          <w:lang w:val="es-CO"/>
        </w:rPr>
        <w:lastRenderedPageBreak/>
        <w:t>entregar sus ahorros y sus seguros de previsión para su vejez, invalidez o para su familia cercana en caso de muerte prematura.</w:t>
      </w:r>
    </w:p>
    <w:p w14:paraId="32ACE095" w14:textId="77777777" w:rsidR="00CF151F" w:rsidRPr="00CF151F" w:rsidRDefault="00CF151F" w:rsidP="00CF151F">
      <w:pPr>
        <w:shd w:val="clear" w:color="auto" w:fill="FFFFFF"/>
        <w:spacing w:after="0" w:line="276" w:lineRule="auto"/>
        <w:ind w:firstLine="709"/>
        <w:contextualSpacing/>
        <w:rPr>
          <w:rFonts w:ascii="Tahoma" w:eastAsia="Century Gothic" w:hAnsi="Tahoma" w:cs="Tahoma"/>
          <w:sz w:val="24"/>
          <w:szCs w:val="24"/>
          <w:lang w:val="es-CO"/>
        </w:rPr>
      </w:pPr>
    </w:p>
    <w:p w14:paraId="2D30777E" w14:textId="77777777" w:rsidR="00CF151F" w:rsidRPr="00CF151F" w:rsidRDefault="00CF151F" w:rsidP="00CF151F">
      <w:pPr>
        <w:spacing w:after="0" w:line="276" w:lineRule="auto"/>
        <w:ind w:firstLine="567"/>
        <w:jc w:val="both"/>
        <w:rPr>
          <w:rFonts w:ascii="Tahoma" w:eastAsia="Century Gothic" w:hAnsi="Tahoma" w:cs="Tahoma"/>
          <w:sz w:val="24"/>
          <w:szCs w:val="24"/>
          <w:lang w:val="es-CO"/>
        </w:rPr>
      </w:pPr>
      <w:r w:rsidRPr="00CF151F">
        <w:rPr>
          <w:rFonts w:ascii="Tahoma" w:eastAsia="Century Gothic" w:hAnsi="Tahoma" w:cs="Tahoma"/>
          <w:sz w:val="24"/>
          <w:szCs w:val="24"/>
          <w:lang w:val="es-CO"/>
        </w:rPr>
        <w:t xml:space="preserve">Ello así, también ha dicho el órgano de cierre de la especialidad laboral, que las </w:t>
      </w:r>
      <w:proofErr w:type="spellStart"/>
      <w:r w:rsidRPr="00CF151F">
        <w:rPr>
          <w:rFonts w:ascii="Tahoma" w:eastAsia="Century Gothic" w:hAnsi="Tahoma" w:cs="Tahoma"/>
          <w:sz w:val="24"/>
          <w:szCs w:val="24"/>
          <w:lang w:val="es-CO"/>
        </w:rPr>
        <w:t>AFPs</w:t>
      </w:r>
      <w:proofErr w:type="spellEnd"/>
      <w:r w:rsidRPr="00CF151F">
        <w:rPr>
          <w:rFonts w:ascii="Tahoma" w:eastAsia="Century Gothic" w:hAnsi="Tahoma" w:cs="Tahoma"/>
          <w:sz w:val="24"/>
          <w:szCs w:val="24"/>
          <w:lang w:val="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764DB90" w14:textId="77777777" w:rsidR="00CF151F" w:rsidRPr="00CF151F" w:rsidRDefault="00CF151F" w:rsidP="00CF151F">
      <w:pPr>
        <w:shd w:val="clear" w:color="auto" w:fill="FFFFFF"/>
        <w:tabs>
          <w:tab w:val="left" w:pos="-720"/>
        </w:tabs>
        <w:suppressAutoHyphens/>
        <w:spacing w:after="0" w:line="276" w:lineRule="auto"/>
        <w:contextualSpacing/>
        <w:jc w:val="both"/>
        <w:rPr>
          <w:rFonts w:ascii="Tahoma" w:eastAsia="Times New Roman" w:hAnsi="Tahoma" w:cs="Tahoma"/>
          <w:sz w:val="24"/>
          <w:szCs w:val="24"/>
          <w:lang w:eastAsia="es-ES"/>
        </w:rPr>
      </w:pPr>
    </w:p>
    <w:p w14:paraId="2B5BF87D" w14:textId="0E9AF553"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 Dicho recuento histórico, se compendia de la siguiente manera:</w:t>
      </w:r>
    </w:p>
    <w:p w14:paraId="7441A491" w14:textId="65D3BB96"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p>
    <w:p w14:paraId="66481663" w14:textId="77777777" w:rsidR="00360004" w:rsidRPr="00360004" w:rsidRDefault="00360004" w:rsidP="00360004">
      <w:pPr>
        <w:spacing w:after="0" w:line="240" w:lineRule="auto"/>
        <w:ind w:left="426" w:right="420"/>
        <w:jc w:val="both"/>
        <w:textAlignment w:val="baseline"/>
        <w:rPr>
          <w:rFonts w:ascii="Tahoma" w:eastAsia="Times New Roman" w:hAnsi="Tahoma" w:cs="Tahoma"/>
          <w:szCs w:val="24"/>
          <w:lang w:eastAsia="es-ES"/>
        </w:rPr>
      </w:pPr>
      <w:bookmarkStart w:id="0" w:name="_Hlk66368436"/>
      <w:r w:rsidRPr="00360004">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768FBA2A" w14:textId="77777777" w:rsidR="00360004" w:rsidRPr="00360004" w:rsidRDefault="00360004" w:rsidP="00360004">
      <w:pPr>
        <w:spacing w:after="0" w:line="240" w:lineRule="auto"/>
        <w:ind w:left="426" w:right="420"/>
        <w:jc w:val="both"/>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360004" w:rsidRPr="00360004" w14:paraId="5F4066A7"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2E5D42C"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b/>
                <w:bCs/>
                <w:i/>
                <w:iCs/>
                <w:sz w:val="20"/>
                <w:szCs w:val="24"/>
                <w:lang w:val="es-CO" w:eastAsia="es-ES"/>
              </w:rPr>
              <w:t>Etapa acumulativa</w:t>
            </w:r>
            <w:r w:rsidRPr="00360004">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60959A6"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b/>
                <w:bCs/>
                <w:i/>
                <w:iCs/>
                <w:sz w:val="20"/>
                <w:szCs w:val="24"/>
                <w:lang w:val="es-CO" w:eastAsia="es-ES"/>
              </w:rPr>
              <w:t>Normas que obligan a las administradoras de pensiones a dar información</w:t>
            </w:r>
            <w:r w:rsidRPr="00360004">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FC121F3"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b/>
                <w:bCs/>
                <w:i/>
                <w:iCs/>
                <w:sz w:val="20"/>
                <w:szCs w:val="24"/>
                <w:lang w:val="es-CO" w:eastAsia="es-ES"/>
              </w:rPr>
              <w:t>Contenido mínimo y alcance del deber de información</w:t>
            </w:r>
            <w:r w:rsidRPr="00360004">
              <w:rPr>
                <w:rFonts w:ascii="Tahoma" w:eastAsia="Times New Roman" w:hAnsi="Tahoma" w:cs="Tahoma"/>
                <w:sz w:val="20"/>
                <w:szCs w:val="24"/>
                <w:lang w:eastAsia="es-ES"/>
              </w:rPr>
              <w:t> </w:t>
            </w:r>
          </w:p>
        </w:tc>
      </w:tr>
      <w:tr w:rsidR="00360004" w:rsidRPr="00360004" w14:paraId="4A33D18F"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4AF0CC7"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Deber de información </w:t>
            </w:r>
            <w:r w:rsidRPr="00360004">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A8A0EA8"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Arts. 13 literal b), 271 y 272 de la Ley 100 de 1993</w:t>
            </w:r>
            <w:r w:rsidRPr="00360004">
              <w:rPr>
                <w:rFonts w:ascii="Tahoma" w:eastAsia="Times New Roman" w:hAnsi="Tahoma" w:cs="Tahoma"/>
                <w:sz w:val="20"/>
                <w:szCs w:val="24"/>
                <w:lang w:eastAsia="es-ES"/>
              </w:rPr>
              <w:t> </w:t>
            </w:r>
          </w:p>
          <w:p w14:paraId="6D60E6C5"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eastAsia="es-ES"/>
              </w:rPr>
              <w:t>Art. 97, numeral 1 del Decreto 663 de 1993, modificado por el artículo 23 de la Ley 797 de 2003</w:t>
            </w:r>
            <w:r w:rsidRPr="00360004">
              <w:rPr>
                <w:rFonts w:ascii="Tahoma" w:eastAsia="Times New Roman" w:hAnsi="Tahoma" w:cs="Tahoma"/>
                <w:sz w:val="20"/>
                <w:szCs w:val="24"/>
                <w:lang w:eastAsia="es-ES"/>
              </w:rPr>
              <w:t> </w:t>
            </w:r>
          </w:p>
          <w:p w14:paraId="3982060F"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eastAsia="es-ES"/>
              </w:rPr>
              <w:t>Disposiciones constitucionales relativas al derecho a la información, no menoscabo de derechos laborales y autonomía personal</w:t>
            </w:r>
            <w:r w:rsidRPr="00360004">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C2F35E8"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360004">
              <w:rPr>
                <w:rFonts w:ascii="Tahoma" w:eastAsia="Times New Roman" w:hAnsi="Tahoma" w:cs="Tahoma"/>
                <w:sz w:val="20"/>
                <w:szCs w:val="24"/>
                <w:lang w:eastAsia="es-ES"/>
              </w:rPr>
              <w:t> </w:t>
            </w:r>
          </w:p>
        </w:tc>
      </w:tr>
      <w:tr w:rsidR="00360004" w:rsidRPr="00360004" w14:paraId="7D03DA81"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0FB3158"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Deber de información, asesoría y buen consejo</w:t>
            </w:r>
            <w:r w:rsidRPr="00360004">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FA0C100"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Artículo 3, literal c) de la Ley 1328 de 2009</w:t>
            </w:r>
            <w:r w:rsidRPr="00360004">
              <w:rPr>
                <w:rFonts w:ascii="Tahoma" w:eastAsia="Times New Roman" w:hAnsi="Tahoma" w:cs="Tahoma"/>
                <w:sz w:val="20"/>
                <w:szCs w:val="24"/>
                <w:lang w:eastAsia="es-ES"/>
              </w:rPr>
              <w:t> </w:t>
            </w:r>
          </w:p>
          <w:p w14:paraId="55191A81"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Decreto 2241 de 2010</w:t>
            </w:r>
            <w:r w:rsidRPr="00360004">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F1AAA4B"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 xml:space="preserve">Implica el análisis previo, calificado y </w:t>
            </w:r>
            <w:proofErr w:type="gramStart"/>
            <w:r w:rsidRPr="00360004">
              <w:rPr>
                <w:rFonts w:ascii="Tahoma" w:eastAsia="Times New Roman" w:hAnsi="Tahoma" w:cs="Tahoma"/>
                <w:i/>
                <w:iCs/>
                <w:sz w:val="20"/>
                <w:szCs w:val="24"/>
                <w:lang w:val="es-CO" w:eastAsia="es-ES"/>
              </w:rPr>
              <w:t>global  de</w:t>
            </w:r>
            <w:proofErr w:type="gramEnd"/>
            <w:r w:rsidRPr="00360004">
              <w:rPr>
                <w:rFonts w:ascii="Tahoma" w:eastAsia="Times New Roman" w:hAnsi="Tahoma" w:cs="Tahoma"/>
                <w:i/>
                <w:iCs/>
                <w:sz w:val="20"/>
                <w:szCs w:val="24"/>
                <w:lang w:val="es-CO"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360004">
              <w:rPr>
                <w:rFonts w:ascii="Tahoma" w:eastAsia="Times New Roman" w:hAnsi="Tahoma" w:cs="Tahoma"/>
                <w:sz w:val="20"/>
                <w:szCs w:val="24"/>
                <w:lang w:eastAsia="es-ES"/>
              </w:rPr>
              <w:t> </w:t>
            </w:r>
          </w:p>
        </w:tc>
      </w:tr>
      <w:tr w:rsidR="00360004" w:rsidRPr="00360004" w14:paraId="7B311591"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7E29036"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Deber de información, asesoría, buen consejo y doble asesoría. </w:t>
            </w:r>
            <w:r w:rsidRPr="00360004">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9C31924"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Ley 1748 de 2014</w:t>
            </w:r>
            <w:r w:rsidRPr="00360004">
              <w:rPr>
                <w:rFonts w:ascii="Tahoma" w:eastAsia="Times New Roman" w:hAnsi="Tahoma" w:cs="Tahoma"/>
                <w:sz w:val="20"/>
                <w:szCs w:val="24"/>
                <w:lang w:eastAsia="es-ES"/>
              </w:rPr>
              <w:t> </w:t>
            </w:r>
          </w:p>
          <w:p w14:paraId="7CA87CC0"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Artículo 3 del Decreto 2071 de 2015</w:t>
            </w:r>
            <w:r w:rsidRPr="00360004">
              <w:rPr>
                <w:rFonts w:ascii="Tahoma" w:eastAsia="Times New Roman" w:hAnsi="Tahoma" w:cs="Tahoma"/>
                <w:sz w:val="20"/>
                <w:szCs w:val="24"/>
                <w:lang w:eastAsia="es-ES"/>
              </w:rPr>
              <w:t> </w:t>
            </w:r>
          </w:p>
          <w:p w14:paraId="66C6C98F"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Circular Externa n. 016 de 2016</w:t>
            </w:r>
            <w:r w:rsidRPr="00360004">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32F5DDE" w14:textId="77777777" w:rsidR="00360004" w:rsidRPr="00360004" w:rsidRDefault="00360004" w:rsidP="00360004">
            <w:pPr>
              <w:spacing w:after="0" w:line="276" w:lineRule="auto"/>
              <w:jc w:val="both"/>
              <w:textAlignment w:val="baseline"/>
              <w:rPr>
                <w:rFonts w:ascii="Tahoma" w:eastAsia="Times New Roman" w:hAnsi="Tahoma" w:cs="Tahoma"/>
                <w:sz w:val="20"/>
                <w:szCs w:val="24"/>
                <w:lang w:eastAsia="es-ES"/>
              </w:rPr>
            </w:pPr>
            <w:r w:rsidRPr="00360004">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360004">
              <w:rPr>
                <w:rFonts w:ascii="Tahoma" w:eastAsia="Times New Roman" w:hAnsi="Tahoma" w:cs="Tahoma"/>
                <w:sz w:val="20"/>
                <w:szCs w:val="24"/>
                <w:lang w:eastAsia="es-ES"/>
              </w:rPr>
              <w:t> </w:t>
            </w:r>
          </w:p>
        </w:tc>
      </w:tr>
    </w:tbl>
    <w:p w14:paraId="251548B3" w14:textId="77777777" w:rsidR="00360004" w:rsidRPr="00360004" w:rsidRDefault="00360004" w:rsidP="00360004">
      <w:pPr>
        <w:spacing w:after="0" w:line="240" w:lineRule="auto"/>
        <w:ind w:left="426" w:right="420" w:firstLine="709"/>
        <w:jc w:val="both"/>
        <w:rPr>
          <w:rFonts w:ascii="Tahoma" w:eastAsia="Calibri" w:hAnsi="Tahoma" w:cs="Tahoma"/>
          <w:b/>
          <w:i/>
          <w:spacing w:val="-4"/>
          <w:szCs w:val="24"/>
          <w:lang w:val="es-CO"/>
        </w:rPr>
      </w:pPr>
    </w:p>
    <w:bookmarkEnd w:id="0"/>
    <w:p w14:paraId="3C92B998" w14:textId="77777777" w:rsidR="00360004" w:rsidRPr="00360004" w:rsidRDefault="00360004" w:rsidP="00360004">
      <w:pPr>
        <w:spacing w:after="0" w:line="240" w:lineRule="auto"/>
        <w:ind w:left="426" w:right="420" w:firstLine="709"/>
        <w:jc w:val="both"/>
        <w:rPr>
          <w:rFonts w:ascii="Tahoma" w:eastAsia="Calibri" w:hAnsi="Tahoma" w:cs="Tahoma"/>
          <w:b/>
          <w:i/>
          <w:szCs w:val="24"/>
          <w:lang w:val="es-CO"/>
        </w:rPr>
      </w:pPr>
      <w:r w:rsidRPr="00360004">
        <w:rPr>
          <w:rFonts w:ascii="Tahoma" w:eastAsia="Calibri" w:hAnsi="Tahoma" w:cs="Tahoma"/>
          <w:b/>
          <w:i/>
          <w:szCs w:val="24"/>
          <w:lang w:val="es-CO"/>
        </w:rPr>
        <w:t>1.4 Conclusión: La constatación del deber de información es ineludible</w:t>
      </w:r>
    </w:p>
    <w:p w14:paraId="63E6C965" w14:textId="77777777" w:rsidR="00360004" w:rsidRPr="00360004" w:rsidRDefault="00360004" w:rsidP="00360004">
      <w:pPr>
        <w:spacing w:after="0" w:line="240" w:lineRule="auto"/>
        <w:ind w:left="426" w:right="420" w:firstLine="709"/>
        <w:jc w:val="both"/>
        <w:rPr>
          <w:rFonts w:ascii="Tahoma" w:eastAsia="Calibri" w:hAnsi="Tahoma" w:cs="Tahoma"/>
          <w:b/>
          <w:i/>
          <w:szCs w:val="24"/>
          <w:lang w:val="es-CO"/>
        </w:rPr>
      </w:pPr>
    </w:p>
    <w:p w14:paraId="27C904FB" w14:textId="77777777" w:rsidR="00360004" w:rsidRPr="00360004" w:rsidRDefault="00360004" w:rsidP="00360004">
      <w:pPr>
        <w:spacing w:after="0" w:line="240" w:lineRule="auto"/>
        <w:ind w:left="426" w:right="420" w:firstLine="1"/>
        <w:jc w:val="both"/>
        <w:rPr>
          <w:rFonts w:ascii="Tahoma" w:eastAsia="Calibri" w:hAnsi="Tahoma" w:cs="Tahoma"/>
          <w:i/>
          <w:szCs w:val="24"/>
          <w:lang w:val="es-CO"/>
        </w:rPr>
      </w:pPr>
      <w:r w:rsidRPr="00360004">
        <w:rPr>
          <w:rFonts w:ascii="Tahoma" w:eastAsia="Calibri" w:hAnsi="Tahoma" w:cs="Tahoma"/>
          <w:i/>
          <w:szCs w:val="24"/>
          <w:lang w:val="es-CO"/>
        </w:rPr>
        <w:lastRenderedPageBreak/>
        <w:t xml:space="preserve">Según se pudo advertir del anterior recuento, </w:t>
      </w:r>
      <w:r w:rsidRPr="00360004">
        <w:rPr>
          <w:rFonts w:ascii="Tahoma" w:eastAsia="Calibri" w:hAnsi="Tahoma" w:cs="Tahoma"/>
          <w:b/>
          <w:i/>
          <w:szCs w:val="24"/>
          <w:lang w:val="es-CO"/>
        </w:rPr>
        <w:t>las AFP, desde su creación, tenían el deber de brindar información a los afiliados o usuarios del sistema pensional a fin de que estos pudiesen adoptar una decisión consciente y realmente libre sobre su futuro pensional.</w:t>
      </w:r>
      <w:r w:rsidRPr="00360004">
        <w:rPr>
          <w:rFonts w:ascii="Tahoma" w:eastAsia="Calibri" w:hAnsi="Tahoma" w:cs="Tahoma"/>
          <w:i/>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5D0CA21" w14:textId="77777777" w:rsidR="00360004" w:rsidRPr="00360004" w:rsidRDefault="00360004" w:rsidP="00360004">
      <w:pPr>
        <w:spacing w:after="0" w:line="240" w:lineRule="auto"/>
        <w:ind w:left="426" w:right="420" w:firstLine="1"/>
        <w:jc w:val="both"/>
        <w:rPr>
          <w:rFonts w:ascii="Tahoma" w:eastAsia="Calibri" w:hAnsi="Tahoma" w:cs="Tahoma"/>
          <w:i/>
          <w:szCs w:val="24"/>
          <w:lang w:val="es-CO"/>
        </w:rPr>
      </w:pPr>
    </w:p>
    <w:p w14:paraId="15E72FA1" w14:textId="77777777" w:rsidR="00360004" w:rsidRPr="00360004" w:rsidRDefault="00360004" w:rsidP="00360004">
      <w:pPr>
        <w:spacing w:after="0" w:line="240" w:lineRule="auto"/>
        <w:ind w:left="426" w:right="420"/>
        <w:jc w:val="both"/>
        <w:rPr>
          <w:rFonts w:ascii="Tahoma" w:eastAsia="Calibri" w:hAnsi="Tahoma" w:cs="Tahoma"/>
          <w:i/>
          <w:szCs w:val="24"/>
          <w:lang w:val="es-CO"/>
        </w:rPr>
      </w:pPr>
      <w:r w:rsidRPr="00360004">
        <w:rPr>
          <w:rFonts w:ascii="Tahoma" w:eastAsia="Calibri" w:hAnsi="Tahoma" w:cs="Tahoma"/>
          <w:i/>
          <w:szCs w:val="24"/>
          <w:lang w:val="es-CO"/>
        </w:rPr>
        <w:t xml:space="preserve">Así las cosas, el Tribunal cometió un primer error al concluir que la responsabilidad por el incumplimiento o entrega de información deficitaria surgió con el </w:t>
      </w:r>
      <w:r w:rsidRPr="00360004">
        <w:rPr>
          <w:rFonts w:ascii="Tahoma" w:eastAsia="Calibri" w:hAnsi="Tahoma" w:cs="Tahoma"/>
          <w:i/>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360004">
        <w:rPr>
          <w:rFonts w:ascii="Tahoma" w:eastAsia="Calibri" w:hAnsi="Tahoma" w:cs="Tahoma"/>
          <w:i/>
          <w:szCs w:val="24"/>
          <w:lang w:val="es-CO"/>
        </w:rPr>
        <w:t xml:space="preserve">  </w:t>
      </w:r>
    </w:p>
    <w:p w14:paraId="611AEC95" w14:textId="77777777" w:rsidR="00360004" w:rsidRPr="00360004" w:rsidRDefault="00360004" w:rsidP="00360004">
      <w:pPr>
        <w:spacing w:after="0" w:line="240" w:lineRule="auto"/>
        <w:ind w:left="426" w:right="420" w:firstLine="709"/>
        <w:jc w:val="both"/>
        <w:rPr>
          <w:rFonts w:ascii="Tahoma" w:eastAsia="Calibri" w:hAnsi="Tahoma" w:cs="Tahoma"/>
          <w:i/>
          <w:szCs w:val="24"/>
          <w:lang w:val="es-CO"/>
        </w:rPr>
      </w:pPr>
    </w:p>
    <w:p w14:paraId="60F2F9B4" w14:textId="77777777" w:rsidR="00360004" w:rsidRPr="00360004" w:rsidRDefault="00360004" w:rsidP="00360004">
      <w:pPr>
        <w:spacing w:after="0" w:line="240" w:lineRule="auto"/>
        <w:ind w:left="426" w:right="420"/>
        <w:jc w:val="both"/>
        <w:rPr>
          <w:rFonts w:ascii="Tahoma" w:eastAsia="Calibri" w:hAnsi="Tahoma" w:cs="Tahoma"/>
          <w:i/>
          <w:szCs w:val="24"/>
          <w:lang w:val="es-CO"/>
        </w:rPr>
      </w:pPr>
      <w:r w:rsidRPr="00360004">
        <w:rPr>
          <w:rFonts w:ascii="Tahoma" w:eastAsia="Calibri" w:hAnsi="Tahoma" w:cs="Tahoma"/>
          <w:i/>
          <w:szCs w:val="24"/>
          <w:lang w:val="es-CO"/>
        </w:rPr>
        <w:t xml:space="preserve">Adicionalmente, la Sala no puede pasar por alto la indebida fundamentación con la que </w:t>
      </w:r>
      <w:r w:rsidRPr="00360004">
        <w:rPr>
          <w:rFonts w:ascii="Tahoma" w:eastAsia="Calibri" w:hAnsi="Tahoma" w:cs="Tahoma"/>
          <w:bCs/>
          <w:i/>
          <w:szCs w:val="24"/>
        </w:rPr>
        <w:t>la Sala Primera de Decisión Laboral del Tribunal de Medellín</w:t>
      </w:r>
      <w:r w:rsidRPr="00360004">
        <w:rPr>
          <w:rFonts w:ascii="Tahoma" w:eastAsia="Calibri" w:hAnsi="Tahoma" w:cs="Tahoma"/>
          <w:i/>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9CD0303" w14:textId="39B1E87B" w:rsidR="42DC33F9" w:rsidRPr="00651E5D" w:rsidRDefault="42DC33F9" w:rsidP="00651E5D">
      <w:pPr>
        <w:spacing w:after="0" w:line="276" w:lineRule="auto"/>
        <w:ind w:right="900"/>
        <w:jc w:val="both"/>
        <w:rPr>
          <w:rFonts w:ascii="Tahoma" w:eastAsia="Tahoma" w:hAnsi="Tahoma" w:cs="Tahoma"/>
          <w:color w:val="000000" w:themeColor="text1"/>
          <w:sz w:val="24"/>
          <w:szCs w:val="24"/>
          <w:lang w:val="es-CO"/>
        </w:rPr>
      </w:pPr>
    </w:p>
    <w:p w14:paraId="28022296" w14:textId="08EAADDF" w:rsidR="42DC33F9" w:rsidRPr="00651E5D" w:rsidRDefault="42DC33F9" w:rsidP="003B0398">
      <w:pPr>
        <w:spacing w:after="0" w:line="276" w:lineRule="auto"/>
        <w:ind w:right="-5"/>
        <w:jc w:val="both"/>
        <w:rPr>
          <w:rFonts w:ascii="Tahoma" w:eastAsia="Tahoma" w:hAnsi="Tahoma" w:cs="Tahoma"/>
          <w:color w:val="000000" w:themeColor="text1"/>
          <w:sz w:val="24"/>
          <w:szCs w:val="24"/>
          <w:lang w:val="es-CO"/>
        </w:rPr>
      </w:pPr>
      <w:r w:rsidRPr="00651E5D">
        <w:rPr>
          <w:rFonts w:ascii="Tahoma" w:eastAsia="Tahoma" w:hAnsi="Tahoma" w:cs="Tahoma"/>
          <w:b/>
          <w:bCs/>
          <w:i/>
          <w:iCs/>
          <w:color w:val="000000" w:themeColor="text1"/>
          <w:sz w:val="24"/>
          <w:szCs w:val="24"/>
          <w:lang w:val="es-CO"/>
        </w:rPr>
        <w:t>6.4. “El simple consentimiento vertido en el formulario de afiliación es insuficiente – Necesidad de un consentimiento informado”</w:t>
      </w:r>
      <w:r w:rsidRPr="00651E5D">
        <w:rPr>
          <w:rFonts w:ascii="Tahoma" w:eastAsia="Tahoma" w:hAnsi="Tahoma" w:cs="Tahoma"/>
          <w:i/>
          <w:iCs/>
          <w:color w:val="000000" w:themeColor="text1"/>
          <w:sz w:val="24"/>
          <w:szCs w:val="24"/>
          <w:lang w:val="es-CO"/>
        </w:rPr>
        <w:t xml:space="preserve">  </w:t>
      </w:r>
      <w:r w:rsidR="0084220A" w:rsidRPr="001E6F46">
        <w:rPr>
          <w:rFonts w:ascii="Tahoma" w:hAnsi="Tahoma" w:cs="Tahoma"/>
          <w:b/>
          <w:sz w:val="24"/>
          <w:szCs w:val="24"/>
          <w:vertAlign w:val="superscript"/>
        </w:rPr>
        <w:footnoteReference w:id="3"/>
      </w:r>
    </w:p>
    <w:p w14:paraId="05FDBFC9" w14:textId="77777777" w:rsidR="000A1F2E" w:rsidRPr="000A1F2E" w:rsidRDefault="000A1F2E" w:rsidP="000A1F2E">
      <w:pPr>
        <w:spacing w:after="0" w:line="276" w:lineRule="auto"/>
        <w:ind w:firstLine="737"/>
        <w:jc w:val="both"/>
        <w:rPr>
          <w:rFonts w:ascii="Tahoma" w:eastAsia="Century Gothic" w:hAnsi="Tahoma" w:cs="Tahoma"/>
          <w:spacing w:val="-4"/>
          <w:sz w:val="24"/>
          <w:szCs w:val="24"/>
          <w:lang w:val="es-CO"/>
        </w:rPr>
      </w:pPr>
    </w:p>
    <w:p w14:paraId="72B347C6" w14:textId="77777777" w:rsidR="000A1F2E" w:rsidRPr="000A1F2E" w:rsidRDefault="000A1F2E" w:rsidP="000A1F2E">
      <w:pPr>
        <w:spacing w:after="0" w:line="276" w:lineRule="auto"/>
        <w:ind w:firstLine="737"/>
        <w:jc w:val="both"/>
        <w:rPr>
          <w:rFonts w:ascii="Tahoma" w:eastAsia="Century Gothic" w:hAnsi="Tahoma" w:cs="Tahoma"/>
          <w:spacing w:val="-4"/>
          <w:sz w:val="24"/>
          <w:szCs w:val="24"/>
          <w:lang w:val="es-CO"/>
        </w:rPr>
      </w:pPr>
      <w:r w:rsidRPr="000A1F2E">
        <w:rPr>
          <w:rFonts w:ascii="Tahoma" w:eastAsia="Century Gothic" w:hAnsi="Tahoma" w:cs="Tahoma"/>
          <w:spacing w:val="-4"/>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0A1F2E">
        <w:rPr>
          <w:rFonts w:ascii="Tahoma" w:eastAsia="Century Gothic" w:hAnsi="Tahoma" w:cs="Tahoma"/>
          <w:b/>
          <w:spacing w:val="-4"/>
          <w:sz w:val="24"/>
          <w:szCs w:val="24"/>
          <w:lang w:val="es-CO"/>
        </w:rPr>
        <w:t>pero no informado</w:t>
      </w:r>
      <w:r w:rsidRPr="000A1F2E">
        <w:rPr>
          <w:rFonts w:ascii="Tahoma" w:eastAsia="Century Gothic" w:hAnsi="Tahoma" w:cs="Tahoma"/>
          <w:spacing w:val="-4"/>
          <w:sz w:val="24"/>
          <w:szCs w:val="24"/>
          <w:lang w:val="es-CO"/>
        </w:rPr>
        <w:t xml:space="preserve">, tal como se expresa a continuación: </w:t>
      </w:r>
    </w:p>
    <w:p w14:paraId="62D57B40" w14:textId="77777777" w:rsidR="000A1F2E" w:rsidRPr="000A1F2E" w:rsidRDefault="000A1F2E" w:rsidP="000A1F2E">
      <w:pPr>
        <w:spacing w:after="0" w:line="276" w:lineRule="auto"/>
        <w:ind w:firstLine="737"/>
        <w:jc w:val="both"/>
        <w:rPr>
          <w:rFonts w:ascii="Tahoma" w:eastAsia="Century Gothic" w:hAnsi="Tahoma" w:cs="Tahoma"/>
          <w:spacing w:val="-4"/>
          <w:sz w:val="24"/>
          <w:szCs w:val="24"/>
          <w:lang w:val="es-CO"/>
        </w:rPr>
      </w:pPr>
    </w:p>
    <w:p w14:paraId="32E63E10" w14:textId="77777777" w:rsidR="000A1F2E" w:rsidRPr="000A1F2E" w:rsidRDefault="000A1F2E" w:rsidP="000A1F2E">
      <w:pPr>
        <w:spacing w:after="0" w:line="240" w:lineRule="auto"/>
        <w:ind w:left="426" w:right="420" w:firstLine="1"/>
        <w:jc w:val="both"/>
        <w:rPr>
          <w:rFonts w:ascii="Tahoma" w:eastAsia="Calibri" w:hAnsi="Tahoma" w:cs="Tahoma"/>
          <w:i/>
          <w:szCs w:val="24"/>
          <w:lang w:val="es-CO"/>
        </w:rPr>
      </w:pPr>
      <w:r w:rsidRPr="000A1F2E">
        <w:rPr>
          <w:rFonts w:ascii="Tahoma" w:eastAsia="Calibri" w:hAnsi="Tahoma" w:cs="Tahoma"/>
          <w:i/>
          <w:szCs w:val="24"/>
          <w:lang w:val="es-CO"/>
        </w:rPr>
        <w:t xml:space="preserve">“Para el Tribunal el consentimiento informado no es predicable del acto jurídico de traslado, pues basta la consignación en el formulario de que la afiliación se hizo de manera libre y voluntaria. </w:t>
      </w:r>
    </w:p>
    <w:p w14:paraId="45E7B04C" w14:textId="77777777" w:rsidR="000A1F2E" w:rsidRPr="000A1F2E" w:rsidRDefault="000A1F2E" w:rsidP="000A1F2E">
      <w:pPr>
        <w:spacing w:after="0" w:line="240" w:lineRule="auto"/>
        <w:ind w:left="426" w:right="420" w:firstLine="1"/>
        <w:jc w:val="both"/>
        <w:rPr>
          <w:rFonts w:ascii="Tahoma" w:eastAsia="Calibri" w:hAnsi="Tahoma" w:cs="Tahoma"/>
          <w:i/>
          <w:szCs w:val="24"/>
          <w:lang w:val="es-CO"/>
        </w:rPr>
      </w:pPr>
    </w:p>
    <w:p w14:paraId="64632E32" w14:textId="77777777" w:rsidR="000A1F2E" w:rsidRPr="000A1F2E" w:rsidRDefault="000A1F2E" w:rsidP="000A1F2E">
      <w:pPr>
        <w:spacing w:after="0" w:line="240" w:lineRule="auto"/>
        <w:ind w:left="426" w:right="420" w:firstLine="1"/>
        <w:jc w:val="both"/>
        <w:rPr>
          <w:rFonts w:ascii="Tahoma" w:eastAsia="Calibri" w:hAnsi="Tahoma" w:cs="Tahoma"/>
          <w:i/>
          <w:szCs w:val="24"/>
          <w:lang w:val="es-CO"/>
        </w:rPr>
      </w:pPr>
      <w:r w:rsidRPr="000A1F2E">
        <w:rPr>
          <w:rFonts w:ascii="Tahoma" w:eastAsia="Calibri" w:hAnsi="Tahoma" w:cs="Tahoma"/>
          <w:i/>
          <w:szCs w:val="24"/>
          <w:lang w:val="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BF02528" w14:textId="77777777" w:rsidR="000A1F2E" w:rsidRPr="000A1F2E" w:rsidRDefault="000A1F2E" w:rsidP="000A1F2E">
      <w:pPr>
        <w:spacing w:after="0" w:line="240" w:lineRule="auto"/>
        <w:ind w:left="426" w:right="420" w:firstLine="1"/>
        <w:jc w:val="both"/>
        <w:rPr>
          <w:rFonts w:ascii="Tahoma" w:eastAsia="Calibri" w:hAnsi="Tahoma" w:cs="Tahoma"/>
          <w:i/>
          <w:szCs w:val="24"/>
          <w:lang w:val="es-CO"/>
        </w:rPr>
      </w:pPr>
    </w:p>
    <w:p w14:paraId="56CE4613" w14:textId="77777777" w:rsidR="000A1F2E" w:rsidRPr="000A1F2E" w:rsidRDefault="000A1F2E" w:rsidP="000A1F2E">
      <w:pPr>
        <w:spacing w:after="0" w:line="240" w:lineRule="auto"/>
        <w:ind w:left="426" w:right="420" w:firstLine="1"/>
        <w:jc w:val="both"/>
        <w:rPr>
          <w:rFonts w:ascii="Tahoma" w:eastAsia="Calibri" w:hAnsi="Tahoma" w:cs="Tahoma"/>
          <w:i/>
          <w:szCs w:val="24"/>
          <w:lang w:val="es-CO"/>
        </w:rPr>
      </w:pPr>
      <w:r w:rsidRPr="000A1F2E">
        <w:rPr>
          <w:rFonts w:ascii="Tahoma" w:eastAsia="Calibri" w:hAnsi="Tahoma" w:cs="Tahoma"/>
          <w:i/>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26318E0" w14:textId="77777777" w:rsidR="000A1F2E" w:rsidRPr="000A1F2E" w:rsidRDefault="000A1F2E" w:rsidP="000A1F2E">
      <w:pPr>
        <w:spacing w:after="0" w:line="240" w:lineRule="auto"/>
        <w:ind w:left="426" w:right="420" w:firstLine="1"/>
        <w:jc w:val="both"/>
        <w:rPr>
          <w:rFonts w:ascii="Tahoma" w:eastAsia="Calibri" w:hAnsi="Tahoma" w:cs="Tahoma"/>
          <w:i/>
          <w:szCs w:val="24"/>
          <w:lang w:val="es-CO"/>
        </w:rPr>
      </w:pPr>
    </w:p>
    <w:p w14:paraId="6EBE1846" w14:textId="77777777" w:rsidR="000A1F2E" w:rsidRPr="000A1F2E" w:rsidRDefault="000A1F2E" w:rsidP="000A1F2E">
      <w:pPr>
        <w:spacing w:after="0" w:line="240" w:lineRule="auto"/>
        <w:ind w:left="426" w:right="420" w:firstLine="1"/>
        <w:jc w:val="both"/>
        <w:rPr>
          <w:rFonts w:ascii="Tahoma" w:eastAsia="Calibri" w:hAnsi="Tahoma" w:cs="Tahoma"/>
          <w:i/>
          <w:szCs w:val="24"/>
          <w:lang w:val="es-CO"/>
        </w:rPr>
      </w:pPr>
      <w:r w:rsidRPr="000A1F2E">
        <w:rPr>
          <w:rFonts w:ascii="Tahoma" w:eastAsia="Calibri" w:hAnsi="Tahoma" w:cs="Tahoma"/>
          <w:i/>
          <w:szCs w:val="24"/>
          <w:lang w:val="es-CO"/>
        </w:rPr>
        <w:lastRenderedPageBreak/>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03CD169" w14:textId="555A503E" w:rsidR="42DC33F9" w:rsidRPr="00651E5D" w:rsidRDefault="42DC33F9" w:rsidP="00651E5D">
      <w:pPr>
        <w:spacing w:after="0" w:line="276" w:lineRule="auto"/>
        <w:ind w:right="900"/>
        <w:jc w:val="both"/>
        <w:rPr>
          <w:rFonts w:ascii="Tahoma" w:eastAsia="Tahoma" w:hAnsi="Tahoma" w:cs="Tahoma"/>
          <w:color w:val="000000" w:themeColor="text1"/>
          <w:sz w:val="24"/>
          <w:szCs w:val="24"/>
          <w:lang w:val="es-CO"/>
        </w:rPr>
      </w:pPr>
    </w:p>
    <w:p w14:paraId="01C49B51" w14:textId="77777777" w:rsidR="00577054" w:rsidRPr="00577054" w:rsidRDefault="00577054" w:rsidP="00577054">
      <w:pPr>
        <w:widowControl w:val="0"/>
        <w:tabs>
          <w:tab w:val="left" w:pos="567"/>
        </w:tabs>
        <w:autoSpaceDE w:val="0"/>
        <w:autoSpaceDN w:val="0"/>
        <w:adjustRightInd w:val="0"/>
        <w:spacing w:after="0" w:line="276" w:lineRule="auto"/>
        <w:ind w:firstLine="284"/>
        <w:jc w:val="both"/>
        <w:rPr>
          <w:rFonts w:ascii="Tahoma" w:eastAsia="Century Gothic" w:hAnsi="Tahoma" w:cs="Tahoma"/>
          <w:bCs/>
          <w:sz w:val="24"/>
          <w:szCs w:val="24"/>
          <w:lang w:val="es-CO"/>
        </w:rPr>
      </w:pPr>
      <w:r w:rsidRPr="00577054">
        <w:rPr>
          <w:rFonts w:ascii="Tahoma" w:eastAsia="Century Gothic" w:hAnsi="Tahoma" w:cs="Tahoma"/>
          <w:bCs/>
          <w:sz w:val="24"/>
          <w:szCs w:val="24"/>
          <w:lang w:val="es-CO"/>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577054">
        <w:rPr>
          <w:rFonts w:ascii="Tahoma" w:eastAsia="Arial Narrow" w:hAnsi="Tahoma" w:cs="Tahoma"/>
          <w:sz w:val="24"/>
          <w:szCs w:val="24"/>
          <w:lang w:val="es"/>
        </w:rPr>
        <w:t>Justicia</w:t>
      </w:r>
      <w:r w:rsidRPr="00577054">
        <w:rPr>
          <w:rFonts w:ascii="Tahoma" w:eastAsia="Century Gothic" w:hAnsi="Tahoma" w:cs="Tahoma"/>
          <w:bCs/>
          <w:sz w:val="24"/>
          <w:szCs w:val="24"/>
          <w:lang w:val="es-CO"/>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E872753" w14:textId="77777777" w:rsidR="00577054" w:rsidRPr="00577054" w:rsidRDefault="00577054" w:rsidP="00577054">
      <w:pPr>
        <w:widowControl w:val="0"/>
        <w:tabs>
          <w:tab w:val="left" w:pos="567"/>
        </w:tabs>
        <w:autoSpaceDE w:val="0"/>
        <w:autoSpaceDN w:val="0"/>
        <w:adjustRightInd w:val="0"/>
        <w:spacing w:after="0" w:line="276" w:lineRule="auto"/>
        <w:ind w:firstLine="284"/>
        <w:jc w:val="both"/>
        <w:rPr>
          <w:rFonts w:ascii="Tahoma" w:eastAsia="Century Gothic" w:hAnsi="Tahoma" w:cs="Tahoma"/>
          <w:bCs/>
          <w:sz w:val="24"/>
          <w:szCs w:val="24"/>
          <w:lang w:val="es-CO"/>
        </w:rPr>
      </w:pPr>
    </w:p>
    <w:p w14:paraId="51FC7E22" w14:textId="77777777" w:rsidR="00577054" w:rsidRPr="00577054" w:rsidRDefault="00577054" w:rsidP="00577054">
      <w:pPr>
        <w:spacing w:after="0" w:line="240" w:lineRule="auto"/>
        <w:ind w:left="426" w:right="420"/>
        <w:jc w:val="both"/>
        <w:rPr>
          <w:rFonts w:ascii="Tahoma" w:eastAsia="Calibri" w:hAnsi="Tahoma" w:cs="Tahoma"/>
          <w:i/>
          <w:szCs w:val="24"/>
        </w:rPr>
      </w:pPr>
      <w:r w:rsidRPr="00577054">
        <w:rPr>
          <w:rFonts w:ascii="Tahoma" w:eastAsia="Calibri" w:hAnsi="Tahoma" w:cs="Tahoma"/>
          <w:i/>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577054">
        <w:rPr>
          <w:rFonts w:ascii="Tahoma" w:eastAsia="Calibri" w:hAnsi="Tahoma" w:cs="Tahoma"/>
          <w:i/>
          <w:szCs w:val="24"/>
        </w:rPr>
        <w:t>ii</w:t>
      </w:r>
      <w:proofErr w:type="spellEnd"/>
      <w:r w:rsidRPr="00577054">
        <w:rPr>
          <w:rFonts w:ascii="Tahoma" w:eastAsia="Calibri" w:hAnsi="Tahoma" w:cs="Tahoma"/>
          <w:i/>
          <w:szCs w:val="24"/>
        </w:rPr>
        <w:t xml:space="preserve">) no será suficiente la simple suscripción del formulario, sino el cotejo con la información brindada, la cual debe corresponder a la realidad; </w:t>
      </w:r>
      <w:proofErr w:type="spellStart"/>
      <w:r w:rsidRPr="00577054">
        <w:rPr>
          <w:rFonts w:ascii="Tahoma" w:eastAsia="Calibri" w:hAnsi="Tahoma" w:cs="Tahoma"/>
          <w:i/>
          <w:szCs w:val="24"/>
        </w:rPr>
        <w:t>iii</w:t>
      </w:r>
      <w:proofErr w:type="spellEnd"/>
      <w:r w:rsidRPr="00577054">
        <w:rPr>
          <w:rFonts w:ascii="Tahoma" w:eastAsia="Calibri" w:hAnsi="Tahoma" w:cs="Tahoma"/>
          <w:i/>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5E7FCD2B" w14:textId="77777777" w:rsidR="00577054" w:rsidRPr="00577054" w:rsidRDefault="00577054" w:rsidP="00577054">
      <w:pPr>
        <w:spacing w:after="0" w:line="240" w:lineRule="auto"/>
        <w:ind w:left="426" w:right="420" w:firstLine="708"/>
        <w:jc w:val="both"/>
        <w:rPr>
          <w:rFonts w:ascii="Tahoma" w:eastAsia="Calibri" w:hAnsi="Tahoma" w:cs="Tahoma"/>
          <w:b/>
          <w:i/>
          <w:szCs w:val="24"/>
        </w:rPr>
      </w:pPr>
    </w:p>
    <w:p w14:paraId="67EEDD42" w14:textId="77777777" w:rsidR="00577054" w:rsidRPr="00577054" w:rsidRDefault="00577054" w:rsidP="00577054">
      <w:pPr>
        <w:tabs>
          <w:tab w:val="left" w:pos="709"/>
        </w:tabs>
        <w:spacing w:after="0" w:line="240" w:lineRule="auto"/>
        <w:ind w:left="426" w:right="420"/>
        <w:jc w:val="both"/>
        <w:rPr>
          <w:rFonts w:ascii="Tahoma" w:eastAsia="Calibri" w:hAnsi="Tahoma" w:cs="Tahoma"/>
          <w:i/>
          <w:szCs w:val="24"/>
        </w:rPr>
      </w:pPr>
      <w:r w:rsidRPr="00577054">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51AB29BB" w14:textId="77777777" w:rsidR="00577054" w:rsidRPr="00577054" w:rsidRDefault="00577054" w:rsidP="00577054">
      <w:pPr>
        <w:spacing w:after="0" w:line="276" w:lineRule="auto"/>
        <w:ind w:firstLine="737"/>
        <w:jc w:val="both"/>
        <w:rPr>
          <w:rFonts w:ascii="Tahoma" w:eastAsia="Century Gothic" w:hAnsi="Tahoma" w:cs="Tahoma"/>
          <w:spacing w:val="-4"/>
          <w:sz w:val="24"/>
          <w:szCs w:val="24"/>
          <w:lang w:val="es-CO"/>
        </w:rPr>
      </w:pPr>
    </w:p>
    <w:p w14:paraId="2E6CD555" w14:textId="77777777" w:rsidR="00577054" w:rsidRPr="00577054" w:rsidRDefault="00577054" w:rsidP="00577054">
      <w:pPr>
        <w:widowControl w:val="0"/>
        <w:tabs>
          <w:tab w:val="left" w:pos="567"/>
        </w:tabs>
        <w:autoSpaceDE w:val="0"/>
        <w:autoSpaceDN w:val="0"/>
        <w:adjustRightInd w:val="0"/>
        <w:spacing w:after="0" w:line="276" w:lineRule="auto"/>
        <w:ind w:firstLine="284"/>
        <w:jc w:val="both"/>
        <w:rPr>
          <w:rFonts w:ascii="Tahoma" w:eastAsia="Century Gothic" w:hAnsi="Tahoma" w:cs="Tahoma"/>
          <w:sz w:val="24"/>
          <w:szCs w:val="24"/>
          <w:lang w:val="es-CO"/>
        </w:rPr>
      </w:pPr>
      <w:r w:rsidRPr="00577054">
        <w:rPr>
          <w:rFonts w:ascii="Tahoma" w:eastAsia="Arial Narrow" w:hAnsi="Tahoma" w:cs="Tahoma"/>
          <w:bCs/>
          <w:sz w:val="24"/>
          <w:szCs w:val="24"/>
          <w:lang w:val="es"/>
        </w:rPr>
        <w:t xml:space="preserve">Igual cosa se ha predicado de las </w:t>
      </w:r>
      <w:proofErr w:type="spellStart"/>
      <w:r w:rsidRPr="00577054">
        <w:rPr>
          <w:rFonts w:ascii="Tahoma" w:eastAsia="Arial Narrow" w:hAnsi="Tahoma" w:cs="Tahoma"/>
          <w:bCs/>
          <w:sz w:val="24"/>
          <w:szCs w:val="24"/>
          <w:lang w:val="es"/>
        </w:rPr>
        <w:t>reasesorías</w:t>
      </w:r>
      <w:proofErr w:type="spellEnd"/>
      <w:r w:rsidRPr="00577054">
        <w:rPr>
          <w:rFonts w:ascii="Tahoma" w:eastAsia="Arial Narrow" w:hAnsi="Tahoma" w:cs="Tahoma"/>
          <w:bCs/>
          <w:sz w:val="24"/>
          <w:szCs w:val="24"/>
          <w:lang w:val="es"/>
        </w:rPr>
        <w:t xml:space="preserve"> posteriores dadas al interior de las AFP</w:t>
      </w:r>
      <w:r w:rsidRPr="00577054">
        <w:rPr>
          <w:rFonts w:ascii="Tahoma" w:eastAsia="Arial Narrow" w:hAnsi="Tahoma" w:cs="Tahoma"/>
          <w:sz w:val="24"/>
          <w:szCs w:val="24"/>
          <w:lang w:val="es"/>
        </w:rPr>
        <w:t xml:space="preserve">, las cuales tampoco convalidan el traslado, como quedó dicho en la citada </w:t>
      </w:r>
      <w:r w:rsidRPr="00577054">
        <w:rPr>
          <w:rFonts w:ascii="Tahoma" w:eastAsia="Century Gothic" w:hAnsi="Tahoma" w:cs="Tahoma"/>
          <w:sz w:val="24"/>
          <w:szCs w:val="24"/>
          <w:lang w:val="es-CO"/>
        </w:rPr>
        <w:t xml:space="preserve">sentencia del 8 de mayo de 2019SL 1688-2019, así: </w:t>
      </w:r>
    </w:p>
    <w:p w14:paraId="2040F506" w14:textId="77777777" w:rsidR="00577054" w:rsidRPr="00577054" w:rsidRDefault="00577054" w:rsidP="00577054">
      <w:pPr>
        <w:spacing w:after="0" w:line="276" w:lineRule="auto"/>
        <w:ind w:firstLine="737"/>
        <w:jc w:val="both"/>
        <w:rPr>
          <w:rFonts w:ascii="Tahoma" w:eastAsia="Arial Narrow" w:hAnsi="Tahoma" w:cs="Tahoma"/>
          <w:i/>
          <w:iCs/>
          <w:sz w:val="24"/>
          <w:szCs w:val="24"/>
          <w:lang w:val="es"/>
        </w:rPr>
      </w:pPr>
      <w:r w:rsidRPr="00577054">
        <w:rPr>
          <w:rFonts w:ascii="Tahoma" w:eastAsia="Arial Narrow" w:hAnsi="Tahoma" w:cs="Tahoma"/>
          <w:sz w:val="24"/>
          <w:szCs w:val="24"/>
          <w:lang w:val="es"/>
        </w:rPr>
        <w:t xml:space="preserve">  </w:t>
      </w:r>
    </w:p>
    <w:p w14:paraId="7704A42B" w14:textId="77777777" w:rsidR="00577054" w:rsidRPr="00577054" w:rsidRDefault="00577054" w:rsidP="00577054">
      <w:pPr>
        <w:spacing w:after="0" w:line="240" w:lineRule="auto"/>
        <w:ind w:left="426" w:right="420"/>
        <w:jc w:val="both"/>
        <w:rPr>
          <w:rFonts w:ascii="Tahoma" w:eastAsia="Calibri" w:hAnsi="Tahoma" w:cs="Tahoma"/>
          <w:i/>
          <w:szCs w:val="24"/>
        </w:rPr>
      </w:pPr>
      <w:r w:rsidRPr="00577054">
        <w:rPr>
          <w:rFonts w:ascii="Tahoma" w:eastAsia="Calibri" w:hAnsi="Tahoma" w:cs="Tahoma"/>
          <w:i/>
          <w:szCs w:val="24"/>
        </w:rPr>
        <w:t xml:space="preserve">“Ahora, si bien la AFP brindó a la actora una </w:t>
      </w:r>
      <w:proofErr w:type="spellStart"/>
      <w:r w:rsidRPr="00577054">
        <w:rPr>
          <w:rFonts w:ascii="Tahoma" w:eastAsia="Calibri" w:hAnsi="Tahoma" w:cs="Tahoma"/>
          <w:i/>
          <w:szCs w:val="24"/>
        </w:rPr>
        <w:t>reasesoría</w:t>
      </w:r>
      <w:proofErr w:type="spellEnd"/>
      <w:r w:rsidRPr="00577054">
        <w:rPr>
          <w:rFonts w:ascii="Tahoma" w:eastAsia="Calibri" w:hAnsi="Tahoma" w:cs="Tahoma"/>
          <w:i/>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81B0048" w14:textId="77777777" w:rsidR="00577054" w:rsidRPr="00577054" w:rsidRDefault="00577054" w:rsidP="00577054">
      <w:pPr>
        <w:spacing w:after="0" w:line="240" w:lineRule="auto"/>
        <w:ind w:left="426" w:right="420" w:firstLine="709"/>
        <w:jc w:val="both"/>
        <w:rPr>
          <w:rFonts w:ascii="Tahoma" w:eastAsia="Arial Narrow" w:hAnsi="Tahoma" w:cs="Tahoma"/>
          <w:i/>
          <w:iCs/>
          <w:szCs w:val="24"/>
          <w:lang w:val="es"/>
        </w:rPr>
      </w:pPr>
      <w:r w:rsidRPr="00577054">
        <w:rPr>
          <w:rFonts w:ascii="Tahoma" w:eastAsia="Arial Narrow" w:hAnsi="Tahoma" w:cs="Tahoma"/>
          <w:i/>
          <w:iCs/>
          <w:szCs w:val="24"/>
          <w:lang w:val="es"/>
        </w:rPr>
        <w:t xml:space="preserve"> </w:t>
      </w:r>
    </w:p>
    <w:p w14:paraId="0EE68AF9" w14:textId="77777777" w:rsidR="00577054" w:rsidRPr="00577054" w:rsidRDefault="00577054" w:rsidP="00577054">
      <w:pPr>
        <w:spacing w:after="0" w:line="240" w:lineRule="auto"/>
        <w:ind w:left="426" w:right="420"/>
        <w:jc w:val="both"/>
        <w:rPr>
          <w:rFonts w:ascii="Tahoma" w:eastAsia="Calibri" w:hAnsi="Tahoma" w:cs="Tahoma"/>
          <w:i/>
          <w:szCs w:val="24"/>
        </w:rPr>
      </w:pPr>
      <w:r w:rsidRPr="00577054">
        <w:rPr>
          <w:rFonts w:ascii="Tahoma" w:eastAsia="Calibri" w:hAnsi="Tahoma" w:cs="Tahoma"/>
          <w:i/>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577054">
        <w:rPr>
          <w:rFonts w:ascii="Tahoma" w:eastAsia="Calibri" w:hAnsi="Tahoma" w:cs="Tahoma"/>
          <w:i/>
          <w:szCs w:val="24"/>
        </w:rPr>
        <w:t>reasesoría</w:t>
      </w:r>
      <w:proofErr w:type="spellEnd"/>
      <w:r w:rsidRPr="00577054">
        <w:rPr>
          <w:rFonts w:ascii="Tahoma" w:eastAsia="Calibri" w:hAnsi="Tahoma" w:cs="Tahoma"/>
          <w:i/>
          <w:szCs w:val="24"/>
        </w:rPr>
        <w:t xml:space="preserve">, de todas </w:t>
      </w:r>
      <w:proofErr w:type="gramStart"/>
      <w:r w:rsidRPr="00577054">
        <w:rPr>
          <w:rFonts w:ascii="Tahoma" w:eastAsia="Calibri" w:hAnsi="Tahoma" w:cs="Tahoma"/>
          <w:i/>
          <w:szCs w:val="24"/>
        </w:rPr>
        <w:t>formas</w:t>
      </w:r>
      <w:proofErr w:type="gramEnd"/>
      <w:r w:rsidRPr="00577054">
        <w:rPr>
          <w:rFonts w:ascii="Tahoma" w:eastAsia="Calibri" w:hAnsi="Tahoma" w:cs="Tahoma"/>
          <w:i/>
          <w:szCs w:val="24"/>
        </w:rPr>
        <w:t xml:space="preserve"> ya había perdido la transición.</w:t>
      </w:r>
    </w:p>
    <w:p w14:paraId="3D6E2A81" w14:textId="77777777" w:rsidR="00577054" w:rsidRPr="00577054" w:rsidRDefault="00577054" w:rsidP="00577054">
      <w:pPr>
        <w:spacing w:after="0" w:line="240" w:lineRule="auto"/>
        <w:ind w:left="426" w:right="420" w:firstLine="709"/>
        <w:jc w:val="both"/>
        <w:rPr>
          <w:rFonts w:ascii="Tahoma" w:eastAsia="Arial Narrow" w:hAnsi="Tahoma" w:cs="Tahoma"/>
          <w:i/>
          <w:iCs/>
          <w:szCs w:val="24"/>
          <w:lang w:val="es"/>
        </w:rPr>
      </w:pPr>
      <w:r w:rsidRPr="00577054">
        <w:rPr>
          <w:rFonts w:ascii="Tahoma" w:eastAsia="Arial Narrow" w:hAnsi="Tahoma" w:cs="Tahoma"/>
          <w:i/>
          <w:iCs/>
          <w:szCs w:val="24"/>
          <w:lang w:val="es"/>
        </w:rPr>
        <w:lastRenderedPageBreak/>
        <w:t xml:space="preserve"> </w:t>
      </w:r>
    </w:p>
    <w:p w14:paraId="46616B9B" w14:textId="77777777" w:rsidR="00577054" w:rsidRPr="00577054" w:rsidRDefault="00577054" w:rsidP="00577054">
      <w:pPr>
        <w:spacing w:after="0" w:line="240" w:lineRule="auto"/>
        <w:ind w:left="426" w:right="420"/>
        <w:jc w:val="both"/>
        <w:rPr>
          <w:rFonts w:ascii="Tahoma" w:eastAsia="Calibri" w:hAnsi="Tahoma" w:cs="Tahoma"/>
          <w:i/>
          <w:szCs w:val="24"/>
        </w:rPr>
      </w:pPr>
      <w:r w:rsidRPr="00577054">
        <w:rPr>
          <w:rFonts w:ascii="Tahoma" w:eastAsia="Calibri" w:hAnsi="Tahoma" w:cs="Tahoma"/>
          <w:i/>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3087395" w14:textId="226A03DC" w:rsidR="42DC33F9" w:rsidRPr="00651E5D" w:rsidRDefault="00577054" w:rsidP="00577054">
      <w:pPr>
        <w:spacing w:after="0" w:line="276" w:lineRule="auto"/>
        <w:rPr>
          <w:rFonts w:ascii="Tahoma" w:eastAsia="Tahoma" w:hAnsi="Tahoma" w:cs="Tahoma"/>
          <w:color w:val="000000" w:themeColor="text1"/>
          <w:sz w:val="24"/>
          <w:szCs w:val="24"/>
          <w:lang w:val="es-CO"/>
        </w:rPr>
      </w:pPr>
      <w:r w:rsidRPr="008669F1">
        <w:rPr>
          <w:rFonts w:ascii="Tahoma" w:eastAsia="Arial Narrow" w:hAnsi="Tahoma" w:cs="Tahoma"/>
          <w:i/>
          <w:iCs/>
          <w:szCs w:val="24"/>
          <w:lang w:val="es"/>
        </w:rPr>
        <w:t xml:space="preserve"> </w:t>
      </w:r>
      <w:r w:rsidR="42DC33F9" w:rsidRPr="00651E5D">
        <w:rPr>
          <w:rFonts w:ascii="Tahoma" w:eastAsia="Tahoma" w:hAnsi="Tahoma" w:cs="Tahoma"/>
          <w:color w:val="000000" w:themeColor="text1"/>
          <w:sz w:val="24"/>
          <w:szCs w:val="24"/>
          <w:lang w:val="es-CO"/>
        </w:rPr>
        <w:t xml:space="preserve"> </w:t>
      </w:r>
    </w:p>
    <w:p w14:paraId="524614F3" w14:textId="0B475131" w:rsidR="42DC33F9" w:rsidRPr="00651E5D" w:rsidRDefault="42DC33F9" w:rsidP="00651E5D">
      <w:pPr>
        <w:spacing w:after="0" w:line="276" w:lineRule="auto"/>
        <w:jc w:val="center"/>
        <w:rPr>
          <w:rFonts w:ascii="Tahoma" w:eastAsia="Tahoma" w:hAnsi="Tahoma" w:cs="Tahoma"/>
          <w:color w:val="000000" w:themeColor="text1"/>
          <w:sz w:val="24"/>
          <w:szCs w:val="24"/>
          <w:lang w:val="es-CO"/>
        </w:rPr>
      </w:pPr>
      <w:r w:rsidRPr="00651E5D">
        <w:rPr>
          <w:rStyle w:val="normaltextrun"/>
          <w:rFonts w:ascii="Tahoma" w:eastAsia="Tahoma" w:hAnsi="Tahoma" w:cs="Tahoma"/>
          <w:b/>
          <w:bCs/>
          <w:i/>
          <w:iCs/>
          <w:color w:val="000000" w:themeColor="text1"/>
          <w:sz w:val="24"/>
          <w:szCs w:val="24"/>
          <w:lang w:val="es-CO"/>
        </w:rPr>
        <w:t>6.5. “De la carga de la prueba – Inversión a favor del afiliado”</w:t>
      </w:r>
      <w:r w:rsidRPr="00651E5D">
        <w:rPr>
          <w:rStyle w:val="eop"/>
          <w:rFonts w:ascii="Tahoma" w:eastAsia="Tahoma" w:hAnsi="Tahoma" w:cs="Tahoma"/>
          <w:color w:val="000000" w:themeColor="text1"/>
          <w:sz w:val="24"/>
          <w:szCs w:val="24"/>
          <w:lang w:val="es-CO"/>
        </w:rPr>
        <w:t xml:space="preserve"> </w:t>
      </w:r>
      <w:r w:rsidR="008C3514" w:rsidRPr="00535853">
        <w:rPr>
          <w:rFonts w:ascii="Tahoma" w:hAnsi="Tahoma" w:cs="Tahoma"/>
          <w:b/>
          <w:sz w:val="24"/>
          <w:szCs w:val="24"/>
          <w:vertAlign w:val="superscript"/>
        </w:rPr>
        <w:footnoteReference w:id="4"/>
      </w:r>
    </w:p>
    <w:p w14:paraId="65D8A52C" w14:textId="3F66BD71" w:rsidR="42DC33F9" w:rsidRPr="00651E5D" w:rsidRDefault="42DC33F9" w:rsidP="00651E5D">
      <w:pPr>
        <w:spacing w:after="0" w:line="276" w:lineRule="auto"/>
        <w:rPr>
          <w:rFonts w:ascii="Tahoma" w:eastAsia="Tahoma" w:hAnsi="Tahoma" w:cs="Tahoma"/>
          <w:color w:val="000000" w:themeColor="text1"/>
          <w:sz w:val="24"/>
          <w:szCs w:val="24"/>
          <w:lang w:val="es-CO"/>
        </w:rPr>
      </w:pPr>
    </w:p>
    <w:p w14:paraId="33D9EF67" w14:textId="77777777" w:rsidR="00F52E83" w:rsidRPr="00F52E83" w:rsidRDefault="00F52E83" w:rsidP="00F52E83">
      <w:pPr>
        <w:widowControl w:val="0"/>
        <w:tabs>
          <w:tab w:val="left" w:pos="567"/>
        </w:tabs>
        <w:autoSpaceDE w:val="0"/>
        <w:autoSpaceDN w:val="0"/>
        <w:adjustRightInd w:val="0"/>
        <w:spacing w:after="0" w:line="276" w:lineRule="auto"/>
        <w:ind w:firstLine="284"/>
        <w:jc w:val="both"/>
        <w:rPr>
          <w:rFonts w:ascii="Tahoma" w:eastAsia="Calibri" w:hAnsi="Tahoma" w:cs="Tahoma"/>
          <w:spacing w:val="-4"/>
        </w:rPr>
      </w:pPr>
      <w:r w:rsidRPr="00F52E83">
        <w:rPr>
          <w:rFonts w:ascii="Tahoma" w:eastAsia="Calibri" w:hAnsi="Tahoma" w:cs="Tahoma"/>
          <w:spacing w:val="-4"/>
        </w:rPr>
        <w:t xml:space="preserve">El tercer problema jurídico relativo a la carga de la prueba en los procesos de ineficacia de traslado, también se resolvió por la Corte Suprema de Justicia desde la sentencia hito, en la que se expresó que de </w:t>
      </w:r>
      <w:r w:rsidRPr="00F52E83">
        <w:rPr>
          <w:rFonts w:ascii="Tahoma" w:eastAsia="Calibri" w:hAnsi="Tahoma" w:cs="Tahoma"/>
          <w:bCs/>
        </w:rPr>
        <w:t>conformidad</w:t>
      </w:r>
      <w:r w:rsidRPr="00F52E83">
        <w:rPr>
          <w:rFonts w:ascii="Tahoma" w:eastAsia="Calibri" w:hAnsi="Tahoma" w:cs="Tahoma"/>
          <w:spacing w:val="-4"/>
        </w:rPr>
        <w:t xml:space="preserve"> al artículo 1604 del Código Civil «</w:t>
      </w:r>
      <w:r w:rsidRPr="00F52E83">
        <w:rPr>
          <w:rFonts w:ascii="Tahoma" w:eastAsia="Calibri" w:hAnsi="Tahoma" w:cs="Tahoma"/>
          <w:i/>
          <w:spacing w:val="-4"/>
        </w:rPr>
        <w:t>la prueba de la diligencia o cuidado incumbe al que ha debido emplearlo”</w:t>
      </w:r>
      <w:r w:rsidRPr="00F52E83">
        <w:rPr>
          <w:rFonts w:ascii="Tahoma" w:eastAsia="Calibri" w:hAnsi="Tahoma" w:cs="Tahoma"/>
          <w:spacing w:val="-4"/>
        </w:rPr>
        <w:t xml:space="preserve"> lo que quiere decir que la carga de la prueba recae en el fondo de pensiones. Dicha postura se ha mantenido invariable, y se reiteró de manera más contundente en la citada sentencia, así: </w:t>
      </w:r>
    </w:p>
    <w:p w14:paraId="4AC204E1" w14:textId="77777777" w:rsidR="00F52E83" w:rsidRPr="00F52E83" w:rsidRDefault="00F52E83" w:rsidP="00F52E83">
      <w:pPr>
        <w:spacing w:after="0" w:line="276" w:lineRule="auto"/>
        <w:ind w:firstLine="708"/>
        <w:jc w:val="both"/>
        <w:rPr>
          <w:rFonts w:ascii="Tahoma" w:eastAsia="Calibri" w:hAnsi="Tahoma" w:cs="Tahoma"/>
          <w:spacing w:val="-4"/>
        </w:rPr>
      </w:pPr>
    </w:p>
    <w:p w14:paraId="10420A00" w14:textId="77777777" w:rsidR="00F52E83" w:rsidRPr="00F52E83" w:rsidRDefault="00F52E83" w:rsidP="00F52E83">
      <w:pPr>
        <w:spacing w:after="0" w:line="240" w:lineRule="auto"/>
        <w:ind w:left="426" w:right="420" w:firstLine="1"/>
        <w:jc w:val="both"/>
        <w:rPr>
          <w:rFonts w:ascii="Tahoma" w:eastAsia="Calibri" w:hAnsi="Tahoma" w:cs="Tahoma"/>
          <w:i/>
        </w:rPr>
      </w:pPr>
      <w:r w:rsidRPr="00F52E83">
        <w:rPr>
          <w:rFonts w:ascii="Tahoma" w:eastAsia="Calibri" w:hAnsi="Tahoma" w:cs="Tahoma"/>
        </w:rPr>
        <w:t>“</w:t>
      </w:r>
      <w:r w:rsidRPr="00F52E83">
        <w:rPr>
          <w:rFonts w:ascii="Tahoma" w:eastAsia="Calibri" w:hAnsi="Tahoma" w:cs="Tahoma"/>
          <w:i/>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08668CE" w14:textId="77777777" w:rsidR="00F52E83" w:rsidRPr="00F52E83" w:rsidRDefault="00F52E83" w:rsidP="00F52E83">
      <w:pPr>
        <w:spacing w:after="0" w:line="240" w:lineRule="auto"/>
        <w:ind w:left="426" w:right="420" w:firstLine="1"/>
        <w:jc w:val="both"/>
        <w:rPr>
          <w:rFonts w:ascii="Tahoma" w:eastAsia="Calibri" w:hAnsi="Tahoma" w:cs="Tahoma"/>
          <w:i/>
        </w:rPr>
      </w:pPr>
    </w:p>
    <w:p w14:paraId="4F6F99A0" w14:textId="77777777" w:rsidR="00F52E83" w:rsidRPr="00F52E83" w:rsidRDefault="00F52E83" w:rsidP="00F52E83">
      <w:pPr>
        <w:spacing w:after="0" w:line="240" w:lineRule="auto"/>
        <w:ind w:left="426" w:right="420" w:firstLine="1"/>
        <w:jc w:val="both"/>
        <w:rPr>
          <w:rFonts w:ascii="Tahoma" w:eastAsia="Calibri" w:hAnsi="Tahoma" w:cs="Tahoma"/>
          <w:i/>
        </w:rPr>
      </w:pPr>
      <w:r w:rsidRPr="00F52E83">
        <w:rPr>
          <w:rFonts w:ascii="Tahoma" w:eastAsia="Calibri" w:hAnsi="Tahoma" w:cs="Tahoma"/>
          <w:i/>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7657375" w14:textId="77777777" w:rsidR="00F52E83" w:rsidRPr="00F52E83" w:rsidRDefault="00F52E83" w:rsidP="00F52E83">
      <w:pPr>
        <w:spacing w:after="0" w:line="240" w:lineRule="auto"/>
        <w:ind w:left="426" w:right="420" w:firstLine="1"/>
        <w:jc w:val="both"/>
        <w:rPr>
          <w:rFonts w:ascii="Tahoma" w:eastAsia="Calibri" w:hAnsi="Tahoma" w:cs="Tahoma"/>
          <w:i/>
        </w:rPr>
      </w:pPr>
    </w:p>
    <w:p w14:paraId="5A0B0B4C" w14:textId="77777777" w:rsidR="00F52E83" w:rsidRPr="00F52E83" w:rsidRDefault="00F52E83" w:rsidP="00F52E83">
      <w:pPr>
        <w:spacing w:after="0" w:line="240" w:lineRule="auto"/>
        <w:ind w:left="426" w:right="420" w:firstLine="1"/>
        <w:jc w:val="both"/>
        <w:rPr>
          <w:rFonts w:ascii="Tahoma" w:eastAsia="Calibri" w:hAnsi="Tahoma" w:cs="Tahoma"/>
          <w:i/>
        </w:rPr>
      </w:pPr>
      <w:r w:rsidRPr="00F52E83">
        <w:rPr>
          <w:rFonts w:ascii="Tahoma" w:eastAsia="Calibri" w:hAnsi="Tahoma" w:cs="Tahoma"/>
          <w:i/>
        </w:rPr>
        <w:t xml:space="preserve">En consecuencia, si se arguye </w:t>
      </w:r>
      <w:proofErr w:type="gramStart"/>
      <w:r w:rsidRPr="00F52E83">
        <w:rPr>
          <w:rFonts w:ascii="Tahoma" w:eastAsia="Calibri" w:hAnsi="Tahoma" w:cs="Tahoma"/>
          <w:i/>
        </w:rPr>
        <w:t>que</w:t>
      </w:r>
      <w:proofErr w:type="gramEnd"/>
      <w:r w:rsidRPr="00F52E83">
        <w:rPr>
          <w:rFonts w:ascii="Tahoma" w:eastAsia="Calibri" w:hAnsi="Tahoma" w:cs="Tahoma"/>
          <w:i/>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4BD3A7F" w14:textId="77777777" w:rsidR="00F52E83" w:rsidRPr="00F52E83" w:rsidRDefault="00F52E83" w:rsidP="00F52E83">
      <w:pPr>
        <w:spacing w:after="0" w:line="240" w:lineRule="auto"/>
        <w:ind w:left="426" w:right="420" w:firstLine="1"/>
        <w:jc w:val="both"/>
        <w:rPr>
          <w:rFonts w:ascii="Tahoma" w:eastAsia="Calibri" w:hAnsi="Tahoma" w:cs="Tahoma"/>
          <w:i/>
        </w:rPr>
      </w:pPr>
    </w:p>
    <w:p w14:paraId="1A7A1CD0" w14:textId="77777777" w:rsidR="00F52E83" w:rsidRPr="00F52E83" w:rsidRDefault="00F52E83" w:rsidP="00F52E83">
      <w:pPr>
        <w:spacing w:after="0" w:line="240" w:lineRule="auto"/>
        <w:ind w:left="426" w:right="420" w:firstLine="1"/>
        <w:jc w:val="both"/>
        <w:rPr>
          <w:rFonts w:ascii="Tahoma" w:eastAsia="Calibri" w:hAnsi="Tahoma" w:cs="Tahoma"/>
          <w:i/>
          <w:iCs/>
        </w:rPr>
      </w:pPr>
      <w:r w:rsidRPr="00F52E83">
        <w:rPr>
          <w:rFonts w:ascii="Tahoma" w:eastAsia="Calibri" w:hAnsi="Tahoma" w:cs="Tahoma"/>
          <w:i/>
        </w:rPr>
        <w:t xml:space="preserve">Como se ha expuesto, el deber de información al momento del traslado entre regímenes, es una obligación que corresponde a las administradoras de fondos de pensiones, y </w:t>
      </w:r>
      <w:r w:rsidRPr="00F52E83">
        <w:rPr>
          <w:rFonts w:ascii="Tahoma" w:eastAsia="Calibri" w:hAnsi="Tahoma" w:cs="Tahoma"/>
          <w:i/>
          <w:iCs/>
        </w:rPr>
        <w:t xml:space="preserve">su ejercicio debe ser de tal diligencia, que permita comprender la lógica, beneficios y desventajas del cambio de régimen, así como prever los riesgos y efectos negativos de esa decisión. </w:t>
      </w:r>
    </w:p>
    <w:p w14:paraId="59B02902" w14:textId="77777777" w:rsidR="00F52E83" w:rsidRPr="00F52E83" w:rsidRDefault="00F52E83" w:rsidP="00F52E83">
      <w:pPr>
        <w:spacing w:after="0" w:line="240" w:lineRule="auto"/>
        <w:ind w:left="426" w:right="420" w:firstLine="1"/>
        <w:jc w:val="both"/>
        <w:rPr>
          <w:rFonts w:ascii="Tahoma" w:eastAsia="Calibri" w:hAnsi="Tahoma" w:cs="Tahoma"/>
          <w:i/>
          <w:iCs/>
        </w:rPr>
      </w:pPr>
    </w:p>
    <w:p w14:paraId="56221C93" w14:textId="77777777" w:rsidR="00F52E83" w:rsidRPr="00F52E83" w:rsidRDefault="00F52E83" w:rsidP="00F52E83">
      <w:pPr>
        <w:spacing w:after="0" w:line="240" w:lineRule="auto"/>
        <w:ind w:left="426" w:right="420" w:firstLine="1"/>
        <w:jc w:val="both"/>
        <w:rPr>
          <w:rFonts w:ascii="Tahoma" w:eastAsia="Calibri" w:hAnsi="Tahoma" w:cs="Tahoma"/>
          <w:i/>
          <w:iCs/>
        </w:rPr>
      </w:pPr>
      <w:r w:rsidRPr="00F52E83">
        <w:rPr>
          <w:rFonts w:ascii="Tahoma" w:eastAsia="Calibri" w:hAnsi="Tahoma" w:cs="Tahoma"/>
          <w:i/>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5AF0DFD" w14:textId="77777777" w:rsidR="00F52E83" w:rsidRPr="00F52E83" w:rsidRDefault="00F52E83" w:rsidP="00F52E83">
      <w:pPr>
        <w:spacing w:after="0" w:line="240" w:lineRule="auto"/>
        <w:ind w:left="426" w:right="420" w:firstLine="1"/>
        <w:jc w:val="both"/>
        <w:rPr>
          <w:rFonts w:ascii="Tahoma" w:eastAsia="Calibri" w:hAnsi="Tahoma" w:cs="Tahoma"/>
          <w:i/>
          <w:iCs/>
        </w:rPr>
      </w:pPr>
    </w:p>
    <w:p w14:paraId="57B893E7" w14:textId="77777777" w:rsidR="00F52E83" w:rsidRPr="00F52E83" w:rsidRDefault="00F52E83" w:rsidP="00F52E83">
      <w:pPr>
        <w:spacing w:after="0" w:line="240" w:lineRule="auto"/>
        <w:ind w:left="426" w:right="420" w:firstLine="1"/>
        <w:jc w:val="both"/>
        <w:rPr>
          <w:rFonts w:ascii="Tahoma" w:eastAsia="Calibri" w:hAnsi="Tahoma" w:cs="Tahoma"/>
          <w:i/>
          <w:iCs/>
        </w:rPr>
      </w:pPr>
      <w:r w:rsidRPr="00F52E83">
        <w:rPr>
          <w:rFonts w:ascii="Tahoma" w:eastAsia="Calibri" w:hAnsi="Tahoma" w:cs="Tahoma"/>
          <w:i/>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w:t>
      </w:r>
      <w:r w:rsidRPr="00F52E83">
        <w:rPr>
          <w:rFonts w:ascii="Tahoma" w:eastAsia="Calibri" w:hAnsi="Tahoma" w:cs="Tahoma"/>
          <w:i/>
        </w:rPr>
        <w:lastRenderedPageBreak/>
        <w:t>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F52E83">
        <w:rPr>
          <w:rFonts w:ascii="Tahoma" w:eastAsia="Calibri" w:hAnsi="Tahoma" w:cs="Tahoma"/>
          <w:i/>
        </w:rPr>
        <w:t>ii</w:t>
      </w:r>
      <w:proofErr w:type="spellEnd"/>
      <w:r w:rsidRPr="00F52E83">
        <w:rPr>
          <w:rFonts w:ascii="Tahoma" w:eastAsia="Calibri" w:hAnsi="Tahoma" w:cs="Tahoma"/>
          <w:i/>
        </w:rPr>
        <w:t>) la documentación soporte del traslado debe conservarse en los archivos del fondo, dado que (</w:t>
      </w:r>
      <w:proofErr w:type="spellStart"/>
      <w:r w:rsidRPr="00F52E83">
        <w:rPr>
          <w:rFonts w:ascii="Tahoma" w:eastAsia="Calibri" w:hAnsi="Tahoma" w:cs="Tahoma"/>
          <w:i/>
        </w:rPr>
        <w:t>iii</w:t>
      </w:r>
      <w:proofErr w:type="spellEnd"/>
      <w:r w:rsidRPr="00F52E83">
        <w:rPr>
          <w:rFonts w:ascii="Tahoma" w:eastAsia="Calibri" w:hAnsi="Tahoma" w:cs="Tahoma"/>
          <w:i/>
        </w:rPr>
        <w:t xml:space="preserve">) es esta entidad la que está obligada a observar la obligación de brindar información y, más aún, probar ante las autoridades administrativas y judiciales su pleno cumplimiento. </w:t>
      </w:r>
    </w:p>
    <w:p w14:paraId="5F0EDB75" w14:textId="77777777" w:rsidR="00F52E83" w:rsidRPr="00F52E83" w:rsidRDefault="00F52E83" w:rsidP="00F52E83">
      <w:pPr>
        <w:spacing w:after="0" w:line="240" w:lineRule="auto"/>
        <w:ind w:left="426" w:right="420" w:firstLine="1"/>
        <w:jc w:val="both"/>
        <w:rPr>
          <w:rFonts w:ascii="Tahoma" w:eastAsia="Calibri" w:hAnsi="Tahoma" w:cs="Tahoma"/>
          <w:i/>
          <w:iCs/>
        </w:rPr>
      </w:pPr>
    </w:p>
    <w:p w14:paraId="58060FD6" w14:textId="77777777" w:rsidR="00F52E83" w:rsidRPr="00F52E83" w:rsidRDefault="00F52E83" w:rsidP="00F52E83">
      <w:pPr>
        <w:spacing w:after="0" w:line="240" w:lineRule="auto"/>
        <w:ind w:left="426" w:right="420" w:firstLine="1"/>
        <w:jc w:val="both"/>
        <w:rPr>
          <w:rFonts w:ascii="Tahoma" w:eastAsia="Calibri" w:hAnsi="Tahoma" w:cs="Tahoma"/>
        </w:rPr>
      </w:pPr>
      <w:r w:rsidRPr="00F52E83">
        <w:rPr>
          <w:rFonts w:ascii="Tahoma" w:eastAsia="Calibri" w:hAnsi="Tahoma" w:cs="Tahoma"/>
          <w:i/>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F52E83">
        <w:rPr>
          <w:rFonts w:ascii="Tahoma" w:eastAsia="Calibri" w:hAnsi="Tahoma" w:cs="Tahoma"/>
        </w:rPr>
        <w:t xml:space="preserve"> </w:t>
      </w:r>
    </w:p>
    <w:p w14:paraId="43A7B16D" w14:textId="2DB957BD" w:rsidR="42DC33F9" w:rsidRPr="00651E5D" w:rsidRDefault="42DC33F9" w:rsidP="00651E5D">
      <w:pPr>
        <w:spacing w:after="0" w:line="276" w:lineRule="auto"/>
        <w:rPr>
          <w:rFonts w:ascii="Tahoma" w:eastAsia="Tahoma" w:hAnsi="Tahoma" w:cs="Tahoma"/>
          <w:color w:val="000000" w:themeColor="text1"/>
          <w:sz w:val="24"/>
          <w:szCs w:val="24"/>
          <w:lang w:val="es-CO"/>
        </w:rPr>
      </w:pPr>
    </w:p>
    <w:p w14:paraId="78EF2370" w14:textId="1EE1A4F9" w:rsidR="42DC33F9" w:rsidRPr="00651E5D" w:rsidRDefault="42DC33F9" w:rsidP="00651E5D">
      <w:pPr>
        <w:spacing w:after="0" w:line="276" w:lineRule="auto"/>
        <w:jc w:val="both"/>
        <w:rPr>
          <w:rFonts w:ascii="Tahoma" w:eastAsia="Tahoma" w:hAnsi="Tahoma" w:cs="Tahoma"/>
          <w:color w:val="000000" w:themeColor="text1"/>
          <w:sz w:val="24"/>
          <w:szCs w:val="24"/>
          <w:lang w:val="es-CO"/>
        </w:rPr>
      </w:pPr>
      <w:r w:rsidRPr="00651E5D">
        <w:rPr>
          <w:rStyle w:val="normaltextrun"/>
          <w:rFonts w:ascii="Tahoma" w:eastAsia="Tahoma" w:hAnsi="Tahoma" w:cs="Tahoma"/>
          <w:b/>
          <w:bCs/>
          <w:color w:val="000000" w:themeColor="text1"/>
          <w:sz w:val="24"/>
          <w:szCs w:val="24"/>
          <w:lang w:val="es-CO"/>
        </w:rPr>
        <w:t>6.6. Consecuencias de la declaratoria de ineficacia del traslado: Devolución de las cuotas de administración y de otros valores debidamente indexados</w:t>
      </w:r>
      <w:r w:rsidRPr="00651E5D">
        <w:rPr>
          <w:rStyle w:val="eop"/>
          <w:rFonts w:ascii="Tahoma" w:eastAsia="Tahoma" w:hAnsi="Tahoma" w:cs="Tahoma"/>
          <w:color w:val="000000" w:themeColor="text1"/>
          <w:sz w:val="24"/>
          <w:szCs w:val="24"/>
          <w:lang w:val="es-CO"/>
        </w:rPr>
        <w:t> </w:t>
      </w:r>
    </w:p>
    <w:p w14:paraId="35BA20B7" w14:textId="6B84FF01" w:rsidR="42DC33F9" w:rsidRPr="00651E5D" w:rsidRDefault="42DC33F9" w:rsidP="00651E5D">
      <w:pPr>
        <w:spacing w:after="0" w:line="276" w:lineRule="auto"/>
        <w:ind w:left="720"/>
        <w:rPr>
          <w:rFonts w:ascii="Tahoma" w:eastAsia="Tahoma" w:hAnsi="Tahoma" w:cs="Tahoma"/>
          <w:color w:val="000000" w:themeColor="text1"/>
          <w:sz w:val="24"/>
          <w:szCs w:val="24"/>
          <w:lang w:val="es-CO"/>
        </w:rPr>
      </w:pPr>
    </w:p>
    <w:p w14:paraId="11965060" w14:textId="77777777" w:rsidR="004F734E" w:rsidRPr="004F734E" w:rsidRDefault="004F734E" w:rsidP="004F734E">
      <w:pPr>
        <w:widowControl w:val="0"/>
        <w:tabs>
          <w:tab w:val="left" w:pos="567"/>
        </w:tabs>
        <w:autoSpaceDE w:val="0"/>
        <w:autoSpaceDN w:val="0"/>
        <w:adjustRightInd w:val="0"/>
        <w:spacing w:after="0" w:line="276" w:lineRule="auto"/>
        <w:ind w:firstLine="284"/>
        <w:jc w:val="both"/>
        <w:rPr>
          <w:rFonts w:ascii="Tahoma" w:eastAsia="Century Gothic" w:hAnsi="Tahoma" w:cs="Tahoma"/>
          <w:sz w:val="24"/>
          <w:szCs w:val="24"/>
          <w:lang w:val="es-CO"/>
        </w:rPr>
      </w:pPr>
      <w:r w:rsidRPr="004F734E">
        <w:rPr>
          <w:rFonts w:ascii="Tahoma" w:eastAsia="Century Gothic" w:hAnsi="Tahoma" w:cs="Tahoma"/>
          <w:sz w:val="24"/>
          <w:szCs w:val="24"/>
          <w:lang w:val="es-CO"/>
        </w:rPr>
        <w:t xml:space="preserve">En la sentencia SL1421 de 2019, Rad. 56174, M.P. Gerardo Botero Zuluaga, cuando se declaró la ineficacia del traslado, se dijo que una de las consecuencias de tal situación </w:t>
      </w:r>
      <w:r w:rsidRPr="004F734E">
        <w:rPr>
          <w:rFonts w:ascii="Tahoma" w:eastAsia="Century Gothic" w:hAnsi="Tahoma" w:cs="Tahoma"/>
          <w:bCs/>
          <w:sz w:val="24"/>
          <w:szCs w:val="24"/>
          <w:lang w:val="es-CO"/>
        </w:rPr>
        <w:t>era</w:t>
      </w:r>
      <w:r w:rsidRPr="004F734E">
        <w:rPr>
          <w:rFonts w:ascii="Tahoma" w:eastAsia="Century Gothic" w:hAnsi="Tahoma" w:cs="Tahoma"/>
          <w:sz w:val="24"/>
          <w:szCs w:val="24"/>
          <w:lang w:val="es-CO"/>
        </w:rPr>
        <w:t xml:space="preserve"> la devolución de las cuotas de administración a cargo de la AFP, tema que se planteó en los siguientes términos: </w:t>
      </w:r>
    </w:p>
    <w:p w14:paraId="4E962201" w14:textId="77777777" w:rsidR="004F734E" w:rsidRPr="004F734E" w:rsidRDefault="004F734E" w:rsidP="004F734E">
      <w:pPr>
        <w:spacing w:after="200" w:line="276" w:lineRule="auto"/>
        <w:ind w:left="644"/>
        <w:contextualSpacing/>
        <w:rPr>
          <w:rFonts w:ascii="Tahoma" w:eastAsia="Century Gothic" w:hAnsi="Tahoma" w:cs="Tahoma"/>
          <w:sz w:val="24"/>
          <w:szCs w:val="24"/>
          <w:lang w:val="es-CO"/>
        </w:rPr>
      </w:pPr>
    </w:p>
    <w:p w14:paraId="70A363DE" w14:textId="77777777" w:rsidR="004F734E" w:rsidRPr="004F734E" w:rsidRDefault="004F734E" w:rsidP="004F734E">
      <w:pPr>
        <w:tabs>
          <w:tab w:val="left" w:pos="5180"/>
        </w:tabs>
        <w:suppressAutoHyphens/>
        <w:spacing w:after="0" w:line="240" w:lineRule="auto"/>
        <w:ind w:left="426" w:right="420"/>
        <w:contextualSpacing/>
        <w:jc w:val="both"/>
        <w:rPr>
          <w:rFonts w:ascii="Tahoma" w:eastAsia="Calibri" w:hAnsi="Tahoma" w:cs="Tahoma"/>
          <w:i/>
          <w:szCs w:val="24"/>
        </w:rPr>
      </w:pPr>
      <w:r w:rsidRPr="004F734E">
        <w:rPr>
          <w:rFonts w:ascii="Tahoma" w:eastAsia="Calibri" w:hAnsi="Tahoma" w:cs="Tahoma"/>
          <w:i/>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73B1DE1" w14:textId="77777777" w:rsidR="004F734E" w:rsidRPr="004F734E" w:rsidRDefault="004F734E" w:rsidP="004F734E">
      <w:pPr>
        <w:tabs>
          <w:tab w:val="left" w:pos="5180"/>
        </w:tabs>
        <w:suppressAutoHyphens/>
        <w:spacing w:after="0" w:line="240" w:lineRule="auto"/>
        <w:ind w:left="426" w:right="420"/>
        <w:contextualSpacing/>
        <w:rPr>
          <w:rFonts w:ascii="Tahoma" w:eastAsia="Times New Roman" w:hAnsi="Tahoma" w:cs="Tahoma"/>
          <w:color w:val="000000"/>
          <w:szCs w:val="24"/>
          <w:lang w:eastAsia="es-ES"/>
        </w:rPr>
      </w:pPr>
    </w:p>
    <w:p w14:paraId="41F61FAC" w14:textId="77777777" w:rsidR="004F734E" w:rsidRPr="004F734E" w:rsidRDefault="004F734E" w:rsidP="004F734E">
      <w:pPr>
        <w:tabs>
          <w:tab w:val="left" w:pos="5180"/>
        </w:tabs>
        <w:suppressAutoHyphens/>
        <w:spacing w:after="0" w:line="240" w:lineRule="auto"/>
        <w:ind w:left="426" w:right="420"/>
        <w:contextualSpacing/>
        <w:jc w:val="both"/>
        <w:rPr>
          <w:rFonts w:ascii="Tahoma" w:eastAsia="Calibri" w:hAnsi="Tahoma" w:cs="Tahoma"/>
          <w:i/>
          <w:szCs w:val="24"/>
        </w:rPr>
      </w:pPr>
      <w:r w:rsidRPr="004F734E">
        <w:rPr>
          <w:rFonts w:ascii="Tahoma" w:eastAsia="Calibri" w:hAnsi="Tahoma" w:cs="Tahoma"/>
          <w:i/>
          <w:szCs w:val="24"/>
        </w:rPr>
        <w:t>Sobre las consecuencias de la nulidad del traslado entre regímenes esta Sala en sentencia SL, del 8 de sep. 2008, rad. 31989, reiterada en varias oportunidades, adoctrinó: […]</w:t>
      </w:r>
    </w:p>
    <w:p w14:paraId="1A29E8A5" w14:textId="77777777" w:rsidR="004F734E" w:rsidRPr="004F734E" w:rsidRDefault="004F734E" w:rsidP="004F734E">
      <w:pPr>
        <w:tabs>
          <w:tab w:val="left" w:pos="5180"/>
        </w:tabs>
        <w:suppressAutoHyphens/>
        <w:spacing w:after="0" w:line="240" w:lineRule="auto"/>
        <w:ind w:left="426" w:right="420"/>
        <w:contextualSpacing/>
        <w:jc w:val="both"/>
        <w:rPr>
          <w:rFonts w:ascii="Tahoma" w:eastAsia="Calibri" w:hAnsi="Tahoma" w:cs="Tahoma"/>
          <w:i/>
          <w:szCs w:val="24"/>
        </w:rPr>
      </w:pPr>
    </w:p>
    <w:p w14:paraId="54CECFA4" w14:textId="77777777" w:rsidR="004F734E" w:rsidRPr="004F734E" w:rsidRDefault="004F734E" w:rsidP="004F734E">
      <w:pPr>
        <w:tabs>
          <w:tab w:val="left" w:pos="5180"/>
        </w:tabs>
        <w:suppressAutoHyphens/>
        <w:spacing w:after="0" w:line="240" w:lineRule="auto"/>
        <w:ind w:left="426" w:right="420"/>
        <w:contextualSpacing/>
        <w:jc w:val="both"/>
        <w:rPr>
          <w:rFonts w:ascii="Tahoma" w:eastAsia="Calibri" w:hAnsi="Tahoma" w:cs="Tahoma"/>
          <w:i/>
          <w:szCs w:val="24"/>
        </w:rPr>
      </w:pPr>
      <w:r w:rsidRPr="004F734E">
        <w:rPr>
          <w:rFonts w:ascii="Tahoma" w:eastAsia="Calibri" w:hAnsi="Tahoma" w:cs="Tahoma"/>
          <w:i/>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D00AE48" w14:textId="77777777" w:rsidR="004F734E" w:rsidRPr="004F734E" w:rsidRDefault="004F734E" w:rsidP="004F734E">
      <w:pPr>
        <w:tabs>
          <w:tab w:val="left" w:pos="5180"/>
        </w:tabs>
        <w:suppressAutoHyphens/>
        <w:spacing w:after="0" w:line="240" w:lineRule="auto"/>
        <w:ind w:left="426" w:right="420"/>
        <w:contextualSpacing/>
        <w:jc w:val="both"/>
        <w:rPr>
          <w:rFonts w:ascii="Tahoma" w:eastAsia="Calibri" w:hAnsi="Tahoma" w:cs="Tahoma"/>
          <w:i/>
          <w:szCs w:val="24"/>
        </w:rPr>
      </w:pPr>
    </w:p>
    <w:p w14:paraId="3E2AC29E" w14:textId="77777777" w:rsidR="004F734E" w:rsidRPr="004F734E" w:rsidRDefault="004F734E" w:rsidP="004F734E">
      <w:pPr>
        <w:tabs>
          <w:tab w:val="left" w:pos="5180"/>
        </w:tabs>
        <w:suppressAutoHyphens/>
        <w:spacing w:after="0" w:line="240" w:lineRule="auto"/>
        <w:ind w:left="426" w:right="420"/>
        <w:contextualSpacing/>
        <w:jc w:val="both"/>
        <w:rPr>
          <w:rFonts w:ascii="Tahoma" w:eastAsia="Calibri" w:hAnsi="Tahoma" w:cs="Tahoma"/>
          <w:i/>
          <w:szCs w:val="24"/>
        </w:rPr>
      </w:pPr>
      <w:r w:rsidRPr="004F734E">
        <w:rPr>
          <w:rFonts w:ascii="Tahoma" w:eastAsia="Calibri" w:hAnsi="Tahoma" w:cs="Tahoma"/>
          <w:i/>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645610D" w14:textId="5C49CD36" w:rsidR="42DC33F9" w:rsidRPr="00651E5D" w:rsidRDefault="42DC33F9" w:rsidP="00651E5D">
      <w:pPr>
        <w:spacing w:after="0" w:line="276" w:lineRule="auto"/>
        <w:ind w:firstLine="708"/>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 xml:space="preserve">  </w:t>
      </w:r>
    </w:p>
    <w:p w14:paraId="4D9983C9" w14:textId="77777777" w:rsidR="004F734E" w:rsidRPr="004F734E" w:rsidRDefault="004F734E" w:rsidP="004F734E">
      <w:pPr>
        <w:widowControl w:val="0"/>
        <w:tabs>
          <w:tab w:val="left" w:pos="567"/>
        </w:tabs>
        <w:autoSpaceDE w:val="0"/>
        <w:autoSpaceDN w:val="0"/>
        <w:adjustRightInd w:val="0"/>
        <w:spacing w:after="0" w:line="276" w:lineRule="auto"/>
        <w:ind w:firstLine="284"/>
        <w:jc w:val="both"/>
        <w:rPr>
          <w:rFonts w:ascii="Tahoma" w:eastAsia="Century Gothic" w:hAnsi="Tahoma" w:cs="Tahoma"/>
          <w:sz w:val="24"/>
          <w:szCs w:val="24"/>
          <w:lang w:val="es-CO"/>
        </w:rPr>
      </w:pPr>
      <w:r w:rsidRPr="004F734E">
        <w:rPr>
          <w:rFonts w:ascii="Tahoma" w:eastAsia="Century Gothic" w:hAnsi="Tahoma" w:cs="Tahoma"/>
          <w:sz w:val="24"/>
          <w:szCs w:val="24"/>
          <w:lang w:val="es-CO"/>
        </w:rPr>
        <w:t xml:space="preserve">Dicha postura fue reiterada en la sentencia SL 2611 del 1° de julio de 2020, también con Ponencia del Dr. GERARDO BOTERO ZULUAGA en la que se reafirma </w:t>
      </w:r>
      <w:proofErr w:type="gramStart"/>
      <w:r w:rsidRPr="004F734E">
        <w:rPr>
          <w:rFonts w:ascii="Tahoma" w:eastAsia="Century Gothic" w:hAnsi="Tahoma" w:cs="Tahoma"/>
          <w:sz w:val="24"/>
          <w:szCs w:val="24"/>
          <w:lang w:val="es-CO"/>
        </w:rPr>
        <w:t>que</w:t>
      </w:r>
      <w:proofErr w:type="gramEnd"/>
      <w:r w:rsidRPr="004F734E">
        <w:rPr>
          <w:rFonts w:ascii="Tahoma" w:eastAsia="Century Gothic" w:hAnsi="Tahoma" w:cs="Tahoma"/>
          <w:sz w:val="24"/>
          <w:szCs w:val="24"/>
          <w:lang w:val="es-CO"/>
        </w:rPr>
        <w:t xml:space="preserve"> por cuenta de la ineficacia, las cosas deben retrotraerse al estado en que se encontraban antes de ocurrir el traslado de régimen. Dijo la sentencia: </w:t>
      </w:r>
    </w:p>
    <w:p w14:paraId="1561A6A4" w14:textId="77777777" w:rsidR="004F734E" w:rsidRPr="004F734E" w:rsidRDefault="004F734E" w:rsidP="004F734E">
      <w:pPr>
        <w:widowControl w:val="0"/>
        <w:autoSpaceDE w:val="0"/>
        <w:autoSpaceDN w:val="0"/>
        <w:adjustRightInd w:val="0"/>
        <w:spacing w:after="0" w:line="276" w:lineRule="auto"/>
        <w:ind w:firstLine="737"/>
        <w:jc w:val="both"/>
        <w:rPr>
          <w:rFonts w:ascii="Tahoma" w:eastAsia="Century Gothic" w:hAnsi="Tahoma" w:cs="Tahoma"/>
          <w:sz w:val="24"/>
          <w:szCs w:val="24"/>
          <w:lang w:val="es-CO"/>
        </w:rPr>
      </w:pPr>
    </w:p>
    <w:p w14:paraId="5E429547" w14:textId="77777777" w:rsidR="004F734E" w:rsidRPr="004F734E" w:rsidRDefault="004F734E" w:rsidP="004F734E">
      <w:pPr>
        <w:tabs>
          <w:tab w:val="left" w:pos="5180"/>
        </w:tabs>
        <w:suppressAutoHyphens/>
        <w:spacing w:after="0" w:line="240" w:lineRule="auto"/>
        <w:ind w:left="426" w:right="420"/>
        <w:contextualSpacing/>
        <w:jc w:val="both"/>
        <w:rPr>
          <w:rFonts w:ascii="Tahoma" w:eastAsia="Calibri" w:hAnsi="Tahoma" w:cs="Tahoma"/>
          <w:i/>
          <w:szCs w:val="24"/>
        </w:rPr>
      </w:pPr>
      <w:r w:rsidRPr="004F734E">
        <w:rPr>
          <w:rFonts w:ascii="Tahoma" w:eastAsia="Calibri" w:hAnsi="Tahoma" w:cs="Tahoma"/>
          <w:i/>
          <w:szCs w:val="24"/>
        </w:rPr>
        <w:lastRenderedPageBreak/>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72CF4731" w14:textId="6FF7E562" w:rsidR="42DC33F9" w:rsidRPr="00651E5D" w:rsidRDefault="42DC33F9" w:rsidP="00651E5D">
      <w:pPr>
        <w:spacing w:after="0" w:line="276" w:lineRule="auto"/>
        <w:rPr>
          <w:rFonts w:ascii="Tahoma" w:eastAsia="Calibri" w:hAnsi="Tahoma" w:cs="Tahoma"/>
          <w:color w:val="000000" w:themeColor="text1"/>
          <w:sz w:val="24"/>
          <w:szCs w:val="24"/>
          <w:lang w:val="es-CO"/>
        </w:rPr>
      </w:pPr>
    </w:p>
    <w:p w14:paraId="0EBDE736" w14:textId="226D222D" w:rsidR="42DC33F9" w:rsidRPr="00651E5D" w:rsidRDefault="42DC33F9" w:rsidP="00EE6476">
      <w:pPr>
        <w:spacing w:after="0" w:line="276" w:lineRule="auto"/>
        <w:ind w:firstLine="705"/>
        <w:jc w:val="both"/>
        <w:rPr>
          <w:rFonts w:ascii="Tahoma" w:eastAsia="Tahoma" w:hAnsi="Tahoma" w:cs="Tahoma"/>
          <w:color w:val="000000" w:themeColor="text1"/>
          <w:sz w:val="24"/>
          <w:szCs w:val="24"/>
          <w:lang w:val="es-CO"/>
        </w:rPr>
      </w:pPr>
      <w:r w:rsidRPr="00651E5D">
        <w:rPr>
          <w:rStyle w:val="normaltextrun"/>
          <w:rFonts w:ascii="Tahoma" w:eastAsia="Tahoma" w:hAnsi="Tahoma" w:cs="Tahoma"/>
          <w:color w:val="000000" w:themeColor="text1"/>
          <w:sz w:val="24"/>
          <w:szCs w:val="24"/>
        </w:rPr>
        <w:t>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r w:rsidRPr="00651E5D">
        <w:rPr>
          <w:rStyle w:val="eop"/>
          <w:rFonts w:ascii="Tahoma" w:eastAsia="Tahoma" w:hAnsi="Tahoma" w:cs="Tahoma"/>
          <w:color w:val="000000" w:themeColor="text1"/>
          <w:sz w:val="24"/>
          <w:szCs w:val="24"/>
          <w:lang w:val="es-CO"/>
        </w:rPr>
        <w:t> </w:t>
      </w:r>
    </w:p>
    <w:p w14:paraId="7532E49F" w14:textId="54239BDE" w:rsidR="42DC33F9" w:rsidRPr="00651E5D" w:rsidRDefault="42DC33F9" w:rsidP="00EE6476">
      <w:pPr>
        <w:spacing w:after="0" w:line="276" w:lineRule="auto"/>
        <w:jc w:val="both"/>
        <w:rPr>
          <w:rFonts w:ascii="Tahoma" w:eastAsia="Segoe UI" w:hAnsi="Tahoma" w:cs="Tahoma"/>
          <w:color w:val="000000" w:themeColor="text1"/>
          <w:sz w:val="24"/>
          <w:szCs w:val="24"/>
          <w:lang w:val="es-CO"/>
        </w:rPr>
      </w:pPr>
    </w:p>
    <w:p w14:paraId="3A6D9752" w14:textId="4C8BF710" w:rsidR="42DC33F9" w:rsidRPr="00651E5D" w:rsidRDefault="42DC33F9" w:rsidP="00EE6476">
      <w:pPr>
        <w:spacing w:after="0" w:line="276" w:lineRule="auto"/>
        <w:ind w:firstLine="705"/>
        <w:jc w:val="both"/>
        <w:rPr>
          <w:rFonts w:ascii="Tahoma" w:eastAsia="Tahoma" w:hAnsi="Tahoma" w:cs="Tahoma"/>
          <w:color w:val="000000" w:themeColor="text1"/>
          <w:sz w:val="24"/>
          <w:szCs w:val="24"/>
          <w:lang w:val="es-CO"/>
        </w:rPr>
      </w:pPr>
      <w:r w:rsidRPr="00651E5D">
        <w:rPr>
          <w:rStyle w:val="normaltextrun"/>
          <w:rFonts w:ascii="Tahoma" w:eastAsia="Tahoma" w:hAnsi="Tahoma" w:cs="Tahoma"/>
          <w:color w:val="000000" w:themeColor="text1"/>
          <w:sz w:val="24"/>
          <w:szCs w:val="24"/>
        </w:rPr>
        <w:t>Finalmente, los últimos problemas jurídicos se analizarán al evaluar el acervo probatorio del caso concreto, esto es, se estudiará si quedó probado en el proceso que la parte demandante recibió de parte de las </w:t>
      </w:r>
      <w:proofErr w:type="spellStart"/>
      <w:r w:rsidRPr="00651E5D">
        <w:rPr>
          <w:rStyle w:val="normaltextrun"/>
          <w:rFonts w:ascii="Tahoma" w:eastAsia="Tahoma" w:hAnsi="Tahoma" w:cs="Tahoma"/>
          <w:color w:val="000000" w:themeColor="text1"/>
          <w:sz w:val="24"/>
          <w:szCs w:val="24"/>
        </w:rPr>
        <w:t>AFP´s</w:t>
      </w:r>
      <w:proofErr w:type="spellEnd"/>
      <w:r w:rsidRPr="00651E5D">
        <w:rPr>
          <w:rStyle w:val="normaltextrun"/>
          <w:rFonts w:ascii="Tahoma" w:eastAsia="Tahoma" w:hAnsi="Tahoma" w:cs="Tahoma"/>
          <w:color w:val="000000" w:themeColor="text1"/>
          <w:sz w:val="24"/>
          <w:szCs w:val="24"/>
        </w:rPr>
        <w:t> demandadas la asesoría e información suficiente y necesaria para hacer el cambio de régimen.</w:t>
      </w:r>
    </w:p>
    <w:p w14:paraId="044FC6C6" w14:textId="41893271" w:rsidR="662FBE6C" w:rsidRPr="00651E5D" w:rsidRDefault="662FBE6C" w:rsidP="00651E5D">
      <w:pPr>
        <w:spacing w:after="0" w:line="276" w:lineRule="auto"/>
        <w:ind w:firstLine="705"/>
        <w:jc w:val="both"/>
        <w:rPr>
          <w:rFonts w:ascii="Tahoma" w:eastAsia="Tahoma" w:hAnsi="Tahoma" w:cs="Tahoma"/>
          <w:color w:val="000000" w:themeColor="text1"/>
          <w:sz w:val="24"/>
          <w:szCs w:val="24"/>
          <w:lang w:val="es-CO"/>
        </w:rPr>
      </w:pPr>
    </w:p>
    <w:p w14:paraId="230069A6" w14:textId="54B8FB5C" w:rsidR="30F68D23" w:rsidRPr="00651E5D" w:rsidRDefault="30F68D23" w:rsidP="00651E5D">
      <w:pPr>
        <w:spacing w:after="0" w:line="276" w:lineRule="auto"/>
        <w:jc w:val="both"/>
        <w:rPr>
          <w:rFonts w:ascii="Tahoma" w:hAnsi="Tahoma" w:cs="Tahoma"/>
          <w:sz w:val="24"/>
          <w:szCs w:val="24"/>
        </w:rPr>
      </w:pPr>
      <w:r w:rsidRPr="00651E5D">
        <w:rPr>
          <w:rFonts w:ascii="Tahoma" w:eastAsia="Tahoma" w:hAnsi="Tahoma" w:cs="Tahoma"/>
          <w:b/>
          <w:bCs/>
          <w:color w:val="000000" w:themeColor="text1"/>
          <w:sz w:val="24"/>
          <w:szCs w:val="24"/>
          <w:lang w:val="es-CO"/>
        </w:rPr>
        <w:t>6.7. Caso concreto</w:t>
      </w:r>
    </w:p>
    <w:p w14:paraId="7FCD34A5" w14:textId="6C41C767" w:rsidR="30F68D23" w:rsidRPr="00651E5D" w:rsidRDefault="30F68D23" w:rsidP="00651E5D">
      <w:pPr>
        <w:spacing w:after="0" w:line="276" w:lineRule="auto"/>
        <w:jc w:val="center"/>
        <w:rPr>
          <w:rFonts w:ascii="Tahoma" w:hAnsi="Tahoma" w:cs="Tahoma"/>
          <w:sz w:val="24"/>
          <w:szCs w:val="24"/>
        </w:rPr>
      </w:pPr>
      <w:r w:rsidRPr="00651E5D">
        <w:rPr>
          <w:rFonts w:ascii="Tahoma" w:eastAsia="Tahoma" w:hAnsi="Tahoma" w:cs="Tahoma"/>
          <w:b/>
          <w:bCs/>
          <w:color w:val="000000" w:themeColor="text1"/>
          <w:sz w:val="24"/>
          <w:szCs w:val="24"/>
          <w:lang w:val="es-CO"/>
        </w:rPr>
        <w:t xml:space="preserve"> </w:t>
      </w:r>
    </w:p>
    <w:p w14:paraId="2EB2642B" w14:textId="283451E9" w:rsidR="30F68D23" w:rsidRPr="00651E5D" w:rsidRDefault="30F68D23" w:rsidP="00651E5D">
      <w:pPr>
        <w:spacing w:after="0" w:line="276" w:lineRule="auto"/>
        <w:ind w:firstLine="630"/>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 </w:t>
      </w:r>
    </w:p>
    <w:p w14:paraId="23448011" w14:textId="7EF9CC0B" w:rsidR="30F68D23" w:rsidRPr="00651E5D" w:rsidRDefault="30F68D23" w:rsidP="00651E5D">
      <w:pPr>
        <w:spacing w:after="0" w:line="276" w:lineRule="auto"/>
        <w:ind w:firstLine="630"/>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47B38770" w14:textId="06638932" w:rsidR="30F68D23" w:rsidRPr="00651E5D" w:rsidRDefault="30F68D23" w:rsidP="00651E5D">
      <w:pPr>
        <w:spacing w:after="0" w:line="276" w:lineRule="auto"/>
        <w:ind w:firstLine="630"/>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De conformidad con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 </w:t>
      </w:r>
    </w:p>
    <w:p w14:paraId="508F9EC6" w14:textId="5852E088" w:rsidR="30F68D23" w:rsidRPr="00651E5D" w:rsidRDefault="30F68D23" w:rsidP="00651E5D">
      <w:pPr>
        <w:spacing w:after="0" w:line="276" w:lineRule="auto"/>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00A9167E" w14:textId="39B0ACA7" w:rsidR="30F68D23" w:rsidRPr="00651E5D" w:rsidRDefault="30F68D23" w:rsidP="00651E5D">
      <w:pPr>
        <w:spacing w:after="0" w:line="276" w:lineRule="auto"/>
        <w:ind w:firstLine="630"/>
        <w:jc w:val="both"/>
        <w:rPr>
          <w:rFonts w:ascii="Tahoma" w:hAnsi="Tahoma" w:cs="Tahoma"/>
          <w:sz w:val="24"/>
          <w:szCs w:val="24"/>
        </w:rPr>
      </w:pPr>
      <w:r w:rsidRPr="00651E5D">
        <w:rPr>
          <w:rFonts w:ascii="Tahoma" w:eastAsia="Tahoma" w:hAnsi="Tahoma" w:cs="Tahoma"/>
          <w:color w:val="000000" w:themeColor="text1"/>
          <w:sz w:val="24"/>
          <w:szCs w:val="24"/>
          <w:lang w:val="es-CO"/>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651E5D">
        <w:rPr>
          <w:rFonts w:ascii="Tahoma" w:eastAsia="Tahoma" w:hAnsi="Tahoma" w:cs="Tahoma"/>
          <w:b/>
          <w:bCs/>
          <w:color w:val="000000" w:themeColor="text1"/>
          <w:sz w:val="24"/>
          <w:szCs w:val="24"/>
          <w:lang w:val="es-CO"/>
        </w:rPr>
        <w:t>, acreditar haber transmitido a la parte actora la información concreta y cierta, acerca de la implicación del traslado de régimen pensional.</w:t>
      </w:r>
      <w:r w:rsidRPr="00651E5D">
        <w:rPr>
          <w:rFonts w:ascii="Tahoma" w:eastAsia="Tahoma" w:hAnsi="Tahoma" w:cs="Tahoma"/>
          <w:color w:val="000000" w:themeColor="text1"/>
          <w:sz w:val="24"/>
          <w:szCs w:val="24"/>
          <w:lang w:val="es-CO"/>
        </w:rPr>
        <w:t xml:space="preserve"> </w:t>
      </w:r>
    </w:p>
    <w:p w14:paraId="5C2C3FBC" w14:textId="66F487FC" w:rsidR="30F68D23" w:rsidRPr="00651E5D" w:rsidRDefault="30F68D23" w:rsidP="00651E5D">
      <w:pPr>
        <w:spacing w:after="0" w:line="276" w:lineRule="auto"/>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2AB5E7C2" w14:textId="5EDD050A" w:rsidR="30F68D23" w:rsidRPr="00651E5D" w:rsidRDefault="30F68D23" w:rsidP="00651E5D">
      <w:pPr>
        <w:spacing w:after="0" w:line="276" w:lineRule="auto"/>
        <w:ind w:firstLine="630"/>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En realidad, mínimo la AFP tendría que haber dado la siguiente información: </w:t>
      </w:r>
      <w:r w:rsidRPr="00651E5D">
        <w:rPr>
          <w:rFonts w:ascii="Tahoma" w:eastAsia="Tahoma" w:hAnsi="Tahoma" w:cs="Tahoma"/>
          <w:i/>
          <w:iCs/>
          <w:color w:val="000000" w:themeColor="text1"/>
          <w:sz w:val="24"/>
          <w:szCs w:val="24"/>
          <w:lang w:val="es-CO"/>
        </w:rPr>
        <w:t xml:space="preserve">i) </w:t>
      </w:r>
      <w:r w:rsidRPr="00651E5D">
        <w:rPr>
          <w:rFonts w:ascii="Tahoma" w:eastAsia="Tahoma" w:hAnsi="Tahoma" w:cs="Tahoma"/>
          <w:color w:val="000000" w:themeColor="text1"/>
          <w:sz w:val="24"/>
          <w:szCs w:val="24"/>
          <w:lang w:val="es-CO"/>
        </w:rPr>
        <w:t xml:space="preserve">Que, dependiendo del capital, puede pensionarse anticipadamente, esto es, antes de la edad mínima para la pensión de vejez. </w:t>
      </w:r>
      <w:proofErr w:type="spellStart"/>
      <w:r w:rsidRPr="00651E5D">
        <w:rPr>
          <w:rFonts w:ascii="Tahoma" w:eastAsia="Tahoma" w:hAnsi="Tahoma" w:cs="Tahoma"/>
          <w:i/>
          <w:iCs/>
          <w:color w:val="000000" w:themeColor="text1"/>
          <w:sz w:val="24"/>
          <w:szCs w:val="24"/>
          <w:lang w:val="es-CO"/>
        </w:rPr>
        <w:t>ii</w:t>
      </w:r>
      <w:proofErr w:type="spellEnd"/>
      <w:r w:rsidRPr="00651E5D">
        <w:rPr>
          <w:rFonts w:ascii="Tahoma" w:eastAsia="Tahoma" w:hAnsi="Tahoma" w:cs="Tahoma"/>
          <w:i/>
          <w:iCs/>
          <w:color w:val="000000" w:themeColor="text1"/>
          <w:sz w:val="24"/>
          <w:szCs w:val="24"/>
          <w:lang w:val="es-CO"/>
        </w:rPr>
        <w:t xml:space="preserve">) </w:t>
      </w:r>
      <w:r w:rsidRPr="00651E5D">
        <w:rPr>
          <w:rFonts w:ascii="Tahoma" w:eastAsia="Tahoma" w:hAnsi="Tahoma" w:cs="Tahoma"/>
          <w:color w:val="000000" w:themeColor="text1"/>
          <w:sz w:val="24"/>
          <w:szCs w:val="24"/>
          <w:lang w:val="es-CO"/>
        </w:rPr>
        <w:t xml:space="preserve">La posibilidad para sus herederos de </w:t>
      </w:r>
      <w:r w:rsidRPr="00651E5D">
        <w:rPr>
          <w:rFonts w:ascii="Tahoma" w:eastAsia="Tahoma" w:hAnsi="Tahoma" w:cs="Tahoma"/>
          <w:color w:val="000000" w:themeColor="text1"/>
          <w:sz w:val="24"/>
          <w:szCs w:val="24"/>
          <w:lang w:val="es-CO"/>
        </w:rPr>
        <w:lastRenderedPageBreak/>
        <w:t xml:space="preserve">hacerse a la devolución de saldos, en caso de que no existieran beneficiaros para la pensión de sobrevivientes. </w:t>
      </w:r>
      <w:proofErr w:type="spellStart"/>
      <w:r w:rsidRPr="00651E5D">
        <w:rPr>
          <w:rFonts w:ascii="Tahoma" w:eastAsia="Tahoma" w:hAnsi="Tahoma" w:cs="Tahoma"/>
          <w:i/>
          <w:iCs/>
          <w:color w:val="000000" w:themeColor="text1"/>
          <w:sz w:val="24"/>
          <w:szCs w:val="24"/>
          <w:lang w:val="es-CO"/>
        </w:rPr>
        <w:t>iii</w:t>
      </w:r>
      <w:proofErr w:type="spellEnd"/>
      <w:r w:rsidRPr="00651E5D">
        <w:rPr>
          <w:rFonts w:ascii="Tahoma" w:eastAsia="Tahoma" w:hAnsi="Tahoma" w:cs="Tahoma"/>
          <w:i/>
          <w:iCs/>
          <w:color w:val="000000" w:themeColor="text1"/>
          <w:sz w:val="24"/>
          <w:szCs w:val="24"/>
          <w:lang w:val="es-CO"/>
        </w:rPr>
        <w:t xml:space="preserve">) </w:t>
      </w:r>
      <w:r w:rsidRPr="00651E5D">
        <w:rPr>
          <w:rFonts w:ascii="Tahoma" w:eastAsia="Tahoma" w:hAnsi="Tahoma" w:cs="Tahoma"/>
          <w:color w:val="000000" w:themeColor="text1"/>
          <w:sz w:val="24"/>
          <w:szCs w:val="24"/>
          <w:lang w:val="es-CO"/>
        </w:rPr>
        <w:t xml:space="preserve">La devolución total del saldo en caso de no alcanzar a reunir el total de los requisitos legales para optar al beneficio pensional. </w:t>
      </w:r>
      <w:proofErr w:type="spellStart"/>
      <w:r w:rsidRPr="00651E5D">
        <w:rPr>
          <w:rFonts w:ascii="Tahoma" w:eastAsia="Tahoma" w:hAnsi="Tahoma" w:cs="Tahoma"/>
          <w:i/>
          <w:iCs/>
          <w:color w:val="000000" w:themeColor="text1"/>
          <w:sz w:val="24"/>
          <w:szCs w:val="24"/>
          <w:lang w:val="es-CO"/>
        </w:rPr>
        <w:t>iv</w:t>
      </w:r>
      <w:proofErr w:type="spellEnd"/>
      <w:r w:rsidRPr="00651E5D">
        <w:rPr>
          <w:rFonts w:ascii="Tahoma" w:eastAsia="Tahoma" w:hAnsi="Tahoma" w:cs="Tahoma"/>
          <w:i/>
          <w:iCs/>
          <w:color w:val="000000" w:themeColor="text1"/>
          <w:sz w:val="24"/>
          <w:szCs w:val="24"/>
          <w:lang w:val="es-CO"/>
        </w:rPr>
        <w:t xml:space="preserve">) </w:t>
      </w:r>
      <w:r w:rsidRPr="00651E5D">
        <w:rPr>
          <w:rFonts w:ascii="Tahoma" w:eastAsia="Tahoma" w:hAnsi="Tahoma" w:cs="Tahoma"/>
          <w:color w:val="000000" w:themeColor="text1"/>
          <w:sz w:val="24"/>
          <w:szCs w:val="24"/>
          <w:lang w:val="es-CO"/>
        </w:rPr>
        <w:t xml:space="preserve">Tener la posibilidad de la pensión de vejez habiendo cotizado el mínimo de semanas requeridas a pesar de no reunir el capital suficiente para el financiamiento de la prestación económica. </w:t>
      </w:r>
      <w:r w:rsidRPr="00651E5D">
        <w:rPr>
          <w:rFonts w:ascii="Tahoma" w:eastAsia="Tahoma" w:hAnsi="Tahoma" w:cs="Tahoma"/>
          <w:i/>
          <w:iCs/>
          <w:color w:val="000000" w:themeColor="text1"/>
          <w:sz w:val="24"/>
          <w:szCs w:val="24"/>
          <w:lang w:val="es-CO"/>
        </w:rPr>
        <w:t xml:space="preserve">v)  </w:t>
      </w:r>
      <w:r w:rsidRPr="00651E5D">
        <w:rPr>
          <w:rFonts w:ascii="Tahoma" w:eastAsia="Tahoma" w:hAnsi="Tahoma" w:cs="Tahoma"/>
          <w:color w:val="000000" w:themeColor="text1"/>
          <w:sz w:val="24"/>
          <w:szCs w:val="24"/>
          <w:lang w:val="es-CO"/>
        </w:rPr>
        <w:t xml:space="preserve">La posibilidad de que el reconocimiento de la pensión de vejez, una vez reunido los requisitos, se haga pronto. </w:t>
      </w:r>
      <w:r w:rsidRPr="00651E5D">
        <w:rPr>
          <w:rFonts w:ascii="Tahoma" w:eastAsia="Tahoma" w:hAnsi="Tahoma" w:cs="Tahoma"/>
          <w:i/>
          <w:iCs/>
          <w:color w:val="000000" w:themeColor="text1"/>
          <w:sz w:val="24"/>
          <w:szCs w:val="24"/>
          <w:lang w:val="es-CO"/>
        </w:rPr>
        <w:t xml:space="preserve">vi) </w:t>
      </w:r>
      <w:r w:rsidRPr="00651E5D">
        <w:rPr>
          <w:rFonts w:ascii="Tahoma" w:eastAsia="Tahoma" w:hAnsi="Tahoma" w:cs="Tahoma"/>
          <w:color w:val="000000" w:themeColor="text1"/>
          <w:sz w:val="24"/>
          <w:szCs w:val="24"/>
          <w:lang w:val="es-CO"/>
        </w:rPr>
        <w:t xml:space="preserve">La posibilidad de que sus aportes se conviertan en patrimonio </w:t>
      </w:r>
      <w:proofErr w:type="spellStart"/>
      <w:r w:rsidRPr="00651E5D">
        <w:rPr>
          <w:rFonts w:ascii="Tahoma" w:eastAsia="Tahoma" w:hAnsi="Tahoma" w:cs="Tahoma"/>
          <w:color w:val="000000" w:themeColor="text1"/>
          <w:sz w:val="24"/>
          <w:szCs w:val="24"/>
          <w:lang w:val="es-CO"/>
        </w:rPr>
        <w:t>sucesoral</w:t>
      </w:r>
      <w:proofErr w:type="spellEnd"/>
      <w:r w:rsidRPr="00651E5D">
        <w:rPr>
          <w:rFonts w:ascii="Tahoma" w:eastAsia="Tahoma" w:hAnsi="Tahoma" w:cs="Tahoma"/>
          <w:color w:val="000000" w:themeColor="text1"/>
          <w:sz w:val="24"/>
          <w:szCs w:val="24"/>
          <w:lang w:val="es-CO"/>
        </w:rPr>
        <w:t xml:space="preserve"> en un caso dado. </w:t>
      </w:r>
      <w:proofErr w:type="spellStart"/>
      <w:r w:rsidRPr="00651E5D">
        <w:rPr>
          <w:rFonts w:ascii="Tahoma" w:eastAsia="Tahoma" w:hAnsi="Tahoma" w:cs="Tahoma"/>
          <w:i/>
          <w:iCs/>
          <w:color w:val="000000" w:themeColor="text1"/>
          <w:sz w:val="24"/>
          <w:szCs w:val="24"/>
          <w:lang w:val="es-CO"/>
        </w:rPr>
        <w:t>vii</w:t>
      </w:r>
      <w:proofErr w:type="spellEnd"/>
      <w:r w:rsidRPr="00651E5D">
        <w:rPr>
          <w:rFonts w:ascii="Tahoma" w:eastAsia="Tahoma" w:hAnsi="Tahoma" w:cs="Tahoma"/>
          <w:i/>
          <w:iCs/>
          <w:color w:val="000000" w:themeColor="text1"/>
          <w:sz w:val="24"/>
          <w:szCs w:val="24"/>
          <w:lang w:val="es-CO"/>
        </w:rPr>
        <w:t xml:space="preserve">) </w:t>
      </w:r>
      <w:r w:rsidRPr="00651E5D">
        <w:rPr>
          <w:rFonts w:ascii="Tahoma" w:eastAsia="Tahoma" w:hAnsi="Tahoma" w:cs="Tahoma"/>
          <w:color w:val="000000" w:themeColor="text1"/>
          <w:sz w:val="24"/>
          <w:szCs w:val="24"/>
          <w:lang w:val="es-CO"/>
        </w:rPr>
        <w:t xml:space="preserve">El hecho de que el afiliado es el único titular de la cuenta de ahorro individual en contraste con el fondo público cuyos ahorros hacen parte de un fondo común. </w:t>
      </w:r>
      <w:proofErr w:type="spellStart"/>
      <w:r w:rsidRPr="00651E5D">
        <w:rPr>
          <w:rFonts w:ascii="Tahoma" w:eastAsia="Tahoma" w:hAnsi="Tahoma" w:cs="Tahoma"/>
          <w:i/>
          <w:iCs/>
          <w:color w:val="000000" w:themeColor="text1"/>
          <w:sz w:val="24"/>
          <w:szCs w:val="24"/>
          <w:lang w:val="es-CO"/>
        </w:rPr>
        <w:t>viii</w:t>
      </w:r>
      <w:proofErr w:type="spellEnd"/>
      <w:r w:rsidRPr="00651E5D">
        <w:rPr>
          <w:rFonts w:ascii="Tahoma" w:eastAsia="Tahoma" w:hAnsi="Tahoma" w:cs="Tahoma"/>
          <w:i/>
          <w:iCs/>
          <w:color w:val="000000" w:themeColor="text1"/>
          <w:sz w:val="24"/>
          <w:szCs w:val="24"/>
          <w:lang w:val="es-CO"/>
        </w:rPr>
        <w:t xml:space="preserve">) </w:t>
      </w:r>
      <w:r w:rsidRPr="00651E5D">
        <w:rPr>
          <w:rFonts w:ascii="Tahoma" w:eastAsia="Tahoma" w:hAnsi="Tahoma" w:cs="Tahoma"/>
          <w:color w:val="000000" w:themeColor="text1"/>
          <w:sz w:val="24"/>
          <w:szCs w:val="24"/>
          <w:lang w:val="es-CO"/>
        </w:rPr>
        <w:t xml:space="preserve">Los rendimientos financieros que le generen sus aportes abonados sobre el saldo de su cuenta de ahorro individual; y, </w:t>
      </w:r>
      <w:proofErr w:type="spellStart"/>
      <w:r w:rsidRPr="00651E5D">
        <w:rPr>
          <w:rFonts w:ascii="Tahoma" w:eastAsia="Tahoma" w:hAnsi="Tahoma" w:cs="Tahoma"/>
          <w:i/>
          <w:iCs/>
          <w:color w:val="000000" w:themeColor="text1"/>
          <w:sz w:val="24"/>
          <w:szCs w:val="24"/>
          <w:lang w:val="es-CO"/>
        </w:rPr>
        <w:t>ix</w:t>
      </w:r>
      <w:proofErr w:type="spellEnd"/>
      <w:r w:rsidRPr="00651E5D">
        <w:rPr>
          <w:rFonts w:ascii="Tahoma" w:eastAsia="Tahoma" w:hAnsi="Tahoma" w:cs="Tahoma"/>
          <w:i/>
          <w:iCs/>
          <w:color w:val="000000" w:themeColor="text1"/>
          <w:sz w:val="24"/>
          <w:szCs w:val="24"/>
          <w:lang w:val="es-CO"/>
        </w:rPr>
        <w:t xml:space="preserve">) </w:t>
      </w:r>
      <w:r w:rsidRPr="00651E5D">
        <w:rPr>
          <w:rFonts w:ascii="Tahoma" w:eastAsia="Tahoma" w:hAnsi="Tahoma" w:cs="Tahoma"/>
          <w:color w:val="000000" w:themeColor="text1"/>
          <w:sz w:val="24"/>
          <w:szCs w:val="24"/>
          <w:lang w:val="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651E5D">
        <w:rPr>
          <w:rFonts w:ascii="Tahoma" w:eastAsia="Tahoma" w:hAnsi="Tahoma" w:cs="Tahoma"/>
          <w:color w:val="000000" w:themeColor="text1"/>
          <w:sz w:val="24"/>
          <w:szCs w:val="24"/>
          <w:lang w:val="es-CO"/>
        </w:rPr>
        <w:t>sucesoral</w:t>
      </w:r>
      <w:proofErr w:type="spellEnd"/>
      <w:proofErr w:type="gramEnd"/>
      <w:r w:rsidRPr="00651E5D">
        <w:rPr>
          <w:rFonts w:ascii="Tahoma" w:eastAsia="Tahoma" w:hAnsi="Tahoma" w:cs="Tahoma"/>
          <w:color w:val="000000" w:themeColor="text1"/>
          <w:sz w:val="24"/>
          <w:szCs w:val="24"/>
          <w:lang w:val="es-CO"/>
        </w:rPr>
        <w:t xml:space="preserve"> pero le garantiza una pensión de por vida. La modalidad de </w:t>
      </w:r>
      <w:r w:rsidRPr="00651E5D">
        <w:rPr>
          <w:rFonts w:ascii="Tahoma" w:eastAsia="Tahoma" w:hAnsi="Tahoma" w:cs="Tahoma"/>
          <w:i/>
          <w:iCs/>
          <w:color w:val="000000" w:themeColor="text1"/>
          <w:sz w:val="24"/>
          <w:szCs w:val="24"/>
          <w:lang w:val="es-CO"/>
        </w:rPr>
        <w:t>retiro programado</w:t>
      </w:r>
      <w:r w:rsidRPr="00651E5D">
        <w:rPr>
          <w:rFonts w:ascii="Tahoma" w:eastAsia="Tahoma" w:hAnsi="Tahoma" w:cs="Tahoma"/>
          <w:color w:val="000000" w:themeColor="text1"/>
          <w:sz w:val="24"/>
          <w:szCs w:val="24"/>
          <w:lang w:val="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 </w:t>
      </w:r>
    </w:p>
    <w:p w14:paraId="5CB05A91" w14:textId="739769C8" w:rsidR="30F68D23" w:rsidRPr="00651E5D" w:rsidRDefault="30F68D23" w:rsidP="00651E5D">
      <w:pPr>
        <w:spacing w:after="0" w:line="276" w:lineRule="auto"/>
        <w:ind w:firstLine="630"/>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7606F85D" w14:textId="0ECFD032" w:rsidR="30F68D23" w:rsidRPr="00651E5D" w:rsidRDefault="30F68D23" w:rsidP="00651E5D">
      <w:pPr>
        <w:spacing w:after="0" w:line="276" w:lineRule="auto"/>
        <w:ind w:firstLine="630"/>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Pues bien, en el presente asunto la AFP Protección afirma en su contestación que brindó la asesoría con personal capacitado, es decir, que brindó información seria y veraz que para la época era jurídicamente pertinente a la parte demandante sin que se precise en qué consistió la misma.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  </w:t>
      </w:r>
    </w:p>
    <w:p w14:paraId="5396B279" w14:textId="658388CD" w:rsidR="30F68D23" w:rsidRPr="00651E5D" w:rsidRDefault="30F68D23" w:rsidP="00651E5D">
      <w:pPr>
        <w:spacing w:after="0" w:line="276" w:lineRule="auto"/>
        <w:ind w:firstLine="630"/>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5375FA54" w14:textId="1F7A176D"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r w:rsidRPr="00651E5D">
        <w:rPr>
          <w:rFonts w:ascii="Tahoma" w:eastAsia="Tahoma" w:hAnsi="Tahoma" w:cs="Tahoma"/>
          <w:color w:val="000000" w:themeColor="text1"/>
          <w:sz w:val="24"/>
          <w:szCs w:val="24"/>
          <w:lang w:val="es"/>
        </w:rPr>
        <w:t xml:space="preserve"> Con todo, hay que indicar que como prueba del cumplimiento del deber de información y buen consejo, las codemandadas llamaron a declarar a su contraparte procesal, de cuya intervención, no se logró desvirtuar la poca información recibida, pues la demandante jamás confesó que se le hubiera brindado una explicación pormenorizada de los pros y contras de su determinación, ni tampoco que se le hubiera indicado en qué momento alcanzaría su prestación en caso de continuar devengand</w:t>
      </w:r>
      <w:bookmarkStart w:id="1" w:name="_GoBack"/>
      <w:bookmarkEnd w:id="1"/>
      <w:r w:rsidRPr="00651E5D">
        <w:rPr>
          <w:rFonts w:ascii="Tahoma" w:eastAsia="Tahoma" w:hAnsi="Tahoma" w:cs="Tahoma"/>
          <w:color w:val="000000" w:themeColor="text1"/>
          <w:sz w:val="24"/>
          <w:szCs w:val="24"/>
          <w:lang w:val="es"/>
        </w:rPr>
        <w:t xml:space="preserve">o el salario que percibía en ese entonces, ni se le hizo una proyección de la mesada a la que eventualmente tendría derecho, pues al momento de traslado, como ella misma lo mencionó, el asesor se limitó a diligenciar con ella el formulario sin transmitirle ninguna información respecto de la magnitud y el impacto de que implicaba el traslado. </w:t>
      </w:r>
      <w:r w:rsidRPr="00651E5D">
        <w:rPr>
          <w:rFonts w:ascii="Tahoma" w:eastAsia="Tahoma" w:hAnsi="Tahoma" w:cs="Tahoma"/>
          <w:color w:val="000000" w:themeColor="text1"/>
          <w:sz w:val="24"/>
          <w:szCs w:val="24"/>
          <w:lang w:val="es-CO"/>
        </w:rPr>
        <w:t xml:space="preserve"> </w:t>
      </w:r>
    </w:p>
    <w:p w14:paraId="2F332AD6" w14:textId="2066D5D7"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12ED9AE6" w14:textId="1B57F7AB"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
        </w:rPr>
        <w:t xml:space="preserve">Lo anterior se afirma, porque la accionante en su interrogatorio relató que estando en su lugar de trabajo, los </w:t>
      </w:r>
      <w:r w:rsidRPr="00651E5D">
        <w:rPr>
          <w:rFonts w:ascii="Tahoma" w:eastAsia="Tahoma" w:hAnsi="Tahoma" w:cs="Tahoma"/>
          <w:color w:val="000000" w:themeColor="text1"/>
          <w:sz w:val="24"/>
          <w:szCs w:val="24"/>
          <w:lang w:val="es-CO"/>
        </w:rPr>
        <w:t xml:space="preserve">reunieron en grupo y les dijeron que se iba a </w:t>
      </w:r>
      <w:r w:rsidRPr="00651E5D">
        <w:rPr>
          <w:rFonts w:ascii="Tahoma" w:eastAsia="Tahoma" w:hAnsi="Tahoma" w:cs="Tahoma"/>
          <w:color w:val="000000" w:themeColor="text1"/>
          <w:sz w:val="24"/>
          <w:szCs w:val="24"/>
          <w:lang w:val="es-CO"/>
        </w:rPr>
        <w:lastRenderedPageBreak/>
        <w:t>acabar el ISS, que si se cambiaban de régimen se iban a jubilar más jóvenes, sin más información y sin la posibilidad de una asesoría personalizada y profesional al respecto.</w:t>
      </w:r>
    </w:p>
    <w:p w14:paraId="3D49B225" w14:textId="535F0378"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552E257B" w14:textId="2773A5A1"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Aparte de lo anterior, el hecho de que la actora sea abogada y lo fuera desde el momento de la primera afiliación, no es un argumento de recibo para obviar el deber de información, como quiera que: 1) aunque la actora es abogada e incluso jueza, lo cierto es que su especialidad es en áreas distintas al derecho laboral y la seguridad social, pues toda su vida ha laborado como asesora de empresas del sector público y privado y en esta última etapa de su vida como jueza civil, de modo que no es de su experticia la información que ha debido recibir del asesor que gestionó su traslado al RAIS, la cual ha debido recibir de manera clara, suficiente, veraz y entendible, carga con la que la AFP, como atrás se indicó, no cumplió y es esa la razón que amerita la declaratoria de ineficacia. </w:t>
      </w:r>
    </w:p>
    <w:p w14:paraId="61CDF724" w14:textId="0E19CCF0"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0A49AFB0" w14:textId="53B077C6" w:rsidR="30F68D23" w:rsidRDefault="30F68D23" w:rsidP="00651E5D">
      <w:pPr>
        <w:spacing w:after="0" w:line="276" w:lineRule="auto"/>
        <w:ind w:firstLine="705"/>
        <w:jc w:val="both"/>
        <w:rPr>
          <w:rFonts w:ascii="Tahoma" w:eastAsia="Tahoma" w:hAnsi="Tahoma" w:cs="Tahoma"/>
          <w:color w:val="000000" w:themeColor="text1"/>
          <w:sz w:val="24"/>
          <w:szCs w:val="24"/>
          <w:lang w:val="es"/>
        </w:rPr>
      </w:pPr>
      <w:r w:rsidRPr="00651E5D">
        <w:rPr>
          <w:rFonts w:ascii="Tahoma" w:eastAsia="Tahoma" w:hAnsi="Tahoma" w:cs="Tahoma"/>
          <w:color w:val="000000" w:themeColor="text1"/>
          <w:sz w:val="24"/>
          <w:szCs w:val="24"/>
          <w:lang w:val="es-CO"/>
        </w:rPr>
        <w:t xml:space="preserve"> Adicionalmente</w:t>
      </w:r>
      <w:r w:rsidRPr="00651E5D">
        <w:rPr>
          <w:rFonts w:ascii="Tahoma" w:eastAsia="Tahoma" w:hAnsi="Tahoma" w:cs="Tahoma"/>
          <w:color w:val="000000" w:themeColor="text1"/>
          <w:sz w:val="24"/>
          <w:szCs w:val="24"/>
          <w:lang w:val="es"/>
        </w:rPr>
        <w:t>, si la asesora de la demandada contaba con un conocimiento profundo de todas las posibilidades que ofrecía el RAIS, como se afirma en la defensa, también debía contar con un discernimiento mínimo de las limitantes que la esta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33EFB754" w14:textId="77777777" w:rsidR="00EE6476" w:rsidRPr="00651E5D" w:rsidRDefault="00EE6476" w:rsidP="00651E5D">
      <w:pPr>
        <w:spacing w:after="0" w:line="276" w:lineRule="auto"/>
        <w:ind w:firstLine="705"/>
        <w:jc w:val="both"/>
        <w:rPr>
          <w:rFonts w:ascii="Tahoma" w:hAnsi="Tahoma" w:cs="Tahoma"/>
          <w:sz w:val="24"/>
          <w:szCs w:val="24"/>
        </w:rPr>
      </w:pPr>
    </w:p>
    <w:p w14:paraId="65590154" w14:textId="7DEF391C"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
        </w:rPr>
        <w:t>Ahora, frente al argumento de Colpensiones respecto a es improcedente permitir que la demandante se trasladara hacia dicha entidad al faltarle menos de diez años para lograr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46AD67DA" w14:textId="4156B5BC"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2D9E779A" w14:textId="71332FAA"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CO"/>
        </w:rPr>
        <w:t>Ahora bien, como la declaratoria de ineficacia trae como consecuencia que las cosas se reestablezcan al estado en el que se encontraban,  resulta necesario adicionar para aclarar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1833 de 2016.</w:t>
      </w:r>
    </w:p>
    <w:p w14:paraId="6572870D" w14:textId="3772D083"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006A3317" w14:textId="03B73A54" w:rsidR="30F68D23" w:rsidRDefault="30F68D23" w:rsidP="00651E5D">
      <w:pPr>
        <w:spacing w:after="0" w:line="276" w:lineRule="auto"/>
        <w:ind w:firstLine="705"/>
        <w:jc w:val="both"/>
        <w:rPr>
          <w:rFonts w:ascii="Tahoma" w:eastAsia="Tahoma" w:hAnsi="Tahoma" w:cs="Tahoma"/>
          <w:color w:val="000000" w:themeColor="text1"/>
          <w:sz w:val="24"/>
          <w:szCs w:val="24"/>
          <w:lang w:val="es-CO"/>
        </w:rPr>
      </w:pPr>
      <w:r w:rsidRPr="00651E5D">
        <w:rPr>
          <w:rFonts w:ascii="Tahoma" w:eastAsia="Tahoma" w:hAnsi="Tahoma" w:cs="Tahoma"/>
          <w:color w:val="000000" w:themeColor="text1"/>
          <w:sz w:val="24"/>
          <w:szCs w:val="24"/>
          <w:lang w:val="es-CO"/>
        </w:rPr>
        <w:t>En todo lo demás se confirmará la decisión de primera instancia.</w:t>
      </w:r>
    </w:p>
    <w:p w14:paraId="27456DE7" w14:textId="77777777" w:rsidR="00EE6476" w:rsidRPr="00651E5D" w:rsidRDefault="00EE6476" w:rsidP="00651E5D">
      <w:pPr>
        <w:spacing w:after="0" w:line="276" w:lineRule="auto"/>
        <w:ind w:firstLine="705"/>
        <w:jc w:val="both"/>
        <w:rPr>
          <w:rFonts w:ascii="Tahoma" w:hAnsi="Tahoma" w:cs="Tahoma"/>
          <w:sz w:val="24"/>
          <w:szCs w:val="24"/>
        </w:rPr>
      </w:pPr>
    </w:p>
    <w:p w14:paraId="3946E134" w14:textId="2D95F20A" w:rsidR="30F68D23" w:rsidRDefault="30F68D23" w:rsidP="00651E5D">
      <w:pPr>
        <w:spacing w:after="0" w:line="276" w:lineRule="auto"/>
        <w:ind w:firstLine="705"/>
        <w:jc w:val="both"/>
        <w:rPr>
          <w:rFonts w:ascii="Tahoma" w:eastAsia="Tahoma" w:hAnsi="Tahoma" w:cs="Tahoma"/>
          <w:color w:val="000000" w:themeColor="text1"/>
          <w:sz w:val="24"/>
          <w:szCs w:val="24"/>
          <w:lang w:val="es"/>
        </w:rPr>
      </w:pPr>
      <w:r w:rsidRPr="00651E5D">
        <w:rPr>
          <w:rFonts w:ascii="Tahoma" w:eastAsia="Tahoma" w:hAnsi="Tahoma" w:cs="Tahoma"/>
          <w:color w:val="000000" w:themeColor="text1"/>
          <w:sz w:val="24"/>
          <w:szCs w:val="24"/>
          <w:lang w:val="es"/>
        </w:rPr>
        <w:t>Costas en esta instancia a cargo de las codemandadas por no haber prosperado su recurso de apelación.</w:t>
      </w:r>
    </w:p>
    <w:p w14:paraId="6C73292B" w14:textId="77777777" w:rsidR="00EE6476" w:rsidRPr="00651E5D" w:rsidRDefault="00EE6476" w:rsidP="00651E5D">
      <w:pPr>
        <w:spacing w:after="0" w:line="276" w:lineRule="auto"/>
        <w:ind w:firstLine="705"/>
        <w:jc w:val="both"/>
        <w:rPr>
          <w:rFonts w:ascii="Tahoma" w:hAnsi="Tahoma" w:cs="Tahoma"/>
          <w:sz w:val="24"/>
          <w:szCs w:val="24"/>
        </w:rPr>
      </w:pPr>
    </w:p>
    <w:p w14:paraId="65A286C9" w14:textId="133CF8A4" w:rsidR="30F68D23" w:rsidRPr="00651E5D" w:rsidRDefault="00EE6476" w:rsidP="00651E5D">
      <w:pPr>
        <w:spacing w:after="0" w:line="276" w:lineRule="auto"/>
        <w:ind w:firstLine="705"/>
        <w:jc w:val="both"/>
        <w:rPr>
          <w:rFonts w:ascii="Tahoma" w:hAnsi="Tahoma" w:cs="Tahoma"/>
          <w:sz w:val="24"/>
          <w:szCs w:val="24"/>
        </w:rPr>
      </w:pPr>
      <w:r>
        <w:rPr>
          <w:rFonts w:ascii="Tahoma" w:eastAsia="Tahoma" w:hAnsi="Tahoma" w:cs="Tahoma"/>
          <w:color w:val="000000" w:themeColor="text1"/>
          <w:sz w:val="24"/>
          <w:szCs w:val="24"/>
          <w:lang w:val="es"/>
        </w:rPr>
        <w:t>(…)</w:t>
      </w:r>
    </w:p>
    <w:p w14:paraId="786EA1E3" w14:textId="329835B1" w:rsidR="30F68D23" w:rsidRPr="00651E5D" w:rsidRDefault="30F68D23" w:rsidP="00651E5D">
      <w:pPr>
        <w:spacing w:after="0" w:line="276" w:lineRule="auto"/>
        <w:jc w:val="both"/>
        <w:rPr>
          <w:rFonts w:ascii="Tahoma" w:hAnsi="Tahoma" w:cs="Tahoma"/>
          <w:sz w:val="24"/>
          <w:szCs w:val="24"/>
        </w:rPr>
      </w:pPr>
    </w:p>
    <w:p w14:paraId="69FEF312" w14:textId="5B4B92EE"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
        </w:rPr>
        <w:t xml:space="preserve">En mérito de lo expuesto, el </w:t>
      </w:r>
      <w:r w:rsidRPr="00651E5D">
        <w:rPr>
          <w:rFonts w:ascii="Tahoma" w:eastAsia="Tahoma" w:hAnsi="Tahoma" w:cs="Tahoma"/>
          <w:b/>
          <w:bCs/>
          <w:color w:val="000000" w:themeColor="text1"/>
          <w:sz w:val="24"/>
          <w:szCs w:val="24"/>
          <w:lang w:val="es"/>
        </w:rPr>
        <w:t>Tribunal Superior del Distrito Judicial de Pereira - Risaralda, Sala de Decisión Laboral presidida por la Dra. Ana Lucía Caicedo Calderón,</w:t>
      </w:r>
      <w:r w:rsidRPr="00651E5D">
        <w:rPr>
          <w:rFonts w:ascii="Tahoma" w:eastAsia="Tahoma" w:hAnsi="Tahoma" w:cs="Tahoma"/>
          <w:color w:val="000000" w:themeColor="text1"/>
          <w:sz w:val="24"/>
          <w:szCs w:val="24"/>
          <w:lang w:val="es"/>
        </w:rPr>
        <w:t xml:space="preserve"> administrando justicia en nombre de la República y por autoridad de la ley,</w:t>
      </w:r>
    </w:p>
    <w:p w14:paraId="6A30E209" w14:textId="0442596A" w:rsidR="30F68D23" w:rsidRPr="00651E5D" w:rsidRDefault="30F68D23" w:rsidP="00651E5D">
      <w:pPr>
        <w:spacing w:after="0" w:line="276" w:lineRule="auto"/>
        <w:ind w:firstLine="705"/>
        <w:jc w:val="center"/>
        <w:rPr>
          <w:rFonts w:ascii="Tahoma" w:hAnsi="Tahoma" w:cs="Tahoma"/>
          <w:sz w:val="24"/>
          <w:szCs w:val="24"/>
        </w:rPr>
      </w:pPr>
      <w:r w:rsidRPr="00651E5D">
        <w:rPr>
          <w:rFonts w:ascii="Tahoma" w:eastAsia="Tahoma" w:hAnsi="Tahoma" w:cs="Tahoma"/>
          <w:b/>
          <w:bCs/>
          <w:color w:val="000000" w:themeColor="text1"/>
          <w:sz w:val="24"/>
          <w:szCs w:val="24"/>
          <w:lang w:val="es"/>
        </w:rPr>
        <w:t>RESUELVE</w:t>
      </w:r>
      <w:r w:rsidRPr="00651E5D">
        <w:rPr>
          <w:rFonts w:ascii="Tahoma" w:eastAsia="Tahoma" w:hAnsi="Tahoma" w:cs="Tahoma"/>
          <w:color w:val="000000" w:themeColor="text1"/>
          <w:sz w:val="24"/>
          <w:szCs w:val="24"/>
          <w:lang w:val="es-CO"/>
        </w:rPr>
        <w:t xml:space="preserve"> </w:t>
      </w:r>
    </w:p>
    <w:p w14:paraId="0BCEDF9D" w14:textId="44169837" w:rsidR="30F68D23" w:rsidRPr="00651E5D" w:rsidRDefault="30F68D23" w:rsidP="00651E5D">
      <w:pPr>
        <w:spacing w:after="0" w:line="276" w:lineRule="auto"/>
        <w:jc w:val="both"/>
        <w:rPr>
          <w:rFonts w:ascii="Tahoma" w:hAnsi="Tahoma" w:cs="Tahoma"/>
          <w:sz w:val="24"/>
          <w:szCs w:val="24"/>
        </w:rPr>
      </w:pPr>
      <w:r w:rsidRPr="00651E5D">
        <w:rPr>
          <w:rFonts w:ascii="Tahoma" w:eastAsia="Tahoma" w:hAnsi="Tahoma" w:cs="Tahoma"/>
          <w:color w:val="000000" w:themeColor="text1"/>
          <w:sz w:val="24"/>
          <w:szCs w:val="24"/>
          <w:lang w:val="es"/>
        </w:rPr>
        <w:t xml:space="preserve"> </w:t>
      </w:r>
    </w:p>
    <w:p w14:paraId="4C8ED03A" w14:textId="55EF7BEF"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b/>
          <w:bCs/>
          <w:color w:val="000000" w:themeColor="text1"/>
          <w:sz w:val="24"/>
          <w:szCs w:val="24"/>
          <w:lang w:val="es"/>
        </w:rPr>
        <w:t xml:space="preserve">PRIMERO: ADICIONAR </w:t>
      </w:r>
      <w:r w:rsidRPr="00651E5D">
        <w:rPr>
          <w:rFonts w:ascii="Tahoma" w:eastAsia="Tahoma" w:hAnsi="Tahoma" w:cs="Tahoma"/>
          <w:color w:val="000000" w:themeColor="text1"/>
          <w:sz w:val="24"/>
          <w:szCs w:val="24"/>
          <w:lang w:val="es"/>
        </w:rPr>
        <w:t>un numeral para aclarar la sentencia de primer grado, en el sentido de que se debe COMUNICAR a la OBP del MINISTERIO DE HACIENDA Y CRÉDITO PÚBLICO la decisión adoptada en este proceso, con el objeto de que, en caso de que haya emitido un bono pensional a favor de la demandante, proceda a anularlo de conformidad con la normatividad que regula la materia"</w:t>
      </w:r>
    </w:p>
    <w:p w14:paraId="453CA0C8" w14:textId="19C1C897" w:rsidR="30F68D23" w:rsidRPr="00651E5D" w:rsidRDefault="30F68D23" w:rsidP="00651E5D">
      <w:pPr>
        <w:spacing w:after="0" w:line="276" w:lineRule="auto"/>
        <w:ind w:firstLine="708"/>
        <w:jc w:val="both"/>
        <w:rPr>
          <w:rFonts w:ascii="Tahoma" w:hAnsi="Tahoma" w:cs="Tahoma"/>
          <w:sz w:val="24"/>
          <w:szCs w:val="24"/>
        </w:rPr>
      </w:pPr>
      <w:r w:rsidRPr="00651E5D">
        <w:rPr>
          <w:rFonts w:ascii="Tahoma" w:eastAsia="Tahoma" w:hAnsi="Tahoma" w:cs="Tahoma"/>
          <w:b/>
          <w:bCs/>
          <w:color w:val="000000" w:themeColor="text1"/>
          <w:sz w:val="24"/>
          <w:szCs w:val="24"/>
          <w:lang w:val="es"/>
        </w:rPr>
        <w:t xml:space="preserve"> </w:t>
      </w:r>
    </w:p>
    <w:p w14:paraId="1FC0F91B" w14:textId="44F35BB4" w:rsidR="30F68D23" w:rsidRPr="00651E5D" w:rsidRDefault="30F68D23" w:rsidP="00651E5D">
      <w:pPr>
        <w:spacing w:after="0" w:line="276" w:lineRule="auto"/>
        <w:ind w:firstLine="708"/>
        <w:jc w:val="both"/>
        <w:rPr>
          <w:rFonts w:ascii="Tahoma" w:hAnsi="Tahoma" w:cs="Tahoma"/>
          <w:sz w:val="24"/>
          <w:szCs w:val="24"/>
        </w:rPr>
      </w:pPr>
      <w:r w:rsidRPr="00651E5D">
        <w:rPr>
          <w:rFonts w:ascii="Tahoma" w:eastAsia="Tahoma" w:hAnsi="Tahoma" w:cs="Tahoma"/>
          <w:b/>
          <w:bCs/>
          <w:color w:val="000000" w:themeColor="text1"/>
          <w:sz w:val="24"/>
          <w:szCs w:val="24"/>
          <w:lang w:val="es"/>
        </w:rPr>
        <w:t>SEGUNDO:</w:t>
      </w:r>
      <w:r w:rsidRPr="00651E5D">
        <w:rPr>
          <w:rFonts w:ascii="Tahoma" w:eastAsia="Tahoma" w:hAnsi="Tahoma" w:cs="Tahoma"/>
          <w:color w:val="000000" w:themeColor="text1"/>
          <w:sz w:val="24"/>
          <w:szCs w:val="24"/>
          <w:lang w:val="es"/>
        </w:rPr>
        <w:t xml:space="preserve"> </w:t>
      </w:r>
      <w:r w:rsidRPr="00651E5D">
        <w:rPr>
          <w:rFonts w:ascii="Tahoma" w:eastAsia="Tahoma" w:hAnsi="Tahoma" w:cs="Tahoma"/>
          <w:b/>
          <w:bCs/>
          <w:color w:val="000000" w:themeColor="text1"/>
          <w:sz w:val="24"/>
          <w:szCs w:val="24"/>
          <w:lang w:val="es"/>
        </w:rPr>
        <w:t>CONFIRMAR</w:t>
      </w:r>
      <w:r w:rsidRPr="00651E5D">
        <w:rPr>
          <w:rFonts w:ascii="Tahoma" w:eastAsia="Tahoma" w:hAnsi="Tahoma" w:cs="Tahoma"/>
          <w:color w:val="000000" w:themeColor="text1"/>
          <w:sz w:val="24"/>
          <w:szCs w:val="24"/>
          <w:lang w:val="es"/>
        </w:rPr>
        <w:t xml:space="preserve"> en todas sus partes el fallo de primera instancia.</w:t>
      </w:r>
    </w:p>
    <w:p w14:paraId="53ED1E18" w14:textId="66D213F1" w:rsidR="30F68D23" w:rsidRPr="00651E5D" w:rsidRDefault="30F68D23" w:rsidP="00651E5D">
      <w:pPr>
        <w:spacing w:after="0" w:line="276" w:lineRule="auto"/>
        <w:ind w:firstLine="708"/>
        <w:jc w:val="both"/>
        <w:rPr>
          <w:rFonts w:ascii="Tahoma" w:hAnsi="Tahoma" w:cs="Tahoma"/>
          <w:sz w:val="24"/>
          <w:szCs w:val="24"/>
        </w:rPr>
      </w:pPr>
      <w:r w:rsidRPr="00651E5D">
        <w:rPr>
          <w:rFonts w:ascii="Tahoma" w:eastAsia="Tahoma" w:hAnsi="Tahoma" w:cs="Tahoma"/>
          <w:b/>
          <w:bCs/>
          <w:color w:val="000000" w:themeColor="text1"/>
          <w:sz w:val="24"/>
          <w:szCs w:val="24"/>
          <w:lang w:val="es"/>
        </w:rPr>
        <w:t xml:space="preserve"> </w:t>
      </w:r>
    </w:p>
    <w:p w14:paraId="3C03B56E" w14:textId="029A1D31" w:rsidR="30F68D23" w:rsidRPr="00651E5D" w:rsidRDefault="30F68D23" w:rsidP="00651E5D">
      <w:pPr>
        <w:spacing w:after="0" w:line="276" w:lineRule="auto"/>
        <w:ind w:firstLine="708"/>
        <w:jc w:val="both"/>
        <w:rPr>
          <w:rFonts w:ascii="Tahoma" w:hAnsi="Tahoma" w:cs="Tahoma"/>
          <w:sz w:val="24"/>
          <w:szCs w:val="24"/>
        </w:rPr>
      </w:pPr>
      <w:r w:rsidRPr="00651E5D">
        <w:rPr>
          <w:rFonts w:ascii="Tahoma" w:eastAsia="Tahoma" w:hAnsi="Tahoma" w:cs="Tahoma"/>
          <w:b/>
          <w:bCs/>
          <w:color w:val="000000" w:themeColor="text1"/>
          <w:sz w:val="24"/>
          <w:szCs w:val="24"/>
          <w:lang w:val="es"/>
        </w:rPr>
        <w:t>TERCERO: CONDENAR</w:t>
      </w:r>
      <w:r w:rsidRPr="00651E5D">
        <w:rPr>
          <w:rFonts w:ascii="Tahoma" w:eastAsia="Tahoma" w:hAnsi="Tahoma" w:cs="Tahoma"/>
          <w:color w:val="000000" w:themeColor="text1"/>
          <w:sz w:val="24"/>
          <w:szCs w:val="24"/>
          <w:lang w:val="es"/>
        </w:rPr>
        <w:t xml:space="preserve"> en costas procesales de segunda instancia a la </w:t>
      </w:r>
      <w:r w:rsidRPr="00651E5D">
        <w:rPr>
          <w:rFonts w:ascii="Tahoma" w:eastAsia="Tahoma" w:hAnsi="Tahoma" w:cs="Tahoma"/>
          <w:b/>
          <w:bCs/>
          <w:color w:val="000000" w:themeColor="text1"/>
          <w:sz w:val="24"/>
          <w:szCs w:val="24"/>
          <w:lang w:val="es"/>
        </w:rPr>
        <w:t xml:space="preserve">Administradora Colombiana de Pensiones – Colpensiones, la Sociedad Administradora de Pensiones y Cesantías Protección S.A. y la Sociedad Administradora de Pensiones y Cesantías Porvenir. </w:t>
      </w:r>
      <w:r w:rsidRPr="00651E5D">
        <w:rPr>
          <w:rFonts w:ascii="Tahoma" w:eastAsia="Tahoma" w:hAnsi="Tahoma" w:cs="Tahoma"/>
          <w:color w:val="000000" w:themeColor="text1"/>
          <w:sz w:val="24"/>
          <w:szCs w:val="24"/>
          <w:lang w:val="es"/>
        </w:rPr>
        <w:t xml:space="preserve">Liquídense por el juzgado de origen. </w:t>
      </w:r>
    </w:p>
    <w:p w14:paraId="32169B5B" w14:textId="3F7A23E2"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color w:val="000000" w:themeColor="text1"/>
          <w:sz w:val="24"/>
          <w:szCs w:val="24"/>
          <w:lang w:val="es"/>
        </w:rPr>
        <w:t xml:space="preserve"> </w:t>
      </w:r>
    </w:p>
    <w:p w14:paraId="4796051E" w14:textId="1F7B99B5" w:rsidR="30F68D23" w:rsidRPr="00651E5D" w:rsidRDefault="30F68D23" w:rsidP="00651E5D">
      <w:pPr>
        <w:spacing w:after="0" w:line="276" w:lineRule="auto"/>
        <w:ind w:firstLine="705"/>
        <w:jc w:val="both"/>
        <w:rPr>
          <w:rFonts w:ascii="Tahoma" w:hAnsi="Tahoma" w:cs="Tahoma"/>
          <w:sz w:val="24"/>
          <w:szCs w:val="24"/>
        </w:rPr>
      </w:pPr>
      <w:r w:rsidRPr="00651E5D">
        <w:rPr>
          <w:rFonts w:ascii="Tahoma" w:eastAsia="Tahoma" w:hAnsi="Tahoma" w:cs="Tahoma"/>
          <w:b/>
          <w:bCs/>
          <w:color w:val="000000" w:themeColor="text1"/>
          <w:sz w:val="24"/>
          <w:szCs w:val="24"/>
          <w:lang w:val="es"/>
        </w:rPr>
        <w:t xml:space="preserve">CUARTO: </w:t>
      </w:r>
      <w:r w:rsidR="00EE6476" w:rsidRPr="00EE6476">
        <w:rPr>
          <w:rFonts w:ascii="Tahoma" w:eastAsia="Tahoma" w:hAnsi="Tahoma" w:cs="Tahoma"/>
          <w:bCs/>
          <w:color w:val="000000" w:themeColor="text1"/>
          <w:sz w:val="24"/>
          <w:szCs w:val="24"/>
          <w:lang w:val="es"/>
        </w:rPr>
        <w:t>(…)</w:t>
      </w:r>
      <w:r w:rsidRPr="00651E5D">
        <w:rPr>
          <w:rFonts w:ascii="Tahoma" w:eastAsia="Tahoma" w:hAnsi="Tahoma" w:cs="Tahoma"/>
          <w:color w:val="000000" w:themeColor="text1"/>
          <w:sz w:val="24"/>
          <w:szCs w:val="24"/>
          <w:lang w:val="es-CO"/>
        </w:rPr>
        <w:t xml:space="preserve"> </w:t>
      </w:r>
    </w:p>
    <w:p w14:paraId="02DBF8D6" w14:textId="1C1FFE2E" w:rsidR="30F68D23" w:rsidRPr="00651E5D" w:rsidRDefault="30F68D23" w:rsidP="00651E5D">
      <w:pPr>
        <w:spacing w:after="0" w:line="276" w:lineRule="auto"/>
        <w:jc w:val="both"/>
        <w:rPr>
          <w:rFonts w:ascii="Tahoma" w:hAnsi="Tahoma" w:cs="Tahoma"/>
          <w:sz w:val="24"/>
          <w:szCs w:val="24"/>
        </w:rPr>
      </w:pPr>
      <w:r w:rsidRPr="00651E5D">
        <w:rPr>
          <w:rFonts w:ascii="Tahoma" w:eastAsia="Tahoma" w:hAnsi="Tahoma" w:cs="Tahoma"/>
          <w:color w:val="000000" w:themeColor="text1"/>
          <w:sz w:val="24"/>
          <w:szCs w:val="24"/>
          <w:lang w:val="es-CO"/>
        </w:rPr>
        <w:t xml:space="preserve"> </w:t>
      </w:r>
    </w:p>
    <w:p w14:paraId="1A3C954B" w14:textId="1FFE7ABF" w:rsidR="30F68D23" w:rsidRPr="00651E5D" w:rsidRDefault="30F68D23" w:rsidP="00651E5D">
      <w:pPr>
        <w:spacing w:after="0" w:line="276" w:lineRule="auto"/>
        <w:jc w:val="center"/>
        <w:rPr>
          <w:rFonts w:ascii="Tahoma" w:hAnsi="Tahoma" w:cs="Tahoma"/>
          <w:sz w:val="24"/>
          <w:szCs w:val="24"/>
        </w:rPr>
      </w:pPr>
      <w:r w:rsidRPr="00651E5D">
        <w:rPr>
          <w:rFonts w:ascii="Tahoma" w:eastAsia="Tahoma" w:hAnsi="Tahoma" w:cs="Tahoma"/>
          <w:b/>
          <w:bCs/>
          <w:color w:val="000000" w:themeColor="text1"/>
          <w:sz w:val="24"/>
          <w:szCs w:val="24"/>
          <w:lang w:val="es"/>
        </w:rPr>
        <w:t>NOTIFÍQUESE Y CÚMPLASE</w:t>
      </w:r>
      <w:r w:rsidRPr="00651E5D">
        <w:rPr>
          <w:rFonts w:ascii="Tahoma" w:eastAsia="Tahoma" w:hAnsi="Tahoma" w:cs="Tahoma"/>
          <w:color w:val="000000" w:themeColor="text1"/>
          <w:sz w:val="24"/>
          <w:szCs w:val="24"/>
          <w:lang w:val="es-CO"/>
        </w:rPr>
        <w:t xml:space="preserve"> </w:t>
      </w:r>
    </w:p>
    <w:p w14:paraId="6826C69E" w14:textId="77777777" w:rsidR="00305335" w:rsidRPr="00305335" w:rsidRDefault="00305335" w:rsidP="00305335">
      <w:pPr>
        <w:spacing w:after="0" w:line="276" w:lineRule="auto"/>
        <w:ind w:firstLine="708"/>
        <w:contextualSpacing/>
        <w:jc w:val="both"/>
        <w:rPr>
          <w:rFonts w:ascii="Tahoma" w:eastAsia="Times New Roman" w:hAnsi="Tahoma" w:cs="Tahoma"/>
          <w:sz w:val="24"/>
          <w:szCs w:val="24"/>
          <w:lang w:val="es-ES_tradnl"/>
        </w:rPr>
      </w:pPr>
    </w:p>
    <w:p w14:paraId="329E807A" w14:textId="77777777" w:rsidR="00305335" w:rsidRPr="00305335" w:rsidRDefault="00305335" w:rsidP="00305335">
      <w:pPr>
        <w:spacing w:after="0" w:line="276" w:lineRule="auto"/>
        <w:jc w:val="both"/>
        <w:rPr>
          <w:rFonts w:ascii="Tahoma" w:eastAsia="Calibri" w:hAnsi="Tahoma" w:cs="Tahoma"/>
          <w:sz w:val="24"/>
          <w:szCs w:val="24"/>
          <w:lang w:val="es-CO"/>
        </w:rPr>
      </w:pPr>
      <w:bookmarkStart w:id="2" w:name="_Hlk66369736"/>
      <w:r w:rsidRPr="00305335">
        <w:rPr>
          <w:rFonts w:ascii="Tahoma" w:eastAsia="Calibri" w:hAnsi="Tahoma" w:cs="Tahoma"/>
          <w:sz w:val="24"/>
          <w:szCs w:val="24"/>
          <w:lang w:val="es-CO"/>
        </w:rPr>
        <w:t xml:space="preserve">La Magistrada ponente, </w:t>
      </w:r>
    </w:p>
    <w:p w14:paraId="05B3A370" w14:textId="77777777" w:rsidR="00305335" w:rsidRPr="00305335" w:rsidRDefault="00305335" w:rsidP="00305335">
      <w:pPr>
        <w:spacing w:after="0" w:line="276" w:lineRule="auto"/>
        <w:rPr>
          <w:rFonts w:ascii="Tahoma" w:eastAsia="Calibri" w:hAnsi="Tahoma" w:cs="Tahoma"/>
          <w:sz w:val="24"/>
          <w:szCs w:val="24"/>
          <w:lang w:val="es-CO"/>
        </w:rPr>
      </w:pPr>
    </w:p>
    <w:p w14:paraId="5791AE5E" w14:textId="77777777" w:rsidR="00305335" w:rsidRPr="00305335" w:rsidRDefault="00305335" w:rsidP="00305335">
      <w:pPr>
        <w:spacing w:after="0" w:line="276" w:lineRule="auto"/>
        <w:rPr>
          <w:rFonts w:ascii="Tahoma" w:eastAsia="Calibri" w:hAnsi="Tahoma" w:cs="Tahoma"/>
          <w:sz w:val="24"/>
          <w:szCs w:val="24"/>
          <w:lang w:val="es-CO"/>
        </w:rPr>
      </w:pPr>
    </w:p>
    <w:p w14:paraId="0ADB2C36" w14:textId="77777777" w:rsidR="00305335" w:rsidRPr="00305335" w:rsidRDefault="00305335" w:rsidP="00305335">
      <w:pPr>
        <w:spacing w:after="0" w:line="276" w:lineRule="auto"/>
        <w:rPr>
          <w:rFonts w:ascii="Tahoma" w:eastAsia="Calibri" w:hAnsi="Tahoma" w:cs="Tahoma"/>
          <w:sz w:val="24"/>
          <w:szCs w:val="24"/>
          <w:lang w:val="es-CO"/>
        </w:rPr>
      </w:pPr>
    </w:p>
    <w:p w14:paraId="153BC1DA" w14:textId="77777777" w:rsidR="00305335" w:rsidRPr="00305335" w:rsidRDefault="00305335" w:rsidP="00305335">
      <w:pPr>
        <w:spacing w:after="0" w:line="276" w:lineRule="auto"/>
        <w:jc w:val="center"/>
        <w:rPr>
          <w:rFonts w:ascii="Tahoma" w:eastAsia="Calibri" w:hAnsi="Tahoma" w:cs="Tahoma"/>
          <w:b/>
          <w:sz w:val="24"/>
          <w:szCs w:val="24"/>
          <w:lang w:val="es-CO"/>
        </w:rPr>
      </w:pPr>
      <w:r w:rsidRPr="00305335">
        <w:rPr>
          <w:rFonts w:ascii="Tahoma" w:eastAsia="Calibri" w:hAnsi="Tahoma" w:cs="Tahoma"/>
          <w:b/>
          <w:sz w:val="24"/>
          <w:szCs w:val="24"/>
          <w:lang w:val="es-CO"/>
        </w:rPr>
        <w:t>ANA LUCÍA CAICEDO CALDERÓN</w:t>
      </w:r>
    </w:p>
    <w:p w14:paraId="30887E72" w14:textId="77777777" w:rsidR="00305335" w:rsidRPr="00305335" w:rsidRDefault="00305335" w:rsidP="00305335">
      <w:pPr>
        <w:spacing w:after="0" w:line="276" w:lineRule="auto"/>
        <w:rPr>
          <w:rFonts w:ascii="Tahoma" w:eastAsia="Calibri" w:hAnsi="Tahoma" w:cs="Tahoma"/>
          <w:sz w:val="24"/>
          <w:szCs w:val="24"/>
          <w:lang w:val="es-CO"/>
        </w:rPr>
      </w:pPr>
    </w:p>
    <w:p w14:paraId="7F67A25E" w14:textId="77777777" w:rsidR="00305335" w:rsidRPr="00305335" w:rsidRDefault="00305335" w:rsidP="00305335">
      <w:pPr>
        <w:spacing w:after="0" w:line="276" w:lineRule="auto"/>
        <w:rPr>
          <w:rFonts w:ascii="Tahoma" w:eastAsia="Calibri" w:hAnsi="Tahoma" w:cs="Tahoma"/>
          <w:sz w:val="24"/>
          <w:szCs w:val="24"/>
          <w:lang w:val="es-CO"/>
        </w:rPr>
      </w:pPr>
      <w:r w:rsidRPr="00305335">
        <w:rPr>
          <w:rFonts w:ascii="Tahoma" w:eastAsia="Calibri" w:hAnsi="Tahoma" w:cs="Tahoma"/>
          <w:sz w:val="24"/>
          <w:szCs w:val="24"/>
          <w:lang w:val="es-CO"/>
        </w:rPr>
        <w:t xml:space="preserve">La Magistrada y el Magistrado, </w:t>
      </w:r>
    </w:p>
    <w:p w14:paraId="45CCF0E0" w14:textId="77777777" w:rsidR="00305335" w:rsidRPr="00305335" w:rsidRDefault="00305335" w:rsidP="00305335">
      <w:pPr>
        <w:spacing w:after="0" w:line="276" w:lineRule="auto"/>
        <w:rPr>
          <w:rFonts w:ascii="Tahoma" w:eastAsia="Calibri" w:hAnsi="Tahoma" w:cs="Tahoma"/>
          <w:b/>
          <w:sz w:val="24"/>
          <w:szCs w:val="24"/>
          <w:lang w:val="es-CO"/>
        </w:rPr>
      </w:pPr>
    </w:p>
    <w:p w14:paraId="62419D9C" w14:textId="77777777" w:rsidR="00305335" w:rsidRPr="00305335" w:rsidRDefault="00305335" w:rsidP="00305335">
      <w:pPr>
        <w:spacing w:after="0" w:line="276" w:lineRule="auto"/>
        <w:rPr>
          <w:rFonts w:ascii="Tahoma" w:eastAsia="Calibri" w:hAnsi="Tahoma" w:cs="Tahoma"/>
          <w:b/>
          <w:sz w:val="24"/>
          <w:szCs w:val="24"/>
          <w:lang w:val="es-CO"/>
        </w:rPr>
      </w:pPr>
    </w:p>
    <w:p w14:paraId="0A485A84" w14:textId="77777777" w:rsidR="00305335" w:rsidRPr="00305335" w:rsidRDefault="00305335" w:rsidP="00305335">
      <w:pPr>
        <w:spacing w:after="0" w:line="276" w:lineRule="auto"/>
        <w:rPr>
          <w:rFonts w:ascii="Tahoma" w:eastAsia="Calibri" w:hAnsi="Tahoma" w:cs="Tahoma"/>
          <w:sz w:val="24"/>
          <w:szCs w:val="24"/>
          <w:lang w:val="es-CO"/>
        </w:rPr>
      </w:pPr>
    </w:p>
    <w:p w14:paraId="14C54290" w14:textId="77777777" w:rsidR="00305335" w:rsidRPr="00305335" w:rsidRDefault="00305335" w:rsidP="00305335">
      <w:pPr>
        <w:tabs>
          <w:tab w:val="left" w:pos="4678"/>
        </w:tabs>
        <w:spacing w:after="0" w:line="276" w:lineRule="auto"/>
        <w:rPr>
          <w:rFonts w:ascii="Tahoma" w:eastAsia="Calibri" w:hAnsi="Tahoma" w:cs="Tahoma"/>
          <w:b/>
          <w:bCs/>
          <w:sz w:val="24"/>
          <w:szCs w:val="24"/>
          <w:lang w:val="es-CO"/>
        </w:rPr>
      </w:pPr>
      <w:r w:rsidRPr="00305335">
        <w:rPr>
          <w:rFonts w:ascii="Tahoma" w:eastAsia="Times New Roman" w:hAnsi="Tahoma" w:cs="Tahoma"/>
          <w:b/>
          <w:bCs/>
          <w:sz w:val="24"/>
          <w:szCs w:val="24"/>
          <w:lang w:val="es-CO"/>
        </w:rPr>
        <w:t>OLGA LUCÍA HOYOS SEPÚLVEDA</w:t>
      </w:r>
      <w:r w:rsidRPr="00305335">
        <w:rPr>
          <w:rFonts w:ascii="Tahoma" w:eastAsia="Times New Roman" w:hAnsi="Tahoma" w:cs="Tahoma"/>
          <w:b/>
          <w:bCs/>
          <w:sz w:val="24"/>
          <w:szCs w:val="24"/>
          <w:lang w:val="es-CO"/>
        </w:rPr>
        <w:tab/>
      </w:r>
      <w:r w:rsidRPr="00305335">
        <w:rPr>
          <w:rFonts w:ascii="Tahoma" w:eastAsia="Calibri" w:hAnsi="Tahoma" w:cs="Tahoma"/>
          <w:b/>
          <w:bCs/>
          <w:sz w:val="24"/>
          <w:szCs w:val="24"/>
          <w:lang w:val="es-CO"/>
        </w:rPr>
        <w:t>GERMAN DARIO GÓEZ VINASCO</w:t>
      </w:r>
      <w:bookmarkEnd w:id="2"/>
    </w:p>
    <w:p w14:paraId="36F58079" w14:textId="3BD21369" w:rsidR="662FBE6C" w:rsidRPr="00305335" w:rsidRDefault="00305335" w:rsidP="00305335">
      <w:pPr>
        <w:tabs>
          <w:tab w:val="left" w:pos="4678"/>
        </w:tabs>
        <w:spacing w:after="0" w:line="276" w:lineRule="auto"/>
        <w:rPr>
          <w:rFonts w:ascii="Tahoma" w:eastAsia="Times New Roman" w:hAnsi="Tahoma" w:cs="Tahoma"/>
          <w:bCs/>
          <w:sz w:val="24"/>
          <w:szCs w:val="24"/>
          <w:lang w:val="es-CO"/>
        </w:rPr>
      </w:pPr>
      <w:r w:rsidRPr="00305335">
        <w:rPr>
          <w:rFonts w:ascii="Tahoma" w:eastAsia="Times New Roman" w:hAnsi="Tahoma" w:cs="Tahoma"/>
          <w:bCs/>
          <w:sz w:val="24"/>
          <w:szCs w:val="24"/>
          <w:lang w:val="es-CO"/>
        </w:rPr>
        <w:t>Aclara voto</w:t>
      </w:r>
    </w:p>
    <w:sectPr w:rsidR="662FBE6C" w:rsidRPr="00305335" w:rsidSect="00FB2645">
      <w:pgSz w:w="12242" w:h="18722" w:code="258"/>
      <w:pgMar w:top="1985" w:right="1361" w:bottom="1418" w:left="1928" w:header="567" w:footer="56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D681B8" w16cex:dateUtc="2021-06-15T15:58:07.308Z"/>
  <w16cex:commentExtensible w16cex:durableId="132DA79A" w16cex:dateUtc="2021-06-17T15:46:35.5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6365" w14:textId="77777777" w:rsidR="00B24874" w:rsidRDefault="00B24874" w:rsidP="00CF151F">
      <w:pPr>
        <w:spacing w:after="0" w:line="240" w:lineRule="auto"/>
      </w:pPr>
      <w:r>
        <w:separator/>
      </w:r>
    </w:p>
  </w:endnote>
  <w:endnote w:type="continuationSeparator" w:id="0">
    <w:p w14:paraId="7165D441" w14:textId="77777777" w:rsidR="00B24874" w:rsidRDefault="00B24874" w:rsidP="00CF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C58B" w14:textId="77777777" w:rsidR="00B24874" w:rsidRDefault="00B24874" w:rsidP="00CF151F">
      <w:pPr>
        <w:spacing w:after="0" w:line="240" w:lineRule="auto"/>
      </w:pPr>
      <w:r>
        <w:separator/>
      </w:r>
    </w:p>
  </w:footnote>
  <w:footnote w:type="continuationSeparator" w:id="0">
    <w:p w14:paraId="13CF853D" w14:textId="77777777" w:rsidR="00B24874" w:rsidRDefault="00B24874" w:rsidP="00CF151F">
      <w:pPr>
        <w:spacing w:after="0" w:line="240" w:lineRule="auto"/>
      </w:pPr>
      <w:r>
        <w:continuationSeparator/>
      </w:r>
    </w:p>
  </w:footnote>
  <w:footnote w:id="1">
    <w:p w14:paraId="237B420A" w14:textId="77777777" w:rsidR="0084220A" w:rsidRPr="00835DD4" w:rsidRDefault="0084220A" w:rsidP="0084220A">
      <w:pPr>
        <w:pStyle w:val="Textonotapie"/>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Título tomado de la sentencia del 8 de mayo de 2019SL 1688-2019, Radicado 68838, con Ponencia de la Dra. Clara Cecilia Dueñas Quevedo</w:t>
      </w:r>
    </w:p>
  </w:footnote>
  <w:footnote w:id="2">
    <w:p w14:paraId="33480565" w14:textId="77777777" w:rsidR="00CF151F" w:rsidRPr="00835DD4" w:rsidRDefault="00CF151F" w:rsidP="00CF151F">
      <w:pPr>
        <w:pStyle w:val="Textonotapie"/>
        <w:ind w:firstLine="708"/>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Estatuto Orgánico del Sistema Financiero </w:t>
      </w:r>
    </w:p>
  </w:footnote>
  <w:footnote w:id="3">
    <w:p w14:paraId="2E1CEE93" w14:textId="77777777" w:rsidR="0084220A" w:rsidRPr="00835DD4" w:rsidRDefault="0084220A" w:rsidP="0084220A">
      <w:pPr>
        <w:pStyle w:val="Textonotapie"/>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Título tomado de la sentencia del 8 de mayo de 2019SL 1688-2019, Radicado 68838, con Ponencia de la Dra. Clara Cecilia Dueñas Quevedo</w:t>
      </w:r>
    </w:p>
  </w:footnote>
  <w:footnote w:id="4">
    <w:p w14:paraId="4A028A8F" w14:textId="77777777" w:rsidR="008C3514" w:rsidRDefault="008C3514" w:rsidP="008C3514">
      <w:pPr>
        <w:pStyle w:val="Textonotapie"/>
        <w:rPr>
          <w:lang w:val="es-CO"/>
        </w:rPr>
      </w:pPr>
      <w:r w:rsidRPr="00835DD4">
        <w:rPr>
          <w:rStyle w:val="Refdenotaalpie"/>
          <w:rFonts w:ascii="Arial" w:hAnsi="Arial" w:cs="Arial"/>
          <w:sz w:val="18"/>
          <w:szCs w:val="18"/>
        </w:rPr>
        <w:footnoteRef/>
      </w:r>
      <w:r w:rsidRPr="00835DD4">
        <w:rPr>
          <w:rFonts w:ascii="Arial" w:hAnsi="Arial" w:cs="Arial"/>
          <w:sz w:val="18"/>
          <w:szCs w:val="18"/>
        </w:rPr>
        <w:t xml:space="preserve"> </w:t>
      </w:r>
      <w:r w:rsidRPr="00835DD4">
        <w:rPr>
          <w:rFonts w:ascii="Arial" w:hAnsi="Arial" w:cs="Arial"/>
          <w:sz w:val="18"/>
          <w:szCs w:val="18"/>
          <w:lang w:val="es-CO"/>
        </w:rPr>
        <w:t>Ibídem</w:t>
      </w:r>
    </w:p>
  </w:footnote>
</w:footnotes>
</file>

<file path=word/intelligence.xml><?xml version="1.0" encoding="utf-8"?>
<int:Intelligence xmlns:int="http://schemas.microsoft.com/office/intelligence/2019/intelligence">
  <int:IntelligenceSettings/>
  <int:Manifest>
    <int:WordHash hashCode="TEC/tk5eGqLUHQ" id="NcwAeTP0"/>
    <int:WordHash hashCode="4hMbdhqvnmUc0z" id="g21HTdHV"/>
    <int:WordHash hashCode="F8b3gC4qh1VhFx" id="8hGkShlK"/>
  </int:Manifest>
  <int:Observations>
    <int:Content id="NcwAeTP0">
      <int:Rejection type="LegacyProofing"/>
    </int:Content>
    <int:Content id="g21HTdHV">
      <int:Rejection type="LegacyProofing"/>
    </int:Content>
    <int:Content id="8hGkShl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103E"/>
    <w:multiLevelType w:val="multilevel"/>
    <w:tmpl w:val="C94C27BE"/>
    <w:lvl w:ilvl="0">
      <w:start w:val="1"/>
      <w:numFmt w:val="decimal"/>
      <w:lvlText w:val="%1."/>
      <w:lvlJc w:val="left"/>
      <w:pPr>
        <w:ind w:left="720" w:hanging="360"/>
      </w:pPr>
      <w:rPr>
        <w:rFonts w:ascii="Tahoma" w:hAnsi="Tahoma" w:cs="Tahoma"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37A27CF6"/>
    <w:multiLevelType w:val="multilevel"/>
    <w:tmpl w:val="5D2CBB4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CFB2303"/>
    <w:multiLevelType w:val="multilevel"/>
    <w:tmpl w:val="B6649D68"/>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5F18789F"/>
    <w:multiLevelType w:val="multilevel"/>
    <w:tmpl w:val="5E10E64C"/>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76627085"/>
    <w:multiLevelType w:val="hybridMultilevel"/>
    <w:tmpl w:val="F3CC6370"/>
    <w:lvl w:ilvl="0" w:tplc="447A89AE">
      <w:start w:val="1"/>
      <w:numFmt w:val="decimal"/>
      <w:lvlText w:val="%1."/>
      <w:lvlJc w:val="left"/>
      <w:pPr>
        <w:ind w:left="720" w:hanging="360"/>
      </w:pPr>
    </w:lvl>
    <w:lvl w:ilvl="1" w:tplc="6874C560">
      <w:start w:val="1"/>
      <w:numFmt w:val="lowerLetter"/>
      <w:lvlText w:val="%2."/>
      <w:lvlJc w:val="left"/>
      <w:pPr>
        <w:ind w:left="1440" w:hanging="360"/>
      </w:pPr>
    </w:lvl>
    <w:lvl w:ilvl="2" w:tplc="8DFEF0CC">
      <w:start w:val="1"/>
      <w:numFmt w:val="lowerRoman"/>
      <w:lvlText w:val="%3."/>
      <w:lvlJc w:val="right"/>
      <w:pPr>
        <w:ind w:left="2160" w:hanging="180"/>
      </w:pPr>
    </w:lvl>
    <w:lvl w:ilvl="3" w:tplc="4E14B608">
      <w:start w:val="1"/>
      <w:numFmt w:val="decimal"/>
      <w:lvlText w:val="%4."/>
      <w:lvlJc w:val="left"/>
      <w:pPr>
        <w:ind w:left="2880" w:hanging="360"/>
      </w:pPr>
    </w:lvl>
    <w:lvl w:ilvl="4" w:tplc="E60AA894">
      <w:start w:val="1"/>
      <w:numFmt w:val="lowerLetter"/>
      <w:lvlText w:val="%5."/>
      <w:lvlJc w:val="left"/>
      <w:pPr>
        <w:ind w:left="3600" w:hanging="360"/>
      </w:pPr>
    </w:lvl>
    <w:lvl w:ilvl="5" w:tplc="DC0AFD30">
      <w:start w:val="1"/>
      <w:numFmt w:val="lowerRoman"/>
      <w:lvlText w:val="%6."/>
      <w:lvlJc w:val="right"/>
      <w:pPr>
        <w:ind w:left="4320" w:hanging="180"/>
      </w:pPr>
    </w:lvl>
    <w:lvl w:ilvl="6" w:tplc="C0E803F2">
      <w:start w:val="1"/>
      <w:numFmt w:val="decimal"/>
      <w:lvlText w:val="%7."/>
      <w:lvlJc w:val="left"/>
      <w:pPr>
        <w:ind w:left="5040" w:hanging="360"/>
      </w:pPr>
    </w:lvl>
    <w:lvl w:ilvl="7" w:tplc="B4E404E8">
      <w:start w:val="1"/>
      <w:numFmt w:val="lowerLetter"/>
      <w:lvlText w:val="%8."/>
      <w:lvlJc w:val="left"/>
      <w:pPr>
        <w:ind w:left="5760" w:hanging="360"/>
      </w:pPr>
    </w:lvl>
    <w:lvl w:ilvl="8" w:tplc="708AF27A">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B314FD"/>
    <w:rsid w:val="000A1F2E"/>
    <w:rsid w:val="00305335"/>
    <w:rsid w:val="00360004"/>
    <w:rsid w:val="003B0398"/>
    <w:rsid w:val="004F734E"/>
    <w:rsid w:val="00577054"/>
    <w:rsid w:val="00651E5D"/>
    <w:rsid w:val="006F25CE"/>
    <w:rsid w:val="0084220A"/>
    <w:rsid w:val="008C3514"/>
    <w:rsid w:val="00B24874"/>
    <w:rsid w:val="00BC625D"/>
    <w:rsid w:val="00C408F1"/>
    <w:rsid w:val="00CF151F"/>
    <w:rsid w:val="00D645D0"/>
    <w:rsid w:val="00E45617"/>
    <w:rsid w:val="00EE6476"/>
    <w:rsid w:val="00F400AC"/>
    <w:rsid w:val="00F52E83"/>
    <w:rsid w:val="00FB2645"/>
    <w:rsid w:val="13E34881"/>
    <w:rsid w:val="30B314FD"/>
    <w:rsid w:val="30F68D23"/>
    <w:rsid w:val="39BB5083"/>
    <w:rsid w:val="42DC33F9"/>
    <w:rsid w:val="44C23920"/>
    <w:rsid w:val="45D90344"/>
    <w:rsid w:val="4665A277"/>
    <w:rsid w:val="54B0BC3D"/>
    <w:rsid w:val="5B7FF875"/>
    <w:rsid w:val="662FBE6C"/>
    <w:rsid w:val="7D4C0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14FD"/>
  <w15:chartTrackingRefBased/>
  <w15:docId w15:val="{4C44BE77-BCEA-4A77-8891-CE741140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42DC33F9"/>
  </w:style>
  <w:style w:type="character" w:customStyle="1" w:styleId="eop">
    <w:name w:val="eop"/>
    <w:basedOn w:val="Fuentedeprrafopredeter"/>
    <w:rsid w:val="42DC33F9"/>
  </w:style>
  <w:style w:type="paragraph" w:customStyle="1" w:styleId="paragraph">
    <w:name w:val="paragraph"/>
    <w:basedOn w:val="Normal"/>
    <w:rsid w:val="42DC33F9"/>
    <w:pPr>
      <w:spacing w:beforeAutospacing="1" w:afterAutospacing="1"/>
    </w:pPr>
    <w:rPr>
      <w:rFonts w:ascii="Times New Roman" w:eastAsia="Times New Roman" w:hAnsi="Times New Roman" w:cs="Times New Roman"/>
      <w:sz w:val="24"/>
      <w:szCs w:val="24"/>
      <w:lang w:eastAsia="es-ES"/>
    </w:rPr>
  </w:style>
  <w:style w:type="character" w:customStyle="1" w:styleId="superscript">
    <w:name w:val="superscript"/>
    <w:basedOn w:val="Fuentedeprrafopredeter"/>
    <w:rsid w:val="42DC33F9"/>
  </w:style>
  <w:style w:type="character" w:customStyle="1" w:styleId="tabchar">
    <w:name w:val="tabchar"/>
    <w:basedOn w:val="Fuentedeprrafopredeter"/>
    <w:rsid w:val="42DC33F9"/>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053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335"/>
    <w:rPr>
      <w:rFonts w:ascii="Segoe UI" w:hAnsi="Segoe UI" w:cs="Segoe UI"/>
      <w:sz w:val="18"/>
      <w:szCs w:val="18"/>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CF151F"/>
    <w:pPr>
      <w:spacing w:after="0" w:line="240" w:lineRule="auto"/>
      <w:ind w:firstLine="709"/>
      <w:jc w:val="both"/>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F151F"/>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CF1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08e5fac356bc42b5" Type="http://schemas.microsoft.com/office/2019/09/relationships/intelligence" Target="intelligence.xml"/><Relationship Id="R884e3a7733a24fa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67A0-42C4-4AA3-9E29-4DB8D2C8A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75DB2-E0AB-4D19-8BBF-B16D1B9C7D9B}">
  <ds:schemaRefs>
    <ds:schemaRef ds:uri="http://schemas.microsoft.com/sharepoint/v3/contenttype/forms"/>
  </ds:schemaRefs>
</ds:datastoreItem>
</file>

<file path=customXml/itemProps3.xml><?xml version="1.0" encoding="utf-8"?>
<ds:datastoreItem xmlns:ds="http://schemas.openxmlformats.org/officeDocument/2006/customXml" ds:itemID="{AD6C756C-C58D-428B-A4AF-2969199C55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C4D4B6-20F2-4B05-9040-6387BD25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7884</Words>
  <Characters>43364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7</cp:revision>
  <dcterms:created xsi:type="dcterms:W3CDTF">2021-06-11T20:46:00Z</dcterms:created>
  <dcterms:modified xsi:type="dcterms:W3CDTF">2021-07-08T17:25:00Z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