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B5721CA" w14:textId="77777777" w:rsidR="001C52C0" w:rsidRPr="001C52C0" w:rsidRDefault="001C52C0" w:rsidP="001C52C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1C52C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B7F1F7" w14:textId="77777777" w:rsidR="001C52C0" w:rsidRPr="001C52C0" w:rsidRDefault="001C52C0" w:rsidP="001C52C0">
      <w:pPr>
        <w:jc w:val="both"/>
        <w:rPr>
          <w:rFonts w:ascii="Arial" w:hAnsi="Arial" w:cs="Arial"/>
          <w:sz w:val="20"/>
          <w:szCs w:val="20"/>
          <w:lang w:val="es-419"/>
        </w:rPr>
      </w:pPr>
    </w:p>
    <w:p w14:paraId="4B075208" w14:textId="77777777" w:rsidR="001C52C0" w:rsidRPr="001C52C0" w:rsidRDefault="001C52C0" w:rsidP="001C52C0">
      <w:pPr>
        <w:jc w:val="both"/>
        <w:rPr>
          <w:rFonts w:ascii="Arial" w:hAnsi="Arial" w:cs="Arial"/>
          <w:sz w:val="20"/>
          <w:szCs w:val="20"/>
          <w:lang w:val="es-419"/>
        </w:rPr>
      </w:pPr>
      <w:r w:rsidRPr="001C52C0">
        <w:rPr>
          <w:rFonts w:ascii="Arial" w:hAnsi="Arial" w:cs="Arial"/>
          <w:sz w:val="20"/>
          <w:szCs w:val="20"/>
          <w:lang w:val="es-419"/>
        </w:rPr>
        <w:t>Radicación No.:</w:t>
      </w:r>
      <w:r w:rsidRPr="001C52C0">
        <w:rPr>
          <w:rFonts w:ascii="Arial" w:hAnsi="Arial" w:cs="Arial"/>
          <w:sz w:val="20"/>
          <w:szCs w:val="20"/>
          <w:lang w:val="es-419"/>
        </w:rPr>
        <w:tab/>
      </w:r>
      <w:r w:rsidRPr="001C52C0">
        <w:rPr>
          <w:rFonts w:ascii="Arial" w:hAnsi="Arial" w:cs="Arial"/>
          <w:sz w:val="20"/>
          <w:szCs w:val="20"/>
          <w:lang w:val="es-419"/>
        </w:rPr>
        <w:tab/>
        <w:t>66001-31-05-005-2018-00413-01</w:t>
      </w:r>
    </w:p>
    <w:p w14:paraId="72E2DA1D" w14:textId="77777777" w:rsidR="001C52C0" w:rsidRPr="001C52C0" w:rsidRDefault="001C52C0" w:rsidP="001C52C0">
      <w:pPr>
        <w:jc w:val="both"/>
        <w:rPr>
          <w:rFonts w:ascii="Arial" w:hAnsi="Arial" w:cs="Arial"/>
          <w:sz w:val="20"/>
          <w:szCs w:val="20"/>
          <w:lang w:val="es-419"/>
        </w:rPr>
      </w:pPr>
      <w:r w:rsidRPr="001C52C0">
        <w:rPr>
          <w:rFonts w:ascii="Arial" w:hAnsi="Arial" w:cs="Arial"/>
          <w:sz w:val="20"/>
          <w:szCs w:val="20"/>
          <w:lang w:val="es-419"/>
        </w:rPr>
        <w:t>Proceso:</w:t>
      </w:r>
      <w:r w:rsidRPr="001C52C0">
        <w:rPr>
          <w:rFonts w:ascii="Arial" w:hAnsi="Arial" w:cs="Arial"/>
          <w:sz w:val="20"/>
          <w:szCs w:val="20"/>
          <w:lang w:val="es-419"/>
        </w:rPr>
        <w:tab/>
      </w:r>
      <w:r w:rsidRPr="001C52C0">
        <w:rPr>
          <w:rFonts w:ascii="Arial" w:hAnsi="Arial" w:cs="Arial"/>
          <w:sz w:val="20"/>
          <w:szCs w:val="20"/>
          <w:lang w:val="es-419"/>
        </w:rPr>
        <w:tab/>
        <w:t xml:space="preserve">Ordinario laboral </w:t>
      </w:r>
    </w:p>
    <w:p w14:paraId="03D6893E" w14:textId="77777777" w:rsidR="001C52C0" w:rsidRPr="001C52C0" w:rsidRDefault="001C52C0" w:rsidP="001C52C0">
      <w:pPr>
        <w:jc w:val="both"/>
        <w:rPr>
          <w:rFonts w:ascii="Arial" w:hAnsi="Arial" w:cs="Arial"/>
          <w:sz w:val="20"/>
          <w:szCs w:val="20"/>
          <w:lang w:val="es-419"/>
        </w:rPr>
      </w:pPr>
      <w:r w:rsidRPr="001C52C0">
        <w:rPr>
          <w:rFonts w:ascii="Arial" w:hAnsi="Arial" w:cs="Arial"/>
          <w:sz w:val="20"/>
          <w:szCs w:val="20"/>
          <w:lang w:val="es-419"/>
        </w:rPr>
        <w:t>Demandante:</w:t>
      </w:r>
      <w:r w:rsidRPr="001C52C0">
        <w:rPr>
          <w:rFonts w:ascii="Arial" w:hAnsi="Arial" w:cs="Arial"/>
          <w:sz w:val="20"/>
          <w:szCs w:val="20"/>
          <w:lang w:val="es-419"/>
        </w:rPr>
        <w:tab/>
      </w:r>
      <w:r w:rsidRPr="001C52C0">
        <w:rPr>
          <w:rFonts w:ascii="Arial" w:hAnsi="Arial" w:cs="Arial"/>
          <w:sz w:val="20"/>
          <w:szCs w:val="20"/>
          <w:lang w:val="es-419"/>
        </w:rPr>
        <w:tab/>
        <w:t xml:space="preserve">Yolanda Durán de Cepeda </w:t>
      </w:r>
    </w:p>
    <w:p w14:paraId="585BC8FE" w14:textId="77777777" w:rsidR="001C52C0" w:rsidRPr="001C52C0" w:rsidRDefault="001C52C0" w:rsidP="001C52C0">
      <w:pPr>
        <w:jc w:val="both"/>
        <w:rPr>
          <w:rFonts w:ascii="Arial" w:hAnsi="Arial" w:cs="Arial"/>
          <w:sz w:val="20"/>
          <w:szCs w:val="20"/>
          <w:lang w:val="es-419"/>
        </w:rPr>
      </w:pPr>
      <w:r w:rsidRPr="001C52C0">
        <w:rPr>
          <w:rFonts w:ascii="Arial" w:hAnsi="Arial" w:cs="Arial"/>
          <w:sz w:val="20"/>
          <w:szCs w:val="20"/>
          <w:lang w:val="es-419"/>
        </w:rPr>
        <w:t>Demandado:</w:t>
      </w:r>
      <w:r w:rsidRPr="001C52C0">
        <w:rPr>
          <w:rFonts w:ascii="Arial" w:hAnsi="Arial" w:cs="Arial"/>
          <w:sz w:val="20"/>
          <w:szCs w:val="20"/>
          <w:lang w:val="es-419"/>
        </w:rPr>
        <w:tab/>
      </w:r>
      <w:r w:rsidRPr="001C52C0">
        <w:rPr>
          <w:rFonts w:ascii="Arial" w:hAnsi="Arial" w:cs="Arial"/>
          <w:sz w:val="20"/>
          <w:szCs w:val="20"/>
          <w:lang w:val="es-419"/>
        </w:rPr>
        <w:tab/>
        <w:t>Colpensiones</w:t>
      </w:r>
    </w:p>
    <w:p w14:paraId="543A9E53" w14:textId="77777777" w:rsidR="001C52C0" w:rsidRPr="001C52C0" w:rsidRDefault="001C52C0" w:rsidP="001C52C0">
      <w:pPr>
        <w:jc w:val="both"/>
        <w:rPr>
          <w:rFonts w:ascii="Arial" w:hAnsi="Arial" w:cs="Arial"/>
          <w:sz w:val="20"/>
          <w:szCs w:val="20"/>
          <w:lang w:val="es-419"/>
        </w:rPr>
      </w:pPr>
      <w:r w:rsidRPr="001C52C0">
        <w:rPr>
          <w:rFonts w:ascii="Arial" w:hAnsi="Arial" w:cs="Arial"/>
          <w:sz w:val="20"/>
          <w:szCs w:val="20"/>
          <w:lang w:val="es-419"/>
        </w:rPr>
        <w:t xml:space="preserve">Juzgado de origen: </w:t>
      </w:r>
      <w:r w:rsidRPr="001C52C0">
        <w:rPr>
          <w:rFonts w:ascii="Arial" w:hAnsi="Arial" w:cs="Arial"/>
          <w:sz w:val="20"/>
          <w:szCs w:val="20"/>
          <w:lang w:val="es-419"/>
        </w:rPr>
        <w:tab/>
        <w:t xml:space="preserve">Quinto Laboral del Circuito de Pereira </w:t>
      </w:r>
    </w:p>
    <w:p w14:paraId="33CA5152" w14:textId="67D8BF20" w:rsidR="001C52C0" w:rsidRPr="001C52C0" w:rsidRDefault="001C52C0" w:rsidP="001C52C0">
      <w:pPr>
        <w:jc w:val="both"/>
        <w:rPr>
          <w:rFonts w:ascii="Arial" w:hAnsi="Arial" w:cs="Arial"/>
          <w:sz w:val="20"/>
          <w:szCs w:val="20"/>
          <w:lang w:val="es-419"/>
        </w:rPr>
      </w:pPr>
      <w:r w:rsidRPr="001C52C0">
        <w:rPr>
          <w:rFonts w:ascii="Arial" w:hAnsi="Arial" w:cs="Arial"/>
          <w:sz w:val="20"/>
          <w:szCs w:val="20"/>
          <w:lang w:val="es-419"/>
        </w:rPr>
        <w:t>Magistrada ponente:</w:t>
      </w:r>
      <w:r w:rsidRPr="001C52C0">
        <w:rPr>
          <w:rFonts w:ascii="Arial" w:hAnsi="Arial" w:cs="Arial"/>
          <w:sz w:val="20"/>
          <w:szCs w:val="20"/>
          <w:lang w:val="es-419"/>
        </w:rPr>
        <w:tab/>
        <w:t>Dra. Ana Lucía Caicedo Calderón</w:t>
      </w:r>
    </w:p>
    <w:p w14:paraId="739E804A" w14:textId="77777777" w:rsidR="001C52C0" w:rsidRPr="001C52C0" w:rsidRDefault="001C52C0" w:rsidP="001C52C0">
      <w:pPr>
        <w:jc w:val="both"/>
        <w:rPr>
          <w:rFonts w:ascii="Arial" w:hAnsi="Arial" w:cs="Arial"/>
          <w:sz w:val="20"/>
          <w:szCs w:val="20"/>
          <w:lang w:val="es-419"/>
        </w:rPr>
      </w:pPr>
    </w:p>
    <w:p w14:paraId="22AC9E5B" w14:textId="3C188A02" w:rsidR="001C52C0" w:rsidRPr="001C52C0" w:rsidRDefault="001C52C0" w:rsidP="001C52C0">
      <w:pPr>
        <w:jc w:val="both"/>
        <w:rPr>
          <w:rFonts w:ascii="Arial" w:hAnsi="Arial" w:cs="Arial"/>
          <w:b/>
          <w:bCs/>
          <w:iCs/>
          <w:sz w:val="20"/>
          <w:szCs w:val="20"/>
          <w:lang w:val="es-419" w:eastAsia="fr-FR"/>
        </w:rPr>
      </w:pPr>
      <w:r w:rsidRPr="001C52C0">
        <w:rPr>
          <w:rFonts w:ascii="Arial" w:hAnsi="Arial" w:cs="Arial"/>
          <w:b/>
          <w:bCs/>
          <w:iCs/>
          <w:sz w:val="20"/>
          <w:szCs w:val="20"/>
          <w:u w:val="single"/>
          <w:lang w:val="es-419" w:eastAsia="fr-FR"/>
        </w:rPr>
        <w:t>TEMAS:</w:t>
      </w:r>
      <w:r w:rsidRPr="001C52C0">
        <w:rPr>
          <w:rFonts w:ascii="Arial" w:hAnsi="Arial" w:cs="Arial"/>
          <w:b/>
          <w:bCs/>
          <w:iCs/>
          <w:sz w:val="20"/>
          <w:szCs w:val="20"/>
          <w:lang w:val="es-419" w:eastAsia="fr-FR"/>
        </w:rPr>
        <w:tab/>
      </w:r>
      <w:r w:rsidR="00BB4C3B">
        <w:rPr>
          <w:rFonts w:ascii="Arial" w:hAnsi="Arial" w:cs="Arial"/>
          <w:b/>
          <w:bCs/>
          <w:iCs/>
          <w:sz w:val="20"/>
          <w:szCs w:val="20"/>
          <w:lang w:val="es-419" w:eastAsia="fr-FR"/>
        </w:rPr>
        <w:t xml:space="preserve">PENSIÓN DE SOBREVIVIENTES / </w:t>
      </w:r>
      <w:r w:rsidR="006771A3">
        <w:rPr>
          <w:rFonts w:ascii="Arial" w:hAnsi="Arial" w:cs="Arial"/>
          <w:b/>
          <w:sz w:val="20"/>
          <w:szCs w:val="20"/>
          <w:lang w:val="es-419"/>
        </w:rPr>
        <w:t xml:space="preserve">NORMA APLICABLE / PRINCIPIO DE LA CONDICIÓN MÁS BENEFICIOSA / CRITERIO DE LA CORTE SUPREMA DE JUSTICIA / APLICAR SÓLO LA NORMA INMEDIATAMENTE ANTERIOR / LA CONSTITUCIONAL NO APLICA ESA RESTRICCIÓN / </w:t>
      </w:r>
      <w:r w:rsidR="00922016">
        <w:rPr>
          <w:rFonts w:ascii="Arial" w:hAnsi="Arial" w:cs="Arial"/>
          <w:b/>
          <w:sz w:val="20"/>
          <w:szCs w:val="20"/>
          <w:lang w:val="es-419"/>
        </w:rPr>
        <w:t xml:space="preserve">Y EL TRIBUNAL SE ACOGE A </w:t>
      </w:r>
      <w:r w:rsidR="00017121">
        <w:rPr>
          <w:rFonts w:ascii="Arial" w:hAnsi="Arial" w:cs="Arial"/>
          <w:b/>
          <w:sz w:val="20"/>
          <w:szCs w:val="20"/>
          <w:lang w:val="es-419"/>
        </w:rPr>
        <w:t>ESTE</w:t>
      </w:r>
      <w:r w:rsidR="00922016">
        <w:rPr>
          <w:rFonts w:ascii="Arial" w:hAnsi="Arial" w:cs="Arial"/>
          <w:b/>
          <w:sz w:val="20"/>
          <w:szCs w:val="20"/>
          <w:lang w:val="es-419"/>
        </w:rPr>
        <w:t xml:space="preserve"> CRITERIO</w:t>
      </w:r>
      <w:r w:rsidR="00017121">
        <w:rPr>
          <w:rFonts w:ascii="Arial" w:hAnsi="Arial" w:cs="Arial"/>
          <w:b/>
          <w:sz w:val="20"/>
          <w:szCs w:val="20"/>
          <w:lang w:val="es-419"/>
        </w:rPr>
        <w:t>.</w:t>
      </w:r>
    </w:p>
    <w:p w14:paraId="5343CC1E" w14:textId="77777777" w:rsidR="001C52C0" w:rsidRPr="001C52C0" w:rsidRDefault="001C52C0" w:rsidP="001C52C0">
      <w:pPr>
        <w:jc w:val="both"/>
        <w:rPr>
          <w:rFonts w:ascii="Arial" w:hAnsi="Arial" w:cs="Arial"/>
          <w:sz w:val="20"/>
          <w:szCs w:val="20"/>
          <w:lang w:val="es-419"/>
        </w:rPr>
      </w:pPr>
    </w:p>
    <w:p w14:paraId="273F4A19" w14:textId="77777777" w:rsidR="00BB4C3B" w:rsidRPr="00BB4C3B" w:rsidRDefault="00BB4C3B" w:rsidP="00BB4C3B">
      <w:pPr>
        <w:jc w:val="both"/>
        <w:rPr>
          <w:rFonts w:ascii="Arial" w:hAnsi="Arial" w:cs="Arial"/>
          <w:sz w:val="20"/>
          <w:szCs w:val="20"/>
          <w:lang w:val="es-419"/>
        </w:rPr>
      </w:pPr>
      <w:r w:rsidRPr="00BB4C3B">
        <w:rPr>
          <w:rFonts w:ascii="Arial" w:hAnsi="Arial" w:cs="Arial"/>
          <w:sz w:val="20"/>
          <w:szCs w:val="20"/>
          <w:lang w:val="es-419"/>
        </w:rPr>
        <w:t xml:space="preserve">Es sabido que la normatividad aplicable a la pensión de sobrevivientes es la legislación vigente al momento del fallecimiento del afiliado, no obstante, por excepción es posible acudir a la normatividad anterior con el fin de determinar la concesión o no de la gracia pensional en aplicación del “Principio de la condición más beneficiosa”, siempre y cuando el causante o el afiliado, según se trate de pensión de sobrevivencia o pensión de invalidez, haya acumulado el número mínimo de semanas para causar el derecho conforme a las regulaciones previas a la norma vigente a la fecha del fallecimiento o la estructuración de la invalidez, según el caso.  </w:t>
      </w:r>
    </w:p>
    <w:p w14:paraId="420A6498" w14:textId="77777777" w:rsidR="00BB4C3B" w:rsidRPr="00BB4C3B" w:rsidRDefault="00BB4C3B" w:rsidP="00BB4C3B">
      <w:pPr>
        <w:jc w:val="both"/>
        <w:rPr>
          <w:rFonts w:ascii="Arial" w:hAnsi="Arial" w:cs="Arial"/>
          <w:sz w:val="20"/>
          <w:szCs w:val="20"/>
          <w:lang w:val="es-419"/>
        </w:rPr>
      </w:pPr>
    </w:p>
    <w:p w14:paraId="6AFA8A8A" w14:textId="492D1B44" w:rsidR="001C52C0" w:rsidRPr="001C52C0" w:rsidRDefault="00BB4C3B" w:rsidP="00BB4C3B">
      <w:pPr>
        <w:jc w:val="both"/>
        <w:rPr>
          <w:rFonts w:ascii="Arial" w:hAnsi="Arial" w:cs="Arial"/>
          <w:sz w:val="20"/>
          <w:szCs w:val="20"/>
          <w:lang w:val="es-419"/>
        </w:rPr>
      </w:pPr>
      <w:r w:rsidRPr="00BB4C3B">
        <w:rPr>
          <w:rFonts w:ascii="Arial" w:hAnsi="Arial" w:cs="Arial"/>
          <w:sz w:val="20"/>
          <w:szCs w:val="20"/>
          <w:lang w:val="es-419"/>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 una norma anterior, independientemente si es inmediata o no, bajo la tesis de que el artículo 53 de la Constitución Política no restringe la aplicación de la condición más beneficiosa a sólo dos normas aplicables al caso</w:t>
      </w:r>
      <w:r>
        <w:rPr>
          <w:rFonts w:ascii="Arial" w:hAnsi="Arial" w:cs="Arial"/>
          <w:sz w:val="20"/>
          <w:szCs w:val="20"/>
          <w:lang w:val="es-419"/>
        </w:rPr>
        <w:t>…</w:t>
      </w:r>
    </w:p>
    <w:p w14:paraId="28A1C2B3" w14:textId="77777777" w:rsidR="001C52C0" w:rsidRPr="001C52C0" w:rsidRDefault="001C52C0" w:rsidP="001C52C0">
      <w:pPr>
        <w:jc w:val="both"/>
        <w:rPr>
          <w:rFonts w:ascii="Arial" w:hAnsi="Arial" w:cs="Arial"/>
          <w:sz w:val="20"/>
          <w:szCs w:val="20"/>
          <w:lang w:val="es-419"/>
        </w:rPr>
      </w:pPr>
    </w:p>
    <w:p w14:paraId="60B71C86" w14:textId="5B0AE422" w:rsidR="001C52C0" w:rsidRPr="001C52C0" w:rsidRDefault="00922016" w:rsidP="001C52C0">
      <w:pPr>
        <w:jc w:val="both"/>
        <w:rPr>
          <w:rFonts w:ascii="Arial" w:hAnsi="Arial" w:cs="Arial"/>
          <w:sz w:val="20"/>
          <w:szCs w:val="20"/>
          <w:lang w:val="es-419"/>
        </w:rPr>
      </w:pPr>
      <w:r w:rsidRPr="00922016">
        <w:rPr>
          <w:rFonts w:ascii="Arial" w:hAnsi="Arial" w:cs="Arial"/>
          <w:sz w:val="20"/>
          <w:szCs w:val="20"/>
          <w:lang w:val="es-419"/>
        </w:rPr>
        <w:t xml:space="preserve">Atendiendo la interpretación que tuvo la Corte Constitucional sobre la materia, la cual resulta más favorable para la beneficiaria, es posible el salto de la Ley 797 de 2003 al Acuerdo 049 de 1990, en la medida en que el artículo 53 de la Constitución no restringe la aplicación de la condición más beneficiosa a sólo dos normas aplicables al caso. En ese sentido, el presente asunto puede analizarse a la luz del aludido acuerdo, </w:t>
      </w:r>
      <w:proofErr w:type="gramStart"/>
      <w:r w:rsidRPr="00922016">
        <w:rPr>
          <w:rFonts w:ascii="Arial" w:hAnsi="Arial" w:cs="Arial"/>
          <w:sz w:val="20"/>
          <w:szCs w:val="20"/>
          <w:lang w:val="es-419"/>
        </w:rPr>
        <w:t>que</w:t>
      </w:r>
      <w:proofErr w:type="gramEnd"/>
      <w:r w:rsidRPr="00922016">
        <w:rPr>
          <w:rFonts w:ascii="Arial" w:hAnsi="Arial" w:cs="Arial"/>
          <w:sz w:val="20"/>
          <w:szCs w:val="20"/>
          <w:lang w:val="es-419"/>
        </w:rPr>
        <w:t xml:space="preserve"> si bien no es la norma inmediatamente anterior, se acompasa al precedente del Tribunal Constitucional</w:t>
      </w:r>
      <w:r>
        <w:rPr>
          <w:rFonts w:ascii="Arial" w:hAnsi="Arial" w:cs="Arial"/>
          <w:sz w:val="20"/>
          <w:szCs w:val="20"/>
          <w:lang w:val="es-419"/>
        </w:rPr>
        <w:t>…</w:t>
      </w:r>
    </w:p>
    <w:p w14:paraId="6BCE362A" w14:textId="77777777" w:rsidR="001C52C0" w:rsidRPr="001C52C0" w:rsidRDefault="001C52C0" w:rsidP="001C52C0">
      <w:pPr>
        <w:jc w:val="both"/>
        <w:rPr>
          <w:rFonts w:ascii="Arial" w:hAnsi="Arial" w:cs="Arial"/>
          <w:sz w:val="20"/>
          <w:szCs w:val="20"/>
          <w:lang w:val="es-419"/>
        </w:rPr>
      </w:pPr>
    </w:p>
    <w:p w14:paraId="6100E244" w14:textId="6F447429" w:rsidR="001C52C0" w:rsidRPr="001C52C0" w:rsidRDefault="00922016" w:rsidP="001C52C0">
      <w:pPr>
        <w:jc w:val="both"/>
        <w:rPr>
          <w:rFonts w:ascii="Arial" w:hAnsi="Arial" w:cs="Arial"/>
          <w:sz w:val="20"/>
          <w:szCs w:val="20"/>
          <w:lang w:val="es-419"/>
        </w:rPr>
      </w:pPr>
      <w:r w:rsidRPr="00922016">
        <w:rPr>
          <w:rFonts w:ascii="Arial" w:hAnsi="Arial" w:cs="Arial"/>
          <w:sz w:val="20"/>
          <w:szCs w:val="20"/>
          <w:lang w:val="es-419"/>
        </w:rPr>
        <w:t>Este precedente de la Corte Constitucional ha sido acogido por esta Sala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w:t>
      </w:r>
      <w:bookmarkStart w:id="1" w:name="_GoBack"/>
      <w:r w:rsidRPr="00922016">
        <w:rPr>
          <w:rFonts w:ascii="Arial" w:hAnsi="Arial" w:cs="Arial"/>
          <w:sz w:val="20"/>
          <w:szCs w:val="20"/>
          <w:lang w:val="es-419"/>
        </w:rPr>
        <w:t>ón y el artículo 21 del</w:t>
      </w:r>
      <w:bookmarkEnd w:id="1"/>
      <w:r w:rsidRPr="00922016">
        <w:rPr>
          <w:rFonts w:ascii="Arial" w:hAnsi="Arial" w:cs="Arial"/>
          <w:sz w:val="20"/>
          <w:szCs w:val="20"/>
          <w:lang w:val="es-419"/>
        </w:rPr>
        <w:t xml:space="preserve">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14:paraId="79F53207" w14:textId="77777777" w:rsidR="001C52C0" w:rsidRPr="001C52C0" w:rsidRDefault="001C52C0" w:rsidP="001C52C0">
      <w:pPr>
        <w:jc w:val="both"/>
        <w:rPr>
          <w:rFonts w:ascii="Arial" w:hAnsi="Arial" w:cs="Arial"/>
          <w:sz w:val="20"/>
          <w:szCs w:val="20"/>
        </w:rPr>
      </w:pPr>
    </w:p>
    <w:p w14:paraId="4E8D22E4" w14:textId="77777777" w:rsidR="001C52C0" w:rsidRPr="001C52C0" w:rsidRDefault="001C52C0" w:rsidP="001C52C0">
      <w:pPr>
        <w:jc w:val="both"/>
        <w:rPr>
          <w:rFonts w:ascii="Arial" w:hAnsi="Arial" w:cs="Arial"/>
          <w:sz w:val="20"/>
          <w:szCs w:val="20"/>
        </w:rPr>
      </w:pPr>
    </w:p>
    <w:p w14:paraId="1780517C" w14:textId="77777777" w:rsidR="001C52C0" w:rsidRPr="001C52C0" w:rsidRDefault="001C52C0" w:rsidP="001C52C0">
      <w:pPr>
        <w:jc w:val="both"/>
        <w:rPr>
          <w:rFonts w:ascii="Arial" w:hAnsi="Arial" w:cs="Arial"/>
          <w:sz w:val="20"/>
          <w:szCs w:val="20"/>
        </w:rPr>
      </w:pPr>
    </w:p>
    <w:bookmarkEnd w:id="0"/>
    <w:p w14:paraId="00B3177F" w14:textId="77777777" w:rsidR="004A1741" w:rsidRPr="001C52C0" w:rsidRDefault="004A1741" w:rsidP="001C52C0">
      <w:pPr>
        <w:spacing w:line="276" w:lineRule="auto"/>
        <w:jc w:val="center"/>
        <w:textAlignment w:val="baseline"/>
        <w:rPr>
          <w:rFonts w:ascii="Tahoma" w:hAnsi="Tahoma" w:cs="Tahoma"/>
          <w:b/>
          <w:bCs/>
          <w:lang w:eastAsia="es-CO"/>
        </w:rPr>
      </w:pPr>
      <w:r w:rsidRPr="001C52C0">
        <w:rPr>
          <w:rFonts w:ascii="Tahoma" w:hAnsi="Tahoma" w:cs="Tahoma"/>
          <w:b/>
          <w:bCs/>
          <w:lang w:eastAsia="es-CO"/>
        </w:rPr>
        <w:t xml:space="preserve">TRIBUNAL SUPERIOR DEL DISTRITO JUDICIAL DE PEREIRA </w:t>
      </w:r>
    </w:p>
    <w:p w14:paraId="263AD0F3" w14:textId="77777777" w:rsidR="0064273D" w:rsidRDefault="004A1741" w:rsidP="001C52C0">
      <w:pPr>
        <w:spacing w:line="276" w:lineRule="auto"/>
        <w:jc w:val="center"/>
        <w:textAlignment w:val="baseline"/>
        <w:rPr>
          <w:rFonts w:ascii="Tahoma" w:hAnsi="Tahoma" w:cs="Tahoma"/>
          <w:b/>
          <w:bCs/>
          <w:lang w:eastAsia="es-CO"/>
        </w:rPr>
      </w:pPr>
      <w:r w:rsidRPr="001C52C0">
        <w:rPr>
          <w:rFonts w:ascii="Tahoma" w:hAnsi="Tahoma" w:cs="Tahoma"/>
          <w:b/>
          <w:bCs/>
          <w:lang w:eastAsia="es-CO"/>
        </w:rPr>
        <w:t xml:space="preserve">SALA DE DECISION LABORAL </w:t>
      </w:r>
      <w:r w:rsidR="00B34B32" w:rsidRPr="001C52C0">
        <w:rPr>
          <w:rFonts w:ascii="Tahoma" w:hAnsi="Tahoma" w:cs="Tahoma"/>
          <w:b/>
          <w:bCs/>
          <w:lang w:eastAsia="es-CO"/>
        </w:rPr>
        <w:t xml:space="preserve">No. </w:t>
      </w:r>
    </w:p>
    <w:p w14:paraId="68A778C8" w14:textId="77777777" w:rsidR="0064273D" w:rsidRDefault="0064273D" w:rsidP="001C52C0">
      <w:pPr>
        <w:spacing w:line="276" w:lineRule="auto"/>
        <w:jc w:val="center"/>
        <w:textAlignment w:val="baseline"/>
        <w:rPr>
          <w:rFonts w:ascii="Tahoma" w:hAnsi="Tahoma" w:cs="Tahoma"/>
          <w:b/>
          <w:bCs/>
          <w:lang w:eastAsia="es-CO"/>
        </w:rPr>
      </w:pPr>
    </w:p>
    <w:p w14:paraId="50E1F3ED" w14:textId="77777777" w:rsidR="0064273D" w:rsidRPr="0064273D" w:rsidRDefault="0064273D" w:rsidP="0064273D">
      <w:pPr>
        <w:spacing w:line="276" w:lineRule="auto"/>
        <w:ind w:firstLine="709"/>
        <w:jc w:val="center"/>
        <w:textAlignment w:val="baseline"/>
        <w:rPr>
          <w:rFonts w:ascii="Tahoma" w:hAnsi="Tahoma" w:cs="Tahoma"/>
          <w:lang w:val="es-CO" w:eastAsia="es-CO"/>
        </w:rPr>
      </w:pPr>
      <w:r w:rsidRPr="0064273D">
        <w:rPr>
          <w:rFonts w:ascii="Tahoma" w:hAnsi="Tahoma" w:cs="Tahoma"/>
          <w:lang w:val="es-CO" w:eastAsia="es-CO"/>
        </w:rPr>
        <w:t>Magistrada Ponente: </w:t>
      </w:r>
      <w:r w:rsidRPr="0064273D">
        <w:rPr>
          <w:rFonts w:ascii="Tahoma" w:hAnsi="Tahoma" w:cs="Tahoma"/>
          <w:b/>
          <w:bCs/>
          <w:lang w:val="es-CO" w:eastAsia="es-CO"/>
        </w:rPr>
        <w:t>Ana Lucía Caicedo Calderón</w:t>
      </w:r>
      <w:r w:rsidRPr="0064273D">
        <w:rPr>
          <w:rFonts w:ascii="Tahoma" w:hAnsi="Tahoma" w:cs="Tahoma"/>
          <w:lang w:val="es-CO" w:eastAsia="es-CO"/>
        </w:rPr>
        <w:t> </w:t>
      </w:r>
    </w:p>
    <w:p w14:paraId="1424224E" w14:textId="30901236" w:rsidR="00766B8A" w:rsidRPr="001C52C0" w:rsidRDefault="00766B8A" w:rsidP="0064273D">
      <w:pPr>
        <w:spacing w:line="276" w:lineRule="auto"/>
        <w:textAlignment w:val="baseline"/>
        <w:rPr>
          <w:rFonts w:ascii="Tahoma" w:hAnsi="Tahoma" w:cs="Tahoma"/>
          <w:lang w:val="es-CO" w:eastAsia="es-CO"/>
        </w:rPr>
      </w:pPr>
      <w:r w:rsidRPr="001C52C0">
        <w:rPr>
          <w:rFonts w:ascii="Tahoma" w:hAnsi="Tahoma" w:cs="Tahoma"/>
          <w:color w:val="000000"/>
          <w:lang w:val="es-CO" w:eastAsia="es-CO"/>
        </w:rPr>
        <w:t> </w:t>
      </w:r>
    </w:p>
    <w:p w14:paraId="4944CD3F" w14:textId="77777777" w:rsidR="00766B8A" w:rsidRPr="001C52C0" w:rsidRDefault="00766B8A" w:rsidP="001C52C0">
      <w:pPr>
        <w:spacing w:line="276" w:lineRule="auto"/>
        <w:jc w:val="center"/>
        <w:textAlignment w:val="baseline"/>
        <w:rPr>
          <w:rFonts w:ascii="Tahoma" w:hAnsi="Tahoma" w:cs="Tahoma"/>
          <w:lang w:val="es-CO" w:eastAsia="es-CO"/>
        </w:rPr>
      </w:pPr>
      <w:r w:rsidRPr="001C52C0">
        <w:rPr>
          <w:rFonts w:ascii="Tahoma" w:hAnsi="Tahoma" w:cs="Tahoma"/>
          <w:color w:val="000000"/>
          <w:lang w:eastAsia="es-CO"/>
        </w:rPr>
        <w:t>Magistrada Ponente: </w:t>
      </w:r>
      <w:r w:rsidRPr="001C52C0">
        <w:rPr>
          <w:rFonts w:ascii="Tahoma" w:hAnsi="Tahoma" w:cs="Tahoma"/>
          <w:b/>
          <w:bCs/>
          <w:color w:val="000000"/>
          <w:lang w:eastAsia="es-CO"/>
        </w:rPr>
        <w:t>Ana Lucía Caicedo Calderón</w:t>
      </w:r>
      <w:r w:rsidRPr="001C52C0">
        <w:rPr>
          <w:rFonts w:ascii="Tahoma" w:hAnsi="Tahoma" w:cs="Tahoma"/>
          <w:color w:val="000000"/>
          <w:lang w:val="es-CO" w:eastAsia="es-CO"/>
        </w:rPr>
        <w:t> </w:t>
      </w:r>
    </w:p>
    <w:p w14:paraId="6F82CB97" w14:textId="77777777" w:rsidR="00766B8A" w:rsidRPr="001C52C0" w:rsidRDefault="00766B8A" w:rsidP="001C52C0">
      <w:pPr>
        <w:spacing w:line="276" w:lineRule="auto"/>
        <w:jc w:val="center"/>
        <w:textAlignment w:val="baseline"/>
        <w:rPr>
          <w:rFonts w:ascii="Tahoma" w:hAnsi="Tahoma" w:cs="Tahoma"/>
          <w:lang w:val="es-CO" w:eastAsia="es-CO"/>
        </w:rPr>
      </w:pPr>
      <w:r w:rsidRPr="001C52C0">
        <w:rPr>
          <w:rFonts w:ascii="Tahoma" w:hAnsi="Tahoma" w:cs="Tahoma"/>
          <w:color w:val="000000"/>
          <w:lang w:val="es-CO" w:eastAsia="es-CO"/>
        </w:rPr>
        <w:t> </w:t>
      </w:r>
    </w:p>
    <w:p w14:paraId="07C95AAB" w14:textId="6111EEC7" w:rsidR="00766B8A" w:rsidRPr="001C52C0" w:rsidRDefault="00766B8A" w:rsidP="001C52C0">
      <w:pPr>
        <w:spacing w:line="276" w:lineRule="auto"/>
        <w:jc w:val="center"/>
        <w:textAlignment w:val="baseline"/>
        <w:rPr>
          <w:rFonts w:ascii="Tahoma" w:hAnsi="Tahoma" w:cs="Tahoma"/>
          <w:lang w:val="es-CO" w:eastAsia="es-CO"/>
        </w:rPr>
      </w:pPr>
      <w:r w:rsidRPr="001C52C0">
        <w:rPr>
          <w:rFonts w:ascii="Tahoma" w:hAnsi="Tahoma" w:cs="Tahoma"/>
          <w:lang w:val="es-CO" w:eastAsia="es-CO"/>
        </w:rPr>
        <w:t>Pereira, Risaralda, </w:t>
      </w:r>
      <w:r w:rsidR="00390A35" w:rsidRPr="001C52C0">
        <w:rPr>
          <w:rFonts w:ascii="Tahoma" w:hAnsi="Tahoma" w:cs="Tahoma"/>
          <w:lang w:val="es-CO" w:eastAsia="es-CO"/>
        </w:rPr>
        <w:t xml:space="preserve">junio once </w:t>
      </w:r>
      <w:r w:rsidRPr="001C52C0">
        <w:rPr>
          <w:rFonts w:ascii="Tahoma" w:hAnsi="Tahoma" w:cs="Tahoma"/>
          <w:lang w:val="es-CO" w:eastAsia="es-CO"/>
        </w:rPr>
        <w:t>(</w:t>
      </w:r>
      <w:r w:rsidR="002977F3" w:rsidRPr="001C52C0">
        <w:rPr>
          <w:rFonts w:ascii="Tahoma" w:hAnsi="Tahoma" w:cs="Tahoma"/>
          <w:lang w:val="es-CO" w:eastAsia="es-CO"/>
        </w:rPr>
        <w:t>1</w:t>
      </w:r>
      <w:r w:rsidR="00390A35" w:rsidRPr="001C52C0">
        <w:rPr>
          <w:rFonts w:ascii="Tahoma" w:hAnsi="Tahoma" w:cs="Tahoma"/>
          <w:lang w:val="es-CO" w:eastAsia="es-CO"/>
        </w:rPr>
        <w:t>1</w:t>
      </w:r>
      <w:r w:rsidRPr="001C52C0">
        <w:rPr>
          <w:rFonts w:ascii="Tahoma" w:hAnsi="Tahoma" w:cs="Tahoma"/>
          <w:lang w:val="es-CO" w:eastAsia="es-CO"/>
        </w:rPr>
        <w:t>) de dos mil veint</w:t>
      </w:r>
      <w:r w:rsidR="0012133C" w:rsidRPr="001C52C0">
        <w:rPr>
          <w:rFonts w:ascii="Tahoma" w:hAnsi="Tahoma" w:cs="Tahoma"/>
          <w:lang w:val="es-CO" w:eastAsia="es-CO"/>
        </w:rPr>
        <w:t xml:space="preserve">iuno </w:t>
      </w:r>
      <w:r w:rsidRPr="001C52C0">
        <w:rPr>
          <w:rFonts w:ascii="Tahoma" w:hAnsi="Tahoma" w:cs="Tahoma"/>
          <w:lang w:val="es-CO" w:eastAsia="es-CO"/>
        </w:rPr>
        <w:t>(202</w:t>
      </w:r>
      <w:r w:rsidR="0012133C" w:rsidRPr="001C52C0">
        <w:rPr>
          <w:rFonts w:ascii="Tahoma" w:hAnsi="Tahoma" w:cs="Tahoma"/>
          <w:lang w:val="es-CO" w:eastAsia="es-CO"/>
        </w:rPr>
        <w:t>1</w:t>
      </w:r>
      <w:r w:rsidRPr="001C52C0">
        <w:rPr>
          <w:rFonts w:ascii="Tahoma" w:hAnsi="Tahoma" w:cs="Tahoma"/>
          <w:lang w:val="es-CO" w:eastAsia="es-CO"/>
        </w:rPr>
        <w:t>)  </w:t>
      </w:r>
    </w:p>
    <w:p w14:paraId="52A7FA82" w14:textId="506EA104" w:rsidR="00766B8A" w:rsidRPr="001C52C0" w:rsidRDefault="00766B8A" w:rsidP="001C52C0">
      <w:pPr>
        <w:spacing w:line="276" w:lineRule="auto"/>
        <w:jc w:val="center"/>
        <w:textAlignment w:val="baseline"/>
        <w:rPr>
          <w:rFonts w:ascii="Tahoma" w:hAnsi="Tahoma" w:cs="Tahoma"/>
          <w:lang w:val="es-CO" w:eastAsia="es-CO"/>
        </w:rPr>
      </w:pPr>
      <w:r w:rsidRPr="001C52C0">
        <w:rPr>
          <w:rFonts w:ascii="Tahoma" w:hAnsi="Tahoma" w:cs="Tahoma"/>
          <w:lang w:val="es-CO" w:eastAsia="es-CO"/>
        </w:rPr>
        <w:t xml:space="preserve"> Acta No. ___ del </w:t>
      </w:r>
      <w:r w:rsidR="002977F3" w:rsidRPr="001C52C0">
        <w:rPr>
          <w:rFonts w:ascii="Tahoma" w:hAnsi="Tahoma" w:cs="Tahoma"/>
          <w:lang w:val="es-CO" w:eastAsia="es-CO"/>
        </w:rPr>
        <w:t>1</w:t>
      </w:r>
      <w:r w:rsidR="00390A35" w:rsidRPr="001C52C0">
        <w:rPr>
          <w:rFonts w:ascii="Tahoma" w:hAnsi="Tahoma" w:cs="Tahoma"/>
          <w:lang w:val="es-CO" w:eastAsia="es-CO"/>
        </w:rPr>
        <w:t>0</w:t>
      </w:r>
      <w:r w:rsidR="00FF4C7F" w:rsidRPr="001C52C0">
        <w:rPr>
          <w:rFonts w:ascii="Tahoma" w:hAnsi="Tahoma" w:cs="Tahoma"/>
          <w:lang w:val="es-CO" w:eastAsia="es-CO"/>
        </w:rPr>
        <w:t xml:space="preserve"> </w:t>
      </w:r>
      <w:r w:rsidRPr="001C52C0">
        <w:rPr>
          <w:rFonts w:ascii="Tahoma" w:hAnsi="Tahoma" w:cs="Tahoma"/>
          <w:lang w:val="es-CO" w:eastAsia="es-CO"/>
        </w:rPr>
        <w:t xml:space="preserve">de </w:t>
      </w:r>
      <w:r w:rsidR="00390A35" w:rsidRPr="001C52C0">
        <w:rPr>
          <w:rFonts w:ascii="Tahoma" w:hAnsi="Tahoma" w:cs="Tahoma"/>
          <w:lang w:val="es-CO" w:eastAsia="es-CO"/>
        </w:rPr>
        <w:t xml:space="preserve">junio </w:t>
      </w:r>
      <w:r w:rsidR="002A5055" w:rsidRPr="001C52C0">
        <w:rPr>
          <w:rFonts w:ascii="Tahoma" w:hAnsi="Tahoma" w:cs="Tahoma"/>
          <w:lang w:val="es-CO" w:eastAsia="es-CO"/>
        </w:rPr>
        <w:t xml:space="preserve">de </w:t>
      </w:r>
      <w:r w:rsidRPr="001C52C0">
        <w:rPr>
          <w:rFonts w:ascii="Tahoma" w:hAnsi="Tahoma" w:cs="Tahoma"/>
          <w:lang w:val="es-CO" w:eastAsia="es-CO"/>
        </w:rPr>
        <w:t>202</w:t>
      </w:r>
      <w:r w:rsidR="0012133C" w:rsidRPr="001C52C0">
        <w:rPr>
          <w:rFonts w:ascii="Tahoma" w:hAnsi="Tahoma" w:cs="Tahoma"/>
          <w:lang w:val="es-CO" w:eastAsia="es-CO"/>
        </w:rPr>
        <w:t>1</w:t>
      </w:r>
      <w:r w:rsidRPr="001C52C0">
        <w:rPr>
          <w:rFonts w:ascii="Tahoma" w:hAnsi="Tahoma" w:cs="Tahoma"/>
          <w:lang w:val="es-CO" w:eastAsia="es-CO"/>
        </w:rPr>
        <w:t>  </w:t>
      </w:r>
    </w:p>
    <w:p w14:paraId="11422366" w14:textId="77777777" w:rsidR="003A3BBB" w:rsidRPr="001C52C0" w:rsidRDefault="003A3BBB" w:rsidP="001C52C0">
      <w:pPr>
        <w:pStyle w:val="Sinespaciado"/>
        <w:spacing w:line="276" w:lineRule="auto"/>
        <w:rPr>
          <w:rFonts w:ascii="Tahoma" w:hAnsi="Tahoma" w:cs="Tahoma"/>
        </w:rPr>
      </w:pPr>
      <w:r w:rsidRPr="001C52C0">
        <w:rPr>
          <w:rFonts w:ascii="Tahoma" w:hAnsi="Tahoma" w:cs="Tahoma"/>
        </w:rPr>
        <w:tab/>
      </w:r>
      <w:r w:rsidR="004052FE" w:rsidRPr="001C52C0">
        <w:rPr>
          <w:rFonts w:ascii="Tahoma" w:hAnsi="Tahoma" w:cs="Tahoma"/>
        </w:rPr>
        <w:t xml:space="preserve"> </w:t>
      </w:r>
    </w:p>
    <w:p w14:paraId="3154AF30" w14:textId="4A82E909" w:rsidR="003A3BBB" w:rsidRPr="001C52C0" w:rsidRDefault="00766B8A" w:rsidP="001C52C0">
      <w:pPr>
        <w:spacing w:line="276" w:lineRule="auto"/>
        <w:ind w:firstLine="708"/>
        <w:jc w:val="both"/>
        <w:rPr>
          <w:rFonts w:ascii="Tahoma" w:hAnsi="Tahoma" w:cs="Tahoma"/>
          <w:b/>
          <w:lang w:val="es-ES_tradnl"/>
        </w:rPr>
      </w:pPr>
      <w:r w:rsidRPr="001C52C0">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1C52C0">
        <w:rPr>
          <w:rFonts w:ascii="Tahoma" w:hAnsi="Tahoma" w:cs="Tahoma"/>
        </w:rPr>
        <w:t xml:space="preserve"> </w:t>
      </w:r>
      <w:r w:rsidRPr="001C52C0">
        <w:rPr>
          <w:rFonts w:ascii="Tahoma" w:hAnsi="Tahoma" w:cs="Tahoma"/>
          <w:color w:val="000000"/>
          <w:lang w:val="es-ES_tradnl"/>
        </w:rPr>
        <w:t xml:space="preserve">las providencias de segunda instancia en las que se surta el grado jurisdiccional de consulta o se resuelva el recurso de </w:t>
      </w:r>
      <w:r w:rsidRPr="001C52C0">
        <w:rPr>
          <w:rFonts w:ascii="Tahoma" w:hAnsi="Tahoma" w:cs="Tahoma"/>
          <w:color w:val="000000"/>
          <w:lang w:val="es-ES_tradnl"/>
        </w:rPr>
        <w:lastRenderedPageBreak/>
        <w:t xml:space="preserve">apelación de autos o sentencias, </w:t>
      </w:r>
      <w:r w:rsidRPr="001C52C0">
        <w:rPr>
          <w:rFonts w:ascii="Tahoma" w:hAnsi="Tahoma" w:cs="Tahoma"/>
          <w:color w:val="000000"/>
        </w:rPr>
        <w:t xml:space="preserve">la Sala de </w:t>
      </w:r>
      <w:r w:rsidRPr="001C52C0">
        <w:rPr>
          <w:rFonts w:ascii="Tahoma" w:hAnsi="Tahoma" w:cs="Tahoma"/>
        </w:rPr>
        <w:t xml:space="preserve">Decisión Laboral </w:t>
      </w:r>
      <w:r w:rsidR="00390A35" w:rsidRPr="001C52C0">
        <w:rPr>
          <w:rFonts w:ascii="Tahoma" w:hAnsi="Tahoma" w:cs="Tahoma"/>
        </w:rPr>
        <w:t xml:space="preserve">No. 1 del Tribunal Superior de Pereira </w:t>
      </w:r>
      <w:r w:rsidR="001A3764" w:rsidRPr="001C52C0">
        <w:rPr>
          <w:rFonts w:ascii="Tahoma" w:hAnsi="Tahoma" w:cs="Tahoma"/>
          <w:color w:val="000000"/>
          <w:lang w:val="es-ES_tradnl"/>
        </w:rPr>
        <w:t>-</w:t>
      </w:r>
      <w:r w:rsidRPr="001C52C0">
        <w:rPr>
          <w:rFonts w:ascii="Tahoma" w:hAnsi="Tahoma" w:cs="Tahoma"/>
        </w:rPr>
        <w:t>integrada por las Magistradas ANA LUCÍA CAICEDO CALDERÓN</w:t>
      </w:r>
      <w:r w:rsidR="00390A35" w:rsidRPr="001C52C0">
        <w:rPr>
          <w:rFonts w:ascii="Tahoma" w:hAnsi="Tahoma" w:cs="Tahoma"/>
        </w:rPr>
        <w:t>,</w:t>
      </w:r>
      <w:r w:rsidRPr="001C52C0">
        <w:rPr>
          <w:rFonts w:ascii="Tahoma" w:hAnsi="Tahoma" w:cs="Tahoma"/>
        </w:rPr>
        <w:t xml:space="preserve"> como Ponente, OLGA LUCÍA HOYOS SEPÚLVEDA y el Magistrado </w:t>
      </w:r>
      <w:r w:rsidR="0012133A" w:rsidRPr="001C52C0">
        <w:rPr>
          <w:rFonts w:ascii="Tahoma" w:hAnsi="Tahoma" w:cs="Tahoma"/>
        </w:rPr>
        <w:t>GERMÁN DARIO GÓEZ VINASCO</w:t>
      </w:r>
      <w:r w:rsidR="001A3764" w:rsidRPr="001C52C0">
        <w:rPr>
          <w:rFonts w:ascii="Tahoma" w:hAnsi="Tahoma" w:cs="Tahoma"/>
        </w:rPr>
        <w:t>-</w:t>
      </w:r>
      <w:r w:rsidRPr="001C52C0">
        <w:rPr>
          <w:rFonts w:ascii="Tahoma" w:hAnsi="Tahoma" w:cs="Tahoma"/>
        </w:rPr>
        <w:t>, procede a proferir la siguiente sentencia escrita</w:t>
      </w:r>
      <w:r w:rsidRPr="001C52C0">
        <w:rPr>
          <w:rStyle w:val="normaltextrun"/>
          <w:rFonts w:ascii="Tahoma" w:hAnsi="Tahoma" w:cs="Tahoma"/>
        </w:rPr>
        <w:t xml:space="preserve"> </w:t>
      </w:r>
      <w:r w:rsidRPr="001C52C0">
        <w:rPr>
          <w:rFonts w:ascii="Tahoma" w:hAnsi="Tahoma" w:cs="Tahoma"/>
        </w:rPr>
        <w:t>dentro</w:t>
      </w:r>
      <w:r w:rsidRPr="001C52C0">
        <w:rPr>
          <w:rStyle w:val="normaltextrun"/>
          <w:rFonts w:ascii="Tahoma" w:hAnsi="Tahoma" w:cs="Tahoma"/>
        </w:rPr>
        <w:t xml:space="preserve"> del proceso ordinario laboral instaurado por</w:t>
      </w:r>
      <w:r w:rsidR="003A3BBB" w:rsidRPr="001C52C0">
        <w:rPr>
          <w:rFonts w:ascii="Tahoma" w:hAnsi="Tahoma" w:cs="Tahoma"/>
          <w:lang w:val="es-ES_tradnl"/>
        </w:rPr>
        <w:t xml:space="preserve"> </w:t>
      </w:r>
      <w:r w:rsidR="000B584D" w:rsidRPr="001C52C0">
        <w:rPr>
          <w:rFonts w:ascii="Tahoma" w:hAnsi="Tahoma" w:cs="Tahoma"/>
          <w:b/>
          <w:lang w:val="es-ES_tradnl"/>
        </w:rPr>
        <w:t xml:space="preserve">Yolanda Durán Osorio </w:t>
      </w:r>
      <w:r w:rsidR="003A3BBB" w:rsidRPr="001C52C0">
        <w:rPr>
          <w:rFonts w:ascii="Tahoma" w:hAnsi="Tahoma" w:cs="Tahoma"/>
          <w:lang w:val="es-ES_tradnl"/>
        </w:rPr>
        <w:t>en contra de</w:t>
      </w:r>
      <w:r w:rsidR="005D79AB" w:rsidRPr="001C52C0">
        <w:rPr>
          <w:rFonts w:ascii="Tahoma" w:hAnsi="Tahoma" w:cs="Tahoma"/>
          <w:lang w:val="es-ES_tradnl"/>
        </w:rPr>
        <w:t xml:space="preserve"> la </w:t>
      </w:r>
      <w:r w:rsidR="00CD1C4B" w:rsidRPr="001C52C0">
        <w:rPr>
          <w:rFonts w:ascii="Tahoma" w:hAnsi="Tahoma" w:cs="Tahoma"/>
          <w:b/>
          <w:lang w:val="es-ES_tradnl"/>
        </w:rPr>
        <w:t xml:space="preserve">Administradora </w:t>
      </w:r>
      <w:r w:rsidR="000B584D" w:rsidRPr="001C52C0">
        <w:rPr>
          <w:rFonts w:ascii="Tahoma" w:hAnsi="Tahoma" w:cs="Tahoma"/>
          <w:b/>
          <w:lang w:val="es-ES_tradnl"/>
        </w:rPr>
        <w:t xml:space="preserve">Colombiana de Pensiones </w:t>
      </w:r>
      <w:r w:rsidR="003721D3">
        <w:rPr>
          <w:rFonts w:ascii="Tahoma" w:hAnsi="Tahoma" w:cs="Tahoma"/>
          <w:b/>
          <w:lang w:val="es-ES_tradnl"/>
        </w:rPr>
        <w:t>–</w:t>
      </w:r>
      <w:r w:rsidR="000B584D" w:rsidRPr="001C52C0">
        <w:rPr>
          <w:rFonts w:ascii="Tahoma" w:hAnsi="Tahoma" w:cs="Tahoma"/>
          <w:b/>
          <w:lang w:val="es-ES_tradnl"/>
        </w:rPr>
        <w:t xml:space="preserve"> Colpensiones</w:t>
      </w:r>
      <w:r w:rsidR="00390A35" w:rsidRPr="001C52C0">
        <w:rPr>
          <w:rFonts w:ascii="Tahoma" w:hAnsi="Tahoma" w:cs="Tahoma"/>
          <w:b/>
          <w:lang w:val="es-ES_tradnl"/>
        </w:rPr>
        <w:t>.</w:t>
      </w:r>
    </w:p>
    <w:p w14:paraId="6696ACCB" w14:textId="77777777" w:rsidR="00B34B32" w:rsidRPr="001C52C0" w:rsidRDefault="00B34B32" w:rsidP="001C52C0">
      <w:pPr>
        <w:spacing w:line="276" w:lineRule="auto"/>
        <w:ind w:firstLine="708"/>
        <w:jc w:val="both"/>
        <w:rPr>
          <w:rFonts w:ascii="Tahoma" w:hAnsi="Tahoma" w:cs="Tahoma"/>
          <w:b/>
          <w:lang w:val="es-ES_tradnl"/>
        </w:rPr>
      </w:pPr>
    </w:p>
    <w:p w14:paraId="3864ECFF" w14:textId="77777777" w:rsidR="00766B8A" w:rsidRPr="001C52C0" w:rsidRDefault="00766B8A" w:rsidP="001C52C0">
      <w:pPr>
        <w:pStyle w:val="paragraph"/>
        <w:spacing w:before="0" w:beforeAutospacing="0" w:after="0" w:afterAutospacing="0" w:line="276" w:lineRule="auto"/>
        <w:jc w:val="center"/>
        <w:textAlignment w:val="baseline"/>
        <w:rPr>
          <w:rFonts w:ascii="Tahoma" w:hAnsi="Tahoma" w:cs="Tahoma"/>
        </w:rPr>
      </w:pPr>
      <w:r w:rsidRPr="001C52C0">
        <w:rPr>
          <w:rStyle w:val="normaltextrun"/>
          <w:rFonts w:ascii="Tahoma" w:hAnsi="Tahoma" w:cs="Tahoma"/>
          <w:b/>
          <w:bCs/>
          <w:color w:val="000000"/>
          <w:lang w:val="es-ES"/>
        </w:rPr>
        <w:t>PUNTO A TRATAR</w:t>
      </w:r>
    </w:p>
    <w:p w14:paraId="12E4D180" w14:textId="77777777" w:rsidR="00766B8A" w:rsidRPr="001C52C0" w:rsidRDefault="00766B8A" w:rsidP="001C52C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52CBBE24" w14:textId="37664B85" w:rsidR="00FB100A" w:rsidRPr="001C52C0" w:rsidRDefault="00FB100A" w:rsidP="001C52C0">
      <w:pPr>
        <w:spacing w:line="276" w:lineRule="auto"/>
        <w:ind w:firstLine="708"/>
        <w:jc w:val="both"/>
        <w:rPr>
          <w:rStyle w:val="eop"/>
          <w:rFonts w:ascii="Tahoma" w:hAnsi="Tahoma" w:cs="Tahoma"/>
        </w:rPr>
      </w:pPr>
      <w:r w:rsidRPr="001C52C0">
        <w:rPr>
          <w:rStyle w:val="normaltextrun"/>
          <w:rFonts w:ascii="Tahoma" w:hAnsi="Tahoma" w:cs="Tahoma"/>
        </w:rPr>
        <w:t>Por medio de esta providencia procede la Sala a</w:t>
      </w:r>
      <w:r w:rsidRPr="001C52C0">
        <w:rPr>
          <w:rFonts w:ascii="Tahoma" w:hAnsi="Tahoma" w:cs="Tahoma"/>
        </w:rPr>
        <w:t xml:space="preserve"> re</w:t>
      </w:r>
      <w:r w:rsidR="000B584D" w:rsidRPr="001C52C0">
        <w:rPr>
          <w:rFonts w:ascii="Tahoma" w:hAnsi="Tahoma" w:cs="Tahoma"/>
        </w:rPr>
        <w:t xml:space="preserve">visar en sede de consulta </w:t>
      </w:r>
      <w:r w:rsidRPr="001C52C0">
        <w:rPr>
          <w:rFonts w:ascii="Tahoma" w:hAnsi="Tahoma" w:cs="Tahoma"/>
        </w:rPr>
        <w:t xml:space="preserve">la sentencia emitida por el Juzgado </w:t>
      </w:r>
      <w:r w:rsidR="004445E2" w:rsidRPr="001C52C0">
        <w:rPr>
          <w:rFonts w:ascii="Tahoma" w:hAnsi="Tahoma" w:cs="Tahoma"/>
        </w:rPr>
        <w:t xml:space="preserve">Quinto </w:t>
      </w:r>
      <w:r w:rsidRPr="001C52C0">
        <w:rPr>
          <w:rFonts w:ascii="Tahoma" w:hAnsi="Tahoma" w:cs="Tahoma"/>
        </w:rPr>
        <w:t xml:space="preserve">Laboral del Circuito de Pereira el </w:t>
      </w:r>
      <w:r w:rsidR="000B584D" w:rsidRPr="001C52C0">
        <w:rPr>
          <w:rFonts w:ascii="Tahoma" w:hAnsi="Tahoma" w:cs="Tahoma"/>
        </w:rPr>
        <w:t>15 de febrero de 2021, al haber sido desfavorable a los intereses de la demandante</w:t>
      </w:r>
      <w:r w:rsidRPr="001C52C0">
        <w:rPr>
          <w:rFonts w:ascii="Tahoma" w:hAnsi="Tahoma" w:cs="Tahoma"/>
        </w:rPr>
        <w:t xml:space="preserve">. </w:t>
      </w:r>
      <w:r w:rsidRPr="001C52C0">
        <w:rPr>
          <w:rStyle w:val="normaltextrun"/>
          <w:rFonts w:ascii="Tahoma" w:hAnsi="Tahoma" w:cs="Tahoma"/>
        </w:rPr>
        <w:t>Para ello se tiene en cuenta lo siguiente: </w:t>
      </w:r>
      <w:r w:rsidRPr="001C52C0">
        <w:rPr>
          <w:rStyle w:val="eop"/>
          <w:rFonts w:ascii="Tahoma" w:hAnsi="Tahoma" w:cs="Tahoma"/>
        </w:rPr>
        <w:t> </w:t>
      </w:r>
    </w:p>
    <w:p w14:paraId="63E2E156" w14:textId="77777777" w:rsidR="003D5F4E" w:rsidRPr="001C52C0" w:rsidRDefault="003D5F4E" w:rsidP="001C52C0">
      <w:pPr>
        <w:spacing w:line="276" w:lineRule="auto"/>
        <w:jc w:val="both"/>
        <w:rPr>
          <w:rFonts w:ascii="Tahoma" w:hAnsi="Tahoma" w:cs="Tahoma"/>
        </w:rPr>
      </w:pPr>
    </w:p>
    <w:p w14:paraId="11EB8792" w14:textId="77777777" w:rsidR="003A3BBB" w:rsidRPr="001C52C0" w:rsidRDefault="003A3BBB" w:rsidP="001C52C0">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1C52C0">
        <w:rPr>
          <w:rFonts w:ascii="Tahoma" w:hAnsi="Tahoma" w:cs="Tahoma"/>
          <w:b/>
        </w:rPr>
        <w:t>La demanda y su contestación</w:t>
      </w:r>
    </w:p>
    <w:p w14:paraId="5BE3C8FA" w14:textId="77777777" w:rsidR="00FB100A" w:rsidRPr="001C52C0" w:rsidRDefault="00FB100A" w:rsidP="001C52C0">
      <w:pPr>
        <w:widowControl w:val="0"/>
        <w:autoSpaceDE w:val="0"/>
        <w:autoSpaceDN w:val="0"/>
        <w:adjustRightInd w:val="0"/>
        <w:spacing w:line="276" w:lineRule="auto"/>
        <w:rPr>
          <w:rFonts w:ascii="Tahoma" w:hAnsi="Tahoma" w:cs="Tahoma"/>
        </w:rPr>
      </w:pPr>
    </w:p>
    <w:p w14:paraId="112B583B" w14:textId="32A802D4" w:rsidR="004445E2" w:rsidRPr="001C52C0" w:rsidRDefault="00FB100A" w:rsidP="001C52C0">
      <w:pPr>
        <w:widowControl w:val="0"/>
        <w:autoSpaceDE w:val="0"/>
        <w:autoSpaceDN w:val="0"/>
        <w:adjustRightInd w:val="0"/>
        <w:spacing w:line="276" w:lineRule="auto"/>
        <w:ind w:firstLine="708"/>
        <w:jc w:val="both"/>
        <w:rPr>
          <w:rFonts w:ascii="Tahoma" w:hAnsi="Tahoma" w:cs="Tahoma"/>
        </w:rPr>
      </w:pPr>
      <w:r w:rsidRPr="001C52C0">
        <w:rPr>
          <w:rFonts w:ascii="Tahoma" w:hAnsi="Tahoma" w:cs="Tahoma"/>
        </w:rPr>
        <w:t xml:space="preserve">Solicita la </w:t>
      </w:r>
      <w:r w:rsidR="004445E2" w:rsidRPr="001C52C0">
        <w:rPr>
          <w:rFonts w:ascii="Tahoma" w:hAnsi="Tahoma" w:cs="Tahoma"/>
        </w:rPr>
        <w:t xml:space="preserve">citada demandante que </w:t>
      </w:r>
      <w:r w:rsidR="00AF3BB6" w:rsidRPr="001C52C0">
        <w:rPr>
          <w:rFonts w:ascii="Tahoma" w:hAnsi="Tahoma" w:cs="Tahoma"/>
        </w:rPr>
        <w:t xml:space="preserve">se le reconozca la pensión de sobrevivientes a partir del deceso del causante, </w:t>
      </w:r>
      <w:r w:rsidR="00A57F19" w:rsidRPr="001C52C0">
        <w:rPr>
          <w:rFonts w:ascii="Tahoma" w:hAnsi="Tahoma" w:cs="Tahoma"/>
          <w:i/>
        </w:rPr>
        <w:t>“</w:t>
      </w:r>
      <w:r w:rsidR="00AF3BB6" w:rsidRPr="001C52C0">
        <w:rPr>
          <w:rFonts w:ascii="Tahoma" w:hAnsi="Tahoma" w:cs="Tahoma"/>
          <w:i/>
        </w:rPr>
        <w:t>debidamente indexada, más los intereses moratorios</w:t>
      </w:r>
      <w:r w:rsidR="00924BE2" w:rsidRPr="001C52C0">
        <w:rPr>
          <w:rFonts w:ascii="Tahoma" w:hAnsi="Tahoma" w:cs="Tahoma"/>
          <w:i/>
        </w:rPr>
        <w:t>”</w:t>
      </w:r>
      <w:r w:rsidR="00AF3BB6" w:rsidRPr="001C52C0">
        <w:rPr>
          <w:rFonts w:ascii="Tahoma" w:hAnsi="Tahoma" w:cs="Tahoma"/>
        </w:rPr>
        <w:t xml:space="preserve"> y las costas procesales.</w:t>
      </w:r>
    </w:p>
    <w:p w14:paraId="1B1DA8DC" w14:textId="77777777" w:rsidR="00FB100A" w:rsidRPr="001C52C0" w:rsidRDefault="00FB100A" w:rsidP="001C52C0">
      <w:pPr>
        <w:widowControl w:val="0"/>
        <w:autoSpaceDE w:val="0"/>
        <w:autoSpaceDN w:val="0"/>
        <w:adjustRightInd w:val="0"/>
        <w:spacing w:line="276" w:lineRule="auto"/>
        <w:ind w:firstLine="708"/>
        <w:jc w:val="both"/>
        <w:rPr>
          <w:rFonts w:ascii="Tahoma" w:hAnsi="Tahoma" w:cs="Tahoma"/>
        </w:rPr>
      </w:pPr>
    </w:p>
    <w:p w14:paraId="22C0C8FA" w14:textId="7839756A" w:rsidR="009C4373" w:rsidRPr="001C52C0" w:rsidRDefault="00732C86" w:rsidP="001C52C0">
      <w:pPr>
        <w:widowControl w:val="0"/>
        <w:autoSpaceDE w:val="0"/>
        <w:autoSpaceDN w:val="0"/>
        <w:adjustRightInd w:val="0"/>
        <w:spacing w:line="276" w:lineRule="auto"/>
        <w:ind w:firstLine="708"/>
        <w:jc w:val="both"/>
        <w:rPr>
          <w:rFonts w:ascii="Tahoma" w:hAnsi="Tahoma" w:cs="Tahoma"/>
        </w:rPr>
      </w:pPr>
      <w:r w:rsidRPr="001C52C0">
        <w:rPr>
          <w:rFonts w:ascii="Tahoma" w:hAnsi="Tahoma" w:cs="Tahoma"/>
        </w:rPr>
        <w:t xml:space="preserve">Sustenta sus pedidos </w:t>
      </w:r>
      <w:r w:rsidR="0074314C" w:rsidRPr="001C52C0">
        <w:rPr>
          <w:rFonts w:ascii="Tahoma" w:hAnsi="Tahoma" w:cs="Tahoma"/>
        </w:rPr>
        <w:t xml:space="preserve">en que el </w:t>
      </w:r>
      <w:r w:rsidR="00AF3BB6" w:rsidRPr="001C52C0">
        <w:rPr>
          <w:rFonts w:ascii="Tahoma" w:hAnsi="Tahoma" w:cs="Tahoma"/>
        </w:rPr>
        <w:t>7</w:t>
      </w:r>
      <w:r w:rsidR="005101CD" w:rsidRPr="001C52C0">
        <w:rPr>
          <w:rFonts w:ascii="Tahoma" w:hAnsi="Tahoma" w:cs="Tahoma"/>
        </w:rPr>
        <w:t xml:space="preserve"> de julio de 19</w:t>
      </w:r>
      <w:r w:rsidR="00AF3BB6" w:rsidRPr="001C52C0">
        <w:rPr>
          <w:rFonts w:ascii="Tahoma" w:hAnsi="Tahoma" w:cs="Tahoma"/>
        </w:rPr>
        <w:t>79</w:t>
      </w:r>
      <w:r w:rsidR="005101CD" w:rsidRPr="001C52C0">
        <w:rPr>
          <w:rFonts w:ascii="Tahoma" w:hAnsi="Tahoma" w:cs="Tahoma"/>
        </w:rPr>
        <w:t xml:space="preserve"> </w:t>
      </w:r>
      <w:r w:rsidRPr="001C52C0">
        <w:rPr>
          <w:rFonts w:ascii="Tahoma" w:hAnsi="Tahoma" w:cs="Tahoma"/>
        </w:rPr>
        <w:t xml:space="preserve">contrajo </w:t>
      </w:r>
      <w:r w:rsidR="002018A2" w:rsidRPr="001C52C0">
        <w:rPr>
          <w:rFonts w:ascii="Tahoma" w:hAnsi="Tahoma" w:cs="Tahoma"/>
        </w:rPr>
        <w:t>matrimonio con</w:t>
      </w:r>
      <w:r w:rsidRPr="001C52C0">
        <w:rPr>
          <w:rFonts w:ascii="Tahoma" w:hAnsi="Tahoma" w:cs="Tahoma"/>
        </w:rPr>
        <w:t xml:space="preserve"> el señor </w:t>
      </w:r>
      <w:r w:rsidR="00AF3BB6" w:rsidRPr="001C52C0">
        <w:rPr>
          <w:rFonts w:ascii="Tahoma" w:hAnsi="Tahoma" w:cs="Tahoma"/>
        </w:rPr>
        <w:t>Henry Cepeda Saavedra</w:t>
      </w:r>
      <w:r w:rsidRPr="001C52C0">
        <w:rPr>
          <w:rFonts w:ascii="Tahoma" w:hAnsi="Tahoma" w:cs="Tahoma"/>
        </w:rPr>
        <w:t xml:space="preserve">, con quien convivió de manera ininterrumpida hasta el día de su deceso, acaecido el </w:t>
      </w:r>
      <w:r w:rsidR="00AF3BB6" w:rsidRPr="001C52C0">
        <w:rPr>
          <w:rFonts w:ascii="Tahoma" w:hAnsi="Tahoma" w:cs="Tahoma"/>
        </w:rPr>
        <w:t>18</w:t>
      </w:r>
      <w:r w:rsidR="005101CD" w:rsidRPr="001C52C0">
        <w:rPr>
          <w:rFonts w:ascii="Tahoma" w:hAnsi="Tahoma" w:cs="Tahoma"/>
        </w:rPr>
        <w:t xml:space="preserve"> de </w:t>
      </w:r>
      <w:r w:rsidR="00AF3BB6" w:rsidRPr="001C52C0">
        <w:rPr>
          <w:rFonts w:ascii="Tahoma" w:hAnsi="Tahoma" w:cs="Tahoma"/>
        </w:rPr>
        <w:t>noviembre de 2015</w:t>
      </w:r>
      <w:r w:rsidRPr="001C52C0">
        <w:rPr>
          <w:rFonts w:ascii="Tahoma" w:hAnsi="Tahoma" w:cs="Tahoma"/>
        </w:rPr>
        <w:t>.</w:t>
      </w:r>
    </w:p>
    <w:p w14:paraId="44391531" w14:textId="5CEEE020" w:rsidR="009C4373" w:rsidRPr="001C52C0" w:rsidRDefault="009C4373" w:rsidP="001C52C0">
      <w:pPr>
        <w:widowControl w:val="0"/>
        <w:autoSpaceDE w:val="0"/>
        <w:autoSpaceDN w:val="0"/>
        <w:adjustRightInd w:val="0"/>
        <w:spacing w:line="276" w:lineRule="auto"/>
        <w:ind w:firstLine="708"/>
        <w:jc w:val="both"/>
        <w:rPr>
          <w:rFonts w:ascii="Tahoma" w:hAnsi="Tahoma" w:cs="Tahoma"/>
        </w:rPr>
      </w:pPr>
    </w:p>
    <w:p w14:paraId="54EE1F84" w14:textId="0440E2B4" w:rsidR="0008679A" w:rsidRPr="001C52C0" w:rsidRDefault="00732C86" w:rsidP="001C52C0">
      <w:pPr>
        <w:widowControl w:val="0"/>
        <w:autoSpaceDE w:val="0"/>
        <w:autoSpaceDN w:val="0"/>
        <w:adjustRightInd w:val="0"/>
        <w:spacing w:line="276" w:lineRule="auto"/>
        <w:ind w:firstLine="708"/>
        <w:jc w:val="both"/>
        <w:rPr>
          <w:rFonts w:ascii="Tahoma" w:hAnsi="Tahoma" w:cs="Tahoma"/>
        </w:rPr>
      </w:pPr>
      <w:r w:rsidRPr="001C52C0">
        <w:rPr>
          <w:rFonts w:ascii="Tahoma" w:hAnsi="Tahoma" w:cs="Tahoma"/>
        </w:rPr>
        <w:t>Afirma que e</w:t>
      </w:r>
      <w:r w:rsidR="009C4373" w:rsidRPr="001C52C0">
        <w:rPr>
          <w:rFonts w:ascii="Tahoma" w:hAnsi="Tahoma" w:cs="Tahoma"/>
        </w:rPr>
        <w:t xml:space="preserve">l señor </w:t>
      </w:r>
      <w:r w:rsidR="00AF3BB6" w:rsidRPr="001C52C0">
        <w:rPr>
          <w:rFonts w:ascii="Tahoma" w:hAnsi="Tahoma" w:cs="Tahoma"/>
        </w:rPr>
        <w:t xml:space="preserve">Cepeda Saavedra había cotizado más de 300 semanas a la entrada en vigencia de la Ley 100 de 1993, por lo que el 25 de agosto de 2016 ella solicitó el reconocimiento de la pensión de sobrevivientes, la cual le fue denegada a través de la Resolución GNR 323034 </w:t>
      </w:r>
      <w:r w:rsidR="00CB3C4E" w:rsidRPr="001C52C0">
        <w:rPr>
          <w:rFonts w:ascii="Tahoma" w:hAnsi="Tahoma" w:cs="Tahoma"/>
        </w:rPr>
        <w:t>de la misma anualidad, bajo el argumento de que el causante no acreditaba los requisitos del artículo 46 de la Ley 100 de 1993, al momento de su óbito.</w:t>
      </w:r>
    </w:p>
    <w:p w14:paraId="2BF9783C" w14:textId="1C865B55" w:rsidR="00BD2235" w:rsidRPr="001C52C0" w:rsidRDefault="00BD2235" w:rsidP="001C52C0">
      <w:pPr>
        <w:widowControl w:val="0"/>
        <w:tabs>
          <w:tab w:val="left" w:pos="426"/>
        </w:tabs>
        <w:autoSpaceDE w:val="0"/>
        <w:autoSpaceDN w:val="0"/>
        <w:adjustRightInd w:val="0"/>
        <w:spacing w:line="276" w:lineRule="auto"/>
        <w:jc w:val="both"/>
        <w:rPr>
          <w:rFonts w:ascii="Tahoma" w:hAnsi="Tahoma" w:cs="Tahoma"/>
        </w:rPr>
      </w:pPr>
    </w:p>
    <w:p w14:paraId="696A94EF" w14:textId="38FA820A" w:rsidR="00BD2235" w:rsidRPr="001C52C0" w:rsidRDefault="00BD2235" w:rsidP="001C52C0">
      <w:pPr>
        <w:widowControl w:val="0"/>
        <w:tabs>
          <w:tab w:val="left" w:pos="426"/>
        </w:tabs>
        <w:autoSpaceDE w:val="0"/>
        <w:autoSpaceDN w:val="0"/>
        <w:adjustRightInd w:val="0"/>
        <w:spacing w:line="276" w:lineRule="auto"/>
        <w:jc w:val="both"/>
        <w:rPr>
          <w:rFonts w:ascii="Tahoma" w:hAnsi="Tahoma" w:cs="Tahoma"/>
        </w:rPr>
      </w:pPr>
      <w:r w:rsidRPr="001C52C0">
        <w:rPr>
          <w:rFonts w:ascii="Tahoma" w:hAnsi="Tahoma" w:cs="Tahoma"/>
        </w:rPr>
        <w:tab/>
      </w:r>
      <w:r w:rsidRPr="001C52C0">
        <w:rPr>
          <w:rFonts w:ascii="Tahoma" w:hAnsi="Tahoma" w:cs="Tahoma"/>
        </w:rPr>
        <w:tab/>
        <w:t xml:space="preserve">Al proceso fue vinculada </w:t>
      </w:r>
      <w:r w:rsidRPr="001C52C0">
        <w:rPr>
          <w:rFonts w:ascii="Tahoma" w:hAnsi="Tahoma" w:cs="Tahoma"/>
          <w:b/>
        </w:rPr>
        <w:t>Alejandra Cepeda Durán</w:t>
      </w:r>
      <w:r w:rsidRPr="001C52C0">
        <w:rPr>
          <w:rFonts w:ascii="Tahoma" w:hAnsi="Tahoma" w:cs="Tahoma"/>
        </w:rPr>
        <w:t>, hija de la</w:t>
      </w:r>
      <w:r w:rsidR="00855588" w:rsidRPr="001C52C0">
        <w:rPr>
          <w:rFonts w:ascii="Tahoma" w:hAnsi="Tahoma" w:cs="Tahoma"/>
        </w:rPr>
        <w:t xml:space="preserve"> demandante y el causante, quien solicitó que se reconociera la pensión tanto a su progenitora como a ella, en un 50% para cada una. </w:t>
      </w:r>
      <w:r w:rsidRPr="001C52C0">
        <w:rPr>
          <w:rFonts w:ascii="Tahoma" w:hAnsi="Tahoma" w:cs="Tahoma"/>
        </w:rPr>
        <w:t xml:space="preserve"> </w:t>
      </w:r>
    </w:p>
    <w:p w14:paraId="389AB867" w14:textId="44EE4498" w:rsidR="00CD77D3" w:rsidRPr="001C52C0" w:rsidRDefault="00CD77D3" w:rsidP="001C52C0">
      <w:pPr>
        <w:widowControl w:val="0"/>
        <w:autoSpaceDE w:val="0"/>
        <w:autoSpaceDN w:val="0"/>
        <w:adjustRightInd w:val="0"/>
        <w:spacing w:line="276" w:lineRule="auto"/>
        <w:ind w:firstLine="708"/>
        <w:jc w:val="both"/>
        <w:rPr>
          <w:rFonts w:ascii="Tahoma" w:hAnsi="Tahoma" w:cs="Tahoma"/>
        </w:rPr>
      </w:pPr>
    </w:p>
    <w:p w14:paraId="03565BD3" w14:textId="6352483C" w:rsidR="00855588" w:rsidRPr="001C52C0" w:rsidRDefault="00924BE2" w:rsidP="001C52C0">
      <w:pPr>
        <w:widowControl w:val="0"/>
        <w:tabs>
          <w:tab w:val="left" w:pos="426"/>
        </w:tabs>
        <w:autoSpaceDE w:val="0"/>
        <w:autoSpaceDN w:val="0"/>
        <w:adjustRightInd w:val="0"/>
        <w:spacing w:line="276" w:lineRule="auto"/>
        <w:jc w:val="both"/>
        <w:rPr>
          <w:rFonts w:ascii="Tahoma" w:hAnsi="Tahoma" w:cs="Tahoma"/>
        </w:rPr>
      </w:pPr>
      <w:r w:rsidRPr="001C52C0">
        <w:rPr>
          <w:rFonts w:ascii="Tahoma" w:hAnsi="Tahoma" w:cs="Tahoma"/>
          <w:b/>
        </w:rPr>
        <w:tab/>
      </w:r>
      <w:r w:rsidR="00855588" w:rsidRPr="001C52C0">
        <w:rPr>
          <w:rFonts w:ascii="Tahoma" w:hAnsi="Tahoma" w:cs="Tahoma"/>
          <w:b/>
        </w:rPr>
        <w:t xml:space="preserve">Colpensiones </w:t>
      </w:r>
      <w:r w:rsidR="00855588" w:rsidRPr="001C52C0">
        <w:rPr>
          <w:rFonts w:ascii="Tahoma" w:hAnsi="Tahoma" w:cs="Tahoma"/>
        </w:rPr>
        <w:t>se opuso a las pretensiones de las demandantes aduciendo que el señor Henry Cepeda no dejó causado el derecho al no cumplir con las exigencias de la Ley 797 de 2003, ni tampoco con las condiciones para dar aplicación al principio de la condición más beneficiosa.</w:t>
      </w:r>
    </w:p>
    <w:p w14:paraId="230D62DB" w14:textId="77777777" w:rsidR="00855588" w:rsidRPr="001C52C0" w:rsidRDefault="00855588" w:rsidP="001C52C0">
      <w:pPr>
        <w:widowControl w:val="0"/>
        <w:tabs>
          <w:tab w:val="left" w:pos="426"/>
        </w:tabs>
        <w:autoSpaceDE w:val="0"/>
        <w:autoSpaceDN w:val="0"/>
        <w:adjustRightInd w:val="0"/>
        <w:spacing w:line="276" w:lineRule="auto"/>
        <w:jc w:val="both"/>
        <w:rPr>
          <w:rFonts w:ascii="Tahoma" w:hAnsi="Tahoma" w:cs="Tahoma"/>
        </w:rPr>
      </w:pPr>
    </w:p>
    <w:p w14:paraId="53961DAF" w14:textId="77777777" w:rsidR="00855588" w:rsidRPr="001C52C0" w:rsidRDefault="00855588" w:rsidP="001C52C0">
      <w:pPr>
        <w:widowControl w:val="0"/>
        <w:tabs>
          <w:tab w:val="left" w:pos="426"/>
        </w:tabs>
        <w:autoSpaceDE w:val="0"/>
        <w:autoSpaceDN w:val="0"/>
        <w:adjustRightInd w:val="0"/>
        <w:spacing w:line="276" w:lineRule="auto"/>
        <w:jc w:val="both"/>
        <w:rPr>
          <w:rFonts w:ascii="Tahoma" w:hAnsi="Tahoma" w:cs="Tahoma"/>
        </w:rPr>
      </w:pPr>
      <w:r w:rsidRPr="001C52C0">
        <w:rPr>
          <w:rFonts w:ascii="Tahoma" w:hAnsi="Tahoma" w:cs="Tahoma"/>
        </w:rPr>
        <w:tab/>
      </w:r>
      <w:r w:rsidRPr="001C52C0">
        <w:rPr>
          <w:rFonts w:ascii="Tahoma" w:hAnsi="Tahoma" w:cs="Tahoma"/>
        </w:rPr>
        <w:tab/>
        <w:t xml:space="preserve">En ese sentido, propuso como excepciones las que denominó </w:t>
      </w:r>
      <w:r w:rsidRPr="001C52C0">
        <w:rPr>
          <w:rFonts w:ascii="Tahoma" w:hAnsi="Tahoma" w:cs="Tahoma"/>
          <w:i/>
        </w:rPr>
        <w:t>Inexistencia de la obligación”; “Prescripción”; “Imposibilidad jurídica para reconocer y pagar derechos por fuera del ordenamiento legal”; “Buena fe” e “Imposibilidad de condena en costas”.</w:t>
      </w:r>
      <w:r w:rsidRPr="001C52C0">
        <w:rPr>
          <w:rFonts w:ascii="Tahoma" w:hAnsi="Tahoma" w:cs="Tahoma"/>
        </w:rPr>
        <w:t xml:space="preserve"> </w:t>
      </w:r>
    </w:p>
    <w:p w14:paraId="03CA4F71" w14:textId="77777777" w:rsidR="00855588" w:rsidRPr="001C52C0" w:rsidRDefault="00855588" w:rsidP="001C52C0">
      <w:pPr>
        <w:widowControl w:val="0"/>
        <w:autoSpaceDE w:val="0"/>
        <w:autoSpaceDN w:val="0"/>
        <w:adjustRightInd w:val="0"/>
        <w:spacing w:line="276" w:lineRule="auto"/>
        <w:ind w:firstLine="708"/>
        <w:jc w:val="both"/>
        <w:rPr>
          <w:rFonts w:ascii="Tahoma" w:hAnsi="Tahoma" w:cs="Tahoma"/>
        </w:rPr>
      </w:pPr>
    </w:p>
    <w:p w14:paraId="2168AFBE" w14:textId="66414BD8" w:rsidR="003A3BBB" w:rsidRPr="001C52C0" w:rsidRDefault="008F2E7F" w:rsidP="001C52C0">
      <w:pPr>
        <w:pStyle w:val="Prrafodelista"/>
        <w:widowControl w:val="0"/>
        <w:numPr>
          <w:ilvl w:val="0"/>
          <w:numId w:val="2"/>
        </w:numPr>
        <w:tabs>
          <w:tab w:val="left" w:pos="284"/>
        </w:tabs>
        <w:autoSpaceDE w:val="0"/>
        <w:autoSpaceDN w:val="0"/>
        <w:adjustRightInd w:val="0"/>
        <w:spacing w:line="276" w:lineRule="auto"/>
        <w:ind w:left="0" w:firstLine="0"/>
        <w:jc w:val="center"/>
        <w:rPr>
          <w:rFonts w:ascii="Tahoma" w:hAnsi="Tahoma" w:cs="Tahoma"/>
          <w:b/>
        </w:rPr>
      </w:pPr>
      <w:r w:rsidRPr="001C52C0">
        <w:rPr>
          <w:rFonts w:ascii="Tahoma" w:hAnsi="Tahoma" w:cs="Tahoma"/>
          <w:b/>
        </w:rPr>
        <w:t>S</w:t>
      </w:r>
      <w:r w:rsidR="003A3BBB" w:rsidRPr="001C52C0">
        <w:rPr>
          <w:rFonts w:ascii="Tahoma" w:hAnsi="Tahoma" w:cs="Tahoma"/>
          <w:b/>
        </w:rPr>
        <w:t>entencia de primera instancia</w:t>
      </w:r>
    </w:p>
    <w:p w14:paraId="355B2A2E" w14:textId="77777777" w:rsidR="001B3F8C" w:rsidRPr="001C52C0" w:rsidRDefault="001B3F8C" w:rsidP="001C52C0">
      <w:pPr>
        <w:pStyle w:val="Prrafodelista"/>
        <w:widowControl w:val="0"/>
        <w:autoSpaceDE w:val="0"/>
        <w:autoSpaceDN w:val="0"/>
        <w:adjustRightInd w:val="0"/>
        <w:spacing w:line="276" w:lineRule="auto"/>
        <w:jc w:val="both"/>
        <w:rPr>
          <w:rFonts w:ascii="Tahoma" w:hAnsi="Tahoma" w:cs="Tahoma"/>
        </w:rPr>
      </w:pPr>
    </w:p>
    <w:p w14:paraId="44E5448A" w14:textId="46CC8AE5" w:rsidR="00587610" w:rsidRPr="001C52C0" w:rsidRDefault="001B3F8C" w:rsidP="001C52C0">
      <w:pPr>
        <w:widowControl w:val="0"/>
        <w:autoSpaceDE w:val="0"/>
        <w:autoSpaceDN w:val="0"/>
        <w:adjustRightInd w:val="0"/>
        <w:spacing w:line="276" w:lineRule="auto"/>
        <w:ind w:firstLine="708"/>
        <w:jc w:val="both"/>
        <w:rPr>
          <w:rFonts w:ascii="Tahoma" w:hAnsi="Tahoma" w:cs="Tahoma"/>
        </w:rPr>
      </w:pPr>
      <w:r w:rsidRPr="001C52C0">
        <w:rPr>
          <w:rFonts w:ascii="Tahoma" w:hAnsi="Tahoma" w:cs="Tahoma"/>
        </w:rPr>
        <w:lastRenderedPageBreak/>
        <w:t xml:space="preserve">La Jueza de conocimiento </w:t>
      </w:r>
      <w:r w:rsidR="00774026" w:rsidRPr="001C52C0">
        <w:rPr>
          <w:rFonts w:ascii="Tahoma" w:hAnsi="Tahoma" w:cs="Tahoma"/>
        </w:rPr>
        <w:t xml:space="preserve">declaró </w:t>
      </w:r>
      <w:r w:rsidR="00855588" w:rsidRPr="001C52C0">
        <w:rPr>
          <w:rFonts w:ascii="Tahoma" w:hAnsi="Tahoma" w:cs="Tahoma"/>
        </w:rPr>
        <w:t>probada la excepción</w:t>
      </w:r>
      <w:r w:rsidR="00774026" w:rsidRPr="001C52C0">
        <w:rPr>
          <w:rFonts w:ascii="Tahoma" w:hAnsi="Tahoma" w:cs="Tahoma"/>
        </w:rPr>
        <w:t xml:space="preserve"> de “Inexistencia de </w:t>
      </w:r>
      <w:r w:rsidR="0064273D" w:rsidRPr="001C52C0">
        <w:rPr>
          <w:rFonts w:ascii="Tahoma" w:hAnsi="Tahoma" w:cs="Tahoma"/>
        </w:rPr>
        <w:t>la obligación</w:t>
      </w:r>
      <w:r w:rsidR="00CD77D3" w:rsidRPr="001C52C0">
        <w:rPr>
          <w:rFonts w:ascii="Tahoma" w:hAnsi="Tahoma" w:cs="Tahoma"/>
        </w:rPr>
        <w:t xml:space="preserve">” </w:t>
      </w:r>
      <w:r w:rsidR="0064273D" w:rsidRPr="001C52C0">
        <w:rPr>
          <w:rFonts w:ascii="Tahoma" w:hAnsi="Tahoma" w:cs="Tahoma"/>
        </w:rPr>
        <w:t>y, en</w:t>
      </w:r>
      <w:r w:rsidR="00774026" w:rsidRPr="001C52C0">
        <w:rPr>
          <w:rFonts w:ascii="Tahoma" w:hAnsi="Tahoma" w:cs="Tahoma"/>
        </w:rPr>
        <w:t xml:space="preserve"> consecuencia, absolvió a </w:t>
      </w:r>
      <w:r w:rsidR="00CD77D3" w:rsidRPr="001C52C0">
        <w:rPr>
          <w:rFonts w:ascii="Tahoma" w:hAnsi="Tahoma" w:cs="Tahoma"/>
        </w:rPr>
        <w:t xml:space="preserve">Colpensiones </w:t>
      </w:r>
      <w:r w:rsidR="00774026" w:rsidRPr="001C52C0">
        <w:rPr>
          <w:rFonts w:ascii="Tahoma" w:hAnsi="Tahoma" w:cs="Tahoma"/>
        </w:rPr>
        <w:t xml:space="preserve">de todas las </w:t>
      </w:r>
      <w:r w:rsidR="0064273D" w:rsidRPr="001C52C0">
        <w:rPr>
          <w:rFonts w:ascii="Tahoma" w:hAnsi="Tahoma" w:cs="Tahoma"/>
        </w:rPr>
        <w:t>pretensiones incoadas en</w:t>
      </w:r>
      <w:r w:rsidR="00774026" w:rsidRPr="001C52C0">
        <w:rPr>
          <w:rFonts w:ascii="Tahoma" w:hAnsi="Tahoma" w:cs="Tahoma"/>
        </w:rPr>
        <w:t xml:space="preserve"> su contra por la señora </w:t>
      </w:r>
      <w:r w:rsidR="00CD77D3" w:rsidRPr="001C52C0">
        <w:rPr>
          <w:rFonts w:ascii="Tahoma" w:hAnsi="Tahoma" w:cs="Tahoma"/>
        </w:rPr>
        <w:t>Yolanda Durán</w:t>
      </w:r>
      <w:r w:rsidR="00774026" w:rsidRPr="001C52C0">
        <w:rPr>
          <w:rFonts w:ascii="Tahoma" w:hAnsi="Tahoma" w:cs="Tahoma"/>
        </w:rPr>
        <w:t xml:space="preserve">, a quien condenó al pago de las costas procesales a favor de dicha </w:t>
      </w:r>
      <w:r w:rsidR="00CD77D3" w:rsidRPr="001C52C0">
        <w:rPr>
          <w:rFonts w:ascii="Tahoma" w:hAnsi="Tahoma" w:cs="Tahoma"/>
        </w:rPr>
        <w:t>entidad</w:t>
      </w:r>
      <w:r w:rsidR="00774026" w:rsidRPr="001C52C0">
        <w:rPr>
          <w:rFonts w:ascii="Tahoma" w:hAnsi="Tahoma" w:cs="Tahoma"/>
        </w:rPr>
        <w:t>.</w:t>
      </w:r>
    </w:p>
    <w:p w14:paraId="391CB7BC" w14:textId="723CA938" w:rsidR="001B3F8C" w:rsidRPr="001C52C0" w:rsidRDefault="001B3F8C" w:rsidP="001C52C0">
      <w:pPr>
        <w:pStyle w:val="Prrafodelista"/>
        <w:widowControl w:val="0"/>
        <w:autoSpaceDE w:val="0"/>
        <w:autoSpaceDN w:val="0"/>
        <w:adjustRightInd w:val="0"/>
        <w:spacing w:line="276" w:lineRule="auto"/>
        <w:jc w:val="both"/>
        <w:rPr>
          <w:rFonts w:ascii="Tahoma" w:hAnsi="Tahoma" w:cs="Tahoma"/>
        </w:rPr>
      </w:pPr>
    </w:p>
    <w:p w14:paraId="0628AD77" w14:textId="6FE91854" w:rsidR="00774026" w:rsidRPr="001C52C0" w:rsidRDefault="00DC0DE2" w:rsidP="001C52C0">
      <w:pPr>
        <w:pStyle w:val="Prrafodelista"/>
        <w:widowControl w:val="0"/>
        <w:autoSpaceDE w:val="0"/>
        <w:autoSpaceDN w:val="0"/>
        <w:adjustRightInd w:val="0"/>
        <w:spacing w:line="276" w:lineRule="auto"/>
        <w:ind w:left="0" w:firstLine="709"/>
        <w:jc w:val="both"/>
        <w:rPr>
          <w:rFonts w:ascii="Tahoma" w:hAnsi="Tahoma" w:cs="Tahoma"/>
        </w:rPr>
      </w:pPr>
      <w:r w:rsidRPr="001C52C0">
        <w:rPr>
          <w:rFonts w:ascii="Tahoma" w:hAnsi="Tahoma" w:cs="Tahoma"/>
        </w:rPr>
        <w:t>Fundó tal determinación en que</w:t>
      </w:r>
      <w:r w:rsidR="00774026" w:rsidRPr="001C52C0">
        <w:rPr>
          <w:rFonts w:ascii="Tahoma" w:hAnsi="Tahoma" w:cs="Tahoma"/>
        </w:rPr>
        <w:t xml:space="preserve">, al no haber fallecido </w:t>
      </w:r>
      <w:r w:rsidR="00DE33D7" w:rsidRPr="001C52C0">
        <w:rPr>
          <w:rFonts w:ascii="Tahoma" w:hAnsi="Tahoma" w:cs="Tahoma"/>
        </w:rPr>
        <w:t>el señor</w:t>
      </w:r>
      <w:r w:rsidR="00CD77D3" w:rsidRPr="001C52C0">
        <w:rPr>
          <w:rFonts w:ascii="Tahoma" w:hAnsi="Tahoma" w:cs="Tahoma"/>
        </w:rPr>
        <w:t xml:space="preserve"> Henry Cepeda Saavedra</w:t>
      </w:r>
      <w:r w:rsidR="00DE33D7" w:rsidRPr="001C52C0">
        <w:rPr>
          <w:rFonts w:ascii="Tahoma" w:hAnsi="Tahoma" w:cs="Tahoma"/>
        </w:rPr>
        <w:t xml:space="preserve"> </w:t>
      </w:r>
      <w:r w:rsidR="00774026" w:rsidRPr="001C52C0">
        <w:rPr>
          <w:rFonts w:ascii="Tahoma" w:hAnsi="Tahoma" w:cs="Tahoma"/>
        </w:rPr>
        <w:t>en los 3 años siguientes a la entrada en vigencia de la Ley 797 de 2003, no dejó causada la pensión de sobrevivientes de conformidad con el precedente de la Sala de Casación Laboral de la Corte Suprema de Justicia, el cual, además, no permite hacer una búsqueda histórica de normas hasta encontrar aquella que le favorezca al afiliado, como se pretenden en la demanda.</w:t>
      </w:r>
    </w:p>
    <w:p w14:paraId="24670EF8" w14:textId="77777777" w:rsidR="00942A20" w:rsidRPr="001C52C0" w:rsidRDefault="00942A20" w:rsidP="001C52C0">
      <w:pPr>
        <w:widowControl w:val="0"/>
        <w:autoSpaceDE w:val="0"/>
        <w:autoSpaceDN w:val="0"/>
        <w:adjustRightInd w:val="0"/>
        <w:spacing w:line="276" w:lineRule="auto"/>
        <w:ind w:firstLine="708"/>
        <w:jc w:val="both"/>
        <w:rPr>
          <w:rFonts w:ascii="Tahoma" w:hAnsi="Tahoma" w:cs="Tahoma"/>
        </w:rPr>
      </w:pPr>
    </w:p>
    <w:p w14:paraId="20B617D6" w14:textId="5C784FD7" w:rsidR="004F2069" w:rsidRPr="001C52C0" w:rsidRDefault="00CA6548" w:rsidP="001C52C0">
      <w:pPr>
        <w:pStyle w:val="Prrafodelista"/>
        <w:numPr>
          <w:ilvl w:val="0"/>
          <w:numId w:val="2"/>
        </w:numPr>
        <w:spacing w:line="276" w:lineRule="auto"/>
        <w:jc w:val="center"/>
        <w:rPr>
          <w:rFonts w:ascii="Tahoma" w:hAnsi="Tahoma" w:cs="Tahoma"/>
          <w:b/>
        </w:rPr>
      </w:pPr>
      <w:r w:rsidRPr="001C52C0">
        <w:rPr>
          <w:rFonts w:ascii="Tahoma" w:hAnsi="Tahoma" w:cs="Tahoma"/>
          <w:b/>
        </w:rPr>
        <w:t xml:space="preserve"> </w:t>
      </w:r>
      <w:r w:rsidR="00CD77D3" w:rsidRPr="001C52C0">
        <w:rPr>
          <w:rFonts w:ascii="Tahoma" w:hAnsi="Tahoma" w:cs="Tahoma"/>
          <w:b/>
        </w:rPr>
        <w:t>Procedencia de la consulta</w:t>
      </w:r>
      <w:r w:rsidR="00D7280E" w:rsidRPr="001C52C0">
        <w:rPr>
          <w:rFonts w:ascii="Tahoma" w:hAnsi="Tahoma" w:cs="Tahoma"/>
          <w:b/>
        </w:rPr>
        <w:t xml:space="preserve"> </w:t>
      </w:r>
    </w:p>
    <w:p w14:paraId="04BD3B1F" w14:textId="2C361370" w:rsidR="00A9473B" w:rsidRPr="001C52C0" w:rsidRDefault="00A9473B" w:rsidP="001C52C0">
      <w:pPr>
        <w:pStyle w:val="Prrafodelista"/>
        <w:spacing w:line="276" w:lineRule="auto"/>
        <w:ind w:left="1080"/>
        <w:rPr>
          <w:rFonts w:ascii="Tahoma" w:hAnsi="Tahoma" w:cs="Tahoma"/>
        </w:rPr>
      </w:pPr>
    </w:p>
    <w:p w14:paraId="3ACA33CD" w14:textId="6390083C" w:rsidR="00774026" w:rsidRPr="001C52C0" w:rsidRDefault="00CD77D3" w:rsidP="001C52C0">
      <w:pPr>
        <w:pStyle w:val="Prrafodelista"/>
        <w:spacing w:line="276" w:lineRule="auto"/>
        <w:ind w:left="0" w:firstLine="709"/>
        <w:jc w:val="both"/>
        <w:rPr>
          <w:rFonts w:ascii="Tahoma" w:hAnsi="Tahoma" w:cs="Tahoma"/>
        </w:rPr>
      </w:pPr>
      <w:r w:rsidRPr="001C52C0">
        <w:rPr>
          <w:rFonts w:ascii="Tahoma" w:hAnsi="Tahoma" w:cs="Tahoma"/>
        </w:rPr>
        <w:t>Al haber sido completamente desfavorable a los intereses de la demandante</w:t>
      </w:r>
      <w:r w:rsidR="00EF7BBB" w:rsidRPr="001C52C0">
        <w:rPr>
          <w:rFonts w:ascii="Tahoma" w:hAnsi="Tahoma" w:cs="Tahoma"/>
        </w:rPr>
        <w:t xml:space="preserve"> y no haber sido apelado, el fallo de primera instancia se revisará íntegramente de conformidad con lo dispuesto en el artículo 69 del CPT y la s.s.</w:t>
      </w:r>
    </w:p>
    <w:p w14:paraId="64BDE5E5" w14:textId="77777777" w:rsidR="00D51494" w:rsidRPr="001C52C0" w:rsidRDefault="00D51494" w:rsidP="001C52C0">
      <w:pPr>
        <w:pStyle w:val="Prrafodelista"/>
        <w:spacing w:line="276" w:lineRule="auto"/>
        <w:ind w:left="0" w:firstLine="709"/>
        <w:jc w:val="both"/>
        <w:rPr>
          <w:rFonts w:ascii="Tahoma" w:hAnsi="Tahoma" w:cs="Tahoma"/>
        </w:rPr>
      </w:pPr>
    </w:p>
    <w:p w14:paraId="64295F2D" w14:textId="77777777" w:rsidR="00D51494" w:rsidRPr="001C52C0" w:rsidRDefault="00D51494" w:rsidP="001C52C0">
      <w:pPr>
        <w:pStyle w:val="Prrafodelista"/>
        <w:numPr>
          <w:ilvl w:val="0"/>
          <w:numId w:val="2"/>
        </w:numPr>
        <w:tabs>
          <w:tab w:val="left" w:pos="284"/>
        </w:tabs>
        <w:spacing w:line="276" w:lineRule="auto"/>
        <w:ind w:left="0" w:firstLine="0"/>
        <w:jc w:val="center"/>
        <w:rPr>
          <w:rFonts w:ascii="Tahoma" w:hAnsi="Tahoma" w:cs="Tahoma"/>
          <w:b/>
        </w:rPr>
      </w:pPr>
      <w:r w:rsidRPr="001C52C0">
        <w:rPr>
          <w:rStyle w:val="normaltextrun"/>
          <w:rFonts w:ascii="Tahoma" w:hAnsi="Tahoma" w:cs="Tahoma"/>
          <w:b/>
          <w:bCs/>
        </w:rPr>
        <w:t>Alegatos de Conclusión/Concepto del Ministerio Público</w:t>
      </w:r>
    </w:p>
    <w:p w14:paraId="22352B26" w14:textId="6878888C" w:rsidR="00D51494" w:rsidRPr="001C52C0" w:rsidRDefault="000B5893" w:rsidP="001C52C0">
      <w:pPr>
        <w:pStyle w:val="paragraph"/>
        <w:spacing w:before="0" w:beforeAutospacing="0" w:after="0" w:afterAutospacing="0" w:line="276" w:lineRule="auto"/>
        <w:jc w:val="center"/>
        <w:textAlignment w:val="baseline"/>
        <w:rPr>
          <w:rFonts w:ascii="Tahoma" w:hAnsi="Tahoma" w:cs="Tahoma"/>
        </w:rPr>
      </w:pPr>
      <w:r w:rsidRPr="001C52C0">
        <w:rPr>
          <w:rStyle w:val="eop"/>
          <w:rFonts w:ascii="Tahoma" w:hAnsi="Tahoma" w:cs="Tahoma"/>
        </w:rPr>
        <w:t xml:space="preserve"> </w:t>
      </w:r>
      <w:r w:rsidR="00D51494" w:rsidRPr="001C52C0">
        <w:rPr>
          <w:rStyle w:val="eop"/>
          <w:rFonts w:ascii="Tahoma" w:hAnsi="Tahoma" w:cs="Tahoma"/>
        </w:rPr>
        <w:t> </w:t>
      </w:r>
    </w:p>
    <w:p w14:paraId="59DF025D" w14:textId="405CB93D" w:rsidR="001B50A0" w:rsidRPr="001C52C0" w:rsidRDefault="001B50A0" w:rsidP="001C52C0">
      <w:pPr>
        <w:spacing w:line="276" w:lineRule="auto"/>
        <w:ind w:firstLine="708"/>
        <w:jc w:val="both"/>
        <w:rPr>
          <w:rStyle w:val="normaltextrun"/>
          <w:rFonts w:ascii="Tahoma" w:hAnsi="Tahoma" w:cs="Tahoma"/>
        </w:rPr>
      </w:pPr>
      <w:r w:rsidRPr="001C52C0">
        <w:rPr>
          <w:rStyle w:val="normaltextrun"/>
          <w:rFonts w:ascii="Tahoma" w:hAnsi="Tahoma" w:cs="Tahoma"/>
        </w:rPr>
        <w:t>Analizados los alegatos presentado</w:t>
      </w:r>
      <w:r w:rsidR="6A95E53D" w:rsidRPr="001C52C0">
        <w:rPr>
          <w:rStyle w:val="normaltextrun"/>
          <w:rFonts w:ascii="Tahoma" w:hAnsi="Tahoma" w:cs="Tahoma"/>
        </w:rPr>
        <w:t>s</w:t>
      </w:r>
      <w:r w:rsidR="00DE33D7" w:rsidRPr="001C52C0">
        <w:rPr>
          <w:rStyle w:val="normaltextrun"/>
          <w:rFonts w:ascii="Tahoma" w:hAnsi="Tahoma" w:cs="Tahoma"/>
        </w:rPr>
        <w:t xml:space="preserve"> por </w:t>
      </w:r>
      <w:r w:rsidR="00EF7BBB" w:rsidRPr="001C52C0">
        <w:rPr>
          <w:rStyle w:val="normaltextrun"/>
          <w:rFonts w:ascii="Tahoma" w:hAnsi="Tahoma" w:cs="Tahoma"/>
        </w:rPr>
        <w:t>Colpensiones</w:t>
      </w:r>
      <w:r w:rsidRPr="001C52C0">
        <w:rPr>
          <w:rStyle w:val="normaltextrun"/>
          <w:rFonts w:ascii="Tahoma" w:hAnsi="Tahoma" w:cs="Tahoma"/>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r w:rsidR="0041008B" w:rsidRPr="001C52C0">
        <w:rPr>
          <w:rStyle w:val="normaltextrun"/>
          <w:rFonts w:ascii="Tahoma" w:hAnsi="Tahoma" w:cs="Tahoma"/>
        </w:rPr>
        <w:t>El representante del Ministerio Público no rindió concepto.</w:t>
      </w:r>
    </w:p>
    <w:p w14:paraId="0BD4E7E3" w14:textId="77777777" w:rsidR="00DE33D7" w:rsidRPr="001C52C0" w:rsidRDefault="00DE33D7" w:rsidP="001C52C0">
      <w:pPr>
        <w:spacing w:line="276" w:lineRule="auto"/>
        <w:ind w:firstLine="708"/>
        <w:jc w:val="both"/>
        <w:rPr>
          <w:rStyle w:val="normaltextrun"/>
          <w:rFonts w:ascii="Tahoma" w:hAnsi="Tahoma" w:cs="Tahoma"/>
        </w:rPr>
      </w:pPr>
    </w:p>
    <w:p w14:paraId="6582FEE0" w14:textId="77777777" w:rsidR="00D51494" w:rsidRPr="001C52C0" w:rsidRDefault="00D51494" w:rsidP="001C52C0">
      <w:pPr>
        <w:pStyle w:val="Prrafodelista"/>
        <w:widowControl w:val="0"/>
        <w:numPr>
          <w:ilvl w:val="0"/>
          <w:numId w:val="2"/>
        </w:numPr>
        <w:autoSpaceDE w:val="0"/>
        <w:autoSpaceDN w:val="0"/>
        <w:adjustRightInd w:val="0"/>
        <w:spacing w:line="276" w:lineRule="auto"/>
        <w:jc w:val="center"/>
        <w:rPr>
          <w:rFonts w:ascii="Tahoma" w:hAnsi="Tahoma" w:cs="Tahoma"/>
          <w:b/>
        </w:rPr>
      </w:pPr>
      <w:r w:rsidRPr="001C52C0">
        <w:rPr>
          <w:rFonts w:ascii="Tahoma" w:hAnsi="Tahoma" w:cs="Tahoma"/>
          <w:b/>
        </w:rPr>
        <w:t>Problema jurídico por resolver</w:t>
      </w:r>
    </w:p>
    <w:p w14:paraId="6D78C238" w14:textId="77777777" w:rsidR="00D51494" w:rsidRPr="001C52C0" w:rsidRDefault="00D51494" w:rsidP="001C52C0">
      <w:pPr>
        <w:pStyle w:val="Sinespaciado"/>
        <w:spacing w:line="276" w:lineRule="auto"/>
        <w:ind w:left="1080"/>
        <w:rPr>
          <w:rFonts w:ascii="Tahoma" w:hAnsi="Tahoma" w:cs="Tahoma"/>
        </w:rPr>
      </w:pPr>
    </w:p>
    <w:p w14:paraId="55AA03B0" w14:textId="1045733E" w:rsidR="00385C0B" w:rsidRPr="001C52C0" w:rsidRDefault="00385C0B" w:rsidP="001C52C0">
      <w:pPr>
        <w:spacing w:line="276" w:lineRule="auto"/>
        <w:ind w:firstLine="708"/>
        <w:jc w:val="both"/>
        <w:rPr>
          <w:rFonts w:ascii="Tahoma" w:hAnsi="Tahoma" w:cs="Tahoma"/>
        </w:rPr>
      </w:pPr>
      <w:r w:rsidRPr="001C52C0">
        <w:rPr>
          <w:rFonts w:ascii="Tahoma" w:hAnsi="Tahoma" w:cs="Tahoma"/>
        </w:rPr>
        <w:t xml:space="preserve">De acuerdo a los argumentos expuestos en la sentencia de primera instancia, le corresponde a la Sala determinar si el señor </w:t>
      </w:r>
      <w:r w:rsidR="00EF7BBB" w:rsidRPr="001C52C0">
        <w:rPr>
          <w:rFonts w:ascii="Tahoma" w:hAnsi="Tahoma" w:cs="Tahoma"/>
        </w:rPr>
        <w:t>Henry Cepeda Saavedra</w:t>
      </w:r>
      <w:r w:rsidR="007F59D0" w:rsidRPr="001C52C0">
        <w:rPr>
          <w:rFonts w:ascii="Tahoma" w:hAnsi="Tahoma" w:cs="Tahoma"/>
        </w:rPr>
        <w:t xml:space="preserve"> </w:t>
      </w:r>
      <w:r w:rsidRPr="001C52C0">
        <w:rPr>
          <w:rFonts w:ascii="Tahoma" w:hAnsi="Tahoma" w:cs="Tahoma"/>
        </w:rPr>
        <w:t xml:space="preserve">dejó causado el derecho a la pensión de sobrevivientes en virtud del principio de la condición más beneficiosa y, en caso afirmativo, si la señora </w:t>
      </w:r>
      <w:r w:rsidR="00EF7BBB" w:rsidRPr="001C52C0">
        <w:rPr>
          <w:rFonts w:ascii="Tahoma" w:hAnsi="Tahoma" w:cs="Tahoma"/>
        </w:rPr>
        <w:t xml:space="preserve">Yolanda Duran de Cepeda </w:t>
      </w:r>
      <w:r w:rsidRPr="001C52C0">
        <w:rPr>
          <w:rFonts w:ascii="Tahoma" w:hAnsi="Tahoma" w:cs="Tahoma"/>
        </w:rPr>
        <w:t>ostenta la calidad de beneficiaria de dicha prestación.</w:t>
      </w:r>
    </w:p>
    <w:p w14:paraId="765C6381" w14:textId="77777777" w:rsidR="00385C0B" w:rsidRPr="001C52C0" w:rsidRDefault="00385C0B" w:rsidP="001C52C0">
      <w:pPr>
        <w:spacing w:line="276" w:lineRule="auto"/>
        <w:ind w:firstLine="708"/>
        <w:jc w:val="both"/>
        <w:rPr>
          <w:rFonts w:ascii="Tahoma" w:hAnsi="Tahoma" w:cs="Tahoma"/>
        </w:rPr>
      </w:pPr>
    </w:p>
    <w:p w14:paraId="516253A2" w14:textId="77777777" w:rsidR="00385C0B" w:rsidRPr="001C52C0" w:rsidRDefault="00385C0B" w:rsidP="001C52C0">
      <w:pPr>
        <w:pStyle w:val="Prrafodelista"/>
        <w:widowControl w:val="0"/>
        <w:numPr>
          <w:ilvl w:val="0"/>
          <w:numId w:val="2"/>
        </w:numPr>
        <w:autoSpaceDE w:val="0"/>
        <w:autoSpaceDN w:val="0"/>
        <w:adjustRightInd w:val="0"/>
        <w:spacing w:line="276" w:lineRule="auto"/>
        <w:jc w:val="center"/>
        <w:rPr>
          <w:rFonts w:ascii="Tahoma" w:hAnsi="Tahoma" w:cs="Tahoma"/>
          <w:b/>
        </w:rPr>
      </w:pPr>
      <w:r w:rsidRPr="001C52C0">
        <w:rPr>
          <w:rFonts w:ascii="Tahoma" w:hAnsi="Tahoma" w:cs="Tahoma"/>
          <w:b/>
        </w:rPr>
        <w:t>Consideraciones</w:t>
      </w:r>
    </w:p>
    <w:p w14:paraId="442F4CC9" w14:textId="77777777" w:rsidR="00385C0B" w:rsidRPr="001C52C0" w:rsidRDefault="00385C0B" w:rsidP="001C52C0">
      <w:pPr>
        <w:widowControl w:val="0"/>
        <w:autoSpaceDE w:val="0"/>
        <w:autoSpaceDN w:val="0"/>
        <w:adjustRightInd w:val="0"/>
        <w:spacing w:line="276" w:lineRule="auto"/>
        <w:ind w:left="1080"/>
        <w:rPr>
          <w:rFonts w:ascii="Tahoma" w:hAnsi="Tahoma" w:cs="Tahoma"/>
          <w:b/>
        </w:rPr>
      </w:pPr>
    </w:p>
    <w:p w14:paraId="65A19A2D" w14:textId="1914143B" w:rsidR="00385C0B" w:rsidRPr="001C52C0" w:rsidRDefault="00385C0B" w:rsidP="001C52C0">
      <w:pPr>
        <w:pStyle w:val="Textoindependiente"/>
        <w:numPr>
          <w:ilvl w:val="1"/>
          <w:numId w:val="5"/>
        </w:numPr>
        <w:spacing w:after="0" w:line="276" w:lineRule="auto"/>
        <w:ind w:right="51"/>
        <w:jc w:val="both"/>
        <w:rPr>
          <w:rFonts w:ascii="Tahoma" w:hAnsi="Tahoma" w:cs="Tahoma"/>
          <w:b/>
        </w:rPr>
      </w:pPr>
      <w:r w:rsidRPr="001C52C0">
        <w:rPr>
          <w:rFonts w:ascii="Tahoma" w:hAnsi="Tahoma" w:cs="Tahoma"/>
          <w:b/>
        </w:rPr>
        <w:t>Supuestos fácticos probados</w:t>
      </w:r>
    </w:p>
    <w:p w14:paraId="03A4A46A" w14:textId="77777777" w:rsidR="00385C0B" w:rsidRPr="001C52C0" w:rsidRDefault="00385C0B" w:rsidP="001C52C0">
      <w:pPr>
        <w:pStyle w:val="Textoindependiente"/>
        <w:spacing w:after="0" w:line="276" w:lineRule="auto"/>
        <w:ind w:left="1080" w:right="51"/>
        <w:jc w:val="both"/>
        <w:rPr>
          <w:rFonts w:ascii="Tahoma" w:hAnsi="Tahoma" w:cs="Tahoma"/>
          <w:b/>
        </w:rPr>
      </w:pPr>
    </w:p>
    <w:p w14:paraId="5C21F7E5" w14:textId="1EA7F4E9" w:rsidR="007F59D0" w:rsidRPr="001C52C0" w:rsidRDefault="007F59D0" w:rsidP="001C52C0">
      <w:pPr>
        <w:widowControl w:val="0"/>
        <w:autoSpaceDE w:val="0"/>
        <w:autoSpaceDN w:val="0"/>
        <w:adjustRightInd w:val="0"/>
        <w:spacing w:line="276" w:lineRule="auto"/>
        <w:ind w:firstLine="708"/>
        <w:jc w:val="both"/>
        <w:rPr>
          <w:rFonts w:ascii="Tahoma" w:hAnsi="Tahoma" w:cs="Tahoma"/>
        </w:rPr>
      </w:pPr>
      <w:r w:rsidRPr="001C52C0">
        <w:rPr>
          <w:rFonts w:ascii="Tahoma" w:hAnsi="Tahoma" w:cs="Tahoma"/>
        </w:rPr>
        <w:t xml:space="preserve">No existe discusión alguna en el presente asunto respecto a los siguientes supuestos fácticos: </w:t>
      </w:r>
      <w:r w:rsidRPr="001C52C0">
        <w:rPr>
          <w:rFonts w:ascii="Tahoma" w:hAnsi="Tahoma" w:cs="Tahoma"/>
          <w:i/>
        </w:rPr>
        <w:t>i)</w:t>
      </w:r>
      <w:r w:rsidRPr="001C52C0">
        <w:rPr>
          <w:rFonts w:ascii="Tahoma" w:hAnsi="Tahoma" w:cs="Tahoma"/>
        </w:rPr>
        <w:t xml:space="preserve"> que el señor </w:t>
      </w:r>
      <w:r w:rsidR="00EF7BBB" w:rsidRPr="001C52C0">
        <w:rPr>
          <w:rFonts w:ascii="Tahoma" w:hAnsi="Tahoma" w:cs="Tahoma"/>
        </w:rPr>
        <w:t xml:space="preserve">Henry Cepeda Saavedra </w:t>
      </w:r>
      <w:r w:rsidRPr="001C52C0">
        <w:rPr>
          <w:rFonts w:ascii="Tahoma" w:hAnsi="Tahoma" w:cs="Tahoma"/>
        </w:rPr>
        <w:t xml:space="preserve">falleció el </w:t>
      </w:r>
      <w:r w:rsidR="00EF7BBB" w:rsidRPr="001C52C0">
        <w:rPr>
          <w:rFonts w:ascii="Tahoma" w:hAnsi="Tahoma" w:cs="Tahoma"/>
        </w:rPr>
        <w:t>8 de noviembre de 2015</w:t>
      </w:r>
      <w:r w:rsidRPr="001C52C0">
        <w:rPr>
          <w:rFonts w:ascii="Tahoma" w:hAnsi="Tahoma" w:cs="Tahoma"/>
        </w:rPr>
        <w:t xml:space="preserve"> (</w:t>
      </w:r>
      <w:proofErr w:type="spellStart"/>
      <w:r w:rsidRPr="001C52C0">
        <w:rPr>
          <w:rFonts w:ascii="Tahoma" w:hAnsi="Tahoma" w:cs="Tahoma"/>
        </w:rPr>
        <w:t>fl</w:t>
      </w:r>
      <w:proofErr w:type="spellEnd"/>
      <w:r w:rsidRPr="001C52C0">
        <w:rPr>
          <w:rFonts w:ascii="Tahoma" w:hAnsi="Tahoma" w:cs="Tahoma"/>
        </w:rPr>
        <w:t>. 1</w:t>
      </w:r>
      <w:r w:rsidR="00EF7BBB" w:rsidRPr="001C52C0">
        <w:rPr>
          <w:rFonts w:ascii="Tahoma" w:hAnsi="Tahoma" w:cs="Tahoma"/>
        </w:rPr>
        <w:t>2</w:t>
      </w:r>
      <w:r w:rsidRPr="001C52C0">
        <w:rPr>
          <w:rFonts w:ascii="Tahoma" w:hAnsi="Tahoma" w:cs="Tahoma"/>
        </w:rPr>
        <w:t xml:space="preserve">); </w:t>
      </w:r>
      <w:proofErr w:type="spellStart"/>
      <w:r w:rsidRPr="001C52C0">
        <w:rPr>
          <w:rFonts w:ascii="Tahoma" w:hAnsi="Tahoma" w:cs="Tahoma"/>
          <w:i/>
        </w:rPr>
        <w:t>ii</w:t>
      </w:r>
      <w:proofErr w:type="spellEnd"/>
      <w:r w:rsidRPr="001C52C0">
        <w:rPr>
          <w:rFonts w:ascii="Tahoma" w:hAnsi="Tahoma" w:cs="Tahoma"/>
          <w:i/>
        </w:rPr>
        <w:t>)</w:t>
      </w:r>
      <w:r w:rsidRPr="001C52C0">
        <w:rPr>
          <w:rFonts w:ascii="Tahoma" w:hAnsi="Tahoma" w:cs="Tahoma"/>
        </w:rPr>
        <w:t xml:space="preserve"> que cotizó en toda su vida laboral </w:t>
      </w:r>
      <w:r w:rsidR="00EF7BBB" w:rsidRPr="001C52C0">
        <w:rPr>
          <w:rFonts w:ascii="Tahoma" w:hAnsi="Tahoma" w:cs="Tahoma"/>
        </w:rPr>
        <w:t>908</w:t>
      </w:r>
      <w:r w:rsidRPr="001C52C0">
        <w:rPr>
          <w:rFonts w:ascii="Tahoma" w:hAnsi="Tahoma" w:cs="Tahoma"/>
        </w:rPr>
        <w:t xml:space="preserve"> semanas, de las cuales </w:t>
      </w:r>
      <w:r w:rsidR="00BD2235" w:rsidRPr="001C52C0">
        <w:rPr>
          <w:rFonts w:ascii="Tahoma" w:hAnsi="Tahoma" w:cs="Tahoma"/>
        </w:rPr>
        <w:t>400</w:t>
      </w:r>
      <w:r w:rsidRPr="001C52C0">
        <w:rPr>
          <w:rFonts w:ascii="Tahoma" w:hAnsi="Tahoma" w:cs="Tahoma"/>
        </w:rPr>
        <w:t xml:space="preserve"> se hicieron </w:t>
      </w:r>
      <w:r w:rsidR="00BD2235" w:rsidRPr="001C52C0">
        <w:rPr>
          <w:rFonts w:ascii="Tahoma" w:hAnsi="Tahoma" w:cs="Tahoma"/>
        </w:rPr>
        <w:t>antes del 1º de abril de 1994</w:t>
      </w:r>
      <w:r w:rsidRPr="001C52C0">
        <w:rPr>
          <w:rFonts w:ascii="Tahoma" w:hAnsi="Tahoma" w:cs="Tahoma"/>
        </w:rPr>
        <w:t xml:space="preserve"> (</w:t>
      </w:r>
      <w:proofErr w:type="spellStart"/>
      <w:r w:rsidRPr="001C52C0">
        <w:rPr>
          <w:rFonts w:ascii="Tahoma" w:hAnsi="Tahoma" w:cs="Tahoma"/>
        </w:rPr>
        <w:t>fl</w:t>
      </w:r>
      <w:r w:rsidR="0008130E" w:rsidRPr="001C52C0">
        <w:rPr>
          <w:rFonts w:ascii="Tahoma" w:hAnsi="Tahoma" w:cs="Tahoma"/>
        </w:rPr>
        <w:t>s</w:t>
      </w:r>
      <w:proofErr w:type="spellEnd"/>
      <w:r w:rsidRPr="001C52C0">
        <w:rPr>
          <w:rFonts w:ascii="Tahoma" w:hAnsi="Tahoma" w:cs="Tahoma"/>
        </w:rPr>
        <w:t xml:space="preserve">. </w:t>
      </w:r>
      <w:r w:rsidR="00BD2235" w:rsidRPr="001C52C0">
        <w:rPr>
          <w:rFonts w:ascii="Tahoma" w:hAnsi="Tahoma" w:cs="Tahoma"/>
        </w:rPr>
        <w:t>72</w:t>
      </w:r>
      <w:r w:rsidRPr="001C52C0">
        <w:rPr>
          <w:rFonts w:ascii="Tahoma" w:hAnsi="Tahoma" w:cs="Tahoma"/>
        </w:rPr>
        <w:t xml:space="preserve">); </w:t>
      </w:r>
      <w:proofErr w:type="spellStart"/>
      <w:r w:rsidRPr="001C52C0">
        <w:rPr>
          <w:rFonts w:ascii="Tahoma" w:hAnsi="Tahoma" w:cs="Tahoma"/>
          <w:i/>
        </w:rPr>
        <w:t>iii</w:t>
      </w:r>
      <w:proofErr w:type="spellEnd"/>
      <w:r w:rsidRPr="001C52C0">
        <w:rPr>
          <w:rFonts w:ascii="Tahoma" w:hAnsi="Tahoma" w:cs="Tahoma"/>
          <w:i/>
        </w:rPr>
        <w:t>)</w:t>
      </w:r>
      <w:r w:rsidRPr="001C52C0">
        <w:rPr>
          <w:rFonts w:ascii="Tahoma" w:hAnsi="Tahoma" w:cs="Tahoma"/>
        </w:rPr>
        <w:t xml:space="preserve"> que aquel y la promotora del litigio contrajeron matrimonio el </w:t>
      </w:r>
      <w:r w:rsidR="00BD2235" w:rsidRPr="001C52C0">
        <w:rPr>
          <w:rFonts w:ascii="Tahoma" w:hAnsi="Tahoma" w:cs="Tahoma"/>
        </w:rPr>
        <w:t>7</w:t>
      </w:r>
      <w:r w:rsidRPr="001C52C0">
        <w:rPr>
          <w:rFonts w:ascii="Tahoma" w:hAnsi="Tahoma" w:cs="Tahoma"/>
        </w:rPr>
        <w:t xml:space="preserve"> de </w:t>
      </w:r>
      <w:r w:rsidR="0008130E" w:rsidRPr="001C52C0">
        <w:rPr>
          <w:rFonts w:ascii="Tahoma" w:hAnsi="Tahoma" w:cs="Tahoma"/>
        </w:rPr>
        <w:t>julio de 19</w:t>
      </w:r>
      <w:r w:rsidR="00BD2235" w:rsidRPr="001C52C0">
        <w:rPr>
          <w:rFonts w:ascii="Tahoma" w:hAnsi="Tahoma" w:cs="Tahoma"/>
        </w:rPr>
        <w:t>79</w:t>
      </w:r>
      <w:r w:rsidRPr="001C52C0">
        <w:rPr>
          <w:rFonts w:ascii="Tahoma" w:hAnsi="Tahoma" w:cs="Tahoma"/>
        </w:rPr>
        <w:t xml:space="preserve"> (</w:t>
      </w:r>
      <w:proofErr w:type="spellStart"/>
      <w:r w:rsidRPr="001C52C0">
        <w:rPr>
          <w:rFonts w:ascii="Tahoma" w:hAnsi="Tahoma" w:cs="Tahoma"/>
        </w:rPr>
        <w:t>fl</w:t>
      </w:r>
      <w:proofErr w:type="spellEnd"/>
      <w:r w:rsidRPr="001C52C0">
        <w:rPr>
          <w:rFonts w:ascii="Tahoma" w:hAnsi="Tahoma" w:cs="Tahoma"/>
        </w:rPr>
        <w:t>. 1</w:t>
      </w:r>
      <w:r w:rsidR="00BD2235" w:rsidRPr="001C52C0">
        <w:rPr>
          <w:rFonts w:ascii="Tahoma" w:hAnsi="Tahoma" w:cs="Tahoma"/>
        </w:rPr>
        <w:t>5</w:t>
      </w:r>
      <w:r w:rsidRPr="001C52C0">
        <w:rPr>
          <w:rFonts w:ascii="Tahoma" w:hAnsi="Tahoma" w:cs="Tahoma"/>
        </w:rPr>
        <w:t>)</w:t>
      </w:r>
      <w:r w:rsidR="00FC6F08" w:rsidRPr="001C52C0">
        <w:rPr>
          <w:rFonts w:ascii="Tahoma" w:hAnsi="Tahoma" w:cs="Tahoma"/>
        </w:rPr>
        <w:t xml:space="preserve"> y,</w:t>
      </w:r>
      <w:r w:rsidRPr="001C52C0">
        <w:rPr>
          <w:rFonts w:ascii="Tahoma" w:hAnsi="Tahoma" w:cs="Tahoma"/>
        </w:rPr>
        <w:t xml:space="preserve"> </w:t>
      </w:r>
      <w:proofErr w:type="spellStart"/>
      <w:r w:rsidRPr="001C52C0">
        <w:rPr>
          <w:rFonts w:ascii="Tahoma" w:hAnsi="Tahoma" w:cs="Tahoma"/>
          <w:i/>
        </w:rPr>
        <w:t>iv</w:t>
      </w:r>
      <w:proofErr w:type="spellEnd"/>
      <w:r w:rsidRPr="001C52C0">
        <w:rPr>
          <w:rFonts w:ascii="Tahoma" w:hAnsi="Tahoma" w:cs="Tahoma"/>
          <w:i/>
        </w:rPr>
        <w:t xml:space="preserve">) </w:t>
      </w:r>
      <w:r w:rsidRPr="001C52C0">
        <w:rPr>
          <w:rFonts w:ascii="Tahoma" w:hAnsi="Tahoma" w:cs="Tahoma"/>
        </w:rPr>
        <w:t>que la demandante</w:t>
      </w:r>
      <w:r w:rsidR="0008130E" w:rsidRPr="001C52C0">
        <w:rPr>
          <w:rFonts w:ascii="Tahoma" w:hAnsi="Tahoma" w:cs="Tahoma"/>
        </w:rPr>
        <w:t xml:space="preserve"> </w:t>
      </w:r>
      <w:r w:rsidRPr="001C52C0">
        <w:rPr>
          <w:rFonts w:ascii="Tahoma" w:hAnsi="Tahoma" w:cs="Tahoma"/>
        </w:rPr>
        <w:t xml:space="preserve">reclamó ante </w:t>
      </w:r>
      <w:r w:rsidR="00BD2235" w:rsidRPr="001C52C0">
        <w:rPr>
          <w:rFonts w:ascii="Tahoma" w:hAnsi="Tahoma" w:cs="Tahoma"/>
        </w:rPr>
        <w:t xml:space="preserve">Colpensiones </w:t>
      </w:r>
      <w:r w:rsidRPr="001C52C0">
        <w:rPr>
          <w:rFonts w:ascii="Tahoma" w:hAnsi="Tahoma" w:cs="Tahoma"/>
        </w:rPr>
        <w:t>la pensión de sobrevivientes</w:t>
      </w:r>
      <w:r w:rsidR="00FC6F08" w:rsidRPr="001C52C0">
        <w:rPr>
          <w:rFonts w:ascii="Tahoma" w:hAnsi="Tahoma" w:cs="Tahoma"/>
        </w:rPr>
        <w:t xml:space="preserve">, </w:t>
      </w:r>
      <w:r w:rsidRPr="001C52C0">
        <w:rPr>
          <w:rFonts w:ascii="Tahoma" w:hAnsi="Tahoma" w:cs="Tahoma"/>
        </w:rPr>
        <w:t xml:space="preserve">misma que fue negada mediante </w:t>
      </w:r>
      <w:r w:rsidR="00BD2235" w:rsidRPr="001C52C0">
        <w:rPr>
          <w:rFonts w:ascii="Tahoma" w:hAnsi="Tahoma" w:cs="Tahoma"/>
        </w:rPr>
        <w:t>la Resolución GNR 323034 del 29 de octubre de 2016</w:t>
      </w:r>
      <w:r w:rsidRPr="001C52C0">
        <w:rPr>
          <w:rFonts w:ascii="Tahoma" w:hAnsi="Tahoma" w:cs="Tahoma"/>
        </w:rPr>
        <w:t xml:space="preserve"> (</w:t>
      </w:r>
      <w:proofErr w:type="spellStart"/>
      <w:r w:rsidRPr="001C52C0">
        <w:rPr>
          <w:rFonts w:ascii="Tahoma" w:hAnsi="Tahoma" w:cs="Tahoma"/>
        </w:rPr>
        <w:t>fl</w:t>
      </w:r>
      <w:proofErr w:type="spellEnd"/>
      <w:r w:rsidRPr="001C52C0">
        <w:rPr>
          <w:rFonts w:ascii="Tahoma" w:hAnsi="Tahoma" w:cs="Tahoma"/>
        </w:rPr>
        <w:t xml:space="preserve">. </w:t>
      </w:r>
      <w:r w:rsidR="00FC6F08" w:rsidRPr="001C52C0">
        <w:rPr>
          <w:rFonts w:ascii="Tahoma" w:hAnsi="Tahoma" w:cs="Tahoma"/>
        </w:rPr>
        <w:t>98</w:t>
      </w:r>
      <w:r w:rsidRPr="001C52C0">
        <w:rPr>
          <w:rFonts w:ascii="Tahoma" w:hAnsi="Tahoma" w:cs="Tahoma"/>
        </w:rPr>
        <w:t>).</w:t>
      </w:r>
    </w:p>
    <w:p w14:paraId="7A1F424A" w14:textId="77777777" w:rsidR="00385C0B" w:rsidRPr="001C52C0" w:rsidRDefault="00385C0B" w:rsidP="001C52C0">
      <w:pPr>
        <w:pStyle w:val="Sinespaciado"/>
        <w:spacing w:line="276" w:lineRule="auto"/>
        <w:rPr>
          <w:rFonts w:ascii="Tahoma" w:hAnsi="Tahoma" w:cs="Tahoma"/>
        </w:rPr>
      </w:pPr>
    </w:p>
    <w:p w14:paraId="1C3F1582" w14:textId="0F30BD96" w:rsidR="00385C0B" w:rsidRPr="001C52C0" w:rsidRDefault="00385C0B" w:rsidP="001C52C0">
      <w:pPr>
        <w:widowControl w:val="0"/>
        <w:autoSpaceDE w:val="0"/>
        <w:autoSpaceDN w:val="0"/>
        <w:adjustRightInd w:val="0"/>
        <w:spacing w:line="276" w:lineRule="auto"/>
        <w:ind w:firstLine="708"/>
        <w:jc w:val="both"/>
        <w:rPr>
          <w:rFonts w:ascii="Tahoma" w:hAnsi="Tahoma" w:cs="Tahoma"/>
        </w:rPr>
      </w:pPr>
      <w:r w:rsidRPr="001C52C0">
        <w:rPr>
          <w:rFonts w:ascii="Tahoma" w:hAnsi="Tahoma" w:cs="Tahoma"/>
        </w:rPr>
        <w:t xml:space="preserve">Hasta aquí debe decirse que, en principio, la norma aplicable es la vigente para el momento del óbito del señor </w:t>
      </w:r>
      <w:r w:rsidR="00BD2235" w:rsidRPr="001C52C0">
        <w:rPr>
          <w:rFonts w:ascii="Tahoma" w:hAnsi="Tahoma" w:cs="Tahoma"/>
        </w:rPr>
        <w:t>Cepeda Saavedra</w:t>
      </w:r>
      <w:r w:rsidRPr="001C52C0">
        <w:rPr>
          <w:rFonts w:ascii="Tahoma" w:hAnsi="Tahoma" w:cs="Tahoma"/>
        </w:rPr>
        <w:t>, que no es otra que la Ley 100 de 1993</w:t>
      </w:r>
      <w:r w:rsidR="00FC6F08" w:rsidRPr="001C52C0">
        <w:rPr>
          <w:rFonts w:ascii="Tahoma" w:hAnsi="Tahoma" w:cs="Tahoma"/>
        </w:rPr>
        <w:t>, con las modificaciones introducidas por la Ley 797 de 2003</w:t>
      </w:r>
      <w:r w:rsidRPr="001C52C0">
        <w:rPr>
          <w:rFonts w:ascii="Tahoma" w:hAnsi="Tahoma" w:cs="Tahoma"/>
        </w:rPr>
        <w:t xml:space="preserve">, la cual exige, entre otros, que él hubiera cotizado </w:t>
      </w:r>
      <w:r w:rsidR="00FC6F08" w:rsidRPr="001C52C0">
        <w:rPr>
          <w:rFonts w:ascii="Tahoma" w:hAnsi="Tahoma" w:cs="Tahoma"/>
        </w:rPr>
        <w:t>50</w:t>
      </w:r>
      <w:r w:rsidRPr="001C52C0">
        <w:rPr>
          <w:rFonts w:ascii="Tahoma" w:hAnsi="Tahoma" w:cs="Tahoma"/>
        </w:rPr>
        <w:t xml:space="preserve"> semanas en </w:t>
      </w:r>
      <w:r w:rsidR="00FC6F08" w:rsidRPr="001C52C0">
        <w:rPr>
          <w:rFonts w:ascii="Tahoma" w:hAnsi="Tahoma" w:cs="Tahoma"/>
        </w:rPr>
        <w:t xml:space="preserve">los tres </w:t>
      </w:r>
      <w:r w:rsidRPr="001C52C0">
        <w:rPr>
          <w:rFonts w:ascii="Tahoma" w:hAnsi="Tahoma" w:cs="Tahoma"/>
        </w:rPr>
        <w:t>año</w:t>
      </w:r>
      <w:r w:rsidR="00FC6F08" w:rsidRPr="001C52C0">
        <w:rPr>
          <w:rFonts w:ascii="Tahoma" w:hAnsi="Tahoma" w:cs="Tahoma"/>
        </w:rPr>
        <w:t>s</w:t>
      </w:r>
      <w:r w:rsidRPr="001C52C0">
        <w:rPr>
          <w:rFonts w:ascii="Tahoma" w:hAnsi="Tahoma" w:cs="Tahoma"/>
        </w:rPr>
        <w:t xml:space="preserve"> anterior</w:t>
      </w:r>
      <w:r w:rsidR="00FC6F08" w:rsidRPr="001C52C0">
        <w:rPr>
          <w:rFonts w:ascii="Tahoma" w:hAnsi="Tahoma" w:cs="Tahoma"/>
        </w:rPr>
        <w:t>es</w:t>
      </w:r>
      <w:r w:rsidRPr="001C52C0">
        <w:rPr>
          <w:rFonts w:ascii="Tahoma" w:hAnsi="Tahoma" w:cs="Tahoma"/>
        </w:rPr>
        <w:t xml:space="preserve"> al fallecimiento, requisito que no se cumplió según quedó demostrado y aceptado, reclamándose entonces que la pensión se reconozca en aplicación del Acuerdo 049 de 1990, en virtud del principio de la condición más beneficiosa.</w:t>
      </w:r>
    </w:p>
    <w:p w14:paraId="5A1CBC01" w14:textId="77777777" w:rsidR="00FC6F08" w:rsidRPr="001C52C0" w:rsidRDefault="00FC6F08" w:rsidP="001C52C0">
      <w:pPr>
        <w:widowControl w:val="0"/>
        <w:autoSpaceDE w:val="0"/>
        <w:autoSpaceDN w:val="0"/>
        <w:adjustRightInd w:val="0"/>
        <w:spacing w:line="276" w:lineRule="auto"/>
        <w:ind w:firstLine="708"/>
        <w:jc w:val="both"/>
        <w:rPr>
          <w:rFonts w:ascii="Tahoma" w:hAnsi="Tahoma" w:cs="Tahoma"/>
        </w:rPr>
      </w:pPr>
      <w:bookmarkStart w:id="2" w:name="_Hlk73689435"/>
    </w:p>
    <w:p w14:paraId="1B655AD1" w14:textId="6FC97AA3" w:rsidR="00FC6F08" w:rsidRPr="001C52C0" w:rsidRDefault="005D2935" w:rsidP="001C52C0">
      <w:pPr>
        <w:pStyle w:val="Textoindependiente"/>
        <w:numPr>
          <w:ilvl w:val="1"/>
          <w:numId w:val="4"/>
        </w:numPr>
        <w:tabs>
          <w:tab w:val="left" w:pos="1134"/>
        </w:tabs>
        <w:spacing w:after="0" w:line="276" w:lineRule="auto"/>
        <w:ind w:right="51"/>
        <w:jc w:val="both"/>
        <w:rPr>
          <w:rFonts w:ascii="Tahoma" w:hAnsi="Tahoma" w:cs="Tahoma"/>
          <w:b/>
        </w:rPr>
      </w:pPr>
      <w:r w:rsidRPr="001C52C0">
        <w:rPr>
          <w:rFonts w:ascii="Tahoma" w:hAnsi="Tahoma" w:cs="Tahoma"/>
          <w:b/>
        </w:rPr>
        <w:t>Precedentes jurisprudenciales respecto a la aplicación del prin</w:t>
      </w:r>
      <w:r w:rsidR="00FC6F08" w:rsidRPr="001C52C0">
        <w:rPr>
          <w:rFonts w:ascii="Tahoma" w:hAnsi="Tahoma" w:cs="Tahoma"/>
          <w:b/>
        </w:rPr>
        <w:t>cipio de la condición más beneficiosa</w:t>
      </w:r>
    </w:p>
    <w:p w14:paraId="1A59BF59" w14:textId="77777777" w:rsidR="00FC6F08" w:rsidRPr="001C52C0" w:rsidRDefault="00FC6F08" w:rsidP="001C52C0">
      <w:pPr>
        <w:pStyle w:val="Sinespaciado"/>
        <w:spacing w:line="276" w:lineRule="auto"/>
        <w:rPr>
          <w:rFonts w:ascii="Tahoma" w:hAnsi="Tahoma" w:cs="Tahoma"/>
        </w:rPr>
      </w:pPr>
    </w:p>
    <w:p w14:paraId="000E6E63" w14:textId="77777777" w:rsidR="00FC6F08" w:rsidRPr="001C52C0" w:rsidRDefault="00FC6F08" w:rsidP="001C52C0">
      <w:pPr>
        <w:pStyle w:val="Ttulo"/>
        <w:spacing w:line="276" w:lineRule="auto"/>
        <w:ind w:firstLine="708"/>
        <w:jc w:val="both"/>
        <w:rPr>
          <w:rFonts w:ascii="Tahoma" w:eastAsia="Tahoma" w:hAnsi="Tahoma" w:cs="Tahoma"/>
          <w:b w:val="0"/>
        </w:rPr>
      </w:pPr>
      <w:r w:rsidRPr="001C52C0">
        <w:rPr>
          <w:rFonts w:ascii="Tahoma" w:hAnsi="Tahoma" w:cs="Tahoma"/>
          <w:b w:val="0"/>
        </w:rPr>
        <w:t xml:space="preserve">Es sabido que la normatividad aplicable a la pensión de sobrevivientes es la legislación vigente al momento del fallecimiento del afiliado, no obstante, por excepción es posible acudir a la normatividad anterior con el fin de determinar la concesión o no de la gracia pensional en aplicación del </w:t>
      </w:r>
      <w:r w:rsidRPr="001C52C0">
        <w:rPr>
          <w:rFonts w:ascii="Tahoma" w:hAnsi="Tahoma" w:cs="Tahoma"/>
          <w:b w:val="0"/>
          <w:i/>
          <w:iCs/>
        </w:rPr>
        <w:t>“</w:t>
      </w:r>
      <w:r w:rsidRPr="0064273D">
        <w:rPr>
          <w:rFonts w:ascii="Tahoma" w:hAnsi="Tahoma" w:cs="Tahoma"/>
          <w:b w:val="0"/>
          <w:i/>
          <w:iCs/>
          <w:sz w:val="22"/>
        </w:rPr>
        <w:t>Principio de la condición más beneficiosa</w:t>
      </w:r>
      <w:r w:rsidRPr="001C52C0">
        <w:rPr>
          <w:rFonts w:ascii="Tahoma" w:hAnsi="Tahoma" w:cs="Tahoma"/>
          <w:b w:val="0"/>
        </w:rPr>
        <w:t>”, siempre y cuando el causante o el afiliado, según se trate de pensión de sobrevivencia o pensi</w:t>
      </w:r>
      <w:r w:rsidRPr="001C52C0">
        <w:rPr>
          <w:rFonts w:ascii="Tahoma" w:eastAsia="Tahoma" w:hAnsi="Tahoma" w:cs="Tahoma"/>
          <w:b w:val="0"/>
        </w:rPr>
        <w:t xml:space="preserve">ón de invalidez, haya acumulado el número mínimo de semanas para causar el derecho conforme a las regulaciones previas a la norma vigente a la fecha del fallecimiento o la estructuración de la invalidez, según el caso.  </w:t>
      </w:r>
    </w:p>
    <w:p w14:paraId="6806EF81" w14:textId="23C27EE1" w:rsidR="2C4C0AD9" w:rsidRPr="001C52C0" w:rsidRDefault="2C4C0AD9" w:rsidP="001C52C0">
      <w:pPr>
        <w:pStyle w:val="Ttulo"/>
        <w:spacing w:line="276" w:lineRule="auto"/>
        <w:ind w:firstLine="708"/>
        <w:jc w:val="both"/>
        <w:rPr>
          <w:rFonts w:ascii="Tahoma" w:eastAsia="Tahoma" w:hAnsi="Tahoma" w:cs="Tahoma"/>
          <w:bCs/>
        </w:rPr>
      </w:pPr>
    </w:p>
    <w:p w14:paraId="3CA57188" w14:textId="2AA3452E" w:rsidR="1CB01000" w:rsidRPr="001C52C0" w:rsidRDefault="1CB01000" w:rsidP="001C52C0">
      <w:pPr>
        <w:spacing w:line="276" w:lineRule="auto"/>
        <w:ind w:firstLine="705"/>
        <w:jc w:val="both"/>
        <w:rPr>
          <w:rFonts w:ascii="Tahoma" w:eastAsia="Tahoma" w:hAnsi="Tahoma" w:cs="Tahoma"/>
        </w:rPr>
      </w:pPr>
      <w:r w:rsidRPr="001C52C0">
        <w:rPr>
          <w:rFonts w:ascii="Tahoma" w:eastAsia="Tahoma" w:hAnsi="Tahoma" w:cs="Tahoma"/>
          <w:lang w:val="es"/>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w:t>
      </w:r>
      <w:r w:rsidRPr="001C52C0">
        <w:rPr>
          <w:rFonts w:ascii="Tahoma" w:eastAsia="Tahoma" w:hAnsi="Tahoma" w:cs="Tahoma"/>
          <w:b/>
          <w:bCs/>
          <w:lang w:val="es"/>
        </w:rPr>
        <w:t xml:space="preserve"> </w:t>
      </w:r>
      <w:r w:rsidRPr="001C52C0">
        <w:rPr>
          <w:rFonts w:ascii="Tahoma" w:eastAsia="Tahoma" w:hAnsi="Tahoma" w:cs="Tahoma"/>
          <w:lang w:val="es"/>
        </w:rPr>
        <w:t>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 Así lo expresó, entre otras, en la sentencia T-566 de 2014</w:t>
      </w:r>
      <w:r w:rsidRPr="001C52C0">
        <w:rPr>
          <w:rFonts w:ascii="Tahoma" w:eastAsia="Tahoma" w:hAnsi="Tahoma" w:cs="Tahoma"/>
          <w:vertAlign w:val="superscript"/>
          <w:lang w:val="es"/>
        </w:rPr>
        <w:t>1</w:t>
      </w:r>
      <w:r w:rsidRPr="001C52C0">
        <w:rPr>
          <w:rFonts w:ascii="Tahoma" w:eastAsia="Tahoma" w:hAnsi="Tahoma" w:cs="Tahoma"/>
          <w:lang w:val="es"/>
        </w:rPr>
        <w:t xml:space="preserve">. </w:t>
      </w:r>
      <w:r w:rsidRPr="001C52C0">
        <w:rPr>
          <w:rFonts w:ascii="Tahoma" w:eastAsia="Tahoma" w:hAnsi="Tahoma" w:cs="Tahoma"/>
        </w:rPr>
        <w:t xml:space="preserve"> </w:t>
      </w:r>
    </w:p>
    <w:p w14:paraId="14D40D6E" w14:textId="42C56688" w:rsidR="1CB01000" w:rsidRPr="001C52C0" w:rsidRDefault="1CB01000" w:rsidP="001C52C0">
      <w:pPr>
        <w:spacing w:line="276" w:lineRule="auto"/>
        <w:ind w:firstLine="705"/>
        <w:jc w:val="both"/>
        <w:rPr>
          <w:rFonts w:ascii="Tahoma" w:eastAsia="Tahoma" w:hAnsi="Tahoma" w:cs="Tahoma"/>
        </w:rPr>
      </w:pPr>
      <w:r w:rsidRPr="001C52C0">
        <w:rPr>
          <w:rFonts w:ascii="Tahoma" w:eastAsia="Tahoma" w:hAnsi="Tahoma" w:cs="Tahoma"/>
        </w:rPr>
        <w:t xml:space="preserve"> </w:t>
      </w:r>
    </w:p>
    <w:p w14:paraId="27D2B99B" w14:textId="16C97508" w:rsidR="1CB01000" w:rsidRPr="001C52C0" w:rsidRDefault="1CB01000" w:rsidP="001C52C0">
      <w:pPr>
        <w:spacing w:line="276" w:lineRule="auto"/>
        <w:ind w:firstLine="705"/>
        <w:jc w:val="both"/>
        <w:rPr>
          <w:rFonts w:ascii="Tahoma" w:eastAsia="Tahoma" w:hAnsi="Tahoma" w:cs="Tahoma"/>
          <w:i/>
          <w:iCs/>
          <w:lang w:val="es"/>
        </w:rPr>
      </w:pPr>
      <w:r w:rsidRPr="001C52C0">
        <w:rPr>
          <w:rFonts w:ascii="Tahoma" w:eastAsia="Tahoma" w:hAnsi="Tahoma" w:cs="Tahoma"/>
          <w:lang w:val="es"/>
        </w:rPr>
        <w:t xml:space="preserve">Sin embargo, hace poco la Sala de Casación Laboral redujo aún más su postura en la aplicación de este principio en el tránsito de la Ley 100 original a la Ley 860 de 2003, en la Sentencia SL4650, Radicado No. 45262 del 25 de enero de 2017, en la que se analizó una pensión de sobrevivientes, al imponer una limitación temporal en el sentido de que el deceso debió ocurrir en los 3 años siguientes a la entrada en vigencia de dicha norma, esto es, entre el 26 de diciembre de 2003 y el 26 de diciembre de 2006, </w:t>
      </w:r>
      <w:r w:rsidRPr="001C52C0">
        <w:rPr>
          <w:rFonts w:ascii="Tahoma" w:eastAsia="Tahoma" w:hAnsi="Tahoma" w:cs="Tahoma"/>
          <w:i/>
          <w:iCs/>
          <w:lang w:val="es"/>
        </w:rPr>
        <w:t>-y si se da ese requisito, se puede entrar a analizar otros señalados en la misma providencia-</w:t>
      </w:r>
    </w:p>
    <w:p w14:paraId="1818DED5" w14:textId="550EAA98" w:rsidR="2C4C0AD9" w:rsidRPr="001C52C0" w:rsidRDefault="2C4C0AD9" w:rsidP="001C52C0">
      <w:pPr>
        <w:spacing w:line="276" w:lineRule="auto"/>
        <w:ind w:firstLine="705"/>
        <w:jc w:val="both"/>
        <w:rPr>
          <w:rFonts w:ascii="Tahoma" w:eastAsia="Tahoma" w:hAnsi="Tahoma" w:cs="Tahoma"/>
        </w:rPr>
      </w:pPr>
    </w:p>
    <w:p w14:paraId="4CB47E1B" w14:textId="52B7039B" w:rsidR="00FC6F08" w:rsidRPr="001C52C0" w:rsidRDefault="00FC6F08" w:rsidP="001C52C0">
      <w:pPr>
        <w:pStyle w:val="Ttulo"/>
        <w:spacing w:line="276" w:lineRule="auto"/>
        <w:ind w:firstLine="708"/>
        <w:jc w:val="both"/>
        <w:rPr>
          <w:rFonts w:ascii="Tahoma" w:hAnsi="Tahoma" w:cs="Tahoma"/>
          <w:b w:val="0"/>
          <w:i/>
          <w:iCs/>
          <w:spacing w:val="-2"/>
        </w:rPr>
      </w:pPr>
      <w:r w:rsidRPr="001C52C0">
        <w:rPr>
          <w:rFonts w:ascii="Tahoma" w:eastAsia="Tahoma" w:hAnsi="Tahoma" w:cs="Tahoma"/>
          <w:b w:val="0"/>
        </w:rPr>
        <w:t>Atendiendo la interpretación que tuvo la Corte Constitucional sobre la materia, la cual resulta más favorable para la beneficiaria, es posible el salto de la Ley 797 de 2003 al</w:t>
      </w:r>
      <w:r w:rsidR="00DE33D7" w:rsidRPr="001C52C0">
        <w:rPr>
          <w:rFonts w:ascii="Tahoma" w:eastAsia="Tahoma" w:hAnsi="Tahoma" w:cs="Tahoma"/>
          <w:b w:val="0"/>
        </w:rPr>
        <w:t xml:space="preserve"> Acuerdo 049 de 1990</w:t>
      </w:r>
      <w:r w:rsidRPr="001C52C0">
        <w:rPr>
          <w:rFonts w:ascii="Tahoma" w:eastAsia="Tahoma" w:hAnsi="Tahoma" w:cs="Tahoma"/>
          <w:b w:val="0"/>
        </w:rPr>
        <w:t xml:space="preserve">, en la </w:t>
      </w:r>
      <w:r w:rsidRPr="001C52C0">
        <w:rPr>
          <w:rFonts w:ascii="Tahoma" w:hAnsi="Tahoma" w:cs="Tahoma"/>
          <w:b w:val="0"/>
        </w:rPr>
        <w:t xml:space="preserve">medida en que </w:t>
      </w:r>
      <w:r w:rsidRPr="001C52C0">
        <w:rPr>
          <w:rFonts w:ascii="Tahoma" w:hAnsi="Tahoma" w:cs="Tahoma"/>
          <w:b w:val="0"/>
          <w:spacing w:val="-2"/>
        </w:rPr>
        <w:t>el artículo 53 de la Constitución no restringe la aplicación de la condición más beneficiosa a sólo dos normas aplicables al caso. En ese sentido, el presente asunto p</w:t>
      </w:r>
      <w:r w:rsidR="00DE33D7" w:rsidRPr="001C52C0">
        <w:rPr>
          <w:rFonts w:ascii="Tahoma" w:hAnsi="Tahoma" w:cs="Tahoma"/>
          <w:b w:val="0"/>
          <w:spacing w:val="-2"/>
        </w:rPr>
        <w:t xml:space="preserve">uede </w:t>
      </w:r>
      <w:r w:rsidRPr="001C52C0">
        <w:rPr>
          <w:rFonts w:ascii="Tahoma" w:hAnsi="Tahoma" w:cs="Tahoma"/>
          <w:b w:val="0"/>
          <w:spacing w:val="-2"/>
        </w:rPr>
        <w:t xml:space="preserve">analizarse a la luz del </w:t>
      </w:r>
      <w:r w:rsidR="00DE33D7" w:rsidRPr="001C52C0">
        <w:rPr>
          <w:rFonts w:ascii="Tahoma" w:hAnsi="Tahoma" w:cs="Tahoma"/>
          <w:b w:val="0"/>
          <w:spacing w:val="-2"/>
        </w:rPr>
        <w:t>aludido a</w:t>
      </w:r>
      <w:r w:rsidRPr="001C52C0">
        <w:rPr>
          <w:rFonts w:ascii="Tahoma" w:hAnsi="Tahoma" w:cs="Tahoma"/>
          <w:b w:val="0"/>
          <w:spacing w:val="-2"/>
        </w:rPr>
        <w:t xml:space="preserve">cuerdo, </w:t>
      </w:r>
      <w:r w:rsidRPr="001C52C0">
        <w:rPr>
          <w:rFonts w:ascii="Tahoma" w:hAnsi="Tahoma" w:cs="Tahoma"/>
          <w:b w:val="0"/>
          <w:spacing w:val="-2"/>
        </w:rPr>
        <w:lastRenderedPageBreak/>
        <w:t xml:space="preserve">que si bien no es la norma inmediatamente anterior, se acompasa al precedente del Tribunal Constitucional, quien a través de la sentencia SU-442 del 18 de agosto de 2016 </w:t>
      </w:r>
      <w:r w:rsidRPr="001C52C0">
        <w:rPr>
          <w:rFonts w:ascii="Tahoma" w:hAnsi="Tahoma" w:cs="Tahoma"/>
          <w:b w:val="0"/>
          <w:i/>
          <w:iCs/>
          <w:spacing w:val="-2"/>
        </w:rPr>
        <w:t>–en la que se analizó una pensión de invalidez-</w:t>
      </w:r>
      <w:r w:rsidRPr="001C52C0">
        <w:rPr>
          <w:rFonts w:ascii="Tahoma" w:hAnsi="Tahoma" w:cs="Tahoma"/>
          <w:b w:val="0"/>
          <w:spacing w:val="-2"/>
        </w:rPr>
        <w:t xml:space="preserve">, unificó los criterios en relación con la aplicación de principio en comento, reiterando los precedentes anteriores y precisando que </w:t>
      </w:r>
      <w:r w:rsidRPr="001C52C0">
        <w:rPr>
          <w:rFonts w:ascii="Tahoma" w:hAnsi="Tahoma" w:cs="Tahoma"/>
          <w:b w:val="0"/>
          <w:i/>
          <w:iCs/>
          <w:spacing w:val="-2"/>
        </w:rPr>
        <w:t>“</w:t>
      </w:r>
      <w:r w:rsidRPr="0061010E">
        <w:rPr>
          <w:rFonts w:ascii="Tahoma" w:hAnsi="Tahoma" w:cs="Tahoma"/>
          <w:b w:val="0"/>
          <w:i/>
          <w:iCs/>
          <w:spacing w:val="-2"/>
          <w:sz w:val="22"/>
        </w:rPr>
        <w:t>Si bien el legislador podía introducir ajustes o incluso reformas estructurales al sistema pensional, debía hacerlo en un marco de respeto por los derechos adquiridos y las expectativas legítimas</w:t>
      </w:r>
      <w:r w:rsidRPr="001C52C0">
        <w:rPr>
          <w:rFonts w:ascii="Tahoma" w:hAnsi="Tahoma" w:cs="Tahoma"/>
          <w:b w:val="0"/>
          <w:i/>
          <w:iCs/>
          <w:spacing w:val="-2"/>
        </w:rPr>
        <w:t>”</w:t>
      </w:r>
      <w:r w:rsidRPr="001C52C0">
        <w:rPr>
          <w:rFonts w:ascii="Tahoma" w:hAnsi="Tahoma" w:cs="Tahoma"/>
          <w:b w:val="0"/>
          <w:spacing w:val="-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61010E">
        <w:rPr>
          <w:rFonts w:ascii="Tahoma" w:hAnsi="Tahoma" w:cs="Tahoma"/>
          <w:b w:val="0"/>
          <w:i/>
          <w:iCs/>
          <w:spacing w:val="-2"/>
          <w:sz w:val="22"/>
        </w:rPr>
        <w:t>no puede hablarse de un detrimento para la sostenibilidad financiera del sistema pensional</w:t>
      </w:r>
      <w:r w:rsidRPr="001C52C0">
        <w:rPr>
          <w:rFonts w:ascii="Tahoma" w:hAnsi="Tahoma" w:cs="Tahoma"/>
          <w:b w:val="0"/>
          <w:i/>
          <w:iCs/>
          <w:spacing w:val="-2"/>
        </w:rPr>
        <w:t>”.</w:t>
      </w:r>
    </w:p>
    <w:p w14:paraId="56AABAE2" w14:textId="18C20552" w:rsidR="005D2935" w:rsidRPr="001C52C0" w:rsidRDefault="005D2935" w:rsidP="001C52C0">
      <w:pPr>
        <w:pStyle w:val="Ttulo"/>
        <w:spacing w:line="276" w:lineRule="auto"/>
        <w:ind w:firstLine="708"/>
        <w:jc w:val="both"/>
        <w:rPr>
          <w:rFonts w:ascii="Tahoma" w:hAnsi="Tahoma" w:cs="Tahoma"/>
          <w:bCs/>
          <w:i/>
          <w:iCs/>
        </w:rPr>
      </w:pPr>
    </w:p>
    <w:p w14:paraId="1A6D74C5" w14:textId="7722B76D" w:rsidR="005D2935" w:rsidRPr="001C52C0" w:rsidRDefault="46087A35" w:rsidP="001C52C0">
      <w:pPr>
        <w:pStyle w:val="paragraph"/>
        <w:spacing w:before="0" w:beforeAutospacing="0" w:after="0" w:afterAutospacing="0" w:line="276" w:lineRule="auto"/>
        <w:ind w:firstLine="705"/>
        <w:jc w:val="both"/>
        <w:rPr>
          <w:rStyle w:val="eop"/>
          <w:rFonts w:ascii="Tahoma" w:hAnsi="Tahoma" w:cs="Tahoma"/>
        </w:rPr>
      </w:pPr>
      <w:r w:rsidRPr="001C52C0">
        <w:rPr>
          <w:rStyle w:val="normaltextrun"/>
          <w:rFonts w:ascii="Tahoma" w:hAnsi="Tahoma" w:cs="Tahoma"/>
          <w:lang w:val="es-ES"/>
        </w:rPr>
        <w:t>Este precedente de la Corte Constitucional ha sido acogido por esta Sala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r w:rsidRPr="001C52C0">
        <w:rPr>
          <w:rStyle w:val="eop"/>
          <w:rFonts w:ascii="Tahoma" w:hAnsi="Tahoma" w:cs="Tahoma"/>
        </w:rPr>
        <w:t> </w:t>
      </w:r>
    </w:p>
    <w:p w14:paraId="30B8807F" w14:textId="77777777" w:rsidR="005D2935" w:rsidRPr="001C52C0" w:rsidRDefault="005D2935" w:rsidP="001C52C0">
      <w:pPr>
        <w:pStyle w:val="paragraph"/>
        <w:spacing w:before="0" w:beforeAutospacing="0" w:after="0" w:afterAutospacing="0" w:line="276" w:lineRule="auto"/>
        <w:ind w:firstLine="705"/>
        <w:jc w:val="both"/>
        <w:rPr>
          <w:rStyle w:val="eop"/>
          <w:rFonts w:ascii="Tahoma" w:hAnsi="Tahoma" w:cs="Tahoma"/>
        </w:rPr>
      </w:pPr>
    </w:p>
    <w:p w14:paraId="333DD99C" w14:textId="0602AF50" w:rsidR="005D2935" w:rsidRPr="001C52C0" w:rsidRDefault="46087A35" w:rsidP="001C52C0">
      <w:pPr>
        <w:spacing w:line="276" w:lineRule="auto"/>
        <w:ind w:firstLine="708"/>
        <w:jc w:val="both"/>
        <w:rPr>
          <w:rFonts w:ascii="Tahoma" w:hAnsi="Tahoma" w:cs="Tahoma"/>
        </w:rPr>
      </w:pPr>
      <w:r w:rsidRPr="001C52C0">
        <w:rPr>
          <w:rFonts w:ascii="Tahoma" w:hAnsi="Tahoma" w:cs="Tahoma"/>
        </w:rPr>
        <w:t xml:space="preserve">Así mismo, el acogimiento de dicha postura se apuntala en el hecho de que la seguridad social es un derecho fundamental cuya naturaleza no cambia por el hecho de que se analice en un proceso ordinario o en una acción de tutela y por eso no es dable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w:t>
      </w:r>
    </w:p>
    <w:p w14:paraId="66AE08D3" w14:textId="50BB42E7" w:rsidR="0DB63850" w:rsidRPr="001C52C0" w:rsidRDefault="0DB63850" w:rsidP="001C52C0">
      <w:pPr>
        <w:spacing w:line="276" w:lineRule="auto"/>
        <w:ind w:firstLine="708"/>
        <w:jc w:val="both"/>
        <w:rPr>
          <w:rFonts w:ascii="Tahoma" w:hAnsi="Tahoma" w:cs="Tahoma"/>
        </w:rPr>
      </w:pPr>
    </w:p>
    <w:p w14:paraId="112EF20B" w14:textId="77777777" w:rsidR="2641EB10" w:rsidRPr="001C52C0" w:rsidRDefault="2641EB10" w:rsidP="001C52C0">
      <w:pPr>
        <w:spacing w:line="276" w:lineRule="auto"/>
        <w:ind w:right="193" w:firstLine="709"/>
        <w:jc w:val="both"/>
        <w:rPr>
          <w:rFonts w:ascii="Tahoma" w:hAnsi="Tahoma" w:cs="Tahoma"/>
        </w:rPr>
      </w:pPr>
      <w:r w:rsidRPr="001C52C0">
        <w:rPr>
          <w:rFonts w:ascii="Tahoma" w:hAnsi="Tahoma" w:cs="Tahoma"/>
        </w:rPr>
        <w:t xml:space="preserve">Vale la pena resaltar que la Sala de Casación Civil de la Corte Suprema de Justicia, se adhirió a la tesis anterior, como se observa en la sentencia de tutela del 20 de noviembre de 2020, STC10214-2020, M.P. Francisco Ternera Barrios, en la cual se revocó el fallo de tutela proferido en primera instancia por su homóloga de la especialidad Penal, resaltando que era factible acudir al contenido del Acuerdo 049 de 1990 en aquellos casos en los que el siniestro ocurrió en vigencia de la Ley 797 de 2003 pero se contaba con la densidad de semanas exigidas por dicho acuerdo; ello en aplicación del precedente sentado por la Corte Constitucional frente al principio de la condición más beneficiosa. En estos términos se pronunció el Alto Tribunal: </w:t>
      </w:r>
    </w:p>
    <w:p w14:paraId="694727D2" w14:textId="77777777" w:rsidR="0DB63850" w:rsidRPr="001C52C0" w:rsidRDefault="0DB63850" w:rsidP="001C52C0">
      <w:pPr>
        <w:spacing w:line="276" w:lineRule="auto"/>
        <w:ind w:right="193" w:firstLine="709"/>
        <w:jc w:val="both"/>
        <w:rPr>
          <w:rFonts w:ascii="Tahoma" w:hAnsi="Tahoma" w:cs="Tahoma"/>
        </w:rPr>
      </w:pPr>
    </w:p>
    <w:p w14:paraId="5022BB08" w14:textId="77777777" w:rsidR="2641EB10" w:rsidRPr="0061010E" w:rsidRDefault="2641EB10" w:rsidP="0061010E">
      <w:pPr>
        <w:ind w:left="426" w:right="420"/>
        <w:jc w:val="both"/>
        <w:rPr>
          <w:rFonts w:ascii="Tahoma" w:hAnsi="Tahoma" w:cs="Tahoma"/>
          <w:i/>
          <w:iCs/>
          <w:sz w:val="22"/>
        </w:rPr>
      </w:pPr>
      <w:r w:rsidRPr="0061010E">
        <w:rPr>
          <w:rFonts w:ascii="Tahoma" w:hAnsi="Tahoma" w:cs="Tahoma"/>
          <w:i/>
          <w:iCs/>
          <w:sz w:val="22"/>
        </w:rPr>
        <w:t xml:space="preserve">“Conforme a lo anterior, se tiene que para el reconocimiento de la pensión de sobrevivientes por muerte de origen común proceda, el beneficiario del asegurado </w:t>
      </w:r>
      <w:r w:rsidRPr="0061010E">
        <w:rPr>
          <w:rFonts w:ascii="Tahoma" w:hAnsi="Tahoma" w:cs="Tahoma"/>
          <w:i/>
          <w:iCs/>
          <w:sz w:val="22"/>
        </w:rPr>
        <w:lastRenderedPageBreak/>
        <w:t xml:space="preserve">debe acreditar que el causante haya cotizado 300 semanas al sistema de pensión y, de conformidad con lo establecido en los precedentes emitidos por la Corte Constitucional, éstas se hubiesen realizado en su totalidad, con antelación a la vigencia de la Ley 100 de 1993. </w:t>
      </w:r>
    </w:p>
    <w:p w14:paraId="04FCCAED" w14:textId="77777777" w:rsidR="0DB63850" w:rsidRPr="0061010E" w:rsidRDefault="0DB63850" w:rsidP="0061010E">
      <w:pPr>
        <w:ind w:left="426" w:right="420"/>
        <w:jc w:val="both"/>
        <w:rPr>
          <w:rFonts w:ascii="Tahoma" w:hAnsi="Tahoma" w:cs="Tahoma"/>
          <w:i/>
          <w:iCs/>
          <w:sz w:val="22"/>
        </w:rPr>
      </w:pPr>
    </w:p>
    <w:p w14:paraId="67BC4B22" w14:textId="77777777" w:rsidR="2641EB10" w:rsidRPr="0061010E" w:rsidRDefault="2641EB10" w:rsidP="0061010E">
      <w:pPr>
        <w:ind w:left="426" w:right="420"/>
        <w:jc w:val="both"/>
        <w:rPr>
          <w:rFonts w:ascii="Tahoma" w:hAnsi="Tahoma" w:cs="Tahoma"/>
          <w:i/>
          <w:iCs/>
          <w:sz w:val="22"/>
        </w:rPr>
      </w:pPr>
      <w:r w:rsidRPr="0061010E">
        <w:rPr>
          <w:rFonts w:ascii="Tahoma" w:hAnsi="Tahoma" w:cs="Tahoma"/>
          <w:i/>
          <w:iCs/>
          <w:sz w:val="22"/>
        </w:rPr>
        <w:t>Así, de cara al caso concreto, se tiene que tales presupuestos se encuentran satisfechos, ya que el señor José Julián Rojas Sánchez, compañero permanente de la hoy reclamante, había cotizado un total de 300.99</w:t>
      </w:r>
      <w:r w:rsidRPr="0061010E">
        <w:rPr>
          <w:rStyle w:val="Refdenotaalpie"/>
          <w:rFonts w:ascii="Tahoma" w:hAnsi="Tahoma" w:cs="Tahoma"/>
          <w:i/>
          <w:iCs/>
          <w:sz w:val="22"/>
        </w:rPr>
        <w:footnoteReference w:id="1"/>
      </w:r>
      <w:r w:rsidRPr="0061010E">
        <w:rPr>
          <w:rFonts w:ascii="Tahoma" w:hAnsi="Tahoma" w:cs="Tahoma"/>
          <w:i/>
          <w:iCs/>
          <w:sz w:val="22"/>
        </w:rPr>
        <w:t xml:space="preserve"> semanas en vigor del acuerdo 049 de 1990, de manera que, estando vigente ese régimen, a su patrimonio ingresó el derecho a la aplicación de ese sistema, por lo cual la nueva ley no podía menoscabar el derecho válidamente adquirido por el trabajador. Resulta incuestionable, que la Ley 797 de 2003 al momento del fallecimiento del señor Rojas era desfavorable para los intereses de la promotora. No obstante, resulta aplicable por el Acuerdo 049 de 1990 aprobado por el Decreto 758 de 1990, en atención al principio de la condición más beneficiosa, pues el causante, al momento de la vigencia de esa disposición, contaba con una densidad superior a 300 semanas cotizadas, cumpliendo con la exigencia pecuniaria o temporal establecida en ese instante.”</w:t>
      </w:r>
    </w:p>
    <w:p w14:paraId="5E4D35F5" w14:textId="77777777" w:rsidR="0DB63850" w:rsidRPr="001C52C0" w:rsidRDefault="0DB63850" w:rsidP="001C52C0">
      <w:pPr>
        <w:spacing w:line="276" w:lineRule="auto"/>
        <w:ind w:right="193"/>
        <w:jc w:val="both"/>
        <w:rPr>
          <w:rFonts w:ascii="Tahoma" w:hAnsi="Tahoma" w:cs="Tahoma"/>
        </w:rPr>
      </w:pPr>
    </w:p>
    <w:p w14:paraId="015C643C" w14:textId="77777777" w:rsidR="2641EB10" w:rsidRPr="001C52C0" w:rsidRDefault="2641EB10" w:rsidP="001C52C0">
      <w:pPr>
        <w:spacing w:line="276" w:lineRule="auto"/>
        <w:ind w:right="193" w:firstLine="708"/>
        <w:jc w:val="both"/>
        <w:rPr>
          <w:rFonts w:ascii="Tahoma" w:hAnsi="Tahoma" w:cs="Tahoma"/>
        </w:rPr>
      </w:pPr>
      <w:r w:rsidRPr="001C52C0">
        <w:rPr>
          <w:rFonts w:ascii="Tahoma" w:hAnsi="Tahoma" w:cs="Tahoma"/>
        </w:rPr>
        <w:t xml:space="preserve">Como pilar fundamental de la providencia en comento, la Corte Suprema SE refirió al principio de </w:t>
      </w:r>
      <w:r w:rsidRPr="001C52C0">
        <w:rPr>
          <w:rFonts w:ascii="Tahoma" w:hAnsi="Tahoma" w:cs="Tahoma"/>
          <w:b/>
          <w:bCs/>
          <w:i/>
          <w:iCs/>
        </w:rPr>
        <w:t>In dubio Pro Operario</w:t>
      </w:r>
      <w:r w:rsidRPr="001C52C0">
        <w:rPr>
          <w:rFonts w:ascii="Tahoma" w:hAnsi="Tahoma" w:cs="Tahoma"/>
        </w:rPr>
        <w:t xml:space="preserve"> en los siguientes términos:</w:t>
      </w:r>
    </w:p>
    <w:p w14:paraId="57253C3F" w14:textId="77777777" w:rsidR="0DB63850" w:rsidRPr="001C52C0" w:rsidRDefault="0DB63850" w:rsidP="001C52C0">
      <w:pPr>
        <w:spacing w:line="276" w:lineRule="auto"/>
        <w:ind w:right="193"/>
        <w:jc w:val="both"/>
        <w:rPr>
          <w:rFonts w:ascii="Tahoma" w:hAnsi="Tahoma" w:cs="Tahoma"/>
        </w:rPr>
      </w:pPr>
    </w:p>
    <w:p w14:paraId="79BF55E4" w14:textId="77777777" w:rsidR="2641EB10" w:rsidRPr="0061010E" w:rsidRDefault="2641EB10" w:rsidP="0061010E">
      <w:pPr>
        <w:ind w:left="426" w:right="420"/>
        <w:jc w:val="both"/>
        <w:rPr>
          <w:rFonts w:ascii="Tahoma" w:hAnsi="Tahoma" w:cs="Tahoma"/>
          <w:i/>
          <w:iCs/>
          <w:sz w:val="22"/>
        </w:rPr>
      </w:pPr>
      <w:r w:rsidRPr="0061010E">
        <w:rPr>
          <w:rFonts w:ascii="Tahoma" w:hAnsi="Tahoma" w:cs="Tahoma"/>
          <w:i/>
          <w:iCs/>
          <w:sz w:val="22"/>
        </w:rPr>
        <w:t>“Igualmente, la jurisprudencia constitucional también ha consignado que el juzgador ordinario debe efectuar la exegesis más garantista en esta temática, de acuerdo con el postulado universal del «in dubio pro operario», en efecto, precisó que:</w:t>
      </w:r>
    </w:p>
    <w:p w14:paraId="26F71A5E" w14:textId="77777777" w:rsidR="0DB63850" w:rsidRPr="0061010E" w:rsidRDefault="0DB63850" w:rsidP="0061010E">
      <w:pPr>
        <w:ind w:left="426" w:right="420"/>
        <w:jc w:val="both"/>
        <w:rPr>
          <w:rFonts w:ascii="Tahoma" w:hAnsi="Tahoma" w:cs="Tahoma"/>
          <w:i/>
          <w:iCs/>
          <w:sz w:val="22"/>
        </w:rPr>
      </w:pPr>
    </w:p>
    <w:p w14:paraId="5CB07157" w14:textId="565F32E6" w:rsidR="2641EB10" w:rsidRPr="0061010E" w:rsidRDefault="2641EB10" w:rsidP="0061010E">
      <w:pPr>
        <w:ind w:left="851" w:right="845"/>
        <w:jc w:val="both"/>
        <w:rPr>
          <w:rFonts w:ascii="Tahoma" w:hAnsi="Tahoma" w:cs="Tahoma"/>
          <w:i/>
          <w:iCs/>
          <w:sz w:val="22"/>
        </w:rPr>
      </w:pPr>
      <w:r w:rsidRPr="0061010E">
        <w:rPr>
          <w:rFonts w:ascii="Tahoma" w:hAnsi="Tahoma" w:cs="Tahoma"/>
          <w:i/>
          <w:iCs/>
          <w:sz w:val="22"/>
        </w:rPr>
        <w:t>…</w:t>
      </w:r>
      <w:r w:rsidR="0061010E">
        <w:rPr>
          <w:rFonts w:ascii="Tahoma" w:hAnsi="Tahoma" w:cs="Tahoma"/>
          <w:i/>
          <w:iCs/>
          <w:sz w:val="22"/>
        </w:rPr>
        <w:t xml:space="preserve"> </w:t>
      </w:r>
      <w:r w:rsidRPr="0061010E">
        <w:rPr>
          <w:rFonts w:ascii="Tahoma" w:hAnsi="Tahoma" w:cs="Tahoma"/>
          <w:i/>
          <w:iCs/>
          <w:sz w:val="22"/>
        </w:rPr>
        <w:t>pueden surgir dudas sobre el alcance de la condición más beneficiosa como extensión del principio de favorabilidad, en particular si se le interpreta de manera conjunta con otros</w:t>
      </w:r>
    </w:p>
    <w:p w14:paraId="0B3F0D2E" w14:textId="77777777" w:rsidR="2641EB10" w:rsidRPr="0061010E" w:rsidRDefault="2641EB10" w:rsidP="0061010E">
      <w:pPr>
        <w:ind w:left="851" w:right="845"/>
        <w:jc w:val="both"/>
        <w:rPr>
          <w:rFonts w:ascii="Tahoma" w:hAnsi="Tahoma" w:cs="Tahoma"/>
          <w:i/>
          <w:iCs/>
          <w:sz w:val="22"/>
        </w:rPr>
      </w:pPr>
      <w:r w:rsidRPr="0061010E">
        <w:rPr>
          <w:rFonts w:ascii="Tahoma" w:hAnsi="Tahoma" w:cs="Tahoma"/>
          <w:i/>
          <w:iCs/>
          <w:sz w:val="22"/>
        </w:rPr>
        <w:t>principios constitucionales y legales. Así, por un lado, en virtud de los principios de legalidad de la legislación laboral y de seguridad jurídica, podría argumentarse que el mencionado principio de favorabilidad en su extensión a la condición más beneficiosa debe limitar su aplicación en el tiempo solo a la norma inmediatamente anterior a la vigente al momento de causarse la pensión. Pero también, con fundamento en otros principios constitucionales como el respeto de la confianza legítima, solidaridad y buena fe (artículos 58 y 83 de la Constitución), puede entenderse que el alcance del principio de favorabilidad en la condición más beneficiosa no limita su aplicación en el tiempo a la norma inmediatamente anterior a la vigente al momento de causación de la pensión de sobrevivientes, esto es, el régimen legal vigente al momento de la muerte del causante (…)”.</w:t>
      </w:r>
    </w:p>
    <w:p w14:paraId="75AD0461" w14:textId="77777777" w:rsidR="0DB63850" w:rsidRPr="0061010E" w:rsidRDefault="0DB63850" w:rsidP="0061010E">
      <w:pPr>
        <w:ind w:left="851" w:right="845"/>
        <w:jc w:val="both"/>
        <w:rPr>
          <w:rFonts w:ascii="Tahoma" w:hAnsi="Tahoma" w:cs="Tahoma"/>
          <w:i/>
          <w:iCs/>
          <w:sz w:val="22"/>
        </w:rPr>
      </w:pPr>
    </w:p>
    <w:p w14:paraId="5D398065" w14:textId="77777777" w:rsidR="2641EB10" w:rsidRPr="0061010E" w:rsidRDefault="2641EB10" w:rsidP="0061010E">
      <w:pPr>
        <w:ind w:left="851" w:right="845"/>
        <w:jc w:val="both"/>
        <w:rPr>
          <w:rFonts w:ascii="Tahoma" w:hAnsi="Tahoma" w:cs="Tahoma"/>
          <w:i/>
          <w:iCs/>
          <w:sz w:val="22"/>
        </w:rPr>
      </w:pPr>
      <w:r w:rsidRPr="0061010E">
        <w:rPr>
          <w:rFonts w:ascii="Tahoma" w:hAnsi="Tahoma" w:cs="Tahoma"/>
          <w:i/>
          <w:iCs/>
          <w:sz w:val="22"/>
        </w:rPr>
        <w:t xml:space="preserve">“(…) Frente a estas dos interpretaciones, una menos restrictiva que la otra, considera la Corte que la interpretación más adecuada frente al principio constitucional de favorabilidad, previsto en el artículo 53 de la Constitución, será aquella que respete la “situación más favorable al trabajador en caso de duda en la aplicación e interpretación de las fuentes formales de derecho”. Como se aprecia, el principio de favorabilidad opera en caso de duda sobre la interpretación de las “fuentes formales del derecho”, las cuales incluyen no solo las normas legales o </w:t>
      </w:r>
      <w:proofErr w:type="spellStart"/>
      <w:r w:rsidRPr="0061010E">
        <w:rPr>
          <w:rFonts w:ascii="Tahoma" w:hAnsi="Tahoma" w:cs="Tahoma"/>
          <w:i/>
          <w:iCs/>
          <w:sz w:val="22"/>
        </w:rPr>
        <w:t>infralegales</w:t>
      </w:r>
      <w:proofErr w:type="spellEnd"/>
      <w:r w:rsidRPr="0061010E">
        <w:rPr>
          <w:rFonts w:ascii="Tahoma" w:hAnsi="Tahoma" w:cs="Tahoma"/>
          <w:i/>
          <w:iCs/>
          <w:sz w:val="22"/>
        </w:rPr>
        <w:t>, por lo que debe ser tomado en cuenta para determinar el sentido y alcance de las normas laborales de la propia Constitución. Por lo tanto, cuando una norma constitucional admita dos o más interpretaciones razonables, el intérprete debe elegir aquella que sea más favorable al trabajador. De no hacerlo, incurriría en violación directa de la Constitución… (CC T-084/17).</w:t>
      </w:r>
    </w:p>
    <w:p w14:paraId="6CD6BCD1" w14:textId="77777777" w:rsidR="0DB63850" w:rsidRPr="0061010E" w:rsidRDefault="0DB63850" w:rsidP="0061010E">
      <w:pPr>
        <w:ind w:left="426" w:right="420"/>
        <w:jc w:val="both"/>
        <w:rPr>
          <w:rFonts w:ascii="Tahoma" w:hAnsi="Tahoma" w:cs="Tahoma"/>
          <w:i/>
          <w:iCs/>
          <w:sz w:val="22"/>
        </w:rPr>
      </w:pPr>
    </w:p>
    <w:p w14:paraId="1ED8C694" w14:textId="77777777" w:rsidR="2641EB10" w:rsidRPr="0061010E" w:rsidRDefault="2641EB10" w:rsidP="0061010E">
      <w:pPr>
        <w:ind w:left="426" w:right="420"/>
        <w:jc w:val="both"/>
        <w:rPr>
          <w:rFonts w:ascii="Tahoma" w:hAnsi="Tahoma" w:cs="Tahoma"/>
          <w:i/>
          <w:iCs/>
          <w:sz w:val="22"/>
        </w:rPr>
      </w:pPr>
      <w:r w:rsidRPr="0061010E">
        <w:rPr>
          <w:rFonts w:ascii="Tahoma" w:hAnsi="Tahoma" w:cs="Tahoma"/>
          <w:i/>
          <w:iCs/>
          <w:sz w:val="22"/>
        </w:rPr>
        <w:t>Así pues, en el presente caso, no se acogió la interpretación más beneficiosa para la accionante, pues su compañero permanente solventó la densidad de tiempo necesaria para ser beneficiario de la prestación pensional conforme a lo establecido en el Acuerdo 049 de 1990, reglamentado por el Decreto 758 del mismo año, razón por la que era incontrovertible la procedencia del derecho deprecado.”</w:t>
      </w:r>
    </w:p>
    <w:p w14:paraId="61B95D0B" w14:textId="77777777" w:rsidR="0DB63850" w:rsidRPr="001C52C0" w:rsidRDefault="0DB63850" w:rsidP="001C52C0">
      <w:pPr>
        <w:pStyle w:val="Ttulo"/>
        <w:spacing w:line="276" w:lineRule="auto"/>
        <w:ind w:firstLine="708"/>
        <w:jc w:val="both"/>
        <w:rPr>
          <w:rFonts w:ascii="Tahoma" w:hAnsi="Tahoma" w:cs="Tahoma"/>
          <w:b w:val="0"/>
          <w:i/>
          <w:iCs/>
        </w:rPr>
      </w:pPr>
    </w:p>
    <w:p w14:paraId="673DE2E8" w14:textId="5441AC75" w:rsidR="005D2935" w:rsidRPr="001C52C0" w:rsidRDefault="46087A35" w:rsidP="001C52C0">
      <w:pPr>
        <w:spacing w:line="276" w:lineRule="auto"/>
        <w:ind w:firstLine="708"/>
        <w:jc w:val="both"/>
        <w:rPr>
          <w:rFonts w:ascii="Tahoma" w:hAnsi="Tahoma" w:cs="Tahoma"/>
          <w:i/>
          <w:iCs/>
        </w:rPr>
      </w:pPr>
      <w:r w:rsidRPr="001C52C0">
        <w:rPr>
          <w:rFonts w:ascii="Tahoma" w:hAnsi="Tahoma" w:cs="Tahoma"/>
        </w:rPr>
        <w:t>Sin embargo, el precedente de la Corte Constitucional atrás reseñado, fue modificado por las mayorías de esa Corporación mediante sentencia SU-005 de 2018, mediante la cual la Corte Constitucional condicionó la procedencia de la acción de tutela para conceder la pensión de sobrevivientes consagrada en el Acuerdo 049 de 1990, en aplicación del principio de la condición más beneficiosa, siempre que se evidencie que:</w:t>
      </w:r>
      <w:r w:rsidRPr="001C52C0">
        <w:rPr>
          <w:rFonts w:ascii="Tahoma" w:hAnsi="Tahoma" w:cs="Tahoma"/>
          <w:i/>
          <w:iCs/>
        </w:rPr>
        <w:t xml:space="preserve"> i) el accionante pertenece a un grupo de especial protección constitucional o se encuentra en uno o varios supuestos de riesgo tales como analfabetismo, vejez, enfermedad, pobreza extrema, cabeza de familia o desplazamiento; </w:t>
      </w:r>
      <w:proofErr w:type="spellStart"/>
      <w:r w:rsidRPr="001C52C0">
        <w:rPr>
          <w:rFonts w:ascii="Tahoma" w:hAnsi="Tahoma" w:cs="Tahoma"/>
          <w:i/>
          <w:iCs/>
        </w:rPr>
        <w:t>ii</w:t>
      </w:r>
      <w:proofErr w:type="spellEnd"/>
      <w:r w:rsidRPr="001C52C0">
        <w:rPr>
          <w:rFonts w:ascii="Tahoma" w:hAnsi="Tahoma" w:cs="Tahoma"/>
          <w:i/>
          <w:iCs/>
        </w:rPr>
        <w:t xml:space="preserve">) que el no reconocimiento de la prestación afecta su mínimo vital; </w:t>
      </w:r>
      <w:proofErr w:type="spellStart"/>
      <w:r w:rsidRPr="001C52C0">
        <w:rPr>
          <w:rFonts w:ascii="Tahoma" w:hAnsi="Tahoma" w:cs="Tahoma"/>
          <w:i/>
          <w:iCs/>
        </w:rPr>
        <w:t>iii</w:t>
      </w:r>
      <w:proofErr w:type="spellEnd"/>
      <w:r w:rsidRPr="001C52C0">
        <w:rPr>
          <w:rFonts w:ascii="Tahoma" w:hAnsi="Tahoma" w:cs="Tahoma"/>
          <w:i/>
          <w:iCs/>
        </w:rPr>
        <w:t xml:space="preserve">) la dependencia económica hacia el causante; </w:t>
      </w:r>
      <w:proofErr w:type="spellStart"/>
      <w:r w:rsidRPr="001C52C0">
        <w:rPr>
          <w:rFonts w:ascii="Tahoma" w:hAnsi="Tahoma" w:cs="Tahoma"/>
          <w:i/>
          <w:iCs/>
        </w:rPr>
        <w:t>iv</w:t>
      </w:r>
      <w:proofErr w:type="spellEnd"/>
      <w:r w:rsidRPr="001C52C0">
        <w:rPr>
          <w:rFonts w:ascii="Tahoma" w:hAnsi="Tahoma" w:cs="Tahoma"/>
          <w:i/>
          <w:iCs/>
        </w:rPr>
        <w:t>) la imposibilidad del causante de cotizar las semanas exigidas en el sistema de pensiones y, v) la actuación diligente del accionante para reclamar la pensión administrativa y judicialmente.</w:t>
      </w:r>
    </w:p>
    <w:p w14:paraId="1DA030D4" w14:textId="53589234" w:rsidR="005D2935" w:rsidRPr="001C52C0" w:rsidRDefault="005D2935" w:rsidP="001C52C0">
      <w:pPr>
        <w:spacing w:line="276" w:lineRule="auto"/>
        <w:jc w:val="both"/>
        <w:rPr>
          <w:rFonts w:ascii="Tahoma" w:hAnsi="Tahoma" w:cs="Tahoma"/>
        </w:rPr>
      </w:pPr>
    </w:p>
    <w:p w14:paraId="1681FB47" w14:textId="77777777" w:rsidR="005D2935" w:rsidRPr="001C52C0" w:rsidRDefault="46087A35" w:rsidP="001C52C0">
      <w:pPr>
        <w:pStyle w:val="Textoindependiente31"/>
        <w:spacing w:line="276" w:lineRule="auto"/>
        <w:ind w:firstLine="851"/>
        <w:rPr>
          <w:rFonts w:cs="Tahoma"/>
          <w:szCs w:val="24"/>
        </w:rPr>
      </w:pPr>
      <w:r w:rsidRPr="001C52C0">
        <w:rPr>
          <w:rFonts w:cs="Tahoma"/>
          <w:szCs w:val="24"/>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14:paraId="5732F43B" w14:textId="77777777" w:rsidR="005D2935" w:rsidRPr="001C52C0" w:rsidRDefault="005D2935" w:rsidP="001C52C0">
      <w:pPr>
        <w:pStyle w:val="Sinespaciado"/>
        <w:spacing w:line="276" w:lineRule="auto"/>
        <w:rPr>
          <w:rFonts w:ascii="Tahoma" w:hAnsi="Tahoma" w:cs="Tahoma"/>
        </w:rPr>
      </w:pPr>
    </w:p>
    <w:p w14:paraId="0B4BB1D5" w14:textId="0B1307DC" w:rsidR="005D2935" w:rsidRPr="0061010E" w:rsidRDefault="46087A35" w:rsidP="0061010E">
      <w:pPr>
        <w:ind w:left="426" w:right="420"/>
        <w:jc w:val="both"/>
        <w:rPr>
          <w:rFonts w:ascii="Tahoma" w:hAnsi="Tahoma" w:cs="Tahoma"/>
          <w:i/>
          <w:iCs/>
          <w:sz w:val="22"/>
        </w:rPr>
      </w:pPr>
      <w:r w:rsidRPr="0061010E">
        <w:rPr>
          <w:rFonts w:ascii="Tahoma" w:hAnsi="Tahoma" w:cs="Tahoma"/>
          <w:i/>
          <w:iCs/>
          <w:sz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p>
    <w:p w14:paraId="55473A20" w14:textId="77777777" w:rsidR="005D2935" w:rsidRPr="001C52C0" w:rsidRDefault="005D2935" w:rsidP="001C52C0">
      <w:pPr>
        <w:spacing w:line="276" w:lineRule="auto"/>
        <w:ind w:right="193" w:firstLine="709"/>
        <w:jc w:val="both"/>
        <w:rPr>
          <w:rFonts w:ascii="Tahoma" w:hAnsi="Tahoma" w:cs="Tahoma"/>
        </w:rPr>
      </w:pPr>
    </w:p>
    <w:p w14:paraId="0CD363E7" w14:textId="2D871FA6" w:rsidR="005D2935" w:rsidRPr="001C52C0" w:rsidRDefault="219DE34F" w:rsidP="001C52C0">
      <w:pPr>
        <w:pStyle w:val="Ttulo"/>
        <w:spacing w:line="276" w:lineRule="auto"/>
        <w:jc w:val="both"/>
        <w:rPr>
          <w:rFonts w:ascii="Tahoma" w:hAnsi="Tahoma" w:cs="Tahoma"/>
          <w:b w:val="0"/>
          <w:spacing w:val="-2"/>
        </w:rPr>
      </w:pPr>
      <w:r w:rsidRPr="001C52C0">
        <w:rPr>
          <w:rFonts w:ascii="Tahoma" w:hAnsi="Tahoma" w:cs="Tahoma"/>
          <w:b w:val="0"/>
        </w:rPr>
        <w:t>Para la resolución de este caso, la Sala mayoritaria acogerá la sentencia SU-005 de 2018 de la Corte Constitucional, por resultar la interpretació</w:t>
      </w:r>
      <w:r w:rsidR="66252CC2" w:rsidRPr="001C52C0">
        <w:rPr>
          <w:rFonts w:ascii="Tahoma" w:hAnsi="Tahoma" w:cs="Tahoma"/>
          <w:b w:val="0"/>
        </w:rPr>
        <w:t xml:space="preserve">n más favorable, de conformidad al artículo 53 de la Carta política. </w:t>
      </w:r>
    </w:p>
    <w:bookmarkEnd w:id="2"/>
    <w:p w14:paraId="09F9912A" w14:textId="77777777" w:rsidR="000353AF" w:rsidRPr="001C52C0" w:rsidRDefault="000353AF" w:rsidP="001C52C0">
      <w:pPr>
        <w:widowControl w:val="0"/>
        <w:autoSpaceDE w:val="0"/>
        <w:autoSpaceDN w:val="0"/>
        <w:adjustRightInd w:val="0"/>
        <w:spacing w:line="276" w:lineRule="auto"/>
        <w:jc w:val="both"/>
        <w:rPr>
          <w:rFonts w:ascii="Tahoma" w:hAnsi="Tahoma" w:cs="Tahoma"/>
          <w:b/>
        </w:rPr>
      </w:pPr>
    </w:p>
    <w:p w14:paraId="364D632E" w14:textId="7077A17F" w:rsidR="00385C0B" w:rsidRPr="001C52C0" w:rsidRDefault="00385C0B" w:rsidP="001C52C0">
      <w:pPr>
        <w:pStyle w:val="Prrafodelista"/>
        <w:widowControl w:val="0"/>
        <w:numPr>
          <w:ilvl w:val="1"/>
          <w:numId w:val="4"/>
        </w:numPr>
        <w:autoSpaceDE w:val="0"/>
        <w:autoSpaceDN w:val="0"/>
        <w:adjustRightInd w:val="0"/>
        <w:spacing w:line="276" w:lineRule="auto"/>
        <w:jc w:val="both"/>
        <w:rPr>
          <w:rFonts w:ascii="Tahoma" w:hAnsi="Tahoma" w:cs="Tahoma"/>
          <w:b/>
        </w:rPr>
      </w:pPr>
      <w:r w:rsidRPr="001C52C0">
        <w:rPr>
          <w:rFonts w:ascii="Tahoma" w:hAnsi="Tahoma" w:cs="Tahoma"/>
          <w:b/>
        </w:rPr>
        <w:t>Caso concreto</w:t>
      </w:r>
    </w:p>
    <w:p w14:paraId="3CE4D4B9" w14:textId="77777777" w:rsidR="007F59D0" w:rsidRPr="001C52C0" w:rsidRDefault="007F59D0" w:rsidP="001C52C0">
      <w:pPr>
        <w:widowControl w:val="0"/>
        <w:autoSpaceDE w:val="0"/>
        <w:autoSpaceDN w:val="0"/>
        <w:adjustRightInd w:val="0"/>
        <w:spacing w:line="276" w:lineRule="auto"/>
        <w:ind w:firstLine="1122"/>
        <w:jc w:val="both"/>
        <w:rPr>
          <w:rFonts w:ascii="Tahoma" w:hAnsi="Tahoma" w:cs="Tahoma"/>
        </w:rPr>
      </w:pPr>
    </w:p>
    <w:p w14:paraId="29E3F313" w14:textId="5E84294E" w:rsidR="00C46664" w:rsidRPr="001C52C0" w:rsidRDefault="007F59D0" w:rsidP="001C52C0">
      <w:pPr>
        <w:tabs>
          <w:tab w:val="left" w:pos="748"/>
        </w:tabs>
        <w:spacing w:line="276" w:lineRule="auto"/>
        <w:jc w:val="both"/>
        <w:rPr>
          <w:rFonts w:ascii="Tahoma" w:hAnsi="Tahoma" w:cs="Tahoma"/>
        </w:rPr>
      </w:pPr>
      <w:r w:rsidRPr="001C52C0">
        <w:rPr>
          <w:rFonts w:ascii="Tahoma" w:hAnsi="Tahoma" w:cs="Tahoma"/>
        </w:rPr>
        <w:tab/>
        <w:t xml:space="preserve">Tal como se advirtió previamente, no es objeto de debate en el asunto bajo estudio el hecho de que el señor </w:t>
      </w:r>
      <w:r w:rsidR="00855588" w:rsidRPr="001C52C0">
        <w:rPr>
          <w:rFonts w:ascii="Tahoma" w:hAnsi="Tahoma" w:cs="Tahoma"/>
        </w:rPr>
        <w:t>Henry Cepeda Saavedra</w:t>
      </w:r>
      <w:r w:rsidRPr="001C52C0">
        <w:rPr>
          <w:rFonts w:ascii="Tahoma" w:hAnsi="Tahoma" w:cs="Tahoma"/>
        </w:rPr>
        <w:t xml:space="preserve">, quien falleció el </w:t>
      </w:r>
      <w:r w:rsidR="00855588" w:rsidRPr="001C52C0">
        <w:rPr>
          <w:rFonts w:ascii="Tahoma" w:hAnsi="Tahoma" w:cs="Tahoma"/>
        </w:rPr>
        <w:t>8</w:t>
      </w:r>
      <w:r w:rsidR="00FC6F08" w:rsidRPr="001C52C0">
        <w:rPr>
          <w:rFonts w:ascii="Tahoma" w:hAnsi="Tahoma" w:cs="Tahoma"/>
        </w:rPr>
        <w:t xml:space="preserve"> de </w:t>
      </w:r>
      <w:r w:rsidR="00855588" w:rsidRPr="001C52C0">
        <w:rPr>
          <w:rFonts w:ascii="Tahoma" w:hAnsi="Tahoma" w:cs="Tahoma"/>
        </w:rPr>
        <w:t>noviembre de 2015</w:t>
      </w:r>
      <w:r w:rsidRPr="001C52C0">
        <w:rPr>
          <w:rFonts w:ascii="Tahoma" w:hAnsi="Tahoma" w:cs="Tahoma"/>
        </w:rPr>
        <w:t xml:space="preserve">, cotizó </w:t>
      </w:r>
      <w:r w:rsidR="00FC6F08" w:rsidRPr="001C52C0">
        <w:rPr>
          <w:rFonts w:ascii="Tahoma" w:hAnsi="Tahoma" w:cs="Tahoma"/>
        </w:rPr>
        <w:t xml:space="preserve">más de 300 semanas </w:t>
      </w:r>
      <w:r w:rsidRPr="001C52C0">
        <w:rPr>
          <w:rFonts w:ascii="Tahoma" w:hAnsi="Tahoma" w:cs="Tahoma"/>
        </w:rPr>
        <w:t xml:space="preserve">al 1º de abril de 1994, acreditando el </w:t>
      </w:r>
      <w:r w:rsidRPr="001C52C0">
        <w:rPr>
          <w:rFonts w:ascii="Tahoma" w:hAnsi="Tahoma" w:cs="Tahoma"/>
        </w:rPr>
        <w:lastRenderedPageBreak/>
        <w:t>requisito establecido jurisprudencialmente para dejar causado el derecho a la pensión de sobrevivientes en virtud del principio de la condición más beneficiosa</w:t>
      </w:r>
      <w:r w:rsidR="003F763A" w:rsidRPr="001C52C0">
        <w:rPr>
          <w:rFonts w:ascii="Tahoma" w:hAnsi="Tahoma" w:cs="Tahoma"/>
        </w:rPr>
        <w:t>.</w:t>
      </w:r>
    </w:p>
    <w:p w14:paraId="11EA51F3" w14:textId="77777777" w:rsidR="007F59D0" w:rsidRPr="001C52C0" w:rsidRDefault="007F59D0" w:rsidP="001C52C0">
      <w:pPr>
        <w:tabs>
          <w:tab w:val="left" w:pos="748"/>
        </w:tabs>
        <w:spacing w:line="276" w:lineRule="auto"/>
        <w:ind w:firstLine="709"/>
        <w:jc w:val="both"/>
        <w:rPr>
          <w:rFonts w:ascii="Tahoma" w:hAnsi="Tahoma" w:cs="Tahoma"/>
        </w:rPr>
      </w:pPr>
    </w:p>
    <w:p w14:paraId="1A4F363E" w14:textId="3C174140" w:rsidR="000C06B6" w:rsidRPr="001C52C0" w:rsidRDefault="007F59D0" w:rsidP="001C52C0">
      <w:pPr>
        <w:tabs>
          <w:tab w:val="left" w:pos="748"/>
        </w:tabs>
        <w:spacing w:line="276" w:lineRule="auto"/>
        <w:ind w:firstLine="709"/>
        <w:jc w:val="both"/>
        <w:rPr>
          <w:rFonts w:ascii="Tahoma" w:hAnsi="Tahoma" w:cs="Tahoma"/>
        </w:rPr>
      </w:pPr>
      <w:r w:rsidRPr="001C52C0">
        <w:rPr>
          <w:rFonts w:ascii="Tahoma" w:hAnsi="Tahoma" w:cs="Tahoma"/>
        </w:rPr>
        <w:t>Por otra parte, debe indicarse que la calidad de beneficiari</w:t>
      </w:r>
      <w:r w:rsidR="00C46664" w:rsidRPr="001C52C0">
        <w:rPr>
          <w:rFonts w:ascii="Tahoma" w:hAnsi="Tahoma" w:cs="Tahoma"/>
        </w:rPr>
        <w:t>a</w:t>
      </w:r>
      <w:r w:rsidRPr="001C52C0">
        <w:rPr>
          <w:rFonts w:ascii="Tahoma" w:hAnsi="Tahoma" w:cs="Tahoma"/>
        </w:rPr>
        <w:t xml:space="preserve"> de la pensión de sobrevivientes de quien la pretende</w:t>
      </w:r>
      <w:r w:rsidR="00C46664" w:rsidRPr="001C52C0">
        <w:rPr>
          <w:rFonts w:ascii="Tahoma" w:hAnsi="Tahoma" w:cs="Tahoma"/>
        </w:rPr>
        <w:t xml:space="preserve"> </w:t>
      </w:r>
      <w:r w:rsidRPr="001C52C0">
        <w:rPr>
          <w:rFonts w:ascii="Tahoma" w:hAnsi="Tahoma" w:cs="Tahoma"/>
        </w:rPr>
        <w:t xml:space="preserve">a través del presente litigio quedó acreditada </w:t>
      </w:r>
      <w:r w:rsidR="000C06B6" w:rsidRPr="001C52C0">
        <w:rPr>
          <w:rFonts w:ascii="Tahoma" w:hAnsi="Tahoma" w:cs="Tahoma"/>
        </w:rPr>
        <w:t>tanto por el reconocimiento que se hizo en la Resolución GNR 323034 de 2016, en la que, pese a negársele el derecho</w:t>
      </w:r>
      <w:r w:rsidR="00DB4088" w:rsidRPr="001C52C0">
        <w:rPr>
          <w:rFonts w:ascii="Tahoma" w:hAnsi="Tahoma" w:cs="Tahoma"/>
        </w:rPr>
        <w:t>, se le</w:t>
      </w:r>
      <w:r w:rsidR="0052158B" w:rsidRPr="001C52C0">
        <w:rPr>
          <w:rFonts w:ascii="Tahoma" w:hAnsi="Tahoma" w:cs="Tahoma"/>
        </w:rPr>
        <w:t xml:space="preserve"> informó que, en su calidad de cónyuge supérstite podía solicitar el reconocimiento de la indemnización sustitutiva de la pensión de sobrevivientes.</w:t>
      </w:r>
    </w:p>
    <w:p w14:paraId="632F1282" w14:textId="77777777" w:rsidR="005D2935" w:rsidRPr="001C52C0" w:rsidRDefault="005D2935" w:rsidP="001C52C0">
      <w:pPr>
        <w:tabs>
          <w:tab w:val="left" w:pos="748"/>
        </w:tabs>
        <w:spacing w:line="276" w:lineRule="auto"/>
        <w:ind w:firstLine="709"/>
        <w:jc w:val="both"/>
        <w:rPr>
          <w:rFonts w:ascii="Tahoma" w:hAnsi="Tahoma" w:cs="Tahoma"/>
        </w:rPr>
      </w:pPr>
    </w:p>
    <w:p w14:paraId="24540E0E" w14:textId="3BB15E84" w:rsidR="0052158B" w:rsidRPr="001C52C0" w:rsidRDefault="0052158B" w:rsidP="001C52C0">
      <w:pPr>
        <w:tabs>
          <w:tab w:val="left" w:pos="748"/>
        </w:tabs>
        <w:spacing w:line="276" w:lineRule="auto"/>
        <w:ind w:firstLine="709"/>
        <w:jc w:val="both"/>
        <w:rPr>
          <w:rFonts w:ascii="Tahoma" w:hAnsi="Tahoma" w:cs="Tahoma"/>
        </w:rPr>
      </w:pPr>
      <w:r w:rsidRPr="001C52C0">
        <w:rPr>
          <w:rFonts w:ascii="Tahoma" w:hAnsi="Tahoma" w:cs="Tahoma"/>
        </w:rPr>
        <w:t xml:space="preserve">Asimismo, se </w:t>
      </w:r>
      <w:proofErr w:type="spellStart"/>
      <w:r w:rsidRPr="001C52C0">
        <w:rPr>
          <w:rFonts w:ascii="Tahoma" w:hAnsi="Tahoma" w:cs="Tahoma"/>
        </w:rPr>
        <w:t>recepcionó</w:t>
      </w:r>
      <w:proofErr w:type="spellEnd"/>
      <w:r w:rsidRPr="001C52C0">
        <w:rPr>
          <w:rFonts w:ascii="Tahoma" w:hAnsi="Tahoma" w:cs="Tahoma"/>
        </w:rPr>
        <w:t xml:space="preserve"> el testimonio de la señora Gloria </w:t>
      </w:r>
      <w:proofErr w:type="spellStart"/>
      <w:r w:rsidRPr="001C52C0">
        <w:rPr>
          <w:rFonts w:ascii="Tahoma" w:hAnsi="Tahoma" w:cs="Tahoma"/>
        </w:rPr>
        <w:t>Nury</w:t>
      </w:r>
      <w:proofErr w:type="spellEnd"/>
      <w:r w:rsidRPr="001C52C0">
        <w:rPr>
          <w:rFonts w:ascii="Tahoma" w:hAnsi="Tahoma" w:cs="Tahoma"/>
        </w:rPr>
        <w:t xml:space="preserve"> Narváez Marín, </w:t>
      </w:r>
      <w:r w:rsidR="00DA5B48" w:rsidRPr="001C52C0">
        <w:rPr>
          <w:rFonts w:ascii="Tahoma" w:hAnsi="Tahoma" w:cs="Tahoma"/>
        </w:rPr>
        <w:t>cuya declaración permite inferir que</w:t>
      </w:r>
      <w:r w:rsidR="000353AF" w:rsidRPr="001C52C0">
        <w:rPr>
          <w:rFonts w:ascii="Tahoma" w:hAnsi="Tahoma" w:cs="Tahoma"/>
        </w:rPr>
        <w:t>,</w:t>
      </w:r>
      <w:r w:rsidR="00DA5B48" w:rsidRPr="001C52C0">
        <w:rPr>
          <w:rFonts w:ascii="Tahoma" w:hAnsi="Tahoma" w:cs="Tahoma"/>
        </w:rPr>
        <w:t xml:space="preserve"> </w:t>
      </w:r>
      <w:r w:rsidR="005E16DF" w:rsidRPr="001C52C0">
        <w:rPr>
          <w:rFonts w:ascii="Tahoma" w:hAnsi="Tahoma" w:cs="Tahoma"/>
        </w:rPr>
        <w:t>a pesar del distanciamiento de la pareja</w:t>
      </w:r>
      <w:r w:rsidR="00DA5B48" w:rsidRPr="001C52C0">
        <w:rPr>
          <w:rFonts w:ascii="Tahoma" w:hAnsi="Tahoma" w:cs="Tahoma"/>
        </w:rPr>
        <w:t xml:space="preserve"> en el último año de vida del afiliado, originada por cuestiones estrictamente laborales del señor Cepeda, los lazos familiares siempre se mantuvieron vigente; lo cual le constaba al ser amiga y vecina de ellos por 20 años aproximadamente. </w:t>
      </w:r>
      <w:r w:rsidRPr="001C52C0">
        <w:rPr>
          <w:rFonts w:ascii="Tahoma" w:hAnsi="Tahoma" w:cs="Tahoma"/>
        </w:rPr>
        <w:t xml:space="preserve"> </w:t>
      </w:r>
    </w:p>
    <w:p w14:paraId="1E83D462" w14:textId="427772B1" w:rsidR="002A5DD4" w:rsidRPr="001C52C0" w:rsidRDefault="002A5DD4" w:rsidP="001C52C0">
      <w:pPr>
        <w:tabs>
          <w:tab w:val="left" w:pos="748"/>
        </w:tabs>
        <w:spacing w:line="276" w:lineRule="auto"/>
        <w:ind w:firstLine="709"/>
        <w:jc w:val="both"/>
        <w:rPr>
          <w:rFonts w:ascii="Tahoma" w:hAnsi="Tahoma" w:cs="Tahoma"/>
        </w:rPr>
      </w:pPr>
    </w:p>
    <w:p w14:paraId="7B77C7E3" w14:textId="6C5D1719" w:rsidR="002A5DD4" w:rsidRPr="001C52C0" w:rsidRDefault="002A5DD4" w:rsidP="001C52C0">
      <w:pPr>
        <w:tabs>
          <w:tab w:val="left" w:pos="748"/>
        </w:tabs>
        <w:spacing w:line="276" w:lineRule="auto"/>
        <w:ind w:firstLine="709"/>
        <w:jc w:val="both"/>
        <w:rPr>
          <w:rFonts w:ascii="Tahoma" w:hAnsi="Tahoma" w:cs="Tahoma"/>
        </w:rPr>
      </w:pPr>
      <w:r w:rsidRPr="001C52C0">
        <w:rPr>
          <w:rFonts w:ascii="Tahoma" w:hAnsi="Tahoma" w:cs="Tahoma"/>
        </w:rPr>
        <w:t xml:space="preserve">Esta misma </w:t>
      </w:r>
      <w:proofErr w:type="spellStart"/>
      <w:r w:rsidRPr="001C52C0">
        <w:rPr>
          <w:rFonts w:ascii="Tahoma" w:hAnsi="Tahoma" w:cs="Tahoma"/>
        </w:rPr>
        <w:t>testiga</w:t>
      </w:r>
      <w:proofErr w:type="spellEnd"/>
      <w:r w:rsidRPr="001C52C0">
        <w:rPr>
          <w:rFonts w:ascii="Tahoma" w:hAnsi="Tahoma" w:cs="Tahoma"/>
        </w:rPr>
        <w:t xml:space="preserve"> aseguró que la promotora</w:t>
      </w:r>
      <w:r w:rsidR="00C11571" w:rsidRPr="001C52C0">
        <w:rPr>
          <w:rFonts w:ascii="Tahoma" w:hAnsi="Tahoma" w:cs="Tahoma"/>
        </w:rPr>
        <w:t xml:space="preserve"> del litigio</w:t>
      </w:r>
      <w:r w:rsidR="0046543D" w:rsidRPr="001C52C0">
        <w:rPr>
          <w:rFonts w:ascii="Tahoma" w:hAnsi="Tahoma" w:cs="Tahoma"/>
        </w:rPr>
        <w:t>, a lo largo de la relación,</w:t>
      </w:r>
      <w:r w:rsidR="00C11571" w:rsidRPr="001C52C0">
        <w:rPr>
          <w:rFonts w:ascii="Tahoma" w:hAnsi="Tahoma" w:cs="Tahoma"/>
        </w:rPr>
        <w:t xml:space="preserve"> deriv</w:t>
      </w:r>
      <w:r w:rsidR="0046543D" w:rsidRPr="001C52C0">
        <w:rPr>
          <w:rFonts w:ascii="Tahoma" w:hAnsi="Tahoma" w:cs="Tahoma"/>
        </w:rPr>
        <w:t>ó</w:t>
      </w:r>
      <w:r w:rsidR="00C11571" w:rsidRPr="001C52C0">
        <w:rPr>
          <w:rFonts w:ascii="Tahoma" w:hAnsi="Tahoma" w:cs="Tahoma"/>
        </w:rPr>
        <w:t xml:space="preserve"> su sustento económico del señor Cepeda y que al momento del fallecimiento de este quedó desprotegida</w:t>
      </w:r>
      <w:r w:rsidR="0E66FF04" w:rsidRPr="001C52C0">
        <w:rPr>
          <w:rFonts w:ascii="Tahoma" w:hAnsi="Tahoma" w:cs="Tahoma"/>
        </w:rPr>
        <w:t>, de lo cual se infiere que era ama de casa, cuyo trabajo no es remunerado, a pesar de la importancia del rol de cuidado que ejerce</w:t>
      </w:r>
      <w:r w:rsidR="7C3BA01B" w:rsidRPr="001C52C0">
        <w:rPr>
          <w:rFonts w:ascii="Tahoma" w:hAnsi="Tahoma" w:cs="Tahoma"/>
        </w:rPr>
        <w:t xml:space="preserve">. Ello explica la dependencia económica de la demandante respecto de su cónyuge, conclusión </w:t>
      </w:r>
      <w:r w:rsidR="00C11571" w:rsidRPr="001C52C0">
        <w:rPr>
          <w:rFonts w:ascii="Tahoma" w:hAnsi="Tahoma" w:cs="Tahoma"/>
        </w:rPr>
        <w:t xml:space="preserve">que encuentra respaldo en las pruebas que militan en el plenario, donde se evidencia que </w:t>
      </w:r>
      <w:r w:rsidR="00A006F1" w:rsidRPr="001C52C0">
        <w:rPr>
          <w:rFonts w:ascii="Tahoma" w:hAnsi="Tahoma" w:cs="Tahoma"/>
        </w:rPr>
        <w:t xml:space="preserve">aquella </w:t>
      </w:r>
      <w:r w:rsidR="00C11571" w:rsidRPr="001C52C0">
        <w:rPr>
          <w:rFonts w:ascii="Tahoma" w:hAnsi="Tahoma" w:cs="Tahoma"/>
        </w:rPr>
        <w:t xml:space="preserve">era beneficiaria </w:t>
      </w:r>
      <w:r w:rsidR="0026434F" w:rsidRPr="001C52C0">
        <w:rPr>
          <w:rFonts w:ascii="Tahoma" w:hAnsi="Tahoma" w:cs="Tahoma"/>
        </w:rPr>
        <w:t>de aquel en el</w:t>
      </w:r>
      <w:r w:rsidR="00C11571" w:rsidRPr="001C52C0">
        <w:rPr>
          <w:rFonts w:ascii="Tahoma" w:hAnsi="Tahoma" w:cs="Tahoma"/>
        </w:rPr>
        <w:t xml:space="preserve"> sistema de salud y que</w:t>
      </w:r>
      <w:r w:rsidR="054A3303" w:rsidRPr="001C52C0">
        <w:rPr>
          <w:rFonts w:ascii="Tahoma" w:hAnsi="Tahoma" w:cs="Tahoma"/>
        </w:rPr>
        <w:t>,</w:t>
      </w:r>
      <w:r w:rsidR="00C11571" w:rsidRPr="001C52C0">
        <w:rPr>
          <w:rFonts w:ascii="Tahoma" w:hAnsi="Tahoma" w:cs="Tahoma"/>
        </w:rPr>
        <w:t xml:space="preserve"> al momento de su muerte</w:t>
      </w:r>
      <w:r w:rsidR="0046543D" w:rsidRPr="001C52C0">
        <w:rPr>
          <w:rFonts w:ascii="Tahoma" w:hAnsi="Tahoma" w:cs="Tahoma"/>
        </w:rPr>
        <w:t xml:space="preserve">, </w:t>
      </w:r>
      <w:r w:rsidR="005D2935" w:rsidRPr="001C52C0">
        <w:rPr>
          <w:rFonts w:ascii="Tahoma" w:hAnsi="Tahoma" w:cs="Tahoma"/>
        </w:rPr>
        <w:t xml:space="preserve">contaba </w:t>
      </w:r>
      <w:r w:rsidR="0046543D" w:rsidRPr="001C52C0">
        <w:rPr>
          <w:rFonts w:ascii="Tahoma" w:hAnsi="Tahoma" w:cs="Tahoma"/>
        </w:rPr>
        <w:t>con</w:t>
      </w:r>
      <w:r w:rsidR="00C11571" w:rsidRPr="001C52C0">
        <w:rPr>
          <w:rFonts w:ascii="Tahoma" w:hAnsi="Tahoma" w:cs="Tahoma"/>
        </w:rPr>
        <w:t xml:space="preserve"> 52 años de edad</w:t>
      </w:r>
      <w:r w:rsidR="0046543D" w:rsidRPr="001C52C0">
        <w:rPr>
          <w:rFonts w:ascii="Tahoma" w:hAnsi="Tahoma" w:cs="Tahoma"/>
        </w:rPr>
        <w:t xml:space="preserve">, sin experiencia laboral </w:t>
      </w:r>
      <w:r w:rsidR="0026434F" w:rsidRPr="001C52C0">
        <w:rPr>
          <w:rFonts w:ascii="Tahoma" w:hAnsi="Tahoma" w:cs="Tahoma"/>
        </w:rPr>
        <w:t>alguna</w:t>
      </w:r>
      <w:r w:rsidR="0046543D" w:rsidRPr="001C52C0">
        <w:rPr>
          <w:rFonts w:ascii="Tahoma" w:hAnsi="Tahoma" w:cs="Tahoma"/>
        </w:rPr>
        <w:t xml:space="preserve">, </w:t>
      </w:r>
      <w:r w:rsidR="005D2935" w:rsidRPr="001C52C0">
        <w:rPr>
          <w:rFonts w:ascii="Tahoma" w:hAnsi="Tahoma" w:cs="Tahoma"/>
        </w:rPr>
        <w:t xml:space="preserve">de modo que </w:t>
      </w:r>
      <w:r w:rsidR="0046543D" w:rsidRPr="001C52C0">
        <w:rPr>
          <w:rFonts w:ascii="Tahoma" w:hAnsi="Tahoma" w:cs="Tahoma"/>
        </w:rPr>
        <w:t>resulta</w:t>
      </w:r>
      <w:r w:rsidR="0026434F" w:rsidRPr="001C52C0">
        <w:rPr>
          <w:rFonts w:ascii="Tahoma" w:hAnsi="Tahoma" w:cs="Tahoma"/>
        </w:rPr>
        <w:t>ba</w:t>
      </w:r>
      <w:r w:rsidR="0046543D" w:rsidRPr="001C52C0">
        <w:rPr>
          <w:rFonts w:ascii="Tahoma" w:hAnsi="Tahoma" w:cs="Tahoma"/>
        </w:rPr>
        <w:t xml:space="preserve"> una misión titánica incorporarse a un mercado laboral</w:t>
      </w:r>
      <w:r w:rsidR="0026434F" w:rsidRPr="001C52C0">
        <w:rPr>
          <w:rFonts w:ascii="Tahoma" w:hAnsi="Tahoma" w:cs="Tahoma"/>
        </w:rPr>
        <w:t>,</w:t>
      </w:r>
      <w:r w:rsidR="0046543D" w:rsidRPr="001C52C0">
        <w:rPr>
          <w:rFonts w:ascii="Tahoma" w:hAnsi="Tahoma" w:cs="Tahoma"/>
        </w:rPr>
        <w:t xml:space="preserve"> ya de por sí limitado</w:t>
      </w:r>
      <w:r w:rsidR="0026434F" w:rsidRPr="001C52C0">
        <w:rPr>
          <w:rFonts w:ascii="Tahoma" w:hAnsi="Tahoma" w:cs="Tahoma"/>
        </w:rPr>
        <w:t xml:space="preserve"> </w:t>
      </w:r>
      <w:r w:rsidR="005D2935" w:rsidRPr="001C52C0">
        <w:rPr>
          <w:rFonts w:ascii="Tahoma" w:hAnsi="Tahoma" w:cs="Tahoma"/>
        </w:rPr>
        <w:t xml:space="preserve">para las mujeres </w:t>
      </w:r>
      <w:r w:rsidR="0026434F" w:rsidRPr="001C52C0">
        <w:rPr>
          <w:rFonts w:ascii="Tahoma" w:hAnsi="Tahoma" w:cs="Tahoma"/>
        </w:rPr>
        <w:t>en el territorio nacional</w:t>
      </w:r>
      <w:r w:rsidR="00C11571" w:rsidRPr="001C52C0">
        <w:rPr>
          <w:rFonts w:ascii="Tahoma" w:hAnsi="Tahoma" w:cs="Tahoma"/>
        </w:rPr>
        <w:t xml:space="preserve">. Por otra parte, no puede desconocerse que fueron las circunstancias de origen económico las que llevaron al causante a dirigirse a la ciudad de Bogotá </w:t>
      </w:r>
      <w:r w:rsidR="0026434F" w:rsidRPr="001C52C0">
        <w:rPr>
          <w:rFonts w:ascii="Tahoma" w:hAnsi="Tahoma" w:cs="Tahoma"/>
        </w:rPr>
        <w:t>a laborar como trabajador independiente</w:t>
      </w:r>
      <w:r w:rsidR="00C11571" w:rsidRPr="001C52C0">
        <w:rPr>
          <w:rFonts w:ascii="Tahoma" w:hAnsi="Tahoma" w:cs="Tahoma"/>
        </w:rPr>
        <w:t>, por lo que</w:t>
      </w:r>
      <w:r w:rsidR="0026434F" w:rsidRPr="001C52C0">
        <w:rPr>
          <w:rFonts w:ascii="Tahoma" w:hAnsi="Tahoma" w:cs="Tahoma"/>
        </w:rPr>
        <w:t>,</w:t>
      </w:r>
      <w:r w:rsidR="00C11571" w:rsidRPr="001C52C0">
        <w:rPr>
          <w:rFonts w:ascii="Tahoma" w:hAnsi="Tahoma" w:cs="Tahoma"/>
        </w:rPr>
        <w:t xml:space="preserve"> </w:t>
      </w:r>
      <w:r w:rsidR="0026434F" w:rsidRPr="001C52C0">
        <w:rPr>
          <w:rFonts w:ascii="Tahoma" w:hAnsi="Tahoma" w:cs="Tahoma"/>
        </w:rPr>
        <w:t xml:space="preserve">en dichas </w:t>
      </w:r>
      <w:r w:rsidR="00C11571" w:rsidRPr="001C52C0">
        <w:rPr>
          <w:rFonts w:ascii="Tahoma" w:hAnsi="Tahoma" w:cs="Tahoma"/>
        </w:rPr>
        <w:t>condiciones de informalidad</w:t>
      </w:r>
      <w:r w:rsidR="0026434F" w:rsidRPr="001C52C0">
        <w:rPr>
          <w:rFonts w:ascii="Tahoma" w:hAnsi="Tahoma" w:cs="Tahoma"/>
        </w:rPr>
        <w:t>, es entendible que no contara con las cotizaciones exigidas en la Ley 797 de 2003. Con esto, a juicio de la Sala mayoritaria, se estima cumplido el test de procedencia contemplado en la sentencia SU-05 de 2018</w:t>
      </w:r>
      <w:r w:rsidR="54D9A5AA" w:rsidRPr="001C52C0">
        <w:rPr>
          <w:rFonts w:ascii="Tahoma" w:hAnsi="Tahoma" w:cs="Tahoma"/>
        </w:rPr>
        <w:t>, toda vez que la demandante es una MU</w:t>
      </w:r>
      <w:r w:rsidR="64AC15C4" w:rsidRPr="001C52C0">
        <w:rPr>
          <w:rFonts w:ascii="Tahoma" w:hAnsi="Tahoma" w:cs="Tahoma"/>
        </w:rPr>
        <w:t>J</w:t>
      </w:r>
      <w:r w:rsidR="54D9A5AA" w:rsidRPr="001C52C0">
        <w:rPr>
          <w:rFonts w:ascii="Tahoma" w:hAnsi="Tahoma" w:cs="Tahoma"/>
        </w:rPr>
        <w:t xml:space="preserve">ER ama de casa que hace parte de los criterios sospechosos de discriminación del artículo 13 de la Carta Política, </w:t>
      </w:r>
      <w:r w:rsidR="42AE46C2" w:rsidRPr="001C52C0">
        <w:rPr>
          <w:rFonts w:ascii="Tahoma" w:hAnsi="Tahoma" w:cs="Tahoma"/>
        </w:rPr>
        <w:t>que por esa misma razón (ser ama de casa) dependía económicamente de su cónyuge, y que por lo tanto la muerte de éste afecta su mínimo vital</w:t>
      </w:r>
      <w:r w:rsidR="0026434F" w:rsidRPr="001C52C0">
        <w:rPr>
          <w:rFonts w:ascii="Tahoma" w:hAnsi="Tahoma" w:cs="Tahoma"/>
        </w:rPr>
        <w:t>.</w:t>
      </w:r>
      <w:r w:rsidR="2AEE6DFA" w:rsidRPr="001C52C0">
        <w:rPr>
          <w:rFonts w:ascii="Tahoma" w:hAnsi="Tahoma" w:cs="Tahoma"/>
        </w:rPr>
        <w:t xml:space="preserve"> Así mismo </w:t>
      </w:r>
      <w:r w:rsidR="61E29589" w:rsidRPr="001C52C0">
        <w:rPr>
          <w:rFonts w:ascii="Tahoma" w:hAnsi="Tahoma" w:cs="Tahoma"/>
        </w:rPr>
        <w:t>quedó en evidencia que el causante no continuó cotizando porque ingresó al mercado informal, y, finalmente, que la demandante reclamó oportunamen</w:t>
      </w:r>
      <w:r w:rsidR="3B46DFB7" w:rsidRPr="001C52C0">
        <w:rPr>
          <w:rFonts w:ascii="Tahoma" w:hAnsi="Tahoma" w:cs="Tahoma"/>
        </w:rPr>
        <w:t>te la pensión de sobrevivientes ante el fondo de pensiones.</w:t>
      </w:r>
    </w:p>
    <w:p w14:paraId="71F8B8A8" w14:textId="77777777" w:rsidR="000353AF" w:rsidRPr="001C52C0" w:rsidRDefault="000353AF" w:rsidP="001C52C0">
      <w:pPr>
        <w:tabs>
          <w:tab w:val="left" w:pos="748"/>
        </w:tabs>
        <w:spacing w:line="276" w:lineRule="auto"/>
        <w:ind w:firstLine="709"/>
        <w:jc w:val="both"/>
        <w:rPr>
          <w:rFonts w:ascii="Tahoma" w:hAnsi="Tahoma" w:cs="Tahoma"/>
        </w:rPr>
      </w:pPr>
    </w:p>
    <w:p w14:paraId="268D927B" w14:textId="4422AAC6" w:rsidR="000C06B6" w:rsidRPr="001C52C0" w:rsidRDefault="00DA5B48" w:rsidP="001C52C0">
      <w:pPr>
        <w:tabs>
          <w:tab w:val="left" w:pos="748"/>
        </w:tabs>
        <w:spacing w:line="276" w:lineRule="auto"/>
        <w:ind w:firstLine="709"/>
        <w:jc w:val="both"/>
        <w:rPr>
          <w:rFonts w:ascii="Tahoma" w:hAnsi="Tahoma" w:cs="Tahoma"/>
        </w:rPr>
      </w:pPr>
      <w:r w:rsidRPr="001C52C0">
        <w:rPr>
          <w:rFonts w:ascii="Tahoma" w:hAnsi="Tahoma" w:cs="Tahoma"/>
        </w:rPr>
        <w:t>Con relación a la vinculada, Alejandra Cepeda Durán,</w:t>
      </w:r>
      <w:r w:rsidRPr="001C52C0">
        <w:rPr>
          <w:rFonts w:ascii="Tahoma" w:hAnsi="Tahoma" w:cs="Tahoma"/>
          <w:b/>
        </w:rPr>
        <w:t xml:space="preserve"> </w:t>
      </w:r>
      <w:r w:rsidRPr="001C52C0">
        <w:rPr>
          <w:rFonts w:ascii="Tahoma" w:hAnsi="Tahoma" w:cs="Tahoma"/>
        </w:rPr>
        <w:t xml:space="preserve">mayor de edad al momento de la muerte de su padre, se dirá que no allegó al plenario documentación alguna de la que se desprendiera que continuó sus estudios con posterioridad a dicho acontecimiento, de manera que no se accederá a sus pedidos en esta instancia. </w:t>
      </w:r>
      <w:r w:rsidRPr="001C52C0">
        <w:rPr>
          <w:rFonts w:ascii="Tahoma" w:hAnsi="Tahoma" w:cs="Tahoma"/>
          <w:b/>
        </w:rPr>
        <w:t xml:space="preserve"> </w:t>
      </w:r>
    </w:p>
    <w:p w14:paraId="2D327285" w14:textId="77777777" w:rsidR="00DA5B48" w:rsidRPr="001C52C0" w:rsidRDefault="00DA5B48" w:rsidP="001C52C0">
      <w:pPr>
        <w:tabs>
          <w:tab w:val="left" w:pos="748"/>
        </w:tabs>
        <w:spacing w:line="276" w:lineRule="auto"/>
        <w:ind w:firstLine="709"/>
        <w:jc w:val="both"/>
        <w:rPr>
          <w:rFonts w:ascii="Tahoma" w:hAnsi="Tahoma" w:cs="Tahoma"/>
        </w:rPr>
      </w:pPr>
    </w:p>
    <w:p w14:paraId="41077DAB" w14:textId="3ECB60D6" w:rsidR="007F59D0" w:rsidRPr="001C52C0" w:rsidRDefault="007F59D0" w:rsidP="001C52C0">
      <w:pPr>
        <w:tabs>
          <w:tab w:val="left" w:pos="748"/>
        </w:tabs>
        <w:spacing w:line="276" w:lineRule="auto"/>
        <w:ind w:firstLine="709"/>
        <w:jc w:val="both"/>
        <w:rPr>
          <w:rFonts w:ascii="Tahoma" w:hAnsi="Tahoma" w:cs="Tahoma"/>
        </w:rPr>
      </w:pPr>
      <w:r w:rsidRPr="001C52C0">
        <w:rPr>
          <w:rFonts w:ascii="Tahoma" w:hAnsi="Tahoma" w:cs="Tahoma"/>
        </w:rPr>
        <w:t xml:space="preserve">Como consecuencia de lo hasta aquí discurrido, se declarará que a </w:t>
      </w:r>
      <w:r w:rsidR="00DA5B48" w:rsidRPr="001C52C0">
        <w:rPr>
          <w:rFonts w:ascii="Tahoma" w:hAnsi="Tahoma" w:cs="Tahoma"/>
        </w:rPr>
        <w:t>Yolanda Durán de Cepeda l</w:t>
      </w:r>
      <w:r w:rsidRPr="001C52C0">
        <w:rPr>
          <w:rFonts w:ascii="Tahoma" w:hAnsi="Tahoma" w:cs="Tahoma"/>
        </w:rPr>
        <w:t xml:space="preserve">e asiste derecho al reconocimiento de la pensión de sobrevivientes </w:t>
      </w:r>
      <w:r w:rsidRPr="001C52C0">
        <w:rPr>
          <w:rFonts w:ascii="Tahoma" w:hAnsi="Tahoma" w:cs="Tahoma"/>
        </w:rPr>
        <w:lastRenderedPageBreak/>
        <w:t xml:space="preserve">que dejó causada el señor </w:t>
      </w:r>
      <w:r w:rsidR="00DA5B48" w:rsidRPr="001C52C0">
        <w:rPr>
          <w:rFonts w:ascii="Tahoma" w:hAnsi="Tahoma" w:cs="Tahoma"/>
        </w:rPr>
        <w:t>Henry Cepeda Saavedra</w:t>
      </w:r>
      <w:r w:rsidRPr="001C52C0">
        <w:rPr>
          <w:rFonts w:ascii="Tahoma" w:hAnsi="Tahoma" w:cs="Tahoma"/>
        </w:rPr>
        <w:t xml:space="preserve">, en virtud del principio de la condición más beneficiosa y a partir del día de la muerte de éste, ocurrida el día </w:t>
      </w:r>
      <w:r w:rsidR="00CD53DC" w:rsidRPr="001C52C0">
        <w:rPr>
          <w:rFonts w:ascii="Tahoma" w:hAnsi="Tahoma" w:cs="Tahoma"/>
        </w:rPr>
        <w:t>8</w:t>
      </w:r>
      <w:r w:rsidR="00C46664" w:rsidRPr="001C52C0">
        <w:rPr>
          <w:rFonts w:ascii="Tahoma" w:hAnsi="Tahoma" w:cs="Tahoma"/>
        </w:rPr>
        <w:t xml:space="preserve"> de </w:t>
      </w:r>
      <w:r w:rsidR="00CD53DC" w:rsidRPr="001C52C0">
        <w:rPr>
          <w:rFonts w:ascii="Tahoma" w:hAnsi="Tahoma" w:cs="Tahoma"/>
        </w:rPr>
        <w:t>noviembre</w:t>
      </w:r>
      <w:r w:rsidR="00C46664" w:rsidRPr="001C52C0">
        <w:rPr>
          <w:rFonts w:ascii="Tahoma" w:hAnsi="Tahoma" w:cs="Tahoma"/>
        </w:rPr>
        <w:t xml:space="preserve"> de 201</w:t>
      </w:r>
      <w:r w:rsidR="00CD53DC" w:rsidRPr="001C52C0">
        <w:rPr>
          <w:rFonts w:ascii="Tahoma" w:hAnsi="Tahoma" w:cs="Tahoma"/>
        </w:rPr>
        <w:t>5</w:t>
      </w:r>
      <w:r w:rsidRPr="001C52C0">
        <w:rPr>
          <w:rFonts w:ascii="Tahoma" w:hAnsi="Tahoma" w:cs="Tahoma"/>
        </w:rPr>
        <w:t>. El valor de la mesada pensional equivaldrá al salario mínimo legal, en razón a que sobre esa suma siempre se hicieron las cotizaciones por parte del causante</w:t>
      </w:r>
      <w:r w:rsidR="00CD53DC" w:rsidRPr="001C52C0">
        <w:rPr>
          <w:rFonts w:ascii="Tahoma" w:hAnsi="Tahoma" w:cs="Tahoma"/>
        </w:rPr>
        <w:t>.</w:t>
      </w:r>
    </w:p>
    <w:p w14:paraId="576CF085" w14:textId="77777777" w:rsidR="007F59D0" w:rsidRPr="001C52C0" w:rsidRDefault="007F59D0" w:rsidP="001C52C0">
      <w:pPr>
        <w:tabs>
          <w:tab w:val="left" w:pos="748"/>
        </w:tabs>
        <w:spacing w:line="276" w:lineRule="auto"/>
        <w:ind w:firstLine="709"/>
        <w:jc w:val="both"/>
        <w:rPr>
          <w:rFonts w:ascii="Tahoma" w:hAnsi="Tahoma" w:cs="Tahoma"/>
        </w:rPr>
      </w:pPr>
    </w:p>
    <w:p w14:paraId="69BE8636" w14:textId="12CFF664" w:rsidR="00C46664" w:rsidRPr="001C52C0" w:rsidRDefault="007F59D0" w:rsidP="001C52C0">
      <w:pPr>
        <w:tabs>
          <w:tab w:val="left" w:pos="748"/>
        </w:tabs>
        <w:spacing w:line="276" w:lineRule="auto"/>
        <w:ind w:firstLine="709"/>
        <w:jc w:val="both"/>
        <w:rPr>
          <w:rFonts w:ascii="Tahoma" w:hAnsi="Tahoma" w:cs="Tahoma"/>
        </w:rPr>
      </w:pPr>
      <w:r w:rsidRPr="001C52C0">
        <w:rPr>
          <w:rFonts w:ascii="Tahoma" w:hAnsi="Tahoma" w:cs="Tahoma"/>
        </w:rPr>
        <w:t xml:space="preserve">Ahora, teniendo en cuenta que la AFP accionada propuso como excepción perentoria la de prescripción, debe indicarse que la misma </w:t>
      </w:r>
      <w:r w:rsidR="00C46664" w:rsidRPr="001C52C0">
        <w:rPr>
          <w:rFonts w:ascii="Tahoma" w:hAnsi="Tahoma" w:cs="Tahoma"/>
        </w:rPr>
        <w:t xml:space="preserve">no </w:t>
      </w:r>
      <w:r w:rsidRPr="001C52C0">
        <w:rPr>
          <w:rFonts w:ascii="Tahoma" w:hAnsi="Tahoma" w:cs="Tahoma"/>
        </w:rPr>
        <w:t xml:space="preserve">opera </w:t>
      </w:r>
      <w:r w:rsidR="00C46664" w:rsidRPr="001C52C0">
        <w:rPr>
          <w:rFonts w:ascii="Tahoma" w:hAnsi="Tahoma" w:cs="Tahoma"/>
        </w:rPr>
        <w:t xml:space="preserve">teniendo en cuenta que entre la fecha de </w:t>
      </w:r>
      <w:r w:rsidR="00CD53DC" w:rsidRPr="001C52C0">
        <w:rPr>
          <w:rFonts w:ascii="Tahoma" w:hAnsi="Tahoma" w:cs="Tahoma"/>
        </w:rPr>
        <w:t>reclamación de la prestación</w:t>
      </w:r>
      <w:r w:rsidR="00C46664" w:rsidRPr="001C52C0">
        <w:rPr>
          <w:rFonts w:ascii="Tahoma" w:hAnsi="Tahoma" w:cs="Tahoma"/>
        </w:rPr>
        <w:t xml:space="preserve"> y la presentación de la demanda no transcurrieron más de 3 años. </w:t>
      </w:r>
    </w:p>
    <w:p w14:paraId="6902D965" w14:textId="77777777" w:rsidR="007F59D0" w:rsidRPr="001C52C0" w:rsidRDefault="007F59D0" w:rsidP="001C52C0">
      <w:pPr>
        <w:tabs>
          <w:tab w:val="left" w:pos="748"/>
        </w:tabs>
        <w:spacing w:line="276" w:lineRule="auto"/>
        <w:ind w:firstLine="709"/>
        <w:jc w:val="both"/>
        <w:rPr>
          <w:rFonts w:ascii="Tahoma" w:hAnsi="Tahoma" w:cs="Tahoma"/>
        </w:rPr>
      </w:pPr>
    </w:p>
    <w:p w14:paraId="2D5AE8AF" w14:textId="3D7A319C" w:rsidR="007F59D0" w:rsidRPr="001C52C0" w:rsidRDefault="007F59D0" w:rsidP="001C52C0">
      <w:pPr>
        <w:spacing w:line="276" w:lineRule="auto"/>
        <w:jc w:val="both"/>
        <w:rPr>
          <w:rFonts w:ascii="Tahoma" w:hAnsi="Tahoma" w:cs="Tahoma"/>
        </w:rPr>
      </w:pPr>
      <w:r w:rsidRPr="001C52C0">
        <w:rPr>
          <w:rFonts w:ascii="Tahoma" w:hAnsi="Tahoma" w:cs="Tahoma"/>
        </w:rPr>
        <w:tab/>
      </w:r>
      <w:r w:rsidR="003F763A" w:rsidRPr="001C52C0">
        <w:rPr>
          <w:rFonts w:ascii="Tahoma" w:hAnsi="Tahoma" w:cs="Tahoma"/>
        </w:rPr>
        <w:t>Así las cosas</w:t>
      </w:r>
      <w:r w:rsidRPr="001C52C0">
        <w:rPr>
          <w:rFonts w:ascii="Tahoma" w:hAnsi="Tahoma" w:cs="Tahoma"/>
        </w:rPr>
        <w:t>, la Sala procedió a efectuar la liquidación del retroactivo adeudado a la parte activa en el presente asunto, para lo cual se tuvieron en cuenta 1</w:t>
      </w:r>
      <w:r w:rsidR="00CD53DC" w:rsidRPr="001C52C0">
        <w:rPr>
          <w:rFonts w:ascii="Tahoma" w:hAnsi="Tahoma" w:cs="Tahoma"/>
        </w:rPr>
        <w:t>3</w:t>
      </w:r>
      <w:r w:rsidRPr="001C52C0">
        <w:rPr>
          <w:rFonts w:ascii="Tahoma" w:hAnsi="Tahoma" w:cs="Tahoma"/>
        </w:rPr>
        <w:t xml:space="preserve"> mesadas anuales por haberse causado la pensión con </w:t>
      </w:r>
      <w:r w:rsidR="00CD53DC" w:rsidRPr="001C52C0">
        <w:rPr>
          <w:rFonts w:ascii="Tahoma" w:hAnsi="Tahoma" w:cs="Tahoma"/>
        </w:rPr>
        <w:t xml:space="preserve">posterioridad </w:t>
      </w:r>
      <w:r w:rsidRPr="001C52C0">
        <w:rPr>
          <w:rFonts w:ascii="Tahoma" w:hAnsi="Tahoma" w:cs="Tahoma"/>
        </w:rPr>
        <w:t xml:space="preserve">al 31 de julio de 2011; encontrando que el valor adeudado entre el </w:t>
      </w:r>
      <w:r w:rsidR="00CD53DC" w:rsidRPr="001C52C0">
        <w:rPr>
          <w:rFonts w:ascii="Tahoma" w:hAnsi="Tahoma" w:cs="Tahoma"/>
        </w:rPr>
        <w:t>8</w:t>
      </w:r>
      <w:r w:rsidR="00C46664" w:rsidRPr="001C52C0">
        <w:rPr>
          <w:rFonts w:ascii="Tahoma" w:hAnsi="Tahoma" w:cs="Tahoma"/>
        </w:rPr>
        <w:t xml:space="preserve"> de </w:t>
      </w:r>
      <w:r w:rsidR="00CD53DC" w:rsidRPr="001C52C0">
        <w:rPr>
          <w:rFonts w:ascii="Tahoma" w:hAnsi="Tahoma" w:cs="Tahoma"/>
        </w:rPr>
        <w:t xml:space="preserve">noviembre </w:t>
      </w:r>
      <w:r w:rsidR="00C46664" w:rsidRPr="001C52C0">
        <w:rPr>
          <w:rFonts w:ascii="Tahoma" w:hAnsi="Tahoma" w:cs="Tahoma"/>
        </w:rPr>
        <w:t>de 201</w:t>
      </w:r>
      <w:r w:rsidR="00CD53DC" w:rsidRPr="001C52C0">
        <w:rPr>
          <w:rFonts w:ascii="Tahoma" w:hAnsi="Tahoma" w:cs="Tahoma"/>
        </w:rPr>
        <w:t>5</w:t>
      </w:r>
      <w:r w:rsidR="00C46664" w:rsidRPr="001C52C0">
        <w:rPr>
          <w:rFonts w:ascii="Tahoma" w:hAnsi="Tahoma" w:cs="Tahoma"/>
        </w:rPr>
        <w:t xml:space="preserve"> y el 31 de mayo de 2021</w:t>
      </w:r>
      <w:r w:rsidRPr="001C52C0">
        <w:rPr>
          <w:rFonts w:ascii="Tahoma" w:hAnsi="Tahoma" w:cs="Tahoma"/>
        </w:rPr>
        <w:t xml:space="preserve"> asciende a $</w:t>
      </w:r>
      <w:r w:rsidR="2EE252AC" w:rsidRPr="001C52C0">
        <w:rPr>
          <w:rFonts w:ascii="Tahoma" w:hAnsi="Tahoma" w:cs="Tahoma"/>
        </w:rPr>
        <w:t>57.188.022</w:t>
      </w:r>
      <w:r w:rsidRPr="001C52C0">
        <w:rPr>
          <w:rFonts w:ascii="Tahoma" w:hAnsi="Tahoma" w:cs="Tahoma"/>
        </w:rPr>
        <w:t xml:space="preserve"> </w:t>
      </w:r>
      <w:r w:rsidR="00EB2A22">
        <w:rPr>
          <w:rFonts w:ascii="Tahoma" w:hAnsi="Tahoma" w:cs="Tahoma"/>
          <w:i/>
          <w:iCs/>
        </w:rPr>
        <w:t>-</w:t>
      </w:r>
      <w:r w:rsidRPr="001C52C0">
        <w:rPr>
          <w:rFonts w:ascii="Tahoma" w:hAnsi="Tahoma" w:cs="Tahoma"/>
          <w:i/>
          <w:iCs/>
        </w:rPr>
        <w:t xml:space="preserve">sin perjuicio de las </w:t>
      </w:r>
      <w:r w:rsidR="003F763A" w:rsidRPr="001C52C0">
        <w:rPr>
          <w:rFonts w:ascii="Tahoma" w:hAnsi="Tahoma" w:cs="Tahoma"/>
          <w:i/>
          <w:iCs/>
        </w:rPr>
        <w:t xml:space="preserve">mesadas </w:t>
      </w:r>
      <w:r w:rsidRPr="001C52C0">
        <w:rPr>
          <w:rFonts w:ascii="Tahoma" w:hAnsi="Tahoma" w:cs="Tahoma"/>
          <w:i/>
          <w:iCs/>
        </w:rPr>
        <w:t xml:space="preserve">que se causen con posterioridad </w:t>
      </w:r>
      <w:r w:rsidR="00C46664" w:rsidRPr="001C52C0">
        <w:rPr>
          <w:rFonts w:ascii="Tahoma" w:hAnsi="Tahoma" w:cs="Tahoma"/>
          <w:i/>
          <w:iCs/>
        </w:rPr>
        <w:t>y los descuentos de ley</w:t>
      </w:r>
      <w:r w:rsidRPr="001C52C0">
        <w:rPr>
          <w:rFonts w:ascii="Tahoma" w:hAnsi="Tahoma" w:cs="Tahoma"/>
          <w:i/>
          <w:iCs/>
        </w:rPr>
        <w:t>-</w:t>
      </w:r>
      <w:r w:rsidRPr="001C52C0">
        <w:rPr>
          <w:rFonts w:ascii="Tahoma" w:hAnsi="Tahoma" w:cs="Tahoma"/>
        </w:rPr>
        <w:t>.</w:t>
      </w:r>
    </w:p>
    <w:p w14:paraId="139D581F" w14:textId="77777777" w:rsidR="007F59D0" w:rsidRPr="001C52C0" w:rsidRDefault="007F59D0" w:rsidP="001C52C0">
      <w:pPr>
        <w:spacing w:line="276" w:lineRule="auto"/>
        <w:jc w:val="both"/>
        <w:rPr>
          <w:rFonts w:ascii="Tahoma" w:hAnsi="Tahoma" w:cs="Tahoma"/>
        </w:rPr>
      </w:pPr>
      <w:r w:rsidRPr="001C52C0">
        <w:rPr>
          <w:rFonts w:ascii="Tahoma" w:hAnsi="Tahoma" w:cs="Tahoma"/>
        </w:rPr>
        <w:tab/>
      </w:r>
    </w:p>
    <w:p w14:paraId="164A48DF" w14:textId="77777777" w:rsidR="007F59D0" w:rsidRPr="001C52C0" w:rsidRDefault="007F59D0" w:rsidP="001C52C0">
      <w:pPr>
        <w:spacing w:line="276" w:lineRule="auto"/>
        <w:jc w:val="both"/>
        <w:rPr>
          <w:rFonts w:ascii="Tahoma" w:hAnsi="Tahoma" w:cs="Tahoma"/>
        </w:rPr>
      </w:pPr>
      <w:r w:rsidRPr="001C52C0">
        <w:rPr>
          <w:rFonts w:ascii="Tahoma" w:hAnsi="Tahoma" w:cs="Tahoma"/>
        </w:rPr>
        <w:tab/>
        <w:t>No hay lugar a conceder los intereses moratorios perseguidos por cuanto el reconocimiento se hace en virtud de una interpretación constitucional favorable a los intereses de la parte activa de la acción; sin embargo, se ordenará su reconocimiento desde el momento en que cobre firmeza la presente providencia.</w:t>
      </w:r>
    </w:p>
    <w:p w14:paraId="3ADA61E9" w14:textId="77777777" w:rsidR="007F59D0" w:rsidRPr="001C52C0" w:rsidRDefault="007F59D0" w:rsidP="001C52C0">
      <w:pPr>
        <w:spacing w:line="276" w:lineRule="auto"/>
        <w:jc w:val="both"/>
        <w:rPr>
          <w:rFonts w:ascii="Tahoma" w:hAnsi="Tahoma" w:cs="Tahoma"/>
        </w:rPr>
      </w:pPr>
    </w:p>
    <w:p w14:paraId="1D81C285" w14:textId="03022769" w:rsidR="007F59D0" w:rsidRPr="001C52C0" w:rsidRDefault="007F59D0" w:rsidP="001C52C0">
      <w:pPr>
        <w:spacing w:line="276" w:lineRule="auto"/>
        <w:jc w:val="both"/>
        <w:rPr>
          <w:rFonts w:ascii="Tahoma" w:hAnsi="Tahoma" w:cs="Tahoma"/>
        </w:rPr>
      </w:pPr>
      <w:r w:rsidRPr="001C52C0">
        <w:rPr>
          <w:rFonts w:ascii="Tahoma" w:hAnsi="Tahoma" w:cs="Tahoma"/>
        </w:rPr>
        <w:tab/>
        <w:t xml:space="preserve">De conformidad con lo hasta aquí expuesto se extrae que ninguno de las otras excepciones propuestas por la demandada tuvo vocación de ventura. </w:t>
      </w:r>
    </w:p>
    <w:p w14:paraId="16101B32" w14:textId="77777777" w:rsidR="007F59D0" w:rsidRPr="001C52C0" w:rsidRDefault="007F59D0" w:rsidP="001C52C0">
      <w:pPr>
        <w:tabs>
          <w:tab w:val="left" w:pos="748"/>
        </w:tabs>
        <w:spacing w:line="276" w:lineRule="auto"/>
        <w:jc w:val="both"/>
        <w:rPr>
          <w:rFonts w:ascii="Tahoma" w:hAnsi="Tahoma" w:cs="Tahoma"/>
          <w:lang w:val="es-CO"/>
        </w:rPr>
      </w:pPr>
    </w:p>
    <w:p w14:paraId="02F00D75" w14:textId="43490126" w:rsidR="007F59D0" w:rsidRPr="001C52C0" w:rsidRDefault="007F59D0" w:rsidP="001C52C0">
      <w:pPr>
        <w:tabs>
          <w:tab w:val="left" w:pos="748"/>
        </w:tabs>
        <w:spacing w:line="276" w:lineRule="auto"/>
        <w:jc w:val="both"/>
        <w:rPr>
          <w:rFonts w:ascii="Tahoma" w:hAnsi="Tahoma" w:cs="Tahoma"/>
          <w:bCs/>
          <w:color w:val="000000"/>
        </w:rPr>
      </w:pPr>
      <w:r w:rsidRPr="001C52C0">
        <w:rPr>
          <w:rFonts w:ascii="Tahoma" w:hAnsi="Tahoma" w:cs="Tahoma"/>
        </w:rPr>
        <w:tab/>
      </w:r>
      <w:proofErr w:type="spellStart"/>
      <w:r w:rsidRPr="001C52C0">
        <w:rPr>
          <w:rFonts w:ascii="Tahoma" w:hAnsi="Tahoma" w:cs="Tahoma"/>
        </w:rPr>
        <w:t>Colorario</w:t>
      </w:r>
      <w:proofErr w:type="spellEnd"/>
      <w:r w:rsidRPr="001C52C0">
        <w:rPr>
          <w:rFonts w:ascii="Tahoma" w:hAnsi="Tahoma" w:cs="Tahoma"/>
        </w:rPr>
        <w:t xml:space="preserve"> de lo anterior, se revocará en su integridad la sentencia de primer</w:t>
      </w:r>
      <w:r w:rsidR="005D0B2E" w:rsidRPr="001C52C0">
        <w:rPr>
          <w:rFonts w:ascii="Tahoma" w:hAnsi="Tahoma" w:cs="Tahoma"/>
        </w:rPr>
        <w:t xml:space="preserve"> grado</w:t>
      </w:r>
      <w:r w:rsidRPr="001C52C0">
        <w:rPr>
          <w:rFonts w:ascii="Tahoma" w:hAnsi="Tahoma" w:cs="Tahoma"/>
        </w:rPr>
        <w:t xml:space="preserve">. Las costas en </w:t>
      </w:r>
      <w:r w:rsidR="0083708A" w:rsidRPr="001C52C0">
        <w:rPr>
          <w:rFonts w:ascii="Tahoma" w:hAnsi="Tahoma" w:cs="Tahoma"/>
        </w:rPr>
        <w:t xml:space="preserve">ambas </w:t>
      </w:r>
      <w:r w:rsidRPr="001C52C0">
        <w:rPr>
          <w:rFonts w:ascii="Tahoma" w:hAnsi="Tahoma" w:cs="Tahoma"/>
        </w:rPr>
        <w:t>instancia</w:t>
      </w:r>
      <w:r w:rsidR="005D0B2E" w:rsidRPr="001C52C0">
        <w:rPr>
          <w:rFonts w:ascii="Tahoma" w:hAnsi="Tahoma" w:cs="Tahoma"/>
        </w:rPr>
        <w:t>s</w:t>
      </w:r>
      <w:r w:rsidRPr="001C52C0">
        <w:rPr>
          <w:rFonts w:ascii="Tahoma" w:hAnsi="Tahoma" w:cs="Tahoma"/>
        </w:rPr>
        <w:t xml:space="preserve"> correrán a cargo de </w:t>
      </w:r>
      <w:r w:rsidR="00CD53DC" w:rsidRPr="001C52C0">
        <w:rPr>
          <w:rFonts w:ascii="Tahoma" w:hAnsi="Tahoma" w:cs="Tahoma"/>
        </w:rPr>
        <w:t xml:space="preserve">Colpensiones </w:t>
      </w:r>
      <w:r w:rsidRPr="001C52C0">
        <w:rPr>
          <w:rFonts w:ascii="Tahoma" w:hAnsi="Tahoma" w:cs="Tahoma"/>
        </w:rPr>
        <w:t>en un 70%, mismas que se liquidar</w:t>
      </w:r>
      <w:r w:rsidR="005D0B2E" w:rsidRPr="001C52C0">
        <w:rPr>
          <w:rFonts w:ascii="Tahoma" w:hAnsi="Tahoma" w:cs="Tahoma"/>
        </w:rPr>
        <w:t>á</w:t>
      </w:r>
      <w:r w:rsidRPr="001C52C0">
        <w:rPr>
          <w:rFonts w:ascii="Tahoma" w:hAnsi="Tahoma" w:cs="Tahoma"/>
        </w:rPr>
        <w:t xml:space="preserve">n en el Juzgado de origen. </w:t>
      </w:r>
    </w:p>
    <w:p w14:paraId="03BD6369" w14:textId="77777777" w:rsidR="000353AF" w:rsidRPr="001C52C0" w:rsidRDefault="000353AF" w:rsidP="001C52C0">
      <w:pPr>
        <w:pStyle w:val="Sangradetextonormal"/>
        <w:spacing w:line="276" w:lineRule="auto"/>
      </w:pPr>
    </w:p>
    <w:p w14:paraId="2C22DCF2" w14:textId="6DD0F113" w:rsidR="007F59D0" w:rsidRPr="001C52C0" w:rsidRDefault="007F59D0" w:rsidP="001C52C0">
      <w:pPr>
        <w:pStyle w:val="Sangradetextonormal"/>
        <w:spacing w:line="276" w:lineRule="auto"/>
      </w:pPr>
      <w:r w:rsidRPr="001C52C0">
        <w:t xml:space="preserve">En mérito </w:t>
      </w:r>
      <w:r w:rsidR="005D0B2E" w:rsidRPr="001C52C0">
        <w:t>de lo</w:t>
      </w:r>
      <w:r w:rsidRPr="001C52C0">
        <w:t xml:space="preserve"> expuesto, el </w:t>
      </w:r>
      <w:r w:rsidRPr="001C52C0">
        <w:rPr>
          <w:b/>
        </w:rPr>
        <w:t>Tribunal Superior del Distrito Judicial de Pereira (Risaralda)</w:t>
      </w:r>
      <w:r w:rsidRPr="001C52C0">
        <w:t xml:space="preserve">, </w:t>
      </w:r>
      <w:r w:rsidRPr="001C52C0">
        <w:rPr>
          <w:b/>
        </w:rPr>
        <w:t>Sala Laboral</w:t>
      </w:r>
      <w:r w:rsidRPr="001C52C0">
        <w:t xml:space="preserve">, administrando justicia en nombre de la </w:t>
      </w:r>
      <w:r w:rsidR="005D0B2E" w:rsidRPr="001C52C0">
        <w:t>República y</w:t>
      </w:r>
      <w:r w:rsidRPr="001C52C0">
        <w:t xml:space="preserve"> por autoridad de la Ley,</w:t>
      </w:r>
    </w:p>
    <w:p w14:paraId="5083087B" w14:textId="77777777" w:rsidR="007F59D0" w:rsidRPr="001C52C0" w:rsidRDefault="007F59D0" w:rsidP="001C52C0">
      <w:pPr>
        <w:widowControl w:val="0"/>
        <w:autoSpaceDE w:val="0"/>
        <w:autoSpaceDN w:val="0"/>
        <w:adjustRightInd w:val="0"/>
        <w:spacing w:line="276" w:lineRule="auto"/>
        <w:jc w:val="center"/>
        <w:rPr>
          <w:rFonts w:ascii="Tahoma" w:hAnsi="Tahoma" w:cs="Tahoma"/>
          <w:b/>
        </w:rPr>
      </w:pPr>
    </w:p>
    <w:p w14:paraId="4DE924FC" w14:textId="77777777" w:rsidR="007F59D0" w:rsidRPr="001C52C0" w:rsidRDefault="007F59D0" w:rsidP="001C52C0">
      <w:pPr>
        <w:widowControl w:val="0"/>
        <w:autoSpaceDE w:val="0"/>
        <w:autoSpaceDN w:val="0"/>
        <w:adjustRightInd w:val="0"/>
        <w:spacing w:line="276" w:lineRule="auto"/>
        <w:jc w:val="center"/>
        <w:rPr>
          <w:rFonts w:ascii="Tahoma" w:hAnsi="Tahoma" w:cs="Tahoma"/>
          <w:b/>
        </w:rPr>
      </w:pPr>
      <w:r w:rsidRPr="001C52C0">
        <w:rPr>
          <w:rFonts w:ascii="Tahoma" w:hAnsi="Tahoma" w:cs="Tahoma"/>
          <w:b/>
        </w:rPr>
        <w:t>R E S U E L V E:</w:t>
      </w:r>
    </w:p>
    <w:p w14:paraId="043CAA46" w14:textId="77777777" w:rsidR="007F59D0" w:rsidRPr="001C52C0" w:rsidRDefault="007F59D0" w:rsidP="001C52C0">
      <w:pPr>
        <w:pStyle w:val="Sinespaciado"/>
        <w:spacing w:line="276" w:lineRule="auto"/>
        <w:rPr>
          <w:rFonts w:ascii="Tahoma" w:hAnsi="Tahoma" w:cs="Tahoma"/>
        </w:rPr>
      </w:pPr>
    </w:p>
    <w:p w14:paraId="265CE0ED" w14:textId="44EAB60E" w:rsidR="007F59D0" w:rsidRPr="001C52C0" w:rsidRDefault="00081EC2" w:rsidP="001C52C0">
      <w:pPr>
        <w:spacing w:line="276" w:lineRule="auto"/>
        <w:ind w:firstLine="708"/>
        <w:jc w:val="both"/>
        <w:rPr>
          <w:rFonts w:ascii="Tahoma" w:hAnsi="Tahoma" w:cs="Tahoma"/>
          <w:bCs/>
          <w:color w:val="000000"/>
        </w:rPr>
      </w:pPr>
      <w:r w:rsidRPr="001C52C0">
        <w:rPr>
          <w:rFonts w:ascii="Tahoma" w:hAnsi="Tahoma" w:cs="Tahoma"/>
          <w:b/>
          <w:u w:val="single"/>
        </w:rPr>
        <w:t>PRIMERO</w:t>
      </w:r>
      <w:r w:rsidRPr="001C52C0">
        <w:rPr>
          <w:rFonts w:ascii="Tahoma" w:hAnsi="Tahoma" w:cs="Tahoma"/>
        </w:rPr>
        <w:t xml:space="preserve">. </w:t>
      </w:r>
      <w:r w:rsidRPr="00017121">
        <w:rPr>
          <w:rFonts w:ascii="Tahoma" w:hAnsi="Tahoma" w:cs="Tahoma"/>
          <w:b/>
        </w:rPr>
        <w:t>-</w:t>
      </w:r>
      <w:r w:rsidR="007F59D0" w:rsidRPr="001C52C0">
        <w:rPr>
          <w:rFonts w:ascii="Tahoma" w:hAnsi="Tahoma" w:cs="Tahoma"/>
        </w:rPr>
        <w:t xml:space="preserve"> </w:t>
      </w:r>
      <w:r w:rsidR="007F59D0" w:rsidRPr="001C52C0">
        <w:rPr>
          <w:rFonts w:ascii="Tahoma" w:hAnsi="Tahoma" w:cs="Tahoma"/>
          <w:b/>
        </w:rPr>
        <w:t xml:space="preserve">REVOCAR </w:t>
      </w:r>
      <w:r w:rsidR="007F59D0" w:rsidRPr="001C52C0">
        <w:rPr>
          <w:rFonts w:ascii="Tahoma" w:hAnsi="Tahoma" w:cs="Tahoma"/>
        </w:rPr>
        <w:t xml:space="preserve">la sentencia proferida el </w:t>
      </w:r>
      <w:r w:rsidR="00CD53DC" w:rsidRPr="001C52C0">
        <w:rPr>
          <w:rFonts w:ascii="Tahoma" w:hAnsi="Tahoma" w:cs="Tahoma"/>
        </w:rPr>
        <w:t>15</w:t>
      </w:r>
      <w:r w:rsidR="005D0B2E" w:rsidRPr="001C52C0">
        <w:rPr>
          <w:rFonts w:ascii="Tahoma" w:hAnsi="Tahoma" w:cs="Tahoma"/>
        </w:rPr>
        <w:t xml:space="preserve"> de </w:t>
      </w:r>
      <w:r w:rsidR="00CD53DC" w:rsidRPr="001C52C0">
        <w:rPr>
          <w:rFonts w:ascii="Tahoma" w:hAnsi="Tahoma" w:cs="Tahoma"/>
        </w:rPr>
        <w:t>febrero de 2021</w:t>
      </w:r>
      <w:r w:rsidR="007F59D0" w:rsidRPr="001C52C0">
        <w:rPr>
          <w:rFonts w:ascii="Tahoma" w:hAnsi="Tahoma" w:cs="Tahoma"/>
        </w:rPr>
        <w:t xml:space="preserve"> por el Juzgado Quinto Laboral del Circuito de Pereira, dentro del proceso ordinario laboral promovido por</w:t>
      </w:r>
      <w:r w:rsidR="007F59D0" w:rsidRPr="001C52C0">
        <w:rPr>
          <w:rFonts w:ascii="Tahoma" w:hAnsi="Tahoma" w:cs="Tahoma"/>
          <w:b/>
        </w:rPr>
        <w:t xml:space="preserve"> </w:t>
      </w:r>
      <w:r w:rsidR="00CD53DC" w:rsidRPr="001C52C0">
        <w:rPr>
          <w:rFonts w:ascii="Tahoma" w:hAnsi="Tahoma" w:cs="Tahoma"/>
          <w:b/>
        </w:rPr>
        <w:t>Yolanda Durán de Cepeda</w:t>
      </w:r>
      <w:r w:rsidR="007F59D0" w:rsidRPr="001C52C0">
        <w:rPr>
          <w:rFonts w:ascii="Tahoma" w:hAnsi="Tahoma" w:cs="Tahoma"/>
        </w:rPr>
        <w:t xml:space="preserve"> </w:t>
      </w:r>
      <w:r w:rsidR="007F59D0" w:rsidRPr="001C52C0">
        <w:rPr>
          <w:rFonts w:ascii="Tahoma" w:hAnsi="Tahoma" w:cs="Tahoma"/>
          <w:lang w:val="es-ES_tradnl"/>
        </w:rPr>
        <w:t>en</w:t>
      </w:r>
      <w:r w:rsidR="007F59D0" w:rsidRPr="001C52C0">
        <w:rPr>
          <w:rFonts w:ascii="Tahoma" w:hAnsi="Tahoma" w:cs="Tahoma"/>
          <w:b/>
        </w:rPr>
        <w:t xml:space="preserve"> </w:t>
      </w:r>
      <w:r w:rsidR="007F59D0" w:rsidRPr="001C52C0">
        <w:rPr>
          <w:rFonts w:ascii="Tahoma" w:hAnsi="Tahoma" w:cs="Tahoma"/>
        </w:rPr>
        <w:t xml:space="preserve">contra de </w:t>
      </w:r>
      <w:r w:rsidR="00CD53DC" w:rsidRPr="001C52C0">
        <w:rPr>
          <w:rFonts w:ascii="Tahoma" w:hAnsi="Tahoma" w:cs="Tahoma"/>
        </w:rPr>
        <w:t xml:space="preserve">la </w:t>
      </w:r>
      <w:r w:rsidR="00CD53DC" w:rsidRPr="001C52C0">
        <w:rPr>
          <w:rFonts w:ascii="Tahoma" w:hAnsi="Tahoma" w:cs="Tahoma"/>
          <w:b/>
        </w:rPr>
        <w:t>Administradora Colombiana de Pensiones - Colpensiones</w:t>
      </w:r>
      <w:r w:rsidR="007F59D0" w:rsidRPr="001C52C0">
        <w:rPr>
          <w:rFonts w:ascii="Tahoma" w:hAnsi="Tahoma" w:cs="Tahoma"/>
        </w:rPr>
        <w:t xml:space="preserve"> y, en consecuencia,</w:t>
      </w:r>
    </w:p>
    <w:p w14:paraId="542D9EFE" w14:textId="77777777" w:rsidR="007F59D0" w:rsidRPr="001C52C0" w:rsidRDefault="007F59D0" w:rsidP="001C52C0">
      <w:pPr>
        <w:spacing w:line="276" w:lineRule="auto"/>
        <w:ind w:left="709"/>
        <w:jc w:val="both"/>
        <w:rPr>
          <w:rFonts w:ascii="Tahoma" w:hAnsi="Tahoma" w:cs="Tahoma"/>
          <w:bCs/>
          <w:color w:val="000000"/>
        </w:rPr>
      </w:pPr>
    </w:p>
    <w:p w14:paraId="066344DD" w14:textId="041DFAB4" w:rsidR="00BA095B" w:rsidRPr="001C52C0" w:rsidRDefault="00081EC2" w:rsidP="001C52C0">
      <w:pPr>
        <w:spacing w:line="276" w:lineRule="auto"/>
        <w:ind w:firstLine="709"/>
        <w:jc w:val="both"/>
        <w:rPr>
          <w:rFonts w:ascii="Tahoma" w:hAnsi="Tahoma" w:cs="Tahoma"/>
          <w:b/>
        </w:rPr>
      </w:pPr>
      <w:r w:rsidRPr="001C52C0">
        <w:rPr>
          <w:rFonts w:ascii="Tahoma" w:hAnsi="Tahoma" w:cs="Tahoma"/>
          <w:b/>
          <w:u w:val="single"/>
        </w:rPr>
        <w:t>SEGUNDO</w:t>
      </w:r>
      <w:r w:rsidRPr="001C52C0">
        <w:rPr>
          <w:rFonts w:ascii="Tahoma" w:hAnsi="Tahoma" w:cs="Tahoma"/>
          <w:b/>
        </w:rPr>
        <w:t>. -</w:t>
      </w:r>
      <w:r w:rsidR="007F59D0" w:rsidRPr="001C52C0">
        <w:rPr>
          <w:rFonts w:ascii="Tahoma" w:hAnsi="Tahoma" w:cs="Tahoma"/>
          <w:b/>
        </w:rPr>
        <w:t xml:space="preserve"> </w:t>
      </w:r>
      <w:r w:rsidR="00BA095B" w:rsidRPr="001C52C0">
        <w:rPr>
          <w:rFonts w:ascii="Tahoma" w:hAnsi="Tahoma" w:cs="Tahoma"/>
          <w:b/>
        </w:rPr>
        <w:t xml:space="preserve">DECLARAR </w:t>
      </w:r>
      <w:r w:rsidR="00BA095B" w:rsidRPr="001C52C0">
        <w:rPr>
          <w:rFonts w:ascii="Tahoma" w:hAnsi="Tahoma" w:cs="Tahoma"/>
        </w:rPr>
        <w:t>no</w:t>
      </w:r>
      <w:r w:rsidR="00BA095B" w:rsidRPr="001C52C0">
        <w:rPr>
          <w:rFonts w:ascii="Tahoma" w:hAnsi="Tahoma" w:cs="Tahoma"/>
          <w:b/>
        </w:rPr>
        <w:t xml:space="preserve"> </w:t>
      </w:r>
      <w:r w:rsidR="00BA095B" w:rsidRPr="001C52C0">
        <w:rPr>
          <w:rFonts w:ascii="Tahoma" w:hAnsi="Tahoma" w:cs="Tahoma"/>
        </w:rPr>
        <w:t xml:space="preserve">probadas las excepciones propuestas por </w:t>
      </w:r>
      <w:r w:rsidR="00CD53DC" w:rsidRPr="001C52C0">
        <w:rPr>
          <w:rFonts w:ascii="Tahoma" w:hAnsi="Tahoma" w:cs="Tahoma"/>
        </w:rPr>
        <w:t>Colpensiones.</w:t>
      </w:r>
    </w:p>
    <w:p w14:paraId="31700978" w14:textId="77777777" w:rsidR="007F59D0" w:rsidRPr="001C52C0" w:rsidRDefault="007F59D0" w:rsidP="001C52C0">
      <w:pPr>
        <w:spacing w:line="276" w:lineRule="auto"/>
        <w:ind w:firstLine="709"/>
        <w:jc w:val="both"/>
        <w:rPr>
          <w:rFonts w:ascii="Tahoma" w:hAnsi="Tahoma" w:cs="Tahoma"/>
        </w:rPr>
      </w:pPr>
    </w:p>
    <w:p w14:paraId="4E1012F1" w14:textId="466BA9D8" w:rsidR="00BA095B" w:rsidRPr="001C52C0" w:rsidRDefault="00081EC2" w:rsidP="001C52C0">
      <w:pPr>
        <w:spacing w:line="276" w:lineRule="auto"/>
        <w:ind w:firstLine="709"/>
        <w:jc w:val="both"/>
        <w:rPr>
          <w:rFonts w:ascii="Tahoma" w:hAnsi="Tahoma" w:cs="Tahoma"/>
        </w:rPr>
      </w:pPr>
      <w:r w:rsidRPr="001C52C0">
        <w:rPr>
          <w:rFonts w:ascii="Tahoma" w:hAnsi="Tahoma" w:cs="Tahoma"/>
          <w:b/>
          <w:u w:val="single"/>
        </w:rPr>
        <w:t>TERCERO</w:t>
      </w:r>
      <w:r w:rsidRPr="001C52C0">
        <w:rPr>
          <w:rFonts w:ascii="Tahoma" w:hAnsi="Tahoma" w:cs="Tahoma"/>
          <w:b/>
        </w:rPr>
        <w:t>. -</w:t>
      </w:r>
      <w:r w:rsidR="007F59D0" w:rsidRPr="001C52C0">
        <w:rPr>
          <w:rFonts w:ascii="Tahoma" w:hAnsi="Tahoma" w:cs="Tahoma"/>
          <w:b/>
        </w:rPr>
        <w:t xml:space="preserve"> </w:t>
      </w:r>
      <w:r w:rsidR="00BA095B" w:rsidRPr="001C52C0">
        <w:rPr>
          <w:rFonts w:ascii="Tahoma" w:hAnsi="Tahoma" w:cs="Tahoma"/>
          <w:b/>
        </w:rPr>
        <w:t xml:space="preserve">DECLARAR </w:t>
      </w:r>
      <w:r w:rsidR="00BA095B" w:rsidRPr="001C52C0">
        <w:rPr>
          <w:rFonts w:ascii="Tahoma" w:hAnsi="Tahoma" w:cs="Tahoma"/>
        </w:rPr>
        <w:t xml:space="preserve">que a </w:t>
      </w:r>
      <w:r w:rsidR="00CD53DC" w:rsidRPr="001C52C0">
        <w:rPr>
          <w:rFonts w:ascii="Tahoma" w:hAnsi="Tahoma" w:cs="Tahoma"/>
        </w:rPr>
        <w:t xml:space="preserve">Yolanda Durán de Cepeda </w:t>
      </w:r>
      <w:r w:rsidR="00BA095B" w:rsidRPr="001C52C0">
        <w:rPr>
          <w:rFonts w:ascii="Tahoma" w:hAnsi="Tahoma" w:cs="Tahoma"/>
        </w:rPr>
        <w:t xml:space="preserve">le asiste derecho al reconocimiento de la pensión de sobrevivientes que dejó causada el señor </w:t>
      </w:r>
      <w:r w:rsidR="00CD53DC" w:rsidRPr="001C52C0">
        <w:rPr>
          <w:rFonts w:ascii="Tahoma" w:hAnsi="Tahoma" w:cs="Tahoma"/>
        </w:rPr>
        <w:t xml:space="preserve">Henry </w:t>
      </w:r>
      <w:r w:rsidR="00CD53DC" w:rsidRPr="001C52C0">
        <w:rPr>
          <w:rFonts w:ascii="Tahoma" w:hAnsi="Tahoma" w:cs="Tahoma"/>
        </w:rPr>
        <w:lastRenderedPageBreak/>
        <w:t>Cepeda Saavedra</w:t>
      </w:r>
      <w:r w:rsidR="00BA095B" w:rsidRPr="001C52C0">
        <w:rPr>
          <w:rFonts w:ascii="Tahoma" w:hAnsi="Tahoma" w:cs="Tahoma"/>
        </w:rPr>
        <w:t xml:space="preserve">, en virtud del principio de la condición más beneficiosa y a partir del día de la muerte de éste, ocurrida el día </w:t>
      </w:r>
      <w:r w:rsidR="00CD53DC" w:rsidRPr="001C52C0">
        <w:rPr>
          <w:rFonts w:ascii="Tahoma" w:hAnsi="Tahoma" w:cs="Tahoma"/>
        </w:rPr>
        <w:t>8</w:t>
      </w:r>
      <w:r w:rsidR="00BA095B" w:rsidRPr="001C52C0">
        <w:rPr>
          <w:rFonts w:ascii="Tahoma" w:hAnsi="Tahoma" w:cs="Tahoma"/>
        </w:rPr>
        <w:t xml:space="preserve"> de </w:t>
      </w:r>
      <w:r w:rsidR="00CD53DC" w:rsidRPr="001C52C0">
        <w:rPr>
          <w:rFonts w:ascii="Tahoma" w:hAnsi="Tahoma" w:cs="Tahoma"/>
        </w:rPr>
        <w:t>noviembre de 2015</w:t>
      </w:r>
      <w:r w:rsidR="00BA095B" w:rsidRPr="001C52C0">
        <w:rPr>
          <w:rFonts w:ascii="Tahoma" w:hAnsi="Tahoma" w:cs="Tahoma"/>
        </w:rPr>
        <w:t>. El valor de la mesada pensional equivaldrá al salario mínimo legal y se cancelarán 1</w:t>
      </w:r>
      <w:r w:rsidR="00CD53DC" w:rsidRPr="001C52C0">
        <w:rPr>
          <w:rFonts w:ascii="Tahoma" w:hAnsi="Tahoma" w:cs="Tahoma"/>
        </w:rPr>
        <w:t>3</w:t>
      </w:r>
      <w:r w:rsidR="00BA095B" w:rsidRPr="001C52C0">
        <w:rPr>
          <w:rFonts w:ascii="Tahoma" w:hAnsi="Tahoma" w:cs="Tahoma"/>
        </w:rPr>
        <w:t xml:space="preserve"> veces por año.</w:t>
      </w:r>
    </w:p>
    <w:p w14:paraId="459C7C3D" w14:textId="77777777" w:rsidR="007F59D0" w:rsidRPr="001C52C0" w:rsidRDefault="007F59D0" w:rsidP="001C52C0">
      <w:pPr>
        <w:spacing w:line="276" w:lineRule="auto"/>
        <w:ind w:firstLine="709"/>
        <w:jc w:val="both"/>
        <w:rPr>
          <w:rFonts w:ascii="Tahoma" w:hAnsi="Tahoma" w:cs="Tahoma"/>
          <w:b/>
        </w:rPr>
      </w:pPr>
    </w:p>
    <w:p w14:paraId="1F571BD6" w14:textId="55FAE128" w:rsidR="007F59D0" w:rsidRPr="001C52C0" w:rsidRDefault="00081EC2" w:rsidP="001C52C0">
      <w:pPr>
        <w:spacing w:line="276" w:lineRule="auto"/>
        <w:ind w:firstLine="709"/>
        <w:jc w:val="both"/>
        <w:rPr>
          <w:rFonts w:ascii="Tahoma" w:hAnsi="Tahoma" w:cs="Tahoma"/>
        </w:rPr>
      </w:pPr>
      <w:r w:rsidRPr="001C52C0">
        <w:rPr>
          <w:rFonts w:ascii="Tahoma" w:hAnsi="Tahoma" w:cs="Tahoma"/>
          <w:b/>
          <w:bCs/>
          <w:u w:val="single"/>
        </w:rPr>
        <w:t>CUARTO.</w:t>
      </w:r>
      <w:r w:rsidRPr="001C52C0">
        <w:rPr>
          <w:rFonts w:ascii="Tahoma" w:hAnsi="Tahoma" w:cs="Tahoma"/>
          <w:b/>
          <w:bCs/>
        </w:rPr>
        <w:t xml:space="preserve"> -</w:t>
      </w:r>
      <w:r w:rsidR="00017121">
        <w:rPr>
          <w:rFonts w:ascii="Tahoma" w:hAnsi="Tahoma" w:cs="Tahoma"/>
          <w:b/>
          <w:bCs/>
        </w:rPr>
        <w:t xml:space="preserve"> </w:t>
      </w:r>
      <w:r w:rsidR="007F59D0" w:rsidRPr="001C52C0">
        <w:rPr>
          <w:rFonts w:ascii="Tahoma" w:hAnsi="Tahoma" w:cs="Tahoma"/>
          <w:b/>
          <w:bCs/>
        </w:rPr>
        <w:t xml:space="preserve">CONDENAR </w:t>
      </w:r>
      <w:r w:rsidR="007F59D0" w:rsidRPr="001C52C0">
        <w:rPr>
          <w:rFonts w:ascii="Tahoma" w:hAnsi="Tahoma" w:cs="Tahoma"/>
        </w:rPr>
        <w:t xml:space="preserve">a </w:t>
      </w:r>
      <w:r w:rsidR="00CD53DC" w:rsidRPr="001C52C0">
        <w:rPr>
          <w:rFonts w:ascii="Tahoma" w:hAnsi="Tahoma" w:cs="Tahoma"/>
        </w:rPr>
        <w:t>Colpensiones</w:t>
      </w:r>
      <w:r w:rsidR="007F59D0" w:rsidRPr="001C52C0">
        <w:rPr>
          <w:rFonts w:ascii="Tahoma" w:hAnsi="Tahoma" w:cs="Tahoma"/>
        </w:rPr>
        <w:t xml:space="preserve"> a pagar a la señora </w:t>
      </w:r>
      <w:r w:rsidR="00BA095B" w:rsidRPr="001C52C0">
        <w:rPr>
          <w:rFonts w:ascii="Tahoma" w:hAnsi="Tahoma" w:cs="Tahoma"/>
        </w:rPr>
        <w:t>Gloria Inés Rojo Tobón el retroactivo</w:t>
      </w:r>
      <w:r w:rsidR="007F59D0" w:rsidRPr="001C52C0">
        <w:rPr>
          <w:rFonts w:ascii="Tahoma" w:hAnsi="Tahoma" w:cs="Tahoma"/>
        </w:rPr>
        <w:t xml:space="preserve"> causado entre el </w:t>
      </w:r>
      <w:r w:rsidR="00AA4BF3" w:rsidRPr="001C52C0">
        <w:rPr>
          <w:rFonts w:ascii="Tahoma" w:hAnsi="Tahoma" w:cs="Tahoma"/>
        </w:rPr>
        <w:t>8 de noviembre de 2015</w:t>
      </w:r>
      <w:r w:rsidR="007F59D0" w:rsidRPr="001C52C0">
        <w:rPr>
          <w:rFonts w:ascii="Tahoma" w:hAnsi="Tahoma" w:cs="Tahoma"/>
        </w:rPr>
        <w:t xml:space="preserve"> y el 3</w:t>
      </w:r>
      <w:r w:rsidR="00BA095B" w:rsidRPr="001C52C0">
        <w:rPr>
          <w:rFonts w:ascii="Tahoma" w:hAnsi="Tahoma" w:cs="Tahoma"/>
        </w:rPr>
        <w:t xml:space="preserve">1 de mayo de 2021, el cual </w:t>
      </w:r>
      <w:r w:rsidR="007F59D0" w:rsidRPr="001C52C0">
        <w:rPr>
          <w:rFonts w:ascii="Tahoma" w:hAnsi="Tahoma" w:cs="Tahoma"/>
        </w:rPr>
        <w:t>asciende a $</w:t>
      </w:r>
      <w:r w:rsidR="06BFB41E" w:rsidRPr="001C52C0">
        <w:rPr>
          <w:rFonts w:ascii="Tahoma" w:hAnsi="Tahoma" w:cs="Tahoma"/>
        </w:rPr>
        <w:t>57.188.022</w:t>
      </w:r>
      <w:r w:rsidR="00BA095B" w:rsidRPr="001C52C0">
        <w:rPr>
          <w:rFonts w:ascii="Tahoma" w:hAnsi="Tahoma" w:cs="Tahoma"/>
        </w:rPr>
        <w:t>,</w:t>
      </w:r>
      <w:r w:rsidR="007F59D0" w:rsidRPr="001C52C0">
        <w:rPr>
          <w:rFonts w:ascii="Tahoma" w:hAnsi="Tahoma" w:cs="Tahoma"/>
        </w:rPr>
        <w:t xml:space="preserve"> sin perjuicio de las </w:t>
      </w:r>
      <w:r w:rsidR="00BA095B" w:rsidRPr="001C52C0">
        <w:rPr>
          <w:rFonts w:ascii="Tahoma" w:hAnsi="Tahoma" w:cs="Tahoma"/>
        </w:rPr>
        <w:t xml:space="preserve">mesadas </w:t>
      </w:r>
      <w:r w:rsidR="007F59D0" w:rsidRPr="001C52C0">
        <w:rPr>
          <w:rFonts w:ascii="Tahoma" w:hAnsi="Tahoma" w:cs="Tahoma"/>
        </w:rPr>
        <w:t>que se causen con posterioridad a esa calenda</w:t>
      </w:r>
      <w:r w:rsidR="00BA095B" w:rsidRPr="001C52C0">
        <w:rPr>
          <w:rFonts w:ascii="Tahoma" w:hAnsi="Tahoma" w:cs="Tahoma"/>
        </w:rPr>
        <w:t xml:space="preserve"> y los descuentos de ley</w:t>
      </w:r>
      <w:r w:rsidR="007F59D0" w:rsidRPr="001C52C0">
        <w:rPr>
          <w:rFonts w:ascii="Tahoma" w:hAnsi="Tahoma" w:cs="Tahoma"/>
        </w:rPr>
        <w:t>. Así mismo, se condena a</w:t>
      </w:r>
      <w:r w:rsidR="00AA4BF3" w:rsidRPr="001C52C0">
        <w:rPr>
          <w:rFonts w:ascii="Tahoma" w:hAnsi="Tahoma" w:cs="Tahoma"/>
        </w:rPr>
        <w:t xml:space="preserve"> dicha entidad </w:t>
      </w:r>
      <w:r w:rsidR="007F59D0" w:rsidRPr="001C52C0">
        <w:rPr>
          <w:rFonts w:ascii="Tahoma" w:hAnsi="Tahoma" w:cs="Tahoma"/>
        </w:rPr>
        <w:t>al pago de los intereses moratorios causados con posterioridad a la ejecutoria de la presente providencia.</w:t>
      </w:r>
    </w:p>
    <w:p w14:paraId="6BD394E4" w14:textId="77777777" w:rsidR="007F59D0" w:rsidRPr="001C52C0" w:rsidRDefault="007F59D0" w:rsidP="001C52C0">
      <w:pPr>
        <w:spacing w:line="276" w:lineRule="auto"/>
        <w:ind w:firstLine="709"/>
        <w:jc w:val="both"/>
        <w:rPr>
          <w:rFonts w:ascii="Tahoma" w:hAnsi="Tahoma" w:cs="Tahoma"/>
        </w:rPr>
      </w:pPr>
    </w:p>
    <w:p w14:paraId="2F03D8DA" w14:textId="773BFF1D" w:rsidR="007F59D0" w:rsidRPr="001C52C0" w:rsidRDefault="00081EC2" w:rsidP="001C52C0">
      <w:pPr>
        <w:spacing w:line="276" w:lineRule="auto"/>
        <w:ind w:firstLine="709"/>
        <w:jc w:val="both"/>
        <w:rPr>
          <w:rFonts w:ascii="Tahoma" w:hAnsi="Tahoma" w:cs="Tahoma"/>
        </w:rPr>
      </w:pPr>
      <w:r w:rsidRPr="001C52C0">
        <w:rPr>
          <w:rFonts w:ascii="Tahoma" w:hAnsi="Tahoma" w:cs="Tahoma"/>
          <w:b/>
          <w:u w:val="single"/>
        </w:rPr>
        <w:t>QUINTO</w:t>
      </w:r>
      <w:r w:rsidRPr="001C52C0">
        <w:rPr>
          <w:rFonts w:ascii="Tahoma" w:hAnsi="Tahoma" w:cs="Tahoma"/>
          <w:b/>
        </w:rPr>
        <w:t>. -</w:t>
      </w:r>
      <w:r w:rsidR="007F59D0" w:rsidRPr="001C52C0">
        <w:rPr>
          <w:rFonts w:ascii="Tahoma" w:hAnsi="Tahoma" w:cs="Tahoma"/>
        </w:rPr>
        <w:t xml:space="preserve"> </w:t>
      </w:r>
      <w:r w:rsidR="00AA4BF3" w:rsidRPr="001C52C0">
        <w:rPr>
          <w:rFonts w:ascii="Tahoma" w:hAnsi="Tahoma" w:cs="Tahoma"/>
        </w:rPr>
        <w:t>Las costas en ambas instancias correrán a favor del demandante y a cargo de Protección S.A. en un 70%; liquídense por la Secretaría del Juzgado de origen.</w:t>
      </w:r>
    </w:p>
    <w:p w14:paraId="1F7C5049" w14:textId="4D6F1095" w:rsidR="00D51494" w:rsidRPr="001C52C0" w:rsidRDefault="00D51494" w:rsidP="001C52C0">
      <w:pPr>
        <w:tabs>
          <w:tab w:val="left" w:pos="748"/>
        </w:tabs>
        <w:spacing w:line="276" w:lineRule="auto"/>
        <w:jc w:val="both"/>
        <w:rPr>
          <w:rFonts w:ascii="Tahoma" w:hAnsi="Tahoma" w:cs="Tahoma"/>
        </w:rPr>
      </w:pPr>
    </w:p>
    <w:p w14:paraId="2C4F8A75" w14:textId="139B7037" w:rsidR="00ED2367" w:rsidRPr="001C52C0" w:rsidRDefault="00ED2367" w:rsidP="001C52C0">
      <w:pPr>
        <w:pStyle w:val="Prrafodelista"/>
        <w:widowControl w:val="0"/>
        <w:autoSpaceDE w:val="0"/>
        <w:autoSpaceDN w:val="0"/>
        <w:adjustRightInd w:val="0"/>
        <w:spacing w:line="276" w:lineRule="auto"/>
        <w:ind w:left="0" w:firstLine="709"/>
        <w:jc w:val="center"/>
        <w:rPr>
          <w:rFonts w:ascii="Tahoma" w:hAnsi="Tahoma" w:cs="Tahoma"/>
          <w:b/>
          <w:bCs/>
        </w:rPr>
      </w:pPr>
      <w:r w:rsidRPr="001C52C0">
        <w:rPr>
          <w:rFonts w:ascii="Tahoma" w:hAnsi="Tahoma" w:cs="Tahoma"/>
          <w:b/>
          <w:bCs/>
        </w:rPr>
        <w:t>Notifíquese y cúmplase</w:t>
      </w:r>
    </w:p>
    <w:p w14:paraId="48F9DA43" w14:textId="77777777" w:rsidR="001C52C0" w:rsidRPr="001C52C0" w:rsidRDefault="001C52C0" w:rsidP="001C52C0">
      <w:pPr>
        <w:spacing w:line="276" w:lineRule="auto"/>
        <w:ind w:firstLine="708"/>
        <w:contextualSpacing/>
        <w:jc w:val="both"/>
        <w:rPr>
          <w:rFonts w:ascii="Tahoma" w:hAnsi="Tahoma" w:cs="Tahoma"/>
          <w:lang w:val="es-ES_tradnl" w:eastAsia="en-US"/>
        </w:rPr>
      </w:pPr>
      <w:bookmarkStart w:id="3" w:name="_Hlk74294138"/>
    </w:p>
    <w:p w14:paraId="343714C2" w14:textId="77777777" w:rsidR="001C52C0" w:rsidRPr="001C52C0" w:rsidRDefault="001C52C0" w:rsidP="001C52C0">
      <w:pPr>
        <w:widowControl w:val="0"/>
        <w:autoSpaceDE w:val="0"/>
        <w:autoSpaceDN w:val="0"/>
        <w:adjustRightInd w:val="0"/>
        <w:spacing w:line="276" w:lineRule="auto"/>
        <w:jc w:val="both"/>
        <w:rPr>
          <w:rFonts w:ascii="Tahoma" w:hAnsi="Tahoma" w:cs="Tahoma"/>
        </w:rPr>
      </w:pPr>
      <w:r w:rsidRPr="001C52C0">
        <w:rPr>
          <w:rFonts w:ascii="Tahoma" w:hAnsi="Tahoma" w:cs="Tahoma"/>
        </w:rPr>
        <w:tab/>
        <w:t>La Magistrada ponente,</w:t>
      </w:r>
    </w:p>
    <w:p w14:paraId="402416D7" w14:textId="77777777" w:rsidR="001C52C0" w:rsidRPr="001C52C0" w:rsidRDefault="001C52C0" w:rsidP="001C52C0">
      <w:pPr>
        <w:spacing w:line="276" w:lineRule="auto"/>
        <w:rPr>
          <w:rFonts w:ascii="Tahoma" w:hAnsi="Tahoma" w:cs="Tahoma"/>
        </w:rPr>
      </w:pPr>
    </w:p>
    <w:p w14:paraId="438D1112" w14:textId="77777777" w:rsidR="001C52C0" w:rsidRPr="001C52C0" w:rsidRDefault="001C52C0" w:rsidP="001C52C0">
      <w:pPr>
        <w:spacing w:line="276" w:lineRule="auto"/>
        <w:rPr>
          <w:rFonts w:ascii="Tahoma" w:hAnsi="Tahoma" w:cs="Tahoma"/>
        </w:rPr>
      </w:pPr>
    </w:p>
    <w:p w14:paraId="15D4A6A6" w14:textId="77777777" w:rsidR="001C52C0" w:rsidRPr="001C52C0" w:rsidRDefault="001C52C0" w:rsidP="001C52C0">
      <w:pPr>
        <w:spacing w:line="276" w:lineRule="auto"/>
        <w:rPr>
          <w:rFonts w:ascii="Tahoma" w:hAnsi="Tahoma" w:cs="Tahoma"/>
        </w:rPr>
      </w:pPr>
    </w:p>
    <w:p w14:paraId="1A09F03F" w14:textId="77777777" w:rsidR="001C52C0" w:rsidRPr="001C52C0" w:rsidRDefault="001C52C0" w:rsidP="001C52C0">
      <w:pPr>
        <w:keepNext/>
        <w:spacing w:line="276" w:lineRule="auto"/>
        <w:jc w:val="center"/>
        <w:outlineLvl w:val="2"/>
        <w:rPr>
          <w:rFonts w:ascii="Tahoma" w:hAnsi="Tahoma" w:cs="Tahoma"/>
          <w:b/>
          <w:bCs/>
        </w:rPr>
      </w:pPr>
      <w:r w:rsidRPr="001C52C0">
        <w:rPr>
          <w:rFonts w:ascii="Tahoma" w:hAnsi="Tahoma" w:cs="Tahoma"/>
          <w:b/>
          <w:bCs/>
        </w:rPr>
        <w:t>ANA LUCÍA CAICEDO CALDERÓN</w:t>
      </w:r>
    </w:p>
    <w:p w14:paraId="0A524E5F" w14:textId="77777777" w:rsidR="001C52C0" w:rsidRPr="001C52C0" w:rsidRDefault="001C52C0" w:rsidP="001C52C0">
      <w:pPr>
        <w:spacing w:line="276" w:lineRule="auto"/>
        <w:rPr>
          <w:rFonts w:ascii="Tahoma" w:hAnsi="Tahoma" w:cs="Tahoma"/>
        </w:rPr>
      </w:pPr>
    </w:p>
    <w:p w14:paraId="12954FCE" w14:textId="77777777" w:rsidR="001C52C0" w:rsidRPr="001C52C0" w:rsidRDefault="001C52C0" w:rsidP="001C52C0">
      <w:pPr>
        <w:spacing w:line="276" w:lineRule="auto"/>
        <w:ind w:firstLine="708"/>
        <w:rPr>
          <w:rFonts w:ascii="Tahoma" w:hAnsi="Tahoma" w:cs="Tahoma"/>
        </w:rPr>
      </w:pPr>
      <w:bookmarkStart w:id="4" w:name="_Hlk62478330"/>
      <w:r w:rsidRPr="001C52C0">
        <w:rPr>
          <w:rFonts w:ascii="Tahoma" w:hAnsi="Tahoma" w:cs="Tahoma"/>
        </w:rPr>
        <w:t>La Magistrada y el Magistrado,</w:t>
      </w:r>
    </w:p>
    <w:p w14:paraId="05235BA5" w14:textId="77777777" w:rsidR="001C52C0" w:rsidRPr="001C52C0" w:rsidRDefault="001C52C0" w:rsidP="001C52C0">
      <w:pPr>
        <w:spacing w:line="276" w:lineRule="auto"/>
        <w:rPr>
          <w:rFonts w:ascii="Tahoma" w:hAnsi="Tahoma" w:cs="Tahoma"/>
        </w:rPr>
      </w:pPr>
    </w:p>
    <w:p w14:paraId="387F7932" w14:textId="77777777" w:rsidR="001C52C0" w:rsidRPr="001C52C0" w:rsidRDefault="001C52C0" w:rsidP="001C52C0">
      <w:pPr>
        <w:spacing w:line="276" w:lineRule="auto"/>
        <w:rPr>
          <w:rFonts w:ascii="Tahoma" w:hAnsi="Tahoma" w:cs="Tahoma"/>
        </w:rPr>
      </w:pPr>
    </w:p>
    <w:p w14:paraId="0D594C1B" w14:textId="77777777" w:rsidR="001C52C0" w:rsidRPr="001C52C0" w:rsidRDefault="001C52C0" w:rsidP="001C52C0">
      <w:pPr>
        <w:spacing w:line="276" w:lineRule="auto"/>
        <w:rPr>
          <w:rFonts w:ascii="Tahoma" w:hAnsi="Tahoma" w:cs="Tahoma"/>
        </w:rPr>
      </w:pPr>
    </w:p>
    <w:p w14:paraId="362B5157" w14:textId="0C3DC8F9" w:rsidR="001C52C0" w:rsidRDefault="001C52C0" w:rsidP="001C52C0">
      <w:pPr>
        <w:spacing w:line="276" w:lineRule="auto"/>
        <w:jc w:val="both"/>
        <w:rPr>
          <w:rFonts w:ascii="Tahoma" w:hAnsi="Tahoma" w:cs="Tahoma"/>
        </w:rPr>
      </w:pPr>
      <w:r w:rsidRPr="001C52C0">
        <w:rPr>
          <w:rFonts w:ascii="Tahoma" w:hAnsi="Tahoma" w:cs="Tahoma"/>
          <w:b/>
          <w:bCs/>
        </w:rPr>
        <w:t>OLGA LUCÍA HOYOS SEPÚLVEDA</w:t>
      </w:r>
      <w:r w:rsidRPr="001C52C0">
        <w:rPr>
          <w:rFonts w:ascii="Tahoma" w:hAnsi="Tahoma" w:cs="Tahoma"/>
          <w:b/>
          <w:bCs/>
        </w:rPr>
        <w:tab/>
      </w:r>
      <w:r w:rsidRPr="001C52C0">
        <w:rPr>
          <w:rFonts w:ascii="Tahoma" w:hAnsi="Tahoma" w:cs="Tahoma"/>
          <w:b/>
          <w:bCs/>
        </w:rPr>
        <w:tab/>
        <w:t>GERMÁN DARÍO GÓEZ VINASCO</w:t>
      </w:r>
      <w:bookmarkEnd w:id="3"/>
      <w:bookmarkEnd w:id="4"/>
    </w:p>
    <w:p w14:paraId="3E7126CB" w14:textId="15E9FE9C" w:rsidR="001C52C0" w:rsidRDefault="001C52C0" w:rsidP="001C52C0">
      <w:pPr>
        <w:widowControl w:val="0"/>
        <w:autoSpaceDE w:val="0"/>
        <w:autoSpaceDN w:val="0"/>
        <w:adjustRightInd w:val="0"/>
        <w:spacing w:line="276" w:lineRule="auto"/>
        <w:rPr>
          <w:rFonts w:ascii="Tahoma" w:hAnsi="Tahoma" w:cs="Tahoma"/>
        </w:rPr>
      </w:pPr>
    </w:p>
    <w:p w14:paraId="4CD95760" w14:textId="77777777" w:rsidR="001C52C0" w:rsidRPr="001C52C0" w:rsidRDefault="001C52C0" w:rsidP="001C52C0">
      <w:pPr>
        <w:widowControl w:val="0"/>
        <w:autoSpaceDE w:val="0"/>
        <w:autoSpaceDN w:val="0"/>
        <w:adjustRightInd w:val="0"/>
        <w:spacing w:line="276" w:lineRule="auto"/>
        <w:rPr>
          <w:rFonts w:ascii="Tahoma" w:hAnsi="Tahoma" w:cs="Tahoma"/>
        </w:rPr>
      </w:pPr>
    </w:p>
    <w:tbl>
      <w:tblPr>
        <w:tblStyle w:val="Tablaconcuadrcula"/>
        <w:tblW w:w="0" w:type="auto"/>
        <w:tblLayout w:type="fixed"/>
        <w:tblLook w:val="06A0" w:firstRow="1" w:lastRow="0" w:firstColumn="1" w:lastColumn="0" w:noHBand="1" w:noVBand="1"/>
      </w:tblPr>
      <w:tblGrid>
        <w:gridCol w:w="1200"/>
        <w:gridCol w:w="1200"/>
        <w:gridCol w:w="1200"/>
        <w:gridCol w:w="1645"/>
        <w:gridCol w:w="1565"/>
      </w:tblGrid>
      <w:tr w:rsidR="61549E7B" w14:paraId="5DFA0137" w14:textId="77777777" w:rsidTr="00630506">
        <w:trPr>
          <w:trHeight w:val="465"/>
        </w:trPr>
        <w:tc>
          <w:tcPr>
            <w:tcW w:w="1200" w:type="dxa"/>
            <w:tcBorders>
              <w:top w:val="single" w:sz="8" w:space="0" w:color="auto"/>
              <w:left w:val="nil"/>
              <w:bottom w:val="single" w:sz="8" w:space="0" w:color="auto"/>
              <w:right w:val="single" w:sz="4" w:space="0" w:color="808000"/>
            </w:tcBorders>
            <w:shd w:val="clear" w:color="auto" w:fill="FFFF99"/>
            <w:vAlign w:val="center"/>
          </w:tcPr>
          <w:p w14:paraId="636708B2" w14:textId="10893010" w:rsidR="61549E7B" w:rsidRDefault="61549E7B" w:rsidP="61549E7B">
            <w:pPr>
              <w:jc w:val="center"/>
            </w:pPr>
            <w:r w:rsidRPr="61549E7B">
              <w:rPr>
                <w:rFonts w:ascii="Calibri" w:eastAsia="Calibri" w:hAnsi="Calibri" w:cs="Calibri"/>
                <w:b/>
                <w:bCs/>
                <w:color w:val="000000" w:themeColor="text1"/>
                <w:sz w:val="16"/>
                <w:szCs w:val="16"/>
              </w:rPr>
              <w:t>Desde</w:t>
            </w:r>
          </w:p>
        </w:tc>
        <w:tc>
          <w:tcPr>
            <w:tcW w:w="1200" w:type="dxa"/>
            <w:tcBorders>
              <w:top w:val="single" w:sz="8" w:space="0" w:color="auto"/>
              <w:left w:val="single" w:sz="4" w:space="0" w:color="808000"/>
              <w:bottom w:val="single" w:sz="8" w:space="0" w:color="auto"/>
              <w:right w:val="single" w:sz="4" w:space="0" w:color="808000"/>
            </w:tcBorders>
            <w:shd w:val="clear" w:color="auto" w:fill="FFFF99"/>
            <w:vAlign w:val="center"/>
          </w:tcPr>
          <w:p w14:paraId="5090DA6E" w14:textId="643617EE" w:rsidR="61549E7B" w:rsidRDefault="61549E7B" w:rsidP="61549E7B">
            <w:pPr>
              <w:jc w:val="center"/>
            </w:pPr>
            <w:r w:rsidRPr="61549E7B">
              <w:rPr>
                <w:rFonts w:ascii="Calibri" w:eastAsia="Calibri" w:hAnsi="Calibri" w:cs="Calibri"/>
                <w:b/>
                <w:bCs/>
                <w:color w:val="000000" w:themeColor="text1"/>
                <w:sz w:val="16"/>
                <w:szCs w:val="16"/>
              </w:rPr>
              <w:t>Hasta</w:t>
            </w:r>
          </w:p>
        </w:tc>
        <w:tc>
          <w:tcPr>
            <w:tcW w:w="1200" w:type="dxa"/>
            <w:tcBorders>
              <w:top w:val="single" w:sz="8" w:space="0" w:color="auto"/>
              <w:left w:val="single" w:sz="4" w:space="0" w:color="808000"/>
              <w:bottom w:val="nil"/>
              <w:right w:val="single" w:sz="4" w:space="0" w:color="808000"/>
            </w:tcBorders>
            <w:shd w:val="clear" w:color="auto" w:fill="FFFF99"/>
            <w:vAlign w:val="center"/>
          </w:tcPr>
          <w:p w14:paraId="046B58D2" w14:textId="2D2D5360" w:rsidR="61549E7B" w:rsidRDefault="61549E7B" w:rsidP="61549E7B">
            <w:pPr>
              <w:jc w:val="center"/>
            </w:pPr>
            <w:r w:rsidRPr="61549E7B">
              <w:rPr>
                <w:rFonts w:ascii="Calibri" w:eastAsia="Calibri" w:hAnsi="Calibri" w:cs="Calibri"/>
                <w:b/>
                <w:bCs/>
                <w:color w:val="000000" w:themeColor="text1"/>
                <w:sz w:val="16"/>
                <w:szCs w:val="16"/>
              </w:rPr>
              <w:t>Causadas</w:t>
            </w:r>
          </w:p>
        </w:tc>
        <w:tc>
          <w:tcPr>
            <w:tcW w:w="1645" w:type="dxa"/>
            <w:tcBorders>
              <w:top w:val="single" w:sz="8" w:space="0" w:color="auto"/>
              <w:left w:val="single" w:sz="4" w:space="0" w:color="808000"/>
              <w:bottom w:val="single" w:sz="8" w:space="0" w:color="auto"/>
              <w:right w:val="single" w:sz="4" w:space="0" w:color="808000"/>
            </w:tcBorders>
            <w:shd w:val="clear" w:color="auto" w:fill="FFFF99"/>
            <w:vAlign w:val="center"/>
          </w:tcPr>
          <w:p w14:paraId="1AEDB51B" w14:textId="4DB009B0" w:rsidR="61549E7B" w:rsidRDefault="61549E7B" w:rsidP="61549E7B">
            <w:pPr>
              <w:jc w:val="center"/>
            </w:pPr>
            <w:r w:rsidRPr="61549E7B">
              <w:rPr>
                <w:rFonts w:ascii="Calibri" w:eastAsia="Calibri" w:hAnsi="Calibri" w:cs="Calibri"/>
                <w:b/>
                <w:bCs/>
                <w:color w:val="000000" w:themeColor="text1"/>
                <w:sz w:val="16"/>
                <w:szCs w:val="16"/>
              </w:rPr>
              <w:t>Valor mesada</w:t>
            </w:r>
          </w:p>
        </w:tc>
        <w:tc>
          <w:tcPr>
            <w:tcW w:w="1565" w:type="dxa"/>
            <w:tcBorders>
              <w:top w:val="single" w:sz="8" w:space="0" w:color="auto"/>
              <w:left w:val="single" w:sz="4" w:space="0" w:color="808000"/>
              <w:bottom w:val="single" w:sz="8" w:space="0" w:color="auto"/>
              <w:right w:val="single" w:sz="8" w:space="0" w:color="auto"/>
            </w:tcBorders>
            <w:shd w:val="clear" w:color="auto" w:fill="FFFF99"/>
            <w:vAlign w:val="center"/>
          </w:tcPr>
          <w:p w14:paraId="790D70CC" w14:textId="6A25D73A" w:rsidR="61549E7B" w:rsidRDefault="61549E7B" w:rsidP="61549E7B">
            <w:pPr>
              <w:jc w:val="center"/>
            </w:pPr>
            <w:r w:rsidRPr="61549E7B">
              <w:rPr>
                <w:rFonts w:ascii="Calibri" w:eastAsia="Calibri" w:hAnsi="Calibri" w:cs="Calibri"/>
                <w:b/>
                <w:bCs/>
                <w:color w:val="000000" w:themeColor="text1"/>
                <w:sz w:val="16"/>
                <w:szCs w:val="16"/>
              </w:rPr>
              <w:t xml:space="preserve"> Mesadas </w:t>
            </w:r>
          </w:p>
        </w:tc>
      </w:tr>
      <w:tr w:rsidR="61549E7B" w14:paraId="07D8B856" w14:textId="77777777" w:rsidTr="00630506">
        <w:trPr>
          <w:trHeight w:val="300"/>
        </w:trPr>
        <w:tc>
          <w:tcPr>
            <w:tcW w:w="1200" w:type="dxa"/>
            <w:tcBorders>
              <w:top w:val="single" w:sz="8" w:space="0" w:color="auto"/>
              <w:left w:val="single" w:sz="4" w:space="0" w:color="808000"/>
              <w:bottom w:val="single" w:sz="4" w:space="0" w:color="808000"/>
              <w:right w:val="single" w:sz="4" w:space="0" w:color="808000"/>
            </w:tcBorders>
            <w:vAlign w:val="center"/>
          </w:tcPr>
          <w:p w14:paraId="2161627D" w14:textId="765E9D8D" w:rsidR="61549E7B" w:rsidRDefault="61549E7B">
            <w:r w:rsidRPr="61549E7B">
              <w:rPr>
                <w:rFonts w:ascii="Calibri" w:eastAsia="Calibri" w:hAnsi="Calibri" w:cs="Calibri"/>
                <w:color w:val="000000" w:themeColor="text1"/>
                <w:sz w:val="20"/>
                <w:szCs w:val="20"/>
              </w:rPr>
              <w:t>08-nov-15</w:t>
            </w:r>
          </w:p>
        </w:tc>
        <w:tc>
          <w:tcPr>
            <w:tcW w:w="1200" w:type="dxa"/>
            <w:tcBorders>
              <w:top w:val="single" w:sz="8" w:space="0" w:color="auto"/>
              <w:left w:val="single" w:sz="4" w:space="0" w:color="808000"/>
              <w:bottom w:val="single" w:sz="4" w:space="0" w:color="808000"/>
              <w:right w:val="nil"/>
            </w:tcBorders>
            <w:vAlign w:val="center"/>
          </w:tcPr>
          <w:p w14:paraId="137DCEAF" w14:textId="08B133A0" w:rsidR="61549E7B" w:rsidRDefault="61549E7B">
            <w:r w:rsidRPr="61549E7B">
              <w:rPr>
                <w:rFonts w:ascii="Calibri" w:eastAsia="Calibri" w:hAnsi="Calibri" w:cs="Calibri"/>
                <w:color w:val="000000" w:themeColor="text1"/>
                <w:sz w:val="20"/>
                <w:szCs w:val="20"/>
              </w:rPr>
              <w:t>31-dic-15</w:t>
            </w:r>
          </w:p>
        </w:tc>
        <w:tc>
          <w:tcPr>
            <w:tcW w:w="1200" w:type="dxa"/>
            <w:tcBorders>
              <w:top w:val="nil"/>
              <w:left w:val="single" w:sz="4" w:space="0" w:color="auto"/>
              <w:bottom w:val="single" w:sz="4" w:space="0" w:color="auto"/>
              <w:right w:val="single" w:sz="4" w:space="0" w:color="auto"/>
            </w:tcBorders>
            <w:shd w:val="clear" w:color="auto" w:fill="FFFFCC"/>
            <w:vAlign w:val="bottom"/>
          </w:tcPr>
          <w:p w14:paraId="6D16ED35" w14:textId="1BB6C298" w:rsidR="61549E7B" w:rsidRDefault="61549E7B" w:rsidP="61549E7B">
            <w:pPr>
              <w:jc w:val="center"/>
            </w:pPr>
            <w:r w:rsidRPr="61549E7B">
              <w:rPr>
                <w:rFonts w:ascii="Calibri" w:eastAsia="Calibri" w:hAnsi="Calibri" w:cs="Calibri"/>
                <w:sz w:val="20"/>
                <w:szCs w:val="20"/>
              </w:rPr>
              <w:t xml:space="preserve">2,73  </w:t>
            </w:r>
          </w:p>
        </w:tc>
        <w:tc>
          <w:tcPr>
            <w:tcW w:w="1645" w:type="dxa"/>
            <w:tcBorders>
              <w:top w:val="single" w:sz="8" w:space="0" w:color="auto"/>
              <w:left w:val="single" w:sz="4" w:space="0" w:color="auto"/>
              <w:bottom w:val="single" w:sz="4" w:space="0" w:color="808000"/>
              <w:right w:val="single" w:sz="8" w:space="0" w:color="auto"/>
            </w:tcBorders>
            <w:shd w:val="clear" w:color="auto" w:fill="FFFFCC"/>
            <w:vAlign w:val="center"/>
          </w:tcPr>
          <w:p w14:paraId="712FC717" w14:textId="04612951" w:rsidR="61549E7B" w:rsidRDefault="61549E7B">
            <w:r w:rsidRPr="61549E7B">
              <w:rPr>
                <w:rFonts w:ascii="Calibri" w:eastAsia="Calibri" w:hAnsi="Calibri" w:cs="Calibri"/>
                <w:color w:val="000000" w:themeColor="text1"/>
                <w:sz w:val="20"/>
                <w:szCs w:val="20"/>
              </w:rPr>
              <w:t xml:space="preserve"> $        644.350,00 </w:t>
            </w:r>
          </w:p>
        </w:tc>
        <w:tc>
          <w:tcPr>
            <w:tcW w:w="1565" w:type="dxa"/>
            <w:tcBorders>
              <w:top w:val="single" w:sz="8" w:space="0" w:color="auto"/>
              <w:left w:val="single" w:sz="4" w:space="0" w:color="808000"/>
              <w:bottom w:val="single" w:sz="4" w:space="0" w:color="808000"/>
              <w:right w:val="single" w:sz="8" w:space="0" w:color="auto"/>
            </w:tcBorders>
            <w:shd w:val="clear" w:color="auto" w:fill="FFFFCC"/>
            <w:vAlign w:val="center"/>
          </w:tcPr>
          <w:p w14:paraId="43DC7CE9" w14:textId="1680B3A7" w:rsidR="61549E7B" w:rsidRDefault="61549E7B">
            <w:r w:rsidRPr="61549E7B">
              <w:rPr>
                <w:rFonts w:ascii="Calibri" w:eastAsia="Calibri" w:hAnsi="Calibri" w:cs="Calibri"/>
                <w:color w:val="000000" w:themeColor="text1"/>
                <w:sz w:val="20"/>
                <w:szCs w:val="20"/>
              </w:rPr>
              <w:t xml:space="preserve"> $     1.759.075,50 </w:t>
            </w:r>
          </w:p>
        </w:tc>
      </w:tr>
      <w:tr w:rsidR="61549E7B" w14:paraId="071060BB" w14:textId="77777777" w:rsidTr="00630506">
        <w:trPr>
          <w:trHeight w:val="300"/>
        </w:trPr>
        <w:tc>
          <w:tcPr>
            <w:tcW w:w="1200" w:type="dxa"/>
            <w:tcBorders>
              <w:top w:val="single" w:sz="4" w:space="0" w:color="808000"/>
              <w:left w:val="single" w:sz="4" w:space="0" w:color="808000"/>
              <w:bottom w:val="single" w:sz="4" w:space="0" w:color="808000"/>
              <w:right w:val="single" w:sz="4" w:space="0" w:color="808000"/>
            </w:tcBorders>
            <w:vAlign w:val="center"/>
          </w:tcPr>
          <w:p w14:paraId="04C19214" w14:textId="5E528D38" w:rsidR="61549E7B" w:rsidRDefault="61549E7B">
            <w:r w:rsidRPr="61549E7B">
              <w:rPr>
                <w:rFonts w:ascii="Calibri" w:eastAsia="Calibri" w:hAnsi="Calibri" w:cs="Calibri"/>
                <w:color w:val="000000" w:themeColor="text1"/>
                <w:sz w:val="20"/>
                <w:szCs w:val="20"/>
              </w:rPr>
              <w:t>01-ene-16</w:t>
            </w:r>
          </w:p>
        </w:tc>
        <w:tc>
          <w:tcPr>
            <w:tcW w:w="1200" w:type="dxa"/>
            <w:tcBorders>
              <w:top w:val="single" w:sz="4" w:space="0" w:color="808000"/>
              <w:left w:val="single" w:sz="4" w:space="0" w:color="808000"/>
              <w:bottom w:val="single" w:sz="4" w:space="0" w:color="808000"/>
              <w:right w:val="nil"/>
            </w:tcBorders>
            <w:vAlign w:val="center"/>
          </w:tcPr>
          <w:p w14:paraId="6F3600D0" w14:textId="1D1F0626" w:rsidR="61549E7B" w:rsidRDefault="61549E7B">
            <w:r w:rsidRPr="61549E7B">
              <w:rPr>
                <w:rFonts w:ascii="Calibri" w:eastAsia="Calibri" w:hAnsi="Calibri" w:cs="Calibri"/>
                <w:color w:val="000000" w:themeColor="text1"/>
                <w:sz w:val="20"/>
                <w:szCs w:val="20"/>
              </w:rPr>
              <w:t>31-dic-16</w:t>
            </w:r>
          </w:p>
        </w:tc>
        <w:tc>
          <w:tcPr>
            <w:tcW w:w="1200" w:type="dxa"/>
            <w:tcBorders>
              <w:top w:val="single" w:sz="4" w:space="0" w:color="auto"/>
              <w:left w:val="single" w:sz="4" w:space="0" w:color="auto"/>
              <w:bottom w:val="single" w:sz="4" w:space="0" w:color="auto"/>
              <w:right w:val="single" w:sz="4" w:space="0" w:color="auto"/>
            </w:tcBorders>
            <w:shd w:val="clear" w:color="auto" w:fill="FFFFCC"/>
            <w:vAlign w:val="bottom"/>
          </w:tcPr>
          <w:p w14:paraId="7E70E28D" w14:textId="55FDEE69" w:rsidR="61549E7B" w:rsidRDefault="61549E7B" w:rsidP="61549E7B">
            <w:pPr>
              <w:jc w:val="center"/>
            </w:pPr>
            <w:r w:rsidRPr="61549E7B">
              <w:rPr>
                <w:rFonts w:ascii="Calibri" w:eastAsia="Calibri" w:hAnsi="Calibri" w:cs="Calibri"/>
                <w:sz w:val="20"/>
                <w:szCs w:val="20"/>
              </w:rPr>
              <w:t xml:space="preserve">13  </w:t>
            </w:r>
          </w:p>
        </w:tc>
        <w:tc>
          <w:tcPr>
            <w:tcW w:w="1645" w:type="dxa"/>
            <w:tcBorders>
              <w:top w:val="single" w:sz="4" w:space="0" w:color="808000"/>
              <w:left w:val="single" w:sz="4" w:space="0" w:color="auto"/>
              <w:bottom w:val="single" w:sz="4" w:space="0" w:color="808000"/>
              <w:right w:val="single" w:sz="8" w:space="0" w:color="auto"/>
            </w:tcBorders>
            <w:shd w:val="clear" w:color="auto" w:fill="FFFFCC"/>
            <w:vAlign w:val="center"/>
          </w:tcPr>
          <w:p w14:paraId="5228A244" w14:textId="3361209E" w:rsidR="61549E7B" w:rsidRDefault="61549E7B">
            <w:r w:rsidRPr="61549E7B">
              <w:rPr>
                <w:rFonts w:ascii="Calibri" w:eastAsia="Calibri" w:hAnsi="Calibri" w:cs="Calibri"/>
                <w:color w:val="000000" w:themeColor="text1"/>
                <w:sz w:val="20"/>
                <w:szCs w:val="20"/>
              </w:rPr>
              <w:t xml:space="preserve"> $        689.454,00 </w:t>
            </w:r>
          </w:p>
        </w:tc>
        <w:tc>
          <w:tcPr>
            <w:tcW w:w="1565" w:type="dxa"/>
            <w:tcBorders>
              <w:top w:val="single" w:sz="4" w:space="0" w:color="808000"/>
              <w:left w:val="single" w:sz="4" w:space="0" w:color="808000"/>
              <w:bottom w:val="single" w:sz="4" w:space="0" w:color="808000"/>
              <w:right w:val="single" w:sz="8" w:space="0" w:color="auto"/>
            </w:tcBorders>
            <w:shd w:val="clear" w:color="auto" w:fill="FFFFCC"/>
            <w:vAlign w:val="center"/>
          </w:tcPr>
          <w:p w14:paraId="5F013DC2" w14:textId="20DBA149" w:rsidR="61549E7B" w:rsidRDefault="61549E7B">
            <w:r w:rsidRPr="61549E7B">
              <w:rPr>
                <w:rFonts w:ascii="Calibri" w:eastAsia="Calibri" w:hAnsi="Calibri" w:cs="Calibri"/>
                <w:color w:val="000000" w:themeColor="text1"/>
                <w:sz w:val="20"/>
                <w:szCs w:val="20"/>
              </w:rPr>
              <w:t xml:space="preserve"> $     8.962.902,00 </w:t>
            </w:r>
          </w:p>
        </w:tc>
      </w:tr>
      <w:tr w:rsidR="61549E7B" w14:paraId="2E5BE85D" w14:textId="77777777" w:rsidTr="00630506">
        <w:trPr>
          <w:trHeight w:val="300"/>
        </w:trPr>
        <w:tc>
          <w:tcPr>
            <w:tcW w:w="1200" w:type="dxa"/>
            <w:tcBorders>
              <w:top w:val="single" w:sz="4" w:space="0" w:color="808000"/>
              <w:left w:val="single" w:sz="4" w:space="0" w:color="808000"/>
              <w:bottom w:val="single" w:sz="4" w:space="0" w:color="808000"/>
              <w:right w:val="single" w:sz="4" w:space="0" w:color="808000"/>
            </w:tcBorders>
            <w:vAlign w:val="center"/>
          </w:tcPr>
          <w:p w14:paraId="142F789F" w14:textId="586DD6F5" w:rsidR="61549E7B" w:rsidRDefault="61549E7B">
            <w:r w:rsidRPr="61549E7B">
              <w:rPr>
                <w:rFonts w:ascii="Calibri" w:eastAsia="Calibri" w:hAnsi="Calibri" w:cs="Calibri"/>
                <w:color w:val="000000" w:themeColor="text1"/>
                <w:sz w:val="20"/>
                <w:szCs w:val="20"/>
              </w:rPr>
              <w:t>01-ene-17</w:t>
            </w:r>
          </w:p>
        </w:tc>
        <w:tc>
          <w:tcPr>
            <w:tcW w:w="1200" w:type="dxa"/>
            <w:tcBorders>
              <w:top w:val="single" w:sz="4" w:space="0" w:color="808000"/>
              <w:left w:val="single" w:sz="4" w:space="0" w:color="808000"/>
              <w:bottom w:val="single" w:sz="4" w:space="0" w:color="808000"/>
              <w:right w:val="nil"/>
            </w:tcBorders>
            <w:vAlign w:val="center"/>
          </w:tcPr>
          <w:p w14:paraId="605C2BE9" w14:textId="1129CC20" w:rsidR="61549E7B" w:rsidRDefault="61549E7B">
            <w:r w:rsidRPr="61549E7B">
              <w:rPr>
                <w:rFonts w:ascii="Calibri" w:eastAsia="Calibri" w:hAnsi="Calibri" w:cs="Calibri"/>
                <w:color w:val="000000" w:themeColor="text1"/>
                <w:sz w:val="20"/>
                <w:szCs w:val="20"/>
              </w:rPr>
              <w:t>31-dic-17</w:t>
            </w:r>
          </w:p>
        </w:tc>
        <w:tc>
          <w:tcPr>
            <w:tcW w:w="1200" w:type="dxa"/>
            <w:tcBorders>
              <w:top w:val="single" w:sz="4" w:space="0" w:color="auto"/>
              <w:left w:val="single" w:sz="4" w:space="0" w:color="auto"/>
              <w:bottom w:val="single" w:sz="4" w:space="0" w:color="auto"/>
              <w:right w:val="single" w:sz="4" w:space="0" w:color="auto"/>
            </w:tcBorders>
            <w:shd w:val="clear" w:color="auto" w:fill="FFFFCC"/>
            <w:vAlign w:val="bottom"/>
          </w:tcPr>
          <w:p w14:paraId="39A86C3B" w14:textId="3EAAE3F1" w:rsidR="61549E7B" w:rsidRDefault="61549E7B" w:rsidP="61549E7B">
            <w:pPr>
              <w:jc w:val="center"/>
            </w:pPr>
            <w:r w:rsidRPr="61549E7B">
              <w:rPr>
                <w:rFonts w:ascii="Calibri" w:eastAsia="Calibri" w:hAnsi="Calibri" w:cs="Calibri"/>
                <w:sz w:val="20"/>
                <w:szCs w:val="20"/>
              </w:rPr>
              <w:t xml:space="preserve">13  </w:t>
            </w:r>
          </w:p>
        </w:tc>
        <w:tc>
          <w:tcPr>
            <w:tcW w:w="1645" w:type="dxa"/>
            <w:tcBorders>
              <w:top w:val="single" w:sz="4" w:space="0" w:color="808000"/>
              <w:left w:val="single" w:sz="4" w:space="0" w:color="auto"/>
              <w:bottom w:val="single" w:sz="4" w:space="0" w:color="808000"/>
              <w:right w:val="single" w:sz="8" w:space="0" w:color="auto"/>
            </w:tcBorders>
            <w:shd w:val="clear" w:color="auto" w:fill="FFFFCC"/>
            <w:vAlign w:val="center"/>
          </w:tcPr>
          <w:p w14:paraId="22648AF1" w14:textId="60A6662C" w:rsidR="61549E7B" w:rsidRDefault="61549E7B">
            <w:r w:rsidRPr="61549E7B">
              <w:rPr>
                <w:rFonts w:ascii="Calibri" w:eastAsia="Calibri" w:hAnsi="Calibri" w:cs="Calibri"/>
                <w:color w:val="000000" w:themeColor="text1"/>
                <w:sz w:val="20"/>
                <w:szCs w:val="20"/>
              </w:rPr>
              <w:t xml:space="preserve"> $        737.717,00 </w:t>
            </w:r>
          </w:p>
        </w:tc>
        <w:tc>
          <w:tcPr>
            <w:tcW w:w="1565" w:type="dxa"/>
            <w:tcBorders>
              <w:top w:val="single" w:sz="4" w:space="0" w:color="808000"/>
              <w:left w:val="single" w:sz="4" w:space="0" w:color="808000"/>
              <w:bottom w:val="single" w:sz="4" w:space="0" w:color="808000"/>
              <w:right w:val="single" w:sz="8" w:space="0" w:color="auto"/>
            </w:tcBorders>
            <w:shd w:val="clear" w:color="auto" w:fill="FFFFCC"/>
            <w:vAlign w:val="center"/>
          </w:tcPr>
          <w:p w14:paraId="485167CD" w14:textId="1C0CAD3D" w:rsidR="61549E7B" w:rsidRDefault="61549E7B">
            <w:r w:rsidRPr="61549E7B">
              <w:rPr>
                <w:rFonts w:ascii="Calibri" w:eastAsia="Calibri" w:hAnsi="Calibri" w:cs="Calibri"/>
                <w:color w:val="000000" w:themeColor="text1"/>
                <w:sz w:val="20"/>
                <w:szCs w:val="20"/>
              </w:rPr>
              <w:t xml:space="preserve"> $     9.590.321,00 </w:t>
            </w:r>
          </w:p>
        </w:tc>
      </w:tr>
      <w:tr w:rsidR="61549E7B" w14:paraId="241BF71B" w14:textId="77777777" w:rsidTr="00630506">
        <w:trPr>
          <w:trHeight w:val="300"/>
        </w:trPr>
        <w:tc>
          <w:tcPr>
            <w:tcW w:w="1200" w:type="dxa"/>
            <w:tcBorders>
              <w:top w:val="single" w:sz="4" w:space="0" w:color="808000"/>
              <w:left w:val="single" w:sz="4" w:space="0" w:color="808000"/>
              <w:bottom w:val="single" w:sz="4" w:space="0" w:color="808000"/>
              <w:right w:val="single" w:sz="4" w:space="0" w:color="808000"/>
            </w:tcBorders>
            <w:vAlign w:val="center"/>
          </w:tcPr>
          <w:p w14:paraId="56DF2523" w14:textId="5F6492B8" w:rsidR="61549E7B" w:rsidRDefault="61549E7B">
            <w:r w:rsidRPr="61549E7B">
              <w:rPr>
                <w:rFonts w:ascii="Calibri" w:eastAsia="Calibri" w:hAnsi="Calibri" w:cs="Calibri"/>
                <w:color w:val="000000" w:themeColor="text1"/>
                <w:sz w:val="20"/>
                <w:szCs w:val="20"/>
              </w:rPr>
              <w:t>01-ene-18</w:t>
            </w:r>
          </w:p>
        </w:tc>
        <w:tc>
          <w:tcPr>
            <w:tcW w:w="1200" w:type="dxa"/>
            <w:tcBorders>
              <w:top w:val="single" w:sz="4" w:space="0" w:color="808000"/>
              <w:left w:val="single" w:sz="4" w:space="0" w:color="808000"/>
              <w:bottom w:val="single" w:sz="4" w:space="0" w:color="808000"/>
              <w:right w:val="nil"/>
            </w:tcBorders>
            <w:vAlign w:val="center"/>
          </w:tcPr>
          <w:p w14:paraId="0AB28F51" w14:textId="012FB418" w:rsidR="61549E7B" w:rsidRDefault="61549E7B">
            <w:r w:rsidRPr="61549E7B">
              <w:rPr>
                <w:rFonts w:ascii="Calibri" w:eastAsia="Calibri" w:hAnsi="Calibri" w:cs="Calibri"/>
                <w:color w:val="000000" w:themeColor="text1"/>
                <w:sz w:val="20"/>
                <w:szCs w:val="20"/>
              </w:rPr>
              <w:t>31-dic-18</w:t>
            </w:r>
          </w:p>
        </w:tc>
        <w:tc>
          <w:tcPr>
            <w:tcW w:w="1200" w:type="dxa"/>
            <w:tcBorders>
              <w:top w:val="single" w:sz="4" w:space="0" w:color="auto"/>
              <w:left w:val="single" w:sz="4" w:space="0" w:color="auto"/>
              <w:bottom w:val="single" w:sz="4" w:space="0" w:color="auto"/>
              <w:right w:val="single" w:sz="4" w:space="0" w:color="auto"/>
            </w:tcBorders>
            <w:shd w:val="clear" w:color="auto" w:fill="FFFFCC"/>
            <w:vAlign w:val="bottom"/>
          </w:tcPr>
          <w:p w14:paraId="33D18E87" w14:textId="077DD58A" w:rsidR="61549E7B" w:rsidRDefault="61549E7B" w:rsidP="61549E7B">
            <w:pPr>
              <w:jc w:val="center"/>
            </w:pPr>
            <w:r w:rsidRPr="61549E7B">
              <w:rPr>
                <w:rFonts w:ascii="Calibri" w:eastAsia="Calibri" w:hAnsi="Calibri" w:cs="Calibri"/>
                <w:sz w:val="20"/>
                <w:szCs w:val="20"/>
              </w:rPr>
              <w:t xml:space="preserve">13  </w:t>
            </w:r>
          </w:p>
        </w:tc>
        <w:tc>
          <w:tcPr>
            <w:tcW w:w="1645" w:type="dxa"/>
            <w:tcBorders>
              <w:top w:val="single" w:sz="4" w:space="0" w:color="808000"/>
              <w:left w:val="single" w:sz="4" w:space="0" w:color="auto"/>
              <w:bottom w:val="single" w:sz="4" w:space="0" w:color="808000"/>
              <w:right w:val="single" w:sz="8" w:space="0" w:color="auto"/>
            </w:tcBorders>
            <w:shd w:val="clear" w:color="auto" w:fill="FFFFCC"/>
            <w:vAlign w:val="center"/>
          </w:tcPr>
          <w:p w14:paraId="291FD8CE" w14:textId="611A71A3" w:rsidR="61549E7B" w:rsidRDefault="61549E7B">
            <w:r w:rsidRPr="61549E7B">
              <w:rPr>
                <w:rFonts w:ascii="Calibri" w:eastAsia="Calibri" w:hAnsi="Calibri" w:cs="Calibri"/>
                <w:color w:val="000000" w:themeColor="text1"/>
                <w:sz w:val="20"/>
                <w:szCs w:val="20"/>
              </w:rPr>
              <w:t xml:space="preserve"> $        781.242,00 </w:t>
            </w:r>
          </w:p>
        </w:tc>
        <w:tc>
          <w:tcPr>
            <w:tcW w:w="1565" w:type="dxa"/>
            <w:tcBorders>
              <w:top w:val="single" w:sz="4" w:space="0" w:color="808000"/>
              <w:left w:val="single" w:sz="4" w:space="0" w:color="808000"/>
              <w:bottom w:val="single" w:sz="4" w:space="0" w:color="808000"/>
              <w:right w:val="single" w:sz="8" w:space="0" w:color="auto"/>
            </w:tcBorders>
            <w:shd w:val="clear" w:color="auto" w:fill="FFFFCC"/>
            <w:vAlign w:val="center"/>
          </w:tcPr>
          <w:p w14:paraId="7EF1CF2A" w14:textId="73764590" w:rsidR="61549E7B" w:rsidRDefault="61549E7B">
            <w:r w:rsidRPr="61549E7B">
              <w:rPr>
                <w:rFonts w:ascii="Calibri" w:eastAsia="Calibri" w:hAnsi="Calibri" w:cs="Calibri"/>
                <w:color w:val="000000" w:themeColor="text1"/>
                <w:sz w:val="20"/>
                <w:szCs w:val="20"/>
              </w:rPr>
              <w:t xml:space="preserve"> $   10.156.146,00 </w:t>
            </w:r>
          </w:p>
        </w:tc>
      </w:tr>
      <w:tr w:rsidR="61549E7B" w14:paraId="5F1A24AA" w14:textId="77777777" w:rsidTr="00630506">
        <w:trPr>
          <w:trHeight w:val="300"/>
        </w:trPr>
        <w:tc>
          <w:tcPr>
            <w:tcW w:w="1200" w:type="dxa"/>
            <w:tcBorders>
              <w:top w:val="single" w:sz="4" w:space="0" w:color="808000"/>
              <w:left w:val="single" w:sz="4" w:space="0" w:color="808000"/>
              <w:bottom w:val="single" w:sz="4" w:space="0" w:color="808000"/>
              <w:right w:val="single" w:sz="4" w:space="0" w:color="808000"/>
            </w:tcBorders>
            <w:vAlign w:val="center"/>
          </w:tcPr>
          <w:p w14:paraId="3C453025" w14:textId="633B4EC3" w:rsidR="61549E7B" w:rsidRDefault="61549E7B">
            <w:r w:rsidRPr="61549E7B">
              <w:rPr>
                <w:rFonts w:ascii="Calibri" w:eastAsia="Calibri" w:hAnsi="Calibri" w:cs="Calibri"/>
                <w:color w:val="000000" w:themeColor="text1"/>
                <w:sz w:val="20"/>
                <w:szCs w:val="20"/>
              </w:rPr>
              <w:t>01-ene-19</w:t>
            </w:r>
          </w:p>
        </w:tc>
        <w:tc>
          <w:tcPr>
            <w:tcW w:w="1200" w:type="dxa"/>
            <w:tcBorders>
              <w:top w:val="single" w:sz="4" w:space="0" w:color="808000"/>
              <w:left w:val="single" w:sz="4" w:space="0" w:color="808000"/>
              <w:bottom w:val="single" w:sz="4" w:space="0" w:color="808000"/>
              <w:right w:val="nil"/>
            </w:tcBorders>
            <w:vAlign w:val="center"/>
          </w:tcPr>
          <w:p w14:paraId="1FE17A4A" w14:textId="54A8F9FA" w:rsidR="61549E7B" w:rsidRDefault="61549E7B">
            <w:r w:rsidRPr="61549E7B">
              <w:rPr>
                <w:rFonts w:ascii="Calibri" w:eastAsia="Calibri" w:hAnsi="Calibri" w:cs="Calibri"/>
                <w:color w:val="000000" w:themeColor="text1"/>
                <w:sz w:val="20"/>
                <w:szCs w:val="20"/>
              </w:rPr>
              <w:t>31-dic-19</w:t>
            </w:r>
          </w:p>
        </w:tc>
        <w:tc>
          <w:tcPr>
            <w:tcW w:w="1200" w:type="dxa"/>
            <w:tcBorders>
              <w:top w:val="single" w:sz="4" w:space="0" w:color="auto"/>
              <w:left w:val="single" w:sz="4" w:space="0" w:color="auto"/>
              <w:bottom w:val="single" w:sz="4" w:space="0" w:color="auto"/>
              <w:right w:val="single" w:sz="4" w:space="0" w:color="auto"/>
            </w:tcBorders>
            <w:shd w:val="clear" w:color="auto" w:fill="FFFFCC"/>
            <w:vAlign w:val="bottom"/>
          </w:tcPr>
          <w:p w14:paraId="01EFC2B6" w14:textId="2216A520" w:rsidR="61549E7B" w:rsidRDefault="61549E7B" w:rsidP="61549E7B">
            <w:pPr>
              <w:jc w:val="center"/>
            </w:pPr>
            <w:r w:rsidRPr="61549E7B">
              <w:rPr>
                <w:rFonts w:ascii="Calibri" w:eastAsia="Calibri" w:hAnsi="Calibri" w:cs="Calibri"/>
                <w:sz w:val="20"/>
                <w:szCs w:val="20"/>
              </w:rPr>
              <w:t xml:space="preserve">13  </w:t>
            </w:r>
          </w:p>
        </w:tc>
        <w:tc>
          <w:tcPr>
            <w:tcW w:w="1645" w:type="dxa"/>
            <w:tcBorders>
              <w:top w:val="single" w:sz="4" w:space="0" w:color="808000"/>
              <w:left w:val="single" w:sz="4" w:space="0" w:color="auto"/>
              <w:bottom w:val="single" w:sz="4" w:space="0" w:color="808000"/>
              <w:right w:val="single" w:sz="8" w:space="0" w:color="auto"/>
            </w:tcBorders>
            <w:shd w:val="clear" w:color="auto" w:fill="FFFFCC"/>
            <w:vAlign w:val="center"/>
          </w:tcPr>
          <w:p w14:paraId="549C5821" w14:textId="5DD974BA" w:rsidR="61549E7B" w:rsidRDefault="61549E7B">
            <w:r w:rsidRPr="61549E7B">
              <w:rPr>
                <w:rFonts w:ascii="Calibri" w:eastAsia="Calibri" w:hAnsi="Calibri" w:cs="Calibri"/>
                <w:color w:val="000000" w:themeColor="text1"/>
                <w:sz w:val="20"/>
                <w:szCs w:val="20"/>
              </w:rPr>
              <w:t xml:space="preserve"> $        828.116,00 </w:t>
            </w:r>
          </w:p>
        </w:tc>
        <w:tc>
          <w:tcPr>
            <w:tcW w:w="1565" w:type="dxa"/>
            <w:tcBorders>
              <w:top w:val="single" w:sz="4" w:space="0" w:color="808000"/>
              <w:left w:val="single" w:sz="4" w:space="0" w:color="808000"/>
              <w:bottom w:val="single" w:sz="4" w:space="0" w:color="808000"/>
              <w:right w:val="single" w:sz="8" w:space="0" w:color="auto"/>
            </w:tcBorders>
            <w:shd w:val="clear" w:color="auto" w:fill="FFFFCC"/>
            <w:vAlign w:val="center"/>
          </w:tcPr>
          <w:p w14:paraId="6EC09AB9" w14:textId="4539878D" w:rsidR="61549E7B" w:rsidRDefault="61549E7B">
            <w:r w:rsidRPr="61549E7B">
              <w:rPr>
                <w:rFonts w:ascii="Calibri" w:eastAsia="Calibri" w:hAnsi="Calibri" w:cs="Calibri"/>
                <w:color w:val="000000" w:themeColor="text1"/>
                <w:sz w:val="20"/>
                <w:szCs w:val="20"/>
              </w:rPr>
              <w:t xml:space="preserve"> $   10.765.508,00 </w:t>
            </w:r>
          </w:p>
        </w:tc>
      </w:tr>
      <w:tr w:rsidR="61549E7B" w14:paraId="0D5F56ED" w14:textId="77777777" w:rsidTr="00630506">
        <w:trPr>
          <w:trHeight w:val="300"/>
        </w:trPr>
        <w:tc>
          <w:tcPr>
            <w:tcW w:w="1200" w:type="dxa"/>
            <w:tcBorders>
              <w:top w:val="single" w:sz="4" w:space="0" w:color="808000"/>
              <w:left w:val="nil"/>
              <w:bottom w:val="nil"/>
              <w:right w:val="nil"/>
            </w:tcBorders>
            <w:vAlign w:val="center"/>
          </w:tcPr>
          <w:p w14:paraId="4FA76B6F" w14:textId="78F75692" w:rsidR="61549E7B" w:rsidRDefault="61549E7B">
            <w:r w:rsidRPr="61549E7B">
              <w:rPr>
                <w:rFonts w:ascii="Calibri" w:eastAsia="Calibri" w:hAnsi="Calibri" w:cs="Calibri"/>
                <w:color w:val="000000" w:themeColor="text1"/>
                <w:sz w:val="20"/>
                <w:szCs w:val="20"/>
              </w:rPr>
              <w:t>01-ene-20</w:t>
            </w:r>
          </w:p>
        </w:tc>
        <w:tc>
          <w:tcPr>
            <w:tcW w:w="1200" w:type="dxa"/>
            <w:tcBorders>
              <w:top w:val="single" w:sz="4" w:space="0" w:color="808000"/>
              <w:left w:val="nil"/>
              <w:bottom w:val="nil"/>
              <w:right w:val="nil"/>
            </w:tcBorders>
            <w:vAlign w:val="center"/>
          </w:tcPr>
          <w:p w14:paraId="18B2B768" w14:textId="49EBD875" w:rsidR="61549E7B" w:rsidRDefault="61549E7B">
            <w:r w:rsidRPr="61549E7B">
              <w:rPr>
                <w:rFonts w:ascii="Calibri" w:eastAsia="Calibri" w:hAnsi="Calibri" w:cs="Calibri"/>
                <w:color w:val="000000" w:themeColor="text1"/>
                <w:sz w:val="20"/>
                <w:szCs w:val="20"/>
              </w:rPr>
              <w:t>30-sep-20</w:t>
            </w:r>
          </w:p>
        </w:tc>
        <w:tc>
          <w:tcPr>
            <w:tcW w:w="1200" w:type="dxa"/>
            <w:tcBorders>
              <w:top w:val="single" w:sz="4" w:space="0" w:color="auto"/>
              <w:left w:val="single" w:sz="4" w:space="0" w:color="auto"/>
              <w:bottom w:val="single" w:sz="4" w:space="0" w:color="auto"/>
              <w:right w:val="single" w:sz="4" w:space="0" w:color="auto"/>
            </w:tcBorders>
            <w:shd w:val="clear" w:color="auto" w:fill="FFFFCC"/>
            <w:vAlign w:val="bottom"/>
          </w:tcPr>
          <w:p w14:paraId="56DF488A" w14:textId="6F6AC620" w:rsidR="61549E7B" w:rsidRDefault="61549E7B" w:rsidP="61549E7B">
            <w:pPr>
              <w:jc w:val="center"/>
            </w:pPr>
            <w:r w:rsidRPr="61549E7B">
              <w:rPr>
                <w:rFonts w:ascii="Calibri" w:eastAsia="Calibri" w:hAnsi="Calibri" w:cs="Calibri"/>
                <w:sz w:val="20"/>
                <w:szCs w:val="20"/>
              </w:rPr>
              <w:t xml:space="preserve">13  </w:t>
            </w:r>
          </w:p>
        </w:tc>
        <w:tc>
          <w:tcPr>
            <w:tcW w:w="1645" w:type="dxa"/>
            <w:tcBorders>
              <w:top w:val="single" w:sz="4" w:space="0" w:color="808000"/>
              <w:left w:val="single" w:sz="4" w:space="0" w:color="auto"/>
              <w:bottom w:val="nil"/>
              <w:right w:val="single" w:sz="8" w:space="0" w:color="auto"/>
            </w:tcBorders>
            <w:shd w:val="clear" w:color="auto" w:fill="FFFFCC"/>
            <w:vAlign w:val="center"/>
          </w:tcPr>
          <w:p w14:paraId="363BCE6C" w14:textId="7FB0EFB1" w:rsidR="61549E7B" w:rsidRDefault="61549E7B">
            <w:r w:rsidRPr="61549E7B">
              <w:rPr>
                <w:rFonts w:ascii="Calibri" w:eastAsia="Calibri" w:hAnsi="Calibri" w:cs="Calibri"/>
                <w:color w:val="000000" w:themeColor="text1"/>
                <w:sz w:val="20"/>
                <w:szCs w:val="20"/>
              </w:rPr>
              <w:t xml:space="preserve"> $        877.803,00 </w:t>
            </w:r>
          </w:p>
        </w:tc>
        <w:tc>
          <w:tcPr>
            <w:tcW w:w="1565" w:type="dxa"/>
            <w:tcBorders>
              <w:top w:val="single" w:sz="4" w:space="0" w:color="808000"/>
              <w:left w:val="single" w:sz="4" w:space="0" w:color="808000"/>
              <w:bottom w:val="single" w:sz="4" w:space="0" w:color="808000"/>
              <w:right w:val="single" w:sz="8" w:space="0" w:color="auto"/>
            </w:tcBorders>
            <w:shd w:val="clear" w:color="auto" w:fill="FFFFCC"/>
            <w:vAlign w:val="center"/>
          </w:tcPr>
          <w:p w14:paraId="171CE094" w14:textId="1120EB01" w:rsidR="61549E7B" w:rsidRDefault="61549E7B">
            <w:r w:rsidRPr="61549E7B">
              <w:rPr>
                <w:rFonts w:ascii="Calibri" w:eastAsia="Calibri" w:hAnsi="Calibri" w:cs="Calibri"/>
                <w:color w:val="000000" w:themeColor="text1"/>
                <w:sz w:val="20"/>
                <w:szCs w:val="20"/>
              </w:rPr>
              <w:t xml:space="preserve"> $   11.411.439,00 </w:t>
            </w:r>
          </w:p>
        </w:tc>
      </w:tr>
      <w:tr w:rsidR="61549E7B" w14:paraId="76CACE49" w14:textId="77777777" w:rsidTr="00630506">
        <w:trPr>
          <w:trHeight w:val="315"/>
        </w:trPr>
        <w:tc>
          <w:tcPr>
            <w:tcW w:w="1200" w:type="dxa"/>
            <w:tcBorders>
              <w:top w:val="nil"/>
              <w:left w:val="nil"/>
              <w:bottom w:val="nil"/>
              <w:right w:val="nil"/>
            </w:tcBorders>
            <w:vAlign w:val="center"/>
          </w:tcPr>
          <w:p w14:paraId="50C79189" w14:textId="595CAD6F" w:rsidR="61549E7B" w:rsidRDefault="61549E7B">
            <w:r w:rsidRPr="61549E7B">
              <w:rPr>
                <w:rFonts w:ascii="Calibri" w:eastAsia="Calibri" w:hAnsi="Calibri" w:cs="Calibri"/>
                <w:color w:val="000000" w:themeColor="text1"/>
                <w:sz w:val="20"/>
                <w:szCs w:val="20"/>
              </w:rPr>
              <w:t>01-ene-21</w:t>
            </w:r>
          </w:p>
        </w:tc>
        <w:tc>
          <w:tcPr>
            <w:tcW w:w="1200" w:type="dxa"/>
            <w:tcBorders>
              <w:top w:val="nil"/>
              <w:left w:val="nil"/>
              <w:bottom w:val="nil"/>
              <w:right w:val="nil"/>
            </w:tcBorders>
            <w:vAlign w:val="center"/>
          </w:tcPr>
          <w:p w14:paraId="5F62476D" w14:textId="1B750AF9" w:rsidR="61549E7B" w:rsidRDefault="61549E7B">
            <w:r w:rsidRPr="61549E7B">
              <w:rPr>
                <w:rFonts w:ascii="Calibri" w:eastAsia="Calibri" w:hAnsi="Calibri" w:cs="Calibri"/>
                <w:color w:val="000000" w:themeColor="text1"/>
                <w:sz w:val="20"/>
                <w:szCs w:val="20"/>
              </w:rPr>
              <w:t>31-may-21</w:t>
            </w:r>
          </w:p>
        </w:tc>
        <w:tc>
          <w:tcPr>
            <w:tcW w:w="1200" w:type="dxa"/>
            <w:tcBorders>
              <w:top w:val="single" w:sz="4" w:space="0" w:color="auto"/>
              <w:left w:val="single" w:sz="4" w:space="0" w:color="auto"/>
              <w:bottom w:val="single" w:sz="4" w:space="0" w:color="auto"/>
              <w:right w:val="single" w:sz="4" w:space="0" w:color="auto"/>
            </w:tcBorders>
            <w:shd w:val="clear" w:color="auto" w:fill="FFFFCC"/>
            <w:vAlign w:val="bottom"/>
          </w:tcPr>
          <w:p w14:paraId="0884457F" w14:textId="6A48FD34" w:rsidR="61549E7B" w:rsidRDefault="61549E7B" w:rsidP="61549E7B">
            <w:pPr>
              <w:jc w:val="center"/>
            </w:pPr>
            <w:r w:rsidRPr="61549E7B">
              <w:rPr>
                <w:rFonts w:ascii="Calibri" w:eastAsia="Calibri" w:hAnsi="Calibri" w:cs="Calibri"/>
                <w:sz w:val="20"/>
                <w:szCs w:val="20"/>
              </w:rPr>
              <w:t xml:space="preserve">5,00  </w:t>
            </w:r>
          </w:p>
        </w:tc>
        <w:tc>
          <w:tcPr>
            <w:tcW w:w="1645" w:type="dxa"/>
            <w:tcBorders>
              <w:top w:val="nil"/>
              <w:left w:val="single" w:sz="4" w:space="0" w:color="auto"/>
              <w:bottom w:val="nil"/>
              <w:right w:val="single" w:sz="8" w:space="0" w:color="auto"/>
            </w:tcBorders>
            <w:shd w:val="clear" w:color="auto" w:fill="FFFFCC"/>
            <w:vAlign w:val="center"/>
          </w:tcPr>
          <w:p w14:paraId="7E9CA98D" w14:textId="02373555" w:rsidR="61549E7B" w:rsidRDefault="61549E7B">
            <w:r w:rsidRPr="61549E7B">
              <w:rPr>
                <w:rFonts w:ascii="Calibri" w:eastAsia="Calibri" w:hAnsi="Calibri" w:cs="Calibri"/>
                <w:color w:val="000000" w:themeColor="text1"/>
                <w:sz w:val="20"/>
                <w:szCs w:val="20"/>
              </w:rPr>
              <w:t xml:space="preserve"> $        908.526,00 </w:t>
            </w:r>
          </w:p>
        </w:tc>
        <w:tc>
          <w:tcPr>
            <w:tcW w:w="1565" w:type="dxa"/>
            <w:tcBorders>
              <w:top w:val="single" w:sz="4" w:space="0" w:color="808000"/>
              <w:left w:val="single" w:sz="4" w:space="0" w:color="808000"/>
              <w:bottom w:val="single" w:sz="4" w:space="0" w:color="808000"/>
              <w:right w:val="single" w:sz="8" w:space="0" w:color="auto"/>
            </w:tcBorders>
            <w:shd w:val="clear" w:color="auto" w:fill="FFFFCC"/>
            <w:vAlign w:val="center"/>
          </w:tcPr>
          <w:p w14:paraId="6FCA49B7" w14:textId="3CEEE288" w:rsidR="61549E7B" w:rsidRDefault="61549E7B">
            <w:r w:rsidRPr="61549E7B">
              <w:rPr>
                <w:rFonts w:ascii="Calibri" w:eastAsia="Calibri" w:hAnsi="Calibri" w:cs="Calibri"/>
                <w:color w:val="000000" w:themeColor="text1"/>
                <w:sz w:val="20"/>
                <w:szCs w:val="20"/>
              </w:rPr>
              <w:t xml:space="preserve"> $     4.542.630,00 </w:t>
            </w:r>
          </w:p>
        </w:tc>
      </w:tr>
      <w:tr w:rsidR="61549E7B" w14:paraId="0C954DEE" w14:textId="77777777" w:rsidTr="00630506">
        <w:trPr>
          <w:trHeight w:val="660"/>
        </w:trPr>
        <w:tc>
          <w:tcPr>
            <w:tcW w:w="5245" w:type="dxa"/>
            <w:gridSpan w:val="4"/>
            <w:tcBorders>
              <w:top w:val="single" w:sz="8" w:space="0" w:color="auto"/>
              <w:left w:val="nil"/>
              <w:bottom w:val="single" w:sz="8" w:space="0" w:color="auto"/>
              <w:right w:val="nil"/>
            </w:tcBorders>
            <w:shd w:val="clear" w:color="auto" w:fill="FFFF99"/>
            <w:vAlign w:val="center"/>
          </w:tcPr>
          <w:p w14:paraId="692EAFB5" w14:textId="5160C2E6" w:rsidR="61549E7B" w:rsidRDefault="61549E7B" w:rsidP="61549E7B">
            <w:pPr>
              <w:jc w:val="center"/>
            </w:pPr>
            <w:r w:rsidRPr="61549E7B">
              <w:rPr>
                <w:rFonts w:ascii="Calibri" w:eastAsia="Calibri" w:hAnsi="Calibri" w:cs="Calibri"/>
                <w:b/>
                <w:bCs/>
                <w:sz w:val="20"/>
                <w:szCs w:val="20"/>
              </w:rPr>
              <w:t xml:space="preserve"> RETROACTIVO PENSIONAL DESDE 8 DE NOVIEMBRE DE 2015 HASTA EL 31 DE MAYO DE 2021 </w:t>
            </w:r>
          </w:p>
        </w:tc>
        <w:tc>
          <w:tcPr>
            <w:tcW w:w="1565" w:type="dxa"/>
            <w:tcBorders>
              <w:top w:val="single" w:sz="8" w:space="0" w:color="auto"/>
              <w:left w:val="single" w:sz="4" w:space="0" w:color="003366"/>
              <w:bottom w:val="single" w:sz="8" w:space="0" w:color="auto"/>
              <w:right w:val="single" w:sz="8" w:space="0" w:color="auto"/>
            </w:tcBorders>
            <w:shd w:val="clear" w:color="auto" w:fill="FFFF99"/>
            <w:vAlign w:val="center"/>
          </w:tcPr>
          <w:p w14:paraId="27449BC2" w14:textId="0707848E" w:rsidR="61549E7B" w:rsidRDefault="61549E7B" w:rsidP="61549E7B">
            <w:pPr>
              <w:jc w:val="center"/>
            </w:pPr>
            <w:r w:rsidRPr="61549E7B">
              <w:rPr>
                <w:rFonts w:ascii="Calibri" w:eastAsia="Calibri" w:hAnsi="Calibri" w:cs="Calibri"/>
                <w:b/>
                <w:bCs/>
              </w:rPr>
              <w:t xml:space="preserve"> $   57.188.022</w:t>
            </w:r>
          </w:p>
        </w:tc>
      </w:tr>
    </w:tbl>
    <w:p w14:paraId="7B4D8B0D" w14:textId="77777777" w:rsidR="00036862" w:rsidRPr="005171E3" w:rsidRDefault="00036862" w:rsidP="00017121">
      <w:pPr>
        <w:widowControl w:val="0"/>
        <w:autoSpaceDE w:val="0"/>
        <w:autoSpaceDN w:val="0"/>
        <w:adjustRightInd w:val="0"/>
        <w:spacing w:line="360" w:lineRule="auto"/>
        <w:jc w:val="both"/>
        <w:rPr>
          <w:rFonts w:ascii="Tahoma" w:hAnsi="Tahoma" w:cs="Tahoma"/>
          <w:sz w:val="22"/>
          <w:szCs w:val="22"/>
        </w:rPr>
      </w:pPr>
    </w:p>
    <w:sectPr w:rsidR="00036862" w:rsidRPr="005171E3" w:rsidSect="001C52C0">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1D2ED9" w16cex:dateUtc="2021-06-04T20:04:25.939Z"/>
  <w16cex:commentExtensible w16cex:durableId="2F9EA724" w16cex:dateUtc="2021-06-09T14:54:28.1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8ED7" w14:textId="77777777" w:rsidR="001C109E" w:rsidRDefault="001C109E">
      <w:r>
        <w:separator/>
      </w:r>
    </w:p>
  </w:endnote>
  <w:endnote w:type="continuationSeparator" w:id="0">
    <w:p w14:paraId="5CC5EB0F" w14:textId="77777777" w:rsidR="001C109E" w:rsidRDefault="001C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07A9" w14:textId="77777777" w:rsidR="00072C68" w:rsidRDefault="00072C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EF4C4D" w:rsidRPr="00072C68" w:rsidRDefault="00EF4C4D">
    <w:pPr>
      <w:pStyle w:val="Piedepgina"/>
      <w:jc w:val="right"/>
      <w:rPr>
        <w:rFonts w:ascii="Arial" w:hAnsi="Arial" w:cs="Arial"/>
        <w:sz w:val="18"/>
      </w:rPr>
    </w:pPr>
    <w:r w:rsidRPr="00072C68">
      <w:rPr>
        <w:rFonts w:ascii="Arial" w:hAnsi="Arial" w:cs="Arial"/>
        <w:sz w:val="18"/>
      </w:rPr>
      <w:fldChar w:fldCharType="begin"/>
    </w:r>
    <w:r w:rsidRPr="00072C68">
      <w:rPr>
        <w:rFonts w:ascii="Arial" w:hAnsi="Arial" w:cs="Arial"/>
        <w:sz w:val="18"/>
      </w:rPr>
      <w:instrText>PAGE   \* MERGEFORMAT</w:instrText>
    </w:r>
    <w:r w:rsidRPr="00072C68">
      <w:rPr>
        <w:rFonts w:ascii="Arial" w:hAnsi="Arial" w:cs="Arial"/>
        <w:sz w:val="18"/>
      </w:rPr>
      <w:fldChar w:fldCharType="separate"/>
    </w:r>
    <w:r w:rsidRPr="00072C68">
      <w:rPr>
        <w:rFonts w:ascii="Arial" w:hAnsi="Arial" w:cs="Arial"/>
        <w:noProof/>
        <w:sz w:val="18"/>
      </w:rPr>
      <w:t>2</w:t>
    </w:r>
    <w:r w:rsidRPr="00072C68">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4D67" w14:textId="77777777" w:rsidR="00EF4C4D" w:rsidRDefault="00EF4C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159D" w14:textId="77777777" w:rsidR="001C109E" w:rsidRDefault="001C109E">
      <w:r>
        <w:separator/>
      </w:r>
    </w:p>
  </w:footnote>
  <w:footnote w:type="continuationSeparator" w:id="0">
    <w:p w14:paraId="7508A40E" w14:textId="77777777" w:rsidR="001C109E" w:rsidRDefault="001C109E">
      <w:r>
        <w:continuationSeparator/>
      </w:r>
    </w:p>
  </w:footnote>
  <w:footnote w:id="1">
    <w:p w14:paraId="03C20244" w14:textId="77777777" w:rsidR="0DB63850" w:rsidRDefault="0DB63850" w:rsidP="0DB63850">
      <w:pPr>
        <w:pStyle w:val="Textonotapie"/>
        <w:rPr>
          <w:sz w:val="18"/>
          <w:szCs w:val="18"/>
        </w:rPr>
      </w:pPr>
      <w:r w:rsidRPr="0DB63850">
        <w:rPr>
          <w:rStyle w:val="Refdenotaalpie"/>
          <w:sz w:val="18"/>
          <w:szCs w:val="18"/>
        </w:rPr>
        <w:footnoteRef/>
      </w:r>
      <w:r w:rsidRPr="0DB63850">
        <w:rPr>
          <w:sz w:val="18"/>
          <w:szCs w:val="18"/>
        </w:rPr>
        <w:t xml:space="preserve"> Por ejemplo, según el Reporte de semanas cotizadas en pensiones del 29 de abril de 2015 -emanado de Colpensiones-, el Sr. José Julián Rojas Sánchez contaba con las siguientes semanas: 55,71; 8,57; 31; 26,57; 96,71; 30,43; 21,14; 23,43 y 7,43.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EF4C4D" w:rsidRDefault="00EF4C4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EF4C4D" w:rsidRDefault="00EF4C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B8F6" w14:textId="1D30CC10" w:rsidR="00CD77D3" w:rsidRPr="00072C68" w:rsidRDefault="00CD77D3" w:rsidP="0064273D">
    <w:pPr>
      <w:pStyle w:val="Ttulo"/>
      <w:spacing w:line="240" w:lineRule="auto"/>
      <w:jc w:val="both"/>
      <w:rPr>
        <w:b w:val="0"/>
        <w:sz w:val="18"/>
        <w:szCs w:val="16"/>
      </w:rPr>
    </w:pPr>
    <w:r w:rsidRPr="00072C68">
      <w:rPr>
        <w:b w:val="0"/>
        <w:sz w:val="18"/>
        <w:szCs w:val="16"/>
      </w:rPr>
      <w:t>Radicación No.: 66001-31-05-005-2018-00413-01</w:t>
    </w:r>
  </w:p>
  <w:p w14:paraId="220FD820" w14:textId="7CE8D782" w:rsidR="00CD77D3" w:rsidRPr="00072C68" w:rsidRDefault="00CD77D3" w:rsidP="0064273D">
    <w:pPr>
      <w:pStyle w:val="Ttulo"/>
      <w:spacing w:line="240" w:lineRule="auto"/>
      <w:jc w:val="both"/>
      <w:rPr>
        <w:b w:val="0"/>
        <w:sz w:val="18"/>
        <w:szCs w:val="16"/>
      </w:rPr>
    </w:pPr>
    <w:r w:rsidRPr="00072C68">
      <w:rPr>
        <w:b w:val="0"/>
        <w:sz w:val="18"/>
        <w:szCs w:val="16"/>
      </w:rPr>
      <w:t xml:space="preserve">Demandante: Yolanda Durán de Cepeda </w:t>
    </w:r>
  </w:p>
  <w:p w14:paraId="61D43643" w14:textId="4151411B" w:rsidR="000B584D" w:rsidRPr="00072C68" w:rsidRDefault="00CD77D3" w:rsidP="0064273D">
    <w:pPr>
      <w:pStyle w:val="Ttulo"/>
      <w:spacing w:line="240" w:lineRule="auto"/>
      <w:jc w:val="both"/>
      <w:rPr>
        <w:b w:val="0"/>
        <w:sz w:val="18"/>
        <w:szCs w:val="16"/>
      </w:rPr>
    </w:pPr>
    <w:r w:rsidRPr="00072C68">
      <w:rPr>
        <w:b w:val="0"/>
        <w:sz w:val="18"/>
        <w:szCs w:val="16"/>
      </w:rPr>
      <w:t>Demandado: Colpensiones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B30F" w14:textId="77777777" w:rsidR="00072C68" w:rsidRDefault="00072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61EAAAC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58175E"/>
    <w:multiLevelType w:val="multilevel"/>
    <w:tmpl w:val="49DCD04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8A13F83"/>
    <w:multiLevelType w:val="multilevel"/>
    <w:tmpl w:val="49DCD04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7C"/>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17121"/>
    <w:rsid w:val="00017587"/>
    <w:rsid w:val="000207D2"/>
    <w:rsid w:val="00020B62"/>
    <w:rsid w:val="00020EAD"/>
    <w:rsid w:val="00021B46"/>
    <w:rsid w:val="000222F2"/>
    <w:rsid w:val="000228BF"/>
    <w:rsid w:val="00022A5C"/>
    <w:rsid w:val="0002387D"/>
    <w:rsid w:val="0002448C"/>
    <w:rsid w:val="0002458E"/>
    <w:rsid w:val="00024CAC"/>
    <w:rsid w:val="00025895"/>
    <w:rsid w:val="00026905"/>
    <w:rsid w:val="000269CA"/>
    <w:rsid w:val="000271CA"/>
    <w:rsid w:val="000277BB"/>
    <w:rsid w:val="00027E37"/>
    <w:rsid w:val="00034703"/>
    <w:rsid w:val="000353AF"/>
    <w:rsid w:val="000355F6"/>
    <w:rsid w:val="00035929"/>
    <w:rsid w:val="00035BF4"/>
    <w:rsid w:val="00035D3A"/>
    <w:rsid w:val="000360E7"/>
    <w:rsid w:val="00036862"/>
    <w:rsid w:val="00036C06"/>
    <w:rsid w:val="00036EDF"/>
    <w:rsid w:val="00036EF2"/>
    <w:rsid w:val="00037530"/>
    <w:rsid w:val="00037AF3"/>
    <w:rsid w:val="00037FB7"/>
    <w:rsid w:val="000400DC"/>
    <w:rsid w:val="000416BD"/>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293"/>
    <w:rsid w:val="0004798C"/>
    <w:rsid w:val="000502A9"/>
    <w:rsid w:val="00050B8B"/>
    <w:rsid w:val="000516FA"/>
    <w:rsid w:val="000526DE"/>
    <w:rsid w:val="0005299F"/>
    <w:rsid w:val="00053381"/>
    <w:rsid w:val="00053767"/>
    <w:rsid w:val="000539D9"/>
    <w:rsid w:val="00053B35"/>
    <w:rsid w:val="00053BBC"/>
    <w:rsid w:val="00054180"/>
    <w:rsid w:val="000559AD"/>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2C68"/>
    <w:rsid w:val="00073AD8"/>
    <w:rsid w:val="00073CDD"/>
    <w:rsid w:val="00074717"/>
    <w:rsid w:val="000755E0"/>
    <w:rsid w:val="000758C9"/>
    <w:rsid w:val="00075CDE"/>
    <w:rsid w:val="000768A1"/>
    <w:rsid w:val="00076CCC"/>
    <w:rsid w:val="000770E2"/>
    <w:rsid w:val="00077395"/>
    <w:rsid w:val="000804F3"/>
    <w:rsid w:val="00080A28"/>
    <w:rsid w:val="0008113C"/>
    <w:rsid w:val="0008130E"/>
    <w:rsid w:val="000815B8"/>
    <w:rsid w:val="000816D0"/>
    <w:rsid w:val="00081EC2"/>
    <w:rsid w:val="000821A3"/>
    <w:rsid w:val="00082836"/>
    <w:rsid w:val="00082F11"/>
    <w:rsid w:val="000834E1"/>
    <w:rsid w:val="00084F5B"/>
    <w:rsid w:val="00085416"/>
    <w:rsid w:val="00085865"/>
    <w:rsid w:val="00085A34"/>
    <w:rsid w:val="00085F79"/>
    <w:rsid w:val="00086703"/>
    <w:rsid w:val="0008679A"/>
    <w:rsid w:val="00087119"/>
    <w:rsid w:val="00087799"/>
    <w:rsid w:val="00087FDF"/>
    <w:rsid w:val="00090314"/>
    <w:rsid w:val="00090391"/>
    <w:rsid w:val="000905DA"/>
    <w:rsid w:val="00090A38"/>
    <w:rsid w:val="00090C03"/>
    <w:rsid w:val="000910A9"/>
    <w:rsid w:val="00091B1C"/>
    <w:rsid w:val="00091C87"/>
    <w:rsid w:val="00092999"/>
    <w:rsid w:val="00093385"/>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3F4"/>
    <w:rsid w:val="000A247D"/>
    <w:rsid w:val="000A29E4"/>
    <w:rsid w:val="000A2A67"/>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584D"/>
    <w:rsid w:val="000B5893"/>
    <w:rsid w:val="000B7C76"/>
    <w:rsid w:val="000B7F7C"/>
    <w:rsid w:val="000C032A"/>
    <w:rsid w:val="000C0395"/>
    <w:rsid w:val="000C06B6"/>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15DB"/>
    <w:rsid w:val="000D2236"/>
    <w:rsid w:val="000D2CA2"/>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710"/>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0FC7"/>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2B1"/>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04C"/>
    <w:rsid w:val="0017736B"/>
    <w:rsid w:val="001807B2"/>
    <w:rsid w:val="00180C70"/>
    <w:rsid w:val="0018136A"/>
    <w:rsid w:val="001822DF"/>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29D2"/>
    <w:rsid w:val="001B3CDE"/>
    <w:rsid w:val="001B3E4E"/>
    <w:rsid w:val="001B3F8C"/>
    <w:rsid w:val="001B409C"/>
    <w:rsid w:val="001B4C7E"/>
    <w:rsid w:val="001B4E47"/>
    <w:rsid w:val="001B50A0"/>
    <w:rsid w:val="001B5F3A"/>
    <w:rsid w:val="001B6E90"/>
    <w:rsid w:val="001B76BD"/>
    <w:rsid w:val="001C03A9"/>
    <w:rsid w:val="001C109E"/>
    <w:rsid w:val="001C14EA"/>
    <w:rsid w:val="001C1CDC"/>
    <w:rsid w:val="001C2224"/>
    <w:rsid w:val="001C264B"/>
    <w:rsid w:val="001C2DB5"/>
    <w:rsid w:val="001C4178"/>
    <w:rsid w:val="001C4293"/>
    <w:rsid w:val="001C46CD"/>
    <w:rsid w:val="001C4719"/>
    <w:rsid w:val="001C4780"/>
    <w:rsid w:val="001C512A"/>
    <w:rsid w:val="001C52C0"/>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8A2"/>
    <w:rsid w:val="00201DEE"/>
    <w:rsid w:val="0020257E"/>
    <w:rsid w:val="00202E74"/>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5D"/>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0DE"/>
    <w:rsid w:val="00231133"/>
    <w:rsid w:val="002314B7"/>
    <w:rsid w:val="00232CB8"/>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4A5"/>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16D0"/>
    <w:rsid w:val="00262666"/>
    <w:rsid w:val="00262975"/>
    <w:rsid w:val="00262E0F"/>
    <w:rsid w:val="00264334"/>
    <w:rsid w:val="0026434F"/>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BBC"/>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7F3"/>
    <w:rsid w:val="00297E38"/>
    <w:rsid w:val="002A07BE"/>
    <w:rsid w:val="002A0AB1"/>
    <w:rsid w:val="002A1141"/>
    <w:rsid w:val="002A2734"/>
    <w:rsid w:val="002A2825"/>
    <w:rsid w:val="002A2B23"/>
    <w:rsid w:val="002A2CD2"/>
    <w:rsid w:val="002A47DA"/>
    <w:rsid w:val="002A5055"/>
    <w:rsid w:val="002A5DD4"/>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17AD"/>
    <w:rsid w:val="002C1AFA"/>
    <w:rsid w:val="002C25E0"/>
    <w:rsid w:val="002C2A7C"/>
    <w:rsid w:val="002C31C2"/>
    <w:rsid w:val="002C363A"/>
    <w:rsid w:val="002C37DF"/>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64E9"/>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ED9"/>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108"/>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1D3"/>
    <w:rsid w:val="003725CC"/>
    <w:rsid w:val="00372D28"/>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5C0B"/>
    <w:rsid w:val="0038616C"/>
    <w:rsid w:val="00386E56"/>
    <w:rsid w:val="00386EC9"/>
    <w:rsid w:val="003870B2"/>
    <w:rsid w:val="0038728F"/>
    <w:rsid w:val="00387D04"/>
    <w:rsid w:val="00387EB2"/>
    <w:rsid w:val="00390A35"/>
    <w:rsid w:val="003913BF"/>
    <w:rsid w:val="00391F0D"/>
    <w:rsid w:val="003921C9"/>
    <w:rsid w:val="003935DC"/>
    <w:rsid w:val="00394320"/>
    <w:rsid w:val="0039489B"/>
    <w:rsid w:val="00395136"/>
    <w:rsid w:val="003951A5"/>
    <w:rsid w:val="0039610D"/>
    <w:rsid w:val="0039694A"/>
    <w:rsid w:val="003976FC"/>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2F6"/>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63A"/>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6D83"/>
    <w:rsid w:val="00407199"/>
    <w:rsid w:val="0040776C"/>
    <w:rsid w:val="00407D53"/>
    <w:rsid w:val="0041008B"/>
    <w:rsid w:val="00411081"/>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32"/>
    <w:rsid w:val="00417C64"/>
    <w:rsid w:val="0042055D"/>
    <w:rsid w:val="004205AD"/>
    <w:rsid w:val="00422549"/>
    <w:rsid w:val="004228F4"/>
    <w:rsid w:val="004229C3"/>
    <w:rsid w:val="004229FF"/>
    <w:rsid w:val="00422C5D"/>
    <w:rsid w:val="00422F50"/>
    <w:rsid w:val="004233E4"/>
    <w:rsid w:val="00425009"/>
    <w:rsid w:val="00425324"/>
    <w:rsid w:val="004261A0"/>
    <w:rsid w:val="00426234"/>
    <w:rsid w:val="004265FE"/>
    <w:rsid w:val="004269E1"/>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45E2"/>
    <w:rsid w:val="00445139"/>
    <w:rsid w:val="00445A76"/>
    <w:rsid w:val="00445F50"/>
    <w:rsid w:val="00446778"/>
    <w:rsid w:val="004472B6"/>
    <w:rsid w:val="00447A15"/>
    <w:rsid w:val="00450B24"/>
    <w:rsid w:val="004511D9"/>
    <w:rsid w:val="00451A93"/>
    <w:rsid w:val="00451D74"/>
    <w:rsid w:val="004529A7"/>
    <w:rsid w:val="004543AB"/>
    <w:rsid w:val="004545A0"/>
    <w:rsid w:val="00454D5B"/>
    <w:rsid w:val="00454E5E"/>
    <w:rsid w:val="00456585"/>
    <w:rsid w:val="004571FD"/>
    <w:rsid w:val="00457599"/>
    <w:rsid w:val="004575BF"/>
    <w:rsid w:val="00457A11"/>
    <w:rsid w:val="00457AF3"/>
    <w:rsid w:val="0046001C"/>
    <w:rsid w:val="004603F1"/>
    <w:rsid w:val="00461ADF"/>
    <w:rsid w:val="00461EE1"/>
    <w:rsid w:val="0046245C"/>
    <w:rsid w:val="00462E1B"/>
    <w:rsid w:val="00462EB4"/>
    <w:rsid w:val="00462F0D"/>
    <w:rsid w:val="004631FD"/>
    <w:rsid w:val="00463DA1"/>
    <w:rsid w:val="00463ECE"/>
    <w:rsid w:val="00464FDA"/>
    <w:rsid w:val="0046543D"/>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5818"/>
    <w:rsid w:val="00476D40"/>
    <w:rsid w:val="00476F5C"/>
    <w:rsid w:val="00476F6F"/>
    <w:rsid w:val="00477FB5"/>
    <w:rsid w:val="004801B8"/>
    <w:rsid w:val="004805EB"/>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741"/>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1CD"/>
    <w:rsid w:val="005105B7"/>
    <w:rsid w:val="0051061B"/>
    <w:rsid w:val="005107E5"/>
    <w:rsid w:val="00512883"/>
    <w:rsid w:val="00512F75"/>
    <w:rsid w:val="00513039"/>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58B"/>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55E1"/>
    <w:rsid w:val="005263AE"/>
    <w:rsid w:val="00526F12"/>
    <w:rsid w:val="0052733E"/>
    <w:rsid w:val="00527593"/>
    <w:rsid w:val="005301FA"/>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10"/>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A1"/>
    <w:rsid w:val="005A08D3"/>
    <w:rsid w:val="005A0929"/>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5E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0B2E"/>
    <w:rsid w:val="005D1275"/>
    <w:rsid w:val="005D173D"/>
    <w:rsid w:val="005D2935"/>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6DF"/>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D64"/>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6F7"/>
    <w:rsid w:val="00606B1F"/>
    <w:rsid w:val="00606C0F"/>
    <w:rsid w:val="006072B6"/>
    <w:rsid w:val="0060738D"/>
    <w:rsid w:val="0061010E"/>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84A"/>
    <w:rsid w:val="00625AAF"/>
    <w:rsid w:val="00625F7A"/>
    <w:rsid w:val="006260AB"/>
    <w:rsid w:val="00626128"/>
    <w:rsid w:val="00627563"/>
    <w:rsid w:val="006278B9"/>
    <w:rsid w:val="00627A55"/>
    <w:rsid w:val="00630204"/>
    <w:rsid w:val="0063044C"/>
    <w:rsid w:val="00630506"/>
    <w:rsid w:val="00630B64"/>
    <w:rsid w:val="00630DF7"/>
    <w:rsid w:val="00630F66"/>
    <w:rsid w:val="00630FB8"/>
    <w:rsid w:val="0063143E"/>
    <w:rsid w:val="0063160D"/>
    <w:rsid w:val="00632C4D"/>
    <w:rsid w:val="0063348A"/>
    <w:rsid w:val="006336F7"/>
    <w:rsid w:val="00633727"/>
    <w:rsid w:val="00633C82"/>
    <w:rsid w:val="00633E07"/>
    <w:rsid w:val="006344C0"/>
    <w:rsid w:val="0063471C"/>
    <w:rsid w:val="00635ADE"/>
    <w:rsid w:val="00635CE4"/>
    <w:rsid w:val="00636627"/>
    <w:rsid w:val="00636635"/>
    <w:rsid w:val="00636812"/>
    <w:rsid w:val="00636942"/>
    <w:rsid w:val="00636945"/>
    <w:rsid w:val="00637FD8"/>
    <w:rsid w:val="006406AA"/>
    <w:rsid w:val="00640EE1"/>
    <w:rsid w:val="0064162F"/>
    <w:rsid w:val="00642600"/>
    <w:rsid w:val="0064273D"/>
    <w:rsid w:val="00643B07"/>
    <w:rsid w:val="00644D88"/>
    <w:rsid w:val="00644F38"/>
    <w:rsid w:val="0064502D"/>
    <w:rsid w:val="00645F06"/>
    <w:rsid w:val="00646E28"/>
    <w:rsid w:val="0064703A"/>
    <w:rsid w:val="0064747A"/>
    <w:rsid w:val="006475D0"/>
    <w:rsid w:val="00647F52"/>
    <w:rsid w:val="00650B3E"/>
    <w:rsid w:val="00650FC1"/>
    <w:rsid w:val="0065228F"/>
    <w:rsid w:val="006522B0"/>
    <w:rsid w:val="00652678"/>
    <w:rsid w:val="00652B2C"/>
    <w:rsid w:val="0065450B"/>
    <w:rsid w:val="00654623"/>
    <w:rsid w:val="00654BAD"/>
    <w:rsid w:val="00654D3D"/>
    <w:rsid w:val="0065510C"/>
    <w:rsid w:val="006553DC"/>
    <w:rsid w:val="00655794"/>
    <w:rsid w:val="0065759A"/>
    <w:rsid w:val="0066002F"/>
    <w:rsid w:val="00660133"/>
    <w:rsid w:val="006609C0"/>
    <w:rsid w:val="00660F77"/>
    <w:rsid w:val="006619E5"/>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1A3"/>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B11"/>
    <w:rsid w:val="00696D9D"/>
    <w:rsid w:val="00697587"/>
    <w:rsid w:val="00697666"/>
    <w:rsid w:val="00697CC0"/>
    <w:rsid w:val="00697E72"/>
    <w:rsid w:val="006A0CC1"/>
    <w:rsid w:val="006A1ADD"/>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3498"/>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DF8"/>
    <w:rsid w:val="006D6FA1"/>
    <w:rsid w:val="006D791C"/>
    <w:rsid w:val="006D7FCB"/>
    <w:rsid w:val="006E057B"/>
    <w:rsid w:val="006E0CD7"/>
    <w:rsid w:val="006E0EEE"/>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07E95"/>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360"/>
    <w:rsid w:val="00730A33"/>
    <w:rsid w:val="00730B52"/>
    <w:rsid w:val="007310CB"/>
    <w:rsid w:val="007312AB"/>
    <w:rsid w:val="00731B40"/>
    <w:rsid w:val="00732070"/>
    <w:rsid w:val="0073215F"/>
    <w:rsid w:val="00732C86"/>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14C"/>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4026"/>
    <w:rsid w:val="007754D8"/>
    <w:rsid w:val="007763AA"/>
    <w:rsid w:val="00776A8B"/>
    <w:rsid w:val="007773C6"/>
    <w:rsid w:val="0077789E"/>
    <w:rsid w:val="00777CDF"/>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2AF8"/>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D7A2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9D0"/>
    <w:rsid w:val="007F5D10"/>
    <w:rsid w:val="007F6008"/>
    <w:rsid w:val="007F6520"/>
    <w:rsid w:val="007F6D94"/>
    <w:rsid w:val="007F7AF7"/>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00A"/>
    <w:rsid w:val="0081628A"/>
    <w:rsid w:val="008165FB"/>
    <w:rsid w:val="0081673E"/>
    <w:rsid w:val="00816C15"/>
    <w:rsid w:val="00816F82"/>
    <w:rsid w:val="00820469"/>
    <w:rsid w:val="00820CB4"/>
    <w:rsid w:val="00820EF2"/>
    <w:rsid w:val="008228FE"/>
    <w:rsid w:val="00823584"/>
    <w:rsid w:val="00823A0F"/>
    <w:rsid w:val="00823AB6"/>
    <w:rsid w:val="00823BDB"/>
    <w:rsid w:val="00824291"/>
    <w:rsid w:val="008243A5"/>
    <w:rsid w:val="0082471B"/>
    <w:rsid w:val="00824A9D"/>
    <w:rsid w:val="00824DBF"/>
    <w:rsid w:val="008253A9"/>
    <w:rsid w:val="00826473"/>
    <w:rsid w:val="00826821"/>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3708A"/>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55588"/>
    <w:rsid w:val="00860141"/>
    <w:rsid w:val="008612A4"/>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5A69"/>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5DB"/>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0D1B"/>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1A8E"/>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72A"/>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068F"/>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016"/>
    <w:rsid w:val="00922E77"/>
    <w:rsid w:val="00922FC4"/>
    <w:rsid w:val="009230B8"/>
    <w:rsid w:val="009234D1"/>
    <w:rsid w:val="00923C8D"/>
    <w:rsid w:val="009246EF"/>
    <w:rsid w:val="00924BE2"/>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47BC5"/>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313"/>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5B4"/>
    <w:rsid w:val="009C0BD1"/>
    <w:rsid w:val="009C1081"/>
    <w:rsid w:val="009C1475"/>
    <w:rsid w:val="009C178C"/>
    <w:rsid w:val="009C1E5A"/>
    <w:rsid w:val="009C23E0"/>
    <w:rsid w:val="009C2B0C"/>
    <w:rsid w:val="009C2BB4"/>
    <w:rsid w:val="009C39E1"/>
    <w:rsid w:val="009C4373"/>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0A97"/>
    <w:rsid w:val="009F1086"/>
    <w:rsid w:val="009F2CDF"/>
    <w:rsid w:val="009F3150"/>
    <w:rsid w:val="009F3F98"/>
    <w:rsid w:val="009F4358"/>
    <w:rsid w:val="009F4A0B"/>
    <w:rsid w:val="009F554A"/>
    <w:rsid w:val="009F614B"/>
    <w:rsid w:val="009F6880"/>
    <w:rsid w:val="009F6F9F"/>
    <w:rsid w:val="009F7308"/>
    <w:rsid w:val="009F7425"/>
    <w:rsid w:val="009F7588"/>
    <w:rsid w:val="009F7CD1"/>
    <w:rsid w:val="00A0016D"/>
    <w:rsid w:val="00A006F1"/>
    <w:rsid w:val="00A01A26"/>
    <w:rsid w:val="00A02880"/>
    <w:rsid w:val="00A02D6E"/>
    <w:rsid w:val="00A030B2"/>
    <w:rsid w:val="00A03DD2"/>
    <w:rsid w:val="00A04183"/>
    <w:rsid w:val="00A0445C"/>
    <w:rsid w:val="00A0469E"/>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C3C"/>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779"/>
    <w:rsid w:val="00A24BAA"/>
    <w:rsid w:val="00A25C78"/>
    <w:rsid w:val="00A25DC4"/>
    <w:rsid w:val="00A269C2"/>
    <w:rsid w:val="00A26F03"/>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136"/>
    <w:rsid w:val="00A4627C"/>
    <w:rsid w:val="00A46592"/>
    <w:rsid w:val="00A46822"/>
    <w:rsid w:val="00A50E2A"/>
    <w:rsid w:val="00A511F8"/>
    <w:rsid w:val="00A51F3F"/>
    <w:rsid w:val="00A52CBE"/>
    <w:rsid w:val="00A533AC"/>
    <w:rsid w:val="00A53625"/>
    <w:rsid w:val="00A55509"/>
    <w:rsid w:val="00A57624"/>
    <w:rsid w:val="00A57DE4"/>
    <w:rsid w:val="00A57F19"/>
    <w:rsid w:val="00A6014B"/>
    <w:rsid w:val="00A605B8"/>
    <w:rsid w:val="00A60815"/>
    <w:rsid w:val="00A616FE"/>
    <w:rsid w:val="00A61B1C"/>
    <w:rsid w:val="00A61F7C"/>
    <w:rsid w:val="00A6245C"/>
    <w:rsid w:val="00A625EF"/>
    <w:rsid w:val="00A64070"/>
    <w:rsid w:val="00A645C6"/>
    <w:rsid w:val="00A64B7E"/>
    <w:rsid w:val="00A64C6A"/>
    <w:rsid w:val="00A65508"/>
    <w:rsid w:val="00A656F0"/>
    <w:rsid w:val="00A66012"/>
    <w:rsid w:val="00A664EA"/>
    <w:rsid w:val="00A66547"/>
    <w:rsid w:val="00A66778"/>
    <w:rsid w:val="00A66F02"/>
    <w:rsid w:val="00A67653"/>
    <w:rsid w:val="00A71330"/>
    <w:rsid w:val="00A71908"/>
    <w:rsid w:val="00A72477"/>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4FB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4BF3"/>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8C7"/>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0EB8"/>
    <w:rsid w:val="00AF1552"/>
    <w:rsid w:val="00AF1576"/>
    <w:rsid w:val="00AF1635"/>
    <w:rsid w:val="00AF1827"/>
    <w:rsid w:val="00AF1C94"/>
    <w:rsid w:val="00AF254B"/>
    <w:rsid w:val="00AF2A41"/>
    <w:rsid w:val="00AF31B3"/>
    <w:rsid w:val="00AF327B"/>
    <w:rsid w:val="00AF3BB6"/>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661C"/>
    <w:rsid w:val="00B07369"/>
    <w:rsid w:val="00B07D70"/>
    <w:rsid w:val="00B1000D"/>
    <w:rsid w:val="00B1033F"/>
    <w:rsid w:val="00B103D2"/>
    <w:rsid w:val="00B10865"/>
    <w:rsid w:val="00B109E0"/>
    <w:rsid w:val="00B1188A"/>
    <w:rsid w:val="00B1196C"/>
    <w:rsid w:val="00B11C8A"/>
    <w:rsid w:val="00B12335"/>
    <w:rsid w:val="00B12B6C"/>
    <w:rsid w:val="00B12DC9"/>
    <w:rsid w:val="00B12ED6"/>
    <w:rsid w:val="00B13258"/>
    <w:rsid w:val="00B13822"/>
    <w:rsid w:val="00B14407"/>
    <w:rsid w:val="00B1491A"/>
    <w:rsid w:val="00B14BDF"/>
    <w:rsid w:val="00B14EDC"/>
    <w:rsid w:val="00B156EA"/>
    <w:rsid w:val="00B157B7"/>
    <w:rsid w:val="00B158AB"/>
    <w:rsid w:val="00B15C43"/>
    <w:rsid w:val="00B15DED"/>
    <w:rsid w:val="00B1695C"/>
    <w:rsid w:val="00B16A1C"/>
    <w:rsid w:val="00B16B65"/>
    <w:rsid w:val="00B16E4B"/>
    <w:rsid w:val="00B16F90"/>
    <w:rsid w:val="00B16FAD"/>
    <w:rsid w:val="00B17323"/>
    <w:rsid w:val="00B17C1F"/>
    <w:rsid w:val="00B17C94"/>
    <w:rsid w:val="00B20071"/>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B32"/>
    <w:rsid w:val="00B34F7E"/>
    <w:rsid w:val="00B35570"/>
    <w:rsid w:val="00B35666"/>
    <w:rsid w:val="00B35C7F"/>
    <w:rsid w:val="00B35EBB"/>
    <w:rsid w:val="00B363D6"/>
    <w:rsid w:val="00B36581"/>
    <w:rsid w:val="00B36B81"/>
    <w:rsid w:val="00B36C81"/>
    <w:rsid w:val="00B37109"/>
    <w:rsid w:val="00B3724D"/>
    <w:rsid w:val="00B37588"/>
    <w:rsid w:val="00B37CD7"/>
    <w:rsid w:val="00B40996"/>
    <w:rsid w:val="00B41CAF"/>
    <w:rsid w:val="00B4219B"/>
    <w:rsid w:val="00B43BEE"/>
    <w:rsid w:val="00B4463E"/>
    <w:rsid w:val="00B44856"/>
    <w:rsid w:val="00B459E5"/>
    <w:rsid w:val="00B46202"/>
    <w:rsid w:val="00B46330"/>
    <w:rsid w:val="00B47ADC"/>
    <w:rsid w:val="00B52244"/>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95B"/>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3B"/>
    <w:rsid w:val="00BB4CA2"/>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2235"/>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1E6"/>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3C3C"/>
    <w:rsid w:val="00C04554"/>
    <w:rsid w:val="00C05441"/>
    <w:rsid w:val="00C054DF"/>
    <w:rsid w:val="00C058B7"/>
    <w:rsid w:val="00C05AA6"/>
    <w:rsid w:val="00C05C85"/>
    <w:rsid w:val="00C060DB"/>
    <w:rsid w:val="00C065B8"/>
    <w:rsid w:val="00C068EF"/>
    <w:rsid w:val="00C06C8F"/>
    <w:rsid w:val="00C07326"/>
    <w:rsid w:val="00C1005D"/>
    <w:rsid w:val="00C10B24"/>
    <w:rsid w:val="00C11571"/>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1C92"/>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6664"/>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365"/>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77F0E"/>
    <w:rsid w:val="00C800AE"/>
    <w:rsid w:val="00C80C49"/>
    <w:rsid w:val="00C819F1"/>
    <w:rsid w:val="00C81B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87AE7"/>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548"/>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C4E"/>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E6E"/>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3DC"/>
    <w:rsid w:val="00CD55CD"/>
    <w:rsid w:val="00CD5941"/>
    <w:rsid w:val="00CD5CEB"/>
    <w:rsid w:val="00CD64B2"/>
    <w:rsid w:val="00CD6847"/>
    <w:rsid w:val="00CD771C"/>
    <w:rsid w:val="00CD77D3"/>
    <w:rsid w:val="00CD7F5A"/>
    <w:rsid w:val="00CE0156"/>
    <w:rsid w:val="00CE07B1"/>
    <w:rsid w:val="00CE0CAB"/>
    <w:rsid w:val="00CE1149"/>
    <w:rsid w:val="00CE1352"/>
    <w:rsid w:val="00CE1429"/>
    <w:rsid w:val="00CE16CE"/>
    <w:rsid w:val="00CE1E28"/>
    <w:rsid w:val="00CE28BC"/>
    <w:rsid w:val="00CE3286"/>
    <w:rsid w:val="00CE364B"/>
    <w:rsid w:val="00CE4142"/>
    <w:rsid w:val="00CE4676"/>
    <w:rsid w:val="00CE48BF"/>
    <w:rsid w:val="00CE4E5E"/>
    <w:rsid w:val="00CE4F1A"/>
    <w:rsid w:val="00CE526B"/>
    <w:rsid w:val="00CE52C8"/>
    <w:rsid w:val="00CE5C14"/>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80E"/>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3FBC"/>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5B48"/>
    <w:rsid w:val="00DA5C2E"/>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088"/>
    <w:rsid w:val="00DB43F4"/>
    <w:rsid w:val="00DB4ED0"/>
    <w:rsid w:val="00DB5589"/>
    <w:rsid w:val="00DB5BA9"/>
    <w:rsid w:val="00DB62EF"/>
    <w:rsid w:val="00DB7018"/>
    <w:rsid w:val="00DB75CA"/>
    <w:rsid w:val="00DB7681"/>
    <w:rsid w:val="00DC09F6"/>
    <w:rsid w:val="00DC0D7B"/>
    <w:rsid w:val="00DC0DE2"/>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3D7"/>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3A"/>
    <w:rsid w:val="00E02438"/>
    <w:rsid w:val="00E03558"/>
    <w:rsid w:val="00E04642"/>
    <w:rsid w:val="00E055B6"/>
    <w:rsid w:val="00E06B0B"/>
    <w:rsid w:val="00E06B63"/>
    <w:rsid w:val="00E06CAA"/>
    <w:rsid w:val="00E0719A"/>
    <w:rsid w:val="00E075D9"/>
    <w:rsid w:val="00E07908"/>
    <w:rsid w:val="00E07983"/>
    <w:rsid w:val="00E10DB9"/>
    <w:rsid w:val="00E10E26"/>
    <w:rsid w:val="00E10E35"/>
    <w:rsid w:val="00E11139"/>
    <w:rsid w:val="00E1161C"/>
    <w:rsid w:val="00E11C08"/>
    <w:rsid w:val="00E1224B"/>
    <w:rsid w:val="00E122E7"/>
    <w:rsid w:val="00E12781"/>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29C"/>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07B9"/>
    <w:rsid w:val="00E812BC"/>
    <w:rsid w:val="00E8198B"/>
    <w:rsid w:val="00E819D3"/>
    <w:rsid w:val="00E81F74"/>
    <w:rsid w:val="00E8211B"/>
    <w:rsid w:val="00E82A33"/>
    <w:rsid w:val="00E8401D"/>
    <w:rsid w:val="00E841BE"/>
    <w:rsid w:val="00E85010"/>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50"/>
    <w:rsid w:val="00EA73DA"/>
    <w:rsid w:val="00EA7593"/>
    <w:rsid w:val="00EA7F94"/>
    <w:rsid w:val="00EB0B5E"/>
    <w:rsid w:val="00EB13EB"/>
    <w:rsid w:val="00EB1EAC"/>
    <w:rsid w:val="00EB2326"/>
    <w:rsid w:val="00EB2A22"/>
    <w:rsid w:val="00EB2B0E"/>
    <w:rsid w:val="00EB2EA6"/>
    <w:rsid w:val="00EB306E"/>
    <w:rsid w:val="00EB3216"/>
    <w:rsid w:val="00EB37C1"/>
    <w:rsid w:val="00EB3833"/>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C4"/>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25"/>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4C4D"/>
    <w:rsid w:val="00EF66DB"/>
    <w:rsid w:val="00EF68AB"/>
    <w:rsid w:val="00EF7963"/>
    <w:rsid w:val="00EF7BBB"/>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9ED"/>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17F18"/>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99F"/>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232"/>
    <w:rsid w:val="00F703A1"/>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9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5F3C"/>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00A"/>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C6F08"/>
    <w:rsid w:val="00FD0675"/>
    <w:rsid w:val="00FD0D70"/>
    <w:rsid w:val="00FD1829"/>
    <w:rsid w:val="00FD19E3"/>
    <w:rsid w:val="00FD2245"/>
    <w:rsid w:val="00FD2BCE"/>
    <w:rsid w:val="00FD2D31"/>
    <w:rsid w:val="00FD4053"/>
    <w:rsid w:val="00FD45EB"/>
    <w:rsid w:val="00FD4C7A"/>
    <w:rsid w:val="00FD5C78"/>
    <w:rsid w:val="00FD6B56"/>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61EB"/>
    <w:rsid w:val="00FF6D33"/>
    <w:rsid w:val="00FF7237"/>
    <w:rsid w:val="00FF768C"/>
    <w:rsid w:val="00FF7B6C"/>
    <w:rsid w:val="02275119"/>
    <w:rsid w:val="054A3303"/>
    <w:rsid w:val="06988920"/>
    <w:rsid w:val="06BFB41E"/>
    <w:rsid w:val="0DB63850"/>
    <w:rsid w:val="0DE9FD40"/>
    <w:rsid w:val="0E66FF04"/>
    <w:rsid w:val="10035F41"/>
    <w:rsid w:val="157D032B"/>
    <w:rsid w:val="1668D898"/>
    <w:rsid w:val="1B0484BA"/>
    <w:rsid w:val="1BFEC4AC"/>
    <w:rsid w:val="1CB01000"/>
    <w:rsid w:val="1D5B8E79"/>
    <w:rsid w:val="20DF5B24"/>
    <w:rsid w:val="219DE34F"/>
    <w:rsid w:val="2641EB10"/>
    <w:rsid w:val="27CCFA52"/>
    <w:rsid w:val="2AEE6DFA"/>
    <w:rsid w:val="2B7A005D"/>
    <w:rsid w:val="2C4C0AD9"/>
    <w:rsid w:val="2EE252AC"/>
    <w:rsid w:val="32A22400"/>
    <w:rsid w:val="388A9CAB"/>
    <w:rsid w:val="39087E59"/>
    <w:rsid w:val="3B46DFB7"/>
    <w:rsid w:val="3D47B733"/>
    <w:rsid w:val="3E9AFA38"/>
    <w:rsid w:val="3EE38794"/>
    <w:rsid w:val="3FA89472"/>
    <w:rsid w:val="4089CC0C"/>
    <w:rsid w:val="42AE46C2"/>
    <w:rsid w:val="44A6BE1C"/>
    <w:rsid w:val="46087A35"/>
    <w:rsid w:val="487694B5"/>
    <w:rsid w:val="4C4814D8"/>
    <w:rsid w:val="4D30DD7B"/>
    <w:rsid w:val="4D39C4A6"/>
    <w:rsid w:val="4D5556FA"/>
    <w:rsid w:val="515D6FDA"/>
    <w:rsid w:val="5372EEAC"/>
    <w:rsid w:val="54D9A5AA"/>
    <w:rsid w:val="57E250C8"/>
    <w:rsid w:val="585CAD20"/>
    <w:rsid w:val="5A5C9E4C"/>
    <w:rsid w:val="5E3AC438"/>
    <w:rsid w:val="6032E22A"/>
    <w:rsid w:val="6051D756"/>
    <w:rsid w:val="607D3EC7"/>
    <w:rsid w:val="61549E7B"/>
    <w:rsid w:val="61E29589"/>
    <w:rsid w:val="64AC15C4"/>
    <w:rsid w:val="66252CC2"/>
    <w:rsid w:val="67506724"/>
    <w:rsid w:val="68918093"/>
    <w:rsid w:val="6A95E53D"/>
    <w:rsid w:val="6D131C89"/>
    <w:rsid w:val="6D8E1303"/>
    <w:rsid w:val="74C2C3D4"/>
    <w:rsid w:val="793741C5"/>
    <w:rsid w:val="7C3BA01B"/>
    <w:rsid w:val="7CC2E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3"/>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paragraph" w:customStyle="1" w:styleId="Textoindependiente22">
    <w:name w:val="Texto independiente 22"/>
    <w:basedOn w:val="Normal"/>
    <w:rsid w:val="00B1033F"/>
    <w:pPr>
      <w:spacing w:line="480" w:lineRule="auto"/>
      <w:jc w:val="both"/>
    </w:pPr>
    <w:rPr>
      <w:rFonts w:ascii="Arial Black" w:hAnsi="Arial Black"/>
      <w:b/>
      <w:sz w:val="28"/>
      <w:szCs w:val="20"/>
    </w:rPr>
  </w:style>
  <w:style w:type="character" w:styleId="Refdecomentario">
    <w:name w:val="annotation reference"/>
    <w:basedOn w:val="Fuentedeprrafopredeter"/>
    <w:semiHidden/>
    <w:unhideWhenUsed/>
    <w:rsid w:val="00AF3BB6"/>
    <w:rPr>
      <w:sz w:val="16"/>
      <w:szCs w:val="16"/>
    </w:rPr>
  </w:style>
  <w:style w:type="paragraph" w:styleId="Textocomentario">
    <w:name w:val="annotation text"/>
    <w:basedOn w:val="Normal"/>
    <w:link w:val="TextocomentarioCar"/>
    <w:semiHidden/>
    <w:unhideWhenUsed/>
    <w:rsid w:val="00AF3BB6"/>
    <w:rPr>
      <w:sz w:val="20"/>
      <w:szCs w:val="20"/>
    </w:rPr>
  </w:style>
  <w:style w:type="character" w:customStyle="1" w:styleId="TextocomentarioCar">
    <w:name w:val="Texto comentario Car"/>
    <w:basedOn w:val="Fuentedeprrafopredeter"/>
    <w:link w:val="Textocomentario"/>
    <w:semiHidden/>
    <w:rsid w:val="00AF3BB6"/>
  </w:style>
  <w:style w:type="paragraph" w:styleId="Asuntodelcomentario">
    <w:name w:val="annotation subject"/>
    <w:basedOn w:val="Textocomentario"/>
    <w:next w:val="Textocomentario"/>
    <w:link w:val="AsuntodelcomentarioCar"/>
    <w:semiHidden/>
    <w:unhideWhenUsed/>
    <w:rsid w:val="00AF3BB6"/>
    <w:rPr>
      <w:b/>
      <w:bCs/>
    </w:rPr>
  </w:style>
  <w:style w:type="character" w:customStyle="1" w:styleId="AsuntodelcomentarioCar">
    <w:name w:val="Asunto del comentario Car"/>
    <w:basedOn w:val="TextocomentarioCar"/>
    <w:link w:val="Asuntodelcomentario"/>
    <w:semiHidden/>
    <w:rsid w:val="00AF3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0034103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34995149">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516497">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c8ae37413cd0480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87B6E-6980-4265-B8F3-E343B62DA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5620C-B1EB-4994-ABB4-48215062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4543</Words>
  <Characters>24989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24</cp:revision>
  <cp:lastPrinted>2018-11-02T18:38:00Z</cp:lastPrinted>
  <dcterms:created xsi:type="dcterms:W3CDTF">2021-06-04T13:38:00Z</dcterms:created>
  <dcterms:modified xsi:type="dcterms:W3CDTF">2021-07-06T17:59:00Z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