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F5E1" w14:textId="2CBF84F5" w:rsidR="0068586F" w:rsidRPr="0068586F" w:rsidRDefault="0068586F" w:rsidP="0068586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68586F">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40BF79A0" w14:textId="77777777" w:rsidR="0068586F" w:rsidRPr="0068586F" w:rsidRDefault="0068586F" w:rsidP="0068586F">
      <w:pPr>
        <w:spacing w:line="240" w:lineRule="auto"/>
        <w:rPr>
          <w:rFonts w:ascii="Arial" w:eastAsia="Times New Roman" w:hAnsi="Arial" w:cs="Arial"/>
          <w:sz w:val="20"/>
          <w:szCs w:val="20"/>
          <w:lang w:val="es-419" w:eastAsia="es-ES"/>
        </w:rPr>
      </w:pPr>
    </w:p>
    <w:p w14:paraId="0F3D21A7" w14:textId="77777777" w:rsidR="0068586F" w:rsidRPr="0068586F" w:rsidRDefault="0068586F" w:rsidP="0068586F">
      <w:pPr>
        <w:spacing w:line="240" w:lineRule="auto"/>
        <w:rPr>
          <w:rFonts w:ascii="Arial" w:eastAsia="Times New Roman" w:hAnsi="Arial" w:cs="Arial"/>
          <w:sz w:val="20"/>
          <w:szCs w:val="20"/>
          <w:lang w:val="es-419" w:eastAsia="es-ES"/>
        </w:rPr>
      </w:pPr>
      <w:r w:rsidRPr="0068586F">
        <w:rPr>
          <w:rFonts w:ascii="Arial" w:eastAsia="Times New Roman" w:hAnsi="Arial" w:cs="Arial"/>
          <w:sz w:val="20"/>
          <w:szCs w:val="20"/>
          <w:lang w:val="es-419" w:eastAsia="es-ES"/>
        </w:rPr>
        <w:t xml:space="preserve">Radicación No.: </w:t>
      </w:r>
      <w:r w:rsidRPr="0068586F">
        <w:rPr>
          <w:rFonts w:ascii="Arial" w:eastAsia="Times New Roman" w:hAnsi="Arial" w:cs="Arial"/>
          <w:sz w:val="20"/>
          <w:szCs w:val="20"/>
          <w:lang w:val="es-419" w:eastAsia="es-ES"/>
        </w:rPr>
        <w:tab/>
        <w:t>66001-31-05-003-2019-00231-01</w:t>
      </w:r>
    </w:p>
    <w:p w14:paraId="3740CDA0" w14:textId="77777777" w:rsidR="0068586F" w:rsidRPr="0068586F" w:rsidRDefault="0068586F" w:rsidP="0068586F">
      <w:pPr>
        <w:spacing w:line="240" w:lineRule="auto"/>
        <w:rPr>
          <w:rFonts w:ascii="Arial" w:eastAsia="Times New Roman" w:hAnsi="Arial" w:cs="Arial"/>
          <w:sz w:val="20"/>
          <w:szCs w:val="20"/>
          <w:lang w:val="es-419" w:eastAsia="es-ES"/>
        </w:rPr>
      </w:pPr>
      <w:r w:rsidRPr="0068586F">
        <w:rPr>
          <w:rFonts w:ascii="Arial" w:eastAsia="Times New Roman" w:hAnsi="Arial" w:cs="Arial"/>
          <w:sz w:val="20"/>
          <w:szCs w:val="20"/>
          <w:lang w:val="es-419" w:eastAsia="es-ES"/>
        </w:rPr>
        <w:t xml:space="preserve">Proceso: </w:t>
      </w:r>
      <w:r w:rsidRPr="0068586F">
        <w:rPr>
          <w:rFonts w:ascii="Arial" w:eastAsia="Times New Roman" w:hAnsi="Arial" w:cs="Arial"/>
          <w:sz w:val="20"/>
          <w:szCs w:val="20"/>
          <w:lang w:val="es-419" w:eastAsia="es-ES"/>
        </w:rPr>
        <w:tab/>
      </w:r>
      <w:r w:rsidRPr="0068586F">
        <w:rPr>
          <w:rFonts w:ascii="Arial" w:eastAsia="Times New Roman" w:hAnsi="Arial" w:cs="Arial"/>
          <w:sz w:val="20"/>
          <w:szCs w:val="20"/>
          <w:lang w:val="es-419" w:eastAsia="es-ES"/>
        </w:rPr>
        <w:tab/>
        <w:t xml:space="preserve">Ordinario Laboral </w:t>
      </w:r>
    </w:p>
    <w:p w14:paraId="4C1D3151" w14:textId="77777777" w:rsidR="0068586F" w:rsidRPr="0068586F" w:rsidRDefault="0068586F" w:rsidP="0068586F">
      <w:pPr>
        <w:spacing w:line="240" w:lineRule="auto"/>
        <w:rPr>
          <w:rFonts w:ascii="Arial" w:eastAsia="Times New Roman" w:hAnsi="Arial" w:cs="Arial"/>
          <w:sz w:val="20"/>
          <w:szCs w:val="20"/>
          <w:lang w:val="es-419" w:eastAsia="es-ES"/>
        </w:rPr>
      </w:pPr>
      <w:r w:rsidRPr="0068586F">
        <w:rPr>
          <w:rFonts w:ascii="Arial" w:eastAsia="Times New Roman" w:hAnsi="Arial" w:cs="Arial"/>
          <w:sz w:val="20"/>
          <w:szCs w:val="20"/>
          <w:lang w:val="es-419" w:eastAsia="es-ES"/>
        </w:rPr>
        <w:t xml:space="preserve">Demandante: </w:t>
      </w:r>
      <w:r w:rsidRPr="0068586F">
        <w:rPr>
          <w:rFonts w:ascii="Arial" w:eastAsia="Times New Roman" w:hAnsi="Arial" w:cs="Arial"/>
          <w:sz w:val="20"/>
          <w:szCs w:val="20"/>
          <w:lang w:val="es-419" w:eastAsia="es-ES"/>
        </w:rPr>
        <w:tab/>
      </w:r>
      <w:r w:rsidRPr="0068586F">
        <w:rPr>
          <w:rFonts w:ascii="Arial" w:eastAsia="Times New Roman" w:hAnsi="Arial" w:cs="Arial"/>
          <w:sz w:val="20"/>
          <w:szCs w:val="20"/>
          <w:lang w:val="es-419" w:eastAsia="es-ES"/>
        </w:rPr>
        <w:tab/>
        <w:t>María Doris Vinasco González</w:t>
      </w:r>
    </w:p>
    <w:p w14:paraId="16F9C120" w14:textId="77777777" w:rsidR="0068586F" w:rsidRPr="0068586F" w:rsidRDefault="0068586F" w:rsidP="0068586F">
      <w:pPr>
        <w:spacing w:line="240" w:lineRule="auto"/>
        <w:rPr>
          <w:rFonts w:ascii="Arial" w:eastAsia="Times New Roman" w:hAnsi="Arial" w:cs="Arial"/>
          <w:sz w:val="20"/>
          <w:szCs w:val="20"/>
          <w:lang w:val="es-419" w:eastAsia="es-ES"/>
        </w:rPr>
      </w:pPr>
      <w:r w:rsidRPr="0068586F">
        <w:rPr>
          <w:rFonts w:ascii="Arial" w:eastAsia="Times New Roman" w:hAnsi="Arial" w:cs="Arial"/>
          <w:sz w:val="20"/>
          <w:szCs w:val="20"/>
          <w:lang w:val="es-419" w:eastAsia="es-ES"/>
        </w:rPr>
        <w:t xml:space="preserve">Demandado: </w:t>
      </w:r>
      <w:r w:rsidRPr="0068586F">
        <w:rPr>
          <w:rFonts w:ascii="Arial" w:eastAsia="Times New Roman" w:hAnsi="Arial" w:cs="Arial"/>
          <w:sz w:val="20"/>
          <w:szCs w:val="20"/>
          <w:lang w:val="es-419" w:eastAsia="es-ES"/>
        </w:rPr>
        <w:tab/>
      </w:r>
      <w:r w:rsidRPr="0068586F">
        <w:rPr>
          <w:rFonts w:ascii="Arial" w:eastAsia="Times New Roman" w:hAnsi="Arial" w:cs="Arial"/>
          <w:sz w:val="20"/>
          <w:szCs w:val="20"/>
          <w:lang w:val="es-419" w:eastAsia="es-ES"/>
        </w:rPr>
        <w:tab/>
        <w:t>Colpensiones</w:t>
      </w:r>
    </w:p>
    <w:p w14:paraId="0CA9D482" w14:textId="0672B428" w:rsidR="0068586F" w:rsidRPr="0068586F" w:rsidRDefault="0068586F" w:rsidP="0068586F">
      <w:pPr>
        <w:spacing w:line="240" w:lineRule="auto"/>
        <w:rPr>
          <w:rFonts w:ascii="Arial" w:eastAsia="Times New Roman" w:hAnsi="Arial" w:cs="Arial"/>
          <w:sz w:val="20"/>
          <w:szCs w:val="20"/>
          <w:lang w:val="es-419" w:eastAsia="es-ES"/>
        </w:rPr>
      </w:pPr>
      <w:r w:rsidRPr="0068586F">
        <w:rPr>
          <w:rFonts w:ascii="Arial" w:eastAsia="Times New Roman" w:hAnsi="Arial" w:cs="Arial"/>
          <w:sz w:val="20"/>
          <w:szCs w:val="20"/>
          <w:lang w:val="es-419" w:eastAsia="es-ES"/>
        </w:rPr>
        <w:t xml:space="preserve">Juzgado: </w:t>
      </w:r>
      <w:r w:rsidRPr="0068586F">
        <w:rPr>
          <w:rFonts w:ascii="Arial" w:eastAsia="Times New Roman" w:hAnsi="Arial" w:cs="Arial"/>
          <w:sz w:val="20"/>
          <w:szCs w:val="20"/>
          <w:lang w:val="es-419" w:eastAsia="es-ES"/>
        </w:rPr>
        <w:tab/>
      </w:r>
      <w:r w:rsidRPr="0068586F">
        <w:rPr>
          <w:rFonts w:ascii="Arial" w:eastAsia="Times New Roman" w:hAnsi="Arial" w:cs="Arial"/>
          <w:sz w:val="20"/>
          <w:szCs w:val="20"/>
          <w:lang w:val="es-419" w:eastAsia="es-ES"/>
        </w:rPr>
        <w:tab/>
        <w:t>Tercero Laboral del Circuito de Pereira</w:t>
      </w:r>
    </w:p>
    <w:p w14:paraId="6A4A407D" w14:textId="77777777" w:rsidR="0068586F" w:rsidRPr="0068586F" w:rsidRDefault="0068586F" w:rsidP="0068586F">
      <w:pPr>
        <w:spacing w:line="240" w:lineRule="auto"/>
        <w:rPr>
          <w:rFonts w:ascii="Arial" w:eastAsia="Times New Roman" w:hAnsi="Arial" w:cs="Arial"/>
          <w:sz w:val="20"/>
          <w:szCs w:val="20"/>
          <w:lang w:val="es-419" w:eastAsia="es-ES"/>
        </w:rPr>
      </w:pPr>
    </w:p>
    <w:p w14:paraId="3D98DD44" w14:textId="1E8F9C5A" w:rsidR="0068586F" w:rsidRPr="0068586F" w:rsidRDefault="0068586F" w:rsidP="0068586F">
      <w:pPr>
        <w:spacing w:line="240" w:lineRule="auto"/>
        <w:rPr>
          <w:rFonts w:ascii="Arial" w:eastAsia="Times New Roman" w:hAnsi="Arial" w:cs="Arial"/>
          <w:b/>
          <w:bCs/>
          <w:iCs/>
          <w:sz w:val="20"/>
          <w:szCs w:val="20"/>
          <w:lang w:val="es-419" w:eastAsia="fr-FR"/>
        </w:rPr>
      </w:pPr>
      <w:r w:rsidRPr="0068586F">
        <w:rPr>
          <w:rFonts w:ascii="Arial" w:eastAsia="Times New Roman" w:hAnsi="Arial" w:cs="Arial"/>
          <w:b/>
          <w:bCs/>
          <w:iCs/>
          <w:sz w:val="20"/>
          <w:szCs w:val="20"/>
          <w:u w:val="single"/>
          <w:lang w:val="es-419" w:eastAsia="fr-FR"/>
        </w:rPr>
        <w:t>TEMAS:</w:t>
      </w:r>
      <w:r w:rsidRPr="0068586F">
        <w:rPr>
          <w:rFonts w:ascii="Arial" w:eastAsia="Times New Roman" w:hAnsi="Arial" w:cs="Arial"/>
          <w:b/>
          <w:bCs/>
          <w:iCs/>
          <w:sz w:val="20"/>
          <w:szCs w:val="20"/>
          <w:lang w:val="es-419" w:eastAsia="fr-FR"/>
        </w:rPr>
        <w:tab/>
      </w:r>
      <w:r w:rsidR="00C73D3E" w:rsidRPr="0068586F">
        <w:rPr>
          <w:rFonts w:ascii="Arial" w:eastAsia="Times New Roman" w:hAnsi="Arial" w:cs="Arial"/>
          <w:b/>
          <w:sz w:val="20"/>
          <w:szCs w:val="20"/>
          <w:lang w:val="es-419" w:eastAsia="es-ES"/>
        </w:rPr>
        <w:t>PENSIÓN DE INVALIDEZ</w:t>
      </w:r>
      <w:r w:rsidR="00C73D3E" w:rsidRPr="0068586F">
        <w:rPr>
          <w:rFonts w:ascii="Arial" w:eastAsia="Times New Roman" w:hAnsi="Arial" w:cs="Arial"/>
          <w:b/>
          <w:bCs/>
          <w:iCs/>
          <w:sz w:val="20"/>
          <w:szCs w:val="20"/>
          <w:lang w:val="es-419" w:eastAsia="fr-FR"/>
        </w:rPr>
        <w:t xml:space="preserve"> / </w:t>
      </w:r>
      <w:r w:rsidR="00251C76">
        <w:rPr>
          <w:rFonts w:ascii="Arial" w:eastAsia="Times New Roman" w:hAnsi="Arial" w:cs="Arial"/>
          <w:b/>
          <w:bCs/>
          <w:iCs/>
          <w:sz w:val="20"/>
          <w:szCs w:val="20"/>
          <w:lang w:val="es-419" w:eastAsia="fr-FR"/>
        </w:rPr>
        <w:t>RECONOCIMIENTO PREVIO POR DECISIÓN DE TUTELA / EN FORMA TRANSITORIA / TASA DE REEMPLAZO / CÁLCULO / NO PUEDEN INCLUIRSE SEMANAS DE COTIZACIÓN POSTERIORES A LA FECHA DE ESTRUCTURACIÓN.</w:t>
      </w:r>
    </w:p>
    <w:p w14:paraId="2C6D5C16" w14:textId="6F00722E" w:rsidR="0068586F" w:rsidRDefault="0068586F" w:rsidP="0068586F">
      <w:pPr>
        <w:spacing w:line="240" w:lineRule="auto"/>
        <w:rPr>
          <w:rFonts w:ascii="Arial" w:eastAsia="Times New Roman" w:hAnsi="Arial" w:cs="Arial"/>
          <w:sz w:val="20"/>
          <w:szCs w:val="20"/>
          <w:lang w:val="es-419" w:eastAsia="es-ES"/>
        </w:rPr>
      </w:pPr>
    </w:p>
    <w:p w14:paraId="7F293BF4" w14:textId="71BD7410" w:rsidR="00C73D3E" w:rsidRDefault="00C73D3E" w:rsidP="0068586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3D3E">
        <w:rPr>
          <w:rFonts w:ascii="Arial" w:eastAsia="Times New Roman" w:hAnsi="Arial" w:cs="Arial"/>
          <w:sz w:val="20"/>
          <w:szCs w:val="20"/>
          <w:lang w:val="es-419" w:eastAsia="es-ES"/>
        </w:rPr>
        <w:t>surge evidente la omisión de la Jueza de instancia de declarar el derecho que le asiste a la demandante al reconocimiento definitivo de la pensión de invalidez, pues centró su disertación en la reliquidación de la mesada pensional sin percatarse que la orden de reanudación de pago se efectuó por la Sala Cuarta de Decisión del Tribunal de lo Contencioso Administrativo de Risaralda de manera transitoria, mediante la sentencia de tutela proferida el 22 de marzo de 2019</w:t>
      </w:r>
      <w:r>
        <w:rPr>
          <w:rFonts w:ascii="Arial" w:eastAsia="Times New Roman" w:hAnsi="Arial" w:cs="Arial"/>
          <w:sz w:val="20"/>
          <w:szCs w:val="20"/>
          <w:lang w:val="es-419" w:eastAsia="es-ES"/>
        </w:rPr>
        <w:t>…</w:t>
      </w:r>
    </w:p>
    <w:p w14:paraId="238B5E15" w14:textId="77777777" w:rsidR="00C73D3E" w:rsidRPr="0068586F" w:rsidRDefault="00C73D3E" w:rsidP="0068586F">
      <w:pPr>
        <w:spacing w:line="240" w:lineRule="auto"/>
        <w:rPr>
          <w:rFonts w:ascii="Arial" w:eastAsia="Times New Roman" w:hAnsi="Arial" w:cs="Arial"/>
          <w:sz w:val="20"/>
          <w:szCs w:val="20"/>
          <w:lang w:val="es-419" w:eastAsia="es-ES"/>
        </w:rPr>
      </w:pPr>
    </w:p>
    <w:p w14:paraId="2E77E302" w14:textId="7D16123C" w:rsidR="00C73D3E" w:rsidRPr="00C73D3E" w:rsidRDefault="00C73D3E" w:rsidP="00C73D3E">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3D3E">
        <w:rPr>
          <w:rFonts w:ascii="Arial" w:eastAsia="Times New Roman" w:hAnsi="Arial" w:cs="Arial"/>
          <w:sz w:val="20"/>
          <w:szCs w:val="20"/>
          <w:lang w:val="es-419" w:eastAsia="es-ES"/>
        </w:rPr>
        <w:t>teniendo en cuenta que la parte actora busca que se modifique la tasa de reemplazo, se dirá que el artículo 40 de la Ley 100 de 1993 dispone que cuando la pérdida de capacidad laboral oscila entre el 50% y el 66% -como en el caso de marras- dicho monto debe corresponde al 45% del IBL, más el 1.5% por cada 50 semanas que sobrepasen las primeras 500.</w:t>
      </w:r>
    </w:p>
    <w:p w14:paraId="484C97DF" w14:textId="77777777" w:rsidR="00C73D3E" w:rsidRPr="00C73D3E" w:rsidRDefault="00C73D3E" w:rsidP="00C73D3E">
      <w:pPr>
        <w:spacing w:line="240" w:lineRule="auto"/>
        <w:rPr>
          <w:rFonts w:ascii="Arial" w:eastAsia="Times New Roman" w:hAnsi="Arial" w:cs="Arial"/>
          <w:sz w:val="20"/>
          <w:szCs w:val="20"/>
          <w:lang w:val="es-419" w:eastAsia="es-ES"/>
        </w:rPr>
      </w:pPr>
    </w:p>
    <w:p w14:paraId="3D6B1F2D" w14:textId="77777777" w:rsidR="00C73D3E" w:rsidRPr="00C73D3E" w:rsidRDefault="00C73D3E" w:rsidP="00C73D3E">
      <w:pPr>
        <w:spacing w:line="240" w:lineRule="auto"/>
        <w:rPr>
          <w:rFonts w:ascii="Arial" w:eastAsia="Times New Roman" w:hAnsi="Arial" w:cs="Arial"/>
          <w:sz w:val="20"/>
          <w:szCs w:val="20"/>
          <w:lang w:val="es-419" w:eastAsia="es-ES"/>
        </w:rPr>
      </w:pPr>
      <w:r w:rsidRPr="00C73D3E">
        <w:rPr>
          <w:rFonts w:ascii="Arial" w:eastAsia="Times New Roman" w:hAnsi="Arial" w:cs="Arial"/>
          <w:sz w:val="20"/>
          <w:szCs w:val="20"/>
          <w:lang w:val="es-419" w:eastAsia="es-ES"/>
        </w:rPr>
        <w:t>Por otra parte, teniendo en cuenta que la fecha de reconocimiento de la pensión de invalidez debe corresponder a la de estructuración de ese estado, es menester determinar cuántas semanas tenía cotizadas la gestora del pleito para calcular la tasa de reemplazo a que tiene derecho. Para tal efecto, se estima acertada la conclusión a la que arribó la Jueza de instancia, como quiera que no era dable tener en cuenta las semanas cotizadas con posterioridad al 4 de mayo de 2014, fecha de estructuración de la invalidez. Sobre ese punto en concreto, la Sala de Casación Laboral de la Corte Suprema de Justicia en sentencia SL4266-2017, expuso lo siguiente:</w:t>
      </w:r>
    </w:p>
    <w:p w14:paraId="5197E108" w14:textId="77777777" w:rsidR="00C73D3E" w:rsidRPr="00C73D3E" w:rsidRDefault="00C73D3E" w:rsidP="00C73D3E">
      <w:pPr>
        <w:spacing w:line="240" w:lineRule="auto"/>
        <w:rPr>
          <w:rFonts w:ascii="Arial" w:eastAsia="Times New Roman" w:hAnsi="Arial" w:cs="Arial"/>
          <w:sz w:val="20"/>
          <w:szCs w:val="20"/>
          <w:lang w:val="es-419" w:eastAsia="es-ES"/>
        </w:rPr>
      </w:pPr>
    </w:p>
    <w:p w14:paraId="7A727E6C" w14:textId="4AA0C806" w:rsidR="0068586F" w:rsidRPr="0068586F" w:rsidRDefault="00C73D3E" w:rsidP="00C73D3E">
      <w:pPr>
        <w:spacing w:line="240" w:lineRule="auto"/>
        <w:rPr>
          <w:rFonts w:ascii="Arial" w:eastAsia="Times New Roman" w:hAnsi="Arial" w:cs="Arial"/>
          <w:sz w:val="20"/>
          <w:szCs w:val="20"/>
          <w:lang w:val="es-419" w:eastAsia="es-ES"/>
        </w:rPr>
      </w:pPr>
      <w:r w:rsidRPr="00C73D3E">
        <w:rPr>
          <w:rFonts w:ascii="Arial" w:eastAsia="Times New Roman" w:hAnsi="Arial" w:cs="Arial"/>
          <w:sz w:val="20"/>
          <w:szCs w:val="20"/>
          <w:lang w:val="es-419" w:eastAsia="es-ES"/>
        </w:rPr>
        <w:t>“Ahora, las normas que regulan el reconocimiento de una pensión de invalidez, establecen unos requisitos para acceder a dicha prestación. Uno de ellos, el de tener la densidad de cotizaciones requeridas antes de producirse el estado de invalidez. Ello es lógico, pues no pueden comprenderse cotizaciones que se hagan con posterioridad a la estructuración de la invalidez, pues ya el riesgo o la contingencia han ocurrido, y no es de sentido común pensar que, acontecido ese riesgo, el afectado pueda asegurarse contra el mismo.”</w:t>
      </w:r>
    </w:p>
    <w:p w14:paraId="07369611" w14:textId="77777777" w:rsidR="0068586F" w:rsidRPr="0068586F" w:rsidRDefault="0068586F" w:rsidP="0068586F">
      <w:pPr>
        <w:spacing w:line="240" w:lineRule="auto"/>
        <w:rPr>
          <w:rFonts w:ascii="Arial" w:eastAsia="Times New Roman" w:hAnsi="Arial" w:cs="Arial"/>
          <w:sz w:val="20"/>
          <w:szCs w:val="20"/>
          <w:lang w:val="es-419" w:eastAsia="es-ES"/>
        </w:rPr>
      </w:pPr>
    </w:p>
    <w:p w14:paraId="5427C25F" w14:textId="77777777" w:rsidR="0068586F" w:rsidRPr="0068586F" w:rsidRDefault="0068586F" w:rsidP="0068586F">
      <w:pPr>
        <w:spacing w:line="240" w:lineRule="auto"/>
        <w:rPr>
          <w:rFonts w:ascii="Arial" w:eastAsia="Times New Roman" w:hAnsi="Arial" w:cs="Arial"/>
          <w:sz w:val="20"/>
          <w:szCs w:val="20"/>
          <w:lang w:eastAsia="es-ES"/>
        </w:rPr>
      </w:pPr>
    </w:p>
    <w:p w14:paraId="14589932" w14:textId="77777777" w:rsidR="0068586F" w:rsidRPr="0068586F" w:rsidRDefault="0068586F" w:rsidP="0068586F">
      <w:pPr>
        <w:spacing w:line="240" w:lineRule="auto"/>
        <w:rPr>
          <w:rFonts w:ascii="Arial" w:eastAsia="Times New Roman" w:hAnsi="Arial" w:cs="Arial"/>
          <w:sz w:val="20"/>
          <w:szCs w:val="20"/>
          <w:lang w:eastAsia="es-ES"/>
        </w:rPr>
      </w:pPr>
    </w:p>
    <w:bookmarkEnd w:id="0"/>
    <w:p w14:paraId="79F64DA0" w14:textId="77777777" w:rsidR="00790DA9" w:rsidRPr="0068586F" w:rsidRDefault="00790DA9" w:rsidP="0068586F">
      <w:pPr>
        <w:pStyle w:val="Ttulo4"/>
        <w:widowControl w:val="0"/>
        <w:tabs>
          <w:tab w:val="clear" w:pos="0"/>
        </w:tabs>
        <w:spacing w:line="276" w:lineRule="auto"/>
        <w:ind w:left="709" w:right="845"/>
        <w:rPr>
          <w:rFonts w:ascii="Tahoma" w:hAnsi="Tahoma" w:cs="Tahoma"/>
          <w:bCs/>
          <w:szCs w:val="24"/>
          <w:lang w:eastAsia="es-MX"/>
        </w:rPr>
      </w:pPr>
      <w:r w:rsidRPr="0068586F">
        <w:rPr>
          <w:rFonts w:ascii="Tahoma" w:hAnsi="Tahoma" w:cs="Tahoma"/>
          <w:bCs/>
          <w:szCs w:val="24"/>
          <w:lang w:eastAsia="es-MX"/>
        </w:rPr>
        <w:t>TRIBUNAL SUPERIOR DEL DISTRITO JUDICIAL DE PEREIRA</w:t>
      </w:r>
    </w:p>
    <w:p w14:paraId="019D66BB" w14:textId="292CA569" w:rsidR="00790DA9" w:rsidRPr="0068586F" w:rsidRDefault="00790DA9" w:rsidP="0068586F">
      <w:pPr>
        <w:pStyle w:val="Ttulo4"/>
        <w:widowControl w:val="0"/>
        <w:tabs>
          <w:tab w:val="clear" w:pos="0"/>
        </w:tabs>
        <w:spacing w:line="276" w:lineRule="auto"/>
        <w:ind w:left="709" w:right="845"/>
        <w:rPr>
          <w:rFonts w:ascii="Tahoma" w:hAnsi="Tahoma" w:cs="Tahoma"/>
          <w:bCs/>
          <w:szCs w:val="24"/>
          <w:lang w:eastAsia="es-MX"/>
        </w:rPr>
      </w:pPr>
      <w:r w:rsidRPr="0068586F">
        <w:rPr>
          <w:rFonts w:ascii="Tahoma" w:hAnsi="Tahoma" w:cs="Tahoma"/>
          <w:bCs/>
          <w:szCs w:val="24"/>
          <w:lang w:eastAsia="es-MX"/>
        </w:rPr>
        <w:t>SALA PRIMERA DE DECISION LABORAL</w:t>
      </w:r>
      <w:r w:rsidR="00662FC5" w:rsidRPr="0068586F">
        <w:rPr>
          <w:rFonts w:ascii="Tahoma" w:hAnsi="Tahoma" w:cs="Tahoma"/>
          <w:bCs/>
          <w:szCs w:val="24"/>
          <w:lang w:eastAsia="es-MX"/>
        </w:rPr>
        <w:t xml:space="preserve"> </w:t>
      </w:r>
    </w:p>
    <w:p w14:paraId="6C8078C4" w14:textId="77777777" w:rsidR="00662FC5" w:rsidRPr="0068586F" w:rsidRDefault="00662FC5" w:rsidP="0068586F">
      <w:pPr>
        <w:spacing w:line="276" w:lineRule="auto"/>
        <w:jc w:val="center"/>
        <w:rPr>
          <w:rFonts w:cs="Tahoma"/>
          <w:bCs/>
          <w:szCs w:val="24"/>
        </w:rPr>
      </w:pPr>
    </w:p>
    <w:p w14:paraId="0E7ACA8F" w14:textId="77777777" w:rsidR="00790DA9" w:rsidRPr="0068586F" w:rsidRDefault="00790DA9" w:rsidP="0068586F">
      <w:pPr>
        <w:spacing w:line="276" w:lineRule="auto"/>
        <w:jc w:val="center"/>
        <w:textAlignment w:val="baseline"/>
        <w:rPr>
          <w:rFonts w:eastAsia="Times New Roman" w:cs="Tahoma"/>
          <w:szCs w:val="24"/>
          <w:lang w:eastAsia="es-CO"/>
        </w:rPr>
      </w:pPr>
      <w:r w:rsidRPr="0068586F">
        <w:rPr>
          <w:rFonts w:eastAsia="Times New Roman" w:cs="Tahoma"/>
          <w:szCs w:val="24"/>
          <w:lang w:eastAsia="es-CO"/>
        </w:rPr>
        <w:t>Magistrada Ponente: </w:t>
      </w:r>
      <w:r w:rsidRPr="0068586F">
        <w:rPr>
          <w:rFonts w:eastAsia="Times New Roman" w:cs="Tahoma"/>
          <w:b/>
          <w:bCs/>
          <w:szCs w:val="24"/>
          <w:lang w:eastAsia="es-CO"/>
        </w:rPr>
        <w:t>Ana Lucía Caicedo Calderón</w:t>
      </w:r>
      <w:r w:rsidRPr="0068586F">
        <w:rPr>
          <w:rFonts w:eastAsia="Times New Roman" w:cs="Tahoma"/>
          <w:szCs w:val="24"/>
          <w:lang w:eastAsia="es-CO"/>
        </w:rPr>
        <w:t> </w:t>
      </w:r>
    </w:p>
    <w:p w14:paraId="17B99363" w14:textId="16D729A0" w:rsidR="00790DA9" w:rsidRDefault="00790DA9" w:rsidP="0068586F">
      <w:pPr>
        <w:spacing w:line="276" w:lineRule="auto"/>
        <w:jc w:val="center"/>
        <w:textAlignment w:val="baseline"/>
        <w:rPr>
          <w:rFonts w:eastAsia="Times New Roman" w:cs="Tahoma"/>
          <w:szCs w:val="24"/>
          <w:lang w:eastAsia="es-CO"/>
        </w:rPr>
      </w:pPr>
      <w:r w:rsidRPr="0068586F">
        <w:rPr>
          <w:rFonts w:eastAsia="Times New Roman" w:cs="Tahoma"/>
          <w:szCs w:val="24"/>
          <w:lang w:eastAsia="es-CO"/>
        </w:rPr>
        <w:t> </w:t>
      </w:r>
    </w:p>
    <w:p w14:paraId="5764AA80" w14:textId="77777777" w:rsidR="0022178A" w:rsidRPr="0068586F" w:rsidRDefault="0022178A" w:rsidP="0068586F">
      <w:pPr>
        <w:spacing w:line="276" w:lineRule="auto"/>
        <w:jc w:val="center"/>
        <w:textAlignment w:val="baseline"/>
        <w:rPr>
          <w:rFonts w:eastAsia="Times New Roman" w:cs="Tahoma"/>
          <w:szCs w:val="24"/>
          <w:lang w:eastAsia="es-CO"/>
        </w:rPr>
      </w:pPr>
    </w:p>
    <w:p w14:paraId="6AC4F298" w14:textId="77777777" w:rsidR="00F37BD8" w:rsidRPr="0068586F" w:rsidRDefault="00F37BD8" w:rsidP="0068586F">
      <w:pPr>
        <w:spacing w:line="276" w:lineRule="auto"/>
        <w:jc w:val="center"/>
        <w:rPr>
          <w:rFonts w:eastAsia="Tahoma" w:cs="Tahoma"/>
          <w:color w:val="000000" w:themeColor="text1"/>
          <w:szCs w:val="24"/>
        </w:rPr>
      </w:pPr>
      <w:r w:rsidRPr="0068586F">
        <w:rPr>
          <w:rFonts w:eastAsia="Tahoma" w:cs="Tahoma"/>
          <w:color w:val="000000" w:themeColor="text1"/>
          <w:szCs w:val="24"/>
        </w:rPr>
        <w:t>Pereira, veintiséis (26) de julio de dos mil veintiuno (2021)  </w:t>
      </w:r>
    </w:p>
    <w:p w14:paraId="209B9D31" w14:textId="5D12C54D" w:rsidR="00F37BD8" w:rsidRPr="0068586F" w:rsidRDefault="00F37BD8" w:rsidP="0068586F">
      <w:pPr>
        <w:spacing w:line="276" w:lineRule="auto"/>
        <w:jc w:val="center"/>
        <w:rPr>
          <w:rFonts w:eastAsia="Tahoma" w:cs="Tahoma"/>
          <w:color w:val="000000" w:themeColor="text1"/>
          <w:szCs w:val="24"/>
        </w:rPr>
      </w:pPr>
      <w:r w:rsidRPr="0068586F">
        <w:rPr>
          <w:rFonts w:eastAsia="Tahoma" w:cs="Tahoma"/>
          <w:color w:val="000000" w:themeColor="text1"/>
          <w:szCs w:val="24"/>
        </w:rPr>
        <w:t> Acta No. </w:t>
      </w:r>
      <w:r w:rsidR="0094214E" w:rsidRPr="0068586F">
        <w:rPr>
          <w:rFonts w:eastAsia="Tahoma" w:cs="Tahoma"/>
          <w:color w:val="000000" w:themeColor="text1"/>
          <w:szCs w:val="24"/>
        </w:rPr>
        <w:t>117</w:t>
      </w:r>
      <w:r w:rsidRPr="0068586F">
        <w:rPr>
          <w:rFonts w:eastAsia="Tahoma" w:cs="Tahoma"/>
          <w:color w:val="000000" w:themeColor="text1"/>
          <w:szCs w:val="24"/>
        </w:rPr>
        <w:t xml:space="preserve"> del 22 de julio de 2021  </w:t>
      </w:r>
    </w:p>
    <w:p w14:paraId="3CDD4E79" w14:textId="7CF23A35" w:rsidR="00790DA9" w:rsidRPr="0068586F" w:rsidRDefault="00790DA9" w:rsidP="0068586F">
      <w:pPr>
        <w:spacing w:line="276" w:lineRule="auto"/>
        <w:jc w:val="center"/>
        <w:rPr>
          <w:rFonts w:cs="Tahoma"/>
          <w:b/>
          <w:szCs w:val="24"/>
        </w:rPr>
      </w:pPr>
    </w:p>
    <w:p w14:paraId="73AFF3DE" w14:textId="77777777" w:rsidR="00662FC5" w:rsidRPr="0068586F" w:rsidRDefault="00662FC5" w:rsidP="0068586F">
      <w:pPr>
        <w:spacing w:line="276" w:lineRule="auto"/>
        <w:jc w:val="center"/>
        <w:rPr>
          <w:rFonts w:cs="Tahoma"/>
          <w:b/>
          <w:szCs w:val="24"/>
        </w:rPr>
      </w:pPr>
    </w:p>
    <w:p w14:paraId="1118462F" w14:textId="0966279F" w:rsidR="00790DA9" w:rsidRPr="0068586F" w:rsidRDefault="00662FC5" w:rsidP="0068586F">
      <w:pPr>
        <w:spacing w:line="276" w:lineRule="auto"/>
        <w:ind w:firstLine="709"/>
        <w:rPr>
          <w:rFonts w:cs="Tahoma"/>
          <w:szCs w:val="24"/>
        </w:rPr>
      </w:pPr>
      <w:r w:rsidRPr="0068586F">
        <w:rPr>
          <w:rFonts w:cs="Tahoma"/>
          <w:szCs w:val="24"/>
        </w:rPr>
        <w:t>Teniendo en cuenta que el artículo 15 del Decreto No. 806 del 4 de junio de</w:t>
      </w:r>
      <w:r w:rsidR="2D108DAB" w:rsidRPr="0068586F">
        <w:rPr>
          <w:rFonts w:cs="Tahoma"/>
          <w:szCs w:val="24"/>
        </w:rPr>
        <w:t xml:space="preserve"> </w:t>
      </w:r>
      <w:r w:rsidRPr="0068586F">
        <w:rPr>
          <w:rFonts w:cs="Tahoma"/>
          <w:szCs w:val="24"/>
        </w:rPr>
        <w:t>2020, expedido por el Ministerio de Justicia y del Derecho, estableció que en la</w:t>
      </w:r>
      <w:r w:rsidR="00090CAB">
        <w:rPr>
          <w:rFonts w:cs="Tahoma"/>
          <w:szCs w:val="24"/>
        </w:rPr>
        <w:t xml:space="preserve"> </w:t>
      </w:r>
      <w:r w:rsidRPr="0068586F">
        <w:rPr>
          <w:rFonts w:cs="Tahoma"/>
          <w:szCs w:val="24"/>
        </w:rPr>
        <w:t>especialidad laboral se proferirán por escrito las providencias de segunda instancia</w:t>
      </w:r>
      <w:r w:rsidR="00090CAB">
        <w:rPr>
          <w:rFonts w:cs="Tahoma"/>
          <w:szCs w:val="24"/>
        </w:rPr>
        <w:t xml:space="preserve"> </w:t>
      </w:r>
      <w:r w:rsidRPr="0068586F">
        <w:rPr>
          <w:rFonts w:cs="Tahoma"/>
          <w:szCs w:val="24"/>
        </w:rPr>
        <w:t>en las que se surta el grado jurisdiccional de consulta o se resuelva el recurso de</w:t>
      </w:r>
      <w:r w:rsidR="00090CAB">
        <w:rPr>
          <w:rFonts w:cs="Tahoma"/>
          <w:szCs w:val="24"/>
        </w:rPr>
        <w:t xml:space="preserve"> </w:t>
      </w:r>
      <w:r w:rsidRPr="0068586F">
        <w:rPr>
          <w:rFonts w:cs="Tahoma"/>
          <w:szCs w:val="24"/>
        </w:rPr>
        <w:t xml:space="preserve">apelación de autos o sentencias, la Sala </w:t>
      </w:r>
      <w:r w:rsidR="005D0823" w:rsidRPr="0068586F">
        <w:rPr>
          <w:rFonts w:cs="Tahoma"/>
          <w:szCs w:val="24"/>
        </w:rPr>
        <w:t xml:space="preserve">Primera </w:t>
      </w:r>
      <w:r w:rsidRPr="0068586F">
        <w:rPr>
          <w:rFonts w:cs="Tahoma"/>
          <w:szCs w:val="24"/>
        </w:rPr>
        <w:t xml:space="preserve">de Decisión Laboral </w:t>
      </w:r>
      <w:r w:rsidR="005D0823" w:rsidRPr="0068586F">
        <w:rPr>
          <w:rFonts w:cs="Tahoma"/>
          <w:szCs w:val="24"/>
        </w:rPr>
        <w:t>del Tribunal Superior de Pereira</w:t>
      </w:r>
      <w:r w:rsidRPr="0068586F">
        <w:rPr>
          <w:rFonts w:cs="Tahoma"/>
          <w:szCs w:val="24"/>
        </w:rPr>
        <w:t>, integrada por las</w:t>
      </w:r>
      <w:r w:rsidR="00881144" w:rsidRPr="0068586F">
        <w:rPr>
          <w:rFonts w:cs="Tahoma"/>
          <w:szCs w:val="24"/>
        </w:rPr>
        <w:t xml:space="preserve"> </w:t>
      </w:r>
      <w:r w:rsidRPr="0068586F">
        <w:rPr>
          <w:rFonts w:cs="Tahoma"/>
          <w:szCs w:val="24"/>
        </w:rPr>
        <w:t xml:space="preserve">Magistradas ANA LUCÍA CAICEDO </w:t>
      </w:r>
      <w:r w:rsidR="00881144" w:rsidRPr="0068586F">
        <w:rPr>
          <w:rFonts w:cs="Tahoma"/>
          <w:szCs w:val="24"/>
        </w:rPr>
        <w:t>C</w:t>
      </w:r>
      <w:r w:rsidRPr="0068586F">
        <w:rPr>
          <w:rFonts w:cs="Tahoma"/>
          <w:szCs w:val="24"/>
        </w:rPr>
        <w:t>ALDERÓN</w:t>
      </w:r>
      <w:r w:rsidR="005D0823" w:rsidRPr="0068586F">
        <w:rPr>
          <w:rFonts w:cs="Tahoma"/>
          <w:szCs w:val="24"/>
        </w:rPr>
        <w:t>,</w:t>
      </w:r>
      <w:r w:rsidRPr="0068586F">
        <w:rPr>
          <w:rFonts w:cs="Tahoma"/>
          <w:szCs w:val="24"/>
        </w:rPr>
        <w:t xml:space="preserve"> como Ponente, </w:t>
      </w:r>
      <w:r w:rsidR="005D0823" w:rsidRPr="0068586F">
        <w:rPr>
          <w:rFonts w:cs="Tahoma"/>
          <w:szCs w:val="24"/>
        </w:rPr>
        <w:t xml:space="preserve">y </w:t>
      </w:r>
      <w:r w:rsidRPr="0068586F">
        <w:rPr>
          <w:rFonts w:cs="Tahoma"/>
          <w:szCs w:val="24"/>
        </w:rPr>
        <w:t>OLGA LUCÍA HOYOS</w:t>
      </w:r>
      <w:r w:rsidR="00881144" w:rsidRPr="0068586F">
        <w:rPr>
          <w:rFonts w:cs="Tahoma"/>
          <w:szCs w:val="24"/>
        </w:rPr>
        <w:t xml:space="preserve"> </w:t>
      </w:r>
      <w:r w:rsidRPr="0068586F">
        <w:rPr>
          <w:rFonts w:cs="Tahoma"/>
          <w:szCs w:val="24"/>
        </w:rPr>
        <w:t>SEPÚLVEDA</w:t>
      </w:r>
      <w:r w:rsidR="005D0823" w:rsidRPr="0068586F">
        <w:rPr>
          <w:rFonts w:cs="Tahoma"/>
          <w:szCs w:val="24"/>
        </w:rPr>
        <w:t>,</w:t>
      </w:r>
      <w:r w:rsidRPr="0068586F">
        <w:rPr>
          <w:rFonts w:cs="Tahoma"/>
          <w:szCs w:val="24"/>
        </w:rPr>
        <w:t xml:space="preserve"> y el Magistrado GERMÁN DARIO </w:t>
      </w:r>
      <w:r w:rsidRPr="0068586F">
        <w:rPr>
          <w:rFonts w:cs="Tahoma"/>
          <w:szCs w:val="24"/>
        </w:rPr>
        <w:lastRenderedPageBreak/>
        <w:t>GOEZ VINASCO, procede a proferir la</w:t>
      </w:r>
      <w:r w:rsidR="00881144" w:rsidRPr="0068586F">
        <w:rPr>
          <w:rFonts w:cs="Tahoma"/>
          <w:szCs w:val="24"/>
        </w:rPr>
        <w:t xml:space="preserve"> </w:t>
      </w:r>
      <w:r w:rsidRPr="0068586F">
        <w:rPr>
          <w:rFonts w:cs="Tahoma"/>
          <w:szCs w:val="24"/>
        </w:rPr>
        <w:t xml:space="preserve">siguiente sentencia escrita dentro del proceso </w:t>
      </w:r>
      <w:r w:rsidRPr="00140BB3">
        <w:rPr>
          <w:rFonts w:cs="Tahoma"/>
          <w:b/>
          <w:szCs w:val="24"/>
        </w:rPr>
        <w:t>ordinario laboral</w:t>
      </w:r>
      <w:r w:rsidRPr="0068586F">
        <w:rPr>
          <w:rFonts w:cs="Tahoma"/>
          <w:szCs w:val="24"/>
        </w:rPr>
        <w:t xml:space="preserve"> instaurado por </w:t>
      </w:r>
      <w:r w:rsidR="00032108" w:rsidRPr="0068586F">
        <w:rPr>
          <w:rFonts w:cs="Tahoma"/>
          <w:b/>
          <w:bCs/>
          <w:szCs w:val="24"/>
        </w:rPr>
        <w:t>María Dori</w:t>
      </w:r>
      <w:r w:rsidR="000072F6" w:rsidRPr="0068586F">
        <w:rPr>
          <w:rFonts w:cs="Tahoma"/>
          <w:b/>
          <w:bCs/>
          <w:szCs w:val="24"/>
        </w:rPr>
        <w:t>s</w:t>
      </w:r>
      <w:r w:rsidR="00032108" w:rsidRPr="0068586F">
        <w:rPr>
          <w:rFonts w:cs="Tahoma"/>
          <w:b/>
          <w:bCs/>
          <w:szCs w:val="24"/>
        </w:rPr>
        <w:t xml:space="preserve"> Vinasco González </w:t>
      </w:r>
      <w:r w:rsidR="00790DA9" w:rsidRPr="0068586F">
        <w:rPr>
          <w:rFonts w:cs="Tahoma"/>
          <w:szCs w:val="24"/>
        </w:rPr>
        <w:t xml:space="preserve">en contra de la </w:t>
      </w:r>
      <w:r w:rsidR="00790DA9" w:rsidRPr="0068586F">
        <w:rPr>
          <w:rFonts w:cs="Tahoma"/>
          <w:b/>
          <w:bCs/>
          <w:szCs w:val="24"/>
        </w:rPr>
        <w:t xml:space="preserve">Administradora Colombiana de Pensiones </w:t>
      </w:r>
      <w:r w:rsidR="00B8317C" w:rsidRPr="0068586F">
        <w:rPr>
          <w:rFonts w:cs="Tahoma"/>
          <w:b/>
          <w:bCs/>
          <w:szCs w:val="24"/>
        </w:rPr>
        <w:t>–</w:t>
      </w:r>
      <w:r w:rsidR="00790DA9" w:rsidRPr="0068586F">
        <w:rPr>
          <w:rFonts w:cs="Tahoma"/>
          <w:b/>
          <w:bCs/>
          <w:szCs w:val="24"/>
        </w:rPr>
        <w:t xml:space="preserve"> Colpensiones</w:t>
      </w:r>
      <w:r w:rsidR="00032108" w:rsidRPr="0068586F">
        <w:rPr>
          <w:rFonts w:cs="Tahoma"/>
          <w:szCs w:val="24"/>
        </w:rPr>
        <w:t>.</w:t>
      </w:r>
    </w:p>
    <w:p w14:paraId="6B4944D3" w14:textId="77777777" w:rsidR="00790DA9" w:rsidRPr="0068586F" w:rsidRDefault="00790DA9" w:rsidP="0068586F">
      <w:pPr>
        <w:spacing w:line="276" w:lineRule="auto"/>
        <w:rPr>
          <w:rFonts w:cs="Tahoma"/>
          <w:szCs w:val="24"/>
        </w:rPr>
      </w:pPr>
    </w:p>
    <w:p w14:paraId="74E244FD" w14:textId="76777837" w:rsidR="00790DA9" w:rsidRPr="0068586F" w:rsidRDefault="00790DA9" w:rsidP="0068586F">
      <w:pPr>
        <w:pStyle w:val="paragraph"/>
        <w:spacing w:before="0" w:beforeAutospacing="0" w:after="0" w:afterAutospacing="0" w:line="276" w:lineRule="auto"/>
        <w:jc w:val="center"/>
        <w:textAlignment w:val="baseline"/>
        <w:rPr>
          <w:rStyle w:val="normaltextrun"/>
          <w:rFonts w:ascii="Tahoma" w:hAnsi="Tahoma" w:cs="Tahoma"/>
          <w:b/>
          <w:bCs/>
        </w:rPr>
      </w:pPr>
      <w:r w:rsidRPr="0068586F">
        <w:rPr>
          <w:rStyle w:val="normaltextrun"/>
          <w:rFonts w:ascii="Tahoma" w:hAnsi="Tahoma" w:cs="Tahoma"/>
          <w:b/>
          <w:bCs/>
        </w:rPr>
        <w:t>PUNTO A TRATAR</w:t>
      </w:r>
    </w:p>
    <w:p w14:paraId="604BDCDA" w14:textId="77777777" w:rsidR="00EF5C33" w:rsidRPr="0068586F" w:rsidRDefault="00EF5C33" w:rsidP="0068586F">
      <w:pPr>
        <w:pStyle w:val="paragraph"/>
        <w:spacing w:before="0" w:beforeAutospacing="0" w:after="0" w:afterAutospacing="0" w:line="276" w:lineRule="auto"/>
        <w:jc w:val="center"/>
        <w:textAlignment w:val="baseline"/>
        <w:rPr>
          <w:rFonts w:ascii="Tahoma" w:hAnsi="Tahoma" w:cs="Tahoma"/>
        </w:rPr>
      </w:pPr>
    </w:p>
    <w:p w14:paraId="277DA54F" w14:textId="4562D82A" w:rsidR="00790DA9" w:rsidRPr="0068586F" w:rsidRDefault="00790DA9" w:rsidP="0068586F">
      <w:pPr>
        <w:spacing w:line="276" w:lineRule="auto"/>
        <w:ind w:firstLine="708"/>
        <w:rPr>
          <w:rFonts w:cs="Tahoma"/>
          <w:szCs w:val="24"/>
        </w:rPr>
      </w:pPr>
      <w:r w:rsidRPr="0068586F">
        <w:rPr>
          <w:rStyle w:val="normaltextrun"/>
          <w:rFonts w:cs="Tahoma"/>
          <w:szCs w:val="24"/>
        </w:rPr>
        <w:t>Por medio de esta providencia procede la Sala a</w:t>
      </w:r>
      <w:r w:rsidRPr="0068586F">
        <w:rPr>
          <w:rFonts w:cs="Tahoma"/>
          <w:szCs w:val="24"/>
        </w:rPr>
        <w:t xml:space="preserve"> resolver </w:t>
      </w:r>
      <w:r w:rsidR="00032108" w:rsidRPr="0068586F">
        <w:rPr>
          <w:rFonts w:cs="Tahoma"/>
          <w:szCs w:val="24"/>
        </w:rPr>
        <w:t>e</w:t>
      </w:r>
      <w:r w:rsidRPr="0068586F">
        <w:rPr>
          <w:rFonts w:cs="Tahoma"/>
          <w:szCs w:val="24"/>
        </w:rPr>
        <w:t xml:space="preserve">l recurso de apelación interpuesto por </w:t>
      </w:r>
      <w:r w:rsidR="00032108" w:rsidRPr="0068586F">
        <w:rPr>
          <w:rFonts w:cs="Tahoma"/>
          <w:szCs w:val="24"/>
        </w:rPr>
        <w:t>el apoderado de la demandante</w:t>
      </w:r>
      <w:r w:rsidRPr="0068586F">
        <w:rPr>
          <w:rFonts w:cs="Tahoma"/>
          <w:szCs w:val="24"/>
        </w:rPr>
        <w:t xml:space="preserve"> en contra de la sentencia proferida el </w:t>
      </w:r>
      <w:r w:rsidR="00032108" w:rsidRPr="0068586F">
        <w:rPr>
          <w:rFonts w:cs="Tahoma"/>
          <w:szCs w:val="24"/>
        </w:rPr>
        <w:t xml:space="preserve">1º </w:t>
      </w:r>
      <w:r w:rsidRPr="0068586F">
        <w:rPr>
          <w:rFonts w:cs="Tahoma"/>
          <w:szCs w:val="24"/>
        </w:rPr>
        <w:t xml:space="preserve">de </w:t>
      </w:r>
      <w:r w:rsidR="00EB3C0B" w:rsidRPr="0068586F">
        <w:rPr>
          <w:rFonts w:cs="Tahoma"/>
          <w:szCs w:val="24"/>
        </w:rPr>
        <w:t>marzo</w:t>
      </w:r>
      <w:r w:rsidRPr="0068586F">
        <w:rPr>
          <w:rFonts w:cs="Tahoma"/>
          <w:szCs w:val="24"/>
        </w:rPr>
        <w:t xml:space="preserve"> de 202</w:t>
      </w:r>
      <w:r w:rsidR="00EB3C0B" w:rsidRPr="0068586F">
        <w:rPr>
          <w:rFonts w:cs="Tahoma"/>
          <w:szCs w:val="24"/>
        </w:rPr>
        <w:t>1</w:t>
      </w:r>
      <w:r w:rsidRPr="0068586F">
        <w:rPr>
          <w:rFonts w:cs="Tahoma"/>
          <w:szCs w:val="24"/>
        </w:rPr>
        <w:t>, por el Juzgado</w:t>
      </w:r>
      <w:r w:rsidR="00032108" w:rsidRPr="0068586F">
        <w:rPr>
          <w:rFonts w:cs="Tahoma"/>
          <w:szCs w:val="24"/>
        </w:rPr>
        <w:t xml:space="preserve"> Tercero</w:t>
      </w:r>
      <w:r w:rsidRPr="0068586F">
        <w:rPr>
          <w:rFonts w:cs="Tahoma"/>
          <w:szCs w:val="24"/>
        </w:rPr>
        <w:t xml:space="preserve"> Laboral del Circuito de Pereira</w:t>
      </w:r>
      <w:r w:rsidR="005D0823" w:rsidRPr="0068586F">
        <w:rPr>
          <w:rFonts w:cs="Tahoma"/>
          <w:szCs w:val="24"/>
        </w:rPr>
        <w:t xml:space="preserve">. </w:t>
      </w:r>
      <w:r w:rsidRPr="0068586F">
        <w:rPr>
          <w:rStyle w:val="normaltextrun"/>
          <w:rFonts w:cs="Tahoma"/>
          <w:szCs w:val="24"/>
        </w:rPr>
        <w:t>Para ello se tiene en cuenta lo siguiente: </w:t>
      </w:r>
    </w:p>
    <w:p w14:paraId="61C23A58" w14:textId="77777777" w:rsidR="00032108" w:rsidRPr="0068586F" w:rsidRDefault="00032108" w:rsidP="0068586F">
      <w:pPr>
        <w:spacing w:line="276" w:lineRule="auto"/>
        <w:ind w:firstLine="708"/>
        <w:rPr>
          <w:rFonts w:cs="Tahoma"/>
          <w:b/>
          <w:szCs w:val="24"/>
        </w:rPr>
      </w:pPr>
    </w:p>
    <w:p w14:paraId="783EB004" w14:textId="77777777" w:rsidR="00790DA9" w:rsidRPr="0068586F" w:rsidRDefault="00790DA9" w:rsidP="0068586F">
      <w:pPr>
        <w:pStyle w:val="Prrafodelista"/>
        <w:numPr>
          <w:ilvl w:val="0"/>
          <w:numId w:val="1"/>
        </w:numPr>
        <w:spacing w:line="276" w:lineRule="auto"/>
        <w:ind w:left="426" w:hanging="426"/>
        <w:jc w:val="center"/>
        <w:rPr>
          <w:rFonts w:cs="Tahoma"/>
          <w:b/>
          <w:bCs/>
          <w:szCs w:val="24"/>
        </w:rPr>
      </w:pPr>
      <w:r w:rsidRPr="0068586F">
        <w:rPr>
          <w:rFonts w:cs="Tahoma"/>
          <w:b/>
          <w:bCs/>
          <w:szCs w:val="24"/>
        </w:rPr>
        <w:t>Demanda y su contestación</w:t>
      </w:r>
    </w:p>
    <w:p w14:paraId="17F37787" w14:textId="77777777" w:rsidR="00790DA9" w:rsidRPr="0068586F" w:rsidRDefault="00790DA9" w:rsidP="0068586F">
      <w:pPr>
        <w:spacing w:line="276" w:lineRule="auto"/>
        <w:ind w:firstLine="708"/>
        <w:rPr>
          <w:rStyle w:val="normaltextrun"/>
          <w:rFonts w:cs="Tahoma"/>
          <w:szCs w:val="24"/>
        </w:rPr>
      </w:pPr>
    </w:p>
    <w:p w14:paraId="097ED88C" w14:textId="526ACB35" w:rsidR="00032108" w:rsidRPr="0068586F" w:rsidRDefault="00790DA9" w:rsidP="0068586F">
      <w:pPr>
        <w:spacing w:line="276" w:lineRule="auto"/>
        <w:ind w:firstLine="708"/>
        <w:rPr>
          <w:rStyle w:val="normaltextrun"/>
          <w:rFonts w:cs="Tahoma"/>
          <w:szCs w:val="24"/>
        </w:rPr>
      </w:pPr>
      <w:r w:rsidRPr="0068586F">
        <w:rPr>
          <w:rStyle w:val="normaltextrun"/>
          <w:rFonts w:cs="Tahoma"/>
          <w:szCs w:val="24"/>
        </w:rPr>
        <w:t>Pretende l</w:t>
      </w:r>
      <w:r w:rsidR="00032108" w:rsidRPr="0068586F">
        <w:rPr>
          <w:rStyle w:val="normaltextrun"/>
          <w:rFonts w:cs="Tahoma"/>
          <w:szCs w:val="24"/>
        </w:rPr>
        <w:t>a</w:t>
      </w:r>
      <w:r w:rsidRPr="0068586F">
        <w:rPr>
          <w:rStyle w:val="normaltextrun"/>
          <w:rFonts w:cs="Tahoma"/>
          <w:szCs w:val="24"/>
        </w:rPr>
        <w:t xml:space="preserve"> demandante que se declare</w:t>
      </w:r>
      <w:r w:rsidR="00032108" w:rsidRPr="0068586F">
        <w:rPr>
          <w:rStyle w:val="normaltextrun"/>
          <w:rFonts w:cs="Tahoma"/>
          <w:szCs w:val="24"/>
        </w:rPr>
        <w:t xml:space="preserve"> que tiene derecho a la pensión de invalidez a partir del 8 de mayo de 2014, en cuantía de $849.000. En consecuencia, pide que se condene a Colpensiones al pago de dicha prestación, cancelando las diferencias causadas con la mesada pensional que viene percibiendo, retroactivamente y de manera indexada.</w:t>
      </w:r>
    </w:p>
    <w:p w14:paraId="38A0FE42" w14:textId="77777777" w:rsidR="00032108" w:rsidRPr="0068586F" w:rsidRDefault="00032108" w:rsidP="0068586F">
      <w:pPr>
        <w:spacing w:line="276" w:lineRule="auto"/>
        <w:ind w:firstLine="708"/>
        <w:rPr>
          <w:rStyle w:val="normaltextrun"/>
          <w:rFonts w:cs="Tahoma"/>
          <w:szCs w:val="24"/>
        </w:rPr>
      </w:pPr>
    </w:p>
    <w:p w14:paraId="723D2312" w14:textId="0F62C811" w:rsidR="00790DA9" w:rsidRPr="0068586F" w:rsidRDefault="00032108" w:rsidP="0068586F">
      <w:pPr>
        <w:spacing w:line="276" w:lineRule="auto"/>
        <w:ind w:firstLine="708"/>
        <w:rPr>
          <w:rStyle w:val="normaltextrun"/>
          <w:rFonts w:cs="Tahoma"/>
          <w:szCs w:val="24"/>
        </w:rPr>
      </w:pPr>
      <w:r w:rsidRPr="0068586F">
        <w:rPr>
          <w:rStyle w:val="normaltextrun"/>
          <w:rFonts w:cs="Tahoma"/>
          <w:szCs w:val="24"/>
        </w:rPr>
        <w:t>Para así pedir, manifiesta que el 4 de agosto de 2014 fue calificada por el Departamento de Medicina Laboral de Colpensiones</w:t>
      </w:r>
      <w:r w:rsidR="00F37BD8" w:rsidRPr="0068586F">
        <w:rPr>
          <w:rStyle w:val="normaltextrun"/>
          <w:rFonts w:cs="Tahoma"/>
          <w:szCs w:val="24"/>
        </w:rPr>
        <w:t>,</w:t>
      </w:r>
      <w:r w:rsidRPr="0068586F">
        <w:rPr>
          <w:rStyle w:val="normaltextrun"/>
          <w:rFonts w:cs="Tahoma"/>
          <w:szCs w:val="24"/>
        </w:rPr>
        <w:t xml:space="preserve"> entidad que determinó que tenía una pérdida de capacidad laboral del </w:t>
      </w:r>
      <w:r w:rsidR="00191285" w:rsidRPr="0068586F">
        <w:rPr>
          <w:rStyle w:val="normaltextrun"/>
          <w:rFonts w:cs="Tahoma"/>
          <w:szCs w:val="24"/>
        </w:rPr>
        <w:t>56,77%, de origen común, estructurada el 8 de mayo de 2014.</w:t>
      </w:r>
    </w:p>
    <w:p w14:paraId="067DEF34" w14:textId="284E4A66" w:rsidR="00191285" w:rsidRPr="0068586F" w:rsidRDefault="00191285" w:rsidP="0068586F">
      <w:pPr>
        <w:spacing w:line="276" w:lineRule="auto"/>
        <w:ind w:firstLine="708"/>
        <w:rPr>
          <w:rStyle w:val="normaltextrun"/>
          <w:rFonts w:cs="Tahoma"/>
          <w:szCs w:val="24"/>
        </w:rPr>
      </w:pPr>
    </w:p>
    <w:p w14:paraId="5E8900D9" w14:textId="6675E0A2" w:rsidR="00191285" w:rsidRPr="0068586F" w:rsidRDefault="00191285" w:rsidP="0068586F">
      <w:pPr>
        <w:spacing w:line="276" w:lineRule="auto"/>
        <w:ind w:firstLine="708"/>
        <w:rPr>
          <w:rStyle w:val="normaltextrun"/>
          <w:rFonts w:cs="Tahoma"/>
          <w:szCs w:val="24"/>
        </w:rPr>
      </w:pPr>
      <w:r w:rsidRPr="0068586F">
        <w:rPr>
          <w:rStyle w:val="normaltextrun"/>
          <w:rFonts w:cs="Tahoma"/>
          <w:szCs w:val="24"/>
        </w:rPr>
        <w:t xml:space="preserve">Refiere que mediante la Resolución SUB 2454 de 2019, </w:t>
      </w:r>
      <w:r w:rsidR="00290DEE" w:rsidRPr="0068586F">
        <w:rPr>
          <w:rStyle w:val="normaltextrun"/>
          <w:rFonts w:cs="Tahoma"/>
          <w:szCs w:val="24"/>
        </w:rPr>
        <w:t xml:space="preserve">Colpensiones </w:t>
      </w:r>
      <w:r w:rsidRPr="0068586F">
        <w:rPr>
          <w:rStyle w:val="normaltextrun"/>
          <w:rFonts w:cs="Tahoma"/>
          <w:szCs w:val="24"/>
        </w:rPr>
        <w:t xml:space="preserve">revocó las Resoluciones GNR 384328 de 2016 y GNR 53394 de 2017, por medio de las cuales reconoció y reliquidó, respectivamente, </w:t>
      </w:r>
      <w:r w:rsidR="00290DEE" w:rsidRPr="0068586F">
        <w:rPr>
          <w:rStyle w:val="normaltextrun"/>
          <w:rFonts w:cs="Tahoma"/>
          <w:szCs w:val="24"/>
        </w:rPr>
        <w:t>su</w:t>
      </w:r>
      <w:r w:rsidRPr="0068586F">
        <w:rPr>
          <w:rStyle w:val="normaltextrun"/>
          <w:rFonts w:cs="Tahoma"/>
          <w:szCs w:val="24"/>
        </w:rPr>
        <w:t xml:space="preserve"> pensión de invalidez</w:t>
      </w:r>
      <w:r w:rsidR="00290DEE" w:rsidRPr="0068586F">
        <w:rPr>
          <w:rStyle w:val="normaltextrun"/>
          <w:rFonts w:cs="Tahoma"/>
          <w:szCs w:val="24"/>
        </w:rPr>
        <w:t>.</w:t>
      </w:r>
    </w:p>
    <w:p w14:paraId="2109FB55" w14:textId="16FBB11E" w:rsidR="00191285" w:rsidRPr="0068586F" w:rsidRDefault="00191285" w:rsidP="0068586F">
      <w:pPr>
        <w:spacing w:line="276" w:lineRule="auto"/>
        <w:ind w:firstLine="708"/>
        <w:rPr>
          <w:rStyle w:val="normaltextrun"/>
          <w:rFonts w:cs="Tahoma"/>
          <w:szCs w:val="24"/>
        </w:rPr>
      </w:pPr>
    </w:p>
    <w:p w14:paraId="38FCF568" w14:textId="60458006" w:rsidR="00191285" w:rsidRPr="0068586F" w:rsidRDefault="00191285" w:rsidP="0068586F">
      <w:pPr>
        <w:spacing w:line="276" w:lineRule="auto"/>
        <w:ind w:firstLine="708"/>
        <w:rPr>
          <w:rStyle w:val="normaltextrun"/>
          <w:rFonts w:cs="Tahoma"/>
          <w:szCs w:val="24"/>
        </w:rPr>
      </w:pPr>
      <w:r w:rsidRPr="0068586F">
        <w:rPr>
          <w:rStyle w:val="normaltextrun"/>
          <w:rFonts w:cs="Tahoma"/>
          <w:szCs w:val="24"/>
        </w:rPr>
        <w:t xml:space="preserve">Sostiene que la Sala Cuarta de Decisión del Tribunal de lo Contencioso Administrativo de Risaralda, en sentencia del 22 de marzo de 2019, ordenó a Colpensiones que restableciera el pago de la pensión de invalidez de manera transitoria, </w:t>
      </w:r>
      <w:r w:rsidR="00290DEE" w:rsidRPr="0068586F">
        <w:rPr>
          <w:rStyle w:val="normaltextrun"/>
          <w:rFonts w:cs="Tahoma"/>
          <w:szCs w:val="24"/>
        </w:rPr>
        <w:t>concediéndole a ella e</w:t>
      </w:r>
      <w:r w:rsidRPr="0068586F">
        <w:rPr>
          <w:rStyle w:val="normaltextrun"/>
          <w:rFonts w:cs="Tahoma"/>
          <w:szCs w:val="24"/>
        </w:rPr>
        <w:t>l término de 4 meses a efectos de que iniciara el proceso ordinario que decidiera de fondo el asunto objeto de la acción.</w:t>
      </w:r>
    </w:p>
    <w:p w14:paraId="0C96D170" w14:textId="10ED6379" w:rsidR="00871F44" w:rsidRPr="0068586F" w:rsidRDefault="00871F44" w:rsidP="0068586F">
      <w:pPr>
        <w:spacing w:line="276" w:lineRule="auto"/>
        <w:ind w:firstLine="708"/>
        <w:rPr>
          <w:rStyle w:val="normaltextrun"/>
          <w:rFonts w:cs="Tahoma"/>
          <w:szCs w:val="24"/>
        </w:rPr>
      </w:pPr>
    </w:p>
    <w:p w14:paraId="7E0DCBC1" w14:textId="654D6050" w:rsidR="00871F44" w:rsidRPr="0068586F" w:rsidRDefault="00871F44" w:rsidP="0068586F">
      <w:pPr>
        <w:spacing w:line="276" w:lineRule="auto"/>
        <w:ind w:firstLine="708"/>
        <w:rPr>
          <w:rStyle w:val="normaltextrun"/>
          <w:rFonts w:cs="Tahoma"/>
          <w:szCs w:val="24"/>
        </w:rPr>
      </w:pPr>
      <w:r w:rsidRPr="0068586F">
        <w:rPr>
          <w:rStyle w:val="normaltextrun"/>
          <w:rFonts w:cs="Tahoma"/>
          <w:szCs w:val="24"/>
        </w:rPr>
        <w:t>Indica que Colpensiones atendió el fallo de tutela mediante la Resolución SUB 74962 de 2019, reactivando el pago de la prestación, respecto de la cual afirma que debe reliquidarse teniendo en cuenta el IBL calculado por la entidad demandada y una tasa de reemplazo del 75%, en razón al número de semanas cotizadas.</w:t>
      </w:r>
    </w:p>
    <w:p w14:paraId="710088ED" w14:textId="77777777" w:rsidR="00790DA9" w:rsidRPr="0068586F" w:rsidRDefault="00790DA9" w:rsidP="0068586F">
      <w:pPr>
        <w:spacing w:line="276" w:lineRule="auto"/>
        <w:rPr>
          <w:rFonts w:cs="Tahoma"/>
          <w:szCs w:val="24"/>
        </w:rPr>
      </w:pPr>
    </w:p>
    <w:p w14:paraId="3464F867" w14:textId="50980FF2" w:rsidR="00871F44" w:rsidRPr="0068586F" w:rsidRDefault="00790DA9" w:rsidP="0068586F">
      <w:pPr>
        <w:spacing w:line="276" w:lineRule="auto"/>
        <w:ind w:firstLine="708"/>
        <w:rPr>
          <w:rStyle w:val="normaltextrun"/>
          <w:rFonts w:cs="Tahoma"/>
          <w:szCs w:val="24"/>
        </w:rPr>
      </w:pPr>
      <w:r w:rsidRPr="0068586F">
        <w:rPr>
          <w:rStyle w:val="normaltextrun"/>
          <w:rFonts w:cs="Tahoma"/>
          <w:b/>
          <w:bCs/>
          <w:szCs w:val="24"/>
        </w:rPr>
        <w:t>Colpensiones</w:t>
      </w:r>
      <w:r w:rsidRPr="0068586F">
        <w:rPr>
          <w:rStyle w:val="normaltextrun"/>
          <w:rFonts w:cs="Tahoma"/>
          <w:szCs w:val="24"/>
        </w:rPr>
        <w:t xml:space="preserve"> </w:t>
      </w:r>
      <w:r w:rsidR="00FF6DD0" w:rsidRPr="0068586F">
        <w:rPr>
          <w:rStyle w:val="normaltextrun"/>
          <w:rFonts w:cs="Tahoma"/>
          <w:szCs w:val="24"/>
        </w:rPr>
        <w:t>se opuso</w:t>
      </w:r>
      <w:r w:rsidRPr="0068586F">
        <w:rPr>
          <w:rStyle w:val="normaltextrun"/>
          <w:rFonts w:cs="Tahoma"/>
          <w:szCs w:val="24"/>
        </w:rPr>
        <w:t xml:space="preserve"> a las pretensiones </w:t>
      </w:r>
      <w:r w:rsidR="00871F44" w:rsidRPr="0068586F">
        <w:rPr>
          <w:rStyle w:val="normaltextrun"/>
          <w:rFonts w:cs="Tahoma"/>
          <w:szCs w:val="24"/>
        </w:rPr>
        <w:t>aduciendo que la demandante no ha acreditado</w:t>
      </w:r>
      <w:r w:rsidR="003537F0" w:rsidRPr="0068586F">
        <w:rPr>
          <w:rStyle w:val="normaltextrun"/>
          <w:rFonts w:cs="Tahoma"/>
          <w:szCs w:val="24"/>
        </w:rPr>
        <w:t>, mediante el documento idóneo, qué periodos le fueron cancelados por su EPS por concepto de incapacidades. En virtud de lo anterior, propuso como excepciones de mérito las de “Cobro de lo no debido”, “Cobro de lo no debido – Intereses moratorios”; “Compensación”; “Prescripción” y “Buena fe”.</w:t>
      </w:r>
    </w:p>
    <w:p w14:paraId="6CFBC671" w14:textId="77777777" w:rsidR="00F37BD8" w:rsidRPr="0068586F" w:rsidRDefault="00F37BD8" w:rsidP="0068586F">
      <w:pPr>
        <w:spacing w:line="276" w:lineRule="auto"/>
        <w:rPr>
          <w:rFonts w:cs="Tahoma"/>
          <w:b/>
          <w:bCs/>
          <w:szCs w:val="24"/>
        </w:rPr>
      </w:pPr>
    </w:p>
    <w:p w14:paraId="2FF3E5FC" w14:textId="77777777" w:rsidR="00790DA9" w:rsidRPr="0068586F" w:rsidRDefault="00790DA9" w:rsidP="0068586F">
      <w:pPr>
        <w:pStyle w:val="Prrafodelista"/>
        <w:numPr>
          <w:ilvl w:val="0"/>
          <w:numId w:val="1"/>
        </w:numPr>
        <w:spacing w:line="276" w:lineRule="auto"/>
        <w:ind w:left="426" w:hanging="426"/>
        <w:jc w:val="center"/>
        <w:rPr>
          <w:rFonts w:cs="Tahoma"/>
          <w:b/>
          <w:bCs/>
          <w:szCs w:val="24"/>
        </w:rPr>
      </w:pPr>
      <w:r w:rsidRPr="0068586F">
        <w:rPr>
          <w:rFonts w:cs="Tahoma"/>
          <w:b/>
          <w:bCs/>
          <w:szCs w:val="24"/>
        </w:rPr>
        <w:t>Sentencia de primera instancia</w:t>
      </w:r>
    </w:p>
    <w:p w14:paraId="3ACAB8F5" w14:textId="77777777" w:rsidR="00790DA9" w:rsidRPr="0068586F" w:rsidRDefault="00790DA9" w:rsidP="0068586F">
      <w:pPr>
        <w:spacing w:line="276" w:lineRule="auto"/>
        <w:ind w:left="360"/>
        <w:rPr>
          <w:rFonts w:cs="Tahoma"/>
          <w:b/>
          <w:bCs/>
          <w:szCs w:val="24"/>
        </w:rPr>
      </w:pPr>
    </w:p>
    <w:p w14:paraId="47837F95" w14:textId="28130D19" w:rsidR="00957F43" w:rsidRPr="0068586F" w:rsidRDefault="00790DA9" w:rsidP="0068586F">
      <w:pPr>
        <w:spacing w:line="276" w:lineRule="auto"/>
        <w:ind w:firstLine="360"/>
        <w:rPr>
          <w:rFonts w:cs="Tahoma"/>
          <w:szCs w:val="24"/>
        </w:rPr>
      </w:pPr>
      <w:r w:rsidRPr="0068586F">
        <w:rPr>
          <w:rFonts w:cs="Tahoma"/>
          <w:szCs w:val="24"/>
        </w:rPr>
        <w:t xml:space="preserve">La Jueza de primera instancia, </w:t>
      </w:r>
      <w:r w:rsidR="00957F43" w:rsidRPr="0068586F">
        <w:rPr>
          <w:rFonts w:cs="Tahoma"/>
          <w:szCs w:val="24"/>
        </w:rPr>
        <w:t>declaró probada la excepción de “</w:t>
      </w:r>
      <w:r w:rsidR="00F37BD8" w:rsidRPr="0068586F">
        <w:rPr>
          <w:rFonts w:cs="Tahoma"/>
          <w:szCs w:val="24"/>
        </w:rPr>
        <w:t>cobro de</w:t>
      </w:r>
      <w:r w:rsidR="00957F43" w:rsidRPr="0068586F">
        <w:rPr>
          <w:rFonts w:cs="Tahoma"/>
          <w:szCs w:val="24"/>
        </w:rPr>
        <w:t xml:space="preserve"> lo no debido” propuesta Colpensiones y, en consecuencia, negó la totalidad de las pretensiones de </w:t>
      </w:r>
      <w:r w:rsidR="3E700EF6" w:rsidRPr="0068586F">
        <w:rPr>
          <w:rFonts w:cs="Tahoma"/>
          <w:szCs w:val="24"/>
        </w:rPr>
        <w:t>la señora</w:t>
      </w:r>
      <w:r w:rsidR="00957F43" w:rsidRPr="0068586F">
        <w:rPr>
          <w:rFonts w:cs="Tahoma"/>
          <w:szCs w:val="24"/>
        </w:rPr>
        <w:t xml:space="preserve"> </w:t>
      </w:r>
      <w:r w:rsidR="0022178A" w:rsidRPr="0068586F">
        <w:rPr>
          <w:rFonts w:cs="Tahoma"/>
          <w:szCs w:val="24"/>
        </w:rPr>
        <w:t>María Doris Vinasco González</w:t>
      </w:r>
      <w:r w:rsidR="00957F43" w:rsidRPr="0068586F">
        <w:rPr>
          <w:rFonts w:cs="Tahoma"/>
          <w:szCs w:val="24"/>
        </w:rPr>
        <w:t>, a quien condenó al pago del 100% de las costas proce</w:t>
      </w:r>
      <w:r w:rsidR="0094214E" w:rsidRPr="0068586F">
        <w:rPr>
          <w:rFonts w:cs="Tahoma"/>
          <w:szCs w:val="24"/>
        </w:rPr>
        <w:t>s</w:t>
      </w:r>
      <w:r w:rsidR="00957F43" w:rsidRPr="0068586F">
        <w:rPr>
          <w:rFonts w:cs="Tahoma"/>
          <w:szCs w:val="24"/>
        </w:rPr>
        <w:t xml:space="preserve">ales a favor </w:t>
      </w:r>
      <w:r w:rsidR="0022178A" w:rsidRPr="0068586F">
        <w:rPr>
          <w:rFonts w:cs="Tahoma"/>
          <w:szCs w:val="24"/>
        </w:rPr>
        <w:t>de la</w:t>
      </w:r>
      <w:r w:rsidR="00957F43" w:rsidRPr="0068586F">
        <w:rPr>
          <w:rFonts w:cs="Tahoma"/>
          <w:szCs w:val="24"/>
        </w:rPr>
        <w:t xml:space="preserve"> demandada.</w:t>
      </w:r>
    </w:p>
    <w:p w14:paraId="179032C0" w14:textId="77777777" w:rsidR="00F37BD8" w:rsidRPr="0068586F" w:rsidRDefault="00F37BD8" w:rsidP="0068586F">
      <w:pPr>
        <w:spacing w:line="276" w:lineRule="auto"/>
        <w:ind w:firstLine="360"/>
        <w:rPr>
          <w:rFonts w:cs="Tahoma"/>
          <w:szCs w:val="24"/>
        </w:rPr>
      </w:pPr>
    </w:p>
    <w:p w14:paraId="4C42A794" w14:textId="1D8ED6BE" w:rsidR="00957F43" w:rsidRPr="0068586F" w:rsidRDefault="00790DA9" w:rsidP="0068586F">
      <w:pPr>
        <w:spacing w:line="276" w:lineRule="auto"/>
        <w:ind w:firstLine="360"/>
        <w:rPr>
          <w:rStyle w:val="normaltextrun"/>
          <w:rFonts w:cs="Tahoma"/>
          <w:szCs w:val="24"/>
        </w:rPr>
      </w:pPr>
      <w:r w:rsidRPr="0068586F">
        <w:rPr>
          <w:rFonts w:cs="Tahoma"/>
          <w:szCs w:val="24"/>
        </w:rPr>
        <w:t>Para llegar a tal determinación</w:t>
      </w:r>
      <w:r w:rsidR="00957F43" w:rsidRPr="0068586F">
        <w:rPr>
          <w:rFonts w:cs="Tahoma"/>
          <w:szCs w:val="24"/>
        </w:rPr>
        <w:t>,</w:t>
      </w:r>
      <w:r w:rsidRPr="0068586F">
        <w:rPr>
          <w:rFonts w:cs="Tahoma"/>
          <w:szCs w:val="24"/>
        </w:rPr>
        <w:t xml:space="preserve"> </w:t>
      </w:r>
      <w:r w:rsidR="00957F43" w:rsidRPr="0068586F">
        <w:rPr>
          <w:rFonts w:cs="Tahoma"/>
          <w:szCs w:val="24"/>
        </w:rPr>
        <w:t xml:space="preserve">consideró la Jueza de primer grado que al calcular la tasa de reemplazo de la demandante se obtenía un resultado del 66%, mismo que tuvo en cuenta Colpensiones en la Resolución </w:t>
      </w:r>
      <w:r w:rsidR="00957F43" w:rsidRPr="0068586F">
        <w:rPr>
          <w:rStyle w:val="normaltextrun"/>
          <w:rFonts w:cs="Tahoma"/>
          <w:szCs w:val="24"/>
        </w:rPr>
        <w:t xml:space="preserve">GNR 53394 de 2017, por medio de la cual reliquidó </w:t>
      </w:r>
      <w:r w:rsidR="00290DEE" w:rsidRPr="0068586F">
        <w:rPr>
          <w:rStyle w:val="normaltextrun"/>
          <w:rFonts w:cs="Tahoma"/>
          <w:szCs w:val="24"/>
        </w:rPr>
        <w:t>su pensión</w:t>
      </w:r>
      <w:r w:rsidR="00957F43" w:rsidRPr="0068586F">
        <w:rPr>
          <w:rStyle w:val="normaltextrun"/>
          <w:rFonts w:cs="Tahoma"/>
          <w:szCs w:val="24"/>
        </w:rPr>
        <w:t xml:space="preserve"> en cuantía de $690.879.</w:t>
      </w:r>
    </w:p>
    <w:p w14:paraId="4D581297" w14:textId="46CE0A3D" w:rsidR="00957F43" w:rsidRPr="0068586F" w:rsidRDefault="00957F43" w:rsidP="0068586F">
      <w:pPr>
        <w:spacing w:line="276" w:lineRule="auto"/>
        <w:ind w:firstLine="360"/>
        <w:rPr>
          <w:rStyle w:val="normaltextrun"/>
          <w:rFonts w:cs="Tahoma"/>
          <w:szCs w:val="24"/>
        </w:rPr>
      </w:pPr>
    </w:p>
    <w:p w14:paraId="696BA8C3" w14:textId="32765C78" w:rsidR="00957F43" w:rsidRPr="0068586F" w:rsidRDefault="00957F43" w:rsidP="0068586F">
      <w:pPr>
        <w:spacing w:line="276" w:lineRule="auto"/>
        <w:ind w:firstLine="360"/>
        <w:rPr>
          <w:rFonts w:cs="Tahoma"/>
          <w:szCs w:val="24"/>
        </w:rPr>
      </w:pPr>
      <w:r w:rsidRPr="0068586F">
        <w:rPr>
          <w:rStyle w:val="normaltextrun"/>
          <w:rFonts w:cs="Tahoma"/>
          <w:szCs w:val="24"/>
        </w:rPr>
        <w:t>Resaltó que</w:t>
      </w:r>
      <w:r w:rsidR="006D0A97" w:rsidRPr="0068586F">
        <w:rPr>
          <w:rStyle w:val="normaltextrun"/>
          <w:rFonts w:cs="Tahoma"/>
          <w:szCs w:val="24"/>
        </w:rPr>
        <w:t>, de conformidad con la jurisprudencia de la Corte Suprema de Justicia,</w:t>
      </w:r>
      <w:r w:rsidRPr="0068586F">
        <w:rPr>
          <w:rStyle w:val="normaltextrun"/>
          <w:rFonts w:cs="Tahoma"/>
          <w:szCs w:val="24"/>
        </w:rPr>
        <w:t xml:space="preserve"> para el cálculo del </w:t>
      </w:r>
      <w:r w:rsidR="006D0A97" w:rsidRPr="0068586F">
        <w:rPr>
          <w:rStyle w:val="normaltextrun"/>
          <w:rFonts w:cs="Tahoma"/>
          <w:szCs w:val="24"/>
        </w:rPr>
        <w:t xml:space="preserve">porcentaje en mención sólo era posible tener en cuenta las semanas cotizadas hasta el 8 de agosto de 2014, fecha de estructuración de la invalidez, pues aquella aportadas con posterioridad, hasta el año 2017, </w:t>
      </w:r>
      <w:r w:rsidR="00290DEE" w:rsidRPr="0068586F">
        <w:rPr>
          <w:rStyle w:val="normaltextrun"/>
          <w:rFonts w:cs="Tahoma"/>
          <w:szCs w:val="24"/>
        </w:rPr>
        <w:t xml:space="preserve">sólo </w:t>
      </w:r>
      <w:r w:rsidR="006D0A97" w:rsidRPr="0068586F">
        <w:rPr>
          <w:rStyle w:val="normaltextrun"/>
          <w:rFonts w:cs="Tahoma"/>
          <w:szCs w:val="24"/>
        </w:rPr>
        <w:t xml:space="preserve">podían ser tenidas en cuenta para solventar, eventualmente, una prestación </w:t>
      </w:r>
      <w:r w:rsidR="00290DEE" w:rsidRPr="0068586F">
        <w:rPr>
          <w:rStyle w:val="normaltextrun"/>
          <w:rFonts w:cs="Tahoma"/>
          <w:szCs w:val="24"/>
        </w:rPr>
        <w:t>diferente</w:t>
      </w:r>
      <w:r w:rsidR="006D0A97" w:rsidRPr="0068586F">
        <w:rPr>
          <w:rStyle w:val="normaltextrun"/>
          <w:rFonts w:cs="Tahoma"/>
          <w:szCs w:val="24"/>
        </w:rPr>
        <w:t xml:space="preserve"> a la de invalidez.</w:t>
      </w:r>
    </w:p>
    <w:p w14:paraId="5465DDC1" w14:textId="77777777" w:rsidR="00790DA9" w:rsidRPr="0068586F" w:rsidRDefault="00790DA9" w:rsidP="0068586F">
      <w:pPr>
        <w:spacing w:line="276" w:lineRule="auto"/>
        <w:rPr>
          <w:rFonts w:cs="Tahoma"/>
          <w:szCs w:val="24"/>
        </w:rPr>
      </w:pPr>
    </w:p>
    <w:p w14:paraId="62F918D7" w14:textId="0610CF46" w:rsidR="00790DA9" w:rsidRPr="0068586F" w:rsidRDefault="00790DA9" w:rsidP="0068586F">
      <w:pPr>
        <w:pStyle w:val="Prrafodelista"/>
        <w:numPr>
          <w:ilvl w:val="0"/>
          <w:numId w:val="1"/>
        </w:numPr>
        <w:spacing w:line="276" w:lineRule="auto"/>
        <w:ind w:left="426" w:hanging="426"/>
        <w:jc w:val="center"/>
        <w:rPr>
          <w:rFonts w:cs="Tahoma"/>
          <w:b/>
          <w:bCs/>
          <w:szCs w:val="24"/>
        </w:rPr>
      </w:pPr>
      <w:r w:rsidRPr="0068586F">
        <w:rPr>
          <w:rFonts w:cs="Tahoma"/>
          <w:b/>
          <w:bCs/>
          <w:szCs w:val="24"/>
        </w:rPr>
        <w:t>Recurso de apelación</w:t>
      </w:r>
    </w:p>
    <w:p w14:paraId="093AE73F" w14:textId="679D399E" w:rsidR="00790DA9" w:rsidRPr="0068586F" w:rsidRDefault="00790DA9" w:rsidP="0068586F">
      <w:pPr>
        <w:spacing w:line="276" w:lineRule="auto"/>
        <w:ind w:left="360"/>
        <w:rPr>
          <w:rFonts w:cs="Tahoma"/>
          <w:b/>
          <w:bCs/>
          <w:szCs w:val="24"/>
        </w:rPr>
      </w:pPr>
    </w:p>
    <w:p w14:paraId="0D81FA45" w14:textId="645D5851" w:rsidR="00B33A2C" w:rsidRPr="0068586F" w:rsidRDefault="006D0A97" w:rsidP="0068586F">
      <w:pPr>
        <w:spacing w:line="276" w:lineRule="auto"/>
        <w:ind w:firstLine="360"/>
        <w:rPr>
          <w:rFonts w:cs="Tahoma"/>
          <w:szCs w:val="24"/>
        </w:rPr>
      </w:pPr>
      <w:r w:rsidRPr="0068586F">
        <w:rPr>
          <w:rFonts w:cs="Tahoma"/>
          <w:szCs w:val="24"/>
        </w:rPr>
        <w:t>El representante judicial de la actora apeló la decisión en dos puntos en concreto</w:t>
      </w:r>
      <w:r w:rsidR="00F37BD8" w:rsidRPr="0068586F">
        <w:rPr>
          <w:rFonts w:cs="Tahoma"/>
          <w:szCs w:val="24"/>
        </w:rPr>
        <w:t>:</w:t>
      </w:r>
      <w:r w:rsidRPr="0068586F">
        <w:rPr>
          <w:rFonts w:cs="Tahoma"/>
          <w:szCs w:val="24"/>
        </w:rPr>
        <w:t xml:space="preserve"> el primero, relacionado con el reconocimiento de la pensión de invalidez, lo fundó en que la orden de tutela emitida por el Tribunal Contencioso Administrativo de Risaralda decretó la reactivación del pago de la mesada pensional transitoria</w:t>
      </w:r>
      <w:r w:rsidR="00290DEE" w:rsidRPr="0068586F">
        <w:rPr>
          <w:rFonts w:cs="Tahoma"/>
          <w:szCs w:val="24"/>
        </w:rPr>
        <w:t>mente</w:t>
      </w:r>
      <w:r w:rsidRPr="0068586F">
        <w:rPr>
          <w:rFonts w:cs="Tahoma"/>
          <w:szCs w:val="24"/>
        </w:rPr>
        <w:t>, de manera que debió ordenarse el reconocimiento de la prestación de manera definitiva.</w:t>
      </w:r>
    </w:p>
    <w:p w14:paraId="3147CB8C" w14:textId="2A588C35" w:rsidR="006D0A97" w:rsidRPr="0068586F" w:rsidRDefault="006D0A97" w:rsidP="0068586F">
      <w:pPr>
        <w:spacing w:line="276" w:lineRule="auto"/>
        <w:ind w:firstLine="360"/>
        <w:rPr>
          <w:rFonts w:cs="Tahoma"/>
          <w:szCs w:val="24"/>
        </w:rPr>
      </w:pPr>
    </w:p>
    <w:p w14:paraId="220798A2" w14:textId="370C8259" w:rsidR="006D0A97" w:rsidRPr="0068586F" w:rsidRDefault="006D0A97" w:rsidP="0068586F">
      <w:pPr>
        <w:spacing w:line="276" w:lineRule="auto"/>
        <w:ind w:firstLine="360"/>
        <w:rPr>
          <w:rFonts w:cs="Tahoma"/>
          <w:szCs w:val="24"/>
        </w:rPr>
      </w:pPr>
      <w:r w:rsidRPr="0068586F">
        <w:rPr>
          <w:rFonts w:cs="Tahoma"/>
          <w:szCs w:val="24"/>
        </w:rPr>
        <w:t>Por otra parte, arguyó que para efectos del cálculo de la tasa de reemplazo debían tenerse en cuenta las semanas cotizadas por su prohijada hasta el año 2017, toda vez que las mismas fueron el resultado de su fuerza laboral.</w:t>
      </w:r>
    </w:p>
    <w:p w14:paraId="49627DA7" w14:textId="77777777" w:rsidR="00F37BD8" w:rsidRPr="0068586F" w:rsidRDefault="00F37BD8" w:rsidP="0068586F">
      <w:pPr>
        <w:spacing w:line="276" w:lineRule="auto"/>
        <w:contextualSpacing/>
        <w:rPr>
          <w:rFonts w:eastAsia="Times New Roman" w:cs="Tahoma"/>
          <w:b/>
          <w:bCs/>
          <w:szCs w:val="24"/>
          <w:lang w:eastAsia="es-ES"/>
        </w:rPr>
      </w:pPr>
    </w:p>
    <w:p w14:paraId="771B2564" w14:textId="073CFA7F" w:rsidR="00B33A2C" w:rsidRPr="0068586F" w:rsidRDefault="00B33A2C" w:rsidP="0068586F">
      <w:pPr>
        <w:pStyle w:val="Prrafodelista"/>
        <w:numPr>
          <w:ilvl w:val="0"/>
          <w:numId w:val="1"/>
        </w:numPr>
        <w:spacing w:line="276" w:lineRule="auto"/>
        <w:ind w:left="426" w:hanging="426"/>
        <w:jc w:val="center"/>
        <w:rPr>
          <w:rFonts w:eastAsia="Times New Roman" w:cs="Tahoma"/>
          <w:b/>
          <w:bCs/>
          <w:szCs w:val="24"/>
          <w:lang w:eastAsia="es-ES"/>
        </w:rPr>
      </w:pPr>
      <w:r w:rsidRPr="0068586F">
        <w:rPr>
          <w:rFonts w:eastAsia="Times New Roman" w:cs="Tahoma"/>
          <w:b/>
          <w:bCs/>
          <w:szCs w:val="24"/>
          <w:lang w:eastAsia="es-ES"/>
        </w:rPr>
        <w:t>Alegatos de conclusión</w:t>
      </w:r>
    </w:p>
    <w:p w14:paraId="67765DB8" w14:textId="77777777" w:rsidR="00B33A2C" w:rsidRPr="0068586F" w:rsidRDefault="00B33A2C" w:rsidP="0068586F">
      <w:pPr>
        <w:spacing w:line="276" w:lineRule="auto"/>
        <w:rPr>
          <w:rFonts w:cs="Tahoma"/>
          <w:szCs w:val="24"/>
        </w:rPr>
      </w:pPr>
    </w:p>
    <w:p w14:paraId="42F6475E" w14:textId="0E14C14A" w:rsidR="00B33A2C" w:rsidRPr="0068586F" w:rsidRDefault="00B33A2C" w:rsidP="0068586F">
      <w:pPr>
        <w:spacing w:line="276" w:lineRule="auto"/>
        <w:ind w:firstLine="360"/>
        <w:rPr>
          <w:rFonts w:cs="Tahoma"/>
          <w:szCs w:val="24"/>
        </w:rPr>
      </w:pPr>
      <w:r w:rsidRPr="0068586F">
        <w:rPr>
          <w:rFonts w:cs="Tahoma"/>
          <w:szCs w:val="24"/>
        </w:rPr>
        <w:t xml:space="preserve">Analizados los alegatos presentados por </w:t>
      </w:r>
      <w:r w:rsidR="006D0A97" w:rsidRPr="0068586F">
        <w:rPr>
          <w:rFonts w:cs="Tahoma"/>
          <w:szCs w:val="24"/>
        </w:rPr>
        <w:t>Colpensiones</w:t>
      </w:r>
      <w:r w:rsidRPr="0068586F">
        <w:rPr>
          <w:rFonts w:cs="Tahoma"/>
          <w:szCs w:val="24"/>
        </w:rPr>
        <w:t xml:space="preserve"> mediante escrito que obra</w:t>
      </w:r>
      <w:r w:rsidR="00DB626C">
        <w:rPr>
          <w:rFonts w:cs="Tahoma"/>
          <w:szCs w:val="24"/>
        </w:rPr>
        <w:t xml:space="preserve"> </w:t>
      </w:r>
      <w:r w:rsidRPr="0068586F">
        <w:rPr>
          <w:rFonts w:cs="Tahoma"/>
          <w:szCs w:val="24"/>
        </w:rPr>
        <w:t>en el expediente digital</w:t>
      </w:r>
      <w:r w:rsidR="00DB626C">
        <w:rPr>
          <w:rFonts w:cs="Tahoma"/>
          <w:szCs w:val="24"/>
        </w:rPr>
        <w:t xml:space="preserve"> </w:t>
      </w:r>
      <w:r w:rsidRPr="0068586F">
        <w:rPr>
          <w:rFonts w:cs="Tahoma"/>
          <w:szCs w:val="24"/>
        </w:rPr>
        <w:t>y al cual nos remitimos por economía procesal en virtud del artículo 280 del C.G.P., la Sala encuentra que los argumentos</w:t>
      </w:r>
      <w:r w:rsidR="00DB626C">
        <w:rPr>
          <w:rFonts w:cs="Tahoma"/>
          <w:szCs w:val="24"/>
        </w:rPr>
        <w:t xml:space="preserve"> </w:t>
      </w:r>
      <w:r w:rsidRPr="0068586F">
        <w:rPr>
          <w:rFonts w:cs="Tahoma"/>
          <w:szCs w:val="24"/>
        </w:rPr>
        <w:t>fácticos y jurídicos</w:t>
      </w:r>
      <w:r w:rsidR="00DB626C">
        <w:rPr>
          <w:rFonts w:cs="Tahoma"/>
          <w:szCs w:val="24"/>
        </w:rPr>
        <w:t xml:space="preserve"> </w:t>
      </w:r>
      <w:r w:rsidRPr="0068586F">
        <w:rPr>
          <w:rFonts w:cs="Tahoma"/>
          <w:szCs w:val="24"/>
        </w:rPr>
        <w:t>expresados</w:t>
      </w:r>
      <w:r w:rsidR="00DB626C">
        <w:rPr>
          <w:rFonts w:cs="Tahoma"/>
          <w:szCs w:val="24"/>
        </w:rPr>
        <w:t xml:space="preserve"> </w:t>
      </w:r>
      <w:r w:rsidRPr="0068586F">
        <w:rPr>
          <w:rFonts w:cs="Tahoma"/>
          <w:szCs w:val="24"/>
        </w:rPr>
        <w:t>concuerdan</w:t>
      </w:r>
      <w:r w:rsidR="00DB626C">
        <w:rPr>
          <w:rFonts w:cs="Tahoma"/>
          <w:szCs w:val="24"/>
        </w:rPr>
        <w:t xml:space="preserve"> </w:t>
      </w:r>
      <w:r w:rsidRPr="0068586F">
        <w:rPr>
          <w:rFonts w:cs="Tahoma"/>
          <w:szCs w:val="24"/>
        </w:rPr>
        <w:t>con los puntos objeto de</w:t>
      </w:r>
      <w:r w:rsidR="00DB626C">
        <w:rPr>
          <w:rFonts w:cs="Tahoma"/>
          <w:szCs w:val="24"/>
        </w:rPr>
        <w:t xml:space="preserve"> </w:t>
      </w:r>
      <w:r w:rsidRPr="0068586F">
        <w:rPr>
          <w:rFonts w:cs="Tahoma"/>
          <w:szCs w:val="24"/>
        </w:rPr>
        <w:t>discusión en esta instancia y se relacionan con el problema jurídico que se expresa a continuación.</w:t>
      </w:r>
      <w:r w:rsidR="00DB626C">
        <w:rPr>
          <w:rFonts w:cs="Tahoma"/>
          <w:szCs w:val="24"/>
        </w:rPr>
        <w:t xml:space="preserve"> </w:t>
      </w:r>
      <w:r w:rsidRPr="0068586F">
        <w:rPr>
          <w:rFonts w:cs="Tahoma"/>
          <w:szCs w:val="24"/>
        </w:rPr>
        <w:t>De otra parte, el Ministerio Público NO rindió concepto.</w:t>
      </w:r>
    </w:p>
    <w:p w14:paraId="1533E199" w14:textId="77777777" w:rsidR="00F37BD8" w:rsidRPr="0068586F" w:rsidRDefault="00F37BD8" w:rsidP="0068586F">
      <w:pPr>
        <w:spacing w:line="276" w:lineRule="auto"/>
        <w:rPr>
          <w:rFonts w:cs="Tahoma"/>
          <w:szCs w:val="24"/>
        </w:rPr>
      </w:pPr>
    </w:p>
    <w:p w14:paraId="50418479" w14:textId="77777777" w:rsidR="00B33A2C" w:rsidRPr="0068586F" w:rsidRDefault="00B33A2C" w:rsidP="0068586F">
      <w:pPr>
        <w:pStyle w:val="Prrafodelista"/>
        <w:numPr>
          <w:ilvl w:val="0"/>
          <w:numId w:val="1"/>
        </w:numPr>
        <w:spacing w:line="276" w:lineRule="auto"/>
        <w:ind w:left="426" w:hanging="426"/>
        <w:jc w:val="center"/>
        <w:rPr>
          <w:rFonts w:eastAsia="Times New Roman" w:cs="Tahoma"/>
          <w:b/>
          <w:bCs/>
          <w:szCs w:val="24"/>
          <w:lang w:eastAsia="es-ES"/>
        </w:rPr>
      </w:pPr>
      <w:r w:rsidRPr="0068586F">
        <w:rPr>
          <w:rFonts w:eastAsia="Times New Roman" w:cs="Tahoma"/>
          <w:b/>
          <w:bCs/>
          <w:szCs w:val="24"/>
          <w:lang w:eastAsia="es-ES"/>
        </w:rPr>
        <w:t>Problemas jurídicos por resolver</w:t>
      </w:r>
    </w:p>
    <w:p w14:paraId="7C83EFF1" w14:textId="77777777" w:rsidR="00B33A2C" w:rsidRPr="0068586F" w:rsidRDefault="00B33A2C" w:rsidP="0068586F">
      <w:pPr>
        <w:spacing w:line="276" w:lineRule="auto"/>
        <w:rPr>
          <w:rFonts w:cs="Tahoma"/>
          <w:szCs w:val="24"/>
        </w:rPr>
      </w:pPr>
      <w:r w:rsidRPr="0068586F">
        <w:rPr>
          <w:rFonts w:cs="Tahoma"/>
          <w:szCs w:val="24"/>
        </w:rPr>
        <w:t> </w:t>
      </w:r>
    </w:p>
    <w:p w14:paraId="6C98F685" w14:textId="5DEF9B55" w:rsidR="00B33A2C" w:rsidRPr="0068586F" w:rsidRDefault="00B33A2C" w:rsidP="0068586F">
      <w:pPr>
        <w:spacing w:line="276" w:lineRule="auto"/>
        <w:ind w:firstLine="360"/>
        <w:rPr>
          <w:rFonts w:cs="Tahoma"/>
          <w:szCs w:val="24"/>
        </w:rPr>
      </w:pPr>
      <w:r w:rsidRPr="0068586F">
        <w:rPr>
          <w:rFonts w:cs="Tahoma"/>
          <w:szCs w:val="24"/>
        </w:rPr>
        <w:t>De acuerdo a los argumentos expuestos en la sentencia de primera instancia</w:t>
      </w:r>
      <w:r w:rsidR="006D0A97" w:rsidRPr="0068586F">
        <w:rPr>
          <w:rFonts w:cs="Tahoma"/>
          <w:szCs w:val="24"/>
        </w:rPr>
        <w:t>,</w:t>
      </w:r>
      <w:r w:rsidRPr="0068586F">
        <w:rPr>
          <w:rFonts w:cs="Tahoma"/>
          <w:szCs w:val="24"/>
        </w:rPr>
        <w:t xml:space="preserve"> los fundamentos de la apelación y los alegatos de conclusión, le corresponde a la Sala </w:t>
      </w:r>
      <w:r w:rsidR="006D0A97" w:rsidRPr="0068586F">
        <w:rPr>
          <w:rFonts w:cs="Tahoma"/>
          <w:szCs w:val="24"/>
        </w:rPr>
        <w:t>determinar si debe ordenarse el reconocimiento de</w:t>
      </w:r>
      <w:r w:rsidR="00D02450" w:rsidRPr="0068586F">
        <w:rPr>
          <w:rFonts w:cs="Tahoma"/>
          <w:szCs w:val="24"/>
        </w:rPr>
        <w:t>finitivo de la pensión de invalidez a la señora María Doris Vinasco y, en caso afirmativo, si hay lugar a la reliquidación de la mesada pensional concedida por Colpensiones.</w:t>
      </w:r>
      <w:r w:rsidRPr="0068586F">
        <w:rPr>
          <w:rFonts w:cs="Tahoma"/>
          <w:szCs w:val="24"/>
        </w:rPr>
        <w:t xml:space="preserve"> </w:t>
      </w:r>
    </w:p>
    <w:p w14:paraId="0A98BA19" w14:textId="77777777" w:rsidR="00F37BD8" w:rsidRPr="0068586F" w:rsidRDefault="00F37BD8" w:rsidP="0068586F">
      <w:pPr>
        <w:spacing w:line="276" w:lineRule="auto"/>
        <w:ind w:firstLine="360"/>
        <w:rPr>
          <w:rFonts w:cs="Tahoma"/>
          <w:szCs w:val="24"/>
        </w:rPr>
      </w:pPr>
    </w:p>
    <w:p w14:paraId="5DD1ED34" w14:textId="77777777" w:rsidR="00B33A2C" w:rsidRPr="0068586F" w:rsidRDefault="00B33A2C" w:rsidP="0068586F">
      <w:pPr>
        <w:pStyle w:val="Prrafodelista"/>
        <w:numPr>
          <w:ilvl w:val="0"/>
          <w:numId w:val="1"/>
        </w:numPr>
        <w:spacing w:line="276" w:lineRule="auto"/>
        <w:ind w:left="426" w:hanging="426"/>
        <w:jc w:val="center"/>
        <w:rPr>
          <w:rFonts w:eastAsia="Times New Roman" w:cs="Tahoma"/>
          <w:b/>
          <w:bCs/>
          <w:szCs w:val="24"/>
          <w:lang w:eastAsia="es-ES"/>
        </w:rPr>
      </w:pPr>
      <w:r w:rsidRPr="0068586F">
        <w:rPr>
          <w:rFonts w:eastAsia="Times New Roman" w:cs="Tahoma"/>
          <w:b/>
          <w:bCs/>
          <w:szCs w:val="24"/>
          <w:lang w:eastAsia="es-ES"/>
        </w:rPr>
        <w:t>Consideraciones</w:t>
      </w:r>
    </w:p>
    <w:p w14:paraId="5985C539" w14:textId="0E26788E" w:rsidR="00B33A2C" w:rsidRPr="0068586F" w:rsidRDefault="00B33A2C" w:rsidP="0068586F">
      <w:pPr>
        <w:widowControl w:val="0"/>
        <w:autoSpaceDE w:val="0"/>
        <w:autoSpaceDN w:val="0"/>
        <w:adjustRightInd w:val="0"/>
        <w:spacing w:line="276" w:lineRule="auto"/>
        <w:rPr>
          <w:rFonts w:cs="Tahoma"/>
          <w:b/>
          <w:szCs w:val="24"/>
        </w:rPr>
      </w:pPr>
    </w:p>
    <w:p w14:paraId="74EB87F8" w14:textId="48576484" w:rsidR="00F37BD8" w:rsidRPr="0068586F" w:rsidRDefault="00F37BD8" w:rsidP="0068586F">
      <w:pPr>
        <w:pStyle w:val="Prrafodelista"/>
        <w:widowControl w:val="0"/>
        <w:numPr>
          <w:ilvl w:val="1"/>
          <w:numId w:val="1"/>
        </w:numPr>
        <w:autoSpaceDE w:val="0"/>
        <w:autoSpaceDN w:val="0"/>
        <w:adjustRightInd w:val="0"/>
        <w:spacing w:line="276" w:lineRule="auto"/>
        <w:rPr>
          <w:rFonts w:cs="Tahoma"/>
          <w:b/>
          <w:szCs w:val="24"/>
        </w:rPr>
      </w:pPr>
      <w:r w:rsidRPr="0068586F">
        <w:rPr>
          <w:rFonts w:cs="Tahoma"/>
          <w:b/>
          <w:szCs w:val="24"/>
        </w:rPr>
        <w:t>Hechos probados</w:t>
      </w:r>
    </w:p>
    <w:p w14:paraId="5BB80454" w14:textId="77777777" w:rsidR="00F37BD8" w:rsidRPr="0068586F" w:rsidRDefault="00F37BD8" w:rsidP="0068586F">
      <w:pPr>
        <w:pStyle w:val="Prrafodelista"/>
        <w:widowControl w:val="0"/>
        <w:autoSpaceDE w:val="0"/>
        <w:autoSpaceDN w:val="0"/>
        <w:adjustRightInd w:val="0"/>
        <w:spacing w:line="276" w:lineRule="auto"/>
        <w:ind w:left="1080"/>
        <w:rPr>
          <w:rFonts w:cs="Tahoma"/>
          <w:b/>
          <w:szCs w:val="24"/>
        </w:rPr>
      </w:pPr>
    </w:p>
    <w:p w14:paraId="214D8DBB" w14:textId="4A8D72B8" w:rsidR="00222D58" w:rsidRPr="0068586F" w:rsidRDefault="00D02450" w:rsidP="0068586F">
      <w:pPr>
        <w:pStyle w:val="Textoindependiente"/>
        <w:spacing w:line="276" w:lineRule="auto"/>
        <w:ind w:right="49" w:firstLine="360"/>
        <w:contextualSpacing/>
        <w:jc w:val="both"/>
        <w:rPr>
          <w:sz w:val="24"/>
          <w:szCs w:val="24"/>
        </w:rPr>
      </w:pPr>
      <w:r w:rsidRPr="0068586F">
        <w:rPr>
          <w:sz w:val="24"/>
          <w:szCs w:val="24"/>
        </w:rPr>
        <w:t>S</w:t>
      </w:r>
      <w:r w:rsidR="00222D58" w:rsidRPr="0068586F">
        <w:rPr>
          <w:sz w:val="24"/>
          <w:szCs w:val="24"/>
        </w:rPr>
        <w:t xml:space="preserve">on hechos que se encuentran por fuera de </w:t>
      </w:r>
      <w:r w:rsidR="00936F7D" w:rsidRPr="0068586F">
        <w:rPr>
          <w:sz w:val="24"/>
          <w:szCs w:val="24"/>
        </w:rPr>
        <w:t>debate</w:t>
      </w:r>
      <w:r w:rsidR="00222D58" w:rsidRPr="0068586F">
        <w:rPr>
          <w:sz w:val="24"/>
          <w:szCs w:val="24"/>
        </w:rPr>
        <w:t xml:space="preserve"> los siguientes:</w:t>
      </w:r>
    </w:p>
    <w:p w14:paraId="48AB8F48" w14:textId="3742F389" w:rsidR="00D02450" w:rsidRPr="0068586F" w:rsidRDefault="00D02450" w:rsidP="0068586F">
      <w:pPr>
        <w:pStyle w:val="Textoindependiente"/>
        <w:spacing w:line="276" w:lineRule="auto"/>
        <w:ind w:right="49"/>
        <w:contextualSpacing/>
        <w:jc w:val="both"/>
        <w:rPr>
          <w:sz w:val="24"/>
          <w:szCs w:val="24"/>
        </w:rPr>
      </w:pPr>
    </w:p>
    <w:p w14:paraId="72885D82" w14:textId="6A1A4DC5" w:rsidR="00222D58" w:rsidRPr="0068586F" w:rsidRDefault="00222D58" w:rsidP="0068586F">
      <w:pPr>
        <w:pStyle w:val="Textoindependiente"/>
        <w:numPr>
          <w:ilvl w:val="0"/>
          <w:numId w:val="12"/>
        </w:numPr>
        <w:spacing w:line="276" w:lineRule="auto"/>
        <w:ind w:right="49"/>
        <w:contextualSpacing/>
        <w:jc w:val="both"/>
        <w:rPr>
          <w:rStyle w:val="normaltextrun"/>
          <w:sz w:val="24"/>
          <w:szCs w:val="24"/>
        </w:rPr>
      </w:pPr>
      <w:r w:rsidRPr="0068586F">
        <w:rPr>
          <w:rStyle w:val="normaltextrun"/>
          <w:sz w:val="24"/>
          <w:szCs w:val="24"/>
        </w:rPr>
        <w:t xml:space="preserve">Que mediante la Resolución </w:t>
      </w:r>
      <w:r w:rsidRPr="0068586F">
        <w:rPr>
          <w:sz w:val="24"/>
          <w:szCs w:val="24"/>
        </w:rPr>
        <w:t>GNR 384328 de 2016</w:t>
      </w:r>
      <w:r w:rsidRPr="0068586F">
        <w:rPr>
          <w:rStyle w:val="normaltextrun"/>
          <w:sz w:val="24"/>
          <w:szCs w:val="24"/>
        </w:rPr>
        <w:t xml:space="preserve"> Colpensiones reconoció a la demandante la pensión de invalidez a partir del 8 de mayo de 2014, por acreditar los requisitos legales, para lo cual tuvo en cuenta un IBL de $1.046.787 y una tasa de reemplazo del 64.5%, lo cual arrojó una mesada de $675.178 (</w:t>
      </w:r>
      <w:proofErr w:type="spellStart"/>
      <w:r w:rsidRPr="0068586F">
        <w:rPr>
          <w:rStyle w:val="normaltextrun"/>
          <w:sz w:val="24"/>
          <w:szCs w:val="24"/>
        </w:rPr>
        <w:t>fl</w:t>
      </w:r>
      <w:proofErr w:type="spellEnd"/>
      <w:r w:rsidRPr="0068586F">
        <w:rPr>
          <w:rStyle w:val="normaltextrun"/>
          <w:sz w:val="24"/>
          <w:szCs w:val="24"/>
        </w:rPr>
        <w:t>. 34)</w:t>
      </w:r>
    </w:p>
    <w:p w14:paraId="3FBF2900" w14:textId="77777777" w:rsidR="00222D58" w:rsidRPr="0068586F" w:rsidRDefault="00222D58" w:rsidP="0068586F">
      <w:pPr>
        <w:pStyle w:val="Textoindependiente"/>
        <w:spacing w:line="276" w:lineRule="auto"/>
        <w:ind w:left="720" w:right="49"/>
        <w:contextualSpacing/>
        <w:jc w:val="both"/>
        <w:rPr>
          <w:rStyle w:val="normaltextrun"/>
          <w:sz w:val="24"/>
          <w:szCs w:val="24"/>
        </w:rPr>
      </w:pPr>
    </w:p>
    <w:p w14:paraId="1E8595E1" w14:textId="0F6356BC" w:rsidR="00222D58" w:rsidRPr="0068586F" w:rsidRDefault="00222D58" w:rsidP="0068586F">
      <w:pPr>
        <w:pStyle w:val="Textoindependiente"/>
        <w:numPr>
          <w:ilvl w:val="0"/>
          <w:numId w:val="12"/>
        </w:numPr>
        <w:spacing w:line="276" w:lineRule="auto"/>
        <w:ind w:right="49"/>
        <w:contextualSpacing/>
        <w:jc w:val="both"/>
        <w:rPr>
          <w:rStyle w:val="normaltextrun"/>
          <w:sz w:val="24"/>
          <w:szCs w:val="24"/>
        </w:rPr>
      </w:pPr>
      <w:r w:rsidRPr="0068586F">
        <w:rPr>
          <w:rStyle w:val="normaltextrun"/>
          <w:sz w:val="24"/>
          <w:szCs w:val="24"/>
        </w:rPr>
        <w:t>Que a través de la Resolución GNR 53394 de 2017, la demandada reliquidó la prestación en cuantía de $690.879, dado que varió la tasa de reemplazo a un 66%. (</w:t>
      </w:r>
      <w:proofErr w:type="spellStart"/>
      <w:r w:rsidRPr="0068586F">
        <w:rPr>
          <w:rStyle w:val="normaltextrun"/>
          <w:sz w:val="24"/>
          <w:szCs w:val="24"/>
        </w:rPr>
        <w:t>fl</w:t>
      </w:r>
      <w:proofErr w:type="spellEnd"/>
      <w:r w:rsidRPr="0068586F">
        <w:rPr>
          <w:rStyle w:val="normaltextrun"/>
          <w:sz w:val="24"/>
          <w:szCs w:val="24"/>
        </w:rPr>
        <w:t xml:space="preserve">. 37) y, </w:t>
      </w:r>
    </w:p>
    <w:p w14:paraId="4C569A7E" w14:textId="77777777" w:rsidR="00222D58" w:rsidRPr="0068586F" w:rsidRDefault="00222D58" w:rsidP="0068586F">
      <w:pPr>
        <w:pStyle w:val="Prrafodelista"/>
        <w:spacing w:line="276" w:lineRule="auto"/>
        <w:rPr>
          <w:rFonts w:cs="Tahoma"/>
          <w:szCs w:val="24"/>
        </w:rPr>
      </w:pPr>
    </w:p>
    <w:p w14:paraId="731A2050" w14:textId="3CC97585" w:rsidR="00222D58" w:rsidRPr="0068586F" w:rsidRDefault="00222D58" w:rsidP="0068586F">
      <w:pPr>
        <w:pStyle w:val="Textoindependiente"/>
        <w:numPr>
          <w:ilvl w:val="0"/>
          <w:numId w:val="12"/>
        </w:numPr>
        <w:spacing w:line="276" w:lineRule="auto"/>
        <w:ind w:right="49"/>
        <w:contextualSpacing/>
        <w:jc w:val="both"/>
        <w:rPr>
          <w:sz w:val="24"/>
          <w:szCs w:val="24"/>
        </w:rPr>
      </w:pPr>
      <w:r w:rsidRPr="0068586F">
        <w:rPr>
          <w:sz w:val="24"/>
          <w:szCs w:val="24"/>
        </w:rPr>
        <w:t xml:space="preserve">Que Colpensiones revocó las aludidas resoluciones </w:t>
      </w:r>
      <w:r w:rsidR="001F4630" w:rsidRPr="0068586F">
        <w:rPr>
          <w:sz w:val="24"/>
          <w:szCs w:val="24"/>
        </w:rPr>
        <w:t>por medio de la Resolución 2454 de 2019, bajo el argumento de que el apoderado del Municipio de Pereira sólo estaba facultado para tramitar las pensiones de vejez de los jubilados de la entidad municipal, más no para gestionar la pensión de invalidez de la actora. (</w:t>
      </w:r>
      <w:proofErr w:type="spellStart"/>
      <w:r w:rsidR="001F4630" w:rsidRPr="0068586F">
        <w:rPr>
          <w:sz w:val="24"/>
          <w:szCs w:val="24"/>
        </w:rPr>
        <w:t>fl</w:t>
      </w:r>
      <w:proofErr w:type="spellEnd"/>
      <w:r w:rsidR="001F4630" w:rsidRPr="0068586F">
        <w:rPr>
          <w:sz w:val="24"/>
          <w:szCs w:val="24"/>
        </w:rPr>
        <w:t xml:space="preserve">. 74) </w:t>
      </w:r>
    </w:p>
    <w:p w14:paraId="56651613" w14:textId="77777777" w:rsidR="00F37BD8" w:rsidRPr="0068586F" w:rsidRDefault="00F37BD8" w:rsidP="0068586F">
      <w:pPr>
        <w:pStyle w:val="Textoindependiente"/>
        <w:spacing w:line="276" w:lineRule="auto"/>
        <w:ind w:right="49"/>
        <w:contextualSpacing/>
        <w:rPr>
          <w:sz w:val="24"/>
          <w:szCs w:val="24"/>
        </w:rPr>
      </w:pPr>
    </w:p>
    <w:p w14:paraId="01A9DD67" w14:textId="54B276E7" w:rsidR="00D02450" w:rsidRPr="0068586F" w:rsidRDefault="001F4630" w:rsidP="0068586F">
      <w:pPr>
        <w:pStyle w:val="Textoindependiente"/>
        <w:numPr>
          <w:ilvl w:val="1"/>
          <w:numId w:val="1"/>
        </w:numPr>
        <w:spacing w:line="276" w:lineRule="auto"/>
        <w:contextualSpacing/>
        <w:rPr>
          <w:b/>
          <w:sz w:val="24"/>
          <w:szCs w:val="24"/>
        </w:rPr>
      </w:pPr>
      <w:r w:rsidRPr="0068586F">
        <w:rPr>
          <w:b/>
          <w:sz w:val="24"/>
          <w:szCs w:val="24"/>
        </w:rPr>
        <w:t>Caso concreto</w:t>
      </w:r>
    </w:p>
    <w:p w14:paraId="3930BF3D" w14:textId="1E256C8A" w:rsidR="001F4630" w:rsidRPr="0068586F" w:rsidRDefault="001F4630" w:rsidP="0068586F">
      <w:pPr>
        <w:pStyle w:val="Textoindependiente"/>
        <w:spacing w:line="276" w:lineRule="auto"/>
        <w:ind w:left="360"/>
        <w:contextualSpacing/>
        <w:rPr>
          <w:b/>
          <w:sz w:val="24"/>
          <w:szCs w:val="24"/>
        </w:rPr>
      </w:pPr>
    </w:p>
    <w:p w14:paraId="6C9F73D5" w14:textId="6E237013" w:rsidR="00D02450" w:rsidRPr="0068586F" w:rsidRDefault="001F4630" w:rsidP="0068586F">
      <w:pPr>
        <w:pStyle w:val="Textoindependiente"/>
        <w:spacing w:line="276" w:lineRule="auto"/>
        <w:ind w:firstLine="360"/>
        <w:contextualSpacing/>
        <w:jc w:val="both"/>
        <w:rPr>
          <w:sz w:val="24"/>
          <w:szCs w:val="24"/>
        </w:rPr>
      </w:pPr>
      <w:r w:rsidRPr="0068586F">
        <w:rPr>
          <w:sz w:val="24"/>
          <w:szCs w:val="24"/>
        </w:rPr>
        <w:t>A efectos de dar solución al primero de los problem</w:t>
      </w:r>
      <w:r w:rsidR="00874F91" w:rsidRPr="0068586F">
        <w:rPr>
          <w:sz w:val="24"/>
          <w:szCs w:val="24"/>
        </w:rPr>
        <w:t>a</w:t>
      </w:r>
      <w:r w:rsidRPr="0068586F">
        <w:rPr>
          <w:sz w:val="24"/>
          <w:szCs w:val="24"/>
        </w:rPr>
        <w:t xml:space="preserve">s jurídicos planteados, basta indicar que </w:t>
      </w:r>
      <w:bookmarkStart w:id="1" w:name="_Hlk80259174"/>
      <w:r w:rsidR="007B41AF" w:rsidRPr="0068586F">
        <w:rPr>
          <w:sz w:val="24"/>
          <w:szCs w:val="24"/>
        </w:rPr>
        <w:t xml:space="preserve">surge evidente la omisión de la Jueza de instancia de declarar el derecho que le asiste a la demandante al reconocimiento definitivo de la pensión de invalidez, pues centró su </w:t>
      </w:r>
      <w:r w:rsidR="00874F91" w:rsidRPr="0068586F">
        <w:rPr>
          <w:sz w:val="24"/>
          <w:szCs w:val="24"/>
        </w:rPr>
        <w:t>di</w:t>
      </w:r>
      <w:r w:rsidR="00F140F5" w:rsidRPr="0068586F">
        <w:rPr>
          <w:sz w:val="24"/>
          <w:szCs w:val="24"/>
        </w:rPr>
        <w:t>s</w:t>
      </w:r>
      <w:r w:rsidR="00874F91" w:rsidRPr="0068586F">
        <w:rPr>
          <w:sz w:val="24"/>
          <w:szCs w:val="24"/>
        </w:rPr>
        <w:t>ertación</w:t>
      </w:r>
      <w:r w:rsidR="007B41AF" w:rsidRPr="0068586F">
        <w:rPr>
          <w:sz w:val="24"/>
          <w:szCs w:val="24"/>
        </w:rPr>
        <w:t xml:space="preserve"> en la reliquidación de la mesada pensional sin percatarse que la orden de reanudación de pago se efectuó </w:t>
      </w:r>
      <w:r w:rsidR="00290DEE" w:rsidRPr="0068586F">
        <w:rPr>
          <w:sz w:val="24"/>
          <w:szCs w:val="24"/>
        </w:rPr>
        <w:t xml:space="preserve">por la Sala Cuarta de Decisión del Tribunal de lo Contencioso Administrativo de Risaralda </w:t>
      </w:r>
      <w:r w:rsidR="007B41AF" w:rsidRPr="0068586F">
        <w:rPr>
          <w:sz w:val="24"/>
          <w:szCs w:val="24"/>
        </w:rPr>
        <w:t>de manera transitoria</w:t>
      </w:r>
      <w:r w:rsidR="00290DEE" w:rsidRPr="0068586F">
        <w:rPr>
          <w:sz w:val="24"/>
          <w:szCs w:val="24"/>
        </w:rPr>
        <w:t>,</w:t>
      </w:r>
      <w:r w:rsidR="007B41AF" w:rsidRPr="0068586F">
        <w:rPr>
          <w:sz w:val="24"/>
          <w:szCs w:val="24"/>
        </w:rPr>
        <w:t xml:space="preserve"> mediante la sentencia de tutela proferida</w:t>
      </w:r>
      <w:r w:rsidR="00290DEE" w:rsidRPr="0068586F">
        <w:rPr>
          <w:sz w:val="24"/>
          <w:szCs w:val="24"/>
        </w:rPr>
        <w:t xml:space="preserve"> el </w:t>
      </w:r>
      <w:r w:rsidR="007B41AF" w:rsidRPr="0068586F">
        <w:rPr>
          <w:sz w:val="24"/>
          <w:szCs w:val="24"/>
        </w:rPr>
        <w:t xml:space="preserve">22 de marzo de 2019 </w:t>
      </w:r>
      <w:bookmarkEnd w:id="1"/>
      <w:r w:rsidR="007B41AF" w:rsidRPr="0068586F">
        <w:rPr>
          <w:sz w:val="24"/>
          <w:szCs w:val="24"/>
        </w:rPr>
        <w:t>(</w:t>
      </w:r>
      <w:proofErr w:type="spellStart"/>
      <w:r w:rsidR="007B41AF" w:rsidRPr="0068586F">
        <w:rPr>
          <w:sz w:val="24"/>
          <w:szCs w:val="24"/>
        </w:rPr>
        <w:t>fl</w:t>
      </w:r>
      <w:proofErr w:type="spellEnd"/>
      <w:r w:rsidR="007B41AF" w:rsidRPr="0068586F">
        <w:rPr>
          <w:sz w:val="24"/>
          <w:szCs w:val="24"/>
        </w:rPr>
        <w:t>. 111).</w:t>
      </w:r>
    </w:p>
    <w:p w14:paraId="0E3006C7" w14:textId="6380AB60" w:rsidR="007B41AF" w:rsidRPr="0068586F" w:rsidRDefault="007B41AF" w:rsidP="0068586F">
      <w:pPr>
        <w:pStyle w:val="Textoindependiente"/>
        <w:spacing w:line="276" w:lineRule="auto"/>
        <w:ind w:firstLine="360"/>
        <w:contextualSpacing/>
        <w:jc w:val="both"/>
        <w:rPr>
          <w:sz w:val="24"/>
          <w:szCs w:val="24"/>
        </w:rPr>
      </w:pPr>
    </w:p>
    <w:p w14:paraId="5A3B6CB9" w14:textId="023AE083" w:rsidR="007B41AF" w:rsidRPr="0068586F" w:rsidRDefault="007B41AF" w:rsidP="0068586F">
      <w:pPr>
        <w:pStyle w:val="Textoindependiente"/>
        <w:spacing w:line="276" w:lineRule="auto"/>
        <w:ind w:firstLine="360"/>
        <w:contextualSpacing/>
        <w:jc w:val="both"/>
        <w:rPr>
          <w:sz w:val="24"/>
          <w:szCs w:val="24"/>
        </w:rPr>
      </w:pPr>
      <w:r w:rsidRPr="0068586F">
        <w:rPr>
          <w:sz w:val="24"/>
          <w:szCs w:val="24"/>
        </w:rPr>
        <w:t>E</w:t>
      </w:r>
      <w:r w:rsidR="000F652C" w:rsidRPr="0068586F">
        <w:rPr>
          <w:sz w:val="24"/>
          <w:szCs w:val="24"/>
        </w:rPr>
        <w:t xml:space="preserve">ntonces </w:t>
      </w:r>
      <w:r w:rsidRPr="0068586F">
        <w:rPr>
          <w:sz w:val="24"/>
          <w:szCs w:val="24"/>
        </w:rPr>
        <w:t>este e</w:t>
      </w:r>
      <w:r w:rsidR="000F652C" w:rsidRPr="0068586F">
        <w:rPr>
          <w:sz w:val="24"/>
          <w:szCs w:val="24"/>
        </w:rPr>
        <w:t>ra</w:t>
      </w:r>
      <w:r w:rsidRPr="0068586F">
        <w:rPr>
          <w:sz w:val="24"/>
          <w:szCs w:val="24"/>
        </w:rPr>
        <w:t xml:space="preserve"> el escenario donde se zanjaría la disputa surgida a partir de la revocatoria del acto que concedió la pensión de invalidez a la demandante, revocatoria que a todas luces </w:t>
      </w:r>
      <w:r w:rsidR="00290DEE" w:rsidRPr="0068586F">
        <w:rPr>
          <w:sz w:val="24"/>
          <w:szCs w:val="24"/>
        </w:rPr>
        <w:t>se advierte</w:t>
      </w:r>
      <w:r w:rsidRPr="0068586F">
        <w:rPr>
          <w:sz w:val="24"/>
          <w:szCs w:val="24"/>
        </w:rPr>
        <w:t xml:space="preserve"> desproporcionad</w:t>
      </w:r>
      <w:r w:rsidR="000F652C" w:rsidRPr="0068586F">
        <w:rPr>
          <w:sz w:val="24"/>
          <w:szCs w:val="24"/>
        </w:rPr>
        <w:t>a</w:t>
      </w:r>
      <w:r w:rsidRPr="0068586F">
        <w:rPr>
          <w:sz w:val="24"/>
          <w:szCs w:val="24"/>
        </w:rPr>
        <w:t xml:space="preserve">, en la medida que </w:t>
      </w:r>
      <w:r w:rsidR="00290DEE" w:rsidRPr="0068586F">
        <w:rPr>
          <w:sz w:val="24"/>
          <w:szCs w:val="24"/>
        </w:rPr>
        <w:t xml:space="preserve">en él </w:t>
      </w:r>
      <w:r w:rsidRPr="0068586F">
        <w:rPr>
          <w:sz w:val="24"/>
          <w:szCs w:val="24"/>
        </w:rPr>
        <w:t>no se descalific</w:t>
      </w:r>
      <w:r w:rsidR="00290DEE" w:rsidRPr="0068586F">
        <w:rPr>
          <w:sz w:val="24"/>
          <w:szCs w:val="24"/>
        </w:rPr>
        <w:t>ó</w:t>
      </w:r>
      <w:r w:rsidRPr="0068586F">
        <w:rPr>
          <w:sz w:val="24"/>
          <w:szCs w:val="24"/>
        </w:rPr>
        <w:t xml:space="preserve"> el cumplimiento de los requisitos de la Ley 860 de 2003 por parte de la demandante, sino que se acude a un criterio estrictamente formalista que no </w:t>
      </w:r>
      <w:r w:rsidR="00094029" w:rsidRPr="0068586F">
        <w:rPr>
          <w:sz w:val="24"/>
          <w:szCs w:val="24"/>
        </w:rPr>
        <w:t>podía</w:t>
      </w:r>
      <w:r w:rsidRPr="0068586F">
        <w:rPr>
          <w:sz w:val="24"/>
          <w:szCs w:val="24"/>
        </w:rPr>
        <w:t xml:space="preserve"> dar al traste con los derechos mínimos de </w:t>
      </w:r>
      <w:r w:rsidR="00290DEE" w:rsidRPr="0068586F">
        <w:rPr>
          <w:sz w:val="24"/>
          <w:szCs w:val="24"/>
        </w:rPr>
        <w:t>la</w:t>
      </w:r>
      <w:r w:rsidRPr="0068586F">
        <w:rPr>
          <w:sz w:val="24"/>
          <w:szCs w:val="24"/>
        </w:rPr>
        <w:t xml:space="preserve"> afiliada</w:t>
      </w:r>
      <w:r w:rsidR="00094029" w:rsidRPr="0068586F">
        <w:rPr>
          <w:sz w:val="24"/>
          <w:szCs w:val="24"/>
        </w:rPr>
        <w:t xml:space="preserve">. Por ello, teniendo en cuenta que la señora Vinasco González tiene una pérdida de capacidad laboral del 56,77% </w:t>
      </w:r>
      <w:r w:rsidR="00184EFA" w:rsidRPr="0068586F">
        <w:rPr>
          <w:sz w:val="24"/>
          <w:szCs w:val="24"/>
        </w:rPr>
        <w:t>(</w:t>
      </w:r>
      <w:proofErr w:type="spellStart"/>
      <w:r w:rsidR="00184EFA" w:rsidRPr="0068586F">
        <w:rPr>
          <w:sz w:val="24"/>
          <w:szCs w:val="24"/>
        </w:rPr>
        <w:t>fl</w:t>
      </w:r>
      <w:proofErr w:type="spellEnd"/>
      <w:r w:rsidR="00184EFA" w:rsidRPr="0068586F">
        <w:rPr>
          <w:sz w:val="24"/>
          <w:szCs w:val="24"/>
        </w:rPr>
        <w:t xml:space="preserve">. 18) </w:t>
      </w:r>
      <w:r w:rsidR="00094029" w:rsidRPr="0068586F">
        <w:rPr>
          <w:sz w:val="24"/>
          <w:szCs w:val="24"/>
        </w:rPr>
        <w:t>y que de su historia laboral se desprende que ella cuenta con más de 50 semanas cotizadas en los 3 años anteriores a la estructuración de su invalidez</w:t>
      </w:r>
      <w:r w:rsidR="00290DEE" w:rsidRPr="0068586F">
        <w:rPr>
          <w:sz w:val="24"/>
          <w:szCs w:val="24"/>
        </w:rPr>
        <w:t xml:space="preserve"> (</w:t>
      </w:r>
      <w:proofErr w:type="spellStart"/>
      <w:r w:rsidR="00290DEE" w:rsidRPr="0068586F">
        <w:rPr>
          <w:sz w:val="24"/>
          <w:szCs w:val="24"/>
        </w:rPr>
        <w:t>fl</w:t>
      </w:r>
      <w:proofErr w:type="spellEnd"/>
      <w:r w:rsidR="00290DEE" w:rsidRPr="0068586F">
        <w:rPr>
          <w:sz w:val="24"/>
          <w:szCs w:val="24"/>
        </w:rPr>
        <w:t xml:space="preserve"> .20)</w:t>
      </w:r>
      <w:r w:rsidR="00094029" w:rsidRPr="0068586F">
        <w:rPr>
          <w:sz w:val="24"/>
          <w:szCs w:val="24"/>
        </w:rPr>
        <w:t xml:space="preserve">, acaecida el 8 de mayo de 2014, era esa última calenda a partir de la cual debía reconocerse la gracia pensional, siendo del caso </w:t>
      </w:r>
      <w:r w:rsidR="00E74B08" w:rsidRPr="0068586F">
        <w:rPr>
          <w:sz w:val="24"/>
          <w:szCs w:val="24"/>
        </w:rPr>
        <w:t xml:space="preserve">revocar parcialmente </w:t>
      </w:r>
      <w:r w:rsidR="00094029" w:rsidRPr="0068586F">
        <w:rPr>
          <w:sz w:val="24"/>
          <w:szCs w:val="24"/>
        </w:rPr>
        <w:t xml:space="preserve">la sentencia de primera instancia para </w:t>
      </w:r>
      <w:r w:rsidR="00D847E1" w:rsidRPr="0068586F">
        <w:rPr>
          <w:sz w:val="24"/>
          <w:szCs w:val="24"/>
        </w:rPr>
        <w:t xml:space="preserve">en su lugar </w:t>
      </w:r>
      <w:r w:rsidR="00094029" w:rsidRPr="0068586F">
        <w:rPr>
          <w:sz w:val="24"/>
          <w:szCs w:val="24"/>
        </w:rPr>
        <w:t>ordenar a Colpensiones que continúe cancelando la prestación a la demandante de manera definitiva</w:t>
      </w:r>
      <w:r w:rsidR="00F140F5" w:rsidRPr="0068586F">
        <w:rPr>
          <w:sz w:val="24"/>
          <w:szCs w:val="24"/>
        </w:rPr>
        <w:t xml:space="preserve">, en los mismos términos </w:t>
      </w:r>
      <w:r w:rsidR="00F140F5" w:rsidRPr="0068586F">
        <w:rPr>
          <w:sz w:val="24"/>
          <w:szCs w:val="24"/>
        </w:rPr>
        <w:lastRenderedPageBreak/>
        <w:t xml:space="preserve">dispuestos en la Resolución </w:t>
      </w:r>
      <w:r w:rsidR="00F140F5" w:rsidRPr="0068586F">
        <w:rPr>
          <w:rStyle w:val="normaltextrun"/>
          <w:sz w:val="24"/>
          <w:szCs w:val="24"/>
        </w:rPr>
        <w:t>GNR 53394 de 2017, por las razones que se proceden a explicar a continuación:</w:t>
      </w:r>
    </w:p>
    <w:p w14:paraId="7F705337" w14:textId="13356902" w:rsidR="00094029" w:rsidRPr="0068586F" w:rsidRDefault="00094029" w:rsidP="0068586F">
      <w:pPr>
        <w:pStyle w:val="Textoindependiente"/>
        <w:spacing w:line="276" w:lineRule="auto"/>
        <w:ind w:firstLine="360"/>
        <w:contextualSpacing/>
        <w:jc w:val="both"/>
        <w:rPr>
          <w:sz w:val="24"/>
          <w:szCs w:val="24"/>
        </w:rPr>
      </w:pPr>
    </w:p>
    <w:p w14:paraId="6EF967EE" w14:textId="1795C386" w:rsidR="00D02450" w:rsidRPr="0068586F" w:rsidRDefault="00094029" w:rsidP="0068586F">
      <w:pPr>
        <w:pStyle w:val="Textoindependiente"/>
        <w:spacing w:line="276" w:lineRule="auto"/>
        <w:ind w:firstLine="708"/>
        <w:contextualSpacing/>
        <w:jc w:val="both"/>
        <w:rPr>
          <w:sz w:val="24"/>
          <w:szCs w:val="24"/>
        </w:rPr>
      </w:pPr>
      <w:r w:rsidRPr="0068586F">
        <w:rPr>
          <w:sz w:val="24"/>
          <w:szCs w:val="24"/>
        </w:rPr>
        <w:t xml:space="preserve">Ahora, </w:t>
      </w:r>
      <w:r w:rsidR="00290DEE" w:rsidRPr="0068586F">
        <w:rPr>
          <w:sz w:val="24"/>
          <w:szCs w:val="24"/>
        </w:rPr>
        <w:t xml:space="preserve">teniendo </w:t>
      </w:r>
      <w:r w:rsidRPr="0068586F">
        <w:rPr>
          <w:sz w:val="24"/>
          <w:szCs w:val="24"/>
        </w:rPr>
        <w:t xml:space="preserve">en cuenta </w:t>
      </w:r>
      <w:r w:rsidR="00290DEE" w:rsidRPr="0068586F">
        <w:rPr>
          <w:sz w:val="24"/>
          <w:szCs w:val="24"/>
        </w:rPr>
        <w:t>que</w:t>
      </w:r>
      <w:r w:rsidRPr="0068586F">
        <w:rPr>
          <w:sz w:val="24"/>
          <w:szCs w:val="24"/>
        </w:rPr>
        <w:t xml:space="preserve"> la parte actora</w:t>
      </w:r>
      <w:r w:rsidR="00290DEE" w:rsidRPr="0068586F">
        <w:rPr>
          <w:sz w:val="24"/>
          <w:szCs w:val="24"/>
        </w:rPr>
        <w:t xml:space="preserve"> busca que se modifique la tasa de reemplazo</w:t>
      </w:r>
      <w:r w:rsidRPr="0068586F">
        <w:rPr>
          <w:sz w:val="24"/>
          <w:szCs w:val="24"/>
        </w:rPr>
        <w:t xml:space="preserve">, se dirá que </w:t>
      </w:r>
      <w:r w:rsidR="00D02450" w:rsidRPr="0068586F">
        <w:rPr>
          <w:sz w:val="24"/>
          <w:szCs w:val="24"/>
        </w:rPr>
        <w:t xml:space="preserve">el artículo 40 </w:t>
      </w:r>
      <w:r w:rsidRPr="0068586F">
        <w:rPr>
          <w:sz w:val="24"/>
          <w:szCs w:val="24"/>
        </w:rPr>
        <w:t xml:space="preserve">de la Ley 100 de 1993 dispone que </w:t>
      </w:r>
      <w:r w:rsidR="00D02450" w:rsidRPr="0068586F">
        <w:rPr>
          <w:sz w:val="24"/>
          <w:szCs w:val="24"/>
        </w:rPr>
        <w:t xml:space="preserve">cuando la </w:t>
      </w:r>
      <w:r w:rsidRPr="0068586F">
        <w:rPr>
          <w:sz w:val="24"/>
          <w:szCs w:val="24"/>
        </w:rPr>
        <w:t>pérdida de capacidad laboral o</w:t>
      </w:r>
      <w:r w:rsidR="00D02450" w:rsidRPr="0068586F">
        <w:rPr>
          <w:sz w:val="24"/>
          <w:szCs w:val="24"/>
        </w:rPr>
        <w:t>scila entre el 50% y el 66%</w:t>
      </w:r>
      <w:r w:rsidRPr="0068586F">
        <w:rPr>
          <w:sz w:val="24"/>
          <w:szCs w:val="24"/>
        </w:rPr>
        <w:t xml:space="preserve"> -como en el caso de marras-</w:t>
      </w:r>
      <w:r w:rsidR="00D02450" w:rsidRPr="0068586F">
        <w:rPr>
          <w:sz w:val="24"/>
          <w:szCs w:val="24"/>
        </w:rPr>
        <w:t xml:space="preserve"> dicho monto debe corresponde al 45% del IBL, más el 1.5% por cada 50 semanas que sobrepasen las primeras 500.</w:t>
      </w:r>
    </w:p>
    <w:p w14:paraId="7C764973" w14:textId="77777777" w:rsidR="00D02450" w:rsidRPr="0068586F" w:rsidRDefault="00D02450" w:rsidP="0068586F">
      <w:pPr>
        <w:pStyle w:val="Prrafodelista2"/>
        <w:spacing w:after="0"/>
        <w:ind w:left="0"/>
        <w:jc w:val="both"/>
        <w:rPr>
          <w:rFonts w:ascii="Tahoma" w:hAnsi="Tahoma" w:cs="Tahoma"/>
          <w:sz w:val="24"/>
          <w:szCs w:val="24"/>
        </w:rPr>
      </w:pPr>
    </w:p>
    <w:p w14:paraId="57A6BA78" w14:textId="30A94F67" w:rsidR="00683B05" w:rsidRPr="0068586F" w:rsidRDefault="00094029" w:rsidP="0068586F">
      <w:pPr>
        <w:pStyle w:val="Prrafodelista2"/>
        <w:spacing w:after="0"/>
        <w:ind w:left="0" w:firstLine="708"/>
        <w:jc w:val="both"/>
        <w:rPr>
          <w:rFonts w:ascii="Tahoma" w:hAnsi="Tahoma" w:cs="Tahoma"/>
          <w:sz w:val="24"/>
          <w:szCs w:val="24"/>
        </w:rPr>
      </w:pPr>
      <w:r w:rsidRPr="0068586F">
        <w:rPr>
          <w:rFonts w:ascii="Tahoma" w:hAnsi="Tahoma" w:cs="Tahoma"/>
          <w:sz w:val="24"/>
          <w:szCs w:val="24"/>
        </w:rPr>
        <w:t xml:space="preserve">Por otra parte, teniendo en cuenta que </w:t>
      </w:r>
      <w:r w:rsidR="00D02450" w:rsidRPr="0068586F">
        <w:rPr>
          <w:rFonts w:ascii="Tahoma" w:hAnsi="Tahoma" w:cs="Tahoma"/>
          <w:sz w:val="24"/>
          <w:szCs w:val="24"/>
        </w:rPr>
        <w:t xml:space="preserve">la fecha de reconocimiento de la pensión de invalidez debe corresponder a la de estructuración de ese estado, </w:t>
      </w:r>
      <w:r w:rsidRPr="0068586F">
        <w:rPr>
          <w:rFonts w:ascii="Tahoma" w:hAnsi="Tahoma" w:cs="Tahoma"/>
          <w:sz w:val="24"/>
          <w:szCs w:val="24"/>
        </w:rPr>
        <w:t xml:space="preserve">es menester </w:t>
      </w:r>
      <w:r w:rsidR="00D02450" w:rsidRPr="0068586F">
        <w:rPr>
          <w:rFonts w:ascii="Tahoma" w:hAnsi="Tahoma" w:cs="Tahoma"/>
          <w:sz w:val="24"/>
          <w:szCs w:val="24"/>
        </w:rPr>
        <w:t>determinar</w:t>
      </w:r>
      <w:r w:rsidRPr="0068586F">
        <w:rPr>
          <w:rFonts w:ascii="Tahoma" w:hAnsi="Tahoma" w:cs="Tahoma"/>
          <w:sz w:val="24"/>
          <w:szCs w:val="24"/>
        </w:rPr>
        <w:t xml:space="preserve"> cuántas </w:t>
      </w:r>
      <w:r w:rsidR="00D02450" w:rsidRPr="0068586F">
        <w:rPr>
          <w:rFonts w:ascii="Tahoma" w:hAnsi="Tahoma" w:cs="Tahoma"/>
          <w:sz w:val="24"/>
          <w:szCs w:val="24"/>
        </w:rPr>
        <w:t xml:space="preserve">semanas tenía cotizadas </w:t>
      </w:r>
      <w:r w:rsidRPr="0068586F">
        <w:rPr>
          <w:rFonts w:ascii="Tahoma" w:hAnsi="Tahoma" w:cs="Tahoma"/>
          <w:sz w:val="24"/>
          <w:szCs w:val="24"/>
        </w:rPr>
        <w:t>la gestora del pleito</w:t>
      </w:r>
      <w:r w:rsidR="00D02450" w:rsidRPr="0068586F">
        <w:rPr>
          <w:rFonts w:ascii="Tahoma" w:hAnsi="Tahoma" w:cs="Tahoma"/>
          <w:sz w:val="24"/>
          <w:szCs w:val="24"/>
        </w:rPr>
        <w:t xml:space="preserve"> para </w:t>
      </w:r>
      <w:r w:rsidRPr="0068586F">
        <w:rPr>
          <w:rFonts w:ascii="Tahoma" w:hAnsi="Tahoma" w:cs="Tahoma"/>
          <w:sz w:val="24"/>
          <w:szCs w:val="24"/>
        </w:rPr>
        <w:t xml:space="preserve">calcular </w:t>
      </w:r>
      <w:r w:rsidR="00D02450" w:rsidRPr="0068586F">
        <w:rPr>
          <w:rFonts w:ascii="Tahoma" w:hAnsi="Tahoma" w:cs="Tahoma"/>
          <w:sz w:val="24"/>
          <w:szCs w:val="24"/>
        </w:rPr>
        <w:t>la tasa de reemplazo a que tiene derecho.</w:t>
      </w:r>
      <w:r w:rsidRPr="0068586F">
        <w:rPr>
          <w:rFonts w:ascii="Tahoma" w:hAnsi="Tahoma" w:cs="Tahoma"/>
          <w:sz w:val="24"/>
          <w:szCs w:val="24"/>
        </w:rPr>
        <w:t xml:space="preserve"> Para tal efecto, se </w:t>
      </w:r>
      <w:r w:rsidR="00B56D27" w:rsidRPr="0068586F">
        <w:rPr>
          <w:rFonts w:ascii="Tahoma" w:hAnsi="Tahoma" w:cs="Tahoma"/>
          <w:sz w:val="24"/>
          <w:szCs w:val="24"/>
        </w:rPr>
        <w:t xml:space="preserve">estima acertada la conclusión a la que arribó la Jueza de instancia, como quiera que no era dable </w:t>
      </w:r>
      <w:r w:rsidR="00D02450" w:rsidRPr="0068586F">
        <w:rPr>
          <w:rFonts w:ascii="Tahoma" w:hAnsi="Tahoma" w:cs="Tahoma"/>
          <w:sz w:val="24"/>
          <w:szCs w:val="24"/>
        </w:rPr>
        <w:t xml:space="preserve">tener en cuenta las semanas cotizadas con posterioridad al </w:t>
      </w:r>
      <w:r w:rsidR="00B56D27" w:rsidRPr="0068586F">
        <w:rPr>
          <w:rFonts w:ascii="Tahoma" w:hAnsi="Tahoma" w:cs="Tahoma"/>
          <w:sz w:val="24"/>
          <w:szCs w:val="24"/>
        </w:rPr>
        <w:t>4 de mayo de 2014</w:t>
      </w:r>
      <w:r w:rsidR="00290DEE" w:rsidRPr="0068586F">
        <w:rPr>
          <w:rFonts w:ascii="Tahoma" w:hAnsi="Tahoma" w:cs="Tahoma"/>
          <w:sz w:val="24"/>
          <w:szCs w:val="24"/>
        </w:rPr>
        <w:t xml:space="preserve">, fecha de estructuración de la invalidez. </w:t>
      </w:r>
      <w:r w:rsidR="00B56D27" w:rsidRPr="0068586F">
        <w:rPr>
          <w:rFonts w:ascii="Tahoma" w:hAnsi="Tahoma" w:cs="Tahoma"/>
          <w:sz w:val="24"/>
          <w:szCs w:val="24"/>
        </w:rPr>
        <w:t xml:space="preserve">Sobre ese punto en concreto, la Sala de Casación Laboral de la Corte Suprema de Justicia en </w:t>
      </w:r>
      <w:r w:rsidR="00683B05" w:rsidRPr="0068586F">
        <w:rPr>
          <w:rFonts w:ascii="Tahoma" w:hAnsi="Tahoma" w:cs="Tahoma"/>
          <w:sz w:val="24"/>
          <w:szCs w:val="24"/>
        </w:rPr>
        <w:t xml:space="preserve">sentencia </w:t>
      </w:r>
      <w:r w:rsidR="00DD7CEB" w:rsidRPr="0068586F">
        <w:rPr>
          <w:rFonts w:ascii="Tahoma" w:hAnsi="Tahoma" w:cs="Tahoma"/>
          <w:sz w:val="24"/>
          <w:szCs w:val="24"/>
        </w:rPr>
        <w:t>SL4266-2017</w:t>
      </w:r>
      <w:r w:rsidR="00683B05" w:rsidRPr="0068586F">
        <w:rPr>
          <w:rFonts w:ascii="Tahoma" w:hAnsi="Tahoma" w:cs="Tahoma"/>
          <w:sz w:val="24"/>
          <w:szCs w:val="24"/>
        </w:rPr>
        <w:t xml:space="preserve">, </w:t>
      </w:r>
      <w:r w:rsidR="00B56D27" w:rsidRPr="0068586F">
        <w:rPr>
          <w:rFonts w:ascii="Tahoma" w:hAnsi="Tahoma" w:cs="Tahoma"/>
          <w:sz w:val="24"/>
          <w:szCs w:val="24"/>
        </w:rPr>
        <w:t>expuso lo siguiente</w:t>
      </w:r>
      <w:r w:rsidR="00683B05" w:rsidRPr="0068586F">
        <w:rPr>
          <w:rFonts w:ascii="Tahoma" w:hAnsi="Tahoma" w:cs="Tahoma"/>
          <w:sz w:val="24"/>
          <w:szCs w:val="24"/>
        </w:rPr>
        <w:t>:</w:t>
      </w:r>
    </w:p>
    <w:p w14:paraId="324C6A82" w14:textId="77777777" w:rsidR="00683B05" w:rsidRPr="0068586F" w:rsidRDefault="00683B05" w:rsidP="0068586F">
      <w:pPr>
        <w:pStyle w:val="Sangra2detindependiente1"/>
        <w:spacing w:line="276" w:lineRule="auto"/>
        <w:ind w:left="709" w:firstLine="0"/>
        <w:rPr>
          <w:rFonts w:ascii="Tahoma" w:hAnsi="Tahoma" w:cs="Tahoma"/>
          <w:b w:val="0"/>
          <w:sz w:val="24"/>
          <w:szCs w:val="24"/>
          <w:lang w:val="es-ES"/>
        </w:rPr>
      </w:pPr>
    </w:p>
    <w:p w14:paraId="12229C5D" w14:textId="56B9E98B" w:rsidR="00683B05" w:rsidRPr="002D7410" w:rsidRDefault="00DD7CEB" w:rsidP="002D7410">
      <w:pPr>
        <w:pStyle w:val="BodyText21"/>
        <w:widowControl w:val="0"/>
        <w:spacing w:line="240" w:lineRule="auto"/>
        <w:ind w:left="426" w:right="420" w:firstLine="0"/>
        <w:rPr>
          <w:rFonts w:ascii="Tahoma" w:hAnsi="Tahoma" w:cs="Tahoma"/>
          <w:b w:val="0"/>
          <w:snapToGrid w:val="0"/>
          <w:sz w:val="22"/>
          <w:szCs w:val="24"/>
          <w:lang w:val="es-ES"/>
        </w:rPr>
      </w:pPr>
      <w:r w:rsidRPr="002D7410">
        <w:rPr>
          <w:rFonts w:ascii="Tahoma" w:hAnsi="Tahoma" w:cs="Tahoma"/>
          <w:b w:val="0"/>
          <w:snapToGrid w:val="0"/>
          <w:sz w:val="22"/>
          <w:szCs w:val="24"/>
          <w:lang w:val="es-ES"/>
        </w:rPr>
        <w:t xml:space="preserve">“Ahora, las normas que regulan el reconocimiento de una pensión de invalidez, establecen unos requisitos para acceder a dicha prestación. Uno de ellos, el de tener la densidad de cotizaciones requeridas antes de producirse el estado de invalidez. Ello es lógico, pues no pueden comprenderse cotizaciones que se hagan con posterioridad a la estructuración de la invalidez, pues ya el riesgo o la contingencia han ocurrido, y no es de sentido común pensar </w:t>
      </w:r>
      <w:r w:rsidR="00664A28" w:rsidRPr="002D7410">
        <w:rPr>
          <w:rFonts w:ascii="Tahoma" w:hAnsi="Tahoma" w:cs="Tahoma"/>
          <w:b w:val="0"/>
          <w:snapToGrid w:val="0"/>
          <w:sz w:val="22"/>
          <w:szCs w:val="24"/>
          <w:lang w:val="es-ES"/>
        </w:rPr>
        <w:t>que,</w:t>
      </w:r>
      <w:r w:rsidRPr="002D7410">
        <w:rPr>
          <w:rFonts w:ascii="Tahoma" w:hAnsi="Tahoma" w:cs="Tahoma"/>
          <w:b w:val="0"/>
          <w:snapToGrid w:val="0"/>
          <w:sz w:val="22"/>
          <w:szCs w:val="24"/>
          <w:lang w:val="es-ES"/>
        </w:rPr>
        <w:t xml:space="preserve"> acontecido ese riesgo, el afectado pueda asegurarse contra el mismo.”</w:t>
      </w:r>
    </w:p>
    <w:p w14:paraId="1E64059A" w14:textId="77777777" w:rsidR="00D02450" w:rsidRPr="0068586F" w:rsidRDefault="00D02450" w:rsidP="0068586F">
      <w:pPr>
        <w:pStyle w:val="Prrafodelista2"/>
        <w:spacing w:after="0"/>
        <w:ind w:left="0"/>
        <w:jc w:val="both"/>
        <w:rPr>
          <w:rFonts w:ascii="Tahoma" w:hAnsi="Tahoma" w:cs="Tahoma"/>
          <w:sz w:val="24"/>
          <w:szCs w:val="24"/>
        </w:rPr>
      </w:pPr>
    </w:p>
    <w:p w14:paraId="69BFA9BE" w14:textId="3B7CFC9F" w:rsidR="00B33A2C" w:rsidRPr="0068586F" w:rsidRDefault="0791C5AD" w:rsidP="0068586F">
      <w:pPr>
        <w:pStyle w:val="Prrafodelista2"/>
        <w:spacing w:after="0"/>
        <w:ind w:left="0" w:firstLine="708"/>
        <w:jc w:val="both"/>
        <w:rPr>
          <w:rFonts w:ascii="Tahoma" w:hAnsi="Tahoma" w:cs="Tahoma"/>
          <w:sz w:val="24"/>
          <w:szCs w:val="24"/>
        </w:rPr>
      </w:pPr>
      <w:r w:rsidRPr="0068586F">
        <w:rPr>
          <w:rFonts w:ascii="Tahoma" w:hAnsi="Tahoma" w:cs="Tahoma"/>
          <w:sz w:val="24"/>
          <w:szCs w:val="24"/>
        </w:rPr>
        <w:t xml:space="preserve">De esta manera, </w:t>
      </w:r>
      <w:r w:rsidR="4B5BD8FC" w:rsidRPr="0068586F">
        <w:rPr>
          <w:rFonts w:ascii="Tahoma" w:hAnsi="Tahoma" w:cs="Tahoma"/>
          <w:sz w:val="24"/>
          <w:szCs w:val="24"/>
        </w:rPr>
        <w:t xml:space="preserve">la historia laboral </w:t>
      </w:r>
      <w:r w:rsidRPr="0068586F">
        <w:rPr>
          <w:rFonts w:ascii="Tahoma" w:hAnsi="Tahoma" w:cs="Tahoma"/>
          <w:sz w:val="24"/>
          <w:szCs w:val="24"/>
        </w:rPr>
        <w:t xml:space="preserve">que milita en el infolio </w:t>
      </w:r>
      <w:r w:rsidR="00290DEE" w:rsidRPr="0068586F">
        <w:rPr>
          <w:rFonts w:ascii="Tahoma" w:hAnsi="Tahoma" w:cs="Tahoma"/>
          <w:sz w:val="24"/>
          <w:szCs w:val="24"/>
        </w:rPr>
        <w:t>20</w:t>
      </w:r>
      <w:r w:rsidR="4B5BD8FC" w:rsidRPr="0068586F">
        <w:rPr>
          <w:rFonts w:ascii="Tahoma" w:hAnsi="Tahoma" w:cs="Tahoma"/>
          <w:sz w:val="24"/>
          <w:szCs w:val="24"/>
        </w:rPr>
        <w:t xml:space="preserve"> se </w:t>
      </w:r>
      <w:r w:rsidR="00290DEE" w:rsidRPr="0068586F">
        <w:rPr>
          <w:rFonts w:ascii="Tahoma" w:hAnsi="Tahoma" w:cs="Tahoma"/>
          <w:sz w:val="24"/>
          <w:szCs w:val="24"/>
        </w:rPr>
        <w:t xml:space="preserve">percibe </w:t>
      </w:r>
      <w:r w:rsidR="4B5BD8FC" w:rsidRPr="0068586F">
        <w:rPr>
          <w:rFonts w:ascii="Tahoma" w:hAnsi="Tahoma" w:cs="Tahoma"/>
          <w:sz w:val="24"/>
          <w:szCs w:val="24"/>
        </w:rPr>
        <w:t>que hasta la calenda anunciada l</w:t>
      </w:r>
      <w:r w:rsidR="00290DEE" w:rsidRPr="0068586F">
        <w:rPr>
          <w:rFonts w:ascii="Tahoma" w:hAnsi="Tahoma" w:cs="Tahoma"/>
          <w:sz w:val="24"/>
          <w:szCs w:val="24"/>
        </w:rPr>
        <w:t>a</w:t>
      </w:r>
      <w:r w:rsidR="4B5BD8FC" w:rsidRPr="0068586F">
        <w:rPr>
          <w:rFonts w:ascii="Tahoma" w:hAnsi="Tahoma" w:cs="Tahoma"/>
          <w:sz w:val="24"/>
          <w:szCs w:val="24"/>
        </w:rPr>
        <w:t xml:space="preserve"> demandante cotizó un total de </w:t>
      </w:r>
      <w:r w:rsidR="00184EFA" w:rsidRPr="0068586F">
        <w:rPr>
          <w:rFonts w:ascii="Tahoma" w:hAnsi="Tahoma" w:cs="Tahoma"/>
          <w:sz w:val="24"/>
          <w:szCs w:val="24"/>
        </w:rPr>
        <w:t>1216</w:t>
      </w:r>
      <w:r w:rsidR="4B5BD8FC" w:rsidRPr="0068586F">
        <w:rPr>
          <w:rFonts w:ascii="Tahoma" w:hAnsi="Tahoma" w:cs="Tahoma"/>
          <w:sz w:val="24"/>
          <w:szCs w:val="24"/>
        </w:rPr>
        <w:t xml:space="preserve"> semanas, de donde </w:t>
      </w:r>
      <w:r w:rsidR="00184EFA" w:rsidRPr="0068586F">
        <w:rPr>
          <w:rFonts w:ascii="Tahoma" w:hAnsi="Tahoma" w:cs="Tahoma"/>
          <w:sz w:val="24"/>
          <w:szCs w:val="24"/>
        </w:rPr>
        <w:t>se</w:t>
      </w:r>
      <w:r w:rsidR="4B5BD8FC" w:rsidRPr="0068586F">
        <w:rPr>
          <w:rFonts w:ascii="Tahoma" w:hAnsi="Tahoma" w:cs="Tahoma"/>
          <w:sz w:val="24"/>
          <w:szCs w:val="24"/>
        </w:rPr>
        <w:t xml:space="preserve"> col</w:t>
      </w:r>
      <w:r w:rsidR="00184EFA" w:rsidRPr="0068586F">
        <w:rPr>
          <w:rFonts w:ascii="Tahoma" w:hAnsi="Tahoma" w:cs="Tahoma"/>
          <w:sz w:val="24"/>
          <w:szCs w:val="24"/>
        </w:rPr>
        <w:t>ige</w:t>
      </w:r>
      <w:r w:rsidR="4B5BD8FC" w:rsidRPr="0068586F">
        <w:rPr>
          <w:rFonts w:ascii="Tahoma" w:hAnsi="Tahoma" w:cs="Tahoma"/>
          <w:sz w:val="24"/>
          <w:szCs w:val="24"/>
        </w:rPr>
        <w:t xml:space="preserve"> que la tasa de reemplazo que le corresponde es la del </w:t>
      </w:r>
      <w:r w:rsidR="00184EFA" w:rsidRPr="0068586F">
        <w:rPr>
          <w:rFonts w:ascii="Tahoma" w:hAnsi="Tahoma" w:cs="Tahoma"/>
          <w:sz w:val="24"/>
          <w:szCs w:val="24"/>
        </w:rPr>
        <w:t>66</w:t>
      </w:r>
      <w:r w:rsidR="4B5BD8FC" w:rsidRPr="0068586F">
        <w:rPr>
          <w:rFonts w:ascii="Tahoma" w:hAnsi="Tahoma" w:cs="Tahoma"/>
          <w:sz w:val="24"/>
          <w:szCs w:val="24"/>
        </w:rPr>
        <w:t>% como lo hizo la entidad demandada</w:t>
      </w:r>
      <w:r w:rsidR="00184EFA" w:rsidRPr="0068586F">
        <w:rPr>
          <w:rFonts w:ascii="Tahoma" w:hAnsi="Tahoma" w:cs="Tahoma"/>
          <w:sz w:val="24"/>
          <w:szCs w:val="24"/>
        </w:rPr>
        <w:t xml:space="preserve"> </w:t>
      </w:r>
      <w:r w:rsidR="00F140F5" w:rsidRPr="0068586F">
        <w:rPr>
          <w:rFonts w:ascii="Tahoma" w:hAnsi="Tahoma" w:cs="Tahoma"/>
          <w:sz w:val="24"/>
          <w:szCs w:val="24"/>
        </w:rPr>
        <w:t xml:space="preserve">en la Resolución GNR 53394 de 2017 </w:t>
      </w:r>
      <w:r w:rsidR="00184EFA" w:rsidRPr="0068586F">
        <w:rPr>
          <w:rFonts w:ascii="Tahoma" w:hAnsi="Tahoma" w:cs="Tahoma"/>
          <w:sz w:val="24"/>
          <w:szCs w:val="24"/>
        </w:rPr>
        <w:t>y lo estimó la A-quo</w:t>
      </w:r>
      <w:r w:rsidR="4B5BD8FC" w:rsidRPr="0068586F">
        <w:rPr>
          <w:rFonts w:ascii="Tahoma" w:hAnsi="Tahoma" w:cs="Tahoma"/>
          <w:sz w:val="24"/>
          <w:szCs w:val="24"/>
        </w:rPr>
        <w:t>.</w:t>
      </w:r>
      <w:r w:rsidR="00184EFA" w:rsidRPr="0068586F">
        <w:rPr>
          <w:rFonts w:ascii="Tahoma" w:hAnsi="Tahoma" w:cs="Tahoma"/>
          <w:sz w:val="24"/>
          <w:szCs w:val="24"/>
        </w:rPr>
        <w:t xml:space="preserve"> </w:t>
      </w:r>
      <w:r w:rsidR="09E428CF" w:rsidRPr="0068586F">
        <w:rPr>
          <w:rFonts w:ascii="Tahoma" w:hAnsi="Tahoma" w:cs="Tahoma"/>
          <w:sz w:val="24"/>
          <w:szCs w:val="24"/>
        </w:rPr>
        <w:t>Esto c</w:t>
      </w:r>
      <w:r w:rsidR="00184EFA" w:rsidRPr="0068586F">
        <w:rPr>
          <w:rFonts w:ascii="Tahoma" w:hAnsi="Tahoma" w:cs="Tahoma"/>
          <w:sz w:val="24"/>
          <w:szCs w:val="24"/>
        </w:rPr>
        <w:t>onlleva a despachar desfavorable los fundamentos del recurso de alzada</w:t>
      </w:r>
      <w:r w:rsidR="2960C207" w:rsidRPr="0068586F">
        <w:rPr>
          <w:rFonts w:ascii="Tahoma" w:hAnsi="Tahoma" w:cs="Tahoma"/>
          <w:sz w:val="24"/>
          <w:szCs w:val="24"/>
        </w:rPr>
        <w:t xml:space="preserve"> en este punto</w:t>
      </w:r>
      <w:r w:rsidR="00184EFA" w:rsidRPr="0068586F">
        <w:rPr>
          <w:rFonts w:ascii="Tahoma" w:hAnsi="Tahoma" w:cs="Tahoma"/>
          <w:sz w:val="24"/>
          <w:szCs w:val="24"/>
        </w:rPr>
        <w:t>.</w:t>
      </w:r>
      <w:bookmarkStart w:id="2" w:name="_GoBack"/>
      <w:bookmarkEnd w:id="2"/>
    </w:p>
    <w:p w14:paraId="1DB61C00" w14:textId="1F857A77" w:rsidR="00184EFA" w:rsidRPr="0068586F" w:rsidRDefault="00184EFA" w:rsidP="0068586F">
      <w:pPr>
        <w:spacing w:line="276" w:lineRule="auto"/>
        <w:ind w:firstLine="709"/>
        <w:rPr>
          <w:rFonts w:cs="Tahoma"/>
          <w:szCs w:val="24"/>
        </w:rPr>
      </w:pPr>
    </w:p>
    <w:p w14:paraId="78DFC891" w14:textId="45AEC904" w:rsidR="00B33A2C" w:rsidRPr="0068586F" w:rsidRDefault="000F652C" w:rsidP="0068586F">
      <w:pPr>
        <w:spacing w:line="276" w:lineRule="auto"/>
        <w:ind w:firstLine="709"/>
        <w:rPr>
          <w:rFonts w:eastAsia="Tahoma" w:cs="Tahoma"/>
          <w:szCs w:val="24"/>
        </w:rPr>
      </w:pPr>
      <w:r w:rsidRPr="0068586F">
        <w:rPr>
          <w:rFonts w:cs="Tahoma"/>
          <w:szCs w:val="24"/>
        </w:rPr>
        <w:t xml:space="preserve">Como quiera que prosperaron parcialmente las pretensiones, se condenará en costas de primera instancia a COLPENSIONES en </w:t>
      </w:r>
      <w:r w:rsidR="00184EFA" w:rsidRPr="0068586F">
        <w:rPr>
          <w:rFonts w:cs="Tahoma"/>
          <w:szCs w:val="24"/>
        </w:rPr>
        <w:t xml:space="preserve">un </w:t>
      </w:r>
      <w:r w:rsidRPr="0068586F">
        <w:rPr>
          <w:rFonts w:cs="Tahoma"/>
          <w:szCs w:val="24"/>
        </w:rPr>
        <w:t>5</w:t>
      </w:r>
      <w:r w:rsidR="00184EFA" w:rsidRPr="0068586F">
        <w:rPr>
          <w:rFonts w:cs="Tahoma"/>
          <w:szCs w:val="24"/>
        </w:rPr>
        <w:t>0%</w:t>
      </w:r>
      <w:r w:rsidRPr="0068586F">
        <w:rPr>
          <w:rFonts w:cs="Tahoma"/>
          <w:szCs w:val="24"/>
        </w:rPr>
        <w:t xml:space="preserve"> a favor de la parte demandante. Lo anterior conlleva a revocar el numeral </w:t>
      </w:r>
      <w:r w:rsidR="00513BDF" w:rsidRPr="0068586F">
        <w:rPr>
          <w:rFonts w:cs="Tahoma"/>
          <w:szCs w:val="24"/>
        </w:rPr>
        <w:t xml:space="preserve">primero y </w:t>
      </w:r>
      <w:r w:rsidRPr="0068586F">
        <w:rPr>
          <w:rFonts w:cs="Tahoma"/>
          <w:szCs w:val="24"/>
        </w:rPr>
        <w:t xml:space="preserve">tercero de la parte resolutiva de la sentencia de primer grado. </w:t>
      </w:r>
      <w:r w:rsidR="00B33A2C" w:rsidRPr="0068586F">
        <w:rPr>
          <w:rFonts w:cs="Tahoma"/>
          <w:szCs w:val="24"/>
        </w:rPr>
        <w:t xml:space="preserve">En esta instancia </w:t>
      </w:r>
      <w:r w:rsidR="00184EFA" w:rsidRPr="0068586F">
        <w:rPr>
          <w:rFonts w:cs="Tahoma"/>
          <w:szCs w:val="24"/>
        </w:rPr>
        <w:t xml:space="preserve">no habrá condena por ese concepto por haber </w:t>
      </w:r>
      <w:r w:rsidR="000072F6" w:rsidRPr="0068586F">
        <w:rPr>
          <w:rFonts w:cs="Tahoma"/>
          <w:szCs w:val="24"/>
        </w:rPr>
        <w:t>salido avante</w:t>
      </w:r>
      <w:r w:rsidR="00184EFA" w:rsidRPr="0068586F">
        <w:rPr>
          <w:rFonts w:cs="Tahoma"/>
          <w:szCs w:val="24"/>
        </w:rPr>
        <w:t xml:space="preserve"> </w:t>
      </w:r>
      <w:r w:rsidR="000072F6" w:rsidRPr="0068586F">
        <w:rPr>
          <w:rFonts w:cs="Tahoma"/>
          <w:szCs w:val="24"/>
        </w:rPr>
        <w:t>parte del recurso de alzada.</w:t>
      </w:r>
      <w:r w:rsidR="00B33A2C" w:rsidRPr="0068586F">
        <w:rPr>
          <w:rFonts w:eastAsia="Tahoma" w:cs="Tahoma"/>
          <w:szCs w:val="24"/>
        </w:rPr>
        <w:t xml:space="preserve"> </w:t>
      </w:r>
    </w:p>
    <w:p w14:paraId="3C1E6E1E" w14:textId="77777777" w:rsidR="00B33A2C" w:rsidRPr="0068586F" w:rsidRDefault="00B33A2C" w:rsidP="0068586F">
      <w:pPr>
        <w:spacing w:line="276" w:lineRule="auto"/>
        <w:ind w:firstLine="708"/>
        <w:rPr>
          <w:rFonts w:eastAsia="Tahoma" w:cs="Tahoma"/>
          <w:szCs w:val="24"/>
        </w:rPr>
      </w:pPr>
    </w:p>
    <w:p w14:paraId="24B86EB4" w14:textId="7210D98E" w:rsidR="000072F6" w:rsidRPr="0068586F" w:rsidRDefault="002D7410" w:rsidP="0068586F">
      <w:pPr>
        <w:spacing w:line="276" w:lineRule="auto"/>
        <w:ind w:firstLine="644"/>
        <w:rPr>
          <w:rFonts w:eastAsia="Tahoma" w:cs="Tahoma"/>
          <w:szCs w:val="24"/>
          <w:lang w:eastAsia="es-ES"/>
        </w:rPr>
      </w:pPr>
      <w:r>
        <w:rPr>
          <w:rFonts w:eastAsia="Tahoma" w:cs="Tahoma"/>
          <w:szCs w:val="24"/>
          <w:lang w:eastAsia="es-ES"/>
        </w:rPr>
        <w:t>(…)</w:t>
      </w:r>
    </w:p>
    <w:p w14:paraId="40D43801" w14:textId="77777777" w:rsidR="00B33A2C" w:rsidRPr="0068586F" w:rsidRDefault="00B33A2C" w:rsidP="0068586F">
      <w:pPr>
        <w:spacing w:line="276" w:lineRule="auto"/>
        <w:ind w:firstLine="644"/>
        <w:rPr>
          <w:rFonts w:eastAsia="Tahoma" w:cs="Tahoma"/>
          <w:szCs w:val="24"/>
          <w:lang w:eastAsia="es-ES"/>
        </w:rPr>
      </w:pPr>
    </w:p>
    <w:p w14:paraId="28755A4D" w14:textId="77777777" w:rsidR="00B33A2C" w:rsidRPr="0068586F" w:rsidRDefault="00B33A2C" w:rsidP="0068586F">
      <w:pPr>
        <w:spacing w:line="276" w:lineRule="auto"/>
        <w:ind w:firstLine="644"/>
        <w:contextualSpacing/>
        <w:rPr>
          <w:rFonts w:eastAsia="Times New Roman" w:cs="Tahoma"/>
          <w:color w:val="000000" w:themeColor="text1"/>
          <w:szCs w:val="24"/>
        </w:rPr>
      </w:pPr>
      <w:r w:rsidRPr="0068586F">
        <w:rPr>
          <w:rFonts w:eastAsia="Times New Roman" w:cs="Tahoma"/>
          <w:color w:val="000000" w:themeColor="text1"/>
          <w:szCs w:val="24"/>
        </w:rPr>
        <w:t xml:space="preserve">En mérito de lo expuesto, el </w:t>
      </w:r>
      <w:r w:rsidRPr="0068586F">
        <w:rPr>
          <w:rFonts w:eastAsia="Times New Roman" w:cs="Tahoma"/>
          <w:b/>
          <w:color w:val="000000" w:themeColor="text1"/>
          <w:szCs w:val="24"/>
        </w:rPr>
        <w:t>Tribunal Superior del Distrito Judicial de Pereira - Risaralda, Sala Primera de Decisión Laboral,</w:t>
      </w:r>
      <w:r w:rsidRPr="0068586F">
        <w:rPr>
          <w:rFonts w:eastAsia="Times New Roman" w:cs="Tahoma"/>
          <w:color w:val="000000" w:themeColor="text1"/>
          <w:szCs w:val="24"/>
        </w:rPr>
        <w:t xml:space="preserve"> administrando justicia en nombre de la República y por autoridad de la ley,</w:t>
      </w:r>
    </w:p>
    <w:p w14:paraId="391610F1" w14:textId="77777777" w:rsidR="00B33A2C" w:rsidRPr="0068586F" w:rsidRDefault="00B33A2C" w:rsidP="0068586F">
      <w:pPr>
        <w:spacing w:line="276" w:lineRule="auto"/>
        <w:ind w:firstLine="708"/>
        <w:contextualSpacing/>
        <w:rPr>
          <w:rFonts w:eastAsia="Times New Roman" w:cs="Tahoma"/>
          <w:color w:val="000000" w:themeColor="text1"/>
          <w:szCs w:val="24"/>
        </w:rPr>
      </w:pPr>
    </w:p>
    <w:p w14:paraId="1E94C6A5" w14:textId="77777777" w:rsidR="00B33A2C" w:rsidRPr="0068586F" w:rsidRDefault="00B33A2C" w:rsidP="0068586F">
      <w:pPr>
        <w:spacing w:line="276" w:lineRule="auto"/>
        <w:ind w:firstLine="709"/>
        <w:jc w:val="center"/>
        <w:rPr>
          <w:rFonts w:cs="Tahoma"/>
          <w:b/>
          <w:color w:val="000000" w:themeColor="text1"/>
          <w:szCs w:val="24"/>
        </w:rPr>
      </w:pPr>
      <w:r w:rsidRPr="0068586F">
        <w:rPr>
          <w:rFonts w:cs="Tahoma"/>
          <w:b/>
          <w:color w:val="000000" w:themeColor="text1"/>
          <w:szCs w:val="24"/>
        </w:rPr>
        <w:t>RESUELVE</w:t>
      </w:r>
    </w:p>
    <w:p w14:paraId="4C955A4B" w14:textId="77777777" w:rsidR="00B33A2C" w:rsidRPr="0068586F" w:rsidRDefault="00B33A2C" w:rsidP="0068586F">
      <w:pPr>
        <w:widowControl w:val="0"/>
        <w:autoSpaceDE w:val="0"/>
        <w:autoSpaceDN w:val="0"/>
        <w:adjustRightInd w:val="0"/>
        <w:spacing w:line="276" w:lineRule="auto"/>
        <w:jc w:val="center"/>
        <w:rPr>
          <w:rFonts w:cs="Tahoma"/>
          <w:b/>
          <w:szCs w:val="24"/>
        </w:rPr>
      </w:pPr>
    </w:p>
    <w:p w14:paraId="7A1E4F85" w14:textId="2569B357" w:rsidR="000072F6" w:rsidRPr="0068586F" w:rsidRDefault="00B33A2C" w:rsidP="0068586F">
      <w:pPr>
        <w:spacing w:line="276" w:lineRule="auto"/>
        <w:ind w:firstLine="644"/>
        <w:rPr>
          <w:rFonts w:eastAsia="Tahoma" w:cs="Tahoma"/>
          <w:b/>
          <w:bCs/>
          <w:szCs w:val="24"/>
          <w:lang w:eastAsia="es-ES"/>
        </w:rPr>
      </w:pPr>
      <w:r w:rsidRPr="0068586F">
        <w:rPr>
          <w:rFonts w:eastAsia="Tahoma" w:cs="Tahoma"/>
          <w:b/>
          <w:bCs/>
          <w:szCs w:val="24"/>
          <w:lang w:eastAsia="es-ES"/>
        </w:rPr>
        <w:t>PRIMERO</w:t>
      </w:r>
      <w:r w:rsidRPr="0068586F">
        <w:rPr>
          <w:rFonts w:eastAsia="Tahoma" w:cs="Tahoma"/>
          <w:szCs w:val="24"/>
          <w:lang w:eastAsia="es-ES"/>
        </w:rPr>
        <w:t>: </w:t>
      </w:r>
      <w:r w:rsidR="000745A0" w:rsidRPr="0068586F">
        <w:rPr>
          <w:rFonts w:eastAsia="Tahoma" w:cs="Tahoma"/>
          <w:b/>
          <w:bCs/>
          <w:szCs w:val="24"/>
          <w:lang w:eastAsia="es-ES"/>
        </w:rPr>
        <w:t xml:space="preserve">REVOCAR </w:t>
      </w:r>
      <w:r w:rsidR="003404AB" w:rsidRPr="0068586F">
        <w:rPr>
          <w:rFonts w:eastAsia="Tahoma" w:cs="Tahoma"/>
          <w:szCs w:val="24"/>
          <w:lang w:eastAsia="es-ES"/>
        </w:rPr>
        <w:t>el ordinal primero de la parte resolutiva de</w:t>
      </w:r>
      <w:r w:rsidR="000072F6" w:rsidRPr="0068586F">
        <w:rPr>
          <w:rFonts w:eastAsia="Tahoma" w:cs="Tahoma"/>
          <w:b/>
          <w:bCs/>
          <w:szCs w:val="24"/>
          <w:lang w:eastAsia="es-ES"/>
        </w:rPr>
        <w:t xml:space="preserve"> </w:t>
      </w:r>
      <w:r w:rsidR="000072F6" w:rsidRPr="0068586F">
        <w:rPr>
          <w:rFonts w:eastAsia="Tahoma" w:cs="Tahoma"/>
          <w:szCs w:val="24"/>
          <w:lang w:eastAsia="es-ES"/>
        </w:rPr>
        <w:t xml:space="preserve">la sentencia proferida por el Juzgado </w:t>
      </w:r>
      <w:r w:rsidR="002D7410" w:rsidRPr="0068586F">
        <w:rPr>
          <w:rFonts w:eastAsia="Tahoma" w:cs="Tahoma"/>
          <w:szCs w:val="24"/>
          <w:lang w:eastAsia="es-ES"/>
        </w:rPr>
        <w:t>Tercero Laboral</w:t>
      </w:r>
      <w:r w:rsidR="000072F6" w:rsidRPr="0068586F">
        <w:rPr>
          <w:rFonts w:eastAsia="Tahoma" w:cs="Tahoma"/>
          <w:szCs w:val="24"/>
          <w:lang w:eastAsia="es-ES"/>
        </w:rPr>
        <w:t xml:space="preserve"> de Circuito de Pereira, del 1º de marzo de 2021 dentro del proceso de la referencia, para </w:t>
      </w:r>
      <w:r w:rsidR="003404AB" w:rsidRPr="0068586F">
        <w:rPr>
          <w:rFonts w:eastAsia="Tahoma" w:cs="Tahoma"/>
          <w:szCs w:val="24"/>
          <w:lang w:eastAsia="es-ES"/>
        </w:rPr>
        <w:t xml:space="preserve">en su lugar </w:t>
      </w:r>
      <w:r w:rsidR="000072F6" w:rsidRPr="0068586F">
        <w:rPr>
          <w:rFonts w:eastAsia="Tahoma" w:cs="Tahoma"/>
          <w:b/>
          <w:bCs/>
          <w:szCs w:val="24"/>
          <w:lang w:eastAsia="es-ES"/>
        </w:rPr>
        <w:t>ORDENAR</w:t>
      </w:r>
      <w:r w:rsidR="000072F6" w:rsidRPr="0068586F">
        <w:rPr>
          <w:rFonts w:eastAsia="Tahoma" w:cs="Tahoma"/>
          <w:szCs w:val="24"/>
          <w:lang w:eastAsia="es-ES"/>
        </w:rPr>
        <w:t xml:space="preserve"> a la Administradora Colombiana de Pensiones que continúe cancelando </w:t>
      </w:r>
      <w:r w:rsidR="00BB77B0" w:rsidRPr="0068586F">
        <w:rPr>
          <w:rFonts w:eastAsia="Tahoma" w:cs="Tahoma"/>
          <w:b/>
          <w:bCs/>
          <w:szCs w:val="24"/>
          <w:lang w:eastAsia="es-ES"/>
        </w:rPr>
        <w:t xml:space="preserve">de manera definitiva </w:t>
      </w:r>
      <w:r w:rsidR="000072F6" w:rsidRPr="0068586F">
        <w:rPr>
          <w:rFonts w:eastAsia="Tahoma" w:cs="Tahoma"/>
          <w:szCs w:val="24"/>
          <w:lang w:eastAsia="es-ES"/>
        </w:rPr>
        <w:t xml:space="preserve">la pensión de invalidez a la señora María Doris Vinasco </w:t>
      </w:r>
      <w:r w:rsidR="0042331F" w:rsidRPr="0068586F">
        <w:rPr>
          <w:rFonts w:eastAsia="Tahoma" w:cs="Tahoma"/>
          <w:szCs w:val="24"/>
          <w:lang w:eastAsia="es-ES"/>
        </w:rPr>
        <w:t>González</w:t>
      </w:r>
      <w:r w:rsidR="000072F6" w:rsidRPr="0068586F">
        <w:rPr>
          <w:rFonts w:eastAsia="Tahoma" w:cs="Tahoma"/>
          <w:szCs w:val="24"/>
          <w:lang w:eastAsia="es-ES"/>
        </w:rPr>
        <w:t xml:space="preserve">, </w:t>
      </w:r>
      <w:r w:rsidR="00F140F5" w:rsidRPr="0068586F">
        <w:rPr>
          <w:rFonts w:cs="Tahoma"/>
          <w:szCs w:val="24"/>
        </w:rPr>
        <w:t xml:space="preserve">en los mismos términos dispuestos en la Resolución </w:t>
      </w:r>
      <w:r w:rsidR="00F140F5" w:rsidRPr="0068586F">
        <w:rPr>
          <w:rStyle w:val="normaltextrun"/>
          <w:rFonts w:cs="Tahoma"/>
          <w:szCs w:val="24"/>
        </w:rPr>
        <w:t>GNR 53394 de 2017</w:t>
      </w:r>
      <w:r w:rsidR="000072F6" w:rsidRPr="0068586F">
        <w:rPr>
          <w:rFonts w:eastAsia="Tahoma" w:cs="Tahoma"/>
          <w:szCs w:val="24"/>
          <w:lang w:eastAsia="es-ES"/>
        </w:rPr>
        <w:t>.</w:t>
      </w:r>
      <w:r w:rsidR="00DC0E49" w:rsidRPr="0068586F">
        <w:rPr>
          <w:rFonts w:eastAsia="Tahoma" w:cs="Tahoma"/>
          <w:szCs w:val="24"/>
          <w:lang w:eastAsia="es-ES"/>
        </w:rPr>
        <w:t xml:space="preserve"> Lo anterior de conformidad a lo explicado en la parte motiva de esta sentencia</w:t>
      </w:r>
      <w:r w:rsidR="003C23C5" w:rsidRPr="0068586F">
        <w:rPr>
          <w:rFonts w:eastAsia="Tahoma" w:cs="Tahoma"/>
          <w:szCs w:val="24"/>
          <w:lang w:eastAsia="es-ES"/>
        </w:rPr>
        <w:t>.</w:t>
      </w:r>
    </w:p>
    <w:p w14:paraId="114C1E87" w14:textId="77777777" w:rsidR="00B33A2C" w:rsidRPr="0068586F" w:rsidRDefault="00B33A2C" w:rsidP="0068586F">
      <w:pPr>
        <w:spacing w:line="276" w:lineRule="auto"/>
        <w:textAlignment w:val="baseline"/>
        <w:rPr>
          <w:rFonts w:eastAsia="Times New Roman" w:cs="Tahoma"/>
          <w:b/>
          <w:bCs/>
          <w:szCs w:val="24"/>
          <w:lang w:eastAsia="es-ES"/>
        </w:rPr>
      </w:pPr>
      <w:r w:rsidRPr="0068586F">
        <w:rPr>
          <w:rFonts w:eastAsia="Times New Roman" w:cs="Tahoma"/>
          <w:b/>
          <w:bCs/>
          <w:szCs w:val="24"/>
          <w:lang w:eastAsia="es-ES"/>
        </w:rPr>
        <w:t xml:space="preserve"> </w:t>
      </w:r>
    </w:p>
    <w:p w14:paraId="5B8F68F9" w14:textId="48BFFE60" w:rsidR="000072F6" w:rsidRPr="0068586F" w:rsidRDefault="00B33A2C" w:rsidP="0068586F">
      <w:pPr>
        <w:spacing w:line="276" w:lineRule="auto"/>
        <w:ind w:firstLine="644"/>
        <w:rPr>
          <w:rFonts w:eastAsia="Tahoma" w:cs="Tahoma"/>
          <w:szCs w:val="24"/>
          <w:lang w:eastAsia="es-ES"/>
        </w:rPr>
      </w:pPr>
      <w:r w:rsidRPr="0068586F">
        <w:rPr>
          <w:rFonts w:eastAsia="Tahoma" w:cs="Tahoma"/>
          <w:b/>
          <w:bCs/>
          <w:szCs w:val="24"/>
          <w:lang w:eastAsia="es-ES"/>
        </w:rPr>
        <w:t>SEGUNDO</w:t>
      </w:r>
      <w:r w:rsidRPr="0068586F">
        <w:rPr>
          <w:rFonts w:eastAsia="Tahoma" w:cs="Tahoma"/>
          <w:szCs w:val="24"/>
          <w:lang w:eastAsia="es-ES"/>
        </w:rPr>
        <w:t>:</w:t>
      </w:r>
      <w:r w:rsidR="000072F6" w:rsidRPr="0068586F">
        <w:rPr>
          <w:rFonts w:eastAsia="Tahoma" w:cs="Tahoma"/>
          <w:szCs w:val="24"/>
          <w:lang w:eastAsia="es-ES"/>
        </w:rPr>
        <w:t xml:space="preserve"> </w:t>
      </w:r>
      <w:r w:rsidR="000F652C" w:rsidRPr="0068586F">
        <w:rPr>
          <w:rFonts w:eastAsia="Tahoma" w:cs="Tahoma"/>
          <w:b/>
          <w:bCs/>
          <w:szCs w:val="24"/>
          <w:lang w:eastAsia="es-ES"/>
        </w:rPr>
        <w:t>REVOC</w:t>
      </w:r>
      <w:r w:rsidR="000072F6" w:rsidRPr="0068586F">
        <w:rPr>
          <w:rFonts w:eastAsia="Tahoma" w:cs="Tahoma"/>
          <w:b/>
          <w:bCs/>
          <w:szCs w:val="24"/>
          <w:lang w:eastAsia="es-ES"/>
        </w:rPr>
        <w:t>AR</w:t>
      </w:r>
      <w:r w:rsidR="000072F6" w:rsidRPr="0068586F">
        <w:rPr>
          <w:rFonts w:eastAsia="Tahoma" w:cs="Tahoma"/>
          <w:szCs w:val="24"/>
          <w:lang w:eastAsia="es-ES"/>
        </w:rPr>
        <w:t xml:space="preserve"> el ordinal tercero </w:t>
      </w:r>
      <w:r w:rsidR="00DC0E49" w:rsidRPr="0068586F">
        <w:rPr>
          <w:rFonts w:eastAsia="Tahoma" w:cs="Tahoma"/>
          <w:bCs/>
          <w:szCs w:val="24"/>
          <w:lang w:eastAsia="es-ES"/>
        </w:rPr>
        <w:t xml:space="preserve">de la parte resolutiva </w:t>
      </w:r>
      <w:r w:rsidR="000072F6" w:rsidRPr="0068586F">
        <w:rPr>
          <w:rFonts w:eastAsia="Tahoma" w:cs="Tahoma"/>
          <w:szCs w:val="24"/>
          <w:lang w:eastAsia="es-ES"/>
        </w:rPr>
        <w:t xml:space="preserve">de la sentencia apelada, </w:t>
      </w:r>
      <w:r w:rsidR="000F652C" w:rsidRPr="0068586F">
        <w:rPr>
          <w:rFonts w:eastAsia="Tahoma" w:cs="Tahoma"/>
          <w:szCs w:val="24"/>
          <w:lang w:eastAsia="es-ES"/>
        </w:rPr>
        <w:t>para en su</w:t>
      </w:r>
      <w:r w:rsidR="00DC0E49" w:rsidRPr="0068586F">
        <w:rPr>
          <w:rFonts w:eastAsia="Tahoma" w:cs="Tahoma"/>
          <w:szCs w:val="24"/>
          <w:lang w:eastAsia="es-ES"/>
        </w:rPr>
        <w:t xml:space="preserve"> lugar</w:t>
      </w:r>
      <w:r w:rsidR="000F652C" w:rsidRPr="0068586F">
        <w:rPr>
          <w:rFonts w:eastAsia="Tahoma" w:cs="Tahoma"/>
          <w:szCs w:val="24"/>
          <w:lang w:eastAsia="es-ES"/>
        </w:rPr>
        <w:t xml:space="preserve"> </w:t>
      </w:r>
      <w:r w:rsidR="000F652C" w:rsidRPr="0068586F">
        <w:rPr>
          <w:rFonts w:eastAsia="Tahoma" w:cs="Tahoma"/>
          <w:b/>
          <w:szCs w:val="24"/>
          <w:lang w:eastAsia="es-ES"/>
        </w:rPr>
        <w:t xml:space="preserve">CONDENAR </w:t>
      </w:r>
      <w:r w:rsidR="000F652C" w:rsidRPr="0068586F">
        <w:rPr>
          <w:rFonts w:eastAsia="Tahoma" w:cs="Tahoma"/>
          <w:szCs w:val="24"/>
          <w:lang w:eastAsia="es-ES"/>
        </w:rPr>
        <w:t xml:space="preserve">en costas a COLPENSIONES en un 50% a favor de la parte demandante, las cuales se liquidarán por el juzgado de origen. </w:t>
      </w:r>
    </w:p>
    <w:p w14:paraId="4B77ED90" w14:textId="77777777" w:rsidR="000072F6" w:rsidRPr="0068586F" w:rsidRDefault="000072F6" w:rsidP="0068586F">
      <w:pPr>
        <w:spacing w:line="276" w:lineRule="auto"/>
        <w:ind w:firstLine="644"/>
        <w:rPr>
          <w:rFonts w:eastAsia="Tahoma" w:cs="Tahoma"/>
          <w:szCs w:val="24"/>
          <w:lang w:eastAsia="es-ES"/>
        </w:rPr>
      </w:pPr>
    </w:p>
    <w:p w14:paraId="303BE9A6" w14:textId="7DEA3F69" w:rsidR="00B33A2C" w:rsidRPr="0068586F" w:rsidRDefault="000072F6" w:rsidP="0068586F">
      <w:pPr>
        <w:spacing w:line="276" w:lineRule="auto"/>
        <w:ind w:firstLine="644"/>
        <w:rPr>
          <w:rFonts w:eastAsia="Tahoma" w:cs="Tahoma"/>
          <w:szCs w:val="24"/>
          <w:lang w:eastAsia="es-ES"/>
        </w:rPr>
      </w:pPr>
      <w:r w:rsidRPr="0068586F">
        <w:rPr>
          <w:rFonts w:eastAsia="Tahoma" w:cs="Tahoma"/>
          <w:b/>
          <w:bCs/>
          <w:szCs w:val="24"/>
          <w:lang w:eastAsia="es-ES"/>
        </w:rPr>
        <w:t>TERCERO</w:t>
      </w:r>
      <w:r w:rsidRPr="0068586F">
        <w:rPr>
          <w:rFonts w:eastAsia="Tahoma" w:cs="Tahoma"/>
          <w:szCs w:val="24"/>
          <w:lang w:eastAsia="es-ES"/>
        </w:rPr>
        <w:t>: </w:t>
      </w:r>
      <w:r w:rsidR="00B33A2C" w:rsidRPr="0068586F">
        <w:rPr>
          <w:rFonts w:eastAsia="Tahoma" w:cs="Tahoma"/>
          <w:b/>
          <w:bCs/>
          <w:szCs w:val="24"/>
          <w:lang w:eastAsia="es-ES"/>
        </w:rPr>
        <w:t>CONFIRMAR</w:t>
      </w:r>
      <w:r w:rsidR="00B33A2C" w:rsidRPr="0068586F">
        <w:rPr>
          <w:rFonts w:eastAsia="Tahoma" w:cs="Tahoma"/>
          <w:szCs w:val="24"/>
          <w:lang w:eastAsia="es-ES"/>
        </w:rPr>
        <w:t xml:space="preserve"> en lo demás </w:t>
      </w:r>
      <w:r w:rsidRPr="0068586F">
        <w:rPr>
          <w:rFonts w:eastAsia="Tahoma" w:cs="Tahoma"/>
          <w:szCs w:val="24"/>
          <w:lang w:eastAsia="es-ES"/>
        </w:rPr>
        <w:t>la sentencia recurrida.</w:t>
      </w:r>
    </w:p>
    <w:p w14:paraId="2381A551" w14:textId="77777777" w:rsidR="003C23C5" w:rsidRPr="0068586F" w:rsidRDefault="003C23C5" w:rsidP="0068586F">
      <w:pPr>
        <w:spacing w:line="276" w:lineRule="auto"/>
        <w:ind w:firstLine="644"/>
        <w:rPr>
          <w:rFonts w:eastAsia="Tahoma" w:cs="Tahoma"/>
          <w:szCs w:val="24"/>
          <w:lang w:eastAsia="es-ES"/>
        </w:rPr>
      </w:pPr>
    </w:p>
    <w:p w14:paraId="2895D54C" w14:textId="77777777" w:rsidR="00843322" w:rsidRPr="0068586F" w:rsidRDefault="00B33A2C" w:rsidP="0068586F">
      <w:pPr>
        <w:spacing w:line="276" w:lineRule="auto"/>
        <w:ind w:firstLine="644"/>
        <w:rPr>
          <w:rFonts w:eastAsia="Tahoma" w:cs="Tahoma"/>
          <w:szCs w:val="24"/>
          <w:lang w:eastAsia="es-ES"/>
        </w:rPr>
      </w:pPr>
      <w:r w:rsidRPr="0068586F">
        <w:rPr>
          <w:rFonts w:eastAsia="Tahoma" w:cs="Tahoma"/>
          <w:b/>
          <w:bCs/>
          <w:szCs w:val="24"/>
          <w:lang w:eastAsia="es-ES"/>
        </w:rPr>
        <w:t>CUARTO</w:t>
      </w:r>
      <w:r w:rsidRPr="0068586F">
        <w:rPr>
          <w:rFonts w:eastAsia="Tahoma" w:cs="Tahoma"/>
          <w:szCs w:val="24"/>
          <w:lang w:eastAsia="es-ES"/>
        </w:rPr>
        <w:t xml:space="preserve">: </w:t>
      </w:r>
      <w:r w:rsidR="04575DEE" w:rsidRPr="0068586F">
        <w:rPr>
          <w:rFonts w:eastAsia="Tahoma" w:cs="Tahoma"/>
          <w:szCs w:val="24"/>
          <w:lang w:eastAsia="es-ES"/>
        </w:rPr>
        <w:t>Sin costas en esta instancia.</w:t>
      </w:r>
    </w:p>
    <w:p w14:paraId="6DD7AD62" w14:textId="77777777" w:rsidR="00843322" w:rsidRPr="0068586F" w:rsidRDefault="00843322" w:rsidP="0068586F">
      <w:pPr>
        <w:spacing w:line="276" w:lineRule="auto"/>
        <w:ind w:firstLine="644"/>
        <w:rPr>
          <w:rFonts w:eastAsia="Times New Roman" w:cs="Tahoma"/>
          <w:b/>
          <w:bCs/>
          <w:szCs w:val="24"/>
          <w:lang w:eastAsia="es-CO"/>
        </w:rPr>
      </w:pPr>
    </w:p>
    <w:p w14:paraId="2BFB9057" w14:textId="536F21A2" w:rsidR="00B33A2C" w:rsidRPr="0068586F" w:rsidRDefault="00843322" w:rsidP="0068586F">
      <w:pPr>
        <w:spacing w:line="276" w:lineRule="auto"/>
        <w:ind w:firstLine="644"/>
        <w:rPr>
          <w:rFonts w:eastAsia="Tahoma" w:cs="Tahoma"/>
          <w:szCs w:val="24"/>
          <w:lang w:eastAsia="es-ES"/>
        </w:rPr>
      </w:pPr>
      <w:r w:rsidRPr="0068586F">
        <w:rPr>
          <w:rFonts w:eastAsia="Times New Roman" w:cs="Tahoma"/>
          <w:b/>
          <w:bCs/>
          <w:szCs w:val="24"/>
          <w:lang w:eastAsia="es-CO"/>
        </w:rPr>
        <w:t xml:space="preserve">QUINTO: </w:t>
      </w:r>
      <w:r w:rsidR="002D7410" w:rsidRPr="002D7410">
        <w:rPr>
          <w:rFonts w:eastAsia="Times New Roman" w:cs="Tahoma"/>
          <w:bCs/>
          <w:szCs w:val="24"/>
          <w:lang w:eastAsia="es-CO"/>
        </w:rPr>
        <w:t>(…)</w:t>
      </w:r>
    </w:p>
    <w:p w14:paraId="6CDD2ABE" w14:textId="77777777" w:rsidR="00B33A2C" w:rsidRPr="0068586F" w:rsidRDefault="00B33A2C" w:rsidP="0068586F">
      <w:pPr>
        <w:spacing w:line="276" w:lineRule="auto"/>
        <w:ind w:firstLine="644"/>
        <w:rPr>
          <w:rFonts w:eastAsia="Tahoma" w:cs="Tahoma"/>
          <w:szCs w:val="24"/>
          <w:lang w:eastAsia="es-ES"/>
        </w:rPr>
      </w:pPr>
    </w:p>
    <w:p w14:paraId="7BBDA11C" w14:textId="77777777" w:rsidR="00B33A2C" w:rsidRPr="0068586F" w:rsidRDefault="00B33A2C" w:rsidP="0068586F">
      <w:pPr>
        <w:widowControl w:val="0"/>
        <w:autoSpaceDE w:val="0"/>
        <w:autoSpaceDN w:val="0"/>
        <w:adjustRightInd w:val="0"/>
        <w:spacing w:line="276" w:lineRule="auto"/>
        <w:jc w:val="center"/>
        <w:rPr>
          <w:rFonts w:cs="Tahoma"/>
          <w:b/>
          <w:szCs w:val="24"/>
        </w:rPr>
      </w:pPr>
      <w:r w:rsidRPr="0068586F">
        <w:rPr>
          <w:rFonts w:cs="Tahoma"/>
          <w:b/>
          <w:szCs w:val="24"/>
        </w:rPr>
        <w:t>NOTIFÍQUESE Y CÚMPLASE</w:t>
      </w:r>
    </w:p>
    <w:p w14:paraId="007E8683" w14:textId="77777777" w:rsidR="0068586F" w:rsidRPr="0068586F" w:rsidRDefault="0068586F" w:rsidP="0068586F">
      <w:pPr>
        <w:spacing w:line="276" w:lineRule="auto"/>
        <w:contextualSpacing/>
        <w:rPr>
          <w:rFonts w:eastAsia="Times New Roman" w:cs="Tahoma"/>
          <w:szCs w:val="24"/>
          <w:lang w:val="es-ES_tradnl"/>
        </w:rPr>
      </w:pPr>
      <w:bookmarkStart w:id="3" w:name="_Hlk74294138"/>
    </w:p>
    <w:p w14:paraId="10FB017F" w14:textId="77777777" w:rsidR="0068586F" w:rsidRPr="0068586F" w:rsidRDefault="0068586F" w:rsidP="0068586F">
      <w:pPr>
        <w:widowControl w:val="0"/>
        <w:autoSpaceDE w:val="0"/>
        <w:autoSpaceDN w:val="0"/>
        <w:adjustRightInd w:val="0"/>
        <w:spacing w:line="276" w:lineRule="auto"/>
        <w:rPr>
          <w:rFonts w:eastAsia="Times New Roman" w:cs="Tahoma"/>
          <w:szCs w:val="24"/>
          <w:lang w:eastAsia="es-ES"/>
        </w:rPr>
      </w:pPr>
      <w:r w:rsidRPr="0068586F">
        <w:rPr>
          <w:rFonts w:eastAsia="Times New Roman" w:cs="Tahoma"/>
          <w:szCs w:val="24"/>
          <w:lang w:eastAsia="es-ES"/>
        </w:rPr>
        <w:tab/>
        <w:t>La Magistrada ponente,</w:t>
      </w:r>
    </w:p>
    <w:p w14:paraId="08752311" w14:textId="77777777" w:rsidR="0068586F" w:rsidRPr="0068586F" w:rsidRDefault="0068586F" w:rsidP="0068586F">
      <w:pPr>
        <w:spacing w:line="276" w:lineRule="auto"/>
        <w:jc w:val="left"/>
        <w:rPr>
          <w:rFonts w:eastAsia="Times New Roman" w:cs="Tahoma"/>
          <w:szCs w:val="24"/>
          <w:lang w:eastAsia="es-ES"/>
        </w:rPr>
      </w:pPr>
    </w:p>
    <w:p w14:paraId="10CEF7AB" w14:textId="77777777" w:rsidR="0068586F" w:rsidRPr="0068586F" w:rsidRDefault="0068586F" w:rsidP="0068586F">
      <w:pPr>
        <w:spacing w:line="276" w:lineRule="auto"/>
        <w:jc w:val="left"/>
        <w:rPr>
          <w:rFonts w:eastAsia="Times New Roman" w:cs="Tahoma"/>
          <w:szCs w:val="24"/>
          <w:lang w:eastAsia="es-ES"/>
        </w:rPr>
      </w:pPr>
    </w:p>
    <w:p w14:paraId="6F000497" w14:textId="77777777" w:rsidR="0068586F" w:rsidRPr="0068586F" w:rsidRDefault="0068586F" w:rsidP="0068586F">
      <w:pPr>
        <w:spacing w:line="276" w:lineRule="auto"/>
        <w:jc w:val="left"/>
        <w:rPr>
          <w:rFonts w:eastAsia="Times New Roman" w:cs="Tahoma"/>
          <w:szCs w:val="24"/>
          <w:lang w:eastAsia="es-ES"/>
        </w:rPr>
      </w:pPr>
    </w:p>
    <w:p w14:paraId="6EBD1684" w14:textId="77777777" w:rsidR="0068586F" w:rsidRPr="0068586F" w:rsidRDefault="0068586F" w:rsidP="0068586F">
      <w:pPr>
        <w:keepNext/>
        <w:spacing w:line="276" w:lineRule="auto"/>
        <w:jc w:val="center"/>
        <w:outlineLvl w:val="2"/>
        <w:rPr>
          <w:rFonts w:eastAsia="Times New Roman" w:cs="Tahoma"/>
          <w:b/>
          <w:bCs/>
          <w:szCs w:val="24"/>
          <w:lang w:eastAsia="es-ES"/>
        </w:rPr>
      </w:pPr>
      <w:r w:rsidRPr="0068586F">
        <w:rPr>
          <w:rFonts w:eastAsia="Times New Roman" w:cs="Tahoma"/>
          <w:b/>
          <w:bCs/>
          <w:szCs w:val="24"/>
          <w:lang w:eastAsia="es-ES"/>
        </w:rPr>
        <w:t>ANA LUCÍA CAICEDO CALDERÓN</w:t>
      </w:r>
    </w:p>
    <w:p w14:paraId="6715BFB6" w14:textId="77777777" w:rsidR="0068586F" w:rsidRPr="0068586F" w:rsidRDefault="0068586F" w:rsidP="0068586F">
      <w:pPr>
        <w:spacing w:line="276" w:lineRule="auto"/>
        <w:jc w:val="left"/>
        <w:rPr>
          <w:rFonts w:eastAsia="Times New Roman" w:cs="Tahoma"/>
          <w:szCs w:val="24"/>
          <w:lang w:eastAsia="es-ES"/>
        </w:rPr>
      </w:pPr>
    </w:p>
    <w:p w14:paraId="48688966" w14:textId="77777777" w:rsidR="0068586F" w:rsidRPr="0068586F" w:rsidRDefault="0068586F" w:rsidP="0068586F">
      <w:pPr>
        <w:spacing w:line="276" w:lineRule="auto"/>
        <w:ind w:firstLine="708"/>
        <w:jc w:val="left"/>
        <w:rPr>
          <w:rFonts w:eastAsia="Times New Roman" w:cs="Tahoma"/>
          <w:szCs w:val="24"/>
          <w:lang w:eastAsia="es-ES"/>
        </w:rPr>
      </w:pPr>
      <w:bookmarkStart w:id="4" w:name="_Hlk62478330"/>
      <w:r w:rsidRPr="0068586F">
        <w:rPr>
          <w:rFonts w:eastAsia="Times New Roman" w:cs="Tahoma"/>
          <w:szCs w:val="24"/>
          <w:lang w:eastAsia="es-ES"/>
        </w:rPr>
        <w:t>La Magistrada y el Magistrado,</w:t>
      </w:r>
    </w:p>
    <w:p w14:paraId="6D6BF78D" w14:textId="77777777" w:rsidR="0068586F" w:rsidRPr="0068586F" w:rsidRDefault="0068586F" w:rsidP="0068586F">
      <w:pPr>
        <w:spacing w:line="276" w:lineRule="auto"/>
        <w:jc w:val="left"/>
        <w:rPr>
          <w:rFonts w:eastAsia="Times New Roman" w:cs="Tahoma"/>
          <w:szCs w:val="24"/>
          <w:lang w:eastAsia="es-ES"/>
        </w:rPr>
      </w:pPr>
    </w:p>
    <w:p w14:paraId="6204D2D5" w14:textId="77777777" w:rsidR="0068586F" w:rsidRPr="0068586F" w:rsidRDefault="0068586F" w:rsidP="0068586F">
      <w:pPr>
        <w:spacing w:line="276" w:lineRule="auto"/>
        <w:jc w:val="left"/>
        <w:rPr>
          <w:rFonts w:eastAsia="Times New Roman" w:cs="Tahoma"/>
          <w:szCs w:val="24"/>
          <w:lang w:eastAsia="es-ES"/>
        </w:rPr>
      </w:pPr>
    </w:p>
    <w:p w14:paraId="6E1923E5" w14:textId="77777777" w:rsidR="0068586F" w:rsidRPr="0068586F" w:rsidRDefault="0068586F" w:rsidP="0068586F">
      <w:pPr>
        <w:spacing w:line="276" w:lineRule="auto"/>
        <w:jc w:val="left"/>
        <w:rPr>
          <w:rFonts w:eastAsia="Times New Roman" w:cs="Tahoma"/>
          <w:szCs w:val="24"/>
          <w:lang w:eastAsia="es-ES"/>
        </w:rPr>
      </w:pPr>
    </w:p>
    <w:p w14:paraId="7DF2A4B3" w14:textId="1E7001D1" w:rsidR="009D10A2" w:rsidRPr="0068586F" w:rsidRDefault="0068586F" w:rsidP="0068586F">
      <w:pPr>
        <w:spacing w:line="276" w:lineRule="auto"/>
        <w:rPr>
          <w:rFonts w:eastAsia="Times New Roman" w:cs="Tahoma"/>
          <w:szCs w:val="24"/>
          <w:lang w:eastAsia="es-ES"/>
        </w:rPr>
      </w:pPr>
      <w:r w:rsidRPr="0068586F">
        <w:rPr>
          <w:rFonts w:eastAsia="Times New Roman" w:cs="Tahoma"/>
          <w:b/>
          <w:bCs/>
          <w:szCs w:val="24"/>
          <w:lang w:eastAsia="es-ES"/>
        </w:rPr>
        <w:t>OLGA LUCÍA HOYOS SEPÚLVEDA</w:t>
      </w:r>
      <w:r w:rsidRPr="0068586F">
        <w:rPr>
          <w:rFonts w:eastAsia="Times New Roman" w:cs="Tahoma"/>
          <w:b/>
          <w:bCs/>
          <w:szCs w:val="24"/>
          <w:lang w:eastAsia="es-ES"/>
        </w:rPr>
        <w:tab/>
      </w:r>
      <w:r w:rsidRPr="0068586F">
        <w:rPr>
          <w:rFonts w:eastAsia="Times New Roman" w:cs="Tahoma"/>
          <w:b/>
          <w:bCs/>
          <w:szCs w:val="24"/>
          <w:lang w:eastAsia="es-ES"/>
        </w:rPr>
        <w:tab/>
        <w:t>GERMÁN DARÍO GÓEZ VINASCO</w:t>
      </w:r>
      <w:bookmarkEnd w:id="3"/>
      <w:bookmarkEnd w:id="4"/>
    </w:p>
    <w:sectPr w:rsidR="009D10A2" w:rsidRPr="0068586F" w:rsidSect="0022178A">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3ADC0" w16cex:dateUtc="2021-07-22T13:41:00Z"/>
  <w16cex:commentExtensible w16cex:durableId="2F4A1E55" w16cex:dateUtc="2021-07-21T21:50:00Z"/>
  <w16cex:commentExtensible w16cex:durableId="24A3ADA9" w16cex:dateUtc="2021-07-22T13:41:00Z"/>
  <w16cex:commentExtensible w16cex:durableId="2F0C80DD" w16cex:dateUtc="2021-07-21T21:50:00Z"/>
  <w16cex:commentExtensible w16cex:durableId="71975D54" w16cex:dateUtc="2021-07-21T21:52:00Z"/>
  <w16cex:commentExtensible w16cex:durableId="433E5351" w16cex:dateUtc="2021-07-21T21:55:00Z"/>
  <w16cex:commentExtensible w16cex:durableId="24A3ADCF" w16cex:dateUtc="2021-07-22T13:41:00Z"/>
  <w16cex:commentExtensible w16cex:durableId="2DC09A02" w16cex:dateUtc="2021-07-21T21:56:00Z"/>
  <w16cex:commentExtensible w16cex:durableId="0E2CDE9A" w16cex:dateUtc="2021-07-22T16:21:48.454Z"/>
  <w16cex:commentExtensible w16cex:durableId="741F1617" w16cex:dateUtc="2021-07-22T16:22:03.557Z"/>
  <w16cex:commentExtensible w16cex:durableId="578A5F24" w16cex:dateUtc="2021-07-22T16:22:16.902Z"/>
  <w16cex:commentExtensible w16cex:durableId="2180E9A7" w16cex:dateUtc="2021-07-22T16:22:29.627Z"/>
  <w16cex:commentExtensible w16cex:durableId="1FBAD9EC" w16cex:dateUtc="2021-07-22T16:22:47.516Z"/>
  <w16cex:commentExtensible w16cex:durableId="3CB29E85" w16cex:dateUtc="2021-07-22T16:23:04.274Z"/>
  <w16cex:commentExtensible w16cex:durableId="092F6166" w16cex:dateUtc="2021-07-22T16:23:14.816Z"/>
  <w16cex:commentExtensible w16cex:durableId="0D5B2DB8" w16cex:dateUtc="2021-07-22T16:47:29.4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A379" w14:textId="77777777" w:rsidR="00180032" w:rsidRDefault="00180032" w:rsidP="00790DA9">
      <w:pPr>
        <w:spacing w:line="240" w:lineRule="auto"/>
      </w:pPr>
      <w:r>
        <w:separator/>
      </w:r>
    </w:p>
  </w:endnote>
  <w:endnote w:type="continuationSeparator" w:id="0">
    <w:p w14:paraId="309B0E5E" w14:textId="77777777" w:rsidR="00180032" w:rsidRDefault="00180032" w:rsidP="00790DA9">
      <w:pPr>
        <w:spacing w:line="240" w:lineRule="auto"/>
      </w:pPr>
      <w:r>
        <w:continuationSeparator/>
      </w:r>
    </w:p>
  </w:endnote>
  <w:endnote w:type="continuationNotice" w:id="1">
    <w:p w14:paraId="042E4A44" w14:textId="77777777" w:rsidR="00180032" w:rsidRDefault="001800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B33A2C" w:rsidRPr="008063DF" w:rsidRDefault="00B33A2C" w:rsidP="002D7410">
        <w:pPr>
          <w:tabs>
            <w:tab w:val="left" w:pos="993"/>
          </w:tabs>
          <w:spacing w:line="240" w:lineRule="auto"/>
          <w:ind w:left="1134" w:hanging="1134"/>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noProof/>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A1DE" w14:textId="77777777" w:rsidR="00180032" w:rsidRDefault="00180032" w:rsidP="00790DA9">
      <w:pPr>
        <w:spacing w:line="240" w:lineRule="auto"/>
      </w:pPr>
      <w:r>
        <w:separator/>
      </w:r>
    </w:p>
  </w:footnote>
  <w:footnote w:type="continuationSeparator" w:id="0">
    <w:p w14:paraId="0A943F6C" w14:textId="77777777" w:rsidR="00180032" w:rsidRDefault="00180032" w:rsidP="00790DA9">
      <w:pPr>
        <w:spacing w:line="240" w:lineRule="auto"/>
      </w:pPr>
      <w:r>
        <w:continuationSeparator/>
      </w:r>
    </w:p>
  </w:footnote>
  <w:footnote w:type="continuationNotice" w:id="1">
    <w:p w14:paraId="01A19734" w14:textId="77777777" w:rsidR="00180032" w:rsidRDefault="001800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9BD7" w14:textId="4062F1B1" w:rsidR="00032108" w:rsidRPr="002D7410" w:rsidRDefault="00032108" w:rsidP="002D7410">
    <w:pPr>
      <w:tabs>
        <w:tab w:val="left" w:pos="993"/>
      </w:tabs>
      <w:spacing w:line="240" w:lineRule="auto"/>
      <w:ind w:left="1134" w:hanging="1134"/>
      <w:jc w:val="left"/>
      <w:rPr>
        <w:rFonts w:ascii="Arial" w:eastAsia="Times New Roman" w:hAnsi="Arial" w:cs="Arial"/>
        <w:sz w:val="18"/>
        <w:szCs w:val="14"/>
        <w:lang w:val="es-419" w:eastAsia="es-ES"/>
      </w:rPr>
    </w:pPr>
    <w:r w:rsidRPr="002D7410">
      <w:rPr>
        <w:rFonts w:ascii="Arial" w:eastAsia="Times New Roman" w:hAnsi="Arial" w:cs="Arial"/>
        <w:sz w:val="18"/>
        <w:szCs w:val="14"/>
        <w:lang w:val="es-419" w:eastAsia="es-ES"/>
      </w:rPr>
      <w:t>Radicación No.</w:t>
    </w:r>
    <w:r w:rsidR="002D7410">
      <w:rPr>
        <w:rFonts w:ascii="Arial" w:eastAsia="Times New Roman" w:hAnsi="Arial" w:cs="Arial"/>
        <w:sz w:val="18"/>
        <w:szCs w:val="14"/>
        <w:lang w:val="es-419" w:eastAsia="es-ES"/>
      </w:rPr>
      <w:t>:</w:t>
    </w:r>
    <w:r w:rsidR="002D7410">
      <w:rPr>
        <w:rFonts w:ascii="Arial" w:eastAsia="Times New Roman" w:hAnsi="Arial" w:cs="Arial"/>
        <w:sz w:val="18"/>
        <w:szCs w:val="14"/>
        <w:lang w:val="es-419" w:eastAsia="es-ES"/>
      </w:rPr>
      <w:tab/>
    </w:r>
    <w:r w:rsidRPr="002D7410">
      <w:rPr>
        <w:rFonts w:ascii="Arial" w:eastAsia="Times New Roman" w:hAnsi="Arial" w:cs="Arial"/>
        <w:sz w:val="18"/>
        <w:szCs w:val="14"/>
        <w:lang w:val="es-419" w:eastAsia="es-ES"/>
      </w:rPr>
      <w:t>66001-31-05-003-2019-00231-01</w:t>
    </w:r>
  </w:p>
  <w:p w14:paraId="2ABED364" w14:textId="39A98AD6" w:rsidR="00032108" w:rsidRPr="002D7410" w:rsidRDefault="00032108" w:rsidP="002D7410">
    <w:pPr>
      <w:tabs>
        <w:tab w:val="left" w:pos="993"/>
      </w:tabs>
      <w:spacing w:line="240" w:lineRule="auto"/>
      <w:ind w:left="1134" w:hanging="1134"/>
      <w:jc w:val="left"/>
      <w:rPr>
        <w:rFonts w:ascii="Arial" w:eastAsia="Times New Roman" w:hAnsi="Arial" w:cs="Arial"/>
        <w:sz w:val="18"/>
        <w:szCs w:val="14"/>
        <w:lang w:val="es-419" w:eastAsia="es-ES"/>
      </w:rPr>
    </w:pPr>
    <w:r w:rsidRPr="002D7410">
      <w:rPr>
        <w:rFonts w:ascii="Arial" w:eastAsia="Times New Roman" w:hAnsi="Arial" w:cs="Arial"/>
        <w:sz w:val="18"/>
        <w:szCs w:val="14"/>
        <w:lang w:val="es-419" w:eastAsia="es-ES"/>
      </w:rPr>
      <w:t>Demandante:</w:t>
    </w:r>
    <w:r w:rsidR="002D7410">
      <w:rPr>
        <w:rFonts w:ascii="Arial" w:eastAsia="Times New Roman" w:hAnsi="Arial" w:cs="Arial"/>
        <w:sz w:val="18"/>
        <w:szCs w:val="14"/>
        <w:lang w:val="es-419" w:eastAsia="es-ES"/>
      </w:rPr>
      <w:tab/>
    </w:r>
    <w:r w:rsidRPr="002D7410">
      <w:rPr>
        <w:rFonts w:ascii="Arial" w:eastAsia="Times New Roman" w:hAnsi="Arial" w:cs="Arial"/>
        <w:sz w:val="18"/>
        <w:szCs w:val="14"/>
        <w:lang w:val="es-419" w:eastAsia="es-ES"/>
      </w:rPr>
      <w:t>María Doris Vinasco González</w:t>
    </w:r>
  </w:p>
  <w:p w14:paraId="45EA3F9F" w14:textId="0BCBE503" w:rsidR="00032108" w:rsidRPr="002D7410" w:rsidRDefault="00032108" w:rsidP="002D7410">
    <w:pPr>
      <w:tabs>
        <w:tab w:val="left" w:pos="993"/>
      </w:tabs>
      <w:spacing w:line="240" w:lineRule="auto"/>
      <w:ind w:left="1134" w:hanging="1134"/>
      <w:jc w:val="left"/>
      <w:rPr>
        <w:rFonts w:ascii="Arial" w:eastAsia="Times New Roman" w:hAnsi="Arial" w:cs="Arial"/>
        <w:sz w:val="18"/>
        <w:szCs w:val="14"/>
        <w:lang w:val="es-419" w:eastAsia="es-ES"/>
      </w:rPr>
    </w:pPr>
    <w:r w:rsidRPr="002D7410">
      <w:rPr>
        <w:rFonts w:ascii="Arial" w:eastAsia="Times New Roman" w:hAnsi="Arial" w:cs="Arial"/>
        <w:sz w:val="18"/>
        <w:szCs w:val="14"/>
        <w:lang w:val="es-419" w:eastAsia="es-ES"/>
      </w:rPr>
      <w:t>Demandado:</w:t>
    </w:r>
    <w:r w:rsidR="002D7410">
      <w:rPr>
        <w:rFonts w:ascii="Arial" w:eastAsia="Times New Roman" w:hAnsi="Arial" w:cs="Arial"/>
        <w:sz w:val="18"/>
        <w:szCs w:val="14"/>
        <w:lang w:val="es-419" w:eastAsia="es-ES"/>
      </w:rPr>
      <w:tab/>
    </w:r>
    <w:r w:rsidRPr="002D7410">
      <w:rPr>
        <w:rFonts w:ascii="Arial" w:eastAsia="Times New Roman" w:hAnsi="Arial" w:cs="Arial"/>
        <w:sz w:val="18"/>
        <w:szCs w:val="14"/>
        <w:lang w:val="es-419" w:eastAsia="es-ES"/>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C24E6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4BA41A35"/>
    <w:multiLevelType w:val="multilevel"/>
    <w:tmpl w:val="F6F262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7A2F4F"/>
    <w:multiLevelType w:val="hybridMultilevel"/>
    <w:tmpl w:val="3348CE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7"/>
  </w:num>
  <w:num w:numId="2">
    <w:abstractNumId w:val="5"/>
  </w:num>
  <w:num w:numId="3">
    <w:abstractNumId w:val="1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72F6"/>
    <w:rsid w:val="00017704"/>
    <w:rsid w:val="00023C72"/>
    <w:rsid w:val="000303BA"/>
    <w:rsid w:val="00032108"/>
    <w:rsid w:val="000333C2"/>
    <w:rsid w:val="00042B25"/>
    <w:rsid w:val="000507CC"/>
    <w:rsid w:val="000558C6"/>
    <w:rsid w:val="00066767"/>
    <w:rsid w:val="000723F0"/>
    <w:rsid w:val="00073698"/>
    <w:rsid w:val="000745A0"/>
    <w:rsid w:val="00081C10"/>
    <w:rsid w:val="000856A8"/>
    <w:rsid w:val="00090CAB"/>
    <w:rsid w:val="00094029"/>
    <w:rsid w:val="00096470"/>
    <w:rsid w:val="000B2BAA"/>
    <w:rsid w:val="000B4F2C"/>
    <w:rsid w:val="000B6053"/>
    <w:rsid w:val="000B6595"/>
    <w:rsid w:val="000C02A4"/>
    <w:rsid w:val="000E25BE"/>
    <w:rsid w:val="000E2F1D"/>
    <w:rsid w:val="000F3D75"/>
    <w:rsid w:val="000F49C1"/>
    <w:rsid w:val="000F5175"/>
    <w:rsid w:val="000F652C"/>
    <w:rsid w:val="00103F06"/>
    <w:rsid w:val="00115C02"/>
    <w:rsid w:val="001162CF"/>
    <w:rsid w:val="001170DA"/>
    <w:rsid w:val="00132F14"/>
    <w:rsid w:val="001363CA"/>
    <w:rsid w:val="00140BB3"/>
    <w:rsid w:val="00142473"/>
    <w:rsid w:val="00147587"/>
    <w:rsid w:val="001533B3"/>
    <w:rsid w:val="00180032"/>
    <w:rsid w:val="00184EFA"/>
    <w:rsid w:val="001878AE"/>
    <w:rsid w:val="00191285"/>
    <w:rsid w:val="001A291C"/>
    <w:rsid w:val="001B01DA"/>
    <w:rsid w:val="001C0216"/>
    <w:rsid w:val="001D225A"/>
    <w:rsid w:val="001D423C"/>
    <w:rsid w:val="001E6780"/>
    <w:rsid w:val="001F4630"/>
    <w:rsid w:val="00200893"/>
    <w:rsid w:val="0022178A"/>
    <w:rsid w:val="00222D58"/>
    <w:rsid w:val="0022440C"/>
    <w:rsid w:val="00235D61"/>
    <w:rsid w:val="00244E21"/>
    <w:rsid w:val="00251C76"/>
    <w:rsid w:val="00263815"/>
    <w:rsid w:val="00271428"/>
    <w:rsid w:val="00272FA1"/>
    <w:rsid w:val="00290DEE"/>
    <w:rsid w:val="00291FAB"/>
    <w:rsid w:val="002A31FE"/>
    <w:rsid w:val="002C32BD"/>
    <w:rsid w:val="002D22B3"/>
    <w:rsid w:val="002D70C7"/>
    <w:rsid w:val="002D7410"/>
    <w:rsid w:val="002E4546"/>
    <w:rsid w:val="002F244F"/>
    <w:rsid w:val="00315273"/>
    <w:rsid w:val="00322722"/>
    <w:rsid w:val="003324F5"/>
    <w:rsid w:val="0034027E"/>
    <w:rsid w:val="003404AB"/>
    <w:rsid w:val="00342284"/>
    <w:rsid w:val="003537F0"/>
    <w:rsid w:val="003775EE"/>
    <w:rsid w:val="00386234"/>
    <w:rsid w:val="00392D0C"/>
    <w:rsid w:val="003A16E6"/>
    <w:rsid w:val="003A5039"/>
    <w:rsid w:val="003B4218"/>
    <w:rsid w:val="003C0463"/>
    <w:rsid w:val="003C1E02"/>
    <w:rsid w:val="003C23C5"/>
    <w:rsid w:val="003C40C8"/>
    <w:rsid w:val="003C46FA"/>
    <w:rsid w:val="003C7505"/>
    <w:rsid w:val="003C7A41"/>
    <w:rsid w:val="003C7E50"/>
    <w:rsid w:val="003D0E6E"/>
    <w:rsid w:val="003F14CC"/>
    <w:rsid w:val="0040245E"/>
    <w:rsid w:val="00421F4F"/>
    <w:rsid w:val="0042331F"/>
    <w:rsid w:val="004260C5"/>
    <w:rsid w:val="00454F9D"/>
    <w:rsid w:val="00466937"/>
    <w:rsid w:val="00467973"/>
    <w:rsid w:val="00472F19"/>
    <w:rsid w:val="00480777"/>
    <w:rsid w:val="00483816"/>
    <w:rsid w:val="004A1054"/>
    <w:rsid w:val="004A2464"/>
    <w:rsid w:val="004A65D3"/>
    <w:rsid w:val="004C46ED"/>
    <w:rsid w:val="004F626D"/>
    <w:rsid w:val="00513BDF"/>
    <w:rsid w:val="005206C1"/>
    <w:rsid w:val="0053421E"/>
    <w:rsid w:val="00545B08"/>
    <w:rsid w:val="00553FD7"/>
    <w:rsid w:val="00561E61"/>
    <w:rsid w:val="00597A65"/>
    <w:rsid w:val="005A473D"/>
    <w:rsid w:val="005A5ADA"/>
    <w:rsid w:val="005B00B8"/>
    <w:rsid w:val="005B1B92"/>
    <w:rsid w:val="005B5103"/>
    <w:rsid w:val="005B65AA"/>
    <w:rsid w:val="005D0823"/>
    <w:rsid w:val="005E1630"/>
    <w:rsid w:val="005F2570"/>
    <w:rsid w:val="005F4133"/>
    <w:rsid w:val="00600B9D"/>
    <w:rsid w:val="00600CE4"/>
    <w:rsid w:val="0060137B"/>
    <w:rsid w:val="006136C7"/>
    <w:rsid w:val="00633F28"/>
    <w:rsid w:val="006458B0"/>
    <w:rsid w:val="00654EAE"/>
    <w:rsid w:val="00662FC5"/>
    <w:rsid w:val="00664A28"/>
    <w:rsid w:val="00667387"/>
    <w:rsid w:val="00667EA3"/>
    <w:rsid w:val="0067398B"/>
    <w:rsid w:val="00683B05"/>
    <w:rsid w:val="0068586F"/>
    <w:rsid w:val="006950D2"/>
    <w:rsid w:val="006A36EB"/>
    <w:rsid w:val="006B11AA"/>
    <w:rsid w:val="006C4834"/>
    <w:rsid w:val="006D0A97"/>
    <w:rsid w:val="006D3825"/>
    <w:rsid w:val="006E3FE2"/>
    <w:rsid w:val="006E68C0"/>
    <w:rsid w:val="006E785B"/>
    <w:rsid w:val="006F3644"/>
    <w:rsid w:val="006F3819"/>
    <w:rsid w:val="006F46B8"/>
    <w:rsid w:val="0072783E"/>
    <w:rsid w:val="00734150"/>
    <w:rsid w:val="00737D7B"/>
    <w:rsid w:val="00745023"/>
    <w:rsid w:val="007748EF"/>
    <w:rsid w:val="007813BE"/>
    <w:rsid w:val="00784D72"/>
    <w:rsid w:val="00790CCA"/>
    <w:rsid w:val="00790CD6"/>
    <w:rsid w:val="00790DA9"/>
    <w:rsid w:val="00794A68"/>
    <w:rsid w:val="007A34E5"/>
    <w:rsid w:val="007A7B9B"/>
    <w:rsid w:val="007B41AF"/>
    <w:rsid w:val="007E1917"/>
    <w:rsid w:val="007E30A0"/>
    <w:rsid w:val="007E5A0D"/>
    <w:rsid w:val="008063DF"/>
    <w:rsid w:val="00806950"/>
    <w:rsid w:val="00812057"/>
    <w:rsid w:val="00820A77"/>
    <w:rsid w:val="008224AC"/>
    <w:rsid w:val="00824349"/>
    <w:rsid w:val="00835553"/>
    <w:rsid w:val="00837203"/>
    <w:rsid w:val="00843322"/>
    <w:rsid w:val="00846780"/>
    <w:rsid w:val="00850CF8"/>
    <w:rsid w:val="008548ED"/>
    <w:rsid w:val="00871F44"/>
    <w:rsid w:val="0087484F"/>
    <w:rsid w:val="00874F91"/>
    <w:rsid w:val="0087626E"/>
    <w:rsid w:val="00881144"/>
    <w:rsid w:val="00886808"/>
    <w:rsid w:val="00891AE9"/>
    <w:rsid w:val="008B3405"/>
    <w:rsid w:val="008C4964"/>
    <w:rsid w:val="00907968"/>
    <w:rsid w:val="009253E4"/>
    <w:rsid w:val="00936F7D"/>
    <w:rsid w:val="00940973"/>
    <w:rsid w:val="0094214E"/>
    <w:rsid w:val="00943B70"/>
    <w:rsid w:val="009449CA"/>
    <w:rsid w:val="0094516B"/>
    <w:rsid w:val="00950F6B"/>
    <w:rsid w:val="00956792"/>
    <w:rsid w:val="00956F52"/>
    <w:rsid w:val="00957F43"/>
    <w:rsid w:val="0097151F"/>
    <w:rsid w:val="00975AB3"/>
    <w:rsid w:val="0097793B"/>
    <w:rsid w:val="00983715"/>
    <w:rsid w:val="009853EE"/>
    <w:rsid w:val="009979A7"/>
    <w:rsid w:val="009A3626"/>
    <w:rsid w:val="009B14F6"/>
    <w:rsid w:val="009D10A2"/>
    <w:rsid w:val="009E4F54"/>
    <w:rsid w:val="009E715D"/>
    <w:rsid w:val="00A00398"/>
    <w:rsid w:val="00A0657B"/>
    <w:rsid w:val="00A135E0"/>
    <w:rsid w:val="00A13952"/>
    <w:rsid w:val="00A13F40"/>
    <w:rsid w:val="00A266D4"/>
    <w:rsid w:val="00A26AC8"/>
    <w:rsid w:val="00A42318"/>
    <w:rsid w:val="00A62303"/>
    <w:rsid w:val="00A67C26"/>
    <w:rsid w:val="00A74124"/>
    <w:rsid w:val="00A900DB"/>
    <w:rsid w:val="00AA3C7C"/>
    <w:rsid w:val="00AA3D20"/>
    <w:rsid w:val="00AA783A"/>
    <w:rsid w:val="00AB462E"/>
    <w:rsid w:val="00AC3AFC"/>
    <w:rsid w:val="00AE042F"/>
    <w:rsid w:val="00AE2EB0"/>
    <w:rsid w:val="00AF1C75"/>
    <w:rsid w:val="00AF4757"/>
    <w:rsid w:val="00B068DB"/>
    <w:rsid w:val="00B06E1F"/>
    <w:rsid w:val="00B17E1F"/>
    <w:rsid w:val="00B20840"/>
    <w:rsid w:val="00B24B52"/>
    <w:rsid w:val="00B33A2C"/>
    <w:rsid w:val="00B40350"/>
    <w:rsid w:val="00B44542"/>
    <w:rsid w:val="00B508F6"/>
    <w:rsid w:val="00B52252"/>
    <w:rsid w:val="00B53E94"/>
    <w:rsid w:val="00B56D27"/>
    <w:rsid w:val="00B66AFB"/>
    <w:rsid w:val="00B8317C"/>
    <w:rsid w:val="00B87B7A"/>
    <w:rsid w:val="00B92321"/>
    <w:rsid w:val="00BB0107"/>
    <w:rsid w:val="00BB0943"/>
    <w:rsid w:val="00BB5F94"/>
    <w:rsid w:val="00BB77B0"/>
    <w:rsid w:val="00BB7B81"/>
    <w:rsid w:val="00BC28EC"/>
    <w:rsid w:val="00BC6DAC"/>
    <w:rsid w:val="00BD0CEF"/>
    <w:rsid w:val="00BE6BEA"/>
    <w:rsid w:val="00BF131B"/>
    <w:rsid w:val="00C021EE"/>
    <w:rsid w:val="00C02346"/>
    <w:rsid w:val="00C02C9A"/>
    <w:rsid w:val="00C11B0A"/>
    <w:rsid w:val="00C16845"/>
    <w:rsid w:val="00C278E2"/>
    <w:rsid w:val="00C27D5D"/>
    <w:rsid w:val="00C33E31"/>
    <w:rsid w:val="00C40F24"/>
    <w:rsid w:val="00C4413A"/>
    <w:rsid w:val="00C53028"/>
    <w:rsid w:val="00C555E3"/>
    <w:rsid w:val="00C57959"/>
    <w:rsid w:val="00C65E3E"/>
    <w:rsid w:val="00C73D3E"/>
    <w:rsid w:val="00C84471"/>
    <w:rsid w:val="00C9368C"/>
    <w:rsid w:val="00CA0437"/>
    <w:rsid w:val="00CA743B"/>
    <w:rsid w:val="00CB15E9"/>
    <w:rsid w:val="00CC776A"/>
    <w:rsid w:val="00CD14BB"/>
    <w:rsid w:val="00CD1CE4"/>
    <w:rsid w:val="00CD37ED"/>
    <w:rsid w:val="00CE0567"/>
    <w:rsid w:val="00CE5E7B"/>
    <w:rsid w:val="00CF2833"/>
    <w:rsid w:val="00CF703F"/>
    <w:rsid w:val="00D02450"/>
    <w:rsid w:val="00D11BAA"/>
    <w:rsid w:val="00D31819"/>
    <w:rsid w:val="00D459BB"/>
    <w:rsid w:val="00D47BA5"/>
    <w:rsid w:val="00D72C19"/>
    <w:rsid w:val="00D847E1"/>
    <w:rsid w:val="00D90263"/>
    <w:rsid w:val="00D94DCB"/>
    <w:rsid w:val="00DA1C9D"/>
    <w:rsid w:val="00DA4370"/>
    <w:rsid w:val="00DB2FDD"/>
    <w:rsid w:val="00DB626C"/>
    <w:rsid w:val="00DC0E49"/>
    <w:rsid w:val="00DC460A"/>
    <w:rsid w:val="00DC5863"/>
    <w:rsid w:val="00DD7CEB"/>
    <w:rsid w:val="00E10AC5"/>
    <w:rsid w:val="00E242BB"/>
    <w:rsid w:val="00E352C7"/>
    <w:rsid w:val="00E44599"/>
    <w:rsid w:val="00E45567"/>
    <w:rsid w:val="00E60B9A"/>
    <w:rsid w:val="00E66B3E"/>
    <w:rsid w:val="00E74B08"/>
    <w:rsid w:val="00E74EEE"/>
    <w:rsid w:val="00E86377"/>
    <w:rsid w:val="00EA76E7"/>
    <w:rsid w:val="00EB3C0B"/>
    <w:rsid w:val="00ED1586"/>
    <w:rsid w:val="00EF513D"/>
    <w:rsid w:val="00EF5C33"/>
    <w:rsid w:val="00F006DC"/>
    <w:rsid w:val="00F03D18"/>
    <w:rsid w:val="00F05EFB"/>
    <w:rsid w:val="00F11F14"/>
    <w:rsid w:val="00F140F5"/>
    <w:rsid w:val="00F2212C"/>
    <w:rsid w:val="00F24429"/>
    <w:rsid w:val="00F24E45"/>
    <w:rsid w:val="00F26ECD"/>
    <w:rsid w:val="00F30A77"/>
    <w:rsid w:val="00F3612F"/>
    <w:rsid w:val="00F37BD8"/>
    <w:rsid w:val="00F41005"/>
    <w:rsid w:val="00F42232"/>
    <w:rsid w:val="00F4298B"/>
    <w:rsid w:val="00F46EBB"/>
    <w:rsid w:val="00F50C4F"/>
    <w:rsid w:val="00F57E18"/>
    <w:rsid w:val="00F66DE0"/>
    <w:rsid w:val="00F71107"/>
    <w:rsid w:val="00F8423F"/>
    <w:rsid w:val="00FA239F"/>
    <w:rsid w:val="00FA61A6"/>
    <w:rsid w:val="00FB16D8"/>
    <w:rsid w:val="00FC4541"/>
    <w:rsid w:val="00FD50CB"/>
    <w:rsid w:val="00FE63C7"/>
    <w:rsid w:val="00FF148F"/>
    <w:rsid w:val="00FF6DD0"/>
    <w:rsid w:val="01678849"/>
    <w:rsid w:val="02EEDDEF"/>
    <w:rsid w:val="04575DEE"/>
    <w:rsid w:val="0500474C"/>
    <w:rsid w:val="067D2DD4"/>
    <w:rsid w:val="069F67C7"/>
    <w:rsid w:val="0791C5AD"/>
    <w:rsid w:val="09E428CF"/>
    <w:rsid w:val="09F2BFE1"/>
    <w:rsid w:val="0D0421B7"/>
    <w:rsid w:val="10CB543A"/>
    <w:rsid w:val="10D03A52"/>
    <w:rsid w:val="10F5B9B0"/>
    <w:rsid w:val="16B81B87"/>
    <w:rsid w:val="1957BAC2"/>
    <w:rsid w:val="19EFBC49"/>
    <w:rsid w:val="1C39E654"/>
    <w:rsid w:val="1C63974A"/>
    <w:rsid w:val="1DFF67AB"/>
    <w:rsid w:val="2149A44A"/>
    <w:rsid w:val="2165CB40"/>
    <w:rsid w:val="223F9784"/>
    <w:rsid w:val="22E574AB"/>
    <w:rsid w:val="245DBE3A"/>
    <w:rsid w:val="2960C207"/>
    <w:rsid w:val="2B62F4E0"/>
    <w:rsid w:val="2C62E63F"/>
    <w:rsid w:val="2D108DAB"/>
    <w:rsid w:val="2ED163B0"/>
    <w:rsid w:val="349F565C"/>
    <w:rsid w:val="38ABB1A4"/>
    <w:rsid w:val="39810DF9"/>
    <w:rsid w:val="3B63AED4"/>
    <w:rsid w:val="3E700EF6"/>
    <w:rsid w:val="450B4BA1"/>
    <w:rsid w:val="46756579"/>
    <w:rsid w:val="493A15B0"/>
    <w:rsid w:val="4B5BD8FC"/>
    <w:rsid w:val="4EC5BA19"/>
    <w:rsid w:val="4FC27877"/>
    <w:rsid w:val="4FC84195"/>
    <w:rsid w:val="5D4E4829"/>
    <w:rsid w:val="5E77DBDD"/>
    <w:rsid w:val="68A9C598"/>
    <w:rsid w:val="691C6570"/>
    <w:rsid w:val="6931BCB7"/>
    <w:rsid w:val="6A66992F"/>
    <w:rsid w:val="6B602A80"/>
    <w:rsid w:val="71795595"/>
    <w:rsid w:val="72CD6C80"/>
    <w:rsid w:val="78C338C9"/>
    <w:rsid w:val="78F2276F"/>
    <w:rsid w:val="79BD3250"/>
    <w:rsid w:val="7C7D00D9"/>
    <w:rsid w:val="7E8AB267"/>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D847E1"/>
    <w:rPr>
      <w:b/>
      <w:bCs/>
    </w:rPr>
  </w:style>
  <w:style w:type="character" w:customStyle="1" w:styleId="AsuntodelcomentarioCar">
    <w:name w:val="Asunto del comentario Car"/>
    <w:basedOn w:val="TextocomentarioCar"/>
    <w:link w:val="Asuntodelcomentario"/>
    <w:uiPriority w:val="99"/>
    <w:semiHidden/>
    <w:rsid w:val="00D847E1"/>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FA2FB-FA84-45C7-9CB7-F97DEFE4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F4D9E-09D7-4AE0-BB53-6F948D5C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2276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26</cp:revision>
  <dcterms:created xsi:type="dcterms:W3CDTF">2021-07-15T21:46:00Z</dcterms:created>
  <dcterms:modified xsi:type="dcterms:W3CDTF">2021-08-20T15:30:00Z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