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45D7" w14:textId="77777777" w:rsidR="00C726EC" w:rsidRPr="00C726EC" w:rsidRDefault="00C726EC" w:rsidP="00C726E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C726E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ED1B13" w14:textId="77777777" w:rsidR="00C726EC" w:rsidRPr="00C726EC" w:rsidRDefault="00C726EC" w:rsidP="00C726EC">
      <w:pPr>
        <w:spacing w:line="240" w:lineRule="auto"/>
        <w:rPr>
          <w:rFonts w:ascii="Arial" w:eastAsia="Times New Roman" w:hAnsi="Arial" w:cs="Arial"/>
          <w:sz w:val="20"/>
          <w:szCs w:val="20"/>
          <w:lang w:val="es-419" w:eastAsia="es-ES"/>
        </w:rPr>
      </w:pPr>
    </w:p>
    <w:p w14:paraId="0A97AEBC" w14:textId="77777777" w:rsidR="00C726EC" w:rsidRPr="00C726EC" w:rsidRDefault="00C726EC" w:rsidP="00C726EC">
      <w:pPr>
        <w:spacing w:line="240" w:lineRule="auto"/>
        <w:rPr>
          <w:rFonts w:ascii="Arial" w:eastAsia="Times New Roman" w:hAnsi="Arial" w:cs="Arial"/>
          <w:sz w:val="20"/>
          <w:szCs w:val="20"/>
          <w:lang w:val="es-419" w:eastAsia="es-ES"/>
        </w:rPr>
      </w:pPr>
      <w:r w:rsidRPr="00C726EC">
        <w:rPr>
          <w:rFonts w:ascii="Arial" w:eastAsia="Times New Roman" w:hAnsi="Arial" w:cs="Arial"/>
          <w:sz w:val="20"/>
          <w:szCs w:val="20"/>
          <w:lang w:val="es-419" w:eastAsia="es-ES"/>
        </w:rPr>
        <w:t xml:space="preserve">Radicación No.: </w:t>
      </w:r>
      <w:r w:rsidRPr="00C726EC">
        <w:rPr>
          <w:rFonts w:ascii="Arial" w:eastAsia="Times New Roman" w:hAnsi="Arial" w:cs="Arial"/>
          <w:sz w:val="20"/>
          <w:szCs w:val="20"/>
          <w:lang w:val="es-419" w:eastAsia="es-ES"/>
        </w:rPr>
        <w:tab/>
        <w:t>66001310500220180056801</w:t>
      </w:r>
    </w:p>
    <w:p w14:paraId="78171DA3" w14:textId="77777777" w:rsidR="00C726EC" w:rsidRPr="00C726EC" w:rsidRDefault="00C726EC" w:rsidP="00C726EC">
      <w:pPr>
        <w:spacing w:line="240" w:lineRule="auto"/>
        <w:rPr>
          <w:rFonts w:ascii="Arial" w:eastAsia="Times New Roman" w:hAnsi="Arial" w:cs="Arial"/>
          <w:sz w:val="20"/>
          <w:szCs w:val="20"/>
          <w:lang w:val="es-419" w:eastAsia="es-ES"/>
        </w:rPr>
      </w:pPr>
      <w:r w:rsidRPr="00C726EC">
        <w:rPr>
          <w:rFonts w:ascii="Arial" w:eastAsia="Times New Roman" w:hAnsi="Arial" w:cs="Arial"/>
          <w:sz w:val="20"/>
          <w:szCs w:val="20"/>
          <w:lang w:val="es-419" w:eastAsia="es-ES"/>
        </w:rPr>
        <w:t xml:space="preserve">Proceso: </w:t>
      </w:r>
      <w:r w:rsidRPr="00C726EC">
        <w:rPr>
          <w:rFonts w:ascii="Arial" w:eastAsia="Times New Roman" w:hAnsi="Arial" w:cs="Arial"/>
          <w:sz w:val="20"/>
          <w:szCs w:val="20"/>
          <w:lang w:val="es-419" w:eastAsia="es-ES"/>
        </w:rPr>
        <w:tab/>
      </w:r>
      <w:r w:rsidRPr="00C726EC">
        <w:rPr>
          <w:rFonts w:ascii="Arial" w:eastAsia="Times New Roman" w:hAnsi="Arial" w:cs="Arial"/>
          <w:sz w:val="20"/>
          <w:szCs w:val="20"/>
          <w:lang w:val="es-419" w:eastAsia="es-ES"/>
        </w:rPr>
        <w:tab/>
        <w:t xml:space="preserve">Ordinario Laboral </w:t>
      </w:r>
    </w:p>
    <w:p w14:paraId="29D8F106" w14:textId="77777777" w:rsidR="00C726EC" w:rsidRPr="00C726EC" w:rsidRDefault="00C726EC" w:rsidP="00C726EC">
      <w:pPr>
        <w:spacing w:line="240" w:lineRule="auto"/>
        <w:rPr>
          <w:rFonts w:ascii="Arial" w:eastAsia="Times New Roman" w:hAnsi="Arial" w:cs="Arial"/>
          <w:sz w:val="20"/>
          <w:szCs w:val="20"/>
          <w:lang w:val="es-419" w:eastAsia="es-ES"/>
        </w:rPr>
      </w:pPr>
      <w:r w:rsidRPr="00C726EC">
        <w:rPr>
          <w:rFonts w:ascii="Arial" w:eastAsia="Times New Roman" w:hAnsi="Arial" w:cs="Arial"/>
          <w:sz w:val="20"/>
          <w:szCs w:val="20"/>
          <w:lang w:val="es-419" w:eastAsia="es-ES"/>
        </w:rPr>
        <w:t xml:space="preserve">Demandante: </w:t>
      </w:r>
      <w:r w:rsidRPr="00C726EC">
        <w:rPr>
          <w:rFonts w:ascii="Arial" w:eastAsia="Times New Roman" w:hAnsi="Arial" w:cs="Arial"/>
          <w:sz w:val="20"/>
          <w:szCs w:val="20"/>
          <w:lang w:val="es-419" w:eastAsia="es-ES"/>
        </w:rPr>
        <w:tab/>
      </w:r>
      <w:r w:rsidRPr="00C726EC">
        <w:rPr>
          <w:rFonts w:ascii="Arial" w:eastAsia="Times New Roman" w:hAnsi="Arial" w:cs="Arial"/>
          <w:sz w:val="20"/>
          <w:szCs w:val="20"/>
          <w:lang w:val="es-419" w:eastAsia="es-ES"/>
        </w:rPr>
        <w:tab/>
        <w:t xml:space="preserve">Jairo Agustín Téllez Jiménez </w:t>
      </w:r>
    </w:p>
    <w:p w14:paraId="02A341EF" w14:textId="77777777" w:rsidR="00C726EC" w:rsidRPr="00C726EC" w:rsidRDefault="00C726EC" w:rsidP="00C726EC">
      <w:pPr>
        <w:spacing w:line="240" w:lineRule="auto"/>
        <w:rPr>
          <w:rFonts w:ascii="Arial" w:eastAsia="Times New Roman" w:hAnsi="Arial" w:cs="Arial"/>
          <w:sz w:val="20"/>
          <w:szCs w:val="20"/>
          <w:lang w:val="es-419" w:eastAsia="es-ES"/>
        </w:rPr>
      </w:pPr>
      <w:r w:rsidRPr="00C726EC">
        <w:rPr>
          <w:rFonts w:ascii="Arial" w:eastAsia="Times New Roman" w:hAnsi="Arial" w:cs="Arial"/>
          <w:sz w:val="20"/>
          <w:szCs w:val="20"/>
          <w:lang w:val="es-419" w:eastAsia="es-ES"/>
        </w:rPr>
        <w:t xml:space="preserve">Demandado: </w:t>
      </w:r>
      <w:r w:rsidRPr="00C726EC">
        <w:rPr>
          <w:rFonts w:ascii="Arial" w:eastAsia="Times New Roman" w:hAnsi="Arial" w:cs="Arial"/>
          <w:sz w:val="20"/>
          <w:szCs w:val="20"/>
          <w:lang w:val="es-419" w:eastAsia="es-ES"/>
        </w:rPr>
        <w:tab/>
      </w:r>
      <w:r w:rsidRPr="00C726EC">
        <w:rPr>
          <w:rFonts w:ascii="Arial" w:eastAsia="Times New Roman" w:hAnsi="Arial" w:cs="Arial"/>
          <w:sz w:val="20"/>
          <w:szCs w:val="20"/>
          <w:lang w:val="es-419" w:eastAsia="es-ES"/>
        </w:rPr>
        <w:tab/>
        <w:t xml:space="preserve">Colpensiones, Protección S.A., Colfondos S.A. y Porvenir S.A. </w:t>
      </w:r>
    </w:p>
    <w:p w14:paraId="47349D2A" w14:textId="4C251DA1" w:rsidR="00C726EC" w:rsidRPr="00C726EC" w:rsidRDefault="00C726EC" w:rsidP="00C726EC">
      <w:pPr>
        <w:spacing w:line="240" w:lineRule="auto"/>
        <w:rPr>
          <w:rFonts w:ascii="Arial" w:eastAsia="Times New Roman" w:hAnsi="Arial" w:cs="Arial"/>
          <w:sz w:val="20"/>
          <w:szCs w:val="20"/>
          <w:lang w:val="es-419" w:eastAsia="es-ES"/>
        </w:rPr>
      </w:pPr>
      <w:r w:rsidRPr="00C726EC">
        <w:rPr>
          <w:rFonts w:ascii="Arial" w:eastAsia="Times New Roman" w:hAnsi="Arial" w:cs="Arial"/>
          <w:sz w:val="20"/>
          <w:szCs w:val="20"/>
          <w:lang w:val="es-419" w:eastAsia="es-ES"/>
        </w:rPr>
        <w:t xml:space="preserve">Juzgado: </w:t>
      </w:r>
      <w:r w:rsidRPr="00C726EC">
        <w:rPr>
          <w:rFonts w:ascii="Arial" w:eastAsia="Times New Roman" w:hAnsi="Arial" w:cs="Arial"/>
          <w:sz w:val="20"/>
          <w:szCs w:val="20"/>
          <w:lang w:val="es-419" w:eastAsia="es-ES"/>
        </w:rPr>
        <w:tab/>
      </w:r>
      <w:r w:rsidRPr="00C726EC">
        <w:rPr>
          <w:rFonts w:ascii="Arial" w:eastAsia="Times New Roman" w:hAnsi="Arial" w:cs="Arial"/>
          <w:sz w:val="20"/>
          <w:szCs w:val="20"/>
          <w:lang w:val="es-419" w:eastAsia="es-ES"/>
        </w:rPr>
        <w:tab/>
        <w:t>Segundo Laboral del Circuito de Pereira</w:t>
      </w:r>
    </w:p>
    <w:p w14:paraId="487E3870" w14:textId="77777777" w:rsidR="00C726EC" w:rsidRPr="00C726EC" w:rsidRDefault="00C726EC" w:rsidP="00C726EC">
      <w:pPr>
        <w:spacing w:line="240" w:lineRule="auto"/>
        <w:rPr>
          <w:rFonts w:ascii="Arial" w:eastAsia="Times New Roman" w:hAnsi="Arial" w:cs="Arial"/>
          <w:sz w:val="20"/>
          <w:szCs w:val="20"/>
          <w:lang w:val="es-419" w:eastAsia="es-ES"/>
        </w:rPr>
      </w:pPr>
    </w:p>
    <w:bookmarkEnd w:id="0"/>
    <w:p w14:paraId="10F94467" w14:textId="77777777" w:rsidR="00C6599D" w:rsidRPr="00C6599D" w:rsidRDefault="00C6599D" w:rsidP="00C6599D">
      <w:pPr>
        <w:spacing w:line="240" w:lineRule="auto"/>
        <w:rPr>
          <w:rFonts w:ascii="Arial" w:eastAsia="Times New Roman" w:hAnsi="Arial" w:cs="Arial"/>
          <w:b/>
          <w:bCs/>
          <w:iCs/>
          <w:sz w:val="20"/>
          <w:szCs w:val="20"/>
          <w:lang w:val="es-419" w:eastAsia="fr-FR"/>
        </w:rPr>
      </w:pPr>
      <w:r w:rsidRPr="00C6599D">
        <w:rPr>
          <w:rFonts w:ascii="Arial" w:eastAsia="Times New Roman" w:hAnsi="Arial" w:cs="Arial"/>
          <w:b/>
          <w:bCs/>
          <w:iCs/>
          <w:sz w:val="20"/>
          <w:szCs w:val="20"/>
          <w:u w:val="single"/>
          <w:lang w:val="es-419" w:eastAsia="fr-FR"/>
        </w:rPr>
        <w:t>TEMAS:</w:t>
      </w:r>
      <w:r w:rsidRPr="00C6599D">
        <w:rPr>
          <w:rFonts w:ascii="Arial" w:eastAsia="Times New Roman" w:hAnsi="Arial" w:cs="Arial"/>
          <w:b/>
          <w:bCs/>
          <w:iCs/>
          <w:sz w:val="20"/>
          <w:szCs w:val="20"/>
          <w:lang w:val="es-419" w:eastAsia="fr-FR"/>
        </w:rPr>
        <w:tab/>
      </w:r>
      <w:r w:rsidRPr="00C6599D">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5C1D805" w14:textId="77777777" w:rsidR="00C6599D" w:rsidRPr="00C6599D" w:rsidRDefault="00C6599D" w:rsidP="00C6599D">
      <w:pPr>
        <w:spacing w:line="240" w:lineRule="auto"/>
        <w:rPr>
          <w:rFonts w:ascii="Arial" w:eastAsia="Times New Roman" w:hAnsi="Arial" w:cs="Arial"/>
          <w:sz w:val="20"/>
          <w:szCs w:val="20"/>
          <w:lang w:val="es-419" w:eastAsia="es-ES"/>
        </w:rPr>
      </w:pPr>
    </w:p>
    <w:p w14:paraId="38890D4B" w14:textId="77777777" w:rsidR="00C6599D" w:rsidRPr="00C6599D" w:rsidRDefault="00C6599D" w:rsidP="00C6599D">
      <w:pPr>
        <w:spacing w:line="240" w:lineRule="auto"/>
        <w:rPr>
          <w:rFonts w:ascii="Arial" w:eastAsia="Times New Roman" w:hAnsi="Arial" w:cs="Arial"/>
          <w:sz w:val="20"/>
          <w:szCs w:val="20"/>
          <w:lang w:val="es-419" w:eastAsia="es-ES"/>
        </w:rPr>
      </w:pPr>
      <w:r w:rsidRPr="00C6599D">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7CCFBB40" w14:textId="77777777" w:rsidR="00C6599D" w:rsidRPr="00C6599D" w:rsidRDefault="00C6599D" w:rsidP="00C6599D">
      <w:pPr>
        <w:spacing w:line="240" w:lineRule="auto"/>
        <w:rPr>
          <w:rFonts w:ascii="Arial" w:eastAsia="Times New Roman" w:hAnsi="Arial" w:cs="Arial"/>
          <w:sz w:val="20"/>
          <w:szCs w:val="20"/>
          <w:lang w:val="es-419" w:eastAsia="es-ES"/>
        </w:rPr>
      </w:pPr>
    </w:p>
    <w:p w14:paraId="484F919E" w14:textId="77777777" w:rsidR="00C6599D" w:rsidRPr="00C6599D" w:rsidRDefault="00C6599D" w:rsidP="00C6599D">
      <w:pPr>
        <w:spacing w:line="240" w:lineRule="auto"/>
        <w:rPr>
          <w:rFonts w:ascii="Arial" w:eastAsia="Times New Roman" w:hAnsi="Arial" w:cs="Arial"/>
          <w:sz w:val="20"/>
          <w:szCs w:val="20"/>
          <w:lang w:val="es-419" w:eastAsia="es-ES"/>
        </w:rPr>
      </w:pPr>
      <w:r w:rsidRPr="00C6599D">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F922E8B" w14:textId="77777777" w:rsidR="00C6599D" w:rsidRPr="00C6599D" w:rsidRDefault="00C6599D" w:rsidP="00C6599D">
      <w:pPr>
        <w:spacing w:line="240" w:lineRule="auto"/>
        <w:rPr>
          <w:rFonts w:ascii="Arial" w:eastAsia="Times New Roman" w:hAnsi="Arial" w:cs="Arial"/>
          <w:sz w:val="20"/>
          <w:szCs w:val="20"/>
          <w:lang w:val="es-419" w:eastAsia="es-ES"/>
        </w:rPr>
      </w:pPr>
    </w:p>
    <w:p w14:paraId="161063AA" w14:textId="2E05BE3B" w:rsidR="00C6599D" w:rsidRPr="00C6599D" w:rsidRDefault="00C007C6" w:rsidP="00C6599D">
      <w:pPr>
        <w:spacing w:line="240" w:lineRule="auto"/>
        <w:rPr>
          <w:rFonts w:ascii="Arial" w:eastAsia="Times New Roman" w:hAnsi="Arial" w:cs="Arial"/>
          <w:sz w:val="20"/>
          <w:szCs w:val="20"/>
          <w:lang w:val="es-419" w:eastAsia="es-ES"/>
        </w:rPr>
      </w:pPr>
      <w:r w:rsidRPr="00C007C6">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bookmarkStart w:id="1" w:name="_GoBack"/>
      <w:bookmarkEnd w:id="1"/>
      <w:r w:rsidR="00C6599D" w:rsidRPr="00C6599D">
        <w:rPr>
          <w:rFonts w:ascii="Arial" w:eastAsia="Times New Roman" w:hAnsi="Arial" w:cs="Arial"/>
          <w:sz w:val="20"/>
          <w:szCs w:val="20"/>
          <w:lang w:val="es-419" w:eastAsia="es-ES"/>
        </w:rPr>
        <w:t>…</w:t>
      </w:r>
    </w:p>
    <w:p w14:paraId="0DCC2A15" w14:textId="77777777" w:rsidR="00C6599D" w:rsidRPr="00C6599D" w:rsidRDefault="00C6599D" w:rsidP="00C6599D">
      <w:pPr>
        <w:spacing w:line="240" w:lineRule="auto"/>
        <w:rPr>
          <w:rFonts w:ascii="Arial" w:eastAsia="Times New Roman" w:hAnsi="Arial" w:cs="Arial"/>
          <w:sz w:val="20"/>
          <w:szCs w:val="20"/>
          <w:lang w:val="es-419" w:eastAsia="es-ES"/>
        </w:rPr>
      </w:pPr>
    </w:p>
    <w:p w14:paraId="6C771961" w14:textId="77777777" w:rsidR="00C6599D" w:rsidRPr="00C6599D" w:rsidRDefault="00C6599D" w:rsidP="00C6599D">
      <w:pPr>
        <w:spacing w:line="240" w:lineRule="auto"/>
        <w:rPr>
          <w:rFonts w:ascii="Arial" w:eastAsia="Times New Roman" w:hAnsi="Arial" w:cs="Arial"/>
          <w:sz w:val="20"/>
          <w:szCs w:val="20"/>
          <w:lang w:val="es-419" w:eastAsia="es-ES"/>
        </w:rPr>
      </w:pPr>
      <w:r w:rsidRPr="00C6599D">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30158F75" w14:textId="77777777" w:rsidR="00C6599D" w:rsidRPr="00C6599D" w:rsidRDefault="00C6599D" w:rsidP="00C6599D">
      <w:pPr>
        <w:spacing w:line="240" w:lineRule="auto"/>
        <w:rPr>
          <w:rFonts w:ascii="Arial" w:eastAsia="Times New Roman" w:hAnsi="Arial" w:cs="Arial"/>
          <w:sz w:val="20"/>
          <w:szCs w:val="20"/>
          <w:lang w:val="es-ES" w:eastAsia="es-ES"/>
        </w:rPr>
      </w:pPr>
    </w:p>
    <w:p w14:paraId="462D40AA" w14:textId="77777777" w:rsidR="00C6599D" w:rsidRPr="00C6599D" w:rsidRDefault="00C6599D" w:rsidP="00C6599D">
      <w:pPr>
        <w:spacing w:line="240" w:lineRule="auto"/>
        <w:rPr>
          <w:rFonts w:ascii="Arial" w:eastAsia="Times New Roman" w:hAnsi="Arial" w:cs="Arial"/>
          <w:sz w:val="20"/>
          <w:szCs w:val="20"/>
          <w:lang w:val="es-ES" w:eastAsia="es-ES"/>
        </w:rPr>
      </w:pPr>
    </w:p>
    <w:p w14:paraId="51168655" w14:textId="77777777" w:rsidR="00C6599D" w:rsidRPr="00C6599D" w:rsidRDefault="00C6599D" w:rsidP="00C6599D">
      <w:pPr>
        <w:spacing w:line="240" w:lineRule="auto"/>
        <w:rPr>
          <w:rFonts w:ascii="Arial" w:eastAsia="Times New Roman" w:hAnsi="Arial" w:cs="Arial"/>
          <w:sz w:val="20"/>
          <w:szCs w:val="20"/>
          <w:lang w:val="es-ES" w:eastAsia="es-ES"/>
        </w:rPr>
      </w:pPr>
    </w:p>
    <w:p w14:paraId="79F64DA0" w14:textId="77777777" w:rsidR="00790DA9" w:rsidRPr="00C726EC" w:rsidRDefault="00790DA9" w:rsidP="00C726EC">
      <w:pPr>
        <w:pStyle w:val="Ttulo4"/>
        <w:widowControl w:val="0"/>
        <w:tabs>
          <w:tab w:val="clear" w:pos="0"/>
        </w:tabs>
        <w:spacing w:line="276" w:lineRule="auto"/>
        <w:ind w:left="709" w:right="845"/>
        <w:rPr>
          <w:rFonts w:ascii="Tahoma" w:hAnsi="Tahoma" w:cs="Tahoma"/>
          <w:bCs/>
          <w:szCs w:val="24"/>
          <w:lang w:val="es-CO" w:eastAsia="es-MX"/>
        </w:rPr>
      </w:pPr>
      <w:r w:rsidRPr="00C726EC">
        <w:rPr>
          <w:rFonts w:ascii="Tahoma" w:hAnsi="Tahoma" w:cs="Tahoma"/>
          <w:bCs/>
          <w:szCs w:val="24"/>
          <w:lang w:val="es-CO" w:eastAsia="es-MX"/>
        </w:rPr>
        <w:t>TRIBUNAL SUPERIOR DEL DISTRITO JUDICIAL DE PEREIRA</w:t>
      </w:r>
    </w:p>
    <w:p w14:paraId="790CF845" w14:textId="482B04BB" w:rsidR="00790DA9" w:rsidRPr="00C726EC" w:rsidRDefault="00790DA9" w:rsidP="00C726EC">
      <w:pPr>
        <w:pStyle w:val="Ttulo4"/>
        <w:widowControl w:val="0"/>
        <w:tabs>
          <w:tab w:val="clear" w:pos="0"/>
        </w:tabs>
        <w:spacing w:line="276" w:lineRule="auto"/>
        <w:ind w:left="709" w:right="845"/>
        <w:rPr>
          <w:rFonts w:ascii="Tahoma" w:hAnsi="Tahoma" w:cs="Tahoma"/>
          <w:bCs/>
          <w:szCs w:val="24"/>
          <w:lang w:val="es-CO" w:eastAsia="es-MX"/>
        </w:rPr>
      </w:pPr>
      <w:r w:rsidRPr="00C726EC">
        <w:rPr>
          <w:rFonts w:ascii="Tahoma" w:hAnsi="Tahoma" w:cs="Tahoma"/>
          <w:bCs/>
          <w:szCs w:val="24"/>
          <w:lang w:val="es-CO" w:eastAsia="es-MX"/>
        </w:rPr>
        <w:t>SALA PRIMERA DE DECISION LABORAL</w:t>
      </w:r>
      <w:r w:rsidR="00662FC5" w:rsidRPr="00C726EC">
        <w:rPr>
          <w:rFonts w:ascii="Tahoma" w:hAnsi="Tahoma" w:cs="Tahoma"/>
          <w:bCs/>
          <w:szCs w:val="24"/>
          <w:lang w:val="es-CO" w:eastAsia="es-MX"/>
        </w:rPr>
        <w:t xml:space="preserve"> </w:t>
      </w:r>
    </w:p>
    <w:p w14:paraId="6C8078C4" w14:textId="77777777" w:rsidR="00662FC5" w:rsidRPr="00C726EC" w:rsidRDefault="00662FC5" w:rsidP="00C726EC">
      <w:pPr>
        <w:spacing w:line="276" w:lineRule="auto"/>
        <w:jc w:val="center"/>
        <w:rPr>
          <w:rFonts w:cs="Tahoma"/>
          <w:bCs/>
          <w:szCs w:val="24"/>
        </w:rPr>
      </w:pPr>
    </w:p>
    <w:p w14:paraId="0E7ACA8F" w14:textId="77777777" w:rsidR="00790DA9" w:rsidRPr="00C726EC" w:rsidRDefault="00790DA9" w:rsidP="00C726EC">
      <w:pPr>
        <w:spacing w:line="276" w:lineRule="auto"/>
        <w:jc w:val="center"/>
        <w:textAlignment w:val="baseline"/>
        <w:rPr>
          <w:rFonts w:eastAsia="Times New Roman" w:cs="Tahoma"/>
          <w:szCs w:val="24"/>
          <w:lang w:eastAsia="es-CO"/>
        </w:rPr>
      </w:pPr>
      <w:r w:rsidRPr="00C726EC">
        <w:rPr>
          <w:rFonts w:eastAsia="Times New Roman" w:cs="Tahoma"/>
          <w:szCs w:val="24"/>
          <w:lang w:eastAsia="es-CO"/>
        </w:rPr>
        <w:t>Magistrada Ponente: </w:t>
      </w:r>
      <w:r w:rsidRPr="00C726EC">
        <w:rPr>
          <w:rFonts w:eastAsia="Times New Roman" w:cs="Tahoma"/>
          <w:b/>
          <w:bCs/>
          <w:szCs w:val="24"/>
          <w:lang w:eastAsia="es-CO"/>
        </w:rPr>
        <w:t>Ana Lucía Caicedo Calderón</w:t>
      </w:r>
      <w:r w:rsidRPr="00C726EC">
        <w:rPr>
          <w:rFonts w:eastAsia="Times New Roman" w:cs="Tahoma"/>
          <w:szCs w:val="24"/>
          <w:lang w:eastAsia="es-CO"/>
        </w:rPr>
        <w:t> </w:t>
      </w:r>
    </w:p>
    <w:p w14:paraId="17B99363" w14:textId="17A5E01B" w:rsidR="00790DA9" w:rsidRPr="00C726EC" w:rsidRDefault="00790DA9" w:rsidP="00C726EC">
      <w:pPr>
        <w:spacing w:line="276" w:lineRule="auto"/>
        <w:jc w:val="center"/>
        <w:textAlignment w:val="baseline"/>
        <w:rPr>
          <w:rFonts w:eastAsia="Times New Roman" w:cs="Tahoma"/>
          <w:szCs w:val="24"/>
          <w:lang w:eastAsia="es-CO"/>
        </w:rPr>
      </w:pPr>
      <w:r w:rsidRPr="00C726EC">
        <w:rPr>
          <w:rFonts w:eastAsia="Times New Roman" w:cs="Tahoma"/>
          <w:szCs w:val="24"/>
          <w:lang w:eastAsia="es-CO"/>
        </w:rPr>
        <w:t> </w:t>
      </w:r>
    </w:p>
    <w:p w14:paraId="61EC5009" w14:textId="2E571025" w:rsidR="00B92321" w:rsidRPr="00C726EC" w:rsidRDefault="00B92321" w:rsidP="00C726EC">
      <w:pPr>
        <w:spacing w:line="276" w:lineRule="auto"/>
        <w:jc w:val="center"/>
        <w:textAlignment w:val="baseline"/>
        <w:rPr>
          <w:rFonts w:eastAsia="Times New Roman" w:cs="Tahoma"/>
          <w:szCs w:val="24"/>
          <w:lang w:eastAsia="es-CO"/>
        </w:rPr>
      </w:pPr>
      <w:r w:rsidRPr="00C726EC">
        <w:rPr>
          <w:rFonts w:eastAsia="Times New Roman" w:cs="Tahoma"/>
          <w:szCs w:val="24"/>
          <w:lang w:eastAsia="es-CO"/>
        </w:rPr>
        <w:t xml:space="preserve">Pereira, Risaralda, </w:t>
      </w:r>
      <w:r w:rsidR="00974A03" w:rsidRPr="00C726EC">
        <w:rPr>
          <w:rFonts w:eastAsia="Times New Roman" w:cs="Tahoma"/>
          <w:szCs w:val="24"/>
          <w:lang w:eastAsia="es-CO"/>
        </w:rPr>
        <w:t xml:space="preserve">veintitrés (23) de </w:t>
      </w:r>
      <w:r w:rsidR="00A47546" w:rsidRPr="00C726EC">
        <w:rPr>
          <w:rFonts w:eastAsia="Times New Roman" w:cs="Tahoma"/>
          <w:szCs w:val="24"/>
          <w:lang w:eastAsia="es-CO"/>
        </w:rPr>
        <w:t>agosto</w:t>
      </w:r>
      <w:r w:rsidRPr="00C726EC">
        <w:rPr>
          <w:rFonts w:eastAsia="Times New Roman" w:cs="Tahoma"/>
          <w:szCs w:val="24"/>
          <w:lang w:eastAsia="es-CO"/>
        </w:rPr>
        <w:t xml:space="preserve"> de dos mil veintiuno (2021)  </w:t>
      </w:r>
    </w:p>
    <w:p w14:paraId="41C75338" w14:textId="4138E0FC" w:rsidR="00B92321" w:rsidRPr="00C726EC" w:rsidRDefault="00B92321" w:rsidP="00C726EC">
      <w:pPr>
        <w:spacing w:line="276" w:lineRule="auto"/>
        <w:jc w:val="center"/>
        <w:textAlignment w:val="baseline"/>
        <w:rPr>
          <w:rFonts w:eastAsia="Times New Roman" w:cs="Tahoma"/>
          <w:szCs w:val="24"/>
          <w:lang w:eastAsia="es-CO"/>
        </w:rPr>
      </w:pPr>
      <w:r w:rsidRPr="00C726EC">
        <w:rPr>
          <w:rFonts w:eastAsia="Times New Roman" w:cs="Tahoma"/>
          <w:szCs w:val="24"/>
          <w:lang w:eastAsia="es-CO"/>
        </w:rPr>
        <w:t> Acta No. </w:t>
      </w:r>
      <w:r w:rsidR="00974A03" w:rsidRPr="00C726EC">
        <w:rPr>
          <w:rFonts w:eastAsia="Times New Roman" w:cs="Tahoma"/>
          <w:szCs w:val="24"/>
          <w:lang w:eastAsia="es-CO"/>
        </w:rPr>
        <w:t>128</w:t>
      </w:r>
      <w:r w:rsidRPr="00C726EC">
        <w:rPr>
          <w:rFonts w:eastAsia="Times New Roman" w:cs="Tahoma"/>
          <w:szCs w:val="24"/>
          <w:lang w:eastAsia="es-CO"/>
        </w:rPr>
        <w:t xml:space="preserve"> del </w:t>
      </w:r>
      <w:r w:rsidR="00974A03" w:rsidRPr="00C726EC">
        <w:rPr>
          <w:rFonts w:eastAsia="Times New Roman" w:cs="Tahoma"/>
          <w:szCs w:val="24"/>
          <w:lang w:eastAsia="es-CO"/>
        </w:rPr>
        <w:t>19</w:t>
      </w:r>
      <w:r w:rsidR="00662FC5" w:rsidRPr="00C726EC">
        <w:rPr>
          <w:rFonts w:eastAsia="Times New Roman" w:cs="Tahoma"/>
          <w:szCs w:val="24"/>
          <w:lang w:eastAsia="es-CO"/>
        </w:rPr>
        <w:t xml:space="preserve"> de </w:t>
      </w:r>
      <w:r w:rsidR="00A47546" w:rsidRPr="00C726EC">
        <w:rPr>
          <w:rFonts w:eastAsia="Times New Roman" w:cs="Tahoma"/>
          <w:szCs w:val="24"/>
          <w:lang w:eastAsia="es-CO"/>
        </w:rPr>
        <w:t xml:space="preserve">agosto </w:t>
      </w:r>
      <w:r w:rsidRPr="00C726EC">
        <w:rPr>
          <w:rFonts w:eastAsia="Times New Roman" w:cs="Tahoma"/>
          <w:szCs w:val="24"/>
          <w:lang w:eastAsia="es-CO"/>
        </w:rPr>
        <w:t>de 2021</w:t>
      </w:r>
    </w:p>
    <w:p w14:paraId="73AFF3DE" w14:textId="77777777" w:rsidR="00662FC5" w:rsidRPr="00C726EC" w:rsidRDefault="00662FC5" w:rsidP="00C726EC">
      <w:pPr>
        <w:spacing w:line="276" w:lineRule="auto"/>
        <w:jc w:val="center"/>
        <w:rPr>
          <w:rFonts w:cs="Tahoma"/>
          <w:b/>
          <w:szCs w:val="24"/>
        </w:rPr>
      </w:pPr>
    </w:p>
    <w:p w14:paraId="0396C3CF" w14:textId="2A364103" w:rsidR="0070568F" w:rsidRPr="00C726EC" w:rsidRDefault="00662FC5" w:rsidP="00C726EC">
      <w:pPr>
        <w:spacing w:line="276" w:lineRule="auto"/>
        <w:ind w:firstLine="709"/>
        <w:rPr>
          <w:rFonts w:cs="Tahoma"/>
          <w:szCs w:val="24"/>
        </w:rPr>
      </w:pPr>
      <w:r w:rsidRPr="00C726EC">
        <w:rPr>
          <w:rFonts w:cs="Tahoma"/>
          <w:color w:val="000000"/>
          <w:szCs w:val="24"/>
        </w:rPr>
        <w:t>Teniendo en cuenta que el artículo 15 del Decreto No. 806 del 4 de junio de</w:t>
      </w:r>
      <w:r w:rsidR="003D1E95" w:rsidRPr="00C726EC">
        <w:rPr>
          <w:rFonts w:cs="Tahoma"/>
          <w:color w:val="000000"/>
          <w:szCs w:val="24"/>
        </w:rPr>
        <w:t xml:space="preserve"> </w:t>
      </w:r>
      <w:r w:rsidRPr="00C726EC">
        <w:rPr>
          <w:rFonts w:cs="Tahoma"/>
          <w:color w:val="000000"/>
          <w:szCs w:val="24"/>
        </w:rPr>
        <w:t>2020, expedido por el Ministerio de Justicia y del Derecho, estableció que en la</w:t>
      </w:r>
      <w:r w:rsidR="003D1E95" w:rsidRPr="00C726EC">
        <w:rPr>
          <w:rFonts w:cs="Tahoma"/>
          <w:color w:val="000000"/>
          <w:szCs w:val="24"/>
        </w:rPr>
        <w:t xml:space="preserve"> </w:t>
      </w:r>
      <w:r w:rsidRPr="00C726EC">
        <w:rPr>
          <w:rFonts w:cs="Tahoma"/>
          <w:color w:val="000000"/>
          <w:szCs w:val="24"/>
        </w:rPr>
        <w:t>especialidad laboral se proferirán por escrito las providencias de segunda instancia</w:t>
      </w:r>
      <w:r w:rsidR="003D1E95" w:rsidRPr="00C726EC">
        <w:rPr>
          <w:rFonts w:cs="Tahoma"/>
          <w:color w:val="000000"/>
          <w:szCs w:val="24"/>
        </w:rPr>
        <w:t xml:space="preserve"> </w:t>
      </w:r>
      <w:r w:rsidRPr="00C726EC">
        <w:rPr>
          <w:rFonts w:cs="Tahoma"/>
          <w:color w:val="000000"/>
          <w:szCs w:val="24"/>
        </w:rPr>
        <w:t>en las que se surta el grado jurisdiccional de consulta o se resuelva el recurso de</w:t>
      </w:r>
      <w:r w:rsidR="003D1E95" w:rsidRPr="00C726EC">
        <w:rPr>
          <w:rFonts w:cs="Tahoma"/>
          <w:color w:val="000000"/>
          <w:szCs w:val="24"/>
        </w:rPr>
        <w:t xml:space="preserve"> </w:t>
      </w:r>
      <w:r w:rsidRPr="00C726EC">
        <w:rPr>
          <w:rFonts w:cs="Tahoma"/>
          <w:color w:val="000000"/>
          <w:szCs w:val="24"/>
        </w:rPr>
        <w:t>apelación de autos o sentencias, la Sala de Decisión Laboral Presidida por la Dra.</w:t>
      </w:r>
      <w:r w:rsidR="003D1E95" w:rsidRPr="00C726EC">
        <w:rPr>
          <w:rFonts w:cs="Tahoma"/>
          <w:color w:val="000000"/>
          <w:szCs w:val="24"/>
        </w:rPr>
        <w:t xml:space="preserve"> </w:t>
      </w:r>
      <w:r w:rsidRPr="00C726EC">
        <w:rPr>
          <w:rFonts w:cs="Tahoma"/>
          <w:color w:val="000000"/>
          <w:szCs w:val="24"/>
        </w:rPr>
        <w:t>Ana Lucía Caicedo Calderón del Tribunal Superior de Pereira, integrada por las</w:t>
      </w:r>
      <w:r w:rsidR="003D1E95" w:rsidRPr="00C726EC">
        <w:rPr>
          <w:rFonts w:cs="Tahoma"/>
          <w:color w:val="000000"/>
          <w:szCs w:val="24"/>
        </w:rPr>
        <w:t xml:space="preserve"> </w:t>
      </w:r>
      <w:r w:rsidRPr="00C726EC">
        <w:rPr>
          <w:rFonts w:cs="Tahoma"/>
          <w:color w:val="000000"/>
          <w:szCs w:val="24"/>
        </w:rPr>
        <w:t>Magistradas ANA LUCÍA CAICEDO CALDERÓN como Ponente, OLGA LUCÍA HOYOS</w:t>
      </w:r>
      <w:r w:rsidR="003D1E95" w:rsidRPr="00C726EC">
        <w:rPr>
          <w:rFonts w:cs="Tahoma"/>
          <w:color w:val="000000"/>
          <w:szCs w:val="24"/>
        </w:rPr>
        <w:t xml:space="preserve"> </w:t>
      </w:r>
      <w:r w:rsidRPr="00C726EC">
        <w:rPr>
          <w:rFonts w:cs="Tahoma"/>
          <w:color w:val="000000"/>
          <w:szCs w:val="24"/>
        </w:rPr>
        <w:t xml:space="preserve">SEPÚLVEDA y el </w:t>
      </w:r>
      <w:r w:rsidRPr="00C726EC">
        <w:rPr>
          <w:rFonts w:cs="Tahoma"/>
          <w:color w:val="000000"/>
          <w:szCs w:val="24"/>
        </w:rPr>
        <w:lastRenderedPageBreak/>
        <w:t>Magistrado GERMÁN DARIO GOEZ VINASCO, procede a proferir la</w:t>
      </w:r>
      <w:r w:rsidR="003D1E95" w:rsidRPr="00C726EC">
        <w:rPr>
          <w:rFonts w:cs="Tahoma"/>
          <w:color w:val="000000"/>
          <w:szCs w:val="24"/>
        </w:rPr>
        <w:t xml:space="preserve"> </w:t>
      </w:r>
      <w:r w:rsidRPr="00C726EC">
        <w:rPr>
          <w:rFonts w:cs="Tahoma"/>
          <w:color w:val="000000"/>
          <w:szCs w:val="24"/>
        </w:rPr>
        <w:t>siguiente sentencia escrita dentro del proceso ordinario laboral instaurado por</w:t>
      </w:r>
      <w:r w:rsidRPr="00C726EC">
        <w:rPr>
          <w:rFonts w:cs="Tahoma"/>
          <w:szCs w:val="24"/>
        </w:rPr>
        <w:t xml:space="preserve"> </w:t>
      </w:r>
      <w:bookmarkStart w:id="2" w:name="_Hlk79348494"/>
      <w:bookmarkStart w:id="3" w:name="_Hlk79325113"/>
      <w:r w:rsidR="0070568F" w:rsidRPr="00C726EC">
        <w:rPr>
          <w:rFonts w:cs="Tahoma"/>
          <w:b/>
          <w:bCs/>
          <w:szCs w:val="24"/>
        </w:rPr>
        <w:t>Jairo Agustín Téllez Jiménez</w:t>
      </w:r>
      <w:bookmarkEnd w:id="2"/>
      <w:r w:rsidR="0070568F" w:rsidRPr="00C726EC">
        <w:rPr>
          <w:rFonts w:cs="Tahoma"/>
          <w:b/>
          <w:bCs/>
          <w:szCs w:val="24"/>
        </w:rPr>
        <w:t xml:space="preserve"> </w:t>
      </w:r>
      <w:bookmarkEnd w:id="3"/>
      <w:r w:rsidR="0070568F" w:rsidRPr="00C726EC">
        <w:rPr>
          <w:rFonts w:cs="Tahoma"/>
          <w:szCs w:val="24"/>
        </w:rPr>
        <w:t xml:space="preserve">en contra de la </w:t>
      </w:r>
      <w:r w:rsidR="0070568F" w:rsidRPr="00C726EC">
        <w:rPr>
          <w:rFonts w:cs="Tahoma"/>
          <w:b/>
          <w:szCs w:val="24"/>
        </w:rPr>
        <w:t>Administradora Colombiana de Pensiones – Colpensiones</w:t>
      </w:r>
      <w:r w:rsidR="0070568F" w:rsidRPr="00C726EC">
        <w:rPr>
          <w:rFonts w:cs="Tahoma"/>
          <w:bCs/>
          <w:szCs w:val="24"/>
        </w:rPr>
        <w:t>,</w:t>
      </w:r>
      <w:r w:rsidR="0070568F" w:rsidRPr="00C726EC">
        <w:rPr>
          <w:rFonts w:cs="Tahoma"/>
          <w:szCs w:val="24"/>
        </w:rPr>
        <w:t xml:space="preserve"> y las </w:t>
      </w:r>
      <w:r w:rsidR="0070568F" w:rsidRPr="00C726EC">
        <w:rPr>
          <w:rFonts w:cs="Tahoma"/>
          <w:b/>
          <w:szCs w:val="24"/>
        </w:rPr>
        <w:t>Administradora</w:t>
      </w:r>
      <w:r w:rsidR="00240902" w:rsidRPr="00C726EC">
        <w:rPr>
          <w:rFonts w:cs="Tahoma"/>
          <w:b/>
          <w:szCs w:val="24"/>
        </w:rPr>
        <w:t>s</w:t>
      </w:r>
      <w:r w:rsidR="0070568F" w:rsidRPr="00C726EC">
        <w:rPr>
          <w:rFonts w:cs="Tahoma"/>
          <w:b/>
          <w:szCs w:val="24"/>
        </w:rPr>
        <w:t xml:space="preserve"> de Fondos de Pensiones </w:t>
      </w:r>
      <w:r w:rsidR="0070568F" w:rsidRPr="00C726EC">
        <w:rPr>
          <w:rFonts w:cs="Tahoma"/>
          <w:b/>
          <w:bCs/>
          <w:szCs w:val="24"/>
        </w:rPr>
        <w:t>Porvenir</w:t>
      </w:r>
      <w:r w:rsidR="0070568F" w:rsidRPr="00C726EC">
        <w:rPr>
          <w:rFonts w:cs="Tahoma"/>
          <w:szCs w:val="24"/>
        </w:rPr>
        <w:t xml:space="preserve"> </w:t>
      </w:r>
      <w:r w:rsidR="0070568F" w:rsidRPr="00C726EC">
        <w:rPr>
          <w:rFonts w:cs="Tahoma"/>
          <w:b/>
          <w:szCs w:val="24"/>
        </w:rPr>
        <w:t>S.A., Protección S.A y Colfondos S.A.</w:t>
      </w:r>
    </w:p>
    <w:p w14:paraId="01A47AA2" w14:textId="77777777" w:rsidR="004844C2" w:rsidRPr="00C726EC" w:rsidRDefault="004844C2" w:rsidP="00C726EC">
      <w:pPr>
        <w:spacing w:line="276" w:lineRule="auto"/>
        <w:rPr>
          <w:rFonts w:cs="Tahoma"/>
          <w:szCs w:val="24"/>
        </w:rPr>
      </w:pPr>
    </w:p>
    <w:p w14:paraId="74E244FD" w14:textId="76777837" w:rsidR="00790DA9" w:rsidRPr="00C726EC" w:rsidRDefault="00790DA9" w:rsidP="00C726EC">
      <w:pPr>
        <w:pStyle w:val="paragraph"/>
        <w:spacing w:before="0" w:beforeAutospacing="0" w:after="0" w:afterAutospacing="0" w:line="276" w:lineRule="auto"/>
        <w:jc w:val="center"/>
        <w:textAlignment w:val="baseline"/>
        <w:rPr>
          <w:rStyle w:val="normaltextrun"/>
          <w:rFonts w:ascii="Tahoma" w:hAnsi="Tahoma" w:cs="Tahoma"/>
          <w:b/>
          <w:bCs/>
        </w:rPr>
      </w:pPr>
      <w:r w:rsidRPr="00C726EC">
        <w:rPr>
          <w:rStyle w:val="normaltextrun"/>
          <w:rFonts w:ascii="Tahoma" w:hAnsi="Tahoma" w:cs="Tahoma"/>
          <w:b/>
          <w:bCs/>
        </w:rPr>
        <w:t>PUNTO A TRATAR</w:t>
      </w:r>
    </w:p>
    <w:p w14:paraId="604BDCDA" w14:textId="77777777" w:rsidR="00EF5C33" w:rsidRPr="00C726EC" w:rsidRDefault="00EF5C33" w:rsidP="00C726EC">
      <w:pPr>
        <w:pStyle w:val="paragraph"/>
        <w:spacing w:before="0" w:beforeAutospacing="0" w:after="0" w:afterAutospacing="0" w:line="276" w:lineRule="auto"/>
        <w:jc w:val="center"/>
        <w:textAlignment w:val="baseline"/>
        <w:rPr>
          <w:rFonts w:ascii="Tahoma" w:hAnsi="Tahoma" w:cs="Tahoma"/>
        </w:rPr>
      </w:pPr>
    </w:p>
    <w:p w14:paraId="277DA54F" w14:textId="3971C9F5" w:rsidR="00790DA9" w:rsidRPr="00C726EC" w:rsidRDefault="00790DA9" w:rsidP="00C726EC">
      <w:pPr>
        <w:spacing w:line="276" w:lineRule="auto"/>
        <w:ind w:firstLine="708"/>
        <w:rPr>
          <w:rFonts w:cs="Tahoma"/>
          <w:szCs w:val="24"/>
        </w:rPr>
      </w:pPr>
      <w:r w:rsidRPr="00C726EC">
        <w:rPr>
          <w:rStyle w:val="normaltextrun"/>
          <w:rFonts w:cs="Tahoma"/>
          <w:szCs w:val="24"/>
        </w:rPr>
        <w:t>Por medio de esta providencia procede la Sala a</w:t>
      </w:r>
      <w:r w:rsidRPr="00C726EC">
        <w:rPr>
          <w:rFonts w:cs="Tahoma"/>
          <w:szCs w:val="24"/>
        </w:rPr>
        <w:t xml:space="preserve"> resolver</w:t>
      </w:r>
      <w:r w:rsidR="00E376E1" w:rsidRPr="00C726EC">
        <w:rPr>
          <w:rFonts w:cs="Tahoma"/>
          <w:szCs w:val="24"/>
        </w:rPr>
        <w:t xml:space="preserve"> </w:t>
      </w:r>
      <w:r w:rsidR="001F37EE" w:rsidRPr="00C726EC">
        <w:rPr>
          <w:rFonts w:cs="Tahoma"/>
          <w:szCs w:val="24"/>
        </w:rPr>
        <w:t>e</w:t>
      </w:r>
      <w:r w:rsidRPr="00C726EC">
        <w:rPr>
          <w:rFonts w:cs="Tahoma"/>
          <w:szCs w:val="24"/>
        </w:rPr>
        <w:t>l</w:t>
      </w:r>
      <w:r w:rsidR="001F37EE" w:rsidRPr="00C726EC">
        <w:rPr>
          <w:rFonts w:cs="Tahoma"/>
          <w:szCs w:val="24"/>
        </w:rPr>
        <w:t xml:space="preserve"> </w:t>
      </w:r>
      <w:r w:rsidRPr="00C726EC">
        <w:rPr>
          <w:rFonts w:cs="Tahoma"/>
          <w:szCs w:val="24"/>
        </w:rPr>
        <w:t xml:space="preserve">recurso de apelación interpuesto por </w:t>
      </w:r>
      <w:r w:rsidR="00E376E1" w:rsidRPr="00C726EC">
        <w:rPr>
          <w:rFonts w:cs="Tahoma"/>
          <w:szCs w:val="24"/>
        </w:rPr>
        <w:t xml:space="preserve">Colfondos y Porvenir S.A. </w:t>
      </w:r>
      <w:r w:rsidRPr="00C726EC">
        <w:rPr>
          <w:rFonts w:cs="Tahoma"/>
          <w:szCs w:val="24"/>
        </w:rPr>
        <w:t xml:space="preserve">en contra de la sentencia proferida el </w:t>
      </w:r>
      <w:r w:rsidR="0070568F" w:rsidRPr="00C726EC">
        <w:rPr>
          <w:rFonts w:cs="Tahoma"/>
          <w:b/>
          <w:bCs/>
          <w:szCs w:val="24"/>
        </w:rPr>
        <w:t>26</w:t>
      </w:r>
      <w:r w:rsidRPr="00C726EC">
        <w:rPr>
          <w:rFonts w:cs="Tahoma"/>
          <w:b/>
          <w:bCs/>
          <w:szCs w:val="24"/>
        </w:rPr>
        <w:t xml:space="preserve"> de </w:t>
      </w:r>
      <w:r w:rsidR="0070568F" w:rsidRPr="00C726EC">
        <w:rPr>
          <w:rFonts w:cs="Tahoma"/>
          <w:b/>
          <w:bCs/>
          <w:szCs w:val="24"/>
        </w:rPr>
        <w:t>marzo</w:t>
      </w:r>
      <w:r w:rsidRPr="00C726EC">
        <w:rPr>
          <w:rFonts w:cs="Tahoma"/>
          <w:b/>
          <w:bCs/>
          <w:szCs w:val="24"/>
        </w:rPr>
        <w:t xml:space="preserve"> de 202</w:t>
      </w:r>
      <w:r w:rsidR="00463B87" w:rsidRPr="00C726EC">
        <w:rPr>
          <w:rFonts w:cs="Tahoma"/>
          <w:b/>
          <w:bCs/>
          <w:szCs w:val="24"/>
        </w:rPr>
        <w:t>1</w:t>
      </w:r>
      <w:r w:rsidRPr="00C726EC">
        <w:rPr>
          <w:rFonts w:cs="Tahoma"/>
          <w:szCs w:val="24"/>
        </w:rPr>
        <w:t xml:space="preserve">, por el Juzgado </w:t>
      </w:r>
      <w:r w:rsidR="0070568F" w:rsidRPr="00C726EC">
        <w:rPr>
          <w:rFonts w:cs="Tahoma"/>
          <w:szCs w:val="24"/>
        </w:rPr>
        <w:t xml:space="preserve">Segundo </w:t>
      </w:r>
      <w:r w:rsidRPr="00C726EC">
        <w:rPr>
          <w:rFonts w:cs="Tahoma"/>
          <w:szCs w:val="24"/>
        </w:rPr>
        <w:t>Laboral del Circuito de Pereira</w:t>
      </w:r>
      <w:r w:rsidR="00A47546" w:rsidRPr="00C726EC">
        <w:rPr>
          <w:rStyle w:val="normaltextrun"/>
          <w:rFonts w:cs="Tahoma"/>
          <w:szCs w:val="24"/>
        </w:rPr>
        <w:t>; asimismo, se revisará la decisión de instancia en virtud del</w:t>
      </w:r>
      <w:r w:rsidR="00A47546" w:rsidRPr="00C726EC">
        <w:rPr>
          <w:rFonts w:cs="Tahoma"/>
          <w:szCs w:val="24"/>
        </w:rPr>
        <w:t xml:space="preserve"> grado jurisdiccional de consulta respecto de Colpensiones. </w:t>
      </w:r>
      <w:r w:rsidRPr="00C726EC">
        <w:rPr>
          <w:rStyle w:val="normaltextrun"/>
          <w:rFonts w:cs="Tahoma"/>
          <w:szCs w:val="24"/>
        </w:rPr>
        <w:t>Para ello se tiene en cuenta lo siguiente: </w:t>
      </w:r>
    </w:p>
    <w:p w14:paraId="1A3B83DF" w14:textId="77777777" w:rsidR="00790DA9" w:rsidRPr="00C726EC" w:rsidRDefault="00790DA9" w:rsidP="00C726EC">
      <w:pPr>
        <w:spacing w:line="276" w:lineRule="auto"/>
        <w:ind w:firstLine="708"/>
        <w:rPr>
          <w:rFonts w:cs="Tahoma"/>
          <w:b/>
          <w:szCs w:val="24"/>
        </w:rPr>
      </w:pPr>
    </w:p>
    <w:p w14:paraId="783EB004" w14:textId="77777777" w:rsidR="00790DA9" w:rsidRPr="00C726EC" w:rsidRDefault="00790DA9" w:rsidP="00C726EC">
      <w:pPr>
        <w:pStyle w:val="Prrafodelista"/>
        <w:numPr>
          <w:ilvl w:val="0"/>
          <w:numId w:val="1"/>
        </w:numPr>
        <w:spacing w:line="276" w:lineRule="auto"/>
        <w:ind w:left="426" w:hanging="426"/>
        <w:jc w:val="center"/>
        <w:rPr>
          <w:rFonts w:cs="Tahoma"/>
          <w:b/>
          <w:bCs/>
          <w:szCs w:val="24"/>
        </w:rPr>
      </w:pPr>
      <w:r w:rsidRPr="00C726EC">
        <w:rPr>
          <w:rFonts w:cs="Tahoma"/>
          <w:b/>
          <w:bCs/>
          <w:szCs w:val="24"/>
        </w:rPr>
        <w:t>Demanda y su contestación</w:t>
      </w:r>
    </w:p>
    <w:p w14:paraId="17F37787" w14:textId="77777777" w:rsidR="00790DA9" w:rsidRPr="00C726EC" w:rsidRDefault="00790DA9" w:rsidP="00C726EC">
      <w:pPr>
        <w:spacing w:line="276" w:lineRule="auto"/>
        <w:ind w:firstLine="708"/>
        <w:rPr>
          <w:rStyle w:val="normaltextrun"/>
          <w:rFonts w:cs="Tahoma"/>
          <w:szCs w:val="24"/>
        </w:rPr>
      </w:pPr>
    </w:p>
    <w:p w14:paraId="2339597B" w14:textId="0BBD45CD" w:rsidR="0070568F" w:rsidRPr="00C726EC" w:rsidRDefault="0070568F" w:rsidP="00C726EC">
      <w:pPr>
        <w:spacing w:line="276" w:lineRule="auto"/>
        <w:ind w:firstLine="708"/>
        <w:rPr>
          <w:rFonts w:cs="Tahoma"/>
          <w:color w:val="FF0000"/>
          <w:szCs w:val="24"/>
        </w:rPr>
      </w:pPr>
      <w:r w:rsidRPr="00C726EC">
        <w:rPr>
          <w:rFonts w:cs="Tahoma"/>
          <w:szCs w:val="24"/>
        </w:rPr>
        <w:t>Solicita el demandante que se declare la nulidad y/o ineficacia del traslado efectuado el 12 de diciembre de 1997, por medio del cual migró del régimen de prima media con prestación definida al régimen de ahorro individual con solidaridad</w:t>
      </w:r>
      <w:r w:rsidR="004E0AAD" w:rsidRPr="00C726EC">
        <w:rPr>
          <w:rFonts w:cs="Tahoma"/>
          <w:szCs w:val="24"/>
        </w:rPr>
        <w:t>, a través de la AFP Horizonte S.A., hoy Porvenir S.A.</w:t>
      </w:r>
      <w:r w:rsidRPr="00C726EC">
        <w:rPr>
          <w:rFonts w:cs="Tahoma"/>
          <w:szCs w:val="24"/>
        </w:rPr>
        <w:t xml:space="preserve"> En consecuencia, procura que se condene a Protección S.A. </w:t>
      </w:r>
      <w:r w:rsidR="004E0AAD" w:rsidRPr="00C726EC">
        <w:rPr>
          <w:rFonts w:cs="Tahoma"/>
          <w:szCs w:val="24"/>
        </w:rPr>
        <w:t xml:space="preserve">que </w:t>
      </w:r>
      <w:r w:rsidRPr="00C726EC">
        <w:rPr>
          <w:rFonts w:cs="Tahoma"/>
          <w:szCs w:val="24"/>
        </w:rPr>
        <w:t>remit</w:t>
      </w:r>
      <w:r w:rsidR="004E0AAD" w:rsidRPr="00C726EC">
        <w:rPr>
          <w:rFonts w:cs="Tahoma"/>
          <w:szCs w:val="24"/>
        </w:rPr>
        <w:t>a</w:t>
      </w:r>
      <w:r w:rsidRPr="00C726EC">
        <w:rPr>
          <w:rFonts w:cs="Tahoma"/>
          <w:szCs w:val="24"/>
        </w:rPr>
        <w:t xml:space="preserve"> a Colpensiones la totalidad de los aportes que efectuó en el RAIS.</w:t>
      </w:r>
    </w:p>
    <w:p w14:paraId="6A2A7655" w14:textId="77777777" w:rsidR="0070568F" w:rsidRPr="00C726EC" w:rsidRDefault="0070568F" w:rsidP="00C726EC">
      <w:pPr>
        <w:spacing w:line="276" w:lineRule="auto"/>
        <w:rPr>
          <w:rFonts w:cs="Tahoma"/>
          <w:szCs w:val="24"/>
        </w:rPr>
      </w:pPr>
    </w:p>
    <w:p w14:paraId="7A0A92FC" w14:textId="77777777" w:rsidR="0070568F" w:rsidRPr="00C726EC" w:rsidRDefault="0070568F" w:rsidP="00C726EC">
      <w:pPr>
        <w:spacing w:line="276" w:lineRule="auto"/>
        <w:ind w:firstLine="708"/>
        <w:rPr>
          <w:rFonts w:cs="Tahoma"/>
          <w:szCs w:val="24"/>
        </w:rPr>
      </w:pPr>
      <w:r w:rsidRPr="00C726EC">
        <w:rPr>
          <w:rFonts w:cs="Tahoma"/>
          <w:szCs w:val="24"/>
        </w:rPr>
        <w:t>Asimismo, pretende que se ordene a Colpensiones que, una vez reciba de Protección S.A. lo enunciado en precedencia, acepte su traslado pensional. Por último, procura que se condene a las costas procesales correspondientes.</w:t>
      </w:r>
    </w:p>
    <w:p w14:paraId="02B5D446" w14:textId="77777777" w:rsidR="0070568F" w:rsidRPr="00C726EC" w:rsidRDefault="0070568F" w:rsidP="00C726EC">
      <w:pPr>
        <w:spacing w:line="276" w:lineRule="auto"/>
        <w:rPr>
          <w:rFonts w:cs="Tahoma"/>
          <w:szCs w:val="24"/>
        </w:rPr>
      </w:pPr>
    </w:p>
    <w:p w14:paraId="149D2553" w14:textId="77777777" w:rsidR="0070568F" w:rsidRPr="00C726EC" w:rsidRDefault="0070568F" w:rsidP="00C726EC">
      <w:pPr>
        <w:spacing w:line="276" w:lineRule="auto"/>
        <w:ind w:firstLine="708"/>
        <w:rPr>
          <w:rFonts w:cs="Tahoma"/>
          <w:szCs w:val="24"/>
        </w:rPr>
      </w:pPr>
      <w:r w:rsidRPr="00C726EC">
        <w:rPr>
          <w:rFonts w:cs="Tahoma"/>
          <w:szCs w:val="24"/>
        </w:rPr>
        <w:t>Para fundar dichas pretensiones manifiesta que el 5 de abril de 1978 se vinculó al régimen de prima media con prestación definida y que el 12 de diciembre de 1997 suscribió formulario de vinculación pensional con la AFP Horizonte Pensiones y Cesantías S.A, hoy Porvenir S.A, a través del cual se trasladó al régimen de ahorro individual.</w:t>
      </w:r>
    </w:p>
    <w:p w14:paraId="6BAD94DA" w14:textId="77777777" w:rsidR="0070568F" w:rsidRPr="00C726EC" w:rsidRDefault="0070568F" w:rsidP="00C726EC">
      <w:pPr>
        <w:spacing w:line="276" w:lineRule="auto"/>
        <w:rPr>
          <w:rFonts w:cs="Tahoma"/>
          <w:szCs w:val="24"/>
        </w:rPr>
      </w:pPr>
    </w:p>
    <w:p w14:paraId="7D346CC6" w14:textId="31233983" w:rsidR="0070568F" w:rsidRPr="00C726EC" w:rsidRDefault="0070568F" w:rsidP="00C726EC">
      <w:pPr>
        <w:spacing w:line="276" w:lineRule="auto"/>
        <w:ind w:firstLine="708"/>
        <w:rPr>
          <w:rFonts w:eastAsia="Calibri" w:cs="Tahoma"/>
          <w:szCs w:val="24"/>
        </w:rPr>
      </w:pPr>
      <w:r w:rsidRPr="00C726EC">
        <w:rPr>
          <w:rFonts w:cs="Tahoma"/>
          <w:szCs w:val="24"/>
        </w:rPr>
        <w:t>A</w:t>
      </w:r>
      <w:r w:rsidR="004E0AAD" w:rsidRPr="00C726EC">
        <w:rPr>
          <w:rFonts w:cs="Tahoma"/>
          <w:szCs w:val="24"/>
        </w:rPr>
        <w:t xml:space="preserve">firma </w:t>
      </w:r>
      <w:r w:rsidRPr="00C726EC">
        <w:rPr>
          <w:rFonts w:eastAsia="Calibri" w:cs="Tahoma"/>
          <w:szCs w:val="24"/>
        </w:rPr>
        <w:t xml:space="preserve">que el asesor de Horizonte que gestionó su traslado no le brindó la asesoría legal que requería para esa determinación, ni le dio información plena, cierta, seria y oportuna que le permitiera tomar la decisión jurídica bajo un conocimiento completo, informado y consciente de las consecuencias que generaría esa decisión, pues no le ofreció las proyecciones de expectativa pensional en los dos regímenes, teniendo como apoyo el mismo salario en ambos cálculos; ni tampoco le precisó el valor de la pensión si permaneciese en el </w:t>
      </w:r>
      <w:r w:rsidR="00D042C5" w:rsidRPr="00C726EC">
        <w:rPr>
          <w:rFonts w:eastAsia="Calibri" w:cs="Tahoma"/>
          <w:szCs w:val="24"/>
        </w:rPr>
        <w:t xml:space="preserve">régimen </w:t>
      </w:r>
      <w:r w:rsidRPr="00C726EC">
        <w:rPr>
          <w:rFonts w:eastAsia="Calibri" w:cs="Tahoma"/>
          <w:szCs w:val="24"/>
        </w:rPr>
        <w:t>de prima media con prestación definida, para que fuera cotejada con el monto que se causaría en el régimen de ahorro individual.</w:t>
      </w:r>
    </w:p>
    <w:p w14:paraId="5F3DD240" w14:textId="77777777" w:rsidR="0070568F" w:rsidRPr="00C726EC" w:rsidRDefault="0070568F" w:rsidP="00C726EC">
      <w:pPr>
        <w:spacing w:line="276" w:lineRule="auto"/>
        <w:ind w:firstLine="708"/>
        <w:rPr>
          <w:rFonts w:eastAsia="Calibri" w:cs="Tahoma"/>
          <w:szCs w:val="24"/>
        </w:rPr>
      </w:pPr>
    </w:p>
    <w:p w14:paraId="61B7D7DC" w14:textId="61B8625C" w:rsidR="0070568F" w:rsidRPr="00C726EC" w:rsidRDefault="0070568F" w:rsidP="00C726EC">
      <w:pPr>
        <w:spacing w:line="276" w:lineRule="auto"/>
        <w:ind w:firstLine="708"/>
        <w:rPr>
          <w:rFonts w:eastAsia="Calibri" w:cs="Tahoma"/>
          <w:szCs w:val="24"/>
        </w:rPr>
      </w:pPr>
      <w:r w:rsidRPr="00C726EC">
        <w:rPr>
          <w:rFonts w:eastAsia="Calibri" w:cs="Tahoma"/>
          <w:szCs w:val="24"/>
        </w:rPr>
        <w:t>Agrega que lo anterior l</w:t>
      </w:r>
      <w:r w:rsidR="00D042C5" w:rsidRPr="00C726EC">
        <w:rPr>
          <w:rFonts w:eastAsia="Calibri" w:cs="Tahoma"/>
          <w:szCs w:val="24"/>
        </w:rPr>
        <w:t>o</w:t>
      </w:r>
      <w:r w:rsidRPr="00C726EC">
        <w:rPr>
          <w:rFonts w:eastAsia="Calibri" w:cs="Tahoma"/>
          <w:szCs w:val="24"/>
        </w:rPr>
        <w:t xml:space="preserve"> llevó a un error de deducción que implicó que se trasladara de régimen pensional, circunstancia que a su vez deriva en una pensión de vejez con un monto pensional inferior a la que se causaría si hubiera permanecido en el de prima media con prestación definida. </w:t>
      </w:r>
    </w:p>
    <w:p w14:paraId="64E1015D" w14:textId="77777777" w:rsidR="0070568F" w:rsidRPr="00C726EC" w:rsidRDefault="0070568F" w:rsidP="00C726EC">
      <w:pPr>
        <w:spacing w:line="276" w:lineRule="auto"/>
        <w:ind w:firstLine="708"/>
        <w:rPr>
          <w:rFonts w:eastAsia="Calibri" w:cs="Tahoma"/>
          <w:szCs w:val="24"/>
        </w:rPr>
      </w:pPr>
    </w:p>
    <w:p w14:paraId="26FE42F3" w14:textId="51379123" w:rsidR="0070568F" w:rsidRPr="00C726EC" w:rsidRDefault="00D042C5" w:rsidP="00C726EC">
      <w:pPr>
        <w:spacing w:line="276" w:lineRule="auto"/>
        <w:ind w:firstLine="708"/>
        <w:rPr>
          <w:rFonts w:eastAsia="Calibri" w:cs="Tahoma"/>
          <w:szCs w:val="24"/>
        </w:rPr>
      </w:pPr>
      <w:r w:rsidRPr="00C726EC">
        <w:rPr>
          <w:rFonts w:eastAsia="Calibri" w:cs="Tahoma"/>
          <w:szCs w:val="24"/>
        </w:rPr>
        <w:t xml:space="preserve">Refiere </w:t>
      </w:r>
      <w:r w:rsidR="0070568F" w:rsidRPr="00C726EC">
        <w:rPr>
          <w:rFonts w:eastAsia="Calibri" w:cs="Tahoma"/>
          <w:szCs w:val="24"/>
        </w:rPr>
        <w:t>que el 15 de octubre de 1998 se trasladó de Horizonte S.A, hoy Porvenir S.A.</w:t>
      </w:r>
      <w:r w:rsidRPr="00C726EC">
        <w:rPr>
          <w:rFonts w:eastAsia="Calibri" w:cs="Tahoma"/>
          <w:szCs w:val="24"/>
        </w:rPr>
        <w:t>,</w:t>
      </w:r>
      <w:r w:rsidR="0070568F" w:rsidRPr="00C726EC">
        <w:rPr>
          <w:rFonts w:eastAsia="Calibri" w:cs="Tahoma"/>
          <w:szCs w:val="24"/>
        </w:rPr>
        <w:t xml:space="preserve"> a la AFP Protección S.A.</w:t>
      </w:r>
      <w:r w:rsidRPr="00C726EC">
        <w:rPr>
          <w:rFonts w:eastAsia="Calibri" w:cs="Tahoma"/>
          <w:szCs w:val="24"/>
        </w:rPr>
        <w:t>;</w:t>
      </w:r>
      <w:r w:rsidR="0070568F" w:rsidRPr="00C726EC">
        <w:rPr>
          <w:rFonts w:eastAsia="Calibri" w:cs="Tahoma"/>
          <w:szCs w:val="24"/>
        </w:rPr>
        <w:t xml:space="preserve"> </w:t>
      </w:r>
      <w:r w:rsidRPr="00C726EC">
        <w:rPr>
          <w:rFonts w:eastAsia="Calibri" w:cs="Tahoma"/>
          <w:szCs w:val="24"/>
        </w:rPr>
        <w:t>p</w:t>
      </w:r>
      <w:r w:rsidR="0070568F" w:rsidRPr="00C726EC">
        <w:rPr>
          <w:rFonts w:eastAsia="Calibri" w:cs="Tahoma"/>
          <w:szCs w:val="24"/>
        </w:rPr>
        <w:t>osteriormente de Protección S.A a Colfondos S.A</w:t>
      </w:r>
      <w:r w:rsidRPr="00C726EC">
        <w:rPr>
          <w:rFonts w:eastAsia="Calibri" w:cs="Tahoma"/>
          <w:szCs w:val="24"/>
        </w:rPr>
        <w:t>.</w:t>
      </w:r>
      <w:r w:rsidR="0070568F" w:rsidRPr="00C726EC">
        <w:rPr>
          <w:rFonts w:eastAsia="Calibri" w:cs="Tahoma"/>
          <w:szCs w:val="24"/>
        </w:rPr>
        <w:t xml:space="preserve"> y</w:t>
      </w:r>
      <w:r w:rsidRPr="00C726EC">
        <w:rPr>
          <w:rFonts w:eastAsia="Calibri" w:cs="Tahoma"/>
          <w:szCs w:val="24"/>
        </w:rPr>
        <w:t>,</w:t>
      </w:r>
      <w:r w:rsidR="0070568F" w:rsidRPr="00C726EC">
        <w:rPr>
          <w:rFonts w:eastAsia="Calibri" w:cs="Tahoma"/>
          <w:szCs w:val="24"/>
        </w:rPr>
        <w:t xml:space="preserve"> finalmente, el 15 de julio de 2017</w:t>
      </w:r>
      <w:r w:rsidR="00B25B82" w:rsidRPr="00C726EC">
        <w:rPr>
          <w:rFonts w:eastAsia="Calibri" w:cs="Tahoma"/>
          <w:szCs w:val="24"/>
        </w:rPr>
        <w:t>,</w:t>
      </w:r>
      <w:r w:rsidR="0070568F" w:rsidRPr="00C726EC">
        <w:rPr>
          <w:rFonts w:eastAsia="Calibri" w:cs="Tahoma"/>
          <w:szCs w:val="24"/>
        </w:rPr>
        <w:t xml:space="preserve"> de Colfondos S.A a Protección S.A.</w:t>
      </w:r>
    </w:p>
    <w:p w14:paraId="035B28EA" w14:textId="77777777" w:rsidR="0070568F" w:rsidRPr="00C726EC" w:rsidRDefault="0070568F" w:rsidP="00C726EC">
      <w:pPr>
        <w:spacing w:line="276" w:lineRule="auto"/>
        <w:rPr>
          <w:rFonts w:cs="Tahoma"/>
          <w:szCs w:val="24"/>
        </w:rPr>
      </w:pPr>
    </w:p>
    <w:p w14:paraId="5B3D5B2B" w14:textId="3483A105" w:rsidR="0070568F" w:rsidRPr="00C726EC" w:rsidRDefault="00E464CA" w:rsidP="00C726EC">
      <w:pPr>
        <w:spacing w:line="276" w:lineRule="auto"/>
        <w:ind w:firstLine="708"/>
        <w:rPr>
          <w:rFonts w:cs="Tahoma"/>
          <w:szCs w:val="24"/>
        </w:rPr>
      </w:pPr>
      <w:r w:rsidRPr="00C726EC">
        <w:rPr>
          <w:rFonts w:cs="Tahoma"/>
          <w:szCs w:val="24"/>
        </w:rPr>
        <w:t>Por último, s</w:t>
      </w:r>
      <w:r w:rsidR="0070568F" w:rsidRPr="00C726EC">
        <w:rPr>
          <w:rFonts w:cs="Tahoma"/>
          <w:szCs w:val="24"/>
        </w:rPr>
        <w:t>ostiene que el 23 de julio de 2018 Colpensiones le negó la solicitud de traslado de régimen</w:t>
      </w:r>
      <w:r w:rsidR="0036534D" w:rsidRPr="00C726EC">
        <w:rPr>
          <w:rFonts w:cs="Tahoma"/>
          <w:szCs w:val="24"/>
        </w:rPr>
        <w:t>, bajo el argumento de q</w:t>
      </w:r>
      <w:r w:rsidR="0070568F" w:rsidRPr="00C726EC">
        <w:rPr>
          <w:rFonts w:cs="Tahoma"/>
          <w:szCs w:val="24"/>
        </w:rPr>
        <w:t>ue le faltaban menos de 10 años para pensionarse.</w:t>
      </w:r>
    </w:p>
    <w:p w14:paraId="5BDF695F" w14:textId="77777777" w:rsidR="0070568F" w:rsidRPr="00C726EC" w:rsidRDefault="0070568F" w:rsidP="00C726EC">
      <w:pPr>
        <w:spacing w:line="276" w:lineRule="auto"/>
        <w:rPr>
          <w:rFonts w:cs="Tahoma"/>
          <w:szCs w:val="24"/>
        </w:rPr>
      </w:pPr>
    </w:p>
    <w:p w14:paraId="24DA38CE" w14:textId="5C049805" w:rsidR="0070568F" w:rsidRPr="00C726EC" w:rsidRDefault="0070568F" w:rsidP="00C726EC">
      <w:pPr>
        <w:spacing w:line="276" w:lineRule="auto"/>
        <w:rPr>
          <w:rFonts w:cs="Tahoma"/>
          <w:szCs w:val="24"/>
        </w:rPr>
      </w:pPr>
      <w:r w:rsidRPr="00C726EC">
        <w:rPr>
          <w:rFonts w:cs="Tahoma"/>
          <w:szCs w:val="24"/>
        </w:rPr>
        <w:tab/>
      </w:r>
      <w:r w:rsidRPr="00C726EC">
        <w:rPr>
          <w:rFonts w:cs="Tahoma"/>
          <w:b/>
          <w:szCs w:val="24"/>
        </w:rPr>
        <w:t>Colpensiones</w:t>
      </w:r>
      <w:r w:rsidRPr="00C726EC">
        <w:rPr>
          <w:rFonts w:cs="Tahoma"/>
          <w:szCs w:val="24"/>
        </w:rPr>
        <w:t xml:space="preserve"> s</w:t>
      </w:r>
      <w:r w:rsidR="0036534D" w:rsidRPr="00C726EC">
        <w:rPr>
          <w:rFonts w:cs="Tahoma"/>
          <w:szCs w:val="24"/>
        </w:rPr>
        <w:t>e opuso a la pr</w:t>
      </w:r>
      <w:r w:rsidRPr="00C726EC">
        <w:rPr>
          <w:rFonts w:cs="Tahoma"/>
          <w:szCs w:val="24"/>
        </w:rPr>
        <w:t>o</w:t>
      </w:r>
      <w:r w:rsidR="0036534D" w:rsidRPr="00C726EC">
        <w:rPr>
          <w:rFonts w:cs="Tahoma"/>
          <w:szCs w:val="24"/>
        </w:rPr>
        <w:t xml:space="preserve">speridad de las pretensiones </w:t>
      </w:r>
      <w:r w:rsidRPr="00C726EC">
        <w:rPr>
          <w:rFonts w:cs="Tahoma"/>
          <w:szCs w:val="24"/>
        </w:rPr>
        <w:t>aduciendo que el demandante tom</w:t>
      </w:r>
      <w:r w:rsidR="0036534D" w:rsidRPr="00C726EC">
        <w:rPr>
          <w:rFonts w:cs="Tahoma"/>
          <w:szCs w:val="24"/>
        </w:rPr>
        <w:t>ó</w:t>
      </w:r>
      <w:r w:rsidRPr="00C726EC">
        <w:rPr>
          <w:rFonts w:cs="Tahoma"/>
          <w:szCs w:val="24"/>
        </w:rPr>
        <w:t xml:space="preserve"> la decisión de afiliarse al régimen de ahorro individual con solidaridad de manera libre y espontánea</w:t>
      </w:r>
      <w:r w:rsidR="0036534D" w:rsidRPr="00C726EC">
        <w:rPr>
          <w:rFonts w:cs="Tahoma"/>
          <w:szCs w:val="24"/>
        </w:rPr>
        <w:t>;</w:t>
      </w:r>
      <w:r w:rsidRPr="00C726EC">
        <w:rPr>
          <w:rFonts w:cs="Tahoma"/>
          <w:szCs w:val="24"/>
        </w:rPr>
        <w:t xml:space="preserve"> además, no hizo uso de la acción de nulidad dentro del término legal. En ese sentido, propuso como excepciones de mérito las que denominó </w:t>
      </w:r>
      <w:r w:rsidR="0036534D" w:rsidRPr="00C726EC">
        <w:rPr>
          <w:rFonts w:cs="Tahoma"/>
          <w:i/>
          <w:iCs/>
          <w:szCs w:val="24"/>
        </w:rPr>
        <w:t>“</w:t>
      </w:r>
      <w:r w:rsidRPr="00C726EC">
        <w:rPr>
          <w:rFonts w:cs="Tahoma"/>
          <w:i/>
          <w:iCs/>
          <w:szCs w:val="24"/>
        </w:rPr>
        <w:t xml:space="preserve">Validez de afiliación al RAIS”; “Saneamiento de una presunta nulidad”; “Prescripción” y “Imposibilidad jurídica para reconocer y pagar derechos por fuera del ordenamiento legal”; “Buena fe”; “Imposibilidad de condena en costas”.  </w:t>
      </w:r>
    </w:p>
    <w:p w14:paraId="62C201C3" w14:textId="77777777" w:rsidR="0070568F" w:rsidRPr="00C726EC" w:rsidRDefault="0070568F" w:rsidP="00C726EC">
      <w:pPr>
        <w:spacing w:line="276" w:lineRule="auto"/>
        <w:rPr>
          <w:rFonts w:cs="Tahoma"/>
          <w:i/>
          <w:iCs/>
          <w:szCs w:val="24"/>
        </w:rPr>
      </w:pPr>
    </w:p>
    <w:p w14:paraId="2B435EA1" w14:textId="11323328" w:rsidR="0070568F" w:rsidRPr="00C726EC" w:rsidRDefault="0070568F" w:rsidP="00C726EC">
      <w:pPr>
        <w:spacing w:line="276" w:lineRule="auto"/>
        <w:ind w:firstLine="426"/>
        <w:rPr>
          <w:rFonts w:cs="Tahoma"/>
          <w:szCs w:val="24"/>
        </w:rPr>
      </w:pPr>
      <w:r w:rsidRPr="00C726EC">
        <w:rPr>
          <w:rFonts w:cs="Tahoma"/>
          <w:szCs w:val="24"/>
        </w:rPr>
        <w:t>Por su parte,</w:t>
      </w:r>
      <w:r w:rsidRPr="00C726EC">
        <w:rPr>
          <w:rFonts w:cs="Tahoma"/>
          <w:b/>
          <w:bCs/>
          <w:szCs w:val="24"/>
        </w:rPr>
        <w:t xml:space="preserve"> Porvenir S.A.</w:t>
      </w:r>
      <w:r w:rsidRPr="00C726EC">
        <w:rPr>
          <w:rFonts w:cs="Tahoma"/>
          <w:szCs w:val="24"/>
        </w:rPr>
        <w:t xml:space="preserve"> solicitó que se negaran los pedidos del promotor de la litis, indicando que el acto que dio lugar a su trasladó de régimen se realizó conforme lo establece la ley, siendo su afiliación un acto jurídico válido</w:t>
      </w:r>
      <w:r w:rsidR="0036534D" w:rsidRPr="00C726EC">
        <w:rPr>
          <w:rFonts w:cs="Tahoma"/>
          <w:szCs w:val="24"/>
        </w:rPr>
        <w:t xml:space="preserve"> al haberse efectuado </w:t>
      </w:r>
      <w:r w:rsidRPr="00C726EC">
        <w:rPr>
          <w:rFonts w:cs="Tahoma"/>
          <w:szCs w:val="24"/>
        </w:rPr>
        <w:t xml:space="preserve">de manera libre, espontánea y sin presiones, en virtud de la asesoría que recibió respecto a todas las implicaciones de su decisión, tal como lo hizo constar al firmar el formulario. </w:t>
      </w:r>
      <w:r w:rsidR="0036534D" w:rsidRPr="00C726EC">
        <w:rPr>
          <w:rFonts w:cs="Tahoma"/>
          <w:szCs w:val="24"/>
        </w:rPr>
        <w:t xml:space="preserve">Añadió </w:t>
      </w:r>
      <w:r w:rsidRPr="00C726EC">
        <w:rPr>
          <w:rFonts w:cs="Tahoma"/>
          <w:szCs w:val="24"/>
        </w:rPr>
        <w:t>que los asesores comerciales de Porvenir reciben capacitaciones a fin de brindar una adecuada orientación y que, en el evento en que se llegare a demostrar un vicio en el consentimiento, la eventual nulidad relativa que hubiere podido configurarse se vio subsanada por el paso del tiempo.</w:t>
      </w:r>
    </w:p>
    <w:p w14:paraId="52921C81" w14:textId="77777777" w:rsidR="0070568F" w:rsidRPr="00C726EC" w:rsidRDefault="0070568F" w:rsidP="00C726EC">
      <w:pPr>
        <w:spacing w:line="276" w:lineRule="auto"/>
        <w:ind w:firstLine="426"/>
        <w:rPr>
          <w:rFonts w:cs="Tahoma"/>
          <w:szCs w:val="24"/>
        </w:rPr>
      </w:pPr>
    </w:p>
    <w:p w14:paraId="4A5C6EC8" w14:textId="6B90754B" w:rsidR="0070568F" w:rsidRPr="00C726EC" w:rsidRDefault="0070568F" w:rsidP="00C726EC">
      <w:pPr>
        <w:spacing w:line="276" w:lineRule="auto"/>
        <w:ind w:firstLine="426"/>
        <w:rPr>
          <w:rFonts w:cs="Tahoma"/>
          <w:i/>
          <w:iCs/>
          <w:szCs w:val="24"/>
        </w:rPr>
      </w:pPr>
      <w:r w:rsidRPr="00C726EC">
        <w:rPr>
          <w:rFonts w:cs="Tahoma"/>
          <w:szCs w:val="24"/>
        </w:rPr>
        <w:t xml:space="preserve">Alegó que el demandante no puede afiliarse al RPM </w:t>
      </w:r>
      <w:r w:rsidR="0036534D" w:rsidRPr="00C726EC">
        <w:rPr>
          <w:rFonts w:cs="Tahoma"/>
          <w:szCs w:val="24"/>
        </w:rPr>
        <w:t>por</w:t>
      </w:r>
      <w:r w:rsidRPr="00C726EC">
        <w:rPr>
          <w:rFonts w:cs="Tahoma"/>
          <w:szCs w:val="24"/>
        </w:rPr>
        <w:t xml:space="preserve"> la prohibición legal del literal e) del artículo 2 de la Ley 797 de 2003, y porque no es beneficiario del régimen de transición. En ese sentido, invocó como excepciones perentorias las de </w:t>
      </w:r>
      <w:r w:rsidRPr="00C726EC">
        <w:rPr>
          <w:rFonts w:cs="Tahoma"/>
          <w:i/>
          <w:iCs/>
          <w:szCs w:val="24"/>
        </w:rPr>
        <w:t xml:space="preserve">“Validez de la afiliación al RAIS e inexistencia de vicios en el consentimiento, “Saneamiento de la eventual nulidad relativa”, </w:t>
      </w:r>
      <w:r w:rsidR="00C6599D">
        <w:rPr>
          <w:rFonts w:cs="Tahoma"/>
          <w:i/>
          <w:iCs/>
          <w:szCs w:val="24"/>
        </w:rPr>
        <w:t>“</w:t>
      </w:r>
      <w:r w:rsidRPr="00C726EC">
        <w:rPr>
          <w:rFonts w:cs="Tahoma"/>
          <w:i/>
          <w:iCs/>
          <w:szCs w:val="24"/>
        </w:rPr>
        <w:t>Inexistencia de la obligación de trasladar la comisión de administración, en caso de que se declarase la nulidad o ineficacia de la afiliación al RAIS” , “Inexistencia de la obligación de trasladar el pago al seguro previsional cuando se declara la nulidad o ineficacia de la afiliación al RAIS”, “Compensación”, “Pago”, “Prescripción” y, “Buena fe”.</w:t>
      </w:r>
    </w:p>
    <w:p w14:paraId="5712DA67" w14:textId="77777777" w:rsidR="0070568F" w:rsidRPr="00C726EC" w:rsidRDefault="0070568F" w:rsidP="00C726EC">
      <w:pPr>
        <w:spacing w:line="276" w:lineRule="auto"/>
        <w:ind w:firstLine="426"/>
        <w:rPr>
          <w:rFonts w:cs="Tahoma"/>
          <w:i/>
          <w:iCs/>
          <w:szCs w:val="24"/>
        </w:rPr>
      </w:pPr>
    </w:p>
    <w:p w14:paraId="095182E7" w14:textId="1E1B7DE0" w:rsidR="0070568F" w:rsidRPr="00C726EC" w:rsidRDefault="0070568F" w:rsidP="00C726EC">
      <w:pPr>
        <w:spacing w:line="276" w:lineRule="auto"/>
        <w:ind w:firstLine="708"/>
        <w:rPr>
          <w:rFonts w:cs="Tahoma"/>
          <w:szCs w:val="24"/>
        </w:rPr>
      </w:pPr>
      <w:r w:rsidRPr="00C726EC">
        <w:rPr>
          <w:rFonts w:cs="Tahoma"/>
          <w:b/>
          <w:bCs/>
          <w:szCs w:val="24"/>
        </w:rPr>
        <w:t xml:space="preserve">Protección S.A. </w:t>
      </w:r>
      <w:r w:rsidRPr="00C726EC">
        <w:rPr>
          <w:rFonts w:cs="Tahoma"/>
          <w:szCs w:val="24"/>
        </w:rPr>
        <w:t xml:space="preserve"> señaló que el señor Téllez Jiménez no pudo ser víctima de la omisión en la información en el momento de su decisión de trasladarse de régimen, pues ésta se concretó en un acto de su propia voluntad, aunado a que no era beneficiario del régimen de transición, por lo que no pudo ser susceptible de engaño por no habérsele hecho incurrir en error al momento de su contratación</w:t>
      </w:r>
      <w:r w:rsidR="0048412C" w:rsidRPr="00C726EC">
        <w:rPr>
          <w:rFonts w:cs="Tahoma"/>
          <w:szCs w:val="24"/>
        </w:rPr>
        <w:t>,</w:t>
      </w:r>
      <w:r w:rsidRPr="00C726EC">
        <w:rPr>
          <w:rFonts w:cs="Tahoma"/>
          <w:szCs w:val="24"/>
        </w:rPr>
        <w:t xml:space="preserve"> en lo relativo de sus derechos prestacionales y condiciones del régimen que lo acogía.</w:t>
      </w:r>
    </w:p>
    <w:p w14:paraId="17179776" w14:textId="77777777" w:rsidR="0070568F" w:rsidRPr="00C726EC" w:rsidRDefault="0070568F" w:rsidP="00C726EC">
      <w:pPr>
        <w:spacing w:line="276" w:lineRule="auto"/>
        <w:ind w:firstLine="708"/>
        <w:rPr>
          <w:rFonts w:cs="Tahoma"/>
          <w:szCs w:val="24"/>
        </w:rPr>
      </w:pPr>
    </w:p>
    <w:p w14:paraId="7F1A3E8A" w14:textId="77777777" w:rsidR="0070568F" w:rsidRPr="00C726EC" w:rsidRDefault="0070568F" w:rsidP="00C726EC">
      <w:pPr>
        <w:spacing w:line="276" w:lineRule="auto"/>
        <w:ind w:firstLine="708"/>
        <w:rPr>
          <w:rFonts w:cs="Tahoma"/>
          <w:i/>
          <w:iCs/>
          <w:szCs w:val="24"/>
        </w:rPr>
      </w:pPr>
      <w:r w:rsidRPr="00C726EC">
        <w:rPr>
          <w:rFonts w:cs="Tahoma"/>
          <w:szCs w:val="24"/>
        </w:rPr>
        <w:t xml:space="preserve">En ese orden de ideas, solicitó que se negaran las pretensiones de la demanda y propuso las excepciones que denominó </w:t>
      </w:r>
      <w:r w:rsidRPr="00C726EC">
        <w:rPr>
          <w:rFonts w:cs="Tahoma"/>
          <w:i/>
          <w:iCs/>
          <w:szCs w:val="24"/>
        </w:rPr>
        <w:t xml:space="preserve">“Prescripción”, “Genérica o innominada”, “Buena fe”, “Compensación”, “Exoneración de condena en costas”, “Inexistencia de la </w:t>
      </w:r>
      <w:r w:rsidRPr="00C726EC">
        <w:rPr>
          <w:rFonts w:cs="Tahoma"/>
          <w:i/>
          <w:iCs/>
          <w:szCs w:val="24"/>
        </w:rPr>
        <w:lastRenderedPageBreak/>
        <w:t>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p>
    <w:p w14:paraId="2CDE2893" w14:textId="77777777" w:rsidR="0070568F" w:rsidRPr="00C726EC" w:rsidRDefault="0070568F" w:rsidP="00C726EC">
      <w:pPr>
        <w:spacing w:line="276" w:lineRule="auto"/>
        <w:ind w:firstLine="708"/>
        <w:rPr>
          <w:rFonts w:cs="Tahoma"/>
          <w:szCs w:val="24"/>
        </w:rPr>
      </w:pPr>
    </w:p>
    <w:p w14:paraId="5109153A" w14:textId="1C43B6A7" w:rsidR="0070568F" w:rsidRPr="00C726EC" w:rsidRDefault="0048412C" w:rsidP="00C726EC">
      <w:pPr>
        <w:spacing w:line="276" w:lineRule="auto"/>
        <w:ind w:firstLine="709"/>
        <w:rPr>
          <w:rStyle w:val="normaltextrun"/>
          <w:rFonts w:cs="Tahoma"/>
          <w:szCs w:val="24"/>
        </w:rPr>
      </w:pPr>
      <w:r w:rsidRPr="00C726EC">
        <w:rPr>
          <w:rFonts w:cs="Tahoma"/>
          <w:szCs w:val="24"/>
        </w:rPr>
        <w:t xml:space="preserve">Finalmente, </w:t>
      </w:r>
      <w:r w:rsidR="0070568F" w:rsidRPr="00C726EC">
        <w:rPr>
          <w:rFonts w:cs="Tahoma"/>
          <w:b/>
          <w:bCs/>
          <w:szCs w:val="24"/>
        </w:rPr>
        <w:t xml:space="preserve">Colfondos S.A. </w:t>
      </w:r>
      <w:r w:rsidR="0070568F" w:rsidRPr="00C726EC">
        <w:rPr>
          <w:rFonts w:cs="Tahoma"/>
          <w:szCs w:val="24"/>
        </w:rPr>
        <w:t xml:space="preserve">se opuso a las pretensiones de la demanda bajo el argumento que la afiliación al RAIS se dio de manera libre y con previa asesoría e información integral acerca de las implicaciones que ese traslado tenía. </w:t>
      </w:r>
      <w:r w:rsidRPr="00C726EC">
        <w:rPr>
          <w:rFonts w:cs="Tahoma"/>
          <w:szCs w:val="24"/>
        </w:rPr>
        <w:t>En ese sentid, c</w:t>
      </w:r>
      <w:r w:rsidR="0070568F" w:rsidRPr="00C726EC">
        <w:rPr>
          <w:rStyle w:val="normaltextrun"/>
          <w:rFonts w:cs="Tahoma"/>
          <w:szCs w:val="24"/>
        </w:rPr>
        <w:t xml:space="preserve">omo excepciones formuló las de </w:t>
      </w:r>
      <w:r w:rsidR="0070568F" w:rsidRPr="00C726EC">
        <w:rPr>
          <w:rStyle w:val="normaltextrun"/>
          <w:rFonts w:cs="Tahoma"/>
          <w:i/>
          <w:szCs w:val="24"/>
        </w:rPr>
        <w:t>“Inexistencia de la obligación”; “Falta de legitimación en la causa por pasiva”;” Ausencia de vicios del consentimiento”; “Innominada o Genérica”; “Prescripción de la acción para solicitar nulidad del traslado”; “Validez de la afiliación al régimen de ahorro individual con solidaridad”; “Ratificación de la afiliación del actor al fondo de pensiones obligatorias administrado por Colfondos S.A.”; “Buena fe” y “Compensación y pago</w:t>
      </w:r>
      <w:r w:rsidR="0070568F" w:rsidRPr="00C726EC">
        <w:rPr>
          <w:rStyle w:val="normaltextrun"/>
          <w:rFonts w:cs="Tahoma"/>
          <w:bCs/>
          <w:i/>
          <w:iCs/>
          <w:szCs w:val="24"/>
        </w:rPr>
        <w:t>”.</w:t>
      </w:r>
    </w:p>
    <w:p w14:paraId="20EF79A3" w14:textId="1E1A3430" w:rsidR="00784D72" w:rsidRPr="00C726EC" w:rsidRDefault="00784D72" w:rsidP="00C726EC">
      <w:pPr>
        <w:spacing w:line="276" w:lineRule="auto"/>
        <w:ind w:firstLine="426"/>
        <w:rPr>
          <w:rFonts w:cs="Tahoma"/>
          <w:szCs w:val="24"/>
        </w:rPr>
      </w:pPr>
    </w:p>
    <w:p w14:paraId="2FF3E5FC" w14:textId="77777777" w:rsidR="00790DA9" w:rsidRPr="00C726EC" w:rsidRDefault="00790DA9" w:rsidP="00C726EC">
      <w:pPr>
        <w:pStyle w:val="Prrafodelista"/>
        <w:numPr>
          <w:ilvl w:val="0"/>
          <w:numId w:val="1"/>
        </w:numPr>
        <w:spacing w:line="276" w:lineRule="auto"/>
        <w:ind w:left="426" w:hanging="426"/>
        <w:jc w:val="center"/>
        <w:rPr>
          <w:rFonts w:cs="Tahoma"/>
          <w:b/>
          <w:bCs/>
          <w:szCs w:val="24"/>
        </w:rPr>
      </w:pPr>
      <w:r w:rsidRPr="00C726EC">
        <w:rPr>
          <w:rFonts w:cs="Tahoma"/>
          <w:b/>
          <w:bCs/>
          <w:szCs w:val="24"/>
        </w:rPr>
        <w:t>Sentencia de primera instancia</w:t>
      </w:r>
    </w:p>
    <w:p w14:paraId="3ACAB8F5" w14:textId="77777777" w:rsidR="00790DA9" w:rsidRPr="00C726EC" w:rsidRDefault="00790DA9" w:rsidP="00C726EC">
      <w:pPr>
        <w:spacing w:line="276" w:lineRule="auto"/>
        <w:ind w:left="360"/>
        <w:rPr>
          <w:rFonts w:cs="Tahoma"/>
          <w:b/>
          <w:bCs/>
          <w:szCs w:val="24"/>
        </w:rPr>
      </w:pPr>
    </w:p>
    <w:p w14:paraId="6F03EF11" w14:textId="254FC352" w:rsidR="004844C2" w:rsidRPr="00C726EC" w:rsidRDefault="004844C2" w:rsidP="00C726EC">
      <w:pPr>
        <w:spacing w:line="276" w:lineRule="auto"/>
        <w:ind w:firstLine="708"/>
        <w:rPr>
          <w:rFonts w:cs="Tahoma"/>
          <w:szCs w:val="24"/>
        </w:rPr>
      </w:pPr>
      <w:r w:rsidRPr="00C726EC">
        <w:rPr>
          <w:rFonts w:cs="Tahoma"/>
          <w:szCs w:val="24"/>
        </w:rPr>
        <w:t xml:space="preserve">La Jueza de primera instancia decretó no probados los medios exceptivos propuestos por las codemandadas y declaró la ineficacia del traslado de régimen que </w:t>
      </w:r>
      <w:bookmarkStart w:id="4" w:name="_Hlk79326106"/>
      <w:r w:rsidRPr="00C726EC">
        <w:rPr>
          <w:rFonts w:cs="Tahoma"/>
          <w:szCs w:val="24"/>
        </w:rPr>
        <w:t xml:space="preserve">Jairo Agustín Téllez Jiménez </w:t>
      </w:r>
      <w:bookmarkEnd w:id="4"/>
      <w:r w:rsidRPr="00C726EC">
        <w:rPr>
          <w:rFonts w:cs="Tahoma"/>
          <w:szCs w:val="24"/>
        </w:rPr>
        <w:t xml:space="preserve">efectuó al régimen de ahorro individual con solidaridad el 12 de diciembre de 1997, a través de Horizonte S.A, hoy Porvenir S.A, lo que involucra sus posteriores traslados entre </w:t>
      </w:r>
      <w:proofErr w:type="spellStart"/>
      <w:r w:rsidRPr="00C726EC">
        <w:rPr>
          <w:rFonts w:cs="Tahoma"/>
          <w:szCs w:val="24"/>
        </w:rPr>
        <w:t>AFPs</w:t>
      </w:r>
      <w:proofErr w:type="spellEnd"/>
      <w:r w:rsidRPr="00C726EC">
        <w:rPr>
          <w:rFonts w:cs="Tahoma"/>
          <w:szCs w:val="24"/>
        </w:rPr>
        <w:t>, específicamente a Colfondos S.A y Protección S.A</w:t>
      </w:r>
    </w:p>
    <w:p w14:paraId="04F76500" w14:textId="77777777" w:rsidR="004844C2" w:rsidRPr="00C726EC" w:rsidRDefault="004844C2" w:rsidP="00C726EC">
      <w:pPr>
        <w:spacing w:line="276" w:lineRule="auto"/>
        <w:ind w:firstLine="360"/>
        <w:rPr>
          <w:rFonts w:cs="Tahoma"/>
          <w:szCs w:val="24"/>
        </w:rPr>
      </w:pPr>
    </w:p>
    <w:p w14:paraId="21EA745D" w14:textId="2CAD0BB7" w:rsidR="004844C2" w:rsidRPr="00C726EC" w:rsidRDefault="004844C2" w:rsidP="00C726EC">
      <w:pPr>
        <w:spacing w:line="276" w:lineRule="auto"/>
        <w:ind w:firstLine="708"/>
        <w:rPr>
          <w:rFonts w:cs="Tahoma"/>
          <w:szCs w:val="24"/>
        </w:rPr>
      </w:pPr>
      <w:r w:rsidRPr="00C726EC">
        <w:rPr>
          <w:rFonts w:cs="Tahoma"/>
          <w:szCs w:val="24"/>
        </w:rPr>
        <w:t xml:space="preserve">En consecuencia, ordenó a Protección S.A. que proceda a devolver a Colpensiones la totalidad de las sumas recibidas por concepto de cotizaciones, incluyendo </w:t>
      </w:r>
      <w:r w:rsidR="00AC30AA" w:rsidRPr="00C726EC">
        <w:rPr>
          <w:rFonts w:cs="Tahoma"/>
          <w:szCs w:val="24"/>
        </w:rPr>
        <w:t>el b</w:t>
      </w:r>
      <w:r w:rsidRPr="00C726EC">
        <w:rPr>
          <w:rFonts w:cs="Tahoma"/>
          <w:szCs w:val="24"/>
        </w:rPr>
        <w:t>ono</w:t>
      </w:r>
      <w:r w:rsidR="00AC30AA" w:rsidRPr="00C726EC">
        <w:rPr>
          <w:rFonts w:cs="Tahoma"/>
          <w:szCs w:val="24"/>
        </w:rPr>
        <w:t xml:space="preserve"> pensional, en caso de existir, </w:t>
      </w:r>
      <w:r w:rsidRPr="00C726EC">
        <w:rPr>
          <w:rFonts w:cs="Tahoma"/>
          <w:szCs w:val="24"/>
        </w:rPr>
        <w:t>y sumas adicionales junto con sus respectivos rendimientos financieros, concediéndole para el efecto, el t</w:t>
      </w:r>
      <w:r w:rsidR="006B66B3" w:rsidRPr="00C726EC">
        <w:rPr>
          <w:rFonts w:cs="Tahoma"/>
          <w:szCs w:val="24"/>
        </w:rPr>
        <w:t>é</w:t>
      </w:r>
      <w:r w:rsidRPr="00C726EC">
        <w:rPr>
          <w:rFonts w:cs="Tahoma"/>
          <w:szCs w:val="24"/>
        </w:rPr>
        <w:t>rmino de un mes, contado a partir de la ejecutoria de la sentencia.</w:t>
      </w:r>
    </w:p>
    <w:p w14:paraId="3A7ED293" w14:textId="77777777" w:rsidR="004844C2" w:rsidRPr="00C726EC" w:rsidRDefault="004844C2" w:rsidP="00C726EC">
      <w:pPr>
        <w:spacing w:line="276" w:lineRule="auto"/>
        <w:rPr>
          <w:rFonts w:cs="Tahoma"/>
          <w:szCs w:val="24"/>
        </w:rPr>
      </w:pPr>
    </w:p>
    <w:p w14:paraId="2E61337C" w14:textId="2C0F021A" w:rsidR="004844C2" w:rsidRPr="00C726EC" w:rsidRDefault="004844C2" w:rsidP="00C726EC">
      <w:pPr>
        <w:spacing w:line="276" w:lineRule="auto"/>
        <w:ind w:firstLine="708"/>
        <w:rPr>
          <w:rFonts w:cs="Tahoma"/>
          <w:szCs w:val="24"/>
        </w:rPr>
      </w:pPr>
      <w:r w:rsidRPr="00C726EC">
        <w:rPr>
          <w:rFonts w:cs="Tahoma"/>
          <w:szCs w:val="24"/>
        </w:rPr>
        <w:t>Asimismo, condenó a las AFP Porvenir S.A, Protección S.A y Colfondos S.A a realizar la devolución a Colpensiones del valor de los gastos de administración, comisiones, cuotas de garantía de pensión mínima y seguros provisionales cobrados con cargo a sus propias utilidades y debidamente indexados</w:t>
      </w:r>
      <w:r w:rsidR="00AC30AA" w:rsidRPr="00C726EC">
        <w:rPr>
          <w:rFonts w:cs="Tahoma"/>
          <w:szCs w:val="24"/>
        </w:rPr>
        <w:t>.</w:t>
      </w:r>
    </w:p>
    <w:p w14:paraId="6200ECF8" w14:textId="77777777" w:rsidR="004844C2" w:rsidRPr="00C726EC" w:rsidRDefault="004844C2" w:rsidP="00C726EC">
      <w:pPr>
        <w:spacing w:line="276" w:lineRule="auto"/>
        <w:ind w:firstLine="360"/>
        <w:rPr>
          <w:rFonts w:cs="Tahoma"/>
          <w:szCs w:val="24"/>
        </w:rPr>
      </w:pPr>
    </w:p>
    <w:p w14:paraId="588FC686" w14:textId="5B5B418B" w:rsidR="004844C2" w:rsidRPr="00C726EC" w:rsidRDefault="00AC30AA" w:rsidP="00C726EC">
      <w:pPr>
        <w:spacing w:line="276" w:lineRule="auto"/>
        <w:ind w:firstLine="708"/>
        <w:rPr>
          <w:rFonts w:cs="Tahoma"/>
          <w:szCs w:val="24"/>
        </w:rPr>
      </w:pPr>
      <w:r w:rsidRPr="00C726EC">
        <w:rPr>
          <w:rFonts w:cs="Tahoma"/>
          <w:szCs w:val="24"/>
        </w:rPr>
        <w:t>P</w:t>
      </w:r>
      <w:r w:rsidR="004844C2" w:rsidRPr="00C726EC">
        <w:rPr>
          <w:rFonts w:cs="Tahoma"/>
          <w:szCs w:val="24"/>
        </w:rPr>
        <w:t>or último, condenó en costas a Porvenir S.A. a favor del demandante en un 100%.</w:t>
      </w:r>
    </w:p>
    <w:p w14:paraId="1EBFFA1E" w14:textId="77777777" w:rsidR="004844C2" w:rsidRPr="00C726EC" w:rsidRDefault="004844C2" w:rsidP="00C726EC">
      <w:pPr>
        <w:spacing w:line="276" w:lineRule="auto"/>
        <w:ind w:left="360"/>
        <w:rPr>
          <w:rFonts w:cs="Tahoma"/>
          <w:szCs w:val="24"/>
        </w:rPr>
      </w:pPr>
    </w:p>
    <w:p w14:paraId="45EB18E8" w14:textId="2B73CBE1" w:rsidR="004844C2" w:rsidRPr="00C726EC" w:rsidRDefault="004844C2" w:rsidP="00C726EC">
      <w:pPr>
        <w:spacing w:line="276" w:lineRule="auto"/>
        <w:ind w:firstLine="708"/>
        <w:rPr>
          <w:rFonts w:cs="Tahoma"/>
          <w:szCs w:val="24"/>
        </w:rPr>
      </w:pPr>
      <w:r w:rsidRPr="00C726EC">
        <w:rPr>
          <w:rFonts w:cs="Tahoma"/>
          <w:szCs w:val="24"/>
        </w:rPr>
        <w:t xml:space="preserve">Para llegar a tal determinación la A-quo hizo un recuento legal y jurisprudencial respecto del deber de información a cargo de </w:t>
      </w:r>
      <w:bookmarkStart w:id="5" w:name="_Hlk75437293"/>
      <w:r w:rsidRPr="00C726EC">
        <w:rPr>
          <w:rFonts w:cs="Tahoma"/>
          <w:szCs w:val="24"/>
        </w:rPr>
        <w:t xml:space="preserve">las AFP, la cual debía ser clara, cierta, comprensible y oportuna sobre las características, condiciones, beneficios, diferencias, riesgos y consecuencias del cambio de régimen pensional.  </w:t>
      </w:r>
      <w:bookmarkEnd w:id="5"/>
      <w:r w:rsidRPr="00C726EC">
        <w:rPr>
          <w:rFonts w:cs="Tahoma"/>
          <w:szCs w:val="24"/>
        </w:rPr>
        <w:t xml:space="preserve">Resaltó que, en estos casos opera una inversión de la carga de la prueba a favor del afiliado. De igual forma, </w:t>
      </w:r>
      <w:r w:rsidR="00622688" w:rsidRPr="00C726EC">
        <w:rPr>
          <w:rFonts w:cs="Tahoma"/>
          <w:szCs w:val="24"/>
        </w:rPr>
        <w:t xml:space="preserve">refirió </w:t>
      </w:r>
      <w:r w:rsidRPr="00C726EC">
        <w:rPr>
          <w:rFonts w:cs="Tahoma"/>
          <w:szCs w:val="24"/>
        </w:rPr>
        <w:t xml:space="preserve">que la expresión libre y voluntaria necesariamente presupone conocimiento, lo cual sólo es posible alcanzar cuando se saben a plenitud las consecuencias de una decisión de esta índole. </w:t>
      </w:r>
    </w:p>
    <w:p w14:paraId="6727451C" w14:textId="77777777" w:rsidR="004844C2" w:rsidRPr="00C726EC" w:rsidRDefault="004844C2" w:rsidP="00C726EC">
      <w:pPr>
        <w:spacing w:line="276" w:lineRule="auto"/>
        <w:ind w:firstLine="360"/>
        <w:rPr>
          <w:rFonts w:cs="Tahoma"/>
          <w:szCs w:val="24"/>
        </w:rPr>
      </w:pPr>
    </w:p>
    <w:p w14:paraId="181C042E" w14:textId="5CB06ED7" w:rsidR="004844C2" w:rsidRPr="00C726EC" w:rsidRDefault="004844C2" w:rsidP="00C726EC">
      <w:pPr>
        <w:spacing w:line="276" w:lineRule="auto"/>
        <w:ind w:firstLine="708"/>
        <w:rPr>
          <w:rFonts w:cs="Tahoma"/>
          <w:szCs w:val="24"/>
        </w:rPr>
      </w:pPr>
      <w:r w:rsidRPr="00C726EC">
        <w:rPr>
          <w:rFonts w:cs="Tahoma"/>
          <w:szCs w:val="24"/>
        </w:rPr>
        <w:t>En cuanto a la excepción de sostenibilidad financiera propuesta en el proceso, señaló que</w:t>
      </w:r>
      <w:r w:rsidR="00622688" w:rsidRPr="00C726EC">
        <w:rPr>
          <w:rFonts w:cs="Tahoma"/>
          <w:szCs w:val="24"/>
        </w:rPr>
        <w:t xml:space="preserve"> </w:t>
      </w:r>
      <w:r w:rsidRPr="00C726EC">
        <w:rPr>
          <w:rFonts w:cs="Tahoma"/>
          <w:szCs w:val="24"/>
        </w:rPr>
        <w:t xml:space="preserve">ninguna autoridad de naturaleza administrativa, legislativa o judicial podrá invocar la sostenibilidad fiscal para menoscabar derechos fundamentales, restringir su alcance o negar su protección efectiva. Por </w:t>
      </w:r>
      <w:r w:rsidR="00622688" w:rsidRPr="00C726EC">
        <w:rPr>
          <w:rFonts w:cs="Tahoma"/>
          <w:szCs w:val="24"/>
        </w:rPr>
        <w:t>ello</w:t>
      </w:r>
      <w:r w:rsidRPr="00C726EC">
        <w:rPr>
          <w:rFonts w:cs="Tahoma"/>
          <w:szCs w:val="24"/>
        </w:rPr>
        <w:t>, concluyó que la decisión de la parte demandante no estuvo precedida de la compresión suficiente ni el real consentimiento para llevarla a cabo, razón por la cual deb</w:t>
      </w:r>
      <w:r w:rsidR="00622688" w:rsidRPr="00C726EC">
        <w:rPr>
          <w:rFonts w:cs="Tahoma"/>
          <w:szCs w:val="24"/>
        </w:rPr>
        <w:t xml:space="preserve">ía </w:t>
      </w:r>
      <w:r w:rsidRPr="00C726EC">
        <w:rPr>
          <w:rFonts w:cs="Tahoma"/>
          <w:szCs w:val="24"/>
        </w:rPr>
        <w:t>declarase la ineficacia del acto de traslado, sin que oper</w:t>
      </w:r>
      <w:r w:rsidR="00622688" w:rsidRPr="00C726EC">
        <w:rPr>
          <w:rFonts w:cs="Tahoma"/>
          <w:szCs w:val="24"/>
        </w:rPr>
        <w:t>ara</w:t>
      </w:r>
      <w:r w:rsidRPr="00C726EC">
        <w:rPr>
          <w:rFonts w:cs="Tahoma"/>
          <w:szCs w:val="24"/>
        </w:rPr>
        <w:t xml:space="preserve"> la prescripción puesto que se realiza una pretensión meramente declarativa de la cual nacen derechos que hacen parte del derecho fundamental a la seguridad social.</w:t>
      </w:r>
    </w:p>
    <w:p w14:paraId="05D91E53" w14:textId="77777777" w:rsidR="004844C2" w:rsidRPr="00C726EC" w:rsidRDefault="004844C2" w:rsidP="00C726EC">
      <w:pPr>
        <w:spacing w:line="276" w:lineRule="auto"/>
        <w:ind w:firstLine="357"/>
        <w:rPr>
          <w:rFonts w:cs="Tahoma"/>
          <w:szCs w:val="24"/>
        </w:rPr>
      </w:pPr>
    </w:p>
    <w:p w14:paraId="756CFFCF" w14:textId="4280D69C" w:rsidR="004844C2" w:rsidRPr="00C726EC" w:rsidRDefault="004844C2" w:rsidP="00C726EC">
      <w:pPr>
        <w:spacing w:line="276" w:lineRule="auto"/>
        <w:ind w:firstLine="708"/>
        <w:rPr>
          <w:rFonts w:cs="Tahoma"/>
          <w:szCs w:val="24"/>
        </w:rPr>
      </w:pPr>
      <w:r w:rsidRPr="00C726EC">
        <w:rPr>
          <w:rFonts w:cs="Tahoma"/>
          <w:szCs w:val="24"/>
        </w:rPr>
        <w:t>En cuanto a la condena a en costas de un 100% a cargo de Porvenir S.A, manifestó que fue esta AFP</w:t>
      </w:r>
      <w:r w:rsidR="00FB3C48" w:rsidRPr="00C726EC">
        <w:rPr>
          <w:rFonts w:cs="Tahoma"/>
          <w:szCs w:val="24"/>
        </w:rPr>
        <w:t>,</w:t>
      </w:r>
      <w:r w:rsidRPr="00C726EC">
        <w:rPr>
          <w:rFonts w:cs="Tahoma"/>
          <w:szCs w:val="24"/>
        </w:rPr>
        <w:t xml:space="preserve"> por medio de sus asesores, la que no brindó de manera integral la información relacionada a las implicaciones que ten</w:t>
      </w:r>
      <w:r w:rsidR="00FB3C48" w:rsidRPr="00C726EC">
        <w:rPr>
          <w:rFonts w:cs="Tahoma"/>
          <w:szCs w:val="24"/>
        </w:rPr>
        <w:t>í</w:t>
      </w:r>
      <w:r w:rsidRPr="00C726EC">
        <w:rPr>
          <w:rFonts w:cs="Tahoma"/>
          <w:szCs w:val="24"/>
        </w:rPr>
        <w:t>a el cambio de régimen del demandante, omitiendo su deber de asesoría</w:t>
      </w:r>
      <w:r w:rsidR="00FB3C48" w:rsidRPr="00C726EC">
        <w:rPr>
          <w:rFonts w:cs="Tahoma"/>
          <w:szCs w:val="24"/>
        </w:rPr>
        <w:t xml:space="preserve"> objetiva</w:t>
      </w:r>
      <w:r w:rsidRPr="00C726EC">
        <w:rPr>
          <w:rFonts w:cs="Tahoma"/>
          <w:szCs w:val="24"/>
        </w:rPr>
        <w:t>.</w:t>
      </w:r>
    </w:p>
    <w:p w14:paraId="7ABF879E" w14:textId="77777777" w:rsidR="006B66B3" w:rsidRPr="00C726EC" w:rsidRDefault="006B66B3" w:rsidP="00C726EC">
      <w:pPr>
        <w:spacing w:line="276" w:lineRule="auto"/>
        <w:rPr>
          <w:rFonts w:cs="Tahoma"/>
          <w:szCs w:val="24"/>
        </w:rPr>
      </w:pPr>
    </w:p>
    <w:p w14:paraId="62F918D7" w14:textId="5631D9F4" w:rsidR="00790DA9" w:rsidRPr="00C726EC" w:rsidRDefault="00790DA9" w:rsidP="00C726EC">
      <w:pPr>
        <w:pStyle w:val="Prrafodelista"/>
        <w:numPr>
          <w:ilvl w:val="0"/>
          <w:numId w:val="1"/>
        </w:numPr>
        <w:spacing w:line="276" w:lineRule="auto"/>
        <w:ind w:left="426" w:hanging="426"/>
        <w:jc w:val="center"/>
        <w:rPr>
          <w:rFonts w:cs="Tahoma"/>
          <w:b/>
          <w:bCs/>
          <w:szCs w:val="24"/>
        </w:rPr>
      </w:pPr>
      <w:r w:rsidRPr="00C726EC">
        <w:rPr>
          <w:rFonts w:cs="Tahoma"/>
          <w:b/>
          <w:bCs/>
          <w:szCs w:val="24"/>
        </w:rPr>
        <w:t>Recursos de apelación</w:t>
      </w:r>
      <w:r w:rsidR="00851B08" w:rsidRPr="00C726EC">
        <w:rPr>
          <w:rFonts w:cs="Tahoma"/>
          <w:b/>
          <w:bCs/>
          <w:szCs w:val="24"/>
        </w:rPr>
        <w:t xml:space="preserve"> y procedencia de la consulta</w:t>
      </w:r>
    </w:p>
    <w:p w14:paraId="093AE73F" w14:textId="679D399E" w:rsidR="00790DA9" w:rsidRPr="00C726EC" w:rsidRDefault="00790DA9" w:rsidP="00C726EC">
      <w:pPr>
        <w:spacing w:line="276" w:lineRule="auto"/>
        <w:ind w:left="360"/>
        <w:rPr>
          <w:rFonts w:cs="Tahoma"/>
          <w:b/>
          <w:bCs/>
          <w:szCs w:val="24"/>
        </w:rPr>
      </w:pPr>
    </w:p>
    <w:p w14:paraId="1579901B" w14:textId="77777777" w:rsidR="004844C2" w:rsidRPr="00C726EC" w:rsidRDefault="004844C2" w:rsidP="00C726EC">
      <w:pPr>
        <w:spacing w:line="276" w:lineRule="auto"/>
        <w:ind w:firstLine="357"/>
        <w:rPr>
          <w:rFonts w:cs="Tahoma"/>
          <w:szCs w:val="24"/>
        </w:rPr>
      </w:pPr>
      <w:r w:rsidRPr="00C726EC">
        <w:rPr>
          <w:rFonts w:cs="Tahoma"/>
          <w:b/>
          <w:bCs/>
          <w:szCs w:val="24"/>
        </w:rPr>
        <w:t xml:space="preserve">Porvenir S.A. </w:t>
      </w:r>
      <w:r w:rsidRPr="00C726EC">
        <w:rPr>
          <w:rFonts w:cs="Tahoma"/>
          <w:szCs w:val="24"/>
        </w:rPr>
        <w:t>atacó el fallo arguyendo que quedó demostrado dentro del plenario que cumplió el deber de asesoría requerido para la época del traslado del señor Jairo Agustín Téllez Jiménez, lo que se vio reflejado en la firma libre y voluntaria del formulario de afiliación.</w:t>
      </w:r>
    </w:p>
    <w:p w14:paraId="739A26A9" w14:textId="77777777" w:rsidR="004844C2" w:rsidRPr="00C726EC" w:rsidRDefault="004844C2" w:rsidP="00C726EC">
      <w:pPr>
        <w:spacing w:line="276" w:lineRule="auto"/>
        <w:ind w:firstLine="357"/>
        <w:rPr>
          <w:rFonts w:cs="Tahoma"/>
          <w:szCs w:val="24"/>
        </w:rPr>
      </w:pPr>
    </w:p>
    <w:p w14:paraId="7BCA0CD7" w14:textId="20C2A738" w:rsidR="004844C2" w:rsidRPr="00C726EC" w:rsidRDefault="004844C2" w:rsidP="00C726EC">
      <w:pPr>
        <w:spacing w:line="276" w:lineRule="auto"/>
        <w:ind w:firstLine="708"/>
        <w:rPr>
          <w:rFonts w:cs="Tahoma"/>
          <w:szCs w:val="24"/>
        </w:rPr>
      </w:pPr>
      <w:r w:rsidRPr="00C726EC">
        <w:rPr>
          <w:rFonts w:cs="Tahoma"/>
          <w:szCs w:val="24"/>
        </w:rPr>
        <w:t xml:space="preserve">Agregó que el demandante no cumplió su obligación (en calidad de consumidor financiero) de solicitar una asesoría más amplia en caso de dudas acerca de las implicaciones que </w:t>
      </w:r>
      <w:r w:rsidR="00DB1753" w:rsidRPr="00C726EC">
        <w:rPr>
          <w:rFonts w:cs="Tahoma"/>
          <w:szCs w:val="24"/>
        </w:rPr>
        <w:t>tenía el cambio</w:t>
      </w:r>
      <w:r w:rsidRPr="00C726EC">
        <w:rPr>
          <w:rFonts w:cs="Tahoma"/>
          <w:szCs w:val="24"/>
        </w:rPr>
        <w:t xml:space="preserve"> de régimen, actuando de manera desinteresada y descuidada. Adicionalmente, </w:t>
      </w:r>
      <w:r w:rsidR="00DB1753" w:rsidRPr="00C726EC">
        <w:rPr>
          <w:rFonts w:cs="Tahoma"/>
          <w:szCs w:val="24"/>
        </w:rPr>
        <w:t xml:space="preserve">resaltó </w:t>
      </w:r>
      <w:r w:rsidRPr="00C726EC">
        <w:rPr>
          <w:rFonts w:cs="Tahoma"/>
          <w:szCs w:val="24"/>
        </w:rPr>
        <w:t>que</w:t>
      </w:r>
      <w:r w:rsidR="006B66B3" w:rsidRPr="00C726EC">
        <w:rPr>
          <w:rFonts w:cs="Tahoma"/>
          <w:szCs w:val="24"/>
        </w:rPr>
        <w:t>,</w:t>
      </w:r>
      <w:r w:rsidRPr="00C726EC">
        <w:rPr>
          <w:rFonts w:cs="Tahoma"/>
          <w:szCs w:val="24"/>
        </w:rPr>
        <w:t xml:space="preserve"> debido a su grado de escolaridad, tenía la formación requerida para tomar la decisión más favorable a sus intereses.</w:t>
      </w:r>
    </w:p>
    <w:p w14:paraId="115B803B" w14:textId="77777777" w:rsidR="004844C2" w:rsidRPr="00C726EC" w:rsidRDefault="004844C2" w:rsidP="00C726EC">
      <w:pPr>
        <w:spacing w:line="276" w:lineRule="auto"/>
        <w:ind w:firstLine="357"/>
        <w:rPr>
          <w:rFonts w:cs="Tahoma"/>
          <w:szCs w:val="24"/>
        </w:rPr>
      </w:pPr>
    </w:p>
    <w:p w14:paraId="7E530F1A" w14:textId="746A92C6" w:rsidR="004844C2" w:rsidRPr="00C726EC" w:rsidRDefault="004844C2" w:rsidP="00C726EC">
      <w:pPr>
        <w:spacing w:line="276" w:lineRule="auto"/>
        <w:ind w:firstLine="708"/>
        <w:rPr>
          <w:rFonts w:cs="Tahoma"/>
          <w:szCs w:val="24"/>
        </w:rPr>
      </w:pPr>
      <w:r w:rsidRPr="00C726EC">
        <w:rPr>
          <w:rFonts w:cs="Tahoma"/>
          <w:szCs w:val="24"/>
        </w:rPr>
        <w:t>Asimismo, resalta que el señor Jairo Agustín Téllez Jiménez no hizo uso del retracto a pesar de contemplarse dicha posibilidad en el formulario de afiliación. Tampoco, de la posibilidad del periodo de gracia, que se trató de un hecho notorio que fue ampliamente difundido en diversos medios de comunicación.</w:t>
      </w:r>
    </w:p>
    <w:p w14:paraId="53775713" w14:textId="77777777" w:rsidR="004844C2" w:rsidRPr="00C726EC" w:rsidRDefault="004844C2" w:rsidP="00C726EC">
      <w:pPr>
        <w:spacing w:line="276" w:lineRule="auto"/>
        <w:ind w:firstLine="357"/>
        <w:rPr>
          <w:rFonts w:cs="Tahoma"/>
          <w:szCs w:val="24"/>
        </w:rPr>
      </w:pPr>
    </w:p>
    <w:p w14:paraId="24544CD8" w14:textId="378DB948" w:rsidR="004844C2" w:rsidRPr="00C726EC" w:rsidRDefault="004844C2" w:rsidP="00C726EC">
      <w:pPr>
        <w:spacing w:line="276" w:lineRule="auto"/>
        <w:ind w:firstLine="708"/>
        <w:rPr>
          <w:rFonts w:cs="Tahoma"/>
          <w:szCs w:val="24"/>
        </w:rPr>
      </w:pPr>
      <w:r w:rsidRPr="00C726EC">
        <w:rPr>
          <w:rFonts w:cs="Tahoma"/>
          <w:szCs w:val="24"/>
        </w:rPr>
        <w:t>Por otra parte, señala que, si se llegase a declarar la ineficacia del traslado de régimen, la única obligación que recaería sobre Porvenir S.A sería la de retornar al régimen de prima media los dineros que por concepto de aportes a pensión hubiere realizado el demandante. Lo anterior puesto que</w:t>
      </w:r>
      <w:r w:rsidR="00DB1753" w:rsidRPr="00C726EC">
        <w:rPr>
          <w:rFonts w:cs="Tahoma"/>
          <w:szCs w:val="24"/>
        </w:rPr>
        <w:t>,</w:t>
      </w:r>
      <w:r w:rsidRPr="00C726EC">
        <w:rPr>
          <w:rFonts w:cs="Tahoma"/>
          <w:szCs w:val="24"/>
        </w:rPr>
        <w:t xml:space="preserve"> si se declara que el traslado nunca nació a la vida jurídica o fue inexistente, entonces los demás emolumentos como el de gastos de administración, y demás, también deberían ser declarados inexistentes. </w:t>
      </w:r>
    </w:p>
    <w:p w14:paraId="5114C53F" w14:textId="77777777" w:rsidR="004844C2" w:rsidRPr="00C726EC" w:rsidRDefault="004844C2" w:rsidP="00C726EC">
      <w:pPr>
        <w:spacing w:line="276" w:lineRule="auto"/>
        <w:ind w:firstLine="357"/>
        <w:rPr>
          <w:rFonts w:cs="Tahoma"/>
          <w:szCs w:val="24"/>
        </w:rPr>
      </w:pPr>
    </w:p>
    <w:p w14:paraId="24DFE65E" w14:textId="77777777" w:rsidR="004844C2" w:rsidRPr="00C726EC" w:rsidRDefault="004844C2" w:rsidP="00C726EC">
      <w:pPr>
        <w:spacing w:line="276" w:lineRule="auto"/>
        <w:ind w:firstLine="708"/>
        <w:rPr>
          <w:rFonts w:cs="Tahoma"/>
          <w:szCs w:val="24"/>
        </w:rPr>
      </w:pPr>
      <w:r w:rsidRPr="00C726EC">
        <w:rPr>
          <w:rFonts w:cs="Tahoma"/>
          <w:szCs w:val="24"/>
        </w:rPr>
        <w:t xml:space="preserve">Respecto a las cuotas de administración, indicó que estos son autorizados por la ley como una contraprestación de la gestión desplegada por las </w:t>
      </w:r>
      <w:proofErr w:type="spellStart"/>
      <w:r w:rsidRPr="00C726EC">
        <w:rPr>
          <w:rFonts w:cs="Tahoma"/>
          <w:szCs w:val="24"/>
        </w:rPr>
        <w:t>AFPs</w:t>
      </w:r>
      <w:proofErr w:type="spellEnd"/>
      <w:r w:rsidRPr="00C726EC">
        <w:rPr>
          <w:rFonts w:cs="Tahoma"/>
          <w:szCs w:val="24"/>
        </w:rPr>
        <w:t xml:space="preserve"> del RAIS, y el hecho de tenerlos que girar con destino a Colpensiones no solo representa un detrimento patrimonial de Porvenir S.A, sino un enriquecimiento sin justa causa en favor del demandante. Así mismo, refiere que los seguros previsionales son sumas que son giradas a las aseguradoras previsionales del RAIS, cuya finalidad radica </w:t>
      </w:r>
      <w:r w:rsidRPr="00C726EC">
        <w:rPr>
          <w:rFonts w:cs="Tahoma"/>
          <w:szCs w:val="24"/>
        </w:rPr>
        <w:lastRenderedPageBreak/>
        <w:t>básicamente en cubrir eventuales contingencias que puedan suscitarse entorno a los siniestros de invalidez y sobrevivencia.</w:t>
      </w:r>
    </w:p>
    <w:p w14:paraId="3C956DE1" w14:textId="77777777" w:rsidR="004844C2" w:rsidRPr="00C726EC" w:rsidRDefault="004844C2" w:rsidP="00C726EC">
      <w:pPr>
        <w:spacing w:line="276" w:lineRule="auto"/>
        <w:ind w:firstLine="357"/>
        <w:rPr>
          <w:rFonts w:cs="Tahoma"/>
          <w:szCs w:val="24"/>
        </w:rPr>
      </w:pPr>
    </w:p>
    <w:p w14:paraId="4BA52063" w14:textId="77777777" w:rsidR="004844C2" w:rsidRPr="00C726EC" w:rsidRDefault="004844C2" w:rsidP="00C726EC">
      <w:pPr>
        <w:spacing w:line="276" w:lineRule="auto"/>
        <w:ind w:firstLine="708"/>
        <w:rPr>
          <w:rFonts w:cs="Tahoma"/>
          <w:szCs w:val="24"/>
        </w:rPr>
      </w:pPr>
      <w:r w:rsidRPr="00C726EC">
        <w:rPr>
          <w:rFonts w:cs="Tahoma"/>
          <w:szCs w:val="24"/>
        </w:rPr>
        <w:t>Adicional a lo anterior, señala que el actuar de Porvenir S.A siempre fue en estricto apego a todas las normas que regulan la materia y ceñido a los postulados de la buena fe, por lo que no había lugar a la condena en costas procesales.</w:t>
      </w:r>
    </w:p>
    <w:p w14:paraId="18D85307" w14:textId="77777777" w:rsidR="004844C2" w:rsidRPr="00C726EC" w:rsidRDefault="004844C2" w:rsidP="00C726EC">
      <w:pPr>
        <w:spacing w:line="276" w:lineRule="auto"/>
        <w:ind w:firstLine="357"/>
        <w:rPr>
          <w:rFonts w:cs="Tahoma"/>
          <w:szCs w:val="24"/>
        </w:rPr>
      </w:pPr>
    </w:p>
    <w:p w14:paraId="3DF5FDF2" w14:textId="1D56AE98" w:rsidR="004844C2" w:rsidRPr="00C726EC" w:rsidRDefault="004844C2" w:rsidP="00C726EC">
      <w:pPr>
        <w:spacing w:line="276" w:lineRule="auto"/>
        <w:ind w:firstLine="708"/>
        <w:rPr>
          <w:rFonts w:cs="Tahoma"/>
          <w:szCs w:val="24"/>
        </w:rPr>
      </w:pPr>
      <w:r w:rsidRPr="00C726EC">
        <w:rPr>
          <w:rFonts w:cs="Tahoma"/>
          <w:b/>
          <w:bCs/>
          <w:szCs w:val="24"/>
        </w:rPr>
        <w:t xml:space="preserve">Protección S.A, </w:t>
      </w:r>
      <w:r w:rsidR="00DB1753" w:rsidRPr="00C726EC">
        <w:rPr>
          <w:rFonts w:cs="Tahoma"/>
          <w:bCs/>
          <w:szCs w:val="24"/>
        </w:rPr>
        <w:t>como</w:t>
      </w:r>
      <w:r w:rsidRPr="00C726EC">
        <w:rPr>
          <w:rFonts w:cs="Tahoma"/>
          <w:szCs w:val="24"/>
        </w:rPr>
        <w:t xml:space="preserve"> sustentación de </w:t>
      </w:r>
      <w:r w:rsidR="00DB1753" w:rsidRPr="00C726EC">
        <w:rPr>
          <w:rFonts w:cs="Tahoma"/>
          <w:szCs w:val="24"/>
        </w:rPr>
        <w:t>la alzada, alegó haber cumplido</w:t>
      </w:r>
      <w:r w:rsidRPr="00C726EC">
        <w:rPr>
          <w:rFonts w:cs="Tahoma"/>
          <w:szCs w:val="24"/>
        </w:rPr>
        <w:t xml:space="preserve"> la carga de la prueba al acreditar de que el demandante tenía suficiente conocimiento respecto de las características del régimen de ahorro individual. </w:t>
      </w:r>
    </w:p>
    <w:p w14:paraId="211C14EB" w14:textId="77777777" w:rsidR="004844C2" w:rsidRPr="00C726EC" w:rsidRDefault="004844C2" w:rsidP="00C726EC">
      <w:pPr>
        <w:spacing w:line="276" w:lineRule="auto"/>
        <w:ind w:firstLine="357"/>
        <w:rPr>
          <w:rFonts w:cs="Tahoma"/>
          <w:szCs w:val="24"/>
        </w:rPr>
      </w:pPr>
    </w:p>
    <w:p w14:paraId="4D5B3358" w14:textId="14B9CDB1" w:rsidR="004844C2" w:rsidRPr="00C726EC" w:rsidRDefault="004844C2" w:rsidP="00C726EC">
      <w:pPr>
        <w:spacing w:line="276" w:lineRule="auto"/>
        <w:ind w:firstLine="708"/>
        <w:rPr>
          <w:rFonts w:cs="Tahoma"/>
          <w:szCs w:val="24"/>
        </w:rPr>
      </w:pPr>
      <w:r w:rsidRPr="00C726EC">
        <w:rPr>
          <w:rFonts w:cs="Tahoma"/>
          <w:szCs w:val="24"/>
        </w:rPr>
        <w:t>Añadió que a pesar de que el demandante negó haber recibido una asesoría completa, este si recibió una asesoría integral por parte de Protección S.A</w:t>
      </w:r>
      <w:r w:rsidR="00DB1753" w:rsidRPr="00C726EC">
        <w:rPr>
          <w:rFonts w:cs="Tahoma"/>
          <w:szCs w:val="24"/>
        </w:rPr>
        <w:t>.,</w:t>
      </w:r>
      <w:r w:rsidRPr="00C726EC">
        <w:rPr>
          <w:rFonts w:cs="Tahoma"/>
          <w:szCs w:val="24"/>
        </w:rPr>
        <w:t xml:space="preserve"> no solo en el traslado que se efectuó el 15 de julio de 2017, sino también en el traslado que se llevó a cabo el 15 de octubre de 1998. </w:t>
      </w:r>
    </w:p>
    <w:p w14:paraId="3ECD84BF" w14:textId="77777777" w:rsidR="004844C2" w:rsidRPr="00C726EC" w:rsidRDefault="004844C2" w:rsidP="00C726EC">
      <w:pPr>
        <w:spacing w:line="276" w:lineRule="auto"/>
        <w:ind w:firstLine="357"/>
        <w:rPr>
          <w:rFonts w:cs="Tahoma"/>
          <w:szCs w:val="24"/>
        </w:rPr>
      </w:pPr>
    </w:p>
    <w:p w14:paraId="6D6A5BB1" w14:textId="77777777" w:rsidR="004844C2" w:rsidRPr="00C726EC" w:rsidRDefault="004844C2" w:rsidP="00C726EC">
      <w:pPr>
        <w:spacing w:line="276" w:lineRule="auto"/>
        <w:ind w:firstLine="708"/>
        <w:rPr>
          <w:rFonts w:cs="Tahoma"/>
          <w:szCs w:val="24"/>
        </w:rPr>
      </w:pPr>
      <w:r w:rsidRPr="00C726EC">
        <w:rPr>
          <w:rFonts w:cs="Tahoma"/>
          <w:szCs w:val="24"/>
        </w:rPr>
        <w:t>Agregó que el fallo viola los principios constitucionales fundamentales, la normatividad sustantiva, la normatividad adjetiva, algunos precedentes jurisprudenciales y doctrinales, aduciendo que en estas sentencias se adoptan la doctrina de la Corte Suprema de Justicia, sin importar las normas legales aducidas en el proceso</w:t>
      </w:r>
    </w:p>
    <w:p w14:paraId="244C7A02" w14:textId="77777777" w:rsidR="004844C2" w:rsidRPr="00C726EC" w:rsidRDefault="004844C2" w:rsidP="00C726EC">
      <w:pPr>
        <w:spacing w:line="276" w:lineRule="auto"/>
        <w:ind w:firstLine="357"/>
        <w:rPr>
          <w:rFonts w:cs="Tahoma"/>
          <w:szCs w:val="24"/>
        </w:rPr>
      </w:pPr>
    </w:p>
    <w:p w14:paraId="24F15700" w14:textId="77777777" w:rsidR="004844C2" w:rsidRPr="00C726EC" w:rsidRDefault="004844C2" w:rsidP="00C726EC">
      <w:pPr>
        <w:spacing w:line="276" w:lineRule="auto"/>
        <w:ind w:firstLine="708"/>
        <w:rPr>
          <w:rFonts w:cs="Tahoma"/>
          <w:szCs w:val="24"/>
        </w:rPr>
      </w:pPr>
      <w:r w:rsidRPr="00C726EC">
        <w:rPr>
          <w:rFonts w:cs="Tahoma"/>
          <w:szCs w:val="24"/>
        </w:rPr>
        <w:t>En cuanto a los gastos de administración, señaló que es un mandato legal, de carácter bilateral, que compromete los intereses de las administradoras y del afiliado, por lo tanto, el descuento es una obligación en virtud de la cual se cubren los riesgos del afiliado, así como la comisión a favor de la AFP. Luego, si la sentencia obliga a realizar la devolución de estos rubros, entonces contraria ese deber jurídico.</w:t>
      </w:r>
    </w:p>
    <w:p w14:paraId="59A35E49" w14:textId="77777777" w:rsidR="004844C2" w:rsidRPr="00C726EC" w:rsidRDefault="004844C2" w:rsidP="00C726EC">
      <w:pPr>
        <w:spacing w:line="276" w:lineRule="auto"/>
        <w:ind w:firstLine="357"/>
        <w:rPr>
          <w:rFonts w:cs="Tahoma"/>
          <w:szCs w:val="24"/>
        </w:rPr>
      </w:pPr>
    </w:p>
    <w:p w14:paraId="6B64F4B4" w14:textId="77777777" w:rsidR="004844C2" w:rsidRPr="00C726EC" w:rsidRDefault="004844C2" w:rsidP="00C726EC">
      <w:pPr>
        <w:spacing w:line="276" w:lineRule="auto"/>
        <w:ind w:firstLine="708"/>
        <w:rPr>
          <w:rFonts w:cs="Tahoma"/>
          <w:szCs w:val="24"/>
        </w:rPr>
      </w:pPr>
      <w:r w:rsidRPr="00C726EC">
        <w:rPr>
          <w:rFonts w:cs="Tahoma"/>
          <w:szCs w:val="24"/>
        </w:rPr>
        <w:t>Finalmente señaló que la sentencia de primera instancia viola los principios de congruencia, consonancia, caducidad de las acciones, igualdad, debido proceso, el art 1746 del código civil, el art 2 de la ley 797 de 2003, y los artículos 13 y 271 de la ley 100 de 1993</w:t>
      </w:r>
    </w:p>
    <w:p w14:paraId="1B0C8398" w14:textId="77777777" w:rsidR="004844C2" w:rsidRPr="00C726EC" w:rsidRDefault="004844C2" w:rsidP="00C726EC">
      <w:pPr>
        <w:spacing w:line="276" w:lineRule="auto"/>
        <w:ind w:firstLine="357"/>
        <w:rPr>
          <w:rFonts w:cs="Tahoma"/>
          <w:szCs w:val="24"/>
        </w:rPr>
      </w:pPr>
    </w:p>
    <w:p w14:paraId="44625936" w14:textId="6336915B" w:rsidR="004844C2" w:rsidRPr="00C726EC" w:rsidRDefault="004844C2" w:rsidP="00C726EC">
      <w:pPr>
        <w:spacing w:line="276" w:lineRule="auto"/>
        <w:ind w:firstLine="708"/>
        <w:rPr>
          <w:rFonts w:cs="Tahoma"/>
          <w:szCs w:val="24"/>
        </w:rPr>
      </w:pPr>
      <w:r w:rsidRPr="00C726EC">
        <w:rPr>
          <w:rFonts w:cs="Tahoma"/>
          <w:b/>
          <w:bCs/>
          <w:szCs w:val="24"/>
        </w:rPr>
        <w:t>Colfondos S.A</w:t>
      </w:r>
      <w:r w:rsidRPr="00C726EC">
        <w:rPr>
          <w:rFonts w:cs="Tahoma"/>
          <w:szCs w:val="24"/>
        </w:rPr>
        <w:t>, impugnó el fallo de primera instancia argumentando</w:t>
      </w:r>
      <w:r w:rsidR="00DB1753" w:rsidRPr="00C726EC">
        <w:rPr>
          <w:rFonts w:cs="Tahoma"/>
          <w:szCs w:val="24"/>
        </w:rPr>
        <w:t>,</w:t>
      </w:r>
      <w:r w:rsidRPr="00C726EC">
        <w:rPr>
          <w:rFonts w:cs="Tahoma"/>
          <w:szCs w:val="24"/>
        </w:rPr>
        <w:t xml:space="preserve"> en primer lugar, que los cobros de gastos de administración son completamente legales y que en virtud de ello es posible que de los dineros depositados en la cuenta de ahorro individual se puedan generar los rendimientos financieros a favor del afiliado.</w:t>
      </w:r>
      <w:r w:rsidR="00DB1753" w:rsidRPr="00C726EC">
        <w:rPr>
          <w:rFonts w:cs="Tahoma"/>
          <w:szCs w:val="24"/>
        </w:rPr>
        <w:t xml:space="preserve"> </w:t>
      </w:r>
      <w:r w:rsidRPr="00C726EC">
        <w:rPr>
          <w:rFonts w:cs="Tahoma"/>
          <w:szCs w:val="24"/>
        </w:rPr>
        <w:t>En segundo lugar, que la afiliación del demandante a Colfondos S.A se dio en el año 2014, cuando el señor Jairo Agustín Téllez contaba con 54 años, es decir, estaba inmerso en la prohibición legal para retornar al régimen de prima media, por lo tanto, le era imposible a la AFP sugerirle que se cambiara al régimen de prima media.</w:t>
      </w:r>
    </w:p>
    <w:p w14:paraId="0C0532D4" w14:textId="77777777" w:rsidR="004844C2" w:rsidRPr="00C726EC" w:rsidRDefault="004844C2" w:rsidP="00C726EC">
      <w:pPr>
        <w:spacing w:line="276" w:lineRule="auto"/>
        <w:ind w:firstLine="357"/>
        <w:rPr>
          <w:rFonts w:cs="Tahoma"/>
          <w:szCs w:val="24"/>
        </w:rPr>
      </w:pPr>
    </w:p>
    <w:p w14:paraId="3E7BAA0F" w14:textId="77777777" w:rsidR="004844C2" w:rsidRPr="00C726EC" w:rsidRDefault="004844C2" w:rsidP="00C726EC">
      <w:pPr>
        <w:spacing w:line="276" w:lineRule="auto"/>
        <w:ind w:firstLine="708"/>
        <w:rPr>
          <w:rFonts w:cs="Tahoma"/>
          <w:szCs w:val="24"/>
        </w:rPr>
      </w:pPr>
      <w:r w:rsidRPr="00C726EC">
        <w:rPr>
          <w:rFonts w:cs="Tahoma"/>
          <w:szCs w:val="24"/>
        </w:rPr>
        <w:t>En conclusión, solicitó que se absuelva a Colfondos S.A de la condena impuesta en relación con la devolución de gastos de administración.</w:t>
      </w:r>
    </w:p>
    <w:p w14:paraId="2937E063" w14:textId="77777777" w:rsidR="004844C2" w:rsidRPr="00C726EC" w:rsidRDefault="004844C2" w:rsidP="00C726EC">
      <w:pPr>
        <w:spacing w:line="276" w:lineRule="auto"/>
        <w:rPr>
          <w:rFonts w:cs="Tahoma"/>
          <w:szCs w:val="24"/>
        </w:rPr>
      </w:pPr>
    </w:p>
    <w:p w14:paraId="5FA7EEC2" w14:textId="74C19B72" w:rsidR="004844C2" w:rsidRPr="00C726EC" w:rsidRDefault="00DB7CD6" w:rsidP="00C726EC">
      <w:pPr>
        <w:spacing w:line="276" w:lineRule="auto"/>
        <w:ind w:firstLine="708"/>
        <w:rPr>
          <w:rFonts w:cs="Tahoma"/>
          <w:szCs w:val="24"/>
        </w:rPr>
      </w:pPr>
      <w:r w:rsidRPr="00C726EC">
        <w:rPr>
          <w:rFonts w:cs="Tahoma"/>
          <w:szCs w:val="24"/>
        </w:rPr>
        <w:t xml:space="preserve">Finalmente, </w:t>
      </w:r>
      <w:r w:rsidR="004844C2" w:rsidRPr="00C726EC">
        <w:rPr>
          <w:rFonts w:cs="Tahoma"/>
          <w:b/>
          <w:bCs/>
          <w:szCs w:val="24"/>
        </w:rPr>
        <w:t>Colpensiones</w:t>
      </w:r>
      <w:r w:rsidR="004844C2" w:rsidRPr="00C726EC">
        <w:rPr>
          <w:rFonts w:cs="Tahoma"/>
          <w:szCs w:val="24"/>
        </w:rPr>
        <w:t xml:space="preserve"> atacó la decisión cimentando su inconformidad en que se cumpli</w:t>
      </w:r>
      <w:r w:rsidR="0054758D" w:rsidRPr="00C726EC">
        <w:rPr>
          <w:rFonts w:cs="Tahoma"/>
          <w:szCs w:val="24"/>
        </w:rPr>
        <w:t xml:space="preserve">eron </w:t>
      </w:r>
      <w:r w:rsidR="004844C2" w:rsidRPr="00C726EC">
        <w:rPr>
          <w:rFonts w:cs="Tahoma"/>
          <w:szCs w:val="24"/>
        </w:rPr>
        <w:t xml:space="preserve">la totalidad de requisitos normativos en el trámite de afiliación ante </w:t>
      </w:r>
      <w:r w:rsidR="004844C2" w:rsidRPr="00C726EC">
        <w:rPr>
          <w:rFonts w:cs="Tahoma"/>
          <w:szCs w:val="24"/>
        </w:rPr>
        <w:lastRenderedPageBreak/>
        <w:t>la Porvenir S.A</w:t>
      </w:r>
      <w:r w:rsidR="0054758D" w:rsidRPr="00C726EC">
        <w:rPr>
          <w:rFonts w:cs="Tahoma"/>
          <w:szCs w:val="24"/>
        </w:rPr>
        <w:t>.,</w:t>
      </w:r>
      <w:r w:rsidR="004844C2" w:rsidRPr="00C726EC">
        <w:rPr>
          <w:rFonts w:cs="Tahoma"/>
          <w:szCs w:val="24"/>
        </w:rPr>
        <w:t xml:space="preserve"> puesto que el demandante había firmado el formulario de afiliación voluntariamente. </w:t>
      </w:r>
    </w:p>
    <w:p w14:paraId="487F7C8A" w14:textId="77777777" w:rsidR="004844C2" w:rsidRPr="00C726EC" w:rsidRDefault="004844C2" w:rsidP="00C726EC">
      <w:pPr>
        <w:spacing w:line="276" w:lineRule="auto"/>
        <w:ind w:firstLine="357"/>
        <w:rPr>
          <w:rFonts w:cs="Tahoma"/>
          <w:szCs w:val="24"/>
        </w:rPr>
      </w:pPr>
    </w:p>
    <w:p w14:paraId="5DD9A1D5" w14:textId="77777777" w:rsidR="004844C2" w:rsidRPr="00C726EC" w:rsidRDefault="004844C2" w:rsidP="00C726EC">
      <w:pPr>
        <w:spacing w:line="276" w:lineRule="auto"/>
        <w:ind w:firstLine="708"/>
        <w:rPr>
          <w:rFonts w:cs="Tahoma"/>
          <w:szCs w:val="24"/>
        </w:rPr>
      </w:pPr>
      <w:r w:rsidRPr="00C726EC">
        <w:rPr>
          <w:rFonts w:cs="Tahoma"/>
          <w:szCs w:val="24"/>
        </w:rPr>
        <w:t xml:space="preserve">Asimismo, señaló que la declaratoria de ineficacia del traslado causaría eventualmente un detrimento patrimonial para Colpensiones en el caso de que el demandante cumpla con los requisitos exigidos por la ley para una pensión vitalicia. </w:t>
      </w:r>
    </w:p>
    <w:p w14:paraId="01225135" w14:textId="77777777" w:rsidR="004844C2" w:rsidRPr="00C726EC" w:rsidRDefault="004844C2" w:rsidP="00C726EC">
      <w:pPr>
        <w:spacing w:line="276" w:lineRule="auto"/>
        <w:ind w:firstLine="357"/>
        <w:rPr>
          <w:rFonts w:cs="Tahoma"/>
          <w:szCs w:val="24"/>
        </w:rPr>
      </w:pPr>
    </w:p>
    <w:p w14:paraId="1C921627" w14:textId="77777777" w:rsidR="004844C2" w:rsidRPr="00C726EC" w:rsidRDefault="004844C2" w:rsidP="00C726EC">
      <w:pPr>
        <w:spacing w:line="276" w:lineRule="auto"/>
        <w:ind w:firstLine="708"/>
        <w:rPr>
          <w:rFonts w:cs="Tahoma"/>
          <w:szCs w:val="24"/>
        </w:rPr>
      </w:pPr>
      <w:r w:rsidRPr="00C726EC">
        <w:rPr>
          <w:rFonts w:cs="Tahoma"/>
          <w:szCs w:val="24"/>
        </w:rPr>
        <w:t>En caso de confirmar el fallo de primera instancia, solicitó condenar a título de sanción a las administradoras del régimen de ahorro individual a pagar de manera proporcional a Colpensiones un cálculo actuarial equivalente al valor total de las mesadas pensionales liquidadas bajo los parámetros del régimen de prima media de prestación definida, teniendo en cuenta para ello la expectativa de los demandantes y la de sus posibles beneficiarios. Lo anterior sustentado en que Colpensiones es un tercero afectado que no tuvo ninguna participación, ni injerencia en la omisión de la información entregada por los asesores de Horizonte S.A.</w:t>
      </w:r>
    </w:p>
    <w:p w14:paraId="2B689CFA" w14:textId="77777777" w:rsidR="004844C2" w:rsidRPr="00C726EC" w:rsidRDefault="004844C2" w:rsidP="00C726EC">
      <w:pPr>
        <w:spacing w:line="276" w:lineRule="auto"/>
        <w:ind w:firstLine="360"/>
        <w:rPr>
          <w:rFonts w:cs="Tahoma"/>
          <w:szCs w:val="24"/>
        </w:rPr>
      </w:pPr>
    </w:p>
    <w:p w14:paraId="775411B7" w14:textId="2099C0B5" w:rsidR="00F4298B" w:rsidRPr="00C726EC" w:rsidRDefault="0054758D" w:rsidP="00C726EC">
      <w:pPr>
        <w:spacing w:line="276" w:lineRule="auto"/>
        <w:ind w:firstLine="708"/>
        <w:rPr>
          <w:rFonts w:cs="Tahoma"/>
          <w:szCs w:val="24"/>
        </w:rPr>
      </w:pPr>
      <w:r w:rsidRPr="00C726EC">
        <w:rPr>
          <w:rFonts w:cs="Tahoma"/>
          <w:szCs w:val="24"/>
        </w:rPr>
        <w:t xml:space="preserve">Tal </w:t>
      </w:r>
      <w:r w:rsidR="00473BC1" w:rsidRPr="00C726EC">
        <w:rPr>
          <w:rFonts w:cs="Tahoma"/>
          <w:szCs w:val="24"/>
        </w:rPr>
        <w:t xml:space="preserve">como se </w:t>
      </w:r>
      <w:r w:rsidR="00022EDE" w:rsidRPr="00C726EC">
        <w:rPr>
          <w:rFonts w:cs="Tahoma"/>
          <w:szCs w:val="24"/>
        </w:rPr>
        <w:t xml:space="preserve">advirtiera </w:t>
      </w:r>
      <w:r w:rsidR="00473BC1" w:rsidRPr="00C726EC">
        <w:rPr>
          <w:rFonts w:cs="Tahoma"/>
          <w:szCs w:val="24"/>
        </w:rPr>
        <w:t>en precedencia, al haber sido condenada Colpensiones, se revisará la decisión de primer grado en virtud del grado jurisdiccional de consulta.</w:t>
      </w:r>
    </w:p>
    <w:p w14:paraId="13CAE69F" w14:textId="69FE17A2" w:rsidR="00AE042F" w:rsidRPr="00C726EC" w:rsidRDefault="00AE042F" w:rsidP="00C726EC">
      <w:pPr>
        <w:spacing w:line="276" w:lineRule="auto"/>
        <w:ind w:firstLine="360"/>
        <w:rPr>
          <w:rFonts w:cs="Tahoma"/>
          <w:szCs w:val="24"/>
        </w:rPr>
      </w:pPr>
    </w:p>
    <w:p w14:paraId="20058931" w14:textId="77777777" w:rsidR="00790DA9" w:rsidRPr="00C726EC" w:rsidRDefault="00790DA9" w:rsidP="00C726EC">
      <w:pPr>
        <w:pStyle w:val="Prrafodelista"/>
        <w:numPr>
          <w:ilvl w:val="0"/>
          <w:numId w:val="1"/>
        </w:numPr>
        <w:spacing w:line="276" w:lineRule="auto"/>
        <w:ind w:left="426" w:hanging="426"/>
        <w:jc w:val="center"/>
        <w:rPr>
          <w:rFonts w:cs="Tahoma"/>
          <w:b/>
          <w:caps/>
          <w:szCs w:val="24"/>
        </w:rPr>
      </w:pPr>
      <w:r w:rsidRPr="00C726EC">
        <w:rPr>
          <w:rFonts w:cs="Tahoma"/>
          <w:b/>
          <w:szCs w:val="24"/>
        </w:rPr>
        <w:t xml:space="preserve">Alegatos de </w:t>
      </w:r>
      <w:r w:rsidRPr="00C726EC">
        <w:rPr>
          <w:rFonts w:cs="Tahoma"/>
          <w:b/>
          <w:bCs/>
          <w:szCs w:val="24"/>
        </w:rPr>
        <w:t>conclusión</w:t>
      </w:r>
    </w:p>
    <w:p w14:paraId="0F6CF093" w14:textId="77777777" w:rsidR="00790DA9" w:rsidRPr="00C726EC" w:rsidRDefault="00790DA9" w:rsidP="00C726EC">
      <w:pPr>
        <w:widowControl w:val="0"/>
        <w:autoSpaceDE w:val="0"/>
        <w:autoSpaceDN w:val="0"/>
        <w:adjustRightInd w:val="0"/>
        <w:spacing w:line="276" w:lineRule="auto"/>
        <w:rPr>
          <w:rFonts w:cs="Tahoma"/>
          <w:szCs w:val="24"/>
        </w:rPr>
      </w:pPr>
    </w:p>
    <w:p w14:paraId="6D852E31" w14:textId="77777777" w:rsidR="003C46FA" w:rsidRPr="00C726EC" w:rsidRDefault="003C46FA" w:rsidP="00C726EC">
      <w:pPr>
        <w:spacing w:line="276" w:lineRule="auto"/>
        <w:ind w:firstLine="708"/>
        <w:rPr>
          <w:rFonts w:cs="Tahoma"/>
          <w:szCs w:val="24"/>
        </w:rPr>
      </w:pPr>
      <w:r w:rsidRPr="00C726EC">
        <w:rPr>
          <w:rFonts w:cs="Tahoma"/>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388DC67F" w14:textId="77777777" w:rsidR="00790DA9" w:rsidRPr="00C726EC" w:rsidRDefault="00790DA9" w:rsidP="00C726EC">
      <w:pPr>
        <w:spacing w:line="276" w:lineRule="auto"/>
        <w:rPr>
          <w:rFonts w:cs="Tahoma"/>
          <w:b/>
          <w:bCs/>
          <w:szCs w:val="24"/>
        </w:rPr>
      </w:pPr>
    </w:p>
    <w:p w14:paraId="3204CC61" w14:textId="77777777" w:rsidR="00790DA9" w:rsidRPr="00C726EC" w:rsidRDefault="00790DA9" w:rsidP="00C726EC">
      <w:pPr>
        <w:pStyle w:val="Prrafodelista"/>
        <w:numPr>
          <w:ilvl w:val="0"/>
          <w:numId w:val="1"/>
        </w:numPr>
        <w:spacing w:line="276" w:lineRule="auto"/>
        <w:ind w:left="426" w:hanging="426"/>
        <w:jc w:val="center"/>
        <w:rPr>
          <w:rFonts w:cs="Tahoma"/>
          <w:b/>
          <w:szCs w:val="24"/>
        </w:rPr>
      </w:pPr>
      <w:r w:rsidRPr="00C726EC">
        <w:rPr>
          <w:rFonts w:cs="Tahoma"/>
          <w:b/>
          <w:bCs/>
          <w:szCs w:val="24"/>
        </w:rPr>
        <w:t>Problemas</w:t>
      </w:r>
      <w:r w:rsidRPr="00C726EC">
        <w:rPr>
          <w:rStyle w:val="normaltextrun"/>
          <w:rFonts w:cs="Tahoma"/>
          <w:b/>
          <w:bCs/>
          <w:szCs w:val="24"/>
        </w:rPr>
        <w:t xml:space="preserve"> jurídicos por resolver</w:t>
      </w:r>
    </w:p>
    <w:p w14:paraId="1ED73638" w14:textId="32B2388A" w:rsidR="0034303C" w:rsidRPr="00C726EC" w:rsidRDefault="00790DA9" w:rsidP="00C726EC">
      <w:pPr>
        <w:pStyle w:val="paragraph"/>
        <w:tabs>
          <w:tab w:val="left" w:pos="700"/>
        </w:tabs>
        <w:spacing w:before="0" w:beforeAutospacing="0" w:after="0" w:afterAutospacing="0" w:line="276" w:lineRule="auto"/>
        <w:textAlignment w:val="baseline"/>
        <w:rPr>
          <w:rFonts w:ascii="Tahoma" w:hAnsi="Tahoma" w:cs="Tahoma"/>
        </w:rPr>
      </w:pPr>
      <w:r w:rsidRPr="00C726EC">
        <w:rPr>
          <w:rStyle w:val="eop"/>
          <w:rFonts w:ascii="Tahoma" w:hAnsi="Tahoma" w:cs="Tahoma"/>
        </w:rPr>
        <w:t> </w:t>
      </w:r>
      <w:r w:rsidR="000337DA" w:rsidRPr="00C726EC">
        <w:rPr>
          <w:rStyle w:val="eop"/>
          <w:rFonts w:ascii="Tahoma" w:hAnsi="Tahoma" w:cs="Tahoma"/>
        </w:rPr>
        <w:tab/>
      </w:r>
      <w:r w:rsidR="0034303C" w:rsidRPr="00C726EC">
        <w:rPr>
          <w:rFonts w:ascii="Tahoma" w:hAnsi="Tahoma" w:cs="Tahoma"/>
        </w:rPr>
        <w:t> </w:t>
      </w:r>
    </w:p>
    <w:p w14:paraId="4147B4C5" w14:textId="7777777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 xml:space="preserve">De acuerdo a los argumentos expuestos en la sentencia de primera instancia, los fundamentos de la apelación y los alegatos de conclusión, le corresponde a la Sala resolver los siguientes problemas jurídicos: </w:t>
      </w:r>
    </w:p>
    <w:p w14:paraId="76EECCC5"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42328E4A" w14:textId="77777777" w:rsidR="0034303C" w:rsidRPr="00C726EC" w:rsidRDefault="0034303C" w:rsidP="00C726EC">
      <w:pPr>
        <w:widowControl w:val="0"/>
        <w:numPr>
          <w:ilvl w:val="0"/>
          <w:numId w:val="10"/>
        </w:numPr>
        <w:autoSpaceDE w:val="0"/>
        <w:autoSpaceDN w:val="0"/>
        <w:adjustRightInd w:val="0"/>
        <w:spacing w:line="276" w:lineRule="auto"/>
        <w:rPr>
          <w:rFonts w:cs="Tahoma"/>
          <w:szCs w:val="24"/>
        </w:rPr>
      </w:pPr>
      <w:r w:rsidRPr="00C726EC">
        <w:rPr>
          <w:rFonts w:cs="Tahoma"/>
          <w:szCs w:val="24"/>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288975F1"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3C7E55D9" w14:textId="77777777" w:rsidR="0034303C" w:rsidRPr="00C726EC" w:rsidRDefault="0034303C" w:rsidP="00C726EC">
      <w:pPr>
        <w:widowControl w:val="0"/>
        <w:numPr>
          <w:ilvl w:val="0"/>
          <w:numId w:val="10"/>
        </w:numPr>
        <w:autoSpaceDE w:val="0"/>
        <w:autoSpaceDN w:val="0"/>
        <w:adjustRightInd w:val="0"/>
        <w:spacing w:line="276" w:lineRule="auto"/>
        <w:rPr>
          <w:rFonts w:cs="Tahoma"/>
          <w:szCs w:val="24"/>
        </w:rPr>
      </w:pPr>
      <w:r w:rsidRPr="00C726EC">
        <w:rPr>
          <w:rFonts w:cs="Tahoma"/>
          <w:szCs w:val="24"/>
        </w:rPr>
        <w:t xml:space="preserve">Definir si para dar por cumplido el deber de información de las AFP es suficiente el diligenciamiento del formulario de afiliación. </w:t>
      </w:r>
    </w:p>
    <w:p w14:paraId="55B0419E"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65D237CB" w14:textId="77777777" w:rsidR="0034303C" w:rsidRPr="00C726EC" w:rsidRDefault="0034303C" w:rsidP="00C726EC">
      <w:pPr>
        <w:widowControl w:val="0"/>
        <w:numPr>
          <w:ilvl w:val="0"/>
          <w:numId w:val="10"/>
        </w:numPr>
        <w:autoSpaceDE w:val="0"/>
        <w:autoSpaceDN w:val="0"/>
        <w:adjustRightInd w:val="0"/>
        <w:spacing w:line="276" w:lineRule="auto"/>
        <w:rPr>
          <w:rFonts w:cs="Tahoma"/>
          <w:szCs w:val="24"/>
        </w:rPr>
      </w:pPr>
      <w:r w:rsidRPr="00C726EC">
        <w:rPr>
          <w:rFonts w:cs="Tahoma"/>
          <w:szCs w:val="24"/>
        </w:rPr>
        <w:t xml:space="preserve"> Determinar la carga probatoria que les corresponde a cada una de las partes cuando está en discusión la eficacia del traslado entre regímenes pensionales.</w:t>
      </w:r>
    </w:p>
    <w:p w14:paraId="4CB34814"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14E0FF3C" w14:textId="77777777" w:rsidR="0034303C" w:rsidRPr="00C726EC" w:rsidRDefault="0034303C" w:rsidP="00C726EC">
      <w:pPr>
        <w:widowControl w:val="0"/>
        <w:numPr>
          <w:ilvl w:val="0"/>
          <w:numId w:val="10"/>
        </w:numPr>
        <w:autoSpaceDE w:val="0"/>
        <w:autoSpaceDN w:val="0"/>
        <w:adjustRightInd w:val="0"/>
        <w:spacing w:line="276" w:lineRule="auto"/>
        <w:rPr>
          <w:rFonts w:cs="Tahoma"/>
          <w:szCs w:val="24"/>
        </w:rPr>
      </w:pPr>
      <w:r w:rsidRPr="00C726EC">
        <w:rPr>
          <w:rFonts w:cs="Tahoma"/>
          <w:szCs w:val="24"/>
        </w:rPr>
        <w:lastRenderedPageBreak/>
        <w:t>Establecer si e</w:t>
      </w:r>
      <w:r w:rsidRPr="00C726EC">
        <w:rPr>
          <w:rFonts w:cs="Tahoma"/>
          <w:bCs/>
          <w:szCs w:val="24"/>
        </w:rPr>
        <w:t xml:space="preserve">l movimiento de los afiliados dentro del régimen de ahorro </w:t>
      </w:r>
      <w:r w:rsidRPr="00C726EC">
        <w:rPr>
          <w:rFonts w:cs="Tahoma"/>
          <w:szCs w:val="24"/>
        </w:rPr>
        <w:t>individual</w:t>
      </w:r>
      <w:r w:rsidRPr="00C726EC">
        <w:rPr>
          <w:rFonts w:cs="Tahoma"/>
          <w:bCs/>
          <w:szCs w:val="24"/>
        </w:rPr>
        <w:t xml:space="preserve"> con solidaridad convalida el traslado inicial efectuado desde el RPM hacia el RAIS. </w:t>
      </w:r>
      <w:r w:rsidRPr="00C726EC">
        <w:rPr>
          <w:rFonts w:cs="Tahoma"/>
          <w:szCs w:val="24"/>
        </w:rPr>
        <w:t> </w:t>
      </w:r>
    </w:p>
    <w:p w14:paraId="16AC5DB7"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6D9402CE" w14:textId="40E926FB" w:rsidR="0034303C" w:rsidRPr="00C726EC" w:rsidRDefault="0034303C" w:rsidP="00C726EC">
      <w:pPr>
        <w:widowControl w:val="0"/>
        <w:numPr>
          <w:ilvl w:val="0"/>
          <w:numId w:val="10"/>
        </w:numPr>
        <w:autoSpaceDE w:val="0"/>
        <w:autoSpaceDN w:val="0"/>
        <w:adjustRightInd w:val="0"/>
        <w:spacing w:line="276" w:lineRule="auto"/>
        <w:rPr>
          <w:rFonts w:cs="Tahoma"/>
          <w:szCs w:val="24"/>
        </w:rPr>
      </w:pPr>
      <w:r w:rsidRPr="00C726EC">
        <w:rPr>
          <w:rFonts w:cs="Tahoma"/>
          <w:szCs w:val="24"/>
        </w:rPr>
        <w:t>Analizar si quedó probado en el proceso que la parte demandante recibió de parte de la AFP demandada la asesoría e información suficiente y necesaria para hacer el cambio de régimen.</w:t>
      </w:r>
    </w:p>
    <w:p w14:paraId="623C840E"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46A30A97" w14:textId="77777777" w:rsidR="0034303C" w:rsidRPr="00C726EC" w:rsidRDefault="0034303C" w:rsidP="00C726EC">
      <w:pPr>
        <w:widowControl w:val="0"/>
        <w:numPr>
          <w:ilvl w:val="0"/>
          <w:numId w:val="10"/>
        </w:numPr>
        <w:autoSpaceDE w:val="0"/>
        <w:autoSpaceDN w:val="0"/>
        <w:adjustRightInd w:val="0"/>
        <w:spacing w:line="276" w:lineRule="auto"/>
        <w:rPr>
          <w:rFonts w:cs="Tahoma"/>
          <w:szCs w:val="24"/>
        </w:rPr>
      </w:pPr>
      <w:r w:rsidRPr="00C726EC">
        <w:rPr>
          <w:rFonts w:cs="Tahoma"/>
          <w:szCs w:val="24"/>
        </w:rPr>
        <w:t>Analizar si hay lugar a ordenar a Porvenir S.A., a pagar a Colpensiones, a título de resarcimiento, los valores que se puedan generar para la financiación de la pensión o prestaciones a favor de la demandante, como lo propone Colpensiones.</w:t>
      </w:r>
    </w:p>
    <w:p w14:paraId="77DA2635"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06F8B9EA" w14:textId="10ECE18D" w:rsidR="0034303C" w:rsidRPr="00C726EC" w:rsidRDefault="0034303C" w:rsidP="00C726EC">
      <w:pPr>
        <w:widowControl w:val="0"/>
        <w:numPr>
          <w:ilvl w:val="0"/>
          <w:numId w:val="10"/>
        </w:numPr>
        <w:autoSpaceDE w:val="0"/>
        <w:autoSpaceDN w:val="0"/>
        <w:adjustRightInd w:val="0"/>
        <w:spacing w:line="276" w:lineRule="auto"/>
        <w:rPr>
          <w:rFonts w:cs="Tahoma"/>
          <w:szCs w:val="24"/>
        </w:rPr>
      </w:pPr>
      <w:r w:rsidRPr="00C726EC">
        <w:rPr>
          <w:rFonts w:cs="Tahoma"/>
          <w:szCs w:val="24"/>
        </w:rPr>
        <w:t>Establecer si es dable ordenar la devolución de los gastos de</w:t>
      </w:r>
      <w:r w:rsidRPr="00C726EC">
        <w:rPr>
          <w:rFonts w:cs="Tahoma"/>
          <w:szCs w:val="24"/>
        </w:rPr>
        <w:br/>
        <w:t>administración, rendimientos y seguros previsionales a Colpensiones, con cargo a sus propios recursos y debidamente indexados, durante el periodo en que estuvo afiliada la parte demandante en cada entidad.</w:t>
      </w:r>
    </w:p>
    <w:p w14:paraId="0753CE15" w14:textId="77777777" w:rsidR="0054758D" w:rsidRPr="00C726EC" w:rsidRDefault="0054758D" w:rsidP="00C726EC">
      <w:pPr>
        <w:pStyle w:val="Prrafodelista"/>
        <w:spacing w:line="276" w:lineRule="auto"/>
        <w:rPr>
          <w:rFonts w:cs="Tahoma"/>
          <w:szCs w:val="24"/>
        </w:rPr>
      </w:pPr>
    </w:p>
    <w:p w14:paraId="6A9593CB" w14:textId="55699D73" w:rsidR="0054758D" w:rsidRPr="00C726EC" w:rsidRDefault="0054758D" w:rsidP="00C726EC">
      <w:pPr>
        <w:widowControl w:val="0"/>
        <w:numPr>
          <w:ilvl w:val="0"/>
          <w:numId w:val="10"/>
        </w:numPr>
        <w:autoSpaceDE w:val="0"/>
        <w:autoSpaceDN w:val="0"/>
        <w:adjustRightInd w:val="0"/>
        <w:spacing w:line="276" w:lineRule="auto"/>
        <w:rPr>
          <w:rFonts w:cs="Tahoma"/>
          <w:szCs w:val="24"/>
        </w:rPr>
      </w:pPr>
      <w:r w:rsidRPr="00C726EC">
        <w:rPr>
          <w:rFonts w:cs="Tahoma"/>
          <w:szCs w:val="24"/>
        </w:rPr>
        <w:t>Establecer si hay lugar a exonerar en costas a la AFP del RAIS Porvenir S.A.</w:t>
      </w:r>
    </w:p>
    <w:p w14:paraId="356F84B3"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12429BC6" w14:textId="77777777" w:rsidR="0034303C" w:rsidRPr="00C726EC" w:rsidRDefault="0034303C" w:rsidP="00C726EC">
      <w:pPr>
        <w:widowControl w:val="0"/>
        <w:numPr>
          <w:ilvl w:val="0"/>
          <w:numId w:val="1"/>
        </w:numPr>
        <w:autoSpaceDE w:val="0"/>
        <w:autoSpaceDN w:val="0"/>
        <w:adjustRightInd w:val="0"/>
        <w:spacing w:line="276" w:lineRule="auto"/>
        <w:jc w:val="center"/>
        <w:rPr>
          <w:rFonts w:cs="Tahoma"/>
          <w:b/>
          <w:bCs/>
          <w:szCs w:val="24"/>
        </w:rPr>
      </w:pPr>
      <w:r w:rsidRPr="00C726EC">
        <w:rPr>
          <w:rFonts w:cs="Tahoma"/>
          <w:b/>
          <w:bCs/>
          <w:szCs w:val="24"/>
        </w:rPr>
        <w:t>Consideraciones</w:t>
      </w:r>
    </w:p>
    <w:p w14:paraId="6DD6A09C" w14:textId="77777777" w:rsidR="0034303C" w:rsidRPr="00C726EC" w:rsidRDefault="0034303C" w:rsidP="00C726EC">
      <w:pPr>
        <w:widowControl w:val="0"/>
        <w:autoSpaceDE w:val="0"/>
        <w:autoSpaceDN w:val="0"/>
        <w:adjustRightInd w:val="0"/>
        <w:spacing w:line="276" w:lineRule="auto"/>
        <w:ind w:firstLine="284"/>
        <w:rPr>
          <w:rFonts w:cs="Tahoma"/>
          <w:b/>
          <w:szCs w:val="24"/>
        </w:rPr>
      </w:pPr>
    </w:p>
    <w:p w14:paraId="5DDC8225" w14:textId="77777777" w:rsidR="0034303C" w:rsidRPr="00C726EC" w:rsidRDefault="0034303C" w:rsidP="00C726EC">
      <w:pPr>
        <w:widowControl w:val="0"/>
        <w:numPr>
          <w:ilvl w:val="1"/>
          <w:numId w:val="9"/>
        </w:numPr>
        <w:autoSpaceDE w:val="0"/>
        <w:autoSpaceDN w:val="0"/>
        <w:adjustRightInd w:val="0"/>
        <w:spacing w:line="276" w:lineRule="auto"/>
        <w:rPr>
          <w:rFonts w:cs="Tahoma"/>
          <w:b/>
          <w:szCs w:val="24"/>
        </w:rPr>
      </w:pPr>
      <w:r w:rsidRPr="00C726EC">
        <w:rPr>
          <w:rFonts w:cs="Tahoma"/>
          <w:b/>
          <w:szCs w:val="24"/>
        </w:rPr>
        <w:t xml:space="preserve">Precedente vertical: la tesis de la Corte Suprema de Justicia respecto al tema de la ineficacia del traslado constituye doctrina probable </w:t>
      </w:r>
    </w:p>
    <w:p w14:paraId="6F79C0D9"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2CE824E4" w14:textId="7777777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 xml:space="preserve">En la actualidad existe </w:t>
      </w:r>
      <w:r w:rsidRPr="00C726EC">
        <w:rPr>
          <w:rFonts w:cs="Tahoma"/>
          <w:b/>
          <w:szCs w:val="24"/>
        </w:rPr>
        <w:t>doctrina probable</w:t>
      </w:r>
      <w:r w:rsidRPr="00C726EC">
        <w:rPr>
          <w:rFonts w:cs="Tahoma"/>
          <w:szCs w:val="24"/>
        </w:rPr>
        <w:t xml:space="preserve"> respecto a la ineficacia de los traslados de regímenes, por cuanto la Sala de Casación Laboral ha proferido sobre el tema un número considerable de sentencias (más de 40), entre otras, las siguientes: </w:t>
      </w:r>
    </w:p>
    <w:p w14:paraId="60DC1392"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75E7B296" w14:textId="7777777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bCs/>
          <w:szCs w:val="24"/>
        </w:rPr>
        <w:t xml:space="preserve">SL 31989 del 9 sep. 2008, </w:t>
      </w:r>
      <w:r w:rsidRPr="00C726EC">
        <w:rPr>
          <w:rFonts w:cs="Tahoma"/>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54BB0992"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266B013B" w14:textId="7777777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 xml:space="preserve">En términos generales, en todas estas sentencias se determinó </w:t>
      </w:r>
      <w:r w:rsidRPr="00C726EC">
        <w:rPr>
          <w:rFonts w:cs="Tahoma"/>
          <w:i/>
          <w:szCs w:val="24"/>
        </w:rPr>
        <w:t xml:space="preserve">i) </w:t>
      </w:r>
      <w:r w:rsidRPr="00C726EC">
        <w:rPr>
          <w:rFonts w:cs="Tahoma"/>
          <w:szCs w:val="24"/>
        </w:rPr>
        <w:t xml:space="preserve">el alcance del deber de información a cargo de las Administradoras de Fondos de Pensiones, </w:t>
      </w:r>
      <w:r w:rsidRPr="00C726EC">
        <w:rPr>
          <w:rFonts w:cs="Tahoma"/>
          <w:i/>
          <w:szCs w:val="24"/>
        </w:rPr>
        <w:t xml:space="preserve">ii) </w:t>
      </w:r>
      <w:r w:rsidRPr="00C726EC">
        <w:rPr>
          <w:rFonts w:cs="Tahoma"/>
          <w:szCs w:val="24"/>
        </w:rPr>
        <w:t xml:space="preserve">la procedencia de la ineficacia del traslado, </w:t>
      </w:r>
      <w:proofErr w:type="spellStart"/>
      <w:r w:rsidRPr="00C726EC">
        <w:rPr>
          <w:rFonts w:cs="Tahoma"/>
          <w:i/>
          <w:szCs w:val="24"/>
        </w:rPr>
        <w:t>iii</w:t>
      </w:r>
      <w:proofErr w:type="spellEnd"/>
      <w:r w:rsidRPr="00C726EC">
        <w:rPr>
          <w:rFonts w:cs="Tahoma"/>
          <w:i/>
          <w:szCs w:val="24"/>
        </w:rPr>
        <w:t xml:space="preserve">) </w:t>
      </w:r>
      <w:r w:rsidRPr="00C726EC">
        <w:rPr>
          <w:rFonts w:cs="Tahoma"/>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721AEA14"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0D930392" w14:textId="77777777" w:rsidR="0034303C" w:rsidRPr="00C726EC" w:rsidRDefault="0034303C" w:rsidP="00C726EC">
      <w:pPr>
        <w:widowControl w:val="0"/>
        <w:numPr>
          <w:ilvl w:val="1"/>
          <w:numId w:val="9"/>
        </w:numPr>
        <w:autoSpaceDE w:val="0"/>
        <w:autoSpaceDN w:val="0"/>
        <w:adjustRightInd w:val="0"/>
        <w:spacing w:line="276" w:lineRule="auto"/>
        <w:rPr>
          <w:rFonts w:cs="Tahoma"/>
          <w:b/>
          <w:iCs/>
          <w:szCs w:val="24"/>
        </w:rPr>
      </w:pPr>
      <w:r w:rsidRPr="00C726EC">
        <w:rPr>
          <w:rFonts w:cs="Tahoma"/>
          <w:b/>
          <w:iCs/>
          <w:szCs w:val="24"/>
        </w:rPr>
        <w:t>“El deber de información a cargo de las administradoras de fondos de pensiones: Un deber exigible desde su creación</w:t>
      </w:r>
      <w:r w:rsidRPr="00C726EC">
        <w:rPr>
          <w:rFonts w:cs="Tahoma"/>
          <w:b/>
          <w:iCs/>
          <w:szCs w:val="24"/>
          <w:vertAlign w:val="superscript"/>
        </w:rPr>
        <w:footnoteReference w:id="1"/>
      </w:r>
      <w:r w:rsidRPr="00C726EC">
        <w:rPr>
          <w:rFonts w:cs="Tahoma"/>
          <w:b/>
          <w:iCs/>
          <w:szCs w:val="24"/>
        </w:rPr>
        <w:t>”</w:t>
      </w:r>
    </w:p>
    <w:p w14:paraId="5BFCA6B8" w14:textId="77777777" w:rsidR="0034303C" w:rsidRPr="00C726EC" w:rsidRDefault="0034303C" w:rsidP="00C726EC">
      <w:pPr>
        <w:widowControl w:val="0"/>
        <w:autoSpaceDE w:val="0"/>
        <w:autoSpaceDN w:val="0"/>
        <w:adjustRightInd w:val="0"/>
        <w:spacing w:line="276" w:lineRule="auto"/>
        <w:ind w:firstLine="284"/>
        <w:rPr>
          <w:rFonts w:cs="Tahoma"/>
          <w:i/>
          <w:szCs w:val="24"/>
        </w:rPr>
      </w:pPr>
    </w:p>
    <w:p w14:paraId="0694C0E8" w14:textId="7777777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 xml:space="preserve">Dado que las Administradoras de Fondos de Pensiones son organismos profesionales, resulta aplicable el artículo 1604 del Código Civil, según el cual la prueba de la </w:t>
      </w:r>
      <w:r w:rsidRPr="00C726EC">
        <w:rPr>
          <w:rFonts w:cs="Tahoma"/>
          <w:szCs w:val="24"/>
          <w:u w:val="single"/>
        </w:rPr>
        <w:t>debida diligencia y cuidado</w:t>
      </w:r>
      <w:r w:rsidRPr="00C726EC">
        <w:rPr>
          <w:rFonts w:cs="Tahoma"/>
          <w:szCs w:val="24"/>
        </w:rPr>
        <w:t xml:space="preserve"> incumbe a quien ha debido emplearla, atendiendo a las siguientes razones:</w:t>
      </w:r>
    </w:p>
    <w:p w14:paraId="13B93284" w14:textId="77777777" w:rsidR="0034303C" w:rsidRPr="00C726EC" w:rsidRDefault="0034303C" w:rsidP="00C726EC">
      <w:pPr>
        <w:widowControl w:val="0"/>
        <w:autoSpaceDE w:val="0"/>
        <w:autoSpaceDN w:val="0"/>
        <w:adjustRightInd w:val="0"/>
        <w:spacing w:line="276" w:lineRule="auto"/>
        <w:ind w:firstLine="284"/>
        <w:rPr>
          <w:rFonts w:cs="Tahoma"/>
          <w:b/>
          <w:szCs w:val="24"/>
        </w:rPr>
      </w:pPr>
    </w:p>
    <w:p w14:paraId="42D3A834"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b/>
          <w:szCs w:val="24"/>
        </w:rPr>
        <w:t>1)</w:t>
      </w:r>
      <w:r w:rsidRPr="00C726EC">
        <w:rPr>
          <w:rFonts w:cs="Tahoma"/>
          <w:szCs w:val="24"/>
        </w:rPr>
        <w:t xml:space="preserve"> Las Administradoras de Fondos de Pensiones tienen deberes de carácter profesional con sus afiliados y con los consumidores del mercado potencial en general. Además, sus actividades se encuentran reguladas por el </w:t>
      </w:r>
      <w:r w:rsidRPr="00C726EC">
        <w:rPr>
          <w:rFonts w:cs="Tahoma"/>
          <w:szCs w:val="24"/>
          <w:u w:val="single"/>
        </w:rPr>
        <w:t>Decreto 663 de 1993</w:t>
      </w:r>
      <w:r w:rsidRPr="00C726EC">
        <w:rPr>
          <w:rFonts w:cs="Tahoma"/>
          <w:szCs w:val="24"/>
          <w:u w:val="single"/>
          <w:vertAlign w:val="superscript"/>
        </w:rPr>
        <w:footnoteReference w:id="2"/>
      </w:r>
      <w:r w:rsidRPr="00C726EC">
        <w:rPr>
          <w:rFonts w:cs="Tahoma"/>
          <w:szCs w:val="24"/>
        </w:rPr>
        <w:t>, norma en la que se destaca la importancia de los principios de debida diligencia, transparencia e información cierta, suficiente y oportuna.</w:t>
      </w:r>
    </w:p>
    <w:p w14:paraId="4CE899D9"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1262F433"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b/>
          <w:szCs w:val="24"/>
        </w:rPr>
        <w:t>2)</w:t>
      </w:r>
      <w:r w:rsidRPr="00C726EC">
        <w:rPr>
          <w:rFonts w:cs="Tahoma"/>
          <w:szCs w:val="24"/>
        </w:rPr>
        <w:t xml:space="preserve"> Adicionalmente, se tiene previsto en el artículo 12 del Decreto 720 de 1994, que los promotores que empleen las sociedades administradoras del sistema general de pensiones deberán suministrar </w:t>
      </w:r>
      <w:r w:rsidRPr="00C726EC">
        <w:rPr>
          <w:rFonts w:cs="Tahoma"/>
          <w:szCs w:val="24"/>
          <w:u w:val="single"/>
        </w:rPr>
        <w:t>suficiente, amplia y oportuna</w:t>
      </w:r>
      <w:r w:rsidRPr="00C726EC">
        <w:rPr>
          <w:rFonts w:cs="Tahoma"/>
          <w:szCs w:val="24"/>
        </w:rPr>
        <w:t xml:space="preserve"> información a los posibles afiliados al momento de la promoción de la afiliación y durante toda la vinculación con ocasión de las prestaciones a las cuales tenga derecho el afiliado. </w:t>
      </w:r>
    </w:p>
    <w:p w14:paraId="793EFE3F"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00ACC029"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b/>
          <w:szCs w:val="24"/>
        </w:rPr>
        <w:t>3)</w:t>
      </w:r>
      <w:r w:rsidRPr="00C726EC">
        <w:rPr>
          <w:rFonts w:cs="Tahoma"/>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E548F60"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0D0D55B5" w14:textId="1CA8E3E9" w:rsidR="0034303C" w:rsidRPr="00C726EC" w:rsidRDefault="0034303C" w:rsidP="00C726EC">
      <w:pPr>
        <w:widowControl w:val="0"/>
        <w:autoSpaceDE w:val="0"/>
        <w:autoSpaceDN w:val="0"/>
        <w:adjustRightInd w:val="0"/>
        <w:spacing w:line="276" w:lineRule="auto"/>
        <w:ind w:firstLine="284"/>
        <w:rPr>
          <w:rFonts w:cs="Tahoma"/>
          <w:iCs/>
          <w:szCs w:val="24"/>
          <w:u w:val="single"/>
        </w:rPr>
      </w:pPr>
      <w:r w:rsidRPr="00C726EC">
        <w:rPr>
          <w:rFonts w:cs="Tahoma"/>
          <w:b/>
          <w:szCs w:val="24"/>
        </w:rPr>
        <w:t>4)</w:t>
      </w:r>
      <w:r w:rsidRPr="00C726EC">
        <w:rPr>
          <w:rFonts w:cs="Tahoma"/>
          <w:szCs w:val="24"/>
        </w:rPr>
        <w:t xml:space="preserve"> En numerosas sentencias del órgano de cierre de la jurisdicción ordinaria laboral, se ha establecido que no puede argüirse que </w:t>
      </w:r>
      <w:r w:rsidRPr="00C726EC">
        <w:rPr>
          <w:rFonts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C726EC">
        <w:rPr>
          <w:rFonts w:cs="Tahoma"/>
          <w:i/>
          <w:iCs/>
          <w:szCs w:val="24"/>
        </w:rPr>
        <w:t>“</w:t>
      </w:r>
      <w:r w:rsidRPr="00C6599D">
        <w:rPr>
          <w:rFonts w:cs="Tahoma"/>
          <w:i/>
          <w:iCs/>
          <w:sz w:val="22"/>
          <w:szCs w:val="24"/>
          <w:u w:val="single"/>
        </w:rPr>
        <w:t>dar cuenta de que documentaron clara y suficientemente los efectos que acarrea el cambio de régimen, so pena de declarar ineficaz ese tránsito</w:t>
      </w:r>
      <w:r w:rsidRPr="00C726EC">
        <w:rPr>
          <w:rFonts w:cs="Tahoma"/>
          <w:i/>
          <w:iCs/>
          <w:szCs w:val="24"/>
          <w:u w:val="single"/>
        </w:rPr>
        <w:t>”</w:t>
      </w:r>
      <w:r w:rsidRPr="00C726EC">
        <w:rPr>
          <w:rFonts w:cs="Tahoma"/>
          <w:iCs/>
          <w:szCs w:val="24"/>
          <w:u w:val="single"/>
        </w:rPr>
        <w:t>.</w:t>
      </w:r>
    </w:p>
    <w:p w14:paraId="539DBB1F" w14:textId="77777777" w:rsidR="0034303C" w:rsidRPr="00C726EC" w:rsidRDefault="0034303C" w:rsidP="00C726EC">
      <w:pPr>
        <w:widowControl w:val="0"/>
        <w:autoSpaceDE w:val="0"/>
        <w:autoSpaceDN w:val="0"/>
        <w:adjustRightInd w:val="0"/>
        <w:spacing w:line="276" w:lineRule="auto"/>
        <w:ind w:firstLine="284"/>
        <w:rPr>
          <w:rFonts w:cs="Tahoma"/>
          <w:iCs/>
          <w:szCs w:val="24"/>
          <w:u w:val="single"/>
        </w:rPr>
      </w:pPr>
    </w:p>
    <w:p w14:paraId="65208135" w14:textId="77777777" w:rsidR="0034303C" w:rsidRPr="00C726EC" w:rsidRDefault="0034303C" w:rsidP="00C726EC">
      <w:pPr>
        <w:widowControl w:val="0"/>
        <w:autoSpaceDE w:val="0"/>
        <w:autoSpaceDN w:val="0"/>
        <w:adjustRightInd w:val="0"/>
        <w:spacing w:line="276" w:lineRule="auto"/>
        <w:ind w:firstLine="284"/>
        <w:rPr>
          <w:rFonts w:cs="Tahoma"/>
          <w:iCs/>
          <w:szCs w:val="24"/>
        </w:rPr>
      </w:pPr>
      <w:r w:rsidRPr="00C726EC">
        <w:rPr>
          <w:rFonts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B09AC24" w14:textId="77777777" w:rsidR="0034303C" w:rsidRPr="00C726EC" w:rsidRDefault="0034303C" w:rsidP="00C726EC">
      <w:pPr>
        <w:widowControl w:val="0"/>
        <w:autoSpaceDE w:val="0"/>
        <w:autoSpaceDN w:val="0"/>
        <w:adjustRightInd w:val="0"/>
        <w:spacing w:line="276" w:lineRule="auto"/>
        <w:ind w:firstLine="284"/>
        <w:rPr>
          <w:rFonts w:cs="Tahoma"/>
          <w:iCs/>
          <w:szCs w:val="24"/>
        </w:rPr>
      </w:pPr>
    </w:p>
    <w:p w14:paraId="2D1DAB69" w14:textId="77777777" w:rsidR="0034303C" w:rsidRPr="00C726EC" w:rsidRDefault="0034303C" w:rsidP="00C726EC">
      <w:pPr>
        <w:widowControl w:val="0"/>
        <w:autoSpaceDE w:val="0"/>
        <w:autoSpaceDN w:val="0"/>
        <w:adjustRightInd w:val="0"/>
        <w:spacing w:line="276" w:lineRule="auto"/>
        <w:ind w:firstLine="284"/>
        <w:rPr>
          <w:rFonts w:cs="Tahoma"/>
          <w:iCs/>
          <w:szCs w:val="24"/>
        </w:rPr>
      </w:pPr>
      <w:r w:rsidRPr="00C726EC">
        <w:rPr>
          <w:rFonts w:cs="Tahoma"/>
          <w:iCs/>
          <w:szCs w:val="24"/>
        </w:rPr>
        <w:tab/>
        <w:t xml:space="preserve">Dicho deber, como lo ha enseñado la Corte, es exigible desde las etapas previas </w:t>
      </w:r>
      <w:r w:rsidRPr="00C726EC">
        <w:rPr>
          <w:rFonts w:cs="Tahoma"/>
          <w:iCs/>
          <w:szCs w:val="24"/>
        </w:rPr>
        <w:lastRenderedPageBreak/>
        <w:t>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64595D0" w14:textId="77777777" w:rsidR="0034303C" w:rsidRPr="00C726EC" w:rsidRDefault="0034303C" w:rsidP="00C726EC">
      <w:pPr>
        <w:widowControl w:val="0"/>
        <w:autoSpaceDE w:val="0"/>
        <w:autoSpaceDN w:val="0"/>
        <w:adjustRightInd w:val="0"/>
        <w:spacing w:line="276" w:lineRule="auto"/>
        <w:ind w:firstLine="284"/>
        <w:rPr>
          <w:rFonts w:cs="Tahoma"/>
          <w:iCs/>
          <w:szCs w:val="24"/>
        </w:rPr>
      </w:pPr>
    </w:p>
    <w:p w14:paraId="16912F05"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szCs w:val="24"/>
        </w:rPr>
        <w:tab/>
        <w:t xml:space="preserve">Ello así, también ha dicho el órgano de cierre de la especialidad laboral, que las </w:t>
      </w:r>
      <w:proofErr w:type="spellStart"/>
      <w:r w:rsidRPr="00C726EC">
        <w:rPr>
          <w:rFonts w:cs="Tahoma"/>
          <w:szCs w:val="24"/>
        </w:rPr>
        <w:t>AFPs</w:t>
      </w:r>
      <w:proofErr w:type="spellEnd"/>
      <w:r w:rsidRPr="00C726EC">
        <w:rPr>
          <w:rFonts w:cs="Tahoma"/>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5AC5A037"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6AA0502B" w14:textId="77777777" w:rsidR="0034303C" w:rsidRPr="00C726EC" w:rsidRDefault="0034303C" w:rsidP="00C007C6">
      <w:pPr>
        <w:widowControl w:val="0"/>
        <w:autoSpaceDE w:val="0"/>
        <w:autoSpaceDN w:val="0"/>
        <w:adjustRightInd w:val="0"/>
        <w:spacing w:line="276" w:lineRule="auto"/>
        <w:ind w:firstLine="708"/>
        <w:rPr>
          <w:rFonts w:cs="Tahoma"/>
          <w:szCs w:val="24"/>
        </w:rPr>
      </w:pPr>
      <w:r w:rsidRPr="00C726EC">
        <w:rPr>
          <w:rFonts w:cs="Tahoma"/>
          <w:szCs w:val="24"/>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C726EC">
        <w:rPr>
          <w:rFonts w:cs="Tahoma"/>
          <w:b/>
          <w:szCs w:val="24"/>
        </w:rPr>
        <w:t xml:space="preserve">necesaria y transparente, </w:t>
      </w:r>
      <w:r w:rsidRPr="00C726EC">
        <w:rPr>
          <w:rFonts w:cs="Tahoma"/>
          <w:szCs w:val="24"/>
        </w:rPr>
        <w:t xml:space="preserve">que con el transcurrir del tiempo esta exigencia cambió, pasando de un deber de información necesaria al de </w:t>
      </w:r>
      <w:r w:rsidRPr="00C726EC">
        <w:rPr>
          <w:rFonts w:cs="Tahoma"/>
          <w:b/>
          <w:szCs w:val="24"/>
        </w:rPr>
        <w:t>asesoría y buen consejo</w:t>
      </w:r>
      <w:r w:rsidRPr="00C726EC">
        <w:rPr>
          <w:rFonts w:cs="Tahoma"/>
          <w:szCs w:val="24"/>
        </w:rPr>
        <w:t xml:space="preserve">, y finalmente al de </w:t>
      </w:r>
      <w:r w:rsidRPr="00C726EC">
        <w:rPr>
          <w:rFonts w:cs="Tahoma"/>
          <w:b/>
          <w:szCs w:val="24"/>
        </w:rPr>
        <w:t>doble asesoría</w:t>
      </w:r>
      <w:r w:rsidRPr="00C726EC">
        <w:rPr>
          <w:rFonts w:cs="Tahoma"/>
          <w:szCs w:val="24"/>
        </w:rPr>
        <w:t>, explicando en qué consiste cada uno de esos conceptos. Dicho recuento histórico, se compendia de la siguiente manera:</w:t>
      </w:r>
    </w:p>
    <w:p w14:paraId="23307AEF"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37441C99" w14:textId="77777777" w:rsidR="00B94679" w:rsidRPr="00B94679" w:rsidRDefault="00B94679" w:rsidP="00B94679">
      <w:pPr>
        <w:spacing w:line="240" w:lineRule="auto"/>
        <w:ind w:left="426" w:right="420"/>
        <w:textAlignment w:val="baseline"/>
        <w:rPr>
          <w:rFonts w:eastAsia="Times New Roman" w:cs="Tahoma"/>
          <w:sz w:val="22"/>
          <w:szCs w:val="24"/>
          <w:lang w:val="es-ES" w:eastAsia="es-ES"/>
        </w:rPr>
      </w:pPr>
      <w:bookmarkStart w:id="6" w:name="_Hlk66368436"/>
      <w:r w:rsidRPr="00B94679">
        <w:rPr>
          <w:rFonts w:eastAsia="Times New Roman" w:cs="Tahoma"/>
          <w:i/>
          <w:iCs/>
          <w:sz w:val="22"/>
          <w:szCs w:val="24"/>
          <w:lang w:eastAsia="es-ES"/>
        </w:rPr>
        <w:t>“El anterior recuento sobre la evolución normativa del deber de información a cargo de las administradoras de pensiones podría, a grandes rasgos, sintetizarse así:</w:t>
      </w:r>
    </w:p>
    <w:p w14:paraId="4B09DF57" w14:textId="77777777" w:rsidR="00B94679" w:rsidRPr="00B94679" w:rsidRDefault="00B94679" w:rsidP="00B94679">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B94679" w:rsidRPr="00B94679" w14:paraId="378306FB"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4C9EA91"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b/>
                <w:bCs/>
                <w:i/>
                <w:iCs/>
                <w:sz w:val="20"/>
                <w:szCs w:val="24"/>
                <w:lang w:eastAsia="es-ES"/>
              </w:rPr>
              <w:t>Etapa acumulativa</w:t>
            </w:r>
            <w:r w:rsidRPr="00B94679">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1388DF9"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b/>
                <w:bCs/>
                <w:i/>
                <w:iCs/>
                <w:sz w:val="20"/>
                <w:szCs w:val="24"/>
                <w:lang w:eastAsia="es-ES"/>
              </w:rPr>
              <w:t>Normas que obligan a las administradoras de pensiones a dar información</w:t>
            </w:r>
            <w:r w:rsidRPr="00B94679">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1AB665E"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b/>
                <w:bCs/>
                <w:i/>
                <w:iCs/>
                <w:sz w:val="20"/>
                <w:szCs w:val="24"/>
                <w:lang w:eastAsia="es-ES"/>
              </w:rPr>
              <w:t>Contenido mínimo y alcance del deber de información</w:t>
            </w:r>
            <w:r w:rsidRPr="00B94679">
              <w:rPr>
                <w:rFonts w:eastAsia="Times New Roman" w:cs="Tahoma"/>
                <w:sz w:val="20"/>
                <w:szCs w:val="24"/>
                <w:lang w:val="es-ES" w:eastAsia="es-ES"/>
              </w:rPr>
              <w:t> </w:t>
            </w:r>
          </w:p>
        </w:tc>
      </w:tr>
      <w:tr w:rsidR="00B94679" w:rsidRPr="00B94679" w14:paraId="482683F4"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8AF9510"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t>Deber de información </w:t>
            </w:r>
            <w:r w:rsidRPr="00B94679">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2F66466"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t>Arts. 13 literal b), 271 y 272 de la Ley 100 de 1993</w:t>
            </w:r>
            <w:r w:rsidRPr="00B94679">
              <w:rPr>
                <w:rFonts w:eastAsia="Times New Roman" w:cs="Tahoma"/>
                <w:sz w:val="20"/>
                <w:szCs w:val="24"/>
                <w:lang w:val="es-ES" w:eastAsia="es-ES"/>
              </w:rPr>
              <w:t> </w:t>
            </w:r>
          </w:p>
          <w:p w14:paraId="017671E1"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val="es-ES" w:eastAsia="es-ES"/>
              </w:rPr>
              <w:t>Art. 97, numeral 1 del Decreto 663 de 1993, modificado por el artículo 23 de la Ley 797 de 2003</w:t>
            </w:r>
            <w:r w:rsidRPr="00B94679">
              <w:rPr>
                <w:rFonts w:eastAsia="Times New Roman" w:cs="Tahoma"/>
                <w:sz w:val="20"/>
                <w:szCs w:val="24"/>
                <w:lang w:val="es-ES" w:eastAsia="es-ES"/>
              </w:rPr>
              <w:t> </w:t>
            </w:r>
          </w:p>
          <w:p w14:paraId="37FB6987"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val="es-ES" w:eastAsia="es-ES"/>
              </w:rPr>
              <w:t>Disposiciones constitucionales relativas al derecho a la información, no menoscabo de derechos laborales y autonomía personal</w:t>
            </w:r>
            <w:r w:rsidRPr="00B94679">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30C4100"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B94679">
              <w:rPr>
                <w:rFonts w:eastAsia="Times New Roman" w:cs="Tahoma"/>
                <w:sz w:val="20"/>
                <w:szCs w:val="24"/>
                <w:lang w:val="es-ES" w:eastAsia="es-ES"/>
              </w:rPr>
              <w:t> </w:t>
            </w:r>
          </w:p>
        </w:tc>
      </w:tr>
      <w:tr w:rsidR="00B94679" w:rsidRPr="00B94679" w14:paraId="43479AAD"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8A0F126"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t>Deber de información, asesoría y buen consejo</w:t>
            </w:r>
            <w:r w:rsidRPr="00B94679">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14FF98D"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t>Artículo 3, literal c) de la Ley 1328 de 2009</w:t>
            </w:r>
            <w:r w:rsidRPr="00B94679">
              <w:rPr>
                <w:rFonts w:eastAsia="Times New Roman" w:cs="Tahoma"/>
                <w:sz w:val="20"/>
                <w:szCs w:val="24"/>
                <w:lang w:val="es-ES" w:eastAsia="es-ES"/>
              </w:rPr>
              <w:t> </w:t>
            </w:r>
          </w:p>
          <w:p w14:paraId="14255949"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t>Decreto 2241 de 2010</w:t>
            </w:r>
            <w:r w:rsidRPr="00B94679">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7DF0ECC"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t xml:space="preserve">Implica el análisis previo, calificado y </w:t>
            </w:r>
            <w:proofErr w:type="gramStart"/>
            <w:r w:rsidRPr="00B94679">
              <w:rPr>
                <w:rFonts w:eastAsia="Times New Roman" w:cs="Tahoma"/>
                <w:i/>
                <w:iCs/>
                <w:sz w:val="20"/>
                <w:szCs w:val="24"/>
                <w:lang w:eastAsia="es-ES"/>
              </w:rPr>
              <w:t>global  de</w:t>
            </w:r>
            <w:proofErr w:type="gramEnd"/>
            <w:r w:rsidRPr="00B94679">
              <w:rPr>
                <w:rFonts w:eastAsia="Times New Roman" w:cs="Tahoma"/>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B94679">
              <w:rPr>
                <w:rFonts w:eastAsia="Times New Roman" w:cs="Tahoma"/>
                <w:sz w:val="20"/>
                <w:szCs w:val="24"/>
                <w:lang w:val="es-ES" w:eastAsia="es-ES"/>
              </w:rPr>
              <w:t> </w:t>
            </w:r>
          </w:p>
        </w:tc>
      </w:tr>
      <w:tr w:rsidR="00B94679" w:rsidRPr="00B94679" w14:paraId="6FC91EDA"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D05AE59"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t xml:space="preserve">Deber de información, asesoría, buen </w:t>
            </w:r>
            <w:r w:rsidRPr="00B94679">
              <w:rPr>
                <w:rFonts w:eastAsia="Times New Roman" w:cs="Tahoma"/>
                <w:i/>
                <w:iCs/>
                <w:sz w:val="20"/>
                <w:szCs w:val="24"/>
                <w:lang w:eastAsia="es-ES"/>
              </w:rPr>
              <w:lastRenderedPageBreak/>
              <w:t>consejo y doble asesoría. </w:t>
            </w:r>
            <w:r w:rsidRPr="00B94679">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DFE5B75"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lastRenderedPageBreak/>
              <w:t>Ley 1748 de 2014</w:t>
            </w:r>
            <w:r w:rsidRPr="00B94679">
              <w:rPr>
                <w:rFonts w:eastAsia="Times New Roman" w:cs="Tahoma"/>
                <w:sz w:val="20"/>
                <w:szCs w:val="24"/>
                <w:lang w:val="es-ES" w:eastAsia="es-ES"/>
              </w:rPr>
              <w:t> </w:t>
            </w:r>
          </w:p>
          <w:p w14:paraId="32076A27"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t>Artículo 3 del Decreto 2071 de 2015</w:t>
            </w:r>
            <w:r w:rsidRPr="00B94679">
              <w:rPr>
                <w:rFonts w:eastAsia="Times New Roman" w:cs="Tahoma"/>
                <w:sz w:val="20"/>
                <w:szCs w:val="24"/>
                <w:lang w:val="es-ES" w:eastAsia="es-ES"/>
              </w:rPr>
              <w:t> </w:t>
            </w:r>
          </w:p>
          <w:p w14:paraId="61801B0E"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lastRenderedPageBreak/>
              <w:t>Circular Externa n. 016 de 2016</w:t>
            </w:r>
            <w:r w:rsidRPr="00B94679">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A9ACD78" w14:textId="77777777" w:rsidR="00B94679" w:rsidRPr="00B94679" w:rsidRDefault="00B94679" w:rsidP="00B94679">
            <w:pPr>
              <w:spacing w:line="276" w:lineRule="auto"/>
              <w:textAlignment w:val="baseline"/>
              <w:rPr>
                <w:rFonts w:eastAsia="Times New Roman" w:cs="Tahoma"/>
                <w:sz w:val="20"/>
                <w:szCs w:val="24"/>
                <w:lang w:val="es-ES" w:eastAsia="es-ES"/>
              </w:rPr>
            </w:pPr>
            <w:r w:rsidRPr="00B94679">
              <w:rPr>
                <w:rFonts w:eastAsia="Times New Roman" w:cs="Tahoma"/>
                <w:i/>
                <w:iCs/>
                <w:sz w:val="20"/>
                <w:szCs w:val="24"/>
                <w:lang w:eastAsia="es-ES"/>
              </w:rPr>
              <w:lastRenderedPageBreak/>
              <w:t>Junto con lo anterior, lleva inmerso el derecho a obtener asesoría de los representantes de ambos regímenes pensionales.</w:t>
            </w:r>
            <w:r w:rsidRPr="00B94679">
              <w:rPr>
                <w:rFonts w:eastAsia="Times New Roman" w:cs="Tahoma"/>
                <w:sz w:val="20"/>
                <w:szCs w:val="24"/>
                <w:lang w:val="es-ES" w:eastAsia="es-ES"/>
              </w:rPr>
              <w:t> </w:t>
            </w:r>
          </w:p>
        </w:tc>
      </w:tr>
    </w:tbl>
    <w:p w14:paraId="11B17C1F" w14:textId="77777777" w:rsidR="00B94679" w:rsidRPr="00B94679" w:rsidRDefault="00B94679" w:rsidP="00B94679">
      <w:pPr>
        <w:spacing w:line="240" w:lineRule="auto"/>
        <w:ind w:left="426" w:right="420" w:firstLine="709"/>
        <w:rPr>
          <w:rFonts w:eastAsia="Calibri" w:cs="Tahoma"/>
          <w:b/>
          <w:i/>
          <w:spacing w:val="-4"/>
          <w:sz w:val="22"/>
          <w:szCs w:val="24"/>
        </w:rPr>
      </w:pPr>
    </w:p>
    <w:bookmarkEnd w:id="6"/>
    <w:p w14:paraId="60F36C87" w14:textId="77777777" w:rsidR="00B94679" w:rsidRPr="00B94679" w:rsidRDefault="00B94679" w:rsidP="00B94679">
      <w:pPr>
        <w:spacing w:line="240" w:lineRule="auto"/>
        <w:ind w:left="426" w:right="420" w:firstLine="709"/>
        <w:rPr>
          <w:rFonts w:eastAsia="Calibri" w:cs="Tahoma"/>
          <w:b/>
          <w:i/>
          <w:sz w:val="22"/>
          <w:szCs w:val="24"/>
        </w:rPr>
      </w:pPr>
      <w:r w:rsidRPr="00B94679">
        <w:rPr>
          <w:rFonts w:eastAsia="Calibri" w:cs="Tahoma"/>
          <w:b/>
          <w:i/>
          <w:sz w:val="22"/>
          <w:szCs w:val="24"/>
        </w:rPr>
        <w:t>1.4 Conclusión: La constatación del deber de información es ineludible</w:t>
      </w:r>
    </w:p>
    <w:p w14:paraId="75976AE1" w14:textId="77777777" w:rsidR="00B94679" w:rsidRPr="00B94679" w:rsidRDefault="00B94679" w:rsidP="00B94679">
      <w:pPr>
        <w:spacing w:line="240" w:lineRule="auto"/>
        <w:ind w:left="426" w:right="420" w:firstLine="709"/>
        <w:rPr>
          <w:rFonts w:eastAsia="Calibri" w:cs="Tahoma"/>
          <w:b/>
          <w:i/>
          <w:sz w:val="22"/>
          <w:szCs w:val="24"/>
        </w:rPr>
      </w:pPr>
    </w:p>
    <w:p w14:paraId="4CEC32E6" w14:textId="77777777" w:rsidR="00B94679" w:rsidRPr="00B94679" w:rsidRDefault="00B94679" w:rsidP="00B94679">
      <w:pPr>
        <w:spacing w:line="240" w:lineRule="auto"/>
        <w:ind w:left="426" w:right="420" w:firstLine="1"/>
        <w:rPr>
          <w:rFonts w:eastAsia="Calibri" w:cs="Tahoma"/>
          <w:i/>
          <w:sz w:val="22"/>
          <w:szCs w:val="24"/>
        </w:rPr>
      </w:pPr>
      <w:r w:rsidRPr="00B94679">
        <w:rPr>
          <w:rFonts w:eastAsia="Calibri" w:cs="Tahoma"/>
          <w:i/>
          <w:sz w:val="22"/>
          <w:szCs w:val="24"/>
        </w:rPr>
        <w:t xml:space="preserve">Según se pudo advertir del anterior recuento, </w:t>
      </w:r>
      <w:r w:rsidRPr="00B94679">
        <w:rPr>
          <w:rFonts w:eastAsia="Calibri" w:cs="Tahoma"/>
          <w:b/>
          <w:i/>
          <w:sz w:val="22"/>
          <w:szCs w:val="24"/>
        </w:rPr>
        <w:t>las AFP, desde su creación, tenían el deber de brindar información a los afiliados o usuarios del sistema pensional a fin de que estos pudiesen adoptar una decisión consciente y realmente libre sobre su futuro pensional.</w:t>
      </w:r>
      <w:r w:rsidRPr="00B94679">
        <w:rPr>
          <w:rFonts w:eastAsia="Calibri" w:cs="Tahoma"/>
          <w:i/>
          <w:sz w:val="22"/>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C697075" w14:textId="77777777" w:rsidR="00B94679" w:rsidRPr="00B94679" w:rsidRDefault="00B94679" w:rsidP="00B94679">
      <w:pPr>
        <w:spacing w:line="240" w:lineRule="auto"/>
        <w:ind w:left="426" w:right="420" w:firstLine="1"/>
        <w:rPr>
          <w:rFonts w:eastAsia="Calibri" w:cs="Tahoma"/>
          <w:i/>
          <w:sz w:val="22"/>
          <w:szCs w:val="24"/>
        </w:rPr>
      </w:pPr>
    </w:p>
    <w:p w14:paraId="140BF63F" w14:textId="77777777" w:rsidR="00B94679" w:rsidRPr="00B94679" w:rsidRDefault="00B94679" w:rsidP="00B94679">
      <w:pPr>
        <w:spacing w:line="240" w:lineRule="auto"/>
        <w:ind w:left="426" w:right="420"/>
        <w:rPr>
          <w:rFonts w:eastAsia="Calibri" w:cs="Tahoma"/>
          <w:i/>
          <w:sz w:val="22"/>
          <w:szCs w:val="24"/>
        </w:rPr>
      </w:pPr>
      <w:r w:rsidRPr="00B94679">
        <w:rPr>
          <w:rFonts w:eastAsia="Calibri" w:cs="Tahoma"/>
          <w:i/>
          <w:sz w:val="22"/>
          <w:szCs w:val="24"/>
        </w:rPr>
        <w:t xml:space="preserve">Así las cosas, el Tribunal cometió un primer error al concluir que la responsabilidad por el incumplimiento o entrega de información deficitaria surgió con el </w:t>
      </w:r>
      <w:r w:rsidRPr="00B94679">
        <w:rPr>
          <w:rFonts w:eastAsia="Calibri" w:cs="Tahoma"/>
          <w:i/>
          <w:sz w:val="22"/>
          <w:szCs w:val="24"/>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B94679">
        <w:rPr>
          <w:rFonts w:eastAsia="Calibri" w:cs="Tahoma"/>
          <w:i/>
          <w:sz w:val="22"/>
          <w:szCs w:val="24"/>
        </w:rPr>
        <w:t xml:space="preserve">  </w:t>
      </w:r>
    </w:p>
    <w:p w14:paraId="29F29C24" w14:textId="77777777" w:rsidR="00B94679" w:rsidRPr="00B94679" w:rsidRDefault="00B94679" w:rsidP="00B94679">
      <w:pPr>
        <w:spacing w:line="240" w:lineRule="auto"/>
        <w:ind w:left="426" w:right="420" w:firstLine="709"/>
        <w:rPr>
          <w:rFonts w:eastAsia="Calibri" w:cs="Tahoma"/>
          <w:i/>
          <w:sz w:val="22"/>
          <w:szCs w:val="24"/>
        </w:rPr>
      </w:pPr>
    </w:p>
    <w:p w14:paraId="5B5CCEF8" w14:textId="77777777" w:rsidR="00B94679" w:rsidRPr="00B94679" w:rsidRDefault="00B94679" w:rsidP="00B94679">
      <w:pPr>
        <w:spacing w:line="240" w:lineRule="auto"/>
        <w:ind w:left="426" w:right="420"/>
        <w:rPr>
          <w:rFonts w:eastAsia="Calibri" w:cs="Tahoma"/>
          <w:i/>
          <w:sz w:val="22"/>
          <w:szCs w:val="24"/>
        </w:rPr>
      </w:pPr>
      <w:r w:rsidRPr="00B94679">
        <w:rPr>
          <w:rFonts w:eastAsia="Calibri" w:cs="Tahoma"/>
          <w:i/>
          <w:sz w:val="22"/>
          <w:szCs w:val="24"/>
        </w:rPr>
        <w:t xml:space="preserve">Adicionalmente, la Sala no puede pasar por alto la indebida fundamentación con la que </w:t>
      </w:r>
      <w:r w:rsidRPr="00B94679">
        <w:rPr>
          <w:rFonts w:eastAsia="Calibri" w:cs="Tahoma"/>
          <w:bCs/>
          <w:i/>
          <w:sz w:val="22"/>
          <w:szCs w:val="24"/>
          <w:lang w:val="es-ES"/>
        </w:rPr>
        <w:t>la Sala Primera de Decisión Laboral del Tribunal de Medellín</w:t>
      </w:r>
      <w:r w:rsidRPr="00B94679">
        <w:rPr>
          <w:rFonts w:eastAsia="Calibri" w:cs="Tahoma"/>
          <w:i/>
          <w:sz w:val="22"/>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2E02D161" w14:textId="77777777" w:rsidR="0034303C" w:rsidRPr="00C726EC" w:rsidRDefault="0034303C" w:rsidP="00C726EC">
      <w:pPr>
        <w:widowControl w:val="0"/>
        <w:autoSpaceDE w:val="0"/>
        <w:autoSpaceDN w:val="0"/>
        <w:adjustRightInd w:val="0"/>
        <w:spacing w:line="276" w:lineRule="auto"/>
        <w:ind w:firstLine="284"/>
        <w:rPr>
          <w:rFonts w:cs="Tahoma"/>
          <w:i/>
          <w:szCs w:val="24"/>
        </w:rPr>
      </w:pPr>
    </w:p>
    <w:p w14:paraId="3D27480F"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szCs w:val="24"/>
        </w:rPr>
        <w:t>Con lo dicho precedentemente queda resuelto el primer problema jurídico.</w:t>
      </w:r>
    </w:p>
    <w:p w14:paraId="27044EC7"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6B4EEE46" w14:textId="77777777" w:rsidR="0034303C" w:rsidRPr="00C726EC" w:rsidRDefault="0034303C" w:rsidP="00C726EC">
      <w:pPr>
        <w:widowControl w:val="0"/>
        <w:numPr>
          <w:ilvl w:val="1"/>
          <w:numId w:val="9"/>
        </w:numPr>
        <w:autoSpaceDE w:val="0"/>
        <w:autoSpaceDN w:val="0"/>
        <w:adjustRightInd w:val="0"/>
        <w:spacing w:line="276" w:lineRule="auto"/>
        <w:rPr>
          <w:rFonts w:cs="Tahoma"/>
          <w:iCs/>
          <w:szCs w:val="24"/>
        </w:rPr>
      </w:pPr>
      <w:r w:rsidRPr="00C726EC">
        <w:rPr>
          <w:rFonts w:cs="Tahoma"/>
          <w:b/>
          <w:iCs/>
          <w:szCs w:val="24"/>
        </w:rPr>
        <w:t xml:space="preserve">“El simple consentimiento vertido en el formulario de afiliación es insuficiente – Necesidad de un consentimiento informado” </w:t>
      </w:r>
      <w:r w:rsidRPr="00C726EC">
        <w:rPr>
          <w:rFonts w:cs="Tahoma"/>
          <w:b/>
          <w:iCs/>
          <w:szCs w:val="24"/>
          <w:vertAlign w:val="superscript"/>
        </w:rPr>
        <w:footnoteReference w:id="3"/>
      </w:r>
      <w:r w:rsidRPr="00C726EC">
        <w:rPr>
          <w:rFonts w:cs="Tahoma"/>
          <w:iCs/>
          <w:szCs w:val="24"/>
        </w:rPr>
        <w:t xml:space="preserve"> </w:t>
      </w:r>
    </w:p>
    <w:p w14:paraId="4E17E64B"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05EAB69F"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C726EC">
        <w:rPr>
          <w:rFonts w:cs="Tahoma"/>
          <w:b/>
          <w:szCs w:val="24"/>
        </w:rPr>
        <w:t>pero no informado</w:t>
      </w:r>
      <w:r w:rsidRPr="00C726EC">
        <w:rPr>
          <w:rFonts w:cs="Tahoma"/>
          <w:szCs w:val="24"/>
        </w:rPr>
        <w:t xml:space="preserve">, tal como se expresa a continuación: </w:t>
      </w:r>
    </w:p>
    <w:p w14:paraId="186CB068"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7E4AFB81" w14:textId="77777777" w:rsidR="00B94679" w:rsidRPr="00B94679" w:rsidRDefault="00B94679" w:rsidP="00B94679">
      <w:pPr>
        <w:spacing w:line="240" w:lineRule="auto"/>
        <w:ind w:left="426" w:right="420" w:firstLine="1"/>
        <w:rPr>
          <w:rFonts w:eastAsia="Calibri" w:cs="Tahoma"/>
          <w:i/>
          <w:sz w:val="22"/>
          <w:szCs w:val="24"/>
        </w:rPr>
      </w:pPr>
      <w:r w:rsidRPr="00B94679">
        <w:rPr>
          <w:rFonts w:eastAsia="Calibri" w:cs="Tahoma"/>
          <w:i/>
          <w:sz w:val="22"/>
          <w:szCs w:val="24"/>
        </w:rPr>
        <w:t xml:space="preserve">“Para el Tribunal el consentimiento informado no es predicable del acto jurídico de traslado, pues basta la consignación en el formulario de que la afiliación se hizo de manera libre y voluntaria. </w:t>
      </w:r>
    </w:p>
    <w:p w14:paraId="1D9F7B74" w14:textId="77777777" w:rsidR="00B94679" w:rsidRPr="00B94679" w:rsidRDefault="00B94679" w:rsidP="00B94679">
      <w:pPr>
        <w:spacing w:line="240" w:lineRule="auto"/>
        <w:ind w:left="426" w:right="420" w:firstLine="1"/>
        <w:rPr>
          <w:rFonts w:eastAsia="Calibri" w:cs="Tahoma"/>
          <w:i/>
          <w:sz w:val="22"/>
          <w:szCs w:val="24"/>
        </w:rPr>
      </w:pPr>
    </w:p>
    <w:p w14:paraId="0A4FC0B9" w14:textId="77777777" w:rsidR="00B94679" w:rsidRPr="00B94679" w:rsidRDefault="00B94679" w:rsidP="00B94679">
      <w:pPr>
        <w:spacing w:line="240" w:lineRule="auto"/>
        <w:ind w:left="426" w:right="420" w:firstLine="1"/>
        <w:rPr>
          <w:rFonts w:eastAsia="Calibri" w:cs="Tahoma"/>
          <w:i/>
          <w:sz w:val="22"/>
          <w:szCs w:val="24"/>
        </w:rPr>
      </w:pPr>
      <w:r w:rsidRPr="00B94679">
        <w:rPr>
          <w:rFonts w:eastAsia="Calibri" w:cs="Tahoma"/>
          <w:i/>
          <w:sz w:val="22"/>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0A139CC" w14:textId="77777777" w:rsidR="00B94679" w:rsidRPr="00B94679" w:rsidRDefault="00B94679" w:rsidP="00B94679">
      <w:pPr>
        <w:spacing w:line="240" w:lineRule="auto"/>
        <w:ind w:left="426" w:right="420" w:firstLine="1"/>
        <w:rPr>
          <w:rFonts w:eastAsia="Calibri" w:cs="Tahoma"/>
          <w:i/>
          <w:sz w:val="22"/>
          <w:szCs w:val="24"/>
        </w:rPr>
      </w:pPr>
    </w:p>
    <w:p w14:paraId="3433109D" w14:textId="77777777" w:rsidR="00B94679" w:rsidRPr="00B94679" w:rsidRDefault="00B94679" w:rsidP="00B94679">
      <w:pPr>
        <w:spacing w:line="240" w:lineRule="auto"/>
        <w:ind w:left="426" w:right="420" w:firstLine="1"/>
        <w:rPr>
          <w:rFonts w:eastAsia="Calibri" w:cs="Tahoma"/>
          <w:i/>
          <w:sz w:val="22"/>
          <w:szCs w:val="24"/>
        </w:rPr>
      </w:pPr>
      <w:r w:rsidRPr="00B94679">
        <w:rPr>
          <w:rFonts w:eastAsia="Calibri" w:cs="Tahoma"/>
          <w:i/>
          <w:sz w:val="22"/>
          <w:szCs w:val="24"/>
        </w:rPr>
        <w:lastRenderedPageBreak/>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6113825" w14:textId="77777777" w:rsidR="00B94679" w:rsidRPr="00B94679" w:rsidRDefault="00B94679" w:rsidP="00B94679">
      <w:pPr>
        <w:spacing w:line="240" w:lineRule="auto"/>
        <w:ind w:left="426" w:right="420" w:firstLine="1"/>
        <w:rPr>
          <w:rFonts w:eastAsia="Calibri" w:cs="Tahoma"/>
          <w:i/>
          <w:sz w:val="22"/>
          <w:szCs w:val="24"/>
        </w:rPr>
      </w:pPr>
    </w:p>
    <w:p w14:paraId="7DA3A680" w14:textId="77777777" w:rsidR="00B94679" w:rsidRPr="00B94679" w:rsidRDefault="00B94679" w:rsidP="00B94679">
      <w:pPr>
        <w:spacing w:line="240" w:lineRule="auto"/>
        <w:ind w:left="426" w:right="420" w:firstLine="1"/>
        <w:rPr>
          <w:rFonts w:eastAsia="Calibri" w:cs="Tahoma"/>
          <w:i/>
          <w:sz w:val="22"/>
          <w:szCs w:val="24"/>
        </w:rPr>
      </w:pPr>
      <w:r w:rsidRPr="00B94679">
        <w:rPr>
          <w:rFonts w:eastAsia="Calibri" w:cs="Tahoma"/>
          <w:i/>
          <w:sz w:val="22"/>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8971E3F" w14:textId="77777777" w:rsidR="0034303C" w:rsidRPr="00C726EC" w:rsidRDefault="0034303C" w:rsidP="00C726EC">
      <w:pPr>
        <w:widowControl w:val="0"/>
        <w:autoSpaceDE w:val="0"/>
        <w:autoSpaceDN w:val="0"/>
        <w:adjustRightInd w:val="0"/>
        <w:spacing w:line="276" w:lineRule="auto"/>
        <w:ind w:firstLine="284"/>
        <w:rPr>
          <w:rFonts w:cs="Tahoma"/>
          <w:bCs/>
          <w:szCs w:val="24"/>
        </w:rPr>
      </w:pPr>
    </w:p>
    <w:p w14:paraId="78700F9B" w14:textId="77777777" w:rsidR="0034303C" w:rsidRPr="00C726EC" w:rsidRDefault="0034303C" w:rsidP="00C726EC">
      <w:pPr>
        <w:widowControl w:val="0"/>
        <w:autoSpaceDE w:val="0"/>
        <w:autoSpaceDN w:val="0"/>
        <w:adjustRightInd w:val="0"/>
        <w:spacing w:line="276" w:lineRule="auto"/>
        <w:ind w:firstLine="284"/>
        <w:rPr>
          <w:rFonts w:cs="Tahoma"/>
          <w:bCs/>
          <w:szCs w:val="24"/>
        </w:rPr>
      </w:pPr>
      <w:r w:rsidRPr="00C726EC">
        <w:rPr>
          <w:rFonts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C726EC">
        <w:rPr>
          <w:rFonts w:cs="Tahoma"/>
          <w:bCs/>
          <w:szCs w:val="24"/>
          <w:vertAlign w:val="superscript"/>
        </w:rPr>
        <w:footnoteReference w:id="4"/>
      </w:r>
      <w:r w:rsidRPr="00C726EC">
        <w:rPr>
          <w:rFonts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E139A67" w14:textId="77777777" w:rsidR="0034303C" w:rsidRPr="00C726EC" w:rsidRDefault="0034303C" w:rsidP="00C726EC">
      <w:pPr>
        <w:widowControl w:val="0"/>
        <w:autoSpaceDE w:val="0"/>
        <w:autoSpaceDN w:val="0"/>
        <w:adjustRightInd w:val="0"/>
        <w:spacing w:line="276" w:lineRule="auto"/>
        <w:ind w:firstLine="284"/>
        <w:rPr>
          <w:rFonts w:cs="Tahoma"/>
          <w:bCs/>
          <w:i/>
          <w:szCs w:val="24"/>
        </w:rPr>
      </w:pPr>
    </w:p>
    <w:p w14:paraId="303E3443" w14:textId="77777777" w:rsidR="00B94679" w:rsidRPr="00B94679" w:rsidRDefault="00B94679" w:rsidP="00B94679">
      <w:pPr>
        <w:spacing w:line="240" w:lineRule="auto"/>
        <w:ind w:left="426" w:right="420"/>
        <w:rPr>
          <w:rFonts w:eastAsia="Calibri" w:cs="Tahoma"/>
          <w:i/>
          <w:sz w:val="22"/>
          <w:szCs w:val="24"/>
          <w:lang w:val="es-ES"/>
        </w:rPr>
      </w:pPr>
      <w:r w:rsidRPr="00B94679">
        <w:rPr>
          <w:rFonts w:eastAsia="Calibri" w:cs="Tahoma"/>
          <w:i/>
          <w:sz w:val="22"/>
          <w:szCs w:val="24"/>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w:t>
      </w:r>
      <w:proofErr w:type="spellStart"/>
      <w:r w:rsidRPr="00B94679">
        <w:rPr>
          <w:rFonts w:eastAsia="Calibri" w:cs="Tahoma"/>
          <w:i/>
          <w:sz w:val="22"/>
          <w:szCs w:val="24"/>
          <w:lang w:val="es-ES"/>
        </w:rPr>
        <w:t>iii</w:t>
      </w:r>
      <w:proofErr w:type="spellEnd"/>
      <w:r w:rsidRPr="00B94679">
        <w:rPr>
          <w:rFonts w:eastAsia="Calibri" w:cs="Tahoma"/>
          <w:i/>
          <w:sz w:val="22"/>
          <w:szCs w:val="24"/>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5D67CDA6" w14:textId="77777777" w:rsidR="00B94679" w:rsidRPr="00B94679" w:rsidRDefault="00B94679" w:rsidP="00B94679">
      <w:pPr>
        <w:spacing w:line="240" w:lineRule="auto"/>
        <w:ind w:left="426" w:right="420" w:firstLine="708"/>
        <w:rPr>
          <w:rFonts w:eastAsia="Calibri" w:cs="Tahoma"/>
          <w:b/>
          <w:i/>
          <w:sz w:val="22"/>
          <w:szCs w:val="24"/>
          <w:lang w:val="es-ES"/>
        </w:rPr>
      </w:pPr>
    </w:p>
    <w:p w14:paraId="724934F0" w14:textId="77777777" w:rsidR="00B94679" w:rsidRPr="00B94679" w:rsidRDefault="00B94679" w:rsidP="00B94679">
      <w:pPr>
        <w:tabs>
          <w:tab w:val="left" w:pos="709"/>
        </w:tabs>
        <w:spacing w:line="240" w:lineRule="auto"/>
        <w:ind w:left="426" w:right="420"/>
        <w:rPr>
          <w:rFonts w:eastAsia="Calibri" w:cs="Tahoma"/>
          <w:i/>
          <w:sz w:val="22"/>
          <w:szCs w:val="24"/>
          <w:lang w:val="es-ES"/>
        </w:rPr>
      </w:pPr>
      <w:r w:rsidRPr="00B94679">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07248E73" w14:textId="77777777" w:rsidR="0034303C" w:rsidRPr="00C726EC" w:rsidRDefault="0034303C" w:rsidP="00C726EC">
      <w:pPr>
        <w:widowControl w:val="0"/>
        <w:autoSpaceDE w:val="0"/>
        <w:autoSpaceDN w:val="0"/>
        <w:adjustRightInd w:val="0"/>
        <w:spacing w:line="276" w:lineRule="auto"/>
        <w:ind w:firstLine="284"/>
        <w:rPr>
          <w:rFonts w:cs="Tahoma"/>
          <w:bCs/>
          <w:szCs w:val="24"/>
        </w:rPr>
      </w:pPr>
    </w:p>
    <w:p w14:paraId="20797658"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bCs/>
          <w:szCs w:val="24"/>
        </w:rPr>
        <w:t xml:space="preserve">Igual cosa se ha predicado de las </w:t>
      </w:r>
      <w:proofErr w:type="spellStart"/>
      <w:r w:rsidRPr="00C726EC">
        <w:rPr>
          <w:rFonts w:cs="Tahoma"/>
          <w:bCs/>
          <w:szCs w:val="24"/>
        </w:rPr>
        <w:t>reasesorías</w:t>
      </w:r>
      <w:proofErr w:type="spellEnd"/>
      <w:r w:rsidRPr="00C726EC">
        <w:rPr>
          <w:rFonts w:cs="Tahoma"/>
          <w:bCs/>
          <w:szCs w:val="24"/>
        </w:rPr>
        <w:t xml:space="preserve"> posteriores dadas al interior de las AFP</w:t>
      </w:r>
      <w:r w:rsidRPr="00C726EC">
        <w:rPr>
          <w:rFonts w:cs="Tahoma"/>
          <w:szCs w:val="24"/>
        </w:rPr>
        <w:t xml:space="preserve">, las cuales tampoco convalidan el traslado, como quedó dicho en la citada sentencia del 8 de mayo de 2019 SL 1688-2019, así: </w:t>
      </w:r>
    </w:p>
    <w:p w14:paraId="6EBDDA05" w14:textId="77777777" w:rsidR="0034303C" w:rsidRPr="00C726EC" w:rsidRDefault="0034303C" w:rsidP="00C726EC">
      <w:pPr>
        <w:widowControl w:val="0"/>
        <w:autoSpaceDE w:val="0"/>
        <w:autoSpaceDN w:val="0"/>
        <w:adjustRightInd w:val="0"/>
        <w:spacing w:line="276" w:lineRule="auto"/>
        <w:ind w:firstLine="284"/>
        <w:rPr>
          <w:rFonts w:cs="Tahoma"/>
          <w:i/>
          <w:iCs/>
          <w:szCs w:val="24"/>
        </w:rPr>
      </w:pPr>
      <w:r w:rsidRPr="00C726EC">
        <w:rPr>
          <w:rFonts w:cs="Tahoma"/>
          <w:szCs w:val="24"/>
        </w:rPr>
        <w:t xml:space="preserve">  </w:t>
      </w:r>
    </w:p>
    <w:p w14:paraId="0A0DAAD8" w14:textId="77777777" w:rsidR="00BF5DB7" w:rsidRPr="00BF5DB7" w:rsidRDefault="00BF5DB7" w:rsidP="00BF5DB7">
      <w:pPr>
        <w:spacing w:line="240" w:lineRule="auto"/>
        <w:ind w:left="426" w:right="420"/>
        <w:rPr>
          <w:rFonts w:eastAsia="Calibri" w:cs="Tahoma"/>
          <w:i/>
          <w:sz w:val="22"/>
          <w:szCs w:val="24"/>
          <w:lang w:val="es-ES"/>
        </w:rPr>
      </w:pPr>
      <w:r w:rsidRPr="00BF5DB7">
        <w:rPr>
          <w:rFonts w:eastAsia="Calibri" w:cs="Tahoma"/>
          <w:i/>
          <w:sz w:val="22"/>
          <w:szCs w:val="24"/>
          <w:lang w:val="es-ES"/>
        </w:rPr>
        <w:t xml:space="preserve">“Ahora, si bien la AFP brindó a la actora una </w:t>
      </w:r>
      <w:proofErr w:type="spellStart"/>
      <w:r w:rsidRPr="00BF5DB7">
        <w:rPr>
          <w:rFonts w:eastAsia="Calibri" w:cs="Tahoma"/>
          <w:i/>
          <w:sz w:val="22"/>
          <w:szCs w:val="24"/>
          <w:lang w:val="es-ES"/>
        </w:rPr>
        <w:t>reasesoría</w:t>
      </w:r>
      <w:proofErr w:type="spellEnd"/>
      <w:r w:rsidRPr="00BF5DB7">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95FDDC3" w14:textId="77777777" w:rsidR="00BF5DB7" w:rsidRPr="00BF5DB7" w:rsidRDefault="00BF5DB7" w:rsidP="00BF5DB7">
      <w:pPr>
        <w:spacing w:line="240" w:lineRule="auto"/>
        <w:ind w:left="426" w:right="420" w:firstLine="709"/>
        <w:rPr>
          <w:rFonts w:eastAsia="Arial Narrow" w:cs="Tahoma"/>
          <w:i/>
          <w:iCs/>
          <w:sz w:val="22"/>
          <w:szCs w:val="24"/>
          <w:lang w:val="es"/>
        </w:rPr>
      </w:pPr>
      <w:r w:rsidRPr="00BF5DB7">
        <w:rPr>
          <w:rFonts w:eastAsia="Arial Narrow" w:cs="Tahoma"/>
          <w:i/>
          <w:iCs/>
          <w:sz w:val="22"/>
          <w:szCs w:val="24"/>
          <w:lang w:val="es"/>
        </w:rPr>
        <w:lastRenderedPageBreak/>
        <w:t xml:space="preserve"> </w:t>
      </w:r>
    </w:p>
    <w:p w14:paraId="7DCB4BA4" w14:textId="77777777" w:rsidR="00BF5DB7" w:rsidRPr="00BF5DB7" w:rsidRDefault="00BF5DB7" w:rsidP="00BF5DB7">
      <w:pPr>
        <w:spacing w:line="240" w:lineRule="auto"/>
        <w:ind w:left="426" w:right="420"/>
        <w:rPr>
          <w:rFonts w:eastAsia="Calibri" w:cs="Tahoma"/>
          <w:i/>
          <w:sz w:val="22"/>
          <w:szCs w:val="24"/>
          <w:lang w:val="es-ES"/>
        </w:rPr>
      </w:pPr>
      <w:r w:rsidRPr="00BF5DB7">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BF5DB7">
        <w:rPr>
          <w:rFonts w:eastAsia="Calibri" w:cs="Tahoma"/>
          <w:i/>
          <w:sz w:val="22"/>
          <w:szCs w:val="24"/>
          <w:lang w:val="es-ES"/>
        </w:rPr>
        <w:t>reasesoría</w:t>
      </w:r>
      <w:proofErr w:type="spellEnd"/>
      <w:r w:rsidRPr="00BF5DB7">
        <w:rPr>
          <w:rFonts w:eastAsia="Calibri" w:cs="Tahoma"/>
          <w:i/>
          <w:sz w:val="22"/>
          <w:szCs w:val="24"/>
          <w:lang w:val="es-ES"/>
        </w:rPr>
        <w:t>, de todas formas ya había perdido la transición.</w:t>
      </w:r>
    </w:p>
    <w:p w14:paraId="7B21CF8E" w14:textId="77777777" w:rsidR="00BF5DB7" w:rsidRPr="00BF5DB7" w:rsidRDefault="00BF5DB7" w:rsidP="00BF5DB7">
      <w:pPr>
        <w:spacing w:line="240" w:lineRule="auto"/>
        <w:ind w:left="426" w:right="420" w:firstLine="709"/>
        <w:rPr>
          <w:rFonts w:eastAsia="Arial Narrow" w:cs="Tahoma"/>
          <w:i/>
          <w:iCs/>
          <w:sz w:val="22"/>
          <w:szCs w:val="24"/>
          <w:lang w:val="es"/>
        </w:rPr>
      </w:pPr>
      <w:r w:rsidRPr="00BF5DB7">
        <w:rPr>
          <w:rFonts w:eastAsia="Arial Narrow" w:cs="Tahoma"/>
          <w:i/>
          <w:iCs/>
          <w:sz w:val="22"/>
          <w:szCs w:val="24"/>
          <w:lang w:val="es"/>
        </w:rPr>
        <w:t xml:space="preserve"> </w:t>
      </w:r>
    </w:p>
    <w:p w14:paraId="5B2479E3" w14:textId="77777777" w:rsidR="00BF5DB7" w:rsidRPr="00BF5DB7" w:rsidRDefault="00BF5DB7" w:rsidP="00BF5DB7">
      <w:pPr>
        <w:spacing w:line="240" w:lineRule="auto"/>
        <w:ind w:left="426" w:right="420"/>
        <w:rPr>
          <w:rFonts w:eastAsia="Calibri" w:cs="Tahoma"/>
          <w:i/>
          <w:sz w:val="22"/>
          <w:szCs w:val="24"/>
          <w:lang w:val="es-ES"/>
        </w:rPr>
      </w:pPr>
      <w:r w:rsidRPr="00BF5DB7">
        <w:rPr>
          <w:rFonts w:eastAsia="Calibri" w:cs="Tahoma"/>
          <w:i/>
          <w:sz w:val="22"/>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164EAAF" w14:textId="77777777" w:rsidR="00BF5DB7" w:rsidRPr="00BF5DB7" w:rsidRDefault="00BF5DB7" w:rsidP="00BF5DB7">
      <w:pPr>
        <w:spacing w:line="240" w:lineRule="auto"/>
        <w:ind w:left="426" w:right="420" w:firstLine="709"/>
        <w:rPr>
          <w:rFonts w:eastAsia="Arial Narrow" w:cs="Tahoma"/>
          <w:i/>
          <w:iCs/>
          <w:sz w:val="22"/>
          <w:szCs w:val="24"/>
          <w:lang w:val="es"/>
        </w:rPr>
      </w:pPr>
      <w:r w:rsidRPr="00BF5DB7">
        <w:rPr>
          <w:rFonts w:eastAsia="Arial Narrow" w:cs="Tahoma"/>
          <w:i/>
          <w:iCs/>
          <w:sz w:val="22"/>
          <w:szCs w:val="24"/>
          <w:lang w:val="es"/>
        </w:rPr>
        <w:t xml:space="preserve"> </w:t>
      </w:r>
    </w:p>
    <w:p w14:paraId="378C00A9" w14:textId="77777777" w:rsidR="00BF5DB7" w:rsidRPr="00BF5DB7" w:rsidRDefault="00BF5DB7" w:rsidP="00BF5DB7">
      <w:pPr>
        <w:spacing w:line="240" w:lineRule="auto"/>
        <w:ind w:left="426" w:right="420"/>
        <w:rPr>
          <w:rFonts w:eastAsia="Calibri" w:cs="Tahoma"/>
          <w:i/>
          <w:sz w:val="22"/>
          <w:szCs w:val="24"/>
          <w:lang w:val="es-ES"/>
        </w:rPr>
      </w:pPr>
      <w:r w:rsidRPr="00BF5DB7">
        <w:rPr>
          <w:rFonts w:eastAsia="Calibri" w:cs="Tahoma"/>
          <w:i/>
          <w:sz w:val="22"/>
          <w:szCs w:val="24"/>
          <w:lang w:val="es-ES"/>
        </w:rPr>
        <w:t xml:space="preserve">Por otro lado, no es de recibo el planteo de Protección S.A., cuando sostiene que una vez realizó la </w:t>
      </w:r>
      <w:proofErr w:type="spellStart"/>
      <w:r w:rsidRPr="00BF5DB7">
        <w:rPr>
          <w:rFonts w:eastAsia="Calibri" w:cs="Tahoma"/>
          <w:i/>
          <w:sz w:val="22"/>
          <w:szCs w:val="24"/>
          <w:lang w:val="es-ES"/>
        </w:rPr>
        <w:t>reasesoría</w:t>
      </w:r>
      <w:proofErr w:type="spellEnd"/>
      <w:r w:rsidRPr="00BF5DB7">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6A6E6AFC"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290B3903" w14:textId="77777777" w:rsidR="0034303C" w:rsidRPr="00C726EC" w:rsidRDefault="0034303C" w:rsidP="00C726EC">
      <w:pPr>
        <w:widowControl w:val="0"/>
        <w:numPr>
          <w:ilvl w:val="1"/>
          <w:numId w:val="9"/>
        </w:numPr>
        <w:autoSpaceDE w:val="0"/>
        <w:autoSpaceDN w:val="0"/>
        <w:adjustRightInd w:val="0"/>
        <w:spacing w:line="276" w:lineRule="auto"/>
        <w:rPr>
          <w:rFonts w:cs="Tahoma"/>
          <w:b/>
          <w:iCs/>
          <w:szCs w:val="24"/>
        </w:rPr>
      </w:pPr>
      <w:r w:rsidRPr="00C726EC">
        <w:rPr>
          <w:rFonts w:cs="Tahoma"/>
          <w:b/>
          <w:iCs/>
          <w:szCs w:val="24"/>
        </w:rPr>
        <w:t xml:space="preserve">“De la carga de la prueba – Inversión a favor del afiliado” </w:t>
      </w:r>
      <w:r w:rsidRPr="00C726EC">
        <w:rPr>
          <w:rFonts w:cs="Tahoma"/>
          <w:b/>
          <w:iCs/>
          <w:szCs w:val="24"/>
          <w:vertAlign w:val="superscript"/>
        </w:rPr>
        <w:footnoteReference w:id="5"/>
      </w:r>
    </w:p>
    <w:p w14:paraId="2E96FE69" w14:textId="77777777" w:rsidR="0034303C" w:rsidRPr="00C726EC" w:rsidRDefault="0034303C" w:rsidP="00C726EC">
      <w:pPr>
        <w:widowControl w:val="0"/>
        <w:autoSpaceDE w:val="0"/>
        <w:autoSpaceDN w:val="0"/>
        <w:adjustRightInd w:val="0"/>
        <w:spacing w:line="276" w:lineRule="auto"/>
        <w:ind w:firstLine="284"/>
        <w:rPr>
          <w:rFonts w:cs="Tahoma"/>
          <w:b/>
          <w:szCs w:val="24"/>
        </w:rPr>
      </w:pPr>
    </w:p>
    <w:p w14:paraId="44688353" w14:textId="77777777" w:rsidR="00BF5DB7" w:rsidRPr="00BF5DB7" w:rsidRDefault="00BF5DB7" w:rsidP="00BF5DB7">
      <w:pPr>
        <w:widowControl w:val="0"/>
        <w:tabs>
          <w:tab w:val="left" w:pos="567"/>
        </w:tabs>
        <w:autoSpaceDE w:val="0"/>
        <w:autoSpaceDN w:val="0"/>
        <w:adjustRightInd w:val="0"/>
        <w:spacing w:line="276" w:lineRule="auto"/>
        <w:ind w:firstLine="284"/>
        <w:rPr>
          <w:rFonts w:cs="Tahoma"/>
          <w:spacing w:val="-4"/>
          <w:sz w:val="22"/>
          <w:lang w:val="es-ES"/>
        </w:rPr>
      </w:pPr>
      <w:r w:rsidRPr="00BF5DB7">
        <w:rPr>
          <w:rFonts w:cs="Tahoma"/>
          <w:spacing w:val="-4"/>
          <w:sz w:val="22"/>
          <w:lang w:val="es-ES"/>
        </w:rPr>
        <w:t xml:space="preserve">El tercer problema jurídico relativo a la carga de la prueba en los procesos de ineficacia de traslado, también se resolvió por la Corte Suprema de Justicia desde la sentencia hito, en la que se expresó que de </w:t>
      </w:r>
      <w:r w:rsidRPr="00BF5DB7">
        <w:rPr>
          <w:rFonts w:cs="Tahoma"/>
          <w:bCs/>
          <w:sz w:val="22"/>
          <w:lang w:val="es-ES"/>
        </w:rPr>
        <w:t>conformidad</w:t>
      </w:r>
      <w:r w:rsidRPr="00BF5DB7">
        <w:rPr>
          <w:rFonts w:cs="Tahoma"/>
          <w:spacing w:val="-4"/>
          <w:sz w:val="22"/>
          <w:lang w:val="es-ES"/>
        </w:rPr>
        <w:t xml:space="preserve"> al artículo 1604 del Código Civil «</w:t>
      </w:r>
      <w:r w:rsidRPr="00BF5DB7">
        <w:rPr>
          <w:rFonts w:cs="Tahoma"/>
          <w:i/>
          <w:spacing w:val="-4"/>
          <w:sz w:val="22"/>
          <w:lang w:val="es-ES"/>
        </w:rPr>
        <w:t>la prueba de la diligencia o cuidado incumbe al que ha debido emplearlo”</w:t>
      </w:r>
      <w:r w:rsidRPr="00BF5DB7">
        <w:rPr>
          <w:rFonts w:cs="Tahoma"/>
          <w:spacing w:val="-4"/>
          <w:sz w:val="22"/>
          <w:lang w:val="es-ES"/>
        </w:rPr>
        <w:t xml:space="preserve"> lo que quiere decir que la carga de la prueba recae en el fondo de pensiones. Dicha postura se ha mantenido invariable, y se reiteró de manera más contundente en la citada sentencia, así: </w:t>
      </w:r>
    </w:p>
    <w:p w14:paraId="7882E316" w14:textId="77777777" w:rsidR="00BF5DB7" w:rsidRPr="00BF5DB7" w:rsidRDefault="00BF5DB7" w:rsidP="00BF5DB7">
      <w:pPr>
        <w:spacing w:line="276" w:lineRule="auto"/>
        <w:ind w:firstLine="708"/>
        <w:rPr>
          <w:rFonts w:cs="Tahoma"/>
          <w:spacing w:val="-4"/>
          <w:sz w:val="22"/>
          <w:lang w:val="es-ES"/>
        </w:rPr>
      </w:pPr>
    </w:p>
    <w:p w14:paraId="504EBE53" w14:textId="77777777" w:rsidR="00BF5DB7" w:rsidRPr="00BF5DB7" w:rsidRDefault="00BF5DB7" w:rsidP="00BF5DB7">
      <w:pPr>
        <w:spacing w:line="240" w:lineRule="auto"/>
        <w:ind w:left="426" w:right="420" w:firstLine="1"/>
        <w:rPr>
          <w:rFonts w:eastAsia="Calibri" w:cs="Tahoma"/>
          <w:i/>
          <w:sz w:val="22"/>
          <w:lang w:val="es-ES"/>
        </w:rPr>
      </w:pPr>
      <w:r w:rsidRPr="00BF5DB7">
        <w:rPr>
          <w:rFonts w:eastAsia="Calibri" w:cs="Tahoma"/>
          <w:sz w:val="22"/>
          <w:lang w:val="es-ES"/>
        </w:rPr>
        <w:t>“</w:t>
      </w:r>
      <w:r w:rsidRPr="00BF5DB7">
        <w:rPr>
          <w:rFonts w:eastAsia="Calibri"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77E84F64" w14:textId="77777777" w:rsidR="00BF5DB7" w:rsidRPr="00BF5DB7" w:rsidRDefault="00BF5DB7" w:rsidP="00BF5DB7">
      <w:pPr>
        <w:spacing w:line="240" w:lineRule="auto"/>
        <w:ind w:left="426" w:right="420" w:firstLine="1"/>
        <w:rPr>
          <w:rFonts w:eastAsia="Calibri" w:cs="Tahoma"/>
          <w:i/>
          <w:sz w:val="22"/>
          <w:lang w:val="es-ES"/>
        </w:rPr>
      </w:pPr>
    </w:p>
    <w:p w14:paraId="263A95FB" w14:textId="77777777" w:rsidR="00BF5DB7" w:rsidRPr="00BF5DB7" w:rsidRDefault="00BF5DB7" w:rsidP="00BF5DB7">
      <w:pPr>
        <w:spacing w:line="240" w:lineRule="auto"/>
        <w:ind w:left="426" w:right="420" w:firstLine="1"/>
        <w:rPr>
          <w:rFonts w:eastAsia="Calibri" w:cs="Tahoma"/>
          <w:i/>
          <w:sz w:val="22"/>
          <w:lang w:val="es-ES"/>
        </w:rPr>
      </w:pPr>
      <w:r w:rsidRPr="00BF5DB7">
        <w:rPr>
          <w:rFonts w:eastAsia="Calibri"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0989254" w14:textId="77777777" w:rsidR="00BF5DB7" w:rsidRPr="00BF5DB7" w:rsidRDefault="00BF5DB7" w:rsidP="00BF5DB7">
      <w:pPr>
        <w:spacing w:line="240" w:lineRule="auto"/>
        <w:ind w:left="426" w:right="420" w:firstLine="1"/>
        <w:rPr>
          <w:rFonts w:eastAsia="Calibri" w:cs="Tahoma"/>
          <w:i/>
          <w:sz w:val="22"/>
          <w:lang w:val="es-ES"/>
        </w:rPr>
      </w:pPr>
    </w:p>
    <w:p w14:paraId="683279AE" w14:textId="77777777" w:rsidR="00BF5DB7" w:rsidRPr="00BF5DB7" w:rsidRDefault="00BF5DB7" w:rsidP="00BF5DB7">
      <w:pPr>
        <w:spacing w:line="240" w:lineRule="auto"/>
        <w:ind w:left="426" w:right="420" w:firstLine="1"/>
        <w:rPr>
          <w:rFonts w:eastAsia="Calibri" w:cs="Tahoma"/>
          <w:i/>
          <w:sz w:val="22"/>
          <w:lang w:val="es-ES"/>
        </w:rPr>
      </w:pPr>
      <w:r w:rsidRPr="00BF5DB7">
        <w:rPr>
          <w:rFonts w:eastAsia="Calibri" w:cs="Tahoma"/>
          <w:i/>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372E7E4" w14:textId="77777777" w:rsidR="00BF5DB7" w:rsidRPr="00BF5DB7" w:rsidRDefault="00BF5DB7" w:rsidP="00BF5DB7">
      <w:pPr>
        <w:spacing w:line="240" w:lineRule="auto"/>
        <w:ind w:left="426" w:right="420" w:firstLine="1"/>
        <w:rPr>
          <w:rFonts w:eastAsia="Calibri" w:cs="Tahoma"/>
          <w:i/>
          <w:sz w:val="22"/>
          <w:lang w:val="es-ES"/>
        </w:rPr>
      </w:pPr>
    </w:p>
    <w:p w14:paraId="1A37144F" w14:textId="77777777" w:rsidR="00BF5DB7" w:rsidRPr="00BF5DB7" w:rsidRDefault="00BF5DB7" w:rsidP="00BF5DB7">
      <w:pPr>
        <w:spacing w:line="240" w:lineRule="auto"/>
        <w:ind w:left="426" w:right="420" w:firstLine="1"/>
        <w:rPr>
          <w:rFonts w:eastAsia="Calibri" w:cs="Tahoma"/>
          <w:i/>
          <w:iCs/>
          <w:sz w:val="22"/>
          <w:lang w:val="es-ES"/>
        </w:rPr>
      </w:pPr>
      <w:r w:rsidRPr="00BF5DB7">
        <w:rPr>
          <w:rFonts w:eastAsia="Calibri" w:cs="Tahoma"/>
          <w:i/>
          <w:sz w:val="22"/>
          <w:lang w:val="es-ES"/>
        </w:rPr>
        <w:t xml:space="preserve">Como se ha expuesto, el deber de información al momento del traslado entre regímenes, es una obligación que corresponde a las administradoras de fondos de pensiones, y </w:t>
      </w:r>
      <w:r w:rsidRPr="00BF5DB7">
        <w:rPr>
          <w:rFonts w:eastAsia="Calibri" w:cs="Tahoma"/>
          <w:i/>
          <w:iCs/>
          <w:sz w:val="22"/>
          <w:lang w:val="es-ES"/>
        </w:rPr>
        <w:t xml:space="preserve">su ejercicio debe ser de tal diligencia, que permita comprender la lógica, </w:t>
      </w:r>
      <w:r w:rsidRPr="00BF5DB7">
        <w:rPr>
          <w:rFonts w:eastAsia="Calibri" w:cs="Tahoma"/>
          <w:i/>
          <w:iCs/>
          <w:sz w:val="22"/>
          <w:lang w:val="es-ES"/>
        </w:rPr>
        <w:lastRenderedPageBreak/>
        <w:t xml:space="preserve">beneficios y desventajas del cambio de régimen, así como prever los riesgos y efectos negativos de esa decisión. </w:t>
      </w:r>
    </w:p>
    <w:p w14:paraId="4E12E58D" w14:textId="77777777" w:rsidR="00BF5DB7" w:rsidRPr="00BF5DB7" w:rsidRDefault="00BF5DB7" w:rsidP="00BF5DB7">
      <w:pPr>
        <w:spacing w:line="240" w:lineRule="auto"/>
        <w:ind w:left="426" w:right="420" w:firstLine="1"/>
        <w:rPr>
          <w:rFonts w:eastAsia="Calibri" w:cs="Tahoma"/>
          <w:i/>
          <w:iCs/>
          <w:sz w:val="22"/>
          <w:lang w:val="es-ES"/>
        </w:rPr>
      </w:pPr>
    </w:p>
    <w:p w14:paraId="45FD3DAB" w14:textId="77777777" w:rsidR="00BF5DB7" w:rsidRPr="00BF5DB7" w:rsidRDefault="00BF5DB7" w:rsidP="00BF5DB7">
      <w:pPr>
        <w:spacing w:line="240" w:lineRule="auto"/>
        <w:ind w:left="426" w:right="420" w:firstLine="1"/>
        <w:rPr>
          <w:rFonts w:eastAsia="Calibri" w:cs="Tahoma"/>
          <w:i/>
          <w:iCs/>
          <w:sz w:val="22"/>
          <w:lang w:val="es-ES"/>
        </w:rPr>
      </w:pPr>
      <w:r w:rsidRPr="00BF5DB7">
        <w:rPr>
          <w:rFonts w:eastAsia="Calibri"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F33B518" w14:textId="77777777" w:rsidR="00BF5DB7" w:rsidRPr="00BF5DB7" w:rsidRDefault="00BF5DB7" w:rsidP="00BF5DB7">
      <w:pPr>
        <w:spacing w:line="240" w:lineRule="auto"/>
        <w:ind w:left="426" w:right="420" w:firstLine="1"/>
        <w:rPr>
          <w:rFonts w:eastAsia="Calibri" w:cs="Tahoma"/>
          <w:i/>
          <w:iCs/>
          <w:sz w:val="22"/>
          <w:lang w:val="es-ES"/>
        </w:rPr>
      </w:pPr>
    </w:p>
    <w:p w14:paraId="1DB729BF" w14:textId="77777777" w:rsidR="00BF5DB7" w:rsidRPr="00BF5DB7" w:rsidRDefault="00BF5DB7" w:rsidP="00BF5DB7">
      <w:pPr>
        <w:spacing w:line="240" w:lineRule="auto"/>
        <w:ind w:left="426" w:right="420" w:firstLine="1"/>
        <w:rPr>
          <w:rFonts w:eastAsia="Calibri" w:cs="Tahoma"/>
          <w:i/>
          <w:iCs/>
          <w:sz w:val="22"/>
          <w:lang w:val="es-ES"/>
        </w:rPr>
      </w:pPr>
      <w:r w:rsidRPr="00BF5DB7">
        <w:rPr>
          <w:rFonts w:eastAsia="Calibri" w:cs="Tahoma"/>
          <w:i/>
          <w:sz w:val="22"/>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w:t>
      </w:r>
      <w:proofErr w:type="spellStart"/>
      <w:r w:rsidRPr="00BF5DB7">
        <w:rPr>
          <w:rFonts w:eastAsia="Calibri" w:cs="Tahoma"/>
          <w:i/>
          <w:sz w:val="22"/>
          <w:lang w:val="es-ES"/>
        </w:rPr>
        <w:t>iii</w:t>
      </w:r>
      <w:proofErr w:type="spellEnd"/>
      <w:r w:rsidRPr="00BF5DB7">
        <w:rPr>
          <w:rFonts w:eastAsia="Calibri" w:cs="Tahoma"/>
          <w:i/>
          <w:sz w:val="22"/>
          <w:lang w:val="es-ES"/>
        </w:rPr>
        <w:t xml:space="preserve">) es esta entidad la que está obligada a observar la obligación de brindar información y, más aún, probar ante las autoridades administrativas y judiciales su pleno cumplimiento. </w:t>
      </w:r>
    </w:p>
    <w:p w14:paraId="16C93791" w14:textId="77777777" w:rsidR="00BF5DB7" w:rsidRPr="00BF5DB7" w:rsidRDefault="00BF5DB7" w:rsidP="00BF5DB7">
      <w:pPr>
        <w:spacing w:line="240" w:lineRule="auto"/>
        <w:ind w:left="426" w:right="420" w:firstLine="1"/>
        <w:rPr>
          <w:rFonts w:eastAsia="Calibri" w:cs="Tahoma"/>
          <w:i/>
          <w:iCs/>
          <w:sz w:val="22"/>
          <w:lang w:val="es-ES"/>
        </w:rPr>
      </w:pPr>
    </w:p>
    <w:p w14:paraId="40656B79" w14:textId="77777777" w:rsidR="00BF5DB7" w:rsidRPr="00BF5DB7" w:rsidRDefault="00BF5DB7" w:rsidP="00BF5DB7">
      <w:pPr>
        <w:spacing w:line="240" w:lineRule="auto"/>
        <w:ind w:left="426" w:right="420" w:firstLine="1"/>
        <w:rPr>
          <w:rFonts w:eastAsia="Calibri" w:cs="Tahoma"/>
          <w:sz w:val="22"/>
          <w:lang w:val="es-ES"/>
        </w:rPr>
      </w:pPr>
      <w:r w:rsidRPr="00BF5DB7">
        <w:rPr>
          <w:rFonts w:eastAsia="Calibri"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BF5DB7">
        <w:rPr>
          <w:rFonts w:eastAsia="Calibri" w:cs="Tahoma"/>
          <w:sz w:val="22"/>
          <w:lang w:val="es-ES"/>
        </w:rPr>
        <w:t xml:space="preserve"> </w:t>
      </w:r>
    </w:p>
    <w:p w14:paraId="164F304D"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76FCC6EC" w14:textId="77777777" w:rsidR="0034303C" w:rsidRPr="00C726EC" w:rsidRDefault="0034303C" w:rsidP="00C726EC">
      <w:pPr>
        <w:widowControl w:val="0"/>
        <w:numPr>
          <w:ilvl w:val="1"/>
          <w:numId w:val="9"/>
        </w:numPr>
        <w:autoSpaceDE w:val="0"/>
        <w:autoSpaceDN w:val="0"/>
        <w:adjustRightInd w:val="0"/>
        <w:spacing w:line="276" w:lineRule="auto"/>
        <w:rPr>
          <w:rFonts w:cs="Tahoma"/>
          <w:b/>
          <w:szCs w:val="24"/>
        </w:rPr>
      </w:pPr>
      <w:r w:rsidRPr="00C726EC">
        <w:rPr>
          <w:rFonts w:cs="Tahoma"/>
          <w:b/>
          <w:szCs w:val="24"/>
        </w:rPr>
        <w:t>Consecuencias de la declaratoria de ineficacia del traslado: Devolución de las cuotas de administración y de otros valores debidamente indexados</w:t>
      </w:r>
    </w:p>
    <w:p w14:paraId="5A683A7A"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6B984624"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4BC7BB87"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0350D370" w14:textId="77777777" w:rsidR="00BF5DB7" w:rsidRPr="00BF5DB7" w:rsidRDefault="00BF5DB7" w:rsidP="00BF5DB7">
      <w:pPr>
        <w:tabs>
          <w:tab w:val="left" w:pos="5180"/>
        </w:tabs>
        <w:suppressAutoHyphens/>
        <w:spacing w:line="240" w:lineRule="auto"/>
        <w:ind w:left="426" w:right="420"/>
        <w:contextualSpacing/>
        <w:rPr>
          <w:rFonts w:eastAsia="Calibri" w:cs="Tahoma"/>
          <w:i/>
          <w:sz w:val="22"/>
          <w:szCs w:val="24"/>
          <w:lang w:val="es-ES"/>
        </w:rPr>
      </w:pPr>
      <w:r w:rsidRPr="00BF5DB7">
        <w:rPr>
          <w:rFonts w:eastAsia="Calibri" w:cs="Tahoma"/>
          <w:i/>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ECC3046" w14:textId="77777777" w:rsidR="00BF5DB7" w:rsidRPr="00BF5DB7" w:rsidRDefault="00BF5DB7" w:rsidP="00BF5DB7">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0A64DD4E" w14:textId="77777777" w:rsidR="00BF5DB7" w:rsidRPr="00BF5DB7" w:rsidRDefault="00BF5DB7" w:rsidP="00BF5DB7">
      <w:pPr>
        <w:tabs>
          <w:tab w:val="left" w:pos="5180"/>
        </w:tabs>
        <w:suppressAutoHyphens/>
        <w:spacing w:line="240" w:lineRule="auto"/>
        <w:ind w:left="426" w:right="420"/>
        <w:contextualSpacing/>
        <w:rPr>
          <w:rFonts w:eastAsia="Calibri" w:cs="Tahoma"/>
          <w:i/>
          <w:sz w:val="22"/>
          <w:szCs w:val="24"/>
          <w:lang w:val="es-ES"/>
        </w:rPr>
      </w:pPr>
      <w:r w:rsidRPr="00BF5DB7">
        <w:rPr>
          <w:rFonts w:eastAsia="Calibri" w:cs="Tahoma"/>
          <w:i/>
          <w:sz w:val="22"/>
          <w:szCs w:val="24"/>
          <w:lang w:val="es-ES"/>
        </w:rPr>
        <w:t>Sobre las consecuencias de la nulidad del traslado entre regímenes esta Sala en sentencia SL, del 8 de sep. 2008, rad. 31989, reiterada en varias oportunidades, adoctrinó: […]</w:t>
      </w:r>
    </w:p>
    <w:p w14:paraId="5A8AA4B8" w14:textId="77777777" w:rsidR="00BF5DB7" w:rsidRPr="00BF5DB7" w:rsidRDefault="00BF5DB7" w:rsidP="00BF5DB7">
      <w:pPr>
        <w:tabs>
          <w:tab w:val="left" w:pos="5180"/>
        </w:tabs>
        <w:suppressAutoHyphens/>
        <w:spacing w:line="240" w:lineRule="auto"/>
        <w:ind w:left="426" w:right="420"/>
        <w:contextualSpacing/>
        <w:rPr>
          <w:rFonts w:eastAsia="Calibri" w:cs="Tahoma"/>
          <w:i/>
          <w:sz w:val="22"/>
          <w:szCs w:val="24"/>
          <w:lang w:val="es-ES"/>
        </w:rPr>
      </w:pPr>
    </w:p>
    <w:p w14:paraId="13DE0734" w14:textId="77777777" w:rsidR="00BF5DB7" w:rsidRPr="00BF5DB7" w:rsidRDefault="00BF5DB7" w:rsidP="00BF5DB7">
      <w:pPr>
        <w:tabs>
          <w:tab w:val="left" w:pos="5180"/>
        </w:tabs>
        <w:suppressAutoHyphens/>
        <w:spacing w:line="240" w:lineRule="auto"/>
        <w:ind w:left="426" w:right="420"/>
        <w:contextualSpacing/>
        <w:rPr>
          <w:rFonts w:eastAsia="Calibri" w:cs="Tahoma"/>
          <w:i/>
          <w:sz w:val="22"/>
          <w:szCs w:val="24"/>
          <w:lang w:val="es-ES"/>
        </w:rPr>
      </w:pPr>
      <w:r w:rsidRPr="00BF5DB7">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7C71FFF" w14:textId="77777777" w:rsidR="00BF5DB7" w:rsidRPr="00BF5DB7" w:rsidRDefault="00BF5DB7" w:rsidP="00BF5DB7">
      <w:pPr>
        <w:tabs>
          <w:tab w:val="left" w:pos="5180"/>
        </w:tabs>
        <w:suppressAutoHyphens/>
        <w:spacing w:line="240" w:lineRule="auto"/>
        <w:ind w:left="426" w:right="420"/>
        <w:contextualSpacing/>
        <w:rPr>
          <w:rFonts w:eastAsia="Calibri" w:cs="Tahoma"/>
          <w:i/>
          <w:sz w:val="22"/>
          <w:szCs w:val="24"/>
          <w:lang w:val="es-ES"/>
        </w:rPr>
      </w:pPr>
    </w:p>
    <w:p w14:paraId="3D2345C4" w14:textId="77777777" w:rsidR="00BF5DB7" w:rsidRPr="00BF5DB7" w:rsidRDefault="00BF5DB7" w:rsidP="00BF5DB7">
      <w:pPr>
        <w:tabs>
          <w:tab w:val="left" w:pos="5180"/>
        </w:tabs>
        <w:suppressAutoHyphens/>
        <w:spacing w:line="240" w:lineRule="auto"/>
        <w:ind w:left="426" w:right="420"/>
        <w:contextualSpacing/>
        <w:rPr>
          <w:rFonts w:eastAsia="Calibri" w:cs="Tahoma"/>
          <w:i/>
          <w:sz w:val="22"/>
          <w:szCs w:val="24"/>
          <w:lang w:val="es-ES"/>
        </w:rPr>
      </w:pPr>
      <w:r w:rsidRPr="00BF5DB7">
        <w:rPr>
          <w:rFonts w:eastAsia="Calibri" w:cs="Tahoma"/>
          <w:i/>
          <w:sz w:val="22"/>
          <w:szCs w:val="24"/>
          <w:lang w:val="es-ES"/>
        </w:rPr>
        <w:t xml:space="preserve">“Como la nulidad fue conducta indebida de la administradora ésta debe asumir a su cargo los deterioros sufridos por el bien administrado, esto es, las mermas sufridas </w:t>
      </w:r>
      <w:r w:rsidRPr="00BF5DB7">
        <w:rPr>
          <w:rFonts w:eastAsia="Calibri" w:cs="Tahoma"/>
          <w:i/>
          <w:sz w:val="22"/>
          <w:szCs w:val="24"/>
          <w:lang w:val="es-ES"/>
        </w:rPr>
        <w:lastRenderedPageBreak/>
        <w:t xml:space="preserve">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B8FBB7E"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1418A585"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szCs w:val="24"/>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1092A381"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4B15D7E0" w14:textId="77777777" w:rsidR="00BF5DB7" w:rsidRPr="00BF5DB7" w:rsidRDefault="00BF5DB7" w:rsidP="00BF5DB7">
      <w:pPr>
        <w:tabs>
          <w:tab w:val="left" w:pos="5180"/>
        </w:tabs>
        <w:suppressAutoHyphens/>
        <w:spacing w:line="240" w:lineRule="auto"/>
        <w:ind w:left="426" w:right="420"/>
        <w:contextualSpacing/>
        <w:rPr>
          <w:rFonts w:eastAsia="Calibri" w:cs="Tahoma"/>
          <w:i/>
          <w:sz w:val="22"/>
          <w:szCs w:val="24"/>
          <w:lang w:val="es-ES"/>
        </w:rPr>
      </w:pPr>
      <w:r w:rsidRPr="00BF5DB7">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1B14EAE2"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0C838EC9"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E096EB7"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3AE93713"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1E1A1907" w14:textId="5E300112" w:rsidR="006B66B3" w:rsidRPr="00C726EC" w:rsidRDefault="006B66B3" w:rsidP="00BF5DB7">
      <w:pPr>
        <w:widowControl w:val="0"/>
        <w:autoSpaceDE w:val="0"/>
        <w:autoSpaceDN w:val="0"/>
        <w:adjustRightInd w:val="0"/>
        <w:spacing w:line="276" w:lineRule="auto"/>
        <w:rPr>
          <w:rFonts w:cs="Tahoma"/>
          <w:b/>
          <w:szCs w:val="24"/>
        </w:rPr>
      </w:pPr>
    </w:p>
    <w:p w14:paraId="5C938B02" w14:textId="77777777" w:rsidR="0034303C" w:rsidRPr="00C726EC" w:rsidRDefault="0034303C" w:rsidP="00C726EC">
      <w:pPr>
        <w:widowControl w:val="0"/>
        <w:numPr>
          <w:ilvl w:val="1"/>
          <w:numId w:val="9"/>
        </w:numPr>
        <w:autoSpaceDE w:val="0"/>
        <w:autoSpaceDN w:val="0"/>
        <w:adjustRightInd w:val="0"/>
        <w:spacing w:line="276" w:lineRule="auto"/>
        <w:rPr>
          <w:rFonts w:cs="Tahoma"/>
          <w:b/>
          <w:szCs w:val="24"/>
        </w:rPr>
      </w:pPr>
      <w:r w:rsidRPr="00C726EC">
        <w:rPr>
          <w:rFonts w:cs="Tahoma"/>
          <w:b/>
          <w:szCs w:val="24"/>
        </w:rPr>
        <w:t>Caso concreto</w:t>
      </w:r>
    </w:p>
    <w:p w14:paraId="2348A7D1"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355AB978" w14:textId="7777777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748A0170"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6D662583" w14:textId="7777777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02BA0E4D"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36C34F41" w14:textId="77777777" w:rsidR="0034303C" w:rsidRPr="00C726EC" w:rsidRDefault="0034303C" w:rsidP="00C726EC">
      <w:pPr>
        <w:widowControl w:val="0"/>
        <w:autoSpaceDE w:val="0"/>
        <w:autoSpaceDN w:val="0"/>
        <w:adjustRightInd w:val="0"/>
        <w:spacing w:line="276" w:lineRule="auto"/>
        <w:ind w:firstLine="708"/>
        <w:rPr>
          <w:rFonts w:cs="Tahoma"/>
          <w:b/>
          <w:szCs w:val="24"/>
        </w:rPr>
      </w:pPr>
      <w:r w:rsidRPr="00C726EC">
        <w:rPr>
          <w:rFonts w:cs="Tahoma"/>
          <w:szCs w:val="24"/>
        </w:rPr>
        <w:lastRenderedPageBreak/>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C726EC">
        <w:rPr>
          <w:rFonts w:cs="Tahoma"/>
          <w:b/>
          <w:szCs w:val="24"/>
        </w:rPr>
        <w:t>, acreditar haber transmitido a la parte actora la información concreta y cierta, acerca de la implicación del traslado de régimen pensional.</w:t>
      </w:r>
    </w:p>
    <w:p w14:paraId="7DC43BB1" w14:textId="77777777" w:rsidR="0034303C" w:rsidRPr="00C726EC" w:rsidRDefault="0034303C" w:rsidP="00C726EC">
      <w:pPr>
        <w:widowControl w:val="0"/>
        <w:autoSpaceDE w:val="0"/>
        <w:autoSpaceDN w:val="0"/>
        <w:adjustRightInd w:val="0"/>
        <w:spacing w:line="276" w:lineRule="auto"/>
        <w:ind w:firstLine="284"/>
        <w:rPr>
          <w:rFonts w:cs="Tahoma"/>
          <w:b/>
          <w:szCs w:val="24"/>
        </w:rPr>
      </w:pPr>
    </w:p>
    <w:p w14:paraId="6C32E64A" w14:textId="7777777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 xml:space="preserve">En realidad, mínimo la AFP tendría que haber dado la siguiente información: </w:t>
      </w:r>
      <w:r w:rsidRPr="00C726EC">
        <w:rPr>
          <w:rFonts w:cs="Tahoma"/>
          <w:i/>
          <w:szCs w:val="24"/>
        </w:rPr>
        <w:t xml:space="preserve">i) </w:t>
      </w:r>
      <w:r w:rsidRPr="00C726EC">
        <w:rPr>
          <w:rFonts w:cs="Tahoma"/>
          <w:szCs w:val="24"/>
        </w:rPr>
        <w:t xml:space="preserve">Que, dependiendo del capital, puede pensionarse anticipadamente, esto es, antes de la edad mínima para la pensión de vejez. </w:t>
      </w:r>
      <w:r w:rsidRPr="00C726EC">
        <w:rPr>
          <w:rFonts w:cs="Tahoma"/>
          <w:i/>
          <w:szCs w:val="24"/>
        </w:rPr>
        <w:t xml:space="preserve">ii) </w:t>
      </w:r>
      <w:r w:rsidRPr="00C726EC">
        <w:rPr>
          <w:rFonts w:cs="Tahoma"/>
          <w:szCs w:val="24"/>
        </w:rPr>
        <w:t xml:space="preserve">La posibilidad para sus herederos de hacerse a la devolución de saldos, en caso de que no existieran beneficiaros para la pensión de sobrevivientes. </w:t>
      </w:r>
      <w:proofErr w:type="spellStart"/>
      <w:r w:rsidRPr="00C726EC">
        <w:rPr>
          <w:rFonts w:cs="Tahoma"/>
          <w:i/>
          <w:szCs w:val="24"/>
        </w:rPr>
        <w:t>iii</w:t>
      </w:r>
      <w:proofErr w:type="spellEnd"/>
      <w:r w:rsidRPr="00C726EC">
        <w:rPr>
          <w:rFonts w:cs="Tahoma"/>
          <w:i/>
          <w:szCs w:val="24"/>
        </w:rPr>
        <w:t xml:space="preserve">) </w:t>
      </w:r>
      <w:r w:rsidRPr="00C726EC">
        <w:rPr>
          <w:rFonts w:cs="Tahoma"/>
          <w:szCs w:val="24"/>
        </w:rPr>
        <w:t xml:space="preserve">La devolución total del saldo en caso de no alcanzar a reunir el total de los requisitos legales para optar al beneficio pensional. </w:t>
      </w:r>
      <w:proofErr w:type="spellStart"/>
      <w:r w:rsidRPr="00C726EC">
        <w:rPr>
          <w:rFonts w:cs="Tahoma"/>
          <w:i/>
          <w:szCs w:val="24"/>
        </w:rPr>
        <w:t>iv</w:t>
      </w:r>
      <w:proofErr w:type="spellEnd"/>
      <w:r w:rsidRPr="00C726EC">
        <w:rPr>
          <w:rFonts w:cs="Tahoma"/>
          <w:i/>
          <w:szCs w:val="24"/>
        </w:rPr>
        <w:t xml:space="preserve">) </w:t>
      </w:r>
      <w:r w:rsidRPr="00C726EC">
        <w:rPr>
          <w:rFonts w:cs="Tahoma"/>
          <w:szCs w:val="24"/>
        </w:rPr>
        <w:t xml:space="preserve">Tener la posibilidad de la pensión de vejez habiendo cotizado el mínimo de semanas requeridas a pesar de no reunir el capital suficiente para el financiamiento de la prestación económica. </w:t>
      </w:r>
      <w:r w:rsidRPr="00C726EC">
        <w:rPr>
          <w:rFonts w:cs="Tahoma"/>
          <w:i/>
          <w:szCs w:val="24"/>
        </w:rPr>
        <w:t xml:space="preserve">v) </w:t>
      </w:r>
      <w:r w:rsidRPr="00C726EC">
        <w:rPr>
          <w:rFonts w:cs="Tahoma"/>
          <w:szCs w:val="24"/>
        </w:rPr>
        <w:t xml:space="preserve">La posibilidad de que el reconocimiento de la pensión de vejez, una vez reunido los requisitos, se haga pronto. </w:t>
      </w:r>
      <w:r w:rsidRPr="00C726EC">
        <w:rPr>
          <w:rFonts w:cs="Tahoma"/>
          <w:i/>
          <w:szCs w:val="24"/>
        </w:rPr>
        <w:t xml:space="preserve">vi) </w:t>
      </w:r>
      <w:r w:rsidRPr="00C726EC">
        <w:rPr>
          <w:rFonts w:cs="Tahoma"/>
          <w:szCs w:val="24"/>
        </w:rPr>
        <w:t xml:space="preserve">La posibilidad de que sus aportes se conviertan en patrimonio </w:t>
      </w:r>
      <w:proofErr w:type="spellStart"/>
      <w:r w:rsidRPr="00C726EC">
        <w:rPr>
          <w:rFonts w:cs="Tahoma"/>
          <w:szCs w:val="24"/>
        </w:rPr>
        <w:t>sucesoral</w:t>
      </w:r>
      <w:proofErr w:type="spellEnd"/>
      <w:r w:rsidRPr="00C726EC">
        <w:rPr>
          <w:rFonts w:cs="Tahoma"/>
          <w:szCs w:val="24"/>
        </w:rPr>
        <w:t xml:space="preserve"> en un caso dado. </w:t>
      </w:r>
      <w:proofErr w:type="spellStart"/>
      <w:r w:rsidRPr="00C726EC">
        <w:rPr>
          <w:rFonts w:cs="Tahoma"/>
          <w:i/>
          <w:szCs w:val="24"/>
        </w:rPr>
        <w:t>vii</w:t>
      </w:r>
      <w:proofErr w:type="spellEnd"/>
      <w:r w:rsidRPr="00C726EC">
        <w:rPr>
          <w:rFonts w:cs="Tahoma"/>
          <w:i/>
          <w:szCs w:val="24"/>
        </w:rPr>
        <w:t xml:space="preserve">) </w:t>
      </w:r>
      <w:r w:rsidRPr="00C726EC">
        <w:rPr>
          <w:rFonts w:cs="Tahoma"/>
          <w:szCs w:val="24"/>
        </w:rPr>
        <w:t xml:space="preserve">El hecho de que el afiliado es el único titular de la cuenta de ahorro individual en contraste con el fondo público cuyos ahorros hacen parte de un fondo común. </w:t>
      </w:r>
      <w:proofErr w:type="spellStart"/>
      <w:r w:rsidRPr="00C726EC">
        <w:rPr>
          <w:rFonts w:cs="Tahoma"/>
          <w:i/>
          <w:szCs w:val="24"/>
        </w:rPr>
        <w:t>viii</w:t>
      </w:r>
      <w:proofErr w:type="spellEnd"/>
      <w:r w:rsidRPr="00C726EC">
        <w:rPr>
          <w:rFonts w:cs="Tahoma"/>
          <w:i/>
          <w:szCs w:val="24"/>
        </w:rPr>
        <w:t xml:space="preserve">) </w:t>
      </w:r>
      <w:r w:rsidRPr="00C726EC">
        <w:rPr>
          <w:rFonts w:cs="Tahoma"/>
          <w:szCs w:val="24"/>
        </w:rPr>
        <w:t xml:space="preserve">Los rendimientos financieros que le generen sus aportes abonados sobre el saldo de su cuenta de ahorro individual; y, </w:t>
      </w:r>
      <w:proofErr w:type="spellStart"/>
      <w:r w:rsidRPr="00C726EC">
        <w:rPr>
          <w:rFonts w:cs="Tahoma"/>
          <w:i/>
          <w:szCs w:val="24"/>
        </w:rPr>
        <w:t>ix</w:t>
      </w:r>
      <w:proofErr w:type="spellEnd"/>
      <w:r w:rsidRPr="00C726EC">
        <w:rPr>
          <w:rFonts w:cs="Tahoma"/>
          <w:i/>
          <w:szCs w:val="24"/>
        </w:rPr>
        <w:t xml:space="preserve">) </w:t>
      </w:r>
      <w:r w:rsidRPr="00C726EC">
        <w:rPr>
          <w:rFonts w:cs="Tahoma"/>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C726EC">
        <w:rPr>
          <w:rFonts w:cs="Tahoma"/>
          <w:szCs w:val="24"/>
        </w:rPr>
        <w:t>sucesoral</w:t>
      </w:r>
      <w:proofErr w:type="spellEnd"/>
      <w:r w:rsidRPr="00C726EC">
        <w:rPr>
          <w:rFonts w:cs="Tahoma"/>
          <w:szCs w:val="24"/>
        </w:rPr>
        <w:t xml:space="preserve">, pero le garantiza una pensión de por vida. La modalidad de </w:t>
      </w:r>
      <w:r w:rsidRPr="00C726EC">
        <w:rPr>
          <w:rFonts w:cs="Tahoma"/>
          <w:i/>
          <w:szCs w:val="24"/>
        </w:rPr>
        <w:t>retiro programado</w:t>
      </w:r>
      <w:r w:rsidRPr="00C726EC">
        <w:rPr>
          <w:rFonts w:cs="Tahoma"/>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77B9A1C9"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2780946E" w14:textId="3548B240" w:rsidR="0034303C" w:rsidRPr="00C726EC" w:rsidRDefault="00E954B6" w:rsidP="00C726EC">
      <w:pPr>
        <w:widowControl w:val="0"/>
        <w:autoSpaceDE w:val="0"/>
        <w:autoSpaceDN w:val="0"/>
        <w:adjustRightInd w:val="0"/>
        <w:spacing w:line="276" w:lineRule="auto"/>
        <w:ind w:firstLine="708"/>
        <w:rPr>
          <w:rFonts w:cs="Tahoma"/>
          <w:szCs w:val="24"/>
        </w:rPr>
      </w:pPr>
      <w:r w:rsidRPr="00C726EC">
        <w:rPr>
          <w:rFonts w:cs="Tahoma"/>
          <w:szCs w:val="24"/>
        </w:rPr>
        <w:t xml:space="preserve">Porvenir </w:t>
      </w:r>
      <w:r w:rsidR="0034303C" w:rsidRPr="00C726EC">
        <w:rPr>
          <w:rFonts w:cs="Tahoma"/>
          <w:szCs w:val="24"/>
        </w:rPr>
        <w:t xml:space="preserve">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ACB15E8"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2C1425DF" w14:textId="564E6012"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szCs w:val="24"/>
        </w:rPr>
        <w:t xml:space="preserve">Con todo hay que indicar que como prueba del cumplimiento del deber de información y buen consejo, la(s) AFP(s)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w:t>
      </w:r>
      <w:r w:rsidRPr="00C726EC">
        <w:rPr>
          <w:rFonts w:cs="Tahoma"/>
          <w:szCs w:val="24"/>
        </w:rPr>
        <w:lastRenderedPageBreak/>
        <w:t xml:space="preserve">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ante </w:t>
      </w:r>
      <w:r w:rsidR="00E954B6" w:rsidRPr="00C726EC">
        <w:rPr>
          <w:rFonts w:cs="Tahoma"/>
          <w:szCs w:val="24"/>
        </w:rPr>
        <w:t xml:space="preserve">Horizonte S.A., hoy Porvenir </w:t>
      </w:r>
      <w:r w:rsidRPr="00C726EC">
        <w:rPr>
          <w:rFonts w:cs="Tahoma"/>
          <w:szCs w:val="24"/>
        </w:rPr>
        <w:t>S.A., pero dicho documento no logra evidenciar la información que se le brindó. En tal virtud se estima acertada la valoración probatoria efectuada por la operadora judicial de instancia.</w:t>
      </w:r>
    </w:p>
    <w:p w14:paraId="1BFDA585"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6CC39A0F" w14:textId="17C87778"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26FA1AE0"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63E5CCBA" w14:textId="60CCE365"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En cuanto a las condenas impartidas a cargo de Porvenir S.A.</w:t>
      </w:r>
      <w:r w:rsidR="00E954B6" w:rsidRPr="00C726EC">
        <w:rPr>
          <w:rFonts w:cs="Tahoma"/>
          <w:szCs w:val="24"/>
        </w:rPr>
        <w:t>, Protección S.A.</w:t>
      </w:r>
      <w:r w:rsidRPr="00C726EC">
        <w:rPr>
          <w:rFonts w:cs="Tahoma"/>
          <w:szCs w:val="24"/>
        </w:rPr>
        <w:t xml:space="preserve"> y Colfondos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713D9911"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63260B6C" w14:textId="7777777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En este punto, recuérdese que la Corte Constitucional en sentencia SU-053-2015, ha definido el precedente judicial como «</w:t>
      </w:r>
      <w:r w:rsidRPr="00D210FE">
        <w:rPr>
          <w:rFonts w:cs="Tahoma"/>
          <w:i/>
          <w:iCs/>
          <w:sz w:val="22"/>
          <w:szCs w:val="24"/>
        </w:rPr>
        <w:t>la sentencia o el conjunto de ellas, anteriores a un caso determinado, que por su pertinencia y semejanza en los problemas jurídicos resueltos, debe necesariamente considerarse por las autoridades judiciales al momento de emitir un fallo»</w:t>
      </w:r>
      <w:r w:rsidRPr="00D210FE">
        <w:rPr>
          <w:rFonts w:cs="Tahoma"/>
          <w:sz w:val="22"/>
          <w:szCs w:val="24"/>
        </w:rPr>
        <w:t xml:space="preserve"> y, en tal sentido, el emitido por los máximos órganos de cierre, “</w:t>
      </w:r>
      <w:r w:rsidRPr="00D210FE">
        <w:rPr>
          <w:rFonts w:cs="Tahoma"/>
          <w:i/>
          <w:iCs/>
          <w:sz w:val="22"/>
          <w:szCs w:val="24"/>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C726EC">
        <w:rPr>
          <w:rFonts w:cs="Tahoma"/>
          <w:i/>
          <w:iCs/>
          <w:szCs w:val="24"/>
        </w:rPr>
        <w:t>”</w:t>
      </w:r>
      <w:r w:rsidRPr="00C726EC">
        <w:rPr>
          <w:rFonts w:cs="Tahoma"/>
          <w:szCs w:val="24"/>
        </w:rPr>
        <w:t xml:space="preserve"> (STL4759-2020).</w:t>
      </w:r>
    </w:p>
    <w:p w14:paraId="45911DF4"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6B36ECCF" w14:textId="240D3556"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 xml:space="preserve">Frente al argumento de las </w:t>
      </w:r>
      <w:r w:rsidR="00E954B6" w:rsidRPr="00C726EC">
        <w:rPr>
          <w:rFonts w:cs="Tahoma"/>
          <w:szCs w:val="24"/>
        </w:rPr>
        <w:t xml:space="preserve">Protección </w:t>
      </w:r>
      <w:r w:rsidRPr="00C726EC">
        <w:rPr>
          <w:rFonts w:cs="Tahoma"/>
          <w:szCs w:val="24"/>
        </w:rPr>
        <w:t xml:space="preserve">y Colfondos, referente a que era improcedente permitir que el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w:t>
      </w:r>
      <w:r w:rsidRPr="00C726EC">
        <w:rPr>
          <w:rFonts w:cs="Tahoma"/>
          <w:szCs w:val="24"/>
        </w:rPr>
        <w:lastRenderedPageBreak/>
        <w:t>Colpensiones, del cual ya hacía parte la demandante.</w:t>
      </w:r>
    </w:p>
    <w:p w14:paraId="3527B2DE"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4F05B741" w14:textId="2A0448B3"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 xml:space="preserve">De otro lado, respecto a la solicitud de la AFP </w:t>
      </w:r>
      <w:r w:rsidR="00E954B6" w:rsidRPr="00C726EC">
        <w:rPr>
          <w:rFonts w:cs="Tahoma"/>
          <w:szCs w:val="24"/>
        </w:rPr>
        <w:t xml:space="preserve">Porvenir </w:t>
      </w:r>
      <w:r w:rsidRPr="00C726EC">
        <w:rPr>
          <w:rFonts w:cs="Tahoma"/>
          <w:szCs w:val="24"/>
        </w:rPr>
        <w:t>S.A. que no se le condene en costas, bajo el argumento de que se cumplió con los requisitos legales exigidos al momento del traslado, al respecto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295412D4"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19631D2B" w14:textId="36DFE58D"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 xml:space="preserve">Ahora, como la declaratoria de ineficacia trae como consecuencia que las cosas se reestablezcan al estado en el que se encontraban al momento del traslado de régimen, es necesario modificar el ordinal </w:t>
      </w:r>
      <w:r w:rsidR="00E954B6" w:rsidRPr="00C726EC">
        <w:rPr>
          <w:rFonts w:cs="Tahoma"/>
          <w:szCs w:val="24"/>
        </w:rPr>
        <w:t xml:space="preserve">tercero </w:t>
      </w:r>
      <w:r w:rsidRPr="00C726EC">
        <w:rPr>
          <w:rFonts w:cs="Tahoma"/>
          <w:szCs w:val="24"/>
        </w:rPr>
        <w:t>de la sentencia en el sentido de excluir la orden de trasladar hacia Colpensiones el bono pensional, en caso de existir, para adicionar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r w:rsidR="00C57A87" w:rsidRPr="00C726EC">
        <w:rPr>
          <w:rFonts w:cs="Tahoma"/>
          <w:szCs w:val="24"/>
        </w:rPr>
        <w:t>, amén de que por la edad de la parte demandante, la redención del bono sería para el 16 de julio de 2022</w:t>
      </w:r>
      <w:r w:rsidRPr="00C726EC">
        <w:rPr>
          <w:rFonts w:cs="Tahoma"/>
          <w:szCs w:val="24"/>
        </w:rPr>
        <w:t>.</w:t>
      </w:r>
    </w:p>
    <w:p w14:paraId="0A62BF69"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0955C8E2" w14:textId="5E7D6943"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 xml:space="preserve">Finalmente, frente a la solicitud de Colpensiones enmarcada en que se disponga, a título de resarcimiento, condena en contra de </w:t>
      </w:r>
      <w:r w:rsidR="00E954B6" w:rsidRPr="00C726EC">
        <w:rPr>
          <w:rFonts w:cs="Tahoma"/>
          <w:szCs w:val="24"/>
        </w:rPr>
        <w:t>las administradoras del RAIS</w:t>
      </w:r>
      <w:r w:rsidRPr="00C726EC">
        <w:rPr>
          <w:rFonts w:cs="Tahoma"/>
          <w:szCs w:val="24"/>
        </w:rPr>
        <w:t xml:space="preserve">, consistente en el pago de las diferencias que se pudieran generar en la financiación de la pensión de la demandante, producto de la mala asesoría, al respecto, se debe indicar que con la ineficacia del traslado, las cosas se retrotraen al estado en que se encontraban antes de ocurrir, circunstancia, que contrajo consecuencias que, en este caso, ya fueron ordenadas en virtud del grado jurisdiccional de consulta y con fundamento en la línea jurisprudencial planteada en precedencia. </w:t>
      </w:r>
    </w:p>
    <w:p w14:paraId="3B08403F" w14:textId="77777777" w:rsidR="0034303C" w:rsidRPr="00C726EC" w:rsidRDefault="0034303C" w:rsidP="00C726EC">
      <w:pPr>
        <w:widowControl w:val="0"/>
        <w:autoSpaceDE w:val="0"/>
        <w:autoSpaceDN w:val="0"/>
        <w:adjustRightInd w:val="0"/>
        <w:spacing w:line="276" w:lineRule="auto"/>
        <w:ind w:firstLine="284"/>
        <w:rPr>
          <w:rFonts w:cs="Tahoma"/>
          <w:szCs w:val="24"/>
        </w:rPr>
      </w:pPr>
      <w:r w:rsidRPr="00C726EC">
        <w:rPr>
          <w:rFonts w:cs="Tahoma"/>
          <w:szCs w:val="24"/>
        </w:rPr>
        <w:t xml:space="preserve"> </w:t>
      </w:r>
    </w:p>
    <w:p w14:paraId="469588ED" w14:textId="7777777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Ahora, cualquier análisis de carácter resarcitorio por fuera de lo planteado en la demanda y en la contestación, no puede ser estudiado al no haber sido planteado por ninguno de los sujetos de la acción y en ese sentido tampoco se reconvino.</w:t>
      </w:r>
    </w:p>
    <w:p w14:paraId="71B2D658"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74D5DD89" w14:textId="66B4EA8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t xml:space="preserve">En esta instancia de conformidad a lo consagrado en el artículo 365 del CGP, se condenará en costas procesales a </w:t>
      </w:r>
      <w:r w:rsidRPr="00C726EC">
        <w:rPr>
          <w:rFonts w:cs="Tahoma"/>
          <w:bCs/>
          <w:szCs w:val="24"/>
        </w:rPr>
        <w:t>Porvenir S.A.,</w:t>
      </w:r>
      <w:r w:rsidRPr="00C726EC">
        <w:rPr>
          <w:rFonts w:cs="Tahoma"/>
          <w:szCs w:val="24"/>
        </w:rPr>
        <w:t xml:space="preserve"> </w:t>
      </w:r>
      <w:r w:rsidR="00E954B6" w:rsidRPr="00C726EC">
        <w:rPr>
          <w:rFonts w:cs="Tahoma"/>
          <w:szCs w:val="24"/>
        </w:rPr>
        <w:t xml:space="preserve">Protección S.A., </w:t>
      </w:r>
      <w:r w:rsidRPr="00C726EC">
        <w:rPr>
          <w:rFonts w:cs="Tahoma"/>
          <w:szCs w:val="24"/>
        </w:rPr>
        <w:t xml:space="preserve">Colfondos S.A. y Colpensiones a favor de la parte actora, las cuales se liquidarán por la secretaría del juzgado de origen. </w:t>
      </w:r>
    </w:p>
    <w:p w14:paraId="4BA0BC71"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706A15A3" w14:textId="344D1AC7" w:rsidR="0034303C" w:rsidRPr="00C726EC" w:rsidRDefault="00BD19FC" w:rsidP="00C726EC">
      <w:pPr>
        <w:widowControl w:val="0"/>
        <w:autoSpaceDE w:val="0"/>
        <w:autoSpaceDN w:val="0"/>
        <w:adjustRightInd w:val="0"/>
        <w:spacing w:line="276" w:lineRule="auto"/>
        <w:ind w:firstLine="708"/>
        <w:rPr>
          <w:rFonts w:cs="Tahoma"/>
          <w:szCs w:val="24"/>
        </w:rPr>
      </w:pPr>
      <w:r>
        <w:rPr>
          <w:rFonts w:cs="Tahoma"/>
          <w:szCs w:val="24"/>
        </w:rPr>
        <w:t>(…)</w:t>
      </w:r>
    </w:p>
    <w:p w14:paraId="30CCFF35"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43676ACC" w14:textId="7777777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szCs w:val="24"/>
        </w:rPr>
        <w:lastRenderedPageBreak/>
        <w:t xml:space="preserve">En mérito de lo expuesto, el </w:t>
      </w:r>
      <w:r w:rsidRPr="00C726EC">
        <w:rPr>
          <w:rFonts w:cs="Tahoma"/>
          <w:b/>
          <w:szCs w:val="24"/>
        </w:rPr>
        <w:t>Tribunal Superior del Distrito Judicial de Pereira - Risaralda, Sala Primera de Decisión Laboral presidida por la Magistrada Ana Lucía Caicedo Calderón,</w:t>
      </w:r>
      <w:r w:rsidRPr="00C726EC">
        <w:rPr>
          <w:rFonts w:cs="Tahoma"/>
          <w:szCs w:val="24"/>
        </w:rPr>
        <w:t xml:space="preserve"> administrando justicia en nombre de la República y por autoridad de la ley,</w:t>
      </w:r>
    </w:p>
    <w:p w14:paraId="7178E614"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461F8287" w14:textId="77777777" w:rsidR="0034303C" w:rsidRPr="00C726EC" w:rsidRDefault="0034303C" w:rsidP="00C726EC">
      <w:pPr>
        <w:widowControl w:val="0"/>
        <w:autoSpaceDE w:val="0"/>
        <w:autoSpaceDN w:val="0"/>
        <w:adjustRightInd w:val="0"/>
        <w:spacing w:line="276" w:lineRule="auto"/>
        <w:ind w:firstLine="284"/>
        <w:jc w:val="center"/>
        <w:rPr>
          <w:rFonts w:cs="Tahoma"/>
          <w:b/>
          <w:szCs w:val="24"/>
        </w:rPr>
      </w:pPr>
      <w:r w:rsidRPr="00C726EC">
        <w:rPr>
          <w:rFonts w:cs="Tahoma"/>
          <w:b/>
          <w:szCs w:val="24"/>
        </w:rPr>
        <w:t>RESUELVE</w:t>
      </w:r>
    </w:p>
    <w:p w14:paraId="41DF5939" w14:textId="77777777" w:rsidR="0034303C" w:rsidRPr="00C726EC" w:rsidRDefault="0034303C" w:rsidP="00C726EC">
      <w:pPr>
        <w:widowControl w:val="0"/>
        <w:autoSpaceDE w:val="0"/>
        <w:autoSpaceDN w:val="0"/>
        <w:adjustRightInd w:val="0"/>
        <w:spacing w:line="276" w:lineRule="auto"/>
        <w:ind w:firstLine="284"/>
        <w:rPr>
          <w:rFonts w:cs="Tahoma"/>
          <w:b/>
          <w:bCs/>
          <w:szCs w:val="24"/>
        </w:rPr>
      </w:pPr>
    </w:p>
    <w:p w14:paraId="306EB3ED" w14:textId="6DADD8F4"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b/>
          <w:bCs/>
          <w:szCs w:val="24"/>
        </w:rPr>
        <w:t>PRIMERO</w:t>
      </w:r>
      <w:r w:rsidRPr="00C726EC">
        <w:rPr>
          <w:rFonts w:cs="Tahoma"/>
          <w:szCs w:val="24"/>
        </w:rPr>
        <w:t>: </w:t>
      </w:r>
      <w:r w:rsidRPr="00C726EC">
        <w:rPr>
          <w:rFonts w:cs="Tahoma"/>
          <w:b/>
          <w:bCs/>
          <w:szCs w:val="24"/>
        </w:rPr>
        <w:t>MODIFICAR</w:t>
      </w:r>
      <w:r w:rsidRPr="00C726EC">
        <w:rPr>
          <w:rFonts w:cs="Tahoma"/>
          <w:szCs w:val="24"/>
        </w:rPr>
        <w:t xml:space="preserve"> el ordinal </w:t>
      </w:r>
      <w:r w:rsidR="00E954B6" w:rsidRPr="00C726EC">
        <w:rPr>
          <w:rFonts w:cs="Tahoma"/>
          <w:szCs w:val="24"/>
        </w:rPr>
        <w:t>tercero</w:t>
      </w:r>
      <w:r w:rsidRPr="00C726EC">
        <w:rPr>
          <w:rFonts w:cs="Tahoma"/>
          <w:szCs w:val="24"/>
        </w:rPr>
        <w:t xml:space="preserve"> de la sentencia de primer grado, en el sentido de excluir la orden de trasladar a Colpensiones el bono pensional y </w:t>
      </w:r>
      <w:r w:rsidRPr="00C726EC">
        <w:rPr>
          <w:rFonts w:cs="Tahoma"/>
          <w:b/>
          <w:bCs/>
          <w:szCs w:val="24"/>
        </w:rPr>
        <w:t>ADICIONAR</w:t>
      </w:r>
      <w:r w:rsidRPr="00C726EC">
        <w:rPr>
          <w:rFonts w:cs="Tahoma"/>
          <w:szCs w:val="24"/>
        </w:rPr>
        <w:t xml:space="preserve">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21F96B3C" w14:textId="77777777" w:rsidR="0034303C" w:rsidRPr="00C726EC" w:rsidRDefault="0034303C" w:rsidP="00C726EC">
      <w:pPr>
        <w:widowControl w:val="0"/>
        <w:autoSpaceDE w:val="0"/>
        <w:autoSpaceDN w:val="0"/>
        <w:adjustRightInd w:val="0"/>
        <w:spacing w:line="276" w:lineRule="auto"/>
        <w:ind w:firstLine="284"/>
        <w:rPr>
          <w:rFonts w:cs="Tahoma"/>
          <w:b/>
          <w:bCs/>
          <w:szCs w:val="24"/>
        </w:rPr>
      </w:pPr>
      <w:r w:rsidRPr="00C726EC">
        <w:rPr>
          <w:rFonts w:cs="Tahoma"/>
          <w:b/>
          <w:bCs/>
          <w:szCs w:val="24"/>
        </w:rPr>
        <w:t xml:space="preserve"> </w:t>
      </w:r>
    </w:p>
    <w:p w14:paraId="789391FE" w14:textId="697EDA01"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b/>
          <w:bCs/>
          <w:szCs w:val="24"/>
        </w:rPr>
        <w:t>SEGUNDO</w:t>
      </w:r>
      <w:r w:rsidRPr="00C726EC">
        <w:rPr>
          <w:rFonts w:cs="Tahoma"/>
          <w:szCs w:val="24"/>
        </w:rPr>
        <w:t xml:space="preserve">: </w:t>
      </w:r>
      <w:r w:rsidRPr="00C726EC">
        <w:rPr>
          <w:rFonts w:cs="Tahoma"/>
          <w:b/>
          <w:bCs/>
          <w:szCs w:val="24"/>
        </w:rPr>
        <w:t>CONFIRMAR</w:t>
      </w:r>
      <w:r w:rsidRPr="00C726EC">
        <w:rPr>
          <w:rFonts w:cs="Tahoma"/>
          <w:szCs w:val="24"/>
        </w:rPr>
        <w:t xml:space="preserve"> en lo demás la sentencia proferida por el Juzgado </w:t>
      </w:r>
      <w:r w:rsidR="00E954B6" w:rsidRPr="00C726EC">
        <w:rPr>
          <w:rFonts w:cs="Tahoma"/>
          <w:szCs w:val="24"/>
        </w:rPr>
        <w:t xml:space="preserve">Segundo </w:t>
      </w:r>
      <w:r w:rsidRPr="00C726EC">
        <w:rPr>
          <w:rFonts w:cs="Tahoma"/>
          <w:szCs w:val="24"/>
        </w:rPr>
        <w:t>Laboral de Circuito de Pereira, del 25 de marzo de 2021 dentro del proceso de la referencia.</w:t>
      </w:r>
    </w:p>
    <w:p w14:paraId="5054BC20" w14:textId="77777777" w:rsidR="0034303C" w:rsidRPr="00C726EC" w:rsidRDefault="0034303C" w:rsidP="00C726EC">
      <w:pPr>
        <w:widowControl w:val="0"/>
        <w:autoSpaceDE w:val="0"/>
        <w:autoSpaceDN w:val="0"/>
        <w:adjustRightInd w:val="0"/>
        <w:spacing w:line="276" w:lineRule="auto"/>
        <w:ind w:firstLine="284"/>
        <w:rPr>
          <w:rFonts w:cs="Tahoma"/>
          <w:b/>
          <w:bCs/>
          <w:szCs w:val="24"/>
        </w:rPr>
      </w:pPr>
    </w:p>
    <w:p w14:paraId="5DC20565" w14:textId="62C3AC24"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b/>
          <w:bCs/>
          <w:szCs w:val="24"/>
        </w:rPr>
        <w:t>TERCERO</w:t>
      </w:r>
      <w:r w:rsidRPr="00C726EC">
        <w:rPr>
          <w:rFonts w:cs="Tahoma"/>
          <w:szCs w:val="24"/>
        </w:rPr>
        <w:t>: </w:t>
      </w:r>
      <w:r w:rsidRPr="00C726EC">
        <w:rPr>
          <w:rFonts w:cs="Tahoma"/>
          <w:b/>
          <w:bCs/>
          <w:szCs w:val="24"/>
        </w:rPr>
        <w:t>CONDENAR</w:t>
      </w:r>
      <w:r w:rsidRPr="00C726EC">
        <w:rPr>
          <w:rFonts w:cs="Tahoma"/>
          <w:szCs w:val="24"/>
        </w:rPr>
        <w:t xml:space="preserve"> en costas de segunda instancia a Porvenir S.A., Colfondos S.A.</w:t>
      </w:r>
      <w:r w:rsidR="00E954B6" w:rsidRPr="00C726EC">
        <w:rPr>
          <w:rFonts w:cs="Tahoma"/>
          <w:szCs w:val="24"/>
        </w:rPr>
        <w:t>, Protección S.A.</w:t>
      </w:r>
      <w:r w:rsidRPr="00C726EC">
        <w:rPr>
          <w:rFonts w:cs="Tahoma"/>
          <w:szCs w:val="24"/>
        </w:rPr>
        <w:t xml:space="preserve"> y a Colpensiones a favor del demandante, las cuales se liquidarán por el juzgado de origen.</w:t>
      </w:r>
    </w:p>
    <w:p w14:paraId="7755D180"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3253053A" w14:textId="21AE50D7" w:rsidR="0034303C" w:rsidRPr="00C726EC" w:rsidRDefault="0034303C" w:rsidP="00C726EC">
      <w:pPr>
        <w:widowControl w:val="0"/>
        <w:autoSpaceDE w:val="0"/>
        <w:autoSpaceDN w:val="0"/>
        <w:adjustRightInd w:val="0"/>
        <w:spacing w:line="276" w:lineRule="auto"/>
        <w:ind w:firstLine="708"/>
        <w:rPr>
          <w:rFonts w:cs="Tahoma"/>
          <w:szCs w:val="24"/>
        </w:rPr>
      </w:pPr>
      <w:r w:rsidRPr="00C726EC">
        <w:rPr>
          <w:rFonts w:cs="Tahoma"/>
          <w:b/>
          <w:bCs/>
          <w:szCs w:val="24"/>
        </w:rPr>
        <w:t>CUARTO</w:t>
      </w:r>
      <w:r w:rsidRPr="00C726EC">
        <w:rPr>
          <w:rFonts w:cs="Tahoma"/>
          <w:szCs w:val="24"/>
        </w:rPr>
        <w:t xml:space="preserve">: </w:t>
      </w:r>
      <w:r w:rsidR="00BD19FC" w:rsidRPr="00BD19FC">
        <w:rPr>
          <w:rFonts w:cs="Tahoma"/>
          <w:bCs/>
          <w:szCs w:val="24"/>
        </w:rPr>
        <w:t>(…)</w:t>
      </w:r>
    </w:p>
    <w:p w14:paraId="15A34628" w14:textId="77777777" w:rsidR="0034303C" w:rsidRPr="00C726EC" w:rsidRDefault="0034303C" w:rsidP="00C726EC">
      <w:pPr>
        <w:widowControl w:val="0"/>
        <w:autoSpaceDE w:val="0"/>
        <w:autoSpaceDN w:val="0"/>
        <w:adjustRightInd w:val="0"/>
        <w:spacing w:line="276" w:lineRule="auto"/>
        <w:ind w:firstLine="284"/>
        <w:rPr>
          <w:rFonts w:cs="Tahoma"/>
          <w:szCs w:val="24"/>
        </w:rPr>
      </w:pPr>
    </w:p>
    <w:p w14:paraId="33C73A15" w14:textId="77777777" w:rsidR="0034303C" w:rsidRPr="00C726EC" w:rsidRDefault="0034303C" w:rsidP="00C726EC">
      <w:pPr>
        <w:widowControl w:val="0"/>
        <w:autoSpaceDE w:val="0"/>
        <w:autoSpaceDN w:val="0"/>
        <w:adjustRightInd w:val="0"/>
        <w:spacing w:line="276" w:lineRule="auto"/>
        <w:ind w:firstLine="284"/>
        <w:rPr>
          <w:rFonts w:cs="Tahoma"/>
          <w:b/>
          <w:szCs w:val="24"/>
        </w:rPr>
      </w:pPr>
      <w:r w:rsidRPr="00C726EC">
        <w:rPr>
          <w:rFonts w:cs="Tahoma"/>
          <w:b/>
          <w:szCs w:val="24"/>
        </w:rPr>
        <w:t>NOTIFÍQUESE Y CÚMPLASE</w:t>
      </w:r>
    </w:p>
    <w:p w14:paraId="14AFC93C" w14:textId="77777777" w:rsidR="00C726EC" w:rsidRPr="00C726EC" w:rsidRDefault="00C726EC" w:rsidP="00C726EC">
      <w:pPr>
        <w:spacing w:line="276" w:lineRule="auto"/>
        <w:contextualSpacing/>
        <w:rPr>
          <w:rFonts w:eastAsia="Times New Roman" w:cs="Tahoma"/>
          <w:szCs w:val="24"/>
          <w:lang w:val="es-ES_tradnl"/>
        </w:rPr>
      </w:pPr>
      <w:bookmarkStart w:id="7" w:name="_Hlk74294138"/>
    </w:p>
    <w:p w14:paraId="36C7B334" w14:textId="77777777" w:rsidR="00C726EC" w:rsidRPr="00C726EC" w:rsidRDefault="00C726EC" w:rsidP="00C726EC">
      <w:pPr>
        <w:widowControl w:val="0"/>
        <w:autoSpaceDE w:val="0"/>
        <w:autoSpaceDN w:val="0"/>
        <w:adjustRightInd w:val="0"/>
        <w:spacing w:line="276" w:lineRule="auto"/>
        <w:rPr>
          <w:rFonts w:eastAsia="Times New Roman" w:cs="Tahoma"/>
          <w:szCs w:val="24"/>
          <w:lang w:val="es-ES" w:eastAsia="es-ES"/>
        </w:rPr>
      </w:pPr>
      <w:r w:rsidRPr="00C726EC">
        <w:rPr>
          <w:rFonts w:eastAsia="Times New Roman" w:cs="Tahoma"/>
          <w:szCs w:val="24"/>
          <w:lang w:val="es-ES" w:eastAsia="es-ES"/>
        </w:rPr>
        <w:tab/>
        <w:t>La Magistrada ponente,</w:t>
      </w:r>
    </w:p>
    <w:p w14:paraId="26329268" w14:textId="77777777" w:rsidR="00C726EC" w:rsidRPr="00C726EC" w:rsidRDefault="00C726EC" w:rsidP="00C726EC">
      <w:pPr>
        <w:spacing w:line="276" w:lineRule="auto"/>
        <w:jc w:val="left"/>
        <w:rPr>
          <w:rFonts w:eastAsia="Times New Roman" w:cs="Tahoma"/>
          <w:szCs w:val="24"/>
          <w:lang w:val="es-ES" w:eastAsia="es-ES"/>
        </w:rPr>
      </w:pPr>
    </w:p>
    <w:p w14:paraId="7D276250" w14:textId="77777777" w:rsidR="00C726EC" w:rsidRPr="00C726EC" w:rsidRDefault="00C726EC" w:rsidP="00C726EC">
      <w:pPr>
        <w:spacing w:line="276" w:lineRule="auto"/>
        <w:jc w:val="left"/>
        <w:rPr>
          <w:rFonts w:eastAsia="Times New Roman" w:cs="Tahoma"/>
          <w:szCs w:val="24"/>
          <w:lang w:val="es-ES" w:eastAsia="es-ES"/>
        </w:rPr>
      </w:pPr>
    </w:p>
    <w:p w14:paraId="6AF3A2A7" w14:textId="77777777" w:rsidR="00C726EC" w:rsidRPr="00C726EC" w:rsidRDefault="00C726EC" w:rsidP="00C726EC">
      <w:pPr>
        <w:spacing w:line="276" w:lineRule="auto"/>
        <w:jc w:val="left"/>
        <w:rPr>
          <w:rFonts w:eastAsia="Times New Roman" w:cs="Tahoma"/>
          <w:szCs w:val="24"/>
          <w:lang w:val="es-ES" w:eastAsia="es-ES"/>
        </w:rPr>
      </w:pPr>
    </w:p>
    <w:p w14:paraId="1FB3C9CB" w14:textId="77777777" w:rsidR="00C726EC" w:rsidRPr="00C726EC" w:rsidRDefault="00C726EC" w:rsidP="00C726EC">
      <w:pPr>
        <w:keepNext/>
        <w:spacing w:line="276" w:lineRule="auto"/>
        <w:jc w:val="center"/>
        <w:outlineLvl w:val="2"/>
        <w:rPr>
          <w:rFonts w:eastAsia="Times New Roman" w:cs="Tahoma"/>
          <w:b/>
          <w:bCs/>
          <w:szCs w:val="24"/>
          <w:lang w:val="es-ES" w:eastAsia="es-ES"/>
        </w:rPr>
      </w:pPr>
      <w:r w:rsidRPr="00C726EC">
        <w:rPr>
          <w:rFonts w:eastAsia="Times New Roman" w:cs="Tahoma"/>
          <w:b/>
          <w:bCs/>
          <w:szCs w:val="24"/>
          <w:lang w:val="es-ES" w:eastAsia="es-ES"/>
        </w:rPr>
        <w:t>ANA LUCÍA CAICEDO CALDERÓN</w:t>
      </w:r>
    </w:p>
    <w:p w14:paraId="4F514497" w14:textId="77777777" w:rsidR="00C726EC" w:rsidRPr="00C726EC" w:rsidRDefault="00C726EC" w:rsidP="00C726EC">
      <w:pPr>
        <w:spacing w:line="276" w:lineRule="auto"/>
        <w:jc w:val="left"/>
        <w:rPr>
          <w:rFonts w:eastAsia="Times New Roman" w:cs="Tahoma"/>
          <w:szCs w:val="24"/>
          <w:lang w:val="es-ES" w:eastAsia="es-ES"/>
        </w:rPr>
      </w:pPr>
    </w:p>
    <w:p w14:paraId="7BC13882" w14:textId="77777777" w:rsidR="00C726EC" w:rsidRPr="00C726EC" w:rsidRDefault="00C726EC" w:rsidP="00C726EC">
      <w:pPr>
        <w:spacing w:line="276" w:lineRule="auto"/>
        <w:ind w:firstLine="708"/>
        <w:jc w:val="left"/>
        <w:rPr>
          <w:rFonts w:eastAsia="Times New Roman" w:cs="Tahoma"/>
          <w:szCs w:val="24"/>
          <w:lang w:val="es-ES" w:eastAsia="es-ES"/>
        </w:rPr>
      </w:pPr>
      <w:bookmarkStart w:id="8" w:name="_Hlk62478330"/>
      <w:r w:rsidRPr="00C726EC">
        <w:rPr>
          <w:rFonts w:eastAsia="Times New Roman" w:cs="Tahoma"/>
          <w:szCs w:val="24"/>
          <w:lang w:val="es-ES" w:eastAsia="es-ES"/>
        </w:rPr>
        <w:t>La Magistrada y el Magistrado,</w:t>
      </w:r>
    </w:p>
    <w:p w14:paraId="3EA1C365" w14:textId="77777777" w:rsidR="00C726EC" w:rsidRPr="00C726EC" w:rsidRDefault="00C726EC" w:rsidP="00C726EC">
      <w:pPr>
        <w:spacing w:line="276" w:lineRule="auto"/>
        <w:jc w:val="left"/>
        <w:rPr>
          <w:rFonts w:eastAsia="Times New Roman" w:cs="Tahoma"/>
          <w:szCs w:val="24"/>
          <w:lang w:val="es-ES" w:eastAsia="es-ES"/>
        </w:rPr>
      </w:pPr>
    </w:p>
    <w:p w14:paraId="5ED1D062" w14:textId="77777777" w:rsidR="00C726EC" w:rsidRPr="00C726EC" w:rsidRDefault="00C726EC" w:rsidP="00C726EC">
      <w:pPr>
        <w:spacing w:line="276" w:lineRule="auto"/>
        <w:jc w:val="left"/>
        <w:rPr>
          <w:rFonts w:eastAsia="Times New Roman" w:cs="Tahoma"/>
          <w:szCs w:val="24"/>
          <w:lang w:val="es-ES" w:eastAsia="es-ES"/>
        </w:rPr>
      </w:pPr>
    </w:p>
    <w:p w14:paraId="32341F83" w14:textId="77777777" w:rsidR="00C726EC" w:rsidRPr="00C726EC" w:rsidRDefault="00C726EC" w:rsidP="00C726EC">
      <w:pPr>
        <w:spacing w:line="276" w:lineRule="auto"/>
        <w:jc w:val="left"/>
        <w:rPr>
          <w:rFonts w:eastAsia="Times New Roman" w:cs="Tahoma"/>
          <w:szCs w:val="24"/>
          <w:lang w:val="es-ES" w:eastAsia="es-ES"/>
        </w:rPr>
      </w:pPr>
    </w:p>
    <w:p w14:paraId="14A9AB40" w14:textId="77777777" w:rsidR="00C726EC" w:rsidRPr="00C726EC" w:rsidRDefault="00C726EC" w:rsidP="00C726EC">
      <w:pPr>
        <w:spacing w:line="276" w:lineRule="auto"/>
        <w:rPr>
          <w:rFonts w:eastAsia="Times New Roman" w:cs="Tahoma"/>
          <w:szCs w:val="24"/>
          <w:lang w:val="es-ES" w:eastAsia="es-ES"/>
        </w:rPr>
      </w:pPr>
      <w:r w:rsidRPr="00C726EC">
        <w:rPr>
          <w:rFonts w:eastAsia="Times New Roman" w:cs="Tahoma"/>
          <w:b/>
          <w:bCs/>
          <w:szCs w:val="24"/>
          <w:lang w:val="es-ES" w:eastAsia="es-ES"/>
        </w:rPr>
        <w:t>OLGA LUCÍA HOYOS SEPÚLVEDA</w:t>
      </w:r>
      <w:r w:rsidRPr="00C726EC">
        <w:rPr>
          <w:rFonts w:eastAsia="Times New Roman" w:cs="Tahoma"/>
          <w:b/>
          <w:bCs/>
          <w:szCs w:val="24"/>
          <w:lang w:val="es-ES" w:eastAsia="es-ES"/>
        </w:rPr>
        <w:tab/>
      </w:r>
      <w:r w:rsidRPr="00C726EC">
        <w:rPr>
          <w:rFonts w:eastAsia="Times New Roman" w:cs="Tahoma"/>
          <w:b/>
          <w:bCs/>
          <w:szCs w:val="24"/>
          <w:lang w:val="es-ES" w:eastAsia="es-ES"/>
        </w:rPr>
        <w:tab/>
        <w:t>GERMÁN DARÍO GÓEZ VINASCO</w:t>
      </w:r>
      <w:bookmarkEnd w:id="7"/>
      <w:bookmarkEnd w:id="8"/>
    </w:p>
    <w:p w14:paraId="7DF2A4B3" w14:textId="4BAF0641" w:rsidR="009D10A2" w:rsidRPr="00D210FE" w:rsidRDefault="00D210FE" w:rsidP="00C726EC">
      <w:pPr>
        <w:widowControl w:val="0"/>
        <w:autoSpaceDE w:val="0"/>
        <w:autoSpaceDN w:val="0"/>
        <w:adjustRightInd w:val="0"/>
        <w:spacing w:line="276" w:lineRule="auto"/>
        <w:rPr>
          <w:rFonts w:cs="Tahoma"/>
          <w:bCs/>
          <w:szCs w:val="24"/>
        </w:rPr>
      </w:pPr>
      <w:r>
        <w:rPr>
          <w:rFonts w:cs="Tahoma"/>
          <w:bCs/>
          <w:szCs w:val="24"/>
        </w:rPr>
        <w:t>Aclara voto</w:t>
      </w:r>
    </w:p>
    <w:sectPr w:rsidR="009D10A2" w:rsidRPr="00D210FE" w:rsidSect="0057241C">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DB885A" w16cex:dateUtc="2021-08-18T22:26:06.554Z"/>
  <w16cex:commentExtensible w16cex:durableId="10320262" w16cex:dateUtc="2021-08-20T12:41:47.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B3BA" w14:textId="77777777" w:rsidR="00DA745A" w:rsidRDefault="00DA745A" w:rsidP="00790DA9">
      <w:pPr>
        <w:spacing w:line="240" w:lineRule="auto"/>
      </w:pPr>
      <w:r>
        <w:separator/>
      </w:r>
    </w:p>
  </w:endnote>
  <w:endnote w:type="continuationSeparator" w:id="0">
    <w:p w14:paraId="0A328DF7" w14:textId="77777777" w:rsidR="00DA745A" w:rsidRDefault="00DA745A"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8"/>
        <w:lang w:val="es-419" w:eastAsia="es-ES"/>
      </w:rPr>
    </w:sdtEndPr>
    <w:sdtContent>
      <w:p w14:paraId="14419340" w14:textId="77777777" w:rsidR="00BB0107" w:rsidRPr="00D210FE" w:rsidRDefault="00BB0107">
        <w:pPr>
          <w:pStyle w:val="Piedepgina"/>
          <w:jc w:val="right"/>
          <w:rPr>
            <w:rFonts w:ascii="Arial" w:eastAsia="Times New Roman" w:hAnsi="Arial" w:cs="Arial"/>
            <w:sz w:val="18"/>
            <w:szCs w:val="18"/>
            <w:lang w:val="es-419" w:eastAsia="es-ES"/>
          </w:rPr>
        </w:pPr>
        <w:r w:rsidRPr="00D210FE">
          <w:rPr>
            <w:rFonts w:ascii="Arial" w:eastAsia="Times New Roman" w:hAnsi="Arial" w:cs="Arial"/>
            <w:sz w:val="18"/>
            <w:szCs w:val="18"/>
            <w:lang w:val="es-419" w:eastAsia="es-ES"/>
          </w:rPr>
          <w:fldChar w:fldCharType="begin"/>
        </w:r>
        <w:r w:rsidRPr="00D210FE">
          <w:rPr>
            <w:rFonts w:ascii="Arial" w:eastAsia="Times New Roman" w:hAnsi="Arial" w:cs="Arial"/>
            <w:sz w:val="18"/>
            <w:szCs w:val="18"/>
            <w:lang w:val="es-419" w:eastAsia="es-ES"/>
          </w:rPr>
          <w:instrText>PAGE   \* MERGEFORMAT</w:instrText>
        </w:r>
        <w:r w:rsidRPr="00D210FE">
          <w:rPr>
            <w:rFonts w:ascii="Arial" w:eastAsia="Times New Roman" w:hAnsi="Arial" w:cs="Arial"/>
            <w:sz w:val="18"/>
            <w:szCs w:val="18"/>
            <w:lang w:val="es-419" w:eastAsia="es-ES"/>
          </w:rPr>
          <w:fldChar w:fldCharType="separate"/>
        </w:r>
        <w:r w:rsidRPr="00D210FE">
          <w:rPr>
            <w:rFonts w:ascii="Arial" w:eastAsia="Times New Roman" w:hAnsi="Arial" w:cs="Arial"/>
            <w:sz w:val="18"/>
            <w:szCs w:val="18"/>
            <w:lang w:val="es-419" w:eastAsia="es-ES"/>
          </w:rPr>
          <w:t>17</w:t>
        </w:r>
        <w:r w:rsidRPr="00D210FE">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A915" w14:textId="77777777" w:rsidR="00DA745A" w:rsidRDefault="00DA745A" w:rsidP="00790DA9">
      <w:pPr>
        <w:spacing w:line="240" w:lineRule="auto"/>
      </w:pPr>
      <w:r>
        <w:separator/>
      </w:r>
    </w:p>
  </w:footnote>
  <w:footnote w:type="continuationSeparator" w:id="0">
    <w:p w14:paraId="512EF7F5" w14:textId="77777777" w:rsidR="00DA745A" w:rsidRDefault="00DA745A" w:rsidP="00790DA9">
      <w:pPr>
        <w:spacing w:line="240" w:lineRule="auto"/>
      </w:pPr>
      <w:r>
        <w:continuationSeparator/>
      </w:r>
    </w:p>
  </w:footnote>
  <w:footnote w:id="1">
    <w:p w14:paraId="02C3870F" w14:textId="77777777" w:rsidR="0034303C" w:rsidRPr="00D210FE" w:rsidRDefault="0034303C" w:rsidP="00D210FE">
      <w:pPr>
        <w:pStyle w:val="Textonotapie"/>
        <w:ind w:firstLine="0"/>
        <w:rPr>
          <w:rFonts w:ascii="Arial" w:hAnsi="Arial" w:cs="Arial"/>
          <w:sz w:val="18"/>
          <w:szCs w:val="18"/>
          <w:lang w:val="es-CO"/>
        </w:rPr>
      </w:pPr>
      <w:r w:rsidRPr="00D210FE">
        <w:rPr>
          <w:rStyle w:val="Refdenotaalpie"/>
          <w:rFonts w:ascii="Arial" w:hAnsi="Arial" w:cs="Arial"/>
          <w:sz w:val="18"/>
          <w:szCs w:val="18"/>
        </w:rPr>
        <w:footnoteRef/>
      </w:r>
      <w:r w:rsidRPr="00D210FE">
        <w:rPr>
          <w:rFonts w:ascii="Arial" w:hAnsi="Arial" w:cs="Arial"/>
          <w:sz w:val="18"/>
          <w:szCs w:val="18"/>
        </w:rPr>
        <w:t xml:space="preserve"> </w:t>
      </w:r>
      <w:r w:rsidRPr="00D210FE">
        <w:rPr>
          <w:rFonts w:ascii="Arial" w:hAnsi="Arial" w:cs="Arial"/>
          <w:sz w:val="18"/>
          <w:szCs w:val="18"/>
          <w:lang w:val="es-CO"/>
        </w:rPr>
        <w:t xml:space="preserve">Título tomado de la sentencia </w:t>
      </w:r>
      <w:r w:rsidRPr="00D210FE">
        <w:rPr>
          <w:rFonts w:ascii="Arial" w:hAnsi="Arial" w:cs="Arial"/>
          <w:sz w:val="18"/>
          <w:szCs w:val="18"/>
        </w:rPr>
        <w:t>del 8 de mayo de 2019SL 1688-2019, Radicado 68838, con Ponencia de la Dra. Clara Cecilia Dueñas Quevedo</w:t>
      </w:r>
    </w:p>
  </w:footnote>
  <w:footnote w:id="2">
    <w:p w14:paraId="2220FD7A" w14:textId="77777777" w:rsidR="0034303C" w:rsidRPr="00D210FE" w:rsidRDefault="0034303C" w:rsidP="00D210FE">
      <w:pPr>
        <w:pStyle w:val="Textonotapie"/>
        <w:ind w:firstLine="0"/>
        <w:rPr>
          <w:rFonts w:ascii="Arial" w:hAnsi="Arial" w:cs="Arial"/>
          <w:sz w:val="18"/>
          <w:szCs w:val="18"/>
          <w:lang w:val="es-CO"/>
        </w:rPr>
      </w:pPr>
      <w:r w:rsidRPr="00D210FE">
        <w:rPr>
          <w:rStyle w:val="Refdenotaalpie"/>
          <w:rFonts w:ascii="Arial" w:hAnsi="Arial" w:cs="Arial"/>
          <w:sz w:val="18"/>
          <w:szCs w:val="18"/>
        </w:rPr>
        <w:footnoteRef/>
      </w:r>
      <w:r w:rsidRPr="00D210FE">
        <w:rPr>
          <w:rFonts w:ascii="Arial" w:hAnsi="Arial" w:cs="Arial"/>
          <w:sz w:val="18"/>
          <w:szCs w:val="18"/>
        </w:rPr>
        <w:t xml:space="preserve"> </w:t>
      </w:r>
      <w:r w:rsidRPr="00D210FE">
        <w:rPr>
          <w:rFonts w:ascii="Arial" w:hAnsi="Arial" w:cs="Arial"/>
          <w:sz w:val="18"/>
          <w:szCs w:val="18"/>
          <w:lang w:val="es-CO"/>
        </w:rPr>
        <w:t xml:space="preserve">Estatuto Orgánico del Sistema Financiero </w:t>
      </w:r>
    </w:p>
  </w:footnote>
  <w:footnote w:id="3">
    <w:p w14:paraId="7C60809D" w14:textId="7AADE5E2" w:rsidR="0034303C" w:rsidRPr="00D210FE" w:rsidRDefault="0034303C" w:rsidP="00D210FE">
      <w:pPr>
        <w:pStyle w:val="Textonotapie"/>
        <w:ind w:firstLine="0"/>
        <w:rPr>
          <w:rFonts w:ascii="Arial" w:hAnsi="Arial" w:cs="Arial"/>
          <w:sz w:val="18"/>
          <w:szCs w:val="18"/>
          <w:lang w:val="es-CO"/>
        </w:rPr>
      </w:pPr>
      <w:r w:rsidRPr="00D210FE">
        <w:rPr>
          <w:rStyle w:val="Refdenotaalpie"/>
          <w:rFonts w:ascii="Arial" w:hAnsi="Arial" w:cs="Arial"/>
          <w:sz w:val="18"/>
          <w:szCs w:val="18"/>
        </w:rPr>
        <w:footnoteRef/>
      </w:r>
      <w:r w:rsidRPr="00D210FE">
        <w:rPr>
          <w:rFonts w:ascii="Arial" w:hAnsi="Arial" w:cs="Arial"/>
          <w:sz w:val="18"/>
          <w:szCs w:val="18"/>
        </w:rPr>
        <w:t xml:space="preserve"> </w:t>
      </w:r>
      <w:r w:rsidRPr="00D210FE">
        <w:rPr>
          <w:rFonts w:ascii="Arial" w:hAnsi="Arial" w:cs="Arial"/>
          <w:sz w:val="18"/>
          <w:szCs w:val="18"/>
          <w:lang w:val="es-CO"/>
        </w:rPr>
        <w:t xml:space="preserve">Título tomado de la sentencia </w:t>
      </w:r>
      <w:r w:rsidRPr="00D210FE">
        <w:rPr>
          <w:rFonts w:ascii="Arial" w:hAnsi="Arial" w:cs="Arial"/>
          <w:sz w:val="18"/>
          <w:szCs w:val="18"/>
        </w:rPr>
        <w:t>del 8 de mayo de 2019SL 1688-2019, Radicado 68838, con Ponencia de la Dra. Clara Cecilia Dueñas Quevedo</w:t>
      </w:r>
    </w:p>
  </w:footnote>
  <w:footnote w:id="4">
    <w:p w14:paraId="1D32F050" w14:textId="77777777" w:rsidR="0034303C" w:rsidRPr="00D210FE" w:rsidRDefault="0034303C" w:rsidP="00D210FE">
      <w:pPr>
        <w:pStyle w:val="Textonotapie"/>
        <w:ind w:firstLine="0"/>
        <w:rPr>
          <w:rFonts w:ascii="Arial" w:hAnsi="Arial" w:cs="Arial"/>
          <w:sz w:val="18"/>
          <w:szCs w:val="18"/>
        </w:rPr>
      </w:pPr>
      <w:r w:rsidRPr="00D210FE">
        <w:rPr>
          <w:rStyle w:val="Refdenotaalpie"/>
          <w:rFonts w:ascii="Arial" w:hAnsi="Arial" w:cs="Arial"/>
          <w:sz w:val="18"/>
          <w:szCs w:val="18"/>
        </w:rPr>
        <w:footnoteRef/>
      </w:r>
      <w:r w:rsidRPr="00D210FE">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4639E87B" w14:textId="77777777" w:rsidR="0034303C" w:rsidRPr="00D210FE" w:rsidRDefault="0034303C" w:rsidP="00D210FE">
      <w:pPr>
        <w:pStyle w:val="Textonotapie"/>
        <w:ind w:firstLine="0"/>
        <w:rPr>
          <w:rFonts w:ascii="Arial" w:hAnsi="Arial" w:cs="Arial"/>
          <w:sz w:val="18"/>
          <w:szCs w:val="18"/>
          <w:lang w:val="es-CO"/>
        </w:rPr>
      </w:pPr>
      <w:r w:rsidRPr="00D210FE">
        <w:rPr>
          <w:rStyle w:val="Refdenotaalpie"/>
          <w:rFonts w:ascii="Arial" w:hAnsi="Arial" w:cs="Arial"/>
          <w:sz w:val="18"/>
          <w:szCs w:val="18"/>
        </w:rPr>
        <w:footnoteRef/>
      </w:r>
      <w:r w:rsidRPr="00D210FE">
        <w:rPr>
          <w:rFonts w:ascii="Arial" w:hAnsi="Arial" w:cs="Arial"/>
          <w:sz w:val="18"/>
          <w:szCs w:val="18"/>
        </w:rPr>
        <w:t xml:space="preserve"> </w:t>
      </w:r>
      <w:r w:rsidRPr="00D210FE">
        <w:rPr>
          <w:rFonts w:ascii="Arial" w:hAnsi="Arial"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A555" w14:textId="661E7804" w:rsidR="0070568F" w:rsidRPr="00D210FE" w:rsidRDefault="0070568F" w:rsidP="00D210FE">
    <w:pPr>
      <w:tabs>
        <w:tab w:val="left" w:pos="993"/>
      </w:tabs>
      <w:spacing w:line="240" w:lineRule="auto"/>
      <w:ind w:left="1134" w:hanging="1134"/>
      <w:rPr>
        <w:rFonts w:ascii="Arial" w:eastAsia="Times New Roman" w:hAnsi="Arial" w:cs="Arial"/>
        <w:sz w:val="18"/>
        <w:szCs w:val="18"/>
        <w:lang w:val="es-419" w:eastAsia="es-ES"/>
      </w:rPr>
    </w:pPr>
    <w:r w:rsidRPr="00D210FE">
      <w:rPr>
        <w:rFonts w:ascii="Arial" w:eastAsia="Times New Roman" w:hAnsi="Arial" w:cs="Arial"/>
        <w:sz w:val="18"/>
        <w:szCs w:val="18"/>
        <w:lang w:val="es-419" w:eastAsia="es-ES"/>
      </w:rPr>
      <w:t>Radicación No.: 66001310500220180056801</w:t>
    </w:r>
  </w:p>
  <w:p w14:paraId="6A4D8A6A" w14:textId="26BE5DD0" w:rsidR="0070568F" w:rsidRPr="00D210FE" w:rsidRDefault="0070568F" w:rsidP="00D210FE">
    <w:pPr>
      <w:tabs>
        <w:tab w:val="left" w:pos="993"/>
      </w:tabs>
      <w:spacing w:line="240" w:lineRule="auto"/>
      <w:ind w:left="1134" w:hanging="1134"/>
      <w:rPr>
        <w:rFonts w:ascii="Arial" w:eastAsia="Times New Roman" w:hAnsi="Arial" w:cs="Arial"/>
        <w:sz w:val="18"/>
        <w:szCs w:val="18"/>
        <w:lang w:val="es-419" w:eastAsia="es-ES"/>
      </w:rPr>
    </w:pPr>
    <w:r w:rsidRPr="00D210FE">
      <w:rPr>
        <w:rFonts w:ascii="Arial" w:eastAsia="Times New Roman" w:hAnsi="Arial" w:cs="Arial"/>
        <w:sz w:val="18"/>
        <w:szCs w:val="18"/>
        <w:lang w:val="es-419" w:eastAsia="es-ES"/>
      </w:rPr>
      <w:t xml:space="preserve">Demandante: Jairo Agustín Téllez Jiménez </w:t>
    </w:r>
  </w:p>
  <w:p w14:paraId="3BC3EB16" w14:textId="7887B6A2" w:rsidR="0070568F" w:rsidRPr="00D210FE" w:rsidRDefault="0070568F" w:rsidP="00D210FE">
    <w:pPr>
      <w:tabs>
        <w:tab w:val="left" w:pos="993"/>
      </w:tabs>
      <w:spacing w:line="240" w:lineRule="auto"/>
      <w:ind w:left="1134" w:hanging="1134"/>
      <w:rPr>
        <w:rFonts w:ascii="Arial" w:eastAsia="Times New Roman" w:hAnsi="Arial" w:cs="Arial"/>
        <w:sz w:val="18"/>
        <w:szCs w:val="18"/>
        <w:lang w:val="es-419" w:eastAsia="es-ES"/>
      </w:rPr>
    </w:pPr>
    <w:r w:rsidRPr="00D210FE">
      <w:rPr>
        <w:rFonts w:ascii="Arial" w:eastAsia="Times New Roman" w:hAnsi="Arial" w:cs="Arial"/>
        <w:sz w:val="18"/>
        <w:szCs w:val="18"/>
        <w:lang w:val="es-419" w:eastAsia="es-ES"/>
      </w:rPr>
      <w:t xml:space="preserve">Demandado: Colpensiones, Protección S.A., Colfondos S.A. y Porvenir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159425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6"/>
  </w:num>
  <w:num w:numId="2">
    <w:abstractNumId w:val="5"/>
  </w:num>
  <w:num w:numId="3">
    <w:abstractNumId w:val="8"/>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13E2E"/>
    <w:rsid w:val="00017704"/>
    <w:rsid w:val="00022EDE"/>
    <w:rsid w:val="000303BA"/>
    <w:rsid w:val="000333C2"/>
    <w:rsid w:val="000337DA"/>
    <w:rsid w:val="00033ECF"/>
    <w:rsid w:val="00042B25"/>
    <w:rsid w:val="00057428"/>
    <w:rsid w:val="00066767"/>
    <w:rsid w:val="00067D70"/>
    <w:rsid w:val="000723F0"/>
    <w:rsid w:val="00073698"/>
    <w:rsid w:val="00077A73"/>
    <w:rsid w:val="00081C10"/>
    <w:rsid w:val="000834CE"/>
    <w:rsid w:val="0008477A"/>
    <w:rsid w:val="000856A8"/>
    <w:rsid w:val="00096470"/>
    <w:rsid w:val="000A6114"/>
    <w:rsid w:val="000B2BAA"/>
    <w:rsid w:val="000B4F2C"/>
    <w:rsid w:val="000B51CC"/>
    <w:rsid w:val="000B6053"/>
    <w:rsid w:val="000B6595"/>
    <w:rsid w:val="000C02A4"/>
    <w:rsid w:val="000D5112"/>
    <w:rsid w:val="000E25BE"/>
    <w:rsid w:val="000F3D75"/>
    <w:rsid w:val="000F43BC"/>
    <w:rsid w:val="000F49C1"/>
    <w:rsid w:val="000F5175"/>
    <w:rsid w:val="00100496"/>
    <w:rsid w:val="00103F06"/>
    <w:rsid w:val="00104A02"/>
    <w:rsid w:val="00115C02"/>
    <w:rsid w:val="001162CF"/>
    <w:rsid w:val="001170DA"/>
    <w:rsid w:val="001229A3"/>
    <w:rsid w:val="00132CF5"/>
    <w:rsid w:val="001363CA"/>
    <w:rsid w:val="00142473"/>
    <w:rsid w:val="00142A51"/>
    <w:rsid w:val="00147587"/>
    <w:rsid w:val="001533B3"/>
    <w:rsid w:val="001878AE"/>
    <w:rsid w:val="001A291C"/>
    <w:rsid w:val="001B362B"/>
    <w:rsid w:val="001C0216"/>
    <w:rsid w:val="001D225A"/>
    <w:rsid w:val="001D423C"/>
    <w:rsid w:val="001F37EE"/>
    <w:rsid w:val="0022440C"/>
    <w:rsid w:val="00227128"/>
    <w:rsid w:val="002357EB"/>
    <w:rsid w:val="00235D61"/>
    <w:rsid w:val="00240902"/>
    <w:rsid w:val="00257046"/>
    <w:rsid w:val="00272B83"/>
    <w:rsid w:val="00272FA1"/>
    <w:rsid w:val="002A45C4"/>
    <w:rsid w:val="002B6E44"/>
    <w:rsid w:val="002B700F"/>
    <w:rsid w:val="002C0448"/>
    <w:rsid w:val="002C32BD"/>
    <w:rsid w:val="002D3585"/>
    <w:rsid w:val="002D70C7"/>
    <w:rsid w:val="002F3B2F"/>
    <w:rsid w:val="00315273"/>
    <w:rsid w:val="00322722"/>
    <w:rsid w:val="003324F5"/>
    <w:rsid w:val="00333562"/>
    <w:rsid w:val="00342284"/>
    <w:rsid w:val="0034303C"/>
    <w:rsid w:val="0036534D"/>
    <w:rsid w:val="003C0463"/>
    <w:rsid w:val="003C46FA"/>
    <w:rsid w:val="003C7505"/>
    <w:rsid w:val="003D0E6E"/>
    <w:rsid w:val="003D1E95"/>
    <w:rsid w:val="003D72E0"/>
    <w:rsid w:val="003E261A"/>
    <w:rsid w:val="003E3310"/>
    <w:rsid w:val="004123A8"/>
    <w:rsid w:val="00416977"/>
    <w:rsid w:val="00421F4F"/>
    <w:rsid w:val="004221BB"/>
    <w:rsid w:val="0042469E"/>
    <w:rsid w:val="004260C5"/>
    <w:rsid w:val="00454F9D"/>
    <w:rsid w:val="00463B87"/>
    <w:rsid w:val="00466937"/>
    <w:rsid w:val="00467973"/>
    <w:rsid w:val="00473BC1"/>
    <w:rsid w:val="00480E80"/>
    <w:rsid w:val="00483816"/>
    <w:rsid w:val="0048412C"/>
    <w:rsid w:val="004844C2"/>
    <w:rsid w:val="00497808"/>
    <w:rsid w:val="004A1054"/>
    <w:rsid w:val="004C46ED"/>
    <w:rsid w:val="004E0AAD"/>
    <w:rsid w:val="0053421E"/>
    <w:rsid w:val="00536012"/>
    <w:rsid w:val="00545B08"/>
    <w:rsid w:val="0054758D"/>
    <w:rsid w:val="00553FD7"/>
    <w:rsid w:val="005607ED"/>
    <w:rsid w:val="00561E61"/>
    <w:rsid w:val="005662E3"/>
    <w:rsid w:val="0057241C"/>
    <w:rsid w:val="005852DF"/>
    <w:rsid w:val="005A473D"/>
    <w:rsid w:val="005A5ADA"/>
    <w:rsid w:val="005B00B8"/>
    <w:rsid w:val="005B1B3D"/>
    <w:rsid w:val="005B1B92"/>
    <w:rsid w:val="005B5103"/>
    <w:rsid w:val="005B6189"/>
    <w:rsid w:val="005B65AA"/>
    <w:rsid w:val="005D6C75"/>
    <w:rsid w:val="005E1630"/>
    <w:rsid w:val="005F4133"/>
    <w:rsid w:val="00600B9D"/>
    <w:rsid w:val="00600CE4"/>
    <w:rsid w:val="0060137B"/>
    <w:rsid w:val="006136C7"/>
    <w:rsid w:val="00620E72"/>
    <w:rsid w:val="00622688"/>
    <w:rsid w:val="00630FC0"/>
    <w:rsid w:val="00633F28"/>
    <w:rsid w:val="006412B9"/>
    <w:rsid w:val="006458B0"/>
    <w:rsid w:val="00647B40"/>
    <w:rsid w:val="00654EAE"/>
    <w:rsid w:val="00662FC5"/>
    <w:rsid w:val="00667387"/>
    <w:rsid w:val="0067414E"/>
    <w:rsid w:val="00693C39"/>
    <w:rsid w:val="006958B8"/>
    <w:rsid w:val="006A36EB"/>
    <w:rsid w:val="006B0AAC"/>
    <w:rsid w:val="006B11AA"/>
    <w:rsid w:val="006B66B3"/>
    <w:rsid w:val="006C4834"/>
    <w:rsid w:val="006D3825"/>
    <w:rsid w:val="006E3FE2"/>
    <w:rsid w:val="006E53AC"/>
    <w:rsid w:val="006E68C0"/>
    <w:rsid w:val="006F3644"/>
    <w:rsid w:val="006F3819"/>
    <w:rsid w:val="006F46B8"/>
    <w:rsid w:val="0070568F"/>
    <w:rsid w:val="0072082E"/>
    <w:rsid w:val="0072783E"/>
    <w:rsid w:val="00734150"/>
    <w:rsid w:val="00737D7B"/>
    <w:rsid w:val="007813BE"/>
    <w:rsid w:val="00784D72"/>
    <w:rsid w:val="00790CCA"/>
    <w:rsid w:val="00790DA9"/>
    <w:rsid w:val="007A0931"/>
    <w:rsid w:val="007A34E5"/>
    <w:rsid w:val="007A7B9B"/>
    <w:rsid w:val="007D60E6"/>
    <w:rsid w:val="007E1917"/>
    <w:rsid w:val="007E5A0D"/>
    <w:rsid w:val="007F4E75"/>
    <w:rsid w:val="008063DF"/>
    <w:rsid w:val="00806950"/>
    <w:rsid w:val="00820A77"/>
    <w:rsid w:val="00824349"/>
    <w:rsid w:val="00835553"/>
    <w:rsid w:val="00840DA1"/>
    <w:rsid w:val="00846780"/>
    <w:rsid w:val="00851B08"/>
    <w:rsid w:val="008548ED"/>
    <w:rsid w:val="00854C63"/>
    <w:rsid w:val="0087484F"/>
    <w:rsid w:val="0087626E"/>
    <w:rsid w:val="00886808"/>
    <w:rsid w:val="00890591"/>
    <w:rsid w:val="00891AE9"/>
    <w:rsid w:val="008950AD"/>
    <w:rsid w:val="008B3405"/>
    <w:rsid w:val="008B3F9C"/>
    <w:rsid w:val="008C3C79"/>
    <w:rsid w:val="008C4964"/>
    <w:rsid w:val="00907968"/>
    <w:rsid w:val="009253E4"/>
    <w:rsid w:val="00943B70"/>
    <w:rsid w:val="009449CA"/>
    <w:rsid w:val="0094516B"/>
    <w:rsid w:val="00945B37"/>
    <w:rsid w:val="00952524"/>
    <w:rsid w:val="00956792"/>
    <w:rsid w:val="00956F52"/>
    <w:rsid w:val="00974A03"/>
    <w:rsid w:val="00975AB3"/>
    <w:rsid w:val="00983F39"/>
    <w:rsid w:val="009853EE"/>
    <w:rsid w:val="00990252"/>
    <w:rsid w:val="009979A7"/>
    <w:rsid w:val="009A49F0"/>
    <w:rsid w:val="009B14F6"/>
    <w:rsid w:val="009D10A2"/>
    <w:rsid w:val="009E02EA"/>
    <w:rsid w:val="009E4F54"/>
    <w:rsid w:val="009E6EFD"/>
    <w:rsid w:val="009E715D"/>
    <w:rsid w:val="009E7D52"/>
    <w:rsid w:val="009F35E3"/>
    <w:rsid w:val="00A00398"/>
    <w:rsid w:val="00A0657B"/>
    <w:rsid w:val="00A13F40"/>
    <w:rsid w:val="00A22272"/>
    <w:rsid w:val="00A228DE"/>
    <w:rsid w:val="00A24955"/>
    <w:rsid w:val="00A266D4"/>
    <w:rsid w:val="00A26AC8"/>
    <w:rsid w:val="00A47546"/>
    <w:rsid w:val="00A67C26"/>
    <w:rsid w:val="00A74124"/>
    <w:rsid w:val="00A80CCF"/>
    <w:rsid w:val="00A87FEB"/>
    <w:rsid w:val="00A900DB"/>
    <w:rsid w:val="00A92675"/>
    <w:rsid w:val="00AA3C7C"/>
    <w:rsid w:val="00AA3D20"/>
    <w:rsid w:val="00AA783A"/>
    <w:rsid w:val="00AB462E"/>
    <w:rsid w:val="00AC30AA"/>
    <w:rsid w:val="00AD511A"/>
    <w:rsid w:val="00AE042F"/>
    <w:rsid w:val="00AE2EB0"/>
    <w:rsid w:val="00AF1C75"/>
    <w:rsid w:val="00AF4757"/>
    <w:rsid w:val="00B03A68"/>
    <w:rsid w:val="00B06E1F"/>
    <w:rsid w:val="00B17E1F"/>
    <w:rsid w:val="00B20840"/>
    <w:rsid w:val="00B24B52"/>
    <w:rsid w:val="00B25B82"/>
    <w:rsid w:val="00B40350"/>
    <w:rsid w:val="00B43958"/>
    <w:rsid w:val="00B44542"/>
    <w:rsid w:val="00B4752E"/>
    <w:rsid w:val="00B508F6"/>
    <w:rsid w:val="00B53E94"/>
    <w:rsid w:val="00B6216B"/>
    <w:rsid w:val="00B8317C"/>
    <w:rsid w:val="00B92321"/>
    <w:rsid w:val="00B94679"/>
    <w:rsid w:val="00B951B9"/>
    <w:rsid w:val="00BB0107"/>
    <w:rsid w:val="00BB0943"/>
    <w:rsid w:val="00BB4300"/>
    <w:rsid w:val="00BB5F94"/>
    <w:rsid w:val="00BB7B81"/>
    <w:rsid w:val="00BC4213"/>
    <w:rsid w:val="00BC67CF"/>
    <w:rsid w:val="00BD0CEF"/>
    <w:rsid w:val="00BD19FC"/>
    <w:rsid w:val="00BD1EBE"/>
    <w:rsid w:val="00BE0F3E"/>
    <w:rsid w:val="00BE6BEA"/>
    <w:rsid w:val="00BF10F2"/>
    <w:rsid w:val="00BF131B"/>
    <w:rsid w:val="00BF41DA"/>
    <w:rsid w:val="00BF5DB7"/>
    <w:rsid w:val="00C007C6"/>
    <w:rsid w:val="00C021EE"/>
    <w:rsid w:val="00C02346"/>
    <w:rsid w:val="00C02C9A"/>
    <w:rsid w:val="00C11B0A"/>
    <w:rsid w:val="00C16845"/>
    <w:rsid w:val="00C203B9"/>
    <w:rsid w:val="00C27D5D"/>
    <w:rsid w:val="00C33E31"/>
    <w:rsid w:val="00C4413A"/>
    <w:rsid w:val="00C53028"/>
    <w:rsid w:val="00C53872"/>
    <w:rsid w:val="00C57A87"/>
    <w:rsid w:val="00C6599D"/>
    <w:rsid w:val="00C726EC"/>
    <w:rsid w:val="00C7747B"/>
    <w:rsid w:val="00C81B2A"/>
    <w:rsid w:val="00C84471"/>
    <w:rsid w:val="00C860F2"/>
    <w:rsid w:val="00C9368C"/>
    <w:rsid w:val="00C95B6E"/>
    <w:rsid w:val="00CA743B"/>
    <w:rsid w:val="00CC776A"/>
    <w:rsid w:val="00CD14BB"/>
    <w:rsid w:val="00CD1CE4"/>
    <w:rsid w:val="00CE0567"/>
    <w:rsid w:val="00CE5E7B"/>
    <w:rsid w:val="00CF2833"/>
    <w:rsid w:val="00CF703F"/>
    <w:rsid w:val="00D042C5"/>
    <w:rsid w:val="00D114C6"/>
    <w:rsid w:val="00D12F7D"/>
    <w:rsid w:val="00D14776"/>
    <w:rsid w:val="00D153D7"/>
    <w:rsid w:val="00D210FE"/>
    <w:rsid w:val="00D31819"/>
    <w:rsid w:val="00D44DF0"/>
    <w:rsid w:val="00D450B8"/>
    <w:rsid w:val="00D459BB"/>
    <w:rsid w:val="00D46A8D"/>
    <w:rsid w:val="00D47BA5"/>
    <w:rsid w:val="00D72C19"/>
    <w:rsid w:val="00D82B80"/>
    <w:rsid w:val="00D90263"/>
    <w:rsid w:val="00DA1C9D"/>
    <w:rsid w:val="00DA4370"/>
    <w:rsid w:val="00DA745A"/>
    <w:rsid w:val="00DB1753"/>
    <w:rsid w:val="00DB2FDD"/>
    <w:rsid w:val="00DB7CD6"/>
    <w:rsid w:val="00DC5863"/>
    <w:rsid w:val="00DF61C4"/>
    <w:rsid w:val="00DF7B39"/>
    <w:rsid w:val="00E352C7"/>
    <w:rsid w:val="00E376E1"/>
    <w:rsid w:val="00E43F7E"/>
    <w:rsid w:val="00E44599"/>
    <w:rsid w:val="00E45567"/>
    <w:rsid w:val="00E464CA"/>
    <w:rsid w:val="00E5519F"/>
    <w:rsid w:val="00E60B9A"/>
    <w:rsid w:val="00E66B3E"/>
    <w:rsid w:val="00E72BFE"/>
    <w:rsid w:val="00E74EEE"/>
    <w:rsid w:val="00E82867"/>
    <w:rsid w:val="00E931AE"/>
    <w:rsid w:val="00E954B6"/>
    <w:rsid w:val="00EA76E7"/>
    <w:rsid w:val="00EF3AA2"/>
    <w:rsid w:val="00EF513D"/>
    <w:rsid w:val="00EF5C33"/>
    <w:rsid w:val="00F159B2"/>
    <w:rsid w:val="00F24E45"/>
    <w:rsid w:val="00F26ECD"/>
    <w:rsid w:val="00F30A77"/>
    <w:rsid w:val="00F371AC"/>
    <w:rsid w:val="00F41005"/>
    <w:rsid w:val="00F4298B"/>
    <w:rsid w:val="00F45B56"/>
    <w:rsid w:val="00F50C4F"/>
    <w:rsid w:val="00F567D0"/>
    <w:rsid w:val="00F76BA2"/>
    <w:rsid w:val="00F8423F"/>
    <w:rsid w:val="00F902D2"/>
    <w:rsid w:val="00F97732"/>
    <w:rsid w:val="00FA13EF"/>
    <w:rsid w:val="00FA239F"/>
    <w:rsid w:val="00FA61A6"/>
    <w:rsid w:val="00FB16D8"/>
    <w:rsid w:val="00FB1755"/>
    <w:rsid w:val="00FB3C48"/>
    <w:rsid w:val="00FB4083"/>
    <w:rsid w:val="00FC4541"/>
    <w:rsid w:val="00FD1293"/>
    <w:rsid w:val="00FD3954"/>
    <w:rsid w:val="00FD50CB"/>
    <w:rsid w:val="00FE3C22"/>
    <w:rsid w:val="00FE63C7"/>
    <w:rsid w:val="00FE7010"/>
    <w:rsid w:val="00FF6DD0"/>
    <w:rsid w:val="01678849"/>
    <w:rsid w:val="0500474C"/>
    <w:rsid w:val="067D2DD4"/>
    <w:rsid w:val="10CB543A"/>
    <w:rsid w:val="10D03A52"/>
    <w:rsid w:val="10F5B9B0"/>
    <w:rsid w:val="1C39E654"/>
    <w:rsid w:val="2165CB40"/>
    <w:rsid w:val="245DBE3A"/>
    <w:rsid w:val="28029AAC"/>
    <w:rsid w:val="2B62F4E0"/>
    <w:rsid w:val="38ABB1A4"/>
    <w:rsid w:val="3B63AED4"/>
    <w:rsid w:val="450B4BA1"/>
    <w:rsid w:val="46756579"/>
    <w:rsid w:val="4EC5BA19"/>
    <w:rsid w:val="4FC84195"/>
    <w:rsid w:val="5D4E4829"/>
    <w:rsid w:val="5E77DBDD"/>
    <w:rsid w:val="64A4E1D7"/>
    <w:rsid w:val="68A9C598"/>
    <w:rsid w:val="6931BCB7"/>
    <w:rsid w:val="6B602A80"/>
    <w:rsid w:val="79BD3250"/>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13"/>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Asuntodelcomentario">
    <w:name w:val="annotation subject"/>
    <w:basedOn w:val="Textocomentario"/>
    <w:next w:val="Textocomentario"/>
    <w:link w:val="AsuntodelcomentarioCar"/>
    <w:uiPriority w:val="99"/>
    <w:semiHidden/>
    <w:unhideWhenUsed/>
    <w:rsid w:val="00E954B6"/>
    <w:rPr>
      <w:b/>
      <w:bCs/>
    </w:rPr>
  </w:style>
  <w:style w:type="character" w:customStyle="1" w:styleId="AsuntodelcomentarioCar">
    <w:name w:val="Asunto del comentario Car"/>
    <w:basedOn w:val="TextocomentarioCar"/>
    <w:link w:val="Asuntodelcomentario"/>
    <w:uiPriority w:val="99"/>
    <w:semiHidden/>
    <w:rsid w:val="00E954B6"/>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26c6b612346649b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1E862-EC6E-48B6-92BD-480D088D4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4.xml><?xml version="1.0" encoding="utf-8"?>
<ds:datastoreItem xmlns:ds="http://schemas.openxmlformats.org/officeDocument/2006/customXml" ds:itemID="{A43ECC84-2914-450A-B11E-EE4246C1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8950</Words>
  <Characters>49226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10</cp:revision>
  <dcterms:created xsi:type="dcterms:W3CDTF">2021-08-13T19:01:00Z</dcterms:created>
  <dcterms:modified xsi:type="dcterms:W3CDTF">2021-09-13T01:48:00Z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