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6D4F" w14:textId="77777777" w:rsidR="00AE6CC4" w:rsidRPr="00AE6CC4" w:rsidRDefault="00AE6CC4" w:rsidP="00AE6CC4">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AE6CC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C073F3" w14:textId="77777777" w:rsidR="00AE6CC4" w:rsidRPr="00AE6CC4" w:rsidRDefault="00AE6CC4" w:rsidP="00AE6CC4">
      <w:pPr>
        <w:spacing w:line="240" w:lineRule="auto"/>
        <w:rPr>
          <w:rFonts w:ascii="Arial" w:eastAsia="Times New Roman" w:hAnsi="Arial" w:cs="Arial"/>
          <w:sz w:val="20"/>
          <w:szCs w:val="20"/>
          <w:lang w:val="es-419" w:eastAsia="es-ES"/>
        </w:rPr>
      </w:pPr>
    </w:p>
    <w:p w14:paraId="56686C74" w14:textId="77777777" w:rsidR="00AE6CC4" w:rsidRPr="00AE6CC4" w:rsidRDefault="00AE6CC4" w:rsidP="00AE6CC4">
      <w:pPr>
        <w:spacing w:line="240" w:lineRule="auto"/>
        <w:rPr>
          <w:rFonts w:ascii="Arial" w:eastAsia="Times New Roman" w:hAnsi="Arial" w:cs="Arial"/>
          <w:sz w:val="20"/>
          <w:szCs w:val="20"/>
          <w:lang w:val="es-419" w:eastAsia="es-ES"/>
        </w:rPr>
      </w:pPr>
      <w:r w:rsidRPr="00AE6CC4">
        <w:rPr>
          <w:rFonts w:ascii="Arial" w:eastAsia="Times New Roman" w:hAnsi="Arial" w:cs="Arial"/>
          <w:sz w:val="20"/>
          <w:szCs w:val="20"/>
          <w:lang w:val="es-419" w:eastAsia="es-ES"/>
        </w:rPr>
        <w:t xml:space="preserve">Radicación No.: </w:t>
      </w:r>
      <w:r w:rsidRPr="00AE6CC4">
        <w:rPr>
          <w:rFonts w:ascii="Arial" w:eastAsia="Times New Roman" w:hAnsi="Arial" w:cs="Arial"/>
          <w:sz w:val="20"/>
          <w:szCs w:val="20"/>
          <w:lang w:val="es-419" w:eastAsia="es-ES"/>
        </w:rPr>
        <w:tab/>
        <w:t>66001-31-05-004-2019-00389-01</w:t>
      </w:r>
    </w:p>
    <w:p w14:paraId="7F1585C3" w14:textId="292BBF2A" w:rsidR="00AE6CC4" w:rsidRPr="00AE6CC4" w:rsidRDefault="00AE6CC4" w:rsidP="00AE6CC4">
      <w:pPr>
        <w:spacing w:line="240" w:lineRule="auto"/>
        <w:rPr>
          <w:rFonts w:ascii="Arial" w:eastAsia="Times New Roman" w:hAnsi="Arial" w:cs="Arial"/>
          <w:sz w:val="20"/>
          <w:szCs w:val="20"/>
          <w:lang w:val="es-419" w:eastAsia="es-ES"/>
        </w:rPr>
      </w:pPr>
      <w:r w:rsidRPr="00AE6CC4">
        <w:rPr>
          <w:rFonts w:ascii="Arial" w:eastAsia="Times New Roman" w:hAnsi="Arial" w:cs="Arial"/>
          <w:sz w:val="20"/>
          <w:szCs w:val="20"/>
          <w:lang w:val="es-419" w:eastAsia="es-ES"/>
        </w:rPr>
        <w:t xml:space="preserve">Proceso: </w:t>
      </w:r>
      <w:r w:rsidRPr="00AE6CC4">
        <w:rPr>
          <w:rFonts w:ascii="Arial" w:eastAsia="Times New Roman" w:hAnsi="Arial" w:cs="Arial"/>
          <w:sz w:val="20"/>
          <w:szCs w:val="20"/>
          <w:lang w:val="es-419" w:eastAsia="es-ES"/>
        </w:rPr>
        <w:tab/>
      </w:r>
      <w:r w:rsidRPr="00AE6CC4">
        <w:rPr>
          <w:rFonts w:ascii="Arial" w:eastAsia="Times New Roman" w:hAnsi="Arial" w:cs="Arial"/>
          <w:sz w:val="20"/>
          <w:szCs w:val="20"/>
          <w:lang w:val="es-419" w:eastAsia="es-ES"/>
        </w:rPr>
        <w:tab/>
        <w:t xml:space="preserve">Ordinario Laboral </w:t>
      </w:r>
    </w:p>
    <w:p w14:paraId="77B9920E" w14:textId="77777777" w:rsidR="00AE6CC4" w:rsidRPr="00AE6CC4" w:rsidRDefault="00AE6CC4" w:rsidP="00AE6CC4">
      <w:pPr>
        <w:spacing w:line="240" w:lineRule="auto"/>
        <w:rPr>
          <w:rFonts w:ascii="Arial" w:eastAsia="Times New Roman" w:hAnsi="Arial" w:cs="Arial"/>
          <w:sz w:val="20"/>
          <w:szCs w:val="20"/>
          <w:lang w:val="es-419" w:eastAsia="es-ES"/>
        </w:rPr>
      </w:pPr>
      <w:r w:rsidRPr="00AE6CC4">
        <w:rPr>
          <w:rFonts w:ascii="Arial" w:eastAsia="Times New Roman" w:hAnsi="Arial" w:cs="Arial"/>
          <w:sz w:val="20"/>
          <w:szCs w:val="20"/>
          <w:lang w:val="es-419" w:eastAsia="es-ES"/>
        </w:rPr>
        <w:t xml:space="preserve">Demandante: </w:t>
      </w:r>
      <w:r w:rsidRPr="00AE6CC4">
        <w:rPr>
          <w:rFonts w:ascii="Arial" w:eastAsia="Times New Roman" w:hAnsi="Arial" w:cs="Arial"/>
          <w:sz w:val="20"/>
          <w:szCs w:val="20"/>
          <w:lang w:val="es-419" w:eastAsia="es-ES"/>
        </w:rPr>
        <w:tab/>
      </w:r>
      <w:r w:rsidRPr="00AE6CC4">
        <w:rPr>
          <w:rFonts w:ascii="Arial" w:eastAsia="Times New Roman" w:hAnsi="Arial" w:cs="Arial"/>
          <w:sz w:val="20"/>
          <w:szCs w:val="20"/>
          <w:lang w:val="es-419" w:eastAsia="es-ES"/>
        </w:rPr>
        <w:tab/>
        <w:t xml:space="preserve">Miguel Ángel Zurita Ayala </w:t>
      </w:r>
    </w:p>
    <w:p w14:paraId="25252BFB" w14:textId="77777777" w:rsidR="00AE6CC4" w:rsidRPr="00AE6CC4" w:rsidRDefault="00AE6CC4" w:rsidP="00AE6CC4">
      <w:pPr>
        <w:spacing w:line="240" w:lineRule="auto"/>
        <w:rPr>
          <w:rFonts w:ascii="Arial" w:eastAsia="Times New Roman" w:hAnsi="Arial" w:cs="Arial"/>
          <w:sz w:val="20"/>
          <w:szCs w:val="20"/>
          <w:lang w:val="es-419" w:eastAsia="es-ES"/>
        </w:rPr>
      </w:pPr>
      <w:r w:rsidRPr="00AE6CC4">
        <w:rPr>
          <w:rFonts w:ascii="Arial" w:eastAsia="Times New Roman" w:hAnsi="Arial" w:cs="Arial"/>
          <w:sz w:val="20"/>
          <w:szCs w:val="20"/>
          <w:lang w:val="es-419" w:eastAsia="es-ES"/>
        </w:rPr>
        <w:t xml:space="preserve">Demandado: </w:t>
      </w:r>
      <w:r w:rsidRPr="00AE6CC4">
        <w:rPr>
          <w:rFonts w:ascii="Arial" w:eastAsia="Times New Roman" w:hAnsi="Arial" w:cs="Arial"/>
          <w:sz w:val="20"/>
          <w:szCs w:val="20"/>
          <w:lang w:val="es-419" w:eastAsia="es-ES"/>
        </w:rPr>
        <w:tab/>
      </w:r>
      <w:r w:rsidRPr="00AE6CC4">
        <w:rPr>
          <w:rFonts w:ascii="Arial" w:eastAsia="Times New Roman" w:hAnsi="Arial" w:cs="Arial"/>
          <w:sz w:val="20"/>
          <w:szCs w:val="20"/>
          <w:lang w:val="es-419" w:eastAsia="es-ES"/>
        </w:rPr>
        <w:tab/>
        <w:t>Porvenir S.A. y Seguros de Vida Alfa S.A.</w:t>
      </w:r>
    </w:p>
    <w:p w14:paraId="4C2CFBAE" w14:textId="0E517D76" w:rsidR="00AE6CC4" w:rsidRPr="00AE6CC4" w:rsidRDefault="00AE6CC4" w:rsidP="00AE6CC4">
      <w:pPr>
        <w:spacing w:line="240" w:lineRule="auto"/>
        <w:rPr>
          <w:rFonts w:ascii="Arial" w:eastAsia="Times New Roman" w:hAnsi="Arial" w:cs="Arial"/>
          <w:sz w:val="20"/>
          <w:szCs w:val="20"/>
          <w:lang w:val="es-419" w:eastAsia="es-ES"/>
        </w:rPr>
      </w:pPr>
      <w:r w:rsidRPr="00AE6CC4">
        <w:rPr>
          <w:rFonts w:ascii="Arial" w:eastAsia="Times New Roman" w:hAnsi="Arial" w:cs="Arial"/>
          <w:sz w:val="20"/>
          <w:szCs w:val="20"/>
          <w:lang w:val="es-419" w:eastAsia="es-ES"/>
        </w:rPr>
        <w:t xml:space="preserve">Juzgado: </w:t>
      </w:r>
      <w:r w:rsidRPr="00AE6CC4">
        <w:rPr>
          <w:rFonts w:ascii="Arial" w:eastAsia="Times New Roman" w:hAnsi="Arial" w:cs="Arial"/>
          <w:sz w:val="20"/>
          <w:szCs w:val="20"/>
          <w:lang w:val="es-419" w:eastAsia="es-ES"/>
        </w:rPr>
        <w:tab/>
      </w:r>
      <w:r w:rsidRPr="00AE6CC4">
        <w:rPr>
          <w:rFonts w:ascii="Arial" w:eastAsia="Times New Roman" w:hAnsi="Arial" w:cs="Arial"/>
          <w:sz w:val="20"/>
          <w:szCs w:val="20"/>
          <w:lang w:val="es-419" w:eastAsia="es-ES"/>
        </w:rPr>
        <w:tab/>
        <w:t>Cuarto Laboral del Circuito de Pereira</w:t>
      </w:r>
    </w:p>
    <w:p w14:paraId="74C02A35" w14:textId="77777777" w:rsidR="00AE6CC4" w:rsidRPr="00AE6CC4" w:rsidRDefault="00AE6CC4" w:rsidP="00AE6CC4">
      <w:pPr>
        <w:spacing w:line="240" w:lineRule="auto"/>
        <w:rPr>
          <w:rFonts w:ascii="Arial" w:eastAsia="Times New Roman" w:hAnsi="Arial" w:cs="Arial"/>
          <w:sz w:val="20"/>
          <w:szCs w:val="20"/>
          <w:lang w:val="es-419" w:eastAsia="es-ES"/>
        </w:rPr>
      </w:pPr>
    </w:p>
    <w:p w14:paraId="105ACE49" w14:textId="394AC208" w:rsidR="00A57BB5" w:rsidRPr="00C95524" w:rsidRDefault="000967AD" w:rsidP="00A57BB5">
      <w:pPr>
        <w:spacing w:line="240" w:lineRule="auto"/>
        <w:rPr>
          <w:rFonts w:ascii="Arial" w:eastAsia="Times New Roman" w:hAnsi="Arial" w:cs="Arial"/>
          <w:b/>
          <w:bCs/>
          <w:iCs/>
          <w:sz w:val="20"/>
          <w:szCs w:val="20"/>
          <w:lang w:val="es-419" w:eastAsia="fr-FR"/>
        </w:rPr>
      </w:pPr>
      <w:r w:rsidRPr="00AE6CC4">
        <w:rPr>
          <w:rFonts w:ascii="Arial" w:eastAsia="Times New Roman" w:hAnsi="Arial" w:cs="Arial"/>
          <w:b/>
          <w:bCs/>
          <w:iCs/>
          <w:sz w:val="20"/>
          <w:szCs w:val="20"/>
          <w:u w:val="single"/>
          <w:lang w:val="es-419" w:eastAsia="fr-FR"/>
        </w:rPr>
        <w:t>TEMAS:</w:t>
      </w:r>
      <w:r w:rsidRPr="00AE6CC4">
        <w:rPr>
          <w:rFonts w:ascii="Arial" w:eastAsia="Times New Roman" w:hAnsi="Arial" w:cs="Arial"/>
          <w:b/>
          <w:bCs/>
          <w:iCs/>
          <w:sz w:val="20"/>
          <w:szCs w:val="20"/>
          <w:lang w:val="es-419" w:eastAsia="fr-FR"/>
        </w:rPr>
        <w:tab/>
      </w:r>
      <w:r w:rsidRPr="00C95524">
        <w:rPr>
          <w:rFonts w:ascii="Arial" w:eastAsia="Times New Roman" w:hAnsi="Arial" w:cs="Arial"/>
          <w:b/>
          <w:sz w:val="20"/>
          <w:szCs w:val="20"/>
          <w:lang w:val="es-419" w:eastAsia="es-ES"/>
        </w:rPr>
        <w:t>PENSIÓN DE INVALIDEZ</w:t>
      </w:r>
      <w:r w:rsidRPr="00C95524">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CAUSACIÓN DEL DERECHO / DESDE LA FECHA DE ESTRUCTURACIÓN / PRESCRIPCIÓN / CORRE DESDE LA MISMA FECHA / INDEXACIÓN.</w:t>
      </w:r>
    </w:p>
    <w:p w14:paraId="06A87594" w14:textId="77777777" w:rsidR="00A57BB5" w:rsidRPr="00C95524" w:rsidRDefault="00A57BB5" w:rsidP="00A57BB5">
      <w:pPr>
        <w:spacing w:line="240" w:lineRule="auto"/>
        <w:rPr>
          <w:rFonts w:ascii="Arial" w:eastAsia="Times New Roman" w:hAnsi="Arial" w:cs="Arial"/>
          <w:sz w:val="20"/>
          <w:szCs w:val="20"/>
          <w:lang w:val="es-419" w:eastAsia="es-ES"/>
        </w:rPr>
      </w:pPr>
      <w:bookmarkStart w:id="1" w:name="_GoBack"/>
      <w:bookmarkEnd w:id="1"/>
    </w:p>
    <w:p w14:paraId="07B364F1" w14:textId="77777777" w:rsidR="00A57BB5" w:rsidRPr="00C95524" w:rsidRDefault="00A57BB5" w:rsidP="00A57BB5">
      <w:pPr>
        <w:spacing w:line="240" w:lineRule="auto"/>
        <w:rPr>
          <w:rFonts w:ascii="Arial" w:eastAsia="Times New Roman" w:hAnsi="Arial" w:cs="Arial"/>
          <w:sz w:val="20"/>
          <w:szCs w:val="20"/>
          <w:lang w:val="es-419" w:eastAsia="es-ES"/>
        </w:rPr>
      </w:pPr>
      <w:r w:rsidRPr="00065C08">
        <w:rPr>
          <w:rFonts w:ascii="Arial" w:eastAsia="Times New Roman" w:hAnsi="Arial" w:cs="Arial"/>
          <w:sz w:val="20"/>
          <w:szCs w:val="20"/>
          <w:lang w:val="es-419" w:eastAsia="es-ES"/>
        </w:rPr>
        <w:t>Sea lo primero resaltar que el inciso final del artículo 40 de la Ley 100 de 1993 señala que “la pensión de invalidez se reconocerá a solicitud de la parte interesada y comenzará a pagarse en forma retroactiva desde la fecha en que se produzca tal estado”</w:t>
      </w:r>
      <w:r>
        <w:rPr>
          <w:rFonts w:ascii="Arial" w:eastAsia="Times New Roman" w:hAnsi="Arial" w:cs="Arial"/>
          <w:sz w:val="20"/>
          <w:szCs w:val="20"/>
          <w:lang w:val="es-419" w:eastAsia="es-ES"/>
        </w:rPr>
        <w:t xml:space="preserve"> …</w:t>
      </w:r>
    </w:p>
    <w:p w14:paraId="0834318B" w14:textId="77777777" w:rsidR="00A57BB5" w:rsidRPr="00C95524" w:rsidRDefault="00A57BB5" w:rsidP="00A57BB5">
      <w:pPr>
        <w:spacing w:line="240" w:lineRule="auto"/>
        <w:rPr>
          <w:rFonts w:ascii="Arial" w:eastAsia="Times New Roman" w:hAnsi="Arial" w:cs="Arial"/>
          <w:sz w:val="20"/>
          <w:szCs w:val="20"/>
          <w:lang w:val="es-419" w:eastAsia="es-ES"/>
        </w:rPr>
      </w:pPr>
    </w:p>
    <w:p w14:paraId="555D599E" w14:textId="77777777" w:rsidR="00A57BB5" w:rsidRPr="00C95524" w:rsidRDefault="00A57BB5" w:rsidP="00A57BB5">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257D3">
        <w:rPr>
          <w:rFonts w:ascii="Arial" w:eastAsia="Times New Roman" w:hAnsi="Arial" w:cs="Arial"/>
          <w:sz w:val="20"/>
          <w:szCs w:val="20"/>
          <w:lang w:val="es-419" w:eastAsia="es-ES"/>
        </w:rPr>
        <w:t>en lo que concierne al caso concreto y de cara a los recursos interpuestos</w:t>
      </w:r>
      <w:r>
        <w:rPr>
          <w:rFonts w:ascii="Arial" w:eastAsia="Times New Roman" w:hAnsi="Arial" w:cs="Arial"/>
          <w:sz w:val="20"/>
          <w:szCs w:val="20"/>
          <w:lang w:val="es-419" w:eastAsia="es-ES"/>
        </w:rPr>
        <w:t>…</w:t>
      </w:r>
      <w:r w:rsidRPr="00F257D3">
        <w:rPr>
          <w:rFonts w:ascii="Arial" w:eastAsia="Times New Roman" w:hAnsi="Arial" w:cs="Arial"/>
          <w:sz w:val="20"/>
          <w:szCs w:val="20"/>
          <w:lang w:val="es-419" w:eastAsia="es-ES"/>
        </w:rPr>
        <w:t xml:space="preserve"> en la misma providencia se invocó el precedente de la Alta Magistratura, referente al momento a partir del cual debe contabilizarse el término prescriptivo, reiterando que el mismo es aquel en el que adquiere firmeza el dictamen emitido por la autoridad competente</w:t>
      </w:r>
      <w:r>
        <w:rPr>
          <w:rFonts w:ascii="Arial" w:eastAsia="Times New Roman" w:hAnsi="Arial" w:cs="Arial"/>
          <w:sz w:val="20"/>
          <w:szCs w:val="20"/>
          <w:lang w:val="es-419" w:eastAsia="es-ES"/>
        </w:rPr>
        <w:t>…</w:t>
      </w:r>
    </w:p>
    <w:p w14:paraId="7943DE1C" w14:textId="77777777" w:rsidR="00A57BB5" w:rsidRDefault="00A57BB5" w:rsidP="00A57BB5">
      <w:pPr>
        <w:spacing w:line="240" w:lineRule="auto"/>
        <w:rPr>
          <w:rFonts w:ascii="Arial" w:eastAsia="Times New Roman" w:hAnsi="Arial" w:cs="Arial"/>
          <w:sz w:val="20"/>
          <w:szCs w:val="20"/>
          <w:lang w:val="es-419" w:eastAsia="es-ES"/>
        </w:rPr>
      </w:pPr>
    </w:p>
    <w:p w14:paraId="5C76EE4D" w14:textId="784A2E2F" w:rsidR="00AE6CC4" w:rsidRPr="00AE6CC4" w:rsidRDefault="0038174B" w:rsidP="00AE6CC4">
      <w:pPr>
        <w:spacing w:line="240" w:lineRule="auto"/>
        <w:rPr>
          <w:rFonts w:ascii="Arial" w:eastAsia="Times New Roman" w:hAnsi="Arial" w:cs="Arial"/>
          <w:sz w:val="20"/>
          <w:szCs w:val="20"/>
          <w:lang w:val="es-419" w:eastAsia="es-ES"/>
        </w:rPr>
      </w:pPr>
      <w:r w:rsidRPr="0038174B">
        <w:rPr>
          <w:rFonts w:ascii="Arial" w:eastAsia="Times New Roman" w:hAnsi="Arial" w:cs="Arial"/>
          <w:sz w:val="20"/>
          <w:szCs w:val="20"/>
          <w:lang w:val="es-419" w:eastAsia="es-ES"/>
        </w:rPr>
        <w:t>Conforme a lo anterior, debe entenderse que al haberse fijado como fecha de estructuración de la pérdida de la capacidad laboral del señor Miguel Ángel Zurita el 28 de abril del año 2009</w:t>
      </w:r>
      <w:r>
        <w:rPr>
          <w:rFonts w:ascii="Arial" w:eastAsia="Times New Roman" w:hAnsi="Arial" w:cs="Arial"/>
          <w:sz w:val="20"/>
          <w:szCs w:val="20"/>
          <w:lang w:val="es-419" w:eastAsia="es-ES"/>
        </w:rPr>
        <w:t>…</w:t>
      </w:r>
      <w:r w:rsidRPr="0038174B">
        <w:rPr>
          <w:rFonts w:ascii="Arial" w:eastAsia="Times New Roman" w:hAnsi="Arial" w:cs="Arial"/>
          <w:sz w:val="20"/>
          <w:szCs w:val="20"/>
          <w:lang w:val="es-419" w:eastAsia="es-ES"/>
        </w:rPr>
        <w:t>, tenía derecho a que a partir de ese momento se le reconociera la prestación por invalidez, de manera retroactiva; sin que hubiera operado el fenómeno extintivo de la prescripción por cuanto, entre la fecha en quedó en firme el dictamen (1º de junio de 2017), la reclamación administrativa y la demanda, no se superó el término trienal establecido en el artículo 151 del CPT y la s.s.</w:t>
      </w:r>
      <w:r w:rsidR="00A90E12">
        <w:rPr>
          <w:rFonts w:ascii="Arial" w:eastAsia="Times New Roman" w:hAnsi="Arial" w:cs="Arial"/>
          <w:sz w:val="20"/>
          <w:szCs w:val="20"/>
          <w:lang w:val="es-419" w:eastAsia="es-ES"/>
        </w:rPr>
        <w:t xml:space="preserve"> (…)</w:t>
      </w:r>
    </w:p>
    <w:p w14:paraId="59A0DDDB" w14:textId="77777777" w:rsidR="00AE6CC4" w:rsidRPr="00AE6CC4" w:rsidRDefault="00AE6CC4" w:rsidP="00AE6CC4">
      <w:pPr>
        <w:spacing w:line="240" w:lineRule="auto"/>
        <w:rPr>
          <w:rFonts w:ascii="Arial" w:eastAsia="Times New Roman" w:hAnsi="Arial" w:cs="Arial"/>
          <w:sz w:val="20"/>
          <w:szCs w:val="20"/>
          <w:lang w:val="es-419" w:eastAsia="es-ES"/>
        </w:rPr>
      </w:pPr>
    </w:p>
    <w:p w14:paraId="0B6C0B41" w14:textId="71FC20C5" w:rsidR="00AE6CC4" w:rsidRPr="00AE6CC4" w:rsidRDefault="00A90E12" w:rsidP="00AE6CC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90E12">
        <w:rPr>
          <w:rFonts w:ascii="Arial" w:eastAsia="Times New Roman" w:hAnsi="Arial" w:cs="Arial"/>
          <w:sz w:val="20"/>
          <w:szCs w:val="20"/>
          <w:lang w:val="es-419" w:eastAsia="es-ES"/>
        </w:rPr>
        <w:t>esta Judicatura avala el reconocimiento de la indexación del retroactivo</w:t>
      </w:r>
      <w:r w:rsidR="002D0846">
        <w:rPr>
          <w:rFonts w:ascii="Arial" w:eastAsia="Times New Roman" w:hAnsi="Arial" w:cs="Arial"/>
          <w:sz w:val="20"/>
          <w:szCs w:val="20"/>
          <w:lang w:val="es-419" w:eastAsia="es-ES"/>
        </w:rPr>
        <w:t>…</w:t>
      </w:r>
      <w:r w:rsidRPr="00A90E12">
        <w:rPr>
          <w:rFonts w:ascii="Arial" w:eastAsia="Times New Roman" w:hAnsi="Arial" w:cs="Arial"/>
          <w:sz w:val="20"/>
          <w:szCs w:val="20"/>
          <w:lang w:val="es-419" w:eastAsia="es-ES"/>
        </w:rPr>
        <w:t>, como quiera que esta busca resarcir la pérdida del poder adquisitivo de la moneda, hasta el momento en que se hizo efectivo el pago de dicha cantidad.</w:t>
      </w:r>
    </w:p>
    <w:p w14:paraId="4AF87748" w14:textId="77777777" w:rsidR="00AE6CC4" w:rsidRPr="00AE6CC4" w:rsidRDefault="00AE6CC4" w:rsidP="00AE6CC4">
      <w:pPr>
        <w:spacing w:line="240" w:lineRule="auto"/>
        <w:rPr>
          <w:rFonts w:ascii="Arial" w:eastAsia="Times New Roman" w:hAnsi="Arial" w:cs="Arial"/>
          <w:sz w:val="20"/>
          <w:szCs w:val="20"/>
          <w:lang w:eastAsia="es-ES"/>
        </w:rPr>
      </w:pPr>
    </w:p>
    <w:p w14:paraId="3904E79D" w14:textId="77777777" w:rsidR="00AE6CC4" w:rsidRPr="00AE6CC4" w:rsidRDefault="00AE6CC4" w:rsidP="00AE6CC4">
      <w:pPr>
        <w:spacing w:line="240" w:lineRule="auto"/>
        <w:rPr>
          <w:rFonts w:ascii="Arial" w:eastAsia="Times New Roman" w:hAnsi="Arial" w:cs="Arial"/>
          <w:sz w:val="20"/>
          <w:szCs w:val="20"/>
          <w:lang w:eastAsia="es-ES"/>
        </w:rPr>
      </w:pPr>
    </w:p>
    <w:p w14:paraId="0C363F71" w14:textId="77777777" w:rsidR="00AE6CC4" w:rsidRPr="00AE6CC4" w:rsidRDefault="00AE6CC4" w:rsidP="00AE6CC4">
      <w:pPr>
        <w:spacing w:line="240" w:lineRule="auto"/>
        <w:rPr>
          <w:rFonts w:ascii="Arial" w:eastAsia="Times New Roman" w:hAnsi="Arial" w:cs="Arial"/>
          <w:sz w:val="20"/>
          <w:szCs w:val="20"/>
          <w:lang w:eastAsia="es-ES"/>
        </w:rPr>
      </w:pPr>
    </w:p>
    <w:bookmarkEnd w:id="0"/>
    <w:p w14:paraId="79F64DA0" w14:textId="77777777" w:rsidR="00790DA9" w:rsidRPr="00AE6CC4" w:rsidRDefault="00790DA9" w:rsidP="00AE6CC4">
      <w:pPr>
        <w:pStyle w:val="Ttulo4"/>
        <w:widowControl w:val="0"/>
        <w:tabs>
          <w:tab w:val="clear" w:pos="0"/>
        </w:tabs>
        <w:spacing w:line="276" w:lineRule="auto"/>
        <w:ind w:left="709" w:right="845"/>
        <w:rPr>
          <w:rFonts w:ascii="Tahoma" w:hAnsi="Tahoma" w:cs="Tahoma"/>
          <w:bCs/>
          <w:szCs w:val="24"/>
          <w:lang w:eastAsia="es-MX"/>
        </w:rPr>
      </w:pPr>
      <w:r w:rsidRPr="00AE6CC4">
        <w:rPr>
          <w:rFonts w:ascii="Tahoma" w:hAnsi="Tahoma" w:cs="Tahoma"/>
          <w:bCs/>
          <w:szCs w:val="24"/>
          <w:lang w:eastAsia="es-MX"/>
        </w:rPr>
        <w:t>TRIBUNAL SUPERIOR DEL DISTRITO JUDICIAL DE PEREIRA</w:t>
      </w:r>
    </w:p>
    <w:p w14:paraId="019D66BB" w14:textId="292CA569" w:rsidR="00790DA9" w:rsidRPr="00AE6CC4" w:rsidRDefault="00790DA9" w:rsidP="00AE6CC4">
      <w:pPr>
        <w:pStyle w:val="Ttulo4"/>
        <w:widowControl w:val="0"/>
        <w:tabs>
          <w:tab w:val="clear" w:pos="0"/>
        </w:tabs>
        <w:spacing w:line="276" w:lineRule="auto"/>
        <w:ind w:left="709" w:right="845"/>
        <w:rPr>
          <w:rFonts w:ascii="Tahoma" w:hAnsi="Tahoma" w:cs="Tahoma"/>
          <w:bCs/>
          <w:szCs w:val="24"/>
          <w:lang w:eastAsia="es-MX"/>
        </w:rPr>
      </w:pPr>
      <w:r w:rsidRPr="00AE6CC4">
        <w:rPr>
          <w:rFonts w:ascii="Tahoma" w:hAnsi="Tahoma" w:cs="Tahoma"/>
          <w:bCs/>
          <w:szCs w:val="24"/>
          <w:lang w:eastAsia="es-MX"/>
        </w:rPr>
        <w:t>SALA PRIMERA DE DECISION LABORAL</w:t>
      </w:r>
      <w:r w:rsidR="00662FC5" w:rsidRPr="00AE6CC4">
        <w:rPr>
          <w:rFonts w:ascii="Tahoma" w:hAnsi="Tahoma" w:cs="Tahoma"/>
          <w:bCs/>
          <w:szCs w:val="24"/>
          <w:lang w:eastAsia="es-MX"/>
        </w:rPr>
        <w:t xml:space="preserve"> </w:t>
      </w:r>
    </w:p>
    <w:p w14:paraId="6C8078C4" w14:textId="77777777" w:rsidR="00662FC5" w:rsidRPr="00AE6CC4" w:rsidRDefault="00662FC5" w:rsidP="00AE6CC4">
      <w:pPr>
        <w:spacing w:line="276" w:lineRule="auto"/>
        <w:jc w:val="center"/>
        <w:rPr>
          <w:rFonts w:cs="Tahoma"/>
          <w:bCs/>
          <w:szCs w:val="24"/>
        </w:rPr>
      </w:pPr>
    </w:p>
    <w:p w14:paraId="0E7ACA8F" w14:textId="77777777" w:rsidR="00790DA9" w:rsidRPr="00AE6CC4" w:rsidRDefault="00790DA9" w:rsidP="00AE6CC4">
      <w:pPr>
        <w:spacing w:line="276" w:lineRule="auto"/>
        <w:jc w:val="center"/>
        <w:textAlignment w:val="baseline"/>
        <w:rPr>
          <w:rFonts w:eastAsia="Times New Roman" w:cs="Tahoma"/>
          <w:szCs w:val="24"/>
          <w:lang w:eastAsia="es-CO"/>
        </w:rPr>
      </w:pPr>
      <w:r w:rsidRPr="00AE6CC4">
        <w:rPr>
          <w:rFonts w:eastAsia="Times New Roman" w:cs="Tahoma"/>
          <w:szCs w:val="24"/>
          <w:lang w:eastAsia="es-CO"/>
        </w:rPr>
        <w:t>Magistrada Ponente: </w:t>
      </w:r>
      <w:r w:rsidRPr="00AE6CC4">
        <w:rPr>
          <w:rFonts w:eastAsia="Times New Roman" w:cs="Tahoma"/>
          <w:b/>
          <w:bCs/>
          <w:szCs w:val="24"/>
          <w:lang w:eastAsia="es-CO"/>
        </w:rPr>
        <w:t>Ana Lucía Caicedo Calderón</w:t>
      </w:r>
      <w:r w:rsidRPr="00AE6CC4">
        <w:rPr>
          <w:rFonts w:eastAsia="Times New Roman" w:cs="Tahoma"/>
          <w:szCs w:val="24"/>
          <w:lang w:eastAsia="es-CO"/>
        </w:rPr>
        <w:t> </w:t>
      </w:r>
    </w:p>
    <w:p w14:paraId="17B99363" w14:textId="17A5E01B" w:rsidR="00790DA9" w:rsidRPr="00AE6CC4" w:rsidRDefault="00790DA9" w:rsidP="00AE6CC4">
      <w:pPr>
        <w:spacing w:line="276" w:lineRule="auto"/>
        <w:jc w:val="center"/>
        <w:textAlignment w:val="baseline"/>
        <w:rPr>
          <w:rFonts w:eastAsia="Times New Roman" w:cs="Tahoma"/>
          <w:szCs w:val="24"/>
          <w:lang w:eastAsia="es-CO"/>
        </w:rPr>
      </w:pPr>
      <w:r w:rsidRPr="00AE6CC4">
        <w:rPr>
          <w:rFonts w:eastAsia="Times New Roman" w:cs="Tahoma"/>
          <w:szCs w:val="24"/>
          <w:lang w:eastAsia="es-CO"/>
        </w:rPr>
        <w:t> </w:t>
      </w:r>
    </w:p>
    <w:p w14:paraId="61EC5009" w14:textId="21CA82FC" w:rsidR="00B92321" w:rsidRPr="00AE6CC4" w:rsidRDefault="00B92321" w:rsidP="00AE6CC4">
      <w:pPr>
        <w:spacing w:line="276" w:lineRule="auto"/>
        <w:jc w:val="center"/>
        <w:textAlignment w:val="baseline"/>
        <w:rPr>
          <w:rFonts w:eastAsia="Times New Roman" w:cs="Tahoma"/>
          <w:szCs w:val="24"/>
          <w:lang w:eastAsia="es-CO"/>
        </w:rPr>
      </w:pPr>
      <w:r w:rsidRPr="00AE6CC4">
        <w:rPr>
          <w:rFonts w:eastAsia="Times New Roman" w:cs="Tahoma"/>
          <w:szCs w:val="24"/>
          <w:lang w:eastAsia="es-CO"/>
        </w:rPr>
        <w:t xml:space="preserve">Pereira, Risaralda, </w:t>
      </w:r>
      <w:r w:rsidR="00AE6234" w:rsidRPr="00AE6CC4">
        <w:rPr>
          <w:rFonts w:eastAsia="Times New Roman" w:cs="Tahoma"/>
          <w:szCs w:val="24"/>
          <w:lang w:eastAsia="es-CO"/>
        </w:rPr>
        <w:t xml:space="preserve">agosto dos </w:t>
      </w:r>
      <w:r w:rsidRPr="00AE6CC4">
        <w:rPr>
          <w:rFonts w:eastAsia="Times New Roman" w:cs="Tahoma"/>
          <w:szCs w:val="24"/>
          <w:lang w:eastAsia="es-CO"/>
        </w:rPr>
        <w:t>(</w:t>
      </w:r>
      <w:r w:rsidR="0056002A" w:rsidRPr="00AE6CC4">
        <w:rPr>
          <w:rFonts w:eastAsia="Times New Roman" w:cs="Tahoma"/>
          <w:szCs w:val="24"/>
          <w:lang w:eastAsia="es-CO"/>
        </w:rPr>
        <w:t>2</w:t>
      </w:r>
      <w:r w:rsidRPr="00AE6CC4">
        <w:rPr>
          <w:rFonts w:eastAsia="Times New Roman" w:cs="Tahoma"/>
          <w:szCs w:val="24"/>
          <w:lang w:eastAsia="es-CO"/>
        </w:rPr>
        <w:t>) de dos mil veintiuno (2021)  </w:t>
      </w:r>
    </w:p>
    <w:p w14:paraId="41C75338" w14:textId="35A175A8" w:rsidR="00B92321" w:rsidRPr="00AE6CC4" w:rsidRDefault="00B92321" w:rsidP="00AE6CC4">
      <w:pPr>
        <w:spacing w:line="276" w:lineRule="auto"/>
        <w:jc w:val="center"/>
        <w:textAlignment w:val="baseline"/>
        <w:rPr>
          <w:rFonts w:eastAsia="Times New Roman" w:cs="Tahoma"/>
          <w:szCs w:val="24"/>
          <w:lang w:eastAsia="es-CO"/>
        </w:rPr>
      </w:pPr>
      <w:r w:rsidRPr="00AE6CC4">
        <w:rPr>
          <w:rFonts w:eastAsia="Times New Roman" w:cs="Tahoma"/>
          <w:szCs w:val="24"/>
          <w:lang w:eastAsia="es-CO"/>
        </w:rPr>
        <w:t> Acta No. </w:t>
      </w:r>
      <w:r w:rsidR="003F60EA" w:rsidRPr="00AE6CC4">
        <w:rPr>
          <w:rFonts w:eastAsia="Times New Roman" w:cs="Tahoma"/>
          <w:szCs w:val="24"/>
          <w:lang w:eastAsia="es-CO"/>
        </w:rPr>
        <w:t>120</w:t>
      </w:r>
      <w:r w:rsidRPr="00AE6CC4">
        <w:rPr>
          <w:rFonts w:eastAsia="Times New Roman" w:cs="Tahoma"/>
          <w:szCs w:val="24"/>
          <w:lang w:eastAsia="es-CO"/>
        </w:rPr>
        <w:t xml:space="preserve"> del </w:t>
      </w:r>
      <w:r w:rsidR="0056002A" w:rsidRPr="00AE6CC4">
        <w:rPr>
          <w:rFonts w:eastAsia="Times New Roman" w:cs="Tahoma"/>
          <w:szCs w:val="24"/>
          <w:lang w:eastAsia="es-CO"/>
        </w:rPr>
        <w:t>2</w:t>
      </w:r>
      <w:r w:rsidR="00AE6234" w:rsidRPr="00AE6CC4">
        <w:rPr>
          <w:rFonts w:eastAsia="Times New Roman" w:cs="Tahoma"/>
          <w:szCs w:val="24"/>
          <w:lang w:eastAsia="es-CO"/>
        </w:rPr>
        <w:t>9</w:t>
      </w:r>
      <w:r w:rsidR="00662FC5" w:rsidRPr="00AE6CC4">
        <w:rPr>
          <w:rFonts w:eastAsia="Times New Roman" w:cs="Tahoma"/>
          <w:szCs w:val="24"/>
          <w:lang w:eastAsia="es-CO"/>
        </w:rPr>
        <w:t xml:space="preserve"> de </w:t>
      </w:r>
      <w:r w:rsidR="005D0823" w:rsidRPr="00AE6CC4">
        <w:rPr>
          <w:rFonts w:eastAsia="Times New Roman" w:cs="Tahoma"/>
          <w:szCs w:val="24"/>
          <w:lang w:eastAsia="es-CO"/>
        </w:rPr>
        <w:t xml:space="preserve">julio </w:t>
      </w:r>
      <w:r w:rsidRPr="00AE6CC4">
        <w:rPr>
          <w:rFonts w:eastAsia="Times New Roman" w:cs="Tahoma"/>
          <w:szCs w:val="24"/>
          <w:lang w:eastAsia="es-CO"/>
        </w:rPr>
        <w:t>de 2021</w:t>
      </w:r>
    </w:p>
    <w:p w14:paraId="3CDD4E79" w14:textId="7CF23A35" w:rsidR="00790DA9" w:rsidRPr="00AE6CC4" w:rsidRDefault="00790DA9" w:rsidP="00AE6CC4">
      <w:pPr>
        <w:spacing w:line="276" w:lineRule="auto"/>
        <w:jc w:val="center"/>
        <w:rPr>
          <w:rFonts w:cs="Tahoma"/>
          <w:b/>
          <w:szCs w:val="24"/>
        </w:rPr>
      </w:pPr>
    </w:p>
    <w:p w14:paraId="73AFF3DE" w14:textId="77777777" w:rsidR="00662FC5" w:rsidRPr="00AE6CC4" w:rsidRDefault="00662FC5" w:rsidP="00AE6CC4">
      <w:pPr>
        <w:spacing w:line="276" w:lineRule="auto"/>
        <w:jc w:val="center"/>
        <w:rPr>
          <w:rFonts w:cs="Tahoma"/>
          <w:b/>
          <w:szCs w:val="24"/>
        </w:rPr>
      </w:pPr>
    </w:p>
    <w:p w14:paraId="6B4944D3" w14:textId="7C04A59C" w:rsidR="00790DA9" w:rsidRPr="00AE6CC4" w:rsidRDefault="00662FC5" w:rsidP="00AE6CC4">
      <w:pPr>
        <w:spacing w:line="276" w:lineRule="auto"/>
        <w:ind w:firstLine="709"/>
        <w:rPr>
          <w:rFonts w:cs="Tahoma"/>
          <w:szCs w:val="24"/>
        </w:rPr>
      </w:pPr>
      <w:r w:rsidRPr="00AE6CC4">
        <w:rPr>
          <w:rFonts w:cs="Tahoma"/>
          <w:szCs w:val="24"/>
        </w:rPr>
        <w:t>Teniendo en cuenta que el artículo 15 del Decreto No. 806 del 4 de junio de</w:t>
      </w:r>
      <w:r w:rsidR="00177D03">
        <w:rPr>
          <w:rFonts w:cs="Tahoma"/>
          <w:szCs w:val="24"/>
        </w:rPr>
        <w:t xml:space="preserve"> </w:t>
      </w:r>
      <w:r w:rsidRPr="00AE6CC4">
        <w:rPr>
          <w:rFonts w:cs="Tahoma"/>
          <w:szCs w:val="24"/>
        </w:rPr>
        <w:t>2020, expedido por el Ministerio de Justicia y del Derecho, estableció que en la</w:t>
      </w:r>
      <w:r w:rsidR="00177D03">
        <w:rPr>
          <w:rFonts w:cs="Tahoma"/>
          <w:szCs w:val="24"/>
        </w:rPr>
        <w:t xml:space="preserve"> </w:t>
      </w:r>
      <w:r w:rsidRPr="00AE6CC4">
        <w:rPr>
          <w:rFonts w:cs="Tahoma"/>
          <w:szCs w:val="24"/>
        </w:rPr>
        <w:t>especialidad laboral se proferirán por escrito las providencias de segunda instancia</w:t>
      </w:r>
      <w:r w:rsidR="00177D03">
        <w:rPr>
          <w:rFonts w:cs="Tahoma"/>
          <w:szCs w:val="24"/>
        </w:rPr>
        <w:t xml:space="preserve"> </w:t>
      </w:r>
      <w:r w:rsidRPr="00AE6CC4">
        <w:rPr>
          <w:rFonts w:cs="Tahoma"/>
          <w:szCs w:val="24"/>
        </w:rPr>
        <w:t>en las que se surta el grado jurisdiccional de consulta o se resuelva el recurso de</w:t>
      </w:r>
      <w:r w:rsidR="00177D03">
        <w:rPr>
          <w:rFonts w:cs="Tahoma"/>
          <w:szCs w:val="24"/>
        </w:rPr>
        <w:t xml:space="preserve"> </w:t>
      </w:r>
      <w:r w:rsidRPr="00AE6CC4">
        <w:rPr>
          <w:rFonts w:cs="Tahoma"/>
          <w:szCs w:val="24"/>
        </w:rPr>
        <w:t xml:space="preserve">apelación de autos o sentencias, la Sala </w:t>
      </w:r>
      <w:r w:rsidR="005D0823" w:rsidRPr="00AE6CC4">
        <w:rPr>
          <w:rFonts w:cs="Tahoma"/>
          <w:szCs w:val="24"/>
        </w:rPr>
        <w:t xml:space="preserve">Primera </w:t>
      </w:r>
      <w:r w:rsidRPr="00AE6CC4">
        <w:rPr>
          <w:rFonts w:cs="Tahoma"/>
          <w:szCs w:val="24"/>
        </w:rPr>
        <w:t xml:space="preserve">de Decisión Laboral </w:t>
      </w:r>
      <w:r w:rsidR="005D0823" w:rsidRPr="00AE6CC4">
        <w:rPr>
          <w:rFonts w:cs="Tahoma"/>
          <w:szCs w:val="24"/>
        </w:rPr>
        <w:t>del Tribunal Superior de Pereira</w:t>
      </w:r>
      <w:r w:rsidRPr="00AE6CC4">
        <w:rPr>
          <w:rFonts w:cs="Tahoma"/>
          <w:szCs w:val="24"/>
        </w:rPr>
        <w:t>, integrada por las</w:t>
      </w:r>
      <w:r w:rsidR="00881144" w:rsidRPr="00AE6CC4">
        <w:rPr>
          <w:rFonts w:cs="Tahoma"/>
          <w:szCs w:val="24"/>
        </w:rPr>
        <w:t xml:space="preserve"> </w:t>
      </w:r>
      <w:r w:rsidRPr="00AE6CC4">
        <w:rPr>
          <w:rFonts w:cs="Tahoma"/>
          <w:szCs w:val="24"/>
        </w:rPr>
        <w:t xml:space="preserve">Magistradas ANA LUCÍA CAICEDO </w:t>
      </w:r>
      <w:r w:rsidR="00881144" w:rsidRPr="00AE6CC4">
        <w:rPr>
          <w:rFonts w:cs="Tahoma"/>
          <w:szCs w:val="24"/>
        </w:rPr>
        <w:t>C</w:t>
      </w:r>
      <w:r w:rsidRPr="00AE6CC4">
        <w:rPr>
          <w:rFonts w:cs="Tahoma"/>
          <w:szCs w:val="24"/>
        </w:rPr>
        <w:t>ALDERÓN</w:t>
      </w:r>
      <w:r w:rsidR="005D0823" w:rsidRPr="00AE6CC4">
        <w:rPr>
          <w:rFonts w:cs="Tahoma"/>
          <w:szCs w:val="24"/>
        </w:rPr>
        <w:t>,</w:t>
      </w:r>
      <w:r w:rsidRPr="00AE6CC4">
        <w:rPr>
          <w:rFonts w:cs="Tahoma"/>
          <w:szCs w:val="24"/>
        </w:rPr>
        <w:t xml:space="preserve"> como Ponente, </w:t>
      </w:r>
      <w:r w:rsidR="005D0823" w:rsidRPr="00AE6CC4">
        <w:rPr>
          <w:rFonts w:cs="Tahoma"/>
          <w:szCs w:val="24"/>
        </w:rPr>
        <w:t xml:space="preserve">y </w:t>
      </w:r>
      <w:r w:rsidRPr="00AE6CC4">
        <w:rPr>
          <w:rFonts w:cs="Tahoma"/>
          <w:szCs w:val="24"/>
        </w:rPr>
        <w:t>OLGA LUCÍA HOYOS</w:t>
      </w:r>
      <w:r w:rsidR="00881144" w:rsidRPr="00AE6CC4">
        <w:rPr>
          <w:rFonts w:cs="Tahoma"/>
          <w:szCs w:val="24"/>
        </w:rPr>
        <w:t xml:space="preserve"> </w:t>
      </w:r>
      <w:r w:rsidRPr="00AE6CC4">
        <w:rPr>
          <w:rFonts w:cs="Tahoma"/>
          <w:szCs w:val="24"/>
        </w:rPr>
        <w:t>SEPÚLVEDA</w:t>
      </w:r>
      <w:r w:rsidR="005D0823" w:rsidRPr="00AE6CC4">
        <w:rPr>
          <w:rFonts w:cs="Tahoma"/>
          <w:szCs w:val="24"/>
        </w:rPr>
        <w:t>,</w:t>
      </w:r>
      <w:r w:rsidRPr="00AE6CC4">
        <w:rPr>
          <w:rFonts w:cs="Tahoma"/>
          <w:szCs w:val="24"/>
        </w:rPr>
        <w:t xml:space="preserve"> y el Magistrado GERMÁN DARIO GOEZ VINASCO, procede a proferir la</w:t>
      </w:r>
      <w:r w:rsidR="00881144" w:rsidRPr="00AE6CC4">
        <w:rPr>
          <w:rFonts w:cs="Tahoma"/>
          <w:szCs w:val="24"/>
        </w:rPr>
        <w:t xml:space="preserve"> </w:t>
      </w:r>
      <w:r w:rsidRPr="00AE6CC4">
        <w:rPr>
          <w:rFonts w:cs="Tahoma"/>
          <w:szCs w:val="24"/>
        </w:rPr>
        <w:t xml:space="preserve">siguiente sentencia escrita dentro del proceso ordinario laboral instaurado por </w:t>
      </w:r>
      <w:r w:rsidR="00032108" w:rsidRPr="00AE6CC4">
        <w:rPr>
          <w:rFonts w:cs="Tahoma"/>
          <w:b/>
          <w:bCs/>
          <w:szCs w:val="24"/>
        </w:rPr>
        <w:t>M</w:t>
      </w:r>
      <w:r w:rsidR="002D3547" w:rsidRPr="00AE6CC4">
        <w:rPr>
          <w:rFonts w:cs="Tahoma"/>
          <w:b/>
          <w:bCs/>
          <w:szCs w:val="24"/>
        </w:rPr>
        <w:t xml:space="preserve">iguel Ángel Zurita Ayala </w:t>
      </w:r>
      <w:r w:rsidR="00790DA9" w:rsidRPr="00AE6CC4">
        <w:rPr>
          <w:rFonts w:cs="Tahoma"/>
          <w:szCs w:val="24"/>
        </w:rPr>
        <w:t xml:space="preserve">en contra de la </w:t>
      </w:r>
      <w:r w:rsidR="00790DA9" w:rsidRPr="00AE6CC4">
        <w:rPr>
          <w:rFonts w:cs="Tahoma"/>
          <w:b/>
          <w:szCs w:val="24"/>
        </w:rPr>
        <w:t xml:space="preserve">Administradora </w:t>
      </w:r>
      <w:r w:rsidR="002D3547" w:rsidRPr="00AE6CC4">
        <w:rPr>
          <w:rFonts w:cs="Tahoma"/>
          <w:b/>
          <w:szCs w:val="24"/>
        </w:rPr>
        <w:t>de Fondos de Pensiones Porvenir S.A.</w:t>
      </w:r>
      <w:r w:rsidR="00450952" w:rsidRPr="00AE6CC4">
        <w:rPr>
          <w:rFonts w:cs="Tahoma"/>
          <w:bCs/>
          <w:szCs w:val="24"/>
        </w:rPr>
        <w:t xml:space="preserve">; proceso al que fue vinculada la sociedad </w:t>
      </w:r>
      <w:r w:rsidR="002D3547" w:rsidRPr="00AE6CC4">
        <w:rPr>
          <w:rFonts w:cs="Tahoma"/>
          <w:b/>
          <w:szCs w:val="24"/>
        </w:rPr>
        <w:t xml:space="preserve">Seguros </w:t>
      </w:r>
      <w:r w:rsidR="00BD4AC0" w:rsidRPr="00AE6CC4">
        <w:rPr>
          <w:rFonts w:cs="Tahoma"/>
          <w:b/>
          <w:szCs w:val="24"/>
        </w:rPr>
        <w:t xml:space="preserve">de Vida </w:t>
      </w:r>
      <w:r w:rsidR="002D3547" w:rsidRPr="00AE6CC4">
        <w:rPr>
          <w:rFonts w:cs="Tahoma"/>
          <w:b/>
          <w:szCs w:val="24"/>
        </w:rPr>
        <w:t>Al</w:t>
      </w:r>
      <w:r w:rsidR="00F44753" w:rsidRPr="00AE6CC4">
        <w:rPr>
          <w:rFonts w:cs="Tahoma"/>
          <w:b/>
          <w:szCs w:val="24"/>
        </w:rPr>
        <w:t>f</w:t>
      </w:r>
      <w:r w:rsidR="002D3547" w:rsidRPr="00AE6CC4">
        <w:rPr>
          <w:rFonts w:cs="Tahoma"/>
          <w:b/>
          <w:szCs w:val="24"/>
        </w:rPr>
        <w:t>a S.A.</w:t>
      </w:r>
    </w:p>
    <w:p w14:paraId="5A6182C7" w14:textId="77777777" w:rsidR="00CD3A8B" w:rsidRPr="00AE6CC4" w:rsidRDefault="00CD3A8B" w:rsidP="00AE6CC4">
      <w:pPr>
        <w:spacing w:line="276" w:lineRule="auto"/>
        <w:ind w:firstLine="709"/>
        <w:rPr>
          <w:rFonts w:cs="Tahoma"/>
          <w:szCs w:val="24"/>
        </w:rPr>
      </w:pPr>
    </w:p>
    <w:p w14:paraId="74E244FD" w14:textId="76777837" w:rsidR="00790DA9" w:rsidRPr="00AE6CC4" w:rsidRDefault="00790DA9" w:rsidP="00AE6CC4">
      <w:pPr>
        <w:pStyle w:val="paragraph"/>
        <w:spacing w:before="0" w:beforeAutospacing="0" w:after="0" w:afterAutospacing="0" w:line="276" w:lineRule="auto"/>
        <w:jc w:val="center"/>
        <w:textAlignment w:val="baseline"/>
        <w:rPr>
          <w:rStyle w:val="normaltextrun"/>
          <w:rFonts w:ascii="Tahoma" w:hAnsi="Tahoma" w:cs="Tahoma"/>
          <w:b/>
          <w:bCs/>
        </w:rPr>
      </w:pPr>
      <w:r w:rsidRPr="00AE6CC4">
        <w:rPr>
          <w:rStyle w:val="normaltextrun"/>
          <w:rFonts w:ascii="Tahoma" w:hAnsi="Tahoma" w:cs="Tahoma"/>
          <w:b/>
          <w:bCs/>
        </w:rPr>
        <w:t>PUNTO A TRATAR</w:t>
      </w:r>
    </w:p>
    <w:p w14:paraId="604BDCDA" w14:textId="77777777" w:rsidR="00EF5C33" w:rsidRPr="00AE6CC4" w:rsidRDefault="00EF5C33" w:rsidP="00AE6CC4">
      <w:pPr>
        <w:pStyle w:val="paragraph"/>
        <w:spacing w:before="0" w:beforeAutospacing="0" w:after="0" w:afterAutospacing="0" w:line="276" w:lineRule="auto"/>
        <w:jc w:val="center"/>
        <w:textAlignment w:val="baseline"/>
        <w:rPr>
          <w:rFonts w:ascii="Tahoma" w:hAnsi="Tahoma" w:cs="Tahoma"/>
        </w:rPr>
      </w:pPr>
    </w:p>
    <w:p w14:paraId="277DA54F" w14:textId="052BB28E" w:rsidR="00790DA9" w:rsidRPr="00AE6CC4" w:rsidRDefault="00790DA9" w:rsidP="00AE6CC4">
      <w:pPr>
        <w:spacing w:line="276" w:lineRule="auto"/>
        <w:ind w:firstLine="708"/>
        <w:rPr>
          <w:rStyle w:val="normaltextrun"/>
          <w:rFonts w:cs="Tahoma"/>
          <w:szCs w:val="24"/>
        </w:rPr>
      </w:pPr>
      <w:r w:rsidRPr="00AE6CC4">
        <w:rPr>
          <w:rStyle w:val="normaltextrun"/>
          <w:rFonts w:cs="Tahoma"/>
          <w:szCs w:val="24"/>
        </w:rPr>
        <w:lastRenderedPageBreak/>
        <w:t>Por medio de esta providencia procede la Sala a</w:t>
      </w:r>
      <w:r w:rsidRPr="00AE6CC4">
        <w:rPr>
          <w:rFonts w:cs="Tahoma"/>
          <w:szCs w:val="24"/>
        </w:rPr>
        <w:t xml:space="preserve"> resolver </w:t>
      </w:r>
      <w:r w:rsidR="00032108" w:rsidRPr="00AE6CC4">
        <w:rPr>
          <w:rFonts w:cs="Tahoma"/>
          <w:szCs w:val="24"/>
        </w:rPr>
        <w:t>e</w:t>
      </w:r>
      <w:r w:rsidRPr="00AE6CC4">
        <w:rPr>
          <w:rFonts w:cs="Tahoma"/>
          <w:szCs w:val="24"/>
        </w:rPr>
        <w:t xml:space="preserve">l recurso de apelación interpuesto por </w:t>
      </w:r>
      <w:r w:rsidR="00032108" w:rsidRPr="00AE6CC4">
        <w:rPr>
          <w:rFonts w:cs="Tahoma"/>
          <w:szCs w:val="24"/>
        </w:rPr>
        <w:t>l</w:t>
      </w:r>
      <w:r w:rsidR="0056002A" w:rsidRPr="00AE6CC4">
        <w:rPr>
          <w:rFonts w:cs="Tahoma"/>
          <w:szCs w:val="24"/>
        </w:rPr>
        <w:t>a</w:t>
      </w:r>
      <w:r w:rsidR="00032108" w:rsidRPr="00AE6CC4">
        <w:rPr>
          <w:rFonts w:cs="Tahoma"/>
          <w:szCs w:val="24"/>
        </w:rPr>
        <w:t xml:space="preserve"> apoderad</w:t>
      </w:r>
      <w:r w:rsidR="0056002A" w:rsidRPr="00AE6CC4">
        <w:rPr>
          <w:rFonts w:cs="Tahoma"/>
          <w:szCs w:val="24"/>
        </w:rPr>
        <w:t>a</w:t>
      </w:r>
      <w:r w:rsidR="00032108" w:rsidRPr="00AE6CC4">
        <w:rPr>
          <w:rFonts w:cs="Tahoma"/>
          <w:szCs w:val="24"/>
        </w:rPr>
        <w:t xml:space="preserve"> de </w:t>
      </w:r>
      <w:r w:rsidR="00D36FD5" w:rsidRPr="00AE6CC4">
        <w:rPr>
          <w:rFonts w:cs="Tahoma"/>
          <w:szCs w:val="24"/>
        </w:rPr>
        <w:t xml:space="preserve">Porvenir S.A. y Seguros </w:t>
      </w:r>
      <w:r w:rsidR="00BD4AC0" w:rsidRPr="00AE6CC4">
        <w:rPr>
          <w:rFonts w:cs="Tahoma"/>
          <w:szCs w:val="24"/>
        </w:rPr>
        <w:t xml:space="preserve">de Vida </w:t>
      </w:r>
      <w:r w:rsidR="00D36FD5" w:rsidRPr="00AE6CC4">
        <w:rPr>
          <w:rFonts w:cs="Tahoma"/>
          <w:szCs w:val="24"/>
        </w:rPr>
        <w:t>Al</w:t>
      </w:r>
      <w:r w:rsidR="00BD4AC0" w:rsidRPr="00AE6CC4">
        <w:rPr>
          <w:rFonts w:cs="Tahoma"/>
          <w:szCs w:val="24"/>
        </w:rPr>
        <w:t>f</w:t>
      </w:r>
      <w:r w:rsidR="00D36FD5" w:rsidRPr="00AE6CC4">
        <w:rPr>
          <w:rFonts w:cs="Tahoma"/>
          <w:szCs w:val="24"/>
        </w:rPr>
        <w:t xml:space="preserve">a S.A. </w:t>
      </w:r>
      <w:r w:rsidRPr="00AE6CC4">
        <w:rPr>
          <w:rFonts w:cs="Tahoma"/>
          <w:szCs w:val="24"/>
        </w:rPr>
        <w:t xml:space="preserve">en contra de la sentencia proferida el </w:t>
      </w:r>
      <w:r w:rsidR="00032108" w:rsidRPr="00AE6CC4">
        <w:rPr>
          <w:rFonts w:cs="Tahoma"/>
          <w:szCs w:val="24"/>
        </w:rPr>
        <w:t>1</w:t>
      </w:r>
      <w:r w:rsidR="00D36FD5" w:rsidRPr="00AE6CC4">
        <w:rPr>
          <w:rFonts w:cs="Tahoma"/>
          <w:szCs w:val="24"/>
        </w:rPr>
        <w:t xml:space="preserve">º de febrero </w:t>
      </w:r>
      <w:r w:rsidRPr="00AE6CC4">
        <w:rPr>
          <w:rFonts w:cs="Tahoma"/>
          <w:szCs w:val="24"/>
        </w:rPr>
        <w:t>de 202</w:t>
      </w:r>
      <w:r w:rsidR="00EB3C0B" w:rsidRPr="00AE6CC4">
        <w:rPr>
          <w:rFonts w:cs="Tahoma"/>
          <w:szCs w:val="24"/>
        </w:rPr>
        <w:t>1</w:t>
      </w:r>
      <w:r w:rsidRPr="00AE6CC4">
        <w:rPr>
          <w:rFonts w:cs="Tahoma"/>
          <w:szCs w:val="24"/>
        </w:rPr>
        <w:t>, por el Juzgado</w:t>
      </w:r>
      <w:r w:rsidR="00032108" w:rsidRPr="00AE6CC4">
        <w:rPr>
          <w:rFonts w:cs="Tahoma"/>
          <w:szCs w:val="24"/>
        </w:rPr>
        <w:t xml:space="preserve"> </w:t>
      </w:r>
      <w:r w:rsidR="00D36FD5" w:rsidRPr="00AE6CC4">
        <w:rPr>
          <w:rFonts w:cs="Tahoma"/>
          <w:szCs w:val="24"/>
        </w:rPr>
        <w:t>Cuarto</w:t>
      </w:r>
      <w:r w:rsidRPr="00AE6CC4">
        <w:rPr>
          <w:rFonts w:cs="Tahoma"/>
          <w:szCs w:val="24"/>
        </w:rPr>
        <w:t xml:space="preserve"> Laboral del Circuito de Pereira</w:t>
      </w:r>
      <w:r w:rsidR="005D0823" w:rsidRPr="00AE6CC4">
        <w:rPr>
          <w:rFonts w:cs="Tahoma"/>
          <w:szCs w:val="24"/>
        </w:rPr>
        <w:t xml:space="preserve">. </w:t>
      </w:r>
      <w:r w:rsidRPr="00AE6CC4">
        <w:rPr>
          <w:rStyle w:val="normaltextrun"/>
          <w:rFonts w:cs="Tahoma"/>
          <w:szCs w:val="24"/>
        </w:rPr>
        <w:t>Para ello se tiene en cuenta lo siguiente: </w:t>
      </w:r>
    </w:p>
    <w:p w14:paraId="375670E6" w14:textId="77777777" w:rsidR="00BD4AC0" w:rsidRPr="00AE6CC4" w:rsidRDefault="00BD4AC0" w:rsidP="00AE6CC4">
      <w:pPr>
        <w:spacing w:line="276" w:lineRule="auto"/>
        <w:ind w:firstLine="708"/>
        <w:rPr>
          <w:rStyle w:val="normaltextrun"/>
          <w:rFonts w:cs="Tahoma"/>
          <w:szCs w:val="24"/>
        </w:rPr>
      </w:pPr>
    </w:p>
    <w:p w14:paraId="783EB004" w14:textId="77777777" w:rsidR="00790DA9" w:rsidRPr="00AE6CC4" w:rsidRDefault="00790DA9" w:rsidP="00AE6CC4">
      <w:pPr>
        <w:pStyle w:val="Prrafodelista"/>
        <w:numPr>
          <w:ilvl w:val="0"/>
          <w:numId w:val="1"/>
        </w:numPr>
        <w:spacing w:line="276" w:lineRule="auto"/>
        <w:ind w:left="426" w:hanging="426"/>
        <w:jc w:val="center"/>
        <w:rPr>
          <w:rFonts w:cs="Tahoma"/>
          <w:b/>
          <w:bCs/>
          <w:szCs w:val="24"/>
        </w:rPr>
      </w:pPr>
      <w:r w:rsidRPr="00AE6CC4">
        <w:rPr>
          <w:rFonts w:cs="Tahoma"/>
          <w:b/>
          <w:bCs/>
          <w:szCs w:val="24"/>
        </w:rPr>
        <w:t>Demanda y su contestación</w:t>
      </w:r>
    </w:p>
    <w:p w14:paraId="17F37787" w14:textId="77777777" w:rsidR="00790DA9" w:rsidRPr="00AE6CC4" w:rsidRDefault="00790DA9" w:rsidP="00AE6CC4">
      <w:pPr>
        <w:spacing w:line="276" w:lineRule="auto"/>
        <w:ind w:firstLine="708"/>
        <w:rPr>
          <w:rStyle w:val="normaltextrun"/>
          <w:rFonts w:cs="Tahoma"/>
          <w:szCs w:val="24"/>
        </w:rPr>
      </w:pPr>
    </w:p>
    <w:p w14:paraId="6834F38F" w14:textId="286DA4DD" w:rsidR="007827FC" w:rsidRPr="00AE6CC4" w:rsidRDefault="00790DA9" w:rsidP="00AE6CC4">
      <w:pPr>
        <w:spacing w:line="276" w:lineRule="auto"/>
        <w:ind w:firstLine="708"/>
        <w:rPr>
          <w:rStyle w:val="normaltextrun"/>
          <w:rFonts w:cs="Tahoma"/>
          <w:szCs w:val="24"/>
        </w:rPr>
      </w:pPr>
      <w:r w:rsidRPr="00AE6CC4">
        <w:rPr>
          <w:rStyle w:val="normaltextrun"/>
          <w:rFonts w:cs="Tahoma"/>
          <w:szCs w:val="24"/>
        </w:rPr>
        <w:t xml:space="preserve">Pretende </w:t>
      </w:r>
      <w:r w:rsidR="00F44753" w:rsidRPr="00AE6CC4">
        <w:rPr>
          <w:rStyle w:val="normaltextrun"/>
          <w:rFonts w:cs="Tahoma"/>
          <w:szCs w:val="24"/>
        </w:rPr>
        <w:t>e</w:t>
      </w:r>
      <w:r w:rsidRPr="00AE6CC4">
        <w:rPr>
          <w:rStyle w:val="normaltextrun"/>
          <w:rFonts w:cs="Tahoma"/>
          <w:szCs w:val="24"/>
        </w:rPr>
        <w:t xml:space="preserve">l demandante que </w:t>
      </w:r>
      <w:r w:rsidR="00BD4AC0" w:rsidRPr="00AE6CC4">
        <w:rPr>
          <w:rStyle w:val="normaltextrun"/>
          <w:rFonts w:cs="Tahoma"/>
          <w:szCs w:val="24"/>
        </w:rPr>
        <w:t xml:space="preserve">se condene a </w:t>
      </w:r>
      <w:r w:rsidR="00E83987" w:rsidRPr="00AE6CC4">
        <w:rPr>
          <w:rStyle w:val="normaltextrun"/>
          <w:rFonts w:cs="Tahoma"/>
          <w:szCs w:val="24"/>
        </w:rPr>
        <w:t xml:space="preserve">Porvenir S.A., previa declaración del derecho, al pago del retroactivo de su pensión de invalidez, causado entre el 28 de abril de 2009 y el 31 de diciembre de 2015, </w:t>
      </w:r>
      <w:r w:rsidR="007827FC" w:rsidRPr="00AE6CC4">
        <w:rPr>
          <w:rStyle w:val="normaltextrun"/>
          <w:rFonts w:cs="Tahoma"/>
          <w:szCs w:val="24"/>
        </w:rPr>
        <w:t>monto sobre el que también debe cancelar los intereses moratorios de que trata el artículo 141 de la Ley 100 de 1993 o, subsidiariamente, la indexación.</w:t>
      </w:r>
    </w:p>
    <w:p w14:paraId="48BA2CA6" w14:textId="77777777" w:rsidR="007827FC" w:rsidRPr="00AE6CC4" w:rsidRDefault="007827FC" w:rsidP="00AE6CC4">
      <w:pPr>
        <w:spacing w:line="276" w:lineRule="auto"/>
        <w:ind w:firstLine="708"/>
        <w:rPr>
          <w:rStyle w:val="normaltextrun"/>
          <w:rFonts w:cs="Tahoma"/>
          <w:szCs w:val="24"/>
        </w:rPr>
      </w:pPr>
    </w:p>
    <w:p w14:paraId="37D4C814" w14:textId="1CC01FBE" w:rsidR="00F44753" w:rsidRPr="00AE6CC4" w:rsidRDefault="007827FC" w:rsidP="00AE6CC4">
      <w:pPr>
        <w:spacing w:line="276" w:lineRule="auto"/>
        <w:ind w:firstLine="708"/>
        <w:rPr>
          <w:rStyle w:val="normaltextrun"/>
          <w:rFonts w:cs="Tahoma"/>
          <w:szCs w:val="24"/>
        </w:rPr>
      </w:pPr>
      <w:r w:rsidRPr="00AE6CC4">
        <w:rPr>
          <w:rStyle w:val="normaltextrun"/>
          <w:rFonts w:cs="Tahoma"/>
          <w:szCs w:val="24"/>
        </w:rPr>
        <w:t xml:space="preserve">Asimismo, solicita que se condene </w:t>
      </w:r>
      <w:r w:rsidR="00C50CB8" w:rsidRPr="00AE6CC4">
        <w:rPr>
          <w:rStyle w:val="normaltextrun"/>
          <w:rFonts w:cs="Tahoma"/>
          <w:szCs w:val="24"/>
        </w:rPr>
        <w:t>a la demandada al pago de l</w:t>
      </w:r>
      <w:r w:rsidR="00E83987" w:rsidRPr="00AE6CC4">
        <w:rPr>
          <w:rStyle w:val="normaltextrun"/>
          <w:rFonts w:cs="Tahoma"/>
          <w:szCs w:val="24"/>
        </w:rPr>
        <w:t>a indexación causada sobre el retroactivo reconocido por esa entidad</w:t>
      </w:r>
      <w:r w:rsidRPr="00AE6CC4">
        <w:rPr>
          <w:rStyle w:val="normaltextrun"/>
          <w:rFonts w:cs="Tahoma"/>
          <w:szCs w:val="24"/>
        </w:rPr>
        <w:t>,</w:t>
      </w:r>
      <w:r w:rsidR="00E83987" w:rsidRPr="00AE6CC4">
        <w:rPr>
          <w:rStyle w:val="normaltextrun"/>
          <w:rFonts w:cs="Tahoma"/>
          <w:szCs w:val="24"/>
        </w:rPr>
        <w:t xml:space="preserve"> por el periodo comprendido entre el 10 de diciembre de 2015 y el </w:t>
      </w:r>
      <w:r w:rsidRPr="00AE6CC4">
        <w:rPr>
          <w:rStyle w:val="normaltextrun"/>
          <w:rFonts w:cs="Tahoma"/>
          <w:szCs w:val="24"/>
        </w:rPr>
        <w:t>31 de enero de 2019.</w:t>
      </w:r>
    </w:p>
    <w:p w14:paraId="118E75B9" w14:textId="2146E871" w:rsidR="00C50CB8" w:rsidRPr="00AE6CC4" w:rsidRDefault="00C50CB8" w:rsidP="00AE6CC4">
      <w:pPr>
        <w:spacing w:line="276" w:lineRule="auto"/>
        <w:ind w:firstLine="708"/>
        <w:rPr>
          <w:rStyle w:val="normaltextrun"/>
          <w:rFonts w:cs="Tahoma"/>
          <w:szCs w:val="24"/>
        </w:rPr>
      </w:pPr>
    </w:p>
    <w:p w14:paraId="384FED4D" w14:textId="13B37E3D" w:rsidR="00C50CB8" w:rsidRPr="00AE6CC4" w:rsidRDefault="00C50CB8" w:rsidP="00AE6CC4">
      <w:pPr>
        <w:spacing w:line="276" w:lineRule="auto"/>
        <w:ind w:firstLine="708"/>
        <w:rPr>
          <w:rStyle w:val="normaltextrun"/>
          <w:rFonts w:cs="Tahoma"/>
          <w:szCs w:val="24"/>
        </w:rPr>
      </w:pPr>
      <w:r w:rsidRPr="00AE6CC4">
        <w:rPr>
          <w:rStyle w:val="normaltextrun"/>
          <w:rFonts w:cs="Tahoma"/>
          <w:szCs w:val="24"/>
        </w:rPr>
        <w:t xml:space="preserve">Por último, pide que se condene a la demandada a todo lo que resulte probado, en virtud de las facultades extra y ultra </w:t>
      </w:r>
      <w:proofErr w:type="spellStart"/>
      <w:r w:rsidRPr="00AE6CC4">
        <w:rPr>
          <w:rStyle w:val="normaltextrun"/>
          <w:rFonts w:cs="Tahoma"/>
          <w:szCs w:val="24"/>
        </w:rPr>
        <w:t>petita</w:t>
      </w:r>
      <w:proofErr w:type="spellEnd"/>
      <w:r w:rsidRPr="00AE6CC4">
        <w:rPr>
          <w:rStyle w:val="normaltextrun"/>
          <w:rFonts w:cs="Tahoma"/>
          <w:szCs w:val="24"/>
        </w:rPr>
        <w:t>, así como al pago de las costas procesales.</w:t>
      </w:r>
    </w:p>
    <w:p w14:paraId="3970C1D7" w14:textId="77777777" w:rsidR="0056002A" w:rsidRPr="00AE6CC4" w:rsidRDefault="0056002A" w:rsidP="00AE6CC4">
      <w:pPr>
        <w:spacing w:line="276" w:lineRule="auto"/>
        <w:rPr>
          <w:rStyle w:val="normaltextrun"/>
          <w:rFonts w:cs="Tahoma"/>
          <w:szCs w:val="24"/>
        </w:rPr>
      </w:pPr>
    </w:p>
    <w:p w14:paraId="314241BD" w14:textId="26D8F0E7" w:rsidR="00C50CB8" w:rsidRPr="00AE6CC4" w:rsidRDefault="0056002A" w:rsidP="00AE6CC4">
      <w:pPr>
        <w:spacing w:line="276" w:lineRule="auto"/>
        <w:ind w:firstLine="708"/>
        <w:rPr>
          <w:rStyle w:val="normaltextrun"/>
          <w:rFonts w:cs="Tahoma"/>
          <w:szCs w:val="24"/>
        </w:rPr>
      </w:pPr>
      <w:r w:rsidRPr="00AE6CC4">
        <w:rPr>
          <w:rStyle w:val="normaltextrun"/>
          <w:rFonts w:cs="Tahoma"/>
          <w:szCs w:val="24"/>
        </w:rPr>
        <w:t xml:space="preserve">Sustenta sus pretensiones en que </w:t>
      </w:r>
      <w:r w:rsidR="00465ABE" w:rsidRPr="00AE6CC4">
        <w:rPr>
          <w:rStyle w:val="normaltextrun"/>
          <w:rFonts w:cs="Tahoma"/>
          <w:szCs w:val="24"/>
        </w:rPr>
        <w:t xml:space="preserve">el </w:t>
      </w:r>
      <w:r w:rsidR="00C50CB8" w:rsidRPr="00AE6CC4">
        <w:rPr>
          <w:rStyle w:val="normaltextrun"/>
          <w:rFonts w:cs="Tahoma"/>
          <w:szCs w:val="24"/>
        </w:rPr>
        <w:t xml:space="preserve">27 de mayo de 2017 la Junta Nacional de Calificación de Invalidez </w:t>
      </w:r>
      <w:r w:rsidR="00160F32" w:rsidRPr="00AE6CC4">
        <w:rPr>
          <w:rStyle w:val="normaltextrun"/>
          <w:rFonts w:cs="Tahoma"/>
          <w:szCs w:val="24"/>
        </w:rPr>
        <w:t>determinó que padece una pérdida de capacidad laboral del 68,8%, de origen común, estructurada el 28 de abril de 2009.</w:t>
      </w:r>
    </w:p>
    <w:p w14:paraId="6B9E8B95" w14:textId="3C5DBFC7" w:rsidR="00160F32" w:rsidRPr="00AE6CC4" w:rsidRDefault="00160F32" w:rsidP="00AE6CC4">
      <w:pPr>
        <w:spacing w:line="276" w:lineRule="auto"/>
        <w:ind w:firstLine="708"/>
        <w:rPr>
          <w:rStyle w:val="normaltextrun"/>
          <w:rFonts w:cs="Tahoma"/>
          <w:szCs w:val="24"/>
        </w:rPr>
      </w:pPr>
    </w:p>
    <w:p w14:paraId="10879B7F" w14:textId="77256BF2" w:rsidR="00AD21F0" w:rsidRPr="00AE6CC4" w:rsidRDefault="00160F32" w:rsidP="00AE6CC4">
      <w:pPr>
        <w:spacing w:line="276" w:lineRule="auto"/>
        <w:ind w:firstLine="708"/>
        <w:rPr>
          <w:rStyle w:val="normaltextrun"/>
          <w:rFonts w:cs="Tahoma"/>
          <w:szCs w:val="24"/>
        </w:rPr>
      </w:pPr>
      <w:r w:rsidRPr="00AE6CC4">
        <w:rPr>
          <w:rStyle w:val="normaltextrun"/>
          <w:rFonts w:cs="Tahoma"/>
          <w:szCs w:val="24"/>
        </w:rPr>
        <w:t xml:space="preserve">Refiere que el </w:t>
      </w:r>
      <w:r w:rsidR="00965687" w:rsidRPr="00AE6CC4">
        <w:rPr>
          <w:rStyle w:val="normaltextrun"/>
          <w:rFonts w:cs="Tahoma"/>
          <w:szCs w:val="24"/>
        </w:rPr>
        <w:t>10</w:t>
      </w:r>
      <w:r w:rsidRPr="00AE6CC4">
        <w:rPr>
          <w:rStyle w:val="normaltextrun"/>
          <w:rFonts w:cs="Tahoma"/>
          <w:szCs w:val="24"/>
        </w:rPr>
        <w:t xml:space="preserve"> de diciembre de 2018 </w:t>
      </w:r>
      <w:r w:rsidR="00965687" w:rsidRPr="00AE6CC4">
        <w:rPr>
          <w:rStyle w:val="normaltextrun"/>
          <w:rFonts w:cs="Tahoma"/>
          <w:szCs w:val="24"/>
        </w:rPr>
        <w:t xml:space="preserve">radicó </w:t>
      </w:r>
      <w:r w:rsidRPr="00AE6CC4">
        <w:rPr>
          <w:rStyle w:val="normaltextrun"/>
          <w:rFonts w:cs="Tahoma"/>
          <w:szCs w:val="24"/>
        </w:rPr>
        <w:t xml:space="preserve">ante Porvenir </w:t>
      </w:r>
      <w:r w:rsidR="00965687" w:rsidRPr="00AE6CC4">
        <w:rPr>
          <w:rStyle w:val="normaltextrun"/>
          <w:rFonts w:cs="Tahoma"/>
          <w:szCs w:val="24"/>
        </w:rPr>
        <w:t xml:space="preserve">la documentación para </w:t>
      </w:r>
      <w:r w:rsidRPr="00AE6CC4">
        <w:rPr>
          <w:rStyle w:val="normaltextrun"/>
          <w:rFonts w:cs="Tahoma"/>
          <w:szCs w:val="24"/>
        </w:rPr>
        <w:t xml:space="preserve">el reconocimiento </w:t>
      </w:r>
      <w:r w:rsidR="00965687" w:rsidRPr="00AE6CC4">
        <w:rPr>
          <w:rStyle w:val="normaltextrun"/>
          <w:rFonts w:cs="Tahoma"/>
          <w:szCs w:val="24"/>
        </w:rPr>
        <w:t xml:space="preserve">y pago </w:t>
      </w:r>
      <w:r w:rsidRPr="00AE6CC4">
        <w:rPr>
          <w:rStyle w:val="normaltextrun"/>
          <w:rFonts w:cs="Tahoma"/>
          <w:szCs w:val="24"/>
        </w:rPr>
        <w:t>de su pensión de invalidez</w:t>
      </w:r>
      <w:r w:rsidR="00AD21F0" w:rsidRPr="00AE6CC4">
        <w:rPr>
          <w:rStyle w:val="normaltextrun"/>
          <w:rFonts w:cs="Tahoma"/>
          <w:szCs w:val="24"/>
        </w:rPr>
        <w:t>, la cual fue concedida por esa entidad a partir del febrero de 2019, en cuantía de $1.66</w:t>
      </w:r>
      <w:r w:rsidR="00F674D4" w:rsidRPr="00AE6CC4">
        <w:rPr>
          <w:rStyle w:val="normaltextrun"/>
          <w:rFonts w:cs="Tahoma"/>
          <w:szCs w:val="24"/>
        </w:rPr>
        <w:t>6.</w:t>
      </w:r>
      <w:r w:rsidR="00AD21F0" w:rsidRPr="00AE6CC4">
        <w:rPr>
          <w:rStyle w:val="normaltextrun"/>
          <w:rFonts w:cs="Tahoma"/>
          <w:szCs w:val="24"/>
        </w:rPr>
        <w:t>720, más un retroactivo de $60.535.569, por las mesadas causadas entre el 10 de diciembre de 2015 y el mes de enero de 2019.</w:t>
      </w:r>
    </w:p>
    <w:p w14:paraId="75AA9798" w14:textId="2C868FB1" w:rsidR="00AD21F0" w:rsidRPr="00AE6CC4" w:rsidRDefault="00AD21F0" w:rsidP="00AE6CC4">
      <w:pPr>
        <w:spacing w:line="276" w:lineRule="auto"/>
        <w:ind w:firstLine="708"/>
        <w:rPr>
          <w:rStyle w:val="normaltextrun"/>
          <w:rFonts w:cs="Tahoma"/>
          <w:szCs w:val="24"/>
        </w:rPr>
      </w:pPr>
    </w:p>
    <w:p w14:paraId="41433B50" w14:textId="41D7E3C8" w:rsidR="00AD21F0" w:rsidRPr="00AE6CC4" w:rsidRDefault="00AD21F0" w:rsidP="00AE6CC4">
      <w:pPr>
        <w:spacing w:line="276" w:lineRule="auto"/>
        <w:ind w:firstLine="708"/>
        <w:rPr>
          <w:rStyle w:val="normaltextrun"/>
          <w:rFonts w:cs="Tahoma"/>
          <w:szCs w:val="24"/>
        </w:rPr>
      </w:pPr>
      <w:r w:rsidRPr="00AE6CC4">
        <w:rPr>
          <w:rStyle w:val="normaltextrun"/>
          <w:rFonts w:cs="Tahoma"/>
          <w:szCs w:val="24"/>
        </w:rPr>
        <w:t xml:space="preserve">Por último, señala que solicitó ante Porvenir el pago de las mesadas causadas entre la fecha de la estructuración de la invalidez, </w:t>
      </w:r>
      <w:r w:rsidR="00C572E9" w:rsidRPr="00AE6CC4">
        <w:rPr>
          <w:rStyle w:val="normaltextrun"/>
          <w:rFonts w:cs="Tahoma"/>
          <w:szCs w:val="24"/>
        </w:rPr>
        <w:t>28 de abril de 2009, y el 30 de diciembre de 2015, así como los intereses moratorios enmarcados en el artículo 141 de la Ley 100 de 1993, lo cual fue denegado por dicha AFP bajo el argumento de que las me</w:t>
      </w:r>
      <w:r w:rsidR="00AE6234" w:rsidRPr="00AE6CC4">
        <w:rPr>
          <w:rStyle w:val="normaltextrun"/>
          <w:rFonts w:cs="Tahoma"/>
          <w:szCs w:val="24"/>
        </w:rPr>
        <w:t xml:space="preserve">nsualidades </w:t>
      </w:r>
      <w:r w:rsidR="00C572E9" w:rsidRPr="00AE6CC4">
        <w:rPr>
          <w:rStyle w:val="normaltextrun"/>
          <w:rFonts w:cs="Tahoma"/>
          <w:szCs w:val="24"/>
        </w:rPr>
        <w:t>requeridas se vieron afectadas por el fenómeno de la prescripción y, además, no había lugar al pago de intereses moratorios por cuanto dicha entidad reconoció la gracia pensional oportunamente.</w:t>
      </w:r>
    </w:p>
    <w:p w14:paraId="710088ED" w14:textId="78278EDF" w:rsidR="00790DA9" w:rsidRPr="00AE6CC4" w:rsidRDefault="00AD21F0" w:rsidP="00AE6CC4">
      <w:pPr>
        <w:spacing w:line="276" w:lineRule="auto"/>
        <w:ind w:firstLine="708"/>
        <w:rPr>
          <w:rFonts w:cs="Tahoma"/>
          <w:szCs w:val="24"/>
        </w:rPr>
      </w:pPr>
      <w:r w:rsidRPr="00AE6CC4">
        <w:rPr>
          <w:rStyle w:val="normaltextrun"/>
          <w:rFonts w:cs="Tahoma"/>
          <w:szCs w:val="24"/>
        </w:rPr>
        <w:t xml:space="preserve"> </w:t>
      </w:r>
    </w:p>
    <w:p w14:paraId="00885CE6" w14:textId="4C74BA62" w:rsidR="002A4C14" w:rsidRPr="00AE6CC4" w:rsidRDefault="00450952" w:rsidP="00AE6CC4">
      <w:pPr>
        <w:spacing w:line="276" w:lineRule="auto"/>
        <w:ind w:firstLine="708"/>
        <w:rPr>
          <w:rStyle w:val="normaltextrun"/>
          <w:rFonts w:cs="Tahoma"/>
          <w:szCs w:val="24"/>
        </w:rPr>
      </w:pPr>
      <w:r w:rsidRPr="00AE6CC4">
        <w:rPr>
          <w:rStyle w:val="normaltextrun"/>
          <w:rFonts w:cs="Tahoma"/>
          <w:b/>
          <w:bCs/>
          <w:szCs w:val="24"/>
        </w:rPr>
        <w:t>Porvenir S.A.</w:t>
      </w:r>
      <w:r w:rsidR="00790DA9" w:rsidRPr="00AE6CC4">
        <w:rPr>
          <w:rStyle w:val="normaltextrun"/>
          <w:rFonts w:cs="Tahoma"/>
          <w:szCs w:val="24"/>
        </w:rPr>
        <w:t xml:space="preserve"> </w:t>
      </w:r>
      <w:r w:rsidR="00FF6DD0" w:rsidRPr="00AE6CC4">
        <w:rPr>
          <w:rStyle w:val="normaltextrun"/>
          <w:rFonts w:cs="Tahoma"/>
          <w:szCs w:val="24"/>
        </w:rPr>
        <w:t>se opuso</w:t>
      </w:r>
      <w:r w:rsidR="00790DA9" w:rsidRPr="00AE6CC4">
        <w:rPr>
          <w:rStyle w:val="normaltextrun"/>
          <w:rFonts w:cs="Tahoma"/>
          <w:szCs w:val="24"/>
        </w:rPr>
        <w:t xml:space="preserve"> a las pretensiones </w:t>
      </w:r>
      <w:r w:rsidR="00871F44" w:rsidRPr="00AE6CC4">
        <w:rPr>
          <w:rStyle w:val="normaltextrun"/>
          <w:rFonts w:cs="Tahoma"/>
          <w:szCs w:val="24"/>
        </w:rPr>
        <w:t xml:space="preserve">aduciendo </w:t>
      </w:r>
      <w:r w:rsidRPr="00AE6CC4">
        <w:rPr>
          <w:rStyle w:val="normaltextrun"/>
          <w:rFonts w:cs="Tahoma"/>
          <w:szCs w:val="24"/>
        </w:rPr>
        <w:t>que</w:t>
      </w:r>
      <w:r w:rsidR="003D1994" w:rsidRPr="00AE6CC4">
        <w:rPr>
          <w:rStyle w:val="normaltextrun"/>
          <w:rFonts w:cs="Tahoma"/>
          <w:szCs w:val="24"/>
        </w:rPr>
        <w:t xml:space="preserve">, de conformidad con el artículo 488 del </w:t>
      </w:r>
      <w:r w:rsidR="002A4C14" w:rsidRPr="00AE6CC4">
        <w:rPr>
          <w:rStyle w:val="normaltextrun"/>
          <w:rFonts w:cs="Tahoma"/>
          <w:szCs w:val="24"/>
        </w:rPr>
        <w:t xml:space="preserve">Código Sustantivo del Trabajo, los derechos laborales prescriben en un término de 3 años, por </w:t>
      </w:r>
      <w:r w:rsidR="00AE6234" w:rsidRPr="00AE6CC4">
        <w:rPr>
          <w:rStyle w:val="normaltextrun"/>
          <w:rFonts w:cs="Tahoma"/>
          <w:szCs w:val="24"/>
        </w:rPr>
        <w:t>lo que</w:t>
      </w:r>
      <w:r w:rsidR="002A4C14" w:rsidRPr="00AE6CC4">
        <w:rPr>
          <w:rStyle w:val="normaltextrun"/>
          <w:rFonts w:cs="Tahoma"/>
          <w:szCs w:val="24"/>
        </w:rPr>
        <w:t xml:space="preserve"> las mesadas pensionales generadas desde el 28 de abril de 2009 hasta el 9 de</w:t>
      </w:r>
      <w:r w:rsidR="00AE6234" w:rsidRPr="00AE6CC4">
        <w:rPr>
          <w:rStyle w:val="normaltextrun"/>
          <w:rFonts w:cs="Tahoma"/>
          <w:szCs w:val="24"/>
        </w:rPr>
        <w:t xml:space="preserve"> diciembre </w:t>
      </w:r>
      <w:r w:rsidR="002A4C14" w:rsidRPr="00AE6CC4">
        <w:rPr>
          <w:rStyle w:val="normaltextrun"/>
          <w:rFonts w:cs="Tahoma"/>
          <w:szCs w:val="24"/>
        </w:rPr>
        <w:t xml:space="preserve">de 2015 </w:t>
      </w:r>
      <w:r w:rsidR="00AE6234" w:rsidRPr="00AE6CC4">
        <w:rPr>
          <w:rStyle w:val="normaltextrun"/>
          <w:rFonts w:cs="Tahoma"/>
          <w:szCs w:val="24"/>
        </w:rPr>
        <w:t xml:space="preserve">se vieron afectadas por ese fenómeno, </w:t>
      </w:r>
      <w:r w:rsidR="009428FF" w:rsidRPr="00AE6CC4">
        <w:rPr>
          <w:rStyle w:val="normaltextrun"/>
          <w:rFonts w:cs="Tahoma"/>
          <w:szCs w:val="24"/>
        </w:rPr>
        <w:t xml:space="preserve">al haberse presentado la reclamación pensional el 10 de </w:t>
      </w:r>
      <w:r w:rsidR="00AE6234" w:rsidRPr="00AE6CC4">
        <w:rPr>
          <w:rStyle w:val="normaltextrun"/>
          <w:rFonts w:cs="Tahoma"/>
          <w:szCs w:val="24"/>
        </w:rPr>
        <w:t xml:space="preserve">diciembre </w:t>
      </w:r>
      <w:r w:rsidR="009428FF" w:rsidRPr="00AE6CC4">
        <w:rPr>
          <w:rStyle w:val="normaltextrun"/>
          <w:rFonts w:cs="Tahoma"/>
          <w:szCs w:val="24"/>
        </w:rPr>
        <w:t>de 2018,</w:t>
      </w:r>
      <w:r w:rsidR="002A4C14" w:rsidRPr="00AE6CC4">
        <w:rPr>
          <w:rStyle w:val="normaltextrun"/>
          <w:rFonts w:cs="Tahoma"/>
          <w:szCs w:val="24"/>
        </w:rPr>
        <w:t xml:space="preserve"> por la cual reconoció el retroactivo pensional al demandante a partir del 10 de </w:t>
      </w:r>
      <w:r w:rsidR="00AE6234" w:rsidRPr="00AE6CC4">
        <w:rPr>
          <w:rStyle w:val="normaltextrun"/>
          <w:rFonts w:cs="Tahoma"/>
          <w:szCs w:val="24"/>
        </w:rPr>
        <w:t xml:space="preserve">diciembre </w:t>
      </w:r>
      <w:r w:rsidR="002A4C14" w:rsidRPr="00AE6CC4">
        <w:rPr>
          <w:rStyle w:val="normaltextrun"/>
          <w:rFonts w:cs="Tahoma"/>
          <w:szCs w:val="24"/>
        </w:rPr>
        <w:t>de 2015.</w:t>
      </w:r>
      <w:r w:rsidR="006C05EA" w:rsidRPr="00AE6CC4">
        <w:rPr>
          <w:rStyle w:val="normaltextrun"/>
          <w:rFonts w:cs="Tahoma"/>
          <w:szCs w:val="24"/>
        </w:rPr>
        <w:t xml:space="preserve"> </w:t>
      </w:r>
      <w:r w:rsidR="009428FF" w:rsidRPr="00AE6CC4">
        <w:rPr>
          <w:rStyle w:val="normaltextrun"/>
          <w:rFonts w:cs="Tahoma"/>
          <w:szCs w:val="24"/>
        </w:rPr>
        <w:t xml:space="preserve">Por otra parte, indicó que a Porvenir no le asistía obligación alguna respecto del demandante por cuanto él se encontraba pensionado bajo la modalidad de renta vitalicia con la aseguradora Seguros de Vida Alfa S.A., sociedad a la que trasladó la </w:t>
      </w:r>
      <w:r w:rsidR="009428FF" w:rsidRPr="00AE6CC4">
        <w:rPr>
          <w:rStyle w:val="normaltextrun"/>
          <w:rFonts w:cs="Tahoma"/>
          <w:szCs w:val="24"/>
        </w:rPr>
        <w:lastRenderedPageBreak/>
        <w:t>totalidad de dineros depositados en su cuenta de ahorro individual</w:t>
      </w:r>
      <w:r w:rsidR="006C05EA" w:rsidRPr="00AE6CC4">
        <w:rPr>
          <w:rStyle w:val="normaltextrun"/>
          <w:rFonts w:cs="Tahoma"/>
          <w:szCs w:val="24"/>
        </w:rPr>
        <w:t xml:space="preserve">, </w:t>
      </w:r>
      <w:r w:rsidR="00AE6234" w:rsidRPr="00AE6CC4">
        <w:rPr>
          <w:rStyle w:val="normaltextrun"/>
          <w:rFonts w:cs="Tahoma"/>
          <w:szCs w:val="24"/>
        </w:rPr>
        <w:t xml:space="preserve">siendo esta </w:t>
      </w:r>
      <w:r w:rsidR="006C05EA" w:rsidRPr="00AE6CC4">
        <w:rPr>
          <w:rStyle w:val="normaltextrun"/>
          <w:rFonts w:cs="Tahoma"/>
          <w:szCs w:val="24"/>
        </w:rPr>
        <w:t>quien debía responder por lo pretendido por el actor, en caso de no operar la prescripción.</w:t>
      </w:r>
    </w:p>
    <w:p w14:paraId="4213AB70" w14:textId="7612F116" w:rsidR="00450952" w:rsidRPr="00AE6CC4" w:rsidRDefault="00450952" w:rsidP="00AE6CC4">
      <w:pPr>
        <w:spacing w:line="276" w:lineRule="auto"/>
        <w:ind w:firstLine="708"/>
        <w:rPr>
          <w:rStyle w:val="normaltextrun"/>
          <w:rFonts w:cs="Tahoma"/>
          <w:szCs w:val="24"/>
        </w:rPr>
      </w:pPr>
    </w:p>
    <w:p w14:paraId="2D8903B9" w14:textId="7B591DAD" w:rsidR="006C05EA" w:rsidRPr="00AE6CC4" w:rsidRDefault="006C05EA" w:rsidP="00AE6CC4">
      <w:pPr>
        <w:spacing w:line="276" w:lineRule="auto"/>
        <w:ind w:firstLine="708"/>
        <w:rPr>
          <w:rFonts w:cs="Tahoma"/>
          <w:szCs w:val="24"/>
        </w:rPr>
      </w:pPr>
      <w:r w:rsidRPr="00AE6CC4">
        <w:rPr>
          <w:rStyle w:val="normaltextrun"/>
          <w:rFonts w:cs="Tahoma"/>
          <w:szCs w:val="24"/>
        </w:rPr>
        <w:t>En ese orden de ideas, propuso como excepciones de mérito las que denominó “</w:t>
      </w:r>
      <w:r w:rsidR="00F76ED3" w:rsidRPr="00AE6CC4">
        <w:rPr>
          <w:rFonts w:cs="Tahoma"/>
          <w:szCs w:val="24"/>
        </w:rPr>
        <w:t>Inexistencia de</w:t>
      </w:r>
      <w:r w:rsidRPr="00AE6CC4">
        <w:rPr>
          <w:rFonts w:cs="Tahoma"/>
          <w:szCs w:val="24"/>
        </w:rPr>
        <w:t xml:space="preserve"> la obligación, cobro de lo no debido, ausencia de derecho sustantivo y responsabilidad de un tercero”; “Pago”; “Compensación”; “Buena fe” y, “Prescripción”.</w:t>
      </w:r>
    </w:p>
    <w:p w14:paraId="6F817E7F" w14:textId="55DEC9EB" w:rsidR="006C05EA" w:rsidRPr="00AE6CC4" w:rsidRDefault="006C05EA" w:rsidP="00AE6CC4">
      <w:pPr>
        <w:spacing w:line="276" w:lineRule="auto"/>
        <w:ind w:firstLine="708"/>
        <w:rPr>
          <w:rFonts w:cs="Tahoma"/>
          <w:szCs w:val="24"/>
        </w:rPr>
      </w:pPr>
    </w:p>
    <w:p w14:paraId="0087F68E" w14:textId="07B771FA" w:rsidR="00400519" w:rsidRPr="00AE6CC4" w:rsidRDefault="006C05EA" w:rsidP="00AE6CC4">
      <w:pPr>
        <w:spacing w:line="276" w:lineRule="auto"/>
        <w:ind w:firstLine="708"/>
        <w:rPr>
          <w:rFonts w:cs="Tahoma"/>
          <w:szCs w:val="24"/>
        </w:rPr>
      </w:pPr>
      <w:r w:rsidRPr="00AE6CC4">
        <w:rPr>
          <w:rFonts w:cs="Tahoma"/>
          <w:szCs w:val="24"/>
        </w:rPr>
        <w:t xml:space="preserve">Una vez fue integrada al contradictorio, Seguros de Vida Alfa S.A. pidió que se negaran los pedidos del señor Zurita Ayala, lo cual sustentó en </w:t>
      </w:r>
      <w:r w:rsidR="00F76ED3" w:rsidRPr="00AE6CC4">
        <w:rPr>
          <w:rFonts w:cs="Tahoma"/>
          <w:szCs w:val="24"/>
        </w:rPr>
        <w:t xml:space="preserve">los mismos argumentos de Porvenir S.A., esto es, que la prescripción afectó las mesadas causadas entre el </w:t>
      </w:r>
      <w:r w:rsidR="00F76ED3" w:rsidRPr="00AE6CC4">
        <w:rPr>
          <w:rStyle w:val="normaltextrun"/>
          <w:rFonts w:cs="Tahoma"/>
          <w:szCs w:val="24"/>
        </w:rPr>
        <w:t>28 de abril de 2009 hasta el 9 de abril de 2015; aunado al hecho de que, al haberse negado el retroactivo con fundamento en las disposiciones legales, no había lugar a emitir condena por intereses moratorios ni a la indexación.</w:t>
      </w:r>
    </w:p>
    <w:p w14:paraId="00B64F6C" w14:textId="77777777" w:rsidR="006F38AF" w:rsidRPr="00AE6CC4" w:rsidRDefault="006F38AF" w:rsidP="00AE6CC4">
      <w:pPr>
        <w:spacing w:line="276" w:lineRule="auto"/>
        <w:rPr>
          <w:rFonts w:cs="Tahoma"/>
          <w:b/>
          <w:bCs/>
          <w:szCs w:val="24"/>
        </w:rPr>
      </w:pPr>
    </w:p>
    <w:p w14:paraId="2FF3E5FC" w14:textId="77777777" w:rsidR="00790DA9" w:rsidRPr="00AE6CC4" w:rsidRDefault="00790DA9" w:rsidP="00AE6CC4">
      <w:pPr>
        <w:pStyle w:val="Prrafodelista"/>
        <w:numPr>
          <w:ilvl w:val="0"/>
          <w:numId w:val="1"/>
        </w:numPr>
        <w:spacing w:line="276" w:lineRule="auto"/>
        <w:ind w:left="426" w:hanging="426"/>
        <w:jc w:val="center"/>
        <w:rPr>
          <w:rFonts w:cs="Tahoma"/>
          <w:b/>
          <w:bCs/>
          <w:szCs w:val="24"/>
        </w:rPr>
      </w:pPr>
      <w:r w:rsidRPr="00AE6CC4">
        <w:rPr>
          <w:rFonts w:cs="Tahoma"/>
          <w:b/>
          <w:bCs/>
          <w:szCs w:val="24"/>
        </w:rPr>
        <w:t>Sentencia de primera instancia</w:t>
      </w:r>
    </w:p>
    <w:p w14:paraId="3ACAB8F5" w14:textId="77777777" w:rsidR="00790DA9" w:rsidRPr="00AE6CC4" w:rsidRDefault="00790DA9" w:rsidP="00AE6CC4">
      <w:pPr>
        <w:spacing w:line="276" w:lineRule="auto"/>
        <w:ind w:left="360"/>
        <w:rPr>
          <w:rFonts w:cs="Tahoma"/>
          <w:b/>
          <w:bCs/>
          <w:szCs w:val="24"/>
        </w:rPr>
      </w:pPr>
    </w:p>
    <w:p w14:paraId="53922389" w14:textId="75FE63EB" w:rsidR="00AE6234" w:rsidRPr="00AE6CC4" w:rsidRDefault="00790DA9" w:rsidP="00AE6CC4">
      <w:pPr>
        <w:spacing w:line="276" w:lineRule="auto"/>
        <w:ind w:firstLine="360"/>
        <w:rPr>
          <w:rFonts w:cs="Tahoma"/>
          <w:szCs w:val="24"/>
        </w:rPr>
      </w:pPr>
      <w:r w:rsidRPr="00AE6CC4">
        <w:rPr>
          <w:rFonts w:cs="Tahoma"/>
          <w:szCs w:val="24"/>
        </w:rPr>
        <w:t>La Jueza de primera instanci</w:t>
      </w:r>
      <w:r w:rsidR="00085698" w:rsidRPr="00AE6CC4">
        <w:rPr>
          <w:rFonts w:cs="Tahoma"/>
          <w:szCs w:val="24"/>
        </w:rPr>
        <w:t xml:space="preserve">a declaró no probadas las excepciones de </w:t>
      </w:r>
      <w:r w:rsidR="00891E64" w:rsidRPr="00AE6CC4">
        <w:rPr>
          <w:rFonts w:cs="Tahoma"/>
          <w:szCs w:val="24"/>
        </w:rPr>
        <w:t>mérito propuestas</w:t>
      </w:r>
      <w:r w:rsidR="00085698" w:rsidRPr="00AE6CC4">
        <w:rPr>
          <w:rFonts w:cs="Tahoma"/>
          <w:szCs w:val="24"/>
        </w:rPr>
        <w:t xml:space="preserve"> por la parte demandada,</w:t>
      </w:r>
      <w:r w:rsidR="00AE6234" w:rsidRPr="00AE6CC4">
        <w:rPr>
          <w:rFonts w:cs="Tahoma"/>
          <w:szCs w:val="24"/>
        </w:rPr>
        <w:t xml:space="preserve"> salvo</w:t>
      </w:r>
      <w:r w:rsidR="00085698" w:rsidRPr="00AE6CC4">
        <w:rPr>
          <w:rFonts w:cs="Tahoma"/>
          <w:szCs w:val="24"/>
        </w:rPr>
        <w:t xml:space="preserve"> la denominada “responsabilidad de un tercero”, enfilada por Porvenir S.A.</w:t>
      </w:r>
      <w:r w:rsidR="00BD27C1" w:rsidRPr="00AE6CC4">
        <w:rPr>
          <w:rFonts w:cs="Tahoma"/>
          <w:szCs w:val="24"/>
        </w:rPr>
        <w:t xml:space="preserve"> En consecuencia, determinó que </w:t>
      </w:r>
      <w:r w:rsidR="00085698" w:rsidRPr="00AE6CC4">
        <w:rPr>
          <w:rFonts w:cs="Tahoma"/>
          <w:szCs w:val="24"/>
        </w:rPr>
        <w:t>a</w:t>
      </w:r>
      <w:r w:rsidR="00BD27C1" w:rsidRPr="00AE6CC4">
        <w:rPr>
          <w:rFonts w:cs="Tahoma"/>
          <w:szCs w:val="24"/>
        </w:rPr>
        <w:t xml:space="preserve"> Miguel Ángel Zurita Ayala </w:t>
      </w:r>
      <w:r w:rsidR="00085698" w:rsidRPr="00AE6CC4">
        <w:rPr>
          <w:rFonts w:cs="Tahoma"/>
          <w:szCs w:val="24"/>
        </w:rPr>
        <w:t>le asiste el derecho a que</w:t>
      </w:r>
      <w:r w:rsidR="00BD27C1" w:rsidRPr="00AE6CC4">
        <w:rPr>
          <w:rFonts w:cs="Tahoma"/>
          <w:szCs w:val="24"/>
        </w:rPr>
        <w:t xml:space="preserve"> Seguros de Vida Alfa S.A</w:t>
      </w:r>
      <w:r w:rsidR="00085698" w:rsidRPr="00AE6CC4">
        <w:rPr>
          <w:rFonts w:cs="Tahoma"/>
          <w:szCs w:val="24"/>
        </w:rPr>
        <w:t>.</w:t>
      </w:r>
      <w:r w:rsidR="00D754EC" w:rsidRPr="00AE6CC4">
        <w:rPr>
          <w:rFonts w:cs="Tahoma"/>
          <w:szCs w:val="24"/>
        </w:rPr>
        <w:t xml:space="preserve"> le </w:t>
      </w:r>
      <w:r w:rsidR="00085698" w:rsidRPr="00AE6CC4">
        <w:rPr>
          <w:rFonts w:cs="Tahoma"/>
          <w:szCs w:val="24"/>
        </w:rPr>
        <w:t>reconozca</w:t>
      </w:r>
      <w:r w:rsidR="00BE0D79" w:rsidRPr="00AE6CC4">
        <w:rPr>
          <w:rFonts w:cs="Tahoma"/>
          <w:szCs w:val="24"/>
        </w:rPr>
        <w:t xml:space="preserve"> </w:t>
      </w:r>
      <w:r w:rsidR="002D0846" w:rsidRPr="00AE6CC4">
        <w:rPr>
          <w:rFonts w:cs="Tahoma"/>
          <w:szCs w:val="24"/>
        </w:rPr>
        <w:t>y pague el retroactivo</w:t>
      </w:r>
      <w:r w:rsidR="00085698" w:rsidRPr="00AE6CC4">
        <w:rPr>
          <w:rFonts w:cs="Tahoma"/>
          <w:szCs w:val="24"/>
        </w:rPr>
        <w:t xml:space="preserve"> pensional causado desde el</w:t>
      </w:r>
      <w:r w:rsidR="00D754EC" w:rsidRPr="00AE6CC4">
        <w:rPr>
          <w:rFonts w:cs="Tahoma"/>
          <w:szCs w:val="24"/>
        </w:rPr>
        <w:t xml:space="preserve"> </w:t>
      </w:r>
      <w:r w:rsidR="00085698" w:rsidRPr="00AE6CC4">
        <w:rPr>
          <w:rFonts w:cs="Tahoma"/>
          <w:szCs w:val="24"/>
        </w:rPr>
        <w:t>28 de abril de 2009 hasta el 9 de diciembre de 2015</w:t>
      </w:r>
      <w:r w:rsidR="00D754EC" w:rsidRPr="00AE6CC4">
        <w:rPr>
          <w:rFonts w:cs="Tahoma"/>
          <w:szCs w:val="24"/>
        </w:rPr>
        <w:t xml:space="preserve">, </w:t>
      </w:r>
      <w:r w:rsidR="002D0846" w:rsidRPr="00AE6CC4">
        <w:rPr>
          <w:rFonts w:cs="Tahoma"/>
          <w:szCs w:val="24"/>
        </w:rPr>
        <w:t>el cual asciende</w:t>
      </w:r>
      <w:r w:rsidR="00085698" w:rsidRPr="00AE6CC4">
        <w:rPr>
          <w:rFonts w:cs="Tahoma"/>
          <w:szCs w:val="24"/>
        </w:rPr>
        <w:t xml:space="preserve"> a</w:t>
      </w:r>
      <w:r w:rsidR="00891E64" w:rsidRPr="00AE6CC4">
        <w:rPr>
          <w:rFonts w:cs="Tahoma"/>
          <w:szCs w:val="24"/>
        </w:rPr>
        <w:t xml:space="preserve"> </w:t>
      </w:r>
      <w:r w:rsidR="00085698" w:rsidRPr="00AE6CC4">
        <w:rPr>
          <w:rFonts w:cs="Tahoma"/>
          <w:szCs w:val="24"/>
        </w:rPr>
        <w:t>$98.231.191</w:t>
      </w:r>
      <w:r w:rsidR="00AE6234" w:rsidRPr="00AE6CC4">
        <w:rPr>
          <w:rFonts w:cs="Tahoma"/>
          <w:szCs w:val="24"/>
        </w:rPr>
        <w:t>;</w:t>
      </w:r>
      <w:r w:rsidR="00891E64" w:rsidRPr="00AE6CC4">
        <w:rPr>
          <w:rFonts w:cs="Tahoma"/>
          <w:szCs w:val="24"/>
        </w:rPr>
        <w:t xml:space="preserve"> monto respecto del cual estaba autorizada a descontar </w:t>
      </w:r>
      <w:r w:rsidR="00085698" w:rsidRPr="00AE6CC4">
        <w:rPr>
          <w:rFonts w:cs="Tahoma"/>
          <w:szCs w:val="24"/>
        </w:rPr>
        <w:t>el 12% correspondiente</w:t>
      </w:r>
      <w:r w:rsidR="00891E64" w:rsidRPr="00AE6CC4">
        <w:rPr>
          <w:rFonts w:cs="Tahoma"/>
          <w:szCs w:val="24"/>
        </w:rPr>
        <w:t xml:space="preserve"> </w:t>
      </w:r>
      <w:r w:rsidR="00085698" w:rsidRPr="00AE6CC4">
        <w:rPr>
          <w:rFonts w:cs="Tahoma"/>
          <w:szCs w:val="24"/>
        </w:rPr>
        <w:t>al sistema de salud.</w:t>
      </w:r>
      <w:r w:rsidR="00B9013D" w:rsidRPr="00AE6CC4">
        <w:rPr>
          <w:rFonts w:cs="Tahoma"/>
          <w:szCs w:val="24"/>
        </w:rPr>
        <w:t xml:space="preserve"> </w:t>
      </w:r>
    </w:p>
    <w:p w14:paraId="08BAB04C" w14:textId="77777777" w:rsidR="00AE6234" w:rsidRPr="00AE6CC4" w:rsidRDefault="00AE6234" w:rsidP="00AE6CC4">
      <w:pPr>
        <w:spacing w:line="276" w:lineRule="auto"/>
        <w:ind w:firstLine="360"/>
        <w:rPr>
          <w:rFonts w:cs="Tahoma"/>
          <w:szCs w:val="24"/>
        </w:rPr>
      </w:pPr>
    </w:p>
    <w:p w14:paraId="451C1A52" w14:textId="0B455A89" w:rsidR="00B9013D" w:rsidRPr="00AE6CC4" w:rsidRDefault="00B9013D" w:rsidP="00AE6CC4">
      <w:pPr>
        <w:spacing w:line="276" w:lineRule="auto"/>
        <w:ind w:firstLine="360"/>
        <w:rPr>
          <w:rFonts w:cs="Tahoma"/>
          <w:szCs w:val="24"/>
        </w:rPr>
      </w:pPr>
      <w:r w:rsidRPr="00AE6CC4">
        <w:rPr>
          <w:rFonts w:cs="Tahoma"/>
          <w:szCs w:val="24"/>
        </w:rPr>
        <w:t xml:space="preserve">Asimismo, condenó a Porvenir S.A. a pagar </w:t>
      </w:r>
      <w:r w:rsidR="00EE681B" w:rsidRPr="00AE6CC4">
        <w:rPr>
          <w:rFonts w:cs="Tahoma"/>
          <w:szCs w:val="24"/>
        </w:rPr>
        <w:t>los intereses moratorios de que trata</w:t>
      </w:r>
      <w:r w:rsidRPr="00AE6CC4">
        <w:rPr>
          <w:rFonts w:cs="Tahoma"/>
          <w:szCs w:val="24"/>
        </w:rPr>
        <w:t xml:space="preserve"> </w:t>
      </w:r>
      <w:r w:rsidR="00EE681B" w:rsidRPr="00AE6CC4">
        <w:rPr>
          <w:rFonts w:cs="Tahoma"/>
          <w:szCs w:val="24"/>
        </w:rPr>
        <w:t>el artículo 141</w:t>
      </w:r>
      <w:r w:rsidRPr="00AE6CC4">
        <w:rPr>
          <w:rFonts w:cs="Tahoma"/>
          <w:szCs w:val="24"/>
        </w:rPr>
        <w:t xml:space="preserve"> de la Ley 100 de 1993, a partir del 10 de abril de 2016 hasta el 24 de febrero de 2019</w:t>
      </w:r>
      <w:r w:rsidR="00AE6234" w:rsidRPr="00AE6CC4">
        <w:rPr>
          <w:rFonts w:cs="Tahoma"/>
          <w:szCs w:val="24"/>
        </w:rPr>
        <w:t xml:space="preserve"> y, p</w:t>
      </w:r>
      <w:r w:rsidR="00891E64" w:rsidRPr="00AE6CC4">
        <w:rPr>
          <w:rFonts w:cs="Tahoma"/>
          <w:szCs w:val="24"/>
        </w:rPr>
        <w:t xml:space="preserve">or otra parte, condenó </w:t>
      </w:r>
      <w:r w:rsidR="00085698" w:rsidRPr="00AE6CC4">
        <w:rPr>
          <w:rFonts w:cs="Tahoma"/>
          <w:szCs w:val="24"/>
        </w:rPr>
        <w:t>a</w:t>
      </w:r>
      <w:r w:rsidR="00891E64" w:rsidRPr="00AE6CC4">
        <w:rPr>
          <w:rFonts w:cs="Tahoma"/>
          <w:szCs w:val="24"/>
        </w:rPr>
        <w:t xml:space="preserve"> Seguros de Vida Alfa</w:t>
      </w:r>
      <w:r w:rsidR="00085698" w:rsidRPr="00AE6CC4">
        <w:rPr>
          <w:rFonts w:cs="Tahoma"/>
          <w:szCs w:val="24"/>
        </w:rPr>
        <w:t xml:space="preserve"> S.A.</w:t>
      </w:r>
      <w:r w:rsidR="00891E64" w:rsidRPr="00AE6CC4">
        <w:rPr>
          <w:rFonts w:cs="Tahoma"/>
          <w:szCs w:val="24"/>
        </w:rPr>
        <w:t xml:space="preserve"> </w:t>
      </w:r>
      <w:r w:rsidR="00085698" w:rsidRPr="00AE6CC4">
        <w:rPr>
          <w:rFonts w:cs="Tahoma"/>
          <w:szCs w:val="24"/>
        </w:rPr>
        <w:t>a</w:t>
      </w:r>
      <w:r w:rsidR="00891E64" w:rsidRPr="00AE6CC4">
        <w:rPr>
          <w:rFonts w:cs="Tahoma"/>
          <w:szCs w:val="24"/>
        </w:rPr>
        <w:t xml:space="preserve"> </w:t>
      </w:r>
      <w:r w:rsidR="00AE6234" w:rsidRPr="00AE6CC4">
        <w:rPr>
          <w:rFonts w:cs="Tahoma"/>
          <w:szCs w:val="24"/>
        </w:rPr>
        <w:t xml:space="preserve">cancelar </w:t>
      </w:r>
      <w:r w:rsidR="00085698" w:rsidRPr="00AE6CC4">
        <w:rPr>
          <w:rFonts w:cs="Tahoma"/>
          <w:szCs w:val="24"/>
        </w:rPr>
        <w:t>a</w:t>
      </w:r>
      <w:r w:rsidR="00891E64" w:rsidRPr="00AE6CC4">
        <w:rPr>
          <w:rFonts w:cs="Tahoma"/>
          <w:szCs w:val="24"/>
        </w:rPr>
        <w:t xml:space="preserve">l actor la </w:t>
      </w:r>
      <w:r w:rsidR="00085698" w:rsidRPr="00AE6CC4">
        <w:rPr>
          <w:rFonts w:cs="Tahoma"/>
          <w:szCs w:val="24"/>
        </w:rPr>
        <w:t xml:space="preserve">indexación sobre el retroactivo </w:t>
      </w:r>
      <w:r w:rsidRPr="00AE6CC4">
        <w:rPr>
          <w:rFonts w:cs="Tahoma"/>
          <w:szCs w:val="24"/>
        </w:rPr>
        <w:t xml:space="preserve">causado entre el </w:t>
      </w:r>
      <w:r w:rsidR="00085698" w:rsidRPr="00AE6CC4">
        <w:rPr>
          <w:rFonts w:cs="Tahoma"/>
          <w:szCs w:val="24"/>
        </w:rPr>
        <w:t xml:space="preserve">10 de diciembre de 2015 </w:t>
      </w:r>
      <w:r w:rsidRPr="00AE6CC4">
        <w:rPr>
          <w:rFonts w:cs="Tahoma"/>
          <w:szCs w:val="24"/>
        </w:rPr>
        <w:t>y el</w:t>
      </w:r>
      <w:r w:rsidR="00085698" w:rsidRPr="00AE6CC4">
        <w:rPr>
          <w:rFonts w:cs="Tahoma"/>
          <w:szCs w:val="24"/>
        </w:rPr>
        <w:t xml:space="preserve"> 17 de enero de 2019</w:t>
      </w:r>
      <w:r w:rsidRPr="00AE6CC4">
        <w:rPr>
          <w:rFonts w:cs="Tahoma"/>
          <w:szCs w:val="24"/>
        </w:rPr>
        <w:t>.</w:t>
      </w:r>
    </w:p>
    <w:p w14:paraId="1110AEAB" w14:textId="77777777" w:rsidR="009D61AD" w:rsidRPr="00AE6CC4" w:rsidRDefault="009D61AD" w:rsidP="00AE6CC4">
      <w:pPr>
        <w:spacing w:line="276" w:lineRule="auto"/>
        <w:ind w:firstLine="360"/>
        <w:rPr>
          <w:rFonts w:cs="Tahoma"/>
          <w:szCs w:val="24"/>
        </w:rPr>
      </w:pPr>
    </w:p>
    <w:p w14:paraId="532736AF" w14:textId="49751265" w:rsidR="009D61AD" w:rsidRPr="00AE6CC4" w:rsidRDefault="009D61AD" w:rsidP="00AE6CC4">
      <w:pPr>
        <w:spacing w:line="276" w:lineRule="auto"/>
        <w:ind w:firstLine="360"/>
        <w:rPr>
          <w:rFonts w:cs="Tahoma"/>
          <w:szCs w:val="24"/>
        </w:rPr>
      </w:pPr>
      <w:r w:rsidRPr="00AE6CC4">
        <w:rPr>
          <w:rFonts w:cs="Tahoma"/>
          <w:szCs w:val="24"/>
        </w:rPr>
        <w:t xml:space="preserve">Por último, condenó en costas procesales a Porvenir S.A. y </w:t>
      </w:r>
      <w:r w:rsidR="00AE6234" w:rsidRPr="00AE6CC4">
        <w:rPr>
          <w:rFonts w:cs="Tahoma"/>
          <w:szCs w:val="24"/>
        </w:rPr>
        <w:t>Seguros de</w:t>
      </w:r>
      <w:r w:rsidRPr="00AE6CC4">
        <w:rPr>
          <w:rFonts w:cs="Tahoma"/>
          <w:szCs w:val="24"/>
        </w:rPr>
        <w:t xml:space="preserve"> </w:t>
      </w:r>
      <w:r w:rsidR="002D0846" w:rsidRPr="00AE6CC4">
        <w:rPr>
          <w:rFonts w:cs="Tahoma"/>
          <w:szCs w:val="24"/>
        </w:rPr>
        <w:t>Vida Alfa</w:t>
      </w:r>
      <w:r w:rsidRPr="00AE6CC4">
        <w:rPr>
          <w:rFonts w:cs="Tahoma"/>
          <w:szCs w:val="24"/>
        </w:rPr>
        <w:t xml:space="preserve"> S.A., a favor del demandante, en un 90 % de las causadas.</w:t>
      </w:r>
    </w:p>
    <w:p w14:paraId="1AC4598C" w14:textId="77777777" w:rsidR="00D01643" w:rsidRPr="00AE6CC4" w:rsidRDefault="00D01643" w:rsidP="00AE6CC4">
      <w:pPr>
        <w:spacing w:line="276" w:lineRule="auto"/>
        <w:ind w:firstLine="360"/>
        <w:rPr>
          <w:rFonts w:cs="Tahoma"/>
          <w:szCs w:val="24"/>
        </w:rPr>
      </w:pPr>
    </w:p>
    <w:p w14:paraId="2A4E2873" w14:textId="110A6D00" w:rsidR="001737EC" w:rsidRPr="00AE6CC4" w:rsidRDefault="00CF2B9B" w:rsidP="00AE6CC4">
      <w:pPr>
        <w:spacing w:line="276" w:lineRule="auto"/>
        <w:ind w:firstLine="360"/>
        <w:rPr>
          <w:rFonts w:cs="Tahoma"/>
          <w:szCs w:val="24"/>
        </w:rPr>
      </w:pPr>
      <w:r w:rsidRPr="00AE6CC4">
        <w:rPr>
          <w:rFonts w:cs="Tahoma"/>
          <w:szCs w:val="24"/>
        </w:rPr>
        <w:t xml:space="preserve">Para llegar a tal determinación la A-quo </w:t>
      </w:r>
      <w:r w:rsidR="009D61AD" w:rsidRPr="00AE6CC4">
        <w:rPr>
          <w:rFonts w:cs="Tahoma"/>
          <w:szCs w:val="24"/>
        </w:rPr>
        <w:t xml:space="preserve">consideró, en </w:t>
      </w:r>
      <w:r w:rsidR="00AE6234" w:rsidRPr="00AE6CC4">
        <w:rPr>
          <w:rFonts w:cs="Tahoma"/>
          <w:szCs w:val="24"/>
        </w:rPr>
        <w:t>síntesis</w:t>
      </w:r>
      <w:r w:rsidR="009D61AD" w:rsidRPr="00AE6CC4">
        <w:rPr>
          <w:rFonts w:cs="Tahoma"/>
          <w:szCs w:val="24"/>
        </w:rPr>
        <w:t xml:space="preserve">, que </w:t>
      </w:r>
      <w:r w:rsidR="00BB0B3D" w:rsidRPr="00AE6CC4">
        <w:rPr>
          <w:rFonts w:cs="Tahoma"/>
          <w:szCs w:val="24"/>
        </w:rPr>
        <w:t>al haberse presentado la reclamación pensional dentro de los tres años siguientes a l</w:t>
      </w:r>
      <w:r w:rsidR="00AE6234" w:rsidRPr="00AE6CC4">
        <w:rPr>
          <w:rFonts w:cs="Tahoma"/>
          <w:szCs w:val="24"/>
        </w:rPr>
        <w:t>a fecha</w:t>
      </w:r>
      <w:r w:rsidR="00BB0B3D" w:rsidRPr="00AE6CC4">
        <w:rPr>
          <w:rFonts w:cs="Tahoma"/>
          <w:szCs w:val="24"/>
        </w:rPr>
        <w:t xml:space="preserve"> en que quedó ejecutoriado el dictamen que determinó la pérdida de capacidad laboral del </w:t>
      </w:r>
      <w:r w:rsidR="00AE6234" w:rsidRPr="00AE6CC4">
        <w:rPr>
          <w:rFonts w:cs="Tahoma"/>
          <w:szCs w:val="24"/>
        </w:rPr>
        <w:t>demandante</w:t>
      </w:r>
      <w:r w:rsidR="00BB0B3D" w:rsidRPr="00AE6CC4">
        <w:rPr>
          <w:rFonts w:cs="Tahoma"/>
          <w:szCs w:val="24"/>
        </w:rPr>
        <w:t xml:space="preserve">, ninguna de las mesadas causadas desde la estructuración </w:t>
      </w:r>
      <w:r w:rsidR="00EE681B" w:rsidRPr="00AE6CC4">
        <w:rPr>
          <w:rFonts w:cs="Tahoma"/>
          <w:szCs w:val="24"/>
        </w:rPr>
        <w:t xml:space="preserve">de la invalidez </w:t>
      </w:r>
      <w:r w:rsidR="00BB0B3D" w:rsidRPr="00AE6CC4">
        <w:rPr>
          <w:rFonts w:cs="Tahoma"/>
          <w:szCs w:val="24"/>
        </w:rPr>
        <w:t>se vio afectada por la prescripción; correspondien</w:t>
      </w:r>
      <w:r w:rsidR="00AF4F18" w:rsidRPr="00AE6CC4">
        <w:rPr>
          <w:rFonts w:cs="Tahoma"/>
          <w:szCs w:val="24"/>
        </w:rPr>
        <w:t>do</w:t>
      </w:r>
      <w:r w:rsidR="00BB0B3D" w:rsidRPr="00AE6CC4">
        <w:rPr>
          <w:rFonts w:cs="Tahoma"/>
          <w:szCs w:val="24"/>
        </w:rPr>
        <w:t xml:space="preserve"> a Seguros de Vida Alfa S.A., sociedad que asumió el pago de la pensión de invalidez</w:t>
      </w:r>
      <w:r w:rsidR="00AF4F18" w:rsidRPr="00AE6CC4">
        <w:rPr>
          <w:rFonts w:cs="Tahoma"/>
          <w:szCs w:val="24"/>
        </w:rPr>
        <w:t xml:space="preserve">, cancelar el retroactivo generado desde el 28 de abril de 2009 hasta el 9 de </w:t>
      </w:r>
      <w:r w:rsidR="001737EC" w:rsidRPr="00AE6CC4">
        <w:rPr>
          <w:rFonts w:cs="Tahoma"/>
          <w:szCs w:val="24"/>
        </w:rPr>
        <w:t>diciembre</w:t>
      </w:r>
      <w:r w:rsidR="00AF4F18" w:rsidRPr="00AE6CC4">
        <w:rPr>
          <w:rFonts w:cs="Tahoma"/>
          <w:szCs w:val="24"/>
        </w:rPr>
        <w:t xml:space="preserve"> de 2015</w:t>
      </w:r>
      <w:r w:rsidR="001737EC" w:rsidRPr="00AE6CC4">
        <w:rPr>
          <w:rFonts w:cs="Tahoma"/>
          <w:szCs w:val="24"/>
        </w:rPr>
        <w:t>.</w:t>
      </w:r>
    </w:p>
    <w:p w14:paraId="2ADCB8B3" w14:textId="77777777" w:rsidR="001737EC" w:rsidRPr="00AE6CC4" w:rsidRDefault="001737EC" w:rsidP="00AE6CC4">
      <w:pPr>
        <w:spacing w:line="276" w:lineRule="auto"/>
        <w:ind w:firstLine="360"/>
        <w:rPr>
          <w:rFonts w:cs="Tahoma"/>
          <w:szCs w:val="24"/>
        </w:rPr>
      </w:pPr>
    </w:p>
    <w:p w14:paraId="4F520693" w14:textId="74FA56AB" w:rsidR="00841AD7" w:rsidRPr="00AE6CC4" w:rsidRDefault="001737EC" w:rsidP="00AE6CC4">
      <w:pPr>
        <w:spacing w:line="276" w:lineRule="auto"/>
        <w:ind w:firstLine="360"/>
        <w:rPr>
          <w:rFonts w:cs="Tahoma"/>
          <w:szCs w:val="24"/>
        </w:rPr>
      </w:pPr>
      <w:r w:rsidRPr="00AE6CC4">
        <w:rPr>
          <w:rFonts w:cs="Tahoma"/>
          <w:szCs w:val="24"/>
        </w:rPr>
        <w:t xml:space="preserve">En ese orden de ideas, aclaró </w:t>
      </w:r>
      <w:r w:rsidR="00DA05A1" w:rsidRPr="00AE6CC4">
        <w:rPr>
          <w:rFonts w:cs="Tahoma"/>
          <w:szCs w:val="24"/>
        </w:rPr>
        <w:t>que, al descontar el valor de las incapacidades pagadas al promotor del pleito en</w:t>
      </w:r>
      <w:r w:rsidRPr="00AE6CC4">
        <w:rPr>
          <w:rFonts w:cs="Tahoma"/>
          <w:szCs w:val="24"/>
        </w:rPr>
        <w:t>tre los años 2014 y 2015</w:t>
      </w:r>
      <w:r w:rsidR="00DA05A1" w:rsidRPr="00AE6CC4">
        <w:rPr>
          <w:rFonts w:cs="Tahoma"/>
          <w:szCs w:val="24"/>
        </w:rPr>
        <w:t xml:space="preserve"> </w:t>
      </w:r>
      <w:r w:rsidRPr="00AE6CC4">
        <w:rPr>
          <w:rFonts w:cs="Tahoma"/>
          <w:i/>
          <w:iCs/>
          <w:szCs w:val="24"/>
        </w:rPr>
        <w:t>-</w:t>
      </w:r>
      <w:r w:rsidR="00DA05A1" w:rsidRPr="00AE6CC4">
        <w:rPr>
          <w:rFonts w:cs="Tahoma"/>
          <w:i/>
          <w:iCs/>
          <w:szCs w:val="24"/>
        </w:rPr>
        <w:t>de conformidad con el certificado allegado al proceso por Coomeva EPS</w:t>
      </w:r>
      <w:r w:rsidRPr="00AE6CC4">
        <w:rPr>
          <w:rFonts w:cs="Tahoma"/>
          <w:i/>
          <w:iCs/>
          <w:szCs w:val="24"/>
        </w:rPr>
        <w:t>-</w:t>
      </w:r>
      <w:r w:rsidR="00DA05A1" w:rsidRPr="00AE6CC4">
        <w:rPr>
          <w:rFonts w:cs="Tahoma"/>
          <w:szCs w:val="24"/>
        </w:rPr>
        <w:t xml:space="preserve">, el monto adeudado </w:t>
      </w:r>
      <w:r w:rsidR="007B7977" w:rsidRPr="00AE6CC4">
        <w:rPr>
          <w:rFonts w:cs="Tahoma"/>
          <w:szCs w:val="24"/>
        </w:rPr>
        <w:t xml:space="preserve">por Porvenir S.A. </w:t>
      </w:r>
      <w:r w:rsidR="00DA05A1" w:rsidRPr="00AE6CC4">
        <w:rPr>
          <w:rFonts w:cs="Tahoma"/>
          <w:szCs w:val="24"/>
        </w:rPr>
        <w:t xml:space="preserve">ascendía a </w:t>
      </w:r>
      <w:r w:rsidR="006B0814" w:rsidRPr="00AE6CC4">
        <w:rPr>
          <w:rFonts w:cs="Tahoma"/>
          <w:szCs w:val="24"/>
        </w:rPr>
        <w:t>$98.231.191</w:t>
      </w:r>
      <w:r w:rsidR="00AE6234" w:rsidRPr="00AE6CC4">
        <w:rPr>
          <w:rFonts w:cs="Tahoma"/>
          <w:szCs w:val="24"/>
        </w:rPr>
        <w:t xml:space="preserve">; suma </w:t>
      </w:r>
      <w:r w:rsidR="006B0814" w:rsidRPr="00AE6CC4">
        <w:rPr>
          <w:rFonts w:cs="Tahoma"/>
          <w:szCs w:val="24"/>
        </w:rPr>
        <w:t>respect</w:t>
      </w:r>
      <w:r w:rsidR="00AE6234" w:rsidRPr="00AE6CC4">
        <w:rPr>
          <w:rFonts w:cs="Tahoma"/>
          <w:szCs w:val="24"/>
        </w:rPr>
        <w:t>o</w:t>
      </w:r>
      <w:r w:rsidR="006B0814" w:rsidRPr="00AE6CC4">
        <w:rPr>
          <w:rFonts w:cs="Tahoma"/>
          <w:szCs w:val="24"/>
        </w:rPr>
        <w:t xml:space="preserve"> de</w:t>
      </w:r>
      <w:r w:rsidR="00AE6234" w:rsidRPr="00AE6CC4">
        <w:rPr>
          <w:rFonts w:cs="Tahoma"/>
          <w:szCs w:val="24"/>
        </w:rPr>
        <w:t xml:space="preserve"> </w:t>
      </w:r>
      <w:r w:rsidR="006B0814" w:rsidRPr="00AE6CC4">
        <w:rPr>
          <w:rFonts w:cs="Tahoma"/>
          <w:szCs w:val="24"/>
        </w:rPr>
        <w:t>l</w:t>
      </w:r>
      <w:r w:rsidR="00AE6234" w:rsidRPr="00AE6CC4">
        <w:rPr>
          <w:rFonts w:cs="Tahoma"/>
          <w:szCs w:val="24"/>
        </w:rPr>
        <w:t>a</w:t>
      </w:r>
      <w:r w:rsidR="006B0814" w:rsidRPr="00AE6CC4">
        <w:rPr>
          <w:rFonts w:cs="Tahoma"/>
          <w:szCs w:val="24"/>
        </w:rPr>
        <w:t xml:space="preserve"> cual </w:t>
      </w:r>
      <w:r w:rsidR="007B7977" w:rsidRPr="00AE6CC4">
        <w:rPr>
          <w:rFonts w:cs="Tahoma"/>
          <w:szCs w:val="24"/>
        </w:rPr>
        <w:t xml:space="preserve">esa AFP </w:t>
      </w:r>
      <w:r w:rsidR="006B0814" w:rsidRPr="00AE6CC4">
        <w:rPr>
          <w:rFonts w:cs="Tahoma"/>
          <w:szCs w:val="24"/>
        </w:rPr>
        <w:t>estaba autorizada a descontar el 12%</w:t>
      </w:r>
      <w:r w:rsidR="00AE6234" w:rsidRPr="00AE6CC4">
        <w:rPr>
          <w:rFonts w:cs="Tahoma"/>
          <w:szCs w:val="24"/>
        </w:rPr>
        <w:t>,</w:t>
      </w:r>
      <w:r w:rsidR="006B0814" w:rsidRPr="00AE6CC4">
        <w:rPr>
          <w:rFonts w:cs="Tahoma"/>
          <w:szCs w:val="24"/>
        </w:rPr>
        <w:t xml:space="preserve"> correspondiente al sistema de salud. </w:t>
      </w:r>
    </w:p>
    <w:p w14:paraId="73E5903A" w14:textId="77777777" w:rsidR="00841AD7" w:rsidRPr="00AE6CC4" w:rsidRDefault="00841AD7" w:rsidP="00AE6CC4">
      <w:pPr>
        <w:spacing w:line="276" w:lineRule="auto"/>
        <w:ind w:firstLine="360"/>
        <w:rPr>
          <w:rFonts w:cs="Tahoma"/>
          <w:szCs w:val="24"/>
        </w:rPr>
      </w:pPr>
    </w:p>
    <w:p w14:paraId="02655B8B" w14:textId="25AF875F" w:rsidR="00F649AB" w:rsidRPr="00AE6CC4" w:rsidRDefault="00841AD7" w:rsidP="00AE6CC4">
      <w:pPr>
        <w:spacing w:line="276" w:lineRule="auto"/>
        <w:ind w:firstLine="360"/>
        <w:rPr>
          <w:rFonts w:cs="Tahoma"/>
          <w:szCs w:val="24"/>
        </w:rPr>
      </w:pPr>
      <w:r w:rsidRPr="00AE6CC4">
        <w:rPr>
          <w:rFonts w:cs="Tahoma"/>
          <w:szCs w:val="24"/>
        </w:rPr>
        <w:lastRenderedPageBreak/>
        <w:t>Seguidamente, indicó que como el demandante presentó la reclamación el 10 de diciembre de 2018, los intereses moratorios correrían</w:t>
      </w:r>
      <w:r w:rsidR="00F649AB" w:rsidRPr="00AE6CC4">
        <w:rPr>
          <w:rFonts w:cs="Tahoma"/>
          <w:szCs w:val="24"/>
        </w:rPr>
        <w:t>, en cabeza de Porvenir S.A.,</w:t>
      </w:r>
      <w:r w:rsidRPr="00AE6CC4">
        <w:rPr>
          <w:rFonts w:cs="Tahoma"/>
          <w:szCs w:val="24"/>
        </w:rPr>
        <w:t xml:space="preserve"> a partir del 10 de abril de 201</w:t>
      </w:r>
      <w:r w:rsidR="00CE3C34" w:rsidRPr="00AE6CC4">
        <w:rPr>
          <w:rFonts w:cs="Tahoma"/>
          <w:szCs w:val="24"/>
        </w:rPr>
        <w:t>6</w:t>
      </w:r>
      <w:r w:rsidR="00F649AB" w:rsidRPr="00AE6CC4">
        <w:rPr>
          <w:rFonts w:cs="Tahoma"/>
          <w:szCs w:val="24"/>
        </w:rPr>
        <w:t xml:space="preserve"> hasta el 24 de febrero de 2019, fecha a partir de la cual Seguros de Vida Alfa S.A. asumió el pago de la prestación.</w:t>
      </w:r>
      <w:r w:rsidR="00D815A0" w:rsidRPr="00AE6CC4">
        <w:rPr>
          <w:rFonts w:cs="Tahoma"/>
          <w:szCs w:val="24"/>
        </w:rPr>
        <w:t xml:space="preserve"> En este punto, resaltó que por la naturaleza sancionatoria de los aludidos emolumentos, no era procedente hacerlos extensivos a la aseguradora</w:t>
      </w:r>
      <w:r w:rsidR="008B2E17" w:rsidRPr="00AE6CC4">
        <w:rPr>
          <w:rFonts w:cs="Tahoma"/>
          <w:szCs w:val="24"/>
        </w:rPr>
        <w:t xml:space="preserve"> vinculada</w:t>
      </w:r>
      <w:r w:rsidR="00D815A0" w:rsidRPr="00AE6CC4">
        <w:rPr>
          <w:rFonts w:cs="Tahoma"/>
          <w:szCs w:val="24"/>
        </w:rPr>
        <w:t>.</w:t>
      </w:r>
    </w:p>
    <w:p w14:paraId="13122CAC" w14:textId="3B488924" w:rsidR="00F649AB" w:rsidRPr="00AE6CC4" w:rsidRDefault="00F649AB" w:rsidP="00AE6CC4">
      <w:pPr>
        <w:spacing w:line="276" w:lineRule="auto"/>
        <w:ind w:firstLine="360"/>
        <w:rPr>
          <w:rFonts w:cs="Tahoma"/>
          <w:szCs w:val="24"/>
        </w:rPr>
      </w:pPr>
    </w:p>
    <w:p w14:paraId="3B038790" w14:textId="2478B6D7" w:rsidR="00F02993" w:rsidRPr="00AE6CC4" w:rsidRDefault="00F649AB" w:rsidP="00AE6CC4">
      <w:pPr>
        <w:spacing w:line="276" w:lineRule="auto"/>
        <w:ind w:firstLine="360"/>
        <w:rPr>
          <w:rFonts w:eastAsia="Times New Roman" w:cs="Tahoma"/>
          <w:szCs w:val="24"/>
          <w:lang w:val="es-CO" w:eastAsia="es-ES"/>
        </w:rPr>
      </w:pPr>
      <w:r w:rsidRPr="00AE6CC4">
        <w:rPr>
          <w:rFonts w:cs="Tahoma"/>
          <w:szCs w:val="24"/>
        </w:rPr>
        <w:t xml:space="preserve">Por último, </w:t>
      </w:r>
      <w:r w:rsidR="0011145B" w:rsidRPr="00AE6CC4">
        <w:rPr>
          <w:rFonts w:cs="Tahoma"/>
          <w:szCs w:val="24"/>
        </w:rPr>
        <w:t>con el fin de pal</w:t>
      </w:r>
      <w:r w:rsidR="00FC7155">
        <w:rPr>
          <w:rFonts w:cs="Tahoma"/>
          <w:szCs w:val="24"/>
        </w:rPr>
        <w:t>i</w:t>
      </w:r>
      <w:r w:rsidR="0011145B" w:rsidRPr="00AE6CC4">
        <w:rPr>
          <w:rFonts w:cs="Tahoma"/>
          <w:szCs w:val="24"/>
        </w:rPr>
        <w:t>ar la pérdida del poder adquisitivo de la moneda</w:t>
      </w:r>
      <w:r w:rsidR="00CE3C34" w:rsidRPr="00AE6CC4">
        <w:rPr>
          <w:rFonts w:cs="Tahoma"/>
          <w:szCs w:val="24"/>
        </w:rPr>
        <w:t>,</w:t>
      </w:r>
      <w:r w:rsidR="0011145B" w:rsidRPr="00AE6CC4">
        <w:rPr>
          <w:rFonts w:cs="Tahoma"/>
          <w:szCs w:val="24"/>
        </w:rPr>
        <w:t xml:space="preserve"> </w:t>
      </w:r>
      <w:r w:rsidRPr="00AE6CC4">
        <w:rPr>
          <w:rFonts w:cs="Tahoma"/>
          <w:szCs w:val="24"/>
        </w:rPr>
        <w:t xml:space="preserve">condenó a Seguros de Vida Alfa a pagar la indexación causada sobre el retroactivo que reconoció entre </w:t>
      </w:r>
      <w:r w:rsidR="00AF4F18" w:rsidRPr="00AE6CC4">
        <w:rPr>
          <w:rFonts w:cs="Tahoma"/>
          <w:szCs w:val="24"/>
        </w:rPr>
        <w:t>el 10 de diciembre de 2015 y el 17 de enero de 2019</w:t>
      </w:r>
      <w:r w:rsidRPr="00AE6CC4">
        <w:rPr>
          <w:rFonts w:cs="Tahoma"/>
          <w:szCs w:val="24"/>
        </w:rPr>
        <w:t>,</w:t>
      </w:r>
      <w:r w:rsidR="00AE6234" w:rsidRPr="00AE6CC4">
        <w:rPr>
          <w:rFonts w:cs="Tahoma"/>
          <w:szCs w:val="24"/>
        </w:rPr>
        <w:t xml:space="preserve"> para lo cual deb</w:t>
      </w:r>
      <w:r w:rsidR="00D815A0" w:rsidRPr="00AE6CC4">
        <w:rPr>
          <w:rFonts w:cs="Tahoma"/>
          <w:szCs w:val="24"/>
        </w:rPr>
        <w:t>er</w:t>
      </w:r>
      <w:r w:rsidR="00AE6234" w:rsidRPr="00AE6CC4">
        <w:rPr>
          <w:rFonts w:cs="Tahoma"/>
          <w:szCs w:val="24"/>
        </w:rPr>
        <w:t>ía tener en cuent</w:t>
      </w:r>
      <w:r w:rsidR="00F02993" w:rsidRPr="00AE6CC4">
        <w:rPr>
          <w:rFonts w:cs="Tahoma"/>
          <w:szCs w:val="24"/>
        </w:rPr>
        <w:t>a la fórmula acogida por</w:t>
      </w:r>
      <w:r w:rsidR="00AE6234" w:rsidRPr="00AE6CC4">
        <w:rPr>
          <w:rFonts w:cs="Tahoma"/>
          <w:szCs w:val="24"/>
        </w:rPr>
        <w:t xml:space="preserve"> </w:t>
      </w:r>
      <w:r w:rsidR="00F02993" w:rsidRPr="00AE6CC4">
        <w:rPr>
          <w:rFonts w:cs="Tahoma"/>
          <w:szCs w:val="24"/>
        </w:rPr>
        <w:t xml:space="preserve">la Corte Suprema </w:t>
      </w:r>
      <w:r w:rsidR="00AE6234" w:rsidRPr="00AE6CC4">
        <w:rPr>
          <w:rFonts w:cs="Tahoma"/>
          <w:szCs w:val="24"/>
        </w:rPr>
        <w:t>d</w:t>
      </w:r>
      <w:r w:rsidR="00F02993" w:rsidRPr="00AE6CC4">
        <w:rPr>
          <w:rFonts w:cs="Tahoma"/>
          <w:szCs w:val="24"/>
        </w:rPr>
        <w:t xml:space="preserve">e Justicia </w:t>
      </w:r>
      <w:r w:rsidR="00AE6234" w:rsidRPr="00AE6CC4">
        <w:rPr>
          <w:rFonts w:cs="Tahoma"/>
          <w:szCs w:val="24"/>
        </w:rPr>
        <w:t>e</w:t>
      </w:r>
      <w:r w:rsidR="00F02993" w:rsidRPr="00AE6CC4">
        <w:rPr>
          <w:rFonts w:cs="Tahoma"/>
          <w:szCs w:val="24"/>
        </w:rPr>
        <w:t xml:space="preserve">n </w:t>
      </w:r>
      <w:r w:rsidR="00AE6234" w:rsidRPr="00AE6CC4">
        <w:rPr>
          <w:rFonts w:cs="Tahoma"/>
          <w:szCs w:val="24"/>
        </w:rPr>
        <w:t xml:space="preserve">la sentencia </w:t>
      </w:r>
      <w:r w:rsidR="00F02993" w:rsidRPr="00AE6CC4">
        <w:rPr>
          <w:rFonts w:cs="Tahoma"/>
          <w:szCs w:val="24"/>
        </w:rPr>
        <w:t>SL1511-2018.</w:t>
      </w:r>
    </w:p>
    <w:p w14:paraId="5465DDC1" w14:textId="17F4E4C5" w:rsidR="00790DA9" w:rsidRPr="00AE6CC4" w:rsidRDefault="00790DA9" w:rsidP="00AE6CC4">
      <w:pPr>
        <w:spacing w:line="276" w:lineRule="auto"/>
        <w:rPr>
          <w:rFonts w:cs="Tahoma"/>
          <w:szCs w:val="24"/>
        </w:rPr>
      </w:pPr>
    </w:p>
    <w:p w14:paraId="62F918D7" w14:textId="7DBDD93F" w:rsidR="00790DA9" w:rsidRPr="00AE6CC4" w:rsidRDefault="00790DA9" w:rsidP="00AE6CC4">
      <w:pPr>
        <w:pStyle w:val="Prrafodelista"/>
        <w:numPr>
          <w:ilvl w:val="0"/>
          <w:numId w:val="1"/>
        </w:numPr>
        <w:spacing w:line="276" w:lineRule="auto"/>
        <w:ind w:left="426" w:hanging="426"/>
        <w:jc w:val="center"/>
        <w:rPr>
          <w:rFonts w:cs="Tahoma"/>
          <w:b/>
          <w:bCs/>
          <w:szCs w:val="24"/>
        </w:rPr>
      </w:pPr>
      <w:r w:rsidRPr="00AE6CC4">
        <w:rPr>
          <w:rFonts w:cs="Tahoma"/>
          <w:b/>
          <w:bCs/>
          <w:szCs w:val="24"/>
        </w:rPr>
        <w:t>Recurso</w:t>
      </w:r>
      <w:r w:rsidR="002F61B9" w:rsidRPr="00AE6CC4">
        <w:rPr>
          <w:rFonts w:cs="Tahoma"/>
          <w:b/>
          <w:bCs/>
          <w:szCs w:val="24"/>
        </w:rPr>
        <w:t>s</w:t>
      </w:r>
      <w:r w:rsidRPr="00AE6CC4">
        <w:rPr>
          <w:rFonts w:cs="Tahoma"/>
          <w:b/>
          <w:bCs/>
          <w:szCs w:val="24"/>
        </w:rPr>
        <w:t xml:space="preserve"> de apelación</w:t>
      </w:r>
      <w:r w:rsidR="00FA290F" w:rsidRPr="00AE6CC4">
        <w:rPr>
          <w:rFonts w:cs="Tahoma"/>
          <w:b/>
          <w:bCs/>
          <w:szCs w:val="24"/>
        </w:rPr>
        <w:t xml:space="preserve"> </w:t>
      </w:r>
    </w:p>
    <w:p w14:paraId="093AE73F" w14:textId="679D399E" w:rsidR="00790DA9" w:rsidRPr="00AE6CC4" w:rsidRDefault="00790DA9" w:rsidP="00AE6CC4">
      <w:pPr>
        <w:spacing w:line="276" w:lineRule="auto"/>
        <w:ind w:left="360"/>
        <w:rPr>
          <w:rFonts w:cs="Tahoma"/>
          <w:b/>
          <w:bCs/>
          <w:szCs w:val="24"/>
        </w:rPr>
      </w:pPr>
    </w:p>
    <w:p w14:paraId="2D1C9B81" w14:textId="6AE3AC2A" w:rsidR="00275D11" w:rsidRPr="00AE6CC4" w:rsidRDefault="00302CBB" w:rsidP="00AE6CC4">
      <w:pPr>
        <w:spacing w:line="276" w:lineRule="auto"/>
        <w:ind w:firstLine="360"/>
        <w:rPr>
          <w:rFonts w:cs="Tahoma"/>
          <w:szCs w:val="24"/>
        </w:rPr>
      </w:pPr>
      <w:r w:rsidRPr="00AE6CC4">
        <w:rPr>
          <w:rFonts w:cs="Tahoma"/>
          <w:szCs w:val="24"/>
        </w:rPr>
        <w:t xml:space="preserve">La apoderada judicial de </w:t>
      </w:r>
      <w:r w:rsidR="001431C7" w:rsidRPr="00AE6CC4">
        <w:rPr>
          <w:rFonts w:cs="Tahoma"/>
          <w:szCs w:val="24"/>
        </w:rPr>
        <w:t xml:space="preserve">Seguros de Vida Alfa </w:t>
      </w:r>
      <w:r w:rsidR="00275D11" w:rsidRPr="00AE6CC4">
        <w:rPr>
          <w:rFonts w:cs="Tahoma"/>
          <w:szCs w:val="24"/>
        </w:rPr>
        <w:t xml:space="preserve">S.A. </w:t>
      </w:r>
      <w:r w:rsidR="001431C7" w:rsidRPr="00AE6CC4">
        <w:rPr>
          <w:rFonts w:cs="Tahoma"/>
          <w:szCs w:val="24"/>
        </w:rPr>
        <w:t xml:space="preserve">atacó la decisión de instancia arguyendo que canceló el retroactivo pensional teniendo </w:t>
      </w:r>
      <w:r w:rsidR="00275D11" w:rsidRPr="00AE6CC4">
        <w:rPr>
          <w:rFonts w:cs="Tahoma"/>
          <w:szCs w:val="24"/>
        </w:rPr>
        <w:t xml:space="preserve">en cuenta lo dispuesto en el artículo 488 del Código Sustantivo del Trabajo, reconociendo </w:t>
      </w:r>
      <w:r w:rsidR="001431C7" w:rsidRPr="00AE6CC4">
        <w:rPr>
          <w:rFonts w:cs="Tahoma"/>
          <w:szCs w:val="24"/>
        </w:rPr>
        <w:t xml:space="preserve">las mesadas que no </w:t>
      </w:r>
      <w:r w:rsidR="002D6408" w:rsidRPr="00AE6CC4">
        <w:rPr>
          <w:rFonts w:cs="Tahoma"/>
          <w:szCs w:val="24"/>
        </w:rPr>
        <w:t>se extinguieron por la prescripción</w:t>
      </w:r>
      <w:r w:rsidR="001431C7" w:rsidRPr="00AE6CC4">
        <w:rPr>
          <w:rFonts w:cs="Tahoma"/>
          <w:szCs w:val="24"/>
        </w:rPr>
        <w:t>,</w:t>
      </w:r>
      <w:r w:rsidR="00275D11" w:rsidRPr="00AE6CC4">
        <w:rPr>
          <w:rFonts w:cs="Tahoma"/>
          <w:szCs w:val="24"/>
        </w:rPr>
        <w:t xml:space="preserve"> razón por la cual no debía condenársela al pago del retroactivo causado desde el año 2009 ni tampoco la indexación</w:t>
      </w:r>
      <w:r w:rsidR="007A0D71" w:rsidRPr="00AE6CC4">
        <w:rPr>
          <w:rFonts w:cs="Tahoma"/>
          <w:szCs w:val="24"/>
        </w:rPr>
        <w:t xml:space="preserve"> sobre la suma cancelada al demandante</w:t>
      </w:r>
      <w:r w:rsidR="00275D11" w:rsidRPr="00AE6CC4">
        <w:rPr>
          <w:rFonts w:cs="Tahoma"/>
          <w:szCs w:val="24"/>
        </w:rPr>
        <w:t xml:space="preserve">. </w:t>
      </w:r>
    </w:p>
    <w:p w14:paraId="6974CC60" w14:textId="77777777" w:rsidR="00275D11" w:rsidRPr="00AE6CC4" w:rsidRDefault="00275D11" w:rsidP="00AE6CC4">
      <w:pPr>
        <w:spacing w:line="276" w:lineRule="auto"/>
        <w:ind w:firstLine="360"/>
        <w:rPr>
          <w:rFonts w:cs="Tahoma"/>
          <w:szCs w:val="24"/>
        </w:rPr>
      </w:pPr>
    </w:p>
    <w:p w14:paraId="2561393D" w14:textId="5D6B2D5F" w:rsidR="001431C7" w:rsidRPr="00AE6CC4" w:rsidRDefault="00275D11" w:rsidP="00AE6CC4">
      <w:pPr>
        <w:spacing w:line="276" w:lineRule="auto"/>
        <w:ind w:firstLine="360"/>
        <w:rPr>
          <w:rFonts w:cs="Tahoma"/>
          <w:szCs w:val="24"/>
        </w:rPr>
      </w:pPr>
      <w:r w:rsidRPr="00AE6CC4">
        <w:rPr>
          <w:rFonts w:cs="Tahoma"/>
          <w:szCs w:val="24"/>
        </w:rPr>
        <w:t xml:space="preserve">Finalmente, refirió que </w:t>
      </w:r>
      <w:r w:rsidR="001431C7" w:rsidRPr="00AE6CC4">
        <w:rPr>
          <w:rFonts w:cs="Tahoma"/>
          <w:szCs w:val="24"/>
        </w:rPr>
        <w:t xml:space="preserve">no había lugar a la condena en costas procesales por cuanto </w:t>
      </w:r>
      <w:r w:rsidRPr="00AE6CC4">
        <w:rPr>
          <w:rFonts w:cs="Tahoma"/>
          <w:szCs w:val="24"/>
        </w:rPr>
        <w:t xml:space="preserve">dicha sociedad fue </w:t>
      </w:r>
      <w:r w:rsidR="001431C7" w:rsidRPr="00AE6CC4">
        <w:rPr>
          <w:rFonts w:cs="Tahoma"/>
          <w:szCs w:val="24"/>
        </w:rPr>
        <w:t xml:space="preserve">un </w:t>
      </w:r>
      <w:r w:rsidRPr="00AE6CC4">
        <w:rPr>
          <w:rFonts w:cs="Tahoma"/>
          <w:szCs w:val="24"/>
        </w:rPr>
        <w:t>tercero</w:t>
      </w:r>
      <w:r w:rsidR="001431C7" w:rsidRPr="00AE6CC4">
        <w:rPr>
          <w:rFonts w:cs="Tahoma"/>
          <w:szCs w:val="24"/>
        </w:rPr>
        <w:t xml:space="preserve"> de buena fe.</w:t>
      </w:r>
    </w:p>
    <w:p w14:paraId="56ABA605" w14:textId="120CE4E3" w:rsidR="001431C7" w:rsidRPr="00AE6CC4" w:rsidRDefault="001431C7" w:rsidP="00AE6CC4">
      <w:pPr>
        <w:spacing w:line="276" w:lineRule="auto"/>
        <w:ind w:firstLine="360"/>
        <w:rPr>
          <w:rFonts w:cs="Tahoma"/>
          <w:szCs w:val="24"/>
        </w:rPr>
      </w:pPr>
    </w:p>
    <w:p w14:paraId="3E29344B" w14:textId="7E048E06" w:rsidR="00275D11" w:rsidRPr="00AE6CC4" w:rsidRDefault="001431C7" w:rsidP="00AE6CC4">
      <w:pPr>
        <w:spacing w:line="276" w:lineRule="auto"/>
        <w:ind w:firstLine="360"/>
        <w:rPr>
          <w:rFonts w:cs="Tahoma"/>
          <w:szCs w:val="24"/>
        </w:rPr>
      </w:pPr>
      <w:r w:rsidRPr="00AE6CC4">
        <w:rPr>
          <w:rFonts w:cs="Tahoma"/>
          <w:szCs w:val="24"/>
        </w:rPr>
        <w:t>La misma togada, en representación de Porvenir S.A.</w:t>
      </w:r>
      <w:r w:rsidR="002D6408" w:rsidRPr="00AE6CC4">
        <w:rPr>
          <w:rFonts w:cs="Tahoma"/>
          <w:szCs w:val="24"/>
        </w:rPr>
        <w:t>,</w:t>
      </w:r>
      <w:r w:rsidRPr="00AE6CC4">
        <w:rPr>
          <w:rFonts w:cs="Tahoma"/>
          <w:szCs w:val="24"/>
        </w:rPr>
        <w:t xml:space="preserve"> alegó que no </w:t>
      </w:r>
      <w:r w:rsidR="002D6408" w:rsidRPr="00AE6CC4">
        <w:rPr>
          <w:rFonts w:cs="Tahoma"/>
          <w:szCs w:val="24"/>
        </w:rPr>
        <w:t xml:space="preserve">era procedente </w:t>
      </w:r>
      <w:r w:rsidRPr="00AE6CC4">
        <w:rPr>
          <w:rFonts w:cs="Tahoma"/>
          <w:szCs w:val="24"/>
        </w:rPr>
        <w:t>la condena de intereses moratorios</w:t>
      </w:r>
      <w:r w:rsidR="002D6408" w:rsidRPr="00AE6CC4">
        <w:rPr>
          <w:rFonts w:cs="Tahoma"/>
          <w:szCs w:val="24"/>
        </w:rPr>
        <w:t>,</w:t>
      </w:r>
      <w:r w:rsidRPr="00AE6CC4">
        <w:rPr>
          <w:rFonts w:cs="Tahoma"/>
          <w:szCs w:val="24"/>
        </w:rPr>
        <w:t xml:space="preserve"> entre los años 2016 y 2019</w:t>
      </w:r>
      <w:r w:rsidR="002D6408" w:rsidRPr="00AE6CC4">
        <w:rPr>
          <w:rFonts w:cs="Tahoma"/>
          <w:szCs w:val="24"/>
        </w:rPr>
        <w:t>, pues reconoció el retroactivo conforme a las disposiciones legales y bajo los postulados de la buena fe, ya que nunca negó el derecho al demandante</w:t>
      </w:r>
      <w:r w:rsidR="00275D11" w:rsidRPr="00AE6CC4">
        <w:rPr>
          <w:rFonts w:cs="Tahoma"/>
          <w:szCs w:val="24"/>
        </w:rPr>
        <w:t>.</w:t>
      </w:r>
      <w:r w:rsidR="007A0D71" w:rsidRPr="00AE6CC4">
        <w:rPr>
          <w:rFonts w:cs="Tahoma"/>
          <w:szCs w:val="24"/>
        </w:rPr>
        <w:t xml:space="preserve"> </w:t>
      </w:r>
      <w:r w:rsidR="00275D11" w:rsidRPr="00AE6CC4">
        <w:rPr>
          <w:rFonts w:cs="Tahoma"/>
          <w:szCs w:val="24"/>
        </w:rPr>
        <w:t>Por ello</w:t>
      </w:r>
      <w:r w:rsidR="007A0D71" w:rsidRPr="00AE6CC4">
        <w:rPr>
          <w:rFonts w:cs="Tahoma"/>
          <w:szCs w:val="24"/>
        </w:rPr>
        <w:t>, pidió que se la exonerara del pago de las costas procesales.</w:t>
      </w:r>
    </w:p>
    <w:p w14:paraId="5B475B07" w14:textId="77777777" w:rsidR="00D01643" w:rsidRPr="00AE6CC4" w:rsidRDefault="00D01643" w:rsidP="00AE6CC4">
      <w:pPr>
        <w:spacing w:line="276" w:lineRule="auto"/>
        <w:rPr>
          <w:rFonts w:cs="Tahoma"/>
          <w:szCs w:val="24"/>
        </w:rPr>
      </w:pPr>
    </w:p>
    <w:p w14:paraId="771B2564" w14:textId="072CE957" w:rsidR="00B33A2C" w:rsidRPr="00AE6CC4" w:rsidRDefault="00B33A2C" w:rsidP="00AE6CC4">
      <w:pPr>
        <w:pStyle w:val="Prrafodelista"/>
        <w:numPr>
          <w:ilvl w:val="0"/>
          <w:numId w:val="1"/>
        </w:numPr>
        <w:spacing w:line="276" w:lineRule="auto"/>
        <w:jc w:val="center"/>
        <w:rPr>
          <w:rFonts w:eastAsia="Times New Roman" w:cs="Tahoma"/>
          <w:b/>
          <w:bCs/>
          <w:szCs w:val="24"/>
          <w:lang w:eastAsia="es-ES"/>
        </w:rPr>
      </w:pPr>
      <w:r w:rsidRPr="00AE6CC4">
        <w:rPr>
          <w:rFonts w:eastAsia="Times New Roman" w:cs="Tahoma"/>
          <w:b/>
          <w:bCs/>
          <w:szCs w:val="24"/>
          <w:lang w:eastAsia="es-ES"/>
        </w:rPr>
        <w:t>Alegatos de conclusión</w:t>
      </w:r>
    </w:p>
    <w:p w14:paraId="67765DB8" w14:textId="77777777" w:rsidR="00B33A2C" w:rsidRPr="00AE6CC4" w:rsidRDefault="00B33A2C" w:rsidP="00AE6CC4">
      <w:pPr>
        <w:spacing w:line="276" w:lineRule="auto"/>
        <w:rPr>
          <w:rFonts w:cs="Tahoma"/>
          <w:szCs w:val="24"/>
        </w:rPr>
      </w:pPr>
    </w:p>
    <w:p w14:paraId="5FB4A20D" w14:textId="16E15F19" w:rsidR="00302CBB" w:rsidRPr="00AE6CC4" w:rsidRDefault="00B33A2C" w:rsidP="00AE6CC4">
      <w:pPr>
        <w:spacing w:line="276" w:lineRule="auto"/>
        <w:ind w:firstLine="360"/>
        <w:rPr>
          <w:rFonts w:cs="Tahoma"/>
          <w:szCs w:val="24"/>
        </w:rPr>
      </w:pPr>
      <w:r w:rsidRPr="00AE6CC4">
        <w:rPr>
          <w:rFonts w:cs="Tahoma"/>
          <w:szCs w:val="24"/>
        </w:rPr>
        <w:t xml:space="preserve">Analizados los alegatos presentados por </w:t>
      </w:r>
      <w:r w:rsidR="00302CBB" w:rsidRPr="00AE6CC4">
        <w:rPr>
          <w:rFonts w:cs="Tahoma"/>
          <w:szCs w:val="24"/>
        </w:rPr>
        <w:t xml:space="preserve">las partes </w:t>
      </w:r>
      <w:r w:rsidRPr="00AE6CC4">
        <w:rPr>
          <w:rFonts w:cs="Tahoma"/>
          <w:szCs w:val="24"/>
        </w:rPr>
        <w:t xml:space="preserve">mediante escrito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w:t>
      </w:r>
      <w:r w:rsidR="002D3547" w:rsidRPr="00AE6CC4">
        <w:rPr>
          <w:rFonts w:cs="Tahoma"/>
          <w:szCs w:val="24"/>
        </w:rPr>
        <w:t xml:space="preserve">NO </w:t>
      </w:r>
      <w:r w:rsidRPr="00AE6CC4">
        <w:rPr>
          <w:rFonts w:cs="Tahoma"/>
          <w:szCs w:val="24"/>
        </w:rPr>
        <w:t>rindió concepto</w:t>
      </w:r>
      <w:r w:rsidR="00302CBB" w:rsidRPr="00AE6CC4">
        <w:rPr>
          <w:rFonts w:cs="Tahoma"/>
          <w:szCs w:val="24"/>
        </w:rPr>
        <w:t>.</w:t>
      </w:r>
    </w:p>
    <w:p w14:paraId="4898289C" w14:textId="5B7C0411" w:rsidR="006D0A97" w:rsidRPr="00AE6CC4" w:rsidRDefault="006D0A97" w:rsidP="00AE6CC4">
      <w:pPr>
        <w:spacing w:line="276" w:lineRule="auto"/>
        <w:rPr>
          <w:rFonts w:cs="Tahoma"/>
          <w:szCs w:val="24"/>
        </w:rPr>
      </w:pPr>
    </w:p>
    <w:p w14:paraId="50418479" w14:textId="45A30467" w:rsidR="00B33A2C" w:rsidRPr="00AE6CC4" w:rsidRDefault="00B33A2C" w:rsidP="00AE6CC4">
      <w:pPr>
        <w:numPr>
          <w:ilvl w:val="0"/>
          <w:numId w:val="1"/>
        </w:numPr>
        <w:spacing w:line="276" w:lineRule="auto"/>
        <w:contextualSpacing/>
        <w:jc w:val="center"/>
        <w:rPr>
          <w:rFonts w:eastAsia="Times New Roman" w:cs="Tahoma"/>
          <w:b/>
          <w:bCs/>
          <w:szCs w:val="24"/>
          <w:lang w:eastAsia="es-ES"/>
        </w:rPr>
      </w:pPr>
      <w:r w:rsidRPr="00AE6CC4">
        <w:rPr>
          <w:rFonts w:eastAsia="Times New Roman" w:cs="Tahoma"/>
          <w:b/>
          <w:bCs/>
          <w:szCs w:val="24"/>
          <w:lang w:eastAsia="es-ES"/>
        </w:rPr>
        <w:t>Problema</w:t>
      </w:r>
      <w:r w:rsidR="002D3547" w:rsidRPr="00AE6CC4">
        <w:rPr>
          <w:rFonts w:eastAsia="Times New Roman" w:cs="Tahoma"/>
          <w:b/>
          <w:bCs/>
          <w:szCs w:val="24"/>
          <w:lang w:eastAsia="es-ES"/>
        </w:rPr>
        <w:t>s</w:t>
      </w:r>
      <w:r w:rsidRPr="00AE6CC4">
        <w:rPr>
          <w:rFonts w:eastAsia="Times New Roman" w:cs="Tahoma"/>
          <w:b/>
          <w:bCs/>
          <w:szCs w:val="24"/>
          <w:lang w:eastAsia="es-ES"/>
        </w:rPr>
        <w:t xml:space="preserve"> jurídicos por resolver</w:t>
      </w:r>
    </w:p>
    <w:p w14:paraId="7C83EFF1" w14:textId="77777777" w:rsidR="00B33A2C" w:rsidRPr="00AE6CC4" w:rsidRDefault="00B33A2C" w:rsidP="00AE6CC4">
      <w:pPr>
        <w:spacing w:line="276" w:lineRule="auto"/>
        <w:rPr>
          <w:rFonts w:cs="Tahoma"/>
          <w:szCs w:val="24"/>
        </w:rPr>
      </w:pPr>
      <w:r w:rsidRPr="00AE6CC4">
        <w:rPr>
          <w:rFonts w:cs="Tahoma"/>
          <w:szCs w:val="24"/>
        </w:rPr>
        <w:t> </w:t>
      </w:r>
    </w:p>
    <w:p w14:paraId="220123E6" w14:textId="64D2D988" w:rsidR="00F73729" w:rsidRPr="00AE6CC4" w:rsidRDefault="00F73729" w:rsidP="00AE6CC4">
      <w:pPr>
        <w:spacing w:line="276" w:lineRule="auto"/>
        <w:ind w:firstLine="360"/>
        <w:rPr>
          <w:rFonts w:cs="Tahoma"/>
          <w:szCs w:val="24"/>
          <w:lang w:val="es-ES_tradnl"/>
        </w:rPr>
      </w:pPr>
      <w:r w:rsidRPr="00AE6CC4">
        <w:rPr>
          <w:rFonts w:cs="Tahoma"/>
          <w:szCs w:val="24"/>
        </w:rPr>
        <w:t xml:space="preserve">De acuerdo a los argumentos expuestos en la sentencia de primera instancia, le corresponde a la Sala determinar si en el caso de marras es procedente ordenar el pago del retroactivo de la pensión del señor Miguel Ángel Zurita Ayala, a partir del momento de la </w:t>
      </w:r>
      <w:r w:rsidRPr="00AE6CC4">
        <w:rPr>
          <w:rFonts w:cs="Tahoma"/>
          <w:szCs w:val="24"/>
          <w:lang w:val="es-ES_tradnl"/>
        </w:rPr>
        <w:t>estructuración de su invalidez</w:t>
      </w:r>
      <w:r w:rsidR="00623703" w:rsidRPr="00AE6CC4">
        <w:rPr>
          <w:rFonts w:cs="Tahoma"/>
          <w:szCs w:val="24"/>
          <w:lang w:val="es-ES_tradnl"/>
        </w:rPr>
        <w:t xml:space="preserve"> y, en caso afirmativo, si es procedente reconocer intereses moratorios </w:t>
      </w:r>
      <w:r w:rsidR="0022344F" w:rsidRPr="00AE6CC4">
        <w:rPr>
          <w:rFonts w:cs="Tahoma"/>
          <w:szCs w:val="24"/>
          <w:lang w:val="es-ES_tradnl"/>
        </w:rPr>
        <w:t>e indexación sobre las sumas causadas</w:t>
      </w:r>
      <w:r w:rsidRPr="00AE6CC4">
        <w:rPr>
          <w:rFonts w:cs="Tahoma"/>
          <w:szCs w:val="24"/>
          <w:lang w:val="es-ES_tradnl"/>
        </w:rPr>
        <w:t xml:space="preserve">. </w:t>
      </w:r>
    </w:p>
    <w:p w14:paraId="1BEED1ED" w14:textId="79A0A0AF" w:rsidR="00FA290F" w:rsidRPr="00AE6CC4" w:rsidRDefault="00FA290F" w:rsidP="00AE6CC4">
      <w:pPr>
        <w:spacing w:line="276" w:lineRule="auto"/>
        <w:rPr>
          <w:rFonts w:cs="Tahoma"/>
          <w:szCs w:val="24"/>
        </w:rPr>
      </w:pPr>
    </w:p>
    <w:p w14:paraId="5DD1ED34" w14:textId="77777777" w:rsidR="00B33A2C" w:rsidRPr="00AE6CC4" w:rsidRDefault="00B33A2C" w:rsidP="00AE6CC4">
      <w:pPr>
        <w:numPr>
          <w:ilvl w:val="0"/>
          <w:numId w:val="1"/>
        </w:numPr>
        <w:spacing w:line="276" w:lineRule="auto"/>
        <w:contextualSpacing/>
        <w:jc w:val="center"/>
        <w:rPr>
          <w:rFonts w:eastAsia="Times New Roman" w:cs="Tahoma"/>
          <w:b/>
          <w:bCs/>
          <w:szCs w:val="24"/>
          <w:lang w:eastAsia="es-ES"/>
        </w:rPr>
      </w:pPr>
      <w:r w:rsidRPr="00AE6CC4">
        <w:rPr>
          <w:rFonts w:eastAsia="Times New Roman" w:cs="Tahoma"/>
          <w:b/>
          <w:bCs/>
          <w:szCs w:val="24"/>
          <w:lang w:eastAsia="es-ES"/>
        </w:rPr>
        <w:t>Consideraciones</w:t>
      </w:r>
    </w:p>
    <w:p w14:paraId="1185B183" w14:textId="77777777" w:rsidR="00983BAF" w:rsidRPr="00AE6CC4" w:rsidRDefault="00983BAF" w:rsidP="00AE6CC4">
      <w:pPr>
        <w:spacing w:line="276" w:lineRule="auto"/>
        <w:ind w:firstLine="708"/>
        <w:rPr>
          <w:rFonts w:cs="Tahoma"/>
          <w:szCs w:val="24"/>
          <w:lang w:val="es-ES_tradnl"/>
        </w:rPr>
      </w:pPr>
    </w:p>
    <w:p w14:paraId="50F7A117" w14:textId="77777777" w:rsidR="00983BAF" w:rsidRPr="00AE6CC4" w:rsidRDefault="00983BAF" w:rsidP="00AE6CC4">
      <w:pPr>
        <w:pStyle w:val="Textoindependiente"/>
        <w:numPr>
          <w:ilvl w:val="1"/>
          <w:numId w:val="13"/>
        </w:numPr>
        <w:tabs>
          <w:tab w:val="left" w:pos="1134"/>
        </w:tabs>
        <w:autoSpaceDE/>
        <w:autoSpaceDN/>
        <w:adjustRightInd/>
        <w:spacing w:line="276" w:lineRule="auto"/>
        <w:ind w:left="1418" w:right="51"/>
        <w:jc w:val="both"/>
        <w:rPr>
          <w:b/>
          <w:sz w:val="24"/>
          <w:szCs w:val="24"/>
        </w:rPr>
      </w:pPr>
      <w:r w:rsidRPr="00AE6CC4">
        <w:rPr>
          <w:b/>
          <w:sz w:val="24"/>
          <w:szCs w:val="24"/>
        </w:rPr>
        <w:t>Supuestos fácticos probados</w:t>
      </w:r>
    </w:p>
    <w:p w14:paraId="46EBD987" w14:textId="77777777" w:rsidR="00983BAF" w:rsidRPr="00AE6CC4" w:rsidRDefault="00983BAF" w:rsidP="00AE6CC4">
      <w:pPr>
        <w:spacing w:line="276" w:lineRule="auto"/>
        <w:ind w:firstLine="708"/>
        <w:rPr>
          <w:rFonts w:cs="Tahoma"/>
          <w:szCs w:val="24"/>
          <w:lang w:val="es-ES_tradnl"/>
        </w:rPr>
      </w:pPr>
    </w:p>
    <w:p w14:paraId="3D3B7F7F" w14:textId="157167D7" w:rsidR="00530B12" w:rsidRPr="00AE6CC4" w:rsidRDefault="00530B12" w:rsidP="00AE6CC4">
      <w:pPr>
        <w:spacing w:line="276" w:lineRule="auto"/>
        <w:ind w:firstLine="709"/>
        <w:rPr>
          <w:rFonts w:cs="Tahoma"/>
          <w:szCs w:val="24"/>
          <w:lang w:val="es-ES_tradnl"/>
        </w:rPr>
      </w:pPr>
      <w:r w:rsidRPr="00AE6CC4">
        <w:rPr>
          <w:rFonts w:cs="Tahoma"/>
          <w:szCs w:val="24"/>
          <w:lang w:val="es-ES_tradnl"/>
        </w:rPr>
        <w:t>Son hechos que se encuentran por fuera de discusión</w:t>
      </w:r>
      <w:r w:rsidR="00222944" w:rsidRPr="00AE6CC4">
        <w:rPr>
          <w:rFonts w:cs="Tahoma"/>
          <w:szCs w:val="24"/>
          <w:lang w:val="es-ES_tradnl"/>
        </w:rPr>
        <w:t>, al encontrar sustento demostrativo dentro del plenario,</w:t>
      </w:r>
      <w:r w:rsidRPr="00AE6CC4">
        <w:rPr>
          <w:rFonts w:cs="Tahoma"/>
          <w:szCs w:val="24"/>
          <w:lang w:val="es-ES_tradnl"/>
        </w:rPr>
        <w:t xml:space="preserve"> los siguientes:</w:t>
      </w:r>
    </w:p>
    <w:p w14:paraId="1DA5AD91" w14:textId="78006857" w:rsidR="00530B12" w:rsidRPr="00AE6CC4" w:rsidRDefault="00530B12" w:rsidP="00AE6CC4">
      <w:pPr>
        <w:spacing w:line="276" w:lineRule="auto"/>
        <w:ind w:firstLine="709"/>
        <w:rPr>
          <w:rFonts w:cs="Tahoma"/>
          <w:szCs w:val="24"/>
          <w:lang w:val="es-ES_tradnl"/>
        </w:rPr>
      </w:pPr>
    </w:p>
    <w:p w14:paraId="4099DC6E" w14:textId="788926EF" w:rsidR="00195142" w:rsidRPr="00AE6CC4" w:rsidRDefault="00530B12" w:rsidP="00AE6CC4">
      <w:pPr>
        <w:pStyle w:val="Prrafodelista"/>
        <w:numPr>
          <w:ilvl w:val="0"/>
          <w:numId w:val="15"/>
        </w:numPr>
        <w:spacing w:line="276" w:lineRule="auto"/>
        <w:rPr>
          <w:rFonts w:cs="Tahoma"/>
          <w:szCs w:val="24"/>
          <w:lang w:val="es-ES_tradnl"/>
        </w:rPr>
      </w:pPr>
      <w:r w:rsidRPr="00AE6CC4">
        <w:rPr>
          <w:rFonts w:cs="Tahoma"/>
          <w:szCs w:val="24"/>
          <w:lang w:val="es-ES_tradnl"/>
        </w:rPr>
        <w:t xml:space="preserve">Que </w:t>
      </w:r>
      <w:r w:rsidR="0031578C" w:rsidRPr="00AE6CC4">
        <w:rPr>
          <w:rFonts w:cs="Tahoma"/>
          <w:szCs w:val="24"/>
          <w:lang w:val="es-ES_tradnl"/>
        </w:rPr>
        <w:t xml:space="preserve">al señor Miguel Ángel Zurita le fue reconocida la pensión de invalidez por parte de </w:t>
      </w:r>
      <w:r w:rsidR="005D50C7" w:rsidRPr="00AE6CC4">
        <w:rPr>
          <w:rFonts w:cs="Tahoma"/>
          <w:szCs w:val="24"/>
          <w:lang w:val="es-ES_tradnl"/>
        </w:rPr>
        <w:t>Porvenir S.A.</w:t>
      </w:r>
      <w:r w:rsidR="007B7977" w:rsidRPr="00AE6CC4">
        <w:rPr>
          <w:rFonts w:cs="Tahoma"/>
          <w:szCs w:val="24"/>
          <w:lang w:val="es-ES_tradnl"/>
        </w:rPr>
        <w:t xml:space="preserve">; suceso que </w:t>
      </w:r>
      <w:r w:rsidR="00195142" w:rsidRPr="00AE6CC4">
        <w:rPr>
          <w:rFonts w:cs="Tahoma"/>
          <w:szCs w:val="24"/>
          <w:lang w:val="es-ES_tradnl"/>
        </w:rPr>
        <w:t xml:space="preserve">le fue comunicado </w:t>
      </w:r>
      <w:r w:rsidR="007B7977" w:rsidRPr="00AE6CC4">
        <w:rPr>
          <w:rFonts w:cs="Tahoma"/>
          <w:szCs w:val="24"/>
          <w:lang w:val="es-ES_tradnl"/>
        </w:rPr>
        <w:t>mediante escrito d</w:t>
      </w:r>
      <w:r w:rsidR="00195142" w:rsidRPr="00AE6CC4">
        <w:rPr>
          <w:rFonts w:cs="Tahoma"/>
          <w:szCs w:val="24"/>
          <w:lang w:val="es-ES_tradnl"/>
        </w:rPr>
        <w:t>el 17 de enero de 2019</w:t>
      </w:r>
      <w:r w:rsidR="00195142" w:rsidRPr="00AE6CC4">
        <w:rPr>
          <w:rStyle w:val="Refdenotaalpie"/>
          <w:rFonts w:cs="Tahoma"/>
          <w:szCs w:val="24"/>
          <w:lang w:val="es-ES_tradnl"/>
        </w:rPr>
        <w:footnoteReference w:id="2"/>
      </w:r>
      <w:r w:rsidR="00195142" w:rsidRPr="00AE6CC4">
        <w:rPr>
          <w:rFonts w:cs="Tahoma"/>
          <w:szCs w:val="24"/>
          <w:lang w:val="es-ES_tradnl"/>
        </w:rPr>
        <w:t xml:space="preserve">. </w:t>
      </w:r>
    </w:p>
    <w:p w14:paraId="6F98DE72" w14:textId="5A4F31BF" w:rsidR="00195142" w:rsidRPr="00AE6CC4" w:rsidRDefault="00F63258" w:rsidP="00AE6CC4">
      <w:pPr>
        <w:pStyle w:val="Prrafodelista"/>
        <w:tabs>
          <w:tab w:val="left" w:pos="3142"/>
        </w:tabs>
        <w:spacing w:line="276" w:lineRule="auto"/>
        <w:rPr>
          <w:rFonts w:cs="Tahoma"/>
          <w:szCs w:val="24"/>
          <w:lang w:val="es-ES_tradnl"/>
        </w:rPr>
      </w:pPr>
      <w:r w:rsidRPr="00AE6CC4">
        <w:rPr>
          <w:rFonts w:cs="Tahoma"/>
          <w:szCs w:val="24"/>
          <w:lang w:val="es-ES_tradnl"/>
        </w:rPr>
        <w:tab/>
      </w:r>
    </w:p>
    <w:p w14:paraId="42AFDB8C" w14:textId="7EB36A87" w:rsidR="00530B12" w:rsidRPr="00AE6CC4" w:rsidRDefault="00195142" w:rsidP="00AE6CC4">
      <w:pPr>
        <w:pStyle w:val="Prrafodelista"/>
        <w:numPr>
          <w:ilvl w:val="0"/>
          <w:numId w:val="15"/>
        </w:numPr>
        <w:spacing w:line="276" w:lineRule="auto"/>
        <w:rPr>
          <w:rFonts w:cs="Tahoma"/>
          <w:szCs w:val="24"/>
          <w:lang w:val="es-ES_tradnl"/>
        </w:rPr>
      </w:pPr>
      <w:r w:rsidRPr="00AE6CC4">
        <w:rPr>
          <w:rFonts w:cs="Tahoma"/>
          <w:szCs w:val="24"/>
          <w:lang w:val="es-ES_tradnl"/>
        </w:rPr>
        <w:t>Q</w:t>
      </w:r>
      <w:r w:rsidR="005D50C7" w:rsidRPr="00AE6CC4">
        <w:rPr>
          <w:rFonts w:cs="Tahoma"/>
          <w:szCs w:val="24"/>
          <w:lang w:val="es-ES_tradnl"/>
        </w:rPr>
        <w:t xml:space="preserve">ue en </w:t>
      </w:r>
      <w:r w:rsidR="007B7977" w:rsidRPr="00AE6CC4">
        <w:rPr>
          <w:rFonts w:cs="Tahoma"/>
          <w:szCs w:val="24"/>
          <w:lang w:val="es-ES_tradnl"/>
        </w:rPr>
        <w:t>document</w:t>
      </w:r>
      <w:r w:rsidR="005D50C7" w:rsidRPr="00AE6CC4">
        <w:rPr>
          <w:rFonts w:cs="Tahoma"/>
          <w:szCs w:val="24"/>
          <w:lang w:val="es-ES_tradnl"/>
        </w:rPr>
        <w:t>o del 4 de febrero de 2019</w:t>
      </w:r>
      <w:r w:rsidRPr="00AE6CC4">
        <w:rPr>
          <w:rFonts w:cs="Tahoma"/>
          <w:szCs w:val="24"/>
          <w:lang w:val="es-ES_tradnl"/>
        </w:rPr>
        <w:t xml:space="preserve"> dicha sociedad</w:t>
      </w:r>
      <w:r w:rsidR="005D50C7" w:rsidRPr="00AE6CC4">
        <w:rPr>
          <w:rFonts w:cs="Tahoma"/>
          <w:szCs w:val="24"/>
          <w:lang w:val="es-ES_tradnl"/>
        </w:rPr>
        <w:t xml:space="preserve"> informó </w:t>
      </w:r>
      <w:r w:rsidR="007B7977" w:rsidRPr="00AE6CC4">
        <w:rPr>
          <w:rFonts w:cs="Tahoma"/>
          <w:szCs w:val="24"/>
          <w:lang w:val="es-ES_tradnl"/>
        </w:rPr>
        <w:t xml:space="preserve">al actor </w:t>
      </w:r>
      <w:r w:rsidR="005D50C7" w:rsidRPr="00AE6CC4">
        <w:rPr>
          <w:rFonts w:cs="Tahoma"/>
          <w:szCs w:val="24"/>
          <w:lang w:val="es-ES_tradnl"/>
        </w:rPr>
        <w:t>que la prestación sería asumida por Seguros de Vida Alfa S.A.</w:t>
      </w:r>
      <w:r w:rsidR="007B7977" w:rsidRPr="00AE6CC4">
        <w:rPr>
          <w:rStyle w:val="Refdenotaalpie"/>
          <w:rFonts w:cs="Tahoma"/>
          <w:szCs w:val="24"/>
          <w:lang w:val="es-ES_tradnl"/>
        </w:rPr>
        <w:footnoteReference w:id="3"/>
      </w:r>
      <w:r w:rsidR="005D50C7" w:rsidRPr="00AE6CC4">
        <w:rPr>
          <w:rFonts w:cs="Tahoma"/>
          <w:szCs w:val="24"/>
          <w:lang w:val="es-ES_tradnl"/>
        </w:rPr>
        <w:t xml:space="preserve">, a partir de </w:t>
      </w:r>
      <w:r w:rsidRPr="00AE6CC4">
        <w:rPr>
          <w:rFonts w:cs="Tahoma"/>
          <w:szCs w:val="24"/>
          <w:lang w:val="es-ES_tradnl"/>
        </w:rPr>
        <w:t xml:space="preserve">aquel </w:t>
      </w:r>
      <w:r w:rsidR="005D50C7" w:rsidRPr="00AE6CC4">
        <w:rPr>
          <w:rFonts w:cs="Tahoma"/>
          <w:szCs w:val="24"/>
          <w:lang w:val="es-ES_tradnl"/>
        </w:rPr>
        <w:t>mes, en cuantía de $1.666.720</w:t>
      </w:r>
      <w:r w:rsidR="007B7977" w:rsidRPr="00AE6CC4">
        <w:rPr>
          <w:rFonts w:cs="Tahoma"/>
          <w:szCs w:val="24"/>
          <w:lang w:val="es-ES_tradnl"/>
        </w:rPr>
        <w:t>,</w:t>
      </w:r>
      <w:r w:rsidR="005D50C7" w:rsidRPr="00AE6CC4">
        <w:rPr>
          <w:rFonts w:cs="Tahoma"/>
          <w:szCs w:val="24"/>
          <w:lang w:val="es-ES_tradnl"/>
        </w:rPr>
        <w:t xml:space="preserve"> que con el descuento correspondiente a salud </w:t>
      </w:r>
      <w:r w:rsidRPr="00AE6CC4">
        <w:rPr>
          <w:rFonts w:cs="Tahoma"/>
          <w:szCs w:val="24"/>
          <w:lang w:val="es-ES_tradnl"/>
        </w:rPr>
        <w:t xml:space="preserve">equivaldría a </w:t>
      </w:r>
      <w:r w:rsidR="005D50C7" w:rsidRPr="00AE6CC4">
        <w:rPr>
          <w:rFonts w:cs="Tahoma"/>
          <w:szCs w:val="24"/>
          <w:lang w:val="es-ES_tradnl"/>
        </w:rPr>
        <w:t xml:space="preserve">un monto neto de $1.466.620. </w:t>
      </w:r>
      <w:r w:rsidR="00222944" w:rsidRPr="00AE6CC4">
        <w:rPr>
          <w:rFonts w:cs="Tahoma"/>
          <w:szCs w:val="24"/>
          <w:lang w:val="es-ES_tradnl"/>
        </w:rPr>
        <w:t>En el mismo documento la AFP señala que realizó la consignación de la suma de $60.535.569, por concepto del retroactivo causado entre el 28 de abril de 2009</w:t>
      </w:r>
      <w:r w:rsidR="00057439" w:rsidRPr="00AE6CC4">
        <w:rPr>
          <w:rFonts w:cs="Tahoma"/>
          <w:szCs w:val="24"/>
          <w:lang w:val="es-ES_tradnl"/>
        </w:rPr>
        <w:t xml:space="preserve"> y el mes de enero de 2019</w:t>
      </w:r>
      <w:r w:rsidRPr="00AE6CC4">
        <w:rPr>
          <w:rStyle w:val="Refdenotaalpie"/>
          <w:rFonts w:cs="Tahoma"/>
          <w:szCs w:val="24"/>
          <w:lang w:val="es-ES_tradnl"/>
        </w:rPr>
        <w:footnoteReference w:id="4"/>
      </w:r>
      <w:r w:rsidR="005D50C7" w:rsidRPr="00AE6CC4">
        <w:rPr>
          <w:rFonts w:cs="Tahoma"/>
          <w:szCs w:val="24"/>
          <w:lang w:val="es-ES_tradnl"/>
        </w:rPr>
        <w:t>.</w:t>
      </w:r>
    </w:p>
    <w:p w14:paraId="27CC3AB1" w14:textId="77777777" w:rsidR="00057439" w:rsidRPr="00AE6CC4" w:rsidRDefault="00057439" w:rsidP="00AE6CC4">
      <w:pPr>
        <w:pStyle w:val="Prrafodelista"/>
        <w:spacing w:line="276" w:lineRule="auto"/>
        <w:rPr>
          <w:rFonts w:cs="Tahoma"/>
          <w:szCs w:val="24"/>
          <w:lang w:val="es-ES_tradnl"/>
        </w:rPr>
      </w:pPr>
    </w:p>
    <w:p w14:paraId="4307BF41" w14:textId="1A58A364" w:rsidR="00057439" w:rsidRPr="00AE6CC4" w:rsidRDefault="00057439" w:rsidP="00AE6CC4">
      <w:pPr>
        <w:pStyle w:val="Prrafodelista"/>
        <w:numPr>
          <w:ilvl w:val="0"/>
          <w:numId w:val="15"/>
        </w:numPr>
        <w:spacing w:line="276" w:lineRule="auto"/>
        <w:rPr>
          <w:rFonts w:cs="Tahoma"/>
          <w:szCs w:val="24"/>
          <w:lang w:val="es-ES_tradnl"/>
        </w:rPr>
      </w:pPr>
      <w:r w:rsidRPr="00AE6CC4">
        <w:rPr>
          <w:rFonts w:cs="Tahoma"/>
          <w:szCs w:val="24"/>
          <w:lang w:val="es-ES_tradnl"/>
        </w:rPr>
        <w:t>Que</w:t>
      </w:r>
      <w:r w:rsidR="00D01643" w:rsidRPr="00AE6CC4">
        <w:rPr>
          <w:rFonts w:cs="Tahoma"/>
          <w:szCs w:val="24"/>
          <w:lang w:val="es-ES_tradnl"/>
        </w:rPr>
        <w:t>,</w:t>
      </w:r>
      <w:r w:rsidRPr="00AE6CC4">
        <w:rPr>
          <w:rFonts w:cs="Tahoma"/>
          <w:szCs w:val="24"/>
          <w:lang w:val="es-ES_tradnl"/>
        </w:rPr>
        <w:t xml:space="preserve"> en escrito del 8 de febrero de 2019, Porvenir explica al actor, anexando la respectiva liquidación, que las mesadas causadas entre el 28 de abril de 2009 y el 9 de diciembre de 2015 prescribieron, por lo que los $60.535.569 correspondían a las generadas entre el 10 de diciembre de 2015 y el 17 de enero de 2019, previo descuento del 12% por concepto de aportes a salud</w:t>
      </w:r>
      <w:r w:rsidR="00195142" w:rsidRPr="00AE6CC4">
        <w:rPr>
          <w:rStyle w:val="Refdenotaalpie"/>
          <w:rFonts w:cs="Tahoma"/>
          <w:szCs w:val="24"/>
          <w:lang w:val="es-ES_tradnl"/>
        </w:rPr>
        <w:footnoteReference w:id="5"/>
      </w:r>
      <w:r w:rsidR="00195142" w:rsidRPr="00AE6CC4">
        <w:rPr>
          <w:rFonts w:cs="Tahoma"/>
          <w:szCs w:val="24"/>
          <w:lang w:val="es-ES_tradnl"/>
        </w:rPr>
        <w:t>.</w:t>
      </w:r>
    </w:p>
    <w:p w14:paraId="50A6F607" w14:textId="77777777" w:rsidR="00D01643" w:rsidRPr="00AE6CC4" w:rsidRDefault="00D01643" w:rsidP="00AE6CC4">
      <w:pPr>
        <w:pStyle w:val="Prrafodelista"/>
        <w:spacing w:line="276" w:lineRule="auto"/>
        <w:rPr>
          <w:rFonts w:cs="Tahoma"/>
          <w:szCs w:val="24"/>
          <w:lang w:val="es-ES_tradnl"/>
        </w:rPr>
      </w:pPr>
    </w:p>
    <w:p w14:paraId="16C39B4D" w14:textId="7EBF40DC" w:rsidR="00983BAF" w:rsidRPr="00AE6CC4" w:rsidRDefault="00195142" w:rsidP="00AE6CC4">
      <w:pPr>
        <w:pStyle w:val="Prrafodelista"/>
        <w:numPr>
          <w:ilvl w:val="1"/>
          <w:numId w:val="13"/>
        </w:numPr>
        <w:spacing w:line="276" w:lineRule="auto"/>
        <w:ind w:left="1418"/>
        <w:rPr>
          <w:rFonts w:cs="Tahoma"/>
          <w:b/>
          <w:bCs/>
          <w:szCs w:val="24"/>
          <w:lang w:val="es-ES_tradnl"/>
        </w:rPr>
      </w:pPr>
      <w:r w:rsidRPr="00AE6CC4">
        <w:rPr>
          <w:rFonts w:cs="Tahoma"/>
          <w:b/>
          <w:bCs/>
          <w:szCs w:val="24"/>
          <w:lang w:val="es-ES_tradnl"/>
        </w:rPr>
        <w:t xml:space="preserve">Caso concreto </w:t>
      </w:r>
    </w:p>
    <w:p w14:paraId="09B55024" w14:textId="77777777" w:rsidR="00195142" w:rsidRPr="00AE6CC4" w:rsidRDefault="00195142" w:rsidP="00AE6CC4">
      <w:pPr>
        <w:spacing w:line="276" w:lineRule="auto"/>
        <w:ind w:left="1440"/>
        <w:rPr>
          <w:rFonts w:cs="Tahoma"/>
          <w:szCs w:val="24"/>
          <w:lang w:val="es-ES_tradnl"/>
        </w:rPr>
      </w:pPr>
    </w:p>
    <w:p w14:paraId="62F4D9DF" w14:textId="6E569676" w:rsidR="00D46406" w:rsidRPr="00AE6CC4" w:rsidRDefault="007B7977" w:rsidP="00AE6CC4">
      <w:pPr>
        <w:pStyle w:val="Prrafodelista"/>
        <w:spacing w:line="276" w:lineRule="auto"/>
        <w:ind w:left="0" w:firstLine="709"/>
        <w:rPr>
          <w:rFonts w:cs="Tahoma"/>
          <w:szCs w:val="24"/>
          <w:lang w:val="es-CO"/>
        </w:rPr>
      </w:pPr>
      <w:bookmarkStart w:id="2" w:name="_Hlk71794633"/>
      <w:r w:rsidRPr="00AE6CC4">
        <w:rPr>
          <w:rFonts w:cs="Tahoma"/>
          <w:szCs w:val="24"/>
        </w:rPr>
        <w:t>Sea lo primero</w:t>
      </w:r>
      <w:r w:rsidR="00983BAF" w:rsidRPr="00AE6CC4">
        <w:rPr>
          <w:rFonts w:cs="Tahoma"/>
          <w:szCs w:val="24"/>
        </w:rPr>
        <w:t xml:space="preserve"> resaltar que el inciso final del artículo 40 de la Ley 100 de 1993 señala que </w:t>
      </w:r>
      <w:r w:rsidR="00983BAF" w:rsidRPr="00AE6CC4">
        <w:rPr>
          <w:rFonts w:cs="Tahoma"/>
          <w:i/>
          <w:iCs/>
          <w:szCs w:val="24"/>
        </w:rPr>
        <w:t>“la pensión de invalidez se reconocerá a solicitud de la parte interesada y comenzará a pagarse en forma retroactiva desde la fecha en que se produzca tal estado”</w:t>
      </w:r>
      <w:r w:rsidR="00983BAF" w:rsidRPr="00AE6CC4">
        <w:rPr>
          <w:rFonts w:cs="Tahoma"/>
          <w:szCs w:val="24"/>
        </w:rPr>
        <w:t xml:space="preserve">.  </w:t>
      </w:r>
      <w:r w:rsidR="00D46406" w:rsidRPr="00AE6CC4">
        <w:rPr>
          <w:rFonts w:cs="Tahoma"/>
          <w:szCs w:val="24"/>
          <w:lang w:val="es-CO"/>
        </w:rPr>
        <w:t>Al respecto, la Sala de Casación Laboral de la Corte Suprema de Justicia</w:t>
      </w:r>
      <w:r w:rsidR="008B2E17" w:rsidRPr="00AE6CC4">
        <w:rPr>
          <w:rFonts w:cs="Tahoma"/>
          <w:szCs w:val="24"/>
          <w:lang w:val="es-CO"/>
        </w:rPr>
        <w:t>,</w:t>
      </w:r>
      <w:r w:rsidR="00D46406" w:rsidRPr="00AE6CC4">
        <w:rPr>
          <w:rFonts w:cs="Tahoma"/>
          <w:szCs w:val="24"/>
          <w:lang w:val="es-CO"/>
        </w:rPr>
        <w:t xml:space="preserve"> en sentencia SL1562-2019</w:t>
      </w:r>
      <w:r w:rsidR="00D46406" w:rsidRPr="00AE6CC4">
        <w:rPr>
          <w:rStyle w:val="Refdenotaalpie"/>
          <w:rFonts w:cs="Tahoma"/>
          <w:szCs w:val="24"/>
          <w:lang w:val="es-CO"/>
        </w:rPr>
        <w:footnoteReference w:id="6"/>
      </w:r>
      <w:r w:rsidR="00D46406" w:rsidRPr="00AE6CC4">
        <w:rPr>
          <w:rFonts w:cs="Tahoma"/>
          <w:szCs w:val="24"/>
          <w:lang w:val="es-CO"/>
        </w:rPr>
        <w:t xml:space="preserve">, expuso </w:t>
      </w:r>
      <w:r w:rsidR="008B2E17" w:rsidRPr="00AE6CC4">
        <w:rPr>
          <w:rFonts w:cs="Tahoma"/>
          <w:szCs w:val="24"/>
          <w:lang w:val="es-CO"/>
        </w:rPr>
        <w:t>su</w:t>
      </w:r>
      <w:r w:rsidR="00D46406" w:rsidRPr="00AE6CC4">
        <w:rPr>
          <w:rFonts w:cs="Tahoma"/>
          <w:szCs w:val="24"/>
          <w:lang w:val="es-CO"/>
        </w:rPr>
        <w:t xml:space="preserve"> postura </w:t>
      </w:r>
      <w:r w:rsidR="008B2E17" w:rsidRPr="00AE6CC4">
        <w:rPr>
          <w:rFonts w:cs="Tahoma"/>
          <w:szCs w:val="24"/>
          <w:lang w:val="es-CO"/>
        </w:rPr>
        <w:t>con relación</w:t>
      </w:r>
      <w:r w:rsidR="00D46406" w:rsidRPr="00AE6CC4">
        <w:rPr>
          <w:rFonts w:cs="Tahoma"/>
          <w:szCs w:val="24"/>
          <w:lang w:val="es-CO"/>
        </w:rPr>
        <w:t xml:space="preserve"> al momento a partir del cual debe concederse la prestación</w:t>
      </w:r>
      <w:r w:rsidR="00256512" w:rsidRPr="00AE6CC4">
        <w:rPr>
          <w:rFonts w:cs="Tahoma"/>
          <w:szCs w:val="24"/>
          <w:lang w:val="es-CO"/>
        </w:rPr>
        <w:t>, en los términos</w:t>
      </w:r>
      <w:r w:rsidRPr="00AE6CC4">
        <w:rPr>
          <w:rFonts w:cs="Tahoma"/>
          <w:szCs w:val="24"/>
          <w:lang w:val="es-CO"/>
        </w:rPr>
        <w:t xml:space="preserve"> que a modo de ilustración se traen a colación</w:t>
      </w:r>
      <w:r w:rsidR="00256512" w:rsidRPr="00AE6CC4">
        <w:rPr>
          <w:rFonts w:cs="Tahoma"/>
          <w:szCs w:val="24"/>
          <w:lang w:val="es-CO"/>
        </w:rPr>
        <w:t>:</w:t>
      </w:r>
    </w:p>
    <w:p w14:paraId="3B58A23C" w14:textId="1810A101" w:rsidR="00256512" w:rsidRPr="00AE6CC4" w:rsidRDefault="00256512" w:rsidP="00AE6CC4">
      <w:pPr>
        <w:pStyle w:val="Prrafodelista"/>
        <w:spacing w:line="276" w:lineRule="auto"/>
        <w:ind w:left="0" w:firstLine="709"/>
        <w:rPr>
          <w:rFonts w:cs="Tahoma"/>
          <w:szCs w:val="24"/>
          <w:lang w:val="es-CO"/>
        </w:rPr>
      </w:pPr>
    </w:p>
    <w:p w14:paraId="5D92CF5A" w14:textId="0B10E033" w:rsidR="00256512" w:rsidRPr="002A3A09" w:rsidRDefault="00256512" w:rsidP="002A3A09">
      <w:pPr>
        <w:pStyle w:val="Prrafodelista"/>
        <w:spacing w:line="240" w:lineRule="auto"/>
        <w:ind w:left="426" w:right="420"/>
        <w:rPr>
          <w:rFonts w:cs="Tahoma"/>
          <w:sz w:val="22"/>
          <w:szCs w:val="24"/>
          <w:lang w:val="es-CO"/>
        </w:rPr>
      </w:pPr>
      <w:r w:rsidRPr="002A3A09">
        <w:rPr>
          <w:rFonts w:cs="Tahoma"/>
          <w:sz w:val="22"/>
          <w:szCs w:val="24"/>
          <w:lang w:val="es-CO"/>
        </w:rPr>
        <w:t xml:space="preserve">“Al </w:t>
      </w:r>
      <w:r w:rsidR="002A3A09" w:rsidRPr="002A3A09">
        <w:rPr>
          <w:rFonts w:cs="Tahoma"/>
          <w:sz w:val="22"/>
          <w:szCs w:val="24"/>
          <w:lang w:val="es-CO"/>
        </w:rPr>
        <w:t>respecto, se</w:t>
      </w:r>
      <w:r w:rsidRPr="002A3A09">
        <w:rPr>
          <w:rFonts w:cs="Tahoma"/>
          <w:sz w:val="22"/>
          <w:szCs w:val="24"/>
          <w:lang w:val="es-CO"/>
        </w:rPr>
        <w:t xml:space="preserve"> insiste en que el citado artículo 40 de la Ley 100 de 1993 es claro en indicar que </w:t>
      </w:r>
      <w:r w:rsidRPr="002A3A09">
        <w:rPr>
          <w:rFonts w:cs="Tahoma"/>
          <w:sz w:val="22"/>
          <w:szCs w:val="24"/>
          <w:lang w:val="es-ES_tradnl"/>
        </w:rPr>
        <w:t>la pensión de invalidez por riesgo común debe otorgarse, de manera retroactiva, a partir de la fecha en que se produce el estado de invalidez</w:t>
      </w:r>
      <w:r w:rsidRPr="002A3A09">
        <w:rPr>
          <w:rFonts w:cs="Tahoma"/>
          <w:sz w:val="22"/>
          <w:szCs w:val="24"/>
          <w:lang w:val="es-CO"/>
        </w:rPr>
        <w:t>, es decir,</w:t>
      </w:r>
      <w:r w:rsidRPr="002A3A09">
        <w:rPr>
          <w:rFonts w:cs="Tahoma"/>
          <w:sz w:val="22"/>
          <w:szCs w:val="24"/>
          <w:lang w:val="es-ES_tradnl"/>
        </w:rPr>
        <w:t xml:space="preserve"> desde cuando la pérdida de la capacidad laboral alcanza un porcentaje igual o superior al 50% (artículo 39 de la Ley 100 de 1993).  De lo que se deriva</w:t>
      </w:r>
      <w:r w:rsidRPr="002A3A09">
        <w:rPr>
          <w:rFonts w:cs="Tahoma"/>
          <w:sz w:val="22"/>
          <w:szCs w:val="24"/>
          <w:lang w:val="es-CO"/>
        </w:rPr>
        <w:t xml:space="preserve"> que el legislador en el citado precepto no estableció ni explícita ni tácitamente, condición alguna, diferente al estado de invalidez, para proceder al reconocimiento del derecho pensional desde la fecha de estructuración.” </w:t>
      </w:r>
    </w:p>
    <w:p w14:paraId="50FD647A" w14:textId="77777777" w:rsidR="00256512" w:rsidRPr="00AE6CC4" w:rsidRDefault="00256512" w:rsidP="00AE6CC4">
      <w:pPr>
        <w:pStyle w:val="Prrafodelista"/>
        <w:spacing w:line="276" w:lineRule="auto"/>
        <w:ind w:left="0" w:firstLine="709"/>
        <w:rPr>
          <w:rFonts w:cs="Tahoma"/>
          <w:szCs w:val="24"/>
          <w:lang w:val="es-CO"/>
        </w:rPr>
      </w:pPr>
    </w:p>
    <w:p w14:paraId="526FD150" w14:textId="2DB69CF0" w:rsidR="00256512" w:rsidRPr="00AE6CC4" w:rsidRDefault="00256512" w:rsidP="00AE6CC4">
      <w:pPr>
        <w:pStyle w:val="Prrafodelista"/>
        <w:spacing w:line="276" w:lineRule="auto"/>
        <w:ind w:left="0" w:firstLine="709"/>
        <w:rPr>
          <w:rFonts w:cs="Tahoma"/>
          <w:szCs w:val="24"/>
        </w:rPr>
      </w:pPr>
      <w:r w:rsidRPr="00AE6CC4">
        <w:rPr>
          <w:rFonts w:cs="Tahoma"/>
          <w:szCs w:val="24"/>
        </w:rPr>
        <w:lastRenderedPageBreak/>
        <w:t>Ahora bien, en lo que concierne al caso concreto y de cara a los recursos interpuestos, en la misma providencia se invocó el precedente de la Alta Magistratura, referente al momento a partir del cual debe contabilizarse el término prescriptivo</w:t>
      </w:r>
      <w:r w:rsidR="00537710" w:rsidRPr="00AE6CC4">
        <w:rPr>
          <w:rFonts w:cs="Tahoma"/>
          <w:szCs w:val="24"/>
        </w:rPr>
        <w:t>,</w:t>
      </w:r>
      <w:r w:rsidRPr="00AE6CC4">
        <w:rPr>
          <w:rFonts w:cs="Tahoma"/>
          <w:szCs w:val="24"/>
        </w:rPr>
        <w:t xml:space="preserve"> </w:t>
      </w:r>
      <w:r w:rsidR="00537710" w:rsidRPr="00AE6CC4">
        <w:rPr>
          <w:rFonts w:cs="Tahoma"/>
          <w:szCs w:val="24"/>
        </w:rPr>
        <w:t>reiterando que el mismo es aquel en el que adquiere firmeza el dictamen emitido por la autoridad competente</w:t>
      </w:r>
      <w:r w:rsidRPr="00AE6CC4">
        <w:rPr>
          <w:rFonts w:cs="Tahoma"/>
          <w:szCs w:val="24"/>
        </w:rPr>
        <w:t>.</w:t>
      </w:r>
      <w:r w:rsidR="00537710" w:rsidRPr="00AE6CC4">
        <w:rPr>
          <w:rFonts w:cs="Tahoma"/>
          <w:szCs w:val="24"/>
        </w:rPr>
        <w:t xml:space="preserve"> </w:t>
      </w:r>
      <w:r w:rsidR="008B2E17" w:rsidRPr="00AE6CC4">
        <w:rPr>
          <w:rFonts w:cs="Tahoma"/>
          <w:szCs w:val="24"/>
        </w:rPr>
        <w:t xml:space="preserve">Así lo dispuso </w:t>
      </w:r>
      <w:r w:rsidR="00537710" w:rsidRPr="00AE6CC4">
        <w:rPr>
          <w:rFonts w:cs="Tahoma"/>
          <w:szCs w:val="24"/>
        </w:rPr>
        <w:t>la Corte:</w:t>
      </w:r>
    </w:p>
    <w:p w14:paraId="317173B2" w14:textId="77777777" w:rsidR="00537710" w:rsidRPr="00AE6CC4" w:rsidRDefault="00537710" w:rsidP="00AE6CC4">
      <w:pPr>
        <w:pStyle w:val="Prrafodelista"/>
        <w:spacing w:line="276" w:lineRule="auto"/>
        <w:ind w:left="0" w:firstLine="709"/>
        <w:rPr>
          <w:rFonts w:cs="Tahoma"/>
          <w:szCs w:val="24"/>
        </w:rPr>
      </w:pPr>
    </w:p>
    <w:p w14:paraId="74CFCF2A" w14:textId="675BF2E8" w:rsidR="00537710" w:rsidRPr="002A3A09" w:rsidRDefault="00BE0D79" w:rsidP="002A3A09">
      <w:pPr>
        <w:pStyle w:val="Prrafodelista"/>
        <w:spacing w:line="240" w:lineRule="auto"/>
        <w:ind w:left="426" w:right="420"/>
        <w:rPr>
          <w:rFonts w:cs="Tahoma"/>
          <w:sz w:val="22"/>
          <w:szCs w:val="24"/>
          <w:lang w:val="es-CO"/>
        </w:rPr>
      </w:pPr>
      <w:r w:rsidRPr="002A3A09">
        <w:rPr>
          <w:rFonts w:cs="Tahoma"/>
          <w:sz w:val="22"/>
          <w:szCs w:val="24"/>
          <w:lang w:val="es-CO"/>
        </w:rPr>
        <w:t>“</w:t>
      </w:r>
      <w:r w:rsidR="00537710" w:rsidRPr="002A3A09">
        <w:rPr>
          <w:rFonts w:cs="Tahoma"/>
          <w:sz w:val="22"/>
          <w:szCs w:val="24"/>
          <w:lang w:val="es-CO"/>
        </w:rPr>
        <w:t xml:space="preserve">En relación con la indebida interpretación que alega el recurrente respecto de los artículos 488 del Código Sustantivo del Trabajo y 151 del Código de Procedimiento laboral, considera esta Sala que el Tribunal no </w:t>
      </w:r>
      <w:r w:rsidR="002A3A09" w:rsidRPr="002A3A09">
        <w:rPr>
          <w:rFonts w:cs="Tahoma"/>
          <w:sz w:val="22"/>
          <w:szCs w:val="24"/>
          <w:lang w:val="es-CO"/>
        </w:rPr>
        <w:t>desconoció el</w:t>
      </w:r>
      <w:r w:rsidR="00537710" w:rsidRPr="002A3A09">
        <w:rPr>
          <w:rFonts w:cs="Tahoma"/>
          <w:sz w:val="22"/>
          <w:szCs w:val="24"/>
          <w:lang w:val="es-CO"/>
        </w:rPr>
        <w:t xml:space="preserve"> genuino sentido de estas disposiciones en lo que atañe a la data de exigibilidad de </w:t>
      </w:r>
      <w:r w:rsidR="002A3A09" w:rsidRPr="002A3A09">
        <w:rPr>
          <w:rFonts w:cs="Tahoma"/>
          <w:sz w:val="22"/>
          <w:szCs w:val="24"/>
          <w:lang w:val="es-CO"/>
        </w:rPr>
        <w:t>la obligación</w:t>
      </w:r>
      <w:r w:rsidR="00537710" w:rsidRPr="002A3A09">
        <w:rPr>
          <w:rFonts w:cs="Tahoma"/>
          <w:sz w:val="22"/>
          <w:szCs w:val="24"/>
          <w:lang w:val="es-CO"/>
        </w:rPr>
        <w:t xml:space="preserve"> pensional, desde la cual debe contabilizarse el término de prescripción. Así pues, en sentencia CSJ SL 5703- </w:t>
      </w:r>
      <w:r w:rsidR="002A3A09" w:rsidRPr="002A3A09">
        <w:rPr>
          <w:rFonts w:cs="Tahoma"/>
          <w:sz w:val="22"/>
          <w:szCs w:val="24"/>
          <w:lang w:val="es-CO"/>
        </w:rPr>
        <w:t>2015 (</w:t>
      </w:r>
      <w:r w:rsidR="00537710" w:rsidRPr="002A3A09">
        <w:rPr>
          <w:rFonts w:cs="Tahoma"/>
          <w:sz w:val="22"/>
          <w:szCs w:val="24"/>
          <w:lang w:val="es-CO"/>
        </w:rPr>
        <w:t xml:space="preserve">que reiteró las decisiones CSJ SL, del 17 de oct. de 2008, rad. 28821 y CSJ SL, del 6 de jul. de 2011, rad. 39867, CSJ SL, del 3 de </w:t>
      </w:r>
      <w:proofErr w:type="spellStart"/>
      <w:r w:rsidR="00537710" w:rsidRPr="002A3A09">
        <w:rPr>
          <w:rFonts w:cs="Tahoma"/>
          <w:sz w:val="22"/>
          <w:szCs w:val="24"/>
          <w:lang w:val="es-CO"/>
        </w:rPr>
        <w:t>ag</w:t>
      </w:r>
      <w:proofErr w:type="spellEnd"/>
      <w:r w:rsidR="00537710" w:rsidRPr="002A3A09">
        <w:rPr>
          <w:rFonts w:cs="Tahoma"/>
          <w:sz w:val="22"/>
          <w:szCs w:val="24"/>
          <w:lang w:val="es-CO"/>
        </w:rPr>
        <w:t xml:space="preserve">. de 2010, rad. 36131), se precisó que aunque el hecho dañoso que ocasionaba la pérdida de capacidad del afiliado se hubiese fijado de forma retroactiva y no concurrente con el  momento de la emisión del dictamen de calificación, ello no significaba que la exigibilidad de la prestación pensional naciese desde la estructuración del estado de invalidez, pues en últimas,  es a partir de la firmeza  del diagnóstico por parte de la correspondiente autoridad médica que el padecimiento alegado adquiría la connotación de un hecho determinado, cierto y exigible, y, por ende, producía efectos jurídicos en lo que se refería a las prestaciones sociales que de su ocurrencia emanaban. </w:t>
      </w:r>
    </w:p>
    <w:p w14:paraId="634B6821" w14:textId="77777777" w:rsidR="00537710" w:rsidRPr="002A3A09" w:rsidRDefault="00537710" w:rsidP="002A3A09">
      <w:pPr>
        <w:pStyle w:val="Prrafodelista"/>
        <w:spacing w:line="240" w:lineRule="auto"/>
        <w:ind w:left="426" w:right="420"/>
        <w:rPr>
          <w:rFonts w:cs="Tahoma"/>
          <w:sz w:val="22"/>
          <w:szCs w:val="24"/>
          <w:lang w:val="es-CO"/>
        </w:rPr>
      </w:pPr>
    </w:p>
    <w:p w14:paraId="5EE6AD27" w14:textId="3E71B82B" w:rsidR="00537710" w:rsidRPr="002A3A09" w:rsidRDefault="00537710" w:rsidP="002A3A09">
      <w:pPr>
        <w:pStyle w:val="Prrafodelista"/>
        <w:spacing w:line="240" w:lineRule="auto"/>
        <w:ind w:left="426" w:right="420"/>
        <w:rPr>
          <w:rFonts w:cs="Tahoma"/>
          <w:sz w:val="22"/>
          <w:szCs w:val="24"/>
          <w:lang w:val="es-CO"/>
        </w:rPr>
      </w:pPr>
      <w:r w:rsidRPr="002A3A09">
        <w:rPr>
          <w:rFonts w:cs="Tahoma"/>
          <w:sz w:val="22"/>
          <w:szCs w:val="24"/>
          <w:lang w:val="es-CO"/>
        </w:rPr>
        <w:t xml:space="preserve">Vistas así las cosas, en esta oportunidad debe reiterarse que es a partir del momento que la autoridad competente emite la calificación correspondiente y aquella alcanza firmeza, que existe posibilidad no solo de reclamar el derecho pensional, en los términos del artículo 39 de la Ley 100 de 1993, sino de contabilizar el término </w:t>
      </w:r>
      <w:proofErr w:type="spellStart"/>
      <w:r w:rsidRPr="002A3A09">
        <w:rPr>
          <w:rFonts w:cs="Tahoma"/>
          <w:sz w:val="22"/>
          <w:szCs w:val="24"/>
          <w:lang w:val="es-CO"/>
        </w:rPr>
        <w:t>trienial</w:t>
      </w:r>
      <w:proofErr w:type="spellEnd"/>
      <w:r w:rsidRPr="002A3A09">
        <w:rPr>
          <w:rFonts w:cs="Tahoma"/>
          <w:sz w:val="22"/>
          <w:szCs w:val="24"/>
          <w:lang w:val="es-CO"/>
        </w:rPr>
        <w:t xml:space="preserve"> encaminado a la consolidación del efecto extintivo de prescripción, pues no es lógico, pese a lo indicado por el recurrente, que si el derecho pensional no ha nacido a la vida jurídica, se alegue su declive por prescripción</w:t>
      </w:r>
      <w:r w:rsidR="00BE0D79" w:rsidRPr="002A3A09">
        <w:rPr>
          <w:rFonts w:cs="Tahoma"/>
          <w:sz w:val="22"/>
          <w:szCs w:val="24"/>
          <w:lang w:val="es-CO"/>
        </w:rPr>
        <w:t>”</w:t>
      </w:r>
      <w:r w:rsidRPr="002A3A09">
        <w:rPr>
          <w:rFonts w:cs="Tahoma"/>
          <w:sz w:val="22"/>
          <w:szCs w:val="24"/>
          <w:lang w:val="es-CO"/>
        </w:rPr>
        <w:t xml:space="preserve">. </w:t>
      </w:r>
    </w:p>
    <w:p w14:paraId="04E72ADA" w14:textId="77777777" w:rsidR="00D46406" w:rsidRPr="00AE6CC4" w:rsidRDefault="00D46406" w:rsidP="00AE6CC4">
      <w:pPr>
        <w:pStyle w:val="Prrafodelista"/>
        <w:spacing w:line="276" w:lineRule="auto"/>
        <w:ind w:left="0" w:firstLine="709"/>
        <w:rPr>
          <w:rFonts w:cs="Tahoma"/>
          <w:szCs w:val="24"/>
        </w:rPr>
      </w:pPr>
    </w:p>
    <w:p w14:paraId="779BC72E" w14:textId="77777777" w:rsidR="00BE0D79" w:rsidRPr="00AE6CC4" w:rsidRDefault="00983BAF" w:rsidP="00AE6CC4">
      <w:pPr>
        <w:pStyle w:val="Prrafodelista"/>
        <w:spacing w:line="276" w:lineRule="auto"/>
        <w:ind w:left="0" w:firstLine="709"/>
        <w:rPr>
          <w:rFonts w:cs="Tahoma"/>
          <w:szCs w:val="24"/>
        </w:rPr>
      </w:pPr>
      <w:bookmarkStart w:id="3" w:name="_Hlk82247505"/>
      <w:r w:rsidRPr="00AE6CC4">
        <w:rPr>
          <w:rFonts w:cs="Tahoma"/>
          <w:szCs w:val="24"/>
        </w:rPr>
        <w:t xml:space="preserve">Conforme a lo anterior, debe entenderse que al haberse fijado como fecha de estructuración de la pérdida de la capacidad laboral </w:t>
      </w:r>
      <w:r w:rsidR="009A205A" w:rsidRPr="00AE6CC4">
        <w:rPr>
          <w:rFonts w:cs="Tahoma"/>
          <w:szCs w:val="24"/>
        </w:rPr>
        <w:t xml:space="preserve">del señor Miguel Ángel Zurita </w:t>
      </w:r>
      <w:r w:rsidRPr="00AE6CC4">
        <w:rPr>
          <w:rFonts w:cs="Tahoma"/>
          <w:szCs w:val="24"/>
        </w:rPr>
        <w:t xml:space="preserve">el </w:t>
      </w:r>
      <w:r w:rsidR="00195142" w:rsidRPr="00AE6CC4">
        <w:rPr>
          <w:rFonts w:cs="Tahoma"/>
          <w:szCs w:val="24"/>
        </w:rPr>
        <w:t>28</w:t>
      </w:r>
      <w:r w:rsidRPr="00AE6CC4">
        <w:rPr>
          <w:rFonts w:cs="Tahoma"/>
          <w:szCs w:val="24"/>
        </w:rPr>
        <w:t xml:space="preserve"> de abril del año 20</w:t>
      </w:r>
      <w:r w:rsidR="00195142" w:rsidRPr="00AE6CC4">
        <w:rPr>
          <w:rFonts w:cs="Tahoma"/>
          <w:szCs w:val="24"/>
        </w:rPr>
        <w:t>09</w:t>
      </w:r>
      <w:r w:rsidR="009A205A" w:rsidRPr="00AE6CC4">
        <w:rPr>
          <w:rFonts w:cs="Tahoma"/>
          <w:szCs w:val="24"/>
        </w:rPr>
        <w:t xml:space="preserve"> (</w:t>
      </w:r>
      <w:proofErr w:type="spellStart"/>
      <w:r w:rsidR="009A205A" w:rsidRPr="00AE6CC4">
        <w:rPr>
          <w:rFonts w:cs="Tahoma"/>
          <w:szCs w:val="24"/>
        </w:rPr>
        <w:t>fl</w:t>
      </w:r>
      <w:proofErr w:type="spellEnd"/>
      <w:r w:rsidR="009A205A" w:rsidRPr="00AE6CC4">
        <w:rPr>
          <w:rFonts w:cs="Tahoma"/>
          <w:szCs w:val="24"/>
        </w:rPr>
        <w:t>. 29)</w:t>
      </w:r>
      <w:r w:rsidRPr="00AE6CC4">
        <w:rPr>
          <w:rFonts w:cs="Tahoma"/>
          <w:szCs w:val="24"/>
        </w:rPr>
        <w:t xml:space="preserve">, </w:t>
      </w:r>
      <w:r w:rsidR="00195142" w:rsidRPr="00AE6CC4">
        <w:rPr>
          <w:rFonts w:cs="Tahoma"/>
          <w:szCs w:val="24"/>
        </w:rPr>
        <w:t xml:space="preserve">tenía derecho </w:t>
      </w:r>
      <w:r w:rsidRPr="00AE6CC4">
        <w:rPr>
          <w:rFonts w:cs="Tahoma"/>
          <w:szCs w:val="24"/>
        </w:rPr>
        <w:t xml:space="preserve">a </w:t>
      </w:r>
      <w:r w:rsidR="00195142" w:rsidRPr="00AE6CC4">
        <w:rPr>
          <w:rFonts w:cs="Tahoma"/>
          <w:szCs w:val="24"/>
        </w:rPr>
        <w:t>que a p</w:t>
      </w:r>
      <w:r w:rsidRPr="00AE6CC4">
        <w:rPr>
          <w:rFonts w:cs="Tahoma"/>
          <w:szCs w:val="24"/>
        </w:rPr>
        <w:t xml:space="preserve">artir de ese momento </w:t>
      </w:r>
      <w:r w:rsidR="00195142" w:rsidRPr="00AE6CC4">
        <w:rPr>
          <w:rFonts w:cs="Tahoma"/>
          <w:szCs w:val="24"/>
        </w:rPr>
        <w:t>se le reconociera la prestación por invalidez</w:t>
      </w:r>
      <w:r w:rsidR="00537710" w:rsidRPr="00AE6CC4">
        <w:rPr>
          <w:rFonts w:cs="Tahoma"/>
          <w:szCs w:val="24"/>
        </w:rPr>
        <w:t xml:space="preserve">, </w:t>
      </w:r>
      <w:r w:rsidRPr="00AE6CC4">
        <w:rPr>
          <w:rFonts w:cs="Tahoma"/>
          <w:szCs w:val="24"/>
        </w:rPr>
        <w:t>de manera retroactiva</w:t>
      </w:r>
      <w:r w:rsidR="008D2A76" w:rsidRPr="00AE6CC4">
        <w:rPr>
          <w:rFonts w:cs="Tahoma"/>
          <w:szCs w:val="24"/>
        </w:rPr>
        <w:t>;</w:t>
      </w:r>
      <w:r w:rsidR="00537710" w:rsidRPr="00AE6CC4">
        <w:rPr>
          <w:rFonts w:cs="Tahoma"/>
          <w:szCs w:val="24"/>
        </w:rPr>
        <w:t xml:space="preserve"> sin que hubiera operado el fenómeno extintivo de la prescripción</w:t>
      </w:r>
      <w:bookmarkEnd w:id="2"/>
      <w:r w:rsidRPr="00AE6CC4">
        <w:rPr>
          <w:rFonts w:cs="Tahoma"/>
          <w:szCs w:val="24"/>
        </w:rPr>
        <w:t xml:space="preserve"> por cuanto, entre la fecha en quedó en firme el dictamen</w:t>
      </w:r>
      <w:r w:rsidR="00B56798" w:rsidRPr="00AE6CC4">
        <w:rPr>
          <w:rFonts w:cs="Tahoma"/>
          <w:szCs w:val="24"/>
        </w:rPr>
        <w:t xml:space="preserve"> (1º de junio de 2017)</w:t>
      </w:r>
      <w:r w:rsidRPr="00AE6CC4">
        <w:rPr>
          <w:rFonts w:cs="Tahoma"/>
          <w:szCs w:val="24"/>
        </w:rPr>
        <w:t>, la reclamación administrativa y la demanda</w:t>
      </w:r>
      <w:r w:rsidR="00BE0D79" w:rsidRPr="00AE6CC4">
        <w:rPr>
          <w:rFonts w:cs="Tahoma"/>
          <w:szCs w:val="24"/>
        </w:rPr>
        <w:t xml:space="preserve">, </w:t>
      </w:r>
      <w:r w:rsidRPr="00AE6CC4">
        <w:rPr>
          <w:rFonts w:cs="Tahoma"/>
          <w:szCs w:val="24"/>
        </w:rPr>
        <w:t xml:space="preserve">no se superó el término trienal establecido en </w:t>
      </w:r>
      <w:r w:rsidR="008D2A76" w:rsidRPr="00AE6CC4">
        <w:rPr>
          <w:rFonts w:cs="Tahoma"/>
          <w:szCs w:val="24"/>
        </w:rPr>
        <w:t>e</w:t>
      </w:r>
      <w:r w:rsidRPr="00AE6CC4">
        <w:rPr>
          <w:rFonts w:cs="Tahoma"/>
          <w:szCs w:val="24"/>
        </w:rPr>
        <w:t>l artículo</w:t>
      </w:r>
      <w:r w:rsidR="008D2A76" w:rsidRPr="00AE6CC4">
        <w:rPr>
          <w:rFonts w:cs="Tahoma"/>
          <w:szCs w:val="24"/>
        </w:rPr>
        <w:t xml:space="preserve"> </w:t>
      </w:r>
      <w:r w:rsidRPr="00AE6CC4">
        <w:rPr>
          <w:rFonts w:cs="Tahoma"/>
          <w:szCs w:val="24"/>
        </w:rPr>
        <w:t>151 del CPT y la s.s.</w:t>
      </w:r>
      <w:r w:rsidR="007B7977" w:rsidRPr="00AE6CC4">
        <w:rPr>
          <w:rFonts w:cs="Tahoma"/>
          <w:szCs w:val="24"/>
        </w:rPr>
        <w:t xml:space="preserve"> </w:t>
      </w:r>
      <w:bookmarkEnd w:id="3"/>
      <w:r w:rsidR="007B7977" w:rsidRPr="00AE6CC4">
        <w:rPr>
          <w:rFonts w:cs="Tahoma"/>
          <w:szCs w:val="24"/>
        </w:rPr>
        <w:t>De esta manera, se despacha desfavorable el recurso de apelación que sobre este aspecto interpuso la togada de las sociedades Porvenir y Seguros de Vida Alfa.</w:t>
      </w:r>
      <w:r w:rsidR="00BE0D79" w:rsidRPr="00AE6CC4">
        <w:rPr>
          <w:rFonts w:cs="Tahoma"/>
          <w:szCs w:val="24"/>
        </w:rPr>
        <w:t xml:space="preserve"> </w:t>
      </w:r>
    </w:p>
    <w:p w14:paraId="4AF484E3" w14:textId="77777777" w:rsidR="00BE0D79" w:rsidRPr="00AE6CC4" w:rsidRDefault="00BE0D79" w:rsidP="00AE6CC4">
      <w:pPr>
        <w:pStyle w:val="Prrafodelista"/>
        <w:spacing w:line="276" w:lineRule="auto"/>
        <w:ind w:left="0" w:firstLine="709"/>
        <w:rPr>
          <w:rFonts w:cs="Tahoma"/>
          <w:szCs w:val="24"/>
        </w:rPr>
      </w:pPr>
    </w:p>
    <w:p w14:paraId="1F12AEBD" w14:textId="77777777" w:rsidR="00232A8F" w:rsidRPr="00AE6CC4" w:rsidRDefault="006265D8" w:rsidP="00AE6CC4">
      <w:pPr>
        <w:pStyle w:val="Prrafodelista"/>
        <w:spacing w:line="276" w:lineRule="auto"/>
        <w:ind w:left="0" w:firstLine="709"/>
        <w:rPr>
          <w:rFonts w:cs="Tahoma"/>
          <w:szCs w:val="24"/>
        </w:rPr>
      </w:pPr>
      <w:r w:rsidRPr="00AE6CC4">
        <w:rPr>
          <w:rFonts w:cs="Tahoma"/>
          <w:szCs w:val="24"/>
        </w:rPr>
        <w:t>N</w:t>
      </w:r>
      <w:r w:rsidR="00BE0D79" w:rsidRPr="00AE6CC4">
        <w:rPr>
          <w:rFonts w:cs="Tahoma"/>
          <w:szCs w:val="24"/>
        </w:rPr>
        <w:t>o sobra recordarle</w:t>
      </w:r>
      <w:r w:rsidRPr="00AE6CC4">
        <w:rPr>
          <w:rFonts w:cs="Tahoma"/>
          <w:szCs w:val="24"/>
        </w:rPr>
        <w:t>s</w:t>
      </w:r>
      <w:r w:rsidR="00BE0D79" w:rsidRPr="00AE6CC4">
        <w:rPr>
          <w:rFonts w:cs="Tahoma"/>
          <w:szCs w:val="24"/>
        </w:rPr>
        <w:t xml:space="preserve"> a las demandadas que teniendo a cargo la administración del derecho fundamental a la seguridad social en pensiones, les corresponde acatar los precedentes jurisprudenciales de las altas Cortes relacionados con los asuntos que administran para evitar procesos </w:t>
      </w:r>
      <w:r w:rsidRPr="00AE6CC4">
        <w:rPr>
          <w:rFonts w:cs="Tahoma"/>
          <w:szCs w:val="24"/>
        </w:rPr>
        <w:t xml:space="preserve">judiciales </w:t>
      </w:r>
      <w:r w:rsidR="00BE0D79" w:rsidRPr="00AE6CC4">
        <w:rPr>
          <w:rFonts w:cs="Tahoma"/>
          <w:szCs w:val="24"/>
        </w:rPr>
        <w:t>innecesarios que lo único que hacen es congestionar el aparato jurisprudencial.</w:t>
      </w:r>
    </w:p>
    <w:p w14:paraId="287636A5" w14:textId="58CD7E24" w:rsidR="00983BAF" w:rsidRPr="00AE6CC4" w:rsidRDefault="00BE0D79" w:rsidP="00AE6CC4">
      <w:pPr>
        <w:pStyle w:val="Prrafodelista"/>
        <w:spacing w:line="276" w:lineRule="auto"/>
        <w:ind w:left="0" w:firstLine="709"/>
        <w:rPr>
          <w:rFonts w:cs="Tahoma"/>
          <w:szCs w:val="24"/>
          <w:lang w:val="es-ES_tradnl"/>
        </w:rPr>
      </w:pPr>
      <w:r w:rsidRPr="00AE6CC4">
        <w:rPr>
          <w:rFonts w:cs="Tahoma"/>
          <w:szCs w:val="24"/>
        </w:rPr>
        <w:t xml:space="preserve"> </w:t>
      </w:r>
    </w:p>
    <w:p w14:paraId="022FB498" w14:textId="3DA66247" w:rsidR="00232A8F" w:rsidRPr="00AE6CC4" w:rsidRDefault="006265D8" w:rsidP="00AE6CC4">
      <w:pPr>
        <w:spacing w:line="276" w:lineRule="auto"/>
        <w:ind w:firstLine="709"/>
        <w:rPr>
          <w:rFonts w:cs="Tahoma"/>
          <w:szCs w:val="24"/>
        </w:rPr>
      </w:pPr>
      <w:r w:rsidRPr="00AE6CC4">
        <w:rPr>
          <w:rFonts w:cs="Tahoma"/>
          <w:szCs w:val="24"/>
        </w:rPr>
        <w:t xml:space="preserve">Por otra parte, </w:t>
      </w:r>
      <w:r w:rsidR="007B7977" w:rsidRPr="00AE6CC4">
        <w:rPr>
          <w:rFonts w:cs="Tahoma"/>
          <w:szCs w:val="24"/>
        </w:rPr>
        <w:t xml:space="preserve">importa precisar que </w:t>
      </w:r>
      <w:r w:rsidR="00B56798" w:rsidRPr="00AE6CC4">
        <w:rPr>
          <w:rFonts w:cs="Tahoma"/>
          <w:szCs w:val="24"/>
        </w:rPr>
        <w:t xml:space="preserve">el retroactivo </w:t>
      </w:r>
      <w:r w:rsidR="00361F3A" w:rsidRPr="00AE6CC4">
        <w:rPr>
          <w:rFonts w:cs="Tahoma"/>
          <w:szCs w:val="24"/>
        </w:rPr>
        <w:t xml:space="preserve">adeudado se contabiliza </w:t>
      </w:r>
      <w:r w:rsidR="00B56798" w:rsidRPr="00AE6CC4">
        <w:rPr>
          <w:rFonts w:cs="Tahoma"/>
          <w:szCs w:val="24"/>
        </w:rPr>
        <w:t xml:space="preserve">hasta el 9 de diciembre de 2015, habida consideración que </w:t>
      </w:r>
      <w:r w:rsidR="00361F3A" w:rsidRPr="00AE6CC4">
        <w:rPr>
          <w:rFonts w:cs="Tahoma"/>
          <w:szCs w:val="24"/>
        </w:rPr>
        <w:t>los montos causados a partir de esa calenda fueron efectivamente sufragados, tal como se relatara en precedencia</w:t>
      </w:r>
      <w:r w:rsidR="001802F1" w:rsidRPr="00AE6CC4">
        <w:rPr>
          <w:rFonts w:cs="Tahoma"/>
          <w:szCs w:val="24"/>
        </w:rPr>
        <w:t>.</w:t>
      </w:r>
      <w:r w:rsidR="00361F3A" w:rsidRPr="00AE6CC4">
        <w:rPr>
          <w:rFonts w:cs="Tahoma"/>
          <w:szCs w:val="24"/>
        </w:rPr>
        <w:t xml:space="preserve"> Igualmente, e</w:t>
      </w:r>
      <w:r w:rsidR="00F02993" w:rsidRPr="00AE6CC4">
        <w:rPr>
          <w:rFonts w:cs="Tahoma"/>
          <w:szCs w:val="24"/>
        </w:rPr>
        <w:t xml:space="preserve">s oportuno </w:t>
      </w:r>
      <w:r w:rsidR="00CD09FD" w:rsidRPr="00AE6CC4">
        <w:rPr>
          <w:rFonts w:cs="Tahoma"/>
          <w:szCs w:val="24"/>
        </w:rPr>
        <w:t xml:space="preserve">resaltar que a pesar de que en el certificado de pago de </w:t>
      </w:r>
      <w:r w:rsidR="00CD09FD" w:rsidRPr="00AE6CC4">
        <w:rPr>
          <w:rFonts w:cs="Tahoma"/>
          <w:szCs w:val="24"/>
        </w:rPr>
        <w:lastRenderedPageBreak/>
        <w:t xml:space="preserve">incapacidades </w:t>
      </w:r>
      <w:r w:rsidR="00361F3A" w:rsidRPr="00AE6CC4">
        <w:rPr>
          <w:rFonts w:cs="Tahoma"/>
          <w:szCs w:val="24"/>
        </w:rPr>
        <w:t>arrimado al plenario</w:t>
      </w:r>
      <w:r w:rsidR="00D01643" w:rsidRPr="00AE6CC4">
        <w:rPr>
          <w:rFonts w:cs="Tahoma"/>
          <w:szCs w:val="24"/>
        </w:rPr>
        <w:t xml:space="preserve"> expedido por </w:t>
      </w:r>
      <w:r w:rsidR="00CD09FD" w:rsidRPr="00AE6CC4">
        <w:rPr>
          <w:rFonts w:cs="Tahoma"/>
          <w:szCs w:val="24"/>
        </w:rPr>
        <w:t>Coomeva</w:t>
      </w:r>
      <w:r w:rsidR="00361F3A" w:rsidRPr="00AE6CC4">
        <w:rPr>
          <w:rFonts w:cs="Tahoma"/>
          <w:szCs w:val="24"/>
        </w:rPr>
        <w:t xml:space="preserve"> EPS</w:t>
      </w:r>
      <w:r w:rsidR="00F63258" w:rsidRPr="00AE6CC4">
        <w:rPr>
          <w:rStyle w:val="Refdenotaalpie"/>
          <w:rFonts w:cs="Tahoma"/>
          <w:szCs w:val="24"/>
        </w:rPr>
        <w:footnoteReference w:id="7"/>
      </w:r>
      <w:r w:rsidR="00CD09FD" w:rsidRPr="00AE6CC4">
        <w:rPr>
          <w:rFonts w:cs="Tahoma"/>
          <w:szCs w:val="24"/>
        </w:rPr>
        <w:t xml:space="preserve"> </w:t>
      </w:r>
      <w:r w:rsidR="00361F3A" w:rsidRPr="00AE6CC4">
        <w:rPr>
          <w:rFonts w:cs="Tahoma"/>
          <w:szCs w:val="24"/>
        </w:rPr>
        <w:t xml:space="preserve">se </w:t>
      </w:r>
      <w:r w:rsidR="00CD09FD" w:rsidRPr="00AE6CC4">
        <w:rPr>
          <w:rFonts w:cs="Tahoma"/>
          <w:szCs w:val="24"/>
        </w:rPr>
        <w:t>relaciona</w:t>
      </w:r>
      <w:r w:rsidR="00361F3A" w:rsidRPr="00AE6CC4">
        <w:rPr>
          <w:rFonts w:cs="Tahoma"/>
          <w:szCs w:val="24"/>
        </w:rPr>
        <w:t>n</w:t>
      </w:r>
      <w:r w:rsidR="00CD09FD" w:rsidRPr="00AE6CC4">
        <w:rPr>
          <w:rFonts w:cs="Tahoma"/>
          <w:szCs w:val="24"/>
        </w:rPr>
        <w:t xml:space="preserve"> aquellos días que por concepto de incapacidades se </w:t>
      </w:r>
      <w:r w:rsidR="00361F3A" w:rsidRPr="00AE6CC4">
        <w:rPr>
          <w:rFonts w:cs="Tahoma"/>
          <w:szCs w:val="24"/>
        </w:rPr>
        <w:t>conce</w:t>
      </w:r>
      <w:r w:rsidR="00CD09FD" w:rsidRPr="00AE6CC4">
        <w:rPr>
          <w:rFonts w:cs="Tahoma"/>
          <w:szCs w:val="24"/>
        </w:rPr>
        <w:t xml:space="preserve">dieron </w:t>
      </w:r>
      <w:r w:rsidR="00361F3A" w:rsidRPr="00AE6CC4">
        <w:rPr>
          <w:rFonts w:cs="Tahoma"/>
          <w:szCs w:val="24"/>
        </w:rPr>
        <w:t xml:space="preserve">al </w:t>
      </w:r>
      <w:r w:rsidR="00CD09FD" w:rsidRPr="00AE6CC4">
        <w:rPr>
          <w:rFonts w:cs="Tahoma"/>
          <w:szCs w:val="24"/>
        </w:rPr>
        <w:t xml:space="preserve">promotor de la litis, </w:t>
      </w:r>
      <w:r w:rsidR="00232A8F" w:rsidRPr="00AE6CC4">
        <w:rPr>
          <w:rFonts w:cs="Tahoma"/>
          <w:szCs w:val="24"/>
        </w:rPr>
        <w:t>por lo que fue acertada la determinación de la A-quo al descontarlos del retroactivo.</w:t>
      </w:r>
    </w:p>
    <w:p w14:paraId="244D17C2" w14:textId="77777777" w:rsidR="00F02993" w:rsidRPr="00AE6CC4" w:rsidRDefault="00F02993" w:rsidP="00AE6CC4">
      <w:pPr>
        <w:spacing w:line="276" w:lineRule="auto"/>
        <w:rPr>
          <w:rFonts w:cs="Tahoma"/>
          <w:szCs w:val="24"/>
        </w:rPr>
      </w:pPr>
    </w:p>
    <w:p w14:paraId="187FD6E1" w14:textId="5BEF7A43" w:rsidR="00361F3A" w:rsidRPr="00AE6CC4" w:rsidRDefault="00B56798" w:rsidP="00AE6CC4">
      <w:pPr>
        <w:spacing w:line="276" w:lineRule="auto"/>
        <w:ind w:firstLine="709"/>
        <w:rPr>
          <w:rFonts w:cs="Tahoma"/>
          <w:szCs w:val="24"/>
        </w:rPr>
      </w:pPr>
      <w:r w:rsidRPr="00AE6CC4">
        <w:rPr>
          <w:rFonts w:cs="Tahoma"/>
          <w:szCs w:val="24"/>
        </w:rPr>
        <w:t>Respecto a</w:t>
      </w:r>
      <w:r w:rsidR="001802F1" w:rsidRPr="00AE6CC4">
        <w:rPr>
          <w:rFonts w:cs="Tahoma"/>
          <w:szCs w:val="24"/>
        </w:rPr>
        <w:t xml:space="preserve"> </w:t>
      </w:r>
      <w:r w:rsidRPr="00AE6CC4">
        <w:rPr>
          <w:rFonts w:cs="Tahoma"/>
          <w:szCs w:val="24"/>
        </w:rPr>
        <w:t>l</w:t>
      </w:r>
      <w:r w:rsidR="001802F1" w:rsidRPr="00AE6CC4">
        <w:rPr>
          <w:rFonts w:cs="Tahoma"/>
          <w:szCs w:val="24"/>
        </w:rPr>
        <w:t xml:space="preserve">a condena por </w:t>
      </w:r>
      <w:r w:rsidRPr="00AE6CC4">
        <w:rPr>
          <w:rFonts w:cs="Tahoma"/>
          <w:szCs w:val="24"/>
        </w:rPr>
        <w:t xml:space="preserve">intereses moratorios a que fuera condenada </w:t>
      </w:r>
      <w:r w:rsidR="002015AE" w:rsidRPr="00AE6CC4">
        <w:rPr>
          <w:rFonts w:cs="Tahoma"/>
          <w:szCs w:val="24"/>
        </w:rPr>
        <w:t>la AFP PORVENIR S.A.</w:t>
      </w:r>
      <w:r w:rsidRPr="00AE6CC4">
        <w:rPr>
          <w:rFonts w:cs="Tahoma"/>
          <w:szCs w:val="24"/>
        </w:rPr>
        <w:t xml:space="preserve"> sobre el retroactivo </w:t>
      </w:r>
      <w:r w:rsidR="001802F1" w:rsidRPr="00AE6CC4">
        <w:rPr>
          <w:rFonts w:cs="Tahoma"/>
          <w:szCs w:val="24"/>
        </w:rPr>
        <w:t>liquidado por la A-quo en $98.231.191</w:t>
      </w:r>
      <w:r w:rsidR="001802F1" w:rsidRPr="00AE6CC4">
        <w:rPr>
          <w:rStyle w:val="Refdenotaalpie"/>
          <w:rFonts w:cs="Tahoma"/>
          <w:szCs w:val="24"/>
        </w:rPr>
        <w:footnoteReference w:id="8"/>
      </w:r>
      <w:r w:rsidR="001802F1" w:rsidRPr="00AE6CC4">
        <w:rPr>
          <w:rFonts w:cs="Tahoma"/>
          <w:szCs w:val="24"/>
        </w:rPr>
        <w:t xml:space="preserve">, </w:t>
      </w:r>
      <w:r w:rsidRPr="00AE6CC4">
        <w:rPr>
          <w:rFonts w:cs="Tahoma"/>
          <w:szCs w:val="24"/>
        </w:rPr>
        <w:t>debe decirse que</w:t>
      </w:r>
      <w:r w:rsidR="001802F1" w:rsidRPr="00AE6CC4">
        <w:rPr>
          <w:rFonts w:cs="Tahoma"/>
          <w:szCs w:val="24"/>
        </w:rPr>
        <w:t>,</w:t>
      </w:r>
      <w:r w:rsidRPr="00AE6CC4">
        <w:rPr>
          <w:rFonts w:cs="Tahoma"/>
          <w:szCs w:val="24"/>
        </w:rPr>
        <w:t xml:space="preserve"> de conformidad con lo dispuesto en el artículo 141 de la Ley 100 de 1993, por tratarse de mesadas insolutas ha</w:t>
      </w:r>
      <w:r w:rsidR="001802F1" w:rsidRPr="00AE6CC4">
        <w:rPr>
          <w:rFonts w:cs="Tahoma"/>
          <w:szCs w:val="24"/>
        </w:rPr>
        <w:t>bía</w:t>
      </w:r>
      <w:r w:rsidRPr="00AE6CC4">
        <w:rPr>
          <w:rFonts w:cs="Tahoma"/>
          <w:szCs w:val="24"/>
        </w:rPr>
        <w:t xml:space="preserve"> lugar a ordenar su pago a partir del momento en que vencieron los 4 meses con los que c</w:t>
      </w:r>
      <w:r w:rsidR="00361F3A" w:rsidRPr="00AE6CC4">
        <w:rPr>
          <w:rFonts w:cs="Tahoma"/>
          <w:szCs w:val="24"/>
        </w:rPr>
        <w:t xml:space="preserve">uenta la AFP </w:t>
      </w:r>
      <w:r w:rsidRPr="00AE6CC4">
        <w:rPr>
          <w:rFonts w:cs="Tahoma"/>
          <w:szCs w:val="24"/>
        </w:rPr>
        <w:t xml:space="preserve">para </w:t>
      </w:r>
      <w:r w:rsidR="00361F3A" w:rsidRPr="00AE6CC4">
        <w:rPr>
          <w:rFonts w:cs="Tahoma"/>
          <w:szCs w:val="24"/>
        </w:rPr>
        <w:t xml:space="preserve">reconocer </w:t>
      </w:r>
      <w:r w:rsidRPr="00AE6CC4">
        <w:rPr>
          <w:rFonts w:cs="Tahoma"/>
          <w:szCs w:val="24"/>
        </w:rPr>
        <w:t>la prestación</w:t>
      </w:r>
      <w:r w:rsidR="00361F3A" w:rsidRPr="00AE6CC4">
        <w:rPr>
          <w:rFonts w:cs="Tahoma"/>
          <w:szCs w:val="24"/>
        </w:rPr>
        <w:t>; por lo que se trata de una condena objetiva que emerge a título resarcitorio y no está supeditada a la buena o mala fe que alega la togada apelante.</w:t>
      </w:r>
    </w:p>
    <w:p w14:paraId="7F12E33B" w14:textId="77777777" w:rsidR="00186E4E" w:rsidRPr="00AE6CC4" w:rsidRDefault="00186E4E" w:rsidP="00AE6CC4">
      <w:pPr>
        <w:spacing w:line="276" w:lineRule="auto"/>
        <w:ind w:firstLine="709"/>
        <w:rPr>
          <w:rFonts w:cs="Tahoma"/>
          <w:szCs w:val="24"/>
        </w:rPr>
      </w:pPr>
    </w:p>
    <w:p w14:paraId="78FDF15A" w14:textId="6C11651A" w:rsidR="00BE6423" w:rsidRPr="00AE6CC4" w:rsidRDefault="00CF25BD" w:rsidP="00AE6CC4">
      <w:pPr>
        <w:spacing w:line="276" w:lineRule="auto"/>
        <w:ind w:firstLine="709"/>
        <w:rPr>
          <w:rFonts w:cs="Tahoma"/>
          <w:szCs w:val="24"/>
        </w:rPr>
      </w:pPr>
      <w:r w:rsidRPr="00AE6CC4">
        <w:rPr>
          <w:rFonts w:cs="Tahoma"/>
          <w:szCs w:val="24"/>
        </w:rPr>
        <w:t xml:space="preserve">Sin embargo, </w:t>
      </w:r>
      <w:r w:rsidR="00B56798" w:rsidRPr="00AE6CC4">
        <w:rPr>
          <w:rFonts w:cs="Tahoma"/>
          <w:szCs w:val="24"/>
        </w:rPr>
        <w:t xml:space="preserve">teniendo en cuenta que la prestación se solicitó </w:t>
      </w:r>
      <w:r w:rsidR="001802F1" w:rsidRPr="00AE6CC4">
        <w:rPr>
          <w:rFonts w:cs="Tahoma"/>
          <w:szCs w:val="24"/>
        </w:rPr>
        <w:t xml:space="preserve">con </w:t>
      </w:r>
      <w:r w:rsidR="00B56798" w:rsidRPr="00AE6CC4">
        <w:rPr>
          <w:rFonts w:cs="Tahoma"/>
          <w:szCs w:val="24"/>
        </w:rPr>
        <w:t xml:space="preserve">el </w:t>
      </w:r>
      <w:r w:rsidR="001802F1" w:rsidRPr="00AE6CC4">
        <w:rPr>
          <w:rFonts w:cs="Tahoma"/>
          <w:szCs w:val="24"/>
        </w:rPr>
        <w:t>lleno de los requisitos el 10 de diciembre de 2018</w:t>
      </w:r>
      <w:r w:rsidR="00B56798" w:rsidRPr="00AE6CC4">
        <w:rPr>
          <w:rFonts w:cs="Tahoma"/>
          <w:szCs w:val="24"/>
        </w:rPr>
        <w:t xml:space="preserve">, los 4 meses vencieron el </w:t>
      </w:r>
      <w:r w:rsidR="001802F1" w:rsidRPr="00AE6CC4">
        <w:rPr>
          <w:rFonts w:cs="Tahoma"/>
          <w:szCs w:val="24"/>
        </w:rPr>
        <w:t xml:space="preserve">10 de </w:t>
      </w:r>
      <w:r w:rsidR="00F02993" w:rsidRPr="00AE6CC4">
        <w:rPr>
          <w:rFonts w:cs="Tahoma"/>
          <w:szCs w:val="24"/>
        </w:rPr>
        <w:t>abril de 2019</w:t>
      </w:r>
      <w:r w:rsidR="00B56798" w:rsidRPr="00AE6CC4">
        <w:rPr>
          <w:rFonts w:cs="Tahoma"/>
          <w:szCs w:val="24"/>
        </w:rPr>
        <w:t>, por lo que los aludidos emolumentos empeza</w:t>
      </w:r>
      <w:r w:rsidR="00F02993" w:rsidRPr="00AE6CC4">
        <w:rPr>
          <w:rFonts w:cs="Tahoma"/>
          <w:szCs w:val="24"/>
        </w:rPr>
        <w:t xml:space="preserve">ban a </w:t>
      </w:r>
      <w:r w:rsidR="00B56798" w:rsidRPr="00AE6CC4">
        <w:rPr>
          <w:rFonts w:cs="Tahoma"/>
          <w:szCs w:val="24"/>
        </w:rPr>
        <w:t xml:space="preserve">contabilizarse desde el </w:t>
      </w:r>
      <w:r w:rsidR="00F02993" w:rsidRPr="00AE6CC4">
        <w:rPr>
          <w:rFonts w:cs="Tahoma"/>
          <w:szCs w:val="24"/>
        </w:rPr>
        <w:t>11 de abril de 2019</w:t>
      </w:r>
      <w:r w:rsidR="004C68B8" w:rsidRPr="00AE6CC4">
        <w:rPr>
          <w:rFonts w:cs="Tahoma"/>
          <w:szCs w:val="24"/>
        </w:rPr>
        <w:t xml:space="preserve"> y</w:t>
      </w:r>
      <w:r w:rsidR="00F02993" w:rsidRPr="00AE6CC4">
        <w:rPr>
          <w:rFonts w:cs="Tahoma"/>
          <w:szCs w:val="24"/>
        </w:rPr>
        <w:t xml:space="preserve"> </w:t>
      </w:r>
      <w:r w:rsidR="00BE6423" w:rsidRPr="00AE6CC4">
        <w:rPr>
          <w:rFonts w:cs="Tahoma"/>
          <w:szCs w:val="24"/>
        </w:rPr>
        <w:t xml:space="preserve">no </w:t>
      </w:r>
      <w:r w:rsidR="004C68B8" w:rsidRPr="00AE6CC4">
        <w:rPr>
          <w:rFonts w:cs="Tahoma"/>
          <w:szCs w:val="24"/>
        </w:rPr>
        <w:t xml:space="preserve">desde el 10 de abril de 2016, como lo hizo la A-quo desapercibidamente. Esta determinación, </w:t>
      </w:r>
      <w:r w:rsidR="00BE6423" w:rsidRPr="00AE6CC4">
        <w:rPr>
          <w:rFonts w:cs="Tahoma"/>
          <w:szCs w:val="24"/>
        </w:rPr>
        <w:t>consecuencialmente, da al traste con el reconocimiento definitivo de dichos emolumentos, pues recuérdese que la</w:t>
      </w:r>
      <w:r w:rsidR="00553A85" w:rsidRPr="00AE6CC4">
        <w:rPr>
          <w:rFonts w:cs="Tahoma"/>
          <w:szCs w:val="24"/>
        </w:rPr>
        <w:t xml:space="preserve"> sentencia atacada</w:t>
      </w:r>
      <w:r w:rsidR="00BE6423" w:rsidRPr="00AE6CC4">
        <w:rPr>
          <w:rFonts w:cs="Tahoma"/>
          <w:szCs w:val="24"/>
        </w:rPr>
        <w:t xml:space="preserve"> limitó la causación de los mismos hasta el 24 de febrero de 2019, lo que imposibilita generar un tramo lineal coherente, ya que su causación (11 de abril e 2019) sería posterior a la fecha de finalización (24 de febrero de 2019), </w:t>
      </w:r>
      <w:r w:rsidR="00553A85" w:rsidRPr="00AE6CC4">
        <w:rPr>
          <w:rFonts w:cs="Tahoma"/>
          <w:szCs w:val="24"/>
        </w:rPr>
        <w:t xml:space="preserve">calenda </w:t>
      </w:r>
      <w:r w:rsidR="00BE6423" w:rsidRPr="00AE6CC4">
        <w:rPr>
          <w:rFonts w:cs="Tahoma"/>
          <w:szCs w:val="24"/>
        </w:rPr>
        <w:t xml:space="preserve">que, huelga decirlo no fue objeto de censura por parte del togado de la parte actora. </w:t>
      </w:r>
    </w:p>
    <w:p w14:paraId="3840C1C7" w14:textId="2756CE4E" w:rsidR="00553A85" w:rsidRPr="00AE6CC4" w:rsidRDefault="00553A85" w:rsidP="00AE6CC4">
      <w:pPr>
        <w:spacing w:line="276" w:lineRule="auto"/>
        <w:ind w:firstLine="709"/>
        <w:rPr>
          <w:rFonts w:cs="Tahoma"/>
          <w:szCs w:val="24"/>
        </w:rPr>
      </w:pPr>
    </w:p>
    <w:p w14:paraId="010FBBAF" w14:textId="77777777" w:rsidR="00553A85" w:rsidRPr="00AE6CC4" w:rsidRDefault="00553A85" w:rsidP="00AE6CC4">
      <w:pPr>
        <w:spacing w:line="276" w:lineRule="auto"/>
        <w:ind w:firstLine="709"/>
        <w:rPr>
          <w:rFonts w:cs="Tahoma"/>
          <w:szCs w:val="24"/>
        </w:rPr>
      </w:pPr>
      <w:r w:rsidRPr="00AE6CC4">
        <w:rPr>
          <w:rFonts w:cs="Tahoma"/>
          <w:szCs w:val="24"/>
        </w:rPr>
        <w:t>Lo anterior impone la revocatoria de la condena estipulada en el ordinal cuarto del fallo de primer grado.</w:t>
      </w:r>
    </w:p>
    <w:p w14:paraId="354881BA" w14:textId="77777777" w:rsidR="00553A85" w:rsidRPr="00AE6CC4" w:rsidRDefault="00553A85" w:rsidP="00AE6CC4">
      <w:pPr>
        <w:spacing w:line="276" w:lineRule="auto"/>
        <w:ind w:firstLine="709"/>
        <w:rPr>
          <w:rFonts w:cs="Tahoma"/>
          <w:szCs w:val="24"/>
        </w:rPr>
      </w:pPr>
    </w:p>
    <w:p w14:paraId="06CB05AE" w14:textId="68CB8994" w:rsidR="00232A8F" w:rsidRPr="00AE6CC4" w:rsidRDefault="00553A85" w:rsidP="00AE6CC4">
      <w:pPr>
        <w:spacing w:line="276" w:lineRule="auto"/>
        <w:ind w:firstLine="709"/>
        <w:rPr>
          <w:rFonts w:cs="Tahoma"/>
          <w:szCs w:val="24"/>
        </w:rPr>
      </w:pPr>
      <w:r w:rsidRPr="00AE6CC4">
        <w:rPr>
          <w:rFonts w:cs="Tahoma"/>
          <w:szCs w:val="24"/>
        </w:rPr>
        <w:t xml:space="preserve">No obstante lo anterior, </w:t>
      </w:r>
      <w:bookmarkStart w:id="4" w:name="_Hlk82247606"/>
      <w:r w:rsidRPr="00AE6CC4">
        <w:rPr>
          <w:rFonts w:cs="Tahoma"/>
          <w:szCs w:val="24"/>
        </w:rPr>
        <w:t xml:space="preserve">esta Judicatura </w:t>
      </w:r>
      <w:r w:rsidR="00F63258" w:rsidRPr="00AE6CC4">
        <w:rPr>
          <w:rFonts w:cs="Tahoma"/>
          <w:szCs w:val="24"/>
        </w:rPr>
        <w:t xml:space="preserve">avala el reconocimiento de la indexación del retroactivo </w:t>
      </w:r>
      <w:r w:rsidR="00361F3A" w:rsidRPr="00AE6CC4">
        <w:rPr>
          <w:rFonts w:cs="Tahoma"/>
          <w:szCs w:val="24"/>
        </w:rPr>
        <w:t xml:space="preserve">de $60.535.569, por las mesadas causadas </w:t>
      </w:r>
      <w:r w:rsidR="00D01643" w:rsidRPr="00AE6CC4">
        <w:rPr>
          <w:rFonts w:cs="Tahoma"/>
          <w:szCs w:val="24"/>
        </w:rPr>
        <w:t>entre</w:t>
      </w:r>
      <w:r w:rsidR="00F63258" w:rsidRPr="00AE6CC4">
        <w:rPr>
          <w:rFonts w:cs="Tahoma"/>
          <w:szCs w:val="24"/>
        </w:rPr>
        <w:t xml:space="preserve"> el </w:t>
      </w:r>
      <w:r w:rsidR="00F570BA" w:rsidRPr="00AE6CC4">
        <w:rPr>
          <w:rFonts w:cs="Tahoma"/>
          <w:szCs w:val="24"/>
        </w:rPr>
        <w:t>10 de dic</w:t>
      </w:r>
      <w:r w:rsidR="00CF25BD" w:rsidRPr="00AE6CC4">
        <w:rPr>
          <w:rFonts w:cs="Tahoma"/>
          <w:szCs w:val="24"/>
        </w:rPr>
        <w:t>i</w:t>
      </w:r>
      <w:r w:rsidR="00F570BA" w:rsidRPr="00AE6CC4">
        <w:rPr>
          <w:rFonts w:cs="Tahoma"/>
          <w:szCs w:val="24"/>
        </w:rPr>
        <w:t xml:space="preserve">embre de 2015 y el 17 de enero de 2019, </w:t>
      </w:r>
      <w:r w:rsidR="00F63258" w:rsidRPr="00AE6CC4">
        <w:rPr>
          <w:rFonts w:cs="Tahoma"/>
          <w:szCs w:val="24"/>
        </w:rPr>
        <w:t>como quiera que esta busca resarcir la pérdida del poder adquisitivo de la moneda</w:t>
      </w:r>
      <w:r w:rsidR="00F570BA" w:rsidRPr="00AE6CC4">
        <w:rPr>
          <w:rFonts w:cs="Tahoma"/>
          <w:szCs w:val="24"/>
        </w:rPr>
        <w:t>, hasta el momento en que se hizo efectivo el pago de dicha cantidad.</w:t>
      </w:r>
    </w:p>
    <w:bookmarkEnd w:id="4"/>
    <w:p w14:paraId="2ED8542B" w14:textId="77777777" w:rsidR="00232A8F" w:rsidRPr="00AE6CC4" w:rsidRDefault="00232A8F" w:rsidP="00AE6CC4">
      <w:pPr>
        <w:spacing w:line="276" w:lineRule="auto"/>
        <w:ind w:firstLine="709"/>
        <w:rPr>
          <w:rFonts w:cs="Tahoma"/>
          <w:szCs w:val="24"/>
        </w:rPr>
      </w:pPr>
    </w:p>
    <w:p w14:paraId="0781FEEC" w14:textId="35A5A5D9" w:rsidR="00F63258" w:rsidRPr="00AE6CC4" w:rsidRDefault="00CC7F35" w:rsidP="00AE6CC4">
      <w:pPr>
        <w:spacing w:line="276" w:lineRule="auto"/>
        <w:ind w:firstLine="709"/>
        <w:rPr>
          <w:rFonts w:cs="Tahoma"/>
          <w:szCs w:val="24"/>
        </w:rPr>
      </w:pPr>
      <w:r w:rsidRPr="00AE6CC4">
        <w:rPr>
          <w:rFonts w:cs="Tahoma"/>
          <w:szCs w:val="24"/>
        </w:rPr>
        <w:t xml:space="preserve"> Así, como quiera que en la decisión de instancia no se especificó este punto, </w:t>
      </w:r>
      <w:r w:rsidR="00361F3A" w:rsidRPr="00AE6CC4">
        <w:rPr>
          <w:rFonts w:cs="Tahoma"/>
          <w:szCs w:val="24"/>
        </w:rPr>
        <w:t xml:space="preserve">esto es, la fecha hasta la cual debía actualizarse </w:t>
      </w:r>
      <w:r w:rsidR="003E18A3" w:rsidRPr="00AE6CC4">
        <w:rPr>
          <w:rFonts w:cs="Tahoma"/>
          <w:szCs w:val="24"/>
        </w:rPr>
        <w:t xml:space="preserve">el retroactivo cancelado al actor, </w:t>
      </w:r>
      <w:r w:rsidRPr="00AE6CC4">
        <w:rPr>
          <w:rFonts w:cs="Tahoma"/>
          <w:szCs w:val="24"/>
        </w:rPr>
        <w:t>se modificará para aclarar el ordinal tercero de la sentencia de instancia</w:t>
      </w:r>
      <w:r w:rsidR="003E18A3" w:rsidRPr="00AE6CC4">
        <w:rPr>
          <w:rFonts w:cs="Tahoma"/>
          <w:szCs w:val="24"/>
        </w:rPr>
        <w:t>, en el sentido de que la indexación se llevará a cabo hasta el momento en que el demandante percibió efectivamente los $60.535.569 (fecha de la que no se tiene plena constancia en el infolio)</w:t>
      </w:r>
      <w:r w:rsidRPr="00AE6CC4">
        <w:rPr>
          <w:rFonts w:cs="Tahoma"/>
          <w:szCs w:val="24"/>
        </w:rPr>
        <w:t xml:space="preserve">. </w:t>
      </w:r>
    </w:p>
    <w:p w14:paraId="59192E66" w14:textId="0AA3386E" w:rsidR="00186E4E" w:rsidRPr="00AE6CC4" w:rsidRDefault="00186E4E" w:rsidP="00AE6CC4">
      <w:pPr>
        <w:spacing w:line="276" w:lineRule="auto"/>
        <w:ind w:firstLine="709"/>
        <w:rPr>
          <w:rFonts w:cs="Tahoma"/>
          <w:szCs w:val="24"/>
        </w:rPr>
      </w:pPr>
    </w:p>
    <w:p w14:paraId="2CFD6007" w14:textId="1FF6A390" w:rsidR="001D1461" w:rsidRPr="00AE6CC4" w:rsidRDefault="00184EFA" w:rsidP="00AE6CC4">
      <w:pPr>
        <w:spacing w:line="276" w:lineRule="auto"/>
        <w:ind w:firstLine="709"/>
        <w:rPr>
          <w:rFonts w:cs="Tahoma"/>
          <w:szCs w:val="24"/>
        </w:rPr>
      </w:pPr>
      <w:r w:rsidRPr="00AE6CC4">
        <w:rPr>
          <w:rFonts w:cs="Tahoma"/>
          <w:szCs w:val="24"/>
        </w:rPr>
        <w:t xml:space="preserve">Las costas de primera instancia se </w:t>
      </w:r>
      <w:r w:rsidR="001D1461" w:rsidRPr="00AE6CC4">
        <w:rPr>
          <w:rFonts w:cs="Tahoma"/>
          <w:szCs w:val="24"/>
        </w:rPr>
        <w:t>mantendrán incólumes</w:t>
      </w:r>
      <w:r w:rsidR="00CC7F35" w:rsidRPr="00AE6CC4">
        <w:rPr>
          <w:rFonts w:cs="Tahoma"/>
          <w:szCs w:val="24"/>
        </w:rPr>
        <w:t xml:space="preserve"> por haber existido controversia e incluso oposición frente al debate jurídico puesto en conocimiento de la Judicatura, conforme lo faculta el artículo 365 del CGP,</w:t>
      </w:r>
      <w:r w:rsidR="003E18A3" w:rsidRPr="00AE6CC4">
        <w:rPr>
          <w:rFonts w:cs="Tahoma"/>
          <w:szCs w:val="24"/>
        </w:rPr>
        <w:t xml:space="preserve"> según el cual</w:t>
      </w:r>
      <w:r w:rsidR="00CC7F35" w:rsidRPr="00AE6CC4">
        <w:rPr>
          <w:rFonts w:cs="Tahoma"/>
          <w:szCs w:val="24"/>
        </w:rPr>
        <w:t xml:space="preserve"> hay lugar a condenar en costas a quien resulta vencido en la contienda</w:t>
      </w:r>
      <w:r w:rsidR="003E18A3" w:rsidRPr="00AE6CC4">
        <w:rPr>
          <w:rFonts w:cs="Tahoma"/>
          <w:szCs w:val="24"/>
        </w:rPr>
        <w:t xml:space="preserve">. Además, </w:t>
      </w:r>
      <w:r w:rsidR="00CC7F35" w:rsidRPr="00AE6CC4">
        <w:rPr>
          <w:rFonts w:cs="Tahoma"/>
          <w:szCs w:val="24"/>
        </w:rPr>
        <w:t xml:space="preserve">-contrario a lo </w:t>
      </w:r>
      <w:r w:rsidR="00CC7F35" w:rsidRPr="00AE6CC4">
        <w:rPr>
          <w:rFonts w:cs="Tahoma"/>
          <w:szCs w:val="24"/>
        </w:rPr>
        <w:lastRenderedPageBreak/>
        <w:t xml:space="preserve">expuesto en la censura-, </w:t>
      </w:r>
      <w:r w:rsidR="003E18A3" w:rsidRPr="00AE6CC4">
        <w:rPr>
          <w:rFonts w:cs="Tahoma"/>
          <w:szCs w:val="24"/>
        </w:rPr>
        <w:t xml:space="preserve">en el trámite procesal quedó </w:t>
      </w:r>
      <w:r w:rsidR="00D01643" w:rsidRPr="00AE6CC4">
        <w:rPr>
          <w:rFonts w:cs="Tahoma"/>
          <w:szCs w:val="24"/>
        </w:rPr>
        <w:t>d</w:t>
      </w:r>
      <w:r w:rsidR="00CC7F35" w:rsidRPr="00AE6CC4">
        <w:rPr>
          <w:rFonts w:cs="Tahoma"/>
          <w:szCs w:val="24"/>
        </w:rPr>
        <w:t>emostrado el proceder arbitrario de las demandadas al momento de conceder la prestación al actor</w:t>
      </w:r>
      <w:r w:rsidR="001D1461" w:rsidRPr="00AE6CC4">
        <w:rPr>
          <w:rFonts w:cs="Tahoma"/>
          <w:szCs w:val="24"/>
        </w:rPr>
        <w:t xml:space="preserve">. </w:t>
      </w:r>
    </w:p>
    <w:p w14:paraId="76B8DCD9" w14:textId="77777777" w:rsidR="001D1461" w:rsidRPr="00AE6CC4" w:rsidRDefault="001D1461" w:rsidP="00AE6CC4">
      <w:pPr>
        <w:spacing w:line="276" w:lineRule="auto"/>
        <w:ind w:firstLine="709"/>
        <w:rPr>
          <w:rFonts w:cs="Tahoma"/>
          <w:szCs w:val="24"/>
        </w:rPr>
      </w:pPr>
    </w:p>
    <w:p w14:paraId="78DFC891" w14:textId="6EC43CB3" w:rsidR="00B33A2C" w:rsidRPr="00AE6CC4" w:rsidRDefault="00184EFA" w:rsidP="00AE6CC4">
      <w:pPr>
        <w:spacing w:line="276" w:lineRule="auto"/>
        <w:ind w:firstLine="709"/>
        <w:rPr>
          <w:rFonts w:eastAsia="Tahoma" w:cs="Tahoma"/>
          <w:szCs w:val="24"/>
        </w:rPr>
      </w:pPr>
      <w:r w:rsidRPr="00AE6CC4">
        <w:rPr>
          <w:rFonts w:cs="Tahoma"/>
          <w:szCs w:val="24"/>
        </w:rPr>
        <w:t xml:space="preserve"> </w:t>
      </w:r>
      <w:r w:rsidR="00B33A2C" w:rsidRPr="00AE6CC4">
        <w:rPr>
          <w:rFonts w:cs="Tahoma"/>
          <w:szCs w:val="24"/>
        </w:rPr>
        <w:t xml:space="preserve">En esta instancia </w:t>
      </w:r>
      <w:r w:rsidRPr="00AE6CC4">
        <w:rPr>
          <w:rFonts w:cs="Tahoma"/>
          <w:szCs w:val="24"/>
        </w:rPr>
        <w:t xml:space="preserve">no habrá condena por ese concepto por haber </w:t>
      </w:r>
      <w:r w:rsidR="00CC7F35" w:rsidRPr="00AE6CC4">
        <w:rPr>
          <w:rFonts w:cs="Tahoma"/>
          <w:szCs w:val="24"/>
        </w:rPr>
        <w:t>prosperado parcialmente l</w:t>
      </w:r>
      <w:r w:rsidR="003E18A3" w:rsidRPr="00AE6CC4">
        <w:rPr>
          <w:rFonts w:cs="Tahoma"/>
          <w:szCs w:val="24"/>
        </w:rPr>
        <w:t>os</w:t>
      </w:r>
      <w:r w:rsidR="00CC7F35" w:rsidRPr="00AE6CC4">
        <w:rPr>
          <w:rFonts w:cs="Tahoma"/>
          <w:szCs w:val="24"/>
        </w:rPr>
        <w:t xml:space="preserve"> recurso</w:t>
      </w:r>
      <w:r w:rsidR="003E18A3" w:rsidRPr="00AE6CC4">
        <w:rPr>
          <w:rFonts w:cs="Tahoma"/>
          <w:szCs w:val="24"/>
        </w:rPr>
        <w:t>s</w:t>
      </w:r>
      <w:r w:rsidR="000072F6" w:rsidRPr="00AE6CC4">
        <w:rPr>
          <w:rFonts w:cs="Tahoma"/>
          <w:szCs w:val="24"/>
        </w:rPr>
        <w:t>.</w:t>
      </w:r>
      <w:r w:rsidR="00B33A2C" w:rsidRPr="00AE6CC4">
        <w:rPr>
          <w:rFonts w:eastAsia="Tahoma" w:cs="Tahoma"/>
          <w:szCs w:val="24"/>
        </w:rPr>
        <w:t xml:space="preserve"> </w:t>
      </w:r>
    </w:p>
    <w:p w14:paraId="40D43801" w14:textId="77777777" w:rsidR="00B33A2C" w:rsidRPr="00AE6CC4" w:rsidRDefault="00B33A2C" w:rsidP="00AE6CC4">
      <w:pPr>
        <w:spacing w:line="276" w:lineRule="auto"/>
        <w:rPr>
          <w:rFonts w:eastAsia="Tahoma" w:cs="Tahoma"/>
          <w:szCs w:val="24"/>
          <w:lang w:eastAsia="es-ES"/>
        </w:rPr>
      </w:pPr>
    </w:p>
    <w:p w14:paraId="28755A4D" w14:textId="77777777" w:rsidR="00B33A2C" w:rsidRPr="00AE6CC4" w:rsidRDefault="00B33A2C" w:rsidP="00AE6CC4">
      <w:pPr>
        <w:spacing w:line="276" w:lineRule="auto"/>
        <w:ind w:firstLine="644"/>
        <w:contextualSpacing/>
        <w:rPr>
          <w:rFonts w:eastAsia="Times New Roman" w:cs="Tahoma"/>
          <w:color w:val="000000" w:themeColor="text1"/>
          <w:szCs w:val="24"/>
        </w:rPr>
      </w:pPr>
      <w:r w:rsidRPr="00AE6CC4">
        <w:rPr>
          <w:rFonts w:eastAsia="Times New Roman" w:cs="Tahoma"/>
          <w:color w:val="000000" w:themeColor="text1"/>
          <w:szCs w:val="24"/>
        </w:rPr>
        <w:t xml:space="preserve">En mérito de lo expuesto, el </w:t>
      </w:r>
      <w:r w:rsidRPr="00AE6CC4">
        <w:rPr>
          <w:rFonts w:eastAsia="Times New Roman" w:cs="Tahoma"/>
          <w:b/>
          <w:color w:val="000000" w:themeColor="text1"/>
          <w:szCs w:val="24"/>
        </w:rPr>
        <w:t>Tribunal Superior del Distrito Judicial de Pereira - Risaralda, Sala Primera de Decisión Laboral,</w:t>
      </w:r>
      <w:r w:rsidRPr="00AE6CC4">
        <w:rPr>
          <w:rFonts w:eastAsia="Times New Roman" w:cs="Tahoma"/>
          <w:color w:val="000000" w:themeColor="text1"/>
          <w:szCs w:val="24"/>
        </w:rPr>
        <w:t xml:space="preserve"> administrando justicia en nombre de la República y por autoridad de la ley,</w:t>
      </w:r>
    </w:p>
    <w:p w14:paraId="391610F1" w14:textId="77777777" w:rsidR="00B33A2C" w:rsidRPr="00AE6CC4" w:rsidRDefault="00B33A2C" w:rsidP="00AE6CC4">
      <w:pPr>
        <w:spacing w:line="276" w:lineRule="auto"/>
        <w:ind w:firstLine="708"/>
        <w:contextualSpacing/>
        <w:rPr>
          <w:rFonts w:eastAsia="Times New Roman" w:cs="Tahoma"/>
          <w:color w:val="000000" w:themeColor="text1"/>
          <w:szCs w:val="24"/>
        </w:rPr>
      </w:pPr>
    </w:p>
    <w:p w14:paraId="1E94C6A5" w14:textId="77777777" w:rsidR="00B33A2C" w:rsidRPr="00AE6CC4" w:rsidRDefault="00B33A2C" w:rsidP="00AE6CC4">
      <w:pPr>
        <w:spacing w:line="276" w:lineRule="auto"/>
        <w:ind w:firstLine="709"/>
        <w:jc w:val="center"/>
        <w:rPr>
          <w:rFonts w:cs="Tahoma"/>
          <w:b/>
          <w:color w:val="000000" w:themeColor="text1"/>
          <w:szCs w:val="24"/>
        </w:rPr>
      </w:pPr>
      <w:r w:rsidRPr="00AE6CC4">
        <w:rPr>
          <w:rFonts w:cs="Tahoma"/>
          <w:b/>
          <w:color w:val="000000" w:themeColor="text1"/>
          <w:szCs w:val="24"/>
        </w:rPr>
        <w:t>RESUELVE</w:t>
      </w:r>
    </w:p>
    <w:p w14:paraId="4C955A4B" w14:textId="77777777" w:rsidR="00B33A2C" w:rsidRPr="00AE6CC4" w:rsidRDefault="00B33A2C" w:rsidP="00AE6CC4">
      <w:pPr>
        <w:widowControl w:val="0"/>
        <w:autoSpaceDE w:val="0"/>
        <w:autoSpaceDN w:val="0"/>
        <w:adjustRightInd w:val="0"/>
        <w:spacing w:line="276" w:lineRule="auto"/>
        <w:jc w:val="center"/>
        <w:rPr>
          <w:rFonts w:cs="Tahoma"/>
          <w:b/>
          <w:szCs w:val="24"/>
        </w:rPr>
      </w:pPr>
    </w:p>
    <w:p w14:paraId="7C95ADC4" w14:textId="0AD101BF" w:rsidR="00BE6423" w:rsidRPr="00AE6CC4" w:rsidRDefault="00B33A2C" w:rsidP="00AE6CC4">
      <w:pPr>
        <w:spacing w:line="276" w:lineRule="auto"/>
        <w:ind w:firstLine="644"/>
        <w:rPr>
          <w:rFonts w:eastAsia="Tahoma" w:cs="Tahoma"/>
          <w:szCs w:val="24"/>
          <w:lang w:eastAsia="es-ES"/>
        </w:rPr>
      </w:pPr>
      <w:r w:rsidRPr="00AE6CC4">
        <w:rPr>
          <w:rFonts w:eastAsia="Tahoma" w:cs="Tahoma"/>
          <w:b/>
          <w:bCs/>
          <w:szCs w:val="24"/>
          <w:lang w:eastAsia="es-ES"/>
        </w:rPr>
        <w:t>PRIMERO</w:t>
      </w:r>
      <w:r w:rsidRPr="00AE6CC4">
        <w:rPr>
          <w:rFonts w:eastAsia="Tahoma" w:cs="Tahoma"/>
          <w:szCs w:val="24"/>
          <w:lang w:eastAsia="es-ES"/>
        </w:rPr>
        <w:t>: </w:t>
      </w:r>
      <w:r w:rsidR="001D1461" w:rsidRPr="00AE6CC4">
        <w:rPr>
          <w:rFonts w:eastAsia="Tahoma" w:cs="Tahoma"/>
          <w:b/>
          <w:bCs/>
          <w:szCs w:val="24"/>
          <w:lang w:eastAsia="es-ES"/>
        </w:rPr>
        <w:t xml:space="preserve">MODIFICAR </w:t>
      </w:r>
      <w:r w:rsidR="00CC7F35" w:rsidRPr="00AE6CC4">
        <w:rPr>
          <w:rFonts w:eastAsia="Tahoma" w:cs="Tahoma"/>
          <w:szCs w:val="24"/>
          <w:lang w:eastAsia="es-ES"/>
        </w:rPr>
        <w:t>e</w:t>
      </w:r>
      <w:r w:rsidR="001D1461" w:rsidRPr="00AE6CC4">
        <w:rPr>
          <w:rFonts w:eastAsia="Tahoma" w:cs="Tahoma"/>
          <w:szCs w:val="24"/>
          <w:lang w:eastAsia="es-ES"/>
        </w:rPr>
        <w:t xml:space="preserve">l ordinal tercero </w:t>
      </w:r>
      <w:r w:rsidR="00BE6423" w:rsidRPr="00AE6CC4">
        <w:rPr>
          <w:rFonts w:eastAsia="Tahoma" w:cs="Tahoma"/>
          <w:szCs w:val="24"/>
          <w:lang w:eastAsia="es-ES"/>
        </w:rPr>
        <w:t>de</w:t>
      </w:r>
      <w:r w:rsidR="00BE6423" w:rsidRPr="00AE6CC4">
        <w:rPr>
          <w:rFonts w:eastAsia="Tahoma" w:cs="Tahoma"/>
          <w:b/>
          <w:bCs/>
          <w:szCs w:val="24"/>
          <w:lang w:eastAsia="es-ES"/>
        </w:rPr>
        <w:t xml:space="preserve"> </w:t>
      </w:r>
      <w:r w:rsidR="00BE6423" w:rsidRPr="00AE6CC4">
        <w:rPr>
          <w:rFonts w:eastAsia="Tahoma" w:cs="Tahoma"/>
          <w:szCs w:val="24"/>
          <w:lang w:eastAsia="es-ES"/>
        </w:rPr>
        <w:t xml:space="preserve">la sentencia proferida por el Juzgado Cuarto Laboral de Circuito de Pereira, del 1º de febrero de dentro del proceso de la referencia, en el sentido de que la indexación se contabiliza hasta el momento en que el actor recibió, efectivamente, el retroactivo pensional causado entre el </w:t>
      </w:r>
      <w:r w:rsidR="00BE6423" w:rsidRPr="00AE6CC4">
        <w:rPr>
          <w:rFonts w:cs="Tahoma"/>
          <w:szCs w:val="24"/>
        </w:rPr>
        <w:t>10 de diciembre de 2015 y el 17 de enero de 2019 ($</w:t>
      </w:r>
      <w:r w:rsidR="00BE6423" w:rsidRPr="00AE6CC4">
        <w:rPr>
          <w:rFonts w:cs="Tahoma"/>
          <w:szCs w:val="24"/>
          <w:lang w:val="es-ES_tradnl"/>
        </w:rPr>
        <w:t>60.535.569)</w:t>
      </w:r>
    </w:p>
    <w:p w14:paraId="26211ED4" w14:textId="77777777" w:rsidR="00BE6423" w:rsidRPr="00AE6CC4" w:rsidRDefault="00BE6423" w:rsidP="00AE6CC4">
      <w:pPr>
        <w:spacing w:line="276" w:lineRule="auto"/>
        <w:ind w:firstLine="644"/>
        <w:rPr>
          <w:rFonts w:eastAsia="Tahoma" w:cs="Tahoma"/>
          <w:szCs w:val="24"/>
          <w:lang w:eastAsia="es-ES"/>
        </w:rPr>
      </w:pPr>
    </w:p>
    <w:p w14:paraId="2FB1CF03" w14:textId="456E9502" w:rsidR="00BE6423" w:rsidRPr="00AE6CC4" w:rsidRDefault="00BE6423" w:rsidP="00AE6CC4">
      <w:pPr>
        <w:spacing w:line="276" w:lineRule="auto"/>
        <w:ind w:firstLine="644"/>
        <w:rPr>
          <w:rFonts w:cs="Tahoma"/>
          <w:szCs w:val="24"/>
        </w:rPr>
      </w:pPr>
      <w:r w:rsidRPr="00AE6CC4">
        <w:rPr>
          <w:rFonts w:eastAsia="Tahoma" w:cs="Tahoma"/>
          <w:b/>
          <w:bCs/>
          <w:szCs w:val="24"/>
          <w:lang w:eastAsia="es-ES"/>
        </w:rPr>
        <w:t>SEGUNDO</w:t>
      </w:r>
      <w:r w:rsidRPr="00AE6CC4">
        <w:rPr>
          <w:rFonts w:eastAsia="Tahoma" w:cs="Tahoma"/>
          <w:szCs w:val="24"/>
          <w:lang w:eastAsia="es-ES"/>
        </w:rPr>
        <w:t>:</w:t>
      </w:r>
      <w:r w:rsidR="001D1461" w:rsidRPr="00AE6CC4">
        <w:rPr>
          <w:rFonts w:eastAsia="Tahoma" w:cs="Tahoma"/>
          <w:szCs w:val="24"/>
          <w:lang w:eastAsia="es-ES"/>
        </w:rPr>
        <w:t xml:space="preserve"> </w:t>
      </w:r>
      <w:r w:rsidRPr="00AE6CC4">
        <w:rPr>
          <w:rFonts w:eastAsia="Tahoma" w:cs="Tahoma"/>
          <w:b/>
          <w:szCs w:val="24"/>
          <w:lang w:eastAsia="es-ES"/>
        </w:rPr>
        <w:t>REVOCAR</w:t>
      </w:r>
      <w:r w:rsidRPr="00AE6CC4">
        <w:rPr>
          <w:rFonts w:eastAsia="Tahoma" w:cs="Tahoma"/>
          <w:szCs w:val="24"/>
          <w:lang w:eastAsia="es-ES"/>
        </w:rPr>
        <w:t xml:space="preserve"> el ordinal </w:t>
      </w:r>
      <w:r w:rsidR="001D1461" w:rsidRPr="00AE6CC4">
        <w:rPr>
          <w:rFonts w:eastAsia="Tahoma" w:cs="Tahoma"/>
          <w:szCs w:val="24"/>
          <w:lang w:eastAsia="es-ES"/>
        </w:rPr>
        <w:t>cuarto</w:t>
      </w:r>
      <w:r w:rsidRPr="00AE6CC4">
        <w:rPr>
          <w:rFonts w:eastAsia="Tahoma" w:cs="Tahoma"/>
          <w:szCs w:val="24"/>
          <w:lang w:eastAsia="es-ES"/>
        </w:rPr>
        <w:t xml:space="preserve"> del fallo apelado para, en su lugar, exonerar a la Porvenir S.A. </w:t>
      </w:r>
      <w:r w:rsidR="00CF25BD" w:rsidRPr="00AE6CC4">
        <w:rPr>
          <w:rFonts w:eastAsia="Tahoma" w:cs="Tahoma"/>
          <w:szCs w:val="24"/>
          <w:lang w:eastAsia="es-ES"/>
        </w:rPr>
        <w:t>de</w:t>
      </w:r>
      <w:r w:rsidRPr="00AE6CC4">
        <w:rPr>
          <w:rFonts w:eastAsia="Tahoma" w:cs="Tahoma"/>
          <w:szCs w:val="24"/>
          <w:lang w:eastAsia="es-ES"/>
        </w:rPr>
        <w:t>l pago de los intereses moratorios</w:t>
      </w:r>
      <w:r w:rsidRPr="00AE6CC4">
        <w:rPr>
          <w:rFonts w:cs="Tahoma"/>
          <w:szCs w:val="24"/>
        </w:rPr>
        <w:t xml:space="preserve">, por las razones expuestas en la parte motiva de este </w:t>
      </w:r>
      <w:r w:rsidR="00553A85" w:rsidRPr="00AE6CC4">
        <w:rPr>
          <w:rFonts w:cs="Tahoma"/>
          <w:szCs w:val="24"/>
        </w:rPr>
        <w:t>proveído</w:t>
      </w:r>
      <w:r w:rsidRPr="00AE6CC4">
        <w:rPr>
          <w:rFonts w:cs="Tahoma"/>
          <w:szCs w:val="24"/>
        </w:rPr>
        <w:t>.</w:t>
      </w:r>
    </w:p>
    <w:p w14:paraId="7DECB32C" w14:textId="77777777" w:rsidR="001D1461" w:rsidRPr="00AE6CC4" w:rsidRDefault="001D1461" w:rsidP="00AE6CC4">
      <w:pPr>
        <w:spacing w:line="276" w:lineRule="auto"/>
        <w:rPr>
          <w:rFonts w:eastAsia="Tahoma" w:cs="Tahoma"/>
          <w:b/>
          <w:bCs/>
          <w:szCs w:val="24"/>
          <w:lang w:eastAsia="es-ES"/>
        </w:rPr>
      </w:pPr>
    </w:p>
    <w:p w14:paraId="39E9598A" w14:textId="7A9C3EC0" w:rsidR="001D1461" w:rsidRPr="00AE6CC4" w:rsidRDefault="00BE6423" w:rsidP="00AE6CC4">
      <w:pPr>
        <w:spacing w:line="276" w:lineRule="auto"/>
        <w:ind w:firstLine="644"/>
        <w:rPr>
          <w:rFonts w:eastAsia="Tahoma" w:cs="Tahoma"/>
          <w:szCs w:val="24"/>
          <w:lang w:eastAsia="es-ES"/>
        </w:rPr>
      </w:pPr>
      <w:r w:rsidRPr="00AE6CC4">
        <w:rPr>
          <w:rFonts w:eastAsia="Tahoma" w:cs="Tahoma"/>
          <w:b/>
          <w:bCs/>
          <w:szCs w:val="24"/>
          <w:lang w:eastAsia="es-ES"/>
        </w:rPr>
        <w:t>TERCERO</w:t>
      </w:r>
      <w:r w:rsidRPr="00AE6CC4">
        <w:rPr>
          <w:rFonts w:eastAsia="Tahoma" w:cs="Tahoma"/>
          <w:szCs w:val="24"/>
          <w:lang w:eastAsia="es-ES"/>
        </w:rPr>
        <w:t>: </w:t>
      </w:r>
      <w:r w:rsidR="00505855" w:rsidRPr="00AE6CC4">
        <w:rPr>
          <w:rFonts w:eastAsia="Tahoma" w:cs="Tahoma"/>
          <w:b/>
          <w:bCs/>
          <w:szCs w:val="24"/>
          <w:lang w:eastAsia="es-ES"/>
        </w:rPr>
        <w:t>CONFIRMAR</w:t>
      </w:r>
      <w:r w:rsidR="00505855" w:rsidRPr="00AE6CC4">
        <w:rPr>
          <w:rFonts w:eastAsia="Tahoma" w:cs="Tahoma"/>
          <w:szCs w:val="24"/>
          <w:lang w:eastAsia="es-ES"/>
        </w:rPr>
        <w:t xml:space="preserve"> en lo demás la sentencia recurrida.</w:t>
      </w:r>
    </w:p>
    <w:p w14:paraId="030D056E" w14:textId="675C5195" w:rsidR="001D1461" w:rsidRPr="00AE6CC4" w:rsidRDefault="001D1461" w:rsidP="00AE6CC4">
      <w:pPr>
        <w:spacing w:line="276" w:lineRule="auto"/>
        <w:ind w:firstLine="644"/>
        <w:rPr>
          <w:rFonts w:eastAsia="Tahoma" w:cs="Tahoma"/>
          <w:szCs w:val="24"/>
          <w:lang w:eastAsia="es-ES"/>
        </w:rPr>
      </w:pPr>
    </w:p>
    <w:p w14:paraId="5BB2ADD9" w14:textId="4C3A4C74" w:rsidR="001D1461" w:rsidRPr="00AE6CC4" w:rsidRDefault="00BE6423" w:rsidP="00AE6CC4">
      <w:pPr>
        <w:spacing w:line="276" w:lineRule="auto"/>
        <w:ind w:firstLine="644"/>
        <w:rPr>
          <w:rFonts w:eastAsia="Tahoma" w:cs="Tahoma"/>
          <w:szCs w:val="24"/>
          <w:lang w:eastAsia="es-ES"/>
        </w:rPr>
      </w:pPr>
      <w:r w:rsidRPr="00AE6CC4">
        <w:rPr>
          <w:rFonts w:eastAsia="Tahoma" w:cs="Tahoma"/>
          <w:b/>
          <w:bCs/>
          <w:szCs w:val="24"/>
          <w:lang w:eastAsia="es-ES"/>
        </w:rPr>
        <w:t xml:space="preserve">CUARTO: </w:t>
      </w:r>
      <w:r w:rsidR="00505855" w:rsidRPr="00AE6CC4">
        <w:rPr>
          <w:rFonts w:eastAsia="Tahoma" w:cs="Tahoma"/>
          <w:b/>
          <w:bCs/>
          <w:szCs w:val="24"/>
          <w:lang w:eastAsia="es-ES"/>
        </w:rPr>
        <w:t>SIN COSTAS</w:t>
      </w:r>
      <w:r w:rsidR="00505855" w:rsidRPr="00AE6CC4">
        <w:rPr>
          <w:rFonts w:eastAsia="Tahoma" w:cs="Tahoma"/>
          <w:szCs w:val="24"/>
          <w:lang w:eastAsia="es-ES"/>
        </w:rPr>
        <w:t xml:space="preserve"> en esta instancia.</w:t>
      </w:r>
    </w:p>
    <w:p w14:paraId="0D0FA362" w14:textId="77777777" w:rsidR="00B33A2C" w:rsidRPr="00AE6CC4" w:rsidRDefault="00B33A2C" w:rsidP="00AE6CC4">
      <w:pPr>
        <w:spacing w:line="276" w:lineRule="auto"/>
        <w:rPr>
          <w:rFonts w:eastAsia="Tahoma" w:cs="Tahoma"/>
          <w:szCs w:val="24"/>
          <w:lang w:eastAsia="es-ES"/>
        </w:rPr>
      </w:pPr>
    </w:p>
    <w:p w14:paraId="6CDD2ABE" w14:textId="77777777" w:rsidR="00B33A2C" w:rsidRPr="00AE6CC4" w:rsidRDefault="00B33A2C" w:rsidP="00AE6CC4">
      <w:pPr>
        <w:spacing w:line="276" w:lineRule="auto"/>
        <w:ind w:firstLine="644"/>
        <w:rPr>
          <w:rFonts w:eastAsia="Tahoma" w:cs="Tahoma"/>
          <w:szCs w:val="24"/>
          <w:lang w:eastAsia="es-ES"/>
        </w:rPr>
      </w:pPr>
    </w:p>
    <w:p w14:paraId="7BBDA11C" w14:textId="77777777" w:rsidR="00B33A2C" w:rsidRPr="00AE6CC4" w:rsidRDefault="00B33A2C" w:rsidP="00AE6CC4">
      <w:pPr>
        <w:widowControl w:val="0"/>
        <w:autoSpaceDE w:val="0"/>
        <w:autoSpaceDN w:val="0"/>
        <w:adjustRightInd w:val="0"/>
        <w:spacing w:line="276" w:lineRule="auto"/>
        <w:jc w:val="center"/>
        <w:rPr>
          <w:rFonts w:cs="Tahoma"/>
          <w:b/>
          <w:szCs w:val="24"/>
        </w:rPr>
      </w:pPr>
      <w:r w:rsidRPr="00AE6CC4">
        <w:rPr>
          <w:rFonts w:cs="Tahoma"/>
          <w:b/>
          <w:szCs w:val="24"/>
        </w:rPr>
        <w:t>NOTIFÍQUESE Y CÚMPLASE</w:t>
      </w:r>
    </w:p>
    <w:p w14:paraId="1A1C1FC8" w14:textId="77777777" w:rsidR="00AE6CC4" w:rsidRPr="00AE6CC4" w:rsidRDefault="00AE6CC4" w:rsidP="00AE6CC4">
      <w:pPr>
        <w:spacing w:line="276" w:lineRule="auto"/>
        <w:contextualSpacing/>
        <w:rPr>
          <w:rFonts w:eastAsia="Times New Roman" w:cs="Tahoma"/>
          <w:szCs w:val="24"/>
          <w:lang w:val="es-ES_tradnl"/>
        </w:rPr>
      </w:pPr>
      <w:bookmarkStart w:id="5" w:name="_Hlk74294138"/>
    </w:p>
    <w:p w14:paraId="43FC0B88" w14:textId="77777777" w:rsidR="00AE6CC4" w:rsidRPr="00AE6CC4" w:rsidRDefault="00AE6CC4" w:rsidP="00AE6CC4">
      <w:pPr>
        <w:widowControl w:val="0"/>
        <w:autoSpaceDE w:val="0"/>
        <w:autoSpaceDN w:val="0"/>
        <w:adjustRightInd w:val="0"/>
        <w:spacing w:line="276" w:lineRule="auto"/>
        <w:rPr>
          <w:rFonts w:eastAsia="Times New Roman" w:cs="Tahoma"/>
          <w:szCs w:val="24"/>
          <w:lang w:eastAsia="es-ES"/>
        </w:rPr>
      </w:pPr>
      <w:r w:rsidRPr="00AE6CC4">
        <w:rPr>
          <w:rFonts w:eastAsia="Times New Roman" w:cs="Tahoma"/>
          <w:szCs w:val="24"/>
          <w:lang w:eastAsia="es-ES"/>
        </w:rPr>
        <w:tab/>
        <w:t>La Magistrada ponente,</w:t>
      </w:r>
    </w:p>
    <w:p w14:paraId="37532C02" w14:textId="77777777" w:rsidR="00AE6CC4" w:rsidRPr="00AE6CC4" w:rsidRDefault="00AE6CC4" w:rsidP="00AE6CC4">
      <w:pPr>
        <w:spacing w:line="276" w:lineRule="auto"/>
        <w:jc w:val="left"/>
        <w:rPr>
          <w:rFonts w:eastAsia="Times New Roman" w:cs="Tahoma"/>
          <w:szCs w:val="24"/>
          <w:lang w:eastAsia="es-ES"/>
        </w:rPr>
      </w:pPr>
    </w:p>
    <w:p w14:paraId="0CCC2D22" w14:textId="77777777" w:rsidR="00AE6CC4" w:rsidRPr="00AE6CC4" w:rsidRDefault="00AE6CC4" w:rsidP="00AE6CC4">
      <w:pPr>
        <w:spacing w:line="276" w:lineRule="auto"/>
        <w:jc w:val="left"/>
        <w:rPr>
          <w:rFonts w:eastAsia="Times New Roman" w:cs="Tahoma"/>
          <w:szCs w:val="24"/>
          <w:lang w:eastAsia="es-ES"/>
        </w:rPr>
      </w:pPr>
    </w:p>
    <w:p w14:paraId="0FEC341E" w14:textId="77777777" w:rsidR="00AE6CC4" w:rsidRPr="00AE6CC4" w:rsidRDefault="00AE6CC4" w:rsidP="00AE6CC4">
      <w:pPr>
        <w:spacing w:line="276" w:lineRule="auto"/>
        <w:jc w:val="left"/>
        <w:rPr>
          <w:rFonts w:eastAsia="Times New Roman" w:cs="Tahoma"/>
          <w:szCs w:val="24"/>
          <w:lang w:eastAsia="es-ES"/>
        </w:rPr>
      </w:pPr>
    </w:p>
    <w:p w14:paraId="7398104D" w14:textId="77777777" w:rsidR="00AE6CC4" w:rsidRPr="00AE6CC4" w:rsidRDefault="00AE6CC4" w:rsidP="00AE6CC4">
      <w:pPr>
        <w:keepNext/>
        <w:spacing w:line="276" w:lineRule="auto"/>
        <w:jc w:val="center"/>
        <w:outlineLvl w:val="2"/>
        <w:rPr>
          <w:rFonts w:eastAsia="Times New Roman" w:cs="Tahoma"/>
          <w:b/>
          <w:bCs/>
          <w:szCs w:val="24"/>
          <w:lang w:eastAsia="es-ES"/>
        </w:rPr>
      </w:pPr>
      <w:r w:rsidRPr="00AE6CC4">
        <w:rPr>
          <w:rFonts w:eastAsia="Times New Roman" w:cs="Tahoma"/>
          <w:b/>
          <w:bCs/>
          <w:szCs w:val="24"/>
          <w:lang w:eastAsia="es-ES"/>
        </w:rPr>
        <w:t>ANA LUCÍA CAICEDO CALDERÓN</w:t>
      </w:r>
    </w:p>
    <w:p w14:paraId="2BB65D06" w14:textId="77777777" w:rsidR="00AE6CC4" w:rsidRPr="00AE6CC4" w:rsidRDefault="00AE6CC4" w:rsidP="00AE6CC4">
      <w:pPr>
        <w:spacing w:line="276" w:lineRule="auto"/>
        <w:jc w:val="left"/>
        <w:rPr>
          <w:rFonts w:eastAsia="Times New Roman" w:cs="Tahoma"/>
          <w:szCs w:val="24"/>
          <w:lang w:eastAsia="es-ES"/>
        </w:rPr>
      </w:pPr>
    </w:p>
    <w:p w14:paraId="0E1B7D2F" w14:textId="77777777" w:rsidR="00AE6CC4" w:rsidRPr="00AE6CC4" w:rsidRDefault="00AE6CC4" w:rsidP="00AE6CC4">
      <w:pPr>
        <w:spacing w:line="276" w:lineRule="auto"/>
        <w:ind w:firstLine="708"/>
        <w:jc w:val="left"/>
        <w:rPr>
          <w:rFonts w:eastAsia="Times New Roman" w:cs="Tahoma"/>
          <w:szCs w:val="24"/>
          <w:lang w:eastAsia="es-ES"/>
        </w:rPr>
      </w:pPr>
      <w:bookmarkStart w:id="6" w:name="_Hlk62478330"/>
      <w:r w:rsidRPr="00AE6CC4">
        <w:rPr>
          <w:rFonts w:eastAsia="Times New Roman" w:cs="Tahoma"/>
          <w:szCs w:val="24"/>
          <w:lang w:eastAsia="es-ES"/>
        </w:rPr>
        <w:t>La Magistrada y el Magistrado,</w:t>
      </w:r>
    </w:p>
    <w:p w14:paraId="4F9E2AEC" w14:textId="77777777" w:rsidR="00AE6CC4" w:rsidRPr="00AE6CC4" w:rsidRDefault="00AE6CC4" w:rsidP="00AE6CC4">
      <w:pPr>
        <w:spacing w:line="276" w:lineRule="auto"/>
        <w:jc w:val="left"/>
        <w:rPr>
          <w:rFonts w:eastAsia="Times New Roman" w:cs="Tahoma"/>
          <w:szCs w:val="24"/>
          <w:lang w:eastAsia="es-ES"/>
        </w:rPr>
      </w:pPr>
    </w:p>
    <w:p w14:paraId="01E17814" w14:textId="77777777" w:rsidR="00AE6CC4" w:rsidRPr="00AE6CC4" w:rsidRDefault="00AE6CC4" w:rsidP="00AE6CC4">
      <w:pPr>
        <w:spacing w:line="276" w:lineRule="auto"/>
        <w:jc w:val="left"/>
        <w:rPr>
          <w:rFonts w:eastAsia="Times New Roman" w:cs="Tahoma"/>
          <w:szCs w:val="24"/>
          <w:lang w:eastAsia="es-ES"/>
        </w:rPr>
      </w:pPr>
    </w:p>
    <w:p w14:paraId="41C850A9" w14:textId="77777777" w:rsidR="00AE6CC4" w:rsidRPr="00AE6CC4" w:rsidRDefault="00AE6CC4" w:rsidP="00AE6CC4">
      <w:pPr>
        <w:spacing w:line="276" w:lineRule="auto"/>
        <w:jc w:val="left"/>
        <w:rPr>
          <w:rFonts w:eastAsia="Times New Roman" w:cs="Tahoma"/>
          <w:szCs w:val="24"/>
          <w:lang w:eastAsia="es-ES"/>
        </w:rPr>
      </w:pPr>
    </w:p>
    <w:p w14:paraId="7DF2A4B3" w14:textId="5CC2466B" w:rsidR="009D10A2" w:rsidRPr="00AE6CC4" w:rsidRDefault="00AE6CC4" w:rsidP="00AE6CC4">
      <w:pPr>
        <w:spacing w:line="276" w:lineRule="auto"/>
        <w:rPr>
          <w:rFonts w:eastAsia="Times New Roman" w:cs="Tahoma"/>
          <w:szCs w:val="24"/>
          <w:lang w:eastAsia="es-ES"/>
        </w:rPr>
      </w:pPr>
      <w:r w:rsidRPr="00AE6CC4">
        <w:rPr>
          <w:rFonts w:eastAsia="Times New Roman" w:cs="Tahoma"/>
          <w:b/>
          <w:bCs/>
          <w:szCs w:val="24"/>
          <w:lang w:eastAsia="es-ES"/>
        </w:rPr>
        <w:t>OLGA LUCÍA HOYOS SEPÚLVEDA</w:t>
      </w:r>
      <w:r w:rsidRPr="00AE6CC4">
        <w:rPr>
          <w:rFonts w:eastAsia="Times New Roman" w:cs="Tahoma"/>
          <w:b/>
          <w:bCs/>
          <w:szCs w:val="24"/>
          <w:lang w:eastAsia="es-ES"/>
        </w:rPr>
        <w:tab/>
      </w:r>
      <w:r w:rsidRPr="00AE6CC4">
        <w:rPr>
          <w:rFonts w:eastAsia="Times New Roman" w:cs="Tahoma"/>
          <w:b/>
          <w:bCs/>
          <w:szCs w:val="24"/>
          <w:lang w:eastAsia="es-ES"/>
        </w:rPr>
        <w:tab/>
        <w:t>GERMÁN DARÍO GÓEZ VINASCO</w:t>
      </w:r>
      <w:bookmarkEnd w:id="5"/>
      <w:bookmarkEnd w:id="6"/>
    </w:p>
    <w:sectPr w:rsidR="009D10A2" w:rsidRPr="00AE6CC4" w:rsidSect="00A95408">
      <w:headerReference w:type="even" r:id="rId11"/>
      <w:headerReference w:type="default" r:id="rId12"/>
      <w:footerReference w:type="even" r:id="rId13"/>
      <w:footerReference w:type="default" r:id="rId14"/>
      <w:headerReference w:type="first" r:id="rId15"/>
      <w:footerReference w:type="first" r:id="rId16"/>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B34381" w16cex:dateUtc="2021-07-28T12:52:24.612Z"/>
  <w16cex:commentExtensible w16cex:durableId="38BC6267" w16cex:dateUtc="2021-07-28T13:06:12.156Z"/>
  <w16cex:commentExtensible w16cex:durableId="493E7578" w16cex:dateUtc="2021-07-28T14:14:30.665Z"/>
  <w16cex:commentExtensible w16cex:durableId="2FD09CC4" w16cex:dateUtc="2021-07-28T14:17:23.512Z"/>
  <w16cex:commentExtensible w16cex:durableId="7A8558BD" w16cex:dateUtc="2021-07-28T14:18:43.836Z"/>
  <w16cex:commentExtensible w16cex:durableId="0343842B" w16cex:dateUtc="2021-07-28T14:27:38.218Z"/>
  <w16cex:commentExtensible w16cex:durableId="0F1E9AF9" w16cex:dateUtc="2021-07-28T18:47:29.8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65D7" w14:textId="77777777" w:rsidR="00AE064D" w:rsidRDefault="00AE064D" w:rsidP="00790DA9">
      <w:pPr>
        <w:spacing w:line="240" w:lineRule="auto"/>
      </w:pPr>
      <w:r>
        <w:separator/>
      </w:r>
    </w:p>
  </w:endnote>
  <w:endnote w:type="continuationSeparator" w:id="0">
    <w:p w14:paraId="5113D81F" w14:textId="77777777" w:rsidR="00AE064D" w:rsidRDefault="00AE064D" w:rsidP="00790DA9">
      <w:pPr>
        <w:spacing w:line="240" w:lineRule="auto"/>
      </w:pPr>
      <w:r>
        <w:continuationSeparator/>
      </w:r>
    </w:p>
  </w:endnote>
  <w:endnote w:type="continuationNotice" w:id="1">
    <w:p w14:paraId="00C56CF3" w14:textId="77777777" w:rsidR="00AE064D" w:rsidRDefault="00AE06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F02A" w14:textId="77777777" w:rsidR="00CD09FD" w:rsidRDefault="00CD09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CD09FD" w:rsidRPr="008063DF" w:rsidRDefault="00CD09FD">
        <w:pPr>
          <w:pStyle w:val="Piedepgina"/>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noProof/>
            <w:sz w:val="18"/>
            <w:szCs w:val="14"/>
            <w:lang w:eastAsia="es-ES"/>
          </w:rPr>
          <w:t>17</w:t>
        </w:r>
        <w:r w:rsidRPr="008063DF">
          <w:rPr>
            <w:rFonts w:ascii="Arial" w:eastAsia="Times New Roman" w:hAnsi="Arial" w:cs="Arial"/>
            <w:sz w:val="18"/>
            <w:szCs w:val="14"/>
            <w:lang w:eastAsia="es-E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790D" w14:textId="77777777" w:rsidR="00CD09FD" w:rsidRDefault="00CD09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98B6" w14:textId="77777777" w:rsidR="00AE064D" w:rsidRDefault="00AE064D" w:rsidP="00790DA9">
      <w:pPr>
        <w:spacing w:line="240" w:lineRule="auto"/>
      </w:pPr>
      <w:r>
        <w:separator/>
      </w:r>
    </w:p>
  </w:footnote>
  <w:footnote w:type="continuationSeparator" w:id="0">
    <w:p w14:paraId="037E1744" w14:textId="77777777" w:rsidR="00AE064D" w:rsidRDefault="00AE064D" w:rsidP="00790DA9">
      <w:pPr>
        <w:spacing w:line="240" w:lineRule="auto"/>
      </w:pPr>
      <w:r>
        <w:continuationSeparator/>
      </w:r>
    </w:p>
  </w:footnote>
  <w:footnote w:type="continuationNotice" w:id="1">
    <w:p w14:paraId="545A6EDA" w14:textId="77777777" w:rsidR="00AE064D" w:rsidRDefault="00AE064D">
      <w:pPr>
        <w:spacing w:line="240" w:lineRule="auto"/>
      </w:pPr>
    </w:p>
  </w:footnote>
  <w:footnote w:id="2">
    <w:p w14:paraId="55497FA4" w14:textId="10EC9B59" w:rsidR="00CD09FD" w:rsidRPr="002A3A09" w:rsidRDefault="00CD09FD" w:rsidP="002A3A09">
      <w:pPr>
        <w:pStyle w:val="Textonotapie"/>
        <w:ind w:firstLine="0"/>
        <w:rPr>
          <w:rFonts w:ascii="Arial" w:hAnsi="Arial" w:cs="Arial"/>
          <w:sz w:val="18"/>
          <w:szCs w:val="18"/>
        </w:rPr>
      </w:pPr>
      <w:r w:rsidRPr="002A3A09">
        <w:rPr>
          <w:rStyle w:val="Refdenotaalpie"/>
          <w:rFonts w:ascii="Arial" w:hAnsi="Arial" w:cs="Arial"/>
          <w:sz w:val="18"/>
          <w:szCs w:val="18"/>
        </w:rPr>
        <w:footnoteRef/>
      </w:r>
      <w:r w:rsidRPr="002A3A09">
        <w:rPr>
          <w:rFonts w:ascii="Arial" w:hAnsi="Arial" w:cs="Arial"/>
          <w:sz w:val="18"/>
          <w:szCs w:val="18"/>
        </w:rPr>
        <w:t xml:space="preserve"> En el expediente digital de primera instancia obra la carpeta denominada “12. respuesta oficio PORVENIR”, la cual contiene el documento “76333152 RECONOCIMIENTO”.</w:t>
      </w:r>
    </w:p>
  </w:footnote>
  <w:footnote w:id="3">
    <w:p w14:paraId="176FB7D3" w14:textId="07BCBBBD" w:rsidR="007B7977" w:rsidRPr="002A3A09" w:rsidRDefault="007B7977" w:rsidP="002A3A09">
      <w:pPr>
        <w:pStyle w:val="Textonotapie"/>
        <w:ind w:firstLine="0"/>
        <w:rPr>
          <w:rFonts w:ascii="Arial" w:hAnsi="Arial" w:cs="Arial"/>
          <w:sz w:val="18"/>
          <w:szCs w:val="18"/>
        </w:rPr>
      </w:pPr>
      <w:r w:rsidRPr="002A3A09">
        <w:rPr>
          <w:rStyle w:val="Refdenotaalpie"/>
          <w:rFonts w:ascii="Arial" w:hAnsi="Arial" w:cs="Arial"/>
          <w:sz w:val="18"/>
          <w:szCs w:val="18"/>
        </w:rPr>
        <w:footnoteRef/>
      </w:r>
      <w:r w:rsidRPr="002A3A09">
        <w:rPr>
          <w:rFonts w:ascii="Arial" w:hAnsi="Arial" w:cs="Arial"/>
          <w:sz w:val="18"/>
          <w:szCs w:val="18"/>
        </w:rPr>
        <w:t xml:space="preserve"> Con ocasión de la póliza de renta vitalicia contratada por Porvenir S.A. con esa aseguradora.</w:t>
      </w:r>
    </w:p>
  </w:footnote>
  <w:footnote w:id="4">
    <w:p w14:paraId="2BBC7445" w14:textId="7EF29608" w:rsidR="00CD09FD" w:rsidRPr="002A3A09" w:rsidRDefault="00CD09FD" w:rsidP="002A3A09">
      <w:pPr>
        <w:pStyle w:val="Textonotapie"/>
        <w:ind w:firstLine="0"/>
        <w:rPr>
          <w:rFonts w:ascii="Arial" w:hAnsi="Arial" w:cs="Arial"/>
          <w:sz w:val="18"/>
          <w:szCs w:val="18"/>
        </w:rPr>
      </w:pPr>
      <w:r w:rsidRPr="002A3A09">
        <w:rPr>
          <w:rStyle w:val="Refdenotaalpie"/>
          <w:rFonts w:ascii="Arial" w:hAnsi="Arial" w:cs="Arial"/>
          <w:sz w:val="18"/>
          <w:szCs w:val="18"/>
        </w:rPr>
        <w:footnoteRef/>
      </w:r>
      <w:r w:rsidRPr="002A3A09">
        <w:rPr>
          <w:rFonts w:ascii="Arial" w:hAnsi="Arial" w:cs="Arial"/>
          <w:sz w:val="18"/>
          <w:szCs w:val="18"/>
        </w:rPr>
        <w:t xml:space="preserve"> Ídem.</w:t>
      </w:r>
    </w:p>
  </w:footnote>
  <w:footnote w:id="5">
    <w:p w14:paraId="7D859D77" w14:textId="29DC4F62" w:rsidR="00CD09FD" w:rsidRPr="002A3A09" w:rsidRDefault="00CD09FD" w:rsidP="002A3A09">
      <w:pPr>
        <w:pStyle w:val="Textonotapie"/>
        <w:ind w:firstLine="0"/>
        <w:rPr>
          <w:rFonts w:ascii="Arial" w:hAnsi="Arial" w:cs="Arial"/>
          <w:sz w:val="18"/>
          <w:szCs w:val="18"/>
        </w:rPr>
      </w:pPr>
      <w:r w:rsidRPr="002A3A09">
        <w:rPr>
          <w:rStyle w:val="Refdenotaalpie"/>
          <w:rFonts w:ascii="Arial" w:hAnsi="Arial" w:cs="Arial"/>
          <w:sz w:val="18"/>
          <w:szCs w:val="18"/>
        </w:rPr>
        <w:footnoteRef/>
      </w:r>
      <w:r w:rsidRPr="002A3A09">
        <w:rPr>
          <w:rFonts w:ascii="Arial" w:hAnsi="Arial" w:cs="Arial"/>
          <w:sz w:val="18"/>
          <w:szCs w:val="18"/>
        </w:rPr>
        <w:t xml:space="preserve"> Ídem.</w:t>
      </w:r>
    </w:p>
  </w:footnote>
  <w:footnote w:id="6">
    <w:p w14:paraId="724B63E3" w14:textId="33D418BE" w:rsidR="00CD09FD" w:rsidRPr="002A3A09" w:rsidRDefault="00CD09FD" w:rsidP="002A3A09">
      <w:pPr>
        <w:pStyle w:val="Textonotapie"/>
        <w:ind w:firstLine="0"/>
        <w:rPr>
          <w:rFonts w:ascii="Arial" w:hAnsi="Arial" w:cs="Arial"/>
          <w:sz w:val="18"/>
          <w:szCs w:val="18"/>
        </w:rPr>
      </w:pPr>
      <w:r w:rsidRPr="002A3A09">
        <w:rPr>
          <w:rStyle w:val="Refdenotaalpie"/>
          <w:rFonts w:ascii="Arial" w:hAnsi="Arial" w:cs="Arial"/>
          <w:sz w:val="18"/>
          <w:szCs w:val="18"/>
        </w:rPr>
        <w:footnoteRef/>
      </w:r>
      <w:r w:rsidRPr="002A3A09">
        <w:rPr>
          <w:rFonts w:ascii="Arial" w:hAnsi="Arial" w:cs="Arial"/>
          <w:sz w:val="18"/>
          <w:szCs w:val="18"/>
        </w:rPr>
        <w:t xml:space="preserve"> M.P. Rigoberto EcheverrI Bueno</w:t>
      </w:r>
    </w:p>
  </w:footnote>
  <w:footnote w:id="7">
    <w:p w14:paraId="0763149F" w14:textId="4136DD45" w:rsidR="00F63258" w:rsidRPr="002A3A09" w:rsidRDefault="00F63258" w:rsidP="002A3A09">
      <w:pPr>
        <w:pStyle w:val="Textonotapie"/>
        <w:ind w:firstLine="0"/>
        <w:rPr>
          <w:rFonts w:ascii="Arial" w:hAnsi="Arial" w:cs="Arial"/>
          <w:sz w:val="18"/>
          <w:szCs w:val="18"/>
        </w:rPr>
      </w:pPr>
      <w:r w:rsidRPr="002A3A09">
        <w:rPr>
          <w:rStyle w:val="Refdenotaalpie"/>
          <w:rFonts w:ascii="Arial" w:hAnsi="Arial" w:cs="Arial"/>
          <w:sz w:val="18"/>
          <w:szCs w:val="18"/>
        </w:rPr>
        <w:footnoteRef/>
      </w:r>
      <w:r w:rsidRPr="002A3A09">
        <w:rPr>
          <w:rFonts w:ascii="Arial" w:hAnsi="Arial" w:cs="Arial"/>
          <w:sz w:val="18"/>
          <w:szCs w:val="18"/>
        </w:rPr>
        <w:t xml:space="preserve"> Documento rotulado </w:t>
      </w:r>
      <w:r w:rsidR="00361F3A" w:rsidRPr="002A3A09">
        <w:rPr>
          <w:rFonts w:ascii="Arial" w:hAnsi="Arial" w:cs="Arial"/>
          <w:sz w:val="18"/>
          <w:szCs w:val="18"/>
        </w:rPr>
        <w:t>“</w:t>
      </w:r>
      <w:r w:rsidRPr="002A3A09">
        <w:rPr>
          <w:rFonts w:ascii="Arial" w:hAnsi="Arial" w:cs="Arial"/>
          <w:sz w:val="18"/>
          <w:szCs w:val="18"/>
        </w:rPr>
        <w:t>CERTIFICADOS PE - SEMANAS RAD 2019-00389</w:t>
      </w:r>
      <w:r w:rsidR="00361F3A" w:rsidRPr="002A3A09">
        <w:rPr>
          <w:rFonts w:ascii="Arial" w:hAnsi="Arial" w:cs="Arial"/>
          <w:sz w:val="18"/>
          <w:szCs w:val="18"/>
        </w:rPr>
        <w:t>”</w:t>
      </w:r>
      <w:r w:rsidRPr="002A3A09">
        <w:rPr>
          <w:rFonts w:ascii="Arial" w:hAnsi="Arial" w:cs="Arial"/>
          <w:sz w:val="18"/>
          <w:szCs w:val="18"/>
        </w:rPr>
        <w:t>, obrante en la carpeta “18 respuesta COOMEVA”</w:t>
      </w:r>
    </w:p>
  </w:footnote>
  <w:footnote w:id="8">
    <w:p w14:paraId="256986ED" w14:textId="231E9035" w:rsidR="00CD09FD" w:rsidRPr="002A3A09" w:rsidRDefault="00CD09FD" w:rsidP="002A3A09">
      <w:pPr>
        <w:pStyle w:val="Textonotapie"/>
        <w:ind w:firstLine="0"/>
        <w:rPr>
          <w:rFonts w:ascii="Arial" w:hAnsi="Arial" w:cs="Arial"/>
          <w:sz w:val="18"/>
          <w:szCs w:val="18"/>
        </w:rPr>
      </w:pPr>
      <w:r w:rsidRPr="002A3A09">
        <w:rPr>
          <w:rStyle w:val="Refdenotaalpie"/>
          <w:rFonts w:ascii="Arial" w:hAnsi="Arial" w:cs="Arial"/>
          <w:sz w:val="18"/>
          <w:szCs w:val="18"/>
        </w:rPr>
        <w:footnoteRef/>
      </w:r>
      <w:r w:rsidRPr="002A3A09">
        <w:rPr>
          <w:rFonts w:ascii="Arial" w:hAnsi="Arial" w:cs="Arial"/>
          <w:sz w:val="18"/>
          <w:szCs w:val="18"/>
        </w:rPr>
        <w:t xml:space="preserve"> </w:t>
      </w:r>
      <w:r w:rsidR="00361F3A" w:rsidRPr="002A3A09">
        <w:rPr>
          <w:rFonts w:ascii="Arial" w:hAnsi="Arial" w:cs="Arial"/>
          <w:sz w:val="18"/>
          <w:szCs w:val="18"/>
        </w:rPr>
        <w:t>E</w:t>
      </w:r>
      <w:r w:rsidRPr="002A3A09">
        <w:rPr>
          <w:rFonts w:ascii="Arial" w:hAnsi="Arial" w:cs="Arial"/>
          <w:sz w:val="18"/>
          <w:szCs w:val="18"/>
        </w:rPr>
        <w:t>ntre el 28 de abril de 2009 hasta el 9 de abril de 2015</w:t>
      </w:r>
      <w:r w:rsidR="00361F3A" w:rsidRPr="002A3A0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3C97" w14:textId="77777777" w:rsidR="00CD09FD" w:rsidRDefault="00CD09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64D1" w14:textId="77777777" w:rsidR="00CD09FD" w:rsidRPr="00D36FD5" w:rsidRDefault="00CD09FD" w:rsidP="00D36FD5">
    <w:pPr>
      <w:tabs>
        <w:tab w:val="left" w:pos="993"/>
      </w:tabs>
      <w:spacing w:line="240" w:lineRule="auto"/>
      <w:ind w:left="1134" w:hanging="1134"/>
      <w:rPr>
        <w:rFonts w:ascii="Times New Roman" w:eastAsia="Times New Roman" w:hAnsi="Times New Roman" w:cs="Times New Roman"/>
        <w:sz w:val="14"/>
        <w:szCs w:val="14"/>
        <w:lang w:val="es-419" w:eastAsia="es-ES"/>
      </w:rPr>
    </w:pPr>
    <w:r w:rsidRPr="00D36FD5">
      <w:rPr>
        <w:rFonts w:ascii="Times New Roman" w:eastAsia="Times New Roman" w:hAnsi="Times New Roman" w:cs="Times New Roman"/>
        <w:sz w:val="14"/>
        <w:szCs w:val="14"/>
        <w:lang w:val="es-419" w:eastAsia="es-ES"/>
      </w:rPr>
      <w:t xml:space="preserve">Radicación No.: </w:t>
    </w:r>
    <w:r w:rsidRPr="00D36FD5">
      <w:rPr>
        <w:rFonts w:ascii="Times New Roman" w:eastAsia="Times New Roman" w:hAnsi="Times New Roman" w:cs="Times New Roman"/>
        <w:sz w:val="14"/>
        <w:szCs w:val="14"/>
        <w:lang w:val="es-419" w:eastAsia="es-ES"/>
      </w:rPr>
      <w:tab/>
      <w:t>66001-31-05-004-2019-00389-01</w:t>
    </w:r>
  </w:p>
  <w:p w14:paraId="37526883" w14:textId="3B983F0C" w:rsidR="00CD09FD" w:rsidRPr="00D36FD5" w:rsidRDefault="00CD09FD" w:rsidP="00D36FD5">
    <w:pPr>
      <w:tabs>
        <w:tab w:val="left" w:pos="993"/>
      </w:tabs>
      <w:spacing w:line="240" w:lineRule="auto"/>
      <w:ind w:left="1134" w:hanging="1134"/>
      <w:rPr>
        <w:rFonts w:ascii="Times New Roman" w:eastAsia="Times New Roman" w:hAnsi="Times New Roman" w:cs="Times New Roman"/>
        <w:sz w:val="14"/>
        <w:szCs w:val="14"/>
        <w:lang w:val="es-419" w:eastAsia="es-ES"/>
      </w:rPr>
    </w:pPr>
    <w:r w:rsidRPr="00D36FD5">
      <w:rPr>
        <w:rFonts w:ascii="Times New Roman" w:eastAsia="Times New Roman" w:hAnsi="Times New Roman" w:cs="Times New Roman"/>
        <w:sz w:val="14"/>
        <w:szCs w:val="14"/>
        <w:lang w:val="es-419" w:eastAsia="es-ES"/>
      </w:rPr>
      <w:t xml:space="preserve">Demandante: Miguel Ángel Zurita Ayala </w:t>
    </w:r>
  </w:p>
  <w:p w14:paraId="6F803843" w14:textId="42B5B8DE" w:rsidR="00CD09FD" w:rsidRPr="00D36FD5" w:rsidRDefault="00CD09FD" w:rsidP="00D36FD5">
    <w:pPr>
      <w:tabs>
        <w:tab w:val="left" w:pos="993"/>
      </w:tabs>
      <w:spacing w:line="240" w:lineRule="auto"/>
      <w:ind w:left="1134" w:hanging="1134"/>
      <w:rPr>
        <w:rFonts w:ascii="Times New Roman" w:eastAsia="Times New Roman" w:hAnsi="Times New Roman" w:cs="Times New Roman"/>
        <w:sz w:val="14"/>
        <w:szCs w:val="14"/>
        <w:lang w:val="es-419" w:eastAsia="es-ES"/>
      </w:rPr>
    </w:pPr>
    <w:r w:rsidRPr="00D36FD5">
      <w:rPr>
        <w:rFonts w:ascii="Times New Roman" w:eastAsia="Times New Roman" w:hAnsi="Times New Roman" w:cs="Times New Roman"/>
        <w:sz w:val="14"/>
        <w:szCs w:val="14"/>
        <w:lang w:val="es-419" w:eastAsia="es-ES"/>
      </w:rPr>
      <w:t xml:space="preserve">Demandado: Porvenir S.A. y Seguros </w:t>
    </w:r>
    <w:r>
      <w:rPr>
        <w:rFonts w:ascii="Times New Roman" w:eastAsia="Times New Roman" w:hAnsi="Times New Roman" w:cs="Times New Roman"/>
        <w:sz w:val="14"/>
        <w:szCs w:val="14"/>
        <w:lang w:val="es-419" w:eastAsia="es-ES"/>
      </w:rPr>
      <w:t xml:space="preserve">de Vida </w:t>
    </w:r>
    <w:r w:rsidRPr="00D36FD5">
      <w:rPr>
        <w:rFonts w:ascii="Times New Roman" w:eastAsia="Times New Roman" w:hAnsi="Times New Roman" w:cs="Times New Roman"/>
        <w:sz w:val="14"/>
        <w:szCs w:val="14"/>
        <w:lang w:val="es-419" w:eastAsia="es-ES"/>
      </w:rPr>
      <w:t>Al</w:t>
    </w:r>
    <w:r>
      <w:rPr>
        <w:rFonts w:ascii="Times New Roman" w:eastAsia="Times New Roman" w:hAnsi="Times New Roman" w:cs="Times New Roman"/>
        <w:sz w:val="14"/>
        <w:szCs w:val="14"/>
        <w:lang w:val="es-419" w:eastAsia="es-ES"/>
      </w:rPr>
      <w:t>f</w:t>
    </w:r>
    <w:r w:rsidRPr="00D36FD5">
      <w:rPr>
        <w:rFonts w:ascii="Times New Roman" w:eastAsia="Times New Roman" w:hAnsi="Times New Roman" w:cs="Times New Roman"/>
        <w:sz w:val="14"/>
        <w:szCs w:val="14"/>
        <w:lang w:val="es-419" w:eastAsia="es-ES"/>
      </w:rPr>
      <w:t>a S.A.</w:t>
    </w:r>
  </w:p>
  <w:p w14:paraId="45EA3F9F" w14:textId="77777777" w:rsidR="00CD09FD" w:rsidRDefault="00CD09FD" w:rsidP="00B66AFB">
    <w:pPr>
      <w:tabs>
        <w:tab w:val="left" w:pos="993"/>
      </w:tabs>
      <w:spacing w:line="240" w:lineRule="auto"/>
      <w:ind w:left="1134" w:hanging="1134"/>
      <w:rPr>
        <w:rFonts w:ascii="Times New Roman" w:eastAsia="Times New Roman" w:hAnsi="Times New Roman" w:cs="Times New Roman"/>
        <w:sz w:val="14"/>
        <w:szCs w:val="14"/>
        <w:lang w:val="es-419"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6DDA" w14:textId="77777777" w:rsidR="00CD09FD" w:rsidRDefault="00CD09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0"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9"/>
  </w:num>
  <w:num w:numId="2">
    <w:abstractNumId w:val="6"/>
  </w:num>
  <w:num w:numId="3">
    <w:abstractNumId w:val="12"/>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72F6"/>
    <w:rsid w:val="00017704"/>
    <w:rsid w:val="00023C72"/>
    <w:rsid w:val="000244B5"/>
    <w:rsid w:val="000303BA"/>
    <w:rsid w:val="00032108"/>
    <w:rsid w:val="000333C2"/>
    <w:rsid w:val="00042B25"/>
    <w:rsid w:val="000507CC"/>
    <w:rsid w:val="00050FFD"/>
    <w:rsid w:val="000558C6"/>
    <w:rsid w:val="00057439"/>
    <w:rsid w:val="00066767"/>
    <w:rsid w:val="00066F14"/>
    <w:rsid w:val="000723F0"/>
    <w:rsid w:val="00073698"/>
    <w:rsid w:val="00081C10"/>
    <w:rsid w:val="00085698"/>
    <w:rsid w:val="000856A8"/>
    <w:rsid w:val="00094029"/>
    <w:rsid w:val="00096470"/>
    <w:rsid w:val="000967AD"/>
    <w:rsid w:val="000B2BAA"/>
    <w:rsid w:val="000B4F2C"/>
    <w:rsid w:val="000B6053"/>
    <w:rsid w:val="000B6125"/>
    <w:rsid w:val="000B6595"/>
    <w:rsid w:val="000C02A4"/>
    <w:rsid w:val="000E25BE"/>
    <w:rsid w:val="000E2F1D"/>
    <w:rsid w:val="000E4606"/>
    <w:rsid w:val="000F3D75"/>
    <w:rsid w:val="000F49C1"/>
    <w:rsid w:val="000F5175"/>
    <w:rsid w:val="00103F06"/>
    <w:rsid w:val="0011145B"/>
    <w:rsid w:val="00115C02"/>
    <w:rsid w:val="001162CF"/>
    <w:rsid w:val="001170DA"/>
    <w:rsid w:val="001363CA"/>
    <w:rsid w:val="00142473"/>
    <w:rsid w:val="001431C7"/>
    <w:rsid w:val="00147587"/>
    <w:rsid w:val="00150FD6"/>
    <w:rsid w:val="001533B3"/>
    <w:rsid w:val="00160F32"/>
    <w:rsid w:val="00167BA0"/>
    <w:rsid w:val="001737EC"/>
    <w:rsid w:val="00177D03"/>
    <w:rsid w:val="001802F1"/>
    <w:rsid w:val="00184EFA"/>
    <w:rsid w:val="00186E4E"/>
    <w:rsid w:val="001878AE"/>
    <w:rsid w:val="00191285"/>
    <w:rsid w:val="00195142"/>
    <w:rsid w:val="001A291C"/>
    <w:rsid w:val="001B01DA"/>
    <w:rsid w:val="001C0216"/>
    <w:rsid w:val="001D1461"/>
    <w:rsid w:val="001D225A"/>
    <w:rsid w:val="001D423C"/>
    <w:rsid w:val="001E6780"/>
    <w:rsid w:val="001F4630"/>
    <w:rsid w:val="00200893"/>
    <w:rsid w:val="002015AE"/>
    <w:rsid w:val="00222944"/>
    <w:rsid w:val="00222D58"/>
    <w:rsid w:val="0022344F"/>
    <w:rsid w:val="00223B8A"/>
    <w:rsid w:val="0022440C"/>
    <w:rsid w:val="00231E79"/>
    <w:rsid w:val="00232A8F"/>
    <w:rsid w:val="00235D61"/>
    <w:rsid w:val="00244E21"/>
    <w:rsid w:val="00256512"/>
    <w:rsid w:val="00263815"/>
    <w:rsid w:val="00271428"/>
    <w:rsid w:val="00272FA1"/>
    <w:rsid w:val="00275D11"/>
    <w:rsid w:val="00277760"/>
    <w:rsid w:val="00290DEE"/>
    <w:rsid w:val="00291FAB"/>
    <w:rsid w:val="002A31FE"/>
    <w:rsid w:val="002A3A09"/>
    <w:rsid w:val="002A4C14"/>
    <w:rsid w:val="002C32BD"/>
    <w:rsid w:val="002C7DFA"/>
    <w:rsid w:val="002D0846"/>
    <w:rsid w:val="002D3547"/>
    <w:rsid w:val="002D6408"/>
    <w:rsid w:val="002D70C7"/>
    <w:rsid w:val="002E4546"/>
    <w:rsid w:val="002F244F"/>
    <w:rsid w:val="002F61B9"/>
    <w:rsid w:val="00301BC8"/>
    <w:rsid w:val="00302CBB"/>
    <w:rsid w:val="00315273"/>
    <w:rsid w:val="0031578C"/>
    <w:rsid w:val="00322722"/>
    <w:rsid w:val="0032384B"/>
    <w:rsid w:val="0033103C"/>
    <w:rsid w:val="003324F5"/>
    <w:rsid w:val="0034027E"/>
    <w:rsid w:val="00342284"/>
    <w:rsid w:val="003537F0"/>
    <w:rsid w:val="00361F3A"/>
    <w:rsid w:val="003775EE"/>
    <w:rsid w:val="0038174B"/>
    <w:rsid w:val="00386234"/>
    <w:rsid w:val="00392D0C"/>
    <w:rsid w:val="003A16E6"/>
    <w:rsid w:val="003A20BF"/>
    <w:rsid w:val="003B4218"/>
    <w:rsid w:val="003C0463"/>
    <w:rsid w:val="003C1E02"/>
    <w:rsid w:val="003C46FA"/>
    <w:rsid w:val="003C7505"/>
    <w:rsid w:val="003C7E50"/>
    <w:rsid w:val="003D0E6E"/>
    <w:rsid w:val="003D1994"/>
    <w:rsid w:val="003E18A3"/>
    <w:rsid w:val="003F14CC"/>
    <w:rsid w:val="003F60EA"/>
    <w:rsid w:val="00400519"/>
    <w:rsid w:val="0040245E"/>
    <w:rsid w:val="00421F4F"/>
    <w:rsid w:val="004260C5"/>
    <w:rsid w:val="00442BD5"/>
    <w:rsid w:val="00450952"/>
    <w:rsid w:val="00452757"/>
    <w:rsid w:val="00454F9D"/>
    <w:rsid w:val="00465ABE"/>
    <w:rsid w:val="00466937"/>
    <w:rsid w:val="00467973"/>
    <w:rsid w:val="00472F19"/>
    <w:rsid w:val="00475D78"/>
    <w:rsid w:val="00480777"/>
    <w:rsid w:val="00483816"/>
    <w:rsid w:val="004A1054"/>
    <w:rsid w:val="004A65D3"/>
    <w:rsid w:val="004C46ED"/>
    <w:rsid w:val="004C68B8"/>
    <w:rsid w:val="004F626D"/>
    <w:rsid w:val="00505855"/>
    <w:rsid w:val="005206C1"/>
    <w:rsid w:val="00530B12"/>
    <w:rsid w:val="0053421E"/>
    <w:rsid w:val="00537710"/>
    <w:rsid w:val="00545B08"/>
    <w:rsid w:val="00553A85"/>
    <w:rsid w:val="00553FD7"/>
    <w:rsid w:val="0056002A"/>
    <w:rsid w:val="005600B0"/>
    <w:rsid w:val="00561E61"/>
    <w:rsid w:val="00597A65"/>
    <w:rsid w:val="005A473D"/>
    <w:rsid w:val="005A4DDC"/>
    <w:rsid w:val="005A5ADA"/>
    <w:rsid w:val="005B00B8"/>
    <w:rsid w:val="005B1B92"/>
    <w:rsid w:val="005B5103"/>
    <w:rsid w:val="005B65AA"/>
    <w:rsid w:val="005D0823"/>
    <w:rsid w:val="005D50C7"/>
    <w:rsid w:val="005E1630"/>
    <w:rsid w:val="005F2570"/>
    <w:rsid w:val="005F4133"/>
    <w:rsid w:val="00600B9D"/>
    <w:rsid w:val="00600CE4"/>
    <w:rsid w:val="0060137B"/>
    <w:rsid w:val="006136C7"/>
    <w:rsid w:val="00623703"/>
    <w:rsid w:val="006265D8"/>
    <w:rsid w:val="00633F28"/>
    <w:rsid w:val="006458B0"/>
    <w:rsid w:val="00654EAE"/>
    <w:rsid w:val="00662FC5"/>
    <w:rsid w:val="00667387"/>
    <w:rsid w:val="00667EA3"/>
    <w:rsid w:val="0067398B"/>
    <w:rsid w:val="00683B05"/>
    <w:rsid w:val="00692DE4"/>
    <w:rsid w:val="006950D2"/>
    <w:rsid w:val="006A36EB"/>
    <w:rsid w:val="006B0814"/>
    <w:rsid w:val="006B11AA"/>
    <w:rsid w:val="006C05EA"/>
    <w:rsid w:val="006C4834"/>
    <w:rsid w:val="006D0A97"/>
    <w:rsid w:val="006D3825"/>
    <w:rsid w:val="006E3FE2"/>
    <w:rsid w:val="006E68C0"/>
    <w:rsid w:val="006E785B"/>
    <w:rsid w:val="006F3644"/>
    <w:rsid w:val="006F3819"/>
    <w:rsid w:val="006F38AF"/>
    <w:rsid w:val="006F46B8"/>
    <w:rsid w:val="00716313"/>
    <w:rsid w:val="0072783E"/>
    <w:rsid w:val="00734150"/>
    <w:rsid w:val="00737D7B"/>
    <w:rsid w:val="00745023"/>
    <w:rsid w:val="007748EF"/>
    <w:rsid w:val="007813BE"/>
    <w:rsid w:val="007827FC"/>
    <w:rsid w:val="00784D72"/>
    <w:rsid w:val="00790CCA"/>
    <w:rsid w:val="00790CD6"/>
    <w:rsid w:val="00790DA9"/>
    <w:rsid w:val="00794A68"/>
    <w:rsid w:val="007A0D71"/>
    <w:rsid w:val="007A34E5"/>
    <w:rsid w:val="007A7B9B"/>
    <w:rsid w:val="007B41AF"/>
    <w:rsid w:val="007B7977"/>
    <w:rsid w:val="007D0A28"/>
    <w:rsid w:val="007E1917"/>
    <w:rsid w:val="007E30A0"/>
    <w:rsid w:val="007E5A0D"/>
    <w:rsid w:val="008063DF"/>
    <w:rsid w:val="00806950"/>
    <w:rsid w:val="00812057"/>
    <w:rsid w:val="008126BB"/>
    <w:rsid w:val="00820A77"/>
    <w:rsid w:val="008224AC"/>
    <w:rsid w:val="00824349"/>
    <w:rsid w:val="00835553"/>
    <w:rsid w:val="00837203"/>
    <w:rsid w:val="00841AD7"/>
    <w:rsid w:val="00846780"/>
    <w:rsid w:val="00850CF8"/>
    <w:rsid w:val="008548ED"/>
    <w:rsid w:val="00871F44"/>
    <w:rsid w:val="0087484F"/>
    <w:rsid w:val="0087626E"/>
    <w:rsid w:val="00881144"/>
    <w:rsid w:val="00886808"/>
    <w:rsid w:val="00891AE9"/>
    <w:rsid w:val="00891E64"/>
    <w:rsid w:val="008B2E17"/>
    <w:rsid w:val="008B3405"/>
    <w:rsid w:val="008B41F8"/>
    <w:rsid w:val="008C4964"/>
    <w:rsid w:val="008D2A76"/>
    <w:rsid w:val="008F2962"/>
    <w:rsid w:val="00907968"/>
    <w:rsid w:val="009253E4"/>
    <w:rsid w:val="00940973"/>
    <w:rsid w:val="009428FF"/>
    <w:rsid w:val="00943B70"/>
    <w:rsid w:val="00943FAF"/>
    <w:rsid w:val="009449CA"/>
    <w:rsid w:val="0094516B"/>
    <w:rsid w:val="00950F6B"/>
    <w:rsid w:val="00952A79"/>
    <w:rsid w:val="00956792"/>
    <w:rsid w:val="00956F52"/>
    <w:rsid w:val="00957F43"/>
    <w:rsid w:val="00965687"/>
    <w:rsid w:val="00975AB3"/>
    <w:rsid w:val="0097793B"/>
    <w:rsid w:val="00983715"/>
    <w:rsid w:val="00983BAF"/>
    <w:rsid w:val="009853EE"/>
    <w:rsid w:val="009979A7"/>
    <w:rsid w:val="009A205A"/>
    <w:rsid w:val="009A3626"/>
    <w:rsid w:val="009B14F6"/>
    <w:rsid w:val="009D10A2"/>
    <w:rsid w:val="009D61AD"/>
    <w:rsid w:val="009D781B"/>
    <w:rsid w:val="009E4F54"/>
    <w:rsid w:val="009E715D"/>
    <w:rsid w:val="00A00398"/>
    <w:rsid w:val="00A0657B"/>
    <w:rsid w:val="00A135E0"/>
    <w:rsid w:val="00A13952"/>
    <w:rsid w:val="00A13F40"/>
    <w:rsid w:val="00A266D4"/>
    <w:rsid w:val="00A26AC8"/>
    <w:rsid w:val="00A40B4C"/>
    <w:rsid w:val="00A57BB5"/>
    <w:rsid w:val="00A62303"/>
    <w:rsid w:val="00A67C26"/>
    <w:rsid w:val="00A70031"/>
    <w:rsid w:val="00A74124"/>
    <w:rsid w:val="00A841AC"/>
    <w:rsid w:val="00A900DB"/>
    <w:rsid w:val="00A90E12"/>
    <w:rsid w:val="00A95408"/>
    <w:rsid w:val="00AA3C7C"/>
    <w:rsid w:val="00AA3D20"/>
    <w:rsid w:val="00AA5058"/>
    <w:rsid w:val="00AA783A"/>
    <w:rsid w:val="00AB45E8"/>
    <w:rsid w:val="00AB462E"/>
    <w:rsid w:val="00AC3AFC"/>
    <w:rsid w:val="00AD21F0"/>
    <w:rsid w:val="00AE042F"/>
    <w:rsid w:val="00AE064D"/>
    <w:rsid w:val="00AE2EB0"/>
    <w:rsid w:val="00AE6234"/>
    <w:rsid w:val="00AE6CC4"/>
    <w:rsid w:val="00AF1C75"/>
    <w:rsid w:val="00AF4757"/>
    <w:rsid w:val="00AF4F18"/>
    <w:rsid w:val="00B03C7B"/>
    <w:rsid w:val="00B068DB"/>
    <w:rsid w:val="00B06E1F"/>
    <w:rsid w:val="00B17E1F"/>
    <w:rsid w:val="00B20840"/>
    <w:rsid w:val="00B24B52"/>
    <w:rsid w:val="00B33A2C"/>
    <w:rsid w:val="00B36FF5"/>
    <w:rsid w:val="00B40350"/>
    <w:rsid w:val="00B44542"/>
    <w:rsid w:val="00B508F6"/>
    <w:rsid w:val="00B512D3"/>
    <w:rsid w:val="00B53E94"/>
    <w:rsid w:val="00B56798"/>
    <w:rsid w:val="00B56D27"/>
    <w:rsid w:val="00B66AFB"/>
    <w:rsid w:val="00B8256E"/>
    <w:rsid w:val="00B8317C"/>
    <w:rsid w:val="00B87B7A"/>
    <w:rsid w:val="00B9013D"/>
    <w:rsid w:val="00B92321"/>
    <w:rsid w:val="00BA5859"/>
    <w:rsid w:val="00BB0107"/>
    <w:rsid w:val="00BB0943"/>
    <w:rsid w:val="00BB0B3D"/>
    <w:rsid w:val="00BB5F94"/>
    <w:rsid w:val="00BB7B81"/>
    <w:rsid w:val="00BC22EC"/>
    <w:rsid w:val="00BC28EC"/>
    <w:rsid w:val="00BD0CEF"/>
    <w:rsid w:val="00BD27C1"/>
    <w:rsid w:val="00BD4AC0"/>
    <w:rsid w:val="00BE0D79"/>
    <w:rsid w:val="00BE6423"/>
    <w:rsid w:val="00BE6BEA"/>
    <w:rsid w:val="00BF131B"/>
    <w:rsid w:val="00C021EE"/>
    <w:rsid w:val="00C02346"/>
    <w:rsid w:val="00C02C9A"/>
    <w:rsid w:val="00C11B0A"/>
    <w:rsid w:val="00C13250"/>
    <w:rsid w:val="00C16845"/>
    <w:rsid w:val="00C252E0"/>
    <w:rsid w:val="00C278E2"/>
    <w:rsid w:val="00C27D5D"/>
    <w:rsid w:val="00C33E31"/>
    <w:rsid w:val="00C40F24"/>
    <w:rsid w:val="00C4413A"/>
    <w:rsid w:val="00C50CB8"/>
    <w:rsid w:val="00C53028"/>
    <w:rsid w:val="00C555E3"/>
    <w:rsid w:val="00C572E9"/>
    <w:rsid w:val="00C65E3E"/>
    <w:rsid w:val="00C80119"/>
    <w:rsid w:val="00C84471"/>
    <w:rsid w:val="00C9368C"/>
    <w:rsid w:val="00CA0437"/>
    <w:rsid w:val="00CA743B"/>
    <w:rsid w:val="00CB15E9"/>
    <w:rsid w:val="00CC776A"/>
    <w:rsid w:val="00CC7F35"/>
    <w:rsid w:val="00CD09FD"/>
    <w:rsid w:val="00CD14BB"/>
    <w:rsid w:val="00CD1CE4"/>
    <w:rsid w:val="00CD37ED"/>
    <w:rsid w:val="00CD3A8B"/>
    <w:rsid w:val="00CE0567"/>
    <w:rsid w:val="00CE3C34"/>
    <w:rsid w:val="00CE5E7B"/>
    <w:rsid w:val="00CF25BD"/>
    <w:rsid w:val="00CF2833"/>
    <w:rsid w:val="00CF2B9B"/>
    <w:rsid w:val="00CF703F"/>
    <w:rsid w:val="00D01643"/>
    <w:rsid w:val="00D02450"/>
    <w:rsid w:val="00D11BAA"/>
    <w:rsid w:val="00D2449F"/>
    <w:rsid w:val="00D31819"/>
    <w:rsid w:val="00D36FD5"/>
    <w:rsid w:val="00D459BB"/>
    <w:rsid w:val="00D46406"/>
    <w:rsid w:val="00D47BA5"/>
    <w:rsid w:val="00D52465"/>
    <w:rsid w:val="00D53879"/>
    <w:rsid w:val="00D72C19"/>
    <w:rsid w:val="00D754EC"/>
    <w:rsid w:val="00D815A0"/>
    <w:rsid w:val="00D90263"/>
    <w:rsid w:val="00D92148"/>
    <w:rsid w:val="00DA05A1"/>
    <w:rsid w:val="00DA1C9D"/>
    <w:rsid w:val="00DA4370"/>
    <w:rsid w:val="00DB2FDD"/>
    <w:rsid w:val="00DC16A9"/>
    <w:rsid w:val="00DC460A"/>
    <w:rsid w:val="00DC5863"/>
    <w:rsid w:val="00DD7CEB"/>
    <w:rsid w:val="00E10AC5"/>
    <w:rsid w:val="00E352C7"/>
    <w:rsid w:val="00E44599"/>
    <w:rsid w:val="00E45567"/>
    <w:rsid w:val="00E60B9A"/>
    <w:rsid w:val="00E66B3E"/>
    <w:rsid w:val="00E74EEE"/>
    <w:rsid w:val="00E75CD9"/>
    <w:rsid w:val="00E83987"/>
    <w:rsid w:val="00E86377"/>
    <w:rsid w:val="00EA76E7"/>
    <w:rsid w:val="00EB3C0B"/>
    <w:rsid w:val="00ED1586"/>
    <w:rsid w:val="00EE681B"/>
    <w:rsid w:val="00EF513D"/>
    <w:rsid w:val="00EF5C33"/>
    <w:rsid w:val="00F006DC"/>
    <w:rsid w:val="00F02993"/>
    <w:rsid w:val="00F03D18"/>
    <w:rsid w:val="00F05EFB"/>
    <w:rsid w:val="00F11F14"/>
    <w:rsid w:val="00F2212C"/>
    <w:rsid w:val="00F24429"/>
    <w:rsid w:val="00F24E45"/>
    <w:rsid w:val="00F26ECD"/>
    <w:rsid w:val="00F30A77"/>
    <w:rsid w:val="00F3612F"/>
    <w:rsid w:val="00F41005"/>
    <w:rsid w:val="00F4298B"/>
    <w:rsid w:val="00F44753"/>
    <w:rsid w:val="00F46EBB"/>
    <w:rsid w:val="00F50C4F"/>
    <w:rsid w:val="00F570BA"/>
    <w:rsid w:val="00F57E18"/>
    <w:rsid w:val="00F63258"/>
    <w:rsid w:val="00F649AB"/>
    <w:rsid w:val="00F66DE0"/>
    <w:rsid w:val="00F674D4"/>
    <w:rsid w:val="00F704A3"/>
    <w:rsid w:val="00F71107"/>
    <w:rsid w:val="00F73729"/>
    <w:rsid w:val="00F76ED3"/>
    <w:rsid w:val="00F8423F"/>
    <w:rsid w:val="00F87194"/>
    <w:rsid w:val="00FA239F"/>
    <w:rsid w:val="00FA290F"/>
    <w:rsid w:val="00FA61A6"/>
    <w:rsid w:val="00FB16D8"/>
    <w:rsid w:val="00FC4541"/>
    <w:rsid w:val="00FC7155"/>
    <w:rsid w:val="00FD50CB"/>
    <w:rsid w:val="00FE63C7"/>
    <w:rsid w:val="00FF148F"/>
    <w:rsid w:val="00FF6DD0"/>
    <w:rsid w:val="01678849"/>
    <w:rsid w:val="027A4641"/>
    <w:rsid w:val="02E5B985"/>
    <w:rsid w:val="04F62AB3"/>
    <w:rsid w:val="0500474C"/>
    <w:rsid w:val="067D2DD4"/>
    <w:rsid w:val="0D2629E8"/>
    <w:rsid w:val="10CB543A"/>
    <w:rsid w:val="10D03A52"/>
    <w:rsid w:val="10F5B9B0"/>
    <w:rsid w:val="14716DC9"/>
    <w:rsid w:val="1C39E654"/>
    <w:rsid w:val="1F8DCB59"/>
    <w:rsid w:val="214BCD84"/>
    <w:rsid w:val="2165CB40"/>
    <w:rsid w:val="245DBE3A"/>
    <w:rsid w:val="2547F4DB"/>
    <w:rsid w:val="2A617EE7"/>
    <w:rsid w:val="2B62F4E0"/>
    <w:rsid w:val="2E73BA3F"/>
    <w:rsid w:val="3665A3C7"/>
    <w:rsid w:val="38ABB1A4"/>
    <w:rsid w:val="3B63AED4"/>
    <w:rsid w:val="450B4BA1"/>
    <w:rsid w:val="46756579"/>
    <w:rsid w:val="4EC5BA19"/>
    <w:rsid w:val="4FC84195"/>
    <w:rsid w:val="55512848"/>
    <w:rsid w:val="5D4E4829"/>
    <w:rsid w:val="5E77DBDD"/>
    <w:rsid w:val="604306F9"/>
    <w:rsid w:val="68A9C598"/>
    <w:rsid w:val="6931BCB7"/>
    <w:rsid w:val="6B602A80"/>
    <w:rsid w:val="6B9DB212"/>
    <w:rsid w:val="785D9AB8"/>
    <w:rsid w:val="79BD3250"/>
    <w:rsid w:val="7B079A89"/>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b626bd24ac7b43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B9F6A6E4-FD46-4DDD-BEB2-688F67A0E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C7EF8-9B82-46D2-8A34-1B8BA781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3364</Words>
  <Characters>18503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27</cp:revision>
  <dcterms:created xsi:type="dcterms:W3CDTF">2021-07-23T17:23:00Z</dcterms:created>
  <dcterms:modified xsi:type="dcterms:W3CDTF">2021-09-11T16:26:00Z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