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968ED" w14:textId="77777777" w:rsidR="002E3810" w:rsidRPr="002E3810" w:rsidRDefault="002E3810" w:rsidP="002E3810">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r w:rsidRPr="002E381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73B1201" w14:textId="77777777" w:rsidR="002E3810" w:rsidRPr="002E3810" w:rsidRDefault="002E3810" w:rsidP="002E3810">
      <w:pPr>
        <w:spacing w:line="240" w:lineRule="auto"/>
        <w:rPr>
          <w:rFonts w:ascii="Arial" w:eastAsia="Times New Roman" w:hAnsi="Arial" w:cs="Arial"/>
          <w:sz w:val="20"/>
          <w:szCs w:val="20"/>
          <w:lang w:val="es-419" w:eastAsia="es-ES"/>
        </w:rPr>
      </w:pPr>
    </w:p>
    <w:p w14:paraId="79FF7AE3" w14:textId="77777777" w:rsidR="002E3810" w:rsidRPr="002E3810" w:rsidRDefault="002E3810" w:rsidP="002E3810">
      <w:pPr>
        <w:spacing w:line="240" w:lineRule="auto"/>
        <w:rPr>
          <w:rFonts w:ascii="Arial" w:eastAsia="Times New Roman" w:hAnsi="Arial" w:cs="Arial"/>
          <w:sz w:val="20"/>
          <w:szCs w:val="20"/>
          <w:lang w:val="es-419" w:eastAsia="es-ES"/>
        </w:rPr>
      </w:pPr>
      <w:r w:rsidRPr="002E3810">
        <w:rPr>
          <w:rFonts w:ascii="Arial" w:eastAsia="Times New Roman" w:hAnsi="Arial" w:cs="Arial"/>
          <w:sz w:val="20"/>
          <w:szCs w:val="20"/>
          <w:lang w:val="es-419" w:eastAsia="es-ES"/>
        </w:rPr>
        <w:t xml:space="preserve">Radicación No.: </w:t>
      </w:r>
      <w:r w:rsidRPr="002E3810">
        <w:rPr>
          <w:rFonts w:ascii="Arial" w:eastAsia="Times New Roman" w:hAnsi="Arial" w:cs="Arial"/>
          <w:sz w:val="20"/>
          <w:szCs w:val="20"/>
          <w:lang w:val="es-419" w:eastAsia="es-ES"/>
        </w:rPr>
        <w:tab/>
        <w:t>66001-31-05-005-2019-00238-01</w:t>
      </w:r>
    </w:p>
    <w:p w14:paraId="591A4B5A" w14:textId="77777777" w:rsidR="002E3810" w:rsidRPr="002E3810" w:rsidRDefault="002E3810" w:rsidP="002E3810">
      <w:pPr>
        <w:spacing w:line="240" w:lineRule="auto"/>
        <w:rPr>
          <w:rFonts w:ascii="Arial" w:eastAsia="Times New Roman" w:hAnsi="Arial" w:cs="Arial"/>
          <w:sz w:val="20"/>
          <w:szCs w:val="20"/>
          <w:lang w:val="es-419" w:eastAsia="es-ES"/>
        </w:rPr>
      </w:pPr>
      <w:r w:rsidRPr="002E3810">
        <w:rPr>
          <w:rFonts w:ascii="Arial" w:eastAsia="Times New Roman" w:hAnsi="Arial" w:cs="Arial"/>
          <w:sz w:val="20"/>
          <w:szCs w:val="20"/>
          <w:lang w:val="es-419" w:eastAsia="es-ES"/>
        </w:rPr>
        <w:t xml:space="preserve">Proceso: </w:t>
      </w:r>
      <w:r w:rsidRPr="002E3810">
        <w:rPr>
          <w:rFonts w:ascii="Arial" w:eastAsia="Times New Roman" w:hAnsi="Arial" w:cs="Arial"/>
          <w:sz w:val="20"/>
          <w:szCs w:val="20"/>
          <w:lang w:val="es-419" w:eastAsia="es-ES"/>
        </w:rPr>
        <w:tab/>
      </w:r>
      <w:r w:rsidRPr="002E3810">
        <w:rPr>
          <w:rFonts w:ascii="Arial" w:eastAsia="Times New Roman" w:hAnsi="Arial" w:cs="Arial"/>
          <w:sz w:val="20"/>
          <w:szCs w:val="20"/>
          <w:lang w:val="es-419" w:eastAsia="es-ES"/>
        </w:rPr>
        <w:tab/>
        <w:t xml:space="preserve">Ordinario Laboral </w:t>
      </w:r>
    </w:p>
    <w:p w14:paraId="60C9A352" w14:textId="77777777" w:rsidR="002E3810" w:rsidRPr="002E3810" w:rsidRDefault="002E3810" w:rsidP="002E3810">
      <w:pPr>
        <w:spacing w:line="240" w:lineRule="auto"/>
        <w:rPr>
          <w:rFonts w:ascii="Arial" w:eastAsia="Times New Roman" w:hAnsi="Arial" w:cs="Arial"/>
          <w:sz w:val="20"/>
          <w:szCs w:val="20"/>
          <w:lang w:val="es-419" w:eastAsia="es-ES"/>
        </w:rPr>
      </w:pPr>
      <w:r w:rsidRPr="002E3810">
        <w:rPr>
          <w:rFonts w:ascii="Arial" w:eastAsia="Times New Roman" w:hAnsi="Arial" w:cs="Arial"/>
          <w:sz w:val="20"/>
          <w:szCs w:val="20"/>
          <w:lang w:val="es-419" w:eastAsia="es-ES"/>
        </w:rPr>
        <w:t xml:space="preserve">Demandante: </w:t>
      </w:r>
      <w:r w:rsidRPr="002E3810">
        <w:rPr>
          <w:rFonts w:ascii="Arial" w:eastAsia="Times New Roman" w:hAnsi="Arial" w:cs="Arial"/>
          <w:sz w:val="20"/>
          <w:szCs w:val="20"/>
          <w:lang w:val="es-419" w:eastAsia="es-ES"/>
        </w:rPr>
        <w:tab/>
      </w:r>
      <w:r w:rsidRPr="002E3810">
        <w:rPr>
          <w:rFonts w:ascii="Arial" w:eastAsia="Times New Roman" w:hAnsi="Arial" w:cs="Arial"/>
          <w:sz w:val="20"/>
          <w:szCs w:val="20"/>
          <w:lang w:val="es-419" w:eastAsia="es-ES"/>
        </w:rPr>
        <w:tab/>
        <w:t xml:space="preserve">María Isabel Niño Leguizamo </w:t>
      </w:r>
    </w:p>
    <w:p w14:paraId="328B62A6" w14:textId="77777777" w:rsidR="002E3810" w:rsidRPr="002E3810" w:rsidRDefault="002E3810" w:rsidP="002E3810">
      <w:pPr>
        <w:spacing w:line="240" w:lineRule="auto"/>
        <w:rPr>
          <w:rFonts w:ascii="Arial" w:eastAsia="Times New Roman" w:hAnsi="Arial" w:cs="Arial"/>
          <w:sz w:val="20"/>
          <w:szCs w:val="20"/>
          <w:lang w:val="es-419" w:eastAsia="es-ES"/>
        </w:rPr>
      </w:pPr>
      <w:r w:rsidRPr="002E3810">
        <w:rPr>
          <w:rFonts w:ascii="Arial" w:eastAsia="Times New Roman" w:hAnsi="Arial" w:cs="Arial"/>
          <w:sz w:val="20"/>
          <w:szCs w:val="20"/>
          <w:lang w:val="es-419" w:eastAsia="es-ES"/>
        </w:rPr>
        <w:t xml:space="preserve">Demandado: </w:t>
      </w:r>
      <w:r w:rsidRPr="002E3810">
        <w:rPr>
          <w:rFonts w:ascii="Arial" w:eastAsia="Times New Roman" w:hAnsi="Arial" w:cs="Arial"/>
          <w:sz w:val="20"/>
          <w:szCs w:val="20"/>
          <w:lang w:val="es-419" w:eastAsia="es-ES"/>
        </w:rPr>
        <w:tab/>
      </w:r>
      <w:r w:rsidRPr="002E3810">
        <w:rPr>
          <w:rFonts w:ascii="Arial" w:eastAsia="Times New Roman" w:hAnsi="Arial" w:cs="Arial"/>
          <w:sz w:val="20"/>
          <w:szCs w:val="20"/>
          <w:lang w:val="es-419" w:eastAsia="es-ES"/>
        </w:rPr>
        <w:tab/>
        <w:t xml:space="preserve">Colpensiones y Porvenir S.A. </w:t>
      </w:r>
    </w:p>
    <w:p w14:paraId="102E9C43" w14:textId="28543653" w:rsidR="002E3810" w:rsidRPr="002E3810" w:rsidRDefault="002E3810" w:rsidP="002E3810">
      <w:pPr>
        <w:spacing w:line="240" w:lineRule="auto"/>
        <w:rPr>
          <w:rFonts w:ascii="Arial" w:eastAsia="Times New Roman" w:hAnsi="Arial" w:cs="Arial"/>
          <w:sz w:val="20"/>
          <w:szCs w:val="20"/>
          <w:lang w:val="es-419" w:eastAsia="es-ES"/>
        </w:rPr>
      </w:pPr>
      <w:r w:rsidRPr="002E3810">
        <w:rPr>
          <w:rFonts w:ascii="Arial" w:eastAsia="Times New Roman" w:hAnsi="Arial" w:cs="Arial"/>
          <w:sz w:val="20"/>
          <w:szCs w:val="20"/>
          <w:lang w:val="es-419" w:eastAsia="es-ES"/>
        </w:rPr>
        <w:t xml:space="preserve">Juzgado: </w:t>
      </w:r>
      <w:r w:rsidRPr="002E3810">
        <w:rPr>
          <w:rFonts w:ascii="Arial" w:eastAsia="Times New Roman" w:hAnsi="Arial" w:cs="Arial"/>
          <w:sz w:val="20"/>
          <w:szCs w:val="20"/>
          <w:lang w:val="es-419" w:eastAsia="es-ES"/>
        </w:rPr>
        <w:tab/>
      </w:r>
      <w:r w:rsidRPr="002E3810">
        <w:rPr>
          <w:rFonts w:ascii="Arial" w:eastAsia="Times New Roman" w:hAnsi="Arial" w:cs="Arial"/>
          <w:sz w:val="20"/>
          <w:szCs w:val="20"/>
          <w:lang w:val="es-419" w:eastAsia="es-ES"/>
        </w:rPr>
        <w:tab/>
        <w:t>Quinto Laboral del Circuito de Pereira</w:t>
      </w:r>
    </w:p>
    <w:p w14:paraId="672D7F65" w14:textId="77777777" w:rsidR="002E3810" w:rsidRPr="002E3810" w:rsidRDefault="002E3810" w:rsidP="002E3810">
      <w:pPr>
        <w:spacing w:line="240" w:lineRule="auto"/>
        <w:rPr>
          <w:rFonts w:ascii="Arial" w:eastAsia="Times New Roman" w:hAnsi="Arial" w:cs="Arial"/>
          <w:sz w:val="20"/>
          <w:szCs w:val="20"/>
          <w:lang w:val="es-419" w:eastAsia="es-ES"/>
        </w:rPr>
      </w:pPr>
    </w:p>
    <w:p w14:paraId="14233160" w14:textId="77777777" w:rsidR="00942F30" w:rsidRDefault="00942F30" w:rsidP="00942F30">
      <w:pPr>
        <w:spacing w:line="240" w:lineRule="auto"/>
        <w:rPr>
          <w:rFonts w:ascii="Arial" w:eastAsia="Times New Roman" w:hAnsi="Arial" w:cs="Arial"/>
          <w:b/>
          <w:bCs/>
          <w:iCs/>
          <w:sz w:val="20"/>
          <w:szCs w:val="20"/>
          <w:lang w:val="es-419" w:eastAsia="fr-FR"/>
        </w:rPr>
      </w:pPr>
      <w:bookmarkStart w:id="1" w:name="_Hlk82369399"/>
      <w:bookmarkEnd w:id="0"/>
      <w:r>
        <w:rPr>
          <w:rFonts w:ascii="Arial" w:eastAsia="Times New Roman" w:hAnsi="Arial" w:cs="Arial"/>
          <w:b/>
          <w:bCs/>
          <w:iCs/>
          <w:sz w:val="20"/>
          <w:szCs w:val="20"/>
          <w:u w:val="single"/>
          <w:lang w:val="es-419" w:eastAsia="fr-FR"/>
        </w:rPr>
        <w:t>TEMAS:</w:t>
      </w:r>
      <w:r>
        <w:rPr>
          <w:rFonts w:ascii="Arial" w:eastAsia="Times New Roman" w:hAnsi="Arial" w:cs="Arial"/>
          <w:b/>
          <w:bCs/>
          <w:iCs/>
          <w:sz w:val="20"/>
          <w:szCs w:val="20"/>
          <w:lang w:val="es-419" w:eastAsia="fr-FR"/>
        </w:rPr>
        <w:tab/>
      </w:r>
      <w:r>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529E3A7" w14:textId="77777777" w:rsidR="00942F30" w:rsidRDefault="00942F30" w:rsidP="00942F30">
      <w:pPr>
        <w:spacing w:line="240" w:lineRule="auto"/>
        <w:rPr>
          <w:rFonts w:ascii="Arial" w:eastAsia="Times New Roman" w:hAnsi="Arial" w:cs="Arial"/>
          <w:sz w:val="20"/>
          <w:szCs w:val="20"/>
          <w:lang w:val="es-419" w:eastAsia="es-ES"/>
        </w:rPr>
      </w:pPr>
    </w:p>
    <w:p w14:paraId="530F44D9" w14:textId="77777777" w:rsidR="00942F30" w:rsidRDefault="00942F30" w:rsidP="00942F30">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0BD1281B" w14:textId="77777777" w:rsidR="00942F30" w:rsidRDefault="00942F30" w:rsidP="00942F30">
      <w:pPr>
        <w:spacing w:line="240" w:lineRule="auto"/>
        <w:rPr>
          <w:rFonts w:ascii="Arial" w:eastAsia="Times New Roman" w:hAnsi="Arial" w:cs="Arial"/>
          <w:sz w:val="20"/>
          <w:szCs w:val="20"/>
          <w:lang w:val="es-419" w:eastAsia="es-ES"/>
        </w:rPr>
      </w:pPr>
    </w:p>
    <w:p w14:paraId="71FC3D2B" w14:textId="77777777" w:rsidR="00942F30" w:rsidRDefault="00942F30" w:rsidP="00942F30">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4C37EA6" w14:textId="77777777" w:rsidR="00942F30" w:rsidRDefault="00942F30" w:rsidP="00942F30">
      <w:pPr>
        <w:spacing w:line="240" w:lineRule="auto"/>
        <w:rPr>
          <w:rFonts w:ascii="Arial" w:eastAsia="Times New Roman" w:hAnsi="Arial" w:cs="Arial"/>
          <w:sz w:val="20"/>
          <w:szCs w:val="20"/>
          <w:lang w:val="es-419" w:eastAsia="es-ES"/>
        </w:rPr>
      </w:pPr>
    </w:p>
    <w:p w14:paraId="0ADE9307" w14:textId="77777777" w:rsidR="00942F30" w:rsidRDefault="00942F30" w:rsidP="00942F30">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17BB3C9A" w14:textId="77777777" w:rsidR="00942F30" w:rsidRDefault="00942F30" w:rsidP="00942F30">
      <w:pPr>
        <w:spacing w:line="240" w:lineRule="auto"/>
        <w:rPr>
          <w:rFonts w:ascii="Arial" w:eastAsia="Times New Roman" w:hAnsi="Arial" w:cs="Arial"/>
          <w:sz w:val="20"/>
          <w:szCs w:val="20"/>
          <w:lang w:val="es-419" w:eastAsia="es-ES"/>
        </w:rPr>
      </w:pPr>
    </w:p>
    <w:p w14:paraId="0510973F" w14:textId="77777777" w:rsidR="00942F30" w:rsidRDefault="00942F30" w:rsidP="00942F30">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6887014F" w14:textId="77777777" w:rsidR="00942F30" w:rsidRDefault="00942F30" w:rsidP="00942F30">
      <w:pPr>
        <w:spacing w:line="240" w:lineRule="auto"/>
        <w:rPr>
          <w:rFonts w:ascii="Arial" w:eastAsia="Times New Roman" w:hAnsi="Arial" w:cs="Arial"/>
          <w:sz w:val="20"/>
          <w:szCs w:val="20"/>
          <w:lang w:val="es-ES" w:eastAsia="es-ES"/>
        </w:rPr>
      </w:pPr>
    </w:p>
    <w:p w14:paraId="1E4A2119" w14:textId="77777777" w:rsidR="00942F30" w:rsidRDefault="00942F30" w:rsidP="00942F30">
      <w:pPr>
        <w:spacing w:line="240" w:lineRule="auto"/>
        <w:rPr>
          <w:rFonts w:ascii="Arial" w:eastAsia="Times New Roman" w:hAnsi="Arial" w:cs="Arial"/>
          <w:sz w:val="20"/>
          <w:szCs w:val="20"/>
          <w:lang w:eastAsia="es-ES"/>
        </w:rPr>
      </w:pPr>
    </w:p>
    <w:bookmarkEnd w:id="1"/>
    <w:p w14:paraId="1CE4770E" w14:textId="77777777" w:rsidR="00942F30" w:rsidRDefault="00942F30" w:rsidP="00942F30">
      <w:pPr>
        <w:spacing w:line="240" w:lineRule="auto"/>
        <w:rPr>
          <w:rFonts w:ascii="Arial" w:eastAsia="Times New Roman" w:hAnsi="Arial" w:cs="Arial"/>
          <w:sz w:val="20"/>
          <w:szCs w:val="20"/>
          <w:lang w:eastAsia="es-ES"/>
        </w:rPr>
      </w:pPr>
    </w:p>
    <w:p w14:paraId="79F64DA0" w14:textId="77777777" w:rsidR="00790DA9" w:rsidRPr="002E3810" w:rsidRDefault="00790DA9" w:rsidP="002E3810">
      <w:pPr>
        <w:pStyle w:val="Ttulo4"/>
        <w:widowControl w:val="0"/>
        <w:tabs>
          <w:tab w:val="clear" w:pos="0"/>
        </w:tabs>
        <w:spacing w:line="276" w:lineRule="auto"/>
        <w:ind w:left="709" w:right="845"/>
        <w:rPr>
          <w:rFonts w:ascii="Tahoma" w:hAnsi="Tahoma" w:cs="Tahoma"/>
          <w:bCs/>
          <w:szCs w:val="24"/>
          <w:lang w:eastAsia="es-MX"/>
        </w:rPr>
      </w:pPr>
      <w:r w:rsidRPr="002E3810">
        <w:rPr>
          <w:rFonts w:ascii="Tahoma" w:hAnsi="Tahoma" w:cs="Tahoma"/>
          <w:bCs/>
          <w:szCs w:val="24"/>
          <w:lang w:eastAsia="es-MX"/>
        </w:rPr>
        <w:t>TRIBUNAL SUPERIOR DEL DISTRITO JUDICIAL DE PEREIRA</w:t>
      </w:r>
    </w:p>
    <w:p w14:paraId="790CF845" w14:textId="482B04BB" w:rsidR="00790DA9" w:rsidRPr="002E3810" w:rsidRDefault="00790DA9" w:rsidP="002E3810">
      <w:pPr>
        <w:pStyle w:val="Ttulo4"/>
        <w:widowControl w:val="0"/>
        <w:tabs>
          <w:tab w:val="clear" w:pos="0"/>
        </w:tabs>
        <w:spacing w:line="276" w:lineRule="auto"/>
        <w:ind w:left="709" w:right="845"/>
        <w:rPr>
          <w:rFonts w:ascii="Tahoma" w:hAnsi="Tahoma" w:cs="Tahoma"/>
          <w:bCs/>
          <w:szCs w:val="24"/>
          <w:lang w:eastAsia="es-MX"/>
        </w:rPr>
      </w:pPr>
      <w:r w:rsidRPr="002E3810">
        <w:rPr>
          <w:rFonts w:ascii="Tahoma" w:hAnsi="Tahoma" w:cs="Tahoma"/>
          <w:bCs/>
          <w:szCs w:val="24"/>
          <w:lang w:eastAsia="es-MX"/>
        </w:rPr>
        <w:t>SALA PRIMERA DE DECISION LABORAL</w:t>
      </w:r>
      <w:r w:rsidR="00662FC5" w:rsidRPr="002E3810">
        <w:rPr>
          <w:rFonts w:ascii="Tahoma" w:hAnsi="Tahoma" w:cs="Tahoma"/>
          <w:bCs/>
          <w:szCs w:val="24"/>
          <w:lang w:eastAsia="es-MX"/>
        </w:rPr>
        <w:t xml:space="preserve"> </w:t>
      </w:r>
    </w:p>
    <w:p w14:paraId="019D66BB" w14:textId="5DF07334" w:rsidR="00790DA9" w:rsidRPr="002E3810" w:rsidRDefault="00790DA9" w:rsidP="002E3810">
      <w:pPr>
        <w:spacing w:line="276" w:lineRule="auto"/>
        <w:jc w:val="center"/>
        <w:rPr>
          <w:rFonts w:cs="Tahoma"/>
          <w:bCs/>
          <w:szCs w:val="24"/>
        </w:rPr>
      </w:pPr>
    </w:p>
    <w:p w14:paraId="0E7ACA8F" w14:textId="77777777" w:rsidR="00790DA9" w:rsidRPr="002E3810" w:rsidRDefault="00790DA9" w:rsidP="002E3810">
      <w:pPr>
        <w:spacing w:line="276" w:lineRule="auto"/>
        <w:jc w:val="center"/>
        <w:textAlignment w:val="baseline"/>
        <w:rPr>
          <w:rFonts w:eastAsia="Times New Roman" w:cs="Tahoma"/>
          <w:szCs w:val="24"/>
          <w:lang w:eastAsia="es-CO"/>
        </w:rPr>
      </w:pPr>
      <w:r w:rsidRPr="002E3810">
        <w:rPr>
          <w:rFonts w:eastAsia="Times New Roman" w:cs="Tahoma"/>
          <w:szCs w:val="24"/>
          <w:lang w:eastAsia="es-CO"/>
        </w:rPr>
        <w:t>Magistrada Ponente: </w:t>
      </w:r>
      <w:r w:rsidRPr="002E3810">
        <w:rPr>
          <w:rFonts w:eastAsia="Times New Roman" w:cs="Tahoma"/>
          <w:b/>
          <w:bCs/>
          <w:szCs w:val="24"/>
          <w:lang w:eastAsia="es-CO"/>
        </w:rPr>
        <w:t>Ana Lucía Caicedo Calderón</w:t>
      </w:r>
      <w:r w:rsidRPr="002E3810">
        <w:rPr>
          <w:rFonts w:eastAsia="Times New Roman" w:cs="Tahoma"/>
          <w:szCs w:val="24"/>
          <w:lang w:eastAsia="es-CO"/>
        </w:rPr>
        <w:t> </w:t>
      </w:r>
    </w:p>
    <w:p w14:paraId="51932AAC" w14:textId="47D3D9D3" w:rsidR="00662FC5" w:rsidRDefault="00662FC5" w:rsidP="002E3810">
      <w:pPr>
        <w:spacing w:line="276" w:lineRule="auto"/>
        <w:jc w:val="center"/>
        <w:textAlignment w:val="baseline"/>
        <w:rPr>
          <w:rFonts w:eastAsia="Times New Roman" w:cs="Tahoma"/>
          <w:szCs w:val="24"/>
          <w:lang w:eastAsia="es-CO"/>
        </w:rPr>
      </w:pPr>
    </w:p>
    <w:p w14:paraId="2558536A" w14:textId="77777777" w:rsidR="00E01054" w:rsidRPr="002E3810" w:rsidRDefault="00E01054" w:rsidP="002E3810">
      <w:pPr>
        <w:spacing w:line="276" w:lineRule="auto"/>
        <w:jc w:val="center"/>
        <w:textAlignment w:val="baseline"/>
        <w:rPr>
          <w:rFonts w:eastAsia="Times New Roman" w:cs="Tahoma"/>
          <w:szCs w:val="24"/>
          <w:lang w:eastAsia="es-CO"/>
        </w:rPr>
      </w:pPr>
    </w:p>
    <w:p w14:paraId="61EC5009" w14:textId="7E614F1E" w:rsidR="00B92321" w:rsidRPr="002E3810" w:rsidRDefault="00B92321" w:rsidP="002E3810">
      <w:pPr>
        <w:spacing w:line="276" w:lineRule="auto"/>
        <w:jc w:val="center"/>
        <w:textAlignment w:val="baseline"/>
        <w:rPr>
          <w:rFonts w:eastAsia="Times New Roman" w:cs="Tahoma"/>
          <w:szCs w:val="24"/>
          <w:lang w:eastAsia="es-CO"/>
        </w:rPr>
      </w:pPr>
      <w:r w:rsidRPr="002E3810">
        <w:rPr>
          <w:rFonts w:eastAsia="Times New Roman" w:cs="Tahoma"/>
          <w:szCs w:val="24"/>
          <w:lang w:eastAsia="es-CO"/>
        </w:rPr>
        <w:t xml:space="preserve">Pereira, Risaralda, </w:t>
      </w:r>
      <w:r w:rsidR="37600B48" w:rsidRPr="002E3810">
        <w:rPr>
          <w:rFonts w:eastAsia="Times New Roman" w:cs="Tahoma"/>
          <w:szCs w:val="24"/>
          <w:lang w:eastAsia="es-CO"/>
        </w:rPr>
        <w:t>tres</w:t>
      </w:r>
      <w:r w:rsidR="007E2ABD" w:rsidRPr="002E3810">
        <w:rPr>
          <w:rFonts w:eastAsia="Times New Roman" w:cs="Tahoma"/>
          <w:szCs w:val="24"/>
          <w:lang w:eastAsia="es-CO"/>
        </w:rPr>
        <w:t xml:space="preserve"> </w:t>
      </w:r>
      <w:r w:rsidRPr="002E3810">
        <w:rPr>
          <w:rFonts w:eastAsia="Times New Roman" w:cs="Tahoma"/>
          <w:szCs w:val="24"/>
          <w:lang w:eastAsia="es-CO"/>
        </w:rPr>
        <w:t>(</w:t>
      </w:r>
      <w:r w:rsidR="49010123" w:rsidRPr="002E3810">
        <w:rPr>
          <w:rFonts w:eastAsia="Times New Roman" w:cs="Tahoma"/>
          <w:szCs w:val="24"/>
          <w:lang w:eastAsia="es-CO"/>
        </w:rPr>
        <w:t>3</w:t>
      </w:r>
      <w:r w:rsidRPr="002E3810">
        <w:rPr>
          <w:rFonts w:eastAsia="Times New Roman" w:cs="Tahoma"/>
          <w:szCs w:val="24"/>
          <w:lang w:eastAsia="es-CO"/>
        </w:rPr>
        <w:t xml:space="preserve">) de </w:t>
      </w:r>
      <w:r w:rsidR="007E2ABD" w:rsidRPr="002E3810">
        <w:rPr>
          <w:rFonts w:eastAsia="Times New Roman" w:cs="Tahoma"/>
          <w:szCs w:val="24"/>
          <w:lang w:eastAsia="es-CO"/>
        </w:rPr>
        <w:t xml:space="preserve">septiembre </w:t>
      </w:r>
      <w:r w:rsidRPr="002E3810">
        <w:rPr>
          <w:rFonts w:eastAsia="Times New Roman" w:cs="Tahoma"/>
          <w:szCs w:val="24"/>
          <w:lang w:eastAsia="es-CO"/>
        </w:rPr>
        <w:t>dos mil veintiuno (2021)  </w:t>
      </w:r>
    </w:p>
    <w:p w14:paraId="41C75338" w14:textId="30285288" w:rsidR="00B92321" w:rsidRPr="002E3810" w:rsidRDefault="00B92321" w:rsidP="002E3810">
      <w:pPr>
        <w:spacing w:line="276" w:lineRule="auto"/>
        <w:jc w:val="center"/>
        <w:textAlignment w:val="baseline"/>
        <w:rPr>
          <w:rFonts w:eastAsia="Times New Roman" w:cs="Tahoma"/>
          <w:szCs w:val="24"/>
          <w:lang w:eastAsia="es-CO"/>
        </w:rPr>
      </w:pPr>
      <w:r w:rsidRPr="002E3810">
        <w:rPr>
          <w:rFonts w:eastAsia="Times New Roman" w:cs="Tahoma"/>
          <w:szCs w:val="24"/>
          <w:lang w:eastAsia="es-CO"/>
        </w:rPr>
        <w:t> Acta No.</w:t>
      </w:r>
      <w:r w:rsidR="6CB22BA7" w:rsidRPr="002E3810">
        <w:rPr>
          <w:rFonts w:eastAsia="Times New Roman" w:cs="Tahoma"/>
          <w:szCs w:val="24"/>
          <w:lang w:eastAsia="es-CO"/>
        </w:rPr>
        <w:t xml:space="preserve"> 136</w:t>
      </w:r>
      <w:r w:rsidRPr="002E3810">
        <w:rPr>
          <w:rFonts w:eastAsia="Times New Roman" w:cs="Tahoma"/>
          <w:szCs w:val="24"/>
          <w:lang w:eastAsia="es-CO"/>
        </w:rPr>
        <w:t xml:space="preserve"> del </w:t>
      </w:r>
      <w:r w:rsidR="00A47546" w:rsidRPr="002E3810">
        <w:rPr>
          <w:rFonts w:eastAsia="Times New Roman" w:cs="Tahoma"/>
          <w:szCs w:val="24"/>
          <w:lang w:eastAsia="es-CO"/>
        </w:rPr>
        <w:t>2</w:t>
      </w:r>
      <w:r w:rsidR="00662FC5" w:rsidRPr="002E3810">
        <w:rPr>
          <w:rFonts w:eastAsia="Times New Roman" w:cs="Tahoma"/>
          <w:szCs w:val="24"/>
          <w:lang w:eastAsia="es-CO"/>
        </w:rPr>
        <w:t xml:space="preserve"> de </w:t>
      </w:r>
      <w:r w:rsidR="00DE5195" w:rsidRPr="002E3810">
        <w:rPr>
          <w:rFonts w:eastAsia="Times New Roman" w:cs="Tahoma"/>
          <w:szCs w:val="24"/>
          <w:lang w:eastAsia="es-CO"/>
        </w:rPr>
        <w:t xml:space="preserve">septiembre </w:t>
      </w:r>
      <w:r w:rsidRPr="002E3810">
        <w:rPr>
          <w:rFonts w:eastAsia="Times New Roman" w:cs="Tahoma"/>
          <w:szCs w:val="24"/>
          <w:lang w:eastAsia="es-CO"/>
        </w:rPr>
        <w:t>de 2021</w:t>
      </w:r>
    </w:p>
    <w:p w14:paraId="3CDD4E79" w14:textId="4884C23A" w:rsidR="00790DA9" w:rsidRDefault="00790DA9" w:rsidP="002E3810">
      <w:pPr>
        <w:spacing w:line="276" w:lineRule="auto"/>
        <w:jc w:val="center"/>
        <w:rPr>
          <w:rFonts w:cs="Tahoma"/>
          <w:b/>
          <w:szCs w:val="24"/>
        </w:rPr>
      </w:pPr>
    </w:p>
    <w:p w14:paraId="281C182B" w14:textId="77777777" w:rsidR="00E01054" w:rsidRPr="002E3810" w:rsidRDefault="00E01054" w:rsidP="002E3810">
      <w:pPr>
        <w:spacing w:line="276" w:lineRule="auto"/>
        <w:jc w:val="center"/>
        <w:rPr>
          <w:rFonts w:cs="Tahoma"/>
          <w:b/>
          <w:szCs w:val="24"/>
        </w:rPr>
      </w:pPr>
    </w:p>
    <w:p w14:paraId="1118462F" w14:textId="45A349B5" w:rsidR="00790DA9" w:rsidRPr="002E3810" w:rsidRDefault="00662FC5" w:rsidP="002E3810">
      <w:pPr>
        <w:spacing w:line="276" w:lineRule="auto"/>
        <w:ind w:firstLine="708"/>
        <w:rPr>
          <w:rFonts w:cs="Tahoma"/>
          <w:szCs w:val="24"/>
          <w:lang w:val="es-ES_tradnl"/>
        </w:rPr>
      </w:pPr>
      <w:r w:rsidRPr="002E3810">
        <w:rPr>
          <w:rFonts w:cs="Tahoma"/>
          <w:color w:val="000000"/>
          <w:szCs w:val="24"/>
        </w:rPr>
        <w:t>Teniendo en cuenta que el artículo 15 del Decreto No. 806 del 4 de junio de</w:t>
      </w:r>
      <w:r w:rsidR="004C3D04">
        <w:rPr>
          <w:rFonts w:cs="Tahoma"/>
          <w:color w:val="000000"/>
          <w:szCs w:val="24"/>
        </w:rPr>
        <w:t xml:space="preserve"> </w:t>
      </w:r>
      <w:r w:rsidRPr="002E3810">
        <w:rPr>
          <w:rFonts w:cs="Tahoma"/>
          <w:color w:val="000000"/>
          <w:szCs w:val="24"/>
        </w:rPr>
        <w:t>2020, expedido por el Ministerio de Justicia y del Derecho, estableció que en la</w:t>
      </w:r>
      <w:r w:rsidR="004C3D04">
        <w:rPr>
          <w:rFonts w:cs="Tahoma"/>
          <w:color w:val="000000"/>
          <w:szCs w:val="24"/>
        </w:rPr>
        <w:t xml:space="preserve"> </w:t>
      </w:r>
      <w:r w:rsidRPr="002E3810">
        <w:rPr>
          <w:rFonts w:cs="Tahoma"/>
          <w:color w:val="000000"/>
          <w:szCs w:val="24"/>
        </w:rPr>
        <w:t>especialidad laboral se proferirán por escrito las providencias de segunda instancia</w:t>
      </w:r>
      <w:r w:rsidR="004C3D04">
        <w:rPr>
          <w:rFonts w:cs="Tahoma"/>
          <w:color w:val="000000"/>
          <w:szCs w:val="24"/>
        </w:rPr>
        <w:t xml:space="preserve"> </w:t>
      </w:r>
      <w:r w:rsidRPr="002E3810">
        <w:rPr>
          <w:rFonts w:cs="Tahoma"/>
          <w:color w:val="000000"/>
          <w:szCs w:val="24"/>
        </w:rPr>
        <w:t>en las que se surta el grado jurisdiccional de consulta o se resuelva el recurso de</w:t>
      </w:r>
      <w:r w:rsidR="004C3D04">
        <w:rPr>
          <w:rFonts w:cs="Tahoma"/>
          <w:color w:val="000000"/>
          <w:szCs w:val="24"/>
        </w:rPr>
        <w:t xml:space="preserve"> </w:t>
      </w:r>
      <w:r w:rsidRPr="002E3810">
        <w:rPr>
          <w:rFonts w:cs="Tahoma"/>
          <w:color w:val="000000"/>
          <w:szCs w:val="24"/>
        </w:rPr>
        <w:t>apelación de autos o sentencias, la Sala de Decisión Laboral Presidida por la Dra.</w:t>
      </w:r>
      <w:r w:rsidR="004C3D04">
        <w:rPr>
          <w:rFonts w:cs="Tahoma"/>
          <w:color w:val="000000"/>
          <w:szCs w:val="24"/>
        </w:rPr>
        <w:t xml:space="preserve"> </w:t>
      </w:r>
      <w:r w:rsidRPr="002E3810">
        <w:rPr>
          <w:rFonts w:cs="Tahoma"/>
          <w:color w:val="000000"/>
          <w:szCs w:val="24"/>
        </w:rPr>
        <w:t xml:space="preserve">Ana Lucía </w:t>
      </w:r>
      <w:r w:rsidRPr="002E3810">
        <w:rPr>
          <w:rFonts w:cs="Tahoma"/>
          <w:color w:val="000000"/>
          <w:szCs w:val="24"/>
        </w:rPr>
        <w:lastRenderedPageBreak/>
        <w:t>Caicedo Calderón del Tribunal Superior de Pereira, integrada por las</w:t>
      </w:r>
      <w:r w:rsidR="004C3D04">
        <w:rPr>
          <w:rFonts w:cs="Tahoma"/>
          <w:color w:val="000000"/>
          <w:szCs w:val="24"/>
        </w:rPr>
        <w:t xml:space="preserve"> </w:t>
      </w:r>
      <w:r w:rsidRPr="002E3810">
        <w:rPr>
          <w:rFonts w:cs="Tahoma"/>
          <w:color w:val="000000"/>
          <w:szCs w:val="24"/>
        </w:rPr>
        <w:t>Magistradas ANA LUCÍA CAICEDO CALDERÓN como Ponente, OLGA LUCÍA HOYOS</w:t>
      </w:r>
      <w:r w:rsidR="004C3D04">
        <w:rPr>
          <w:rFonts w:cs="Tahoma"/>
          <w:color w:val="000000"/>
          <w:szCs w:val="24"/>
        </w:rPr>
        <w:t xml:space="preserve"> </w:t>
      </w:r>
      <w:r w:rsidRPr="002E3810">
        <w:rPr>
          <w:rFonts w:cs="Tahoma"/>
          <w:color w:val="000000"/>
          <w:szCs w:val="24"/>
        </w:rPr>
        <w:t>SEPÚLVEDA y el Magistrado GERMÁN DARIO GOEZ VINASCO, procede a proferir la</w:t>
      </w:r>
      <w:r w:rsidR="004C3D04">
        <w:rPr>
          <w:rFonts w:cs="Tahoma"/>
          <w:color w:val="000000"/>
          <w:szCs w:val="24"/>
        </w:rPr>
        <w:t xml:space="preserve"> </w:t>
      </w:r>
      <w:r w:rsidRPr="002E3810">
        <w:rPr>
          <w:rFonts w:cs="Tahoma"/>
          <w:color w:val="000000"/>
          <w:szCs w:val="24"/>
        </w:rPr>
        <w:t>siguiente sentencia escrita dentro del proceso ordinario laboral instaurado por</w:t>
      </w:r>
      <w:r w:rsidRPr="002E3810">
        <w:rPr>
          <w:rFonts w:cs="Tahoma"/>
          <w:szCs w:val="24"/>
        </w:rPr>
        <w:t xml:space="preserve"> </w:t>
      </w:r>
      <w:r w:rsidR="00DE5195" w:rsidRPr="002E3810">
        <w:rPr>
          <w:rFonts w:cs="Tahoma"/>
          <w:b/>
          <w:bCs/>
          <w:szCs w:val="24"/>
          <w:lang w:val="es-419"/>
        </w:rPr>
        <w:t xml:space="preserve">María Isabel Niño Leguizamo </w:t>
      </w:r>
      <w:r w:rsidR="005A7B94" w:rsidRPr="002E3810">
        <w:rPr>
          <w:rFonts w:cs="Tahoma"/>
          <w:szCs w:val="24"/>
          <w:lang w:val="es-ES_tradnl"/>
        </w:rPr>
        <w:t xml:space="preserve">en contra de la </w:t>
      </w:r>
      <w:r w:rsidR="005A7B94" w:rsidRPr="002E3810">
        <w:rPr>
          <w:rFonts w:cs="Tahoma"/>
          <w:b/>
          <w:szCs w:val="24"/>
          <w:lang w:val="es-ES_tradnl"/>
        </w:rPr>
        <w:t>Administradora Colombiana de Pensiones – Colpensiones</w:t>
      </w:r>
      <w:r w:rsidR="005A7B94" w:rsidRPr="002E3810">
        <w:rPr>
          <w:rFonts w:cs="Tahoma"/>
          <w:bCs/>
          <w:szCs w:val="24"/>
          <w:lang w:val="es-ES_tradnl"/>
        </w:rPr>
        <w:t xml:space="preserve"> y</w:t>
      </w:r>
      <w:r w:rsidR="005A7B94" w:rsidRPr="002E3810">
        <w:rPr>
          <w:rFonts w:cs="Tahoma"/>
          <w:szCs w:val="24"/>
          <w:lang w:val="es-ES_tradnl"/>
        </w:rPr>
        <w:t xml:space="preserve"> la </w:t>
      </w:r>
      <w:r w:rsidR="005A7B94" w:rsidRPr="002E3810">
        <w:rPr>
          <w:rFonts w:cs="Tahoma"/>
          <w:b/>
          <w:szCs w:val="24"/>
          <w:lang w:val="es-ES_tradnl"/>
        </w:rPr>
        <w:t xml:space="preserve">Administradora de Fondos de Pensiones </w:t>
      </w:r>
      <w:bookmarkStart w:id="2" w:name="_Hlk69822626"/>
      <w:r w:rsidR="005A7B94" w:rsidRPr="002E3810">
        <w:rPr>
          <w:rFonts w:cs="Tahoma"/>
          <w:b/>
          <w:szCs w:val="24"/>
          <w:lang w:val="es-ES_tradnl"/>
        </w:rPr>
        <w:t>–</w:t>
      </w:r>
      <w:bookmarkEnd w:id="2"/>
      <w:r w:rsidR="005A7B94" w:rsidRPr="002E3810">
        <w:rPr>
          <w:rFonts w:cs="Tahoma"/>
          <w:szCs w:val="24"/>
          <w:lang w:val="es-ES_tradnl"/>
        </w:rPr>
        <w:t xml:space="preserve"> </w:t>
      </w:r>
      <w:r w:rsidR="005A7B94" w:rsidRPr="002E3810">
        <w:rPr>
          <w:rFonts w:cs="Tahoma"/>
          <w:b/>
          <w:bCs/>
          <w:szCs w:val="24"/>
          <w:lang w:val="es-ES_tradnl"/>
        </w:rPr>
        <w:t>P</w:t>
      </w:r>
      <w:r w:rsidR="000C451A" w:rsidRPr="002E3810">
        <w:rPr>
          <w:rFonts w:cs="Tahoma"/>
          <w:b/>
          <w:bCs/>
          <w:szCs w:val="24"/>
          <w:lang w:val="es-ES_tradnl"/>
        </w:rPr>
        <w:t>orvenir</w:t>
      </w:r>
      <w:r w:rsidR="007E2ABD" w:rsidRPr="002E3810">
        <w:rPr>
          <w:rFonts w:cs="Tahoma"/>
          <w:b/>
          <w:bCs/>
          <w:szCs w:val="24"/>
          <w:lang w:val="es-ES_tradnl"/>
        </w:rPr>
        <w:t xml:space="preserve"> </w:t>
      </w:r>
      <w:r w:rsidR="005A7B94" w:rsidRPr="002E3810">
        <w:rPr>
          <w:rFonts w:cs="Tahoma"/>
          <w:b/>
          <w:szCs w:val="24"/>
          <w:lang w:val="es-ES_tradnl"/>
        </w:rPr>
        <w:t>S.A.</w:t>
      </w:r>
    </w:p>
    <w:p w14:paraId="6B4944D3" w14:textId="44ACE515" w:rsidR="00790DA9" w:rsidRPr="002E3810" w:rsidRDefault="00790DA9" w:rsidP="002E3810">
      <w:pPr>
        <w:spacing w:line="276" w:lineRule="auto"/>
        <w:rPr>
          <w:rFonts w:cs="Tahoma"/>
          <w:szCs w:val="24"/>
        </w:rPr>
      </w:pPr>
    </w:p>
    <w:p w14:paraId="74E244FD" w14:textId="76777837" w:rsidR="00790DA9" w:rsidRPr="002E3810" w:rsidRDefault="00790DA9" w:rsidP="002E3810">
      <w:pPr>
        <w:pStyle w:val="paragraph"/>
        <w:spacing w:before="0" w:beforeAutospacing="0" w:after="0" w:afterAutospacing="0" w:line="276" w:lineRule="auto"/>
        <w:jc w:val="center"/>
        <w:textAlignment w:val="baseline"/>
        <w:rPr>
          <w:rStyle w:val="normaltextrun"/>
          <w:rFonts w:ascii="Tahoma" w:hAnsi="Tahoma" w:cs="Tahoma"/>
          <w:b/>
          <w:bCs/>
        </w:rPr>
      </w:pPr>
      <w:r w:rsidRPr="002E3810">
        <w:rPr>
          <w:rStyle w:val="normaltextrun"/>
          <w:rFonts w:ascii="Tahoma" w:hAnsi="Tahoma" w:cs="Tahoma"/>
          <w:b/>
          <w:bCs/>
        </w:rPr>
        <w:t>PUNTO A TRATAR</w:t>
      </w:r>
    </w:p>
    <w:p w14:paraId="604BDCDA" w14:textId="77777777" w:rsidR="00EF5C33" w:rsidRPr="002E3810" w:rsidRDefault="00EF5C33" w:rsidP="002E3810">
      <w:pPr>
        <w:pStyle w:val="paragraph"/>
        <w:spacing w:before="0" w:beforeAutospacing="0" w:after="0" w:afterAutospacing="0" w:line="276" w:lineRule="auto"/>
        <w:jc w:val="center"/>
        <w:textAlignment w:val="baseline"/>
        <w:rPr>
          <w:rFonts w:ascii="Tahoma" w:hAnsi="Tahoma" w:cs="Tahoma"/>
        </w:rPr>
      </w:pPr>
    </w:p>
    <w:p w14:paraId="277DA54F" w14:textId="4BED747E" w:rsidR="00790DA9" w:rsidRPr="002E3810" w:rsidRDefault="00790DA9" w:rsidP="002E3810">
      <w:pPr>
        <w:spacing w:line="276" w:lineRule="auto"/>
        <w:ind w:firstLine="708"/>
        <w:rPr>
          <w:rFonts w:cs="Tahoma"/>
          <w:szCs w:val="24"/>
        </w:rPr>
      </w:pPr>
      <w:r w:rsidRPr="002E3810">
        <w:rPr>
          <w:rStyle w:val="normaltextrun"/>
          <w:rFonts w:cs="Tahoma"/>
          <w:szCs w:val="24"/>
        </w:rPr>
        <w:t>Por medio de esta providencia procede la Sala a</w:t>
      </w:r>
      <w:r w:rsidRPr="002E3810">
        <w:rPr>
          <w:rFonts w:cs="Tahoma"/>
          <w:szCs w:val="24"/>
        </w:rPr>
        <w:t xml:space="preserve"> resolver</w:t>
      </w:r>
      <w:r w:rsidR="00E376E1" w:rsidRPr="002E3810">
        <w:rPr>
          <w:rFonts w:cs="Tahoma"/>
          <w:szCs w:val="24"/>
        </w:rPr>
        <w:t xml:space="preserve"> </w:t>
      </w:r>
      <w:r w:rsidR="001F37EE" w:rsidRPr="002E3810">
        <w:rPr>
          <w:rFonts w:cs="Tahoma"/>
          <w:szCs w:val="24"/>
        </w:rPr>
        <w:t>e</w:t>
      </w:r>
      <w:r w:rsidRPr="002E3810">
        <w:rPr>
          <w:rFonts w:cs="Tahoma"/>
          <w:szCs w:val="24"/>
        </w:rPr>
        <w:t>l</w:t>
      </w:r>
      <w:r w:rsidR="001F37EE" w:rsidRPr="002E3810">
        <w:rPr>
          <w:rFonts w:cs="Tahoma"/>
          <w:szCs w:val="24"/>
        </w:rPr>
        <w:t xml:space="preserve"> </w:t>
      </w:r>
      <w:r w:rsidRPr="002E3810">
        <w:rPr>
          <w:rFonts w:cs="Tahoma"/>
          <w:szCs w:val="24"/>
        </w:rPr>
        <w:t xml:space="preserve">recurso de apelación interpuesto por </w:t>
      </w:r>
      <w:r w:rsidR="00E376E1" w:rsidRPr="002E3810">
        <w:rPr>
          <w:rFonts w:cs="Tahoma"/>
          <w:szCs w:val="24"/>
        </w:rPr>
        <w:t>Col</w:t>
      </w:r>
      <w:r w:rsidR="00D805CC" w:rsidRPr="002E3810">
        <w:rPr>
          <w:rFonts w:cs="Tahoma"/>
          <w:szCs w:val="24"/>
        </w:rPr>
        <w:t xml:space="preserve">pensiones </w:t>
      </w:r>
      <w:r w:rsidR="00E376E1" w:rsidRPr="002E3810">
        <w:rPr>
          <w:rFonts w:cs="Tahoma"/>
          <w:szCs w:val="24"/>
        </w:rPr>
        <w:t>y P</w:t>
      </w:r>
      <w:r w:rsidR="00DE5195" w:rsidRPr="002E3810">
        <w:rPr>
          <w:rFonts w:cs="Tahoma"/>
          <w:szCs w:val="24"/>
        </w:rPr>
        <w:t xml:space="preserve">orvenir </w:t>
      </w:r>
      <w:r w:rsidR="00E376E1" w:rsidRPr="002E3810">
        <w:rPr>
          <w:rFonts w:cs="Tahoma"/>
          <w:szCs w:val="24"/>
        </w:rPr>
        <w:t xml:space="preserve">S.A. </w:t>
      </w:r>
      <w:r w:rsidRPr="002E3810">
        <w:rPr>
          <w:rFonts w:cs="Tahoma"/>
          <w:szCs w:val="24"/>
        </w:rPr>
        <w:t xml:space="preserve">en contra de la sentencia proferida el </w:t>
      </w:r>
      <w:r w:rsidR="00DE5195" w:rsidRPr="002E3810">
        <w:rPr>
          <w:rFonts w:cs="Tahoma"/>
          <w:b/>
          <w:szCs w:val="24"/>
        </w:rPr>
        <w:t xml:space="preserve">1º </w:t>
      </w:r>
      <w:r w:rsidRPr="002E3810">
        <w:rPr>
          <w:rFonts w:cs="Tahoma"/>
          <w:b/>
          <w:bCs/>
          <w:szCs w:val="24"/>
        </w:rPr>
        <w:t xml:space="preserve">de </w:t>
      </w:r>
      <w:r w:rsidR="007E2ABD" w:rsidRPr="002E3810">
        <w:rPr>
          <w:rFonts w:cs="Tahoma"/>
          <w:b/>
          <w:bCs/>
          <w:szCs w:val="24"/>
        </w:rPr>
        <w:t>junio</w:t>
      </w:r>
      <w:r w:rsidR="00D805CC" w:rsidRPr="002E3810">
        <w:rPr>
          <w:rFonts w:cs="Tahoma"/>
          <w:b/>
          <w:bCs/>
          <w:szCs w:val="24"/>
        </w:rPr>
        <w:t xml:space="preserve"> </w:t>
      </w:r>
      <w:r w:rsidRPr="002E3810">
        <w:rPr>
          <w:rFonts w:cs="Tahoma"/>
          <w:b/>
          <w:bCs/>
          <w:szCs w:val="24"/>
        </w:rPr>
        <w:t>de 202</w:t>
      </w:r>
      <w:r w:rsidR="00463B87" w:rsidRPr="002E3810">
        <w:rPr>
          <w:rFonts w:cs="Tahoma"/>
          <w:b/>
          <w:bCs/>
          <w:szCs w:val="24"/>
        </w:rPr>
        <w:t>1</w:t>
      </w:r>
      <w:r w:rsidRPr="002E3810">
        <w:rPr>
          <w:rFonts w:cs="Tahoma"/>
          <w:szCs w:val="24"/>
        </w:rPr>
        <w:t xml:space="preserve"> por el </w:t>
      </w:r>
      <w:r w:rsidRPr="002E3810">
        <w:rPr>
          <w:rFonts w:cs="Tahoma"/>
          <w:szCs w:val="24"/>
          <w:lang w:val="es-ES_tradnl"/>
        </w:rPr>
        <w:t>Juzgado</w:t>
      </w:r>
      <w:r w:rsidRPr="002E3810">
        <w:rPr>
          <w:rFonts w:cs="Tahoma"/>
          <w:szCs w:val="24"/>
        </w:rPr>
        <w:t xml:space="preserve"> </w:t>
      </w:r>
      <w:r w:rsidR="00DE5195" w:rsidRPr="002E3810">
        <w:rPr>
          <w:rFonts w:cs="Tahoma"/>
          <w:szCs w:val="24"/>
        </w:rPr>
        <w:t xml:space="preserve">Quinto </w:t>
      </w:r>
      <w:r w:rsidRPr="002E3810">
        <w:rPr>
          <w:rFonts w:cs="Tahoma"/>
          <w:szCs w:val="24"/>
        </w:rPr>
        <w:t>Laboral del Circuito de Pereira</w:t>
      </w:r>
      <w:r w:rsidR="00A47546" w:rsidRPr="002E3810">
        <w:rPr>
          <w:rStyle w:val="normaltextrun"/>
          <w:rFonts w:cs="Tahoma"/>
          <w:szCs w:val="24"/>
        </w:rPr>
        <w:t>; asimismo, se revisará la decisión de instancia en virtud del</w:t>
      </w:r>
      <w:r w:rsidR="00A47546" w:rsidRPr="002E3810">
        <w:rPr>
          <w:rFonts w:cs="Tahoma"/>
          <w:szCs w:val="24"/>
        </w:rPr>
        <w:t xml:space="preserve"> grado jurisdiccional de consulta respecto de Colpensiones. </w:t>
      </w:r>
      <w:r w:rsidRPr="002E3810">
        <w:rPr>
          <w:rStyle w:val="normaltextrun"/>
          <w:rFonts w:cs="Tahoma"/>
          <w:szCs w:val="24"/>
        </w:rPr>
        <w:t>Para ello se tiene en cuenta lo siguiente: </w:t>
      </w:r>
    </w:p>
    <w:p w14:paraId="1A3B83DF" w14:textId="77777777" w:rsidR="00790DA9" w:rsidRPr="002E3810" w:rsidRDefault="00790DA9" w:rsidP="002E3810">
      <w:pPr>
        <w:spacing w:line="276" w:lineRule="auto"/>
        <w:ind w:firstLine="708"/>
        <w:rPr>
          <w:rFonts w:cs="Tahoma"/>
          <w:b/>
          <w:szCs w:val="24"/>
        </w:rPr>
      </w:pPr>
    </w:p>
    <w:p w14:paraId="783EB004" w14:textId="77777777" w:rsidR="00790DA9" w:rsidRPr="002E3810" w:rsidRDefault="00790DA9" w:rsidP="002E3810">
      <w:pPr>
        <w:pStyle w:val="Prrafodelista"/>
        <w:numPr>
          <w:ilvl w:val="0"/>
          <w:numId w:val="1"/>
        </w:numPr>
        <w:spacing w:line="276" w:lineRule="auto"/>
        <w:ind w:left="426" w:hanging="426"/>
        <w:jc w:val="center"/>
        <w:rPr>
          <w:rFonts w:cs="Tahoma"/>
          <w:b/>
          <w:bCs/>
          <w:szCs w:val="24"/>
        </w:rPr>
      </w:pPr>
      <w:r w:rsidRPr="002E3810">
        <w:rPr>
          <w:rFonts w:cs="Tahoma"/>
          <w:b/>
          <w:bCs/>
          <w:szCs w:val="24"/>
        </w:rPr>
        <w:t>Demanda y su contestación</w:t>
      </w:r>
    </w:p>
    <w:p w14:paraId="17F37787" w14:textId="519B9B7E" w:rsidR="00790DA9" w:rsidRPr="002E3810" w:rsidRDefault="00790DA9" w:rsidP="002E3810">
      <w:pPr>
        <w:spacing w:line="276" w:lineRule="auto"/>
        <w:ind w:firstLine="708"/>
        <w:rPr>
          <w:rStyle w:val="normaltextrun"/>
          <w:rFonts w:cs="Tahoma"/>
          <w:szCs w:val="24"/>
        </w:rPr>
      </w:pPr>
    </w:p>
    <w:p w14:paraId="50284805" w14:textId="4BF12E7A" w:rsidR="00BA4959" w:rsidRPr="002E3810" w:rsidRDefault="00BA4959" w:rsidP="002E3810">
      <w:pPr>
        <w:spacing w:line="276" w:lineRule="auto"/>
        <w:ind w:firstLine="708"/>
        <w:rPr>
          <w:rFonts w:cs="Tahoma"/>
          <w:szCs w:val="24"/>
        </w:rPr>
      </w:pPr>
      <w:r w:rsidRPr="002E3810">
        <w:rPr>
          <w:rFonts w:cs="Tahoma"/>
          <w:szCs w:val="24"/>
        </w:rPr>
        <w:t>Solicita la demandante que se declare la Nulidad del traslado de régimen que efectuó desde el régimen de prima media con prestación definida</w:t>
      </w:r>
      <w:r w:rsidR="00172AFF" w:rsidRPr="002E3810">
        <w:rPr>
          <w:rFonts w:cs="Tahoma"/>
          <w:szCs w:val="24"/>
        </w:rPr>
        <w:t xml:space="preserve"> </w:t>
      </w:r>
      <w:r w:rsidR="000C451A" w:rsidRPr="002E3810">
        <w:rPr>
          <w:rFonts w:cs="Tahoma"/>
          <w:szCs w:val="24"/>
        </w:rPr>
        <w:t xml:space="preserve">(en adelante RPM) al </w:t>
      </w:r>
      <w:r w:rsidRPr="002E3810">
        <w:rPr>
          <w:rFonts w:cs="Tahoma"/>
          <w:szCs w:val="24"/>
        </w:rPr>
        <w:t>régimen de ahorro individual con solidaridad</w:t>
      </w:r>
      <w:r w:rsidR="000C451A" w:rsidRPr="002E3810">
        <w:rPr>
          <w:rFonts w:cs="Tahoma"/>
          <w:szCs w:val="24"/>
        </w:rPr>
        <w:t xml:space="preserve"> (en adelante RAIS)</w:t>
      </w:r>
      <w:r w:rsidRPr="002E3810">
        <w:rPr>
          <w:rFonts w:cs="Tahoma"/>
          <w:szCs w:val="24"/>
        </w:rPr>
        <w:t>, específicamente a</w:t>
      </w:r>
      <w:r w:rsidR="00172AFF" w:rsidRPr="002E3810">
        <w:rPr>
          <w:rFonts w:cs="Tahoma"/>
          <w:szCs w:val="24"/>
        </w:rPr>
        <w:t xml:space="preserve"> </w:t>
      </w:r>
      <w:r w:rsidRPr="002E3810">
        <w:rPr>
          <w:rFonts w:cs="Tahoma"/>
          <w:szCs w:val="24"/>
        </w:rPr>
        <w:t>hoy Porvenir S.A.</w:t>
      </w:r>
    </w:p>
    <w:p w14:paraId="345FB91D" w14:textId="77777777" w:rsidR="00BA4959" w:rsidRPr="002E3810" w:rsidRDefault="00BA4959" w:rsidP="002E3810">
      <w:pPr>
        <w:spacing w:line="276" w:lineRule="auto"/>
        <w:ind w:firstLine="708"/>
        <w:rPr>
          <w:rFonts w:cs="Tahoma"/>
          <w:szCs w:val="24"/>
        </w:rPr>
      </w:pPr>
    </w:p>
    <w:p w14:paraId="574D6A72" w14:textId="77777777" w:rsidR="00BA4959" w:rsidRPr="002E3810" w:rsidRDefault="00BA4959" w:rsidP="002E3810">
      <w:pPr>
        <w:spacing w:line="276" w:lineRule="auto"/>
        <w:ind w:firstLine="708"/>
        <w:rPr>
          <w:rFonts w:cs="Tahoma"/>
          <w:szCs w:val="24"/>
        </w:rPr>
      </w:pPr>
      <w:r w:rsidRPr="002E3810">
        <w:rPr>
          <w:rFonts w:cs="Tahoma"/>
          <w:szCs w:val="24"/>
        </w:rPr>
        <w:t>En consecuencia, procura que se condene a Porvenir S.A. a liberarla de su base de datos y a trasladar sus cotizaciones a favor de la Administradora Colombiana de Pensiones - Colpensiones. Adicionalmente, solicita que se condene a esta última a recibirla nuevamente como afiliada cotizante.</w:t>
      </w:r>
    </w:p>
    <w:p w14:paraId="4FF97A3E" w14:textId="77777777" w:rsidR="00BA4959" w:rsidRPr="002E3810" w:rsidRDefault="00BA4959" w:rsidP="002E3810">
      <w:pPr>
        <w:spacing w:line="276" w:lineRule="auto"/>
        <w:ind w:firstLine="708"/>
        <w:rPr>
          <w:rFonts w:cs="Tahoma"/>
          <w:szCs w:val="24"/>
        </w:rPr>
      </w:pPr>
    </w:p>
    <w:p w14:paraId="30D38CC4" w14:textId="77777777" w:rsidR="00BA4959" w:rsidRPr="002E3810" w:rsidRDefault="00BA4959" w:rsidP="002E3810">
      <w:pPr>
        <w:spacing w:line="276" w:lineRule="auto"/>
        <w:ind w:firstLine="708"/>
        <w:rPr>
          <w:rFonts w:cs="Tahoma"/>
          <w:szCs w:val="24"/>
          <w:lang w:val="es-ES"/>
        </w:rPr>
      </w:pPr>
      <w:r w:rsidRPr="002E3810">
        <w:rPr>
          <w:rFonts w:cs="Tahoma"/>
          <w:szCs w:val="24"/>
        </w:rPr>
        <w:t xml:space="preserve">Por último, pide que se </w:t>
      </w:r>
      <w:r w:rsidRPr="002E3810">
        <w:rPr>
          <w:rFonts w:cs="Tahoma"/>
          <w:szCs w:val="24"/>
          <w:lang w:val="es-ES"/>
        </w:rPr>
        <w:t>condene a Porvenir a cancelar las costas procesales que se generen en el proceso.</w:t>
      </w:r>
    </w:p>
    <w:p w14:paraId="3ECC18CA" w14:textId="77777777" w:rsidR="00BA4959" w:rsidRPr="002E3810" w:rsidRDefault="00BA4959" w:rsidP="002E3810">
      <w:pPr>
        <w:spacing w:line="276" w:lineRule="auto"/>
        <w:ind w:firstLine="708"/>
        <w:rPr>
          <w:rFonts w:cs="Tahoma"/>
          <w:szCs w:val="24"/>
        </w:rPr>
      </w:pPr>
    </w:p>
    <w:p w14:paraId="36DFD234" w14:textId="4259608A" w:rsidR="00BA4959" w:rsidRPr="002E3810" w:rsidRDefault="00BA4959" w:rsidP="002E3810">
      <w:pPr>
        <w:spacing w:line="276" w:lineRule="auto"/>
        <w:ind w:firstLine="708"/>
        <w:rPr>
          <w:rFonts w:cs="Tahoma"/>
          <w:szCs w:val="24"/>
        </w:rPr>
      </w:pPr>
      <w:r w:rsidRPr="002E3810">
        <w:rPr>
          <w:rFonts w:cs="Tahoma"/>
          <w:szCs w:val="24"/>
        </w:rPr>
        <w:t xml:space="preserve">Para fundar tales pretensiones relata que nació el </w:t>
      </w:r>
      <w:r w:rsidR="00172AFF" w:rsidRPr="002E3810">
        <w:rPr>
          <w:rFonts w:cs="Tahoma"/>
          <w:szCs w:val="24"/>
        </w:rPr>
        <w:t>31</w:t>
      </w:r>
      <w:r w:rsidRPr="002E3810">
        <w:rPr>
          <w:rFonts w:cs="Tahoma"/>
          <w:szCs w:val="24"/>
        </w:rPr>
        <w:t xml:space="preserve"> de </w:t>
      </w:r>
      <w:r w:rsidR="00172AFF" w:rsidRPr="002E3810">
        <w:rPr>
          <w:rFonts w:cs="Tahoma"/>
          <w:szCs w:val="24"/>
        </w:rPr>
        <w:t xml:space="preserve">diciembre </w:t>
      </w:r>
      <w:r w:rsidRPr="002E3810">
        <w:rPr>
          <w:rFonts w:cs="Tahoma"/>
          <w:szCs w:val="24"/>
        </w:rPr>
        <w:t>de 1962 y que realizó cotizaciones al Instituto de Seguros Sociales a partir de noviembre de 198</w:t>
      </w:r>
      <w:r w:rsidR="00172AFF" w:rsidRPr="002E3810">
        <w:rPr>
          <w:rFonts w:cs="Tahoma"/>
          <w:szCs w:val="24"/>
        </w:rPr>
        <w:t>6</w:t>
      </w:r>
      <w:r w:rsidRPr="002E3810">
        <w:rPr>
          <w:rFonts w:cs="Tahoma"/>
          <w:szCs w:val="24"/>
        </w:rPr>
        <w:t>.</w:t>
      </w:r>
    </w:p>
    <w:p w14:paraId="438FE00B" w14:textId="77777777" w:rsidR="00BA4959" w:rsidRPr="002E3810" w:rsidRDefault="00BA4959" w:rsidP="002E3810">
      <w:pPr>
        <w:spacing w:line="276" w:lineRule="auto"/>
        <w:ind w:firstLine="708"/>
        <w:rPr>
          <w:rFonts w:cs="Tahoma"/>
          <w:szCs w:val="24"/>
        </w:rPr>
      </w:pPr>
    </w:p>
    <w:p w14:paraId="0192E6F5" w14:textId="7E90EE8F" w:rsidR="00BA4959" w:rsidRPr="002E3810" w:rsidRDefault="00BA4959" w:rsidP="002E3810">
      <w:pPr>
        <w:spacing w:line="276" w:lineRule="auto"/>
        <w:ind w:firstLine="708"/>
        <w:rPr>
          <w:rFonts w:cs="Tahoma"/>
          <w:szCs w:val="24"/>
        </w:rPr>
      </w:pPr>
      <w:r w:rsidRPr="002E3810">
        <w:rPr>
          <w:rFonts w:cs="Tahoma"/>
          <w:szCs w:val="24"/>
        </w:rPr>
        <w:t>Refiere que</w:t>
      </w:r>
      <w:r w:rsidR="00172AFF" w:rsidRPr="002E3810">
        <w:rPr>
          <w:rFonts w:cs="Tahoma"/>
          <w:szCs w:val="24"/>
        </w:rPr>
        <w:t xml:space="preserve"> el 22 de diciembre de 2000 suscribió formulario de afiliación ante Porvenir S.A., por medio del cual se trasladó del régimen de prima media </w:t>
      </w:r>
      <w:r w:rsidR="005D3E10" w:rsidRPr="002E3810">
        <w:rPr>
          <w:rFonts w:cs="Tahoma"/>
          <w:szCs w:val="24"/>
        </w:rPr>
        <w:t>al régimen de ahorro individual</w:t>
      </w:r>
      <w:r w:rsidRPr="002E3810">
        <w:rPr>
          <w:rFonts w:cs="Tahoma"/>
          <w:szCs w:val="24"/>
        </w:rPr>
        <w:t xml:space="preserve">, </w:t>
      </w:r>
      <w:r w:rsidR="005D3E10" w:rsidRPr="002E3810">
        <w:rPr>
          <w:rFonts w:cs="Tahoma"/>
          <w:szCs w:val="24"/>
        </w:rPr>
        <w:t xml:space="preserve">no obstante, </w:t>
      </w:r>
      <w:r w:rsidRPr="002E3810">
        <w:rPr>
          <w:rFonts w:cs="Tahoma"/>
          <w:szCs w:val="24"/>
        </w:rPr>
        <w:t>asegura no haber recibido el asesoramiento requerido para tomar una decisión consciente, por lo que</w:t>
      </w:r>
      <w:r w:rsidR="005D3E10" w:rsidRPr="002E3810">
        <w:rPr>
          <w:rFonts w:cs="Tahoma"/>
          <w:szCs w:val="24"/>
        </w:rPr>
        <w:t xml:space="preserve"> esa AFP</w:t>
      </w:r>
      <w:r w:rsidRPr="002E3810">
        <w:rPr>
          <w:rFonts w:cs="Tahoma"/>
          <w:szCs w:val="24"/>
        </w:rPr>
        <w:t xml:space="preserve"> incumplió su deber de información y buen consejo, de conformidad con los Decretos 663 de 1993 y 656 de 1994.</w:t>
      </w:r>
    </w:p>
    <w:p w14:paraId="7BB2FA20" w14:textId="77777777" w:rsidR="00BA4959" w:rsidRPr="002E3810" w:rsidRDefault="00BA4959" w:rsidP="002E3810">
      <w:pPr>
        <w:spacing w:line="276" w:lineRule="auto"/>
        <w:ind w:firstLine="708"/>
        <w:rPr>
          <w:rFonts w:cs="Tahoma"/>
          <w:szCs w:val="24"/>
        </w:rPr>
      </w:pPr>
    </w:p>
    <w:p w14:paraId="1C329584" w14:textId="042BFD37" w:rsidR="00BA4959" w:rsidRPr="002E3810" w:rsidRDefault="00BA4959" w:rsidP="002E3810">
      <w:pPr>
        <w:spacing w:line="276" w:lineRule="auto"/>
        <w:ind w:firstLine="708"/>
        <w:rPr>
          <w:rFonts w:cs="Tahoma"/>
          <w:szCs w:val="24"/>
        </w:rPr>
      </w:pPr>
      <w:r w:rsidRPr="002E3810">
        <w:rPr>
          <w:rFonts w:cs="Tahoma"/>
          <w:szCs w:val="24"/>
        </w:rPr>
        <w:t xml:space="preserve">Relata que, según </w:t>
      </w:r>
      <w:r w:rsidR="005D3E10" w:rsidRPr="002E3810">
        <w:rPr>
          <w:rFonts w:cs="Tahoma"/>
          <w:szCs w:val="24"/>
        </w:rPr>
        <w:t>documento proferido</w:t>
      </w:r>
      <w:r w:rsidRPr="002E3810">
        <w:rPr>
          <w:rFonts w:cs="Tahoma"/>
          <w:szCs w:val="24"/>
        </w:rPr>
        <w:t xml:space="preserve"> por Porvenir S.A., </w:t>
      </w:r>
      <w:r w:rsidR="005D3E10" w:rsidRPr="002E3810">
        <w:rPr>
          <w:rFonts w:cs="Tahoma"/>
          <w:szCs w:val="24"/>
        </w:rPr>
        <w:t>las asesorías al momento de la vinculación se realizaron de manera verbal, por lo que no contaba con soporte físico de la misma.</w:t>
      </w:r>
    </w:p>
    <w:p w14:paraId="5B9E9995" w14:textId="77777777" w:rsidR="00BA4959" w:rsidRPr="002E3810" w:rsidRDefault="00BA4959" w:rsidP="002E3810">
      <w:pPr>
        <w:spacing w:line="276" w:lineRule="auto"/>
        <w:ind w:firstLine="708"/>
        <w:rPr>
          <w:rFonts w:cs="Tahoma"/>
          <w:szCs w:val="24"/>
        </w:rPr>
      </w:pPr>
    </w:p>
    <w:p w14:paraId="6E76BE8B" w14:textId="5056498F" w:rsidR="00BA4959" w:rsidRPr="002E3810" w:rsidRDefault="00BA4959" w:rsidP="002E3810">
      <w:pPr>
        <w:spacing w:line="276" w:lineRule="auto"/>
        <w:ind w:firstLine="708"/>
        <w:rPr>
          <w:rFonts w:cs="Tahoma"/>
          <w:szCs w:val="24"/>
        </w:rPr>
      </w:pPr>
      <w:r w:rsidRPr="002E3810">
        <w:rPr>
          <w:rFonts w:cs="Tahoma"/>
          <w:szCs w:val="24"/>
        </w:rPr>
        <w:t xml:space="preserve">Por último, señala que solicitó ante Colpensiones el traslado con miras a retornar al RPM, sin embargo, ello fue denegado el </w:t>
      </w:r>
      <w:r w:rsidR="005D3E10" w:rsidRPr="002E3810">
        <w:rPr>
          <w:rFonts w:cs="Tahoma"/>
          <w:szCs w:val="24"/>
        </w:rPr>
        <w:t>30</w:t>
      </w:r>
      <w:r w:rsidRPr="002E3810">
        <w:rPr>
          <w:rFonts w:cs="Tahoma"/>
          <w:szCs w:val="24"/>
        </w:rPr>
        <w:t xml:space="preserve"> de </w:t>
      </w:r>
      <w:r w:rsidR="005D3E10" w:rsidRPr="002E3810">
        <w:rPr>
          <w:rFonts w:cs="Tahoma"/>
          <w:szCs w:val="24"/>
        </w:rPr>
        <w:t xml:space="preserve">abril </w:t>
      </w:r>
      <w:r w:rsidRPr="002E3810">
        <w:rPr>
          <w:rFonts w:cs="Tahoma"/>
          <w:szCs w:val="24"/>
        </w:rPr>
        <w:t>de 201</w:t>
      </w:r>
      <w:r w:rsidR="005D3E10" w:rsidRPr="002E3810">
        <w:rPr>
          <w:rFonts w:cs="Tahoma"/>
          <w:szCs w:val="24"/>
        </w:rPr>
        <w:t>9</w:t>
      </w:r>
      <w:r w:rsidRPr="002E3810">
        <w:rPr>
          <w:rFonts w:cs="Tahoma"/>
          <w:szCs w:val="24"/>
        </w:rPr>
        <w:t xml:space="preserve"> bajo el argumento de que se encontraba a diez años o menos del requisito de tiempo para pensionarse. </w:t>
      </w:r>
    </w:p>
    <w:p w14:paraId="1950CEAA" w14:textId="77777777" w:rsidR="005D3E10" w:rsidRPr="002E3810" w:rsidRDefault="005D3E10" w:rsidP="002E3810">
      <w:pPr>
        <w:spacing w:line="276" w:lineRule="auto"/>
        <w:ind w:firstLine="708"/>
        <w:rPr>
          <w:rFonts w:cs="Tahoma"/>
          <w:szCs w:val="24"/>
        </w:rPr>
      </w:pPr>
    </w:p>
    <w:p w14:paraId="09D8272A" w14:textId="4BA3A557" w:rsidR="00B819CC" w:rsidRPr="002E3810" w:rsidRDefault="00BA4959" w:rsidP="002E3810">
      <w:pPr>
        <w:spacing w:line="276" w:lineRule="auto"/>
        <w:ind w:firstLine="708"/>
        <w:rPr>
          <w:rFonts w:cs="Tahoma"/>
          <w:i/>
          <w:iCs/>
          <w:szCs w:val="24"/>
        </w:rPr>
      </w:pPr>
      <w:r w:rsidRPr="002E3810">
        <w:rPr>
          <w:rFonts w:cs="Tahoma"/>
          <w:b/>
          <w:bCs/>
          <w:szCs w:val="24"/>
        </w:rPr>
        <w:t>Colpensiones</w:t>
      </w:r>
      <w:r w:rsidRPr="002E3810">
        <w:rPr>
          <w:rFonts w:cs="Tahoma"/>
          <w:bCs/>
          <w:szCs w:val="24"/>
        </w:rPr>
        <w:t xml:space="preserve"> se opuso a la prosperidad de las pretensiones aduciendo que las afirmaciones de la parte actora carecen de sustento factico y legal, oponiéndose a recibirla como afiliada en el régimen de prima media al no haber lugar a la nulidad en el acto jurídico de traslado. En ese orden de ideas, propuso las excepciones denominadas </w:t>
      </w:r>
      <w:r w:rsidRPr="002E3810">
        <w:rPr>
          <w:rFonts w:cs="Tahoma"/>
          <w:i/>
          <w:iCs/>
          <w:szCs w:val="24"/>
        </w:rPr>
        <w:t>“Validez de la afiliación al RAIS”; “</w:t>
      </w:r>
      <w:r w:rsidR="00B819CC" w:rsidRPr="002E3810">
        <w:rPr>
          <w:rFonts w:cs="Tahoma"/>
          <w:i/>
          <w:iCs/>
          <w:szCs w:val="24"/>
        </w:rPr>
        <w:t>Saneamiento de una presunta nulidad”; “Solicitud de traslado de dineros de gastos de administración”; “Prescripción”; “Imposibilidad jurídica para reconocer y pagar derechos por fuera del ordenamiento legal”; “Buena fe” e “Imposibilidad de condena en costas”.</w:t>
      </w:r>
    </w:p>
    <w:p w14:paraId="23D2521F" w14:textId="77777777" w:rsidR="00BA4959" w:rsidRPr="002E3810" w:rsidRDefault="00BA4959" w:rsidP="002E3810">
      <w:pPr>
        <w:spacing w:line="276" w:lineRule="auto"/>
        <w:ind w:firstLine="708"/>
        <w:rPr>
          <w:rFonts w:cs="Tahoma"/>
          <w:bCs/>
          <w:szCs w:val="24"/>
        </w:rPr>
      </w:pPr>
    </w:p>
    <w:p w14:paraId="72AEFFB5" w14:textId="4A5B73EA" w:rsidR="00410406" w:rsidRPr="002E3810" w:rsidRDefault="00BA4959" w:rsidP="002E3810">
      <w:pPr>
        <w:spacing w:line="276" w:lineRule="auto"/>
        <w:ind w:firstLine="708"/>
        <w:rPr>
          <w:rFonts w:cs="Tahoma"/>
          <w:i/>
          <w:iCs/>
          <w:szCs w:val="24"/>
        </w:rPr>
      </w:pPr>
      <w:r w:rsidRPr="002E3810">
        <w:rPr>
          <w:rFonts w:cs="Tahoma"/>
          <w:b/>
          <w:szCs w:val="24"/>
        </w:rPr>
        <w:t>Porvenir S.A.</w:t>
      </w:r>
      <w:r w:rsidRPr="002E3810">
        <w:rPr>
          <w:rFonts w:cs="Tahoma"/>
          <w:szCs w:val="24"/>
        </w:rPr>
        <w:t xml:space="preserve"> </w:t>
      </w:r>
      <w:r w:rsidRPr="002E3810">
        <w:rPr>
          <w:rFonts w:cs="Tahoma"/>
          <w:szCs w:val="24"/>
          <w:lang w:val="es-ES"/>
        </w:rPr>
        <w:t>pidió que se denegaran los pedidos de la promotora de la litis, poniendo de relieve que la vinculación de la demandante al RAIS se realizó conforme lo establece la ley y es un acto jurídico válido, en la medida en que aquella suscribió el formulario de afiliación de manera libre, espontánea y sin presiones, luego de haber recibido asesoría respecto de todas las implicaciones de su decisión, tal y como lo hizo constar al imponer su firma en la casilla correspondiente; lo anterior aunado a que la demandante no es beneficiaria del régimen de transición. En ese sentido</w:t>
      </w:r>
      <w:r w:rsidRPr="002E3810">
        <w:rPr>
          <w:rFonts w:cs="Tahoma"/>
          <w:szCs w:val="24"/>
        </w:rPr>
        <w:t>, invocó como medios exceptivos los de</w:t>
      </w:r>
      <w:r w:rsidRPr="002E3810">
        <w:rPr>
          <w:rFonts w:cs="Tahoma"/>
          <w:i/>
          <w:szCs w:val="24"/>
        </w:rPr>
        <w:t xml:space="preserve"> </w:t>
      </w:r>
      <w:r w:rsidR="00410406" w:rsidRPr="002E3810">
        <w:rPr>
          <w:rFonts w:cs="Tahoma"/>
          <w:i/>
          <w:szCs w:val="24"/>
        </w:rPr>
        <w:t>“</w:t>
      </w:r>
      <w:r w:rsidR="00410406" w:rsidRPr="002E3810">
        <w:rPr>
          <w:rFonts w:cs="Tahoma"/>
          <w:i/>
          <w:iCs/>
          <w:szCs w:val="24"/>
        </w:rPr>
        <w:t>Validez y eficacia de la afiliación al RAIS e inexistencia de vicios en el consentimiento”</w:t>
      </w:r>
      <w:r w:rsidR="000C451A" w:rsidRPr="002E3810">
        <w:rPr>
          <w:rFonts w:cs="Tahoma"/>
          <w:i/>
          <w:iCs/>
          <w:szCs w:val="24"/>
        </w:rPr>
        <w:t>,” Inexistencia</w:t>
      </w:r>
      <w:r w:rsidR="00410406" w:rsidRPr="002E3810">
        <w:rPr>
          <w:rFonts w:cs="Tahoma"/>
          <w:i/>
          <w:iCs/>
          <w:szCs w:val="24"/>
        </w:rPr>
        <w:t xml:space="preserve"> de la obligación de trasladar la comisión de administración, en caso de que se declarase la nulidad o ineficacia de la afiliación al RAIS</w:t>
      </w:r>
      <w:r w:rsidR="000C451A" w:rsidRPr="002E3810">
        <w:rPr>
          <w:rFonts w:cs="Tahoma"/>
          <w:i/>
          <w:iCs/>
          <w:szCs w:val="24"/>
        </w:rPr>
        <w:t>”,</w:t>
      </w:r>
      <w:r w:rsidR="00410406" w:rsidRPr="002E3810">
        <w:rPr>
          <w:rFonts w:cs="Tahoma"/>
          <w:i/>
          <w:iCs/>
          <w:szCs w:val="24"/>
        </w:rPr>
        <w:t xml:space="preserve"> “Inexistencia de la obligación de trasladar el pago al seguro previsional cuando se declara la nulidad o ineficacia de la afiliación al RAIS”, “Prescripción” y, “Buena fe”.</w:t>
      </w:r>
    </w:p>
    <w:p w14:paraId="4BE8B949" w14:textId="77777777" w:rsidR="000C451A" w:rsidRPr="002E3810" w:rsidRDefault="000C451A" w:rsidP="002E3810">
      <w:pPr>
        <w:spacing w:line="276" w:lineRule="auto"/>
        <w:ind w:firstLine="708"/>
        <w:rPr>
          <w:rFonts w:cs="Tahoma"/>
          <w:b/>
          <w:bCs/>
          <w:szCs w:val="24"/>
          <w:lang w:val="es-ES"/>
        </w:rPr>
      </w:pPr>
    </w:p>
    <w:p w14:paraId="078620B9" w14:textId="77777777" w:rsidR="00BA4959" w:rsidRPr="002E3810" w:rsidRDefault="00BA4959" w:rsidP="002E3810">
      <w:pPr>
        <w:numPr>
          <w:ilvl w:val="0"/>
          <w:numId w:val="1"/>
        </w:numPr>
        <w:spacing w:line="276" w:lineRule="auto"/>
        <w:jc w:val="center"/>
        <w:rPr>
          <w:rFonts w:cs="Tahoma"/>
          <w:b/>
          <w:bCs/>
          <w:szCs w:val="24"/>
        </w:rPr>
      </w:pPr>
      <w:r w:rsidRPr="002E3810">
        <w:rPr>
          <w:rFonts w:cs="Tahoma"/>
          <w:b/>
          <w:bCs/>
          <w:szCs w:val="24"/>
        </w:rPr>
        <w:t>Sentencia de primera instancia</w:t>
      </w:r>
    </w:p>
    <w:p w14:paraId="3FA21C31" w14:textId="77777777" w:rsidR="00BA4959" w:rsidRPr="002E3810" w:rsidRDefault="00BA4959" w:rsidP="002E3810">
      <w:pPr>
        <w:spacing w:line="276" w:lineRule="auto"/>
        <w:ind w:firstLine="708"/>
        <w:rPr>
          <w:rFonts w:cs="Tahoma"/>
          <w:b/>
          <w:bCs/>
          <w:szCs w:val="24"/>
        </w:rPr>
      </w:pPr>
    </w:p>
    <w:p w14:paraId="49206C7A" w14:textId="40FE961E" w:rsidR="00BA4959" w:rsidRPr="002E3810" w:rsidRDefault="00BA4959" w:rsidP="002E3810">
      <w:pPr>
        <w:spacing w:line="276" w:lineRule="auto"/>
        <w:ind w:firstLine="708"/>
        <w:rPr>
          <w:rFonts w:cs="Tahoma"/>
          <w:szCs w:val="24"/>
        </w:rPr>
      </w:pPr>
      <w:r w:rsidRPr="002E3810">
        <w:rPr>
          <w:rFonts w:cs="Tahoma"/>
          <w:szCs w:val="24"/>
        </w:rPr>
        <w:t>La Jueza de primera instancia decretó</w:t>
      </w:r>
      <w:r w:rsidRPr="002E3810">
        <w:rPr>
          <w:rFonts w:cs="Tahoma"/>
          <w:szCs w:val="24"/>
          <w:lang w:val="es-ES"/>
        </w:rPr>
        <w:t xml:space="preserve"> </w:t>
      </w:r>
      <w:r w:rsidRPr="002E3810">
        <w:rPr>
          <w:rFonts w:cs="Tahoma"/>
          <w:szCs w:val="24"/>
        </w:rPr>
        <w:t xml:space="preserve">no probados los medios exceptivos propuestos por las codemandadas y, por tanto, declaró la ineficacia del traslado de régimen que la demandante efectuó al régimen de ahorro individual con solidaridad, mediante solicitud del </w:t>
      </w:r>
      <w:r w:rsidR="00410406" w:rsidRPr="002E3810">
        <w:rPr>
          <w:rFonts w:cs="Tahoma"/>
          <w:szCs w:val="24"/>
        </w:rPr>
        <w:t>22</w:t>
      </w:r>
      <w:r w:rsidRPr="002E3810">
        <w:rPr>
          <w:rFonts w:cs="Tahoma"/>
          <w:szCs w:val="24"/>
        </w:rPr>
        <w:t xml:space="preserve"> de diciembre de </w:t>
      </w:r>
      <w:r w:rsidR="00410406" w:rsidRPr="002E3810">
        <w:rPr>
          <w:rFonts w:cs="Tahoma"/>
          <w:szCs w:val="24"/>
        </w:rPr>
        <w:t>2000</w:t>
      </w:r>
      <w:r w:rsidRPr="002E3810">
        <w:rPr>
          <w:rFonts w:cs="Tahoma"/>
          <w:szCs w:val="24"/>
        </w:rPr>
        <w:t xml:space="preserve">, que se hizo efectiva el 1º de febrero de </w:t>
      </w:r>
      <w:r w:rsidR="00410406" w:rsidRPr="002E3810">
        <w:rPr>
          <w:rFonts w:cs="Tahoma"/>
          <w:szCs w:val="24"/>
        </w:rPr>
        <w:t>2001</w:t>
      </w:r>
      <w:r w:rsidRPr="002E3810">
        <w:rPr>
          <w:rFonts w:cs="Tahoma"/>
          <w:szCs w:val="24"/>
        </w:rPr>
        <w:t xml:space="preserve">. </w:t>
      </w:r>
    </w:p>
    <w:p w14:paraId="7BEE54A4" w14:textId="77777777" w:rsidR="00BA4959" w:rsidRPr="002E3810" w:rsidRDefault="00BA4959" w:rsidP="002E3810">
      <w:pPr>
        <w:spacing w:line="276" w:lineRule="auto"/>
        <w:ind w:firstLine="708"/>
        <w:rPr>
          <w:rFonts w:cs="Tahoma"/>
          <w:szCs w:val="24"/>
        </w:rPr>
      </w:pPr>
    </w:p>
    <w:p w14:paraId="01320CFF" w14:textId="09CBDE5D" w:rsidR="00BA4959" w:rsidRPr="002E3810" w:rsidRDefault="00BA4959" w:rsidP="002E3810">
      <w:pPr>
        <w:spacing w:line="276" w:lineRule="auto"/>
        <w:ind w:firstLine="708"/>
        <w:rPr>
          <w:rFonts w:cs="Tahoma"/>
          <w:szCs w:val="24"/>
        </w:rPr>
      </w:pPr>
      <w:r w:rsidRPr="002E3810">
        <w:rPr>
          <w:rFonts w:cs="Tahoma"/>
          <w:szCs w:val="24"/>
        </w:rPr>
        <w:t xml:space="preserve">En consecuencia, ordenó a Porvenir S.A. devolver a Colpensiones la totalidad de las sumas recibidas con ocasión de la aludida afiliación, por concepto de cotizaciones recaudadas durante la vigencia de la afiliación, incluyendo </w:t>
      </w:r>
      <w:r w:rsidR="00BC6AEB" w:rsidRPr="002E3810">
        <w:rPr>
          <w:rFonts w:cs="Tahoma"/>
          <w:szCs w:val="24"/>
        </w:rPr>
        <w:t>las</w:t>
      </w:r>
      <w:r w:rsidRPr="002E3810">
        <w:rPr>
          <w:rFonts w:cs="Tahoma"/>
          <w:szCs w:val="24"/>
        </w:rPr>
        <w:t xml:space="preserve"> sumas adicionales, junto con sus respectivos rendimientos, e intereses. </w:t>
      </w:r>
    </w:p>
    <w:p w14:paraId="78293806" w14:textId="77777777" w:rsidR="00BA4959" w:rsidRPr="002E3810" w:rsidRDefault="00BA4959" w:rsidP="002E3810">
      <w:pPr>
        <w:spacing w:line="276" w:lineRule="auto"/>
        <w:ind w:firstLine="708"/>
        <w:rPr>
          <w:rFonts w:cs="Tahoma"/>
          <w:szCs w:val="24"/>
        </w:rPr>
      </w:pPr>
    </w:p>
    <w:p w14:paraId="60573085" w14:textId="5D2D01DC" w:rsidR="00BA4959" w:rsidRPr="002E3810" w:rsidRDefault="00BA4959" w:rsidP="002E3810">
      <w:pPr>
        <w:spacing w:line="276" w:lineRule="auto"/>
        <w:ind w:firstLine="708"/>
        <w:rPr>
          <w:rFonts w:cs="Tahoma"/>
          <w:szCs w:val="24"/>
        </w:rPr>
      </w:pPr>
      <w:r w:rsidRPr="002E3810">
        <w:rPr>
          <w:rFonts w:cs="Tahoma"/>
          <w:szCs w:val="24"/>
        </w:rPr>
        <w:t>Igualmente, ordenó a Porvenir S.A. devolver, con cargo a sus propios recursos, el valor de las comisiones y cuotas de administración que cobró, así como las cuotas de garantía de pensión mínima y seguros previsionales, durante el período que l</w:t>
      </w:r>
      <w:r w:rsidR="00BC6AEB" w:rsidRPr="002E3810">
        <w:rPr>
          <w:rFonts w:cs="Tahoma"/>
          <w:szCs w:val="24"/>
        </w:rPr>
        <w:t>a</w:t>
      </w:r>
      <w:r w:rsidRPr="002E3810">
        <w:rPr>
          <w:rFonts w:cs="Tahoma"/>
          <w:szCs w:val="24"/>
        </w:rPr>
        <w:t xml:space="preserve"> actor</w:t>
      </w:r>
      <w:r w:rsidR="00BC6AEB" w:rsidRPr="002E3810">
        <w:rPr>
          <w:rFonts w:cs="Tahoma"/>
          <w:szCs w:val="24"/>
        </w:rPr>
        <w:t>a</w:t>
      </w:r>
      <w:r w:rsidRPr="002E3810">
        <w:rPr>
          <w:rFonts w:cs="Tahoma"/>
          <w:szCs w:val="24"/>
        </w:rPr>
        <w:t xml:space="preserve"> estuvo afiliad</w:t>
      </w:r>
      <w:r w:rsidR="00BC6AEB" w:rsidRPr="002E3810">
        <w:rPr>
          <w:rFonts w:cs="Tahoma"/>
          <w:szCs w:val="24"/>
        </w:rPr>
        <w:t>a</w:t>
      </w:r>
      <w:r w:rsidRPr="002E3810">
        <w:rPr>
          <w:rFonts w:cs="Tahoma"/>
          <w:szCs w:val="24"/>
        </w:rPr>
        <w:t xml:space="preserve"> a ese fondo, debidamente indexadas.</w:t>
      </w:r>
    </w:p>
    <w:p w14:paraId="0BED4ABE" w14:textId="77777777" w:rsidR="00BA4959" w:rsidRPr="002E3810" w:rsidRDefault="00BA4959" w:rsidP="002E3810">
      <w:pPr>
        <w:spacing w:line="276" w:lineRule="auto"/>
        <w:ind w:firstLine="708"/>
        <w:rPr>
          <w:rFonts w:cs="Tahoma"/>
          <w:szCs w:val="24"/>
        </w:rPr>
      </w:pPr>
    </w:p>
    <w:p w14:paraId="29590822" w14:textId="5C9817B3" w:rsidR="00BA4959" w:rsidRPr="002E3810" w:rsidRDefault="00BA4959" w:rsidP="002E3810">
      <w:pPr>
        <w:spacing w:line="276" w:lineRule="auto"/>
        <w:ind w:firstLine="708"/>
        <w:rPr>
          <w:rFonts w:cs="Tahoma"/>
          <w:szCs w:val="24"/>
        </w:rPr>
      </w:pPr>
      <w:r w:rsidRPr="002E3810">
        <w:rPr>
          <w:rFonts w:cs="Tahoma"/>
          <w:szCs w:val="24"/>
        </w:rPr>
        <w:t xml:space="preserve">De otro lado, ordenó a Colpensiones que acepte el retorno de </w:t>
      </w:r>
      <w:r w:rsidRPr="002E3810">
        <w:rPr>
          <w:rFonts w:cs="Tahoma"/>
          <w:szCs w:val="24"/>
          <w:lang w:val="es-ES"/>
        </w:rPr>
        <w:t>Mar</w:t>
      </w:r>
      <w:r w:rsidR="00BC6AEB" w:rsidRPr="002E3810">
        <w:rPr>
          <w:rFonts w:cs="Tahoma"/>
          <w:szCs w:val="24"/>
          <w:lang w:val="es-ES"/>
        </w:rPr>
        <w:t>ía Isabel Niño Leguizamo</w:t>
      </w:r>
      <w:r w:rsidRPr="002E3810">
        <w:rPr>
          <w:rFonts w:cs="Tahoma"/>
          <w:szCs w:val="24"/>
        </w:rPr>
        <w:t>, sin solución de continuidad, desde el momento en que se afilió al régimen que administra.</w:t>
      </w:r>
    </w:p>
    <w:p w14:paraId="51D2120E" w14:textId="77777777" w:rsidR="00BC6AEB" w:rsidRPr="002E3810" w:rsidRDefault="00BC6AEB" w:rsidP="002E3810">
      <w:pPr>
        <w:spacing w:line="276" w:lineRule="auto"/>
        <w:ind w:firstLine="708"/>
        <w:rPr>
          <w:rFonts w:cs="Tahoma"/>
          <w:szCs w:val="24"/>
        </w:rPr>
      </w:pPr>
    </w:p>
    <w:p w14:paraId="5799C12A" w14:textId="394D1488" w:rsidR="00BA4959" w:rsidRPr="002E3810" w:rsidRDefault="00BC6AEB" w:rsidP="002E3810">
      <w:pPr>
        <w:spacing w:line="276" w:lineRule="auto"/>
        <w:ind w:firstLine="708"/>
        <w:rPr>
          <w:rFonts w:cs="Tahoma"/>
          <w:szCs w:val="24"/>
        </w:rPr>
      </w:pPr>
      <w:r w:rsidRPr="002E3810">
        <w:rPr>
          <w:rFonts w:cs="Tahoma"/>
          <w:szCs w:val="24"/>
        </w:rPr>
        <w:t xml:space="preserve">Ordenó igualmente que  la  decisión  se  notifique  a  la Oficina de Bonos    Pensionales del Ministerio de Hacienda y Crédito Público,  con  el  objetivo  de  que  </w:t>
      </w:r>
      <w:r w:rsidRPr="002E3810">
        <w:rPr>
          <w:rFonts w:cs="Tahoma"/>
          <w:szCs w:val="24"/>
        </w:rPr>
        <w:lastRenderedPageBreak/>
        <w:t xml:space="preserve">en  un trámite interno y a través de canales institucionales ejecute todas las acciones a que haya lugar para dejar las cosas en el estado en que  se  encontraban  antes  del  traslado  al  Régimen  de  Ahorro Individual  de  la  señora MARIA  ISABEL  NIÑO  LEGUÍZAMO procediendo, de ser el caso, a anular o a dejar sin vigencia el bono pensional que  se  generó  a  favor  de  la  misma  y  que  tenía  como fecha de redención normal el 31 de diciembre de 2022. </w:t>
      </w:r>
    </w:p>
    <w:p w14:paraId="5D196ED6" w14:textId="77777777" w:rsidR="00BC6AEB" w:rsidRPr="002E3810" w:rsidRDefault="00BC6AEB" w:rsidP="002E3810">
      <w:pPr>
        <w:spacing w:line="276" w:lineRule="auto"/>
        <w:ind w:firstLine="708"/>
        <w:rPr>
          <w:rFonts w:cs="Tahoma"/>
          <w:szCs w:val="24"/>
        </w:rPr>
      </w:pPr>
    </w:p>
    <w:p w14:paraId="409446AB" w14:textId="33BDE1E2" w:rsidR="00BA4959" w:rsidRPr="002E3810" w:rsidRDefault="00BA4959" w:rsidP="002E3810">
      <w:pPr>
        <w:spacing w:line="276" w:lineRule="auto"/>
        <w:ind w:firstLine="708"/>
        <w:rPr>
          <w:rFonts w:cs="Tahoma"/>
          <w:szCs w:val="24"/>
        </w:rPr>
      </w:pPr>
      <w:r w:rsidRPr="002E3810">
        <w:rPr>
          <w:rFonts w:cs="Tahoma"/>
          <w:szCs w:val="24"/>
        </w:rPr>
        <w:t>Por último, condenó en costas a Porvenir S.A. en favor de la parte actora en un 100%.</w:t>
      </w:r>
    </w:p>
    <w:p w14:paraId="1367E2DE" w14:textId="77777777" w:rsidR="00BA4959" w:rsidRPr="002E3810" w:rsidRDefault="00BA4959" w:rsidP="002E3810">
      <w:pPr>
        <w:spacing w:line="276" w:lineRule="auto"/>
        <w:ind w:firstLine="708"/>
        <w:rPr>
          <w:rFonts w:cs="Tahoma"/>
          <w:b/>
          <w:bCs/>
          <w:szCs w:val="24"/>
        </w:rPr>
      </w:pPr>
    </w:p>
    <w:p w14:paraId="137722D6" w14:textId="6EB04165" w:rsidR="00BA4959" w:rsidRPr="002E3810" w:rsidRDefault="00BA4959" w:rsidP="002E3810">
      <w:pPr>
        <w:spacing w:line="276" w:lineRule="auto"/>
        <w:ind w:firstLine="708"/>
        <w:rPr>
          <w:rFonts w:cs="Tahoma"/>
          <w:szCs w:val="24"/>
          <w:lang w:val="es-ES"/>
        </w:rPr>
      </w:pPr>
      <w:r w:rsidRPr="002E3810">
        <w:rPr>
          <w:rFonts w:cs="Tahoma"/>
          <w:szCs w:val="24"/>
          <w:lang w:val="es-ES"/>
        </w:rPr>
        <w:t>Para llegar a tal determinación, la A-quo hizo un recuento legal y jurisprudencial respecto del deber de información a cargo de las AFP, la cual debía ser clara, cierta, comprensible y oportuna sobre las características, condiciones, beneficios, diferencias, riesgos y consecuencias del cambio de régimen pensional.  Refirió que, en estos casos opera una inversión de la carga de la prueba en favor del afiliado y, en todo caso, la suscripción del formulario no es suficiente para acreditar la existencia de una decisión libre y voluntaria, por cuanto no acredita que se hubiere entregado información a</w:t>
      </w:r>
      <w:r w:rsidR="00BC6AEB" w:rsidRPr="002E3810">
        <w:rPr>
          <w:rFonts w:cs="Tahoma"/>
          <w:szCs w:val="24"/>
          <w:lang w:val="es-ES"/>
        </w:rPr>
        <w:t xml:space="preserve"> </w:t>
      </w:r>
      <w:r w:rsidRPr="002E3810">
        <w:rPr>
          <w:rFonts w:cs="Tahoma"/>
          <w:szCs w:val="24"/>
          <w:lang w:val="es-ES"/>
        </w:rPr>
        <w:t>l</w:t>
      </w:r>
      <w:r w:rsidR="00BC6AEB" w:rsidRPr="002E3810">
        <w:rPr>
          <w:rFonts w:cs="Tahoma"/>
          <w:szCs w:val="24"/>
          <w:lang w:val="es-ES"/>
        </w:rPr>
        <w:t>a</w:t>
      </w:r>
      <w:r w:rsidRPr="002E3810">
        <w:rPr>
          <w:rFonts w:cs="Tahoma"/>
          <w:szCs w:val="24"/>
          <w:lang w:val="es-ES"/>
        </w:rPr>
        <w:t xml:space="preserve"> </w:t>
      </w:r>
      <w:r w:rsidR="00BC6AEB" w:rsidRPr="002E3810">
        <w:rPr>
          <w:rFonts w:cs="Tahoma"/>
          <w:szCs w:val="24"/>
          <w:lang w:val="es-ES"/>
        </w:rPr>
        <w:t>señora Niño</w:t>
      </w:r>
      <w:r w:rsidRPr="002E3810">
        <w:rPr>
          <w:rFonts w:cs="Tahoma"/>
          <w:szCs w:val="24"/>
          <w:lang w:val="es-ES"/>
        </w:rPr>
        <w:t xml:space="preserve"> y mucho menos los pormenores del acto de traslado.</w:t>
      </w:r>
    </w:p>
    <w:p w14:paraId="5C802A75" w14:textId="77777777" w:rsidR="00BA4959" w:rsidRPr="002E3810" w:rsidRDefault="00BA4959" w:rsidP="002E3810">
      <w:pPr>
        <w:spacing w:line="276" w:lineRule="auto"/>
        <w:ind w:firstLine="708"/>
        <w:rPr>
          <w:rFonts w:cs="Tahoma"/>
          <w:szCs w:val="24"/>
          <w:lang w:val="es-ES"/>
        </w:rPr>
      </w:pPr>
    </w:p>
    <w:p w14:paraId="3BE9A59E" w14:textId="5F68CA5D" w:rsidR="00BA4959" w:rsidRPr="002E3810" w:rsidRDefault="00BA4959" w:rsidP="002E3810">
      <w:pPr>
        <w:spacing w:line="276" w:lineRule="auto"/>
        <w:ind w:firstLine="708"/>
        <w:rPr>
          <w:rFonts w:cs="Tahoma"/>
          <w:szCs w:val="24"/>
          <w:lang w:val="es-ES"/>
        </w:rPr>
      </w:pPr>
      <w:r w:rsidRPr="002E3810">
        <w:rPr>
          <w:rFonts w:cs="Tahoma"/>
          <w:szCs w:val="24"/>
          <w:lang w:val="es-ES"/>
        </w:rPr>
        <w:t>En cuanto al interrogatorio escuchado, concluyó que en él no se advirtió confesión alguna que denotara que Porvenir S.A. suministró la información oportuna y clara a que estaba obligada, además, que l</w:t>
      </w:r>
      <w:r w:rsidR="00BC6AEB" w:rsidRPr="002E3810">
        <w:rPr>
          <w:rFonts w:cs="Tahoma"/>
          <w:szCs w:val="24"/>
          <w:lang w:val="es-ES"/>
        </w:rPr>
        <w:t>a</w:t>
      </w:r>
      <w:r w:rsidRPr="002E3810">
        <w:rPr>
          <w:rFonts w:cs="Tahoma"/>
          <w:szCs w:val="24"/>
          <w:lang w:val="es-ES"/>
        </w:rPr>
        <w:t xml:space="preserve"> demandante no mencionó haber recibido información por lo menos somera o superficial sobre las características de RAIS y no existe evidencia de que se le hubiera explicado sobre las características, condiciones de acceso, efectos y riesgos de ambos regímenes pensionales. En otras palabras, no se acreditó que en el traslado de régimen se le hubiere otorgado al afiliado información clara, cierta, comprensible y oportuna.</w:t>
      </w:r>
    </w:p>
    <w:p w14:paraId="0D837372" w14:textId="77777777" w:rsidR="00BA4959" w:rsidRPr="002E3810" w:rsidRDefault="00BA4959" w:rsidP="002E3810">
      <w:pPr>
        <w:spacing w:line="276" w:lineRule="auto"/>
        <w:ind w:firstLine="708"/>
        <w:rPr>
          <w:rFonts w:cs="Tahoma"/>
          <w:szCs w:val="24"/>
          <w:lang w:val="es-ES"/>
        </w:rPr>
      </w:pPr>
    </w:p>
    <w:p w14:paraId="06F0961D" w14:textId="2D9CF44B" w:rsidR="00BA4959" w:rsidRPr="002E3810" w:rsidRDefault="00BA4959" w:rsidP="002E3810">
      <w:pPr>
        <w:spacing w:line="276" w:lineRule="auto"/>
        <w:ind w:firstLine="708"/>
        <w:rPr>
          <w:rFonts w:cs="Tahoma"/>
          <w:szCs w:val="24"/>
          <w:lang w:val="es-MX"/>
        </w:rPr>
      </w:pPr>
      <w:r w:rsidRPr="002E3810">
        <w:rPr>
          <w:rFonts w:cs="Tahoma"/>
          <w:szCs w:val="24"/>
        </w:rPr>
        <w:t xml:space="preserve">Concluyó la Jueza de instancia que, por lo antedicho, procedía </w:t>
      </w:r>
      <w:r w:rsidRPr="002E3810">
        <w:rPr>
          <w:rFonts w:cs="Tahoma"/>
          <w:szCs w:val="24"/>
          <w:lang w:val="es-MX"/>
        </w:rPr>
        <w:t>la declaración de ineficacia de la afiliación de la actora al régimen RAIS, suscrita el</w:t>
      </w:r>
      <w:r w:rsidRPr="002E3810">
        <w:rPr>
          <w:rFonts w:cs="Tahoma"/>
          <w:szCs w:val="24"/>
          <w:lang w:val="es-ES"/>
        </w:rPr>
        <w:t xml:space="preserve"> </w:t>
      </w:r>
      <w:r w:rsidR="00BC6AEB" w:rsidRPr="002E3810">
        <w:rPr>
          <w:rFonts w:cs="Tahoma"/>
          <w:szCs w:val="24"/>
          <w:lang w:val="es-ES"/>
        </w:rPr>
        <w:t>22</w:t>
      </w:r>
      <w:r w:rsidRPr="002E3810">
        <w:rPr>
          <w:rFonts w:cs="Tahoma"/>
          <w:szCs w:val="24"/>
          <w:lang w:val="es-ES"/>
        </w:rPr>
        <w:t xml:space="preserve"> de diciembre de </w:t>
      </w:r>
      <w:r w:rsidR="00BC6AEB" w:rsidRPr="002E3810">
        <w:rPr>
          <w:rFonts w:cs="Tahoma"/>
          <w:szCs w:val="24"/>
          <w:lang w:val="es-ES"/>
        </w:rPr>
        <w:t>2000</w:t>
      </w:r>
      <w:r w:rsidRPr="002E3810">
        <w:rPr>
          <w:rFonts w:cs="Tahoma"/>
          <w:szCs w:val="24"/>
          <w:lang w:val="es-ES"/>
        </w:rPr>
        <w:t xml:space="preserve"> y que fue efectiva a partir del 1º de febrero de </w:t>
      </w:r>
      <w:r w:rsidR="00BC6AEB" w:rsidRPr="002E3810">
        <w:rPr>
          <w:rFonts w:cs="Tahoma"/>
          <w:szCs w:val="24"/>
          <w:lang w:val="es-ES"/>
        </w:rPr>
        <w:t>2001</w:t>
      </w:r>
      <w:r w:rsidRPr="002E3810">
        <w:rPr>
          <w:rFonts w:cs="Tahoma"/>
          <w:szCs w:val="24"/>
          <w:lang w:val="es-ES"/>
        </w:rPr>
        <w:t xml:space="preserve">; </w:t>
      </w:r>
      <w:r w:rsidRPr="002E3810">
        <w:rPr>
          <w:rFonts w:cs="Tahoma"/>
          <w:szCs w:val="24"/>
          <w:lang w:val="es-MX"/>
        </w:rPr>
        <w:t>no habiendo operado el fenómeno de la prescripción al tratarse de una pretensión meramente declarativa por cuanto los derechos que nacen de ella tienen igual connotación, al tomar parte del derecho irrenunciable a la seguridad social.</w:t>
      </w:r>
    </w:p>
    <w:p w14:paraId="72E12FD0" w14:textId="77777777" w:rsidR="00BA4959" w:rsidRPr="002E3810" w:rsidRDefault="00BA4959" w:rsidP="002E3810">
      <w:pPr>
        <w:spacing w:line="276" w:lineRule="auto"/>
        <w:ind w:firstLine="708"/>
        <w:rPr>
          <w:rFonts w:cs="Tahoma"/>
          <w:szCs w:val="24"/>
          <w:lang w:val="es-MX"/>
        </w:rPr>
      </w:pPr>
    </w:p>
    <w:p w14:paraId="43F42BE2" w14:textId="77777777" w:rsidR="00BA4959" w:rsidRPr="002E3810" w:rsidRDefault="00BA4959" w:rsidP="002E3810">
      <w:pPr>
        <w:numPr>
          <w:ilvl w:val="0"/>
          <w:numId w:val="1"/>
        </w:numPr>
        <w:spacing w:line="276" w:lineRule="auto"/>
        <w:jc w:val="center"/>
        <w:rPr>
          <w:rFonts w:cs="Tahoma"/>
          <w:b/>
          <w:bCs/>
          <w:szCs w:val="24"/>
        </w:rPr>
      </w:pPr>
      <w:r w:rsidRPr="002E3810">
        <w:rPr>
          <w:rFonts w:cs="Tahoma"/>
          <w:b/>
          <w:bCs/>
          <w:szCs w:val="24"/>
        </w:rPr>
        <w:t>Recursos de apelación y procedencia de la consulta</w:t>
      </w:r>
    </w:p>
    <w:p w14:paraId="0944578B" w14:textId="77777777" w:rsidR="00BA4959" w:rsidRPr="002E3810" w:rsidRDefault="00BA4959" w:rsidP="002E3810">
      <w:pPr>
        <w:spacing w:line="276" w:lineRule="auto"/>
        <w:ind w:firstLine="708"/>
        <w:rPr>
          <w:rFonts w:cs="Tahoma"/>
          <w:b/>
          <w:bCs/>
          <w:szCs w:val="24"/>
        </w:rPr>
      </w:pPr>
    </w:p>
    <w:p w14:paraId="1DDF2C31" w14:textId="77777777" w:rsidR="00BA4959" w:rsidRPr="002E3810" w:rsidRDefault="00BA4959" w:rsidP="002E3810">
      <w:pPr>
        <w:spacing w:line="276" w:lineRule="auto"/>
        <w:ind w:firstLine="708"/>
        <w:rPr>
          <w:rFonts w:cs="Tahoma"/>
          <w:bCs/>
          <w:szCs w:val="24"/>
          <w:lang w:val="es-MX"/>
        </w:rPr>
      </w:pPr>
      <w:r w:rsidRPr="002E3810">
        <w:rPr>
          <w:rFonts w:cs="Tahoma"/>
          <w:b/>
          <w:bCs/>
          <w:szCs w:val="24"/>
        </w:rPr>
        <w:t>Porvenir S.A.</w:t>
      </w:r>
      <w:r w:rsidRPr="002E3810">
        <w:rPr>
          <w:rFonts w:cs="Tahoma"/>
          <w:bCs/>
          <w:szCs w:val="24"/>
        </w:rPr>
        <w:t xml:space="preserve"> atacó la sentencia arguyendo que para la época en que se surtió el traslado solo existía el deber de información básico, el cual fue brindado a la demandante en la asesoría, tal como quedó plasmado en el formulario suscrito por ella, donde expresó su voluntad de permanecer afiliada a esa AFP</w:t>
      </w:r>
      <w:r w:rsidRPr="002E3810">
        <w:rPr>
          <w:rFonts w:cs="Tahoma"/>
          <w:bCs/>
          <w:szCs w:val="24"/>
          <w:lang w:val="es-MX"/>
        </w:rPr>
        <w:t>.</w:t>
      </w:r>
    </w:p>
    <w:p w14:paraId="15AF0C3A" w14:textId="77777777" w:rsidR="00BA4959" w:rsidRPr="002E3810" w:rsidRDefault="00BA4959" w:rsidP="002E3810">
      <w:pPr>
        <w:spacing w:line="276" w:lineRule="auto"/>
        <w:ind w:firstLine="708"/>
        <w:rPr>
          <w:rFonts w:cs="Tahoma"/>
          <w:bCs/>
          <w:szCs w:val="24"/>
          <w:lang w:val="es-MX"/>
        </w:rPr>
      </w:pPr>
    </w:p>
    <w:p w14:paraId="32BB779A" w14:textId="77777777" w:rsidR="003F0D01" w:rsidRPr="002E3810" w:rsidRDefault="00BA4959" w:rsidP="002E3810">
      <w:pPr>
        <w:spacing w:line="276" w:lineRule="auto"/>
        <w:ind w:firstLine="708"/>
        <w:rPr>
          <w:rFonts w:cs="Tahoma"/>
          <w:bCs/>
          <w:szCs w:val="24"/>
          <w:lang w:val="es-MX"/>
        </w:rPr>
      </w:pPr>
      <w:r w:rsidRPr="002E3810">
        <w:rPr>
          <w:rFonts w:cs="Tahoma"/>
          <w:bCs/>
          <w:szCs w:val="24"/>
          <w:lang w:val="es-MX"/>
        </w:rPr>
        <w:t xml:space="preserve">Añade que no se puede desconocer que la demandante se trasladó de manera libre y voluntaria a Porvenir S.A., donde estuvo afiliada sin hacer uso del retracto para deshacer la afiliación; siendo </w:t>
      </w:r>
      <w:r w:rsidR="003F0D01" w:rsidRPr="002E3810">
        <w:rPr>
          <w:rFonts w:cs="Tahoma"/>
          <w:bCs/>
          <w:szCs w:val="24"/>
          <w:lang w:val="es-MX"/>
        </w:rPr>
        <w:t xml:space="preserve">evidente </w:t>
      </w:r>
      <w:r w:rsidR="003F0D01" w:rsidRPr="002E3810">
        <w:rPr>
          <w:rFonts w:cs="Tahoma"/>
          <w:szCs w:val="24"/>
          <w:lang w:val="es-419"/>
        </w:rPr>
        <w:t>que los perjuicios que aduce haber sufrido tenían que ser reclamados a través de la acción resarcitoria de perjuicios y no a través de una acción de ineficacia ni de nulidad</w:t>
      </w:r>
    </w:p>
    <w:p w14:paraId="5CE8299B" w14:textId="77777777" w:rsidR="003F0D01" w:rsidRPr="002E3810" w:rsidRDefault="003F0D01" w:rsidP="002E3810">
      <w:pPr>
        <w:spacing w:line="276" w:lineRule="auto"/>
        <w:ind w:firstLine="708"/>
        <w:rPr>
          <w:rFonts w:cs="Tahoma"/>
          <w:bCs/>
          <w:szCs w:val="24"/>
          <w:lang w:val="es-MX"/>
        </w:rPr>
      </w:pPr>
    </w:p>
    <w:p w14:paraId="51911745" w14:textId="77777777" w:rsidR="003F0D01" w:rsidRPr="002E3810" w:rsidRDefault="003F0D01" w:rsidP="002E3810">
      <w:pPr>
        <w:spacing w:line="276" w:lineRule="auto"/>
        <w:ind w:firstLine="708"/>
        <w:rPr>
          <w:rFonts w:eastAsia="Calibri" w:cs="Tahoma"/>
          <w:szCs w:val="24"/>
          <w:lang w:val="es-ES"/>
        </w:rPr>
      </w:pPr>
      <w:r w:rsidRPr="002E3810">
        <w:rPr>
          <w:rFonts w:eastAsia="Calibri" w:cs="Tahoma"/>
          <w:szCs w:val="24"/>
          <w:lang w:val="es-ES"/>
        </w:rPr>
        <w:t xml:space="preserve">Respecto a las cuotas de administración, indicó que estos son autorizados por la ley como una contraprestación de la gestión desplegada por las </w:t>
      </w:r>
      <w:proofErr w:type="spellStart"/>
      <w:r w:rsidRPr="002E3810">
        <w:rPr>
          <w:rFonts w:eastAsia="Calibri" w:cs="Tahoma"/>
          <w:szCs w:val="24"/>
          <w:lang w:val="es-ES"/>
        </w:rPr>
        <w:t>AFPs</w:t>
      </w:r>
      <w:proofErr w:type="spellEnd"/>
      <w:r w:rsidRPr="002E3810">
        <w:rPr>
          <w:rFonts w:eastAsia="Calibri" w:cs="Tahoma"/>
          <w:szCs w:val="24"/>
          <w:lang w:val="es-ES"/>
        </w:rPr>
        <w:t xml:space="preserve"> del RAIS, y el hecho de tenerlos que girar con destino a Colpensiones no solo representa un detrimento patrimonial de Porvenir S.A, sino un enriquecimiento sin justa causa en favor del demandante. Así mismo, refiere que los seguros previsionales son sumas que son giradas a las aseguradoras previsionales del RAIS, cuya finalidad radica básicamente en cubrir eventuales contingencias que puedan suscitarse entorno a los siniestros de invalidez y sobrevivencia.</w:t>
      </w:r>
    </w:p>
    <w:p w14:paraId="1A5D4894" w14:textId="455A42A4" w:rsidR="00BA4959" w:rsidRPr="002E3810" w:rsidRDefault="00BA4959" w:rsidP="002E3810">
      <w:pPr>
        <w:spacing w:line="276" w:lineRule="auto"/>
        <w:ind w:firstLine="708"/>
        <w:rPr>
          <w:rFonts w:cs="Tahoma"/>
          <w:szCs w:val="24"/>
          <w:lang w:val="es-MX"/>
        </w:rPr>
      </w:pPr>
    </w:p>
    <w:p w14:paraId="07B61B87" w14:textId="77777777" w:rsidR="00BA4959" w:rsidRPr="002E3810" w:rsidRDefault="00BA4959" w:rsidP="002E3810">
      <w:pPr>
        <w:spacing w:line="276" w:lineRule="auto"/>
        <w:ind w:firstLine="708"/>
        <w:rPr>
          <w:rFonts w:cs="Tahoma"/>
          <w:szCs w:val="24"/>
          <w:lang w:val="es-ES"/>
        </w:rPr>
      </w:pPr>
      <w:r w:rsidRPr="002E3810">
        <w:rPr>
          <w:rFonts w:cs="Tahoma"/>
          <w:szCs w:val="24"/>
          <w:lang w:val="es-ES"/>
        </w:rPr>
        <w:t>Por otro lado, señaló que no era posible que la demandante retornara al RPM por prohibición especial del literal E del artículo 2 de la ley 797 del 2003, el cual dispone que no es posible que aquellos afiliados que estén a 10 o menos años de cumplir la edad para pensionarse puedan retornar al régimen.</w:t>
      </w:r>
    </w:p>
    <w:p w14:paraId="704AC1A3" w14:textId="77777777" w:rsidR="00BA4959" w:rsidRPr="002E3810" w:rsidRDefault="00BA4959" w:rsidP="002E3810">
      <w:pPr>
        <w:spacing w:line="276" w:lineRule="auto"/>
        <w:ind w:firstLine="708"/>
        <w:rPr>
          <w:rFonts w:cs="Tahoma"/>
          <w:bCs/>
          <w:szCs w:val="24"/>
          <w:lang w:val="es-MX"/>
        </w:rPr>
      </w:pPr>
    </w:p>
    <w:p w14:paraId="7EF381DF" w14:textId="77777777" w:rsidR="00BA4959" w:rsidRPr="002E3810" w:rsidRDefault="00BA4959" w:rsidP="002E3810">
      <w:pPr>
        <w:spacing w:line="276" w:lineRule="auto"/>
        <w:ind w:firstLine="708"/>
        <w:rPr>
          <w:rFonts w:cs="Tahoma"/>
          <w:bCs/>
          <w:szCs w:val="24"/>
          <w:lang w:val="es-MX"/>
        </w:rPr>
      </w:pPr>
      <w:r w:rsidRPr="002E3810">
        <w:rPr>
          <w:rFonts w:cs="Tahoma"/>
          <w:bCs/>
          <w:szCs w:val="24"/>
        </w:rPr>
        <w:t>Por último, aduce</w:t>
      </w:r>
      <w:r w:rsidRPr="002E3810">
        <w:rPr>
          <w:rFonts w:cs="Tahoma"/>
          <w:bCs/>
          <w:szCs w:val="24"/>
          <w:lang w:val="es-MX"/>
        </w:rPr>
        <w:t xml:space="preserve"> </w:t>
      </w:r>
      <w:r w:rsidRPr="002E3810">
        <w:rPr>
          <w:rFonts w:cs="Tahoma"/>
          <w:bCs/>
          <w:szCs w:val="24"/>
          <w:lang w:val="es-ES"/>
        </w:rPr>
        <w:t>que no debió condenarse en costas a Porvenir teniendo en cuenta que cumplió con la normatividad vigente para la época del traslado de régimen, en la cual no se exigía más información que la contenida en la ley; de manera que la decisión atacada se basa solamente en un cambio jurisprudencial.</w:t>
      </w:r>
    </w:p>
    <w:p w14:paraId="5ECA4B5C" w14:textId="77777777" w:rsidR="00BA4959" w:rsidRPr="002E3810" w:rsidRDefault="00BA4959" w:rsidP="002E3810">
      <w:pPr>
        <w:spacing w:line="276" w:lineRule="auto"/>
        <w:ind w:firstLine="708"/>
        <w:rPr>
          <w:rFonts w:cs="Tahoma"/>
          <w:bCs/>
          <w:szCs w:val="24"/>
        </w:rPr>
      </w:pPr>
    </w:p>
    <w:p w14:paraId="11B9F24C" w14:textId="77777777" w:rsidR="00BA4959" w:rsidRPr="002E3810" w:rsidRDefault="00BA4959" w:rsidP="002E3810">
      <w:pPr>
        <w:spacing w:line="276" w:lineRule="auto"/>
        <w:ind w:firstLine="708"/>
        <w:rPr>
          <w:rFonts w:cs="Tahoma"/>
          <w:bCs/>
          <w:szCs w:val="24"/>
        </w:rPr>
      </w:pPr>
      <w:r w:rsidRPr="002E3810">
        <w:rPr>
          <w:rFonts w:cs="Tahoma"/>
          <w:b/>
          <w:bCs/>
          <w:szCs w:val="24"/>
        </w:rPr>
        <w:t>Colpensiones</w:t>
      </w:r>
      <w:r w:rsidRPr="002E3810">
        <w:rPr>
          <w:rFonts w:cs="Tahoma"/>
          <w:bCs/>
          <w:szCs w:val="24"/>
        </w:rPr>
        <w:t>, por su parte, cimentó su inconformidad en que la afiliación ante Porvenir cumplió con la totalidad de los requisitos normativos de la época, porque la demandante había firmado el formulario de afiliación voluntariamente luego de recibir una información clara completa y oportuna. De otro lado, considera que el interés actual de la actora es netamente económico por considerar que en el fondo público obtendrá una mesada pensional mayor a la que le ofrece el fondo privado, por lo que, de conformidad con el artículo 10° del Decreto 720 de 1994, debió haberse impetrado una acción de resarcimiento del eventual daño o perjuicio.</w:t>
      </w:r>
    </w:p>
    <w:p w14:paraId="25911A56" w14:textId="77777777" w:rsidR="00BA4959" w:rsidRPr="002E3810" w:rsidRDefault="00BA4959" w:rsidP="002E3810">
      <w:pPr>
        <w:spacing w:line="276" w:lineRule="auto"/>
        <w:ind w:firstLine="708"/>
        <w:rPr>
          <w:rFonts w:cs="Tahoma"/>
          <w:bCs/>
          <w:szCs w:val="24"/>
          <w:lang w:val="es-MX"/>
        </w:rPr>
      </w:pPr>
    </w:p>
    <w:p w14:paraId="4AAC2F15" w14:textId="77777777" w:rsidR="00BA4959" w:rsidRPr="002E3810" w:rsidRDefault="00BA4959" w:rsidP="002E3810">
      <w:pPr>
        <w:spacing w:line="276" w:lineRule="auto"/>
        <w:ind w:firstLine="708"/>
        <w:rPr>
          <w:rFonts w:cs="Tahoma"/>
          <w:szCs w:val="24"/>
        </w:rPr>
      </w:pPr>
      <w:r w:rsidRPr="002E3810">
        <w:rPr>
          <w:rFonts w:cs="Tahoma"/>
          <w:bCs/>
          <w:szCs w:val="24"/>
          <w:lang w:val="es-MX"/>
        </w:rPr>
        <w:t xml:space="preserve">Añadió, </w:t>
      </w:r>
      <w:r w:rsidRPr="002E3810">
        <w:rPr>
          <w:rFonts w:cs="Tahoma"/>
          <w:szCs w:val="24"/>
        </w:rPr>
        <w:t>en igual sentido, que para la época en que el demandante solicitó el retorno al régimen de prima media ya estaba inmerso en la prohibición establecida en el artículo 2 de la ley 797 de 2003.</w:t>
      </w:r>
    </w:p>
    <w:p w14:paraId="4A970A4D" w14:textId="77777777" w:rsidR="00BA4959" w:rsidRPr="002E3810" w:rsidRDefault="00BA4959" w:rsidP="002E3810">
      <w:pPr>
        <w:spacing w:line="276" w:lineRule="auto"/>
        <w:ind w:firstLine="708"/>
        <w:rPr>
          <w:rFonts w:cs="Tahoma"/>
          <w:bCs/>
          <w:szCs w:val="24"/>
        </w:rPr>
      </w:pPr>
    </w:p>
    <w:p w14:paraId="1F73055D" w14:textId="77777777" w:rsidR="00BA4959" w:rsidRPr="002E3810" w:rsidRDefault="00BA4959" w:rsidP="002E3810">
      <w:pPr>
        <w:spacing w:line="276" w:lineRule="auto"/>
        <w:ind w:firstLine="708"/>
        <w:rPr>
          <w:rFonts w:cs="Tahoma"/>
          <w:szCs w:val="24"/>
        </w:rPr>
      </w:pPr>
      <w:r w:rsidRPr="002E3810">
        <w:rPr>
          <w:rFonts w:cs="Tahoma"/>
          <w:szCs w:val="24"/>
        </w:rPr>
        <w:t xml:space="preserve">Finalmente, como quiera que la decisión de primer grado fue desfavorable a los intereses de Colpensiones, en esta instancia se admitió el grado jurisdiccional de consulta a favor de dicha entidad. </w:t>
      </w:r>
    </w:p>
    <w:p w14:paraId="1A046597" w14:textId="77777777" w:rsidR="002D0043" w:rsidRPr="002E3810" w:rsidRDefault="002D0043" w:rsidP="002E3810">
      <w:pPr>
        <w:spacing w:line="276" w:lineRule="auto"/>
        <w:ind w:firstLine="708"/>
        <w:rPr>
          <w:rFonts w:cs="Tahoma"/>
          <w:szCs w:val="24"/>
        </w:rPr>
      </w:pPr>
    </w:p>
    <w:p w14:paraId="469CF772" w14:textId="77777777" w:rsidR="00BA4959" w:rsidRPr="002E3810" w:rsidRDefault="00BA4959" w:rsidP="002E3810">
      <w:pPr>
        <w:numPr>
          <w:ilvl w:val="0"/>
          <w:numId w:val="1"/>
        </w:numPr>
        <w:spacing w:line="276" w:lineRule="auto"/>
        <w:jc w:val="center"/>
        <w:rPr>
          <w:rFonts w:cs="Tahoma"/>
          <w:b/>
          <w:bCs/>
          <w:szCs w:val="24"/>
        </w:rPr>
      </w:pPr>
      <w:r w:rsidRPr="002E3810">
        <w:rPr>
          <w:rFonts w:cs="Tahoma"/>
          <w:b/>
          <w:bCs/>
          <w:szCs w:val="24"/>
        </w:rPr>
        <w:t>Alegatos de conclusión/ Concepto del Ministerio Público</w:t>
      </w:r>
    </w:p>
    <w:p w14:paraId="0ECDB14D" w14:textId="77777777" w:rsidR="00BA4959" w:rsidRPr="002E3810" w:rsidRDefault="00BA4959" w:rsidP="002E3810">
      <w:pPr>
        <w:spacing w:line="276" w:lineRule="auto"/>
        <w:ind w:firstLine="708"/>
        <w:rPr>
          <w:rFonts w:cs="Tahoma"/>
          <w:szCs w:val="24"/>
        </w:rPr>
      </w:pPr>
    </w:p>
    <w:p w14:paraId="04178522" w14:textId="4D53EFA5" w:rsidR="00BA4959" w:rsidRPr="002E3810" w:rsidRDefault="00BA4959" w:rsidP="002E3810">
      <w:pPr>
        <w:spacing w:line="276" w:lineRule="auto"/>
        <w:ind w:firstLine="708"/>
        <w:rPr>
          <w:rFonts w:cs="Tahoma"/>
          <w:szCs w:val="24"/>
        </w:rPr>
      </w:pPr>
      <w:r w:rsidRPr="002E3810">
        <w:rPr>
          <w:rFonts w:cs="Tahoma"/>
          <w:szCs w:val="24"/>
        </w:rPr>
        <w:t>Analizados los alegatos presentados por las partes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más adelante.</w:t>
      </w:r>
      <w:r w:rsidR="00BC6AEB" w:rsidRPr="002E3810">
        <w:rPr>
          <w:rFonts w:cs="Tahoma"/>
          <w:szCs w:val="24"/>
        </w:rPr>
        <w:t xml:space="preserve"> El Ministerio Público no rindió concepto en el término concedido para tal efecto.</w:t>
      </w:r>
    </w:p>
    <w:p w14:paraId="40AFAE68" w14:textId="77777777" w:rsidR="002D0043" w:rsidRPr="002E3810" w:rsidRDefault="002D0043" w:rsidP="002E3810">
      <w:pPr>
        <w:spacing w:line="276" w:lineRule="auto"/>
        <w:ind w:firstLine="708"/>
        <w:rPr>
          <w:rFonts w:cs="Tahoma"/>
          <w:szCs w:val="24"/>
        </w:rPr>
      </w:pPr>
    </w:p>
    <w:p w14:paraId="29A1071D" w14:textId="77777777" w:rsidR="00BA4959" w:rsidRPr="002E3810" w:rsidRDefault="00BA4959" w:rsidP="002E3810">
      <w:pPr>
        <w:numPr>
          <w:ilvl w:val="0"/>
          <w:numId w:val="1"/>
        </w:numPr>
        <w:spacing w:line="276" w:lineRule="auto"/>
        <w:jc w:val="center"/>
        <w:rPr>
          <w:rFonts w:cs="Tahoma"/>
          <w:b/>
          <w:bCs/>
          <w:szCs w:val="24"/>
        </w:rPr>
      </w:pPr>
      <w:r w:rsidRPr="002E3810">
        <w:rPr>
          <w:rFonts w:cs="Tahoma"/>
          <w:b/>
          <w:bCs/>
          <w:szCs w:val="24"/>
        </w:rPr>
        <w:t>Problemas jurídicos por resolver</w:t>
      </w:r>
    </w:p>
    <w:p w14:paraId="219AB283" w14:textId="77777777" w:rsidR="00BA4959" w:rsidRPr="002E3810" w:rsidRDefault="00BA4959" w:rsidP="002E3810">
      <w:pPr>
        <w:spacing w:line="276" w:lineRule="auto"/>
        <w:ind w:firstLine="708"/>
        <w:rPr>
          <w:rFonts w:cs="Tahoma"/>
          <w:szCs w:val="24"/>
        </w:rPr>
      </w:pPr>
      <w:r w:rsidRPr="002E3810">
        <w:rPr>
          <w:rFonts w:cs="Tahoma"/>
          <w:szCs w:val="24"/>
        </w:rPr>
        <w:lastRenderedPageBreak/>
        <w:t> </w:t>
      </w:r>
    </w:p>
    <w:p w14:paraId="46BF104D" w14:textId="77777777" w:rsidR="00BA4959" w:rsidRPr="002E3810" w:rsidRDefault="00BA4959" w:rsidP="002E3810">
      <w:pPr>
        <w:spacing w:line="276" w:lineRule="auto"/>
        <w:ind w:firstLine="708"/>
        <w:rPr>
          <w:rFonts w:cs="Tahoma"/>
          <w:szCs w:val="24"/>
        </w:rPr>
      </w:pPr>
      <w:r w:rsidRPr="002E3810">
        <w:rPr>
          <w:rFonts w:cs="Tahoma"/>
          <w:szCs w:val="24"/>
        </w:rPr>
        <w:t xml:space="preserve">De acuerdo a los argumentos expuestos en la sentencia de primera instancia, los fundamentos de la apelación y los alegatos de conclusión, le corresponde a la Sala resolver los siguientes problemas jurídicos: </w:t>
      </w:r>
    </w:p>
    <w:p w14:paraId="2AE1231B" w14:textId="77777777" w:rsidR="00BA4959" w:rsidRPr="002E3810" w:rsidRDefault="00BA4959" w:rsidP="002E3810">
      <w:pPr>
        <w:spacing w:line="276" w:lineRule="auto"/>
        <w:ind w:firstLine="708"/>
        <w:rPr>
          <w:rFonts w:cs="Tahoma"/>
          <w:szCs w:val="24"/>
        </w:rPr>
      </w:pPr>
    </w:p>
    <w:p w14:paraId="1A0C8114" w14:textId="77777777" w:rsidR="00BA4959" w:rsidRPr="002E3810" w:rsidRDefault="00BA4959" w:rsidP="002E3810">
      <w:pPr>
        <w:numPr>
          <w:ilvl w:val="0"/>
          <w:numId w:val="10"/>
        </w:numPr>
        <w:spacing w:line="276" w:lineRule="auto"/>
        <w:rPr>
          <w:rFonts w:cs="Tahoma"/>
          <w:szCs w:val="24"/>
        </w:rPr>
      </w:pPr>
      <w:r w:rsidRPr="002E3810">
        <w:rPr>
          <w:rFonts w:cs="Tahoma"/>
          <w:szCs w:val="24"/>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CC08D91" w14:textId="77777777" w:rsidR="00BA4959" w:rsidRPr="002E3810" w:rsidRDefault="00BA4959" w:rsidP="002E3810">
      <w:pPr>
        <w:spacing w:line="276" w:lineRule="auto"/>
        <w:ind w:firstLine="708"/>
        <w:rPr>
          <w:rFonts w:cs="Tahoma"/>
          <w:szCs w:val="24"/>
        </w:rPr>
      </w:pPr>
    </w:p>
    <w:p w14:paraId="3203E172" w14:textId="77777777" w:rsidR="00BA4959" w:rsidRPr="002E3810" w:rsidRDefault="00BA4959" w:rsidP="002E3810">
      <w:pPr>
        <w:numPr>
          <w:ilvl w:val="0"/>
          <w:numId w:val="10"/>
        </w:numPr>
        <w:spacing w:line="276" w:lineRule="auto"/>
        <w:rPr>
          <w:rFonts w:cs="Tahoma"/>
          <w:szCs w:val="24"/>
        </w:rPr>
      </w:pPr>
      <w:r w:rsidRPr="002E3810">
        <w:rPr>
          <w:rFonts w:cs="Tahoma"/>
          <w:szCs w:val="24"/>
        </w:rPr>
        <w:t xml:space="preserve">Definir si para dar por cumplido el deber de información de las AFP es suficiente el diligenciamiento del formulario de afiliación. </w:t>
      </w:r>
    </w:p>
    <w:p w14:paraId="59ECB04C" w14:textId="77777777" w:rsidR="00BA4959" w:rsidRPr="002E3810" w:rsidRDefault="00BA4959" w:rsidP="002E3810">
      <w:pPr>
        <w:spacing w:line="276" w:lineRule="auto"/>
        <w:ind w:firstLine="708"/>
        <w:rPr>
          <w:rFonts w:cs="Tahoma"/>
          <w:szCs w:val="24"/>
        </w:rPr>
      </w:pPr>
    </w:p>
    <w:p w14:paraId="6834444D" w14:textId="77777777" w:rsidR="00BA4959" w:rsidRPr="002E3810" w:rsidRDefault="00BA4959" w:rsidP="002E3810">
      <w:pPr>
        <w:numPr>
          <w:ilvl w:val="0"/>
          <w:numId w:val="10"/>
        </w:numPr>
        <w:spacing w:line="276" w:lineRule="auto"/>
        <w:rPr>
          <w:rFonts w:cs="Tahoma"/>
          <w:szCs w:val="24"/>
        </w:rPr>
      </w:pPr>
      <w:r w:rsidRPr="002E3810">
        <w:rPr>
          <w:rFonts w:cs="Tahoma"/>
          <w:szCs w:val="24"/>
        </w:rPr>
        <w:t xml:space="preserve"> Determinar la carga probatoria que les corresponde a cada una de las partes cuando está en discusión la eficacia del traslado entre regímenes pensionales.</w:t>
      </w:r>
    </w:p>
    <w:p w14:paraId="382D1F01" w14:textId="77777777" w:rsidR="00BA4959" w:rsidRPr="002E3810" w:rsidRDefault="00BA4959" w:rsidP="002E3810">
      <w:pPr>
        <w:spacing w:line="276" w:lineRule="auto"/>
        <w:ind w:firstLine="708"/>
        <w:rPr>
          <w:rFonts w:cs="Tahoma"/>
          <w:szCs w:val="24"/>
        </w:rPr>
      </w:pPr>
    </w:p>
    <w:p w14:paraId="360B4BD2" w14:textId="77777777" w:rsidR="00BA4959" w:rsidRPr="002E3810" w:rsidRDefault="00BA4959" w:rsidP="002E3810">
      <w:pPr>
        <w:numPr>
          <w:ilvl w:val="0"/>
          <w:numId w:val="10"/>
        </w:numPr>
        <w:spacing w:line="276" w:lineRule="auto"/>
        <w:rPr>
          <w:rFonts w:cs="Tahoma"/>
          <w:szCs w:val="24"/>
        </w:rPr>
      </w:pPr>
      <w:r w:rsidRPr="002E3810">
        <w:rPr>
          <w:rFonts w:cs="Tahoma"/>
          <w:szCs w:val="24"/>
        </w:rPr>
        <w:t>Analizar si quedó probado en el proceso que la parte demandante recibió de parte de la AFP demandada la asesoría e información suficiente y necesaria para hacer el cambio de régimen.</w:t>
      </w:r>
    </w:p>
    <w:p w14:paraId="6A6884B0" w14:textId="77777777" w:rsidR="00BA4959" w:rsidRPr="002E3810" w:rsidRDefault="00BA4959" w:rsidP="002E3810">
      <w:pPr>
        <w:spacing w:line="276" w:lineRule="auto"/>
        <w:ind w:firstLine="708"/>
        <w:rPr>
          <w:rFonts w:cs="Tahoma"/>
          <w:szCs w:val="24"/>
        </w:rPr>
      </w:pPr>
    </w:p>
    <w:p w14:paraId="46B74621" w14:textId="77777777" w:rsidR="00BA4959" w:rsidRPr="002E3810" w:rsidRDefault="00BA4959" w:rsidP="002E3810">
      <w:pPr>
        <w:numPr>
          <w:ilvl w:val="0"/>
          <w:numId w:val="10"/>
        </w:numPr>
        <w:spacing w:line="276" w:lineRule="auto"/>
        <w:rPr>
          <w:rFonts w:cs="Tahoma"/>
          <w:szCs w:val="24"/>
        </w:rPr>
      </w:pPr>
      <w:r w:rsidRPr="002E3810">
        <w:rPr>
          <w:rFonts w:cs="Tahoma"/>
          <w:szCs w:val="24"/>
        </w:rPr>
        <w:t>Definir si la acción a impetrar en este caso no era la ineficacia del traslado sino la de indemnización de perjuicios.</w:t>
      </w:r>
    </w:p>
    <w:p w14:paraId="000A32F0" w14:textId="77777777" w:rsidR="00BA4959" w:rsidRPr="002E3810" w:rsidRDefault="00BA4959" w:rsidP="002E3810">
      <w:pPr>
        <w:spacing w:line="276" w:lineRule="auto"/>
        <w:ind w:firstLine="708"/>
        <w:rPr>
          <w:rFonts w:cs="Tahoma"/>
          <w:szCs w:val="24"/>
        </w:rPr>
      </w:pPr>
    </w:p>
    <w:p w14:paraId="2250D796" w14:textId="7F479502" w:rsidR="00BA4959" w:rsidRPr="002E3810" w:rsidRDefault="00BA4959" w:rsidP="002E3810">
      <w:pPr>
        <w:numPr>
          <w:ilvl w:val="0"/>
          <w:numId w:val="10"/>
        </w:numPr>
        <w:spacing w:line="276" w:lineRule="auto"/>
        <w:rPr>
          <w:rFonts w:cs="Tahoma"/>
          <w:szCs w:val="24"/>
        </w:rPr>
      </w:pPr>
      <w:r w:rsidRPr="002E3810">
        <w:rPr>
          <w:rFonts w:cs="Tahoma"/>
          <w:szCs w:val="24"/>
        </w:rPr>
        <w:t>Establecer si es dable ordenar la devolución de los gastos de</w:t>
      </w:r>
      <w:r w:rsidRPr="002E3810">
        <w:rPr>
          <w:rFonts w:cs="Tahoma"/>
          <w:szCs w:val="24"/>
        </w:rPr>
        <w:br/>
        <w:t xml:space="preserve">administración, rendimientos y seguros previsionales a Colpensiones, con cargo a sus propios recursos y debidamente indexados, durante el periodo en que estuvo afiliada la parte demandante en </w:t>
      </w:r>
      <w:r w:rsidR="00387B10" w:rsidRPr="002E3810">
        <w:rPr>
          <w:rFonts w:cs="Tahoma"/>
          <w:szCs w:val="24"/>
        </w:rPr>
        <w:t xml:space="preserve">Porvenir </w:t>
      </w:r>
      <w:proofErr w:type="gramStart"/>
      <w:r w:rsidR="00387B10" w:rsidRPr="002E3810">
        <w:rPr>
          <w:rFonts w:cs="Tahoma"/>
          <w:szCs w:val="24"/>
        </w:rPr>
        <w:t>S.A.</w:t>
      </w:r>
      <w:r w:rsidRPr="002E3810">
        <w:rPr>
          <w:rFonts w:cs="Tahoma"/>
          <w:szCs w:val="24"/>
        </w:rPr>
        <w:t>.</w:t>
      </w:r>
      <w:proofErr w:type="gramEnd"/>
    </w:p>
    <w:p w14:paraId="126B6A64" w14:textId="77777777" w:rsidR="00BA4959" w:rsidRPr="002E3810" w:rsidRDefault="00BA4959" w:rsidP="002E3810">
      <w:pPr>
        <w:spacing w:line="276" w:lineRule="auto"/>
        <w:ind w:firstLine="708"/>
        <w:rPr>
          <w:rFonts w:cs="Tahoma"/>
          <w:szCs w:val="24"/>
          <w:lang w:val="es-ES"/>
        </w:rPr>
      </w:pPr>
    </w:p>
    <w:p w14:paraId="3DDD37B9" w14:textId="77777777" w:rsidR="00BA4959" w:rsidRPr="002E3810" w:rsidRDefault="00BA4959" w:rsidP="002E3810">
      <w:pPr>
        <w:numPr>
          <w:ilvl w:val="0"/>
          <w:numId w:val="10"/>
        </w:numPr>
        <w:spacing w:line="276" w:lineRule="auto"/>
        <w:rPr>
          <w:rFonts w:cs="Tahoma"/>
          <w:szCs w:val="24"/>
        </w:rPr>
      </w:pPr>
      <w:r w:rsidRPr="002E3810">
        <w:rPr>
          <w:rFonts w:cs="Tahoma"/>
          <w:szCs w:val="24"/>
        </w:rPr>
        <w:t>Establecer si hay lugar a exonerar en costas a la AFP del RAIS Porvenir S.A.</w:t>
      </w:r>
    </w:p>
    <w:p w14:paraId="6AAF934A" w14:textId="77777777" w:rsidR="00BA4959" w:rsidRPr="002E3810" w:rsidRDefault="00BA4959" w:rsidP="002E3810">
      <w:pPr>
        <w:spacing w:line="276" w:lineRule="auto"/>
        <w:ind w:firstLine="708"/>
        <w:rPr>
          <w:rFonts w:cs="Tahoma"/>
          <w:szCs w:val="24"/>
        </w:rPr>
      </w:pPr>
    </w:p>
    <w:p w14:paraId="6CB26AFA" w14:textId="77777777" w:rsidR="00BA4959" w:rsidRPr="002E3810" w:rsidRDefault="00BA4959" w:rsidP="002E3810">
      <w:pPr>
        <w:numPr>
          <w:ilvl w:val="0"/>
          <w:numId w:val="1"/>
        </w:numPr>
        <w:spacing w:line="276" w:lineRule="auto"/>
        <w:jc w:val="center"/>
        <w:rPr>
          <w:rFonts w:cs="Tahoma"/>
          <w:b/>
          <w:bCs/>
          <w:szCs w:val="24"/>
        </w:rPr>
      </w:pPr>
      <w:r w:rsidRPr="002E3810">
        <w:rPr>
          <w:rFonts w:cs="Tahoma"/>
          <w:b/>
          <w:bCs/>
          <w:szCs w:val="24"/>
        </w:rPr>
        <w:t>Consideraciones</w:t>
      </w:r>
    </w:p>
    <w:p w14:paraId="250380F3" w14:textId="77777777" w:rsidR="00942F30" w:rsidRDefault="00942F30" w:rsidP="00942F30">
      <w:pPr>
        <w:widowControl w:val="0"/>
        <w:autoSpaceDE w:val="0"/>
        <w:autoSpaceDN w:val="0"/>
        <w:adjustRightInd w:val="0"/>
        <w:spacing w:line="276" w:lineRule="auto"/>
        <w:rPr>
          <w:rFonts w:cs="Tahoma"/>
          <w:b/>
          <w:szCs w:val="24"/>
        </w:rPr>
      </w:pPr>
    </w:p>
    <w:p w14:paraId="1276B9F7" w14:textId="77777777" w:rsidR="00942F30" w:rsidRDefault="00942F30" w:rsidP="00942F30">
      <w:pPr>
        <w:numPr>
          <w:ilvl w:val="1"/>
          <w:numId w:val="9"/>
        </w:numPr>
        <w:spacing w:line="276" w:lineRule="auto"/>
        <w:ind w:left="0" w:firstLine="709"/>
        <w:contextualSpacing/>
        <w:rPr>
          <w:rFonts w:eastAsia="Times New Roman" w:cs="Tahoma"/>
          <w:b/>
          <w:szCs w:val="24"/>
          <w:lang w:eastAsia="es-ES"/>
        </w:rPr>
      </w:pPr>
      <w:r>
        <w:rPr>
          <w:rFonts w:eastAsia="Times New Roman" w:cs="Tahoma"/>
          <w:b/>
          <w:szCs w:val="24"/>
          <w:lang w:eastAsia="es-ES"/>
        </w:rPr>
        <w:t xml:space="preserve">Precedente vertical: la tesis de la Corte Suprema de Justicia respecto al tema de la ineficacia del traslado constituye doctrina probable </w:t>
      </w:r>
    </w:p>
    <w:p w14:paraId="6FC90617" w14:textId="77777777" w:rsidR="00942F30" w:rsidRDefault="00942F30" w:rsidP="00942F30">
      <w:pPr>
        <w:spacing w:line="276" w:lineRule="auto"/>
        <w:ind w:firstLine="709"/>
        <w:rPr>
          <w:rFonts w:cs="Tahoma"/>
          <w:szCs w:val="24"/>
        </w:rPr>
      </w:pPr>
    </w:p>
    <w:p w14:paraId="0DFBA23F" w14:textId="77777777" w:rsidR="00942F30" w:rsidRDefault="00942F30" w:rsidP="00942F30">
      <w:pPr>
        <w:spacing w:line="276" w:lineRule="auto"/>
        <w:ind w:firstLine="709"/>
        <w:rPr>
          <w:rFonts w:cs="Tahoma"/>
          <w:spacing w:val="-4"/>
          <w:szCs w:val="24"/>
        </w:rPr>
      </w:pPr>
      <w:r>
        <w:rPr>
          <w:rFonts w:cs="Tahoma"/>
          <w:szCs w:val="24"/>
        </w:rPr>
        <w:t xml:space="preserve">En la actualidad existe </w:t>
      </w:r>
      <w:r>
        <w:rPr>
          <w:rFonts w:cs="Tahoma"/>
          <w:b/>
          <w:szCs w:val="24"/>
        </w:rPr>
        <w:t>doctrina probable</w:t>
      </w:r>
      <w:r>
        <w:rPr>
          <w:rFonts w:cs="Tahoma"/>
          <w:szCs w:val="24"/>
        </w:rPr>
        <w:t xml:space="preserve"> respecto a la ineficacia de los traslados de regímenes, por cuanto la Sala de Casación Laboral ha proferido sobre el tema un número considerable de sentencias (más de 40), entre otras, las siguientes: </w:t>
      </w:r>
    </w:p>
    <w:p w14:paraId="098C0CC1" w14:textId="77777777" w:rsidR="00942F30" w:rsidRDefault="00942F30" w:rsidP="00942F30">
      <w:pPr>
        <w:spacing w:line="276" w:lineRule="auto"/>
        <w:jc w:val="left"/>
        <w:rPr>
          <w:rFonts w:eastAsia="Times New Roman" w:cs="Tahoma"/>
          <w:szCs w:val="24"/>
          <w:lang w:eastAsia="es-ES"/>
        </w:rPr>
      </w:pPr>
    </w:p>
    <w:p w14:paraId="5CD1EEA0" w14:textId="77777777" w:rsidR="00942F30" w:rsidRDefault="00942F30" w:rsidP="00942F30">
      <w:pPr>
        <w:spacing w:line="276" w:lineRule="auto"/>
        <w:ind w:firstLine="708"/>
        <w:rPr>
          <w:rFonts w:eastAsia="Times New Roman" w:cs="Tahoma"/>
          <w:szCs w:val="24"/>
          <w:lang w:eastAsia="es-ES"/>
        </w:rPr>
      </w:pPr>
      <w:r>
        <w:rPr>
          <w:rFonts w:eastAsia="Times New Roman" w:cs="Tahoma"/>
          <w:bCs/>
          <w:szCs w:val="24"/>
          <w:lang w:eastAsia="es-ES"/>
        </w:rPr>
        <w:t xml:space="preserve">SL 31989 del 9 sep. 2008, </w:t>
      </w:r>
      <w:r>
        <w:rPr>
          <w:rFonts w:eastAsia="Times New Roman" w:cs="Tahoma"/>
          <w:szCs w:val="24"/>
          <w:lang w:eastAsia="es-ES"/>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w:t>
      </w:r>
      <w:r>
        <w:rPr>
          <w:rFonts w:eastAsia="Times New Roman" w:cs="Tahoma"/>
          <w:szCs w:val="24"/>
          <w:lang w:eastAsia="es-ES"/>
        </w:rPr>
        <w:lastRenderedPageBreak/>
        <w:t>2019, Sentencia SL3749-2019, Sentencia SL3179-2019,  Sentencia SL1838-2019, Sentencia SL2817-2019, Sentencia SL771-2019, Sentencia SL4296-2018, Sentencia SL2865-2019, Sentencia  SL2955-2019, Sentencia  SL2324-2019.</w:t>
      </w:r>
    </w:p>
    <w:p w14:paraId="7CBC57E6" w14:textId="77777777" w:rsidR="00942F30" w:rsidRDefault="00942F30" w:rsidP="00942F30">
      <w:pPr>
        <w:spacing w:line="276" w:lineRule="auto"/>
        <w:jc w:val="left"/>
        <w:rPr>
          <w:rFonts w:eastAsia="Times New Roman" w:cs="Tahoma"/>
          <w:szCs w:val="24"/>
          <w:lang w:eastAsia="es-ES"/>
        </w:rPr>
      </w:pPr>
    </w:p>
    <w:p w14:paraId="60850259" w14:textId="77777777" w:rsidR="00942F30" w:rsidRDefault="00942F30" w:rsidP="00942F30">
      <w:pPr>
        <w:spacing w:line="276" w:lineRule="auto"/>
        <w:ind w:firstLine="708"/>
        <w:rPr>
          <w:rFonts w:eastAsia="Times New Roman" w:cs="Tahoma"/>
          <w:spacing w:val="-4"/>
          <w:szCs w:val="24"/>
          <w:lang w:eastAsia="es-ES"/>
        </w:rPr>
      </w:pPr>
      <w:r>
        <w:rPr>
          <w:rFonts w:eastAsia="Times New Roman" w:cs="Tahoma"/>
          <w:szCs w:val="24"/>
          <w:lang w:eastAsia="es-ES"/>
        </w:rPr>
        <w:t xml:space="preserve">En términos generales, en todas estas sentencias se determinó </w:t>
      </w:r>
      <w:r>
        <w:rPr>
          <w:rFonts w:eastAsia="Times New Roman" w:cs="Tahoma"/>
          <w:i/>
          <w:szCs w:val="24"/>
          <w:lang w:eastAsia="es-ES"/>
        </w:rPr>
        <w:t xml:space="preserve">i) </w:t>
      </w:r>
      <w:r>
        <w:rPr>
          <w:rFonts w:eastAsia="Times New Roman" w:cs="Tahoma"/>
          <w:szCs w:val="24"/>
          <w:lang w:eastAsia="es-ES"/>
        </w:rPr>
        <w:t xml:space="preserve">el alcance del deber de información a cargo de las Administradoras de Fondos de Pensiones, </w:t>
      </w:r>
      <w:r>
        <w:rPr>
          <w:rFonts w:eastAsia="Times New Roman" w:cs="Tahoma"/>
          <w:i/>
          <w:szCs w:val="24"/>
          <w:lang w:eastAsia="es-ES"/>
        </w:rPr>
        <w:t xml:space="preserve">ii) </w:t>
      </w:r>
      <w:r>
        <w:rPr>
          <w:rFonts w:eastAsia="Times New Roman" w:cs="Tahoma"/>
          <w:szCs w:val="24"/>
          <w:lang w:eastAsia="es-ES"/>
        </w:rPr>
        <w:t xml:space="preserve">la procedencia de la ineficacia del traslado, </w:t>
      </w:r>
      <w:r>
        <w:rPr>
          <w:rFonts w:eastAsia="Times New Roman" w:cs="Tahoma"/>
          <w:i/>
          <w:szCs w:val="24"/>
          <w:lang w:eastAsia="es-ES"/>
        </w:rPr>
        <w:t xml:space="preserve">iii) </w:t>
      </w:r>
      <w:r>
        <w:rPr>
          <w:rFonts w:eastAsia="Times New Roman" w:cs="Tahoma"/>
          <w:szCs w:val="24"/>
          <w:lang w:eastAsia="es-ES"/>
        </w:rPr>
        <w:t>la inversión de la carga de la prueba en favor del afiliado.</w:t>
      </w:r>
      <w:r>
        <w:rPr>
          <w:rFonts w:eastAsia="Times New Roman" w:cs="Tahoma"/>
          <w:spacing w:val="-4"/>
          <w:szCs w:val="24"/>
          <w:lang w:eastAsia="es-ES"/>
        </w:rPr>
        <w:t xml:space="preserve"> Todos los problemas jurídicos planteados en este asunto, fueron objeto de estudio por parte de la Sala de Casación Laboral, de modo que basta referirnos a su precedente para dar respuesta a los mismos, como veremos a continuación.</w:t>
      </w:r>
    </w:p>
    <w:p w14:paraId="69B7EA78" w14:textId="77777777" w:rsidR="00942F30" w:rsidRDefault="00942F30" w:rsidP="00942F30">
      <w:pPr>
        <w:tabs>
          <w:tab w:val="left" w:pos="-720"/>
        </w:tabs>
        <w:suppressAutoHyphens/>
        <w:spacing w:line="276" w:lineRule="auto"/>
        <w:ind w:left="644"/>
        <w:contextualSpacing/>
        <w:jc w:val="left"/>
        <w:rPr>
          <w:rFonts w:eastAsia="Times New Roman" w:cs="Tahoma"/>
          <w:spacing w:val="-3"/>
          <w:kern w:val="2"/>
          <w:szCs w:val="24"/>
          <w:lang w:eastAsia="es-ES"/>
        </w:rPr>
      </w:pPr>
    </w:p>
    <w:p w14:paraId="4FAAEB23" w14:textId="77777777" w:rsidR="00942F30" w:rsidRDefault="00942F30" w:rsidP="00942F30">
      <w:pPr>
        <w:numPr>
          <w:ilvl w:val="1"/>
          <w:numId w:val="9"/>
        </w:numPr>
        <w:spacing w:line="276" w:lineRule="auto"/>
        <w:ind w:left="0" w:firstLine="709"/>
        <w:contextualSpacing/>
        <w:rPr>
          <w:rFonts w:eastAsia="Times New Roman" w:cs="Tahoma"/>
          <w:b/>
          <w:iCs/>
          <w:spacing w:val="-4"/>
          <w:szCs w:val="24"/>
          <w:lang w:eastAsia="es-ES"/>
        </w:rPr>
      </w:pPr>
      <w:r>
        <w:rPr>
          <w:rFonts w:eastAsia="Times New Roman" w:cs="Tahoma"/>
          <w:b/>
          <w:iCs/>
          <w:spacing w:val="-4"/>
          <w:szCs w:val="24"/>
          <w:lang w:eastAsia="es-ES"/>
        </w:rPr>
        <w:t>“El deber de información a cargo de las administradoras de fondos de pensiones: Un deber exigible desde su creación</w:t>
      </w:r>
      <w:r>
        <w:rPr>
          <w:rFonts w:eastAsia="Times New Roman" w:cs="Tahoma"/>
          <w:b/>
          <w:iCs/>
          <w:spacing w:val="-4"/>
          <w:szCs w:val="24"/>
          <w:vertAlign w:val="superscript"/>
          <w:lang w:eastAsia="es-ES"/>
        </w:rPr>
        <w:footnoteReference w:id="1"/>
      </w:r>
      <w:r>
        <w:rPr>
          <w:rFonts w:eastAsia="Times New Roman" w:cs="Tahoma"/>
          <w:b/>
          <w:iCs/>
          <w:spacing w:val="-4"/>
          <w:szCs w:val="24"/>
          <w:lang w:eastAsia="es-ES"/>
        </w:rPr>
        <w:t>”</w:t>
      </w:r>
    </w:p>
    <w:p w14:paraId="6B0B8CFB" w14:textId="77777777" w:rsidR="00942F30" w:rsidRDefault="00942F30" w:rsidP="00942F30">
      <w:pPr>
        <w:tabs>
          <w:tab w:val="left" w:pos="-720"/>
        </w:tabs>
        <w:suppressAutoHyphens/>
        <w:spacing w:line="276" w:lineRule="auto"/>
        <w:ind w:left="644"/>
        <w:contextualSpacing/>
        <w:jc w:val="left"/>
        <w:rPr>
          <w:rFonts w:eastAsia="Times New Roman" w:cs="Tahoma"/>
          <w:i/>
          <w:spacing w:val="-3"/>
          <w:kern w:val="2"/>
          <w:szCs w:val="24"/>
          <w:lang w:eastAsia="es-ES"/>
        </w:rPr>
      </w:pPr>
    </w:p>
    <w:p w14:paraId="352C6F46" w14:textId="77777777" w:rsidR="00942F30" w:rsidRDefault="00942F30" w:rsidP="00942F30">
      <w:pPr>
        <w:tabs>
          <w:tab w:val="left" w:pos="-720"/>
        </w:tabs>
        <w:suppressAutoHyphens/>
        <w:spacing w:line="276" w:lineRule="auto"/>
        <w:ind w:firstLine="709"/>
        <w:rPr>
          <w:rFonts w:cs="Tahoma"/>
          <w:spacing w:val="-3"/>
          <w:kern w:val="2"/>
          <w:szCs w:val="24"/>
        </w:rPr>
      </w:pPr>
      <w:r>
        <w:rPr>
          <w:rFonts w:cs="Tahoma"/>
          <w:spacing w:val="-3"/>
          <w:kern w:val="2"/>
          <w:szCs w:val="24"/>
        </w:rPr>
        <w:t xml:space="preserve">Dado que las Administradoras de Fondos de Pensiones son organismos profesionales, resulta aplicable el artículo 1604 del Código Civil, según el cual la prueba de la </w:t>
      </w:r>
      <w:r>
        <w:rPr>
          <w:rFonts w:cs="Tahoma"/>
          <w:spacing w:val="-3"/>
          <w:kern w:val="2"/>
          <w:szCs w:val="24"/>
          <w:u w:val="single"/>
        </w:rPr>
        <w:t>debida diligencia y cuidado</w:t>
      </w:r>
      <w:r>
        <w:rPr>
          <w:rFonts w:cs="Tahoma"/>
          <w:spacing w:val="-3"/>
          <w:kern w:val="2"/>
          <w:szCs w:val="24"/>
        </w:rPr>
        <w:t xml:space="preserve"> incumbe a quien ha debido emplearla, atendiendo a las siguientes razones:</w:t>
      </w:r>
    </w:p>
    <w:p w14:paraId="04B58E1A" w14:textId="77777777" w:rsidR="00942F30" w:rsidRDefault="00942F30" w:rsidP="00942F30">
      <w:pPr>
        <w:tabs>
          <w:tab w:val="left" w:pos="-720"/>
        </w:tabs>
        <w:suppressAutoHyphens/>
        <w:spacing w:line="276" w:lineRule="auto"/>
        <w:ind w:left="644"/>
        <w:contextualSpacing/>
        <w:jc w:val="left"/>
        <w:rPr>
          <w:rFonts w:eastAsia="Times New Roman" w:cs="Tahoma"/>
          <w:b/>
          <w:spacing w:val="-3"/>
          <w:kern w:val="2"/>
          <w:szCs w:val="24"/>
          <w:lang w:eastAsia="es-ES"/>
        </w:rPr>
      </w:pPr>
    </w:p>
    <w:p w14:paraId="44191B5D" w14:textId="77777777" w:rsidR="00942F30" w:rsidRDefault="00942F30" w:rsidP="00942F30">
      <w:pPr>
        <w:tabs>
          <w:tab w:val="left" w:pos="-720"/>
        </w:tabs>
        <w:suppressAutoHyphens/>
        <w:spacing w:line="276" w:lineRule="auto"/>
        <w:rPr>
          <w:rFonts w:eastAsia="Times New Roman" w:cs="Tahoma"/>
          <w:spacing w:val="-3"/>
          <w:kern w:val="2"/>
          <w:szCs w:val="24"/>
          <w:lang w:eastAsia="es-ES"/>
        </w:rPr>
      </w:pPr>
      <w:r>
        <w:rPr>
          <w:rFonts w:eastAsia="Times New Roman" w:cs="Tahoma"/>
          <w:b/>
          <w:spacing w:val="-3"/>
          <w:kern w:val="2"/>
          <w:szCs w:val="24"/>
          <w:lang w:eastAsia="es-ES"/>
        </w:rPr>
        <w:t>1)</w:t>
      </w:r>
      <w:r>
        <w:rPr>
          <w:rFonts w:eastAsia="Times New Roman" w:cs="Tahoma"/>
          <w:spacing w:val="-3"/>
          <w:kern w:val="2"/>
          <w:szCs w:val="24"/>
          <w:lang w:eastAsia="es-ES"/>
        </w:rPr>
        <w:t xml:space="preserve"> Las Administradoras de Fondos de Pensiones tienen deberes de carácter profesional con sus afiliados y con los consumidores del mercado potencial en general. Además, sus actividades se encuentran reguladas por el </w:t>
      </w:r>
      <w:r>
        <w:rPr>
          <w:rFonts w:eastAsia="Times New Roman" w:cs="Tahoma"/>
          <w:spacing w:val="-3"/>
          <w:kern w:val="2"/>
          <w:szCs w:val="24"/>
          <w:u w:val="single"/>
          <w:lang w:eastAsia="es-ES"/>
        </w:rPr>
        <w:t>Decreto 663 de 1993</w:t>
      </w:r>
      <w:r>
        <w:rPr>
          <w:rFonts w:eastAsia="Times New Roman" w:cs="Tahoma"/>
          <w:spacing w:val="-3"/>
          <w:kern w:val="2"/>
          <w:szCs w:val="24"/>
          <w:u w:val="single"/>
          <w:vertAlign w:val="superscript"/>
          <w:lang w:eastAsia="es-ES"/>
        </w:rPr>
        <w:footnoteReference w:id="2"/>
      </w:r>
      <w:r>
        <w:rPr>
          <w:rFonts w:eastAsia="Times New Roman" w:cs="Tahoma"/>
          <w:spacing w:val="-3"/>
          <w:kern w:val="2"/>
          <w:szCs w:val="24"/>
          <w:lang w:eastAsia="es-ES"/>
        </w:rPr>
        <w:t>, norma en la que se destaca la importancia de los principios de debida diligencia, transparencia e información cierta, suficiente y oportuna.</w:t>
      </w:r>
    </w:p>
    <w:p w14:paraId="123BA72A" w14:textId="77777777" w:rsidR="00942F30" w:rsidRDefault="00942F30" w:rsidP="00942F30">
      <w:pPr>
        <w:tabs>
          <w:tab w:val="left" w:pos="-720"/>
        </w:tabs>
        <w:suppressAutoHyphens/>
        <w:spacing w:line="276" w:lineRule="auto"/>
        <w:jc w:val="left"/>
        <w:rPr>
          <w:rFonts w:eastAsia="Times New Roman" w:cs="Tahoma"/>
          <w:spacing w:val="-3"/>
          <w:kern w:val="2"/>
          <w:szCs w:val="24"/>
          <w:lang w:eastAsia="es-ES"/>
        </w:rPr>
      </w:pPr>
    </w:p>
    <w:p w14:paraId="1588AAB6" w14:textId="77777777" w:rsidR="00942F30" w:rsidRDefault="00942F30" w:rsidP="00942F30">
      <w:pPr>
        <w:tabs>
          <w:tab w:val="left" w:pos="-720"/>
        </w:tabs>
        <w:suppressAutoHyphens/>
        <w:spacing w:line="276" w:lineRule="auto"/>
        <w:rPr>
          <w:rFonts w:eastAsia="Times New Roman" w:cs="Tahoma"/>
          <w:color w:val="000000"/>
          <w:szCs w:val="24"/>
          <w:lang w:eastAsia="es-ES"/>
        </w:rPr>
      </w:pPr>
      <w:r>
        <w:rPr>
          <w:rFonts w:eastAsia="Times New Roman" w:cs="Tahoma"/>
          <w:b/>
          <w:spacing w:val="-3"/>
          <w:kern w:val="2"/>
          <w:szCs w:val="24"/>
          <w:lang w:eastAsia="es-ES"/>
        </w:rPr>
        <w:t>2)</w:t>
      </w:r>
      <w:r>
        <w:rPr>
          <w:rFonts w:eastAsia="Times New Roman" w:cs="Tahoma"/>
          <w:spacing w:val="-3"/>
          <w:kern w:val="2"/>
          <w:szCs w:val="24"/>
          <w:lang w:eastAsia="es-ES"/>
        </w:rPr>
        <w:t xml:space="preserve"> Adicionalmente, se tiene previsto en el artículo 12 del Decreto 720 de 1994, que lo</w:t>
      </w:r>
      <w:r>
        <w:rPr>
          <w:rFonts w:eastAsia="Times New Roman" w:cs="Tahoma"/>
          <w:color w:val="000000"/>
          <w:szCs w:val="24"/>
          <w:lang w:eastAsia="es-ES"/>
        </w:rPr>
        <w:t xml:space="preserve">s promotores que empleen las sociedades administradoras del sistema general de pensiones deberán suministrar </w:t>
      </w:r>
      <w:r>
        <w:rPr>
          <w:rFonts w:eastAsia="Times New Roman" w:cs="Tahoma"/>
          <w:color w:val="000000"/>
          <w:szCs w:val="24"/>
          <w:u w:val="single"/>
          <w:lang w:eastAsia="es-ES"/>
        </w:rPr>
        <w:t>suficiente, amplia y oportuna</w:t>
      </w:r>
      <w:r>
        <w:rPr>
          <w:rFonts w:eastAsia="Times New Roman" w:cs="Tahoma"/>
          <w:color w:val="000000"/>
          <w:szCs w:val="24"/>
          <w:lang w:eastAsia="es-ES"/>
        </w:rPr>
        <w:t xml:space="preserve"> información a los posibles afiliados al momento de la promoción de la afiliación y durante toda la vinculación con ocasión de las prestaciones a las cuales tenga derecho el afiliado. </w:t>
      </w:r>
    </w:p>
    <w:p w14:paraId="3709C14A" w14:textId="77777777" w:rsidR="00942F30" w:rsidRDefault="00942F30" w:rsidP="00942F30">
      <w:pPr>
        <w:tabs>
          <w:tab w:val="left" w:pos="-720"/>
        </w:tabs>
        <w:suppressAutoHyphens/>
        <w:spacing w:line="276" w:lineRule="auto"/>
        <w:jc w:val="left"/>
        <w:rPr>
          <w:rFonts w:eastAsia="Times New Roman" w:cs="Tahoma"/>
          <w:spacing w:val="-3"/>
          <w:kern w:val="2"/>
          <w:szCs w:val="24"/>
          <w:lang w:eastAsia="es-ES"/>
        </w:rPr>
      </w:pPr>
    </w:p>
    <w:p w14:paraId="0C48FE11" w14:textId="77777777" w:rsidR="00942F30" w:rsidRDefault="00942F30" w:rsidP="00942F30">
      <w:pPr>
        <w:tabs>
          <w:tab w:val="left" w:pos="-720"/>
        </w:tabs>
        <w:suppressAutoHyphens/>
        <w:spacing w:line="276" w:lineRule="auto"/>
        <w:rPr>
          <w:rFonts w:eastAsia="Times New Roman" w:cs="Tahoma"/>
          <w:spacing w:val="-3"/>
          <w:kern w:val="2"/>
          <w:szCs w:val="24"/>
          <w:lang w:eastAsia="es-ES"/>
        </w:rPr>
      </w:pPr>
      <w:r>
        <w:rPr>
          <w:rFonts w:eastAsia="Times New Roman" w:cs="Tahoma"/>
          <w:b/>
          <w:spacing w:val="-3"/>
          <w:kern w:val="2"/>
          <w:szCs w:val="24"/>
          <w:lang w:eastAsia="es-ES"/>
        </w:rPr>
        <w:t>3)</w:t>
      </w:r>
      <w:r>
        <w:rPr>
          <w:rFonts w:eastAsia="Times New Roman" w:cs="Tahoma"/>
          <w:spacing w:val="-3"/>
          <w:kern w:val="2"/>
          <w:szCs w:val="24"/>
          <w:lang w:eastAsia="es-ES"/>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67477EE8" w14:textId="77777777" w:rsidR="00942F30" w:rsidRDefault="00942F30" w:rsidP="00942F30">
      <w:pPr>
        <w:tabs>
          <w:tab w:val="left" w:pos="-720"/>
        </w:tabs>
        <w:suppressAutoHyphens/>
        <w:spacing w:line="276" w:lineRule="auto"/>
        <w:jc w:val="left"/>
        <w:rPr>
          <w:rFonts w:eastAsia="Times New Roman" w:cs="Tahoma"/>
          <w:spacing w:val="-3"/>
          <w:kern w:val="2"/>
          <w:szCs w:val="24"/>
          <w:lang w:eastAsia="es-ES"/>
        </w:rPr>
      </w:pPr>
    </w:p>
    <w:p w14:paraId="3CDC74FB" w14:textId="77777777" w:rsidR="00942F30" w:rsidRDefault="00942F30" w:rsidP="00942F30">
      <w:pPr>
        <w:tabs>
          <w:tab w:val="left" w:pos="-720"/>
        </w:tabs>
        <w:suppressAutoHyphens/>
        <w:spacing w:line="276" w:lineRule="auto"/>
        <w:rPr>
          <w:rFonts w:eastAsia="Times New Roman" w:cs="Tahoma"/>
          <w:iCs/>
          <w:szCs w:val="24"/>
          <w:u w:val="single"/>
          <w:lang w:eastAsia="es-ES"/>
        </w:rPr>
      </w:pPr>
      <w:r>
        <w:rPr>
          <w:rFonts w:eastAsia="Times New Roman" w:cs="Tahoma"/>
          <w:b/>
          <w:spacing w:val="-3"/>
          <w:kern w:val="2"/>
          <w:szCs w:val="24"/>
          <w:lang w:eastAsia="es-ES"/>
        </w:rPr>
        <w:t>4)</w:t>
      </w:r>
      <w:r>
        <w:rPr>
          <w:rFonts w:eastAsia="Times New Roman" w:cs="Tahoma"/>
          <w:spacing w:val="-3"/>
          <w:kern w:val="2"/>
          <w:szCs w:val="24"/>
          <w:lang w:eastAsia="es-ES"/>
        </w:rPr>
        <w:t xml:space="preserve"> En numerosas sentencias del órgano de cierre de la jurisdicción ordinaria laboral, se ha establecido que no puede argüirse que </w:t>
      </w:r>
      <w:r>
        <w:rPr>
          <w:rFonts w:eastAsia="Times New Roman" w:cs="Tahoma"/>
          <w:iCs/>
          <w:szCs w:val="24"/>
          <w:lang w:eastAsia="es-E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Pr>
          <w:rFonts w:eastAsia="Times New Roman" w:cs="Tahoma"/>
          <w:i/>
          <w:iCs/>
          <w:szCs w:val="24"/>
          <w:lang w:eastAsia="es-ES"/>
        </w:rPr>
        <w:t>“</w:t>
      </w:r>
      <w:r>
        <w:rPr>
          <w:rFonts w:eastAsia="Times New Roman" w:cs="Tahoma"/>
          <w:i/>
          <w:iCs/>
          <w:sz w:val="22"/>
          <w:szCs w:val="24"/>
          <w:u w:val="single"/>
          <w:lang w:eastAsia="es-ES"/>
        </w:rPr>
        <w:t>dar cuenta de que documentaron clara y suficientemente los efectos que acarrea el cambio de régimen, so pena de declarar ineficaz ese tránsito</w:t>
      </w:r>
      <w:r>
        <w:rPr>
          <w:rFonts w:eastAsia="Times New Roman" w:cs="Tahoma"/>
          <w:i/>
          <w:iCs/>
          <w:szCs w:val="24"/>
          <w:u w:val="single"/>
          <w:lang w:eastAsia="es-ES"/>
        </w:rPr>
        <w:t>”</w:t>
      </w:r>
      <w:r>
        <w:rPr>
          <w:rFonts w:eastAsia="Times New Roman" w:cs="Tahoma"/>
          <w:iCs/>
          <w:szCs w:val="24"/>
          <w:u w:val="single"/>
          <w:lang w:eastAsia="es-ES"/>
        </w:rPr>
        <w:t>.</w:t>
      </w:r>
    </w:p>
    <w:p w14:paraId="70808DD5" w14:textId="77777777" w:rsidR="00942F30" w:rsidRDefault="00942F30" w:rsidP="00942F30">
      <w:pPr>
        <w:tabs>
          <w:tab w:val="left" w:pos="-720"/>
        </w:tabs>
        <w:suppressAutoHyphens/>
        <w:spacing w:line="276" w:lineRule="auto"/>
        <w:ind w:left="644"/>
        <w:contextualSpacing/>
        <w:jc w:val="left"/>
        <w:rPr>
          <w:rFonts w:eastAsia="Times New Roman" w:cs="Tahoma"/>
          <w:iCs/>
          <w:szCs w:val="24"/>
          <w:u w:val="single"/>
          <w:lang w:eastAsia="es-ES"/>
        </w:rPr>
      </w:pPr>
    </w:p>
    <w:p w14:paraId="0ECE1D9E" w14:textId="77777777" w:rsidR="00942F30" w:rsidRDefault="00942F30" w:rsidP="00942F30">
      <w:pPr>
        <w:tabs>
          <w:tab w:val="left" w:pos="-720"/>
        </w:tabs>
        <w:suppressAutoHyphens/>
        <w:spacing w:line="276" w:lineRule="auto"/>
        <w:rPr>
          <w:rFonts w:eastAsia="Times New Roman" w:cs="Tahoma"/>
          <w:iCs/>
          <w:szCs w:val="24"/>
          <w:lang w:eastAsia="es-ES"/>
        </w:rPr>
      </w:pPr>
      <w:r>
        <w:rPr>
          <w:rFonts w:eastAsia="Times New Roman" w:cs="Tahoma"/>
          <w:iCs/>
          <w:szCs w:val="24"/>
          <w:lang w:eastAsia="es-E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1452E5FB" w14:textId="77777777" w:rsidR="00942F30" w:rsidRDefault="00942F30" w:rsidP="00942F30">
      <w:pPr>
        <w:tabs>
          <w:tab w:val="left" w:pos="-720"/>
        </w:tabs>
        <w:suppressAutoHyphens/>
        <w:spacing w:line="276" w:lineRule="auto"/>
        <w:jc w:val="left"/>
        <w:rPr>
          <w:rFonts w:eastAsia="Times New Roman" w:cs="Tahoma"/>
          <w:iCs/>
          <w:szCs w:val="24"/>
          <w:lang w:eastAsia="es-ES"/>
        </w:rPr>
      </w:pPr>
    </w:p>
    <w:p w14:paraId="4B4D8EC5" w14:textId="77777777" w:rsidR="00942F30" w:rsidRDefault="00942F30" w:rsidP="00942F30">
      <w:pPr>
        <w:tabs>
          <w:tab w:val="left" w:pos="-720"/>
        </w:tabs>
        <w:suppressAutoHyphens/>
        <w:spacing w:line="276" w:lineRule="auto"/>
        <w:rPr>
          <w:rFonts w:eastAsia="Times New Roman" w:cs="Tahoma"/>
          <w:iCs/>
          <w:szCs w:val="24"/>
          <w:lang w:eastAsia="es-ES"/>
        </w:rPr>
      </w:pPr>
      <w:r>
        <w:rPr>
          <w:rFonts w:eastAsia="Times New Roman" w:cs="Tahoma"/>
          <w:iCs/>
          <w:szCs w:val="24"/>
          <w:lang w:eastAsia="es-E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796B0B6E" w14:textId="77777777" w:rsidR="00942F30" w:rsidRDefault="00942F30" w:rsidP="00942F30">
      <w:pPr>
        <w:tabs>
          <w:tab w:val="left" w:pos="-720"/>
        </w:tabs>
        <w:suppressAutoHyphens/>
        <w:spacing w:line="276" w:lineRule="auto"/>
        <w:jc w:val="left"/>
        <w:rPr>
          <w:rFonts w:eastAsia="Times New Roman" w:cs="Tahoma"/>
          <w:iCs/>
          <w:szCs w:val="24"/>
          <w:lang w:eastAsia="es-ES"/>
        </w:rPr>
      </w:pPr>
    </w:p>
    <w:p w14:paraId="1AA2826F" w14:textId="77777777" w:rsidR="00942F30" w:rsidRDefault="00942F30" w:rsidP="00942F30">
      <w:pPr>
        <w:tabs>
          <w:tab w:val="left" w:pos="-720"/>
        </w:tabs>
        <w:suppressAutoHyphens/>
        <w:spacing w:line="276" w:lineRule="auto"/>
        <w:rPr>
          <w:rFonts w:eastAsia="Times New Roman" w:cs="Tahoma"/>
          <w:szCs w:val="24"/>
          <w:lang w:eastAsia="es-ES"/>
        </w:rPr>
      </w:pPr>
      <w:r>
        <w:rPr>
          <w:rFonts w:eastAsia="Times New Roman" w:cs="Tahoma"/>
          <w:szCs w:val="24"/>
          <w:lang w:eastAsia="es-ES"/>
        </w:rPr>
        <w:tab/>
        <w:t xml:space="preserve">Ello así, también ha dicho el órgano de cierre de la especialidad laboral, que las </w:t>
      </w:r>
      <w:proofErr w:type="spellStart"/>
      <w:r>
        <w:rPr>
          <w:rFonts w:eastAsia="Times New Roman" w:cs="Tahoma"/>
          <w:szCs w:val="24"/>
          <w:lang w:eastAsia="es-ES"/>
        </w:rPr>
        <w:t>AFPs</w:t>
      </w:r>
      <w:proofErr w:type="spellEnd"/>
      <w:r>
        <w:rPr>
          <w:rFonts w:eastAsia="Times New Roman" w:cs="Tahoma"/>
          <w:szCs w:val="24"/>
          <w:lang w:eastAsia="es-ES"/>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67729F62" w14:textId="77777777" w:rsidR="00942F30" w:rsidRDefault="00942F30" w:rsidP="00942F30">
      <w:pPr>
        <w:tabs>
          <w:tab w:val="left" w:pos="-720"/>
        </w:tabs>
        <w:suppressAutoHyphens/>
        <w:spacing w:line="276" w:lineRule="auto"/>
        <w:jc w:val="left"/>
        <w:rPr>
          <w:rFonts w:eastAsia="Times New Roman" w:cs="Tahoma"/>
          <w:szCs w:val="24"/>
          <w:lang w:eastAsia="es-ES"/>
        </w:rPr>
      </w:pPr>
    </w:p>
    <w:p w14:paraId="3359623F" w14:textId="77777777" w:rsidR="00942F30" w:rsidRDefault="00942F30" w:rsidP="00942F30">
      <w:pPr>
        <w:spacing w:line="276" w:lineRule="auto"/>
        <w:ind w:firstLine="708"/>
        <w:rPr>
          <w:rFonts w:eastAsia="Times New Roman" w:cs="Tahoma"/>
          <w:szCs w:val="24"/>
          <w:lang w:eastAsia="es-ES"/>
        </w:rPr>
      </w:pPr>
      <w:r>
        <w:rPr>
          <w:rFonts w:eastAsia="Times New Roman" w:cs="Tahoma"/>
          <w:szCs w:val="24"/>
          <w:lang w:eastAsia="es-ES"/>
        </w:rPr>
        <w:t xml:space="preserve">Ahora bien, como quiera que uno de los argumentos de la defensa de las AFP es que la normatividad del deber de información se ha venido dando paulatinamente, vale la pena citar la sentencia del 8 de mayo de 2019SL 1688-2019, Radicado 68838, con Ponencia de la Dra. Clara Cecilia Dueñas Quevedo, donde </w:t>
      </w:r>
      <w:r>
        <w:rPr>
          <w:rFonts w:eastAsia="Times New Roman" w:cs="Tahoma"/>
          <w:spacing w:val="-4"/>
          <w:szCs w:val="24"/>
          <w:lang w:eastAsia="es-ES"/>
        </w:rPr>
        <w:t>se hace un didáctico recuento histórico de las normas que rigen la actividad de los Fondos de Pensiones privados, dividiéndolo en 3 etapas, de cuyo análisis se llega a la conclusión de que a las AFP</w:t>
      </w:r>
      <w:r>
        <w:rPr>
          <w:rFonts w:eastAsia="Times New Roman" w:cs="Tahoma"/>
          <w:szCs w:val="24"/>
          <w:lang w:eastAsia="es-ES"/>
        </w:rPr>
        <w:t xml:space="preserve"> les compete, desde su creación, el deber de suministrar una información </w:t>
      </w:r>
      <w:r>
        <w:rPr>
          <w:rFonts w:eastAsia="Times New Roman" w:cs="Tahoma"/>
          <w:b/>
          <w:szCs w:val="24"/>
          <w:lang w:eastAsia="es-ES"/>
        </w:rPr>
        <w:t xml:space="preserve">necesaria y transparente, </w:t>
      </w:r>
      <w:r>
        <w:rPr>
          <w:rFonts w:eastAsia="Times New Roman" w:cs="Tahoma"/>
          <w:szCs w:val="24"/>
          <w:lang w:eastAsia="es-ES"/>
        </w:rPr>
        <w:t xml:space="preserve">que con el </w:t>
      </w:r>
      <w:r>
        <w:rPr>
          <w:rFonts w:eastAsia="Times New Roman" w:cs="Tahoma"/>
          <w:spacing w:val="-4"/>
          <w:szCs w:val="24"/>
          <w:lang w:eastAsia="es-ES"/>
        </w:rPr>
        <w:t xml:space="preserve">transcurrir del tiempo esta exigencia cambió, pasando de un deber de información necesaria al de </w:t>
      </w:r>
      <w:r>
        <w:rPr>
          <w:rFonts w:eastAsia="Times New Roman" w:cs="Tahoma"/>
          <w:b/>
          <w:spacing w:val="-4"/>
          <w:szCs w:val="24"/>
          <w:lang w:eastAsia="es-ES"/>
        </w:rPr>
        <w:t>asesoría y buen consejo</w:t>
      </w:r>
      <w:r>
        <w:rPr>
          <w:rFonts w:eastAsia="Times New Roman" w:cs="Tahoma"/>
          <w:spacing w:val="-4"/>
          <w:szCs w:val="24"/>
          <w:lang w:eastAsia="es-ES"/>
        </w:rPr>
        <w:t xml:space="preserve">, y finalmente al de </w:t>
      </w:r>
      <w:r>
        <w:rPr>
          <w:rFonts w:eastAsia="Times New Roman" w:cs="Tahoma"/>
          <w:b/>
          <w:spacing w:val="-4"/>
          <w:szCs w:val="24"/>
          <w:lang w:eastAsia="es-ES"/>
        </w:rPr>
        <w:t>doble asesoría</w:t>
      </w:r>
      <w:r>
        <w:rPr>
          <w:rFonts w:eastAsia="Times New Roman" w:cs="Tahoma"/>
          <w:spacing w:val="-4"/>
          <w:szCs w:val="24"/>
          <w:lang w:eastAsia="es-ES"/>
        </w:rPr>
        <w:t xml:space="preserve">, </w:t>
      </w:r>
      <w:r>
        <w:rPr>
          <w:rFonts w:eastAsia="Times New Roman" w:cs="Tahoma"/>
          <w:szCs w:val="24"/>
          <w:lang w:eastAsia="es-ES"/>
        </w:rPr>
        <w:t>explicando en qué consiste cada uno de esos conceptos. Dicho recuento histórico, se compendia de la siguiente manera:</w:t>
      </w:r>
    </w:p>
    <w:p w14:paraId="071AD718" w14:textId="77777777" w:rsidR="00942F30" w:rsidRDefault="00942F30" w:rsidP="00942F30">
      <w:pPr>
        <w:spacing w:line="276" w:lineRule="auto"/>
        <w:ind w:firstLine="708"/>
        <w:jc w:val="left"/>
        <w:rPr>
          <w:rFonts w:eastAsia="Times New Roman" w:cs="Tahoma"/>
          <w:szCs w:val="24"/>
          <w:lang w:eastAsia="es-ES"/>
        </w:rPr>
      </w:pPr>
    </w:p>
    <w:p w14:paraId="2BBA5CC8" w14:textId="77777777" w:rsidR="00942F30" w:rsidRDefault="00942F30" w:rsidP="00942F30">
      <w:pPr>
        <w:spacing w:line="240" w:lineRule="auto"/>
        <w:ind w:left="426" w:right="420"/>
        <w:textAlignment w:val="baseline"/>
        <w:rPr>
          <w:rFonts w:eastAsia="Times New Roman" w:cs="Tahoma"/>
          <w:sz w:val="22"/>
          <w:szCs w:val="24"/>
          <w:lang w:val="es-ES" w:eastAsia="es-ES"/>
        </w:rPr>
      </w:pPr>
      <w:bookmarkStart w:id="3" w:name="_Hlk66368436"/>
      <w:r>
        <w:rPr>
          <w:rFonts w:eastAsia="Times New Roman" w:cs="Tahoma"/>
          <w:i/>
          <w:iCs/>
          <w:sz w:val="22"/>
          <w:szCs w:val="24"/>
          <w:lang w:eastAsia="es-ES"/>
        </w:rPr>
        <w:t>“El anterior recuento sobre la evolución normativa del deber de información a cargo de las administradoras de pensiones podría, a grandes rasgos, sintetizarse así:</w:t>
      </w:r>
    </w:p>
    <w:p w14:paraId="27862CD0" w14:textId="77777777" w:rsidR="00942F30" w:rsidRDefault="00942F30" w:rsidP="00942F30">
      <w:pPr>
        <w:spacing w:line="240" w:lineRule="auto"/>
        <w:ind w:left="426" w:right="420"/>
        <w:textAlignment w:val="baseline"/>
        <w:rPr>
          <w:rFonts w:eastAsia="Times New Roman" w:cs="Tahoma"/>
          <w:sz w:val="22"/>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942F30" w14:paraId="432BE24C" w14:textId="77777777" w:rsidTr="00942F3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71FE54" w14:textId="77777777" w:rsidR="00942F30" w:rsidRDefault="00942F30">
            <w:pPr>
              <w:spacing w:line="276" w:lineRule="auto"/>
              <w:textAlignment w:val="baseline"/>
              <w:rPr>
                <w:rFonts w:eastAsia="Times New Roman" w:cs="Tahoma"/>
                <w:sz w:val="20"/>
                <w:szCs w:val="24"/>
                <w:lang w:eastAsia="es-ES"/>
              </w:rPr>
            </w:pPr>
            <w:r>
              <w:rPr>
                <w:rFonts w:eastAsia="Times New Roman" w:cs="Tahoma"/>
                <w:b/>
                <w:bCs/>
                <w:i/>
                <w:iCs/>
                <w:sz w:val="20"/>
                <w:szCs w:val="24"/>
                <w:lang w:eastAsia="es-ES"/>
              </w:rPr>
              <w:t>Etapa acumulativa</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D36C364" w14:textId="77777777" w:rsidR="00942F30" w:rsidRDefault="00942F30">
            <w:pPr>
              <w:spacing w:line="276" w:lineRule="auto"/>
              <w:textAlignment w:val="baseline"/>
              <w:rPr>
                <w:rFonts w:eastAsia="Times New Roman" w:cs="Tahoma"/>
                <w:sz w:val="20"/>
                <w:szCs w:val="24"/>
                <w:lang w:eastAsia="es-ES"/>
              </w:rPr>
            </w:pPr>
            <w:r>
              <w:rPr>
                <w:rFonts w:eastAsia="Times New Roman" w:cs="Tahoma"/>
                <w:b/>
                <w:bCs/>
                <w:i/>
                <w:iCs/>
                <w:sz w:val="20"/>
                <w:szCs w:val="24"/>
                <w:lang w:eastAsia="es-ES"/>
              </w:rPr>
              <w:t>Normas que obligan a las administradoras de pensiones a dar información</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8F2BC3A" w14:textId="77777777" w:rsidR="00942F30" w:rsidRDefault="00942F30">
            <w:pPr>
              <w:spacing w:line="276" w:lineRule="auto"/>
              <w:textAlignment w:val="baseline"/>
              <w:rPr>
                <w:rFonts w:eastAsia="Times New Roman" w:cs="Tahoma"/>
                <w:sz w:val="20"/>
                <w:szCs w:val="24"/>
                <w:lang w:eastAsia="es-ES"/>
              </w:rPr>
            </w:pPr>
            <w:r>
              <w:rPr>
                <w:rFonts w:eastAsia="Times New Roman" w:cs="Tahoma"/>
                <w:b/>
                <w:bCs/>
                <w:i/>
                <w:iCs/>
                <w:sz w:val="20"/>
                <w:szCs w:val="24"/>
                <w:lang w:eastAsia="es-ES"/>
              </w:rPr>
              <w:t>Contenido mínimo y alcance del deber de información</w:t>
            </w:r>
            <w:r>
              <w:rPr>
                <w:rFonts w:eastAsia="Times New Roman" w:cs="Tahoma"/>
                <w:sz w:val="20"/>
                <w:szCs w:val="24"/>
                <w:lang w:eastAsia="es-ES"/>
              </w:rPr>
              <w:t> </w:t>
            </w:r>
          </w:p>
        </w:tc>
      </w:tr>
      <w:tr w:rsidR="00942F30" w14:paraId="41176C7A" w14:textId="77777777" w:rsidTr="00942F3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59566AA"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Deber de información </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F902E32"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Arts. 13 literal b), 271 y 272 de la Ley 100 de 1993</w:t>
            </w:r>
            <w:r>
              <w:rPr>
                <w:rFonts w:eastAsia="Times New Roman" w:cs="Tahoma"/>
                <w:sz w:val="20"/>
                <w:szCs w:val="24"/>
                <w:lang w:eastAsia="es-ES"/>
              </w:rPr>
              <w:t> </w:t>
            </w:r>
          </w:p>
          <w:p w14:paraId="694914F8"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 97, numeral 1 del Decreto 663 de 1993, modificado por el artículo 23 de la Ley 797 de 2003</w:t>
            </w:r>
            <w:r>
              <w:rPr>
                <w:rFonts w:eastAsia="Times New Roman" w:cs="Tahoma"/>
                <w:sz w:val="20"/>
                <w:szCs w:val="24"/>
                <w:lang w:eastAsia="es-ES"/>
              </w:rPr>
              <w:t> </w:t>
            </w:r>
          </w:p>
          <w:p w14:paraId="33B66202"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 xml:space="preserve">Disposiciones constitucionales relativas al derecho a la información, no menoscabo de </w:t>
            </w:r>
            <w:r>
              <w:rPr>
                <w:rFonts w:eastAsia="Times New Roman" w:cs="Tahoma"/>
                <w:i/>
                <w:iCs/>
                <w:sz w:val="20"/>
                <w:szCs w:val="24"/>
                <w:lang w:eastAsia="es-ES"/>
              </w:rPr>
              <w:lastRenderedPageBreak/>
              <w:t>derechos laborales y autonomía personal</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6DAC07D"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lastRenderedPageBreak/>
              <w:t>Ilustración de las características, condiciones, acceso, efectos y riesgos de cada uno de los regímenes pensionales, lo que incluye dar a conocer la existencia de un régimen de transición y la eventual pérdida de beneficios pensionales</w:t>
            </w:r>
            <w:r>
              <w:rPr>
                <w:rFonts w:eastAsia="Times New Roman" w:cs="Tahoma"/>
                <w:sz w:val="20"/>
                <w:szCs w:val="24"/>
                <w:lang w:eastAsia="es-ES"/>
              </w:rPr>
              <w:t> </w:t>
            </w:r>
          </w:p>
        </w:tc>
      </w:tr>
      <w:tr w:rsidR="00942F30" w14:paraId="2686BD9F" w14:textId="77777777" w:rsidTr="00942F3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AA961E8"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Deber de información, asesoría y buen consejo</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F1DD61A"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Artículo 3, literal c) de la Ley 1328 de 2009</w:t>
            </w:r>
            <w:r>
              <w:rPr>
                <w:rFonts w:eastAsia="Times New Roman" w:cs="Tahoma"/>
                <w:sz w:val="20"/>
                <w:szCs w:val="24"/>
                <w:lang w:eastAsia="es-ES"/>
              </w:rPr>
              <w:t> </w:t>
            </w:r>
          </w:p>
          <w:p w14:paraId="06AB6E9A"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Decreto 2241 de 2010</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9BEC489" w14:textId="3D48B0EE"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 xml:space="preserve">Implica el análisis previo, calificado y </w:t>
            </w:r>
            <w:r w:rsidR="00E01054">
              <w:rPr>
                <w:rFonts w:eastAsia="Times New Roman" w:cs="Tahoma"/>
                <w:i/>
                <w:iCs/>
                <w:sz w:val="20"/>
                <w:szCs w:val="24"/>
                <w:lang w:eastAsia="es-ES"/>
              </w:rPr>
              <w:t>global de</w:t>
            </w:r>
            <w:r>
              <w:rPr>
                <w:rFonts w:eastAsia="Times New Roman" w:cs="Tahoma"/>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Pr>
                <w:rFonts w:eastAsia="Times New Roman" w:cs="Tahoma"/>
                <w:sz w:val="20"/>
                <w:szCs w:val="24"/>
                <w:lang w:eastAsia="es-ES"/>
              </w:rPr>
              <w:t> </w:t>
            </w:r>
          </w:p>
        </w:tc>
      </w:tr>
      <w:tr w:rsidR="00942F30" w14:paraId="584179DE" w14:textId="77777777" w:rsidTr="00942F30">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A254E5C"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Deber de información, asesoría, buen consejo y doble asesoría. </w:t>
            </w:r>
            <w:r>
              <w:rPr>
                <w:rFonts w:eastAsia="Times New Roman"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43BF1D8"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Ley 1748 de 2014</w:t>
            </w:r>
            <w:r>
              <w:rPr>
                <w:rFonts w:eastAsia="Times New Roman" w:cs="Tahoma"/>
                <w:sz w:val="20"/>
                <w:szCs w:val="24"/>
                <w:lang w:eastAsia="es-ES"/>
              </w:rPr>
              <w:t> </w:t>
            </w:r>
          </w:p>
          <w:p w14:paraId="2AB9BDD1"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Artículo 3 del Decreto 2071 de 2015</w:t>
            </w:r>
            <w:r>
              <w:rPr>
                <w:rFonts w:eastAsia="Times New Roman" w:cs="Tahoma"/>
                <w:sz w:val="20"/>
                <w:szCs w:val="24"/>
                <w:lang w:eastAsia="es-ES"/>
              </w:rPr>
              <w:t> </w:t>
            </w:r>
          </w:p>
          <w:p w14:paraId="32B3C64E"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Circular Externa n. 016 de 2016</w:t>
            </w:r>
            <w:r>
              <w:rPr>
                <w:rFonts w:eastAsia="Times New Roman"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5CB6DD6" w14:textId="77777777" w:rsidR="00942F30" w:rsidRDefault="00942F30">
            <w:pPr>
              <w:spacing w:line="276" w:lineRule="auto"/>
              <w:textAlignment w:val="baseline"/>
              <w:rPr>
                <w:rFonts w:eastAsia="Times New Roman" w:cs="Tahoma"/>
                <w:sz w:val="20"/>
                <w:szCs w:val="24"/>
                <w:lang w:eastAsia="es-ES"/>
              </w:rPr>
            </w:pPr>
            <w:r>
              <w:rPr>
                <w:rFonts w:eastAsia="Times New Roman" w:cs="Tahoma"/>
                <w:i/>
                <w:iCs/>
                <w:sz w:val="20"/>
                <w:szCs w:val="24"/>
                <w:lang w:eastAsia="es-ES"/>
              </w:rPr>
              <w:t>Junto con lo anterior, lleva inmerso el derecho a obtener asesoría de los representantes de ambos regímenes pensionales.</w:t>
            </w:r>
            <w:r>
              <w:rPr>
                <w:rFonts w:eastAsia="Times New Roman" w:cs="Tahoma"/>
                <w:sz w:val="20"/>
                <w:szCs w:val="24"/>
                <w:lang w:eastAsia="es-ES"/>
              </w:rPr>
              <w:t> </w:t>
            </w:r>
          </w:p>
        </w:tc>
      </w:tr>
    </w:tbl>
    <w:p w14:paraId="62ED0C4B" w14:textId="77777777" w:rsidR="00942F30" w:rsidRDefault="00942F30" w:rsidP="00942F30">
      <w:pPr>
        <w:spacing w:line="240" w:lineRule="auto"/>
        <w:ind w:left="426" w:right="420" w:firstLine="709"/>
        <w:rPr>
          <w:rFonts w:eastAsia="Calibri" w:cs="Tahoma"/>
          <w:b/>
          <w:i/>
          <w:spacing w:val="-4"/>
          <w:sz w:val="22"/>
          <w:szCs w:val="24"/>
          <w:lang w:val="es-ES"/>
        </w:rPr>
      </w:pPr>
    </w:p>
    <w:bookmarkEnd w:id="3"/>
    <w:p w14:paraId="3AFD807F" w14:textId="77777777" w:rsidR="00942F30" w:rsidRDefault="00942F30" w:rsidP="00942F30">
      <w:pPr>
        <w:spacing w:line="240" w:lineRule="auto"/>
        <w:ind w:left="426" w:right="420" w:firstLine="709"/>
        <w:rPr>
          <w:rFonts w:eastAsia="Calibri" w:cs="Tahoma"/>
          <w:b/>
          <w:i/>
          <w:sz w:val="22"/>
          <w:szCs w:val="24"/>
        </w:rPr>
      </w:pPr>
      <w:r>
        <w:rPr>
          <w:rFonts w:eastAsia="Calibri" w:cs="Tahoma"/>
          <w:b/>
          <w:i/>
          <w:sz w:val="22"/>
          <w:szCs w:val="24"/>
        </w:rPr>
        <w:t>1.4 Conclusión: La constatación del deber de información es ineludible</w:t>
      </w:r>
    </w:p>
    <w:p w14:paraId="2A376D84" w14:textId="77777777" w:rsidR="00942F30" w:rsidRDefault="00942F30" w:rsidP="00942F30">
      <w:pPr>
        <w:spacing w:line="240" w:lineRule="auto"/>
        <w:ind w:left="426" w:right="420" w:firstLine="709"/>
        <w:rPr>
          <w:rFonts w:eastAsia="Calibri" w:cs="Tahoma"/>
          <w:b/>
          <w:i/>
          <w:sz w:val="22"/>
          <w:szCs w:val="24"/>
        </w:rPr>
      </w:pPr>
    </w:p>
    <w:p w14:paraId="2B713194" w14:textId="77777777" w:rsidR="00942F30" w:rsidRDefault="00942F30" w:rsidP="00942F30">
      <w:pPr>
        <w:spacing w:line="240" w:lineRule="auto"/>
        <w:ind w:left="426" w:right="420" w:firstLine="1"/>
        <w:rPr>
          <w:rFonts w:eastAsia="Calibri" w:cs="Tahoma"/>
          <w:i/>
          <w:sz w:val="22"/>
          <w:szCs w:val="24"/>
        </w:rPr>
      </w:pPr>
      <w:r>
        <w:rPr>
          <w:rFonts w:eastAsia="Calibri" w:cs="Tahoma"/>
          <w:i/>
          <w:sz w:val="22"/>
          <w:szCs w:val="24"/>
        </w:rPr>
        <w:t xml:space="preserve">Según se pudo advertir del anterior recuento, </w:t>
      </w:r>
      <w:r>
        <w:rPr>
          <w:rFonts w:eastAsia="Calibri" w:cs="Tahoma"/>
          <w:b/>
          <w:i/>
          <w:sz w:val="22"/>
          <w:szCs w:val="24"/>
        </w:rPr>
        <w:t>las AFP, desde su creación, tenían el deber de brindar información a los afiliados o usuarios del sistema pensional a fin de que estos pudiesen adoptar una decisión consciente y realmente libre sobre su futuro pensional.</w:t>
      </w:r>
      <w:r>
        <w:rPr>
          <w:rFonts w:eastAsia="Calibri" w:cs="Tahoma"/>
          <w:i/>
          <w:sz w:val="22"/>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087BF54" w14:textId="77777777" w:rsidR="00942F30" w:rsidRDefault="00942F30" w:rsidP="00942F30">
      <w:pPr>
        <w:spacing w:line="240" w:lineRule="auto"/>
        <w:ind w:left="426" w:right="420" w:firstLine="1"/>
        <w:rPr>
          <w:rFonts w:eastAsia="Calibri" w:cs="Tahoma"/>
          <w:i/>
          <w:sz w:val="22"/>
          <w:szCs w:val="24"/>
        </w:rPr>
      </w:pPr>
    </w:p>
    <w:p w14:paraId="62C3B4B5" w14:textId="77777777" w:rsidR="00942F30" w:rsidRDefault="00942F30" w:rsidP="00942F30">
      <w:pPr>
        <w:spacing w:line="240" w:lineRule="auto"/>
        <w:ind w:left="426" w:right="420"/>
        <w:rPr>
          <w:rFonts w:eastAsia="Calibri" w:cs="Tahoma"/>
          <w:i/>
          <w:sz w:val="22"/>
          <w:szCs w:val="24"/>
        </w:rPr>
      </w:pPr>
      <w:r>
        <w:rPr>
          <w:rFonts w:eastAsia="Calibri" w:cs="Tahoma"/>
          <w:i/>
          <w:sz w:val="22"/>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08F870A1" w14:textId="77777777" w:rsidR="00942F30" w:rsidRDefault="00942F30" w:rsidP="00942F30">
      <w:pPr>
        <w:spacing w:line="240" w:lineRule="auto"/>
        <w:ind w:left="426" w:right="420" w:firstLine="709"/>
        <w:rPr>
          <w:rFonts w:eastAsia="Calibri" w:cs="Tahoma"/>
          <w:i/>
          <w:sz w:val="22"/>
          <w:szCs w:val="24"/>
        </w:rPr>
      </w:pPr>
    </w:p>
    <w:p w14:paraId="3E05810B" w14:textId="77777777" w:rsidR="00942F30" w:rsidRDefault="00942F30" w:rsidP="00942F30">
      <w:pPr>
        <w:spacing w:line="240" w:lineRule="auto"/>
        <w:ind w:left="426" w:right="420"/>
        <w:rPr>
          <w:rFonts w:eastAsia="Calibri" w:cs="Tahoma"/>
          <w:i/>
          <w:sz w:val="22"/>
          <w:szCs w:val="24"/>
        </w:rPr>
      </w:pPr>
      <w:r>
        <w:rPr>
          <w:rFonts w:eastAsia="Calibri" w:cs="Tahoma"/>
          <w:i/>
          <w:sz w:val="22"/>
          <w:szCs w:val="24"/>
        </w:rPr>
        <w:t xml:space="preserve">Adicionalmente, la Sala no puede pasar por alto la indebida fundamentación con la que </w:t>
      </w:r>
      <w:r>
        <w:rPr>
          <w:rFonts w:eastAsia="Calibri" w:cs="Tahoma"/>
          <w:bCs/>
          <w:i/>
          <w:sz w:val="22"/>
          <w:szCs w:val="24"/>
        </w:rPr>
        <w:t>la Sala Primera de Decisión Laboral del Tribunal de Medellín</w:t>
      </w:r>
      <w:r>
        <w:rPr>
          <w:rFonts w:eastAsia="Calibri" w:cs="Tahoma"/>
          <w:i/>
          <w:sz w:val="22"/>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4345171" w14:textId="77777777" w:rsidR="00942F30" w:rsidRDefault="00942F30" w:rsidP="00942F30">
      <w:pPr>
        <w:spacing w:line="276" w:lineRule="auto"/>
        <w:ind w:left="708" w:firstLine="709"/>
        <w:rPr>
          <w:rFonts w:cs="Tahoma"/>
          <w:i/>
          <w:spacing w:val="-4"/>
          <w:szCs w:val="24"/>
        </w:rPr>
      </w:pPr>
    </w:p>
    <w:p w14:paraId="16256313" w14:textId="77777777" w:rsidR="00942F30" w:rsidRDefault="00942F30" w:rsidP="00942F30">
      <w:pPr>
        <w:spacing w:line="276" w:lineRule="auto"/>
        <w:ind w:firstLine="644"/>
        <w:rPr>
          <w:rFonts w:cs="Tahoma"/>
          <w:spacing w:val="-4"/>
          <w:szCs w:val="24"/>
        </w:rPr>
      </w:pPr>
      <w:r>
        <w:rPr>
          <w:rFonts w:cs="Tahoma"/>
          <w:spacing w:val="-4"/>
          <w:szCs w:val="24"/>
        </w:rPr>
        <w:t>Con lo dicho precedentemente queda resuelto el primer problema jurídico.</w:t>
      </w:r>
    </w:p>
    <w:p w14:paraId="33568FAB" w14:textId="77777777" w:rsidR="00942F30" w:rsidRDefault="00942F30" w:rsidP="00942F30">
      <w:pPr>
        <w:spacing w:line="276" w:lineRule="auto"/>
        <w:ind w:firstLine="644"/>
        <w:rPr>
          <w:rFonts w:cs="Tahoma"/>
          <w:spacing w:val="-4"/>
          <w:szCs w:val="24"/>
        </w:rPr>
      </w:pPr>
    </w:p>
    <w:p w14:paraId="1AD25CB4" w14:textId="77777777" w:rsidR="00942F30" w:rsidRDefault="00942F30" w:rsidP="00942F30">
      <w:pPr>
        <w:numPr>
          <w:ilvl w:val="1"/>
          <w:numId w:val="9"/>
        </w:numPr>
        <w:spacing w:line="276" w:lineRule="auto"/>
        <w:ind w:left="0" w:firstLine="709"/>
        <w:contextualSpacing/>
        <w:rPr>
          <w:rFonts w:eastAsia="Times New Roman" w:cs="Tahoma"/>
          <w:iCs/>
          <w:spacing w:val="-4"/>
          <w:szCs w:val="24"/>
          <w:lang w:eastAsia="es-ES"/>
        </w:rPr>
      </w:pPr>
      <w:r>
        <w:rPr>
          <w:rFonts w:eastAsia="Times New Roman" w:cs="Tahoma"/>
          <w:b/>
          <w:iCs/>
          <w:spacing w:val="-4"/>
          <w:szCs w:val="24"/>
          <w:lang w:eastAsia="es-ES"/>
        </w:rPr>
        <w:t xml:space="preserve">“El simple consentimiento vertido en el formulario de afiliación es insuficiente – Necesidad de un consentimiento informado” </w:t>
      </w:r>
      <w:r>
        <w:rPr>
          <w:rFonts w:eastAsia="Times New Roman" w:cs="Tahoma"/>
          <w:b/>
          <w:iCs/>
          <w:spacing w:val="-4"/>
          <w:szCs w:val="24"/>
          <w:vertAlign w:val="superscript"/>
          <w:lang w:eastAsia="es-ES"/>
        </w:rPr>
        <w:footnoteReference w:id="3"/>
      </w:r>
      <w:r>
        <w:rPr>
          <w:rFonts w:eastAsia="Times New Roman" w:cs="Tahoma"/>
          <w:iCs/>
          <w:spacing w:val="-4"/>
          <w:szCs w:val="24"/>
          <w:lang w:eastAsia="es-ES"/>
        </w:rPr>
        <w:t xml:space="preserve"> </w:t>
      </w:r>
    </w:p>
    <w:p w14:paraId="133B271B" w14:textId="77777777" w:rsidR="00942F30" w:rsidRDefault="00942F30" w:rsidP="00942F30">
      <w:pPr>
        <w:spacing w:line="276" w:lineRule="auto"/>
        <w:ind w:firstLine="709"/>
        <w:rPr>
          <w:rFonts w:cs="Tahoma"/>
          <w:spacing w:val="-4"/>
          <w:szCs w:val="24"/>
        </w:rPr>
      </w:pPr>
    </w:p>
    <w:p w14:paraId="5F57F5BF" w14:textId="77777777" w:rsidR="00942F30" w:rsidRDefault="00942F30" w:rsidP="00942F30">
      <w:pPr>
        <w:spacing w:line="276" w:lineRule="auto"/>
        <w:ind w:firstLine="709"/>
        <w:rPr>
          <w:rFonts w:cs="Tahoma"/>
          <w:spacing w:val="-4"/>
          <w:szCs w:val="24"/>
        </w:rPr>
      </w:pPr>
      <w:r>
        <w:rPr>
          <w:rFonts w:cs="Tahoma"/>
          <w:spacing w:val="-4"/>
          <w:szCs w:val="24"/>
        </w:rPr>
        <w:t xml:space="preserve">El segundo problema jurídico relativo al valor probatorio de los formularios de afiliación, fue abordado en la sentencia a la que venimos haciendo referencia, en el sentido </w:t>
      </w:r>
      <w:r>
        <w:rPr>
          <w:rFonts w:cs="Tahoma"/>
          <w:spacing w:val="-4"/>
          <w:szCs w:val="24"/>
        </w:rPr>
        <w:lastRenderedPageBreak/>
        <w:t xml:space="preserve">de que los formularios de afiliación a lo sumo acreditan un consentimiento, </w:t>
      </w:r>
      <w:r>
        <w:rPr>
          <w:rFonts w:cs="Tahoma"/>
          <w:b/>
          <w:spacing w:val="-4"/>
          <w:szCs w:val="24"/>
        </w:rPr>
        <w:t>pero no informado</w:t>
      </w:r>
      <w:r>
        <w:rPr>
          <w:rFonts w:cs="Tahoma"/>
          <w:spacing w:val="-4"/>
          <w:szCs w:val="24"/>
        </w:rPr>
        <w:t xml:space="preserve">, tal como se expresa a continuación: </w:t>
      </w:r>
    </w:p>
    <w:p w14:paraId="4C7B9067" w14:textId="77777777" w:rsidR="00942F30" w:rsidRDefault="00942F30" w:rsidP="00942F30">
      <w:pPr>
        <w:spacing w:line="276" w:lineRule="auto"/>
        <w:ind w:firstLine="709"/>
        <w:rPr>
          <w:rFonts w:cs="Tahoma"/>
          <w:spacing w:val="-4"/>
          <w:szCs w:val="24"/>
        </w:rPr>
      </w:pPr>
    </w:p>
    <w:p w14:paraId="3B5FAE76" w14:textId="77777777" w:rsidR="00942F30" w:rsidRDefault="00942F30" w:rsidP="00942F30">
      <w:pPr>
        <w:spacing w:line="240" w:lineRule="auto"/>
        <w:ind w:left="426" w:right="420" w:firstLine="1"/>
        <w:rPr>
          <w:rFonts w:eastAsia="Calibri" w:cs="Tahoma"/>
          <w:i/>
          <w:sz w:val="22"/>
          <w:szCs w:val="24"/>
          <w:lang w:val="es-ES"/>
        </w:rPr>
      </w:pPr>
      <w:r>
        <w:rPr>
          <w:rFonts w:eastAsia="Calibri" w:cs="Tahoma"/>
          <w:i/>
          <w:sz w:val="22"/>
          <w:szCs w:val="24"/>
        </w:rPr>
        <w:t xml:space="preserve">“Para el Tribunal el consentimiento informado no es predicable del acto jurídico de traslado, pues basta la consignación en el formulario de que la afiliación se hizo de manera libre y voluntaria. </w:t>
      </w:r>
    </w:p>
    <w:p w14:paraId="60B4C60C" w14:textId="77777777" w:rsidR="00942F30" w:rsidRDefault="00942F30" w:rsidP="00942F30">
      <w:pPr>
        <w:spacing w:line="240" w:lineRule="auto"/>
        <w:ind w:left="426" w:right="420" w:firstLine="1"/>
        <w:rPr>
          <w:rFonts w:eastAsia="Calibri" w:cs="Tahoma"/>
          <w:i/>
          <w:sz w:val="22"/>
          <w:szCs w:val="24"/>
        </w:rPr>
      </w:pPr>
    </w:p>
    <w:p w14:paraId="121EAAC1" w14:textId="77777777" w:rsidR="00942F30" w:rsidRDefault="00942F30" w:rsidP="00942F30">
      <w:pPr>
        <w:spacing w:line="240" w:lineRule="auto"/>
        <w:ind w:left="426" w:right="420" w:firstLine="1"/>
        <w:rPr>
          <w:rFonts w:eastAsia="Calibri" w:cs="Tahoma"/>
          <w:i/>
          <w:sz w:val="22"/>
          <w:szCs w:val="24"/>
        </w:rPr>
      </w:pPr>
      <w:r>
        <w:rPr>
          <w:rFonts w:eastAsia="Calibri" w:cs="Tahoma"/>
          <w:i/>
          <w:sz w:val="22"/>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3D897346" w14:textId="77777777" w:rsidR="00942F30" w:rsidRDefault="00942F30" w:rsidP="00942F30">
      <w:pPr>
        <w:spacing w:line="240" w:lineRule="auto"/>
        <w:ind w:left="426" w:right="420" w:firstLine="1"/>
        <w:rPr>
          <w:rFonts w:eastAsia="Calibri" w:cs="Tahoma"/>
          <w:i/>
          <w:sz w:val="22"/>
          <w:szCs w:val="24"/>
        </w:rPr>
      </w:pPr>
    </w:p>
    <w:p w14:paraId="5D181101" w14:textId="77777777" w:rsidR="00942F30" w:rsidRDefault="00942F30" w:rsidP="00942F30">
      <w:pPr>
        <w:spacing w:line="240" w:lineRule="auto"/>
        <w:ind w:left="426" w:right="420" w:firstLine="1"/>
        <w:rPr>
          <w:rFonts w:eastAsia="Calibri" w:cs="Tahoma"/>
          <w:i/>
          <w:sz w:val="22"/>
          <w:szCs w:val="24"/>
        </w:rPr>
      </w:pPr>
      <w:r>
        <w:rPr>
          <w:rFonts w:eastAsia="Calibri" w:cs="Tahoma"/>
          <w:i/>
          <w:sz w:val="22"/>
          <w:szCs w:val="24"/>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7F5145A0" w14:textId="77777777" w:rsidR="00942F30" w:rsidRDefault="00942F30" w:rsidP="00942F30">
      <w:pPr>
        <w:spacing w:line="240" w:lineRule="auto"/>
        <w:ind w:left="426" w:right="420" w:firstLine="1"/>
        <w:rPr>
          <w:rFonts w:eastAsia="Calibri" w:cs="Tahoma"/>
          <w:i/>
          <w:sz w:val="22"/>
          <w:szCs w:val="24"/>
        </w:rPr>
      </w:pPr>
    </w:p>
    <w:p w14:paraId="6BE90B66" w14:textId="77777777" w:rsidR="00942F30" w:rsidRDefault="00942F30" w:rsidP="00942F30">
      <w:pPr>
        <w:spacing w:line="240" w:lineRule="auto"/>
        <w:ind w:left="426" w:right="420" w:firstLine="1"/>
        <w:rPr>
          <w:rFonts w:eastAsia="Calibri" w:cs="Tahoma"/>
          <w:i/>
          <w:sz w:val="22"/>
          <w:szCs w:val="24"/>
        </w:rPr>
      </w:pPr>
      <w:r>
        <w:rPr>
          <w:rFonts w:eastAsia="Calibri" w:cs="Tahoma"/>
          <w:i/>
          <w:sz w:val="22"/>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667470E" w14:textId="77777777" w:rsidR="00942F30" w:rsidRDefault="00942F30" w:rsidP="00942F30">
      <w:pPr>
        <w:widowControl w:val="0"/>
        <w:tabs>
          <w:tab w:val="left" w:pos="709"/>
        </w:tabs>
        <w:autoSpaceDE w:val="0"/>
        <w:autoSpaceDN w:val="0"/>
        <w:adjustRightInd w:val="0"/>
        <w:spacing w:line="276" w:lineRule="auto"/>
        <w:ind w:firstLine="709"/>
        <w:rPr>
          <w:rFonts w:cs="Tahoma"/>
          <w:bCs/>
          <w:szCs w:val="24"/>
        </w:rPr>
      </w:pPr>
    </w:p>
    <w:p w14:paraId="231DDFCB" w14:textId="77777777" w:rsidR="00942F30" w:rsidRDefault="00942F30" w:rsidP="00942F30">
      <w:pPr>
        <w:widowControl w:val="0"/>
        <w:tabs>
          <w:tab w:val="left" w:pos="709"/>
        </w:tabs>
        <w:autoSpaceDE w:val="0"/>
        <w:autoSpaceDN w:val="0"/>
        <w:adjustRightInd w:val="0"/>
        <w:spacing w:line="276" w:lineRule="auto"/>
        <w:ind w:firstLine="709"/>
        <w:rPr>
          <w:rFonts w:cs="Tahoma"/>
          <w:bCs/>
          <w:szCs w:val="24"/>
        </w:rPr>
      </w:pPr>
      <w:r>
        <w:rPr>
          <w:rFonts w:cs="Tahoma"/>
          <w:bCs/>
          <w:szCs w:val="24"/>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Pr>
          <w:rStyle w:val="Refdenotaalpie"/>
          <w:rFonts w:cs="Tahoma"/>
          <w:bCs/>
          <w:szCs w:val="24"/>
        </w:rPr>
        <w:footnoteReference w:id="4"/>
      </w:r>
      <w:r>
        <w:rPr>
          <w:rFonts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C1F4450" w14:textId="77777777" w:rsidR="00942F30" w:rsidRDefault="00942F30" w:rsidP="00942F30">
      <w:pPr>
        <w:tabs>
          <w:tab w:val="left" w:pos="709"/>
        </w:tabs>
        <w:spacing w:line="276" w:lineRule="auto"/>
        <w:ind w:firstLine="709"/>
        <w:rPr>
          <w:rFonts w:cs="Tahoma"/>
          <w:bCs/>
          <w:i/>
          <w:szCs w:val="24"/>
        </w:rPr>
      </w:pPr>
    </w:p>
    <w:p w14:paraId="668C9B89" w14:textId="77777777" w:rsidR="00942F30" w:rsidRDefault="00942F30" w:rsidP="00942F30">
      <w:pPr>
        <w:spacing w:line="240" w:lineRule="auto"/>
        <w:ind w:left="426" w:right="420"/>
        <w:rPr>
          <w:rFonts w:eastAsia="Calibri" w:cs="Tahoma"/>
          <w:i/>
          <w:sz w:val="22"/>
          <w:szCs w:val="24"/>
          <w:lang w:val="es-ES"/>
        </w:rPr>
      </w:pPr>
      <w:r>
        <w:rPr>
          <w:rFonts w:eastAsia="Calibri" w:cs="Tahoma"/>
          <w:i/>
          <w:sz w:val="22"/>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3B37B4E1" w14:textId="77777777" w:rsidR="00942F30" w:rsidRDefault="00942F30" w:rsidP="00942F30">
      <w:pPr>
        <w:spacing w:line="240" w:lineRule="auto"/>
        <w:ind w:left="426" w:right="420" w:firstLine="708"/>
        <w:rPr>
          <w:rFonts w:eastAsia="Calibri" w:cs="Tahoma"/>
          <w:b/>
          <w:i/>
          <w:sz w:val="22"/>
          <w:szCs w:val="24"/>
        </w:rPr>
      </w:pPr>
    </w:p>
    <w:p w14:paraId="6322FAF8" w14:textId="77777777" w:rsidR="00942F30" w:rsidRDefault="00942F30" w:rsidP="00942F30">
      <w:pPr>
        <w:tabs>
          <w:tab w:val="left" w:pos="709"/>
        </w:tabs>
        <w:spacing w:line="240" w:lineRule="auto"/>
        <w:ind w:left="426" w:right="420"/>
        <w:rPr>
          <w:rFonts w:eastAsia="Calibri" w:cs="Tahoma"/>
          <w:i/>
          <w:sz w:val="22"/>
          <w:szCs w:val="24"/>
        </w:rPr>
      </w:pPr>
      <w:r>
        <w:rPr>
          <w:rFonts w:eastAsia="Calibri" w:cs="Tahoma"/>
          <w:i/>
          <w:sz w:val="22"/>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w:t>
      </w:r>
      <w:r>
        <w:rPr>
          <w:rFonts w:eastAsia="Calibri" w:cs="Tahoma"/>
          <w:i/>
          <w:sz w:val="22"/>
          <w:szCs w:val="24"/>
        </w:rPr>
        <w:lastRenderedPageBreak/>
        <w:t>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5002F720" w14:textId="77777777" w:rsidR="00942F30" w:rsidRDefault="00942F30" w:rsidP="00942F30">
      <w:pPr>
        <w:widowControl w:val="0"/>
        <w:autoSpaceDE w:val="0"/>
        <w:autoSpaceDN w:val="0"/>
        <w:adjustRightInd w:val="0"/>
        <w:spacing w:line="276" w:lineRule="auto"/>
        <w:ind w:firstLine="284"/>
        <w:rPr>
          <w:rFonts w:cs="Tahoma"/>
          <w:bCs/>
          <w:szCs w:val="24"/>
        </w:rPr>
      </w:pPr>
    </w:p>
    <w:p w14:paraId="1CCF6A35" w14:textId="77777777" w:rsidR="00942F30" w:rsidRDefault="00942F30" w:rsidP="00942F30">
      <w:pPr>
        <w:widowControl w:val="0"/>
        <w:autoSpaceDE w:val="0"/>
        <w:autoSpaceDN w:val="0"/>
        <w:adjustRightInd w:val="0"/>
        <w:spacing w:line="276" w:lineRule="auto"/>
        <w:ind w:firstLine="284"/>
        <w:rPr>
          <w:rFonts w:cs="Tahoma"/>
          <w:szCs w:val="24"/>
        </w:rPr>
      </w:pPr>
      <w:r>
        <w:rPr>
          <w:rFonts w:cs="Tahoma"/>
          <w:bCs/>
          <w:szCs w:val="24"/>
        </w:rPr>
        <w:t xml:space="preserve">Igual cosa se ha predicado de las </w:t>
      </w:r>
      <w:proofErr w:type="spellStart"/>
      <w:r>
        <w:rPr>
          <w:rFonts w:cs="Tahoma"/>
          <w:bCs/>
          <w:szCs w:val="24"/>
        </w:rPr>
        <w:t>reasesorías</w:t>
      </w:r>
      <w:proofErr w:type="spellEnd"/>
      <w:r>
        <w:rPr>
          <w:rFonts w:cs="Tahoma"/>
          <w:bCs/>
          <w:szCs w:val="24"/>
        </w:rPr>
        <w:t xml:space="preserve"> posteriores dadas al interior de las AFP</w:t>
      </w:r>
      <w:r>
        <w:rPr>
          <w:rFonts w:cs="Tahoma"/>
          <w:szCs w:val="24"/>
        </w:rPr>
        <w:t xml:space="preserve">, las cuales tampoco convalidan el traslado, como quedó dicho en la citada sentencia del 8 de mayo de 2019 SL 1688-2019, así: </w:t>
      </w:r>
    </w:p>
    <w:p w14:paraId="5C2A3617" w14:textId="77777777" w:rsidR="00942F30" w:rsidRDefault="00942F30" w:rsidP="00942F30">
      <w:pPr>
        <w:widowControl w:val="0"/>
        <w:autoSpaceDE w:val="0"/>
        <w:autoSpaceDN w:val="0"/>
        <w:adjustRightInd w:val="0"/>
        <w:spacing w:line="276" w:lineRule="auto"/>
        <w:ind w:firstLine="284"/>
        <w:rPr>
          <w:rFonts w:cs="Tahoma"/>
          <w:i/>
          <w:iCs/>
          <w:szCs w:val="24"/>
        </w:rPr>
      </w:pPr>
      <w:r>
        <w:rPr>
          <w:rFonts w:cs="Tahoma"/>
          <w:szCs w:val="24"/>
        </w:rPr>
        <w:t xml:space="preserve">  </w:t>
      </w:r>
    </w:p>
    <w:p w14:paraId="5A69EB18" w14:textId="77777777" w:rsidR="00942F30" w:rsidRDefault="00942F30" w:rsidP="00942F30">
      <w:pPr>
        <w:spacing w:line="240" w:lineRule="auto"/>
        <w:ind w:left="426" w:right="420"/>
        <w:rPr>
          <w:rFonts w:eastAsia="Calibri" w:cs="Tahoma"/>
          <w:i/>
          <w:sz w:val="22"/>
          <w:szCs w:val="24"/>
        </w:rPr>
      </w:pPr>
      <w:r>
        <w:rPr>
          <w:rFonts w:eastAsia="Calibri" w:cs="Tahoma"/>
          <w:i/>
          <w:sz w:val="22"/>
          <w:szCs w:val="24"/>
        </w:rPr>
        <w:t xml:space="preserve">“Ahora, si bien la AFP brindó a la actora una </w:t>
      </w:r>
      <w:proofErr w:type="spellStart"/>
      <w:r>
        <w:rPr>
          <w:rFonts w:eastAsia="Calibri" w:cs="Tahoma"/>
          <w:i/>
          <w:sz w:val="22"/>
          <w:szCs w:val="24"/>
        </w:rPr>
        <w:t>reasesoría</w:t>
      </w:r>
      <w:proofErr w:type="spellEnd"/>
      <w:r>
        <w:rPr>
          <w:rFonts w:eastAsia="Calibri" w:cs="Tahoma"/>
          <w:i/>
          <w:sz w:val="22"/>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2C6CD049" w14:textId="77777777" w:rsidR="00942F30" w:rsidRDefault="00942F30" w:rsidP="00942F30">
      <w:pPr>
        <w:spacing w:line="240" w:lineRule="auto"/>
        <w:ind w:left="426" w:right="420" w:firstLine="709"/>
        <w:rPr>
          <w:rFonts w:eastAsia="Arial Narrow" w:cs="Tahoma"/>
          <w:i/>
          <w:iCs/>
          <w:sz w:val="22"/>
          <w:szCs w:val="24"/>
        </w:rPr>
      </w:pPr>
      <w:r>
        <w:rPr>
          <w:rFonts w:eastAsia="Arial Narrow" w:cs="Tahoma"/>
          <w:i/>
          <w:iCs/>
          <w:sz w:val="22"/>
          <w:szCs w:val="24"/>
        </w:rPr>
        <w:t xml:space="preserve"> </w:t>
      </w:r>
    </w:p>
    <w:p w14:paraId="657F4ED1" w14:textId="77777777" w:rsidR="00942F30" w:rsidRDefault="00942F30" w:rsidP="00942F30">
      <w:pPr>
        <w:spacing w:line="240" w:lineRule="auto"/>
        <w:ind w:left="426" w:right="420"/>
        <w:rPr>
          <w:rFonts w:eastAsia="Calibri" w:cs="Tahoma"/>
          <w:i/>
          <w:sz w:val="22"/>
          <w:szCs w:val="24"/>
        </w:rPr>
      </w:pPr>
      <w:r>
        <w:rPr>
          <w:rFonts w:eastAsia="Calibri" w:cs="Tahoma"/>
          <w:i/>
          <w:sz w:val="22"/>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Pr>
          <w:rFonts w:eastAsia="Calibri" w:cs="Tahoma"/>
          <w:i/>
          <w:sz w:val="22"/>
          <w:szCs w:val="24"/>
        </w:rPr>
        <w:t>reasesoría</w:t>
      </w:r>
      <w:proofErr w:type="spellEnd"/>
      <w:r>
        <w:rPr>
          <w:rFonts w:eastAsia="Calibri" w:cs="Tahoma"/>
          <w:i/>
          <w:sz w:val="22"/>
          <w:szCs w:val="24"/>
        </w:rPr>
        <w:t>, de todas formas ya había perdido la transición.</w:t>
      </w:r>
    </w:p>
    <w:p w14:paraId="5FFFA102" w14:textId="77777777" w:rsidR="00942F30" w:rsidRDefault="00942F30" w:rsidP="00942F30">
      <w:pPr>
        <w:spacing w:line="240" w:lineRule="auto"/>
        <w:ind w:left="426" w:right="420" w:firstLine="709"/>
        <w:rPr>
          <w:rFonts w:eastAsia="Arial Narrow" w:cs="Tahoma"/>
          <w:i/>
          <w:iCs/>
          <w:sz w:val="22"/>
          <w:szCs w:val="24"/>
        </w:rPr>
      </w:pPr>
      <w:r>
        <w:rPr>
          <w:rFonts w:eastAsia="Arial Narrow" w:cs="Tahoma"/>
          <w:i/>
          <w:iCs/>
          <w:sz w:val="22"/>
          <w:szCs w:val="24"/>
        </w:rPr>
        <w:t xml:space="preserve"> </w:t>
      </w:r>
    </w:p>
    <w:p w14:paraId="6CD0B7F2" w14:textId="77777777" w:rsidR="00942F30" w:rsidRDefault="00942F30" w:rsidP="00942F30">
      <w:pPr>
        <w:spacing w:line="240" w:lineRule="auto"/>
        <w:ind w:left="426" w:right="420"/>
        <w:rPr>
          <w:rFonts w:eastAsia="Calibri" w:cs="Tahoma"/>
          <w:i/>
          <w:sz w:val="22"/>
          <w:szCs w:val="24"/>
        </w:rPr>
      </w:pPr>
      <w:r>
        <w:rPr>
          <w:rFonts w:eastAsia="Calibri" w:cs="Tahoma"/>
          <w:i/>
          <w:sz w:val="22"/>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E2DA02C" w14:textId="77777777" w:rsidR="00942F30" w:rsidRDefault="00942F30" w:rsidP="00942F30">
      <w:pPr>
        <w:spacing w:line="240" w:lineRule="auto"/>
        <w:ind w:left="426" w:right="420" w:firstLine="709"/>
        <w:rPr>
          <w:rFonts w:eastAsia="Arial Narrow" w:cs="Tahoma"/>
          <w:i/>
          <w:iCs/>
          <w:sz w:val="22"/>
          <w:szCs w:val="24"/>
        </w:rPr>
      </w:pPr>
      <w:r>
        <w:rPr>
          <w:rFonts w:eastAsia="Arial Narrow" w:cs="Tahoma"/>
          <w:i/>
          <w:iCs/>
          <w:sz w:val="22"/>
          <w:szCs w:val="24"/>
        </w:rPr>
        <w:t xml:space="preserve"> </w:t>
      </w:r>
    </w:p>
    <w:p w14:paraId="57668921" w14:textId="77777777" w:rsidR="00942F30" w:rsidRDefault="00942F30" w:rsidP="00942F30">
      <w:pPr>
        <w:spacing w:line="240" w:lineRule="auto"/>
        <w:ind w:left="426" w:right="420"/>
        <w:rPr>
          <w:rFonts w:eastAsia="Calibri" w:cs="Tahoma"/>
          <w:i/>
          <w:sz w:val="22"/>
          <w:szCs w:val="24"/>
        </w:rPr>
      </w:pPr>
      <w:r>
        <w:rPr>
          <w:rFonts w:eastAsia="Calibri" w:cs="Tahoma"/>
          <w:i/>
          <w:sz w:val="22"/>
          <w:szCs w:val="24"/>
        </w:rPr>
        <w:t xml:space="preserve">Por otro lado, no es de recibo el planteo de Protección S.A., cuando sostiene que una vez realizó la </w:t>
      </w:r>
      <w:proofErr w:type="spellStart"/>
      <w:r>
        <w:rPr>
          <w:rFonts w:eastAsia="Calibri" w:cs="Tahoma"/>
          <w:i/>
          <w:sz w:val="22"/>
          <w:szCs w:val="24"/>
        </w:rPr>
        <w:t>reasesoría</w:t>
      </w:r>
      <w:proofErr w:type="spellEnd"/>
      <w:r>
        <w:rPr>
          <w:rFonts w:eastAsia="Calibri" w:cs="Tahoma"/>
          <w:i/>
          <w:sz w:val="22"/>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13A7AC54" w14:textId="77777777" w:rsidR="00942F30" w:rsidRDefault="00942F30" w:rsidP="00942F30">
      <w:pPr>
        <w:spacing w:line="276" w:lineRule="auto"/>
        <w:ind w:left="708" w:firstLine="709"/>
        <w:rPr>
          <w:rFonts w:cs="Tahoma"/>
          <w:spacing w:val="-4"/>
          <w:szCs w:val="24"/>
        </w:rPr>
      </w:pPr>
    </w:p>
    <w:p w14:paraId="228AD73A" w14:textId="77777777" w:rsidR="00942F30" w:rsidRDefault="00942F30" w:rsidP="00942F30">
      <w:pPr>
        <w:numPr>
          <w:ilvl w:val="1"/>
          <w:numId w:val="9"/>
        </w:numPr>
        <w:spacing w:line="276" w:lineRule="auto"/>
        <w:contextualSpacing/>
        <w:jc w:val="left"/>
        <w:rPr>
          <w:rFonts w:eastAsia="Times New Roman" w:cs="Tahoma"/>
          <w:b/>
          <w:iCs/>
          <w:spacing w:val="-4"/>
          <w:szCs w:val="24"/>
          <w:lang w:eastAsia="es-ES"/>
        </w:rPr>
      </w:pPr>
      <w:r>
        <w:rPr>
          <w:rFonts w:eastAsia="Times New Roman" w:cs="Tahoma"/>
          <w:b/>
          <w:iCs/>
          <w:spacing w:val="-4"/>
          <w:szCs w:val="24"/>
          <w:lang w:eastAsia="es-ES"/>
        </w:rPr>
        <w:t xml:space="preserve">“De la carga de la prueba – Inversión a favor del afiliado” </w:t>
      </w:r>
      <w:r>
        <w:rPr>
          <w:rFonts w:eastAsia="Times New Roman" w:cs="Tahoma"/>
          <w:b/>
          <w:iCs/>
          <w:spacing w:val="-4"/>
          <w:szCs w:val="24"/>
          <w:vertAlign w:val="superscript"/>
          <w:lang w:eastAsia="es-ES"/>
        </w:rPr>
        <w:footnoteReference w:id="5"/>
      </w:r>
    </w:p>
    <w:p w14:paraId="436F9533" w14:textId="77777777" w:rsidR="00942F30" w:rsidRDefault="00942F30" w:rsidP="00942F30">
      <w:pPr>
        <w:spacing w:line="276" w:lineRule="auto"/>
        <w:ind w:firstLine="708"/>
        <w:rPr>
          <w:rFonts w:cs="Tahoma"/>
          <w:b/>
          <w:spacing w:val="-4"/>
          <w:szCs w:val="24"/>
        </w:rPr>
      </w:pPr>
    </w:p>
    <w:p w14:paraId="2ABBAA28" w14:textId="77777777" w:rsidR="00942F30" w:rsidRDefault="00942F30" w:rsidP="00942F30">
      <w:pPr>
        <w:spacing w:line="276" w:lineRule="auto"/>
        <w:ind w:firstLine="709"/>
        <w:rPr>
          <w:rFonts w:cs="Tahoma"/>
          <w:spacing w:val="-4"/>
          <w:szCs w:val="24"/>
        </w:rPr>
      </w:pPr>
      <w:r>
        <w:rPr>
          <w:rFonts w:cs="Tahoma"/>
          <w:spacing w:val="-4"/>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Pr>
          <w:rFonts w:cs="Tahoma"/>
          <w:i/>
          <w:spacing w:val="-4"/>
          <w:sz w:val="22"/>
          <w:szCs w:val="24"/>
        </w:rPr>
        <w:t>la prueba de la diligencia o cuidado incumbe al que ha debido emplearlo</w:t>
      </w:r>
      <w:r>
        <w:rPr>
          <w:rFonts w:cs="Tahoma"/>
          <w:i/>
          <w:spacing w:val="-4"/>
          <w:szCs w:val="24"/>
        </w:rPr>
        <w:t>”</w:t>
      </w:r>
      <w:r>
        <w:rPr>
          <w:rFonts w:cs="Tahoma"/>
          <w:spacing w:val="-4"/>
          <w:szCs w:val="24"/>
        </w:rPr>
        <w:t xml:space="preserve"> lo que quiere decir que la carga de la prueba recae en el fondo de pensiones. Dicha postura se ha mantenido invariable, y se reiteró de manera más contundente en la citada sentencia, así: </w:t>
      </w:r>
    </w:p>
    <w:p w14:paraId="7C7B9832" w14:textId="77777777" w:rsidR="00942F30" w:rsidRDefault="00942F30" w:rsidP="00942F30">
      <w:pPr>
        <w:spacing w:line="276" w:lineRule="auto"/>
        <w:ind w:firstLine="708"/>
        <w:rPr>
          <w:rFonts w:cs="Tahoma"/>
          <w:spacing w:val="-4"/>
          <w:szCs w:val="24"/>
        </w:rPr>
      </w:pPr>
    </w:p>
    <w:p w14:paraId="2C8AA3EF" w14:textId="77777777" w:rsidR="00942F30" w:rsidRDefault="00942F30" w:rsidP="00942F30">
      <w:pPr>
        <w:spacing w:line="240" w:lineRule="auto"/>
        <w:ind w:left="426" w:right="420" w:firstLine="1"/>
        <w:rPr>
          <w:rFonts w:eastAsia="Calibri" w:cs="Tahoma"/>
          <w:i/>
          <w:sz w:val="22"/>
          <w:lang w:val="es-ES"/>
        </w:rPr>
      </w:pPr>
      <w:r>
        <w:rPr>
          <w:rFonts w:eastAsia="Calibri" w:cs="Tahoma"/>
          <w:sz w:val="22"/>
        </w:rPr>
        <w:t>“</w:t>
      </w:r>
      <w:r>
        <w:rPr>
          <w:rFonts w:eastAsia="Calibri" w:cs="Tahoma"/>
          <w:i/>
          <w:sz w:val="22"/>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DBFE5B5" w14:textId="77777777" w:rsidR="00942F30" w:rsidRDefault="00942F30" w:rsidP="00942F30">
      <w:pPr>
        <w:spacing w:line="240" w:lineRule="auto"/>
        <w:ind w:left="426" w:right="420" w:firstLine="1"/>
        <w:rPr>
          <w:rFonts w:eastAsia="Calibri" w:cs="Tahoma"/>
          <w:i/>
          <w:sz w:val="22"/>
        </w:rPr>
      </w:pPr>
    </w:p>
    <w:p w14:paraId="25DC4173" w14:textId="77777777" w:rsidR="00942F30" w:rsidRDefault="00942F30" w:rsidP="00942F30">
      <w:pPr>
        <w:spacing w:line="240" w:lineRule="auto"/>
        <w:ind w:left="426" w:right="420" w:firstLine="1"/>
        <w:rPr>
          <w:rFonts w:eastAsia="Calibri" w:cs="Tahoma"/>
          <w:i/>
          <w:sz w:val="22"/>
        </w:rPr>
      </w:pPr>
      <w:r>
        <w:rPr>
          <w:rFonts w:eastAsia="Calibri" w:cs="Tahoma"/>
          <w:i/>
          <w:sz w:val="22"/>
        </w:rPr>
        <w:lastRenderedPageBreak/>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DC79373" w14:textId="77777777" w:rsidR="00942F30" w:rsidRDefault="00942F30" w:rsidP="00942F30">
      <w:pPr>
        <w:spacing w:line="240" w:lineRule="auto"/>
        <w:ind w:left="426" w:right="420" w:firstLine="1"/>
        <w:rPr>
          <w:rFonts w:eastAsia="Calibri" w:cs="Tahoma"/>
          <w:i/>
          <w:sz w:val="22"/>
        </w:rPr>
      </w:pPr>
    </w:p>
    <w:p w14:paraId="3C705EDF" w14:textId="77777777" w:rsidR="00942F30" w:rsidRDefault="00942F30" w:rsidP="00942F30">
      <w:pPr>
        <w:spacing w:line="240" w:lineRule="auto"/>
        <w:ind w:left="426" w:right="420" w:firstLine="1"/>
        <w:rPr>
          <w:rFonts w:eastAsia="Calibri" w:cs="Tahoma"/>
          <w:i/>
          <w:sz w:val="22"/>
        </w:rPr>
      </w:pPr>
      <w:r>
        <w:rPr>
          <w:rFonts w:eastAsia="Calibri" w:cs="Tahoma"/>
          <w:i/>
          <w:sz w:val="22"/>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3DF45E6A" w14:textId="77777777" w:rsidR="00942F30" w:rsidRDefault="00942F30" w:rsidP="00942F30">
      <w:pPr>
        <w:spacing w:line="240" w:lineRule="auto"/>
        <w:ind w:left="426" w:right="420" w:firstLine="1"/>
        <w:rPr>
          <w:rFonts w:eastAsia="Calibri" w:cs="Tahoma"/>
          <w:i/>
          <w:sz w:val="22"/>
        </w:rPr>
      </w:pPr>
    </w:p>
    <w:p w14:paraId="62D6D455" w14:textId="77777777" w:rsidR="00942F30" w:rsidRDefault="00942F30" w:rsidP="00942F30">
      <w:pPr>
        <w:spacing w:line="240" w:lineRule="auto"/>
        <w:ind w:left="426" w:right="420" w:firstLine="1"/>
        <w:rPr>
          <w:rFonts w:eastAsia="Calibri" w:cs="Tahoma"/>
          <w:i/>
          <w:iCs/>
          <w:sz w:val="22"/>
        </w:rPr>
      </w:pPr>
      <w:r>
        <w:rPr>
          <w:rFonts w:eastAsia="Calibri" w:cs="Tahoma"/>
          <w:i/>
          <w:sz w:val="22"/>
        </w:rPr>
        <w:t xml:space="preserve">Como se ha expuesto, el deber de información al momento del traslado entre regímenes, es una obligación que corresponde a las administradoras de fondos de pensiones, y </w:t>
      </w:r>
      <w:r>
        <w:rPr>
          <w:rFonts w:eastAsia="Calibri" w:cs="Tahoma"/>
          <w:i/>
          <w:iCs/>
          <w:sz w:val="22"/>
        </w:rPr>
        <w:t xml:space="preserve">su ejercicio debe ser de tal diligencia, que permita comprender la lógica, beneficios y desventajas del cambio de régimen, así como prever los riesgos y efectos negativos de esa decisión. </w:t>
      </w:r>
    </w:p>
    <w:p w14:paraId="669CBA30" w14:textId="77777777" w:rsidR="00942F30" w:rsidRDefault="00942F30" w:rsidP="00942F30">
      <w:pPr>
        <w:spacing w:line="240" w:lineRule="auto"/>
        <w:ind w:left="426" w:right="420" w:firstLine="1"/>
        <w:rPr>
          <w:rFonts w:eastAsia="Calibri" w:cs="Tahoma"/>
          <w:i/>
          <w:iCs/>
          <w:sz w:val="22"/>
        </w:rPr>
      </w:pPr>
    </w:p>
    <w:p w14:paraId="259FA033" w14:textId="77777777" w:rsidR="00942F30" w:rsidRDefault="00942F30" w:rsidP="00942F30">
      <w:pPr>
        <w:spacing w:line="240" w:lineRule="auto"/>
        <w:ind w:left="426" w:right="420" w:firstLine="1"/>
        <w:rPr>
          <w:rFonts w:eastAsia="Calibri" w:cs="Tahoma"/>
          <w:i/>
          <w:iCs/>
          <w:sz w:val="22"/>
        </w:rPr>
      </w:pPr>
      <w:r>
        <w:rPr>
          <w:rFonts w:eastAsia="Calibri" w:cs="Tahoma"/>
          <w:i/>
          <w:sz w:val="22"/>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77D1996B" w14:textId="77777777" w:rsidR="00942F30" w:rsidRDefault="00942F30" w:rsidP="00942F30">
      <w:pPr>
        <w:spacing w:line="240" w:lineRule="auto"/>
        <w:ind w:left="426" w:right="420" w:firstLine="1"/>
        <w:rPr>
          <w:rFonts w:eastAsia="Calibri" w:cs="Tahoma"/>
          <w:i/>
          <w:iCs/>
          <w:sz w:val="22"/>
        </w:rPr>
      </w:pPr>
    </w:p>
    <w:p w14:paraId="3EF7965B" w14:textId="77777777" w:rsidR="00942F30" w:rsidRDefault="00942F30" w:rsidP="00942F30">
      <w:pPr>
        <w:spacing w:line="240" w:lineRule="auto"/>
        <w:ind w:left="426" w:right="420" w:firstLine="1"/>
        <w:rPr>
          <w:rFonts w:eastAsia="Calibri" w:cs="Tahoma"/>
          <w:i/>
          <w:iCs/>
          <w:sz w:val="22"/>
        </w:rPr>
      </w:pPr>
      <w:r>
        <w:rPr>
          <w:rFonts w:eastAsia="Calibri" w:cs="Tahoma"/>
          <w:i/>
          <w:sz w:val="22"/>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3B4FFDE5" w14:textId="77777777" w:rsidR="00942F30" w:rsidRDefault="00942F30" w:rsidP="00942F30">
      <w:pPr>
        <w:spacing w:line="240" w:lineRule="auto"/>
        <w:ind w:left="426" w:right="420" w:firstLine="1"/>
        <w:rPr>
          <w:rFonts w:eastAsia="Calibri" w:cs="Tahoma"/>
          <w:i/>
          <w:iCs/>
          <w:sz w:val="22"/>
        </w:rPr>
      </w:pPr>
    </w:p>
    <w:p w14:paraId="06CC160F" w14:textId="77777777" w:rsidR="00942F30" w:rsidRDefault="00942F30" w:rsidP="00942F30">
      <w:pPr>
        <w:spacing w:line="240" w:lineRule="auto"/>
        <w:ind w:left="426" w:right="420" w:firstLine="1"/>
        <w:rPr>
          <w:rFonts w:eastAsia="Calibri" w:cs="Tahoma"/>
          <w:sz w:val="22"/>
        </w:rPr>
      </w:pPr>
      <w:r>
        <w:rPr>
          <w:rFonts w:eastAsia="Calibri" w:cs="Tahoma"/>
          <w:i/>
          <w:sz w:val="22"/>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Pr>
          <w:rFonts w:eastAsia="Calibri" w:cs="Tahoma"/>
          <w:sz w:val="22"/>
        </w:rPr>
        <w:t xml:space="preserve"> </w:t>
      </w:r>
    </w:p>
    <w:p w14:paraId="5E76E516" w14:textId="77777777" w:rsidR="00942F30" w:rsidRDefault="00942F30" w:rsidP="00942F30">
      <w:pPr>
        <w:widowControl w:val="0"/>
        <w:autoSpaceDE w:val="0"/>
        <w:autoSpaceDN w:val="0"/>
        <w:adjustRightInd w:val="0"/>
        <w:spacing w:line="276" w:lineRule="auto"/>
        <w:ind w:firstLine="284"/>
        <w:rPr>
          <w:rFonts w:cs="Tahoma"/>
          <w:szCs w:val="24"/>
        </w:rPr>
      </w:pPr>
    </w:p>
    <w:p w14:paraId="123F5A35" w14:textId="77777777" w:rsidR="00942F30" w:rsidRDefault="00942F30" w:rsidP="00942F30">
      <w:pPr>
        <w:numPr>
          <w:ilvl w:val="1"/>
          <w:numId w:val="9"/>
        </w:numPr>
        <w:spacing w:line="276" w:lineRule="auto"/>
        <w:contextualSpacing/>
        <w:jc w:val="left"/>
        <w:rPr>
          <w:rFonts w:eastAsia="Times New Roman" w:cs="Tahoma"/>
          <w:b/>
          <w:iCs/>
          <w:spacing w:val="-4"/>
          <w:szCs w:val="24"/>
          <w:lang w:eastAsia="es-ES"/>
        </w:rPr>
      </w:pPr>
      <w:r>
        <w:rPr>
          <w:rFonts w:eastAsia="Times New Roman" w:cs="Tahoma"/>
          <w:b/>
          <w:iCs/>
          <w:spacing w:val="-4"/>
          <w:szCs w:val="24"/>
          <w:lang w:eastAsia="es-ES"/>
        </w:rPr>
        <w:t>Consecuencias de la declaratoria de ineficacia del traslado: Devolución de las cuotas de administración y de otros valores debidamente indexados</w:t>
      </w:r>
    </w:p>
    <w:p w14:paraId="2374553C" w14:textId="77777777" w:rsidR="00942F30" w:rsidRDefault="00942F30" w:rsidP="00942F30">
      <w:pPr>
        <w:widowControl w:val="0"/>
        <w:autoSpaceDE w:val="0"/>
        <w:autoSpaceDN w:val="0"/>
        <w:adjustRightInd w:val="0"/>
        <w:spacing w:line="276" w:lineRule="auto"/>
        <w:ind w:firstLine="284"/>
        <w:rPr>
          <w:rFonts w:cs="Tahoma"/>
          <w:szCs w:val="24"/>
          <w:lang w:val="es-ES"/>
        </w:rPr>
      </w:pPr>
    </w:p>
    <w:p w14:paraId="40F69831" w14:textId="77777777" w:rsidR="00942F30" w:rsidRDefault="00942F30" w:rsidP="00942F30">
      <w:pPr>
        <w:widowControl w:val="0"/>
        <w:autoSpaceDE w:val="0"/>
        <w:autoSpaceDN w:val="0"/>
        <w:adjustRightInd w:val="0"/>
        <w:spacing w:line="276" w:lineRule="auto"/>
        <w:ind w:firstLine="284"/>
        <w:rPr>
          <w:rFonts w:cs="Tahoma"/>
          <w:szCs w:val="24"/>
        </w:rPr>
      </w:pPr>
      <w:r>
        <w:rPr>
          <w:rFonts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4F396EE2" w14:textId="77777777" w:rsidR="00942F30" w:rsidRDefault="00942F30" w:rsidP="00942F30">
      <w:pPr>
        <w:widowControl w:val="0"/>
        <w:autoSpaceDE w:val="0"/>
        <w:autoSpaceDN w:val="0"/>
        <w:adjustRightInd w:val="0"/>
        <w:spacing w:line="276" w:lineRule="auto"/>
        <w:ind w:firstLine="284"/>
        <w:rPr>
          <w:rFonts w:cs="Tahoma"/>
          <w:szCs w:val="24"/>
        </w:rPr>
      </w:pPr>
    </w:p>
    <w:p w14:paraId="695FC132"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 xml:space="preserve">“Devolver los aportes por pensión, los rendimientos financieros y los gastos de administración al Instituto de Seguros Sociales, hoy Colpensiones, como en </w:t>
      </w:r>
      <w:r>
        <w:rPr>
          <w:rFonts w:eastAsia="Calibri" w:cs="Tahoma"/>
          <w:i/>
          <w:sz w:val="22"/>
          <w:szCs w:val="24"/>
        </w:rPr>
        <w:lastRenderedPageBreak/>
        <w:t xml:space="preserve">oportunidades anteriores lo ha dispuesto la Sala, pudiéndose traer a colación las sentencias CSJ SL17595-2017 y CSJSL4989-2018, donde se rememoró la CSJ SL, 8 sep. 2008, rad. 31989, en la que se dijo: </w:t>
      </w:r>
    </w:p>
    <w:p w14:paraId="198386FD" w14:textId="77777777" w:rsidR="00942F30" w:rsidRDefault="00942F30" w:rsidP="00942F30">
      <w:pPr>
        <w:tabs>
          <w:tab w:val="left" w:pos="5180"/>
        </w:tabs>
        <w:suppressAutoHyphens/>
        <w:spacing w:line="240" w:lineRule="auto"/>
        <w:ind w:left="426" w:right="420"/>
        <w:contextualSpacing/>
        <w:jc w:val="left"/>
        <w:rPr>
          <w:rFonts w:eastAsia="Times New Roman" w:cs="Tahoma"/>
          <w:color w:val="000000"/>
          <w:sz w:val="22"/>
          <w:szCs w:val="24"/>
          <w:lang w:eastAsia="es-ES"/>
        </w:rPr>
      </w:pPr>
    </w:p>
    <w:p w14:paraId="65DE59FF"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Sobre las consecuencias de la nulidad del traslado entre regímenes esta Sala en sentencia SL, del 8 de sep. 2008, rad. 31989, reiterada en varias oportunidades, adoctrinó: […]</w:t>
      </w:r>
    </w:p>
    <w:p w14:paraId="1E2F6D6C"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p>
    <w:p w14:paraId="1C857D49"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8242413"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p>
    <w:p w14:paraId="2D88BC7A"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71B36A69" w14:textId="77777777" w:rsidR="00942F30" w:rsidRDefault="00942F30" w:rsidP="00942F30">
      <w:pPr>
        <w:widowControl w:val="0"/>
        <w:autoSpaceDE w:val="0"/>
        <w:autoSpaceDN w:val="0"/>
        <w:adjustRightInd w:val="0"/>
        <w:spacing w:line="276" w:lineRule="auto"/>
        <w:ind w:firstLine="284"/>
        <w:rPr>
          <w:rFonts w:cs="Tahoma"/>
          <w:szCs w:val="24"/>
        </w:rPr>
      </w:pPr>
    </w:p>
    <w:p w14:paraId="0B063309" w14:textId="77777777" w:rsidR="00942F30" w:rsidRDefault="00942F30" w:rsidP="00942F30">
      <w:pPr>
        <w:widowControl w:val="0"/>
        <w:autoSpaceDE w:val="0"/>
        <w:autoSpaceDN w:val="0"/>
        <w:adjustRightInd w:val="0"/>
        <w:spacing w:line="276" w:lineRule="auto"/>
        <w:ind w:firstLine="284"/>
        <w:rPr>
          <w:rFonts w:cs="Tahoma"/>
          <w:szCs w:val="24"/>
        </w:rPr>
      </w:pPr>
      <w:r>
        <w:rPr>
          <w:rFonts w:cs="Tahoma"/>
          <w:szCs w:val="24"/>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07E0A189" w14:textId="77777777" w:rsidR="00942F30" w:rsidRDefault="00942F30" w:rsidP="00942F30">
      <w:pPr>
        <w:widowControl w:val="0"/>
        <w:autoSpaceDE w:val="0"/>
        <w:autoSpaceDN w:val="0"/>
        <w:adjustRightInd w:val="0"/>
        <w:spacing w:line="276" w:lineRule="auto"/>
        <w:ind w:firstLine="284"/>
        <w:rPr>
          <w:rFonts w:cs="Tahoma"/>
          <w:szCs w:val="24"/>
        </w:rPr>
      </w:pPr>
    </w:p>
    <w:p w14:paraId="4FA1C043" w14:textId="77777777" w:rsidR="00942F30" w:rsidRDefault="00942F30" w:rsidP="00942F30">
      <w:pPr>
        <w:tabs>
          <w:tab w:val="left" w:pos="5180"/>
        </w:tabs>
        <w:suppressAutoHyphens/>
        <w:spacing w:line="240" w:lineRule="auto"/>
        <w:ind w:left="426" w:right="420"/>
        <w:contextualSpacing/>
        <w:rPr>
          <w:rFonts w:eastAsia="Calibri" w:cs="Tahoma"/>
          <w:i/>
          <w:sz w:val="22"/>
          <w:szCs w:val="24"/>
        </w:rPr>
      </w:pPr>
      <w:r>
        <w:rPr>
          <w:rFonts w:eastAsia="Calibri" w:cs="Tahoma"/>
          <w:i/>
          <w:sz w:val="22"/>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B59ACB9" w14:textId="77777777" w:rsidR="00942F30" w:rsidRDefault="00942F30" w:rsidP="00942F30">
      <w:pPr>
        <w:widowControl w:val="0"/>
        <w:autoSpaceDE w:val="0"/>
        <w:autoSpaceDN w:val="0"/>
        <w:adjustRightInd w:val="0"/>
        <w:spacing w:line="276" w:lineRule="auto"/>
        <w:ind w:firstLine="284"/>
        <w:rPr>
          <w:rFonts w:cs="Tahoma"/>
          <w:szCs w:val="24"/>
        </w:rPr>
      </w:pPr>
    </w:p>
    <w:p w14:paraId="0A43FBA5" w14:textId="77777777" w:rsidR="00942F30" w:rsidRDefault="00942F30" w:rsidP="00942F30">
      <w:pPr>
        <w:widowControl w:val="0"/>
        <w:autoSpaceDE w:val="0"/>
        <w:autoSpaceDN w:val="0"/>
        <w:adjustRightInd w:val="0"/>
        <w:spacing w:line="276" w:lineRule="auto"/>
        <w:ind w:firstLine="284"/>
        <w:rPr>
          <w:rFonts w:cs="Tahoma"/>
          <w:szCs w:val="24"/>
        </w:rPr>
      </w:pPr>
      <w:r>
        <w:rPr>
          <w:rFonts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D199286" w14:textId="77777777" w:rsidR="00942F30" w:rsidRDefault="00942F30" w:rsidP="00942F30">
      <w:pPr>
        <w:widowControl w:val="0"/>
        <w:autoSpaceDE w:val="0"/>
        <w:autoSpaceDN w:val="0"/>
        <w:adjustRightInd w:val="0"/>
        <w:spacing w:line="276" w:lineRule="auto"/>
        <w:ind w:firstLine="284"/>
        <w:rPr>
          <w:rFonts w:cs="Tahoma"/>
          <w:szCs w:val="24"/>
        </w:rPr>
      </w:pPr>
    </w:p>
    <w:p w14:paraId="0917179E" w14:textId="77777777" w:rsidR="00942F30" w:rsidRDefault="00942F30" w:rsidP="00942F30">
      <w:pPr>
        <w:widowControl w:val="0"/>
        <w:autoSpaceDE w:val="0"/>
        <w:autoSpaceDN w:val="0"/>
        <w:adjustRightInd w:val="0"/>
        <w:spacing w:line="276" w:lineRule="auto"/>
        <w:ind w:firstLine="284"/>
        <w:rPr>
          <w:rFonts w:cs="Tahoma"/>
          <w:szCs w:val="24"/>
        </w:rPr>
      </w:pPr>
      <w:r>
        <w:rPr>
          <w:rFonts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7D4FCB4F" w14:textId="77777777" w:rsidR="002D0043" w:rsidRPr="002E3810" w:rsidRDefault="002D0043" w:rsidP="002E3810">
      <w:pPr>
        <w:spacing w:line="276" w:lineRule="auto"/>
        <w:ind w:firstLine="708"/>
        <w:rPr>
          <w:rFonts w:cs="Tahoma"/>
          <w:b/>
          <w:szCs w:val="24"/>
        </w:rPr>
      </w:pPr>
    </w:p>
    <w:p w14:paraId="1CA826B3" w14:textId="77777777" w:rsidR="00BA4959" w:rsidRPr="002E3810" w:rsidRDefault="00BA4959" w:rsidP="002E3810">
      <w:pPr>
        <w:numPr>
          <w:ilvl w:val="1"/>
          <w:numId w:val="9"/>
        </w:numPr>
        <w:spacing w:line="276" w:lineRule="auto"/>
        <w:rPr>
          <w:rFonts w:cs="Tahoma"/>
          <w:b/>
          <w:szCs w:val="24"/>
        </w:rPr>
      </w:pPr>
      <w:r w:rsidRPr="002E3810">
        <w:rPr>
          <w:rFonts w:cs="Tahoma"/>
          <w:b/>
          <w:szCs w:val="24"/>
        </w:rPr>
        <w:t>Caso concreto</w:t>
      </w:r>
    </w:p>
    <w:p w14:paraId="79E16030" w14:textId="77777777" w:rsidR="00BA4959" w:rsidRPr="002E3810" w:rsidRDefault="00BA4959" w:rsidP="002E3810">
      <w:pPr>
        <w:spacing w:line="276" w:lineRule="auto"/>
        <w:ind w:firstLine="708"/>
        <w:rPr>
          <w:rFonts w:cs="Tahoma"/>
          <w:szCs w:val="24"/>
        </w:rPr>
      </w:pPr>
    </w:p>
    <w:p w14:paraId="5634165C" w14:textId="6D8CAC26" w:rsidR="00BA4959" w:rsidRPr="002E3810" w:rsidRDefault="00BA4959" w:rsidP="002E3810">
      <w:pPr>
        <w:spacing w:line="276" w:lineRule="auto"/>
        <w:ind w:firstLine="708"/>
        <w:rPr>
          <w:rFonts w:cs="Tahoma"/>
          <w:szCs w:val="24"/>
        </w:rPr>
      </w:pPr>
      <w:r w:rsidRPr="002E3810">
        <w:rPr>
          <w:rFonts w:cs="Tahoma"/>
          <w:szCs w:val="24"/>
        </w:rPr>
        <w:lastRenderedPageBreak/>
        <w:t>Se pretende por esta vía ordinaria que se declare la nulidad de la afiliación a Porvenir S.A., por medio de la cual se llevó a cabo 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274AAA41" w14:textId="77777777" w:rsidR="00BA4959" w:rsidRPr="002E3810" w:rsidRDefault="00BA4959" w:rsidP="002E3810">
      <w:pPr>
        <w:spacing w:line="276" w:lineRule="auto"/>
        <w:ind w:firstLine="708"/>
        <w:rPr>
          <w:rFonts w:cs="Tahoma"/>
          <w:szCs w:val="24"/>
        </w:rPr>
      </w:pPr>
    </w:p>
    <w:p w14:paraId="7672497D" w14:textId="77777777" w:rsidR="00BA4959" w:rsidRPr="002E3810" w:rsidRDefault="00BA4959" w:rsidP="002E3810">
      <w:pPr>
        <w:spacing w:line="276" w:lineRule="auto"/>
        <w:ind w:firstLine="708"/>
        <w:rPr>
          <w:rFonts w:cs="Tahoma"/>
          <w:szCs w:val="24"/>
        </w:rPr>
      </w:pPr>
      <w:r w:rsidRPr="002E3810">
        <w:rPr>
          <w:rFonts w:cs="Tahoma"/>
          <w:szCs w:val="24"/>
        </w:rPr>
        <w:t>De conformidad a la jurisprudencia de la Sala de Casación Laboral de la Corte Suprema d</w:t>
      </w:r>
      <w:bookmarkStart w:id="4" w:name="_GoBack"/>
      <w:bookmarkEnd w:id="4"/>
      <w:r w:rsidRPr="002E3810">
        <w:rPr>
          <w:rFonts w:cs="Tahoma"/>
          <w:szCs w:val="24"/>
        </w:rPr>
        <w:t>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197A445D" w14:textId="77777777" w:rsidR="00BA4959" w:rsidRPr="002E3810" w:rsidRDefault="00BA4959" w:rsidP="002E3810">
      <w:pPr>
        <w:spacing w:line="276" w:lineRule="auto"/>
        <w:ind w:firstLine="708"/>
        <w:rPr>
          <w:rFonts w:cs="Tahoma"/>
          <w:szCs w:val="24"/>
        </w:rPr>
      </w:pPr>
    </w:p>
    <w:p w14:paraId="029D5252" w14:textId="77777777" w:rsidR="00BA4959" w:rsidRPr="002E3810" w:rsidRDefault="00BA4959" w:rsidP="002E3810">
      <w:pPr>
        <w:spacing w:line="276" w:lineRule="auto"/>
        <w:ind w:firstLine="708"/>
        <w:rPr>
          <w:rFonts w:cs="Tahoma"/>
          <w:b/>
          <w:szCs w:val="24"/>
        </w:rPr>
      </w:pPr>
      <w:r w:rsidRPr="002E3810">
        <w:rPr>
          <w:rFonts w:cs="Tahoma"/>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2E3810">
        <w:rPr>
          <w:rFonts w:cs="Tahoma"/>
          <w:b/>
          <w:szCs w:val="24"/>
        </w:rPr>
        <w:t>, acreditar haber transmitido a la parte actora la información concreta y cierta, acerca de la implicación del traslado de régimen pensional.</w:t>
      </w:r>
    </w:p>
    <w:p w14:paraId="686BBF8C" w14:textId="77777777" w:rsidR="00BA4959" w:rsidRPr="002E3810" w:rsidRDefault="00BA4959" w:rsidP="002E3810">
      <w:pPr>
        <w:spacing w:line="276" w:lineRule="auto"/>
        <w:ind w:firstLine="708"/>
        <w:rPr>
          <w:rFonts w:cs="Tahoma"/>
          <w:b/>
          <w:szCs w:val="24"/>
        </w:rPr>
      </w:pPr>
    </w:p>
    <w:p w14:paraId="08A03AB4" w14:textId="77777777" w:rsidR="00BA4959" w:rsidRPr="002E3810" w:rsidRDefault="00BA4959" w:rsidP="002E3810">
      <w:pPr>
        <w:spacing w:line="276" w:lineRule="auto"/>
        <w:ind w:firstLine="708"/>
        <w:rPr>
          <w:rFonts w:cs="Tahoma"/>
          <w:szCs w:val="24"/>
        </w:rPr>
      </w:pPr>
      <w:r w:rsidRPr="002E3810">
        <w:rPr>
          <w:rFonts w:cs="Tahoma"/>
          <w:szCs w:val="24"/>
        </w:rPr>
        <w:t xml:space="preserve">En realidad, mínimo la AFP tendría que haber dado la siguiente información: </w:t>
      </w:r>
      <w:r w:rsidRPr="002E3810">
        <w:rPr>
          <w:rFonts w:cs="Tahoma"/>
          <w:i/>
          <w:szCs w:val="24"/>
        </w:rPr>
        <w:t xml:space="preserve">i) </w:t>
      </w:r>
      <w:r w:rsidRPr="002E3810">
        <w:rPr>
          <w:rFonts w:cs="Tahoma"/>
          <w:szCs w:val="24"/>
        </w:rPr>
        <w:t xml:space="preserve">Que, dependiendo del capital, puede pensionarse anticipadamente, esto es, antes de la edad mínima para la pensión de vejez. </w:t>
      </w:r>
      <w:r w:rsidRPr="002E3810">
        <w:rPr>
          <w:rFonts w:cs="Tahoma"/>
          <w:i/>
          <w:szCs w:val="24"/>
        </w:rPr>
        <w:t xml:space="preserve">ii) </w:t>
      </w:r>
      <w:r w:rsidRPr="002E3810">
        <w:rPr>
          <w:rFonts w:cs="Tahoma"/>
          <w:szCs w:val="24"/>
        </w:rPr>
        <w:t xml:space="preserve">La posibilidad para sus herederos de hacerse a la devolución de saldos, en caso de que no existieran beneficiaros para la pensión de sobrevivientes. </w:t>
      </w:r>
      <w:r w:rsidRPr="002E3810">
        <w:rPr>
          <w:rFonts w:cs="Tahoma"/>
          <w:i/>
          <w:szCs w:val="24"/>
        </w:rPr>
        <w:t xml:space="preserve">iii) </w:t>
      </w:r>
      <w:r w:rsidRPr="002E3810">
        <w:rPr>
          <w:rFonts w:cs="Tahoma"/>
          <w:szCs w:val="24"/>
        </w:rPr>
        <w:t xml:space="preserve">La devolución total del saldo en caso de no alcanzar a reunir el total de los requisitos legales para optar al beneficio pensional. </w:t>
      </w:r>
      <w:r w:rsidRPr="002E3810">
        <w:rPr>
          <w:rFonts w:cs="Tahoma"/>
          <w:i/>
          <w:szCs w:val="24"/>
        </w:rPr>
        <w:t xml:space="preserve">iv) </w:t>
      </w:r>
      <w:r w:rsidRPr="002E3810">
        <w:rPr>
          <w:rFonts w:cs="Tahoma"/>
          <w:szCs w:val="24"/>
        </w:rPr>
        <w:t xml:space="preserve">Tener la posibilidad de la pensión de vejez habiendo cotizado el mínimo de semanas requeridas a pesar de no reunir el capital suficiente para el financiamiento de la prestación económica. </w:t>
      </w:r>
      <w:r w:rsidRPr="002E3810">
        <w:rPr>
          <w:rFonts w:cs="Tahoma"/>
          <w:i/>
          <w:szCs w:val="24"/>
        </w:rPr>
        <w:t xml:space="preserve">v) </w:t>
      </w:r>
      <w:r w:rsidRPr="002E3810">
        <w:rPr>
          <w:rFonts w:cs="Tahoma"/>
          <w:szCs w:val="24"/>
        </w:rPr>
        <w:t xml:space="preserve">La posibilidad de que el reconocimiento de la pensión de vejez, una vez reunido los requisitos, se haga pronto. </w:t>
      </w:r>
      <w:r w:rsidRPr="002E3810">
        <w:rPr>
          <w:rFonts w:cs="Tahoma"/>
          <w:i/>
          <w:szCs w:val="24"/>
        </w:rPr>
        <w:t xml:space="preserve">vi) </w:t>
      </w:r>
      <w:r w:rsidRPr="002E3810">
        <w:rPr>
          <w:rFonts w:cs="Tahoma"/>
          <w:szCs w:val="24"/>
        </w:rPr>
        <w:t xml:space="preserve">La posibilidad de que sus aportes se conviertan en patrimonio </w:t>
      </w:r>
      <w:proofErr w:type="spellStart"/>
      <w:r w:rsidRPr="002E3810">
        <w:rPr>
          <w:rFonts w:cs="Tahoma"/>
          <w:szCs w:val="24"/>
        </w:rPr>
        <w:t>sucesoral</w:t>
      </w:r>
      <w:proofErr w:type="spellEnd"/>
      <w:r w:rsidRPr="002E3810">
        <w:rPr>
          <w:rFonts w:cs="Tahoma"/>
          <w:szCs w:val="24"/>
        </w:rPr>
        <w:t xml:space="preserve"> en un caso dado. </w:t>
      </w:r>
      <w:r w:rsidRPr="002E3810">
        <w:rPr>
          <w:rFonts w:cs="Tahoma"/>
          <w:i/>
          <w:szCs w:val="24"/>
        </w:rPr>
        <w:t xml:space="preserve">vii) </w:t>
      </w:r>
      <w:r w:rsidRPr="002E3810">
        <w:rPr>
          <w:rFonts w:cs="Tahoma"/>
          <w:szCs w:val="24"/>
        </w:rPr>
        <w:t xml:space="preserve">El hecho de que el afiliado es el único titular de la cuenta de ahorro individual en contraste con el fondo público cuyos ahorros hacen parte de un fondo común. </w:t>
      </w:r>
      <w:proofErr w:type="spellStart"/>
      <w:r w:rsidRPr="002E3810">
        <w:rPr>
          <w:rFonts w:cs="Tahoma"/>
          <w:i/>
          <w:szCs w:val="24"/>
        </w:rPr>
        <w:t>viii</w:t>
      </w:r>
      <w:proofErr w:type="spellEnd"/>
      <w:r w:rsidRPr="002E3810">
        <w:rPr>
          <w:rFonts w:cs="Tahoma"/>
          <w:i/>
          <w:szCs w:val="24"/>
        </w:rPr>
        <w:t xml:space="preserve">) </w:t>
      </w:r>
      <w:r w:rsidRPr="002E3810">
        <w:rPr>
          <w:rFonts w:cs="Tahoma"/>
          <w:szCs w:val="24"/>
        </w:rPr>
        <w:t xml:space="preserve">Los rendimientos financieros que le generen sus aportes abonados sobre el saldo de su cuenta de ahorro individual; y, </w:t>
      </w:r>
      <w:proofErr w:type="spellStart"/>
      <w:r w:rsidRPr="002E3810">
        <w:rPr>
          <w:rFonts w:cs="Tahoma"/>
          <w:i/>
          <w:szCs w:val="24"/>
        </w:rPr>
        <w:t>ix</w:t>
      </w:r>
      <w:proofErr w:type="spellEnd"/>
      <w:r w:rsidRPr="002E3810">
        <w:rPr>
          <w:rFonts w:cs="Tahoma"/>
          <w:i/>
          <w:szCs w:val="24"/>
        </w:rPr>
        <w:t xml:space="preserve">) </w:t>
      </w:r>
      <w:r w:rsidRPr="002E3810">
        <w:rPr>
          <w:rFonts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2E3810">
        <w:rPr>
          <w:rFonts w:cs="Tahoma"/>
          <w:szCs w:val="24"/>
        </w:rPr>
        <w:t>sucesoral</w:t>
      </w:r>
      <w:proofErr w:type="spellEnd"/>
      <w:r w:rsidRPr="002E3810">
        <w:rPr>
          <w:rFonts w:cs="Tahoma"/>
          <w:szCs w:val="24"/>
        </w:rPr>
        <w:t xml:space="preserve">, pero le garantiza una pensión de por vida. La modalidad de </w:t>
      </w:r>
      <w:r w:rsidRPr="002E3810">
        <w:rPr>
          <w:rFonts w:cs="Tahoma"/>
          <w:i/>
          <w:szCs w:val="24"/>
        </w:rPr>
        <w:t>retiro programado</w:t>
      </w:r>
      <w:r w:rsidRPr="002E3810">
        <w:rPr>
          <w:rFonts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05F8B188" w14:textId="77777777" w:rsidR="00BA4959" w:rsidRPr="002E3810" w:rsidRDefault="00BA4959" w:rsidP="002E3810">
      <w:pPr>
        <w:spacing w:line="276" w:lineRule="auto"/>
        <w:ind w:firstLine="708"/>
        <w:rPr>
          <w:rFonts w:cs="Tahoma"/>
          <w:szCs w:val="24"/>
        </w:rPr>
      </w:pPr>
    </w:p>
    <w:p w14:paraId="30BF7357" w14:textId="77777777" w:rsidR="00BA4959" w:rsidRPr="002E3810" w:rsidRDefault="00BA4959" w:rsidP="002E3810">
      <w:pPr>
        <w:spacing w:line="276" w:lineRule="auto"/>
        <w:ind w:firstLine="708"/>
        <w:rPr>
          <w:rFonts w:cs="Tahoma"/>
          <w:szCs w:val="24"/>
        </w:rPr>
      </w:pPr>
      <w:r w:rsidRPr="002E3810">
        <w:rPr>
          <w:rFonts w:cs="Tahoma"/>
          <w:szCs w:val="24"/>
        </w:rPr>
        <w:t xml:space="preserve">La AFP afirma en su contestación que brindó la información seria y veraz que para la época era jurídicamente pertinente a la parte demandante sin que se precise </w:t>
      </w:r>
      <w:r w:rsidRPr="002E3810">
        <w:rPr>
          <w:rFonts w:cs="Tahoma"/>
          <w:szCs w:val="24"/>
        </w:rPr>
        <w:lastRenderedPageBreak/>
        <w:t xml:space="preserve">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3BB8AEA4" w14:textId="77777777" w:rsidR="00BA4959" w:rsidRPr="002E3810" w:rsidRDefault="00BA4959" w:rsidP="002E3810">
      <w:pPr>
        <w:spacing w:line="276" w:lineRule="auto"/>
        <w:ind w:firstLine="708"/>
        <w:rPr>
          <w:rFonts w:cs="Tahoma"/>
          <w:szCs w:val="24"/>
        </w:rPr>
      </w:pPr>
    </w:p>
    <w:p w14:paraId="3710A1D8" w14:textId="57A6B6A5" w:rsidR="00BA4959" w:rsidRPr="002E3810" w:rsidRDefault="00BA4959" w:rsidP="002E3810">
      <w:pPr>
        <w:spacing w:line="276" w:lineRule="auto"/>
        <w:ind w:firstLine="708"/>
        <w:rPr>
          <w:rFonts w:cs="Tahoma"/>
          <w:szCs w:val="24"/>
        </w:rPr>
      </w:pPr>
      <w:r w:rsidRPr="002E3810">
        <w:rPr>
          <w:rFonts w:cs="Tahoma"/>
          <w:szCs w:val="24"/>
        </w:rPr>
        <w:t>Con todo hay que indicar que como prueba del cumplimiento del deber de información y buen consejo, la AFP demandada llamó a declarar a su contraparte procesal, de cuya declaración, la Sala considera que la parte demandante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ante Porvenir, pero dicho documento no logra evidenciar la información que se le brindó. En tal virtud se estima acertada la valoración probatoria efectuada por la operadora judicial de instancia.</w:t>
      </w:r>
    </w:p>
    <w:p w14:paraId="141DB443" w14:textId="77777777" w:rsidR="00BA4959" w:rsidRPr="002E3810" w:rsidRDefault="00BA4959" w:rsidP="002E3810">
      <w:pPr>
        <w:spacing w:line="276" w:lineRule="auto"/>
        <w:ind w:firstLine="708"/>
        <w:rPr>
          <w:rFonts w:cs="Tahoma"/>
          <w:szCs w:val="24"/>
        </w:rPr>
      </w:pPr>
    </w:p>
    <w:p w14:paraId="52992B2E" w14:textId="77777777" w:rsidR="00BA4959" w:rsidRPr="002E3810" w:rsidRDefault="00BA4959" w:rsidP="002E3810">
      <w:pPr>
        <w:spacing w:line="276" w:lineRule="auto"/>
        <w:ind w:firstLine="708"/>
        <w:rPr>
          <w:rFonts w:cs="Tahoma"/>
          <w:szCs w:val="24"/>
        </w:rPr>
      </w:pPr>
      <w:r w:rsidRPr="002E3810">
        <w:rPr>
          <w:rFonts w:cs="Tahoma"/>
          <w:szCs w:val="24"/>
        </w:rPr>
        <w:t xml:space="preserve">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 </w:t>
      </w:r>
    </w:p>
    <w:p w14:paraId="591A706E" w14:textId="77777777" w:rsidR="00BA4959" w:rsidRPr="002E3810" w:rsidRDefault="00BA4959" w:rsidP="002E3810">
      <w:pPr>
        <w:spacing w:line="276" w:lineRule="auto"/>
        <w:ind w:firstLine="708"/>
        <w:rPr>
          <w:rFonts w:cs="Tahoma"/>
          <w:szCs w:val="24"/>
        </w:rPr>
      </w:pPr>
    </w:p>
    <w:p w14:paraId="66581B4D" w14:textId="77777777" w:rsidR="00BA4959" w:rsidRPr="002E3810" w:rsidRDefault="00BA4959" w:rsidP="002E3810">
      <w:pPr>
        <w:spacing w:line="276" w:lineRule="auto"/>
        <w:ind w:firstLine="708"/>
        <w:rPr>
          <w:rFonts w:cs="Tahoma"/>
          <w:szCs w:val="24"/>
        </w:rPr>
      </w:pPr>
      <w:r w:rsidRPr="002E3810">
        <w:rPr>
          <w:rFonts w:cs="Tahoma"/>
          <w:szCs w:val="24"/>
        </w:rPr>
        <w:t>En cuanto a las condenas impartidas a cargo de Porvenir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5D1C5607" w14:textId="77777777" w:rsidR="00BA4959" w:rsidRPr="002E3810" w:rsidRDefault="00BA4959" w:rsidP="002E3810">
      <w:pPr>
        <w:spacing w:line="276" w:lineRule="auto"/>
        <w:ind w:firstLine="708"/>
        <w:rPr>
          <w:rFonts w:cs="Tahoma"/>
          <w:szCs w:val="24"/>
        </w:rPr>
      </w:pPr>
    </w:p>
    <w:p w14:paraId="231D2A74" w14:textId="530C0668" w:rsidR="00BA4959" w:rsidRPr="002E3810" w:rsidRDefault="00BA4959" w:rsidP="002E3810">
      <w:pPr>
        <w:spacing w:line="276" w:lineRule="auto"/>
        <w:ind w:firstLine="708"/>
        <w:rPr>
          <w:rFonts w:cs="Tahoma"/>
          <w:szCs w:val="24"/>
          <w:lang w:val="es"/>
        </w:rPr>
      </w:pPr>
      <w:r w:rsidRPr="002E3810">
        <w:rPr>
          <w:rFonts w:cs="Tahoma"/>
          <w:szCs w:val="24"/>
          <w:lang w:val="es"/>
        </w:rPr>
        <w:t>En torno a la manifestación que hace</w:t>
      </w:r>
      <w:r w:rsidR="003F0D01" w:rsidRPr="002E3810">
        <w:rPr>
          <w:rFonts w:cs="Tahoma"/>
          <w:szCs w:val="24"/>
          <w:lang w:val="es"/>
        </w:rPr>
        <w:t>n Porvenir y</w:t>
      </w:r>
      <w:r w:rsidRPr="002E3810">
        <w:rPr>
          <w:rFonts w:cs="Tahoma"/>
          <w:szCs w:val="24"/>
          <w:lang w:val="es"/>
        </w:rPr>
        <w:t xml:space="preserve"> Colpensiones, referente a que al existir un interés económico en la parte demandante frente al cambio de régimen, lo que debió solicitar era el resarcimiento, criterio que vale mencionar, era el precedente de las mayorías de dos Salas de Decisión de esta Corporación pero que fue desestimado por la Corte Suprema de Justicia, a través de varias sentencias de </w:t>
      </w:r>
      <w:r w:rsidRPr="002E3810">
        <w:rPr>
          <w:rFonts w:cs="Tahoma"/>
          <w:szCs w:val="24"/>
          <w:lang w:val="es"/>
        </w:rPr>
        <w:lastRenderedPageBreak/>
        <w:t>tutela, lo que obligó a los Magistrados que lideraban esa tesis a acoger la línea jurisprudencial que sobre el tema tiene fijada la Sala de Casación Laboral al que ya se hizo una amplia referencia.</w:t>
      </w:r>
    </w:p>
    <w:p w14:paraId="30F26ACD" w14:textId="77777777" w:rsidR="00BA4959" w:rsidRPr="002E3810" w:rsidRDefault="00BA4959" w:rsidP="002E3810">
      <w:pPr>
        <w:spacing w:line="276" w:lineRule="auto"/>
        <w:ind w:firstLine="708"/>
        <w:rPr>
          <w:rFonts w:cs="Tahoma"/>
          <w:szCs w:val="24"/>
          <w:lang w:val="es"/>
        </w:rPr>
      </w:pPr>
    </w:p>
    <w:p w14:paraId="5EF7F8F6" w14:textId="77777777" w:rsidR="00BA4959" w:rsidRPr="002E3810" w:rsidRDefault="00BA4959" w:rsidP="002E3810">
      <w:pPr>
        <w:spacing w:line="276" w:lineRule="auto"/>
        <w:ind w:firstLine="708"/>
        <w:rPr>
          <w:rFonts w:cs="Tahoma"/>
          <w:szCs w:val="24"/>
        </w:rPr>
      </w:pPr>
      <w:r w:rsidRPr="002E3810">
        <w:rPr>
          <w:rFonts w:cs="Tahoma"/>
          <w:szCs w:val="24"/>
        </w:rPr>
        <w:t>Ahora, debe recordarse que la Corte Constitucional en sentencia SU-053-2015, ha definido el precedente judicial como «</w:t>
      </w:r>
      <w:r w:rsidRPr="002E3810">
        <w:rPr>
          <w:rFonts w:cs="Tahoma"/>
          <w:i/>
          <w:iCs/>
          <w:szCs w:val="24"/>
        </w:rPr>
        <w:t>la sentencia o el conjunto de ellas, anteriores a un caso determinado, que por su pertinencia y semejanza en los problemas jurídicos resueltos, debe necesariamente considerarse por las autoridades judiciales al momento de emitir un fallo»</w:t>
      </w:r>
      <w:r w:rsidRPr="002E3810">
        <w:rPr>
          <w:rFonts w:cs="Tahoma"/>
          <w:szCs w:val="24"/>
        </w:rPr>
        <w:t xml:space="preserve"> y, en tal sentido, el emitido por los máximos órganos de cierre, “</w:t>
      </w:r>
      <w:r w:rsidRPr="002E3810">
        <w:rPr>
          <w:rFonts w:cs="Tahoma"/>
          <w:i/>
          <w:iCs/>
          <w:szCs w:val="24"/>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2E3810">
        <w:rPr>
          <w:rFonts w:cs="Tahoma"/>
          <w:szCs w:val="24"/>
        </w:rPr>
        <w:t xml:space="preserve"> (STL4759-2020).</w:t>
      </w:r>
    </w:p>
    <w:p w14:paraId="6A16E1F0" w14:textId="77777777" w:rsidR="00BA4959" w:rsidRPr="002E3810" w:rsidRDefault="00BA4959" w:rsidP="002E3810">
      <w:pPr>
        <w:spacing w:line="276" w:lineRule="auto"/>
        <w:ind w:firstLine="708"/>
        <w:rPr>
          <w:rFonts w:cs="Tahoma"/>
          <w:szCs w:val="24"/>
        </w:rPr>
      </w:pPr>
    </w:p>
    <w:p w14:paraId="0AE69599" w14:textId="3C4E324F" w:rsidR="00BA4959" w:rsidRPr="002E3810" w:rsidRDefault="00BA4959" w:rsidP="002E3810">
      <w:pPr>
        <w:spacing w:line="276" w:lineRule="auto"/>
        <w:ind w:firstLine="708"/>
        <w:rPr>
          <w:rFonts w:cs="Tahoma"/>
          <w:szCs w:val="24"/>
        </w:rPr>
      </w:pPr>
      <w:r w:rsidRPr="002E3810">
        <w:rPr>
          <w:rFonts w:cs="Tahoma"/>
          <w:szCs w:val="24"/>
        </w:rPr>
        <w:t xml:space="preserve">Frente al argumento de las apelantes, referente a que era improcedente permitir que el demandante se trasladara hacia dicha entidad al superar la edad mínima pensional, según lo estipulado en </w:t>
      </w:r>
      <w:r w:rsidRPr="002E3810">
        <w:rPr>
          <w:rFonts w:cs="Tahoma"/>
          <w:szCs w:val="24"/>
          <w:lang w:val="es-ES"/>
        </w:rPr>
        <w:t xml:space="preserve">el literal e) del artículo 13 de la Ley 100 de 1993, modificado por la Ley 797 de 2003, </w:t>
      </w:r>
      <w:r w:rsidRPr="002E3810">
        <w:rPr>
          <w:rFonts w:cs="Tahoma"/>
          <w:szCs w:val="24"/>
        </w:rPr>
        <w:t>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w:t>
      </w:r>
      <w:r w:rsidRPr="002E3810">
        <w:rPr>
          <w:rFonts w:cs="Tahoma"/>
          <w:szCs w:val="24"/>
          <w:lang w:val="es-ES"/>
        </w:rPr>
        <w:t xml:space="preserve"> Además, lo aquí analizado no es el traslado voluntario con la conservación o no del régimen de transición, sino el efecto de la ineficacia del cambio de régimen pensional a falta de información detallada y completa al momento del traslado de régimen.</w:t>
      </w:r>
    </w:p>
    <w:p w14:paraId="4B05C727" w14:textId="77777777" w:rsidR="00BA4959" w:rsidRPr="002E3810" w:rsidRDefault="00BA4959" w:rsidP="002E3810">
      <w:pPr>
        <w:spacing w:line="276" w:lineRule="auto"/>
        <w:ind w:firstLine="708"/>
        <w:rPr>
          <w:rFonts w:cs="Tahoma"/>
          <w:szCs w:val="24"/>
        </w:rPr>
      </w:pPr>
    </w:p>
    <w:p w14:paraId="37B60254" w14:textId="093D4DC7" w:rsidR="00BA4959" w:rsidRPr="002E3810" w:rsidRDefault="00BA4959" w:rsidP="002E3810">
      <w:pPr>
        <w:spacing w:line="276" w:lineRule="auto"/>
        <w:ind w:firstLine="708"/>
        <w:rPr>
          <w:rFonts w:cs="Tahoma"/>
          <w:szCs w:val="24"/>
        </w:rPr>
      </w:pPr>
      <w:r w:rsidRPr="002E3810">
        <w:rPr>
          <w:rFonts w:cs="Tahoma"/>
          <w:szCs w:val="24"/>
        </w:rPr>
        <w:t xml:space="preserve">Importa precisar que como la declaratoria de ineficacia trae como consecuencia que las cosas se reestablezcan al estado en el que se encontraban al momento del traslado de régimen, </w:t>
      </w:r>
      <w:r w:rsidR="007F2435" w:rsidRPr="002E3810">
        <w:rPr>
          <w:rFonts w:cs="Tahoma"/>
          <w:szCs w:val="24"/>
        </w:rPr>
        <w:t xml:space="preserve">se comparte la orden dirigida a </w:t>
      </w:r>
      <w:r w:rsidRPr="002E3810">
        <w:rPr>
          <w:rFonts w:cs="Tahoma"/>
          <w:szCs w:val="24"/>
        </w:rPr>
        <w:t>comunicar la decisión adoptada en este 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 Ello en razón a que no existe dentro del plenario prueba que acredite que el bono ha sido liquidado, emitido y cancelado por parte de esa cartera ministerial.</w:t>
      </w:r>
    </w:p>
    <w:p w14:paraId="5C841E37" w14:textId="77777777" w:rsidR="00BA4959" w:rsidRPr="002E3810" w:rsidRDefault="00BA4959" w:rsidP="002E3810">
      <w:pPr>
        <w:spacing w:line="276" w:lineRule="auto"/>
        <w:ind w:firstLine="708"/>
        <w:rPr>
          <w:rFonts w:cs="Tahoma"/>
          <w:szCs w:val="24"/>
          <w:lang w:val="es-ES"/>
        </w:rPr>
      </w:pPr>
    </w:p>
    <w:p w14:paraId="53880BAE" w14:textId="0FDD775B" w:rsidR="00BA4959" w:rsidRPr="002E3810" w:rsidRDefault="00BA4959" w:rsidP="002E3810">
      <w:pPr>
        <w:spacing w:line="276" w:lineRule="auto"/>
        <w:ind w:firstLine="708"/>
        <w:rPr>
          <w:rFonts w:cs="Tahoma"/>
          <w:szCs w:val="24"/>
        </w:rPr>
      </w:pPr>
      <w:r w:rsidRPr="002E3810">
        <w:rPr>
          <w:rFonts w:cs="Tahoma"/>
          <w:szCs w:val="24"/>
        </w:rPr>
        <w:t xml:space="preserve">De otro lado, respecto a la solicitud de la AFP tendiente a que no se le condene en costas procesales bajo el argumento de que se cumplió con los requisitos legales exigidos al momento del traslado, hay que indicar, en primer lugar, 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al demandante la asesoría exigida </w:t>
      </w:r>
      <w:r w:rsidRPr="002E3810">
        <w:rPr>
          <w:rFonts w:cs="Tahoma"/>
          <w:szCs w:val="24"/>
        </w:rPr>
        <w:lastRenderedPageBreak/>
        <w:t xml:space="preserve">en el momento en que se trasladó al RAIS, de ahí que se esté declarando la ineficacia del acto. </w:t>
      </w:r>
    </w:p>
    <w:p w14:paraId="2534FB0A" w14:textId="77777777" w:rsidR="00BA4959" w:rsidRPr="002E3810" w:rsidRDefault="00BA4959" w:rsidP="002E3810">
      <w:pPr>
        <w:spacing w:line="276" w:lineRule="auto"/>
        <w:ind w:firstLine="708"/>
        <w:rPr>
          <w:rFonts w:cs="Tahoma"/>
          <w:szCs w:val="24"/>
        </w:rPr>
      </w:pPr>
    </w:p>
    <w:p w14:paraId="7C8F6687" w14:textId="77777777" w:rsidR="00BA4959" w:rsidRPr="002E3810" w:rsidRDefault="00BA4959" w:rsidP="002E3810">
      <w:pPr>
        <w:spacing w:line="276" w:lineRule="auto"/>
        <w:ind w:firstLine="708"/>
        <w:rPr>
          <w:rFonts w:cs="Tahoma"/>
          <w:szCs w:val="24"/>
        </w:rPr>
      </w:pPr>
      <w:r w:rsidRPr="002E3810">
        <w:rPr>
          <w:rFonts w:cs="Tahoma"/>
          <w:szCs w:val="24"/>
        </w:rPr>
        <w:t xml:space="preserve">En esta instancia de conformidad a lo consagrado en el artículo 365 del CGP, se condenará en costas procesales a la </w:t>
      </w:r>
      <w:r w:rsidRPr="002E3810">
        <w:rPr>
          <w:rFonts w:cs="Tahoma"/>
          <w:b/>
          <w:bCs/>
          <w:szCs w:val="24"/>
        </w:rPr>
        <w:t>Administradora de Fondos de Pensiones y Cesantías</w:t>
      </w:r>
      <w:r w:rsidRPr="002E3810">
        <w:rPr>
          <w:rFonts w:cs="Tahoma"/>
          <w:szCs w:val="24"/>
        </w:rPr>
        <w:t xml:space="preserve"> </w:t>
      </w:r>
      <w:r w:rsidRPr="002E3810">
        <w:rPr>
          <w:rFonts w:cs="Tahoma"/>
          <w:b/>
          <w:bCs/>
          <w:szCs w:val="24"/>
        </w:rPr>
        <w:t>Porvenir S.A.</w:t>
      </w:r>
      <w:r w:rsidRPr="002E3810">
        <w:rPr>
          <w:rFonts w:cs="Tahoma"/>
          <w:szCs w:val="24"/>
        </w:rPr>
        <w:t xml:space="preserve"> y a </w:t>
      </w:r>
      <w:r w:rsidRPr="002E3810">
        <w:rPr>
          <w:rFonts w:cs="Tahoma"/>
          <w:b/>
          <w:szCs w:val="24"/>
        </w:rPr>
        <w:t>COLPENSIONES</w:t>
      </w:r>
      <w:r w:rsidRPr="002E3810">
        <w:rPr>
          <w:rFonts w:cs="Tahoma"/>
          <w:szCs w:val="24"/>
        </w:rPr>
        <w:t xml:space="preserve"> a favor de la parte actora, las cuales se liquidarán por la secretaría del juzgado de origen. </w:t>
      </w:r>
    </w:p>
    <w:p w14:paraId="245D3637" w14:textId="77777777" w:rsidR="00BA4959" w:rsidRPr="002E3810" w:rsidRDefault="00BA4959" w:rsidP="002E3810">
      <w:pPr>
        <w:spacing w:line="276" w:lineRule="auto"/>
        <w:ind w:firstLine="708"/>
        <w:rPr>
          <w:rFonts w:cs="Tahoma"/>
          <w:szCs w:val="24"/>
        </w:rPr>
      </w:pPr>
    </w:p>
    <w:p w14:paraId="26F5A87C" w14:textId="7D862341" w:rsidR="00BA4959" w:rsidRPr="002E3810" w:rsidRDefault="004C3D04" w:rsidP="002E3810">
      <w:pPr>
        <w:spacing w:line="276" w:lineRule="auto"/>
        <w:ind w:firstLine="708"/>
        <w:rPr>
          <w:rFonts w:cs="Tahoma"/>
          <w:szCs w:val="24"/>
          <w:lang w:val="es-ES"/>
        </w:rPr>
      </w:pPr>
      <w:r>
        <w:rPr>
          <w:rFonts w:cs="Tahoma"/>
          <w:szCs w:val="24"/>
          <w:lang w:val="es-ES"/>
        </w:rPr>
        <w:t>(…)</w:t>
      </w:r>
      <w:r w:rsidR="00BA4959" w:rsidRPr="002E3810">
        <w:rPr>
          <w:rFonts w:cs="Tahoma"/>
          <w:szCs w:val="24"/>
          <w:lang w:val="es-ES"/>
        </w:rPr>
        <w:t xml:space="preserve"> </w:t>
      </w:r>
    </w:p>
    <w:p w14:paraId="394D61FB" w14:textId="77777777" w:rsidR="00BA4959" w:rsidRPr="002E3810" w:rsidRDefault="00BA4959" w:rsidP="002E3810">
      <w:pPr>
        <w:spacing w:line="276" w:lineRule="auto"/>
        <w:ind w:firstLine="708"/>
        <w:rPr>
          <w:rFonts w:cs="Tahoma"/>
          <w:szCs w:val="24"/>
          <w:lang w:val="es-ES"/>
        </w:rPr>
      </w:pPr>
    </w:p>
    <w:p w14:paraId="68B4B837" w14:textId="77777777" w:rsidR="00BA4959" w:rsidRPr="002E3810" w:rsidRDefault="00BA4959" w:rsidP="002E3810">
      <w:pPr>
        <w:spacing w:line="276" w:lineRule="auto"/>
        <w:ind w:firstLine="708"/>
        <w:rPr>
          <w:rFonts w:cs="Tahoma"/>
          <w:szCs w:val="24"/>
        </w:rPr>
      </w:pPr>
      <w:r w:rsidRPr="002E3810">
        <w:rPr>
          <w:rFonts w:cs="Tahoma"/>
          <w:szCs w:val="24"/>
        </w:rPr>
        <w:t xml:space="preserve">En mérito de lo expuesto, el </w:t>
      </w:r>
      <w:r w:rsidRPr="002E3810">
        <w:rPr>
          <w:rFonts w:cs="Tahoma"/>
          <w:b/>
          <w:szCs w:val="24"/>
        </w:rPr>
        <w:t>Tribunal Superior del Distrito Judicial de Pereira - Risaralda, Sala Primera de Decisión Laboral,</w:t>
      </w:r>
      <w:r w:rsidRPr="002E3810">
        <w:rPr>
          <w:rFonts w:cs="Tahoma"/>
          <w:szCs w:val="24"/>
        </w:rPr>
        <w:t xml:space="preserve"> administrando justicia en nombre de la República y por autoridad de la ley,</w:t>
      </w:r>
    </w:p>
    <w:p w14:paraId="780C149B" w14:textId="77777777" w:rsidR="00BA4959" w:rsidRPr="002E3810" w:rsidRDefault="00BA4959" w:rsidP="002E3810">
      <w:pPr>
        <w:spacing w:line="276" w:lineRule="auto"/>
        <w:ind w:firstLine="708"/>
        <w:rPr>
          <w:rFonts w:cs="Tahoma"/>
          <w:szCs w:val="24"/>
        </w:rPr>
      </w:pPr>
    </w:p>
    <w:p w14:paraId="027F7D77" w14:textId="77777777" w:rsidR="00BA4959" w:rsidRPr="002E3810" w:rsidRDefault="00BA4959" w:rsidP="002E3810">
      <w:pPr>
        <w:spacing w:line="276" w:lineRule="auto"/>
        <w:ind w:firstLine="708"/>
        <w:jc w:val="center"/>
        <w:rPr>
          <w:rFonts w:cs="Tahoma"/>
          <w:b/>
          <w:szCs w:val="24"/>
        </w:rPr>
      </w:pPr>
      <w:r w:rsidRPr="002E3810">
        <w:rPr>
          <w:rFonts w:cs="Tahoma"/>
          <w:b/>
          <w:szCs w:val="24"/>
        </w:rPr>
        <w:t>RESUELVE</w:t>
      </w:r>
    </w:p>
    <w:p w14:paraId="6FFCFB25" w14:textId="77777777" w:rsidR="00BA4959" w:rsidRPr="002E3810" w:rsidRDefault="00BA4959" w:rsidP="002E3810">
      <w:pPr>
        <w:spacing w:line="276" w:lineRule="auto"/>
        <w:ind w:firstLine="708"/>
        <w:rPr>
          <w:rFonts w:cs="Tahoma"/>
          <w:b/>
          <w:szCs w:val="24"/>
        </w:rPr>
      </w:pPr>
    </w:p>
    <w:p w14:paraId="6EC72A31" w14:textId="4D043FF4" w:rsidR="007F2435" w:rsidRPr="002E3810" w:rsidRDefault="00BA4959" w:rsidP="002E3810">
      <w:pPr>
        <w:spacing w:line="276" w:lineRule="auto"/>
        <w:ind w:firstLine="708"/>
        <w:rPr>
          <w:rFonts w:cs="Tahoma"/>
          <w:szCs w:val="24"/>
        </w:rPr>
      </w:pPr>
      <w:r w:rsidRPr="002E3810">
        <w:rPr>
          <w:rFonts w:cs="Tahoma"/>
          <w:b/>
          <w:bCs/>
          <w:szCs w:val="24"/>
        </w:rPr>
        <w:t>PRIMERO</w:t>
      </w:r>
      <w:r w:rsidRPr="002E3810">
        <w:rPr>
          <w:rFonts w:cs="Tahoma"/>
          <w:szCs w:val="24"/>
        </w:rPr>
        <w:t>: </w:t>
      </w:r>
      <w:r w:rsidR="4C43C64D" w:rsidRPr="002E3810">
        <w:rPr>
          <w:rFonts w:cs="Tahoma"/>
          <w:b/>
          <w:bCs/>
          <w:szCs w:val="24"/>
        </w:rPr>
        <w:t>CONFIRMAR</w:t>
      </w:r>
      <w:r w:rsidR="4C43C64D" w:rsidRPr="002E3810">
        <w:rPr>
          <w:rFonts w:cs="Tahoma"/>
          <w:szCs w:val="24"/>
        </w:rPr>
        <w:t xml:space="preserve"> la sentencia proferida por el Juzgado Quinto Laboral de Circuito de Pereira, del 1º de junio de 2021 dentro del proceso de la referencia.</w:t>
      </w:r>
    </w:p>
    <w:p w14:paraId="5B3CCAE7" w14:textId="77777777" w:rsidR="007F2435" w:rsidRPr="002E3810" w:rsidRDefault="007F2435" w:rsidP="002E3810">
      <w:pPr>
        <w:spacing w:line="276" w:lineRule="auto"/>
        <w:ind w:firstLine="708"/>
        <w:rPr>
          <w:rFonts w:cs="Tahoma"/>
          <w:szCs w:val="24"/>
        </w:rPr>
      </w:pPr>
    </w:p>
    <w:p w14:paraId="7A272DD9" w14:textId="04ADBF21" w:rsidR="00BA4959" w:rsidRPr="002E3810" w:rsidRDefault="00BA4959" w:rsidP="002E3810">
      <w:pPr>
        <w:spacing w:line="276" w:lineRule="auto"/>
        <w:ind w:firstLine="708"/>
        <w:rPr>
          <w:rFonts w:cs="Tahoma"/>
          <w:szCs w:val="24"/>
        </w:rPr>
      </w:pPr>
      <w:r w:rsidRPr="002E3810">
        <w:rPr>
          <w:rFonts w:cs="Tahoma"/>
          <w:b/>
          <w:bCs/>
          <w:szCs w:val="24"/>
        </w:rPr>
        <w:t>SEGUNDO</w:t>
      </w:r>
      <w:r w:rsidRPr="002E3810">
        <w:rPr>
          <w:rFonts w:cs="Tahoma"/>
          <w:szCs w:val="24"/>
        </w:rPr>
        <w:t xml:space="preserve">: </w:t>
      </w:r>
      <w:r w:rsidR="007F2435" w:rsidRPr="002E3810">
        <w:rPr>
          <w:rFonts w:cs="Tahoma"/>
          <w:b/>
          <w:bCs/>
          <w:szCs w:val="24"/>
        </w:rPr>
        <w:t>CONDENAR</w:t>
      </w:r>
      <w:r w:rsidR="007F2435" w:rsidRPr="002E3810">
        <w:rPr>
          <w:rFonts w:cs="Tahoma"/>
          <w:szCs w:val="24"/>
        </w:rPr>
        <w:t xml:space="preserve"> en costas de segunda instancia a la AFP Porvenir S.A. y a Colpensiones a favor de la demandante, las cuales se liquidarán por el juzgado de origen.</w:t>
      </w:r>
    </w:p>
    <w:p w14:paraId="4C16DD49" w14:textId="77777777" w:rsidR="00BA4959" w:rsidRPr="002E3810" w:rsidRDefault="00BA4959" w:rsidP="002E3810">
      <w:pPr>
        <w:spacing w:line="276" w:lineRule="auto"/>
        <w:ind w:firstLine="708"/>
        <w:rPr>
          <w:rFonts w:cs="Tahoma"/>
          <w:szCs w:val="24"/>
        </w:rPr>
      </w:pPr>
    </w:p>
    <w:p w14:paraId="24341250" w14:textId="2BB86C44" w:rsidR="00BA4959" w:rsidRPr="002E3810" w:rsidRDefault="00BA4959" w:rsidP="002E3810">
      <w:pPr>
        <w:spacing w:line="276" w:lineRule="auto"/>
        <w:ind w:firstLine="708"/>
        <w:rPr>
          <w:rFonts w:cs="Tahoma"/>
          <w:szCs w:val="24"/>
        </w:rPr>
      </w:pPr>
      <w:r w:rsidRPr="002E3810">
        <w:rPr>
          <w:rFonts w:cs="Tahoma"/>
          <w:b/>
          <w:bCs/>
          <w:szCs w:val="24"/>
        </w:rPr>
        <w:t>TERCERO</w:t>
      </w:r>
      <w:r w:rsidRPr="002E3810">
        <w:rPr>
          <w:rFonts w:cs="Tahoma"/>
          <w:szCs w:val="24"/>
        </w:rPr>
        <w:t>: </w:t>
      </w:r>
      <w:r w:rsidR="004C3D04">
        <w:rPr>
          <w:rFonts w:cs="Tahoma"/>
          <w:szCs w:val="24"/>
        </w:rPr>
        <w:t>(…)</w:t>
      </w:r>
    </w:p>
    <w:p w14:paraId="50F919A2" w14:textId="77777777" w:rsidR="00BA4959" w:rsidRPr="002E3810" w:rsidRDefault="00BA4959" w:rsidP="002E3810">
      <w:pPr>
        <w:spacing w:line="276" w:lineRule="auto"/>
        <w:ind w:firstLine="708"/>
        <w:rPr>
          <w:rFonts w:cs="Tahoma"/>
          <w:szCs w:val="24"/>
          <w:lang w:val="es-ES"/>
        </w:rPr>
      </w:pPr>
    </w:p>
    <w:p w14:paraId="3D1D604B" w14:textId="77777777" w:rsidR="002E3810" w:rsidRPr="002E3810" w:rsidRDefault="002E3810" w:rsidP="002E3810">
      <w:pPr>
        <w:widowControl w:val="0"/>
        <w:autoSpaceDE w:val="0"/>
        <w:autoSpaceDN w:val="0"/>
        <w:adjustRightInd w:val="0"/>
        <w:spacing w:line="276" w:lineRule="auto"/>
        <w:jc w:val="center"/>
        <w:rPr>
          <w:rFonts w:cs="Tahoma"/>
          <w:b/>
          <w:szCs w:val="24"/>
        </w:rPr>
      </w:pPr>
      <w:r w:rsidRPr="002E3810">
        <w:rPr>
          <w:rFonts w:cs="Tahoma"/>
          <w:b/>
          <w:szCs w:val="24"/>
        </w:rPr>
        <w:t>NOTIFÍQUESE Y CÚMPLASE</w:t>
      </w:r>
    </w:p>
    <w:p w14:paraId="2B03E5A1" w14:textId="77777777" w:rsidR="002E3810" w:rsidRPr="002E3810" w:rsidRDefault="002E3810" w:rsidP="002E3810">
      <w:pPr>
        <w:spacing w:line="276" w:lineRule="auto"/>
        <w:contextualSpacing/>
        <w:rPr>
          <w:rFonts w:eastAsia="Times New Roman" w:cs="Tahoma"/>
          <w:szCs w:val="24"/>
          <w:lang w:val="es-ES_tradnl"/>
        </w:rPr>
      </w:pPr>
      <w:bookmarkStart w:id="5" w:name="_Hlk74294138"/>
    </w:p>
    <w:p w14:paraId="4F8D16CC" w14:textId="77777777" w:rsidR="002E3810" w:rsidRPr="002E3810" w:rsidRDefault="002E3810" w:rsidP="002E3810">
      <w:pPr>
        <w:widowControl w:val="0"/>
        <w:autoSpaceDE w:val="0"/>
        <w:autoSpaceDN w:val="0"/>
        <w:adjustRightInd w:val="0"/>
        <w:spacing w:line="276" w:lineRule="auto"/>
        <w:rPr>
          <w:rFonts w:eastAsia="Times New Roman" w:cs="Tahoma"/>
          <w:szCs w:val="24"/>
          <w:lang w:val="es-ES" w:eastAsia="es-ES"/>
        </w:rPr>
      </w:pPr>
      <w:r w:rsidRPr="002E3810">
        <w:rPr>
          <w:rFonts w:eastAsia="Times New Roman" w:cs="Tahoma"/>
          <w:szCs w:val="24"/>
          <w:lang w:val="es-ES" w:eastAsia="es-ES"/>
        </w:rPr>
        <w:tab/>
        <w:t>La Magistrada ponente,</w:t>
      </w:r>
    </w:p>
    <w:p w14:paraId="72B06A9F" w14:textId="77777777" w:rsidR="002E3810" w:rsidRPr="002E3810" w:rsidRDefault="002E3810" w:rsidP="002E3810">
      <w:pPr>
        <w:spacing w:line="276" w:lineRule="auto"/>
        <w:jc w:val="left"/>
        <w:rPr>
          <w:rFonts w:eastAsia="Times New Roman" w:cs="Tahoma"/>
          <w:szCs w:val="24"/>
          <w:lang w:val="es-ES" w:eastAsia="es-ES"/>
        </w:rPr>
      </w:pPr>
    </w:p>
    <w:p w14:paraId="74F73FC8" w14:textId="77777777" w:rsidR="002E3810" w:rsidRPr="002E3810" w:rsidRDefault="002E3810" w:rsidP="002E3810">
      <w:pPr>
        <w:spacing w:line="276" w:lineRule="auto"/>
        <w:jc w:val="left"/>
        <w:rPr>
          <w:rFonts w:eastAsia="Times New Roman" w:cs="Tahoma"/>
          <w:szCs w:val="24"/>
          <w:lang w:val="es-ES" w:eastAsia="es-ES"/>
        </w:rPr>
      </w:pPr>
    </w:p>
    <w:p w14:paraId="4C56DCC2" w14:textId="77777777" w:rsidR="002E3810" w:rsidRPr="002E3810" w:rsidRDefault="002E3810" w:rsidP="002E3810">
      <w:pPr>
        <w:spacing w:line="276" w:lineRule="auto"/>
        <w:jc w:val="left"/>
        <w:rPr>
          <w:rFonts w:eastAsia="Times New Roman" w:cs="Tahoma"/>
          <w:szCs w:val="24"/>
          <w:lang w:val="es-ES" w:eastAsia="es-ES"/>
        </w:rPr>
      </w:pPr>
    </w:p>
    <w:p w14:paraId="3B5FD71E" w14:textId="77777777" w:rsidR="002E3810" w:rsidRPr="002E3810" w:rsidRDefault="002E3810" w:rsidP="002E3810">
      <w:pPr>
        <w:keepNext/>
        <w:spacing w:line="276" w:lineRule="auto"/>
        <w:jc w:val="center"/>
        <w:outlineLvl w:val="2"/>
        <w:rPr>
          <w:rFonts w:eastAsia="Times New Roman" w:cs="Tahoma"/>
          <w:b/>
          <w:bCs/>
          <w:szCs w:val="24"/>
          <w:lang w:val="es-ES" w:eastAsia="es-ES"/>
        </w:rPr>
      </w:pPr>
      <w:r w:rsidRPr="002E3810">
        <w:rPr>
          <w:rFonts w:eastAsia="Times New Roman" w:cs="Tahoma"/>
          <w:b/>
          <w:bCs/>
          <w:szCs w:val="24"/>
          <w:lang w:val="es-ES" w:eastAsia="es-ES"/>
        </w:rPr>
        <w:t>ANA LUCÍA CAICEDO CALDERÓN</w:t>
      </w:r>
    </w:p>
    <w:p w14:paraId="66CC6F2A" w14:textId="77777777" w:rsidR="002E3810" w:rsidRPr="002E3810" w:rsidRDefault="002E3810" w:rsidP="002E3810">
      <w:pPr>
        <w:spacing w:line="276" w:lineRule="auto"/>
        <w:jc w:val="left"/>
        <w:rPr>
          <w:rFonts w:eastAsia="Times New Roman" w:cs="Tahoma"/>
          <w:szCs w:val="24"/>
          <w:lang w:val="es-ES" w:eastAsia="es-ES"/>
        </w:rPr>
      </w:pPr>
    </w:p>
    <w:p w14:paraId="4BD19338" w14:textId="77777777" w:rsidR="002E3810" w:rsidRPr="002E3810" w:rsidRDefault="002E3810" w:rsidP="002E3810">
      <w:pPr>
        <w:spacing w:line="276" w:lineRule="auto"/>
        <w:ind w:firstLine="708"/>
        <w:jc w:val="left"/>
        <w:rPr>
          <w:rFonts w:eastAsia="Times New Roman" w:cs="Tahoma"/>
          <w:szCs w:val="24"/>
          <w:lang w:val="es-ES" w:eastAsia="es-ES"/>
        </w:rPr>
      </w:pPr>
      <w:bookmarkStart w:id="6" w:name="_Hlk62478330"/>
      <w:r w:rsidRPr="002E3810">
        <w:rPr>
          <w:rFonts w:eastAsia="Times New Roman" w:cs="Tahoma"/>
          <w:szCs w:val="24"/>
          <w:lang w:val="es-ES" w:eastAsia="es-ES"/>
        </w:rPr>
        <w:t>La Magistrada y el Magistrado,</w:t>
      </w:r>
    </w:p>
    <w:p w14:paraId="4209B9F0" w14:textId="77777777" w:rsidR="002E3810" w:rsidRPr="002E3810" w:rsidRDefault="002E3810" w:rsidP="002E3810">
      <w:pPr>
        <w:spacing w:line="276" w:lineRule="auto"/>
        <w:jc w:val="left"/>
        <w:rPr>
          <w:rFonts w:eastAsia="Times New Roman" w:cs="Tahoma"/>
          <w:szCs w:val="24"/>
          <w:lang w:val="es-ES" w:eastAsia="es-ES"/>
        </w:rPr>
      </w:pPr>
    </w:p>
    <w:p w14:paraId="0A2F09ED" w14:textId="77777777" w:rsidR="002E3810" w:rsidRPr="002E3810" w:rsidRDefault="002E3810" w:rsidP="002E3810">
      <w:pPr>
        <w:spacing w:line="276" w:lineRule="auto"/>
        <w:jc w:val="left"/>
        <w:rPr>
          <w:rFonts w:eastAsia="Times New Roman" w:cs="Tahoma"/>
          <w:szCs w:val="24"/>
          <w:lang w:val="es-ES" w:eastAsia="es-ES"/>
        </w:rPr>
      </w:pPr>
    </w:p>
    <w:p w14:paraId="499C857D" w14:textId="77777777" w:rsidR="002E3810" w:rsidRPr="002E3810" w:rsidRDefault="002E3810" w:rsidP="002E3810">
      <w:pPr>
        <w:spacing w:line="276" w:lineRule="auto"/>
        <w:jc w:val="left"/>
        <w:rPr>
          <w:rFonts w:eastAsia="Times New Roman" w:cs="Tahoma"/>
          <w:szCs w:val="24"/>
          <w:lang w:val="es-ES" w:eastAsia="es-ES"/>
        </w:rPr>
      </w:pPr>
    </w:p>
    <w:p w14:paraId="14B9F5B0" w14:textId="77777777" w:rsidR="002E3810" w:rsidRPr="002E3810" w:rsidRDefault="002E3810" w:rsidP="002E3810">
      <w:pPr>
        <w:spacing w:line="276" w:lineRule="auto"/>
        <w:rPr>
          <w:rFonts w:eastAsia="Times New Roman" w:cs="Tahoma"/>
          <w:b/>
          <w:bCs/>
          <w:szCs w:val="24"/>
          <w:lang w:val="es-ES" w:eastAsia="es-ES"/>
        </w:rPr>
      </w:pPr>
      <w:r w:rsidRPr="002E3810">
        <w:rPr>
          <w:rFonts w:eastAsia="Times New Roman" w:cs="Tahoma"/>
          <w:b/>
          <w:bCs/>
          <w:szCs w:val="24"/>
          <w:lang w:val="es-ES" w:eastAsia="es-ES"/>
        </w:rPr>
        <w:t>OLGA LUCÍA HOYOS SEPÚLVEDA</w:t>
      </w:r>
      <w:r w:rsidRPr="002E3810">
        <w:rPr>
          <w:rFonts w:eastAsia="Times New Roman" w:cs="Tahoma"/>
          <w:b/>
          <w:bCs/>
          <w:szCs w:val="24"/>
          <w:lang w:val="es-ES" w:eastAsia="es-ES"/>
        </w:rPr>
        <w:tab/>
      </w:r>
      <w:r w:rsidRPr="002E3810">
        <w:rPr>
          <w:rFonts w:eastAsia="Times New Roman" w:cs="Tahoma"/>
          <w:b/>
          <w:bCs/>
          <w:szCs w:val="24"/>
          <w:lang w:val="es-ES" w:eastAsia="es-ES"/>
        </w:rPr>
        <w:tab/>
        <w:t>GERMÁN DARÍO GÓEZ VINASCO</w:t>
      </w:r>
      <w:bookmarkEnd w:id="5"/>
      <w:bookmarkEnd w:id="6"/>
    </w:p>
    <w:p w14:paraId="59A8FFF9" w14:textId="7ED6C9F4" w:rsidR="00BA4959" w:rsidRPr="002E3810" w:rsidRDefault="002E3810" w:rsidP="002E3810">
      <w:pPr>
        <w:spacing w:line="276" w:lineRule="auto"/>
        <w:rPr>
          <w:rStyle w:val="normaltextrun"/>
          <w:rFonts w:cs="Tahoma"/>
          <w:szCs w:val="24"/>
        </w:rPr>
      </w:pPr>
      <w:r>
        <w:rPr>
          <w:rStyle w:val="normaltextrun"/>
          <w:rFonts w:cs="Tahoma"/>
          <w:szCs w:val="24"/>
        </w:rPr>
        <w:t>Aclara voto</w:t>
      </w:r>
    </w:p>
    <w:sectPr w:rsidR="00BA4959" w:rsidRPr="002E3810" w:rsidSect="00E01054">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1F7E98" w16cex:dateUtc="2021-08-30T20:34:22.962Z"/>
  <w16cex:commentExtensible w16cex:durableId="35316C4B" w16cex:dateUtc="2021-09-01T21:19:50.035Z"/>
  <w16cex:commentExtensible w16cex:durableId="6AE8FC07" w16cex:dateUtc="2021-09-01T21:19:58.84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AD04E" w14:textId="77777777" w:rsidR="004C134A" w:rsidRDefault="004C134A" w:rsidP="00790DA9">
      <w:pPr>
        <w:spacing w:line="240" w:lineRule="auto"/>
      </w:pPr>
      <w:r>
        <w:separator/>
      </w:r>
    </w:p>
  </w:endnote>
  <w:endnote w:type="continuationSeparator" w:id="0">
    <w:p w14:paraId="4308669A" w14:textId="77777777" w:rsidR="004C134A" w:rsidRDefault="004C134A"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77777777" w:rsidR="00BB0107" w:rsidRPr="008063DF" w:rsidRDefault="00BB0107">
        <w:pPr>
          <w:pStyle w:val="Piedepgina"/>
          <w:jc w:val="right"/>
          <w:rPr>
            <w:rFonts w:ascii="Arial" w:eastAsia="Times New Roman" w:hAnsi="Arial" w:cs="Arial"/>
            <w:sz w:val="18"/>
            <w:szCs w:val="14"/>
            <w:lang w:val="es-ES" w:eastAsia="es-ES"/>
          </w:rPr>
        </w:pPr>
        <w:r w:rsidRPr="004C3D04">
          <w:rPr>
            <w:rFonts w:ascii="Arial" w:eastAsia="Times New Roman" w:hAnsi="Arial" w:cs="Arial"/>
            <w:sz w:val="18"/>
            <w:szCs w:val="14"/>
            <w:lang w:val="es-419" w:eastAsia="es-ES"/>
          </w:rPr>
          <w:fldChar w:fldCharType="begin"/>
        </w:r>
        <w:r w:rsidRPr="004C3D04">
          <w:rPr>
            <w:rFonts w:ascii="Arial" w:eastAsia="Times New Roman" w:hAnsi="Arial" w:cs="Arial"/>
            <w:sz w:val="18"/>
            <w:szCs w:val="14"/>
            <w:lang w:val="es-419" w:eastAsia="es-ES"/>
          </w:rPr>
          <w:instrText>PAGE   \* MERGEFORMAT</w:instrText>
        </w:r>
        <w:r w:rsidRPr="004C3D04">
          <w:rPr>
            <w:rFonts w:ascii="Arial" w:eastAsia="Times New Roman" w:hAnsi="Arial" w:cs="Arial"/>
            <w:sz w:val="18"/>
            <w:szCs w:val="14"/>
            <w:lang w:val="es-419" w:eastAsia="es-ES"/>
          </w:rPr>
          <w:fldChar w:fldCharType="separate"/>
        </w:r>
        <w:r w:rsidRPr="004C3D04">
          <w:rPr>
            <w:rFonts w:ascii="Arial" w:eastAsia="Times New Roman" w:hAnsi="Arial" w:cs="Arial"/>
            <w:sz w:val="18"/>
            <w:szCs w:val="14"/>
            <w:lang w:val="es-419" w:eastAsia="es-ES"/>
          </w:rPr>
          <w:t>17</w:t>
        </w:r>
        <w:r w:rsidRPr="004C3D04">
          <w:rPr>
            <w:rFonts w:ascii="Arial" w:eastAsia="Times New Roman" w:hAnsi="Arial" w:cs="Arial"/>
            <w:sz w:val="18"/>
            <w:szCs w:val="14"/>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AEC20" w14:textId="77777777" w:rsidR="004C134A" w:rsidRDefault="004C134A" w:rsidP="00790DA9">
      <w:pPr>
        <w:spacing w:line="240" w:lineRule="auto"/>
      </w:pPr>
      <w:r>
        <w:separator/>
      </w:r>
    </w:p>
  </w:footnote>
  <w:footnote w:type="continuationSeparator" w:id="0">
    <w:p w14:paraId="56D3137E" w14:textId="77777777" w:rsidR="004C134A" w:rsidRDefault="004C134A" w:rsidP="00790DA9">
      <w:pPr>
        <w:spacing w:line="240" w:lineRule="auto"/>
      </w:pPr>
      <w:r>
        <w:continuationSeparator/>
      </w:r>
    </w:p>
  </w:footnote>
  <w:footnote w:id="1">
    <w:p w14:paraId="55F1C278" w14:textId="77777777" w:rsidR="00942F30" w:rsidRDefault="00942F30" w:rsidP="00942F30">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2">
    <w:p w14:paraId="36BE46AB" w14:textId="77777777" w:rsidR="00942F30" w:rsidRDefault="00942F30" w:rsidP="00942F30">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Estatuto Orgánico del Sistema Financiero </w:t>
      </w:r>
    </w:p>
  </w:footnote>
  <w:footnote w:id="3">
    <w:p w14:paraId="3CA9D621" w14:textId="77777777" w:rsidR="00942F30" w:rsidRDefault="00942F30" w:rsidP="00942F30">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 xml:space="preserve">Título tomado de la sentencia </w:t>
      </w:r>
      <w:r>
        <w:rPr>
          <w:rFonts w:ascii="Arial" w:hAnsi="Arial" w:cs="Arial"/>
          <w:sz w:val="18"/>
          <w:szCs w:val="18"/>
        </w:rPr>
        <w:t>del 8 de mayo de 2019SL 1688-2019, Radicado 68838, con Ponencia de la Dra. Clara Cecilia Dueñas Quevedo</w:t>
      </w:r>
    </w:p>
  </w:footnote>
  <w:footnote w:id="4">
    <w:p w14:paraId="5A8878D1" w14:textId="77777777" w:rsidR="00942F30" w:rsidRDefault="00942F30" w:rsidP="00942F30">
      <w:pPr>
        <w:pStyle w:val="Textonotapie"/>
        <w:ind w:firstLine="0"/>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408FD90B" w14:textId="77777777" w:rsidR="00942F30" w:rsidRDefault="00942F30" w:rsidP="00942F30">
      <w:pPr>
        <w:pStyle w:val="Textonotapie"/>
        <w:ind w:firstLine="0"/>
        <w:rPr>
          <w:rFonts w:ascii="Arial" w:hAnsi="Arial" w:cs="Arial"/>
          <w:sz w:val="18"/>
          <w:szCs w:val="18"/>
          <w:lang w:val="es-CO"/>
        </w:rPr>
      </w:pPr>
      <w:r>
        <w:rPr>
          <w:rStyle w:val="Refdenotaalpie"/>
          <w:rFonts w:ascii="Arial" w:hAnsi="Arial" w:cs="Arial"/>
          <w:sz w:val="18"/>
          <w:szCs w:val="18"/>
        </w:rPr>
        <w:footnoteRef/>
      </w:r>
      <w:r>
        <w:rPr>
          <w:rFonts w:ascii="Arial" w:hAnsi="Arial" w:cs="Arial"/>
          <w:sz w:val="18"/>
          <w:szCs w:val="18"/>
        </w:rPr>
        <w:t xml:space="preserve"> </w:t>
      </w:r>
      <w:r>
        <w:rPr>
          <w:rFonts w:ascii="Arial" w:hAnsi="Arial" w:cs="Arial"/>
          <w:sz w:val="18"/>
          <w:szCs w:val="18"/>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C7DC0" w14:textId="77777777" w:rsidR="00DE5195" w:rsidRPr="004C3D04" w:rsidRDefault="00DE5195" w:rsidP="004C3D04">
    <w:pPr>
      <w:tabs>
        <w:tab w:val="left" w:pos="993"/>
      </w:tabs>
      <w:spacing w:line="240" w:lineRule="auto"/>
      <w:ind w:left="1134" w:hanging="1134"/>
      <w:rPr>
        <w:rFonts w:ascii="Arial" w:eastAsia="Times New Roman" w:hAnsi="Arial" w:cs="Arial"/>
        <w:sz w:val="18"/>
        <w:szCs w:val="14"/>
        <w:lang w:val="es-419" w:eastAsia="es-ES"/>
      </w:rPr>
    </w:pPr>
    <w:r w:rsidRPr="004C3D04">
      <w:rPr>
        <w:rFonts w:ascii="Arial" w:eastAsia="Times New Roman" w:hAnsi="Arial" w:cs="Arial"/>
        <w:sz w:val="18"/>
        <w:szCs w:val="14"/>
        <w:lang w:val="es-419" w:eastAsia="es-ES"/>
      </w:rPr>
      <w:t xml:space="preserve">Radicación No.: </w:t>
    </w:r>
    <w:r w:rsidRPr="004C3D04">
      <w:rPr>
        <w:rFonts w:ascii="Arial" w:eastAsia="Times New Roman" w:hAnsi="Arial" w:cs="Arial"/>
        <w:sz w:val="18"/>
        <w:szCs w:val="14"/>
        <w:lang w:val="es-419" w:eastAsia="es-ES"/>
      </w:rPr>
      <w:tab/>
      <w:t>66001-31-05-005-2019-00238-01</w:t>
    </w:r>
  </w:p>
  <w:p w14:paraId="70BAAA5C" w14:textId="77777777" w:rsidR="00DE5195" w:rsidRPr="004C3D04" w:rsidRDefault="00DE5195" w:rsidP="004C3D04">
    <w:pPr>
      <w:tabs>
        <w:tab w:val="left" w:pos="993"/>
      </w:tabs>
      <w:spacing w:line="240" w:lineRule="auto"/>
      <w:ind w:left="1134" w:hanging="1134"/>
      <w:rPr>
        <w:rFonts w:ascii="Arial" w:eastAsia="Times New Roman" w:hAnsi="Arial" w:cs="Arial"/>
        <w:sz w:val="18"/>
        <w:szCs w:val="14"/>
        <w:lang w:eastAsia="es-ES"/>
      </w:rPr>
    </w:pPr>
    <w:r w:rsidRPr="004C3D04">
      <w:rPr>
        <w:rFonts w:ascii="Arial" w:eastAsia="Times New Roman" w:hAnsi="Arial" w:cs="Arial"/>
        <w:sz w:val="18"/>
        <w:szCs w:val="14"/>
        <w:lang w:eastAsia="es-ES"/>
      </w:rPr>
      <w:t xml:space="preserve">Demandante: </w:t>
    </w:r>
    <w:r w:rsidRPr="004C3D04">
      <w:rPr>
        <w:rFonts w:ascii="Arial" w:eastAsia="Times New Roman" w:hAnsi="Arial" w:cs="Arial"/>
        <w:sz w:val="18"/>
        <w:szCs w:val="14"/>
        <w:lang w:eastAsia="es-ES"/>
      </w:rPr>
      <w:tab/>
    </w:r>
    <w:r w:rsidRPr="004C3D04">
      <w:rPr>
        <w:rFonts w:ascii="Arial" w:eastAsia="Times New Roman" w:hAnsi="Arial" w:cs="Arial"/>
        <w:sz w:val="18"/>
        <w:szCs w:val="14"/>
        <w:lang w:eastAsia="es-ES"/>
      </w:rPr>
      <w:tab/>
      <w:t xml:space="preserve">María Isabel Niño Leguizamo </w:t>
    </w:r>
  </w:p>
  <w:p w14:paraId="0C273D6F" w14:textId="333EEEE3" w:rsidR="00DE5195" w:rsidRPr="004C3D04" w:rsidRDefault="00DE5195" w:rsidP="004C3D04">
    <w:pPr>
      <w:tabs>
        <w:tab w:val="left" w:pos="993"/>
      </w:tabs>
      <w:spacing w:line="240" w:lineRule="auto"/>
      <w:ind w:left="1134" w:hanging="1134"/>
      <w:rPr>
        <w:rFonts w:ascii="Arial" w:eastAsia="Times New Roman" w:hAnsi="Arial" w:cs="Arial"/>
        <w:sz w:val="18"/>
        <w:szCs w:val="14"/>
        <w:lang w:val="es-419" w:eastAsia="es-ES"/>
      </w:rPr>
    </w:pPr>
    <w:r w:rsidRPr="004C3D04">
      <w:rPr>
        <w:rFonts w:ascii="Arial" w:eastAsia="Times New Roman" w:hAnsi="Arial" w:cs="Arial"/>
        <w:sz w:val="18"/>
        <w:szCs w:val="14"/>
        <w:lang w:val="es-419" w:eastAsia="es-ES"/>
      </w:rPr>
      <w:t xml:space="preserve">Demandado: </w:t>
    </w:r>
    <w:r w:rsidRPr="004C3D04">
      <w:rPr>
        <w:rFonts w:ascii="Arial" w:eastAsia="Times New Roman" w:hAnsi="Arial" w:cs="Arial"/>
        <w:sz w:val="18"/>
        <w:szCs w:val="14"/>
        <w:lang w:val="es-419" w:eastAsia="es-ES"/>
      </w:rPr>
      <w:tab/>
    </w:r>
    <w:r w:rsidRPr="004C3D04">
      <w:rPr>
        <w:rFonts w:ascii="Arial" w:eastAsia="Times New Roman" w:hAnsi="Arial" w:cs="Arial"/>
        <w:sz w:val="18"/>
        <w:szCs w:val="14"/>
        <w:lang w:val="es-419" w:eastAsia="es-ES"/>
      </w:rPr>
      <w:tab/>
      <w:t>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num w:numId="1">
    <w:abstractNumId w:val="5"/>
  </w:num>
  <w:num w:numId="2">
    <w:abstractNumId w:val="4"/>
  </w:num>
  <w:num w:numId="3">
    <w:abstractNumId w:val="7"/>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3E2E"/>
    <w:rsid w:val="00017704"/>
    <w:rsid w:val="00022EDE"/>
    <w:rsid w:val="000303BA"/>
    <w:rsid w:val="000333C2"/>
    <w:rsid w:val="000337DA"/>
    <w:rsid w:val="00033ECF"/>
    <w:rsid w:val="00042B25"/>
    <w:rsid w:val="00057428"/>
    <w:rsid w:val="00066767"/>
    <w:rsid w:val="00067D70"/>
    <w:rsid w:val="000723F0"/>
    <w:rsid w:val="00073698"/>
    <w:rsid w:val="00077A73"/>
    <w:rsid w:val="00081C10"/>
    <w:rsid w:val="000834CE"/>
    <w:rsid w:val="0008477A"/>
    <w:rsid w:val="000856A8"/>
    <w:rsid w:val="00096470"/>
    <w:rsid w:val="000A6114"/>
    <w:rsid w:val="000B2BAA"/>
    <w:rsid w:val="000B4F2C"/>
    <w:rsid w:val="000B51CC"/>
    <w:rsid w:val="000B6053"/>
    <w:rsid w:val="000B6595"/>
    <w:rsid w:val="000C02A4"/>
    <w:rsid w:val="000C451A"/>
    <w:rsid w:val="000D5112"/>
    <w:rsid w:val="000E25BE"/>
    <w:rsid w:val="000F3D75"/>
    <w:rsid w:val="000F43BC"/>
    <w:rsid w:val="000F49C1"/>
    <w:rsid w:val="000F5175"/>
    <w:rsid w:val="00100496"/>
    <w:rsid w:val="00103F06"/>
    <w:rsid w:val="00104A02"/>
    <w:rsid w:val="00115C02"/>
    <w:rsid w:val="001162CF"/>
    <w:rsid w:val="001170DA"/>
    <w:rsid w:val="001229A3"/>
    <w:rsid w:val="00132CF5"/>
    <w:rsid w:val="001348F3"/>
    <w:rsid w:val="001363CA"/>
    <w:rsid w:val="00142473"/>
    <w:rsid w:val="00142A51"/>
    <w:rsid w:val="00147587"/>
    <w:rsid w:val="001533B3"/>
    <w:rsid w:val="00157C05"/>
    <w:rsid w:val="00172AFF"/>
    <w:rsid w:val="001878AE"/>
    <w:rsid w:val="001A291C"/>
    <w:rsid w:val="001B362B"/>
    <w:rsid w:val="001C0216"/>
    <w:rsid w:val="001D225A"/>
    <w:rsid w:val="001D423C"/>
    <w:rsid w:val="001E27ED"/>
    <w:rsid w:val="001F37EE"/>
    <w:rsid w:val="001F38B6"/>
    <w:rsid w:val="0022440C"/>
    <w:rsid w:val="00227128"/>
    <w:rsid w:val="00235D61"/>
    <w:rsid w:val="00257046"/>
    <w:rsid w:val="00272B83"/>
    <w:rsid w:val="00272FA1"/>
    <w:rsid w:val="002A45C4"/>
    <w:rsid w:val="002B6E44"/>
    <w:rsid w:val="002B700F"/>
    <w:rsid w:val="002C0448"/>
    <w:rsid w:val="002C32BD"/>
    <w:rsid w:val="002D0043"/>
    <w:rsid w:val="002D2741"/>
    <w:rsid w:val="002D3585"/>
    <w:rsid w:val="002D70C7"/>
    <w:rsid w:val="002E3810"/>
    <w:rsid w:val="002F3B2F"/>
    <w:rsid w:val="00315273"/>
    <w:rsid w:val="00322722"/>
    <w:rsid w:val="003324F5"/>
    <w:rsid w:val="00333562"/>
    <w:rsid w:val="00342284"/>
    <w:rsid w:val="0034303C"/>
    <w:rsid w:val="00387B10"/>
    <w:rsid w:val="00392EAC"/>
    <w:rsid w:val="003C0463"/>
    <w:rsid w:val="003C46FA"/>
    <w:rsid w:val="003C7505"/>
    <w:rsid w:val="003D0E6E"/>
    <w:rsid w:val="003D72E0"/>
    <w:rsid w:val="003E261A"/>
    <w:rsid w:val="003F0D01"/>
    <w:rsid w:val="00410406"/>
    <w:rsid w:val="004123A8"/>
    <w:rsid w:val="00416977"/>
    <w:rsid w:val="00421F4F"/>
    <w:rsid w:val="004221BB"/>
    <w:rsid w:val="0042469E"/>
    <w:rsid w:val="004260C5"/>
    <w:rsid w:val="00454F9D"/>
    <w:rsid w:val="00463B87"/>
    <w:rsid w:val="00466937"/>
    <w:rsid w:val="00467973"/>
    <w:rsid w:val="00473BC1"/>
    <w:rsid w:val="00480E80"/>
    <w:rsid w:val="00483816"/>
    <w:rsid w:val="00497808"/>
    <w:rsid w:val="004A1054"/>
    <w:rsid w:val="004C134A"/>
    <w:rsid w:val="004C3D04"/>
    <w:rsid w:val="004C46ED"/>
    <w:rsid w:val="0053421E"/>
    <w:rsid w:val="00536012"/>
    <w:rsid w:val="00545B08"/>
    <w:rsid w:val="00553FD7"/>
    <w:rsid w:val="005607ED"/>
    <w:rsid w:val="00561E61"/>
    <w:rsid w:val="005662E3"/>
    <w:rsid w:val="005852DF"/>
    <w:rsid w:val="005A23C9"/>
    <w:rsid w:val="005A473D"/>
    <w:rsid w:val="005A5ADA"/>
    <w:rsid w:val="005A7B94"/>
    <w:rsid w:val="005B00B8"/>
    <w:rsid w:val="005B1B3D"/>
    <w:rsid w:val="005B1B92"/>
    <w:rsid w:val="005B5103"/>
    <w:rsid w:val="005B6189"/>
    <w:rsid w:val="005B65AA"/>
    <w:rsid w:val="005D3E10"/>
    <w:rsid w:val="005D6C75"/>
    <w:rsid w:val="005E1630"/>
    <w:rsid w:val="005F4133"/>
    <w:rsid w:val="00600B9D"/>
    <w:rsid w:val="00600CE4"/>
    <w:rsid w:val="0060137B"/>
    <w:rsid w:val="006136C7"/>
    <w:rsid w:val="00620E72"/>
    <w:rsid w:val="00630FC0"/>
    <w:rsid w:val="00633F28"/>
    <w:rsid w:val="006458B0"/>
    <w:rsid w:val="00647B40"/>
    <w:rsid w:val="00654EAE"/>
    <w:rsid w:val="00662FC5"/>
    <w:rsid w:val="00667387"/>
    <w:rsid w:val="0067414E"/>
    <w:rsid w:val="0068205A"/>
    <w:rsid w:val="00693C39"/>
    <w:rsid w:val="006958B8"/>
    <w:rsid w:val="006A36EB"/>
    <w:rsid w:val="006B0AAC"/>
    <w:rsid w:val="006B11AA"/>
    <w:rsid w:val="006C4834"/>
    <w:rsid w:val="006D3825"/>
    <w:rsid w:val="006E3FE2"/>
    <w:rsid w:val="006E53AC"/>
    <w:rsid w:val="006E68C0"/>
    <w:rsid w:val="006F3644"/>
    <w:rsid w:val="006F3819"/>
    <w:rsid w:val="006F46B8"/>
    <w:rsid w:val="0072082E"/>
    <w:rsid w:val="0072783E"/>
    <w:rsid w:val="00734150"/>
    <w:rsid w:val="00737D7B"/>
    <w:rsid w:val="007813BE"/>
    <w:rsid w:val="00784D72"/>
    <w:rsid w:val="00790CCA"/>
    <w:rsid w:val="00790DA9"/>
    <w:rsid w:val="007A0931"/>
    <w:rsid w:val="007A34E5"/>
    <w:rsid w:val="007A7B9B"/>
    <w:rsid w:val="007D60E6"/>
    <w:rsid w:val="007E1917"/>
    <w:rsid w:val="007E2ABD"/>
    <w:rsid w:val="007E5A0D"/>
    <w:rsid w:val="007F2435"/>
    <w:rsid w:val="007F4E75"/>
    <w:rsid w:val="008063DF"/>
    <w:rsid w:val="00806950"/>
    <w:rsid w:val="00820A77"/>
    <w:rsid w:val="00820AEB"/>
    <w:rsid w:val="00824349"/>
    <w:rsid w:val="00835553"/>
    <w:rsid w:val="0083681C"/>
    <w:rsid w:val="00840DA1"/>
    <w:rsid w:val="00846780"/>
    <w:rsid w:val="00851B08"/>
    <w:rsid w:val="008548ED"/>
    <w:rsid w:val="00854C63"/>
    <w:rsid w:val="0087484F"/>
    <w:rsid w:val="0087626E"/>
    <w:rsid w:val="00886808"/>
    <w:rsid w:val="00890591"/>
    <w:rsid w:val="00891AE9"/>
    <w:rsid w:val="008950AD"/>
    <w:rsid w:val="008B3405"/>
    <w:rsid w:val="008B3F9C"/>
    <w:rsid w:val="008B63E1"/>
    <w:rsid w:val="008C3C79"/>
    <w:rsid w:val="008C4964"/>
    <w:rsid w:val="008D40E6"/>
    <w:rsid w:val="00907968"/>
    <w:rsid w:val="009253E4"/>
    <w:rsid w:val="00942F30"/>
    <w:rsid w:val="00943B70"/>
    <w:rsid w:val="009449CA"/>
    <w:rsid w:val="0094516B"/>
    <w:rsid w:val="00952524"/>
    <w:rsid w:val="00956792"/>
    <w:rsid w:val="00956F52"/>
    <w:rsid w:val="00975AB3"/>
    <w:rsid w:val="009853EE"/>
    <w:rsid w:val="00990252"/>
    <w:rsid w:val="009979A7"/>
    <w:rsid w:val="009A49F0"/>
    <w:rsid w:val="009B14F6"/>
    <w:rsid w:val="009D10A2"/>
    <w:rsid w:val="009E02EA"/>
    <w:rsid w:val="009E43EE"/>
    <w:rsid w:val="009E4F54"/>
    <w:rsid w:val="009E6EFD"/>
    <w:rsid w:val="009E715D"/>
    <w:rsid w:val="009E7D52"/>
    <w:rsid w:val="009F35E3"/>
    <w:rsid w:val="00A00398"/>
    <w:rsid w:val="00A0657B"/>
    <w:rsid w:val="00A13F40"/>
    <w:rsid w:val="00A22272"/>
    <w:rsid w:val="00A228DE"/>
    <w:rsid w:val="00A24955"/>
    <w:rsid w:val="00A266D4"/>
    <w:rsid w:val="00A26AC8"/>
    <w:rsid w:val="00A47546"/>
    <w:rsid w:val="00A67C26"/>
    <w:rsid w:val="00A74124"/>
    <w:rsid w:val="00A80CCF"/>
    <w:rsid w:val="00A87FEB"/>
    <w:rsid w:val="00A900DB"/>
    <w:rsid w:val="00A92675"/>
    <w:rsid w:val="00A92D0B"/>
    <w:rsid w:val="00AA3C7C"/>
    <w:rsid w:val="00AA3D20"/>
    <w:rsid w:val="00AA783A"/>
    <w:rsid w:val="00AB462E"/>
    <w:rsid w:val="00AD511A"/>
    <w:rsid w:val="00AE042F"/>
    <w:rsid w:val="00AE2EB0"/>
    <w:rsid w:val="00AF1C75"/>
    <w:rsid w:val="00AF4757"/>
    <w:rsid w:val="00B03A68"/>
    <w:rsid w:val="00B06E1F"/>
    <w:rsid w:val="00B17E1F"/>
    <w:rsid w:val="00B20840"/>
    <w:rsid w:val="00B24B52"/>
    <w:rsid w:val="00B40350"/>
    <w:rsid w:val="00B43958"/>
    <w:rsid w:val="00B44542"/>
    <w:rsid w:val="00B4752E"/>
    <w:rsid w:val="00B508F6"/>
    <w:rsid w:val="00B53E94"/>
    <w:rsid w:val="00B6216B"/>
    <w:rsid w:val="00B819CC"/>
    <w:rsid w:val="00B8317C"/>
    <w:rsid w:val="00B92321"/>
    <w:rsid w:val="00B951B9"/>
    <w:rsid w:val="00BA4959"/>
    <w:rsid w:val="00BB0107"/>
    <w:rsid w:val="00BB0943"/>
    <w:rsid w:val="00BB4300"/>
    <w:rsid w:val="00BB5F94"/>
    <w:rsid w:val="00BB7B81"/>
    <w:rsid w:val="00BC4213"/>
    <w:rsid w:val="00BC67CF"/>
    <w:rsid w:val="00BC6AEB"/>
    <w:rsid w:val="00BD0CEF"/>
    <w:rsid w:val="00BD1EBE"/>
    <w:rsid w:val="00BE0F3E"/>
    <w:rsid w:val="00BE6BEA"/>
    <w:rsid w:val="00BF10F2"/>
    <w:rsid w:val="00BF131B"/>
    <w:rsid w:val="00BF41DA"/>
    <w:rsid w:val="00C021EE"/>
    <w:rsid w:val="00C02346"/>
    <w:rsid w:val="00C02C9A"/>
    <w:rsid w:val="00C11B0A"/>
    <w:rsid w:val="00C16845"/>
    <w:rsid w:val="00C203B9"/>
    <w:rsid w:val="00C224D8"/>
    <w:rsid w:val="00C27D5D"/>
    <w:rsid w:val="00C33E31"/>
    <w:rsid w:val="00C4413A"/>
    <w:rsid w:val="00C53028"/>
    <w:rsid w:val="00C53872"/>
    <w:rsid w:val="00C7747B"/>
    <w:rsid w:val="00C81B2A"/>
    <w:rsid w:val="00C84471"/>
    <w:rsid w:val="00C860F2"/>
    <w:rsid w:val="00C9368C"/>
    <w:rsid w:val="00C9629C"/>
    <w:rsid w:val="00CA743B"/>
    <w:rsid w:val="00CC776A"/>
    <w:rsid w:val="00CD14BB"/>
    <w:rsid w:val="00CD1CE4"/>
    <w:rsid w:val="00CE0567"/>
    <w:rsid w:val="00CE0E35"/>
    <w:rsid w:val="00CE5E7B"/>
    <w:rsid w:val="00CF2833"/>
    <w:rsid w:val="00CF703F"/>
    <w:rsid w:val="00D114C6"/>
    <w:rsid w:val="00D12F7D"/>
    <w:rsid w:val="00D14776"/>
    <w:rsid w:val="00D153D7"/>
    <w:rsid w:val="00D31819"/>
    <w:rsid w:val="00D44DF0"/>
    <w:rsid w:val="00D450B8"/>
    <w:rsid w:val="00D459BB"/>
    <w:rsid w:val="00D46A8D"/>
    <w:rsid w:val="00D47BA5"/>
    <w:rsid w:val="00D72C19"/>
    <w:rsid w:val="00D805CC"/>
    <w:rsid w:val="00D82B80"/>
    <w:rsid w:val="00D90263"/>
    <w:rsid w:val="00DA1C9D"/>
    <w:rsid w:val="00DA4370"/>
    <w:rsid w:val="00DB2FDD"/>
    <w:rsid w:val="00DC5863"/>
    <w:rsid w:val="00DE5195"/>
    <w:rsid w:val="00DF61C4"/>
    <w:rsid w:val="00DF7B39"/>
    <w:rsid w:val="00E01054"/>
    <w:rsid w:val="00E352C7"/>
    <w:rsid w:val="00E376E1"/>
    <w:rsid w:val="00E43F7E"/>
    <w:rsid w:val="00E44599"/>
    <w:rsid w:val="00E45567"/>
    <w:rsid w:val="00E5519F"/>
    <w:rsid w:val="00E60B9A"/>
    <w:rsid w:val="00E66B3E"/>
    <w:rsid w:val="00E72BFE"/>
    <w:rsid w:val="00E74EEE"/>
    <w:rsid w:val="00E82867"/>
    <w:rsid w:val="00E931AE"/>
    <w:rsid w:val="00EA76E7"/>
    <w:rsid w:val="00EF3AA2"/>
    <w:rsid w:val="00EF513D"/>
    <w:rsid w:val="00EF5C33"/>
    <w:rsid w:val="00F159B2"/>
    <w:rsid w:val="00F24E45"/>
    <w:rsid w:val="00F26ECD"/>
    <w:rsid w:val="00F30A77"/>
    <w:rsid w:val="00F371AC"/>
    <w:rsid w:val="00F41005"/>
    <w:rsid w:val="00F4298B"/>
    <w:rsid w:val="00F45B56"/>
    <w:rsid w:val="00F50C4F"/>
    <w:rsid w:val="00F567D0"/>
    <w:rsid w:val="00F76BA2"/>
    <w:rsid w:val="00F8423F"/>
    <w:rsid w:val="00F902D2"/>
    <w:rsid w:val="00FA13EF"/>
    <w:rsid w:val="00FA239F"/>
    <w:rsid w:val="00FA61A6"/>
    <w:rsid w:val="00FB16D8"/>
    <w:rsid w:val="00FB1755"/>
    <w:rsid w:val="00FB4083"/>
    <w:rsid w:val="00FC4541"/>
    <w:rsid w:val="00FD1293"/>
    <w:rsid w:val="00FD3954"/>
    <w:rsid w:val="00FD50CB"/>
    <w:rsid w:val="00FE17EB"/>
    <w:rsid w:val="00FE3C22"/>
    <w:rsid w:val="00FE63C7"/>
    <w:rsid w:val="00FF6DD0"/>
    <w:rsid w:val="01678849"/>
    <w:rsid w:val="0500474C"/>
    <w:rsid w:val="067D2DD4"/>
    <w:rsid w:val="09DFC996"/>
    <w:rsid w:val="10CB543A"/>
    <w:rsid w:val="10D03A52"/>
    <w:rsid w:val="10F5B9B0"/>
    <w:rsid w:val="1C39E654"/>
    <w:rsid w:val="1F9FD306"/>
    <w:rsid w:val="2165CB40"/>
    <w:rsid w:val="245DBE3A"/>
    <w:rsid w:val="2B62F4E0"/>
    <w:rsid w:val="37600B48"/>
    <w:rsid w:val="38ABB1A4"/>
    <w:rsid w:val="38B2EE5D"/>
    <w:rsid w:val="3B63AED4"/>
    <w:rsid w:val="450B4BA1"/>
    <w:rsid w:val="46756579"/>
    <w:rsid w:val="49010123"/>
    <w:rsid w:val="49B95BC0"/>
    <w:rsid w:val="4C43C64D"/>
    <w:rsid w:val="4EC5BA19"/>
    <w:rsid w:val="4FC84195"/>
    <w:rsid w:val="5040DD46"/>
    <w:rsid w:val="5D4E4829"/>
    <w:rsid w:val="5E77DBDD"/>
    <w:rsid w:val="68A9C598"/>
    <w:rsid w:val="6931BCB7"/>
    <w:rsid w:val="6B602A80"/>
    <w:rsid w:val="6CB22BA7"/>
    <w:rsid w:val="79BD3250"/>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C6AEB"/>
    <w:rPr>
      <w:b/>
      <w:bCs/>
    </w:rPr>
  </w:style>
  <w:style w:type="character" w:customStyle="1" w:styleId="AsuntodelcomentarioCar">
    <w:name w:val="Asunto del comentario Car"/>
    <w:basedOn w:val="TextocomentarioCar"/>
    <w:link w:val="Asuntodelcomentario"/>
    <w:uiPriority w:val="99"/>
    <w:semiHidden/>
    <w:rsid w:val="00BC6AEB"/>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398089517">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 w:id="203418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09d4bf377a424663"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CB10A-CA2E-4FE5-A806-A5DC1C3E4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3.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FF34DB-DAB5-4DA3-BC2E-628A16E33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7976</Words>
  <Characters>43868</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9</cp:revision>
  <dcterms:created xsi:type="dcterms:W3CDTF">2021-08-27T19:12:00Z</dcterms:created>
  <dcterms:modified xsi:type="dcterms:W3CDTF">2021-10-07T16:37:00Z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