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AE76" w14:textId="77777777" w:rsidR="0004733C" w:rsidRPr="0004733C" w:rsidRDefault="0004733C" w:rsidP="0004733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GoBack"/>
      <w:bookmarkEnd w:id="1"/>
      <w:r w:rsidRPr="0004733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05C898" w14:textId="77777777" w:rsidR="0004733C" w:rsidRPr="0004733C" w:rsidRDefault="0004733C" w:rsidP="0004733C">
      <w:pPr>
        <w:spacing w:line="240" w:lineRule="auto"/>
        <w:rPr>
          <w:rFonts w:ascii="Arial" w:eastAsia="Times New Roman" w:hAnsi="Arial" w:cs="Arial"/>
          <w:sz w:val="20"/>
          <w:szCs w:val="20"/>
          <w:lang w:val="es-419" w:eastAsia="es-ES"/>
        </w:rPr>
      </w:pPr>
    </w:p>
    <w:p w14:paraId="13ED665C" w14:textId="77777777" w:rsidR="0004733C" w:rsidRPr="0004733C" w:rsidRDefault="0004733C" w:rsidP="0004733C">
      <w:pPr>
        <w:spacing w:line="240" w:lineRule="auto"/>
        <w:rPr>
          <w:rFonts w:ascii="Arial" w:eastAsia="Times New Roman" w:hAnsi="Arial" w:cs="Arial"/>
          <w:sz w:val="20"/>
          <w:szCs w:val="20"/>
          <w:lang w:val="es-419" w:eastAsia="es-ES"/>
        </w:rPr>
      </w:pPr>
      <w:r w:rsidRPr="0004733C">
        <w:rPr>
          <w:rFonts w:ascii="Arial" w:eastAsia="Times New Roman" w:hAnsi="Arial" w:cs="Arial"/>
          <w:sz w:val="20"/>
          <w:szCs w:val="20"/>
          <w:lang w:val="es-419" w:eastAsia="es-ES"/>
        </w:rPr>
        <w:t xml:space="preserve">Radicación No.: </w:t>
      </w:r>
      <w:r w:rsidRPr="0004733C">
        <w:rPr>
          <w:rFonts w:ascii="Arial" w:eastAsia="Times New Roman" w:hAnsi="Arial" w:cs="Arial"/>
          <w:sz w:val="20"/>
          <w:szCs w:val="20"/>
          <w:lang w:val="es-419" w:eastAsia="es-ES"/>
        </w:rPr>
        <w:tab/>
        <w:t>66001-31-05-004-2020-00181-01</w:t>
      </w:r>
    </w:p>
    <w:p w14:paraId="157C838F" w14:textId="77777777" w:rsidR="0004733C" w:rsidRPr="0004733C" w:rsidRDefault="0004733C" w:rsidP="0004733C">
      <w:pPr>
        <w:spacing w:line="240" w:lineRule="auto"/>
        <w:rPr>
          <w:rFonts w:ascii="Arial" w:eastAsia="Times New Roman" w:hAnsi="Arial" w:cs="Arial"/>
          <w:sz w:val="20"/>
          <w:szCs w:val="20"/>
          <w:lang w:val="es-419" w:eastAsia="es-ES"/>
        </w:rPr>
      </w:pPr>
      <w:r w:rsidRPr="0004733C">
        <w:rPr>
          <w:rFonts w:ascii="Arial" w:eastAsia="Times New Roman" w:hAnsi="Arial" w:cs="Arial"/>
          <w:sz w:val="20"/>
          <w:szCs w:val="20"/>
          <w:lang w:val="es-419" w:eastAsia="es-ES"/>
        </w:rPr>
        <w:t xml:space="preserve">Proceso: </w:t>
      </w:r>
      <w:r w:rsidRPr="0004733C">
        <w:rPr>
          <w:rFonts w:ascii="Arial" w:eastAsia="Times New Roman" w:hAnsi="Arial" w:cs="Arial"/>
          <w:sz w:val="20"/>
          <w:szCs w:val="20"/>
          <w:lang w:val="es-419" w:eastAsia="es-ES"/>
        </w:rPr>
        <w:tab/>
      </w:r>
      <w:r w:rsidRPr="0004733C">
        <w:rPr>
          <w:rFonts w:ascii="Arial" w:eastAsia="Times New Roman" w:hAnsi="Arial" w:cs="Arial"/>
          <w:sz w:val="20"/>
          <w:szCs w:val="20"/>
          <w:lang w:val="es-419" w:eastAsia="es-ES"/>
        </w:rPr>
        <w:tab/>
        <w:t>Ordinario Laboral</w:t>
      </w:r>
    </w:p>
    <w:p w14:paraId="64CFB7E6" w14:textId="77777777" w:rsidR="0004733C" w:rsidRPr="0004733C" w:rsidRDefault="0004733C" w:rsidP="0004733C">
      <w:pPr>
        <w:spacing w:line="240" w:lineRule="auto"/>
        <w:rPr>
          <w:rFonts w:ascii="Arial" w:eastAsia="Times New Roman" w:hAnsi="Arial" w:cs="Arial"/>
          <w:sz w:val="20"/>
          <w:szCs w:val="20"/>
          <w:lang w:val="es-419" w:eastAsia="es-ES"/>
        </w:rPr>
      </w:pPr>
      <w:r w:rsidRPr="0004733C">
        <w:rPr>
          <w:rFonts w:ascii="Arial" w:eastAsia="Times New Roman" w:hAnsi="Arial" w:cs="Arial"/>
          <w:sz w:val="20"/>
          <w:szCs w:val="20"/>
          <w:lang w:val="es-419" w:eastAsia="es-ES"/>
        </w:rPr>
        <w:t xml:space="preserve">Demandante: </w:t>
      </w:r>
      <w:r w:rsidRPr="0004733C">
        <w:rPr>
          <w:rFonts w:ascii="Arial" w:eastAsia="Times New Roman" w:hAnsi="Arial" w:cs="Arial"/>
          <w:sz w:val="20"/>
          <w:szCs w:val="20"/>
          <w:lang w:val="es-419" w:eastAsia="es-ES"/>
        </w:rPr>
        <w:tab/>
      </w:r>
      <w:r w:rsidRPr="0004733C">
        <w:rPr>
          <w:rFonts w:ascii="Arial" w:eastAsia="Times New Roman" w:hAnsi="Arial" w:cs="Arial"/>
          <w:sz w:val="20"/>
          <w:szCs w:val="20"/>
          <w:lang w:val="es-419" w:eastAsia="es-ES"/>
        </w:rPr>
        <w:tab/>
        <w:t>Héctor Vega Hernández</w:t>
      </w:r>
    </w:p>
    <w:p w14:paraId="0FCEE02E" w14:textId="77777777" w:rsidR="0004733C" w:rsidRPr="0004733C" w:rsidRDefault="0004733C" w:rsidP="0004733C">
      <w:pPr>
        <w:spacing w:line="240" w:lineRule="auto"/>
        <w:rPr>
          <w:rFonts w:ascii="Arial" w:eastAsia="Times New Roman" w:hAnsi="Arial" w:cs="Arial"/>
          <w:sz w:val="20"/>
          <w:szCs w:val="20"/>
          <w:lang w:val="es-419" w:eastAsia="es-ES"/>
        </w:rPr>
      </w:pPr>
      <w:r w:rsidRPr="0004733C">
        <w:rPr>
          <w:rFonts w:ascii="Arial" w:eastAsia="Times New Roman" w:hAnsi="Arial" w:cs="Arial"/>
          <w:sz w:val="20"/>
          <w:szCs w:val="20"/>
          <w:lang w:val="es-419" w:eastAsia="es-ES"/>
        </w:rPr>
        <w:t xml:space="preserve">Demandado: </w:t>
      </w:r>
      <w:r w:rsidRPr="0004733C">
        <w:rPr>
          <w:rFonts w:ascii="Arial" w:eastAsia="Times New Roman" w:hAnsi="Arial" w:cs="Arial"/>
          <w:sz w:val="20"/>
          <w:szCs w:val="20"/>
          <w:lang w:val="es-419" w:eastAsia="es-ES"/>
        </w:rPr>
        <w:tab/>
      </w:r>
      <w:r w:rsidRPr="0004733C">
        <w:rPr>
          <w:rFonts w:ascii="Arial" w:eastAsia="Times New Roman" w:hAnsi="Arial" w:cs="Arial"/>
          <w:sz w:val="20"/>
          <w:szCs w:val="20"/>
          <w:lang w:val="es-419" w:eastAsia="es-ES"/>
        </w:rPr>
        <w:tab/>
        <w:t>Porvenir S.A. y otros</w:t>
      </w:r>
    </w:p>
    <w:p w14:paraId="0E7AEE39" w14:textId="77777777" w:rsidR="0004733C" w:rsidRPr="0004733C" w:rsidRDefault="0004733C" w:rsidP="0004733C">
      <w:pPr>
        <w:spacing w:line="240" w:lineRule="auto"/>
        <w:rPr>
          <w:rFonts w:ascii="Arial" w:eastAsia="Times New Roman" w:hAnsi="Arial" w:cs="Arial"/>
          <w:sz w:val="20"/>
          <w:szCs w:val="20"/>
          <w:lang w:val="es-419" w:eastAsia="es-ES"/>
        </w:rPr>
      </w:pPr>
      <w:r w:rsidRPr="0004733C">
        <w:rPr>
          <w:rFonts w:ascii="Arial" w:eastAsia="Times New Roman" w:hAnsi="Arial" w:cs="Arial"/>
          <w:sz w:val="20"/>
          <w:szCs w:val="20"/>
          <w:lang w:val="es-419" w:eastAsia="es-ES"/>
        </w:rPr>
        <w:t xml:space="preserve">Juzgado: </w:t>
      </w:r>
      <w:r w:rsidRPr="0004733C">
        <w:rPr>
          <w:rFonts w:ascii="Arial" w:eastAsia="Times New Roman" w:hAnsi="Arial" w:cs="Arial"/>
          <w:sz w:val="20"/>
          <w:szCs w:val="20"/>
          <w:lang w:val="es-419" w:eastAsia="es-ES"/>
        </w:rPr>
        <w:tab/>
      </w:r>
      <w:r w:rsidRPr="0004733C">
        <w:rPr>
          <w:rFonts w:ascii="Arial" w:eastAsia="Times New Roman" w:hAnsi="Arial" w:cs="Arial"/>
          <w:sz w:val="20"/>
          <w:szCs w:val="20"/>
          <w:lang w:val="es-419" w:eastAsia="es-ES"/>
        </w:rPr>
        <w:tab/>
        <w:t>Cuarto Laboral del Circuito de Pereira</w:t>
      </w:r>
    </w:p>
    <w:p w14:paraId="1D11CC50" w14:textId="77777777" w:rsidR="0004733C" w:rsidRPr="0004733C" w:rsidRDefault="0004733C" w:rsidP="0004733C">
      <w:pPr>
        <w:spacing w:line="240" w:lineRule="auto"/>
        <w:rPr>
          <w:rFonts w:ascii="Arial" w:eastAsia="Times New Roman" w:hAnsi="Arial" w:cs="Arial"/>
          <w:sz w:val="20"/>
          <w:szCs w:val="20"/>
          <w:lang w:val="es-419" w:eastAsia="es-ES"/>
        </w:rPr>
      </w:pPr>
    </w:p>
    <w:p w14:paraId="4ED7D71A" w14:textId="77777777" w:rsidR="00CB337E" w:rsidRPr="00CB337E" w:rsidRDefault="00CB337E" w:rsidP="00CB337E">
      <w:pPr>
        <w:spacing w:line="240" w:lineRule="auto"/>
        <w:rPr>
          <w:rFonts w:ascii="Arial" w:eastAsia="Times New Roman" w:hAnsi="Arial" w:cs="Arial"/>
          <w:b/>
          <w:bCs/>
          <w:iCs/>
          <w:sz w:val="20"/>
          <w:szCs w:val="20"/>
          <w:lang w:val="es-419" w:eastAsia="fr-FR"/>
        </w:rPr>
      </w:pPr>
      <w:bookmarkStart w:id="2" w:name="_Hlk82369399"/>
      <w:bookmarkEnd w:id="0"/>
      <w:r w:rsidRPr="00CB337E">
        <w:rPr>
          <w:rFonts w:ascii="Arial" w:eastAsia="Times New Roman" w:hAnsi="Arial" w:cs="Arial"/>
          <w:b/>
          <w:bCs/>
          <w:iCs/>
          <w:sz w:val="20"/>
          <w:szCs w:val="20"/>
          <w:u w:val="single"/>
          <w:lang w:val="es-419" w:eastAsia="fr-FR"/>
        </w:rPr>
        <w:t>TEMAS:</w:t>
      </w:r>
      <w:r w:rsidRPr="00CB337E">
        <w:rPr>
          <w:rFonts w:ascii="Arial" w:eastAsia="Times New Roman" w:hAnsi="Arial" w:cs="Arial"/>
          <w:b/>
          <w:bCs/>
          <w:iCs/>
          <w:sz w:val="20"/>
          <w:szCs w:val="20"/>
          <w:lang w:val="es-419" w:eastAsia="fr-FR"/>
        </w:rPr>
        <w:tab/>
      </w:r>
      <w:r w:rsidRPr="00CB337E">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963E992" w14:textId="77777777" w:rsidR="00CB337E" w:rsidRPr="00CB337E" w:rsidRDefault="00CB337E" w:rsidP="00CB337E">
      <w:pPr>
        <w:spacing w:line="240" w:lineRule="auto"/>
        <w:rPr>
          <w:rFonts w:ascii="Arial" w:eastAsia="Times New Roman" w:hAnsi="Arial" w:cs="Arial"/>
          <w:sz w:val="20"/>
          <w:szCs w:val="20"/>
          <w:lang w:val="es-419" w:eastAsia="es-ES"/>
        </w:rPr>
      </w:pPr>
    </w:p>
    <w:p w14:paraId="190459D0" w14:textId="77777777" w:rsidR="00CB337E" w:rsidRPr="00CB337E" w:rsidRDefault="00CB337E" w:rsidP="00CB337E">
      <w:pPr>
        <w:spacing w:line="240" w:lineRule="auto"/>
        <w:rPr>
          <w:rFonts w:ascii="Arial" w:eastAsia="Times New Roman" w:hAnsi="Arial" w:cs="Arial"/>
          <w:sz w:val="20"/>
          <w:szCs w:val="20"/>
          <w:lang w:val="es-419" w:eastAsia="es-ES"/>
        </w:rPr>
      </w:pPr>
      <w:r w:rsidRPr="00CB337E">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6F636E2" w14:textId="77777777" w:rsidR="00CB337E" w:rsidRPr="00CB337E" w:rsidRDefault="00CB337E" w:rsidP="00CB337E">
      <w:pPr>
        <w:spacing w:line="240" w:lineRule="auto"/>
        <w:rPr>
          <w:rFonts w:ascii="Arial" w:eastAsia="Times New Roman" w:hAnsi="Arial" w:cs="Arial"/>
          <w:sz w:val="20"/>
          <w:szCs w:val="20"/>
          <w:lang w:val="es-419" w:eastAsia="es-ES"/>
        </w:rPr>
      </w:pPr>
    </w:p>
    <w:p w14:paraId="3EA47064" w14:textId="77777777" w:rsidR="00CB337E" w:rsidRPr="00CB337E" w:rsidRDefault="00CB337E" w:rsidP="00CB337E">
      <w:pPr>
        <w:spacing w:line="240" w:lineRule="auto"/>
        <w:rPr>
          <w:rFonts w:ascii="Arial" w:eastAsia="Times New Roman" w:hAnsi="Arial" w:cs="Arial"/>
          <w:sz w:val="20"/>
          <w:szCs w:val="20"/>
          <w:lang w:val="es-419" w:eastAsia="es-ES"/>
        </w:rPr>
      </w:pPr>
      <w:r w:rsidRPr="00CB337E">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5788292" w14:textId="77777777" w:rsidR="00CB337E" w:rsidRPr="00CB337E" w:rsidRDefault="00CB337E" w:rsidP="00CB337E">
      <w:pPr>
        <w:spacing w:line="240" w:lineRule="auto"/>
        <w:rPr>
          <w:rFonts w:ascii="Arial" w:eastAsia="Times New Roman" w:hAnsi="Arial" w:cs="Arial"/>
          <w:sz w:val="20"/>
          <w:szCs w:val="20"/>
          <w:lang w:val="es-419" w:eastAsia="es-ES"/>
        </w:rPr>
      </w:pPr>
    </w:p>
    <w:p w14:paraId="3B35F780" w14:textId="77777777" w:rsidR="00CB337E" w:rsidRPr="00CB337E" w:rsidRDefault="00CB337E" w:rsidP="00CB337E">
      <w:pPr>
        <w:spacing w:line="240" w:lineRule="auto"/>
        <w:rPr>
          <w:rFonts w:ascii="Arial" w:eastAsia="Times New Roman" w:hAnsi="Arial" w:cs="Arial"/>
          <w:sz w:val="20"/>
          <w:szCs w:val="20"/>
          <w:lang w:val="es-419" w:eastAsia="es-ES"/>
        </w:rPr>
      </w:pPr>
      <w:r w:rsidRPr="00CB337E">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2064C8E3" w14:textId="77777777" w:rsidR="00CB337E" w:rsidRPr="00CB337E" w:rsidRDefault="00CB337E" w:rsidP="00CB337E">
      <w:pPr>
        <w:spacing w:line="240" w:lineRule="auto"/>
        <w:rPr>
          <w:rFonts w:ascii="Arial" w:eastAsia="Times New Roman" w:hAnsi="Arial" w:cs="Arial"/>
          <w:sz w:val="20"/>
          <w:szCs w:val="20"/>
          <w:lang w:val="es-419" w:eastAsia="es-ES"/>
        </w:rPr>
      </w:pPr>
    </w:p>
    <w:p w14:paraId="557B68B5" w14:textId="77777777" w:rsidR="00CB337E" w:rsidRPr="00CB337E" w:rsidRDefault="00CB337E" w:rsidP="00CB337E">
      <w:pPr>
        <w:spacing w:line="240" w:lineRule="auto"/>
        <w:rPr>
          <w:rFonts w:ascii="Arial" w:eastAsia="Times New Roman" w:hAnsi="Arial" w:cs="Arial"/>
          <w:sz w:val="20"/>
          <w:szCs w:val="20"/>
          <w:lang w:val="es-419" w:eastAsia="es-ES"/>
        </w:rPr>
      </w:pPr>
      <w:r w:rsidRPr="00CB337E">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7A6CC317" w14:textId="77777777" w:rsidR="00CB337E" w:rsidRPr="00CB337E" w:rsidRDefault="00CB337E" w:rsidP="00CB337E">
      <w:pPr>
        <w:spacing w:line="240" w:lineRule="auto"/>
        <w:rPr>
          <w:rFonts w:ascii="Arial" w:eastAsia="Times New Roman" w:hAnsi="Arial" w:cs="Arial"/>
          <w:sz w:val="20"/>
          <w:szCs w:val="20"/>
          <w:lang w:val="es-ES" w:eastAsia="es-ES"/>
        </w:rPr>
      </w:pPr>
    </w:p>
    <w:p w14:paraId="3985334E" w14:textId="77777777" w:rsidR="00CB337E" w:rsidRPr="00CB337E" w:rsidRDefault="00CB337E" w:rsidP="00CB337E">
      <w:pPr>
        <w:spacing w:line="240" w:lineRule="auto"/>
        <w:rPr>
          <w:rFonts w:ascii="Arial" w:eastAsia="Times New Roman" w:hAnsi="Arial" w:cs="Arial"/>
          <w:sz w:val="20"/>
          <w:szCs w:val="20"/>
          <w:lang w:val="es-ES" w:eastAsia="es-ES"/>
        </w:rPr>
      </w:pPr>
    </w:p>
    <w:bookmarkEnd w:id="2"/>
    <w:p w14:paraId="460E0B2E" w14:textId="77777777" w:rsidR="00CB337E" w:rsidRPr="00CB337E" w:rsidRDefault="00CB337E" w:rsidP="00CB337E">
      <w:pPr>
        <w:spacing w:line="240" w:lineRule="auto"/>
        <w:rPr>
          <w:rFonts w:ascii="Arial" w:eastAsia="Times New Roman" w:hAnsi="Arial" w:cs="Arial"/>
          <w:sz w:val="20"/>
          <w:szCs w:val="20"/>
          <w:lang w:val="es-ES" w:eastAsia="es-ES"/>
        </w:rPr>
      </w:pPr>
    </w:p>
    <w:p w14:paraId="23CFC75E" w14:textId="77777777" w:rsidR="00790DA9" w:rsidRPr="0004733C" w:rsidRDefault="00790DA9" w:rsidP="0004733C">
      <w:pPr>
        <w:tabs>
          <w:tab w:val="left" w:pos="993"/>
        </w:tabs>
        <w:spacing w:line="276" w:lineRule="auto"/>
        <w:ind w:left="1134" w:hanging="1134"/>
        <w:jc w:val="center"/>
        <w:rPr>
          <w:rFonts w:eastAsia="Times New Roman" w:cs="Tahoma"/>
          <w:b/>
          <w:szCs w:val="24"/>
          <w:lang w:val="es-419" w:eastAsia="es-ES"/>
        </w:rPr>
      </w:pPr>
      <w:r w:rsidRPr="0004733C">
        <w:rPr>
          <w:rFonts w:cs="Tahoma"/>
          <w:b/>
          <w:szCs w:val="24"/>
          <w:lang w:eastAsia="es-MX"/>
        </w:rPr>
        <w:t>TRIBUNAL SUPERIOR DEL DISTRITO JUDICIAL DE PEREIRA</w:t>
      </w:r>
    </w:p>
    <w:p w14:paraId="75202AF3" w14:textId="77777777" w:rsidR="00327A68" w:rsidRPr="0004733C" w:rsidRDefault="00790DA9" w:rsidP="0004733C">
      <w:pPr>
        <w:pStyle w:val="Ttulo4"/>
        <w:widowControl w:val="0"/>
        <w:tabs>
          <w:tab w:val="clear" w:pos="0"/>
        </w:tabs>
        <w:spacing w:line="276" w:lineRule="auto"/>
        <w:ind w:left="709" w:right="845"/>
        <w:rPr>
          <w:rFonts w:ascii="Tahoma" w:hAnsi="Tahoma" w:cs="Tahoma"/>
          <w:szCs w:val="24"/>
          <w:lang w:eastAsia="es-MX"/>
        </w:rPr>
      </w:pPr>
      <w:r w:rsidRPr="0004733C">
        <w:rPr>
          <w:rFonts w:ascii="Tahoma" w:hAnsi="Tahoma" w:cs="Tahoma"/>
          <w:szCs w:val="24"/>
          <w:lang w:eastAsia="es-MX"/>
        </w:rPr>
        <w:t>SALA PRIMERA DE DECISION LABORAL</w:t>
      </w:r>
      <w:r w:rsidR="00662FC5" w:rsidRPr="0004733C">
        <w:rPr>
          <w:rFonts w:ascii="Tahoma" w:hAnsi="Tahoma" w:cs="Tahoma"/>
          <w:szCs w:val="24"/>
          <w:lang w:eastAsia="es-MX"/>
        </w:rPr>
        <w:t xml:space="preserve"> </w:t>
      </w:r>
    </w:p>
    <w:p w14:paraId="6E1CA941" w14:textId="77777777" w:rsidR="00327A68" w:rsidRPr="0004733C" w:rsidRDefault="00327A68" w:rsidP="0004733C">
      <w:pPr>
        <w:pStyle w:val="Ttulo4"/>
        <w:widowControl w:val="0"/>
        <w:tabs>
          <w:tab w:val="clear" w:pos="0"/>
        </w:tabs>
        <w:spacing w:line="276" w:lineRule="auto"/>
        <w:ind w:left="709" w:right="845"/>
        <w:rPr>
          <w:rFonts w:ascii="Tahoma" w:hAnsi="Tahoma" w:cs="Tahoma"/>
          <w:bCs/>
          <w:szCs w:val="24"/>
          <w:lang w:eastAsia="es-MX"/>
        </w:rPr>
      </w:pPr>
    </w:p>
    <w:p w14:paraId="5C9621EA" w14:textId="77777777" w:rsidR="00790DA9" w:rsidRPr="0004733C" w:rsidRDefault="00790DA9" w:rsidP="0004733C">
      <w:pPr>
        <w:pStyle w:val="Ttulo4"/>
        <w:widowControl w:val="0"/>
        <w:tabs>
          <w:tab w:val="clear" w:pos="0"/>
        </w:tabs>
        <w:spacing w:line="276" w:lineRule="auto"/>
        <w:ind w:left="709" w:right="845"/>
        <w:rPr>
          <w:rFonts w:ascii="Tahoma" w:hAnsi="Tahoma" w:cs="Tahoma"/>
          <w:bCs/>
          <w:szCs w:val="24"/>
          <w:lang w:eastAsia="es-MX"/>
        </w:rPr>
      </w:pPr>
      <w:r w:rsidRPr="0004733C">
        <w:rPr>
          <w:rFonts w:ascii="Tahoma" w:hAnsi="Tahoma" w:cs="Tahoma"/>
          <w:szCs w:val="24"/>
          <w:lang w:eastAsia="es-CO"/>
        </w:rPr>
        <w:t>Magistrada Ponente: </w:t>
      </w:r>
      <w:r w:rsidRPr="0004733C">
        <w:rPr>
          <w:rFonts w:ascii="Tahoma" w:hAnsi="Tahoma" w:cs="Tahoma"/>
          <w:b w:val="0"/>
          <w:szCs w:val="24"/>
          <w:lang w:eastAsia="es-CO"/>
        </w:rPr>
        <w:t>Ana Lucía Caicedo Calderón</w:t>
      </w:r>
      <w:r w:rsidRPr="0004733C">
        <w:rPr>
          <w:rFonts w:ascii="Tahoma" w:hAnsi="Tahoma" w:cs="Tahoma"/>
          <w:szCs w:val="24"/>
          <w:lang w:eastAsia="es-CO"/>
        </w:rPr>
        <w:t> </w:t>
      </w:r>
    </w:p>
    <w:p w14:paraId="069FFF3A" w14:textId="77777777" w:rsidR="00790DA9" w:rsidRPr="0004733C" w:rsidRDefault="00790DA9" w:rsidP="0004733C">
      <w:pPr>
        <w:spacing w:line="276" w:lineRule="auto"/>
        <w:textAlignment w:val="baseline"/>
        <w:rPr>
          <w:rFonts w:eastAsia="Times New Roman" w:cs="Tahoma"/>
          <w:szCs w:val="24"/>
          <w:lang w:eastAsia="es-CO"/>
        </w:rPr>
      </w:pPr>
      <w:r w:rsidRPr="0004733C">
        <w:rPr>
          <w:rFonts w:eastAsia="Times New Roman" w:cs="Tahoma"/>
          <w:szCs w:val="24"/>
          <w:lang w:eastAsia="es-CO"/>
        </w:rPr>
        <w:t> </w:t>
      </w:r>
    </w:p>
    <w:p w14:paraId="430F1928" w14:textId="77777777" w:rsidR="000650FA" w:rsidRPr="0004733C" w:rsidRDefault="000650FA" w:rsidP="0004733C">
      <w:pPr>
        <w:spacing w:line="276" w:lineRule="auto"/>
        <w:jc w:val="center"/>
        <w:textAlignment w:val="baseline"/>
        <w:rPr>
          <w:rFonts w:eastAsia="Times New Roman" w:cs="Tahoma"/>
          <w:szCs w:val="24"/>
          <w:lang w:eastAsia="es-CO"/>
        </w:rPr>
      </w:pPr>
      <w:r w:rsidRPr="0004733C">
        <w:rPr>
          <w:rFonts w:eastAsia="Times New Roman" w:cs="Tahoma"/>
          <w:szCs w:val="24"/>
          <w:lang w:eastAsia="es-CO"/>
        </w:rPr>
        <w:t>Pereira, Risaralda, quince (15) de octubre de dos mil veintiuno (2021)  </w:t>
      </w:r>
    </w:p>
    <w:p w14:paraId="3544D924" w14:textId="77777777" w:rsidR="000650FA" w:rsidRPr="0004733C" w:rsidRDefault="000650FA" w:rsidP="0004733C">
      <w:pPr>
        <w:spacing w:line="276" w:lineRule="auto"/>
        <w:jc w:val="center"/>
        <w:textAlignment w:val="baseline"/>
        <w:rPr>
          <w:rFonts w:eastAsia="Times New Roman" w:cs="Tahoma"/>
          <w:szCs w:val="24"/>
          <w:lang w:eastAsia="es-CO"/>
        </w:rPr>
      </w:pPr>
      <w:r w:rsidRPr="0004733C">
        <w:rPr>
          <w:rFonts w:eastAsia="Times New Roman" w:cs="Tahoma"/>
          <w:szCs w:val="24"/>
          <w:lang w:eastAsia="es-CO"/>
        </w:rPr>
        <w:t xml:space="preserve"> Acta No. </w:t>
      </w:r>
      <w:r w:rsidR="0C0830C7" w:rsidRPr="0004733C">
        <w:rPr>
          <w:rFonts w:eastAsia="Times New Roman" w:cs="Tahoma"/>
          <w:szCs w:val="24"/>
          <w:lang w:eastAsia="es-CO"/>
        </w:rPr>
        <w:t>163</w:t>
      </w:r>
      <w:r w:rsidRPr="0004733C">
        <w:rPr>
          <w:rFonts w:eastAsia="Times New Roman" w:cs="Tahoma"/>
          <w:szCs w:val="24"/>
          <w:lang w:eastAsia="es-CO"/>
        </w:rPr>
        <w:t xml:space="preserve"> del 14 de octubre de 2021</w:t>
      </w:r>
    </w:p>
    <w:p w14:paraId="2D4B0A1A" w14:textId="77777777" w:rsidR="00327A68" w:rsidRPr="0004733C" w:rsidRDefault="00327A68" w:rsidP="0004733C">
      <w:pPr>
        <w:spacing w:line="276" w:lineRule="auto"/>
        <w:jc w:val="center"/>
        <w:textAlignment w:val="baseline"/>
        <w:rPr>
          <w:rFonts w:eastAsia="Times New Roman" w:cs="Tahoma"/>
          <w:szCs w:val="24"/>
          <w:lang w:eastAsia="es-CO"/>
        </w:rPr>
      </w:pPr>
    </w:p>
    <w:p w14:paraId="32CF60FC" w14:textId="77777777" w:rsidR="00327A68" w:rsidRPr="0004733C" w:rsidRDefault="00662FC5" w:rsidP="0004733C">
      <w:pPr>
        <w:spacing w:line="276" w:lineRule="auto"/>
        <w:textAlignment w:val="baseline"/>
        <w:rPr>
          <w:rFonts w:eastAsia="Times New Roman" w:cs="Tahoma"/>
          <w:szCs w:val="24"/>
          <w:lang w:eastAsia="es-CO"/>
        </w:rPr>
      </w:pPr>
      <w:r w:rsidRPr="0004733C">
        <w:rPr>
          <w:rFonts w:cs="Tahoma"/>
          <w:color w:val="000000" w:themeColor="text1"/>
          <w:szCs w:val="24"/>
        </w:rPr>
        <w:t>Teniendo en cuenta que el artículo 15 del Decreto No. 806 del 4 de junio de</w:t>
      </w:r>
      <w:r w:rsidR="675B6719" w:rsidRPr="0004733C">
        <w:rPr>
          <w:rFonts w:cs="Tahoma"/>
          <w:color w:val="000000" w:themeColor="text1"/>
          <w:szCs w:val="24"/>
        </w:rPr>
        <w:t xml:space="preserve"> </w:t>
      </w:r>
      <w:r w:rsidRPr="0004733C">
        <w:rPr>
          <w:rFonts w:cs="Tahoma"/>
          <w:color w:val="000000" w:themeColor="text1"/>
          <w:szCs w:val="24"/>
        </w:rPr>
        <w:t>2020, expedido por el Ministerio de Justicia y del Derecho, estableció que en la</w:t>
      </w:r>
      <w:r w:rsidR="6D95D1FB" w:rsidRPr="0004733C">
        <w:rPr>
          <w:rFonts w:cs="Tahoma"/>
          <w:color w:val="000000" w:themeColor="text1"/>
          <w:szCs w:val="24"/>
        </w:rPr>
        <w:t xml:space="preserve"> </w:t>
      </w:r>
      <w:r w:rsidRPr="0004733C">
        <w:rPr>
          <w:rFonts w:cs="Tahoma"/>
          <w:color w:val="000000" w:themeColor="text1"/>
          <w:szCs w:val="24"/>
        </w:rPr>
        <w:t>especialidad laboral se proferirán por escrito las providencias de segunda instancia</w:t>
      </w:r>
      <w:r w:rsidR="4CD3486D" w:rsidRPr="0004733C">
        <w:rPr>
          <w:rFonts w:cs="Tahoma"/>
          <w:color w:val="000000" w:themeColor="text1"/>
          <w:szCs w:val="24"/>
        </w:rPr>
        <w:t xml:space="preserve"> </w:t>
      </w:r>
      <w:r w:rsidRPr="0004733C">
        <w:rPr>
          <w:rFonts w:cs="Tahoma"/>
          <w:color w:val="000000" w:themeColor="text1"/>
          <w:szCs w:val="24"/>
        </w:rPr>
        <w:t>en las que se surta el grado jurisdiccional de consulta o se resuelva el recurso de</w:t>
      </w:r>
      <w:r w:rsidR="4DA3018A" w:rsidRPr="0004733C">
        <w:rPr>
          <w:rFonts w:cs="Tahoma"/>
          <w:color w:val="000000" w:themeColor="text1"/>
          <w:szCs w:val="24"/>
        </w:rPr>
        <w:t xml:space="preserve"> </w:t>
      </w:r>
      <w:r w:rsidRPr="0004733C">
        <w:rPr>
          <w:rFonts w:cs="Tahoma"/>
          <w:color w:val="000000" w:themeColor="text1"/>
          <w:szCs w:val="24"/>
        </w:rPr>
        <w:t xml:space="preserve">apelación de autos o sentencias, la Sala de Decisión Laboral Presidida por la </w:t>
      </w:r>
      <w:r w:rsidR="00263F30" w:rsidRPr="0004733C">
        <w:rPr>
          <w:rFonts w:cs="Tahoma"/>
          <w:color w:val="000000" w:themeColor="text1"/>
          <w:szCs w:val="24"/>
        </w:rPr>
        <w:t xml:space="preserve">Magistrada </w:t>
      </w:r>
      <w:r w:rsidRPr="0004733C">
        <w:rPr>
          <w:rFonts w:cs="Tahoma"/>
          <w:caps/>
          <w:color w:val="000000" w:themeColor="text1"/>
          <w:szCs w:val="24"/>
        </w:rPr>
        <w:t>Ana Lucía Caicedo Calderón</w:t>
      </w:r>
      <w:r w:rsidRPr="0004733C">
        <w:rPr>
          <w:rFonts w:cs="Tahoma"/>
          <w:color w:val="000000" w:themeColor="text1"/>
          <w:szCs w:val="24"/>
        </w:rPr>
        <w:t xml:space="preserve"> del Tribunal Superior de</w:t>
      </w:r>
      <w:r w:rsidR="00263F30" w:rsidRPr="0004733C">
        <w:rPr>
          <w:rFonts w:cs="Tahoma"/>
          <w:color w:val="000000" w:themeColor="text1"/>
          <w:szCs w:val="24"/>
        </w:rPr>
        <w:t>l Distrito Judicial de</w:t>
      </w:r>
      <w:r w:rsidRPr="0004733C">
        <w:rPr>
          <w:rFonts w:cs="Tahoma"/>
          <w:color w:val="000000" w:themeColor="text1"/>
          <w:szCs w:val="24"/>
        </w:rPr>
        <w:t xml:space="preserve"> Pereira, integrada</w:t>
      </w:r>
      <w:r w:rsidR="00263F30" w:rsidRPr="0004733C">
        <w:rPr>
          <w:rFonts w:cs="Tahoma"/>
          <w:color w:val="000000" w:themeColor="text1"/>
          <w:szCs w:val="24"/>
        </w:rPr>
        <w:t>, además</w:t>
      </w:r>
      <w:r w:rsidRPr="0004733C">
        <w:rPr>
          <w:rFonts w:cs="Tahoma"/>
          <w:color w:val="000000" w:themeColor="text1"/>
          <w:szCs w:val="24"/>
        </w:rPr>
        <w:t>,</w:t>
      </w:r>
      <w:r w:rsidR="00263F30" w:rsidRPr="0004733C">
        <w:rPr>
          <w:rFonts w:cs="Tahoma"/>
          <w:color w:val="000000" w:themeColor="text1"/>
          <w:szCs w:val="24"/>
        </w:rPr>
        <w:t xml:space="preserve"> por la Magistrada </w:t>
      </w:r>
      <w:r w:rsidRPr="0004733C">
        <w:rPr>
          <w:rFonts w:cs="Tahoma"/>
          <w:color w:val="000000" w:themeColor="text1"/>
          <w:szCs w:val="24"/>
        </w:rPr>
        <w:t>OLGA LUCÍA HOYOS</w:t>
      </w:r>
      <w:r w:rsidR="0443FE11" w:rsidRPr="0004733C">
        <w:rPr>
          <w:rFonts w:cs="Tahoma"/>
          <w:color w:val="000000" w:themeColor="text1"/>
          <w:szCs w:val="24"/>
        </w:rPr>
        <w:t xml:space="preserve"> </w:t>
      </w:r>
      <w:r w:rsidRPr="0004733C">
        <w:rPr>
          <w:rFonts w:cs="Tahoma"/>
          <w:color w:val="000000" w:themeColor="text1"/>
          <w:szCs w:val="24"/>
        </w:rPr>
        <w:t>SEPÚLVEDA</w:t>
      </w:r>
      <w:r w:rsidR="00263F30" w:rsidRPr="0004733C">
        <w:rPr>
          <w:rFonts w:cs="Tahoma"/>
          <w:color w:val="000000" w:themeColor="text1"/>
          <w:szCs w:val="24"/>
        </w:rPr>
        <w:t xml:space="preserve"> </w:t>
      </w:r>
      <w:r w:rsidRPr="0004733C">
        <w:rPr>
          <w:rFonts w:cs="Tahoma"/>
          <w:color w:val="000000" w:themeColor="text1"/>
          <w:szCs w:val="24"/>
        </w:rPr>
        <w:t xml:space="preserve">y el Magistrado GERMÁN </w:t>
      </w:r>
      <w:r w:rsidRPr="0004733C">
        <w:rPr>
          <w:rFonts w:cs="Tahoma"/>
          <w:color w:val="000000" w:themeColor="text1"/>
          <w:szCs w:val="24"/>
        </w:rPr>
        <w:lastRenderedPageBreak/>
        <w:t>DARIO GOEZ VINASCO, procede a proferir la</w:t>
      </w:r>
      <w:r w:rsidR="5E5F6ABA" w:rsidRPr="0004733C">
        <w:rPr>
          <w:rFonts w:cs="Tahoma"/>
          <w:color w:val="000000" w:themeColor="text1"/>
          <w:szCs w:val="24"/>
        </w:rPr>
        <w:t xml:space="preserve"> </w:t>
      </w:r>
      <w:r w:rsidRPr="0004733C">
        <w:rPr>
          <w:rFonts w:cs="Tahoma"/>
          <w:color w:val="000000" w:themeColor="text1"/>
          <w:szCs w:val="24"/>
        </w:rPr>
        <w:t>siguiente sentencia escrita dentro del proceso ordinario laboral instaurado por</w:t>
      </w:r>
      <w:r w:rsidRPr="0004733C">
        <w:rPr>
          <w:rFonts w:cs="Tahoma"/>
          <w:szCs w:val="24"/>
        </w:rPr>
        <w:t xml:space="preserve"> </w:t>
      </w:r>
      <w:r w:rsidR="00263F30" w:rsidRPr="0004733C">
        <w:rPr>
          <w:rFonts w:cs="Tahoma"/>
          <w:b/>
          <w:bCs/>
          <w:caps/>
          <w:szCs w:val="24"/>
          <w:lang w:val="es-419"/>
        </w:rPr>
        <w:t>Héctor Vega Hernández</w:t>
      </w:r>
      <w:r w:rsidR="005A7B94" w:rsidRPr="0004733C">
        <w:rPr>
          <w:rFonts w:cs="Tahoma"/>
          <w:b/>
          <w:bCs/>
          <w:szCs w:val="24"/>
          <w:lang w:val="es-419"/>
        </w:rPr>
        <w:t xml:space="preserve"> </w:t>
      </w:r>
      <w:r w:rsidR="005A7B94" w:rsidRPr="0004733C">
        <w:rPr>
          <w:rFonts w:cs="Tahoma"/>
          <w:szCs w:val="24"/>
          <w:lang w:val="es-ES"/>
        </w:rPr>
        <w:t>en contra de</w:t>
      </w:r>
      <w:r w:rsidR="00E15935" w:rsidRPr="0004733C">
        <w:rPr>
          <w:rFonts w:cs="Tahoma"/>
          <w:szCs w:val="24"/>
          <w:lang w:val="es-ES"/>
        </w:rPr>
        <w:t xml:space="preserve"> la </w:t>
      </w:r>
      <w:r w:rsidR="00E15935" w:rsidRPr="0004733C">
        <w:rPr>
          <w:rFonts w:cs="Tahoma"/>
          <w:b/>
          <w:bCs/>
          <w:szCs w:val="24"/>
          <w:lang w:val="es-ES"/>
        </w:rPr>
        <w:t>AFP</w:t>
      </w:r>
      <w:r w:rsidR="005A7B94" w:rsidRPr="0004733C">
        <w:rPr>
          <w:rFonts w:cs="Tahoma"/>
          <w:b/>
          <w:bCs/>
          <w:szCs w:val="24"/>
          <w:lang w:val="es-ES"/>
        </w:rPr>
        <w:t xml:space="preserve"> </w:t>
      </w:r>
      <w:r w:rsidR="00E15935" w:rsidRPr="0004733C">
        <w:rPr>
          <w:rFonts w:cs="Tahoma"/>
          <w:b/>
          <w:bCs/>
          <w:szCs w:val="24"/>
          <w:lang w:val="es-ES"/>
        </w:rPr>
        <w:t>PORVENIR S.A.</w:t>
      </w:r>
      <w:r w:rsidR="00E15935" w:rsidRPr="0004733C">
        <w:rPr>
          <w:rFonts w:cs="Tahoma"/>
          <w:szCs w:val="24"/>
          <w:lang w:val="es-ES"/>
        </w:rPr>
        <w:t>,</w:t>
      </w:r>
      <w:r w:rsidR="00327A68" w:rsidRPr="0004733C">
        <w:rPr>
          <w:rFonts w:cs="Tahoma"/>
          <w:szCs w:val="24"/>
          <w:lang w:val="es-ES"/>
        </w:rPr>
        <w:t xml:space="preserve"> </w:t>
      </w:r>
      <w:r w:rsidR="00327A68" w:rsidRPr="0004733C">
        <w:rPr>
          <w:rFonts w:cs="Tahoma"/>
          <w:b/>
          <w:bCs/>
          <w:szCs w:val="24"/>
          <w:lang w:val="es-ES"/>
        </w:rPr>
        <w:t>AFP COLFONDOS S.A. PENSIONES Y CESANTÍAS</w:t>
      </w:r>
      <w:r w:rsidR="005A7B94" w:rsidRPr="0004733C">
        <w:rPr>
          <w:rFonts w:cs="Tahoma"/>
          <w:szCs w:val="24"/>
          <w:lang w:val="es-ES"/>
        </w:rPr>
        <w:t xml:space="preserve"> </w:t>
      </w:r>
      <w:r w:rsidR="00327A68" w:rsidRPr="0004733C">
        <w:rPr>
          <w:rFonts w:cs="Tahoma"/>
          <w:szCs w:val="24"/>
          <w:lang w:val="es-ES"/>
        </w:rPr>
        <w:t xml:space="preserve">y la </w:t>
      </w:r>
      <w:r w:rsidR="00327A68" w:rsidRPr="0004733C">
        <w:rPr>
          <w:rFonts w:cs="Tahoma"/>
          <w:b/>
          <w:bCs/>
          <w:szCs w:val="24"/>
          <w:lang w:val="es-ES"/>
        </w:rPr>
        <w:t>ADMINISTRADORA COLOMBIANA DE PENSIONES -COLPENSIONES-</w:t>
      </w:r>
    </w:p>
    <w:p w14:paraId="58C87FB5" w14:textId="77777777" w:rsidR="00761CFA" w:rsidRPr="0004733C" w:rsidRDefault="00761CFA" w:rsidP="00D31E2A">
      <w:pPr>
        <w:spacing w:line="276" w:lineRule="auto"/>
        <w:rPr>
          <w:rFonts w:cs="Tahoma"/>
          <w:b/>
          <w:bCs/>
          <w:szCs w:val="24"/>
          <w:lang w:val="es-ES_tradnl"/>
        </w:rPr>
      </w:pPr>
    </w:p>
    <w:p w14:paraId="1ED82CA1" w14:textId="77777777" w:rsidR="00790DA9" w:rsidRPr="0004733C" w:rsidRDefault="00790DA9" w:rsidP="0004733C">
      <w:pPr>
        <w:spacing w:line="276" w:lineRule="auto"/>
        <w:ind w:firstLine="708"/>
        <w:jc w:val="center"/>
        <w:rPr>
          <w:rStyle w:val="normaltextrun"/>
          <w:rFonts w:cs="Tahoma"/>
          <w:szCs w:val="24"/>
          <w:lang w:val="es-ES_tradnl"/>
        </w:rPr>
      </w:pPr>
      <w:r w:rsidRPr="0004733C">
        <w:rPr>
          <w:rStyle w:val="normaltextrun"/>
          <w:rFonts w:cs="Tahoma"/>
          <w:b/>
          <w:bCs/>
          <w:szCs w:val="24"/>
        </w:rPr>
        <w:t>PUNTO A TRATAR</w:t>
      </w:r>
    </w:p>
    <w:p w14:paraId="6634E936" w14:textId="77777777" w:rsidR="00EF5C33" w:rsidRPr="0004733C" w:rsidRDefault="00EF5C33" w:rsidP="0004733C">
      <w:pPr>
        <w:pStyle w:val="paragraph"/>
        <w:spacing w:before="0" w:beforeAutospacing="0" w:after="0" w:afterAutospacing="0" w:line="276" w:lineRule="auto"/>
        <w:jc w:val="center"/>
        <w:textAlignment w:val="baseline"/>
        <w:rPr>
          <w:rFonts w:ascii="Tahoma" w:hAnsi="Tahoma" w:cs="Tahoma"/>
        </w:rPr>
      </w:pPr>
    </w:p>
    <w:p w14:paraId="16E3BCD3" w14:textId="77777777" w:rsidR="00790DA9" w:rsidRPr="0004733C" w:rsidRDefault="00790DA9" w:rsidP="0004733C">
      <w:pPr>
        <w:spacing w:line="276" w:lineRule="auto"/>
        <w:ind w:firstLine="708"/>
        <w:rPr>
          <w:rStyle w:val="normaltextrun"/>
          <w:rFonts w:cs="Tahoma"/>
          <w:szCs w:val="24"/>
        </w:rPr>
      </w:pPr>
      <w:r w:rsidRPr="0004733C">
        <w:rPr>
          <w:rStyle w:val="normaltextrun"/>
          <w:rFonts w:cs="Tahoma"/>
          <w:szCs w:val="24"/>
        </w:rPr>
        <w:t>Por medio de esta providencia procede la Sala a</w:t>
      </w:r>
      <w:r w:rsidRPr="0004733C">
        <w:rPr>
          <w:rFonts w:cs="Tahoma"/>
          <w:szCs w:val="24"/>
        </w:rPr>
        <w:t xml:space="preserve"> resolver</w:t>
      </w:r>
      <w:r w:rsidR="00E376E1" w:rsidRPr="0004733C">
        <w:rPr>
          <w:rFonts w:cs="Tahoma"/>
          <w:szCs w:val="24"/>
        </w:rPr>
        <w:t xml:space="preserve"> </w:t>
      </w:r>
      <w:r w:rsidR="001F37EE" w:rsidRPr="0004733C">
        <w:rPr>
          <w:rFonts w:cs="Tahoma"/>
          <w:szCs w:val="24"/>
        </w:rPr>
        <w:t>e</w:t>
      </w:r>
      <w:r w:rsidRPr="0004733C">
        <w:rPr>
          <w:rFonts w:cs="Tahoma"/>
          <w:szCs w:val="24"/>
        </w:rPr>
        <w:t>l</w:t>
      </w:r>
      <w:r w:rsidR="001F37EE" w:rsidRPr="0004733C">
        <w:rPr>
          <w:rFonts w:cs="Tahoma"/>
          <w:szCs w:val="24"/>
        </w:rPr>
        <w:t xml:space="preserve"> </w:t>
      </w:r>
      <w:r w:rsidRPr="0004733C">
        <w:rPr>
          <w:rFonts w:cs="Tahoma"/>
          <w:szCs w:val="24"/>
        </w:rPr>
        <w:t xml:space="preserve">recurso de apelación interpuesto por </w:t>
      </w:r>
      <w:r w:rsidR="00E376E1" w:rsidRPr="0004733C">
        <w:rPr>
          <w:rFonts w:cs="Tahoma"/>
          <w:szCs w:val="24"/>
        </w:rPr>
        <w:t>Col</w:t>
      </w:r>
      <w:r w:rsidR="00D805CC" w:rsidRPr="0004733C">
        <w:rPr>
          <w:rFonts w:cs="Tahoma"/>
          <w:szCs w:val="24"/>
        </w:rPr>
        <w:t xml:space="preserve">pensiones </w:t>
      </w:r>
      <w:r w:rsidR="00E376E1" w:rsidRPr="0004733C">
        <w:rPr>
          <w:rFonts w:cs="Tahoma"/>
          <w:szCs w:val="24"/>
        </w:rPr>
        <w:t>y P</w:t>
      </w:r>
      <w:r w:rsidR="00D34222" w:rsidRPr="0004733C">
        <w:rPr>
          <w:rFonts w:cs="Tahoma"/>
          <w:szCs w:val="24"/>
        </w:rPr>
        <w:t>ORVENIR</w:t>
      </w:r>
      <w:r w:rsidR="00E376E1" w:rsidRPr="0004733C">
        <w:rPr>
          <w:rFonts w:cs="Tahoma"/>
          <w:szCs w:val="24"/>
        </w:rPr>
        <w:t xml:space="preserve"> S.A. </w:t>
      </w:r>
      <w:r w:rsidRPr="0004733C">
        <w:rPr>
          <w:rFonts w:cs="Tahoma"/>
          <w:szCs w:val="24"/>
        </w:rPr>
        <w:t xml:space="preserve">en contra de la sentencia proferida el </w:t>
      </w:r>
      <w:r w:rsidR="00D34222" w:rsidRPr="0004733C">
        <w:rPr>
          <w:rFonts w:cs="Tahoma"/>
          <w:b/>
          <w:szCs w:val="24"/>
        </w:rPr>
        <w:t>1°</w:t>
      </w:r>
      <w:r w:rsidRPr="0004733C">
        <w:rPr>
          <w:rFonts w:cs="Tahoma"/>
          <w:b/>
          <w:bCs/>
          <w:szCs w:val="24"/>
        </w:rPr>
        <w:t xml:space="preserve"> de </w:t>
      </w:r>
      <w:r w:rsidR="007E2ABD" w:rsidRPr="0004733C">
        <w:rPr>
          <w:rFonts w:cs="Tahoma"/>
          <w:b/>
          <w:bCs/>
          <w:szCs w:val="24"/>
        </w:rPr>
        <w:t>junio</w:t>
      </w:r>
      <w:r w:rsidR="00D805CC" w:rsidRPr="0004733C">
        <w:rPr>
          <w:rFonts w:cs="Tahoma"/>
          <w:b/>
          <w:bCs/>
          <w:szCs w:val="24"/>
        </w:rPr>
        <w:t xml:space="preserve"> </w:t>
      </w:r>
      <w:r w:rsidRPr="0004733C">
        <w:rPr>
          <w:rFonts w:cs="Tahoma"/>
          <w:b/>
          <w:bCs/>
          <w:szCs w:val="24"/>
        </w:rPr>
        <w:t>de 202</w:t>
      </w:r>
      <w:r w:rsidR="00463B87" w:rsidRPr="0004733C">
        <w:rPr>
          <w:rFonts w:cs="Tahoma"/>
          <w:b/>
          <w:bCs/>
          <w:szCs w:val="24"/>
        </w:rPr>
        <w:t>1</w:t>
      </w:r>
      <w:r w:rsidRPr="0004733C">
        <w:rPr>
          <w:rFonts w:cs="Tahoma"/>
          <w:szCs w:val="24"/>
        </w:rPr>
        <w:t xml:space="preserve"> por el </w:t>
      </w:r>
      <w:r w:rsidRPr="0004733C">
        <w:rPr>
          <w:rFonts w:cs="Tahoma"/>
          <w:szCs w:val="24"/>
          <w:lang w:val="es-ES_tradnl"/>
        </w:rPr>
        <w:t>Juzgado</w:t>
      </w:r>
      <w:r w:rsidRPr="0004733C">
        <w:rPr>
          <w:rFonts w:cs="Tahoma"/>
          <w:szCs w:val="24"/>
        </w:rPr>
        <w:t xml:space="preserve"> </w:t>
      </w:r>
      <w:r w:rsidR="00E376E1" w:rsidRPr="0004733C">
        <w:rPr>
          <w:rFonts w:cs="Tahoma"/>
          <w:szCs w:val="24"/>
        </w:rPr>
        <w:t xml:space="preserve">Cuarto </w:t>
      </w:r>
      <w:r w:rsidRPr="0004733C">
        <w:rPr>
          <w:rFonts w:cs="Tahoma"/>
          <w:szCs w:val="24"/>
        </w:rPr>
        <w:t>Laboral del Circuito de Pereira</w:t>
      </w:r>
      <w:r w:rsidR="00D34222" w:rsidRPr="0004733C">
        <w:rPr>
          <w:rStyle w:val="normaltextrun"/>
          <w:rFonts w:cs="Tahoma"/>
          <w:szCs w:val="24"/>
        </w:rPr>
        <w:t>.</w:t>
      </w:r>
      <w:r w:rsidR="00A47546" w:rsidRPr="0004733C">
        <w:rPr>
          <w:rStyle w:val="normaltextrun"/>
          <w:rFonts w:cs="Tahoma"/>
          <w:szCs w:val="24"/>
        </w:rPr>
        <w:t xml:space="preserve"> </w:t>
      </w:r>
      <w:r w:rsidR="00D34222" w:rsidRPr="0004733C">
        <w:rPr>
          <w:rStyle w:val="normaltextrun"/>
          <w:rFonts w:cs="Tahoma"/>
          <w:szCs w:val="24"/>
        </w:rPr>
        <w:t>A</w:t>
      </w:r>
      <w:r w:rsidR="00A47546" w:rsidRPr="0004733C">
        <w:rPr>
          <w:rStyle w:val="normaltextrun"/>
          <w:rFonts w:cs="Tahoma"/>
          <w:szCs w:val="24"/>
        </w:rPr>
        <w:t>simismo, se revisará la decisión de instancia en virtud del</w:t>
      </w:r>
      <w:r w:rsidR="00A47546" w:rsidRPr="0004733C">
        <w:rPr>
          <w:rFonts w:cs="Tahoma"/>
          <w:szCs w:val="24"/>
        </w:rPr>
        <w:t xml:space="preserve"> grado jurisdiccional de consulta </w:t>
      </w:r>
      <w:r w:rsidR="00D34222" w:rsidRPr="0004733C">
        <w:rPr>
          <w:rFonts w:cs="Tahoma"/>
          <w:szCs w:val="24"/>
        </w:rPr>
        <w:t>a favor</w:t>
      </w:r>
      <w:r w:rsidR="00A47546" w:rsidRPr="0004733C">
        <w:rPr>
          <w:rFonts w:cs="Tahoma"/>
          <w:szCs w:val="24"/>
        </w:rPr>
        <w:t xml:space="preserve"> de Colpensiones. </w:t>
      </w:r>
      <w:r w:rsidRPr="0004733C">
        <w:rPr>
          <w:rStyle w:val="normaltextrun"/>
          <w:rFonts w:cs="Tahoma"/>
          <w:szCs w:val="24"/>
        </w:rPr>
        <w:t>Para ello se tiene en cuenta lo siguiente: </w:t>
      </w:r>
    </w:p>
    <w:p w14:paraId="39CF95F6" w14:textId="77777777" w:rsidR="00761CFA" w:rsidRPr="0004733C" w:rsidRDefault="00761CFA" w:rsidP="0004733C">
      <w:pPr>
        <w:spacing w:line="276" w:lineRule="auto"/>
        <w:ind w:firstLine="708"/>
        <w:rPr>
          <w:rFonts w:cs="Tahoma"/>
          <w:szCs w:val="24"/>
        </w:rPr>
      </w:pPr>
    </w:p>
    <w:p w14:paraId="6BB8D7C1" w14:textId="77777777" w:rsidR="00790DA9" w:rsidRPr="0004733C" w:rsidRDefault="00790DA9" w:rsidP="0004733C">
      <w:pPr>
        <w:pStyle w:val="Prrafodelista"/>
        <w:numPr>
          <w:ilvl w:val="0"/>
          <w:numId w:val="1"/>
        </w:numPr>
        <w:spacing w:line="276" w:lineRule="auto"/>
        <w:ind w:left="426" w:hanging="426"/>
        <w:jc w:val="center"/>
        <w:rPr>
          <w:rFonts w:cs="Tahoma"/>
          <w:b/>
          <w:bCs/>
          <w:caps/>
          <w:szCs w:val="24"/>
        </w:rPr>
      </w:pPr>
      <w:r w:rsidRPr="0004733C">
        <w:rPr>
          <w:rFonts w:cs="Tahoma"/>
          <w:b/>
          <w:bCs/>
          <w:caps/>
          <w:szCs w:val="24"/>
        </w:rPr>
        <w:t>Demanda y su contestación</w:t>
      </w:r>
    </w:p>
    <w:p w14:paraId="2D39FBB4" w14:textId="77777777" w:rsidR="00790DA9" w:rsidRPr="0004733C" w:rsidRDefault="00790DA9" w:rsidP="0004733C">
      <w:pPr>
        <w:spacing w:line="276" w:lineRule="auto"/>
        <w:ind w:firstLine="708"/>
        <w:rPr>
          <w:rStyle w:val="normaltextrun"/>
          <w:rFonts w:cs="Tahoma"/>
          <w:szCs w:val="24"/>
        </w:rPr>
      </w:pPr>
    </w:p>
    <w:p w14:paraId="2479F425" w14:textId="77777777" w:rsidR="00D805CC" w:rsidRPr="0004733C" w:rsidRDefault="00D805CC" w:rsidP="0004733C">
      <w:pPr>
        <w:spacing w:line="276" w:lineRule="auto"/>
        <w:ind w:firstLine="708"/>
        <w:rPr>
          <w:rFonts w:eastAsia="Calibri" w:cs="Tahoma"/>
          <w:szCs w:val="24"/>
          <w:lang w:val="es-ES"/>
        </w:rPr>
      </w:pPr>
      <w:r w:rsidRPr="0004733C">
        <w:rPr>
          <w:rFonts w:eastAsia="Calibri" w:cs="Tahoma"/>
          <w:szCs w:val="24"/>
        </w:rPr>
        <w:t xml:space="preserve">Solicita el demandante que se declare la nulidad y/o ineficacia del traslado, por medio del cual migró del régimen de prima media con prestación definida </w:t>
      </w:r>
      <w:r w:rsidR="000650FA" w:rsidRPr="0004733C">
        <w:rPr>
          <w:rFonts w:eastAsia="Calibri" w:cs="Tahoma"/>
          <w:szCs w:val="24"/>
        </w:rPr>
        <w:t xml:space="preserve">(en adelante RPM) </w:t>
      </w:r>
      <w:r w:rsidRPr="0004733C">
        <w:rPr>
          <w:rFonts w:eastAsia="Calibri" w:cs="Tahoma"/>
          <w:szCs w:val="24"/>
        </w:rPr>
        <w:t xml:space="preserve">al </w:t>
      </w:r>
      <w:r w:rsidR="000E45BB" w:rsidRPr="0004733C">
        <w:rPr>
          <w:rFonts w:eastAsia="Calibri" w:cs="Tahoma"/>
          <w:szCs w:val="24"/>
        </w:rPr>
        <w:t>R</w:t>
      </w:r>
      <w:r w:rsidRPr="0004733C">
        <w:rPr>
          <w:rFonts w:eastAsia="Calibri" w:cs="Tahoma"/>
          <w:szCs w:val="24"/>
        </w:rPr>
        <w:t xml:space="preserve">égimen de </w:t>
      </w:r>
      <w:r w:rsidR="000E45BB" w:rsidRPr="0004733C">
        <w:rPr>
          <w:rFonts w:eastAsia="Calibri" w:cs="Tahoma"/>
          <w:szCs w:val="24"/>
        </w:rPr>
        <w:t>A</w:t>
      </w:r>
      <w:r w:rsidRPr="0004733C">
        <w:rPr>
          <w:rFonts w:eastAsia="Calibri" w:cs="Tahoma"/>
          <w:szCs w:val="24"/>
        </w:rPr>
        <w:t xml:space="preserve">horro </w:t>
      </w:r>
      <w:r w:rsidR="000E45BB" w:rsidRPr="0004733C">
        <w:rPr>
          <w:rFonts w:eastAsia="Calibri" w:cs="Tahoma"/>
          <w:szCs w:val="24"/>
        </w:rPr>
        <w:t>I</w:t>
      </w:r>
      <w:r w:rsidRPr="0004733C">
        <w:rPr>
          <w:rFonts w:eastAsia="Calibri" w:cs="Tahoma"/>
          <w:szCs w:val="24"/>
        </w:rPr>
        <w:t xml:space="preserve">ndividual con </w:t>
      </w:r>
      <w:r w:rsidR="000E45BB" w:rsidRPr="0004733C">
        <w:rPr>
          <w:rFonts w:eastAsia="Calibri" w:cs="Tahoma"/>
          <w:szCs w:val="24"/>
        </w:rPr>
        <w:t>S</w:t>
      </w:r>
      <w:r w:rsidRPr="0004733C">
        <w:rPr>
          <w:rFonts w:eastAsia="Calibri" w:cs="Tahoma"/>
          <w:szCs w:val="24"/>
        </w:rPr>
        <w:t>olidaridad</w:t>
      </w:r>
      <w:r w:rsidR="000E45BB" w:rsidRPr="0004733C">
        <w:rPr>
          <w:rFonts w:eastAsia="Calibri" w:cs="Tahoma"/>
          <w:szCs w:val="24"/>
        </w:rPr>
        <w:t xml:space="preserve"> (</w:t>
      </w:r>
      <w:r w:rsidR="000650FA" w:rsidRPr="0004733C">
        <w:rPr>
          <w:rFonts w:eastAsia="Calibri" w:cs="Tahoma"/>
          <w:szCs w:val="24"/>
        </w:rPr>
        <w:t xml:space="preserve">en adelante </w:t>
      </w:r>
      <w:r w:rsidR="000E45BB" w:rsidRPr="0004733C">
        <w:rPr>
          <w:rFonts w:eastAsia="Calibri" w:cs="Tahoma"/>
          <w:szCs w:val="24"/>
        </w:rPr>
        <w:t>RAIS)</w:t>
      </w:r>
      <w:r w:rsidRPr="0004733C">
        <w:rPr>
          <w:rFonts w:eastAsia="Calibri" w:cs="Tahoma"/>
          <w:szCs w:val="24"/>
        </w:rPr>
        <w:t xml:space="preserve">. En consecuencia, procura que se </w:t>
      </w:r>
      <w:r w:rsidR="000E45BB" w:rsidRPr="0004733C">
        <w:rPr>
          <w:rFonts w:eastAsia="Calibri" w:cs="Tahoma"/>
          <w:szCs w:val="24"/>
        </w:rPr>
        <w:t xml:space="preserve">condene a COLPENSIONES a recibirlo como afiliado cotizante y a la AFP COLFONDOS, donde está actualmente afiliado, a liberarlo de sus bases de datos y efectuar el respectivo traslado de sus cotizaciones al </w:t>
      </w:r>
      <w:r w:rsidR="00913B24" w:rsidRPr="0004733C">
        <w:rPr>
          <w:rFonts w:eastAsia="Calibri" w:cs="Tahoma"/>
          <w:szCs w:val="24"/>
        </w:rPr>
        <w:t>Régimen de Prima Media con Prestación Definida, hoy administrado por COLPENSIONES.</w:t>
      </w:r>
      <w:r w:rsidRPr="0004733C">
        <w:rPr>
          <w:rFonts w:eastAsia="Calibri" w:cs="Tahoma"/>
          <w:szCs w:val="24"/>
          <w:lang w:val="es-ES"/>
        </w:rPr>
        <w:t xml:space="preserve"> Por último, </w:t>
      </w:r>
      <w:r w:rsidR="001E27ED" w:rsidRPr="0004733C">
        <w:rPr>
          <w:rFonts w:eastAsia="Calibri" w:cs="Tahoma"/>
          <w:szCs w:val="24"/>
          <w:lang w:val="es-ES"/>
        </w:rPr>
        <w:t xml:space="preserve">pide </w:t>
      </w:r>
      <w:r w:rsidRPr="0004733C">
        <w:rPr>
          <w:rFonts w:eastAsia="Calibri" w:cs="Tahoma"/>
          <w:szCs w:val="24"/>
          <w:lang w:val="es-ES"/>
        </w:rPr>
        <w:t>que se condene a las costas procesales correspondientes.</w:t>
      </w:r>
    </w:p>
    <w:p w14:paraId="7597FB6A" w14:textId="77777777" w:rsidR="00D805CC" w:rsidRPr="0004733C" w:rsidRDefault="00D805CC" w:rsidP="0004733C">
      <w:pPr>
        <w:spacing w:line="276" w:lineRule="auto"/>
        <w:rPr>
          <w:rFonts w:eastAsia="Calibri" w:cs="Tahoma"/>
          <w:szCs w:val="24"/>
          <w:lang w:val="es-ES"/>
        </w:rPr>
      </w:pPr>
    </w:p>
    <w:p w14:paraId="629518C0" w14:textId="77777777" w:rsidR="00D805CC" w:rsidRPr="0004733C" w:rsidRDefault="00D805CC" w:rsidP="0004733C">
      <w:pPr>
        <w:spacing w:line="276" w:lineRule="auto"/>
        <w:ind w:firstLine="708"/>
        <w:rPr>
          <w:rFonts w:eastAsia="Calibri" w:cs="Tahoma"/>
          <w:szCs w:val="24"/>
          <w:lang w:val="es-ES"/>
        </w:rPr>
      </w:pPr>
      <w:r w:rsidRPr="0004733C">
        <w:rPr>
          <w:rFonts w:eastAsia="Calibri" w:cs="Tahoma"/>
          <w:szCs w:val="24"/>
          <w:lang w:val="es-ES"/>
        </w:rPr>
        <w:t>Para fundar dichas pretensiones</w:t>
      </w:r>
      <w:r w:rsidR="00913B24" w:rsidRPr="0004733C">
        <w:rPr>
          <w:rFonts w:eastAsia="Calibri" w:cs="Tahoma"/>
          <w:szCs w:val="24"/>
          <w:lang w:val="es-ES"/>
        </w:rPr>
        <w:t>,</w:t>
      </w:r>
      <w:r w:rsidRPr="0004733C">
        <w:rPr>
          <w:rFonts w:eastAsia="Calibri" w:cs="Tahoma"/>
          <w:szCs w:val="24"/>
          <w:lang w:val="es-ES"/>
        </w:rPr>
        <w:t xml:space="preserve"> manifiesta que e</w:t>
      </w:r>
      <w:r w:rsidR="00913B24" w:rsidRPr="0004733C">
        <w:rPr>
          <w:rFonts w:eastAsia="Calibri" w:cs="Tahoma"/>
          <w:szCs w:val="24"/>
          <w:lang w:val="es-ES"/>
        </w:rPr>
        <w:t>n</w:t>
      </w:r>
      <w:r w:rsidR="00B257F9" w:rsidRPr="0004733C">
        <w:rPr>
          <w:rFonts w:eastAsia="Calibri" w:cs="Tahoma"/>
          <w:szCs w:val="24"/>
          <w:lang w:val="es-ES"/>
        </w:rPr>
        <w:t xml:space="preserve"> el mes de</w:t>
      </w:r>
      <w:r w:rsidR="001E27ED" w:rsidRPr="0004733C">
        <w:rPr>
          <w:rFonts w:eastAsia="Calibri" w:cs="Tahoma"/>
          <w:szCs w:val="24"/>
          <w:lang w:val="es-ES"/>
        </w:rPr>
        <w:t xml:space="preserve"> </w:t>
      </w:r>
      <w:r w:rsidR="00913B24" w:rsidRPr="0004733C">
        <w:rPr>
          <w:rFonts w:eastAsia="Calibri" w:cs="Tahoma"/>
          <w:szCs w:val="24"/>
          <w:lang w:val="es-ES"/>
        </w:rPr>
        <w:t>septiembre</w:t>
      </w:r>
      <w:r w:rsidR="001E27ED" w:rsidRPr="0004733C">
        <w:rPr>
          <w:rFonts w:eastAsia="Calibri" w:cs="Tahoma"/>
          <w:szCs w:val="24"/>
          <w:lang w:val="es-ES"/>
        </w:rPr>
        <w:t xml:space="preserve"> de 19</w:t>
      </w:r>
      <w:r w:rsidR="3FD207B6" w:rsidRPr="0004733C">
        <w:rPr>
          <w:rFonts w:eastAsia="Calibri" w:cs="Tahoma"/>
          <w:szCs w:val="24"/>
          <w:lang w:val="es-ES"/>
        </w:rPr>
        <w:t>87</w:t>
      </w:r>
      <w:r w:rsidR="001E27ED" w:rsidRPr="0004733C">
        <w:rPr>
          <w:rFonts w:eastAsia="Calibri" w:cs="Tahoma"/>
          <w:szCs w:val="24"/>
          <w:lang w:val="es-ES"/>
        </w:rPr>
        <w:t xml:space="preserve"> </w:t>
      </w:r>
      <w:r w:rsidRPr="0004733C">
        <w:rPr>
          <w:rFonts w:eastAsia="Calibri" w:cs="Tahoma"/>
          <w:szCs w:val="24"/>
          <w:lang w:val="es-ES"/>
        </w:rPr>
        <w:t xml:space="preserve">se vinculó al </w:t>
      </w:r>
      <w:r w:rsidR="00913B24" w:rsidRPr="0004733C">
        <w:rPr>
          <w:rFonts w:eastAsia="Calibri" w:cs="Tahoma"/>
          <w:szCs w:val="24"/>
          <w:lang w:val="es-ES"/>
        </w:rPr>
        <w:t>R</w:t>
      </w:r>
      <w:r w:rsidRPr="0004733C">
        <w:rPr>
          <w:rFonts w:eastAsia="Calibri" w:cs="Tahoma"/>
          <w:szCs w:val="24"/>
          <w:lang w:val="es-ES"/>
        </w:rPr>
        <w:t xml:space="preserve">égimen de </w:t>
      </w:r>
      <w:r w:rsidR="00913B24" w:rsidRPr="0004733C">
        <w:rPr>
          <w:rFonts w:eastAsia="Calibri" w:cs="Tahoma"/>
          <w:szCs w:val="24"/>
          <w:lang w:val="es-ES"/>
        </w:rPr>
        <w:t>P</w:t>
      </w:r>
      <w:r w:rsidRPr="0004733C">
        <w:rPr>
          <w:rFonts w:eastAsia="Calibri" w:cs="Tahoma"/>
          <w:szCs w:val="24"/>
          <w:lang w:val="es-ES"/>
        </w:rPr>
        <w:t xml:space="preserve">rima </w:t>
      </w:r>
      <w:r w:rsidR="00913B24" w:rsidRPr="0004733C">
        <w:rPr>
          <w:rFonts w:eastAsia="Calibri" w:cs="Tahoma"/>
          <w:szCs w:val="24"/>
          <w:lang w:val="es-ES"/>
        </w:rPr>
        <w:t>M</w:t>
      </w:r>
      <w:r w:rsidRPr="0004733C">
        <w:rPr>
          <w:rFonts w:eastAsia="Calibri" w:cs="Tahoma"/>
          <w:szCs w:val="24"/>
          <w:lang w:val="es-ES"/>
        </w:rPr>
        <w:t xml:space="preserve">edia con </w:t>
      </w:r>
      <w:r w:rsidR="00913B24" w:rsidRPr="0004733C">
        <w:rPr>
          <w:rFonts w:eastAsia="Calibri" w:cs="Tahoma"/>
          <w:szCs w:val="24"/>
          <w:lang w:val="es-ES"/>
        </w:rPr>
        <w:t>P</w:t>
      </w:r>
      <w:r w:rsidRPr="0004733C">
        <w:rPr>
          <w:rFonts w:eastAsia="Calibri" w:cs="Tahoma"/>
          <w:szCs w:val="24"/>
          <w:lang w:val="es-ES"/>
        </w:rPr>
        <w:t xml:space="preserve">restación </w:t>
      </w:r>
      <w:r w:rsidR="00913B24" w:rsidRPr="0004733C">
        <w:rPr>
          <w:rFonts w:eastAsia="Calibri" w:cs="Tahoma"/>
          <w:szCs w:val="24"/>
          <w:lang w:val="es-ES"/>
        </w:rPr>
        <w:t>D</w:t>
      </w:r>
      <w:r w:rsidRPr="0004733C">
        <w:rPr>
          <w:rFonts w:eastAsia="Calibri" w:cs="Tahoma"/>
          <w:szCs w:val="24"/>
          <w:lang w:val="es-ES"/>
        </w:rPr>
        <w:t>efinida</w:t>
      </w:r>
      <w:r w:rsidR="00913B24" w:rsidRPr="0004733C">
        <w:rPr>
          <w:rFonts w:eastAsia="Calibri" w:cs="Tahoma"/>
          <w:szCs w:val="24"/>
          <w:lang w:val="es-ES"/>
        </w:rPr>
        <w:t>, administrado en aquel entonces por el INSTITUTO DE SEGUROS SOCIALES; que</w:t>
      </w:r>
      <w:r w:rsidRPr="0004733C">
        <w:rPr>
          <w:rFonts w:eastAsia="Calibri" w:cs="Tahoma"/>
          <w:szCs w:val="24"/>
          <w:lang w:val="es-ES"/>
        </w:rPr>
        <w:t xml:space="preserve"> el </w:t>
      </w:r>
      <w:r w:rsidR="001E27ED" w:rsidRPr="0004733C">
        <w:rPr>
          <w:rFonts w:eastAsia="Calibri" w:cs="Tahoma"/>
          <w:szCs w:val="24"/>
          <w:lang w:val="es-ES"/>
        </w:rPr>
        <w:t>2</w:t>
      </w:r>
      <w:r w:rsidR="00913B24" w:rsidRPr="0004733C">
        <w:rPr>
          <w:rFonts w:eastAsia="Calibri" w:cs="Tahoma"/>
          <w:szCs w:val="24"/>
          <w:lang w:val="es-ES"/>
        </w:rPr>
        <w:t>5</w:t>
      </w:r>
      <w:r w:rsidR="001E27ED" w:rsidRPr="0004733C">
        <w:rPr>
          <w:rFonts w:eastAsia="Calibri" w:cs="Tahoma"/>
          <w:szCs w:val="24"/>
          <w:lang w:val="es-ES"/>
        </w:rPr>
        <w:t xml:space="preserve"> de </w:t>
      </w:r>
      <w:r w:rsidR="00913B24" w:rsidRPr="0004733C">
        <w:rPr>
          <w:rFonts w:eastAsia="Calibri" w:cs="Tahoma"/>
          <w:szCs w:val="24"/>
          <w:lang w:val="es-ES"/>
        </w:rPr>
        <w:t>julio</w:t>
      </w:r>
      <w:r w:rsidR="001E27ED" w:rsidRPr="0004733C">
        <w:rPr>
          <w:rFonts w:eastAsia="Calibri" w:cs="Tahoma"/>
          <w:szCs w:val="24"/>
          <w:lang w:val="es-ES"/>
        </w:rPr>
        <w:t xml:space="preserve"> de 1994</w:t>
      </w:r>
      <w:r w:rsidRPr="0004733C">
        <w:rPr>
          <w:rFonts w:eastAsia="Calibri" w:cs="Tahoma"/>
          <w:szCs w:val="24"/>
          <w:lang w:val="es-ES"/>
        </w:rPr>
        <w:t xml:space="preserve"> suscribió formulario de vinculación pensional con la AFP</w:t>
      </w:r>
      <w:r w:rsidR="00B257F9" w:rsidRPr="0004733C">
        <w:rPr>
          <w:rFonts w:eastAsia="Calibri" w:cs="Tahoma"/>
          <w:szCs w:val="24"/>
          <w:lang w:val="es-ES"/>
        </w:rPr>
        <w:t xml:space="preserve"> COLPATRIA</w:t>
      </w:r>
      <w:r w:rsidRPr="0004733C">
        <w:rPr>
          <w:rFonts w:eastAsia="Calibri" w:cs="Tahoma"/>
          <w:szCs w:val="24"/>
          <w:lang w:val="es-ES"/>
        </w:rPr>
        <w:t xml:space="preserve"> S.A.</w:t>
      </w:r>
      <w:r w:rsidR="00B257F9" w:rsidRPr="0004733C">
        <w:rPr>
          <w:rFonts w:eastAsia="Calibri" w:cs="Tahoma"/>
          <w:szCs w:val="24"/>
          <w:lang w:val="es-ES"/>
        </w:rPr>
        <w:t xml:space="preserve"> (hoy PORVENIR S.A.)</w:t>
      </w:r>
      <w:r w:rsidRPr="0004733C">
        <w:rPr>
          <w:rFonts w:eastAsia="Calibri" w:cs="Tahoma"/>
          <w:szCs w:val="24"/>
          <w:lang w:val="es-ES"/>
        </w:rPr>
        <w:t xml:space="preserve">, a través del cual se trasladó al </w:t>
      </w:r>
      <w:r w:rsidR="00B257F9" w:rsidRPr="0004733C">
        <w:rPr>
          <w:rFonts w:eastAsia="Calibri" w:cs="Tahoma"/>
          <w:szCs w:val="24"/>
        </w:rPr>
        <w:t>Régimen de Ahorro Individual con Solidaridad (RAIS)</w:t>
      </w:r>
    </w:p>
    <w:p w14:paraId="0CE378B6" w14:textId="77777777" w:rsidR="00D805CC" w:rsidRPr="0004733C" w:rsidRDefault="00D805CC" w:rsidP="0004733C">
      <w:pPr>
        <w:spacing w:line="276" w:lineRule="auto"/>
        <w:rPr>
          <w:rFonts w:eastAsia="Calibri" w:cs="Tahoma"/>
          <w:szCs w:val="24"/>
          <w:lang w:val="es-ES"/>
        </w:rPr>
      </w:pPr>
    </w:p>
    <w:p w14:paraId="0D9A945E" w14:textId="77777777" w:rsidR="00D805CC" w:rsidRPr="0004733C" w:rsidRDefault="00D805CC" w:rsidP="0004733C">
      <w:pPr>
        <w:spacing w:line="276" w:lineRule="auto"/>
        <w:ind w:firstLine="708"/>
        <w:rPr>
          <w:rFonts w:eastAsia="Calibri" w:cs="Tahoma"/>
          <w:szCs w:val="24"/>
          <w:lang w:val="es-ES"/>
        </w:rPr>
      </w:pPr>
      <w:r w:rsidRPr="0004733C">
        <w:rPr>
          <w:rFonts w:eastAsia="Calibri" w:cs="Tahoma"/>
          <w:szCs w:val="24"/>
          <w:lang w:val="es-ES"/>
        </w:rPr>
        <w:t>Asegura que el asesor que gestionó su traslado no le brindó información acerca de las implicaciones que tendría el cambiarse de régimen</w:t>
      </w:r>
      <w:r w:rsidR="00B257F9" w:rsidRPr="0004733C">
        <w:rPr>
          <w:rFonts w:eastAsia="Calibri" w:cs="Tahoma"/>
          <w:szCs w:val="24"/>
          <w:lang w:val="es-ES"/>
        </w:rPr>
        <w:t>, le dijo que su mesada sería más alta si se pensionaba con el RAIS, que tendría derecho a la devolución de saldos, incluido el valor del bono, si no quisiera recibir la pensión</w:t>
      </w:r>
      <w:r w:rsidR="006229F4" w:rsidRPr="0004733C">
        <w:rPr>
          <w:rFonts w:eastAsia="Calibri" w:cs="Tahoma"/>
          <w:szCs w:val="24"/>
          <w:lang w:val="es-ES"/>
        </w:rPr>
        <w:t xml:space="preserve">. </w:t>
      </w:r>
      <w:r w:rsidRPr="0004733C">
        <w:rPr>
          <w:rFonts w:eastAsia="Calibri" w:cs="Tahoma"/>
          <w:szCs w:val="24"/>
          <w:lang w:val="es-ES"/>
        </w:rPr>
        <w:t>Sostiene</w:t>
      </w:r>
      <w:r w:rsidR="006229F4" w:rsidRPr="0004733C">
        <w:rPr>
          <w:rFonts w:eastAsia="Calibri" w:cs="Tahoma"/>
          <w:szCs w:val="24"/>
          <w:lang w:val="es-ES"/>
        </w:rPr>
        <w:t>, finalmente,</w:t>
      </w:r>
      <w:r w:rsidRPr="0004733C">
        <w:rPr>
          <w:rFonts w:eastAsia="Calibri" w:cs="Tahoma"/>
          <w:szCs w:val="24"/>
          <w:lang w:val="es-ES"/>
        </w:rPr>
        <w:t xml:space="preserve"> que el </w:t>
      </w:r>
      <w:r w:rsidR="006229F4" w:rsidRPr="0004733C">
        <w:rPr>
          <w:rFonts w:eastAsia="Calibri" w:cs="Tahoma"/>
          <w:szCs w:val="24"/>
          <w:lang w:val="es-ES"/>
        </w:rPr>
        <w:t>24</w:t>
      </w:r>
      <w:r w:rsidRPr="0004733C">
        <w:rPr>
          <w:rFonts w:eastAsia="Calibri" w:cs="Tahoma"/>
          <w:szCs w:val="24"/>
          <w:lang w:val="es-ES"/>
        </w:rPr>
        <w:t xml:space="preserve"> de </w:t>
      </w:r>
      <w:r w:rsidR="006229F4" w:rsidRPr="0004733C">
        <w:rPr>
          <w:rFonts w:eastAsia="Calibri" w:cs="Tahoma"/>
          <w:szCs w:val="24"/>
          <w:lang w:val="es-ES"/>
        </w:rPr>
        <w:t>julio</w:t>
      </w:r>
      <w:r w:rsidR="001E27ED" w:rsidRPr="0004733C">
        <w:rPr>
          <w:rFonts w:eastAsia="Calibri" w:cs="Tahoma"/>
          <w:szCs w:val="24"/>
          <w:lang w:val="es-ES"/>
        </w:rPr>
        <w:t xml:space="preserve"> de 2020</w:t>
      </w:r>
      <w:r w:rsidR="006229F4" w:rsidRPr="0004733C">
        <w:rPr>
          <w:rFonts w:eastAsia="Calibri" w:cs="Tahoma"/>
          <w:szCs w:val="24"/>
          <w:lang w:val="es-ES"/>
        </w:rPr>
        <w:t>, la codemandada</w:t>
      </w:r>
      <w:r w:rsidRPr="0004733C">
        <w:rPr>
          <w:rFonts w:eastAsia="Calibri" w:cs="Tahoma"/>
          <w:szCs w:val="24"/>
          <w:lang w:val="es-ES"/>
        </w:rPr>
        <w:t xml:space="preserve"> Colpensiones le negó la solicitud de traslado de régimen</w:t>
      </w:r>
      <w:r w:rsidR="006229F4" w:rsidRPr="0004733C">
        <w:rPr>
          <w:rFonts w:eastAsia="Calibri" w:cs="Tahoma"/>
          <w:szCs w:val="24"/>
          <w:lang w:val="es-ES"/>
        </w:rPr>
        <w:t>, con el argumento de que</w:t>
      </w:r>
      <w:r w:rsidRPr="0004733C">
        <w:rPr>
          <w:rFonts w:eastAsia="Calibri" w:cs="Tahoma"/>
          <w:szCs w:val="24"/>
          <w:lang w:val="es-ES"/>
        </w:rPr>
        <w:t xml:space="preserve"> le faltaba menos de 10 años para pensionarse.</w:t>
      </w:r>
    </w:p>
    <w:p w14:paraId="7E3AA11A" w14:textId="77777777" w:rsidR="00D805CC" w:rsidRPr="0004733C" w:rsidRDefault="00D805CC" w:rsidP="0004733C">
      <w:pPr>
        <w:spacing w:line="276" w:lineRule="auto"/>
        <w:rPr>
          <w:rFonts w:eastAsia="Calibri" w:cs="Tahoma"/>
          <w:szCs w:val="24"/>
          <w:lang w:val="es-ES"/>
        </w:rPr>
      </w:pPr>
    </w:p>
    <w:p w14:paraId="2A43632C" w14:textId="77777777" w:rsidR="000650FA" w:rsidRPr="0004733C" w:rsidRDefault="00504A57" w:rsidP="0004733C">
      <w:pPr>
        <w:spacing w:line="276" w:lineRule="auto"/>
        <w:rPr>
          <w:rFonts w:eastAsia="Calibri" w:cs="Tahoma"/>
          <w:szCs w:val="24"/>
        </w:rPr>
      </w:pPr>
      <w:r w:rsidRPr="0004733C">
        <w:rPr>
          <w:rFonts w:eastAsia="Calibri" w:cs="Tahoma"/>
          <w:szCs w:val="24"/>
        </w:rPr>
        <w:tab/>
        <w:t xml:space="preserve">La </w:t>
      </w:r>
      <w:r w:rsidRPr="0004733C">
        <w:rPr>
          <w:rFonts w:eastAsia="Calibri" w:cs="Tahoma"/>
          <w:b/>
          <w:bCs/>
          <w:szCs w:val="24"/>
        </w:rPr>
        <w:t>SOCIEDAD ADMINISTRADORA DE FONDOS DE PENSIONES Y CESANTÍAS PORVENIR S.A.</w:t>
      </w:r>
      <w:r w:rsidRPr="0004733C">
        <w:rPr>
          <w:rFonts w:eastAsia="Calibri" w:cs="Tahoma"/>
          <w:szCs w:val="24"/>
        </w:rPr>
        <w:t xml:space="preserve"> -en adelante PORVENIR- </w:t>
      </w:r>
      <w:r w:rsidR="0090516E" w:rsidRPr="0004733C">
        <w:rPr>
          <w:rFonts w:eastAsia="Calibri" w:cs="Tahoma"/>
          <w:szCs w:val="24"/>
        </w:rPr>
        <w:t xml:space="preserve">señaló que la AFP COLPATRIA, primera administradora del RAIS en la que el demandante estuvo </w:t>
      </w:r>
      <w:r w:rsidR="00857B33" w:rsidRPr="0004733C">
        <w:rPr>
          <w:rFonts w:eastAsia="Calibri" w:cs="Tahoma"/>
          <w:szCs w:val="24"/>
        </w:rPr>
        <w:t xml:space="preserve">afiliado, le dio en su momento información cierta, veraz y oportuna acerca de las características propias del RAIS, sus diferencias frente al RPM y las consecuencias derivadas del traslado de régimen y con base en esa información, el demandante, de forma libre, espontánea y sin presiones, tomó la decisión de trasladarse de régimen. </w:t>
      </w:r>
      <w:r w:rsidR="00DB3081" w:rsidRPr="0004733C">
        <w:rPr>
          <w:rFonts w:eastAsia="Calibri" w:cs="Tahoma"/>
          <w:szCs w:val="24"/>
        </w:rPr>
        <w:t xml:space="preserve">Por tal motivo se opuso a la prosperidad de las pretensiones y propuso como excepciones las </w:t>
      </w:r>
      <w:r w:rsidR="00DB3081" w:rsidRPr="0004733C">
        <w:rPr>
          <w:rFonts w:eastAsia="Calibri" w:cs="Tahoma"/>
          <w:szCs w:val="24"/>
        </w:rPr>
        <w:lastRenderedPageBreak/>
        <w:t xml:space="preserve">denominadas: </w:t>
      </w:r>
      <w:r w:rsidR="00181214" w:rsidRPr="0004733C">
        <w:rPr>
          <w:rFonts w:eastAsia="Calibri" w:cs="Tahoma"/>
          <w:szCs w:val="24"/>
        </w:rPr>
        <w:t>“</w:t>
      </w:r>
      <w:r w:rsidR="00DB3081" w:rsidRPr="0004733C">
        <w:rPr>
          <w:rFonts w:eastAsia="Calibri" w:cs="Tahoma"/>
          <w:i/>
          <w:iCs/>
          <w:szCs w:val="24"/>
        </w:rPr>
        <w:t>validez y eficacia de la afiliación al RAIS e inexistencia de vicios en el consentimiento</w:t>
      </w:r>
      <w:r w:rsidR="00470DFB" w:rsidRPr="0004733C">
        <w:rPr>
          <w:rFonts w:eastAsia="Calibri" w:cs="Tahoma"/>
          <w:i/>
          <w:iCs/>
          <w:szCs w:val="24"/>
        </w:rPr>
        <w:t>;</w:t>
      </w:r>
      <w:r w:rsidR="00DB3081" w:rsidRPr="0004733C">
        <w:rPr>
          <w:rFonts w:eastAsia="Calibri" w:cs="Tahoma"/>
          <w:i/>
          <w:iCs/>
          <w:szCs w:val="24"/>
        </w:rPr>
        <w:t xml:space="preserve"> saneamiento de la eventual nulidad relativa</w:t>
      </w:r>
      <w:r w:rsidR="00470DFB" w:rsidRPr="0004733C">
        <w:rPr>
          <w:rFonts w:eastAsia="Calibri" w:cs="Tahoma"/>
          <w:i/>
          <w:iCs/>
          <w:szCs w:val="24"/>
        </w:rPr>
        <w:t>;</w:t>
      </w:r>
      <w:r w:rsidR="00DB3081" w:rsidRPr="0004733C">
        <w:rPr>
          <w:rFonts w:eastAsia="Calibri" w:cs="Tahoma"/>
          <w:i/>
          <w:iCs/>
          <w:szCs w:val="24"/>
        </w:rPr>
        <w:t xml:space="preserve"> inexistencia de la obligación de devolver la comisión de administración, en caso de que se declare la nulidad o ineficacia de la afiliación al RAIS</w:t>
      </w:r>
      <w:r w:rsidR="00470DFB" w:rsidRPr="0004733C">
        <w:rPr>
          <w:rFonts w:eastAsia="Calibri" w:cs="Tahoma"/>
          <w:i/>
          <w:iCs/>
          <w:szCs w:val="24"/>
        </w:rPr>
        <w:t>;</w:t>
      </w:r>
      <w:r w:rsidR="00DB3081" w:rsidRPr="0004733C">
        <w:rPr>
          <w:rFonts w:eastAsia="Calibri" w:cs="Tahoma"/>
          <w:i/>
          <w:iCs/>
          <w:szCs w:val="24"/>
        </w:rPr>
        <w:t xml:space="preserve"> inexistencia de la obligación de devolver el pago al seguro previsional cuando se declara la nulidad o ineficacia de la afiliación, pago, compensación</w:t>
      </w:r>
      <w:r w:rsidR="00470DFB" w:rsidRPr="0004733C">
        <w:rPr>
          <w:rFonts w:eastAsia="Calibri" w:cs="Tahoma"/>
          <w:i/>
          <w:iCs/>
          <w:szCs w:val="24"/>
        </w:rPr>
        <w:t xml:space="preserve">, </w:t>
      </w:r>
      <w:r w:rsidR="00DB3081" w:rsidRPr="0004733C">
        <w:rPr>
          <w:rFonts w:eastAsia="Calibri" w:cs="Tahoma"/>
          <w:i/>
          <w:iCs/>
          <w:szCs w:val="24"/>
        </w:rPr>
        <w:t>prescripción</w:t>
      </w:r>
      <w:r w:rsidR="00470DFB" w:rsidRPr="0004733C">
        <w:rPr>
          <w:rFonts w:eastAsia="Calibri" w:cs="Tahoma"/>
          <w:i/>
          <w:iCs/>
          <w:szCs w:val="24"/>
        </w:rPr>
        <w:t xml:space="preserve"> y buena fe</w:t>
      </w:r>
      <w:r w:rsidR="00181214" w:rsidRPr="0004733C">
        <w:rPr>
          <w:rFonts w:eastAsia="Calibri" w:cs="Tahoma"/>
          <w:i/>
          <w:iCs/>
          <w:szCs w:val="24"/>
        </w:rPr>
        <w:t>”</w:t>
      </w:r>
      <w:r w:rsidR="00470DFB" w:rsidRPr="0004733C">
        <w:rPr>
          <w:rFonts w:eastAsia="Calibri" w:cs="Tahoma"/>
          <w:i/>
          <w:iCs/>
          <w:szCs w:val="24"/>
        </w:rPr>
        <w:t>.</w:t>
      </w:r>
      <w:r w:rsidRPr="0004733C">
        <w:rPr>
          <w:rFonts w:eastAsia="Calibri" w:cs="Tahoma"/>
          <w:szCs w:val="24"/>
        </w:rPr>
        <w:t xml:space="preserve"> </w:t>
      </w:r>
    </w:p>
    <w:p w14:paraId="76406B38" w14:textId="77777777" w:rsidR="00504A57" w:rsidRPr="0004733C" w:rsidRDefault="00D805CC" w:rsidP="0004733C">
      <w:pPr>
        <w:spacing w:line="276" w:lineRule="auto"/>
        <w:rPr>
          <w:rFonts w:eastAsia="Calibri" w:cs="Tahoma"/>
          <w:szCs w:val="24"/>
        </w:rPr>
      </w:pPr>
      <w:r w:rsidRPr="0004733C">
        <w:rPr>
          <w:rFonts w:eastAsia="Calibri" w:cs="Tahoma"/>
          <w:szCs w:val="24"/>
        </w:rPr>
        <w:tab/>
      </w:r>
    </w:p>
    <w:p w14:paraId="205E3430" w14:textId="77777777" w:rsidR="00181214" w:rsidRPr="0004733C" w:rsidRDefault="00750729" w:rsidP="0004733C">
      <w:pPr>
        <w:spacing w:line="276" w:lineRule="auto"/>
        <w:ind w:firstLine="708"/>
        <w:rPr>
          <w:rFonts w:eastAsia="Calibri" w:cs="Tahoma"/>
          <w:szCs w:val="24"/>
        </w:rPr>
      </w:pPr>
      <w:r w:rsidRPr="0004733C">
        <w:rPr>
          <w:rFonts w:eastAsia="Calibri" w:cs="Tahoma"/>
          <w:b/>
          <w:szCs w:val="24"/>
        </w:rPr>
        <w:t>COLFONDOS S.A. PENSIONES Y CESANTÍAS</w:t>
      </w:r>
      <w:r w:rsidRPr="0004733C">
        <w:rPr>
          <w:rFonts w:eastAsia="Calibri" w:cs="Tahoma"/>
          <w:szCs w:val="24"/>
        </w:rPr>
        <w:t>, señaló que no le consta ningún hecho relacionado con primer traslado de régimen del actor, por cuanto se refiere a una situación fáctica de la demandante ante terceros ajenos a la AFP</w:t>
      </w:r>
      <w:r w:rsidR="0012390D" w:rsidRPr="0004733C">
        <w:rPr>
          <w:rFonts w:eastAsia="Calibri" w:cs="Tahoma"/>
          <w:szCs w:val="24"/>
        </w:rPr>
        <w:t xml:space="preserve"> COLFONDOS, por tanto</w:t>
      </w:r>
      <w:r w:rsidR="0459512A" w:rsidRPr="0004733C">
        <w:rPr>
          <w:rFonts w:eastAsia="Calibri" w:cs="Tahoma"/>
          <w:szCs w:val="24"/>
        </w:rPr>
        <w:t>,</w:t>
      </w:r>
      <w:r w:rsidR="0012390D" w:rsidRPr="0004733C">
        <w:rPr>
          <w:rFonts w:eastAsia="Calibri" w:cs="Tahoma"/>
          <w:szCs w:val="24"/>
        </w:rPr>
        <w:t xml:space="preserve"> debe ser COLPATRIA (HOY PORVENIR) la única legitimada en causa para pronunciarse de fondo sobre este hecho. Se opuso a la prosperidad de las pretensiones y propuso como excepciones las denominadas:</w:t>
      </w:r>
      <w:r w:rsidR="001E683F" w:rsidRPr="0004733C">
        <w:rPr>
          <w:rFonts w:eastAsia="Calibri" w:cs="Tahoma"/>
          <w:szCs w:val="24"/>
        </w:rPr>
        <w:t xml:space="preserve"> </w:t>
      </w:r>
      <w:r w:rsidR="00181214" w:rsidRPr="0004733C">
        <w:rPr>
          <w:rFonts w:eastAsia="Calibri" w:cs="Tahoma"/>
          <w:i/>
          <w:szCs w:val="24"/>
        </w:rPr>
        <w:t>“</w:t>
      </w:r>
      <w:r w:rsidR="001E683F" w:rsidRPr="0004733C">
        <w:rPr>
          <w:rFonts w:eastAsia="Calibri" w:cs="Tahoma"/>
          <w:i/>
          <w:szCs w:val="24"/>
        </w:rPr>
        <w:t>inexistencia de la obligación, falta de legitimación en la causa por pasiva, buena fe, innominada o genérica, ausencia de vicios del consentimiento, validez de la afiliación al régimen de Ahorro Individual con Solidaridad, ratificación de la afiliación de la actora al fondo de pensiones obligatorias administrado por COLFONDOS S.A., prescripción de la acción para solicitar la nulidad de traslado, compensación y pago</w:t>
      </w:r>
      <w:r w:rsidR="00181214" w:rsidRPr="0004733C">
        <w:rPr>
          <w:rFonts w:eastAsia="Calibri" w:cs="Tahoma"/>
          <w:i/>
          <w:szCs w:val="24"/>
        </w:rPr>
        <w:t>”</w:t>
      </w:r>
      <w:r w:rsidR="00181214" w:rsidRPr="0004733C">
        <w:rPr>
          <w:rFonts w:eastAsia="Calibri" w:cs="Tahoma"/>
          <w:szCs w:val="24"/>
        </w:rPr>
        <w:t>.</w:t>
      </w:r>
    </w:p>
    <w:p w14:paraId="5904DE31" w14:textId="77777777" w:rsidR="00181214" w:rsidRPr="0004733C" w:rsidRDefault="00181214" w:rsidP="0004733C">
      <w:pPr>
        <w:spacing w:line="276" w:lineRule="auto"/>
        <w:ind w:firstLine="708"/>
        <w:rPr>
          <w:rFonts w:eastAsia="Calibri" w:cs="Tahoma"/>
          <w:szCs w:val="24"/>
        </w:rPr>
      </w:pPr>
    </w:p>
    <w:p w14:paraId="2ACCE5F4" w14:textId="77777777" w:rsidR="00D805CC" w:rsidRPr="0004733C" w:rsidRDefault="00181214" w:rsidP="0004733C">
      <w:pPr>
        <w:spacing w:line="276" w:lineRule="auto"/>
        <w:ind w:firstLine="708"/>
        <w:rPr>
          <w:rFonts w:eastAsia="Calibri" w:cs="Tahoma"/>
          <w:szCs w:val="24"/>
        </w:rPr>
      </w:pPr>
      <w:r w:rsidRPr="0004733C">
        <w:rPr>
          <w:rFonts w:eastAsia="Calibri" w:cs="Tahoma"/>
          <w:szCs w:val="24"/>
        </w:rPr>
        <w:t xml:space="preserve">Finalmente, </w:t>
      </w:r>
      <w:r w:rsidR="006229F4" w:rsidRPr="0004733C">
        <w:rPr>
          <w:rFonts w:eastAsia="Calibri" w:cs="Tahoma"/>
          <w:bCs/>
          <w:szCs w:val="24"/>
        </w:rPr>
        <w:t>La</w:t>
      </w:r>
      <w:r w:rsidR="006229F4" w:rsidRPr="0004733C">
        <w:rPr>
          <w:rFonts w:eastAsia="Calibri" w:cs="Tahoma"/>
          <w:b/>
          <w:szCs w:val="24"/>
        </w:rPr>
        <w:t xml:space="preserve"> ADMINISTRADORA COLOMBIANA DE PENSIONES -COLPENSIONES-</w:t>
      </w:r>
      <w:r w:rsidR="00D805CC" w:rsidRPr="0004733C">
        <w:rPr>
          <w:rFonts w:eastAsia="Calibri" w:cs="Tahoma"/>
          <w:szCs w:val="24"/>
        </w:rPr>
        <w:t xml:space="preserve"> solicitó que </w:t>
      </w:r>
      <w:r w:rsidR="001F38B6" w:rsidRPr="0004733C">
        <w:rPr>
          <w:rFonts w:eastAsia="Calibri" w:cs="Tahoma"/>
          <w:szCs w:val="24"/>
        </w:rPr>
        <w:t xml:space="preserve">se </w:t>
      </w:r>
      <w:r w:rsidR="00D805CC" w:rsidRPr="0004733C">
        <w:rPr>
          <w:rFonts w:eastAsia="Calibri" w:cs="Tahoma"/>
          <w:szCs w:val="24"/>
        </w:rPr>
        <w:t>negaran los pedidos de</w:t>
      </w:r>
      <w:r w:rsidR="001E27ED" w:rsidRPr="0004733C">
        <w:rPr>
          <w:rFonts w:eastAsia="Calibri" w:cs="Tahoma"/>
          <w:szCs w:val="24"/>
        </w:rPr>
        <w:t xml:space="preserve"> </w:t>
      </w:r>
      <w:r w:rsidR="00D805CC" w:rsidRPr="0004733C">
        <w:rPr>
          <w:rFonts w:eastAsia="Calibri" w:cs="Tahoma"/>
          <w:szCs w:val="24"/>
        </w:rPr>
        <w:t>l</w:t>
      </w:r>
      <w:r w:rsidR="001E27ED" w:rsidRPr="0004733C">
        <w:rPr>
          <w:rFonts w:eastAsia="Calibri" w:cs="Tahoma"/>
          <w:szCs w:val="24"/>
        </w:rPr>
        <w:t>a</w:t>
      </w:r>
      <w:r w:rsidR="00D805CC" w:rsidRPr="0004733C">
        <w:rPr>
          <w:rFonts w:eastAsia="Calibri" w:cs="Tahoma"/>
          <w:szCs w:val="24"/>
        </w:rPr>
        <w:t xml:space="preserve"> </w:t>
      </w:r>
      <w:r w:rsidR="00F942FC" w:rsidRPr="0004733C">
        <w:rPr>
          <w:rFonts w:eastAsia="Calibri" w:cs="Tahoma"/>
          <w:szCs w:val="24"/>
        </w:rPr>
        <w:t xml:space="preserve">parte </w:t>
      </w:r>
      <w:r w:rsidR="00D805CC" w:rsidRPr="0004733C">
        <w:rPr>
          <w:rFonts w:eastAsia="Calibri" w:cs="Tahoma"/>
          <w:szCs w:val="24"/>
        </w:rPr>
        <w:t>actor</w:t>
      </w:r>
      <w:r w:rsidR="001E27ED" w:rsidRPr="0004733C">
        <w:rPr>
          <w:rFonts w:eastAsia="Calibri" w:cs="Tahoma"/>
          <w:szCs w:val="24"/>
        </w:rPr>
        <w:t>a</w:t>
      </w:r>
      <w:r w:rsidR="00D805CC" w:rsidRPr="0004733C">
        <w:rPr>
          <w:rFonts w:eastAsia="Calibri" w:cs="Tahoma"/>
          <w:szCs w:val="24"/>
        </w:rPr>
        <w:t xml:space="preserve"> aduciendo que </w:t>
      </w:r>
      <w:r w:rsidR="0020620E" w:rsidRPr="0004733C">
        <w:rPr>
          <w:rFonts w:eastAsia="Calibri" w:cs="Tahoma"/>
          <w:szCs w:val="24"/>
        </w:rPr>
        <w:t>ella</w:t>
      </w:r>
      <w:r w:rsidR="001F38B6" w:rsidRPr="0004733C">
        <w:rPr>
          <w:rFonts w:eastAsia="Calibri" w:cs="Tahoma"/>
          <w:szCs w:val="24"/>
        </w:rPr>
        <w:t xml:space="preserve"> </w:t>
      </w:r>
      <w:r w:rsidR="00D805CC" w:rsidRPr="0004733C">
        <w:rPr>
          <w:rFonts w:eastAsia="Calibri" w:cs="Tahoma"/>
          <w:szCs w:val="24"/>
        </w:rPr>
        <w:t>tom</w:t>
      </w:r>
      <w:r w:rsidR="001F38B6" w:rsidRPr="0004733C">
        <w:rPr>
          <w:rFonts w:eastAsia="Calibri" w:cs="Tahoma"/>
          <w:szCs w:val="24"/>
        </w:rPr>
        <w:t xml:space="preserve">ó </w:t>
      </w:r>
      <w:r w:rsidR="00D805CC" w:rsidRPr="0004733C">
        <w:rPr>
          <w:rFonts w:eastAsia="Calibri" w:cs="Tahoma"/>
          <w:szCs w:val="24"/>
        </w:rPr>
        <w:t>la decisión de afiliarse al régimen de ahorro individual con solidaridad de manera libre y espontánea</w:t>
      </w:r>
      <w:r w:rsidR="001F38B6" w:rsidRPr="0004733C">
        <w:rPr>
          <w:rFonts w:eastAsia="Calibri" w:cs="Tahoma"/>
          <w:szCs w:val="24"/>
        </w:rPr>
        <w:t xml:space="preserve">; aunado a que </w:t>
      </w:r>
      <w:r w:rsidR="00D805CC" w:rsidRPr="0004733C">
        <w:rPr>
          <w:rFonts w:eastAsia="Calibri" w:cs="Tahoma"/>
          <w:szCs w:val="24"/>
        </w:rPr>
        <w:t>no hizo uso de la acción de nulidad dentro del término legal</w:t>
      </w:r>
      <w:r w:rsidRPr="0004733C">
        <w:rPr>
          <w:rFonts w:eastAsia="Calibri" w:cs="Tahoma"/>
          <w:szCs w:val="24"/>
        </w:rPr>
        <w:t xml:space="preserve"> y </w:t>
      </w:r>
      <w:r w:rsidRPr="0004733C">
        <w:rPr>
          <w:rFonts w:eastAsia="Calibri" w:cs="Tahoma"/>
          <w:szCs w:val="24"/>
          <w:lang w:val="es-ES"/>
        </w:rPr>
        <w:t>ahora el demandante no puede afiliarse al RPM, de conformidad con la prohibición legal del literal e) del artículo 2 de la Ley 797 de 2003, y porque no es beneficiario del régimen de transición</w:t>
      </w:r>
      <w:r w:rsidR="00D805CC" w:rsidRPr="0004733C">
        <w:rPr>
          <w:rFonts w:eastAsia="Calibri" w:cs="Tahoma"/>
          <w:szCs w:val="24"/>
        </w:rPr>
        <w:t xml:space="preserve">. En ese sentido, propuso como excepciones de mérito las que denominó </w:t>
      </w:r>
      <w:r w:rsidR="006229F4" w:rsidRPr="0004733C">
        <w:rPr>
          <w:rFonts w:eastAsia="Calibri" w:cs="Tahoma"/>
          <w:szCs w:val="24"/>
        </w:rPr>
        <w:t>“v</w:t>
      </w:r>
      <w:r w:rsidR="00D805CC" w:rsidRPr="0004733C">
        <w:rPr>
          <w:rFonts w:eastAsia="Calibri" w:cs="Tahoma"/>
          <w:i/>
          <w:iCs/>
          <w:szCs w:val="24"/>
        </w:rPr>
        <w:t>alidez de afiliación al RAIS”; “Saneamiento de una presunta nulidad”;</w:t>
      </w:r>
      <w:r w:rsidR="000A7A88" w:rsidRPr="0004733C">
        <w:rPr>
          <w:rFonts w:eastAsia="Calibri" w:cs="Tahoma"/>
          <w:i/>
          <w:iCs/>
          <w:szCs w:val="24"/>
        </w:rPr>
        <w:t xml:space="preserve"> “solicitud de traslado de dineros de gastos de administración”</w:t>
      </w:r>
      <w:r w:rsidR="00D805CC" w:rsidRPr="0004733C">
        <w:rPr>
          <w:rFonts w:eastAsia="Calibri" w:cs="Tahoma"/>
          <w:i/>
          <w:iCs/>
          <w:szCs w:val="24"/>
        </w:rPr>
        <w:t xml:space="preserve"> “Prescripción” y “Imposibilidad jurídica para reconocer y pagar derechos por fuera del ordenamiento legal”; “Buena fe”</w:t>
      </w:r>
      <w:r w:rsidR="000A7A88" w:rsidRPr="0004733C">
        <w:rPr>
          <w:rFonts w:eastAsia="Calibri" w:cs="Tahoma"/>
          <w:i/>
          <w:iCs/>
          <w:szCs w:val="24"/>
        </w:rPr>
        <w:t>; “imposibilidad de condena en costas” y “declaratoria de otras excepciones”</w:t>
      </w:r>
      <w:r w:rsidR="00D805CC" w:rsidRPr="0004733C">
        <w:rPr>
          <w:rFonts w:eastAsia="Calibri" w:cs="Tahoma"/>
          <w:i/>
          <w:iCs/>
          <w:szCs w:val="24"/>
        </w:rPr>
        <w:t xml:space="preserve">.  </w:t>
      </w:r>
    </w:p>
    <w:p w14:paraId="119E878D" w14:textId="77777777" w:rsidR="000650FA" w:rsidRPr="0004733C" w:rsidRDefault="000650FA" w:rsidP="0004733C">
      <w:pPr>
        <w:spacing w:line="276" w:lineRule="auto"/>
        <w:ind w:firstLine="426"/>
        <w:rPr>
          <w:rFonts w:cs="Tahoma"/>
          <w:szCs w:val="24"/>
        </w:rPr>
      </w:pPr>
    </w:p>
    <w:p w14:paraId="09C2F1C2" w14:textId="77777777" w:rsidR="00790DA9" w:rsidRPr="0004733C" w:rsidRDefault="00790DA9" w:rsidP="0004733C">
      <w:pPr>
        <w:pStyle w:val="Prrafodelista"/>
        <w:numPr>
          <w:ilvl w:val="0"/>
          <w:numId w:val="1"/>
        </w:numPr>
        <w:spacing w:line="276" w:lineRule="auto"/>
        <w:ind w:left="426" w:hanging="426"/>
        <w:jc w:val="center"/>
        <w:rPr>
          <w:rFonts w:cs="Tahoma"/>
          <w:b/>
          <w:bCs/>
          <w:szCs w:val="24"/>
        </w:rPr>
      </w:pPr>
      <w:r w:rsidRPr="0004733C">
        <w:rPr>
          <w:rFonts w:cs="Tahoma"/>
          <w:b/>
          <w:bCs/>
          <w:szCs w:val="24"/>
        </w:rPr>
        <w:t>Sentencia de primera instancia</w:t>
      </w:r>
    </w:p>
    <w:p w14:paraId="16C16889" w14:textId="77777777" w:rsidR="00790DA9" w:rsidRPr="0004733C" w:rsidRDefault="00790DA9" w:rsidP="0004733C">
      <w:pPr>
        <w:spacing w:line="276" w:lineRule="auto"/>
        <w:ind w:left="360"/>
        <w:rPr>
          <w:rFonts w:cs="Tahoma"/>
          <w:b/>
          <w:bCs/>
          <w:szCs w:val="24"/>
        </w:rPr>
      </w:pPr>
    </w:p>
    <w:p w14:paraId="14D40712" w14:textId="77777777" w:rsidR="00C224D8" w:rsidRPr="0004733C" w:rsidRDefault="00C224D8" w:rsidP="0004733C">
      <w:pPr>
        <w:spacing w:line="276" w:lineRule="auto"/>
        <w:ind w:firstLine="708"/>
        <w:rPr>
          <w:rFonts w:eastAsia="Calibri" w:cs="Tahoma"/>
          <w:szCs w:val="24"/>
          <w:lang w:val="es-ES"/>
        </w:rPr>
      </w:pPr>
      <w:r w:rsidRPr="0004733C">
        <w:rPr>
          <w:rFonts w:eastAsia="Calibri" w:cs="Tahoma"/>
          <w:szCs w:val="24"/>
          <w:lang w:val="es-ES"/>
        </w:rPr>
        <w:t xml:space="preserve">La Jueza de primera instancia decretó no probados los medios exceptivos propuestos por las codemandadas y declaró la ineficacia del traslado de régimen que </w:t>
      </w:r>
      <w:r w:rsidR="000A7A88" w:rsidRPr="0004733C">
        <w:rPr>
          <w:rFonts w:cs="Tahoma"/>
          <w:caps/>
          <w:szCs w:val="24"/>
          <w:lang w:val="es-419"/>
        </w:rPr>
        <w:t>Héctor Vega Hernández</w:t>
      </w:r>
      <w:r w:rsidR="000A7A88" w:rsidRPr="0004733C">
        <w:rPr>
          <w:rFonts w:cs="Tahoma"/>
          <w:b/>
          <w:szCs w:val="24"/>
          <w:lang w:val="es-419"/>
        </w:rPr>
        <w:t xml:space="preserve"> </w:t>
      </w:r>
      <w:r w:rsidRPr="0004733C">
        <w:rPr>
          <w:rFonts w:eastAsia="Calibri" w:cs="Tahoma"/>
          <w:szCs w:val="24"/>
          <w:lang w:val="es-ES"/>
        </w:rPr>
        <w:t xml:space="preserve">efectuó al régimen de ahorro individual con solidaridad, el </w:t>
      </w:r>
      <w:r w:rsidR="000A7A88" w:rsidRPr="0004733C">
        <w:rPr>
          <w:rFonts w:eastAsia="Calibri" w:cs="Tahoma"/>
          <w:szCs w:val="24"/>
          <w:lang w:val="es-ES"/>
        </w:rPr>
        <w:t>15</w:t>
      </w:r>
      <w:r w:rsidR="0068205A" w:rsidRPr="0004733C">
        <w:rPr>
          <w:rFonts w:eastAsia="Calibri" w:cs="Tahoma"/>
          <w:szCs w:val="24"/>
          <w:lang w:val="es-ES"/>
        </w:rPr>
        <w:t xml:space="preserve"> de </w:t>
      </w:r>
      <w:r w:rsidR="000A7A88" w:rsidRPr="0004733C">
        <w:rPr>
          <w:rFonts w:eastAsia="Calibri" w:cs="Tahoma"/>
          <w:szCs w:val="24"/>
          <w:lang w:val="es-ES"/>
        </w:rPr>
        <w:t>julio</w:t>
      </w:r>
      <w:r w:rsidR="0068205A" w:rsidRPr="0004733C">
        <w:rPr>
          <w:rFonts w:eastAsia="Calibri" w:cs="Tahoma"/>
          <w:szCs w:val="24"/>
          <w:lang w:val="es-ES"/>
        </w:rPr>
        <w:t xml:space="preserve"> de 1994</w:t>
      </w:r>
      <w:r w:rsidRPr="0004733C">
        <w:rPr>
          <w:rFonts w:eastAsia="Calibri" w:cs="Tahoma"/>
          <w:szCs w:val="24"/>
          <w:lang w:val="es-ES"/>
        </w:rPr>
        <w:t xml:space="preserve">, a través de </w:t>
      </w:r>
      <w:r w:rsidR="000A7A88" w:rsidRPr="0004733C">
        <w:rPr>
          <w:rFonts w:eastAsia="Calibri" w:cs="Tahoma"/>
          <w:szCs w:val="24"/>
          <w:lang w:val="es-ES"/>
        </w:rPr>
        <w:t>COLPATRIA</w:t>
      </w:r>
      <w:r w:rsidR="0054543B" w:rsidRPr="0004733C">
        <w:rPr>
          <w:rFonts w:eastAsia="Calibri" w:cs="Tahoma"/>
          <w:szCs w:val="24"/>
          <w:lang w:val="es-ES"/>
        </w:rPr>
        <w:t xml:space="preserve"> (HOY PORVENIR), lo que de igual manera deja sin efectos la vinculación que posteriormente hizo el demandante a COLFONDOS.</w:t>
      </w:r>
      <w:r w:rsidRPr="0004733C">
        <w:rPr>
          <w:rFonts w:eastAsia="Calibri" w:cs="Tahoma"/>
          <w:szCs w:val="24"/>
          <w:lang w:val="es-ES"/>
        </w:rPr>
        <w:t xml:space="preserve"> En consecuencia, ordenó a</w:t>
      </w:r>
      <w:r w:rsidR="0054543B" w:rsidRPr="0004733C">
        <w:rPr>
          <w:rFonts w:eastAsia="Calibri" w:cs="Tahoma"/>
          <w:szCs w:val="24"/>
          <w:lang w:val="es-ES"/>
        </w:rPr>
        <w:t xml:space="preserve"> esta última, en la que actualmente se encuentra afiliado el actor, </w:t>
      </w:r>
      <w:r w:rsidRPr="0004733C">
        <w:rPr>
          <w:rFonts w:eastAsia="Calibri" w:cs="Tahoma"/>
          <w:szCs w:val="24"/>
          <w:lang w:val="es-ES"/>
        </w:rPr>
        <w:t>que proceda a devolver a Colpensiones la totalidad de las sumas recibidas por concepto de cotizaciones, incluyendo sumas adicionales junto con sus respectivos rendimientos, frutos e intereses; igualmente, y con cargo a sus propios recursos, el valor de las comisiones y cuotas de administración, así como las cuotas de garantía de pensión mínima y seguros pr</w:t>
      </w:r>
      <w:r w:rsidR="000650FA" w:rsidRPr="0004733C">
        <w:rPr>
          <w:rFonts w:eastAsia="Calibri" w:cs="Tahoma"/>
          <w:szCs w:val="24"/>
          <w:lang w:val="es-ES"/>
        </w:rPr>
        <w:t>e</w:t>
      </w:r>
      <w:r w:rsidRPr="0004733C">
        <w:rPr>
          <w:rFonts w:eastAsia="Calibri" w:cs="Tahoma"/>
          <w:szCs w:val="24"/>
          <w:lang w:val="es-ES"/>
        </w:rPr>
        <w:t xml:space="preserve">visionales que cobró durante el periodo en que </w:t>
      </w:r>
      <w:r w:rsidR="001E27ED" w:rsidRPr="0004733C">
        <w:rPr>
          <w:rFonts w:eastAsia="Calibri" w:cs="Tahoma"/>
          <w:szCs w:val="24"/>
          <w:lang w:val="es-ES"/>
        </w:rPr>
        <w:t xml:space="preserve">la </w:t>
      </w:r>
      <w:r w:rsidRPr="0004733C">
        <w:rPr>
          <w:rFonts w:eastAsia="Calibri" w:cs="Tahoma"/>
          <w:szCs w:val="24"/>
          <w:lang w:val="es-ES"/>
        </w:rPr>
        <w:t>actor</w:t>
      </w:r>
      <w:r w:rsidR="001E27ED" w:rsidRPr="0004733C">
        <w:rPr>
          <w:rFonts w:eastAsia="Calibri" w:cs="Tahoma"/>
          <w:szCs w:val="24"/>
          <w:lang w:val="es-ES"/>
        </w:rPr>
        <w:t>a</w:t>
      </w:r>
      <w:r w:rsidRPr="0004733C">
        <w:rPr>
          <w:rFonts w:eastAsia="Calibri" w:cs="Tahoma"/>
          <w:szCs w:val="24"/>
          <w:lang w:val="es-ES"/>
        </w:rPr>
        <w:t xml:space="preserve"> estuv</w:t>
      </w:r>
      <w:r w:rsidR="001E27ED" w:rsidRPr="0004733C">
        <w:rPr>
          <w:rFonts w:eastAsia="Calibri" w:cs="Tahoma"/>
          <w:szCs w:val="24"/>
          <w:lang w:val="es-ES"/>
        </w:rPr>
        <w:t>o</w:t>
      </w:r>
      <w:r w:rsidRPr="0004733C">
        <w:rPr>
          <w:rFonts w:eastAsia="Calibri" w:cs="Tahoma"/>
          <w:szCs w:val="24"/>
          <w:lang w:val="es-ES"/>
        </w:rPr>
        <w:t xml:space="preserve"> afiliad</w:t>
      </w:r>
      <w:r w:rsidR="001E27ED" w:rsidRPr="0004733C">
        <w:rPr>
          <w:rFonts w:eastAsia="Calibri" w:cs="Tahoma"/>
          <w:szCs w:val="24"/>
          <w:lang w:val="es-ES"/>
        </w:rPr>
        <w:t>a</w:t>
      </w:r>
      <w:r w:rsidRPr="0004733C">
        <w:rPr>
          <w:rFonts w:eastAsia="Calibri" w:cs="Tahoma"/>
          <w:szCs w:val="24"/>
          <w:lang w:val="es-ES"/>
        </w:rPr>
        <w:t xml:space="preserve"> a ese fondo, todos debidamente indexados.</w:t>
      </w:r>
      <w:r w:rsidR="001E27ED" w:rsidRPr="0004733C">
        <w:rPr>
          <w:rFonts w:eastAsia="Calibri" w:cs="Tahoma"/>
          <w:szCs w:val="24"/>
          <w:lang w:val="es-ES"/>
        </w:rPr>
        <w:t xml:space="preserve"> </w:t>
      </w:r>
      <w:r w:rsidR="000650FA" w:rsidRPr="0004733C">
        <w:rPr>
          <w:rFonts w:eastAsia="Calibri" w:cs="Tahoma"/>
          <w:szCs w:val="24"/>
          <w:lang w:val="es-ES"/>
        </w:rPr>
        <w:t>Así mismo</w:t>
      </w:r>
      <w:r w:rsidR="001E27ED" w:rsidRPr="0004733C">
        <w:rPr>
          <w:rFonts w:eastAsia="Calibri" w:cs="Tahoma"/>
          <w:szCs w:val="24"/>
          <w:lang w:val="es-ES"/>
        </w:rPr>
        <w:t xml:space="preserve">, </w:t>
      </w:r>
      <w:r w:rsidR="001E27ED" w:rsidRPr="0004733C">
        <w:rPr>
          <w:rFonts w:eastAsia="Calibri" w:cs="Tahoma"/>
          <w:szCs w:val="24"/>
          <w:lang w:val="es-ES"/>
        </w:rPr>
        <w:lastRenderedPageBreak/>
        <w:t>ordenó a Colpensiones que acepte sin dilaciones el retorno de</w:t>
      </w:r>
      <w:r w:rsidR="0054543B" w:rsidRPr="0004733C">
        <w:rPr>
          <w:rFonts w:eastAsia="Calibri" w:cs="Tahoma"/>
          <w:szCs w:val="24"/>
          <w:lang w:val="es-ES"/>
        </w:rPr>
        <w:t>l actor.</w:t>
      </w:r>
      <w:r w:rsidR="001B0D78" w:rsidRPr="0004733C">
        <w:rPr>
          <w:rFonts w:eastAsia="Calibri" w:cs="Tahoma"/>
          <w:szCs w:val="24"/>
          <w:lang w:val="es-ES"/>
        </w:rPr>
        <w:t xml:space="preserve"> </w:t>
      </w:r>
      <w:r w:rsidR="001E27ED" w:rsidRPr="0004733C">
        <w:rPr>
          <w:rFonts w:eastAsia="Calibri" w:cs="Tahoma"/>
          <w:szCs w:val="24"/>
          <w:lang w:val="es-ES"/>
        </w:rPr>
        <w:t xml:space="preserve">Igualmente, ordenó comunicar a la oficina de bonos pensionales del Ministerio de Hacienda y Crédito Público, la decisión adoptada en este proceso, con el objeto de que, en caso de que se haya emitido </w:t>
      </w:r>
      <w:r w:rsidR="000650FA" w:rsidRPr="0004733C">
        <w:rPr>
          <w:rFonts w:eastAsia="Calibri" w:cs="Tahoma"/>
          <w:szCs w:val="24"/>
          <w:lang w:val="es-ES"/>
        </w:rPr>
        <w:t xml:space="preserve">el </w:t>
      </w:r>
      <w:r w:rsidR="001E27ED" w:rsidRPr="0004733C">
        <w:rPr>
          <w:rFonts w:eastAsia="Calibri" w:cs="Tahoma"/>
          <w:szCs w:val="24"/>
          <w:lang w:val="es-ES"/>
        </w:rPr>
        <w:t xml:space="preserve">bono pensional a favor de la </w:t>
      </w:r>
      <w:r w:rsidR="000650FA" w:rsidRPr="0004733C">
        <w:rPr>
          <w:rFonts w:eastAsia="Calibri" w:cs="Tahoma"/>
          <w:szCs w:val="24"/>
          <w:lang w:val="es-ES"/>
        </w:rPr>
        <w:t xml:space="preserve">parte </w:t>
      </w:r>
      <w:r w:rsidR="001E27ED" w:rsidRPr="0004733C">
        <w:rPr>
          <w:rFonts w:eastAsia="Calibri" w:cs="Tahoma"/>
          <w:szCs w:val="24"/>
          <w:lang w:val="es-ES"/>
        </w:rPr>
        <w:t>demandante, proceda a anularlo con la normativa vigente que regula la materia</w:t>
      </w:r>
      <w:r w:rsidR="001B0D78" w:rsidRPr="0004733C">
        <w:rPr>
          <w:rFonts w:eastAsia="Calibri" w:cs="Tahoma"/>
          <w:szCs w:val="24"/>
          <w:lang w:val="es-ES"/>
        </w:rPr>
        <w:t xml:space="preserve">. </w:t>
      </w:r>
      <w:r w:rsidR="0020620E" w:rsidRPr="0004733C">
        <w:rPr>
          <w:rFonts w:eastAsia="Calibri" w:cs="Tahoma"/>
          <w:szCs w:val="24"/>
          <w:lang w:val="es-ES"/>
        </w:rPr>
        <w:t>P</w:t>
      </w:r>
      <w:r w:rsidRPr="0004733C">
        <w:rPr>
          <w:rFonts w:eastAsia="Calibri" w:cs="Tahoma"/>
          <w:szCs w:val="24"/>
          <w:lang w:val="es-ES"/>
        </w:rPr>
        <w:t>or último, condenó en costas a P</w:t>
      </w:r>
      <w:r w:rsidR="6A125A26" w:rsidRPr="0004733C">
        <w:rPr>
          <w:rFonts w:eastAsia="Calibri" w:cs="Tahoma"/>
          <w:szCs w:val="24"/>
          <w:lang w:val="es-ES"/>
        </w:rPr>
        <w:t>orvenir</w:t>
      </w:r>
      <w:r w:rsidR="007E2ABD" w:rsidRPr="0004733C">
        <w:rPr>
          <w:rFonts w:eastAsia="Calibri" w:cs="Tahoma"/>
          <w:szCs w:val="24"/>
          <w:lang w:val="es-ES"/>
        </w:rPr>
        <w:t xml:space="preserve"> </w:t>
      </w:r>
      <w:r w:rsidRPr="0004733C">
        <w:rPr>
          <w:rFonts w:eastAsia="Calibri" w:cs="Tahoma"/>
          <w:szCs w:val="24"/>
          <w:lang w:val="es-ES"/>
        </w:rPr>
        <w:t>S.A. a favor de</w:t>
      </w:r>
      <w:r w:rsidR="001E27ED" w:rsidRPr="0004733C">
        <w:rPr>
          <w:rFonts w:eastAsia="Calibri" w:cs="Tahoma"/>
          <w:szCs w:val="24"/>
          <w:lang w:val="es-ES"/>
        </w:rPr>
        <w:t xml:space="preserve"> </w:t>
      </w:r>
      <w:r w:rsidRPr="0004733C">
        <w:rPr>
          <w:rFonts w:eastAsia="Calibri" w:cs="Tahoma"/>
          <w:szCs w:val="24"/>
          <w:lang w:val="es-ES"/>
        </w:rPr>
        <w:t>l</w:t>
      </w:r>
      <w:r w:rsidR="001E27ED" w:rsidRPr="0004733C">
        <w:rPr>
          <w:rFonts w:eastAsia="Calibri" w:cs="Tahoma"/>
          <w:szCs w:val="24"/>
          <w:lang w:val="es-ES"/>
        </w:rPr>
        <w:t>a</w:t>
      </w:r>
      <w:r w:rsidRPr="0004733C">
        <w:rPr>
          <w:rFonts w:eastAsia="Calibri" w:cs="Tahoma"/>
          <w:szCs w:val="24"/>
          <w:lang w:val="es-ES"/>
        </w:rPr>
        <w:t xml:space="preserve"> demandante en un 100%.</w:t>
      </w:r>
    </w:p>
    <w:p w14:paraId="251FF2F7" w14:textId="77777777" w:rsidR="00C224D8" w:rsidRPr="0004733C" w:rsidRDefault="00C224D8" w:rsidP="0004733C">
      <w:pPr>
        <w:spacing w:line="276" w:lineRule="auto"/>
        <w:ind w:left="360"/>
        <w:rPr>
          <w:rFonts w:eastAsia="Calibri" w:cs="Tahoma"/>
          <w:b/>
          <w:bCs/>
          <w:szCs w:val="24"/>
          <w:lang w:val="es-ES"/>
        </w:rPr>
      </w:pPr>
    </w:p>
    <w:p w14:paraId="55B8B4C3" w14:textId="77777777" w:rsidR="00C224D8" w:rsidRPr="0004733C" w:rsidRDefault="00C224D8" w:rsidP="0004733C">
      <w:pPr>
        <w:spacing w:line="276" w:lineRule="auto"/>
        <w:ind w:firstLine="708"/>
        <w:rPr>
          <w:rFonts w:eastAsia="Calibri" w:cs="Tahoma"/>
          <w:szCs w:val="24"/>
          <w:lang w:val="es-ES"/>
        </w:rPr>
      </w:pPr>
      <w:r w:rsidRPr="0004733C">
        <w:rPr>
          <w:rFonts w:eastAsia="Calibri" w:cs="Tahoma"/>
          <w:szCs w:val="24"/>
          <w:lang w:val="es-ES"/>
        </w:rPr>
        <w:t xml:space="preserve">Para llegar a tal determinación la A-quo hizo un recuento legal y jurisprudencial respecto del deber de información a cargo de </w:t>
      </w:r>
      <w:bookmarkStart w:id="3" w:name="_Hlk75437293"/>
      <w:r w:rsidRPr="0004733C">
        <w:rPr>
          <w:rFonts w:eastAsia="Calibri" w:cs="Tahoma"/>
          <w:szCs w:val="24"/>
          <w:lang w:val="es-ES"/>
        </w:rPr>
        <w:t xml:space="preserve">las AFP, la cual debía ser clara, cierta, comprensible y oportuna sobre las características, condiciones, beneficios, diferencias, riesgos y consecuencias del cambio de régimen pensional.  </w:t>
      </w:r>
      <w:bookmarkEnd w:id="3"/>
      <w:r w:rsidRPr="0004733C">
        <w:rPr>
          <w:rFonts w:eastAsia="Calibri" w:cs="Tahoma"/>
          <w:szCs w:val="24"/>
          <w:lang w:val="es-ES"/>
        </w:rPr>
        <w:t xml:space="preserve">Resaltó que, en estos casos opera una inversión de la carga de la prueba a favor del afiliado. De igual forma, resaltó que la expresión libre y voluntaria necesariamente presupone conocimiento, lo cual sólo es posible alcanzar cuando se saben a plenitud las consecuencias de una decisión de esta índole. En cuanto al interrogatorio rendido por </w:t>
      </w:r>
      <w:r w:rsidR="001E27ED" w:rsidRPr="0004733C">
        <w:rPr>
          <w:rFonts w:eastAsia="Calibri" w:cs="Tahoma"/>
          <w:szCs w:val="24"/>
          <w:lang w:val="es-ES"/>
        </w:rPr>
        <w:t xml:space="preserve">la </w:t>
      </w:r>
      <w:r w:rsidRPr="0004733C">
        <w:rPr>
          <w:rFonts w:eastAsia="Calibri" w:cs="Tahoma"/>
          <w:szCs w:val="24"/>
          <w:lang w:val="es-ES"/>
        </w:rPr>
        <w:t>actor</w:t>
      </w:r>
      <w:r w:rsidR="001E27ED" w:rsidRPr="0004733C">
        <w:rPr>
          <w:rFonts w:eastAsia="Calibri" w:cs="Tahoma"/>
          <w:szCs w:val="24"/>
          <w:lang w:val="es-ES"/>
        </w:rPr>
        <w:t>a</w:t>
      </w:r>
      <w:r w:rsidRPr="0004733C">
        <w:rPr>
          <w:rFonts w:eastAsia="Calibri" w:cs="Tahoma"/>
          <w:szCs w:val="24"/>
          <w:lang w:val="es-ES"/>
        </w:rPr>
        <w:t>, concluyó que de él no se desprende que el</w:t>
      </w:r>
      <w:r w:rsidR="001E27ED" w:rsidRPr="0004733C">
        <w:rPr>
          <w:rFonts w:eastAsia="Calibri" w:cs="Tahoma"/>
          <w:szCs w:val="24"/>
          <w:lang w:val="es-ES"/>
        </w:rPr>
        <w:t>la</w:t>
      </w:r>
      <w:r w:rsidRPr="0004733C">
        <w:rPr>
          <w:rFonts w:eastAsia="Calibri" w:cs="Tahoma"/>
          <w:szCs w:val="24"/>
          <w:lang w:val="es-ES"/>
        </w:rPr>
        <w:t xml:space="preserve"> hubiera recibido por parte de P</w:t>
      </w:r>
      <w:r w:rsidR="7B3C8528" w:rsidRPr="0004733C">
        <w:rPr>
          <w:rFonts w:eastAsia="Calibri" w:cs="Tahoma"/>
          <w:szCs w:val="24"/>
          <w:lang w:val="es-ES"/>
        </w:rPr>
        <w:t>orvenir</w:t>
      </w:r>
      <w:r w:rsidRPr="0004733C">
        <w:rPr>
          <w:rFonts w:eastAsia="Calibri" w:cs="Tahoma"/>
          <w:szCs w:val="24"/>
          <w:lang w:val="es-ES"/>
        </w:rPr>
        <w:t xml:space="preserve"> S.A la asesoría y el acompañamiento que como administradora pensional debió brindarle.</w:t>
      </w:r>
    </w:p>
    <w:p w14:paraId="29FB7E2C" w14:textId="77777777" w:rsidR="00C224D8" w:rsidRPr="0004733C" w:rsidRDefault="00C224D8" w:rsidP="0004733C">
      <w:pPr>
        <w:spacing w:line="276" w:lineRule="auto"/>
        <w:rPr>
          <w:rFonts w:eastAsia="Calibri" w:cs="Tahoma"/>
          <w:szCs w:val="24"/>
          <w:lang w:val="es-ES"/>
        </w:rPr>
      </w:pPr>
    </w:p>
    <w:p w14:paraId="302435F4" w14:textId="77777777" w:rsidR="00790DA9" w:rsidRPr="0004733C" w:rsidRDefault="00C224D8" w:rsidP="0004733C">
      <w:pPr>
        <w:spacing w:line="276" w:lineRule="auto"/>
        <w:ind w:firstLine="708"/>
        <w:rPr>
          <w:rFonts w:eastAsia="Calibri" w:cs="Tahoma"/>
          <w:szCs w:val="24"/>
        </w:rPr>
      </w:pPr>
      <w:r w:rsidRPr="0004733C">
        <w:rPr>
          <w:rFonts w:eastAsia="Calibri" w:cs="Tahoma"/>
          <w:szCs w:val="24"/>
        </w:rPr>
        <w:t>Por lo dicho, concluyó que la decisión de la parte demandante no estuvo precedida de la compresión suficiente ni el real consentimiento para llevarla a cabo, razón por la cual debía declarase la ineficacia del acto de traslado, sin que operara la prescripción debido a que la Corte Suprema de Justicia, en su Sala de Casación Laboral, ha puesto de manifiesto la imprescriptibilidad de esta acción por su estrecha relación con el derecho a la pensión de vejez.</w:t>
      </w:r>
    </w:p>
    <w:p w14:paraId="78368E8E" w14:textId="77777777" w:rsidR="001E4991" w:rsidRPr="0004733C" w:rsidRDefault="001E4991" w:rsidP="0004733C">
      <w:pPr>
        <w:spacing w:line="276" w:lineRule="auto"/>
        <w:rPr>
          <w:rFonts w:cs="Tahoma"/>
          <w:szCs w:val="24"/>
        </w:rPr>
      </w:pPr>
    </w:p>
    <w:p w14:paraId="6007D146" w14:textId="77777777" w:rsidR="00790DA9" w:rsidRPr="0004733C" w:rsidRDefault="00790DA9" w:rsidP="0004733C">
      <w:pPr>
        <w:pStyle w:val="Prrafodelista"/>
        <w:numPr>
          <w:ilvl w:val="0"/>
          <w:numId w:val="1"/>
        </w:numPr>
        <w:spacing w:line="276" w:lineRule="auto"/>
        <w:ind w:left="426" w:hanging="426"/>
        <w:jc w:val="center"/>
        <w:rPr>
          <w:rFonts w:cs="Tahoma"/>
          <w:b/>
          <w:bCs/>
          <w:szCs w:val="24"/>
        </w:rPr>
      </w:pPr>
      <w:r w:rsidRPr="0004733C">
        <w:rPr>
          <w:rFonts w:cs="Tahoma"/>
          <w:b/>
          <w:bCs/>
          <w:szCs w:val="24"/>
        </w:rPr>
        <w:t>Recursos de apelación</w:t>
      </w:r>
      <w:r w:rsidR="00851B08" w:rsidRPr="0004733C">
        <w:rPr>
          <w:rFonts w:cs="Tahoma"/>
          <w:b/>
          <w:bCs/>
          <w:szCs w:val="24"/>
        </w:rPr>
        <w:t xml:space="preserve"> y procedencia de la consulta</w:t>
      </w:r>
    </w:p>
    <w:p w14:paraId="26F455A7" w14:textId="77777777" w:rsidR="00790DA9" w:rsidRPr="0004733C" w:rsidRDefault="00790DA9" w:rsidP="0004733C">
      <w:pPr>
        <w:spacing w:line="276" w:lineRule="auto"/>
        <w:ind w:left="360"/>
        <w:rPr>
          <w:rFonts w:cs="Tahoma"/>
          <w:b/>
          <w:bCs/>
          <w:szCs w:val="24"/>
        </w:rPr>
      </w:pPr>
    </w:p>
    <w:p w14:paraId="0686BEBD" w14:textId="77777777" w:rsidR="000650FA" w:rsidRPr="0004733C" w:rsidRDefault="003C4D89" w:rsidP="0004733C">
      <w:pPr>
        <w:spacing w:line="276" w:lineRule="auto"/>
        <w:ind w:firstLine="708"/>
        <w:rPr>
          <w:rFonts w:eastAsia="Calibri" w:cs="Tahoma"/>
          <w:szCs w:val="24"/>
          <w:lang w:val="es-ES"/>
        </w:rPr>
      </w:pPr>
      <w:r w:rsidRPr="0004733C">
        <w:rPr>
          <w:rFonts w:eastAsia="Calibri" w:cs="Tahoma"/>
          <w:b/>
          <w:bCs/>
          <w:szCs w:val="24"/>
          <w:lang w:val="es-ES"/>
        </w:rPr>
        <w:t>P</w:t>
      </w:r>
      <w:r w:rsidR="732F3A5E" w:rsidRPr="0004733C">
        <w:rPr>
          <w:rFonts w:eastAsia="Calibri" w:cs="Tahoma"/>
          <w:b/>
          <w:bCs/>
          <w:szCs w:val="24"/>
          <w:lang w:val="es-ES"/>
        </w:rPr>
        <w:t>orvenir</w:t>
      </w:r>
      <w:r w:rsidRPr="0004733C">
        <w:rPr>
          <w:rFonts w:eastAsia="Calibri" w:cs="Tahoma"/>
          <w:b/>
          <w:szCs w:val="24"/>
          <w:lang w:val="es-ES"/>
        </w:rPr>
        <w:t xml:space="preserve"> S.A.</w:t>
      </w:r>
      <w:r w:rsidR="009E43EE" w:rsidRPr="0004733C">
        <w:rPr>
          <w:rFonts w:eastAsia="Calibri" w:cs="Tahoma"/>
          <w:b/>
          <w:szCs w:val="24"/>
          <w:lang w:val="es-ES"/>
        </w:rPr>
        <w:t xml:space="preserve"> </w:t>
      </w:r>
      <w:r w:rsidR="009E43EE" w:rsidRPr="0004733C">
        <w:rPr>
          <w:rFonts w:eastAsia="Calibri" w:cs="Tahoma"/>
          <w:szCs w:val="24"/>
          <w:lang w:val="es-ES"/>
        </w:rPr>
        <w:t>atacó el fallo arguyendo que quedó demostrado dentro del plenario que cumplió el deber de asesoría requerido para la época del traslado de</w:t>
      </w:r>
      <w:r w:rsidRPr="0004733C">
        <w:rPr>
          <w:rFonts w:eastAsia="Calibri" w:cs="Tahoma"/>
          <w:szCs w:val="24"/>
          <w:lang w:val="es-ES"/>
        </w:rPr>
        <w:t>l demandante</w:t>
      </w:r>
      <w:r w:rsidR="009E43EE" w:rsidRPr="0004733C">
        <w:rPr>
          <w:rFonts w:eastAsia="Calibri" w:cs="Tahoma"/>
          <w:szCs w:val="24"/>
          <w:lang w:val="es-ES"/>
        </w:rPr>
        <w:t>, lo que se vio reflejado en la firma libre y voluntaria del formulario de afiliación.</w:t>
      </w:r>
      <w:r w:rsidRPr="0004733C">
        <w:rPr>
          <w:rFonts w:eastAsia="Calibri" w:cs="Tahoma"/>
          <w:szCs w:val="24"/>
          <w:lang w:val="es-ES"/>
        </w:rPr>
        <w:t xml:space="preserve"> </w:t>
      </w:r>
      <w:r w:rsidR="009E43EE" w:rsidRPr="0004733C">
        <w:rPr>
          <w:rFonts w:eastAsia="Calibri" w:cs="Tahoma"/>
          <w:szCs w:val="24"/>
          <w:lang w:val="es-ES"/>
        </w:rPr>
        <w:t xml:space="preserve">Agrega que </w:t>
      </w:r>
      <w:r w:rsidRPr="0004733C">
        <w:rPr>
          <w:rFonts w:eastAsia="Calibri" w:cs="Tahoma"/>
          <w:szCs w:val="24"/>
          <w:lang w:val="es-ES"/>
        </w:rPr>
        <w:t>el promotor del litigio</w:t>
      </w:r>
      <w:r w:rsidR="009E43EE" w:rsidRPr="0004733C">
        <w:rPr>
          <w:rFonts w:eastAsia="Calibri" w:cs="Tahoma"/>
          <w:szCs w:val="24"/>
          <w:lang w:val="es-ES"/>
        </w:rPr>
        <w:t xml:space="preserve"> se benefició de los rendimientos, garantías y prerrogativas del RAIS, permaneciendo dentro del mismo durante </w:t>
      </w:r>
      <w:r w:rsidR="009922D4" w:rsidRPr="0004733C">
        <w:rPr>
          <w:rFonts w:eastAsia="Calibri" w:cs="Tahoma"/>
          <w:szCs w:val="24"/>
          <w:lang w:val="es-ES"/>
        </w:rPr>
        <w:t xml:space="preserve">más de </w:t>
      </w:r>
      <w:r w:rsidR="009E43EE" w:rsidRPr="0004733C">
        <w:rPr>
          <w:rFonts w:eastAsia="Calibri" w:cs="Tahoma"/>
          <w:szCs w:val="24"/>
          <w:lang w:val="es-ES"/>
        </w:rPr>
        <w:t>2</w:t>
      </w:r>
      <w:r w:rsidR="009922D4" w:rsidRPr="0004733C">
        <w:rPr>
          <w:rFonts w:eastAsia="Calibri" w:cs="Tahoma"/>
          <w:szCs w:val="24"/>
          <w:lang w:val="es-ES"/>
        </w:rPr>
        <w:t>0</w:t>
      </w:r>
      <w:r w:rsidR="009E43EE" w:rsidRPr="0004733C">
        <w:rPr>
          <w:rFonts w:eastAsia="Calibri" w:cs="Tahoma"/>
          <w:szCs w:val="24"/>
          <w:lang w:val="es-ES"/>
        </w:rPr>
        <w:t xml:space="preserve"> años, en los que desplegó diversos actos de relacionamiento</w:t>
      </w:r>
      <w:r w:rsidRPr="0004733C">
        <w:rPr>
          <w:rFonts w:eastAsia="Calibri" w:cs="Tahoma"/>
          <w:szCs w:val="24"/>
          <w:lang w:val="es-ES"/>
        </w:rPr>
        <w:t>, como quiera que se trasladó entre Administradoras del mismo régimen</w:t>
      </w:r>
      <w:r w:rsidR="009E43EE" w:rsidRPr="0004733C">
        <w:rPr>
          <w:rFonts w:eastAsia="Calibri" w:cs="Tahoma"/>
          <w:szCs w:val="24"/>
          <w:lang w:val="es-ES"/>
        </w:rPr>
        <w:t>.</w:t>
      </w:r>
      <w:r w:rsidRPr="0004733C">
        <w:rPr>
          <w:rFonts w:eastAsia="Calibri" w:cs="Tahoma"/>
          <w:szCs w:val="24"/>
          <w:lang w:val="es-ES"/>
        </w:rPr>
        <w:t xml:space="preserve"> </w:t>
      </w:r>
      <w:r w:rsidR="009E43EE" w:rsidRPr="0004733C">
        <w:rPr>
          <w:rFonts w:eastAsia="Calibri" w:cs="Tahoma"/>
          <w:szCs w:val="24"/>
          <w:lang w:val="es-ES"/>
        </w:rPr>
        <w:t xml:space="preserve">Por otra parte, señala que, si se llegase a declarar la ineficacia del traslado de régimen, la única obligación que recaería sobre </w:t>
      </w:r>
      <w:r w:rsidR="39E16A5A" w:rsidRPr="0004733C">
        <w:rPr>
          <w:rFonts w:eastAsia="Calibri" w:cs="Tahoma"/>
          <w:szCs w:val="24"/>
          <w:lang w:val="es-ES"/>
        </w:rPr>
        <w:t xml:space="preserve">la Administradora de Fondo Pensiones </w:t>
      </w:r>
      <w:r w:rsidR="009E43EE" w:rsidRPr="0004733C">
        <w:rPr>
          <w:rFonts w:eastAsia="Calibri" w:cs="Tahoma"/>
          <w:szCs w:val="24"/>
          <w:lang w:val="es-ES"/>
        </w:rPr>
        <w:t xml:space="preserve">sería la de retornar al </w:t>
      </w:r>
      <w:r w:rsidR="7834FC4D" w:rsidRPr="0004733C">
        <w:rPr>
          <w:rFonts w:eastAsia="Calibri" w:cs="Tahoma"/>
          <w:szCs w:val="24"/>
          <w:lang w:val="es-ES"/>
        </w:rPr>
        <w:t>R</w:t>
      </w:r>
      <w:r w:rsidR="009E43EE" w:rsidRPr="0004733C">
        <w:rPr>
          <w:rFonts w:eastAsia="Calibri" w:cs="Tahoma"/>
          <w:szCs w:val="24"/>
          <w:lang w:val="es-ES"/>
        </w:rPr>
        <w:t xml:space="preserve">égimen de </w:t>
      </w:r>
      <w:r w:rsidR="28CB11EC" w:rsidRPr="0004733C">
        <w:rPr>
          <w:rFonts w:eastAsia="Calibri" w:cs="Tahoma"/>
          <w:szCs w:val="24"/>
          <w:lang w:val="es-ES"/>
        </w:rPr>
        <w:t>P</w:t>
      </w:r>
      <w:r w:rsidR="009E43EE" w:rsidRPr="0004733C">
        <w:rPr>
          <w:rFonts w:eastAsia="Calibri" w:cs="Tahoma"/>
          <w:szCs w:val="24"/>
          <w:lang w:val="es-ES"/>
        </w:rPr>
        <w:t xml:space="preserve">rima </w:t>
      </w:r>
      <w:r w:rsidR="1BEC0BAE" w:rsidRPr="0004733C">
        <w:rPr>
          <w:rFonts w:eastAsia="Calibri" w:cs="Tahoma"/>
          <w:szCs w:val="24"/>
          <w:lang w:val="es-ES"/>
        </w:rPr>
        <w:t>M</w:t>
      </w:r>
      <w:r w:rsidR="009E43EE" w:rsidRPr="0004733C">
        <w:rPr>
          <w:rFonts w:eastAsia="Calibri" w:cs="Tahoma"/>
          <w:szCs w:val="24"/>
          <w:lang w:val="es-ES"/>
        </w:rPr>
        <w:t>edia los dineros que por concepto de aportes a pensión hubiere realizado l</w:t>
      </w:r>
      <w:r w:rsidR="001E27ED" w:rsidRPr="0004733C">
        <w:rPr>
          <w:rFonts w:eastAsia="Calibri" w:cs="Tahoma"/>
          <w:szCs w:val="24"/>
          <w:lang w:val="es-ES"/>
        </w:rPr>
        <w:t>a</w:t>
      </w:r>
      <w:r w:rsidR="009E43EE" w:rsidRPr="0004733C">
        <w:rPr>
          <w:rFonts w:eastAsia="Calibri" w:cs="Tahoma"/>
          <w:szCs w:val="24"/>
          <w:lang w:val="es-ES"/>
        </w:rPr>
        <w:t xml:space="preserve"> demandante. Lo anterior puesto que si se declara que el traslado nunca nació a la vida jurídica o fue inexistente, entonces los demás emolumentos como el de gastos de administración, y demás, también deberían ser declarados inexistentes.</w:t>
      </w:r>
      <w:r w:rsidRPr="0004733C">
        <w:rPr>
          <w:rFonts w:eastAsia="Calibri" w:cs="Tahoma"/>
          <w:szCs w:val="24"/>
          <w:lang w:val="es-ES"/>
        </w:rPr>
        <w:t xml:space="preserve"> </w:t>
      </w:r>
    </w:p>
    <w:p w14:paraId="7A500EAE" w14:textId="77777777" w:rsidR="000650FA" w:rsidRPr="0004733C" w:rsidRDefault="000650FA" w:rsidP="0004733C">
      <w:pPr>
        <w:spacing w:line="276" w:lineRule="auto"/>
        <w:ind w:firstLine="708"/>
        <w:rPr>
          <w:rFonts w:eastAsia="Calibri" w:cs="Tahoma"/>
          <w:szCs w:val="24"/>
          <w:lang w:val="es-ES"/>
        </w:rPr>
      </w:pPr>
    </w:p>
    <w:p w14:paraId="6C5027FD" w14:textId="77777777" w:rsidR="009E43EE" w:rsidRPr="0004733C" w:rsidRDefault="009E43EE" w:rsidP="0004733C">
      <w:pPr>
        <w:spacing w:line="276" w:lineRule="auto"/>
        <w:ind w:firstLine="708"/>
        <w:rPr>
          <w:rFonts w:eastAsia="Calibri" w:cs="Tahoma"/>
          <w:szCs w:val="24"/>
          <w:lang w:val="es-ES"/>
        </w:rPr>
      </w:pPr>
      <w:r w:rsidRPr="0004733C">
        <w:rPr>
          <w:rFonts w:eastAsia="Calibri" w:cs="Tahoma"/>
          <w:szCs w:val="24"/>
          <w:lang w:val="es-ES"/>
        </w:rPr>
        <w:t xml:space="preserve">Respecto a las cuotas de administración, indicó que estos son autorizados por la ley como una contraprestación de la gestión desplegada por las </w:t>
      </w:r>
      <w:proofErr w:type="spellStart"/>
      <w:r w:rsidRPr="0004733C">
        <w:rPr>
          <w:rFonts w:eastAsia="Calibri" w:cs="Tahoma"/>
          <w:szCs w:val="24"/>
          <w:lang w:val="es-ES"/>
        </w:rPr>
        <w:t>AFPs</w:t>
      </w:r>
      <w:proofErr w:type="spellEnd"/>
      <w:r w:rsidRPr="0004733C">
        <w:rPr>
          <w:rFonts w:eastAsia="Calibri" w:cs="Tahoma"/>
          <w:szCs w:val="24"/>
          <w:lang w:val="es-ES"/>
        </w:rPr>
        <w:t xml:space="preserve"> del RAIS, y el hecho de tenerlos que girar con destino a Colpensiones no solo representa un detrimento patrimonial </w:t>
      </w:r>
      <w:r w:rsidR="003C480F" w:rsidRPr="0004733C">
        <w:rPr>
          <w:rFonts w:eastAsia="Calibri" w:cs="Tahoma"/>
          <w:szCs w:val="24"/>
          <w:lang w:val="es-ES"/>
        </w:rPr>
        <w:t>para</w:t>
      </w:r>
      <w:r w:rsidRPr="0004733C">
        <w:rPr>
          <w:rFonts w:eastAsia="Calibri" w:cs="Tahoma"/>
          <w:szCs w:val="24"/>
          <w:lang w:val="es-ES"/>
        </w:rPr>
        <w:t xml:space="preserve"> P</w:t>
      </w:r>
      <w:r w:rsidR="7E68B3CD" w:rsidRPr="0004733C">
        <w:rPr>
          <w:rFonts w:eastAsia="Calibri" w:cs="Tahoma"/>
          <w:szCs w:val="24"/>
          <w:lang w:val="es-ES"/>
        </w:rPr>
        <w:t>orvenir</w:t>
      </w:r>
      <w:r w:rsidR="007E2ABD" w:rsidRPr="0004733C">
        <w:rPr>
          <w:rFonts w:eastAsia="Calibri" w:cs="Tahoma"/>
          <w:szCs w:val="24"/>
          <w:lang w:val="es-ES"/>
        </w:rPr>
        <w:t xml:space="preserve"> </w:t>
      </w:r>
      <w:r w:rsidRPr="0004733C">
        <w:rPr>
          <w:rFonts w:eastAsia="Calibri" w:cs="Tahoma"/>
          <w:szCs w:val="24"/>
          <w:lang w:val="es-ES"/>
        </w:rPr>
        <w:t>S.A, sino un enriquecimiento sin justa causa en favor de</w:t>
      </w:r>
      <w:r w:rsidR="001E27ED" w:rsidRPr="0004733C">
        <w:rPr>
          <w:rFonts w:eastAsia="Calibri" w:cs="Tahoma"/>
          <w:szCs w:val="24"/>
          <w:lang w:val="es-ES"/>
        </w:rPr>
        <w:t xml:space="preserve"> </w:t>
      </w:r>
      <w:r w:rsidRPr="0004733C">
        <w:rPr>
          <w:rFonts w:eastAsia="Calibri" w:cs="Tahoma"/>
          <w:szCs w:val="24"/>
          <w:lang w:val="es-ES"/>
        </w:rPr>
        <w:t>l</w:t>
      </w:r>
      <w:r w:rsidR="001E27ED" w:rsidRPr="0004733C">
        <w:rPr>
          <w:rFonts w:eastAsia="Calibri" w:cs="Tahoma"/>
          <w:szCs w:val="24"/>
          <w:lang w:val="es-ES"/>
        </w:rPr>
        <w:t>a</w:t>
      </w:r>
      <w:r w:rsidRPr="0004733C">
        <w:rPr>
          <w:rFonts w:eastAsia="Calibri" w:cs="Tahoma"/>
          <w:szCs w:val="24"/>
          <w:lang w:val="es-ES"/>
        </w:rPr>
        <w:t xml:space="preserve"> demandante. Así mismo, refiere que los seguros previsionales son sumas </w:t>
      </w:r>
      <w:r w:rsidRPr="0004733C">
        <w:rPr>
          <w:rFonts w:eastAsia="Calibri" w:cs="Tahoma"/>
          <w:szCs w:val="24"/>
          <w:lang w:val="es-ES"/>
        </w:rPr>
        <w:lastRenderedPageBreak/>
        <w:t>que son giradas a las aseguradoras previsionales del RAIS, cuya finalidad radica básicamente en cubrir eventuales contingencias que puedan suscitarse entorno a los siniestros de invalidez y sobrevivencia.</w:t>
      </w:r>
      <w:r w:rsidR="003C4D89" w:rsidRPr="0004733C">
        <w:rPr>
          <w:rFonts w:eastAsia="Calibri" w:cs="Tahoma"/>
          <w:szCs w:val="24"/>
          <w:lang w:val="es-ES"/>
        </w:rPr>
        <w:t xml:space="preserve"> </w:t>
      </w:r>
      <w:r w:rsidRPr="0004733C">
        <w:rPr>
          <w:rFonts w:eastAsia="Calibri" w:cs="Tahoma"/>
          <w:szCs w:val="24"/>
          <w:lang w:val="es-ES"/>
        </w:rPr>
        <w:t xml:space="preserve">Adicional a lo anterior, señala que el actuar de </w:t>
      </w:r>
      <w:r w:rsidR="003C4D89" w:rsidRPr="0004733C">
        <w:rPr>
          <w:rFonts w:eastAsia="Calibri" w:cs="Tahoma"/>
          <w:szCs w:val="24"/>
          <w:lang w:val="es-ES"/>
        </w:rPr>
        <w:t>Porvenir</w:t>
      </w:r>
      <w:r w:rsidR="007E2ABD" w:rsidRPr="0004733C">
        <w:rPr>
          <w:rFonts w:eastAsia="Calibri" w:cs="Tahoma"/>
          <w:szCs w:val="24"/>
          <w:lang w:val="es-ES"/>
        </w:rPr>
        <w:t xml:space="preserve"> </w:t>
      </w:r>
      <w:r w:rsidRPr="0004733C">
        <w:rPr>
          <w:rFonts w:eastAsia="Calibri" w:cs="Tahoma"/>
          <w:szCs w:val="24"/>
          <w:lang w:val="es-ES"/>
        </w:rPr>
        <w:t>siempre fue en estricto apego a todas las normas que regulan la materia y ceñido a los postulados de la buena fe, por lo que no había lugar a la condena en costas procesales.</w:t>
      </w:r>
    </w:p>
    <w:p w14:paraId="5A1AFBA3" w14:textId="77777777" w:rsidR="009E43EE" w:rsidRPr="0004733C" w:rsidRDefault="009E43EE" w:rsidP="0004733C">
      <w:pPr>
        <w:spacing w:line="276" w:lineRule="auto"/>
        <w:ind w:firstLine="357"/>
        <w:rPr>
          <w:rFonts w:eastAsia="Calibri" w:cs="Tahoma"/>
          <w:szCs w:val="24"/>
          <w:lang w:val="es-ES"/>
        </w:rPr>
      </w:pPr>
    </w:p>
    <w:p w14:paraId="58347740" w14:textId="77777777" w:rsidR="009E43EE" w:rsidRPr="0004733C" w:rsidRDefault="009E43EE" w:rsidP="0004733C">
      <w:pPr>
        <w:spacing w:line="276" w:lineRule="auto"/>
        <w:ind w:firstLine="708"/>
        <w:rPr>
          <w:rFonts w:eastAsia="Calibri" w:cs="Tahoma"/>
          <w:szCs w:val="24"/>
        </w:rPr>
      </w:pPr>
      <w:r w:rsidRPr="0004733C">
        <w:rPr>
          <w:rFonts w:eastAsia="Calibri" w:cs="Tahoma"/>
          <w:szCs w:val="24"/>
          <w:lang w:val="es-ES"/>
        </w:rPr>
        <w:t xml:space="preserve">Por su parte, </w:t>
      </w:r>
      <w:r w:rsidRPr="0004733C">
        <w:rPr>
          <w:rFonts w:eastAsia="Calibri" w:cs="Tahoma"/>
          <w:b/>
          <w:szCs w:val="24"/>
          <w:lang w:val="es-ES"/>
        </w:rPr>
        <w:t>Colpensiones</w:t>
      </w:r>
      <w:r w:rsidRPr="0004733C">
        <w:rPr>
          <w:rFonts w:eastAsia="Calibri" w:cs="Tahoma"/>
          <w:szCs w:val="24"/>
          <w:lang w:val="es-ES"/>
        </w:rPr>
        <w:t xml:space="preserve"> </w:t>
      </w:r>
      <w:r w:rsidRPr="0004733C">
        <w:rPr>
          <w:rFonts w:eastAsia="Calibri" w:cs="Tahoma"/>
          <w:szCs w:val="24"/>
        </w:rPr>
        <w:t>en su alzada, atacó la decisión cimentando su inconformidad en que se cumplió con la totalidad de los requisitos normativos en el trámite de afiliación ante la AFP P</w:t>
      </w:r>
      <w:r w:rsidR="2BE36DFD" w:rsidRPr="0004733C">
        <w:rPr>
          <w:rFonts w:eastAsia="Calibri" w:cs="Tahoma"/>
          <w:szCs w:val="24"/>
        </w:rPr>
        <w:t>orvenir</w:t>
      </w:r>
      <w:r w:rsidR="007E2ABD" w:rsidRPr="0004733C">
        <w:rPr>
          <w:rFonts w:eastAsia="Calibri" w:cs="Tahoma"/>
          <w:szCs w:val="24"/>
        </w:rPr>
        <w:t xml:space="preserve"> </w:t>
      </w:r>
      <w:r w:rsidRPr="0004733C">
        <w:rPr>
          <w:rFonts w:eastAsia="Calibri" w:cs="Tahoma"/>
          <w:szCs w:val="24"/>
        </w:rPr>
        <w:t xml:space="preserve">S.A puesto que </w:t>
      </w:r>
      <w:r w:rsidR="003C4D89" w:rsidRPr="0004733C">
        <w:rPr>
          <w:rFonts w:eastAsia="Calibri" w:cs="Tahoma"/>
          <w:szCs w:val="24"/>
        </w:rPr>
        <w:t>el</w:t>
      </w:r>
      <w:r w:rsidRPr="0004733C">
        <w:rPr>
          <w:rFonts w:eastAsia="Calibri" w:cs="Tahoma"/>
          <w:szCs w:val="24"/>
        </w:rPr>
        <w:t xml:space="preserve"> demandante había firmado el formulario de afiliación voluntariamente. Asimismo, señaló que la declaratoria de ineficacia del traslado causaría eventualmente un detrimento patrimonial para Colpensiones en el caso de que l</w:t>
      </w:r>
      <w:r w:rsidR="001E27ED" w:rsidRPr="0004733C">
        <w:rPr>
          <w:rFonts w:eastAsia="Calibri" w:cs="Tahoma"/>
          <w:szCs w:val="24"/>
        </w:rPr>
        <w:t>a</w:t>
      </w:r>
      <w:r w:rsidRPr="0004733C">
        <w:rPr>
          <w:rFonts w:eastAsia="Calibri" w:cs="Tahoma"/>
          <w:szCs w:val="24"/>
        </w:rPr>
        <w:t xml:space="preserve"> demandante cumpla con los requisitos exigidos por la ley para una pensión vitalicia. </w:t>
      </w:r>
      <w:r w:rsidR="58D2ED4E" w:rsidRPr="0004733C">
        <w:rPr>
          <w:rFonts w:eastAsia="Calibri" w:cs="Tahoma"/>
          <w:szCs w:val="24"/>
        </w:rPr>
        <w:t>Además, señala que es evidente que los beneficios que llevaron al demandante a trasladarse de régimen</w:t>
      </w:r>
      <w:r w:rsidR="5598858F" w:rsidRPr="0004733C">
        <w:rPr>
          <w:rFonts w:eastAsia="Calibri" w:cs="Tahoma"/>
          <w:szCs w:val="24"/>
        </w:rPr>
        <w:t>, tales como la pensión anticipada o la devolución de saldos, aun</w:t>
      </w:r>
      <w:r w:rsidR="58D2ED4E" w:rsidRPr="0004733C">
        <w:rPr>
          <w:rFonts w:eastAsia="Calibri" w:cs="Tahoma"/>
          <w:szCs w:val="24"/>
        </w:rPr>
        <w:t xml:space="preserve"> hoy en día </w:t>
      </w:r>
      <w:r w:rsidR="0879E589" w:rsidRPr="0004733C">
        <w:rPr>
          <w:rFonts w:eastAsia="Calibri" w:cs="Tahoma"/>
          <w:szCs w:val="24"/>
        </w:rPr>
        <w:t>continúan</w:t>
      </w:r>
      <w:r w:rsidR="58D2ED4E" w:rsidRPr="0004733C">
        <w:rPr>
          <w:rFonts w:eastAsia="Calibri" w:cs="Tahoma"/>
          <w:szCs w:val="24"/>
        </w:rPr>
        <w:t xml:space="preserve"> vigentes, </w:t>
      </w:r>
      <w:r w:rsidR="322159DB" w:rsidRPr="0004733C">
        <w:rPr>
          <w:rFonts w:eastAsia="Calibri" w:cs="Tahoma"/>
          <w:szCs w:val="24"/>
        </w:rPr>
        <w:t>de modo que fue el monto de la mesada proyectada en el RAIS lo motivó en el demandante el deseo de</w:t>
      </w:r>
      <w:r w:rsidRPr="0004733C">
        <w:rPr>
          <w:rFonts w:eastAsia="Calibri" w:cs="Tahoma"/>
          <w:szCs w:val="24"/>
        </w:rPr>
        <w:t xml:space="preserve"> </w:t>
      </w:r>
      <w:r w:rsidR="4FB6214D" w:rsidRPr="0004733C">
        <w:rPr>
          <w:rFonts w:eastAsia="Calibri" w:cs="Tahoma"/>
          <w:szCs w:val="24"/>
        </w:rPr>
        <w:t>retornar al RPM cuando ya no existía tal posibilidad, por faltarle menos de 10 años para llegar a la edad mínima de pensión.</w:t>
      </w:r>
    </w:p>
    <w:p w14:paraId="6FCFC6B0" w14:textId="77777777" w:rsidR="009E43EE" w:rsidRPr="0004733C" w:rsidRDefault="009E43EE" w:rsidP="0004733C">
      <w:pPr>
        <w:spacing w:line="276" w:lineRule="auto"/>
        <w:ind w:firstLine="360"/>
        <w:rPr>
          <w:rFonts w:eastAsia="Calibri" w:cs="Tahoma"/>
          <w:szCs w:val="24"/>
        </w:rPr>
      </w:pPr>
    </w:p>
    <w:p w14:paraId="1106321F" w14:textId="77777777" w:rsidR="009E43EE" w:rsidRPr="0004733C" w:rsidRDefault="009E43EE" w:rsidP="0004733C">
      <w:pPr>
        <w:spacing w:line="276" w:lineRule="auto"/>
        <w:ind w:firstLine="708"/>
        <w:rPr>
          <w:rFonts w:eastAsia="Calibri" w:cs="Tahoma"/>
          <w:szCs w:val="24"/>
          <w:lang w:val="es-ES"/>
        </w:rPr>
      </w:pPr>
      <w:r w:rsidRPr="0004733C">
        <w:rPr>
          <w:rFonts w:eastAsia="Calibri" w:cs="Tahoma"/>
          <w:szCs w:val="24"/>
          <w:lang w:val="es-ES"/>
        </w:rPr>
        <w:t xml:space="preserve">Finalmente, como quiera que la decisión de primer grado fue desfavorable a los intereses de Colpensiones, en esta instancia se admitió el grado jurisdiccional de consulta a favor de dicha entidad. </w:t>
      </w:r>
    </w:p>
    <w:p w14:paraId="35BD7D32" w14:textId="77777777" w:rsidR="00AE042F" w:rsidRPr="0004733C" w:rsidRDefault="00AE042F" w:rsidP="0004733C">
      <w:pPr>
        <w:spacing w:line="276" w:lineRule="auto"/>
        <w:ind w:firstLine="360"/>
        <w:rPr>
          <w:rFonts w:cs="Tahoma"/>
          <w:szCs w:val="24"/>
        </w:rPr>
      </w:pPr>
    </w:p>
    <w:p w14:paraId="4178A7E7" w14:textId="77777777" w:rsidR="00790DA9" w:rsidRPr="0004733C" w:rsidRDefault="00790DA9" w:rsidP="0004733C">
      <w:pPr>
        <w:pStyle w:val="Prrafodelista"/>
        <w:numPr>
          <w:ilvl w:val="0"/>
          <w:numId w:val="1"/>
        </w:numPr>
        <w:spacing w:line="276" w:lineRule="auto"/>
        <w:ind w:left="426" w:hanging="426"/>
        <w:jc w:val="center"/>
        <w:rPr>
          <w:rFonts w:cs="Tahoma"/>
          <w:b/>
          <w:caps/>
          <w:szCs w:val="24"/>
        </w:rPr>
      </w:pPr>
      <w:r w:rsidRPr="0004733C">
        <w:rPr>
          <w:rFonts w:cs="Tahoma"/>
          <w:b/>
          <w:szCs w:val="24"/>
        </w:rPr>
        <w:t xml:space="preserve">Alegatos de </w:t>
      </w:r>
      <w:r w:rsidRPr="0004733C">
        <w:rPr>
          <w:rFonts w:cs="Tahoma"/>
          <w:b/>
          <w:bCs/>
          <w:szCs w:val="24"/>
        </w:rPr>
        <w:t>conclusión</w:t>
      </w:r>
    </w:p>
    <w:p w14:paraId="4CCE205C" w14:textId="77777777" w:rsidR="00790DA9" w:rsidRPr="0004733C" w:rsidRDefault="00790DA9" w:rsidP="0004733C">
      <w:pPr>
        <w:widowControl w:val="0"/>
        <w:autoSpaceDE w:val="0"/>
        <w:autoSpaceDN w:val="0"/>
        <w:adjustRightInd w:val="0"/>
        <w:spacing w:line="276" w:lineRule="auto"/>
        <w:rPr>
          <w:rFonts w:cs="Tahoma"/>
          <w:szCs w:val="24"/>
        </w:rPr>
      </w:pPr>
    </w:p>
    <w:p w14:paraId="1ABC424A" w14:textId="77777777" w:rsidR="00CE0E35" w:rsidRPr="0004733C" w:rsidRDefault="003C46FA" w:rsidP="0004733C">
      <w:pPr>
        <w:spacing w:line="276" w:lineRule="auto"/>
        <w:ind w:firstLine="708"/>
        <w:rPr>
          <w:rFonts w:cs="Tahoma"/>
          <w:szCs w:val="24"/>
        </w:rPr>
      </w:pPr>
      <w:r w:rsidRPr="0004733C">
        <w:rPr>
          <w:rFonts w:cs="Tahoma"/>
          <w:szCs w:val="24"/>
        </w:rPr>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w:t>
      </w:r>
      <w:r w:rsidR="00CE0E35" w:rsidRPr="0004733C">
        <w:rPr>
          <w:rFonts w:cs="Tahoma"/>
          <w:szCs w:val="24"/>
        </w:rPr>
        <w:t>que se expresa</w:t>
      </w:r>
      <w:r w:rsidR="38AFDD55" w:rsidRPr="0004733C">
        <w:rPr>
          <w:rFonts w:cs="Tahoma"/>
          <w:szCs w:val="24"/>
        </w:rPr>
        <w:t xml:space="preserve">rá más adelante. Del mismo modo, el concepto del Ministerio Público, se basó en el </w:t>
      </w:r>
      <w:r w:rsidR="4ED2C105" w:rsidRPr="0004733C">
        <w:rPr>
          <w:rFonts w:cs="Tahoma"/>
          <w:szCs w:val="24"/>
        </w:rPr>
        <w:t>análisis</w:t>
      </w:r>
      <w:r w:rsidR="38AFDD55" w:rsidRPr="0004733C">
        <w:rPr>
          <w:rFonts w:cs="Tahoma"/>
          <w:szCs w:val="24"/>
        </w:rPr>
        <w:t xml:space="preserve"> </w:t>
      </w:r>
      <w:r w:rsidR="18024FEE" w:rsidRPr="0004733C">
        <w:rPr>
          <w:rFonts w:cs="Tahoma"/>
          <w:szCs w:val="24"/>
        </w:rPr>
        <w:t>integral de la decisión recurrida y estudiada en sede de consulta y concluyó que debe ser confirmada integralmente, como quiere que se ajusta por completo a derecho.</w:t>
      </w:r>
    </w:p>
    <w:p w14:paraId="4347D4B1" w14:textId="77777777" w:rsidR="003C480F" w:rsidRPr="0004733C" w:rsidRDefault="003C480F" w:rsidP="0004733C">
      <w:pPr>
        <w:spacing w:line="276" w:lineRule="auto"/>
        <w:ind w:firstLine="708"/>
        <w:rPr>
          <w:rFonts w:eastAsia="Calibri" w:cs="Tahoma"/>
          <w:szCs w:val="24"/>
        </w:rPr>
      </w:pPr>
    </w:p>
    <w:p w14:paraId="35B772E7" w14:textId="77777777" w:rsidR="00790DA9" w:rsidRPr="0004733C" w:rsidRDefault="00790DA9" w:rsidP="0004733C">
      <w:pPr>
        <w:pStyle w:val="Prrafodelista"/>
        <w:numPr>
          <w:ilvl w:val="0"/>
          <w:numId w:val="1"/>
        </w:numPr>
        <w:spacing w:line="276" w:lineRule="auto"/>
        <w:ind w:left="426" w:hanging="426"/>
        <w:jc w:val="center"/>
        <w:rPr>
          <w:rFonts w:cs="Tahoma"/>
          <w:b/>
          <w:szCs w:val="24"/>
        </w:rPr>
      </w:pPr>
      <w:r w:rsidRPr="0004733C">
        <w:rPr>
          <w:rFonts w:cs="Tahoma"/>
          <w:b/>
          <w:bCs/>
          <w:szCs w:val="24"/>
        </w:rPr>
        <w:t>Problemas</w:t>
      </w:r>
      <w:r w:rsidRPr="0004733C">
        <w:rPr>
          <w:rStyle w:val="normaltextrun"/>
          <w:rFonts w:cs="Tahoma"/>
          <w:b/>
          <w:bCs/>
          <w:szCs w:val="24"/>
        </w:rPr>
        <w:t xml:space="preserve"> jurídicos por resolver</w:t>
      </w:r>
    </w:p>
    <w:p w14:paraId="59BFD146" w14:textId="77777777" w:rsidR="00CE0E35" w:rsidRPr="0004733C" w:rsidRDefault="00790DA9" w:rsidP="0004733C">
      <w:pPr>
        <w:pStyle w:val="paragraph"/>
        <w:tabs>
          <w:tab w:val="left" w:pos="700"/>
        </w:tabs>
        <w:spacing w:before="0" w:beforeAutospacing="0" w:after="0" w:afterAutospacing="0" w:line="276" w:lineRule="auto"/>
        <w:textAlignment w:val="baseline"/>
        <w:rPr>
          <w:rFonts w:ascii="Tahoma" w:hAnsi="Tahoma" w:cs="Tahoma"/>
        </w:rPr>
      </w:pPr>
      <w:r w:rsidRPr="0004733C">
        <w:rPr>
          <w:rStyle w:val="eop"/>
          <w:rFonts w:ascii="Tahoma" w:hAnsi="Tahoma" w:cs="Tahoma"/>
        </w:rPr>
        <w:t> </w:t>
      </w:r>
      <w:r w:rsidR="000337DA" w:rsidRPr="0004733C">
        <w:rPr>
          <w:rStyle w:val="eop"/>
          <w:rFonts w:ascii="Tahoma" w:hAnsi="Tahoma" w:cs="Tahoma"/>
        </w:rPr>
        <w:tab/>
      </w:r>
    </w:p>
    <w:p w14:paraId="2ECC3D9A" w14:textId="77777777" w:rsidR="00CE0E35" w:rsidRPr="0004733C" w:rsidRDefault="00CE0E35" w:rsidP="0004733C">
      <w:pPr>
        <w:spacing w:line="276" w:lineRule="auto"/>
        <w:ind w:firstLine="360"/>
        <w:rPr>
          <w:rFonts w:cs="Tahoma"/>
          <w:szCs w:val="24"/>
        </w:rPr>
      </w:pPr>
      <w:r w:rsidRPr="0004733C">
        <w:rPr>
          <w:rFonts w:cs="Tahoma"/>
          <w:szCs w:val="24"/>
        </w:rPr>
        <w:t xml:space="preserve">De acuerdo a los argumentos expuestos en la sentencia de primera instancia, los fundamentos de la apelación y los alegatos de conclusión, le corresponde a la Sala resolver los siguientes problemas jurídicos: </w:t>
      </w:r>
    </w:p>
    <w:p w14:paraId="6C64083F" w14:textId="77777777" w:rsidR="00CE0E35" w:rsidRPr="0004733C" w:rsidRDefault="00CE0E35" w:rsidP="0004733C">
      <w:pPr>
        <w:spacing w:line="276" w:lineRule="auto"/>
        <w:rPr>
          <w:rFonts w:cs="Tahoma"/>
          <w:szCs w:val="24"/>
        </w:rPr>
      </w:pPr>
    </w:p>
    <w:p w14:paraId="549D47C8" w14:textId="77777777" w:rsidR="00CE0E35" w:rsidRPr="0004733C" w:rsidRDefault="00CE0E35" w:rsidP="00251099">
      <w:pPr>
        <w:widowControl w:val="0"/>
        <w:numPr>
          <w:ilvl w:val="0"/>
          <w:numId w:val="10"/>
        </w:numPr>
        <w:autoSpaceDE w:val="0"/>
        <w:autoSpaceDN w:val="0"/>
        <w:adjustRightInd w:val="0"/>
        <w:spacing w:line="276" w:lineRule="auto"/>
        <w:ind w:left="426" w:firstLine="567"/>
        <w:contextualSpacing/>
        <w:rPr>
          <w:rFonts w:eastAsia="Times New Roman" w:cs="Tahoma"/>
          <w:szCs w:val="24"/>
          <w:lang w:eastAsia="es-ES"/>
        </w:rPr>
      </w:pPr>
      <w:r w:rsidRPr="0004733C">
        <w:rPr>
          <w:rFonts w:eastAsia="Times New Roman" w:cs="Tahoma"/>
          <w:szCs w:val="24"/>
          <w:lang w:eastAsia="es-ES"/>
        </w:rPr>
        <w:t xml:space="preserve">Establecer si para el momento en que </w:t>
      </w:r>
      <w:r w:rsidR="003C4D89" w:rsidRPr="0004733C">
        <w:rPr>
          <w:rFonts w:eastAsia="Times New Roman" w:cs="Tahoma"/>
          <w:szCs w:val="24"/>
          <w:lang w:eastAsia="es-ES"/>
        </w:rPr>
        <w:t>el</w:t>
      </w:r>
      <w:r w:rsidRPr="0004733C">
        <w:rPr>
          <w:rFonts w:eastAsia="Times New Roman" w:cs="Tahoma"/>
          <w:szCs w:val="24"/>
          <w:lang w:eastAsia="es-ES"/>
        </w:rPr>
        <w:t xml:space="preserve"> actor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30D796E7" w14:textId="77777777" w:rsidR="00CE0E35" w:rsidRPr="0004733C" w:rsidRDefault="00CE0E35" w:rsidP="00251099">
      <w:pPr>
        <w:widowControl w:val="0"/>
        <w:autoSpaceDE w:val="0"/>
        <w:autoSpaceDN w:val="0"/>
        <w:adjustRightInd w:val="0"/>
        <w:spacing w:line="276" w:lineRule="auto"/>
        <w:ind w:left="426" w:firstLine="567"/>
        <w:contextualSpacing/>
        <w:rPr>
          <w:rFonts w:eastAsia="Times New Roman" w:cs="Tahoma"/>
          <w:szCs w:val="24"/>
          <w:lang w:eastAsia="es-ES"/>
        </w:rPr>
      </w:pPr>
    </w:p>
    <w:p w14:paraId="59C4EE30" w14:textId="77777777" w:rsidR="00CE0E35" w:rsidRPr="0004733C" w:rsidRDefault="00CE0E35" w:rsidP="00251099">
      <w:pPr>
        <w:widowControl w:val="0"/>
        <w:numPr>
          <w:ilvl w:val="0"/>
          <w:numId w:val="10"/>
        </w:numPr>
        <w:autoSpaceDE w:val="0"/>
        <w:autoSpaceDN w:val="0"/>
        <w:adjustRightInd w:val="0"/>
        <w:spacing w:line="276" w:lineRule="auto"/>
        <w:ind w:left="426" w:firstLine="567"/>
        <w:contextualSpacing/>
        <w:rPr>
          <w:rFonts w:eastAsia="Times New Roman" w:cs="Tahoma"/>
          <w:szCs w:val="24"/>
          <w:lang w:eastAsia="es-ES"/>
        </w:rPr>
      </w:pPr>
      <w:r w:rsidRPr="0004733C">
        <w:rPr>
          <w:rFonts w:eastAsia="Times New Roman" w:cs="Tahoma"/>
          <w:szCs w:val="24"/>
          <w:lang w:eastAsia="es-ES"/>
        </w:rPr>
        <w:t>Definir si para dar por cumplido el deber de información de las AFP es suficiente el diligenciamiento del formulario de afiliación.</w:t>
      </w:r>
      <w:r w:rsidRPr="0004733C">
        <w:rPr>
          <w:rFonts w:eastAsia="Times New Roman" w:cs="Tahoma"/>
          <w:color w:val="FF0000"/>
          <w:szCs w:val="24"/>
          <w:lang w:eastAsia="es-ES"/>
        </w:rPr>
        <w:t xml:space="preserve"> </w:t>
      </w:r>
    </w:p>
    <w:p w14:paraId="72F29235" w14:textId="77777777" w:rsidR="00CE0E35" w:rsidRPr="0004733C" w:rsidRDefault="00CE0E35" w:rsidP="00251099">
      <w:pPr>
        <w:spacing w:line="276" w:lineRule="auto"/>
        <w:ind w:left="426" w:firstLine="567"/>
        <w:contextualSpacing/>
        <w:jc w:val="left"/>
        <w:rPr>
          <w:rFonts w:eastAsia="Times New Roman" w:cs="Tahoma"/>
          <w:szCs w:val="24"/>
          <w:lang w:eastAsia="es-ES"/>
        </w:rPr>
      </w:pPr>
    </w:p>
    <w:p w14:paraId="5EDFF53C" w14:textId="77777777" w:rsidR="00CE0E35" w:rsidRPr="0004733C" w:rsidRDefault="00CE0E35" w:rsidP="00251099">
      <w:pPr>
        <w:widowControl w:val="0"/>
        <w:numPr>
          <w:ilvl w:val="0"/>
          <w:numId w:val="10"/>
        </w:numPr>
        <w:autoSpaceDE w:val="0"/>
        <w:autoSpaceDN w:val="0"/>
        <w:adjustRightInd w:val="0"/>
        <w:spacing w:line="276" w:lineRule="auto"/>
        <w:ind w:left="426" w:firstLine="567"/>
        <w:contextualSpacing/>
        <w:rPr>
          <w:rFonts w:eastAsia="Times New Roman" w:cs="Tahoma"/>
          <w:szCs w:val="24"/>
          <w:lang w:eastAsia="es-ES"/>
        </w:rPr>
      </w:pPr>
      <w:r w:rsidRPr="0004733C">
        <w:rPr>
          <w:rFonts w:eastAsia="Times New Roman" w:cs="Tahoma"/>
          <w:szCs w:val="24"/>
          <w:lang w:eastAsia="es-ES"/>
        </w:rPr>
        <w:t xml:space="preserve"> Determinar la carga probatoria que les corresponde a cada una de las partes cuando está en discusión la eficacia del traslado entre regímenes pensionales.</w:t>
      </w:r>
    </w:p>
    <w:p w14:paraId="50CFF3E9" w14:textId="77777777" w:rsidR="00CE0E35" w:rsidRPr="0004733C" w:rsidRDefault="00CE0E35" w:rsidP="00251099">
      <w:pPr>
        <w:spacing w:line="276" w:lineRule="auto"/>
        <w:ind w:left="426" w:firstLine="567"/>
        <w:contextualSpacing/>
        <w:jc w:val="left"/>
        <w:rPr>
          <w:rFonts w:eastAsia="Times New Roman" w:cs="Tahoma"/>
          <w:szCs w:val="24"/>
          <w:lang w:eastAsia="es-ES"/>
        </w:rPr>
      </w:pPr>
    </w:p>
    <w:p w14:paraId="54CD07D0" w14:textId="77777777" w:rsidR="00CE0E35" w:rsidRPr="0004733C" w:rsidRDefault="00CE0E35" w:rsidP="00251099">
      <w:pPr>
        <w:widowControl w:val="0"/>
        <w:numPr>
          <w:ilvl w:val="0"/>
          <w:numId w:val="10"/>
        </w:numPr>
        <w:autoSpaceDE w:val="0"/>
        <w:autoSpaceDN w:val="0"/>
        <w:adjustRightInd w:val="0"/>
        <w:spacing w:line="276" w:lineRule="auto"/>
        <w:ind w:left="426" w:firstLine="567"/>
        <w:contextualSpacing/>
        <w:rPr>
          <w:rFonts w:eastAsia="Times New Roman" w:cs="Tahoma"/>
          <w:szCs w:val="24"/>
          <w:lang w:eastAsia="es-ES"/>
        </w:rPr>
      </w:pPr>
      <w:r w:rsidRPr="0004733C">
        <w:rPr>
          <w:rFonts w:eastAsia="Times New Roman" w:cs="Tahoma"/>
          <w:szCs w:val="24"/>
          <w:lang w:eastAsia="es-ES"/>
        </w:rPr>
        <w:t>Analizar si quedó probado en el proceso que la parte demandante recibió de parte de la AFP demandada la asesoría e información suficiente y necesaria para hacer el cambio de régimen.</w:t>
      </w:r>
    </w:p>
    <w:p w14:paraId="58B18C0E" w14:textId="77777777" w:rsidR="00CE0E35" w:rsidRPr="0004733C" w:rsidRDefault="00CE0E35" w:rsidP="00251099">
      <w:pPr>
        <w:spacing w:line="276" w:lineRule="auto"/>
        <w:ind w:left="426" w:firstLine="567"/>
        <w:contextualSpacing/>
        <w:rPr>
          <w:rFonts w:eastAsia="Times New Roman" w:cs="Tahoma"/>
          <w:szCs w:val="24"/>
          <w:lang w:eastAsia="es-ES"/>
        </w:rPr>
      </w:pPr>
    </w:p>
    <w:p w14:paraId="2E56D898" w14:textId="77777777" w:rsidR="003C480F" w:rsidRPr="0004733C" w:rsidRDefault="003C480F" w:rsidP="00251099">
      <w:pPr>
        <w:widowControl w:val="0"/>
        <w:numPr>
          <w:ilvl w:val="0"/>
          <w:numId w:val="10"/>
        </w:numPr>
        <w:autoSpaceDE w:val="0"/>
        <w:autoSpaceDN w:val="0"/>
        <w:adjustRightInd w:val="0"/>
        <w:spacing w:line="276" w:lineRule="auto"/>
        <w:ind w:left="426" w:firstLine="567"/>
        <w:contextualSpacing/>
        <w:rPr>
          <w:rFonts w:eastAsia="Times New Roman" w:cs="Tahoma"/>
          <w:szCs w:val="24"/>
          <w:lang w:eastAsia="es-ES"/>
        </w:rPr>
      </w:pPr>
      <w:r w:rsidRPr="0004733C">
        <w:rPr>
          <w:rFonts w:eastAsia="Times New Roman" w:cs="Tahoma"/>
          <w:szCs w:val="24"/>
          <w:lang w:eastAsia="es-ES"/>
        </w:rPr>
        <w:t>Definir si el movimiento del afiliado dentro del RAIS convalida el primer traslado que hizo del RPM al RAIS.</w:t>
      </w:r>
    </w:p>
    <w:p w14:paraId="54BFFB16" w14:textId="77777777" w:rsidR="003C480F" w:rsidRPr="0004733C" w:rsidRDefault="003C480F" w:rsidP="00251099">
      <w:pPr>
        <w:pStyle w:val="Prrafodelista"/>
        <w:spacing w:line="276" w:lineRule="auto"/>
        <w:ind w:left="426" w:firstLine="567"/>
        <w:rPr>
          <w:rFonts w:eastAsia="Times New Roman" w:cs="Tahoma"/>
          <w:szCs w:val="24"/>
          <w:lang w:eastAsia="es-ES"/>
        </w:rPr>
      </w:pPr>
    </w:p>
    <w:p w14:paraId="641059D9" w14:textId="77777777" w:rsidR="00CE0E35" w:rsidRPr="0004733C" w:rsidRDefault="00CE0E35" w:rsidP="00251099">
      <w:pPr>
        <w:widowControl w:val="0"/>
        <w:numPr>
          <w:ilvl w:val="0"/>
          <w:numId w:val="10"/>
        </w:numPr>
        <w:autoSpaceDE w:val="0"/>
        <w:autoSpaceDN w:val="0"/>
        <w:adjustRightInd w:val="0"/>
        <w:spacing w:line="276" w:lineRule="auto"/>
        <w:ind w:left="426" w:firstLine="567"/>
        <w:contextualSpacing/>
        <w:rPr>
          <w:rFonts w:eastAsia="Times New Roman" w:cs="Tahoma"/>
          <w:szCs w:val="24"/>
          <w:lang w:eastAsia="es-ES"/>
        </w:rPr>
      </w:pPr>
      <w:r w:rsidRPr="0004733C">
        <w:rPr>
          <w:rFonts w:eastAsia="Times New Roman" w:cs="Tahoma"/>
          <w:szCs w:val="24"/>
          <w:lang w:eastAsia="es-ES"/>
        </w:rPr>
        <w:t>Establecer si es dable ordenar la devolución de los gastos de</w:t>
      </w:r>
      <w:r w:rsidRPr="0004733C">
        <w:rPr>
          <w:rFonts w:eastAsia="Times New Roman" w:cs="Tahoma"/>
          <w:szCs w:val="24"/>
          <w:lang w:eastAsia="es-ES"/>
        </w:rPr>
        <w:br/>
        <w:t>administración, rendimientos y seguros previsionales a Colpensiones, con cargo a sus propios recursos y debidamente indexados, durante el periodo en que estuvo afiliada la parte demandante en cada entidad.</w:t>
      </w:r>
    </w:p>
    <w:p w14:paraId="6253D862" w14:textId="77777777" w:rsidR="00CE0E35" w:rsidRPr="0004733C" w:rsidRDefault="00CE0E35" w:rsidP="00251099">
      <w:pPr>
        <w:spacing w:line="276" w:lineRule="auto"/>
        <w:ind w:left="426" w:firstLine="567"/>
        <w:contextualSpacing/>
        <w:jc w:val="left"/>
        <w:rPr>
          <w:rFonts w:eastAsia="Times New Roman" w:cs="Tahoma"/>
          <w:szCs w:val="24"/>
          <w:lang w:val="es-ES" w:eastAsia="es-ES"/>
        </w:rPr>
      </w:pPr>
    </w:p>
    <w:p w14:paraId="45A11FC9" w14:textId="77777777" w:rsidR="00CE0E35" w:rsidRPr="0004733C" w:rsidRDefault="00CE0E35" w:rsidP="00251099">
      <w:pPr>
        <w:widowControl w:val="0"/>
        <w:numPr>
          <w:ilvl w:val="0"/>
          <w:numId w:val="10"/>
        </w:numPr>
        <w:tabs>
          <w:tab w:val="left" w:pos="1134"/>
        </w:tabs>
        <w:autoSpaceDE w:val="0"/>
        <w:autoSpaceDN w:val="0"/>
        <w:adjustRightInd w:val="0"/>
        <w:spacing w:line="276" w:lineRule="auto"/>
        <w:ind w:left="426" w:firstLine="567"/>
        <w:contextualSpacing/>
        <w:rPr>
          <w:rFonts w:eastAsia="Times New Roman" w:cs="Tahoma"/>
          <w:szCs w:val="24"/>
          <w:lang w:eastAsia="es-ES"/>
        </w:rPr>
      </w:pPr>
      <w:r w:rsidRPr="0004733C">
        <w:rPr>
          <w:rFonts w:eastAsia="Times New Roman" w:cs="Tahoma"/>
          <w:szCs w:val="24"/>
          <w:lang w:eastAsia="es-ES"/>
        </w:rPr>
        <w:t>Establecer si hay lugar a exonerar en costas a la AFP del RAIS P</w:t>
      </w:r>
      <w:r w:rsidR="007E2ABD" w:rsidRPr="0004733C">
        <w:rPr>
          <w:rFonts w:eastAsia="Times New Roman" w:cs="Tahoma"/>
          <w:szCs w:val="24"/>
          <w:lang w:eastAsia="es-ES"/>
        </w:rPr>
        <w:t xml:space="preserve">rotección </w:t>
      </w:r>
      <w:r w:rsidRPr="0004733C">
        <w:rPr>
          <w:rFonts w:eastAsia="Times New Roman" w:cs="Tahoma"/>
          <w:szCs w:val="24"/>
          <w:lang w:eastAsia="es-ES"/>
        </w:rPr>
        <w:t>S.A.</w:t>
      </w:r>
    </w:p>
    <w:p w14:paraId="514D4958" w14:textId="77777777" w:rsidR="00CE0E35" w:rsidRPr="0004733C" w:rsidRDefault="00CE0E35" w:rsidP="0004733C">
      <w:pPr>
        <w:spacing w:line="276" w:lineRule="auto"/>
        <w:ind w:left="709"/>
        <w:contextualSpacing/>
        <w:jc w:val="left"/>
        <w:textAlignment w:val="baseline"/>
        <w:rPr>
          <w:rFonts w:eastAsia="Times New Roman" w:cs="Tahoma"/>
          <w:szCs w:val="24"/>
          <w:lang w:eastAsia="es-CO"/>
        </w:rPr>
      </w:pPr>
    </w:p>
    <w:p w14:paraId="1D03A151" w14:textId="77777777" w:rsidR="00CE0E35" w:rsidRPr="0004733C" w:rsidRDefault="00CE0E35" w:rsidP="0004733C">
      <w:pPr>
        <w:numPr>
          <w:ilvl w:val="0"/>
          <w:numId w:val="1"/>
        </w:numPr>
        <w:spacing w:line="276" w:lineRule="auto"/>
        <w:contextualSpacing/>
        <w:jc w:val="center"/>
        <w:rPr>
          <w:rFonts w:eastAsia="Times New Roman" w:cs="Tahoma"/>
          <w:b/>
          <w:bCs/>
          <w:szCs w:val="24"/>
          <w:lang w:eastAsia="es-ES"/>
        </w:rPr>
      </w:pPr>
      <w:r w:rsidRPr="0004733C">
        <w:rPr>
          <w:rFonts w:eastAsia="Times New Roman" w:cs="Tahoma"/>
          <w:b/>
          <w:bCs/>
          <w:szCs w:val="24"/>
          <w:lang w:eastAsia="es-ES"/>
        </w:rPr>
        <w:t>Consideraciones</w:t>
      </w:r>
    </w:p>
    <w:p w14:paraId="2F506CEE" w14:textId="77777777" w:rsidR="00CE0E35" w:rsidRPr="0004733C" w:rsidRDefault="00CE0E35" w:rsidP="0004733C">
      <w:pPr>
        <w:widowControl w:val="0"/>
        <w:autoSpaceDE w:val="0"/>
        <w:autoSpaceDN w:val="0"/>
        <w:adjustRightInd w:val="0"/>
        <w:spacing w:line="276" w:lineRule="auto"/>
        <w:rPr>
          <w:rFonts w:cs="Tahoma"/>
          <w:b/>
          <w:szCs w:val="24"/>
        </w:rPr>
      </w:pPr>
    </w:p>
    <w:p w14:paraId="3B6FAB65" w14:textId="77777777" w:rsidR="00CB337E" w:rsidRPr="00CB337E" w:rsidRDefault="00CB337E" w:rsidP="00CB337E">
      <w:pPr>
        <w:numPr>
          <w:ilvl w:val="1"/>
          <w:numId w:val="11"/>
        </w:numPr>
        <w:spacing w:line="276" w:lineRule="auto"/>
        <w:contextualSpacing/>
        <w:rPr>
          <w:rFonts w:eastAsia="Times New Roman" w:cs="Tahoma"/>
          <w:b/>
          <w:szCs w:val="24"/>
          <w:lang w:eastAsia="es-ES"/>
        </w:rPr>
      </w:pPr>
      <w:r w:rsidRPr="00CB337E">
        <w:rPr>
          <w:rFonts w:eastAsia="Times New Roman" w:cs="Tahoma"/>
          <w:b/>
          <w:szCs w:val="24"/>
          <w:lang w:eastAsia="es-ES"/>
        </w:rPr>
        <w:t xml:space="preserve">Precedente vertical: la tesis de la Corte Suprema de Justicia respecto al tema de la ineficacia del traslado constituye doctrina probable </w:t>
      </w:r>
    </w:p>
    <w:p w14:paraId="460F1FBA" w14:textId="77777777" w:rsidR="00CB337E" w:rsidRPr="00CB337E" w:rsidRDefault="00CB337E" w:rsidP="00CB337E">
      <w:pPr>
        <w:spacing w:line="276" w:lineRule="auto"/>
        <w:ind w:firstLine="709"/>
        <w:rPr>
          <w:rFonts w:eastAsia="Calibri" w:cs="Tahoma"/>
          <w:szCs w:val="24"/>
        </w:rPr>
      </w:pPr>
    </w:p>
    <w:p w14:paraId="4D40FAD6" w14:textId="77777777" w:rsidR="00CB337E" w:rsidRPr="00CB337E" w:rsidRDefault="00CB337E" w:rsidP="00CB337E">
      <w:pPr>
        <w:spacing w:line="276" w:lineRule="auto"/>
        <w:ind w:firstLine="709"/>
        <w:rPr>
          <w:rFonts w:eastAsia="Calibri" w:cs="Tahoma"/>
          <w:spacing w:val="-4"/>
          <w:szCs w:val="24"/>
        </w:rPr>
      </w:pPr>
      <w:r w:rsidRPr="00CB337E">
        <w:rPr>
          <w:rFonts w:eastAsia="Calibri" w:cs="Tahoma"/>
          <w:szCs w:val="24"/>
        </w:rPr>
        <w:t xml:space="preserve">En la actualidad existe </w:t>
      </w:r>
      <w:r w:rsidRPr="00CB337E">
        <w:rPr>
          <w:rFonts w:eastAsia="Calibri" w:cs="Tahoma"/>
          <w:b/>
          <w:szCs w:val="24"/>
        </w:rPr>
        <w:t>doctrina probable</w:t>
      </w:r>
      <w:r w:rsidRPr="00CB337E">
        <w:rPr>
          <w:rFonts w:eastAsia="Calibri" w:cs="Tahoma"/>
          <w:szCs w:val="24"/>
        </w:rPr>
        <w:t xml:space="preserve"> respecto a la ineficacia de los traslados de regímenes, por cuanto la Sala de Casación Laboral ha proferido sobre el tema un número considerable de sentencias (más de 40), entre otras, las siguientes: </w:t>
      </w:r>
    </w:p>
    <w:p w14:paraId="50E3BC88" w14:textId="77777777" w:rsidR="00CB337E" w:rsidRPr="00CB337E" w:rsidRDefault="00CB337E" w:rsidP="00CB337E">
      <w:pPr>
        <w:spacing w:line="276" w:lineRule="auto"/>
        <w:jc w:val="left"/>
        <w:rPr>
          <w:rFonts w:eastAsia="Times New Roman" w:cs="Tahoma"/>
          <w:szCs w:val="24"/>
          <w:lang w:eastAsia="es-ES"/>
        </w:rPr>
      </w:pPr>
    </w:p>
    <w:p w14:paraId="4BC4909C" w14:textId="77777777" w:rsidR="00CB337E" w:rsidRPr="00CB337E" w:rsidRDefault="00CB337E" w:rsidP="00CB337E">
      <w:pPr>
        <w:spacing w:line="276" w:lineRule="auto"/>
        <w:ind w:firstLine="708"/>
        <w:rPr>
          <w:rFonts w:eastAsia="Times New Roman" w:cs="Tahoma"/>
          <w:szCs w:val="24"/>
          <w:lang w:eastAsia="es-ES"/>
        </w:rPr>
      </w:pPr>
      <w:r w:rsidRPr="00CB337E">
        <w:rPr>
          <w:rFonts w:eastAsia="Times New Roman" w:cs="Tahoma"/>
          <w:bCs/>
          <w:szCs w:val="24"/>
          <w:lang w:eastAsia="es-ES"/>
        </w:rPr>
        <w:t xml:space="preserve">SL 31989 del 9 sep. 2008, </w:t>
      </w:r>
      <w:r w:rsidRPr="00CB337E">
        <w:rPr>
          <w:rFonts w:eastAsia="Times New Roman" w:cs="Tahoma"/>
          <w:szCs w:val="24"/>
          <w:lang w:eastAsia="es-ES"/>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EEC9D64" w14:textId="77777777" w:rsidR="00CB337E" w:rsidRPr="00CB337E" w:rsidRDefault="00CB337E" w:rsidP="00CB337E">
      <w:pPr>
        <w:spacing w:line="276" w:lineRule="auto"/>
        <w:jc w:val="left"/>
        <w:rPr>
          <w:rFonts w:eastAsia="Times New Roman" w:cs="Tahoma"/>
          <w:szCs w:val="24"/>
          <w:lang w:eastAsia="es-ES"/>
        </w:rPr>
      </w:pPr>
    </w:p>
    <w:p w14:paraId="665EF4AB" w14:textId="77777777" w:rsidR="00CB337E" w:rsidRPr="00CB337E" w:rsidRDefault="00CB337E" w:rsidP="00CB337E">
      <w:pPr>
        <w:spacing w:line="276" w:lineRule="auto"/>
        <w:ind w:firstLine="708"/>
        <w:rPr>
          <w:rFonts w:eastAsia="Times New Roman" w:cs="Tahoma"/>
          <w:spacing w:val="-4"/>
          <w:szCs w:val="24"/>
          <w:lang w:eastAsia="es-ES"/>
        </w:rPr>
      </w:pPr>
      <w:r w:rsidRPr="00CB337E">
        <w:rPr>
          <w:rFonts w:eastAsia="Times New Roman" w:cs="Tahoma"/>
          <w:szCs w:val="24"/>
          <w:lang w:eastAsia="es-ES"/>
        </w:rPr>
        <w:t xml:space="preserve">En términos generales, en todas estas sentencias se determinó </w:t>
      </w:r>
      <w:r w:rsidRPr="00CB337E">
        <w:rPr>
          <w:rFonts w:eastAsia="Times New Roman" w:cs="Tahoma"/>
          <w:i/>
          <w:szCs w:val="24"/>
          <w:lang w:eastAsia="es-ES"/>
        </w:rPr>
        <w:t xml:space="preserve">i) </w:t>
      </w:r>
      <w:r w:rsidRPr="00CB337E">
        <w:rPr>
          <w:rFonts w:eastAsia="Times New Roman" w:cs="Tahoma"/>
          <w:szCs w:val="24"/>
          <w:lang w:eastAsia="es-ES"/>
        </w:rPr>
        <w:t xml:space="preserve">el alcance del deber de información a cargo de las Administradoras de Fondos de Pensiones, </w:t>
      </w:r>
      <w:r w:rsidRPr="00CB337E">
        <w:rPr>
          <w:rFonts w:eastAsia="Times New Roman" w:cs="Tahoma"/>
          <w:i/>
          <w:szCs w:val="24"/>
          <w:lang w:eastAsia="es-ES"/>
        </w:rPr>
        <w:t xml:space="preserve">ii) </w:t>
      </w:r>
      <w:r w:rsidRPr="00CB337E">
        <w:rPr>
          <w:rFonts w:eastAsia="Times New Roman" w:cs="Tahoma"/>
          <w:szCs w:val="24"/>
          <w:lang w:eastAsia="es-ES"/>
        </w:rPr>
        <w:t xml:space="preserve">la procedencia de la ineficacia del traslado, </w:t>
      </w:r>
      <w:r w:rsidRPr="00CB337E">
        <w:rPr>
          <w:rFonts w:eastAsia="Times New Roman" w:cs="Tahoma"/>
          <w:i/>
          <w:szCs w:val="24"/>
          <w:lang w:eastAsia="es-ES"/>
        </w:rPr>
        <w:t xml:space="preserve">iii) </w:t>
      </w:r>
      <w:r w:rsidRPr="00CB337E">
        <w:rPr>
          <w:rFonts w:eastAsia="Times New Roman" w:cs="Tahoma"/>
          <w:szCs w:val="24"/>
          <w:lang w:eastAsia="es-ES"/>
        </w:rPr>
        <w:t xml:space="preserve">la inversión de la carga de la prueba en </w:t>
      </w:r>
      <w:r w:rsidRPr="00CB337E">
        <w:rPr>
          <w:rFonts w:eastAsia="Times New Roman" w:cs="Tahoma"/>
          <w:szCs w:val="24"/>
          <w:lang w:eastAsia="es-ES"/>
        </w:rPr>
        <w:lastRenderedPageBreak/>
        <w:t>favor del afiliado.</w:t>
      </w:r>
      <w:r w:rsidRPr="00CB337E">
        <w:rPr>
          <w:rFonts w:eastAsia="Times New Roman" w:cs="Tahoma"/>
          <w:spacing w:val="-4"/>
          <w:szCs w:val="24"/>
          <w:lang w:eastAsia="es-ES"/>
        </w:rPr>
        <w:t xml:space="preserve"> Todos los problemas jurídicos planteados en este asunto, fueron objeto de estudio por parte de la Sala de Casación Laboral, de modo que basta referirnos a su precedente para dar respuesta a los mismos, como veremos a continuación.</w:t>
      </w:r>
    </w:p>
    <w:p w14:paraId="63DD412D" w14:textId="77777777" w:rsidR="00CB337E" w:rsidRPr="00CB337E" w:rsidRDefault="00CB337E" w:rsidP="00CB337E">
      <w:pPr>
        <w:tabs>
          <w:tab w:val="left" w:pos="-720"/>
        </w:tabs>
        <w:suppressAutoHyphens/>
        <w:spacing w:line="276" w:lineRule="auto"/>
        <w:ind w:left="644"/>
        <w:contextualSpacing/>
        <w:jc w:val="left"/>
        <w:rPr>
          <w:rFonts w:eastAsia="Times New Roman" w:cs="Tahoma"/>
          <w:spacing w:val="-3"/>
          <w:kern w:val="2"/>
          <w:szCs w:val="24"/>
          <w:lang w:eastAsia="es-ES"/>
        </w:rPr>
      </w:pPr>
    </w:p>
    <w:p w14:paraId="3A1A3B42" w14:textId="77777777" w:rsidR="00CB337E" w:rsidRPr="00CB337E" w:rsidRDefault="00CB337E" w:rsidP="00CB337E">
      <w:pPr>
        <w:numPr>
          <w:ilvl w:val="1"/>
          <w:numId w:val="11"/>
        </w:numPr>
        <w:spacing w:line="276" w:lineRule="auto"/>
        <w:ind w:left="0" w:firstLine="709"/>
        <w:contextualSpacing/>
        <w:rPr>
          <w:rFonts w:eastAsia="Times New Roman" w:cs="Tahoma"/>
          <w:b/>
          <w:iCs/>
          <w:spacing w:val="-4"/>
          <w:szCs w:val="24"/>
          <w:lang w:eastAsia="es-ES"/>
        </w:rPr>
      </w:pPr>
      <w:r w:rsidRPr="00CB337E">
        <w:rPr>
          <w:rFonts w:eastAsia="Times New Roman" w:cs="Tahoma"/>
          <w:b/>
          <w:iCs/>
          <w:spacing w:val="-4"/>
          <w:szCs w:val="24"/>
          <w:lang w:eastAsia="es-ES"/>
        </w:rPr>
        <w:t>“El deber de información a cargo de las administradoras de fondos de pensiones: Un deber exigible desde su creación</w:t>
      </w:r>
      <w:r w:rsidRPr="00CB337E">
        <w:rPr>
          <w:rFonts w:eastAsia="Times New Roman" w:cs="Tahoma"/>
          <w:b/>
          <w:iCs/>
          <w:spacing w:val="-4"/>
          <w:szCs w:val="24"/>
          <w:vertAlign w:val="superscript"/>
          <w:lang w:eastAsia="es-ES"/>
        </w:rPr>
        <w:footnoteReference w:id="2"/>
      </w:r>
      <w:r w:rsidRPr="00CB337E">
        <w:rPr>
          <w:rFonts w:eastAsia="Times New Roman" w:cs="Tahoma"/>
          <w:b/>
          <w:iCs/>
          <w:spacing w:val="-4"/>
          <w:szCs w:val="24"/>
          <w:lang w:eastAsia="es-ES"/>
        </w:rPr>
        <w:t>”</w:t>
      </w:r>
    </w:p>
    <w:p w14:paraId="1B6019A3" w14:textId="77777777" w:rsidR="00CB337E" w:rsidRPr="00CB337E" w:rsidRDefault="00CB337E" w:rsidP="00CB337E">
      <w:pPr>
        <w:tabs>
          <w:tab w:val="left" w:pos="-720"/>
        </w:tabs>
        <w:suppressAutoHyphens/>
        <w:spacing w:line="276" w:lineRule="auto"/>
        <w:ind w:left="644"/>
        <w:contextualSpacing/>
        <w:jc w:val="left"/>
        <w:rPr>
          <w:rFonts w:eastAsia="Times New Roman" w:cs="Tahoma"/>
          <w:i/>
          <w:spacing w:val="-3"/>
          <w:kern w:val="2"/>
          <w:szCs w:val="24"/>
          <w:lang w:eastAsia="es-ES"/>
        </w:rPr>
      </w:pPr>
    </w:p>
    <w:p w14:paraId="50C440B4" w14:textId="77777777" w:rsidR="00CB337E" w:rsidRPr="00CB337E" w:rsidRDefault="00CB337E" w:rsidP="00CB337E">
      <w:pPr>
        <w:tabs>
          <w:tab w:val="left" w:pos="-720"/>
        </w:tabs>
        <w:suppressAutoHyphens/>
        <w:spacing w:line="276" w:lineRule="auto"/>
        <w:ind w:firstLine="709"/>
        <w:rPr>
          <w:rFonts w:eastAsia="Calibri" w:cs="Tahoma"/>
          <w:spacing w:val="-3"/>
          <w:kern w:val="2"/>
          <w:szCs w:val="24"/>
        </w:rPr>
      </w:pPr>
      <w:r w:rsidRPr="00CB337E">
        <w:rPr>
          <w:rFonts w:eastAsia="Calibri" w:cs="Tahoma"/>
          <w:spacing w:val="-3"/>
          <w:kern w:val="2"/>
          <w:szCs w:val="24"/>
        </w:rPr>
        <w:t xml:space="preserve">Dado que las Administradoras de Fondos de Pensiones son organismos profesionales, resulta aplicable el artículo 1604 del Código Civil, según el cual la prueba de la </w:t>
      </w:r>
      <w:r w:rsidRPr="00CB337E">
        <w:rPr>
          <w:rFonts w:eastAsia="Calibri" w:cs="Tahoma"/>
          <w:spacing w:val="-3"/>
          <w:kern w:val="2"/>
          <w:szCs w:val="24"/>
          <w:u w:val="single"/>
        </w:rPr>
        <w:t>debida diligencia y cuidado</w:t>
      </w:r>
      <w:r w:rsidRPr="00CB337E">
        <w:rPr>
          <w:rFonts w:eastAsia="Calibri" w:cs="Tahoma"/>
          <w:spacing w:val="-3"/>
          <w:kern w:val="2"/>
          <w:szCs w:val="24"/>
        </w:rPr>
        <w:t xml:space="preserve"> incumbe a quien ha debido emplearla, atendiendo a las siguientes razones:</w:t>
      </w:r>
    </w:p>
    <w:p w14:paraId="13F325F7" w14:textId="77777777" w:rsidR="00CB337E" w:rsidRPr="00CB337E" w:rsidRDefault="00CB337E" w:rsidP="00CB337E">
      <w:pPr>
        <w:tabs>
          <w:tab w:val="left" w:pos="-720"/>
        </w:tabs>
        <w:suppressAutoHyphens/>
        <w:spacing w:line="276" w:lineRule="auto"/>
        <w:ind w:left="644"/>
        <w:contextualSpacing/>
        <w:jc w:val="left"/>
        <w:rPr>
          <w:rFonts w:eastAsia="Times New Roman" w:cs="Tahoma"/>
          <w:b/>
          <w:spacing w:val="-3"/>
          <w:kern w:val="2"/>
          <w:szCs w:val="24"/>
          <w:lang w:eastAsia="es-ES"/>
        </w:rPr>
      </w:pPr>
    </w:p>
    <w:p w14:paraId="72042FC5" w14:textId="77777777" w:rsidR="00CB337E" w:rsidRPr="00CB337E" w:rsidRDefault="00CB337E" w:rsidP="00CB337E">
      <w:pPr>
        <w:tabs>
          <w:tab w:val="left" w:pos="-720"/>
        </w:tabs>
        <w:suppressAutoHyphens/>
        <w:spacing w:line="276" w:lineRule="auto"/>
        <w:rPr>
          <w:rFonts w:eastAsia="Times New Roman" w:cs="Tahoma"/>
          <w:spacing w:val="-3"/>
          <w:kern w:val="2"/>
          <w:szCs w:val="24"/>
          <w:lang w:eastAsia="es-ES"/>
        </w:rPr>
      </w:pPr>
      <w:r w:rsidRPr="00CB337E">
        <w:rPr>
          <w:rFonts w:eastAsia="Times New Roman" w:cs="Tahoma"/>
          <w:b/>
          <w:spacing w:val="-3"/>
          <w:kern w:val="2"/>
          <w:szCs w:val="24"/>
          <w:lang w:eastAsia="es-ES"/>
        </w:rPr>
        <w:t>1)</w:t>
      </w:r>
      <w:r w:rsidRPr="00CB337E">
        <w:rPr>
          <w:rFonts w:eastAsia="Times New Roman" w:cs="Tahoma"/>
          <w:spacing w:val="-3"/>
          <w:kern w:val="2"/>
          <w:szCs w:val="24"/>
          <w:lang w:eastAsia="es-ES"/>
        </w:rPr>
        <w:t xml:space="preserve"> Las Administradoras de Fondos de Pensiones tienen deberes de carácter profesional con sus afiliados y con los consumidores del mercado potencial en general. Además, sus actividades se encuentran reguladas por el </w:t>
      </w:r>
      <w:r w:rsidRPr="00CB337E">
        <w:rPr>
          <w:rFonts w:eastAsia="Times New Roman" w:cs="Tahoma"/>
          <w:spacing w:val="-3"/>
          <w:kern w:val="2"/>
          <w:szCs w:val="24"/>
          <w:u w:val="single"/>
          <w:lang w:eastAsia="es-ES"/>
        </w:rPr>
        <w:t>Decreto 663 de 1993</w:t>
      </w:r>
      <w:r w:rsidRPr="00CB337E">
        <w:rPr>
          <w:rFonts w:eastAsia="Times New Roman" w:cs="Tahoma"/>
          <w:spacing w:val="-3"/>
          <w:kern w:val="2"/>
          <w:szCs w:val="24"/>
          <w:u w:val="single"/>
          <w:vertAlign w:val="superscript"/>
          <w:lang w:eastAsia="es-ES"/>
        </w:rPr>
        <w:footnoteReference w:id="3"/>
      </w:r>
      <w:r w:rsidRPr="00CB337E">
        <w:rPr>
          <w:rFonts w:eastAsia="Times New Roman" w:cs="Tahoma"/>
          <w:spacing w:val="-3"/>
          <w:kern w:val="2"/>
          <w:szCs w:val="24"/>
          <w:lang w:eastAsia="es-ES"/>
        </w:rPr>
        <w:t>, norma en la que se destaca la importancia de los principios de debida diligencia, transparencia e información cierta, suficiente y oportuna.</w:t>
      </w:r>
    </w:p>
    <w:p w14:paraId="25A99DDE" w14:textId="77777777" w:rsidR="00CB337E" w:rsidRPr="00CB337E" w:rsidRDefault="00CB337E" w:rsidP="00CB337E">
      <w:pPr>
        <w:tabs>
          <w:tab w:val="left" w:pos="-720"/>
        </w:tabs>
        <w:suppressAutoHyphens/>
        <w:spacing w:line="276" w:lineRule="auto"/>
        <w:jc w:val="left"/>
        <w:rPr>
          <w:rFonts w:eastAsia="Times New Roman" w:cs="Tahoma"/>
          <w:spacing w:val="-3"/>
          <w:kern w:val="2"/>
          <w:szCs w:val="24"/>
          <w:lang w:eastAsia="es-ES"/>
        </w:rPr>
      </w:pPr>
    </w:p>
    <w:p w14:paraId="771A0684" w14:textId="77777777" w:rsidR="00CB337E" w:rsidRPr="00CB337E" w:rsidRDefault="00CB337E" w:rsidP="00CB337E">
      <w:pPr>
        <w:tabs>
          <w:tab w:val="left" w:pos="-720"/>
        </w:tabs>
        <w:suppressAutoHyphens/>
        <w:spacing w:line="276" w:lineRule="auto"/>
        <w:rPr>
          <w:rFonts w:eastAsia="Times New Roman" w:cs="Tahoma"/>
          <w:color w:val="000000"/>
          <w:szCs w:val="24"/>
          <w:lang w:eastAsia="es-ES"/>
        </w:rPr>
      </w:pPr>
      <w:r w:rsidRPr="00CB337E">
        <w:rPr>
          <w:rFonts w:eastAsia="Times New Roman" w:cs="Tahoma"/>
          <w:b/>
          <w:spacing w:val="-3"/>
          <w:kern w:val="2"/>
          <w:szCs w:val="24"/>
          <w:lang w:eastAsia="es-ES"/>
        </w:rPr>
        <w:t>2)</w:t>
      </w:r>
      <w:r w:rsidRPr="00CB337E">
        <w:rPr>
          <w:rFonts w:eastAsia="Times New Roman" w:cs="Tahoma"/>
          <w:spacing w:val="-3"/>
          <w:kern w:val="2"/>
          <w:szCs w:val="24"/>
          <w:lang w:eastAsia="es-ES"/>
        </w:rPr>
        <w:t xml:space="preserve"> Adicionalmente, se tiene previsto en el artículo 12 del Decreto 720 de 1994, que lo</w:t>
      </w:r>
      <w:r w:rsidRPr="00CB337E">
        <w:rPr>
          <w:rFonts w:eastAsia="Times New Roman" w:cs="Tahoma"/>
          <w:color w:val="000000"/>
          <w:szCs w:val="24"/>
          <w:lang w:eastAsia="es-ES"/>
        </w:rPr>
        <w:t xml:space="preserve">s promotores que empleen las sociedades administradoras del sistema general de pensiones deberán suministrar </w:t>
      </w:r>
      <w:r w:rsidRPr="00CB337E">
        <w:rPr>
          <w:rFonts w:eastAsia="Times New Roman" w:cs="Tahoma"/>
          <w:color w:val="000000"/>
          <w:szCs w:val="24"/>
          <w:u w:val="single"/>
          <w:lang w:eastAsia="es-ES"/>
        </w:rPr>
        <w:t>suficiente, amplia y oportuna</w:t>
      </w:r>
      <w:r w:rsidRPr="00CB337E">
        <w:rPr>
          <w:rFonts w:eastAsia="Times New Roman" w:cs="Tahoma"/>
          <w:color w:val="000000"/>
          <w:szCs w:val="24"/>
          <w:lang w:eastAsia="es-ES"/>
        </w:rPr>
        <w:t xml:space="preserve"> información a los posibles afiliados al momento de la promoción de la afiliación y durante toda la vinculación con ocasión de las prestaciones a las cuales tenga derecho el afiliado. </w:t>
      </w:r>
    </w:p>
    <w:p w14:paraId="3C78F0FC" w14:textId="77777777" w:rsidR="00CB337E" w:rsidRPr="00CB337E" w:rsidRDefault="00CB337E" w:rsidP="00CB337E">
      <w:pPr>
        <w:tabs>
          <w:tab w:val="left" w:pos="-720"/>
        </w:tabs>
        <w:suppressAutoHyphens/>
        <w:spacing w:line="276" w:lineRule="auto"/>
        <w:jc w:val="left"/>
        <w:rPr>
          <w:rFonts w:eastAsia="Times New Roman" w:cs="Tahoma"/>
          <w:spacing w:val="-3"/>
          <w:kern w:val="2"/>
          <w:szCs w:val="24"/>
          <w:lang w:eastAsia="es-ES"/>
        </w:rPr>
      </w:pPr>
    </w:p>
    <w:p w14:paraId="06C1D748" w14:textId="77777777" w:rsidR="00CB337E" w:rsidRPr="00CB337E" w:rsidRDefault="00CB337E" w:rsidP="00CB337E">
      <w:pPr>
        <w:tabs>
          <w:tab w:val="left" w:pos="-720"/>
        </w:tabs>
        <w:suppressAutoHyphens/>
        <w:spacing w:line="276" w:lineRule="auto"/>
        <w:rPr>
          <w:rFonts w:eastAsia="Times New Roman" w:cs="Tahoma"/>
          <w:spacing w:val="-3"/>
          <w:kern w:val="2"/>
          <w:szCs w:val="24"/>
          <w:lang w:eastAsia="es-ES"/>
        </w:rPr>
      </w:pPr>
      <w:r w:rsidRPr="00CB337E">
        <w:rPr>
          <w:rFonts w:eastAsia="Times New Roman" w:cs="Tahoma"/>
          <w:b/>
          <w:spacing w:val="-3"/>
          <w:kern w:val="2"/>
          <w:szCs w:val="24"/>
          <w:lang w:eastAsia="es-ES"/>
        </w:rPr>
        <w:t>3)</w:t>
      </w:r>
      <w:r w:rsidRPr="00CB337E">
        <w:rPr>
          <w:rFonts w:eastAsia="Times New Roman" w:cs="Tahoma"/>
          <w:spacing w:val="-3"/>
          <w:kern w:val="2"/>
          <w:szCs w:val="24"/>
          <w:lang w:eastAsia="es-ES"/>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556C8F91" w14:textId="77777777" w:rsidR="00CB337E" w:rsidRPr="00CB337E" w:rsidRDefault="00CB337E" w:rsidP="00CB337E">
      <w:pPr>
        <w:tabs>
          <w:tab w:val="left" w:pos="-720"/>
        </w:tabs>
        <w:suppressAutoHyphens/>
        <w:spacing w:line="276" w:lineRule="auto"/>
        <w:jc w:val="left"/>
        <w:rPr>
          <w:rFonts w:eastAsia="Times New Roman" w:cs="Tahoma"/>
          <w:spacing w:val="-3"/>
          <w:kern w:val="2"/>
          <w:szCs w:val="24"/>
          <w:lang w:eastAsia="es-ES"/>
        </w:rPr>
      </w:pPr>
    </w:p>
    <w:p w14:paraId="40CC802C" w14:textId="77777777" w:rsidR="00CB337E" w:rsidRPr="00CB337E" w:rsidRDefault="00CB337E" w:rsidP="00CB337E">
      <w:pPr>
        <w:tabs>
          <w:tab w:val="left" w:pos="-720"/>
        </w:tabs>
        <w:suppressAutoHyphens/>
        <w:spacing w:line="276" w:lineRule="auto"/>
        <w:rPr>
          <w:rFonts w:eastAsia="Times New Roman" w:cs="Tahoma"/>
          <w:iCs/>
          <w:szCs w:val="24"/>
          <w:u w:val="single"/>
          <w:lang w:eastAsia="es-ES"/>
        </w:rPr>
      </w:pPr>
      <w:r w:rsidRPr="00CB337E">
        <w:rPr>
          <w:rFonts w:eastAsia="Times New Roman" w:cs="Tahoma"/>
          <w:b/>
          <w:spacing w:val="-3"/>
          <w:kern w:val="2"/>
          <w:szCs w:val="24"/>
          <w:lang w:eastAsia="es-ES"/>
        </w:rPr>
        <w:t>4)</w:t>
      </w:r>
      <w:r w:rsidRPr="00CB337E">
        <w:rPr>
          <w:rFonts w:eastAsia="Times New Roman" w:cs="Tahoma"/>
          <w:spacing w:val="-3"/>
          <w:kern w:val="2"/>
          <w:szCs w:val="24"/>
          <w:lang w:eastAsia="es-ES"/>
        </w:rPr>
        <w:t xml:space="preserve"> En numerosas sentencias del órgano de cierre de la jurisdicción ordinaria laboral, se ha establecido que no puede argüirse que </w:t>
      </w:r>
      <w:r w:rsidRPr="00CB337E">
        <w:rPr>
          <w:rFonts w:eastAsia="Times New Roman" w:cs="Tahoma"/>
          <w:iCs/>
          <w:szCs w:val="24"/>
          <w:lang w:eastAsia="es-E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CB337E">
        <w:rPr>
          <w:rFonts w:eastAsia="Times New Roman" w:cs="Tahoma"/>
          <w:i/>
          <w:iCs/>
          <w:szCs w:val="24"/>
          <w:lang w:eastAsia="es-ES"/>
        </w:rPr>
        <w:t>“</w:t>
      </w:r>
      <w:r w:rsidRPr="00CB337E">
        <w:rPr>
          <w:rFonts w:eastAsia="Times New Roman" w:cs="Tahoma"/>
          <w:i/>
          <w:iCs/>
          <w:sz w:val="22"/>
          <w:szCs w:val="24"/>
          <w:u w:val="single"/>
          <w:lang w:eastAsia="es-ES"/>
        </w:rPr>
        <w:t>dar cuenta de que documentaron clara y suficientemente los efectos que acarrea el cambio de régimen, so pena de declarar ineficaz ese tránsito</w:t>
      </w:r>
      <w:r w:rsidRPr="00CB337E">
        <w:rPr>
          <w:rFonts w:eastAsia="Times New Roman" w:cs="Tahoma"/>
          <w:i/>
          <w:iCs/>
          <w:szCs w:val="24"/>
          <w:u w:val="single"/>
          <w:lang w:eastAsia="es-ES"/>
        </w:rPr>
        <w:t>”</w:t>
      </w:r>
      <w:r w:rsidRPr="00CB337E">
        <w:rPr>
          <w:rFonts w:eastAsia="Times New Roman" w:cs="Tahoma"/>
          <w:iCs/>
          <w:szCs w:val="24"/>
          <w:u w:val="single"/>
          <w:lang w:eastAsia="es-ES"/>
        </w:rPr>
        <w:t>.</w:t>
      </w:r>
    </w:p>
    <w:p w14:paraId="005DF14E" w14:textId="77777777" w:rsidR="00CB337E" w:rsidRPr="00CB337E" w:rsidRDefault="00CB337E" w:rsidP="00CB337E">
      <w:pPr>
        <w:tabs>
          <w:tab w:val="left" w:pos="-720"/>
        </w:tabs>
        <w:suppressAutoHyphens/>
        <w:spacing w:line="276" w:lineRule="auto"/>
        <w:ind w:left="644"/>
        <w:contextualSpacing/>
        <w:jc w:val="left"/>
        <w:rPr>
          <w:rFonts w:eastAsia="Times New Roman" w:cs="Tahoma"/>
          <w:iCs/>
          <w:szCs w:val="24"/>
          <w:u w:val="single"/>
          <w:lang w:eastAsia="es-ES"/>
        </w:rPr>
      </w:pPr>
    </w:p>
    <w:p w14:paraId="2EFEDE3B" w14:textId="77777777" w:rsidR="00CB337E" w:rsidRPr="00CB337E" w:rsidRDefault="00CB337E" w:rsidP="00CB337E">
      <w:pPr>
        <w:tabs>
          <w:tab w:val="left" w:pos="-720"/>
        </w:tabs>
        <w:suppressAutoHyphens/>
        <w:spacing w:line="276" w:lineRule="auto"/>
        <w:rPr>
          <w:rFonts w:eastAsia="Times New Roman" w:cs="Tahoma"/>
          <w:iCs/>
          <w:szCs w:val="24"/>
          <w:lang w:eastAsia="es-ES"/>
        </w:rPr>
      </w:pPr>
      <w:r w:rsidRPr="00CB337E">
        <w:rPr>
          <w:rFonts w:eastAsia="Times New Roman" w:cs="Tahoma"/>
          <w:iCs/>
          <w:szCs w:val="24"/>
          <w:lang w:eastAsia="es-E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w:t>
      </w:r>
      <w:r w:rsidRPr="00CB337E">
        <w:rPr>
          <w:rFonts w:eastAsia="Times New Roman" w:cs="Tahoma"/>
          <w:iCs/>
          <w:szCs w:val="24"/>
          <w:lang w:eastAsia="es-ES"/>
        </w:rPr>
        <w:lastRenderedPageBreak/>
        <w:t xml:space="preserve">transmitirle al afiliado toda aquella información que resultaba relevante para que tomara una decisión de tal trascendencia. </w:t>
      </w:r>
    </w:p>
    <w:p w14:paraId="02A04D50" w14:textId="77777777" w:rsidR="00CB337E" w:rsidRPr="00CB337E" w:rsidRDefault="00CB337E" w:rsidP="00CB337E">
      <w:pPr>
        <w:tabs>
          <w:tab w:val="left" w:pos="-720"/>
        </w:tabs>
        <w:suppressAutoHyphens/>
        <w:spacing w:line="276" w:lineRule="auto"/>
        <w:jc w:val="left"/>
        <w:rPr>
          <w:rFonts w:eastAsia="Times New Roman" w:cs="Tahoma"/>
          <w:iCs/>
          <w:szCs w:val="24"/>
          <w:lang w:eastAsia="es-ES"/>
        </w:rPr>
      </w:pPr>
    </w:p>
    <w:p w14:paraId="5AC2A9B0" w14:textId="77777777" w:rsidR="00CB337E" w:rsidRPr="00CB337E" w:rsidRDefault="00CB337E" w:rsidP="00CB337E">
      <w:pPr>
        <w:tabs>
          <w:tab w:val="left" w:pos="-720"/>
        </w:tabs>
        <w:suppressAutoHyphens/>
        <w:spacing w:line="276" w:lineRule="auto"/>
        <w:rPr>
          <w:rFonts w:eastAsia="Times New Roman" w:cs="Tahoma"/>
          <w:iCs/>
          <w:szCs w:val="24"/>
          <w:lang w:eastAsia="es-ES"/>
        </w:rPr>
      </w:pPr>
      <w:r w:rsidRPr="00CB337E">
        <w:rPr>
          <w:rFonts w:eastAsia="Times New Roman" w:cs="Tahoma"/>
          <w:iCs/>
          <w:szCs w:val="24"/>
          <w:lang w:eastAsia="es-E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78F4A48C" w14:textId="77777777" w:rsidR="00CB337E" w:rsidRPr="00CB337E" w:rsidRDefault="00CB337E" w:rsidP="00CB337E">
      <w:pPr>
        <w:tabs>
          <w:tab w:val="left" w:pos="-720"/>
        </w:tabs>
        <w:suppressAutoHyphens/>
        <w:spacing w:line="276" w:lineRule="auto"/>
        <w:jc w:val="left"/>
        <w:rPr>
          <w:rFonts w:eastAsia="Times New Roman" w:cs="Tahoma"/>
          <w:iCs/>
          <w:szCs w:val="24"/>
          <w:lang w:eastAsia="es-ES"/>
        </w:rPr>
      </w:pPr>
    </w:p>
    <w:p w14:paraId="5C597702" w14:textId="77777777" w:rsidR="00CB337E" w:rsidRPr="00CB337E" w:rsidRDefault="00CB337E" w:rsidP="00CB337E">
      <w:pPr>
        <w:tabs>
          <w:tab w:val="left" w:pos="-720"/>
        </w:tabs>
        <w:suppressAutoHyphens/>
        <w:spacing w:line="276" w:lineRule="auto"/>
        <w:rPr>
          <w:rFonts w:eastAsia="Times New Roman" w:cs="Tahoma"/>
          <w:szCs w:val="24"/>
          <w:lang w:eastAsia="es-ES"/>
        </w:rPr>
      </w:pPr>
      <w:r w:rsidRPr="00CB337E">
        <w:rPr>
          <w:rFonts w:eastAsia="Times New Roman" w:cs="Tahoma"/>
          <w:szCs w:val="24"/>
          <w:lang w:eastAsia="es-ES"/>
        </w:rPr>
        <w:tab/>
        <w:t xml:space="preserve">Ello así, también ha dicho el órgano de cierre de la especialidad laboral, que las </w:t>
      </w:r>
      <w:proofErr w:type="spellStart"/>
      <w:r w:rsidRPr="00CB337E">
        <w:rPr>
          <w:rFonts w:eastAsia="Times New Roman" w:cs="Tahoma"/>
          <w:szCs w:val="24"/>
          <w:lang w:eastAsia="es-ES"/>
        </w:rPr>
        <w:t>AFPs</w:t>
      </w:r>
      <w:proofErr w:type="spellEnd"/>
      <w:r w:rsidRPr="00CB337E">
        <w:rPr>
          <w:rFonts w:eastAsia="Times New Roman" w:cs="Tahoma"/>
          <w:szCs w:val="24"/>
          <w:lang w:eastAsia="es-ES"/>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6F377425" w14:textId="77777777" w:rsidR="00CB337E" w:rsidRPr="00CB337E" w:rsidRDefault="00CB337E" w:rsidP="00CB337E">
      <w:pPr>
        <w:tabs>
          <w:tab w:val="left" w:pos="-720"/>
        </w:tabs>
        <w:suppressAutoHyphens/>
        <w:spacing w:line="276" w:lineRule="auto"/>
        <w:jc w:val="left"/>
        <w:rPr>
          <w:rFonts w:eastAsia="Times New Roman" w:cs="Tahoma"/>
          <w:szCs w:val="24"/>
          <w:lang w:eastAsia="es-ES"/>
        </w:rPr>
      </w:pPr>
    </w:p>
    <w:p w14:paraId="3D6FA946" w14:textId="77777777" w:rsidR="00CB337E" w:rsidRPr="00CB337E" w:rsidRDefault="00CB337E" w:rsidP="00CB337E">
      <w:pPr>
        <w:spacing w:line="276" w:lineRule="auto"/>
        <w:ind w:firstLine="708"/>
        <w:rPr>
          <w:rFonts w:eastAsia="Times New Roman" w:cs="Tahoma"/>
          <w:szCs w:val="24"/>
          <w:lang w:eastAsia="es-ES"/>
        </w:rPr>
      </w:pPr>
      <w:r w:rsidRPr="00CB337E">
        <w:rPr>
          <w:rFonts w:eastAsia="Times New Roman" w:cs="Tahoma"/>
          <w:szCs w:val="24"/>
          <w:lang w:eastAsia="es-ES"/>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CB337E">
        <w:rPr>
          <w:rFonts w:eastAsia="Times New Roman" w:cs="Tahoma"/>
          <w:spacing w:val="-4"/>
          <w:szCs w:val="24"/>
          <w:lang w:eastAsia="es-ES"/>
        </w:rPr>
        <w:t>se hace un didáctico recuento histórico de las normas que rigen la actividad de los Fondos de Pensiones privados, dividiéndolo en 3 etapas, de cuyo análisis se llega a la conclusión de que a las AFP</w:t>
      </w:r>
      <w:r w:rsidRPr="00CB337E">
        <w:rPr>
          <w:rFonts w:eastAsia="Times New Roman" w:cs="Tahoma"/>
          <w:szCs w:val="24"/>
          <w:lang w:eastAsia="es-ES"/>
        </w:rPr>
        <w:t xml:space="preserve"> les compete, desde su creación, el deber de suministrar una información </w:t>
      </w:r>
      <w:r w:rsidRPr="00CB337E">
        <w:rPr>
          <w:rFonts w:eastAsia="Times New Roman" w:cs="Tahoma"/>
          <w:b/>
          <w:szCs w:val="24"/>
          <w:lang w:eastAsia="es-ES"/>
        </w:rPr>
        <w:t xml:space="preserve">necesaria y transparente, </w:t>
      </w:r>
      <w:r w:rsidRPr="00CB337E">
        <w:rPr>
          <w:rFonts w:eastAsia="Times New Roman" w:cs="Tahoma"/>
          <w:szCs w:val="24"/>
          <w:lang w:eastAsia="es-ES"/>
        </w:rPr>
        <w:t xml:space="preserve">que con el </w:t>
      </w:r>
      <w:r w:rsidRPr="00CB337E">
        <w:rPr>
          <w:rFonts w:eastAsia="Times New Roman" w:cs="Tahoma"/>
          <w:spacing w:val="-4"/>
          <w:szCs w:val="24"/>
          <w:lang w:eastAsia="es-ES"/>
        </w:rPr>
        <w:t xml:space="preserve">transcurrir del tiempo esta exigencia cambió, pasando de un deber de información necesaria al de </w:t>
      </w:r>
      <w:r w:rsidRPr="00CB337E">
        <w:rPr>
          <w:rFonts w:eastAsia="Times New Roman" w:cs="Tahoma"/>
          <w:b/>
          <w:spacing w:val="-4"/>
          <w:szCs w:val="24"/>
          <w:lang w:eastAsia="es-ES"/>
        </w:rPr>
        <w:t>asesoría y buen consejo</w:t>
      </w:r>
      <w:r w:rsidRPr="00CB337E">
        <w:rPr>
          <w:rFonts w:eastAsia="Times New Roman" w:cs="Tahoma"/>
          <w:spacing w:val="-4"/>
          <w:szCs w:val="24"/>
          <w:lang w:eastAsia="es-ES"/>
        </w:rPr>
        <w:t xml:space="preserve">, y finalmente al de </w:t>
      </w:r>
      <w:r w:rsidRPr="00CB337E">
        <w:rPr>
          <w:rFonts w:eastAsia="Times New Roman" w:cs="Tahoma"/>
          <w:b/>
          <w:spacing w:val="-4"/>
          <w:szCs w:val="24"/>
          <w:lang w:eastAsia="es-ES"/>
        </w:rPr>
        <w:t>doble asesoría</w:t>
      </w:r>
      <w:r w:rsidRPr="00CB337E">
        <w:rPr>
          <w:rFonts w:eastAsia="Times New Roman" w:cs="Tahoma"/>
          <w:spacing w:val="-4"/>
          <w:szCs w:val="24"/>
          <w:lang w:eastAsia="es-ES"/>
        </w:rPr>
        <w:t xml:space="preserve">, </w:t>
      </w:r>
      <w:r w:rsidRPr="00CB337E">
        <w:rPr>
          <w:rFonts w:eastAsia="Times New Roman" w:cs="Tahoma"/>
          <w:szCs w:val="24"/>
          <w:lang w:eastAsia="es-ES"/>
        </w:rPr>
        <w:t>explicando en qué consiste cada uno de esos conceptos. Dicho recuento histórico, se compendia de la siguiente manera:</w:t>
      </w:r>
    </w:p>
    <w:p w14:paraId="7FBDC9C1" w14:textId="77777777" w:rsidR="00CB337E" w:rsidRPr="00CB337E" w:rsidRDefault="00CB337E" w:rsidP="00CB337E">
      <w:pPr>
        <w:spacing w:line="276" w:lineRule="auto"/>
        <w:ind w:firstLine="708"/>
        <w:jc w:val="left"/>
        <w:rPr>
          <w:rFonts w:eastAsia="Times New Roman" w:cs="Tahoma"/>
          <w:szCs w:val="24"/>
          <w:lang w:eastAsia="es-ES"/>
        </w:rPr>
      </w:pPr>
    </w:p>
    <w:p w14:paraId="2EF1DD76" w14:textId="77777777" w:rsidR="00CB337E" w:rsidRPr="00CB337E" w:rsidRDefault="00CB337E" w:rsidP="00CB337E">
      <w:pPr>
        <w:spacing w:line="240" w:lineRule="auto"/>
        <w:ind w:left="426" w:right="420"/>
        <w:textAlignment w:val="baseline"/>
        <w:rPr>
          <w:rFonts w:eastAsia="Times New Roman" w:cs="Tahoma"/>
          <w:sz w:val="22"/>
          <w:szCs w:val="24"/>
          <w:lang w:val="es-ES" w:eastAsia="es-ES"/>
        </w:rPr>
      </w:pPr>
      <w:r w:rsidRPr="00CB337E">
        <w:rPr>
          <w:rFonts w:eastAsia="Times New Roman" w:cs="Tahoma"/>
          <w:i/>
          <w:iCs/>
          <w:sz w:val="22"/>
          <w:szCs w:val="24"/>
          <w:lang w:val="es-ES" w:eastAsia="es-ES"/>
        </w:rPr>
        <w:t>“El anterior recuento sobre la evolución normativa del deber de información a cargo de las administradoras de pensiones podría, a grandes rasgos, sintetizarse así:</w:t>
      </w:r>
    </w:p>
    <w:p w14:paraId="0FC9C486" w14:textId="77777777" w:rsidR="00CB337E" w:rsidRPr="00CB337E" w:rsidRDefault="00CB337E" w:rsidP="00CB337E">
      <w:pPr>
        <w:spacing w:line="240" w:lineRule="auto"/>
        <w:ind w:left="426" w:right="420"/>
        <w:textAlignment w:val="baseline"/>
        <w:rPr>
          <w:rFonts w:eastAsia="Times New Roman" w:cs="Tahoma"/>
          <w:sz w:val="2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CB337E" w:rsidRPr="00CB337E" w14:paraId="32044586" w14:textId="77777777" w:rsidTr="00B93D2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A84F530"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b/>
                <w:bCs/>
                <w:i/>
                <w:iCs/>
                <w:sz w:val="20"/>
                <w:szCs w:val="24"/>
                <w:lang w:val="es-ES" w:eastAsia="es-ES"/>
              </w:rPr>
              <w:t>Etapa acumulativa</w:t>
            </w:r>
            <w:r w:rsidRPr="00CB337E">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9BF083A"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b/>
                <w:bCs/>
                <w:i/>
                <w:iCs/>
                <w:sz w:val="20"/>
                <w:szCs w:val="24"/>
                <w:lang w:val="es-ES" w:eastAsia="es-ES"/>
              </w:rPr>
              <w:t>Normas que obligan a las administradoras de pensiones a dar información</w:t>
            </w:r>
            <w:r w:rsidRPr="00CB337E">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0AB9872"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b/>
                <w:bCs/>
                <w:i/>
                <w:iCs/>
                <w:sz w:val="20"/>
                <w:szCs w:val="24"/>
                <w:lang w:val="es-ES" w:eastAsia="es-ES"/>
              </w:rPr>
              <w:t>Contenido mínimo y alcance del deber de información</w:t>
            </w:r>
            <w:r w:rsidRPr="00CB337E">
              <w:rPr>
                <w:rFonts w:eastAsia="Times New Roman" w:cs="Tahoma"/>
                <w:sz w:val="20"/>
                <w:szCs w:val="24"/>
                <w:lang w:val="es-ES" w:eastAsia="es-ES"/>
              </w:rPr>
              <w:t> </w:t>
            </w:r>
          </w:p>
        </w:tc>
      </w:tr>
      <w:tr w:rsidR="00CB337E" w:rsidRPr="00CB337E" w14:paraId="5BA3EBFE" w14:textId="77777777" w:rsidTr="00B93D2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8EC0609"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t>Deber de información </w:t>
            </w:r>
            <w:r w:rsidRPr="00CB337E">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1B077BD"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t>Arts. 13 literal b), 271 y 272 de la Ley 100 de 1993</w:t>
            </w:r>
            <w:r w:rsidRPr="00CB337E">
              <w:rPr>
                <w:rFonts w:eastAsia="Times New Roman" w:cs="Tahoma"/>
                <w:sz w:val="20"/>
                <w:szCs w:val="24"/>
                <w:lang w:val="es-ES" w:eastAsia="es-ES"/>
              </w:rPr>
              <w:t> </w:t>
            </w:r>
          </w:p>
          <w:p w14:paraId="29EE59CA"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t>Art. 97, numeral 1 del Decreto 663 de 1993, modificado por el artículo 23 de la Ley 797 de 2003</w:t>
            </w:r>
            <w:r w:rsidRPr="00CB337E">
              <w:rPr>
                <w:rFonts w:eastAsia="Times New Roman" w:cs="Tahoma"/>
                <w:sz w:val="20"/>
                <w:szCs w:val="24"/>
                <w:lang w:val="es-ES" w:eastAsia="es-ES"/>
              </w:rPr>
              <w:t> </w:t>
            </w:r>
          </w:p>
          <w:p w14:paraId="37F762D7"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t>Disposiciones constitucionales relativas al derecho a la información, no menoscabo de derechos laborales y autonomía personal</w:t>
            </w:r>
            <w:r w:rsidRPr="00CB337E">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8979E62"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CB337E">
              <w:rPr>
                <w:rFonts w:eastAsia="Times New Roman" w:cs="Tahoma"/>
                <w:sz w:val="20"/>
                <w:szCs w:val="24"/>
                <w:lang w:val="es-ES" w:eastAsia="es-ES"/>
              </w:rPr>
              <w:t> </w:t>
            </w:r>
          </w:p>
        </w:tc>
      </w:tr>
      <w:tr w:rsidR="00CB337E" w:rsidRPr="00CB337E" w14:paraId="056596ED" w14:textId="77777777" w:rsidTr="00B93D2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AA159AC"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t>Deber de información, asesoría y buen consejo</w:t>
            </w:r>
            <w:r w:rsidRPr="00CB337E">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AF9F2A0"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t>Artículo 3, literal c) de la Ley 1328 de 2009</w:t>
            </w:r>
            <w:r w:rsidRPr="00CB337E">
              <w:rPr>
                <w:rFonts w:eastAsia="Times New Roman" w:cs="Tahoma"/>
                <w:sz w:val="20"/>
                <w:szCs w:val="24"/>
                <w:lang w:val="es-ES" w:eastAsia="es-ES"/>
              </w:rPr>
              <w:t> </w:t>
            </w:r>
          </w:p>
          <w:p w14:paraId="41DDC77B"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t>Decreto 2241 de 2010</w:t>
            </w:r>
            <w:r w:rsidRPr="00CB337E">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43A8DFA"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t xml:space="preserve">Implica el análisis previo, calificado y global de los antecedentes del afiliado y los pormenores de los regímenes pensionales, a fin de que el asesor o promotor pueda emitir un consejo, </w:t>
            </w:r>
            <w:r w:rsidRPr="00CB337E">
              <w:rPr>
                <w:rFonts w:eastAsia="Times New Roman" w:cs="Tahoma"/>
                <w:i/>
                <w:iCs/>
                <w:sz w:val="20"/>
                <w:szCs w:val="24"/>
                <w:lang w:val="es-ES" w:eastAsia="es-ES"/>
              </w:rPr>
              <w:lastRenderedPageBreak/>
              <w:t>sugerencia o recomendación al afiliado acerca de lo que más le conviene y, por tanto, lo que podría perjudicarle</w:t>
            </w:r>
            <w:r w:rsidRPr="00CB337E">
              <w:rPr>
                <w:rFonts w:eastAsia="Times New Roman" w:cs="Tahoma"/>
                <w:sz w:val="20"/>
                <w:szCs w:val="24"/>
                <w:lang w:val="es-ES" w:eastAsia="es-ES"/>
              </w:rPr>
              <w:t> </w:t>
            </w:r>
          </w:p>
        </w:tc>
      </w:tr>
      <w:tr w:rsidR="00CB337E" w:rsidRPr="00CB337E" w14:paraId="7CBCA516" w14:textId="77777777" w:rsidTr="00B93D2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55BB32D"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lastRenderedPageBreak/>
              <w:t>Deber de información, asesoría, buen consejo y doble asesoría. </w:t>
            </w:r>
            <w:r w:rsidRPr="00CB337E">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9F59E36"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t>Ley 1748 de 2014</w:t>
            </w:r>
            <w:r w:rsidRPr="00CB337E">
              <w:rPr>
                <w:rFonts w:eastAsia="Times New Roman" w:cs="Tahoma"/>
                <w:sz w:val="20"/>
                <w:szCs w:val="24"/>
                <w:lang w:val="es-ES" w:eastAsia="es-ES"/>
              </w:rPr>
              <w:t> </w:t>
            </w:r>
          </w:p>
          <w:p w14:paraId="6EC367CA"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t>Artículo 3 del Decreto 2071 de 2015</w:t>
            </w:r>
            <w:r w:rsidRPr="00CB337E">
              <w:rPr>
                <w:rFonts w:eastAsia="Times New Roman" w:cs="Tahoma"/>
                <w:sz w:val="20"/>
                <w:szCs w:val="24"/>
                <w:lang w:val="es-ES" w:eastAsia="es-ES"/>
              </w:rPr>
              <w:t> </w:t>
            </w:r>
          </w:p>
          <w:p w14:paraId="597198FB"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t>Circular Externa n. 016 de 2016</w:t>
            </w:r>
            <w:r w:rsidRPr="00CB337E">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606C4E6" w14:textId="77777777" w:rsidR="00CB337E" w:rsidRPr="00CB337E" w:rsidRDefault="00CB337E" w:rsidP="00CB337E">
            <w:pPr>
              <w:spacing w:line="276" w:lineRule="auto"/>
              <w:textAlignment w:val="baseline"/>
              <w:rPr>
                <w:rFonts w:eastAsia="Times New Roman" w:cs="Tahoma"/>
                <w:sz w:val="20"/>
                <w:szCs w:val="24"/>
                <w:lang w:val="es-ES" w:eastAsia="es-ES"/>
              </w:rPr>
            </w:pPr>
            <w:r w:rsidRPr="00CB337E">
              <w:rPr>
                <w:rFonts w:eastAsia="Times New Roman" w:cs="Tahoma"/>
                <w:i/>
                <w:iCs/>
                <w:sz w:val="20"/>
                <w:szCs w:val="24"/>
                <w:lang w:val="es-ES" w:eastAsia="es-ES"/>
              </w:rPr>
              <w:t>Junto con lo anterior, lleva inmerso el derecho a obtener asesoría de los representantes de ambos regímenes pensionales.</w:t>
            </w:r>
            <w:r w:rsidRPr="00CB337E">
              <w:rPr>
                <w:rFonts w:eastAsia="Times New Roman" w:cs="Tahoma"/>
                <w:sz w:val="20"/>
                <w:szCs w:val="24"/>
                <w:lang w:val="es-ES" w:eastAsia="es-ES"/>
              </w:rPr>
              <w:t> </w:t>
            </w:r>
          </w:p>
        </w:tc>
      </w:tr>
    </w:tbl>
    <w:p w14:paraId="6C162ECE" w14:textId="77777777" w:rsidR="00CB337E" w:rsidRPr="00CB337E" w:rsidRDefault="00CB337E" w:rsidP="00CB337E">
      <w:pPr>
        <w:spacing w:line="240" w:lineRule="auto"/>
        <w:ind w:left="426" w:right="420" w:firstLine="709"/>
        <w:rPr>
          <w:rFonts w:eastAsia="Calibri" w:cs="Tahoma"/>
          <w:b/>
          <w:i/>
          <w:spacing w:val="-4"/>
          <w:sz w:val="22"/>
          <w:szCs w:val="24"/>
          <w:lang w:val="es-ES"/>
        </w:rPr>
      </w:pPr>
    </w:p>
    <w:p w14:paraId="2A0E91BE" w14:textId="77777777" w:rsidR="00CB337E" w:rsidRPr="00CB337E" w:rsidRDefault="00CB337E" w:rsidP="00CB337E">
      <w:pPr>
        <w:spacing w:line="240" w:lineRule="auto"/>
        <w:ind w:left="426" w:right="420" w:firstLine="709"/>
        <w:rPr>
          <w:rFonts w:eastAsia="Calibri" w:cs="Tahoma"/>
          <w:b/>
          <w:i/>
          <w:sz w:val="22"/>
          <w:szCs w:val="24"/>
          <w:lang w:val="es-ES"/>
        </w:rPr>
      </w:pPr>
      <w:r w:rsidRPr="00CB337E">
        <w:rPr>
          <w:rFonts w:eastAsia="Calibri" w:cs="Tahoma"/>
          <w:b/>
          <w:i/>
          <w:sz w:val="22"/>
          <w:szCs w:val="24"/>
          <w:lang w:val="es-ES"/>
        </w:rPr>
        <w:t>1.4 Conclusión: La constatación del deber de información es ineludible</w:t>
      </w:r>
    </w:p>
    <w:p w14:paraId="0BF9F813" w14:textId="77777777" w:rsidR="00CB337E" w:rsidRPr="00CB337E" w:rsidRDefault="00CB337E" w:rsidP="00CB337E">
      <w:pPr>
        <w:spacing w:line="240" w:lineRule="auto"/>
        <w:ind w:left="426" w:right="420" w:firstLine="709"/>
        <w:rPr>
          <w:rFonts w:eastAsia="Calibri" w:cs="Tahoma"/>
          <w:b/>
          <w:i/>
          <w:sz w:val="22"/>
          <w:szCs w:val="24"/>
          <w:lang w:val="es-ES"/>
        </w:rPr>
      </w:pPr>
    </w:p>
    <w:p w14:paraId="0FAEA069" w14:textId="77777777" w:rsidR="00CB337E" w:rsidRPr="00CB337E" w:rsidRDefault="00CB337E" w:rsidP="00CB337E">
      <w:pPr>
        <w:spacing w:line="240" w:lineRule="auto"/>
        <w:ind w:left="426" w:right="420" w:firstLine="1"/>
        <w:rPr>
          <w:rFonts w:eastAsia="Calibri" w:cs="Tahoma"/>
          <w:i/>
          <w:sz w:val="22"/>
          <w:szCs w:val="24"/>
          <w:lang w:val="es-ES"/>
        </w:rPr>
      </w:pPr>
      <w:r w:rsidRPr="00CB337E">
        <w:rPr>
          <w:rFonts w:eastAsia="Calibri" w:cs="Tahoma"/>
          <w:i/>
          <w:sz w:val="22"/>
          <w:szCs w:val="24"/>
          <w:lang w:val="es-ES"/>
        </w:rPr>
        <w:t xml:space="preserve">Según se pudo advertir del anterior recuento, </w:t>
      </w:r>
      <w:r w:rsidRPr="00CB337E">
        <w:rPr>
          <w:rFonts w:eastAsia="Calibri" w:cs="Tahoma"/>
          <w:b/>
          <w:i/>
          <w:sz w:val="22"/>
          <w:szCs w:val="24"/>
          <w:lang w:val="es-ES"/>
        </w:rPr>
        <w:t>las AFP, desde su creación, tenían el deber de brindar información a los afiliados o usuarios del sistema pensional a fin de que estos pudiesen adoptar una decisión consciente y realmente libre sobre su futuro pensional.</w:t>
      </w:r>
      <w:r w:rsidRPr="00CB337E">
        <w:rPr>
          <w:rFonts w:eastAsia="Calibri" w:cs="Tahoma"/>
          <w:i/>
          <w:sz w:val="22"/>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94C95C4" w14:textId="77777777" w:rsidR="00CB337E" w:rsidRPr="00CB337E" w:rsidRDefault="00CB337E" w:rsidP="00CB337E">
      <w:pPr>
        <w:spacing w:line="240" w:lineRule="auto"/>
        <w:ind w:left="426" w:right="420" w:firstLine="1"/>
        <w:rPr>
          <w:rFonts w:eastAsia="Calibri" w:cs="Tahoma"/>
          <w:i/>
          <w:sz w:val="22"/>
          <w:szCs w:val="24"/>
          <w:lang w:val="es-ES"/>
        </w:rPr>
      </w:pPr>
    </w:p>
    <w:p w14:paraId="4A1A4DD4" w14:textId="77777777" w:rsidR="00CB337E" w:rsidRPr="00CB337E" w:rsidRDefault="00CB337E" w:rsidP="00CB337E">
      <w:pPr>
        <w:spacing w:line="240" w:lineRule="auto"/>
        <w:ind w:left="426" w:right="420"/>
        <w:rPr>
          <w:rFonts w:eastAsia="Calibri" w:cs="Tahoma"/>
          <w:i/>
          <w:sz w:val="22"/>
          <w:szCs w:val="24"/>
          <w:lang w:val="es-ES"/>
        </w:rPr>
      </w:pPr>
      <w:r w:rsidRPr="00CB337E">
        <w:rPr>
          <w:rFonts w:eastAsia="Calibri" w:cs="Tahoma"/>
          <w:i/>
          <w:sz w:val="22"/>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6E289EBF" w14:textId="77777777" w:rsidR="00CB337E" w:rsidRPr="00CB337E" w:rsidRDefault="00CB337E" w:rsidP="00CB337E">
      <w:pPr>
        <w:spacing w:line="240" w:lineRule="auto"/>
        <w:ind w:left="426" w:right="420" w:firstLine="709"/>
        <w:rPr>
          <w:rFonts w:eastAsia="Calibri" w:cs="Tahoma"/>
          <w:i/>
          <w:sz w:val="22"/>
          <w:szCs w:val="24"/>
          <w:lang w:val="es-ES"/>
        </w:rPr>
      </w:pPr>
    </w:p>
    <w:p w14:paraId="275EF256" w14:textId="77777777" w:rsidR="00CB337E" w:rsidRPr="00CB337E" w:rsidRDefault="00CB337E" w:rsidP="00CB337E">
      <w:pPr>
        <w:spacing w:line="240" w:lineRule="auto"/>
        <w:ind w:left="426" w:right="420"/>
        <w:rPr>
          <w:rFonts w:eastAsia="Calibri" w:cs="Tahoma"/>
          <w:i/>
          <w:sz w:val="22"/>
          <w:szCs w:val="24"/>
          <w:lang w:val="es-ES"/>
        </w:rPr>
      </w:pPr>
      <w:r w:rsidRPr="00CB337E">
        <w:rPr>
          <w:rFonts w:eastAsia="Calibri" w:cs="Tahoma"/>
          <w:i/>
          <w:sz w:val="22"/>
          <w:szCs w:val="24"/>
          <w:lang w:val="es-ES"/>
        </w:rPr>
        <w:t xml:space="preserve">Adicionalmente, la Sala no puede pasar por alto la indebida fundamentación con la que </w:t>
      </w:r>
      <w:r w:rsidRPr="00CB337E">
        <w:rPr>
          <w:rFonts w:eastAsia="Calibri" w:cs="Tahoma"/>
          <w:bCs/>
          <w:i/>
          <w:sz w:val="22"/>
          <w:szCs w:val="24"/>
          <w:lang w:val="es-ES"/>
        </w:rPr>
        <w:t>la Sala Primera de Decisión Laboral del Tribunal de Medellín</w:t>
      </w:r>
      <w:r w:rsidRPr="00CB337E">
        <w:rPr>
          <w:rFonts w:eastAsia="Calibri" w:cs="Tahoma"/>
          <w:i/>
          <w:sz w:val="22"/>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08384EB" w14:textId="77777777" w:rsidR="00CB337E" w:rsidRPr="00CB337E" w:rsidRDefault="00CB337E" w:rsidP="00CB337E">
      <w:pPr>
        <w:spacing w:line="276" w:lineRule="auto"/>
        <w:ind w:left="708" w:firstLine="709"/>
        <w:rPr>
          <w:rFonts w:eastAsia="Calibri" w:cs="Tahoma"/>
          <w:i/>
          <w:spacing w:val="-4"/>
          <w:szCs w:val="24"/>
        </w:rPr>
      </w:pPr>
    </w:p>
    <w:p w14:paraId="508EDD46" w14:textId="77777777" w:rsidR="00CB337E" w:rsidRPr="00CB337E" w:rsidRDefault="00CB337E" w:rsidP="00CB337E">
      <w:pPr>
        <w:spacing w:line="276" w:lineRule="auto"/>
        <w:ind w:firstLine="644"/>
        <w:rPr>
          <w:rFonts w:eastAsia="Calibri" w:cs="Tahoma"/>
          <w:spacing w:val="-4"/>
          <w:szCs w:val="24"/>
        </w:rPr>
      </w:pPr>
      <w:r w:rsidRPr="00CB337E">
        <w:rPr>
          <w:rFonts w:eastAsia="Calibri" w:cs="Tahoma"/>
          <w:spacing w:val="-4"/>
          <w:szCs w:val="24"/>
        </w:rPr>
        <w:t>Con lo dicho precedentemente queda resuelto el primer problema jurídico.</w:t>
      </w:r>
    </w:p>
    <w:p w14:paraId="13CB9F39" w14:textId="77777777" w:rsidR="00CB337E" w:rsidRPr="00CB337E" w:rsidRDefault="00CB337E" w:rsidP="00CB337E">
      <w:pPr>
        <w:spacing w:line="276" w:lineRule="auto"/>
        <w:ind w:firstLine="644"/>
        <w:rPr>
          <w:rFonts w:eastAsia="Calibri" w:cs="Tahoma"/>
          <w:spacing w:val="-4"/>
          <w:szCs w:val="24"/>
        </w:rPr>
      </w:pPr>
    </w:p>
    <w:p w14:paraId="05A81604" w14:textId="77777777" w:rsidR="00CB337E" w:rsidRPr="00CB337E" w:rsidRDefault="00CB337E" w:rsidP="00CB337E">
      <w:pPr>
        <w:numPr>
          <w:ilvl w:val="1"/>
          <w:numId w:val="11"/>
        </w:numPr>
        <w:spacing w:line="276" w:lineRule="auto"/>
        <w:ind w:left="0" w:firstLine="709"/>
        <w:contextualSpacing/>
        <w:rPr>
          <w:rFonts w:eastAsia="Times New Roman" w:cs="Tahoma"/>
          <w:iCs/>
          <w:spacing w:val="-4"/>
          <w:szCs w:val="24"/>
          <w:lang w:eastAsia="es-ES"/>
        </w:rPr>
      </w:pPr>
      <w:r w:rsidRPr="00CB337E">
        <w:rPr>
          <w:rFonts w:eastAsia="Times New Roman" w:cs="Tahoma"/>
          <w:b/>
          <w:iCs/>
          <w:spacing w:val="-4"/>
          <w:szCs w:val="24"/>
          <w:lang w:eastAsia="es-ES"/>
        </w:rPr>
        <w:t xml:space="preserve">“El simple consentimiento vertido en el formulario de afiliación es insuficiente – Necesidad de un consentimiento informado” </w:t>
      </w:r>
      <w:r w:rsidRPr="00CB337E">
        <w:rPr>
          <w:rFonts w:eastAsia="Times New Roman" w:cs="Tahoma"/>
          <w:b/>
          <w:iCs/>
          <w:spacing w:val="-4"/>
          <w:szCs w:val="24"/>
          <w:vertAlign w:val="superscript"/>
          <w:lang w:eastAsia="es-ES"/>
        </w:rPr>
        <w:footnoteReference w:id="4"/>
      </w:r>
      <w:r w:rsidRPr="00CB337E">
        <w:rPr>
          <w:rFonts w:eastAsia="Times New Roman" w:cs="Tahoma"/>
          <w:iCs/>
          <w:spacing w:val="-4"/>
          <w:szCs w:val="24"/>
          <w:lang w:eastAsia="es-ES"/>
        </w:rPr>
        <w:t xml:space="preserve"> </w:t>
      </w:r>
    </w:p>
    <w:p w14:paraId="1C6155CC" w14:textId="77777777" w:rsidR="00CB337E" w:rsidRPr="00CB337E" w:rsidRDefault="00CB337E" w:rsidP="00CB337E">
      <w:pPr>
        <w:spacing w:line="276" w:lineRule="auto"/>
        <w:ind w:firstLine="709"/>
        <w:rPr>
          <w:rFonts w:eastAsia="Calibri" w:cs="Tahoma"/>
          <w:spacing w:val="-4"/>
          <w:szCs w:val="24"/>
        </w:rPr>
      </w:pPr>
    </w:p>
    <w:p w14:paraId="5D252B61" w14:textId="77777777" w:rsidR="00CB337E" w:rsidRPr="00CB337E" w:rsidRDefault="00CB337E" w:rsidP="00CB337E">
      <w:pPr>
        <w:spacing w:line="276" w:lineRule="auto"/>
        <w:ind w:firstLine="709"/>
        <w:rPr>
          <w:rFonts w:eastAsia="Calibri" w:cs="Tahoma"/>
          <w:spacing w:val="-4"/>
          <w:szCs w:val="24"/>
        </w:rPr>
      </w:pPr>
      <w:r w:rsidRPr="00CB337E">
        <w:rPr>
          <w:rFonts w:eastAsia="Calibri" w:cs="Tahoma"/>
          <w:spacing w:val="-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CB337E">
        <w:rPr>
          <w:rFonts w:eastAsia="Calibri" w:cs="Tahoma"/>
          <w:b/>
          <w:spacing w:val="-4"/>
          <w:szCs w:val="24"/>
        </w:rPr>
        <w:t>pero no informado</w:t>
      </w:r>
      <w:r w:rsidRPr="00CB337E">
        <w:rPr>
          <w:rFonts w:eastAsia="Calibri" w:cs="Tahoma"/>
          <w:spacing w:val="-4"/>
          <w:szCs w:val="24"/>
        </w:rPr>
        <w:t xml:space="preserve">, tal como se expresa a continuación: </w:t>
      </w:r>
    </w:p>
    <w:p w14:paraId="75FE11E2" w14:textId="77777777" w:rsidR="00CB337E" w:rsidRPr="00CB337E" w:rsidRDefault="00CB337E" w:rsidP="00CB337E">
      <w:pPr>
        <w:spacing w:line="276" w:lineRule="auto"/>
        <w:ind w:firstLine="709"/>
        <w:rPr>
          <w:rFonts w:eastAsia="Calibri" w:cs="Tahoma"/>
          <w:spacing w:val="-4"/>
          <w:szCs w:val="24"/>
        </w:rPr>
      </w:pPr>
    </w:p>
    <w:p w14:paraId="2F010FA7" w14:textId="77777777" w:rsidR="00CB337E" w:rsidRPr="00CB337E" w:rsidRDefault="00CB337E" w:rsidP="00CB337E">
      <w:pPr>
        <w:spacing w:line="240" w:lineRule="auto"/>
        <w:ind w:left="426" w:right="420" w:firstLine="1"/>
        <w:rPr>
          <w:rFonts w:eastAsia="Calibri" w:cs="Tahoma"/>
          <w:i/>
          <w:sz w:val="22"/>
          <w:szCs w:val="24"/>
          <w:lang w:val="es-ES"/>
        </w:rPr>
      </w:pPr>
      <w:r w:rsidRPr="00CB337E">
        <w:rPr>
          <w:rFonts w:eastAsia="Calibri" w:cs="Tahoma"/>
          <w:i/>
          <w:sz w:val="22"/>
          <w:szCs w:val="24"/>
          <w:lang w:val="es-ES"/>
        </w:rPr>
        <w:t xml:space="preserve">“Para el Tribunal el consentimiento informado no es predicable del acto jurídico de traslado, pues basta la consignación en el formulario de que la afiliación se hizo de manera libre y voluntaria. </w:t>
      </w:r>
    </w:p>
    <w:p w14:paraId="56C23995" w14:textId="77777777" w:rsidR="00CB337E" w:rsidRPr="00CB337E" w:rsidRDefault="00CB337E" w:rsidP="00CB337E">
      <w:pPr>
        <w:spacing w:line="240" w:lineRule="auto"/>
        <w:ind w:left="426" w:right="420" w:firstLine="1"/>
        <w:rPr>
          <w:rFonts w:eastAsia="Calibri" w:cs="Tahoma"/>
          <w:i/>
          <w:sz w:val="22"/>
          <w:szCs w:val="24"/>
          <w:lang w:val="es-ES"/>
        </w:rPr>
      </w:pPr>
    </w:p>
    <w:p w14:paraId="7427E0A4" w14:textId="77777777" w:rsidR="00CB337E" w:rsidRPr="00CB337E" w:rsidRDefault="00CB337E" w:rsidP="00CB337E">
      <w:pPr>
        <w:spacing w:line="240" w:lineRule="auto"/>
        <w:ind w:left="426" w:right="420" w:firstLine="1"/>
        <w:rPr>
          <w:rFonts w:eastAsia="Calibri" w:cs="Tahoma"/>
          <w:i/>
          <w:sz w:val="22"/>
          <w:szCs w:val="24"/>
          <w:lang w:val="es-ES"/>
        </w:rPr>
      </w:pPr>
      <w:r w:rsidRPr="00CB337E">
        <w:rPr>
          <w:rFonts w:eastAsia="Calibri" w:cs="Tahoma"/>
          <w:i/>
          <w:sz w:val="22"/>
          <w:szCs w:val="24"/>
          <w:lang w:val="es-ES"/>
        </w:rPr>
        <w:lastRenderedPageBreak/>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8E1F9C7" w14:textId="77777777" w:rsidR="00CB337E" w:rsidRPr="00CB337E" w:rsidRDefault="00CB337E" w:rsidP="00CB337E">
      <w:pPr>
        <w:spacing w:line="240" w:lineRule="auto"/>
        <w:ind w:left="426" w:right="420" w:firstLine="1"/>
        <w:rPr>
          <w:rFonts w:eastAsia="Calibri" w:cs="Tahoma"/>
          <w:i/>
          <w:sz w:val="22"/>
          <w:szCs w:val="24"/>
          <w:lang w:val="es-ES"/>
        </w:rPr>
      </w:pPr>
    </w:p>
    <w:p w14:paraId="5038070E" w14:textId="77777777" w:rsidR="00CB337E" w:rsidRPr="00CB337E" w:rsidRDefault="00CB337E" w:rsidP="00CB337E">
      <w:pPr>
        <w:spacing w:line="240" w:lineRule="auto"/>
        <w:ind w:left="426" w:right="420" w:firstLine="1"/>
        <w:rPr>
          <w:rFonts w:eastAsia="Calibri" w:cs="Tahoma"/>
          <w:i/>
          <w:sz w:val="22"/>
          <w:szCs w:val="24"/>
          <w:lang w:val="es-ES"/>
        </w:rPr>
      </w:pPr>
      <w:r w:rsidRPr="00CB337E">
        <w:rPr>
          <w:rFonts w:eastAsia="Calibri" w:cs="Tahoma"/>
          <w:i/>
          <w:sz w:val="22"/>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0739408" w14:textId="77777777" w:rsidR="00CB337E" w:rsidRPr="00CB337E" w:rsidRDefault="00CB337E" w:rsidP="00CB337E">
      <w:pPr>
        <w:spacing w:line="240" w:lineRule="auto"/>
        <w:ind w:left="426" w:right="420" w:firstLine="1"/>
        <w:rPr>
          <w:rFonts w:eastAsia="Calibri" w:cs="Tahoma"/>
          <w:i/>
          <w:sz w:val="22"/>
          <w:szCs w:val="24"/>
          <w:lang w:val="es-ES"/>
        </w:rPr>
      </w:pPr>
    </w:p>
    <w:p w14:paraId="3D02B89E" w14:textId="77777777" w:rsidR="00CB337E" w:rsidRPr="00CB337E" w:rsidRDefault="00CB337E" w:rsidP="00CB337E">
      <w:pPr>
        <w:spacing w:line="240" w:lineRule="auto"/>
        <w:ind w:left="426" w:right="420" w:firstLine="1"/>
        <w:rPr>
          <w:rFonts w:eastAsia="Calibri" w:cs="Tahoma"/>
          <w:i/>
          <w:sz w:val="22"/>
          <w:szCs w:val="24"/>
          <w:lang w:val="es-ES"/>
        </w:rPr>
      </w:pPr>
      <w:r w:rsidRPr="00CB337E">
        <w:rPr>
          <w:rFonts w:eastAsia="Calibri" w:cs="Tahoma"/>
          <w:i/>
          <w:sz w:val="22"/>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2C716AB4" w14:textId="77777777" w:rsidR="00CB337E" w:rsidRPr="00CB337E" w:rsidRDefault="00CB337E" w:rsidP="00CB337E">
      <w:pPr>
        <w:widowControl w:val="0"/>
        <w:tabs>
          <w:tab w:val="left" w:pos="709"/>
        </w:tabs>
        <w:autoSpaceDE w:val="0"/>
        <w:autoSpaceDN w:val="0"/>
        <w:adjustRightInd w:val="0"/>
        <w:spacing w:line="276" w:lineRule="auto"/>
        <w:ind w:firstLine="709"/>
        <w:rPr>
          <w:rFonts w:eastAsia="Calibri" w:cs="Tahoma"/>
          <w:bCs/>
          <w:szCs w:val="24"/>
        </w:rPr>
      </w:pPr>
    </w:p>
    <w:p w14:paraId="1617450C" w14:textId="77777777" w:rsidR="00CB337E" w:rsidRPr="00CB337E" w:rsidRDefault="00CB337E" w:rsidP="00CB337E">
      <w:pPr>
        <w:widowControl w:val="0"/>
        <w:tabs>
          <w:tab w:val="left" w:pos="709"/>
        </w:tabs>
        <w:autoSpaceDE w:val="0"/>
        <w:autoSpaceDN w:val="0"/>
        <w:adjustRightInd w:val="0"/>
        <w:spacing w:line="276" w:lineRule="auto"/>
        <w:ind w:firstLine="709"/>
        <w:rPr>
          <w:rFonts w:eastAsia="Calibri" w:cs="Tahoma"/>
          <w:bCs/>
          <w:szCs w:val="24"/>
        </w:rPr>
      </w:pPr>
      <w:r w:rsidRPr="00CB337E">
        <w:rPr>
          <w:rFonts w:eastAsia="Calibri" w:cs="Tahoma"/>
          <w:bCs/>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CB337E">
        <w:rPr>
          <w:rFonts w:eastAsia="Calibri" w:cs="Tahoma"/>
          <w:bCs/>
          <w:szCs w:val="24"/>
          <w:vertAlign w:val="superscript"/>
        </w:rPr>
        <w:footnoteReference w:id="5"/>
      </w:r>
      <w:r w:rsidRPr="00CB337E">
        <w:rPr>
          <w:rFonts w:eastAsia="Calibri"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15C0A60B" w14:textId="77777777" w:rsidR="00CB337E" w:rsidRPr="00CB337E" w:rsidRDefault="00CB337E" w:rsidP="00CB337E">
      <w:pPr>
        <w:tabs>
          <w:tab w:val="left" w:pos="709"/>
        </w:tabs>
        <w:spacing w:line="276" w:lineRule="auto"/>
        <w:ind w:firstLine="709"/>
        <w:rPr>
          <w:rFonts w:eastAsia="Calibri" w:cs="Tahoma"/>
          <w:bCs/>
          <w:i/>
          <w:szCs w:val="24"/>
        </w:rPr>
      </w:pPr>
    </w:p>
    <w:p w14:paraId="1AAEAED1" w14:textId="77777777" w:rsidR="00CB337E" w:rsidRPr="00CB337E" w:rsidRDefault="00CB337E" w:rsidP="00CB337E">
      <w:pPr>
        <w:spacing w:line="240" w:lineRule="auto"/>
        <w:ind w:left="426" w:right="420"/>
        <w:rPr>
          <w:rFonts w:eastAsia="Calibri" w:cs="Tahoma"/>
          <w:i/>
          <w:sz w:val="22"/>
          <w:szCs w:val="24"/>
          <w:lang w:val="es-ES"/>
        </w:rPr>
      </w:pPr>
      <w:r w:rsidRPr="00CB337E">
        <w:rPr>
          <w:rFonts w:eastAsia="Calibri" w:cs="Tahoma"/>
          <w:i/>
          <w:sz w:val="22"/>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A7551F5" w14:textId="77777777" w:rsidR="00CB337E" w:rsidRPr="00CB337E" w:rsidRDefault="00CB337E" w:rsidP="00CB337E">
      <w:pPr>
        <w:spacing w:line="240" w:lineRule="auto"/>
        <w:ind w:left="426" w:right="420" w:firstLine="708"/>
        <w:rPr>
          <w:rFonts w:eastAsia="Calibri" w:cs="Tahoma"/>
          <w:b/>
          <w:i/>
          <w:sz w:val="22"/>
          <w:szCs w:val="24"/>
          <w:lang w:val="es-ES"/>
        </w:rPr>
      </w:pPr>
    </w:p>
    <w:p w14:paraId="41D5E92A" w14:textId="77777777" w:rsidR="00CB337E" w:rsidRPr="00CB337E" w:rsidRDefault="00CB337E" w:rsidP="00CB337E">
      <w:pPr>
        <w:tabs>
          <w:tab w:val="left" w:pos="709"/>
        </w:tabs>
        <w:spacing w:line="240" w:lineRule="auto"/>
        <w:ind w:left="426" w:right="420"/>
        <w:rPr>
          <w:rFonts w:eastAsia="Calibri" w:cs="Tahoma"/>
          <w:i/>
          <w:sz w:val="22"/>
          <w:szCs w:val="24"/>
          <w:lang w:val="es-ES"/>
        </w:rPr>
      </w:pPr>
      <w:r w:rsidRPr="00CB337E">
        <w:rPr>
          <w:rFonts w:eastAsia="Calibri" w:cs="Tahoma"/>
          <w:i/>
          <w:sz w:val="22"/>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465EBCD6" w14:textId="77777777" w:rsidR="00CB337E" w:rsidRPr="00CB337E" w:rsidRDefault="00CB337E" w:rsidP="00CB337E">
      <w:pPr>
        <w:widowControl w:val="0"/>
        <w:autoSpaceDE w:val="0"/>
        <w:autoSpaceDN w:val="0"/>
        <w:adjustRightInd w:val="0"/>
        <w:spacing w:line="276" w:lineRule="auto"/>
        <w:ind w:firstLine="284"/>
        <w:rPr>
          <w:rFonts w:eastAsia="Calibri" w:cs="Tahoma"/>
          <w:bCs/>
          <w:szCs w:val="24"/>
          <w:lang w:val="es-ES"/>
        </w:rPr>
      </w:pPr>
    </w:p>
    <w:p w14:paraId="3B7F29A5" w14:textId="77777777" w:rsidR="00CB337E" w:rsidRPr="00CB337E" w:rsidRDefault="00CB337E" w:rsidP="00CB337E">
      <w:pPr>
        <w:widowControl w:val="0"/>
        <w:autoSpaceDE w:val="0"/>
        <w:autoSpaceDN w:val="0"/>
        <w:adjustRightInd w:val="0"/>
        <w:spacing w:line="276" w:lineRule="auto"/>
        <w:ind w:firstLine="708"/>
        <w:rPr>
          <w:rFonts w:eastAsia="Calibri" w:cs="Tahoma"/>
          <w:szCs w:val="24"/>
          <w:lang w:val="es-ES"/>
        </w:rPr>
      </w:pPr>
      <w:r w:rsidRPr="00CB337E">
        <w:rPr>
          <w:rFonts w:eastAsia="Calibri" w:cs="Tahoma"/>
          <w:bCs/>
          <w:szCs w:val="24"/>
          <w:lang w:val="es-ES"/>
        </w:rPr>
        <w:t xml:space="preserve">Igual cosa se ha predicado de las </w:t>
      </w:r>
      <w:proofErr w:type="spellStart"/>
      <w:r w:rsidRPr="00CB337E">
        <w:rPr>
          <w:rFonts w:eastAsia="Calibri" w:cs="Tahoma"/>
          <w:bCs/>
          <w:szCs w:val="24"/>
          <w:lang w:val="es-ES"/>
        </w:rPr>
        <w:t>reasesorías</w:t>
      </w:r>
      <w:proofErr w:type="spellEnd"/>
      <w:r w:rsidRPr="00CB337E">
        <w:rPr>
          <w:rFonts w:eastAsia="Calibri" w:cs="Tahoma"/>
          <w:bCs/>
          <w:szCs w:val="24"/>
          <w:lang w:val="es-ES"/>
        </w:rPr>
        <w:t xml:space="preserve"> posteriores dadas al interior de las AFP</w:t>
      </w:r>
      <w:r w:rsidRPr="00CB337E">
        <w:rPr>
          <w:rFonts w:eastAsia="Calibri" w:cs="Tahoma"/>
          <w:szCs w:val="24"/>
          <w:lang w:val="es-ES"/>
        </w:rPr>
        <w:t xml:space="preserve">, las cuales tampoco convalidan el traslado, como quedó dicho en la citada </w:t>
      </w:r>
      <w:r w:rsidRPr="00CB337E">
        <w:rPr>
          <w:rFonts w:eastAsia="Calibri" w:cs="Tahoma"/>
          <w:szCs w:val="24"/>
          <w:lang w:val="es-ES"/>
        </w:rPr>
        <w:lastRenderedPageBreak/>
        <w:t xml:space="preserve">sentencia del 8 de mayo de 2019 SL 1688-2019, así: </w:t>
      </w:r>
    </w:p>
    <w:p w14:paraId="186D78DC" w14:textId="77777777" w:rsidR="00CB337E" w:rsidRPr="00CB337E" w:rsidRDefault="00CB337E" w:rsidP="00CB337E">
      <w:pPr>
        <w:widowControl w:val="0"/>
        <w:autoSpaceDE w:val="0"/>
        <w:autoSpaceDN w:val="0"/>
        <w:adjustRightInd w:val="0"/>
        <w:spacing w:line="276" w:lineRule="auto"/>
        <w:ind w:firstLine="284"/>
        <w:rPr>
          <w:rFonts w:eastAsia="Calibri" w:cs="Tahoma"/>
          <w:i/>
          <w:iCs/>
          <w:szCs w:val="24"/>
          <w:lang w:val="es-ES"/>
        </w:rPr>
      </w:pPr>
      <w:r w:rsidRPr="00CB337E">
        <w:rPr>
          <w:rFonts w:eastAsia="Calibri" w:cs="Tahoma"/>
          <w:szCs w:val="24"/>
          <w:lang w:val="es-ES"/>
        </w:rPr>
        <w:t xml:space="preserve">  </w:t>
      </w:r>
    </w:p>
    <w:p w14:paraId="3AC24233" w14:textId="77777777" w:rsidR="00CB337E" w:rsidRPr="00CB337E" w:rsidRDefault="00CB337E" w:rsidP="00CB337E">
      <w:pPr>
        <w:spacing w:line="240" w:lineRule="auto"/>
        <w:ind w:left="426" w:right="420"/>
        <w:rPr>
          <w:rFonts w:eastAsia="Calibri" w:cs="Tahoma"/>
          <w:i/>
          <w:sz w:val="22"/>
          <w:szCs w:val="24"/>
          <w:lang w:val="es-ES"/>
        </w:rPr>
      </w:pPr>
      <w:r w:rsidRPr="00CB337E">
        <w:rPr>
          <w:rFonts w:eastAsia="Calibri" w:cs="Tahoma"/>
          <w:i/>
          <w:sz w:val="22"/>
          <w:szCs w:val="24"/>
          <w:lang w:val="es-ES"/>
        </w:rPr>
        <w:t xml:space="preserve">“Ahora, si bien la AFP brindó a la actora una </w:t>
      </w:r>
      <w:proofErr w:type="spellStart"/>
      <w:r w:rsidRPr="00CB337E">
        <w:rPr>
          <w:rFonts w:eastAsia="Calibri" w:cs="Tahoma"/>
          <w:i/>
          <w:sz w:val="22"/>
          <w:szCs w:val="24"/>
          <w:lang w:val="es-ES"/>
        </w:rPr>
        <w:t>reasesoría</w:t>
      </w:r>
      <w:proofErr w:type="spellEnd"/>
      <w:r w:rsidRPr="00CB337E">
        <w:rPr>
          <w:rFonts w:eastAsia="Calibri" w:cs="Tahoma"/>
          <w:i/>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97273CC" w14:textId="77777777" w:rsidR="00CB337E" w:rsidRPr="00CB337E" w:rsidRDefault="00CB337E" w:rsidP="00CB337E">
      <w:pPr>
        <w:spacing w:line="240" w:lineRule="auto"/>
        <w:ind w:left="426" w:right="420" w:firstLine="709"/>
        <w:rPr>
          <w:rFonts w:eastAsia="Arial Narrow" w:cs="Tahoma"/>
          <w:i/>
          <w:iCs/>
          <w:sz w:val="22"/>
          <w:szCs w:val="24"/>
          <w:lang w:val="es-ES"/>
        </w:rPr>
      </w:pPr>
      <w:r w:rsidRPr="00CB337E">
        <w:rPr>
          <w:rFonts w:eastAsia="Arial Narrow" w:cs="Tahoma"/>
          <w:i/>
          <w:iCs/>
          <w:sz w:val="22"/>
          <w:szCs w:val="24"/>
          <w:lang w:val="es-ES"/>
        </w:rPr>
        <w:t xml:space="preserve"> </w:t>
      </w:r>
    </w:p>
    <w:p w14:paraId="46D127B6" w14:textId="77777777" w:rsidR="00CB337E" w:rsidRPr="00CB337E" w:rsidRDefault="00CB337E" w:rsidP="00CB337E">
      <w:pPr>
        <w:spacing w:line="240" w:lineRule="auto"/>
        <w:ind w:left="426" w:right="420"/>
        <w:rPr>
          <w:rFonts w:eastAsia="Calibri" w:cs="Tahoma"/>
          <w:i/>
          <w:sz w:val="22"/>
          <w:szCs w:val="24"/>
          <w:lang w:val="es-ES"/>
        </w:rPr>
      </w:pPr>
      <w:r w:rsidRPr="00CB337E">
        <w:rPr>
          <w:rFonts w:eastAsia="Calibri" w:cs="Tahoma"/>
          <w:i/>
          <w:sz w:val="22"/>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CB337E">
        <w:rPr>
          <w:rFonts w:eastAsia="Calibri" w:cs="Tahoma"/>
          <w:i/>
          <w:sz w:val="22"/>
          <w:szCs w:val="24"/>
          <w:lang w:val="es-ES"/>
        </w:rPr>
        <w:t>reasesoría</w:t>
      </w:r>
      <w:proofErr w:type="spellEnd"/>
      <w:r w:rsidRPr="00CB337E">
        <w:rPr>
          <w:rFonts w:eastAsia="Calibri" w:cs="Tahoma"/>
          <w:i/>
          <w:sz w:val="22"/>
          <w:szCs w:val="24"/>
          <w:lang w:val="es-ES"/>
        </w:rPr>
        <w:t>, de todas formas ya había perdido la transición.</w:t>
      </w:r>
    </w:p>
    <w:p w14:paraId="60ED3959" w14:textId="77777777" w:rsidR="00CB337E" w:rsidRPr="00CB337E" w:rsidRDefault="00CB337E" w:rsidP="00CB337E">
      <w:pPr>
        <w:spacing w:line="240" w:lineRule="auto"/>
        <w:ind w:left="426" w:right="420" w:firstLine="709"/>
        <w:rPr>
          <w:rFonts w:eastAsia="Arial Narrow" w:cs="Tahoma"/>
          <w:i/>
          <w:iCs/>
          <w:sz w:val="22"/>
          <w:szCs w:val="24"/>
          <w:lang w:val="es-ES"/>
        </w:rPr>
      </w:pPr>
      <w:r w:rsidRPr="00CB337E">
        <w:rPr>
          <w:rFonts w:eastAsia="Arial Narrow" w:cs="Tahoma"/>
          <w:i/>
          <w:iCs/>
          <w:sz w:val="22"/>
          <w:szCs w:val="24"/>
          <w:lang w:val="es-ES"/>
        </w:rPr>
        <w:t xml:space="preserve"> </w:t>
      </w:r>
    </w:p>
    <w:p w14:paraId="07BDE912" w14:textId="77777777" w:rsidR="00CB337E" w:rsidRPr="00CB337E" w:rsidRDefault="00CB337E" w:rsidP="00CB337E">
      <w:pPr>
        <w:spacing w:line="240" w:lineRule="auto"/>
        <w:ind w:left="426" w:right="420"/>
        <w:rPr>
          <w:rFonts w:eastAsia="Calibri" w:cs="Tahoma"/>
          <w:i/>
          <w:sz w:val="22"/>
          <w:szCs w:val="24"/>
          <w:lang w:val="es-ES"/>
        </w:rPr>
      </w:pPr>
      <w:r w:rsidRPr="00CB337E">
        <w:rPr>
          <w:rFonts w:eastAsia="Calibri" w:cs="Tahoma"/>
          <w:i/>
          <w:sz w:val="22"/>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BA313EF" w14:textId="77777777" w:rsidR="00CB337E" w:rsidRPr="00CB337E" w:rsidRDefault="00CB337E" w:rsidP="00CB337E">
      <w:pPr>
        <w:spacing w:line="240" w:lineRule="auto"/>
        <w:ind w:left="426" w:right="420" w:firstLine="709"/>
        <w:rPr>
          <w:rFonts w:eastAsia="Arial Narrow" w:cs="Tahoma"/>
          <w:i/>
          <w:iCs/>
          <w:sz w:val="22"/>
          <w:szCs w:val="24"/>
          <w:lang w:val="es-ES"/>
        </w:rPr>
      </w:pPr>
      <w:r w:rsidRPr="00CB337E">
        <w:rPr>
          <w:rFonts w:eastAsia="Arial Narrow" w:cs="Tahoma"/>
          <w:i/>
          <w:iCs/>
          <w:sz w:val="22"/>
          <w:szCs w:val="24"/>
          <w:lang w:val="es-ES"/>
        </w:rPr>
        <w:t xml:space="preserve"> </w:t>
      </w:r>
    </w:p>
    <w:p w14:paraId="5A407ABC" w14:textId="77777777" w:rsidR="00CB337E" w:rsidRPr="00CB337E" w:rsidRDefault="00CB337E" w:rsidP="00CB337E">
      <w:pPr>
        <w:spacing w:line="240" w:lineRule="auto"/>
        <w:ind w:left="426" w:right="420"/>
        <w:rPr>
          <w:rFonts w:eastAsia="Calibri" w:cs="Tahoma"/>
          <w:i/>
          <w:sz w:val="22"/>
          <w:szCs w:val="24"/>
          <w:lang w:val="es-ES"/>
        </w:rPr>
      </w:pPr>
      <w:r w:rsidRPr="00CB337E">
        <w:rPr>
          <w:rFonts w:eastAsia="Calibri" w:cs="Tahoma"/>
          <w:i/>
          <w:sz w:val="22"/>
          <w:szCs w:val="24"/>
          <w:lang w:val="es-ES"/>
        </w:rPr>
        <w:t xml:space="preserve">Por otro lado, no es de recibo el planteo de Protección S.A., cuando sostiene que una vez realizó la </w:t>
      </w:r>
      <w:proofErr w:type="spellStart"/>
      <w:r w:rsidRPr="00CB337E">
        <w:rPr>
          <w:rFonts w:eastAsia="Calibri" w:cs="Tahoma"/>
          <w:i/>
          <w:sz w:val="22"/>
          <w:szCs w:val="24"/>
          <w:lang w:val="es-ES"/>
        </w:rPr>
        <w:t>reasesoría</w:t>
      </w:r>
      <w:proofErr w:type="spellEnd"/>
      <w:r w:rsidRPr="00CB337E">
        <w:rPr>
          <w:rFonts w:eastAsia="Calibri" w:cs="Tahoma"/>
          <w:i/>
          <w:sz w:val="22"/>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6B16000" w14:textId="77777777" w:rsidR="00CB337E" w:rsidRPr="00CB337E" w:rsidRDefault="00CB337E" w:rsidP="00CB337E">
      <w:pPr>
        <w:spacing w:line="276" w:lineRule="auto"/>
        <w:ind w:left="708" w:firstLine="709"/>
        <w:rPr>
          <w:rFonts w:eastAsia="Calibri" w:cs="Tahoma"/>
          <w:spacing w:val="-4"/>
          <w:szCs w:val="24"/>
        </w:rPr>
      </w:pPr>
    </w:p>
    <w:p w14:paraId="0DBCDAD0" w14:textId="77777777" w:rsidR="00CB337E" w:rsidRPr="00CB337E" w:rsidRDefault="00CB337E" w:rsidP="00CB337E">
      <w:pPr>
        <w:numPr>
          <w:ilvl w:val="1"/>
          <w:numId w:val="11"/>
        </w:numPr>
        <w:spacing w:line="276" w:lineRule="auto"/>
        <w:contextualSpacing/>
        <w:jc w:val="left"/>
        <w:rPr>
          <w:rFonts w:eastAsia="Times New Roman" w:cs="Tahoma"/>
          <w:b/>
          <w:iCs/>
          <w:spacing w:val="-4"/>
          <w:szCs w:val="24"/>
          <w:lang w:eastAsia="es-ES"/>
        </w:rPr>
      </w:pPr>
      <w:r w:rsidRPr="00CB337E">
        <w:rPr>
          <w:rFonts w:eastAsia="Times New Roman" w:cs="Tahoma"/>
          <w:b/>
          <w:iCs/>
          <w:spacing w:val="-4"/>
          <w:szCs w:val="24"/>
          <w:lang w:eastAsia="es-ES"/>
        </w:rPr>
        <w:t xml:space="preserve">“De la carga de la prueba – Inversión a favor del afiliado” </w:t>
      </w:r>
      <w:r w:rsidRPr="00CB337E">
        <w:rPr>
          <w:rFonts w:eastAsia="Times New Roman" w:cs="Tahoma"/>
          <w:b/>
          <w:iCs/>
          <w:spacing w:val="-4"/>
          <w:szCs w:val="24"/>
          <w:vertAlign w:val="superscript"/>
          <w:lang w:eastAsia="es-ES"/>
        </w:rPr>
        <w:footnoteReference w:id="6"/>
      </w:r>
    </w:p>
    <w:p w14:paraId="212305F3" w14:textId="77777777" w:rsidR="00CB337E" w:rsidRPr="00CB337E" w:rsidRDefault="00CB337E" w:rsidP="00CB337E">
      <w:pPr>
        <w:spacing w:line="276" w:lineRule="auto"/>
        <w:ind w:firstLine="708"/>
        <w:rPr>
          <w:rFonts w:eastAsia="Calibri" w:cs="Tahoma"/>
          <w:b/>
          <w:spacing w:val="-4"/>
          <w:szCs w:val="24"/>
        </w:rPr>
      </w:pPr>
    </w:p>
    <w:p w14:paraId="57A81172" w14:textId="77777777" w:rsidR="00CB337E" w:rsidRPr="00CB337E" w:rsidRDefault="00CB337E" w:rsidP="00CB337E">
      <w:pPr>
        <w:spacing w:line="276" w:lineRule="auto"/>
        <w:ind w:firstLine="709"/>
        <w:rPr>
          <w:rFonts w:eastAsia="Calibri" w:cs="Tahoma"/>
          <w:spacing w:val="-4"/>
          <w:szCs w:val="24"/>
        </w:rPr>
      </w:pPr>
      <w:r w:rsidRPr="00CB337E">
        <w:rPr>
          <w:rFonts w:eastAsia="Calibri" w:cs="Tahoma"/>
          <w:spacing w:val="-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CB337E">
        <w:rPr>
          <w:rFonts w:eastAsia="Calibri" w:cs="Tahoma"/>
          <w:i/>
          <w:spacing w:val="-4"/>
          <w:sz w:val="22"/>
          <w:szCs w:val="24"/>
        </w:rPr>
        <w:t>la prueba de la diligencia o cuidado incumbe al que ha debido emplearlo</w:t>
      </w:r>
      <w:r w:rsidRPr="00CB337E">
        <w:rPr>
          <w:rFonts w:eastAsia="Calibri" w:cs="Tahoma"/>
          <w:i/>
          <w:spacing w:val="-4"/>
          <w:szCs w:val="24"/>
        </w:rPr>
        <w:t>”</w:t>
      </w:r>
      <w:r w:rsidRPr="00CB337E">
        <w:rPr>
          <w:rFonts w:eastAsia="Calibri" w:cs="Tahoma"/>
          <w:spacing w:val="-4"/>
          <w:szCs w:val="24"/>
        </w:rPr>
        <w:t xml:space="preserve"> lo que quiere decir que la carga de la prueba recae en el fondo de pensiones. Dicha postura se ha mantenido invariable, y se reiteró de manera más contundente en la citada sentencia, así: </w:t>
      </w:r>
    </w:p>
    <w:p w14:paraId="65B217E8" w14:textId="77777777" w:rsidR="00CB337E" w:rsidRPr="00CB337E" w:rsidRDefault="00CB337E" w:rsidP="00CB337E">
      <w:pPr>
        <w:spacing w:line="276" w:lineRule="auto"/>
        <w:ind w:firstLine="708"/>
        <w:rPr>
          <w:rFonts w:eastAsia="Calibri" w:cs="Tahoma"/>
          <w:spacing w:val="-4"/>
          <w:szCs w:val="24"/>
        </w:rPr>
      </w:pPr>
    </w:p>
    <w:p w14:paraId="7C4C02C8" w14:textId="77777777" w:rsidR="00CB337E" w:rsidRPr="00CB337E" w:rsidRDefault="00CB337E" w:rsidP="00CB337E">
      <w:pPr>
        <w:spacing w:line="240" w:lineRule="auto"/>
        <w:ind w:left="426" w:right="420" w:firstLine="1"/>
        <w:rPr>
          <w:rFonts w:eastAsia="Calibri" w:cs="Tahoma"/>
          <w:i/>
          <w:sz w:val="22"/>
          <w:lang w:val="es-ES"/>
        </w:rPr>
      </w:pPr>
      <w:r w:rsidRPr="00CB337E">
        <w:rPr>
          <w:rFonts w:eastAsia="Calibri" w:cs="Tahoma"/>
          <w:sz w:val="22"/>
          <w:lang w:val="es-ES"/>
        </w:rPr>
        <w:t>“</w:t>
      </w:r>
      <w:r w:rsidRPr="00CB337E">
        <w:rPr>
          <w:rFonts w:eastAsia="Calibri"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0B13BB41" w14:textId="77777777" w:rsidR="00CB337E" w:rsidRPr="00CB337E" w:rsidRDefault="00CB337E" w:rsidP="00CB337E">
      <w:pPr>
        <w:spacing w:line="240" w:lineRule="auto"/>
        <w:ind w:left="426" w:right="420" w:firstLine="1"/>
        <w:rPr>
          <w:rFonts w:eastAsia="Calibri" w:cs="Tahoma"/>
          <w:i/>
          <w:sz w:val="22"/>
          <w:lang w:val="es-ES"/>
        </w:rPr>
      </w:pPr>
    </w:p>
    <w:p w14:paraId="0F036530" w14:textId="77777777" w:rsidR="00CB337E" w:rsidRPr="00CB337E" w:rsidRDefault="00CB337E" w:rsidP="00CB337E">
      <w:pPr>
        <w:spacing w:line="240" w:lineRule="auto"/>
        <w:ind w:left="426" w:right="420" w:firstLine="1"/>
        <w:rPr>
          <w:rFonts w:eastAsia="Calibri" w:cs="Tahoma"/>
          <w:i/>
          <w:sz w:val="22"/>
          <w:lang w:val="es-ES"/>
        </w:rPr>
      </w:pPr>
      <w:r w:rsidRPr="00CB337E">
        <w:rPr>
          <w:rFonts w:eastAsia="Calibri"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04D9B3D" w14:textId="77777777" w:rsidR="00CB337E" w:rsidRPr="00CB337E" w:rsidRDefault="00CB337E" w:rsidP="00CB337E">
      <w:pPr>
        <w:spacing w:line="240" w:lineRule="auto"/>
        <w:ind w:left="426" w:right="420" w:firstLine="1"/>
        <w:rPr>
          <w:rFonts w:eastAsia="Calibri" w:cs="Tahoma"/>
          <w:i/>
          <w:sz w:val="22"/>
          <w:lang w:val="es-ES"/>
        </w:rPr>
      </w:pPr>
    </w:p>
    <w:p w14:paraId="0C491A80" w14:textId="77777777" w:rsidR="00CB337E" w:rsidRPr="00CB337E" w:rsidRDefault="00CB337E" w:rsidP="00CB337E">
      <w:pPr>
        <w:spacing w:line="240" w:lineRule="auto"/>
        <w:ind w:left="426" w:right="420" w:firstLine="1"/>
        <w:rPr>
          <w:rFonts w:eastAsia="Calibri" w:cs="Tahoma"/>
          <w:i/>
          <w:sz w:val="22"/>
          <w:lang w:val="es-ES"/>
        </w:rPr>
      </w:pPr>
      <w:r w:rsidRPr="00CB337E">
        <w:rPr>
          <w:rFonts w:eastAsia="Calibri" w:cs="Tahoma"/>
          <w:i/>
          <w:sz w:val="22"/>
          <w:lang w:val="es-ES"/>
        </w:rPr>
        <w:t xml:space="preserve">En consecuencia, si se arguye que a la afiliación, la AFP no suministró información veraz y suficiente, pese a que debía hacerlo, se dice con ello, que la entidad incumplió </w:t>
      </w:r>
      <w:r w:rsidRPr="00CB337E">
        <w:rPr>
          <w:rFonts w:eastAsia="Calibri" w:cs="Tahoma"/>
          <w:i/>
          <w:sz w:val="22"/>
          <w:lang w:val="es-ES"/>
        </w:rPr>
        <w:lastRenderedPageBreak/>
        <w:t>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B8A61D6" w14:textId="77777777" w:rsidR="00CB337E" w:rsidRPr="00CB337E" w:rsidRDefault="00CB337E" w:rsidP="00CB337E">
      <w:pPr>
        <w:spacing w:line="240" w:lineRule="auto"/>
        <w:ind w:left="426" w:right="420" w:firstLine="1"/>
        <w:rPr>
          <w:rFonts w:eastAsia="Calibri" w:cs="Tahoma"/>
          <w:i/>
          <w:sz w:val="22"/>
          <w:lang w:val="es-ES"/>
        </w:rPr>
      </w:pPr>
    </w:p>
    <w:p w14:paraId="36D83791" w14:textId="77777777" w:rsidR="00CB337E" w:rsidRPr="00CB337E" w:rsidRDefault="00CB337E" w:rsidP="00CB337E">
      <w:pPr>
        <w:spacing w:line="240" w:lineRule="auto"/>
        <w:ind w:left="426" w:right="420" w:firstLine="1"/>
        <w:rPr>
          <w:rFonts w:eastAsia="Calibri" w:cs="Tahoma"/>
          <w:i/>
          <w:iCs/>
          <w:sz w:val="22"/>
          <w:lang w:val="es-ES"/>
        </w:rPr>
      </w:pPr>
      <w:r w:rsidRPr="00CB337E">
        <w:rPr>
          <w:rFonts w:eastAsia="Calibri" w:cs="Tahoma"/>
          <w:i/>
          <w:sz w:val="22"/>
          <w:lang w:val="es-ES"/>
        </w:rPr>
        <w:t xml:space="preserve">Como se ha expuesto, el deber de información al momento del traslado entre regímenes, es una obligación que corresponde a las administradoras de fondos de pensiones, y </w:t>
      </w:r>
      <w:r w:rsidRPr="00CB337E">
        <w:rPr>
          <w:rFonts w:eastAsia="Calibri" w:cs="Tahoma"/>
          <w:i/>
          <w:iCs/>
          <w:sz w:val="22"/>
          <w:lang w:val="es-ES"/>
        </w:rPr>
        <w:t xml:space="preserve">su ejercicio debe ser de tal diligencia, que permita comprender la lógica, beneficios y desventajas del cambio de régimen, así como prever los riesgos y efectos negativos de esa decisión. </w:t>
      </w:r>
    </w:p>
    <w:p w14:paraId="1FD89403" w14:textId="77777777" w:rsidR="00CB337E" w:rsidRPr="00CB337E" w:rsidRDefault="00CB337E" w:rsidP="00CB337E">
      <w:pPr>
        <w:spacing w:line="240" w:lineRule="auto"/>
        <w:ind w:left="426" w:right="420" w:firstLine="1"/>
        <w:rPr>
          <w:rFonts w:eastAsia="Calibri" w:cs="Tahoma"/>
          <w:i/>
          <w:iCs/>
          <w:sz w:val="22"/>
          <w:lang w:val="es-ES"/>
        </w:rPr>
      </w:pPr>
    </w:p>
    <w:p w14:paraId="52B304DD" w14:textId="77777777" w:rsidR="00CB337E" w:rsidRPr="00CB337E" w:rsidRDefault="00CB337E" w:rsidP="00CB337E">
      <w:pPr>
        <w:spacing w:line="240" w:lineRule="auto"/>
        <w:ind w:left="426" w:right="420" w:firstLine="1"/>
        <w:rPr>
          <w:rFonts w:eastAsia="Calibri" w:cs="Tahoma"/>
          <w:i/>
          <w:iCs/>
          <w:sz w:val="22"/>
          <w:lang w:val="es-ES"/>
        </w:rPr>
      </w:pPr>
      <w:r w:rsidRPr="00CB337E">
        <w:rPr>
          <w:rFonts w:eastAsia="Calibri"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8CE80F4" w14:textId="77777777" w:rsidR="00CB337E" w:rsidRPr="00CB337E" w:rsidRDefault="00CB337E" w:rsidP="00CB337E">
      <w:pPr>
        <w:spacing w:line="240" w:lineRule="auto"/>
        <w:ind w:left="426" w:right="420" w:firstLine="1"/>
        <w:rPr>
          <w:rFonts w:eastAsia="Calibri" w:cs="Tahoma"/>
          <w:i/>
          <w:iCs/>
          <w:sz w:val="22"/>
          <w:lang w:val="es-ES"/>
        </w:rPr>
      </w:pPr>
    </w:p>
    <w:p w14:paraId="6535F558" w14:textId="77777777" w:rsidR="00CB337E" w:rsidRPr="00CB337E" w:rsidRDefault="00CB337E" w:rsidP="00CB337E">
      <w:pPr>
        <w:spacing w:line="240" w:lineRule="auto"/>
        <w:ind w:left="426" w:right="420" w:firstLine="1"/>
        <w:rPr>
          <w:rFonts w:eastAsia="Calibri" w:cs="Tahoma"/>
          <w:i/>
          <w:iCs/>
          <w:sz w:val="22"/>
          <w:lang w:val="es-ES"/>
        </w:rPr>
      </w:pPr>
      <w:r w:rsidRPr="00CB337E">
        <w:rPr>
          <w:rFonts w:eastAsia="Calibri" w:cs="Tahoma"/>
          <w:i/>
          <w:sz w:val="22"/>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2120F9A" w14:textId="77777777" w:rsidR="00CB337E" w:rsidRPr="00CB337E" w:rsidRDefault="00CB337E" w:rsidP="00CB337E">
      <w:pPr>
        <w:spacing w:line="240" w:lineRule="auto"/>
        <w:ind w:left="426" w:right="420" w:firstLine="1"/>
        <w:rPr>
          <w:rFonts w:eastAsia="Calibri" w:cs="Tahoma"/>
          <w:i/>
          <w:iCs/>
          <w:sz w:val="22"/>
          <w:lang w:val="es-ES"/>
        </w:rPr>
      </w:pPr>
    </w:p>
    <w:p w14:paraId="69ED7098" w14:textId="77777777" w:rsidR="00CB337E" w:rsidRPr="00CB337E" w:rsidRDefault="00CB337E" w:rsidP="00CB337E">
      <w:pPr>
        <w:spacing w:line="240" w:lineRule="auto"/>
        <w:ind w:left="426" w:right="420" w:firstLine="1"/>
        <w:rPr>
          <w:rFonts w:eastAsia="Calibri" w:cs="Tahoma"/>
          <w:sz w:val="22"/>
          <w:lang w:val="es-ES"/>
        </w:rPr>
      </w:pPr>
      <w:r w:rsidRPr="00CB337E">
        <w:rPr>
          <w:rFonts w:eastAsia="Calibri"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CB337E">
        <w:rPr>
          <w:rFonts w:eastAsia="Calibri" w:cs="Tahoma"/>
          <w:sz w:val="22"/>
          <w:lang w:val="es-ES"/>
        </w:rPr>
        <w:t xml:space="preserve"> </w:t>
      </w:r>
    </w:p>
    <w:p w14:paraId="55055567" w14:textId="77777777" w:rsidR="00CB337E" w:rsidRPr="00CB337E" w:rsidRDefault="00CB337E" w:rsidP="00CB337E">
      <w:pPr>
        <w:widowControl w:val="0"/>
        <w:autoSpaceDE w:val="0"/>
        <w:autoSpaceDN w:val="0"/>
        <w:adjustRightInd w:val="0"/>
        <w:spacing w:line="276" w:lineRule="auto"/>
        <w:ind w:firstLine="284"/>
        <w:rPr>
          <w:rFonts w:eastAsia="Calibri" w:cs="Tahoma"/>
          <w:szCs w:val="24"/>
          <w:lang w:val="es-ES"/>
        </w:rPr>
      </w:pPr>
    </w:p>
    <w:p w14:paraId="48AA369F" w14:textId="77777777" w:rsidR="00CB337E" w:rsidRPr="00CB337E" w:rsidRDefault="00CB337E" w:rsidP="00CB337E">
      <w:pPr>
        <w:numPr>
          <w:ilvl w:val="1"/>
          <w:numId w:val="11"/>
        </w:numPr>
        <w:spacing w:line="276" w:lineRule="auto"/>
        <w:contextualSpacing/>
        <w:jc w:val="left"/>
        <w:rPr>
          <w:rFonts w:eastAsia="Times New Roman" w:cs="Tahoma"/>
          <w:b/>
          <w:iCs/>
          <w:spacing w:val="-4"/>
          <w:szCs w:val="24"/>
          <w:lang w:eastAsia="es-ES"/>
        </w:rPr>
      </w:pPr>
      <w:r w:rsidRPr="00CB337E">
        <w:rPr>
          <w:rFonts w:eastAsia="Times New Roman" w:cs="Tahoma"/>
          <w:b/>
          <w:iCs/>
          <w:spacing w:val="-4"/>
          <w:szCs w:val="24"/>
          <w:lang w:eastAsia="es-ES"/>
        </w:rPr>
        <w:t>Consecuencias de la declaratoria de ineficacia del traslado: Devolución de las cuotas de administración y de otros valores debidamente indexados</w:t>
      </w:r>
    </w:p>
    <w:p w14:paraId="44FE424F" w14:textId="77777777" w:rsidR="00CB337E" w:rsidRPr="00CB337E" w:rsidRDefault="00CB337E" w:rsidP="00CB337E">
      <w:pPr>
        <w:widowControl w:val="0"/>
        <w:autoSpaceDE w:val="0"/>
        <w:autoSpaceDN w:val="0"/>
        <w:adjustRightInd w:val="0"/>
        <w:spacing w:line="276" w:lineRule="auto"/>
        <w:ind w:firstLine="284"/>
        <w:rPr>
          <w:rFonts w:eastAsia="Calibri" w:cs="Tahoma"/>
          <w:szCs w:val="24"/>
          <w:lang w:val="es-ES"/>
        </w:rPr>
      </w:pPr>
    </w:p>
    <w:p w14:paraId="6942B4A7" w14:textId="77777777" w:rsidR="00CB337E" w:rsidRPr="00CB337E" w:rsidRDefault="00CB337E" w:rsidP="00CB337E">
      <w:pPr>
        <w:widowControl w:val="0"/>
        <w:autoSpaceDE w:val="0"/>
        <w:autoSpaceDN w:val="0"/>
        <w:adjustRightInd w:val="0"/>
        <w:spacing w:line="276" w:lineRule="auto"/>
        <w:ind w:firstLine="708"/>
        <w:rPr>
          <w:rFonts w:eastAsia="Calibri" w:cs="Tahoma"/>
          <w:szCs w:val="24"/>
          <w:lang w:val="es-ES"/>
        </w:rPr>
      </w:pPr>
      <w:r w:rsidRPr="00CB337E">
        <w:rPr>
          <w:rFonts w:eastAsia="Calibri" w:cs="Tahoma"/>
          <w:szCs w:val="24"/>
          <w:lang w:val="es-ES"/>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3F195059" w14:textId="77777777" w:rsidR="00CB337E" w:rsidRPr="00CB337E" w:rsidRDefault="00CB337E" w:rsidP="00CB337E">
      <w:pPr>
        <w:widowControl w:val="0"/>
        <w:autoSpaceDE w:val="0"/>
        <w:autoSpaceDN w:val="0"/>
        <w:adjustRightInd w:val="0"/>
        <w:spacing w:line="276" w:lineRule="auto"/>
        <w:ind w:firstLine="284"/>
        <w:rPr>
          <w:rFonts w:eastAsia="Calibri" w:cs="Tahoma"/>
          <w:szCs w:val="24"/>
          <w:lang w:val="es-ES"/>
        </w:rPr>
      </w:pPr>
    </w:p>
    <w:p w14:paraId="492C2C77" w14:textId="77777777" w:rsidR="00CB337E" w:rsidRPr="00CB337E" w:rsidRDefault="00CB337E" w:rsidP="00CB337E">
      <w:pPr>
        <w:tabs>
          <w:tab w:val="left" w:pos="5180"/>
        </w:tabs>
        <w:suppressAutoHyphens/>
        <w:spacing w:line="240" w:lineRule="auto"/>
        <w:ind w:left="426" w:right="420"/>
        <w:contextualSpacing/>
        <w:rPr>
          <w:rFonts w:eastAsia="Calibri" w:cs="Tahoma"/>
          <w:i/>
          <w:sz w:val="22"/>
          <w:szCs w:val="24"/>
          <w:lang w:val="es-ES"/>
        </w:rPr>
      </w:pPr>
      <w:r w:rsidRPr="00CB337E">
        <w:rPr>
          <w:rFonts w:eastAsia="Calibri" w:cs="Tahoma"/>
          <w:i/>
          <w:sz w:val="22"/>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3EB2ABAB" w14:textId="77777777" w:rsidR="00CB337E" w:rsidRPr="00CB337E" w:rsidRDefault="00CB337E" w:rsidP="00CB337E">
      <w:pPr>
        <w:tabs>
          <w:tab w:val="left" w:pos="5180"/>
        </w:tabs>
        <w:suppressAutoHyphens/>
        <w:spacing w:line="240" w:lineRule="auto"/>
        <w:ind w:left="426" w:right="420"/>
        <w:contextualSpacing/>
        <w:jc w:val="left"/>
        <w:rPr>
          <w:rFonts w:eastAsia="Times New Roman" w:cs="Tahoma"/>
          <w:color w:val="000000"/>
          <w:sz w:val="22"/>
          <w:szCs w:val="24"/>
          <w:lang w:val="es-ES" w:eastAsia="es-ES"/>
        </w:rPr>
      </w:pPr>
    </w:p>
    <w:p w14:paraId="6770A22D" w14:textId="77777777" w:rsidR="00CB337E" w:rsidRPr="00CB337E" w:rsidRDefault="00CB337E" w:rsidP="00CB337E">
      <w:pPr>
        <w:tabs>
          <w:tab w:val="left" w:pos="5180"/>
        </w:tabs>
        <w:suppressAutoHyphens/>
        <w:spacing w:line="240" w:lineRule="auto"/>
        <w:ind w:left="426" w:right="420"/>
        <w:contextualSpacing/>
        <w:rPr>
          <w:rFonts w:eastAsia="Calibri" w:cs="Tahoma"/>
          <w:i/>
          <w:sz w:val="22"/>
          <w:szCs w:val="24"/>
          <w:lang w:val="es-ES"/>
        </w:rPr>
      </w:pPr>
      <w:r w:rsidRPr="00CB337E">
        <w:rPr>
          <w:rFonts w:eastAsia="Calibri" w:cs="Tahoma"/>
          <w:i/>
          <w:sz w:val="22"/>
          <w:szCs w:val="24"/>
          <w:lang w:val="es-ES"/>
        </w:rPr>
        <w:t>Sobre las consecuencias de la nulidad del traslado entre regímenes esta Sala en sentencia SL, del 8 de sep. 2008, rad. 31989, reiterada en varias oportunidades, adoctrinó: […]</w:t>
      </w:r>
    </w:p>
    <w:p w14:paraId="670A7721" w14:textId="77777777" w:rsidR="00CB337E" w:rsidRPr="00CB337E" w:rsidRDefault="00CB337E" w:rsidP="00CB337E">
      <w:pPr>
        <w:tabs>
          <w:tab w:val="left" w:pos="5180"/>
        </w:tabs>
        <w:suppressAutoHyphens/>
        <w:spacing w:line="240" w:lineRule="auto"/>
        <w:ind w:left="426" w:right="420"/>
        <w:contextualSpacing/>
        <w:rPr>
          <w:rFonts w:eastAsia="Calibri" w:cs="Tahoma"/>
          <w:i/>
          <w:sz w:val="22"/>
          <w:szCs w:val="24"/>
          <w:lang w:val="es-ES"/>
        </w:rPr>
      </w:pPr>
    </w:p>
    <w:p w14:paraId="17892494" w14:textId="77777777" w:rsidR="00CB337E" w:rsidRPr="00CB337E" w:rsidRDefault="00CB337E" w:rsidP="00CB337E">
      <w:pPr>
        <w:tabs>
          <w:tab w:val="left" w:pos="5180"/>
        </w:tabs>
        <w:suppressAutoHyphens/>
        <w:spacing w:line="240" w:lineRule="auto"/>
        <w:ind w:left="426" w:right="420"/>
        <w:contextualSpacing/>
        <w:rPr>
          <w:rFonts w:eastAsia="Calibri" w:cs="Tahoma"/>
          <w:i/>
          <w:sz w:val="22"/>
          <w:szCs w:val="24"/>
          <w:lang w:val="es-ES"/>
        </w:rPr>
      </w:pPr>
      <w:r w:rsidRPr="00CB337E">
        <w:rPr>
          <w:rFonts w:eastAsia="Calibri" w:cs="Tahoma"/>
          <w:i/>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034CF159" w14:textId="77777777" w:rsidR="00CB337E" w:rsidRPr="00CB337E" w:rsidRDefault="00CB337E" w:rsidP="00CB337E">
      <w:pPr>
        <w:tabs>
          <w:tab w:val="left" w:pos="5180"/>
        </w:tabs>
        <w:suppressAutoHyphens/>
        <w:spacing w:line="240" w:lineRule="auto"/>
        <w:ind w:left="426" w:right="420"/>
        <w:contextualSpacing/>
        <w:rPr>
          <w:rFonts w:eastAsia="Calibri" w:cs="Tahoma"/>
          <w:i/>
          <w:sz w:val="22"/>
          <w:szCs w:val="24"/>
          <w:lang w:val="es-ES"/>
        </w:rPr>
      </w:pPr>
    </w:p>
    <w:p w14:paraId="39D3A3EC" w14:textId="77777777" w:rsidR="00CB337E" w:rsidRPr="00CB337E" w:rsidRDefault="00CB337E" w:rsidP="00CB337E">
      <w:pPr>
        <w:tabs>
          <w:tab w:val="left" w:pos="5180"/>
        </w:tabs>
        <w:suppressAutoHyphens/>
        <w:spacing w:line="240" w:lineRule="auto"/>
        <w:ind w:left="426" w:right="420"/>
        <w:contextualSpacing/>
        <w:rPr>
          <w:rFonts w:eastAsia="Calibri" w:cs="Tahoma"/>
          <w:i/>
          <w:sz w:val="22"/>
          <w:szCs w:val="24"/>
          <w:lang w:val="es-ES"/>
        </w:rPr>
      </w:pPr>
      <w:r w:rsidRPr="00CB337E">
        <w:rPr>
          <w:rFonts w:eastAsia="Calibri" w:cs="Tahoma"/>
          <w:i/>
          <w:sz w:val="22"/>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07445E3F" w14:textId="77777777" w:rsidR="00CB337E" w:rsidRPr="00CB337E" w:rsidRDefault="00CB337E" w:rsidP="00CB337E">
      <w:pPr>
        <w:widowControl w:val="0"/>
        <w:autoSpaceDE w:val="0"/>
        <w:autoSpaceDN w:val="0"/>
        <w:adjustRightInd w:val="0"/>
        <w:spacing w:line="276" w:lineRule="auto"/>
        <w:ind w:firstLine="284"/>
        <w:rPr>
          <w:rFonts w:eastAsia="Calibri" w:cs="Tahoma"/>
          <w:szCs w:val="24"/>
          <w:lang w:val="es-ES"/>
        </w:rPr>
      </w:pPr>
    </w:p>
    <w:p w14:paraId="64E04245" w14:textId="77777777" w:rsidR="00CB337E" w:rsidRPr="00CB337E" w:rsidRDefault="00CB337E" w:rsidP="00CB337E">
      <w:pPr>
        <w:widowControl w:val="0"/>
        <w:autoSpaceDE w:val="0"/>
        <w:autoSpaceDN w:val="0"/>
        <w:adjustRightInd w:val="0"/>
        <w:spacing w:line="276" w:lineRule="auto"/>
        <w:ind w:firstLine="284"/>
        <w:rPr>
          <w:rFonts w:eastAsia="Calibri" w:cs="Tahoma"/>
          <w:szCs w:val="24"/>
          <w:lang w:val="es-ES"/>
        </w:rPr>
      </w:pPr>
      <w:r w:rsidRPr="00CB337E">
        <w:rPr>
          <w:rFonts w:eastAsia="Calibri" w:cs="Tahoma"/>
          <w:szCs w:val="24"/>
          <w:lang w:val="es-ES"/>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0A5B316E" w14:textId="77777777" w:rsidR="00CB337E" w:rsidRPr="00CB337E" w:rsidRDefault="00CB337E" w:rsidP="00CB337E">
      <w:pPr>
        <w:widowControl w:val="0"/>
        <w:autoSpaceDE w:val="0"/>
        <w:autoSpaceDN w:val="0"/>
        <w:adjustRightInd w:val="0"/>
        <w:spacing w:line="276" w:lineRule="auto"/>
        <w:ind w:firstLine="284"/>
        <w:rPr>
          <w:rFonts w:eastAsia="Calibri" w:cs="Tahoma"/>
          <w:szCs w:val="24"/>
          <w:lang w:val="es-ES"/>
        </w:rPr>
      </w:pPr>
    </w:p>
    <w:p w14:paraId="6783ECB3" w14:textId="77777777" w:rsidR="00CB337E" w:rsidRPr="00CB337E" w:rsidRDefault="00CB337E" w:rsidP="00CB337E">
      <w:pPr>
        <w:tabs>
          <w:tab w:val="left" w:pos="5180"/>
        </w:tabs>
        <w:suppressAutoHyphens/>
        <w:spacing w:line="240" w:lineRule="auto"/>
        <w:ind w:left="426" w:right="420"/>
        <w:contextualSpacing/>
        <w:rPr>
          <w:rFonts w:eastAsia="Calibri" w:cs="Tahoma"/>
          <w:i/>
          <w:sz w:val="22"/>
          <w:szCs w:val="24"/>
          <w:lang w:val="es-ES"/>
        </w:rPr>
      </w:pPr>
      <w:r w:rsidRPr="00CB337E">
        <w:rPr>
          <w:rFonts w:eastAsia="Calibri" w:cs="Tahoma"/>
          <w:i/>
          <w:sz w:val="22"/>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4B1C8184" w14:textId="77777777" w:rsidR="00CB337E" w:rsidRPr="00CB337E" w:rsidRDefault="00CB337E" w:rsidP="00CB337E">
      <w:pPr>
        <w:widowControl w:val="0"/>
        <w:autoSpaceDE w:val="0"/>
        <w:autoSpaceDN w:val="0"/>
        <w:adjustRightInd w:val="0"/>
        <w:spacing w:line="276" w:lineRule="auto"/>
        <w:ind w:firstLine="284"/>
        <w:rPr>
          <w:rFonts w:eastAsia="Calibri" w:cs="Tahoma"/>
          <w:szCs w:val="24"/>
          <w:lang w:val="es-ES"/>
        </w:rPr>
      </w:pPr>
    </w:p>
    <w:p w14:paraId="1FA193C6" w14:textId="77777777" w:rsidR="00CB337E" w:rsidRPr="00CB337E" w:rsidRDefault="00CB337E" w:rsidP="00CB337E">
      <w:pPr>
        <w:widowControl w:val="0"/>
        <w:autoSpaceDE w:val="0"/>
        <w:autoSpaceDN w:val="0"/>
        <w:adjustRightInd w:val="0"/>
        <w:spacing w:line="276" w:lineRule="auto"/>
        <w:ind w:firstLine="284"/>
        <w:rPr>
          <w:rFonts w:eastAsia="Calibri" w:cs="Tahoma"/>
          <w:szCs w:val="24"/>
          <w:lang w:val="es-ES"/>
        </w:rPr>
      </w:pPr>
      <w:r w:rsidRPr="00CB337E">
        <w:rPr>
          <w:rFonts w:eastAsia="Calibri" w:cs="Tahoma"/>
          <w:szCs w:val="24"/>
          <w:lang w:val="es-ES"/>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14AEDF36" w14:textId="77777777" w:rsidR="00CB337E" w:rsidRPr="00CB337E" w:rsidRDefault="00CB337E" w:rsidP="00CB337E">
      <w:pPr>
        <w:widowControl w:val="0"/>
        <w:autoSpaceDE w:val="0"/>
        <w:autoSpaceDN w:val="0"/>
        <w:adjustRightInd w:val="0"/>
        <w:spacing w:line="276" w:lineRule="auto"/>
        <w:ind w:firstLine="284"/>
        <w:rPr>
          <w:rFonts w:eastAsia="Calibri" w:cs="Tahoma"/>
          <w:szCs w:val="24"/>
          <w:lang w:val="es-ES"/>
        </w:rPr>
      </w:pPr>
    </w:p>
    <w:p w14:paraId="13B5CAA6" w14:textId="77777777" w:rsidR="00CB337E" w:rsidRPr="00CB337E" w:rsidRDefault="00CB337E" w:rsidP="00CB337E">
      <w:pPr>
        <w:widowControl w:val="0"/>
        <w:autoSpaceDE w:val="0"/>
        <w:autoSpaceDN w:val="0"/>
        <w:adjustRightInd w:val="0"/>
        <w:spacing w:line="276" w:lineRule="auto"/>
        <w:ind w:firstLine="284"/>
        <w:rPr>
          <w:rFonts w:eastAsia="Calibri" w:cs="Tahoma"/>
          <w:szCs w:val="24"/>
          <w:lang w:val="es-ES"/>
        </w:rPr>
      </w:pPr>
      <w:r w:rsidRPr="00CB337E">
        <w:rPr>
          <w:rFonts w:eastAsia="Calibri" w:cs="Tahoma"/>
          <w:szCs w:val="24"/>
          <w:lang w:val="es-ES"/>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402C0657" w14:textId="77777777" w:rsidR="003C480F" w:rsidRPr="0004733C" w:rsidRDefault="003C480F" w:rsidP="0004733C">
      <w:pPr>
        <w:widowControl w:val="0"/>
        <w:autoSpaceDE w:val="0"/>
        <w:autoSpaceDN w:val="0"/>
        <w:adjustRightInd w:val="0"/>
        <w:spacing w:line="276" w:lineRule="auto"/>
        <w:rPr>
          <w:rFonts w:cs="Tahoma"/>
          <w:b/>
          <w:szCs w:val="24"/>
        </w:rPr>
      </w:pPr>
    </w:p>
    <w:p w14:paraId="73FC0EBF" w14:textId="77777777" w:rsidR="00CE0E35" w:rsidRPr="0004733C" w:rsidRDefault="00CE0E35" w:rsidP="0004733C">
      <w:pPr>
        <w:widowControl w:val="0"/>
        <w:numPr>
          <w:ilvl w:val="1"/>
          <w:numId w:val="9"/>
        </w:numPr>
        <w:autoSpaceDE w:val="0"/>
        <w:autoSpaceDN w:val="0"/>
        <w:adjustRightInd w:val="0"/>
        <w:spacing w:line="276" w:lineRule="auto"/>
        <w:contextualSpacing/>
        <w:rPr>
          <w:rFonts w:eastAsia="Times New Roman" w:cs="Tahoma"/>
          <w:b/>
          <w:bCs/>
          <w:szCs w:val="24"/>
          <w:lang w:eastAsia="es-ES"/>
        </w:rPr>
      </w:pPr>
      <w:r w:rsidRPr="0004733C">
        <w:rPr>
          <w:rFonts w:eastAsia="Times New Roman" w:cs="Tahoma"/>
          <w:b/>
          <w:bCs/>
          <w:szCs w:val="24"/>
          <w:lang w:eastAsia="es-ES"/>
        </w:rPr>
        <w:t>Caso concreto</w:t>
      </w:r>
    </w:p>
    <w:p w14:paraId="27CE98BE" w14:textId="77777777" w:rsidR="00CE0E35" w:rsidRPr="0004733C" w:rsidRDefault="00CE0E35" w:rsidP="0004733C">
      <w:pPr>
        <w:spacing w:line="276" w:lineRule="auto"/>
        <w:ind w:left="644"/>
        <w:textAlignment w:val="baseline"/>
        <w:rPr>
          <w:rFonts w:eastAsia="Times New Roman" w:cs="Tahoma"/>
          <w:szCs w:val="24"/>
          <w:lang w:eastAsia="es-ES"/>
        </w:rPr>
      </w:pPr>
    </w:p>
    <w:p w14:paraId="3BC68578" w14:textId="77777777" w:rsidR="00CE0E35" w:rsidRPr="0004733C" w:rsidRDefault="00CE0E35" w:rsidP="0004733C">
      <w:pPr>
        <w:spacing w:line="276" w:lineRule="auto"/>
        <w:ind w:firstLine="644"/>
        <w:contextualSpacing/>
        <w:rPr>
          <w:rFonts w:eastAsia="Times New Roman" w:cs="Tahoma"/>
          <w:szCs w:val="24"/>
          <w:lang w:eastAsia="es-ES"/>
        </w:rPr>
      </w:pPr>
      <w:r w:rsidRPr="0004733C">
        <w:rPr>
          <w:rFonts w:eastAsia="Times New Roman" w:cs="Tahoma"/>
          <w:szCs w:val="24"/>
          <w:lang w:eastAsia="es-ES"/>
        </w:rPr>
        <w:t xml:space="preserve">Se pretende por esta vía ordinaria que se declare la nulidad de la afiliación a </w:t>
      </w:r>
      <w:r w:rsidR="495693A5" w:rsidRPr="0004733C">
        <w:rPr>
          <w:rFonts w:eastAsia="Times New Roman" w:cs="Tahoma"/>
          <w:szCs w:val="24"/>
          <w:lang w:eastAsia="es-ES"/>
        </w:rPr>
        <w:t>la AFP Colpatria S.A.</w:t>
      </w:r>
      <w:r w:rsidRPr="0004733C">
        <w:rPr>
          <w:rFonts w:eastAsia="Times New Roman" w:cs="Tahoma"/>
          <w:szCs w:val="24"/>
          <w:lang w:eastAsia="es-ES"/>
        </w:rPr>
        <w:t>, hoy P</w:t>
      </w:r>
      <w:r w:rsidR="026FD29D" w:rsidRPr="0004733C">
        <w:rPr>
          <w:rFonts w:eastAsia="Times New Roman" w:cs="Tahoma"/>
          <w:szCs w:val="24"/>
          <w:lang w:eastAsia="es-ES"/>
        </w:rPr>
        <w:t>orvenir S.A.</w:t>
      </w:r>
      <w:r w:rsidRPr="0004733C">
        <w:rPr>
          <w:rFonts w:eastAsia="Times New Roman" w:cs="Tahoma"/>
          <w:szCs w:val="24"/>
          <w:lang w:eastAsia="es-ES"/>
        </w:rPr>
        <w:t xml:space="preserve">, por medio de la cual se llevó a cabo el traslado del régimen de prima media con prestación definida al de ahorro individual con solidaridad; dada la omisión de información clara y precisa, que ha debido brindarle la </w:t>
      </w:r>
      <w:r w:rsidRPr="0004733C">
        <w:rPr>
          <w:rFonts w:eastAsia="Times New Roman" w:cs="Tahoma"/>
          <w:szCs w:val="24"/>
          <w:lang w:eastAsia="es-ES"/>
        </w:rPr>
        <w:lastRenderedPageBreak/>
        <w:t>A.F.P. a la parte actora en orden a conocer las condiciones y consecuencias de migración de régimen.</w:t>
      </w:r>
    </w:p>
    <w:p w14:paraId="49FB1B45" w14:textId="77777777" w:rsidR="00CE0E35" w:rsidRPr="0004733C" w:rsidRDefault="00CE0E35" w:rsidP="0004733C">
      <w:pPr>
        <w:spacing w:line="276" w:lineRule="auto"/>
        <w:jc w:val="left"/>
        <w:rPr>
          <w:rFonts w:cs="Tahoma"/>
          <w:szCs w:val="24"/>
        </w:rPr>
      </w:pPr>
    </w:p>
    <w:p w14:paraId="4151F544" w14:textId="77777777" w:rsidR="00CE0E35" w:rsidRPr="0004733C" w:rsidRDefault="00CE0E35" w:rsidP="0004733C">
      <w:pPr>
        <w:spacing w:line="276" w:lineRule="auto"/>
        <w:ind w:firstLine="644"/>
        <w:contextualSpacing/>
        <w:rPr>
          <w:rFonts w:eastAsia="Times New Roman" w:cs="Tahoma"/>
          <w:szCs w:val="24"/>
          <w:lang w:eastAsia="es-ES"/>
        </w:rPr>
      </w:pPr>
      <w:r w:rsidRPr="0004733C">
        <w:rPr>
          <w:rFonts w:eastAsia="Times New Roman" w:cs="Tahoma"/>
          <w:szCs w:val="24"/>
          <w:lang w:eastAsia="es-ES"/>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003B0B52" w14:textId="77777777" w:rsidR="00CE0E35" w:rsidRPr="0004733C" w:rsidRDefault="00CE0E35" w:rsidP="0004733C">
      <w:pPr>
        <w:spacing w:line="276" w:lineRule="auto"/>
        <w:contextualSpacing/>
        <w:jc w:val="left"/>
        <w:rPr>
          <w:rFonts w:eastAsia="Times New Roman" w:cs="Tahoma"/>
          <w:szCs w:val="24"/>
          <w:lang w:eastAsia="es-ES"/>
        </w:rPr>
      </w:pPr>
    </w:p>
    <w:p w14:paraId="742E058E" w14:textId="77777777" w:rsidR="00CE0E35" w:rsidRPr="0004733C" w:rsidRDefault="00CE0E35" w:rsidP="0004733C">
      <w:pPr>
        <w:spacing w:line="276" w:lineRule="auto"/>
        <w:ind w:firstLine="644"/>
        <w:contextualSpacing/>
        <w:rPr>
          <w:rFonts w:eastAsia="Times New Roman" w:cs="Tahoma"/>
          <w:b/>
          <w:szCs w:val="24"/>
          <w:lang w:eastAsia="es-ES"/>
        </w:rPr>
      </w:pPr>
      <w:r w:rsidRPr="0004733C">
        <w:rPr>
          <w:rFonts w:eastAsia="Times New Roman" w:cs="Tahoma"/>
          <w:szCs w:val="24"/>
          <w:lang w:eastAsia="es-ES"/>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04733C">
        <w:rPr>
          <w:rFonts w:eastAsia="Times New Roman" w:cs="Tahoma"/>
          <w:b/>
          <w:szCs w:val="24"/>
          <w:lang w:eastAsia="es-ES"/>
        </w:rPr>
        <w:t>, acreditar haber transmitido a la parte actora la información concreta y cierta, acerca de la implicación del traslado de régimen pensional.</w:t>
      </w:r>
    </w:p>
    <w:p w14:paraId="2497FE58" w14:textId="77777777" w:rsidR="00CE0E35" w:rsidRPr="0004733C" w:rsidRDefault="00CE0E35" w:rsidP="0004733C">
      <w:pPr>
        <w:spacing w:line="276" w:lineRule="auto"/>
        <w:contextualSpacing/>
        <w:jc w:val="left"/>
        <w:rPr>
          <w:rFonts w:eastAsia="Times New Roman" w:cs="Tahoma"/>
          <w:b/>
          <w:szCs w:val="24"/>
          <w:lang w:eastAsia="es-ES"/>
        </w:rPr>
      </w:pPr>
    </w:p>
    <w:p w14:paraId="76052B17" w14:textId="77777777" w:rsidR="00CE0E35" w:rsidRPr="0004733C" w:rsidRDefault="00CE0E35" w:rsidP="0004733C">
      <w:pPr>
        <w:spacing w:line="276" w:lineRule="auto"/>
        <w:ind w:firstLine="644"/>
        <w:rPr>
          <w:rFonts w:eastAsia="Times New Roman" w:cs="Tahoma"/>
          <w:color w:val="000000"/>
          <w:szCs w:val="24"/>
          <w:lang w:eastAsia="es-ES"/>
        </w:rPr>
      </w:pPr>
      <w:r w:rsidRPr="0004733C">
        <w:rPr>
          <w:rFonts w:eastAsia="Times New Roman" w:cs="Tahoma"/>
          <w:color w:val="000000"/>
          <w:szCs w:val="24"/>
          <w:lang w:eastAsia="es-ES"/>
        </w:rPr>
        <w:t xml:space="preserve">En realidad, mínimo la AFP tendría que haber dado la siguiente información: </w:t>
      </w:r>
      <w:r w:rsidRPr="0004733C">
        <w:rPr>
          <w:rFonts w:eastAsia="Times New Roman" w:cs="Tahoma"/>
          <w:i/>
          <w:color w:val="000000"/>
          <w:szCs w:val="24"/>
          <w:lang w:eastAsia="es-ES"/>
        </w:rPr>
        <w:t xml:space="preserve">i) </w:t>
      </w:r>
      <w:r w:rsidRPr="0004733C">
        <w:rPr>
          <w:rFonts w:eastAsia="Times New Roman" w:cs="Tahoma"/>
          <w:color w:val="000000"/>
          <w:szCs w:val="24"/>
          <w:lang w:eastAsia="es-ES"/>
        </w:rPr>
        <w:t xml:space="preserve">Que, dependiendo del capital, puede pensionarse anticipadamente, esto es, antes de la edad mínima para la pensión de vejez. </w:t>
      </w:r>
      <w:r w:rsidRPr="0004733C">
        <w:rPr>
          <w:rFonts w:eastAsia="Times New Roman" w:cs="Tahoma"/>
          <w:i/>
          <w:color w:val="000000"/>
          <w:szCs w:val="24"/>
          <w:lang w:eastAsia="es-ES"/>
        </w:rPr>
        <w:t xml:space="preserve">ii) </w:t>
      </w:r>
      <w:r w:rsidRPr="0004733C">
        <w:rPr>
          <w:rFonts w:eastAsia="Times New Roman" w:cs="Tahoma"/>
          <w:color w:val="000000"/>
          <w:szCs w:val="24"/>
          <w:lang w:eastAsia="es-ES"/>
        </w:rPr>
        <w:t xml:space="preserve">La posibilidad para sus herederos de hacerse a la devolución de saldos, en caso de que no existieran beneficiaros para la pensión de sobrevivientes. </w:t>
      </w:r>
      <w:r w:rsidRPr="0004733C">
        <w:rPr>
          <w:rFonts w:eastAsia="Times New Roman" w:cs="Tahoma"/>
          <w:i/>
          <w:color w:val="000000"/>
          <w:szCs w:val="24"/>
          <w:lang w:eastAsia="es-ES"/>
        </w:rPr>
        <w:t xml:space="preserve">iii) </w:t>
      </w:r>
      <w:r w:rsidRPr="0004733C">
        <w:rPr>
          <w:rFonts w:eastAsia="Times New Roman" w:cs="Tahoma"/>
          <w:color w:val="000000"/>
          <w:szCs w:val="24"/>
          <w:lang w:eastAsia="es-ES"/>
        </w:rPr>
        <w:t xml:space="preserve">La devolución total del saldo en caso de no alcanzar a reunir el total de los requisitos legales para optar al beneficio pensional. </w:t>
      </w:r>
      <w:r w:rsidRPr="0004733C">
        <w:rPr>
          <w:rFonts w:eastAsia="Times New Roman" w:cs="Tahoma"/>
          <w:i/>
          <w:color w:val="000000"/>
          <w:szCs w:val="24"/>
          <w:lang w:eastAsia="es-ES"/>
        </w:rPr>
        <w:t xml:space="preserve">iv) </w:t>
      </w:r>
      <w:r w:rsidRPr="0004733C">
        <w:rPr>
          <w:rFonts w:eastAsia="Times New Roman" w:cs="Tahoma"/>
          <w:color w:val="000000"/>
          <w:szCs w:val="24"/>
          <w:lang w:eastAsia="es-ES"/>
        </w:rPr>
        <w:t xml:space="preserve">Tener la posibilidad de la pensión de vejez habiendo cotizado el mínimo de semanas requeridas a pesar de no reunir el capital suficiente para el financiamiento de la prestación económica. </w:t>
      </w:r>
      <w:r w:rsidRPr="0004733C">
        <w:rPr>
          <w:rFonts w:eastAsia="Times New Roman" w:cs="Tahoma"/>
          <w:i/>
          <w:color w:val="000000"/>
          <w:szCs w:val="24"/>
          <w:lang w:eastAsia="es-ES"/>
        </w:rPr>
        <w:t xml:space="preserve">v) </w:t>
      </w:r>
      <w:r w:rsidRPr="0004733C">
        <w:rPr>
          <w:rFonts w:eastAsia="Times New Roman" w:cs="Tahoma"/>
          <w:color w:val="000000"/>
          <w:szCs w:val="24"/>
          <w:lang w:eastAsia="es-ES"/>
        </w:rPr>
        <w:t xml:space="preserve">La posibilidad de que el reconocimiento de la pensión de vejez, una vez reunido los requisitos, se haga pronto. </w:t>
      </w:r>
      <w:r w:rsidRPr="0004733C">
        <w:rPr>
          <w:rFonts w:eastAsia="Times New Roman" w:cs="Tahoma"/>
          <w:i/>
          <w:color w:val="000000"/>
          <w:szCs w:val="24"/>
          <w:lang w:eastAsia="es-ES"/>
        </w:rPr>
        <w:t xml:space="preserve">vi) </w:t>
      </w:r>
      <w:r w:rsidRPr="0004733C">
        <w:rPr>
          <w:rFonts w:eastAsia="Times New Roman" w:cs="Tahoma"/>
          <w:color w:val="000000"/>
          <w:szCs w:val="24"/>
          <w:lang w:eastAsia="es-ES"/>
        </w:rPr>
        <w:t xml:space="preserve">La posibilidad de que sus aportes se conviertan en patrimonio </w:t>
      </w:r>
      <w:proofErr w:type="spellStart"/>
      <w:r w:rsidRPr="0004733C">
        <w:rPr>
          <w:rFonts w:eastAsia="Times New Roman" w:cs="Tahoma"/>
          <w:color w:val="000000"/>
          <w:szCs w:val="24"/>
          <w:lang w:eastAsia="es-ES"/>
        </w:rPr>
        <w:t>sucesoral</w:t>
      </w:r>
      <w:proofErr w:type="spellEnd"/>
      <w:r w:rsidRPr="0004733C">
        <w:rPr>
          <w:rFonts w:eastAsia="Times New Roman" w:cs="Tahoma"/>
          <w:color w:val="000000"/>
          <w:szCs w:val="24"/>
          <w:lang w:eastAsia="es-ES"/>
        </w:rPr>
        <w:t xml:space="preserve"> en un caso dado. </w:t>
      </w:r>
      <w:r w:rsidRPr="0004733C">
        <w:rPr>
          <w:rFonts w:eastAsia="Times New Roman" w:cs="Tahoma"/>
          <w:i/>
          <w:color w:val="000000"/>
          <w:szCs w:val="24"/>
          <w:lang w:eastAsia="es-ES"/>
        </w:rPr>
        <w:t xml:space="preserve">vii) </w:t>
      </w:r>
      <w:r w:rsidRPr="0004733C">
        <w:rPr>
          <w:rFonts w:eastAsia="Times New Roman" w:cs="Tahoma"/>
          <w:color w:val="000000"/>
          <w:szCs w:val="24"/>
          <w:lang w:eastAsia="es-ES"/>
        </w:rPr>
        <w:t xml:space="preserve">El hecho de que el afiliado es el único titular de la cuenta de ahorro individual en contraste con el fondo público cuyos ahorros hacen parte de un fondo común. </w:t>
      </w:r>
      <w:proofErr w:type="spellStart"/>
      <w:r w:rsidRPr="0004733C">
        <w:rPr>
          <w:rFonts w:eastAsia="Times New Roman" w:cs="Tahoma"/>
          <w:i/>
          <w:color w:val="000000"/>
          <w:szCs w:val="24"/>
          <w:lang w:eastAsia="es-ES"/>
        </w:rPr>
        <w:t>viii</w:t>
      </w:r>
      <w:proofErr w:type="spellEnd"/>
      <w:r w:rsidRPr="0004733C">
        <w:rPr>
          <w:rFonts w:eastAsia="Times New Roman" w:cs="Tahoma"/>
          <w:i/>
          <w:color w:val="000000"/>
          <w:szCs w:val="24"/>
          <w:lang w:eastAsia="es-ES"/>
        </w:rPr>
        <w:t xml:space="preserve">) </w:t>
      </w:r>
      <w:r w:rsidRPr="0004733C">
        <w:rPr>
          <w:rFonts w:eastAsia="Times New Roman" w:cs="Tahoma"/>
          <w:color w:val="000000"/>
          <w:szCs w:val="24"/>
          <w:lang w:eastAsia="es-ES"/>
        </w:rPr>
        <w:t xml:space="preserve">Los rendimientos financieros que le generen sus aportes abonados sobre el saldo de su cuenta de ahorro individual; y, </w:t>
      </w:r>
      <w:proofErr w:type="spellStart"/>
      <w:r w:rsidRPr="0004733C">
        <w:rPr>
          <w:rFonts w:eastAsia="Times New Roman" w:cs="Tahoma"/>
          <w:i/>
          <w:color w:val="000000"/>
          <w:szCs w:val="24"/>
          <w:lang w:eastAsia="es-ES"/>
        </w:rPr>
        <w:t>ix</w:t>
      </w:r>
      <w:proofErr w:type="spellEnd"/>
      <w:r w:rsidRPr="0004733C">
        <w:rPr>
          <w:rFonts w:eastAsia="Times New Roman" w:cs="Tahoma"/>
          <w:i/>
          <w:color w:val="000000"/>
          <w:szCs w:val="24"/>
          <w:lang w:eastAsia="es-ES"/>
        </w:rPr>
        <w:t xml:space="preserve">) </w:t>
      </w:r>
      <w:r w:rsidRPr="0004733C">
        <w:rPr>
          <w:rFonts w:eastAsia="Times New Roman" w:cs="Tahoma"/>
          <w:color w:val="000000"/>
          <w:szCs w:val="24"/>
          <w:lang w:eastAsia="es-ES"/>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04733C">
        <w:rPr>
          <w:rFonts w:eastAsia="Times New Roman" w:cs="Tahoma"/>
          <w:color w:val="000000"/>
          <w:szCs w:val="24"/>
          <w:lang w:eastAsia="es-ES"/>
        </w:rPr>
        <w:t>sucesoral</w:t>
      </w:r>
      <w:proofErr w:type="spellEnd"/>
      <w:r w:rsidRPr="0004733C">
        <w:rPr>
          <w:rFonts w:eastAsia="Times New Roman" w:cs="Tahoma"/>
          <w:color w:val="000000"/>
          <w:szCs w:val="24"/>
          <w:lang w:eastAsia="es-ES"/>
        </w:rPr>
        <w:t xml:space="preserve">, pero le garantiza una pensión de por vida. La modalidad de </w:t>
      </w:r>
      <w:r w:rsidRPr="0004733C">
        <w:rPr>
          <w:rFonts w:eastAsia="Times New Roman" w:cs="Tahoma"/>
          <w:i/>
          <w:color w:val="000000"/>
          <w:szCs w:val="24"/>
          <w:lang w:eastAsia="es-ES"/>
        </w:rPr>
        <w:t>retiro programado</w:t>
      </w:r>
      <w:r w:rsidRPr="0004733C">
        <w:rPr>
          <w:rFonts w:eastAsia="Times New Roman" w:cs="Tahoma"/>
          <w:color w:val="000000"/>
          <w:szCs w:val="24"/>
          <w:lang w:eastAsia="es-ES"/>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F53093E" w14:textId="77777777" w:rsidR="00CE0E35" w:rsidRPr="0004733C" w:rsidRDefault="00CE0E35" w:rsidP="0004733C">
      <w:pPr>
        <w:spacing w:line="276" w:lineRule="auto"/>
        <w:ind w:firstLine="644"/>
        <w:rPr>
          <w:rFonts w:eastAsia="Times New Roman" w:cs="Tahoma"/>
          <w:color w:val="000000"/>
          <w:szCs w:val="24"/>
          <w:lang w:eastAsia="es-ES"/>
        </w:rPr>
      </w:pPr>
    </w:p>
    <w:p w14:paraId="6F965AF9" w14:textId="77777777" w:rsidR="00CE0E35" w:rsidRPr="0004733C" w:rsidRDefault="00CE0E35" w:rsidP="0004733C">
      <w:pPr>
        <w:spacing w:line="276" w:lineRule="auto"/>
        <w:ind w:firstLine="644"/>
        <w:rPr>
          <w:rFonts w:eastAsia="Times New Roman" w:cs="Tahoma"/>
          <w:color w:val="000000"/>
          <w:szCs w:val="24"/>
          <w:lang w:eastAsia="es-ES"/>
        </w:rPr>
      </w:pPr>
      <w:r w:rsidRPr="0004733C">
        <w:rPr>
          <w:rFonts w:eastAsia="Times New Roman" w:cs="Tahoma"/>
          <w:color w:val="000000" w:themeColor="text1"/>
          <w:szCs w:val="24"/>
          <w:lang w:eastAsia="es-ES"/>
        </w:rPr>
        <w:t xml:space="preserve">La AFP </w:t>
      </w:r>
      <w:r w:rsidR="1C600B98" w:rsidRPr="0004733C">
        <w:rPr>
          <w:rFonts w:eastAsia="Times New Roman" w:cs="Tahoma"/>
          <w:color w:val="000000" w:themeColor="text1"/>
          <w:szCs w:val="24"/>
          <w:lang w:eastAsia="es-ES"/>
        </w:rPr>
        <w:t xml:space="preserve">PORVENIR </w:t>
      </w:r>
      <w:r w:rsidRPr="0004733C">
        <w:rPr>
          <w:rFonts w:eastAsia="Times New Roman" w:cs="Tahoma"/>
          <w:color w:val="000000" w:themeColor="text1"/>
          <w:szCs w:val="24"/>
          <w:lang w:eastAsia="es-ES"/>
        </w:rPr>
        <w:t xml:space="preserve">afirma en su contestación que brindó la información </w:t>
      </w:r>
      <w:r w:rsidRPr="0004733C">
        <w:rPr>
          <w:rFonts w:eastAsia="Times New Roman" w:cs="Tahoma"/>
          <w:szCs w:val="24"/>
          <w:lang w:eastAsia="es-ES"/>
        </w:rPr>
        <w:t>seria y veraz que para la época era jurídicamente pertinente</w:t>
      </w:r>
      <w:r w:rsidRPr="0004733C">
        <w:rPr>
          <w:rFonts w:eastAsia="Times New Roman" w:cs="Tahoma"/>
          <w:color w:val="000000" w:themeColor="text1"/>
          <w:szCs w:val="24"/>
          <w:lang w:eastAsia="es-ES"/>
        </w:rPr>
        <w:t xml:space="preserve"> a la parte demandante sin que se precise en qué consistió tal cosa. Ello sería suficiente para concluir, que efectivamente la información que recibió la parte actora fue insuficiente y sesgada al </w:t>
      </w:r>
      <w:r w:rsidRPr="0004733C">
        <w:rPr>
          <w:rFonts w:eastAsia="Times New Roman" w:cs="Tahoma"/>
          <w:color w:val="000000" w:themeColor="text1"/>
          <w:szCs w:val="24"/>
          <w:lang w:eastAsia="es-ES"/>
        </w:rPr>
        <w:lastRenderedPageBreak/>
        <w:t xml:space="preserve">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762CFF49" w14:textId="77777777" w:rsidR="00CE0E35" w:rsidRPr="0004733C" w:rsidRDefault="00CE0E35" w:rsidP="0004733C">
      <w:pPr>
        <w:spacing w:line="276" w:lineRule="auto"/>
        <w:jc w:val="left"/>
        <w:rPr>
          <w:rFonts w:cs="Tahoma"/>
          <w:szCs w:val="24"/>
        </w:rPr>
      </w:pPr>
    </w:p>
    <w:p w14:paraId="374A8509" w14:textId="77777777" w:rsidR="00F71BC7" w:rsidRPr="0004733C" w:rsidRDefault="00CE0E35" w:rsidP="0004733C">
      <w:pPr>
        <w:spacing w:line="276" w:lineRule="auto"/>
        <w:ind w:firstLine="709"/>
        <w:rPr>
          <w:rFonts w:cs="Tahoma"/>
          <w:szCs w:val="24"/>
        </w:rPr>
      </w:pPr>
      <w:r w:rsidRPr="0004733C">
        <w:rPr>
          <w:rFonts w:cs="Tahoma"/>
          <w:szCs w:val="24"/>
        </w:rPr>
        <w:t>Con todo hay que indicar que como prueba del cumplimiento del deber de información y buen consejo, l</w:t>
      </w:r>
      <w:r w:rsidR="43F86185" w:rsidRPr="0004733C">
        <w:rPr>
          <w:rFonts w:cs="Tahoma"/>
          <w:szCs w:val="24"/>
        </w:rPr>
        <w:t xml:space="preserve">as codemandadas </w:t>
      </w:r>
      <w:r w:rsidRPr="0004733C">
        <w:rPr>
          <w:rFonts w:cs="Tahoma"/>
          <w:szCs w:val="24"/>
        </w:rPr>
        <w:t>llam</w:t>
      </w:r>
      <w:r w:rsidR="58383A24" w:rsidRPr="0004733C">
        <w:rPr>
          <w:rFonts w:cs="Tahoma"/>
          <w:szCs w:val="24"/>
        </w:rPr>
        <w:t>aron</w:t>
      </w:r>
      <w:r w:rsidRPr="0004733C">
        <w:rPr>
          <w:rFonts w:cs="Tahoma"/>
          <w:szCs w:val="24"/>
        </w:rPr>
        <w:t xml:space="preserve">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w:t>
      </w:r>
      <w:r w:rsidR="00F71BC7" w:rsidRPr="0004733C">
        <w:rPr>
          <w:rFonts w:cs="Tahoma"/>
          <w:szCs w:val="24"/>
        </w:rPr>
        <w:t>Al respecto, el demandante se limitó a señalar: que por esa época, en la que se afilió, se hablaba de los fondos privados de pensiones como nuevos prestadores de servicios y un asesor de Colpatria</w:t>
      </w:r>
      <w:r w:rsidR="3A576362" w:rsidRPr="0004733C">
        <w:rPr>
          <w:rFonts w:cs="Tahoma"/>
          <w:szCs w:val="24"/>
        </w:rPr>
        <w:t xml:space="preserve"> (Hoy PORVENIR)</w:t>
      </w:r>
      <w:r w:rsidR="00F71BC7" w:rsidRPr="0004733C">
        <w:rPr>
          <w:rFonts w:cs="Tahoma"/>
          <w:szCs w:val="24"/>
        </w:rPr>
        <w:t xml:space="preserve"> le brindó la información y le habló de los beneficios de trasladarse, fue una visita en su oficina, que se demoró unos 10 minutos y se limitó a indicarle que podía trasladarse sin ningún problema</w:t>
      </w:r>
      <w:r w:rsidR="003C480F" w:rsidRPr="0004733C">
        <w:rPr>
          <w:rFonts w:cs="Tahoma"/>
          <w:szCs w:val="24"/>
        </w:rPr>
        <w:t xml:space="preserve">. Dicho asesor le aseguró </w:t>
      </w:r>
      <w:r w:rsidR="00F71BC7" w:rsidRPr="0004733C">
        <w:rPr>
          <w:rFonts w:cs="Tahoma"/>
          <w:szCs w:val="24"/>
        </w:rPr>
        <w:t xml:space="preserve">que podía pensionarse antes que en el ISS y ante ese beneficio obviamente decidió que era bueno pasarse. </w:t>
      </w:r>
      <w:r w:rsidR="177E1DCC" w:rsidRPr="0004733C">
        <w:rPr>
          <w:rFonts w:cs="Tahoma"/>
          <w:szCs w:val="24"/>
        </w:rPr>
        <w:t>Además,</w:t>
      </w:r>
      <w:r w:rsidR="00F71BC7" w:rsidRPr="0004733C">
        <w:rPr>
          <w:rFonts w:cs="Tahoma"/>
          <w:szCs w:val="24"/>
        </w:rPr>
        <w:t xml:space="preserve"> recordó que el asesor le indicó que podía solicitar el ahorro si no quisiera la pensión y en sus palabras </w:t>
      </w:r>
      <w:r w:rsidR="00F71BC7" w:rsidRPr="0004733C">
        <w:rPr>
          <w:rFonts w:cs="Tahoma"/>
          <w:i/>
          <w:iCs/>
          <w:szCs w:val="24"/>
        </w:rPr>
        <w:t>“</w:t>
      </w:r>
      <w:r w:rsidR="00F71BC7" w:rsidRPr="004D6F44">
        <w:rPr>
          <w:rFonts w:cs="Tahoma"/>
          <w:i/>
          <w:iCs/>
          <w:sz w:val="22"/>
          <w:szCs w:val="24"/>
        </w:rPr>
        <w:t>nunca le explicaron de rendimiento, ni nada de eso</w:t>
      </w:r>
      <w:r w:rsidR="00F71BC7" w:rsidRPr="0004733C">
        <w:rPr>
          <w:rFonts w:cs="Tahoma"/>
          <w:i/>
          <w:iCs/>
          <w:szCs w:val="24"/>
        </w:rPr>
        <w:t xml:space="preserve">”. </w:t>
      </w:r>
      <w:r w:rsidR="00F71BC7" w:rsidRPr="0004733C">
        <w:rPr>
          <w:rFonts w:cs="Tahoma"/>
          <w:szCs w:val="24"/>
        </w:rPr>
        <w:t>De modo que sus afirmaciones no son prueba que le sirva a la demandada como ejemplo de buen consejo y pertinente asesoría.</w:t>
      </w:r>
    </w:p>
    <w:p w14:paraId="40DE8B4D" w14:textId="77777777" w:rsidR="00F71BC7" w:rsidRPr="0004733C" w:rsidRDefault="00F71BC7" w:rsidP="0004733C">
      <w:pPr>
        <w:spacing w:line="276" w:lineRule="auto"/>
        <w:rPr>
          <w:rFonts w:cs="Tahoma"/>
          <w:szCs w:val="24"/>
        </w:rPr>
      </w:pPr>
    </w:p>
    <w:p w14:paraId="3492EB6E" w14:textId="77777777" w:rsidR="00CE0E35" w:rsidRPr="0004733C" w:rsidRDefault="00CE0E35" w:rsidP="0004733C">
      <w:pPr>
        <w:spacing w:line="276" w:lineRule="auto"/>
        <w:ind w:firstLine="709"/>
        <w:rPr>
          <w:rFonts w:cs="Tahoma"/>
          <w:szCs w:val="24"/>
        </w:rPr>
      </w:pPr>
      <w:r w:rsidRPr="0004733C">
        <w:rPr>
          <w:rFonts w:cs="Tahoma"/>
          <w:szCs w:val="24"/>
        </w:rPr>
        <w:t xml:space="preserve">El otro elemento de prueba que esgrime la AFP es el formulario de afiliación suscrito por la promotora de la litis ante </w:t>
      </w:r>
      <w:r w:rsidR="029D46B7" w:rsidRPr="0004733C">
        <w:rPr>
          <w:rFonts w:cs="Tahoma"/>
          <w:szCs w:val="24"/>
        </w:rPr>
        <w:t>COLPATRIA (</w:t>
      </w:r>
      <w:r w:rsidR="004D6F44" w:rsidRPr="0004733C">
        <w:rPr>
          <w:rFonts w:cs="Tahoma"/>
          <w:szCs w:val="24"/>
        </w:rPr>
        <w:t xml:space="preserve">hoy </w:t>
      </w:r>
      <w:r w:rsidR="029D46B7" w:rsidRPr="0004733C">
        <w:rPr>
          <w:rFonts w:cs="Tahoma"/>
          <w:szCs w:val="24"/>
        </w:rPr>
        <w:t>PORVENIR)</w:t>
      </w:r>
      <w:r w:rsidRPr="0004733C">
        <w:rPr>
          <w:rFonts w:cs="Tahoma"/>
          <w:szCs w:val="24"/>
        </w:rPr>
        <w:t>, pero dichos documentos no logran evidenciar la información que se le brindó. En tal virtud se estima acertada la valoración probatoria efectuada por la operadora judicial de instancia.</w:t>
      </w:r>
    </w:p>
    <w:p w14:paraId="035EA85E" w14:textId="77777777" w:rsidR="00CE0E35" w:rsidRPr="0004733C" w:rsidRDefault="00CE0E35" w:rsidP="0004733C">
      <w:pPr>
        <w:spacing w:line="276" w:lineRule="auto"/>
        <w:rPr>
          <w:rFonts w:cs="Tahoma"/>
          <w:szCs w:val="24"/>
        </w:rPr>
      </w:pPr>
    </w:p>
    <w:p w14:paraId="616DC39C" w14:textId="77777777" w:rsidR="00CE0E35" w:rsidRPr="0004733C" w:rsidRDefault="00CE0E35" w:rsidP="0004733C">
      <w:pPr>
        <w:spacing w:line="276" w:lineRule="auto"/>
        <w:ind w:firstLine="709"/>
        <w:rPr>
          <w:rFonts w:cs="Tahoma"/>
          <w:szCs w:val="24"/>
        </w:rPr>
      </w:pPr>
      <w:r w:rsidRPr="0004733C">
        <w:rPr>
          <w:rFonts w:cs="Tahoma"/>
          <w:szCs w:val="24"/>
        </w:rPr>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w:t>
      </w:r>
      <w:r w:rsidR="00F71BC7" w:rsidRPr="0004733C">
        <w:rPr>
          <w:rFonts w:cs="Tahoma"/>
          <w:szCs w:val="24"/>
        </w:rPr>
        <w:t>l</w:t>
      </w:r>
      <w:r w:rsidRPr="0004733C">
        <w:rPr>
          <w:rFonts w:cs="Tahoma"/>
          <w:szCs w:val="24"/>
        </w:rPr>
        <w:t xml:space="preserve"> demandante –al menos de manera sucinta- esas situaciones antes de permitirle diligenciar el formulario de vinculación; no obstante, la prueba documental sólo permite concluir que esa trascendental decisión se limitó a la suscripción del aludido documento. </w:t>
      </w:r>
    </w:p>
    <w:p w14:paraId="4AF630FB" w14:textId="77777777" w:rsidR="00CE0E35" w:rsidRPr="0004733C" w:rsidRDefault="00CE0E35" w:rsidP="0004733C">
      <w:pPr>
        <w:spacing w:line="276" w:lineRule="auto"/>
        <w:ind w:firstLine="709"/>
        <w:rPr>
          <w:rFonts w:cs="Tahoma"/>
          <w:szCs w:val="24"/>
        </w:rPr>
      </w:pPr>
    </w:p>
    <w:p w14:paraId="61C1E9F1" w14:textId="77777777" w:rsidR="00CE0E35" w:rsidRPr="0004733C" w:rsidRDefault="00CE0E35" w:rsidP="0004733C">
      <w:pPr>
        <w:spacing w:line="276" w:lineRule="auto"/>
        <w:ind w:firstLine="644"/>
        <w:rPr>
          <w:rFonts w:eastAsia="Times New Roman" w:cs="Tahoma"/>
          <w:szCs w:val="24"/>
          <w:lang w:eastAsia="es-ES"/>
        </w:rPr>
      </w:pPr>
      <w:r w:rsidRPr="0004733C">
        <w:rPr>
          <w:rFonts w:eastAsia="Times New Roman" w:cs="Tahoma"/>
          <w:szCs w:val="24"/>
          <w:lang w:eastAsia="es-ES"/>
        </w:rPr>
        <w:t xml:space="preserve">En cuanto a las condenas impartidas a cargo de </w:t>
      </w:r>
      <w:r w:rsidR="00F71BC7" w:rsidRPr="0004733C">
        <w:rPr>
          <w:rFonts w:eastAsia="Times New Roman" w:cs="Tahoma"/>
          <w:szCs w:val="24"/>
          <w:lang w:eastAsia="es-ES"/>
        </w:rPr>
        <w:t>PORVENIR</w:t>
      </w:r>
      <w:r w:rsidR="007E2ABD" w:rsidRPr="0004733C">
        <w:rPr>
          <w:rFonts w:eastAsia="Times New Roman" w:cs="Tahoma"/>
          <w:szCs w:val="24"/>
          <w:lang w:eastAsia="es-ES"/>
        </w:rPr>
        <w:t xml:space="preserve"> </w:t>
      </w:r>
      <w:r w:rsidRPr="0004733C">
        <w:rPr>
          <w:rFonts w:eastAsia="Times New Roman" w:cs="Tahoma"/>
          <w:szCs w:val="24"/>
          <w:lang w:eastAsia="es-ES"/>
        </w:rPr>
        <w:t>S.A.</w:t>
      </w:r>
      <w:r w:rsidR="00F71BC7" w:rsidRPr="0004733C">
        <w:rPr>
          <w:rFonts w:eastAsia="Times New Roman" w:cs="Tahoma"/>
          <w:szCs w:val="24"/>
          <w:lang w:eastAsia="es-ES"/>
        </w:rPr>
        <w:t xml:space="preserve"> y COLFONDOS</w:t>
      </w:r>
      <w:r w:rsidRPr="0004733C">
        <w:rPr>
          <w:rFonts w:eastAsia="Times New Roman" w:cs="Tahoma"/>
          <w:szCs w:val="24"/>
          <w:lang w:eastAsia="es-ES"/>
        </w:rPr>
        <w:t xml:space="preserve">,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w:t>
      </w:r>
      <w:r w:rsidRPr="0004733C">
        <w:rPr>
          <w:rFonts w:eastAsia="Times New Roman" w:cs="Tahoma"/>
          <w:szCs w:val="24"/>
          <w:lang w:eastAsia="es-ES"/>
        </w:rPr>
        <w:lastRenderedPageBreak/>
        <w:t>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6738BDCE" w14:textId="77777777" w:rsidR="00CE0E35" w:rsidRPr="0004733C" w:rsidRDefault="00CE0E35" w:rsidP="0004733C">
      <w:pPr>
        <w:spacing w:line="276" w:lineRule="auto"/>
        <w:ind w:firstLine="644"/>
        <w:rPr>
          <w:rFonts w:eastAsia="Times New Roman" w:cs="Tahoma"/>
          <w:szCs w:val="24"/>
          <w:lang w:val="es" w:eastAsia="es-ES"/>
        </w:rPr>
      </w:pPr>
    </w:p>
    <w:p w14:paraId="06D68053" w14:textId="77777777" w:rsidR="00CE0E35" w:rsidRPr="0004733C" w:rsidRDefault="00CE0E35" w:rsidP="0004733C">
      <w:pPr>
        <w:spacing w:line="276" w:lineRule="auto"/>
        <w:ind w:firstLine="644"/>
        <w:rPr>
          <w:rFonts w:eastAsia="Times New Roman" w:cs="Tahoma"/>
          <w:szCs w:val="24"/>
          <w:lang w:eastAsia="es-ES"/>
        </w:rPr>
      </w:pPr>
      <w:r w:rsidRPr="0004733C">
        <w:rPr>
          <w:rFonts w:eastAsia="Times New Roman" w:cs="Tahoma"/>
          <w:szCs w:val="24"/>
          <w:lang w:eastAsia="es-ES"/>
        </w:rPr>
        <w:t>Ahora, debe recordarse que la Corte Constitucional en sentencia SU-053-2015, ha definido el precedente judicial como «</w:t>
      </w:r>
      <w:r w:rsidRPr="004D6F44">
        <w:rPr>
          <w:rFonts w:eastAsia="Times New Roman" w:cs="Tahoma"/>
          <w:i/>
          <w:iCs/>
          <w:sz w:val="22"/>
          <w:szCs w:val="24"/>
          <w:lang w:eastAsia="es-ES"/>
        </w:rPr>
        <w:t>la sentencia o el conjunto de ellas, anteriores a un caso determinado, que por su pertinencia y semejanza en los problemas jurídicos resueltos, debe necesariamente considerarse por las autoridades judiciales al momento de emitir un fallo»</w:t>
      </w:r>
      <w:r w:rsidRPr="004D6F44">
        <w:rPr>
          <w:rFonts w:eastAsia="Times New Roman" w:cs="Tahoma"/>
          <w:sz w:val="22"/>
          <w:szCs w:val="24"/>
          <w:lang w:eastAsia="es-ES"/>
        </w:rPr>
        <w:t xml:space="preserve"> y, en tal sentido, el emitido por los máximos órganos de cierre, “</w:t>
      </w:r>
      <w:r w:rsidRPr="004D6F44">
        <w:rPr>
          <w:rFonts w:eastAsia="Times New Roman" w:cs="Tahoma"/>
          <w:i/>
          <w:iCs/>
          <w:sz w:val="22"/>
          <w:szCs w:val="24"/>
          <w:lang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04733C">
        <w:rPr>
          <w:rFonts w:eastAsia="Times New Roman" w:cs="Tahoma"/>
          <w:i/>
          <w:iCs/>
          <w:szCs w:val="24"/>
          <w:lang w:eastAsia="es-ES"/>
        </w:rPr>
        <w:t>”</w:t>
      </w:r>
      <w:r w:rsidRPr="0004733C">
        <w:rPr>
          <w:rFonts w:eastAsia="Times New Roman" w:cs="Tahoma"/>
          <w:szCs w:val="24"/>
          <w:lang w:eastAsia="es-ES"/>
        </w:rPr>
        <w:t xml:space="preserve"> (STL4759-2020).</w:t>
      </w:r>
    </w:p>
    <w:p w14:paraId="6E05A69F" w14:textId="77777777" w:rsidR="00CE0E35" w:rsidRPr="0004733C" w:rsidRDefault="00CE0E35" w:rsidP="0004733C">
      <w:pPr>
        <w:spacing w:line="276" w:lineRule="auto"/>
        <w:ind w:firstLine="644"/>
        <w:rPr>
          <w:rFonts w:eastAsia="Times New Roman" w:cs="Tahoma"/>
          <w:szCs w:val="24"/>
          <w:lang w:eastAsia="es-ES"/>
        </w:rPr>
      </w:pPr>
    </w:p>
    <w:p w14:paraId="69D623FC" w14:textId="77777777" w:rsidR="00CE0E35" w:rsidRPr="0004733C" w:rsidRDefault="00CE0E35" w:rsidP="0004733C">
      <w:pPr>
        <w:widowControl w:val="0"/>
        <w:tabs>
          <w:tab w:val="left" w:pos="567"/>
        </w:tabs>
        <w:autoSpaceDE w:val="0"/>
        <w:autoSpaceDN w:val="0"/>
        <w:adjustRightInd w:val="0"/>
        <w:spacing w:line="276" w:lineRule="auto"/>
        <w:ind w:firstLine="284"/>
        <w:rPr>
          <w:rFonts w:cs="Tahoma"/>
          <w:szCs w:val="24"/>
        </w:rPr>
      </w:pPr>
      <w:r w:rsidRPr="0004733C">
        <w:rPr>
          <w:rFonts w:cs="Tahoma"/>
          <w:szCs w:val="24"/>
        </w:rPr>
        <w:tab/>
        <w:t xml:space="preserve">Frente al argumento de </w:t>
      </w:r>
      <w:r w:rsidR="675C4C2B" w:rsidRPr="0004733C">
        <w:rPr>
          <w:rFonts w:cs="Tahoma"/>
          <w:szCs w:val="24"/>
        </w:rPr>
        <w:t>COLPENSIONES</w:t>
      </w:r>
      <w:r w:rsidRPr="0004733C">
        <w:rPr>
          <w:rFonts w:cs="Tahoma"/>
          <w:szCs w:val="24"/>
        </w:rPr>
        <w:t xml:space="preserve">, referente a que era improcedente permitir que </w:t>
      </w:r>
      <w:r w:rsidR="2E442B85" w:rsidRPr="0004733C">
        <w:rPr>
          <w:rFonts w:cs="Tahoma"/>
          <w:szCs w:val="24"/>
        </w:rPr>
        <w:t>el</w:t>
      </w:r>
      <w:r w:rsidRPr="0004733C">
        <w:rPr>
          <w:rFonts w:cs="Tahoma"/>
          <w:szCs w:val="24"/>
        </w:rPr>
        <w:t xml:space="preserve"> demandante se trasladara hacia dicha entidad al superar la edad mínima pensional, según lo estipulado en </w:t>
      </w:r>
      <w:r w:rsidRPr="0004733C">
        <w:rPr>
          <w:rFonts w:cs="Tahoma"/>
          <w:szCs w:val="24"/>
          <w:lang w:val="es-ES"/>
        </w:rPr>
        <w:t xml:space="preserve">el literal e) del artículo 13 de la Ley 100 de 1993, modificado por la Ley 797 de 2003, </w:t>
      </w:r>
      <w:r w:rsidRPr="0004733C">
        <w:rPr>
          <w:rFonts w:cs="Tahoma"/>
          <w:szCs w:val="24"/>
        </w:rPr>
        <w:t xml:space="preserve">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w:t>
      </w:r>
      <w:r w:rsidR="39F899C4" w:rsidRPr="0004733C">
        <w:rPr>
          <w:rFonts w:cs="Tahoma"/>
          <w:szCs w:val="24"/>
        </w:rPr>
        <w:t>el</w:t>
      </w:r>
      <w:r w:rsidRPr="0004733C">
        <w:rPr>
          <w:rFonts w:cs="Tahoma"/>
          <w:szCs w:val="24"/>
        </w:rPr>
        <w:t xml:space="preserve"> demandante.</w:t>
      </w:r>
      <w:r w:rsidRPr="0004733C">
        <w:rPr>
          <w:rFonts w:cs="Tahoma"/>
          <w:szCs w:val="24"/>
          <w:lang w:val="es-ES"/>
        </w:rPr>
        <w:t xml:space="preserve"> Además, lo aquí analizado no es el traslado voluntario con la conservación o no del régimen de transición, sino el efecto de la ineficacia del cambio de régimen pensional a falta de información detallada y completa al momento del traslado de régimen.</w:t>
      </w:r>
    </w:p>
    <w:p w14:paraId="572F6F0F" w14:textId="77777777" w:rsidR="00CE0E35" w:rsidRPr="0004733C" w:rsidRDefault="00CE0E35" w:rsidP="0004733C">
      <w:pPr>
        <w:spacing w:line="276" w:lineRule="auto"/>
        <w:ind w:firstLine="709"/>
        <w:rPr>
          <w:rFonts w:cs="Tahoma"/>
          <w:szCs w:val="24"/>
        </w:rPr>
      </w:pPr>
    </w:p>
    <w:p w14:paraId="51C47D99" w14:textId="77777777" w:rsidR="00CE0E35" w:rsidRPr="0004733C" w:rsidRDefault="00CE0E35" w:rsidP="0004733C">
      <w:pPr>
        <w:spacing w:line="276" w:lineRule="auto"/>
        <w:ind w:firstLine="644"/>
        <w:rPr>
          <w:rFonts w:eastAsia="Tahoma" w:cs="Tahoma"/>
          <w:szCs w:val="24"/>
          <w:lang w:eastAsia="es-ES"/>
        </w:rPr>
      </w:pPr>
      <w:r w:rsidRPr="0004733C">
        <w:rPr>
          <w:rFonts w:eastAsia="Tahoma" w:cs="Tahoma"/>
          <w:szCs w:val="24"/>
          <w:lang w:eastAsia="es-ES"/>
        </w:rPr>
        <w:t xml:space="preserve">Importa precisar que como la declaratoria de ineficacia trae como consecuencia que las cosas se reestablezcan al estado en el que se encontraban al momento del traslado de régimen, </w:t>
      </w:r>
      <w:r w:rsidR="001E27ED" w:rsidRPr="0004733C">
        <w:rPr>
          <w:rFonts w:eastAsia="Tahoma" w:cs="Tahoma"/>
          <w:szCs w:val="24"/>
          <w:lang w:eastAsia="es-ES"/>
        </w:rPr>
        <w:t xml:space="preserve">fue acertada la determinación de la A-quo de </w:t>
      </w:r>
      <w:r w:rsidRPr="0004733C">
        <w:rPr>
          <w:rFonts w:eastAsia="Tahoma" w:cs="Tahoma"/>
          <w:szCs w:val="24"/>
          <w:lang w:eastAsia="es-ES"/>
        </w:rPr>
        <w:t>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w:t>
      </w:r>
    </w:p>
    <w:p w14:paraId="7A1326AD" w14:textId="77777777" w:rsidR="00CE0E35" w:rsidRPr="0004733C" w:rsidRDefault="00CE0E35" w:rsidP="0004733C">
      <w:pPr>
        <w:spacing w:line="276" w:lineRule="auto"/>
        <w:rPr>
          <w:rFonts w:eastAsia="Arial" w:cs="Tahoma"/>
          <w:szCs w:val="24"/>
          <w:lang w:val="es-ES"/>
        </w:rPr>
      </w:pPr>
    </w:p>
    <w:p w14:paraId="4BBFC1B8" w14:textId="77777777" w:rsidR="00CE0E35" w:rsidRPr="0004733C" w:rsidRDefault="00CE0E35" w:rsidP="0004733C">
      <w:pPr>
        <w:widowControl w:val="0"/>
        <w:tabs>
          <w:tab w:val="left" w:pos="567"/>
        </w:tabs>
        <w:autoSpaceDE w:val="0"/>
        <w:autoSpaceDN w:val="0"/>
        <w:adjustRightInd w:val="0"/>
        <w:spacing w:line="276" w:lineRule="auto"/>
        <w:ind w:firstLine="284"/>
        <w:rPr>
          <w:rFonts w:eastAsia="Tahoma" w:cs="Tahoma"/>
          <w:szCs w:val="24"/>
        </w:rPr>
      </w:pPr>
      <w:r w:rsidRPr="0004733C">
        <w:rPr>
          <w:rFonts w:cs="Tahoma"/>
          <w:szCs w:val="24"/>
        </w:rPr>
        <w:tab/>
        <w:t>De</w:t>
      </w:r>
      <w:r w:rsidRPr="0004733C">
        <w:rPr>
          <w:rFonts w:eastAsia="Tahoma" w:cs="Tahoma"/>
          <w:szCs w:val="24"/>
        </w:rPr>
        <w:t xml:space="preserve"> otro lado, respecto a la solicitud de la AFP</w:t>
      </w:r>
      <w:r w:rsidR="00907835" w:rsidRPr="0004733C">
        <w:rPr>
          <w:rFonts w:eastAsia="Tahoma" w:cs="Tahoma"/>
          <w:szCs w:val="24"/>
        </w:rPr>
        <w:t xml:space="preserve"> PORVENIR</w:t>
      </w:r>
      <w:r w:rsidRPr="0004733C">
        <w:rPr>
          <w:rFonts w:eastAsia="Tahoma" w:cs="Tahoma"/>
          <w:szCs w:val="24"/>
        </w:rPr>
        <w:t xml:space="preserve"> tendiente a que no se le condene </w:t>
      </w:r>
      <w:r w:rsidRPr="0004733C">
        <w:rPr>
          <w:rFonts w:cs="Tahoma"/>
          <w:szCs w:val="24"/>
        </w:rPr>
        <w:t>en</w:t>
      </w:r>
      <w:r w:rsidRPr="0004733C">
        <w:rPr>
          <w:rFonts w:eastAsia="Tahoma" w:cs="Tahoma"/>
          <w:szCs w:val="24"/>
        </w:rPr>
        <w:t xml:space="preserve"> costas procesales bajo el argumento de que se 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w:t>
      </w:r>
      <w:r w:rsidRPr="0004733C">
        <w:rPr>
          <w:rFonts w:eastAsia="Tahoma" w:cs="Tahoma"/>
          <w:szCs w:val="24"/>
        </w:rPr>
        <w:lastRenderedPageBreak/>
        <w:t>que se hubiese cumplido el deber legal de brindar l</w:t>
      </w:r>
      <w:r w:rsidR="001E27ED" w:rsidRPr="0004733C">
        <w:rPr>
          <w:rFonts w:eastAsia="Tahoma" w:cs="Tahoma"/>
          <w:szCs w:val="24"/>
        </w:rPr>
        <w:t>a</w:t>
      </w:r>
      <w:r w:rsidRPr="0004733C">
        <w:rPr>
          <w:rFonts w:eastAsia="Tahoma" w:cs="Tahoma"/>
          <w:szCs w:val="24"/>
        </w:rPr>
        <w:t xml:space="preserve"> demandante la asesoría exigida en el momento en que se trasladó al RAIS, de ahí que se esté declarando la ineficacia del acto. </w:t>
      </w:r>
    </w:p>
    <w:p w14:paraId="167787E3" w14:textId="77777777" w:rsidR="00CE0E35" w:rsidRPr="0004733C" w:rsidRDefault="00CE0E35" w:rsidP="0004733C">
      <w:pPr>
        <w:spacing w:line="276" w:lineRule="auto"/>
        <w:ind w:firstLine="709"/>
        <w:rPr>
          <w:rFonts w:cs="Tahoma"/>
          <w:szCs w:val="24"/>
        </w:rPr>
      </w:pPr>
    </w:p>
    <w:p w14:paraId="02A4D35B" w14:textId="77777777" w:rsidR="00CE0E35" w:rsidRPr="0004733C" w:rsidRDefault="00CE0E35" w:rsidP="0004733C">
      <w:pPr>
        <w:spacing w:line="276" w:lineRule="auto"/>
        <w:ind w:firstLine="708"/>
        <w:rPr>
          <w:rFonts w:eastAsia="Tahoma" w:cs="Tahoma"/>
          <w:szCs w:val="24"/>
        </w:rPr>
      </w:pPr>
      <w:r w:rsidRPr="0004733C">
        <w:rPr>
          <w:rFonts w:cs="Tahoma"/>
          <w:szCs w:val="24"/>
        </w:rPr>
        <w:t xml:space="preserve">En esta instancia de conformidad a lo consagrado en el artículo 365 del CGP, se condenará en costas procesales a la </w:t>
      </w:r>
      <w:r w:rsidRPr="0004733C">
        <w:rPr>
          <w:rFonts w:cs="Tahoma"/>
          <w:b/>
          <w:bCs/>
          <w:caps/>
          <w:szCs w:val="24"/>
        </w:rPr>
        <w:t>Administradora de Fondos de Pensiones y Cesantías</w:t>
      </w:r>
      <w:r w:rsidRPr="0004733C">
        <w:rPr>
          <w:rFonts w:cs="Tahoma"/>
          <w:szCs w:val="24"/>
        </w:rPr>
        <w:t xml:space="preserve"> </w:t>
      </w:r>
      <w:r w:rsidR="00907835" w:rsidRPr="0004733C">
        <w:rPr>
          <w:rFonts w:cs="Tahoma"/>
          <w:b/>
          <w:bCs/>
          <w:szCs w:val="24"/>
        </w:rPr>
        <w:t xml:space="preserve">PORVENIR S.A. </w:t>
      </w:r>
      <w:r w:rsidRPr="0004733C">
        <w:rPr>
          <w:rFonts w:cs="Tahoma"/>
          <w:szCs w:val="24"/>
        </w:rPr>
        <w:t xml:space="preserve">y a </w:t>
      </w:r>
      <w:r w:rsidRPr="0004733C">
        <w:rPr>
          <w:rFonts w:cs="Tahoma"/>
          <w:b/>
          <w:szCs w:val="24"/>
        </w:rPr>
        <w:t>COLPENSIONES</w:t>
      </w:r>
      <w:r w:rsidRPr="0004733C">
        <w:rPr>
          <w:rFonts w:cs="Tahoma"/>
          <w:szCs w:val="24"/>
        </w:rPr>
        <w:t xml:space="preserve"> </w:t>
      </w:r>
      <w:r w:rsidRPr="0004733C">
        <w:rPr>
          <w:rFonts w:eastAsia="Tahoma" w:cs="Tahoma"/>
          <w:szCs w:val="24"/>
        </w:rPr>
        <w:t xml:space="preserve">a favor de la parte actora, las cuales se liquidarán por la secretaría del juzgado de origen. </w:t>
      </w:r>
    </w:p>
    <w:p w14:paraId="084CECE7" w14:textId="77777777" w:rsidR="00CE0E35" w:rsidRPr="0004733C" w:rsidRDefault="00CE0E35" w:rsidP="0004733C">
      <w:pPr>
        <w:spacing w:line="276" w:lineRule="auto"/>
        <w:ind w:firstLine="708"/>
        <w:rPr>
          <w:rFonts w:eastAsia="Tahoma" w:cs="Tahoma"/>
          <w:szCs w:val="24"/>
        </w:rPr>
      </w:pPr>
    </w:p>
    <w:p w14:paraId="0A291F28" w14:textId="77777777" w:rsidR="00CE0E35" w:rsidRPr="0004733C" w:rsidRDefault="004D6F44" w:rsidP="0004733C">
      <w:pPr>
        <w:spacing w:line="276" w:lineRule="auto"/>
        <w:ind w:firstLine="644"/>
        <w:rPr>
          <w:rFonts w:cs="Tahoma"/>
          <w:szCs w:val="24"/>
          <w:lang w:val="es-ES"/>
        </w:rPr>
      </w:pPr>
      <w:r>
        <w:rPr>
          <w:rFonts w:cs="Tahoma"/>
          <w:szCs w:val="24"/>
          <w:lang w:val="es-ES"/>
        </w:rPr>
        <w:t>(…)</w:t>
      </w:r>
    </w:p>
    <w:p w14:paraId="669D05B4" w14:textId="77777777" w:rsidR="00CE0E35" w:rsidRPr="0004733C" w:rsidRDefault="00CE0E35" w:rsidP="0004733C">
      <w:pPr>
        <w:spacing w:line="276" w:lineRule="auto"/>
        <w:ind w:firstLine="644"/>
        <w:rPr>
          <w:rFonts w:eastAsia="Tahoma" w:cs="Tahoma"/>
          <w:szCs w:val="24"/>
          <w:lang w:val="es-ES" w:eastAsia="es-ES"/>
        </w:rPr>
      </w:pPr>
    </w:p>
    <w:p w14:paraId="30F0C693" w14:textId="77777777" w:rsidR="00CE0E35" w:rsidRPr="0004733C" w:rsidRDefault="00CE0E35" w:rsidP="0004733C">
      <w:pPr>
        <w:spacing w:line="276" w:lineRule="auto"/>
        <w:ind w:firstLine="644"/>
        <w:contextualSpacing/>
        <w:rPr>
          <w:rFonts w:eastAsia="Times New Roman" w:cs="Tahoma"/>
          <w:color w:val="000000" w:themeColor="text1"/>
          <w:szCs w:val="24"/>
        </w:rPr>
      </w:pPr>
      <w:r w:rsidRPr="0004733C">
        <w:rPr>
          <w:rFonts w:eastAsia="Times New Roman" w:cs="Tahoma"/>
          <w:color w:val="000000" w:themeColor="text1"/>
          <w:szCs w:val="24"/>
        </w:rPr>
        <w:t xml:space="preserve">En mérito de lo expuesto, el </w:t>
      </w:r>
      <w:r w:rsidRPr="0004733C">
        <w:rPr>
          <w:rFonts w:eastAsia="Times New Roman" w:cs="Tahoma"/>
          <w:b/>
          <w:color w:val="000000" w:themeColor="text1"/>
          <w:szCs w:val="24"/>
        </w:rPr>
        <w:t>Tribunal Superior del Distrito Judicial de Pereira - Risaralda, Sala Primera de Decisión Laboral,</w:t>
      </w:r>
      <w:r w:rsidRPr="0004733C">
        <w:rPr>
          <w:rFonts w:eastAsia="Times New Roman" w:cs="Tahoma"/>
          <w:color w:val="000000" w:themeColor="text1"/>
          <w:szCs w:val="24"/>
        </w:rPr>
        <w:t xml:space="preserve"> administrando justicia en nombre de la República y por autoridad de la ley,</w:t>
      </w:r>
    </w:p>
    <w:p w14:paraId="1FFED5D6" w14:textId="77777777" w:rsidR="00CE0E35" w:rsidRPr="0004733C" w:rsidRDefault="00CE0E35" w:rsidP="0004733C">
      <w:pPr>
        <w:spacing w:line="276" w:lineRule="auto"/>
        <w:ind w:firstLine="708"/>
        <w:contextualSpacing/>
        <w:rPr>
          <w:rFonts w:eastAsia="Times New Roman" w:cs="Tahoma"/>
          <w:color w:val="000000" w:themeColor="text1"/>
          <w:szCs w:val="24"/>
        </w:rPr>
      </w:pPr>
    </w:p>
    <w:p w14:paraId="0E5E43D1" w14:textId="77777777" w:rsidR="00CE0E35" w:rsidRPr="0004733C" w:rsidRDefault="00CE0E35" w:rsidP="0004733C">
      <w:pPr>
        <w:spacing w:line="276" w:lineRule="auto"/>
        <w:ind w:firstLine="709"/>
        <w:jc w:val="center"/>
        <w:rPr>
          <w:rFonts w:cs="Tahoma"/>
          <w:b/>
          <w:color w:val="000000" w:themeColor="text1"/>
          <w:szCs w:val="24"/>
        </w:rPr>
      </w:pPr>
      <w:r w:rsidRPr="0004733C">
        <w:rPr>
          <w:rFonts w:cs="Tahoma"/>
          <w:b/>
          <w:color w:val="000000" w:themeColor="text1"/>
          <w:szCs w:val="24"/>
        </w:rPr>
        <w:t>RESUELVE</w:t>
      </w:r>
    </w:p>
    <w:p w14:paraId="515C70EE" w14:textId="77777777" w:rsidR="00CE0E35" w:rsidRPr="0004733C" w:rsidRDefault="00CE0E35" w:rsidP="0004733C">
      <w:pPr>
        <w:widowControl w:val="0"/>
        <w:autoSpaceDE w:val="0"/>
        <w:autoSpaceDN w:val="0"/>
        <w:adjustRightInd w:val="0"/>
        <w:spacing w:line="276" w:lineRule="auto"/>
        <w:jc w:val="center"/>
        <w:rPr>
          <w:rFonts w:cs="Tahoma"/>
          <w:b/>
          <w:szCs w:val="24"/>
        </w:rPr>
      </w:pPr>
    </w:p>
    <w:p w14:paraId="626549A7" w14:textId="77777777" w:rsidR="00CE0E35" w:rsidRPr="0004733C" w:rsidRDefault="00CE0E35" w:rsidP="0004733C">
      <w:pPr>
        <w:spacing w:line="276" w:lineRule="auto"/>
        <w:ind w:firstLine="644"/>
        <w:rPr>
          <w:rFonts w:eastAsia="Tahoma" w:cs="Tahoma"/>
          <w:szCs w:val="24"/>
          <w:lang w:eastAsia="es-ES"/>
        </w:rPr>
      </w:pPr>
      <w:r w:rsidRPr="0004733C">
        <w:rPr>
          <w:rFonts w:eastAsia="Tahoma" w:cs="Tahoma"/>
          <w:b/>
          <w:bCs/>
          <w:szCs w:val="24"/>
          <w:lang w:eastAsia="es-ES"/>
        </w:rPr>
        <w:t>PRIMERO</w:t>
      </w:r>
      <w:r w:rsidRPr="0004733C">
        <w:rPr>
          <w:rFonts w:eastAsia="Tahoma" w:cs="Tahoma"/>
          <w:szCs w:val="24"/>
          <w:lang w:eastAsia="es-ES"/>
        </w:rPr>
        <w:t>: </w:t>
      </w:r>
      <w:r w:rsidR="001E27ED" w:rsidRPr="0004733C">
        <w:rPr>
          <w:rFonts w:eastAsia="Tahoma" w:cs="Tahoma"/>
          <w:b/>
          <w:bCs/>
          <w:szCs w:val="24"/>
          <w:lang w:eastAsia="es-ES"/>
        </w:rPr>
        <w:t>CONFIRMAR</w:t>
      </w:r>
      <w:r w:rsidR="001E27ED" w:rsidRPr="0004733C">
        <w:rPr>
          <w:rFonts w:eastAsia="Tahoma" w:cs="Tahoma"/>
          <w:szCs w:val="24"/>
          <w:lang w:eastAsia="es-ES"/>
        </w:rPr>
        <w:t xml:space="preserve"> la sentencia proferida por el Juzgado Cuarto Laboral de Circuito de Pereira el </w:t>
      </w:r>
      <w:r w:rsidR="00FF4F3D" w:rsidRPr="0004733C">
        <w:rPr>
          <w:rFonts w:eastAsia="Tahoma" w:cs="Tahoma"/>
          <w:szCs w:val="24"/>
          <w:lang w:eastAsia="es-ES"/>
        </w:rPr>
        <w:t>1°</w:t>
      </w:r>
      <w:r w:rsidR="001E27ED" w:rsidRPr="0004733C">
        <w:rPr>
          <w:rFonts w:eastAsia="Tahoma" w:cs="Tahoma"/>
          <w:szCs w:val="24"/>
          <w:lang w:eastAsia="es-ES"/>
        </w:rPr>
        <w:t xml:space="preserve"> de </w:t>
      </w:r>
      <w:r w:rsidR="00FF4F3D" w:rsidRPr="0004733C">
        <w:rPr>
          <w:rFonts w:eastAsia="Tahoma" w:cs="Tahoma"/>
          <w:szCs w:val="24"/>
          <w:lang w:eastAsia="es-ES"/>
        </w:rPr>
        <w:t>junio</w:t>
      </w:r>
      <w:r w:rsidR="001E27ED" w:rsidRPr="0004733C">
        <w:rPr>
          <w:rFonts w:eastAsia="Tahoma" w:cs="Tahoma"/>
          <w:szCs w:val="24"/>
          <w:lang w:eastAsia="es-ES"/>
        </w:rPr>
        <w:t xml:space="preserve"> de 2021 dentro del proceso de la referencia</w:t>
      </w:r>
      <w:r w:rsidR="00A26E1A" w:rsidRPr="0004733C">
        <w:rPr>
          <w:rFonts w:eastAsia="Tahoma" w:cs="Tahoma"/>
          <w:szCs w:val="24"/>
          <w:lang w:eastAsia="es-ES"/>
        </w:rPr>
        <w:t>, por las razones expuestas en la parte motiva de esta providencia.</w:t>
      </w:r>
    </w:p>
    <w:p w14:paraId="62C77AC9" w14:textId="77777777" w:rsidR="00CE0E35" w:rsidRPr="0004733C" w:rsidRDefault="00CE0E35" w:rsidP="0004733C">
      <w:pPr>
        <w:spacing w:line="276" w:lineRule="auto"/>
        <w:ind w:firstLine="705"/>
        <w:textAlignment w:val="baseline"/>
        <w:rPr>
          <w:rFonts w:eastAsia="Times New Roman" w:cs="Tahoma"/>
          <w:b/>
          <w:bCs/>
          <w:szCs w:val="24"/>
          <w:lang w:eastAsia="es-ES"/>
        </w:rPr>
      </w:pPr>
      <w:r w:rsidRPr="0004733C">
        <w:rPr>
          <w:rFonts w:eastAsia="Times New Roman" w:cs="Tahoma"/>
          <w:b/>
          <w:bCs/>
          <w:szCs w:val="24"/>
          <w:lang w:eastAsia="es-ES"/>
        </w:rPr>
        <w:t xml:space="preserve"> </w:t>
      </w:r>
    </w:p>
    <w:p w14:paraId="19BE592C" w14:textId="77777777" w:rsidR="00A26E1A" w:rsidRPr="0004733C" w:rsidRDefault="00CE0E35" w:rsidP="0004733C">
      <w:pPr>
        <w:spacing w:line="276" w:lineRule="auto"/>
        <w:ind w:firstLine="644"/>
        <w:rPr>
          <w:rFonts w:eastAsia="Tahoma" w:cs="Tahoma"/>
          <w:szCs w:val="24"/>
          <w:lang w:eastAsia="es-ES"/>
        </w:rPr>
      </w:pPr>
      <w:r w:rsidRPr="0004733C">
        <w:rPr>
          <w:rFonts w:eastAsia="Tahoma" w:cs="Tahoma"/>
          <w:b/>
          <w:bCs/>
          <w:szCs w:val="24"/>
          <w:lang w:eastAsia="es-ES"/>
        </w:rPr>
        <w:t>SEGUNDO</w:t>
      </w:r>
      <w:r w:rsidRPr="0004733C">
        <w:rPr>
          <w:rFonts w:eastAsia="Tahoma" w:cs="Tahoma"/>
          <w:szCs w:val="24"/>
          <w:lang w:eastAsia="es-ES"/>
        </w:rPr>
        <w:t xml:space="preserve">: </w:t>
      </w:r>
      <w:r w:rsidR="00A26E1A" w:rsidRPr="0004733C">
        <w:rPr>
          <w:rFonts w:eastAsia="Tahoma" w:cs="Tahoma"/>
          <w:b/>
          <w:bCs/>
          <w:szCs w:val="24"/>
          <w:lang w:eastAsia="es-ES"/>
        </w:rPr>
        <w:t>CONDENAR</w:t>
      </w:r>
      <w:r w:rsidR="00A26E1A" w:rsidRPr="0004733C">
        <w:rPr>
          <w:rFonts w:eastAsia="Tahoma" w:cs="Tahoma"/>
          <w:szCs w:val="24"/>
          <w:lang w:eastAsia="es-ES"/>
        </w:rPr>
        <w:t xml:space="preserve"> en costas de segunda instancia a la AFP </w:t>
      </w:r>
      <w:r w:rsidR="00FF4F3D" w:rsidRPr="0004733C">
        <w:rPr>
          <w:rFonts w:eastAsia="Tahoma" w:cs="Tahoma"/>
          <w:szCs w:val="24"/>
          <w:lang w:eastAsia="es-ES"/>
        </w:rPr>
        <w:t>PORVENIR</w:t>
      </w:r>
      <w:r w:rsidR="00A26E1A" w:rsidRPr="0004733C">
        <w:rPr>
          <w:rFonts w:eastAsia="Tahoma" w:cs="Tahoma"/>
          <w:szCs w:val="24"/>
          <w:lang w:eastAsia="es-ES"/>
        </w:rPr>
        <w:t xml:space="preserve"> S.A. y C</w:t>
      </w:r>
      <w:r w:rsidR="00FF4F3D" w:rsidRPr="0004733C">
        <w:rPr>
          <w:rFonts w:eastAsia="Tahoma" w:cs="Tahoma"/>
          <w:szCs w:val="24"/>
          <w:lang w:eastAsia="es-ES"/>
        </w:rPr>
        <w:t>OLPENSIONES</w:t>
      </w:r>
      <w:r w:rsidR="00A26E1A" w:rsidRPr="0004733C">
        <w:rPr>
          <w:rFonts w:eastAsia="Tahoma" w:cs="Tahoma"/>
          <w:szCs w:val="24"/>
          <w:lang w:eastAsia="es-ES"/>
        </w:rPr>
        <w:t xml:space="preserve"> a favor de la parte demandante, las cuales se liquidarán por el juzgado de origen.</w:t>
      </w:r>
    </w:p>
    <w:p w14:paraId="366FB2E5" w14:textId="77777777" w:rsidR="00CE0E35" w:rsidRPr="0004733C" w:rsidRDefault="00CE0E35" w:rsidP="0004733C">
      <w:pPr>
        <w:spacing w:line="276" w:lineRule="auto"/>
        <w:ind w:firstLine="644"/>
        <w:rPr>
          <w:rFonts w:eastAsia="Calibri" w:cs="Tahoma"/>
          <w:szCs w:val="24"/>
          <w:lang w:eastAsia="es-ES"/>
        </w:rPr>
      </w:pPr>
    </w:p>
    <w:p w14:paraId="762EC0B9" w14:textId="77777777" w:rsidR="00CE0E35" w:rsidRPr="0004733C" w:rsidRDefault="00CE0E35" w:rsidP="0004733C">
      <w:pPr>
        <w:spacing w:line="276" w:lineRule="auto"/>
        <w:ind w:firstLine="644"/>
        <w:rPr>
          <w:rFonts w:cs="Tahoma"/>
          <w:szCs w:val="24"/>
          <w:lang w:val="es-ES"/>
        </w:rPr>
      </w:pPr>
      <w:r w:rsidRPr="0004733C">
        <w:rPr>
          <w:rFonts w:eastAsia="Tahoma" w:cs="Tahoma"/>
          <w:b/>
          <w:bCs/>
          <w:szCs w:val="24"/>
          <w:lang w:eastAsia="es-ES"/>
        </w:rPr>
        <w:t>TERCERO</w:t>
      </w:r>
      <w:r w:rsidRPr="0004733C">
        <w:rPr>
          <w:rFonts w:eastAsia="Tahoma" w:cs="Tahoma"/>
          <w:szCs w:val="24"/>
          <w:lang w:eastAsia="es-ES"/>
        </w:rPr>
        <w:t>: </w:t>
      </w:r>
      <w:r w:rsidR="004D6F44">
        <w:rPr>
          <w:rFonts w:eastAsia="Tahoma" w:cs="Tahoma"/>
          <w:szCs w:val="24"/>
          <w:lang w:eastAsia="es-ES"/>
        </w:rPr>
        <w:t>(…)</w:t>
      </w:r>
    </w:p>
    <w:p w14:paraId="7AA4689F" w14:textId="77777777" w:rsidR="00FF4F3D" w:rsidRPr="0004733C" w:rsidRDefault="00FF4F3D" w:rsidP="0004733C">
      <w:pPr>
        <w:spacing w:line="276" w:lineRule="auto"/>
        <w:ind w:firstLine="644"/>
        <w:rPr>
          <w:rFonts w:cs="Tahoma"/>
          <w:szCs w:val="24"/>
          <w:lang w:val="es-ES"/>
        </w:rPr>
      </w:pPr>
    </w:p>
    <w:p w14:paraId="104E9FDD" w14:textId="77777777" w:rsidR="00FF4F3D" w:rsidRPr="0004733C" w:rsidRDefault="00FF4F3D" w:rsidP="0004733C">
      <w:pPr>
        <w:spacing w:line="276" w:lineRule="auto"/>
        <w:ind w:firstLine="644"/>
        <w:rPr>
          <w:rFonts w:cs="Tahoma"/>
          <w:szCs w:val="24"/>
          <w:lang w:val="es-ES"/>
        </w:rPr>
      </w:pPr>
      <w:r w:rsidRPr="0004733C">
        <w:rPr>
          <w:rFonts w:cs="Tahoma"/>
          <w:b/>
          <w:bCs/>
          <w:szCs w:val="24"/>
          <w:lang w:val="es-ES"/>
        </w:rPr>
        <w:t xml:space="preserve">CUARTO: </w:t>
      </w:r>
      <w:r w:rsidR="004D6F44">
        <w:rPr>
          <w:rFonts w:cs="Tahoma"/>
          <w:bCs/>
          <w:szCs w:val="24"/>
          <w:lang w:val="es-ES"/>
        </w:rPr>
        <w:t>(…)</w:t>
      </w:r>
      <w:r w:rsidRPr="0004733C">
        <w:rPr>
          <w:rFonts w:cs="Tahoma"/>
          <w:b/>
          <w:szCs w:val="24"/>
          <w:lang w:val="es-ES"/>
        </w:rPr>
        <w:t xml:space="preserve"> </w:t>
      </w:r>
    </w:p>
    <w:p w14:paraId="33579DC1" w14:textId="77777777" w:rsidR="00CE0E35" w:rsidRPr="0004733C" w:rsidRDefault="00CE0E35" w:rsidP="0004733C">
      <w:pPr>
        <w:spacing w:line="276" w:lineRule="auto"/>
        <w:ind w:firstLine="644"/>
        <w:rPr>
          <w:rFonts w:eastAsia="Tahoma" w:cs="Tahoma"/>
          <w:szCs w:val="24"/>
          <w:lang w:val="es-ES" w:eastAsia="es-ES"/>
        </w:rPr>
      </w:pPr>
    </w:p>
    <w:p w14:paraId="434BBEFE" w14:textId="77777777" w:rsidR="00A26E1A" w:rsidRPr="0004733C" w:rsidRDefault="00A26E1A" w:rsidP="0004733C">
      <w:pPr>
        <w:spacing w:line="276" w:lineRule="auto"/>
        <w:ind w:firstLine="644"/>
        <w:rPr>
          <w:rFonts w:eastAsia="Tahoma" w:cs="Tahoma"/>
          <w:szCs w:val="24"/>
          <w:lang w:val="es-ES" w:eastAsia="es-ES"/>
        </w:rPr>
      </w:pPr>
    </w:p>
    <w:p w14:paraId="4BEAF3DC" w14:textId="77777777" w:rsidR="00CE0E35" w:rsidRPr="0004733C" w:rsidRDefault="00CE0E35" w:rsidP="0004733C">
      <w:pPr>
        <w:widowControl w:val="0"/>
        <w:autoSpaceDE w:val="0"/>
        <w:autoSpaceDN w:val="0"/>
        <w:adjustRightInd w:val="0"/>
        <w:spacing w:line="276" w:lineRule="auto"/>
        <w:jc w:val="center"/>
        <w:rPr>
          <w:rFonts w:cs="Tahoma"/>
          <w:b/>
          <w:szCs w:val="24"/>
        </w:rPr>
      </w:pPr>
      <w:r w:rsidRPr="0004733C">
        <w:rPr>
          <w:rFonts w:cs="Tahoma"/>
          <w:b/>
          <w:szCs w:val="24"/>
        </w:rPr>
        <w:t>NOTIFÍQUESE Y CÚMPLASE</w:t>
      </w:r>
    </w:p>
    <w:p w14:paraId="0F9A13BE" w14:textId="77777777" w:rsidR="00CE0E35" w:rsidRPr="0004733C" w:rsidRDefault="00CE0E35" w:rsidP="0004733C">
      <w:pPr>
        <w:spacing w:line="276" w:lineRule="auto"/>
        <w:textAlignment w:val="baseline"/>
        <w:rPr>
          <w:rFonts w:eastAsia="Times New Roman" w:cs="Tahoma"/>
          <w:szCs w:val="24"/>
          <w:lang w:eastAsia="es-ES_tradnl"/>
        </w:rPr>
      </w:pPr>
      <w:r w:rsidRPr="0004733C">
        <w:rPr>
          <w:rFonts w:eastAsia="Times New Roman" w:cs="Tahoma"/>
          <w:szCs w:val="24"/>
          <w:lang w:eastAsia="es-ES_tradnl"/>
        </w:rPr>
        <w:t> </w:t>
      </w:r>
    </w:p>
    <w:p w14:paraId="24F42B2E" w14:textId="77777777" w:rsidR="0004733C" w:rsidRPr="0004733C" w:rsidRDefault="0004733C" w:rsidP="0004733C">
      <w:pPr>
        <w:widowControl w:val="0"/>
        <w:autoSpaceDE w:val="0"/>
        <w:autoSpaceDN w:val="0"/>
        <w:adjustRightInd w:val="0"/>
        <w:spacing w:line="276" w:lineRule="auto"/>
        <w:rPr>
          <w:rFonts w:eastAsia="Times New Roman" w:cs="Tahoma"/>
          <w:szCs w:val="24"/>
          <w:lang w:val="es-ES" w:eastAsia="es-ES"/>
        </w:rPr>
      </w:pPr>
      <w:r w:rsidRPr="0004733C">
        <w:rPr>
          <w:rFonts w:eastAsia="Times New Roman" w:cs="Tahoma"/>
          <w:szCs w:val="24"/>
          <w:lang w:val="es-ES" w:eastAsia="es-ES"/>
        </w:rPr>
        <w:tab/>
        <w:t>La Magistrada ponente,</w:t>
      </w:r>
    </w:p>
    <w:p w14:paraId="46293E4E" w14:textId="77777777" w:rsidR="0004733C" w:rsidRPr="0004733C" w:rsidRDefault="0004733C" w:rsidP="0004733C">
      <w:pPr>
        <w:spacing w:line="276" w:lineRule="auto"/>
        <w:jc w:val="left"/>
        <w:rPr>
          <w:rFonts w:eastAsia="Times New Roman" w:cs="Tahoma"/>
          <w:szCs w:val="24"/>
          <w:lang w:val="es-ES" w:eastAsia="es-ES"/>
        </w:rPr>
      </w:pPr>
    </w:p>
    <w:p w14:paraId="374811D3" w14:textId="77777777" w:rsidR="0004733C" w:rsidRPr="0004733C" w:rsidRDefault="0004733C" w:rsidP="0004733C">
      <w:pPr>
        <w:spacing w:line="276" w:lineRule="auto"/>
        <w:jc w:val="left"/>
        <w:rPr>
          <w:rFonts w:eastAsia="Times New Roman" w:cs="Tahoma"/>
          <w:szCs w:val="24"/>
          <w:lang w:val="es-ES" w:eastAsia="es-ES"/>
        </w:rPr>
      </w:pPr>
    </w:p>
    <w:p w14:paraId="62E09D2C" w14:textId="77777777" w:rsidR="0004733C" w:rsidRPr="0004733C" w:rsidRDefault="0004733C" w:rsidP="0004733C">
      <w:pPr>
        <w:spacing w:line="276" w:lineRule="auto"/>
        <w:jc w:val="left"/>
        <w:rPr>
          <w:rFonts w:eastAsia="Times New Roman" w:cs="Tahoma"/>
          <w:szCs w:val="24"/>
          <w:lang w:val="es-ES" w:eastAsia="es-ES"/>
        </w:rPr>
      </w:pPr>
    </w:p>
    <w:p w14:paraId="5DFA92CD" w14:textId="77777777" w:rsidR="0004733C" w:rsidRPr="0004733C" w:rsidRDefault="0004733C" w:rsidP="0004733C">
      <w:pPr>
        <w:keepNext/>
        <w:spacing w:line="276" w:lineRule="auto"/>
        <w:jc w:val="center"/>
        <w:outlineLvl w:val="2"/>
        <w:rPr>
          <w:rFonts w:eastAsia="Times New Roman" w:cs="Tahoma"/>
          <w:b/>
          <w:bCs/>
          <w:szCs w:val="24"/>
          <w:lang w:val="es-ES" w:eastAsia="es-ES"/>
        </w:rPr>
      </w:pPr>
      <w:r w:rsidRPr="0004733C">
        <w:rPr>
          <w:rFonts w:eastAsia="Times New Roman" w:cs="Tahoma"/>
          <w:b/>
          <w:bCs/>
          <w:szCs w:val="24"/>
          <w:lang w:val="es-ES" w:eastAsia="es-ES"/>
        </w:rPr>
        <w:t>ANA LUCÍA CAICEDO CALDERÓN</w:t>
      </w:r>
    </w:p>
    <w:p w14:paraId="70DE98F0" w14:textId="77777777" w:rsidR="0004733C" w:rsidRPr="0004733C" w:rsidRDefault="0004733C" w:rsidP="0004733C">
      <w:pPr>
        <w:spacing w:line="276" w:lineRule="auto"/>
        <w:jc w:val="left"/>
        <w:rPr>
          <w:rFonts w:eastAsia="Times New Roman" w:cs="Tahoma"/>
          <w:szCs w:val="24"/>
          <w:lang w:val="es-ES" w:eastAsia="es-ES"/>
        </w:rPr>
      </w:pPr>
    </w:p>
    <w:p w14:paraId="269E208E" w14:textId="77777777" w:rsidR="0004733C" w:rsidRPr="0004733C" w:rsidRDefault="0004733C" w:rsidP="0004733C">
      <w:pPr>
        <w:spacing w:line="276" w:lineRule="auto"/>
        <w:ind w:firstLine="708"/>
        <w:jc w:val="left"/>
        <w:rPr>
          <w:rFonts w:eastAsia="Times New Roman" w:cs="Tahoma"/>
          <w:szCs w:val="24"/>
          <w:lang w:val="es-ES" w:eastAsia="es-ES"/>
        </w:rPr>
      </w:pPr>
      <w:bookmarkStart w:id="4" w:name="_Hlk62478330"/>
      <w:r w:rsidRPr="0004733C">
        <w:rPr>
          <w:rFonts w:eastAsia="Times New Roman" w:cs="Tahoma"/>
          <w:szCs w:val="24"/>
          <w:lang w:val="es-ES" w:eastAsia="es-ES"/>
        </w:rPr>
        <w:t>La Magistrada y el Magistrado,</w:t>
      </w:r>
    </w:p>
    <w:p w14:paraId="1B53BAAF" w14:textId="77777777" w:rsidR="0004733C" w:rsidRPr="0004733C" w:rsidRDefault="0004733C" w:rsidP="0004733C">
      <w:pPr>
        <w:spacing w:line="276" w:lineRule="auto"/>
        <w:jc w:val="left"/>
        <w:rPr>
          <w:rFonts w:eastAsia="Times New Roman" w:cs="Tahoma"/>
          <w:szCs w:val="24"/>
          <w:lang w:val="es-ES" w:eastAsia="es-ES"/>
        </w:rPr>
      </w:pPr>
    </w:p>
    <w:p w14:paraId="762D8FE8" w14:textId="77777777" w:rsidR="0004733C" w:rsidRPr="0004733C" w:rsidRDefault="0004733C" w:rsidP="0004733C">
      <w:pPr>
        <w:spacing w:line="276" w:lineRule="auto"/>
        <w:jc w:val="left"/>
        <w:rPr>
          <w:rFonts w:eastAsia="Times New Roman" w:cs="Tahoma"/>
          <w:szCs w:val="24"/>
          <w:lang w:val="es-ES" w:eastAsia="es-ES"/>
        </w:rPr>
      </w:pPr>
    </w:p>
    <w:p w14:paraId="4CF6AA4C" w14:textId="77777777" w:rsidR="0004733C" w:rsidRPr="0004733C" w:rsidRDefault="0004733C" w:rsidP="0004733C">
      <w:pPr>
        <w:spacing w:line="276" w:lineRule="auto"/>
        <w:jc w:val="left"/>
        <w:rPr>
          <w:rFonts w:eastAsia="Times New Roman" w:cs="Tahoma"/>
          <w:szCs w:val="24"/>
          <w:lang w:val="es-ES" w:eastAsia="es-ES"/>
        </w:rPr>
      </w:pPr>
    </w:p>
    <w:p w14:paraId="2DEFF88E" w14:textId="77777777" w:rsidR="0004733C" w:rsidRPr="0004733C" w:rsidRDefault="0004733C" w:rsidP="0004733C">
      <w:pPr>
        <w:spacing w:line="276" w:lineRule="auto"/>
        <w:rPr>
          <w:rFonts w:eastAsia="Times New Roman" w:cs="Tahoma"/>
          <w:b/>
          <w:bCs/>
          <w:szCs w:val="24"/>
          <w:lang w:val="es-ES" w:eastAsia="es-ES"/>
        </w:rPr>
      </w:pPr>
      <w:r w:rsidRPr="0004733C">
        <w:rPr>
          <w:rFonts w:eastAsia="Times New Roman" w:cs="Tahoma"/>
          <w:b/>
          <w:bCs/>
          <w:szCs w:val="24"/>
          <w:lang w:val="es-ES" w:eastAsia="es-ES"/>
        </w:rPr>
        <w:t>OLGA LUCÍA HOYOS SEPÚLVEDA</w:t>
      </w:r>
      <w:r w:rsidRPr="0004733C">
        <w:rPr>
          <w:rFonts w:eastAsia="Times New Roman" w:cs="Tahoma"/>
          <w:b/>
          <w:bCs/>
          <w:szCs w:val="24"/>
          <w:lang w:val="es-ES" w:eastAsia="es-ES"/>
        </w:rPr>
        <w:tab/>
      </w:r>
      <w:r w:rsidRPr="0004733C">
        <w:rPr>
          <w:rFonts w:eastAsia="Times New Roman" w:cs="Tahoma"/>
          <w:b/>
          <w:bCs/>
          <w:szCs w:val="24"/>
          <w:lang w:val="es-ES" w:eastAsia="es-ES"/>
        </w:rPr>
        <w:tab/>
        <w:t>GERMÁN DARÍO GÓEZ VINASCO</w:t>
      </w:r>
      <w:bookmarkEnd w:id="4"/>
    </w:p>
    <w:p w14:paraId="6A1F3C58" w14:textId="77777777" w:rsidR="008F4BF7" w:rsidRPr="0004733C" w:rsidRDefault="0004733C" w:rsidP="0004733C">
      <w:pPr>
        <w:spacing w:line="276" w:lineRule="auto"/>
        <w:rPr>
          <w:rFonts w:cs="Tahoma"/>
          <w:b/>
          <w:bCs/>
          <w:szCs w:val="24"/>
        </w:rPr>
      </w:pPr>
      <w:r>
        <w:rPr>
          <w:rFonts w:eastAsia="Times New Roman" w:cs="Tahoma"/>
          <w:szCs w:val="24"/>
          <w:lang w:val="es-ES" w:eastAsia="es-ES"/>
        </w:rPr>
        <w:t>Aclara</w:t>
      </w:r>
      <w:r w:rsidRPr="0004733C">
        <w:rPr>
          <w:rFonts w:eastAsia="Times New Roman" w:cs="Tahoma"/>
          <w:szCs w:val="24"/>
          <w:lang w:val="es-ES" w:eastAsia="es-ES"/>
        </w:rPr>
        <w:t xml:space="preserve"> voto</w:t>
      </w:r>
    </w:p>
    <w:sectPr w:rsidR="008F4BF7" w:rsidRPr="0004733C" w:rsidSect="0004733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7754FB" w16cex:dateUtc="2021-10-08T20:04:32.665Z"/>
  <w16cex:commentExtensible w16cex:durableId="33DCBDA6" w16cex:dateUtc="2021-10-08T20:04:47.515Z"/>
  <w16cex:commentExtensible w16cex:durableId="4593F20A" w16cex:dateUtc="2021-10-08T20:05:08.208Z"/>
  <w16cex:commentExtensible w16cex:durableId="1A38C403" w16cex:dateUtc="2021-10-08T20:06:55.332Z"/>
  <w16cex:commentExtensible w16cex:durableId="10606361" w16cex:dateUtc="2021-10-08T20:07:05.903Z"/>
  <w16cex:commentExtensible w16cex:durableId="318E1EA8" w16cex:dateUtc="2021-10-08T20:07:19.846Z"/>
  <w16cex:commentExtensible w16cex:durableId="2B33206E" w16cex:dateUtc="2021-10-08T20:08:43.725Z"/>
  <w16cex:commentExtensible w16cex:durableId="496AFBEA" w16cex:dateUtc="2021-10-08T20:09:39.92Z"/>
  <w16cex:commentExtensible w16cex:durableId="35B97571" w16cex:dateUtc="2021-10-08T20:11:16.049Z"/>
  <w16cex:commentExtensible w16cex:durableId="57C29D16" w16cex:dateUtc="2021-10-08T20:12:15.282Z"/>
  <w16cex:commentExtensible w16cex:durableId="4EDAB311" w16cex:dateUtc="2021-10-08T20:12:52.42Z"/>
  <w16cex:commentExtensible w16cex:durableId="5DC2C20F" w16cex:dateUtc="2021-10-08T20:19:09.226Z"/>
  <w16cex:commentExtensible w16cex:durableId="0C93F282" w16cex:dateUtc="2021-10-11T19:27:37.497Z"/>
  <w16cex:commentExtensible w16cex:durableId="7104438E" w16cex:dateUtc="2021-10-14T13:56:27.2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DCFBB" w14:textId="77777777" w:rsidR="00867426" w:rsidRDefault="00867426" w:rsidP="00790DA9">
      <w:pPr>
        <w:spacing w:line="240" w:lineRule="auto"/>
      </w:pPr>
      <w:r>
        <w:separator/>
      </w:r>
    </w:p>
  </w:endnote>
  <w:endnote w:type="continuationSeparator" w:id="0">
    <w:p w14:paraId="5A671F65" w14:textId="77777777" w:rsidR="00867426" w:rsidRDefault="00867426" w:rsidP="00790DA9">
      <w:pPr>
        <w:spacing w:line="240" w:lineRule="auto"/>
      </w:pPr>
      <w:r>
        <w:continuationSeparator/>
      </w:r>
    </w:p>
  </w:endnote>
  <w:endnote w:type="continuationNotice" w:id="1">
    <w:p w14:paraId="5DE3A428" w14:textId="77777777" w:rsidR="00867426" w:rsidRDefault="008674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iCs/>
        <w:sz w:val="18"/>
        <w:szCs w:val="18"/>
        <w:lang w:eastAsia="es-ES"/>
      </w:rPr>
    </w:sdtEndPr>
    <w:sdtContent>
      <w:p w14:paraId="0BD54DAE" w14:textId="77777777" w:rsidR="00BB0107" w:rsidRPr="00D31E2A" w:rsidRDefault="00BB0107">
        <w:pPr>
          <w:pStyle w:val="Piedepgina"/>
          <w:jc w:val="right"/>
          <w:rPr>
            <w:rFonts w:ascii="Arial" w:eastAsia="Times New Roman" w:hAnsi="Arial" w:cs="Arial"/>
            <w:iCs/>
            <w:sz w:val="18"/>
            <w:szCs w:val="18"/>
            <w:lang w:eastAsia="es-ES"/>
          </w:rPr>
        </w:pPr>
        <w:r w:rsidRPr="00D31E2A">
          <w:rPr>
            <w:rFonts w:ascii="Arial" w:eastAsia="Times New Roman" w:hAnsi="Arial" w:cs="Arial"/>
            <w:iCs/>
            <w:sz w:val="18"/>
            <w:szCs w:val="18"/>
            <w:lang w:eastAsia="es-ES"/>
          </w:rPr>
          <w:fldChar w:fldCharType="begin"/>
        </w:r>
        <w:r w:rsidRPr="00D31E2A">
          <w:rPr>
            <w:rFonts w:ascii="Arial" w:eastAsia="Times New Roman" w:hAnsi="Arial" w:cs="Arial"/>
            <w:iCs/>
            <w:sz w:val="18"/>
            <w:szCs w:val="18"/>
            <w:lang w:eastAsia="es-ES"/>
          </w:rPr>
          <w:instrText>PAGE   \* MERGEFORMAT</w:instrText>
        </w:r>
        <w:r w:rsidRPr="00D31E2A">
          <w:rPr>
            <w:rFonts w:ascii="Arial" w:eastAsia="Times New Roman" w:hAnsi="Arial" w:cs="Arial"/>
            <w:iCs/>
            <w:sz w:val="18"/>
            <w:szCs w:val="18"/>
            <w:lang w:eastAsia="es-ES"/>
          </w:rPr>
          <w:fldChar w:fldCharType="separate"/>
        </w:r>
        <w:r w:rsidRPr="00D31E2A">
          <w:rPr>
            <w:rFonts w:ascii="Arial" w:eastAsia="Times New Roman" w:hAnsi="Arial" w:cs="Arial"/>
            <w:iCs/>
            <w:sz w:val="18"/>
            <w:szCs w:val="18"/>
            <w:lang w:eastAsia="es-ES"/>
          </w:rPr>
          <w:t>17</w:t>
        </w:r>
        <w:r w:rsidRPr="00D31E2A">
          <w:rPr>
            <w:rFonts w:ascii="Arial" w:eastAsia="Times New Roman" w:hAnsi="Arial" w:cs="Arial"/>
            <w:iCs/>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411ED" w14:textId="77777777" w:rsidR="00867426" w:rsidRDefault="00867426" w:rsidP="00790DA9">
      <w:pPr>
        <w:spacing w:line="240" w:lineRule="auto"/>
      </w:pPr>
      <w:r>
        <w:separator/>
      </w:r>
    </w:p>
  </w:footnote>
  <w:footnote w:type="continuationSeparator" w:id="0">
    <w:p w14:paraId="1C1DBC31" w14:textId="77777777" w:rsidR="00867426" w:rsidRDefault="00867426" w:rsidP="00790DA9">
      <w:pPr>
        <w:spacing w:line="240" w:lineRule="auto"/>
      </w:pPr>
      <w:r>
        <w:continuationSeparator/>
      </w:r>
    </w:p>
  </w:footnote>
  <w:footnote w:type="continuationNotice" w:id="1">
    <w:p w14:paraId="3859771E" w14:textId="77777777" w:rsidR="00867426" w:rsidRDefault="00867426">
      <w:pPr>
        <w:spacing w:line="240" w:lineRule="auto"/>
      </w:pPr>
    </w:p>
  </w:footnote>
  <w:footnote w:id="2">
    <w:p w14:paraId="4B5AF73A" w14:textId="77777777" w:rsidR="00CB337E" w:rsidRDefault="00CB337E" w:rsidP="00CB337E">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Título tomado de la sentencia </w:t>
      </w:r>
      <w:r>
        <w:rPr>
          <w:rFonts w:ascii="Arial" w:hAnsi="Arial" w:cs="Arial"/>
          <w:sz w:val="18"/>
          <w:szCs w:val="18"/>
        </w:rPr>
        <w:t>del 8 de mayo de 2019SL 1688-2019, Radicado 68838, con Ponencia de la Dra. Clara Cecilia Dueñas Quevedo</w:t>
      </w:r>
    </w:p>
  </w:footnote>
  <w:footnote w:id="3">
    <w:p w14:paraId="7BCB3E30" w14:textId="77777777" w:rsidR="00CB337E" w:rsidRDefault="00CB337E" w:rsidP="00CB337E">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Estatuto Orgánico del Sistema Financiero </w:t>
      </w:r>
    </w:p>
  </w:footnote>
  <w:footnote w:id="4">
    <w:p w14:paraId="3F1DBAA3" w14:textId="77777777" w:rsidR="00CB337E" w:rsidRDefault="00CB337E" w:rsidP="00CB337E">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Título tomado de la sentencia </w:t>
      </w:r>
      <w:r>
        <w:rPr>
          <w:rFonts w:ascii="Arial" w:hAnsi="Arial" w:cs="Arial"/>
          <w:sz w:val="18"/>
          <w:szCs w:val="18"/>
        </w:rPr>
        <w:t>del 8 de mayo de 2019SL 1688-2019, Radicado 68838, con Ponencia de la Dra. Clara Cecilia Dueñas Quevedo</w:t>
      </w:r>
    </w:p>
  </w:footnote>
  <w:footnote w:id="5">
    <w:p w14:paraId="728DDB26" w14:textId="77777777" w:rsidR="00CB337E" w:rsidRDefault="00CB337E" w:rsidP="00CB337E">
      <w:pPr>
        <w:pStyle w:val="Textonotapie"/>
        <w:ind w:firstLine="0"/>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471D3C23" w14:textId="77777777" w:rsidR="00CB337E" w:rsidRDefault="00CB337E" w:rsidP="00CB337E">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E3F4" w14:textId="77777777" w:rsidR="007E2ABD" w:rsidRPr="00D31E2A" w:rsidRDefault="007E2ABD" w:rsidP="00D31E2A">
    <w:pPr>
      <w:tabs>
        <w:tab w:val="left" w:pos="993"/>
      </w:tabs>
      <w:spacing w:line="240" w:lineRule="auto"/>
      <w:ind w:left="1134" w:hanging="1134"/>
      <w:rPr>
        <w:rFonts w:ascii="Arial" w:eastAsia="Times New Roman" w:hAnsi="Arial" w:cs="Arial"/>
        <w:iCs/>
        <w:sz w:val="18"/>
        <w:szCs w:val="18"/>
        <w:lang w:val="es-419" w:eastAsia="es-ES"/>
      </w:rPr>
    </w:pPr>
    <w:r w:rsidRPr="00D31E2A">
      <w:rPr>
        <w:rFonts w:ascii="Arial" w:eastAsia="Times New Roman" w:hAnsi="Arial" w:cs="Arial"/>
        <w:iCs/>
        <w:sz w:val="18"/>
        <w:szCs w:val="18"/>
        <w:lang w:val="es-419" w:eastAsia="es-ES"/>
      </w:rPr>
      <w:t>Radicación No.:</w:t>
    </w:r>
    <w:r w:rsidR="00D31E2A">
      <w:rPr>
        <w:rFonts w:ascii="Arial" w:eastAsia="Times New Roman" w:hAnsi="Arial" w:cs="Arial"/>
        <w:iCs/>
        <w:sz w:val="18"/>
        <w:szCs w:val="18"/>
        <w:lang w:val="es-419" w:eastAsia="es-ES"/>
      </w:rPr>
      <w:tab/>
    </w:r>
    <w:r w:rsidRPr="00D31E2A">
      <w:rPr>
        <w:rFonts w:ascii="Arial" w:eastAsia="Times New Roman" w:hAnsi="Arial" w:cs="Arial"/>
        <w:iCs/>
        <w:sz w:val="18"/>
        <w:szCs w:val="18"/>
        <w:lang w:val="es-419" w:eastAsia="es-ES"/>
      </w:rPr>
      <w:t>66001-31-05-004-2020-00</w:t>
    </w:r>
    <w:r w:rsidR="00002BBE" w:rsidRPr="00D31E2A">
      <w:rPr>
        <w:rFonts w:ascii="Arial" w:eastAsia="Times New Roman" w:hAnsi="Arial" w:cs="Arial"/>
        <w:iCs/>
        <w:sz w:val="18"/>
        <w:szCs w:val="18"/>
        <w:lang w:val="es-419" w:eastAsia="es-ES"/>
      </w:rPr>
      <w:t>181</w:t>
    </w:r>
    <w:r w:rsidRPr="00D31E2A">
      <w:rPr>
        <w:rFonts w:ascii="Arial" w:eastAsia="Times New Roman" w:hAnsi="Arial" w:cs="Arial"/>
        <w:iCs/>
        <w:sz w:val="18"/>
        <w:szCs w:val="18"/>
        <w:lang w:val="es-419" w:eastAsia="es-ES"/>
      </w:rPr>
      <w:t>-01</w:t>
    </w:r>
  </w:p>
  <w:p w14:paraId="4F6DEE4B" w14:textId="77777777" w:rsidR="007E2ABD" w:rsidRPr="00D31E2A" w:rsidRDefault="007E2ABD" w:rsidP="00D31E2A">
    <w:pPr>
      <w:tabs>
        <w:tab w:val="left" w:pos="993"/>
      </w:tabs>
      <w:spacing w:line="240" w:lineRule="auto"/>
      <w:ind w:left="1134" w:hanging="1134"/>
      <w:rPr>
        <w:rFonts w:ascii="Arial" w:eastAsia="Times New Roman" w:hAnsi="Arial" w:cs="Arial"/>
        <w:iCs/>
        <w:sz w:val="18"/>
        <w:szCs w:val="18"/>
        <w:lang w:eastAsia="es-ES"/>
      </w:rPr>
    </w:pPr>
    <w:r w:rsidRPr="00D31E2A">
      <w:rPr>
        <w:rFonts w:ascii="Arial" w:eastAsia="Times New Roman" w:hAnsi="Arial" w:cs="Arial"/>
        <w:iCs/>
        <w:sz w:val="18"/>
        <w:szCs w:val="18"/>
        <w:lang w:eastAsia="es-ES"/>
      </w:rPr>
      <w:t>Demandante:</w:t>
    </w:r>
    <w:r w:rsidR="00D31E2A">
      <w:rPr>
        <w:rFonts w:ascii="Arial" w:eastAsia="Times New Roman" w:hAnsi="Arial" w:cs="Arial"/>
        <w:iCs/>
        <w:sz w:val="18"/>
        <w:szCs w:val="18"/>
        <w:lang w:eastAsia="es-ES"/>
      </w:rPr>
      <w:tab/>
    </w:r>
    <w:r w:rsidR="00D31E2A">
      <w:rPr>
        <w:rFonts w:ascii="Arial" w:eastAsia="Times New Roman" w:hAnsi="Arial" w:cs="Arial"/>
        <w:iCs/>
        <w:sz w:val="18"/>
        <w:szCs w:val="18"/>
        <w:lang w:eastAsia="es-ES"/>
      </w:rPr>
      <w:tab/>
    </w:r>
    <w:r w:rsidR="00002BBE" w:rsidRPr="00D31E2A">
      <w:rPr>
        <w:rFonts w:ascii="Arial" w:eastAsia="Times New Roman" w:hAnsi="Arial" w:cs="Arial"/>
        <w:iCs/>
        <w:sz w:val="18"/>
        <w:szCs w:val="18"/>
        <w:lang w:eastAsia="es-ES"/>
      </w:rPr>
      <w:t>Héctor Vega Hernández</w:t>
    </w:r>
  </w:p>
  <w:p w14:paraId="475B873E" w14:textId="77777777" w:rsidR="007E2ABD" w:rsidRPr="00D31E2A" w:rsidRDefault="007E2ABD" w:rsidP="00D31E2A">
    <w:pPr>
      <w:tabs>
        <w:tab w:val="left" w:pos="993"/>
      </w:tabs>
      <w:spacing w:line="240" w:lineRule="auto"/>
      <w:ind w:left="1134" w:hanging="1134"/>
      <w:rPr>
        <w:rFonts w:ascii="Arial" w:eastAsia="Times New Roman" w:hAnsi="Arial" w:cs="Arial"/>
        <w:iCs/>
        <w:sz w:val="18"/>
        <w:szCs w:val="18"/>
        <w:lang w:val="es-419" w:eastAsia="es-ES"/>
      </w:rPr>
    </w:pPr>
    <w:r w:rsidRPr="00D31E2A">
      <w:rPr>
        <w:rFonts w:ascii="Arial" w:eastAsia="Times New Roman" w:hAnsi="Arial" w:cs="Arial"/>
        <w:iCs/>
        <w:sz w:val="18"/>
        <w:szCs w:val="18"/>
        <w:lang w:val="es-419" w:eastAsia="es-ES"/>
      </w:rPr>
      <w:t>Demandado:</w:t>
    </w:r>
    <w:r w:rsidR="00D31E2A">
      <w:rPr>
        <w:rFonts w:ascii="Arial" w:eastAsia="Times New Roman" w:hAnsi="Arial" w:cs="Arial"/>
        <w:iCs/>
        <w:sz w:val="18"/>
        <w:szCs w:val="18"/>
        <w:lang w:val="es-419" w:eastAsia="es-ES"/>
      </w:rPr>
      <w:tab/>
    </w:r>
    <w:r w:rsidR="00D31E2A">
      <w:rPr>
        <w:rFonts w:ascii="Arial" w:eastAsia="Times New Roman" w:hAnsi="Arial" w:cs="Arial"/>
        <w:iCs/>
        <w:sz w:val="18"/>
        <w:szCs w:val="18"/>
        <w:lang w:val="es-419" w:eastAsia="es-ES"/>
      </w:rPr>
      <w:tab/>
    </w:r>
    <w:r w:rsidR="00002BBE" w:rsidRPr="00D31E2A">
      <w:rPr>
        <w:rFonts w:ascii="Arial" w:eastAsia="Times New Roman" w:hAnsi="Arial" w:cs="Arial"/>
        <w:iCs/>
        <w:sz w:val="18"/>
        <w:szCs w:val="18"/>
        <w:lang w:val="es-419" w:eastAsia="es-ES"/>
      </w:rPr>
      <w:t>AFP Colfondos y otras</w:t>
    </w:r>
  </w:p>
</w:hdr>
</file>

<file path=word/intelligence.xml><?xml version="1.0" encoding="utf-8"?>
<int:Intelligence xmlns:int="http://schemas.microsoft.com/office/intelligence/2019/intelligence">
  <int:IntelligenceSettings/>
  <int:Manifest>
    <int:WordHash hashCode="HWfttYGzQ8v30z" id="HA9Hj2+i"/>
  </int:Manifest>
  <int:Observations>
    <int:Content id="HA9Hj2+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1C17F45"/>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6"/>
  </w:num>
  <w:num w:numId="2">
    <w:abstractNumId w:val="5"/>
  </w:num>
  <w:num w:numId="3">
    <w:abstractNumId w:val="8"/>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2BBE"/>
    <w:rsid w:val="00013E2E"/>
    <w:rsid w:val="00017704"/>
    <w:rsid w:val="00022EDE"/>
    <w:rsid w:val="000303BA"/>
    <w:rsid w:val="000333C2"/>
    <w:rsid w:val="000337DA"/>
    <w:rsid w:val="00033ECF"/>
    <w:rsid w:val="00042B25"/>
    <w:rsid w:val="0004733C"/>
    <w:rsid w:val="00057428"/>
    <w:rsid w:val="000650FA"/>
    <w:rsid w:val="00066767"/>
    <w:rsid w:val="00067D70"/>
    <w:rsid w:val="000723F0"/>
    <w:rsid w:val="00073698"/>
    <w:rsid w:val="00077A73"/>
    <w:rsid w:val="00081C10"/>
    <w:rsid w:val="000834CE"/>
    <w:rsid w:val="0008477A"/>
    <w:rsid w:val="000856A8"/>
    <w:rsid w:val="00096470"/>
    <w:rsid w:val="000A6114"/>
    <w:rsid w:val="000A7A88"/>
    <w:rsid w:val="000B2BAA"/>
    <w:rsid w:val="000B4F2C"/>
    <w:rsid w:val="000B51CC"/>
    <w:rsid w:val="000B6053"/>
    <w:rsid w:val="000B6595"/>
    <w:rsid w:val="000B7440"/>
    <w:rsid w:val="000C02A4"/>
    <w:rsid w:val="000D5112"/>
    <w:rsid w:val="000E25BE"/>
    <w:rsid w:val="000E45BB"/>
    <w:rsid w:val="000F3D75"/>
    <w:rsid w:val="000F43BC"/>
    <w:rsid w:val="000F49C1"/>
    <w:rsid w:val="000F5175"/>
    <w:rsid w:val="00100496"/>
    <w:rsid w:val="00103F06"/>
    <w:rsid w:val="00104A02"/>
    <w:rsid w:val="00115C02"/>
    <w:rsid w:val="001162CF"/>
    <w:rsid w:val="001170DA"/>
    <w:rsid w:val="001229A3"/>
    <w:rsid w:val="0012390D"/>
    <w:rsid w:val="00132CF5"/>
    <w:rsid w:val="001348F3"/>
    <w:rsid w:val="001363CA"/>
    <w:rsid w:val="00142473"/>
    <w:rsid w:val="00142A51"/>
    <w:rsid w:val="00147587"/>
    <w:rsid w:val="001533B3"/>
    <w:rsid w:val="00181214"/>
    <w:rsid w:val="001878AE"/>
    <w:rsid w:val="001A291C"/>
    <w:rsid w:val="001B0D78"/>
    <w:rsid w:val="001B362B"/>
    <w:rsid w:val="001C0216"/>
    <w:rsid w:val="001D225A"/>
    <w:rsid w:val="001D423C"/>
    <w:rsid w:val="001D7AAD"/>
    <w:rsid w:val="001E27ED"/>
    <w:rsid w:val="001E4991"/>
    <w:rsid w:val="001E5306"/>
    <w:rsid w:val="001E683F"/>
    <w:rsid w:val="001F37EE"/>
    <w:rsid w:val="001F38B6"/>
    <w:rsid w:val="0020620E"/>
    <w:rsid w:val="002148B6"/>
    <w:rsid w:val="0022440C"/>
    <w:rsid w:val="00227128"/>
    <w:rsid w:val="00235D61"/>
    <w:rsid w:val="00251099"/>
    <w:rsid w:val="00257046"/>
    <w:rsid w:val="00263F30"/>
    <w:rsid w:val="00272B83"/>
    <w:rsid w:val="00272FA1"/>
    <w:rsid w:val="002A45C4"/>
    <w:rsid w:val="002B6E44"/>
    <w:rsid w:val="002B700F"/>
    <w:rsid w:val="002C0448"/>
    <w:rsid w:val="002C32BD"/>
    <w:rsid w:val="002D3585"/>
    <w:rsid w:val="002D4916"/>
    <w:rsid w:val="002D70C7"/>
    <w:rsid w:val="002F3B2F"/>
    <w:rsid w:val="00315273"/>
    <w:rsid w:val="00322722"/>
    <w:rsid w:val="00327A68"/>
    <w:rsid w:val="003324F5"/>
    <w:rsid w:val="00333562"/>
    <w:rsid w:val="00342284"/>
    <w:rsid w:val="0034303C"/>
    <w:rsid w:val="00355110"/>
    <w:rsid w:val="00374C81"/>
    <w:rsid w:val="00392EAC"/>
    <w:rsid w:val="003C0463"/>
    <w:rsid w:val="003C46FA"/>
    <w:rsid w:val="003C480F"/>
    <w:rsid w:val="003C4D89"/>
    <w:rsid w:val="003C7505"/>
    <w:rsid w:val="003D0E6E"/>
    <w:rsid w:val="003D72E0"/>
    <w:rsid w:val="003E261A"/>
    <w:rsid w:val="004123A8"/>
    <w:rsid w:val="00416977"/>
    <w:rsid w:val="00421F4F"/>
    <w:rsid w:val="004221BB"/>
    <w:rsid w:val="0042469E"/>
    <w:rsid w:val="004260C5"/>
    <w:rsid w:val="00454F9D"/>
    <w:rsid w:val="004561FF"/>
    <w:rsid w:val="00463B87"/>
    <w:rsid w:val="00464DF6"/>
    <w:rsid w:val="00466937"/>
    <w:rsid w:val="00467973"/>
    <w:rsid w:val="00470DFB"/>
    <w:rsid w:val="00473BC1"/>
    <w:rsid w:val="00480E80"/>
    <w:rsid w:val="00483816"/>
    <w:rsid w:val="00497808"/>
    <w:rsid w:val="004A1054"/>
    <w:rsid w:val="004C46ED"/>
    <w:rsid w:val="004D6F44"/>
    <w:rsid w:val="00504A57"/>
    <w:rsid w:val="0053421E"/>
    <w:rsid w:val="00536012"/>
    <w:rsid w:val="0054543B"/>
    <w:rsid w:val="00545B08"/>
    <w:rsid w:val="00553FD7"/>
    <w:rsid w:val="005607ED"/>
    <w:rsid w:val="00561E61"/>
    <w:rsid w:val="005662E3"/>
    <w:rsid w:val="005852DF"/>
    <w:rsid w:val="005A23C9"/>
    <w:rsid w:val="005A473D"/>
    <w:rsid w:val="005A5ADA"/>
    <w:rsid w:val="005A7B94"/>
    <w:rsid w:val="005B00B8"/>
    <w:rsid w:val="005B1B3D"/>
    <w:rsid w:val="005B1B92"/>
    <w:rsid w:val="005B5103"/>
    <w:rsid w:val="005B6189"/>
    <w:rsid w:val="005B65AA"/>
    <w:rsid w:val="005D6C75"/>
    <w:rsid w:val="005E1630"/>
    <w:rsid w:val="005F4133"/>
    <w:rsid w:val="00600B9D"/>
    <w:rsid w:val="00600CE4"/>
    <w:rsid w:val="0060137B"/>
    <w:rsid w:val="006047CD"/>
    <w:rsid w:val="006136C7"/>
    <w:rsid w:val="00620E72"/>
    <w:rsid w:val="006229F4"/>
    <w:rsid w:val="00630FC0"/>
    <w:rsid w:val="00633F28"/>
    <w:rsid w:val="006458B0"/>
    <w:rsid w:val="00647B40"/>
    <w:rsid w:val="00654EAE"/>
    <w:rsid w:val="00662FC5"/>
    <w:rsid w:val="00667387"/>
    <w:rsid w:val="0067414E"/>
    <w:rsid w:val="0068205A"/>
    <w:rsid w:val="006866F8"/>
    <w:rsid w:val="00693C39"/>
    <w:rsid w:val="006958B8"/>
    <w:rsid w:val="006A36EB"/>
    <w:rsid w:val="006B0AAC"/>
    <w:rsid w:val="006B11AA"/>
    <w:rsid w:val="006B22DF"/>
    <w:rsid w:val="006C4834"/>
    <w:rsid w:val="006D3825"/>
    <w:rsid w:val="006E3FE2"/>
    <w:rsid w:val="006E53AC"/>
    <w:rsid w:val="006E68C0"/>
    <w:rsid w:val="006F3644"/>
    <w:rsid w:val="006F3819"/>
    <w:rsid w:val="006F46B8"/>
    <w:rsid w:val="0072082E"/>
    <w:rsid w:val="0072783E"/>
    <w:rsid w:val="0072790E"/>
    <w:rsid w:val="00734150"/>
    <w:rsid w:val="00737D7B"/>
    <w:rsid w:val="00750729"/>
    <w:rsid w:val="00761CFA"/>
    <w:rsid w:val="007813BE"/>
    <w:rsid w:val="00784D72"/>
    <w:rsid w:val="00790CCA"/>
    <w:rsid w:val="00790DA9"/>
    <w:rsid w:val="007A0931"/>
    <w:rsid w:val="007A34E5"/>
    <w:rsid w:val="007A7B9B"/>
    <w:rsid w:val="007D170B"/>
    <w:rsid w:val="007D60E6"/>
    <w:rsid w:val="007E1917"/>
    <w:rsid w:val="007E2ABD"/>
    <w:rsid w:val="007E5A0D"/>
    <w:rsid w:val="007F4E75"/>
    <w:rsid w:val="008063DF"/>
    <w:rsid w:val="00806950"/>
    <w:rsid w:val="00820A77"/>
    <w:rsid w:val="008215A6"/>
    <w:rsid w:val="00824349"/>
    <w:rsid w:val="00835553"/>
    <w:rsid w:val="0083681C"/>
    <w:rsid w:val="00840DA1"/>
    <w:rsid w:val="00846780"/>
    <w:rsid w:val="00851B08"/>
    <w:rsid w:val="008548ED"/>
    <w:rsid w:val="00854C63"/>
    <w:rsid w:val="00857B33"/>
    <w:rsid w:val="00867426"/>
    <w:rsid w:val="0087484F"/>
    <w:rsid w:val="0087626E"/>
    <w:rsid w:val="00880669"/>
    <w:rsid w:val="00886808"/>
    <w:rsid w:val="00890591"/>
    <w:rsid w:val="00891AE9"/>
    <w:rsid w:val="008950AD"/>
    <w:rsid w:val="008B3405"/>
    <w:rsid w:val="008B3F9C"/>
    <w:rsid w:val="008B63E1"/>
    <w:rsid w:val="008C3C79"/>
    <w:rsid w:val="008C4964"/>
    <w:rsid w:val="008F4BF7"/>
    <w:rsid w:val="0090516E"/>
    <w:rsid w:val="00907835"/>
    <w:rsid w:val="00907968"/>
    <w:rsid w:val="00913B24"/>
    <w:rsid w:val="009253E4"/>
    <w:rsid w:val="00943B70"/>
    <w:rsid w:val="009449CA"/>
    <w:rsid w:val="0094516B"/>
    <w:rsid w:val="00952524"/>
    <w:rsid w:val="00956792"/>
    <w:rsid w:val="00956F52"/>
    <w:rsid w:val="0097176C"/>
    <w:rsid w:val="00975AB3"/>
    <w:rsid w:val="009853EE"/>
    <w:rsid w:val="00990252"/>
    <w:rsid w:val="009922D4"/>
    <w:rsid w:val="009979A7"/>
    <w:rsid w:val="009A49F0"/>
    <w:rsid w:val="009B14F6"/>
    <w:rsid w:val="009C472C"/>
    <w:rsid w:val="009D10A2"/>
    <w:rsid w:val="009E02EA"/>
    <w:rsid w:val="009E43EE"/>
    <w:rsid w:val="009E4F54"/>
    <w:rsid w:val="009E6EFD"/>
    <w:rsid w:val="009E715D"/>
    <w:rsid w:val="009E7D52"/>
    <w:rsid w:val="009F1FBF"/>
    <w:rsid w:val="009F35E3"/>
    <w:rsid w:val="00A00398"/>
    <w:rsid w:val="00A0657B"/>
    <w:rsid w:val="00A13F40"/>
    <w:rsid w:val="00A22272"/>
    <w:rsid w:val="00A228DE"/>
    <w:rsid w:val="00A24955"/>
    <w:rsid w:val="00A266D4"/>
    <w:rsid w:val="00A26AC8"/>
    <w:rsid w:val="00A26E1A"/>
    <w:rsid w:val="00A47546"/>
    <w:rsid w:val="00A67C26"/>
    <w:rsid w:val="00A74124"/>
    <w:rsid w:val="00A80CCF"/>
    <w:rsid w:val="00A87FEB"/>
    <w:rsid w:val="00A900DB"/>
    <w:rsid w:val="00A92675"/>
    <w:rsid w:val="00A92D0B"/>
    <w:rsid w:val="00AA3C7C"/>
    <w:rsid w:val="00AA3D20"/>
    <w:rsid w:val="00AA783A"/>
    <w:rsid w:val="00AB462E"/>
    <w:rsid w:val="00AD511A"/>
    <w:rsid w:val="00AE042F"/>
    <w:rsid w:val="00AE2EB0"/>
    <w:rsid w:val="00AF04D4"/>
    <w:rsid w:val="00AF1C75"/>
    <w:rsid w:val="00AF4757"/>
    <w:rsid w:val="00B03A68"/>
    <w:rsid w:val="00B06E1F"/>
    <w:rsid w:val="00B17E1F"/>
    <w:rsid w:val="00B20840"/>
    <w:rsid w:val="00B24B52"/>
    <w:rsid w:val="00B257F9"/>
    <w:rsid w:val="00B40350"/>
    <w:rsid w:val="00B43958"/>
    <w:rsid w:val="00B44542"/>
    <w:rsid w:val="00B4752E"/>
    <w:rsid w:val="00B508F6"/>
    <w:rsid w:val="00B53E94"/>
    <w:rsid w:val="00B6216B"/>
    <w:rsid w:val="00B77F43"/>
    <w:rsid w:val="00B8317C"/>
    <w:rsid w:val="00B92321"/>
    <w:rsid w:val="00B951B9"/>
    <w:rsid w:val="00BB0107"/>
    <w:rsid w:val="00BB0943"/>
    <w:rsid w:val="00BB4300"/>
    <w:rsid w:val="00BB5F94"/>
    <w:rsid w:val="00BB7B81"/>
    <w:rsid w:val="00BC4213"/>
    <w:rsid w:val="00BC67CF"/>
    <w:rsid w:val="00BD0CEF"/>
    <w:rsid w:val="00BD1EBE"/>
    <w:rsid w:val="00BE0F3E"/>
    <w:rsid w:val="00BE6BEA"/>
    <w:rsid w:val="00BF10F2"/>
    <w:rsid w:val="00BF131B"/>
    <w:rsid w:val="00BF41DA"/>
    <w:rsid w:val="00C021EE"/>
    <w:rsid w:val="00C02346"/>
    <w:rsid w:val="00C02C9A"/>
    <w:rsid w:val="00C11B0A"/>
    <w:rsid w:val="00C16845"/>
    <w:rsid w:val="00C203B9"/>
    <w:rsid w:val="00C224D8"/>
    <w:rsid w:val="00C27D5D"/>
    <w:rsid w:val="00C3219F"/>
    <w:rsid w:val="00C33E31"/>
    <w:rsid w:val="00C360DA"/>
    <w:rsid w:val="00C4413A"/>
    <w:rsid w:val="00C53028"/>
    <w:rsid w:val="00C53872"/>
    <w:rsid w:val="00C7747B"/>
    <w:rsid w:val="00C77FDE"/>
    <w:rsid w:val="00C81B2A"/>
    <w:rsid w:val="00C81F86"/>
    <w:rsid w:val="00C84471"/>
    <w:rsid w:val="00C860F2"/>
    <w:rsid w:val="00C8C303"/>
    <w:rsid w:val="00C9368C"/>
    <w:rsid w:val="00CA743B"/>
    <w:rsid w:val="00CB337E"/>
    <w:rsid w:val="00CC776A"/>
    <w:rsid w:val="00CD14BB"/>
    <w:rsid w:val="00CD1CE4"/>
    <w:rsid w:val="00CE0567"/>
    <w:rsid w:val="00CE0E35"/>
    <w:rsid w:val="00CE5E7B"/>
    <w:rsid w:val="00CE6A8C"/>
    <w:rsid w:val="00CF2833"/>
    <w:rsid w:val="00CF703F"/>
    <w:rsid w:val="00D114C6"/>
    <w:rsid w:val="00D12F7D"/>
    <w:rsid w:val="00D14776"/>
    <w:rsid w:val="00D153D7"/>
    <w:rsid w:val="00D31819"/>
    <w:rsid w:val="00D31E2A"/>
    <w:rsid w:val="00D34222"/>
    <w:rsid w:val="00D44DF0"/>
    <w:rsid w:val="00D450B8"/>
    <w:rsid w:val="00D459BB"/>
    <w:rsid w:val="00D46A8D"/>
    <w:rsid w:val="00D47BA5"/>
    <w:rsid w:val="00D72C19"/>
    <w:rsid w:val="00D805CC"/>
    <w:rsid w:val="00D82B80"/>
    <w:rsid w:val="00D90263"/>
    <w:rsid w:val="00DA1C9D"/>
    <w:rsid w:val="00DA4370"/>
    <w:rsid w:val="00DB2FDD"/>
    <w:rsid w:val="00DB3081"/>
    <w:rsid w:val="00DC5863"/>
    <w:rsid w:val="00DF61C4"/>
    <w:rsid w:val="00DF7B39"/>
    <w:rsid w:val="00E15935"/>
    <w:rsid w:val="00E352C7"/>
    <w:rsid w:val="00E376E1"/>
    <w:rsid w:val="00E43F7E"/>
    <w:rsid w:val="00E44599"/>
    <w:rsid w:val="00E45567"/>
    <w:rsid w:val="00E5519F"/>
    <w:rsid w:val="00E60B9A"/>
    <w:rsid w:val="00E66B3E"/>
    <w:rsid w:val="00E72BFE"/>
    <w:rsid w:val="00E74EEE"/>
    <w:rsid w:val="00E82867"/>
    <w:rsid w:val="00E931AE"/>
    <w:rsid w:val="00EA76E7"/>
    <w:rsid w:val="00EF3AA2"/>
    <w:rsid w:val="00EF513D"/>
    <w:rsid w:val="00EF5C33"/>
    <w:rsid w:val="00F159B2"/>
    <w:rsid w:val="00F24E45"/>
    <w:rsid w:val="00F26ECD"/>
    <w:rsid w:val="00F30A77"/>
    <w:rsid w:val="00F371AC"/>
    <w:rsid w:val="00F41005"/>
    <w:rsid w:val="00F4298B"/>
    <w:rsid w:val="00F45B56"/>
    <w:rsid w:val="00F50C4F"/>
    <w:rsid w:val="00F567D0"/>
    <w:rsid w:val="00F71BC7"/>
    <w:rsid w:val="00F76BA2"/>
    <w:rsid w:val="00F8423F"/>
    <w:rsid w:val="00F902D2"/>
    <w:rsid w:val="00F942FC"/>
    <w:rsid w:val="00FA13EF"/>
    <w:rsid w:val="00FA239F"/>
    <w:rsid w:val="00FA61A6"/>
    <w:rsid w:val="00FB16D8"/>
    <w:rsid w:val="00FB1755"/>
    <w:rsid w:val="00FB4083"/>
    <w:rsid w:val="00FC4541"/>
    <w:rsid w:val="00FD1293"/>
    <w:rsid w:val="00FD3954"/>
    <w:rsid w:val="00FD50CB"/>
    <w:rsid w:val="00FE17EB"/>
    <w:rsid w:val="00FE1F22"/>
    <w:rsid w:val="00FE3C22"/>
    <w:rsid w:val="00FE63C7"/>
    <w:rsid w:val="00FF4F3D"/>
    <w:rsid w:val="00FF6DD0"/>
    <w:rsid w:val="01678849"/>
    <w:rsid w:val="01BC85F6"/>
    <w:rsid w:val="026FD29D"/>
    <w:rsid w:val="029D46B7"/>
    <w:rsid w:val="033F2DFA"/>
    <w:rsid w:val="03C40545"/>
    <w:rsid w:val="0443FE11"/>
    <w:rsid w:val="0459512A"/>
    <w:rsid w:val="0500474C"/>
    <w:rsid w:val="056E80C7"/>
    <w:rsid w:val="067D2DD4"/>
    <w:rsid w:val="08129F1D"/>
    <w:rsid w:val="0879E589"/>
    <w:rsid w:val="095E2418"/>
    <w:rsid w:val="0C0830C7"/>
    <w:rsid w:val="0EF8E1EF"/>
    <w:rsid w:val="103F4AA1"/>
    <w:rsid w:val="10CB543A"/>
    <w:rsid w:val="10D03A52"/>
    <w:rsid w:val="10F5B9B0"/>
    <w:rsid w:val="1233DB72"/>
    <w:rsid w:val="12E3D666"/>
    <w:rsid w:val="13CFABD3"/>
    <w:rsid w:val="1694E00C"/>
    <w:rsid w:val="177E1DCC"/>
    <w:rsid w:val="18024FEE"/>
    <w:rsid w:val="1886E233"/>
    <w:rsid w:val="19CC80CE"/>
    <w:rsid w:val="1B4F28D2"/>
    <w:rsid w:val="1BEC0BAE"/>
    <w:rsid w:val="1C39E654"/>
    <w:rsid w:val="1C600B98"/>
    <w:rsid w:val="212797BF"/>
    <w:rsid w:val="2165CB40"/>
    <w:rsid w:val="2251ECC2"/>
    <w:rsid w:val="23F1179F"/>
    <w:rsid w:val="245DBE3A"/>
    <w:rsid w:val="28CB11EC"/>
    <w:rsid w:val="29E2A498"/>
    <w:rsid w:val="2B62F4E0"/>
    <w:rsid w:val="2BE36DFD"/>
    <w:rsid w:val="2E442B85"/>
    <w:rsid w:val="31EDB67D"/>
    <w:rsid w:val="322159DB"/>
    <w:rsid w:val="38ABB1A4"/>
    <w:rsid w:val="38AFDD55"/>
    <w:rsid w:val="391E6A3A"/>
    <w:rsid w:val="39E16A5A"/>
    <w:rsid w:val="39F899C4"/>
    <w:rsid w:val="3A576362"/>
    <w:rsid w:val="3B37A867"/>
    <w:rsid w:val="3B63AED4"/>
    <w:rsid w:val="3CA91594"/>
    <w:rsid w:val="3D9F46CB"/>
    <w:rsid w:val="3FD207B6"/>
    <w:rsid w:val="42FC1741"/>
    <w:rsid w:val="43F86185"/>
    <w:rsid w:val="450B4BA1"/>
    <w:rsid w:val="46756579"/>
    <w:rsid w:val="4798BDA3"/>
    <w:rsid w:val="495693A5"/>
    <w:rsid w:val="4AD05E65"/>
    <w:rsid w:val="4CD3486D"/>
    <w:rsid w:val="4DA3018A"/>
    <w:rsid w:val="4EC5BA19"/>
    <w:rsid w:val="4ED2C105"/>
    <w:rsid w:val="4FB6214D"/>
    <w:rsid w:val="4FC84195"/>
    <w:rsid w:val="50D9B9A0"/>
    <w:rsid w:val="5598858F"/>
    <w:rsid w:val="58383A24"/>
    <w:rsid w:val="58D2ED4E"/>
    <w:rsid w:val="5C549F31"/>
    <w:rsid w:val="5D049A25"/>
    <w:rsid w:val="5D4E4829"/>
    <w:rsid w:val="5E5F6ABA"/>
    <w:rsid w:val="5E77DBDD"/>
    <w:rsid w:val="617902D7"/>
    <w:rsid w:val="6251742C"/>
    <w:rsid w:val="63D41C30"/>
    <w:rsid w:val="648016D3"/>
    <w:rsid w:val="65812768"/>
    <w:rsid w:val="66A5B940"/>
    <w:rsid w:val="6724E54F"/>
    <w:rsid w:val="675B6719"/>
    <w:rsid w:val="675C4C2B"/>
    <w:rsid w:val="68A9C598"/>
    <w:rsid w:val="68E01945"/>
    <w:rsid w:val="6931BCB7"/>
    <w:rsid w:val="6A125A26"/>
    <w:rsid w:val="6B602A80"/>
    <w:rsid w:val="6BF85672"/>
    <w:rsid w:val="6D95D1FB"/>
    <w:rsid w:val="732F3A5E"/>
    <w:rsid w:val="773B0919"/>
    <w:rsid w:val="7834FC4D"/>
    <w:rsid w:val="79BD3250"/>
    <w:rsid w:val="7B3C8528"/>
    <w:rsid w:val="7C7D00D9"/>
    <w:rsid w:val="7E68B3CD"/>
    <w:rsid w:val="7E84E533"/>
    <w:rsid w:val="7F2CF2A1"/>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C67B565-54F8-4A7F-97A6-39A572F8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213"/>
    <w:rPr>
      <w:rFonts w:ascii="Tahoma" w:hAnsi="Tahoma"/>
      <w:szCs w:val="22"/>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table" w:customStyle="1" w:styleId="Tablaconcuadrcula1">
    <w:name w:val="Tabla con cuadrícula1"/>
    <w:basedOn w:val="Tablanormal"/>
    <w:next w:val="Tablaconcuadrcula"/>
    <w:rsid w:val="00CE0E35"/>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0650FA"/>
    <w:rPr>
      <w:b/>
      <w:bCs/>
    </w:rPr>
  </w:style>
  <w:style w:type="character" w:customStyle="1" w:styleId="AsuntodelcomentarioCar">
    <w:name w:val="Asunto del comentario Car"/>
    <w:basedOn w:val="TextocomentarioCar"/>
    <w:link w:val="Asuntodelcomentario"/>
    <w:uiPriority w:val="99"/>
    <w:semiHidden/>
    <w:rsid w:val="000650FA"/>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b138b1da23174a9b" Type="http://schemas.microsoft.com/office/2018/08/relationships/commentsExtensible" Target="commentsExtensible.xml"/><Relationship Id="rId3" Type="http://schemas.openxmlformats.org/officeDocument/2006/relationships/customXml" Target="../customXml/item3.xml"/><Relationship Id="R61e48a3dfb254dcf"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3.xml><?xml version="1.0" encoding="utf-8"?>
<ds:datastoreItem xmlns:ds="http://schemas.openxmlformats.org/officeDocument/2006/customXml" ds:itemID="{F1F104AD-3141-4CFC-AE0A-5C3CEB7E3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D704A-027E-4645-91CB-0D225015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8099</Words>
  <Characters>44548</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10</cp:revision>
  <dcterms:created xsi:type="dcterms:W3CDTF">2021-10-08T20:33:00Z</dcterms:created>
  <dcterms:modified xsi:type="dcterms:W3CDTF">2021-11-10T17:20:00Z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