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0C95E" w14:textId="2B0DDAD7" w:rsidR="00DF2DC9" w:rsidRPr="00DF2DC9" w:rsidRDefault="00DF2DC9" w:rsidP="00DF2DC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DF2DC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w:t>
      </w:r>
      <w:r w:rsidR="00102545">
        <w:rPr>
          <w:rFonts w:ascii="Arial" w:eastAsia="Times New Roman" w:hAnsi="Arial" w:cs="Arial"/>
          <w:color w:val="FF0000"/>
          <w:spacing w:val="-4"/>
          <w:sz w:val="18"/>
          <w:szCs w:val="18"/>
          <w:lang w:val="es-419" w:eastAsia="fr-FR"/>
        </w:rPr>
        <w:t xml:space="preserve"> </w:t>
      </w:r>
      <w:r w:rsidRPr="00DF2DC9">
        <w:rPr>
          <w:rFonts w:ascii="Arial" w:eastAsia="Times New Roman" w:hAnsi="Arial" w:cs="Arial"/>
          <w:color w:val="FF0000"/>
          <w:spacing w:val="-4"/>
          <w:sz w:val="18"/>
          <w:szCs w:val="18"/>
          <w:lang w:val="es-419" w:eastAsia="fr-FR"/>
        </w:rPr>
        <w:t>El contenido total y fiel de la decisión debe ser verificado en la respectiva Secretaría.</w:t>
      </w:r>
    </w:p>
    <w:p w14:paraId="4999CD5A" w14:textId="77777777" w:rsidR="00DF2DC9" w:rsidRPr="00DF2DC9" w:rsidRDefault="00DF2DC9" w:rsidP="00DF2DC9">
      <w:pPr>
        <w:spacing w:after="0" w:line="240" w:lineRule="auto"/>
        <w:jc w:val="both"/>
        <w:rPr>
          <w:rFonts w:ascii="Arial" w:eastAsia="Times New Roman" w:hAnsi="Arial" w:cs="Arial"/>
          <w:sz w:val="20"/>
          <w:szCs w:val="20"/>
          <w:lang w:val="es-419" w:eastAsia="es-ES"/>
        </w:rPr>
      </w:pPr>
    </w:p>
    <w:p w14:paraId="32008D43" w14:textId="1474B39A" w:rsidR="00DF2DC9" w:rsidRPr="00DF2DC9" w:rsidRDefault="00DF2DC9" w:rsidP="00DF2DC9">
      <w:pPr>
        <w:spacing w:after="0" w:line="240" w:lineRule="auto"/>
        <w:jc w:val="both"/>
        <w:rPr>
          <w:rFonts w:ascii="Arial" w:eastAsia="Times New Roman" w:hAnsi="Arial" w:cs="Arial"/>
          <w:sz w:val="20"/>
          <w:szCs w:val="20"/>
          <w:lang w:val="es-419" w:eastAsia="es-ES"/>
        </w:rPr>
      </w:pPr>
      <w:r w:rsidRPr="00DF2DC9">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DC9">
        <w:rPr>
          <w:rFonts w:ascii="Arial" w:eastAsia="Times New Roman" w:hAnsi="Arial" w:cs="Arial"/>
          <w:sz w:val="20"/>
          <w:szCs w:val="20"/>
          <w:lang w:val="es-419" w:eastAsia="es-ES"/>
        </w:rPr>
        <w:t>66001310500120210031501</w:t>
      </w:r>
    </w:p>
    <w:p w14:paraId="5A3810BD" w14:textId="26DD1996" w:rsidR="00DF2DC9" w:rsidRPr="00DF2DC9" w:rsidRDefault="00DF2DC9" w:rsidP="00DF2DC9">
      <w:pPr>
        <w:spacing w:after="0" w:line="240" w:lineRule="auto"/>
        <w:jc w:val="both"/>
        <w:rPr>
          <w:rFonts w:ascii="Arial" w:eastAsia="Times New Roman" w:hAnsi="Arial" w:cs="Arial"/>
          <w:sz w:val="20"/>
          <w:szCs w:val="20"/>
          <w:lang w:val="es-419" w:eastAsia="es-ES"/>
        </w:rPr>
      </w:pPr>
      <w:r w:rsidRPr="00DF2DC9">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DC9">
        <w:rPr>
          <w:rFonts w:ascii="Arial" w:eastAsia="Times New Roman" w:hAnsi="Arial" w:cs="Arial"/>
          <w:sz w:val="20"/>
          <w:szCs w:val="20"/>
          <w:lang w:val="es-419" w:eastAsia="es-ES"/>
        </w:rPr>
        <w:t>Acción de tutela</w:t>
      </w:r>
    </w:p>
    <w:p w14:paraId="33E714DA" w14:textId="3FB8F029" w:rsidR="00DF2DC9" w:rsidRPr="00DF2DC9" w:rsidRDefault="00DF2DC9" w:rsidP="00DF2DC9">
      <w:pPr>
        <w:spacing w:after="0" w:line="240" w:lineRule="auto"/>
        <w:jc w:val="both"/>
        <w:rPr>
          <w:rFonts w:ascii="Arial" w:eastAsia="Times New Roman" w:hAnsi="Arial" w:cs="Arial"/>
          <w:sz w:val="20"/>
          <w:szCs w:val="20"/>
          <w:lang w:val="es-419" w:eastAsia="es-ES"/>
        </w:rPr>
      </w:pPr>
      <w:r w:rsidRPr="00DF2DC9">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DC9">
        <w:rPr>
          <w:rFonts w:ascii="Arial" w:eastAsia="Times New Roman" w:hAnsi="Arial" w:cs="Arial"/>
          <w:sz w:val="20"/>
          <w:szCs w:val="20"/>
          <w:lang w:val="es-419" w:eastAsia="es-ES"/>
        </w:rPr>
        <w:t>Melissa Álvarez Puerta</w:t>
      </w:r>
    </w:p>
    <w:p w14:paraId="4317C224" w14:textId="58AD962A" w:rsidR="00DF2DC9" w:rsidRPr="00DF2DC9" w:rsidRDefault="00DF2DC9" w:rsidP="00DF2DC9">
      <w:pPr>
        <w:spacing w:after="0" w:line="240" w:lineRule="auto"/>
        <w:jc w:val="both"/>
        <w:rPr>
          <w:rFonts w:ascii="Arial" w:eastAsia="Times New Roman" w:hAnsi="Arial" w:cs="Arial"/>
          <w:sz w:val="20"/>
          <w:szCs w:val="20"/>
          <w:lang w:val="es-419" w:eastAsia="es-ES"/>
        </w:rPr>
      </w:pPr>
      <w:r w:rsidRPr="00DF2DC9">
        <w:rPr>
          <w:rFonts w:ascii="Arial" w:eastAsia="Times New Roman" w:hAnsi="Arial" w:cs="Arial"/>
          <w:sz w:val="20"/>
          <w:szCs w:val="20"/>
          <w:lang w:val="es-419" w:eastAsia="es-ES"/>
        </w:rPr>
        <w:t>Accionado: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DF2DC9">
        <w:rPr>
          <w:rFonts w:ascii="Arial" w:eastAsia="Times New Roman" w:hAnsi="Arial" w:cs="Arial"/>
          <w:sz w:val="20"/>
          <w:szCs w:val="20"/>
          <w:lang w:val="es-419" w:eastAsia="es-ES"/>
        </w:rPr>
        <w:t xml:space="preserve">Ministerio de Salud </w:t>
      </w:r>
    </w:p>
    <w:p w14:paraId="2C67C3FF" w14:textId="7A32ABC2" w:rsidR="00DF2DC9" w:rsidRPr="00DF2DC9" w:rsidRDefault="00DF2DC9" w:rsidP="00DF2DC9">
      <w:pPr>
        <w:spacing w:after="0" w:line="240" w:lineRule="auto"/>
        <w:jc w:val="both"/>
        <w:rPr>
          <w:rFonts w:ascii="Arial" w:eastAsia="Times New Roman" w:hAnsi="Arial" w:cs="Arial"/>
          <w:sz w:val="20"/>
          <w:szCs w:val="20"/>
          <w:lang w:val="es-419" w:eastAsia="es-ES"/>
        </w:rPr>
      </w:pPr>
      <w:r w:rsidRPr="00DF2DC9">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DF2DC9">
        <w:rPr>
          <w:rFonts w:ascii="Arial" w:eastAsia="Times New Roman" w:hAnsi="Arial" w:cs="Arial"/>
          <w:sz w:val="20"/>
          <w:szCs w:val="20"/>
          <w:lang w:val="es-419" w:eastAsia="es-ES"/>
        </w:rPr>
        <w:t>Juzgado Primero Laboral de Circuito de Pereira</w:t>
      </w:r>
    </w:p>
    <w:p w14:paraId="23D6E05C" w14:textId="77777777" w:rsidR="00DF2DC9" w:rsidRPr="00DF2DC9" w:rsidRDefault="00DF2DC9" w:rsidP="00DF2DC9">
      <w:pPr>
        <w:spacing w:after="0" w:line="240" w:lineRule="auto"/>
        <w:jc w:val="both"/>
        <w:rPr>
          <w:rFonts w:ascii="Arial" w:eastAsia="Times New Roman" w:hAnsi="Arial" w:cs="Arial"/>
          <w:sz w:val="20"/>
          <w:szCs w:val="20"/>
          <w:lang w:val="es-419" w:eastAsia="es-ES"/>
        </w:rPr>
      </w:pPr>
    </w:p>
    <w:p w14:paraId="0569F148" w14:textId="6B7AD8D9" w:rsidR="00DF2DC9" w:rsidRPr="00DF2DC9" w:rsidRDefault="00DF2DC9" w:rsidP="00DF2DC9">
      <w:pPr>
        <w:spacing w:after="0" w:line="240" w:lineRule="auto"/>
        <w:jc w:val="both"/>
        <w:rPr>
          <w:rFonts w:ascii="Arial" w:eastAsia="Times New Roman" w:hAnsi="Arial" w:cs="Arial"/>
          <w:b/>
          <w:bCs/>
          <w:iCs/>
          <w:sz w:val="20"/>
          <w:szCs w:val="20"/>
          <w:lang w:val="es-419" w:eastAsia="fr-FR"/>
        </w:rPr>
      </w:pPr>
      <w:r w:rsidRPr="00DF2DC9">
        <w:rPr>
          <w:rFonts w:ascii="Arial" w:eastAsia="Times New Roman" w:hAnsi="Arial" w:cs="Arial"/>
          <w:b/>
          <w:bCs/>
          <w:iCs/>
          <w:sz w:val="20"/>
          <w:szCs w:val="20"/>
          <w:u w:val="single"/>
          <w:lang w:val="es-419" w:eastAsia="fr-FR"/>
        </w:rPr>
        <w:t>TEMAS:</w:t>
      </w:r>
      <w:r w:rsidRPr="00DF2DC9">
        <w:rPr>
          <w:rFonts w:ascii="Arial" w:eastAsia="Times New Roman" w:hAnsi="Arial" w:cs="Arial"/>
          <w:b/>
          <w:bCs/>
          <w:iCs/>
          <w:sz w:val="20"/>
          <w:szCs w:val="20"/>
          <w:lang w:val="es-419" w:eastAsia="fr-FR"/>
        </w:rPr>
        <w:tab/>
      </w:r>
      <w:r w:rsidR="007C0973">
        <w:rPr>
          <w:rFonts w:ascii="Arial" w:eastAsia="Times New Roman" w:hAnsi="Arial" w:cs="Arial"/>
          <w:b/>
          <w:bCs/>
          <w:iCs/>
          <w:sz w:val="20"/>
          <w:szCs w:val="20"/>
          <w:lang w:val="es-419" w:eastAsia="fr-FR"/>
        </w:rPr>
        <w:t xml:space="preserve">DERECHO A LA SALUD / MENORES DE EDAD / CARÁCTER PREVALENTE / </w:t>
      </w:r>
      <w:r w:rsidR="001118B9">
        <w:rPr>
          <w:rFonts w:ascii="Arial" w:eastAsia="Times New Roman" w:hAnsi="Arial" w:cs="Arial"/>
          <w:b/>
          <w:bCs/>
          <w:iCs/>
          <w:sz w:val="20"/>
          <w:szCs w:val="20"/>
          <w:lang w:val="es-419" w:eastAsia="fr-FR"/>
        </w:rPr>
        <w:t xml:space="preserve">VACUNA COVID-19 / TÉRMINO PARA APLICACIÓN SEGUNDA DOSIS / ENTRE 21 Y 84 DÍAS / NO EXISTE EVIDENCIA CIENTÍFICA DE PÉRDIDA DE EFECTO SI SE </w:t>
      </w:r>
      <w:r w:rsidR="008D09BB">
        <w:rPr>
          <w:rFonts w:ascii="Arial" w:eastAsia="Times New Roman" w:hAnsi="Arial" w:cs="Arial"/>
          <w:b/>
          <w:bCs/>
          <w:iCs/>
          <w:sz w:val="20"/>
          <w:szCs w:val="20"/>
          <w:lang w:val="es-419" w:eastAsia="fr-FR"/>
        </w:rPr>
        <w:t>ACOGE TÉRMINO MAYOR.</w:t>
      </w:r>
    </w:p>
    <w:p w14:paraId="4C5A120D" w14:textId="77777777" w:rsidR="00DF2DC9" w:rsidRPr="00DF2DC9" w:rsidRDefault="00DF2DC9" w:rsidP="00DF2DC9">
      <w:pPr>
        <w:spacing w:after="0" w:line="240" w:lineRule="auto"/>
        <w:jc w:val="both"/>
        <w:rPr>
          <w:rFonts w:ascii="Arial" w:eastAsia="Times New Roman" w:hAnsi="Arial" w:cs="Arial"/>
          <w:sz w:val="20"/>
          <w:szCs w:val="20"/>
          <w:lang w:val="es-419" w:eastAsia="es-ES"/>
        </w:rPr>
      </w:pPr>
    </w:p>
    <w:p w14:paraId="13550F2C" w14:textId="78236A54" w:rsidR="007C040E" w:rsidRPr="007C040E" w:rsidRDefault="007C040E" w:rsidP="007C040E">
      <w:pPr>
        <w:spacing w:after="0" w:line="240" w:lineRule="auto"/>
        <w:jc w:val="both"/>
        <w:rPr>
          <w:rFonts w:ascii="Arial" w:eastAsia="Times New Roman" w:hAnsi="Arial" w:cs="Arial"/>
          <w:sz w:val="20"/>
          <w:szCs w:val="20"/>
          <w:lang w:val="es-419" w:eastAsia="es-ES"/>
        </w:rPr>
      </w:pPr>
      <w:r w:rsidRPr="007C040E">
        <w:rPr>
          <w:rFonts w:ascii="Arial" w:eastAsia="Times New Roman" w:hAnsi="Arial" w:cs="Arial"/>
          <w:sz w:val="20"/>
          <w:szCs w:val="20"/>
          <w:lang w:val="es-419" w:eastAsia="es-ES"/>
        </w:rPr>
        <w:t>En la Sentencia T-036 del 15 de enero de 2013</w:t>
      </w:r>
      <w:r w:rsidR="007C0973">
        <w:rPr>
          <w:rFonts w:ascii="Arial" w:eastAsia="Times New Roman" w:hAnsi="Arial" w:cs="Arial"/>
          <w:sz w:val="20"/>
          <w:szCs w:val="20"/>
          <w:lang w:val="es-419" w:eastAsia="es-ES"/>
        </w:rPr>
        <w:t>…</w:t>
      </w:r>
      <w:r w:rsidRPr="007C040E">
        <w:rPr>
          <w:rFonts w:ascii="Arial" w:eastAsia="Times New Roman" w:hAnsi="Arial" w:cs="Arial"/>
          <w:sz w:val="20"/>
          <w:szCs w:val="20"/>
          <w:lang w:val="es-419" w:eastAsia="es-ES"/>
        </w:rPr>
        <w:t xml:space="preserve"> la Corte Constitucional señaló lo siguiente: </w:t>
      </w:r>
    </w:p>
    <w:p w14:paraId="4133D17E" w14:textId="77777777" w:rsidR="007C040E" w:rsidRPr="007C040E" w:rsidRDefault="007C040E" w:rsidP="007C040E">
      <w:pPr>
        <w:spacing w:after="0" w:line="240" w:lineRule="auto"/>
        <w:jc w:val="both"/>
        <w:rPr>
          <w:rFonts w:ascii="Arial" w:eastAsia="Times New Roman" w:hAnsi="Arial" w:cs="Arial"/>
          <w:sz w:val="20"/>
          <w:szCs w:val="20"/>
          <w:lang w:val="es-419" w:eastAsia="es-ES"/>
        </w:rPr>
      </w:pPr>
      <w:r w:rsidRPr="007C040E">
        <w:rPr>
          <w:rFonts w:ascii="Arial" w:eastAsia="Times New Roman" w:hAnsi="Arial" w:cs="Arial"/>
          <w:sz w:val="20"/>
          <w:szCs w:val="20"/>
          <w:lang w:val="es-419" w:eastAsia="es-ES"/>
        </w:rPr>
        <w:tab/>
      </w:r>
    </w:p>
    <w:p w14:paraId="36734DB9" w14:textId="202B05A2" w:rsidR="00DF2DC9" w:rsidRPr="00DF2DC9" w:rsidRDefault="007C040E" w:rsidP="007C040E">
      <w:pPr>
        <w:spacing w:after="0" w:line="240" w:lineRule="auto"/>
        <w:jc w:val="both"/>
        <w:rPr>
          <w:rFonts w:ascii="Arial" w:eastAsia="Times New Roman" w:hAnsi="Arial" w:cs="Arial"/>
          <w:sz w:val="20"/>
          <w:szCs w:val="20"/>
          <w:lang w:val="es-419" w:eastAsia="es-ES"/>
        </w:rPr>
      </w:pPr>
      <w:r w:rsidRPr="007C040E">
        <w:rPr>
          <w:rFonts w:ascii="Arial" w:eastAsia="Times New Roman" w:hAnsi="Arial" w:cs="Arial"/>
          <w:sz w:val="20"/>
          <w:szCs w:val="20"/>
          <w:lang w:val="es-419" w:eastAsia="es-ES"/>
        </w:rPr>
        <w:t>“La Corte Constitucional ha establecido que los niños y las niñas son sujetos de especial protección, explicando que su condición de debilidad no es una razón para restringir la capacidad de ejercer sus derechos sino para protegerlos, de forma tal que se promueva su dignidad. También ha afirmado que sus derechos, entre ellos la salud, tienen un carácter prevalente en caso de que se presenten conflictos con otros intereses</w:t>
      </w:r>
      <w:r w:rsidR="007C0973">
        <w:rPr>
          <w:rFonts w:ascii="Arial" w:eastAsia="Times New Roman" w:hAnsi="Arial" w:cs="Arial"/>
          <w:sz w:val="20"/>
          <w:szCs w:val="20"/>
          <w:lang w:val="es-419" w:eastAsia="es-ES"/>
        </w:rPr>
        <w:t>…”</w:t>
      </w:r>
    </w:p>
    <w:p w14:paraId="00797340" w14:textId="77777777" w:rsidR="00DF2DC9" w:rsidRPr="00DF2DC9" w:rsidRDefault="00DF2DC9" w:rsidP="00DF2DC9">
      <w:pPr>
        <w:spacing w:after="0" w:line="240" w:lineRule="auto"/>
        <w:jc w:val="both"/>
        <w:rPr>
          <w:rFonts w:ascii="Arial" w:eastAsia="Times New Roman" w:hAnsi="Arial" w:cs="Arial"/>
          <w:sz w:val="20"/>
          <w:szCs w:val="20"/>
          <w:lang w:val="es-419" w:eastAsia="es-ES"/>
        </w:rPr>
      </w:pPr>
    </w:p>
    <w:p w14:paraId="0B514CE7" w14:textId="77777777" w:rsidR="005B0DC1" w:rsidRPr="005B0DC1" w:rsidRDefault="005B0DC1" w:rsidP="005B0DC1">
      <w:pPr>
        <w:spacing w:after="0" w:line="240" w:lineRule="auto"/>
        <w:jc w:val="both"/>
        <w:rPr>
          <w:rFonts w:ascii="Arial" w:eastAsia="Times New Roman" w:hAnsi="Arial" w:cs="Arial"/>
          <w:sz w:val="20"/>
          <w:szCs w:val="20"/>
          <w:lang w:val="es-419" w:eastAsia="es-ES"/>
        </w:rPr>
      </w:pPr>
      <w:r w:rsidRPr="005B0DC1">
        <w:rPr>
          <w:rFonts w:ascii="Arial" w:eastAsia="Times New Roman" w:hAnsi="Arial" w:cs="Arial"/>
          <w:sz w:val="20"/>
          <w:szCs w:val="20"/>
          <w:lang w:val="es-419" w:eastAsia="es-ES"/>
        </w:rPr>
        <w:t>Teniendo en cuenta que el meollo de este asunto está relacionado específicamente con la aplicación de la vacuna PFIZER (medicamento de síntesis química y biológico destinados la prevención de la Covid 19), conviene traer a colación las normas pertinentes que regulan la autorización para su uso y dosis, así:</w:t>
      </w:r>
    </w:p>
    <w:p w14:paraId="48FFEAB2" w14:textId="77777777" w:rsidR="005B0DC1" w:rsidRPr="005B0DC1" w:rsidRDefault="005B0DC1" w:rsidP="005B0DC1">
      <w:pPr>
        <w:spacing w:after="0" w:line="240" w:lineRule="auto"/>
        <w:jc w:val="both"/>
        <w:rPr>
          <w:rFonts w:ascii="Arial" w:eastAsia="Times New Roman" w:hAnsi="Arial" w:cs="Arial"/>
          <w:sz w:val="20"/>
          <w:szCs w:val="20"/>
          <w:lang w:val="es-419" w:eastAsia="es-ES"/>
        </w:rPr>
      </w:pPr>
    </w:p>
    <w:p w14:paraId="1CDB9205" w14:textId="77777777" w:rsidR="005B0DC1" w:rsidRPr="005B0DC1" w:rsidRDefault="005B0DC1" w:rsidP="005B0DC1">
      <w:pPr>
        <w:spacing w:after="0" w:line="240" w:lineRule="auto"/>
        <w:jc w:val="both"/>
        <w:rPr>
          <w:rFonts w:ascii="Arial" w:eastAsia="Times New Roman" w:hAnsi="Arial" w:cs="Arial"/>
          <w:sz w:val="20"/>
          <w:szCs w:val="20"/>
          <w:lang w:val="es-419" w:eastAsia="es-ES"/>
        </w:rPr>
      </w:pPr>
      <w:r w:rsidRPr="005B0DC1">
        <w:rPr>
          <w:rFonts w:ascii="Arial" w:eastAsia="Times New Roman" w:hAnsi="Arial" w:cs="Arial"/>
          <w:sz w:val="20"/>
          <w:szCs w:val="20"/>
          <w:lang w:val="es-419" w:eastAsia="es-ES"/>
        </w:rPr>
        <w:t>Decreto 1787 de 2020</w:t>
      </w:r>
    </w:p>
    <w:p w14:paraId="2E7D9E1D" w14:textId="77777777" w:rsidR="005B0DC1" w:rsidRPr="005B0DC1" w:rsidRDefault="005B0DC1" w:rsidP="005B0DC1">
      <w:pPr>
        <w:spacing w:after="0" w:line="240" w:lineRule="auto"/>
        <w:jc w:val="both"/>
        <w:rPr>
          <w:rFonts w:ascii="Arial" w:eastAsia="Times New Roman" w:hAnsi="Arial" w:cs="Arial"/>
          <w:sz w:val="20"/>
          <w:szCs w:val="20"/>
          <w:lang w:val="es-419" w:eastAsia="es-ES"/>
        </w:rPr>
      </w:pPr>
    </w:p>
    <w:p w14:paraId="4E4704D6" w14:textId="36DD2789" w:rsidR="00DF2DC9" w:rsidRPr="00DF2DC9" w:rsidRDefault="005B0DC1" w:rsidP="005B0DC1">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5B0DC1">
        <w:rPr>
          <w:rFonts w:ascii="Arial" w:eastAsia="Times New Roman" w:hAnsi="Arial" w:cs="Arial"/>
          <w:sz w:val="20"/>
          <w:szCs w:val="20"/>
          <w:lang w:val="es-419" w:eastAsia="es-ES"/>
        </w:rPr>
        <w:t>Por el cual se establecen las condiciones sanitarias para el trámite y otorgamiento de la Autorización Sanitaria de Uso de Emergencia -ASUE para medicamentos de síntesis química y biológicos destinados al diagnóstico, la prevención y tratamiento de la Covid 19 en vigencia de la emergencia sanitaria</w:t>
      </w:r>
      <w:r>
        <w:rPr>
          <w:rFonts w:ascii="Arial" w:eastAsia="Times New Roman" w:hAnsi="Arial" w:cs="Arial"/>
          <w:sz w:val="20"/>
          <w:szCs w:val="20"/>
          <w:lang w:val="es-419" w:eastAsia="es-ES"/>
        </w:rPr>
        <w:t>…”</w:t>
      </w:r>
    </w:p>
    <w:p w14:paraId="1591747E" w14:textId="77777777" w:rsidR="00DF2DC9" w:rsidRPr="00DF2DC9" w:rsidRDefault="00DF2DC9" w:rsidP="00DF2DC9">
      <w:pPr>
        <w:spacing w:after="0" w:line="240" w:lineRule="auto"/>
        <w:jc w:val="both"/>
        <w:rPr>
          <w:rFonts w:ascii="Arial" w:eastAsia="Times New Roman" w:hAnsi="Arial" w:cs="Arial"/>
          <w:sz w:val="20"/>
          <w:szCs w:val="20"/>
          <w:lang w:val="es-419" w:eastAsia="es-ES"/>
        </w:rPr>
      </w:pPr>
    </w:p>
    <w:p w14:paraId="082EB030" w14:textId="7CB62A6A" w:rsidR="00DF2DC9" w:rsidRDefault="00613F46" w:rsidP="00DF2DC9">
      <w:pPr>
        <w:spacing w:after="0" w:line="240" w:lineRule="auto"/>
        <w:jc w:val="both"/>
        <w:rPr>
          <w:rFonts w:ascii="Arial" w:eastAsia="Times New Roman" w:hAnsi="Arial" w:cs="Arial"/>
          <w:sz w:val="20"/>
          <w:szCs w:val="20"/>
          <w:lang w:val="es-419" w:eastAsia="es-ES"/>
        </w:rPr>
      </w:pPr>
      <w:r w:rsidRPr="00613F46">
        <w:rPr>
          <w:rFonts w:ascii="Arial" w:eastAsia="Times New Roman" w:hAnsi="Arial" w:cs="Arial"/>
          <w:sz w:val="20"/>
          <w:szCs w:val="20"/>
          <w:lang w:val="es-419" w:eastAsia="es-ES"/>
        </w:rPr>
        <w:t>La jueza de primera instancia denegó el amparo por improcedente bajo el argumento de que el Ministerio de Salud y Protección Social, expidió la Resolución 1151 de 2021, acto administrativo que modifica parcialmente la Resolución 430 de 2021, “Por la cual se actualizan los lineamientos técnicos y operativos para la vacunación contra el COVID-19 y se dictan otras disposiciones”, particularmente los criterios establecidos en el anexo 6 “Anexo Técnico para la Aplicación de la Vacuna BNT162B2 PFIZER-BIONTECH CONTRA EL COVID-19”, estableciendo la ampliación del término y la aplicación de la segunda dosis de la mencionada vacuna, a los 84 días, para la población de 12 a 49 años de edad sin comorbilidades y, de 21 días para el mismo grupo etario que presenta comorbilidades</w:t>
      </w:r>
      <w:r>
        <w:rPr>
          <w:rFonts w:ascii="Arial" w:eastAsia="Times New Roman" w:hAnsi="Arial" w:cs="Arial"/>
          <w:sz w:val="20"/>
          <w:szCs w:val="20"/>
          <w:lang w:val="es-419" w:eastAsia="es-ES"/>
        </w:rPr>
        <w:t>…</w:t>
      </w:r>
    </w:p>
    <w:p w14:paraId="73861D84" w14:textId="77777777" w:rsidR="00613F46" w:rsidRPr="00DF2DC9" w:rsidRDefault="00613F46" w:rsidP="00DF2DC9">
      <w:pPr>
        <w:spacing w:after="0" w:line="240" w:lineRule="auto"/>
        <w:jc w:val="both"/>
        <w:rPr>
          <w:rFonts w:ascii="Arial" w:eastAsia="Times New Roman" w:hAnsi="Arial" w:cs="Arial"/>
          <w:sz w:val="20"/>
          <w:szCs w:val="20"/>
          <w:lang w:val="es-419" w:eastAsia="es-ES"/>
        </w:rPr>
      </w:pPr>
    </w:p>
    <w:p w14:paraId="0229CD93" w14:textId="749C953D" w:rsidR="00DF2DC9" w:rsidRPr="00DF2DC9" w:rsidRDefault="001118B9" w:rsidP="00DF2DC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C24C51">
        <w:rPr>
          <w:rFonts w:ascii="Arial" w:eastAsia="Times New Roman" w:hAnsi="Arial" w:cs="Arial"/>
          <w:sz w:val="20"/>
          <w:szCs w:val="20"/>
          <w:lang w:val="es-ES" w:eastAsia="es-ES"/>
        </w:rPr>
        <w:t>i</w:t>
      </w:r>
      <w:bookmarkStart w:id="1" w:name="_GoBack"/>
      <w:bookmarkEnd w:id="1"/>
      <w:r w:rsidRPr="001118B9">
        <w:rPr>
          <w:rFonts w:ascii="Arial" w:eastAsia="Times New Roman" w:hAnsi="Arial" w:cs="Arial"/>
          <w:sz w:val="20"/>
          <w:szCs w:val="20"/>
          <w:lang w:val="es-ES" w:eastAsia="es-ES"/>
        </w:rPr>
        <w:t xml:space="preserve">mpugnación de la parte actora no se centró en la ratio </w:t>
      </w:r>
      <w:proofErr w:type="spellStart"/>
      <w:r w:rsidRPr="001118B9">
        <w:rPr>
          <w:rFonts w:ascii="Arial" w:eastAsia="Times New Roman" w:hAnsi="Arial" w:cs="Arial"/>
          <w:sz w:val="20"/>
          <w:szCs w:val="20"/>
          <w:lang w:val="es-ES" w:eastAsia="es-ES"/>
        </w:rPr>
        <w:t>decidendi</w:t>
      </w:r>
      <w:proofErr w:type="spellEnd"/>
      <w:r w:rsidRPr="001118B9">
        <w:rPr>
          <w:rFonts w:ascii="Arial" w:eastAsia="Times New Roman" w:hAnsi="Arial" w:cs="Arial"/>
          <w:sz w:val="20"/>
          <w:szCs w:val="20"/>
          <w:lang w:val="es-ES" w:eastAsia="es-ES"/>
        </w:rPr>
        <w:t xml:space="preserve"> de la sentencia cuestionada sino en la preocupación de que la primera dosis del biológico Pfizer pierda su eficacia por la demora en la aplicación de la segunda dosis, lo que pondría a la menor en un mayor riesgo de contagio de la covid-19, pero esta Sala no encuentra evidencia científica que permita sustentar tal cosa, ni tampoco existe prueba de que el Ministerio de Salud y de la Protección Social contradiga las recomendaciones del fabricante sobre los intervalos de aplicación del biológico PFIZER</w:t>
      </w:r>
      <w:r>
        <w:rPr>
          <w:rFonts w:ascii="Arial" w:eastAsia="Times New Roman" w:hAnsi="Arial" w:cs="Arial"/>
          <w:sz w:val="20"/>
          <w:szCs w:val="20"/>
          <w:lang w:val="es-ES" w:eastAsia="es-ES"/>
        </w:rPr>
        <w:t>…</w:t>
      </w:r>
    </w:p>
    <w:p w14:paraId="18C0335B" w14:textId="77777777" w:rsidR="00DF2DC9" w:rsidRPr="00DF2DC9" w:rsidRDefault="00DF2DC9" w:rsidP="00DF2DC9">
      <w:pPr>
        <w:spacing w:after="0" w:line="240" w:lineRule="auto"/>
        <w:jc w:val="both"/>
        <w:rPr>
          <w:rFonts w:ascii="Arial" w:eastAsia="Times New Roman" w:hAnsi="Arial" w:cs="Arial"/>
          <w:sz w:val="20"/>
          <w:szCs w:val="20"/>
          <w:lang w:val="es-ES" w:eastAsia="es-ES"/>
        </w:rPr>
      </w:pPr>
    </w:p>
    <w:p w14:paraId="207EF152" w14:textId="77777777" w:rsidR="00DF2DC9" w:rsidRPr="00DF2DC9" w:rsidRDefault="00DF2DC9" w:rsidP="00DF2DC9">
      <w:pPr>
        <w:spacing w:after="0" w:line="240" w:lineRule="auto"/>
        <w:jc w:val="both"/>
        <w:rPr>
          <w:rFonts w:ascii="Arial" w:eastAsia="Times New Roman" w:hAnsi="Arial" w:cs="Arial"/>
          <w:sz w:val="20"/>
          <w:szCs w:val="20"/>
          <w:lang w:val="es-ES" w:eastAsia="es-ES"/>
        </w:rPr>
      </w:pPr>
    </w:p>
    <w:bookmarkEnd w:id="0"/>
    <w:p w14:paraId="40FC974D" w14:textId="77777777" w:rsidR="00DF2DC9" w:rsidRPr="00DF2DC9" w:rsidRDefault="00DF2DC9" w:rsidP="00DF2DC9">
      <w:pPr>
        <w:spacing w:after="0" w:line="240" w:lineRule="auto"/>
        <w:jc w:val="both"/>
        <w:rPr>
          <w:rFonts w:ascii="Arial" w:eastAsia="Times New Roman" w:hAnsi="Arial" w:cs="Arial"/>
          <w:sz w:val="20"/>
          <w:szCs w:val="20"/>
          <w:lang w:val="es-ES" w:eastAsia="es-ES"/>
        </w:rPr>
      </w:pPr>
    </w:p>
    <w:p w14:paraId="20A71FC4" w14:textId="554C9D34" w:rsidR="006C0AD5" w:rsidRPr="00DF2DC9" w:rsidRDefault="006C0AD5" w:rsidP="0041414C">
      <w:pPr>
        <w:spacing w:after="0" w:line="276" w:lineRule="auto"/>
        <w:jc w:val="center"/>
        <w:rPr>
          <w:rFonts w:ascii="Tahoma" w:hAnsi="Tahoma" w:cs="Tahoma"/>
          <w:b/>
          <w:bCs/>
          <w:sz w:val="24"/>
          <w:szCs w:val="24"/>
          <w:lang w:val="es-419"/>
        </w:rPr>
      </w:pPr>
      <w:r w:rsidRPr="00DF2DC9">
        <w:rPr>
          <w:rFonts w:ascii="Tahoma" w:hAnsi="Tahoma" w:cs="Tahoma"/>
          <w:b/>
          <w:bCs/>
          <w:sz w:val="24"/>
          <w:szCs w:val="24"/>
          <w:lang w:val="es-419"/>
        </w:rPr>
        <w:t>TRIBUNAL SUPERIOR DEL DISTRITO JUDICIAL DE PEREIRA</w:t>
      </w:r>
    </w:p>
    <w:p w14:paraId="7737BA64" w14:textId="74CB761D" w:rsidR="006C0AD5" w:rsidRPr="00DF2DC9" w:rsidRDefault="006C0AD5" w:rsidP="0041414C">
      <w:pPr>
        <w:tabs>
          <w:tab w:val="center" w:pos="5057"/>
          <w:tab w:val="left" w:pos="8235"/>
        </w:tabs>
        <w:spacing w:after="0" w:line="276" w:lineRule="auto"/>
        <w:jc w:val="center"/>
        <w:rPr>
          <w:rFonts w:ascii="Tahoma" w:hAnsi="Tahoma" w:cs="Tahoma"/>
          <w:b/>
          <w:bCs/>
          <w:sz w:val="24"/>
          <w:szCs w:val="24"/>
          <w:lang w:val="es-419"/>
        </w:rPr>
      </w:pPr>
      <w:r w:rsidRPr="00DF2DC9">
        <w:rPr>
          <w:rFonts w:ascii="Tahoma" w:hAnsi="Tahoma" w:cs="Tahoma"/>
          <w:b/>
          <w:bCs/>
          <w:sz w:val="24"/>
          <w:szCs w:val="24"/>
          <w:lang w:val="es-419"/>
        </w:rPr>
        <w:t>SALA DE DECISIÓN LABORAL No. 1</w:t>
      </w:r>
    </w:p>
    <w:p w14:paraId="4CAC6332" w14:textId="0C6644F8" w:rsidR="006C0AD5" w:rsidRPr="00DF2DC9" w:rsidRDefault="006C0AD5" w:rsidP="00DF2DC9">
      <w:pPr>
        <w:spacing w:after="0" w:line="276" w:lineRule="auto"/>
        <w:ind w:firstLine="709"/>
        <w:jc w:val="center"/>
        <w:rPr>
          <w:rFonts w:ascii="Tahoma" w:hAnsi="Tahoma" w:cs="Tahoma"/>
          <w:b/>
          <w:bCs/>
          <w:sz w:val="24"/>
          <w:szCs w:val="24"/>
          <w:lang w:val="es-419"/>
        </w:rPr>
      </w:pPr>
    </w:p>
    <w:p w14:paraId="4A70935E" w14:textId="1A710711" w:rsidR="006C0AD5" w:rsidRPr="00DF2DC9" w:rsidRDefault="006C0AD5" w:rsidP="0041414C">
      <w:pPr>
        <w:spacing w:after="0" w:line="276" w:lineRule="auto"/>
        <w:jc w:val="center"/>
        <w:rPr>
          <w:rFonts w:ascii="Tahoma" w:hAnsi="Tahoma" w:cs="Tahoma"/>
          <w:b/>
          <w:bCs/>
          <w:sz w:val="24"/>
          <w:szCs w:val="24"/>
          <w:lang w:val="es-419"/>
        </w:rPr>
      </w:pPr>
      <w:r w:rsidRPr="00DF2DC9">
        <w:rPr>
          <w:rFonts w:ascii="Tahoma" w:hAnsi="Tahoma" w:cs="Tahoma"/>
          <w:sz w:val="24"/>
          <w:szCs w:val="24"/>
          <w:lang w:val="es-419"/>
        </w:rPr>
        <w:t xml:space="preserve">Magistrada </w:t>
      </w:r>
      <w:r w:rsidR="00A260B8" w:rsidRPr="00DF2DC9">
        <w:rPr>
          <w:rFonts w:ascii="Tahoma" w:hAnsi="Tahoma" w:cs="Tahoma"/>
          <w:sz w:val="24"/>
          <w:szCs w:val="24"/>
          <w:lang w:val="es-419"/>
        </w:rPr>
        <w:t>P</w:t>
      </w:r>
      <w:r w:rsidRPr="00DF2DC9">
        <w:rPr>
          <w:rFonts w:ascii="Tahoma" w:hAnsi="Tahoma" w:cs="Tahoma"/>
          <w:sz w:val="24"/>
          <w:szCs w:val="24"/>
          <w:lang w:val="es-419"/>
        </w:rPr>
        <w:t>onente:</w:t>
      </w:r>
      <w:r w:rsidRPr="00DF2DC9">
        <w:rPr>
          <w:rFonts w:ascii="Tahoma" w:hAnsi="Tahoma" w:cs="Tahoma"/>
          <w:b/>
          <w:bCs/>
          <w:sz w:val="24"/>
          <w:szCs w:val="24"/>
          <w:lang w:val="es-419"/>
        </w:rPr>
        <w:t xml:space="preserve"> Ana Lucia Caicedo Calderón</w:t>
      </w:r>
    </w:p>
    <w:p w14:paraId="5E428122" w14:textId="77777777" w:rsidR="0041414C" w:rsidRDefault="0041414C" w:rsidP="0041414C">
      <w:pPr>
        <w:spacing w:after="0" w:line="276" w:lineRule="auto"/>
        <w:rPr>
          <w:rFonts w:ascii="Tahoma" w:hAnsi="Tahoma" w:cs="Tahoma"/>
          <w:sz w:val="24"/>
          <w:szCs w:val="24"/>
          <w:lang w:val="es-419"/>
        </w:rPr>
      </w:pPr>
    </w:p>
    <w:p w14:paraId="70F00087" w14:textId="78FB5D98" w:rsidR="006C0AD5" w:rsidRPr="00DF2DC9" w:rsidRDefault="006C0AD5" w:rsidP="0041414C">
      <w:pPr>
        <w:spacing w:after="0" w:line="276" w:lineRule="auto"/>
        <w:jc w:val="center"/>
        <w:rPr>
          <w:rFonts w:ascii="Tahoma" w:hAnsi="Tahoma" w:cs="Tahoma"/>
          <w:sz w:val="24"/>
          <w:szCs w:val="24"/>
          <w:lang w:val="es-419"/>
        </w:rPr>
      </w:pPr>
      <w:r w:rsidRPr="00DF2DC9">
        <w:rPr>
          <w:rFonts w:ascii="Tahoma" w:hAnsi="Tahoma" w:cs="Tahoma"/>
          <w:sz w:val="24"/>
          <w:szCs w:val="24"/>
          <w:lang w:val="es-419"/>
        </w:rPr>
        <w:t xml:space="preserve">Pereira, </w:t>
      </w:r>
      <w:r w:rsidR="0039575A" w:rsidRPr="00DF2DC9">
        <w:rPr>
          <w:rFonts w:ascii="Tahoma" w:hAnsi="Tahoma" w:cs="Tahoma"/>
          <w:sz w:val="24"/>
          <w:szCs w:val="24"/>
          <w:lang w:val="es-419"/>
        </w:rPr>
        <w:t>diecinueve</w:t>
      </w:r>
      <w:r w:rsidR="003C7B25" w:rsidRPr="00DF2DC9">
        <w:rPr>
          <w:rFonts w:ascii="Tahoma" w:hAnsi="Tahoma" w:cs="Tahoma"/>
          <w:sz w:val="24"/>
          <w:szCs w:val="24"/>
        </w:rPr>
        <w:t xml:space="preserve"> </w:t>
      </w:r>
      <w:r w:rsidR="006E64A3" w:rsidRPr="00DF2DC9">
        <w:rPr>
          <w:rFonts w:ascii="Tahoma" w:hAnsi="Tahoma" w:cs="Tahoma"/>
          <w:sz w:val="24"/>
          <w:szCs w:val="24"/>
        </w:rPr>
        <w:t>(</w:t>
      </w:r>
      <w:r w:rsidR="00A502B6" w:rsidRPr="00DF2DC9">
        <w:rPr>
          <w:rFonts w:ascii="Tahoma" w:hAnsi="Tahoma" w:cs="Tahoma"/>
          <w:sz w:val="24"/>
          <w:szCs w:val="24"/>
        </w:rPr>
        <w:t>1</w:t>
      </w:r>
      <w:r w:rsidR="0039575A" w:rsidRPr="00DF2DC9">
        <w:rPr>
          <w:rFonts w:ascii="Tahoma" w:hAnsi="Tahoma" w:cs="Tahoma"/>
          <w:sz w:val="24"/>
          <w:szCs w:val="24"/>
        </w:rPr>
        <w:t>9</w:t>
      </w:r>
      <w:r w:rsidR="00346A7F" w:rsidRPr="00DF2DC9">
        <w:rPr>
          <w:rFonts w:ascii="Tahoma" w:hAnsi="Tahoma" w:cs="Tahoma"/>
          <w:sz w:val="24"/>
          <w:szCs w:val="24"/>
          <w:lang w:val="es-419"/>
        </w:rPr>
        <w:t xml:space="preserve">) de </w:t>
      </w:r>
      <w:r w:rsidR="003C7B25" w:rsidRPr="00DF2DC9">
        <w:rPr>
          <w:rFonts w:ascii="Tahoma" w:hAnsi="Tahoma" w:cs="Tahoma"/>
          <w:sz w:val="24"/>
          <w:szCs w:val="24"/>
          <w:lang w:val="es-419"/>
        </w:rPr>
        <w:t>octu</w:t>
      </w:r>
      <w:r w:rsidR="00E20EC4" w:rsidRPr="00DF2DC9">
        <w:rPr>
          <w:rFonts w:ascii="Tahoma" w:hAnsi="Tahoma" w:cs="Tahoma"/>
          <w:sz w:val="24"/>
          <w:szCs w:val="24"/>
          <w:lang w:val="es-419"/>
        </w:rPr>
        <w:t xml:space="preserve">bre </w:t>
      </w:r>
      <w:r w:rsidR="00A260B8" w:rsidRPr="00DF2DC9">
        <w:rPr>
          <w:rFonts w:ascii="Tahoma" w:hAnsi="Tahoma" w:cs="Tahoma"/>
          <w:sz w:val="24"/>
          <w:szCs w:val="24"/>
          <w:lang w:val="es-419"/>
        </w:rPr>
        <w:t xml:space="preserve">de </w:t>
      </w:r>
      <w:r w:rsidRPr="00DF2DC9">
        <w:rPr>
          <w:rFonts w:ascii="Tahoma" w:hAnsi="Tahoma" w:cs="Tahoma"/>
          <w:sz w:val="24"/>
          <w:szCs w:val="24"/>
          <w:lang w:val="es-419"/>
        </w:rPr>
        <w:t>dos mil veintiuno (2021)</w:t>
      </w:r>
    </w:p>
    <w:p w14:paraId="65ADD436" w14:textId="7B5029FC" w:rsidR="006C0AD5" w:rsidRDefault="006C0AD5" w:rsidP="008D09BB">
      <w:pPr>
        <w:spacing w:after="0" w:line="276" w:lineRule="auto"/>
        <w:rPr>
          <w:rFonts w:ascii="Tahoma" w:hAnsi="Tahoma" w:cs="Tahoma"/>
          <w:sz w:val="24"/>
          <w:szCs w:val="24"/>
          <w:lang w:val="es-419"/>
        </w:rPr>
      </w:pPr>
    </w:p>
    <w:p w14:paraId="4D67980A" w14:textId="77777777" w:rsidR="008D09BB" w:rsidRPr="00DF2DC9" w:rsidRDefault="008D09BB" w:rsidP="008D09BB">
      <w:pPr>
        <w:spacing w:after="0" w:line="276" w:lineRule="auto"/>
        <w:rPr>
          <w:rFonts w:ascii="Tahoma" w:hAnsi="Tahoma" w:cs="Tahoma"/>
          <w:sz w:val="24"/>
          <w:szCs w:val="24"/>
          <w:lang w:val="es-419"/>
        </w:rPr>
      </w:pPr>
    </w:p>
    <w:p w14:paraId="380E2BF3" w14:textId="1F143917" w:rsidR="007D2B5A" w:rsidRPr="00DF2DC9" w:rsidRDefault="006C0AD5"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 xml:space="preserve">Procede la judicatura a resolver la impugnación propuesta contra la sentencia proferida el día </w:t>
      </w:r>
      <w:r w:rsidR="00204F2D" w:rsidRPr="00DF2DC9">
        <w:rPr>
          <w:rFonts w:ascii="Tahoma" w:hAnsi="Tahoma" w:cs="Tahoma"/>
          <w:sz w:val="24"/>
          <w:szCs w:val="24"/>
          <w:lang w:val="es-419"/>
        </w:rPr>
        <w:t>0</w:t>
      </w:r>
      <w:r w:rsidR="006C3FC2" w:rsidRPr="00DF2DC9">
        <w:rPr>
          <w:rFonts w:ascii="Tahoma" w:hAnsi="Tahoma" w:cs="Tahoma"/>
          <w:sz w:val="24"/>
          <w:szCs w:val="24"/>
          <w:lang w:val="es-419"/>
        </w:rPr>
        <w:t>9</w:t>
      </w:r>
      <w:r w:rsidR="007D2B5A" w:rsidRPr="00DF2DC9">
        <w:rPr>
          <w:rFonts w:ascii="Tahoma" w:hAnsi="Tahoma" w:cs="Tahoma"/>
          <w:sz w:val="24"/>
          <w:szCs w:val="24"/>
          <w:lang w:val="es-419"/>
        </w:rPr>
        <w:t xml:space="preserve"> de </w:t>
      </w:r>
      <w:r w:rsidR="006C3FC2" w:rsidRPr="00DF2DC9">
        <w:rPr>
          <w:rFonts w:ascii="Tahoma" w:hAnsi="Tahoma" w:cs="Tahoma"/>
          <w:sz w:val="24"/>
          <w:szCs w:val="24"/>
          <w:lang w:val="es-419"/>
        </w:rPr>
        <w:t>Septiembre</w:t>
      </w:r>
      <w:r w:rsidR="00102545">
        <w:rPr>
          <w:rFonts w:ascii="Tahoma" w:hAnsi="Tahoma" w:cs="Tahoma"/>
          <w:sz w:val="24"/>
          <w:szCs w:val="24"/>
          <w:lang w:val="es-419"/>
        </w:rPr>
        <w:t xml:space="preserve"> </w:t>
      </w:r>
      <w:r w:rsidR="007D2B5A" w:rsidRPr="00DF2DC9">
        <w:rPr>
          <w:rFonts w:ascii="Tahoma" w:hAnsi="Tahoma" w:cs="Tahoma"/>
          <w:sz w:val="24"/>
          <w:szCs w:val="24"/>
          <w:lang w:val="es-419"/>
        </w:rPr>
        <w:t xml:space="preserve">de 2021, por el </w:t>
      </w:r>
      <w:r w:rsidR="00A260B8" w:rsidRPr="00DF2DC9">
        <w:rPr>
          <w:rFonts w:ascii="Tahoma" w:hAnsi="Tahoma" w:cs="Tahoma"/>
          <w:sz w:val="24"/>
          <w:szCs w:val="24"/>
          <w:lang w:val="es-419"/>
        </w:rPr>
        <w:t xml:space="preserve">Juzgado </w:t>
      </w:r>
      <w:r w:rsidR="006C3FC2" w:rsidRPr="00DF2DC9">
        <w:rPr>
          <w:rFonts w:ascii="Tahoma" w:hAnsi="Tahoma" w:cs="Tahoma"/>
          <w:sz w:val="24"/>
          <w:szCs w:val="24"/>
          <w:lang w:val="es-419"/>
        </w:rPr>
        <w:t>Primero</w:t>
      </w:r>
      <w:r w:rsidR="00A260B8" w:rsidRPr="00DF2DC9">
        <w:rPr>
          <w:rFonts w:ascii="Tahoma" w:hAnsi="Tahoma" w:cs="Tahoma"/>
          <w:sz w:val="24"/>
          <w:szCs w:val="24"/>
          <w:lang w:val="es-419"/>
        </w:rPr>
        <w:t xml:space="preserve"> Laboral del Circuito de Pereira</w:t>
      </w:r>
      <w:r w:rsidR="007D2B5A" w:rsidRPr="00DF2DC9">
        <w:rPr>
          <w:rFonts w:ascii="Tahoma" w:hAnsi="Tahoma" w:cs="Tahoma"/>
          <w:sz w:val="24"/>
          <w:szCs w:val="24"/>
          <w:lang w:val="es-419"/>
        </w:rPr>
        <w:t>, dentro de la acción de tutela impetrada por</w:t>
      </w:r>
      <w:r w:rsidR="00E20EC4" w:rsidRPr="00DF2DC9">
        <w:rPr>
          <w:rFonts w:ascii="Tahoma" w:hAnsi="Tahoma" w:cs="Tahoma"/>
          <w:sz w:val="24"/>
          <w:szCs w:val="24"/>
          <w:lang w:val="es-419"/>
        </w:rPr>
        <w:t xml:space="preserve"> </w:t>
      </w:r>
      <w:r w:rsidR="003C7B25" w:rsidRPr="00DF2DC9">
        <w:rPr>
          <w:rFonts w:ascii="Tahoma" w:hAnsi="Tahoma" w:cs="Tahoma"/>
          <w:b/>
          <w:sz w:val="24"/>
          <w:szCs w:val="24"/>
          <w:lang w:val="es-419"/>
        </w:rPr>
        <w:t>María</w:t>
      </w:r>
      <w:r w:rsidR="00B3385B" w:rsidRPr="00DF2DC9">
        <w:rPr>
          <w:rFonts w:ascii="Tahoma" w:hAnsi="Tahoma" w:cs="Tahoma"/>
          <w:b/>
          <w:sz w:val="24"/>
          <w:szCs w:val="24"/>
          <w:lang w:val="es-419"/>
        </w:rPr>
        <w:t xml:space="preserve"> Gladys Puerta </w:t>
      </w:r>
      <w:r w:rsidR="003C7B25" w:rsidRPr="00DF2DC9">
        <w:rPr>
          <w:rFonts w:ascii="Tahoma" w:hAnsi="Tahoma" w:cs="Tahoma"/>
          <w:b/>
          <w:sz w:val="24"/>
          <w:szCs w:val="24"/>
          <w:lang w:val="es-419"/>
        </w:rPr>
        <w:t>González</w:t>
      </w:r>
      <w:r w:rsidR="00B3385B" w:rsidRPr="00DF2DC9">
        <w:rPr>
          <w:rFonts w:ascii="Tahoma" w:hAnsi="Tahoma" w:cs="Tahoma"/>
          <w:sz w:val="24"/>
          <w:szCs w:val="24"/>
          <w:lang w:val="es-419"/>
        </w:rPr>
        <w:t xml:space="preserve"> </w:t>
      </w:r>
      <w:r w:rsidR="00B3385B" w:rsidRPr="00DF2DC9">
        <w:rPr>
          <w:rFonts w:ascii="Tahoma" w:hAnsi="Tahoma" w:cs="Tahoma"/>
          <w:sz w:val="24"/>
          <w:szCs w:val="24"/>
          <w:lang w:val="es-419"/>
        </w:rPr>
        <w:lastRenderedPageBreak/>
        <w:t>en representación de su hija,</w:t>
      </w:r>
      <w:r w:rsidR="00DF2DC9">
        <w:rPr>
          <w:rFonts w:ascii="Tahoma" w:hAnsi="Tahoma" w:cs="Tahoma"/>
          <w:sz w:val="24"/>
          <w:szCs w:val="24"/>
          <w:lang w:val="es-419"/>
        </w:rPr>
        <w:t xml:space="preserve"> </w:t>
      </w:r>
      <w:r w:rsidR="00B3385B" w:rsidRPr="00DF2DC9">
        <w:rPr>
          <w:rFonts w:ascii="Tahoma" w:hAnsi="Tahoma" w:cs="Tahoma"/>
          <w:sz w:val="24"/>
          <w:szCs w:val="24"/>
          <w:lang w:val="es-419"/>
        </w:rPr>
        <w:t xml:space="preserve">la menor </w:t>
      </w:r>
      <w:r w:rsidR="006C3FC2" w:rsidRPr="00DF2DC9">
        <w:rPr>
          <w:rFonts w:ascii="Tahoma" w:hAnsi="Tahoma" w:cs="Tahoma"/>
          <w:b/>
          <w:bCs/>
          <w:sz w:val="24"/>
          <w:szCs w:val="24"/>
          <w:lang w:val="es-419"/>
        </w:rPr>
        <w:t xml:space="preserve">Melissa </w:t>
      </w:r>
      <w:r w:rsidR="003C7B25" w:rsidRPr="00DF2DC9">
        <w:rPr>
          <w:rFonts w:ascii="Tahoma" w:hAnsi="Tahoma" w:cs="Tahoma"/>
          <w:b/>
          <w:bCs/>
          <w:sz w:val="24"/>
          <w:szCs w:val="24"/>
          <w:lang w:val="es-419"/>
        </w:rPr>
        <w:t>Álvarez</w:t>
      </w:r>
      <w:r w:rsidR="006C3FC2" w:rsidRPr="00DF2DC9">
        <w:rPr>
          <w:rFonts w:ascii="Tahoma" w:hAnsi="Tahoma" w:cs="Tahoma"/>
          <w:b/>
          <w:bCs/>
          <w:sz w:val="24"/>
          <w:szCs w:val="24"/>
          <w:lang w:val="es-419"/>
        </w:rPr>
        <w:t xml:space="preserve"> Puerta </w:t>
      </w:r>
      <w:r w:rsidR="007D2B5A" w:rsidRPr="00DF2DC9">
        <w:rPr>
          <w:rFonts w:ascii="Tahoma" w:hAnsi="Tahoma" w:cs="Tahoma"/>
          <w:sz w:val="24"/>
          <w:szCs w:val="24"/>
          <w:lang w:val="es-419"/>
        </w:rPr>
        <w:t>en contra de</w:t>
      </w:r>
      <w:r w:rsidR="00EE3CA1" w:rsidRPr="00DF2DC9">
        <w:rPr>
          <w:rFonts w:ascii="Tahoma" w:hAnsi="Tahoma" w:cs="Tahoma"/>
          <w:sz w:val="24"/>
          <w:szCs w:val="24"/>
          <w:lang w:val="es-419"/>
        </w:rPr>
        <w:t>l</w:t>
      </w:r>
      <w:r w:rsidR="00102545">
        <w:rPr>
          <w:rFonts w:ascii="Tahoma" w:hAnsi="Tahoma" w:cs="Tahoma"/>
          <w:sz w:val="24"/>
          <w:szCs w:val="24"/>
          <w:lang w:val="es-419"/>
        </w:rPr>
        <w:t xml:space="preserve"> </w:t>
      </w:r>
      <w:r w:rsidR="006C3FC2" w:rsidRPr="00DF2DC9">
        <w:rPr>
          <w:rFonts w:ascii="Tahoma" w:hAnsi="Tahoma" w:cs="Tahoma"/>
          <w:b/>
          <w:sz w:val="24"/>
          <w:szCs w:val="24"/>
          <w:lang w:val="es-419"/>
        </w:rPr>
        <w:t xml:space="preserve">Ministerio de </w:t>
      </w:r>
      <w:r w:rsidR="00566023" w:rsidRPr="00DF2DC9">
        <w:rPr>
          <w:rFonts w:ascii="Tahoma" w:hAnsi="Tahoma" w:cs="Tahoma"/>
          <w:b/>
          <w:sz w:val="24"/>
          <w:szCs w:val="24"/>
          <w:lang w:val="es-419"/>
        </w:rPr>
        <w:t xml:space="preserve">Salud </w:t>
      </w:r>
      <w:r w:rsidR="006C3FC2" w:rsidRPr="00DF2DC9">
        <w:rPr>
          <w:rFonts w:ascii="Tahoma" w:hAnsi="Tahoma" w:cs="Tahoma"/>
          <w:b/>
          <w:sz w:val="24"/>
          <w:szCs w:val="24"/>
          <w:lang w:val="es-419"/>
        </w:rPr>
        <w:t xml:space="preserve">y </w:t>
      </w:r>
      <w:r w:rsidR="00566023" w:rsidRPr="00DF2DC9">
        <w:rPr>
          <w:rFonts w:ascii="Tahoma" w:hAnsi="Tahoma" w:cs="Tahoma"/>
          <w:b/>
          <w:sz w:val="24"/>
          <w:szCs w:val="24"/>
          <w:lang w:val="es-419"/>
        </w:rPr>
        <w:t>Protección Social</w:t>
      </w:r>
      <w:r w:rsidR="007D2B5A" w:rsidRPr="00DF2DC9">
        <w:rPr>
          <w:rFonts w:ascii="Tahoma" w:hAnsi="Tahoma" w:cs="Tahoma"/>
          <w:sz w:val="24"/>
          <w:szCs w:val="24"/>
          <w:lang w:val="es-419"/>
        </w:rPr>
        <w:t>, a través de la cual se pretende que se ampare su derecho fundamental de</w:t>
      </w:r>
      <w:r w:rsidR="006C3FC2" w:rsidRPr="00DF2DC9">
        <w:rPr>
          <w:rFonts w:ascii="Tahoma" w:hAnsi="Tahoma" w:cs="Tahoma"/>
          <w:sz w:val="24"/>
          <w:szCs w:val="24"/>
          <w:lang w:val="es-419"/>
        </w:rPr>
        <w:t xml:space="preserve"> </w:t>
      </w:r>
      <w:r w:rsidR="001E2ACD" w:rsidRPr="00DF2DC9">
        <w:rPr>
          <w:rFonts w:ascii="Tahoma" w:hAnsi="Tahoma" w:cs="Tahoma"/>
          <w:sz w:val="24"/>
          <w:szCs w:val="24"/>
          <w:lang w:val="es-419"/>
        </w:rPr>
        <w:t xml:space="preserve">la salud, la vida y la igualdad de </w:t>
      </w:r>
      <w:r w:rsidR="001E2ACD" w:rsidRPr="00DF2DC9">
        <w:rPr>
          <w:rFonts w:ascii="Tahoma" w:hAnsi="Tahoma" w:cs="Tahoma"/>
          <w:b/>
          <w:sz w:val="24"/>
          <w:szCs w:val="24"/>
          <w:lang w:val="es-419"/>
        </w:rPr>
        <w:t xml:space="preserve">Melissa </w:t>
      </w:r>
      <w:r w:rsidR="003C7B25" w:rsidRPr="00DF2DC9">
        <w:rPr>
          <w:rFonts w:ascii="Tahoma" w:hAnsi="Tahoma" w:cs="Tahoma"/>
          <w:b/>
          <w:sz w:val="24"/>
          <w:szCs w:val="24"/>
          <w:lang w:val="es-419"/>
        </w:rPr>
        <w:t>Álvarez</w:t>
      </w:r>
      <w:r w:rsidR="001E2ACD" w:rsidRPr="00DF2DC9">
        <w:rPr>
          <w:rFonts w:ascii="Tahoma" w:hAnsi="Tahoma" w:cs="Tahoma"/>
          <w:b/>
          <w:sz w:val="24"/>
          <w:szCs w:val="24"/>
          <w:lang w:val="es-419"/>
        </w:rPr>
        <w:t xml:space="preserve"> Puerta</w:t>
      </w:r>
      <w:r w:rsidR="00E20EC4" w:rsidRPr="00DF2DC9">
        <w:rPr>
          <w:rFonts w:ascii="Tahoma" w:hAnsi="Tahoma" w:cs="Tahoma"/>
          <w:sz w:val="24"/>
          <w:szCs w:val="24"/>
          <w:lang w:val="es-419"/>
        </w:rPr>
        <w:t xml:space="preserve">; trámite al que fue vinculada </w:t>
      </w:r>
      <w:r w:rsidR="009E1614" w:rsidRPr="00DF2DC9">
        <w:rPr>
          <w:rFonts w:ascii="Tahoma" w:hAnsi="Tahoma" w:cs="Tahoma"/>
          <w:sz w:val="24"/>
          <w:szCs w:val="24"/>
          <w:lang w:val="es-419"/>
        </w:rPr>
        <w:t xml:space="preserve">la </w:t>
      </w:r>
      <w:r w:rsidR="003C0BC1" w:rsidRPr="00DF2DC9">
        <w:rPr>
          <w:rFonts w:ascii="Tahoma" w:hAnsi="Tahoma" w:cs="Tahoma"/>
          <w:b/>
          <w:bCs/>
          <w:sz w:val="24"/>
          <w:szCs w:val="24"/>
          <w:lang w:val="es-419"/>
        </w:rPr>
        <w:t xml:space="preserve">Universidad </w:t>
      </w:r>
      <w:r w:rsidR="003C7B25" w:rsidRPr="00DF2DC9">
        <w:rPr>
          <w:rFonts w:ascii="Tahoma" w:hAnsi="Tahoma" w:cs="Tahoma"/>
          <w:b/>
          <w:bCs/>
          <w:sz w:val="24"/>
          <w:szCs w:val="24"/>
          <w:lang w:val="es-419"/>
        </w:rPr>
        <w:t>Tecnológica</w:t>
      </w:r>
      <w:r w:rsidR="003C0BC1" w:rsidRPr="00DF2DC9">
        <w:rPr>
          <w:rFonts w:ascii="Tahoma" w:hAnsi="Tahoma" w:cs="Tahoma"/>
          <w:b/>
          <w:bCs/>
          <w:sz w:val="24"/>
          <w:szCs w:val="24"/>
          <w:lang w:val="es-419"/>
        </w:rPr>
        <w:t xml:space="preserve"> de Pereira UTP</w:t>
      </w:r>
      <w:r w:rsidR="008627C4" w:rsidRPr="00DF2DC9">
        <w:rPr>
          <w:rFonts w:ascii="Tahoma" w:hAnsi="Tahoma" w:cs="Tahoma"/>
          <w:sz w:val="24"/>
          <w:szCs w:val="24"/>
          <w:lang w:val="es-419"/>
        </w:rPr>
        <w:t>. Para ello</w:t>
      </w:r>
      <w:r w:rsidR="009E1614" w:rsidRPr="00DF2DC9">
        <w:rPr>
          <w:rFonts w:ascii="Tahoma" w:hAnsi="Tahoma" w:cs="Tahoma"/>
          <w:sz w:val="24"/>
          <w:szCs w:val="24"/>
          <w:lang w:val="es-419"/>
        </w:rPr>
        <w:t xml:space="preserve"> </w:t>
      </w:r>
      <w:r w:rsidR="007D2B5A" w:rsidRPr="00DF2DC9">
        <w:rPr>
          <w:rFonts w:ascii="Tahoma" w:hAnsi="Tahoma" w:cs="Tahoma"/>
          <w:sz w:val="24"/>
          <w:szCs w:val="24"/>
          <w:lang w:val="es-419"/>
        </w:rPr>
        <w:t>se tiene en cuenta lo siguiente</w:t>
      </w:r>
      <w:r w:rsidR="00914623" w:rsidRPr="00DF2DC9">
        <w:rPr>
          <w:rFonts w:ascii="Tahoma" w:hAnsi="Tahoma" w:cs="Tahoma"/>
          <w:sz w:val="24"/>
          <w:szCs w:val="24"/>
          <w:lang w:val="es-419"/>
        </w:rPr>
        <w:t>:</w:t>
      </w:r>
    </w:p>
    <w:p w14:paraId="3BB78E02" w14:textId="0BCFAA23" w:rsidR="008D09BB" w:rsidRDefault="008D09BB" w:rsidP="008D09BB">
      <w:pPr>
        <w:spacing w:after="0" w:line="276" w:lineRule="auto"/>
        <w:rPr>
          <w:rFonts w:ascii="Tahoma" w:hAnsi="Tahoma" w:cs="Tahoma"/>
          <w:sz w:val="24"/>
          <w:szCs w:val="24"/>
          <w:lang w:val="es-419"/>
        </w:rPr>
      </w:pPr>
    </w:p>
    <w:p w14:paraId="38BEB82A" w14:textId="77777777" w:rsidR="008D09BB" w:rsidRPr="00DF2DC9" w:rsidRDefault="008D09BB" w:rsidP="008D09BB">
      <w:pPr>
        <w:spacing w:after="0" w:line="276" w:lineRule="auto"/>
        <w:rPr>
          <w:rFonts w:ascii="Tahoma" w:hAnsi="Tahoma" w:cs="Tahoma"/>
          <w:sz w:val="24"/>
          <w:szCs w:val="24"/>
          <w:lang w:val="es-419"/>
        </w:rPr>
      </w:pPr>
    </w:p>
    <w:p w14:paraId="78975031" w14:textId="26FEEC17" w:rsidR="00A1547A" w:rsidRPr="00DF2DC9" w:rsidRDefault="006C3278" w:rsidP="00DF2DC9">
      <w:pPr>
        <w:pStyle w:val="Prrafodelista"/>
        <w:numPr>
          <w:ilvl w:val="0"/>
          <w:numId w:val="7"/>
        </w:numPr>
        <w:spacing w:after="0" w:line="276" w:lineRule="auto"/>
        <w:jc w:val="center"/>
        <w:rPr>
          <w:rFonts w:ascii="Tahoma" w:hAnsi="Tahoma" w:cs="Tahoma"/>
          <w:b/>
          <w:bCs/>
          <w:sz w:val="24"/>
          <w:szCs w:val="24"/>
          <w:lang w:val="es-419"/>
        </w:rPr>
      </w:pPr>
      <w:r w:rsidRPr="00DF2DC9">
        <w:rPr>
          <w:rFonts w:ascii="Tahoma" w:hAnsi="Tahoma" w:cs="Tahoma"/>
          <w:b/>
          <w:bCs/>
          <w:sz w:val="24"/>
          <w:szCs w:val="24"/>
          <w:lang w:val="es-419"/>
        </w:rPr>
        <w:t>DEMANDA DE TUTELA.</w:t>
      </w:r>
    </w:p>
    <w:p w14:paraId="6C2B2FD9" w14:textId="77777777" w:rsidR="007D2B5A" w:rsidRPr="00DF2DC9" w:rsidRDefault="007D2B5A" w:rsidP="00DF2DC9">
      <w:pPr>
        <w:pStyle w:val="Prrafodelista"/>
        <w:spacing w:after="0" w:line="276" w:lineRule="auto"/>
        <w:ind w:left="1489"/>
        <w:rPr>
          <w:rFonts w:ascii="Tahoma" w:hAnsi="Tahoma" w:cs="Tahoma"/>
          <w:b/>
          <w:bCs/>
          <w:sz w:val="24"/>
          <w:szCs w:val="24"/>
          <w:lang w:val="es-419"/>
        </w:rPr>
      </w:pPr>
    </w:p>
    <w:p w14:paraId="3BB64095" w14:textId="4E70DA93" w:rsidR="00A1547A" w:rsidRPr="00DF2DC9" w:rsidRDefault="00AC2670"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 xml:space="preserve">La demandante </w:t>
      </w:r>
      <w:r w:rsidR="001E2ACD" w:rsidRPr="00DF2DC9">
        <w:rPr>
          <w:rFonts w:ascii="Tahoma" w:hAnsi="Tahoma" w:cs="Tahoma"/>
          <w:b/>
          <w:sz w:val="24"/>
          <w:szCs w:val="24"/>
          <w:lang w:val="es-419"/>
        </w:rPr>
        <w:t xml:space="preserve">Melissa </w:t>
      </w:r>
      <w:r w:rsidR="003C7B25" w:rsidRPr="00DF2DC9">
        <w:rPr>
          <w:rFonts w:ascii="Tahoma" w:hAnsi="Tahoma" w:cs="Tahoma"/>
          <w:b/>
          <w:sz w:val="24"/>
          <w:szCs w:val="24"/>
          <w:lang w:val="es-419"/>
        </w:rPr>
        <w:t>Álvarez</w:t>
      </w:r>
      <w:r w:rsidR="001E2ACD" w:rsidRPr="00DF2DC9">
        <w:rPr>
          <w:rFonts w:ascii="Tahoma" w:hAnsi="Tahoma" w:cs="Tahoma"/>
          <w:b/>
          <w:sz w:val="24"/>
          <w:szCs w:val="24"/>
          <w:lang w:val="es-419"/>
        </w:rPr>
        <w:t xml:space="preserve"> Puerta</w:t>
      </w:r>
      <w:r w:rsidR="001E2ACD" w:rsidRPr="00DF2DC9">
        <w:rPr>
          <w:rFonts w:ascii="Tahoma" w:hAnsi="Tahoma" w:cs="Tahoma"/>
          <w:sz w:val="24"/>
          <w:szCs w:val="24"/>
          <w:lang w:val="es-419"/>
        </w:rPr>
        <w:t xml:space="preserve"> menor de edad</w:t>
      </w:r>
      <w:r w:rsidR="003C7B25" w:rsidRPr="00DF2DC9">
        <w:rPr>
          <w:rFonts w:ascii="Tahoma" w:hAnsi="Tahoma" w:cs="Tahoma"/>
          <w:sz w:val="24"/>
          <w:szCs w:val="24"/>
          <w:lang w:val="es-419"/>
        </w:rPr>
        <w:t>,</w:t>
      </w:r>
      <w:r w:rsidR="00102545">
        <w:rPr>
          <w:rFonts w:ascii="Tahoma" w:hAnsi="Tahoma" w:cs="Tahoma"/>
          <w:sz w:val="24"/>
          <w:szCs w:val="24"/>
          <w:lang w:val="es-419"/>
        </w:rPr>
        <w:t xml:space="preserve"> </w:t>
      </w:r>
      <w:r w:rsidR="001E2ACD" w:rsidRPr="00DF2DC9">
        <w:rPr>
          <w:rFonts w:ascii="Tahoma" w:hAnsi="Tahoma" w:cs="Tahoma"/>
          <w:sz w:val="24"/>
          <w:szCs w:val="24"/>
          <w:lang w:val="es-419"/>
        </w:rPr>
        <w:t xml:space="preserve">a </w:t>
      </w:r>
      <w:r w:rsidR="003C7B25" w:rsidRPr="00DF2DC9">
        <w:rPr>
          <w:rFonts w:ascii="Tahoma" w:hAnsi="Tahoma" w:cs="Tahoma"/>
          <w:sz w:val="24"/>
          <w:szCs w:val="24"/>
          <w:lang w:val="es-419"/>
        </w:rPr>
        <w:t>través</w:t>
      </w:r>
      <w:r w:rsidR="001E2ACD" w:rsidRPr="00DF2DC9">
        <w:rPr>
          <w:rFonts w:ascii="Tahoma" w:hAnsi="Tahoma" w:cs="Tahoma"/>
          <w:sz w:val="24"/>
          <w:szCs w:val="24"/>
          <w:lang w:val="es-419"/>
        </w:rPr>
        <w:t xml:space="preserve"> de su madre la señora </w:t>
      </w:r>
      <w:r w:rsidR="003C7B25" w:rsidRPr="00DF2DC9">
        <w:rPr>
          <w:rFonts w:ascii="Tahoma" w:hAnsi="Tahoma" w:cs="Tahoma"/>
          <w:b/>
          <w:sz w:val="24"/>
          <w:szCs w:val="24"/>
          <w:lang w:val="es-419"/>
        </w:rPr>
        <w:t>María</w:t>
      </w:r>
      <w:r w:rsidR="007031B6" w:rsidRPr="00DF2DC9">
        <w:rPr>
          <w:rFonts w:ascii="Tahoma" w:hAnsi="Tahoma" w:cs="Tahoma"/>
          <w:b/>
          <w:sz w:val="24"/>
          <w:szCs w:val="24"/>
          <w:lang w:val="es-419"/>
        </w:rPr>
        <w:t xml:space="preserve"> Gladys Puerta </w:t>
      </w:r>
      <w:r w:rsidR="003C7B25" w:rsidRPr="00DF2DC9">
        <w:rPr>
          <w:rFonts w:ascii="Tahoma" w:hAnsi="Tahoma" w:cs="Tahoma"/>
          <w:b/>
          <w:sz w:val="24"/>
          <w:szCs w:val="24"/>
          <w:lang w:val="es-419"/>
        </w:rPr>
        <w:t>González</w:t>
      </w:r>
      <w:r w:rsidR="007031B6" w:rsidRPr="00DF2DC9">
        <w:rPr>
          <w:rFonts w:ascii="Tahoma" w:hAnsi="Tahoma" w:cs="Tahoma"/>
          <w:sz w:val="24"/>
          <w:szCs w:val="24"/>
          <w:lang w:val="es-419"/>
        </w:rPr>
        <w:t xml:space="preserve">, </w:t>
      </w:r>
      <w:r w:rsidR="003C7B25" w:rsidRPr="00DF2DC9">
        <w:rPr>
          <w:rFonts w:ascii="Tahoma" w:hAnsi="Tahoma" w:cs="Tahoma"/>
          <w:sz w:val="24"/>
          <w:szCs w:val="24"/>
          <w:lang w:val="es-419"/>
        </w:rPr>
        <w:t>s</w:t>
      </w:r>
      <w:r w:rsidR="007031B6" w:rsidRPr="00DF2DC9">
        <w:rPr>
          <w:rFonts w:ascii="Tahoma" w:hAnsi="Tahoma" w:cs="Tahoma"/>
          <w:sz w:val="24"/>
          <w:szCs w:val="24"/>
          <w:lang w:val="es-419"/>
        </w:rPr>
        <w:t>olicita que se tutele los derechos fundamentales a la salud, a la vida y a la igualdad los cuales según afirma fueron vulnerados</w:t>
      </w:r>
      <w:r w:rsidR="007031B6" w:rsidRPr="00DF2DC9">
        <w:rPr>
          <w:rFonts w:ascii="Tahoma" w:hAnsi="Tahoma" w:cs="Tahoma"/>
          <w:sz w:val="24"/>
          <w:szCs w:val="24"/>
        </w:rPr>
        <w:t xml:space="preserve"> </w:t>
      </w:r>
      <w:r w:rsidR="003C7B25" w:rsidRPr="00DF2DC9">
        <w:rPr>
          <w:rFonts w:ascii="Tahoma" w:hAnsi="Tahoma" w:cs="Tahoma"/>
          <w:sz w:val="24"/>
          <w:szCs w:val="24"/>
          <w:lang w:val="es-419"/>
        </w:rPr>
        <w:t xml:space="preserve">Ministerio de Salud y Protección Social, </w:t>
      </w:r>
      <w:r w:rsidR="007031B6" w:rsidRPr="00DF2DC9">
        <w:rPr>
          <w:rFonts w:ascii="Tahoma" w:hAnsi="Tahoma" w:cs="Tahoma"/>
          <w:sz w:val="24"/>
          <w:szCs w:val="24"/>
          <w:lang w:val="es-419"/>
        </w:rPr>
        <w:t xml:space="preserve">y </w:t>
      </w:r>
      <w:r w:rsidR="003C7B25" w:rsidRPr="00DF2DC9">
        <w:rPr>
          <w:rFonts w:ascii="Tahoma" w:hAnsi="Tahoma" w:cs="Tahoma"/>
          <w:sz w:val="24"/>
          <w:szCs w:val="24"/>
          <w:lang w:val="es-419"/>
        </w:rPr>
        <w:t xml:space="preserve">en consecuencia, </w:t>
      </w:r>
      <w:r w:rsidR="007031B6" w:rsidRPr="00DF2DC9">
        <w:rPr>
          <w:rFonts w:ascii="Tahoma" w:hAnsi="Tahoma" w:cs="Tahoma"/>
          <w:sz w:val="24"/>
          <w:szCs w:val="24"/>
          <w:lang w:val="es-419"/>
        </w:rPr>
        <w:t xml:space="preserve">requiere que se le ordene </w:t>
      </w:r>
      <w:r w:rsidR="003C7B25" w:rsidRPr="00DF2DC9">
        <w:rPr>
          <w:rFonts w:ascii="Tahoma" w:hAnsi="Tahoma" w:cs="Tahoma"/>
          <w:sz w:val="24"/>
          <w:szCs w:val="24"/>
          <w:lang w:val="es-419"/>
        </w:rPr>
        <w:t xml:space="preserve">a esa cartera ministerial </w:t>
      </w:r>
      <w:r w:rsidR="007031B6" w:rsidRPr="00DF2DC9">
        <w:rPr>
          <w:rFonts w:ascii="Tahoma" w:hAnsi="Tahoma" w:cs="Tahoma"/>
          <w:sz w:val="24"/>
          <w:szCs w:val="24"/>
          <w:lang w:val="es-419"/>
        </w:rPr>
        <w:t>que cumpla con el esquema de vacunación presentado</w:t>
      </w:r>
      <w:r w:rsidR="00102545">
        <w:rPr>
          <w:rFonts w:ascii="Tahoma" w:hAnsi="Tahoma" w:cs="Tahoma"/>
          <w:sz w:val="24"/>
          <w:szCs w:val="24"/>
          <w:lang w:val="es-419"/>
        </w:rPr>
        <w:t xml:space="preserve"> </w:t>
      </w:r>
      <w:r w:rsidR="007031B6" w:rsidRPr="00DF2DC9">
        <w:rPr>
          <w:rFonts w:ascii="Tahoma" w:hAnsi="Tahoma" w:cs="Tahoma"/>
          <w:sz w:val="24"/>
          <w:szCs w:val="24"/>
          <w:lang w:val="es-419"/>
        </w:rPr>
        <w:t>y adoptado por el Gobierno Nacional</w:t>
      </w:r>
      <w:r w:rsidR="003C7B25" w:rsidRPr="00DF2DC9">
        <w:rPr>
          <w:rFonts w:ascii="Tahoma" w:hAnsi="Tahoma" w:cs="Tahoma"/>
          <w:sz w:val="24"/>
          <w:szCs w:val="24"/>
          <w:lang w:val="es-419"/>
        </w:rPr>
        <w:t>, y por consiguiente</w:t>
      </w:r>
      <w:r w:rsidR="007031B6" w:rsidRPr="00DF2DC9">
        <w:rPr>
          <w:rFonts w:ascii="Tahoma" w:hAnsi="Tahoma" w:cs="Tahoma"/>
          <w:sz w:val="24"/>
          <w:szCs w:val="24"/>
          <w:lang w:val="es-419"/>
        </w:rPr>
        <w:t>, la segunda dosis del biológico PFIZER se le aplique a la me</w:t>
      </w:r>
      <w:r w:rsidR="00EE3CA1" w:rsidRPr="00DF2DC9">
        <w:rPr>
          <w:rFonts w:ascii="Tahoma" w:hAnsi="Tahoma" w:cs="Tahoma"/>
          <w:sz w:val="24"/>
          <w:szCs w:val="24"/>
          <w:lang w:val="es-419"/>
        </w:rPr>
        <w:t>nor en la UTP</w:t>
      </w:r>
      <w:r w:rsidR="007031B6" w:rsidRPr="00DF2DC9">
        <w:rPr>
          <w:rFonts w:ascii="Tahoma" w:hAnsi="Tahoma" w:cs="Tahoma"/>
          <w:sz w:val="24"/>
          <w:szCs w:val="24"/>
          <w:lang w:val="es-419"/>
        </w:rPr>
        <w:t xml:space="preserve"> a los 21 días de la primera dos</w:t>
      </w:r>
      <w:r w:rsidR="00EE3CA1" w:rsidRPr="00DF2DC9">
        <w:rPr>
          <w:rFonts w:ascii="Tahoma" w:hAnsi="Tahoma" w:cs="Tahoma"/>
          <w:sz w:val="24"/>
          <w:szCs w:val="24"/>
          <w:lang w:val="es-419"/>
        </w:rPr>
        <w:t>is y no a los 84 días, es decir</w:t>
      </w:r>
      <w:r w:rsidR="007031B6" w:rsidRPr="00DF2DC9">
        <w:rPr>
          <w:rFonts w:ascii="Tahoma" w:hAnsi="Tahoma" w:cs="Tahoma"/>
          <w:sz w:val="24"/>
          <w:szCs w:val="24"/>
          <w:lang w:val="es-419"/>
        </w:rPr>
        <w:t xml:space="preserve"> el</w:t>
      </w:r>
      <w:r w:rsidR="00EE3CA1" w:rsidRPr="00DF2DC9">
        <w:rPr>
          <w:rFonts w:ascii="Tahoma" w:hAnsi="Tahoma" w:cs="Tahoma"/>
          <w:sz w:val="24"/>
          <w:szCs w:val="24"/>
          <w:lang w:val="es-419"/>
        </w:rPr>
        <w:t xml:space="preserve"> día 16 de septiembre de 2021 y</w:t>
      </w:r>
      <w:r w:rsidR="007031B6" w:rsidRPr="00DF2DC9">
        <w:rPr>
          <w:rFonts w:ascii="Tahoma" w:hAnsi="Tahoma" w:cs="Tahoma"/>
          <w:sz w:val="24"/>
          <w:szCs w:val="24"/>
          <w:lang w:val="es-419"/>
        </w:rPr>
        <w:t xml:space="preserve"> no el 19 de noviembre de la misma anualidad.</w:t>
      </w:r>
      <w:r w:rsidR="00102545">
        <w:rPr>
          <w:rFonts w:ascii="Tahoma" w:hAnsi="Tahoma" w:cs="Tahoma"/>
          <w:sz w:val="24"/>
          <w:szCs w:val="24"/>
          <w:lang w:val="es-419"/>
        </w:rPr>
        <w:t xml:space="preserve"> </w:t>
      </w:r>
    </w:p>
    <w:p w14:paraId="1BF27170" w14:textId="77777777" w:rsidR="008627C4" w:rsidRPr="00DF2DC9" w:rsidRDefault="008627C4" w:rsidP="00DF2DC9">
      <w:pPr>
        <w:spacing w:after="0" w:line="276" w:lineRule="auto"/>
        <w:ind w:firstLine="708"/>
        <w:jc w:val="both"/>
        <w:rPr>
          <w:rFonts w:ascii="Tahoma" w:hAnsi="Tahoma" w:cs="Tahoma"/>
          <w:sz w:val="24"/>
          <w:szCs w:val="24"/>
          <w:lang w:val="es-419"/>
        </w:rPr>
      </w:pPr>
    </w:p>
    <w:p w14:paraId="47338474" w14:textId="318F2E47" w:rsidR="009B7F35" w:rsidRPr="00DF2DC9" w:rsidRDefault="00EE2E69"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Para funda</w:t>
      </w:r>
      <w:r w:rsidR="00A02D0F" w:rsidRPr="00DF2DC9">
        <w:rPr>
          <w:rFonts w:ascii="Tahoma" w:hAnsi="Tahoma" w:cs="Tahoma"/>
          <w:sz w:val="24"/>
          <w:szCs w:val="24"/>
          <w:lang w:val="es-419"/>
        </w:rPr>
        <w:t>mentar</w:t>
      </w:r>
      <w:r w:rsidRPr="00DF2DC9">
        <w:rPr>
          <w:rFonts w:ascii="Tahoma" w:hAnsi="Tahoma" w:cs="Tahoma"/>
          <w:sz w:val="24"/>
          <w:szCs w:val="24"/>
          <w:lang w:val="es-419"/>
        </w:rPr>
        <w:t xml:space="preserve"> dicha pretensión </w:t>
      </w:r>
      <w:r w:rsidR="009B7F35" w:rsidRPr="00DF2DC9">
        <w:rPr>
          <w:rFonts w:ascii="Tahoma" w:hAnsi="Tahoma" w:cs="Tahoma"/>
          <w:sz w:val="24"/>
          <w:szCs w:val="24"/>
          <w:lang w:val="es-419"/>
        </w:rPr>
        <w:t xml:space="preserve">manifiesta </w:t>
      </w:r>
      <w:r w:rsidR="00B71F9B" w:rsidRPr="00DF2DC9">
        <w:rPr>
          <w:rFonts w:ascii="Tahoma" w:hAnsi="Tahoma" w:cs="Tahoma"/>
          <w:sz w:val="24"/>
          <w:szCs w:val="24"/>
          <w:lang w:val="es-419"/>
        </w:rPr>
        <w:t>que</w:t>
      </w:r>
      <w:r w:rsidR="003C7B25" w:rsidRPr="00DF2DC9">
        <w:rPr>
          <w:rFonts w:ascii="Tahoma" w:hAnsi="Tahoma" w:cs="Tahoma"/>
          <w:sz w:val="24"/>
          <w:szCs w:val="24"/>
          <w:lang w:val="es-419"/>
        </w:rPr>
        <w:t>,</w:t>
      </w:r>
      <w:r w:rsidR="00B71F9B" w:rsidRPr="00DF2DC9">
        <w:rPr>
          <w:rFonts w:ascii="Tahoma" w:hAnsi="Tahoma" w:cs="Tahoma"/>
          <w:sz w:val="24"/>
          <w:szCs w:val="24"/>
          <w:lang w:val="es-419"/>
        </w:rPr>
        <w:t xml:space="preserve"> </w:t>
      </w:r>
      <w:r w:rsidR="007031B6" w:rsidRPr="00DF2DC9">
        <w:rPr>
          <w:rFonts w:ascii="Tahoma" w:hAnsi="Tahoma" w:cs="Tahoma"/>
          <w:sz w:val="24"/>
          <w:szCs w:val="24"/>
          <w:lang w:val="es-419"/>
        </w:rPr>
        <w:t>siguiendo el esquema de vacunación presentado por el Gobierno Nacion</w:t>
      </w:r>
      <w:r w:rsidR="00EE3CA1" w:rsidRPr="00DF2DC9">
        <w:rPr>
          <w:rFonts w:ascii="Tahoma" w:hAnsi="Tahoma" w:cs="Tahoma"/>
          <w:sz w:val="24"/>
          <w:szCs w:val="24"/>
          <w:lang w:val="es-419"/>
        </w:rPr>
        <w:t>al, el día 26 de agosto de 2021</w:t>
      </w:r>
      <w:r w:rsidR="007031B6" w:rsidRPr="00DF2DC9">
        <w:rPr>
          <w:rFonts w:ascii="Tahoma" w:hAnsi="Tahoma" w:cs="Tahoma"/>
          <w:sz w:val="24"/>
          <w:szCs w:val="24"/>
          <w:lang w:val="es-419"/>
        </w:rPr>
        <w:t xml:space="preserve"> acudió con su hija de 15 años a las instalaciones de la Universidad Tecnológica de Pereira a fin de que le fuera aplicada la primera dosis de la vacuna PFIZER contra el Cov</w:t>
      </w:r>
      <w:r w:rsidR="00EE3CA1" w:rsidRPr="00DF2DC9">
        <w:rPr>
          <w:rFonts w:ascii="Tahoma" w:hAnsi="Tahoma" w:cs="Tahoma"/>
          <w:sz w:val="24"/>
          <w:szCs w:val="24"/>
          <w:lang w:val="es-419"/>
        </w:rPr>
        <w:t>id – 19 y que en dicho momento</w:t>
      </w:r>
      <w:r w:rsidR="007031B6" w:rsidRPr="00DF2DC9">
        <w:rPr>
          <w:rFonts w:ascii="Tahoma" w:hAnsi="Tahoma" w:cs="Tahoma"/>
          <w:sz w:val="24"/>
          <w:szCs w:val="24"/>
          <w:lang w:val="es-419"/>
        </w:rPr>
        <w:t xml:space="preserve"> les informaron que el Ministerio de Salud había ampliado el lapso para la aplicación de la segunda dosis de tres a doce se</w:t>
      </w:r>
      <w:r w:rsidR="00EC7020" w:rsidRPr="00DF2DC9">
        <w:rPr>
          <w:rFonts w:ascii="Tahoma" w:hAnsi="Tahoma" w:cs="Tahoma"/>
          <w:sz w:val="24"/>
          <w:szCs w:val="24"/>
          <w:lang w:val="es-419"/>
        </w:rPr>
        <w:t>manas. Seguidamente, señala que</w:t>
      </w:r>
      <w:r w:rsidR="003C7B25" w:rsidRPr="00DF2DC9">
        <w:rPr>
          <w:rFonts w:ascii="Tahoma" w:hAnsi="Tahoma" w:cs="Tahoma"/>
          <w:sz w:val="24"/>
          <w:szCs w:val="24"/>
          <w:lang w:val="es-419"/>
        </w:rPr>
        <w:t>,</w:t>
      </w:r>
      <w:r w:rsidR="007031B6" w:rsidRPr="00DF2DC9">
        <w:rPr>
          <w:rFonts w:ascii="Tahoma" w:hAnsi="Tahoma" w:cs="Tahoma"/>
          <w:sz w:val="24"/>
          <w:szCs w:val="24"/>
          <w:lang w:val="es-419"/>
        </w:rPr>
        <w:t xml:space="preserve"> pese a dicha variación del plazo, accedió a que le colocaran la vacuna a su hija, en aras de evitar el contagio de las demás personas, en especial de sus compañeros de colegio. Finalmente, refiere que, en el “Hospital del Centro y de San </w:t>
      </w:r>
      <w:r w:rsidR="00566023" w:rsidRPr="00DF2DC9">
        <w:rPr>
          <w:rFonts w:ascii="Tahoma" w:hAnsi="Tahoma" w:cs="Tahoma"/>
          <w:sz w:val="24"/>
          <w:szCs w:val="24"/>
          <w:lang w:val="es-419"/>
        </w:rPr>
        <w:t>Joaquín</w:t>
      </w:r>
      <w:r w:rsidR="007031B6" w:rsidRPr="00DF2DC9">
        <w:rPr>
          <w:rFonts w:ascii="Tahoma" w:hAnsi="Tahoma" w:cs="Tahoma"/>
          <w:sz w:val="24"/>
          <w:szCs w:val="24"/>
          <w:lang w:val="es-419"/>
        </w:rPr>
        <w:t>”, adscritos a la ESE SALUD PEREIRA, donde otros menores de ed</w:t>
      </w:r>
      <w:r w:rsidR="00EC7020" w:rsidRPr="00DF2DC9">
        <w:rPr>
          <w:rFonts w:ascii="Tahoma" w:hAnsi="Tahoma" w:cs="Tahoma"/>
          <w:sz w:val="24"/>
          <w:szCs w:val="24"/>
          <w:lang w:val="es-419"/>
        </w:rPr>
        <w:t>ad fueron vacunados previamente</w:t>
      </w:r>
      <w:r w:rsidR="007031B6" w:rsidRPr="00DF2DC9">
        <w:rPr>
          <w:rFonts w:ascii="Tahoma" w:hAnsi="Tahoma" w:cs="Tahoma"/>
          <w:sz w:val="24"/>
          <w:szCs w:val="24"/>
          <w:lang w:val="es-419"/>
        </w:rPr>
        <w:t xml:space="preserve"> se les indicó que la próxima dosis de PFIZER sería a los 21 días.</w:t>
      </w:r>
    </w:p>
    <w:p w14:paraId="16268BE2" w14:textId="77777777" w:rsidR="00A260B8" w:rsidRPr="00DF2DC9" w:rsidRDefault="00A260B8" w:rsidP="00DF2DC9">
      <w:pPr>
        <w:spacing w:after="0" w:line="276" w:lineRule="auto"/>
        <w:jc w:val="both"/>
        <w:rPr>
          <w:rFonts w:ascii="Tahoma" w:hAnsi="Tahoma" w:cs="Tahoma"/>
          <w:sz w:val="24"/>
          <w:szCs w:val="24"/>
          <w:lang w:val="es-419"/>
        </w:rPr>
      </w:pPr>
    </w:p>
    <w:p w14:paraId="16B39029" w14:textId="3FC04A14" w:rsidR="003C0BC1" w:rsidRPr="00DF2DC9" w:rsidRDefault="00D330F4"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En efecto, explica</w:t>
      </w:r>
      <w:r w:rsidR="003C0BC1" w:rsidRPr="00DF2DC9">
        <w:rPr>
          <w:rFonts w:ascii="Tahoma" w:hAnsi="Tahoma" w:cs="Tahoma"/>
          <w:sz w:val="24"/>
          <w:szCs w:val="24"/>
          <w:lang w:val="es-419"/>
        </w:rPr>
        <w:t xml:space="preserve"> que en la UTP se dio tal indicación, </w:t>
      </w:r>
      <w:r w:rsidRPr="00DF2DC9">
        <w:rPr>
          <w:rFonts w:ascii="Tahoma" w:hAnsi="Tahoma" w:cs="Tahoma"/>
          <w:sz w:val="24"/>
          <w:szCs w:val="24"/>
          <w:lang w:val="es-419"/>
        </w:rPr>
        <w:t xml:space="preserve">pero </w:t>
      </w:r>
      <w:r w:rsidR="003C0BC1" w:rsidRPr="00DF2DC9">
        <w:rPr>
          <w:rFonts w:ascii="Tahoma" w:hAnsi="Tahoma" w:cs="Tahoma"/>
          <w:sz w:val="24"/>
          <w:szCs w:val="24"/>
          <w:lang w:val="es-419"/>
        </w:rPr>
        <w:t xml:space="preserve">en el Hospital del Centro y en el de San Joaquín, adscritos a la ESE SALUD PEREIRA, donde otros menores de la misma edad de </w:t>
      </w:r>
      <w:r w:rsidR="00085EA7" w:rsidRPr="00DF2DC9">
        <w:rPr>
          <w:rFonts w:ascii="Tahoma" w:hAnsi="Tahoma" w:cs="Tahoma"/>
          <w:sz w:val="24"/>
          <w:szCs w:val="24"/>
          <w:lang w:val="es-419"/>
        </w:rPr>
        <w:t>su</w:t>
      </w:r>
      <w:r w:rsidR="003C0BC1" w:rsidRPr="00DF2DC9">
        <w:rPr>
          <w:rFonts w:ascii="Tahoma" w:hAnsi="Tahoma" w:cs="Tahoma"/>
          <w:sz w:val="24"/>
          <w:szCs w:val="24"/>
          <w:lang w:val="es-419"/>
        </w:rPr>
        <w:t xml:space="preserve"> hija fueron vacunados previamente -en agosto 21 y agosto 25-, se les indicó que la próxima dosis de PFIZER sería a los 21 días -en septiembre 11 y 15, respectivamente-, lo que lleva a considerar que con ello también se vulnera el derecho fundamental a la igualdad, por</w:t>
      </w:r>
      <w:r w:rsidR="00E9233A" w:rsidRPr="00DF2DC9">
        <w:rPr>
          <w:rFonts w:ascii="Tahoma" w:hAnsi="Tahoma" w:cs="Tahoma"/>
          <w:sz w:val="24"/>
          <w:szCs w:val="24"/>
          <w:lang w:val="es-419"/>
        </w:rPr>
        <w:t xml:space="preserve"> cuanto de haber acudido con su </w:t>
      </w:r>
      <w:r w:rsidR="003C0BC1" w:rsidRPr="00DF2DC9">
        <w:rPr>
          <w:rFonts w:ascii="Tahoma" w:hAnsi="Tahoma" w:cs="Tahoma"/>
          <w:sz w:val="24"/>
          <w:szCs w:val="24"/>
          <w:lang w:val="es-419"/>
        </w:rPr>
        <w:t>hija a dichos centros médicos y no a la UTP, habría tenido la posibilidad de que la segunda dosis le fuera colocada en septiembre 16 y no en noviembre 19, como así se le indicó y quedó plasmado en el carné de vacunación.</w:t>
      </w:r>
    </w:p>
    <w:p w14:paraId="49FF157C" w14:textId="07ABE69F" w:rsidR="00346A7F" w:rsidRDefault="00346A7F" w:rsidP="00DF2DC9">
      <w:pPr>
        <w:spacing w:after="0" w:line="276" w:lineRule="auto"/>
        <w:jc w:val="both"/>
        <w:rPr>
          <w:rFonts w:ascii="Tahoma" w:hAnsi="Tahoma" w:cs="Tahoma"/>
          <w:sz w:val="24"/>
          <w:szCs w:val="24"/>
          <w:lang w:val="es-419"/>
        </w:rPr>
      </w:pPr>
    </w:p>
    <w:p w14:paraId="68BB208D" w14:textId="77777777" w:rsidR="008D09BB" w:rsidRPr="00DF2DC9" w:rsidRDefault="008D09BB" w:rsidP="00DF2DC9">
      <w:pPr>
        <w:spacing w:after="0" w:line="276" w:lineRule="auto"/>
        <w:jc w:val="both"/>
        <w:rPr>
          <w:rFonts w:ascii="Tahoma" w:hAnsi="Tahoma" w:cs="Tahoma"/>
          <w:sz w:val="24"/>
          <w:szCs w:val="24"/>
          <w:lang w:val="es-419"/>
        </w:rPr>
      </w:pPr>
    </w:p>
    <w:p w14:paraId="02176195" w14:textId="59E81248" w:rsidR="00401B90" w:rsidRPr="00DF2DC9" w:rsidRDefault="006C3278" w:rsidP="00DF2DC9">
      <w:pPr>
        <w:pStyle w:val="Prrafodelista"/>
        <w:numPr>
          <w:ilvl w:val="0"/>
          <w:numId w:val="7"/>
        </w:numPr>
        <w:spacing w:after="0" w:line="276" w:lineRule="auto"/>
        <w:jc w:val="center"/>
        <w:rPr>
          <w:rFonts w:ascii="Tahoma" w:hAnsi="Tahoma" w:cs="Tahoma"/>
          <w:sz w:val="24"/>
          <w:szCs w:val="24"/>
          <w:lang w:val="es-419"/>
        </w:rPr>
      </w:pPr>
      <w:r w:rsidRPr="00DF2DC9">
        <w:rPr>
          <w:rFonts w:ascii="Tahoma" w:hAnsi="Tahoma" w:cs="Tahoma"/>
          <w:b/>
          <w:bCs/>
          <w:sz w:val="24"/>
          <w:szCs w:val="24"/>
          <w:lang w:val="es-419"/>
        </w:rPr>
        <w:t>CONTESTACIÓN DE LA DEMANDA</w:t>
      </w:r>
    </w:p>
    <w:p w14:paraId="37124500" w14:textId="77777777" w:rsidR="00346A7F" w:rsidRPr="00DF2DC9" w:rsidRDefault="00346A7F" w:rsidP="00DF2DC9">
      <w:pPr>
        <w:pStyle w:val="Prrafodelista"/>
        <w:spacing w:after="0" w:line="276" w:lineRule="auto"/>
        <w:rPr>
          <w:rFonts w:ascii="Tahoma" w:hAnsi="Tahoma" w:cs="Tahoma"/>
          <w:sz w:val="24"/>
          <w:szCs w:val="24"/>
          <w:lang w:val="es-419"/>
        </w:rPr>
      </w:pPr>
    </w:p>
    <w:p w14:paraId="4BA4FD78" w14:textId="3064C955" w:rsidR="00754A3B" w:rsidRPr="00DF2DC9" w:rsidRDefault="00754A3B"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lastRenderedPageBreak/>
        <w:t xml:space="preserve">El </w:t>
      </w:r>
      <w:r w:rsidRPr="00DF2DC9">
        <w:rPr>
          <w:rFonts w:ascii="Tahoma" w:hAnsi="Tahoma" w:cs="Tahoma"/>
          <w:b/>
          <w:sz w:val="24"/>
          <w:szCs w:val="24"/>
          <w:lang w:val="es-419"/>
        </w:rPr>
        <w:t xml:space="preserve">Ministerio de </w:t>
      </w:r>
      <w:r w:rsidR="00D330F4" w:rsidRPr="00DF2DC9">
        <w:rPr>
          <w:rFonts w:ascii="Tahoma" w:hAnsi="Tahoma" w:cs="Tahoma"/>
          <w:b/>
          <w:sz w:val="24"/>
          <w:szCs w:val="24"/>
          <w:lang w:val="es-419"/>
        </w:rPr>
        <w:t>S</w:t>
      </w:r>
      <w:r w:rsidRPr="00DF2DC9">
        <w:rPr>
          <w:rFonts w:ascii="Tahoma" w:hAnsi="Tahoma" w:cs="Tahoma"/>
          <w:b/>
          <w:sz w:val="24"/>
          <w:szCs w:val="24"/>
          <w:lang w:val="es-419"/>
        </w:rPr>
        <w:t xml:space="preserve">alud y </w:t>
      </w:r>
      <w:r w:rsidR="00D330F4" w:rsidRPr="00DF2DC9">
        <w:rPr>
          <w:rFonts w:ascii="Tahoma" w:hAnsi="Tahoma" w:cs="Tahoma"/>
          <w:b/>
          <w:sz w:val="24"/>
          <w:szCs w:val="24"/>
          <w:lang w:val="es-419"/>
        </w:rPr>
        <w:t>P</w:t>
      </w:r>
      <w:r w:rsidRPr="00DF2DC9">
        <w:rPr>
          <w:rFonts w:ascii="Tahoma" w:hAnsi="Tahoma" w:cs="Tahoma"/>
          <w:b/>
          <w:sz w:val="24"/>
          <w:szCs w:val="24"/>
          <w:lang w:val="es-419"/>
        </w:rPr>
        <w:t xml:space="preserve">rotección </w:t>
      </w:r>
      <w:r w:rsidR="00D330F4" w:rsidRPr="00DF2DC9">
        <w:rPr>
          <w:rFonts w:ascii="Tahoma" w:hAnsi="Tahoma" w:cs="Tahoma"/>
          <w:b/>
          <w:sz w:val="24"/>
          <w:szCs w:val="24"/>
          <w:lang w:val="es-419"/>
        </w:rPr>
        <w:t>S</w:t>
      </w:r>
      <w:r w:rsidRPr="00DF2DC9">
        <w:rPr>
          <w:rFonts w:ascii="Tahoma" w:hAnsi="Tahoma" w:cs="Tahoma"/>
          <w:b/>
          <w:sz w:val="24"/>
          <w:szCs w:val="24"/>
          <w:lang w:val="es-419"/>
        </w:rPr>
        <w:t>ocial</w:t>
      </w:r>
      <w:r w:rsidR="00D330F4" w:rsidRPr="00DF2DC9">
        <w:rPr>
          <w:rFonts w:ascii="Tahoma" w:hAnsi="Tahoma" w:cs="Tahoma"/>
          <w:b/>
          <w:sz w:val="24"/>
          <w:szCs w:val="24"/>
          <w:lang w:val="es-419"/>
        </w:rPr>
        <w:t>,</w:t>
      </w:r>
      <w:r w:rsidR="00102545">
        <w:rPr>
          <w:rFonts w:ascii="Tahoma" w:hAnsi="Tahoma" w:cs="Tahoma"/>
          <w:b/>
          <w:sz w:val="24"/>
          <w:szCs w:val="24"/>
          <w:lang w:val="es-419"/>
        </w:rPr>
        <w:t xml:space="preserve"> </w:t>
      </w:r>
      <w:r w:rsidRPr="00DF2DC9">
        <w:rPr>
          <w:rFonts w:ascii="Tahoma" w:hAnsi="Tahoma" w:cs="Tahoma"/>
          <w:sz w:val="24"/>
          <w:szCs w:val="24"/>
          <w:lang w:val="es-419"/>
        </w:rPr>
        <w:t>representa</w:t>
      </w:r>
      <w:r w:rsidR="00D330F4" w:rsidRPr="00DF2DC9">
        <w:rPr>
          <w:rFonts w:ascii="Tahoma" w:hAnsi="Tahoma" w:cs="Tahoma"/>
          <w:sz w:val="24"/>
          <w:szCs w:val="24"/>
          <w:lang w:val="es-419"/>
        </w:rPr>
        <w:t xml:space="preserve">do por su </w:t>
      </w:r>
      <w:r w:rsidRPr="00DF2DC9">
        <w:rPr>
          <w:rFonts w:ascii="Tahoma" w:hAnsi="Tahoma" w:cs="Tahoma"/>
          <w:sz w:val="24"/>
          <w:szCs w:val="24"/>
          <w:lang w:val="es-419"/>
        </w:rPr>
        <w:t xml:space="preserve">directora </w:t>
      </w:r>
      <w:r w:rsidR="00D330F4" w:rsidRPr="00DF2DC9">
        <w:rPr>
          <w:rFonts w:ascii="Tahoma" w:hAnsi="Tahoma" w:cs="Tahoma"/>
          <w:sz w:val="24"/>
          <w:szCs w:val="24"/>
          <w:lang w:val="es-419"/>
        </w:rPr>
        <w:t>jurídica,</w:t>
      </w:r>
      <w:r w:rsidRPr="00DF2DC9">
        <w:rPr>
          <w:rFonts w:ascii="Tahoma" w:hAnsi="Tahoma" w:cs="Tahoma"/>
          <w:sz w:val="24"/>
          <w:szCs w:val="24"/>
          <w:lang w:val="es-419"/>
        </w:rPr>
        <w:t xml:space="preserve"> la Doctora </w:t>
      </w:r>
      <w:r w:rsidRPr="00DF2DC9">
        <w:rPr>
          <w:rFonts w:ascii="Tahoma" w:hAnsi="Tahoma" w:cs="Tahoma"/>
          <w:b/>
          <w:sz w:val="24"/>
          <w:szCs w:val="24"/>
          <w:lang w:val="es-419"/>
        </w:rPr>
        <w:t>Andrea Elizabeth Hurtado Neira</w:t>
      </w:r>
      <w:r w:rsidR="00B258F5">
        <w:rPr>
          <w:rFonts w:ascii="Tahoma" w:hAnsi="Tahoma" w:cs="Tahoma"/>
          <w:sz w:val="24"/>
          <w:szCs w:val="24"/>
          <w:lang w:val="es-419"/>
        </w:rPr>
        <w:t>,</w:t>
      </w:r>
      <w:r w:rsidR="0087341C" w:rsidRPr="00DF2DC9">
        <w:rPr>
          <w:rFonts w:ascii="Tahoma" w:hAnsi="Tahoma" w:cs="Tahoma"/>
          <w:sz w:val="24"/>
          <w:szCs w:val="24"/>
          <w:lang w:val="es-419"/>
        </w:rPr>
        <w:t xml:space="preserve"> frente a los hechos de la demanda</w:t>
      </w:r>
      <w:r w:rsidRPr="00DF2DC9">
        <w:rPr>
          <w:rFonts w:ascii="Tahoma" w:hAnsi="Tahoma" w:cs="Tahoma"/>
          <w:sz w:val="24"/>
          <w:szCs w:val="24"/>
          <w:lang w:val="es-419"/>
        </w:rPr>
        <w:t xml:space="preserve"> manifestó que el Plan Nacional de Vacunación contra el Covid-19 fue adoptado por medio del Decreto 109 de 2021 y en él se define la priorización apuntando a proteger los daños más graves e inmediatos sobre la vida, la salud y la dignidad de los habitantes del te</w:t>
      </w:r>
      <w:r w:rsidR="007B77DF" w:rsidRPr="00DF2DC9">
        <w:rPr>
          <w:rFonts w:ascii="Tahoma" w:hAnsi="Tahoma" w:cs="Tahoma"/>
          <w:sz w:val="24"/>
          <w:szCs w:val="24"/>
          <w:lang w:val="es-419"/>
        </w:rPr>
        <w:t>rritorio colombiano, por lo que</w:t>
      </w:r>
      <w:r w:rsidRPr="00DF2DC9">
        <w:rPr>
          <w:rFonts w:ascii="Tahoma" w:hAnsi="Tahoma" w:cs="Tahoma"/>
          <w:sz w:val="24"/>
          <w:szCs w:val="24"/>
          <w:lang w:val="es-419"/>
        </w:rPr>
        <w:t xml:space="preserve"> nadie se encuentra excluido, aclarando que la vacunación se ir</w:t>
      </w:r>
      <w:r w:rsidR="00D330F4" w:rsidRPr="00DF2DC9">
        <w:rPr>
          <w:rFonts w:ascii="Tahoma" w:hAnsi="Tahoma" w:cs="Tahoma"/>
          <w:sz w:val="24"/>
          <w:szCs w:val="24"/>
          <w:lang w:val="es-419"/>
        </w:rPr>
        <w:t>á</w:t>
      </w:r>
      <w:r w:rsidRPr="00DF2DC9">
        <w:rPr>
          <w:rFonts w:ascii="Tahoma" w:hAnsi="Tahoma" w:cs="Tahoma"/>
          <w:sz w:val="24"/>
          <w:szCs w:val="24"/>
          <w:lang w:val="es-419"/>
        </w:rPr>
        <w:t xml:space="preserve"> ejecutando gradualmente, con el </w:t>
      </w:r>
      <w:r w:rsidR="00D330F4" w:rsidRPr="00DF2DC9">
        <w:rPr>
          <w:rFonts w:ascii="Tahoma" w:hAnsi="Tahoma" w:cs="Tahoma"/>
          <w:sz w:val="24"/>
          <w:szCs w:val="24"/>
          <w:lang w:val="es-419"/>
        </w:rPr>
        <w:t>fin</w:t>
      </w:r>
      <w:r w:rsidRPr="00DF2DC9">
        <w:rPr>
          <w:rFonts w:ascii="Tahoma" w:hAnsi="Tahoma" w:cs="Tahoma"/>
          <w:sz w:val="24"/>
          <w:szCs w:val="24"/>
          <w:lang w:val="es-419"/>
        </w:rPr>
        <w:t xml:space="preserve"> de lograr la reducción de la mortalidad por COVID-19, la disminución de la incidencia de casos graves y la protección de la población que</w:t>
      </w:r>
      <w:r w:rsidR="00422898" w:rsidRPr="00DF2DC9">
        <w:rPr>
          <w:rFonts w:ascii="Tahoma" w:hAnsi="Tahoma" w:cs="Tahoma"/>
          <w:sz w:val="24"/>
          <w:szCs w:val="24"/>
          <w:lang w:val="es-419"/>
        </w:rPr>
        <w:t xml:space="preserve"> tiene alta exposición al virus</w:t>
      </w:r>
      <w:r w:rsidRPr="00DF2DC9">
        <w:rPr>
          <w:rFonts w:ascii="Tahoma" w:hAnsi="Tahoma" w:cs="Tahoma"/>
          <w:sz w:val="24"/>
          <w:szCs w:val="24"/>
          <w:lang w:val="es-419"/>
        </w:rPr>
        <w:t xml:space="preserve"> entre otras, cuyo orden ha sido establecido a partir de unos criterios éticos, epidemiológicos y demográficos, que priorizan a las personas con más riesgo de enfermar gravemente y morir por COVID-19. Seguidamente, señala que el orden para acceder a la aplicación del biológico ha sido establecido a partir de unos criterios éticos, epidemiológicos y demográficos, que priorizan a las personas con más riesgo de enfermar gravemente y morir por COVID-19, así mismo la decisión de ampliar el intervalo entre dosis tiene sustento en la evidencia científica procurando la protección del derecho a la vida y salud de los habitantes del territorio colombiano. Así mismo, luego de explicar los criterios científicos que se tuvieron en cuenta para la ampliación del intervalo entre vacunas, solicitó </w:t>
      </w:r>
      <w:r w:rsidR="00D330F4" w:rsidRPr="00DF2DC9">
        <w:rPr>
          <w:rFonts w:ascii="Tahoma" w:hAnsi="Tahoma" w:cs="Tahoma"/>
          <w:sz w:val="24"/>
          <w:szCs w:val="24"/>
          <w:lang w:val="es-419"/>
        </w:rPr>
        <w:t xml:space="preserve">que </w:t>
      </w:r>
      <w:r w:rsidRPr="00DF2DC9">
        <w:rPr>
          <w:rFonts w:ascii="Tahoma" w:hAnsi="Tahoma" w:cs="Tahoma"/>
          <w:sz w:val="24"/>
          <w:szCs w:val="24"/>
          <w:lang w:val="es-419"/>
        </w:rPr>
        <w:t xml:space="preserve">se negaran las pretensiones de la tutela y, se exonerara al </w:t>
      </w:r>
      <w:r w:rsidRPr="00DF2DC9">
        <w:rPr>
          <w:rFonts w:ascii="Tahoma" w:hAnsi="Tahoma" w:cs="Tahoma"/>
          <w:b/>
          <w:sz w:val="24"/>
          <w:szCs w:val="24"/>
          <w:lang w:val="es-419"/>
        </w:rPr>
        <w:t xml:space="preserve">Ministerio de Salud y Protección Social </w:t>
      </w:r>
      <w:r w:rsidRPr="00DF2DC9">
        <w:rPr>
          <w:rFonts w:ascii="Tahoma" w:hAnsi="Tahoma" w:cs="Tahoma"/>
          <w:sz w:val="24"/>
          <w:szCs w:val="24"/>
          <w:lang w:val="es-419"/>
        </w:rPr>
        <w:t>de las responsabilidades que se le endilgan, al no ser la entidad competente para acceder a lo pretendido.</w:t>
      </w:r>
    </w:p>
    <w:p w14:paraId="7841B584" w14:textId="77777777" w:rsidR="00C57FB9" w:rsidRPr="00DF2DC9" w:rsidRDefault="00C57FB9" w:rsidP="00DF2DC9">
      <w:pPr>
        <w:spacing w:after="0" w:line="276" w:lineRule="auto"/>
        <w:jc w:val="both"/>
        <w:rPr>
          <w:rFonts w:ascii="Tahoma" w:hAnsi="Tahoma" w:cs="Tahoma"/>
          <w:sz w:val="24"/>
          <w:szCs w:val="24"/>
          <w:lang w:val="es-419"/>
        </w:rPr>
      </w:pPr>
    </w:p>
    <w:p w14:paraId="0C7B07FF" w14:textId="5E1DDB83" w:rsidR="00A16BA3" w:rsidRPr="00DF2DC9" w:rsidRDefault="00C57FB9"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 xml:space="preserve">Por su parte </w:t>
      </w:r>
      <w:r w:rsidRPr="00DF2DC9">
        <w:rPr>
          <w:rFonts w:ascii="Tahoma" w:hAnsi="Tahoma" w:cs="Tahoma"/>
          <w:b/>
          <w:sz w:val="24"/>
          <w:szCs w:val="24"/>
          <w:lang w:val="es-419"/>
        </w:rPr>
        <w:t xml:space="preserve">La Universidad </w:t>
      </w:r>
      <w:r w:rsidR="003C7B25" w:rsidRPr="00DF2DC9">
        <w:rPr>
          <w:rFonts w:ascii="Tahoma" w:hAnsi="Tahoma" w:cs="Tahoma"/>
          <w:b/>
          <w:sz w:val="24"/>
          <w:szCs w:val="24"/>
          <w:lang w:val="es-419"/>
        </w:rPr>
        <w:t>Tecnológica</w:t>
      </w:r>
      <w:r w:rsidRPr="00DF2DC9">
        <w:rPr>
          <w:rFonts w:ascii="Tahoma" w:hAnsi="Tahoma" w:cs="Tahoma"/>
          <w:b/>
          <w:sz w:val="24"/>
          <w:szCs w:val="24"/>
          <w:lang w:val="es-419"/>
        </w:rPr>
        <w:t xml:space="preserve"> de Pereira UTP</w:t>
      </w:r>
      <w:r w:rsidRPr="00DF2DC9">
        <w:rPr>
          <w:rFonts w:ascii="Tahoma" w:hAnsi="Tahoma" w:cs="Tahoma"/>
          <w:sz w:val="24"/>
          <w:szCs w:val="24"/>
        </w:rPr>
        <w:t xml:space="preserve"> </w:t>
      </w:r>
      <w:r w:rsidRPr="00DF2DC9">
        <w:rPr>
          <w:rFonts w:ascii="Tahoma" w:hAnsi="Tahoma" w:cs="Tahoma"/>
          <w:sz w:val="24"/>
          <w:szCs w:val="24"/>
          <w:lang w:val="es-419"/>
        </w:rPr>
        <w:t xml:space="preserve">presentó contestación a través de su Rector y representante legal, informando que la Universidad inició labores de vacunación para Covid 19 en el marco de la emergencia </w:t>
      </w:r>
      <w:r w:rsidR="00D330F4" w:rsidRPr="00DF2DC9">
        <w:rPr>
          <w:rFonts w:ascii="Tahoma" w:hAnsi="Tahoma" w:cs="Tahoma"/>
          <w:sz w:val="24"/>
          <w:szCs w:val="24"/>
          <w:lang w:val="es-419"/>
        </w:rPr>
        <w:t>de</w:t>
      </w:r>
      <w:r w:rsidRPr="00DF2DC9">
        <w:rPr>
          <w:rFonts w:ascii="Tahoma" w:hAnsi="Tahoma" w:cs="Tahoma"/>
          <w:sz w:val="24"/>
          <w:szCs w:val="24"/>
          <w:lang w:val="es-419"/>
        </w:rPr>
        <w:t xml:space="preserve"> salud suscitada por la pandemia desde el día 27 de marzo de 2021, ceñida estrictamente a las directrices de los entes del gobierno, específicamente del Ministerio de Salud, así como las Secretarías de Salud Municipal y Departamental y a los parámetros exigidos por los entes de control como Controlaría, Procuraduría, Veeduría y Personería. Así mismo, refiere que la Institución ha sido cuidadosa de no infringir las normas de priorización de las vacunas, especialmente de los rangos y períodos establecidos para la aplicación de los biológicos en única, primera y segunda dosis, toda vez que el Ministerio de Salud con su estrategia, ha buscado priorizar a las personas más vulnerables por lo que creó el sistema de etapas siempre basados en la evidencia clínica científica; actuar en contrario, generaría graves consecuencias legales para el centro de vacunación, la Universidad y el personal encargado del tal procedimiento. Finalmente, sostiene que el objeto principal de la presente acción carece de fundamento jurídico en tanto que lo pretendido es abiertamente arbitrario y contradictorio frente a los dispuesto por el Ministerio de Salud. Por lo anterior, solicita la desvinculación de la Universidad Tecnológica de Pereira pues la misma no tiene incidencia en la decisión objetada.</w:t>
      </w:r>
    </w:p>
    <w:p w14:paraId="1C05D165" w14:textId="6DDCA34D" w:rsidR="007E0530" w:rsidRDefault="007E0530" w:rsidP="00DF2DC9">
      <w:pPr>
        <w:spacing w:after="0" w:line="276" w:lineRule="auto"/>
        <w:jc w:val="both"/>
        <w:rPr>
          <w:rFonts w:ascii="Tahoma" w:hAnsi="Tahoma" w:cs="Tahoma"/>
          <w:sz w:val="24"/>
          <w:szCs w:val="24"/>
          <w:lang w:val="es-419"/>
        </w:rPr>
      </w:pPr>
    </w:p>
    <w:p w14:paraId="4471B842" w14:textId="77777777" w:rsidR="008D09BB" w:rsidRPr="00DF2DC9" w:rsidRDefault="008D09BB" w:rsidP="00DF2DC9">
      <w:pPr>
        <w:spacing w:after="0" w:line="276" w:lineRule="auto"/>
        <w:jc w:val="both"/>
        <w:rPr>
          <w:rFonts w:ascii="Tahoma" w:hAnsi="Tahoma" w:cs="Tahoma"/>
          <w:sz w:val="24"/>
          <w:szCs w:val="24"/>
          <w:lang w:val="es-419"/>
        </w:rPr>
      </w:pPr>
    </w:p>
    <w:p w14:paraId="4C4CAD1B" w14:textId="1607FF9B" w:rsidR="00BE5433" w:rsidRPr="00DF2DC9" w:rsidRDefault="006C3278" w:rsidP="00DF2DC9">
      <w:pPr>
        <w:pStyle w:val="Prrafodelista"/>
        <w:numPr>
          <w:ilvl w:val="0"/>
          <w:numId w:val="7"/>
        </w:numPr>
        <w:spacing w:after="0" w:line="276" w:lineRule="auto"/>
        <w:jc w:val="center"/>
        <w:rPr>
          <w:rFonts w:ascii="Tahoma" w:hAnsi="Tahoma" w:cs="Tahoma"/>
          <w:sz w:val="24"/>
          <w:szCs w:val="24"/>
          <w:lang w:val="es-419"/>
        </w:rPr>
      </w:pPr>
      <w:r w:rsidRPr="00DF2DC9">
        <w:rPr>
          <w:rFonts w:ascii="Tahoma" w:hAnsi="Tahoma" w:cs="Tahoma"/>
          <w:b/>
          <w:bCs/>
          <w:sz w:val="24"/>
          <w:szCs w:val="24"/>
          <w:lang w:val="es-419"/>
        </w:rPr>
        <w:t>SENTENCIA DE PRIMERA INSTANCIA</w:t>
      </w:r>
    </w:p>
    <w:p w14:paraId="7EE39BFA" w14:textId="619AC39B" w:rsidR="00BE5433" w:rsidRPr="00DF2DC9" w:rsidRDefault="00BE5433" w:rsidP="00DF2DC9">
      <w:pPr>
        <w:spacing w:after="0" w:line="276" w:lineRule="auto"/>
        <w:jc w:val="both"/>
        <w:rPr>
          <w:rFonts w:ascii="Tahoma" w:hAnsi="Tahoma" w:cs="Tahoma"/>
          <w:b/>
          <w:bCs/>
          <w:sz w:val="24"/>
          <w:szCs w:val="24"/>
          <w:lang w:val="es-419"/>
        </w:rPr>
      </w:pPr>
    </w:p>
    <w:p w14:paraId="4738ED99" w14:textId="7C5992A1" w:rsidR="00AA21A7" w:rsidRPr="00DF2DC9" w:rsidRDefault="00D330F4" w:rsidP="00B258F5">
      <w:pPr>
        <w:pStyle w:val="Prrafodelista"/>
        <w:spacing w:after="0" w:line="276" w:lineRule="auto"/>
        <w:ind w:left="0"/>
        <w:jc w:val="both"/>
        <w:rPr>
          <w:rFonts w:ascii="Tahoma" w:hAnsi="Tahoma" w:cs="Tahoma"/>
          <w:sz w:val="24"/>
          <w:szCs w:val="24"/>
          <w:lang w:val="es-419"/>
        </w:rPr>
      </w:pPr>
      <w:r w:rsidRPr="00DF2DC9">
        <w:rPr>
          <w:rFonts w:ascii="Tahoma" w:hAnsi="Tahoma" w:cs="Tahoma"/>
          <w:sz w:val="24"/>
          <w:szCs w:val="24"/>
          <w:lang w:val="es-419"/>
        </w:rPr>
        <w:t>La</w:t>
      </w:r>
      <w:r w:rsidR="00BE5433" w:rsidRPr="00DF2DC9">
        <w:rPr>
          <w:rFonts w:ascii="Tahoma" w:hAnsi="Tahoma" w:cs="Tahoma"/>
          <w:sz w:val="24"/>
          <w:szCs w:val="24"/>
          <w:lang w:val="es-419"/>
        </w:rPr>
        <w:t xml:space="preserve"> a quo </w:t>
      </w:r>
      <w:r w:rsidR="004F1EA4" w:rsidRPr="00DF2DC9">
        <w:rPr>
          <w:rFonts w:ascii="Tahoma" w:hAnsi="Tahoma" w:cs="Tahoma"/>
          <w:sz w:val="24"/>
          <w:szCs w:val="24"/>
          <w:lang w:val="es-419"/>
        </w:rPr>
        <w:t xml:space="preserve">no </w:t>
      </w:r>
      <w:r w:rsidR="00BE5433" w:rsidRPr="00DF2DC9">
        <w:rPr>
          <w:rFonts w:ascii="Tahoma" w:hAnsi="Tahoma" w:cs="Tahoma"/>
          <w:sz w:val="24"/>
          <w:szCs w:val="24"/>
          <w:lang w:val="es-419"/>
        </w:rPr>
        <w:t xml:space="preserve">tuteló el derecho fundamental </w:t>
      </w:r>
      <w:r w:rsidR="00AA21A7" w:rsidRPr="00DF2DC9">
        <w:rPr>
          <w:rFonts w:ascii="Tahoma" w:hAnsi="Tahoma" w:cs="Tahoma"/>
          <w:sz w:val="24"/>
          <w:szCs w:val="24"/>
          <w:lang w:val="es-419"/>
        </w:rPr>
        <w:t>a</w:t>
      </w:r>
      <w:r w:rsidR="00BE5433" w:rsidRPr="00DF2DC9">
        <w:rPr>
          <w:rFonts w:ascii="Tahoma" w:hAnsi="Tahoma" w:cs="Tahoma"/>
          <w:sz w:val="24"/>
          <w:szCs w:val="24"/>
          <w:lang w:val="es-419"/>
        </w:rPr>
        <w:t xml:space="preserve"> </w:t>
      </w:r>
      <w:r w:rsidR="00DD4DDD" w:rsidRPr="00DF2DC9">
        <w:rPr>
          <w:rFonts w:ascii="Tahoma" w:hAnsi="Tahoma" w:cs="Tahoma"/>
          <w:sz w:val="24"/>
          <w:szCs w:val="24"/>
          <w:lang w:val="es-419"/>
        </w:rPr>
        <w:t xml:space="preserve">la vida, la salud y la igualdad de la </w:t>
      </w:r>
      <w:r w:rsidR="00B258F5" w:rsidRPr="00DF2DC9">
        <w:rPr>
          <w:rFonts w:ascii="Tahoma" w:hAnsi="Tahoma" w:cs="Tahoma"/>
          <w:sz w:val="24"/>
          <w:szCs w:val="24"/>
          <w:lang w:val="es-419"/>
        </w:rPr>
        <w:t>menor Melissa</w:t>
      </w:r>
      <w:r w:rsidR="00B258F5" w:rsidRPr="00DF2DC9">
        <w:rPr>
          <w:rFonts w:ascii="Tahoma" w:hAnsi="Tahoma" w:cs="Tahoma"/>
          <w:b/>
          <w:sz w:val="24"/>
          <w:szCs w:val="24"/>
          <w:lang w:val="es-419"/>
        </w:rPr>
        <w:t xml:space="preserve"> Álvarez</w:t>
      </w:r>
      <w:r w:rsidR="00AA21A7" w:rsidRPr="00DF2DC9">
        <w:rPr>
          <w:rFonts w:ascii="Tahoma" w:hAnsi="Tahoma" w:cs="Tahoma"/>
          <w:b/>
          <w:sz w:val="24"/>
          <w:szCs w:val="24"/>
          <w:lang w:val="es-419"/>
        </w:rPr>
        <w:t xml:space="preserve"> </w:t>
      </w:r>
      <w:r w:rsidR="00DD4DDD" w:rsidRPr="00DF2DC9">
        <w:rPr>
          <w:rFonts w:ascii="Tahoma" w:hAnsi="Tahoma" w:cs="Tahoma"/>
          <w:sz w:val="24"/>
          <w:szCs w:val="24"/>
          <w:lang w:val="es-419"/>
        </w:rPr>
        <w:t xml:space="preserve">por </w:t>
      </w:r>
      <w:r w:rsidR="009C35ED" w:rsidRPr="00DF2DC9">
        <w:rPr>
          <w:rFonts w:ascii="Tahoma" w:hAnsi="Tahoma" w:cs="Tahoma"/>
          <w:sz w:val="24"/>
          <w:szCs w:val="24"/>
          <w:lang w:val="es-419"/>
        </w:rPr>
        <w:t>considerar improcedente el amparo constitucional</w:t>
      </w:r>
      <w:r w:rsidR="006E64F0" w:rsidRPr="00DF2DC9">
        <w:rPr>
          <w:rFonts w:ascii="Tahoma" w:hAnsi="Tahoma" w:cs="Tahoma"/>
          <w:sz w:val="24"/>
          <w:szCs w:val="24"/>
          <w:lang w:val="es-419"/>
        </w:rPr>
        <w:t xml:space="preserve">. </w:t>
      </w:r>
    </w:p>
    <w:p w14:paraId="0BECC570" w14:textId="77777777" w:rsidR="00AA21A7" w:rsidRPr="00DF2DC9" w:rsidRDefault="00AA21A7" w:rsidP="00B258F5">
      <w:pPr>
        <w:pStyle w:val="Prrafodelista"/>
        <w:spacing w:after="0" w:line="276" w:lineRule="auto"/>
        <w:ind w:left="0"/>
        <w:jc w:val="both"/>
        <w:rPr>
          <w:rFonts w:ascii="Tahoma" w:hAnsi="Tahoma" w:cs="Tahoma"/>
          <w:sz w:val="24"/>
          <w:szCs w:val="24"/>
          <w:lang w:val="es-419"/>
        </w:rPr>
      </w:pPr>
    </w:p>
    <w:p w14:paraId="01767743" w14:textId="584064FB" w:rsidR="00015280" w:rsidRPr="00DF2DC9" w:rsidRDefault="00AA21A7" w:rsidP="00B258F5">
      <w:pPr>
        <w:pStyle w:val="Prrafodelista"/>
        <w:spacing w:after="0" w:line="276" w:lineRule="auto"/>
        <w:ind w:left="0"/>
        <w:jc w:val="both"/>
        <w:rPr>
          <w:rFonts w:ascii="Tahoma" w:hAnsi="Tahoma" w:cs="Tahoma"/>
          <w:b/>
          <w:sz w:val="24"/>
          <w:szCs w:val="24"/>
          <w:lang w:val="es-419"/>
        </w:rPr>
      </w:pPr>
      <w:r w:rsidRPr="00DF2DC9">
        <w:rPr>
          <w:rFonts w:ascii="Tahoma" w:hAnsi="Tahoma" w:cs="Tahoma"/>
          <w:sz w:val="24"/>
          <w:szCs w:val="24"/>
          <w:lang w:val="es-419"/>
        </w:rPr>
        <w:t xml:space="preserve">Para ello argumentó que </w:t>
      </w:r>
      <w:r w:rsidR="008E34E3" w:rsidRPr="00DF2DC9">
        <w:rPr>
          <w:rFonts w:ascii="Tahoma" w:hAnsi="Tahoma" w:cs="Tahoma"/>
          <w:sz w:val="24"/>
          <w:szCs w:val="24"/>
          <w:lang w:val="es-419"/>
        </w:rPr>
        <w:t>el</w:t>
      </w:r>
      <w:r w:rsidR="00015280" w:rsidRPr="00DF2DC9">
        <w:rPr>
          <w:rFonts w:ascii="Tahoma" w:hAnsi="Tahoma" w:cs="Tahoma"/>
          <w:sz w:val="24"/>
          <w:szCs w:val="24"/>
        </w:rPr>
        <w:t xml:space="preserve"> </w:t>
      </w:r>
      <w:r w:rsidR="00015280" w:rsidRPr="00DF2DC9">
        <w:rPr>
          <w:rFonts w:ascii="Tahoma" w:hAnsi="Tahoma" w:cs="Tahoma"/>
          <w:sz w:val="24"/>
          <w:szCs w:val="24"/>
          <w:lang w:val="es-419"/>
        </w:rPr>
        <w:t xml:space="preserve">Instituto Nacional de Vigilancia de Medicamentos y Alimentos – </w:t>
      </w:r>
      <w:r w:rsidR="00015280" w:rsidRPr="00DF2DC9">
        <w:rPr>
          <w:rFonts w:ascii="Tahoma" w:hAnsi="Tahoma" w:cs="Tahoma"/>
          <w:b/>
          <w:sz w:val="24"/>
          <w:szCs w:val="24"/>
          <w:lang w:val="es-419"/>
        </w:rPr>
        <w:t>INVIMA,</w:t>
      </w:r>
      <w:r w:rsidR="00015280" w:rsidRPr="00DF2DC9">
        <w:rPr>
          <w:rFonts w:ascii="Tahoma" w:hAnsi="Tahoma" w:cs="Tahoma"/>
          <w:sz w:val="24"/>
          <w:szCs w:val="24"/>
          <w:lang w:val="es-419"/>
        </w:rPr>
        <w:t xml:space="preserve"> a través de la Resolución No. 2021031941 de 2021 </w:t>
      </w:r>
      <w:r w:rsidR="00015280" w:rsidRPr="00DF2DC9">
        <w:rPr>
          <w:rFonts w:ascii="Tahoma" w:hAnsi="Tahoma" w:cs="Tahoma"/>
          <w:i/>
          <w:sz w:val="24"/>
          <w:szCs w:val="24"/>
          <w:lang w:val="es-419"/>
        </w:rPr>
        <w:t>“Por la cual se resuelve una solicitud de actualización de una Autorización Sanitaria de Uso de Emergencia -ASUE”</w:t>
      </w:r>
      <w:r w:rsidR="00015280" w:rsidRPr="00DF2DC9">
        <w:rPr>
          <w:rFonts w:ascii="Tahoma" w:hAnsi="Tahoma" w:cs="Tahoma"/>
          <w:sz w:val="24"/>
          <w:szCs w:val="24"/>
          <w:lang w:val="es-419"/>
        </w:rPr>
        <w:t xml:space="preserve">, con fundamento en los análisis científicos realizados por el Ministerio de Salud y Protección Social, permitió en el artículo tercero implementar un intervalo </w:t>
      </w:r>
      <w:r w:rsidR="00015280" w:rsidRPr="00DF2DC9">
        <w:rPr>
          <w:rFonts w:ascii="Tahoma" w:hAnsi="Tahoma" w:cs="Tahoma"/>
          <w:b/>
          <w:sz w:val="24"/>
          <w:szCs w:val="24"/>
          <w:lang w:val="es-419"/>
        </w:rPr>
        <w:t>entre 21 y 84 días para administrar la segunda dosis de la vacuna Pfizer-</w:t>
      </w:r>
      <w:proofErr w:type="spellStart"/>
      <w:r w:rsidR="00015280" w:rsidRPr="00DF2DC9">
        <w:rPr>
          <w:rFonts w:ascii="Tahoma" w:hAnsi="Tahoma" w:cs="Tahoma"/>
          <w:b/>
          <w:sz w:val="24"/>
          <w:szCs w:val="24"/>
          <w:lang w:val="es-419"/>
        </w:rPr>
        <w:t>BioNTech</w:t>
      </w:r>
      <w:proofErr w:type="spellEnd"/>
      <w:r w:rsidR="00015280" w:rsidRPr="00DF2DC9">
        <w:rPr>
          <w:rFonts w:ascii="Tahoma" w:hAnsi="Tahoma" w:cs="Tahoma"/>
          <w:b/>
          <w:sz w:val="24"/>
          <w:szCs w:val="24"/>
          <w:lang w:val="es-419"/>
        </w:rPr>
        <w:t xml:space="preserve"> COVID-19 </w:t>
      </w:r>
      <w:proofErr w:type="spellStart"/>
      <w:r w:rsidR="00015280" w:rsidRPr="00DF2DC9">
        <w:rPr>
          <w:rFonts w:ascii="Tahoma" w:hAnsi="Tahoma" w:cs="Tahoma"/>
          <w:b/>
          <w:sz w:val="24"/>
          <w:szCs w:val="24"/>
          <w:lang w:val="es-419"/>
        </w:rPr>
        <w:t>Vaccine</w:t>
      </w:r>
      <w:proofErr w:type="spellEnd"/>
      <w:r w:rsidR="00015280" w:rsidRPr="00DF2DC9">
        <w:rPr>
          <w:rFonts w:ascii="Tahoma" w:hAnsi="Tahoma" w:cs="Tahoma"/>
          <w:sz w:val="24"/>
          <w:szCs w:val="24"/>
          <w:lang w:val="es-419"/>
        </w:rPr>
        <w:t xml:space="preserve"> y; bajo dicha prerrogativa, el aludido Ministerio, procedió a expedir la Resolución 1151 de 2021, acto administrativo que modifica parcialmente la Resolución 430 de 2021 </w:t>
      </w:r>
      <w:r w:rsidR="00015280" w:rsidRPr="00DF2DC9">
        <w:rPr>
          <w:rFonts w:ascii="Tahoma" w:hAnsi="Tahoma" w:cs="Tahoma"/>
          <w:i/>
          <w:sz w:val="24"/>
          <w:szCs w:val="24"/>
          <w:lang w:val="es-419"/>
        </w:rPr>
        <w:t>“Por la cual se actualizan los lineamientos técnicos y operativos para la vacunación contra el COVID-19 y se dictan otras disposiciones”</w:t>
      </w:r>
      <w:r w:rsidR="00015280" w:rsidRPr="00DF2DC9">
        <w:rPr>
          <w:rFonts w:ascii="Tahoma" w:hAnsi="Tahoma" w:cs="Tahoma"/>
          <w:sz w:val="24"/>
          <w:szCs w:val="24"/>
          <w:lang w:val="es-419"/>
        </w:rPr>
        <w:t xml:space="preserve">, particularmente los criterios establecidos en el anexo 6 </w:t>
      </w:r>
      <w:r w:rsidRPr="00DF2DC9">
        <w:rPr>
          <w:rFonts w:ascii="Tahoma" w:hAnsi="Tahoma" w:cs="Tahoma"/>
          <w:sz w:val="24"/>
          <w:szCs w:val="24"/>
          <w:lang w:val="es-419"/>
        </w:rPr>
        <w:t>-</w:t>
      </w:r>
      <w:r w:rsidR="00015280" w:rsidRPr="00DF2DC9">
        <w:rPr>
          <w:rFonts w:ascii="Tahoma" w:hAnsi="Tahoma" w:cs="Tahoma"/>
          <w:i/>
          <w:sz w:val="24"/>
          <w:szCs w:val="24"/>
          <w:lang w:val="es-419"/>
        </w:rPr>
        <w:t>“</w:t>
      </w:r>
      <w:r w:rsidR="00015280" w:rsidRPr="00B258F5">
        <w:rPr>
          <w:rFonts w:ascii="Tahoma" w:hAnsi="Tahoma" w:cs="Tahoma"/>
          <w:i/>
          <w:szCs w:val="24"/>
          <w:lang w:val="es-419"/>
        </w:rPr>
        <w:t>Anexo Técnico para la Aplicación de la Vacuna BNT162B2 PFIZER-BIONTECH CONTRA EL COVID-19</w:t>
      </w:r>
      <w:r w:rsidR="00015280" w:rsidRPr="00DF2DC9">
        <w:rPr>
          <w:rFonts w:ascii="Tahoma" w:hAnsi="Tahoma" w:cs="Tahoma"/>
          <w:i/>
          <w:sz w:val="24"/>
          <w:szCs w:val="24"/>
          <w:lang w:val="es-419"/>
        </w:rPr>
        <w:t>”</w:t>
      </w:r>
      <w:r w:rsidRPr="00DF2DC9">
        <w:rPr>
          <w:rFonts w:ascii="Tahoma" w:hAnsi="Tahoma" w:cs="Tahoma"/>
          <w:sz w:val="24"/>
          <w:szCs w:val="24"/>
          <w:lang w:val="es-419"/>
        </w:rPr>
        <w:t>-,</w:t>
      </w:r>
      <w:r w:rsidR="00015280" w:rsidRPr="00DF2DC9">
        <w:rPr>
          <w:rFonts w:ascii="Tahoma" w:hAnsi="Tahoma" w:cs="Tahoma"/>
          <w:sz w:val="24"/>
          <w:szCs w:val="24"/>
          <w:lang w:val="es-419"/>
        </w:rPr>
        <w:t xml:space="preserve"> estableciendo la ampliación del término y la aplicación de la segunda dosis de la mencionada vacuna, </w:t>
      </w:r>
      <w:r w:rsidR="00015280" w:rsidRPr="00DF2DC9">
        <w:rPr>
          <w:rFonts w:ascii="Tahoma" w:hAnsi="Tahoma" w:cs="Tahoma"/>
          <w:b/>
          <w:sz w:val="24"/>
          <w:szCs w:val="24"/>
          <w:lang w:val="es-419"/>
        </w:rPr>
        <w:t>a los 84 días, para la población de 12 a 49 años de edad sin comorbilidades y, de 21 días para el mismo grupo etario que presenta comorbilidades.</w:t>
      </w:r>
    </w:p>
    <w:p w14:paraId="1549A76B" w14:textId="77777777" w:rsidR="00AA21A7" w:rsidRPr="00DF2DC9" w:rsidRDefault="00AA21A7" w:rsidP="00B258F5">
      <w:pPr>
        <w:pStyle w:val="Prrafodelista"/>
        <w:spacing w:after="0" w:line="276" w:lineRule="auto"/>
        <w:ind w:left="0"/>
        <w:jc w:val="both"/>
        <w:rPr>
          <w:rFonts w:ascii="Tahoma" w:hAnsi="Tahoma" w:cs="Tahoma"/>
          <w:sz w:val="24"/>
          <w:szCs w:val="24"/>
          <w:lang w:val="es-419"/>
        </w:rPr>
      </w:pPr>
    </w:p>
    <w:p w14:paraId="3A672619" w14:textId="3F94E995" w:rsidR="00B43B15" w:rsidRPr="00DF2DC9" w:rsidRDefault="00AA21A7" w:rsidP="00B258F5">
      <w:pPr>
        <w:pStyle w:val="Prrafodelista"/>
        <w:spacing w:after="0" w:line="276" w:lineRule="auto"/>
        <w:ind w:left="0"/>
        <w:jc w:val="both"/>
        <w:rPr>
          <w:rFonts w:ascii="Tahoma" w:hAnsi="Tahoma" w:cs="Tahoma"/>
          <w:b/>
          <w:sz w:val="24"/>
          <w:szCs w:val="24"/>
          <w:lang w:val="es-419"/>
        </w:rPr>
      </w:pPr>
      <w:r w:rsidRPr="00DF2DC9">
        <w:rPr>
          <w:rFonts w:ascii="Tahoma" w:hAnsi="Tahoma" w:cs="Tahoma"/>
          <w:sz w:val="24"/>
          <w:szCs w:val="24"/>
          <w:lang w:val="es-419"/>
        </w:rPr>
        <w:t xml:space="preserve">Agregó que </w:t>
      </w:r>
      <w:r w:rsidR="00B43B15" w:rsidRPr="00DF2DC9">
        <w:rPr>
          <w:rFonts w:ascii="Tahoma" w:hAnsi="Tahoma" w:cs="Tahoma"/>
          <w:sz w:val="24"/>
          <w:szCs w:val="24"/>
          <w:lang w:val="es-419"/>
        </w:rPr>
        <w:t>del acervo probatorio y de los dichos aducidos por la accionante, no es posible determinar la ocurrencia de un perjuicio irremediable, por una parte, porque la parte actora no demostró una grave afectación a los derechos invocados, pues sólo se limitó a indicar que su hija debía ser vacunada en un intervalo de 21 días, por cuanto, a menores de la misma edad que fueron vac</w:t>
      </w:r>
      <w:r w:rsidR="008E4D18" w:rsidRPr="00DF2DC9">
        <w:rPr>
          <w:rFonts w:ascii="Tahoma" w:hAnsi="Tahoma" w:cs="Tahoma"/>
          <w:sz w:val="24"/>
          <w:szCs w:val="24"/>
          <w:lang w:val="es-419"/>
        </w:rPr>
        <w:t xml:space="preserve">unados en fechas cercanas </w:t>
      </w:r>
      <w:r w:rsidR="00B43B15" w:rsidRPr="00DF2DC9">
        <w:rPr>
          <w:rFonts w:ascii="Tahoma" w:hAnsi="Tahoma" w:cs="Tahoma"/>
          <w:sz w:val="24"/>
          <w:szCs w:val="24"/>
          <w:lang w:val="es-419"/>
        </w:rPr>
        <w:t>se les había programado la segunda dos</w:t>
      </w:r>
      <w:r w:rsidR="008E4D18" w:rsidRPr="00DF2DC9">
        <w:rPr>
          <w:rFonts w:ascii="Tahoma" w:hAnsi="Tahoma" w:cs="Tahoma"/>
          <w:sz w:val="24"/>
          <w:szCs w:val="24"/>
          <w:lang w:val="es-419"/>
        </w:rPr>
        <w:t>is en dicho interregno sin que se logre comprobar que</w:t>
      </w:r>
      <w:r w:rsidR="00B43B15" w:rsidRPr="00DF2DC9">
        <w:rPr>
          <w:rFonts w:ascii="Tahoma" w:hAnsi="Tahoma" w:cs="Tahoma"/>
          <w:sz w:val="24"/>
          <w:szCs w:val="24"/>
          <w:lang w:val="es-419"/>
        </w:rPr>
        <w:t xml:space="preserve"> efectivamente dichas dosis fueron aplicadas en las fechas antes aludid</w:t>
      </w:r>
      <w:r w:rsidR="008E4D18" w:rsidRPr="00DF2DC9">
        <w:rPr>
          <w:rFonts w:ascii="Tahoma" w:hAnsi="Tahoma" w:cs="Tahoma"/>
          <w:sz w:val="24"/>
          <w:szCs w:val="24"/>
          <w:lang w:val="es-419"/>
        </w:rPr>
        <w:t>as, pues como se puede observar</w:t>
      </w:r>
      <w:r w:rsidR="00B43B15" w:rsidRPr="00DF2DC9">
        <w:rPr>
          <w:rFonts w:ascii="Tahoma" w:hAnsi="Tahoma" w:cs="Tahoma"/>
          <w:sz w:val="24"/>
          <w:szCs w:val="24"/>
          <w:lang w:val="es-419"/>
        </w:rPr>
        <w:t xml:space="preserve"> las mismas aún no han acontecid</w:t>
      </w:r>
      <w:r w:rsidR="008E4D18" w:rsidRPr="00DF2DC9">
        <w:rPr>
          <w:rFonts w:ascii="Tahoma" w:hAnsi="Tahoma" w:cs="Tahoma"/>
          <w:sz w:val="24"/>
          <w:szCs w:val="24"/>
          <w:lang w:val="es-419"/>
        </w:rPr>
        <w:t>o; además</w:t>
      </w:r>
      <w:r w:rsidR="00B43B15" w:rsidRPr="00DF2DC9">
        <w:rPr>
          <w:rFonts w:ascii="Tahoma" w:hAnsi="Tahoma" w:cs="Tahoma"/>
          <w:sz w:val="24"/>
          <w:szCs w:val="24"/>
          <w:lang w:val="es-419"/>
        </w:rPr>
        <w:t xml:space="preserve"> debe tenerse en cuenta que el anexo </w:t>
      </w:r>
      <w:r w:rsidR="008E4D18" w:rsidRPr="00DF2DC9">
        <w:rPr>
          <w:rFonts w:ascii="Tahoma" w:hAnsi="Tahoma" w:cs="Tahoma"/>
          <w:sz w:val="24"/>
          <w:szCs w:val="24"/>
          <w:lang w:val="es-419"/>
        </w:rPr>
        <w:t>6 de la Resolución 1151 de 2021</w:t>
      </w:r>
      <w:r w:rsidR="00B43B15" w:rsidRPr="00DF2DC9">
        <w:rPr>
          <w:rFonts w:ascii="Tahoma" w:hAnsi="Tahoma" w:cs="Tahoma"/>
          <w:sz w:val="24"/>
          <w:szCs w:val="24"/>
          <w:lang w:val="es-419"/>
        </w:rPr>
        <w:t xml:space="preserve"> dispuso la aplicación de la se</w:t>
      </w:r>
      <w:r w:rsidR="008E4D18" w:rsidRPr="00DF2DC9">
        <w:rPr>
          <w:rFonts w:ascii="Tahoma" w:hAnsi="Tahoma" w:cs="Tahoma"/>
          <w:sz w:val="24"/>
          <w:szCs w:val="24"/>
          <w:lang w:val="es-419"/>
        </w:rPr>
        <w:t>gunda dosis de la vacuna PFIZER</w:t>
      </w:r>
      <w:r w:rsidR="00B43B15" w:rsidRPr="00DF2DC9">
        <w:rPr>
          <w:rFonts w:ascii="Tahoma" w:hAnsi="Tahoma" w:cs="Tahoma"/>
          <w:sz w:val="24"/>
          <w:szCs w:val="24"/>
          <w:lang w:val="es-419"/>
        </w:rPr>
        <w:t xml:space="preserve"> a los 21 días para el mismo grupo etario que p</w:t>
      </w:r>
      <w:r w:rsidR="008E4D18" w:rsidRPr="00DF2DC9">
        <w:rPr>
          <w:rFonts w:ascii="Tahoma" w:hAnsi="Tahoma" w:cs="Tahoma"/>
          <w:sz w:val="24"/>
          <w:szCs w:val="24"/>
          <w:lang w:val="es-419"/>
        </w:rPr>
        <w:t>resenta comorbilidades, sin que</w:t>
      </w:r>
      <w:r w:rsidR="00B43B15" w:rsidRPr="00DF2DC9">
        <w:rPr>
          <w:rFonts w:ascii="Tahoma" w:hAnsi="Tahoma" w:cs="Tahoma"/>
          <w:sz w:val="24"/>
          <w:szCs w:val="24"/>
          <w:lang w:val="es-419"/>
        </w:rPr>
        <w:t xml:space="preserve"> en la presente acción se haya demostrado que la menor</w:t>
      </w:r>
      <w:r w:rsidR="00B43B15" w:rsidRPr="00DF2DC9">
        <w:rPr>
          <w:rFonts w:ascii="Tahoma" w:hAnsi="Tahoma" w:cs="Tahoma"/>
          <w:b/>
          <w:sz w:val="24"/>
          <w:szCs w:val="24"/>
          <w:lang w:val="es-419"/>
        </w:rPr>
        <w:t xml:space="preserve"> MELISSA </w:t>
      </w:r>
      <w:r w:rsidR="003C7B25" w:rsidRPr="00DF2DC9">
        <w:rPr>
          <w:rFonts w:ascii="Tahoma" w:hAnsi="Tahoma" w:cs="Tahoma"/>
          <w:b/>
          <w:sz w:val="24"/>
          <w:szCs w:val="24"/>
          <w:lang w:val="es-419"/>
        </w:rPr>
        <w:t>ÁLVAREZ</w:t>
      </w:r>
      <w:r w:rsidR="00B43B15" w:rsidRPr="00BC250C">
        <w:rPr>
          <w:rFonts w:ascii="Tahoma" w:hAnsi="Tahoma" w:cs="Tahoma"/>
          <w:sz w:val="24"/>
          <w:szCs w:val="24"/>
          <w:lang w:val="es-419"/>
        </w:rPr>
        <w:t xml:space="preserve">, </w:t>
      </w:r>
      <w:r w:rsidR="00B43B15" w:rsidRPr="00DF2DC9">
        <w:rPr>
          <w:rFonts w:ascii="Tahoma" w:hAnsi="Tahoma" w:cs="Tahoma"/>
          <w:sz w:val="24"/>
          <w:szCs w:val="24"/>
          <w:lang w:val="es-419"/>
        </w:rPr>
        <w:t xml:space="preserve">se encuentre dentro de la población que cuenta con una condición de </w:t>
      </w:r>
      <w:r w:rsidR="00B43B15" w:rsidRPr="00DF2DC9">
        <w:rPr>
          <w:rFonts w:ascii="Tahoma" w:hAnsi="Tahoma" w:cs="Tahoma"/>
          <w:b/>
          <w:sz w:val="24"/>
          <w:szCs w:val="24"/>
          <w:lang w:val="es-419"/>
        </w:rPr>
        <w:t>comorbilidad.</w:t>
      </w:r>
    </w:p>
    <w:p w14:paraId="0925907C" w14:textId="77777777" w:rsidR="00AA21A7" w:rsidRPr="00DF2DC9" w:rsidRDefault="00AA21A7" w:rsidP="00B258F5">
      <w:pPr>
        <w:pStyle w:val="Prrafodelista"/>
        <w:spacing w:after="0" w:line="276" w:lineRule="auto"/>
        <w:ind w:left="0"/>
        <w:jc w:val="both"/>
        <w:rPr>
          <w:rFonts w:ascii="Tahoma" w:hAnsi="Tahoma" w:cs="Tahoma"/>
          <w:b/>
          <w:sz w:val="24"/>
          <w:szCs w:val="24"/>
          <w:lang w:val="es-419"/>
        </w:rPr>
      </w:pPr>
    </w:p>
    <w:p w14:paraId="216FCBAE" w14:textId="6D8F9164" w:rsidR="008E34E3" w:rsidRPr="00DF2DC9" w:rsidRDefault="00B43B15" w:rsidP="00B258F5">
      <w:pPr>
        <w:pStyle w:val="Prrafodelista"/>
        <w:spacing w:after="0" w:line="276" w:lineRule="auto"/>
        <w:ind w:left="0"/>
        <w:jc w:val="both"/>
        <w:rPr>
          <w:rFonts w:ascii="Tahoma" w:hAnsi="Tahoma" w:cs="Tahoma"/>
          <w:sz w:val="24"/>
          <w:szCs w:val="24"/>
          <w:lang w:val="es-419"/>
        </w:rPr>
      </w:pPr>
      <w:r w:rsidRPr="00DF2DC9">
        <w:rPr>
          <w:rFonts w:ascii="Tahoma" w:hAnsi="Tahoma" w:cs="Tahoma"/>
          <w:sz w:val="24"/>
          <w:szCs w:val="24"/>
          <w:lang w:val="es-419"/>
        </w:rPr>
        <w:t>Adicionalmente</w:t>
      </w:r>
      <w:r w:rsidR="00AA21A7" w:rsidRPr="00DF2DC9">
        <w:rPr>
          <w:rFonts w:ascii="Tahoma" w:hAnsi="Tahoma" w:cs="Tahoma"/>
          <w:sz w:val="24"/>
          <w:szCs w:val="24"/>
          <w:lang w:val="es-419"/>
        </w:rPr>
        <w:t xml:space="preserve"> dijo que en</w:t>
      </w:r>
      <w:r w:rsidRPr="00DF2DC9">
        <w:rPr>
          <w:rFonts w:ascii="Tahoma" w:hAnsi="Tahoma" w:cs="Tahoma"/>
          <w:sz w:val="24"/>
          <w:szCs w:val="24"/>
          <w:lang w:val="es-419"/>
        </w:rPr>
        <w:t xml:space="preserve"> el </w:t>
      </w:r>
      <w:r w:rsidR="008E34E3" w:rsidRPr="00DF2DC9">
        <w:rPr>
          <w:rFonts w:ascii="Tahoma" w:hAnsi="Tahoma" w:cs="Tahoma"/>
          <w:sz w:val="24"/>
          <w:szCs w:val="24"/>
          <w:lang w:val="es-419"/>
        </w:rPr>
        <w:t>Decreto 109 de 2021, por el cual se adopta el Plan Nacional de Vacunación, es posible colegir que la vacunación no tiene un carácter obligatorio para la población destinataria de la misma, pues únicamente se señala que tal proceso es de naturaleza gratuita</w:t>
      </w:r>
      <w:r w:rsidR="00AA21A7" w:rsidRPr="00DF2DC9">
        <w:rPr>
          <w:rFonts w:ascii="Tahoma" w:hAnsi="Tahoma" w:cs="Tahoma"/>
          <w:sz w:val="24"/>
          <w:szCs w:val="24"/>
          <w:lang w:val="es-419"/>
        </w:rPr>
        <w:t>;</w:t>
      </w:r>
      <w:r w:rsidR="00B3385B" w:rsidRPr="00DF2DC9">
        <w:rPr>
          <w:rFonts w:ascii="Tahoma" w:hAnsi="Tahoma" w:cs="Tahoma"/>
          <w:sz w:val="24"/>
          <w:szCs w:val="24"/>
          <w:lang w:val="es-419"/>
        </w:rPr>
        <w:t xml:space="preserve"> </w:t>
      </w:r>
      <w:r w:rsidR="008E34E3" w:rsidRPr="00DF2DC9">
        <w:rPr>
          <w:rFonts w:ascii="Tahoma" w:hAnsi="Tahoma" w:cs="Tahoma"/>
          <w:sz w:val="24"/>
          <w:szCs w:val="24"/>
          <w:lang w:val="es-419"/>
        </w:rPr>
        <w:t>asimismo, los prestadores de los servicios de salud deben informar a cada persona que la vacunación es voluntaria, de modo que es cada individuo quien, en ejercicio de sus garantías mínimas fundamentales, decide si desea o no aplicarse la vacuna.</w:t>
      </w:r>
    </w:p>
    <w:p w14:paraId="578BEB97" w14:textId="77777777" w:rsidR="008E34E3" w:rsidRPr="00DF2DC9" w:rsidRDefault="008E34E3" w:rsidP="00B258F5">
      <w:pPr>
        <w:pStyle w:val="Prrafodelista"/>
        <w:spacing w:after="0" w:line="276" w:lineRule="auto"/>
        <w:ind w:left="0"/>
        <w:jc w:val="both"/>
        <w:rPr>
          <w:rFonts w:ascii="Tahoma" w:hAnsi="Tahoma" w:cs="Tahoma"/>
          <w:sz w:val="24"/>
          <w:szCs w:val="24"/>
          <w:lang w:val="es-419"/>
        </w:rPr>
      </w:pPr>
    </w:p>
    <w:p w14:paraId="3E184303" w14:textId="5089978C" w:rsidR="008E34E3" w:rsidRPr="00DF2DC9" w:rsidRDefault="00AA21A7" w:rsidP="00B258F5">
      <w:pPr>
        <w:pStyle w:val="Prrafodelista"/>
        <w:spacing w:after="0" w:line="276" w:lineRule="auto"/>
        <w:ind w:left="0"/>
        <w:jc w:val="both"/>
        <w:rPr>
          <w:rFonts w:ascii="Tahoma" w:hAnsi="Tahoma" w:cs="Tahoma"/>
          <w:sz w:val="24"/>
          <w:szCs w:val="24"/>
          <w:lang w:val="es-419"/>
        </w:rPr>
      </w:pPr>
      <w:r w:rsidRPr="00DF2DC9">
        <w:rPr>
          <w:rFonts w:ascii="Tahoma" w:hAnsi="Tahoma" w:cs="Tahoma"/>
          <w:sz w:val="24"/>
          <w:szCs w:val="24"/>
          <w:lang w:val="es-419"/>
        </w:rPr>
        <w:t xml:space="preserve">En este caso, </w:t>
      </w:r>
      <w:r w:rsidR="00B3385B" w:rsidRPr="00DF2DC9">
        <w:rPr>
          <w:rFonts w:ascii="Tahoma" w:hAnsi="Tahoma" w:cs="Tahoma"/>
          <w:sz w:val="24"/>
          <w:szCs w:val="24"/>
          <w:lang w:val="es-419"/>
        </w:rPr>
        <w:t xml:space="preserve">la manifestación de la voluntad de la accionante, como representante legal de la menor </w:t>
      </w:r>
      <w:r w:rsidR="00B3385B" w:rsidRPr="00DF2DC9">
        <w:rPr>
          <w:rFonts w:ascii="Tahoma" w:hAnsi="Tahoma" w:cs="Tahoma"/>
          <w:b/>
          <w:sz w:val="24"/>
          <w:szCs w:val="24"/>
          <w:lang w:val="es-419"/>
        </w:rPr>
        <w:t>MELISSA ALVARES PUERTA</w:t>
      </w:r>
      <w:r w:rsidR="00B3385B" w:rsidRPr="00DF2DC9">
        <w:rPr>
          <w:rFonts w:ascii="Tahoma" w:hAnsi="Tahoma" w:cs="Tahoma"/>
          <w:sz w:val="24"/>
          <w:szCs w:val="24"/>
          <w:lang w:val="es-419"/>
        </w:rPr>
        <w:t xml:space="preserve">, se ve constatada en el hecho de permitir la aplicación de la vacuna PFIZER a su hija, pues como bien se indica en el escrito de tutela, </w:t>
      </w:r>
      <w:r w:rsidR="00B3385B" w:rsidRPr="00DF2DC9">
        <w:rPr>
          <w:rFonts w:ascii="Tahoma" w:hAnsi="Tahoma" w:cs="Tahoma"/>
          <w:i/>
          <w:sz w:val="24"/>
          <w:szCs w:val="24"/>
          <w:lang w:val="es-419"/>
        </w:rPr>
        <w:t>“</w:t>
      </w:r>
      <w:r w:rsidR="00B3385B" w:rsidRPr="000F2035">
        <w:rPr>
          <w:rFonts w:ascii="Tahoma" w:hAnsi="Tahoma" w:cs="Tahoma"/>
          <w:i/>
          <w:szCs w:val="24"/>
          <w:lang w:val="es-419"/>
        </w:rPr>
        <w:t>[e]n el momento que empezaron a socializar y a explicar que vacuna les sería aplicada, se informó que el Ministerio de Salud, había ampliado el lapso para la aplicación de la segunda dosis de tres semanas (21 días) a doce semanas (84 días)</w:t>
      </w:r>
      <w:r w:rsidR="00B3385B" w:rsidRPr="00DF2DC9">
        <w:rPr>
          <w:rFonts w:ascii="Tahoma" w:hAnsi="Tahoma" w:cs="Tahoma"/>
          <w:i/>
          <w:sz w:val="24"/>
          <w:szCs w:val="24"/>
          <w:lang w:val="es-419"/>
        </w:rPr>
        <w:t>”</w:t>
      </w:r>
      <w:r w:rsidR="00B3385B" w:rsidRPr="00DF2DC9">
        <w:rPr>
          <w:rFonts w:ascii="Tahoma" w:hAnsi="Tahoma" w:cs="Tahoma"/>
          <w:sz w:val="24"/>
          <w:szCs w:val="24"/>
          <w:lang w:val="es-419"/>
        </w:rPr>
        <w:t xml:space="preserve">, es decir que, tuvo </w:t>
      </w:r>
      <w:r w:rsidR="00B3385B" w:rsidRPr="00DF2DC9">
        <w:rPr>
          <w:rFonts w:ascii="Tahoma" w:hAnsi="Tahoma" w:cs="Tahoma"/>
          <w:sz w:val="24"/>
          <w:szCs w:val="24"/>
          <w:lang w:val="es-419"/>
        </w:rPr>
        <w:lastRenderedPageBreak/>
        <w:t>conocimiento y fue debidamente informada sobre las decisiones adoptadas por el Gobierno Nacional frente a la aplicación de</w:t>
      </w:r>
      <w:r w:rsidRPr="00DF2DC9">
        <w:rPr>
          <w:rFonts w:ascii="Tahoma" w:hAnsi="Tahoma" w:cs="Tahoma"/>
          <w:sz w:val="24"/>
          <w:szCs w:val="24"/>
          <w:lang w:val="es-419"/>
        </w:rPr>
        <w:t xml:space="preserve"> la segunda dosis. </w:t>
      </w:r>
      <w:r w:rsidR="00B3385B" w:rsidRPr="00DF2DC9">
        <w:rPr>
          <w:rFonts w:ascii="Tahoma" w:hAnsi="Tahoma" w:cs="Tahoma"/>
          <w:sz w:val="24"/>
          <w:szCs w:val="24"/>
          <w:lang w:val="es-419"/>
        </w:rPr>
        <w:t xml:space="preserve">En consecuencia, </w:t>
      </w:r>
      <w:r w:rsidRPr="00DF2DC9">
        <w:rPr>
          <w:rFonts w:ascii="Tahoma" w:hAnsi="Tahoma" w:cs="Tahoma"/>
          <w:sz w:val="24"/>
          <w:szCs w:val="24"/>
          <w:lang w:val="es-419"/>
        </w:rPr>
        <w:t xml:space="preserve">concluyó la jueza, que </w:t>
      </w:r>
      <w:r w:rsidR="00B3385B" w:rsidRPr="00DF2DC9">
        <w:rPr>
          <w:rFonts w:ascii="Tahoma" w:hAnsi="Tahoma" w:cs="Tahoma"/>
          <w:sz w:val="24"/>
          <w:szCs w:val="24"/>
          <w:lang w:val="es-419"/>
        </w:rPr>
        <w:t xml:space="preserve">dado el carácter voluntario de la vacunación, ello impide que se estructure un perjuicio irremediable a los derechos </w:t>
      </w:r>
      <w:r w:rsidR="008E34E3" w:rsidRPr="00DF2DC9">
        <w:rPr>
          <w:rFonts w:ascii="Tahoma" w:hAnsi="Tahoma" w:cs="Tahoma"/>
          <w:sz w:val="24"/>
          <w:szCs w:val="24"/>
          <w:lang w:val="es-419"/>
        </w:rPr>
        <w:t>fundamentales a la vida, a la salud y a la igualdad invocados por la parte actora.</w:t>
      </w:r>
    </w:p>
    <w:p w14:paraId="203B6368" w14:textId="59B69C68" w:rsidR="00E20EC4" w:rsidRDefault="00E20EC4" w:rsidP="00DF2DC9">
      <w:pPr>
        <w:spacing w:after="0" w:line="276" w:lineRule="auto"/>
        <w:rPr>
          <w:rFonts w:ascii="Tahoma" w:hAnsi="Tahoma" w:cs="Tahoma"/>
          <w:sz w:val="24"/>
          <w:szCs w:val="24"/>
          <w:lang w:val="es-419"/>
        </w:rPr>
      </w:pPr>
    </w:p>
    <w:p w14:paraId="4D9B3937" w14:textId="77777777" w:rsidR="008D09BB" w:rsidRPr="00DF2DC9" w:rsidRDefault="008D09BB" w:rsidP="00DF2DC9">
      <w:pPr>
        <w:spacing w:after="0" w:line="276" w:lineRule="auto"/>
        <w:rPr>
          <w:rFonts w:ascii="Tahoma" w:hAnsi="Tahoma" w:cs="Tahoma"/>
          <w:sz w:val="24"/>
          <w:szCs w:val="24"/>
          <w:lang w:val="es-419"/>
        </w:rPr>
      </w:pPr>
    </w:p>
    <w:p w14:paraId="51B35625" w14:textId="07E9F797" w:rsidR="002E1E9E" w:rsidRPr="00DF2DC9" w:rsidRDefault="006C3278" w:rsidP="00DF2DC9">
      <w:pPr>
        <w:pStyle w:val="Prrafodelista"/>
        <w:numPr>
          <w:ilvl w:val="0"/>
          <w:numId w:val="7"/>
        </w:numPr>
        <w:spacing w:after="0" w:line="276" w:lineRule="auto"/>
        <w:jc w:val="center"/>
        <w:rPr>
          <w:rFonts w:ascii="Tahoma" w:hAnsi="Tahoma" w:cs="Tahoma"/>
          <w:sz w:val="24"/>
          <w:szCs w:val="24"/>
          <w:lang w:val="es-419"/>
        </w:rPr>
      </w:pPr>
      <w:r w:rsidRPr="00DF2DC9">
        <w:rPr>
          <w:rFonts w:ascii="Tahoma" w:hAnsi="Tahoma" w:cs="Tahoma"/>
          <w:b/>
          <w:bCs/>
          <w:sz w:val="24"/>
          <w:szCs w:val="24"/>
          <w:lang w:val="es-419"/>
        </w:rPr>
        <w:t>IMPUGNACIÓN</w:t>
      </w:r>
    </w:p>
    <w:p w14:paraId="35CC0597" w14:textId="77777777" w:rsidR="006C3278" w:rsidRPr="00DF2DC9" w:rsidRDefault="006C3278" w:rsidP="00DF2DC9">
      <w:pPr>
        <w:pStyle w:val="Prrafodelista"/>
        <w:spacing w:after="0" w:line="276" w:lineRule="auto"/>
        <w:rPr>
          <w:rFonts w:ascii="Tahoma" w:hAnsi="Tahoma" w:cs="Tahoma"/>
          <w:sz w:val="24"/>
          <w:szCs w:val="24"/>
          <w:lang w:val="es-419"/>
        </w:rPr>
      </w:pPr>
    </w:p>
    <w:p w14:paraId="08911C57" w14:textId="06F04AE9" w:rsidR="001710DD" w:rsidRPr="00DF2DC9" w:rsidRDefault="00E20EC4"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La</w:t>
      </w:r>
      <w:r w:rsidR="00B3385B" w:rsidRPr="00DF2DC9">
        <w:rPr>
          <w:rFonts w:ascii="Tahoma" w:hAnsi="Tahoma" w:cs="Tahoma"/>
          <w:sz w:val="24"/>
          <w:szCs w:val="24"/>
          <w:lang w:val="es-419"/>
        </w:rPr>
        <w:t xml:space="preserve"> señora </w:t>
      </w:r>
      <w:r w:rsidR="003C7B25" w:rsidRPr="00DF2DC9">
        <w:rPr>
          <w:rFonts w:ascii="Tahoma" w:hAnsi="Tahoma" w:cs="Tahoma"/>
          <w:b/>
          <w:sz w:val="24"/>
          <w:szCs w:val="24"/>
          <w:lang w:val="es-419"/>
        </w:rPr>
        <w:t>MARÍA</w:t>
      </w:r>
      <w:r w:rsidR="00B3385B" w:rsidRPr="00DF2DC9">
        <w:rPr>
          <w:rFonts w:ascii="Tahoma" w:hAnsi="Tahoma" w:cs="Tahoma"/>
          <w:b/>
          <w:sz w:val="24"/>
          <w:szCs w:val="24"/>
          <w:lang w:val="es-419"/>
        </w:rPr>
        <w:t xml:space="preserve"> GLADYS PUERTA </w:t>
      </w:r>
      <w:r w:rsidR="003C7B25" w:rsidRPr="00DF2DC9">
        <w:rPr>
          <w:rFonts w:ascii="Tahoma" w:hAnsi="Tahoma" w:cs="Tahoma"/>
          <w:b/>
          <w:sz w:val="24"/>
          <w:szCs w:val="24"/>
          <w:lang w:val="es-419"/>
        </w:rPr>
        <w:t>GONZÁLEZ</w:t>
      </w:r>
      <w:r w:rsidR="00B3385B" w:rsidRPr="00DF2DC9">
        <w:rPr>
          <w:rFonts w:ascii="Tahoma" w:hAnsi="Tahoma" w:cs="Tahoma"/>
          <w:b/>
          <w:sz w:val="24"/>
          <w:szCs w:val="24"/>
          <w:lang w:val="es-419"/>
        </w:rPr>
        <w:t xml:space="preserve"> </w:t>
      </w:r>
      <w:r w:rsidR="00B3385B" w:rsidRPr="00DF2DC9">
        <w:rPr>
          <w:rFonts w:ascii="Tahoma" w:hAnsi="Tahoma" w:cs="Tahoma"/>
          <w:sz w:val="24"/>
          <w:szCs w:val="24"/>
          <w:lang w:val="es-419"/>
        </w:rPr>
        <w:t xml:space="preserve">en representación de su hija la menor </w:t>
      </w:r>
      <w:r w:rsidR="00B3385B" w:rsidRPr="00DF2DC9">
        <w:rPr>
          <w:rFonts w:ascii="Tahoma" w:hAnsi="Tahoma" w:cs="Tahoma"/>
          <w:b/>
          <w:sz w:val="24"/>
          <w:szCs w:val="24"/>
          <w:lang w:val="es-419"/>
        </w:rPr>
        <w:t xml:space="preserve">Melissa </w:t>
      </w:r>
      <w:r w:rsidR="003C7B25" w:rsidRPr="00DF2DC9">
        <w:rPr>
          <w:rFonts w:ascii="Tahoma" w:hAnsi="Tahoma" w:cs="Tahoma"/>
          <w:b/>
          <w:sz w:val="24"/>
          <w:szCs w:val="24"/>
          <w:lang w:val="es-419"/>
        </w:rPr>
        <w:t>Álvarez</w:t>
      </w:r>
      <w:r w:rsidR="00B3385B" w:rsidRPr="00DF2DC9">
        <w:rPr>
          <w:rFonts w:ascii="Tahoma" w:hAnsi="Tahoma" w:cs="Tahoma"/>
          <w:b/>
          <w:sz w:val="24"/>
          <w:szCs w:val="24"/>
          <w:lang w:val="es-419"/>
        </w:rPr>
        <w:t xml:space="preserve"> Puerta</w:t>
      </w:r>
      <w:r w:rsidR="00B3385B" w:rsidRPr="00DF2DC9">
        <w:rPr>
          <w:rFonts w:ascii="Tahoma" w:hAnsi="Tahoma" w:cs="Tahoma"/>
          <w:sz w:val="24"/>
          <w:szCs w:val="24"/>
          <w:lang w:val="es-419"/>
        </w:rPr>
        <w:t xml:space="preserve"> </w:t>
      </w:r>
      <w:r w:rsidRPr="00DF2DC9">
        <w:rPr>
          <w:rFonts w:ascii="Tahoma" w:hAnsi="Tahoma" w:cs="Tahoma"/>
          <w:sz w:val="24"/>
          <w:szCs w:val="24"/>
          <w:lang w:val="es-419"/>
        </w:rPr>
        <w:t>impugnó la decisión de primer grado, solicitando</w:t>
      </w:r>
      <w:r w:rsidR="00351003" w:rsidRPr="00DF2DC9">
        <w:rPr>
          <w:rFonts w:ascii="Tahoma" w:hAnsi="Tahoma" w:cs="Tahoma"/>
          <w:sz w:val="24"/>
          <w:szCs w:val="24"/>
          <w:lang w:val="es-419"/>
        </w:rPr>
        <w:t xml:space="preserve"> </w:t>
      </w:r>
      <w:r w:rsidR="00974356" w:rsidRPr="00DF2DC9">
        <w:rPr>
          <w:rFonts w:ascii="Tahoma" w:hAnsi="Tahoma" w:cs="Tahoma"/>
          <w:sz w:val="24"/>
          <w:szCs w:val="24"/>
          <w:lang w:val="es-419"/>
        </w:rPr>
        <w:t xml:space="preserve">que </w:t>
      </w:r>
      <w:r w:rsidRPr="00DF2DC9">
        <w:rPr>
          <w:rFonts w:ascii="Tahoma" w:hAnsi="Tahoma" w:cs="Tahoma"/>
          <w:sz w:val="24"/>
          <w:szCs w:val="24"/>
          <w:lang w:val="es-419"/>
        </w:rPr>
        <w:t xml:space="preserve">se </w:t>
      </w:r>
      <w:r w:rsidR="00CA3B18" w:rsidRPr="00DF2DC9">
        <w:rPr>
          <w:rFonts w:ascii="Tahoma" w:hAnsi="Tahoma" w:cs="Tahoma"/>
          <w:sz w:val="24"/>
          <w:szCs w:val="24"/>
          <w:lang w:val="es-419"/>
        </w:rPr>
        <w:t>revoque el fallo adoptado por la juez</w:t>
      </w:r>
      <w:r w:rsidR="00936B80" w:rsidRPr="00DF2DC9">
        <w:rPr>
          <w:rFonts w:ascii="Tahoma" w:hAnsi="Tahoma" w:cs="Tahoma"/>
          <w:sz w:val="24"/>
          <w:szCs w:val="24"/>
          <w:lang w:val="es-419"/>
        </w:rPr>
        <w:t>a</w:t>
      </w:r>
      <w:r w:rsidR="00CA3B18" w:rsidRPr="00DF2DC9">
        <w:rPr>
          <w:rFonts w:ascii="Tahoma" w:hAnsi="Tahoma" w:cs="Tahoma"/>
          <w:sz w:val="24"/>
          <w:szCs w:val="24"/>
          <w:lang w:val="es-419"/>
        </w:rPr>
        <w:t xml:space="preserve"> de tutela en primera instancia</w:t>
      </w:r>
      <w:r w:rsidR="00102545">
        <w:rPr>
          <w:rFonts w:ascii="Tahoma" w:hAnsi="Tahoma" w:cs="Tahoma"/>
          <w:sz w:val="24"/>
          <w:szCs w:val="24"/>
          <w:lang w:val="es-419"/>
        </w:rPr>
        <w:t xml:space="preserve"> </w:t>
      </w:r>
      <w:r w:rsidR="00CA3B18" w:rsidRPr="00DF2DC9">
        <w:rPr>
          <w:rFonts w:ascii="Tahoma" w:hAnsi="Tahoma" w:cs="Tahoma"/>
          <w:sz w:val="24"/>
          <w:szCs w:val="24"/>
          <w:lang w:val="es-419"/>
        </w:rPr>
        <w:t>y en su lugar se amparen los derechos reclamados en favor su hija y se le ordene al Ministerio de Salud que disponga la aplicación de la segunda dosis de Pfizer, a la mayor brevedad, dado que por lo decidido</w:t>
      </w:r>
      <w:r w:rsidR="00102545">
        <w:rPr>
          <w:rFonts w:ascii="Tahoma" w:hAnsi="Tahoma" w:cs="Tahoma"/>
          <w:sz w:val="24"/>
          <w:szCs w:val="24"/>
          <w:lang w:val="es-419"/>
        </w:rPr>
        <w:t xml:space="preserve"> </w:t>
      </w:r>
      <w:r w:rsidR="00CA3B18" w:rsidRPr="00DF2DC9">
        <w:rPr>
          <w:rFonts w:ascii="Tahoma" w:hAnsi="Tahoma" w:cs="Tahoma"/>
          <w:sz w:val="24"/>
          <w:szCs w:val="24"/>
          <w:lang w:val="es-419"/>
        </w:rPr>
        <w:t>anteriormente</w:t>
      </w:r>
      <w:r w:rsidR="00102545">
        <w:rPr>
          <w:rFonts w:ascii="Tahoma" w:hAnsi="Tahoma" w:cs="Tahoma"/>
          <w:sz w:val="24"/>
          <w:szCs w:val="24"/>
          <w:lang w:val="es-419"/>
        </w:rPr>
        <w:t xml:space="preserve"> </w:t>
      </w:r>
      <w:r w:rsidR="00CA3B18" w:rsidRPr="00DF2DC9">
        <w:rPr>
          <w:rFonts w:ascii="Tahoma" w:hAnsi="Tahoma" w:cs="Tahoma"/>
          <w:sz w:val="24"/>
          <w:szCs w:val="24"/>
          <w:lang w:val="es-419"/>
        </w:rPr>
        <w:t>no logrará efectuarse dentro de los 21 días siguientes como hubiera sido lo esperado.</w:t>
      </w:r>
      <w:r w:rsidR="00974356" w:rsidRPr="00DF2DC9">
        <w:rPr>
          <w:rFonts w:ascii="Tahoma" w:hAnsi="Tahoma" w:cs="Tahoma"/>
          <w:sz w:val="24"/>
          <w:szCs w:val="24"/>
          <w:lang w:val="es-419"/>
        </w:rPr>
        <w:t xml:space="preserve"> </w:t>
      </w:r>
    </w:p>
    <w:p w14:paraId="38F1A51A" w14:textId="77777777" w:rsidR="00EC7042" w:rsidRPr="00DF2DC9" w:rsidRDefault="00EC7042" w:rsidP="00DF2DC9">
      <w:pPr>
        <w:spacing w:after="0" w:line="276" w:lineRule="auto"/>
        <w:jc w:val="both"/>
        <w:rPr>
          <w:rFonts w:ascii="Tahoma" w:hAnsi="Tahoma" w:cs="Tahoma"/>
          <w:sz w:val="24"/>
          <w:szCs w:val="24"/>
          <w:lang w:val="es-419"/>
        </w:rPr>
      </w:pPr>
    </w:p>
    <w:p w14:paraId="50153461" w14:textId="1D3D6A01" w:rsidR="00EC2F36" w:rsidRPr="00DF2DC9" w:rsidRDefault="00F95314"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 xml:space="preserve">Para fundamentar la </w:t>
      </w:r>
      <w:r w:rsidR="0069509A" w:rsidRPr="00DF2DC9">
        <w:rPr>
          <w:rFonts w:ascii="Tahoma" w:hAnsi="Tahoma" w:cs="Tahoma"/>
          <w:sz w:val="24"/>
          <w:szCs w:val="24"/>
          <w:lang w:val="es-419"/>
        </w:rPr>
        <w:t>inconformidad</w:t>
      </w:r>
      <w:r w:rsidR="00142391" w:rsidRPr="00DF2DC9">
        <w:rPr>
          <w:rFonts w:ascii="Tahoma" w:hAnsi="Tahoma" w:cs="Tahoma"/>
          <w:sz w:val="24"/>
          <w:szCs w:val="24"/>
          <w:lang w:val="es-419"/>
        </w:rPr>
        <w:t>,</w:t>
      </w:r>
      <w:r w:rsidR="00560756" w:rsidRPr="00DF2DC9">
        <w:rPr>
          <w:rFonts w:ascii="Tahoma" w:hAnsi="Tahoma" w:cs="Tahoma"/>
          <w:sz w:val="24"/>
          <w:szCs w:val="24"/>
          <w:lang w:val="es-419"/>
        </w:rPr>
        <w:t xml:space="preserve"> </w:t>
      </w:r>
      <w:r w:rsidR="0069509A" w:rsidRPr="00DF2DC9">
        <w:rPr>
          <w:rFonts w:ascii="Tahoma" w:hAnsi="Tahoma" w:cs="Tahoma"/>
          <w:sz w:val="24"/>
          <w:szCs w:val="24"/>
          <w:lang w:val="es-419"/>
        </w:rPr>
        <w:t>en primer lugar</w:t>
      </w:r>
      <w:r w:rsidR="00EC2F36" w:rsidRPr="00DF2DC9">
        <w:rPr>
          <w:rFonts w:ascii="Tahoma" w:hAnsi="Tahoma" w:cs="Tahoma"/>
          <w:sz w:val="24"/>
          <w:szCs w:val="24"/>
          <w:lang w:val="es-419"/>
        </w:rPr>
        <w:t xml:space="preserve"> se remite a todo lo expresado en la tutela</w:t>
      </w:r>
      <w:r w:rsidR="0024454A" w:rsidRPr="00DF2DC9">
        <w:rPr>
          <w:rFonts w:ascii="Tahoma" w:hAnsi="Tahoma" w:cs="Tahoma"/>
          <w:sz w:val="24"/>
          <w:szCs w:val="24"/>
          <w:lang w:val="es-419"/>
        </w:rPr>
        <w:t>,</w:t>
      </w:r>
      <w:r w:rsidR="0069509A" w:rsidRPr="00DF2DC9">
        <w:rPr>
          <w:rFonts w:ascii="Tahoma" w:hAnsi="Tahoma" w:cs="Tahoma"/>
          <w:sz w:val="24"/>
          <w:szCs w:val="24"/>
          <w:lang w:val="es-419"/>
        </w:rPr>
        <w:t xml:space="preserve"> acepta</w:t>
      </w:r>
      <w:r w:rsidR="00EC2F36" w:rsidRPr="00DF2DC9">
        <w:rPr>
          <w:rFonts w:ascii="Tahoma" w:hAnsi="Tahoma" w:cs="Tahoma"/>
          <w:sz w:val="24"/>
          <w:szCs w:val="24"/>
          <w:lang w:val="es-419"/>
        </w:rPr>
        <w:t xml:space="preserve"> que además de la tutela, </w:t>
      </w:r>
      <w:r w:rsidR="00792847" w:rsidRPr="00DF2DC9">
        <w:rPr>
          <w:rFonts w:ascii="Tahoma" w:hAnsi="Tahoma" w:cs="Tahoma"/>
          <w:sz w:val="24"/>
          <w:szCs w:val="24"/>
          <w:lang w:val="es-419"/>
        </w:rPr>
        <w:t xml:space="preserve">existe </w:t>
      </w:r>
      <w:r w:rsidR="00EC2F36" w:rsidRPr="00DF2DC9">
        <w:rPr>
          <w:rFonts w:ascii="Tahoma" w:hAnsi="Tahoma" w:cs="Tahoma"/>
          <w:sz w:val="24"/>
          <w:szCs w:val="24"/>
          <w:lang w:val="es-419"/>
        </w:rPr>
        <w:t>otro medio judicial id</w:t>
      </w:r>
      <w:r w:rsidR="00792847" w:rsidRPr="00DF2DC9">
        <w:rPr>
          <w:rFonts w:ascii="Tahoma" w:hAnsi="Tahoma" w:cs="Tahoma"/>
          <w:sz w:val="24"/>
          <w:szCs w:val="24"/>
          <w:lang w:val="es-419"/>
        </w:rPr>
        <w:t>ó</w:t>
      </w:r>
      <w:r w:rsidR="00EC2F36" w:rsidRPr="00DF2DC9">
        <w:rPr>
          <w:rFonts w:ascii="Tahoma" w:hAnsi="Tahoma" w:cs="Tahoma"/>
          <w:sz w:val="24"/>
          <w:szCs w:val="24"/>
          <w:lang w:val="es-419"/>
        </w:rPr>
        <w:t xml:space="preserve">neo para lograr la protección reclamada, </w:t>
      </w:r>
      <w:r w:rsidR="00792847" w:rsidRPr="00DF2DC9">
        <w:rPr>
          <w:rFonts w:ascii="Tahoma" w:hAnsi="Tahoma" w:cs="Tahoma"/>
          <w:sz w:val="24"/>
          <w:szCs w:val="24"/>
          <w:lang w:val="es-419"/>
        </w:rPr>
        <w:t>pero advera</w:t>
      </w:r>
      <w:r w:rsidR="00EC2F36" w:rsidRPr="00DF2DC9">
        <w:rPr>
          <w:rFonts w:ascii="Tahoma" w:hAnsi="Tahoma" w:cs="Tahoma"/>
          <w:sz w:val="24"/>
          <w:szCs w:val="24"/>
          <w:lang w:val="es-419"/>
        </w:rPr>
        <w:t xml:space="preserve"> que la jurisdicción contenciosa es de las más congestionadas</w:t>
      </w:r>
      <w:r w:rsidR="00792847" w:rsidRPr="00DF2DC9">
        <w:rPr>
          <w:rFonts w:ascii="Tahoma" w:hAnsi="Tahoma" w:cs="Tahoma"/>
          <w:sz w:val="24"/>
          <w:szCs w:val="24"/>
          <w:lang w:val="es-419"/>
        </w:rPr>
        <w:t xml:space="preserve">, al punto que </w:t>
      </w:r>
      <w:r w:rsidR="00EC2F36" w:rsidRPr="00DF2DC9">
        <w:rPr>
          <w:rFonts w:ascii="Tahoma" w:hAnsi="Tahoma" w:cs="Tahoma"/>
          <w:sz w:val="24"/>
          <w:szCs w:val="24"/>
          <w:lang w:val="es-419"/>
        </w:rPr>
        <w:t>esperar que allí se decrete la nulidad del acto administrativo emanado</w:t>
      </w:r>
      <w:r w:rsidR="008E4D18" w:rsidRPr="00DF2DC9">
        <w:rPr>
          <w:rFonts w:ascii="Tahoma" w:hAnsi="Tahoma" w:cs="Tahoma"/>
          <w:sz w:val="24"/>
          <w:szCs w:val="24"/>
          <w:lang w:val="es-419"/>
        </w:rPr>
        <w:t xml:space="preserve"> del Ministerio de Salud</w:t>
      </w:r>
      <w:r w:rsidR="00792847" w:rsidRPr="00DF2DC9">
        <w:rPr>
          <w:rFonts w:ascii="Tahoma" w:hAnsi="Tahoma" w:cs="Tahoma"/>
          <w:sz w:val="24"/>
          <w:szCs w:val="24"/>
          <w:lang w:val="es-419"/>
        </w:rPr>
        <w:t>,</w:t>
      </w:r>
      <w:r w:rsidR="00EC2F36" w:rsidRPr="00DF2DC9">
        <w:rPr>
          <w:rFonts w:ascii="Tahoma" w:hAnsi="Tahoma" w:cs="Tahoma"/>
          <w:sz w:val="24"/>
          <w:szCs w:val="24"/>
          <w:lang w:val="es-419"/>
        </w:rPr>
        <w:t xml:space="preserve"> haría nugatorio el derecho de su</w:t>
      </w:r>
      <w:r w:rsidR="00102545">
        <w:rPr>
          <w:rFonts w:ascii="Tahoma" w:hAnsi="Tahoma" w:cs="Tahoma"/>
          <w:sz w:val="24"/>
          <w:szCs w:val="24"/>
          <w:lang w:val="es-419"/>
        </w:rPr>
        <w:t xml:space="preserve"> </w:t>
      </w:r>
      <w:r w:rsidR="00EC2F36" w:rsidRPr="00DF2DC9">
        <w:rPr>
          <w:rFonts w:ascii="Tahoma" w:hAnsi="Tahoma" w:cs="Tahoma"/>
          <w:sz w:val="24"/>
          <w:szCs w:val="24"/>
          <w:lang w:val="es-419"/>
        </w:rPr>
        <w:t>hija a culminar en tiempo oportuno su esquema de vacunación.</w:t>
      </w:r>
    </w:p>
    <w:p w14:paraId="7E9AEEE7" w14:textId="77777777" w:rsidR="00EC2F36" w:rsidRPr="00DF2DC9" w:rsidRDefault="00EC2F36" w:rsidP="00DF2DC9">
      <w:pPr>
        <w:spacing w:after="0" w:line="276" w:lineRule="auto"/>
        <w:jc w:val="both"/>
        <w:rPr>
          <w:rFonts w:ascii="Tahoma" w:hAnsi="Tahoma" w:cs="Tahoma"/>
          <w:sz w:val="24"/>
          <w:szCs w:val="24"/>
          <w:lang w:val="es-419"/>
        </w:rPr>
      </w:pPr>
    </w:p>
    <w:p w14:paraId="7F46184B" w14:textId="2ED51709" w:rsidR="00EC2F36" w:rsidRPr="00DF2DC9" w:rsidRDefault="00EC2F36"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 xml:space="preserve">Manifiesta que su hija carece de las comorbilidades a qué se hizo alusión en el fallo, y solo se pretende que la segunda dosis del biológico Pfizer le sea aplicado en la oportunidad señalada por </w:t>
      </w:r>
      <w:r w:rsidR="008E4D18" w:rsidRPr="00DF2DC9">
        <w:rPr>
          <w:rFonts w:ascii="Tahoma" w:hAnsi="Tahoma" w:cs="Tahoma"/>
          <w:sz w:val="24"/>
          <w:szCs w:val="24"/>
          <w:lang w:val="es-419"/>
        </w:rPr>
        <w:t xml:space="preserve">la casa fabricante </w:t>
      </w:r>
      <w:r w:rsidRPr="00DF2DC9">
        <w:rPr>
          <w:rFonts w:ascii="Tahoma" w:hAnsi="Tahoma" w:cs="Tahoma"/>
          <w:sz w:val="24"/>
          <w:szCs w:val="24"/>
          <w:lang w:val="es-419"/>
        </w:rPr>
        <w:t>para evitar que la misma pierda su eficacia.</w:t>
      </w:r>
    </w:p>
    <w:p w14:paraId="3FE1851E" w14:textId="77777777" w:rsidR="00792847" w:rsidRPr="00DF2DC9" w:rsidRDefault="00792847" w:rsidP="00DF2DC9">
      <w:pPr>
        <w:spacing w:after="0" w:line="276" w:lineRule="auto"/>
        <w:jc w:val="both"/>
        <w:rPr>
          <w:rFonts w:ascii="Tahoma" w:hAnsi="Tahoma" w:cs="Tahoma"/>
          <w:sz w:val="24"/>
          <w:szCs w:val="24"/>
          <w:lang w:val="es-419"/>
        </w:rPr>
      </w:pPr>
    </w:p>
    <w:p w14:paraId="13F13EB6" w14:textId="595D35CC" w:rsidR="00EC2F36" w:rsidRPr="00DF2DC9" w:rsidRDefault="00EC2F36"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 xml:space="preserve">Señala </w:t>
      </w:r>
      <w:r w:rsidR="00792847" w:rsidRPr="00DF2DC9">
        <w:rPr>
          <w:rFonts w:ascii="Tahoma" w:hAnsi="Tahoma" w:cs="Tahoma"/>
          <w:sz w:val="24"/>
          <w:szCs w:val="24"/>
          <w:lang w:val="es-419"/>
        </w:rPr>
        <w:t>también</w:t>
      </w:r>
      <w:r w:rsidRPr="00DF2DC9">
        <w:rPr>
          <w:rFonts w:ascii="Tahoma" w:hAnsi="Tahoma" w:cs="Tahoma"/>
          <w:sz w:val="24"/>
          <w:szCs w:val="24"/>
          <w:lang w:val="es-419"/>
        </w:rPr>
        <w:t xml:space="preserve"> que si</w:t>
      </w:r>
      <w:r w:rsidR="00102545">
        <w:rPr>
          <w:rFonts w:ascii="Tahoma" w:hAnsi="Tahoma" w:cs="Tahoma"/>
          <w:sz w:val="24"/>
          <w:szCs w:val="24"/>
          <w:lang w:val="es-419"/>
        </w:rPr>
        <w:t xml:space="preserve"> </w:t>
      </w:r>
      <w:r w:rsidRPr="00DF2DC9">
        <w:rPr>
          <w:rFonts w:ascii="Tahoma" w:hAnsi="Tahoma" w:cs="Tahoma"/>
          <w:sz w:val="24"/>
          <w:szCs w:val="24"/>
          <w:lang w:val="es-419"/>
        </w:rPr>
        <w:t>bien es cierto</w:t>
      </w:r>
      <w:r w:rsidR="00792847" w:rsidRPr="00DF2DC9">
        <w:rPr>
          <w:rFonts w:ascii="Tahoma" w:hAnsi="Tahoma" w:cs="Tahoma"/>
          <w:sz w:val="24"/>
          <w:szCs w:val="24"/>
          <w:lang w:val="es-419"/>
        </w:rPr>
        <w:t xml:space="preserve"> que</w:t>
      </w:r>
      <w:r w:rsidRPr="00DF2DC9">
        <w:rPr>
          <w:rFonts w:ascii="Tahoma" w:hAnsi="Tahoma" w:cs="Tahoma"/>
          <w:sz w:val="24"/>
          <w:szCs w:val="24"/>
          <w:lang w:val="es-419"/>
        </w:rPr>
        <w:t xml:space="preserve"> no se acreditó que a las demás niñas de la edad de su</w:t>
      </w:r>
      <w:r w:rsidR="00102545">
        <w:rPr>
          <w:rFonts w:ascii="Tahoma" w:hAnsi="Tahoma" w:cs="Tahoma"/>
          <w:sz w:val="24"/>
          <w:szCs w:val="24"/>
          <w:lang w:val="es-419"/>
        </w:rPr>
        <w:t xml:space="preserve"> </w:t>
      </w:r>
      <w:r w:rsidRPr="00DF2DC9">
        <w:rPr>
          <w:rFonts w:ascii="Tahoma" w:hAnsi="Tahoma" w:cs="Tahoma"/>
          <w:sz w:val="24"/>
          <w:szCs w:val="24"/>
          <w:lang w:val="es-419"/>
        </w:rPr>
        <w:t>hija</w:t>
      </w:r>
      <w:r w:rsidR="00792847" w:rsidRPr="00DF2DC9">
        <w:rPr>
          <w:rFonts w:ascii="Tahoma" w:hAnsi="Tahoma" w:cs="Tahoma"/>
          <w:sz w:val="24"/>
          <w:szCs w:val="24"/>
          <w:lang w:val="es-419"/>
        </w:rPr>
        <w:t>,</w:t>
      </w:r>
      <w:r w:rsidRPr="00DF2DC9">
        <w:rPr>
          <w:rFonts w:ascii="Tahoma" w:hAnsi="Tahoma" w:cs="Tahoma"/>
          <w:sz w:val="24"/>
          <w:szCs w:val="24"/>
          <w:lang w:val="es-419"/>
        </w:rPr>
        <w:t xml:space="preserve"> que fueron agendadas por la ESE Salud Pereira para aplicarles la segunda dosis en 21 días, lo fue por cuánto</w:t>
      </w:r>
      <w:r w:rsidR="00792847" w:rsidRPr="00DF2DC9">
        <w:rPr>
          <w:rFonts w:ascii="Tahoma" w:hAnsi="Tahoma" w:cs="Tahoma"/>
          <w:sz w:val="24"/>
          <w:szCs w:val="24"/>
          <w:lang w:val="es-419"/>
        </w:rPr>
        <w:t xml:space="preserve">, a la fecha de presentación de la demanda, </w:t>
      </w:r>
      <w:r w:rsidRPr="00DF2DC9">
        <w:rPr>
          <w:rFonts w:ascii="Tahoma" w:hAnsi="Tahoma" w:cs="Tahoma"/>
          <w:sz w:val="24"/>
          <w:szCs w:val="24"/>
          <w:lang w:val="es-419"/>
        </w:rPr>
        <w:t>aún no se ha</w:t>
      </w:r>
      <w:r w:rsidR="00792847" w:rsidRPr="00DF2DC9">
        <w:rPr>
          <w:rFonts w:ascii="Tahoma" w:hAnsi="Tahoma" w:cs="Tahoma"/>
          <w:sz w:val="24"/>
          <w:szCs w:val="24"/>
          <w:lang w:val="es-419"/>
        </w:rPr>
        <w:t>bía</w:t>
      </w:r>
      <w:r w:rsidRPr="00DF2DC9">
        <w:rPr>
          <w:rFonts w:ascii="Tahoma" w:hAnsi="Tahoma" w:cs="Tahoma"/>
          <w:sz w:val="24"/>
          <w:szCs w:val="24"/>
          <w:lang w:val="es-419"/>
        </w:rPr>
        <w:t xml:space="preserve"> cumplido el plazo para su aplicación, </w:t>
      </w:r>
      <w:r w:rsidR="00792847" w:rsidRPr="00DF2DC9">
        <w:rPr>
          <w:rFonts w:ascii="Tahoma" w:hAnsi="Tahoma" w:cs="Tahoma"/>
          <w:sz w:val="24"/>
          <w:szCs w:val="24"/>
          <w:lang w:val="es-419"/>
        </w:rPr>
        <w:t>pero afirma q</w:t>
      </w:r>
      <w:r w:rsidR="008E4D18" w:rsidRPr="00DF2DC9">
        <w:rPr>
          <w:rFonts w:ascii="Tahoma" w:hAnsi="Tahoma" w:cs="Tahoma"/>
          <w:sz w:val="24"/>
          <w:szCs w:val="24"/>
          <w:lang w:val="es-419"/>
        </w:rPr>
        <w:t>ue el despacho</w:t>
      </w:r>
      <w:r w:rsidRPr="00DF2DC9">
        <w:rPr>
          <w:rFonts w:ascii="Tahoma" w:hAnsi="Tahoma" w:cs="Tahoma"/>
          <w:sz w:val="24"/>
          <w:szCs w:val="24"/>
          <w:lang w:val="es-419"/>
        </w:rPr>
        <w:t xml:space="preserve"> en ate</w:t>
      </w:r>
      <w:r w:rsidR="00015280" w:rsidRPr="00DF2DC9">
        <w:rPr>
          <w:rFonts w:ascii="Tahoma" w:hAnsi="Tahoma" w:cs="Tahoma"/>
          <w:sz w:val="24"/>
          <w:szCs w:val="24"/>
          <w:lang w:val="es-419"/>
        </w:rPr>
        <w:t>nción a su facultad oficiosa</w:t>
      </w:r>
      <w:r w:rsidR="0098290E" w:rsidRPr="00DF2DC9">
        <w:rPr>
          <w:rFonts w:ascii="Tahoma" w:hAnsi="Tahoma" w:cs="Tahoma"/>
          <w:sz w:val="24"/>
          <w:szCs w:val="24"/>
          <w:lang w:val="es-419"/>
        </w:rPr>
        <w:t xml:space="preserve">, pudo </w:t>
      </w:r>
      <w:r w:rsidRPr="00DF2DC9">
        <w:rPr>
          <w:rFonts w:ascii="Tahoma" w:hAnsi="Tahoma" w:cs="Tahoma"/>
          <w:sz w:val="24"/>
          <w:szCs w:val="24"/>
          <w:lang w:val="es-419"/>
        </w:rPr>
        <w:t>vincula</w:t>
      </w:r>
      <w:r w:rsidR="0098290E" w:rsidRPr="00DF2DC9">
        <w:rPr>
          <w:rFonts w:ascii="Tahoma" w:hAnsi="Tahoma" w:cs="Tahoma"/>
          <w:sz w:val="24"/>
          <w:szCs w:val="24"/>
          <w:lang w:val="es-419"/>
        </w:rPr>
        <w:t>r</w:t>
      </w:r>
      <w:r w:rsidRPr="00DF2DC9">
        <w:rPr>
          <w:rFonts w:ascii="Tahoma" w:hAnsi="Tahoma" w:cs="Tahoma"/>
          <w:sz w:val="24"/>
          <w:szCs w:val="24"/>
          <w:lang w:val="es-419"/>
        </w:rPr>
        <w:t xml:space="preserve"> a la referida ESE para verificar lo anunciado</w:t>
      </w:r>
      <w:r w:rsidR="0098290E" w:rsidRPr="00DF2DC9">
        <w:rPr>
          <w:rFonts w:ascii="Tahoma" w:hAnsi="Tahoma" w:cs="Tahoma"/>
          <w:sz w:val="24"/>
          <w:szCs w:val="24"/>
          <w:lang w:val="es-419"/>
        </w:rPr>
        <w:t xml:space="preserve">, esto es, que </w:t>
      </w:r>
      <w:r w:rsidRPr="00DF2DC9">
        <w:rPr>
          <w:rFonts w:ascii="Tahoma" w:hAnsi="Tahoma" w:cs="Tahoma"/>
          <w:sz w:val="24"/>
          <w:szCs w:val="24"/>
          <w:lang w:val="es-419"/>
        </w:rPr>
        <w:t>allí aplicar</w:t>
      </w:r>
      <w:r w:rsidR="0098290E" w:rsidRPr="00DF2DC9">
        <w:rPr>
          <w:rFonts w:ascii="Tahoma" w:hAnsi="Tahoma" w:cs="Tahoma"/>
          <w:sz w:val="24"/>
          <w:szCs w:val="24"/>
          <w:lang w:val="es-419"/>
        </w:rPr>
        <w:t>ía</w:t>
      </w:r>
      <w:r w:rsidRPr="00DF2DC9">
        <w:rPr>
          <w:rFonts w:ascii="Tahoma" w:hAnsi="Tahoma" w:cs="Tahoma"/>
          <w:sz w:val="24"/>
          <w:szCs w:val="24"/>
          <w:lang w:val="es-419"/>
        </w:rPr>
        <w:t>n las dosis a los 2</w:t>
      </w:r>
      <w:r w:rsidR="00015280" w:rsidRPr="00DF2DC9">
        <w:rPr>
          <w:rFonts w:ascii="Tahoma" w:hAnsi="Tahoma" w:cs="Tahoma"/>
          <w:sz w:val="24"/>
          <w:szCs w:val="24"/>
          <w:lang w:val="es-419"/>
        </w:rPr>
        <w:t>1 días y no a los 84 cómo les</w:t>
      </w:r>
      <w:r w:rsidR="00102545">
        <w:rPr>
          <w:rFonts w:ascii="Tahoma" w:hAnsi="Tahoma" w:cs="Tahoma"/>
          <w:sz w:val="24"/>
          <w:szCs w:val="24"/>
          <w:lang w:val="es-419"/>
        </w:rPr>
        <w:t xml:space="preserve"> </w:t>
      </w:r>
      <w:r w:rsidR="00015280" w:rsidRPr="00DF2DC9">
        <w:rPr>
          <w:rFonts w:ascii="Tahoma" w:hAnsi="Tahoma" w:cs="Tahoma"/>
          <w:sz w:val="24"/>
          <w:szCs w:val="24"/>
          <w:lang w:val="es-419"/>
        </w:rPr>
        <w:t>dijeron</w:t>
      </w:r>
      <w:r w:rsidR="00102545">
        <w:rPr>
          <w:rFonts w:ascii="Tahoma" w:hAnsi="Tahoma" w:cs="Tahoma"/>
          <w:sz w:val="24"/>
          <w:szCs w:val="24"/>
          <w:lang w:val="es-419"/>
        </w:rPr>
        <w:t xml:space="preserve"> </w:t>
      </w:r>
      <w:r w:rsidRPr="00DF2DC9">
        <w:rPr>
          <w:rFonts w:ascii="Tahoma" w:hAnsi="Tahoma" w:cs="Tahoma"/>
          <w:sz w:val="24"/>
          <w:szCs w:val="24"/>
          <w:lang w:val="es-419"/>
        </w:rPr>
        <w:t>en la UTP</w:t>
      </w:r>
      <w:r w:rsidR="0098290E" w:rsidRPr="00DF2DC9">
        <w:rPr>
          <w:rFonts w:ascii="Tahoma" w:hAnsi="Tahoma" w:cs="Tahoma"/>
          <w:sz w:val="24"/>
          <w:szCs w:val="24"/>
          <w:lang w:val="es-419"/>
        </w:rPr>
        <w:t xml:space="preserve">. </w:t>
      </w:r>
    </w:p>
    <w:p w14:paraId="6FA29816" w14:textId="77777777" w:rsidR="0098290E" w:rsidRPr="00DF2DC9" w:rsidRDefault="0098290E" w:rsidP="00DF2DC9">
      <w:pPr>
        <w:spacing w:after="0" w:line="276" w:lineRule="auto"/>
        <w:jc w:val="both"/>
        <w:rPr>
          <w:rFonts w:ascii="Tahoma" w:hAnsi="Tahoma" w:cs="Tahoma"/>
          <w:sz w:val="24"/>
          <w:szCs w:val="24"/>
          <w:lang w:val="es-419"/>
        </w:rPr>
      </w:pPr>
    </w:p>
    <w:p w14:paraId="7AF98FAB" w14:textId="24F0E367" w:rsidR="00EC2F36" w:rsidRPr="00DF2DC9" w:rsidRDefault="0098290E" w:rsidP="00DF2DC9">
      <w:pPr>
        <w:spacing w:after="0" w:line="276" w:lineRule="auto"/>
        <w:jc w:val="both"/>
        <w:rPr>
          <w:rFonts w:ascii="Tahoma" w:hAnsi="Tahoma" w:cs="Tahoma"/>
          <w:sz w:val="24"/>
          <w:szCs w:val="24"/>
          <w:lang w:val="es-419"/>
        </w:rPr>
      </w:pPr>
      <w:r w:rsidRPr="00DF2DC9">
        <w:rPr>
          <w:rFonts w:ascii="Tahoma" w:hAnsi="Tahoma" w:cs="Tahoma"/>
          <w:sz w:val="24"/>
          <w:szCs w:val="24"/>
          <w:lang w:val="es-419"/>
        </w:rPr>
        <w:t>R</w:t>
      </w:r>
      <w:r w:rsidR="00015280" w:rsidRPr="00DF2DC9">
        <w:rPr>
          <w:rFonts w:ascii="Tahoma" w:hAnsi="Tahoma" w:cs="Tahoma"/>
          <w:sz w:val="24"/>
          <w:szCs w:val="24"/>
          <w:lang w:val="es-419"/>
        </w:rPr>
        <w:t>eitera su preocupación como madre, pues solo pretende</w:t>
      </w:r>
      <w:r w:rsidR="00EC2F36" w:rsidRPr="00DF2DC9">
        <w:rPr>
          <w:rFonts w:ascii="Tahoma" w:hAnsi="Tahoma" w:cs="Tahoma"/>
          <w:sz w:val="24"/>
          <w:szCs w:val="24"/>
          <w:lang w:val="es-419"/>
        </w:rPr>
        <w:t xml:space="preserve"> el bienestar de </w:t>
      </w:r>
      <w:r w:rsidR="000F2035" w:rsidRPr="00DF2DC9">
        <w:rPr>
          <w:rFonts w:ascii="Tahoma" w:hAnsi="Tahoma" w:cs="Tahoma"/>
          <w:sz w:val="24"/>
          <w:szCs w:val="24"/>
          <w:lang w:val="es-419"/>
        </w:rPr>
        <w:t>su hija</w:t>
      </w:r>
      <w:r w:rsidR="00EC2F36" w:rsidRPr="00DF2DC9">
        <w:rPr>
          <w:rFonts w:ascii="Tahoma" w:hAnsi="Tahoma" w:cs="Tahoma"/>
          <w:sz w:val="24"/>
          <w:szCs w:val="24"/>
          <w:lang w:val="es-419"/>
        </w:rPr>
        <w:t xml:space="preserve">, y evitar </w:t>
      </w:r>
      <w:r w:rsidR="00015280" w:rsidRPr="00DF2DC9">
        <w:rPr>
          <w:rFonts w:ascii="Tahoma" w:hAnsi="Tahoma" w:cs="Tahoma"/>
          <w:sz w:val="24"/>
          <w:szCs w:val="24"/>
          <w:lang w:val="es-419"/>
        </w:rPr>
        <w:t xml:space="preserve">un futuro contagio de </w:t>
      </w:r>
      <w:proofErr w:type="spellStart"/>
      <w:r w:rsidR="00015280" w:rsidRPr="00DF2DC9">
        <w:rPr>
          <w:rFonts w:ascii="Tahoma" w:hAnsi="Tahoma" w:cs="Tahoma"/>
          <w:sz w:val="24"/>
          <w:szCs w:val="24"/>
          <w:lang w:val="es-419"/>
        </w:rPr>
        <w:t>covid</w:t>
      </w:r>
      <w:proofErr w:type="spellEnd"/>
      <w:r w:rsidR="00015280" w:rsidRPr="00DF2DC9">
        <w:rPr>
          <w:rFonts w:ascii="Tahoma" w:hAnsi="Tahoma" w:cs="Tahoma"/>
          <w:sz w:val="24"/>
          <w:szCs w:val="24"/>
          <w:lang w:val="es-419"/>
        </w:rPr>
        <w:t xml:space="preserve"> por </w:t>
      </w:r>
      <w:r w:rsidR="00EC2F36" w:rsidRPr="00DF2DC9">
        <w:rPr>
          <w:rFonts w:ascii="Tahoma" w:hAnsi="Tahoma" w:cs="Tahoma"/>
          <w:sz w:val="24"/>
          <w:szCs w:val="24"/>
          <w:lang w:val="es-419"/>
        </w:rPr>
        <w:t xml:space="preserve">cuanto la misma permanece en su centro educativo compartiendo la jornada </w:t>
      </w:r>
      <w:r w:rsidR="00015280" w:rsidRPr="00DF2DC9">
        <w:rPr>
          <w:rFonts w:ascii="Tahoma" w:hAnsi="Tahoma" w:cs="Tahoma"/>
          <w:sz w:val="24"/>
          <w:szCs w:val="24"/>
          <w:lang w:val="es-419"/>
        </w:rPr>
        <w:t xml:space="preserve">escolar con jóvenes de su misma edad y el no tener su esquema completo de vacunación </w:t>
      </w:r>
      <w:r w:rsidR="00EC2F36" w:rsidRPr="00DF2DC9">
        <w:rPr>
          <w:rFonts w:ascii="Tahoma" w:hAnsi="Tahoma" w:cs="Tahoma"/>
          <w:sz w:val="24"/>
          <w:szCs w:val="24"/>
          <w:lang w:val="es-419"/>
        </w:rPr>
        <w:t>podr</w:t>
      </w:r>
      <w:r w:rsidRPr="00DF2DC9">
        <w:rPr>
          <w:rFonts w:ascii="Tahoma" w:hAnsi="Tahoma" w:cs="Tahoma"/>
          <w:sz w:val="24"/>
          <w:szCs w:val="24"/>
          <w:lang w:val="es-419"/>
        </w:rPr>
        <w:t>í</w:t>
      </w:r>
      <w:r w:rsidR="00EC2F36" w:rsidRPr="00DF2DC9">
        <w:rPr>
          <w:rFonts w:ascii="Tahoma" w:hAnsi="Tahoma" w:cs="Tahoma"/>
          <w:sz w:val="24"/>
          <w:szCs w:val="24"/>
          <w:lang w:val="es-419"/>
        </w:rPr>
        <w:t>a poner en riesgo su salud y vida, así como</w:t>
      </w:r>
      <w:r w:rsidR="00015280" w:rsidRPr="00DF2DC9">
        <w:rPr>
          <w:rFonts w:ascii="Tahoma" w:hAnsi="Tahoma" w:cs="Tahoma"/>
          <w:sz w:val="24"/>
          <w:szCs w:val="24"/>
          <w:lang w:val="es-419"/>
        </w:rPr>
        <w:t xml:space="preserve"> la de sus </w:t>
      </w:r>
      <w:r w:rsidR="00EC2F36" w:rsidRPr="00DF2DC9">
        <w:rPr>
          <w:rFonts w:ascii="Tahoma" w:hAnsi="Tahoma" w:cs="Tahoma"/>
          <w:sz w:val="24"/>
          <w:szCs w:val="24"/>
          <w:lang w:val="es-419"/>
        </w:rPr>
        <w:t>mismos compañeros.</w:t>
      </w:r>
    </w:p>
    <w:p w14:paraId="3939573A" w14:textId="77777777" w:rsidR="0098290E" w:rsidRPr="00DF2DC9" w:rsidRDefault="0098290E" w:rsidP="00DF2DC9">
      <w:pPr>
        <w:spacing w:after="0" w:line="276" w:lineRule="auto"/>
        <w:jc w:val="both"/>
        <w:rPr>
          <w:rFonts w:ascii="Tahoma" w:hAnsi="Tahoma" w:cs="Tahoma"/>
          <w:sz w:val="24"/>
          <w:szCs w:val="24"/>
          <w:lang w:val="es-419"/>
        </w:rPr>
      </w:pPr>
    </w:p>
    <w:p w14:paraId="1F99E70A" w14:textId="35332D62" w:rsidR="00D106D5" w:rsidRPr="00DF2DC9" w:rsidRDefault="008E4D18" w:rsidP="00DF2DC9">
      <w:pPr>
        <w:spacing w:after="0" w:line="276" w:lineRule="auto"/>
        <w:jc w:val="both"/>
        <w:rPr>
          <w:rFonts w:ascii="Tahoma" w:hAnsi="Tahoma" w:cs="Tahoma"/>
          <w:b/>
          <w:bCs/>
          <w:sz w:val="24"/>
          <w:szCs w:val="24"/>
          <w:lang w:val="es-419"/>
        </w:rPr>
      </w:pPr>
      <w:r w:rsidRPr="00DF2DC9">
        <w:rPr>
          <w:rFonts w:ascii="Tahoma" w:hAnsi="Tahoma" w:cs="Tahoma"/>
          <w:sz w:val="24"/>
          <w:szCs w:val="24"/>
          <w:lang w:val="es-419"/>
        </w:rPr>
        <w:t xml:space="preserve">Por lo anterior </w:t>
      </w:r>
      <w:r w:rsidR="00015280" w:rsidRPr="00DF2DC9">
        <w:rPr>
          <w:rFonts w:ascii="Tahoma" w:hAnsi="Tahoma" w:cs="Tahoma"/>
          <w:sz w:val="24"/>
          <w:szCs w:val="24"/>
          <w:lang w:val="es-419"/>
        </w:rPr>
        <w:t xml:space="preserve">solicita que se </w:t>
      </w:r>
      <w:r w:rsidR="000F2035" w:rsidRPr="00DF2DC9">
        <w:rPr>
          <w:rFonts w:ascii="Tahoma" w:hAnsi="Tahoma" w:cs="Tahoma"/>
          <w:sz w:val="24"/>
          <w:szCs w:val="24"/>
          <w:lang w:val="es-419"/>
        </w:rPr>
        <w:t>le tengan</w:t>
      </w:r>
      <w:r w:rsidR="00EC2F36" w:rsidRPr="00DF2DC9">
        <w:rPr>
          <w:rFonts w:ascii="Tahoma" w:hAnsi="Tahoma" w:cs="Tahoma"/>
          <w:sz w:val="24"/>
          <w:szCs w:val="24"/>
          <w:lang w:val="es-419"/>
        </w:rPr>
        <w:t xml:space="preserve"> en c</w:t>
      </w:r>
      <w:r w:rsidR="00015280" w:rsidRPr="00DF2DC9">
        <w:rPr>
          <w:rFonts w:ascii="Tahoma" w:hAnsi="Tahoma" w:cs="Tahoma"/>
          <w:sz w:val="24"/>
          <w:szCs w:val="24"/>
          <w:lang w:val="es-419"/>
        </w:rPr>
        <w:t>uenta los argumentos que expresó</w:t>
      </w:r>
      <w:r w:rsidR="00EC2F36" w:rsidRPr="00DF2DC9">
        <w:rPr>
          <w:rFonts w:ascii="Tahoma" w:hAnsi="Tahoma" w:cs="Tahoma"/>
          <w:sz w:val="24"/>
          <w:szCs w:val="24"/>
          <w:lang w:val="es-419"/>
        </w:rPr>
        <w:t xml:space="preserve"> al inter</w:t>
      </w:r>
      <w:r w:rsidR="00015280" w:rsidRPr="00DF2DC9">
        <w:rPr>
          <w:rFonts w:ascii="Tahoma" w:hAnsi="Tahoma" w:cs="Tahoma"/>
          <w:sz w:val="24"/>
          <w:szCs w:val="24"/>
          <w:lang w:val="es-419"/>
        </w:rPr>
        <w:t>poner la tutela y los que ahora refiere</w:t>
      </w:r>
      <w:r w:rsidR="00B258F5">
        <w:rPr>
          <w:rFonts w:ascii="Tahoma" w:hAnsi="Tahoma" w:cs="Tahoma"/>
          <w:sz w:val="24"/>
          <w:szCs w:val="24"/>
          <w:lang w:val="es-419"/>
        </w:rPr>
        <w:t>,</w:t>
      </w:r>
      <w:r w:rsidR="00015280" w:rsidRPr="00DF2DC9">
        <w:rPr>
          <w:rFonts w:ascii="Tahoma" w:hAnsi="Tahoma" w:cs="Tahoma"/>
          <w:sz w:val="24"/>
          <w:szCs w:val="24"/>
          <w:lang w:val="es-419"/>
        </w:rPr>
        <w:t xml:space="preserve"> hace mención </w:t>
      </w:r>
      <w:r w:rsidRPr="00DF2DC9">
        <w:rPr>
          <w:rFonts w:ascii="Tahoma" w:hAnsi="Tahoma" w:cs="Tahoma"/>
          <w:sz w:val="24"/>
          <w:szCs w:val="24"/>
          <w:lang w:val="es-419"/>
        </w:rPr>
        <w:t>de un caso simila</w:t>
      </w:r>
      <w:r w:rsidR="00015280" w:rsidRPr="00DF2DC9">
        <w:rPr>
          <w:rFonts w:ascii="Tahoma" w:hAnsi="Tahoma" w:cs="Tahoma"/>
          <w:sz w:val="24"/>
          <w:szCs w:val="24"/>
          <w:lang w:val="es-419"/>
        </w:rPr>
        <w:t xml:space="preserve">r que cita de </w:t>
      </w:r>
      <w:r w:rsidR="000F2035" w:rsidRPr="00DF2DC9">
        <w:rPr>
          <w:rFonts w:ascii="Tahoma" w:hAnsi="Tahoma" w:cs="Tahoma"/>
          <w:sz w:val="24"/>
          <w:szCs w:val="24"/>
          <w:lang w:val="es-419"/>
        </w:rPr>
        <w:t>una consulta</w:t>
      </w:r>
      <w:r w:rsidR="00EC2F36" w:rsidRPr="00DF2DC9">
        <w:rPr>
          <w:rFonts w:ascii="Tahoma" w:hAnsi="Tahoma" w:cs="Tahoma"/>
          <w:sz w:val="24"/>
          <w:szCs w:val="24"/>
          <w:lang w:val="es-419"/>
        </w:rPr>
        <w:t xml:space="preserve"> en </w:t>
      </w:r>
      <w:r w:rsidR="000F2035" w:rsidRPr="00DF2DC9">
        <w:rPr>
          <w:rFonts w:ascii="Tahoma" w:hAnsi="Tahoma" w:cs="Tahoma"/>
          <w:sz w:val="24"/>
          <w:szCs w:val="24"/>
          <w:lang w:val="es-419"/>
        </w:rPr>
        <w:t>internet, acerca</w:t>
      </w:r>
      <w:r w:rsidR="00015280" w:rsidRPr="00DF2DC9">
        <w:rPr>
          <w:rFonts w:ascii="Tahoma" w:hAnsi="Tahoma" w:cs="Tahoma"/>
          <w:sz w:val="24"/>
          <w:szCs w:val="24"/>
          <w:lang w:val="es-419"/>
        </w:rPr>
        <w:t xml:space="preserve"> de un Juez constitucional de </w:t>
      </w:r>
      <w:r w:rsidR="00EC2F36" w:rsidRPr="00DF2DC9">
        <w:rPr>
          <w:rFonts w:ascii="Tahoma" w:hAnsi="Tahoma" w:cs="Tahoma"/>
          <w:sz w:val="24"/>
          <w:szCs w:val="24"/>
          <w:lang w:val="es-419"/>
        </w:rPr>
        <w:t xml:space="preserve">Cartagena, amparó </w:t>
      </w:r>
      <w:r w:rsidR="00EC2F36" w:rsidRPr="00DF2DC9">
        <w:rPr>
          <w:rFonts w:ascii="Tahoma" w:hAnsi="Tahoma" w:cs="Tahoma"/>
          <w:sz w:val="24"/>
          <w:szCs w:val="24"/>
          <w:lang w:val="es-419"/>
        </w:rPr>
        <w:lastRenderedPageBreak/>
        <w:t>los derechos de un ciudadano a quien tambi</w:t>
      </w:r>
      <w:r w:rsidR="0098290E" w:rsidRPr="00DF2DC9">
        <w:rPr>
          <w:rFonts w:ascii="Tahoma" w:hAnsi="Tahoma" w:cs="Tahoma"/>
          <w:sz w:val="24"/>
          <w:szCs w:val="24"/>
          <w:lang w:val="es-419"/>
        </w:rPr>
        <w:t>é</w:t>
      </w:r>
      <w:r w:rsidR="00EC2F36" w:rsidRPr="00DF2DC9">
        <w:rPr>
          <w:rFonts w:ascii="Tahoma" w:hAnsi="Tahoma" w:cs="Tahoma"/>
          <w:sz w:val="24"/>
          <w:szCs w:val="24"/>
          <w:lang w:val="es-419"/>
        </w:rPr>
        <w:t>n le sería diferida la segunda dosis de Pfizer a</w:t>
      </w:r>
      <w:r w:rsidR="000F2035">
        <w:rPr>
          <w:rFonts w:ascii="Tahoma" w:hAnsi="Tahoma" w:cs="Tahoma"/>
          <w:sz w:val="24"/>
          <w:szCs w:val="24"/>
          <w:lang w:val="es-419"/>
        </w:rPr>
        <w:t xml:space="preserve"> </w:t>
      </w:r>
      <w:r w:rsidR="00EC2F36" w:rsidRPr="00DF2DC9">
        <w:rPr>
          <w:rFonts w:ascii="Tahoma" w:hAnsi="Tahoma" w:cs="Tahoma"/>
          <w:sz w:val="24"/>
          <w:szCs w:val="24"/>
          <w:lang w:val="es-419"/>
        </w:rPr>
        <w:t>los 84 días y se ordenó su aplicación en el término de los 21 días.</w:t>
      </w:r>
    </w:p>
    <w:p w14:paraId="51C10499" w14:textId="56EEE159" w:rsidR="00267E7F" w:rsidRDefault="00267E7F" w:rsidP="008D09BB">
      <w:pPr>
        <w:spacing w:after="0" w:line="276" w:lineRule="auto"/>
        <w:rPr>
          <w:rFonts w:ascii="Tahoma" w:hAnsi="Tahoma" w:cs="Tahoma"/>
          <w:sz w:val="24"/>
          <w:szCs w:val="24"/>
          <w:lang w:val="es-419"/>
        </w:rPr>
      </w:pPr>
    </w:p>
    <w:p w14:paraId="25480287" w14:textId="77777777" w:rsidR="008D09BB" w:rsidRPr="00DF2DC9" w:rsidRDefault="008D09BB" w:rsidP="008D09BB">
      <w:pPr>
        <w:spacing w:after="0" w:line="276" w:lineRule="auto"/>
        <w:rPr>
          <w:rFonts w:ascii="Tahoma" w:hAnsi="Tahoma" w:cs="Tahoma"/>
          <w:sz w:val="24"/>
          <w:szCs w:val="24"/>
          <w:lang w:val="es-419"/>
        </w:rPr>
      </w:pPr>
    </w:p>
    <w:p w14:paraId="5F70EA12" w14:textId="0EEE6019" w:rsidR="002E1E9E" w:rsidRPr="00DF2DC9" w:rsidRDefault="002E1E9E" w:rsidP="00DF2DC9">
      <w:pPr>
        <w:pStyle w:val="Prrafodelista"/>
        <w:numPr>
          <w:ilvl w:val="0"/>
          <w:numId w:val="7"/>
        </w:numPr>
        <w:spacing w:after="0" w:line="276" w:lineRule="auto"/>
        <w:jc w:val="center"/>
        <w:rPr>
          <w:rFonts w:ascii="Tahoma" w:hAnsi="Tahoma" w:cs="Tahoma"/>
          <w:sz w:val="24"/>
          <w:szCs w:val="24"/>
          <w:lang w:val="es-419"/>
        </w:rPr>
      </w:pPr>
      <w:r w:rsidRPr="00DF2DC9">
        <w:rPr>
          <w:rFonts w:ascii="Tahoma" w:hAnsi="Tahoma" w:cs="Tahoma"/>
          <w:b/>
          <w:bCs/>
          <w:sz w:val="24"/>
          <w:szCs w:val="24"/>
          <w:lang w:val="es-419"/>
        </w:rPr>
        <w:t>CONSIDERACIONES</w:t>
      </w:r>
    </w:p>
    <w:p w14:paraId="69E946F1" w14:textId="5F08D519" w:rsidR="006C3278" w:rsidRPr="00DF2DC9" w:rsidRDefault="006C3278" w:rsidP="00DF2DC9">
      <w:pPr>
        <w:pStyle w:val="Prrafodelista"/>
        <w:spacing w:after="0" w:line="276" w:lineRule="auto"/>
        <w:rPr>
          <w:rFonts w:ascii="Tahoma" w:hAnsi="Tahoma" w:cs="Tahoma"/>
          <w:sz w:val="24"/>
          <w:szCs w:val="24"/>
          <w:lang w:val="es-419"/>
        </w:rPr>
      </w:pPr>
    </w:p>
    <w:p w14:paraId="25D68F3F" w14:textId="2AAFB4B5" w:rsidR="002E1E9E" w:rsidRPr="00DF2DC9" w:rsidRDefault="002E1E9E" w:rsidP="00DF2DC9">
      <w:pPr>
        <w:pStyle w:val="Prrafodelista"/>
        <w:numPr>
          <w:ilvl w:val="1"/>
          <w:numId w:val="7"/>
        </w:numPr>
        <w:spacing w:after="0" w:line="276" w:lineRule="auto"/>
        <w:rPr>
          <w:rFonts w:ascii="Tahoma" w:hAnsi="Tahoma" w:cs="Tahoma"/>
          <w:b/>
          <w:bCs/>
          <w:sz w:val="24"/>
          <w:szCs w:val="24"/>
          <w:lang w:val="es-419"/>
        </w:rPr>
      </w:pPr>
      <w:r w:rsidRPr="00DF2DC9">
        <w:rPr>
          <w:rFonts w:ascii="Tahoma" w:hAnsi="Tahoma" w:cs="Tahoma"/>
          <w:b/>
          <w:bCs/>
          <w:sz w:val="24"/>
          <w:szCs w:val="24"/>
          <w:lang w:val="es-419"/>
        </w:rPr>
        <w:t>Problema jurídico para resolver</w:t>
      </w:r>
    </w:p>
    <w:p w14:paraId="08024807" w14:textId="77777777" w:rsidR="00E20EC4" w:rsidRPr="00DF2DC9" w:rsidRDefault="00E20EC4" w:rsidP="00DF2DC9">
      <w:pPr>
        <w:spacing w:after="0" w:line="276" w:lineRule="auto"/>
        <w:jc w:val="both"/>
        <w:rPr>
          <w:rFonts w:ascii="Tahoma" w:hAnsi="Tahoma" w:cs="Tahoma"/>
          <w:sz w:val="24"/>
          <w:szCs w:val="24"/>
        </w:rPr>
      </w:pPr>
    </w:p>
    <w:p w14:paraId="0CA7666F" w14:textId="605BE406" w:rsidR="00F54A86" w:rsidRPr="00DF2DC9" w:rsidRDefault="00F54A86" w:rsidP="00DF2DC9">
      <w:pPr>
        <w:spacing w:after="0" w:line="276" w:lineRule="auto"/>
        <w:jc w:val="both"/>
        <w:rPr>
          <w:rFonts w:ascii="Tahoma" w:hAnsi="Tahoma" w:cs="Tahoma"/>
          <w:sz w:val="24"/>
          <w:szCs w:val="24"/>
        </w:rPr>
      </w:pPr>
      <w:r w:rsidRPr="00DF2DC9">
        <w:rPr>
          <w:rFonts w:ascii="Tahoma" w:hAnsi="Tahoma" w:cs="Tahoma"/>
          <w:sz w:val="24"/>
          <w:szCs w:val="24"/>
        </w:rPr>
        <w:t xml:space="preserve">Establecer </w:t>
      </w:r>
      <w:r w:rsidR="002D583B" w:rsidRPr="00DF2DC9">
        <w:rPr>
          <w:rFonts w:ascii="Tahoma" w:hAnsi="Tahoma" w:cs="Tahoma"/>
          <w:sz w:val="24"/>
          <w:szCs w:val="24"/>
        </w:rPr>
        <w:t>si s</w:t>
      </w:r>
      <w:r w:rsidR="00B43B15" w:rsidRPr="00DF2DC9">
        <w:rPr>
          <w:rFonts w:ascii="Tahoma" w:hAnsi="Tahoma" w:cs="Tahoma"/>
          <w:sz w:val="24"/>
          <w:szCs w:val="24"/>
        </w:rPr>
        <w:t xml:space="preserve">e ha </w:t>
      </w:r>
      <w:r w:rsidR="000F2035" w:rsidRPr="00DF2DC9">
        <w:rPr>
          <w:rFonts w:ascii="Tahoma" w:hAnsi="Tahoma" w:cs="Tahoma"/>
          <w:sz w:val="24"/>
          <w:szCs w:val="24"/>
        </w:rPr>
        <w:t>vulnerado el</w:t>
      </w:r>
      <w:r w:rsidR="00B43B15" w:rsidRPr="00DF2DC9">
        <w:rPr>
          <w:rFonts w:ascii="Tahoma" w:hAnsi="Tahoma" w:cs="Tahoma"/>
          <w:sz w:val="24"/>
          <w:szCs w:val="24"/>
        </w:rPr>
        <w:t xml:space="preserve"> derecho a la salud</w:t>
      </w:r>
      <w:r w:rsidR="00B258F5">
        <w:rPr>
          <w:rFonts w:ascii="Tahoma" w:hAnsi="Tahoma" w:cs="Tahoma"/>
          <w:sz w:val="24"/>
          <w:szCs w:val="24"/>
        </w:rPr>
        <w:t>,</w:t>
      </w:r>
      <w:r w:rsidR="000F2035">
        <w:rPr>
          <w:rFonts w:ascii="Tahoma" w:hAnsi="Tahoma" w:cs="Tahoma"/>
          <w:sz w:val="24"/>
          <w:szCs w:val="24"/>
        </w:rPr>
        <w:t xml:space="preserve"> </w:t>
      </w:r>
      <w:r w:rsidR="000F2035" w:rsidRPr="00DF2DC9">
        <w:rPr>
          <w:rFonts w:ascii="Tahoma" w:hAnsi="Tahoma" w:cs="Tahoma"/>
          <w:sz w:val="24"/>
          <w:szCs w:val="24"/>
        </w:rPr>
        <w:t>la vida y</w:t>
      </w:r>
      <w:r w:rsidR="00B43B15" w:rsidRPr="00DF2DC9">
        <w:rPr>
          <w:rFonts w:ascii="Tahoma" w:hAnsi="Tahoma" w:cs="Tahoma"/>
          <w:sz w:val="24"/>
          <w:szCs w:val="24"/>
        </w:rPr>
        <w:t xml:space="preserve"> a la igualdad de la menor </w:t>
      </w:r>
      <w:r w:rsidR="00B43B15" w:rsidRPr="00DF2DC9">
        <w:rPr>
          <w:rFonts w:ascii="Tahoma" w:hAnsi="Tahoma" w:cs="Tahoma"/>
          <w:b/>
          <w:sz w:val="24"/>
          <w:szCs w:val="24"/>
        </w:rPr>
        <w:t xml:space="preserve">Melissa Álvarez Puerta </w:t>
      </w:r>
      <w:r w:rsidR="00B43B15" w:rsidRPr="00DF2DC9">
        <w:rPr>
          <w:rFonts w:ascii="Tahoma" w:hAnsi="Tahoma" w:cs="Tahoma"/>
          <w:sz w:val="24"/>
          <w:szCs w:val="24"/>
        </w:rPr>
        <w:t>por parte del Ministerio de Salud y Protección Social y la Universidad Tecnológica de Pereira</w:t>
      </w:r>
      <w:r w:rsidR="000F2035">
        <w:rPr>
          <w:rFonts w:ascii="Tahoma" w:hAnsi="Tahoma" w:cs="Tahoma"/>
          <w:sz w:val="24"/>
          <w:szCs w:val="24"/>
        </w:rPr>
        <w:t xml:space="preserve"> –</w:t>
      </w:r>
      <w:r w:rsidR="00B43B15" w:rsidRPr="00DF2DC9">
        <w:rPr>
          <w:rFonts w:ascii="Tahoma" w:hAnsi="Tahoma" w:cs="Tahoma"/>
          <w:sz w:val="24"/>
          <w:szCs w:val="24"/>
        </w:rPr>
        <w:t xml:space="preserve"> UTP</w:t>
      </w:r>
      <w:r w:rsidR="0098290E" w:rsidRPr="00DF2DC9">
        <w:rPr>
          <w:rFonts w:ascii="Tahoma" w:hAnsi="Tahoma" w:cs="Tahoma"/>
          <w:sz w:val="24"/>
          <w:szCs w:val="24"/>
        </w:rPr>
        <w:t xml:space="preserve">, al establecer que la </w:t>
      </w:r>
      <w:r w:rsidR="00B43B15" w:rsidRPr="00DF2DC9">
        <w:rPr>
          <w:rFonts w:ascii="Tahoma" w:hAnsi="Tahoma" w:cs="Tahoma"/>
          <w:sz w:val="24"/>
          <w:szCs w:val="24"/>
        </w:rPr>
        <w:t xml:space="preserve">segunda dosis de la vacuna PFIZER </w:t>
      </w:r>
      <w:r w:rsidR="0098290E" w:rsidRPr="00DF2DC9">
        <w:rPr>
          <w:rFonts w:ascii="Tahoma" w:hAnsi="Tahoma" w:cs="Tahoma"/>
          <w:sz w:val="24"/>
          <w:szCs w:val="24"/>
        </w:rPr>
        <w:t xml:space="preserve">se aplique dentro de los 84 días y no </w:t>
      </w:r>
      <w:r w:rsidR="00B43B15" w:rsidRPr="00DF2DC9">
        <w:rPr>
          <w:rFonts w:ascii="Tahoma" w:hAnsi="Tahoma" w:cs="Tahoma"/>
          <w:sz w:val="24"/>
          <w:szCs w:val="24"/>
        </w:rPr>
        <w:t>en un intervalo de 21 días</w:t>
      </w:r>
      <w:r w:rsidR="0098290E" w:rsidRPr="00DF2DC9">
        <w:rPr>
          <w:rFonts w:ascii="Tahoma" w:hAnsi="Tahoma" w:cs="Tahoma"/>
          <w:sz w:val="24"/>
          <w:szCs w:val="24"/>
        </w:rPr>
        <w:t>, como ha acontecido en otras EPS.</w:t>
      </w:r>
      <w:r w:rsidR="00B43B15" w:rsidRPr="00DF2DC9" w:rsidDel="00B43B15">
        <w:rPr>
          <w:rFonts w:ascii="Tahoma" w:hAnsi="Tahoma" w:cs="Tahoma"/>
          <w:sz w:val="24"/>
          <w:szCs w:val="24"/>
        </w:rPr>
        <w:t xml:space="preserve"> </w:t>
      </w:r>
    </w:p>
    <w:p w14:paraId="6169956E" w14:textId="77777777" w:rsidR="00694E5F" w:rsidRPr="00DF2DC9" w:rsidRDefault="00694E5F" w:rsidP="00DF2DC9">
      <w:pPr>
        <w:spacing w:after="0" w:line="276" w:lineRule="auto"/>
        <w:jc w:val="both"/>
        <w:rPr>
          <w:rFonts w:ascii="Tahoma" w:hAnsi="Tahoma" w:cs="Tahoma"/>
          <w:sz w:val="24"/>
          <w:szCs w:val="24"/>
        </w:rPr>
      </w:pPr>
    </w:p>
    <w:p w14:paraId="1B661030" w14:textId="77777777" w:rsidR="00694E5F" w:rsidRPr="00DF2DC9" w:rsidRDefault="00694E5F" w:rsidP="00DF2DC9">
      <w:pPr>
        <w:pStyle w:val="Prrafodelista"/>
        <w:numPr>
          <w:ilvl w:val="1"/>
          <w:numId w:val="7"/>
        </w:numPr>
        <w:spacing w:after="0" w:line="276" w:lineRule="auto"/>
        <w:rPr>
          <w:rFonts w:ascii="Tahoma" w:hAnsi="Tahoma" w:cs="Tahoma"/>
          <w:b/>
          <w:sz w:val="24"/>
          <w:szCs w:val="24"/>
        </w:rPr>
      </w:pPr>
      <w:r w:rsidRPr="00DF2DC9">
        <w:rPr>
          <w:rFonts w:ascii="Tahoma" w:hAnsi="Tahoma" w:cs="Tahoma"/>
          <w:b/>
          <w:sz w:val="24"/>
          <w:szCs w:val="24"/>
        </w:rPr>
        <w:t xml:space="preserve">Derecho a la Salud de los menores </w:t>
      </w:r>
    </w:p>
    <w:p w14:paraId="77D36869" w14:textId="77777777" w:rsidR="00694E5F" w:rsidRPr="00DF2DC9" w:rsidRDefault="00694E5F" w:rsidP="00DF2DC9">
      <w:pPr>
        <w:spacing w:after="0" w:line="276" w:lineRule="auto"/>
        <w:rPr>
          <w:rFonts w:ascii="Tahoma" w:hAnsi="Tahoma" w:cs="Tahoma"/>
          <w:sz w:val="24"/>
          <w:szCs w:val="24"/>
        </w:rPr>
      </w:pPr>
    </w:p>
    <w:p w14:paraId="0E484B99" w14:textId="7530A985" w:rsidR="006757D1" w:rsidRPr="00DF2DC9" w:rsidRDefault="006757D1" w:rsidP="00DF2DC9">
      <w:pPr>
        <w:spacing w:after="0" w:line="276" w:lineRule="auto"/>
        <w:jc w:val="both"/>
        <w:rPr>
          <w:rFonts w:ascii="Tahoma" w:hAnsi="Tahoma" w:cs="Tahoma"/>
          <w:b/>
          <w:sz w:val="24"/>
          <w:szCs w:val="24"/>
        </w:rPr>
      </w:pPr>
      <w:r w:rsidRPr="00DF2DC9">
        <w:rPr>
          <w:rFonts w:ascii="Tahoma" w:hAnsi="Tahoma" w:cs="Tahoma"/>
          <w:sz w:val="24"/>
          <w:szCs w:val="24"/>
        </w:rPr>
        <w:t xml:space="preserve">En la Sentencia T-036 del 15 de enero de 2013, cuya Magistrada Ponente es el Dr. JORGE IVÁN PALACIO </w:t>
      </w:r>
      <w:proofErr w:type="spellStart"/>
      <w:r w:rsidRPr="00DF2DC9">
        <w:rPr>
          <w:rFonts w:ascii="Tahoma" w:hAnsi="Tahoma" w:cs="Tahoma"/>
          <w:sz w:val="24"/>
          <w:szCs w:val="24"/>
        </w:rPr>
        <w:t>PALACIO</w:t>
      </w:r>
      <w:proofErr w:type="spellEnd"/>
      <w:r w:rsidRPr="00DF2DC9">
        <w:rPr>
          <w:rFonts w:ascii="Tahoma" w:hAnsi="Tahoma" w:cs="Tahoma"/>
          <w:sz w:val="24"/>
          <w:szCs w:val="24"/>
        </w:rPr>
        <w:t>, la Corte Constitucional señaló lo siguiente:</w:t>
      </w:r>
      <w:r w:rsidR="00102545">
        <w:rPr>
          <w:rFonts w:ascii="Tahoma" w:hAnsi="Tahoma" w:cs="Tahoma"/>
          <w:b/>
          <w:sz w:val="24"/>
          <w:szCs w:val="24"/>
        </w:rPr>
        <w:t xml:space="preserve"> </w:t>
      </w:r>
    </w:p>
    <w:p w14:paraId="457DBD89" w14:textId="77777777" w:rsidR="006757D1" w:rsidRPr="00DF2DC9" w:rsidRDefault="006757D1" w:rsidP="00DF2DC9">
      <w:pPr>
        <w:spacing w:after="0" w:line="276" w:lineRule="auto"/>
        <w:rPr>
          <w:rFonts w:ascii="Tahoma" w:hAnsi="Tahoma" w:cs="Tahoma"/>
          <w:i/>
          <w:sz w:val="24"/>
          <w:szCs w:val="24"/>
        </w:rPr>
      </w:pPr>
      <w:r w:rsidRPr="00DF2DC9">
        <w:rPr>
          <w:rFonts w:ascii="Tahoma" w:hAnsi="Tahoma" w:cs="Tahoma"/>
          <w:i/>
          <w:sz w:val="24"/>
          <w:szCs w:val="24"/>
        </w:rPr>
        <w:tab/>
      </w:r>
    </w:p>
    <w:p w14:paraId="03DD1CF8" w14:textId="0158AE5E" w:rsidR="006757D1" w:rsidRPr="000F2035" w:rsidRDefault="006757D1" w:rsidP="000F2035">
      <w:pPr>
        <w:spacing w:after="0" w:line="240" w:lineRule="auto"/>
        <w:ind w:left="426" w:right="420"/>
        <w:jc w:val="both"/>
        <w:rPr>
          <w:rFonts w:ascii="Tahoma" w:hAnsi="Tahoma" w:cs="Tahoma"/>
          <w:i/>
          <w:szCs w:val="24"/>
        </w:rPr>
      </w:pPr>
      <w:r w:rsidRPr="000F2035">
        <w:rPr>
          <w:rFonts w:ascii="Tahoma" w:hAnsi="Tahoma" w:cs="Tahoma"/>
          <w:i/>
          <w:szCs w:val="24"/>
        </w:rPr>
        <w:t>“La Corte Constitucional ha establecido que los niños y las niñas son sujetos de especial protección, explicando que su condición de debilidad no es una razón para restringir la capacidad de ejercer sus derechos sino para protegerlos, de forma tal que se promueva su dignidad. También ha afirmado que sus derechos, entre ellos la salud, tienen un carácter prevalente en caso de que se presenten conflictos con otros intereses. Por ello, la acción de tutela procede cuando se vislumbre su vulneración o amenaza y es deber del juez constitucional exigir su protección inmediata y prioritaria. Los menores de edad gozan de un régimen de protección especial en el que prevalecen sus derechos sobre los de los demás y que cualquier vulneración a su salud exige una actuación inmediata y prioritaria por parte del juez constitucional. Por ende, cuando la falta de suministro del servicio médico afecta los derechos a la salud, a la integridad física y a la vida de los niños y las niñas, se deberán inaplicar las disposiciones que restringen el POS, teniendo en cuenta que tales normas de rango inferior impiden el goce efectivo de sus garantías constitucionales”.</w:t>
      </w:r>
    </w:p>
    <w:p w14:paraId="65181C4F" w14:textId="77777777" w:rsidR="00A502B6" w:rsidRPr="00DF2DC9" w:rsidRDefault="00A502B6" w:rsidP="00DF2DC9">
      <w:pPr>
        <w:spacing w:after="0" w:line="276" w:lineRule="auto"/>
        <w:rPr>
          <w:rFonts w:ascii="Tahoma" w:hAnsi="Tahoma" w:cs="Tahoma"/>
          <w:sz w:val="24"/>
          <w:szCs w:val="24"/>
        </w:rPr>
      </w:pPr>
    </w:p>
    <w:p w14:paraId="4D281489" w14:textId="3F54840F" w:rsidR="00343C59" w:rsidRPr="00DF2DC9" w:rsidRDefault="00343C59" w:rsidP="00DF2DC9">
      <w:pPr>
        <w:spacing w:after="0" w:line="276" w:lineRule="auto"/>
        <w:jc w:val="both"/>
        <w:rPr>
          <w:rFonts w:ascii="Tahoma" w:hAnsi="Tahoma" w:cs="Tahoma"/>
          <w:sz w:val="24"/>
          <w:szCs w:val="24"/>
        </w:rPr>
      </w:pPr>
      <w:r w:rsidRPr="00DF2DC9">
        <w:rPr>
          <w:rFonts w:ascii="Tahoma" w:hAnsi="Tahoma" w:cs="Tahoma"/>
          <w:sz w:val="24"/>
          <w:szCs w:val="24"/>
        </w:rPr>
        <w:t>A</w:t>
      </w:r>
      <w:r w:rsidR="005070DC" w:rsidRPr="00DF2DC9">
        <w:rPr>
          <w:rFonts w:ascii="Tahoma" w:hAnsi="Tahoma" w:cs="Tahoma"/>
          <w:sz w:val="24"/>
          <w:szCs w:val="24"/>
        </w:rPr>
        <w:t xml:space="preserve"> su vez, </w:t>
      </w:r>
      <w:r w:rsidRPr="00DF2DC9">
        <w:rPr>
          <w:rFonts w:ascii="Tahoma" w:hAnsi="Tahoma" w:cs="Tahoma"/>
          <w:sz w:val="24"/>
          <w:szCs w:val="24"/>
        </w:rPr>
        <w:t xml:space="preserve">la </w:t>
      </w:r>
      <w:r w:rsidR="005070DC" w:rsidRPr="00DF2DC9">
        <w:rPr>
          <w:rFonts w:ascii="Tahoma" w:hAnsi="Tahoma" w:cs="Tahoma"/>
          <w:sz w:val="24"/>
          <w:szCs w:val="24"/>
        </w:rPr>
        <w:t>Corte Constitucional</w:t>
      </w:r>
      <w:r w:rsidRPr="00DF2DC9">
        <w:rPr>
          <w:rFonts w:ascii="Tahoma" w:hAnsi="Tahoma" w:cs="Tahoma"/>
          <w:sz w:val="24"/>
          <w:szCs w:val="24"/>
        </w:rPr>
        <w:t xml:space="preserve"> en la sentencia T-133 de 2013 </w:t>
      </w:r>
      <w:r w:rsidR="005070DC" w:rsidRPr="00DF2DC9">
        <w:rPr>
          <w:rFonts w:ascii="Tahoma" w:hAnsi="Tahoma" w:cs="Tahoma"/>
          <w:sz w:val="24"/>
          <w:szCs w:val="24"/>
        </w:rPr>
        <w:t>e</w:t>
      </w:r>
      <w:r w:rsidRPr="00DF2DC9">
        <w:rPr>
          <w:rFonts w:ascii="Tahoma" w:hAnsi="Tahoma" w:cs="Tahoma"/>
          <w:sz w:val="24"/>
          <w:szCs w:val="24"/>
        </w:rPr>
        <w:t>stablec</w:t>
      </w:r>
      <w:r w:rsidR="005070DC" w:rsidRPr="00DF2DC9">
        <w:rPr>
          <w:rFonts w:ascii="Tahoma" w:hAnsi="Tahoma" w:cs="Tahoma"/>
          <w:sz w:val="24"/>
          <w:szCs w:val="24"/>
        </w:rPr>
        <w:t xml:space="preserve">ió </w:t>
      </w:r>
      <w:r w:rsidRPr="00DF2DC9">
        <w:rPr>
          <w:rFonts w:ascii="Tahoma" w:hAnsi="Tahoma" w:cs="Tahoma"/>
          <w:sz w:val="24"/>
          <w:szCs w:val="24"/>
        </w:rPr>
        <w:t xml:space="preserve">que el Artículo 44 constitucional consagra de forma expresa </w:t>
      </w:r>
      <w:r w:rsidRPr="00DF2DC9">
        <w:rPr>
          <w:rFonts w:ascii="Tahoma" w:hAnsi="Tahoma" w:cs="Tahoma"/>
          <w:i/>
          <w:sz w:val="24"/>
          <w:szCs w:val="24"/>
        </w:rPr>
        <w:t>“</w:t>
      </w:r>
      <w:r w:rsidRPr="000F2035">
        <w:rPr>
          <w:rFonts w:ascii="Tahoma" w:hAnsi="Tahoma" w:cs="Tahoma"/>
          <w:i/>
          <w:szCs w:val="24"/>
        </w:rPr>
        <w:t xml:space="preserve">los derechos a la vida, la integridad física, la salud y la seguridad social de los menores de edad son fundamentales. Asimismo, dispone que la familia, la sociedad y el Estado tienen la obligación de asistir y proteger al niño o niña para asegurar su desarrollo armónico e integral y el ejercicio pleno de sus garantías. Ahora bien, la protección especial de los niños y las niñas en materia de salud, también ha sido reconocida en diversos tratados internacionales ratificados por Colombia y que hacen parte del bloque de constitucionalidad al tenor del artículo 93 de la Carta de 1991. En virtud de estas normas, la Corte Constitucional ha establecido que los niños y las niñas, por encontrarse en condición de debilidad, merecen mayor protección, de forma tal que se promueva su dignidad. También ha afirmado que sus derechos, entre ellos la salud, tienen un carácter prevalente en caso de que se presenten conflictos con otros intereses. En síntesis, los menores de edad requieren de una atención en salud idónea, oportuna y prevalente, respecto de la cual toda entidad pública o privada tiene la obligación de garantizar su acceso efectivo a los servicios como lo ordena el artículo 50 Superior, en concordancia con los principios legales de protección integral e interés superior de los niños y niñas, máxime tratándose de menores </w:t>
      </w:r>
      <w:r w:rsidRPr="000F2035">
        <w:rPr>
          <w:rFonts w:ascii="Tahoma" w:hAnsi="Tahoma" w:cs="Tahoma"/>
          <w:i/>
          <w:szCs w:val="24"/>
        </w:rPr>
        <w:lastRenderedPageBreak/>
        <w:t>en temprana infancia que ostentan la categoría de sujetos de especial protección constitucional y además se encuentran en condición de debilidad manifiesta</w:t>
      </w:r>
      <w:r w:rsidRPr="00DF2DC9">
        <w:rPr>
          <w:rFonts w:ascii="Tahoma" w:hAnsi="Tahoma" w:cs="Tahoma"/>
          <w:sz w:val="24"/>
          <w:szCs w:val="24"/>
        </w:rPr>
        <w:t>”.</w:t>
      </w:r>
    </w:p>
    <w:p w14:paraId="6DD61AC7" w14:textId="77777777" w:rsidR="005070DC" w:rsidRPr="00DF2DC9" w:rsidRDefault="005070DC" w:rsidP="00DF2DC9">
      <w:pPr>
        <w:spacing w:after="0" w:line="276" w:lineRule="auto"/>
        <w:rPr>
          <w:rFonts w:ascii="Tahoma" w:hAnsi="Tahoma" w:cs="Tahoma"/>
          <w:b/>
          <w:sz w:val="24"/>
          <w:szCs w:val="24"/>
        </w:rPr>
      </w:pPr>
    </w:p>
    <w:p w14:paraId="3DAA9B9F" w14:textId="77777777" w:rsidR="00343C59" w:rsidRPr="00DF2DC9" w:rsidRDefault="00343C59" w:rsidP="00DF2DC9">
      <w:pPr>
        <w:pStyle w:val="Prrafodelista"/>
        <w:numPr>
          <w:ilvl w:val="1"/>
          <w:numId w:val="7"/>
        </w:numPr>
        <w:spacing w:after="0" w:line="276" w:lineRule="auto"/>
        <w:rPr>
          <w:rFonts w:ascii="Tahoma" w:hAnsi="Tahoma" w:cs="Tahoma"/>
          <w:b/>
          <w:sz w:val="24"/>
          <w:szCs w:val="24"/>
        </w:rPr>
      </w:pPr>
      <w:r w:rsidRPr="00DF2DC9">
        <w:rPr>
          <w:rFonts w:ascii="Tahoma" w:hAnsi="Tahoma" w:cs="Tahoma"/>
          <w:b/>
          <w:sz w:val="24"/>
          <w:szCs w:val="24"/>
        </w:rPr>
        <w:t xml:space="preserve">Acceso a la vacuna contra el Covid-19 en Colombia. </w:t>
      </w:r>
    </w:p>
    <w:p w14:paraId="06101161" w14:textId="77777777" w:rsidR="005070DC" w:rsidRPr="00DF2DC9" w:rsidRDefault="005070DC" w:rsidP="00A81C70">
      <w:pPr>
        <w:spacing w:after="0" w:line="276" w:lineRule="auto"/>
        <w:jc w:val="both"/>
        <w:rPr>
          <w:rFonts w:ascii="Tahoma" w:hAnsi="Tahoma" w:cs="Tahoma"/>
          <w:sz w:val="24"/>
          <w:szCs w:val="24"/>
        </w:rPr>
      </w:pPr>
    </w:p>
    <w:p w14:paraId="0EAC53A8" w14:textId="7F7D2493" w:rsidR="00343C59" w:rsidRPr="00DF2DC9" w:rsidRDefault="005070DC" w:rsidP="00DF2DC9">
      <w:pPr>
        <w:spacing w:after="0" w:line="276" w:lineRule="auto"/>
        <w:jc w:val="both"/>
        <w:rPr>
          <w:rFonts w:ascii="Tahoma" w:hAnsi="Tahoma" w:cs="Tahoma"/>
          <w:sz w:val="24"/>
          <w:szCs w:val="24"/>
        </w:rPr>
      </w:pPr>
      <w:r w:rsidRPr="00DF2DC9">
        <w:rPr>
          <w:rFonts w:ascii="Tahoma" w:hAnsi="Tahoma" w:cs="Tahoma"/>
          <w:sz w:val="24"/>
          <w:szCs w:val="24"/>
        </w:rPr>
        <w:t xml:space="preserve">En </w:t>
      </w:r>
      <w:r w:rsidR="00343C59" w:rsidRPr="00DF2DC9">
        <w:rPr>
          <w:rFonts w:ascii="Tahoma" w:hAnsi="Tahoma" w:cs="Tahoma"/>
          <w:sz w:val="24"/>
          <w:szCs w:val="24"/>
        </w:rPr>
        <w:t>el artículo 12 del Decreto 109 de 2021</w:t>
      </w:r>
      <w:r w:rsidR="002D583B" w:rsidRPr="00DF2DC9">
        <w:rPr>
          <w:rFonts w:ascii="Tahoma" w:hAnsi="Tahoma" w:cs="Tahoma"/>
          <w:sz w:val="24"/>
          <w:szCs w:val="24"/>
        </w:rPr>
        <w:t xml:space="preserve"> </w:t>
      </w:r>
      <w:r w:rsidR="00A502B6" w:rsidRPr="00DF2DC9">
        <w:rPr>
          <w:rFonts w:ascii="Tahoma" w:hAnsi="Tahoma" w:cs="Tahoma"/>
          <w:sz w:val="24"/>
          <w:szCs w:val="24"/>
        </w:rPr>
        <w:t>e</w:t>
      </w:r>
      <w:r w:rsidR="003818E6" w:rsidRPr="00DF2DC9">
        <w:rPr>
          <w:rFonts w:ascii="Tahoma" w:hAnsi="Tahoma" w:cs="Tahoma"/>
          <w:sz w:val="24"/>
          <w:szCs w:val="24"/>
        </w:rPr>
        <w:t>xpedido por el gobierno nacional</w:t>
      </w:r>
      <w:r w:rsidR="00343C59" w:rsidRPr="00DF2DC9">
        <w:rPr>
          <w:rFonts w:ascii="Tahoma" w:hAnsi="Tahoma" w:cs="Tahoma"/>
          <w:sz w:val="24"/>
          <w:szCs w:val="24"/>
        </w:rPr>
        <w:t>, sobre la disposición de la información de la población a vacunar en cada etapa se dijo:</w:t>
      </w:r>
    </w:p>
    <w:p w14:paraId="3775F73E" w14:textId="77777777" w:rsidR="00343C59" w:rsidRPr="00DF2DC9" w:rsidRDefault="00343C59" w:rsidP="00DF2DC9">
      <w:pPr>
        <w:spacing w:after="0" w:line="276" w:lineRule="auto"/>
        <w:jc w:val="both"/>
        <w:rPr>
          <w:rFonts w:ascii="Tahoma" w:hAnsi="Tahoma" w:cs="Tahoma"/>
          <w:i/>
          <w:sz w:val="24"/>
          <w:szCs w:val="24"/>
        </w:rPr>
      </w:pPr>
    </w:p>
    <w:p w14:paraId="119262E4" w14:textId="7F7580D1" w:rsidR="00343C59" w:rsidRPr="00A81C70" w:rsidRDefault="00343C59" w:rsidP="00A81C70">
      <w:pPr>
        <w:spacing w:after="0" w:line="240" w:lineRule="auto"/>
        <w:ind w:left="426" w:right="420"/>
        <w:jc w:val="both"/>
        <w:rPr>
          <w:rFonts w:ascii="Tahoma" w:hAnsi="Tahoma" w:cs="Tahoma"/>
          <w:i/>
          <w:szCs w:val="24"/>
        </w:rPr>
      </w:pPr>
      <w:r w:rsidRPr="00A81C70">
        <w:rPr>
          <w:rFonts w:ascii="Tahoma" w:hAnsi="Tahoma" w:cs="Tahoma"/>
          <w:i/>
          <w:szCs w:val="24"/>
        </w:rPr>
        <w:t>“La información de la etapa en la que se vacunará cada persona, así como la población priorizada a la que pertenece, reposará en la plataforma MI VACUNA COVID-19. La información de las personas a vacunar en las etapas, deberá estar publicada antes del inicio de cada una.</w:t>
      </w:r>
    </w:p>
    <w:p w14:paraId="39E00177" w14:textId="77777777" w:rsidR="005070DC" w:rsidRPr="00A81C70" w:rsidRDefault="005070DC" w:rsidP="00A81C70">
      <w:pPr>
        <w:spacing w:after="0" w:line="240" w:lineRule="auto"/>
        <w:ind w:left="426" w:right="420"/>
        <w:jc w:val="both"/>
        <w:rPr>
          <w:rFonts w:ascii="Tahoma" w:hAnsi="Tahoma" w:cs="Tahoma"/>
          <w:i/>
          <w:szCs w:val="24"/>
        </w:rPr>
      </w:pPr>
    </w:p>
    <w:p w14:paraId="37E87921" w14:textId="05B996FE" w:rsidR="00343C59" w:rsidRPr="00A81C70" w:rsidRDefault="00A81C70" w:rsidP="00A81C70">
      <w:pPr>
        <w:spacing w:after="0" w:line="240" w:lineRule="auto"/>
        <w:ind w:left="426" w:right="420"/>
        <w:jc w:val="both"/>
        <w:rPr>
          <w:rFonts w:ascii="Tahoma" w:hAnsi="Tahoma" w:cs="Tahoma"/>
          <w:i/>
          <w:szCs w:val="24"/>
        </w:rPr>
      </w:pPr>
      <w:r w:rsidRPr="00A81C70">
        <w:rPr>
          <w:rFonts w:ascii="Tahoma" w:hAnsi="Tahoma" w:cs="Tahoma"/>
          <w:i/>
          <w:szCs w:val="24"/>
        </w:rPr>
        <w:t>“</w:t>
      </w:r>
      <w:r w:rsidR="00343C59" w:rsidRPr="00A81C70">
        <w:rPr>
          <w:rFonts w:ascii="Tahoma" w:hAnsi="Tahoma" w:cs="Tahoma"/>
          <w:i/>
          <w:szCs w:val="24"/>
        </w:rPr>
        <w:t>Los habitantes del territorio nacional podrán hacer consulta individual sobre la etapa en la que fueron clasificados para la vacunación, ingresando a la plataforma MI VACUNA COVID – 19 con su número de identificación.</w:t>
      </w:r>
    </w:p>
    <w:p w14:paraId="122C12F7" w14:textId="77777777" w:rsidR="005070DC" w:rsidRPr="00A81C70" w:rsidRDefault="005070DC" w:rsidP="00A81C70">
      <w:pPr>
        <w:spacing w:after="0" w:line="240" w:lineRule="auto"/>
        <w:ind w:left="426" w:right="420"/>
        <w:jc w:val="both"/>
        <w:rPr>
          <w:rFonts w:ascii="Tahoma" w:hAnsi="Tahoma" w:cs="Tahoma"/>
          <w:i/>
          <w:szCs w:val="24"/>
        </w:rPr>
      </w:pPr>
    </w:p>
    <w:p w14:paraId="6C7BB895" w14:textId="3EEC7F39" w:rsidR="00343C59" w:rsidRPr="00A81C70" w:rsidRDefault="00A81C70" w:rsidP="00A81C70">
      <w:pPr>
        <w:spacing w:after="0" w:line="240" w:lineRule="auto"/>
        <w:ind w:left="426" w:right="420"/>
        <w:jc w:val="both"/>
        <w:rPr>
          <w:rFonts w:ascii="Tahoma" w:hAnsi="Tahoma" w:cs="Tahoma"/>
          <w:i/>
          <w:szCs w:val="24"/>
        </w:rPr>
      </w:pPr>
      <w:r w:rsidRPr="00A81C70">
        <w:rPr>
          <w:rFonts w:ascii="Tahoma" w:hAnsi="Tahoma" w:cs="Tahoma"/>
          <w:i/>
          <w:szCs w:val="24"/>
        </w:rPr>
        <w:t>“</w:t>
      </w:r>
      <w:r w:rsidR="00343C59" w:rsidRPr="00A81C70">
        <w:rPr>
          <w:rFonts w:ascii="Tahoma" w:hAnsi="Tahoma" w:cs="Tahoma"/>
          <w:i/>
          <w:szCs w:val="24"/>
        </w:rPr>
        <w:t xml:space="preserve">El Ministerio de Salud y Protección Social entregará el listado de las personas a vacunar en cada etapa a las entidades responsables de su aseguramiento en salud. </w:t>
      </w:r>
    </w:p>
    <w:p w14:paraId="1C711A8E" w14:textId="77777777" w:rsidR="005070DC" w:rsidRPr="00A81C70" w:rsidRDefault="005070DC" w:rsidP="00A81C70">
      <w:pPr>
        <w:spacing w:after="0" w:line="240" w:lineRule="auto"/>
        <w:ind w:left="426" w:right="420"/>
        <w:jc w:val="both"/>
        <w:rPr>
          <w:rFonts w:ascii="Tahoma" w:hAnsi="Tahoma" w:cs="Tahoma"/>
          <w:i/>
          <w:szCs w:val="24"/>
        </w:rPr>
      </w:pPr>
    </w:p>
    <w:p w14:paraId="439ADADE" w14:textId="2F400585" w:rsidR="00343C59" w:rsidRPr="00A81C70" w:rsidRDefault="00343C59" w:rsidP="00A81C70">
      <w:pPr>
        <w:spacing w:after="0" w:line="240" w:lineRule="auto"/>
        <w:ind w:left="426" w:right="420"/>
        <w:jc w:val="both"/>
        <w:rPr>
          <w:rFonts w:ascii="Tahoma" w:hAnsi="Tahoma" w:cs="Tahoma"/>
          <w:i/>
          <w:szCs w:val="24"/>
        </w:rPr>
      </w:pPr>
      <w:r w:rsidRPr="00A81C70">
        <w:rPr>
          <w:rFonts w:ascii="Tahoma" w:hAnsi="Tahoma" w:cs="Tahoma"/>
          <w:i/>
          <w:szCs w:val="24"/>
        </w:rPr>
        <w:t>Si dentro de las personas identificadas por el Ministerio de Salud y Protección Social se encuentran algunas que aún no están aseguradas al Sistema General de Seguridad Social en Salud o a uno de los regímenes especiales o de excepción, será la secretaría de salud departamental, distrital o municipal o la entidad que haga sus veces, según corresponda, la que asigne el prestador de servicios de salud que debe gestionar la vacunación de la persona no afiliada, mientras se logra materializar el proceso de afiliación a una Entidad Promotora de Salud. Sin perjuicio de lo anterior, las entidades territoriales deberán cumplir con las obligaciones derivadas del Decreto número 064 de 2020, o la norma que lo modifique, adicione o sustituya, en lo relacionado con la afiliación de oficio”.</w:t>
      </w:r>
      <w:r w:rsidR="00102545">
        <w:rPr>
          <w:rFonts w:ascii="Tahoma" w:hAnsi="Tahoma" w:cs="Tahoma"/>
          <w:i/>
          <w:szCs w:val="24"/>
        </w:rPr>
        <w:t xml:space="preserve"> </w:t>
      </w:r>
    </w:p>
    <w:p w14:paraId="27B6E0EB" w14:textId="77777777" w:rsidR="00457EAB" w:rsidRPr="00DF2DC9" w:rsidRDefault="00457EAB" w:rsidP="00A81C70">
      <w:pPr>
        <w:spacing w:after="0" w:line="276" w:lineRule="auto"/>
        <w:jc w:val="both"/>
        <w:rPr>
          <w:rFonts w:ascii="Tahoma" w:hAnsi="Tahoma" w:cs="Tahoma"/>
          <w:sz w:val="24"/>
          <w:szCs w:val="24"/>
        </w:rPr>
      </w:pPr>
    </w:p>
    <w:p w14:paraId="49AB54D5" w14:textId="2AC6858B" w:rsidR="005D5FC4" w:rsidRPr="00DF2DC9" w:rsidRDefault="005D5FC4" w:rsidP="00DF2DC9">
      <w:pPr>
        <w:pStyle w:val="Prrafodelista"/>
        <w:numPr>
          <w:ilvl w:val="1"/>
          <w:numId w:val="7"/>
        </w:numPr>
        <w:spacing w:after="0" w:line="276" w:lineRule="auto"/>
        <w:jc w:val="both"/>
        <w:rPr>
          <w:rFonts w:ascii="Tahoma" w:hAnsi="Tahoma" w:cs="Tahoma"/>
          <w:b/>
          <w:sz w:val="24"/>
          <w:szCs w:val="24"/>
        </w:rPr>
      </w:pPr>
      <w:r w:rsidRPr="00DF2DC9">
        <w:rPr>
          <w:rFonts w:ascii="Tahoma" w:hAnsi="Tahoma" w:cs="Tahoma"/>
          <w:b/>
          <w:sz w:val="24"/>
          <w:szCs w:val="24"/>
        </w:rPr>
        <w:t xml:space="preserve">Del </w:t>
      </w:r>
      <w:r w:rsidR="00457EAB" w:rsidRPr="00DF2DC9">
        <w:rPr>
          <w:rFonts w:ascii="Tahoma" w:hAnsi="Tahoma" w:cs="Tahoma"/>
          <w:b/>
          <w:sz w:val="24"/>
          <w:szCs w:val="24"/>
        </w:rPr>
        <w:t>Instituto Nacional de Vigilancia de Medicamentos y Alimentos INVIMA</w:t>
      </w:r>
    </w:p>
    <w:p w14:paraId="67D7098F" w14:textId="77777777" w:rsidR="00457EAB" w:rsidRPr="00DF2DC9" w:rsidRDefault="00457EAB" w:rsidP="007C0973">
      <w:pPr>
        <w:spacing w:after="0" w:line="276" w:lineRule="auto"/>
        <w:jc w:val="both"/>
        <w:rPr>
          <w:rFonts w:ascii="Tahoma" w:hAnsi="Tahoma" w:cs="Tahoma"/>
          <w:sz w:val="24"/>
          <w:szCs w:val="24"/>
        </w:rPr>
      </w:pPr>
    </w:p>
    <w:p w14:paraId="4E3CBFBC" w14:textId="061ED36E" w:rsidR="00457EAB" w:rsidRPr="00DF2DC9" w:rsidRDefault="00212651" w:rsidP="00102545">
      <w:pPr>
        <w:spacing w:after="0" w:line="276" w:lineRule="auto"/>
        <w:jc w:val="both"/>
        <w:rPr>
          <w:rFonts w:ascii="Tahoma" w:hAnsi="Tahoma" w:cs="Tahoma"/>
          <w:sz w:val="24"/>
          <w:szCs w:val="24"/>
        </w:rPr>
      </w:pPr>
      <w:r w:rsidRPr="00DF2DC9">
        <w:rPr>
          <w:rFonts w:ascii="Tahoma" w:hAnsi="Tahoma" w:cs="Tahoma"/>
          <w:sz w:val="24"/>
          <w:szCs w:val="24"/>
        </w:rPr>
        <w:t>Con</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expedición</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Ley</w:t>
      </w:r>
      <w:r w:rsidR="00102545">
        <w:rPr>
          <w:rFonts w:ascii="Tahoma" w:hAnsi="Tahoma" w:cs="Tahoma"/>
          <w:sz w:val="24"/>
          <w:szCs w:val="24"/>
        </w:rPr>
        <w:t xml:space="preserve"> </w:t>
      </w:r>
      <w:r w:rsidRPr="00DF2DC9">
        <w:rPr>
          <w:rFonts w:ascii="Tahoma" w:hAnsi="Tahoma" w:cs="Tahoma"/>
          <w:sz w:val="24"/>
          <w:szCs w:val="24"/>
        </w:rPr>
        <w:t>100</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1993</w:t>
      </w:r>
      <w:r w:rsidR="00102545">
        <w:rPr>
          <w:rFonts w:ascii="Tahoma" w:hAnsi="Tahoma" w:cs="Tahoma"/>
          <w:sz w:val="24"/>
          <w:szCs w:val="24"/>
        </w:rPr>
        <w:t xml:space="preserve"> </w:t>
      </w:r>
      <w:r w:rsidRPr="00DF2DC9">
        <w:rPr>
          <w:rFonts w:ascii="Tahoma" w:hAnsi="Tahoma" w:cs="Tahoma"/>
          <w:sz w:val="24"/>
          <w:szCs w:val="24"/>
        </w:rPr>
        <w:t>fue</w:t>
      </w:r>
      <w:r w:rsidR="00102545">
        <w:rPr>
          <w:rFonts w:ascii="Tahoma" w:hAnsi="Tahoma" w:cs="Tahoma"/>
          <w:sz w:val="24"/>
          <w:szCs w:val="24"/>
        </w:rPr>
        <w:t xml:space="preserve"> </w:t>
      </w:r>
      <w:r w:rsidRPr="00DF2DC9">
        <w:rPr>
          <w:rFonts w:ascii="Tahoma" w:hAnsi="Tahoma" w:cs="Tahoma"/>
          <w:sz w:val="24"/>
          <w:szCs w:val="24"/>
        </w:rPr>
        <w:t>creado</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"Sistema</w:t>
      </w:r>
      <w:r w:rsidR="00102545">
        <w:rPr>
          <w:rFonts w:ascii="Tahoma" w:hAnsi="Tahoma" w:cs="Tahoma"/>
          <w:sz w:val="24"/>
          <w:szCs w:val="24"/>
        </w:rPr>
        <w:t xml:space="preserve"> </w:t>
      </w:r>
      <w:r w:rsidRPr="00DF2DC9">
        <w:rPr>
          <w:rFonts w:ascii="Tahoma" w:hAnsi="Tahoma" w:cs="Tahoma"/>
          <w:sz w:val="24"/>
          <w:szCs w:val="24"/>
        </w:rPr>
        <w:t>General</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Seguridad Social</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Salud"</w:t>
      </w:r>
      <w:r w:rsidR="00102545">
        <w:rPr>
          <w:rFonts w:ascii="Tahoma" w:hAnsi="Tahoma" w:cs="Tahoma"/>
          <w:sz w:val="24"/>
          <w:szCs w:val="24"/>
        </w:rPr>
        <w:t xml:space="preserve"> </w:t>
      </w:r>
      <w:r w:rsidRPr="00DF2DC9">
        <w:rPr>
          <w:rFonts w:ascii="Tahoma" w:hAnsi="Tahoma" w:cs="Tahoma"/>
          <w:sz w:val="24"/>
          <w:szCs w:val="24"/>
        </w:rPr>
        <w:t>que</w:t>
      </w:r>
      <w:r w:rsidR="00102545">
        <w:rPr>
          <w:rFonts w:ascii="Tahoma" w:hAnsi="Tahoma" w:cs="Tahoma"/>
          <w:sz w:val="24"/>
          <w:szCs w:val="24"/>
        </w:rPr>
        <w:t xml:space="preserve"> </w:t>
      </w:r>
      <w:r w:rsidRPr="00DF2DC9">
        <w:rPr>
          <w:rFonts w:ascii="Tahoma" w:hAnsi="Tahoma" w:cs="Tahoma"/>
          <w:sz w:val="24"/>
          <w:szCs w:val="24"/>
        </w:rPr>
        <w:t>cambió</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reorganizó</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prestación</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los</w:t>
      </w:r>
      <w:r w:rsidR="00102545">
        <w:rPr>
          <w:rFonts w:ascii="Tahoma" w:hAnsi="Tahoma" w:cs="Tahoma"/>
          <w:sz w:val="24"/>
          <w:szCs w:val="24"/>
        </w:rPr>
        <w:t xml:space="preserve"> </w:t>
      </w:r>
      <w:r w:rsidRPr="00DF2DC9">
        <w:rPr>
          <w:rFonts w:ascii="Tahoma" w:hAnsi="Tahoma" w:cs="Tahoma"/>
          <w:sz w:val="24"/>
          <w:szCs w:val="24"/>
        </w:rPr>
        <w:t>servicios</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salud</w:t>
      </w:r>
      <w:r w:rsidR="00102545">
        <w:rPr>
          <w:rFonts w:ascii="Tahoma" w:hAnsi="Tahoma" w:cs="Tahoma"/>
          <w:sz w:val="24"/>
          <w:szCs w:val="24"/>
        </w:rPr>
        <w:t xml:space="preserve"> </w:t>
      </w:r>
      <w:r w:rsidRPr="00DF2DC9">
        <w:rPr>
          <w:rFonts w:ascii="Tahoma" w:hAnsi="Tahoma" w:cs="Tahoma"/>
          <w:sz w:val="24"/>
          <w:szCs w:val="24"/>
        </w:rPr>
        <w:t>e integró</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salud</w:t>
      </w:r>
      <w:r w:rsidR="00102545">
        <w:rPr>
          <w:rFonts w:ascii="Tahoma" w:hAnsi="Tahoma" w:cs="Tahoma"/>
          <w:sz w:val="24"/>
          <w:szCs w:val="24"/>
        </w:rPr>
        <w:t xml:space="preserve"> </w:t>
      </w:r>
      <w:r w:rsidRPr="00DF2DC9">
        <w:rPr>
          <w:rFonts w:ascii="Tahoma" w:hAnsi="Tahoma" w:cs="Tahoma"/>
          <w:sz w:val="24"/>
          <w:szCs w:val="24"/>
        </w:rPr>
        <w:t>pública,</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sistema</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seguridad</w:t>
      </w:r>
      <w:r w:rsidR="00102545">
        <w:rPr>
          <w:rFonts w:ascii="Tahoma" w:hAnsi="Tahoma" w:cs="Tahoma"/>
          <w:sz w:val="24"/>
          <w:szCs w:val="24"/>
        </w:rPr>
        <w:t xml:space="preserve"> </w:t>
      </w:r>
      <w:r w:rsidRPr="00DF2DC9">
        <w:rPr>
          <w:rFonts w:ascii="Tahoma" w:hAnsi="Tahoma" w:cs="Tahoma"/>
          <w:sz w:val="24"/>
          <w:szCs w:val="24"/>
        </w:rPr>
        <w:t>social</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provisión</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servicios privados,</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artículo</w:t>
      </w:r>
      <w:r w:rsidR="00102545">
        <w:rPr>
          <w:rFonts w:ascii="Tahoma" w:hAnsi="Tahoma" w:cs="Tahoma"/>
          <w:sz w:val="24"/>
          <w:szCs w:val="24"/>
        </w:rPr>
        <w:t xml:space="preserve"> </w:t>
      </w:r>
      <w:r w:rsidRPr="00DF2DC9">
        <w:rPr>
          <w:rFonts w:ascii="Tahoma" w:hAnsi="Tahoma" w:cs="Tahoma"/>
          <w:sz w:val="24"/>
          <w:szCs w:val="24"/>
        </w:rPr>
        <w:t>245</w:t>
      </w:r>
      <w:r w:rsidR="00102545">
        <w:rPr>
          <w:rFonts w:ascii="Tahoma" w:hAnsi="Tahoma" w:cs="Tahoma"/>
          <w:sz w:val="24"/>
          <w:szCs w:val="24"/>
        </w:rPr>
        <w:t xml:space="preserve"> </w:t>
      </w:r>
      <w:r w:rsidRPr="00DF2DC9">
        <w:rPr>
          <w:rFonts w:ascii="Tahoma" w:hAnsi="Tahoma" w:cs="Tahoma"/>
          <w:sz w:val="24"/>
          <w:szCs w:val="24"/>
        </w:rPr>
        <w:t>ordenó</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creación</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Instituto</w:t>
      </w:r>
      <w:r w:rsidR="00102545">
        <w:rPr>
          <w:rFonts w:ascii="Tahoma" w:hAnsi="Tahoma" w:cs="Tahoma"/>
          <w:sz w:val="24"/>
          <w:szCs w:val="24"/>
        </w:rPr>
        <w:t xml:space="preserve"> </w:t>
      </w:r>
      <w:r w:rsidRPr="00DF2DC9">
        <w:rPr>
          <w:rFonts w:ascii="Tahoma" w:hAnsi="Tahoma" w:cs="Tahoma"/>
          <w:sz w:val="24"/>
          <w:szCs w:val="24"/>
        </w:rPr>
        <w:t>Nacional</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Vigilancia</w:t>
      </w:r>
      <w:r w:rsidR="00102545">
        <w:rPr>
          <w:rFonts w:ascii="Tahoma" w:hAnsi="Tahoma" w:cs="Tahoma"/>
          <w:sz w:val="24"/>
          <w:szCs w:val="24"/>
        </w:rPr>
        <w:t xml:space="preserve"> </w:t>
      </w:r>
      <w:r w:rsidRPr="00DF2DC9">
        <w:rPr>
          <w:rFonts w:ascii="Tahoma" w:hAnsi="Tahoma" w:cs="Tahoma"/>
          <w:sz w:val="24"/>
          <w:szCs w:val="24"/>
        </w:rPr>
        <w:t>de Medicamentos</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Alimentos</w:t>
      </w:r>
      <w:r w:rsidR="00102545">
        <w:rPr>
          <w:rFonts w:ascii="Tahoma" w:hAnsi="Tahoma" w:cs="Tahoma"/>
          <w:sz w:val="24"/>
          <w:szCs w:val="24"/>
        </w:rPr>
        <w:t xml:space="preserve"> </w:t>
      </w:r>
      <w:r w:rsidRPr="00DF2DC9">
        <w:rPr>
          <w:rFonts w:ascii="Tahoma" w:hAnsi="Tahoma" w:cs="Tahoma"/>
          <w:sz w:val="24"/>
          <w:szCs w:val="24"/>
        </w:rPr>
        <w:t>INVIMA,</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ejecución</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este</w:t>
      </w:r>
      <w:r w:rsidR="00102545">
        <w:rPr>
          <w:rFonts w:ascii="Tahoma" w:hAnsi="Tahoma" w:cs="Tahoma"/>
          <w:sz w:val="24"/>
          <w:szCs w:val="24"/>
        </w:rPr>
        <w:t xml:space="preserve"> </w:t>
      </w:r>
      <w:r w:rsidRPr="00DF2DC9">
        <w:rPr>
          <w:rFonts w:ascii="Tahoma" w:hAnsi="Tahoma" w:cs="Tahoma"/>
          <w:sz w:val="24"/>
          <w:szCs w:val="24"/>
        </w:rPr>
        <w:t>mandato</w:t>
      </w:r>
      <w:r w:rsidR="00102545">
        <w:rPr>
          <w:rFonts w:ascii="Tahoma" w:hAnsi="Tahoma" w:cs="Tahoma"/>
          <w:sz w:val="24"/>
          <w:szCs w:val="24"/>
        </w:rPr>
        <w:t xml:space="preserve"> </w:t>
      </w:r>
      <w:r w:rsidRPr="00DF2DC9">
        <w:rPr>
          <w:rFonts w:ascii="Tahoma" w:hAnsi="Tahoma" w:cs="Tahoma"/>
          <w:sz w:val="24"/>
          <w:szCs w:val="24"/>
        </w:rPr>
        <w:t>fue</w:t>
      </w:r>
      <w:r w:rsidR="00102545">
        <w:rPr>
          <w:rFonts w:ascii="Tahoma" w:hAnsi="Tahoma" w:cs="Tahoma"/>
          <w:sz w:val="24"/>
          <w:szCs w:val="24"/>
        </w:rPr>
        <w:t xml:space="preserve"> </w:t>
      </w:r>
      <w:r w:rsidRPr="00DF2DC9">
        <w:rPr>
          <w:rFonts w:ascii="Tahoma" w:hAnsi="Tahoma" w:cs="Tahoma"/>
          <w:sz w:val="24"/>
          <w:szCs w:val="24"/>
        </w:rPr>
        <w:t>expedido</w:t>
      </w:r>
      <w:r w:rsidR="00102545">
        <w:rPr>
          <w:rFonts w:ascii="Tahoma" w:hAnsi="Tahoma" w:cs="Tahoma"/>
          <w:sz w:val="24"/>
          <w:szCs w:val="24"/>
        </w:rPr>
        <w:t xml:space="preserve"> </w:t>
      </w:r>
      <w:r w:rsidRPr="00DF2DC9">
        <w:rPr>
          <w:rFonts w:ascii="Tahoma" w:hAnsi="Tahoma" w:cs="Tahoma"/>
          <w:sz w:val="24"/>
          <w:szCs w:val="24"/>
        </w:rPr>
        <w:t>el Decreto</w:t>
      </w:r>
      <w:r w:rsidR="00102545">
        <w:rPr>
          <w:rFonts w:ascii="Tahoma" w:hAnsi="Tahoma" w:cs="Tahoma"/>
          <w:sz w:val="24"/>
          <w:szCs w:val="24"/>
        </w:rPr>
        <w:t xml:space="preserve"> </w:t>
      </w:r>
      <w:r w:rsidRPr="00DF2DC9">
        <w:rPr>
          <w:rFonts w:ascii="Tahoma" w:hAnsi="Tahoma" w:cs="Tahoma"/>
          <w:sz w:val="24"/>
          <w:szCs w:val="24"/>
        </w:rPr>
        <w:t>1290</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1994,</w:t>
      </w:r>
      <w:r w:rsidR="00102545">
        <w:rPr>
          <w:rFonts w:ascii="Tahoma" w:hAnsi="Tahoma" w:cs="Tahoma"/>
          <w:sz w:val="24"/>
          <w:szCs w:val="24"/>
        </w:rPr>
        <w:t xml:space="preserve"> </w:t>
      </w:r>
      <w:r w:rsidRPr="00DF2DC9">
        <w:rPr>
          <w:rFonts w:ascii="Tahoma" w:hAnsi="Tahoma" w:cs="Tahoma"/>
          <w:sz w:val="24"/>
          <w:szCs w:val="24"/>
        </w:rPr>
        <w:t>por</w:t>
      </w:r>
      <w:r w:rsidR="00102545">
        <w:rPr>
          <w:rFonts w:ascii="Tahoma" w:hAnsi="Tahoma" w:cs="Tahoma"/>
          <w:sz w:val="24"/>
          <w:szCs w:val="24"/>
        </w:rPr>
        <w:t xml:space="preserve"> </w:t>
      </w:r>
      <w:r w:rsidRPr="00DF2DC9">
        <w:rPr>
          <w:rFonts w:ascii="Tahoma" w:hAnsi="Tahoma" w:cs="Tahoma"/>
          <w:sz w:val="24"/>
          <w:szCs w:val="24"/>
        </w:rPr>
        <w:t>medio</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cual</w:t>
      </w:r>
      <w:r w:rsidR="00102545">
        <w:rPr>
          <w:rFonts w:ascii="Tahoma" w:hAnsi="Tahoma" w:cs="Tahoma"/>
          <w:sz w:val="24"/>
          <w:szCs w:val="24"/>
        </w:rPr>
        <w:t xml:space="preserve"> </w:t>
      </w:r>
      <w:r w:rsidRPr="00DF2DC9">
        <w:rPr>
          <w:rFonts w:ascii="Tahoma" w:hAnsi="Tahoma" w:cs="Tahoma"/>
          <w:sz w:val="24"/>
          <w:szCs w:val="24"/>
        </w:rPr>
        <w:t>se</w:t>
      </w:r>
      <w:r w:rsidR="00102545">
        <w:rPr>
          <w:rFonts w:ascii="Tahoma" w:hAnsi="Tahoma" w:cs="Tahoma"/>
          <w:sz w:val="24"/>
          <w:szCs w:val="24"/>
        </w:rPr>
        <w:t xml:space="preserve"> </w:t>
      </w:r>
      <w:r w:rsidRPr="00DF2DC9">
        <w:rPr>
          <w:rFonts w:ascii="Tahoma" w:hAnsi="Tahoma" w:cs="Tahoma"/>
          <w:sz w:val="24"/>
          <w:szCs w:val="24"/>
        </w:rPr>
        <w:t>precisaron</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funciones</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INVIMA</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se estableció</w:t>
      </w:r>
      <w:r w:rsidR="00102545">
        <w:rPr>
          <w:rFonts w:ascii="Tahoma" w:hAnsi="Tahoma" w:cs="Tahoma"/>
          <w:sz w:val="24"/>
          <w:szCs w:val="24"/>
        </w:rPr>
        <w:t xml:space="preserve"> </w:t>
      </w:r>
      <w:r w:rsidRPr="00DF2DC9">
        <w:rPr>
          <w:rFonts w:ascii="Tahoma" w:hAnsi="Tahoma" w:cs="Tahoma"/>
          <w:sz w:val="24"/>
          <w:szCs w:val="24"/>
        </w:rPr>
        <w:t>su</w:t>
      </w:r>
      <w:r w:rsidR="00102545">
        <w:rPr>
          <w:rFonts w:ascii="Tahoma" w:hAnsi="Tahoma" w:cs="Tahoma"/>
          <w:sz w:val="24"/>
          <w:szCs w:val="24"/>
        </w:rPr>
        <w:t xml:space="preserve"> </w:t>
      </w:r>
      <w:r w:rsidRPr="00DF2DC9">
        <w:rPr>
          <w:rFonts w:ascii="Tahoma" w:hAnsi="Tahoma" w:cs="Tahoma"/>
          <w:sz w:val="24"/>
          <w:szCs w:val="24"/>
        </w:rPr>
        <w:t>organización</w:t>
      </w:r>
      <w:r w:rsidR="00102545">
        <w:rPr>
          <w:rFonts w:ascii="Tahoma" w:hAnsi="Tahoma" w:cs="Tahoma"/>
          <w:sz w:val="24"/>
          <w:szCs w:val="24"/>
        </w:rPr>
        <w:t xml:space="preserve"> </w:t>
      </w:r>
      <w:r w:rsidRPr="00DF2DC9">
        <w:rPr>
          <w:rFonts w:ascii="Tahoma" w:hAnsi="Tahoma" w:cs="Tahoma"/>
          <w:sz w:val="24"/>
          <w:szCs w:val="24"/>
        </w:rPr>
        <w:t>básica.</w:t>
      </w:r>
      <w:r w:rsidR="00102545">
        <w:rPr>
          <w:rFonts w:ascii="Tahoma" w:hAnsi="Tahoma" w:cs="Tahoma"/>
          <w:sz w:val="24"/>
          <w:szCs w:val="24"/>
        </w:rPr>
        <w:t xml:space="preserve"> </w:t>
      </w:r>
    </w:p>
    <w:p w14:paraId="565EA339" w14:textId="77777777" w:rsidR="00457EAB" w:rsidRPr="00DF2DC9" w:rsidRDefault="00457EAB" w:rsidP="00102545">
      <w:pPr>
        <w:spacing w:after="0" w:line="276" w:lineRule="auto"/>
        <w:jc w:val="both"/>
        <w:rPr>
          <w:rFonts w:ascii="Tahoma" w:hAnsi="Tahoma" w:cs="Tahoma"/>
          <w:sz w:val="24"/>
          <w:szCs w:val="24"/>
        </w:rPr>
      </w:pPr>
    </w:p>
    <w:p w14:paraId="79E6D96C" w14:textId="44DBEA88" w:rsidR="00457EAB" w:rsidRPr="00DF2DC9" w:rsidRDefault="00212651" w:rsidP="00102545">
      <w:pPr>
        <w:spacing w:after="0" w:line="276" w:lineRule="auto"/>
        <w:jc w:val="both"/>
        <w:rPr>
          <w:rFonts w:ascii="Tahoma" w:hAnsi="Tahoma" w:cs="Tahoma"/>
          <w:sz w:val="24"/>
          <w:szCs w:val="24"/>
        </w:rPr>
      </w:pPr>
      <w:r w:rsidRPr="00DF2DC9">
        <w:rPr>
          <w:rFonts w:ascii="Tahoma" w:hAnsi="Tahoma" w:cs="Tahoma"/>
          <w:sz w:val="24"/>
          <w:szCs w:val="24"/>
        </w:rPr>
        <w:t>Se definió</w:t>
      </w:r>
      <w:r w:rsidR="00457EAB" w:rsidRPr="00DF2DC9">
        <w:rPr>
          <w:rFonts w:ascii="Tahoma" w:hAnsi="Tahoma" w:cs="Tahoma"/>
          <w:sz w:val="24"/>
          <w:szCs w:val="24"/>
        </w:rPr>
        <w:t xml:space="preserve"> </w:t>
      </w:r>
      <w:r w:rsidRPr="00DF2DC9">
        <w:rPr>
          <w:rFonts w:ascii="Tahoma" w:hAnsi="Tahoma" w:cs="Tahoma"/>
          <w:sz w:val="24"/>
          <w:szCs w:val="24"/>
        </w:rPr>
        <w:t>entonces</w:t>
      </w:r>
      <w:r w:rsidR="00102545">
        <w:rPr>
          <w:rFonts w:ascii="Tahoma" w:hAnsi="Tahoma" w:cs="Tahoma"/>
          <w:sz w:val="24"/>
          <w:szCs w:val="24"/>
        </w:rPr>
        <w:t xml:space="preserve"> </w:t>
      </w:r>
      <w:r w:rsidRPr="00DF2DC9">
        <w:rPr>
          <w:rFonts w:ascii="Tahoma" w:hAnsi="Tahoma" w:cs="Tahoma"/>
          <w:sz w:val="24"/>
          <w:szCs w:val="24"/>
        </w:rPr>
        <w:t>como</w:t>
      </w:r>
      <w:r w:rsidR="00102545">
        <w:rPr>
          <w:rFonts w:ascii="Tahoma" w:hAnsi="Tahoma" w:cs="Tahoma"/>
          <w:sz w:val="24"/>
          <w:szCs w:val="24"/>
        </w:rPr>
        <w:t xml:space="preserve"> </w:t>
      </w:r>
      <w:r w:rsidRPr="00DF2DC9">
        <w:rPr>
          <w:rFonts w:ascii="Tahoma" w:hAnsi="Tahoma" w:cs="Tahoma"/>
          <w:sz w:val="24"/>
          <w:szCs w:val="24"/>
        </w:rPr>
        <w:t>naturaleza</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INVIMA</w:t>
      </w:r>
      <w:r w:rsidR="00102545">
        <w:rPr>
          <w:rFonts w:ascii="Tahoma" w:hAnsi="Tahoma" w:cs="Tahoma"/>
          <w:sz w:val="24"/>
          <w:szCs w:val="24"/>
        </w:rPr>
        <w:t xml:space="preserve"> </w:t>
      </w:r>
      <w:r w:rsidRPr="00DF2DC9">
        <w:rPr>
          <w:rFonts w:ascii="Tahoma" w:hAnsi="Tahoma" w:cs="Tahoma"/>
          <w:sz w:val="24"/>
          <w:szCs w:val="24"/>
        </w:rPr>
        <w:t>ser</w:t>
      </w:r>
      <w:r w:rsidR="00102545">
        <w:rPr>
          <w:rFonts w:ascii="Tahoma" w:hAnsi="Tahoma" w:cs="Tahoma"/>
          <w:sz w:val="24"/>
          <w:szCs w:val="24"/>
        </w:rPr>
        <w:t xml:space="preserve"> </w:t>
      </w:r>
      <w:r w:rsidRPr="00DF2DC9">
        <w:rPr>
          <w:rFonts w:ascii="Tahoma" w:hAnsi="Tahoma" w:cs="Tahoma"/>
          <w:sz w:val="24"/>
          <w:szCs w:val="24"/>
        </w:rPr>
        <w:t>un</w:t>
      </w:r>
      <w:r w:rsidR="00102545">
        <w:rPr>
          <w:rFonts w:ascii="Tahoma" w:hAnsi="Tahoma" w:cs="Tahoma"/>
          <w:sz w:val="24"/>
          <w:szCs w:val="24"/>
        </w:rPr>
        <w:t xml:space="preserve"> </w:t>
      </w:r>
      <w:r w:rsidRPr="00DF2DC9">
        <w:rPr>
          <w:rFonts w:ascii="Tahoma" w:hAnsi="Tahoma" w:cs="Tahoma"/>
          <w:sz w:val="24"/>
          <w:szCs w:val="24"/>
        </w:rPr>
        <w:t>establecimiento</w:t>
      </w:r>
      <w:r w:rsidR="00102545">
        <w:rPr>
          <w:rFonts w:ascii="Tahoma" w:hAnsi="Tahoma" w:cs="Tahoma"/>
          <w:sz w:val="24"/>
          <w:szCs w:val="24"/>
        </w:rPr>
        <w:t xml:space="preserve"> </w:t>
      </w:r>
      <w:r w:rsidRPr="00DF2DC9">
        <w:rPr>
          <w:rFonts w:ascii="Tahoma" w:hAnsi="Tahoma" w:cs="Tahoma"/>
          <w:sz w:val="24"/>
          <w:szCs w:val="24"/>
        </w:rPr>
        <w:t>público</w:t>
      </w:r>
      <w:r w:rsidR="00102545">
        <w:rPr>
          <w:rFonts w:ascii="Tahoma" w:hAnsi="Tahoma" w:cs="Tahoma"/>
          <w:sz w:val="24"/>
          <w:szCs w:val="24"/>
        </w:rPr>
        <w:t xml:space="preserve"> </w:t>
      </w:r>
      <w:r w:rsidRPr="00DF2DC9">
        <w:rPr>
          <w:rFonts w:ascii="Tahoma" w:hAnsi="Tahoma" w:cs="Tahoma"/>
          <w:sz w:val="24"/>
          <w:szCs w:val="24"/>
        </w:rPr>
        <w:t>del orden</w:t>
      </w:r>
      <w:r w:rsidR="00102545">
        <w:rPr>
          <w:rFonts w:ascii="Tahoma" w:hAnsi="Tahoma" w:cs="Tahoma"/>
          <w:sz w:val="24"/>
          <w:szCs w:val="24"/>
        </w:rPr>
        <w:t xml:space="preserve"> </w:t>
      </w:r>
      <w:r w:rsidRPr="00DF2DC9">
        <w:rPr>
          <w:rFonts w:ascii="Tahoma" w:hAnsi="Tahoma" w:cs="Tahoma"/>
          <w:sz w:val="24"/>
          <w:szCs w:val="24"/>
        </w:rPr>
        <w:t>nacional,</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carácter</w:t>
      </w:r>
      <w:r w:rsidR="00102545">
        <w:rPr>
          <w:rFonts w:ascii="Tahoma" w:hAnsi="Tahoma" w:cs="Tahoma"/>
          <w:sz w:val="24"/>
          <w:szCs w:val="24"/>
        </w:rPr>
        <w:t xml:space="preserve"> </w:t>
      </w:r>
      <w:r w:rsidRPr="00DF2DC9">
        <w:rPr>
          <w:rFonts w:ascii="Tahoma" w:hAnsi="Tahoma" w:cs="Tahoma"/>
          <w:sz w:val="24"/>
          <w:szCs w:val="24"/>
        </w:rPr>
        <w:t>científico</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tecnológico,</w:t>
      </w:r>
      <w:r w:rsidR="00102545">
        <w:rPr>
          <w:rFonts w:ascii="Tahoma" w:hAnsi="Tahoma" w:cs="Tahoma"/>
          <w:sz w:val="24"/>
          <w:szCs w:val="24"/>
        </w:rPr>
        <w:t xml:space="preserve"> </w:t>
      </w:r>
      <w:r w:rsidRPr="00DF2DC9">
        <w:rPr>
          <w:rFonts w:ascii="Tahoma" w:hAnsi="Tahoma" w:cs="Tahoma"/>
          <w:sz w:val="24"/>
          <w:szCs w:val="24"/>
        </w:rPr>
        <w:t>con</w:t>
      </w:r>
      <w:r w:rsidR="00102545">
        <w:rPr>
          <w:rFonts w:ascii="Tahoma" w:hAnsi="Tahoma" w:cs="Tahoma"/>
          <w:sz w:val="24"/>
          <w:szCs w:val="24"/>
        </w:rPr>
        <w:t xml:space="preserve"> </w:t>
      </w:r>
      <w:r w:rsidRPr="00DF2DC9">
        <w:rPr>
          <w:rFonts w:ascii="Tahoma" w:hAnsi="Tahoma" w:cs="Tahoma"/>
          <w:sz w:val="24"/>
          <w:szCs w:val="24"/>
        </w:rPr>
        <w:t>personería</w:t>
      </w:r>
      <w:r w:rsidR="00102545">
        <w:rPr>
          <w:rFonts w:ascii="Tahoma" w:hAnsi="Tahoma" w:cs="Tahoma"/>
          <w:sz w:val="24"/>
          <w:szCs w:val="24"/>
        </w:rPr>
        <w:t xml:space="preserve"> </w:t>
      </w:r>
      <w:r w:rsidRPr="00DF2DC9">
        <w:rPr>
          <w:rFonts w:ascii="Tahoma" w:hAnsi="Tahoma" w:cs="Tahoma"/>
          <w:sz w:val="24"/>
          <w:szCs w:val="24"/>
        </w:rPr>
        <w:t>jurídica,</w:t>
      </w:r>
      <w:r w:rsidR="00102545">
        <w:rPr>
          <w:rFonts w:ascii="Tahoma" w:hAnsi="Tahoma" w:cs="Tahoma"/>
          <w:sz w:val="24"/>
          <w:szCs w:val="24"/>
        </w:rPr>
        <w:t xml:space="preserve"> </w:t>
      </w:r>
      <w:r w:rsidRPr="00DF2DC9">
        <w:rPr>
          <w:rFonts w:ascii="Tahoma" w:hAnsi="Tahoma" w:cs="Tahoma"/>
          <w:sz w:val="24"/>
          <w:szCs w:val="24"/>
        </w:rPr>
        <w:t>autonomía administrativa</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patrimonio</w:t>
      </w:r>
      <w:r w:rsidR="00102545">
        <w:rPr>
          <w:rFonts w:ascii="Tahoma" w:hAnsi="Tahoma" w:cs="Tahoma"/>
          <w:sz w:val="24"/>
          <w:szCs w:val="24"/>
        </w:rPr>
        <w:t xml:space="preserve"> </w:t>
      </w:r>
      <w:r w:rsidRPr="00DF2DC9">
        <w:rPr>
          <w:rFonts w:ascii="Tahoma" w:hAnsi="Tahoma" w:cs="Tahoma"/>
          <w:sz w:val="24"/>
          <w:szCs w:val="24"/>
        </w:rPr>
        <w:t>independiente,</w:t>
      </w:r>
      <w:r w:rsidR="00102545">
        <w:rPr>
          <w:rFonts w:ascii="Tahoma" w:hAnsi="Tahoma" w:cs="Tahoma"/>
          <w:sz w:val="24"/>
          <w:szCs w:val="24"/>
        </w:rPr>
        <w:t xml:space="preserve"> </w:t>
      </w:r>
      <w:r w:rsidRPr="00DF2DC9">
        <w:rPr>
          <w:rFonts w:ascii="Tahoma" w:hAnsi="Tahoma" w:cs="Tahoma"/>
          <w:sz w:val="24"/>
          <w:szCs w:val="24"/>
        </w:rPr>
        <w:t>perteneciente</w:t>
      </w:r>
      <w:r w:rsidR="00102545">
        <w:rPr>
          <w:rFonts w:ascii="Tahoma" w:hAnsi="Tahoma" w:cs="Tahoma"/>
          <w:sz w:val="24"/>
          <w:szCs w:val="24"/>
        </w:rPr>
        <w:t xml:space="preserve"> </w:t>
      </w:r>
      <w:r w:rsidRPr="00DF2DC9">
        <w:rPr>
          <w:rFonts w:ascii="Tahoma" w:hAnsi="Tahoma" w:cs="Tahoma"/>
          <w:sz w:val="24"/>
          <w:szCs w:val="24"/>
        </w:rPr>
        <w:t>al</w:t>
      </w:r>
      <w:r w:rsidR="00102545">
        <w:rPr>
          <w:rFonts w:ascii="Tahoma" w:hAnsi="Tahoma" w:cs="Tahoma"/>
          <w:sz w:val="24"/>
          <w:szCs w:val="24"/>
        </w:rPr>
        <w:t xml:space="preserve"> </w:t>
      </w:r>
      <w:r w:rsidRPr="00DF2DC9">
        <w:rPr>
          <w:rFonts w:ascii="Tahoma" w:hAnsi="Tahoma" w:cs="Tahoma"/>
          <w:sz w:val="24"/>
          <w:szCs w:val="24"/>
        </w:rPr>
        <w:t>Sistema</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Salud</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con sujeción</w:t>
      </w:r>
      <w:r w:rsidR="00102545">
        <w:rPr>
          <w:rFonts w:ascii="Tahoma" w:hAnsi="Tahoma" w:cs="Tahoma"/>
          <w:sz w:val="24"/>
          <w:szCs w:val="24"/>
        </w:rPr>
        <w:t xml:space="preserve"> </w:t>
      </w:r>
      <w:r w:rsidRPr="00DF2DC9">
        <w:rPr>
          <w:rFonts w:ascii="Tahoma" w:hAnsi="Tahoma" w:cs="Tahoma"/>
          <w:sz w:val="24"/>
          <w:szCs w:val="24"/>
        </w:rPr>
        <w:t>a</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disposiciones generales que</w:t>
      </w:r>
      <w:r w:rsidR="00102545">
        <w:rPr>
          <w:rFonts w:ascii="Tahoma" w:hAnsi="Tahoma" w:cs="Tahoma"/>
          <w:sz w:val="24"/>
          <w:szCs w:val="24"/>
        </w:rPr>
        <w:t xml:space="preserve"> </w:t>
      </w:r>
      <w:r w:rsidRPr="00DF2DC9">
        <w:rPr>
          <w:rFonts w:ascii="Tahoma" w:hAnsi="Tahoma" w:cs="Tahoma"/>
          <w:sz w:val="24"/>
          <w:szCs w:val="24"/>
        </w:rPr>
        <w:t>regulan</w:t>
      </w:r>
      <w:r w:rsidR="00102545">
        <w:rPr>
          <w:rFonts w:ascii="Tahoma" w:hAnsi="Tahoma" w:cs="Tahoma"/>
          <w:sz w:val="24"/>
          <w:szCs w:val="24"/>
        </w:rPr>
        <w:t xml:space="preserve"> </w:t>
      </w:r>
      <w:r w:rsidRPr="00DF2DC9">
        <w:rPr>
          <w:rFonts w:ascii="Tahoma" w:hAnsi="Tahoma" w:cs="Tahoma"/>
          <w:sz w:val="24"/>
          <w:szCs w:val="24"/>
        </w:rPr>
        <w:t>su</w:t>
      </w:r>
      <w:r w:rsidR="00102545">
        <w:rPr>
          <w:rFonts w:ascii="Tahoma" w:hAnsi="Tahoma" w:cs="Tahoma"/>
          <w:sz w:val="24"/>
          <w:szCs w:val="24"/>
        </w:rPr>
        <w:t xml:space="preserve"> </w:t>
      </w:r>
      <w:r w:rsidRPr="00DF2DC9">
        <w:rPr>
          <w:rFonts w:ascii="Tahoma" w:hAnsi="Tahoma" w:cs="Tahoma"/>
          <w:sz w:val="24"/>
          <w:szCs w:val="24"/>
        </w:rPr>
        <w:t xml:space="preserve">funcionamiento. </w:t>
      </w:r>
    </w:p>
    <w:p w14:paraId="6D9C6D12" w14:textId="77777777" w:rsidR="00A81C70" w:rsidRDefault="00A81C70" w:rsidP="00102545">
      <w:pPr>
        <w:spacing w:after="0" w:line="276" w:lineRule="auto"/>
        <w:jc w:val="both"/>
        <w:rPr>
          <w:rFonts w:ascii="Tahoma" w:hAnsi="Tahoma" w:cs="Tahoma"/>
          <w:sz w:val="24"/>
          <w:szCs w:val="24"/>
        </w:rPr>
      </w:pPr>
    </w:p>
    <w:p w14:paraId="54BCB34B" w14:textId="06DA4B8F" w:rsidR="00457EAB" w:rsidRPr="00DF2DC9" w:rsidRDefault="00212651" w:rsidP="00102545">
      <w:pPr>
        <w:spacing w:after="0" w:line="276" w:lineRule="auto"/>
        <w:jc w:val="both"/>
        <w:rPr>
          <w:rFonts w:ascii="Tahoma" w:hAnsi="Tahoma" w:cs="Tahoma"/>
          <w:sz w:val="24"/>
          <w:szCs w:val="24"/>
        </w:rPr>
      </w:pP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Invima</w:t>
      </w:r>
      <w:r w:rsidR="00102545">
        <w:rPr>
          <w:rFonts w:ascii="Tahoma" w:hAnsi="Tahoma" w:cs="Tahoma"/>
          <w:sz w:val="24"/>
          <w:szCs w:val="24"/>
        </w:rPr>
        <w:t xml:space="preserve"> </w:t>
      </w:r>
      <w:r w:rsidRPr="00DF2DC9">
        <w:rPr>
          <w:rFonts w:ascii="Tahoma" w:hAnsi="Tahoma" w:cs="Tahoma"/>
          <w:sz w:val="24"/>
          <w:szCs w:val="24"/>
        </w:rPr>
        <w:t>tiene</w:t>
      </w:r>
      <w:r w:rsidR="00102545">
        <w:rPr>
          <w:rFonts w:ascii="Tahoma" w:hAnsi="Tahoma" w:cs="Tahoma"/>
          <w:sz w:val="24"/>
          <w:szCs w:val="24"/>
        </w:rPr>
        <w:t xml:space="preserve"> </w:t>
      </w:r>
      <w:r w:rsidRPr="00DF2DC9">
        <w:rPr>
          <w:rFonts w:ascii="Tahoma" w:hAnsi="Tahoma" w:cs="Tahoma"/>
          <w:sz w:val="24"/>
          <w:szCs w:val="24"/>
        </w:rPr>
        <w:t>como</w:t>
      </w:r>
      <w:r w:rsidR="00102545">
        <w:rPr>
          <w:rFonts w:ascii="Tahoma" w:hAnsi="Tahoma" w:cs="Tahoma"/>
          <w:sz w:val="24"/>
          <w:szCs w:val="24"/>
        </w:rPr>
        <w:t xml:space="preserve"> </w:t>
      </w:r>
      <w:r w:rsidRPr="00DF2DC9">
        <w:rPr>
          <w:rFonts w:ascii="Tahoma" w:hAnsi="Tahoma" w:cs="Tahoma"/>
          <w:sz w:val="24"/>
          <w:szCs w:val="24"/>
        </w:rPr>
        <w:t>objetivo</w:t>
      </w:r>
      <w:r w:rsidR="00102545">
        <w:rPr>
          <w:rFonts w:ascii="Tahoma" w:hAnsi="Tahoma" w:cs="Tahoma"/>
          <w:sz w:val="24"/>
          <w:szCs w:val="24"/>
        </w:rPr>
        <w:t xml:space="preserve"> </w:t>
      </w:r>
      <w:r w:rsidRPr="00DF2DC9">
        <w:rPr>
          <w:rFonts w:ascii="Tahoma" w:hAnsi="Tahoma" w:cs="Tahoma"/>
          <w:sz w:val="24"/>
          <w:szCs w:val="24"/>
        </w:rPr>
        <w:t>actuar</w:t>
      </w:r>
      <w:r w:rsidR="00102545">
        <w:rPr>
          <w:rFonts w:ascii="Tahoma" w:hAnsi="Tahoma" w:cs="Tahoma"/>
          <w:sz w:val="24"/>
          <w:szCs w:val="24"/>
        </w:rPr>
        <w:t xml:space="preserve"> </w:t>
      </w:r>
      <w:r w:rsidRPr="00DF2DC9">
        <w:rPr>
          <w:rFonts w:ascii="Tahoma" w:hAnsi="Tahoma" w:cs="Tahoma"/>
          <w:sz w:val="24"/>
          <w:szCs w:val="24"/>
        </w:rPr>
        <w:t>como</w:t>
      </w:r>
      <w:r w:rsidR="00102545">
        <w:rPr>
          <w:rFonts w:ascii="Tahoma" w:hAnsi="Tahoma" w:cs="Tahoma"/>
          <w:sz w:val="24"/>
          <w:szCs w:val="24"/>
        </w:rPr>
        <w:t xml:space="preserve"> </w:t>
      </w:r>
      <w:r w:rsidRPr="00DF2DC9">
        <w:rPr>
          <w:rFonts w:ascii="Tahoma" w:hAnsi="Tahoma" w:cs="Tahoma"/>
          <w:sz w:val="24"/>
          <w:szCs w:val="24"/>
        </w:rPr>
        <w:t>institución</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referencia</w:t>
      </w:r>
      <w:r w:rsidR="00102545">
        <w:rPr>
          <w:rFonts w:ascii="Tahoma" w:hAnsi="Tahoma" w:cs="Tahoma"/>
          <w:sz w:val="24"/>
          <w:szCs w:val="24"/>
        </w:rPr>
        <w:t xml:space="preserve"> </w:t>
      </w:r>
      <w:r w:rsidRPr="00DF2DC9">
        <w:rPr>
          <w:rFonts w:ascii="Tahoma" w:hAnsi="Tahoma" w:cs="Tahoma"/>
          <w:sz w:val="24"/>
          <w:szCs w:val="24"/>
        </w:rPr>
        <w:t>nacional</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materia sanitaria</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ejecutar</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políticas</w:t>
      </w:r>
      <w:r w:rsidR="00102545">
        <w:rPr>
          <w:rFonts w:ascii="Tahoma" w:hAnsi="Tahoma" w:cs="Tahoma"/>
          <w:sz w:val="24"/>
          <w:szCs w:val="24"/>
        </w:rPr>
        <w:t xml:space="preserve"> </w:t>
      </w:r>
      <w:r w:rsidRPr="00DF2DC9">
        <w:rPr>
          <w:rFonts w:ascii="Tahoma" w:hAnsi="Tahoma" w:cs="Tahoma"/>
          <w:sz w:val="24"/>
          <w:szCs w:val="24"/>
        </w:rPr>
        <w:t>formuladas</w:t>
      </w:r>
      <w:r w:rsidR="00102545">
        <w:rPr>
          <w:rFonts w:ascii="Tahoma" w:hAnsi="Tahoma" w:cs="Tahoma"/>
          <w:sz w:val="24"/>
          <w:szCs w:val="24"/>
        </w:rPr>
        <w:t xml:space="preserve"> </w:t>
      </w:r>
      <w:r w:rsidRPr="00DF2DC9">
        <w:rPr>
          <w:rFonts w:ascii="Tahoma" w:hAnsi="Tahoma" w:cs="Tahoma"/>
          <w:sz w:val="24"/>
          <w:szCs w:val="24"/>
        </w:rPr>
        <w:t>por</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Ministerio</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Salud</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Protección Social</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inspección,</w:t>
      </w:r>
      <w:r w:rsidR="00102545">
        <w:rPr>
          <w:rFonts w:ascii="Tahoma" w:hAnsi="Tahoma" w:cs="Tahoma"/>
          <w:sz w:val="24"/>
          <w:szCs w:val="24"/>
        </w:rPr>
        <w:t xml:space="preserve"> </w:t>
      </w:r>
      <w:r w:rsidRPr="00DF2DC9">
        <w:rPr>
          <w:rFonts w:ascii="Tahoma" w:hAnsi="Tahoma" w:cs="Tahoma"/>
          <w:sz w:val="24"/>
          <w:szCs w:val="24"/>
        </w:rPr>
        <w:t>vigilancia</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control</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calidad</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los</w:t>
      </w:r>
      <w:r w:rsidR="00102545">
        <w:rPr>
          <w:rFonts w:ascii="Tahoma" w:hAnsi="Tahoma" w:cs="Tahoma"/>
          <w:sz w:val="24"/>
          <w:szCs w:val="24"/>
        </w:rPr>
        <w:t xml:space="preserve"> </w:t>
      </w:r>
      <w:r w:rsidRPr="00DF2DC9">
        <w:rPr>
          <w:rFonts w:ascii="Tahoma" w:hAnsi="Tahoma" w:cs="Tahoma"/>
          <w:sz w:val="24"/>
          <w:szCs w:val="24"/>
        </w:rPr>
        <w:t>medicamentos,</w:t>
      </w:r>
      <w:r w:rsidR="00102545">
        <w:rPr>
          <w:rFonts w:ascii="Tahoma" w:hAnsi="Tahoma" w:cs="Tahoma"/>
          <w:sz w:val="24"/>
          <w:szCs w:val="24"/>
        </w:rPr>
        <w:t xml:space="preserve"> </w:t>
      </w:r>
      <w:r w:rsidRPr="00DF2DC9">
        <w:rPr>
          <w:rFonts w:ascii="Tahoma" w:hAnsi="Tahoma" w:cs="Tahoma"/>
          <w:sz w:val="24"/>
          <w:szCs w:val="24"/>
        </w:rPr>
        <w:t>productos biológicos,</w:t>
      </w:r>
      <w:r w:rsidR="00102545">
        <w:rPr>
          <w:rFonts w:ascii="Tahoma" w:hAnsi="Tahoma" w:cs="Tahoma"/>
          <w:sz w:val="24"/>
          <w:szCs w:val="24"/>
        </w:rPr>
        <w:t xml:space="preserve"> </w:t>
      </w:r>
      <w:r w:rsidRPr="00DF2DC9">
        <w:rPr>
          <w:rFonts w:ascii="Tahoma" w:hAnsi="Tahoma" w:cs="Tahoma"/>
          <w:sz w:val="24"/>
          <w:szCs w:val="24"/>
        </w:rPr>
        <w:t>alimentos,</w:t>
      </w:r>
      <w:r w:rsidR="00102545">
        <w:rPr>
          <w:rFonts w:ascii="Tahoma" w:hAnsi="Tahoma" w:cs="Tahoma"/>
          <w:sz w:val="24"/>
          <w:szCs w:val="24"/>
        </w:rPr>
        <w:t xml:space="preserve"> </w:t>
      </w:r>
      <w:r w:rsidRPr="00DF2DC9">
        <w:rPr>
          <w:rFonts w:ascii="Tahoma" w:hAnsi="Tahoma" w:cs="Tahoma"/>
          <w:sz w:val="24"/>
          <w:szCs w:val="24"/>
        </w:rPr>
        <w:t>bebidas,</w:t>
      </w:r>
      <w:r w:rsidR="00102545">
        <w:rPr>
          <w:rFonts w:ascii="Tahoma" w:hAnsi="Tahoma" w:cs="Tahoma"/>
          <w:sz w:val="24"/>
          <w:szCs w:val="24"/>
        </w:rPr>
        <w:t xml:space="preserve"> </w:t>
      </w:r>
      <w:r w:rsidRPr="00DF2DC9">
        <w:rPr>
          <w:rFonts w:ascii="Tahoma" w:hAnsi="Tahoma" w:cs="Tahoma"/>
          <w:sz w:val="24"/>
          <w:szCs w:val="24"/>
        </w:rPr>
        <w:t>cosméticos,</w:t>
      </w:r>
      <w:r w:rsidR="00102545">
        <w:rPr>
          <w:rFonts w:ascii="Tahoma" w:hAnsi="Tahoma" w:cs="Tahoma"/>
          <w:sz w:val="24"/>
          <w:szCs w:val="24"/>
        </w:rPr>
        <w:t xml:space="preserve"> </w:t>
      </w:r>
      <w:r w:rsidRPr="00DF2DC9">
        <w:rPr>
          <w:rFonts w:ascii="Tahoma" w:hAnsi="Tahoma" w:cs="Tahoma"/>
          <w:sz w:val="24"/>
          <w:szCs w:val="24"/>
        </w:rPr>
        <w:t>dispositivos</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elementos</w:t>
      </w:r>
      <w:r w:rsidR="00102545">
        <w:rPr>
          <w:rFonts w:ascii="Tahoma" w:hAnsi="Tahoma" w:cs="Tahoma"/>
          <w:sz w:val="24"/>
          <w:szCs w:val="24"/>
        </w:rPr>
        <w:t xml:space="preserve"> </w:t>
      </w:r>
      <w:proofErr w:type="spellStart"/>
      <w:r w:rsidRPr="00DF2DC9">
        <w:rPr>
          <w:rFonts w:ascii="Tahoma" w:hAnsi="Tahoma" w:cs="Tahoma"/>
          <w:sz w:val="24"/>
          <w:szCs w:val="24"/>
        </w:rPr>
        <w:lastRenderedPageBreak/>
        <w:t>médicoquirúrgicos</w:t>
      </w:r>
      <w:proofErr w:type="spellEnd"/>
      <w:r w:rsidRPr="00DF2DC9">
        <w:rPr>
          <w:rFonts w:ascii="Tahoma" w:hAnsi="Tahoma" w:cs="Tahoma"/>
          <w:sz w:val="24"/>
          <w:szCs w:val="24"/>
        </w:rPr>
        <w:t>,</w:t>
      </w:r>
      <w:r w:rsidR="00102545">
        <w:rPr>
          <w:rFonts w:ascii="Tahoma" w:hAnsi="Tahoma" w:cs="Tahoma"/>
          <w:sz w:val="24"/>
          <w:szCs w:val="24"/>
        </w:rPr>
        <w:t xml:space="preserve"> </w:t>
      </w:r>
      <w:r w:rsidRPr="00DF2DC9">
        <w:rPr>
          <w:rFonts w:ascii="Tahoma" w:hAnsi="Tahoma" w:cs="Tahoma"/>
          <w:sz w:val="24"/>
          <w:szCs w:val="24"/>
        </w:rPr>
        <w:t>odontológicos,</w:t>
      </w:r>
      <w:r w:rsidR="00102545">
        <w:rPr>
          <w:rFonts w:ascii="Tahoma" w:hAnsi="Tahoma" w:cs="Tahoma"/>
          <w:sz w:val="24"/>
          <w:szCs w:val="24"/>
        </w:rPr>
        <w:t xml:space="preserve"> </w:t>
      </w:r>
      <w:r w:rsidRPr="00DF2DC9">
        <w:rPr>
          <w:rFonts w:ascii="Tahoma" w:hAnsi="Tahoma" w:cs="Tahoma"/>
          <w:sz w:val="24"/>
          <w:szCs w:val="24"/>
        </w:rPr>
        <w:t>productos</w:t>
      </w:r>
      <w:r w:rsidR="00102545">
        <w:rPr>
          <w:rFonts w:ascii="Tahoma" w:hAnsi="Tahoma" w:cs="Tahoma"/>
          <w:sz w:val="24"/>
          <w:szCs w:val="24"/>
        </w:rPr>
        <w:t xml:space="preserve"> </w:t>
      </w:r>
      <w:r w:rsidRPr="00DF2DC9">
        <w:rPr>
          <w:rFonts w:ascii="Tahoma" w:hAnsi="Tahoma" w:cs="Tahoma"/>
          <w:sz w:val="24"/>
          <w:szCs w:val="24"/>
        </w:rPr>
        <w:t>naturales</w:t>
      </w:r>
      <w:r w:rsidR="00102545">
        <w:rPr>
          <w:rFonts w:ascii="Tahoma" w:hAnsi="Tahoma" w:cs="Tahoma"/>
          <w:sz w:val="24"/>
          <w:szCs w:val="24"/>
        </w:rPr>
        <w:t xml:space="preserve"> </w:t>
      </w:r>
      <w:r w:rsidRPr="00DF2DC9">
        <w:rPr>
          <w:rFonts w:ascii="Tahoma" w:hAnsi="Tahoma" w:cs="Tahoma"/>
          <w:sz w:val="24"/>
          <w:szCs w:val="24"/>
        </w:rPr>
        <w:t>homeopáticos</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los</w:t>
      </w:r>
      <w:r w:rsidR="00102545">
        <w:rPr>
          <w:rFonts w:ascii="Tahoma" w:hAnsi="Tahoma" w:cs="Tahoma"/>
          <w:sz w:val="24"/>
          <w:szCs w:val="24"/>
        </w:rPr>
        <w:t xml:space="preserve"> </w:t>
      </w:r>
      <w:r w:rsidRPr="00DF2DC9">
        <w:rPr>
          <w:rFonts w:ascii="Tahoma" w:hAnsi="Tahoma" w:cs="Tahoma"/>
          <w:sz w:val="24"/>
          <w:szCs w:val="24"/>
        </w:rPr>
        <w:t>generados</w:t>
      </w:r>
      <w:r w:rsidR="00102545">
        <w:rPr>
          <w:rFonts w:ascii="Tahoma" w:hAnsi="Tahoma" w:cs="Tahoma"/>
          <w:sz w:val="24"/>
          <w:szCs w:val="24"/>
        </w:rPr>
        <w:t xml:space="preserve"> </w:t>
      </w:r>
      <w:r w:rsidRPr="00DF2DC9">
        <w:rPr>
          <w:rFonts w:ascii="Tahoma" w:hAnsi="Tahoma" w:cs="Tahoma"/>
          <w:sz w:val="24"/>
          <w:szCs w:val="24"/>
        </w:rPr>
        <w:t>por biotecnología,</w:t>
      </w:r>
      <w:r w:rsidR="00102545">
        <w:rPr>
          <w:rFonts w:ascii="Tahoma" w:hAnsi="Tahoma" w:cs="Tahoma"/>
          <w:sz w:val="24"/>
          <w:szCs w:val="24"/>
        </w:rPr>
        <w:t xml:space="preserve"> </w:t>
      </w:r>
      <w:r w:rsidRPr="00DF2DC9">
        <w:rPr>
          <w:rFonts w:ascii="Tahoma" w:hAnsi="Tahoma" w:cs="Tahoma"/>
          <w:sz w:val="24"/>
          <w:szCs w:val="24"/>
        </w:rPr>
        <w:t>reactivos</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diagnóstico,</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otros</w:t>
      </w:r>
      <w:r w:rsidR="00102545">
        <w:rPr>
          <w:rFonts w:ascii="Tahoma" w:hAnsi="Tahoma" w:cs="Tahoma"/>
          <w:sz w:val="24"/>
          <w:szCs w:val="24"/>
        </w:rPr>
        <w:t xml:space="preserve"> </w:t>
      </w:r>
      <w:r w:rsidRPr="00DF2DC9">
        <w:rPr>
          <w:rFonts w:ascii="Tahoma" w:hAnsi="Tahoma" w:cs="Tahoma"/>
          <w:sz w:val="24"/>
          <w:szCs w:val="24"/>
        </w:rPr>
        <w:t>que</w:t>
      </w:r>
      <w:r w:rsidR="00102545">
        <w:rPr>
          <w:rFonts w:ascii="Tahoma" w:hAnsi="Tahoma" w:cs="Tahoma"/>
          <w:sz w:val="24"/>
          <w:szCs w:val="24"/>
        </w:rPr>
        <w:t xml:space="preserve"> </w:t>
      </w:r>
      <w:r w:rsidRPr="00DF2DC9">
        <w:rPr>
          <w:rFonts w:ascii="Tahoma" w:hAnsi="Tahoma" w:cs="Tahoma"/>
          <w:sz w:val="24"/>
          <w:szCs w:val="24"/>
        </w:rPr>
        <w:t>puedan</w:t>
      </w:r>
      <w:r w:rsidR="00102545">
        <w:rPr>
          <w:rFonts w:ascii="Tahoma" w:hAnsi="Tahoma" w:cs="Tahoma"/>
          <w:sz w:val="24"/>
          <w:szCs w:val="24"/>
        </w:rPr>
        <w:t xml:space="preserve"> </w:t>
      </w:r>
      <w:r w:rsidRPr="00DF2DC9">
        <w:rPr>
          <w:rFonts w:ascii="Tahoma" w:hAnsi="Tahoma" w:cs="Tahoma"/>
          <w:sz w:val="24"/>
          <w:szCs w:val="24"/>
        </w:rPr>
        <w:t>tener</w:t>
      </w:r>
      <w:r w:rsidR="00102545">
        <w:rPr>
          <w:rFonts w:ascii="Tahoma" w:hAnsi="Tahoma" w:cs="Tahoma"/>
          <w:sz w:val="24"/>
          <w:szCs w:val="24"/>
        </w:rPr>
        <w:t xml:space="preserve"> </w:t>
      </w:r>
      <w:r w:rsidRPr="00DF2DC9">
        <w:rPr>
          <w:rFonts w:ascii="Tahoma" w:hAnsi="Tahoma" w:cs="Tahoma"/>
          <w:sz w:val="24"/>
          <w:szCs w:val="24"/>
        </w:rPr>
        <w:t>impacto</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salud individual</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colectiva</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conformidad</w:t>
      </w:r>
      <w:r w:rsidR="00102545">
        <w:rPr>
          <w:rFonts w:ascii="Tahoma" w:hAnsi="Tahoma" w:cs="Tahoma"/>
          <w:sz w:val="24"/>
          <w:szCs w:val="24"/>
        </w:rPr>
        <w:t xml:space="preserve"> </w:t>
      </w:r>
      <w:r w:rsidRPr="00DF2DC9">
        <w:rPr>
          <w:rFonts w:ascii="Tahoma" w:hAnsi="Tahoma" w:cs="Tahoma"/>
          <w:sz w:val="24"/>
          <w:szCs w:val="24"/>
        </w:rPr>
        <w:t>con</w:t>
      </w:r>
      <w:r w:rsidR="00102545">
        <w:rPr>
          <w:rFonts w:ascii="Tahoma" w:hAnsi="Tahoma" w:cs="Tahoma"/>
          <w:sz w:val="24"/>
          <w:szCs w:val="24"/>
        </w:rPr>
        <w:t xml:space="preserve"> </w:t>
      </w:r>
      <w:r w:rsidRPr="00DF2DC9">
        <w:rPr>
          <w:rFonts w:ascii="Tahoma" w:hAnsi="Tahoma" w:cs="Tahoma"/>
          <w:sz w:val="24"/>
          <w:szCs w:val="24"/>
        </w:rPr>
        <w:t>lo</w:t>
      </w:r>
      <w:r w:rsidR="00102545">
        <w:rPr>
          <w:rFonts w:ascii="Tahoma" w:hAnsi="Tahoma" w:cs="Tahoma"/>
          <w:sz w:val="24"/>
          <w:szCs w:val="24"/>
        </w:rPr>
        <w:t xml:space="preserve"> </w:t>
      </w:r>
      <w:r w:rsidRPr="00DF2DC9">
        <w:rPr>
          <w:rFonts w:ascii="Tahoma" w:hAnsi="Tahoma" w:cs="Tahoma"/>
          <w:sz w:val="24"/>
          <w:szCs w:val="24"/>
        </w:rPr>
        <w:t>señalado</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artículo</w:t>
      </w:r>
      <w:r w:rsidR="00102545">
        <w:rPr>
          <w:rFonts w:ascii="Tahoma" w:hAnsi="Tahoma" w:cs="Tahoma"/>
          <w:sz w:val="24"/>
          <w:szCs w:val="24"/>
        </w:rPr>
        <w:t xml:space="preserve"> </w:t>
      </w:r>
      <w:r w:rsidRPr="00DF2DC9">
        <w:rPr>
          <w:rFonts w:ascii="Tahoma" w:hAnsi="Tahoma" w:cs="Tahoma"/>
          <w:sz w:val="24"/>
          <w:szCs w:val="24"/>
        </w:rPr>
        <w:t>245</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Ley</w:t>
      </w:r>
      <w:r w:rsidR="00102545">
        <w:rPr>
          <w:rFonts w:ascii="Tahoma" w:hAnsi="Tahoma" w:cs="Tahoma"/>
          <w:sz w:val="24"/>
          <w:szCs w:val="24"/>
        </w:rPr>
        <w:t xml:space="preserve"> </w:t>
      </w:r>
      <w:r w:rsidRPr="00DF2DC9">
        <w:rPr>
          <w:rFonts w:ascii="Tahoma" w:hAnsi="Tahoma" w:cs="Tahoma"/>
          <w:sz w:val="24"/>
          <w:szCs w:val="24"/>
        </w:rPr>
        <w:t>100 de</w:t>
      </w:r>
      <w:r w:rsidR="00102545">
        <w:rPr>
          <w:rFonts w:ascii="Tahoma" w:hAnsi="Tahoma" w:cs="Tahoma"/>
          <w:sz w:val="24"/>
          <w:szCs w:val="24"/>
        </w:rPr>
        <w:t xml:space="preserve"> </w:t>
      </w:r>
      <w:r w:rsidRPr="00DF2DC9">
        <w:rPr>
          <w:rFonts w:ascii="Tahoma" w:hAnsi="Tahoma" w:cs="Tahoma"/>
          <w:sz w:val="24"/>
          <w:szCs w:val="24"/>
        </w:rPr>
        <w:t>1993</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demás normas que</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modifiquen,</w:t>
      </w:r>
      <w:r w:rsidR="00102545">
        <w:rPr>
          <w:rFonts w:ascii="Tahoma" w:hAnsi="Tahoma" w:cs="Tahoma"/>
          <w:sz w:val="24"/>
          <w:szCs w:val="24"/>
        </w:rPr>
        <w:t xml:space="preserve"> </w:t>
      </w:r>
      <w:r w:rsidRPr="00DF2DC9">
        <w:rPr>
          <w:rFonts w:ascii="Tahoma" w:hAnsi="Tahoma" w:cs="Tahoma"/>
          <w:sz w:val="24"/>
          <w:szCs w:val="24"/>
        </w:rPr>
        <w:t>adicionen</w:t>
      </w:r>
      <w:r w:rsidR="00102545">
        <w:rPr>
          <w:rFonts w:ascii="Tahoma" w:hAnsi="Tahoma" w:cs="Tahoma"/>
          <w:sz w:val="24"/>
          <w:szCs w:val="24"/>
        </w:rPr>
        <w:t xml:space="preserve"> </w:t>
      </w:r>
      <w:r w:rsidRPr="00DF2DC9">
        <w:rPr>
          <w:rFonts w:ascii="Tahoma" w:hAnsi="Tahoma" w:cs="Tahoma"/>
          <w:sz w:val="24"/>
          <w:szCs w:val="24"/>
        </w:rPr>
        <w:t>o</w:t>
      </w:r>
      <w:r w:rsidR="00102545">
        <w:rPr>
          <w:rFonts w:ascii="Tahoma" w:hAnsi="Tahoma" w:cs="Tahoma"/>
          <w:sz w:val="24"/>
          <w:szCs w:val="24"/>
        </w:rPr>
        <w:t xml:space="preserve"> </w:t>
      </w:r>
      <w:r w:rsidRPr="00DF2DC9">
        <w:rPr>
          <w:rFonts w:ascii="Tahoma" w:hAnsi="Tahoma" w:cs="Tahoma"/>
          <w:sz w:val="24"/>
          <w:szCs w:val="24"/>
        </w:rPr>
        <w:t xml:space="preserve">sustituyan. </w:t>
      </w:r>
    </w:p>
    <w:p w14:paraId="383C73B6" w14:textId="77777777" w:rsidR="00A81C70" w:rsidRDefault="00A81C70" w:rsidP="00102545">
      <w:pPr>
        <w:spacing w:after="0" w:line="276" w:lineRule="auto"/>
        <w:jc w:val="both"/>
        <w:rPr>
          <w:rFonts w:ascii="Tahoma" w:hAnsi="Tahoma" w:cs="Tahoma"/>
          <w:sz w:val="24"/>
          <w:szCs w:val="24"/>
        </w:rPr>
      </w:pPr>
    </w:p>
    <w:p w14:paraId="2D5413AD" w14:textId="73CDB4DF" w:rsidR="00457EAB" w:rsidRPr="00DF2DC9" w:rsidRDefault="00A81C70" w:rsidP="00102545">
      <w:pPr>
        <w:spacing w:after="0" w:line="276" w:lineRule="auto"/>
        <w:jc w:val="both"/>
        <w:rPr>
          <w:rFonts w:ascii="Tahoma" w:hAnsi="Tahoma" w:cs="Tahoma"/>
          <w:sz w:val="24"/>
          <w:szCs w:val="24"/>
        </w:rPr>
      </w:pPr>
      <w:r w:rsidRPr="00DF2DC9">
        <w:rPr>
          <w:rFonts w:ascii="Tahoma" w:hAnsi="Tahoma" w:cs="Tahoma"/>
          <w:sz w:val="24"/>
          <w:szCs w:val="24"/>
        </w:rPr>
        <w:t>Ese mismo</w:t>
      </w:r>
      <w:r w:rsidR="00102545">
        <w:rPr>
          <w:rFonts w:ascii="Tahoma" w:hAnsi="Tahoma" w:cs="Tahoma"/>
          <w:sz w:val="24"/>
          <w:szCs w:val="24"/>
        </w:rPr>
        <w:t xml:space="preserve"> </w:t>
      </w:r>
      <w:r w:rsidR="00212651" w:rsidRPr="00DF2DC9">
        <w:rPr>
          <w:rFonts w:ascii="Tahoma" w:hAnsi="Tahoma" w:cs="Tahoma"/>
          <w:sz w:val="24"/>
          <w:szCs w:val="24"/>
        </w:rPr>
        <w:t>año,</w:t>
      </w:r>
      <w:r w:rsidR="00102545">
        <w:rPr>
          <w:rFonts w:ascii="Tahoma" w:hAnsi="Tahoma" w:cs="Tahoma"/>
          <w:sz w:val="24"/>
          <w:szCs w:val="24"/>
        </w:rPr>
        <w:t xml:space="preserve"> </w:t>
      </w:r>
      <w:r w:rsidR="00212651" w:rsidRPr="00DF2DC9">
        <w:rPr>
          <w:rFonts w:ascii="Tahoma" w:hAnsi="Tahoma" w:cs="Tahoma"/>
          <w:sz w:val="24"/>
          <w:szCs w:val="24"/>
        </w:rPr>
        <w:t>la</w:t>
      </w:r>
      <w:r w:rsidR="00102545">
        <w:rPr>
          <w:rFonts w:ascii="Tahoma" w:hAnsi="Tahoma" w:cs="Tahoma"/>
          <w:sz w:val="24"/>
          <w:szCs w:val="24"/>
        </w:rPr>
        <w:t xml:space="preserve"> </w:t>
      </w:r>
      <w:r w:rsidR="00212651" w:rsidRPr="00DF2DC9">
        <w:rPr>
          <w:rFonts w:ascii="Tahoma" w:hAnsi="Tahoma" w:cs="Tahoma"/>
          <w:sz w:val="24"/>
          <w:szCs w:val="24"/>
        </w:rPr>
        <w:t>Junta</w:t>
      </w:r>
      <w:r w:rsidR="00102545">
        <w:rPr>
          <w:rFonts w:ascii="Tahoma" w:hAnsi="Tahoma" w:cs="Tahoma"/>
          <w:sz w:val="24"/>
          <w:szCs w:val="24"/>
        </w:rPr>
        <w:t xml:space="preserve"> </w:t>
      </w:r>
      <w:r w:rsidR="00212651" w:rsidRPr="00DF2DC9">
        <w:rPr>
          <w:rFonts w:ascii="Tahoma" w:hAnsi="Tahoma" w:cs="Tahoma"/>
          <w:sz w:val="24"/>
          <w:szCs w:val="24"/>
        </w:rPr>
        <w:t>Directiva</w:t>
      </w:r>
      <w:r w:rsidR="00102545">
        <w:rPr>
          <w:rFonts w:ascii="Tahoma" w:hAnsi="Tahoma" w:cs="Tahoma"/>
          <w:sz w:val="24"/>
          <w:szCs w:val="24"/>
        </w:rPr>
        <w:t xml:space="preserve"> </w:t>
      </w:r>
      <w:r w:rsidR="00212651" w:rsidRPr="00DF2DC9">
        <w:rPr>
          <w:rFonts w:ascii="Tahoma" w:hAnsi="Tahoma" w:cs="Tahoma"/>
          <w:sz w:val="24"/>
          <w:szCs w:val="24"/>
        </w:rPr>
        <w:t>del</w:t>
      </w:r>
      <w:r w:rsidR="00102545">
        <w:rPr>
          <w:rFonts w:ascii="Tahoma" w:hAnsi="Tahoma" w:cs="Tahoma"/>
          <w:sz w:val="24"/>
          <w:szCs w:val="24"/>
        </w:rPr>
        <w:t xml:space="preserve"> </w:t>
      </w:r>
      <w:r w:rsidR="00212651" w:rsidRPr="00DF2DC9">
        <w:rPr>
          <w:rFonts w:ascii="Tahoma" w:hAnsi="Tahoma" w:cs="Tahoma"/>
          <w:sz w:val="24"/>
          <w:szCs w:val="24"/>
        </w:rPr>
        <w:t>INVIMA</w:t>
      </w:r>
      <w:r w:rsidR="00102545">
        <w:rPr>
          <w:rFonts w:ascii="Tahoma" w:hAnsi="Tahoma" w:cs="Tahoma"/>
          <w:sz w:val="24"/>
          <w:szCs w:val="24"/>
        </w:rPr>
        <w:t xml:space="preserve"> </w:t>
      </w:r>
      <w:r w:rsidR="00212651" w:rsidRPr="00DF2DC9">
        <w:rPr>
          <w:rFonts w:ascii="Tahoma" w:hAnsi="Tahoma" w:cs="Tahoma"/>
          <w:sz w:val="24"/>
          <w:szCs w:val="24"/>
        </w:rPr>
        <w:t>adoptó</w:t>
      </w:r>
      <w:r w:rsidR="00102545">
        <w:rPr>
          <w:rFonts w:ascii="Tahoma" w:hAnsi="Tahoma" w:cs="Tahoma"/>
          <w:sz w:val="24"/>
          <w:szCs w:val="24"/>
        </w:rPr>
        <w:t xml:space="preserve"> </w:t>
      </w:r>
      <w:r w:rsidR="00212651" w:rsidRPr="00DF2DC9">
        <w:rPr>
          <w:rFonts w:ascii="Tahoma" w:hAnsi="Tahoma" w:cs="Tahoma"/>
          <w:sz w:val="24"/>
          <w:szCs w:val="24"/>
        </w:rPr>
        <w:t>a</w:t>
      </w:r>
      <w:r w:rsidR="00102545">
        <w:rPr>
          <w:rFonts w:ascii="Tahoma" w:hAnsi="Tahoma" w:cs="Tahoma"/>
          <w:sz w:val="24"/>
          <w:szCs w:val="24"/>
        </w:rPr>
        <w:t xml:space="preserve"> </w:t>
      </w:r>
      <w:r w:rsidR="00212651" w:rsidRPr="00DF2DC9">
        <w:rPr>
          <w:rFonts w:ascii="Tahoma" w:hAnsi="Tahoma" w:cs="Tahoma"/>
          <w:sz w:val="24"/>
          <w:szCs w:val="24"/>
        </w:rPr>
        <w:t>través</w:t>
      </w:r>
      <w:r w:rsidR="00102545">
        <w:rPr>
          <w:rFonts w:ascii="Tahoma" w:hAnsi="Tahoma" w:cs="Tahoma"/>
          <w:sz w:val="24"/>
          <w:szCs w:val="24"/>
        </w:rPr>
        <w:t xml:space="preserve"> </w:t>
      </w:r>
      <w:r w:rsidR="00212651" w:rsidRPr="00DF2DC9">
        <w:rPr>
          <w:rFonts w:ascii="Tahoma" w:hAnsi="Tahoma" w:cs="Tahoma"/>
          <w:sz w:val="24"/>
          <w:szCs w:val="24"/>
        </w:rPr>
        <w:t>del</w:t>
      </w:r>
      <w:r w:rsidR="00102545">
        <w:rPr>
          <w:rFonts w:ascii="Tahoma" w:hAnsi="Tahoma" w:cs="Tahoma"/>
          <w:sz w:val="24"/>
          <w:szCs w:val="24"/>
        </w:rPr>
        <w:t xml:space="preserve"> </w:t>
      </w:r>
      <w:r w:rsidR="00212651" w:rsidRPr="00DF2DC9">
        <w:rPr>
          <w:rFonts w:ascii="Tahoma" w:hAnsi="Tahoma" w:cs="Tahoma"/>
          <w:sz w:val="24"/>
          <w:szCs w:val="24"/>
        </w:rPr>
        <w:t>Acuerdo</w:t>
      </w:r>
      <w:r w:rsidR="00102545">
        <w:rPr>
          <w:rFonts w:ascii="Tahoma" w:hAnsi="Tahoma" w:cs="Tahoma"/>
          <w:sz w:val="24"/>
          <w:szCs w:val="24"/>
        </w:rPr>
        <w:t xml:space="preserve"> </w:t>
      </w:r>
      <w:r w:rsidR="00212651" w:rsidRPr="00DF2DC9">
        <w:rPr>
          <w:rFonts w:ascii="Tahoma" w:hAnsi="Tahoma" w:cs="Tahoma"/>
          <w:sz w:val="24"/>
          <w:szCs w:val="24"/>
        </w:rPr>
        <w:t>02</w:t>
      </w:r>
      <w:r w:rsidR="00102545">
        <w:rPr>
          <w:rFonts w:ascii="Tahoma" w:hAnsi="Tahoma" w:cs="Tahoma"/>
          <w:sz w:val="24"/>
          <w:szCs w:val="24"/>
        </w:rPr>
        <w:t xml:space="preserve"> </w:t>
      </w:r>
      <w:r w:rsidR="00212651" w:rsidRPr="00DF2DC9">
        <w:rPr>
          <w:rFonts w:ascii="Tahoma" w:hAnsi="Tahoma" w:cs="Tahoma"/>
          <w:sz w:val="24"/>
          <w:szCs w:val="24"/>
        </w:rPr>
        <w:t>la estructura</w:t>
      </w:r>
      <w:r w:rsidR="00102545">
        <w:rPr>
          <w:rFonts w:ascii="Tahoma" w:hAnsi="Tahoma" w:cs="Tahoma"/>
          <w:sz w:val="24"/>
          <w:szCs w:val="24"/>
        </w:rPr>
        <w:t xml:space="preserve"> </w:t>
      </w:r>
      <w:r w:rsidR="00212651" w:rsidRPr="00DF2DC9">
        <w:rPr>
          <w:rFonts w:ascii="Tahoma" w:hAnsi="Tahoma" w:cs="Tahoma"/>
          <w:sz w:val="24"/>
          <w:szCs w:val="24"/>
        </w:rPr>
        <w:t>interna</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la</w:t>
      </w:r>
      <w:r w:rsidR="00102545">
        <w:rPr>
          <w:rFonts w:ascii="Tahoma" w:hAnsi="Tahoma" w:cs="Tahoma"/>
          <w:sz w:val="24"/>
          <w:szCs w:val="24"/>
        </w:rPr>
        <w:t xml:space="preserve"> </w:t>
      </w:r>
      <w:r w:rsidR="00212651" w:rsidRPr="00DF2DC9">
        <w:rPr>
          <w:rFonts w:ascii="Tahoma" w:hAnsi="Tahoma" w:cs="Tahoma"/>
          <w:sz w:val="24"/>
          <w:szCs w:val="24"/>
        </w:rPr>
        <w:t>Entidad,</w:t>
      </w:r>
      <w:r w:rsidR="00102545">
        <w:rPr>
          <w:rFonts w:ascii="Tahoma" w:hAnsi="Tahoma" w:cs="Tahoma"/>
          <w:sz w:val="24"/>
          <w:szCs w:val="24"/>
        </w:rPr>
        <w:t xml:space="preserve"> </w:t>
      </w:r>
      <w:r w:rsidR="00212651" w:rsidRPr="00DF2DC9">
        <w:rPr>
          <w:rFonts w:ascii="Tahoma" w:hAnsi="Tahoma" w:cs="Tahoma"/>
          <w:sz w:val="24"/>
          <w:szCs w:val="24"/>
        </w:rPr>
        <w:t>conformada</w:t>
      </w:r>
      <w:r w:rsidR="00102545">
        <w:rPr>
          <w:rFonts w:ascii="Tahoma" w:hAnsi="Tahoma" w:cs="Tahoma"/>
          <w:sz w:val="24"/>
          <w:szCs w:val="24"/>
        </w:rPr>
        <w:t xml:space="preserve"> </w:t>
      </w:r>
      <w:r w:rsidR="00212651" w:rsidRPr="00DF2DC9">
        <w:rPr>
          <w:rFonts w:ascii="Tahoma" w:hAnsi="Tahoma" w:cs="Tahoma"/>
          <w:sz w:val="24"/>
          <w:szCs w:val="24"/>
        </w:rPr>
        <w:t>por</w:t>
      </w:r>
      <w:r w:rsidR="00102545">
        <w:rPr>
          <w:rFonts w:ascii="Tahoma" w:hAnsi="Tahoma" w:cs="Tahoma"/>
          <w:sz w:val="24"/>
          <w:szCs w:val="24"/>
        </w:rPr>
        <w:t xml:space="preserve"> </w:t>
      </w:r>
      <w:r w:rsidR="00212651" w:rsidRPr="00DF2DC9">
        <w:rPr>
          <w:rFonts w:ascii="Tahoma" w:hAnsi="Tahoma" w:cs="Tahoma"/>
          <w:sz w:val="24"/>
          <w:szCs w:val="24"/>
        </w:rPr>
        <w:t>la</w:t>
      </w:r>
      <w:r w:rsidR="00102545">
        <w:rPr>
          <w:rFonts w:ascii="Tahoma" w:hAnsi="Tahoma" w:cs="Tahoma"/>
          <w:sz w:val="24"/>
          <w:szCs w:val="24"/>
        </w:rPr>
        <w:t xml:space="preserve"> </w:t>
      </w:r>
      <w:r w:rsidR="00212651" w:rsidRPr="00DF2DC9">
        <w:rPr>
          <w:rFonts w:ascii="Tahoma" w:hAnsi="Tahoma" w:cs="Tahoma"/>
          <w:sz w:val="24"/>
          <w:szCs w:val="24"/>
        </w:rPr>
        <w:t>Junta</w:t>
      </w:r>
      <w:r w:rsidR="00102545">
        <w:rPr>
          <w:rFonts w:ascii="Tahoma" w:hAnsi="Tahoma" w:cs="Tahoma"/>
          <w:sz w:val="24"/>
          <w:szCs w:val="24"/>
        </w:rPr>
        <w:t xml:space="preserve"> </w:t>
      </w:r>
      <w:r w:rsidR="00212651" w:rsidRPr="00DF2DC9">
        <w:rPr>
          <w:rFonts w:ascii="Tahoma" w:hAnsi="Tahoma" w:cs="Tahoma"/>
          <w:sz w:val="24"/>
          <w:szCs w:val="24"/>
        </w:rPr>
        <w:t>Directiva,</w:t>
      </w:r>
      <w:r w:rsidR="00102545">
        <w:rPr>
          <w:rFonts w:ascii="Tahoma" w:hAnsi="Tahoma" w:cs="Tahoma"/>
          <w:sz w:val="24"/>
          <w:szCs w:val="24"/>
        </w:rPr>
        <w:t xml:space="preserve"> </w:t>
      </w:r>
      <w:r w:rsidR="00212651" w:rsidRPr="00DF2DC9">
        <w:rPr>
          <w:rFonts w:ascii="Tahoma" w:hAnsi="Tahoma" w:cs="Tahoma"/>
          <w:sz w:val="24"/>
          <w:szCs w:val="24"/>
        </w:rPr>
        <w:t>la</w:t>
      </w:r>
      <w:r w:rsidR="00102545">
        <w:rPr>
          <w:rFonts w:ascii="Tahoma" w:hAnsi="Tahoma" w:cs="Tahoma"/>
          <w:sz w:val="24"/>
          <w:szCs w:val="24"/>
        </w:rPr>
        <w:t xml:space="preserve"> </w:t>
      </w:r>
      <w:r w:rsidR="00212651" w:rsidRPr="00DF2DC9">
        <w:rPr>
          <w:rFonts w:ascii="Tahoma" w:hAnsi="Tahoma" w:cs="Tahoma"/>
          <w:sz w:val="24"/>
          <w:szCs w:val="24"/>
        </w:rPr>
        <w:t>Dirección</w:t>
      </w:r>
      <w:r w:rsidR="00102545">
        <w:rPr>
          <w:rFonts w:ascii="Tahoma" w:hAnsi="Tahoma" w:cs="Tahoma"/>
          <w:sz w:val="24"/>
          <w:szCs w:val="24"/>
        </w:rPr>
        <w:t xml:space="preserve"> </w:t>
      </w:r>
      <w:r w:rsidR="00212651" w:rsidRPr="00DF2DC9">
        <w:rPr>
          <w:rFonts w:ascii="Tahoma" w:hAnsi="Tahoma" w:cs="Tahoma"/>
          <w:sz w:val="24"/>
          <w:szCs w:val="24"/>
        </w:rPr>
        <w:t>General y</w:t>
      </w:r>
      <w:r w:rsidR="00102545">
        <w:rPr>
          <w:rFonts w:ascii="Tahoma" w:hAnsi="Tahoma" w:cs="Tahoma"/>
          <w:sz w:val="24"/>
          <w:szCs w:val="24"/>
        </w:rPr>
        <w:t xml:space="preserve"> </w:t>
      </w:r>
      <w:r w:rsidR="00212651" w:rsidRPr="00DF2DC9">
        <w:rPr>
          <w:rFonts w:ascii="Tahoma" w:hAnsi="Tahoma" w:cs="Tahoma"/>
          <w:sz w:val="24"/>
          <w:szCs w:val="24"/>
        </w:rPr>
        <w:t>las</w:t>
      </w:r>
      <w:r w:rsidR="00102545">
        <w:rPr>
          <w:rFonts w:ascii="Tahoma" w:hAnsi="Tahoma" w:cs="Tahoma"/>
          <w:sz w:val="24"/>
          <w:szCs w:val="24"/>
        </w:rPr>
        <w:t xml:space="preserve"> </w:t>
      </w:r>
      <w:r w:rsidR="00212651" w:rsidRPr="00DF2DC9">
        <w:rPr>
          <w:rFonts w:ascii="Tahoma" w:hAnsi="Tahoma" w:cs="Tahoma"/>
          <w:sz w:val="24"/>
          <w:szCs w:val="24"/>
        </w:rPr>
        <w:t>oficinas</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Control</w:t>
      </w:r>
      <w:r w:rsidR="00102545">
        <w:rPr>
          <w:rFonts w:ascii="Tahoma" w:hAnsi="Tahoma" w:cs="Tahoma"/>
          <w:sz w:val="24"/>
          <w:szCs w:val="24"/>
        </w:rPr>
        <w:t xml:space="preserve"> </w:t>
      </w:r>
      <w:r w:rsidR="00212651" w:rsidRPr="00DF2DC9">
        <w:rPr>
          <w:rFonts w:ascii="Tahoma" w:hAnsi="Tahoma" w:cs="Tahoma"/>
          <w:sz w:val="24"/>
          <w:szCs w:val="24"/>
        </w:rPr>
        <w:t>Interno,</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Planeación</w:t>
      </w:r>
      <w:r w:rsidR="00102545">
        <w:rPr>
          <w:rFonts w:ascii="Tahoma" w:hAnsi="Tahoma" w:cs="Tahoma"/>
          <w:sz w:val="24"/>
          <w:szCs w:val="24"/>
        </w:rPr>
        <w:t xml:space="preserve"> </w:t>
      </w:r>
      <w:r w:rsidR="00212651" w:rsidRPr="00DF2DC9">
        <w:rPr>
          <w:rFonts w:ascii="Tahoma" w:hAnsi="Tahoma" w:cs="Tahoma"/>
          <w:sz w:val="24"/>
          <w:szCs w:val="24"/>
        </w:rPr>
        <w:t>e</w:t>
      </w:r>
      <w:r w:rsidR="00102545">
        <w:rPr>
          <w:rFonts w:ascii="Tahoma" w:hAnsi="Tahoma" w:cs="Tahoma"/>
          <w:sz w:val="24"/>
          <w:szCs w:val="24"/>
        </w:rPr>
        <w:t xml:space="preserve"> </w:t>
      </w:r>
      <w:r w:rsidR="00212651" w:rsidRPr="00DF2DC9">
        <w:rPr>
          <w:rFonts w:ascii="Tahoma" w:hAnsi="Tahoma" w:cs="Tahoma"/>
          <w:sz w:val="24"/>
          <w:szCs w:val="24"/>
        </w:rPr>
        <w:t>Informática</w:t>
      </w:r>
      <w:r w:rsidR="00102545">
        <w:rPr>
          <w:rFonts w:ascii="Tahoma" w:hAnsi="Tahoma" w:cs="Tahoma"/>
          <w:sz w:val="24"/>
          <w:szCs w:val="24"/>
        </w:rPr>
        <w:t xml:space="preserve"> </w:t>
      </w:r>
      <w:r w:rsidR="00212651" w:rsidRPr="00DF2DC9">
        <w:rPr>
          <w:rFonts w:ascii="Tahoma" w:hAnsi="Tahoma" w:cs="Tahoma"/>
          <w:sz w:val="24"/>
          <w:szCs w:val="24"/>
        </w:rPr>
        <w:t>y</w:t>
      </w:r>
      <w:r w:rsidR="00102545">
        <w:rPr>
          <w:rFonts w:ascii="Tahoma" w:hAnsi="Tahoma" w:cs="Tahoma"/>
          <w:sz w:val="24"/>
          <w:szCs w:val="24"/>
        </w:rPr>
        <w:t xml:space="preserve"> </w:t>
      </w:r>
      <w:r w:rsidR="00212651" w:rsidRPr="00DF2DC9">
        <w:rPr>
          <w:rFonts w:ascii="Tahoma" w:hAnsi="Tahoma" w:cs="Tahoma"/>
          <w:sz w:val="24"/>
          <w:szCs w:val="24"/>
        </w:rPr>
        <w:t>Jurídica,</w:t>
      </w:r>
      <w:r w:rsidR="00102545">
        <w:rPr>
          <w:rFonts w:ascii="Tahoma" w:hAnsi="Tahoma" w:cs="Tahoma"/>
          <w:sz w:val="24"/>
          <w:szCs w:val="24"/>
        </w:rPr>
        <w:t xml:space="preserve"> </w:t>
      </w:r>
      <w:r w:rsidR="00212651" w:rsidRPr="00DF2DC9">
        <w:rPr>
          <w:rFonts w:ascii="Tahoma" w:hAnsi="Tahoma" w:cs="Tahoma"/>
          <w:sz w:val="24"/>
          <w:szCs w:val="24"/>
        </w:rPr>
        <w:t>las Subdirecciones</w:t>
      </w:r>
      <w:r w:rsidR="00102545">
        <w:rPr>
          <w:rFonts w:ascii="Tahoma" w:hAnsi="Tahoma" w:cs="Tahoma"/>
          <w:sz w:val="24"/>
          <w:szCs w:val="24"/>
        </w:rPr>
        <w:t xml:space="preserve"> </w:t>
      </w:r>
      <w:r w:rsidR="00212651" w:rsidRPr="00DF2DC9">
        <w:rPr>
          <w:rFonts w:ascii="Tahoma" w:hAnsi="Tahoma" w:cs="Tahoma"/>
          <w:sz w:val="24"/>
          <w:szCs w:val="24"/>
        </w:rPr>
        <w:t>Administrativas</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Licencias</w:t>
      </w:r>
      <w:r w:rsidR="00102545">
        <w:rPr>
          <w:rFonts w:ascii="Tahoma" w:hAnsi="Tahoma" w:cs="Tahoma"/>
          <w:sz w:val="24"/>
          <w:szCs w:val="24"/>
        </w:rPr>
        <w:t xml:space="preserve"> </w:t>
      </w:r>
      <w:r w:rsidR="00212651" w:rsidRPr="00DF2DC9">
        <w:rPr>
          <w:rFonts w:ascii="Tahoma" w:hAnsi="Tahoma" w:cs="Tahoma"/>
          <w:sz w:val="24"/>
          <w:szCs w:val="24"/>
        </w:rPr>
        <w:t>y</w:t>
      </w:r>
      <w:r w:rsidR="00102545">
        <w:rPr>
          <w:rFonts w:ascii="Tahoma" w:hAnsi="Tahoma" w:cs="Tahoma"/>
          <w:sz w:val="24"/>
          <w:szCs w:val="24"/>
        </w:rPr>
        <w:t xml:space="preserve"> </w:t>
      </w:r>
      <w:r w:rsidR="00212651" w:rsidRPr="00DF2DC9">
        <w:rPr>
          <w:rFonts w:ascii="Tahoma" w:hAnsi="Tahoma" w:cs="Tahoma"/>
          <w:sz w:val="24"/>
          <w:szCs w:val="24"/>
        </w:rPr>
        <w:t>Registros,</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Medicamentos,</w:t>
      </w:r>
      <w:r w:rsidR="00102545">
        <w:rPr>
          <w:rFonts w:ascii="Tahoma" w:hAnsi="Tahoma" w:cs="Tahoma"/>
          <w:sz w:val="24"/>
          <w:szCs w:val="24"/>
        </w:rPr>
        <w:t xml:space="preserve"> </w:t>
      </w:r>
      <w:r w:rsidR="00212651" w:rsidRPr="00DF2DC9">
        <w:rPr>
          <w:rFonts w:ascii="Tahoma" w:hAnsi="Tahoma" w:cs="Tahoma"/>
          <w:sz w:val="24"/>
          <w:szCs w:val="24"/>
        </w:rPr>
        <w:t>de Alimentos</w:t>
      </w:r>
      <w:r w:rsidR="00102545">
        <w:rPr>
          <w:rFonts w:ascii="Tahoma" w:hAnsi="Tahoma" w:cs="Tahoma"/>
          <w:sz w:val="24"/>
          <w:szCs w:val="24"/>
        </w:rPr>
        <w:t xml:space="preserve"> </w:t>
      </w:r>
      <w:r w:rsidR="00212651" w:rsidRPr="00DF2DC9">
        <w:rPr>
          <w:rFonts w:ascii="Tahoma" w:hAnsi="Tahoma" w:cs="Tahoma"/>
          <w:sz w:val="24"/>
          <w:szCs w:val="24"/>
        </w:rPr>
        <w:t>y</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Insumos,</w:t>
      </w:r>
      <w:r w:rsidR="00102545">
        <w:rPr>
          <w:rFonts w:ascii="Tahoma" w:hAnsi="Tahoma" w:cs="Tahoma"/>
          <w:sz w:val="24"/>
          <w:szCs w:val="24"/>
        </w:rPr>
        <w:t xml:space="preserve"> </w:t>
      </w:r>
      <w:r w:rsidR="00212651" w:rsidRPr="00DF2DC9">
        <w:rPr>
          <w:rFonts w:ascii="Tahoma" w:hAnsi="Tahoma" w:cs="Tahoma"/>
          <w:sz w:val="24"/>
          <w:szCs w:val="24"/>
        </w:rPr>
        <w:t>con</w:t>
      </w:r>
      <w:r w:rsidR="00102545">
        <w:rPr>
          <w:rFonts w:ascii="Tahoma" w:hAnsi="Tahoma" w:cs="Tahoma"/>
          <w:sz w:val="24"/>
          <w:szCs w:val="24"/>
        </w:rPr>
        <w:t xml:space="preserve"> </w:t>
      </w:r>
      <w:r w:rsidR="00212651" w:rsidRPr="00DF2DC9">
        <w:rPr>
          <w:rFonts w:ascii="Tahoma" w:hAnsi="Tahoma" w:cs="Tahoma"/>
          <w:sz w:val="24"/>
          <w:szCs w:val="24"/>
        </w:rPr>
        <w:t>sus</w:t>
      </w:r>
      <w:r w:rsidR="00102545">
        <w:rPr>
          <w:rFonts w:ascii="Tahoma" w:hAnsi="Tahoma" w:cs="Tahoma"/>
          <w:sz w:val="24"/>
          <w:szCs w:val="24"/>
        </w:rPr>
        <w:t xml:space="preserve"> </w:t>
      </w:r>
      <w:r w:rsidR="00212651" w:rsidRPr="00DF2DC9">
        <w:rPr>
          <w:rFonts w:ascii="Tahoma" w:hAnsi="Tahoma" w:cs="Tahoma"/>
          <w:sz w:val="24"/>
          <w:szCs w:val="24"/>
        </w:rPr>
        <w:t>respectivas</w:t>
      </w:r>
      <w:r w:rsidR="00102545">
        <w:rPr>
          <w:rFonts w:ascii="Tahoma" w:hAnsi="Tahoma" w:cs="Tahoma"/>
          <w:sz w:val="24"/>
          <w:szCs w:val="24"/>
        </w:rPr>
        <w:t xml:space="preserve"> </w:t>
      </w:r>
      <w:r w:rsidR="00212651" w:rsidRPr="00DF2DC9">
        <w:rPr>
          <w:rFonts w:ascii="Tahoma" w:hAnsi="Tahoma" w:cs="Tahoma"/>
          <w:sz w:val="24"/>
          <w:szCs w:val="24"/>
        </w:rPr>
        <w:t>divisiones</w:t>
      </w:r>
      <w:r w:rsidR="00102545">
        <w:rPr>
          <w:rFonts w:ascii="Tahoma" w:hAnsi="Tahoma" w:cs="Tahoma"/>
          <w:sz w:val="24"/>
          <w:szCs w:val="24"/>
        </w:rPr>
        <w:t xml:space="preserve"> </w:t>
      </w:r>
      <w:r w:rsidR="00212651" w:rsidRPr="00DF2DC9">
        <w:rPr>
          <w:rFonts w:ascii="Tahoma" w:hAnsi="Tahoma" w:cs="Tahoma"/>
          <w:sz w:val="24"/>
          <w:szCs w:val="24"/>
        </w:rPr>
        <w:t>y</w:t>
      </w:r>
      <w:r w:rsidR="00102545">
        <w:rPr>
          <w:rFonts w:ascii="Tahoma" w:hAnsi="Tahoma" w:cs="Tahoma"/>
          <w:sz w:val="24"/>
          <w:szCs w:val="24"/>
        </w:rPr>
        <w:t xml:space="preserve"> </w:t>
      </w:r>
      <w:r w:rsidR="00212651" w:rsidRPr="00DF2DC9">
        <w:rPr>
          <w:rFonts w:ascii="Tahoma" w:hAnsi="Tahoma" w:cs="Tahoma"/>
          <w:sz w:val="24"/>
          <w:szCs w:val="24"/>
        </w:rPr>
        <w:t>laboratorios.</w:t>
      </w:r>
      <w:r w:rsidR="00102545">
        <w:rPr>
          <w:rFonts w:ascii="Tahoma" w:hAnsi="Tahoma" w:cs="Tahoma"/>
          <w:sz w:val="24"/>
          <w:szCs w:val="24"/>
        </w:rPr>
        <w:t xml:space="preserve"> </w:t>
      </w:r>
      <w:r w:rsidR="00212651" w:rsidRPr="00DF2DC9">
        <w:rPr>
          <w:rFonts w:ascii="Tahoma" w:hAnsi="Tahoma" w:cs="Tahoma"/>
          <w:sz w:val="24"/>
          <w:szCs w:val="24"/>
        </w:rPr>
        <w:t>El</w:t>
      </w:r>
      <w:r w:rsidR="00102545">
        <w:rPr>
          <w:rFonts w:ascii="Tahoma" w:hAnsi="Tahoma" w:cs="Tahoma"/>
          <w:sz w:val="24"/>
          <w:szCs w:val="24"/>
        </w:rPr>
        <w:t xml:space="preserve"> </w:t>
      </w:r>
      <w:r w:rsidR="00212651" w:rsidRPr="00DF2DC9">
        <w:rPr>
          <w:rFonts w:ascii="Tahoma" w:hAnsi="Tahoma" w:cs="Tahoma"/>
          <w:sz w:val="24"/>
          <w:szCs w:val="24"/>
        </w:rPr>
        <w:t>Acuerdo estableció</w:t>
      </w:r>
      <w:r w:rsidR="00102545">
        <w:rPr>
          <w:rFonts w:ascii="Tahoma" w:hAnsi="Tahoma" w:cs="Tahoma"/>
          <w:sz w:val="24"/>
          <w:szCs w:val="24"/>
        </w:rPr>
        <w:t xml:space="preserve"> </w:t>
      </w:r>
      <w:r w:rsidR="00212651" w:rsidRPr="00DF2DC9">
        <w:rPr>
          <w:rFonts w:ascii="Tahoma" w:hAnsi="Tahoma" w:cs="Tahoma"/>
          <w:sz w:val="24"/>
          <w:szCs w:val="24"/>
        </w:rPr>
        <w:t>como</w:t>
      </w:r>
      <w:r w:rsidR="00102545">
        <w:rPr>
          <w:rFonts w:ascii="Tahoma" w:hAnsi="Tahoma" w:cs="Tahoma"/>
          <w:sz w:val="24"/>
          <w:szCs w:val="24"/>
        </w:rPr>
        <w:t xml:space="preserve"> </w:t>
      </w:r>
      <w:r w:rsidR="00212651" w:rsidRPr="00DF2DC9">
        <w:rPr>
          <w:rFonts w:ascii="Tahoma" w:hAnsi="Tahoma" w:cs="Tahoma"/>
          <w:sz w:val="24"/>
          <w:szCs w:val="24"/>
        </w:rPr>
        <w:t>Organismos</w:t>
      </w:r>
      <w:r w:rsidR="00102545">
        <w:rPr>
          <w:rFonts w:ascii="Tahoma" w:hAnsi="Tahoma" w:cs="Tahoma"/>
          <w:sz w:val="24"/>
          <w:szCs w:val="24"/>
        </w:rPr>
        <w:t xml:space="preserve"> </w:t>
      </w:r>
      <w:r w:rsidR="00212651" w:rsidRPr="00DF2DC9">
        <w:rPr>
          <w:rFonts w:ascii="Tahoma" w:hAnsi="Tahoma" w:cs="Tahoma"/>
          <w:sz w:val="24"/>
          <w:szCs w:val="24"/>
        </w:rPr>
        <w:t>de</w:t>
      </w:r>
      <w:r w:rsidR="00102545">
        <w:rPr>
          <w:rFonts w:ascii="Tahoma" w:hAnsi="Tahoma" w:cs="Tahoma"/>
          <w:sz w:val="24"/>
          <w:szCs w:val="24"/>
        </w:rPr>
        <w:t xml:space="preserve"> </w:t>
      </w:r>
      <w:r w:rsidR="00212651" w:rsidRPr="00DF2DC9">
        <w:rPr>
          <w:rFonts w:ascii="Tahoma" w:hAnsi="Tahoma" w:cs="Tahoma"/>
          <w:sz w:val="24"/>
          <w:szCs w:val="24"/>
        </w:rPr>
        <w:t>Asesoría</w:t>
      </w:r>
      <w:r w:rsidR="00102545">
        <w:rPr>
          <w:rFonts w:ascii="Tahoma" w:hAnsi="Tahoma" w:cs="Tahoma"/>
          <w:sz w:val="24"/>
          <w:szCs w:val="24"/>
        </w:rPr>
        <w:t xml:space="preserve"> </w:t>
      </w:r>
      <w:r w:rsidR="00212651" w:rsidRPr="00DF2DC9">
        <w:rPr>
          <w:rFonts w:ascii="Tahoma" w:hAnsi="Tahoma" w:cs="Tahoma"/>
          <w:sz w:val="24"/>
          <w:szCs w:val="24"/>
        </w:rPr>
        <w:t>y</w:t>
      </w:r>
      <w:r w:rsidR="00102545">
        <w:rPr>
          <w:rFonts w:ascii="Tahoma" w:hAnsi="Tahoma" w:cs="Tahoma"/>
          <w:sz w:val="24"/>
          <w:szCs w:val="24"/>
        </w:rPr>
        <w:t xml:space="preserve"> </w:t>
      </w:r>
      <w:r w:rsidR="00212651" w:rsidRPr="00DF2DC9">
        <w:rPr>
          <w:rFonts w:ascii="Tahoma" w:hAnsi="Tahoma" w:cs="Tahoma"/>
          <w:sz w:val="24"/>
          <w:szCs w:val="24"/>
        </w:rPr>
        <w:t>Coordinación</w:t>
      </w:r>
      <w:r w:rsidR="00102545">
        <w:rPr>
          <w:rFonts w:ascii="Tahoma" w:hAnsi="Tahoma" w:cs="Tahoma"/>
          <w:sz w:val="24"/>
          <w:szCs w:val="24"/>
        </w:rPr>
        <w:t xml:space="preserve"> </w:t>
      </w:r>
      <w:r w:rsidR="00212651" w:rsidRPr="00DF2DC9">
        <w:rPr>
          <w:rFonts w:ascii="Tahoma" w:hAnsi="Tahoma" w:cs="Tahoma"/>
          <w:sz w:val="24"/>
          <w:szCs w:val="24"/>
        </w:rPr>
        <w:t>del</w:t>
      </w:r>
      <w:r w:rsidR="00102545">
        <w:rPr>
          <w:rFonts w:ascii="Tahoma" w:hAnsi="Tahoma" w:cs="Tahoma"/>
          <w:sz w:val="24"/>
          <w:szCs w:val="24"/>
        </w:rPr>
        <w:t xml:space="preserve"> </w:t>
      </w:r>
      <w:r w:rsidR="00212651" w:rsidRPr="00DF2DC9">
        <w:rPr>
          <w:rFonts w:ascii="Tahoma" w:hAnsi="Tahoma" w:cs="Tahoma"/>
          <w:sz w:val="24"/>
          <w:szCs w:val="24"/>
        </w:rPr>
        <w:t>INVIMA</w:t>
      </w:r>
      <w:r w:rsidR="00102545">
        <w:rPr>
          <w:rFonts w:ascii="Tahoma" w:hAnsi="Tahoma" w:cs="Tahoma"/>
          <w:sz w:val="24"/>
          <w:szCs w:val="24"/>
        </w:rPr>
        <w:t xml:space="preserve"> </w:t>
      </w:r>
      <w:r w:rsidR="00212651" w:rsidRPr="00DF2DC9">
        <w:rPr>
          <w:rFonts w:ascii="Tahoma" w:hAnsi="Tahoma" w:cs="Tahoma"/>
          <w:sz w:val="24"/>
          <w:szCs w:val="24"/>
        </w:rPr>
        <w:t>a</w:t>
      </w:r>
      <w:r w:rsidR="00102545">
        <w:rPr>
          <w:rFonts w:ascii="Tahoma" w:hAnsi="Tahoma" w:cs="Tahoma"/>
          <w:sz w:val="24"/>
          <w:szCs w:val="24"/>
        </w:rPr>
        <w:t xml:space="preserve"> </w:t>
      </w:r>
      <w:r w:rsidR="00212651" w:rsidRPr="00DF2DC9">
        <w:rPr>
          <w:rFonts w:ascii="Tahoma" w:hAnsi="Tahoma" w:cs="Tahoma"/>
          <w:sz w:val="24"/>
          <w:szCs w:val="24"/>
        </w:rPr>
        <w:t>la</w:t>
      </w:r>
      <w:r w:rsidR="00102545">
        <w:rPr>
          <w:rFonts w:ascii="Tahoma" w:hAnsi="Tahoma" w:cs="Tahoma"/>
          <w:sz w:val="24"/>
          <w:szCs w:val="24"/>
        </w:rPr>
        <w:t xml:space="preserve"> </w:t>
      </w:r>
      <w:r w:rsidR="00212651" w:rsidRPr="00DF2DC9">
        <w:rPr>
          <w:rFonts w:ascii="Tahoma" w:hAnsi="Tahoma" w:cs="Tahoma"/>
          <w:sz w:val="24"/>
          <w:szCs w:val="24"/>
        </w:rPr>
        <w:t>Comisión</w:t>
      </w:r>
      <w:r w:rsidR="00457EAB" w:rsidRPr="00DF2DC9">
        <w:rPr>
          <w:rFonts w:ascii="Tahoma" w:hAnsi="Tahoma" w:cs="Tahoma"/>
          <w:sz w:val="24"/>
          <w:szCs w:val="24"/>
        </w:rPr>
        <w:t xml:space="preserve"> Revisora,</w:t>
      </w:r>
      <w:r w:rsidR="00102545">
        <w:rPr>
          <w:rFonts w:ascii="Tahoma" w:hAnsi="Tahoma" w:cs="Tahoma"/>
          <w:sz w:val="24"/>
          <w:szCs w:val="24"/>
        </w:rPr>
        <w:t xml:space="preserve"> </w:t>
      </w:r>
      <w:r w:rsidR="00457EAB" w:rsidRPr="00DF2DC9">
        <w:rPr>
          <w:rFonts w:ascii="Tahoma" w:hAnsi="Tahoma" w:cs="Tahoma"/>
          <w:sz w:val="24"/>
          <w:szCs w:val="24"/>
        </w:rPr>
        <w:t>al</w:t>
      </w:r>
      <w:r w:rsidR="00102545">
        <w:rPr>
          <w:rFonts w:ascii="Tahoma" w:hAnsi="Tahoma" w:cs="Tahoma"/>
          <w:sz w:val="24"/>
          <w:szCs w:val="24"/>
        </w:rPr>
        <w:t xml:space="preserve"> </w:t>
      </w:r>
      <w:r w:rsidR="00457EAB" w:rsidRPr="00DF2DC9">
        <w:rPr>
          <w:rFonts w:ascii="Tahoma" w:hAnsi="Tahoma" w:cs="Tahoma"/>
          <w:sz w:val="24"/>
          <w:szCs w:val="24"/>
        </w:rPr>
        <w:t>Comité</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Dirección,</w:t>
      </w:r>
      <w:r w:rsidR="00102545">
        <w:rPr>
          <w:rFonts w:ascii="Tahoma" w:hAnsi="Tahoma" w:cs="Tahoma"/>
          <w:sz w:val="24"/>
          <w:szCs w:val="24"/>
        </w:rPr>
        <w:t xml:space="preserve"> </w:t>
      </w:r>
      <w:r w:rsidR="00457EAB" w:rsidRPr="00DF2DC9">
        <w:rPr>
          <w:rFonts w:ascii="Tahoma" w:hAnsi="Tahoma" w:cs="Tahoma"/>
          <w:sz w:val="24"/>
          <w:szCs w:val="24"/>
        </w:rPr>
        <w:t>al</w:t>
      </w:r>
      <w:r w:rsidR="00102545">
        <w:rPr>
          <w:rFonts w:ascii="Tahoma" w:hAnsi="Tahoma" w:cs="Tahoma"/>
          <w:sz w:val="24"/>
          <w:szCs w:val="24"/>
        </w:rPr>
        <w:t xml:space="preserve"> </w:t>
      </w:r>
      <w:r w:rsidR="00457EAB" w:rsidRPr="00DF2DC9">
        <w:rPr>
          <w:rFonts w:ascii="Tahoma" w:hAnsi="Tahoma" w:cs="Tahoma"/>
          <w:sz w:val="24"/>
          <w:szCs w:val="24"/>
        </w:rPr>
        <w:t>Comité</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Coordinación</w:t>
      </w:r>
      <w:r w:rsidR="00102545">
        <w:rPr>
          <w:rFonts w:ascii="Tahoma" w:hAnsi="Tahoma" w:cs="Tahoma"/>
          <w:sz w:val="24"/>
          <w:szCs w:val="24"/>
        </w:rPr>
        <w:t xml:space="preserve"> </w:t>
      </w:r>
      <w:r w:rsidR="00457EAB" w:rsidRPr="00DF2DC9">
        <w:rPr>
          <w:rFonts w:ascii="Tahoma" w:hAnsi="Tahoma" w:cs="Tahoma"/>
          <w:sz w:val="24"/>
          <w:szCs w:val="24"/>
        </w:rPr>
        <w:t>del</w:t>
      </w:r>
      <w:r w:rsidR="00102545">
        <w:rPr>
          <w:rFonts w:ascii="Tahoma" w:hAnsi="Tahoma" w:cs="Tahoma"/>
          <w:sz w:val="24"/>
          <w:szCs w:val="24"/>
        </w:rPr>
        <w:t xml:space="preserve"> </w:t>
      </w:r>
      <w:r w:rsidR="00457EAB" w:rsidRPr="00DF2DC9">
        <w:rPr>
          <w:rFonts w:ascii="Tahoma" w:hAnsi="Tahoma" w:cs="Tahoma"/>
          <w:sz w:val="24"/>
          <w:szCs w:val="24"/>
        </w:rPr>
        <w:t>Sistema</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Control Interno</w:t>
      </w:r>
      <w:r w:rsidR="00102545">
        <w:rPr>
          <w:rFonts w:ascii="Tahoma" w:hAnsi="Tahoma" w:cs="Tahoma"/>
          <w:sz w:val="24"/>
          <w:szCs w:val="24"/>
        </w:rPr>
        <w:t xml:space="preserve"> </w:t>
      </w:r>
      <w:r w:rsidR="00457EAB" w:rsidRPr="00DF2DC9">
        <w:rPr>
          <w:rFonts w:ascii="Tahoma" w:hAnsi="Tahoma" w:cs="Tahoma"/>
          <w:sz w:val="24"/>
          <w:szCs w:val="24"/>
        </w:rPr>
        <w:t>y</w:t>
      </w:r>
      <w:r w:rsidR="00102545">
        <w:rPr>
          <w:rFonts w:ascii="Tahoma" w:hAnsi="Tahoma" w:cs="Tahoma"/>
          <w:sz w:val="24"/>
          <w:szCs w:val="24"/>
        </w:rPr>
        <w:t xml:space="preserve"> </w:t>
      </w:r>
      <w:r w:rsidR="00457EAB" w:rsidRPr="00DF2DC9">
        <w:rPr>
          <w:rFonts w:ascii="Tahoma" w:hAnsi="Tahoma" w:cs="Tahoma"/>
          <w:sz w:val="24"/>
          <w:szCs w:val="24"/>
        </w:rPr>
        <w:t>a</w:t>
      </w:r>
      <w:r w:rsidR="00102545">
        <w:rPr>
          <w:rFonts w:ascii="Tahoma" w:hAnsi="Tahoma" w:cs="Tahoma"/>
          <w:sz w:val="24"/>
          <w:szCs w:val="24"/>
        </w:rPr>
        <w:t xml:space="preserve"> </w:t>
      </w:r>
      <w:r w:rsidR="00457EAB" w:rsidRPr="00DF2DC9">
        <w:rPr>
          <w:rFonts w:ascii="Tahoma" w:hAnsi="Tahoma" w:cs="Tahoma"/>
          <w:sz w:val="24"/>
          <w:szCs w:val="24"/>
        </w:rPr>
        <w:t>la</w:t>
      </w:r>
      <w:r w:rsidR="00102545">
        <w:rPr>
          <w:rFonts w:ascii="Tahoma" w:hAnsi="Tahoma" w:cs="Tahoma"/>
          <w:sz w:val="24"/>
          <w:szCs w:val="24"/>
        </w:rPr>
        <w:t xml:space="preserve"> </w:t>
      </w:r>
      <w:r w:rsidR="00457EAB" w:rsidRPr="00DF2DC9">
        <w:rPr>
          <w:rFonts w:ascii="Tahoma" w:hAnsi="Tahoma" w:cs="Tahoma"/>
          <w:sz w:val="24"/>
          <w:szCs w:val="24"/>
        </w:rPr>
        <w:t>Comisión</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Personal.</w:t>
      </w:r>
      <w:r w:rsidR="00102545">
        <w:rPr>
          <w:rFonts w:ascii="Tahoma" w:hAnsi="Tahoma" w:cs="Tahoma"/>
          <w:sz w:val="24"/>
          <w:szCs w:val="24"/>
        </w:rPr>
        <w:t xml:space="preserve"> </w:t>
      </w:r>
      <w:r w:rsidR="00457EAB" w:rsidRPr="00DF2DC9">
        <w:rPr>
          <w:rFonts w:ascii="Tahoma" w:hAnsi="Tahoma" w:cs="Tahoma"/>
          <w:sz w:val="24"/>
          <w:szCs w:val="24"/>
        </w:rPr>
        <w:t>Para</w:t>
      </w:r>
      <w:r w:rsidR="00102545">
        <w:rPr>
          <w:rFonts w:ascii="Tahoma" w:hAnsi="Tahoma" w:cs="Tahoma"/>
          <w:sz w:val="24"/>
          <w:szCs w:val="24"/>
        </w:rPr>
        <w:t xml:space="preserve"> </w:t>
      </w:r>
      <w:r w:rsidR="00457EAB" w:rsidRPr="00DF2DC9">
        <w:rPr>
          <w:rFonts w:ascii="Tahoma" w:hAnsi="Tahoma" w:cs="Tahoma"/>
          <w:sz w:val="24"/>
          <w:szCs w:val="24"/>
        </w:rPr>
        <w:t>cada</w:t>
      </w:r>
      <w:r w:rsidR="00102545">
        <w:rPr>
          <w:rFonts w:ascii="Tahoma" w:hAnsi="Tahoma" w:cs="Tahoma"/>
          <w:sz w:val="24"/>
          <w:szCs w:val="24"/>
        </w:rPr>
        <w:t xml:space="preserve"> </w:t>
      </w:r>
      <w:r w:rsidR="00457EAB" w:rsidRPr="00DF2DC9">
        <w:rPr>
          <w:rFonts w:ascii="Tahoma" w:hAnsi="Tahoma" w:cs="Tahoma"/>
          <w:sz w:val="24"/>
          <w:szCs w:val="24"/>
        </w:rPr>
        <w:t>dependencia</w:t>
      </w:r>
      <w:r w:rsidR="00102545">
        <w:rPr>
          <w:rFonts w:ascii="Tahoma" w:hAnsi="Tahoma" w:cs="Tahoma"/>
          <w:sz w:val="24"/>
          <w:szCs w:val="24"/>
        </w:rPr>
        <w:t xml:space="preserve"> </w:t>
      </w:r>
      <w:r w:rsidR="00457EAB" w:rsidRPr="00DF2DC9">
        <w:rPr>
          <w:rFonts w:ascii="Tahoma" w:hAnsi="Tahoma" w:cs="Tahoma"/>
          <w:sz w:val="24"/>
          <w:szCs w:val="24"/>
        </w:rPr>
        <w:t>fueron</w:t>
      </w:r>
      <w:r w:rsidR="00102545">
        <w:rPr>
          <w:rFonts w:ascii="Tahoma" w:hAnsi="Tahoma" w:cs="Tahoma"/>
          <w:sz w:val="24"/>
          <w:szCs w:val="24"/>
        </w:rPr>
        <w:t xml:space="preserve"> </w:t>
      </w:r>
      <w:r w:rsidR="00457EAB" w:rsidRPr="00DF2DC9">
        <w:rPr>
          <w:rFonts w:ascii="Tahoma" w:hAnsi="Tahoma" w:cs="Tahoma"/>
          <w:sz w:val="24"/>
          <w:szCs w:val="24"/>
        </w:rPr>
        <w:t>definidas</w:t>
      </w:r>
      <w:r w:rsidR="00102545">
        <w:rPr>
          <w:rFonts w:ascii="Tahoma" w:hAnsi="Tahoma" w:cs="Tahoma"/>
          <w:sz w:val="24"/>
          <w:szCs w:val="24"/>
        </w:rPr>
        <w:t xml:space="preserve"> </w:t>
      </w:r>
      <w:r w:rsidR="00457EAB" w:rsidRPr="00DF2DC9">
        <w:rPr>
          <w:rFonts w:ascii="Tahoma" w:hAnsi="Tahoma" w:cs="Tahoma"/>
          <w:sz w:val="24"/>
          <w:szCs w:val="24"/>
        </w:rPr>
        <w:t>las funciones y</w:t>
      </w:r>
      <w:r w:rsidR="00102545">
        <w:rPr>
          <w:rFonts w:ascii="Tahoma" w:hAnsi="Tahoma" w:cs="Tahoma"/>
          <w:sz w:val="24"/>
          <w:szCs w:val="24"/>
        </w:rPr>
        <w:t xml:space="preserve"> </w:t>
      </w:r>
      <w:r w:rsidR="00457EAB" w:rsidRPr="00DF2DC9">
        <w:rPr>
          <w:rFonts w:ascii="Tahoma" w:hAnsi="Tahoma" w:cs="Tahoma"/>
          <w:sz w:val="24"/>
          <w:szCs w:val="24"/>
        </w:rPr>
        <w:t>la</w:t>
      </w:r>
      <w:r w:rsidR="00102545">
        <w:rPr>
          <w:rFonts w:ascii="Tahoma" w:hAnsi="Tahoma" w:cs="Tahoma"/>
          <w:sz w:val="24"/>
          <w:szCs w:val="24"/>
        </w:rPr>
        <w:t xml:space="preserve"> </w:t>
      </w:r>
      <w:r w:rsidR="00457EAB" w:rsidRPr="00DF2DC9">
        <w:rPr>
          <w:rFonts w:ascii="Tahoma" w:hAnsi="Tahoma" w:cs="Tahoma"/>
          <w:sz w:val="24"/>
          <w:szCs w:val="24"/>
        </w:rPr>
        <w:t>planta</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personal,</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conformidad</w:t>
      </w:r>
      <w:r w:rsidR="00102545">
        <w:rPr>
          <w:rFonts w:ascii="Tahoma" w:hAnsi="Tahoma" w:cs="Tahoma"/>
          <w:sz w:val="24"/>
          <w:szCs w:val="24"/>
        </w:rPr>
        <w:t xml:space="preserve"> </w:t>
      </w:r>
      <w:r w:rsidR="00457EAB" w:rsidRPr="00DF2DC9">
        <w:rPr>
          <w:rFonts w:ascii="Tahoma" w:hAnsi="Tahoma" w:cs="Tahoma"/>
          <w:sz w:val="24"/>
          <w:szCs w:val="24"/>
        </w:rPr>
        <w:t>con</w:t>
      </w:r>
      <w:r w:rsidR="00102545">
        <w:rPr>
          <w:rFonts w:ascii="Tahoma" w:hAnsi="Tahoma" w:cs="Tahoma"/>
          <w:sz w:val="24"/>
          <w:szCs w:val="24"/>
        </w:rPr>
        <w:t xml:space="preserve"> </w:t>
      </w:r>
      <w:r w:rsidR="00457EAB" w:rsidRPr="00DF2DC9">
        <w:rPr>
          <w:rFonts w:ascii="Tahoma" w:hAnsi="Tahoma" w:cs="Tahoma"/>
          <w:sz w:val="24"/>
          <w:szCs w:val="24"/>
        </w:rPr>
        <w:t>la</w:t>
      </w:r>
      <w:r w:rsidR="00102545">
        <w:rPr>
          <w:rFonts w:ascii="Tahoma" w:hAnsi="Tahoma" w:cs="Tahoma"/>
          <w:sz w:val="24"/>
          <w:szCs w:val="24"/>
        </w:rPr>
        <w:t xml:space="preserve"> </w:t>
      </w:r>
      <w:r w:rsidR="00457EAB" w:rsidRPr="00DF2DC9">
        <w:rPr>
          <w:rFonts w:ascii="Tahoma" w:hAnsi="Tahoma" w:cs="Tahoma"/>
          <w:sz w:val="24"/>
          <w:szCs w:val="24"/>
        </w:rPr>
        <w:t>legislación</w:t>
      </w:r>
      <w:r w:rsidR="00102545">
        <w:rPr>
          <w:rFonts w:ascii="Tahoma" w:hAnsi="Tahoma" w:cs="Tahoma"/>
          <w:sz w:val="24"/>
          <w:szCs w:val="24"/>
        </w:rPr>
        <w:t xml:space="preserve"> </w:t>
      </w:r>
      <w:r w:rsidR="00457EAB" w:rsidRPr="00DF2DC9">
        <w:rPr>
          <w:rFonts w:ascii="Tahoma" w:hAnsi="Tahoma" w:cs="Tahoma"/>
          <w:sz w:val="24"/>
          <w:szCs w:val="24"/>
        </w:rPr>
        <w:t>vigente. Con</w:t>
      </w:r>
      <w:r w:rsidR="00102545">
        <w:rPr>
          <w:rFonts w:ascii="Tahoma" w:hAnsi="Tahoma" w:cs="Tahoma"/>
          <w:sz w:val="24"/>
          <w:szCs w:val="24"/>
        </w:rPr>
        <w:t xml:space="preserve"> </w:t>
      </w:r>
      <w:r w:rsidR="00457EAB" w:rsidRPr="00DF2DC9">
        <w:rPr>
          <w:rFonts w:ascii="Tahoma" w:hAnsi="Tahoma" w:cs="Tahoma"/>
          <w:sz w:val="24"/>
          <w:szCs w:val="24"/>
        </w:rPr>
        <w:t>el</w:t>
      </w:r>
      <w:r w:rsidR="00102545">
        <w:rPr>
          <w:rFonts w:ascii="Tahoma" w:hAnsi="Tahoma" w:cs="Tahoma"/>
          <w:sz w:val="24"/>
          <w:szCs w:val="24"/>
        </w:rPr>
        <w:t xml:space="preserve"> </w:t>
      </w:r>
      <w:r w:rsidR="00457EAB" w:rsidRPr="00DF2DC9">
        <w:rPr>
          <w:rFonts w:ascii="Tahoma" w:hAnsi="Tahoma" w:cs="Tahoma"/>
          <w:sz w:val="24"/>
          <w:szCs w:val="24"/>
        </w:rPr>
        <w:t>paso</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los</w:t>
      </w:r>
      <w:r w:rsidR="00102545">
        <w:rPr>
          <w:rFonts w:ascii="Tahoma" w:hAnsi="Tahoma" w:cs="Tahoma"/>
          <w:sz w:val="24"/>
          <w:szCs w:val="24"/>
        </w:rPr>
        <w:t xml:space="preserve"> </w:t>
      </w:r>
      <w:r w:rsidR="00457EAB" w:rsidRPr="00DF2DC9">
        <w:rPr>
          <w:rFonts w:ascii="Tahoma" w:hAnsi="Tahoma" w:cs="Tahoma"/>
          <w:sz w:val="24"/>
          <w:szCs w:val="24"/>
        </w:rPr>
        <w:t>años</w:t>
      </w:r>
      <w:r w:rsidR="00102545">
        <w:rPr>
          <w:rFonts w:ascii="Tahoma" w:hAnsi="Tahoma" w:cs="Tahoma"/>
          <w:sz w:val="24"/>
          <w:szCs w:val="24"/>
        </w:rPr>
        <w:t xml:space="preserve"> </w:t>
      </w:r>
      <w:r w:rsidR="00457EAB" w:rsidRPr="00DF2DC9">
        <w:rPr>
          <w:rFonts w:ascii="Tahoma" w:hAnsi="Tahoma" w:cs="Tahoma"/>
          <w:sz w:val="24"/>
          <w:szCs w:val="24"/>
        </w:rPr>
        <w:t>fue</w:t>
      </w:r>
      <w:r w:rsidR="00102545">
        <w:rPr>
          <w:rFonts w:ascii="Tahoma" w:hAnsi="Tahoma" w:cs="Tahoma"/>
          <w:sz w:val="24"/>
          <w:szCs w:val="24"/>
        </w:rPr>
        <w:t xml:space="preserve"> </w:t>
      </w:r>
      <w:r w:rsidR="00457EAB" w:rsidRPr="00DF2DC9">
        <w:rPr>
          <w:rFonts w:ascii="Tahoma" w:hAnsi="Tahoma" w:cs="Tahoma"/>
          <w:sz w:val="24"/>
          <w:szCs w:val="24"/>
        </w:rPr>
        <w:t>evidente</w:t>
      </w:r>
      <w:r w:rsidR="00102545">
        <w:rPr>
          <w:rFonts w:ascii="Tahoma" w:hAnsi="Tahoma" w:cs="Tahoma"/>
          <w:sz w:val="24"/>
          <w:szCs w:val="24"/>
        </w:rPr>
        <w:t xml:space="preserve"> </w:t>
      </w:r>
      <w:r w:rsidR="00457EAB" w:rsidRPr="00DF2DC9">
        <w:rPr>
          <w:rFonts w:ascii="Tahoma" w:hAnsi="Tahoma" w:cs="Tahoma"/>
          <w:sz w:val="24"/>
          <w:szCs w:val="24"/>
        </w:rPr>
        <w:t>la</w:t>
      </w:r>
      <w:r w:rsidR="00102545">
        <w:rPr>
          <w:rFonts w:ascii="Tahoma" w:hAnsi="Tahoma" w:cs="Tahoma"/>
          <w:sz w:val="24"/>
          <w:szCs w:val="24"/>
        </w:rPr>
        <w:t xml:space="preserve"> </w:t>
      </w:r>
      <w:r w:rsidR="00457EAB" w:rsidRPr="00DF2DC9">
        <w:rPr>
          <w:rFonts w:ascii="Tahoma" w:hAnsi="Tahoma" w:cs="Tahoma"/>
          <w:sz w:val="24"/>
          <w:szCs w:val="24"/>
        </w:rPr>
        <w:t>necesidad</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fortalecer</w:t>
      </w:r>
      <w:r w:rsidR="00102545">
        <w:rPr>
          <w:rFonts w:ascii="Tahoma" w:hAnsi="Tahoma" w:cs="Tahoma"/>
          <w:sz w:val="24"/>
          <w:szCs w:val="24"/>
        </w:rPr>
        <w:t xml:space="preserve"> </w:t>
      </w:r>
      <w:r w:rsidR="00457EAB" w:rsidRPr="00DF2DC9">
        <w:rPr>
          <w:rFonts w:ascii="Tahoma" w:hAnsi="Tahoma" w:cs="Tahoma"/>
          <w:sz w:val="24"/>
          <w:szCs w:val="24"/>
        </w:rPr>
        <w:t>al</w:t>
      </w:r>
      <w:r w:rsidR="00102545">
        <w:rPr>
          <w:rFonts w:ascii="Tahoma" w:hAnsi="Tahoma" w:cs="Tahoma"/>
          <w:sz w:val="24"/>
          <w:szCs w:val="24"/>
        </w:rPr>
        <w:t xml:space="preserve"> </w:t>
      </w:r>
      <w:r w:rsidR="00457EAB" w:rsidRPr="00DF2DC9">
        <w:rPr>
          <w:rFonts w:ascii="Tahoma" w:hAnsi="Tahoma" w:cs="Tahoma"/>
          <w:sz w:val="24"/>
          <w:szCs w:val="24"/>
        </w:rPr>
        <w:t>INVIMA</w:t>
      </w:r>
      <w:r w:rsidR="00102545">
        <w:rPr>
          <w:rFonts w:ascii="Tahoma" w:hAnsi="Tahoma" w:cs="Tahoma"/>
          <w:sz w:val="24"/>
          <w:szCs w:val="24"/>
        </w:rPr>
        <w:t xml:space="preserve"> </w:t>
      </w:r>
      <w:r w:rsidR="00457EAB" w:rsidRPr="00DF2DC9">
        <w:rPr>
          <w:rFonts w:ascii="Tahoma" w:hAnsi="Tahoma" w:cs="Tahoma"/>
          <w:sz w:val="24"/>
          <w:szCs w:val="24"/>
        </w:rPr>
        <w:t>y</w:t>
      </w:r>
      <w:r w:rsidR="00102545">
        <w:rPr>
          <w:rFonts w:ascii="Tahoma" w:hAnsi="Tahoma" w:cs="Tahoma"/>
          <w:sz w:val="24"/>
          <w:szCs w:val="24"/>
        </w:rPr>
        <w:t xml:space="preserve"> </w:t>
      </w:r>
      <w:r w:rsidR="00457EAB" w:rsidRPr="00DF2DC9">
        <w:rPr>
          <w:rFonts w:ascii="Tahoma" w:hAnsi="Tahoma" w:cs="Tahoma"/>
          <w:sz w:val="24"/>
          <w:szCs w:val="24"/>
        </w:rPr>
        <w:t>en</w:t>
      </w:r>
      <w:r w:rsidR="00102545">
        <w:rPr>
          <w:rFonts w:ascii="Tahoma" w:hAnsi="Tahoma" w:cs="Tahoma"/>
          <w:sz w:val="24"/>
          <w:szCs w:val="24"/>
        </w:rPr>
        <w:t xml:space="preserve"> </w:t>
      </w:r>
      <w:r w:rsidR="00457EAB" w:rsidRPr="00DF2DC9">
        <w:rPr>
          <w:rFonts w:ascii="Tahoma" w:hAnsi="Tahoma" w:cs="Tahoma"/>
          <w:sz w:val="24"/>
          <w:szCs w:val="24"/>
        </w:rPr>
        <w:t>el</w:t>
      </w:r>
      <w:r w:rsidR="00102545">
        <w:rPr>
          <w:rFonts w:ascii="Tahoma" w:hAnsi="Tahoma" w:cs="Tahoma"/>
          <w:sz w:val="24"/>
          <w:szCs w:val="24"/>
        </w:rPr>
        <w:t xml:space="preserve"> </w:t>
      </w:r>
      <w:r w:rsidR="00457EAB" w:rsidRPr="00DF2DC9">
        <w:rPr>
          <w:rFonts w:ascii="Tahoma" w:hAnsi="Tahoma" w:cs="Tahoma"/>
          <w:sz w:val="24"/>
          <w:szCs w:val="24"/>
        </w:rPr>
        <w:t>2004 se</w:t>
      </w:r>
      <w:r w:rsidR="00102545">
        <w:rPr>
          <w:rFonts w:ascii="Tahoma" w:hAnsi="Tahoma" w:cs="Tahoma"/>
          <w:sz w:val="24"/>
          <w:szCs w:val="24"/>
        </w:rPr>
        <w:t xml:space="preserve"> </w:t>
      </w:r>
      <w:r w:rsidR="00457EAB" w:rsidRPr="00DF2DC9">
        <w:rPr>
          <w:rFonts w:ascii="Tahoma" w:hAnsi="Tahoma" w:cs="Tahoma"/>
          <w:sz w:val="24"/>
          <w:szCs w:val="24"/>
        </w:rPr>
        <w:t>expidió</w:t>
      </w:r>
      <w:r w:rsidR="00102545">
        <w:rPr>
          <w:rFonts w:ascii="Tahoma" w:hAnsi="Tahoma" w:cs="Tahoma"/>
          <w:sz w:val="24"/>
          <w:szCs w:val="24"/>
        </w:rPr>
        <w:t xml:space="preserve"> </w:t>
      </w:r>
      <w:r w:rsidR="00457EAB" w:rsidRPr="00DF2DC9">
        <w:rPr>
          <w:rFonts w:ascii="Tahoma" w:hAnsi="Tahoma" w:cs="Tahoma"/>
          <w:sz w:val="24"/>
          <w:szCs w:val="24"/>
        </w:rPr>
        <w:t>el</w:t>
      </w:r>
      <w:r w:rsidR="00102545">
        <w:rPr>
          <w:rFonts w:ascii="Tahoma" w:hAnsi="Tahoma" w:cs="Tahoma"/>
          <w:sz w:val="24"/>
          <w:szCs w:val="24"/>
        </w:rPr>
        <w:t xml:space="preserve"> </w:t>
      </w:r>
      <w:r w:rsidR="00457EAB" w:rsidRPr="00DF2DC9">
        <w:rPr>
          <w:rFonts w:ascii="Tahoma" w:hAnsi="Tahoma" w:cs="Tahoma"/>
          <w:sz w:val="24"/>
          <w:szCs w:val="24"/>
        </w:rPr>
        <w:t>Decreto</w:t>
      </w:r>
      <w:r w:rsidR="00102545">
        <w:rPr>
          <w:rFonts w:ascii="Tahoma" w:hAnsi="Tahoma" w:cs="Tahoma"/>
          <w:sz w:val="24"/>
          <w:szCs w:val="24"/>
        </w:rPr>
        <w:t xml:space="preserve"> </w:t>
      </w:r>
      <w:r w:rsidR="00457EAB" w:rsidRPr="00DF2DC9">
        <w:rPr>
          <w:rFonts w:ascii="Tahoma" w:hAnsi="Tahoma" w:cs="Tahoma"/>
          <w:sz w:val="24"/>
          <w:szCs w:val="24"/>
        </w:rPr>
        <w:t>211</w:t>
      </w:r>
      <w:r w:rsidR="00102545">
        <w:rPr>
          <w:rFonts w:ascii="Tahoma" w:hAnsi="Tahoma" w:cs="Tahoma"/>
          <w:sz w:val="24"/>
          <w:szCs w:val="24"/>
        </w:rPr>
        <w:t xml:space="preserve"> </w:t>
      </w:r>
      <w:r w:rsidR="00457EAB" w:rsidRPr="00DF2DC9">
        <w:rPr>
          <w:rFonts w:ascii="Tahoma" w:hAnsi="Tahoma" w:cs="Tahoma"/>
          <w:sz w:val="24"/>
          <w:szCs w:val="24"/>
        </w:rPr>
        <w:t>que</w:t>
      </w:r>
      <w:r w:rsidR="00102545">
        <w:rPr>
          <w:rFonts w:ascii="Tahoma" w:hAnsi="Tahoma" w:cs="Tahoma"/>
          <w:sz w:val="24"/>
          <w:szCs w:val="24"/>
        </w:rPr>
        <w:t xml:space="preserve"> </w:t>
      </w:r>
      <w:r w:rsidR="00457EAB" w:rsidRPr="00DF2DC9">
        <w:rPr>
          <w:rFonts w:ascii="Tahoma" w:hAnsi="Tahoma" w:cs="Tahoma"/>
          <w:sz w:val="24"/>
          <w:szCs w:val="24"/>
        </w:rPr>
        <w:t>reestructuró</w:t>
      </w:r>
      <w:r w:rsidR="00102545">
        <w:rPr>
          <w:rFonts w:ascii="Tahoma" w:hAnsi="Tahoma" w:cs="Tahoma"/>
          <w:sz w:val="24"/>
          <w:szCs w:val="24"/>
        </w:rPr>
        <w:t xml:space="preserve"> </w:t>
      </w:r>
      <w:r w:rsidR="00457EAB" w:rsidRPr="00DF2DC9">
        <w:rPr>
          <w:rFonts w:ascii="Tahoma" w:hAnsi="Tahoma" w:cs="Tahoma"/>
          <w:sz w:val="24"/>
          <w:szCs w:val="24"/>
        </w:rPr>
        <w:t>la</w:t>
      </w:r>
      <w:r w:rsidR="00102545">
        <w:rPr>
          <w:rFonts w:ascii="Tahoma" w:hAnsi="Tahoma" w:cs="Tahoma"/>
          <w:sz w:val="24"/>
          <w:szCs w:val="24"/>
        </w:rPr>
        <w:t xml:space="preserve"> </w:t>
      </w:r>
      <w:r w:rsidR="00457EAB" w:rsidRPr="00DF2DC9">
        <w:rPr>
          <w:rFonts w:ascii="Tahoma" w:hAnsi="Tahoma" w:cs="Tahoma"/>
          <w:sz w:val="24"/>
          <w:szCs w:val="24"/>
        </w:rPr>
        <w:t>Entidad,</w:t>
      </w:r>
      <w:r w:rsidR="00102545">
        <w:rPr>
          <w:rFonts w:ascii="Tahoma" w:hAnsi="Tahoma" w:cs="Tahoma"/>
          <w:sz w:val="24"/>
          <w:szCs w:val="24"/>
        </w:rPr>
        <w:t xml:space="preserve"> </w:t>
      </w:r>
      <w:r w:rsidR="00457EAB" w:rsidRPr="00DF2DC9">
        <w:rPr>
          <w:rFonts w:ascii="Tahoma" w:hAnsi="Tahoma" w:cs="Tahoma"/>
          <w:sz w:val="24"/>
          <w:szCs w:val="24"/>
        </w:rPr>
        <w:t>y</w:t>
      </w:r>
      <w:r w:rsidR="00102545">
        <w:rPr>
          <w:rFonts w:ascii="Tahoma" w:hAnsi="Tahoma" w:cs="Tahoma"/>
          <w:sz w:val="24"/>
          <w:szCs w:val="24"/>
        </w:rPr>
        <w:t xml:space="preserve"> </w:t>
      </w:r>
      <w:r w:rsidR="00457EAB" w:rsidRPr="00DF2DC9">
        <w:rPr>
          <w:rFonts w:ascii="Tahoma" w:hAnsi="Tahoma" w:cs="Tahoma"/>
          <w:sz w:val="24"/>
          <w:szCs w:val="24"/>
        </w:rPr>
        <w:t>el</w:t>
      </w:r>
      <w:r w:rsidR="00102545">
        <w:rPr>
          <w:rFonts w:ascii="Tahoma" w:hAnsi="Tahoma" w:cs="Tahoma"/>
          <w:sz w:val="24"/>
          <w:szCs w:val="24"/>
        </w:rPr>
        <w:t xml:space="preserve"> </w:t>
      </w:r>
      <w:r w:rsidR="00457EAB" w:rsidRPr="00DF2DC9">
        <w:rPr>
          <w:rFonts w:ascii="Tahoma" w:hAnsi="Tahoma" w:cs="Tahoma"/>
          <w:sz w:val="24"/>
          <w:szCs w:val="24"/>
        </w:rPr>
        <w:t>Decreto</w:t>
      </w:r>
      <w:r w:rsidR="00102545">
        <w:rPr>
          <w:rFonts w:ascii="Tahoma" w:hAnsi="Tahoma" w:cs="Tahoma"/>
          <w:sz w:val="24"/>
          <w:szCs w:val="24"/>
        </w:rPr>
        <w:t xml:space="preserve"> </w:t>
      </w:r>
      <w:r w:rsidR="00457EAB" w:rsidRPr="00DF2DC9">
        <w:rPr>
          <w:rFonts w:ascii="Tahoma" w:hAnsi="Tahoma" w:cs="Tahoma"/>
          <w:sz w:val="24"/>
          <w:szCs w:val="24"/>
        </w:rPr>
        <w:t>212</w:t>
      </w:r>
      <w:r w:rsidR="00102545">
        <w:rPr>
          <w:rFonts w:ascii="Tahoma" w:hAnsi="Tahoma" w:cs="Tahoma"/>
          <w:sz w:val="24"/>
          <w:szCs w:val="24"/>
        </w:rPr>
        <w:t xml:space="preserve"> </w:t>
      </w:r>
      <w:r w:rsidR="00457EAB" w:rsidRPr="00DF2DC9">
        <w:rPr>
          <w:rFonts w:ascii="Tahoma" w:hAnsi="Tahoma" w:cs="Tahoma"/>
          <w:sz w:val="24"/>
          <w:szCs w:val="24"/>
        </w:rPr>
        <w:t>que</w:t>
      </w:r>
      <w:r w:rsidR="00102545">
        <w:rPr>
          <w:rFonts w:ascii="Tahoma" w:hAnsi="Tahoma" w:cs="Tahoma"/>
          <w:sz w:val="24"/>
          <w:szCs w:val="24"/>
        </w:rPr>
        <w:t xml:space="preserve"> </w:t>
      </w:r>
      <w:r w:rsidR="00457EAB" w:rsidRPr="00DF2DC9">
        <w:rPr>
          <w:rFonts w:ascii="Tahoma" w:hAnsi="Tahoma" w:cs="Tahoma"/>
          <w:sz w:val="24"/>
          <w:szCs w:val="24"/>
        </w:rPr>
        <w:t>adoptó</w:t>
      </w:r>
      <w:r w:rsidR="00102545">
        <w:rPr>
          <w:rFonts w:ascii="Tahoma" w:hAnsi="Tahoma" w:cs="Tahoma"/>
          <w:sz w:val="24"/>
          <w:szCs w:val="24"/>
        </w:rPr>
        <w:t xml:space="preserve"> </w:t>
      </w:r>
      <w:r w:rsidR="00457EAB" w:rsidRPr="00DF2DC9">
        <w:rPr>
          <w:rFonts w:ascii="Tahoma" w:hAnsi="Tahoma" w:cs="Tahoma"/>
          <w:sz w:val="24"/>
          <w:szCs w:val="24"/>
        </w:rPr>
        <w:t>una nueva</w:t>
      </w:r>
      <w:r w:rsidR="00102545">
        <w:rPr>
          <w:rFonts w:ascii="Tahoma" w:hAnsi="Tahoma" w:cs="Tahoma"/>
          <w:sz w:val="24"/>
          <w:szCs w:val="24"/>
        </w:rPr>
        <w:t xml:space="preserve"> </w:t>
      </w:r>
      <w:r w:rsidR="00457EAB" w:rsidRPr="00DF2DC9">
        <w:rPr>
          <w:rFonts w:ascii="Tahoma" w:hAnsi="Tahoma" w:cs="Tahoma"/>
          <w:sz w:val="24"/>
          <w:szCs w:val="24"/>
        </w:rPr>
        <w:t>planta</w:t>
      </w:r>
      <w:r w:rsidR="00102545">
        <w:rPr>
          <w:rFonts w:ascii="Tahoma" w:hAnsi="Tahoma" w:cs="Tahoma"/>
          <w:sz w:val="24"/>
          <w:szCs w:val="24"/>
        </w:rPr>
        <w:t xml:space="preserve"> </w:t>
      </w:r>
      <w:r w:rsidR="00457EAB" w:rsidRPr="00DF2DC9">
        <w:rPr>
          <w:rFonts w:ascii="Tahoma" w:hAnsi="Tahoma" w:cs="Tahoma"/>
          <w:sz w:val="24"/>
          <w:szCs w:val="24"/>
        </w:rPr>
        <w:t>de</w:t>
      </w:r>
      <w:r w:rsidR="00102545">
        <w:rPr>
          <w:rFonts w:ascii="Tahoma" w:hAnsi="Tahoma" w:cs="Tahoma"/>
          <w:sz w:val="24"/>
          <w:szCs w:val="24"/>
        </w:rPr>
        <w:t xml:space="preserve"> </w:t>
      </w:r>
      <w:r w:rsidR="00457EAB" w:rsidRPr="00DF2DC9">
        <w:rPr>
          <w:rFonts w:ascii="Tahoma" w:hAnsi="Tahoma" w:cs="Tahoma"/>
          <w:sz w:val="24"/>
          <w:szCs w:val="24"/>
        </w:rPr>
        <w:t xml:space="preserve">personal. </w:t>
      </w:r>
    </w:p>
    <w:p w14:paraId="03B90B4D" w14:textId="77777777" w:rsidR="00A81C70" w:rsidRDefault="00A81C70" w:rsidP="00102545">
      <w:pPr>
        <w:spacing w:after="0" w:line="276" w:lineRule="auto"/>
        <w:jc w:val="both"/>
        <w:rPr>
          <w:rFonts w:ascii="Tahoma" w:hAnsi="Tahoma" w:cs="Tahoma"/>
          <w:sz w:val="24"/>
          <w:szCs w:val="24"/>
        </w:rPr>
      </w:pPr>
    </w:p>
    <w:p w14:paraId="28C7D6B6" w14:textId="7F915961" w:rsidR="00343C59" w:rsidRPr="00DF2DC9" w:rsidRDefault="00457EAB" w:rsidP="00102545">
      <w:pPr>
        <w:spacing w:after="0" w:line="276" w:lineRule="auto"/>
        <w:jc w:val="both"/>
        <w:rPr>
          <w:rFonts w:ascii="Tahoma" w:hAnsi="Tahoma" w:cs="Tahoma"/>
          <w:sz w:val="24"/>
          <w:szCs w:val="24"/>
        </w:rPr>
      </w:pPr>
      <w:r w:rsidRPr="00DF2DC9">
        <w:rPr>
          <w:rFonts w:ascii="Tahoma" w:hAnsi="Tahoma" w:cs="Tahoma"/>
          <w:sz w:val="24"/>
          <w:szCs w:val="24"/>
        </w:rPr>
        <w:t>Coincidió este proceso de reestructuración con el inicio, por parte del Gobierno Nacional, de la construcción de</w:t>
      </w:r>
      <w:r w:rsidR="00102545">
        <w:rPr>
          <w:rFonts w:ascii="Tahoma" w:hAnsi="Tahoma" w:cs="Tahoma"/>
          <w:sz w:val="24"/>
          <w:szCs w:val="24"/>
        </w:rPr>
        <w:t xml:space="preserve"> </w:t>
      </w:r>
      <w:r w:rsidRPr="00DF2DC9">
        <w:rPr>
          <w:rFonts w:ascii="Tahoma" w:hAnsi="Tahoma" w:cs="Tahoma"/>
          <w:sz w:val="24"/>
          <w:szCs w:val="24"/>
        </w:rPr>
        <w:t>una</w:t>
      </w:r>
      <w:r w:rsidR="00102545">
        <w:rPr>
          <w:rFonts w:ascii="Tahoma" w:hAnsi="Tahoma" w:cs="Tahoma"/>
          <w:sz w:val="24"/>
          <w:szCs w:val="24"/>
        </w:rPr>
        <w:t xml:space="preserve"> </w:t>
      </w:r>
      <w:r w:rsidRPr="00DF2DC9">
        <w:rPr>
          <w:rFonts w:ascii="Tahoma" w:hAnsi="Tahoma" w:cs="Tahoma"/>
          <w:sz w:val="24"/>
          <w:szCs w:val="24"/>
        </w:rPr>
        <w:t>Agenda</w:t>
      </w:r>
      <w:r w:rsidR="00102545">
        <w:rPr>
          <w:rFonts w:ascii="Tahoma" w:hAnsi="Tahoma" w:cs="Tahoma"/>
          <w:sz w:val="24"/>
          <w:szCs w:val="24"/>
        </w:rPr>
        <w:t xml:space="preserve"> </w:t>
      </w:r>
      <w:r w:rsidRPr="00DF2DC9">
        <w:rPr>
          <w:rFonts w:ascii="Tahoma" w:hAnsi="Tahoma" w:cs="Tahoma"/>
          <w:sz w:val="24"/>
          <w:szCs w:val="24"/>
        </w:rPr>
        <w:t>Interna</w:t>
      </w:r>
      <w:r w:rsidR="00102545">
        <w:rPr>
          <w:rFonts w:ascii="Tahoma" w:hAnsi="Tahoma" w:cs="Tahoma"/>
          <w:sz w:val="24"/>
          <w:szCs w:val="24"/>
        </w:rPr>
        <w:t xml:space="preserve"> </w:t>
      </w:r>
      <w:r w:rsidRPr="00DF2DC9">
        <w:rPr>
          <w:rFonts w:ascii="Tahoma" w:hAnsi="Tahoma" w:cs="Tahoma"/>
          <w:sz w:val="24"/>
          <w:szCs w:val="24"/>
        </w:rPr>
        <w:t>para</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Productividad</w:t>
      </w:r>
      <w:r w:rsidR="00102545">
        <w:rPr>
          <w:rFonts w:ascii="Tahoma" w:hAnsi="Tahoma" w:cs="Tahoma"/>
          <w:sz w:val="24"/>
          <w:szCs w:val="24"/>
        </w:rPr>
        <w:t xml:space="preserve"> </w:t>
      </w:r>
      <w:r w:rsidRPr="00DF2DC9">
        <w:rPr>
          <w:rFonts w:ascii="Tahoma" w:hAnsi="Tahoma" w:cs="Tahoma"/>
          <w:sz w:val="24"/>
          <w:szCs w:val="24"/>
        </w:rPr>
        <w:t>y Competitividad,</w:t>
      </w:r>
      <w:r w:rsidR="00102545">
        <w:rPr>
          <w:rFonts w:ascii="Tahoma" w:hAnsi="Tahoma" w:cs="Tahoma"/>
          <w:sz w:val="24"/>
          <w:szCs w:val="24"/>
        </w:rPr>
        <w:t xml:space="preserve"> </w:t>
      </w:r>
      <w:r w:rsidRPr="00DF2DC9">
        <w:rPr>
          <w:rFonts w:ascii="Tahoma" w:hAnsi="Tahoma" w:cs="Tahoma"/>
          <w:sz w:val="24"/>
          <w:szCs w:val="24"/>
        </w:rPr>
        <w:t>con</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fin</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establecer</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bases</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desarrollo</w:t>
      </w:r>
      <w:r w:rsidR="00102545">
        <w:rPr>
          <w:rFonts w:ascii="Tahoma" w:hAnsi="Tahoma" w:cs="Tahoma"/>
          <w:sz w:val="24"/>
          <w:szCs w:val="24"/>
        </w:rPr>
        <w:t xml:space="preserve"> </w:t>
      </w:r>
      <w:r w:rsidRPr="00DF2DC9">
        <w:rPr>
          <w:rFonts w:ascii="Tahoma" w:hAnsi="Tahoma" w:cs="Tahoma"/>
          <w:sz w:val="24"/>
          <w:szCs w:val="24"/>
        </w:rPr>
        <w:t>productivo</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País hacia</w:t>
      </w:r>
      <w:r w:rsidR="00102545">
        <w:rPr>
          <w:rFonts w:ascii="Tahoma" w:hAnsi="Tahoma" w:cs="Tahoma"/>
          <w:sz w:val="24"/>
          <w:szCs w:val="24"/>
        </w:rPr>
        <w:t xml:space="preserve"> </w:t>
      </w:r>
      <w:r w:rsidRPr="00DF2DC9">
        <w:rPr>
          <w:rFonts w:ascii="Tahoma" w:hAnsi="Tahoma" w:cs="Tahoma"/>
          <w:sz w:val="24"/>
          <w:szCs w:val="24"/>
        </w:rPr>
        <w:t>el futuro.</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este</w:t>
      </w:r>
      <w:r w:rsidR="00102545">
        <w:rPr>
          <w:rFonts w:ascii="Tahoma" w:hAnsi="Tahoma" w:cs="Tahoma"/>
          <w:sz w:val="24"/>
          <w:szCs w:val="24"/>
        </w:rPr>
        <w:t xml:space="preserve"> </w:t>
      </w:r>
      <w:r w:rsidRPr="00DF2DC9">
        <w:rPr>
          <w:rFonts w:ascii="Tahoma" w:hAnsi="Tahoma" w:cs="Tahoma"/>
          <w:sz w:val="24"/>
          <w:szCs w:val="24"/>
        </w:rPr>
        <w:t>marco,</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teniendo</w:t>
      </w:r>
      <w:r w:rsidR="00102545">
        <w:rPr>
          <w:rFonts w:ascii="Tahoma" w:hAnsi="Tahoma" w:cs="Tahoma"/>
          <w:sz w:val="24"/>
          <w:szCs w:val="24"/>
        </w:rPr>
        <w:t xml:space="preserve"> </w:t>
      </w:r>
      <w:r w:rsidRPr="00DF2DC9">
        <w:rPr>
          <w:rFonts w:ascii="Tahoma" w:hAnsi="Tahoma" w:cs="Tahoma"/>
          <w:sz w:val="24"/>
          <w:szCs w:val="24"/>
        </w:rPr>
        <w:t>en</w:t>
      </w:r>
      <w:r w:rsidR="00102545">
        <w:rPr>
          <w:rFonts w:ascii="Tahoma" w:hAnsi="Tahoma" w:cs="Tahoma"/>
          <w:sz w:val="24"/>
          <w:szCs w:val="24"/>
        </w:rPr>
        <w:t xml:space="preserve"> </w:t>
      </w:r>
      <w:r w:rsidRPr="00DF2DC9">
        <w:rPr>
          <w:rFonts w:ascii="Tahoma" w:hAnsi="Tahoma" w:cs="Tahoma"/>
          <w:sz w:val="24"/>
          <w:szCs w:val="24"/>
        </w:rPr>
        <w:t>cuenta</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facultades otorgadas al</w:t>
      </w:r>
      <w:r w:rsidR="00102545">
        <w:rPr>
          <w:rFonts w:ascii="Tahoma" w:hAnsi="Tahoma" w:cs="Tahoma"/>
          <w:sz w:val="24"/>
          <w:szCs w:val="24"/>
        </w:rPr>
        <w:t xml:space="preserve"> </w:t>
      </w:r>
      <w:r w:rsidRPr="00DF2DC9">
        <w:rPr>
          <w:rFonts w:ascii="Tahoma" w:hAnsi="Tahoma" w:cs="Tahoma"/>
          <w:sz w:val="24"/>
          <w:szCs w:val="24"/>
        </w:rPr>
        <w:t>INVIMA por</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Ley</w:t>
      </w:r>
      <w:r w:rsidR="00102545">
        <w:rPr>
          <w:rFonts w:ascii="Tahoma" w:hAnsi="Tahoma" w:cs="Tahoma"/>
          <w:sz w:val="24"/>
          <w:szCs w:val="24"/>
        </w:rPr>
        <w:t xml:space="preserve"> </w:t>
      </w:r>
      <w:r w:rsidRPr="00DF2DC9">
        <w:rPr>
          <w:rFonts w:ascii="Tahoma" w:hAnsi="Tahoma" w:cs="Tahoma"/>
          <w:sz w:val="24"/>
          <w:szCs w:val="24"/>
        </w:rPr>
        <w:t>1122</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2007,</w:t>
      </w:r>
      <w:r w:rsidR="00102545">
        <w:rPr>
          <w:rFonts w:ascii="Tahoma" w:hAnsi="Tahoma" w:cs="Tahoma"/>
          <w:sz w:val="24"/>
          <w:szCs w:val="24"/>
        </w:rPr>
        <w:t xml:space="preserve"> </w:t>
      </w:r>
      <w:r w:rsidRPr="00DF2DC9">
        <w:rPr>
          <w:rFonts w:ascii="Tahoma" w:hAnsi="Tahoma" w:cs="Tahoma"/>
          <w:sz w:val="24"/>
          <w:szCs w:val="24"/>
        </w:rPr>
        <w:t>relacionadas</w:t>
      </w:r>
      <w:r w:rsidR="00102545">
        <w:rPr>
          <w:rFonts w:ascii="Tahoma" w:hAnsi="Tahoma" w:cs="Tahoma"/>
          <w:sz w:val="24"/>
          <w:szCs w:val="24"/>
        </w:rPr>
        <w:t xml:space="preserve"> </w:t>
      </w:r>
      <w:r w:rsidRPr="00DF2DC9">
        <w:rPr>
          <w:rFonts w:ascii="Tahoma" w:hAnsi="Tahoma" w:cs="Tahoma"/>
          <w:sz w:val="24"/>
          <w:szCs w:val="24"/>
        </w:rPr>
        <w:t>con</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competencia</w:t>
      </w:r>
      <w:r w:rsidR="00102545">
        <w:rPr>
          <w:rFonts w:ascii="Tahoma" w:hAnsi="Tahoma" w:cs="Tahoma"/>
          <w:sz w:val="24"/>
          <w:szCs w:val="24"/>
        </w:rPr>
        <w:t xml:space="preserve"> </w:t>
      </w:r>
      <w:r w:rsidRPr="00DF2DC9">
        <w:rPr>
          <w:rFonts w:ascii="Tahoma" w:hAnsi="Tahoma" w:cs="Tahoma"/>
          <w:sz w:val="24"/>
          <w:szCs w:val="24"/>
        </w:rPr>
        <w:t>exclusiva</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inspección, vigilancia</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control</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la</w:t>
      </w:r>
      <w:r w:rsidR="00102545">
        <w:rPr>
          <w:rFonts w:ascii="Tahoma" w:hAnsi="Tahoma" w:cs="Tahoma"/>
          <w:sz w:val="24"/>
          <w:szCs w:val="24"/>
        </w:rPr>
        <w:t xml:space="preserve"> </w:t>
      </w:r>
      <w:r w:rsidRPr="00DF2DC9">
        <w:rPr>
          <w:rFonts w:ascii="Tahoma" w:hAnsi="Tahoma" w:cs="Tahoma"/>
          <w:sz w:val="24"/>
          <w:szCs w:val="24"/>
        </w:rPr>
        <w:t>producción</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procesamiento</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alimentos,</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plantas</w:t>
      </w:r>
      <w:r w:rsidR="00102545">
        <w:rPr>
          <w:rFonts w:ascii="Tahoma" w:hAnsi="Tahoma" w:cs="Tahoma"/>
          <w:sz w:val="24"/>
          <w:szCs w:val="24"/>
        </w:rPr>
        <w:t xml:space="preserve"> </w:t>
      </w:r>
      <w:r w:rsidRPr="00DF2DC9">
        <w:rPr>
          <w:rFonts w:ascii="Tahoma" w:hAnsi="Tahoma" w:cs="Tahoma"/>
          <w:sz w:val="24"/>
          <w:szCs w:val="24"/>
        </w:rPr>
        <w:t>de beneficio</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animales,</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los</w:t>
      </w:r>
      <w:r w:rsidR="00102545">
        <w:rPr>
          <w:rFonts w:ascii="Tahoma" w:hAnsi="Tahoma" w:cs="Tahoma"/>
          <w:sz w:val="24"/>
          <w:szCs w:val="24"/>
        </w:rPr>
        <w:t xml:space="preserve"> </w:t>
      </w:r>
      <w:r w:rsidRPr="00DF2DC9">
        <w:rPr>
          <w:rFonts w:ascii="Tahoma" w:hAnsi="Tahoma" w:cs="Tahoma"/>
          <w:sz w:val="24"/>
          <w:szCs w:val="24"/>
        </w:rPr>
        <w:t>centros</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acopio</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leche</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las</w:t>
      </w:r>
      <w:r w:rsidR="00102545">
        <w:rPr>
          <w:rFonts w:ascii="Tahoma" w:hAnsi="Tahoma" w:cs="Tahoma"/>
          <w:sz w:val="24"/>
          <w:szCs w:val="24"/>
        </w:rPr>
        <w:t xml:space="preserve"> </w:t>
      </w:r>
      <w:r w:rsidRPr="00DF2DC9">
        <w:rPr>
          <w:rFonts w:ascii="Tahoma" w:hAnsi="Tahoma" w:cs="Tahoma"/>
          <w:sz w:val="24"/>
          <w:szCs w:val="24"/>
        </w:rPr>
        <w:t>plantas</w:t>
      </w:r>
      <w:r w:rsidR="00102545">
        <w:rPr>
          <w:rFonts w:ascii="Tahoma" w:hAnsi="Tahoma" w:cs="Tahoma"/>
          <w:sz w:val="24"/>
          <w:szCs w:val="24"/>
        </w:rPr>
        <w:t xml:space="preserve"> </w:t>
      </w:r>
      <w:r w:rsidRPr="00DF2DC9">
        <w:rPr>
          <w:rFonts w:ascii="Tahoma" w:hAnsi="Tahoma" w:cs="Tahoma"/>
          <w:sz w:val="24"/>
          <w:szCs w:val="24"/>
        </w:rPr>
        <w:t>de procesamiento</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leche</w:t>
      </w:r>
      <w:r w:rsidR="00102545">
        <w:rPr>
          <w:rFonts w:ascii="Tahoma" w:hAnsi="Tahoma" w:cs="Tahoma"/>
          <w:sz w:val="24"/>
          <w:szCs w:val="24"/>
        </w:rPr>
        <w:t xml:space="preserve"> </w:t>
      </w:r>
      <w:r w:rsidRPr="00DF2DC9">
        <w:rPr>
          <w:rFonts w:ascii="Tahoma" w:hAnsi="Tahoma" w:cs="Tahoma"/>
          <w:sz w:val="24"/>
          <w:szCs w:val="24"/>
        </w:rPr>
        <w:t>y</w:t>
      </w:r>
      <w:r w:rsidR="00102545">
        <w:rPr>
          <w:rFonts w:ascii="Tahoma" w:hAnsi="Tahoma" w:cs="Tahoma"/>
          <w:sz w:val="24"/>
          <w:szCs w:val="24"/>
        </w:rPr>
        <w:t xml:space="preserve"> </w:t>
      </w:r>
      <w:r w:rsidRPr="00DF2DC9">
        <w:rPr>
          <w:rFonts w:ascii="Tahoma" w:hAnsi="Tahoma" w:cs="Tahoma"/>
          <w:sz w:val="24"/>
          <w:szCs w:val="24"/>
        </w:rPr>
        <w:t>sus</w:t>
      </w:r>
      <w:r w:rsidR="00102545">
        <w:rPr>
          <w:rFonts w:ascii="Tahoma" w:hAnsi="Tahoma" w:cs="Tahoma"/>
          <w:sz w:val="24"/>
          <w:szCs w:val="24"/>
        </w:rPr>
        <w:t xml:space="preserve"> </w:t>
      </w:r>
      <w:r w:rsidRPr="00DF2DC9">
        <w:rPr>
          <w:rFonts w:ascii="Tahoma" w:hAnsi="Tahoma" w:cs="Tahoma"/>
          <w:sz w:val="24"/>
          <w:szCs w:val="24"/>
        </w:rPr>
        <w:t>derivados,</w:t>
      </w:r>
      <w:r w:rsidR="00102545">
        <w:rPr>
          <w:rFonts w:ascii="Tahoma" w:hAnsi="Tahoma" w:cs="Tahoma"/>
          <w:sz w:val="24"/>
          <w:szCs w:val="24"/>
        </w:rPr>
        <w:t xml:space="preserve"> </w:t>
      </w:r>
      <w:r w:rsidRPr="00DF2DC9">
        <w:rPr>
          <w:rFonts w:ascii="Tahoma" w:hAnsi="Tahoma" w:cs="Tahoma"/>
          <w:sz w:val="24"/>
          <w:szCs w:val="24"/>
        </w:rPr>
        <w:t>así</w:t>
      </w:r>
      <w:r w:rsidR="00102545">
        <w:rPr>
          <w:rFonts w:ascii="Tahoma" w:hAnsi="Tahoma" w:cs="Tahoma"/>
          <w:sz w:val="24"/>
          <w:szCs w:val="24"/>
        </w:rPr>
        <w:t xml:space="preserve"> </w:t>
      </w:r>
      <w:r w:rsidRPr="00DF2DC9">
        <w:rPr>
          <w:rFonts w:ascii="Tahoma" w:hAnsi="Tahoma" w:cs="Tahoma"/>
          <w:sz w:val="24"/>
          <w:szCs w:val="24"/>
        </w:rPr>
        <w:t>como</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transporte</w:t>
      </w:r>
      <w:r w:rsidR="00102545">
        <w:rPr>
          <w:rFonts w:ascii="Tahoma" w:hAnsi="Tahoma" w:cs="Tahoma"/>
          <w:sz w:val="24"/>
          <w:szCs w:val="24"/>
        </w:rPr>
        <w:t xml:space="preserve"> </w:t>
      </w:r>
      <w:r w:rsidRPr="00DF2DC9">
        <w:rPr>
          <w:rFonts w:ascii="Tahoma" w:hAnsi="Tahoma" w:cs="Tahoma"/>
          <w:sz w:val="24"/>
          <w:szCs w:val="24"/>
        </w:rPr>
        <w:t>asociado</w:t>
      </w:r>
      <w:r w:rsidR="00102545">
        <w:rPr>
          <w:rFonts w:ascii="Tahoma" w:hAnsi="Tahoma" w:cs="Tahoma"/>
          <w:sz w:val="24"/>
          <w:szCs w:val="24"/>
        </w:rPr>
        <w:t xml:space="preserve"> </w:t>
      </w:r>
      <w:r w:rsidRPr="00DF2DC9">
        <w:rPr>
          <w:rFonts w:ascii="Tahoma" w:hAnsi="Tahoma" w:cs="Tahoma"/>
          <w:sz w:val="24"/>
          <w:szCs w:val="24"/>
        </w:rPr>
        <w:t>a</w:t>
      </w:r>
      <w:r w:rsidR="00102545">
        <w:rPr>
          <w:rFonts w:ascii="Tahoma" w:hAnsi="Tahoma" w:cs="Tahoma"/>
          <w:sz w:val="24"/>
          <w:szCs w:val="24"/>
        </w:rPr>
        <w:t xml:space="preserve"> </w:t>
      </w:r>
      <w:r w:rsidRPr="00DF2DC9">
        <w:rPr>
          <w:rFonts w:ascii="Tahoma" w:hAnsi="Tahoma" w:cs="Tahoma"/>
          <w:sz w:val="24"/>
          <w:szCs w:val="24"/>
        </w:rPr>
        <w:t>estas actividades,</w:t>
      </w:r>
      <w:r w:rsidR="00102545">
        <w:rPr>
          <w:rFonts w:ascii="Tahoma" w:hAnsi="Tahoma" w:cs="Tahoma"/>
          <w:sz w:val="24"/>
          <w:szCs w:val="24"/>
        </w:rPr>
        <w:t xml:space="preserve"> </w:t>
      </w:r>
      <w:r w:rsidRPr="00DF2DC9">
        <w:rPr>
          <w:rFonts w:ascii="Tahoma" w:hAnsi="Tahoma" w:cs="Tahoma"/>
          <w:sz w:val="24"/>
          <w:szCs w:val="24"/>
        </w:rPr>
        <w:t>el</w:t>
      </w:r>
      <w:r w:rsidR="00102545">
        <w:rPr>
          <w:rFonts w:ascii="Tahoma" w:hAnsi="Tahoma" w:cs="Tahoma"/>
          <w:sz w:val="24"/>
          <w:szCs w:val="24"/>
        </w:rPr>
        <w:t xml:space="preserve"> </w:t>
      </w:r>
      <w:r w:rsidRPr="00DF2DC9">
        <w:rPr>
          <w:rFonts w:ascii="Tahoma" w:hAnsi="Tahoma" w:cs="Tahoma"/>
          <w:sz w:val="24"/>
          <w:szCs w:val="24"/>
        </w:rPr>
        <w:t>INVIMA</w:t>
      </w:r>
      <w:r w:rsidR="00102545">
        <w:rPr>
          <w:rFonts w:ascii="Tahoma" w:hAnsi="Tahoma" w:cs="Tahoma"/>
          <w:sz w:val="24"/>
          <w:szCs w:val="24"/>
        </w:rPr>
        <w:t xml:space="preserve"> </w:t>
      </w:r>
      <w:r w:rsidRPr="00DF2DC9">
        <w:rPr>
          <w:rFonts w:ascii="Tahoma" w:hAnsi="Tahoma" w:cs="Tahoma"/>
          <w:sz w:val="24"/>
          <w:szCs w:val="24"/>
        </w:rPr>
        <w:t>puso</w:t>
      </w:r>
      <w:r w:rsidR="00102545">
        <w:rPr>
          <w:rFonts w:ascii="Tahoma" w:hAnsi="Tahoma" w:cs="Tahoma"/>
          <w:sz w:val="24"/>
          <w:szCs w:val="24"/>
        </w:rPr>
        <w:t xml:space="preserve"> </w:t>
      </w:r>
      <w:r w:rsidRPr="00DF2DC9">
        <w:rPr>
          <w:rFonts w:ascii="Tahoma" w:hAnsi="Tahoma" w:cs="Tahoma"/>
          <w:sz w:val="24"/>
          <w:szCs w:val="24"/>
        </w:rPr>
        <w:t>al</w:t>
      </w:r>
      <w:r w:rsidR="00102545">
        <w:rPr>
          <w:rFonts w:ascii="Tahoma" w:hAnsi="Tahoma" w:cs="Tahoma"/>
          <w:sz w:val="24"/>
          <w:szCs w:val="24"/>
        </w:rPr>
        <w:t xml:space="preserve"> </w:t>
      </w:r>
      <w:r w:rsidRPr="00DF2DC9">
        <w:rPr>
          <w:rFonts w:ascii="Tahoma" w:hAnsi="Tahoma" w:cs="Tahoma"/>
          <w:sz w:val="24"/>
          <w:szCs w:val="24"/>
        </w:rPr>
        <w:t>servicio</w:t>
      </w:r>
      <w:r w:rsidR="00102545">
        <w:rPr>
          <w:rFonts w:ascii="Tahoma" w:hAnsi="Tahoma" w:cs="Tahoma"/>
          <w:sz w:val="24"/>
          <w:szCs w:val="24"/>
        </w:rPr>
        <w:t xml:space="preserve"> </w:t>
      </w:r>
      <w:r w:rsidRPr="00DF2DC9">
        <w:rPr>
          <w:rFonts w:ascii="Tahoma" w:hAnsi="Tahoma" w:cs="Tahoma"/>
          <w:sz w:val="24"/>
          <w:szCs w:val="24"/>
        </w:rPr>
        <w:t>del</w:t>
      </w:r>
      <w:r w:rsidR="00102545">
        <w:rPr>
          <w:rFonts w:ascii="Tahoma" w:hAnsi="Tahoma" w:cs="Tahoma"/>
          <w:sz w:val="24"/>
          <w:szCs w:val="24"/>
        </w:rPr>
        <w:t xml:space="preserve"> </w:t>
      </w:r>
      <w:r w:rsidRPr="00DF2DC9">
        <w:rPr>
          <w:rFonts w:ascii="Tahoma" w:hAnsi="Tahoma" w:cs="Tahoma"/>
          <w:sz w:val="24"/>
          <w:szCs w:val="24"/>
        </w:rPr>
        <w:t>País,</w:t>
      </w:r>
      <w:r w:rsidR="00102545">
        <w:rPr>
          <w:rFonts w:ascii="Tahoma" w:hAnsi="Tahoma" w:cs="Tahoma"/>
          <w:sz w:val="24"/>
          <w:szCs w:val="24"/>
        </w:rPr>
        <w:t xml:space="preserve"> </w:t>
      </w:r>
      <w:r w:rsidRPr="00DF2DC9">
        <w:rPr>
          <w:rFonts w:ascii="Tahoma" w:hAnsi="Tahoma" w:cs="Tahoma"/>
          <w:sz w:val="24"/>
          <w:szCs w:val="24"/>
        </w:rPr>
        <w:t>desde</w:t>
      </w:r>
      <w:r w:rsidR="00102545">
        <w:rPr>
          <w:rFonts w:ascii="Tahoma" w:hAnsi="Tahoma" w:cs="Tahoma"/>
          <w:sz w:val="24"/>
          <w:szCs w:val="24"/>
        </w:rPr>
        <w:t xml:space="preserve"> </w:t>
      </w:r>
      <w:r w:rsidRPr="00DF2DC9">
        <w:rPr>
          <w:rFonts w:ascii="Tahoma" w:hAnsi="Tahoma" w:cs="Tahoma"/>
          <w:sz w:val="24"/>
          <w:szCs w:val="24"/>
        </w:rPr>
        <w:t>agosto</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2007,</w:t>
      </w:r>
      <w:r w:rsidR="00102545">
        <w:rPr>
          <w:rFonts w:ascii="Tahoma" w:hAnsi="Tahoma" w:cs="Tahoma"/>
          <w:sz w:val="24"/>
          <w:szCs w:val="24"/>
        </w:rPr>
        <w:t xml:space="preserve"> </w:t>
      </w:r>
      <w:r w:rsidRPr="00DF2DC9">
        <w:rPr>
          <w:rFonts w:ascii="Tahoma" w:hAnsi="Tahoma" w:cs="Tahoma"/>
          <w:sz w:val="24"/>
          <w:szCs w:val="24"/>
        </w:rPr>
        <w:t>ocho</w:t>
      </w:r>
      <w:r w:rsidR="00102545">
        <w:rPr>
          <w:rFonts w:ascii="Tahoma" w:hAnsi="Tahoma" w:cs="Tahoma"/>
          <w:sz w:val="24"/>
          <w:szCs w:val="24"/>
        </w:rPr>
        <w:t xml:space="preserve"> </w:t>
      </w:r>
      <w:r w:rsidRPr="00DF2DC9">
        <w:rPr>
          <w:rFonts w:ascii="Tahoma" w:hAnsi="Tahoma" w:cs="Tahoma"/>
          <w:sz w:val="24"/>
          <w:szCs w:val="24"/>
        </w:rPr>
        <w:t>oficinas de</w:t>
      </w:r>
      <w:r w:rsidR="00102545">
        <w:rPr>
          <w:rFonts w:ascii="Tahoma" w:hAnsi="Tahoma" w:cs="Tahoma"/>
          <w:sz w:val="24"/>
          <w:szCs w:val="24"/>
        </w:rPr>
        <w:t xml:space="preserve"> </w:t>
      </w:r>
      <w:r w:rsidRPr="00DF2DC9">
        <w:rPr>
          <w:rFonts w:ascii="Tahoma" w:hAnsi="Tahoma" w:cs="Tahoma"/>
          <w:sz w:val="24"/>
          <w:szCs w:val="24"/>
        </w:rPr>
        <w:t>los</w:t>
      </w:r>
      <w:r w:rsidR="00102545">
        <w:rPr>
          <w:rFonts w:ascii="Tahoma" w:hAnsi="Tahoma" w:cs="Tahoma"/>
          <w:sz w:val="24"/>
          <w:szCs w:val="24"/>
        </w:rPr>
        <w:t xml:space="preserve"> </w:t>
      </w:r>
      <w:r w:rsidRPr="00DF2DC9">
        <w:rPr>
          <w:rFonts w:ascii="Tahoma" w:hAnsi="Tahoma" w:cs="Tahoma"/>
          <w:sz w:val="24"/>
          <w:szCs w:val="24"/>
        </w:rPr>
        <w:t>Grupos</w:t>
      </w:r>
      <w:r w:rsidR="00102545">
        <w:rPr>
          <w:rFonts w:ascii="Tahoma" w:hAnsi="Tahoma" w:cs="Tahoma"/>
          <w:sz w:val="24"/>
          <w:szCs w:val="24"/>
        </w:rPr>
        <w:t xml:space="preserve"> </w:t>
      </w:r>
      <w:r w:rsidRPr="00DF2DC9">
        <w:rPr>
          <w:rFonts w:ascii="Tahoma" w:hAnsi="Tahoma" w:cs="Tahoma"/>
          <w:sz w:val="24"/>
          <w:szCs w:val="24"/>
        </w:rPr>
        <w:t>de</w:t>
      </w:r>
      <w:r w:rsidR="00102545">
        <w:rPr>
          <w:rFonts w:ascii="Tahoma" w:hAnsi="Tahoma" w:cs="Tahoma"/>
          <w:sz w:val="24"/>
          <w:szCs w:val="24"/>
        </w:rPr>
        <w:t xml:space="preserve"> </w:t>
      </w:r>
      <w:r w:rsidRPr="00DF2DC9">
        <w:rPr>
          <w:rFonts w:ascii="Tahoma" w:hAnsi="Tahoma" w:cs="Tahoma"/>
          <w:sz w:val="24"/>
          <w:szCs w:val="24"/>
        </w:rPr>
        <w:t>Trabajo</w:t>
      </w:r>
      <w:r w:rsidR="00102545">
        <w:rPr>
          <w:rFonts w:ascii="Tahoma" w:hAnsi="Tahoma" w:cs="Tahoma"/>
          <w:sz w:val="24"/>
          <w:szCs w:val="24"/>
        </w:rPr>
        <w:t xml:space="preserve"> </w:t>
      </w:r>
      <w:r w:rsidRPr="00DF2DC9">
        <w:rPr>
          <w:rFonts w:ascii="Tahoma" w:hAnsi="Tahoma" w:cs="Tahoma"/>
          <w:sz w:val="24"/>
          <w:szCs w:val="24"/>
        </w:rPr>
        <w:t>Territorial en</w:t>
      </w:r>
      <w:r w:rsidR="00102545">
        <w:rPr>
          <w:rFonts w:ascii="Tahoma" w:hAnsi="Tahoma" w:cs="Tahoma"/>
          <w:sz w:val="24"/>
          <w:szCs w:val="24"/>
        </w:rPr>
        <w:t xml:space="preserve"> </w:t>
      </w:r>
      <w:r w:rsidRPr="00DF2DC9">
        <w:rPr>
          <w:rFonts w:ascii="Tahoma" w:hAnsi="Tahoma" w:cs="Tahoma"/>
          <w:sz w:val="24"/>
          <w:szCs w:val="24"/>
        </w:rPr>
        <w:t>las ciudades”.</w:t>
      </w:r>
      <w:r w:rsidRPr="00DF2DC9">
        <w:rPr>
          <w:rStyle w:val="Refdenotaalpie"/>
          <w:rFonts w:ascii="Tahoma" w:hAnsi="Tahoma" w:cs="Tahoma"/>
          <w:sz w:val="24"/>
          <w:szCs w:val="24"/>
        </w:rPr>
        <w:footnoteReference w:id="1"/>
      </w:r>
      <w:r w:rsidR="00102545">
        <w:rPr>
          <w:rFonts w:ascii="Tahoma" w:hAnsi="Tahoma" w:cs="Tahoma"/>
          <w:sz w:val="24"/>
          <w:szCs w:val="24"/>
        </w:rPr>
        <w:t xml:space="preserve"> </w:t>
      </w:r>
    </w:p>
    <w:p w14:paraId="1584D544" w14:textId="1D7F3A62" w:rsidR="00343C59" w:rsidRPr="00DF2DC9" w:rsidRDefault="00343C59" w:rsidP="00A81C70">
      <w:pPr>
        <w:spacing w:after="0" w:line="276" w:lineRule="auto"/>
        <w:jc w:val="both"/>
        <w:rPr>
          <w:rFonts w:ascii="Tahoma" w:hAnsi="Tahoma" w:cs="Tahoma"/>
          <w:sz w:val="24"/>
          <w:szCs w:val="24"/>
        </w:rPr>
      </w:pPr>
    </w:p>
    <w:p w14:paraId="0CEAB594" w14:textId="180D39DC" w:rsidR="00B57C21" w:rsidRPr="00DF2DC9" w:rsidRDefault="002278DD" w:rsidP="00DF2DC9">
      <w:pPr>
        <w:pStyle w:val="Prrafodelista"/>
        <w:numPr>
          <w:ilvl w:val="1"/>
          <w:numId w:val="7"/>
        </w:numPr>
        <w:spacing w:after="0" w:line="276" w:lineRule="auto"/>
        <w:jc w:val="both"/>
        <w:rPr>
          <w:rFonts w:ascii="Tahoma" w:hAnsi="Tahoma" w:cs="Tahoma"/>
          <w:b/>
          <w:sz w:val="24"/>
          <w:szCs w:val="24"/>
        </w:rPr>
      </w:pPr>
      <w:r w:rsidRPr="00DF2DC9">
        <w:rPr>
          <w:rFonts w:ascii="Tahoma" w:hAnsi="Tahoma" w:cs="Tahoma"/>
          <w:b/>
          <w:sz w:val="24"/>
          <w:szCs w:val="24"/>
        </w:rPr>
        <w:t>Normas que regulan la aplicación de medicamentos de síntesis química y biológicos destinados al diagnóstico, la prevención y tratamiento de la Covid 19 en vigencia de la emergencia sanitaria</w:t>
      </w:r>
    </w:p>
    <w:p w14:paraId="1DDCB5FF" w14:textId="686F127E" w:rsidR="00B57C21" w:rsidRPr="00DF2DC9" w:rsidRDefault="00B57C21" w:rsidP="00102545">
      <w:pPr>
        <w:spacing w:after="0" w:line="276" w:lineRule="auto"/>
        <w:jc w:val="both"/>
        <w:rPr>
          <w:rFonts w:ascii="Tahoma" w:hAnsi="Tahoma" w:cs="Tahoma"/>
          <w:b/>
          <w:sz w:val="24"/>
          <w:szCs w:val="24"/>
        </w:rPr>
      </w:pPr>
    </w:p>
    <w:p w14:paraId="082560E4" w14:textId="06925054" w:rsidR="002278DD" w:rsidRPr="00DF2DC9" w:rsidRDefault="002278DD" w:rsidP="00102545">
      <w:pPr>
        <w:spacing w:after="0" w:line="276" w:lineRule="auto"/>
        <w:jc w:val="both"/>
        <w:rPr>
          <w:rFonts w:ascii="Tahoma" w:hAnsi="Tahoma" w:cs="Tahoma"/>
          <w:sz w:val="24"/>
          <w:szCs w:val="24"/>
        </w:rPr>
      </w:pPr>
      <w:r w:rsidRPr="00DF2DC9">
        <w:rPr>
          <w:rFonts w:ascii="Tahoma" w:hAnsi="Tahoma" w:cs="Tahoma"/>
          <w:sz w:val="24"/>
          <w:szCs w:val="24"/>
        </w:rPr>
        <w:t>Teniendo en cuenta que el meollo de este asunto está relacionado específicamente con la aplicación de la vacuna PFIZER (medicamento de síntesis química y biológico destinados la prevención de la Covid 19), conviene traer a colación las normas pertinentes que regulan la autorización para su uso y dosis, así:</w:t>
      </w:r>
    </w:p>
    <w:p w14:paraId="6DADE878" w14:textId="43BC30EA" w:rsidR="002278DD" w:rsidRPr="00DF2DC9" w:rsidRDefault="002278DD" w:rsidP="00102545">
      <w:pPr>
        <w:spacing w:after="0" w:line="276" w:lineRule="auto"/>
        <w:jc w:val="both"/>
        <w:rPr>
          <w:rFonts w:ascii="Tahoma" w:hAnsi="Tahoma" w:cs="Tahoma"/>
          <w:sz w:val="24"/>
          <w:szCs w:val="24"/>
        </w:rPr>
      </w:pPr>
    </w:p>
    <w:p w14:paraId="267F2DDD" w14:textId="7463D4A4" w:rsidR="002278DD" w:rsidRPr="002328C0" w:rsidRDefault="002278DD" w:rsidP="002328C0">
      <w:pPr>
        <w:spacing w:after="0" w:line="240" w:lineRule="auto"/>
        <w:ind w:left="426" w:right="420"/>
        <w:jc w:val="center"/>
        <w:rPr>
          <w:rFonts w:ascii="Tahoma" w:hAnsi="Tahoma" w:cs="Tahoma"/>
          <w:b/>
          <w:szCs w:val="24"/>
        </w:rPr>
      </w:pPr>
      <w:r w:rsidRPr="002328C0">
        <w:rPr>
          <w:rFonts w:ascii="Tahoma" w:hAnsi="Tahoma" w:cs="Tahoma"/>
          <w:b/>
          <w:szCs w:val="24"/>
        </w:rPr>
        <w:t>Decreto 1787 de 2020</w:t>
      </w:r>
    </w:p>
    <w:p w14:paraId="34E19CE0" w14:textId="77777777" w:rsidR="002278DD" w:rsidRPr="002328C0" w:rsidRDefault="002278DD" w:rsidP="002328C0">
      <w:pPr>
        <w:spacing w:after="0" w:line="240" w:lineRule="auto"/>
        <w:ind w:left="426" w:right="420"/>
        <w:jc w:val="center"/>
        <w:rPr>
          <w:rFonts w:ascii="Tahoma" w:hAnsi="Tahoma" w:cs="Tahoma"/>
          <w:b/>
          <w:szCs w:val="24"/>
        </w:rPr>
      </w:pPr>
    </w:p>
    <w:p w14:paraId="25AD5B73" w14:textId="780F43B5" w:rsidR="002278DD" w:rsidRPr="002328C0" w:rsidRDefault="002278DD" w:rsidP="002328C0">
      <w:pPr>
        <w:spacing w:after="0" w:line="240" w:lineRule="auto"/>
        <w:ind w:left="426" w:right="420"/>
        <w:jc w:val="both"/>
        <w:rPr>
          <w:rFonts w:ascii="Tahoma" w:hAnsi="Tahoma" w:cs="Tahoma"/>
          <w:i/>
          <w:szCs w:val="24"/>
        </w:rPr>
      </w:pPr>
      <w:r w:rsidRPr="002328C0">
        <w:rPr>
          <w:rFonts w:ascii="Tahoma" w:hAnsi="Tahoma" w:cs="Tahoma"/>
          <w:szCs w:val="24"/>
        </w:rPr>
        <w:t xml:space="preserve"> </w:t>
      </w:r>
      <w:r w:rsidRPr="002328C0">
        <w:rPr>
          <w:rFonts w:ascii="Tahoma" w:hAnsi="Tahoma" w:cs="Tahoma"/>
          <w:i/>
          <w:szCs w:val="24"/>
        </w:rPr>
        <w:t>Por el cual se establecen las condiciones sanitarias para el trámite y otorgamiento de la Autorización Sanitaria de Uso de Emergencia -ASUE para medicamentos de síntesis química y biológicos destinados al diagnóstico, la prevención y tratamiento de la Covid 19 en vigencia de la emergencia sanitaria</w:t>
      </w:r>
    </w:p>
    <w:p w14:paraId="32AEC248" w14:textId="0021393C" w:rsidR="002278DD" w:rsidRPr="002328C0" w:rsidRDefault="002278DD" w:rsidP="002328C0">
      <w:pPr>
        <w:spacing w:after="0" w:line="240" w:lineRule="auto"/>
        <w:ind w:left="426" w:right="420"/>
        <w:jc w:val="both"/>
        <w:rPr>
          <w:rFonts w:ascii="Tahoma" w:hAnsi="Tahoma" w:cs="Tahoma"/>
          <w:b/>
          <w:szCs w:val="24"/>
        </w:rPr>
      </w:pPr>
    </w:p>
    <w:p w14:paraId="2D9DA813" w14:textId="3D79C4B1" w:rsidR="00347127" w:rsidRPr="002328C0" w:rsidRDefault="00347127" w:rsidP="002328C0">
      <w:pPr>
        <w:spacing w:after="0" w:line="240" w:lineRule="auto"/>
        <w:ind w:left="426" w:right="420"/>
        <w:jc w:val="center"/>
        <w:rPr>
          <w:rFonts w:ascii="Tahoma" w:hAnsi="Tahoma" w:cs="Tahoma"/>
          <w:b/>
          <w:szCs w:val="24"/>
        </w:rPr>
      </w:pPr>
      <w:r w:rsidRPr="002328C0">
        <w:rPr>
          <w:rFonts w:ascii="Tahoma" w:hAnsi="Tahoma" w:cs="Tahoma"/>
          <w:b/>
          <w:szCs w:val="24"/>
        </w:rPr>
        <w:t>CAPITULO I</w:t>
      </w:r>
    </w:p>
    <w:p w14:paraId="159D5BEF" w14:textId="1C45676E" w:rsidR="00347127" w:rsidRPr="002328C0" w:rsidRDefault="00347127" w:rsidP="002328C0">
      <w:pPr>
        <w:spacing w:after="0" w:line="240" w:lineRule="auto"/>
        <w:ind w:left="426" w:right="420"/>
        <w:jc w:val="center"/>
        <w:rPr>
          <w:rFonts w:ascii="Tahoma" w:hAnsi="Tahoma" w:cs="Tahoma"/>
          <w:b/>
          <w:szCs w:val="24"/>
        </w:rPr>
      </w:pPr>
      <w:r w:rsidRPr="002328C0">
        <w:rPr>
          <w:rFonts w:ascii="Tahoma" w:hAnsi="Tahoma" w:cs="Tahoma"/>
          <w:b/>
          <w:szCs w:val="24"/>
        </w:rPr>
        <w:t>DISPOSICIONES GENERALES</w:t>
      </w:r>
    </w:p>
    <w:p w14:paraId="3FAB5899" w14:textId="77777777" w:rsidR="00347127" w:rsidRPr="002328C0" w:rsidRDefault="00347127" w:rsidP="002328C0">
      <w:pPr>
        <w:spacing w:after="0" w:line="240" w:lineRule="auto"/>
        <w:ind w:left="426" w:right="420"/>
        <w:jc w:val="both"/>
        <w:rPr>
          <w:rFonts w:ascii="Tahoma" w:hAnsi="Tahoma" w:cs="Tahoma"/>
          <w:b/>
          <w:szCs w:val="24"/>
        </w:rPr>
      </w:pPr>
    </w:p>
    <w:p w14:paraId="0CBD38BE" w14:textId="2AA2B94C" w:rsidR="002278DD" w:rsidRPr="002328C0" w:rsidRDefault="002278DD" w:rsidP="002328C0">
      <w:pPr>
        <w:spacing w:after="0" w:line="240" w:lineRule="auto"/>
        <w:ind w:left="426" w:right="420"/>
        <w:jc w:val="both"/>
        <w:rPr>
          <w:rFonts w:ascii="Tahoma" w:hAnsi="Tahoma" w:cs="Tahoma"/>
          <w:szCs w:val="24"/>
        </w:rPr>
      </w:pPr>
      <w:r w:rsidRPr="002328C0">
        <w:rPr>
          <w:rFonts w:ascii="Tahoma" w:hAnsi="Tahoma" w:cs="Tahoma"/>
          <w:b/>
          <w:szCs w:val="24"/>
        </w:rPr>
        <w:t xml:space="preserve">Artículo 1. Objeto. </w:t>
      </w:r>
      <w:r w:rsidRPr="002328C0">
        <w:rPr>
          <w:rFonts w:ascii="Tahoma" w:hAnsi="Tahoma" w:cs="Tahoma"/>
          <w:szCs w:val="24"/>
        </w:rPr>
        <w:t>El presente decreto tiene por objeto establecer las condiciones sanitarias para el trámite y otorgamiento de la Autorización Sanitaria de Uso de Emergencia -ASUE, por parte del Instituto Nacional de Vigilancia de Medicamentos y Alimentos -INVIMA, para medicamentos de síntesis química o biológicos que aún no cuentan con toda la información requerida para la obtención de registro sanitario, y que sean destinados al diagnóstico, la prevención y tratamiento de la Covid -19.</w:t>
      </w:r>
    </w:p>
    <w:p w14:paraId="58F26157" w14:textId="44B8B3E0" w:rsidR="002278DD" w:rsidRPr="002328C0" w:rsidRDefault="002278DD" w:rsidP="002328C0">
      <w:pPr>
        <w:spacing w:after="0" w:line="240" w:lineRule="auto"/>
        <w:ind w:left="426" w:right="420"/>
        <w:jc w:val="both"/>
        <w:rPr>
          <w:rFonts w:ascii="Tahoma" w:hAnsi="Tahoma" w:cs="Tahoma"/>
          <w:szCs w:val="24"/>
        </w:rPr>
      </w:pPr>
    </w:p>
    <w:p w14:paraId="6BDAE230" w14:textId="6D7B50C6" w:rsidR="00347127" w:rsidRPr="002328C0" w:rsidRDefault="00347127" w:rsidP="002328C0">
      <w:pPr>
        <w:spacing w:after="0" w:line="240" w:lineRule="auto"/>
        <w:ind w:left="426" w:right="420"/>
        <w:jc w:val="center"/>
        <w:rPr>
          <w:rFonts w:ascii="Tahoma" w:hAnsi="Tahoma" w:cs="Tahoma"/>
          <w:b/>
          <w:szCs w:val="24"/>
        </w:rPr>
      </w:pPr>
      <w:r w:rsidRPr="002328C0">
        <w:rPr>
          <w:rFonts w:ascii="Tahoma" w:hAnsi="Tahoma" w:cs="Tahoma"/>
          <w:b/>
          <w:szCs w:val="24"/>
        </w:rPr>
        <w:t>CAPITULO II</w:t>
      </w:r>
    </w:p>
    <w:p w14:paraId="7CD96061" w14:textId="09FBBFDE" w:rsidR="00347127" w:rsidRPr="002328C0" w:rsidRDefault="00347127" w:rsidP="002328C0">
      <w:pPr>
        <w:spacing w:after="0" w:line="240" w:lineRule="auto"/>
        <w:ind w:left="426" w:right="420"/>
        <w:jc w:val="center"/>
        <w:rPr>
          <w:rFonts w:ascii="Tahoma" w:hAnsi="Tahoma" w:cs="Tahoma"/>
          <w:b/>
          <w:szCs w:val="24"/>
        </w:rPr>
      </w:pPr>
      <w:r w:rsidRPr="002328C0">
        <w:rPr>
          <w:rFonts w:ascii="Tahoma" w:hAnsi="Tahoma" w:cs="Tahoma"/>
          <w:b/>
          <w:szCs w:val="24"/>
        </w:rPr>
        <w:t>CONDICIONES DE UNA AUTORIZACIÓN SANITARIA DE USO DE EMERGENCIA</w:t>
      </w:r>
    </w:p>
    <w:p w14:paraId="3681BFAA" w14:textId="77777777" w:rsidR="00347127" w:rsidRPr="002328C0" w:rsidRDefault="00347127" w:rsidP="002328C0">
      <w:pPr>
        <w:spacing w:after="0" w:line="240" w:lineRule="auto"/>
        <w:ind w:left="426" w:right="420"/>
        <w:jc w:val="both"/>
        <w:rPr>
          <w:rFonts w:ascii="Tahoma" w:hAnsi="Tahoma" w:cs="Tahoma"/>
          <w:b/>
          <w:szCs w:val="24"/>
        </w:rPr>
      </w:pPr>
    </w:p>
    <w:p w14:paraId="10EA254E" w14:textId="037B914C" w:rsidR="002278DD" w:rsidRPr="002328C0" w:rsidRDefault="002278DD" w:rsidP="002328C0">
      <w:pPr>
        <w:spacing w:after="0" w:line="240" w:lineRule="auto"/>
        <w:ind w:left="426" w:right="420"/>
        <w:jc w:val="both"/>
        <w:rPr>
          <w:rFonts w:ascii="Tahoma" w:hAnsi="Tahoma" w:cs="Tahoma"/>
          <w:szCs w:val="24"/>
        </w:rPr>
      </w:pPr>
      <w:r w:rsidRPr="002328C0">
        <w:rPr>
          <w:rFonts w:ascii="Tahoma" w:hAnsi="Tahoma" w:cs="Tahoma"/>
          <w:b/>
          <w:szCs w:val="24"/>
        </w:rPr>
        <w:t>Artículo 4. Autorización Sanitaria de Uso de Emergencia</w:t>
      </w:r>
      <w:r w:rsidRPr="002328C0">
        <w:rPr>
          <w:rFonts w:ascii="Tahoma" w:hAnsi="Tahoma" w:cs="Tahoma"/>
          <w:szCs w:val="24"/>
        </w:rPr>
        <w:t xml:space="preserve">. Es el acto administrativo emitido por el Instituto Nacional de Vigilancia de Medicamentos y Alimentos -INVIMA, mediante el cual se permite el uso temporal y condicionado de medicamentos de síntesis química o biológicos que aún no cuentan con toda la información requerida para la obtención del registro sanitario, y que están destinados al diagnóstico, prevención o tratamiento de la Covid-19; que cuenten con un estudio clínico en curso, que respalde la generación de evidencia de eficacia y seguridad del producto, revisado y aprobado por el INVIMA o su homólogo en el país donde se realice tal estudio y cuya evidencia y soporte técnico generado a partir de su desarrollo, permiten concluir que el balance beneficio-riesgo es favorable. </w:t>
      </w:r>
    </w:p>
    <w:p w14:paraId="5160A70E" w14:textId="77777777" w:rsidR="002278DD" w:rsidRPr="002328C0" w:rsidRDefault="002278DD" w:rsidP="002328C0">
      <w:pPr>
        <w:spacing w:after="0" w:line="240" w:lineRule="auto"/>
        <w:ind w:left="426" w:right="420"/>
        <w:jc w:val="both"/>
        <w:rPr>
          <w:rFonts w:ascii="Tahoma" w:hAnsi="Tahoma" w:cs="Tahoma"/>
          <w:szCs w:val="24"/>
        </w:rPr>
      </w:pPr>
    </w:p>
    <w:p w14:paraId="73983645" w14:textId="7FB2D600" w:rsidR="002278DD" w:rsidRPr="002328C0" w:rsidRDefault="002278DD" w:rsidP="002328C0">
      <w:pPr>
        <w:spacing w:after="0" w:line="240" w:lineRule="auto"/>
        <w:ind w:left="426" w:right="420"/>
        <w:jc w:val="both"/>
        <w:rPr>
          <w:rFonts w:ascii="Tahoma" w:hAnsi="Tahoma" w:cs="Tahoma"/>
          <w:szCs w:val="24"/>
        </w:rPr>
      </w:pPr>
      <w:r w:rsidRPr="002328C0">
        <w:rPr>
          <w:rFonts w:ascii="Tahoma" w:hAnsi="Tahoma" w:cs="Tahoma"/>
          <w:szCs w:val="24"/>
        </w:rPr>
        <w:t>La Autorización Sanitaria de Uso de Emergencia -ASUE se concederá únicamente a medicamentos de síntesis química y biológicos nuevos o que teniendo registro sanitario vigente en el país opten a un segundo uso o indicación, que cubran únicamente necesidades terapéuticas insatisfechas generadas por la Covid-19.</w:t>
      </w:r>
    </w:p>
    <w:p w14:paraId="0AC8AD1F" w14:textId="4FA64020" w:rsidR="002278DD" w:rsidRPr="002328C0" w:rsidRDefault="002278DD" w:rsidP="002328C0">
      <w:pPr>
        <w:spacing w:after="0" w:line="240" w:lineRule="auto"/>
        <w:ind w:left="426" w:right="420"/>
        <w:jc w:val="both"/>
        <w:rPr>
          <w:rFonts w:ascii="Tahoma" w:hAnsi="Tahoma" w:cs="Tahoma"/>
          <w:szCs w:val="24"/>
        </w:rPr>
      </w:pPr>
    </w:p>
    <w:p w14:paraId="1F5F4907" w14:textId="09403D07" w:rsidR="00347127" w:rsidRDefault="002278DD" w:rsidP="002328C0">
      <w:pPr>
        <w:spacing w:after="0" w:line="240" w:lineRule="auto"/>
        <w:ind w:left="426" w:right="420"/>
        <w:jc w:val="both"/>
        <w:rPr>
          <w:rFonts w:ascii="Tahoma" w:hAnsi="Tahoma" w:cs="Tahoma"/>
          <w:szCs w:val="24"/>
        </w:rPr>
      </w:pPr>
      <w:r w:rsidRPr="002328C0">
        <w:rPr>
          <w:rFonts w:ascii="Tahoma" w:hAnsi="Tahoma" w:cs="Tahoma"/>
          <w:b/>
          <w:szCs w:val="24"/>
        </w:rPr>
        <w:t>Parágrafo 1.</w:t>
      </w:r>
      <w:r w:rsidRPr="002328C0">
        <w:rPr>
          <w:rFonts w:ascii="Tahoma" w:hAnsi="Tahoma" w:cs="Tahoma"/>
          <w:szCs w:val="24"/>
        </w:rPr>
        <w:t xml:space="preserve"> La revisión y otorgamiento por parte del</w:t>
      </w:r>
      <w:r w:rsidR="00347127" w:rsidRPr="002328C0">
        <w:rPr>
          <w:rFonts w:ascii="Tahoma" w:hAnsi="Tahoma" w:cs="Tahoma"/>
          <w:szCs w:val="24"/>
        </w:rPr>
        <w:t xml:space="preserve"> </w:t>
      </w:r>
      <w:proofErr w:type="spellStart"/>
      <w:r w:rsidRPr="002328C0">
        <w:rPr>
          <w:rFonts w:ascii="Tahoma" w:hAnsi="Tahoma" w:cs="Tahoma"/>
          <w:szCs w:val="24"/>
        </w:rPr>
        <w:t>lNVIMA</w:t>
      </w:r>
      <w:proofErr w:type="spellEnd"/>
      <w:r w:rsidRPr="002328C0">
        <w:rPr>
          <w:rFonts w:ascii="Tahoma" w:hAnsi="Tahoma" w:cs="Tahoma"/>
          <w:szCs w:val="24"/>
        </w:rPr>
        <w:t xml:space="preserve"> se realizará bajo un análisis caso a caso, y con enfoque de riesgo.</w:t>
      </w:r>
    </w:p>
    <w:p w14:paraId="0071DB50" w14:textId="77777777" w:rsidR="005E5951" w:rsidRPr="002328C0" w:rsidRDefault="005E5951" w:rsidP="002328C0">
      <w:pPr>
        <w:spacing w:after="0" w:line="240" w:lineRule="auto"/>
        <w:ind w:left="426" w:right="420"/>
        <w:jc w:val="both"/>
        <w:rPr>
          <w:rFonts w:ascii="Tahoma" w:hAnsi="Tahoma" w:cs="Tahoma"/>
          <w:szCs w:val="24"/>
        </w:rPr>
      </w:pPr>
    </w:p>
    <w:p w14:paraId="4FE2A9F1" w14:textId="2AF72E28" w:rsidR="00347127" w:rsidRDefault="002278DD" w:rsidP="002328C0">
      <w:pPr>
        <w:spacing w:after="0" w:line="240" w:lineRule="auto"/>
        <w:ind w:left="426" w:right="420"/>
        <w:jc w:val="both"/>
        <w:rPr>
          <w:rFonts w:ascii="Tahoma" w:hAnsi="Tahoma" w:cs="Tahoma"/>
          <w:szCs w:val="24"/>
        </w:rPr>
      </w:pPr>
      <w:r w:rsidRPr="002328C0">
        <w:rPr>
          <w:rFonts w:ascii="Tahoma" w:hAnsi="Tahoma" w:cs="Tahoma"/>
          <w:b/>
          <w:szCs w:val="24"/>
        </w:rPr>
        <w:t>Parágrafo 2.</w:t>
      </w:r>
      <w:r w:rsidRPr="002328C0">
        <w:rPr>
          <w:rFonts w:ascii="Tahoma" w:hAnsi="Tahoma" w:cs="Tahoma"/>
          <w:szCs w:val="24"/>
        </w:rPr>
        <w:t xml:space="preserve"> </w:t>
      </w:r>
      <w:r w:rsidR="00347127" w:rsidRPr="002328C0">
        <w:rPr>
          <w:rFonts w:ascii="Tahoma" w:hAnsi="Tahoma" w:cs="Tahoma"/>
          <w:szCs w:val="24"/>
        </w:rPr>
        <w:t>…</w:t>
      </w:r>
    </w:p>
    <w:p w14:paraId="67B280CF" w14:textId="77777777" w:rsidR="005E5951" w:rsidRPr="002328C0" w:rsidRDefault="005E5951" w:rsidP="002328C0">
      <w:pPr>
        <w:spacing w:after="0" w:line="240" w:lineRule="auto"/>
        <w:ind w:left="426" w:right="420"/>
        <w:jc w:val="both"/>
        <w:rPr>
          <w:rFonts w:ascii="Tahoma" w:hAnsi="Tahoma" w:cs="Tahoma"/>
          <w:szCs w:val="24"/>
        </w:rPr>
      </w:pPr>
    </w:p>
    <w:p w14:paraId="37F6D881" w14:textId="459E508D" w:rsidR="002278DD" w:rsidRPr="002328C0" w:rsidRDefault="002278DD" w:rsidP="002328C0">
      <w:pPr>
        <w:spacing w:after="0" w:line="240" w:lineRule="auto"/>
        <w:ind w:left="426" w:right="420"/>
        <w:jc w:val="both"/>
        <w:rPr>
          <w:rFonts w:ascii="Tahoma" w:hAnsi="Tahoma" w:cs="Tahoma"/>
          <w:szCs w:val="24"/>
        </w:rPr>
      </w:pPr>
      <w:r w:rsidRPr="002328C0">
        <w:rPr>
          <w:rFonts w:ascii="Tahoma" w:hAnsi="Tahoma" w:cs="Tahoma"/>
          <w:b/>
          <w:szCs w:val="24"/>
        </w:rPr>
        <w:t>Parágrafo 3.</w:t>
      </w:r>
      <w:r w:rsidRPr="002328C0">
        <w:rPr>
          <w:rFonts w:ascii="Tahoma" w:hAnsi="Tahoma" w:cs="Tahoma"/>
          <w:szCs w:val="24"/>
        </w:rPr>
        <w:t xml:space="preserve"> Los medicamentos de síntesis química y los biológicos a los cuales se les conceda la autorización, en lo posible, continuarán con la fase de aprobación para obtener el registro sanitario, de conformidad a la normatividad vigente.</w:t>
      </w:r>
    </w:p>
    <w:p w14:paraId="691A5AF3" w14:textId="33200434" w:rsidR="00347127" w:rsidRPr="002328C0" w:rsidRDefault="00347127" w:rsidP="002328C0">
      <w:pPr>
        <w:spacing w:after="0" w:line="240" w:lineRule="auto"/>
        <w:ind w:left="426" w:right="420"/>
        <w:jc w:val="both"/>
        <w:rPr>
          <w:rFonts w:ascii="Tahoma" w:hAnsi="Tahoma" w:cs="Tahoma"/>
          <w:szCs w:val="24"/>
        </w:rPr>
      </w:pPr>
    </w:p>
    <w:p w14:paraId="3C8790AA" w14:textId="069FFA00" w:rsidR="00347127" w:rsidRPr="002328C0" w:rsidRDefault="00347127" w:rsidP="002328C0">
      <w:pPr>
        <w:spacing w:after="0" w:line="240" w:lineRule="auto"/>
        <w:ind w:left="426" w:right="420"/>
        <w:jc w:val="center"/>
        <w:rPr>
          <w:rFonts w:ascii="Tahoma" w:hAnsi="Tahoma" w:cs="Tahoma"/>
          <w:b/>
          <w:szCs w:val="24"/>
        </w:rPr>
      </w:pPr>
      <w:r w:rsidRPr="002328C0">
        <w:rPr>
          <w:rFonts w:ascii="Tahoma" w:hAnsi="Tahoma" w:cs="Tahoma"/>
          <w:b/>
          <w:szCs w:val="24"/>
        </w:rPr>
        <w:t>CAPITULO III</w:t>
      </w:r>
    </w:p>
    <w:p w14:paraId="21FD1F21" w14:textId="424690A4" w:rsidR="00347127" w:rsidRPr="002328C0" w:rsidRDefault="00347127" w:rsidP="002328C0">
      <w:pPr>
        <w:spacing w:after="0" w:line="240" w:lineRule="auto"/>
        <w:ind w:left="426" w:right="420"/>
        <w:jc w:val="center"/>
        <w:rPr>
          <w:rFonts w:ascii="Tahoma" w:hAnsi="Tahoma" w:cs="Tahoma"/>
          <w:b/>
          <w:szCs w:val="24"/>
        </w:rPr>
      </w:pPr>
      <w:r w:rsidRPr="002328C0">
        <w:rPr>
          <w:rFonts w:ascii="Tahoma" w:hAnsi="Tahoma" w:cs="Tahoma"/>
          <w:b/>
          <w:szCs w:val="24"/>
        </w:rPr>
        <w:t>PROCEDIMIENTO PARA LA EXPEDICIÓN DE LA AUTORIZACIÓN SANITARIA DE USO DE EMERGENCIA</w:t>
      </w:r>
    </w:p>
    <w:p w14:paraId="16C00D60" w14:textId="77777777" w:rsidR="00347127" w:rsidRPr="002328C0" w:rsidRDefault="00347127" w:rsidP="002328C0">
      <w:pPr>
        <w:spacing w:after="0" w:line="240" w:lineRule="auto"/>
        <w:ind w:left="426" w:right="420"/>
        <w:jc w:val="both"/>
        <w:rPr>
          <w:rFonts w:ascii="Tahoma" w:hAnsi="Tahoma" w:cs="Tahoma"/>
          <w:szCs w:val="24"/>
        </w:rPr>
      </w:pPr>
    </w:p>
    <w:p w14:paraId="6E4E1641" w14:textId="787F6606"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b/>
          <w:szCs w:val="24"/>
        </w:rPr>
        <w:t>Artículo 5. Diálogo temprano.</w:t>
      </w:r>
      <w:r w:rsidRPr="002328C0">
        <w:rPr>
          <w:rFonts w:ascii="Tahoma" w:hAnsi="Tahoma" w:cs="Tahoma"/>
          <w:szCs w:val="24"/>
        </w:rPr>
        <w:t xml:space="preserve"> Los interesados en obtener una Autorización Sanitaria de Uso de Emergencia podrán solicitar, al INVIMA, reuniones previas a la radicación de la solicitud de una Autorización Sanitaria de Uso de Emergencia -ASUE, de conformidad con el procedimiento definido por esa entidad, el cual deberá contener mecanismos ágiles y expeditos para su desarrollo.</w:t>
      </w:r>
    </w:p>
    <w:p w14:paraId="4A79F415" w14:textId="77777777" w:rsidR="00347127" w:rsidRPr="002328C0" w:rsidRDefault="00347127" w:rsidP="002328C0">
      <w:pPr>
        <w:spacing w:after="0" w:line="240" w:lineRule="auto"/>
        <w:ind w:left="426" w:right="420"/>
        <w:jc w:val="both"/>
        <w:rPr>
          <w:rFonts w:ascii="Tahoma" w:hAnsi="Tahoma" w:cs="Tahoma"/>
          <w:szCs w:val="24"/>
        </w:rPr>
      </w:pPr>
    </w:p>
    <w:p w14:paraId="196B6C4C" w14:textId="77777777"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b/>
          <w:szCs w:val="24"/>
        </w:rPr>
        <w:t>Artículo 6. Presentación de la solicitud de autorización sanitaria de uso de emergencia</w:t>
      </w:r>
      <w:r w:rsidRPr="002328C0">
        <w:rPr>
          <w:rFonts w:ascii="Tahoma" w:hAnsi="Tahoma" w:cs="Tahoma"/>
          <w:szCs w:val="24"/>
        </w:rPr>
        <w:t>. La solicitud de una ASUE se presentará ante el INVIMA, en un formato común denominado CTD. (</w:t>
      </w:r>
      <w:proofErr w:type="spellStart"/>
      <w:r w:rsidRPr="002328C0">
        <w:rPr>
          <w:rFonts w:ascii="Tahoma" w:hAnsi="Tahoma" w:cs="Tahoma"/>
          <w:szCs w:val="24"/>
        </w:rPr>
        <w:t>Common</w:t>
      </w:r>
      <w:proofErr w:type="spellEnd"/>
      <w:r w:rsidRPr="002328C0">
        <w:rPr>
          <w:rFonts w:ascii="Tahoma" w:hAnsi="Tahoma" w:cs="Tahoma"/>
          <w:szCs w:val="24"/>
        </w:rPr>
        <w:t xml:space="preserve"> </w:t>
      </w:r>
      <w:proofErr w:type="spellStart"/>
      <w:r w:rsidRPr="002328C0">
        <w:rPr>
          <w:rFonts w:ascii="Tahoma" w:hAnsi="Tahoma" w:cs="Tahoma"/>
          <w:szCs w:val="24"/>
        </w:rPr>
        <w:t>Technical</w:t>
      </w:r>
      <w:proofErr w:type="spellEnd"/>
      <w:r w:rsidRPr="002328C0">
        <w:rPr>
          <w:rFonts w:ascii="Tahoma" w:hAnsi="Tahoma" w:cs="Tahoma"/>
          <w:szCs w:val="24"/>
        </w:rPr>
        <w:t xml:space="preserve"> </w:t>
      </w:r>
      <w:proofErr w:type="spellStart"/>
      <w:r w:rsidRPr="002328C0">
        <w:rPr>
          <w:rFonts w:ascii="Tahoma" w:hAnsi="Tahoma" w:cs="Tahoma"/>
          <w:szCs w:val="24"/>
        </w:rPr>
        <w:t>Document</w:t>
      </w:r>
      <w:proofErr w:type="spellEnd"/>
      <w:r w:rsidRPr="002328C0">
        <w:rPr>
          <w:rFonts w:ascii="Tahoma" w:hAnsi="Tahoma" w:cs="Tahoma"/>
          <w:szCs w:val="24"/>
        </w:rPr>
        <w:t xml:space="preserve">) y deberá contener, como mínimo, la información del módulo 1 información administrativa, módulo 2 resúmenes de documentos técnicos comunes, y de acuerdo al medicamento, la información contemplada en el artículo 7 del presente decreto. </w:t>
      </w:r>
    </w:p>
    <w:p w14:paraId="5741D107" w14:textId="77777777" w:rsidR="005E5951" w:rsidRDefault="005E5951" w:rsidP="002328C0">
      <w:pPr>
        <w:spacing w:after="0" w:line="240" w:lineRule="auto"/>
        <w:ind w:left="426" w:right="420"/>
        <w:jc w:val="both"/>
        <w:rPr>
          <w:rFonts w:ascii="Tahoma" w:hAnsi="Tahoma" w:cs="Tahoma"/>
          <w:szCs w:val="24"/>
        </w:rPr>
      </w:pPr>
    </w:p>
    <w:p w14:paraId="6025AF74" w14:textId="156177E9" w:rsidR="00347127" w:rsidRDefault="00347127" w:rsidP="002328C0">
      <w:pPr>
        <w:spacing w:after="0" w:line="240" w:lineRule="auto"/>
        <w:ind w:left="426" w:right="420"/>
        <w:jc w:val="both"/>
        <w:rPr>
          <w:rFonts w:ascii="Tahoma" w:hAnsi="Tahoma" w:cs="Tahoma"/>
          <w:szCs w:val="24"/>
        </w:rPr>
      </w:pPr>
      <w:r w:rsidRPr="002328C0">
        <w:rPr>
          <w:rFonts w:ascii="Tahoma" w:hAnsi="Tahoma" w:cs="Tahoma"/>
          <w:szCs w:val="24"/>
        </w:rPr>
        <w:lastRenderedPageBreak/>
        <w:t>En caso de que el interesado o solicitante, cuente con información correspondiente a los módulos 3, 4 y/o 5 disponible, podrá presentar la misma, en el marco de la presente regulación.</w:t>
      </w:r>
    </w:p>
    <w:p w14:paraId="328AE434" w14:textId="77777777" w:rsidR="005E5951" w:rsidRPr="002328C0" w:rsidRDefault="005E5951" w:rsidP="002328C0">
      <w:pPr>
        <w:spacing w:after="0" w:line="240" w:lineRule="auto"/>
        <w:ind w:left="426" w:right="420"/>
        <w:jc w:val="both"/>
        <w:rPr>
          <w:rFonts w:ascii="Tahoma" w:hAnsi="Tahoma" w:cs="Tahoma"/>
          <w:szCs w:val="24"/>
        </w:rPr>
      </w:pPr>
    </w:p>
    <w:p w14:paraId="5378B747" w14:textId="20C8DD38"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b/>
          <w:szCs w:val="24"/>
        </w:rPr>
        <w:t>Parágrafo.</w:t>
      </w:r>
      <w:r w:rsidRPr="002328C0">
        <w:rPr>
          <w:rFonts w:ascii="Tahoma" w:hAnsi="Tahoma" w:cs="Tahoma"/>
          <w:szCs w:val="24"/>
        </w:rPr>
        <w:t xml:space="preserve"> En caso que no pueda presentarse en el formato CTD, el interesado deberá realizarlo en el orden y organización que exige el INVIMA para la presentación del expediente de un registro sanitario, en el cual se suministre la información sobre la evidencia técnica y científica disponible con respecto a la seguridad, eficacia y calidad del medicamento, en los términos definidos en el presente decreto y en el procedimiento que defina el Instituto.</w:t>
      </w:r>
    </w:p>
    <w:p w14:paraId="54DB6C48" w14:textId="00D5F62E" w:rsidR="00347127" w:rsidRPr="002328C0" w:rsidRDefault="00347127" w:rsidP="002328C0">
      <w:pPr>
        <w:spacing w:after="0" w:line="240" w:lineRule="auto"/>
        <w:ind w:left="426" w:right="420"/>
        <w:jc w:val="both"/>
        <w:rPr>
          <w:rFonts w:ascii="Tahoma" w:hAnsi="Tahoma" w:cs="Tahoma"/>
          <w:szCs w:val="24"/>
        </w:rPr>
      </w:pPr>
    </w:p>
    <w:p w14:paraId="2B14585D" w14:textId="77777777"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b/>
          <w:szCs w:val="24"/>
        </w:rPr>
        <w:t>Artículo 8. Procedimiento para el trámite de la Autorización Sanitaria de Uso de Emergencia -ASUE.</w:t>
      </w:r>
      <w:r w:rsidRPr="002328C0">
        <w:rPr>
          <w:rFonts w:ascii="Tahoma" w:hAnsi="Tahoma" w:cs="Tahoma"/>
          <w:szCs w:val="24"/>
        </w:rPr>
        <w:t xml:space="preserve"> El INVIMA para el trámite de una Autorización Sanitaria de Uso de Emergencia -ASUE, tendrá en cuenta el siguiente procedimiento: </w:t>
      </w:r>
    </w:p>
    <w:p w14:paraId="068CD489" w14:textId="77777777" w:rsidR="005E5951" w:rsidRDefault="005E5951" w:rsidP="002328C0">
      <w:pPr>
        <w:spacing w:after="0" w:line="240" w:lineRule="auto"/>
        <w:ind w:left="426" w:right="420"/>
        <w:jc w:val="both"/>
        <w:rPr>
          <w:rFonts w:ascii="Tahoma" w:hAnsi="Tahoma" w:cs="Tahoma"/>
          <w:szCs w:val="24"/>
        </w:rPr>
      </w:pPr>
    </w:p>
    <w:p w14:paraId="6AFDA772" w14:textId="64D4A7DA"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szCs w:val="24"/>
        </w:rPr>
        <w:t>8.1 Una vez recibida la solicitud con sus respectivos soportes, procederá a efectuar la evaluación y concederá o negará la autorización sanitaria de uso de emergencia o comunicará que es necesario complementar o adicionar la información, para lo cual el</w:t>
      </w:r>
      <w:r w:rsidR="005E5951">
        <w:rPr>
          <w:rFonts w:ascii="Tahoma" w:hAnsi="Tahoma" w:cs="Tahoma"/>
          <w:szCs w:val="24"/>
        </w:rPr>
        <w:t xml:space="preserve"> </w:t>
      </w:r>
      <w:proofErr w:type="spellStart"/>
      <w:r w:rsidRPr="002328C0">
        <w:rPr>
          <w:rFonts w:ascii="Tahoma" w:hAnsi="Tahoma" w:cs="Tahoma"/>
          <w:szCs w:val="24"/>
        </w:rPr>
        <w:t>lNVIMA</w:t>
      </w:r>
      <w:proofErr w:type="spellEnd"/>
      <w:r w:rsidRPr="002328C0">
        <w:rPr>
          <w:rFonts w:ascii="Tahoma" w:hAnsi="Tahoma" w:cs="Tahoma"/>
          <w:szCs w:val="24"/>
        </w:rPr>
        <w:t xml:space="preserve"> contará con un término perentorio de diez (10) días hábiles. </w:t>
      </w:r>
    </w:p>
    <w:p w14:paraId="2EC1BCE5" w14:textId="77777777" w:rsidR="005E5951" w:rsidRDefault="005E5951" w:rsidP="002328C0">
      <w:pPr>
        <w:spacing w:after="0" w:line="240" w:lineRule="auto"/>
        <w:ind w:left="426" w:right="420"/>
        <w:jc w:val="both"/>
        <w:rPr>
          <w:rFonts w:ascii="Tahoma" w:hAnsi="Tahoma" w:cs="Tahoma"/>
          <w:szCs w:val="24"/>
        </w:rPr>
      </w:pPr>
    </w:p>
    <w:p w14:paraId="4775C3AB" w14:textId="63C24443"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szCs w:val="24"/>
        </w:rPr>
        <w:t xml:space="preserve">8.2 Cuando se necesite información adicional o aclaración de los documentos presentados, se requerirá por única vez al interesado, para que suministre la información correspondiente, para lo cual el solicitante contará con un término perentorio de diez (10) días hábiles. Si dentro de este plazo el interesado no allega la información solicitada, se entenderá que desiste de la solicitud y, en consecuencia, el INVIMA procederá a declarar el desistimiento tácito de la solicitud. </w:t>
      </w:r>
    </w:p>
    <w:p w14:paraId="7C47AD6A" w14:textId="77777777" w:rsidR="005E5951" w:rsidRDefault="005E5951" w:rsidP="002328C0">
      <w:pPr>
        <w:spacing w:after="0" w:line="240" w:lineRule="auto"/>
        <w:ind w:left="426" w:right="420"/>
        <w:jc w:val="both"/>
        <w:rPr>
          <w:rFonts w:ascii="Tahoma" w:hAnsi="Tahoma" w:cs="Tahoma"/>
          <w:szCs w:val="24"/>
        </w:rPr>
      </w:pPr>
    </w:p>
    <w:p w14:paraId="39CAC54E" w14:textId="59786F03" w:rsidR="00347127" w:rsidRDefault="00347127" w:rsidP="002328C0">
      <w:pPr>
        <w:spacing w:after="0" w:line="240" w:lineRule="auto"/>
        <w:ind w:left="426" w:right="420"/>
        <w:jc w:val="both"/>
        <w:rPr>
          <w:rFonts w:ascii="Tahoma" w:hAnsi="Tahoma" w:cs="Tahoma"/>
          <w:szCs w:val="24"/>
        </w:rPr>
      </w:pPr>
      <w:r w:rsidRPr="002328C0">
        <w:rPr>
          <w:rFonts w:ascii="Tahoma" w:hAnsi="Tahoma" w:cs="Tahoma"/>
          <w:szCs w:val="24"/>
        </w:rPr>
        <w:t xml:space="preserve">8.3 Una vez el peticionario radica la información solicitada por </w:t>
      </w:r>
      <w:proofErr w:type="spellStart"/>
      <w:r w:rsidRPr="002328C0">
        <w:rPr>
          <w:rFonts w:ascii="Tahoma" w:hAnsi="Tahoma" w:cs="Tahoma"/>
          <w:szCs w:val="24"/>
        </w:rPr>
        <w:t>eIINVIMA</w:t>
      </w:r>
      <w:proofErr w:type="spellEnd"/>
      <w:r w:rsidRPr="002328C0">
        <w:rPr>
          <w:rFonts w:ascii="Tahoma" w:hAnsi="Tahoma" w:cs="Tahoma"/>
          <w:szCs w:val="24"/>
        </w:rPr>
        <w:t>, esta entidad contará con un nuevo término perentorio de diez (10) días hábiles para negar o aprobar la autorización de uso de emergencia. Parágrafo 1. La revisión y evaluación de la información de eficacia y seguridad será de competencia de la Comisión Revisora del INVIMA.</w:t>
      </w:r>
    </w:p>
    <w:p w14:paraId="6E8D6AF0" w14:textId="77777777" w:rsidR="005E5951" w:rsidRPr="002328C0" w:rsidRDefault="005E5951" w:rsidP="002328C0">
      <w:pPr>
        <w:spacing w:after="0" w:line="240" w:lineRule="auto"/>
        <w:ind w:left="426" w:right="420"/>
        <w:jc w:val="both"/>
        <w:rPr>
          <w:rFonts w:ascii="Tahoma" w:hAnsi="Tahoma" w:cs="Tahoma"/>
          <w:szCs w:val="24"/>
        </w:rPr>
      </w:pPr>
    </w:p>
    <w:p w14:paraId="23E358C2" w14:textId="77777777" w:rsidR="00347127" w:rsidRPr="002328C0" w:rsidRDefault="00347127" w:rsidP="002328C0">
      <w:pPr>
        <w:spacing w:after="0" w:line="240" w:lineRule="auto"/>
        <w:ind w:left="426" w:right="420"/>
        <w:jc w:val="both"/>
        <w:rPr>
          <w:rFonts w:ascii="Tahoma" w:hAnsi="Tahoma" w:cs="Tahoma"/>
          <w:szCs w:val="24"/>
        </w:rPr>
      </w:pPr>
      <w:r w:rsidRPr="002328C0">
        <w:rPr>
          <w:rFonts w:ascii="Tahoma" w:hAnsi="Tahoma" w:cs="Tahoma"/>
          <w:b/>
          <w:szCs w:val="24"/>
        </w:rPr>
        <w:t>Parágrafo 2.</w:t>
      </w:r>
      <w:r w:rsidRPr="002328C0">
        <w:rPr>
          <w:rFonts w:ascii="Tahoma" w:hAnsi="Tahoma" w:cs="Tahoma"/>
          <w:szCs w:val="24"/>
        </w:rPr>
        <w:t xml:space="preserve"> En el marco de la solicitud de Autorización Sanitaria de Uso de Emergencia -ASUE, el INVIMA acudirá a mecanismos ágiles y expeditos para la evaluación y expedición de la misma, para lo cual contará con procedimientos claros y concisos de los canales disponibles para ello. </w:t>
      </w:r>
    </w:p>
    <w:p w14:paraId="5C2D9321" w14:textId="77777777" w:rsidR="00347127" w:rsidRPr="002328C0" w:rsidRDefault="00347127" w:rsidP="002328C0">
      <w:pPr>
        <w:spacing w:after="0" w:line="240" w:lineRule="auto"/>
        <w:ind w:left="426" w:right="420"/>
        <w:jc w:val="both"/>
        <w:rPr>
          <w:rFonts w:ascii="Tahoma" w:hAnsi="Tahoma" w:cs="Tahoma"/>
          <w:szCs w:val="24"/>
        </w:rPr>
      </w:pPr>
    </w:p>
    <w:p w14:paraId="3D4B4EBE" w14:textId="6BDFDB99" w:rsidR="00BA2BF3" w:rsidRDefault="00347127" w:rsidP="002328C0">
      <w:pPr>
        <w:spacing w:after="0" w:line="240" w:lineRule="auto"/>
        <w:ind w:left="426" w:right="420"/>
        <w:jc w:val="both"/>
        <w:rPr>
          <w:rFonts w:ascii="Tahoma" w:hAnsi="Tahoma" w:cs="Tahoma"/>
          <w:szCs w:val="24"/>
        </w:rPr>
      </w:pPr>
      <w:r w:rsidRPr="002328C0">
        <w:rPr>
          <w:rFonts w:ascii="Tahoma" w:hAnsi="Tahoma" w:cs="Tahoma"/>
          <w:b/>
          <w:szCs w:val="24"/>
        </w:rPr>
        <w:t>Artículo 9. Expedición y vigencia de la Autorización Sanitaria de Uso de Emergencia.</w:t>
      </w:r>
      <w:r w:rsidRPr="002328C0">
        <w:rPr>
          <w:rFonts w:ascii="Tahoma" w:hAnsi="Tahoma" w:cs="Tahoma"/>
          <w:szCs w:val="24"/>
        </w:rPr>
        <w:t xml:space="preserve"> La Autorización Sanitaria de Uso de Emergencia -ASUE será expedida por el INVIMA mediante acto administrativo, en el que además se determinarán las obligaciones que el titular adquiere con la autoridad sanitaria. Igualmente, en dicho acto se indicará la metodología que permita la revisión continua de entrega de datos, de acuerdo al cronograma a que hace referencia el literal h) del numeral 7.1 del artículo 7 del presente Decreto.</w:t>
      </w:r>
    </w:p>
    <w:p w14:paraId="05F87838" w14:textId="77777777" w:rsidR="005E5951" w:rsidRPr="002328C0" w:rsidRDefault="005E5951" w:rsidP="002328C0">
      <w:pPr>
        <w:spacing w:after="0" w:line="240" w:lineRule="auto"/>
        <w:ind w:left="426" w:right="420"/>
        <w:jc w:val="both"/>
        <w:rPr>
          <w:rFonts w:ascii="Tahoma" w:hAnsi="Tahoma" w:cs="Tahoma"/>
          <w:szCs w:val="24"/>
        </w:rPr>
      </w:pPr>
    </w:p>
    <w:p w14:paraId="4499DA4F" w14:textId="7FCD7A86" w:rsidR="00BA2BF3" w:rsidRPr="002328C0" w:rsidRDefault="00347127" w:rsidP="002328C0">
      <w:pPr>
        <w:spacing w:after="0" w:line="240" w:lineRule="auto"/>
        <w:ind w:left="426" w:right="420"/>
        <w:jc w:val="both"/>
        <w:rPr>
          <w:rFonts w:ascii="Tahoma" w:hAnsi="Tahoma" w:cs="Tahoma"/>
          <w:szCs w:val="24"/>
        </w:rPr>
      </w:pPr>
      <w:r w:rsidRPr="002328C0">
        <w:rPr>
          <w:rFonts w:ascii="Tahoma" w:hAnsi="Tahoma" w:cs="Tahoma"/>
          <w:szCs w:val="24"/>
        </w:rPr>
        <w:t>La Autorización Sanitaria de Uso de Emergencia -ASUE tendrá vigencia de un (1) año, contado a partir de la fecha de la ejecutoria del acto administrativo; podrá renovarse por</w:t>
      </w:r>
      <w:r w:rsidR="00BA2BF3" w:rsidRPr="002328C0">
        <w:rPr>
          <w:rFonts w:ascii="Tahoma" w:hAnsi="Tahoma" w:cs="Tahoma"/>
          <w:szCs w:val="24"/>
        </w:rPr>
        <w:t xml:space="preserve"> una sola vez por igual término, con la presentación de la solicitud respectiva, en los términos y condiciones señalados en este decreto, y acorde con el cronograma presentado por el solicitante, y aprobado por el INVIMA, quién hará seguimiento del mismo. </w:t>
      </w:r>
    </w:p>
    <w:p w14:paraId="08E26F81" w14:textId="77777777" w:rsidR="00567421" w:rsidRPr="002328C0" w:rsidRDefault="00567421" w:rsidP="002328C0">
      <w:pPr>
        <w:spacing w:after="0" w:line="240" w:lineRule="auto"/>
        <w:ind w:left="426" w:right="420"/>
        <w:jc w:val="both"/>
        <w:rPr>
          <w:rFonts w:ascii="Tahoma" w:hAnsi="Tahoma" w:cs="Tahoma"/>
          <w:szCs w:val="24"/>
        </w:rPr>
      </w:pPr>
    </w:p>
    <w:p w14:paraId="2B51E508" w14:textId="4674898B" w:rsidR="00347127" w:rsidRPr="002328C0" w:rsidRDefault="00BA2BF3" w:rsidP="002328C0">
      <w:pPr>
        <w:spacing w:after="0" w:line="240" w:lineRule="auto"/>
        <w:ind w:left="426" w:right="420"/>
        <w:jc w:val="both"/>
        <w:rPr>
          <w:rFonts w:ascii="Tahoma" w:hAnsi="Tahoma" w:cs="Tahoma"/>
          <w:szCs w:val="24"/>
        </w:rPr>
      </w:pPr>
      <w:r w:rsidRPr="002328C0">
        <w:rPr>
          <w:rFonts w:ascii="Tahoma" w:hAnsi="Tahoma" w:cs="Tahoma"/>
          <w:szCs w:val="24"/>
        </w:rPr>
        <w:t xml:space="preserve">Las solicitudes de modificación de que trata el literal e) del numeral 13.1 del artículo 13 del presente Decreto, se surtirán de forma automática, conforme al procedimiento que defina </w:t>
      </w:r>
      <w:r w:rsidR="00567421" w:rsidRPr="002328C0">
        <w:rPr>
          <w:rFonts w:ascii="Tahoma" w:hAnsi="Tahoma" w:cs="Tahoma"/>
          <w:szCs w:val="24"/>
        </w:rPr>
        <w:t xml:space="preserve">el </w:t>
      </w:r>
      <w:r w:rsidRPr="002328C0">
        <w:rPr>
          <w:rFonts w:ascii="Tahoma" w:hAnsi="Tahoma" w:cs="Tahoma"/>
          <w:szCs w:val="24"/>
        </w:rPr>
        <w:t>INVIMA.</w:t>
      </w:r>
    </w:p>
    <w:p w14:paraId="5AA6C41B" w14:textId="1D15F379" w:rsidR="00B57C21" w:rsidRPr="002328C0" w:rsidRDefault="00B57C21" w:rsidP="002328C0">
      <w:pPr>
        <w:spacing w:after="0" w:line="240" w:lineRule="auto"/>
        <w:ind w:left="426" w:right="420"/>
        <w:jc w:val="both"/>
        <w:rPr>
          <w:rFonts w:ascii="Tahoma" w:hAnsi="Tahoma" w:cs="Tahoma"/>
          <w:b/>
          <w:szCs w:val="24"/>
        </w:rPr>
      </w:pPr>
    </w:p>
    <w:p w14:paraId="42BE1D26" w14:textId="77777777" w:rsidR="00AF00AD" w:rsidRPr="002328C0" w:rsidRDefault="00E10E0C" w:rsidP="002328C0">
      <w:pPr>
        <w:spacing w:after="0" w:line="240" w:lineRule="auto"/>
        <w:ind w:left="426" w:right="420"/>
        <w:jc w:val="both"/>
        <w:rPr>
          <w:rFonts w:ascii="Tahoma" w:hAnsi="Tahoma" w:cs="Tahoma"/>
          <w:szCs w:val="24"/>
        </w:rPr>
      </w:pPr>
      <w:r w:rsidRPr="002328C0">
        <w:rPr>
          <w:rFonts w:ascii="Tahoma" w:hAnsi="Tahoma" w:cs="Tahoma"/>
          <w:b/>
          <w:szCs w:val="24"/>
        </w:rPr>
        <w:lastRenderedPageBreak/>
        <w:t xml:space="preserve">Artículo 10. Renovación de la Autorización Sanitaria de Uso de Emergencia. </w:t>
      </w:r>
      <w:r w:rsidRPr="002328C0">
        <w:rPr>
          <w:rFonts w:ascii="Tahoma" w:hAnsi="Tahoma" w:cs="Tahoma"/>
          <w:szCs w:val="24"/>
        </w:rPr>
        <w:t>La renovación será solicitada ante e</w:t>
      </w:r>
      <w:r w:rsidR="00AF00AD" w:rsidRPr="002328C0">
        <w:rPr>
          <w:rFonts w:ascii="Tahoma" w:hAnsi="Tahoma" w:cs="Tahoma"/>
          <w:szCs w:val="24"/>
        </w:rPr>
        <w:t xml:space="preserve">l </w:t>
      </w:r>
      <w:r w:rsidRPr="002328C0">
        <w:rPr>
          <w:rFonts w:ascii="Tahoma" w:hAnsi="Tahoma" w:cs="Tahoma"/>
          <w:szCs w:val="24"/>
        </w:rPr>
        <w:t xml:space="preserve">INVIMA, con una antelación no mayor a treinta (30) días hábiles a su vencimiento y se surtirá de forma automática, conforme al procedimiento que defina este defina, para lo cual se allegará: </w:t>
      </w:r>
    </w:p>
    <w:p w14:paraId="16FB3213" w14:textId="77777777" w:rsidR="00AF00AD" w:rsidRPr="002328C0" w:rsidRDefault="00E10E0C" w:rsidP="002328C0">
      <w:pPr>
        <w:spacing w:after="0" w:line="240" w:lineRule="auto"/>
        <w:ind w:left="426" w:right="420"/>
        <w:jc w:val="both"/>
        <w:rPr>
          <w:rFonts w:ascii="Tahoma" w:hAnsi="Tahoma" w:cs="Tahoma"/>
          <w:szCs w:val="24"/>
        </w:rPr>
      </w:pPr>
      <w:r w:rsidRPr="002328C0">
        <w:rPr>
          <w:rFonts w:ascii="Tahoma" w:hAnsi="Tahoma" w:cs="Tahoma"/>
          <w:szCs w:val="24"/>
        </w:rPr>
        <w:t xml:space="preserve">9.1 Formato de solicitud de renovación automática definido por el INVIMA, debidamente diligenciado. </w:t>
      </w:r>
    </w:p>
    <w:p w14:paraId="6E2A3AED" w14:textId="12711339" w:rsidR="00E10E0C" w:rsidRPr="002328C0" w:rsidRDefault="00E10E0C" w:rsidP="002328C0">
      <w:pPr>
        <w:spacing w:after="0" w:line="240" w:lineRule="auto"/>
        <w:ind w:left="426" w:right="420"/>
        <w:jc w:val="both"/>
        <w:rPr>
          <w:rFonts w:ascii="Tahoma" w:hAnsi="Tahoma" w:cs="Tahoma"/>
          <w:szCs w:val="24"/>
        </w:rPr>
      </w:pPr>
      <w:r w:rsidRPr="002328C0">
        <w:rPr>
          <w:rFonts w:ascii="Tahoma" w:hAnsi="Tahoma" w:cs="Tahoma"/>
          <w:szCs w:val="24"/>
        </w:rPr>
        <w:t>9.2 Informe de cumplimiento de obligaciones adquiridas, al igual que del cronograma de actividades para la entrega de información, y si es viable completar los requisitos que le permitan adelantar al trámite de registro sanitario, con el lleno de los requisitos establecidos en la normatividad vigente.</w:t>
      </w:r>
    </w:p>
    <w:p w14:paraId="13535552" w14:textId="712FFAB8" w:rsidR="00E10E0C" w:rsidRPr="008D09BB" w:rsidRDefault="00E10E0C" w:rsidP="00DF2DC9">
      <w:pPr>
        <w:spacing w:after="0" w:line="276" w:lineRule="auto"/>
        <w:jc w:val="both"/>
        <w:rPr>
          <w:rFonts w:ascii="Tahoma" w:hAnsi="Tahoma" w:cs="Tahoma"/>
          <w:sz w:val="24"/>
          <w:szCs w:val="24"/>
        </w:rPr>
      </w:pPr>
    </w:p>
    <w:p w14:paraId="58B26B30" w14:textId="063DDF65" w:rsidR="00DE2BED" w:rsidRPr="00DF2DC9" w:rsidRDefault="00DE2BED" w:rsidP="00DF2DC9">
      <w:pPr>
        <w:spacing w:after="0" w:line="276" w:lineRule="auto"/>
        <w:jc w:val="both"/>
        <w:rPr>
          <w:rFonts w:ascii="Tahoma" w:hAnsi="Tahoma" w:cs="Tahoma"/>
          <w:sz w:val="24"/>
          <w:szCs w:val="24"/>
        </w:rPr>
      </w:pPr>
      <w:r w:rsidRPr="00DF2DC9">
        <w:rPr>
          <w:rFonts w:ascii="Tahoma" w:hAnsi="Tahoma" w:cs="Tahoma"/>
          <w:sz w:val="24"/>
          <w:szCs w:val="24"/>
        </w:rPr>
        <w:t>Este decreto fue modificado en sus artículos 9 y 10 por el Decreto 710 de 2021, de la siguiente manera:</w:t>
      </w:r>
    </w:p>
    <w:p w14:paraId="246F9D2A" w14:textId="68ED0F39" w:rsidR="00DE2BED" w:rsidRPr="008D09BB" w:rsidRDefault="00DE2BED" w:rsidP="00DF2DC9">
      <w:pPr>
        <w:spacing w:after="0" w:line="276" w:lineRule="auto"/>
        <w:jc w:val="both"/>
        <w:rPr>
          <w:rFonts w:ascii="Tahoma" w:hAnsi="Tahoma" w:cs="Tahoma"/>
          <w:sz w:val="24"/>
          <w:szCs w:val="24"/>
        </w:rPr>
      </w:pPr>
    </w:p>
    <w:p w14:paraId="0D923C9F" w14:textId="2B98F0C5" w:rsidR="00DE2BED" w:rsidRPr="002328C0" w:rsidRDefault="00DE2BED" w:rsidP="002328C0">
      <w:pPr>
        <w:spacing w:after="0" w:line="240" w:lineRule="auto"/>
        <w:ind w:left="426" w:right="420"/>
        <w:jc w:val="center"/>
        <w:rPr>
          <w:rFonts w:ascii="Tahoma" w:hAnsi="Tahoma" w:cs="Tahoma"/>
          <w:b/>
          <w:szCs w:val="24"/>
        </w:rPr>
      </w:pPr>
      <w:r w:rsidRPr="002328C0">
        <w:rPr>
          <w:rFonts w:ascii="Tahoma" w:hAnsi="Tahoma" w:cs="Tahoma"/>
          <w:b/>
          <w:szCs w:val="24"/>
        </w:rPr>
        <w:t>DECRETO NÚMERO 710 DE 2021</w:t>
      </w:r>
    </w:p>
    <w:p w14:paraId="45821CD5" w14:textId="77777777" w:rsidR="00DE2BED" w:rsidRPr="002328C0" w:rsidRDefault="00DE2BED" w:rsidP="002328C0">
      <w:pPr>
        <w:spacing w:after="0" w:line="240" w:lineRule="auto"/>
        <w:ind w:left="426" w:right="420"/>
        <w:jc w:val="center"/>
        <w:rPr>
          <w:rFonts w:ascii="Tahoma" w:hAnsi="Tahoma" w:cs="Tahoma"/>
          <w:szCs w:val="24"/>
        </w:rPr>
      </w:pPr>
    </w:p>
    <w:p w14:paraId="696DFC09" w14:textId="255983CB" w:rsidR="00DE2BED" w:rsidRPr="002328C0" w:rsidRDefault="00DE2BED" w:rsidP="002328C0">
      <w:pPr>
        <w:spacing w:after="0" w:line="240" w:lineRule="auto"/>
        <w:ind w:left="426" w:right="420"/>
        <w:jc w:val="center"/>
        <w:rPr>
          <w:rFonts w:ascii="Tahoma" w:hAnsi="Tahoma" w:cs="Tahoma"/>
          <w:szCs w:val="24"/>
        </w:rPr>
      </w:pPr>
      <w:r w:rsidRPr="002328C0">
        <w:rPr>
          <w:rFonts w:ascii="Tahoma" w:hAnsi="Tahoma" w:cs="Tahoma"/>
          <w:szCs w:val="24"/>
        </w:rPr>
        <w:t>Por el cual se modifican los artículos 9 y 10 del Decreto 1787 de 2020, en cuanto a la expedición, vigencia, información, renovaciones y modificaciones de la Autorización Sanitaria de Uso de Emergencia -ASUE</w:t>
      </w:r>
    </w:p>
    <w:p w14:paraId="1C79B95B" w14:textId="7945B09C" w:rsidR="00DE2BED" w:rsidRPr="002328C0" w:rsidRDefault="00805C86" w:rsidP="002328C0">
      <w:pPr>
        <w:spacing w:after="0" w:line="240" w:lineRule="auto"/>
        <w:ind w:left="426" w:right="420"/>
        <w:jc w:val="both"/>
        <w:rPr>
          <w:rFonts w:ascii="Tahoma" w:hAnsi="Tahoma" w:cs="Tahoma"/>
          <w:szCs w:val="24"/>
        </w:rPr>
      </w:pPr>
      <w:r w:rsidRPr="002328C0">
        <w:rPr>
          <w:rFonts w:ascii="Tahoma" w:hAnsi="Tahoma" w:cs="Tahoma"/>
          <w:szCs w:val="24"/>
        </w:rPr>
        <w:t>(</w:t>
      </w:r>
      <w:r w:rsidR="00DE2BED" w:rsidRPr="002328C0">
        <w:rPr>
          <w:rFonts w:ascii="Tahoma" w:hAnsi="Tahoma" w:cs="Tahoma"/>
          <w:szCs w:val="24"/>
        </w:rPr>
        <w:t>…</w:t>
      </w:r>
      <w:r w:rsidRPr="002328C0">
        <w:rPr>
          <w:rFonts w:ascii="Tahoma" w:hAnsi="Tahoma" w:cs="Tahoma"/>
          <w:szCs w:val="24"/>
        </w:rPr>
        <w:t>)</w:t>
      </w:r>
    </w:p>
    <w:p w14:paraId="1B62133D" w14:textId="1C88C049" w:rsidR="00DE2BED" w:rsidRPr="002328C0" w:rsidRDefault="00DE2BED" w:rsidP="002328C0">
      <w:pPr>
        <w:spacing w:after="0" w:line="240" w:lineRule="auto"/>
        <w:ind w:left="426" w:right="420"/>
        <w:jc w:val="center"/>
        <w:rPr>
          <w:rFonts w:ascii="Tahoma" w:hAnsi="Tahoma" w:cs="Tahoma"/>
          <w:b/>
          <w:szCs w:val="24"/>
        </w:rPr>
      </w:pPr>
      <w:r w:rsidRPr="002328C0">
        <w:rPr>
          <w:rFonts w:ascii="Tahoma" w:hAnsi="Tahoma" w:cs="Tahoma"/>
          <w:b/>
          <w:szCs w:val="24"/>
        </w:rPr>
        <w:t>DECRETA</w:t>
      </w:r>
    </w:p>
    <w:p w14:paraId="169AAB74" w14:textId="77777777" w:rsidR="00DE2BED" w:rsidRPr="002328C0" w:rsidRDefault="00DE2BED" w:rsidP="002328C0">
      <w:pPr>
        <w:spacing w:after="0" w:line="240" w:lineRule="auto"/>
        <w:ind w:left="426" w:right="420"/>
        <w:jc w:val="both"/>
        <w:rPr>
          <w:rFonts w:ascii="Tahoma" w:hAnsi="Tahoma" w:cs="Tahoma"/>
          <w:szCs w:val="24"/>
        </w:rPr>
      </w:pPr>
    </w:p>
    <w:p w14:paraId="705E08E3" w14:textId="77777777" w:rsidR="00DE2BED" w:rsidRPr="002328C0" w:rsidRDefault="00DE2BED" w:rsidP="002328C0">
      <w:pPr>
        <w:spacing w:after="0" w:line="240" w:lineRule="auto"/>
        <w:ind w:left="426" w:right="420"/>
        <w:jc w:val="both"/>
        <w:rPr>
          <w:rFonts w:ascii="Tahoma" w:hAnsi="Tahoma" w:cs="Tahoma"/>
          <w:szCs w:val="24"/>
        </w:rPr>
      </w:pPr>
      <w:r w:rsidRPr="002328C0">
        <w:rPr>
          <w:rFonts w:ascii="Tahoma" w:hAnsi="Tahoma" w:cs="Tahoma"/>
          <w:b/>
          <w:szCs w:val="24"/>
        </w:rPr>
        <w:t>Artículo 1. Modifíquese el artículo 9 del Decreto 1787 de 2020, el cual quedará así:</w:t>
      </w:r>
      <w:r w:rsidRPr="002328C0">
        <w:rPr>
          <w:rFonts w:ascii="Tahoma" w:hAnsi="Tahoma" w:cs="Tahoma"/>
          <w:szCs w:val="24"/>
        </w:rPr>
        <w:t xml:space="preserve"> </w:t>
      </w:r>
    </w:p>
    <w:p w14:paraId="12899991" w14:textId="77777777" w:rsidR="00DE2BED" w:rsidRPr="002328C0" w:rsidRDefault="00DE2BED" w:rsidP="002328C0">
      <w:pPr>
        <w:spacing w:after="0" w:line="240" w:lineRule="auto"/>
        <w:ind w:left="426" w:right="420"/>
        <w:jc w:val="both"/>
        <w:rPr>
          <w:rFonts w:ascii="Tahoma" w:hAnsi="Tahoma" w:cs="Tahoma"/>
          <w:szCs w:val="24"/>
        </w:rPr>
      </w:pPr>
    </w:p>
    <w:p w14:paraId="71DFDAD3" w14:textId="77777777" w:rsidR="00DE2BED" w:rsidRPr="002328C0" w:rsidRDefault="00DE2BED" w:rsidP="002328C0">
      <w:pPr>
        <w:spacing w:after="0" w:line="240" w:lineRule="auto"/>
        <w:ind w:left="426" w:right="420"/>
        <w:jc w:val="both"/>
        <w:rPr>
          <w:rFonts w:ascii="Tahoma" w:hAnsi="Tahoma" w:cs="Tahoma"/>
          <w:szCs w:val="24"/>
        </w:rPr>
      </w:pPr>
      <w:r w:rsidRPr="002328C0">
        <w:rPr>
          <w:rFonts w:ascii="Tahoma" w:hAnsi="Tahoma" w:cs="Tahoma"/>
          <w:b/>
          <w:szCs w:val="24"/>
        </w:rPr>
        <w:t>"Artículo 9. Expedición y vigencia de la Autorización Sanitaria de Uso de Emergencia.</w:t>
      </w:r>
      <w:r w:rsidRPr="002328C0">
        <w:rPr>
          <w:rFonts w:ascii="Tahoma" w:hAnsi="Tahoma" w:cs="Tahoma"/>
          <w:szCs w:val="24"/>
        </w:rPr>
        <w:t xml:space="preserve"> La Autorización Sanitaria de Uso de Emergencia -ASUE será expedida por el INVIMA mediante acto administrativo, en el que además se determinarán las obligaciones que el titular adquiere con la autoridad sanitaria y se indicará la metodología que Permita la revisión continua de entrega de datos, de acuerdo con el cronograma a que hace referencia el literal h) del numeral 7.1 del artículo 7 del presente decreto. </w:t>
      </w:r>
    </w:p>
    <w:p w14:paraId="30498981" w14:textId="77777777" w:rsidR="00DE2BED" w:rsidRPr="002328C0" w:rsidRDefault="00DE2BED" w:rsidP="002328C0">
      <w:pPr>
        <w:spacing w:after="0" w:line="240" w:lineRule="auto"/>
        <w:ind w:left="426" w:right="420"/>
        <w:jc w:val="both"/>
        <w:rPr>
          <w:rFonts w:ascii="Tahoma" w:hAnsi="Tahoma" w:cs="Tahoma"/>
          <w:szCs w:val="24"/>
        </w:rPr>
      </w:pPr>
      <w:r w:rsidRPr="002328C0">
        <w:rPr>
          <w:rFonts w:ascii="Tahoma" w:hAnsi="Tahoma" w:cs="Tahoma"/>
          <w:szCs w:val="24"/>
        </w:rPr>
        <w:t xml:space="preserve">La Autorización Sanitaria de Uso de Emergencia -ASUE tendrá vigencia de un (1) año, contado a partir de la fecha de la ejecutoria del acto administrativo; podrá renovarse por una sola vez por igual término, con la presentación de la solicitud respectiva, en los términos y condiciones señalados en este decreto, y acorde con el cronograma presentado por el solicitante, y aprobado por el INVIMA, quién hará seguimiento del mismo. </w:t>
      </w:r>
    </w:p>
    <w:p w14:paraId="28238B57" w14:textId="77777777" w:rsidR="00DE2BED" w:rsidRPr="002328C0" w:rsidRDefault="00DE2BED" w:rsidP="002328C0">
      <w:pPr>
        <w:spacing w:after="0" w:line="240" w:lineRule="auto"/>
        <w:ind w:left="426" w:right="420"/>
        <w:jc w:val="both"/>
        <w:rPr>
          <w:rFonts w:ascii="Tahoma" w:hAnsi="Tahoma" w:cs="Tahoma"/>
          <w:szCs w:val="24"/>
        </w:rPr>
      </w:pPr>
    </w:p>
    <w:p w14:paraId="670F59C7" w14:textId="77777777" w:rsidR="00DE2BED" w:rsidRPr="002328C0" w:rsidRDefault="00DE2BED" w:rsidP="002328C0">
      <w:pPr>
        <w:spacing w:after="0" w:line="240" w:lineRule="auto"/>
        <w:ind w:left="426" w:right="420"/>
        <w:jc w:val="both"/>
        <w:rPr>
          <w:rFonts w:ascii="Tahoma" w:hAnsi="Tahoma" w:cs="Tahoma"/>
          <w:szCs w:val="24"/>
        </w:rPr>
      </w:pPr>
      <w:r w:rsidRPr="002328C0">
        <w:rPr>
          <w:rFonts w:ascii="Tahoma" w:hAnsi="Tahoma" w:cs="Tahoma"/>
          <w:b/>
          <w:szCs w:val="24"/>
        </w:rPr>
        <w:t>Artículo 2. Modifíquese el artículo 10 del Decreto 1787 de 2020, el cual quedará así:</w:t>
      </w:r>
      <w:r w:rsidRPr="002328C0">
        <w:rPr>
          <w:rFonts w:ascii="Tahoma" w:hAnsi="Tahoma" w:cs="Tahoma"/>
          <w:szCs w:val="24"/>
        </w:rPr>
        <w:t xml:space="preserve"> </w:t>
      </w:r>
    </w:p>
    <w:p w14:paraId="7A0996E9" w14:textId="77777777" w:rsidR="00DE2BED" w:rsidRPr="002328C0" w:rsidRDefault="00DE2BED" w:rsidP="002328C0">
      <w:pPr>
        <w:spacing w:after="0" w:line="240" w:lineRule="auto"/>
        <w:ind w:left="426" w:right="420"/>
        <w:jc w:val="both"/>
        <w:rPr>
          <w:rFonts w:ascii="Tahoma" w:hAnsi="Tahoma" w:cs="Tahoma"/>
          <w:szCs w:val="24"/>
        </w:rPr>
      </w:pPr>
    </w:p>
    <w:p w14:paraId="6BA0300C" w14:textId="01954EB5" w:rsidR="00E05786" w:rsidRPr="002328C0" w:rsidRDefault="00DE2BED" w:rsidP="002328C0">
      <w:pPr>
        <w:spacing w:after="0" w:line="240" w:lineRule="auto"/>
        <w:ind w:left="426" w:right="420"/>
        <w:jc w:val="both"/>
        <w:rPr>
          <w:rFonts w:ascii="Tahoma" w:hAnsi="Tahoma" w:cs="Tahoma"/>
          <w:szCs w:val="24"/>
        </w:rPr>
      </w:pPr>
      <w:r w:rsidRPr="002328C0">
        <w:rPr>
          <w:rFonts w:ascii="Tahoma" w:hAnsi="Tahoma" w:cs="Tahoma"/>
          <w:b/>
          <w:szCs w:val="24"/>
        </w:rPr>
        <w:t>"Artículo 10. Renovaciones y modificaciones a la Autorización Sanitaria de Uso de Emergencia.</w:t>
      </w:r>
      <w:r w:rsidRPr="002328C0">
        <w:rPr>
          <w:rFonts w:ascii="Tahoma" w:hAnsi="Tahoma" w:cs="Tahoma"/>
          <w:szCs w:val="24"/>
        </w:rPr>
        <w:t xml:space="preserve"> Para tramitar las solicitudes de renovación o modificación a las Autorizaciones Sanitarias de Uso de Emergencia -ASUE, el</w:t>
      </w:r>
      <w:r w:rsidR="00805C86" w:rsidRPr="002328C0">
        <w:rPr>
          <w:rFonts w:ascii="Tahoma" w:hAnsi="Tahoma" w:cs="Tahoma"/>
          <w:szCs w:val="24"/>
        </w:rPr>
        <w:t xml:space="preserve"> </w:t>
      </w:r>
      <w:proofErr w:type="spellStart"/>
      <w:r w:rsidRPr="002328C0">
        <w:rPr>
          <w:rFonts w:ascii="Tahoma" w:hAnsi="Tahoma" w:cs="Tahoma"/>
          <w:szCs w:val="24"/>
        </w:rPr>
        <w:t>lNVIMA</w:t>
      </w:r>
      <w:proofErr w:type="spellEnd"/>
      <w:r w:rsidRPr="002328C0">
        <w:rPr>
          <w:rFonts w:ascii="Tahoma" w:hAnsi="Tahoma" w:cs="Tahoma"/>
          <w:szCs w:val="24"/>
        </w:rPr>
        <w:t xml:space="preserve"> tendrá en cuenta las siguientes reglas: </w:t>
      </w:r>
    </w:p>
    <w:p w14:paraId="332BD2A7" w14:textId="77777777" w:rsidR="00E05786" w:rsidRPr="002328C0" w:rsidRDefault="00E05786" w:rsidP="002328C0">
      <w:pPr>
        <w:spacing w:after="0" w:line="240" w:lineRule="auto"/>
        <w:ind w:left="426" w:right="420"/>
        <w:jc w:val="both"/>
        <w:rPr>
          <w:rFonts w:ascii="Tahoma" w:hAnsi="Tahoma" w:cs="Tahoma"/>
          <w:szCs w:val="24"/>
        </w:rPr>
      </w:pPr>
    </w:p>
    <w:p w14:paraId="48394114" w14:textId="57F916F2" w:rsidR="00E05786" w:rsidRPr="002328C0" w:rsidRDefault="00DE2BED" w:rsidP="002328C0">
      <w:pPr>
        <w:spacing w:after="0" w:line="240" w:lineRule="auto"/>
        <w:ind w:left="426" w:right="420"/>
        <w:jc w:val="both"/>
        <w:rPr>
          <w:rFonts w:ascii="Tahoma" w:hAnsi="Tahoma" w:cs="Tahoma"/>
          <w:szCs w:val="24"/>
        </w:rPr>
      </w:pPr>
      <w:r w:rsidRPr="002328C0">
        <w:rPr>
          <w:rFonts w:ascii="Tahoma" w:hAnsi="Tahoma" w:cs="Tahoma"/>
          <w:szCs w:val="24"/>
        </w:rPr>
        <w:t>10.1 La renovación de la Autorización Sanitaria de Uso de Emergencia -ASUE será solicitada ante el</w:t>
      </w:r>
      <w:r w:rsidR="00805C86" w:rsidRPr="002328C0">
        <w:rPr>
          <w:rFonts w:ascii="Tahoma" w:hAnsi="Tahoma" w:cs="Tahoma"/>
          <w:szCs w:val="24"/>
        </w:rPr>
        <w:t xml:space="preserve"> </w:t>
      </w:r>
      <w:proofErr w:type="spellStart"/>
      <w:r w:rsidRPr="002328C0">
        <w:rPr>
          <w:rFonts w:ascii="Tahoma" w:hAnsi="Tahoma" w:cs="Tahoma"/>
          <w:szCs w:val="24"/>
        </w:rPr>
        <w:t>lNVIMA</w:t>
      </w:r>
      <w:proofErr w:type="spellEnd"/>
      <w:r w:rsidRPr="002328C0">
        <w:rPr>
          <w:rFonts w:ascii="Tahoma" w:hAnsi="Tahoma" w:cs="Tahoma"/>
          <w:szCs w:val="24"/>
        </w:rPr>
        <w:t xml:space="preserve">, con una antelación no mayor a treinta (30) días hábiles a su vencimiento y se surtirá de forma. automática, conforme al procedimiento que defina este Instituto, para lo cual se allegará: </w:t>
      </w:r>
    </w:p>
    <w:p w14:paraId="02BFF31A" w14:textId="09F22DAA" w:rsidR="00805C86" w:rsidRPr="002328C0" w:rsidRDefault="00DE2BED" w:rsidP="002328C0">
      <w:pPr>
        <w:pStyle w:val="Prrafodelista"/>
        <w:numPr>
          <w:ilvl w:val="0"/>
          <w:numId w:val="13"/>
        </w:numPr>
        <w:spacing w:after="0" w:line="240" w:lineRule="auto"/>
        <w:ind w:left="426" w:right="420"/>
        <w:jc w:val="both"/>
        <w:rPr>
          <w:rFonts w:ascii="Tahoma" w:hAnsi="Tahoma" w:cs="Tahoma"/>
          <w:szCs w:val="24"/>
        </w:rPr>
      </w:pPr>
      <w:r w:rsidRPr="002328C0">
        <w:rPr>
          <w:rFonts w:ascii="Tahoma" w:hAnsi="Tahoma" w:cs="Tahoma"/>
          <w:szCs w:val="24"/>
        </w:rPr>
        <w:t xml:space="preserve">Formato de solicitud de renovación automática definido por </w:t>
      </w:r>
      <w:proofErr w:type="spellStart"/>
      <w:r w:rsidRPr="002328C0">
        <w:rPr>
          <w:rFonts w:ascii="Tahoma" w:hAnsi="Tahoma" w:cs="Tahoma"/>
          <w:szCs w:val="24"/>
        </w:rPr>
        <w:t>eI</w:t>
      </w:r>
      <w:proofErr w:type="spellEnd"/>
      <w:r w:rsidR="00805C86" w:rsidRPr="002328C0">
        <w:rPr>
          <w:rFonts w:ascii="Tahoma" w:hAnsi="Tahoma" w:cs="Tahoma"/>
          <w:szCs w:val="24"/>
        </w:rPr>
        <w:t xml:space="preserve"> </w:t>
      </w:r>
      <w:r w:rsidRPr="002328C0">
        <w:rPr>
          <w:rFonts w:ascii="Tahoma" w:hAnsi="Tahoma" w:cs="Tahoma"/>
          <w:szCs w:val="24"/>
        </w:rPr>
        <w:t>INVIMA, debidamente d</w:t>
      </w:r>
      <w:r w:rsidR="00805C86" w:rsidRPr="002328C0">
        <w:rPr>
          <w:rFonts w:ascii="Tahoma" w:hAnsi="Tahoma" w:cs="Tahoma"/>
          <w:szCs w:val="24"/>
        </w:rPr>
        <w:t>ili</w:t>
      </w:r>
      <w:r w:rsidRPr="002328C0">
        <w:rPr>
          <w:rFonts w:ascii="Tahoma" w:hAnsi="Tahoma" w:cs="Tahoma"/>
          <w:szCs w:val="24"/>
        </w:rPr>
        <w:t xml:space="preserve">genciado. </w:t>
      </w:r>
    </w:p>
    <w:p w14:paraId="125E7DCF" w14:textId="3507AE8C" w:rsidR="00805C86" w:rsidRPr="002328C0" w:rsidRDefault="00DE2BED" w:rsidP="002328C0">
      <w:pPr>
        <w:pStyle w:val="Prrafodelista"/>
        <w:numPr>
          <w:ilvl w:val="0"/>
          <w:numId w:val="13"/>
        </w:numPr>
        <w:spacing w:after="0" w:line="240" w:lineRule="auto"/>
        <w:ind w:left="426" w:right="420"/>
        <w:jc w:val="both"/>
        <w:rPr>
          <w:rFonts w:ascii="Tahoma" w:hAnsi="Tahoma" w:cs="Tahoma"/>
          <w:szCs w:val="24"/>
        </w:rPr>
      </w:pPr>
      <w:r w:rsidRPr="002328C0">
        <w:rPr>
          <w:rFonts w:ascii="Tahoma" w:hAnsi="Tahoma" w:cs="Tahoma"/>
          <w:szCs w:val="24"/>
        </w:rPr>
        <w:t xml:space="preserve">Informe de cumplimiento de obligaciones adquiridas, al igual que del cronograma de actividades para la entrega de información, y si es viable completar los requisitos que le permitan adelantar al trámite de registro sanitario, con el lleno de los requisitos establecidos en la normatividad vigente. </w:t>
      </w:r>
    </w:p>
    <w:p w14:paraId="6ADCE3FB" w14:textId="77777777" w:rsidR="00805C86" w:rsidRPr="002328C0" w:rsidRDefault="00805C86" w:rsidP="002328C0">
      <w:pPr>
        <w:spacing w:after="0" w:line="240" w:lineRule="auto"/>
        <w:ind w:left="426" w:right="420"/>
        <w:jc w:val="both"/>
        <w:rPr>
          <w:rFonts w:ascii="Tahoma" w:hAnsi="Tahoma" w:cs="Tahoma"/>
          <w:szCs w:val="24"/>
        </w:rPr>
      </w:pPr>
    </w:p>
    <w:p w14:paraId="7BCF2906" w14:textId="30404B26" w:rsidR="00805C86" w:rsidRPr="002328C0" w:rsidRDefault="00DE2BED" w:rsidP="002328C0">
      <w:pPr>
        <w:spacing w:after="0" w:line="240" w:lineRule="auto"/>
        <w:ind w:left="426" w:right="420"/>
        <w:jc w:val="both"/>
        <w:rPr>
          <w:rFonts w:ascii="Tahoma" w:hAnsi="Tahoma" w:cs="Tahoma"/>
          <w:szCs w:val="24"/>
        </w:rPr>
      </w:pPr>
      <w:r w:rsidRPr="002328C0">
        <w:rPr>
          <w:rFonts w:ascii="Tahoma" w:hAnsi="Tahoma" w:cs="Tahoma"/>
          <w:szCs w:val="24"/>
        </w:rPr>
        <w:t>10.2 Las solicitudes de modificación a las Autorizaciones Sanita</w:t>
      </w:r>
      <w:r w:rsidR="00805C86" w:rsidRPr="002328C0">
        <w:rPr>
          <w:rFonts w:ascii="Tahoma" w:hAnsi="Tahoma" w:cs="Tahoma"/>
          <w:szCs w:val="24"/>
        </w:rPr>
        <w:t>r</w:t>
      </w:r>
      <w:r w:rsidRPr="002328C0">
        <w:rPr>
          <w:rFonts w:ascii="Tahoma" w:hAnsi="Tahoma" w:cs="Tahoma"/>
          <w:szCs w:val="24"/>
        </w:rPr>
        <w:t>ias de Uso de Emergencia -ASUE, podrán solicitarse por el titular en cualquier momento, en vigencia de las mismas, y se surtirán de forma automática, conforme al procedimiento que defina e</w:t>
      </w:r>
      <w:r w:rsidR="00805C86" w:rsidRPr="002328C0">
        <w:rPr>
          <w:rFonts w:ascii="Tahoma" w:hAnsi="Tahoma" w:cs="Tahoma"/>
          <w:szCs w:val="24"/>
        </w:rPr>
        <w:t xml:space="preserve">l </w:t>
      </w:r>
      <w:r w:rsidRPr="002328C0">
        <w:rPr>
          <w:rFonts w:ascii="Tahoma" w:hAnsi="Tahoma" w:cs="Tahoma"/>
          <w:szCs w:val="24"/>
        </w:rPr>
        <w:t xml:space="preserve">INVIMA. </w:t>
      </w:r>
    </w:p>
    <w:p w14:paraId="3DAE1AF9" w14:textId="77777777" w:rsidR="00805C86" w:rsidRPr="002328C0" w:rsidRDefault="00805C86" w:rsidP="002328C0">
      <w:pPr>
        <w:spacing w:after="0" w:line="240" w:lineRule="auto"/>
        <w:ind w:left="426" w:right="420"/>
        <w:jc w:val="both"/>
        <w:rPr>
          <w:rFonts w:ascii="Tahoma" w:hAnsi="Tahoma" w:cs="Tahoma"/>
          <w:szCs w:val="24"/>
        </w:rPr>
      </w:pPr>
    </w:p>
    <w:p w14:paraId="5E33B006" w14:textId="77777777" w:rsidR="00805C86" w:rsidRPr="002328C0" w:rsidRDefault="00DE2BED" w:rsidP="002328C0">
      <w:pPr>
        <w:spacing w:after="0" w:line="240" w:lineRule="auto"/>
        <w:ind w:left="426" w:right="420"/>
        <w:jc w:val="both"/>
        <w:rPr>
          <w:rFonts w:ascii="Tahoma" w:hAnsi="Tahoma" w:cs="Tahoma"/>
          <w:szCs w:val="24"/>
        </w:rPr>
      </w:pPr>
      <w:r w:rsidRPr="002328C0">
        <w:rPr>
          <w:rFonts w:ascii="Tahoma" w:hAnsi="Tahoma" w:cs="Tahoma"/>
          <w:szCs w:val="24"/>
        </w:rPr>
        <w:t>10.3. Actualización de la información sobre seguridad, calidad, eficacia y efectividad de la Autorización Sanitaria de Uso de Emergencia -ASUE. El Ministerio de Salud y Protección Social podrá solicitar ante el</w:t>
      </w:r>
      <w:r w:rsidR="00805C86" w:rsidRPr="002328C0">
        <w:rPr>
          <w:rFonts w:ascii="Tahoma" w:hAnsi="Tahoma" w:cs="Tahoma"/>
          <w:szCs w:val="24"/>
        </w:rPr>
        <w:t xml:space="preserve"> </w:t>
      </w:r>
      <w:proofErr w:type="spellStart"/>
      <w:r w:rsidRPr="002328C0">
        <w:rPr>
          <w:rFonts w:ascii="Tahoma" w:hAnsi="Tahoma" w:cs="Tahoma"/>
          <w:szCs w:val="24"/>
        </w:rPr>
        <w:t>lNVIMA</w:t>
      </w:r>
      <w:proofErr w:type="spellEnd"/>
      <w:r w:rsidRPr="002328C0">
        <w:rPr>
          <w:rFonts w:ascii="Tahoma" w:hAnsi="Tahoma" w:cs="Tahoma"/>
          <w:szCs w:val="24"/>
        </w:rPr>
        <w:t xml:space="preserve"> la actualización de la información sobre seguridad, calidad, eficacia y efectividad de un producto que cuente con Autorización Sanitaria de Uso de Emergencia -ASUE, para lo cual </w:t>
      </w:r>
      <w:proofErr w:type="spellStart"/>
      <w:r w:rsidRPr="002328C0">
        <w:rPr>
          <w:rFonts w:ascii="Tahoma" w:hAnsi="Tahoma" w:cs="Tahoma"/>
          <w:szCs w:val="24"/>
        </w:rPr>
        <w:t>ellNVIMA</w:t>
      </w:r>
      <w:proofErr w:type="spellEnd"/>
      <w:r w:rsidRPr="002328C0">
        <w:rPr>
          <w:rFonts w:ascii="Tahoma" w:hAnsi="Tahoma" w:cs="Tahoma"/>
          <w:szCs w:val="24"/>
        </w:rPr>
        <w:t xml:space="preserve"> tendrá en cuenta el siguiente procedimiento: </w:t>
      </w:r>
    </w:p>
    <w:p w14:paraId="3372BA56" w14:textId="77777777" w:rsidR="00805C86" w:rsidRPr="002328C0" w:rsidRDefault="00DE2BED" w:rsidP="002328C0">
      <w:pPr>
        <w:pStyle w:val="Prrafodelista"/>
        <w:numPr>
          <w:ilvl w:val="0"/>
          <w:numId w:val="14"/>
        </w:numPr>
        <w:spacing w:after="0" w:line="240" w:lineRule="auto"/>
        <w:ind w:left="426" w:right="420"/>
        <w:jc w:val="both"/>
        <w:rPr>
          <w:rFonts w:ascii="Tahoma" w:hAnsi="Tahoma" w:cs="Tahoma"/>
          <w:szCs w:val="24"/>
        </w:rPr>
      </w:pPr>
      <w:r w:rsidRPr="002328C0">
        <w:rPr>
          <w:rFonts w:ascii="Tahoma" w:hAnsi="Tahoma" w:cs="Tahoma"/>
          <w:szCs w:val="24"/>
        </w:rPr>
        <w:t xml:space="preserve">La solicitud de actualización debe estar acompañada de la evidencia científica que soporte la información relacionada con la seguridad calidad, eficacia y efectividad del producto contraindicaciones, precauciones, advertencias, reacciones adversas, interacciones, dosificación, grupo etario, administración, condiciones de almacenamiento y aquella que sea relevante en la ASUE que ampare el producto. Además, indicará el producto y el acto administrativo de la ASUE que pretende actualizar. </w:t>
      </w:r>
    </w:p>
    <w:p w14:paraId="43ACE32D" w14:textId="77777777" w:rsidR="00805C86" w:rsidRPr="002328C0" w:rsidRDefault="00DE2BED" w:rsidP="002328C0">
      <w:pPr>
        <w:pStyle w:val="Prrafodelista"/>
        <w:numPr>
          <w:ilvl w:val="0"/>
          <w:numId w:val="14"/>
        </w:numPr>
        <w:spacing w:after="0" w:line="240" w:lineRule="auto"/>
        <w:ind w:left="426" w:right="420"/>
        <w:jc w:val="both"/>
        <w:rPr>
          <w:rFonts w:ascii="Tahoma" w:hAnsi="Tahoma" w:cs="Tahoma"/>
          <w:szCs w:val="24"/>
        </w:rPr>
      </w:pPr>
      <w:r w:rsidRPr="002328C0">
        <w:rPr>
          <w:rFonts w:ascii="Tahoma" w:hAnsi="Tahoma" w:cs="Tahoma"/>
          <w:szCs w:val="24"/>
        </w:rPr>
        <w:t xml:space="preserve">El INVIMA comunicará de forma inmediata al titular de la Autorización Sanitaria de Uso de Emergencia -ASUE sobre la recepción de /a solicitud presentada por ese Ministerio. </w:t>
      </w:r>
    </w:p>
    <w:p w14:paraId="0301AD2B" w14:textId="77777777" w:rsidR="00805C86" w:rsidRPr="002328C0" w:rsidRDefault="00DE2BED" w:rsidP="002328C0">
      <w:pPr>
        <w:pStyle w:val="Prrafodelista"/>
        <w:numPr>
          <w:ilvl w:val="0"/>
          <w:numId w:val="14"/>
        </w:numPr>
        <w:spacing w:after="0" w:line="240" w:lineRule="auto"/>
        <w:ind w:left="426" w:right="420"/>
        <w:jc w:val="both"/>
        <w:rPr>
          <w:rFonts w:ascii="Tahoma" w:hAnsi="Tahoma" w:cs="Tahoma"/>
          <w:szCs w:val="24"/>
        </w:rPr>
      </w:pPr>
      <w:r w:rsidRPr="002328C0">
        <w:rPr>
          <w:rFonts w:ascii="Tahoma" w:hAnsi="Tahoma" w:cs="Tahoma"/>
          <w:szCs w:val="24"/>
        </w:rPr>
        <w:t>El titu</w:t>
      </w:r>
      <w:r w:rsidR="00805C86" w:rsidRPr="002328C0">
        <w:rPr>
          <w:rFonts w:ascii="Tahoma" w:hAnsi="Tahoma" w:cs="Tahoma"/>
          <w:szCs w:val="24"/>
        </w:rPr>
        <w:t>l</w:t>
      </w:r>
      <w:r w:rsidRPr="002328C0">
        <w:rPr>
          <w:rFonts w:ascii="Tahoma" w:hAnsi="Tahoma" w:cs="Tahoma"/>
          <w:szCs w:val="24"/>
        </w:rPr>
        <w:t>ar</w:t>
      </w:r>
      <w:r w:rsidR="00805C86" w:rsidRPr="002328C0">
        <w:rPr>
          <w:rFonts w:ascii="Tahoma" w:hAnsi="Tahoma" w:cs="Tahoma"/>
          <w:szCs w:val="24"/>
        </w:rPr>
        <w:t xml:space="preserve"> </w:t>
      </w:r>
      <w:r w:rsidRPr="002328C0">
        <w:rPr>
          <w:rFonts w:ascii="Tahoma" w:hAnsi="Tahoma" w:cs="Tahoma"/>
          <w:szCs w:val="24"/>
        </w:rPr>
        <w:t>de la Autorización Sanitaria de Uso de Emergencia -ASUE podrá pronunciarse sobre la información presentada por e</w:t>
      </w:r>
      <w:r w:rsidR="00805C86" w:rsidRPr="002328C0">
        <w:rPr>
          <w:rFonts w:ascii="Tahoma" w:hAnsi="Tahoma" w:cs="Tahoma"/>
          <w:szCs w:val="24"/>
        </w:rPr>
        <w:t>l</w:t>
      </w:r>
      <w:r w:rsidRPr="002328C0">
        <w:rPr>
          <w:rFonts w:ascii="Tahoma" w:hAnsi="Tahoma" w:cs="Tahoma"/>
          <w:szCs w:val="24"/>
        </w:rPr>
        <w:t xml:space="preserve"> Ministerio de Salud y Protección Social, y si cuenta con información adicional, deberá aportarla, en un término no mayor a tres (3) días hábiles contados a partir de la recepción de la comunicación realizada por e</w:t>
      </w:r>
      <w:r w:rsidR="00805C86" w:rsidRPr="002328C0">
        <w:rPr>
          <w:rFonts w:ascii="Tahoma" w:hAnsi="Tahoma" w:cs="Tahoma"/>
          <w:szCs w:val="24"/>
        </w:rPr>
        <w:t xml:space="preserve">l </w:t>
      </w:r>
      <w:r w:rsidRPr="002328C0">
        <w:rPr>
          <w:rFonts w:ascii="Tahoma" w:hAnsi="Tahoma" w:cs="Tahoma"/>
          <w:szCs w:val="24"/>
        </w:rPr>
        <w:t xml:space="preserve">INVIMA. </w:t>
      </w:r>
    </w:p>
    <w:p w14:paraId="03026384" w14:textId="77777777" w:rsidR="00805C86" w:rsidRPr="002328C0" w:rsidRDefault="00DE2BED" w:rsidP="002328C0">
      <w:pPr>
        <w:pStyle w:val="Prrafodelista"/>
        <w:numPr>
          <w:ilvl w:val="0"/>
          <w:numId w:val="14"/>
        </w:numPr>
        <w:spacing w:after="0" w:line="240" w:lineRule="auto"/>
        <w:ind w:left="426" w:right="420"/>
        <w:jc w:val="both"/>
        <w:rPr>
          <w:rFonts w:ascii="Tahoma" w:hAnsi="Tahoma" w:cs="Tahoma"/>
          <w:szCs w:val="24"/>
        </w:rPr>
      </w:pPr>
      <w:r w:rsidRPr="002328C0">
        <w:rPr>
          <w:rFonts w:ascii="Tahoma" w:hAnsi="Tahoma" w:cs="Tahoma"/>
          <w:szCs w:val="24"/>
        </w:rPr>
        <w:t xml:space="preserve">Cuando el INVIMA determine que el Ministerio de Salud y Protección Social deba aclarar o complementar </w:t>
      </w:r>
      <w:r w:rsidR="00805C86" w:rsidRPr="002328C0">
        <w:rPr>
          <w:rFonts w:ascii="Tahoma" w:hAnsi="Tahoma" w:cs="Tahoma"/>
          <w:szCs w:val="24"/>
        </w:rPr>
        <w:t>l</w:t>
      </w:r>
      <w:r w:rsidRPr="002328C0">
        <w:rPr>
          <w:rFonts w:ascii="Tahoma" w:hAnsi="Tahoma" w:cs="Tahoma"/>
          <w:szCs w:val="24"/>
        </w:rPr>
        <w:t>a documentación allegada, lo</w:t>
      </w:r>
      <w:r w:rsidR="00805C86" w:rsidRPr="002328C0">
        <w:rPr>
          <w:rFonts w:ascii="Tahoma" w:hAnsi="Tahoma" w:cs="Tahoma"/>
          <w:szCs w:val="24"/>
        </w:rPr>
        <w:t xml:space="preserve"> comunicará a esa Cartera Ministerial, y suspenderá el término de su decisión, el cual se reanudará una vez sea allegada la respuesta al requerimiento. </w:t>
      </w:r>
    </w:p>
    <w:p w14:paraId="5E23EB49" w14:textId="77777777" w:rsidR="00805C86" w:rsidRPr="002328C0" w:rsidRDefault="00805C86" w:rsidP="002328C0">
      <w:pPr>
        <w:pStyle w:val="Prrafodelista"/>
        <w:numPr>
          <w:ilvl w:val="0"/>
          <w:numId w:val="14"/>
        </w:numPr>
        <w:spacing w:after="0" w:line="240" w:lineRule="auto"/>
        <w:ind w:left="426" w:right="420"/>
        <w:jc w:val="both"/>
        <w:rPr>
          <w:rFonts w:ascii="Tahoma" w:hAnsi="Tahoma" w:cs="Tahoma"/>
          <w:szCs w:val="24"/>
        </w:rPr>
      </w:pPr>
      <w:r w:rsidRPr="002328C0">
        <w:rPr>
          <w:rFonts w:ascii="Tahoma" w:hAnsi="Tahoma" w:cs="Tahoma"/>
          <w:szCs w:val="24"/>
        </w:rPr>
        <w:t xml:space="preserve">El INVIMA, agotado lo dispuesto en los numerales anteriores, procederá a efectuar la evaluación de la información aportada y concederá o negará la modificación de la Autorización Sanitaria de Uso de Emergencia ASUE, para lo cual el </w:t>
      </w:r>
      <w:proofErr w:type="spellStart"/>
      <w:r w:rsidRPr="002328C0">
        <w:rPr>
          <w:rFonts w:ascii="Tahoma" w:hAnsi="Tahoma" w:cs="Tahoma"/>
          <w:szCs w:val="24"/>
        </w:rPr>
        <w:t>lNVIMA</w:t>
      </w:r>
      <w:proofErr w:type="spellEnd"/>
      <w:r w:rsidRPr="002328C0">
        <w:rPr>
          <w:rFonts w:ascii="Tahoma" w:hAnsi="Tahoma" w:cs="Tahoma"/>
          <w:szCs w:val="24"/>
        </w:rPr>
        <w:t xml:space="preserve"> contará con un término de cinco (5) días hábiles. </w:t>
      </w:r>
    </w:p>
    <w:p w14:paraId="3A8637D7" w14:textId="77777777" w:rsidR="00805C86" w:rsidRPr="002328C0" w:rsidRDefault="00805C86" w:rsidP="002328C0">
      <w:pPr>
        <w:spacing w:after="0" w:line="240" w:lineRule="auto"/>
        <w:ind w:left="426" w:right="420"/>
        <w:jc w:val="both"/>
        <w:rPr>
          <w:rFonts w:ascii="Tahoma" w:hAnsi="Tahoma" w:cs="Tahoma"/>
          <w:szCs w:val="24"/>
        </w:rPr>
      </w:pPr>
    </w:p>
    <w:p w14:paraId="3B41090D" w14:textId="77777777" w:rsidR="00805C86" w:rsidRPr="002328C0" w:rsidRDefault="00805C86" w:rsidP="002328C0">
      <w:pPr>
        <w:spacing w:after="0" w:line="240" w:lineRule="auto"/>
        <w:ind w:left="426" w:right="420"/>
        <w:jc w:val="both"/>
        <w:rPr>
          <w:rFonts w:ascii="Tahoma" w:hAnsi="Tahoma" w:cs="Tahoma"/>
          <w:szCs w:val="24"/>
        </w:rPr>
      </w:pPr>
      <w:r w:rsidRPr="002328C0">
        <w:rPr>
          <w:rFonts w:ascii="Tahoma" w:hAnsi="Tahoma" w:cs="Tahoma"/>
          <w:szCs w:val="24"/>
        </w:rPr>
        <w:t xml:space="preserve">Parágrafo 1. Toda modificación a la correspondiente Autorización Sanitaria de Uso de Emergencia -ASUE, se realizará mediante acto administrativo motivado, en el cual se señalará expresamente la modificación aprobada. En este acto, se determinarán las obligaciones adicionales que el titular de la ASUE adquiere con el INVIMA, y se indicará la metodología que permita la revisión continua de entrega de datos, cuando sea el caso. </w:t>
      </w:r>
    </w:p>
    <w:p w14:paraId="60DBE5DD" w14:textId="77777777" w:rsidR="00805C86" w:rsidRPr="002328C0" w:rsidRDefault="00805C86" w:rsidP="002328C0">
      <w:pPr>
        <w:spacing w:after="0" w:line="240" w:lineRule="auto"/>
        <w:ind w:left="426" w:right="420"/>
        <w:jc w:val="both"/>
        <w:rPr>
          <w:rFonts w:ascii="Tahoma" w:hAnsi="Tahoma" w:cs="Tahoma"/>
          <w:szCs w:val="24"/>
        </w:rPr>
      </w:pPr>
    </w:p>
    <w:p w14:paraId="778DB446" w14:textId="4905069F" w:rsidR="00DE2BED" w:rsidRPr="002328C0" w:rsidRDefault="00805C86" w:rsidP="002328C0">
      <w:pPr>
        <w:spacing w:after="0" w:line="240" w:lineRule="auto"/>
        <w:ind w:left="426" w:right="420"/>
        <w:jc w:val="both"/>
        <w:rPr>
          <w:rFonts w:ascii="Tahoma" w:hAnsi="Tahoma" w:cs="Tahoma"/>
          <w:szCs w:val="24"/>
        </w:rPr>
      </w:pPr>
      <w:r w:rsidRPr="002328C0">
        <w:rPr>
          <w:rFonts w:ascii="Tahoma" w:hAnsi="Tahoma" w:cs="Tahoma"/>
          <w:szCs w:val="24"/>
        </w:rPr>
        <w:t>Parágrafo 2. El acto que conceda o niegue la modificación a la Autorización Sanitaria de Uso de Emergencia -ASUE, el INVIMA lo notificará al Ministerio de Salud y Protección Social y al titular e importadores que figuren en la autorización".</w:t>
      </w:r>
    </w:p>
    <w:p w14:paraId="3146E1E8" w14:textId="07554A1E" w:rsidR="00DE2BED" w:rsidRPr="00DF2DC9" w:rsidRDefault="00DE2BED" w:rsidP="00DF2DC9">
      <w:pPr>
        <w:spacing w:after="0" w:line="276" w:lineRule="auto"/>
        <w:ind w:left="708"/>
        <w:jc w:val="both"/>
        <w:rPr>
          <w:rFonts w:ascii="Tahoma" w:hAnsi="Tahoma" w:cs="Tahoma"/>
          <w:sz w:val="24"/>
          <w:szCs w:val="24"/>
        </w:rPr>
      </w:pPr>
    </w:p>
    <w:p w14:paraId="018864BB" w14:textId="40E7851E" w:rsidR="00250CE5" w:rsidRPr="00DF2DC9" w:rsidRDefault="00343C59" w:rsidP="00DF2DC9">
      <w:pPr>
        <w:pStyle w:val="Prrafodelista"/>
        <w:numPr>
          <w:ilvl w:val="1"/>
          <w:numId w:val="7"/>
        </w:numPr>
        <w:spacing w:after="0" w:line="276" w:lineRule="auto"/>
        <w:jc w:val="both"/>
        <w:rPr>
          <w:rFonts w:ascii="Tahoma" w:hAnsi="Tahoma" w:cs="Tahoma"/>
          <w:b/>
          <w:sz w:val="24"/>
          <w:szCs w:val="24"/>
        </w:rPr>
      </w:pPr>
      <w:r w:rsidRPr="00DF2DC9">
        <w:rPr>
          <w:rFonts w:ascii="Tahoma" w:hAnsi="Tahoma" w:cs="Tahoma"/>
          <w:b/>
          <w:sz w:val="24"/>
          <w:szCs w:val="24"/>
        </w:rPr>
        <w:t>Ca</w:t>
      </w:r>
      <w:r w:rsidR="00250CE5" w:rsidRPr="00DF2DC9">
        <w:rPr>
          <w:rFonts w:ascii="Tahoma" w:hAnsi="Tahoma" w:cs="Tahoma"/>
          <w:b/>
          <w:sz w:val="24"/>
          <w:szCs w:val="24"/>
        </w:rPr>
        <w:t xml:space="preserve">so concreto </w:t>
      </w:r>
    </w:p>
    <w:p w14:paraId="688D0DEF" w14:textId="77777777" w:rsidR="00250CE5" w:rsidRPr="00DF2DC9" w:rsidRDefault="00250CE5" w:rsidP="002328C0">
      <w:pPr>
        <w:spacing w:after="0" w:line="276" w:lineRule="auto"/>
        <w:ind w:left="708"/>
        <w:jc w:val="both"/>
        <w:rPr>
          <w:rFonts w:ascii="Tahoma" w:hAnsi="Tahoma" w:cs="Tahoma"/>
          <w:sz w:val="24"/>
          <w:szCs w:val="24"/>
        </w:rPr>
      </w:pPr>
    </w:p>
    <w:p w14:paraId="53DB6E51" w14:textId="40C1AD89" w:rsidR="002503B3" w:rsidRPr="00DF2DC9" w:rsidRDefault="00250CE5" w:rsidP="002328C0">
      <w:pPr>
        <w:spacing w:after="0" w:line="276" w:lineRule="auto"/>
        <w:jc w:val="both"/>
        <w:rPr>
          <w:rFonts w:ascii="Tahoma" w:hAnsi="Tahoma" w:cs="Tahoma"/>
          <w:sz w:val="24"/>
          <w:szCs w:val="24"/>
        </w:rPr>
      </w:pPr>
      <w:r w:rsidRPr="00DF2DC9">
        <w:rPr>
          <w:rFonts w:ascii="Tahoma" w:hAnsi="Tahoma" w:cs="Tahoma"/>
          <w:sz w:val="24"/>
          <w:szCs w:val="24"/>
        </w:rPr>
        <w:t xml:space="preserve">En el caso que ocupa la atención de la Sala, la señora </w:t>
      </w:r>
      <w:r w:rsidR="003C7B25" w:rsidRPr="00DF2DC9">
        <w:rPr>
          <w:rFonts w:ascii="Tahoma" w:hAnsi="Tahoma" w:cs="Tahoma"/>
          <w:sz w:val="24"/>
          <w:szCs w:val="24"/>
        </w:rPr>
        <w:t>MARÍA</w:t>
      </w:r>
      <w:r w:rsidR="008C3F89" w:rsidRPr="00DF2DC9">
        <w:rPr>
          <w:rFonts w:ascii="Tahoma" w:hAnsi="Tahoma" w:cs="Tahoma"/>
          <w:sz w:val="24"/>
          <w:szCs w:val="24"/>
        </w:rPr>
        <w:t xml:space="preserve"> GLADYS PUERTA </w:t>
      </w:r>
      <w:r w:rsidR="003C7B25" w:rsidRPr="00DF2DC9">
        <w:rPr>
          <w:rFonts w:ascii="Tahoma" w:hAnsi="Tahoma" w:cs="Tahoma"/>
          <w:sz w:val="24"/>
          <w:szCs w:val="24"/>
        </w:rPr>
        <w:t>GONZÁLEZ</w:t>
      </w:r>
      <w:r w:rsidR="00102545">
        <w:rPr>
          <w:rFonts w:ascii="Tahoma" w:hAnsi="Tahoma" w:cs="Tahoma"/>
          <w:sz w:val="24"/>
          <w:szCs w:val="24"/>
        </w:rPr>
        <w:t xml:space="preserve"> </w:t>
      </w:r>
      <w:r w:rsidR="002503B3" w:rsidRPr="00DF2DC9">
        <w:rPr>
          <w:rFonts w:ascii="Tahoma" w:hAnsi="Tahoma" w:cs="Tahoma"/>
          <w:sz w:val="24"/>
          <w:szCs w:val="24"/>
        </w:rPr>
        <w:t>en su calidad de</w:t>
      </w:r>
      <w:r w:rsidR="00F31871" w:rsidRPr="00DF2DC9">
        <w:rPr>
          <w:rFonts w:ascii="Tahoma" w:hAnsi="Tahoma" w:cs="Tahoma"/>
          <w:sz w:val="24"/>
          <w:szCs w:val="24"/>
        </w:rPr>
        <w:t xml:space="preserve"> madre y</w:t>
      </w:r>
      <w:r w:rsidR="00102545">
        <w:rPr>
          <w:rFonts w:ascii="Tahoma" w:hAnsi="Tahoma" w:cs="Tahoma"/>
          <w:sz w:val="24"/>
          <w:szCs w:val="24"/>
        </w:rPr>
        <w:t xml:space="preserve"> </w:t>
      </w:r>
      <w:r w:rsidRPr="00DF2DC9">
        <w:rPr>
          <w:rFonts w:ascii="Tahoma" w:hAnsi="Tahoma" w:cs="Tahoma"/>
          <w:sz w:val="24"/>
          <w:szCs w:val="24"/>
        </w:rPr>
        <w:t xml:space="preserve">representante legal de </w:t>
      </w:r>
      <w:r w:rsidR="00F31871" w:rsidRPr="00DF2DC9">
        <w:rPr>
          <w:rFonts w:ascii="Tahoma" w:hAnsi="Tahoma" w:cs="Tahoma"/>
          <w:sz w:val="24"/>
          <w:szCs w:val="24"/>
        </w:rPr>
        <w:t>su hija</w:t>
      </w:r>
      <w:r w:rsidR="00102545">
        <w:rPr>
          <w:rFonts w:ascii="Tahoma" w:hAnsi="Tahoma" w:cs="Tahoma"/>
          <w:sz w:val="24"/>
          <w:szCs w:val="24"/>
        </w:rPr>
        <w:t xml:space="preserve"> </w:t>
      </w:r>
      <w:r w:rsidR="00F31871" w:rsidRPr="00DF2DC9">
        <w:rPr>
          <w:rFonts w:ascii="Tahoma" w:hAnsi="Tahoma" w:cs="Tahoma"/>
          <w:sz w:val="24"/>
          <w:szCs w:val="24"/>
        </w:rPr>
        <w:t xml:space="preserve">MELISSA </w:t>
      </w:r>
      <w:r w:rsidR="003C7B25" w:rsidRPr="00DF2DC9">
        <w:rPr>
          <w:rFonts w:ascii="Tahoma" w:hAnsi="Tahoma" w:cs="Tahoma"/>
          <w:sz w:val="24"/>
          <w:szCs w:val="24"/>
        </w:rPr>
        <w:t>ÁLVAREZ</w:t>
      </w:r>
      <w:r w:rsidR="00F31871" w:rsidRPr="00DF2DC9">
        <w:rPr>
          <w:rFonts w:ascii="Tahoma" w:hAnsi="Tahoma" w:cs="Tahoma"/>
          <w:sz w:val="24"/>
          <w:szCs w:val="24"/>
        </w:rPr>
        <w:t xml:space="preserve"> PUERTA</w:t>
      </w:r>
      <w:r w:rsidR="00E77DD0" w:rsidRPr="00DF2DC9">
        <w:rPr>
          <w:rFonts w:ascii="Tahoma" w:hAnsi="Tahoma" w:cs="Tahoma"/>
          <w:sz w:val="24"/>
          <w:szCs w:val="24"/>
        </w:rPr>
        <w:t>,</w:t>
      </w:r>
      <w:r w:rsidR="00102545">
        <w:rPr>
          <w:rFonts w:ascii="Tahoma" w:hAnsi="Tahoma" w:cs="Tahoma"/>
          <w:sz w:val="24"/>
          <w:szCs w:val="24"/>
        </w:rPr>
        <w:t xml:space="preserve"> </w:t>
      </w:r>
      <w:r w:rsidR="00F31871" w:rsidRPr="00DF2DC9">
        <w:rPr>
          <w:rFonts w:ascii="Tahoma" w:hAnsi="Tahoma" w:cs="Tahoma"/>
          <w:sz w:val="24"/>
          <w:szCs w:val="24"/>
        </w:rPr>
        <w:t xml:space="preserve">acudió a </w:t>
      </w:r>
      <w:r w:rsidR="00F27919" w:rsidRPr="00DF2DC9">
        <w:rPr>
          <w:rFonts w:ascii="Tahoma" w:hAnsi="Tahoma" w:cs="Tahoma"/>
          <w:sz w:val="24"/>
          <w:szCs w:val="24"/>
        </w:rPr>
        <w:t xml:space="preserve">esta </w:t>
      </w:r>
      <w:r w:rsidR="00F31871" w:rsidRPr="00DF2DC9">
        <w:rPr>
          <w:rFonts w:ascii="Tahoma" w:hAnsi="Tahoma" w:cs="Tahoma"/>
          <w:sz w:val="24"/>
          <w:szCs w:val="24"/>
        </w:rPr>
        <w:t>acción de tutela con el fin de que se le garantice</w:t>
      </w:r>
      <w:r w:rsidR="00102545">
        <w:rPr>
          <w:rFonts w:ascii="Tahoma" w:hAnsi="Tahoma" w:cs="Tahoma"/>
          <w:sz w:val="24"/>
          <w:szCs w:val="24"/>
        </w:rPr>
        <w:t xml:space="preserve"> </w:t>
      </w:r>
      <w:r w:rsidR="00F31871" w:rsidRPr="00DF2DC9">
        <w:rPr>
          <w:rFonts w:ascii="Tahoma" w:hAnsi="Tahoma" w:cs="Tahoma"/>
          <w:sz w:val="24"/>
          <w:szCs w:val="24"/>
        </w:rPr>
        <w:t>sus derechos fundamentales a la vida</w:t>
      </w:r>
      <w:r w:rsidR="00B258F5">
        <w:rPr>
          <w:rFonts w:ascii="Tahoma" w:hAnsi="Tahoma" w:cs="Tahoma"/>
          <w:sz w:val="24"/>
          <w:szCs w:val="24"/>
        </w:rPr>
        <w:t>,</w:t>
      </w:r>
      <w:r w:rsidR="00F31871" w:rsidRPr="00DF2DC9">
        <w:rPr>
          <w:rFonts w:ascii="Tahoma" w:hAnsi="Tahoma" w:cs="Tahoma"/>
          <w:sz w:val="24"/>
          <w:szCs w:val="24"/>
        </w:rPr>
        <w:t xml:space="preserve"> la salud y la igualdad,</w:t>
      </w:r>
      <w:r w:rsidR="00F27919" w:rsidRPr="00DF2DC9">
        <w:rPr>
          <w:rFonts w:ascii="Tahoma" w:hAnsi="Tahoma" w:cs="Tahoma"/>
          <w:sz w:val="24"/>
          <w:szCs w:val="24"/>
        </w:rPr>
        <w:t xml:space="preserve"> </w:t>
      </w:r>
      <w:r w:rsidR="00F31871" w:rsidRPr="00DF2DC9">
        <w:rPr>
          <w:rFonts w:ascii="Tahoma" w:hAnsi="Tahoma" w:cs="Tahoma"/>
          <w:sz w:val="24"/>
          <w:szCs w:val="24"/>
        </w:rPr>
        <w:t xml:space="preserve">pues pretende que se le ordene al </w:t>
      </w:r>
      <w:r w:rsidR="00F27919" w:rsidRPr="00DF2DC9">
        <w:rPr>
          <w:rFonts w:ascii="Tahoma" w:hAnsi="Tahoma" w:cs="Tahoma"/>
          <w:sz w:val="24"/>
          <w:szCs w:val="24"/>
        </w:rPr>
        <w:t xml:space="preserve">Ministerio de Salud y Protección Social </w:t>
      </w:r>
      <w:r w:rsidR="00F31871" w:rsidRPr="00DF2DC9">
        <w:rPr>
          <w:rFonts w:ascii="Tahoma" w:hAnsi="Tahoma" w:cs="Tahoma"/>
          <w:sz w:val="24"/>
          <w:szCs w:val="24"/>
        </w:rPr>
        <w:t>que cumpla con el</w:t>
      </w:r>
      <w:r w:rsidR="00102545">
        <w:rPr>
          <w:rFonts w:ascii="Tahoma" w:hAnsi="Tahoma" w:cs="Tahoma"/>
          <w:sz w:val="24"/>
          <w:szCs w:val="24"/>
        </w:rPr>
        <w:t xml:space="preserve"> </w:t>
      </w:r>
      <w:r w:rsidR="00F31871" w:rsidRPr="00DF2DC9">
        <w:rPr>
          <w:rFonts w:ascii="Tahoma" w:hAnsi="Tahoma" w:cs="Tahoma"/>
          <w:sz w:val="24"/>
          <w:szCs w:val="24"/>
        </w:rPr>
        <w:t xml:space="preserve">esquema de vacunación presentado y adoptado por el Gobierno Nacional y que en consecuencia se le aplique </w:t>
      </w:r>
      <w:r w:rsidR="00F31871" w:rsidRPr="00DF2DC9">
        <w:rPr>
          <w:rFonts w:ascii="Tahoma" w:hAnsi="Tahoma" w:cs="Tahoma"/>
          <w:sz w:val="24"/>
          <w:szCs w:val="24"/>
        </w:rPr>
        <w:lastRenderedPageBreak/>
        <w:t>la segunda dosis de PFIZER a los 21 días de la primera dosis</w:t>
      </w:r>
      <w:r w:rsidR="00102545">
        <w:rPr>
          <w:rFonts w:ascii="Tahoma" w:hAnsi="Tahoma" w:cs="Tahoma"/>
          <w:sz w:val="24"/>
          <w:szCs w:val="24"/>
        </w:rPr>
        <w:t xml:space="preserve"> </w:t>
      </w:r>
      <w:r w:rsidR="00F31871" w:rsidRPr="00DF2DC9">
        <w:rPr>
          <w:rFonts w:ascii="Tahoma" w:hAnsi="Tahoma" w:cs="Tahoma"/>
          <w:sz w:val="24"/>
          <w:szCs w:val="24"/>
        </w:rPr>
        <w:t>y no a los</w:t>
      </w:r>
      <w:r w:rsidR="00102545">
        <w:rPr>
          <w:rFonts w:ascii="Tahoma" w:hAnsi="Tahoma" w:cs="Tahoma"/>
          <w:sz w:val="24"/>
          <w:szCs w:val="24"/>
        </w:rPr>
        <w:t xml:space="preserve"> </w:t>
      </w:r>
      <w:r w:rsidR="00F31871" w:rsidRPr="00DF2DC9">
        <w:rPr>
          <w:rFonts w:ascii="Tahoma" w:hAnsi="Tahoma" w:cs="Tahoma"/>
          <w:sz w:val="24"/>
          <w:szCs w:val="24"/>
        </w:rPr>
        <w:t xml:space="preserve">84 como </w:t>
      </w:r>
      <w:r w:rsidR="00967613" w:rsidRPr="00DF2DC9">
        <w:rPr>
          <w:rFonts w:ascii="Tahoma" w:hAnsi="Tahoma" w:cs="Tahoma"/>
          <w:sz w:val="24"/>
          <w:szCs w:val="24"/>
        </w:rPr>
        <w:t>se le indic</w:t>
      </w:r>
      <w:r w:rsidR="00F27919" w:rsidRPr="00DF2DC9">
        <w:rPr>
          <w:rFonts w:ascii="Tahoma" w:hAnsi="Tahoma" w:cs="Tahoma"/>
          <w:sz w:val="24"/>
          <w:szCs w:val="24"/>
        </w:rPr>
        <w:t>ó</w:t>
      </w:r>
    </w:p>
    <w:p w14:paraId="02A4CD92" w14:textId="77777777" w:rsidR="009F2DC4" w:rsidRPr="00DF2DC9" w:rsidRDefault="009F2DC4" w:rsidP="002328C0">
      <w:pPr>
        <w:spacing w:after="0" w:line="276" w:lineRule="auto"/>
        <w:ind w:left="708"/>
        <w:jc w:val="both"/>
        <w:rPr>
          <w:rFonts w:ascii="Tahoma" w:hAnsi="Tahoma" w:cs="Tahoma"/>
          <w:sz w:val="24"/>
          <w:szCs w:val="24"/>
        </w:rPr>
      </w:pPr>
    </w:p>
    <w:p w14:paraId="14A6A09A" w14:textId="452E1982" w:rsidR="00501CE0" w:rsidRPr="00DF2DC9" w:rsidRDefault="00561417" w:rsidP="002328C0">
      <w:pPr>
        <w:spacing w:after="0" w:line="276" w:lineRule="auto"/>
        <w:jc w:val="both"/>
        <w:rPr>
          <w:rFonts w:ascii="Tahoma" w:hAnsi="Tahoma" w:cs="Tahoma"/>
          <w:sz w:val="24"/>
          <w:szCs w:val="24"/>
        </w:rPr>
      </w:pPr>
      <w:bookmarkStart w:id="2" w:name="_Hlk87615311"/>
      <w:r w:rsidRPr="00DF2DC9">
        <w:rPr>
          <w:rFonts w:ascii="Tahoma" w:hAnsi="Tahoma" w:cs="Tahoma"/>
          <w:sz w:val="24"/>
          <w:szCs w:val="24"/>
        </w:rPr>
        <w:t xml:space="preserve">La jueza de primera instancia denegó el amparo por improcedente </w:t>
      </w:r>
      <w:r w:rsidR="00967613" w:rsidRPr="00DF2DC9">
        <w:rPr>
          <w:rFonts w:ascii="Tahoma" w:hAnsi="Tahoma" w:cs="Tahoma"/>
          <w:sz w:val="24"/>
          <w:szCs w:val="24"/>
        </w:rPr>
        <w:t>bajo el argumento de que</w:t>
      </w:r>
      <w:r w:rsidR="00102545">
        <w:rPr>
          <w:rFonts w:ascii="Tahoma" w:hAnsi="Tahoma" w:cs="Tahoma"/>
          <w:sz w:val="24"/>
          <w:szCs w:val="24"/>
        </w:rPr>
        <w:t xml:space="preserve"> </w:t>
      </w:r>
      <w:r w:rsidR="00967613" w:rsidRPr="00DF2DC9">
        <w:rPr>
          <w:rFonts w:ascii="Tahoma" w:hAnsi="Tahoma" w:cs="Tahoma"/>
          <w:sz w:val="24"/>
          <w:szCs w:val="24"/>
        </w:rPr>
        <w:t xml:space="preserve">el Ministerio de </w:t>
      </w:r>
      <w:r w:rsidR="00A502B6" w:rsidRPr="00DF2DC9">
        <w:rPr>
          <w:rFonts w:ascii="Tahoma" w:hAnsi="Tahoma" w:cs="Tahoma"/>
          <w:sz w:val="24"/>
          <w:szCs w:val="24"/>
        </w:rPr>
        <w:t>Salud</w:t>
      </w:r>
      <w:r w:rsidR="00102545">
        <w:rPr>
          <w:rFonts w:ascii="Tahoma" w:hAnsi="Tahoma" w:cs="Tahoma"/>
          <w:sz w:val="24"/>
          <w:szCs w:val="24"/>
        </w:rPr>
        <w:t xml:space="preserve"> </w:t>
      </w:r>
      <w:r w:rsidR="00A502B6" w:rsidRPr="00DF2DC9">
        <w:rPr>
          <w:rFonts w:ascii="Tahoma" w:hAnsi="Tahoma" w:cs="Tahoma"/>
          <w:sz w:val="24"/>
          <w:szCs w:val="24"/>
        </w:rPr>
        <w:t>y Protección Social</w:t>
      </w:r>
      <w:r w:rsidR="00B258F5">
        <w:rPr>
          <w:rFonts w:ascii="Tahoma" w:hAnsi="Tahoma" w:cs="Tahoma"/>
          <w:sz w:val="24"/>
          <w:szCs w:val="24"/>
        </w:rPr>
        <w:t>,</w:t>
      </w:r>
      <w:r w:rsidR="00967613" w:rsidRPr="00DF2DC9">
        <w:rPr>
          <w:rFonts w:ascii="Tahoma" w:hAnsi="Tahoma" w:cs="Tahoma"/>
          <w:sz w:val="24"/>
          <w:szCs w:val="24"/>
        </w:rPr>
        <w:t xml:space="preserve"> exp</w:t>
      </w:r>
      <w:r w:rsidR="008037CF" w:rsidRPr="00DF2DC9">
        <w:rPr>
          <w:rFonts w:ascii="Tahoma" w:hAnsi="Tahoma" w:cs="Tahoma"/>
          <w:sz w:val="24"/>
          <w:szCs w:val="24"/>
        </w:rPr>
        <w:t>i</w:t>
      </w:r>
      <w:r w:rsidR="00967613" w:rsidRPr="00DF2DC9">
        <w:rPr>
          <w:rFonts w:ascii="Tahoma" w:hAnsi="Tahoma" w:cs="Tahoma"/>
          <w:sz w:val="24"/>
          <w:szCs w:val="24"/>
        </w:rPr>
        <w:t>di</w:t>
      </w:r>
      <w:r w:rsidR="00783029" w:rsidRPr="00DF2DC9">
        <w:rPr>
          <w:rFonts w:ascii="Tahoma" w:hAnsi="Tahoma" w:cs="Tahoma"/>
          <w:sz w:val="24"/>
          <w:szCs w:val="24"/>
        </w:rPr>
        <w:t>ó</w:t>
      </w:r>
      <w:r w:rsidR="00967613" w:rsidRPr="00DF2DC9">
        <w:rPr>
          <w:rFonts w:ascii="Tahoma" w:hAnsi="Tahoma" w:cs="Tahoma"/>
          <w:sz w:val="24"/>
          <w:szCs w:val="24"/>
        </w:rPr>
        <w:t xml:space="preserve"> la Resolución 1151 de 2021, acto administrativo que modifica parcialmente la Resolución 430 de </w:t>
      </w:r>
      <w:r w:rsidR="00967613" w:rsidRPr="00DF2DC9">
        <w:rPr>
          <w:rFonts w:ascii="Tahoma" w:hAnsi="Tahoma" w:cs="Tahoma"/>
          <w:i/>
          <w:sz w:val="24"/>
          <w:szCs w:val="24"/>
        </w:rPr>
        <w:t>2021</w:t>
      </w:r>
      <w:r w:rsidR="00C838CA" w:rsidRPr="00DF2DC9">
        <w:rPr>
          <w:rFonts w:ascii="Tahoma" w:hAnsi="Tahoma" w:cs="Tahoma"/>
          <w:i/>
          <w:sz w:val="24"/>
          <w:szCs w:val="24"/>
        </w:rPr>
        <w:t xml:space="preserve">, </w:t>
      </w:r>
      <w:r w:rsidR="00967613" w:rsidRPr="00DF2DC9">
        <w:rPr>
          <w:rFonts w:ascii="Tahoma" w:hAnsi="Tahoma" w:cs="Tahoma"/>
          <w:i/>
          <w:sz w:val="24"/>
          <w:szCs w:val="24"/>
        </w:rPr>
        <w:t>“</w:t>
      </w:r>
      <w:r w:rsidR="00967613" w:rsidRPr="00613F46">
        <w:rPr>
          <w:rFonts w:ascii="Tahoma" w:hAnsi="Tahoma" w:cs="Tahoma"/>
          <w:i/>
          <w:szCs w:val="24"/>
        </w:rPr>
        <w:t>Por la cual se actualizan los lineamientos técnicos y operativos para la vacunación contra el COVID-19 y se dictan otras disposiciones</w:t>
      </w:r>
      <w:r w:rsidR="00967613" w:rsidRPr="00DF2DC9">
        <w:rPr>
          <w:rFonts w:ascii="Tahoma" w:hAnsi="Tahoma" w:cs="Tahoma"/>
          <w:i/>
          <w:sz w:val="24"/>
          <w:szCs w:val="24"/>
        </w:rPr>
        <w:t>”</w:t>
      </w:r>
      <w:r w:rsidR="00967613" w:rsidRPr="00DF2DC9">
        <w:rPr>
          <w:rFonts w:ascii="Tahoma" w:hAnsi="Tahoma" w:cs="Tahoma"/>
          <w:sz w:val="24"/>
          <w:szCs w:val="24"/>
        </w:rPr>
        <w:t xml:space="preserve">, particularmente los criterios establecidos en el anexo 6 </w:t>
      </w:r>
      <w:r w:rsidR="00967613" w:rsidRPr="00DF2DC9">
        <w:rPr>
          <w:rFonts w:ascii="Tahoma" w:hAnsi="Tahoma" w:cs="Tahoma"/>
          <w:i/>
          <w:sz w:val="24"/>
          <w:szCs w:val="24"/>
        </w:rPr>
        <w:t>“</w:t>
      </w:r>
      <w:r w:rsidR="00967613" w:rsidRPr="00613F46">
        <w:rPr>
          <w:rFonts w:ascii="Tahoma" w:hAnsi="Tahoma" w:cs="Tahoma"/>
          <w:i/>
          <w:szCs w:val="24"/>
        </w:rPr>
        <w:t>Anexo Técnico para la Aplicación de la Vacuna</w:t>
      </w:r>
      <w:r w:rsidR="00102545" w:rsidRPr="00613F46">
        <w:rPr>
          <w:rFonts w:ascii="Tahoma" w:hAnsi="Tahoma" w:cs="Tahoma"/>
          <w:i/>
          <w:szCs w:val="24"/>
        </w:rPr>
        <w:t xml:space="preserve"> </w:t>
      </w:r>
      <w:r w:rsidR="00967613" w:rsidRPr="00613F46">
        <w:rPr>
          <w:rFonts w:ascii="Tahoma" w:hAnsi="Tahoma" w:cs="Tahoma"/>
          <w:b/>
          <w:i/>
          <w:szCs w:val="24"/>
        </w:rPr>
        <w:t>BNT162B2 PFIZER-BIONTECH CONTRA EL COVID-19</w:t>
      </w:r>
      <w:r w:rsidR="00967613" w:rsidRPr="00DF2DC9">
        <w:rPr>
          <w:rFonts w:ascii="Tahoma" w:hAnsi="Tahoma" w:cs="Tahoma"/>
          <w:i/>
          <w:sz w:val="24"/>
          <w:szCs w:val="24"/>
        </w:rPr>
        <w:t>”</w:t>
      </w:r>
      <w:r w:rsidR="00967613" w:rsidRPr="00DF2DC9">
        <w:rPr>
          <w:rFonts w:ascii="Tahoma" w:hAnsi="Tahoma" w:cs="Tahoma"/>
          <w:sz w:val="24"/>
          <w:szCs w:val="24"/>
        </w:rPr>
        <w:t xml:space="preserve">, estableciendo </w:t>
      </w:r>
      <w:r w:rsidR="00967613" w:rsidRPr="00DF2DC9">
        <w:rPr>
          <w:rFonts w:ascii="Tahoma" w:hAnsi="Tahoma" w:cs="Tahoma"/>
          <w:b/>
          <w:sz w:val="24"/>
          <w:szCs w:val="24"/>
        </w:rPr>
        <w:t>la ampliación del término y la aplicación de la segunda dosis de la mencionada vacuna, a los 84 días, para la población de 12 a 49 años de edad sin comorbilidades y, de 21 días para el mismo grupo etario que presenta comorbilidades</w:t>
      </w:r>
      <w:r w:rsidR="001D1FC2" w:rsidRPr="00DF2DC9">
        <w:rPr>
          <w:rFonts w:ascii="Tahoma" w:hAnsi="Tahoma" w:cs="Tahoma"/>
          <w:b/>
          <w:sz w:val="24"/>
          <w:szCs w:val="24"/>
        </w:rPr>
        <w:t>,</w:t>
      </w:r>
      <w:r w:rsidR="001D1FC2" w:rsidRPr="00DF2DC9">
        <w:rPr>
          <w:rFonts w:ascii="Tahoma" w:hAnsi="Tahoma" w:cs="Tahoma"/>
          <w:sz w:val="24"/>
          <w:szCs w:val="24"/>
        </w:rPr>
        <w:t xml:space="preserve"> amén de que en el presente caso la menor haya demostrado que se encuentra en una condición de </w:t>
      </w:r>
      <w:r w:rsidR="00DD55C1" w:rsidRPr="00DF2DC9">
        <w:rPr>
          <w:rFonts w:ascii="Tahoma" w:hAnsi="Tahoma" w:cs="Tahoma"/>
          <w:sz w:val="24"/>
          <w:szCs w:val="24"/>
        </w:rPr>
        <w:t>comorbilidad</w:t>
      </w:r>
      <w:r w:rsidR="00967613" w:rsidRPr="00DF2DC9">
        <w:rPr>
          <w:rFonts w:ascii="Tahoma" w:hAnsi="Tahoma" w:cs="Tahoma"/>
          <w:sz w:val="24"/>
          <w:szCs w:val="24"/>
        </w:rPr>
        <w:t>.</w:t>
      </w:r>
    </w:p>
    <w:bookmarkEnd w:id="2"/>
    <w:p w14:paraId="1BE79D23" w14:textId="77777777" w:rsidR="00DD55C1" w:rsidRPr="00DF2DC9" w:rsidRDefault="00DD55C1" w:rsidP="002328C0">
      <w:pPr>
        <w:spacing w:after="0" w:line="276" w:lineRule="auto"/>
        <w:jc w:val="both"/>
        <w:rPr>
          <w:rFonts w:ascii="Tahoma" w:hAnsi="Tahoma" w:cs="Tahoma"/>
          <w:sz w:val="24"/>
          <w:szCs w:val="24"/>
        </w:rPr>
      </w:pPr>
    </w:p>
    <w:p w14:paraId="47876A33" w14:textId="41247618" w:rsidR="00996A58" w:rsidRPr="00DF2DC9" w:rsidRDefault="00C838CA" w:rsidP="002328C0">
      <w:pPr>
        <w:spacing w:after="0" w:line="276" w:lineRule="auto"/>
        <w:jc w:val="both"/>
        <w:rPr>
          <w:rFonts w:ascii="Tahoma" w:hAnsi="Tahoma" w:cs="Tahoma"/>
          <w:sz w:val="24"/>
          <w:szCs w:val="24"/>
        </w:rPr>
      </w:pPr>
      <w:r w:rsidRPr="00DF2DC9">
        <w:rPr>
          <w:rFonts w:ascii="Tahoma" w:hAnsi="Tahoma" w:cs="Tahoma"/>
          <w:sz w:val="24"/>
          <w:szCs w:val="24"/>
        </w:rPr>
        <w:t>Pues bien</w:t>
      </w:r>
      <w:r w:rsidR="00B43A5F" w:rsidRPr="00DF2DC9">
        <w:rPr>
          <w:rFonts w:ascii="Tahoma" w:hAnsi="Tahoma" w:cs="Tahoma"/>
          <w:sz w:val="24"/>
          <w:szCs w:val="24"/>
        </w:rPr>
        <w:t>,</w:t>
      </w:r>
      <w:r w:rsidRPr="00DF2DC9">
        <w:rPr>
          <w:rFonts w:ascii="Tahoma" w:hAnsi="Tahoma" w:cs="Tahoma"/>
          <w:sz w:val="24"/>
          <w:szCs w:val="24"/>
        </w:rPr>
        <w:t xml:space="preserve"> de cara al meollo del litigio, </w:t>
      </w:r>
      <w:r w:rsidR="00996A58" w:rsidRPr="00DF2DC9">
        <w:rPr>
          <w:rFonts w:ascii="Tahoma" w:hAnsi="Tahoma" w:cs="Tahoma"/>
          <w:sz w:val="24"/>
          <w:szCs w:val="24"/>
        </w:rPr>
        <w:t>vale la pena recordar que</w:t>
      </w:r>
      <w:r w:rsidR="001478AB" w:rsidRPr="00DF2DC9">
        <w:rPr>
          <w:rFonts w:ascii="Tahoma" w:hAnsi="Tahoma" w:cs="Tahoma"/>
          <w:sz w:val="24"/>
          <w:szCs w:val="24"/>
        </w:rPr>
        <w:t xml:space="preserve">, tal como se vio líneas atrás, </w:t>
      </w:r>
      <w:r w:rsidR="00996A58" w:rsidRPr="00DF2DC9">
        <w:rPr>
          <w:rFonts w:ascii="Tahoma" w:hAnsi="Tahoma" w:cs="Tahoma"/>
          <w:sz w:val="24"/>
          <w:szCs w:val="24"/>
        </w:rPr>
        <w:t xml:space="preserve">los Decretos 710 de 2021, y 1787 de 2020 fijaron las reglas para la expedición, vigencia, información, renovaciones y modificaciones de la Autorización Sanitaria de Uso de Emergencia – ASUE, que le son aplicables al Ministerio de Salud y de la Protección Social, cuando este organismo considere que cuenta con la evidencia científica para </w:t>
      </w:r>
      <w:r w:rsidR="001478AB" w:rsidRPr="00DF2DC9">
        <w:rPr>
          <w:rFonts w:ascii="Tahoma" w:hAnsi="Tahoma" w:cs="Tahoma"/>
          <w:sz w:val="24"/>
          <w:szCs w:val="24"/>
        </w:rPr>
        <w:t xml:space="preserve">solicitar </w:t>
      </w:r>
      <w:r w:rsidR="00996A58" w:rsidRPr="00DF2DC9">
        <w:rPr>
          <w:rFonts w:ascii="Tahoma" w:hAnsi="Tahoma" w:cs="Tahoma"/>
          <w:sz w:val="24"/>
          <w:szCs w:val="24"/>
        </w:rPr>
        <w:t>la actualización de la información sobre seguridad, calidad, eficacia y efectividad de un producto que cuenta con Autorización Sanitaria de Uso de Emergencia -ASUE- como lo es el caso de la vacuna</w:t>
      </w:r>
      <w:r w:rsidR="00102545">
        <w:rPr>
          <w:rFonts w:ascii="Tahoma" w:hAnsi="Tahoma" w:cs="Tahoma"/>
          <w:sz w:val="24"/>
          <w:szCs w:val="24"/>
        </w:rPr>
        <w:t xml:space="preserve"> </w:t>
      </w:r>
      <w:r w:rsidR="00996A58" w:rsidRPr="00DF2DC9">
        <w:rPr>
          <w:rFonts w:ascii="Tahoma" w:hAnsi="Tahoma" w:cs="Tahoma"/>
          <w:sz w:val="24"/>
          <w:szCs w:val="24"/>
        </w:rPr>
        <w:t>Pfizer-</w:t>
      </w:r>
      <w:proofErr w:type="spellStart"/>
      <w:r w:rsidR="00996A58" w:rsidRPr="00DF2DC9">
        <w:rPr>
          <w:rFonts w:ascii="Tahoma" w:hAnsi="Tahoma" w:cs="Tahoma"/>
          <w:sz w:val="24"/>
          <w:szCs w:val="24"/>
        </w:rPr>
        <w:t>BioNTech</w:t>
      </w:r>
      <w:proofErr w:type="spellEnd"/>
      <w:r w:rsidR="00996A58" w:rsidRPr="00DF2DC9">
        <w:rPr>
          <w:rFonts w:ascii="Tahoma" w:hAnsi="Tahoma" w:cs="Tahoma"/>
          <w:sz w:val="24"/>
          <w:szCs w:val="24"/>
        </w:rPr>
        <w:t xml:space="preserve"> COVID-19 </w:t>
      </w:r>
      <w:proofErr w:type="spellStart"/>
      <w:r w:rsidR="00996A58" w:rsidRPr="00DF2DC9">
        <w:rPr>
          <w:rFonts w:ascii="Tahoma" w:hAnsi="Tahoma" w:cs="Tahoma"/>
          <w:sz w:val="24"/>
          <w:szCs w:val="24"/>
        </w:rPr>
        <w:t>Vaccine</w:t>
      </w:r>
      <w:proofErr w:type="spellEnd"/>
    </w:p>
    <w:p w14:paraId="7A8C249E" w14:textId="77777777" w:rsidR="001478AB" w:rsidRPr="00DF2DC9" w:rsidRDefault="001478AB" w:rsidP="002328C0">
      <w:pPr>
        <w:spacing w:after="0" w:line="276" w:lineRule="auto"/>
        <w:jc w:val="both"/>
        <w:rPr>
          <w:rFonts w:ascii="Tahoma" w:hAnsi="Tahoma" w:cs="Tahoma"/>
          <w:sz w:val="24"/>
          <w:szCs w:val="24"/>
        </w:rPr>
      </w:pPr>
    </w:p>
    <w:p w14:paraId="48998ECF" w14:textId="78B2B30E" w:rsidR="00E5068E" w:rsidRPr="00DF2DC9" w:rsidRDefault="001478AB" w:rsidP="002328C0">
      <w:pPr>
        <w:spacing w:after="0" w:line="276" w:lineRule="auto"/>
        <w:jc w:val="both"/>
        <w:rPr>
          <w:rFonts w:ascii="Tahoma" w:hAnsi="Tahoma" w:cs="Tahoma"/>
          <w:b/>
          <w:sz w:val="24"/>
          <w:szCs w:val="24"/>
        </w:rPr>
      </w:pPr>
      <w:r w:rsidRPr="00DF2DC9">
        <w:rPr>
          <w:rFonts w:ascii="Tahoma" w:hAnsi="Tahoma" w:cs="Tahoma"/>
          <w:sz w:val="24"/>
          <w:szCs w:val="24"/>
        </w:rPr>
        <w:t xml:space="preserve">Precisamente </w:t>
      </w:r>
      <w:r w:rsidR="00C838CA" w:rsidRPr="00DF2DC9">
        <w:rPr>
          <w:rFonts w:ascii="Tahoma" w:hAnsi="Tahoma" w:cs="Tahoma"/>
          <w:sz w:val="24"/>
          <w:szCs w:val="24"/>
        </w:rPr>
        <w:t xml:space="preserve">la mentada </w:t>
      </w:r>
      <w:r w:rsidR="00E5068E" w:rsidRPr="00DF2DC9">
        <w:rPr>
          <w:rFonts w:ascii="Tahoma" w:hAnsi="Tahoma" w:cs="Tahoma"/>
          <w:b/>
          <w:sz w:val="24"/>
          <w:szCs w:val="24"/>
        </w:rPr>
        <w:t>Resolución 1151 de 2021</w:t>
      </w:r>
      <w:r w:rsidRPr="00DF2DC9">
        <w:rPr>
          <w:rFonts w:ascii="Tahoma" w:hAnsi="Tahoma" w:cs="Tahoma"/>
          <w:sz w:val="24"/>
          <w:szCs w:val="24"/>
        </w:rPr>
        <w:t>, expedido por el Ministerio de Salud</w:t>
      </w:r>
      <w:r w:rsidR="00102545">
        <w:rPr>
          <w:rFonts w:ascii="Tahoma" w:hAnsi="Tahoma" w:cs="Tahoma"/>
          <w:sz w:val="24"/>
          <w:szCs w:val="24"/>
        </w:rPr>
        <w:t xml:space="preserve"> </w:t>
      </w:r>
      <w:r w:rsidRPr="00DF2DC9">
        <w:rPr>
          <w:rFonts w:ascii="Tahoma" w:hAnsi="Tahoma" w:cs="Tahoma"/>
          <w:sz w:val="24"/>
          <w:szCs w:val="24"/>
        </w:rPr>
        <w:t xml:space="preserve">y Protección Social, </w:t>
      </w:r>
      <w:r w:rsidR="00E5068E" w:rsidRPr="00DF2DC9">
        <w:rPr>
          <w:rFonts w:ascii="Tahoma" w:hAnsi="Tahoma" w:cs="Tahoma"/>
          <w:sz w:val="24"/>
          <w:szCs w:val="24"/>
        </w:rPr>
        <w:t>modific</w:t>
      </w:r>
      <w:r w:rsidRPr="00DF2DC9">
        <w:rPr>
          <w:rFonts w:ascii="Tahoma" w:hAnsi="Tahoma" w:cs="Tahoma"/>
          <w:sz w:val="24"/>
          <w:szCs w:val="24"/>
        </w:rPr>
        <w:t>ó</w:t>
      </w:r>
      <w:r w:rsidR="00E5068E" w:rsidRPr="00DF2DC9">
        <w:rPr>
          <w:rFonts w:ascii="Tahoma" w:hAnsi="Tahoma" w:cs="Tahoma"/>
          <w:sz w:val="24"/>
          <w:szCs w:val="24"/>
        </w:rPr>
        <w:t xml:space="preserve"> parcialmente la resolución 430 de 2021 en su anexo 6</w:t>
      </w:r>
      <w:r w:rsidR="00C838CA" w:rsidRPr="00DF2DC9">
        <w:rPr>
          <w:rFonts w:ascii="Tahoma" w:hAnsi="Tahoma" w:cs="Tahoma"/>
          <w:sz w:val="24"/>
          <w:szCs w:val="24"/>
        </w:rPr>
        <w:t xml:space="preserve"> </w:t>
      </w:r>
      <w:r w:rsidRPr="00DF2DC9">
        <w:rPr>
          <w:rFonts w:ascii="Tahoma" w:hAnsi="Tahoma" w:cs="Tahoma"/>
          <w:sz w:val="24"/>
          <w:szCs w:val="24"/>
        </w:rPr>
        <w:t xml:space="preserve">disponiendo </w:t>
      </w:r>
      <w:r w:rsidR="00C838CA" w:rsidRPr="00DF2DC9">
        <w:rPr>
          <w:rFonts w:ascii="Tahoma" w:hAnsi="Tahoma" w:cs="Tahoma"/>
          <w:sz w:val="24"/>
          <w:szCs w:val="24"/>
        </w:rPr>
        <w:t>lo siguiente</w:t>
      </w:r>
      <w:r w:rsidR="00E5068E" w:rsidRPr="00DF2DC9">
        <w:rPr>
          <w:rFonts w:ascii="Tahoma" w:hAnsi="Tahoma" w:cs="Tahoma"/>
          <w:b/>
          <w:sz w:val="24"/>
          <w:szCs w:val="24"/>
        </w:rPr>
        <w:t>:</w:t>
      </w:r>
    </w:p>
    <w:p w14:paraId="71A3F49A" w14:textId="77777777" w:rsidR="00C838CA" w:rsidRPr="00DF2DC9" w:rsidRDefault="00C838CA" w:rsidP="002328C0">
      <w:pPr>
        <w:spacing w:after="0" w:line="276" w:lineRule="auto"/>
        <w:jc w:val="both"/>
        <w:rPr>
          <w:rFonts w:ascii="Tahoma" w:hAnsi="Tahoma" w:cs="Tahoma"/>
          <w:i/>
          <w:sz w:val="24"/>
          <w:szCs w:val="24"/>
        </w:rPr>
      </w:pPr>
    </w:p>
    <w:p w14:paraId="23CC5846" w14:textId="48C7FCC7" w:rsidR="0015620C" w:rsidRPr="002328C0" w:rsidRDefault="00DD55C1" w:rsidP="002328C0">
      <w:pPr>
        <w:spacing w:after="0" w:line="240" w:lineRule="auto"/>
        <w:ind w:left="426" w:right="420"/>
        <w:jc w:val="both"/>
        <w:rPr>
          <w:rFonts w:ascii="Tahoma" w:hAnsi="Tahoma" w:cs="Tahoma"/>
          <w:szCs w:val="24"/>
        </w:rPr>
      </w:pPr>
      <w:r w:rsidRPr="002328C0">
        <w:rPr>
          <w:rFonts w:ascii="Tahoma" w:hAnsi="Tahoma" w:cs="Tahoma"/>
          <w:szCs w:val="24"/>
        </w:rPr>
        <w:t>“Se debe mantener el esquema de 2 dosis de vacuna producida por el laboratorio Pfizer-</w:t>
      </w:r>
      <w:proofErr w:type="spellStart"/>
      <w:r w:rsidRPr="002328C0">
        <w:rPr>
          <w:rFonts w:ascii="Tahoma" w:hAnsi="Tahoma" w:cs="Tahoma"/>
          <w:szCs w:val="24"/>
        </w:rPr>
        <w:t>BioNTech</w:t>
      </w:r>
      <w:proofErr w:type="spellEnd"/>
      <w:r w:rsidRPr="002328C0">
        <w:rPr>
          <w:rFonts w:ascii="Tahoma" w:hAnsi="Tahoma" w:cs="Tahoma"/>
          <w:szCs w:val="24"/>
        </w:rPr>
        <w:t>, en personas con inmunosupresión</w:t>
      </w:r>
      <w:r w:rsidR="00B258F5" w:rsidRPr="002328C0">
        <w:rPr>
          <w:rFonts w:ascii="Tahoma" w:hAnsi="Tahoma" w:cs="Tahoma"/>
          <w:szCs w:val="24"/>
        </w:rPr>
        <w:t>,</w:t>
      </w:r>
      <w:r w:rsidRPr="002328C0">
        <w:rPr>
          <w:rFonts w:ascii="Tahoma" w:hAnsi="Tahoma" w:cs="Tahoma"/>
          <w:szCs w:val="24"/>
        </w:rPr>
        <w:t xml:space="preserve"> de 60 años o más</w:t>
      </w:r>
      <w:r w:rsidR="00B258F5" w:rsidRPr="002328C0">
        <w:rPr>
          <w:rFonts w:ascii="Tahoma" w:hAnsi="Tahoma" w:cs="Tahoma"/>
          <w:szCs w:val="24"/>
        </w:rPr>
        <w:t>,</w:t>
      </w:r>
      <w:r w:rsidRPr="002328C0">
        <w:rPr>
          <w:rFonts w:ascii="Tahoma" w:hAnsi="Tahoma" w:cs="Tahoma"/>
          <w:szCs w:val="24"/>
        </w:rPr>
        <w:t xml:space="preserve"> con las comorbilidades listadas en el numeral 8.2</w:t>
      </w:r>
      <w:r w:rsidR="00102545" w:rsidRPr="002328C0">
        <w:rPr>
          <w:rFonts w:ascii="Tahoma" w:hAnsi="Tahoma" w:cs="Tahoma"/>
          <w:szCs w:val="24"/>
        </w:rPr>
        <w:t xml:space="preserve"> </w:t>
      </w:r>
      <w:r w:rsidRPr="002328C0">
        <w:rPr>
          <w:rFonts w:ascii="Tahoma" w:hAnsi="Tahoma" w:cs="Tahoma"/>
          <w:szCs w:val="24"/>
        </w:rPr>
        <w:t>“Administración</w:t>
      </w:r>
      <w:r w:rsidR="00102545" w:rsidRPr="002328C0">
        <w:rPr>
          <w:rFonts w:ascii="Tahoma" w:hAnsi="Tahoma" w:cs="Tahoma"/>
          <w:szCs w:val="24"/>
        </w:rPr>
        <w:t xml:space="preserve"> </w:t>
      </w:r>
      <w:r w:rsidRPr="002328C0">
        <w:rPr>
          <w:rFonts w:ascii="Tahoma" w:hAnsi="Tahoma" w:cs="Tahoma"/>
          <w:szCs w:val="24"/>
        </w:rPr>
        <w:t>en personas con situaciones especiales” Del Anexo 1 de esta resolución y quienes han tenido infección</w:t>
      </w:r>
      <w:r w:rsidR="00102545" w:rsidRPr="002328C0">
        <w:rPr>
          <w:rFonts w:ascii="Tahoma" w:hAnsi="Tahoma" w:cs="Tahoma"/>
          <w:szCs w:val="24"/>
        </w:rPr>
        <w:t xml:space="preserve"> </w:t>
      </w:r>
      <w:r w:rsidRPr="002328C0">
        <w:rPr>
          <w:rFonts w:ascii="Tahoma" w:hAnsi="Tahoma" w:cs="Tahoma"/>
          <w:szCs w:val="24"/>
        </w:rPr>
        <w:t>por SARS-CoV-2 Confirmada hace 9 meses o más.</w:t>
      </w:r>
    </w:p>
    <w:p w14:paraId="5394D281" w14:textId="77777777" w:rsidR="00DD55C1" w:rsidRPr="002328C0" w:rsidRDefault="00DD55C1" w:rsidP="002328C0">
      <w:pPr>
        <w:spacing w:after="0" w:line="240" w:lineRule="auto"/>
        <w:ind w:left="426" w:right="420"/>
        <w:jc w:val="both"/>
        <w:rPr>
          <w:rFonts w:ascii="Tahoma" w:hAnsi="Tahoma" w:cs="Tahoma"/>
          <w:szCs w:val="24"/>
        </w:rPr>
      </w:pPr>
    </w:p>
    <w:p w14:paraId="0F5C806C" w14:textId="556376FE" w:rsidR="00DD55C1" w:rsidRPr="002328C0" w:rsidRDefault="00DD55C1" w:rsidP="002328C0">
      <w:pPr>
        <w:spacing w:after="0" w:line="240" w:lineRule="auto"/>
        <w:ind w:left="426" w:right="420"/>
        <w:jc w:val="both"/>
        <w:rPr>
          <w:rFonts w:ascii="Tahoma" w:hAnsi="Tahoma" w:cs="Tahoma"/>
          <w:b/>
          <w:szCs w:val="24"/>
        </w:rPr>
      </w:pPr>
      <w:r w:rsidRPr="002328C0">
        <w:rPr>
          <w:rFonts w:ascii="Tahoma" w:hAnsi="Tahoma" w:cs="Tahoma"/>
          <w:b/>
          <w:szCs w:val="24"/>
        </w:rPr>
        <w:t>La población de 12 a 49 años sin comorbilidades (etapa 4y 5) se aplicar</w:t>
      </w:r>
      <w:r w:rsidR="00C838CA" w:rsidRPr="002328C0">
        <w:rPr>
          <w:rFonts w:ascii="Tahoma" w:hAnsi="Tahoma" w:cs="Tahoma"/>
          <w:b/>
          <w:szCs w:val="24"/>
        </w:rPr>
        <w:t>á</w:t>
      </w:r>
      <w:r w:rsidRPr="002328C0">
        <w:rPr>
          <w:rFonts w:ascii="Tahoma" w:hAnsi="Tahoma" w:cs="Tahoma"/>
          <w:b/>
          <w:szCs w:val="24"/>
        </w:rPr>
        <w:t xml:space="preserve"> la segunda dosis de vacuna un intervalo de 12 semanas (84 </w:t>
      </w:r>
      <w:proofErr w:type="spellStart"/>
      <w:r w:rsidRPr="002328C0">
        <w:rPr>
          <w:rFonts w:ascii="Tahoma" w:hAnsi="Tahoma" w:cs="Tahoma"/>
          <w:b/>
          <w:szCs w:val="24"/>
        </w:rPr>
        <w:t>dias</w:t>
      </w:r>
      <w:proofErr w:type="spellEnd"/>
      <w:r w:rsidRPr="002328C0">
        <w:rPr>
          <w:rFonts w:ascii="Tahoma" w:hAnsi="Tahoma" w:cs="Tahoma"/>
          <w:b/>
          <w:szCs w:val="24"/>
        </w:rPr>
        <w:t>).</w:t>
      </w:r>
    </w:p>
    <w:p w14:paraId="6AE769DF" w14:textId="77777777" w:rsidR="00C838CA" w:rsidRPr="002328C0" w:rsidRDefault="00C838CA" w:rsidP="002328C0">
      <w:pPr>
        <w:spacing w:after="0" w:line="240" w:lineRule="auto"/>
        <w:ind w:left="426" w:right="420"/>
        <w:jc w:val="both"/>
        <w:rPr>
          <w:rFonts w:ascii="Tahoma" w:hAnsi="Tahoma" w:cs="Tahoma"/>
          <w:szCs w:val="24"/>
        </w:rPr>
      </w:pPr>
    </w:p>
    <w:p w14:paraId="63273F9C" w14:textId="1DC0BB4D" w:rsidR="00DD55C1" w:rsidRPr="002328C0" w:rsidRDefault="00DD55C1" w:rsidP="002328C0">
      <w:pPr>
        <w:spacing w:after="0" w:line="240" w:lineRule="auto"/>
        <w:ind w:left="426" w:right="420"/>
        <w:jc w:val="both"/>
        <w:rPr>
          <w:rFonts w:ascii="Tahoma" w:hAnsi="Tahoma" w:cs="Tahoma"/>
          <w:szCs w:val="24"/>
        </w:rPr>
      </w:pPr>
      <w:r w:rsidRPr="002328C0">
        <w:rPr>
          <w:rFonts w:ascii="Tahoma" w:hAnsi="Tahoma" w:cs="Tahoma"/>
          <w:szCs w:val="24"/>
        </w:rPr>
        <w:t>La poblaci</w:t>
      </w:r>
      <w:r w:rsidR="00E5068E" w:rsidRPr="002328C0">
        <w:rPr>
          <w:rFonts w:ascii="Tahoma" w:hAnsi="Tahoma" w:cs="Tahoma"/>
          <w:szCs w:val="24"/>
        </w:rPr>
        <w:t>ón de 12 a 49 años con</w:t>
      </w:r>
      <w:r w:rsidR="00102545" w:rsidRPr="002328C0">
        <w:rPr>
          <w:rFonts w:ascii="Tahoma" w:hAnsi="Tahoma" w:cs="Tahoma"/>
          <w:szCs w:val="24"/>
        </w:rPr>
        <w:t xml:space="preserve"> </w:t>
      </w:r>
      <w:r w:rsidRPr="002328C0">
        <w:rPr>
          <w:rFonts w:ascii="Tahoma" w:hAnsi="Tahoma" w:cs="Tahoma"/>
          <w:szCs w:val="24"/>
        </w:rPr>
        <w:t xml:space="preserve">comorbilidades (etapa 3) </w:t>
      </w:r>
      <w:r w:rsidR="00E5068E" w:rsidRPr="002328C0">
        <w:rPr>
          <w:rFonts w:ascii="Tahoma" w:hAnsi="Tahoma" w:cs="Tahoma"/>
          <w:szCs w:val="24"/>
        </w:rPr>
        <w:t>se aplicará la segunda dosis de vacuna con un intervalo de 21 d</w:t>
      </w:r>
      <w:r w:rsidR="008757AD" w:rsidRPr="002328C0">
        <w:rPr>
          <w:rFonts w:ascii="Tahoma" w:hAnsi="Tahoma" w:cs="Tahoma"/>
          <w:szCs w:val="24"/>
        </w:rPr>
        <w:t>í</w:t>
      </w:r>
      <w:r w:rsidR="00E5068E" w:rsidRPr="002328C0">
        <w:rPr>
          <w:rFonts w:ascii="Tahoma" w:hAnsi="Tahoma" w:cs="Tahoma"/>
          <w:szCs w:val="24"/>
        </w:rPr>
        <w:t>as”</w:t>
      </w:r>
      <w:r w:rsidR="00C838CA" w:rsidRPr="002328C0">
        <w:rPr>
          <w:rFonts w:ascii="Tahoma" w:hAnsi="Tahoma" w:cs="Tahoma"/>
          <w:szCs w:val="24"/>
        </w:rPr>
        <w:t xml:space="preserve"> (Negrilla fuera de texto)</w:t>
      </w:r>
    </w:p>
    <w:p w14:paraId="1E8AC162" w14:textId="76F2B2EC" w:rsidR="008037CF" w:rsidRPr="00DF2DC9" w:rsidRDefault="008037CF" w:rsidP="00DF2DC9">
      <w:pPr>
        <w:spacing w:after="0" w:line="276" w:lineRule="auto"/>
        <w:jc w:val="both"/>
        <w:rPr>
          <w:rFonts w:ascii="Tahoma" w:hAnsi="Tahoma" w:cs="Tahoma"/>
          <w:sz w:val="24"/>
          <w:szCs w:val="24"/>
        </w:rPr>
      </w:pPr>
    </w:p>
    <w:p w14:paraId="3C80DE1C" w14:textId="1CFB6DFB" w:rsidR="008037CF" w:rsidRPr="00DF2DC9" w:rsidRDefault="008037CF" w:rsidP="00DF2DC9">
      <w:pPr>
        <w:spacing w:after="0" w:line="276" w:lineRule="auto"/>
        <w:jc w:val="both"/>
        <w:rPr>
          <w:rFonts w:ascii="Tahoma" w:hAnsi="Tahoma" w:cs="Tahoma"/>
          <w:sz w:val="24"/>
          <w:szCs w:val="24"/>
        </w:rPr>
      </w:pPr>
      <w:r w:rsidRPr="00DF2DC9">
        <w:rPr>
          <w:rFonts w:ascii="Tahoma" w:hAnsi="Tahoma" w:cs="Tahoma"/>
          <w:sz w:val="24"/>
          <w:szCs w:val="24"/>
        </w:rPr>
        <w:t xml:space="preserve">A su vez, el </w:t>
      </w:r>
      <w:r w:rsidRPr="00DF2DC9">
        <w:rPr>
          <w:rFonts w:ascii="Tahoma" w:hAnsi="Tahoma" w:cs="Tahoma"/>
          <w:b/>
          <w:sz w:val="24"/>
          <w:szCs w:val="24"/>
        </w:rPr>
        <w:t>Instituto Nacional de Vigilancia de Medicamentos y Alimentos – INVIMA</w:t>
      </w:r>
      <w:r w:rsidRPr="00DF2DC9">
        <w:rPr>
          <w:rFonts w:ascii="Tahoma" w:hAnsi="Tahoma" w:cs="Tahoma"/>
          <w:sz w:val="24"/>
          <w:szCs w:val="24"/>
        </w:rPr>
        <w:t xml:space="preserve"> expidió la </w:t>
      </w:r>
      <w:r w:rsidRPr="00DF2DC9">
        <w:rPr>
          <w:rFonts w:ascii="Tahoma" w:hAnsi="Tahoma" w:cs="Tahoma"/>
          <w:b/>
          <w:sz w:val="24"/>
          <w:szCs w:val="24"/>
        </w:rPr>
        <w:t>Resolución No. 2021031941 del 15 de agosto de 2021</w:t>
      </w:r>
      <w:r w:rsidRPr="00DF2DC9">
        <w:rPr>
          <w:rFonts w:ascii="Tahoma" w:hAnsi="Tahoma" w:cs="Tahoma"/>
          <w:sz w:val="24"/>
          <w:szCs w:val="24"/>
        </w:rPr>
        <w:t>, mediante la cual resolvió la solicitud de actualización de una Autorización Sanitaria de Uso de Emergencia -ASUE, que hizo en su oportunidad el doctor Fernando Ruiz Gómez, actuando en calidad de Ministro de Salud y Protección Social, de la vacuna Pfizer-</w:t>
      </w:r>
      <w:proofErr w:type="spellStart"/>
      <w:r w:rsidRPr="00DF2DC9">
        <w:rPr>
          <w:rFonts w:ascii="Tahoma" w:hAnsi="Tahoma" w:cs="Tahoma"/>
          <w:sz w:val="24"/>
          <w:szCs w:val="24"/>
        </w:rPr>
        <w:t>BioNTech</w:t>
      </w:r>
      <w:proofErr w:type="spellEnd"/>
      <w:r w:rsidRPr="00DF2DC9">
        <w:rPr>
          <w:rFonts w:ascii="Tahoma" w:hAnsi="Tahoma" w:cs="Tahoma"/>
          <w:sz w:val="24"/>
          <w:szCs w:val="24"/>
        </w:rPr>
        <w:t xml:space="preserve"> COVID-19 </w:t>
      </w:r>
      <w:proofErr w:type="spellStart"/>
      <w:r w:rsidRPr="00DF2DC9">
        <w:rPr>
          <w:rFonts w:ascii="Tahoma" w:hAnsi="Tahoma" w:cs="Tahoma"/>
          <w:sz w:val="24"/>
          <w:szCs w:val="24"/>
        </w:rPr>
        <w:t>Vaccine</w:t>
      </w:r>
      <w:proofErr w:type="spellEnd"/>
      <w:r w:rsidRPr="00DF2DC9">
        <w:rPr>
          <w:rFonts w:ascii="Tahoma" w:hAnsi="Tahoma" w:cs="Tahoma"/>
          <w:sz w:val="24"/>
          <w:szCs w:val="24"/>
        </w:rPr>
        <w:t xml:space="preserve"> del titular PFIZER </w:t>
      </w:r>
      <w:proofErr w:type="spellStart"/>
      <w:r w:rsidRPr="00DF2DC9">
        <w:rPr>
          <w:rFonts w:ascii="Tahoma" w:hAnsi="Tahoma" w:cs="Tahoma"/>
          <w:sz w:val="24"/>
          <w:szCs w:val="24"/>
        </w:rPr>
        <w:t>Inc</w:t>
      </w:r>
      <w:proofErr w:type="spellEnd"/>
      <w:r w:rsidRPr="00DF2DC9">
        <w:rPr>
          <w:rFonts w:ascii="Tahoma" w:hAnsi="Tahoma" w:cs="Tahoma"/>
          <w:sz w:val="24"/>
          <w:szCs w:val="24"/>
        </w:rPr>
        <w:t xml:space="preserve">, consistente en ampliar la dosificación de la vacuna de la siguiente manera: serie de dos (2) dosis (0,3 Ml cada una) administradas intramuscularmente y separadas entre sí. La segunda dosis se debe administrar entre 21 días y tres meses (84 días), después de la primera dosis, en </w:t>
      </w:r>
      <w:r w:rsidRPr="00DF2DC9">
        <w:rPr>
          <w:rFonts w:ascii="Tahoma" w:hAnsi="Tahoma" w:cs="Tahoma"/>
          <w:sz w:val="24"/>
          <w:szCs w:val="24"/>
        </w:rPr>
        <w:lastRenderedPageBreak/>
        <w:t xml:space="preserve">pacientes de 12 años o más. </w:t>
      </w:r>
      <w:r w:rsidR="00381775" w:rsidRPr="00DF2DC9">
        <w:rPr>
          <w:rFonts w:ascii="Tahoma" w:hAnsi="Tahoma" w:cs="Tahoma"/>
          <w:sz w:val="24"/>
          <w:szCs w:val="24"/>
        </w:rPr>
        <w:t>Se resolvió en ese acto administrativo en el numeral tercero lo siguiente:</w:t>
      </w:r>
    </w:p>
    <w:p w14:paraId="1E5A0E2D" w14:textId="7FDE9D66" w:rsidR="00381775" w:rsidRPr="00DF2DC9" w:rsidRDefault="00381775" w:rsidP="00DF2DC9">
      <w:pPr>
        <w:spacing w:after="0" w:line="276" w:lineRule="auto"/>
        <w:jc w:val="both"/>
        <w:rPr>
          <w:rFonts w:ascii="Tahoma" w:hAnsi="Tahoma" w:cs="Tahoma"/>
          <w:sz w:val="24"/>
          <w:szCs w:val="24"/>
        </w:rPr>
      </w:pPr>
    </w:p>
    <w:p w14:paraId="1A495615" w14:textId="5D44D9DB" w:rsidR="00381775" w:rsidRPr="005E5951" w:rsidRDefault="00381775" w:rsidP="005E5951">
      <w:pPr>
        <w:spacing w:after="0" w:line="240" w:lineRule="auto"/>
        <w:ind w:left="426" w:right="420"/>
        <w:jc w:val="both"/>
        <w:rPr>
          <w:rFonts w:ascii="Tahoma" w:hAnsi="Tahoma" w:cs="Tahoma"/>
          <w:szCs w:val="24"/>
        </w:rPr>
      </w:pPr>
      <w:r w:rsidRPr="005E5951">
        <w:rPr>
          <w:rFonts w:ascii="Tahoma" w:hAnsi="Tahoma" w:cs="Tahoma"/>
          <w:szCs w:val="24"/>
        </w:rPr>
        <w:t>ARTICULO TERCERO: De acuerdo con la recomendación de la Sala Especializada de Moléculas Nuevas, Nuevas Indicaciones y Medicamentos Biológicos de la Comisión Revisora en el contexto de la emergencia sanitaria, con base en la información científica actual, la disponibilidad de vacunas, el desarrollo de la campaña de vacunación y el estado de la pandemia</w:t>
      </w:r>
      <w:r w:rsidRPr="005E5951">
        <w:rPr>
          <w:rFonts w:ascii="Tahoma" w:hAnsi="Tahoma" w:cs="Tahoma"/>
          <w:b/>
          <w:szCs w:val="24"/>
        </w:rPr>
        <w:t>, el Ministerio de Salud y Protección Social podrá implementar un intervalo entre 21 y 84 días para administrar la segunda dosis de la vacuna Pfizer-</w:t>
      </w:r>
      <w:proofErr w:type="spellStart"/>
      <w:r w:rsidRPr="005E5951">
        <w:rPr>
          <w:rFonts w:ascii="Tahoma" w:hAnsi="Tahoma" w:cs="Tahoma"/>
          <w:b/>
          <w:szCs w:val="24"/>
        </w:rPr>
        <w:t>BioNTech</w:t>
      </w:r>
      <w:proofErr w:type="spellEnd"/>
      <w:r w:rsidRPr="005E5951">
        <w:rPr>
          <w:rFonts w:ascii="Tahoma" w:hAnsi="Tahoma" w:cs="Tahoma"/>
          <w:b/>
          <w:szCs w:val="24"/>
        </w:rPr>
        <w:t xml:space="preserve"> COVID-19 </w:t>
      </w:r>
      <w:proofErr w:type="spellStart"/>
      <w:r w:rsidRPr="005E5951">
        <w:rPr>
          <w:rFonts w:ascii="Tahoma" w:hAnsi="Tahoma" w:cs="Tahoma"/>
          <w:b/>
          <w:szCs w:val="24"/>
        </w:rPr>
        <w:t>Vaccine</w:t>
      </w:r>
      <w:proofErr w:type="spellEnd"/>
      <w:r w:rsidRPr="005E5951">
        <w:rPr>
          <w:rFonts w:ascii="Tahoma" w:hAnsi="Tahoma" w:cs="Tahoma"/>
          <w:b/>
          <w:szCs w:val="24"/>
        </w:rPr>
        <w:t>,</w:t>
      </w:r>
      <w:r w:rsidRPr="005E5951">
        <w:rPr>
          <w:rFonts w:ascii="Tahoma" w:hAnsi="Tahoma" w:cs="Tahoma"/>
          <w:szCs w:val="24"/>
        </w:rPr>
        <w:t xml:space="preserve"> acorde con los lineamientos técnicos y operativos del plan nacional de vacunación contra el Covid-19. (Negrillas </w:t>
      </w:r>
      <w:proofErr w:type="spellStart"/>
      <w:r w:rsidRPr="005E5951">
        <w:rPr>
          <w:rFonts w:ascii="Tahoma" w:hAnsi="Tahoma" w:cs="Tahoma"/>
          <w:szCs w:val="24"/>
        </w:rPr>
        <w:t>guera</w:t>
      </w:r>
      <w:proofErr w:type="spellEnd"/>
      <w:r w:rsidRPr="005E5951">
        <w:rPr>
          <w:rFonts w:ascii="Tahoma" w:hAnsi="Tahoma" w:cs="Tahoma"/>
          <w:szCs w:val="24"/>
        </w:rPr>
        <w:t xml:space="preserve"> de texto).</w:t>
      </w:r>
    </w:p>
    <w:p w14:paraId="4BF6B0A1" w14:textId="31619BD8" w:rsidR="00967613" w:rsidRPr="00DF2DC9" w:rsidRDefault="00967613" w:rsidP="00DF2DC9">
      <w:pPr>
        <w:spacing w:after="0" w:line="276" w:lineRule="auto"/>
        <w:jc w:val="both"/>
        <w:rPr>
          <w:rFonts w:ascii="Tahoma" w:hAnsi="Tahoma" w:cs="Tahoma"/>
          <w:sz w:val="24"/>
          <w:szCs w:val="24"/>
        </w:rPr>
      </w:pPr>
    </w:p>
    <w:p w14:paraId="460E4FF0" w14:textId="77777777" w:rsidR="00D7708E" w:rsidRPr="00DF2DC9" w:rsidRDefault="00461439" w:rsidP="00DF2DC9">
      <w:pPr>
        <w:spacing w:after="0" w:line="276" w:lineRule="auto"/>
        <w:jc w:val="both"/>
        <w:rPr>
          <w:rFonts w:ascii="Tahoma" w:hAnsi="Tahoma" w:cs="Tahoma"/>
          <w:sz w:val="24"/>
          <w:szCs w:val="24"/>
        </w:rPr>
      </w:pPr>
      <w:r w:rsidRPr="00DF2DC9">
        <w:rPr>
          <w:rFonts w:ascii="Tahoma" w:hAnsi="Tahoma" w:cs="Tahoma"/>
          <w:sz w:val="24"/>
          <w:szCs w:val="24"/>
        </w:rPr>
        <w:t>Como puede verse, d</w:t>
      </w:r>
      <w:r w:rsidR="00C838CA" w:rsidRPr="00DF2DC9">
        <w:rPr>
          <w:rFonts w:ascii="Tahoma" w:hAnsi="Tahoma" w:cs="Tahoma"/>
          <w:sz w:val="24"/>
          <w:szCs w:val="24"/>
        </w:rPr>
        <w:t xml:space="preserve">icho acto administrativo se expidió por la autoridad nacional </w:t>
      </w:r>
      <w:r w:rsidR="005364EB" w:rsidRPr="00DF2DC9">
        <w:rPr>
          <w:rFonts w:ascii="Tahoma" w:hAnsi="Tahoma" w:cs="Tahoma"/>
          <w:sz w:val="24"/>
          <w:szCs w:val="24"/>
        </w:rPr>
        <w:t xml:space="preserve">INVIMA </w:t>
      </w:r>
      <w:r w:rsidR="00C838CA" w:rsidRPr="00DF2DC9">
        <w:rPr>
          <w:rFonts w:ascii="Tahoma" w:hAnsi="Tahoma" w:cs="Tahoma"/>
          <w:sz w:val="24"/>
          <w:szCs w:val="24"/>
        </w:rPr>
        <w:t>que regula lo concerniente a la aplicación de las distintas vacunas para contrarrestar el COVID-19,</w:t>
      </w:r>
      <w:r w:rsidR="00C00C8E" w:rsidRPr="00DF2DC9">
        <w:rPr>
          <w:rFonts w:ascii="Tahoma" w:hAnsi="Tahoma" w:cs="Tahoma"/>
          <w:sz w:val="24"/>
          <w:szCs w:val="24"/>
        </w:rPr>
        <w:t xml:space="preserve"> </w:t>
      </w:r>
      <w:r w:rsidR="00381775" w:rsidRPr="00DF2DC9">
        <w:rPr>
          <w:rFonts w:ascii="Tahoma" w:hAnsi="Tahoma" w:cs="Tahoma"/>
          <w:sz w:val="24"/>
          <w:szCs w:val="24"/>
        </w:rPr>
        <w:t xml:space="preserve">autorizando al Ministerio </w:t>
      </w:r>
      <w:r w:rsidR="005364EB" w:rsidRPr="00DF2DC9">
        <w:rPr>
          <w:rFonts w:ascii="Tahoma" w:hAnsi="Tahoma" w:cs="Tahoma"/>
          <w:sz w:val="24"/>
          <w:szCs w:val="24"/>
        </w:rPr>
        <w:t>de Salud y Protección Social la implementación de un intervalo entre 21 y 84 días para administrar la segunda dosis de la vacuna Pfizer-</w:t>
      </w:r>
      <w:proofErr w:type="spellStart"/>
      <w:r w:rsidR="005364EB" w:rsidRPr="00DF2DC9">
        <w:rPr>
          <w:rFonts w:ascii="Tahoma" w:hAnsi="Tahoma" w:cs="Tahoma"/>
          <w:sz w:val="24"/>
          <w:szCs w:val="24"/>
        </w:rPr>
        <w:t>BioNTech</w:t>
      </w:r>
      <w:proofErr w:type="spellEnd"/>
      <w:r w:rsidR="005364EB" w:rsidRPr="00DF2DC9">
        <w:rPr>
          <w:rFonts w:ascii="Tahoma" w:hAnsi="Tahoma" w:cs="Tahoma"/>
          <w:sz w:val="24"/>
          <w:szCs w:val="24"/>
        </w:rPr>
        <w:t xml:space="preserve"> COVID-19 </w:t>
      </w:r>
      <w:proofErr w:type="spellStart"/>
      <w:r w:rsidR="005364EB" w:rsidRPr="00DF2DC9">
        <w:rPr>
          <w:rFonts w:ascii="Tahoma" w:hAnsi="Tahoma" w:cs="Tahoma"/>
          <w:sz w:val="24"/>
          <w:szCs w:val="24"/>
        </w:rPr>
        <w:t>Vaccine</w:t>
      </w:r>
      <w:proofErr w:type="spellEnd"/>
      <w:r w:rsidR="005364EB" w:rsidRPr="00DF2DC9">
        <w:rPr>
          <w:rFonts w:ascii="Tahoma" w:hAnsi="Tahoma" w:cs="Tahoma"/>
          <w:sz w:val="24"/>
          <w:szCs w:val="24"/>
        </w:rPr>
        <w:t xml:space="preserve">, </w:t>
      </w:r>
      <w:r w:rsidR="00D7708E" w:rsidRPr="00DF2DC9">
        <w:rPr>
          <w:rFonts w:ascii="Tahoma" w:hAnsi="Tahoma" w:cs="Tahoma"/>
          <w:sz w:val="24"/>
          <w:szCs w:val="24"/>
        </w:rPr>
        <w:t xml:space="preserve">en </w:t>
      </w:r>
      <w:r w:rsidRPr="00DF2DC9">
        <w:rPr>
          <w:rFonts w:ascii="Tahoma" w:hAnsi="Tahoma" w:cs="Tahoma"/>
          <w:sz w:val="24"/>
          <w:szCs w:val="24"/>
        </w:rPr>
        <w:t xml:space="preserve">cuya autorización </w:t>
      </w:r>
      <w:r w:rsidR="005364EB" w:rsidRPr="00DF2DC9">
        <w:rPr>
          <w:rFonts w:ascii="Tahoma" w:hAnsi="Tahoma" w:cs="Tahoma"/>
          <w:sz w:val="24"/>
          <w:szCs w:val="24"/>
        </w:rPr>
        <w:t xml:space="preserve">el INVIMA se </w:t>
      </w:r>
      <w:r w:rsidRPr="00DF2DC9">
        <w:rPr>
          <w:rFonts w:ascii="Tahoma" w:hAnsi="Tahoma" w:cs="Tahoma"/>
          <w:sz w:val="24"/>
          <w:szCs w:val="24"/>
        </w:rPr>
        <w:t xml:space="preserve">valió de: i) la </w:t>
      </w:r>
      <w:r w:rsidR="005364EB" w:rsidRPr="00DF2DC9">
        <w:rPr>
          <w:rFonts w:ascii="Tahoma" w:hAnsi="Tahoma" w:cs="Tahoma"/>
          <w:sz w:val="24"/>
          <w:szCs w:val="24"/>
        </w:rPr>
        <w:t xml:space="preserve">recomendación de la Sala Especializada de Moléculas Nuevas, Nuevas Indicaciones y Medicamentos Biológicos de la Comisión Revisora en el contexto de la emergencia sanitaria, </w:t>
      </w:r>
      <w:r w:rsidRPr="00DF2DC9">
        <w:rPr>
          <w:rFonts w:ascii="Tahoma" w:hAnsi="Tahoma" w:cs="Tahoma"/>
          <w:sz w:val="24"/>
          <w:szCs w:val="24"/>
        </w:rPr>
        <w:t xml:space="preserve">ii) </w:t>
      </w:r>
      <w:r w:rsidR="005364EB" w:rsidRPr="00DF2DC9">
        <w:rPr>
          <w:rFonts w:ascii="Tahoma" w:hAnsi="Tahoma" w:cs="Tahoma"/>
          <w:sz w:val="24"/>
          <w:szCs w:val="24"/>
        </w:rPr>
        <w:t xml:space="preserve">la información científica actual, </w:t>
      </w:r>
      <w:r w:rsidRPr="00DF2DC9">
        <w:rPr>
          <w:rFonts w:ascii="Tahoma" w:hAnsi="Tahoma" w:cs="Tahoma"/>
          <w:sz w:val="24"/>
          <w:szCs w:val="24"/>
        </w:rPr>
        <w:t xml:space="preserve">iii) </w:t>
      </w:r>
      <w:r w:rsidR="005364EB" w:rsidRPr="00DF2DC9">
        <w:rPr>
          <w:rFonts w:ascii="Tahoma" w:hAnsi="Tahoma" w:cs="Tahoma"/>
          <w:sz w:val="24"/>
          <w:szCs w:val="24"/>
        </w:rPr>
        <w:t xml:space="preserve">la disponibilidad de vacunas, </w:t>
      </w:r>
      <w:r w:rsidRPr="00DF2DC9">
        <w:rPr>
          <w:rFonts w:ascii="Tahoma" w:hAnsi="Tahoma" w:cs="Tahoma"/>
          <w:sz w:val="24"/>
          <w:szCs w:val="24"/>
        </w:rPr>
        <w:t xml:space="preserve">iv) </w:t>
      </w:r>
      <w:r w:rsidR="005364EB" w:rsidRPr="00DF2DC9">
        <w:rPr>
          <w:rFonts w:ascii="Tahoma" w:hAnsi="Tahoma" w:cs="Tahoma"/>
          <w:sz w:val="24"/>
          <w:szCs w:val="24"/>
        </w:rPr>
        <w:t>el desarrollo de la campaña de vacunación</w:t>
      </w:r>
      <w:r w:rsidRPr="00DF2DC9">
        <w:rPr>
          <w:rFonts w:ascii="Tahoma" w:hAnsi="Tahoma" w:cs="Tahoma"/>
          <w:sz w:val="24"/>
          <w:szCs w:val="24"/>
        </w:rPr>
        <w:t>,</w:t>
      </w:r>
      <w:r w:rsidR="005364EB" w:rsidRPr="00DF2DC9">
        <w:rPr>
          <w:rFonts w:ascii="Tahoma" w:hAnsi="Tahoma" w:cs="Tahoma"/>
          <w:sz w:val="24"/>
          <w:szCs w:val="24"/>
        </w:rPr>
        <w:t xml:space="preserve"> y</w:t>
      </w:r>
      <w:r w:rsidRPr="00DF2DC9">
        <w:rPr>
          <w:rFonts w:ascii="Tahoma" w:hAnsi="Tahoma" w:cs="Tahoma"/>
          <w:sz w:val="24"/>
          <w:szCs w:val="24"/>
        </w:rPr>
        <w:t>, v)</w:t>
      </w:r>
      <w:r w:rsidR="005364EB" w:rsidRPr="00DF2DC9">
        <w:rPr>
          <w:rFonts w:ascii="Tahoma" w:hAnsi="Tahoma" w:cs="Tahoma"/>
          <w:sz w:val="24"/>
          <w:szCs w:val="24"/>
        </w:rPr>
        <w:t xml:space="preserve"> el estado de la pandemia</w:t>
      </w:r>
      <w:r w:rsidRPr="00DF2DC9">
        <w:rPr>
          <w:rFonts w:ascii="Tahoma" w:hAnsi="Tahoma" w:cs="Tahoma"/>
          <w:b/>
          <w:sz w:val="24"/>
          <w:szCs w:val="24"/>
        </w:rPr>
        <w:t xml:space="preserve">. </w:t>
      </w:r>
      <w:r w:rsidRPr="00DF2DC9">
        <w:rPr>
          <w:rFonts w:ascii="Tahoma" w:hAnsi="Tahoma" w:cs="Tahoma"/>
          <w:sz w:val="24"/>
          <w:szCs w:val="24"/>
        </w:rPr>
        <w:t xml:space="preserve">En ese orden de ideas, </w:t>
      </w:r>
      <w:r w:rsidR="005364EB" w:rsidRPr="00DF2DC9">
        <w:rPr>
          <w:rFonts w:ascii="Tahoma" w:hAnsi="Tahoma" w:cs="Tahoma"/>
          <w:sz w:val="24"/>
          <w:szCs w:val="24"/>
        </w:rPr>
        <w:t>p</w:t>
      </w:r>
      <w:r w:rsidR="00C838CA" w:rsidRPr="00DF2DC9">
        <w:rPr>
          <w:rFonts w:ascii="Tahoma" w:hAnsi="Tahoma" w:cs="Tahoma"/>
          <w:sz w:val="24"/>
          <w:szCs w:val="24"/>
        </w:rPr>
        <w:t>odemos decir</w:t>
      </w:r>
      <w:r w:rsidR="005364EB" w:rsidRPr="00DF2DC9">
        <w:rPr>
          <w:rFonts w:ascii="Tahoma" w:hAnsi="Tahoma" w:cs="Tahoma"/>
          <w:sz w:val="24"/>
          <w:szCs w:val="24"/>
        </w:rPr>
        <w:t xml:space="preserve">, sin ambages, </w:t>
      </w:r>
      <w:r w:rsidR="00C838CA" w:rsidRPr="00DF2DC9">
        <w:rPr>
          <w:rFonts w:ascii="Tahoma" w:hAnsi="Tahoma" w:cs="Tahoma"/>
          <w:sz w:val="24"/>
          <w:szCs w:val="24"/>
        </w:rPr>
        <w:t xml:space="preserve">que </w:t>
      </w:r>
      <w:r w:rsidR="005364EB" w:rsidRPr="00DF2DC9">
        <w:rPr>
          <w:rFonts w:ascii="Tahoma" w:hAnsi="Tahoma" w:cs="Tahoma"/>
          <w:sz w:val="24"/>
          <w:szCs w:val="24"/>
        </w:rPr>
        <w:t xml:space="preserve">dicha cartera ministerial no ha violado derecho fundamental </w:t>
      </w:r>
      <w:r w:rsidRPr="00DF2DC9">
        <w:rPr>
          <w:rFonts w:ascii="Tahoma" w:hAnsi="Tahoma" w:cs="Tahoma"/>
          <w:sz w:val="24"/>
          <w:szCs w:val="24"/>
        </w:rPr>
        <w:t xml:space="preserve">alguno de la menor, pues actuó amparado en un acto administrativo que se presume legal, expedido por la autoridad competente, y a su vez, la autorización del INVIMA no se ve arbitraria ni caprichosa. </w:t>
      </w:r>
    </w:p>
    <w:p w14:paraId="3C61DD99" w14:textId="77777777" w:rsidR="00D7708E" w:rsidRPr="00DF2DC9" w:rsidRDefault="00D7708E" w:rsidP="00DF2DC9">
      <w:pPr>
        <w:spacing w:after="0" w:line="276" w:lineRule="auto"/>
        <w:jc w:val="both"/>
        <w:rPr>
          <w:rFonts w:ascii="Tahoma" w:hAnsi="Tahoma" w:cs="Tahoma"/>
          <w:sz w:val="24"/>
          <w:szCs w:val="24"/>
        </w:rPr>
      </w:pPr>
    </w:p>
    <w:p w14:paraId="0A1407A9" w14:textId="39AC2ECF" w:rsidR="00D7708E" w:rsidRPr="00DF2DC9" w:rsidRDefault="00461439" w:rsidP="00DF2DC9">
      <w:pPr>
        <w:spacing w:after="0" w:line="276" w:lineRule="auto"/>
        <w:jc w:val="both"/>
        <w:rPr>
          <w:rFonts w:ascii="Tahoma" w:hAnsi="Tahoma" w:cs="Tahoma"/>
          <w:sz w:val="24"/>
          <w:szCs w:val="24"/>
        </w:rPr>
      </w:pPr>
      <w:r w:rsidRPr="00DF2DC9">
        <w:rPr>
          <w:rFonts w:ascii="Tahoma" w:hAnsi="Tahoma" w:cs="Tahoma"/>
          <w:sz w:val="24"/>
          <w:szCs w:val="24"/>
        </w:rPr>
        <w:t xml:space="preserve">Por otra parte, tampoco hay evidencia </w:t>
      </w:r>
      <w:r w:rsidR="00D7708E" w:rsidRPr="00DF2DC9">
        <w:rPr>
          <w:rFonts w:ascii="Tahoma" w:hAnsi="Tahoma" w:cs="Tahoma"/>
          <w:sz w:val="24"/>
          <w:szCs w:val="24"/>
        </w:rPr>
        <w:t xml:space="preserve">en el expediente </w:t>
      </w:r>
      <w:r w:rsidRPr="00DF2DC9">
        <w:rPr>
          <w:rFonts w:ascii="Tahoma" w:hAnsi="Tahoma" w:cs="Tahoma"/>
          <w:sz w:val="24"/>
          <w:szCs w:val="24"/>
        </w:rPr>
        <w:t>de la</w:t>
      </w:r>
      <w:r w:rsidR="00102545">
        <w:rPr>
          <w:rFonts w:ascii="Tahoma" w:hAnsi="Tahoma" w:cs="Tahoma"/>
          <w:sz w:val="24"/>
          <w:szCs w:val="24"/>
        </w:rPr>
        <w:t xml:space="preserve"> </w:t>
      </w:r>
      <w:r w:rsidR="008B51EF" w:rsidRPr="00DF2DC9">
        <w:rPr>
          <w:rFonts w:ascii="Tahoma" w:hAnsi="Tahoma" w:cs="Tahoma"/>
          <w:sz w:val="24"/>
          <w:szCs w:val="24"/>
        </w:rPr>
        <w:t xml:space="preserve">ocurrencia de un perjuicio irremediable, porque la </w:t>
      </w:r>
      <w:r w:rsidRPr="00DF2DC9">
        <w:rPr>
          <w:rFonts w:ascii="Tahoma" w:hAnsi="Tahoma" w:cs="Tahoma"/>
          <w:sz w:val="24"/>
          <w:szCs w:val="24"/>
        </w:rPr>
        <w:t>representante de la menor n</w:t>
      </w:r>
      <w:r w:rsidR="008B51EF" w:rsidRPr="00DF2DC9">
        <w:rPr>
          <w:rFonts w:ascii="Tahoma" w:hAnsi="Tahoma" w:cs="Tahoma"/>
          <w:sz w:val="24"/>
          <w:szCs w:val="24"/>
        </w:rPr>
        <w:t>o demostró una grave afectación a los derechos invocados, pues sólo se limitó a indicar que su hija debía ser vacunada en un i</w:t>
      </w:r>
      <w:r w:rsidR="00424001" w:rsidRPr="00DF2DC9">
        <w:rPr>
          <w:rFonts w:ascii="Tahoma" w:hAnsi="Tahoma" w:cs="Tahoma"/>
          <w:sz w:val="24"/>
          <w:szCs w:val="24"/>
        </w:rPr>
        <w:t xml:space="preserve">ntervalo de 21 días, </w:t>
      </w:r>
      <w:r w:rsidRPr="00DF2DC9">
        <w:rPr>
          <w:rFonts w:ascii="Tahoma" w:hAnsi="Tahoma" w:cs="Tahoma"/>
          <w:sz w:val="24"/>
          <w:szCs w:val="24"/>
        </w:rPr>
        <w:t xml:space="preserve">bajo el argumento de que las </w:t>
      </w:r>
      <w:r w:rsidR="008B51EF" w:rsidRPr="00DF2DC9">
        <w:rPr>
          <w:rFonts w:ascii="Tahoma" w:hAnsi="Tahoma" w:cs="Tahoma"/>
          <w:sz w:val="24"/>
          <w:szCs w:val="24"/>
        </w:rPr>
        <w:t>menores de la misma edad que fuer</w:t>
      </w:r>
      <w:r w:rsidR="00424001" w:rsidRPr="00DF2DC9">
        <w:rPr>
          <w:rFonts w:ascii="Tahoma" w:hAnsi="Tahoma" w:cs="Tahoma"/>
          <w:sz w:val="24"/>
          <w:szCs w:val="24"/>
        </w:rPr>
        <w:t>on vacunados en fechas cercanas</w:t>
      </w:r>
      <w:r w:rsidR="008B51EF" w:rsidRPr="00DF2DC9">
        <w:rPr>
          <w:rFonts w:ascii="Tahoma" w:hAnsi="Tahoma" w:cs="Tahoma"/>
          <w:sz w:val="24"/>
          <w:szCs w:val="24"/>
        </w:rPr>
        <w:t xml:space="preserve"> se les había programado la segunda dosis en dicho interregno, </w:t>
      </w:r>
      <w:r w:rsidR="00D7708E" w:rsidRPr="00DF2DC9">
        <w:rPr>
          <w:rFonts w:ascii="Tahoma" w:hAnsi="Tahoma" w:cs="Tahoma"/>
          <w:sz w:val="24"/>
          <w:szCs w:val="24"/>
        </w:rPr>
        <w:t xml:space="preserve">hecho que tampoco fue demostrado, esto es, </w:t>
      </w:r>
      <w:r w:rsidR="00424001" w:rsidRPr="00DF2DC9">
        <w:rPr>
          <w:rFonts w:ascii="Tahoma" w:hAnsi="Tahoma" w:cs="Tahoma"/>
          <w:sz w:val="24"/>
          <w:szCs w:val="24"/>
        </w:rPr>
        <w:t>que</w:t>
      </w:r>
      <w:r w:rsidR="008B51EF" w:rsidRPr="00DF2DC9">
        <w:rPr>
          <w:rFonts w:ascii="Tahoma" w:hAnsi="Tahoma" w:cs="Tahoma"/>
          <w:sz w:val="24"/>
          <w:szCs w:val="24"/>
        </w:rPr>
        <w:t xml:space="preserve"> efectivamente dichas dosis </w:t>
      </w:r>
      <w:r w:rsidR="00D7708E" w:rsidRPr="00DF2DC9">
        <w:rPr>
          <w:rFonts w:ascii="Tahoma" w:hAnsi="Tahoma" w:cs="Tahoma"/>
          <w:sz w:val="24"/>
          <w:szCs w:val="24"/>
        </w:rPr>
        <w:t xml:space="preserve">se iban a aplicar </w:t>
      </w:r>
      <w:r w:rsidR="008B51EF" w:rsidRPr="00DF2DC9">
        <w:rPr>
          <w:rFonts w:ascii="Tahoma" w:hAnsi="Tahoma" w:cs="Tahoma"/>
          <w:sz w:val="24"/>
          <w:szCs w:val="24"/>
        </w:rPr>
        <w:t xml:space="preserve">en </w:t>
      </w:r>
      <w:r w:rsidR="00D7708E" w:rsidRPr="00DF2DC9">
        <w:rPr>
          <w:rFonts w:ascii="Tahoma" w:hAnsi="Tahoma" w:cs="Tahoma"/>
          <w:sz w:val="24"/>
          <w:szCs w:val="24"/>
        </w:rPr>
        <w:t xml:space="preserve">ese intervalo; es más ni siquiera se dieron los nombres de las aludidas menores. Finalmente, no puede perderse de vista que el </w:t>
      </w:r>
      <w:r w:rsidR="008B51EF" w:rsidRPr="00DF2DC9">
        <w:rPr>
          <w:rFonts w:ascii="Tahoma" w:hAnsi="Tahoma" w:cs="Tahoma"/>
          <w:sz w:val="24"/>
          <w:szCs w:val="24"/>
        </w:rPr>
        <w:t>anexo 6 de la Resolución 1151 de 2021, dispuso la aplicación de la segunda dosis de la vacuna PFIZER, a los 21 días para el mismo grupo etario que p</w:t>
      </w:r>
      <w:r w:rsidR="00424001" w:rsidRPr="00DF2DC9">
        <w:rPr>
          <w:rFonts w:ascii="Tahoma" w:hAnsi="Tahoma" w:cs="Tahoma"/>
          <w:sz w:val="24"/>
          <w:szCs w:val="24"/>
        </w:rPr>
        <w:t xml:space="preserve">resenta comorbilidades, </w:t>
      </w:r>
      <w:r w:rsidR="00D7708E" w:rsidRPr="00DF2DC9">
        <w:rPr>
          <w:rFonts w:ascii="Tahoma" w:hAnsi="Tahoma" w:cs="Tahoma"/>
          <w:sz w:val="24"/>
          <w:szCs w:val="24"/>
        </w:rPr>
        <w:t xml:space="preserve">situación en la que no se encuentra </w:t>
      </w:r>
      <w:r w:rsidR="008B51EF" w:rsidRPr="00DF2DC9">
        <w:rPr>
          <w:rFonts w:ascii="Tahoma" w:hAnsi="Tahoma" w:cs="Tahoma"/>
          <w:sz w:val="24"/>
          <w:szCs w:val="24"/>
        </w:rPr>
        <w:t xml:space="preserve">la menor MELISSA </w:t>
      </w:r>
      <w:r w:rsidR="003C7B25" w:rsidRPr="00DF2DC9">
        <w:rPr>
          <w:rFonts w:ascii="Tahoma" w:hAnsi="Tahoma" w:cs="Tahoma"/>
          <w:sz w:val="24"/>
          <w:szCs w:val="24"/>
        </w:rPr>
        <w:t>ÁLVAREZ</w:t>
      </w:r>
      <w:r w:rsidR="008B51EF" w:rsidRPr="00DF2DC9">
        <w:rPr>
          <w:rFonts w:ascii="Tahoma" w:hAnsi="Tahoma" w:cs="Tahoma"/>
          <w:sz w:val="24"/>
          <w:szCs w:val="24"/>
        </w:rPr>
        <w:t>,</w:t>
      </w:r>
      <w:r w:rsidR="00D7708E" w:rsidRPr="00DF2DC9">
        <w:rPr>
          <w:rFonts w:ascii="Tahoma" w:hAnsi="Tahoma" w:cs="Tahoma"/>
          <w:sz w:val="24"/>
          <w:szCs w:val="24"/>
        </w:rPr>
        <w:t xml:space="preserve"> o por lo menos ello no quedó probado en el proceso. </w:t>
      </w:r>
    </w:p>
    <w:p w14:paraId="08179194" w14:textId="77777777" w:rsidR="00D7708E" w:rsidRPr="00DF2DC9" w:rsidRDefault="00D7708E" w:rsidP="00DF2DC9">
      <w:pPr>
        <w:spacing w:after="0" w:line="276" w:lineRule="auto"/>
        <w:jc w:val="both"/>
        <w:rPr>
          <w:rFonts w:ascii="Tahoma" w:hAnsi="Tahoma" w:cs="Tahoma"/>
          <w:sz w:val="24"/>
          <w:szCs w:val="24"/>
        </w:rPr>
      </w:pPr>
    </w:p>
    <w:p w14:paraId="76553AC3" w14:textId="4719C623" w:rsidR="00D7708E" w:rsidRPr="00DF2DC9" w:rsidRDefault="00D7708E" w:rsidP="00DF2DC9">
      <w:pPr>
        <w:spacing w:after="0" w:line="276" w:lineRule="auto"/>
        <w:jc w:val="both"/>
        <w:rPr>
          <w:rFonts w:ascii="Tahoma" w:hAnsi="Tahoma" w:cs="Tahoma"/>
          <w:sz w:val="24"/>
          <w:szCs w:val="24"/>
        </w:rPr>
      </w:pPr>
      <w:r w:rsidRPr="00DF2DC9">
        <w:rPr>
          <w:rFonts w:ascii="Tahoma" w:hAnsi="Tahoma" w:cs="Tahoma"/>
          <w:sz w:val="24"/>
          <w:szCs w:val="24"/>
        </w:rPr>
        <w:t>Para ahondar en argumentos, fíjese que l</w:t>
      </w:r>
      <w:r w:rsidR="00561417" w:rsidRPr="00DF2DC9">
        <w:rPr>
          <w:rFonts w:ascii="Tahoma" w:hAnsi="Tahoma" w:cs="Tahoma"/>
          <w:sz w:val="24"/>
          <w:szCs w:val="24"/>
        </w:rPr>
        <w:t xml:space="preserve">a impugnación de la parte actora no se centró en la ratio </w:t>
      </w:r>
      <w:proofErr w:type="spellStart"/>
      <w:r w:rsidR="00561417" w:rsidRPr="00DF2DC9">
        <w:rPr>
          <w:rFonts w:ascii="Tahoma" w:hAnsi="Tahoma" w:cs="Tahoma"/>
          <w:sz w:val="24"/>
          <w:szCs w:val="24"/>
        </w:rPr>
        <w:t>decidendi</w:t>
      </w:r>
      <w:proofErr w:type="spellEnd"/>
      <w:r w:rsidR="00561417" w:rsidRPr="00DF2DC9">
        <w:rPr>
          <w:rFonts w:ascii="Tahoma" w:hAnsi="Tahoma" w:cs="Tahoma"/>
          <w:sz w:val="24"/>
          <w:szCs w:val="24"/>
        </w:rPr>
        <w:t xml:space="preserve"> de la sentencia cuestionada sino en </w:t>
      </w:r>
      <w:r w:rsidR="001D1FC2" w:rsidRPr="00DF2DC9">
        <w:rPr>
          <w:rFonts w:ascii="Tahoma" w:hAnsi="Tahoma" w:cs="Tahoma"/>
          <w:sz w:val="24"/>
          <w:szCs w:val="24"/>
        </w:rPr>
        <w:t xml:space="preserve">la </w:t>
      </w:r>
      <w:r w:rsidR="00117844" w:rsidRPr="00DF2DC9">
        <w:rPr>
          <w:rFonts w:ascii="Tahoma" w:hAnsi="Tahoma" w:cs="Tahoma"/>
          <w:sz w:val="24"/>
          <w:szCs w:val="24"/>
        </w:rPr>
        <w:t xml:space="preserve">preocupación </w:t>
      </w:r>
      <w:r w:rsidR="001D1FC2" w:rsidRPr="00DF2DC9">
        <w:rPr>
          <w:rFonts w:ascii="Tahoma" w:hAnsi="Tahoma" w:cs="Tahoma"/>
          <w:sz w:val="24"/>
          <w:szCs w:val="24"/>
        </w:rPr>
        <w:t xml:space="preserve">de que la primera dosis </w:t>
      </w:r>
      <w:r w:rsidR="00117844" w:rsidRPr="00DF2DC9">
        <w:rPr>
          <w:rFonts w:ascii="Tahoma" w:hAnsi="Tahoma" w:cs="Tahoma"/>
          <w:sz w:val="24"/>
          <w:szCs w:val="24"/>
        </w:rPr>
        <w:t xml:space="preserve">del biológico Pfizer </w:t>
      </w:r>
      <w:r w:rsidR="001D1FC2" w:rsidRPr="00DF2DC9">
        <w:rPr>
          <w:rFonts w:ascii="Tahoma" w:hAnsi="Tahoma" w:cs="Tahoma"/>
          <w:sz w:val="24"/>
          <w:szCs w:val="24"/>
        </w:rPr>
        <w:t>pierda su eficacia por la demora en la aplicación de la segunda dosis, lo que pondría a la menor en un mayor riesgo de contagio de la covid-19</w:t>
      </w:r>
      <w:r w:rsidRPr="00DF2DC9">
        <w:rPr>
          <w:rFonts w:ascii="Tahoma" w:hAnsi="Tahoma" w:cs="Tahoma"/>
          <w:sz w:val="24"/>
          <w:szCs w:val="24"/>
        </w:rPr>
        <w:t>,</w:t>
      </w:r>
      <w:r w:rsidR="001D1FC2" w:rsidRPr="00DF2DC9">
        <w:rPr>
          <w:rFonts w:ascii="Tahoma" w:hAnsi="Tahoma" w:cs="Tahoma"/>
          <w:sz w:val="24"/>
          <w:szCs w:val="24"/>
        </w:rPr>
        <w:t xml:space="preserve"> </w:t>
      </w:r>
      <w:r w:rsidRPr="00DF2DC9">
        <w:rPr>
          <w:rFonts w:ascii="Tahoma" w:hAnsi="Tahoma" w:cs="Tahoma"/>
          <w:sz w:val="24"/>
          <w:szCs w:val="24"/>
        </w:rPr>
        <w:t xml:space="preserve">pero </w:t>
      </w:r>
      <w:r w:rsidR="001B2B0F" w:rsidRPr="00DF2DC9">
        <w:rPr>
          <w:rFonts w:ascii="Tahoma" w:hAnsi="Tahoma" w:cs="Tahoma"/>
          <w:sz w:val="24"/>
          <w:szCs w:val="24"/>
        </w:rPr>
        <w:t xml:space="preserve">esta </w:t>
      </w:r>
      <w:r w:rsidR="001D1FC2" w:rsidRPr="00DF2DC9">
        <w:rPr>
          <w:rFonts w:ascii="Tahoma" w:hAnsi="Tahoma" w:cs="Tahoma"/>
          <w:sz w:val="24"/>
          <w:szCs w:val="24"/>
        </w:rPr>
        <w:t>S</w:t>
      </w:r>
      <w:r w:rsidR="001B2B0F" w:rsidRPr="00DF2DC9">
        <w:rPr>
          <w:rFonts w:ascii="Tahoma" w:hAnsi="Tahoma" w:cs="Tahoma"/>
          <w:sz w:val="24"/>
          <w:szCs w:val="24"/>
        </w:rPr>
        <w:t>ala</w:t>
      </w:r>
      <w:r w:rsidR="001D1FC2" w:rsidRPr="00DF2DC9">
        <w:rPr>
          <w:rFonts w:ascii="Tahoma" w:hAnsi="Tahoma" w:cs="Tahoma"/>
          <w:sz w:val="24"/>
          <w:szCs w:val="24"/>
        </w:rPr>
        <w:t xml:space="preserve"> </w:t>
      </w:r>
      <w:r w:rsidR="001B2B0F" w:rsidRPr="00DF2DC9">
        <w:rPr>
          <w:rFonts w:ascii="Tahoma" w:hAnsi="Tahoma" w:cs="Tahoma"/>
          <w:sz w:val="24"/>
          <w:szCs w:val="24"/>
        </w:rPr>
        <w:t xml:space="preserve">no encuentra evidencia científica que permita sustentar </w:t>
      </w:r>
      <w:r w:rsidRPr="00DF2DC9">
        <w:rPr>
          <w:rFonts w:ascii="Tahoma" w:hAnsi="Tahoma" w:cs="Tahoma"/>
          <w:sz w:val="24"/>
          <w:szCs w:val="24"/>
        </w:rPr>
        <w:t>tal cosa</w:t>
      </w:r>
      <w:r w:rsidR="00614BB2" w:rsidRPr="00DF2DC9">
        <w:rPr>
          <w:rFonts w:ascii="Tahoma" w:hAnsi="Tahoma" w:cs="Tahoma"/>
          <w:sz w:val="24"/>
          <w:szCs w:val="24"/>
        </w:rPr>
        <w:t xml:space="preserve">, ni tampoco existe prueba de que </w:t>
      </w:r>
      <w:r w:rsidR="001E03F1" w:rsidRPr="00DF2DC9">
        <w:rPr>
          <w:rFonts w:ascii="Tahoma" w:hAnsi="Tahoma" w:cs="Tahoma"/>
          <w:sz w:val="24"/>
          <w:szCs w:val="24"/>
        </w:rPr>
        <w:t>el Ministerio de Salud y de la Protección Social contradi</w:t>
      </w:r>
      <w:r w:rsidR="00614BB2" w:rsidRPr="00DF2DC9">
        <w:rPr>
          <w:rFonts w:ascii="Tahoma" w:hAnsi="Tahoma" w:cs="Tahoma"/>
          <w:sz w:val="24"/>
          <w:szCs w:val="24"/>
        </w:rPr>
        <w:t>ga</w:t>
      </w:r>
      <w:r w:rsidR="001E03F1" w:rsidRPr="00DF2DC9">
        <w:rPr>
          <w:rFonts w:ascii="Tahoma" w:hAnsi="Tahoma" w:cs="Tahoma"/>
          <w:sz w:val="24"/>
          <w:szCs w:val="24"/>
        </w:rPr>
        <w:t xml:space="preserve"> las recomendaciones del fabricante sobre los intervalos de aplicación</w:t>
      </w:r>
      <w:r w:rsidR="00614BB2" w:rsidRPr="00DF2DC9">
        <w:rPr>
          <w:rFonts w:ascii="Tahoma" w:hAnsi="Tahoma" w:cs="Tahoma"/>
          <w:sz w:val="24"/>
          <w:szCs w:val="24"/>
        </w:rPr>
        <w:t xml:space="preserve"> del biológico PFIZER</w:t>
      </w:r>
      <w:r w:rsidR="001E03F1" w:rsidRPr="00DF2DC9">
        <w:rPr>
          <w:rFonts w:ascii="Tahoma" w:hAnsi="Tahoma" w:cs="Tahoma"/>
          <w:sz w:val="24"/>
          <w:szCs w:val="24"/>
        </w:rPr>
        <w:t>, que por el contrario sí gozan del rigor científico que el tema amerita</w:t>
      </w:r>
      <w:r w:rsidR="00614BB2" w:rsidRPr="00DF2DC9">
        <w:rPr>
          <w:rFonts w:ascii="Tahoma" w:hAnsi="Tahoma" w:cs="Tahoma"/>
          <w:sz w:val="24"/>
          <w:szCs w:val="24"/>
        </w:rPr>
        <w:t xml:space="preserve">. </w:t>
      </w:r>
    </w:p>
    <w:p w14:paraId="6D140D8E" w14:textId="3558E5F7" w:rsidR="001478AB" w:rsidRPr="00DF2DC9" w:rsidRDefault="001478AB" w:rsidP="00DF2DC9">
      <w:pPr>
        <w:spacing w:after="0" w:line="276" w:lineRule="auto"/>
        <w:jc w:val="both"/>
        <w:rPr>
          <w:rFonts w:ascii="Tahoma" w:hAnsi="Tahoma" w:cs="Tahoma"/>
          <w:sz w:val="24"/>
          <w:szCs w:val="24"/>
        </w:rPr>
      </w:pPr>
    </w:p>
    <w:p w14:paraId="2E7B056E" w14:textId="5D0ABE68" w:rsidR="001478AB" w:rsidRPr="00DF2DC9" w:rsidRDefault="001478AB" w:rsidP="00DF2DC9">
      <w:pPr>
        <w:spacing w:after="0" w:line="276" w:lineRule="auto"/>
        <w:jc w:val="both"/>
        <w:rPr>
          <w:rFonts w:ascii="Tahoma" w:hAnsi="Tahoma" w:cs="Tahoma"/>
          <w:sz w:val="24"/>
          <w:szCs w:val="24"/>
        </w:rPr>
      </w:pPr>
      <w:r w:rsidRPr="00DF2DC9">
        <w:rPr>
          <w:rFonts w:ascii="Tahoma" w:hAnsi="Tahoma" w:cs="Tahoma"/>
          <w:sz w:val="24"/>
          <w:szCs w:val="24"/>
        </w:rPr>
        <w:t>Así las cosas, la Sala confirmará la sentencia objeto de impugnación.</w:t>
      </w:r>
    </w:p>
    <w:p w14:paraId="2F256B01" w14:textId="77777777" w:rsidR="00A80D12" w:rsidRPr="00DF2DC9" w:rsidRDefault="00A80D12" w:rsidP="00DF2DC9">
      <w:pPr>
        <w:spacing w:after="0" w:line="276" w:lineRule="auto"/>
        <w:jc w:val="both"/>
        <w:rPr>
          <w:rFonts w:ascii="Tahoma" w:hAnsi="Tahoma" w:cs="Tahoma"/>
          <w:sz w:val="24"/>
          <w:szCs w:val="24"/>
        </w:rPr>
      </w:pPr>
    </w:p>
    <w:p w14:paraId="7CE43F5B" w14:textId="442E8908" w:rsidR="001E03F1" w:rsidRPr="00DF2DC9" w:rsidRDefault="00A80D12" w:rsidP="00DF2DC9">
      <w:pPr>
        <w:spacing w:after="0" w:line="276" w:lineRule="auto"/>
        <w:jc w:val="both"/>
        <w:rPr>
          <w:rFonts w:ascii="Tahoma" w:hAnsi="Tahoma" w:cs="Tahoma"/>
          <w:sz w:val="24"/>
          <w:szCs w:val="24"/>
        </w:rPr>
      </w:pPr>
      <w:r w:rsidRPr="00DF2DC9">
        <w:rPr>
          <w:rFonts w:ascii="Tahoma" w:hAnsi="Tahoma" w:cs="Tahoma"/>
          <w:sz w:val="24"/>
          <w:szCs w:val="24"/>
        </w:rPr>
        <w:t xml:space="preserve">En mérito de lo expuesto, </w:t>
      </w:r>
      <w:r w:rsidRPr="00DF2DC9">
        <w:rPr>
          <w:rFonts w:ascii="Tahoma" w:hAnsi="Tahoma" w:cs="Tahoma"/>
          <w:b/>
          <w:sz w:val="24"/>
          <w:szCs w:val="24"/>
        </w:rPr>
        <w:t>la Sala de Decisión Laboral No. 1 del Tribunal Superior del Distrito Judicial de Pereira</w:t>
      </w:r>
      <w:r w:rsidRPr="00DF2DC9">
        <w:rPr>
          <w:rFonts w:ascii="Tahoma" w:hAnsi="Tahoma" w:cs="Tahoma"/>
          <w:sz w:val="24"/>
          <w:szCs w:val="24"/>
        </w:rPr>
        <w:t>, en nombre del Pueblo y por autoridad de la Constitución y la ley,</w:t>
      </w:r>
    </w:p>
    <w:p w14:paraId="60A5E6A7" w14:textId="12E90904" w:rsidR="008D09BB" w:rsidRDefault="008D09BB" w:rsidP="008D09BB">
      <w:pPr>
        <w:spacing w:after="0" w:line="276" w:lineRule="auto"/>
        <w:jc w:val="both"/>
        <w:rPr>
          <w:rFonts w:ascii="Tahoma" w:hAnsi="Tahoma" w:cs="Tahoma"/>
          <w:sz w:val="24"/>
          <w:szCs w:val="24"/>
        </w:rPr>
      </w:pPr>
    </w:p>
    <w:p w14:paraId="110BACAE" w14:textId="77777777" w:rsidR="00C70676" w:rsidRPr="008D09BB" w:rsidRDefault="00C70676" w:rsidP="008D09BB">
      <w:pPr>
        <w:spacing w:after="0" w:line="276" w:lineRule="auto"/>
        <w:jc w:val="both"/>
        <w:rPr>
          <w:rFonts w:ascii="Tahoma" w:hAnsi="Tahoma" w:cs="Tahoma"/>
          <w:sz w:val="24"/>
          <w:szCs w:val="24"/>
        </w:rPr>
      </w:pPr>
    </w:p>
    <w:p w14:paraId="4EFD8333" w14:textId="7D736F7D" w:rsidR="002E1E9E" w:rsidRPr="00DF2DC9" w:rsidRDefault="002E1E9E" w:rsidP="00DF2DC9">
      <w:pPr>
        <w:pStyle w:val="Prrafodelista"/>
        <w:spacing w:after="0" w:line="276" w:lineRule="auto"/>
        <w:ind w:left="0" w:firstLine="709"/>
        <w:jc w:val="center"/>
        <w:rPr>
          <w:rFonts w:ascii="Tahoma" w:hAnsi="Tahoma" w:cs="Tahoma"/>
          <w:b/>
          <w:bCs/>
          <w:sz w:val="24"/>
          <w:szCs w:val="24"/>
          <w:lang w:val="es-419"/>
        </w:rPr>
      </w:pPr>
      <w:r w:rsidRPr="00DF2DC9">
        <w:rPr>
          <w:rFonts w:ascii="Tahoma" w:hAnsi="Tahoma" w:cs="Tahoma"/>
          <w:b/>
          <w:bCs/>
          <w:sz w:val="24"/>
          <w:szCs w:val="24"/>
          <w:lang w:val="es-419"/>
        </w:rPr>
        <w:t>RESUELVE</w:t>
      </w:r>
    </w:p>
    <w:p w14:paraId="35BF46E8" w14:textId="578E6CB5" w:rsidR="00805E14" w:rsidRDefault="00805E14" w:rsidP="005E5951">
      <w:pPr>
        <w:spacing w:after="0" w:line="276" w:lineRule="auto"/>
        <w:jc w:val="both"/>
        <w:rPr>
          <w:rFonts w:ascii="Tahoma" w:hAnsi="Tahoma" w:cs="Tahoma"/>
          <w:sz w:val="24"/>
          <w:szCs w:val="24"/>
        </w:rPr>
      </w:pPr>
    </w:p>
    <w:p w14:paraId="0DED4601" w14:textId="77777777" w:rsidR="008D09BB" w:rsidRPr="005E5951" w:rsidRDefault="008D09BB" w:rsidP="005E5951">
      <w:pPr>
        <w:spacing w:after="0" w:line="276" w:lineRule="auto"/>
        <w:jc w:val="both"/>
        <w:rPr>
          <w:rFonts w:ascii="Tahoma" w:hAnsi="Tahoma" w:cs="Tahoma"/>
          <w:sz w:val="24"/>
          <w:szCs w:val="24"/>
        </w:rPr>
      </w:pPr>
    </w:p>
    <w:p w14:paraId="5D239D26" w14:textId="20236633" w:rsidR="00F760DE" w:rsidRPr="00DF2DC9" w:rsidRDefault="00F25882" w:rsidP="005E5951">
      <w:pPr>
        <w:spacing w:after="0" w:line="276" w:lineRule="auto"/>
        <w:rPr>
          <w:rFonts w:ascii="Tahoma" w:hAnsi="Tahoma" w:cs="Tahoma"/>
          <w:bCs/>
          <w:sz w:val="24"/>
          <w:szCs w:val="24"/>
        </w:rPr>
      </w:pPr>
      <w:r w:rsidRPr="00DF2DC9">
        <w:rPr>
          <w:rFonts w:ascii="Tahoma" w:hAnsi="Tahoma" w:cs="Tahoma"/>
          <w:b/>
          <w:bCs/>
          <w:sz w:val="24"/>
          <w:szCs w:val="24"/>
        </w:rPr>
        <w:t>PRIMERO</w:t>
      </w:r>
      <w:r w:rsidR="00805E14" w:rsidRPr="00DF2DC9">
        <w:rPr>
          <w:rFonts w:ascii="Tahoma" w:hAnsi="Tahoma" w:cs="Tahoma"/>
          <w:b/>
          <w:bCs/>
          <w:sz w:val="24"/>
          <w:szCs w:val="24"/>
        </w:rPr>
        <w:t>:</w:t>
      </w:r>
      <w:r w:rsidR="00F760DE" w:rsidRPr="00DF2DC9">
        <w:rPr>
          <w:rFonts w:ascii="Tahoma" w:hAnsi="Tahoma" w:cs="Tahoma"/>
          <w:bCs/>
          <w:sz w:val="24"/>
          <w:szCs w:val="24"/>
        </w:rPr>
        <w:t xml:space="preserve"> </w:t>
      </w:r>
      <w:r w:rsidR="00F760DE" w:rsidRPr="00DF2DC9">
        <w:rPr>
          <w:rFonts w:ascii="Tahoma" w:hAnsi="Tahoma" w:cs="Tahoma"/>
          <w:b/>
          <w:bCs/>
          <w:sz w:val="24"/>
          <w:szCs w:val="24"/>
        </w:rPr>
        <w:t>CONFIRMAR</w:t>
      </w:r>
      <w:r w:rsidR="00F760DE" w:rsidRPr="00DF2DC9">
        <w:rPr>
          <w:rFonts w:ascii="Tahoma" w:hAnsi="Tahoma" w:cs="Tahoma"/>
          <w:bCs/>
          <w:sz w:val="24"/>
          <w:szCs w:val="24"/>
        </w:rPr>
        <w:t xml:space="preserve"> la sentencia proferida el 9 de </w:t>
      </w:r>
      <w:r w:rsidR="001478AB" w:rsidRPr="00DF2DC9">
        <w:rPr>
          <w:rFonts w:ascii="Tahoma" w:hAnsi="Tahoma" w:cs="Tahoma"/>
          <w:bCs/>
          <w:sz w:val="24"/>
          <w:szCs w:val="24"/>
        </w:rPr>
        <w:t>s</w:t>
      </w:r>
      <w:r w:rsidR="00F760DE" w:rsidRPr="00DF2DC9">
        <w:rPr>
          <w:rFonts w:ascii="Tahoma" w:hAnsi="Tahoma" w:cs="Tahoma"/>
          <w:bCs/>
          <w:sz w:val="24"/>
          <w:szCs w:val="24"/>
        </w:rPr>
        <w:t>eptiembre</w:t>
      </w:r>
      <w:r w:rsidR="00102545">
        <w:rPr>
          <w:rFonts w:ascii="Tahoma" w:hAnsi="Tahoma" w:cs="Tahoma"/>
          <w:bCs/>
          <w:sz w:val="24"/>
          <w:szCs w:val="24"/>
        </w:rPr>
        <w:t xml:space="preserve"> </w:t>
      </w:r>
      <w:r w:rsidR="00F760DE" w:rsidRPr="00DF2DC9">
        <w:rPr>
          <w:rFonts w:ascii="Tahoma" w:hAnsi="Tahoma" w:cs="Tahoma"/>
          <w:bCs/>
          <w:sz w:val="24"/>
          <w:szCs w:val="24"/>
        </w:rPr>
        <w:t>de 2021, por el Juzgado</w:t>
      </w:r>
      <w:r w:rsidR="00102545">
        <w:rPr>
          <w:rFonts w:ascii="Tahoma" w:hAnsi="Tahoma" w:cs="Tahoma"/>
          <w:bCs/>
          <w:sz w:val="24"/>
          <w:szCs w:val="24"/>
        </w:rPr>
        <w:t xml:space="preserve"> </w:t>
      </w:r>
      <w:r w:rsidR="001478AB" w:rsidRPr="00DF2DC9">
        <w:rPr>
          <w:rFonts w:ascii="Tahoma" w:hAnsi="Tahoma" w:cs="Tahoma"/>
          <w:bCs/>
          <w:sz w:val="24"/>
          <w:szCs w:val="24"/>
        </w:rPr>
        <w:t>P</w:t>
      </w:r>
      <w:r w:rsidR="00F760DE" w:rsidRPr="00DF2DC9">
        <w:rPr>
          <w:rFonts w:ascii="Tahoma" w:hAnsi="Tahoma" w:cs="Tahoma"/>
          <w:bCs/>
          <w:sz w:val="24"/>
          <w:szCs w:val="24"/>
        </w:rPr>
        <w:t>rimero Laboral del Circuito de Pereira, por lo expuesto en la parte motiva</w:t>
      </w:r>
      <w:r w:rsidR="001478AB" w:rsidRPr="00DF2DC9">
        <w:rPr>
          <w:rFonts w:ascii="Tahoma" w:hAnsi="Tahoma" w:cs="Tahoma"/>
          <w:bCs/>
          <w:sz w:val="24"/>
          <w:szCs w:val="24"/>
        </w:rPr>
        <w:t xml:space="preserve"> de esta providencia</w:t>
      </w:r>
      <w:r w:rsidR="00F760DE" w:rsidRPr="00DF2DC9">
        <w:rPr>
          <w:rFonts w:ascii="Tahoma" w:hAnsi="Tahoma" w:cs="Tahoma"/>
          <w:bCs/>
          <w:sz w:val="24"/>
          <w:szCs w:val="24"/>
        </w:rPr>
        <w:t>.</w:t>
      </w:r>
    </w:p>
    <w:p w14:paraId="77865742" w14:textId="77777777" w:rsidR="00F25882" w:rsidRPr="00DF2DC9" w:rsidRDefault="00F25882" w:rsidP="00DF2DC9">
      <w:pPr>
        <w:pStyle w:val="Prrafodelista"/>
        <w:spacing w:after="0" w:line="276" w:lineRule="auto"/>
        <w:ind w:left="0" w:firstLine="708"/>
        <w:jc w:val="both"/>
        <w:rPr>
          <w:rFonts w:ascii="Tahoma" w:hAnsi="Tahoma" w:cs="Tahoma"/>
          <w:sz w:val="24"/>
          <w:szCs w:val="24"/>
        </w:rPr>
      </w:pPr>
    </w:p>
    <w:p w14:paraId="5117E934" w14:textId="5AA1C314" w:rsidR="00B95727" w:rsidRPr="00DF2DC9" w:rsidRDefault="007E6814" w:rsidP="00DF2DC9">
      <w:pPr>
        <w:spacing w:after="0" w:line="276" w:lineRule="auto"/>
        <w:jc w:val="both"/>
        <w:rPr>
          <w:rFonts w:ascii="Tahoma" w:eastAsia="Calibri" w:hAnsi="Tahoma" w:cs="Tahoma"/>
          <w:sz w:val="24"/>
          <w:szCs w:val="24"/>
        </w:rPr>
      </w:pPr>
      <w:r w:rsidRPr="00DF2DC9">
        <w:rPr>
          <w:rFonts w:ascii="Tahoma" w:eastAsia="Calibri" w:hAnsi="Tahoma" w:cs="Tahoma"/>
          <w:b/>
          <w:bCs/>
          <w:sz w:val="24"/>
          <w:szCs w:val="24"/>
        </w:rPr>
        <w:t>SEGUNDO</w:t>
      </w:r>
      <w:r w:rsidR="00805E14" w:rsidRPr="00DF2DC9">
        <w:rPr>
          <w:rFonts w:ascii="Tahoma" w:eastAsia="Calibri" w:hAnsi="Tahoma" w:cs="Tahoma"/>
          <w:b/>
          <w:bCs/>
          <w:sz w:val="24"/>
          <w:szCs w:val="24"/>
        </w:rPr>
        <w:t xml:space="preserve">: </w:t>
      </w:r>
      <w:r w:rsidR="00F760DE" w:rsidRPr="00DF2DC9">
        <w:rPr>
          <w:rFonts w:ascii="Tahoma" w:eastAsia="Calibri" w:hAnsi="Tahoma" w:cs="Tahoma"/>
          <w:b/>
          <w:bCs/>
          <w:sz w:val="24"/>
          <w:szCs w:val="24"/>
        </w:rPr>
        <w:t xml:space="preserve">NOTIFÍQUESE </w:t>
      </w:r>
      <w:r w:rsidR="00F760DE" w:rsidRPr="00DF2DC9">
        <w:rPr>
          <w:rFonts w:ascii="Tahoma" w:eastAsia="Calibri" w:hAnsi="Tahoma" w:cs="Tahoma"/>
          <w:bCs/>
          <w:sz w:val="24"/>
          <w:szCs w:val="24"/>
        </w:rPr>
        <w:t>la decisión por el medio más eficaz.</w:t>
      </w:r>
    </w:p>
    <w:p w14:paraId="2A4D0DCF" w14:textId="77777777" w:rsidR="00B95727" w:rsidRPr="00DF2DC9" w:rsidRDefault="00B95727" w:rsidP="00DF2DC9">
      <w:pPr>
        <w:spacing w:after="0" w:line="276" w:lineRule="auto"/>
        <w:ind w:firstLine="708"/>
        <w:jc w:val="both"/>
        <w:rPr>
          <w:rFonts w:ascii="Tahoma" w:eastAsia="Calibri" w:hAnsi="Tahoma" w:cs="Tahoma"/>
          <w:sz w:val="24"/>
          <w:szCs w:val="24"/>
        </w:rPr>
      </w:pPr>
    </w:p>
    <w:p w14:paraId="3B9F30F1" w14:textId="6FFE75FF" w:rsidR="00805E14" w:rsidRPr="00DF2DC9" w:rsidRDefault="00B95727" w:rsidP="00DF2DC9">
      <w:pPr>
        <w:spacing w:after="0" w:line="276" w:lineRule="auto"/>
        <w:jc w:val="both"/>
        <w:rPr>
          <w:rFonts w:ascii="Tahoma" w:eastAsia="Calibri" w:hAnsi="Tahoma" w:cs="Tahoma"/>
          <w:bCs/>
          <w:sz w:val="24"/>
          <w:szCs w:val="24"/>
        </w:rPr>
      </w:pPr>
      <w:r w:rsidRPr="00DF2DC9">
        <w:rPr>
          <w:rFonts w:ascii="Tahoma" w:eastAsia="Calibri" w:hAnsi="Tahoma" w:cs="Tahoma"/>
          <w:b/>
          <w:bCs/>
          <w:sz w:val="24"/>
          <w:szCs w:val="24"/>
        </w:rPr>
        <w:t>TERCERO:</w:t>
      </w:r>
      <w:r w:rsidR="00102545">
        <w:rPr>
          <w:rFonts w:ascii="Tahoma" w:eastAsia="Calibri" w:hAnsi="Tahoma" w:cs="Tahoma"/>
          <w:b/>
          <w:bCs/>
          <w:sz w:val="24"/>
          <w:szCs w:val="24"/>
        </w:rPr>
        <w:t xml:space="preserve"> </w:t>
      </w:r>
      <w:r w:rsidR="00F760DE" w:rsidRPr="00DF2DC9">
        <w:rPr>
          <w:rFonts w:ascii="Tahoma" w:eastAsia="Calibri" w:hAnsi="Tahoma" w:cs="Tahoma"/>
          <w:b/>
          <w:bCs/>
          <w:sz w:val="24"/>
          <w:szCs w:val="24"/>
        </w:rPr>
        <w:t>REMÍTASE</w:t>
      </w:r>
      <w:r w:rsidR="00805E14" w:rsidRPr="00DF2DC9">
        <w:rPr>
          <w:rFonts w:ascii="Tahoma" w:eastAsia="Calibri" w:hAnsi="Tahoma" w:cs="Tahoma"/>
          <w:bCs/>
          <w:sz w:val="24"/>
          <w:szCs w:val="24"/>
        </w:rPr>
        <w:t xml:space="preserve"> el expediente a la Corte Constitucional para su eventual revisión, conforme al artículo 31 del Decreto 2591 de 1991.</w:t>
      </w:r>
    </w:p>
    <w:p w14:paraId="781481E6" w14:textId="06FC4F44" w:rsidR="002E1E9E" w:rsidRPr="00DF2DC9" w:rsidRDefault="002E1E9E" w:rsidP="005E5951">
      <w:pPr>
        <w:spacing w:after="0" w:line="276" w:lineRule="auto"/>
        <w:rPr>
          <w:rFonts w:ascii="Tahoma" w:hAnsi="Tahoma" w:cs="Tahoma"/>
          <w:sz w:val="24"/>
          <w:szCs w:val="24"/>
          <w:lang w:val="es-419"/>
        </w:rPr>
      </w:pPr>
    </w:p>
    <w:p w14:paraId="02FCD798" w14:textId="77777777" w:rsidR="002E1E9E" w:rsidRPr="00DF2DC9" w:rsidRDefault="002E1E9E" w:rsidP="00DF2DC9">
      <w:pPr>
        <w:pStyle w:val="Prrafodelista"/>
        <w:suppressAutoHyphens/>
        <w:spacing w:after="0" w:line="276" w:lineRule="auto"/>
        <w:ind w:firstLine="709"/>
        <w:jc w:val="center"/>
        <w:rPr>
          <w:rFonts w:ascii="Tahoma" w:hAnsi="Tahoma" w:cs="Tahoma"/>
          <w:b/>
          <w:sz w:val="24"/>
          <w:szCs w:val="24"/>
        </w:rPr>
      </w:pPr>
      <w:r w:rsidRPr="00DF2DC9">
        <w:rPr>
          <w:rFonts w:ascii="Tahoma" w:hAnsi="Tahoma" w:cs="Tahoma"/>
          <w:b/>
          <w:sz w:val="24"/>
          <w:szCs w:val="24"/>
        </w:rPr>
        <w:t>Notifíquese y Cúmplase</w:t>
      </w:r>
    </w:p>
    <w:p w14:paraId="38E7983E" w14:textId="77777777" w:rsidR="002E1E9E" w:rsidRPr="00DF2DC9" w:rsidRDefault="002E1E9E" w:rsidP="00DF2DC9">
      <w:pPr>
        <w:pStyle w:val="Sinespaciado"/>
        <w:spacing w:line="276" w:lineRule="auto"/>
        <w:ind w:firstLine="709"/>
        <w:rPr>
          <w:rFonts w:ascii="Tahoma" w:hAnsi="Tahoma" w:cs="Tahoma"/>
          <w:sz w:val="24"/>
          <w:szCs w:val="24"/>
        </w:rPr>
      </w:pPr>
    </w:p>
    <w:p w14:paraId="43CB4FBA" w14:textId="77777777" w:rsidR="00DF2DC9" w:rsidRPr="00DF2DC9" w:rsidRDefault="00DF2DC9" w:rsidP="00DF2DC9">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3" w:name="_Hlk87360677"/>
      <w:r w:rsidRPr="00DF2DC9">
        <w:rPr>
          <w:rFonts w:ascii="Tahoma" w:eastAsia="Times New Roman" w:hAnsi="Tahoma" w:cs="Tahoma"/>
          <w:sz w:val="24"/>
          <w:szCs w:val="24"/>
          <w:lang w:val="es-ES" w:eastAsia="es-ES"/>
        </w:rPr>
        <w:tab/>
        <w:t>La Magistrada ponente,</w:t>
      </w:r>
    </w:p>
    <w:p w14:paraId="69BE7BFE"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4BA7AEEB"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7AEE3992"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20238BD4" w14:textId="77777777" w:rsidR="00DF2DC9" w:rsidRPr="00DF2DC9" w:rsidRDefault="00DF2DC9" w:rsidP="00DF2DC9">
      <w:pPr>
        <w:keepNext/>
        <w:spacing w:after="0" w:line="276" w:lineRule="auto"/>
        <w:jc w:val="center"/>
        <w:outlineLvl w:val="2"/>
        <w:rPr>
          <w:rFonts w:ascii="Tahoma" w:eastAsia="Times New Roman" w:hAnsi="Tahoma" w:cs="Tahoma"/>
          <w:b/>
          <w:bCs/>
          <w:sz w:val="24"/>
          <w:szCs w:val="24"/>
          <w:lang w:val="es-ES" w:eastAsia="es-ES"/>
        </w:rPr>
      </w:pPr>
      <w:r w:rsidRPr="00DF2DC9">
        <w:rPr>
          <w:rFonts w:ascii="Tahoma" w:eastAsia="Times New Roman" w:hAnsi="Tahoma" w:cs="Tahoma"/>
          <w:b/>
          <w:bCs/>
          <w:sz w:val="24"/>
          <w:szCs w:val="24"/>
          <w:lang w:val="es-ES" w:eastAsia="es-ES"/>
        </w:rPr>
        <w:t>ANA LUCÍA CAICEDO CALDERÓN</w:t>
      </w:r>
    </w:p>
    <w:p w14:paraId="0EB80C2D"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45B7CAC0" w14:textId="77777777" w:rsidR="00DF2DC9" w:rsidRPr="00DF2DC9" w:rsidRDefault="00DF2DC9" w:rsidP="00DF2DC9">
      <w:pPr>
        <w:spacing w:after="0" w:line="276" w:lineRule="auto"/>
        <w:ind w:firstLine="708"/>
        <w:rPr>
          <w:rFonts w:ascii="Tahoma" w:eastAsia="Times New Roman" w:hAnsi="Tahoma" w:cs="Tahoma"/>
          <w:sz w:val="24"/>
          <w:szCs w:val="24"/>
          <w:lang w:val="es-ES" w:eastAsia="es-ES"/>
        </w:rPr>
      </w:pPr>
      <w:bookmarkStart w:id="4" w:name="_Hlk62478330"/>
      <w:r w:rsidRPr="00DF2DC9">
        <w:rPr>
          <w:rFonts w:ascii="Tahoma" w:eastAsia="Times New Roman" w:hAnsi="Tahoma" w:cs="Tahoma"/>
          <w:sz w:val="24"/>
          <w:szCs w:val="24"/>
          <w:lang w:val="es-ES" w:eastAsia="es-ES"/>
        </w:rPr>
        <w:t>La Magistrada y el Magistrado,</w:t>
      </w:r>
    </w:p>
    <w:p w14:paraId="36EA0EA1"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4C3FF906"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4D414068" w14:textId="77777777" w:rsidR="00DF2DC9" w:rsidRPr="00DF2DC9" w:rsidRDefault="00DF2DC9" w:rsidP="00DF2DC9">
      <w:pPr>
        <w:spacing w:after="0" w:line="276" w:lineRule="auto"/>
        <w:rPr>
          <w:rFonts w:ascii="Tahoma" w:eastAsia="Times New Roman" w:hAnsi="Tahoma" w:cs="Tahoma"/>
          <w:sz w:val="24"/>
          <w:szCs w:val="24"/>
          <w:lang w:val="es-ES" w:eastAsia="es-ES"/>
        </w:rPr>
      </w:pPr>
    </w:p>
    <w:p w14:paraId="48F181A3" w14:textId="43B5BE2E" w:rsidR="008757AD" w:rsidRPr="00DF2DC9" w:rsidRDefault="00DF2DC9" w:rsidP="00DF2DC9">
      <w:pPr>
        <w:spacing w:after="0" w:line="276" w:lineRule="auto"/>
        <w:jc w:val="both"/>
        <w:rPr>
          <w:rFonts w:ascii="Tahoma" w:eastAsia="Times New Roman" w:hAnsi="Tahoma" w:cs="Tahoma"/>
          <w:b/>
          <w:bCs/>
          <w:sz w:val="24"/>
          <w:szCs w:val="24"/>
          <w:lang w:val="es-ES" w:eastAsia="es-ES"/>
        </w:rPr>
      </w:pPr>
      <w:r w:rsidRPr="00DF2DC9">
        <w:rPr>
          <w:rFonts w:ascii="Tahoma" w:eastAsia="Times New Roman" w:hAnsi="Tahoma" w:cs="Tahoma"/>
          <w:b/>
          <w:bCs/>
          <w:sz w:val="24"/>
          <w:szCs w:val="24"/>
          <w:lang w:val="es-ES" w:eastAsia="es-ES"/>
        </w:rPr>
        <w:t>OLGA LUCÍA HOYOS SEPÚLVEDA</w:t>
      </w:r>
      <w:r w:rsidRPr="00DF2DC9">
        <w:rPr>
          <w:rFonts w:ascii="Tahoma" w:eastAsia="Times New Roman" w:hAnsi="Tahoma" w:cs="Tahoma"/>
          <w:b/>
          <w:bCs/>
          <w:sz w:val="24"/>
          <w:szCs w:val="24"/>
          <w:lang w:val="es-ES" w:eastAsia="es-ES"/>
        </w:rPr>
        <w:tab/>
      </w:r>
      <w:r w:rsidRPr="00DF2DC9">
        <w:rPr>
          <w:rFonts w:ascii="Tahoma" w:eastAsia="Times New Roman" w:hAnsi="Tahoma" w:cs="Tahoma"/>
          <w:b/>
          <w:bCs/>
          <w:sz w:val="24"/>
          <w:szCs w:val="24"/>
          <w:lang w:val="es-ES" w:eastAsia="es-ES"/>
        </w:rPr>
        <w:tab/>
        <w:t>GERMÁN DARÍO GÓEZ VINASCO</w:t>
      </w:r>
      <w:bookmarkEnd w:id="3"/>
      <w:bookmarkEnd w:id="4"/>
    </w:p>
    <w:sectPr w:rsidR="008757AD" w:rsidRPr="00DF2DC9" w:rsidSect="00DF2DC9">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B8E9C0" w16cex:dateUtc="2021-10-19T12:55:50.4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DC91E" w14:textId="77777777" w:rsidR="00171EDA" w:rsidRDefault="00171EDA" w:rsidP="00F031A8">
      <w:pPr>
        <w:spacing w:after="0" w:line="240" w:lineRule="auto"/>
      </w:pPr>
      <w:r>
        <w:separator/>
      </w:r>
    </w:p>
  </w:endnote>
  <w:endnote w:type="continuationSeparator" w:id="0">
    <w:p w14:paraId="3BD73F3C" w14:textId="77777777" w:rsidR="00171EDA" w:rsidRDefault="00171EDA" w:rsidP="00F0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198775"/>
      <w:docPartObj>
        <w:docPartGallery w:val="Page Numbers (Bottom of Page)"/>
        <w:docPartUnique/>
      </w:docPartObj>
    </w:sdtPr>
    <w:sdtEndPr/>
    <w:sdtContent>
      <w:p w14:paraId="587075F1" w14:textId="0441CEBA" w:rsidR="00102545" w:rsidRDefault="00102545">
        <w:pPr>
          <w:pStyle w:val="Piedepgina"/>
          <w:jc w:val="right"/>
        </w:pPr>
        <w:r>
          <w:fldChar w:fldCharType="begin"/>
        </w:r>
        <w:r>
          <w:instrText>PAGE   \* MERGEFORMAT</w:instrText>
        </w:r>
        <w:r>
          <w:fldChar w:fldCharType="separate"/>
        </w:r>
        <w:r w:rsidRPr="00E5068E">
          <w:rPr>
            <w:noProof/>
            <w:lang w:val="es-ES"/>
          </w:rPr>
          <w:t>10</w:t>
        </w:r>
        <w:r>
          <w:fldChar w:fldCharType="end"/>
        </w:r>
      </w:p>
    </w:sdtContent>
  </w:sdt>
  <w:p w14:paraId="4EE77356" w14:textId="77777777" w:rsidR="00102545" w:rsidRDefault="001025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414714"/>
      <w:docPartObj>
        <w:docPartGallery w:val="Page Numbers (Bottom of Page)"/>
        <w:docPartUnique/>
      </w:docPartObj>
    </w:sdtPr>
    <w:sdtEndPr/>
    <w:sdtContent>
      <w:p w14:paraId="5536EF8B" w14:textId="3D59F671" w:rsidR="00102545" w:rsidRDefault="00102545">
        <w:pPr>
          <w:pStyle w:val="Piedepgina"/>
          <w:jc w:val="right"/>
        </w:pPr>
        <w:r>
          <w:fldChar w:fldCharType="begin"/>
        </w:r>
        <w:r>
          <w:instrText>PAGE   \* MERGEFORMAT</w:instrText>
        </w:r>
        <w:r>
          <w:fldChar w:fldCharType="separate"/>
        </w:r>
        <w:r w:rsidRPr="0015620C">
          <w:rPr>
            <w:noProof/>
            <w:lang w:val="es-ES"/>
          </w:rPr>
          <w:t>1</w:t>
        </w:r>
        <w:r>
          <w:fldChar w:fldCharType="end"/>
        </w:r>
      </w:p>
    </w:sdtContent>
  </w:sdt>
  <w:p w14:paraId="686A6361" w14:textId="77777777" w:rsidR="00102545" w:rsidRDefault="00102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41038" w14:textId="77777777" w:rsidR="00171EDA" w:rsidRDefault="00171EDA" w:rsidP="00F031A8">
      <w:pPr>
        <w:spacing w:after="0" w:line="240" w:lineRule="auto"/>
      </w:pPr>
      <w:r>
        <w:separator/>
      </w:r>
    </w:p>
  </w:footnote>
  <w:footnote w:type="continuationSeparator" w:id="0">
    <w:p w14:paraId="6E42924D" w14:textId="77777777" w:rsidR="00171EDA" w:rsidRDefault="00171EDA" w:rsidP="00F031A8">
      <w:pPr>
        <w:spacing w:after="0" w:line="240" w:lineRule="auto"/>
      </w:pPr>
      <w:r>
        <w:continuationSeparator/>
      </w:r>
    </w:p>
  </w:footnote>
  <w:footnote w:id="1">
    <w:p w14:paraId="6FF982F5" w14:textId="6F40A177" w:rsidR="00102545" w:rsidRPr="005B0DC1" w:rsidRDefault="00102545" w:rsidP="005B0DC1">
      <w:pPr>
        <w:pStyle w:val="Textonotapie"/>
        <w:jc w:val="both"/>
        <w:rPr>
          <w:rFonts w:ascii="Arial" w:hAnsi="Arial" w:cs="Arial"/>
          <w:sz w:val="18"/>
        </w:rPr>
      </w:pPr>
      <w:r w:rsidRPr="005B0DC1">
        <w:rPr>
          <w:rStyle w:val="Refdenotaalpie"/>
          <w:rFonts w:ascii="Arial" w:hAnsi="Arial" w:cs="Arial"/>
          <w:sz w:val="18"/>
        </w:rPr>
        <w:footnoteRef/>
      </w:r>
      <w:r w:rsidRPr="005B0DC1">
        <w:rPr>
          <w:rFonts w:ascii="Arial" w:hAnsi="Arial" w:cs="Arial"/>
          <w:sz w:val="18"/>
        </w:rPr>
        <w:t>extension://efaidnbmnnnibpcajpcglclefindmkaj/viewer.html?pdfurl=https%3A%2F%2Fwww.invima.gov.co%2Fdocuments%2F20143%2F522552%2FPLATAFORMA%2BESTRATEGICA%2B2011-2014.pdf%2F31e64448-97f5-84cb-e678-a232c5e295a3%3Ft%3D1560555537516&amp;clen=549759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2D31"/>
    <w:multiLevelType w:val="hybridMultilevel"/>
    <w:tmpl w:val="E806AB82"/>
    <w:lvl w:ilvl="0" w:tplc="DDB03DEC">
      <w:start w:val="1"/>
      <w:numFmt w:val="lowerLetter"/>
      <w:lvlText w:val="%1."/>
      <w:lvlJc w:val="left"/>
      <w:pPr>
        <w:ind w:left="1776" w:hanging="360"/>
      </w:pPr>
      <w:rPr>
        <w:rFonts w:hint="default"/>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 w15:restartNumberingAfterBreak="0">
    <w:nsid w:val="09635399"/>
    <w:multiLevelType w:val="hybridMultilevel"/>
    <w:tmpl w:val="F2DED250"/>
    <w:lvl w:ilvl="0" w:tplc="85B29A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4E3D9F"/>
    <w:multiLevelType w:val="multilevel"/>
    <w:tmpl w:val="76D8C9EC"/>
    <w:lvl w:ilvl="0">
      <w:start w:val="1"/>
      <w:numFmt w:val="decimal"/>
      <w:lvlText w:val="%1."/>
      <w:lvlJc w:val="left"/>
      <w:pPr>
        <w:ind w:left="360" w:hanging="360"/>
      </w:pPr>
      <w:rPr>
        <w:b/>
        <w:bCs/>
      </w:rPr>
    </w:lvl>
    <w:lvl w:ilvl="1">
      <w:start w:val="1"/>
      <w:numFmt w:val="decimal"/>
      <w:isLgl/>
      <w:lvlText w:val="%1.%2"/>
      <w:lvlJc w:val="left"/>
      <w:pPr>
        <w:ind w:left="1440" w:hanging="720"/>
      </w:pPr>
      <w:rPr>
        <w:rFonts w:ascii="Tahoma" w:hAnsi="Tahoma" w:cs="Tahoma" w:hint="default"/>
        <w:b/>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0EA50FE3"/>
    <w:multiLevelType w:val="multilevel"/>
    <w:tmpl w:val="792E4EA6"/>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7B05E0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F4A18CB"/>
    <w:multiLevelType w:val="multilevel"/>
    <w:tmpl w:val="D5DA97DC"/>
    <w:lvl w:ilvl="0">
      <w:start w:val="5"/>
      <w:numFmt w:val="decimal"/>
      <w:lvlText w:val="%1"/>
      <w:lvlJc w:val="left"/>
      <w:pPr>
        <w:ind w:left="375" w:hanging="37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7" w15:restartNumberingAfterBreak="0">
    <w:nsid w:val="21AF6F8F"/>
    <w:multiLevelType w:val="hybridMultilevel"/>
    <w:tmpl w:val="2CF28A42"/>
    <w:lvl w:ilvl="0" w:tplc="FE246C90">
      <w:start w:val="1"/>
      <w:numFmt w:val="upperRoman"/>
      <w:lvlText w:val="%1."/>
      <w:lvlJc w:val="left"/>
      <w:pPr>
        <w:ind w:left="4260" w:hanging="72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8" w15:restartNumberingAfterBreak="0">
    <w:nsid w:val="3495676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0F2782"/>
    <w:multiLevelType w:val="multilevel"/>
    <w:tmpl w:val="CD76D4E2"/>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46363F8C"/>
    <w:multiLevelType w:val="hybridMultilevel"/>
    <w:tmpl w:val="EBF00A32"/>
    <w:lvl w:ilvl="0" w:tplc="658648A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5EDF59E8"/>
    <w:multiLevelType w:val="hybridMultilevel"/>
    <w:tmpl w:val="216C86D2"/>
    <w:lvl w:ilvl="0" w:tplc="4A029DCC">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15:restartNumberingAfterBreak="0">
    <w:nsid w:val="62A52F30"/>
    <w:multiLevelType w:val="hybridMultilevel"/>
    <w:tmpl w:val="DC16D758"/>
    <w:lvl w:ilvl="0" w:tplc="240A0019">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3" w15:restartNumberingAfterBreak="0">
    <w:nsid w:val="74BE5FD9"/>
    <w:multiLevelType w:val="multilevel"/>
    <w:tmpl w:val="124C2938"/>
    <w:lvl w:ilvl="0">
      <w:start w:val="1"/>
      <w:numFmt w:val="upperRoman"/>
      <w:lvlText w:val="%1."/>
      <w:lvlJc w:val="left"/>
      <w:pPr>
        <w:ind w:left="780"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13"/>
  </w:num>
  <w:num w:numId="3">
    <w:abstractNumId w:val="9"/>
  </w:num>
  <w:num w:numId="4">
    <w:abstractNumId w:val="3"/>
  </w:num>
  <w:num w:numId="5">
    <w:abstractNumId w:val="6"/>
  </w:num>
  <w:num w:numId="6">
    <w:abstractNumId w:val="7"/>
  </w:num>
  <w:num w:numId="7">
    <w:abstractNumId w:val="2"/>
  </w:num>
  <w:num w:numId="8">
    <w:abstractNumId w:val="11"/>
  </w:num>
  <w:num w:numId="9">
    <w:abstractNumId w:val="1"/>
  </w:num>
  <w:num w:numId="10">
    <w:abstractNumId w:val="8"/>
  </w:num>
  <w:num w:numId="11">
    <w:abstractNumId w:val="4"/>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21B4"/>
    <w:rsid w:val="00007111"/>
    <w:rsid w:val="00015280"/>
    <w:rsid w:val="000159B2"/>
    <w:rsid w:val="000174C5"/>
    <w:rsid w:val="000220E8"/>
    <w:rsid w:val="00022E70"/>
    <w:rsid w:val="0002444D"/>
    <w:rsid w:val="00040EF3"/>
    <w:rsid w:val="00042526"/>
    <w:rsid w:val="0006451C"/>
    <w:rsid w:val="0006713F"/>
    <w:rsid w:val="00071CC4"/>
    <w:rsid w:val="00085EA7"/>
    <w:rsid w:val="000B6C52"/>
    <w:rsid w:val="000B72CC"/>
    <w:rsid w:val="000C2703"/>
    <w:rsid w:val="000C65C2"/>
    <w:rsid w:val="000C6C03"/>
    <w:rsid w:val="000D2E09"/>
    <w:rsid w:val="000E2A09"/>
    <w:rsid w:val="000F2035"/>
    <w:rsid w:val="000F236E"/>
    <w:rsid w:val="000F4928"/>
    <w:rsid w:val="00102545"/>
    <w:rsid w:val="00102D3F"/>
    <w:rsid w:val="00104E91"/>
    <w:rsid w:val="001118B9"/>
    <w:rsid w:val="001171E8"/>
    <w:rsid w:val="00117844"/>
    <w:rsid w:val="001223B4"/>
    <w:rsid w:val="0012434C"/>
    <w:rsid w:val="0013364A"/>
    <w:rsid w:val="00140F06"/>
    <w:rsid w:val="00142391"/>
    <w:rsid w:val="001478AB"/>
    <w:rsid w:val="0015620C"/>
    <w:rsid w:val="00162F3D"/>
    <w:rsid w:val="00164537"/>
    <w:rsid w:val="001710DD"/>
    <w:rsid w:val="00171EDA"/>
    <w:rsid w:val="0018312E"/>
    <w:rsid w:val="001A2E91"/>
    <w:rsid w:val="001A6525"/>
    <w:rsid w:val="001A7C05"/>
    <w:rsid w:val="001B2B0F"/>
    <w:rsid w:val="001B2CCB"/>
    <w:rsid w:val="001C582E"/>
    <w:rsid w:val="001D1A41"/>
    <w:rsid w:val="001D1FC2"/>
    <w:rsid w:val="001E03F1"/>
    <w:rsid w:val="001E0FB4"/>
    <w:rsid w:val="001E2ACD"/>
    <w:rsid w:val="001E4D32"/>
    <w:rsid w:val="001E5096"/>
    <w:rsid w:val="001F5383"/>
    <w:rsid w:val="002010B4"/>
    <w:rsid w:val="002042C4"/>
    <w:rsid w:val="00204F2D"/>
    <w:rsid w:val="00212651"/>
    <w:rsid w:val="0021265C"/>
    <w:rsid w:val="002206A9"/>
    <w:rsid w:val="0022708C"/>
    <w:rsid w:val="002278DD"/>
    <w:rsid w:val="002328C0"/>
    <w:rsid w:val="0024454A"/>
    <w:rsid w:val="002503B3"/>
    <w:rsid w:val="00250CE5"/>
    <w:rsid w:val="00251481"/>
    <w:rsid w:val="0025477D"/>
    <w:rsid w:val="0026286E"/>
    <w:rsid w:val="0026530E"/>
    <w:rsid w:val="00267E7F"/>
    <w:rsid w:val="00272DB1"/>
    <w:rsid w:val="00283509"/>
    <w:rsid w:val="002857A6"/>
    <w:rsid w:val="00293D59"/>
    <w:rsid w:val="00294AC3"/>
    <w:rsid w:val="002B66E9"/>
    <w:rsid w:val="002C5BB5"/>
    <w:rsid w:val="002C7D17"/>
    <w:rsid w:val="002D31B6"/>
    <w:rsid w:val="002D583B"/>
    <w:rsid w:val="002D7546"/>
    <w:rsid w:val="002D7D42"/>
    <w:rsid w:val="002E15B7"/>
    <w:rsid w:val="002E1E9E"/>
    <w:rsid w:val="002E66E5"/>
    <w:rsid w:val="002E6ADE"/>
    <w:rsid w:val="002F31EF"/>
    <w:rsid w:val="00306500"/>
    <w:rsid w:val="00307C58"/>
    <w:rsid w:val="00311DCB"/>
    <w:rsid w:val="00312B67"/>
    <w:rsid w:val="0031622F"/>
    <w:rsid w:val="00321BC0"/>
    <w:rsid w:val="0032356F"/>
    <w:rsid w:val="003323FC"/>
    <w:rsid w:val="003324AE"/>
    <w:rsid w:val="00333B6B"/>
    <w:rsid w:val="00343C59"/>
    <w:rsid w:val="00346A7F"/>
    <w:rsid w:val="00347127"/>
    <w:rsid w:val="003506A9"/>
    <w:rsid w:val="003507BE"/>
    <w:rsid w:val="00351003"/>
    <w:rsid w:val="00352359"/>
    <w:rsid w:val="00362BE4"/>
    <w:rsid w:val="00362F39"/>
    <w:rsid w:val="00365433"/>
    <w:rsid w:val="00381775"/>
    <w:rsid w:val="003818E6"/>
    <w:rsid w:val="003921BC"/>
    <w:rsid w:val="0039575A"/>
    <w:rsid w:val="003A1CA3"/>
    <w:rsid w:val="003A2B58"/>
    <w:rsid w:val="003A45B9"/>
    <w:rsid w:val="003A502D"/>
    <w:rsid w:val="003A54BF"/>
    <w:rsid w:val="003A6853"/>
    <w:rsid w:val="003C0BC1"/>
    <w:rsid w:val="003C2699"/>
    <w:rsid w:val="003C7B25"/>
    <w:rsid w:val="003C7C57"/>
    <w:rsid w:val="003D234A"/>
    <w:rsid w:val="003D47A8"/>
    <w:rsid w:val="003D7037"/>
    <w:rsid w:val="003E451D"/>
    <w:rsid w:val="003F2007"/>
    <w:rsid w:val="003F38AB"/>
    <w:rsid w:val="003F538E"/>
    <w:rsid w:val="00401B90"/>
    <w:rsid w:val="00401EF9"/>
    <w:rsid w:val="00413FF5"/>
    <w:rsid w:val="0041414C"/>
    <w:rsid w:val="00420CAC"/>
    <w:rsid w:val="0042182A"/>
    <w:rsid w:val="00422898"/>
    <w:rsid w:val="00424001"/>
    <w:rsid w:val="00444E52"/>
    <w:rsid w:val="00452056"/>
    <w:rsid w:val="004570EB"/>
    <w:rsid w:val="00457EAB"/>
    <w:rsid w:val="00461439"/>
    <w:rsid w:val="00470470"/>
    <w:rsid w:val="00470D57"/>
    <w:rsid w:val="00481A79"/>
    <w:rsid w:val="004833B3"/>
    <w:rsid w:val="00485A99"/>
    <w:rsid w:val="004A371E"/>
    <w:rsid w:val="004D1373"/>
    <w:rsid w:val="004D2541"/>
    <w:rsid w:val="004D2918"/>
    <w:rsid w:val="004E263C"/>
    <w:rsid w:val="004E4C6E"/>
    <w:rsid w:val="004F1EA4"/>
    <w:rsid w:val="00501CE0"/>
    <w:rsid w:val="00503CBA"/>
    <w:rsid w:val="005070DC"/>
    <w:rsid w:val="00520563"/>
    <w:rsid w:val="005261E9"/>
    <w:rsid w:val="005266DF"/>
    <w:rsid w:val="00527D54"/>
    <w:rsid w:val="00530328"/>
    <w:rsid w:val="005364EB"/>
    <w:rsid w:val="005502D6"/>
    <w:rsid w:val="00552AD6"/>
    <w:rsid w:val="005564E0"/>
    <w:rsid w:val="00560756"/>
    <w:rsid w:val="00561417"/>
    <w:rsid w:val="005619F3"/>
    <w:rsid w:val="00566023"/>
    <w:rsid w:val="00567421"/>
    <w:rsid w:val="00575F27"/>
    <w:rsid w:val="005822FF"/>
    <w:rsid w:val="0059502E"/>
    <w:rsid w:val="005A06BB"/>
    <w:rsid w:val="005B0DC1"/>
    <w:rsid w:val="005D5FC4"/>
    <w:rsid w:val="005D6813"/>
    <w:rsid w:val="005E5043"/>
    <w:rsid w:val="005E5951"/>
    <w:rsid w:val="005F0874"/>
    <w:rsid w:val="005F2EF0"/>
    <w:rsid w:val="005F3D89"/>
    <w:rsid w:val="005F4C5A"/>
    <w:rsid w:val="005F57B1"/>
    <w:rsid w:val="005F6D96"/>
    <w:rsid w:val="00603230"/>
    <w:rsid w:val="00613F46"/>
    <w:rsid w:val="00614025"/>
    <w:rsid w:val="00614BB2"/>
    <w:rsid w:val="006174AD"/>
    <w:rsid w:val="00624B7D"/>
    <w:rsid w:val="00634704"/>
    <w:rsid w:val="00634871"/>
    <w:rsid w:val="006374E3"/>
    <w:rsid w:val="00642162"/>
    <w:rsid w:val="006570F5"/>
    <w:rsid w:val="006757D1"/>
    <w:rsid w:val="00690848"/>
    <w:rsid w:val="00692F2F"/>
    <w:rsid w:val="00694E5F"/>
    <w:rsid w:val="0069509A"/>
    <w:rsid w:val="0069725B"/>
    <w:rsid w:val="006A2EE8"/>
    <w:rsid w:val="006A342B"/>
    <w:rsid w:val="006A34E3"/>
    <w:rsid w:val="006A5D74"/>
    <w:rsid w:val="006B1C21"/>
    <w:rsid w:val="006C0AD5"/>
    <w:rsid w:val="006C2720"/>
    <w:rsid w:val="006C3278"/>
    <w:rsid w:val="006C3FC2"/>
    <w:rsid w:val="006C7081"/>
    <w:rsid w:val="006D48B9"/>
    <w:rsid w:val="006D78AB"/>
    <w:rsid w:val="006E1041"/>
    <w:rsid w:val="006E221F"/>
    <w:rsid w:val="006E2668"/>
    <w:rsid w:val="006E64A3"/>
    <w:rsid w:val="006E64F0"/>
    <w:rsid w:val="006E7774"/>
    <w:rsid w:val="006F4DC8"/>
    <w:rsid w:val="007031B6"/>
    <w:rsid w:val="00705DE2"/>
    <w:rsid w:val="007065DD"/>
    <w:rsid w:val="0071052E"/>
    <w:rsid w:val="00711FCE"/>
    <w:rsid w:val="00717515"/>
    <w:rsid w:val="00717D3C"/>
    <w:rsid w:val="007220D6"/>
    <w:rsid w:val="00725356"/>
    <w:rsid w:val="00727B39"/>
    <w:rsid w:val="00733AD9"/>
    <w:rsid w:val="00744D4E"/>
    <w:rsid w:val="00746F34"/>
    <w:rsid w:val="0075392E"/>
    <w:rsid w:val="00754A3B"/>
    <w:rsid w:val="00772630"/>
    <w:rsid w:val="007747BC"/>
    <w:rsid w:val="00783029"/>
    <w:rsid w:val="00784109"/>
    <w:rsid w:val="00784438"/>
    <w:rsid w:val="00792847"/>
    <w:rsid w:val="00792B1F"/>
    <w:rsid w:val="00793D83"/>
    <w:rsid w:val="007B4C41"/>
    <w:rsid w:val="007B77DF"/>
    <w:rsid w:val="007C040E"/>
    <w:rsid w:val="007C0973"/>
    <w:rsid w:val="007C5E40"/>
    <w:rsid w:val="007D2B5A"/>
    <w:rsid w:val="007D6FD2"/>
    <w:rsid w:val="007E0530"/>
    <w:rsid w:val="007E4C1A"/>
    <w:rsid w:val="007E6814"/>
    <w:rsid w:val="007F46EB"/>
    <w:rsid w:val="007F6703"/>
    <w:rsid w:val="008017C1"/>
    <w:rsid w:val="008037CF"/>
    <w:rsid w:val="00805C86"/>
    <w:rsid w:val="00805E14"/>
    <w:rsid w:val="0083073F"/>
    <w:rsid w:val="00835E13"/>
    <w:rsid w:val="00846BC1"/>
    <w:rsid w:val="00850ED2"/>
    <w:rsid w:val="00860F00"/>
    <w:rsid w:val="008627C4"/>
    <w:rsid w:val="00862ED7"/>
    <w:rsid w:val="00870C12"/>
    <w:rsid w:val="00871A4A"/>
    <w:rsid w:val="0087341C"/>
    <w:rsid w:val="008734EB"/>
    <w:rsid w:val="008757AD"/>
    <w:rsid w:val="00883F6E"/>
    <w:rsid w:val="008B2CC9"/>
    <w:rsid w:val="008B51EF"/>
    <w:rsid w:val="008C3F89"/>
    <w:rsid w:val="008D09BB"/>
    <w:rsid w:val="008D2196"/>
    <w:rsid w:val="008E34E3"/>
    <w:rsid w:val="008E38D2"/>
    <w:rsid w:val="008E4C54"/>
    <w:rsid w:val="008E4D18"/>
    <w:rsid w:val="008E7B2A"/>
    <w:rsid w:val="008F05BE"/>
    <w:rsid w:val="008F0A7D"/>
    <w:rsid w:val="00904773"/>
    <w:rsid w:val="00913C29"/>
    <w:rsid w:val="00914623"/>
    <w:rsid w:val="009178EE"/>
    <w:rsid w:val="00936B80"/>
    <w:rsid w:val="00953A7C"/>
    <w:rsid w:val="0096255F"/>
    <w:rsid w:val="00967613"/>
    <w:rsid w:val="00974356"/>
    <w:rsid w:val="00975668"/>
    <w:rsid w:val="0098290E"/>
    <w:rsid w:val="00982FEA"/>
    <w:rsid w:val="00983694"/>
    <w:rsid w:val="00983A96"/>
    <w:rsid w:val="00991EA5"/>
    <w:rsid w:val="00996A58"/>
    <w:rsid w:val="009A4A9B"/>
    <w:rsid w:val="009A7DC1"/>
    <w:rsid w:val="009B03B8"/>
    <w:rsid w:val="009B591A"/>
    <w:rsid w:val="009B7F35"/>
    <w:rsid w:val="009C35ED"/>
    <w:rsid w:val="009D4A7D"/>
    <w:rsid w:val="009E1614"/>
    <w:rsid w:val="009E2B86"/>
    <w:rsid w:val="009F2DC4"/>
    <w:rsid w:val="00A02D0F"/>
    <w:rsid w:val="00A07991"/>
    <w:rsid w:val="00A1547A"/>
    <w:rsid w:val="00A16BA3"/>
    <w:rsid w:val="00A23124"/>
    <w:rsid w:val="00A260B8"/>
    <w:rsid w:val="00A3599B"/>
    <w:rsid w:val="00A46A3D"/>
    <w:rsid w:val="00A502B6"/>
    <w:rsid w:val="00A515A5"/>
    <w:rsid w:val="00A5300A"/>
    <w:rsid w:val="00A56BFE"/>
    <w:rsid w:val="00A57CEA"/>
    <w:rsid w:val="00A736DE"/>
    <w:rsid w:val="00A80D12"/>
    <w:rsid w:val="00A81C70"/>
    <w:rsid w:val="00A81E09"/>
    <w:rsid w:val="00A8363C"/>
    <w:rsid w:val="00A85A03"/>
    <w:rsid w:val="00A92DE4"/>
    <w:rsid w:val="00A93E35"/>
    <w:rsid w:val="00AA21A7"/>
    <w:rsid w:val="00AA3FFC"/>
    <w:rsid w:val="00AA4DBB"/>
    <w:rsid w:val="00AB2D49"/>
    <w:rsid w:val="00AB71E8"/>
    <w:rsid w:val="00AC2670"/>
    <w:rsid w:val="00AC66C5"/>
    <w:rsid w:val="00AD3DB0"/>
    <w:rsid w:val="00AE7A7F"/>
    <w:rsid w:val="00AF00AD"/>
    <w:rsid w:val="00AF15D0"/>
    <w:rsid w:val="00AF1AA3"/>
    <w:rsid w:val="00AF31F6"/>
    <w:rsid w:val="00AF47A0"/>
    <w:rsid w:val="00B03BA3"/>
    <w:rsid w:val="00B1256F"/>
    <w:rsid w:val="00B213A7"/>
    <w:rsid w:val="00B2153C"/>
    <w:rsid w:val="00B253C3"/>
    <w:rsid w:val="00B258F5"/>
    <w:rsid w:val="00B3385B"/>
    <w:rsid w:val="00B356FA"/>
    <w:rsid w:val="00B43223"/>
    <w:rsid w:val="00B43A5F"/>
    <w:rsid w:val="00B43B15"/>
    <w:rsid w:val="00B5219E"/>
    <w:rsid w:val="00B54931"/>
    <w:rsid w:val="00B57C21"/>
    <w:rsid w:val="00B600EC"/>
    <w:rsid w:val="00B7126B"/>
    <w:rsid w:val="00B71F9B"/>
    <w:rsid w:val="00B83F63"/>
    <w:rsid w:val="00B95727"/>
    <w:rsid w:val="00B971B2"/>
    <w:rsid w:val="00BA016A"/>
    <w:rsid w:val="00BA2BF3"/>
    <w:rsid w:val="00BA2D50"/>
    <w:rsid w:val="00BA535B"/>
    <w:rsid w:val="00BB05F7"/>
    <w:rsid w:val="00BB71B4"/>
    <w:rsid w:val="00BC250C"/>
    <w:rsid w:val="00BC3741"/>
    <w:rsid w:val="00BC48CF"/>
    <w:rsid w:val="00BC4DDD"/>
    <w:rsid w:val="00BE1C30"/>
    <w:rsid w:val="00BE5433"/>
    <w:rsid w:val="00BF7A96"/>
    <w:rsid w:val="00C00C8E"/>
    <w:rsid w:val="00C061CF"/>
    <w:rsid w:val="00C11758"/>
    <w:rsid w:val="00C11951"/>
    <w:rsid w:val="00C13105"/>
    <w:rsid w:val="00C21D08"/>
    <w:rsid w:val="00C24C51"/>
    <w:rsid w:val="00C258C2"/>
    <w:rsid w:val="00C27BC0"/>
    <w:rsid w:val="00C3324B"/>
    <w:rsid w:val="00C36B6B"/>
    <w:rsid w:val="00C379BB"/>
    <w:rsid w:val="00C512C8"/>
    <w:rsid w:val="00C55DC7"/>
    <w:rsid w:val="00C57FB9"/>
    <w:rsid w:val="00C6596F"/>
    <w:rsid w:val="00C70676"/>
    <w:rsid w:val="00C75B6A"/>
    <w:rsid w:val="00C836A4"/>
    <w:rsid w:val="00C838CA"/>
    <w:rsid w:val="00C840ED"/>
    <w:rsid w:val="00C85B7C"/>
    <w:rsid w:val="00C900B8"/>
    <w:rsid w:val="00C93169"/>
    <w:rsid w:val="00C9598E"/>
    <w:rsid w:val="00CA3B18"/>
    <w:rsid w:val="00CA6824"/>
    <w:rsid w:val="00CB1314"/>
    <w:rsid w:val="00CD4C87"/>
    <w:rsid w:val="00CF5ECB"/>
    <w:rsid w:val="00CF6893"/>
    <w:rsid w:val="00D106D5"/>
    <w:rsid w:val="00D1352A"/>
    <w:rsid w:val="00D13FEC"/>
    <w:rsid w:val="00D17F49"/>
    <w:rsid w:val="00D2761A"/>
    <w:rsid w:val="00D330F4"/>
    <w:rsid w:val="00D66EBB"/>
    <w:rsid w:val="00D67FEF"/>
    <w:rsid w:val="00D71F4C"/>
    <w:rsid w:val="00D75680"/>
    <w:rsid w:val="00D7708E"/>
    <w:rsid w:val="00D82875"/>
    <w:rsid w:val="00D8696E"/>
    <w:rsid w:val="00DA0B33"/>
    <w:rsid w:val="00DA12AF"/>
    <w:rsid w:val="00DA2F05"/>
    <w:rsid w:val="00DB6634"/>
    <w:rsid w:val="00DC03DC"/>
    <w:rsid w:val="00DC585A"/>
    <w:rsid w:val="00DD19EB"/>
    <w:rsid w:val="00DD4DDD"/>
    <w:rsid w:val="00DD55C1"/>
    <w:rsid w:val="00DD6AA7"/>
    <w:rsid w:val="00DE2BED"/>
    <w:rsid w:val="00DF2DC9"/>
    <w:rsid w:val="00DF59A3"/>
    <w:rsid w:val="00E000BB"/>
    <w:rsid w:val="00E05786"/>
    <w:rsid w:val="00E10E0C"/>
    <w:rsid w:val="00E20EC4"/>
    <w:rsid w:val="00E406BF"/>
    <w:rsid w:val="00E442DC"/>
    <w:rsid w:val="00E5068E"/>
    <w:rsid w:val="00E61B2A"/>
    <w:rsid w:val="00E6797A"/>
    <w:rsid w:val="00E76FDA"/>
    <w:rsid w:val="00E77DD0"/>
    <w:rsid w:val="00E8168F"/>
    <w:rsid w:val="00E9233A"/>
    <w:rsid w:val="00E970AD"/>
    <w:rsid w:val="00EA2FAF"/>
    <w:rsid w:val="00EB73C7"/>
    <w:rsid w:val="00EC2688"/>
    <w:rsid w:val="00EC2F36"/>
    <w:rsid w:val="00EC5025"/>
    <w:rsid w:val="00EC7020"/>
    <w:rsid w:val="00EC7042"/>
    <w:rsid w:val="00EC72DF"/>
    <w:rsid w:val="00EC752E"/>
    <w:rsid w:val="00ED01B5"/>
    <w:rsid w:val="00ED35C8"/>
    <w:rsid w:val="00EE016A"/>
    <w:rsid w:val="00EE2E69"/>
    <w:rsid w:val="00EE3CA1"/>
    <w:rsid w:val="00EF0089"/>
    <w:rsid w:val="00EF6626"/>
    <w:rsid w:val="00F031A8"/>
    <w:rsid w:val="00F12394"/>
    <w:rsid w:val="00F12BC7"/>
    <w:rsid w:val="00F13D20"/>
    <w:rsid w:val="00F231A0"/>
    <w:rsid w:val="00F23486"/>
    <w:rsid w:val="00F24AFA"/>
    <w:rsid w:val="00F25882"/>
    <w:rsid w:val="00F27919"/>
    <w:rsid w:val="00F31871"/>
    <w:rsid w:val="00F33ADC"/>
    <w:rsid w:val="00F3445E"/>
    <w:rsid w:val="00F40E6D"/>
    <w:rsid w:val="00F41A5F"/>
    <w:rsid w:val="00F54A86"/>
    <w:rsid w:val="00F64CA0"/>
    <w:rsid w:val="00F70CB6"/>
    <w:rsid w:val="00F7406A"/>
    <w:rsid w:val="00F760DE"/>
    <w:rsid w:val="00F81DB5"/>
    <w:rsid w:val="00F9155B"/>
    <w:rsid w:val="00F94A39"/>
    <w:rsid w:val="00F95314"/>
    <w:rsid w:val="00F95F68"/>
    <w:rsid w:val="00F97496"/>
    <w:rsid w:val="00FA3224"/>
    <w:rsid w:val="00FA6E4E"/>
    <w:rsid w:val="00FB222F"/>
    <w:rsid w:val="00FE765F"/>
    <w:rsid w:val="00FF4239"/>
    <w:rsid w:val="7A51E2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9C5D"/>
  <w15:docId w15:val="{D7E4FC50-230E-4CEC-A73A-AD153D47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1547A"/>
    <w:pPr>
      <w:ind w:left="720"/>
      <w:contextualSpacing/>
    </w:pPr>
  </w:style>
  <w:style w:type="paragraph" w:styleId="Sinespaciado">
    <w:name w:val="No Spacing"/>
    <w:link w:val="SinespaciadoCar"/>
    <w:uiPriority w:val="1"/>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D8696E"/>
    <w:rPr>
      <w:color w:val="5F5F5F" w:themeColor="hyperlink"/>
      <w:u w:val="single"/>
    </w:rPr>
  </w:style>
  <w:style w:type="character" w:customStyle="1" w:styleId="Mencinsinresolver1">
    <w:name w:val="Mención sin resolver1"/>
    <w:basedOn w:val="Fuentedeprrafopredeter"/>
    <w:uiPriority w:val="99"/>
    <w:semiHidden/>
    <w:unhideWhenUsed/>
    <w:rsid w:val="00D8696E"/>
    <w:rPr>
      <w:color w:val="605E5C"/>
      <w:shd w:val="clear" w:color="auto" w:fill="E1DFDD"/>
    </w:rPr>
  </w:style>
  <w:style w:type="paragraph" w:styleId="Encabezado">
    <w:name w:val="header"/>
    <w:basedOn w:val="Normal"/>
    <w:link w:val="EncabezadoCar"/>
    <w:uiPriority w:val="99"/>
    <w:unhideWhenUsed/>
    <w:rsid w:val="00F031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1A8"/>
  </w:style>
  <w:style w:type="paragraph" w:styleId="Piedepgina">
    <w:name w:val="footer"/>
    <w:basedOn w:val="Normal"/>
    <w:link w:val="PiedepginaCar"/>
    <w:uiPriority w:val="99"/>
    <w:unhideWhenUsed/>
    <w:rsid w:val="00F031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1A8"/>
  </w:style>
  <w:style w:type="character" w:styleId="Refdecomentario">
    <w:name w:val="annotation reference"/>
    <w:basedOn w:val="Fuentedeprrafopredeter"/>
    <w:uiPriority w:val="99"/>
    <w:semiHidden/>
    <w:unhideWhenUsed/>
    <w:rsid w:val="00C9598E"/>
    <w:rPr>
      <w:sz w:val="16"/>
      <w:szCs w:val="16"/>
    </w:rPr>
  </w:style>
  <w:style w:type="paragraph" w:styleId="Textocomentario">
    <w:name w:val="annotation text"/>
    <w:basedOn w:val="Normal"/>
    <w:link w:val="TextocomentarioCar"/>
    <w:uiPriority w:val="99"/>
    <w:semiHidden/>
    <w:unhideWhenUsed/>
    <w:rsid w:val="00C959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598E"/>
    <w:rPr>
      <w:sz w:val="20"/>
      <w:szCs w:val="20"/>
    </w:rPr>
  </w:style>
  <w:style w:type="paragraph" w:styleId="Asuntodelcomentario">
    <w:name w:val="annotation subject"/>
    <w:basedOn w:val="Textocomentario"/>
    <w:next w:val="Textocomentario"/>
    <w:link w:val="AsuntodelcomentarioCar"/>
    <w:uiPriority w:val="99"/>
    <w:semiHidden/>
    <w:unhideWhenUsed/>
    <w:rsid w:val="00C9598E"/>
    <w:rPr>
      <w:b/>
      <w:bCs/>
    </w:rPr>
  </w:style>
  <w:style w:type="character" w:customStyle="1" w:styleId="AsuntodelcomentarioCar">
    <w:name w:val="Asunto del comentario Car"/>
    <w:basedOn w:val="TextocomentarioCar"/>
    <w:link w:val="Asuntodelcomentario"/>
    <w:uiPriority w:val="99"/>
    <w:semiHidden/>
    <w:rsid w:val="00C9598E"/>
    <w:rPr>
      <w:b/>
      <w:bCs/>
      <w:sz w:val="20"/>
      <w:szCs w:val="20"/>
    </w:rPr>
  </w:style>
  <w:style w:type="paragraph" w:styleId="Textodeglobo">
    <w:name w:val="Balloon Text"/>
    <w:basedOn w:val="Normal"/>
    <w:link w:val="TextodegloboCar"/>
    <w:uiPriority w:val="99"/>
    <w:semiHidden/>
    <w:unhideWhenUsed/>
    <w:rsid w:val="00C959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98E"/>
    <w:rPr>
      <w:rFonts w:ascii="Segoe UI" w:hAnsi="Segoe UI" w:cs="Segoe UI"/>
      <w:sz w:val="18"/>
      <w:szCs w:val="18"/>
    </w:rPr>
  </w:style>
  <w:style w:type="paragraph" w:styleId="Textonotapie">
    <w:name w:val="footnote text"/>
    <w:basedOn w:val="Normal"/>
    <w:link w:val="TextonotapieCar"/>
    <w:uiPriority w:val="99"/>
    <w:semiHidden/>
    <w:unhideWhenUsed/>
    <w:rsid w:val="002E66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66E5"/>
    <w:rPr>
      <w:sz w:val="20"/>
      <w:szCs w:val="20"/>
    </w:rPr>
  </w:style>
  <w:style w:type="character" w:styleId="Refdenotaalpie">
    <w:name w:val="footnote reference"/>
    <w:basedOn w:val="Fuentedeprrafopredeter"/>
    <w:uiPriority w:val="99"/>
    <w:semiHidden/>
    <w:unhideWhenUsed/>
    <w:rsid w:val="002E6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60428">
      <w:bodyDiv w:val="1"/>
      <w:marLeft w:val="0"/>
      <w:marRight w:val="0"/>
      <w:marTop w:val="0"/>
      <w:marBottom w:val="0"/>
      <w:divBdr>
        <w:top w:val="none" w:sz="0" w:space="0" w:color="auto"/>
        <w:left w:val="none" w:sz="0" w:space="0" w:color="auto"/>
        <w:bottom w:val="none" w:sz="0" w:space="0" w:color="auto"/>
        <w:right w:val="none" w:sz="0" w:space="0" w:color="auto"/>
      </w:divBdr>
    </w:div>
    <w:div w:id="54729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825f38eaa8ce41c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5A22-AAE7-41C6-9947-2B20C37A7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F17C0-865C-4597-89FB-48E6393D9326}">
  <ds:schemaRefs>
    <ds:schemaRef ds:uri="http://schemas.microsoft.com/sharepoint/v3/contenttype/forms"/>
  </ds:schemaRefs>
</ds:datastoreItem>
</file>

<file path=customXml/itemProps3.xml><?xml version="1.0" encoding="utf-8"?>
<ds:datastoreItem xmlns:ds="http://schemas.openxmlformats.org/officeDocument/2006/customXml" ds:itemID="{B56DD065-D329-4B4C-A4BE-D3702FE781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2403C1-C8F0-47AE-81D0-178889B9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7063</Words>
  <Characters>38847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20</cp:revision>
  <dcterms:created xsi:type="dcterms:W3CDTF">2021-10-12T17:10:00Z</dcterms:created>
  <dcterms:modified xsi:type="dcterms:W3CDTF">2021-12-01T03:25:00Z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