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55EC" w14:textId="77777777" w:rsidR="00BB1392" w:rsidRPr="00BB1392" w:rsidRDefault="00BB1392" w:rsidP="00BB139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r w:rsidRPr="00BB139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823A98" w14:textId="77777777" w:rsidR="00BB1392" w:rsidRPr="00BB1392" w:rsidRDefault="00BB1392" w:rsidP="00BB1392">
      <w:pPr>
        <w:spacing w:line="240" w:lineRule="auto"/>
        <w:ind w:firstLine="0"/>
        <w:rPr>
          <w:rFonts w:ascii="Arial" w:eastAsia="Times New Roman" w:hAnsi="Arial" w:cs="Arial"/>
          <w:sz w:val="20"/>
          <w:szCs w:val="20"/>
          <w:lang w:val="es-419" w:eastAsia="es-ES"/>
        </w:rPr>
      </w:pPr>
    </w:p>
    <w:p w14:paraId="425CBBAA" w14:textId="77777777" w:rsidR="00BB1392" w:rsidRPr="00BB1392" w:rsidRDefault="00BB1392" w:rsidP="00BB1392">
      <w:pPr>
        <w:spacing w:line="240" w:lineRule="auto"/>
        <w:ind w:firstLine="0"/>
        <w:rPr>
          <w:rFonts w:ascii="Arial" w:eastAsia="Times New Roman" w:hAnsi="Arial" w:cs="Arial"/>
          <w:sz w:val="20"/>
          <w:szCs w:val="20"/>
          <w:lang w:val="es-419" w:eastAsia="es-ES"/>
        </w:rPr>
      </w:pPr>
      <w:r w:rsidRPr="00BB1392">
        <w:rPr>
          <w:rFonts w:ascii="Arial" w:eastAsia="Times New Roman" w:hAnsi="Arial" w:cs="Arial"/>
          <w:sz w:val="20"/>
          <w:szCs w:val="20"/>
          <w:lang w:val="es-419" w:eastAsia="es-ES"/>
        </w:rPr>
        <w:t xml:space="preserve">Radicación No.: </w:t>
      </w:r>
      <w:r w:rsidRPr="00BB1392">
        <w:rPr>
          <w:rFonts w:ascii="Arial" w:eastAsia="Times New Roman" w:hAnsi="Arial" w:cs="Arial"/>
          <w:sz w:val="20"/>
          <w:szCs w:val="20"/>
          <w:lang w:val="es-419" w:eastAsia="es-ES"/>
        </w:rPr>
        <w:tab/>
        <w:t>66001-31-05-001-2017-00433-01</w:t>
      </w:r>
    </w:p>
    <w:p w14:paraId="7A98375B" w14:textId="77777777" w:rsidR="00BB1392" w:rsidRPr="00BB1392" w:rsidRDefault="00BB1392" w:rsidP="00BB1392">
      <w:pPr>
        <w:spacing w:line="240" w:lineRule="auto"/>
        <w:ind w:firstLine="0"/>
        <w:rPr>
          <w:rFonts w:ascii="Arial" w:eastAsia="Times New Roman" w:hAnsi="Arial" w:cs="Arial"/>
          <w:sz w:val="20"/>
          <w:szCs w:val="20"/>
          <w:lang w:val="es-419" w:eastAsia="es-ES"/>
        </w:rPr>
      </w:pPr>
      <w:r w:rsidRPr="00BB1392">
        <w:rPr>
          <w:rFonts w:ascii="Arial" w:eastAsia="Times New Roman" w:hAnsi="Arial" w:cs="Arial"/>
          <w:sz w:val="20"/>
          <w:szCs w:val="20"/>
          <w:lang w:val="es-419" w:eastAsia="es-ES"/>
        </w:rPr>
        <w:t xml:space="preserve">Proceso: </w:t>
      </w:r>
      <w:r w:rsidRPr="00BB1392">
        <w:rPr>
          <w:rFonts w:ascii="Arial" w:eastAsia="Times New Roman" w:hAnsi="Arial" w:cs="Arial"/>
          <w:sz w:val="20"/>
          <w:szCs w:val="20"/>
          <w:lang w:val="es-419" w:eastAsia="es-ES"/>
        </w:rPr>
        <w:tab/>
      </w:r>
      <w:r w:rsidRPr="00BB1392">
        <w:rPr>
          <w:rFonts w:ascii="Arial" w:eastAsia="Times New Roman" w:hAnsi="Arial" w:cs="Arial"/>
          <w:sz w:val="20"/>
          <w:szCs w:val="20"/>
          <w:lang w:val="es-419" w:eastAsia="es-ES"/>
        </w:rPr>
        <w:tab/>
        <w:t xml:space="preserve">Ordinario Laboral </w:t>
      </w:r>
    </w:p>
    <w:p w14:paraId="3C908CA7" w14:textId="77777777" w:rsidR="00BB1392" w:rsidRPr="00BB1392" w:rsidRDefault="00BB1392" w:rsidP="00BB1392">
      <w:pPr>
        <w:spacing w:line="240" w:lineRule="auto"/>
        <w:ind w:firstLine="0"/>
        <w:rPr>
          <w:rFonts w:ascii="Arial" w:eastAsia="Times New Roman" w:hAnsi="Arial" w:cs="Arial"/>
          <w:sz w:val="20"/>
          <w:szCs w:val="20"/>
          <w:lang w:val="es-419" w:eastAsia="es-ES"/>
        </w:rPr>
      </w:pPr>
      <w:r w:rsidRPr="00BB1392">
        <w:rPr>
          <w:rFonts w:ascii="Arial" w:eastAsia="Times New Roman" w:hAnsi="Arial" w:cs="Arial"/>
          <w:sz w:val="20"/>
          <w:szCs w:val="20"/>
          <w:lang w:val="es-419" w:eastAsia="es-ES"/>
        </w:rPr>
        <w:t xml:space="preserve">Demandante: </w:t>
      </w:r>
      <w:r w:rsidRPr="00BB1392">
        <w:rPr>
          <w:rFonts w:ascii="Arial" w:eastAsia="Times New Roman" w:hAnsi="Arial" w:cs="Arial"/>
          <w:sz w:val="20"/>
          <w:szCs w:val="20"/>
          <w:lang w:val="es-419" w:eastAsia="es-ES"/>
        </w:rPr>
        <w:tab/>
      </w:r>
      <w:r w:rsidRPr="00BB1392">
        <w:rPr>
          <w:rFonts w:ascii="Arial" w:eastAsia="Times New Roman" w:hAnsi="Arial" w:cs="Arial"/>
          <w:sz w:val="20"/>
          <w:szCs w:val="20"/>
          <w:lang w:val="es-419" w:eastAsia="es-ES"/>
        </w:rPr>
        <w:tab/>
        <w:t xml:space="preserve">María Stella Londoño Beltrán </w:t>
      </w:r>
    </w:p>
    <w:p w14:paraId="1070C068" w14:textId="77777777" w:rsidR="00BB1392" w:rsidRPr="00BB1392" w:rsidRDefault="00BB1392" w:rsidP="00BB1392">
      <w:pPr>
        <w:spacing w:line="240" w:lineRule="auto"/>
        <w:ind w:firstLine="0"/>
        <w:rPr>
          <w:rFonts w:ascii="Arial" w:eastAsia="Times New Roman" w:hAnsi="Arial" w:cs="Arial"/>
          <w:sz w:val="20"/>
          <w:szCs w:val="20"/>
          <w:lang w:val="es-419" w:eastAsia="es-ES"/>
        </w:rPr>
      </w:pPr>
      <w:r w:rsidRPr="00BB1392">
        <w:rPr>
          <w:rFonts w:ascii="Arial" w:eastAsia="Times New Roman" w:hAnsi="Arial" w:cs="Arial"/>
          <w:sz w:val="20"/>
          <w:szCs w:val="20"/>
          <w:lang w:val="es-419" w:eastAsia="es-ES"/>
        </w:rPr>
        <w:t xml:space="preserve">Demandado: </w:t>
      </w:r>
      <w:r w:rsidRPr="00BB1392">
        <w:rPr>
          <w:rFonts w:ascii="Arial" w:eastAsia="Times New Roman" w:hAnsi="Arial" w:cs="Arial"/>
          <w:sz w:val="20"/>
          <w:szCs w:val="20"/>
          <w:lang w:val="es-419" w:eastAsia="es-ES"/>
        </w:rPr>
        <w:tab/>
      </w:r>
      <w:r w:rsidRPr="00BB1392">
        <w:rPr>
          <w:rFonts w:ascii="Arial" w:eastAsia="Times New Roman" w:hAnsi="Arial" w:cs="Arial"/>
          <w:sz w:val="20"/>
          <w:szCs w:val="20"/>
          <w:lang w:val="es-419" w:eastAsia="es-ES"/>
        </w:rPr>
        <w:tab/>
        <w:t>Colfondos S.A. y Colpensiones</w:t>
      </w:r>
    </w:p>
    <w:p w14:paraId="5092122C" w14:textId="77777777" w:rsidR="00BB1392" w:rsidRPr="00BB1392" w:rsidRDefault="00BB1392" w:rsidP="00BB1392">
      <w:pPr>
        <w:spacing w:line="240" w:lineRule="auto"/>
        <w:ind w:firstLine="0"/>
        <w:rPr>
          <w:rFonts w:ascii="Arial" w:eastAsia="Times New Roman" w:hAnsi="Arial" w:cs="Arial"/>
          <w:sz w:val="20"/>
          <w:szCs w:val="20"/>
          <w:lang w:val="es-419" w:eastAsia="es-ES"/>
        </w:rPr>
      </w:pPr>
      <w:r w:rsidRPr="00BB1392">
        <w:rPr>
          <w:rFonts w:ascii="Arial" w:eastAsia="Times New Roman" w:hAnsi="Arial" w:cs="Arial"/>
          <w:sz w:val="20"/>
          <w:szCs w:val="20"/>
          <w:lang w:val="es-419" w:eastAsia="es-ES"/>
        </w:rPr>
        <w:t>Vinculados:</w:t>
      </w:r>
      <w:r w:rsidRPr="00BB1392">
        <w:rPr>
          <w:rFonts w:ascii="Arial" w:eastAsia="Times New Roman" w:hAnsi="Arial" w:cs="Arial"/>
          <w:sz w:val="20"/>
          <w:szCs w:val="20"/>
          <w:lang w:val="es-419" w:eastAsia="es-ES"/>
        </w:rPr>
        <w:tab/>
      </w:r>
      <w:r w:rsidRPr="00BB1392">
        <w:rPr>
          <w:rFonts w:ascii="Arial" w:eastAsia="Times New Roman" w:hAnsi="Arial" w:cs="Arial"/>
          <w:sz w:val="20"/>
          <w:szCs w:val="20"/>
          <w:lang w:val="es-419" w:eastAsia="es-ES"/>
        </w:rPr>
        <w:tab/>
        <w:t>Ministerio de Hacienda, Oficina de Bonos Pensionales</w:t>
      </w:r>
    </w:p>
    <w:p w14:paraId="1F0E965D" w14:textId="0ED00B43" w:rsidR="00BB1392" w:rsidRPr="00BB1392" w:rsidRDefault="00BB1392" w:rsidP="00BB1392">
      <w:pPr>
        <w:spacing w:line="240" w:lineRule="auto"/>
        <w:ind w:firstLine="0"/>
        <w:rPr>
          <w:rFonts w:ascii="Arial" w:eastAsia="Times New Roman" w:hAnsi="Arial" w:cs="Arial"/>
          <w:sz w:val="20"/>
          <w:szCs w:val="20"/>
          <w:lang w:val="es-419" w:eastAsia="es-ES"/>
        </w:rPr>
      </w:pPr>
      <w:r w:rsidRPr="00BB1392">
        <w:rPr>
          <w:rFonts w:ascii="Arial" w:eastAsia="Times New Roman" w:hAnsi="Arial" w:cs="Arial"/>
          <w:sz w:val="20"/>
          <w:szCs w:val="20"/>
          <w:lang w:val="es-419" w:eastAsia="es-ES"/>
        </w:rPr>
        <w:t xml:space="preserve">Juzgado de origen: </w:t>
      </w:r>
      <w:r w:rsidRPr="00BB1392">
        <w:rPr>
          <w:rFonts w:ascii="Arial" w:eastAsia="Times New Roman" w:hAnsi="Arial" w:cs="Arial"/>
          <w:sz w:val="20"/>
          <w:szCs w:val="20"/>
          <w:lang w:val="es-419" w:eastAsia="es-ES"/>
        </w:rPr>
        <w:tab/>
        <w:t>Primero Laboral del Circuito de Pereira</w:t>
      </w:r>
    </w:p>
    <w:p w14:paraId="0DAB29A8" w14:textId="77777777" w:rsidR="00BB1392" w:rsidRPr="00BB1392" w:rsidRDefault="00BB1392" w:rsidP="00BB1392">
      <w:pPr>
        <w:spacing w:line="240" w:lineRule="auto"/>
        <w:ind w:firstLine="0"/>
        <w:rPr>
          <w:rFonts w:ascii="Arial" w:eastAsia="Times New Roman" w:hAnsi="Arial" w:cs="Arial"/>
          <w:sz w:val="20"/>
          <w:szCs w:val="20"/>
          <w:lang w:val="es-419" w:eastAsia="es-ES"/>
        </w:rPr>
      </w:pPr>
    </w:p>
    <w:p w14:paraId="7A69D607" w14:textId="15291781" w:rsidR="00BB1392" w:rsidRPr="00BB1392" w:rsidRDefault="00BB1392" w:rsidP="00BB1392">
      <w:pPr>
        <w:spacing w:line="240" w:lineRule="auto"/>
        <w:ind w:firstLine="0"/>
        <w:rPr>
          <w:rFonts w:ascii="Arial" w:eastAsia="Times New Roman" w:hAnsi="Arial" w:cs="Arial"/>
          <w:b/>
          <w:bCs/>
          <w:iCs/>
          <w:sz w:val="20"/>
          <w:szCs w:val="20"/>
          <w:lang w:val="es-419" w:eastAsia="fr-FR"/>
        </w:rPr>
      </w:pPr>
      <w:r w:rsidRPr="00BB1392">
        <w:rPr>
          <w:rFonts w:ascii="Arial" w:eastAsia="Times New Roman" w:hAnsi="Arial" w:cs="Arial"/>
          <w:b/>
          <w:bCs/>
          <w:iCs/>
          <w:sz w:val="20"/>
          <w:szCs w:val="20"/>
          <w:u w:val="single"/>
          <w:lang w:val="es-419" w:eastAsia="fr-FR"/>
        </w:rPr>
        <w:t>TEMAS:</w:t>
      </w:r>
      <w:r w:rsidRPr="00BB1392">
        <w:rPr>
          <w:rFonts w:ascii="Arial" w:eastAsia="Times New Roman" w:hAnsi="Arial" w:cs="Arial"/>
          <w:b/>
          <w:bCs/>
          <w:iCs/>
          <w:sz w:val="20"/>
          <w:szCs w:val="20"/>
          <w:lang w:val="es-419" w:eastAsia="fr-FR"/>
        </w:rPr>
        <w:tab/>
      </w:r>
      <w:r w:rsidR="00A914F1">
        <w:rPr>
          <w:rFonts w:ascii="Arial" w:eastAsia="Times New Roman" w:hAnsi="Arial" w:cs="Arial"/>
          <w:b/>
          <w:bCs/>
          <w:iCs/>
          <w:sz w:val="20"/>
          <w:szCs w:val="20"/>
          <w:lang w:val="es-419" w:eastAsia="fr-FR"/>
        </w:rPr>
        <w:t>INEFICACIA DE TRASLADO</w:t>
      </w:r>
      <w:r w:rsidR="00F92BDA">
        <w:rPr>
          <w:rFonts w:ascii="Arial" w:eastAsia="Times New Roman" w:hAnsi="Arial" w:cs="Arial"/>
          <w:b/>
          <w:bCs/>
          <w:iCs/>
          <w:sz w:val="20"/>
          <w:szCs w:val="20"/>
          <w:lang w:val="es-419" w:eastAsia="fr-FR"/>
        </w:rPr>
        <w:t xml:space="preserve"> DE RÉGIMEN PENSIONAL / DEVOLUCIÓN DE SALDOS / SITUACIÓN JURÍDICA CONSOLIDADA / </w:t>
      </w:r>
      <w:r w:rsidR="009E7D2A">
        <w:rPr>
          <w:rFonts w:ascii="Arial" w:eastAsia="Times New Roman" w:hAnsi="Arial" w:cs="Arial"/>
          <w:b/>
          <w:bCs/>
          <w:iCs/>
          <w:sz w:val="20"/>
          <w:szCs w:val="20"/>
          <w:lang w:val="es-419" w:eastAsia="fr-FR"/>
        </w:rPr>
        <w:t>INHIBE EL TRÁNSITO ENTRE REGÍMENES.</w:t>
      </w:r>
    </w:p>
    <w:p w14:paraId="4944B162" w14:textId="77777777" w:rsidR="00BB1392" w:rsidRPr="00BB1392" w:rsidRDefault="00BB1392" w:rsidP="00BB1392">
      <w:pPr>
        <w:spacing w:line="240" w:lineRule="auto"/>
        <w:ind w:firstLine="0"/>
        <w:rPr>
          <w:rFonts w:ascii="Arial" w:eastAsia="Times New Roman" w:hAnsi="Arial" w:cs="Arial"/>
          <w:sz w:val="20"/>
          <w:szCs w:val="20"/>
          <w:lang w:val="es-419" w:eastAsia="es-ES"/>
        </w:rPr>
      </w:pPr>
    </w:p>
    <w:p w14:paraId="16A4848E" w14:textId="2994420F" w:rsidR="00B86925" w:rsidRPr="00B86925" w:rsidRDefault="00B86925" w:rsidP="00B86925">
      <w:pPr>
        <w:spacing w:line="240" w:lineRule="auto"/>
        <w:ind w:firstLine="0"/>
        <w:rPr>
          <w:rFonts w:ascii="Arial" w:eastAsia="Times New Roman" w:hAnsi="Arial" w:cs="Arial"/>
          <w:sz w:val="20"/>
          <w:szCs w:val="20"/>
          <w:lang w:val="es-419" w:eastAsia="es-ES"/>
        </w:rPr>
      </w:pPr>
      <w:r w:rsidRPr="00B86925">
        <w:rPr>
          <w:rFonts w:ascii="Arial" w:eastAsia="Times New Roman" w:hAnsi="Arial" w:cs="Arial"/>
          <w:sz w:val="20"/>
          <w:szCs w:val="20"/>
          <w:lang w:val="es-419" w:eastAsia="es-ES"/>
        </w:rPr>
        <w:t>A efectos de absolver la censura planteada por la togada apelante, se dirá que la Sala de Casación Laboral de la Corte Suprema de Justicia en sentencia SL373-2021</w:t>
      </w:r>
      <w:r>
        <w:rPr>
          <w:rFonts w:ascii="Arial" w:eastAsia="Times New Roman" w:hAnsi="Arial" w:cs="Arial"/>
          <w:sz w:val="20"/>
          <w:szCs w:val="20"/>
          <w:lang w:val="es-419" w:eastAsia="es-ES"/>
        </w:rPr>
        <w:t>…</w:t>
      </w:r>
      <w:r w:rsidRPr="00B86925">
        <w:rPr>
          <w:rFonts w:ascii="Arial" w:eastAsia="Times New Roman" w:hAnsi="Arial" w:cs="Arial"/>
          <w:sz w:val="20"/>
          <w:szCs w:val="20"/>
          <w:lang w:val="es-419" w:eastAsia="es-ES"/>
        </w:rPr>
        <w:t xml:space="preserve"> sentó un precedente que cumple como derrotero en aquellos casos en los que se procura la ineficacia de la afiliación al régimen de ahorro individual con solidaridad, y con el cual toma distancia del criterio establecido por la misma Corporación en la sentencia emitida el 9 septiembre 2008, dentro del proceso radicado con el número 31989.</w:t>
      </w:r>
    </w:p>
    <w:p w14:paraId="407E04CB" w14:textId="77777777" w:rsidR="00B86925" w:rsidRPr="00B86925" w:rsidRDefault="00B86925" w:rsidP="00B86925">
      <w:pPr>
        <w:spacing w:line="240" w:lineRule="auto"/>
        <w:ind w:firstLine="0"/>
        <w:rPr>
          <w:rFonts w:ascii="Arial" w:eastAsia="Times New Roman" w:hAnsi="Arial" w:cs="Arial"/>
          <w:sz w:val="20"/>
          <w:szCs w:val="20"/>
          <w:lang w:val="es-419" w:eastAsia="es-ES"/>
        </w:rPr>
      </w:pPr>
    </w:p>
    <w:p w14:paraId="6B55CEF2" w14:textId="14D763F2" w:rsidR="00BB1392" w:rsidRPr="00BB1392" w:rsidRDefault="00B86925" w:rsidP="00B86925">
      <w:pPr>
        <w:spacing w:line="240" w:lineRule="auto"/>
        <w:ind w:firstLine="0"/>
        <w:rPr>
          <w:rFonts w:ascii="Arial" w:eastAsia="Times New Roman" w:hAnsi="Arial" w:cs="Arial"/>
          <w:sz w:val="20"/>
          <w:szCs w:val="20"/>
          <w:lang w:val="es-419" w:eastAsia="es-ES"/>
        </w:rPr>
      </w:pPr>
      <w:r w:rsidRPr="00B86925">
        <w:rPr>
          <w:rFonts w:ascii="Arial" w:eastAsia="Times New Roman" w:hAnsi="Arial" w:cs="Arial"/>
          <w:sz w:val="20"/>
          <w:szCs w:val="20"/>
          <w:lang w:val="es-419" w:eastAsia="es-ES"/>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w:t>
      </w:r>
      <w:r>
        <w:rPr>
          <w:rFonts w:ascii="Arial" w:eastAsia="Times New Roman" w:hAnsi="Arial" w:cs="Arial"/>
          <w:sz w:val="20"/>
          <w:szCs w:val="20"/>
          <w:lang w:val="es-419" w:eastAsia="es-ES"/>
        </w:rPr>
        <w:t>…</w:t>
      </w:r>
    </w:p>
    <w:p w14:paraId="55F10BA7" w14:textId="77777777" w:rsidR="00BB1392" w:rsidRPr="00BB1392" w:rsidRDefault="00BB1392" w:rsidP="00BB1392">
      <w:pPr>
        <w:spacing w:line="240" w:lineRule="auto"/>
        <w:ind w:firstLine="0"/>
        <w:rPr>
          <w:rFonts w:ascii="Arial" w:eastAsia="Times New Roman" w:hAnsi="Arial" w:cs="Arial"/>
          <w:sz w:val="20"/>
          <w:szCs w:val="20"/>
          <w:lang w:val="es-419" w:eastAsia="es-ES"/>
        </w:rPr>
      </w:pPr>
    </w:p>
    <w:p w14:paraId="79F24549" w14:textId="77777777" w:rsidR="000D0C9A" w:rsidRPr="000D0C9A" w:rsidRDefault="000D0C9A" w:rsidP="000D0C9A">
      <w:pPr>
        <w:spacing w:line="240" w:lineRule="auto"/>
        <w:ind w:firstLine="0"/>
        <w:rPr>
          <w:rFonts w:ascii="Arial" w:eastAsia="Times New Roman" w:hAnsi="Arial" w:cs="Arial"/>
          <w:sz w:val="20"/>
          <w:szCs w:val="20"/>
          <w:lang w:val="es-419" w:eastAsia="es-ES"/>
        </w:rPr>
      </w:pPr>
      <w:r w:rsidRPr="000D0C9A">
        <w:rPr>
          <w:rFonts w:ascii="Arial" w:eastAsia="Times New Roman" w:hAnsi="Arial" w:cs="Arial"/>
          <w:sz w:val="20"/>
          <w:szCs w:val="20"/>
          <w:lang w:val="es-419" w:eastAsia="es-ES"/>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5E58E938" w14:textId="77777777" w:rsidR="000D0C9A" w:rsidRPr="000D0C9A" w:rsidRDefault="000D0C9A" w:rsidP="000D0C9A">
      <w:pPr>
        <w:spacing w:line="240" w:lineRule="auto"/>
        <w:ind w:firstLine="0"/>
        <w:rPr>
          <w:rFonts w:ascii="Arial" w:eastAsia="Times New Roman" w:hAnsi="Arial" w:cs="Arial"/>
          <w:sz w:val="20"/>
          <w:szCs w:val="20"/>
          <w:lang w:val="es-419" w:eastAsia="es-ES"/>
        </w:rPr>
      </w:pPr>
    </w:p>
    <w:p w14:paraId="1B58FBAF" w14:textId="21CEBCB8" w:rsidR="00BB1392" w:rsidRDefault="000D0C9A" w:rsidP="000D0C9A">
      <w:pPr>
        <w:spacing w:line="240" w:lineRule="auto"/>
        <w:ind w:firstLine="0"/>
        <w:rPr>
          <w:rFonts w:ascii="Arial" w:eastAsia="Times New Roman" w:hAnsi="Arial" w:cs="Arial"/>
          <w:sz w:val="20"/>
          <w:szCs w:val="20"/>
          <w:lang w:val="es-419" w:eastAsia="es-ES"/>
        </w:rPr>
      </w:pPr>
      <w:r w:rsidRPr="000D0C9A">
        <w:rPr>
          <w:rFonts w:ascii="Arial" w:eastAsia="Times New Roman" w:hAnsi="Arial" w:cs="Arial"/>
          <w:sz w:val="20"/>
          <w:szCs w:val="20"/>
          <w:lang w:val="es-419" w:eastAsia="es-ES"/>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sidR="00E271CB">
        <w:rPr>
          <w:rFonts w:ascii="Arial" w:eastAsia="Times New Roman" w:hAnsi="Arial" w:cs="Arial"/>
          <w:sz w:val="20"/>
          <w:szCs w:val="20"/>
          <w:lang w:val="es-419" w:eastAsia="es-ES"/>
        </w:rPr>
        <w:t>” (…)</w:t>
      </w:r>
    </w:p>
    <w:p w14:paraId="132AA86D" w14:textId="77777777" w:rsidR="00E271CB" w:rsidRPr="00BB1392" w:rsidRDefault="00E271CB" w:rsidP="000D0C9A">
      <w:pPr>
        <w:spacing w:line="240" w:lineRule="auto"/>
        <w:ind w:firstLine="0"/>
        <w:rPr>
          <w:rFonts w:ascii="Arial" w:eastAsia="Times New Roman" w:hAnsi="Arial" w:cs="Arial"/>
          <w:sz w:val="20"/>
          <w:szCs w:val="20"/>
          <w:lang w:val="es-419" w:eastAsia="es-ES"/>
        </w:rPr>
      </w:pPr>
    </w:p>
    <w:p w14:paraId="3FBC1F46" w14:textId="1F2EC650" w:rsidR="00BB1392" w:rsidRPr="00BB1392" w:rsidRDefault="00E271CB" w:rsidP="00BB139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271CB">
        <w:rPr>
          <w:rFonts w:ascii="Arial" w:eastAsia="Times New Roman" w:hAnsi="Arial" w:cs="Arial"/>
          <w:sz w:val="20"/>
          <w:szCs w:val="20"/>
          <w:lang w:val="es-419" w:eastAsia="es-ES"/>
        </w:rPr>
        <w:t>la señora Londoño Roldan optó por la devolución de saldos y la redención anticipada de su bono pensional ante la imposibilidad de continuar cotizando al sistema, para lo cual, diligenció los documentos necesarios para acceder a dichos beneficios</w:t>
      </w:r>
      <w:r>
        <w:rPr>
          <w:rFonts w:ascii="Arial" w:eastAsia="Times New Roman" w:hAnsi="Arial" w:cs="Arial"/>
          <w:sz w:val="20"/>
          <w:szCs w:val="20"/>
          <w:lang w:val="es-419" w:eastAsia="es-ES"/>
        </w:rPr>
        <w:t>…</w:t>
      </w:r>
    </w:p>
    <w:p w14:paraId="2F088AD6" w14:textId="77777777" w:rsidR="00BB1392" w:rsidRPr="00BB1392" w:rsidRDefault="00BB1392" w:rsidP="00BB1392">
      <w:pPr>
        <w:spacing w:line="240" w:lineRule="auto"/>
        <w:ind w:firstLine="0"/>
        <w:rPr>
          <w:rFonts w:ascii="Arial" w:eastAsia="Times New Roman" w:hAnsi="Arial" w:cs="Arial"/>
          <w:sz w:val="20"/>
          <w:szCs w:val="20"/>
          <w:lang w:val="es-419" w:eastAsia="es-ES"/>
        </w:rPr>
      </w:pPr>
    </w:p>
    <w:p w14:paraId="75C2F560" w14:textId="2E8B298D" w:rsidR="00BB1392" w:rsidRPr="00BB1392" w:rsidRDefault="00A914F1" w:rsidP="00BB1392">
      <w:pPr>
        <w:spacing w:line="240" w:lineRule="auto"/>
        <w:ind w:firstLine="0"/>
        <w:rPr>
          <w:rFonts w:ascii="Arial" w:eastAsia="Times New Roman" w:hAnsi="Arial" w:cs="Arial"/>
          <w:sz w:val="20"/>
          <w:szCs w:val="20"/>
          <w:lang w:eastAsia="es-ES"/>
        </w:rPr>
      </w:pPr>
      <w:r w:rsidRPr="00A914F1">
        <w:rPr>
          <w:rFonts w:ascii="Arial" w:eastAsia="Times New Roman" w:hAnsi="Arial" w:cs="Arial"/>
          <w:sz w:val="20"/>
          <w:szCs w:val="20"/>
          <w:lang w:eastAsia="es-ES"/>
        </w:rPr>
        <w:t>Lo anterior permite concluir que, a las luces del literal b) del artículo 13 de la Ley 100 de 1993</w:t>
      </w:r>
      <w:r>
        <w:rPr>
          <w:rFonts w:ascii="Arial" w:eastAsia="Times New Roman" w:hAnsi="Arial" w:cs="Arial"/>
          <w:sz w:val="20"/>
          <w:szCs w:val="20"/>
          <w:lang w:eastAsia="es-ES"/>
        </w:rPr>
        <w:t>,</w:t>
      </w:r>
      <w:r w:rsidRPr="00A914F1">
        <w:rPr>
          <w:rFonts w:ascii="Arial" w:eastAsia="Times New Roman" w:hAnsi="Arial" w:cs="Arial"/>
          <w:sz w:val="20"/>
          <w:szCs w:val="20"/>
          <w:lang w:eastAsia="es-ES"/>
        </w:rPr>
        <w:t xml:space="preserve"> modificado por el artículo 2° de la Ley 797 de 2003, hoy por hoy se encuentra extinto el derecho que tenía la actora, como afiliada al sistema general de pensiones, a movilizarse entre los dos regímenes pensionales que lo conforman, pues su situación jurídica quedó definida y consolidada con ocasión de los actos desplegados por terceros de buena fe.</w:t>
      </w:r>
    </w:p>
    <w:p w14:paraId="534C6892" w14:textId="77777777" w:rsidR="00BB1392" w:rsidRPr="00BB1392" w:rsidRDefault="00BB1392" w:rsidP="00BB1392">
      <w:pPr>
        <w:spacing w:line="240" w:lineRule="auto"/>
        <w:ind w:firstLine="0"/>
        <w:rPr>
          <w:rFonts w:ascii="Arial" w:eastAsia="Times New Roman" w:hAnsi="Arial" w:cs="Arial"/>
          <w:sz w:val="20"/>
          <w:szCs w:val="20"/>
          <w:lang w:eastAsia="es-ES"/>
        </w:rPr>
      </w:pPr>
    </w:p>
    <w:p w14:paraId="35549D41" w14:textId="77777777" w:rsidR="00BB1392" w:rsidRPr="00BB1392" w:rsidRDefault="00BB1392" w:rsidP="00BB1392">
      <w:pPr>
        <w:spacing w:line="240" w:lineRule="auto"/>
        <w:ind w:firstLine="0"/>
        <w:rPr>
          <w:rFonts w:ascii="Arial" w:eastAsia="Times New Roman" w:hAnsi="Arial" w:cs="Arial"/>
          <w:sz w:val="20"/>
          <w:szCs w:val="20"/>
          <w:lang w:eastAsia="es-ES"/>
        </w:rPr>
      </w:pPr>
    </w:p>
    <w:bookmarkEnd w:id="0"/>
    <w:p w14:paraId="0A2195E4" w14:textId="77777777" w:rsidR="00BB1392" w:rsidRPr="00BB1392" w:rsidRDefault="00BB1392" w:rsidP="00BB1392">
      <w:pPr>
        <w:spacing w:line="240" w:lineRule="auto"/>
        <w:ind w:firstLine="0"/>
        <w:rPr>
          <w:rFonts w:ascii="Arial" w:eastAsia="Times New Roman" w:hAnsi="Arial" w:cs="Arial"/>
          <w:sz w:val="20"/>
          <w:szCs w:val="20"/>
          <w:lang w:eastAsia="es-ES"/>
        </w:rPr>
      </w:pPr>
    </w:p>
    <w:bookmarkEnd w:id="1"/>
    <w:p w14:paraId="22A63B66" w14:textId="77777777" w:rsidR="00A31306" w:rsidRPr="004D701A" w:rsidRDefault="00A31306" w:rsidP="004D701A">
      <w:pPr>
        <w:pStyle w:val="Ttulo4"/>
        <w:widowControl w:val="0"/>
        <w:tabs>
          <w:tab w:val="clear" w:pos="0"/>
        </w:tabs>
        <w:spacing w:line="276" w:lineRule="auto"/>
        <w:rPr>
          <w:rFonts w:ascii="Tahoma" w:hAnsi="Tahoma" w:cs="Tahoma"/>
          <w:bCs/>
          <w:szCs w:val="24"/>
          <w:lang w:eastAsia="es-MX"/>
        </w:rPr>
      </w:pPr>
      <w:r w:rsidRPr="004D701A">
        <w:rPr>
          <w:rFonts w:ascii="Tahoma" w:hAnsi="Tahoma" w:cs="Tahoma"/>
          <w:bCs/>
          <w:szCs w:val="24"/>
          <w:lang w:eastAsia="es-MX"/>
        </w:rPr>
        <w:t>TRIBUNAL SUPERIOR DEL DISTRITO JUDICIAL DE PEREIRA</w:t>
      </w:r>
    </w:p>
    <w:p w14:paraId="5E416C34" w14:textId="77777777" w:rsidR="00A31306" w:rsidRPr="004D701A" w:rsidRDefault="00A31306" w:rsidP="004D701A">
      <w:pPr>
        <w:pStyle w:val="Ttulo4"/>
        <w:widowControl w:val="0"/>
        <w:tabs>
          <w:tab w:val="clear" w:pos="0"/>
        </w:tabs>
        <w:spacing w:line="276" w:lineRule="auto"/>
        <w:rPr>
          <w:rFonts w:ascii="Tahoma" w:hAnsi="Tahoma" w:cs="Tahoma"/>
          <w:bCs/>
          <w:szCs w:val="24"/>
          <w:lang w:eastAsia="es-MX"/>
        </w:rPr>
      </w:pPr>
      <w:r w:rsidRPr="004D701A">
        <w:rPr>
          <w:rFonts w:ascii="Tahoma" w:hAnsi="Tahoma" w:cs="Tahoma"/>
          <w:bCs/>
          <w:szCs w:val="24"/>
          <w:lang w:eastAsia="es-MX"/>
        </w:rPr>
        <w:t>SALA PRIMERA DE DECISION LABORAL</w:t>
      </w:r>
    </w:p>
    <w:p w14:paraId="0EE0F0EB" w14:textId="77777777" w:rsidR="00A31306" w:rsidRPr="004D701A" w:rsidRDefault="00A31306" w:rsidP="004D701A">
      <w:pPr>
        <w:spacing w:line="276" w:lineRule="auto"/>
        <w:jc w:val="center"/>
        <w:rPr>
          <w:rFonts w:ascii="Tahoma" w:hAnsi="Tahoma" w:cs="Tahoma"/>
          <w:bCs/>
          <w:sz w:val="24"/>
          <w:szCs w:val="24"/>
        </w:rPr>
      </w:pPr>
    </w:p>
    <w:p w14:paraId="66871BAB" w14:textId="77777777" w:rsidR="00A31306" w:rsidRPr="004D701A" w:rsidRDefault="00A31306" w:rsidP="004D701A">
      <w:pPr>
        <w:spacing w:line="276" w:lineRule="auto"/>
        <w:ind w:firstLine="0"/>
        <w:jc w:val="center"/>
        <w:textAlignment w:val="baseline"/>
        <w:rPr>
          <w:rFonts w:ascii="Tahoma" w:eastAsia="Times New Roman" w:hAnsi="Tahoma" w:cs="Tahoma"/>
          <w:sz w:val="24"/>
          <w:szCs w:val="24"/>
          <w:lang w:val="es-CO" w:eastAsia="es-CO"/>
        </w:rPr>
      </w:pPr>
      <w:r w:rsidRPr="004D701A">
        <w:rPr>
          <w:rFonts w:ascii="Tahoma" w:eastAsia="Times New Roman" w:hAnsi="Tahoma" w:cs="Tahoma"/>
          <w:sz w:val="24"/>
          <w:szCs w:val="24"/>
          <w:lang w:eastAsia="es-CO"/>
        </w:rPr>
        <w:t>Magistrada Ponente: </w:t>
      </w:r>
      <w:r w:rsidRPr="004D701A">
        <w:rPr>
          <w:rFonts w:ascii="Tahoma" w:eastAsia="Times New Roman" w:hAnsi="Tahoma" w:cs="Tahoma"/>
          <w:b/>
          <w:bCs/>
          <w:sz w:val="24"/>
          <w:szCs w:val="24"/>
          <w:lang w:eastAsia="es-CO"/>
        </w:rPr>
        <w:t>Ana Lucía Caicedo Calderón</w:t>
      </w:r>
      <w:r w:rsidRPr="004D701A">
        <w:rPr>
          <w:rFonts w:ascii="Tahoma" w:eastAsia="Times New Roman" w:hAnsi="Tahoma" w:cs="Tahoma"/>
          <w:sz w:val="24"/>
          <w:szCs w:val="24"/>
          <w:lang w:val="es-CO" w:eastAsia="es-CO"/>
        </w:rPr>
        <w:t> </w:t>
      </w:r>
    </w:p>
    <w:p w14:paraId="683D6714" w14:textId="77777777" w:rsidR="00A31306" w:rsidRPr="004D701A" w:rsidRDefault="00A31306" w:rsidP="004D701A">
      <w:pPr>
        <w:spacing w:line="276" w:lineRule="auto"/>
        <w:ind w:firstLine="0"/>
        <w:jc w:val="center"/>
        <w:textAlignment w:val="baseline"/>
        <w:rPr>
          <w:rFonts w:ascii="Tahoma" w:eastAsia="Times New Roman" w:hAnsi="Tahoma" w:cs="Tahoma"/>
          <w:sz w:val="24"/>
          <w:szCs w:val="24"/>
          <w:lang w:val="es-CO" w:eastAsia="es-CO"/>
        </w:rPr>
      </w:pPr>
      <w:r w:rsidRPr="004D701A">
        <w:rPr>
          <w:rFonts w:ascii="Tahoma" w:eastAsia="Times New Roman" w:hAnsi="Tahoma" w:cs="Tahoma"/>
          <w:sz w:val="24"/>
          <w:szCs w:val="24"/>
          <w:lang w:val="es-CO" w:eastAsia="es-CO"/>
        </w:rPr>
        <w:t> </w:t>
      </w:r>
    </w:p>
    <w:p w14:paraId="16A8630E" w14:textId="6FA1F2BA" w:rsidR="00A31306" w:rsidRPr="004D701A" w:rsidRDefault="00A31306" w:rsidP="004D701A">
      <w:pPr>
        <w:spacing w:line="276" w:lineRule="auto"/>
        <w:ind w:firstLine="0"/>
        <w:jc w:val="center"/>
        <w:textAlignment w:val="baseline"/>
        <w:rPr>
          <w:rFonts w:ascii="Tahoma" w:eastAsia="Times New Roman" w:hAnsi="Tahoma" w:cs="Tahoma"/>
          <w:sz w:val="24"/>
          <w:szCs w:val="24"/>
          <w:lang w:val="es-CO" w:eastAsia="es-CO"/>
        </w:rPr>
      </w:pPr>
      <w:r w:rsidRPr="004D701A">
        <w:rPr>
          <w:rFonts w:ascii="Tahoma" w:eastAsia="Times New Roman" w:hAnsi="Tahoma" w:cs="Tahoma"/>
          <w:sz w:val="24"/>
          <w:szCs w:val="24"/>
          <w:lang w:val="es-CO" w:eastAsia="es-CO"/>
        </w:rPr>
        <w:t>Pereira, Risaralda, </w:t>
      </w:r>
      <w:r w:rsidR="00CC3E44" w:rsidRPr="004D701A">
        <w:rPr>
          <w:rFonts w:ascii="Tahoma" w:eastAsia="Times New Roman" w:hAnsi="Tahoma" w:cs="Tahoma"/>
          <w:sz w:val="24"/>
          <w:szCs w:val="24"/>
          <w:lang w:val="es-CO" w:eastAsia="es-CO"/>
        </w:rPr>
        <w:t xml:space="preserve">diecisiete </w:t>
      </w:r>
      <w:r w:rsidR="00024FCB" w:rsidRPr="004D701A">
        <w:rPr>
          <w:rFonts w:ascii="Tahoma" w:eastAsia="Times New Roman" w:hAnsi="Tahoma" w:cs="Tahoma"/>
          <w:sz w:val="24"/>
          <w:szCs w:val="24"/>
          <w:lang w:val="es-CO" w:eastAsia="es-CO"/>
        </w:rPr>
        <w:t>(1</w:t>
      </w:r>
      <w:r w:rsidR="00CC3E44" w:rsidRPr="004D701A">
        <w:rPr>
          <w:rFonts w:ascii="Tahoma" w:eastAsia="Times New Roman" w:hAnsi="Tahoma" w:cs="Tahoma"/>
          <w:sz w:val="24"/>
          <w:szCs w:val="24"/>
          <w:lang w:val="es-CO" w:eastAsia="es-CO"/>
        </w:rPr>
        <w:t>7</w:t>
      </w:r>
      <w:r w:rsidR="00024FCB" w:rsidRPr="004D701A">
        <w:rPr>
          <w:rFonts w:ascii="Tahoma" w:eastAsia="Times New Roman" w:hAnsi="Tahoma" w:cs="Tahoma"/>
          <w:sz w:val="24"/>
          <w:szCs w:val="24"/>
          <w:lang w:val="es-CO" w:eastAsia="es-CO"/>
        </w:rPr>
        <w:t xml:space="preserve">) </w:t>
      </w:r>
      <w:r w:rsidRPr="004D701A">
        <w:rPr>
          <w:rFonts w:ascii="Tahoma" w:eastAsia="Times New Roman" w:hAnsi="Tahoma" w:cs="Tahoma"/>
          <w:sz w:val="24"/>
          <w:szCs w:val="24"/>
          <w:lang w:val="es-CO" w:eastAsia="es-CO"/>
        </w:rPr>
        <w:t xml:space="preserve">de </w:t>
      </w:r>
      <w:r w:rsidR="00024FCB" w:rsidRPr="004D701A">
        <w:rPr>
          <w:rFonts w:ascii="Tahoma" w:eastAsia="Times New Roman" w:hAnsi="Tahoma" w:cs="Tahoma"/>
          <w:sz w:val="24"/>
          <w:szCs w:val="24"/>
          <w:lang w:val="es-CO" w:eastAsia="es-CO"/>
        </w:rPr>
        <w:t xml:space="preserve">noviembre </w:t>
      </w:r>
      <w:r w:rsidRPr="004D701A">
        <w:rPr>
          <w:rFonts w:ascii="Tahoma" w:eastAsia="Times New Roman" w:hAnsi="Tahoma" w:cs="Tahoma"/>
          <w:sz w:val="24"/>
          <w:szCs w:val="24"/>
          <w:lang w:val="es-CO" w:eastAsia="es-CO"/>
        </w:rPr>
        <w:t>dos mil veint</w:t>
      </w:r>
      <w:r w:rsidR="00696EF5" w:rsidRPr="004D701A">
        <w:rPr>
          <w:rFonts w:ascii="Tahoma" w:eastAsia="Times New Roman" w:hAnsi="Tahoma" w:cs="Tahoma"/>
          <w:sz w:val="24"/>
          <w:szCs w:val="24"/>
          <w:lang w:val="es-CO" w:eastAsia="es-CO"/>
        </w:rPr>
        <w:t>iuno</w:t>
      </w:r>
      <w:r w:rsidRPr="004D701A">
        <w:rPr>
          <w:rFonts w:ascii="Tahoma" w:eastAsia="Times New Roman" w:hAnsi="Tahoma" w:cs="Tahoma"/>
          <w:sz w:val="24"/>
          <w:szCs w:val="24"/>
          <w:lang w:val="es-CO" w:eastAsia="es-CO"/>
        </w:rPr>
        <w:t xml:space="preserve"> (202</w:t>
      </w:r>
      <w:r w:rsidR="00696EF5" w:rsidRPr="004D701A">
        <w:rPr>
          <w:rFonts w:ascii="Tahoma" w:eastAsia="Times New Roman" w:hAnsi="Tahoma" w:cs="Tahoma"/>
          <w:sz w:val="24"/>
          <w:szCs w:val="24"/>
          <w:lang w:val="es-CO" w:eastAsia="es-CO"/>
        </w:rPr>
        <w:t>1</w:t>
      </w:r>
      <w:r w:rsidRPr="004D701A">
        <w:rPr>
          <w:rFonts w:ascii="Tahoma" w:eastAsia="Times New Roman" w:hAnsi="Tahoma" w:cs="Tahoma"/>
          <w:sz w:val="24"/>
          <w:szCs w:val="24"/>
          <w:lang w:val="es-CO" w:eastAsia="es-CO"/>
        </w:rPr>
        <w:t>)  </w:t>
      </w:r>
    </w:p>
    <w:p w14:paraId="3CF3F963" w14:textId="7935C1A1" w:rsidR="002A3355" w:rsidRPr="004D701A" w:rsidRDefault="00A31306" w:rsidP="004D701A">
      <w:pPr>
        <w:spacing w:line="276" w:lineRule="auto"/>
        <w:ind w:firstLine="0"/>
        <w:jc w:val="center"/>
        <w:textAlignment w:val="baseline"/>
        <w:rPr>
          <w:rFonts w:ascii="Tahoma" w:eastAsia="Times New Roman" w:hAnsi="Tahoma" w:cs="Tahoma"/>
          <w:sz w:val="24"/>
          <w:szCs w:val="24"/>
          <w:lang w:val="es-CO" w:eastAsia="es-CO"/>
        </w:rPr>
      </w:pPr>
      <w:r w:rsidRPr="004D701A">
        <w:rPr>
          <w:rFonts w:ascii="Tahoma" w:eastAsia="Times New Roman" w:hAnsi="Tahoma" w:cs="Tahoma"/>
          <w:sz w:val="24"/>
          <w:szCs w:val="24"/>
          <w:lang w:val="es-CO" w:eastAsia="es-CO"/>
        </w:rPr>
        <w:t> Acta No.</w:t>
      </w:r>
      <w:r w:rsidR="00FE6B56" w:rsidRPr="004D701A">
        <w:rPr>
          <w:rFonts w:ascii="Tahoma" w:eastAsia="Times New Roman" w:hAnsi="Tahoma" w:cs="Tahoma"/>
          <w:sz w:val="24"/>
          <w:szCs w:val="24"/>
          <w:lang w:val="es-CO" w:eastAsia="es-CO"/>
        </w:rPr>
        <w:t xml:space="preserve"> </w:t>
      </w:r>
      <w:r w:rsidR="00A97EFE" w:rsidRPr="004D701A">
        <w:rPr>
          <w:rFonts w:ascii="Tahoma" w:eastAsia="Times New Roman" w:hAnsi="Tahoma" w:cs="Tahoma"/>
          <w:sz w:val="24"/>
          <w:szCs w:val="24"/>
          <w:lang w:val="es-CO" w:eastAsia="es-CO"/>
        </w:rPr>
        <w:t>183</w:t>
      </w:r>
      <w:r w:rsidR="00FE6B56" w:rsidRPr="004D701A">
        <w:rPr>
          <w:rFonts w:ascii="Tahoma" w:eastAsia="Times New Roman" w:hAnsi="Tahoma" w:cs="Tahoma"/>
          <w:sz w:val="24"/>
          <w:szCs w:val="24"/>
          <w:lang w:val="es-CO" w:eastAsia="es-CO"/>
        </w:rPr>
        <w:t xml:space="preserve"> </w:t>
      </w:r>
      <w:r w:rsidRPr="004D701A">
        <w:rPr>
          <w:rFonts w:ascii="Tahoma" w:eastAsia="Times New Roman" w:hAnsi="Tahoma" w:cs="Tahoma"/>
          <w:sz w:val="24"/>
          <w:szCs w:val="24"/>
          <w:lang w:val="es-CO" w:eastAsia="es-CO"/>
        </w:rPr>
        <w:t xml:space="preserve">del </w:t>
      </w:r>
      <w:r w:rsidR="00CC3E44" w:rsidRPr="004D701A">
        <w:rPr>
          <w:rFonts w:ascii="Tahoma" w:eastAsia="Times New Roman" w:hAnsi="Tahoma" w:cs="Tahoma"/>
          <w:sz w:val="24"/>
          <w:szCs w:val="24"/>
          <w:lang w:val="es-CO" w:eastAsia="es-CO"/>
        </w:rPr>
        <w:t>16</w:t>
      </w:r>
      <w:r w:rsidR="00FF5527" w:rsidRPr="004D701A">
        <w:rPr>
          <w:rFonts w:ascii="Tahoma" w:eastAsia="Times New Roman" w:hAnsi="Tahoma" w:cs="Tahoma"/>
          <w:sz w:val="24"/>
          <w:szCs w:val="24"/>
          <w:lang w:val="es-CO" w:eastAsia="es-CO"/>
        </w:rPr>
        <w:t xml:space="preserve"> de </w:t>
      </w:r>
      <w:r w:rsidR="00CC3E44" w:rsidRPr="004D701A">
        <w:rPr>
          <w:rFonts w:ascii="Tahoma" w:eastAsia="Times New Roman" w:hAnsi="Tahoma" w:cs="Tahoma"/>
          <w:sz w:val="24"/>
          <w:szCs w:val="24"/>
          <w:lang w:val="es-CO" w:eastAsia="es-CO"/>
        </w:rPr>
        <w:t>noviem</w:t>
      </w:r>
      <w:r w:rsidR="00024FCB" w:rsidRPr="004D701A">
        <w:rPr>
          <w:rFonts w:ascii="Tahoma" w:eastAsia="Times New Roman" w:hAnsi="Tahoma" w:cs="Tahoma"/>
          <w:sz w:val="24"/>
          <w:szCs w:val="24"/>
          <w:lang w:val="es-CO" w:eastAsia="es-CO"/>
        </w:rPr>
        <w:t>bre</w:t>
      </w:r>
      <w:r w:rsidR="002E43B1" w:rsidRPr="004D701A">
        <w:rPr>
          <w:rFonts w:ascii="Tahoma" w:eastAsia="Times New Roman" w:hAnsi="Tahoma" w:cs="Tahoma"/>
          <w:sz w:val="24"/>
          <w:szCs w:val="24"/>
          <w:lang w:val="es-CO" w:eastAsia="es-CO"/>
        </w:rPr>
        <w:t xml:space="preserve"> </w:t>
      </w:r>
      <w:r w:rsidRPr="004D701A">
        <w:rPr>
          <w:rFonts w:ascii="Tahoma" w:eastAsia="Times New Roman" w:hAnsi="Tahoma" w:cs="Tahoma"/>
          <w:sz w:val="24"/>
          <w:szCs w:val="24"/>
          <w:lang w:val="es-CO" w:eastAsia="es-CO"/>
        </w:rPr>
        <w:t>de 202</w:t>
      </w:r>
      <w:r w:rsidR="002A3355" w:rsidRPr="004D701A">
        <w:rPr>
          <w:rFonts w:ascii="Tahoma" w:eastAsia="Times New Roman" w:hAnsi="Tahoma" w:cs="Tahoma"/>
          <w:sz w:val="24"/>
          <w:szCs w:val="24"/>
          <w:lang w:val="es-CO" w:eastAsia="es-CO"/>
        </w:rPr>
        <w:t>1</w:t>
      </w:r>
    </w:p>
    <w:p w14:paraId="18F7C9EB" w14:textId="77777777" w:rsidR="001C5C55" w:rsidRPr="004D701A" w:rsidRDefault="001C5C55" w:rsidP="004D701A">
      <w:pPr>
        <w:spacing w:line="276" w:lineRule="auto"/>
        <w:ind w:firstLine="0"/>
        <w:jc w:val="center"/>
        <w:rPr>
          <w:rFonts w:ascii="Tahoma" w:hAnsi="Tahoma" w:cs="Tahoma"/>
          <w:b/>
          <w:sz w:val="24"/>
          <w:szCs w:val="24"/>
        </w:rPr>
      </w:pPr>
    </w:p>
    <w:p w14:paraId="02A472BA" w14:textId="5787BF53" w:rsidR="00997C3E" w:rsidRPr="004D701A" w:rsidRDefault="00A31306" w:rsidP="004D701A">
      <w:pPr>
        <w:spacing w:line="276" w:lineRule="auto"/>
        <w:ind w:firstLine="708"/>
        <w:rPr>
          <w:rFonts w:ascii="Tahoma" w:hAnsi="Tahoma" w:cs="Tahoma"/>
          <w:b/>
          <w:sz w:val="24"/>
          <w:szCs w:val="24"/>
          <w:lang w:val="es-ES_tradnl"/>
        </w:rPr>
      </w:pPr>
      <w:r w:rsidRPr="004D701A">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4D701A">
        <w:rPr>
          <w:rFonts w:ascii="Tahoma" w:hAnsi="Tahoma" w:cs="Tahoma"/>
          <w:sz w:val="24"/>
          <w:szCs w:val="24"/>
        </w:rPr>
        <w:t xml:space="preserve"> </w:t>
      </w:r>
      <w:r w:rsidRPr="004D701A">
        <w:rPr>
          <w:rFonts w:ascii="Tahoma" w:hAnsi="Tahoma" w:cs="Tahoma"/>
          <w:sz w:val="24"/>
          <w:szCs w:val="24"/>
          <w:lang w:val="es-ES_tradnl"/>
        </w:rPr>
        <w:t>se proferirán por escrito</w:t>
      </w:r>
      <w:r w:rsidRPr="004D701A">
        <w:rPr>
          <w:rFonts w:ascii="Tahoma" w:hAnsi="Tahoma" w:cs="Tahoma"/>
          <w:sz w:val="24"/>
          <w:szCs w:val="24"/>
        </w:rPr>
        <w:t xml:space="preserve"> </w:t>
      </w:r>
      <w:r w:rsidRPr="004D701A">
        <w:rPr>
          <w:rFonts w:ascii="Tahoma" w:hAnsi="Tahoma" w:cs="Tahoma"/>
          <w:sz w:val="24"/>
          <w:szCs w:val="24"/>
          <w:lang w:val="es-ES_tradnl"/>
        </w:rPr>
        <w:t xml:space="preserve">las providencias de segunda instancia </w:t>
      </w:r>
      <w:r w:rsidRPr="004D701A">
        <w:rPr>
          <w:rFonts w:ascii="Tahoma" w:hAnsi="Tahoma" w:cs="Tahoma"/>
          <w:sz w:val="24"/>
          <w:szCs w:val="24"/>
          <w:lang w:val="es-ES_tradnl"/>
        </w:rPr>
        <w:lastRenderedPageBreak/>
        <w:t xml:space="preserve">en las que se surta el grado jurisdiccional de consulta o se resuelva el recurso de apelación de autos o sentencias, </w:t>
      </w:r>
      <w:r w:rsidRPr="004D701A">
        <w:rPr>
          <w:rFonts w:ascii="Tahoma" w:hAnsi="Tahoma" w:cs="Tahoma"/>
          <w:sz w:val="24"/>
          <w:szCs w:val="24"/>
        </w:rPr>
        <w:t xml:space="preserve">la Sala </w:t>
      </w:r>
      <w:r w:rsidR="00D204BC" w:rsidRPr="004D701A">
        <w:rPr>
          <w:rFonts w:ascii="Tahoma" w:hAnsi="Tahoma" w:cs="Tahoma"/>
          <w:sz w:val="24"/>
          <w:szCs w:val="24"/>
        </w:rPr>
        <w:t xml:space="preserve">Primera </w:t>
      </w:r>
      <w:r w:rsidRPr="004D701A">
        <w:rPr>
          <w:rFonts w:ascii="Tahoma" w:hAnsi="Tahoma" w:cs="Tahoma"/>
          <w:sz w:val="24"/>
          <w:szCs w:val="24"/>
        </w:rPr>
        <w:t>de Decisión Laboral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4D701A">
        <w:rPr>
          <w:rFonts w:ascii="Tahoma" w:hAnsi="Tahoma" w:cs="Tahoma"/>
          <w:sz w:val="24"/>
          <w:szCs w:val="24"/>
          <w:lang w:val="es-ES_tradnl"/>
        </w:rPr>
        <w:t xml:space="preserve"> </w:t>
      </w:r>
      <w:r w:rsidR="00024FCB" w:rsidRPr="004D701A">
        <w:rPr>
          <w:rFonts w:ascii="Tahoma" w:hAnsi="Tahoma" w:cs="Tahoma"/>
          <w:b/>
          <w:sz w:val="24"/>
          <w:szCs w:val="24"/>
          <w:lang w:val="es-ES_tradnl"/>
        </w:rPr>
        <w:t xml:space="preserve">María Stella Londoño Beltrán </w:t>
      </w:r>
      <w:r w:rsidR="00324DDD" w:rsidRPr="004D701A">
        <w:rPr>
          <w:rFonts w:ascii="Tahoma" w:hAnsi="Tahoma" w:cs="Tahoma"/>
          <w:sz w:val="24"/>
          <w:szCs w:val="24"/>
          <w:lang w:val="es-ES_tradnl"/>
        </w:rPr>
        <w:t xml:space="preserve">en contra de la </w:t>
      </w:r>
      <w:r w:rsidR="00324DDD" w:rsidRPr="004D701A">
        <w:rPr>
          <w:rFonts w:ascii="Tahoma" w:hAnsi="Tahoma" w:cs="Tahoma"/>
          <w:b/>
          <w:sz w:val="24"/>
          <w:szCs w:val="24"/>
          <w:lang w:val="es-ES_tradnl"/>
        </w:rPr>
        <w:t>A</w:t>
      </w:r>
      <w:r w:rsidR="001C5C55" w:rsidRPr="004D701A">
        <w:rPr>
          <w:rFonts w:ascii="Tahoma" w:hAnsi="Tahoma" w:cs="Tahoma"/>
          <w:b/>
          <w:sz w:val="24"/>
          <w:szCs w:val="24"/>
          <w:lang w:val="es-ES_tradnl"/>
        </w:rPr>
        <w:t xml:space="preserve">dministradora Colombiana de Pensiones </w:t>
      </w:r>
      <w:r w:rsidR="004D701A">
        <w:rPr>
          <w:rFonts w:ascii="Tahoma" w:hAnsi="Tahoma" w:cs="Tahoma"/>
          <w:b/>
          <w:sz w:val="24"/>
          <w:szCs w:val="24"/>
          <w:lang w:val="es-ES_tradnl"/>
        </w:rPr>
        <w:t>–</w:t>
      </w:r>
      <w:r w:rsidR="001C5C55" w:rsidRPr="004D701A">
        <w:rPr>
          <w:rFonts w:ascii="Tahoma" w:hAnsi="Tahoma" w:cs="Tahoma"/>
          <w:b/>
          <w:sz w:val="24"/>
          <w:szCs w:val="24"/>
          <w:lang w:val="es-ES_tradnl"/>
        </w:rPr>
        <w:t xml:space="preserve"> Colpensiones</w:t>
      </w:r>
      <w:r w:rsidR="001C5C55" w:rsidRPr="004D701A">
        <w:rPr>
          <w:rFonts w:ascii="Tahoma" w:hAnsi="Tahoma" w:cs="Tahoma"/>
          <w:sz w:val="24"/>
          <w:szCs w:val="24"/>
          <w:lang w:val="es-ES_tradnl"/>
        </w:rPr>
        <w:t xml:space="preserve"> y la </w:t>
      </w:r>
      <w:r w:rsidR="001C5C55" w:rsidRPr="004D701A">
        <w:rPr>
          <w:rFonts w:ascii="Tahoma" w:hAnsi="Tahoma" w:cs="Tahoma"/>
          <w:b/>
          <w:sz w:val="24"/>
          <w:szCs w:val="24"/>
          <w:lang w:val="es-ES_tradnl"/>
        </w:rPr>
        <w:t>Administradora de Fondos de Pensiones</w:t>
      </w:r>
      <w:r w:rsidR="00FF5527" w:rsidRPr="004D701A">
        <w:rPr>
          <w:rFonts w:ascii="Tahoma" w:hAnsi="Tahoma" w:cs="Tahoma"/>
          <w:b/>
          <w:sz w:val="24"/>
          <w:szCs w:val="24"/>
          <w:lang w:val="es-ES_tradnl"/>
        </w:rPr>
        <w:t xml:space="preserve"> Colfondos</w:t>
      </w:r>
      <w:r w:rsidR="009F7B32" w:rsidRPr="004D701A">
        <w:rPr>
          <w:rFonts w:ascii="Tahoma" w:hAnsi="Tahoma" w:cs="Tahoma"/>
          <w:b/>
          <w:sz w:val="24"/>
          <w:szCs w:val="24"/>
          <w:lang w:val="es-ES_tradnl"/>
        </w:rPr>
        <w:t xml:space="preserve"> </w:t>
      </w:r>
      <w:r w:rsidR="00324DDD" w:rsidRPr="004D701A">
        <w:rPr>
          <w:rFonts w:ascii="Tahoma" w:hAnsi="Tahoma" w:cs="Tahoma"/>
          <w:b/>
          <w:sz w:val="24"/>
          <w:szCs w:val="24"/>
          <w:lang w:val="es-ES_tradnl"/>
        </w:rPr>
        <w:t xml:space="preserve"> S.A.</w:t>
      </w:r>
      <w:r w:rsidR="00997C3E" w:rsidRPr="004D701A">
        <w:rPr>
          <w:rFonts w:ascii="Tahoma" w:hAnsi="Tahoma" w:cs="Tahoma"/>
          <w:sz w:val="24"/>
          <w:szCs w:val="24"/>
          <w:lang w:val="es-ES_tradnl"/>
        </w:rPr>
        <w:t>, al cual fue vinculada la</w:t>
      </w:r>
      <w:r w:rsidR="00997C3E" w:rsidRPr="004D701A">
        <w:rPr>
          <w:rFonts w:ascii="Tahoma" w:hAnsi="Tahoma" w:cs="Tahoma"/>
          <w:b/>
          <w:sz w:val="24"/>
          <w:szCs w:val="24"/>
          <w:lang w:val="es-ES_tradnl"/>
        </w:rPr>
        <w:t xml:space="preserve"> Nación </w:t>
      </w:r>
      <w:r w:rsidR="004D701A">
        <w:rPr>
          <w:rFonts w:ascii="Tahoma" w:hAnsi="Tahoma" w:cs="Tahoma"/>
          <w:b/>
          <w:sz w:val="24"/>
          <w:szCs w:val="24"/>
          <w:lang w:val="es-ES_tradnl"/>
        </w:rPr>
        <w:t>–</w:t>
      </w:r>
      <w:r w:rsidR="00997C3E" w:rsidRPr="004D701A">
        <w:rPr>
          <w:rFonts w:ascii="Tahoma" w:hAnsi="Tahoma" w:cs="Tahoma"/>
          <w:b/>
          <w:sz w:val="24"/>
          <w:szCs w:val="24"/>
          <w:lang w:val="es-ES_tradnl"/>
        </w:rPr>
        <w:t xml:space="preserve"> Ministerio de Hacienda, Oficina de Bonos Pensionales.</w:t>
      </w:r>
    </w:p>
    <w:p w14:paraId="506B3A41" w14:textId="3CA6C2EE" w:rsidR="005C5F5A" w:rsidRPr="004D701A" w:rsidRDefault="005C5F5A" w:rsidP="004D701A">
      <w:pPr>
        <w:spacing w:line="276" w:lineRule="auto"/>
        <w:ind w:firstLine="708"/>
        <w:rPr>
          <w:rFonts w:ascii="Tahoma" w:hAnsi="Tahoma" w:cs="Tahoma"/>
          <w:b/>
          <w:sz w:val="24"/>
          <w:szCs w:val="24"/>
          <w:lang w:val="es-ES_tradnl"/>
        </w:rPr>
      </w:pPr>
    </w:p>
    <w:p w14:paraId="10189EAD" w14:textId="68AA4720" w:rsidR="00A31306" w:rsidRPr="004D701A" w:rsidRDefault="00A31306" w:rsidP="004D701A">
      <w:pPr>
        <w:pStyle w:val="paragraph"/>
        <w:spacing w:before="0" w:beforeAutospacing="0" w:after="0" w:afterAutospacing="0" w:line="276" w:lineRule="auto"/>
        <w:jc w:val="center"/>
        <w:textAlignment w:val="baseline"/>
        <w:rPr>
          <w:rStyle w:val="normaltextrun"/>
          <w:rFonts w:ascii="Tahoma" w:hAnsi="Tahoma" w:cs="Tahoma"/>
          <w:b/>
          <w:bCs/>
        </w:rPr>
      </w:pPr>
      <w:r w:rsidRPr="004D701A">
        <w:rPr>
          <w:rStyle w:val="normaltextrun"/>
          <w:rFonts w:ascii="Tahoma" w:hAnsi="Tahoma" w:cs="Tahoma"/>
          <w:b/>
          <w:bCs/>
        </w:rPr>
        <w:t>PUNTO A TRATAR</w:t>
      </w:r>
    </w:p>
    <w:p w14:paraId="0A8E9705" w14:textId="77777777" w:rsidR="00CC3E44" w:rsidRPr="004D701A" w:rsidRDefault="00CC3E44" w:rsidP="004D701A">
      <w:pPr>
        <w:spacing w:line="276" w:lineRule="auto"/>
        <w:ind w:firstLine="708"/>
        <w:rPr>
          <w:rStyle w:val="normaltextrun"/>
          <w:rFonts w:ascii="Tahoma" w:hAnsi="Tahoma" w:cs="Tahoma"/>
          <w:sz w:val="24"/>
          <w:szCs w:val="24"/>
        </w:rPr>
      </w:pPr>
    </w:p>
    <w:p w14:paraId="1B8C11DD" w14:textId="0D261F61" w:rsidR="00A31306" w:rsidRPr="004D701A" w:rsidRDefault="00A31306" w:rsidP="004D701A">
      <w:pPr>
        <w:spacing w:line="276" w:lineRule="auto"/>
        <w:ind w:firstLine="708"/>
        <w:rPr>
          <w:rFonts w:ascii="Tahoma" w:hAnsi="Tahoma" w:cs="Tahoma"/>
          <w:sz w:val="24"/>
          <w:szCs w:val="24"/>
          <w:lang w:val="es-ES_tradnl"/>
        </w:rPr>
      </w:pPr>
      <w:r w:rsidRPr="004D701A">
        <w:rPr>
          <w:rStyle w:val="normaltextrun"/>
          <w:rFonts w:ascii="Tahoma" w:hAnsi="Tahoma" w:cs="Tahoma"/>
          <w:sz w:val="24"/>
          <w:szCs w:val="24"/>
        </w:rPr>
        <w:t>Por medio de esta providencia procede la Sala a</w:t>
      </w:r>
      <w:r w:rsidRPr="004D701A">
        <w:rPr>
          <w:rFonts w:ascii="Tahoma" w:hAnsi="Tahoma" w:cs="Tahoma"/>
          <w:sz w:val="24"/>
          <w:szCs w:val="24"/>
        </w:rPr>
        <w:t xml:space="preserve"> revolver </w:t>
      </w:r>
      <w:r w:rsidR="000B7630" w:rsidRPr="004D701A">
        <w:rPr>
          <w:rFonts w:ascii="Tahoma" w:hAnsi="Tahoma" w:cs="Tahoma"/>
          <w:sz w:val="24"/>
          <w:szCs w:val="24"/>
        </w:rPr>
        <w:t>e</w:t>
      </w:r>
      <w:r w:rsidRPr="004D701A">
        <w:rPr>
          <w:rFonts w:ascii="Tahoma" w:hAnsi="Tahoma" w:cs="Tahoma"/>
          <w:sz w:val="24"/>
          <w:szCs w:val="24"/>
        </w:rPr>
        <w:t>l recurso de apelación interpuesto por</w:t>
      </w:r>
      <w:r w:rsidR="000B7630" w:rsidRPr="004D701A">
        <w:rPr>
          <w:rFonts w:ascii="Tahoma" w:hAnsi="Tahoma" w:cs="Tahoma"/>
          <w:sz w:val="24"/>
          <w:szCs w:val="24"/>
        </w:rPr>
        <w:t xml:space="preserve"> la</w:t>
      </w:r>
      <w:r w:rsidR="00AE218E" w:rsidRPr="004D701A">
        <w:rPr>
          <w:rFonts w:ascii="Tahoma" w:hAnsi="Tahoma" w:cs="Tahoma"/>
          <w:sz w:val="24"/>
          <w:szCs w:val="24"/>
        </w:rPr>
        <w:t xml:space="preserve"> apoderada</w:t>
      </w:r>
      <w:r w:rsidR="00FF5527" w:rsidRPr="004D701A">
        <w:rPr>
          <w:rFonts w:ascii="Tahoma" w:hAnsi="Tahoma" w:cs="Tahoma"/>
          <w:sz w:val="24"/>
          <w:szCs w:val="24"/>
        </w:rPr>
        <w:t xml:space="preserve"> del demandante e</w:t>
      </w:r>
      <w:r w:rsidRPr="004D701A">
        <w:rPr>
          <w:rFonts w:ascii="Tahoma" w:hAnsi="Tahoma" w:cs="Tahoma"/>
          <w:sz w:val="24"/>
          <w:szCs w:val="24"/>
          <w:lang w:val="es-CO"/>
        </w:rPr>
        <w:t xml:space="preserve">n contra de la sentencia proferida </w:t>
      </w:r>
      <w:r w:rsidR="009F7B32" w:rsidRPr="004D701A">
        <w:rPr>
          <w:rFonts w:ascii="Tahoma" w:hAnsi="Tahoma" w:cs="Tahoma"/>
          <w:sz w:val="24"/>
          <w:szCs w:val="24"/>
          <w:lang w:val="es-CO"/>
        </w:rPr>
        <w:t xml:space="preserve">el </w:t>
      </w:r>
      <w:r w:rsidR="00024FCB" w:rsidRPr="004D701A">
        <w:rPr>
          <w:rFonts w:ascii="Tahoma" w:hAnsi="Tahoma" w:cs="Tahoma"/>
          <w:sz w:val="24"/>
          <w:szCs w:val="24"/>
          <w:lang w:val="es-CO"/>
        </w:rPr>
        <w:t>12</w:t>
      </w:r>
      <w:r w:rsidR="00FF5527" w:rsidRPr="004D701A">
        <w:rPr>
          <w:rFonts w:ascii="Tahoma" w:hAnsi="Tahoma" w:cs="Tahoma"/>
          <w:sz w:val="24"/>
          <w:szCs w:val="24"/>
          <w:lang w:val="es-CO"/>
        </w:rPr>
        <w:t xml:space="preserve"> de </w:t>
      </w:r>
      <w:r w:rsidR="00024FCB" w:rsidRPr="004D701A">
        <w:rPr>
          <w:rFonts w:ascii="Tahoma" w:hAnsi="Tahoma" w:cs="Tahoma"/>
          <w:sz w:val="24"/>
          <w:szCs w:val="24"/>
          <w:lang w:val="es-CO"/>
        </w:rPr>
        <w:t xml:space="preserve">junio </w:t>
      </w:r>
      <w:r w:rsidR="00FF5527" w:rsidRPr="004D701A">
        <w:rPr>
          <w:rFonts w:ascii="Tahoma" w:hAnsi="Tahoma" w:cs="Tahoma"/>
          <w:sz w:val="24"/>
          <w:szCs w:val="24"/>
          <w:lang w:val="es-CO"/>
        </w:rPr>
        <w:t>de 2021</w:t>
      </w:r>
      <w:r w:rsidR="000F4167" w:rsidRPr="004D701A">
        <w:rPr>
          <w:rFonts w:ascii="Tahoma" w:hAnsi="Tahoma" w:cs="Tahoma"/>
          <w:sz w:val="24"/>
          <w:szCs w:val="24"/>
          <w:lang w:val="es-CO"/>
        </w:rPr>
        <w:t xml:space="preserve"> </w:t>
      </w:r>
      <w:r w:rsidRPr="004D701A">
        <w:rPr>
          <w:rFonts w:ascii="Tahoma" w:hAnsi="Tahoma" w:cs="Tahoma"/>
          <w:sz w:val="24"/>
          <w:szCs w:val="24"/>
          <w:lang w:val="es-CO"/>
        </w:rPr>
        <w:t xml:space="preserve">por el Juzgado </w:t>
      </w:r>
      <w:r w:rsidR="00024FCB" w:rsidRPr="004D701A">
        <w:rPr>
          <w:rFonts w:ascii="Tahoma" w:hAnsi="Tahoma" w:cs="Tahoma"/>
          <w:sz w:val="24"/>
          <w:szCs w:val="24"/>
          <w:lang w:val="es-CO"/>
        </w:rPr>
        <w:t>Primero</w:t>
      </w:r>
      <w:r w:rsidR="00AE218E" w:rsidRPr="004D701A">
        <w:rPr>
          <w:rFonts w:ascii="Tahoma" w:hAnsi="Tahoma" w:cs="Tahoma"/>
          <w:sz w:val="24"/>
          <w:szCs w:val="24"/>
          <w:lang w:val="es-CO"/>
        </w:rPr>
        <w:t xml:space="preserve"> </w:t>
      </w:r>
      <w:r w:rsidRPr="004D701A">
        <w:rPr>
          <w:rFonts w:ascii="Tahoma" w:hAnsi="Tahoma" w:cs="Tahoma"/>
          <w:sz w:val="24"/>
          <w:szCs w:val="24"/>
          <w:lang w:val="es-CO"/>
        </w:rPr>
        <w:t>Laboral del Circuito de Pereira</w:t>
      </w:r>
      <w:r w:rsidRPr="004D701A">
        <w:rPr>
          <w:rStyle w:val="normaltextrun"/>
          <w:rFonts w:ascii="Tahoma" w:hAnsi="Tahoma" w:cs="Tahoma"/>
          <w:sz w:val="24"/>
          <w:szCs w:val="24"/>
        </w:rPr>
        <w:t>.</w:t>
      </w:r>
      <w:r w:rsidRPr="004D701A">
        <w:rPr>
          <w:rStyle w:val="Refdenotaalpie"/>
          <w:rFonts w:ascii="Tahoma" w:hAnsi="Tahoma" w:cs="Tahoma"/>
          <w:sz w:val="24"/>
          <w:szCs w:val="24"/>
        </w:rPr>
        <w:t xml:space="preserve"> </w:t>
      </w:r>
      <w:r w:rsidRPr="004D701A">
        <w:rPr>
          <w:rStyle w:val="normaltextrun"/>
          <w:rFonts w:ascii="Tahoma" w:hAnsi="Tahoma" w:cs="Tahoma"/>
          <w:sz w:val="24"/>
          <w:szCs w:val="24"/>
        </w:rPr>
        <w:t>Para ello se tiene en cuenta lo siguiente: </w:t>
      </w:r>
    </w:p>
    <w:p w14:paraId="67961BE8" w14:textId="77777777" w:rsidR="001C5C55" w:rsidRPr="004D701A" w:rsidRDefault="001C5C55" w:rsidP="004D701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color w:val="auto"/>
          <w:sz w:val="24"/>
          <w:szCs w:val="24"/>
          <w:lang w:val="es-CO"/>
        </w:rPr>
      </w:pPr>
    </w:p>
    <w:p w14:paraId="04B97E35" w14:textId="77777777" w:rsidR="00A31306" w:rsidRPr="004D701A" w:rsidRDefault="00A31306" w:rsidP="004D701A">
      <w:pPr>
        <w:pStyle w:val="Sinespaciado"/>
        <w:numPr>
          <w:ilvl w:val="0"/>
          <w:numId w:val="2"/>
        </w:numPr>
        <w:tabs>
          <w:tab w:val="left" w:pos="0"/>
          <w:tab w:val="left" w:pos="284"/>
        </w:tabs>
        <w:spacing w:line="276" w:lineRule="auto"/>
        <w:ind w:left="0" w:firstLine="0"/>
        <w:jc w:val="center"/>
        <w:rPr>
          <w:rFonts w:ascii="Tahoma" w:hAnsi="Tahoma" w:cs="Tahoma"/>
          <w:b/>
        </w:rPr>
      </w:pPr>
      <w:r w:rsidRPr="004D701A">
        <w:rPr>
          <w:rFonts w:ascii="Tahoma" w:hAnsi="Tahoma" w:cs="Tahoma"/>
          <w:b/>
        </w:rPr>
        <w:t>La demanda y su contestación</w:t>
      </w:r>
    </w:p>
    <w:p w14:paraId="5B2B7272" w14:textId="77777777" w:rsidR="001C5C55" w:rsidRPr="004D701A" w:rsidRDefault="001C5C55" w:rsidP="004D701A">
      <w:pPr>
        <w:pStyle w:val="Sinespaciado"/>
        <w:spacing w:line="276" w:lineRule="auto"/>
        <w:rPr>
          <w:rFonts w:ascii="Tahoma" w:hAnsi="Tahoma" w:cs="Tahoma"/>
        </w:rPr>
      </w:pPr>
    </w:p>
    <w:p w14:paraId="5A9347AE" w14:textId="0187DB4E" w:rsidR="003166F5" w:rsidRPr="004D701A" w:rsidRDefault="001C5C55" w:rsidP="004D701A">
      <w:pPr>
        <w:spacing w:line="276" w:lineRule="auto"/>
        <w:rPr>
          <w:rFonts w:ascii="Tahoma" w:hAnsi="Tahoma" w:cs="Tahoma"/>
          <w:sz w:val="24"/>
          <w:szCs w:val="24"/>
          <w:lang w:val="es-CO"/>
        </w:rPr>
      </w:pPr>
      <w:r w:rsidRPr="004D701A">
        <w:rPr>
          <w:rFonts w:ascii="Tahoma" w:hAnsi="Tahoma" w:cs="Tahoma"/>
          <w:sz w:val="24"/>
          <w:szCs w:val="24"/>
          <w:lang w:val="es-CO"/>
        </w:rPr>
        <w:t xml:space="preserve">Solicita </w:t>
      </w:r>
      <w:r w:rsidR="009F7B32" w:rsidRPr="004D701A">
        <w:rPr>
          <w:rFonts w:ascii="Tahoma" w:hAnsi="Tahoma" w:cs="Tahoma"/>
          <w:sz w:val="24"/>
          <w:szCs w:val="24"/>
          <w:lang w:val="es-CO"/>
        </w:rPr>
        <w:t>l</w:t>
      </w:r>
      <w:r w:rsidR="00024FCB" w:rsidRPr="004D701A">
        <w:rPr>
          <w:rFonts w:ascii="Tahoma" w:hAnsi="Tahoma" w:cs="Tahoma"/>
          <w:sz w:val="24"/>
          <w:szCs w:val="24"/>
          <w:lang w:val="es-CO"/>
        </w:rPr>
        <w:t>a</w:t>
      </w:r>
      <w:r w:rsidRPr="004D701A">
        <w:rPr>
          <w:rFonts w:ascii="Tahoma" w:hAnsi="Tahoma" w:cs="Tahoma"/>
          <w:sz w:val="24"/>
          <w:szCs w:val="24"/>
          <w:lang w:val="es-CO"/>
        </w:rPr>
        <w:t xml:space="preserve"> demandante que </w:t>
      </w:r>
      <w:r w:rsidR="00A3186B" w:rsidRPr="004D701A">
        <w:rPr>
          <w:rFonts w:ascii="Tahoma" w:hAnsi="Tahoma" w:cs="Tahoma"/>
          <w:sz w:val="24"/>
          <w:szCs w:val="24"/>
          <w:lang w:val="es-CO"/>
        </w:rPr>
        <w:t xml:space="preserve">se declare la </w:t>
      </w:r>
      <w:r w:rsidR="00AE218E" w:rsidRPr="004D701A">
        <w:rPr>
          <w:rFonts w:ascii="Tahoma" w:hAnsi="Tahoma" w:cs="Tahoma"/>
          <w:sz w:val="24"/>
          <w:szCs w:val="24"/>
          <w:lang w:val="es-CO"/>
        </w:rPr>
        <w:t>ineficacia</w:t>
      </w:r>
      <w:r w:rsidR="00356284" w:rsidRPr="004D701A">
        <w:rPr>
          <w:rFonts w:ascii="Tahoma" w:hAnsi="Tahoma" w:cs="Tahoma"/>
          <w:sz w:val="24"/>
          <w:szCs w:val="24"/>
          <w:lang w:val="es-CO"/>
        </w:rPr>
        <w:t>, o subsidiariamente la nulidad,</w:t>
      </w:r>
      <w:r w:rsidR="00AE218E" w:rsidRPr="004D701A">
        <w:rPr>
          <w:rFonts w:ascii="Tahoma" w:hAnsi="Tahoma" w:cs="Tahoma"/>
          <w:sz w:val="24"/>
          <w:szCs w:val="24"/>
          <w:lang w:val="es-CO"/>
        </w:rPr>
        <w:t xml:space="preserve"> </w:t>
      </w:r>
      <w:r w:rsidR="006C45BE" w:rsidRPr="004D701A">
        <w:rPr>
          <w:rFonts w:ascii="Tahoma" w:hAnsi="Tahoma" w:cs="Tahoma"/>
          <w:sz w:val="24"/>
          <w:szCs w:val="24"/>
          <w:lang w:val="es-CO"/>
        </w:rPr>
        <w:t xml:space="preserve">de la afiliación a la AFP </w:t>
      </w:r>
      <w:r w:rsidR="00FF5527" w:rsidRPr="004D701A">
        <w:rPr>
          <w:rFonts w:ascii="Tahoma" w:hAnsi="Tahoma" w:cs="Tahoma"/>
          <w:sz w:val="24"/>
          <w:szCs w:val="24"/>
          <w:lang w:val="es-CO"/>
        </w:rPr>
        <w:t xml:space="preserve">Colfondos </w:t>
      </w:r>
      <w:r w:rsidR="003166F5" w:rsidRPr="004D701A">
        <w:rPr>
          <w:rFonts w:ascii="Tahoma" w:hAnsi="Tahoma" w:cs="Tahoma"/>
          <w:sz w:val="24"/>
          <w:szCs w:val="24"/>
          <w:lang w:val="es-CO"/>
        </w:rPr>
        <w:t>S.A.</w:t>
      </w:r>
      <w:r w:rsidR="0013340A" w:rsidRPr="004D701A">
        <w:rPr>
          <w:rFonts w:ascii="Tahoma" w:hAnsi="Tahoma" w:cs="Tahoma"/>
          <w:sz w:val="24"/>
          <w:szCs w:val="24"/>
          <w:lang w:val="es-CO"/>
        </w:rPr>
        <w:t>,</w:t>
      </w:r>
      <w:r w:rsidR="006C45BE" w:rsidRPr="004D701A">
        <w:rPr>
          <w:rFonts w:ascii="Tahoma" w:hAnsi="Tahoma" w:cs="Tahoma"/>
          <w:sz w:val="24"/>
          <w:szCs w:val="24"/>
          <w:lang w:val="es-CO"/>
        </w:rPr>
        <w:t xml:space="preserve"> a través de la cual se trasladó del régimen de prima media </w:t>
      </w:r>
      <w:r w:rsidR="00CC3E44" w:rsidRPr="004D701A">
        <w:rPr>
          <w:rFonts w:ascii="Tahoma" w:hAnsi="Tahoma" w:cs="Tahoma"/>
          <w:sz w:val="24"/>
          <w:szCs w:val="24"/>
          <w:lang w:val="es-CO"/>
        </w:rPr>
        <w:t xml:space="preserve">con prestación definida </w:t>
      </w:r>
      <w:r w:rsidR="00AB12BB" w:rsidRPr="004D701A">
        <w:rPr>
          <w:rFonts w:ascii="Tahoma" w:hAnsi="Tahoma" w:cs="Tahoma"/>
          <w:sz w:val="24"/>
          <w:szCs w:val="24"/>
          <w:lang w:val="es-CO"/>
        </w:rPr>
        <w:t xml:space="preserve">(en adelante RPM) </w:t>
      </w:r>
      <w:r w:rsidR="006C45BE" w:rsidRPr="004D701A">
        <w:rPr>
          <w:rFonts w:ascii="Tahoma" w:hAnsi="Tahoma" w:cs="Tahoma"/>
          <w:sz w:val="24"/>
          <w:szCs w:val="24"/>
          <w:lang w:val="es-CO"/>
        </w:rPr>
        <w:t>al de ahorro individual</w:t>
      </w:r>
      <w:r w:rsidR="00AB12BB" w:rsidRPr="004D701A">
        <w:rPr>
          <w:rFonts w:ascii="Tahoma" w:hAnsi="Tahoma" w:cs="Tahoma"/>
          <w:sz w:val="24"/>
          <w:szCs w:val="24"/>
          <w:lang w:val="es-CO"/>
        </w:rPr>
        <w:t xml:space="preserve"> con solidaridad (en adelante RAIS)</w:t>
      </w:r>
      <w:r w:rsidR="0013340A" w:rsidRPr="004D701A">
        <w:rPr>
          <w:rFonts w:ascii="Tahoma" w:hAnsi="Tahoma" w:cs="Tahoma"/>
          <w:sz w:val="24"/>
          <w:szCs w:val="24"/>
          <w:lang w:val="es-CO"/>
        </w:rPr>
        <w:t>. Asimismo, pide que</w:t>
      </w:r>
      <w:r w:rsidR="006C45BE" w:rsidRPr="004D701A">
        <w:rPr>
          <w:rFonts w:ascii="Tahoma" w:hAnsi="Tahoma" w:cs="Tahoma"/>
          <w:sz w:val="24"/>
          <w:szCs w:val="24"/>
          <w:lang w:val="es-CO"/>
        </w:rPr>
        <w:t xml:space="preserve"> se </w:t>
      </w:r>
      <w:r w:rsidR="003166F5" w:rsidRPr="004D701A">
        <w:rPr>
          <w:rFonts w:ascii="Tahoma" w:hAnsi="Tahoma" w:cs="Tahoma"/>
          <w:sz w:val="24"/>
          <w:szCs w:val="24"/>
          <w:lang w:val="es-CO"/>
        </w:rPr>
        <w:t>declare</w:t>
      </w:r>
      <w:r w:rsidR="00452DAE" w:rsidRPr="004D701A">
        <w:rPr>
          <w:rFonts w:ascii="Tahoma" w:hAnsi="Tahoma" w:cs="Tahoma"/>
          <w:sz w:val="24"/>
          <w:szCs w:val="24"/>
          <w:lang w:val="es-CO"/>
        </w:rPr>
        <w:t xml:space="preserve"> válida y vigente su afiliación al otrora Instituto de Seguros Sociales, hoy Colpensiones</w:t>
      </w:r>
      <w:r w:rsidR="00DE778B" w:rsidRPr="004D701A">
        <w:rPr>
          <w:rFonts w:ascii="Tahoma" w:hAnsi="Tahoma" w:cs="Tahoma"/>
          <w:sz w:val="24"/>
          <w:szCs w:val="24"/>
          <w:lang w:val="es-CO"/>
        </w:rPr>
        <w:t>.</w:t>
      </w:r>
      <w:r w:rsidR="00452DAE" w:rsidRPr="004D701A">
        <w:rPr>
          <w:rFonts w:ascii="Tahoma" w:hAnsi="Tahoma" w:cs="Tahoma"/>
          <w:sz w:val="24"/>
          <w:szCs w:val="24"/>
          <w:lang w:val="es-CO"/>
        </w:rPr>
        <w:t xml:space="preserve"> </w:t>
      </w:r>
    </w:p>
    <w:p w14:paraId="0F7109BC" w14:textId="7E8F1F39" w:rsidR="003166F5" w:rsidRPr="004D701A" w:rsidRDefault="003166F5" w:rsidP="004D701A">
      <w:pPr>
        <w:spacing w:line="276" w:lineRule="auto"/>
        <w:rPr>
          <w:rFonts w:ascii="Tahoma" w:hAnsi="Tahoma" w:cs="Tahoma"/>
          <w:sz w:val="24"/>
          <w:szCs w:val="24"/>
          <w:lang w:val="es-CO"/>
        </w:rPr>
      </w:pPr>
    </w:p>
    <w:p w14:paraId="53ADDB2C" w14:textId="3D403629" w:rsidR="003166F5" w:rsidRPr="004D701A" w:rsidRDefault="003166F5" w:rsidP="004D701A">
      <w:pPr>
        <w:spacing w:line="276" w:lineRule="auto"/>
        <w:rPr>
          <w:rFonts w:ascii="Tahoma" w:hAnsi="Tahoma" w:cs="Tahoma"/>
          <w:sz w:val="24"/>
          <w:szCs w:val="24"/>
        </w:rPr>
      </w:pPr>
      <w:r w:rsidRPr="004D701A">
        <w:rPr>
          <w:rFonts w:ascii="Tahoma" w:hAnsi="Tahoma" w:cs="Tahoma"/>
          <w:sz w:val="24"/>
          <w:szCs w:val="24"/>
          <w:lang w:val="es-CO"/>
        </w:rPr>
        <w:t>Consecuencialmente, procura que se condene a Colpensiones a recibirl</w:t>
      </w:r>
      <w:r w:rsidR="00024FCB" w:rsidRPr="004D701A">
        <w:rPr>
          <w:rFonts w:ascii="Tahoma" w:hAnsi="Tahoma" w:cs="Tahoma"/>
          <w:sz w:val="24"/>
          <w:szCs w:val="24"/>
          <w:lang w:val="es-CO"/>
        </w:rPr>
        <w:t>a</w:t>
      </w:r>
      <w:r w:rsidRPr="004D701A">
        <w:rPr>
          <w:rFonts w:ascii="Tahoma" w:hAnsi="Tahoma" w:cs="Tahoma"/>
          <w:sz w:val="24"/>
          <w:szCs w:val="24"/>
          <w:lang w:val="es-CO"/>
        </w:rPr>
        <w:t xml:space="preserve"> nuevamente como afiliad</w:t>
      </w:r>
      <w:r w:rsidR="00024FCB" w:rsidRPr="004D701A">
        <w:rPr>
          <w:rFonts w:ascii="Tahoma" w:hAnsi="Tahoma" w:cs="Tahoma"/>
          <w:sz w:val="24"/>
          <w:szCs w:val="24"/>
          <w:lang w:val="es-CO"/>
        </w:rPr>
        <w:t>a</w:t>
      </w:r>
      <w:r w:rsidRPr="004D701A">
        <w:rPr>
          <w:rFonts w:ascii="Tahoma" w:hAnsi="Tahoma" w:cs="Tahoma"/>
          <w:sz w:val="24"/>
          <w:szCs w:val="24"/>
          <w:lang w:val="es-CO"/>
        </w:rPr>
        <w:t xml:space="preserve"> cotizante y </w:t>
      </w:r>
      <w:r w:rsidR="00024FCB" w:rsidRPr="004D701A">
        <w:rPr>
          <w:rFonts w:ascii="Tahoma" w:hAnsi="Tahoma" w:cs="Tahoma"/>
          <w:sz w:val="24"/>
          <w:szCs w:val="24"/>
          <w:lang w:val="es-CO"/>
        </w:rPr>
        <w:t xml:space="preserve">a </w:t>
      </w:r>
      <w:r w:rsidR="00FF5527" w:rsidRPr="004D701A">
        <w:rPr>
          <w:rFonts w:ascii="Tahoma" w:hAnsi="Tahoma" w:cs="Tahoma"/>
          <w:sz w:val="24"/>
          <w:szCs w:val="24"/>
          <w:lang w:val="es-CO"/>
        </w:rPr>
        <w:t xml:space="preserve">reconocerle la </w:t>
      </w:r>
      <w:r w:rsidR="004D701A">
        <w:rPr>
          <w:rFonts w:ascii="Tahoma" w:hAnsi="Tahoma" w:cs="Tahoma"/>
          <w:sz w:val="24"/>
          <w:szCs w:val="24"/>
          <w:lang w:val="es-CO"/>
        </w:rPr>
        <w:t>pensión</w:t>
      </w:r>
      <w:r w:rsidR="00FF5527" w:rsidRPr="004D701A">
        <w:rPr>
          <w:rFonts w:ascii="Tahoma" w:hAnsi="Tahoma" w:cs="Tahoma"/>
          <w:sz w:val="24"/>
          <w:szCs w:val="24"/>
        </w:rPr>
        <w:t xml:space="preserve"> de vejez contemplada en el Acuerdo 049 de 1990.</w:t>
      </w:r>
    </w:p>
    <w:p w14:paraId="679BC6D0" w14:textId="5E2713FE" w:rsidR="008B720E" w:rsidRPr="004D701A" w:rsidRDefault="008B720E" w:rsidP="004D701A">
      <w:pPr>
        <w:spacing w:line="276" w:lineRule="auto"/>
        <w:rPr>
          <w:rFonts w:ascii="Tahoma" w:hAnsi="Tahoma" w:cs="Tahoma"/>
          <w:sz w:val="24"/>
          <w:szCs w:val="24"/>
          <w:lang w:val="es-CO"/>
        </w:rPr>
      </w:pPr>
    </w:p>
    <w:p w14:paraId="1C36EFD6" w14:textId="2F4F01DB" w:rsidR="008B720E" w:rsidRPr="004D701A" w:rsidRDefault="008B720E" w:rsidP="004D701A">
      <w:pPr>
        <w:spacing w:line="276" w:lineRule="auto"/>
        <w:rPr>
          <w:rFonts w:ascii="Tahoma" w:hAnsi="Tahoma" w:cs="Tahoma"/>
          <w:sz w:val="24"/>
          <w:szCs w:val="24"/>
          <w:lang w:val="es-CO"/>
        </w:rPr>
      </w:pPr>
      <w:r w:rsidRPr="004D701A">
        <w:rPr>
          <w:rFonts w:ascii="Tahoma" w:hAnsi="Tahoma" w:cs="Tahoma"/>
          <w:sz w:val="24"/>
          <w:szCs w:val="24"/>
          <w:lang w:val="es-CO"/>
        </w:rPr>
        <w:t xml:space="preserve">Por último, pide que se condene a </w:t>
      </w:r>
      <w:r w:rsidR="004D0AEA" w:rsidRPr="004D701A">
        <w:rPr>
          <w:rFonts w:ascii="Tahoma" w:hAnsi="Tahoma" w:cs="Tahoma"/>
          <w:sz w:val="24"/>
          <w:szCs w:val="24"/>
          <w:lang w:val="es-CO"/>
        </w:rPr>
        <w:t xml:space="preserve">las demandadas al pago de </w:t>
      </w:r>
      <w:r w:rsidR="00FF5527" w:rsidRPr="004D701A">
        <w:rPr>
          <w:rFonts w:ascii="Tahoma" w:hAnsi="Tahoma" w:cs="Tahoma"/>
          <w:sz w:val="24"/>
          <w:szCs w:val="24"/>
          <w:lang w:val="es-CO"/>
        </w:rPr>
        <w:t xml:space="preserve">los intereses moratorios y </w:t>
      </w:r>
      <w:r w:rsidR="004D0AEA" w:rsidRPr="004D701A">
        <w:rPr>
          <w:rFonts w:ascii="Tahoma" w:hAnsi="Tahoma" w:cs="Tahoma"/>
          <w:sz w:val="24"/>
          <w:szCs w:val="24"/>
          <w:lang w:val="es-CO"/>
        </w:rPr>
        <w:t>las costas procesales</w:t>
      </w:r>
      <w:r w:rsidR="00FF5527" w:rsidRPr="004D701A">
        <w:rPr>
          <w:rFonts w:ascii="Tahoma" w:hAnsi="Tahoma" w:cs="Tahoma"/>
          <w:sz w:val="24"/>
          <w:szCs w:val="24"/>
          <w:lang w:val="es-CO"/>
        </w:rPr>
        <w:t>.</w:t>
      </w:r>
    </w:p>
    <w:p w14:paraId="27A9BCD1" w14:textId="77777777" w:rsidR="008B720E" w:rsidRPr="004D701A" w:rsidRDefault="008B720E" w:rsidP="004D701A">
      <w:pPr>
        <w:spacing w:line="276" w:lineRule="auto"/>
        <w:rPr>
          <w:rFonts w:ascii="Tahoma" w:hAnsi="Tahoma" w:cs="Tahoma"/>
          <w:sz w:val="24"/>
          <w:szCs w:val="24"/>
          <w:lang w:val="es-CO"/>
        </w:rPr>
      </w:pPr>
    </w:p>
    <w:p w14:paraId="5F4A0A06" w14:textId="6A2114FE" w:rsidR="005C5F5A" w:rsidRPr="004D701A" w:rsidRDefault="00701DDF" w:rsidP="004D701A">
      <w:pPr>
        <w:spacing w:line="276" w:lineRule="auto"/>
        <w:rPr>
          <w:rFonts w:ascii="Tahoma" w:hAnsi="Tahoma" w:cs="Tahoma"/>
          <w:sz w:val="24"/>
          <w:szCs w:val="24"/>
        </w:rPr>
      </w:pPr>
      <w:r w:rsidRPr="004D701A">
        <w:rPr>
          <w:rFonts w:ascii="Tahoma" w:hAnsi="Tahoma" w:cs="Tahoma"/>
          <w:sz w:val="24"/>
          <w:szCs w:val="24"/>
        </w:rPr>
        <w:t>Fundamenta sus pretensiones en que nació el 8 de mayo de 1952; que al 1</w:t>
      </w:r>
      <w:r w:rsidR="005C5F5A" w:rsidRPr="004D701A">
        <w:rPr>
          <w:rFonts w:ascii="Tahoma" w:hAnsi="Tahoma" w:cs="Tahoma"/>
          <w:sz w:val="24"/>
          <w:szCs w:val="24"/>
        </w:rPr>
        <w:t xml:space="preserve">º </w:t>
      </w:r>
      <w:r w:rsidRPr="004D701A">
        <w:rPr>
          <w:rFonts w:ascii="Tahoma" w:hAnsi="Tahoma" w:cs="Tahoma"/>
          <w:sz w:val="24"/>
          <w:szCs w:val="24"/>
        </w:rPr>
        <w:t>de abril de 1994 contaba con 42 años de edad y 893 semanas de cotización al ISS, entidad a la cual se afilió el 12 de marzo de 1971</w:t>
      </w:r>
      <w:r w:rsidR="005C5F5A" w:rsidRPr="004D701A">
        <w:rPr>
          <w:rFonts w:ascii="Tahoma" w:hAnsi="Tahoma" w:cs="Tahoma"/>
          <w:sz w:val="24"/>
          <w:szCs w:val="24"/>
        </w:rPr>
        <w:t xml:space="preserve">, acreditando </w:t>
      </w:r>
      <w:r w:rsidRPr="004D701A">
        <w:rPr>
          <w:rFonts w:ascii="Tahoma" w:hAnsi="Tahoma" w:cs="Tahoma"/>
          <w:sz w:val="24"/>
          <w:szCs w:val="24"/>
        </w:rPr>
        <w:t>un total de 1180 semanas</w:t>
      </w:r>
      <w:r w:rsidR="003C082F" w:rsidRPr="004D701A">
        <w:rPr>
          <w:rFonts w:ascii="Tahoma" w:hAnsi="Tahoma" w:cs="Tahoma"/>
          <w:sz w:val="24"/>
          <w:szCs w:val="24"/>
        </w:rPr>
        <w:t>.</w:t>
      </w:r>
    </w:p>
    <w:p w14:paraId="6D4086C2" w14:textId="77777777" w:rsidR="005C5F5A" w:rsidRPr="004D701A" w:rsidRDefault="005C5F5A" w:rsidP="004D701A">
      <w:pPr>
        <w:spacing w:line="276" w:lineRule="auto"/>
        <w:rPr>
          <w:rFonts w:ascii="Tahoma" w:hAnsi="Tahoma" w:cs="Tahoma"/>
          <w:sz w:val="24"/>
          <w:szCs w:val="24"/>
        </w:rPr>
      </w:pPr>
    </w:p>
    <w:p w14:paraId="3580F899" w14:textId="44AD62DB" w:rsidR="00701DDF" w:rsidRPr="004D701A" w:rsidRDefault="005C5F5A" w:rsidP="004D701A">
      <w:pPr>
        <w:spacing w:line="276" w:lineRule="auto"/>
        <w:rPr>
          <w:rFonts w:ascii="Tahoma" w:hAnsi="Tahoma" w:cs="Tahoma"/>
          <w:sz w:val="24"/>
          <w:szCs w:val="24"/>
        </w:rPr>
      </w:pPr>
      <w:r w:rsidRPr="004D701A">
        <w:rPr>
          <w:rFonts w:ascii="Tahoma" w:hAnsi="Tahoma" w:cs="Tahoma"/>
          <w:sz w:val="24"/>
          <w:szCs w:val="24"/>
        </w:rPr>
        <w:t xml:space="preserve">Manifiesta </w:t>
      </w:r>
      <w:r w:rsidR="00701DDF" w:rsidRPr="004D701A">
        <w:rPr>
          <w:rFonts w:ascii="Tahoma" w:hAnsi="Tahoma" w:cs="Tahoma"/>
          <w:sz w:val="24"/>
          <w:szCs w:val="24"/>
        </w:rPr>
        <w:t>que suscribió formulario de afiliación a Colfondos S.A., la cual se hizo efectiva a partir del 1 de enero del 2000</w:t>
      </w:r>
      <w:r w:rsidRPr="004D701A">
        <w:rPr>
          <w:rFonts w:ascii="Tahoma" w:hAnsi="Tahoma" w:cs="Tahoma"/>
          <w:sz w:val="24"/>
          <w:szCs w:val="24"/>
        </w:rPr>
        <w:t xml:space="preserve"> y </w:t>
      </w:r>
      <w:r w:rsidR="00701DDF" w:rsidRPr="004D701A">
        <w:rPr>
          <w:rFonts w:ascii="Tahoma" w:hAnsi="Tahoma" w:cs="Tahoma"/>
          <w:sz w:val="24"/>
          <w:szCs w:val="24"/>
        </w:rPr>
        <w:t>se dio debido a que su empleador</w:t>
      </w:r>
      <w:r w:rsidRPr="004D701A">
        <w:rPr>
          <w:rFonts w:ascii="Tahoma" w:hAnsi="Tahoma" w:cs="Tahoma"/>
          <w:sz w:val="24"/>
          <w:szCs w:val="24"/>
        </w:rPr>
        <w:t>,</w:t>
      </w:r>
      <w:r w:rsidR="00701DDF" w:rsidRPr="004D701A">
        <w:rPr>
          <w:rFonts w:ascii="Tahoma" w:hAnsi="Tahoma" w:cs="Tahoma"/>
          <w:sz w:val="24"/>
          <w:szCs w:val="24"/>
        </w:rPr>
        <w:t xml:space="preserve"> Jirafa Distribuciones S.A.</w:t>
      </w:r>
      <w:r w:rsidRPr="004D701A">
        <w:rPr>
          <w:rFonts w:ascii="Tahoma" w:hAnsi="Tahoma" w:cs="Tahoma"/>
          <w:sz w:val="24"/>
          <w:szCs w:val="24"/>
        </w:rPr>
        <w:t>,</w:t>
      </w:r>
      <w:r w:rsidR="00701DDF" w:rsidRPr="004D701A">
        <w:rPr>
          <w:rFonts w:ascii="Tahoma" w:hAnsi="Tahoma" w:cs="Tahoma"/>
          <w:sz w:val="24"/>
          <w:szCs w:val="24"/>
        </w:rPr>
        <w:t xml:space="preserve"> efectuó el traslado grupal de sus empleados al fondo privado, </w:t>
      </w:r>
      <w:r w:rsidRPr="004D701A">
        <w:rPr>
          <w:rFonts w:ascii="Tahoma" w:hAnsi="Tahoma" w:cs="Tahoma"/>
          <w:sz w:val="24"/>
          <w:szCs w:val="24"/>
        </w:rPr>
        <w:t xml:space="preserve">por lo que </w:t>
      </w:r>
      <w:r w:rsidR="00701DDF" w:rsidRPr="004D701A">
        <w:rPr>
          <w:rFonts w:ascii="Tahoma" w:hAnsi="Tahoma" w:cs="Tahoma"/>
          <w:sz w:val="24"/>
          <w:szCs w:val="24"/>
        </w:rPr>
        <w:t>ningún tipo de asesoramiento por parte del fondo privado sobre las implicaciones de su traslado, ni la condicione</w:t>
      </w:r>
      <w:r w:rsidRPr="004D701A">
        <w:rPr>
          <w:rFonts w:ascii="Tahoma" w:hAnsi="Tahoma" w:cs="Tahoma"/>
          <w:sz w:val="24"/>
          <w:szCs w:val="24"/>
        </w:rPr>
        <w:t>s</w:t>
      </w:r>
      <w:r w:rsidR="00701DDF" w:rsidRPr="004D701A">
        <w:rPr>
          <w:rFonts w:ascii="Tahoma" w:hAnsi="Tahoma" w:cs="Tahoma"/>
          <w:sz w:val="24"/>
          <w:szCs w:val="24"/>
        </w:rPr>
        <w:t xml:space="preserve"> o requisitos para pensionarse.</w:t>
      </w:r>
    </w:p>
    <w:p w14:paraId="2FCDE14C" w14:textId="77777777" w:rsidR="00701DDF" w:rsidRPr="004D701A" w:rsidRDefault="00701DDF" w:rsidP="004D701A">
      <w:pPr>
        <w:spacing w:line="276" w:lineRule="auto"/>
        <w:rPr>
          <w:rFonts w:ascii="Tahoma" w:hAnsi="Tahoma" w:cs="Tahoma"/>
          <w:sz w:val="24"/>
          <w:szCs w:val="24"/>
        </w:rPr>
      </w:pPr>
    </w:p>
    <w:p w14:paraId="0848E0AD" w14:textId="33168E8A" w:rsidR="00701DDF" w:rsidRPr="004D701A" w:rsidRDefault="00701DDF" w:rsidP="004D701A">
      <w:pPr>
        <w:spacing w:line="276" w:lineRule="auto"/>
        <w:rPr>
          <w:rFonts w:ascii="Tahoma" w:hAnsi="Tahoma" w:cs="Tahoma"/>
          <w:sz w:val="24"/>
          <w:szCs w:val="24"/>
          <w:lang w:val="es-MX"/>
        </w:rPr>
      </w:pPr>
      <w:r w:rsidRPr="004D701A">
        <w:rPr>
          <w:rFonts w:ascii="Tahoma" w:hAnsi="Tahoma" w:cs="Tahoma"/>
          <w:sz w:val="24"/>
          <w:szCs w:val="24"/>
        </w:rPr>
        <w:t>As</w:t>
      </w:r>
      <w:r w:rsidR="005C5F5A" w:rsidRPr="004D701A">
        <w:rPr>
          <w:rFonts w:ascii="Tahoma" w:hAnsi="Tahoma" w:cs="Tahoma"/>
          <w:sz w:val="24"/>
          <w:szCs w:val="24"/>
        </w:rPr>
        <w:t>imismo</w:t>
      </w:r>
      <w:r w:rsidRPr="004D701A">
        <w:rPr>
          <w:rFonts w:ascii="Tahoma" w:hAnsi="Tahoma" w:cs="Tahoma"/>
          <w:sz w:val="24"/>
          <w:szCs w:val="24"/>
        </w:rPr>
        <w:t xml:space="preserve">, refiere que el 8 de mayo de 2007 cumplió 55 años de edad y que para dicha fecha acreditaba 1.528 semanas de cotización. Seguidamente, manifiesta que el 24 de agosto de 2009 solicitó reconocimiento y pago de la pensión de vejez ante Colfondos S.A., pero la misma le fue negada por cuanto no contaba con el capital </w:t>
      </w:r>
      <w:r w:rsidRPr="004D701A">
        <w:rPr>
          <w:rFonts w:ascii="Tahoma" w:hAnsi="Tahoma" w:cs="Tahoma"/>
          <w:sz w:val="24"/>
          <w:szCs w:val="24"/>
        </w:rPr>
        <w:lastRenderedPageBreak/>
        <w:t>suficiente para acceder a dicha prestación, por lo qu</w:t>
      </w:r>
      <w:r w:rsidR="005C5F5A" w:rsidRPr="004D701A">
        <w:rPr>
          <w:rFonts w:ascii="Tahoma" w:hAnsi="Tahoma" w:cs="Tahoma"/>
          <w:sz w:val="24"/>
          <w:szCs w:val="24"/>
        </w:rPr>
        <w:t>e</w:t>
      </w:r>
      <w:r w:rsidRPr="004D701A">
        <w:rPr>
          <w:rFonts w:ascii="Tahoma" w:hAnsi="Tahoma" w:cs="Tahoma"/>
          <w:sz w:val="24"/>
          <w:szCs w:val="24"/>
        </w:rPr>
        <w:t xml:space="preserve"> la AFP le realizó la devolución de saldos, incluyéndose también el valor de la redención del bono pensional.</w:t>
      </w:r>
    </w:p>
    <w:p w14:paraId="6EE00BEF" w14:textId="77777777" w:rsidR="00701DDF" w:rsidRPr="004D701A" w:rsidRDefault="00701DDF" w:rsidP="004D701A">
      <w:pPr>
        <w:spacing w:line="276" w:lineRule="auto"/>
        <w:rPr>
          <w:rFonts w:ascii="Tahoma" w:hAnsi="Tahoma" w:cs="Tahoma"/>
          <w:sz w:val="24"/>
          <w:szCs w:val="24"/>
          <w:lang w:val="es-MX"/>
        </w:rPr>
      </w:pPr>
    </w:p>
    <w:p w14:paraId="2436CDC8" w14:textId="3DC465D1" w:rsidR="00701DDF" w:rsidRPr="004D701A" w:rsidRDefault="00701DDF" w:rsidP="004D701A">
      <w:pPr>
        <w:spacing w:line="276" w:lineRule="auto"/>
        <w:rPr>
          <w:rFonts w:ascii="Tahoma" w:hAnsi="Tahoma" w:cs="Tahoma"/>
          <w:sz w:val="24"/>
          <w:szCs w:val="24"/>
          <w:lang w:val="es-MX"/>
        </w:rPr>
      </w:pPr>
      <w:r w:rsidRPr="004D701A">
        <w:rPr>
          <w:rFonts w:ascii="Tahoma" w:hAnsi="Tahoma" w:cs="Tahoma"/>
          <w:sz w:val="24"/>
          <w:szCs w:val="24"/>
          <w:lang w:val="es-MX"/>
        </w:rPr>
        <w:t>Finalmente señala que el 20 de abril de 2017 solicit</w:t>
      </w:r>
      <w:r w:rsidR="005C5F5A" w:rsidRPr="004D701A">
        <w:rPr>
          <w:rFonts w:ascii="Tahoma" w:hAnsi="Tahoma" w:cs="Tahoma"/>
          <w:sz w:val="24"/>
          <w:szCs w:val="24"/>
          <w:lang w:val="es-MX"/>
        </w:rPr>
        <w:t>ó</w:t>
      </w:r>
      <w:r w:rsidRPr="004D701A">
        <w:rPr>
          <w:rFonts w:ascii="Tahoma" w:hAnsi="Tahoma" w:cs="Tahoma"/>
          <w:sz w:val="24"/>
          <w:szCs w:val="24"/>
          <w:lang w:val="es-MX"/>
        </w:rPr>
        <w:t xml:space="preserve"> ante </w:t>
      </w:r>
      <w:r w:rsidR="003C082F" w:rsidRPr="004D701A">
        <w:rPr>
          <w:rFonts w:ascii="Tahoma" w:hAnsi="Tahoma" w:cs="Tahoma"/>
          <w:sz w:val="24"/>
          <w:szCs w:val="24"/>
        </w:rPr>
        <w:t xml:space="preserve">Colpensiones </w:t>
      </w:r>
      <w:r w:rsidRPr="004D701A">
        <w:rPr>
          <w:rFonts w:ascii="Tahoma" w:hAnsi="Tahoma" w:cs="Tahoma"/>
          <w:sz w:val="24"/>
          <w:szCs w:val="24"/>
        </w:rPr>
        <w:t>el traslado de sus aportes, pero la misma le fue negada bajo el argumento de que se encontraba pensionada o en trámite de pensión.</w:t>
      </w:r>
    </w:p>
    <w:p w14:paraId="5E155C06" w14:textId="77777777" w:rsidR="003A3C61" w:rsidRPr="004D701A" w:rsidRDefault="003A3C61" w:rsidP="004D701A">
      <w:pPr>
        <w:spacing w:line="276" w:lineRule="auto"/>
        <w:ind w:firstLine="708"/>
        <w:rPr>
          <w:rFonts w:ascii="Tahoma" w:hAnsi="Tahoma" w:cs="Tahoma"/>
          <w:sz w:val="24"/>
          <w:szCs w:val="24"/>
          <w:lang w:val="es-CO"/>
        </w:rPr>
      </w:pPr>
    </w:p>
    <w:p w14:paraId="61C67576" w14:textId="38C57DD3" w:rsidR="008D649F" w:rsidRPr="004D701A" w:rsidRDefault="001C5C55" w:rsidP="004D701A">
      <w:pPr>
        <w:spacing w:line="276" w:lineRule="auto"/>
        <w:ind w:firstLine="708"/>
        <w:rPr>
          <w:rFonts w:ascii="Tahoma" w:eastAsia="BatangChe" w:hAnsi="Tahoma" w:cs="Tahoma"/>
          <w:kern w:val="28"/>
          <w:sz w:val="24"/>
          <w:szCs w:val="24"/>
          <w:lang w:val="es-CO"/>
        </w:rPr>
      </w:pPr>
      <w:r w:rsidRPr="004D701A">
        <w:rPr>
          <w:rFonts w:ascii="Tahoma" w:hAnsi="Tahoma" w:cs="Tahoma"/>
          <w:sz w:val="24"/>
          <w:szCs w:val="24"/>
          <w:lang w:val="es-CO"/>
        </w:rPr>
        <w:t xml:space="preserve">En respuesta a la demanda, </w:t>
      </w:r>
      <w:r w:rsidR="00662E3D" w:rsidRPr="004D701A">
        <w:rPr>
          <w:rFonts w:ascii="Tahoma" w:hAnsi="Tahoma" w:cs="Tahoma"/>
          <w:b/>
          <w:sz w:val="24"/>
          <w:szCs w:val="24"/>
          <w:lang w:val="es-CO"/>
        </w:rPr>
        <w:t xml:space="preserve">Colpensiones </w:t>
      </w:r>
      <w:r w:rsidR="007D4D80" w:rsidRPr="004D701A">
        <w:rPr>
          <w:rFonts w:ascii="Tahoma" w:hAnsi="Tahoma" w:cs="Tahoma"/>
          <w:sz w:val="24"/>
          <w:szCs w:val="24"/>
          <w:lang w:val="es-CO"/>
        </w:rPr>
        <w:t xml:space="preserve">se opuso a la prosperidad de las pretensiones </w:t>
      </w:r>
      <w:r w:rsidR="008D649F" w:rsidRPr="004D701A">
        <w:rPr>
          <w:rFonts w:ascii="Tahoma" w:hAnsi="Tahoma" w:cs="Tahoma"/>
          <w:sz w:val="24"/>
          <w:szCs w:val="24"/>
          <w:lang w:val="es-CO"/>
        </w:rPr>
        <w:t>indicando que la demandante no se encuentra afiliada al régimen de prima media</w:t>
      </w:r>
      <w:r w:rsidR="005C5F5A" w:rsidRPr="004D701A">
        <w:rPr>
          <w:rFonts w:ascii="Tahoma" w:hAnsi="Tahoma" w:cs="Tahoma"/>
          <w:sz w:val="24"/>
          <w:szCs w:val="24"/>
          <w:lang w:val="es-CO"/>
        </w:rPr>
        <w:t xml:space="preserve"> y</w:t>
      </w:r>
      <w:r w:rsidR="008D649F" w:rsidRPr="004D701A">
        <w:rPr>
          <w:rFonts w:ascii="Tahoma" w:hAnsi="Tahoma" w:cs="Tahoma"/>
          <w:sz w:val="24"/>
          <w:szCs w:val="24"/>
          <w:lang w:val="es-CO"/>
        </w:rPr>
        <w:t>, además</w:t>
      </w:r>
      <w:r w:rsidR="005C5F5A" w:rsidRPr="004D701A">
        <w:rPr>
          <w:rFonts w:ascii="Tahoma" w:hAnsi="Tahoma" w:cs="Tahoma"/>
          <w:sz w:val="24"/>
          <w:szCs w:val="24"/>
          <w:lang w:val="es-CO"/>
        </w:rPr>
        <w:t>,</w:t>
      </w:r>
      <w:r w:rsidR="008D649F" w:rsidRPr="004D701A">
        <w:rPr>
          <w:rFonts w:ascii="Tahoma" w:hAnsi="Tahoma" w:cs="Tahoma"/>
          <w:sz w:val="24"/>
          <w:szCs w:val="24"/>
          <w:lang w:val="es-CO"/>
        </w:rPr>
        <w:t xml:space="preserve"> no existen elementos de juicio que permitan demostrar un actuar negligente o revestido de mala fe por parte del </w:t>
      </w:r>
      <w:r w:rsidR="004D20C0" w:rsidRPr="004D701A">
        <w:rPr>
          <w:rFonts w:ascii="Tahoma" w:hAnsi="Tahoma" w:cs="Tahoma"/>
          <w:sz w:val="24"/>
          <w:szCs w:val="24"/>
          <w:lang w:val="es-CO"/>
        </w:rPr>
        <w:t xml:space="preserve">fondo de pensiones </w:t>
      </w:r>
      <w:r w:rsidR="008D649F" w:rsidRPr="004D701A">
        <w:rPr>
          <w:rFonts w:ascii="Tahoma" w:hAnsi="Tahoma" w:cs="Tahoma"/>
          <w:sz w:val="24"/>
          <w:szCs w:val="24"/>
          <w:lang w:val="es-CO"/>
        </w:rPr>
        <w:t>privado</w:t>
      </w:r>
      <w:r w:rsidR="005C5F5A" w:rsidRPr="004D701A">
        <w:rPr>
          <w:rFonts w:ascii="Tahoma" w:hAnsi="Tahoma" w:cs="Tahoma"/>
          <w:sz w:val="24"/>
          <w:szCs w:val="24"/>
          <w:lang w:val="es-CO"/>
        </w:rPr>
        <w:t>; por otra parte,</w:t>
      </w:r>
      <w:r w:rsidR="008D649F" w:rsidRPr="004D701A">
        <w:rPr>
          <w:rFonts w:ascii="Tahoma" w:hAnsi="Tahoma" w:cs="Tahoma"/>
          <w:sz w:val="24"/>
          <w:szCs w:val="24"/>
          <w:lang w:val="es-CO"/>
        </w:rPr>
        <w:t xml:space="preserve"> ya se efectuó la devolución de saldos </w:t>
      </w:r>
      <w:r w:rsidR="005C5F5A" w:rsidRPr="004D701A">
        <w:rPr>
          <w:rFonts w:ascii="Tahoma" w:hAnsi="Tahoma" w:cs="Tahoma"/>
          <w:sz w:val="24"/>
          <w:szCs w:val="24"/>
          <w:lang w:val="es-CO"/>
        </w:rPr>
        <w:t>por su</w:t>
      </w:r>
      <w:r w:rsidR="008D649F" w:rsidRPr="004D701A">
        <w:rPr>
          <w:rFonts w:ascii="Tahoma" w:hAnsi="Tahoma" w:cs="Tahoma"/>
          <w:sz w:val="24"/>
          <w:szCs w:val="24"/>
          <w:lang w:val="es-CO"/>
        </w:rPr>
        <w:t xml:space="preserve"> </w:t>
      </w:r>
      <w:r w:rsidR="005C5F5A" w:rsidRPr="004D701A">
        <w:rPr>
          <w:rFonts w:ascii="Tahoma" w:hAnsi="Tahoma" w:cs="Tahoma"/>
          <w:sz w:val="24"/>
          <w:szCs w:val="24"/>
          <w:lang w:val="es-CO"/>
        </w:rPr>
        <w:t xml:space="preserve">propia </w:t>
      </w:r>
      <w:r w:rsidR="008D649F" w:rsidRPr="004D701A">
        <w:rPr>
          <w:rFonts w:ascii="Tahoma" w:hAnsi="Tahoma" w:cs="Tahoma"/>
          <w:sz w:val="24"/>
          <w:szCs w:val="24"/>
          <w:lang w:val="es-CO"/>
        </w:rPr>
        <w:t>solicitud</w:t>
      </w:r>
      <w:r w:rsidR="005C5F5A" w:rsidRPr="004D701A">
        <w:rPr>
          <w:rFonts w:ascii="Tahoma" w:hAnsi="Tahoma" w:cs="Tahoma"/>
          <w:sz w:val="24"/>
          <w:szCs w:val="24"/>
          <w:lang w:val="es-CO"/>
        </w:rPr>
        <w:t>. En ese sentido, p</w:t>
      </w:r>
      <w:r w:rsidR="008D649F" w:rsidRPr="004D701A">
        <w:rPr>
          <w:rFonts w:ascii="Tahoma" w:hAnsi="Tahoma" w:cs="Tahoma"/>
          <w:sz w:val="24"/>
          <w:szCs w:val="24"/>
          <w:lang w:val="es-CO"/>
        </w:rPr>
        <w:t xml:space="preserve">ropuso como excepciones de mérito las de “Inexistencia de la obligación </w:t>
      </w:r>
      <w:r w:rsidR="00CC3E44" w:rsidRPr="004D701A">
        <w:rPr>
          <w:rFonts w:ascii="Tahoma" w:hAnsi="Tahoma" w:cs="Tahoma"/>
          <w:sz w:val="24"/>
          <w:szCs w:val="24"/>
          <w:lang w:val="es-CO"/>
        </w:rPr>
        <w:t>demandada” y</w:t>
      </w:r>
      <w:r w:rsidR="008D649F" w:rsidRPr="004D701A">
        <w:rPr>
          <w:rFonts w:ascii="Tahoma" w:hAnsi="Tahoma" w:cs="Tahoma"/>
          <w:sz w:val="24"/>
          <w:szCs w:val="24"/>
          <w:lang w:val="es-CO"/>
        </w:rPr>
        <w:t xml:space="preserve"> “Prescripción”.</w:t>
      </w:r>
    </w:p>
    <w:p w14:paraId="6A6EA296" w14:textId="77777777" w:rsidR="008D649F" w:rsidRPr="004D701A" w:rsidRDefault="008D649F" w:rsidP="004D701A">
      <w:pPr>
        <w:spacing w:line="276" w:lineRule="auto"/>
        <w:ind w:firstLine="708"/>
        <w:rPr>
          <w:rFonts w:ascii="Tahoma" w:hAnsi="Tahoma" w:cs="Tahoma"/>
          <w:sz w:val="24"/>
          <w:szCs w:val="24"/>
          <w:lang w:val="es-CO"/>
        </w:rPr>
      </w:pPr>
    </w:p>
    <w:p w14:paraId="0792066D" w14:textId="77777777" w:rsidR="005C5F5A" w:rsidRPr="004D701A" w:rsidRDefault="008C2C67" w:rsidP="004D701A">
      <w:pPr>
        <w:spacing w:line="276" w:lineRule="auto"/>
        <w:ind w:firstLine="708"/>
        <w:rPr>
          <w:rFonts w:ascii="Tahoma" w:eastAsia="Times New Roman" w:hAnsi="Tahoma" w:cs="Tahoma"/>
          <w:sz w:val="24"/>
          <w:szCs w:val="24"/>
          <w:lang w:eastAsia="es-ES"/>
        </w:rPr>
      </w:pPr>
      <w:r w:rsidRPr="004D701A">
        <w:rPr>
          <w:rFonts w:ascii="Tahoma" w:hAnsi="Tahoma" w:cs="Tahoma"/>
          <w:sz w:val="24"/>
          <w:szCs w:val="24"/>
          <w:lang w:val="es-CO"/>
        </w:rPr>
        <w:t>Por su parte,</w:t>
      </w:r>
      <w:r w:rsidRPr="004D701A">
        <w:rPr>
          <w:rFonts w:ascii="Tahoma" w:hAnsi="Tahoma" w:cs="Tahoma"/>
          <w:b/>
          <w:sz w:val="24"/>
          <w:szCs w:val="24"/>
          <w:lang w:val="es-CO"/>
        </w:rPr>
        <w:t xml:space="preserve"> </w:t>
      </w:r>
      <w:r w:rsidR="00356284" w:rsidRPr="004D701A">
        <w:rPr>
          <w:rFonts w:ascii="Tahoma" w:hAnsi="Tahoma" w:cs="Tahoma"/>
          <w:b/>
          <w:sz w:val="24"/>
          <w:szCs w:val="24"/>
          <w:lang w:val="es-CO"/>
        </w:rPr>
        <w:t>Colfondos</w:t>
      </w:r>
      <w:r w:rsidRPr="004D701A">
        <w:rPr>
          <w:rFonts w:ascii="Tahoma" w:hAnsi="Tahoma" w:cs="Tahoma"/>
          <w:b/>
          <w:sz w:val="24"/>
          <w:szCs w:val="24"/>
          <w:lang w:val="es-CO"/>
        </w:rPr>
        <w:t xml:space="preserve"> S.A. </w:t>
      </w:r>
      <w:r w:rsidR="009449C2" w:rsidRPr="004D701A">
        <w:rPr>
          <w:rFonts w:ascii="Tahoma" w:hAnsi="Tahoma" w:cs="Tahoma"/>
          <w:sz w:val="24"/>
          <w:szCs w:val="24"/>
          <w:lang w:val="es-CO"/>
        </w:rPr>
        <w:t xml:space="preserve">alegó que </w:t>
      </w:r>
      <w:r w:rsidR="004D550D" w:rsidRPr="004D701A">
        <w:rPr>
          <w:rFonts w:ascii="Tahoma" w:eastAsia="Times New Roman" w:hAnsi="Tahoma" w:cs="Tahoma"/>
          <w:sz w:val="24"/>
          <w:szCs w:val="24"/>
          <w:lang w:eastAsia="es-ES"/>
        </w:rPr>
        <w:t xml:space="preserve">el traslado de régimen realizado por la </w:t>
      </w:r>
      <w:r w:rsidR="005C5F5A" w:rsidRPr="004D701A">
        <w:rPr>
          <w:rFonts w:ascii="Tahoma" w:eastAsia="Times New Roman" w:hAnsi="Tahoma" w:cs="Tahoma"/>
          <w:sz w:val="24"/>
          <w:szCs w:val="24"/>
          <w:lang w:eastAsia="es-ES"/>
        </w:rPr>
        <w:t>actora</w:t>
      </w:r>
      <w:r w:rsidR="004D550D" w:rsidRPr="004D701A">
        <w:rPr>
          <w:rFonts w:ascii="Tahoma" w:eastAsia="Times New Roman" w:hAnsi="Tahoma" w:cs="Tahoma"/>
          <w:sz w:val="24"/>
          <w:szCs w:val="24"/>
          <w:lang w:eastAsia="es-ES"/>
        </w:rPr>
        <w:t xml:space="preserve"> fue plenamente eficaz, además, no puede beneficiarse simultáneamente de la devolución de saldos en el RAIS y de la pensión de vejez en el RPMD, pues ambos son incompatibles y excluyentes. </w:t>
      </w:r>
    </w:p>
    <w:p w14:paraId="7DFB2617" w14:textId="77777777" w:rsidR="005C5F5A" w:rsidRPr="004D701A" w:rsidRDefault="005C5F5A" w:rsidP="004D701A">
      <w:pPr>
        <w:spacing w:line="276" w:lineRule="auto"/>
        <w:ind w:firstLine="708"/>
        <w:rPr>
          <w:rFonts w:ascii="Tahoma" w:eastAsia="Times New Roman" w:hAnsi="Tahoma" w:cs="Tahoma"/>
          <w:sz w:val="24"/>
          <w:szCs w:val="24"/>
          <w:lang w:eastAsia="es-ES"/>
        </w:rPr>
      </w:pPr>
    </w:p>
    <w:p w14:paraId="11AF4675" w14:textId="4B0FC727" w:rsidR="004D550D" w:rsidRPr="004D701A" w:rsidRDefault="005C5F5A" w:rsidP="004D701A">
      <w:pPr>
        <w:spacing w:line="276" w:lineRule="auto"/>
        <w:ind w:firstLine="708"/>
        <w:rPr>
          <w:rFonts w:ascii="Tahoma" w:eastAsia="Times New Roman" w:hAnsi="Tahoma" w:cs="Tahoma"/>
          <w:sz w:val="24"/>
          <w:szCs w:val="24"/>
          <w:lang w:eastAsia="es-ES"/>
        </w:rPr>
      </w:pPr>
      <w:r w:rsidRPr="004D701A">
        <w:rPr>
          <w:rFonts w:ascii="Tahoma" w:eastAsia="Times New Roman" w:hAnsi="Tahoma" w:cs="Tahoma"/>
          <w:sz w:val="24"/>
          <w:szCs w:val="24"/>
          <w:lang w:eastAsia="es-ES"/>
        </w:rPr>
        <w:t>Igualmente</w:t>
      </w:r>
      <w:r w:rsidR="004D550D" w:rsidRPr="004D701A">
        <w:rPr>
          <w:rFonts w:ascii="Tahoma" w:eastAsia="Times New Roman" w:hAnsi="Tahoma" w:cs="Tahoma"/>
          <w:sz w:val="24"/>
          <w:szCs w:val="24"/>
          <w:lang w:eastAsia="es-ES"/>
        </w:rPr>
        <w:t xml:space="preserve">, manifiesta que el acto que dio lugar a la vinculación de la demandante a Colfondos se realizó conforme a la ley por lo que </w:t>
      </w:r>
      <w:r w:rsidR="00223C74" w:rsidRPr="004D701A">
        <w:rPr>
          <w:rFonts w:ascii="Tahoma" w:eastAsia="Times New Roman" w:hAnsi="Tahoma" w:cs="Tahoma"/>
          <w:sz w:val="24"/>
          <w:szCs w:val="24"/>
          <w:lang w:eastAsia="es-ES"/>
        </w:rPr>
        <w:t>ella</w:t>
      </w:r>
      <w:r w:rsidR="004D550D" w:rsidRPr="004D701A">
        <w:rPr>
          <w:rFonts w:ascii="Tahoma" w:eastAsia="Times New Roman" w:hAnsi="Tahoma" w:cs="Tahoma"/>
          <w:sz w:val="24"/>
          <w:szCs w:val="24"/>
          <w:lang w:eastAsia="es-ES"/>
        </w:rPr>
        <w:t xml:space="preserve"> es la responsable de las consecuencias derivadas de la decisión que adoptó de forma libre, espontánea y sin presiones. </w:t>
      </w:r>
      <w:r w:rsidR="00223C74" w:rsidRPr="004D701A">
        <w:rPr>
          <w:rFonts w:ascii="Tahoma" w:eastAsia="Times New Roman" w:hAnsi="Tahoma" w:cs="Tahoma"/>
          <w:sz w:val="24"/>
          <w:szCs w:val="24"/>
          <w:lang w:eastAsia="es-ES"/>
        </w:rPr>
        <w:t>Por lo antedicho, p</w:t>
      </w:r>
      <w:r w:rsidR="004D550D" w:rsidRPr="004D701A">
        <w:rPr>
          <w:rFonts w:ascii="Tahoma" w:eastAsia="Times New Roman" w:hAnsi="Tahoma" w:cs="Tahoma"/>
          <w:sz w:val="24"/>
          <w:szCs w:val="24"/>
          <w:lang w:eastAsia="es-ES"/>
        </w:rPr>
        <w:t xml:space="preserve">ropuso como excepciones las de: </w:t>
      </w:r>
      <w:r w:rsidR="004D550D" w:rsidRPr="004D701A">
        <w:rPr>
          <w:rFonts w:ascii="Tahoma" w:eastAsia="Times New Roman" w:hAnsi="Tahoma" w:cs="Tahoma"/>
          <w:i/>
          <w:sz w:val="24"/>
          <w:szCs w:val="24"/>
          <w:lang w:eastAsia="es-ES"/>
        </w:rPr>
        <w:t>“Validez de la afiliación a Colfondos e inexistencia de vicios en el consentimiento”, “Saneamiento de la supuesta nulidad relativa”, “Ilegalidad de las pretensiones de la demanda”, “Pago”, “Compensación”, “Mala fe de la demandante”, “Prescripción” y “Buena fe”.</w:t>
      </w:r>
    </w:p>
    <w:p w14:paraId="24D0DBEC" w14:textId="77777777" w:rsidR="008C2C67" w:rsidRPr="004D701A" w:rsidRDefault="008C2C67" w:rsidP="004D701A">
      <w:pPr>
        <w:spacing w:line="276" w:lineRule="auto"/>
        <w:ind w:firstLine="708"/>
        <w:rPr>
          <w:rFonts w:ascii="Tahoma" w:hAnsi="Tahoma" w:cs="Tahoma"/>
          <w:i/>
          <w:sz w:val="24"/>
          <w:szCs w:val="24"/>
          <w:lang w:val="es-CO"/>
        </w:rPr>
      </w:pPr>
    </w:p>
    <w:p w14:paraId="2E6FD332" w14:textId="77777777" w:rsidR="004D550D" w:rsidRPr="004D701A" w:rsidRDefault="008C2C67" w:rsidP="004D701A">
      <w:pPr>
        <w:spacing w:line="276" w:lineRule="auto"/>
        <w:ind w:firstLine="708"/>
        <w:rPr>
          <w:rFonts w:ascii="Tahoma" w:hAnsi="Tahoma" w:cs="Tahoma"/>
          <w:iCs/>
          <w:sz w:val="24"/>
          <w:szCs w:val="24"/>
          <w:lang w:val="es-CO"/>
        </w:rPr>
      </w:pPr>
      <w:r w:rsidRPr="004D701A">
        <w:rPr>
          <w:rFonts w:ascii="Tahoma" w:hAnsi="Tahoma" w:cs="Tahoma"/>
          <w:iCs/>
          <w:sz w:val="24"/>
          <w:szCs w:val="24"/>
          <w:lang w:val="es-CO"/>
        </w:rPr>
        <w:t xml:space="preserve">Al trámite procesal fue vinculado el </w:t>
      </w:r>
      <w:r w:rsidRPr="004D701A">
        <w:rPr>
          <w:rFonts w:ascii="Tahoma" w:hAnsi="Tahoma" w:cs="Tahoma"/>
          <w:b/>
          <w:iCs/>
          <w:sz w:val="24"/>
          <w:szCs w:val="24"/>
          <w:lang w:val="es-CO"/>
        </w:rPr>
        <w:t>Ministerio de Hacienda y Crédito Público</w:t>
      </w:r>
      <w:r w:rsidRPr="004D701A">
        <w:rPr>
          <w:rFonts w:ascii="Tahoma" w:hAnsi="Tahoma" w:cs="Tahoma"/>
          <w:iCs/>
          <w:sz w:val="24"/>
          <w:szCs w:val="24"/>
          <w:lang w:val="es-CO"/>
        </w:rPr>
        <w:t xml:space="preserve">, quien se opuso a las pretensiones de la demanda </w:t>
      </w:r>
      <w:r w:rsidR="004D550D" w:rsidRPr="004D701A">
        <w:rPr>
          <w:rFonts w:ascii="Tahoma" w:hAnsi="Tahoma" w:cs="Tahoma"/>
          <w:iCs/>
          <w:sz w:val="24"/>
          <w:szCs w:val="24"/>
          <w:lang w:val="es-CO"/>
        </w:rPr>
        <w:t xml:space="preserve">argumentando que la demandante se encuentra vinculada al RAIS con la AFP Colfondos, pero que desconoce las circunstancia en que se produjo dicho traslado de régimen, así como la asesoría que el fondo privado pudo haberle brindado a la demandante con el fin de convencerla de realizar su traslado. </w:t>
      </w:r>
    </w:p>
    <w:p w14:paraId="688D559A" w14:textId="77777777" w:rsidR="004D550D" w:rsidRPr="004D701A" w:rsidRDefault="004D550D" w:rsidP="004D701A">
      <w:pPr>
        <w:spacing w:line="276" w:lineRule="auto"/>
        <w:ind w:firstLine="708"/>
        <w:rPr>
          <w:rFonts w:ascii="Tahoma" w:hAnsi="Tahoma" w:cs="Tahoma"/>
          <w:iCs/>
          <w:sz w:val="24"/>
          <w:szCs w:val="24"/>
          <w:lang w:val="es-CO"/>
        </w:rPr>
      </w:pPr>
    </w:p>
    <w:p w14:paraId="21A0FA35" w14:textId="77777777" w:rsidR="00223C74" w:rsidRPr="004D701A" w:rsidRDefault="004D550D" w:rsidP="004D701A">
      <w:pPr>
        <w:spacing w:line="276" w:lineRule="auto"/>
        <w:ind w:firstLine="708"/>
        <w:rPr>
          <w:rFonts w:ascii="Tahoma" w:hAnsi="Tahoma" w:cs="Tahoma"/>
          <w:iCs/>
          <w:sz w:val="24"/>
          <w:szCs w:val="24"/>
          <w:lang w:val="es-CO"/>
        </w:rPr>
      </w:pPr>
      <w:r w:rsidRPr="004D701A">
        <w:rPr>
          <w:rFonts w:ascii="Tahoma" w:hAnsi="Tahoma" w:cs="Tahoma"/>
          <w:iCs/>
          <w:sz w:val="24"/>
          <w:szCs w:val="24"/>
          <w:lang w:val="es-CO"/>
        </w:rPr>
        <w:t xml:space="preserve">De otra parte, manifiesta que en cuanto al bono pensional que fue emitido mediante resolución No.6024 del 26 de marzo de 2009, en respuesta a la solicitud que elevó Colfondos y, que posteriormente, dicha AFP solicitó la redención anticipada del bono pensional para otorgar a la demandante la devolución de saldo ya que no cumplía con los requisitos de capital ni semanas cotizadas para acceder a la pensión de vejez o a la garantía de pensión mínima. </w:t>
      </w:r>
    </w:p>
    <w:p w14:paraId="4C2F84FA" w14:textId="77777777" w:rsidR="00223C74" w:rsidRPr="004D701A" w:rsidRDefault="00223C74" w:rsidP="004D701A">
      <w:pPr>
        <w:spacing w:line="276" w:lineRule="auto"/>
        <w:ind w:firstLine="708"/>
        <w:rPr>
          <w:rFonts w:ascii="Tahoma" w:hAnsi="Tahoma" w:cs="Tahoma"/>
          <w:iCs/>
          <w:sz w:val="24"/>
          <w:szCs w:val="24"/>
          <w:lang w:val="es-CO"/>
        </w:rPr>
      </w:pPr>
    </w:p>
    <w:p w14:paraId="24FA1FBE" w14:textId="689D17B8" w:rsidR="004D550D" w:rsidRPr="004D701A" w:rsidRDefault="003C082F" w:rsidP="004D701A">
      <w:pPr>
        <w:spacing w:line="276" w:lineRule="auto"/>
        <w:ind w:firstLine="708"/>
        <w:rPr>
          <w:rFonts w:ascii="Tahoma" w:hAnsi="Tahoma" w:cs="Tahoma"/>
          <w:iCs/>
          <w:sz w:val="24"/>
          <w:szCs w:val="24"/>
          <w:lang w:val="es-CO"/>
        </w:rPr>
      </w:pPr>
      <w:r w:rsidRPr="004D701A">
        <w:rPr>
          <w:rFonts w:ascii="Tahoma" w:hAnsi="Tahoma" w:cs="Tahoma"/>
          <w:iCs/>
          <w:sz w:val="24"/>
          <w:szCs w:val="24"/>
          <w:lang w:val="es-CO"/>
        </w:rPr>
        <w:t>En ese orden de ideas,</w:t>
      </w:r>
      <w:r w:rsidR="00223C74" w:rsidRPr="004D701A">
        <w:rPr>
          <w:rFonts w:ascii="Tahoma" w:hAnsi="Tahoma" w:cs="Tahoma"/>
          <w:iCs/>
          <w:sz w:val="24"/>
          <w:szCs w:val="24"/>
          <w:lang w:val="es-CO"/>
        </w:rPr>
        <w:t xml:space="preserve"> p</w:t>
      </w:r>
      <w:r w:rsidR="004D550D" w:rsidRPr="004D701A">
        <w:rPr>
          <w:rFonts w:ascii="Tahoma" w:hAnsi="Tahoma" w:cs="Tahoma"/>
          <w:iCs/>
          <w:sz w:val="24"/>
          <w:szCs w:val="24"/>
          <w:lang w:val="es-CO"/>
        </w:rPr>
        <w:t xml:space="preserve">ropuso como excepciones las de “Inexistencia de </w:t>
      </w:r>
      <w:r w:rsidR="00CC3E44" w:rsidRPr="004D701A">
        <w:rPr>
          <w:rFonts w:ascii="Tahoma" w:hAnsi="Tahoma" w:cs="Tahoma"/>
          <w:iCs/>
          <w:sz w:val="24"/>
          <w:szCs w:val="24"/>
          <w:lang w:val="es-CO"/>
        </w:rPr>
        <w:t>obligación a</w:t>
      </w:r>
      <w:r w:rsidR="004D550D" w:rsidRPr="004D701A">
        <w:rPr>
          <w:rFonts w:ascii="Tahoma" w:hAnsi="Tahoma" w:cs="Tahoma"/>
          <w:iCs/>
          <w:sz w:val="24"/>
          <w:szCs w:val="24"/>
          <w:lang w:val="es-CO"/>
        </w:rPr>
        <w:t xml:space="preserve"> cargo de la Nación – Ministerio de Hacienda y Crédito </w:t>
      </w:r>
      <w:r w:rsidR="00CC3E44" w:rsidRPr="004D701A">
        <w:rPr>
          <w:rFonts w:ascii="Tahoma" w:hAnsi="Tahoma" w:cs="Tahoma"/>
          <w:iCs/>
          <w:sz w:val="24"/>
          <w:szCs w:val="24"/>
          <w:lang w:val="es-CO"/>
        </w:rPr>
        <w:t>Público</w:t>
      </w:r>
      <w:r w:rsidR="004D550D" w:rsidRPr="004D701A">
        <w:rPr>
          <w:rFonts w:ascii="Tahoma" w:hAnsi="Tahoma" w:cs="Tahoma"/>
          <w:iCs/>
          <w:sz w:val="24"/>
          <w:szCs w:val="24"/>
          <w:lang w:val="es-CO"/>
        </w:rPr>
        <w:t>” y “Prescripción.</w:t>
      </w:r>
    </w:p>
    <w:p w14:paraId="456F88F3" w14:textId="77777777" w:rsidR="00223C74" w:rsidRPr="004D701A" w:rsidRDefault="00223C74" w:rsidP="004D701A">
      <w:pPr>
        <w:spacing w:line="276" w:lineRule="auto"/>
        <w:ind w:firstLine="708"/>
        <w:rPr>
          <w:rFonts w:ascii="Tahoma" w:hAnsi="Tahoma" w:cs="Tahoma"/>
          <w:iCs/>
          <w:sz w:val="24"/>
          <w:szCs w:val="24"/>
          <w:lang w:val="es-CO"/>
        </w:rPr>
      </w:pPr>
    </w:p>
    <w:p w14:paraId="40D7EA03" w14:textId="51FB282A" w:rsidR="0016087A" w:rsidRPr="004D701A" w:rsidRDefault="0016087A" w:rsidP="004D701A">
      <w:pPr>
        <w:spacing w:line="276" w:lineRule="auto"/>
        <w:rPr>
          <w:rFonts w:ascii="Tahoma" w:hAnsi="Tahoma" w:cs="Tahoma"/>
          <w:sz w:val="24"/>
          <w:szCs w:val="24"/>
        </w:rPr>
      </w:pPr>
      <w:r w:rsidRPr="004D701A">
        <w:rPr>
          <w:rFonts w:ascii="Tahoma" w:hAnsi="Tahoma" w:cs="Tahoma"/>
          <w:sz w:val="24"/>
          <w:szCs w:val="24"/>
        </w:rPr>
        <w:lastRenderedPageBreak/>
        <w:t xml:space="preserve">Por su parte, Colfondos, presentó demanda de reconvención en contra de la señora </w:t>
      </w:r>
      <w:r w:rsidR="003C082F" w:rsidRPr="004D701A">
        <w:rPr>
          <w:rFonts w:ascii="Tahoma" w:hAnsi="Tahoma" w:cs="Tahoma"/>
          <w:sz w:val="24"/>
          <w:szCs w:val="24"/>
        </w:rPr>
        <w:t>María Stella Londoño Roldan</w:t>
      </w:r>
      <w:r w:rsidRPr="004D701A">
        <w:rPr>
          <w:rFonts w:ascii="Tahoma" w:hAnsi="Tahoma" w:cs="Tahoma"/>
          <w:sz w:val="24"/>
          <w:szCs w:val="24"/>
        </w:rPr>
        <w:t>, solicitando se condene a esta última a reembolsar los valores reconocidos por concepto de devolución de saldos y bono pensional, el 9 de octubre y 17 de diciembre de 2009, respectivamente; ambos debidamente indexados.</w:t>
      </w:r>
    </w:p>
    <w:p w14:paraId="2B40C05B" w14:textId="6E202884" w:rsidR="003C082F" w:rsidRPr="004D701A" w:rsidRDefault="003C082F" w:rsidP="004D701A">
      <w:pPr>
        <w:spacing w:line="276" w:lineRule="auto"/>
        <w:rPr>
          <w:rFonts w:ascii="Tahoma" w:hAnsi="Tahoma" w:cs="Tahoma"/>
          <w:sz w:val="24"/>
          <w:szCs w:val="24"/>
        </w:rPr>
      </w:pPr>
    </w:p>
    <w:p w14:paraId="5CE3A959" w14:textId="77777777" w:rsidR="003C082F" w:rsidRPr="004D701A" w:rsidRDefault="003C082F" w:rsidP="004D701A">
      <w:pPr>
        <w:spacing w:line="276" w:lineRule="auto"/>
        <w:rPr>
          <w:rFonts w:ascii="Tahoma" w:hAnsi="Tahoma" w:cs="Tahoma"/>
          <w:i/>
          <w:iCs/>
          <w:sz w:val="24"/>
          <w:szCs w:val="24"/>
        </w:rPr>
      </w:pPr>
      <w:r w:rsidRPr="004D701A">
        <w:rPr>
          <w:rFonts w:ascii="Tahoma" w:hAnsi="Tahoma" w:cs="Tahoma"/>
          <w:sz w:val="24"/>
          <w:szCs w:val="24"/>
        </w:rPr>
        <w:t xml:space="preserve">En respuesta a la demanda de reconvención, la demandante aceptó haber suscrito formulario de afiliación a Colfondos, a los demás hechos indicó que no eran ciertos o no le constaban y propuso como excepciones de fondo las que denominó </w:t>
      </w:r>
      <w:r w:rsidRPr="004D701A">
        <w:rPr>
          <w:rFonts w:ascii="Tahoma" w:hAnsi="Tahoma" w:cs="Tahoma"/>
          <w:i/>
          <w:iCs/>
          <w:sz w:val="24"/>
          <w:szCs w:val="24"/>
        </w:rPr>
        <w:t>“inexistencia de la obligación demandada en reconvención por carencia de efectos de un negocio jurídico” e “inexistencia de veracidad en la información por parte de Colfondos pensiones y cesantías”.</w:t>
      </w:r>
    </w:p>
    <w:p w14:paraId="62BF3867" w14:textId="77777777" w:rsidR="003C082F" w:rsidRPr="004D701A" w:rsidRDefault="003C082F" w:rsidP="004D701A">
      <w:pPr>
        <w:spacing w:line="276" w:lineRule="auto"/>
        <w:rPr>
          <w:rFonts w:ascii="Tahoma" w:hAnsi="Tahoma" w:cs="Tahoma"/>
          <w:sz w:val="24"/>
          <w:szCs w:val="24"/>
        </w:rPr>
      </w:pPr>
    </w:p>
    <w:p w14:paraId="6E92720B" w14:textId="7389AAF0" w:rsidR="00A31306" w:rsidRPr="004D701A" w:rsidRDefault="00A31306" w:rsidP="004D701A">
      <w:pPr>
        <w:pStyle w:val="Prrafodelista"/>
        <w:numPr>
          <w:ilvl w:val="0"/>
          <w:numId w:val="2"/>
        </w:numPr>
        <w:spacing w:line="276" w:lineRule="auto"/>
        <w:jc w:val="center"/>
        <w:rPr>
          <w:rFonts w:ascii="Tahoma" w:hAnsi="Tahoma" w:cs="Tahoma"/>
          <w:b/>
          <w:lang w:val="es-CO"/>
        </w:rPr>
      </w:pPr>
      <w:r w:rsidRPr="004D701A">
        <w:rPr>
          <w:rFonts w:ascii="Tahoma" w:hAnsi="Tahoma" w:cs="Tahoma"/>
          <w:b/>
          <w:lang w:val="es-CO"/>
        </w:rPr>
        <w:t>Sentencia de primera instancia</w:t>
      </w:r>
    </w:p>
    <w:p w14:paraId="032E0903" w14:textId="77777777" w:rsidR="005F4AA0" w:rsidRPr="004D701A" w:rsidRDefault="005F4AA0" w:rsidP="004D701A">
      <w:pPr>
        <w:spacing w:line="276" w:lineRule="auto"/>
        <w:ind w:firstLine="708"/>
        <w:rPr>
          <w:rFonts w:ascii="Tahoma" w:hAnsi="Tahoma" w:cs="Tahoma"/>
          <w:sz w:val="24"/>
          <w:szCs w:val="24"/>
          <w:lang w:val="es-CO"/>
        </w:rPr>
      </w:pPr>
    </w:p>
    <w:p w14:paraId="29E024D4" w14:textId="1BA91D69" w:rsidR="00D32C4E" w:rsidRPr="004D701A" w:rsidRDefault="001C5C55" w:rsidP="004D701A">
      <w:pPr>
        <w:spacing w:line="276" w:lineRule="auto"/>
        <w:ind w:firstLine="708"/>
        <w:rPr>
          <w:rFonts w:ascii="Tahoma" w:hAnsi="Tahoma" w:cs="Tahoma"/>
          <w:sz w:val="24"/>
          <w:szCs w:val="24"/>
        </w:rPr>
      </w:pPr>
      <w:r w:rsidRPr="004D701A">
        <w:rPr>
          <w:rFonts w:ascii="Tahoma" w:hAnsi="Tahoma" w:cs="Tahoma"/>
          <w:sz w:val="24"/>
          <w:szCs w:val="24"/>
          <w:lang w:val="es-CO"/>
        </w:rPr>
        <w:t xml:space="preserve">La </w:t>
      </w:r>
      <w:r w:rsidR="00EA5E3B" w:rsidRPr="004D701A">
        <w:rPr>
          <w:rFonts w:ascii="Tahoma" w:hAnsi="Tahoma" w:cs="Tahoma"/>
          <w:sz w:val="24"/>
          <w:szCs w:val="24"/>
          <w:lang w:val="es-CO"/>
        </w:rPr>
        <w:t>Jueza de primer grado</w:t>
      </w:r>
      <w:r w:rsidR="00754A65" w:rsidRPr="004D701A">
        <w:rPr>
          <w:rFonts w:ascii="Tahoma" w:hAnsi="Tahoma" w:cs="Tahoma"/>
          <w:sz w:val="24"/>
          <w:szCs w:val="24"/>
          <w:lang w:val="es-CO"/>
        </w:rPr>
        <w:t xml:space="preserve"> </w:t>
      </w:r>
      <w:r w:rsidR="00D32C4E" w:rsidRPr="004D701A">
        <w:rPr>
          <w:rFonts w:ascii="Tahoma" w:hAnsi="Tahoma" w:cs="Tahoma"/>
          <w:sz w:val="24"/>
          <w:szCs w:val="24"/>
        </w:rPr>
        <w:t>declaró las excepciones de</w:t>
      </w:r>
      <w:r w:rsidR="00106722" w:rsidRPr="004D701A">
        <w:rPr>
          <w:rFonts w:ascii="Tahoma" w:hAnsi="Tahoma" w:cs="Tahoma"/>
          <w:sz w:val="24"/>
          <w:szCs w:val="24"/>
        </w:rPr>
        <w:t xml:space="preserve"> “</w:t>
      </w:r>
      <w:r w:rsidR="00CC3E44" w:rsidRPr="004D701A">
        <w:rPr>
          <w:rFonts w:ascii="Tahoma" w:hAnsi="Tahoma" w:cs="Tahoma"/>
          <w:sz w:val="24"/>
          <w:szCs w:val="24"/>
        </w:rPr>
        <w:t xml:space="preserve">Saneamiento </w:t>
      </w:r>
      <w:r w:rsidR="004D701A" w:rsidRPr="004D701A">
        <w:rPr>
          <w:rFonts w:ascii="Tahoma" w:hAnsi="Tahoma" w:cs="Tahoma"/>
          <w:sz w:val="24"/>
          <w:szCs w:val="24"/>
        </w:rPr>
        <w:t>de la supuesta</w:t>
      </w:r>
      <w:r w:rsidR="00D32C4E" w:rsidRPr="004D701A">
        <w:rPr>
          <w:rFonts w:ascii="Tahoma" w:hAnsi="Tahoma" w:cs="Tahoma"/>
          <w:sz w:val="24"/>
          <w:szCs w:val="24"/>
        </w:rPr>
        <w:t xml:space="preserve"> </w:t>
      </w:r>
      <w:r w:rsidR="004D701A" w:rsidRPr="004D701A">
        <w:rPr>
          <w:rFonts w:ascii="Tahoma" w:hAnsi="Tahoma" w:cs="Tahoma"/>
          <w:sz w:val="24"/>
          <w:szCs w:val="24"/>
        </w:rPr>
        <w:t>nulidad relativa” y “prescripción” propuestas</w:t>
      </w:r>
      <w:r w:rsidR="00D32C4E" w:rsidRPr="004D701A">
        <w:rPr>
          <w:rFonts w:ascii="Tahoma" w:hAnsi="Tahoma" w:cs="Tahoma"/>
          <w:sz w:val="24"/>
          <w:szCs w:val="24"/>
        </w:rPr>
        <w:t xml:space="preserve"> </w:t>
      </w:r>
      <w:r w:rsidR="004D701A" w:rsidRPr="004D701A">
        <w:rPr>
          <w:rFonts w:ascii="Tahoma" w:hAnsi="Tahoma" w:cs="Tahoma"/>
          <w:sz w:val="24"/>
          <w:szCs w:val="24"/>
        </w:rPr>
        <w:t>por la</w:t>
      </w:r>
      <w:r w:rsidR="00106722" w:rsidRPr="004D701A">
        <w:rPr>
          <w:rFonts w:ascii="Tahoma" w:hAnsi="Tahoma" w:cs="Tahoma"/>
          <w:sz w:val="24"/>
          <w:szCs w:val="24"/>
        </w:rPr>
        <w:t xml:space="preserve"> </w:t>
      </w:r>
      <w:r w:rsidR="00D32C4E" w:rsidRPr="004D701A">
        <w:rPr>
          <w:rFonts w:ascii="Tahoma" w:hAnsi="Tahoma" w:cs="Tahoma"/>
          <w:sz w:val="24"/>
          <w:szCs w:val="24"/>
        </w:rPr>
        <w:t>vocera</w:t>
      </w:r>
      <w:r w:rsidR="00106722" w:rsidRPr="004D701A">
        <w:rPr>
          <w:rFonts w:ascii="Tahoma" w:hAnsi="Tahoma" w:cs="Tahoma"/>
          <w:sz w:val="24"/>
          <w:szCs w:val="24"/>
        </w:rPr>
        <w:t xml:space="preserve"> </w:t>
      </w:r>
      <w:r w:rsidR="004D701A" w:rsidRPr="004D701A">
        <w:rPr>
          <w:rFonts w:ascii="Tahoma" w:hAnsi="Tahoma" w:cs="Tahoma"/>
          <w:sz w:val="24"/>
          <w:szCs w:val="24"/>
        </w:rPr>
        <w:t>judicial de Colfondos</w:t>
      </w:r>
      <w:r w:rsidR="00106722" w:rsidRPr="004D701A">
        <w:rPr>
          <w:rFonts w:ascii="Tahoma" w:hAnsi="Tahoma" w:cs="Tahoma"/>
          <w:sz w:val="24"/>
          <w:szCs w:val="24"/>
        </w:rPr>
        <w:t xml:space="preserve"> </w:t>
      </w:r>
      <w:r w:rsidR="00D32C4E" w:rsidRPr="004D701A">
        <w:rPr>
          <w:rFonts w:ascii="Tahoma" w:hAnsi="Tahoma" w:cs="Tahoma"/>
          <w:sz w:val="24"/>
          <w:szCs w:val="24"/>
        </w:rPr>
        <w:t xml:space="preserve">S.A., así como la de inexistencia de la obligación propuesta por </w:t>
      </w:r>
      <w:r w:rsidR="004B0D57" w:rsidRPr="004D701A">
        <w:rPr>
          <w:rFonts w:ascii="Tahoma" w:hAnsi="Tahoma" w:cs="Tahoma"/>
          <w:sz w:val="24"/>
          <w:szCs w:val="24"/>
        </w:rPr>
        <w:t>Colpensiones</w:t>
      </w:r>
      <w:r w:rsidR="00D32C4E" w:rsidRPr="004D701A">
        <w:rPr>
          <w:rFonts w:ascii="Tahoma" w:hAnsi="Tahoma" w:cs="Tahoma"/>
          <w:sz w:val="24"/>
          <w:szCs w:val="24"/>
        </w:rPr>
        <w:t>.</w:t>
      </w:r>
      <w:r w:rsidR="00AD69F4" w:rsidRPr="004D701A">
        <w:rPr>
          <w:rFonts w:ascii="Tahoma" w:hAnsi="Tahoma" w:cs="Tahoma"/>
          <w:sz w:val="24"/>
          <w:szCs w:val="24"/>
        </w:rPr>
        <w:t xml:space="preserve"> </w:t>
      </w:r>
      <w:r w:rsidR="004B0D57" w:rsidRPr="004D701A">
        <w:rPr>
          <w:rFonts w:ascii="Tahoma" w:hAnsi="Tahoma" w:cs="Tahoma"/>
          <w:sz w:val="24"/>
          <w:szCs w:val="24"/>
        </w:rPr>
        <w:t xml:space="preserve">Por otra parte, </w:t>
      </w:r>
      <w:r w:rsidR="00CC3E44" w:rsidRPr="004D701A">
        <w:rPr>
          <w:rFonts w:ascii="Tahoma" w:hAnsi="Tahoma" w:cs="Tahoma"/>
          <w:sz w:val="24"/>
          <w:szCs w:val="24"/>
        </w:rPr>
        <w:t>absolvió a</w:t>
      </w:r>
      <w:r w:rsidR="004B0D57" w:rsidRPr="004D701A">
        <w:rPr>
          <w:rFonts w:ascii="Tahoma" w:hAnsi="Tahoma" w:cs="Tahoma"/>
          <w:sz w:val="24"/>
          <w:szCs w:val="24"/>
        </w:rPr>
        <w:t xml:space="preserve"> </w:t>
      </w:r>
      <w:r w:rsidR="004D701A" w:rsidRPr="004D701A">
        <w:rPr>
          <w:rFonts w:ascii="Tahoma" w:hAnsi="Tahoma" w:cs="Tahoma"/>
          <w:sz w:val="24"/>
          <w:szCs w:val="24"/>
        </w:rPr>
        <w:t>Colfondos S.A.</w:t>
      </w:r>
      <w:r w:rsidR="00D32C4E" w:rsidRPr="004D701A">
        <w:rPr>
          <w:rFonts w:ascii="Tahoma" w:hAnsi="Tahoma" w:cs="Tahoma"/>
          <w:sz w:val="24"/>
          <w:szCs w:val="24"/>
        </w:rPr>
        <w:t xml:space="preserve"> </w:t>
      </w:r>
      <w:r w:rsidR="004D701A" w:rsidRPr="004D701A">
        <w:rPr>
          <w:rFonts w:ascii="Tahoma" w:hAnsi="Tahoma" w:cs="Tahoma"/>
          <w:sz w:val="24"/>
          <w:szCs w:val="24"/>
        </w:rPr>
        <w:t>y a</w:t>
      </w:r>
      <w:r w:rsidR="00D32C4E" w:rsidRPr="004D701A">
        <w:rPr>
          <w:rFonts w:ascii="Tahoma" w:hAnsi="Tahoma" w:cs="Tahoma"/>
          <w:sz w:val="24"/>
          <w:szCs w:val="24"/>
        </w:rPr>
        <w:t xml:space="preserve"> </w:t>
      </w:r>
      <w:r w:rsidR="005E6D94" w:rsidRPr="004D701A">
        <w:rPr>
          <w:rFonts w:ascii="Tahoma" w:hAnsi="Tahoma" w:cs="Tahoma"/>
          <w:sz w:val="24"/>
          <w:szCs w:val="24"/>
        </w:rPr>
        <w:t xml:space="preserve">Colpensiones </w:t>
      </w:r>
      <w:r w:rsidR="00D32C4E" w:rsidRPr="004D701A">
        <w:rPr>
          <w:rFonts w:ascii="Tahoma" w:hAnsi="Tahoma" w:cs="Tahoma"/>
          <w:sz w:val="24"/>
          <w:szCs w:val="24"/>
        </w:rPr>
        <w:t xml:space="preserve">de </w:t>
      </w:r>
      <w:r w:rsidR="004D701A" w:rsidRPr="004D701A">
        <w:rPr>
          <w:rFonts w:ascii="Tahoma" w:hAnsi="Tahoma" w:cs="Tahoma"/>
          <w:sz w:val="24"/>
          <w:szCs w:val="24"/>
        </w:rPr>
        <w:t xml:space="preserve">las </w:t>
      </w:r>
      <w:r w:rsidR="004F5ADB" w:rsidRPr="004D701A">
        <w:rPr>
          <w:rFonts w:ascii="Tahoma" w:hAnsi="Tahoma" w:cs="Tahoma"/>
          <w:sz w:val="24"/>
          <w:szCs w:val="24"/>
        </w:rPr>
        <w:t>pretensiones incoadas de</w:t>
      </w:r>
      <w:r w:rsidR="0016087A" w:rsidRPr="004D701A">
        <w:rPr>
          <w:rFonts w:ascii="Tahoma" w:hAnsi="Tahoma" w:cs="Tahoma"/>
          <w:sz w:val="24"/>
          <w:szCs w:val="24"/>
        </w:rPr>
        <w:t xml:space="preserve"> </w:t>
      </w:r>
      <w:r w:rsidR="004F5ADB" w:rsidRPr="004D701A">
        <w:rPr>
          <w:rFonts w:ascii="Tahoma" w:hAnsi="Tahoma" w:cs="Tahoma"/>
          <w:sz w:val="24"/>
          <w:szCs w:val="24"/>
        </w:rPr>
        <w:t>la señora María Stella</w:t>
      </w:r>
      <w:r w:rsidR="0016087A" w:rsidRPr="004D701A">
        <w:rPr>
          <w:rFonts w:ascii="Tahoma" w:hAnsi="Tahoma" w:cs="Tahoma"/>
          <w:sz w:val="24"/>
          <w:szCs w:val="24"/>
        </w:rPr>
        <w:t xml:space="preserve"> Londoño a quien condenó al pago de las costas </w:t>
      </w:r>
      <w:r w:rsidR="00B76F9A" w:rsidRPr="004D701A">
        <w:rPr>
          <w:rFonts w:ascii="Tahoma" w:hAnsi="Tahoma" w:cs="Tahoma"/>
          <w:sz w:val="24"/>
          <w:szCs w:val="24"/>
        </w:rPr>
        <w:t>procesales</w:t>
      </w:r>
      <w:r w:rsidR="0016087A" w:rsidRPr="004D701A">
        <w:rPr>
          <w:rFonts w:ascii="Tahoma" w:hAnsi="Tahoma" w:cs="Tahoma"/>
          <w:sz w:val="24"/>
          <w:szCs w:val="24"/>
        </w:rPr>
        <w:t>.</w:t>
      </w:r>
    </w:p>
    <w:p w14:paraId="3131A8E4" w14:textId="77777777" w:rsidR="000054BA" w:rsidRPr="004D701A" w:rsidRDefault="000054BA" w:rsidP="004D701A">
      <w:pPr>
        <w:spacing w:line="276" w:lineRule="auto"/>
        <w:ind w:firstLine="708"/>
        <w:rPr>
          <w:rFonts w:ascii="Tahoma" w:hAnsi="Tahoma" w:cs="Tahoma"/>
          <w:sz w:val="24"/>
          <w:szCs w:val="24"/>
        </w:rPr>
      </w:pPr>
    </w:p>
    <w:p w14:paraId="519DEAC6" w14:textId="4BE4A222" w:rsidR="00D32C4E" w:rsidRPr="004D701A" w:rsidRDefault="000054BA" w:rsidP="004D701A">
      <w:pPr>
        <w:spacing w:line="276" w:lineRule="auto"/>
        <w:ind w:firstLine="708"/>
        <w:rPr>
          <w:rFonts w:ascii="Tahoma" w:hAnsi="Tahoma" w:cs="Tahoma"/>
          <w:sz w:val="24"/>
          <w:szCs w:val="24"/>
        </w:rPr>
      </w:pPr>
      <w:r w:rsidRPr="004D701A">
        <w:rPr>
          <w:rFonts w:ascii="Tahoma" w:hAnsi="Tahoma" w:cs="Tahoma"/>
          <w:sz w:val="24"/>
          <w:szCs w:val="24"/>
        </w:rPr>
        <w:t xml:space="preserve">Por último, se </w:t>
      </w:r>
      <w:r w:rsidR="00B76F9A" w:rsidRPr="004D701A">
        <w:rPr>
          <w:rFonts w:ascii="Tahoma" w:hAnsi="Tahoma" w:cs="Tahoma"/>
          <w:sz w:val="24"/>
          <w:szCs w:val="24"/>
        </w:rPr>
        <w:t>abstuvo</w:t>
      </w:r>
      <w:r w:rsidRPr="004D701A">
        <w:rPr>
          <w:rFonts w:ascii="Tahoma" w:hAnsi="Tahoma" w:cs="Tahoma"/>
          <w:sz w:val="24"/>
          <w:szCs w:val="24"/>
        </w:rPr>
        <w:t xml:space="preserve"> de </w:t>
      </w:r>
      <w:r w:rsidR="00AD69F4" w:rsidRPr="004D701A">
        <w:rPr>
          <w:rFonts w:ascii="Tahoma" w:hAnsi="Tahoma" w:cs="Tahoma"/>
          <w:sz w:val="24"/>
          <w:szCs w:val="24"/>
        </w:rPr>
        <w:t>hacer pronunciamiento alguno en relación</w:t>
      </w:r>
      <w:r w:rsidRPr="004D701A">
        <w:rPr>
          <w:rFonts w:ascii="Tahoma" w:hAnsi="Tahoma" w:cs="Tahoma"/>
          <w:sz w:val="24"/>
          <w:szCs w:val="24"/>
        </w:rPr>
        <w:t xml:space="preserve"> </w:t>
      </w:r>
      <w:r w:rsidR="004F5ADB" w:rsidRPr="004D701A">
        <w:rPr>
          <w:rFonts w:ascii="Tahoma" w:hAnsi="Tahoma" w:cs="Tahoma"/>
          <w:sz w:val="24"/>
          <w:szCs w:val="24"/>
        </w:rPr>
        <w:t>a la</w:t>
      </w:r>
      <w:r w:rsidRPr="004D701A">
        <w:rPr>
          <w:rFonts w:ascii="Tahoma" w:hAnsi="Tahoma" w:cs="Tahoma"/>
          <w:sz w:val="24"/>
          <w:szCs w:val="24"/>
        </w:rPr>
        <w:t xml:space="preserve"> demanda de reconvención propuesta por </w:t>
      </w:r>
      <w:r w:rsidR="00B76F9A" w:rsidRPr="004D701A">
        <w:rPr>
          <w:rFonts w:ascii="Tahoma" w:hAnsi="Tahoma" w:cs="Tahoma"/>
          <w:sz w:val="24"/>
          <w:szCs w:val="24"/>
        </w:rPr>
        <w:t xml:space="preserve">Colfondos </w:t>
      </w:r>
      <w:r w:rsidRPr="004D701A">
        <w:rPr>
          <w:rFonts w:ascii="Tahoma" w:hAnsi="Tahoma" w:cs="Tahoma"/>
          <w:sz w:val="24"/>
          <w:szCs w:val="24"/>
        </w:rPr>
        <w:t>S.A</w:t>
      </w:r>
      <w:r w:rsidR="00B76F9A" w:rsidRPr="004D701A">
        <w:rPr>
          <w:rFonts w:ascii="Tahoma" w:hAnsi="Tahoma" w:cs="Tahoma"/>
          <w:sz w:val="24"/>
          <w:szCs w:val="24"/>
        </w:rPr>
        <w:t>.</w:t>
      </w:r>
      <w:r w:rsidRPr="004D701A">
        <w:rPr>
          <w:rFonts w:ascii="Tahoma" w:hAnsi="Tahoma" w:cs="Tahoma"/>
          <w:sz w:val="24"/>
          <w:szCs w:val="24"/>
        </w:rPr>
        <w:t>,</w:t>
      </w:r>
      <w:r w:rsidR="00B76F9A" w:rsidRPr="004D701A">
        <w:rPr>
          <w:rFonts w:ascii="Tahoma" w:hAnsi="Tahoma" w:cs="Tahoma"/>
          <w:sz w:val="24"/>
          <w:szCs w:val="24"/>
        </w:rPr>
        <w:t xml:space="preserve"> </w:t>
      </w:r>
      <w:r w:rsidRPr="004D701A">
        <w:rPr>
          <w:rFonts w:ascii="Tahoma" w:hAnsi="Tahoma" w:cs="Tahoma"/>
          <w:sz w:val="24"/>
          <w:szCs w:val="24"/>
        </w:rPr>
        <w:t>en contra de la demandante</w:t>
      </w:r>
      <w:r w:rsidR="00B76F9A" w:rsidRPr="004D701A">
        <w:rPr>
          <w:rFonts w:ascii="Tahoma" w:hAnsi="Tahoma" w:cs="Tahoma"/>
          <w:sz w:val="24"/>
          <w:szCs w:val="24"/>
        </w:rPr>
        <w:t>.</w:t>
      </w:r>
    </w:p>
    <w:p w14:paraId="016656AA" w14:textId="77777777" w:rsidR="000054BA" w:rsidRPr="004D701A" w:rsidRDefault="000054BA" w:rsidP="004D701A">
      <w:pPr>
        <w:spacing w:line="276" w:lineRule="auto"/>
        <w:ind w:firstLine="708"/>
        <w:rPr>
          <w:rFonts w:ascii="Tahoma" w:hAnsi="Tahoma" w:cs="Tahoma"/>
          <w:sz w:val="24"/>
          <w:szCs w:val="24"/>
          <w:lang w:val="es-CO"/>
        </w:rPr>
      </w:pPr>
    </w:p>
    <w:p w14:paraId="778780D6" w14:textId="77777777" w:rsidR="003C082F" w:rsidRPr="004D701A" w:rsidRDefault="003C082F" w:rsidP="004D701A">
      <w:pPr>
        <w:spacing w:line="276" w:lineRule="auto"/>
        <w:rPr>
          <w:rFonts w:ascii="Tahoma" w:hAnsi="Tahoma" w:cs="Tahoma"/>
          <w:sz w:val="24"/>
          <w:szCs w:val="24"/>
          <w:lang w:val="es-CO"/>
        </w:rPr>
      </w:pPr>
      <w:r w:rsidRPr="004D701A">
        <w:rPr>
          <w:rFonts w:ascii="Tahoma" w:hAnsi="Tahoma" w:cs="Tahoma"/>
          <w:sz w:val="24"/>
          <w:szCs w:val="24"/>
          <w:lang w:val="es-CO"/>
        </w:rPr>
        <w:t>Para fundar dicha decisión indicó que, si bien el fondo estaba en la obligación de brindar a la demandante al momento del traslado una información, clara, cierta, oportuna y comprensible, la señora María Stella no tenía la calidad de afiliada desde el año 2009, debido a que había accedido a uno de los beneficios del RAIS, como lo es la devolución de saldos que constituye un retiro formal del sistema de seguridad social en pensiones, hecho que la inhabilitaba para pretender la ineficacia del traslado. Del mismo modo, frente a las pretensiones subsidiarias expuso que la demandante tampoco estaba legitimada para incoar la nulidad del traslado, ya que había operado la caducidad de que trata el artículo 1750 del Código civil al transcurrir más de 4 años desde que la demandante se benefició de la prestación reconocida y la radicación de la demanda. Finalmente, concluyó que el pago de perjuicios bajo la figura del lucro cesante a cargo del Colfondos S.A, se encontraba prescrito.</w:t>
      </w:r>
    </w:p>
    <w:p w14:paraId="07A6F573" w14:textId="77777777" w:rsidR="001D10AD" w:rsidRPr="004D701A" w:rsidRDefault="001D10AD" w:rsidP="004D701A">
      <w:pPr>
        <w:spacing w:line="276" w:lineRule="auto"/>
        <w:ind w:firstLine="708"/>
        <w:rPr>
          <w:rFonts w:ascii="Tahoma" w:hAnsi="Tahoma" w:cs="Tahoma"/>
          <w:sz w:val="24"/>
          <w:szCs w:val="24"/>
          <w:lang w:val="es-CO"/>
        </w:rPr>
      </w:pPr>
    </w:p>
    <w:p w14:paraId="77F0C615" w14:textId="0B2104C3" w:rsidR="00A31306" w:rsidRPr="004D701A" w:rsidRDefault="00A31306" w:rsidP="004D701A">
      <w:pPr>
        <w:pStyle w:val="Prrafodelista"/>
        <w:numPr>
          <w:ilvl w:val="0"/>
          <w:numId w:val="2"/>
        </w:numPr>
        <w:spacing w:line="276" w:lineRule="auto"/>
        <w:jc w:val="center"/>
        <w:rPr>
          <w:rFonts w:ascii="Tahoma" w:hAnsi="Tahoma" w:cs="Tahoma"/>
          <w:b/>
          <w:lang w:val="es-CO"/>
        </w:rPr>
      </w:pPr>
      <w:r w:rsidRPr="004D701A">
        <w:rPr>
          <w:rFonts w:ascii="Tahoma" w:hAnsi="Tahoma" w:cs="Tahoma"/>
          <w:b/>
          <w:lang w:val="es-CO"/>
        </w:rPr>
        <w:t xml:space="preserve">Recurso de apelación </w:t>
      </w:r>
    </w:p>
    <w:p w14:paraId="4EDBAF83" w14:textId="77777777" w:rsidR="007B6843" w:rsidRPr="004D701A" w:rsidRDefault="007B6843" w:rsidP="004D701A">
      <w:pPr>
        <w:spacing w:line="276" w:lineRule="auto"/>
        <w:ind w:firstLine="708"/>
        <w:rPr>
          <w:rFonts w:ascii="Tahoma" w:hAnsi="Tahoma" w:cs="Tahoma"/>
          <w:sz w:val="24"/>
          <w:szCs w:val="24"/>
        </w:rPr>
      </w:pPr>
    </w:p>
    <w:p w14:paraId="02F181E8" w14:textId="77777777" w:rsidR="003C082F" w:rsidRPr="004D701A" w:rsidRDefault="003C082F" w:rsidP="004D701A">
      <w:pPr>
        <w:spacing w:line="276" w:lineRule="auto"/>
        <w:ind w:firstLine="708"/>
        <w:rPr>
          <w:rFonts w:ascii="Tahoma" w:hAnsi="Tahoma" w:cs="Tahoma"/>
          <w:sz w:val="24"/>
          <w:szCs w:val="24"/>
        </w:rPr>
      </w:pPr>
      <w:r w:rsidRPr="004D701A">
        <w:rPr>
          <w:rFonts w:ascii="Tahoma" w:hAnsi="Tahoma" w:cs="Tahoma"/>
          <w:sz w:val="24"/>
          <w:szCs w:val="24"/>
        </w:rPr>
        <w:t>La representante judicial del demandante sustentó la apelación alegando la falta de información clara, completa y comprensible por parte de la AFP al momento del traslado, derivado de un actuar masivo por parte del empleador de su prohijada, que contraviene los artículos 271 y 272 de la Ley 100 de 1993, el artículo 13 del código Sustantivo del Trabajo, el Decreto 363 de 1993, y el artículo 53 de la Constitución Política.</w:t>
      </w:r>
    </w:p>
    <w:p w14:paraId="061146F9" w14:textId="77777777" w:rsidR="003C082F" w:rsidRPr="004D701A" w:rsidRDefault="003C082F" w:rsidP="004D701A">
      <w:pPr>
        <w:spacing w:line="276" w:lineRule="auto"/>
        <w:ind w:firstLine="708"/>
        <w:rPr>
          <w:rFonts w:ascii="Tahoma" w:hAnsi="Tahoma" w:cs="Tahoma"/>
          <w:sz w:val="24"/>
          <w:szCs w:val="24"/>
        </w:rPr>
      </w:pPr>
    </w:p>
    <w:p w14:paraId="5FDC7FF2" w14:textId="77777777" w:rsidR="003C082F" w:rsidRPr="004D701A" w:rsidRDefault="003C082F" w:rsidP="004D701A">
      <w:pPr>
        <w:spacing w:line="276" w:lineRule="auto"/>
        <w:ind w:firstLine="708"/>
        <w:rPr>
          <w:rFonts w:ascii="Tahoma" w:hAnsi="Tahoma" w:cs="Tahoma"/>
          <w:sz w:val="24"/>
          <w:szCs w:val="24"/>
        </w:rPr>
      </w:pPr>
      <w:r w:rsidRPr="004D701A">
        <w:rPr>
          <w:rFonts w:ascii="Tahoma" w:hAnsi="Tahoma" w:cs="Tahoma"/>
          <w:sz w:val="24"/>
          <w:szCs w:val="24"/>
        </w:rPr>
        <w:lastRenderedPageBreak/>
        <w:t xml:space="preserve">Asimismo arguyó que no era posible absolver al fondo de pensiones, debido a que el hecho generador del </w:t>
      </w:r>
      <w:proofErr w:type="spellStart"/>
      <w:r w:rsidRPr="004D701A">
        <w:rPr>
          <w:rFonts w:ascii="Tahoma" w:hAnsi="Tahoma" w:cs="Tahoma"/>
          <w:i/>
          <w:iCs/>
          <w:sz w:val="24"/>
          <w:szCs w:val="24"/>
        </w:rPr>
        <w:t>sub-lite</w:t>
      </w:r>
      <w:proofErr w:type="spellEnd"/>
      <w:r w:rsidRPr="004D701A">
        <w:rPr>
          <w:rFonts w:ascii="Tahoma" w:hAnsi="Tahoma" w:cs="Tahoma"/>
          <w:sz w:val="24"/>
          <w:szCs w:val="24"/>
        </w:rPr>
        <w:t xml:space="preserve"> era culpa exclusiva de la AFP al desconocer que la actora contaba en la cuenta de ahorro individual con numero de semanas significativo que le hubiera permitido pensionarse tanto en el RAIS, como el RPM, mismos que no fueron tenidos en cuenta al momento de resolver la prestación económica, al desconocer los errores en la historia laboral manifestados por la demandante en el interrogatorio de parte, indicó que por las razones expuestas no pueden declararse prescrito el derecho a la prestación económica, debido a que la excepción extintiva solo cobija a las mesadas pensionales. </w:t>
      </w:r>
    </w:p>
    <w:p w14:paraId="29254E4F" w14:textId="77777777" w:rsidR="003C082F" w:rsidRPr="004D701A" w:rsidRDefault="003C082F" w:rsidP="004D701A">
      <w:pPr>
        <w:spacing w:line="276" w:lineRule="auto"/>
        <w:ind w:firstLine="708"/>
        <w:rPr>
          <w:rFonts w:ascii="Tahoma" w:hAnsi="Tahoma" w:cs="Tahoma"/>
          <w:sz w:val="24"/>
          <w:szCs w:val="24"/>
        </w:rPr>
      </w:pPr>
    </w:p>
    <w:p w14:paraId="1739EA5E" w14:textId="59D62EA7" w:rsidR="003C082F" w:rsidRPr="004D701A" w:rsidRDefault="003C082F" w:rsidP="004D701A">
      <w:pPr>
        <w:spacing w:line="276" w:lineRule="auto"/>
        <w:ind w:firstLine="708"/>
        <w:rPr>
          <w:rFonts w:ascii="Tahoma" w:hAnsi="Tahoma" w:cs="Tahoma"/>
          <w:sz w:val="24"/>
          <w:szCs w:val="24"/>
        </w:rPr>
      </w:pPr>
      <w:r w:rsidRPr="004D701A">
        <w:rPr>
          <w:rFonts w:ascii="Tahoma" w:hAnsi="Tahoma" w:cs="Tahoma"/>
          <w:sz w:val="24"/>
          <w:szCs w:val="24"/>
        </w:rPr>
        <w:t xml:space="preserve">Añadió que la devolución de saldos no desdibuja la causal de ineficacia de la afiliación, ya que el juzgador </w:t>
      </w:r>
      <w:r w:rsidR="004F5ADB" w:rsidRPr="004D701A">
        <w:rPr>
          <w:rFonts w:ascii="Tahoma" w:hAnsi="Tahoma" w:cs="Tahoma"/>
          <w:sz w:val="24"/>
          <w:szCs w:val="24"/>
        </w:rPr>
        <w:t>está</w:t>
      </w:r>
      <w:r w:rsidRPr="004D701A">
        <w:rPr>
          <w:rFonts w:ascii="Tahoma" w:hAnsi="Tahoma" w:cs="Tahoma"/>
          <w:sz w:val="24"/>
          <w:szCs w:val="24"/>
        </w:rPr>
        <w:t xml:space="preserve"> en la obligación de evaluar el momento del acto del traslado más allá de los actos posteriores, del mismo modo, expuso su inconformidad en el entendido que los efectos de la ineficacia no solo le asisten a los afiliados trayendo a colación la sentencia del 10 de febrero de 2021, bajo el radicado 2016-00926 del Tribunal Superior de Medellín.</w:t>
      </w:r>
    </w:p>
    <w:p w14:paraId="23E0DE6F" w14:textId="77777777" w:rsidR="003C082F" w:rsidRPr="004D701A" w:rsidRDefault="003C082F" w:rsidP="004D701A">
      <w:pPr>
        <w:spacing w:line="276" w:lineRule="auto"/>
        <w:ind w:firstLine="708"/>
        <w:rPr>
          <w:rFonts w:ascii="Tahoma" w:hAnsi="Tahoma" w:cs="Tahoma"/>
          <w:sz w:val="24"/>
          <w:szCs w:val="24"/>
        </w:rPr>
      </w:pPr>
    </w:p>
    <w:p w14:paraId="04C20A57" w14:textId="77777777" w:rsidR="003C082F" w:rsidRPr="004D701A" w:rsidRDefault="003C082F" w:rsidP="004D701A">
      <w:pPr>
        <w:spacing w:line="276" w:lineRule="auto"/>
        <w:ind w:firstLine="708"/>
        <w:rPr>
          <w:rFonts w:ascii="Tahoma" w:hAnsi="Tahoma" w:cs="Tahoma"/>
          <w:sz w:val="24"/>
          <w:szCs w:val="24"/>
        </w:rPr>
      </w:pPr>
      <w:r w:rsidRPr="004D701A">
        <w:rPr>
          <w:rFonts w:ascii="Tahoma" w:hAnsi="Tahoma" w:cs="Tahoma"/>
          <w:sz w:val="24"/>
          <w:szCs w:val="24"/>
        </w:rPr>
        <w:t>Finalmente, argumentó que la consecuencia a la falta de asesoría y buen consejo por parte del promotor de la AFP a la actora se le causaron perjuicios patrimoniales, tanto al momento del traslado, como al momento del reconocimiento de la prestación, máxime cuando su poderdante tenía derecho a la pensión de vejez, aunado a que la convocada a juicio se inhibió de hacer la corrección a la historia pensional de la afiliada, que derivó en la devolución de saldos, dando lugar al reconocimiento de la reparación del daño y el pago de perjuicios.</w:t>
      </w:r>
    </w:p>
    <w:p w14:paraId="2313600F" w14:textId="77777777" w:rsidR="003C082F" w:rsidRPr="004D701A" w:rsidRDefault="003C082F" w:rsidP="004D701A">
      <w:pPr>
        <w:spacing w:line="276" w:lineRule="auto"/>
        <w:ind w:firstLine="708"/>
        <w:rPr>
          <w:rFonts w:ascii="Tahoma" w:hAnsi="Tahoma" w:cs="Tahoma"/>
          <w:sz w:val="24"/>
          <w:szCs w:val="24"/>
        </w:rPr>
      </w:pPr>
    </w:p>
    <w:p w14:paraId="3958D89F" w14:textId="77777777" w:rsidR="003C082F" w:rsidRPr="004D701A" w:rsidRDefault="003C082F" w:rsidP="004D701A">
      <w:pPr>
        <w:spacing w:line="276" w:lineRule="auto"/>
        <w:ind w:firstLine="708"/>
        <w:rPr>
          <w:rFonts w:ascii="Tahoma" w:hAnsi="Tahoma" w:cs="Tahoma"/>
          <w:sz w:val="24"/>
          <w:szCs w:val="24"/>
        </w:rPr>
      </w:pPr>
      <w:r w:rsidRPr="004D701A">
        <w:rPr>
          <w:rFonts w:ascii="Tahoma" w:hAnsi="Tahoma" w:cs="Tahoma"/>
          <w:sz w:val="24"/>
          <w:szCs w:val="24"/>
        </w:rPr>
        <w:t>Por las razones expuestas, se ratificó en los pedimentos de la demanda y solicitó la revocatoria de la sentencia recurrida.</w:t>
      </w:r>
    </w:p>
    <w:p w14:paraId="264FA737" w14:textId="77777777" w:rsidR="001D10AD" w:rsidRPr="004D701A" w:rsidRDefault="001D10AD" w:rsidP="004D701A">
      <w:pPr>
        <w:spacing w:line="276" w:lineRule="auto"/>
        <w:ind w:firstLine="708"/>
        <w:rPr>
          <w:rFonts w:ascii="Tahoma" w:hAnsi="Tahoma" w:cs="Tahoma"/>
          <w:sz w:val="24"/>
          <w:szCs w:val="24"/>
          <w:lang w:val="es-CO"/>
        </w:rPr>
      </w:pPr>
    </w:p>
    <w:p w14:paraId="015B31E9" w14:textId="77777777" w:rsidR="00A31306" w:rsidRPr="004D701A" w:rsidRDefault="00A31306" w:rsidP="004D701A">
      <w:pPr>
        <w:pStyle w:val="Prrafodelista"/>
        <w:widowControl w:val="0"/>
        <w:numPr>
          <w:ilvl w:val="0"/>
          <w:numId w:val="2"/>
        </w:numPr>
        <w:autoSpaceDE w:val="0"/>
        <w:autoSpaceDN w:val="0"/>
        <w:adjustRightInd w:val="0"/>
        <w:spacing w:line="276" w:lineRule="auto"/>
        <w:jc w:val="center"/>
        <w:rPr>
          <w:rFonts w:ascii="Tahoma" w:hAnsi="Tahoma" w:cs="Tahoma"/>
          <w:b/>
          <w:caps/>
        </w:rPr>
      </w:pPr>
      <w:r w:rsidRPr="004D701A">
        <w:rPr>
          <w:rFonts w:ascii="Tahoma" w:hAnsi="Tahoma" w:cs="Tahoma"/>
          <w:b/>
        </w:rPr>
        <w:t>Alegatos de conclusión</w:t>
      </w:r>
    </w:p>
    <w:p w14:paraId="22967A8F" w14:textId="77777777" w:rsidR="00A31306" w:rsidRPr="004D701A" w:rsidRDefault="00A31306" w:rsidP="004D701A">
      <w:pPr>
        <w:widowControl w:val="0"/>
        <w:autoSpaceDE w:val="0"/>
        <w:autoSpaceDN w:val="0"/>
        <w:adjustRightInd w:val="0"/>
        <w:spacing w:line="276" w:lineRule="auto"/>
        <w:rPr>
          <w:rFonts w:ascii="Tahoma" w:hAnsi="Tahoma" w:cs="Tahoma"/>
          <w:sz w:val="24"/>
          <w:szCs w:val="24"/>
        </w:rPr>
      </w:pPr>
    </w:p>
    <w:p w14:paraId="01E87B4C" w14:textId="3AACAB28" w:rsidR="00A31306" w:rsidRPr="004D701A" w:rsidRDefault="00A31306" w:rsidP="004D701A">
      <w:pPr>
        <w:spacing w:line="276" w:lineRule="auto"/>
        <w:ind w:firstLine="708"/>
        <w:rPr>
          <w:rStyle w:val="normaltextrun"/>
          <w:rFonts w:ascii="Tahoma" w:hAnsi="Tahoma" w:cs="Tahoma"/>
          <w:sz w:val="24"/>
          <w:szCs w:val="24"/>
        </w:rPr>
      </w:pPr>
      <w:r w:rsidRPr="004D701A">
        <w:rPr>
          <w:rStyle w:val="normaltextrun"/>
          <w:rFonts w:ascii="Tahoma" w:hAnsi="Tahoma" w:cs="Tahoma"/>
          <w:sz w:val="24"/>
          <w:szCs w:val="24"/>
        </w:rPr>
        <w:t xml:space="preserve">Analizados los alegatos presentados por escrito por </w:t>
      </w:r>
      <w:r w:rsidR="00B4585E" w:rsidRPr="004D701A">
        <w:rPr>
          <w:rStyle w:val="normaltextrun"/>
          <w:rFonts w:ascii="Tahoma" w:hAnsi="Tahoma" w:cs="Tahoma"/>
          <w:sz w:val="24"/>
          <w:szCs w:val="24"/>
        </w:rPr>
        <w:t>las partes</w:t>
      </w:r>
      <w:r w:rsidRPr="004D701A">
        <w:rPr>
          <w:rStyle w:val="normaltextrun"/>
          <w:rFonts w:ascii="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4D701A">
        <w:rPr>
          <w:rStyle w:val="normaltextrun"/>
          <w:rFonts w:ascii="Tahoma" w:hAnsi="Tahoma" w:cs="Tahoma"/>
          <w:sz w:val="24"/>
          <w:szCs w:val="24"/>
        </w:rPr>
        <w:t>rá más adelante</w:t>
      </w:r>
      <w:r w:rsidRPr="004D701A">
        <w:rPr>
          <w:rStyle w:val="normaltextrun"/>
          <w:rFonts w:ascii="Tahoma" w:hAnsi="Tahoma" w:cs="Tahoma"/>
          <w:sz w:val="24"/>
          <w:szCs w:val="24"/>
        </w:rPr>
        <w:t>. </w:t>
      </w:r>
      <w:r w:rsidRPr="004D701A">
        <w:rPr>
          <w:rStyle w:val="eop"/>
          <w:rFonts w:ascii="Tahoma" w:hAnsi="Tahoma" w:cs="Tahoma"/>
          <w:sz w:val="24"/>
          <w:szCs w:val="24"/>
        </w:rPr>
        <w:t> </w:t>
      </w:r>
      <w:r w:rsidRPr="004D701A">
        <w:rPr>
          <w:rStyle w:val="normaltextrun"/>
          <w:rFonts w:ascii="Tahoma" w:hAnsi="Tahoma" w:cs="Tahoma"/>
          <w:sz w:val="24"/>
          <w:szCs w:val="24"/>
        </w:rPr>
        <w:t>Por otra parte, el Ministerio Público no rindió concepto en este asunto.</w:t>
      </w:r>
    </w:p>
    <w:p w14:paraId="07C95136" w14:textId="77777777" w:rsidR="00111A98" w:rsidRPr="004D701A" w:rsidRDefault="00111A98" w:rsidP="004D701A">
      <w:pPr>
        <w:widowControl w:val="0"/>
        <w:autoSpaceDE w:val="0"/>
        <w:autoSpaceDN w:val="0"/>
        <w:adjustRightInd w:val="0"/>
        <w:spacing w:line="276" w:lineRule="auto"/>
        <w:ind w:firstLine="0"/>
        <w:rPr>
          <w:rFonts w:ascii="Tahoma" w:hAnsi="Tahoma" w:cs="Tahoma"/>
          <w:b/>
          <w:caps/>
          <w:sz w:val="24"/>
          <w:szCs w:val="24"/>
        </w:rPr>
      </w:pPr>
    </w:p>
    <w:p w14:paraId="6E7C5120" w14:textId="54064144" w:rsidR="005F4EE1" w:rsidRPr="004D701A" w:rsidRDefault="005F4EE1" w:rsidP="004D701A">
      <w:pPr>
        <w:pStyle w:val="paragraph"/>
        <w:numPr>
          <w:ilvl w:val="0"/>
          <w:numId w:val="2"/>
        </w:numPr>
        <w:spacing w:before="0" w:beforeAutospacing="0" w:after="0" w:afterAutospacing="0" w:line="276" w:lineRule="auto"/>
        <w:jc w:val="center"/>
        <w:textAlignment w:val="baseline"/>
        <w:rPr>
          <w:rFonts w:ascii="Tahoma" w:hAnsi="Tahoma" w:cs="Tahoma"/>
          <w:b/>
        </w:rPr>
      </w:pPr>
      <w:r w:rsidRPr="004D701A">
        <w:rPr>
          <w:rStyle w:val="normaltextrun"/>
          <w:rFonts w:ascii="Tahoma" w:hAnsi="Tahoma" w:cs="Tahoma"/>
          <w:b/>
          <w:bCs/>
        </w:rPr>
        <w:t>Problema jurídico por resolver</w:t>
      </w:r>
    </w:p>
    <w:p w14:paraId="32411F34" w14:textId="77777777" w:rsidR="005F4EE1" w:rsidRPr="004D701A" w:rsidRDefault="005F4EE1" w:rsidP="004D701A">
      <w:pPr>
        <w:pStyle w:val="paragraph"/>
        <w:spacing w:before="0" w:beforeAutospacing="0" w:after="0" w:afterAutospacing="0" w:line="276" w:lineRule="auto"/>
        <w:textAlignment w:val="baseline"/>
        <w:rPr>
          <w:rFonts w:ascii="Tahoma" w:hAnsi="Tahoma" w:cs="Tahoma"/>
        </w:rPr>
      </w:pPr>
      <w:r w:rsidRPr="004D701A">
        <w:rPr>
          <w:rStyle w:val="eop"/>
          <w:rFonts w:ascii="Tahoma" w:hAnsi="Tahoma" w:cs="Tahoma"/>
        </w:rPr>
        <w:t> </w:t>
      </w:r>
    </w:p>
    <w:p w14:paraId="0756DAFF" w14:textId="29959F92" w:rsidR="005F4EE1" w:rsidRPr="004D701A" w:rsidRDefault="005F4EE1" w:rsidP="004D701A">
      <w:pPr>
        <w:widowControl w:val="0"/>
        <w:autoSpaceDE w:val="0"/>
        <w:autoSpaceDN w:val="0"/>
        <w:adjustRightInd w:val="0"/>
        <w:spacing w:line="276" w:lineRule="auto"/>
        <w:ind w:firstLine="708"/>
        <w:rPr>
          <w:rStyle w:val="normaltextrun"/>
          <w:rFonts w:ascii="Tahoma" w:hAnsi="Tahoma" w:cs="Tahoma"/>
          <w:sz w:val="24"/>
          <w:szCs w:val="24"/>
        </w:rPr>
      </w:pPr>
      <w:r w:rsidRPr="004D701A">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754FB" w:rsidRPr="004D701A">
        <w:rPr>
          <w:rStyle w:val="normaltextrun"/>
          <w:rFonts w:ascii="Tahoma" w:hAnsi="Tahoma" w:cs="Tahoma"/>
          <w:sz w:val="24"/>
          <w:szCs w:val="24"/>
        </w:rPr>
        <w:t xml:space="preserve">determinar si es </w:t>
      </w:r>
      <w:r w:rsidR="00EF7863" w:rsidRPr="004D701A">
        <w:rPr>
          <w:rStyle w:val="normaltextrun"/>
          <w:rFonts w:ascii="Tahoma" w:hAnsi="Tahoma" w:cs="Tahoma"/>
          <w:sz w:val="24"/>
          <w:szCs w:val="24"/>
        </w:rPr>
        <w:t xml:space="preserve">viable declarar la ineficacia de traslado, y ordenar subsecuentemente la continuidad de la afiliación al régimen de prima media, </w:t>
      </w:r>
      <w:r w:rsidR="00887DAA" w:rsidRPr="004D701A">
        <w:rPr>
          <w:rStyle w:val="normaltextrun"/>
          <w:rFonts w:ascii="Tahoma" w:hAnsi="Tahoma" w:cs="Tahoma"/>
          <w:sz w:val="24"/>
          <w:szCs w:val="24"/>
        </w:rPr>
        <w:t>respecto d</w:t>
      </w:r>
      <w:r w:rsidR="00EF7863" w:rsidRPr="004D701A">
        <w:rPr>
          <w:rStyle w:val="normaltextrun"/>
          <w:rFonts w:ascii="Tahoma" w:hAnsi="Tahoma" w:cs="Tahoma"/>
          <w:sz w:val="24"/>
          <w:szCs w:val="24"/>
        </w:rPr>
        <w:t>e aquellas personas a quienes</w:t>
      </w:r>
      <w:r w:rsidR="00CC3E44" w:rsidRPr="004D701A">
        <w:rPr>
          <w:rStyle w:val="normaltextrun"/>
          <w:rFonts w:ascii="Tahoma" w:hAnsi="Tahoma" w:cs="Tahoma"/>
          <w:sz w:val="24"/>
          <w:szCs w:val="24"/>
        </w:rPr>
        <w:t xml:space="preserve">, a petición de parte, la AFP les hizo devolución </w:t>
      </w:r>
      <w:r w:rsidR="00CC3E44" w:rsidRPr="004D701A">
        <w:rPr>
          <w:rFonts w:ascii="Tahoma" w:eastAsia="Times New Roman" w:hAnsi="Tahoma" w:cs="Tahoma"/>
          <w:iCs/>
          <w:sz w:val="24"/>
          <w:szCs w:val="24"/>
          <w:lang w:eastAsia="es-ES"/>
        </w:rPr>
        <w:t>de saldos y la redención anticipada de su bono pensional ante la imposibilidad de continuar cotizando al sistema.</w:t>
      </w:r>
      <w:r w:rsidR="00EF7863" w:rsidRPr="004D701A">
        <w:rPr>
          <w:rStyle w:val="normaltextrun"/>
          <w:rFonts w:ascii="Tahoma" w:hAnsi="Tahoma" w:cs="Tahoma"/>
          <w:sz w:val="24"/>
          <w:szCs w:val="24"/>
        </w:rPr>
        <w:t xml:space="preserve"> </w:t>
      </w:r>
    </w:p>
    <w:p w14:paraId="1F4D1530" w14:textId="29C60DE1" w:rsidR="00AB12BB" w:rsidRPr="004D701A" w:rsidRDefault="005F4EE1" w:rsidP="004D701A">
      <w:pPr>
        <w:spacing w:line="276" w:lineRule="auto"/>
        <w:ind w:firstLine="900"/>
        <w:rPr>
          <w:rFonts w:ascii="Tahoma" w:hAnsi="Tahoma" w:cs="Tahoma"/>
          <w:sz w:val="24"/>
          <w:szCs w:val="24"/>
        </w:rPr>
      </w:pPr>
      <w:r w:rsidRPr="004D701A">
        <w:rPr>
          <w:rFonts w:ascii="Tahoma" w:hAnsi="Tahoma" w:cs="Tahoma"/>
          <w:sz w:val="24"/>
          <w:szCs w:val="24"/>
        </w:rPr>
        <w:t xml:space="preserve">  </w:t>
      </w:r>
    </w:p>
    <w:p w14:paraId="268BCB7D" w14:textId="77777777" w:rsidR="005F4EE1" w:rsidRPr="004D701A" w:rsidRDefault="005F4EE1" w:rsidP="004D701A">
      <w:pPr>
        <w:pStyle w:val="Prrafodelista"/>
        <w:widowControl w:val="0"/>
        <w:numPr>
          <w:ilvl w:val="0"/>
          <w:numId w:val="5"/>
        </w:numPr>
        <w:autoSpaceDE w:val="0"/>
        <w:autoSpaceDN w:val="0"/>
        <w:adjustRightInd w:val="0"/>
        <w:spacing w:line="276" w:lineRule="auto"/>
        <w:jc w:val="center"/>
        <w:rPr>
          <w:rFonts w:ascii="Tahoma" w:hAnsi="Tahoma" w:cs="Tahoma"/>
          <w:b/>
        </w:rPr>
      </w:pPr>
      <w:r w:rsidRPr="004D701A">
        <w:rPr>
          <w:rFonts w:ascii="Tahoma" w:hAnsi="Tahoma" w:cs="Tahoma"/>
          <w:b/>
        </w:rPr>
        <w:lastRenderedPageBreak/>
        <w:t xml:space="preserve">Consideraciones </w:t>
      </w:r>
    </w:p>
    <w:p w14:paraId="5C0A3826" w14:textId="77777777" w:rsidR="005F4EE1" w:rsidRPr="004D701A" w:rsidRDefault="005F4EE1" w:rsidP="004D701A">
      <w:pPr>
        <w:widowControl w:val="0"/>
        <w:autoSpaceDE w:val="0"/>
        <w:autoSpaceDN w:val="0"/>
        <w:adjustRightInd w:val="0"/>
        <w:spacing w:line="276" w:lineRule="auto"/>
        <w:ind w:firstLine="0"/>
        <w:rPr>
          <w:rFonts w:ascii="Tahoma" w:hAnsi="Tahoma" w:cs="Tahoma"/>
          <w:b/>
          <w:sz w:val="24"/>
          <w:szCs w:val="24"/>
        </w:rPr>
      </w:pPr>
    </w:p>
    <w:p w14:paraId="0F18FD6C" w14:textId="1298F946" w:rsidR="005F4EE1" w:rsidRPr="004D701A" w:rsidRDefault="005F4EE1" w:rsidP="004D701A">
      <w:pPr>
        <w:pStyle w:val="Prrafodelista"/>
        <w:numPr>
          <w:ilvl w:val="1"/>
          <w:numId w:val="7"/>
        </w:numPr>
        <w:spacing w:line="276" w:lineRule="auto"/>
        <w:ind w:left="0" w:firstLine="709"/>
        <w:jc w:val="both"/>
        <w:rPr>
          <w:rFonts w:ascii="Tahoma" w:hAnsi="Tahoma" w:cs="Tahoma"/>
          <w:b/>
        </w:rPr>
      </w:pPr>
      <w:r w:rsidRPr="004D701A">
        <w:rPr>
          <w:rFonts w:ascii="Tahoma" w:hAnsi="Tahoma" w:cs="Tahoma"/>
          <w:b/>
        </w:rPr>
        <w:t xml:space="preserve">Precedente vertical: la tesis de la Corte Suprema de Justicia respecto al tema de la ineficacia del traslado </w:t>
      </w:r>
      <w:r w:rsidR="00EF7863" w:rsidRPr="004D701A">
        <w:rPr>
          <w:rFonts w:ascii="Tahoma" w:hAnsi="Tahoma" w:cs="Tahoma"/>
          <w:b/>
        </w:rPr>
        <w:t>de personas pensionadas</w:t>
      </w:r>
      <w:r w:rsidRPr="004D701A">
        <w:rPr>
          <w:rFonts w:ascii="Tahoma" w:hAnsi="Tahoma" w:cs="Tahoma"/>
          <w:b/>
        </w:rPr>
        <w:t xml:space="preserve"> </w:t>
      </w:r>
    </w:p>
    <w:p w14:paraId="4CBED620" w14:textId="77777777" w:rsidR="005F4EE1" w:rsidRPr="004D701A" w:rsidRDefault="005F4EE1" w:rsidP="004D701A">
      <w:pPr>
        <w:pStyle w:val="Sinespaciado"/>
        <w:spacing w:line="276" w:lineRule="auto"/>
        <w:rPr>
          <w:rFonts w:ascii="Tahoma" w:hAnsi="Tahoma" w:cs="Tahoma"/>
        </w:rPr>
      </w:pPr>
    </w:p>
    <w:p w14:paraId="125804D7" w14:textId="006FE928" w:rsidR="00210641" w:rsidRPr="004D701A" w:rsidRDefault="00F615DC" w:rsidP="004D701A">
      <w:pPr>
        <w:spacing w:line="276" w:lineRule="auto"/>
        <w:rPr>
          <w:rFonts w:ascii="Tahoma" w:hAnsi="Tahoma" w:cs="Tahoma"/>
          <w:sz w:val="24"/>
          <w:szCs w:val="24"/>
        </w:rPr>
      </w:pPr>
      <w:r w:rsidRPr="004D701A">
        <w:rPr>
          <w:rFonts w:ascii="Tahoma" w:hAnsi="Tahoma" w:cs="Tahoma"/>
          <w:sz w:val="24"/>
          <w:szCs w:val="24"/>
        </w:rPr>
        <w:t>A efectos de absolver la censura planteada por la togada apelante, se dirá que l</w:t>
      </w:r>
      <w:r w:rsidR="00EF7863" w:rsidRPr="004D701A">
        <w:rPr>
          <w:rFonts w:ascii="Tahoma" w:hAnsi="Tahoma" w:cs="Tahoma"/>
          <w:sz w:val="24"/>
          <w:szCs w:val="24"/>
        </w:rPr>
        <w:t>a Sala de Casación Laboral de la Corte Suprema de Justicia en sentencia SL373-2021</w:t>
      </w:r>
      <w:r w:rsidR="00887DAA" w:rsidRPr="004D701A">
        <w:rPr>
          <w:rFonts w:ascii="Tahoma" w:hAnsi="Tahoma" w:cs="Tahoma"/>
          <w:sz w:val="24"/>
          <w:szCs w:val="24"/>
        </w:rPr>
        <w:t xml:space="preserve">, proferida </w:t>
      </w:r>
      <w:r w:rsidR="00EF7863" w:rsidRPr="004D701A">
        <w:rPr>
          <w:rFonts w:ascii="Tahoma" w:hAnsi="Tahoma" w:cs="Tahoma"/>
          <w:sz w:val="24"/>
          <w:szCs w:val="24"/>
        </w:rPr>
        <w:t xml:space="preserve">el pasado 10 de febrero, </w:t>
      </w:r>
      <w:r w:rsidR="00D178CD" w:rsidRPr="004D701A">
        <w:rPr>
          <w:rFonts w:ascii="Tahoma" w:hAnsi="Tahoma" w:cs="Tahoma"/>
          <w:sz w:val="24"/>
          <w:szCs w:val="24"/>
        </w:rPr>
        <w:t xml:space="preserve">M.P. Clara Cecilia Dueñas Quevedo, sentó </w:t>
      </w:r>
      <w:r w:rsidR="00351197" w:rsidRPr="004D701A">
        <w:rPr>
          <w:rFonts w:ascii="Tahoma" w:hAnsi="Tahoma" w:cs="Tahoma"/>
          <w:sz w:val="24"/>
          <w:szCs w:val="24"/>
        </w:rPr>
        <w:t>un precedente que cumple como derrotero en aquellos casos en los que se procura la ineficacia de la afiliación al régimen de ahorro individual con solidaridad</w:t>
      </w:r>
      <w:r w:rsidR="00210641" w:rsidRPr="004D701A">
        <w:rPr>
          <w:rFonts w:ascii="Tahoma" w:hAnsi="Tahoma" w:cs="Tahoma"/>
          <w:sz w:val="24"/>
          <w:szCs w:val="24"/>
        </w:rPr>
        <w:t xml:space="preserve">, </w:t>
      </w:r>
      <w:r w:rsidR="00887DAA" w:rsidRPr="004D701A">
        <w:rPr>
          <w:rFonts w:ascii="Tahoma" w:hAnsi="Tahoma" w:cs="Tahoma"/>
          <w:sz w:val="24"/>
          <w:szCs w:val="24"/>
        </w:rPr>
        <w:t>y con el cual toma distancia d</w:t>
      </w:r>
      <w:r w:rsidR="00210641" w:rsidRPr="004D701A">
        <w:rPr>
          <w:rFonts w:ascii="Tahoma" w:hAnsi="Tahoma" w:cs="Tahoma"/>
          <w:sz w:val="24"/>
          <w:szCs w:val="24"/>
        </w:rPr>
        <w:t xml:space="preserve">el criterio establecido </w:t>
      </w:r>
      <w:r w:rsidR="00887DAA" w:rsidRPr="004D701A">
        <w:rPr>
          <w:rFonts w:ascii="Tahoma" w:hAnsi="Tahoma" w:cs="Tahoma"/>
          <w:sz w:val="24"/>
          <w:szCs w:val="24"/>
        </w:rPr>
        <w:t xml:space="preserve">por la misma Corporación </w:t>
      </w:r>
      <w:r w:rsidR="00210641" w:rsidRPr="004D701A">
        <w:rPr>
          <w:rFonts w:ascii="Tahoma" w:hAnsi="Tahoma" w:cs="Tahoma"/>
          <w:sz w:val="24"/>
          <w:szCs w:val="24"/>
        </w:rPr>
        <w:t xml:space="preserve">en la sentencia </w:t>
      </w:r>
      <w:r w:rsidR="00887DAA" w:rsidRPr="004D701A">
        <w:rPr>
          <w:rFonts w:ascii="Tahoma" w:hAnsi="Tahoma" w:cs="Tahoma"/>
          <w:sz w:val="24"/>
          <w:szCs w:val="24"/>
        </w:rPr>
        <w:t xml:space="preserve">emitida </w:t>
      </w:r>
      <w:r w:rsidR="006614D4" w:rsidRPr="004D701A">
        <w:rPr>
          <w:rFonts w:ascii="Tahoma" w:hAnsi="Tahoma" w:cs="Tahoma"/>
          <w:sz w:val="24"/>
          <w:szCs w:val="24"/>
        </w:rPr>
        <w:t xml:space="preserve">el </w:t>
      </w:r>
      <w:r w:rsidR="00210641" w:rsidRPr="004D701A">
        <w:rPr>
          <w:rFonts w:ascii="Tahoma" w:hAnsi="Tahoma" w:cs="Tahoma"/>
          <w:sz w:val="24"/>
          <w:szCs w:val="24"/>
        </w:rPr>
        <w:t xml:space="preserve">9 </w:t>
      </w:r>
      <w:r w:rsidR="00887DAA" w:rsidRPr="004D701A">
        <w:rPr>
          <w:rFonts w:ascii="Tahoma" w:hAnsi="Tahoma" w:cs="Tahoma"/>
          <w:sz w:val="24"/>
          <w:szCs w:val="24"/>
        </w:rPr>
        <w:t>septiembre</w:t>
      </w:r>
      <w:r w:rsidR="00210641" w:rsidRPr="004D701A">
        <w:rPr>
          <w:rFonts w:ascii="Tahoma" w:hAnsi="Tahoma" w:cs="Tahoma"/>
          <w:sz w:val="24"/>
          <w:szCs w:val="24"/>
        </w:rPr>
        <w:t xml:space="preserve"> 2008, </w:t>
      </w:r>
      <w:r w:rsidR="00887DAA" w:rsidRPr="004D701A">
        <w:rPr>
          <w:rFonts w:ascii="Tahoma" w:hAnsi="Tahoma" w:cs="Tahoma"/>
          <w:sz w:val="24"/>
          <w:szCs w:val="24"/>
        </w:rPr>
        <w:t>dentro d</w:t>
      </w:r>
      <w:r w:rsidR="006614D4" w:rsidRPr="004D701A">
        <w:rPr>
          <w:rFonts w:ascii="Tahoma" w:hAnsi="Tahoma" w:cs="Tahoma"/>
          <w:sz w:val="24"/>
          <w:szCs w:val="24"/>
        </w:rPr>
        <w:t xml:space="preserve">el proceso radicado con el número </w:t>
      </w:r>
      <w:r w:rsidR="00210641" w:rsidRPr="004D701A">
        <w:rPr>
          <w:rFonts w:ascii="Tahoma" w:hAnsi="Tahoma" w:cs="Tahoma"/>
          <w:sz w:val="24"/>
          <w:szCs w:val="24"/>
        </w:rPr>
        <w:t>31989.</w:t>
      </w:r>
    </w:p>
    <w:p w14:paraId="2289F182" w14:textId="77777777" w:rsidR="006A33FC" w:rsidRPr="004D701A" w:rsidRDefault="006A33FC" w:rsidP="004D701A">
      <w:pPr>
        <w:spacing w:line="276" w:lineRule="auto"/>
        <w:rPr>
          <w:rFonts w:ascii="Tahoma" w:hAnsi="Tahoma" w:cs="Tahoma"/>
          <w:sz w:val="24"/>
          <w:szCs w:val="24"/>
        </w:rPr>
      </w:pPr>
    </w:p>
    <w:p w14:paraId="70D25723" w14:textId="2621EE51" w:rsidR="00C86EE6" w:rsidRPr="004D701A" w:rsidRDefault="00D178CD" w:rsidP="004D701A">
      <w:pPr>
        <w:spacing w:line="276" w:lineRule="auto"/>
        <w:rPr>
          <w:rFonts w:ascii="Tahoma" w:hAnsi="Tahoma" w:cs="Tahoma"/>
          <w:sz w:val="24"/>
          <w:szCs w:val="24"/>
        </w:rPr>
      </w:pPr>
      <w:r w:rsidRPr="004D701A">
        <w:rPr>
          <w:rFonts w:ascii="Tahoma" w:hAnsi="Tahoma" w:cs="Tahoma"/>
          <w:sz w:val="24"/>
          <w:szCs w:val="24"/>
        </w:rPr>
        <w:t xml:space="preserve">Explicó la Corte que, si bien tiene una postura pacífica que atiende la declaratoria de ineficacia en aquellos casos en los que </w:t>
      </w:r>
      <w:r w:rsidR="00122A22" w:rsidRPr="004D701A">
        <w:rPr>
          <w:rFonts w:ascii="Tahoma" w:hAnsi="Tahoma" w:cs="Tahoma"/>
          <w:sz w:val="24"/>
          <w:szCs w:val="24"/>
        </w:rPr>
        <w:t xml:space="preserve">se acredita </w:t>
      </w:r>
      <w:r w:rsidRPr="004D701A">
        <w:rPr>
          <w:rFonts w:ascii="Tahoma" w:hAnsi="Tahoma" w:cs="Tahoma"/>
          <w:sz w:val="24"/>
          <w:szCs w:val="24"/>
        </w:rPr>
        <w:t>la inobservancia del deber de información por parte de las AFP del régimen privado</w:t>
      </w:r>
      <w:r w:rsidR="00122A22" w:rsidRPr="004D701A">
        <w:rPr>
          <w:rFonts w:ascii="Tahoma" w:hAnsi="Tahoma" w:cs="Tahoma"/>
          <w:sz w:val="24"/>
          <w:szCs w:val="24"/>
        </w:rPr>
        <w:t xml:space="preserve"> al momento de gestionar un traslado de régimen pensional</w:t>
      </w:r>
      <w:r w:rsidRPr="004D701A">
        <w:rPr>
          <w:rFonts w:ascii="Tahoma" w:hAnsi="Tahoma" w:cs="Tahoma"/>
          <w:sz w:val="24"/>
          <w:szCs w:val="24"/>
        </w:rPr>
        <w:t>, esta no podía aplicarse a aquellos casos en los que ya se había concedido una pensión de vejez</w:t>
      </w:r>
      <w:r w:rsidR="00C52FEE" w:rsidRPr="004D701A">
        <w:rPr>
          <w:rFonts w:ascii="Tahoma" w:hAnsi="Tahoma" w:cs="Tahoma"/>
          <w:sz w:val="24"/>
          <w:szCs w:val="24"/>
        </w:rPr>
        <w:t xml:space="preserve"> al afiliado</w:t>
      </w:r>
      <w:r w:rsidRPr="004D701A">
        <w:rPr>
          <w:rFonts w:ascii="Tahoma" w:hAnsi="Tahoma" w:cs="Tahoma"/>
          <w:sz w:val="24"/>
          <w:szCs w:val="24"/>
        </w:rPr>
        <w:t xml:space="preserve">, por cuanto </w:t>
      </w:r>
      <w:r w:rsidR="00C52FEE" w:rsidRPr="004D701A">
        <w:rPr>
          <w:rFonts w:ascii="Tahoma" w:hAnsi="Tahoma" w:cs="Tahoma"/>
          <w:sz w:val="24"/>
          <w:szCs w:val="24"/>
        </w:rPr>
        <w:t xml:space="preserve">el estatus adquirido </w:t>
      </w:r>
      <w:r w:rsidRPr="004D701A">
        <w:rPr>
          <w:rFonts w:ascii="Tahoma" w:hAnsi="Tahoma" w:cs="Tahoma"/>
          <w:sz w:val="24"/>
          <w:szCs w:val="24"/>
        </w:rPr>
        <w:t>constitu</w:t>
      </w:r>
      <w:r w:rsidR="00C52FEE" w:rsidRPr="004D701A">
        <w:rPr>
          <w:rFonts w:ascii="Tahoma" w:hAnsi="Tahoma" w:cs="Tahoma"/>
          <w:sz w:val="24"/>
          <w:szCs w:val="24"/>
        </w:rPr>
        <w:t xml:space="preserve">ye </w:t>
      </w:r>
      <w:r w:rsidRPr="004D701A">
        <w:rPr>
          <w:rFonts w:ascii="Tahoma" w:hAnsi="Tahoma" w:cs="Tahoma"/>
          <w:sz w:val="24"/>
          <w:szCs w:val="24"/>
        </w:rPr>
        <w:t>una situación jurídica consolidada que</w:t>
      </w:r>
      <w:r w:rsidR="00C52FEE" w:rsidRPr="004D701A">
        <w:rPr>
          <w:rFonts w:ascii="Tahoma" w:hAnsi="Tahoma" w:cs="Tahoma"/>
          <w:sz w:val="24"/>
          <w:szCs w:val="24"/>
        </w:rPr>
        <w:t>,</w:t>
      </w:r>
      <w:r w:rsidRPr="004D701A">
        <w:rPr>
          <w:rFonts w:ascii="Tahoma" w:hAnsi="Tahoma" w:cs="Tahoma"/>
          <w:sz w:val="24"/>
          <w:szCs w:val="24"/>
        </w:rPr>
        <w:t xml:space="preserve"> al ser inobservada</w:t>
      </w:r>
      <w:r w:rsidR="00C52FEE" w:rsidRPr="004D701A">
        <w:rPr>
          <w:rFonts w:ascii="Tahoma" w:hAnsi="Tahoma" w:cs="Tahoma"/>
          <w:sz w:val="24"/>
          <w:szCs w:val="24"/>
        </w:rPr>
        <w:t>,</w:t>
      </w:r>
      <w:r w:rsidRPr="004D701A">
        <w:rPr>
          <w:rFonts w:ascii="Tahoma" w:hAnsi="Tahoma" w:cs="Tahoma"/>
          <w:sz w:val="24"/>
          <w:szCs w:val="24"/>
        </w:rPr>
        <w:t xml:space="preserve"> </w:t>
      </w:r>
      <w:r w:rsidR="007D2122" w:rsidRPr="004D701A">
        <w:rPr>
          <w:rFonts w:ascii="Tahoma" w:hAnsi="Tahoma" w:cs="Tahoma"/>
          <w:sz w:val="24"/>
          <w:szCs w:val="24"/>
        </w:rPr>
        <w:t>t</w:t>
      </w:r>
      <w:r w:rsidR="00C52FEE" w:rsidRPr="004D701A">
        <w:rPr>
          <w:rFonts w:ascii="Tahoma" w:hAnsi="Tahoma" w:cs="Tahoma"/>
          <w:sz w:val="24"/>
          <w:szCs w:val="24"/>
        </w:rPr>
        <w:t xml:space="preserve">iene </w:t>
      </w:r>
      <w:r w:rsidR="007D2122" w:rsidRPr="004D701A">
        <w:rPr>
          <w:rFonts w:ascii="Tahoma" w:hAnsi="Tahoma" w:cs="Tahoma"/>
          <w:sz w:val="24"/>
          <w:szCs w:val="24"/>
        </w:rPr>
        <w:t xml:space="preserve">efectos </w:t>
      </w:r>
      <w:r w:rsidR="00C52FEE" w:rsidRPr="004D701A">
        <w:rPr>
          <w:rFonts w:ascii="Tahoma" w:hAnsi="Tahoma" w:cs="Tahoma"/>
          <w:sz w:val="24"/>
          <w:szCs w:val="24"/>
        </w:rPr>
        <w:t>en e</w:t>
      </w:r>
      <w:r w:rsidR="00C86EE6" w:rsidRPr="004D701A">
        <w:rPr>
          <w:rFonts w:ascii="Tahoma" w:hAnsi="Tahoma" w:cs="Tahoma"/>
          <w:sz w:val="24"/>
          <w:szCs w:val="24"/>
        </w:rPr>
        <w:t xml:space="preserve">l universo de </w:t>
      </w:r>
      <w:r w:rsidR="00111A98" w:rsidRPr="004D701A">
        <w:rPr>
          <w:rFonts w:ascii="Tahoma" w:hAnsi="Tahoma" w:cs="Tahoma"/>
          <w:sz w:val="24"/>
          <w:szCs w:val="24"/>
        </w:rPr>
        <w:t xml:space="preserve">las </w:t>
      </w:r>
      <w:r w:rsidR="00C86EE6" w:rsidRPr="004D701A">
        <w:rPr>
          <w:rFonts w:ascii="Tahoma" w:hAnsi="Tahoma" w:cs="Tahoma"/>
          <w:sz w:val="24"/>
          <w:szCs w:val="24"/>
        </w:rPr>
        <w:t>entidades que intervienen, directa o indirectamente, en la consolidación, reconocimiento y pago de la garantía pensional</w:t>
      </w:r>
      <w:r w:rsidR="00D81B9E" w:rsidRPr="004D701A">
        <w:rPr>
          <w:rFonts w:ascii="Tahoma" w:hAnsi="Tahoma" w:cs="Tahoma"/>
          <w:sz w:val="24"/>
          <w:szCs w:val="24"/>
        </w:rPr>
        <w:t>. Sobre algunas de estas consecuencias explicó la Corte:</w:t>
      </w:r>
    </w:p>
    <w:p w14:paraId="0F409983" w14:textId="3C4DEB7D" w:rsidR="00D81B9E" w:rsidRPr="004D701A" w:rsidRDefault="00D81B9E" w:rsidP="004D701A">
      <w:pPr>
        <w:spacing w:line="276" w:lineRule="auto"/>
        <w:rPr>
          <w:rFonts w:ascii="Tahoma" w:hAnsi="Tahoma" w:cs="Tahoma"/>
          <w:sz w:val="24"/>
          <w:szCs w:val="24"/>
        </w:rPr>
      </w:pPr>
    </w:p>
    <w:p w14:paraId="144FFD65" w14:textId="56706076" w:rsidR="00D81B9E" w:rsidRPr="0001284E" w:rsidRDefault="00C35899" w:rsidP="0001284E">
      <w:pPr>
        <w:spacing w:line="240" w:lineRule="auto"/>
        <w:ind w:left="426" w:right="420" w:firstLine="0"/>
        <w:rPr>
          <w:rFonts w:ascii="Tahoma" w:hAnsi="Tahoma" w:cs="Tahoma"/>
          <w:szCs w:val="24"/>
        </w:rPr>
      </w:pPr>
      <w:r w:rsidRPr="0001284E">
        <w:rPr>
          <w:rFonts w:ascii="Tahoma" w:hAnsi="Tahoma" w:cs="Tahoma"/>
          <w:szCs w:val="24"/>
        </w:rPr>
        <w:t>“</w:t>
      </w:r>
      <w:r w:rsidR="00D81B9E" w:rsidRPr="0001284E">
        <w:rPr>
          <w:rFonts w:ascii="Tahoma" w:hAnsi="Tahoma" w:cs="Tahoma"/>
          <w:szCs w:val="24"/>
        </w:rPr>
        <w:t xml:space="preserve">Desde el punto de vista de los bonos pensionales, puede ocurrir que se haya pagado el cupón principal por el emisor y las cuotas partes por los contribuyentes </w:t>
      </w:r>
      <w:r w:rsidR="00D81B9E" w:rsidRPr="0001284E">
        <w:rPr>
          <w:rFonts w:ascii="Tahoma" w:hAnsi="Tahoma" w:cs="Tahoma"/>
          <w:i/>
          <w:iCs/>
          <w:szCs w:val="24"/>
        </w:rPr>
        <w:t xml:space="preserve">y, además, </w:t>
      </w:r>
      <w:r w:rsidR="00D81B9E" w:rsidRPr="0001284E">
        <w:rPr>
          <w:rFonts w:ascii="Tahoma" w:hAnsi="Tahoma" w:cs="Tahoma"/>
          <w:szCs w:val="24"/>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0521F6C7" w14:textId="0304EEF0" w:rsidR="00D81B9E" w:rsidRPr="0001284E" w:rsidRDefault="00D81B9E" w:rsidP="0001284E">
      <w:pPr>
        <w:spacing w:line="240" w:lineRule="auto"/>
        <w:ind w:left="426" w:right="420" w:firstLine="0"/>
        <w:rPr>
          <w:rFonts w:ascii="Tahoma" w:hAnsi="Tahoma" w:cs="Tahoma"/>
          <w:szCs w:val="24"/>
        </w:rPr>
      </w:pPr>
    </w:p>
    <w:p w14:paraId="7CCB2262" w14:textId="30317392" w:rsidR="00EF7863" w:rsidRPr="0001284E" w:rsidRDefault="00D81B9E" w:rsidP="0001284E">
      <w:pPr>
        <w:spacing w:line="240" w:lineRule="auto"/>
        <w:ind w:left="426" w:right="420" w:firstLine="0"/>
        <w:rPr>
          <w:rFonts w:ascii="Tahoma" w:hAnsi="Tahoma" w:cs="Tahoma"/>
          <w:szCs w:val="24"/>
        </w:rPr>
      </w:pPr>
      <w:r w:rsidRPr="0001284E">
        <w:rPr>
          <w:rFonts w:ascii="Tahoma" w:hAnsi="Tahoma" w:cs="Tahoma"/>
          <w:szCs w:val="24"/>
        </w:rPr>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60DA5995" w14:textId="33AB8152" w:rsidR="00D81B9E" w:rsidRPr="0001284E" w:rsidRDefault="00D81B9E" w:rsidP="0001284E">
      <w:pPr>
        <w:spacing w:line="240" w:lineRule="auto"/>
        <w:ind w:left="426" w:right="420" w:firstLine="0"/>
        <w:rPr>
          <w:rFonts w:ascii="Tahoma" w:hAnsi="Tahoma" w:cs="Tahoma"/>
          <w:szCs w:val="24"/>
        </w:rPr>
      </w:pPr>
    </w:p>
    <w:p w14:paraId="6B1894A8" w14:textId="598A7445" w:rsidR="00D81B9E" w:rsidRPr="0001284E" w:rsidRDefault="00D81B9E" w:rsidP="0001284E">
      <w:pPr>
        <w:spacing w:line="240" w:lineRule="auto"/>
        <w:ind w:left="426" w:right="420" w:firstLine="0"/>
        <w:rPr>
          <w:rFonts w:ascii="Tahoma" w:hAnsi="Tahoma" w:cs="Tahoma"/>
          <w:szCs w:val="24"/>
        </w:rPr>
      </w:pPr>
      <w:r w:rsidRPr="0001284E">
        <w:rPr>
          <w:rFonts w:ascii="Tahoma" w:hAnsi="Tahoma" w:cs="Tahoma"/>
          <w:szCs w:val="24"/>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2F9B6BFC" w14:textId="77777777" w:rsidR="00D81B9E" w:rsidRPr="0001284E" w:rsidRDefault="00D81B9E" w:rsidP="0001284E">
      <w:pPr>
        <w:spacing w:line="240" w:lineRule="auto"/>
        <w:ind w:left="426" w:right="420" w:firstLine="0"/>
        <w:rPr>
          <w:rFonts w:ascii="Tahoma" w:hAnsi="Tahoma" w:cs="Tahoma"/>
          <w:szCs w:val="24"/>
        </w:rPr>
      </w:pPr>
    </w:p>
    <w:p w14:paraId="290BCF11" w14:textId="119A5395" w:rsidR="00D81B9E" w:rsidRPr="0001284E" w:rsidRDefault="00D81B9E" w:rsidP="0001284E">
      <w:pPr>
        <w:spacing w:line="240" w:lineRule="auto"/>
        <w:ind w:left="426" w:right="420" w:firstLine="0"/>
        <w:rPr>
          <w:rFonts w:ascii="Tahoma" w:hAnsi="Tahoma" w:cs="Tahoma"/>
          <w:szCs w:val="24"/>
        </w:rPr>
      </w:pPr>
      <w:r w:rsidRPr="0001284E">
        <w:rPr>
          <w:rFonts w:ascii="Tahoma" w:hAnsi="Tahoma" w:cs="Tahoma"/>
          <w:szCs w:val="24"/>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6885368B" w14:textId="77777777" w:rsidR="00D81B9E" w:rsidRPr="0001284E" w:rsidRDefault="00D81B9E" w:rsidP="0001284E">
      <w:pPr>
        <w:spacing w:line="240" w:lineRule="auto"/>
        <w:ind w:left="426" w:right="420" w:firstLine="0"/>
        <w:rPr>
          <w:rFonts w:ascii="Tahoma" w:hAnsi="Tahoma" w:cs="Tahoma"/>
          <w:szCs w:val="24"/>
        </w:rPr>
      </w:pPr>
    </w:p>
    <w:p w14:paraId="7193A2A8" w14:textId="1404A77D" w:rsidR="00D81B9E" w:rsidRPr="0001284E" w:rsidRDefault="00D81B9E" w:rsidP="0001284E">
      <w:pPr>
        <w:spacing w:line="240" w:lineRule="auto"/>
        <w:ind w:left="426" w:right="420" w:firstLine="0"/>
        <w:rPr>
          <w:rFonts w:ascii="Tahoma" w:hAnsi="Tahoma" w:cs="Tahoma"/>
          <w:szCs w:val="24"/>
        </w:rPr>
      </w:pPr>
      <w:r w:rsidRPr="0001284E">
        <w:rPr>
          <w:rFonts w:ascii="Tahoma" w:hAnsi="Tahoma" w:cs="Tahoma"/>
          <w:szCs w:val="24"/>
        </w:rPr>
        <w:t xml:space="preserve">Si se trata de una garantía de pensión mínima, volver las cosas a su estado anterior, implicaría dejar sin piso los actos administrativos que mediaron en el reconocimiento </w:t>
      </w:r>
      <w:r w:rsidRPr="0001284E">
        <w:rPr>
          <w:rFonts w:ascii="Tahoma" w:hAnsi="Tahoma" w:cs="Tahoma"/>
          <w:szCs w:val="24"/>
        </w:rPr>
        <w:lastRenderedPageBreak/>
        <w:t xml:space="preserve">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4F031BDE" w14:textId="77777777" w:rsidR="00D81B9E" w:rsidRPr="0001284E" w:rsidRDefault="00D81B9E" w:rsidP="0001284E">
      <w:pPr>
        <w:spacing w:line="240" w:lineRule="auto"/>
        <w:ind w:left="426" w:right="420" w:firstLine="0"/>
        <w:rPr>
          <w:rFonts w:ascii="Tahoma" w:hAnsi="Tahoma" w:cs="Tahoma"/>
          <w:szCs w:val="24"/>
        </w:rPr>
      </w:pPr>
    </w:p>
    <w:p w14:paraId="49059EF7" w14:textId="651BC8B9" w:rsidR="005F4EE1" w:rsidRPr="0001284E" w:rsidRDefault="00D81B9E" w:rsidP="0001284E">
      <w:pPr>
        <w:spacing w:line="240" w:lineRule="auto"/>
        <w:ind w:left="426" w:right="420" w:firstLine="0"/>
        <w:rPr>
          <w:rFonts w:ascii="Tahoma" w:hAnsi="Tahoma" w:cs="Tahoma"/>
          <w:szCs w:val="24"/>
        </w:rPr>
      </w:pPr>
      <w:r w:rsidRPr="0001284E">
        <w:rPr>
          <w:rFonts w:ascii="Tahoma" w:hAnsi="Tahoma" w:cs="Tahoma"/>
          <w:szCs w:val="24"/>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r w:rsidR="00C35899" w:rsidRPr="0001284E">
        <w:rPr>
          <w:rFonts w:ascii="Tahoma" w:hAnsi="Tahoma" w:cs="Tahoma"/>
          <w:szCs w:val="24"/>
        </w:rPr>
        <w:t>”</w:t>
      </w:r>
      <w:r w:rsidRPr="0001284E">
        <w:rPr>
          <w:rFonts w:ascii="Tahoma" w:hAnsi="Tahoma" w:cs="Tahoma"/>
          <w:szCs w:val="24"/>
        </w:rPr>
        <w:t>.</w:t>
      </w:r>
    </w:p>
    <w:p w14:paraId="4E7F9164" w14:textId="19DCDD1A" w:rsidR="00D81B9E" w:rsidRPr="004D701A" w:rsidRDefault="00D81B9E" w:rsidP="004D701A">
      <w:pPr>
        <w:spacing w:line="276" w:lineRule="auto"/>
        <w:ind w:left="709" w:right="618" w:firstLine="0"/>
        <w:rPr>
          <w:rFonts w:ascii="Tahoma" w:hAnsi="Tahoma" w:cs="Tahoma"/>
          <w:sz w:val="24"/>
          <w:szCs w:val="24"/>
        </w:rPr>
      </w:pPr>
    </w:p>
    <w:p w14:paraId="3C7F62B0" w14:textId="1DAFAF41" w:rsidR="00062A9C" w:rsidRPr="004D701A" w:rsidRDefault="00D81B9E" w:rsidP="004D701A">
      <w:pPr>
        <w:spacing w:line="276" w:lineRule="auto"/>
        <w:ind w:right="618"/>
        <w:rPr>
          <w:rFonts w:ascii="Tahoma" w:hAnsi="Tahoma" w:cs="Tahoma"/>
          <w:sz w:val="24"/>
          <w:szCs w:val="24"/>
        </w:rPr>
      </w:pPr>
      <w:r w:rsidRPr="004D701A">
        <w:rPr>
          <w:rFonts w:ascii="Tahoma" w:hAnsi="Tahoma" w:cs="Tahoma"/>
          <w:sz w:val="24"/>
          <w:szCs w:val="24"/>
        </w:rPr>
        <w:t>Pese a lo anterior, señaló el alto Tribunal que la persona que</w:t>
      </w:r>
      <w:r w:rsidR="00A4332A" w:rsidRPr="004D701A">
        <w:rPr>
          <w:rFonts w:ascii="Tahoma" w:hAnsi="Tahoma" w:cs="Tahoma"/>
          <w:sz w:val="24"/>
          <w:szCs w:val="24"/>
        </w:rPr>
        <w:t>, habiendo sido pensionad</w:t>
      </w:r>
      <w:r w:rsidR="00062A9C" w:rsidRPr="004D701A">
        <w:rPr>
          <w:rFonts w:ascii="Tahoma" w:hAnsi="Tahoma" w:cs="Tahoma"/>
          <w:sz w:val="24"/>
          <w:szCs w:val="24"/>
        </w:rPr>
        <w:t>a en el RAIS, considerara afectado su patrimonio al estimar que su traslado no estuvo precedido de un consentimiento informado, cuenta con herramientas para procurar su resarcimiento. En estos términos expuso su postura:</w:t>
      </w:r>
    </w:p>
    <w:p w14:paraId="77E31F6F" w14:textId="5F39E8D2" w:rsidR="00062A9C" w:rsidRPr="004D701A" w:rsidRDefault="00062A9C" w:rsidP="004D701A">
      <w:pPr>
        <w:spacing w:line="276" w:lineRule="auto"/>
        <w:ind w:right="618"/>
        <w:rPr>
          <w:rFonts w:ascii="Tahoma" w:hAnsi="Tahoma" w:cs="Tahoma"/>
          <w:sz w:val="24"/>
          <w:szCs w:val="24"/>
        </w:rPr>
      </w:pPr>
    </w:p>
    <w:p w14:paraId="6D435759" w14:textId="085A1CB1" w:rsidR="00062A9C" w:rsidRPr="0001284E" w:rsidRDefault="00C35899" w:rsidP="0001284E">
      <w:pPr>
        <w:spacing w:line="240" w:lineRule="auto"/>
        <w:ind w:left="426" w:right="420" w:firstLine="0"/>
        <w:rPr>
          <w:rFonts w:ascii="Tahoma" w:hAnsi="Tahoma" w:cs="Tahoma"/>
          <w:szCs w:val="24"/>
        </w:rPr>
      </w:pPr>
      <w:r w:rsidRPr="0001284E">
        <w:rPr>
          <w:rFonts w:ascii="Tahoma" w:hAnsi="Tahoma" w:cs="Tahoma"/>
          <w:szCs w:val="24"/>
        </w:rPr>
        <w:t>“</w:t>
      </w:r>
      <w:r w:rsidR="00062A9C" w:rsidRPr="0001284E">
        <w:rPr>
          <w:rFonts w:ascii="Tahoma" w:hAnsi="Tahoma" w:cs="Tahoma"/>
          <w:szCs w:val="24"/>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56F09EB1" w14:textId="77777777" w:rsidR="00062A9C" w:rsidRPr="0001284E" w:rsidRDefault="00062A9C" w:rsidP="0001284E">
      <w:pPr>
        <w:spacing w:line="240" w:lineRule="auto"/>
        <w:ind w:left="426" w:right="420" w:firstLine="0"/>
        <w:rPr>
          <w:rFonts w:ascii="Tahoma" w:hAnsi="Tahoma" w:cs="Tahoma"/>
          <w:szCs w:val="24"/>
        </w:rPr>
      </w:pPr>
    </w:p>
    <w:p w14:paraId="00309F88" w14:textId="1CC4EB5C" w:rsidR="00062A9C" w:rsidRPr="0001284E" w:rsidRDefault="00062A9C" w:rsidP="0001284E">
      <w:pPr>
        <w:spacing w:line="240" w:lineRule="auto"/>
        <w:ind w:left="426" w:right="420" w:firstLine="0"/>
        <w:rPr>
          <w:rFonts w:ascii="Tahoma" w:hAnsi="Tahoma" w:cs="Tahoma"/>
          <w:szCs w:val="24"/>
        </w:rPr>
      </w:pPr>
      <w:r w:rsidRPr="0001284E">
        <w:rPr>
          <w:rFonts w:ascii="Tahoma" w:hAnsi="Tahoma" w:cs="Tahoma"/>
          <w:szCs w:val="24"/>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4985E5B7" w14:textId="77777777" w:rsidR="00062A9C" w:rsidRPr="0001284E" w:rsidRDefault="00062A9C" w:rsidP="0001284E">
      <w:pPr>
        <w:spacing w:line="240" w:lineRule="auto"/>
        <w:ind w:left="426" w:right="420" w:firstLine="0"/>
        <w:rPr>
          <w:rFonts w:ascii="Tahoma" w:hAnsi="Tahoma" w:cs="Tahoma"/>
          <w:szCs w:val="24"/>
        </w:rPr>
      </w:pPr>
    </w:p>
    <w:p w14:paraId="491AE571" w14:textId="26993E73" w:rsidR="00D81B9E" w:rsidRPr="0001284E" w:rsidRDefault="00062A9C" w:rsidP="0001284E">
      <w:pPr>
        <w:spacing w:line="240" w:lineRule="auto"/>
        <w:ind w:left="426" w:right="420" w:firstLine="0"/>
        <w:rPr>
          <w:rFonts w:ascii="Tahoma" w:hAnsi="Tahoma" w:cs="Tahoma"/>
          <w:szCs w:val="24"/>
        </w:rPr>
      </w:pPr>
      <w:r w:rsidRPr="0001284E">
        <w:rPr>
          <w:rFonts w:ascii="Tahoma" w:hAnsi="Tahoma" w:cs="Tahoma"/>
          <w:szCs w:val="24"/>
        </w:rPr>
        <w:t>En la medida que el daño es perceptible o apreciable en toda su magnitud desde el momento en que se tiene la calidad de pensionado, el término de prescripción de la acción debe contarse desde este momento</w:t>
      </w:r>
      <w:r w:rsidR="00C35899" w:rsidRPr="0001284E">
        <w:rPr>
          <w:rFonts w:ascii="Tahoma" w:hAnsi="Tahoma" w:cs="Tahoma"/>
          <w:szCs w:val="24"/>
        </w:rPr>
        <w:t>”</w:t>
      </w:r>
      <w:r w:rsidRPr="0001284E">
        <w:rPr>
          <w:rFonts w:ascii="Tahoma" w:hAnsi="Tahoma" w:cs="Tahoma"/>
          <w:szCs w:val="24"/>
        </w:rPr>
        <w:t>.</w:t>
      </w:r>
    </w:p>
    <w:p w14:paraId="38FB46F7" w14:textId="0D653CAA" w:rsidR="00C35899" w:rsidRPr="004D701A" w:rsidRDefault="00C35899" w:rsidP="004D701A">
      <w:pPr>
        <w:spacing w:line="276" w:lineRule="auto"/>
        <w:ind w:right="618"/>
        <w:rPr>
          <w:rFonts w:ascii="Tahoma" w:hAnsi="Tahoma" w:cs="Tahoma"/>
          <w:sz w:val="24"/>
          <w:szCs w:val="24"/>
        </w:rPr>
      </w:pPr>
    </w:p>
    <w:p w14:paraId="672D3DA1" w14:textId="05B3CFDC" w:rsidR="00687DE4" w:rsidRPr="004D701A" w:rsidRDefault="00687DE4" w:rsidP="004D701A">
      <w:pPr>
        <w:spacing w:line="276" w:lineRule="auto"/>
        <w:rPr>
          <w:rFonts w:ascii="Tahoma" w:hAnsi="Tahoma" w:cs="Tahoma"/>
          <w:sz w:val="24"/>
          <w:szCs w:val="24"/>
        </w:rPr>
      </w:pPr>
      <w:r w:rsidRPr="004D701A">
        <w:rPr>
          <w:rFonts w:ascii="Tahoma" w:hAnsi="Tahoma" w:cs="Tahoma"/>
          <w:sz w:val="24"/>
          <w:szCs w:val="24"/>
        </w:rPr>
        <w:t xml:space="preserve">Esta postura fue adoptada por la presente Sala de </w:t>
      </w:r>
      <w:r w:rsidR="000D0C9A" w:rsidRPr="004D701A">
        <w:rPr>
          <w:rFonts w:ascii="Tahoma" w:hAnsi="Tahoma" w:cs="Tahoma"/>
          <w:sz w:val="24"/>
          <w:szCs w:val="24"/>
        </w:rPr>
        <w:t xml:space="preserve">Decisión </w:t>
      </w:r>
      <w:r w:rsidRPr="004D701A">
        <w:rPr>
          <w:rFonts w:ascii="Tahoma" w:hAnsi="Tahoma" w:cs="Tahoma"/>
          <w:sz w:val="24"/>
          <w:szCs w:val="24"/>
        </w:rPr>
        <w:t>en sentencia del 8 de marzo de 2021, radicado 2017-00577, con ponencia de quien aquí cumple igual encargo, variando la tesis que venía sosteniendo hasta la fecha respecto de la viabilidad de la ineficacia de traslado de personas pensionadas.</w:t>
      </w:r>
    </w:p>
    <w:p w14:paraId="5ABFDBEF" w14:textId="77777777" w:rsidR="00EA3958" w:rsidRPr="004D701A" w:rsidRDefault="00EA3958" w:rsidP="004D701A">
      <w:pPr>
        <w:spacing w:line="276" w:lineRule="auto"/>
        <w:ind w:right="618"/>
        <w:rPr>
          <w:rFonts w:ascii="Tahoma" w:hAnsi="Tahoma" w:cs="Tahoma"/>
          <w:sz w:val="24"/>
          <w:szCs w:val="24"/>
        </w:rPr>
      </w:pPr>
    </w:p>
    <w:p w14:paraId="77B04D02" w14:textId="77777777" w:rsidR="005F4EE1" w:rsidRPr="004D701A" w:rsidRDefault="005F4EE1" w:rsidP="004D701A">
      <w:pPr>
        <w:pStyle w:val="Prrafodelista"/>
        <w:numPr>
          <w:ilvl w:val="1"/>
          <w:numId w:val="7"/>
        </w:numPr>
        <w:spacing w:line="276" w:lineRule="auto"/>
        <w:ind w:left="0" w:firstLine="709"/>
        <w:jc w:val="both"/>
        <w:rPr>
          <w:rFonts w:ascii="Tahoma" w:hAnsi="Tahoma" w:cs="Tahoma"/>
          <w:b/>
        </w:rPr>
      </w:pPr>
      <w:r w:rsidRPr="004D701A">
        <w:rPr>
          <w:rFonts w:ascii="Tahoma" w:hAnsi="Tahoma" w:cs="Tahoma"/>
          <w:b/>
        </w:rPr>
        <w:t>Caso concreto</w:t>
      </w:r>
    </w:p>
    <w:p w14:paraId="4187396B" w14:textId="77777777" w:rsidR="005F4EE1" w:rsidRPr="004D701A" w:rsidRDefault="005F4EE1" w:rsidP="004D701A">
      <w:pPr>
        <w:pStyle w:val="xmsonormal"/>
        <w:spacing w:before="0" w:beforeAutospacing="0" w:after="0" w:afterAutospacing="0" w:line="276" w:lineRule="auto"/>
        <w:ind w:left="644"/>
        <w:jc w:val="both"/>
        <w:textAlignment w:val="baseline"/>
        <w:rPr>
          <w:rFonts w:ascii="Tahoma" w:hAnsi="Tahoma" w:cs="Tahoma"/>
        </w:rPr>
      </w:pPr>
    </w:p>
    <w:p w14:paraId="757DC92A" w14:textId="77777777" w:rsidR="003C082F" w:rsidRPr="004D701A" w:rsidRDefault="003C082F" w:rsidP="004D701A">
      <w:pPr>
        <w:spacing w:line="276" w:lineRule="auto"/>
        <w:ind w:right="51" w:firstLine="708"/>
        <w:rPr>
          <w:rFonts w:ascii="Tahoma" w:eastAsia="Times New Roman" w:hAnsi="Tahoma" w:cs="Tahoma"/>
          <w:sz w:val="24"/>
          <w:szCs w:val="24"/>
          <w:lang w:eastAsia="es-ES"/>
        </w:rPr>
      </w:pPr>
      <w:r w:rsidRPr="004D701A">
        <w:rPr>
          <w:rFonts w:ascii="Tahoma" w:eastAsia="Times New Roman" w:hAnsi="Tahoma" w:cs="Tahoma"/>
          <w:sz w:val="24"/>
          <w:szCs w:val="24"/>
          <w:lang w:eastAsia="es-ES"/>
        </w:rPr>
        <w:t>Tal como se desprende de los documentos que obran en el expediente administrativo de la demandante, allegado por Colfondos, quedó plenamente demostrado que ella solicitó el reconocimiento de la pensión de vejez el 26 de junio de 2009, sin embargo, tal prestación le fue negada por cuanto no contaba con el capital suficiente para financiar la prestación.</w:t>
      </w:r>
    </w:p>
    <w:p w14:paraId="759B4C69" w14:textId="77777777" w:rsidR="003C082F" w:rsidRPr="004D701A" w:rsidRDefault="003C082F" w:rsidP="004D701A">
      <w:pPr>
        <w:spacing w:line="276" w:lineRule="auto"/>
        <w:ind w:right="51" w:firstLine="0"/>
        <w:rPr>
          <w:rFonts w:ascii="Tahoma" w:eastAsia="Times New Roman" w:hAnsi="Tahoma" w:cs="Tahoma"/>
          <w:iCs/>
          <w:sz w:val="24"/>
          <w:szCs w:val="24"/>
          <w:lang w:eastAsia="es-ES"/>
        </w:rPr>
      </w:pPr>
    </w:p>
    <w:p w14:paraId="61CF5799" w14:textId="77777777" w:rsidR="003C082F" w:rsidRPr="004D701A" w:rsidRDefault="003C082F" w:rsidP="004D701A">
      <w:pPr>
        <w:spacing w:line="276" w:lineRule="auto"/>
        <w:ind w:right="51" w:firstLine="708"/>
        <w:rPr>
          <w:rFonts w:ascii="Tahoma" w:eastAsia="Times New Roman" w:hAnsi="Tahoma" w:cs="Tahoma"/>
          <w:iCs/>
          <w:sz w:val="24"/>
          <w:szCs w:val="24"/>
          <w:lang w:eastAsia="es-ES"/>
        </w:rPr>
      </w:pPr>
      <w:r w:rsidRPr="004D701A">
        <w:rPr>
          <w:rFonts w:ascii="Tahoma" w:eastAsia="Times New Roman" w:hAnsi="Tahoma" w:cs="Tahoma"/>
          <w:iCs/>
          <w:sz w:val="24"/>
          <w:szCs w:val="24"/>
          <w:lang w:eastAsia="es-ES"/>
        </w:rPr>
        <w:t xml:space="preserve">Es así que, ante tal situación, </w:t>
      </w:r>
      <w:bookmarkStart w:id="2" w:name="_Hlk90455852"/>
      <w:r w:rsidRPr="004D701A">
        <w:rPr>
          <w:rFonts w:ascii="Tahoma" w:eastAsia="Times New Roman" w:hAnsi="Tahoma" w:cs="Tahoma"/>
          <w:iCs/>
          <w:sz w:val="24"/>
          <w:szCs w:val="24"/>
          <w:lang w:eastAsia="es-ES"/>
        </w:rPr>
        <w:t>la señora Londoño Roldan optó por la devolución de saldos y la redención anticipada de su bono pensional ante la imposibilidad de continuar cotizando al sistema, para lo cual, diligenció los documentos necesarios para acceder a dichos beneficios</w:t>
      </w:r>
      <w:bookmarkEnd w:id="2"/>
      <w:r w:rsidRPr="004D701A">
        <w:rPr>
          <w:rFonts w:ascii="Tahoma" w:eastAsia="Times New Roman" w:hAnsi="Tahoma" w:cs="Tahoma"/>
          <w:iCs/>
          <w:sz w:val="24"/>
          <w:szCs w:val="24"/>
          <w:lang w:eastAsia="es-ES"/>
        </w:rPr>
        <w:t>, como lo fue la declaración juramentada.</w:t>
      </w:r>
    </w:p>
    <w:p w14:paraId="6A60615F" w14:textId="77777777" w:rsidR="003C082F" w:rsidRPr="004D701A" w:rsidRDefault="003C082F" w:rsidP="004D701A">
      <w:pPr>
        <w:spacing w:line="276" w:lineRule="auto"/>
        <w:ind w:right="51" w:firstLine="0"/>
        <w:rPr>
          <w:rFonts w:ascii="Tahoma" w:eastAsia="Times New Roman" w:hAnsi="Tahoma" w:cs="Tahoma"/>
          <w:iCs/>
          <w:sz w:val="24"/>
          <w:szCs w:val="24"/>
          <w:lang w:eastAsia="es-ES"/>
        </w:rPr>
      </w:pPr>
    </w:p>
    <w:p w14:paraId="0E845CB8" w14:textId="77777777" w:rsidR="003C082F" w:rsidRPr="004D701A" w:rsidRDefault="003C082F" w:rsidP="004D701A">
      <w:pPr>
        <w:pStyle w:val="Prrafodelista"/>
        <w:spacing w:line="276" w:lineRule="auto"/>
        <w:ind w:left="0" w:firstLine="644"/>
        <w:jc w:val="both"/>
        <w:rPr>
          <w:rFonts w:ascii="Tahoma" w:hAnsi="Tahoma" w:cs="Tahoma"/>
        </w:rPr>
      </w:pPr>
      <w:r w:rsidRPr="004D701A">
        <w:rPr>
          <w:rFonts w:ascii="Tahoma" w:hAnsi="Tahoma" w:cs="Tahoma"/>
        </w:rPr>
        <w:t>Una vez adelantados los respectivos trámites por parte de la AFP ante la Oficina de Bonos Pensionales del Ministerio de Hacienda y Crédito Público, esa cartera ordenó la emisión y pago del bono pensional a favor de la señora Londoño Beltrán, situación que, a su vez, dio pie a que Colfondos S.A. procediera con la respectiva devolución de saldos.</w:t>
      </w:r>
    </w:p>
    <w:p w14:paraId="06E5C535" w14:textId="77777777" w:rsidR="003C082F" w:rsidRPr="004D701A" w:rsidRDefault="003C082F" w:rsidP="004D701A">
      <w:pPr>
        <w:pStyle w:val="Prrafodelista"/>
        <w:spacing w:line="276" w:lineRule="auto"/>
        <w:ind w:left="0" w:firstLine="644"/>
        <w:jc w:val="both"/>
        <w:rPr>
          <w:rFonts w:ascii="Tahoma" w:hAnsi="Tahoma" w:cs="Tahoma"/>
        </w:rPr>
      </w:pPr>
    </w:p>
    <w:p w14:paraId="37CB24DF" w14:textId="1CF6CD2E" w:rsidR="003C082F" w:rsidRDefault="003C082F" w:rsidP="004D701A">
      <w:pPr>
        <w:pStyle w:val="Prrafodelista"/>
        <w:spacing w:line="276" w:lineRule="auto"/>
        <w:ind w:left="0" w:firstLine="644"/>
        <w:jc w:val="both"/>
        <w:rPr>
          <w:rFonts w:ascii="Tahoma" w:hAnsi="Tahoma" w:cs="Tahoma"/>
          <w:lang w:val="es-CO"/>
        </w:rPr>
      </w:pPr>
      <w:r w:rsidRPr="004D701A">
        <w:rPr>
          <w:rFonts w:ascii="Tahoma" w:hAnsi="Tahoma" w:cs="Tahoma"/>
          <w:lang w:val="es-CO"/>
        </w:rPr>
        <w:t>Lo anterior permite concluir que, a las luces del literal b) del artículo 13 de la Ley 100 de 1993 modificado por el artículo 2° de la Ley 797 de 2003, hoy por hoy se encuentra extinto el derecho que tenía la actora, como afiliada al sistema general de pensiones, a movilizarse entre los dos regímenes pensionales que lo conforman, pues su situación jurídica quedó definida y consolidada con ocasión de los actos desplegados por terceros de buena fe.</w:t>
      </w:r>
    </w:p>
    <w:p w14:paraId="432A2E2F" w14:textId="77777777" w:rsidR="0001284E" w:rsidRPr="004D701A" w:rsidRDefault="0001284E" w:rsidP="004D701A">
      <w:pPr>
        <w:pStyle w:val="Prrafodelista"/>
        <w:spacing w:line="276" w:lineRule="auto"/>
        <w:ind w:left="0" w:firstLine="644"/>
        <w:jc w:val="both"/>
        <w:rPr>
          <w:rFonts w:ascii="Tahoma" w:hAnsi="Tahoma" w:cs="Tahoma"/>
          <w:lang w:val="es-CO"/>
        </w:rPr>
      </w:pPr>
    </w:p>
    <w:p w14:paraId="075255B5" w14:textId="77777777" w:rsidR="003C082F" w:rsidRPr="004D701A" w:rsidRDefault="003C082F" w:rsidP="004D701A">
      <w:pPr>
        <w:spacing w:line="276" w:lineRule="auto"/>
        <w:rPr>
          <w:rFonts w:ascii="Tahoma" w:hAnsi="Tahoma" w:cs="Tahoma"/>
          <w:sz w:val="24"/>
          <w:szCs w:val="24"/>
        </w:rPr>
      </w:pPr>
      <w:r w:rsidRPr="004D701A">
        <w:rPr>
          <w:rFonts w:ascii="Tahoma" w:hAnsi="Tahoma" w:cs="Tahoma"/>
          <w:sz w:val="24"/>
          <w:szCs w:val="24"/>
        </w:rPr>
        <w:t>En efecto, la devolución de saldos que se hizo a la demandante correspondía a los recursos de su cuenta de ahorro individual y el bono pensional cuya emisión dependió de la gestión que se adelantara por Colfondos S.A ante la Nación - Ministerio de Hacienda y Crédito Público, así como de la aprobación de la liquidación provisional efectuada por la OBP, por parte de la demandante. Este panorama, en términos de la sentencia traída a colación, imposibilita que se acceda a las pretensiones vertidas en el libelo genitor, siendo del caso aclarar que al no haberse perseguido en el presente proceso la reparación de daño alguno por parte de la parte activa o el reconocimiento de una prestación en cabeza del RAIS, esta instancia carece de facultades oficiosas para pronunciarse sobre ello.</w:t>
      </w:r>
    </w:p>
    <w:p w14:paraId="7CAEBA4C" w14:textId="77777777" w:rsidR="003C082F" w:rsidRPr="004D701A" w:rsidRDefault="003C082F" w:rsidP="004D701A">
      <w:pPr>
        <w:spacing w:line="276" w:lineRule="auto"/>
        <w:ind w:right="51" w:firstLine="0"/>
        <w:rPr>
          <w:rFonts w:ascii="Tahoma" w:eastAsia="Times New Roman" w:hAnsi="Tahoma" w:cs="Tahoma"/>
          <w:iCs/>
          <w:sz w:val="24"/>
          <w:szCs w:val="24"/>
          <w:lang w:eastAsia="es-ES"/>
        </w:rPr>
      </w:pPr>
    </w:p>
    <w:p w14:paraId="562DE2A1" w14:textId="77777777" w:rsidR="003C082F" w:rsidRPr="004D701A" w:rsidRDefault="003C082F" w:rsidP="004D701A">
      <w:pPr>
        <w:spacing w:line="276" w:lineRule="auto"/>
        <w:ind w:right="51" w:firstLine="708"/>
        <w:rPr>
          <w:rFonts w:ascii="Tahoma" w:eastAsia="Times New Roman" w:hAnsi="Tahoma" w:cs="Tahoma"/>
          <w:sz w:val="24"/>
          <w:szCs w:val="24"/>
          <w:lang w:eastAsia="es-ES"/>
        </w:rPr>
      </w:pPr>
      <w:r w:rsidRPr="004D701A">
        <w:rPr>
          <w:rFonts w:ascii="Tahoma" w:eastAsia="Times New Roman" w:hAnsi="Tahoma" w:cs="Tahoma"/>
          <w:sz w:val="24"/>
          <w:szCs w:val="24"/>
          <w:lang w:eastAsia="es-ES"/>
        </w:rPr>
        <w:t>Así las cosas, tal como lo concluyera la Jueza de instancia, es evidente que la demandante ya accedió a uno de los beneficios que ofrece a sus afiliados el RAIS, como lo es la devolución de saldos, incluyendo el valor del bono pensional para lo cual se debió efectuar la redención anticipada del mismo. Obra en el expediente que la demandante optó por la devolución de saldos al no reunir los requisitos para acceder la pensión de vejez ni a una garantía de pensión mínima, lo cual es una característica del RAIS, pues recuérdese que el RAIS y RPM son regímenes coexistentes con marcadas diferencias en las prestaciones que ofrecen y en la forma de acceder a ellas.</w:t>
      </w:r>
    </w:p>
    <w:p w14:paraId="395C1F6B" w14:textId="77777777" w:rsidR="003C082F" w:rsidRPr="004D701A" w:rsidRDefault="003C082F" w:rsidP="004D701A">
      <w:pPr>
        <w:spacing w:line="276" w:lineRule="auto"/>
        <w:ind w:right="51" w:firstLine="0"/>
        <w:rPr>
          <w:rFonts w:ascii="Tahoma" w:eastAsia="Times New Roman" w:hAnsi="Tahoma" w:cs="Tahoma"/>
          <w:sz w:val="24"/>
          <w:szCs w:val="24"/>
          <w:lang w:eastAsia="es-ES"/>
        </w:rPr>
      </w:pPr>
    </w:p>
    <w:p w14:paraId="1E2E190D" w14:textId="77777777" w:rsidR="003C082F" w:rsidRPr="004D701A" w:rsidRDefault="003C082F" w:rsidP="004D701A">
      <w:pPr>
        <w:spacing w:line="276" w:lineRule="auto"/>
        <w:ind w:right="51" w:firstLine="708"/>
        <w:rPr>
          <w:rFonts w:ascii="Tahoma" w:eastAsia="Times New Roman" w:hAnsi="Tahoma" w:cs="Tahoma"/>
          <w:sz w:val="24"/>
          <w:szCs w:val="24"/>
          <w:lang w:eastAsia="es-ES"/>
        </w:rPr>
      </w:pPr>
      <w:r w:rsidRPr="004D701A">
        <w:rPr>
          <w:rFonts w:ascii="Tahoma" w:eastAsia="Times New Roman" w:hAnsi="Tahoma" w:cs="Tahoma"/>
          <w:sz w:val="24"/>
          <w:szCs w:val="24"/>
          <w:lang w:eastAsia="es-ES"/>
        </w:rPr>
        <w:t xml:space="preserve">Por lo anterior al acoger el beneficio de la devolución de saldos, que implicó la manifestación de desafiliación al sistema se configuró un nuevo acto jurídico que le impide instaurar la acción de ineficacia, por haber perdido la calidad de </w:t>
      </w:r>
      <w:r w:rsidRPr="004D701A">
        <w:rPr>
          <w:rFonts w:ascii="Tahoma" w:eastAsia="Times New Roman" w:hAnsi="Tahoma" w:cs="Tahoma"/>
          <w:b/>
          <w:sz w:val="24"/>
          <w:szCs w:val="24"/>
          <w:lang w:eastAsia="es-ES"/>
        </w:rPr>
        <w:t xml:space="preserve">afiliada al régimen de ahorro individual. </w:t>
      </w:r>
    </w:p>
    <w:p w14:paraId="6983BEA5" w14:textId="77777777" w:rsidR="003C082F" w:rsidRPr="004D701A" w:rsidRDefault="003C082F" w:rsidP="004D701A">
      <w:pPr>
        <w:spacing w:line="276" w:lineRule="auto"/>
        <w:ind w:right="51" w:firstLine="0"/>
        <w:rPr>
          <w:rFonts w:ascii="Tahoma" w:eastAsia="Times New Roman" w:hAnsi="Tahoma" w:cs="Tahoma"/>
          <w:sz w:val="24"/>
          <w:szCs w:val="24"/>
          <w:lang w:eastAsia="es-ES"/>
        </w:rPr>
      </w:pPr>
    </w:p>
    <w:p w14:paraId="7E359F3F" w14:textId="443A9E0F" w:rsidR="003C082F" w:rsidRPr="004D701A" w:rsidRDefault="003C082F" w:rsidP="004D701A">
      <w:pPr>
        <w:spacing w:line="276" w:lineRule="auto"/>
        <w:ind w:right="51" w:firstLine="708"/>
        <w:rPr>
          <w:rFonts w:ascii="Tahoma" w:eastAsia="Times New Roman" w:hAnsi="Tahoma" w:cs="Tahoma"/>
          <w:sz w:val="24"/>
          <w:szCs w:val="24"/>
          <w:lang w:eastAsia="es-ES"/>
        </w:rPr>
      </w:pPr>
      <w:r w:rsidRPr="004D701A">
        <w:rPr>
          <w:rFonts w:ascii="Tahoma" w:eastAsia="Times New Roman" w:hAnsi="Tahoma" w:cs="Tahoma"/>
          <w:sz w:val="24"/>
          <w:szCs w:val="24"/>
          <w:lang w:eastAsia="es-ES"/>
        </w:rPr>
        <w:t xml:space="preserve">En suma, considera la Sala, que más que el paso del tiempo o la permanencia de la actora en el RAIS, el hecho de haberse acogido a la devolución de saldos, la inhabilita para pretender ahora la declaratoria de ineficacia del traslado, pues ya se </w:t>
      </w:r>
      <w:r w:rsidRPr="004D701A">
        <w:rPr>
          <w:rFonts w:ascii="Tahoma" w:eastAsia="Times New Roman" w:hAnsi="Tahoma" w:cs="Tahoma"/>
          <w:sz w:val="24"/>
          <w:szCs w:val="24"/>
          <w:lang w:eastAsia="es-ES"/>
        </w:rPr>
        <w:lastRenderedPageBreak/>
        <w:t>cumplió el propósito de su afiliación al sistema, y al abandonar su calidad de afiliada, y retirar todo el capital acumulado, hace imposible ahora pretender que se trasladen unos aportes que ya no están en poder de ninguna de las administradoras de pensiones, y, que por el contrario, hace parte de su propio patrimonio.</w:t>
      </w:r>
    </w:p>
    <w:p w14:paraId="6A2B35E3" w14:textId="77777777" w:rsidR="003C082F" w:rsidRPr="004D701A" w:rsidRDefault="003C082F" w:rsidP="004D701A">
      <w:pPr>
        <w:spacing w:line="276" w:lineRule="auto"/>
        <w:rPr>
          <w:rFonts w:ascii="Tahoma" w:hAnsi="Tahoma" w:cs="Tahoma"/>
          <w:sz w:val="24"/>
          <w:szCs w:val="24"/>
        </w:rPr>
      </w:pPr>
    </w:p>
    <w:p w14:paraId="16BF2500" w14:textId="77777777" w:rsidR="003C082F" w:rsidRPr="004D701A" w:rsidRDefault="003C082F" w:rsidP="004D701A">
      <w:pPr>
        <w:spacing w:line="276" w:lineRule="auto"/>
        <w:rPr>
          <w:rFonts w:ascii="Tahoma" w:hAnsi="Tahoma" w:cs="Tahoma"/>
          <w:sz w:val="24"/>
          <w:szCs w:val="24"/>
        </w:rPr>
      </w:pPr>
      <w:r w:rsidRPr="004D701A">
        <w:rPr>
          <w:rFonts w:ascii="Tahoma" w:hAnsi="Tahoma" w:cs="Tahoma"/>
          <w:sz w:val="24"/>
          <w:szCs w:val="24"/>
        </w:rPr>
        <w:t>Lo hasta aquí esbozado conlleva a la indefectible confirmación de la decisión de primer grado en su integridad.</w:t>
      </w:r>
    </w:p>
    <w:p w14:paraId="3DFB3B2E" w14:textId="77777777" w:rsidR="003C082F" w:rsidRPr="004D701A" w:rsidRDefault="003C082F" w:rsidP="004D701A">
      <w:pPr>
        <w:spacing w:line="276" w:lineRule="auto"/>
        <w:ind w:firstLine="0"/>
        <w:rPr>
          <w:rFonts w:ascii="Tahoma" w:eastAsia="Tahoma" w:hAnsi="Tahoma" w:cs="Tahoma"/>
          <w:sz w:val="24"/>
          <w:szCs w:val="24"/>
        </w:rPr>
      </w:pPr>
      <w:r w:rsidRPr="004D701A">
        <w:rPr>
          <w:rFonts w:ascii="Tahoma" w:eastAsia="Tahoma" w:hAnsi="Tahoma" w:cs="Tahoma"/>
          <w:sz w:val="24"/>
          <w:szCs w:val="24"/>
        </w:rPr>
        <w:tab/>
      </w:r>
    </w:p>
    <w:p w14:paraId="6A1A26CE" w14:textId="77777777" w:rsidR="003C082F" w:rsidRPr="004D701A" w:rsidRDefault="003C082F" w:rsidP="004D701A">
      <w:pPr>
        <w:spacing w:line="276" w:lineRule="auto"/>
        <w:ind w:firstLine="0"/>
        <w:rPr>
          <w:rFonts w:ascii="Tahoma" w:eastAsia="Tahoma" w:hAnsi="Tahoma" w:cs="Tahoma"/>
          <w:sz w:val="24"/>
          <w:szCs w:val="24"/>
        </w:rPr>
      </w:pPr>
      <w:r w:rsidRPr="004D701A">
        <w:rPr>
          <w:rFonts w:ascii="Tahoma" w:eastAsia="Tahoma" w:hAnsi="Tahoma" w:cs="Tahoma"/>
          <w:sz w:val="24"/>
          <w:szCs w:val="24"/>
        </w:rPr>
        <w:tab/>
        <w:t>Las costas en segundas instancias correrán a cargo de la parte demandante y a favor de las demandas en un 100%, las cuales se liquidarán por la secretaría del juzgado de origen.</w:t>
      </w:r>
    </w:p>
    <w:p w14:paraId="084F978A" w14:textId="77777777" w:rsidR="003C082F" w:rsidRPr="004D701A" w:rsidRDefault="003C082F" w:rsidP="004D701A">
      <w:pPr>
        <w:tabs>
          <w:tab w:val="left" w:pos="913"/>
        </w:tabs>
        <w:spacing w:line="276" w:lineRule="auto"/>
        <w:ind w:firstLine="0"/>
        <w:rPr>
          <w:rFonts w:ascii="Tahoma" w:eastAsia="Tahoma" w:hAnsi="Tahoma" w:cs="Tahoma"/>
          <w:sz w:val="24"/>
          <w:szCs w:val="24"/>
        </w:rPr>
      </w:pPr>
      <w:r w:rsidRPr="004D701A">
        <w:rPr>
          <w:rFonts w:ascii="Tahoma" w:eastAsia="Tahoma" w:hAnsi="Tahoma" w:cs="Tahoma"/>
          <w:sz w:val="24"/>
          <w:szCs w:val="24"/>
        </w:rPr>
        <w:tab/>
      </w:r>
    </w:p>
    <w:p w14:paraId="70752F6B" w14:textId="7A335518" w:rsidR="003C082F" w:rsidRPr="004D701A" w:rsidRDefault="0001284E" w:rsidP="004D701A">
      <w:pPr>
        <w:spacing w:line="276" w:lineRule="auto"/>
        <w:ind w:firstLine="708"/>
        <w:rPr>
          <w:rFonts w:ascii="Tahoma" w:eastAsia="Tahoma" w:hAnsi="Tahoma" w:cs="Tahoma"/>
          <w:sz w:val="24"/>
          <w:szCs w:val="24"/>
          <w:lang w:val="es-CO"/>
        </w:rPr>
      </w:pPr>
      <w:r>
        <w:rPr>
          <w:rFonts w:ascii="Tahoma" w:eastAsia="Tahoma" w:hAnsi="Tahoma" w:cs="Tahoma"/>
          <w:sz w:val="24"/>
          <w:szCs w:val="24"/>
          <w:lang w:val="es-CO"/>
        </w:rPr>
        <w:t>(…)</w:t>
      </w:r>
    </w:p>
    <w:p w14:paraId="5AA9151B" w14:textId="77777777" w:rsidR="003C082F" w:rsidRPr="004D701A" w:rsidRDefault="003C082F" w:rsidP="004D701A">
      <w:pPr>
        <w:tabs>
          <w:tab w:val="left" w:pos="913"/>
        </w:tabs>
        <w:spacing w:line="276" w:lineRule="auto"/>
        <w:ind w:firstLine="0"/>
        <w:rPr>
          <w:rFonts w:ascii="Tahoma" w:eastAsia="Tahoma" w:hAnsi="Tahoma" w:cs="Tahoma"/>
          <w:sz w:val="24"/>
          <w:szCs w:val="24"/>
        </w:rPr>
      </w:pPr>
    </w:p>
    <w:p w14:paraId="239B82C1" w14:textId="77777777" w:rsidR="003C082F" w:rsidRPr="004D701A" w:rsidRDefault="003C082F" w:rsidP="004D701A">
      <w:pPr>
        <w:pStyle w:val="Prrafodelista2"/>
        <w:spacing w:after="0"/>
        <w:ind w:left="0" w:firstLine="708"/>
        <w:jc w:val="both"/>
        <w:rPr>
          <w:rFonts w:ascii="Tahoma" w:hAnsi="Tahoma" w:cs="Tahoma"/>
          <w:sz w:val="24"/>
          <w:szCs w:val="24"/>
          <w:lang w:val="es-ES_tradnl"/>
        </w:rPr>
      </w:pPr>
      <w:r w:rsidRPr="004D701A">
        <w:rPr>
          <w:rFonts w:ascii="Tahoma" w:hAnsi="Tahoma" w:cs="Tahoma"/>
          <w:sz w:val="24"/>
          <w:szCs w:val="24"/>
          <w:lang w:val="es-ES_tradnl"/>
        </w:rPr>
        <w:t xml:space="preserve">En mérito de lo expuesto, el </w:t>
      </w:r>
      <w:r w:rsidRPr="004D701A">
        <w:rPr>
          <w:rFonts w:ascii="Tahoma" w:hAnsi="Tahoma" w:cs="Tahoma"/>
          <w:b/>
          <w:sz w:val="24"/>
          <w:szCs w:val="24"/>
          <w:lang w:val="es-ES_tradnl"/>
        </w:rPr>
        <w:t>Tribunal Superior del Distrito Judicial de Pereira - Risaralda, Sala Primera de Decisión Laboral,</w:t>
      </w:r>
      <w:r w:rsidRPr="004D701A">
        <w:rPr>
          <w:rFonts w:ascii="Tahoma" w:hAnsi="Tahoma" w:cs="Tahoma"/>
          <w:sz w:val="24"/>
          <w:szCs w:val="24"/>
          <w:lang w:val="es-ES_tradnl"/>
        </w:rPr>
        <w:t xml:space="preserve"> administrando justicia en nombre de la República y por autoridad de la ley,</w:t>
      </w:r>
    </w:p>
    <w:p w14:paraId="1FF3E6B4" w14:textId="77777777" w:rsidR="003C082F" w:rsidRPr="004D701A" w:rsidRDefault="003C082F" w:rsidP="004D701A">
      <w:pPr>
        <w:pStyle w:val="Prrafodelista2"/>
        <w:spacing w:after="0"/>
        <w:ind w:left="0"/>
        <w:jc w:val="both"/>
        <w:rPr>
          <w:rFonts w:ascii="Tahoma" w:hAnsi="Tahoma" w:cs="Tahoma"/>
          <w:sz w:val="24"/>
          <w:szCs w:val="24"/>
          <w:lang w:val="es-ES_tradnl"/>
        </w:rPr>
      </w:pPr>
    </w:p>
    <w:p w14:paraId="6AE650E5" w14:textId="77777777" w:rsidR="003C082F" w:rsidRPr="004D701A" w:rsidRDefault="003C082F" w:rsidP="004D701A">
      <w:pPr>
        <w:spacing w:line="276" w:lineRule="auto"/>
        <w:jc w:val="center"/>
        <w:rPr>
          <w:rFonts w:ascii="Tahoma" w:hAnsi="Tahoma" w:cs="Tahoma"/>
          <w:b/>
          <w:sz w:val="24"/>
          <w:szCs w:val="24"/>
        </w:rPr>
      </w:pPr>
      <w:r w:rsidRPr="004D701A">
        <w:rPr>
          <w:rFonts w:ascii="Tahoma" w:hAnsi="Tahoma" w:cs="Tahoma"/>
          <w:b/>
          <w:sz w:val="24"/>
          <w:szCs w:val="24"/>
        </w:rPr>
        <w:t>RESUELVE</w:t>
      </w:r>
    </w:p>
    <w:p w14:paraId="646073AE" w14:textId="77777777" w:rsidR="009E7D2A" w:rsidRDefault="009E7D2A" w:rsidP="004D701A">
      <w:pPr>
        <w:spacing w:line="276" w:lineRule="auto"/>
        <w:rPr>
          <w:rFonts w:ascii="Tahoma" w:eastAsia="Times New Roman" w:hAnsi="Tahoma" w:cs="Tahoma"/>
          <w:b/>
          <w:bCs/>
          <w:sz w:val="24"/>
          <w:szCs w:val="24"/>
          <w:lang w:eastAsia="es-ES"/>
        </w:rPr>
      </w:pPr>
    </w:p>
    <w:p w14:paraId="20BA424D" w14:textId="48EDC30C" w:rsidR="003C082F" w:rsidRPr="004D701A" w:rsidRDefault="003C082F" w:rsidP="004D701A">
      <w:pPr>
        <w:spacing w:line="276" w:lineRule="auto"/>
        <w:rPr>
          <w:rFonts w:ascii="Tahoma" w:hAnsi="Tahoma" w:cs="Tahoma"/>
          <w:sz w:val="24"/>
          <w:szCs w:val="24"/>
        </w:rPr>
      </w:pPr>
      <w:r w:rsidRPr="004D701A">
        <w:rPr>
          <w:rFonts w:ascii="Tahoma" w:eastAsia="Times New Roman" w:hAnsi="Tahoma" w:cs="Tahoma"/>
          <w:b/>
          <w:bCs/>
          <w:sz w:val="24"/>
          <w:szCs w:val="24"/>
          <w:lang w:eastAsia="es-ES"/>
        </w:rPr>
        <w:t>PRIMERO:</w:t>
      </w:r>
      <w:r w:rsidRPr="004D701A">
        <w:rPr>
          <w:rFonts w:ascii="Tahoma" w:eastAsia="Times New Roman" w:hAnsi="Tahoma" w:cs="Tahoma"/>
          <w:b/>
          <w:bCs/>
          <w:i/>
          <w:iCs/>
          <w:sz w:val="24"/>
          <w:szCs w:val="24"/>
          <w:lang w:eastAsia="es-ES"/>
        </w:rPr>
        <w:t> </w:t>
      </w:r>
      <w:r w:rsidRPr="004D701A">
        <w:rPr>
          <w:rFonts w:ascii="Tahoma" w:eastAsia="Times New Roman" w:hAnsi="Tahoma" w:cs="Tahoma"/>
          <w:b/>
          <w:bCs/>
          <w:sz w:val="24"/>
          <w:szCs w:val="24"/>
          <w:lang w:eastAsia="es-ES"/>
        </w:rPr>
        <w:t>CONFIRMAR</w:t>
      </w:r>
      <w:r w:rsidRPr="004D701A">
        <w:rPr>
          <w:rFonts w:ascii="Tahoma" w:eastAsia="Times New Roman" w:hAnsi="Tahoma" w:cs="Tahoma"/>
          <w:b/>
          <w:bCs/>
          <w:i/>
          <w:iCs/>
          <w:sz w:val="24"/>
          <w:szCs w:val="24"/>
          <w:lang w:eastAsia="es-ES"/>
        </w:rPr>
        <w:t xml:space="preserve"> </w:t>
      </w:r>
      <w:r w:rsidRPr="004D701A">
        <w:rPr>
          <w:rFonts w:ascii="Tahoma" w:hAnsi="Tahoma" w:cs="Tahoma"/>
          <w:sz w:val="24"/>
          <w:szCs w:val="24"/>
        </w:rPr>
        <w:t>la sentencia proferida por el Juzgado Primero Laboral del Circuito de Pereira el 12 de julio de 2021,</w:t>
      </w:r>
      <w:r w:rsidRPr="004D701A">
        <w:rPr>
          <w:rFonts w:ascii="Tahoma" w:hAnsi="Tahoma" w:cs="Tahoma"/>
          <w:b/>
          <w:bCs/>
          <w:sz w:val="24"/>
          <w:szCs w:val="24"/>
        </w:rPr>
        <w:t xml:space="preserve"> </w:t>
      </w:r>
      <w:r w:rsidRPr="004D701A">
        <w:rPr>
          <w:rFonts w:ascii="Tahoma" w:hAnsi="Tahoma" w:cs="Tahoma"/>
          <w:sz w:val="24"/>
          <w:szCs w:val="24"/>
        </w:rPr>
        <w:t xml:space="preserve">por las razones expuestas en la parte motiva de esta providencia. </w:t>
      </w:r>
    </w:p>
    <w:p w14:paraId="248E4709" w14:textId="77777777" w:rsidR="003C082F" w:rsidRPr="004D701A" w:rsidRDefault="003C082F" w:rsidP="004D701A">
      <w:pPr>
        <w:spacing w:line="276" w:lineRule="auto"/>
        <w:ind w:firstLine="705"/>
        <w:textAlignment w:val="baseline"/>
        <w:rPr>
          <w:rFonts w:ascii="Tahoma" w:hAnsi="Tahoma" w:cs="Tahoma"/>
          <w:sz w:val="24"/>
          <w:szCs w:val="24"/>
        </w:rPr>
      </w:pPr>
    </w:p>
    <w:p w14:paraId="0147ED8E" w14:textId="77777777" w:rsidR="003C082F" w:rsidRPr="004D701A" w:rsidRDefault="003C082F" w:rsidP="004D701A">
      <w:pPr>
        <w:spacing w:line="276" w:lineRule="auto"/>
        <w:ind w:firstLine="705"/>
        <w:textAlignment w:val="baseline"/>
        <w:rPr>
          <w:rFonts w:ascii="Tahoma" w:eastAsia="Tahoma" w:hAnsi="Tahoma" w:cs="Tahoma"/>
          <w:sz w:val="24"/>
          <w:szCs w:val="24"/>
        </w:rPr>
      </w:pPr>
      <w:r w:rsidRPr="004D701A">
        <w:rPr>
          <w:rFonts w:ascii="Tahoma" w:hAnsi="Tahoma" w:cs="Tahoma"/>
          <w:b/>
          <w:bCs/>
          <w:sz w:val="24"/>
          <w:szCs w:val="24"/>
        </w:rPr>
        <w:t xml:space="preserve">SEGUNDO: </w:t>
      </w:r>
      <w:r w:rsidRPr="004D701A">
        <w:rPr>
          <w:rFonts w:ascii="Tahoma" w:eastAsia="Tahoma" w:hAnsi="Tahoma" w:cs="Tahoma"/>
          <w:sz w:val="24"/>
          <w:szCs w:val="24"/>
        </w:rPr>
        <w:t>Costas en segunda instancia a cargo de la demandante y a favor de las demandadas en un 100%. Liquídense por la secretaría del juzgado de origen.</w:t>
      </w:r>
    </w:p>
    <w:p w14:paraId="3F71066D" w14:textId="77777777" w:rsidR="003C082F" w:rsidRPr="004D701A" w:rsidRDefault="003C082F" w:rsidP="004D701A">
      <w:pPr>
        <w:spacing w:line="276" w:lineRule="auto"/>
        <w:ind w:firstLine="705"/>
        <w:textAlignment w:val="baseline"/>
        <w:rPr>
          <w:rFonts w:ascii="Tahoma" w:hAnsi="Tahoma" w:cs="Tahoma"/>
          <w:sz w:val="24"/>
          <w:szCs w:val="24"/>
        </w:rPr>
      </w:pPr>
    </w:p>
    <w:p w14:paraId="6E105305" w14:textId="05669FCB" w:rsidR="003C082F" w:rsidRPr="004D701A" w:rsidRDefault="003C082F" w:rsidP="004D701A">
      <w:pPr>
        <w:spacing w:line="276" w:lineRule="auto"/>
        <w:ind w:firstLine="644"/>
        <w:rPr>
          <w:rFonts w:ascii="Tahoma" w:eastAsia="Calibri" w:hAnsi="Tahoma" w:cs="Tahoma"/>
          <w:sz w:val="24"/>
          <w:szCs w:val="24"/>
        </w:rPr>
      </w:pPr>
      <w:r w:rsidRPr="004D701A">
        <w:rPr>
          <w:rFonts w:ascii="Tahoma" w:hAnsi="Tahoma" w:cs="Tahoma"/>
          <w:b/>
          <w:bCs/>
          <w:sz w:val="24"/>
          <w:szCs w:val="24"/>
        </w:rPr>
        <w:t>TERCERO:</w:t>
      </w:r>
      <w:r w:rsidRPr="004D701A">
        <w:rPr>
          <w:rFonts w:ascii="Tahoma" w:hAnsi="Tahoma" w:cs="Tahoma"/>
          <w:sz w:val="24"/>
          <w:szCs w:val="24"/>
        </w:rPr>
        <w:t xml:space="preserve"> </w:t>
      </w:r>
      <w:r w:rsidR="0001284E" w:rsidRPr="0001284E">
        <w:rPr>
          <w:rFonts w:ascii="Tahoma" w:eastAsia="Calibri" w:hAnsi="Tahoma" w:cs="Tahoma"/>
          <w:bCs/>
          <w:sz w:val="24"/>
          <w:szCs w:val="24"/>
        </w:rPr>
        <w:t>(…)</w:t>
      </w:r>
    </w:p>
    <w:p w14:paraId="034DE0CE" w14:textId="77777777" w:rsidR="003C082F" w:rsidRPr="004D701A" w:rsidRDefault="003C082F" w:rsidP="004D701A">
      <w:pPr>
        <w:spacing w:line="276" w:lineRule="auto"/>
        <w:ind w:firstLine="644"/>
        <w:rPr>
          <w:rFonts w:ascii="Tahoma" w:eastAsia="Calibri" w:hAnsi="Tahoma" w:cs="Tahoma"/>
          <w:sz w:val="24"/>
          <w:szCs w:val="24"/>
        </w:rPr>
      </w:pPr>
    </w:p>
    <w:p w14:paraId="5DB5E739" w14:textId="2318FD2E" w:rsidR="003C082F" w:rsidRPr="004D701A" w:rsidRDefault="003C082F" w:rsidP="004D701A">
      <w:pPr>
        <w:spacing w:line="276" w:lineRule="auto"/>
        <w:ind w:firstLine="644"/>
        <w:rPr>
          <w:rFonts w:ascii="Tahoma" w:eastAsia="Calibri" w:hAnsi="Tahoma" w:cs="Tahoma"/>
          <w:sz w:val="24"/>
          <w:szCs w:val="24"/>
          <w:lang w:val="es-CO"/>
        </w:rPr>
      </w:pPr>
      <w:r w:rsidRPr="004D701A">
        <w:rPr>
          <w:rFonts w:ascii="Tahoma" w:eastAsia="Calibri" w:hAnsi="Tahoma" w:cs="Tahoma"/>
          <w:b/>
          <w:bCs/>
          <w:sz w:val="24"/>
          <w:szCs w:val="24"/>
        </w:rPr>
        <w:t xml:space="preserve">CUARTO: </w:t>
      </w:r>
      <w:r w:rsidR="0001284E" w:rsidRPr="0001284E">
        <w:rPr>
          <w:rFonts w:ascii="Tahoma" w:eastAsia="Calibri" w:hAnsi="Tahoma" w:cs="Tahoma"/>
          <w:bCs/>
          <w:sz w:val="24"/>
          <w:szCs w:val="24"/>
        </w:rPr>
        <w:t>(…)</w:t>
      </w:r>
    </w:p>
    <w:p w14:paraId="5A53AF3D" w14:textId="77777777" w:rsidR="00484FFB" w:rsidRPr="004D701A" w:rsidRDefault="00484FFB" w:rsidP="004D701A">
      <w:pPr>
        <w:spacing w:line="276" w:lineRule="auto"/>
        <w:ind w:firstLine="0"/>
        <w:textAlignment w:val="baseline"/>
        <w:rPr>
          <w:rFonts w:ascii="Tahoma" w:eastAsia="Times New Roman" w:hAnsi="Tahoma" w:cs="Tahoma"/>
          <w:sz w:val="24"/>
          <w:szCs w:val="24"/>
          <w:lang w:val="es-CO" w:eastAsia="es-ES_tradnl"/>
        </w:rPr>
      </w:pPr>
      <w:r w:rsidRPr="004D701A">
        <w:rPr>
          <w:rFonts w:ascii="Tahoma" w:eastAsia="Times New Roman" w:hAnsi="Tahoma" w:cs="Tahoma"/>
          <w:sz w:val="24"/>
          <w:szCs w:val="24"/>
          <w:lang w:val="es-CO" w:eastAsia="es-ES_tradnl"/>
        </w:rPr>
        <w:t> </w:t>
      </w:r>
    </w:p>
    <w:p w14:paraId="6A5E0B8C" w14:textId="77777777" w:rsidR="004D701A" w:rsidRPr="004D701A" w:rsidRDefault="004D701A" w:rsidP="004D701A">
      <w:pPr>
        <w:widowControl w:val="0"/>
        <w:autoSpaceDE w:val="0"/>
        <w:autoSpaceDN w:val="0"/>
        <w:adjustRightInd w:val="0"/>
        <w:spacing w:line="276" w:lineRule="auto"/>
        <w:ind w:firstLine="0"/>
        <w:rPr>
          <w:rFonts w:ascii="Tahoma" w:eastAsia="Times New Roman" w:hAnsi="Tahoma" w:cs="Tahoma"/>
          <w:sz w:val="24"/>
          <w:szCs w:val="24"/>
          <w:lang w:eastAsia="es-ES"/>
        </w:rPr>
      </w:pPr>
      <w:r w:rsidRPr="004D701A">
        <w:rPr>
          <w:rFonts w:ascii="Tahoma" w:eastAsia="Times New Roman" w:hAnsi="Tahoma" w:cs="Tahoma"/>
          <w:sz w:val="24"/>
          <w:szCs w:val="24"/>
          <w:lang w:eastAsia="es-ES"/>
        </w:rPr>
        <w:tab/>
        <w:t>La Magistrada ponente,</w:t>
      </w:r>
    </w:p>
    <w:p w14:paraId="34EDF232"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27713711"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3D5A44EB"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4B12B89F" w14:textId="77777777" w:rsidR="004D701A" w:rsidRPr="004D701A" w:rsidRDefault="004D701A" w:rsidP="004D701A">
      <w:pPr>
        <w:keepNext/>
        <w:spacing w:line="276" w:lineRule="auto"/>
        <w:ind w:firstLine="0"/>
        <w:jc w:val="center"/>
        <w:outlineLvl w:val="2"/>
        <w:rPr>
          <w:rFonts w:ascii="Tahoma" w:eastAsia="Times New Roman" w:hAnsi="Tahoma" w:cs="Tahoma"/>
          <w:b/>
          <w:bCs/>
          <w:sz w:val="24"/>
          <w:szCs w:val="24"/>
          <w:lang w:eastAsia="es-ES"/>
        </w:rPr>
      </w:pPr>
      <w:r w:rsidRPr="004D701A">
        <w:rPr>
          <w:rFonts w:ascii="Tahoma" w:eastAsia="Times New Roman" w:hAnsi="Tahoma" w:cs="Tahoma"/>
          <w:b/>
          <w:bCs/>
          <w:sz w:val="24"/>
          <w:szCs w:val="24"/>
          <w:lang w:eastAsia="es-ES"/>
        </w:rPr>
        <w:t>ANA LUCÍA CAICEDO CALDERÓN</w:t>
      </w:r>
    </w:p>
    <w:p w14:paraId="28419004"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763EC4A3" w14:textId="77777777" w:rsidR="004D701A" w:rsidRPr="004D701A" w:rsidRDefault="004D701A" w:rsidP="004D701A">
      <w:pPr>
        <w:spacing w:line="276" w:lineRule="auto"/>
        <w:ind w:firstLine="708"/>
        <w:jc w:val="left"/>
        <w:rPr>
          <w:rFonts w:ascii="Tahoma" w:eastAsia="Times New Roman" w:hAnsi="Tahoma" w:cs="Tahoma"/>
          <w:sz w:val="24"/>
          <w:szCs w:val="24"/>
          <w:lang w:eastAsia="es-ES"/>
        </w:rPr>
      </w:pPr>
      <w:bookmarkStart w:id="3" w:name="_Hlk62478330"/>
      <w:r w:rsidRPr="004D701A">
        <w:rPr>
          <w:rFonts w:ascii="Tahoma" w:eastAsia="Times New Roman" w:hAnsi="Tahoma" w:cs="Tahoma"/>
          <w:sz w:val="24"/>
          <w:szCs w:val="24"/>
          <w:lang w:eastAsia="es-ES"/>
        </w:rPr>
        <w:t>La Magistrada y el Magistrado,</w:t>
      </w:r>
    </w:p>
    <w:p w14:paraId="610AA397"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7032B3CA"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642847B7" w14:textId="77777777" w:rsidR="004D701A" w:rsidRPr="004D701A" w:rsidRDefault="004D701A" w:rsidP="004D701A">
      <w:pPr>
        <w:spacing w:line="276" w:lineRule="auto"/>
        <w:ind w:firstLine="0"/>
        <w:jc w:val="left"/>
        <w:rPr>
          <w:rFonts w:ascii="Tahoma" w:eastAsia="Times New Roman" w:hAnsi="Tahoma" w:cs="Tahoma"/>
          <w:sz w:val="24"/>
          <w:szCs w:val="24"/>
          <w:lang w:eastAsia="es-ES"/>
        </w:rPr>
      </w:pPr>
    </w:p>
    <w:p w14:paraId="2DF9830F" w14:textId="4C12497F" w:rsidR="00CE5BB7" w:rsidRPr="004D701A" w:rsidRDefault="004D701A" w:rsidP="004D701A">
      <w:pPr>
        <w:spacing w:line="276" w:lineRule="auto"/>
        <w:ind w:firstLine="0"/>
        <w:rPr>
          <w:rFonts w:ascii="Tahoma" w:eastAsia="Times New Roman" w:hAnsi="Tahoma" w:cs="Tahoma"/>
          <w:b/>
          <w:bCs/>
          <w:sz w:val="24"/>
          <w:szCs w:val="24"/>
          <w:lang w:eastAsia="es-ES"/>
        </w:rPr>
      </w:pPr>
      <w:r w:rsidRPr="004D701A">
        <w:rPr>
          <w:rFonts w:ascii="Tahoma" w:eastAsia="Times New Roman" w:hAnsi="Tahoma" w:cs="Tahoma"/>
          <w:b/>
          <w:bCs/>
          <w:sz w:val="24"/>
          <w:szCs w:val="24"/>
          <w:lang w:eastAsia="es-ES"/>
        </w:rPr>
        <w:t>GERMÁN DARÍO GÓEZ VINASCO</w:t>
      </w:r>
      <w:bookmarkEnd w:id="3"/>
      <w:r w:rsidRPr="004D701A">
        <w:rPr>
          <w:rFonts w:ascii="Tahoma" w:eastAsia="Times New Roman" w:hAnsi="Tahoma" w:cs="Tahoma"/>
          <w:b/>
          <w:bCs/>
          <w:sz w:val="24"/>
          <w:szCs w:val="24"/>
          <w:lang w:eastAsia="es-ES"/>
        </w:rPr>
        <w:tab/>
      </w:r>
      <w:r w:rsidRPr="004D701A">
        <w:rPr>
          <w:rFonts w:ascii="Tahoma" w:eastAsia="Times New Roman" w:hAnsi="Tahoma" w:cs="Tahoma"/>
          <w:b/>
          <w:bCs/>
          <w:sz w:val="24"/>
          <w:szCs w:val="24"/>
          <w:lang w:eastAsia="es-ES"/>
        </w:rPr>
        <w:tab/>
        <w:t>OLGA LUCÍA HOYOS SEPÚLVEDA</w:t>
      </w:r>
      <w:bookmarkStart w:id="4" w:name="_GoBack"/>
      <w:bookmarkEnd w:id="4"/>
    </w:p>
    <w:sectPr w:rsidR="00CE5BB7" w:rsidRPr="004D701A" w:rsidSect="009E7D2A">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Extensible w16cex:durableId="00CAB7BA" w16cex:dateUtc="2021-07-28T14:36:52.261Z"/>
  <w16cex:commentExtensible w16cex:durableId="4FF34E0D" w16cex:dateUtc="2021-11-12T13:55:35.6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8188" w14:textId="77777777" w:rsidR="007D2659" w:rsidRDefault="007D2659" w:rsidP="001C5C55">
      <w:pPr>
        <w:spacing w:line="240" w:lineRule="auto"/>
      </w:pPr>
      <w:r>
        <w:separator/>
      </w:r>
    </w:p>
  </w:endnote>
  <w:endnote w:type="continuationSeparator" w:id="0">
    <w:p w14:paraId="178853A7" w14:textId="77777777" w:rsidR="007D2659" w:rsidRDefault="007D2659"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602AD7" w:rsidRDefault="006C1CA4">
        <w:pPr>
          <w:pStyle w:val="Piedepgina"/>
          <w:jc w:val="right"/>
        </w:pPr>
        <w:r w:rsidRPr="004F5ADB">
          <w:rPr>
            <w:rFonts w:ascii="Arial" w:eastAsia="Times New Roman" w:hAnsi="Arial" w:cs="Arial"/>
            <w:sz w:val="18"/>
            <w:szCs w:val="18"/>
            <w:lang w:eastAsia="es-ES"/>
          </w:rPr>
          <w:fldChar w:fldCharType="begin"/>
        </w:r>
        <w:r w:rsidRPr="004F5ADB">
          <w:rPr>
            <w:rFonts w:ascii="Arial" w:eastAsia="Times New Roman" w:hAnsi="Arial" w:cs="Arial"/>
            <w:sz w:val="18"/>
            <w:szCs w:val="18"/>
            <w:lang w:eastAsia="es-ES"/>
          </w:rPr>
          <w:instrText>PAGE   \* MERGEFORMAT</w:instrText>
        </w:r>
        <w:r w:rsidRPr="004F5ADB">
          <w:rPr>
            <w:rFonts w:ascii="Arial" w:eastAsia="Times New Roman" w:hAnsi="Arial" w:cs="Arial"/>
            <w:sz w:val="18"/>
            <w:szCs w:val="18"/>
            <w:lang w:eastAsia="es-ES"/>
          </w:rPr>
          <w:fldChar w:fldCharType="separate"/>
        </w:r>
        <w:r w:rsidRPr="004F5ADB">
          <w:rPr>
            <w:rFonts w:ascii="Arial" w:eastAsia="Times New Roman" w:hAnsi="Arial" w:cs="Arial"/>
            <w:sz w:val="18"/>
            <w:szCs w:val="18"/>
            <w:lang w:eastAsia="es-ES"/>
          </w:rPr>
          <w:t>3</w:t>
        </w:r>
        <w:r w:rsidRPr="004F5ADB">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90D7" w14:textId="77777777" w:rsidR="007D2659" w:rsidRDefault="007D2659" w:rsidP="001C5C55">
      <w:pPr>
        <w:spacing w:line="240" w:lineRule="auto"/>
      </w:pPr>
      <w:r>
        <w:separator/>
      </w:r>
    </w:p>
  </w:footnote>
  <w:footnote w:type="continuationSeparator" w:id="0">
    <w:p w14:paraId="650FF664" w14:textId="77777777" w:rsidR="007D2659" w:rsidRDefault="007D2659"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6BA" w14:textId="64844996" w:rsidR="00024FCB" w:rsidRPr="004F5ADB" w:rsidRDefault="00024FCB" w:rsidP="004F5ADB">
    <w:pPr>
      <w:pStyle w:val="NormalWeb"/>
      <w:spacing w:before="0" w:beforeAutospacing="0" w:after="0" w:afterAutospacing="0"/>
      <w:jc w:val="both"/>
      <w:rPr>
        <w:rFonts w:ascii="Arial" w:hAnsi="Arial" w:cs="Arial"/>
        <w:sz w:val="18"/>
        <w:szCs w:val="18"/>
      </w:rPr>
    </w:pPr>
    <w:r w:rsidRPr="004F5ADB">
      <w:rPr>
        <w:rFonts w:ascii="Arial" w:hAnsi="Arial" w:cs="Arial"/>
        <w:sz w:val="18"/>
        <w:szCs w:val="18"/>
      </w:rPr>
      <w:t>Radicación No.: 66001-31-05-001-2017-00433-01</w:t>
    </w:r>
  </w:p>
  <w:p w14:paraId="5486A44A" w14:textId="46765205" w:rsidR="00024FCB" w:rsidRPr="004F5ADB" w:rsidRDefault="00024FCB" w:rsidP="004F5ADB">
    <w:pPr>
      <w:pStyle w:val="NormalWeb"/>
      <w:spacing w:before="0" w:beforeAutospacing="0" w:after="0" w:afterAutospacing="0"/>
      <w:jc w:val="both"/>
      <w:rPr>
        <w:rFonts w:ascii="Arial" w:hAnsi="Arial" w:cs="Arial"/>
        <w:sz w:val="18"/>
        <w:szCs w:val="18"/>
      </w:rPr>
    </w:pPr>
    <w:r w:rsidRPr="004F5ADB">
      <w:rPr>
        <w:rFonts w:ascii="Arial" w:hAnsi="Arial" w:cs="Arial"/>
        <w:sz w:val="18"/>
        <w:szCs w:val="18"/>
      </w:rPr>
      <w:t xml:space="preserve">Demandante: María Stella Londoño Beltrán </w:t>
    </w:r>
  </w:p>
  <w:p w14:paraId="4C598685" w14:textId="4E59DFEB" w:rsidR="00024FCB" w:rsidRPr="004F5ADB" w:rsidRDefault="00024FCB" w:rsidP="004F5ADB">
    <w:pPr>
      <w:pStyle w:val="NormalWeb"/>
      <w:spacing w:before="0" w:beforeAutospacing="0" w:after="0" w:afterAutospacing="0"/>
      <w:jc w:val="both"/>
      <w:rPr>
        <w:rFonts w:ascii="Arial" w:hAnsi="Arial" w:cs="Arial"/>
        <w:sz w:val="18"/>
        <w:szCs w:val="18"/>
      </w:rPr>
    </w:pPr>
    <w:r w:rsidRPr="004F5ADB">
      <w:rPr>
        <w:rFonts w:ascii="Arial" w:hAnsi="Arial" w:cs="Arial"/>
        <w:sz w:val="18"/>
        <w:szCs w:val="18"/>
      </w:rPr>
      <w:t>Demandado: Colfondos S.A. y Colpensiones</w:t>
    </w:r>
  </w:p>
  <w:p w14:paraId="6611EFB4" w14:textId="45487EE7" w:rsidR="00544E08" w:rsidRPr="004F5ADB" w:rsidRDefault="00024FCB" w:rsidP="004F5ADB">
    <w:pPr>
      <w:pStyle w:val="NormalWeb"/>
      <w:spacing w:before="0" w:beforeAutospacing="0" w:after="0" w:afterAutospacing="0"/>
      <w:jc w:val="both"/>
      <w:rPr>
        <w:rFonts w:ascii="Arial" w:hAnsi="Arial" w:cs="Arial"/>
        <w:sz w:val="18"/>
        <w:szCs w:val="18"/>
      </w:rPr>
    </w:pPr>
    <w:r w:rsidRPr="004F5ADB">
      <w:rPr>
        <w:rFonts w:ascii="Arial" w:hAnsi="Arial" w:cs="Arial"/>
        <w:sz w:val="18"/>
        <w:szCs w:val="18"/>
      </w:rPr>
      <w:t>Vinculados: Ministerio de Hacienda, Oficina de Bonos Pensionales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54BA"/>
    <w:rsid w:val="00005A8C"/>
    <w:rsid w:val="00005D87"/>
    <w:rsid w:val="0001123B"/>
    <w:rsid w:val="0001284E"/>
    <w:rsid w:val="000224A2"/>
    <w:rsid w:val="00024FCB"/>
    <w:rsid w:val="000277FA"/>
    <w:rsid w:val="00036566"/>
    <w:rsid w:val="00036A4A"/>
    <w:rsid w:val="000439EB"/>
    <w:rsid w:val="00047BED"/>
    <w:rsid w:val="000627C8"/>
    <w:rsid w:val="00062A9C"/>
    <w:rsid w:val="00065018"/>
    <w:rsid w:val="00072046"/>
    <w:rsid w:val="00083AA6"/>
    <w:rsid w:val="000A1370"/>
    <w:rsid w:val="000B0BA2"/>
    <w:rsid w:val="000B7630"/>
    <w:rsid w:val="000C29B4"/>
    <w:rsid w:val="000C3829"/>
    <w:rsid w:val="000C41A1"/>
    <w:rsid w:val="000D0C9A"/>
    <w:rsid w:val="000D76AA"/>
    <w:rsid w:val="000E02D9"/>
    <w:rsid w:val="000E4759"/>
    <w:rsid w:val="000F4167"/>
    <w:rsid w:val="000F53E9"/>
    <w:rsid w:val="000F7327"/>
    <w:rsid w:val="00106722"/>
    <w:rsid w:val="00111A98"/>
    <w:rsid w:val="00116069"/>
    <w:rsid w:val="00122A22"/>
    <w:rsid w:val="0013340A"/>
    <w:rsid w:val="001364A3"/>
    <w:rsid w:val="00157CF9"/>
    <w:rsid w:val="0016087A"/>
    <w:rsid w:val="00164C30"/>
    <w:rsid w:val="001754FB"/>
    <w:rsid w:val="00183876"/>
    <w:rsid w:val="00184BE9"/>
    <w:rsid w:val="00196DDD"/>
    <w:rsid w:val="001A39D6"/>
    <w:rsid w:val="001B2D19"/>
    <w:rsid w:val="001C3BB7"/>
    <w:rsid w:val="001C5C55"/>
    <w:rsid w:val="001D10AD"/>
    <w:rsid w:val="001D2E39"/>
    <w:rsid w:val="001D3C29"/>
    <w:rsid w:val="001E1C03"/>
    <w:rsid w:val="00203898"/>
    <w:rsid w:val="00204621"/>
    <w:rsid w:val="00210641"/>
    <w:rsid w:val="00223C74"/>
    <w:rsid w:val="00246C58"/>
    <w:rsid w:val="00251EEC"/>
    <w:rsid w:val="00257723"/>
    <w:rsid w:val="0026352C"/>
    <w:rsid w:val="00270192"/>
    <w:rsid w:val="002830A1"/>
    <w:rsid w:val="002A3355"/>
    <w:rsid w:val="002A5771"/>
    <w:rsid w:val="002B0215"/>
    <w:rsid w:val="002C5830"/>
    <w:rsid w:val="002D4D75"/>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56284"/>
    <w:rsid w:val="003616D4"/>
    <w:rsid w:val="00367CF8"/>
    <w:rsid w:val="0038167C"/>
    <w:rsid w:val="00385DFE"/>
    <w:rsid w:val="00390068"/>
    <w:rsid w:val="00390792"/>
    <w:rsid w:val="00391C11"/>
    <w:rsid w:val="003A0CDB"/>
    <w:rsid w:val="003A3C61"/>
    <w:rsid w:val="003B3515"/>
    <w:rsid w:val="003C082F"/>
    <w:rsid w:val="003C279F"/>
    <w:rsid w:val="003C2E4C"/>
    <w:rsid w:val="003C3A38"/>
    <w:rsid w:val="003C4B26"/>
    <w:rsid w:val="003D4E64"/>
    <w:rsid w:val="003E228C"/>
    <w:rsid w:val="00404E45"/>
    <w:rsid w:val="00405CE8"/>
    <w:rsid w:val="00417207"/>
    <w:rsid w:val="004277EA"/>
    <w:rsid w:val="00435828"/>
    <w:rsid w:val="00436A8B"/>
    <w:rsid w:val="0044364A"/>
    <w:rsid w:val="004477F3"/>
    <w:rsid w:val="00450CAB"/>
    <w:rsid w:val="00452DAE"/>
    <w:rsid w:val="00454677"/>
    <w:rsid w:val="00464B56"/>
    <w:rsid w:val="004662C3"/>
    <w:rsid w:val="00470C75"/>
    <w:rsid w:val="00474B14"/>
    <w:rsid w:val="00476C27"/>
    <w:rsid w:val="00484FFB"/>
    <w:rsid w:val="004922F9"/>
    <w:rsid w:val="004A2300"/>
    <w:rsid w:val="004A23C1"/>
    <w:rsid w:val="004A6EC3"/>
    <w:rsid w:val="004B0D57"/>
    <w:rsid w:val="004B594A"/>
    <w:rsid w:val="004C620A"/>
    <w:rsid w:val="004D0AEA"/>
    <w:rsid w:val="004D20C0"/>
    <w:rsid w:val="004D41D5"/>
    <w:rsid w:val="004D550D"/>
    <w:rsid w:val="004D701A"/>
    <w:rsid w:val="004E03F2"/>
    <w:rsid w:val="004E1066"/>
    <w:rsid w:val="004E6432"/>
    <w:rsid w:val="004F5ADB"/>
    <w:rsid w:val="00501E4E"/>
    <w:rsid w:val="00502F6C"/>
    <w:rsid w:val="00511128"/>
    <w:rsid w:val="00517B6E"/>
    <w:rsid w:val="00531F87"/>
    <w:rsid w:val="00535CB8"/>
    <w:rsid w:val="00535EDC"/>
    <w:rsid w:val="00537FD3"/>
    <w:rsid w:val="00544E08"/>
    <w:rsid w:val="00557579"/>
    <w:rsid w:val="0056261C"/>
    <w:rsid w:val="0057707E"/>
    <w:rsid w:val="005942E7"/>
    <w:rsid w:val="005A4F60"/>
    <w:rsid w:val="005B00AE"/>
    <w:rsid w:val="005B2EAC"/>
    <w:rsid w:val="005B4337"/>
    <w:rsid w:val="005B5980"/>
    <w:rsid w:val="005B788F"/>
    <w:rsid w:val="005B7A03"/>
    <w:rsid w:val="005C01F3"/>
    <w:rsid w:val="005C1484"/>
    <w:rsid w:val="005C5F5A"/>
    <w:rsid w:val="005C6145"/>
    <w:rsid w:val="005D63D2"/>
    <w:rsid w:val="005E6D94"/>
    <w:rsid w:val="005F4AA0"/>
    <w:rsid w:val="005F4EE1"/>
    <w:rsid w:val="006150A1"/>
    <w:rsid w:val="00615AA7"/>
    <w:rsid w:val="00625F92"/>
    <w:rsid w:val="00626C30"/>
    <w:rsid w:val="006332EC"/>
    <w:rsid w:val="00634CA0"/>
    <w:rsid w:val="00640254"/>
    <w:rsid w:val="00641CF1"/>
    <w:rsid w:val="006614D4"/>
    <w:rsid w:val="00662E3D"/>
    <w:rsid w:val="00664440"/>
    <w:rsid w:val="006674C3"/>
    <w:rsid w:val="00674338"/>
    <w:rsid w:val="0067720F"/>
    <w:rsid w:val="00687DE4"/>
    <w:rsid w:val="00696EF5"/>
    <w:rsid w:val="00697009"/>
    <w:rsid w:val="006A33FC"/>
    <w:rsid w:val="006C1C69"/>
    <w:rsid w:val="006C1CA4"/>
    <w:rsid w:val="006C420C"/>
    <w:rsid w:val="006C45BE"/>
    <w:rsid w:val="006C53DE"/>
    <w:rsid w:val="006E4354"/>
    <w:rsid w:val="00701DDF"/>
    <w:rsid w:val="00703932"/>
    <w:rsid w:val="00714427"/>
    <w:rsid w:val="007266D3"/>
    <w:rsid w:val="007345A0"/>
    <w:rsid w:val="0074061C"/>
    <w:rsid w:val="0074537E"/>
    <w:rsid w:val="0075190B"/>
    <w:rsid w:val="00754A65"/>
    <w:rsid w:val="00757410"/>
    <w:rsid w:val="007629BB"/>
    <w:rsid w:val="007665E1"/>
    <w:rsid w:val="007733DA"/>
    <w:rsid w:val="007B2B3C"/>
    <w:rsid w:val="007B2F62"/>
    <w:rsid w:val="007B6843"/>
    <w:rsid w:val="007C5D72"/>
    <w:rsid w:val="007D15EF"/>
    <w:rsid w:val="007D16FA"/>
    <w:rsid w:val="007D2122"/>
    <w:rsid w:val="007D2659"/>
    <w:rsid w:val="007D4116"/>
    <w:rsid w:val="007D4D80"/>
    <w:rsid w:val="007F533D"/>
    <w:rsid w:val="00803C37"/>
    <w:rsid w:val="00804329"/>
    <w:rsid w:val="008043E4"/>
    <w:rsid w:val="00811C4C"/>
    <w:rsid w:val="008172B5"/>
    <w:rsid w:val="00817801"/>
    <w:rsid w:val="00832E72"/>
    <w:rsid w:val="00872605"/>
    <w:rsid w:val="00880CEA"/>
    <w:rsid w:val="00887DAA"/>
    <w:rsid w:val="008B65DA"/>
    <w:rsid w:val="008B720E"/>
    <w:rsid w:val="008C07A8"/>
    <w:rsid w:val="008C1AA5"/>
    <w:rsid w:val="008C2C67"/>
    <w:rsid w:val="008D1D44"/>
    <w:rsid w:val="008D649F"/>
    <w:rsid w:val="008E26FD"/>
    <w:rsid w:val="009134E4"/>
    <w:rsid w:val="0091658D"/>
    <w:rsid w:val="00921E59"/>
    <w:rsid w:val="00926BCA"/>
    <w:rsid w:val="00932D2D"/>
    <w:rsid w:val="009374D2"/>
    <w:rsid w:val="00940225"/>
    <w:rsid w:val="0094370E"/>
    <w:rsid w:val="009449C2"/>
    <w:rsid w:val="009736BB"/>
    <w:rsid w:val="00981055"/>
    <w:rsid w:val="00997C3E"/>
    <w:rsid w:val="009A3DD0"/>
    <w:rsid w:val="009A429D"/>
    <w:rsid w:val="009B15F5"/>
    <w:rsid w:val="009B2618"/>
    <w:rsid w:val="009D2A71"/>
    <w:rsid w:val="009D3462"/>
    <w:rsid w:val="009D4314"/>
    <w:rsid w:val="009E2A5F"/>
    <w:rsid w:val="009E7547"/>
    <w:rsid w:val="009E7D2A"/>
    <w:rsid w:val="009F36AF"/>
    <w:rsid w:val="009F7B32"/>
    <w:rsid w:val="00A00062"/>
    <w:rsid w:val="00A01180"/>
    <w:rsid w:val="00A109A7"/>
    <w:rsid w:val="00A25DF6"/>
    <w:rsid w:val="00A25EF4"/>
    <w:rsid w:val="00A31306"/>
    <w:rsid w:val="00A31755"/>
    <w:rsid w:val="00A3186B"/>
    <w:rsid w:val="00A330F5"/>
    <w:rsid w:val="00A4332A"/>
    <w:rsid w:val="00A457BA"/>
    <w:rsid w:val="00A606EB"/>
    <w:rsid w:val="00A65CC9"/>
    <w:rsid w:val="00A914F1"/>
    <w:rsid w:val="00A9173F"/>
    <w:rsid w:val="00A970CD"/>
    <w:rsid w:val="00A97EFE"/>
    <w:rsid w:val="00AA0DFE"/>
    <w:rsid w:val="00AB12BB"/>
    <w:rsid w:val="00AB577D"/>
    <w:rsid w:val="00AC14FE"/>
    <w:rsid w:val="00AD6905"/>
    <w:rsid w:val="00AD69F4"/>
    <w:rsid w:val="00AE031D"/>
    <w:rsid w:val="00AE218E"/>
    <w:rsid w:val="00AF0DFB"/>
    <w:rsid w:val="00AF232B"/>
    <w:rsid w:val="00AF281E"/>
    <w:rsid w:val="00B026C8"/>
    <w:rsid w:val="00B21822"/>
    <w:rsid w:val="00B311B3"/>
    <w:rsid w:val="00B31E68"/>
    <w:rsid w:val="00B34C40"/>
    <w:rsid w:val="00B37DAE"/>
    <w:rsid w:val="00B40B63"/>
    <w:rsid w:val="00B4550B"/>
    <w:rsid w:val="00B4585E"/>
    <w:rsid w:val="00B52029"/>
    <w:rsid w:val="00B52127"/>
    <w:rsid w:val="00B5237A"/>
    <w:rsid w:val="00B57054"/>
    <w:rsid w:val="00B658A1"/>
    <w:rsid w:val="00B7529D"/>
    <w:rsid w:val="00B76F9A"/>
    <w:rsid w:val="00B77D37"/>
    <w:rsid w:val="00B84779"/>
    <w:rsid w:val="00B86925"/>
    <w:rsid w:val="00B92B88"/>
    <w:rsid w:val="00BA5CFD"/>
    <w:rsid w:val="00BB1392"/>
    <w:rsid w:val="00BC017A"/>
    <w:rsid w:val="00BE2297"/>
    <w:rsid w:val="00BE4F08"/>
    <w:rsid w:val="00C25AFB"/>
    <w:rsid w:val="00C348CA"/>
    <w:rsid w:val="00C35899"/>
    <w:rsid w:val="00C4033B"/>
    <w:rsid w:val="00C41561"/>
    <w:rsid w:val="00C44332"/>
    <w:rsid w:val="00C4759C"/>
    <w:rsid w:val="00C52FEE"/>
    <w:rsid w:val="00C62C5A"/>
    <w:rsid w:val="00C63887"/>
    <w:rsid w:val="00C83682"/>
    <w:rsid w:val="00C86EE6"/>
    <w:rsid w:val="00C87262"/>
    <w:rsid w:val="00C951DD"/>
    <w:rsid w:val="00CC3B5D"/>
    <w:rsid w:val="00CC3E44"/>
    <w:rsid w:val="00CD27AB"/>
    <w:rsid w:val="00CD4331"/>
    <w:rsid w:val="00CD4D64"/>
    <w:rsid w:val="00CE2FDA"/>
    <w:rsid w:val="00CE5BB7"/>
    <w:rsid w:val="00CF022D"/>
    <w:rsid w:val="00CF3177"/>
    <w:rsid w:val="00D1065A"/>
    <w:rsid w:val="00D178CD"/>
    <w:rsid w:val="00D204BC"/>
    <w:rsid w:val="00D21902"/>
    <w:rsid w:val="00D27F60"/>
    <w:rsid w:val="00D31830"/>
    <w:rsid w:val="00D32C4E"/>
    <w:rsid w:val="00D36D7A"/>
    <w:rsid w:val="00D457BA"/>
    <w:rsid w:val="00D6575B"/>
    <w:rsid w:val="00D77E17"/>
    <w:rsid w:val="00D81B9E"/>
    <w:rsid w:val="00D83308"/>
    <w:rsid w:val="00D9364E"/>
    <w:rsid w:val="00D93AA7"/>
    <w:rsid w:val="00DA3BB8"/>
    <w:rsid w:val="00DB0A15"/>
    <w:rsid w:val="00DB7E85"/>
    <w:rsid w:val="00DC2437"/>
    <w:rsid w:val="00DE10F5"/>
    <w:rsid w:val="00DE278E"/>
    <w:rsid w:val="00DE59C4"/>
    <w:rsid w:val="00DE778B"/>
    <w:rsid w:val="00DF5161"/>
    <w:rsid w:val="00E11E21"/>
    <w:rsid w:val="00E23402"/>
    <w:rsid w:val="00E271CB"/>
    <w:rsid w:val="00E40468"/>
    <w:rsid w:val="00E45061"/>
    <w:rsid w:val="00E46EA8"/>
    <w:rsid w:val="00E54DE2"/>
    <w:rsid w:val="00E62322"/>
    <w:rsid w:val="00E72ECB"/>
    <w:rsid w:val="00E9549D"/>
    <w:rsid w:val="00EA3958"/>
    <w:rsid w:val="00EA5E3B"/>
    <w:rsid w:val="00EB096A"/>
    <w:rsid w:val="00EB2616"/>
    <w:rsid w:val="00EC0CF9"/>
    <w:rsid w:val="00EC69D8"/>
    <w:rsid w:val="00ED1C2D"/>
    <w:rsid w:val="00ED2F05"/>
    <w:rsid w:val="00ED51BB"/>
    <w:rsid w:val="00EE1913"/>
    <w:rsid w:val="00EF08E6"/>
    <w:rsid w:val="00EF3A89"/>
    <w:rsid w:val="00EF7863"/>
    <w:rsid w:val="00F00FCD"/>
    <w:rsid w:val="00F01696"/>
    <w:rsid w:val="00F13207"/>
    <w:rsid w:val="00F25B72"/>
    <w:rsid w:val="00F278BC"/>
    <w:rsid w:val="00F40EAE"/>
    <w:rsid w:val="00F41FAB"/>
    <w:rsid w:val="00F4561E"/>
    <w:rsid w:val="00F57790"/>
    <w:rsid w:val="00F615DC"/>
    <w:rsid w:val="00F62803"/>
    <w:rsid w:val="00F71F34"/>
    <w:rsid w:val="00F7367C"/>
    <w:rsid w:val="00F7733C"/>
    <w:rsid w:val="00F8390A"/>
    <w:rsid w:val="00F92BDA"/>
    <w:rsid w:val="00F9407A"/>
    <w:rsid w:val="00FB25CB"/>
    <w:rsid w:val="00FD0597"/>
    <w:rsid w:val="00FE6B56"/>
    <w:rsid w:val="00FF5527"/>
    <w:rsid w:val="00FF5BDF"/>
    <w:rsid w:val="031CF41D"/>
    <w:rsid w:val="03361C7A"/>
    <w:rsid w:val="06F80FC1"/>
    <w:rsid w:val="0C34F152"/>
    <w:rsid w:val="0DE693A3"/>
    <w:rsid w:val="10969FDA"/>
    <w:rsid w:val="1188C906"/>
    <w:rsid w:val="135A2F3B"/>
    <w:rsid w:val="144FFAF1"/>
    <w:rsid w:val="15593ACD"/>
    <w:rsid w:val="161064D8"/>
    <w:rsid w:val="1654B0BD"/>
    <w:rsid w:val="1898C915"/>
    <w:rsid w:val="192B103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DC9651"/>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290BEC4"/>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2441A-2FA6-45AE-9371-C162C64B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39EBE-F2D0-418D-BC93-DE5996E9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4050</Words>
  <Characters>22278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30</cp:revision>
  <dcterms:created xsi:type="dcterms:W3CDTF">2021-07-23T19:46:00Z</dcterms:created>
  <dcterms:modified xsi:type="dcterms:W3CDTF">2021-12-15T15:24:00Z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