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3BC6B8A7" w:rsidR="008E4E97" w:rsidRPr="00671B5E" w:rsidRDefault="008E4E97" w:rsidP="00671B5E">
      <w:pPr>
        <w:pStyle w:val="Puesto"/>
        <w:jc w:val="both"/>
        <w:rPr>
          <w:rFonts w:ascii="Arial" w:hAnsi="Arial" w:cs="Arial"/>
          <w:b w:val="0"/>
          <w:bCs w:val="0"/>
          <w:szCs w:val="18"/>
        </w:rPr>
      </w:pPr>
      <w:r w:rsidRPr="00671B5E">
        <w:rPr>
          <w:rFonts w:ascii="Arial" w:hAnsi="Arial" w:cs="Arial"/>
          <w:b w:val="0"/>
          <w:bCs w:val="0"/>
          <w:szCs w:val="18"/>
        </w:rPr>
        <w:t>Radicación Nro.:</w:t>
      </w:r>
      <w:r w:rsidRPr="00671B5E">
        <w:rPr>
          <w:sz w:val="22"/>
        </w:rPr>
        <w:tab/>
      </w:r>
      <w:r w:rsidR="0012555B" w:rsidRPr="00671B5E">
        <w:rPr>
          <w:rFonts w:ascii="Arial" w:hAnsi="Arial" w:cs="Arial"/>
          <w:b w:val="0"/>
          <w:bCs w:val="0"/>
          <w:szCs w:val="18"/>
        </w:rPr>
        <w:t>660013105</w:t>
      </w:r>
      <w:r w:rsidR="71C4A3B9" w:rsidRPr="00671B5E">
        <w:rPr>
          <w:rFonts w:ascii="Arial" w:hAnsi="Arial" w:cs="Arial"/>
          <w:b w:val="0"/>
          <w:bCs w:val="0"/>
          <w:szCs w:val="18"/>
        </w:rPr>
        <w:t>0</w:t>
      </w:r>
      <w:r w:rsidR="0012555B" w:rsidRPr="00671B5E">
        <w:rPr>
          <w:rFonts w:ascii="Arial" w:hAnsi="Arial" w:cs="Arial"/>
          <w:b w:val="0"/>
          <w:bCs w:val="0"/>
          <w:szCs w:val="18"/>
        </w:rPr>
        <w:t>02201800</w:t>
      </w:r>
      <w:r w:rsidR="0708FCF9" w:rsidRPr="00671B5E">
        <w:rPr>
          <w:rFonts w:ascii="Arial" w:hAnsi="Arial" w:cs="Arial"/>
          <w:b w:val="0"/>
          <w:bCs w:val="0"/>
          <w:szCs w:val="18"/>
        </w:rPr>
        <w:t>0</w:t>
      </w:r>
      <w:r w:rsidR="0012555B" w:rsidRPr="00671B5E">
        <w:rPr>
          <w:rFonts w:ascii="Arial" w:hAnsi="Arial" w:cs="Arial"/>
          <w:b w:val="0"/>
          <w:bCs w:val="0"/>
          <w:szCs w:val="18"/>
        </w:rPr>
        <w:t>4202</w:t>
      </w:r>
    </w:p>
    <w:p w14:paraId="4811A1B1" w14:textId="51A6AF24" w:rsidR="008E4E97" w:rsidRPr="00671B5E" w:rsidRDefault="008E4E97" w:rsidP="00671B5E">
      <w:pPr>
        <w:pStyle w:val="Puesto"/>
        <w:jc w:val="both"/>
        <w:rPr>
          <w:rFonts w:ascii="Arial" w:hAnsi="Arial" w:cs="Arial"/>
          <w:b w:val="0"/>
          <w:szCs w:val="18"/>
        </w:rPr>
      </w:pPr>
      <w:r w:rsidRPr="00671B5E">
        <w:rPr>
          <w:rFonts w:ascii="Arial" w:hAnsi="Arial" w:cs="Arial"/>
          <w:b w:val="0"/>
          <w:szCs w:val="18"/>
        </w:rPr>
        <w:t>Proceso:</w:t>
      </w:r>
      <w:r w:rsidRPr="00671B5E">
        <w:rPr>
          <w:rFonts w:ascii="Arial" w:hAnsi="Arial" w:cs="Arial"/>
          <w:b w:val="0"/>
          <w:szCs w:val="18"/>
        </w:rPr>
        <w:tab/>
      </w:r>
      <w:r w:rsidRPr="00671B5E">
        <w:rPr>
          <w:rFonts w:ascii="Arial" w:hAnsi="Arial" w:cs="Arial"/>
          <w:b w:val="0"/>
          <w:szCs w:val="18"/>
        </w:rPr>
        <w:tab/>
        <w:t xml:space="preserve">Ordinario Laboral  </w:t>
      </w:r>
    </w:p>
    <w:p w14:paraId="39FEE4BF" w14:textId="0299D511" w:rsidR="008E4E97" w:rsidRPr="00671B5E" w:rsidRDefault="008E4E97" w:rsidP="00671B5E">
      <w:pPr>
        <w:pStyle w:val="Puesto"/>
        <w:jc w:val="both"/>
        <w:rPr>
          <w:rFonts w:ascii="Arial" w:hAnsi="Arial" w:cs="Arial"/>
          <w:b w:val="0"/>
          <w:szCs w:val="18"/>
        </w:rPr>
      </w:pPr>
      <w:r w:rsidRPr="00671B5E">
        <w:rPr>
          <w:rFonts w:ascii="Arial" w:hAnsi="Arial" w:cs="Arial"/>
          <w:b w:val="0"/>
          <w:szCs w:val="18"/>
        </w:rPr>
        <w:t>Demandante:</w:t>
      </w:r>
      <w:r w:rsidRPr="00671B5E">
        <w:rPr>
          <w:rFonts w:ascii="Arial" w:hAnsi="Arial" w:cs="Arial"/>
          <w:b w:val="0"/>
          <w:szCs w:val="18"/>
        </w:rPr>
        <w:tab/>
      </w:r>
      <w:r w:rsidRPr="00671B5E">
        <w:rPr>
          <w:rFonts w:ascii="Arial" w:hAnsi="Arial" w:cs="Arial"/>
          <w:b w:val="0"/>
          <w:szCs w:val="18"/>
        </w:rPr>
        <w:tab/>
      </w:r>
      <w:r w:rsidR="0012555B" w:rsidRPr="00671B5E">
        <w:rPr>
          <w:rFonts w:ascii="Arial" w:hAnsi="Arial" w:cs="Arial"/>
          <w:b w:val="0"/>
          <w:szCs w:val="18"/>
        </w:rPr>
        <w:t>María Cristina Ballesteros Prieto</w:t>
      </w:r>
    </w:p>
    <w:p w14:paraId="6E0C375B" w14:textId="22642CB6" w:rsidR="008E4E97" w:rsidRPr="00671B5E" w:rsidRDefault="008E4E97" w:rsidP="00671B5E">
      <w:pPr>
        <w:pStyle w:val="Puesto"/>
        <w:jc w:val="both"/>
        <w:rPr>
          <w:rFonts w:ascii="Arial" w:hAnsi="Arial" w:cs="Arial"/>
          <w:b w:val="0"/>
          <w:szCs w:val="18"/>
        </w:rPr>
      </w:pPr>
      <w:r w:rsidRPr="00671B5E">
        <w:rPr>
          <w:rFonts w:ascii="Arial" w:hAnsi="Arial" w:cs="Arial"/>
          <w:b w:val="0"/>
          <w:szCs w:val="18"/>
        </w:rPr>
        <w:t>Demandad</w:t>
      </w:r>
      <w:r w:rsidR="009A6D78" w:rsidRPr="00671B5E">
        <w:rPr>
          <w:rFonts w:ascii="Arial" w:hAnsi="Arial" w:cs="Arial"/>
          <w:b w:val="0"/>
          <w:szCs w:val="18"/>
        </w:rPr>
        <w:t>o:</w:t>
      </w:r>
      <w:r w:rsidR="00671B5E">
        <w:rPr>
          <w:rFonts w:ascii="Arial" w:hAnsi="Arial" w:cs="Arial"/>
          <w:b w:val="0"/>
          <w:szCs w:val="18"/>
        </w:rPr>
        <w:tab/>
      </w:r>
      <w:r w:rsidR="009A6D78" w:rsidRPr="00671B5E">
        <w:rPr>
          <w:rFonts w:ascii="Arial" w:hAnsi="Arial" w:cs="Arial"/>
          <w:b w:val="0"/>
          <w:szCs w:val="18"/>
        </w:rPr>
        <w:tab/>
      </w:r>
      <w:r w:rsidR="006001A0" w:rsidRPr="00671B5E">
        <w:rPr>
          <w:rFonts w:ascii="Arial" w:hAnsi="Arial" w:cs="Arial"/>
          <w:b w:val="0"/>
          <w:szCs w:val="18"/>
        </w:rPr>
        <w:t>Colpensiones</w:t>
      </w:r>
      <w:r w:rsidR="00EC2CC3" w:rsidRPr="00671B5E">
        <w:rPr>
          <w:rFonts w:ascii="Arial" w:hAnsi="Arial" w:cs="Arial"/>
          <w:b w:val="0"/>
          <w:szCs w:val="18"/>
        </w:rPr>
        <w:t xml:space="preserve"> y</w:t>
      </w:r>
      <w:r w:rsidR="006001A0" w:rsidRPr="00671B5E">
        <w:rPr>
          <w:rFonts w:ascii="Arial" w:hAnsi="Arial" w:cs="Arial"/>
          <w:b w:val="0"/>
          <w:szCs w:val="18"/>
        </w:rPr>
        <w:t xml:space="preserve"> P</w:t>
      </w:r>
      <w:r w:rsidR="0012555B" w:rsidRPr="00671B5E">
        <w:rPr>
          <w:rFonts w:ascii="Arial" w:hAnsi="Arial" w:cs="Arial"/>
          <w:b w:val="0"/>
          <w:szCs w:val="18"/>
        </w:rPr>
        <w:t>orvenir</w:t>
      </w:r>
      <w:r w:rsidR="006001A0" w:rsidRPr="00671B5E">
        <w:rPr>
          <w:rFonts w:ascii="Arial" w:hAnsi="Arial" w:cs="Arial"/>
          <w:b w:val="0"/>
          <w:szCs w:val="18"/>
        </w:rPr>
        <w:t xml:space="preserve"> S.A.</w:t>
      </w:r>
    </w:p>
    <w:p w14:paraId="672A6659" w14:textId="1466DF38" w:rsidR="008E4E97" w:rsidRDefault="008E4E97" w:rsidP="00671B5E">
      <w:pPr>
        <w:pStyle w:val="Textoindependiente"/>
        <w:spacing w:line="240" w:lineRule="auto"/>
        <w:ind w:right="51"/>
        <w:rPr>
          <w:rFonts w:cs="Arial"/>
          <w:bCs/>
          <w:sz w:val="18"/>
          <w:szCs w:val="18"/>
        </w:rPr>
      </w:pPr>
    </w:p>
    <w:p w14:paraId="498E2F20" w14:textId="77777777" w:rsidR="00671B5E" w:rsidRDefault="00671B5E" w:rsidP="00671B5E">
      <w:pPr>
        <w:pStyle w:val="Textoindependiente"/>
        <w:spacing w:line="240" w:lineRule="auto"/>
        <w:ind w:right="51"/>
        <w:rPr>
          <w:rFonts w:cs="Arial"/>
          <w:bCs/>
          <w:sz w:val="18"/>
          <w:szCs w:val="18"/>
        </w:rPr>
      </w:pPr>
    </w:p>
    <w:p w14:paraId="0A37501D" w14:textId="77777777" w:rsidR="008E4E97" w:rsidRDefault="008E4E97" w:rsidP="00671B5E">
      <w:pPr>
        <w:spacing w:after="0"/>
        <w:ind w:left="2829" w:hanging="2829"/>
        <w:jc w:val="both"/>
        <w:rPr>
          <w:rFonts w:ascii="Arial" w:hAnsi="Arial" w:cs="Arial"/>
          <w:bCs/>
          <w:sz w:val="18"/>
          <w:szCs w:val="18"/>
          <w:lang w:val="es-ES_tradnl"/>
        </w:rPr>
      </w:pPr>
    </w:p>
    <w:p w14:paraId="50EC17BD" w14:textId="77777777" w:rsidR="00461440" w:rsidRPr="00671B5E" w:rsidRDefault="00461440" w:rsidP="00671B5E">
      <w:pPr>
        <w:keepNext/>
        <w:spacing w:after="0"/>
        <w:jc w:val="center"/>
        <w:outlineLvl w:val="2"/>
        <w:rPr>
          <w:rFonts w:ascii="Arial" w:eastAsia="Times New Roman" w:hAnsi="Arial" w:cs="Arial"/>
          <w:b/>
          <w:sz w:val="24"/>
          <w:szCs w:val="24"/>
          <w:lang w:val="es-ES_tradnl" w:eastAsia="es-ES"/>
        </w:rPr>
      </w:pPr>
      <w:r w:rsidRPr="00647504">
        <w:rPr>
          <w:rFonts w:ascii="Arial" w:eastAsia="Times New Roman" w:hAnsi="Arial" w:cs="Arial"/>
          <w:b/>
          <w:sz w:val="24"/>
          <w:szCs w:val="24"/>
          <w:lang w:val="es-ES_tradnl" w:eastAsia="es-ES"/>
        </w:rPr>
        <w:t>TRI</w:t>
      </w:r>
      <w:r w:rsidRPr="00671B5E">
        <w:rPr>
          <w:rFonts w:ascii="Arial" w:eastAsia="Times New Roman" w:hAnsi="Arial" w:cs="Arial"/>
          <w:b/>
          <w:sz w:val="24"/>
          <w:szCs w:val="24"/>
          <w:lang w:val="es-ES_tradnl" w:eastAsia="es-ES"/>
        </w:rPr>
        <w:t>BUNAL SUPERIOR DEL DISTRITO JUDICIAL</w:t>
      </w:r>
    </w:p>
    <w:p w14:paraId="0C578495" w14:textId="77777777" w:rsidR="00461440" w:rsidRPr="00671B5E" w:rsidRDefault="00461440" w:rsidP="00671B5E">
      <w:pPr>
        <w:spacing w:after="0"/>
        <w:jc w:val="center"/>
        <w:rPr>
          <w:rFonts w:ascii="Arial" w:hAnsi="Arial" w:cs="Arial"/>
          <w:b/>
          <w:sz w:val="24"/>
          <w:szCs w:val="24"/>
        </w:rPr>
      </w:pPr>
    </w:p>
    <w:p w14:paraId="1485F038" w14:textId="77777777" w:rsidR="00461440" w:rsidRPr="00671B5E" w:rsidRDefault="00461440" w:rsidP="00671B5E">
      <w:pPr>
        <w:spacing w:after="0"/>
        <w:jc w:val="center"/>
        <w:rPr>
          <w:rFonts w:ascii="Arial" w:hAnsi="Arial" w:cs="Arial"/>
          <w:b/>
          <w:sz w:val="24"/>
          <w:szCs w:val="24"/>
        </w:rPr>
      </w:pPr>
      <w:r w:rsidRPr="00671B5E">
        <w:rPr>
          <w:rFonts w:ascii="Arial" w:hAnsi="Arial" w:cs="Arial"/>
          <w:b/>
          <w:sz w:val="24"/>
          <w:szCs w:val="24"/>
        </w:rPr>
        <w:t>SALA LABORAL</w:t>
      </w:r>
    </w:p>
    <w:p w14:paraId="715D4EA3" w14:textId="77777777" w:rsidR="00461440" w:rsidRPr="00671B5E" w:rsidRDefault="00461440" w:rsidP="00671B5E">
      <w:pPr>
        <w:spacing w:after="0"/>
        <w:jc w:val="center"/>
        <w:rPr>
          <w:rFonts w:ascii="Arial" w:eastAsia="Times New Roman" w:hAnsi="Arial" w:cs="Arial"/>
          <w:b/>
          <w:sz w:val="24"/>
          <w:szCs w:val="24"/>
          <w:lang w:val="es-ES_tradnl" w:eastAsia="es-ES"/>
        </w:rPr>
      </w:pPr>
    </w:p>
    <w:p w14:paraId="239EA932" w14:textId="77777777" w:rsidR="00461440" w:rsidRPr="00671B5E" w:rsidRDefault="00461440" w:rsidP="00671B5E">
      <w:pPr>
        <w:spacing w:after="0"/>
        <w:jc w:val="center"/>
        <w:rPr>
          <w:rFonts w:ascii="Arial" w:eastAsia="Times New Roman" w:hAnsi="Arial" w:cs="Arial"/>
          <w:b/>
          <w:sz w:val="24"/>
          <w:szCs w:val="24"/>
          <w:lang w:val="es-ES_tradnl" w:eastAsia="es-ES"/>
        </w:rPr>
      </w:pPr>
      <w:r w:rsidRPr="00671B5E">
        <w:rPr>
          <w:rFonts w:ascii="Arial" w:eastAsia="Times New Roman" w:hAnsi="Arial" w:cs="Arial"/>
          <w:b/>
          <w:sz w:val="24"/>
          <w:szCs w:val="24"/>
          <w:lang w:val="es-ES_tradnl" w:eastAsia="es-ES"/>
        </w:rPr>
        <w:t xml:space="preserve">MAGISTRADO: JULIO CÉSAR SALAZAR MUÑOZ </w:t>
      </w:r>
    </w:p>
    <w:p w14:paraId="18CD9EE2" w14:textId="77777777" w:rsidR="00461440" w:rsidRPr="00671B5E" w:rsidRDefault="00461440" w:rsidP="00671B5E">
      <w:pPr>
        <w:spacing w:after="0"/>
        <w:jc w:val="center"/>
        <w:rPr>
          <w:rFonts w:ascii="Arial" w:eastAsia="Times New Roman" w:hAnsi="Arial" w:cs="Arial"/>
          <w:b/>
          <w:sz w:val="24"/>
          <w:szCs w:val="24"/>
          <w:lang w:val="es-ES_tradnl" w:eastAsia="es-ES"/>
        </w:rPr>
      </w:pPr>
    </w:p>
    <w:p w14:paraId="1214679E" w14:textId="656CA79B" w:rsidR="00461440" w:rsidRPr="00671B5E" w:rsidRDefault="00461440" w:rsidP="00671B5E">
      <w:pPr>
        <w:spacing w:after="0"/>
        <w:jc w:val="center"/>
        <w:rPr>
          <w:rFonts w:ascii="Arial" w:eastAsia="Times New Roman" w:hAnsi="Arial" w:cs="Arial"/>
          <w:sz w:val="24"/>
          <w:szCs w:val="24"/>
          <w:lang w:val="es-ES" w:eastAsia="es-ES"/>
        </w:rPr>
      </w:pPr>
      <w:r w:rsidRPr="00671B5E">
        <w:rPr>
          <w:rFonts w:ascii="Arial" w:eastAsia="Times New Roman" w:hAnsi="Arial" w:cs="Arial"/>
          <w:sz w:val="24"/>
          <w:szCs w:val="24"/>
          <w:lang w:val="es-ES" w:eastAsia="es-ES"/>
        </w:rPr>
        <w:t xml:space="preserve">Pereira, </w:t>
      </w:r>
      <w:r w:rsidR="00671B5E" w:rsidRPr="00671B5E">
        <w:rPr>
          <w:rFonts w:ascii="Arial" w:eastAsia="Times New Roman" w:hAnsi="Arial" w:cs="Arial"/>
          <w:sz w:val="24"/>
          <w:szCs w:val="24"/>
          <w:lang w:val="es-ES" w:eastAsia="es-ES"/>
        </w:rPr>
        <w:t xml:space="preserve">diez (10) de diciembre </w:t>
      </w:r>
      <w:r w:rsidRPr="00671B5E">
        <w:rPr>
          <w:rFonts w:ascii="Arial" w:eastAsia="Times New Roman" w:hAnsi="Arial" w:cs="Arial"/>
          <w:sz w:val="24"/>
          <w:szCs w:val="24"/>
          <w:lang w:val="es-ES" w:eastAsia="es-ES"/>
        </w:rPr>
        <w:t>de dos mil veintiuno</w:t>
      </w:r>
      <w:r w:rsidR="00671B5E" w:rsidRPr="00671B5E">
        <w:rPr>
          <w:rFonts w:ascii="Arial" w:eastAsia="Times New Roman" w:hAnsi="Arial" w:cs="Arial"/>
          <w:sz w:val="24"/>
          <w:szCs w:val="24"/>
          <w:lang w:val="es-ES" w:eastAsia="es-ES"/>
        </w:rPr>
        <w:t xml:space="preserve"> (2021)</w:t>
      </w:r>
    </w:p>
    <w:p w14:paraId="33D7C31C" w14:textId="77777777" w:rsidR="00461440" w:rsidRPr="00671B5E" w:rsidRDefault="00461440" w:rsidP="00671B5E">
      <w:pPr>
        <w:spacing w:after="0"/>
        <w:jc w:val="center"/>
        <w:rPr>
          <w:rFonts w:ascii="Arial" w:eastAsia="Times New Roman" w:hAnsi="Arial" w:cs="Arial"/>
          <w:b/>
          <w:sz w:val="24"/>
          <w:szCs w:val="24"/>
          <w:lang w:val="es-ES_tradnl" w:eastAsia="es-ES"/>
        </w:rPr>
      </w:pPr>
    </w:p>
    <w:p w14:paraId="71B99A8A" w14:textId="77777777" w:rsidR="00461440" w:rsidRPr="00671B5E" w:rsidRDefault="00461440" w:rsidP="00671B5E">
      <w:pPr>
        <w:spacing w:after="0"/>
        <w:jc w:val="center"/>
        <w:rPr>
          <w:rFonts w:ascii="Arial" w:eastAsia="Times New Roman" w:hAnsi="Arial" w:cs="Arial"/>
          <w:b/>
          <w:sz w:val="24"/>
          <w:szCs w:val="24"/>
          <w:u w:val="single"/>
          <w:lang w:val="es-ES_tradnl" w:eastAsia="es-ES"/>
        </w:rPr>
      </w:pPr>
      <w:r w:rsidRPr="00671B5E">
        <w:rPr>
          <w:rFonts w:ascii="Arial" w:eastAsia="Times New Roman" w:hAnsi="Arial" w:cs="Arial"/>
          <w:b/>
          <w:sz w:val="24"/>
          <w:szCs w:val="24"/>
          <w:u w:val="single"/>
          <w:lang w:val="es-ES_tradnl" w:eastAsia="es-ES"/>
        </w:rPr>
        <w:t>SALVAMENTO DE VOTO</w:t>
      </w:r>
    </w:p>
    <w:p w14:paraId="786A8F40" w14:textId="77777777" w:rsidR="00461440" w:rsidRPr="00671B5E" w:rsidRDefault="00461440" w:rsidP="00671B5E">
      <w:pPr>
        <w:suppressAutoHyphens/>
        <w:spacing w:after="0"/>
        <w:jc w:val="both"/>
        <w:rPr>
          <w:rFonts w:ascii="Arial" w:eastAsia="Times New Roman" w:hAnsi="Arial" w:cs="Arial"/>
          <w:sz w:val="24"/>
          <w:szCs w:val="24"/>
          <w:lang w:val="es-ES_tradnl" w:eastAsia="es-ES"/>
        </w:rPr>
      </w:pPr>
    </w:p>
    <w:p w14:paraId="6F21F5F9" w14:textId="77777777" w:rsidR="00B42B2C" w:rsidRPr="00671B5E" w:rsidRDefault="00B42B2C" w:rsidP="00671B5E">
      <w:pPr>
        <w:pStyle w:val="Textoindependiente"/>
        <w:spacing w:line="276" w:lineRule="auto"/>
        <w:rPr>
          <w:rFonts w:cs="Arial"/>
          <w:sz w:val="24"/>
          <w:szCs w:val="24"/>
        </w:rPr>
      </w:pPr>
    </w:p>
    <w:p w14:paraId="04E63D48" w14:textId="69C9B829" w:rsidR="00B42B2C" w:rsidRDefault="00B42B2C" w:rsidP="00671B5E">
      <w:pPr>
        <w:suppressAutoHyphens/>
        <w:spacing w:after="0"/>
        <w:jc w:val="both"/>
        <w:rPr>
          <w:rFonts w:ascii="Arial" w:hAnsi="Arial" w:cs="Arial"/>
          <w:spacing w:val="-2"/>
          <w:sz w:val="24"/>
          <w:szCs w:val="24"/>
          <w:lang w:val="es-ES_tradnl"/>
        </w:rPr>
      </w:pPr>
      <w:r w:rsidRPr="00671B5E">
        <w:rPr>
          <w:rFonts w:ascii="Arial" w:hAnsi="Arial" w:cs="Arial"/>
          <w:spacing w:val="-2"/>
          <w:sz w:val="24"/>
          <w:szCs w:val="24"/>
          <w:lang w:val="es-ES_tradnl"/>
        </w:rPr>
        <w:t xml:space="preserve">Tal como lo propuse en la ponencia que presenté inicialmente, considero que </w:t>
      </w:r>
      <w:r w:rsidRPr="00671B5E">
        <w:rPr>
          <w:rFonts w:ascii="Arial" w:hAnsi="Arial" w:cs="Arial"/>
          <w:spacing w:val="-2"/>
          <w:sz w:val="24"/>
          <w:szCs w:val="24"/>
        </w:rPr>
        <w:t xml:space="preserve">el auto proferido por </w:t>
      </w:r>
      <w:r w:rsidRPr="00671B5E">
        <w:rPr>
          <w:rFonts w:ascii="Arial" w:hAnsi="Arial" w:cs="Arial"/>
          <w:color w:val="000000"/>
          <w:sz w:val="24"/>
          <w:szCs w:val="24"/>
          <w:shd w:val="clear" w:color="auto" w:fill="FFFFFF"/>
        </w:rPr>
        <w:t>el Juzgado Segundo Laboral del Circuito de Pereira el día 14 de mayo de 2021</w:t>
      </w:r>
      <w:r w:rsidRPr="00671B5E">
        <w:rPr>
          <w:rFonts w:ascii="Arial" w:hAnsi="Arial" w:cs="Arial"/>
          <w:spacing w:val="-2"/>
          <w:sz w:val="24"/>
          <w:szCs w:val="24"/>
        </w:rPr>
        <w:t>, debió ser modificado</w:t>
      </w:r>
      <w:r w:rsidRPr="00671B5E">
        <w:rPr>
          <w:rFonts w:ascii="Arial" w:hAnsi="Arial" w:cs="Arial"/>
          <w:spacing w:val="-2"/>
          <w:sz w:val="24"/>
          <w:szCs w:val="24"/>
          <w:lang w:val="es-ES_tradnl"/>
        </w:rPr>
        <w:t>.</w:t>
      </w:r>
    </w:p>
    <w:p w14:paraId="7AAAFB4C" w14:textId="77777777" w:rsidR="00783227" w:rsidRPr="00671B5E" w:rsidRDefault="00783227" w:rsidP="00671B5E">
      <w:pPr>
        <w:suppressAutoHyphens/>
        <w:spacing w:after="0"/>
        <w:jc w:val="both"/>
        <w:rPr>
          <w:rFonts w:ascii="Arial" w:hAnsi="Arial" w:cs="Arial"/>
          <w:spacing w:val="-2"/>
          <w:sz w:val="24"/>
          <w:szCs w:val="24"/>
          <w:lang w:val="es-ES_tradnl"/>
        </w:rPr>
      </w:pPr>
    </w:p>
    <w:p w14:paraId="0FC9B552" w14:textId="77777777" w:rsidR="00B42B2C" w:rsidRPr="00671B5E" w:rsidRDefault="00B42B2C" w:rsidP="00671B5E">
      <w:pPr>
        <w:tabs>
          <w:tab w:val="left" w:pos="-720"/>
        </w:tabs>
        <w:suppressAutoHyphens/>
        <w:spacing w:after="0"/>
        <w:jc w:val="both"/>
        <w:rPr>
          <w:rFonts w:ascii="Arial" w:hAnsi="Arial" w:cs="Arial"/>
          <w:sz w:val="24"/>
          <w:szCs w:val="24"/>
          <w:lang w:val="es-ES_tradnl"/>
        </w:rPr>
      </w:pPr>
      <w:r w:rsidRPr="00671B5E">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14:paraId="483DCD2D" w14:textId="77777777" w:rsidR="00B42B2C" w:rsidRPr="00671B5E" w:rsidRDefault="00B42B2C" w:rsidP="00671B5E">
      <w:pPr>
        <w:pStyle w:val="paragraph"/>
        <w:spacing w:before="0" w:beforeAutospacing="0" w:after="0" w:afterAutospacing="0" w:line="276" w:lineRule="auto"/>
        <w:ind w:left="420" w:right="330"/>
        <w:textAlignment w:val="baseline"/>
        <w:rPr>
          <w:rStyle w:val="normaltextrun"/>
          <w:rFonts w:ascii="Arial" w:hAnsi="Arial" w:cs="Arial"/>
          <w:b/>
          <w:bCs/>
          <w:i/>
          <w:iCs/>
        </w:rPr>
      </w:pPr>
    </w:p>
    <w:p w14:paraId="05F50EA5" w14:textId="77777777" w:rsidR="00B42B2C" w:rsidRPr="00671B5E" w:rsidRDefault="00B42B2C" w:rsidP="00671B5E">
      <w:pPr>
        <w:pStyle w:val="paragraph"/>
        <w:spacing w:before="0" w:beforeAutospacing="0" w:after="0" w:afterAutospacing="0" w:line="276" w:lineRule="auto"/>
        <w:ind w:left="420" w:right="330"/>
        <w:textAlignment w:val="baseline"/>
        <w:rPr>
          <w:rFonts w:ascii="Arial" w:hAnsi="Arial" w:cs="Arial"/>
        </w:rPr>
      </w:pPr>
      <w:r w:rsidRPr="00671B5E">
        <w:rPr>
          <w:rStyle w:val="normaltextrun"/>
          <w:rFonts w:ascii="Arial" w:hAnsi="Arial" w:cs="Arial"/>
          <w:b/>
          <w:bCs/>
          <w:i/>
          <w:iCs/>
        </w:rPr>
        <w:t>¿El monto reconocido a título de agencias en derecho se encuentra a justado a lo establecido en el Acuerdo</w:t>
      </w:r>
      <w:r w:rsidRPr="00671B5E">
        <w:rPr>
          <w:rStyle w:val="normaltextrun"/>
          <w:rFonts w:ascii="Arial" w:hAnsi="Arial" w:cs="Arial"/>
        </w:rPr>
        <w:t> </w:t>
      </w:r>
      <w:r w:rsidRPr="00671B5E">
        <w:rPr>
          <w:rStyle w:val="normaltextrun"/>
          <w:rFonts w:ascii="Arial" w:hAnsi="Arial" w:cs="Arial"/>
          <w:b/>
          <w:bCs/>
          <w:i/>
          <w:iCs/>
        </w:rPr>
        <w:t>PSAA 16 – 10554 de 2016?</w:t>
      </w:r>
      <w:r w:rsidRPr="00671B5E">
        <w:rPr>
          <w:rStyle w:val="eop"/>
          <w:rFonts w:ascii="Arial" w:hAnsi="Arial" w:cs="Arial"/>
        </w:rPr>
        <w:t> </w:t>
      </w:r>
    </w:p>
    <w:p w14:paraId="0E656B48" w14:textId="492152B9" w:rsidR="00B42B2C" w:rsidRPr="00671B5E" w:rsidRDefault="00B42B2C" w:rsidP="00610F47">
      <w:pPr>
        <w:pStyle w:val="paragraph"/>
        <w:spacing w:before="0" w:beforeAutospacing="0" w:after="0" w:afterAutospacing="0" w:line="276" w:lineRule="auto"/>
        <w:textAlignment w:val="baseline"/>
        <w:rPr>
          <w:rStyle w:val="normaltextrun"/>
          <w:rFonts w:ascii="Arial" w:hAnsi="Arial" w:cs="Arial"/>
        </w:rPr>
      </w:pPr>
      <w:r w:rsidRPr="00671B5E">
        <w:rPr>
          <w:rStyle w:val="eop"/>
          <w:rFonts w:ascii="Arial" w:hAnsi="Arial" w:cs="Arial"/>
        </w:rPr>
        <w:t> </w:t>
      </w:r>
    </w:p>
    <w:p w14:paraId="75D69062" w14:textId="63D16AA4" w:rsidR="00940ECF" w:rsidRPr="00671B5E" w:rsidRDefault="00B42B2C" w:rsidP="00671B5E">
      <w:pPr>
        <w:spacing w:after="0"/>
        <w:ind w:right="51"/>
        <w:jc w:val="both"/>
        <w:rPr>
          <w:rFonts w:ascii="Arial" w:hAnsi="Arial" w:cs="Arial"/>
          <w:sz w:val="24"/>
          <w:szCs w:val="24"/>
        </w:rPr>
      </w:pPr>
      <w:r w:rsidRPr="00671B5E">
        <w:rPr>
          <w:rStyle w:val="normaltextrun"/>
          <w:rFonts w:ascii="Arial" w:hAnsi="Arial" w:cs="Arial"/>
          <w:sz w:val="24"/>
          <w:szCs w:val="24"/>
        </w:rPr>
        <w:t>Para resolver el interrogante formulado propuse hacer las siguientes precisiones:</w:t>
      </w:r>
    </w:p>
    <w:p w14:paraId="4B99056E" w14:textId="77777777" w:rsidR="00940ECF" w:rsidRPr="00671B5E" w:rsidRDefault="00940ECF" w:rsidP="00671B5E">
      <w:pPr>
        <w:pStyle w:val="NormalWeb"/>
        <w:spacing w:before="0" w:beforeAutospacing="0" w:after="0" w:afterAutospacing="0" w:line="276" w:lineRule="auto"/>
        <w:jc w:val="both"/>
        <w:rPr>
          <w:rFonts w:ascii="Arial" w:hAnsi="Arial" w:cs="Arial"/>
          <w:b/>
          <w:bCs/>
        </w:rPr>
      </w:pPr>
    </w:p>
    <w:p w14:paraId="5BEFF61B" w14:textId="0176BAB9" w:rsidR="00610F47" w:rsidRPr="00647504" w:rsidRDefault="00783227" w:rsidP="00B876C5">
      <w:pPr>
        <w:spacing w:after="0" w:line="266" w:lineRule="auto"/>
        <w:ind w:left="360" w:right="420"/>
        <w:jc w:val="both"/>
        <w:rPr>
          <w:rFonts w:ascii="Arial" w:eastAsia="Times New Roman" w:hAnsi="Arial" w:cs="Arial"/>
          <w:b/>
          <w:bCs/>
          <w:sz w:val="24"/>
          <w:szCs w:val="24"/>
          <w:lang w:val="es-ES" w:eastAsia="es-ES"/>
        </w:rPr>
      </w:pPr>
      <w:bookmarkStart w:id="0" w:name="_GoBack"/>
      <w:r>
        <w:rPr>
          <w:rFonts w:ascii="Arial" w:eastAsia="Times New Roman" w:hAnsi="Arial" w:cs="Arial"/>
          <w:b/>
          <w:bCs/>
          <w:sz w:val="24"/>
          <w:szCs w:val="24"/>
          <w:lang w:val="es-ES" w:eastAsia="es-ES"/>
        </w:rPr>
        <w:t>“</w:t>
      </w:r>
      <w:r w:rsidR="00610F47" w:rsidRPr="00647504">
        <w:rPr>
          <w:rFonts w:ascii="Arial" w:eastAsia="Times New Roman" w:hAnsi="Arial" w:cs="Arial"/>
          <w:b/>
          <w:bCs/>
          <w:sz w:val="24"/>
          <w:szCs w:val="24"/>
          <w:lang w:val="es-ES" w:eastAsia="es-ES"/>
        </w:rPr>
        <w:t>FIJACION DE AGENCIAS EN DERECHO</w:t>
      </w:r>
    </w:p>
    <w:p w14:paraId="1FC148F8"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p>
    <w:p w14:paraId="55191FCB"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3FE59672"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p>
    <w:p w14:paraId="65C97C3D"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 xml:space="preserve">Es indiscutible que, para establecer el valor de las costas, deben observarse una serie de circunstancias propias, que se extraen del debate procesal en estricto cumplimiento del canon 366 ibídem, que dispone en su numeral 4º: </w:t>
      </w:r>
      <w:r w:rsidRPr="00647504">
        <w:rPr>
          <w:rFonts w:ascii="Arial" w:eastAsia="Times New Roman" w:hAnsi="Arial" w:cs="Arial"/>
          <w:i/>
          <w:sz w:val="24"/>
          <w:szCs w:val="24"/>
          <w:lang w:val="es-ES_tradnl"/>
        </w:rPr>
        <w:t>“</w:t>
      </w:r>
      <w:r w:rsidRPr="000F5115">
        <w:rPr>
          <w:rFonts w:ascii="Arial" w:eastAsia="Times New Roman" w:hAnsi="Arial" w:cs="Arial"/>
          <w:i/>
          <w:szCs w:val="24"/>
          <w:lang w:val="es-ES_tradnl"/>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647504">
        <w:rPr>
          <w:rFonts w:ascii="Arial" w:eastAsia="Times New Roman" w:hAnsi="Arial" w:cs="Arial"/>
          <w:i/>
          <w:sz w:val="24"/>
          <w:szCs w:val="24"/>
          <w:lang w:val="es-ES_tradnl"/>
        </w:rPr>
        <w:t>.”</w:t>
      </w:r>
    </w:p>
    <w:p w14:paraId="7DB00E6B"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p>
    <w:p w14:paraId="66260C0A" w14:textId="77777777" w:rsidR="00610F47" w:rsidRPr="00647504" w:rsidRDefault="00610F47" w:rsidP="00B876C5">
      <w:pPr>
        <w:spacing w:after="0" w:line="266" w:lineRule="auto"/>
        <w:ind w:left="426" w:right="420"/>
        <w:jc w:val="both"/>
        <w:rPr>
          <w:rFonts w:ascii="Arial" w:eastAsia="Times New Roman" w:hAnsi="Arial" w:cs="Arial"/>
          <w:color w:val="FF0000"/>
          <w:sz w:val="24"/>
          <w:szCs w:val="24"/>
          <w:lang w:val="es-ES_tradnl"/>
        </w:rPr>
      </w:pPr>
      <w:r w:rsidRPr="00647504">
        <w:rPr>
          <w:rFonts w:ascii="Arial" w:eastAsia="Times New Roman" w:hAnsi="Arial" w:cs="Arial"/>
          <w:sz w:val="24"/>
          <w:szCs w:val="24"/>
          <w:lang w:val="es-ES_tradnl"/>
        </w:rPr>
        <w:lastRenderedPageBreak/>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p>
    <w:p w14:paraId="5CA8CE7F"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p>
    <w:p w14:paraId="5306C96F" w14:textId="77777777" w:rsidR="00610F47" w:rsidRPr="00647504" w:rsidRDefault="00610F47" w:rsidP="00B876C5">
      <w:pPr>
        <w:spacing w:after="0" w:line="266" w:lineRule="auto"/>
        <w:ind w:left="426" w:right="420"/>
        <w:jc w:val="both"/>
        <w:rPr>
          <w:rFonts w:ascii="Arial" w:eastAsia="Times New Roman" w:hAnsi="Arial" w:cs="Arial"/>
          <w:i/>
          <w:iCs/>
          <w:sz w:val="24"/>
          <w:szCs w:val="24"/>
          <w:lang w:val="es-ES_tradnl"/>
        </w:rPr>
      </w:pPr>
      <w:r w:rsidRPr="00647504">
        <w:rPr>
          <w:rFonts w:ascii="Arial" w:eastAsia="Times New Roman" w:hAnsi="Arial" w:cs="Arial"/>
          <w:sz w:val="24"/>
          <w:szCs w:val="24"/>
          <w:lang w:val="es-ES_tradnl"/>
        </w:rPr>
        <w:t xml:space="preserve">Dicho Acuerdo, </w:t>
      </w:r>
      <w:r w:rsidRPr="00647504">
        <w:rPr>
          <w:rFonts w:ascii="Arial" w:eastAsia="Times New Roman" w:hAnsi="Arial" w:cs="Arial"/>
          <w:i/>
          <w:iCs/>
          <w:sz w:val="24"/>
          <w:szCs w:val="24"/>
          <w:lang w:val="es-ES_tradnl"/>
        </w:rPr>
        <w:t>“</w:t>
      </w:r>
      <w:r w:rsidRPr="000F5115">
        <w:rPr>
          <w:rFonts w:ascii="Arial" w:eastAsia="Times New Roman" w:hAnsi="Arial" w:cs="Arial"/>
          <w:i/>
          <w:iCs/>
          <w:szCs w:val="24"/>
          <w:lang w:val="es-ES_tradnl"/>
        </w:rPr>
        <w:t>Por el cual se establecen las tarifas de agencias en derecho</w:t>
      </w:r>
      <w:r w:rsidRPr="00647504">
        <w:rPr>
          <w:rFonts w:ascii="Arial" w:eastAsia="Times New Roman" w:hAnsi="Arial" w:cs="Arial"/>
          <w:i/>
          <w:iCs/>
          <w:sz w:val="24"/>
          <w:szCs w:val="24"/>
          <w:lang w:val="es-ES_tradnl"/>
        </w:rPr>
        <w:t>”</w:t>
      </w:r>
      <w:r w:rsidRPr="00647504">
        <w:rPr>
          <w:rFonts w:ascii="Arial" w:eastAsia="Times New Roman" w:hAnsi="Arial" w:cs="Arial"/>
          <w:sz w:val="24"/>
          <w:szCs w:val="24"/>
          <w:lang w:val="es-ES_tradnl"/>
        </w:rPr>
        <w:t xml:space="preserve">, en el numeral 1º de del artículo 5º se establece: </w:t>
      </w:r>
      <w:r w:rsidRPr="00647504">
        <w:rPr>
          <w:rFonts w:ascii="Arial" w:eastAsia="Times New Roman" w:hAnsi="Arial" w:cs="Arial"/>
          <w:i/>
          <w:iCs/>
          <w:sz w:val="24"/>
          <w:szCs w:val="24"/>
          <w:lang w:val="es-ES_tradnl"/>
        </w:rPr>
        <w:t>“</w:t>
      </w:r>
      <w:r w:rsidRPr="000F5115">
        <w:rPr>
          <w:rFonts w:ascii="Arial" w:eastAsia="Times New Roman" w:hAnsi="Arial" w:cs="Arial"/>
          <w:i/>
          <w:iCs/>
          <w:szCs w:val="24"/>
          <w:lang w:val="es-ES_tradnl"/>
        </w:rPr>
        <w:t>b) por la naturaleza del asunto.  En aquellos asuntos que carezcan de cuantía o pretensiones pecuniarias, entre 1 y 10 S.M.M.L.V</w:t>
      </w:r>
      <w:r w:rsidRPr="00647504">
        <w:rPr>
          <w:rFonts w:ascii="Arial" w:eastAsia="Times New Roman" w:hAnsi="Arial" w:cs="Arial"/>
          <w:i/>
          <w:iCs/>
          <w:sz w:val="24"/>
          <w:szCs w:val="24"/>
          <w:lang w:val="es-ES_tradnl"/>
        </w:rPr>
        <w:t>”</w:t>
      </w:r>
      <w:r>
        <w:rPr>
          <w:rFonts w:ascii="Arial" w:eastAsia="Times New Roman" w:hAnsi="Arial" w:cs="Arial"/>
          <w:i/>
          <w:iCs/>
          <w:sz w:val="24"/>
          <w:szCs w:val="24"/>
          <w:lang w:val="es-ES_tradnl"/>
        </w:rPr>
        <w:t>.</w:t>
      </w:r>
    </w:p>
    <w:p w14:paraId="466A855C" w14:textId="77777777" w:rsidR="00610F47" w:rsidRPr="00647504" w:rsidRDefault="00610F47" w:rsidP="00B876C5">
      <w:pPr>
        <w:spacing w:after="0" w:line="266" w:lineRule="auto"/>
        <w:ind w:left="426" w:right="420"/>
        <w:jc w:val="both"/>
        <w:rPr>
          <w:rFonts w:ascii="Arial" w:eastAsia="Times New Roman" w:hAnsi="Arial" w:cs="Arial"/>
          <w:i/>
          <w:sz w:val="24"/>
          <w:szCs w:val="24"/>
          <w:lang w:val="es-ES_tradnl"/>
        </w:rPr>
      </w:pPr>
    </w:p>
    <w:p w14:paraId="7F8AF2AF"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En segunda instancia, la misma norma prevé</w:t>
      </w:r>
      <w:r w:rsidRPr="00647504">
        <w:rPr>
          <w:rFonts w:ascii="Arial" w:eastAsia="Times New Roman" w:hAnsi="Arial" w:cs="Arial"/>
          <w:i/>
          <w:iCs/>
          <w:sz w:val="24"/>
          <w:szCs w:val="24"/>
          <w:lang w:val="es-ES_tradnl"/>
        </w:rPr>
        <w:t xml:space="preserve"> “Entre 1 y 6 S.M.M.L.V” </w:t>
      </w:r>
    </w:p>
    <w:p w14:paraId="108D22BB"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p>
    <w:p w14:paraId="117A1CDA"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w:t>
      </w:r>
      <w:r w:rsidRPr="00770142">
        <w:rPr>
          <w:rFonts w:ascii="Arial" w:eastAsia="Times New Roman" w:hAnsi="Arial" w:cs="Arial"/>
          <w:i/>
          <w:szCs w:val="24"/>
          <w:lang w:val="es-ES_tradnl"/>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647504">
        <w:rPr>
          <w:rFonts w:ascii="Arial" w:eastAsia="Times New Roman" w:hAnsi="Arial" w:cs="Arial"/>
          <w:i/>
          <w:sz w:val="24"/>
          <w:szCs w:val="24"/>
          <w:lang w:val="es-ES_tradnl"/>
        </w:rPr>
        <w:t>”</w:t>
      </w:r>
      <w:r w:rsidRPr="00647504">
        <w:rPr>
          <w:rFonts w:ascii="Arial" w:eastAsia="Times New Roman" w:hAnsi="Arial" w:cs="Arial"/>
          <w:sz w:val="24"/>
          <w:szCs w:val="24"/>
          <w:lang w:val="es-ES_tradnl"/>
        </w:rPr>
        <w:t>.</w:t>
      </w:r>
    </w:p>
    <w:p w14:paraId="14B1A486"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 xml:space="preserve"> </w:t>
      </w:r>
    </w:p>
    <w:p w14:paraId="7E016D89" w14:textId="77777777" w:rsidR="00610F47" w:rsidRPr="00647504" w:rsidRDefault="00610F47" w:rsidP="00B876C5">
      <w:pPr>
        <w:spacing w:after="0" w:line="266" w:lineRule="auto"/>
        <w:ind w:left="426" w:right="42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Finalmente, en el parágrafo del artículo 3º de la disposición que se viene citando, se establece “</w:t>
      </w:r>
      <w:r w:rsidRPr="00770142">
        <w:rPr>
          <w:rFonts w:ascii="Arial" w:eastAsia="Times New Roman" w:hAnsi="Arial" w:cs="Arial"/>
          <w:i/>
          <w:szCs w:val="24"/>
          <w:lang w:val="es-ES_tradnl"/>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647504">
        <w:rPr>
          <w:rFonts w:ascii="Arial" w:eastAsia="Times New Roman" w:hAnsi="Arial" w:cs="Arial"/>
          <w:sz w:val="24"/>
          <w:szCs w:val="24"/>
          <w:lang w:val="es-ES_tradnl"/>
        </w:rPr>
        <w:t>”.</w:t>
      </w:r>
    </w:p>
    <w:p w14:paraId="0562CB0E" w14:textId="77777777" w:rsidR="00940ECF" w:rsidRPr="00671B5E" w:rsidRDefault="00940ECF" w:rsidP="00671B5E">
      <w:pPr>
        <w:pStyle w:val="Textoindependiente"/>
        <w:spacing w:line="276" w:lineRule="auto"/>
        <w:rPr>
          <w:rFonts w:cs="Arial"/>
          <w:iCs/>
          <w:sz w:val="24"/>
          <w:szCs w:val="24"/>
        </w:rPr>
      </w:pPr>
    </w:p>
    <w:p w14:paraId="4E37DF62" w14:textId="7C60DFA8" w:rsidR="00B42B2C" w:rsidRPr="00671B5E" w:rsidRDefault="00B42B2C" w:rsidP="00671B5E">
      <w:pPr>
        <w:pStyle w:val="Textoindependiente"/>
        <w:spacing w:line="276" w:lineRule="auto"/>
        <w:rPr>
          <w:rFonts w:cs="Arial"/>
          <w:sz w:val="24"/>
          <w:szCs w:val="24"/>
        </w:rPr>
      </w:pPr>
      <w:r w:rsidRPr="00671B5E">
        <w:rPr>
          <w:rStyle w:val="normaltextrun"/>
          <w:rFonts w:cs="Arial"/>
          <w:bCs/>
          <w:sz w:val="24"/>
          <w:szCs w:val="24"/>
        </w:rPr>
        <w:t>Con base en lo anterior, en mi proyecto, propuse resolver</w:t>
      </w:r>
      <w:r w:rsidRPr="00671B5E">
        <w:rPr>
          <w:rStyle w:val="normaltextrun"/>
          <w:rFonts w:cs="Arial"/>
          <w:b/>
          <w:bCs/>
          <w:sz w:val="24"/>
          <w:szCs w:val="24"/>
        </w:rPr>
        <w:t xml:space="preserve"> EL CASO</w:t>
      </w:r>
      <w:r w:rsidR="00C74674">
        <w:rPr>
          <w:rStyle w:val="normaltextrun"/>
          <w:rFonts w:cs="Arial"/>
          <w:b/>
          <w:bCs/>
          <w:sz w:val="24"/>
          <w:szCs w:val="24"/>
        </w:rPr>
        <w:t xml:space="preserve"> </w:t>
      </w:r>
      <w:r w:rsidRPr="00671B5E">
        <w:rPr>
          <w:rStyle w:val="normaltextrun"/>
          <w:rFonts w:cs="Arial"/>
          <w:b/>
          <w:bCs/>
          <w:sz w:val="24"/>
          <w:szCs w:val="24"/>
        </w:rPr>
        <w:t>CONCRETO</w:t>
      </w:r>
      <w:r w:rsidR="00C74674">
        <w:rPr>
          <w:rStyle w:val="normaltextrun"/>
          <w:rFonts w:cs="Arial"/>
          <w:b/>
          <w:bCs/>
          <w:sz w:val="24"/>
          <w:szCs w:val="24"/>
        </w:rPr>
        <w:t xml:space="preserve"> </w:t>
      </w:r>
      <w:r w:rsidRPr="00671B5E">
        <w:rPr>
          <w:rStyle w:val="eop"/>
          <w:rFonts w:cs="Arial"/>
          <w:sz w:val="24"/>
          <w:szCs w:val="24"/>
        </w:rPr>
        <w:t>como transcribo a continuación:</w:t>
      </w:r>
    </w:p>
    <w:p w14:paraId="34CE0A41" w14:textId="77777777" w:rsidR="00940ECF" w:rsidRPr="00671B5E" w:rsidRDefault="00940ECF" w:rsidP="00671B5E">
      <w:pPr>
        <w:pStyle w:val="Textoindependiente"/>
        <w:spacing w:line="276" w:lineRule="auto"/>
        <w:rPr>
          <w:rFonts w:cs="Arial"/>
          <w:sz w:val="24"/>
          <w:szCs w:val="24"/>
        </w:rPr>
      </w:pPr>
    </w:p>
    <w:p w14:paraId="501AF0F7" w14:textId="4502591B" w:rsidR="00940ECF" w:rsidRPr="00C74674" w:rsidRDefault="00B42B2C"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w:t>
      </w:r>
      <w:r w:rsidR="00940ECF" w:rsidRPr="00C74674">
        <w:rPr>
          <w:rFonts w:ascii="Arial" w:eastAsia="Times New Roman" w:hAnsi="Arial" w:cs="Arial"/>
          <w:sz w:val="24"/>
          <w:szCs w:val="24"/>
          <w:lang w:val="es-ES_tradnl"/>
        </w:rPr>
        <w:t xml:space="preserve">Plasma la parte demandada su inconformidad respecto al monto aprobado por costas procesales, en el hecho de que resultan excesivas en </w:t>
      </w:r>
      <w:r w:rsidR="003044F7" w:rsidRPr="00C74674">
        <w:rPr>
          <w:rFonts w:ascii="Arial" w:eastAsia="Times New Roman" w:hAnsi="Arial" w:cs="Arial"/>
          <w:sz w:val="24"/>
          <w:szCs w:val="24"/>
          <w:lang w:val="es-ES_tradnl"/>
        </w:rPr>
        <w:t xml:space="preserve">consideración a que la pretensión </w:t>
      </w:r>
      <w:r w:rsidR="00FF7784" w:rsidRPr="00C74674">
        <w:rPr>
          <w:rFonts w:ascii="Arial" w:eastAsia="Times New Roman" w:hAnsi="Arial" w:cs="Arial"/>
          <w:sz w:val="24"/>
          <w:szCs w:val="24"/>
          <w:lang w:val="es-ES_tradnl"/>
        </w:rPr>
        <w:t>principal de la demanda era que la jurisdicción laboral declarase la nulidad del traslado y/o la ineficacia de la afiliación al régimen da ahorro individual, pretensiones que considera que se constituyen en una obligación de hacer</w:t>
      </w:r>
      <w:r w:rsidR="00CE4110" w:rsidRPr="00C74674">
        <w:rPr>
          <w:rFonts w:ascii="Arial" w:eastAsia="Times New Roman" w:hAnsi="Arial" w:cs="Arial"/>
          <w:sz w:val="24"/>
          <w:szCs w:val="24"/>
          <w:lang w:val="es-ES_tradnl"/>
        </w:rPr>
        <w:t xml:space="preserve"> y que no se acompasan con las particularidades </w:t>
      </w:r>
      <w:r w:rsidR="00F65226" w:rsidRPr="00C74674">
        <w:rPr>
          <w:rFonts w:ascii="Arial" w:eastAsia="Times New Roman" w:hAnsi="Arial" w:cs="Arial"/>
          <w:sz w:val="24"/>
          <w:szCs w:val="24"/>
          <w:lang w:val="es-ES_tradnl"/>
        </w:rPr>
        <w:t>de asunto bajo estudio.</w:t>
      </w:r>
    </w:p>
    <w:p w14:paraId="62EBF3C5" w14:textId="77777777" w:rsidR="00B77B7C" w:rsidRPr="00C74674" w:rsidRDefault="00B77B7C" w:rsidP="00B876C5">
      <w:pPr>
        <w:spacing w:after="0" w:line="264" w:lineRule="auto"/>
        <w:ind w:left="425" w:right="420"/>
        <w:jc w:val="both"/>
        <w:rPr>
          <w:rFonts w:ascii="Arial" w:eastAsia="Times New Roman" w:hAnsi="Arial" w:cs="Arial"/>
          <w:sz w:val="24"/>
          <w:szCs w:val="24"/>
          <w:lang w:val="es-ES_tradnl"/>
        </w:rPr>
      </w:pPr>
    </w:p>
    <w:p w14:paraId="59D03A64" w14:textId="77777777" w:rsidR="00940ECF" w:rsidRPr="00C74674" w:rsidRDefault="00FF7784"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Entrando entonces a definir la inconformidad planteada por el recurrente, se tiene que en lo que atañe a</w:t>
      </w:r>
      <w:r w:rsidR="00DE0CF9" w:rsidRPr="00C74674">
        <w:rPr>
          <w:rFonts w:ascii="Arial" w:eastAsia="Times New Roman" w:hAnsi="Arial" w:cs="Arial"/>
          <w:sz w:val="24"/>
          <w:szCs w:val="24"/>
          <w:lang w:val="es-ES_tradnl"/>
        </w:rPr>
        <w:t xml:space="preserve"> la suma aprobada a título de agencias en derecho, es claro que su asignación</w:t>
      </w:r>
      <w:r w:rsidR="00940ECF" w:rsidRPr="00C74674">
        <w:rPr>
          <w:rFonts w:ascii="Arial" w:eastAsia="Times New Roman" w:hAnsi="Arial" w:cs="Arial"/>
          <w:sz w:val="24"/>
          <w:szCs w:val="24"/>
          <w:lang w:val="es-ES_tradnl"/>
        </w:rPr>
        <w:t xml:space="preserve"> debe estar precedido del análisis de los criterios establecidos en el artículo 366 del Código General del Proceso</w:t>
      </w:r>
      <w:r w:rsidR="00DE0CF9" w:rsidRPr="00C74674">
        <w:rPr>
          <w:rFonts w:ascii="Arial" w:eastAsia="Times New Roman" w:hAnsi="Arial" w:cs="Arial"/>
          <w:sz w:val="24"/>
          <w:szCs w:val="24"/>
          <w:lang w:val="es-ES_tradnl"/>
        </w:rPr>
        <w:t xml:space="preserve">, análisis que no efectuó el juzgado al momento de fijar dicho monto, sino al resolver el recurso de reposición </w:t>
      </w:r>
      <w:r w:rsidRPr="00C74674">
        <w:rPr>
          <w:rFonts w:ascii="Arial" w:eastAsia="Times New Roman" w:hAnsi="Arial" w:cs="Arial"/>
          <w:sz w:val="24"/>
          <w:szCs w:val="24"/>
          <w:lang w:val="es-ES_tradnl"/>
        </w:rPr>
        <w:t>formulado por P</w:t>
      </w:r>
      <w:r w:rsidR="00EC2CC3" w:rsidRPr="00C74674">
        <w:rPr>
          <w:rFonts w:ascii="Arial" w:eastAsia="Times New Roman" w:hAnsi="Arial" w:cs="Arial"/>
          <w:sz w:val="24"/>
          <w:szCs w:val="24"/>
          <w:lang w:val="es-ES_tradnl"/>
        </w:rPr>
        <w:t xml:space="preserve">orvenir </w:t>
      </w:r>
      <w:r w:rsidRPr="00C74674">
        <w:rPr>
          <w:rFonts w:ascii="Arial" w:eastAsia="Times New Roman" w:hAnsi="Arial" w:cs="Arial"/>
          <w:sz w:val="24"/>
          <w:szCs w:val="24"/>
          <w:lang w:val="es-ES_tradnl"/>
        </w:rPr>
        <w:t>S.A.</w:t>
      </w:r>
    </w:p>
    <w:p w14:paraId="6D98A12B" w14:textId="77777777" w:rsidR="00940ECF" w:rsidRPr="00C74674" w:rsidRDefault="00940ECF" w:rsidP="00B876C5">
      <w:pPr>
        <w:spacing w:after="0" w:line="264" w:lineRule="auto"/>
        <w:ind w:left="425" w:right="420"/>
        <w:jc w:val="both"/>
        <w:rPr>
          <w:rFonts w:ascii="Arial" w:eastAsia="Times New Roman" w:hAnsi="Arial" w:cs="Arial"/>
          <w:sz w:val="24"/>
          <w:szCs w:val="24"/>
          <w:lang w:val="es-ES_tradnl"/>
        </w:rPr>
      </w:pPr>
    </w:p>
    <w:p w14:paraId="20066322" w14:textId="16FF79D9" w:rsidR="007C1289" w:rsidRPr="00C74674" w:rsidRDefault="00DE0CF9"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 xml:space="preserve">En armonía con dicho análisis, </w:t>
      </w:r>
      <w:r w:rsidR="00940ECF" w:rsidRPr="00C74674">
        <w:rPr>
          <w:rFonts w:ascii="Arial" w:eastAsia="Times New Roman" w:hAnsi="Arial" w:cs="Arial"/>
          <w:sz w:val="24"/>
          <w:szCs w:val="24"/>
          <w:lang w:val="es-ES_tradnl"/>
        </w:rPr>
        <w:t xml:space="preserve">al considerar los parámetros establecidos en el ordinal 4º del artículo 366 del C.G.P., se tiene que </w:t>
      </w:r>
      <w:r w:rsidR="00F65226" w:rsidRPr="00C74674">
        <w:rPr>
          <w:rFonts w:ascii="Arial" w:eastAsia="Times New Roman" w:hAnsi="Arial" w:cs="Arial"/>
          <w:sz w:val="24"/>
          <w:szCs w:val="24"/>
          <w:lang w:val="es-ES_tradnl"/>
        </w:rPr>
        <w:t xml:space="preserve">en la primera instancia, el </w:t>
      </w:r>
      <w:r w:rsidR="00A23DB2" w:rsidRPr="00C74674">
        <w:rPr>
          <w:rFonts w:ascii="Arial" w:eastAsia="Times New Roman" w:hAnsi="Arial" w:cs="Arial"/>
          <w:sz w:val="24"/>
          <w:szCs w:val="24"/>
          <w:lang w:val="es-ES_tradnl"/>
        </w:rPr>
        <w:lastRenderedPageBreak/>
        <w:t xml:space="preserve">proceso tuvo una duración de </w:t>
      </w:r>
      <w:r w:rsidR="0089369D" w:rsidRPr="00C74674">
        <w:rPr>
          <w:rFonts w:ascii="Arial" w:eastAsia="Times New Roman" w:hAnsi="Arial" w:cs="Arial"/>
          <w:sz w:val="24"/>
          <w:szCs w:val="24"/>
          <w:lang w:val="es-ES_tradnl"/>
        </w:rPr>
        <w:t>un año</w:t>
      </w:r>
      <w:r w:rsidR="00A23DB2" w:rsidRPr="00C74674">
        <w:rPr>
          <w:rFonts w:ascii="Arial" w:eastAsia="Times New Roman" w:hAnsi="Arial" w:cs="Arial"/>
          <w:sz w:val="24"/>
          <w:szCs w:val="24"/>
          <w:lang w:val="es-ES_tradnl"/>
        </w:rPr>
        <w:t xml:space="preserve"> </w:t>
      </w:r>
      <w:r w:rsidR="00F65226" w:rsidRPr="00C74674">
        <w:rPr>
          <w:rFonts w:ascii="Arial" w:eastAsia="Times New Roman" w:hAnsi="Arial" w:cs="Arial"/>
          <w:sz w:val="24"/>
          <w:szCs w:val="24"/>
          <w:lang w:val="es-ES_tradnl"/>
        </w:rPr>
        <w:t xml:space="preserve">y </w:t>
      </w:r>
      <w:r w:rsidR="00436957" w:rsidRPr="00C74674">
        <w:rPr>
          <w:rFonts w:ascii="Arial" w:eastAsia="Times New Roman" w:hAnsi="Arial" w:cs="Arial"/>
          <w:sz w:val="24"/>
          <w:szCs w:val="24"/>
          <w:lang w:val="es-ES_tradnl"/>
        </w:rPr>
        <w:t>diez</w:t>
      </w:r>
      <w:r w:rsidR="00F65226" w:rsidRPr="00C74674">
        <w:rPr>
          <w:rFonts w:ascii="Arial" w:eastAsia="Times New Roman" w:hAnsi="Arial" w:cs="Arial"/>
          <w:sz w:val="24"/>
          <w:szCs w:val="24"/>
          <w:lang w:val="es-ES_tradnl"/>
        </w:rPr>
        <w:t xml:space="preserve"> meses aproximadamente </w:t>
      </w:r>
      <w:r w:rsidR="00044CBF" w:rsidRPr="00C74674">
        <w:rPr>
          <w:rFonts w:ascii="Arial" w:eastAsia="Times New Roman" w:hAnsi="Arial" w:cs="Arial"/>
          <w:sz w:val="24"/>
          <w:szCs w:val="24"/>
          <w:lang w:val="es-ES_tradnl"/>
        </w:rPr>
        <w:t xml:space="preserve">–en los que se cuenta 6 meses de suspensión de términos judiciales por la emergencia sanitaria declarada por el Covid -19-, </w:t>
      </w:r>
      <w:r w:rsidR="00436957" w:rsidRPr="00C74674">
        <w:rPr>
          <w:rFonts w:ascii="Arial" w:eastAsia="Times New Roman" w:hAnsi="Arial" w:cs="Arial"/>
          <w:sz w:val="24"/>
          <w:szCs w:val="24"/>
          <w:lang w:val="es-ES_tradnl"/>
        </w:rPr>
        <w:t xml:space="preserve">en el cual se recolectó el material probatorio necesario para definir el asunto, </w:t>
      </w:r>
      <w:r w:rsidR="05BC0E95" w:rsidRPr="00C74674">
        <w:rPr>
          <w:rFonts w:ascii="Arial" w:eastAsia="Times New Roman" w:hAnsi="Arial" w:cs="Arial"/>
          <w:sz w:val="24"/>
          <w:szCs w:val="24"/>
          <w:lang w:val="es-ES_tradnl"/>
        </w:rPr>
        <w:t xml:space="preserve">de manera específica en la audiencia, </w:t>
      </w:r>
      <w:r w:rsidR="00436957" w:rsidRPr="00C74674">
        <w:rPr>
          <w:rFonts w:ascii="Arial" w:eastAsia="Times New Roman" w:hAnsi="Arial" w:cs="Arial"/>
          <w:sz w:val="24"/>
          <w:szCs w:val="24"/>
          <w:lang w:val="es-ES_tradnl"/>
        </w:rPr>
        <w:t>el interrogatorio de parte a la demandante por parte de los apoderados judiciales de las entidades demandadas. Del interrogatorio de parte a</w:t>
      </w:r>
      <w:r w:rsidR="00D54725" w:rsidRPr="00C74674">
        <w:rPr>
          <w:rFonts w:ascii="Arial" w:eastAsia="Times New Roman" w:hAnsi="Arial" w:cs="Arial"/>
          <w:sz w:val="24"/>
          <w:szCs w:val="24"/>
          <w:lang w:val="es-ES_tradnl"/>
        </w:rPr>
        <w:t xml:space="preserve"> </w:t>
      </w:r>
      <w:r w:rsidR="00436957" w:rsidRPr="00C74674">
        <w:rPr>
          <w:rFonts w:ascii="Arial" w:eastAsia="Times New Roman" w:hAnsi="Arial" w:cs="Arial"/>
          <w:sz w:val="24"/>
          <w:szCs w:val="24"/>
          <w:lang w:val="es-ES_tradnl"/>
        </w:rPr>
        <w:t>l</w:t>
      </w:r>
      <w:r w:rsidR="00D54725" w:rsidRPr="00C74674">
        <w:rPr>
          <w:rFonts w:ascii="Arial" w:eastAsia="Times New Roman" w:hAnsi="Arial" w:cs="Arial"/>
          <w:sz w:val="24"/>
          <w:szCs w:val="24"/>
          <w:lang w:val="es-ES_tradnl"/>
        </w:rPr>
        <w:t>os</w:t>
      </w:r>
      <w:r w:rsidR="00436957" w:rsidRPr="00C74674">
        <w:rPr>
          <w:rFonts w:ascii="Arial" w:eastAsia="Times New Roman" w:hAnsi="Arial" w:cs="Arial"/>
          <w:sz w:val="24"/>
          <w:szCs w:val="24"/>
          <w:lang w:val="es-ES_tradnl"/>
        </w:rPr>
        <w:t xml:space="preserve"> Representante</w:t>
      </w:r>
      <w:r w:rsidR="00D54725" w:rsidRPr="00C74674">
        <w:rPr>
          <w:rFonts w:ascii="Arial" w:eastAsia="Times New Roman" w:hAnsi="Arial" w:cs="Arial"/>
          <w:sz w:val="24"/>
          <w:szCs w:val="24"/>
          <w:lang w:val="es-ES_tradnl"/>
        </w:rPr>
        <w:t>s</w:t>
      </w:r>
      <w:r w:rsidR="00436957" w:rsidRPr="00C74674">
        <w:rPr>
          <w:rFonts w:ascii="Arial" w:eastAsia="Times New Roman" w:hAnsi="Arial" w:cs="Arial"/>
          <w:sz w:val="24"/>
          <w:szCs w:val="24"/>
          <w:lang w:val="es-ES_tradnl"/>
        </w:rPr>
        <w:t xml:space="preserve"> legal</w:t>
      </w:r>
      <w:r w:rsidR="00D54725" w:rsidRPr="00C74674">
        <w:rPr>
          <w:rFonts w:ascii="Arial" w:eastAsia="Times New Roman" w:hAnsi="Arial" w:cs="Arial"/>
          <w:sz w:val="24"/>
          <w:szCs w:val="24"/>
          <w:lang w:val="es-ES_tradnl"/>
        </w:rPr>
        <w:t>es</w:t>
      </w:r>
      <w:r w:rsidR="00436957" w:rsidRPr="00C74674">
        <w:rPr>
          <w:rFonts w:ascii="Arial" w:eastAsia="Times New Roman" w:hAnsi="Arial" w:cs="Arial"/>
          <w:sz w:val="24"/>
          <w:szCs w:val="24"/>
          <w:lang w:val="es-ES_tradnl"/>
        </w:rPr>
        <w:t xml:space="preserve"> de Porvenir S.A.</w:t>
      </w:r>
      <w:r w:rsidR="00D54725" w:rsidRPr="00C74674">
        <w:rPr>
          <w:rFonts w:ascii="Arial" w:eastAsia="Times New Roman" w:hAnsi="Arial" w:cs="Arial"/>
          <w:sz w:val="24"/>
          <w:szCs w:val="24"/>
          <w:lang w:val="es-ES_tradnl"/>
        </w:rPr>
        <w:t xml:space="preserve"> Protección S.A.</w:t>
      </w:r>
      <w:r w:rsidR="00436957" w:rsidRPr="00C74674">
        <w:rPr>
          <w:rFonts w:ascii="Arial" w:eastAsia="Times New Roman" w:hAnsi="Arial" w:cs="Arial"/>
          <w:sz w:val="24"/>
          <w:szCs w:val="24"/>
          <w:lang w:val="es-ES_tradnl"/>
        </w:rPr>
        <w:t xml:space="preserve"> y</w:t>
      </w:r>
      <w:r w:rsidR="00D54725" w:rsidRPr="00C74674">
        <w:rPr>
          <w:rFonts w:ascii="Arial" w:eastAsia="Times New Roman" w:hAnsi="Arial" w:cs="Arial"/>
          <w:sz w:val="24"/>
          <w:szCs w:val="24"/>
          <w:lang w:val="es-ES_tradnl"/>
        </w:rPr>
        <w:t xml:space="preserve"> de las declaraciones de los señores Julio César Bautista y Claudia Patricia Hernández</w:t>
      </w:r>
      <w:r w:rsidR="00436957" w:rsidRPr="00C74674">
        <w:rPr>
          <w:rFonts w:ascii="Arial" w:eastAsia="Times New Roman" w:hAnsi="Arial" w:cs="Arial"/>
          <w:sz w:val="24"/>
          <w:szCs w:val="24"/>
          <w:lang w:val="es-ES_tradnl"/>
        </w:rPr>
        <w:t xml:space="preserve">  la parte actora desistió en la audiencia de que trata el artículo 80 del Código Procesal del Trabajo y la Seguridad Social,</w:t>
      </w:r>
      <w:r w:rsidR="0089369D" w:rsidRPr="00C74674">
        <w:rPr>
          <w:rFonts w:ascii="Arial" w:eastAsia="Times New Roman" w:hAnsi="Arial" w:cs="Arial"/>
          <w:sz w:val="24"/>
          <w:szCs w:val="24"/>
          <w:lang w:val="es-ES_tradnl"/>
        </w:rPr>
        <w:t xml:space="preserve"> lo que </w:t>
      </w:r>
      <w:r w:rsidR="005B3A22" w:rsidRPr="00C74674">
        <w:rPr>
          <w:rFonts w:ascii="Arial" w:eastAsia="Times New Roman" w:hAnsi="Arial" w:cs="Arial"/>
          <w:sz w:val="24"/>
          <w:szCs w:val="24"/>
          <w:lang w:val="es-ES_tradnl"/>
        </w:rPr>
        <w:t xml:space="preserve">indica que la definición del asunto, no era de tal identidad que se </w:t>
      </w:r>
      <w:r w:rsidR="3DFA5D62" w:rsidRPr="00C74674">
        <w:rPr>
          <w:rFonts w:ascii="Arial" w:eastAsia="Times New Roman" w:hAnsi="Arial" w:cs="Arial"/>
          <w:sz w:val="24"/>
          <w:szCs w:val="24"/>
          <w:lang w:val="es-ES_tradnl"/>
        </w:rPr>
        <w:t>pueda pregonar como</w:t>
      </w:r>
      <w:r w:rsidR="005B3A22" w:rsidRPr="00C74674">
        <w:rPr>
          <w:rFonts w:ascii="Arial" w:eastAsia="Times New Roman" w:hAnsi="Arial" w:cs="Arial"/>
          <w:sz w:val="24"/>
          <w:szCs w:val="24"/>
          <w:lang w:val="es-ES_tradnl"/>
        </w:rPr>
        <w:t xml:space="preserve"> un debate probatorio complejo, pues con los documentos recolectados en la etapa correspondiente y </w:t>
      </w:r>
      <w:r w:rsidR="0089369D" w:rsidRPr="00C74674">
        <w:rPr>
          <w:rFonts w:ascii="Arial" w:eastAsia="Times New Roman" w:hAnsi="Arial" w:cs="Arial"/>
          <w:sz w:val="24"/>
          <w:szCs w:val="24"/>
          <w:lang w:val="es-ES_tradnl"/>
        </w:rPr>
        <w:t xml:space="preserve">los interrogatorios </w:t>
      </w:r>
      <w:r w:rsidR="001614DA" w:rsidRPr="00C74674">
        <w:rPr>
          <w:rFonts w:ascii="Arial" w:eastAsia="Times New Roman" w:hAnsi="Arial" w:cs="Arial"/>
          <w:sz w:val="24"/>
          <w:szCs w:val="24"/>
          <w:lang w:val="es-ES_tradnl"/>
        </w:rPr>
        <w:t>realizado</w:t>
      </w:r>
      <w:r w:rsidR="0089369D" w:rsidRPr="00C74674">
        <w:rPr>
          <w:rFonts w:ascii="Arial" w:eastAsia="Times New Roman" w:hAnsi="Arial" w:cs="Arial"/>
          <w:sz w:val="24"/>
          <w:szCs w:val="24"/>
          <w:lang w:val="es-ES_tradnl"/>
        </w:rPr>
        <w:t>s</w:t>
      </w:r>
      <w:r w:rsidR="005B3A22" w:rsidRPr="00C74674">
        <w:rPr>
          <w:rFonts w:ascii="Arial" w:eastAsia="Times New Roman" w:hAnsi="Arial" w:cs="Arial"/>
          <w:sz w:val="24"/>
          <w:szCs w:val="24"/>
          <w:lang w:val="es-ES_tradnl"/>
        </w:rPr>
        <w:t xml:space="preserve"> bastó para que se tomara decisión de fondo que tampoco mereció mayores disquisiciones en la instancia anterior.</w:t>
      </w:r>
      <w:r w:rsidR="00F65226" w:rsidRPr="00C74674">
        <w:rPr>
          <w:rFonts w:ascii="Arial" w:eastAsia="Times New Roman" w:hAnsi="Arial" w:cs="Arial"/>
          <w:sz w:val="24"/>
          <w:szCs w:val="24"/>
          <w:lang w:val="es-ES_tradnl"/>
        </w:rPr>
        <w:t xml:space="preserve"> </w:t>
      </w:r>
      <w:r w:rsidR="002D2E44" w:rsidRPr="00C74674">
        <w:rPr>
          <w:rFonts w:ascii="Arial" w:eastAsia="Times New Roman" w:hAnsi="Arial" w:cs="Arial"/>
          <w:sz w:val="24"/>
          <w:szCs w:val="24"/>
          <w:lang w:val="es-ES_tradnl"/>
        </w:rPr>
        <w:t xml:space="preserve"> Por lo demás, la parte demandante estuvo presente </w:t>
      </w:r>
      <w:r w:rsidR="0089369D" w:rsidRPr="00C74674">
        <w:rPr>
          <w:rFonts w:ascii="Arial" w:eastAsia="Times New Roman" w:hAnsi="Arial" w:cs="Arial"/>
          <w:sz w:val="24"/>
          <w:szCs w:val="24"/>
          <w:lang w:val="es-ES_tradnl"/>
        </w:rPr>
        <w:t>en la audiencia programada</w:t>
      </w:r>
      <w:r w:rsidR="002D2E44" w:rsidRPr="00C74674">
        <w:rPr>
          <w:rFonts w:ascii="Arial" w:eastAsia="Times New Roman" w:hAnsi="Arial" w:cs="Arial"/>
          <w:sz w:val="24"/>
          <w:szCs w:val="24"/>
          <w:lang w:val="es-ES_tradnl"/>
        </w:rPr>
        <w:t xml:space="preserve"> </w:t>
      </w:r>
      <w:r w:rsidR="00794C51" w:rsidRPr="00C74674">
        <w:rPr>
          <w:rFonts w:ascii="Arial" w:eastAsia="Times New Roman" w:hAnsi="Arial" w:cs="Arial"/>
          <w:sz w:val="24"/>
          <w:szCs w:val="24"/>
          <w:lang w:val="es-ES_tradnl"/>
        </w:rPr>
        <w:t>por el juzgado de conocimiento</w:t>
      </w:r>
      <w:r w:rsidR="0089369D" w:rsidRPr="00C74674">
        <w:rPr>
          <w:rFonts w:ascii="Arial" w:eastAsia="Times New Roman" w:hAnsi="Arial" w:cs="Arial"/>
          <w:sz w:val="24"/>
          <w:szCs w:val="24"/>
          <w:lang w:val="es-ES_tradnl"/>
        </w:rPr>
        <w:t>, en la cual se surtieron la obligatoria de conciliación, de decisión de excepciones previas, de saneamiento y fijación de litigio y la de juzgamiento, de manera unificada.</w:t>
      </w:r>
    </w:p>
    <w:p w14:paraId="2946DB82" w14:textId="77777777" w:rsidR="002D2E44" w:rsidRPr="00C74674" w:rsidRDefault="002D2E44" w:rsidP="00B876C5">
      <w:pPr>
        <w:spacing w:after="0" w:line="264" w:lineRule="auto"/>
        <w:ind w:left="425" w:right="420"/>
        <w:jc w:val="both"/>
        <w:rPr>
          <w:rFonts w:ascii="Arial" w:eastAsia="Times New Roman" w:hAnsi="Arial" w:cs="Arial"/>
          <w:sz w:val="24"/>
          <w:szCs w:val="24"/>
          <w:lang w:val="es-ES_tradnl"/>
        </w:rPr>
      </w:pPr>
    </w:p>
    <w:p w14:paraId="17F6DDAF" w14:textId="2B8C75F6" w:rsidR="00643078" w:rsidRPr="00C74674" w:rsidRDefault="0034789C"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 xml:space="preserve">En ese sentido entonces, </w:t>
      </w:r>
      <w:r w:rsidR="67040F85" w:rsidRPr="00C74674">
        <w:rPr>
          <w:rFonts w:ascii="Arial" w:eastAsia="Times New Roman" w:hAnsi="Arial" w:cs="Arial"/>
          <w:sz w:val="24"/>
          <w:szCs w:val="24"/>
          <w:lang w:val="es-ES_tradnl"/>
        </w:rPr>
        <w:t xml:space="preserve">bajo la </w:t>
      </w:r>
      <w:r w:rsidR="12F963AD" w:rsidRPr="00C74674">
        <w:rPr>
          <w:rFonts w:ascii="Arial" w:eastAsia="Times New Roman" w:hAnsi="Arial" w:cs="Arial"/>
          <w:sz w:val="24"/>
          <w:szCs w:val="24"/>
          <w:lang w:val="es-ES_tradnl"/>
        </w:rPr>
        <w:t>concepción</w:t>
      </w:r>
      <w:r w:rsidR="67040F85" w:rsidRPr="00C74674">
        <w:rPr>
          <w:rFonts w:ascii="Arial" w:eastAsia="Times New Roman" w:hAnsi="Arial" w:cs="Arial"/>
          <w:sz w:val="24"/>
          <w:szCs w:val="24"/>
          <w:lang w:val="es-ES_tradnl"/>
        </w:rPr>
        <w:t xml:space="preserve"> -no discutida por ninguna de las partes en este asunto</w:t>
      </w:r>
      <w:r w:rsidR="0A2ACC36" w:rsidRPr="00C74674">
        <w:rPr>
          <w:rFonts w:ascii="Arial" w:eastAsia="Times New Roman" w:hAnsi="Arial" w:cs="Arial"/>
          <w:sz w:val="24"/>
          <w:szCs w:val="24"/>
          <w:lang w:val="es-ES_tradnl"/>
        </w:rPr>
        <w:t>-</w:t>
      </w:r>
      <w:r w:rsidR="63E686BD" w:rsidRPr="00C74674">
        <w:rPr>
          <w:rFonts w:ascii="Arial" w:eastAsia="Times New Roman" w:hAnsi="Arial" w:cs="Arial"/>
          <w:sz w:val="24"/>
          <w:szCs w:val="24"/>
          <w:lang w:val="es-ES_tradnl"/>
        </w:rPr>
        <w:t xml:space="preserve"> que bajo la actual óptica de la Corte implica </w:t>
      </w:r>
      <w:r w:rsidR="67040F85" w:rsidRPr="00C74674">
        <w:rPr>
          <w:rFonts w:ascii="Arial" w:eastAsia="Times New Roman" w:hAnsi="Arial" w:cs="Arial"/>
          <w:sz w:val="24"/>
          <w:szCs w:val="24"/>
          <w:lang w:val="es-ES_tradnl"/>
        </w:rPr>
        <w:t>que la</w:t>
      </w:r>
      <w:r w:rsidR="26F7509E" w:rsidRPr="00C74674">
        <w:rPr>
          <w:rFonts w:ascii="Arial" w:eastAsia="Times New Roman" w:hAnsi="Arial" w:cs="Arial"/>
          <w:sz w:val="24"/>
          <w:szCs w:val="24"/>
          <w:lang w:val="es-ES_tradnl"/>
        </w:rPr>
        <w:t>s</w:t>
      </w:r>
      <w:r w:rsidR="67040F85" w:rsidRPr="00C74674">
        <w:rPr>
          <w:rFonts w:ascii="Arial" w:eastAsia="Times New Roman" w:hAnsi="Arial" w:cs="Arial"/>
          <w:sz w:val="24"/>
          <w:szCs w:val="24"/>
          <w:lang w:val="es-ES_tradnl"/>
        </w:rPr>
        <w:t xml:space="preserve"> sentencia</w:t>
      </w:r>
      <w:r w:rsidR="76F344AF" w:rsidRPr="00C74674">
        <w:rPr>
          <w:rFonts w:ascii="Arial" w:eastAsia="Times New Roman" w:hAnsi="Arial" w:cs="Arial"/>
          <w:sz w:val="24"/>
          <w:szCs w:val="24"/>
          <w:lang w:val="es-ES_tradnl"/>
        </w:rPr>
        <w:t>s que se profieren en esta clase de asuntos,</w:t>
      </w:r>
      <w:r w:rsidR="67040F85" w:rsidRPr="00C74674">
        <w:rPr>
          <w:rFonts w:ascii="Arial" w:eastAsia="Times New Roman" w:hAnsi="Arial" w:cs="Arial"/>
          <w:sz w:val="24"/>
          <w:szCs w:val="24"/>
          <w:lang w:val="es-ES_tradnl"/>
        </w:rPr>
        <w:t xml:space="preserve"> solo contempl</w:t>
      </w:r>
      <w:r w:rsidR="02AAD61A" w:rsidRPr="00C74674">
        <w:rPr>
          <w:rFonts w:ascii="Arial" w:eastAsia="Times New Roman" w:hAnsi="Arial" w:cs="Arial"/>
          <w:sz w:val="24"/>
          <w:szCs w:val="24"/>
          <w:lang w:val="es-ES_tradnl"/>
        </w:rPr>
        <w:t>an</w:t>
      </w:r>
      <w:r w:rsidR="67040F85" w:rsidRPr="00C74674">
        <w:rPr>
          <w:rFonts w:ascii="Arial" w:eastAsia="Times New Roman" w:hAnsi="Arial" w:cs="Arial"/>
          <w:sz w:val="24"/>
          <w:szCs w:val="24"/>
          <w:lang w:val="es-ES_tradnl"/>
        </w:rPr>
        <w:t xml:space="preserve"> obligaciones de hacer</w:t>
      </w:r>
      <w:r w:rsidR="2FE98B59" w:rsidRPr="00C74674">
        <w:rPr>
          <w:rFonts w:ascii="Arial" w:eastAsia="Times New Roman" w:hAnsi="Arial" w:cs="Arial"/>
          <w:sz w:val="24"/>
          <w:szCs w:val="24"/>
          <w:lang w:val="es-ES_tradnl"/>
        </w:rPr>
        <w:t xml:space="preserve">, y que para estos eventos, </w:t>
      </w:r>
      <w:r w:rsidR="00643078" w:rsidRPr="00C74674">
        <w:rPr>
          <w:rFonts w:ascii="Arial" w:eastAsia="Times New Roman" w:hAnsi="Arial" w:cs="Arial"/>
          <w:sz w:val="24"/>
          <w:szCs w:val="24"/>
          <w:lang w:val="es-ES_tradnl"/>
        </w:rPr>
        <w:t xml:space="preserve">la norma que corresponde aplicar establece un tope máximo de diez (10) SMLMV a cargo de la parte vencida </w:t>
      </w:r>
      <w:r w:rsidR="008D4602" w:rsidRPr="00C74674">
        <w:rPr>
          <w:rFonts w:ascii="Arial" w:eastAsia="Times New Roman" w:hAnsi="Arial" w:cs="Arial"/>
          <w:sz w:val="24"/>
          <w:szCs w:val="24"/>
          <w:lang w:val="es-ES_tradnl"/>
        </w:rPr>
        <w:t>-la cual desde ya cabe decir que puede estar conformada por varios sujetos de derecho-</w:t>
      </w:r>
      <w:r w:rsidR="00643078" w:rsidRPr="00C74674">
        <w:rPr>
          <w:rFonts w:ascii="Arial" w:eastAsia="Times New Roman" w:hAnsi="Arial" w:cs="Arial"/>
          <w:sz w:val="24"/>
          <w:szCs w:val="24"/>
          <w:lang w:val="es-ES_tradnl"/>
        </w:rPr>
        <w:t xml:space="preserve">, dada la duración y actividad desplegada por la actora, considera que a título de agencias en derecho debe tasarse el equivalente a </w:t>
      </w:r>
      <w:r w:rsidR="23B3665F" w:rsidRPr="00C74674">
        <w:rPr>
          <w:rFonts w:ascii="Arial" w:eastAsia="Times New Roman" w:hAnsi="Arial" w:cs="Arial"/>
          <w:sz w:val="24"/>
          <w:szCs w:val="24"/>
          <w:lang w:val="es-ES_tradnl"/>
        </w:rPr>
        <w:t>tre</w:t>
      </w:r>
      <w:r w:rsidR="00643078" w:rsidRPr="00C74674">
        <w:rPr>
          <w:rFonts w:ascii="Arial" w:eastAsia="Times New Roman" w:hAnsi="Arial" w:cs="Arial"/>
          <w:sz w:val="24"/>
          <w:szCs w:val="24"/>
          <w:lang w:val="es-ES_tradnl"/>
        </w:rPr>
        <w:t>s (</w:t>
      </w:r>
      <w:r w:rsidR="1B550767" w:rsidRPr="00C74674">
        <w:rPr>
          <w:rFonts w:ascii="Arial" w:eastAsia="Times New Roman" w:hAnsi="Arial" w:cs="Arial"/>
          <w:sz w:val="24"/>
          <w:szCs w:val="24"/>
          <w:lang w:val="es-ES_tradnl"/>
        </w:rPr>
        <w:t>3</w:t>
      </w:r>
      <w:r w:rsidR="00643078" w:rsidRPr="00C74674">
        <w:rPr>
          <w:rFonts w:ascii="Arial" w:eastAsia="Times New Roman" w:hAnsi="Arial" w:cs="Arial"/>
          <w:sz w:val="24"/>
          <w:szCs w:val="24"/>
          <w:lang w:val="es-ES_tradnl"/>
        </w:rPr>
        <w:t>) salarios mín</w:t>
      </w:r>
      <w:r w:rsidR="00D54725" w:rsidRPr="00C74674">
        <w:rPr>
          <w:rFonts w:ascii="Arial" w:eastAsia="Times New Roman" w:hAnsi="Arial" w:cs="Arial"/>
          <w:sz w:val="24"/>
          <w:szCs w:val="24"/>
          <w:lang w:val="es-ES_tradnl"/>
        </w:rPr>
        <w:t>imos mensuales legales vigentes, que al aplicarle el porcentaje ordenado en la sentencia, esto es el 80%, arroja un valor igual a $</w:t>
      </w:r>
      <w:r w:rsidR="0305D8F8" w:rsidRPr="00C74674">
        <w:rPr>
          <w:rFonts w:ascii="Arial" w:eastAsia="Times New Roman" w:hAnsi="Arial" w:cs="Arial"/>
          <w:sz w:val="24"/>
          <w:szCs w:val="24"/>
          <w:lang w:val="es-ES_tradnl"/>
        </w:rPr>
        <w:t>2.180.462.40</w:t>
      </w:r>
      <w:r w:rsidR="00D54725" w:rsidRPr="00C74674">
        <w:rPr>
          <w:rFonts w:ascii="Arial" w:eastAsia="Times New Roman" w:hAnsi="Arial" w:cs="Arial"/>
          <w:sz w:val="24"/>
          <w:szCs w:val="24"/>
          <w:lang w:val="es-ES_tradnl"/>
        </w:rPr>
        <w:t>.</w:t>
      </w:r>
    </w:p>
    <w:p w14:paraId="5997CC1D" w14:textId="77777777" w:rsidR="0A23BECD" w:rsidRPr="00C74674" w:rsidRDefault="0A23BECD" w:rsidP="00B876C5">
      <w:pPr>
        <w:spacing w:after="0" w:line="264" w:lineRule="auto"/>
        <w:ind w:left="425" w:right="420"/>
        <w:jc w:val="both"/>
        <w:rPr>
          <w:rFonts w:ascii="Arial" w:eastAsia="Times New Roman" w:hAnsi="Arial" w:cs="Arial"/>
          <w:sz w:val="24"/>
          <w:szCs w:val="24"/>
          <w:lang w:val="es-ES_tradnl"/>
        </w:rPr>
      </w:pPr>
    </w:p>
    <w:p w14:paraId="00E33FC0" w14:textId="77777777" w:rsidR="00D54725" w:rsidRPr="00C74674" w:rsidRDefault="00D54725"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 xml:space="preserve">En lo que atañe a las costas de segunda instancia estas deben ser ajustadas a 1 salario mínimo mensual legal vigente a cargo de la parte demandada, pues en esta Sede el proceso tuvo una duración de poco menos cuatro meses, dentro de los que se cuenta la vacancia judicial y donde la parte actora presentó alegatos de conclusión de manera oportuna. </w:t>
      </w:r>
    </w:p>
    <w:p w14:paraId="110FFD37" w14:textId="77777777" w:rsidR="00D54725" w:rsidRPr="00C74674" w:rsidRDefault="00D54725" w:rsidP="00B876C5">
      <w:pPr>
        <w:spacing w:after="0" w:line="264" w:lineRule="auto"/>
        <w:ind w:left="425" w:right="420"/>
        <w:jc w:val="both"/>
        <w:rPr>
          <w:rFonts w:ascii="Arial" w:eastAsia="Times New Roman" w:hAnsi="Arial" w:cs="Arial"/>
          <w:sz w:val="24"/>
          <w:szCs w:val="24"/>
          <w:lang w:val="es-ES_tradnl"/>
        </w:rPr>
      </w:pPr>
    </w:p>
    <w:p w14:paraId="65974825" w14:textId="60CE88A7" w:rsidR="00D54725" w:rsidRPr="00C74674" w:rsidRDefault="00D54725" w:rsidP="00B876C5">
      <w:pPr>
        <w:spacing w:after="0" w:line="264" w:lineRule="auto"/>
        <w:ind w:left="425" w:right="420"/>
        <w:jc w:val="both"/>
        <w:rPr>
          <w:rFonts w:ascii="Arial" w:eastAsia="Times New Roman" w:hAnsi="Arial" w:cs="Arial"/>
          <w:sz w:val="24"/>
          <w:szCs w:val="24"/>
          <w:lang w:val="es-ES_tradnl"/>
        </w:rPr>
      </w:pPr>
      <w:r w:rsidRPr="00C74674">
        <w:rPr>
          <w:rFonts w:ascii="Arial" w:eastAsia="Times New Roman" w:hAnsi="Arial" w:cs="Arial"/>
          <w:sz w:val="24"/>
          <w:szCs w:val="24"/>
          <w:lang w:val="es-ES_tradnl"/>
        </w:rPr>
        <w:t>De acuerdo con lo expuesto, se modificará la tasación efectuada en primer grado en los términos antes señalados.</w:t>
      </w:r>
      <w:r w:rsidR="00B42B2C" w:rsidRPr="00C74674">
        <w:rPr>
          <w:rFonts w:ascii="Arial" w:eastAsia="Times New Roman" w:hAnsi="Arial" w:cs="Arial"/>
          <w:sz w:val="24"/>
          <w:szCs w:val="24"/>
          <w:lang w:val="es-ES_tradnl"/>
        </w:rPr>
        <w:t>”</w:t>
      </w:r>
      <w:r w:rsidRPr="00C74674">
        <w:rPr>
          <w:rFonts w:ascii="Arial" w:eastAsia="Times New Roman" w:hAnsi="Arial" w:cs="Arial"/>
          <w:sz w:val="24"/>
          <w:szCs w:val="24"/>
          <w:lang w:val="es-ES_tradnl"/>
        </w:rPr>
        <w:t xml:space="preserve">  </w:t>
      </w:r>
    </w:p>
    <w:bookmarkEnd w:id="0"/>
    <w:p w14:paraId="6B699379" w14:textId="77777777" w:rsidR="00D54725" w:rsidRPr="00671B5E" w:rsidRDefault="00D54725" w:rsidP="00671B5E">
      <w:pPr>
        <w:pStyle w:val="Textoindependiente"/>
        <w:spacing w:line="276" w:lineRule="auto"/>
        <w:rPr>
          <w:rFonts w:cs="Arial"/>
          <w:sz w:val="24"/>
          <w:szCs w:val="24"/>
        </w:rPr>
      </w:pPr>
    </w:p>
    <w:p w14:paraId="4A757C47" w14:textId="77777777" w:rsidR="00B42B2C" w:rsidRPr="00671B5E" w:rsidRDefault="00B42B2C" w:rsidP="00671B5E">
      <w:pPr>
        <w:pStyle w:val="Textoindependiente"/>
        <w:spacing w:line="276" w:lineRule="auto"/>
        <w:rPr>
          <w:rFonts w:cs="Arial"/>
          <w:sz w:val="24"/>
          <w:szCs w:val="24"/>
        </w:rPr>
      </w:pPr>
      <w:r w:rsidRPr="00671B5E">
        <w:rPr>
          <w:rFonts w:cs="Arial"/>
          <w:sz w:val="24"/>
          <w:szCs w:val="24"/>
        </w:rPr>
        <w:t>Como puede verse, mi percepción sobre forma de cuantificar las agencias en derecho en esta clase de procesos en los que, en la actualidad, la actividad procesal y probatoria es mínima, difiere de la que tienen los demás miembros de la Sala y es por ello que me corresponde salvar el voto, como en efecto acá queda hecho.</w:t>
      </w:r>
    </w:p>
    <w:p w14:paraId="15C81698" w14:textId="381785E2" w:rsidR="00671B5E" w:rsidRDefault="00671B5E" w:rsidP="00671B5E">
      <w:pPr>
        <w:pStyle w:val="Textoindependiente"/>
        <w:spacing w:line="276" w:lineRule="auto"/>
        <w:rPr>
          <w:rFonts w:cs="Arial"/>
          <w:sz w:val="24"/>
          <w:szCs w:val="24"/>
        </w:rPr>
      </w:pPr>
    </w:p>
    <w:p w14:paraId="7977FF92" w14:textId="0923749A" w:rsidR="00671B5E" w:rsidRDefault="00671B5E" w:rsidP="00671B5E">
      <w:pPr>
        <w:pStyle w:val="Textoindependiente"/>
        <w:spacing w:line="276" w:lineRule="auto"/>
        <w:rPr>
          <w:rFonts w:cs="Arial"/>
          <w:sz w:val="24"/>
          <w:szCs w:val="24"/>
        </w:rPr>
      </w:pPr>
    </w:p>
    <w:p w14:paraId="303CF58A" w14:textId="77777777" w:rsidR="00B876C5" w:rsidRPr="00671B5E" w:rsidRDefault="00B876C5" w:rsidP="00671B5E">
      <w:pPr>
        <w:pStyle w:val="Textoindependiente"/>
        <w:spacing w:line="276" w:lineRule="auto"/>
        <w:rPr>
          <w:rFonts w:cs="Arial"/>
          <w:sz w:val="24"/>
          <w:szCs w:val="24"/>
        </w:rPr>
      </w:pPr>
    </w:p>
    <w:p w14:paraId="27F16769" w14:textId="77777777" w:rsidR="00B42B2C" w:rsidRPr="00671B5E" w:rsidRDefault="00B42B2C" w:rsidP="00671B5E">
      <w:pPr>
        <w:spacing w:after="0"/>
        <w:jc w:val="center"/>
        <w:rPr>
          <w:rFonts w:ascii="Arial" w:hAnsi="Arial" w:cs="Arial"/>
          <w:b/>
          <w:i/>
          <w:sz w:val="24"/>
          <w:szCs w:val="24"/>
        </w:rPr>
      </w:pPr>
      <w:r w:rsidRPr="00671B5E">
        <w:rPr>
          <w:rFonts w:ascii="Arial" w:hAnsi="Arial" w:cs="Arial"/>
          <w:b/>
          <w:i/>
          <w:sz w:val="24"/>
          <w:szCs w:val="24"/>
        </w:rPr>
        <w:t>JULIO CÉSAR SALAZAR MUÑOZ</w:t>
      </w:r>
    </w:p>
    <w:p w14:paraId="17AD93B2" w14:textId="035EB360" w:rsidR="00967ABD" w:rsidRPr="00671B5E" w:rsidRDefault="00B42B2C" w:rsidP="00671B5E">
      <w:pPr>
        <w:spacing w:after="0"/>
        <w:jc w:val="center"/>
        <w:rPr>
          <w:rFonts w:ascii="Arial" w:hAnsi="Arial" w:cs="Arial"/>
          <w:sz w:val="24"/>
          <w:szCs w:val="24"/>
        </w:rPr>
      </w:pPr>
      <w:r w:rsidRPr="00671B5E">
        <w:rPr>
          <w:rFonts w:ascii="Arial" w:hAnsi="Arial" w:cs="Arial"/>
          <w:i/>
          <w:sz w:val="24"/>
          <w:szCs w:val="24"/>
        </w:rPr>
        <w:t>Magistrado</w:t>
      </w:r>
    </w:p>
    <w:sectPr w:rsidR="00967ABD" w:rsidRPr="00671B5E" w:rsidSect="00783227">
      <w:headerReference w:type="default" r:id="rId11"/>
      <w:footerReference w:type="default" r:id="rId12"/>
      <w:pgSz w:w="12240" w:h="18720"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CCE3" w14:textId="77777777" w:rsidR="00F76BA2" w:rsidRDefault="00F76BA2">
      <w:pPr>
        <w:spacing w:after="0" w:line="240" w:lineRule="auto"/>
      </w:pPr>
      <w:r>
        <w:separator/>
      </w:r>
    </w:p>
  </w:endnote>
  <w:endnote w:type="continuationSeparator" w:id="0">
    <w:p w14:paraId="01C7BECD" w14:textId="77777777" w:rsidR="00F76BA2" w:rsidRDefault="00F7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B876C5" w:rsidRDefault="00941435" w:rsidP="00B876C5">
    <w:pPr>
      <w:pStyle w:val="Piedepgina"/>
      <w:spacing w:after="0"/>
      <w:jc w:val="right"/>
      <w:rPr>
        <w:rFonts w:ascii="Arial" w:hAnsi="Arial" w:cs="Arial"/>
        <w:sz w:val="18"/>
      </w:rPr>
    </w:pPr>
    <w:r w:rsidRPr="00B876C5">
      <w:rPr>
        <w:rFonts w:ascii="Arial" w:hAnsi="Arial" w:cs="Arial"/>
        <w:noProof/>
        <w:sz w:val="18"/>
        <w:lang w:val="es-ES"/>
      </w:rPr>
      <w:fldChar w:fldCharType="begin"/>
    </w:r>
    <w:r w:rsidR="00B7659C" w:rsidRPr="00B876C5">
      <w:rPr>
        <w:rFonts w:ascii="Arial" w:hAnsi="Arial" w:cs="Arial"/>
        <w:noProof/>
        <w:sz w:val="18"/>
        <w:lang w:val="es-ES"/>
      </w:rPr>
      <w:instrText>PAGE   \* MERGEFORMAT</w:instrText>
    </w:r>
    <w:r w:rsidRPr="00B876C5">
      <w:rPr>
        <w:rFonts w:ascii="Arial" w:hAnsi="Arial" w:cs="Arial"/>
        <w:noProof/>
        <w:sz w:val="18"/>
        <w:lang w:val="es-ES"/>
      </w:rPr>
      <w:fldChar w:fldCharType="separate"/>
    </w:r>
    <w:r w:rsidR="00D54725" w:rsidRPr="00B876C5">
      <w:rPr>
        <w:rFonts w:ascii="Arial" w:hAnsi="Arial" w:cs="Arial"/>
        <w:noProof/>
        <w:sz w:val="18"/>
        <w:lang w:val="es-ES"/>
      </w:rPr>
      <w:t>8</w:t>
    </w:r>
    <w:r w:rsidRPr="00B876C5">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1A09" w14:textId="77777777" w:rsidR="00F76BA2" w:rsidRDefault="00F76BA2">
      <w:pPr>
        <w:spacing w:after="0" w:line="240" w:lineRule="auto"/>
      </w:pPr>
      <w:r>
        <w:separator/>
      </w:r>
    </w:p>
  </w:footnote>
  <w:footnote w:type="continuationSeparator" w:id="0">
    <w:p w14:paraId="07194BC1" w14:textId="77777777" w:rsidR="00F76BA2" w:rsidRDefault="00F76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4461" w14:textId="77777777" w:rsidR="00B876C5" w:rsidRPr="00B876C5" w:rsidRDefault="001D1E42" w:rsidP="00B876C5">
    <w:pPr>
      <w:pStyle w:val="Encabezado"/>
      <w:spacing w:after="0" w:line="240" w:lineRule="auto"/>
      <w:jc w:val="center"/>
      <w:rPr>
        <w:rFonts w:ascii="Arial" w:hAnsi="Arial" w:cs="Arial"/>
        <w:sz w:val="18"/>
        <w:szCs w:val="18"/>
      </w:rPr>
    </w:pPr>
    <w:r w:rsidRPr="00B876C5">
      <w:rPr>
        <w:rFonts w:ascii="Arial" w:hAnsi="Arial" w:cs="Arial"/>
        <w:sz w:val="18"/>
        <w:szCs w:val="18"/>
      </w:rPr>
      <w:t>María Cristina Ballesteros Prieto</w:t>
    </w:r>
    <w:r w:rsidR="00643078" w:rsidRPr="00B876C5">
      <w:rPr>
        <w:rFonts w:ascii="Arial" w:hAnsi="Arial" w:cs="Arial"/>
        <w:sz w:val="18"/>
        <w:szCs w:val="18"/>
      </w:rPr>
      <w:t xml:space="preserve"> </w:t>
    </w:r>
    <w:r w:rsidR="000F4F2B" w:rsidRPr="00B876C5">
      <w:rPr>
        <w:rFonts w:ascii="Arial" w:hAnsi="Arial" w:cs="Arial"/>
        <w:sz w:val="18"/>
        <w:szCs w:val="18"/>
      </w:rPr>
      <w:t>Vs</w:t>
    </w:r>
    <w:r w:rsidR="00C76F81" w:rsidRPr="00B876C5">
      <w:rPr>
        <w:rFonts w:ascii="Arial" w:hAnsi="Arial" w:cs="Arial"/>
        <w:sz w:val="18"/>
        <w:szCs w:val="18"/>
      </w:rPr>
      <w:t xml:space="preserve"> AFP P</w:t>
    </w:r>
    <w:r w:rsidR="00EC2CC3" w:rsidRPr="00B876C5">
      <w:rPr>
        <w:rFonts w:ascii="Arial" w:hAnsi="Arial" w:cs="Arial"/>
        <w:sz w:val="18"/>
        <w:szCs w:val="18"/>
      </w:rPr>
      <w:t>orvenir</w:t>
    </w:r>
    <w:r w:rsidR="00C76F81" w:rsidRPr="00B876C5">
      <w:rPr>
        <w:rFonts w:ascii="Arial" w:hAnsi="Arial" w:cs="Arial"/>
        <w:sz w:val="18"/>
        <w:szCs w:val="18"/>
      </w:rPr>
      <w:t xml:space="preserve"> S.A.</w:t>
    </w:r>
    <w:r w:rsidR="00311187" w:rsidRPr="00B876C5">
      <w:rPr>
        <w:rFonts w:ascii="Arial" w:hAnsi="Arial" w:cs="Arial"/>
        <w:sz w:val="18"/>
        <w:szCs w:val="18"/>
      </w:rPr>
      <w:t xml:space="preserve"> </w:t>
    </w:r>
    <w:r w:rsidR="00114C7C" w:rsidRPr="00B876C5">
      <w:rPr>
        <w:rFonts w:ascii="Arial" w:hAnsi="Arial" w:cs="Arial"/>
        <w:sz w:val="18"/>
        <w:szCs w:val="18"/>
      </w:rPr>
      <w:t>y otr</w:t>
    </w:r>
    <w:r w:rsidR="00C76F81" w:rsidRPr="00B876C5">
      <w:rPr>
        <w:rFonts w:ascii="Arial" w:hAnsi="Arial" w:cs="Arial"/>
        <w:sz w:val="18"/>
        <w:szCs w:val="18"/>
      </w:rPr>
      <w:t>a</w:t>
    </w:r>
  </w:p>
  <w:p w14:paraId="2DBF0D7D" w14:textId="70B9837D" w:rsidR="00627266" w:rsidRPr="00B876C5" w:rsidRDefault="00627266" w:rsidP="00B876C5">
    <w:pPr>
      <w:pStyle w:val="Encabezado"/>
      <w:spacing w:after="0" w:line="240" w:lineRule="auto"/>
      <w:jc w:val="center"/>
      <w:rPr>
        <w:rFonts w:ascii="Arial" w:hAnsi="Arial" w:cs="Arial"/>
        <w:sz w:val="18"/>
        <w:szCs w:val="18"/>
      </w:rPr>
    </w:pPr>
    <w:r w:rsidRPr="00B876C5">
      <w:rPr>
        <w:rFonts w:ascii="Arial" w:hAnsi="Arial" w:cs="Arial"/>
        <w:sz w:val="18"/>
        <w:szCs w:val="18"/>
      </w:rPr>
      <w:t xml:space="preserve">Rad. </w:t>
    </w:r>
    <w:r w:rsidR="00C76F81" w:rsidRPr="00B876C5">
      <w:rPr>
        <w:rFonts w:ascii="Arial" w:hAnsi="Arial" w:cs="Arial"/>
        <w:bCs/>
        <w:spacing w:val="2"/>
        <w:sz w:val="18"/>
        <w:szCs w:val="18"/>
      </w:rPr>
      <w:t>660013105</w:t>
    </w:r>
    <w:r w:rsidR="00643078" w:rsidRPr="00B876C5">
      <w:rPr>
        <w:rFonts w:ascii="Arial" w:hAnsi="Arial" w:cs="Arial"/>
        <w:bCs/>
        <w:spacing w:val="2"/>
        <w:sz w:val="18"/>
        <w:szCs w:val="18"/>
      </w:rPr>
      <w:t>002201800</w:t>
    </w:r>
    <w:r w:rsidR="0089369D" w:rsidRPr="00B876C5">
      <w:rPr>
        <w:rFonts w:ascii="Arial" w:hAnsi="Arial" w:cs="Arial"/>
        <w:bCs/>
        <w:spacing w:val="2"/>
        <w:sz w:val="18"/>
        <w:szCs w:val="18"/>
      </w:rPr>
      <w:t>042</w:t>
    </w:r>
    <w:r w:rsidR="00643078" w:rsidRPr="00B876C5">
      <w:rPr>
        <w:rFonts w:ascii="Arial" w:hAnsi="Arial" w:cs="Arial"/>
        <w:bCs/>
        <w:spacing w:val="2"/>
        <w:sz w:val="18"/>
        <w:szCs w:val="18"/>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13744"/>
    <w:rsid w:val="00017842"/>
    <w:rsid w:val="000239D3"/>
    <w:rsid w:val="000256DA"/>
    <w:rsid w:val="000313E5"/>
    <w:rsid w:val="00044CBF"/>
    <w:rsid w:val="000516DD"/>
    <w:rsid w:val="00053499"/>
    <w:rsid w:val="0005558D"/>
    <w:rsid w:val="00063F9B"/>
    <w:rsid w:val="00064580"/>
    <w:rsid w:val="000801F0"/>
    <w:rsid w:val="00087FDF"/>
    <w:rsid w:val="00093A3D"/>
    <w:rsid w:val="00094300"/>
    <w:rsid w:val="000A2417"/>
    <w:rsid w:val="000A2764"/>
    <w:rsid w:val="000A674F"/>
    <w:rsid w:val="000B122E"/>
    <w:rsid w:val="000D04FD"/>
    <w:rsid w:val="000D4432"/>
    <w:rsid w:val="000D6E1D"/>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68E5"/>
    <w:rsid w:val="00330C78"/>
    <w:rsid w:val="00331961"/>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3D53"/>
    <w:rsid w:val="003B7236"/>
    <w:rsid w:val="003B7C6F"/>
    <w:rsid w:val="003C03BC"/>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314A3"/>
    <w:rsid w:val="00436957"/>
    <w:rsid w:val="00441E20"/>
    <w:rsid w:val="004442DD"/>
    <w:rsid w:val="004503A4"/>
    <w:rsid w:val="00454EAE"/>
    <w:rsid w:val="00455C72"/>
    <w:rsid w:val="00461440"/>
    <w:rsid w:val="0048068F"/>
    <w:rsid w:val="0048188C"/>
    <w:rsid w:val="00481CC1"/>
    <w:rsid w:val="00486FAE"/>
    <w:rsid w:val="00490BF8"/>
    <w:rsid w:val="00492E8E"/>
    <w:rsid w:val="0049683F"/>
    <w:rsid w:val="004B503E"/>
    <w:rsid w:val="004C3F76"/>
    <w:rsid w:val="004C653B"/>
    <w:rsid w:val="004D029E"/>
    <w:rsid w:val="004D2CF6"/>
    <w:rsid w:val="004D302C"/>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659B9"/>
    <w:rsid w:val="00567192"/>
    <w:rsid w:val="00580FF2"/>
    <w:rsid w:val="00584AC6"/>
    <w:rsid w:val="0059346C"/>
    <w:rsid w:val="005A3734"/>
    <w:rsid w:val="005A7036"/>
    <w:rsid w:val="005B3A22"/>
    <w:rsid w:val="005E06E3"/>
    <w:rsid w:val="005E06EA"/>
    <w:rsid w:val="005E2307"/>
    <w:rsid w:val="005F2569"/>
    <w:rsid w:val="005F3B2B"/>
    <w:rsid w:val="006001A0"/>
    <w:rsid w:val="0060536D"/>
    <w:rsid w:val="0060636E"/>
    <w:rsid w:val="00606C6F"/>
    <w:rsid w:val="00610F47"/>
    <w:rsid w:val="0062693A"/>
    <w:rsid w:val="00627266"/>
    <w:rsid w:val="00631CCE"/>
    <w:rsid w:val="006406F7"/>
    <w:rsid w:val="00643078"/>
    <w:rsid w:val="0065187C"/>
    <w:rsid w:val="00655915"/>
    <w:rsid w:val="00662DBC"/>
    <w:rsid w:val="00664E7F"/>
    <w:rsid w:val="00665C2D"/>
    <w:rsid w:val="00667300"/>
    <w:rsid w:val="0066763E"/>
    <w:rsid w:val="00671B5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83227"/>
    <w:rsid w:val="0078463A"/>
    <w:rsid w:val="0079012F"/>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7546"/>
    <w:rsid w:val="00A87A07"/>
    <w:rsid w:val="00A902DA"/>
    <w:rsid w:val="00A92778"/>
    <w:rsid w:val="00AA0AD2"/>
    <w:rsid w:val="00AA40F8"/>
    <w:rsid w:val="00AA66B1"/>
    <w:rsid w:val="00AB1A9D"/>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741B"/>
    <w:rsid w:val="00B7659C"/>
    <w:rsid w:val="00B77499"/>
    <w:rsid w:val="00B77B7C"/>
    <w:rsid w:val="00B8266B"/>
    <w:rsid w:val="00B876C5"/>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4674"/>
    <w:rsid w:val="00C76F81"/>
    <w:rsid w:val="00CA1577"/>
    <w:rsid w:val="00CA534C"/>
    <w:rsid w:val="00CB228B"/>
    <w:rsid w:val="00CB2BF1"/>
    <w:rsid w:val="00CB438E"/>
    <w:rsid w:val="00CB5901"/>
    <w:rsid w:val="00CB6297"/>
    <w:rsid w:val="00CC73A3"/>
    <w:rsid w:val="00CD01D1"/>
    <w:rsid w:val="00CE3E80"/>
    <w:rsid w:val="00CE4110"/>
    <w:rsid w:val="00CE739C"/>
    <w:rsid w:val="00CF2A52"/>
    <w:rsid w:val="00D041B9"/>
    <w:rsid w:val="00D06A29"/>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E01A09"/>
    <w:rsid w:val="00E046AB"/>
    <w:rsid w:val="00E073F4"/>
    <w:rsid w:val="00E07C53"/>
    <w:rsid w:val="00E1156C"/>
    <w:rsid w:val="00E27DB8"/>
    <w:rsid w:val="00E37DA2"/>
    <w:rsid w:val="00E43D12"/>
    <w:rsid w:val="00E43E90"/>
    <w:rsid w:val="00E525A6"/>
    <w:rsid w:val="00E53A6E"/>
    <w:rsid w:val="00E5458A"/>
    <w:rsid w:val="00E7519F"/>
    <w:rsid w:val="00E83D44"/>
    <w:rsid w:val="00EC191C"/>
    <w:rsid w:val="00EC2CC3"/>
    <w:rsid w:val="00EC4F4F"/>
    <w:rsid w:val="00EC593C"/>
    <w:rsid w:val="00ED2DA4"/>
    <w:rsid w:val="00ED3D06"/>
    <w:rsid w:val="00ED45B0"/>
    <w:rsid w:val="00EE0CD5"/>
    <w:rsid w:val="00EE425C"/>
    <w:rsid w:val="00EF008D"/>
    <w:rsid w:val="00EF1D73"/>
    <w:rsid w:val="00F10EBA"/>
    <w:rsid w:val="00F12B65"/>
    <w:rsid w:val="00F20DFB"/>
    <w:rsid w:val="00F23D6F"/>
    <w:rsid w:val="00F31753"/>
    <w:rsid w:val="00F351EE"/>
    <w:rsid w:val="00F4041A"/>
    <w:rsid w:val="00F47A09"/>
    <w:rsid w:val="00F533C1"/>
    <w:rsid w:val="00F63C81"/>
    <w:rsid w:val="00F65226"/>
    <w:rsid w:val="00F73E88"/>
    <w:rsid w:val="00F74BB2"/>
    <w:rsid w:val="00F76BA2"/>
    <w:rsid w:val="00F83E3E"/>
    <w:rsid w:val="00F84974"/>
    <w:rsid w:val="00F86562"/>
    <w:rsid w:val="00F87B81"/>
    <w:rsid w:val="00F948BA"/>
    <w:rsid w:val="00FB66D9"/>
    <w:rsid w:val="00FD0A41"/>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C77D122C-46FC-4761-AEAC-BA7551AD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578ED-72BF-4288-8B3F-91CF298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3</cp:revision>
  <cp:lastPrinted>2019-10-25T15:57:00Z</cp:lastPrinted>
  <dcterms:created xsi:type="dcterms:W3CDTF">2022-01-25T12:51:00Z</dcterms:created>
  <dcterms:modified xsi:type="dcterms:W3CDTF">2022-01-25T13:01:00Z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